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bookmarkStart w:id="0" w:name="_GoBack"/>
      <w:bookmarkEnd w:id="0"/>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REPUBLIC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noProof/>
          <w:kern w:val="28"/>
          <w:sz w:val="24"/>
          <w:szCs w:val="24"/>
          <w:lang w:eastAsia="en-ZA"/>
        </w:rPr>
        <w:drawing>
          <wp:inline distT="0" distB="0" distL="0" distR="0" wp14:anchorId="772C3E10" wp14:editId="7755D3CF">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IN THE HIGH COURT OF SOUTH AFRICA</w:t>
      </w:r>
    </w:p>
    <w:p w:rsidR="003E4474" w:rsidRPr="003E4474" w:rsidRDefault="003E4474" w:rsidP="003E4474">
      <w:pPr>
        <w:spacing w:after="0" w:line="360" w:lineRule="auto"/>
        <w:ind w:leftChars="-38" w:left="-84"/>
        <w:jc w:val="center"/>
        <w:rPr>
          <w:rFonts w:ascii="Arial" w:eastAsia="Times New Roman" w:hAnsi="Arial" w:cs="Arial"/>
          <w:b/>
          <w:kern w:val="28"/>
          <w:sz w:val="24"/>
          <w:szCs w:val="24"/>
          <w:lang w:eastAsia="en-GB"/>
        </w:rPr>
      </w:pPr>
      <w:r w:rsidRPr="003E4474">
        <w:rPr>
          <w:rFonts w:ascii="Arial" w:eastAsia="Times New Roman" w:hAnsi="Arial" w:cs="Arial"/>
          <w:b/>
          <w:kern w:val="28"/>
          <w:sz w:val="24"/>
          <w:szCs w:val="24"/>
          <w:lang w:eastAsia="en-GB"/>
        </w:rPr>
        <w:t>GAUTENG DIVISION, JOHANNESBURG</w:t>
      </w: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widowControl w:val="0"/>
        <w:spacing w:after="0" w:line="240" w:lineRule="auto"/>
        <w:jc w:val="center"/>
        <w:rPr>
          <w:rFonts w:ascii="Arial" w:eastAsia="Times New Roman" w:hAnsi="Arial" w:cs="Arial"/>
          <w:kern w:val="28"/>
          <w:sz w:val="24"/>
          <w:szCs w:val="24"/>
          <w:lang w:eastAsia="en-GB"/>
        </w:rPr>
      </w:pPr>
    </w:p>
    <w:p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lang w:eastAsia="en-GB"/>
        </w:rPr>
        <w:t>CASE NUMBER:</w:t>
      </w:r>
      <w:r w:rsidRPr="003E4474">
        <w:rPr>
          <w:rFonts w:ascii="Arial" w:eastAsia="Times New Roman" w:hAnsi="Arial" w:cs="Times New Roman"/>
          <w:kern w:val="28"/>
          <w:sz w:val="24"/>
          <w:szCs w:val="24"/>
          <w:lang w:eastAsia="en-GB"/>
        </w:rPr>
        <w:t xml:space="preserve"> </w:t>
      </w:r>
      <w:r w:rsidR="00CC6105">
        <w:rPr>
          <w:rFonts w:ascii="Arial" w:eastAsia="Times New Roman" w:hAnsi="Arial" w:cs="Times New Roman"/>
          <w:b/>
          <w:kern w:val="28"/>
          <w:sz w:val="24"/>
          <w:szCs w:val="24"/>
          <w:lang w:val="en-GB" w:eastAsia="en-GB"/>
        </w:rPr>
        <w:t>5895</w:t>
      </w:r>
      <w:r w:rsidR="00CC6105" w:rsidRPr="00CC6105">
        <w:rPr>
          <w:rFonts w:ascii="Arial" w:eastAsia="Times New Roman" w:hAnsi="Arial" w:cs="Times New Roman"/>
          <w:b/>
          <w:kern w:val="28"/>
          <w:sz w:val="24"/>
          <w:szCs w:val="24"/>
          <w:lang w:val="en-GB" w:eastAsia="en-GB"/>
        </w:rPr>
        <w:t>0/2021</w:t>
      </w:r>
    </w:p>
    <w:p w:rsidR="003E4474" w:rsidRPr="003E4474" w:rsidRDefault="003E4474" w:rsidP="003E4474">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3E4474" w:rsidRPr="003E4474" w:rsidTr="00B21A16">
        <w:trPr>
          <w:trHeight w:val="2528"/>
        </w:trPr>
        <w:tc>
          <w:tcPr>
            <w:tcW w:w="5812" w:type="dxa"/>
            <w:tcBorders>
              <w:top w:val="single" w:sz="4" w:space="0" w:color="auto"/>
              <w:left w:val="single" w:sz="4" w:space="0" w:color="auto"/>
              <w:bottom w:val="single" w:sz="4" w:space="0" w:color="auto"/>
              <w:right w:val="single" w:sz="4" w:space="0" w:color="auto"/>
            </w:tcBorders>
          </w:tcPr>
          <w:p w:rsidR="003E4474" w:rsidRPr="003E4474" w:rsidRDefault="003E4474" w:rsidP="003E4474">
            <w:pPr>
              <w:spacing w:after="0" w:line="240" w:lineRule="auto"/>
              <w:jc w:val="both"/>
              <w:rPr>
                <w:rFonts w:ascii="Arial" w:eastAsia="Times New Roman" w:hAnsi="Arial" w:cs="Arial"/>
                <w:kern w:val="28"/>
                <w:sz w:val="16"/>
                <w:szCs w:val="16"/>
                <w:lang w:eastAsia="en-GB"/>
              </w:rPr>
            </w:pP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r w:rsidRPr="003E4474">
              <w:rPr>
                <w:rFonts w:ascii="Arial" w:eastAsia="Times New Roman" w:hAnsi="Arial" w:cs="Arial"/>
                <w:b/>
                <w:bCs/>
                <w:color w:val="FF0000"/>
                <w:kern w:val="28"/>
                <w:sz w:val="18"/>
                <w:szCs w:val="18"/>
                <w:u w:val="single"/>
                <w:lang w:eastAsia="en-GB"/>
              </w:rPr>
              <w:t>DELETE WHICHEVER IS NOT APPLICABLE</w:t>
            </w:r>
          </w:p>
          <w:p w:rsidR="003E4474" w:rsidRPr="003E4474" w:rsidRDefault="003E4474" w:rsidP="003E4474">
            <w:pPr>
              <w:spacing w:after="0" w:line="240" w:lineRule="auto"/>
              <w:ind w:left="180"/>
              <w:jc w:val="center"/>
              <w:rPr>
                <w:rFonts w:ascii="Arial" w:eastAsia="Times New Roman" w:hAnsi="Arial" w:cs="Arial"/>
                <w:b/>
                <w:bCs/>
                <w:color w:val="FF0000"/>
                <w:kern w:val="28"/>
                <w:sz w:val="18"/>
                <w:szCs w:val="18"/>
                <w:u w:val="single"/>
                <w:lang w:eastAsia="en-GB"/>
              </w:rPr>
            </w:pP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1.REPORTABLE: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2.OF INTEREST TO OTHER JUDGES:                                NO</w:t>
            </w:r>
          </w:p>
          <w:p w:rsidR="003E4474" w:rsidRPr="003E4474" w:rsidRDefault="003E4474" w:rsidP="003E4474">
            <w:pPr>
              <w:spacing w:after="0" w:line="480" w:lineRule="auto"/>
              <w:ind w:left="180"/>
              <w:jc w:val="both"/>
              <w:rPr>
                <w:rFonts w:ascii="Arial" w:eastAsia="Times New Roman" w:hAnsi="Arial" w:cs="Arial"/>
                <w:bCs/>
                <w:color w:val="FF0000"/>
                <w:kern w:val="28"/>
                <w:sz w:val="18"/>
                <w:szCs w:val="18"/>
                <w:lang w:eastAsia="en-GB"/>
              </w:rPr>
            </w:pPr>
            <w:r w:rsidRPr="003E4474">
              <w:rPr>
                <w:rFonts w:ascii="Arial" w:eastAsia="Times New Roman" w:hAnsi="Arial" w:cs="Arial"/>
                <w:bCs/>
                <w:color w:val="FF0000"/>
                <w:kern w:val="28"/>
                <w:sz w:val="18"/>
                <w:szCs w:val="18"/>
                <w:lang w:eastAsia="en-GB"/>
              </w:rPr>
              <w:t>3.REVISED                                                                            NO</w:t>
            </w:r>
          </w:p>
          <w:p w:rsidR="003E4474" w:rsidRPr="003E4474" w:rsidRDefault="003E4474" w:rsidP="003E4474">
            <w:pPr>
              <w:spacing w:after="0" w:line="360" w:lineRule="auto"/>
              <w:ind w:left="180"/>
              <w:jc w:val="both"/>
              <w:rPr>
                <w:rFonts w:ascii="Arial" w:eastAsia="Times New Roman" w:hAnsi="Arial" w:cs="Arial"/>
                <w:bCs/>
                <w:color w:val="FF0000"/>
                <w:kern w:val="28"/>
                <w:sz w:val="18"/>
                <w:szCs w:val="18"/>
                <w:lang w:eastAsia="en-GB"/>
              </w:rPr>
            </w:pPr>
          </w:p>
          <w:p w:rsidR="003E4474" w:rsidRPr="003E4474" w:rsidRDefault="003E4474" w:rsidP="003E4474">
            <w:pPr>
              <w:spacing w:after="0" w:line="360" w:lineRule="auto"/>
              <w:ind w:left="180"/>
              <w:jc w:val="both"/>
              <w:rPr>
                <w:rFonts w:ascii="Arial" w:eastAsia="Times New Roman" w:hAnsi="Arial" w:cs="Arial"/>
                <w:kern w:val="28"/>
                <w:sz w:val="16"/>
                <w:szCs w:val="16"/>
                <w:lang w:eastAsia="en-GB"/>
              </w:rPr>
            </w:pPr>
            <w:r w:rsidRPr="003E4474">
              <w:rPr>
                <w:rFonts w:ascii="Arial" w:eastAsia="Times New Roman" w:hAnsi="Arial" w:cs="Arial"/>
                <w:b/>
                <w:bCs/>
                <w:color w:val="FF0000"/>
                <w:kern w:val="28"/>
                <w:sz w:val="18"/>
                <w:szCs w:val="18"/>
                <w:lang w:eastAsia="en-GB"/>
              </w:rPr>
              <w:t xml:space="preserve">                                                                   </w:t>
            </w:r>
            <w:r w:rsidR="004B3AA4">
              <w:rPr>
                <w:rFonts w:ascii="Arial" w:eastAsia="Times New Roman" w:hAnsi="Arial" w:cs="Arial"/>
                <w:b/>
                <w:bCs/>
                <w:color w:val="FF0000"/>
                <w:kern w:val="28"/>
                <w:sz w:val="18"/>
                <w:szCs w:val="18"/>
                <w:lang w:eastAsia="en-GB"/>
              </w:rPr>
              <w:t xml:space="preserve">   </w:t>
            </w:r>
            <w:r w:rsidRPr="003E4474">
              <w:rPr>
                <w:rFonts w:ascii="Arial" w:eastAsia="Times New Roman" w:hAnsi="Arial" w:cs="Arial"/>
                <w:b/>
                <w:bCs/>
                <w:color w:val="FF0000"/>
                <w:kern w:val="28"/>
                <w:sz w:val="18"/>
                <w:szCs w:val="18"/>
                <w:lang w:eastAsia="en-GB"/>
              </w:rPr>
              <w:t>Judge Dippenaar</w:t>
            </w:r>
          </w:p>
        </w:tc>
      </w:tr>
    </w:tbl>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r w:rsidRPr="003E4474">
        <w:rPr>
          <w:rFonts w:ascii="Arial" w:eastAsia="Times New Roman" w:hAnsi="Arial" w:cs="Arial"/>
          <w:bCs/>
          <w:spacing w:val="-3"/>
          <w:kern w:val="28"/>
          <w:sz w:val="24"/>
          <w:szCs w:val="24"/>
          <w:lang w:eastAsia="en-GB"/>
        </w:rPr>
        <w:t>In the matter between:</w:t>
      </w:r>
    </w:p>
    <w:p w:rsidR="003E4474" w:rsidRPr="003E4474" w:rsidRDefault="003E4474" w:rsidP="003E4474">
      <w:pPr>
        <w:tabs>
          <w:tab w:val="left" w:pos="-720"/>
        </w:tabs>
        <w:suppressAutoHyphens/>
        <w:spacing w:after="0" w:line="240" w:lineRule="auto"/>
        <w:rPr>
          <w:rFonts w:ascii="Arial" w:eastAsia="Times New Roman" w:hAnsi="Arial" w:cs="Arial"/>
          <w:bCs/>
          <w:spacing w:val="-3"/>
          <w:kern w:val="28"/>
          <w:sz w:val="24"/>
          <w:szCs w:val="24"/>
          <w:lang w:eastAsia="en-GB"/>
        </w:rPr>
      </w:pPr>
    </w:p>
    <w:p w:rsidR="004B3AA4" w:rsidRPr="004B3AA4" w:rsidRDefault="00CC6105" w:rsidP="004B3AA4">
      <w:pPr>
        <w:widowControl w:val="0"/>
        <w:tabs>
          <w:tab w:val="right" w:pos="9356"/>
        </w:tabs>
        <w:spacing w:after="0" w:line="240" w:lineRule="auto"/>
        <w:jc w:val="both"/>
        <w:rPr>
          <w:rFonts w:ascii="Arial" w:eastAsia="Calibri" w:hAnsi="Arial" w:cs="Arial"/>
          <w:b/>
          <w:bCs/>
          <w:sz w:val="24"/>
          <w:szCs w:val="24"/>
          <w:lang w:val="en-US"/>
        </w:rPr>
      </w:pPr>
      <w:r w:rsidRPr="00CC6105">
        <w:rPr>
          <w:rFonts w:ascii="Arial" w:eastAsia="Calibri" w:hAnsi="Arial" w:cs="Arial"/>
          <w:b/>
          <w:bCs/>
          <w:sz w:val="24"/>
          <w:szCs w:val="24"/>
          <w:lang w:val="en-US"/>
        </w:rPr>
        <w:t>THE PRUDENTIAL AUTHORITY</w:t>
      </w:r>
      <w:r>
        <w:rPr>
          <w:rFonts w:ascii="Arial" w:eastAsia="Calibri" w:hAnsi="Arial" w:cs="Arial"/>
          <w:b/>
          <w:bCs/>
          <w:sz w:val="24"/>
          <w:szCs w:val="24"/>
          <w:lang w:val="en-US"/>
        </w:rPr>
        <w:tab/>
      </w:r>
      <w:r w:rsidR="004B3AA4" w:rsidRPr="004B3AA4">
        <w:rPr>
          <w:rFonts w:ascii="Arial" w:eastAsia="Calibri" w:hAnsi="Arial" w:cs="Arial"/>
          <w:b/>
          <w:bCs/>
          <w:sz w:val="24"/>
          <w:szCs w:val="24"/>
          <w:lang w:val="en-US"/>
        </w:rPr>
        <w:t>Applicant</w:t>
      </w:r>
    </w:p>
    <w:p w:rsidR="003B7F1D" w:rsidRPr="00B64B92" w:rsidRDefault="003B7F1D" w:rsidP="004B3AA4">
      <w:pPr>
        <w:widowControl w:val="0"/>
        <w:tabs>
          <w:tab w:val="right" w:pos="9356"/>
        </w:tabs>
        <w:spacing w:after="0" w:line="240" w:lineRule="auto"/>
        <w:jc w:val="both"/>
        <w:rPr>
          <w:rFonts w:ascii="Arial" w:eastAsia="Calibri" w:hAnsi="Arial" w:cs="Arial"/>
          <w:bCs/>
          <w:sz w:val="24"/>
          <w:szCs w:val="24"/>
          <w:lang w:val="en-US"/>
        </w:rPr>
      </w:pPr>
      <w:r w:rsidRPr="00B64B92">
        <w:rPr>
          <w:rFonts w:ascii="Arial" w:eastAsia="Calibri" w:hAnsi="Arial" w:cs="Arial"/>
          <w:bCs/>
          <w:sz w:val="24"/>
          <w:szCs w:val="24"/>
          <w:lang w:val="en-US"/>
        </w:rPr>
        <w:tab/>
      </w:r>
    </w:p>
    <w:p w:rsidR="004B3AA4"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And</w:t>
      </w:r>
    </w:p>
    <w:p w:rsidR="003B7F1D" w:rsidRPr="003B7F1D" w:rsidRDefault="003B7F1D" w:rsidP="003B7F1D">
      <w:pPr>
        <w:widowControl w:val="0"/>
        <w:tabs>
          <w:tab w:val="right" w:pos="9356"/>
        </w:tabs>
        <w:spacing w:after="0" w:line="240" w:lineRule="auto"/>
        <w:jc w:val="both"/>
        <w:rPr>
          <w:rFonts w:ascii="Arial" w:eastAsia="Calibri" w:hAnsi="Arial" w:cs="Arial"/>
          <w:b/>
          <w:bCs/>
          <w:sz w:val="24"/>
          <w:szCs w:val="24"/>
          <w:lang w:val="en-US"/>
        </w:rPr>
      </w:pPr>
      <w:r w:rsidRPr="003B7F1D">
        <w:rPr>
          <w:rFonts w:ascii="Arial" w:eastAsia="Calibri" w:hAnsi="Arial" w:cs="Arial"/>
          <w:b/>
          <w:bCs/>
          <w:sz w:val="24"/>
          <w:szCs w:val="24"/>
          <w:lang w:val="en-US"/>
        </w:rPr>
        <w:tab/>
      </w:r>
      <w:r w:rsidR="000F4AF7">
        <w:rPr>
          <w:rFonts w:ascii="Arial" w:eastAsia="Calibri" w:hAnsi="Arial" w:cs="Arial"/>
          <w:b/>
          <w:bCs/>
          <w:sz w:val="24"/>
          <w:szCs w:val="24"/>
          <w:lang w:val="en-US"/>
        </w:rPr>
        <w:t xml:space="preserve"> </w:t>
      </w:r>
    </w:p>
    <w:p w:rsidR="004B3AA4" w:rsidRDefault="00CC6105" w:rsidP="004B3AA4">
      <w:pPr>
        <w:widowControl w:val="0"/>
        <w:tabs>
          <w:tab w:val="right" w:pos="9356"/>
        </w:tabs>
        <w:spacing w:after="0" w:line="240" w:lineRule="auto"/>
        <w:jc w:val="both"/>
        <w:rPr>
          <w:rFonts w:ascii="Arial" w:eastAsia="Calibri" w:hAnsi="Arial" w:cs="Arial"/>
          <w:b/>
          <w:bCs/>
          <w:sz w:val="24"/>
          <w:szCs w:val="24"/>
          <w:lang w:val="en-US"/>
        </w:rPr>
      </w:pPr>
      <w:r w:rsidRPr="00CC6105">
        <w:rPr>
          <w:rFonts w:ascii="Arial" w:eastAsia="Calibri" w:hAnsi="Arial" w:cs="Arial"/>
          <w:b/>
          <w:bCs/>
          <w:sz w:val="24"/>
          <w:szCs w:val="24"/>
          <w:lang w:val="en-US"/>
        </w:rPr>
        <w:t>3SIXTY LIFE LIMITED</w:t>
      </w:r>
      <w:r w:rsidR="004B3AA4">
        <w:rPr>
          <w:rFonts w:ascii="Arial" w:eastAsia="Calibri" w:hAnsi="Arial" w:cs="Arial"/>
          <w:b/>
          <w:bCs/>
          <w:sz w:val="24"/>
          <w:szCs w:val="24"/>
          <w:lang w:val="en-US"/>
        </w:rPr>
        <w:tab/>
      </w:r>
      <w:r w:rsidR="004B3AA4" w:rsidRPr="004B3AA4">
        <w:rPr>
          <w:rFonts w:ascii="Arial" w:eastAsia="Calibri" w:hAnsi="Arial" w:cs="Arial"/>
          <w:b/>
          <w:bCs/>
          <w:sz w:val="24"/>
          <w:szCs w:val="24"/>
          <w:lang w:val="en-US"/>
        </w:rPr>
        <w:t>First Respondent</w:t>
      </w:r>
    </w:p>
    <w:p w:rsidR="004B3AA4" w:rsidRPr="004B3AA4" w:rsidRDefault="004B3AA4" w:rsidP="004B3AA4">
      <w:pPr>
        <w:widowControl w:val="0"/>
        <w:tabs>
          <w:tab w:val="right" w:pos="9356"/>
        </w:tabs>
        <w:spacing w:after="0" w:line="240" w:lineRule="auto"/>
        <w:jc w:val="both"/>
        <w:rPr>
          <w:rFonts w:ascii="Arial" w:eastAsia="Calibri" w:hAnsi="Arial" w:cs="Arial"/>
          <w:b/>
          <w:bCs/>
          <w:sz w:val="24"/>
          <w:szCs w:val="24"/>
          <w:lang w:val="en-US"/>
        </w:rPr>
      </w:pPr>
    </w:p>
    <w:p w:rsidR="00941FCF" w:rsidRPr="00CC6105" w:rsidRDefault="00941FCF" w:rsidP="00941FCF">
      <w:pPr>
        <w:widowControl w:val="0"/>
        <w:tabs>
          <w:tab w:val="right" w:pos="9356"/>
        </w:tabs>
        <w:spacing w:after="0" w:line="240" w:lineRule="auto"/>
        <w:jc w:val="both"/>
        <w:rPr>
          <w:rFonts w:ascii="Arial" w:eastAsia="Calibri" w:hAnsi="Arial" w:cs="Arial"/>
          <w:b/>
          <w:bCs/>
          <w:sz w:val="24"/>
          <w:szCs w:val="24"/>
          <w:lang w:val="en-US"/>
        </w:rPr>
      </w:pPr>
      <w:r w:rsidRPr="00CC6105">
        <w:rPr>
          <w:rFonts w:ascii="Arial" w:eastAsia="Calibri" w:hAnsi="Arial" w:cs="Arial"/>
          <w:b/>
          <w:bCs/>
          <w:sz w:val="24"/>
          <w:szCs w:val="24"/>
          <w:lang w:val="en-US"/>
        </w:rPr>
        <w:t>NATIONAL UNION OF METAL WORKERS OF SOUTH</w:t>
      </w:r>
    </w:p>
    <w:p w:rsidR="004B3AA4" w:rsidRPr="004B3AA4" w:rsidRDefault="00941FCF" w:rsidP="00941FCF">
      <w:pPr>
        <w:widowControl w:val="0"/>
        <w:tabs>
          <w:tab w:val="right" w:pos="9356"/>
        </w:tabs>
        <w:spacing w:after="0" w:line="240" w:lineRule="auto"/>
        <w:jc w:val="both"/>
        <w:rPr>
          <w:rFonts w:ascii="Arial" w:eastAsia="Calibri" w:hAnsi="Arial" w:cs="Arial"/>
          <w:b/>
          <w:bCs/>
          <w:sz w:val="24"/>
          <w:szCs w:val="24"/>
          <w:lang w:val="en-US"/>
        </w:rPr>
      </w:pPr>
      <w:r w:rsidRPr="00CC6105">
        <w:rPr>
          <w:rFonts w:ascii="Arial" w:eastAsia="Calibri" w:hAnsi="Arial" w:cs="Arial"/>
          <w:b/>
          <w:bCs/>
          <w:sz w:val="24"/>
          <w:szCs w:val="24"/>
          <w:lang w:val="en-US"/>
        </w:rPr>
        <w:t>AFRICA</w:t>
      </w:r>
      <w:r w:rsidR="004B3AA4">
        <w:rPr>
          <w:rFonts w:ascii="Arial" w:eastAsia="Calibri" w:hAnsi="Arial" w:cs="Arial"/>
          <w:b/>
          <w:bCs/>
          <w:sz w:val="24"/>
          <w:szCs w:val="24"/>
          <w:lang w:val="en-US"/>
        </w:rPr>
        <w:tab/>
      </w:r>
      <w:r w:rsidR="004B3AA4" w:rsidRPr="004B3AA4">
        <w:rPr>
          <w:rFonts w:ascii="Arial" w:eastAsia="Calibri" w:hAnsi="Arial" w:cs="Arial"/>
          <w:b/>
          <w:bCs/>
          <w:sz w:val="24"/>
          <w:szCs w:val="24"/>
          <w:lang w:val="en-US"/>
        </w:rPr>
        <w:t>Second Respondent</w:t>
      </w:r>
    </w:p>
    <w:p w:rsidR="004B3AA4" w:rsidRPr="004B3AA4" w:rsidRDefault="004B3AA4" w:rsidP="004B3AA4">
      <w:pPr>
        <w:widowControl w:val="0"/>
        <w:tabs>
          <w:tab w:val="right" w:pos="9356"/>
        </w:tabs>
        <w:spacing w:after="0" w:line="240" w:lineRule="auto"/>
        <w:jc w:val="both"/>
        <w:rPr>
          <w:rFonts w:ascii="Arial" w:eastAsia="Calibri" w:hAnsi="Arial" w:cs="Arial"/>
          <w:b/>
          <w:bCs/>
          <w:sz w:val="24"/>
          <w:szCs w:val="24"/>
          <w:lang w:val="en-US"/>
        </w:rPr>
      </w:pPr>
    </w:p>
    <w:p w:rsidR="003B7F1D" w:rsidRPr="003B7F1D" w:rsidRDefault="00576355" w:rsidP="00CC6105">
      <w:pPr>
        <w:widowControl w:val="0"/>
        <w:tabs>
          <w:tab w:val="right" w:pos="9356"/>
        </w:tabs>
        <w:spacing w:after="0" w:line="240" w:lineRule="auto"/>
        <w:jc w:val="both"/>
        <w:rPr>
          <w:rFonts w:ascii="Arial" w:eastAsia="Calibri" w:hAnsi="Arial" w:cs="Arial"/>
          <w:b/>
          <w:bCs/>
          <w:sz w:val="24"/>
          <w:szCs w:val="24"/>
          <w:lang w:val="en-US"/>
        </w:rPr>
      </w:pPr>
      <w:r>
        <w:rPr>
          <w:rFonts w:ascii="Arial" w:eastAsia="Calibri" w:hAnsi="Arial" w:cs="Arial"/>
          <w:b/>
          <w:bCs/>
          <w:sz w:val="24"/>
          <w:szCs w:val="24"/>
          <w:lang w:val="en-US"/>
        </w:rPr>
        <w:t xml:space="preserve">RAM </w:t>
      </w:r>
      <w:r w:rsidR="00941FCF">
        <w:rPr>
          <w:rFonts w:ascii="Arial" w:eastAsia="Calibri" w:hAnsi="Arial" w:cs="Arial"/>
          <w:b/>
          <w:bCs/>
          <w:sz w:val="24"/>
          <w:szCs w:val="24"/>
          <w:lang w:val="en-US"/>
        </w:rPr>
        <w:t xml:space="preserve">YASHODA </w:t>
      </w:r>
      <w:r w:rsidR="004B3AA4">
        <w:rPr>
          <w:rFonts w:ascii="Arial" w:eastAsia="Calibri" w:hAnsi="Arial" w:cs="Arial"/>
          <w:b/>
          <w:bCs/>
          <w:sz w:val="24"/>
          <w:szCs w:val="24"/>
          <w:lang w:val="en-US"/>
        </w:rPr>
        <w:tab/>
      </w:r>
      <w:r w:rsidR="004B3AA4" w:rsidRPr="004B3AA4">
        <w:rPr>
          <w:rFonts w:ascii="Arial" w:eastAsia="Calibri" w:hAnsi="Arial" w:cs="Arial"/>
          <w:b/>
          <w:bCs/>
          <w:sz w:val="24"/>
          <w:szCs w:val="24"/>
          <w:lang w:val="en-US"/>
        </w:rPr>
        <w:t xml:space="preserve">Third </w:t>
      </w:r>
      <w:r w:rsidR="00941FCF">
        <w:rPr>
          <w:rFonts w:ascii="Arial" w:eastAsia="Calibri" w:hAnsi="Arial" w:cs="Arial"/>
          <w:b/>
          <w:bCs/>
          <w:sz w:val="24"/>
          <w:szCs w:val="24"/>
          <w:lang w:val="en-US"/>
        </w:rPr>
        <w:t>R</w:t>
      </w:r>
      <w:r w:rsidR="004B3AA4" w:rsidRPr="004B3AA4">
        <w:rPr>
          <w:rFonts w:ascii="Arial" w:eastAsia="Calibri" w:hAnsi="Arial" w:cs="Arial"/>
          <w:b/>
          <w:bCs/>
          <w:sz w:val="24"/>
          <w:szCs w:val="24"/>
          <w:lang w:val="en-US"/>
        </w:rPr>
        <w:t>espondent</w:t>
      </w:r>
      <w:r>
        <w:rPr>
          <w:rFonts w:ascii="Arial" w:eastAsia="Calibri" w:hAnsi="Arial" w:cs="Arial"/>
          <w:b/>
          <w:bCs/>
          <w:sz w:val="24"/>
          <w:szCs w:val="24"/>
          <w:lang w:val="en-US"/>
        </w:rPr>
        <w:t>/Intervening Party</w:t>
      </w:r>
    </w:p>
    <w:p w:rsidR="003E4474" w:rsidRPr="003E4474" w:rsidRDefault="003E4474" w:rsidP="003B7F1D">
      <w:pPr>
        <w:widowControl w:val="0"/>
        <w:tabs>
          <w:tab w:val="right" w:pos="9356"/>
        </w:tabs>
        <w:spacing w:after="0" w:line="240" w:lineRule="auto"/>
        <w:jc w:val="both"/>
        <w:rPr>
          <w:rFonts w:ascii="Arial" w:eastAsia="Times New Roman" w:hAnsi="Arial" w:cs="Times New Roman"/>
          <w:b/>
          <w:kern w:val="28"/>
          <w:sz w:val="24"/>
          <w:szCs w:val="24"/>
          <w:lang w:eastAsia="en-GB"/>
        </w:rPr>
      </w:pPr>
      <w:r w:rsidRPr="003B7F1D">
        <w:rPr>
          <w:rFonts w:ascii="Arial" w:eastAsia="Calibri" w:hAnsi="Arial" w:cs="Arial"/>
          <w:b/>
          <w:bCs/>
          <w:kern w:val="28"/>
          <w:sz w:val="24"/>
          <w:szCs w:val="24"/>
          <w:lang w:val="en-US" w:eastAsia="en-GB"/>
        </w:rPr>
        <w:tab/>
      </w:r>
      <w:r w:rsidRPr="003E4474">
        <w:rPr>
          <w:rFonts w:ascii="Arial" w:eastAsia="Times New Roman" w:hAnsi="Arial" w:cs="Times New Roman"/>
          <w:b/>
          <w:kern w:val="28"/>
          <w:sz w:val="24"/>
          <w:szCs w:val="24"/>
          <w:lang w:eastAsia="en-GB"/>
        </w:rPr>
        <w:tab/>
        <w:t xml:space="preserve">   </w:t>
      </w:r>
    </w:p>
    <w:p w:rsidR="003E4474" w:rsidRPr="003E4474" w:rsidRDefault="003E4474" w:rsidP="003E4474">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3E4474">
        <w:rPr>
          <w:rFonts w:ascii="Arial" w:eastAsia="Times New Roman" w:hAnsi="Arial" w:cs="Arial"/>
          <w:b/>
          <w:sz w:val="24"/>
          <w:szCs w:val="24"/>
          <w:lang w:val="en-US"/>
        </w:rPr>
        <w:t>JUDGMENT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3E4474" w:rsidRPr="003E4474" w:rsidRDefault="003E4474" w:rsidP="003E4474">
      <w:pPr>
        <w:spacing w:after="0" w:line="240" w:lineRule="auto"/>
        <w:ind w:left="1440" w:hanging="1440"/>
        <w:jc w:val="both"/>
        <w:rPr>
          <w:rFonts w:ascii="Arial" w:eastAsia="Times New Roman" w:hAnsi="Arial" w:cs="Arial"/>
          <w:sz w:val="24"/>
          <w:szCs w:val="24"/>
        </w:rPr>
      </w:pPr>
      <w:r w:rsidRPr="003E4474">
        <w:rPr>
          <w:rFonts w:ascii="Arial" w:eastAsia="Times New Roman" w:hAnsi="Arial" w:cs="Arial"/>
          <w:b/>
          <w:kern w:val="28"/>
          <w:sz w:val="24"/>
          <w:szCs w:val="24"/>
          <w:lang w:eastAsia="en-GB"/>
        </w:rPr>
        <w:t>Delivered:</w:t>
      </w:r>
      <w:r w:rsidRPr="003E4474">
        <w:rPr>
          <w:rFonts w:ascii="Arial" w:eastAsia="Times New Roman" w:hAnsi="Arial" w:cs="Arial"/>
          <w:b/>
          <w:kern w:val="28"/>
          <w:sz w:val="24"/>
          <w:szCs w:val="24"/>
          <w:lang w:eastAsia="en-GB"/>
        </w:rPr>
        <w:tab/>
      </w:r>
      <w:r w:rsidRPr="003E4474">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EE3B21">
        <w:rPr>
          <w:rFonts w:ascii="Arial" w:eastAsia="Times New Roman" w:hAnsi="Arial" w:cs="Arial"/>
          <w:kern w:val="28"/>
          <w:sz w:val="24"/>
          <w:szCs w:val="24"/>
          <w:lang w:eastAsia="en-GB"/>
        </w:rPr>
        <w:t>30</w:t>
      </w:r>
      <w:r w:rsidR="000D3625">
        <w:rPr>
          <w:rFonts w:ascii="Arial" w:eastAsia="Times New Roman" w:hAnsi="Arial" w:cs="Arial"/>
          <w:kern w:val="28"/>
          <w:sz w:val="24"/>
          <w:szCs w:val="24"/>
          <w:lang w:eastAsia="en-GB"/>
        </w:rPr>
        <w:t>th</w:t>
      </w:r>
      <w:r w:rsidR="003C7163">
        <w:rPr>
          <w:rFonts w:ascii="Arial" w:eastAsia="Times New Roman" w:hAnsi="Arial" w:cs="Arial"/>
          <w:kern w:val="28"/>
          <w:sz w:val="24"/>
          <w:szCs w:val="24"/>
          <w:lang w:eastAsia="en-GB"/>
        </w:rPr>
        <w:t xml:space="preserve"> of</w:t>
      </w:r>
      <w:r w:rsidRPr="003E4474">
        <w:rPr>
          <w:rFonts w:ascii="Arial" w:eastAsia="Times New Roman" w:hAnsi="Arial" w:cs="Arial"/>
          <w:kern w:val="28"/>
          <w:sz w:val="24"/>
          <w:szCs w:val="24"/>
          <w:lang w:eastAsia="en-GB"/>
        </w:rPr>
        <w:t xml:space="preserve"> </w:t>
      </w:r>
      <w:r w:rsidR="00AA79FE">
        <w:rPr>
          <w:rFonts w:ascii="Arial" w:eastAsia="Times New Roman" w:hAnsi="Arial" w:cs="Arial"/>
          <w:kern w:val="28"/>
          <w:sz w:val="24"/>
          <w:szCs w:val="24"/>
          <w:lang w:eastAsia="en-GB"/>
        </w:rPr>
        <w:t>September</w:t>
      </w:r>
      <w:r w:rsidRPr="003E4474">
        <w:rPr>
          <w:rFonts w:ascii="Arial" w:eastAsia="Times New Roman" w:hAnsi="Arial" w:cs="Arial"/>
          <w:kern w:val="28"/>
          <w:sz w:val="24"/>
          <w:szCs w:val="24"/>
          <w:lang w:eastAsia="en-GB"/>
        </w:rPr>
        <w:t xml:space="preserve"> 2022.</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3E4474">
        <w:rPr>
          <w:rFonts w:ascii="Arial" w:eastAsia="Times New Roman" w:hAnsi="Arial" w:cs="Arial"/>
          <w:b/>
          <w:bCs/>
          <w:spacing w:val="-3"/>
          <w:kern w:val="28"/>
          <w:sz w:val="24"/>
          <w:szCs w:val="24"/>
          <w:u w:val="single"/>
          <w:lang w:eastAsia="en-GB"/>
        </w:rPr>
        <w:t>DIPPENAAR J</w:t>
      </w:r>
      <w:r w:rsidRPr="003E4474">
        <w:rPr>
          <w:rFonts w:ascii="Arial" w:eastAsia="Times New Roman" w:hAnsi="Arial" w:cs="Arial"/>
          <w:b/>
          <w:bCs/>
          <w:spacing w:val="-3"/>
          <w:kern w:val="28"/>
          <w:sz w:val="24"/>
          <w:szCs w:val="24"/>
          <w:lang w:eastAsia="en-GB"/>
        </w:rPr>
        <w:t>:</w:t>
      </w:r>
    </w:p>
    <w:p w:rsidR="003E4474" w:rsidRPr="003E4474" w:rsidRDefault="003E4474" w:rsidP="003E4474">
      <w:pPr>
        <w:tabs>
          <w:tab w:val="left" w:pos="-720"/>
        </w:tabs>
        <w:suppressAutoHyphens/>
        <w:spacing w:after="0" w:line="360" w:lineRule="auto"/>
        <w:jc w:val="both"/>
        <w:rPr>
          <w:rFonts w:ascii="Arial" w:eastAsia="Times New Roman" w:hAnsi="Arial" w:cs="Arial"/>
          <w:b/>
          <w:bCs/>
          <w:spacing w:val="-3"/>
          <w:kern w:val="28"/>
          <w:sz w:val="24"/>
          <w:szCs w:val="24"/>
          <w:lang w:eastAsia="en-GB"/>
        </w:rPr>
      </w:pPr>
    </w:p>
    <w:p w:rsidR="00A662B2" w:rsidRDefault="003E4474" w:rsidP="00C57480">
      <w:pPr>
        <w:pStyle w:val="level1"/>
        <w:spacing w:after="480" w:line="360" w:lineRule="auto"/>
        <w:ind w:left="0" w:firstLine="0"/>
        <w:jc w:val="both"/>
        <w:rPr>
          <w:lang w:val="en-US"/>
        </w:rPr>
      </w:pPr>
      <w:r w:rsidRPr="00FD0024">
        <w:rPr>
          <w:lang w:val="en-US"/>
        </w:rPr>
        <w:t>Th</w:t>
      </w:r>
      <w:r w:rsidR="00F679F7" w:rsidRPr="00FD0024">
        <w:rPr>
          <w:lang w:val="en-US"/>
        </w:rPr>
        <w:t>is</w:t>
      </w:r>
      <w:r w:rsidR="00CD6E5D" w:rsidRPr="00FD0024">
        <w:rPr>
          <w:lang w:val="en-US"/>
        </w:rPr>
        <w:t xml:space="preserve"> </w:t>
      </w:r>
      <w:r w:rsidR="0090571A" w:rsidRPr="00FD0024">
        <w:rPr>
          <w:lang w:val="en-US"/>
        </w:rPr>
        <w:t>application concerns the anticipated return day</w:t>
      </w:r>
      <w:r w:rsidR="00026557">
        <w:rPr>
          <w:lang w:val="en-US"/>
        </w:rPr>
        <w:t xml:space="preserve"> under rule 6(8)</w:t>
      </w:r>
      <w:r w:rsidR="00DD363E">
        <w:rPr>
          <w:lang w:val="en-US"/>
        </w:rPr>
        <w:t xml:space="preserve"> </w:t>
      </w:r>
      <w:r w:rsidR="0090571A" w:rsidRPr="00FD0024">
        <w:rPr>
          <w:lang w:val="en-US"/>
        </w:rPr>
        <w:t xml:space="preserve">of an </w:t>
      </w:r>
      <w:r w:rsidR="00F679F7" w:rsidRPr="00DC38C3">
        <w:rPr>
          <w:i/>
          <w:lang w:val="en-US"/>
        </w:rPr>
        <w:t>ex parte</w:t>
      </w:r>
      <w:r w:rsidR="00F679F7" w:rsidRPr="00FD0024">
        <w:rPr>
          <w:lang w:val="en-US"/>
        </w:rPr>
        <w:t xml:space="preserve"> </w:t>
      </w:r>
      <w:r w:rsidR="00026557">
        <w:rPr>
          <w:lang w:val="en-US"/>
        </w:rPr>
        <w:t xml:space="preserve">provisional curatorship </w:t>
      </w:r>
      <w:r w:rsidR="00F679F7" w:rsidRPr="00FD0024">
        <w:rPr>
          <w:lang w:val="en-US"/>
        </w:rPr>
        <w:t>order granted</w:t>
      </w:r>
      <w:r w:rsidR="00102F28" w:rsidRPr="00FD0024">
        <w:rPr>
          <w:lang w:val="en-US"/>
        </w:rPr>
        <w:t xml:space="preserve"> </w:t>
      </w:r>
      <w:r w:rsidR="00102F28" w:rsidRPr="00DC38C3">
        <w:rPr>
          <w:i/>
          <w:lang w:val="en-US"/>
        </w:rPr>
        <w:t>in camera</w:t>
      </w:r>
      <w:r w:rsidR="00F679F7" w:rsidRPr="00FD0024">
        <w:rPr>
          <w:lang w:val="en-US"/>
        </w:rPr>
        <w:t xml:space="preserve"> in the urgent court on 21 December </w:t>
      </w:r>
      <w:r w:rsidR="005419CC">
        <w:rPr>
          <w:lang w:val="en-US"/>
        </w:rPr>
        <w:t>2021</w:t>
      </w:r>
      <w:r w:rsidR="00026557">
        <w:rPr>
          <w:lang w:val="en-US"/>
        </w:rPr>
        <w:t xml:space="preserve"> at the behest of </w:t>
      </w:r>
      <w:r w:rsidR="00F679F7" w:rsidRPr="00FD0024">
        <w:rPr>
          <w:lang w:val="en-US"/>
        </w:rPr>
        <w:t>the Prudential Authority</w:t>
      </w:r>
      <w:r w:rsidR="00DC38C3">
        <w:rPr>
          <w:lang w:val="en-US"/>
        </w:rPr>
        <w:t xml:space="preserve"> (“the Authority”)</w:t>
      </w:r>
      <w:r w:rsidR="00026557">
        <w:rPr>
          <w:lang w:val="en-US"/>
        </w:rPr>
        <w:t>. In terms</w:t>
      </w:r>
      <w:r w:rsidR="00F679F7" w:rsidRPr="00FD0024">
        <w:rPr>
          <w:lang w:val="en-US"/>
        </w:rPr>
        <w:t xml:space="preserve"> of </w:t>
      </w:r>
      <w:r w:rsidR="00026557">
        <w:rPr>
          <w:lang w:val="en-US"/>
        </w:rPr>
        <w:t>that order</w:t>
      </w:r>
      <w:r w:rsidR="00F679F7" w:rsidRPr="00FD0024">
        <w:rPr>
          <w:lang w:val="en-US"/>
        </w:rPr>
        <w:t xml:space="preserve"> the </w:t>
      </w:r>
      <w:r w:rsidR="00CD6E5D" w:rsidRPr="00FD0024">
        <w:rPr>
          <w:lang w:val="en-US"/>
        </w:rPr>
        <w:t>first respondent (“3Sixty”)</w:t>
      </w:r>
      <w:r w:rsidR="00F679F7" w:rsidRPr="00FD0024">
        <w:rPr>
          <w:lang w:val="en-US"/>
        </w:rPr>
        <w:t>, was placed under provisional curatorship and the third respondent (“</w:t>
      </w:r>
      <w:proofErr w:type="spellStart"/>
      <w:r w:rsidR="00F679F7" w:rsidRPr="00FD0024">
        <w:rPr>
          <w:lang w:val="en-US"/>
        </w:rPr>
        <w:t>Ms</w:t>
      </w:r>
      <w:proofErr w:type="spellEnd"/>
      <w:r w:rsidR="00F679F7" w:rsidRPr="00FD0024">
        <w:rPr>
          <w:lang w:val="en-US"/>
        </w:rPr>
        <w:t xml:space="preserve"> Ram”) was appointed </w:t>
      </w:r>
      <w:r w:rsidR="00884B54" w:rsidRPr="00FD0024">
        <w:rPr>
          <w:lang w:val="en-US"/>
        </w:rPr>
        <w:t xml:space="preserve">as </w:t>
      </w:r>
      <w:r w:rsidR="00F679F7" w:rsidRPr="00FD0024">
        <w:rPr>
          <w:lang w:val="en-US"/>
        </w:rPr>
        <w:t>provisional curator with certain specified powers.</w:t>
      </w:r>
      <w:r w:rsidR="002E0C98" w:rsidRPr="00FD0024">
        <w:rPr>
          <w:lang w:val="en-US"/>
        </w:rPr>
        <w:t xml:space="preserve"> </w:t>
      </w:r>
      <w:proofErr w:type="spellStart"/>
      <w:r w:rsidR="00DC38C3">
        <w:rPr>
          <w:lang w:val="en-US"/>
        </w:rPr>
        <w:t>Ms</w:t>
      </w:r>
      <w:proofErr w:type="spellEnd"/>
      <w:r w:rsidR="00DC38C3">
        <w:rPr>
          <w:lang w:val="en-US"/>
        </w:rPr>
        <w:t xml:space="preserve"> Ram was an employee of </w:t>
      </w:r>
      <w:r w:rsidR="00DC38C3" w:rsidRPr="00984E4E">
        <w:rPr>
          <w:lang w:val="en-US"/>
        </w:rPr>
        <w:t>BDO Advisory Services (Pty) Ltd</w:t>
      </w:r>
      <w:r w:rsidR="00DC38C3">
        <w:rPr>
          <w:lang w:val="en-US"/>
        </w:rPr>
        <w:t xml:space="preserve"> (“BDO”), who provide support services for the curatorship. </w:t>
      </w:r>
      <w:r w:rsidR="0022028D">
        <w:rPr>
          <w:lang w:val="en-US"/>
        </w:rPr>
        <w:t xml:space="preserve">3Sixty is a </w:t>
      </w:r>
      <w:proofErr w:type="spellStart"/>
      <w:r w:rsidR="00CA5429">
        <w:rPr>
          <w:lang w:val="en-US"/>
        </w:rPr>
        <w:t>licenc</w:t>
      </w:r>
      <w:r w:rsidR="001D3089">
        <w:rPr>
          <w:lang w:val="en-US"/>
        </w:rPr>
        <w:t>ed</w:t>
      </w:r>
      <w:proofErr w:type="spellEnd"/>
      <w:r w:rsidR="0022028D">
        <w:rPr>
          <w:lang w:val="en-US"/>
        </w:rPr>
        <w:t xml:space="preserve"> life insurance company </w:t>
      </w:r>
      <w:proofErr w:type="spellStart"/>
      <w:r w:rsidR="0022028D">
        <w:rPr>
          <w:lang w:val="en-US"/>
        </w:rPr>
        <w:t>specialising</w:t>
      </w:r>
      <w:proofErr w:type="spellEnd"/>
      <w:r w:rsidR="0022028D">
        <w:rPr>
          <w:lang w:val="en-US"/>
        </w:rPr>
        <w:t xml:space="preserve"> in life and funeral products.</w:t>
      </w:r>
    </w:p>
    <w:p w:rsidR="00D82035" w:rsidRDefault="005419CC" w:rsidP="00C57480">
      <w:pPr>
        <w:pStyle w:val="level1"/>
        <w:spacing w:after="480" w:line="360" w:lineRule="auto"/>
        <w:ind w:left="0" w:firstLine="0"/>
        <w:jc w:val="both"/>
        <w:rPr>
          <w:lang w:val="en-US"/>
        </w:rPr>
      </w:pPr>
      <w:r>
        <w:rPr>
          <w:lang w:val="en-US"/>
        </w:rPr>
        <w:t>3Sixty adopted the stance that the provisional order should be discharged</w:t>
      </w:r>
      <w:r w:rsidR="0022028D">
        <w:rPr>
          <w:lang w:val="en-US"/>
        </w:rPr>
        <w:t>, together with a punitive costs order</w:t>
      </w:r>
      <w:r w:rsidR="00091946">
        <w:rPr>
          <w:lang w:val="en-US"/>
        </w:rPr>
        <w:t>.</w:t>
      </w:r>
      <w:r w:rsidR="00026557">
        <w:rPr>
          <w:lang w:val="en-US"/>
        </w:rPr>
        <w:t xml:space="preserve"> Its</w:t>
      </w:r>
      <w:r w:rsidR="00026557" w:rsidRPr="00FB5D84">
        <w:rPr>
          <w:lang w:val="en-US"/>
        </w:rPr>
        <w:t xml:space="preserve"> affidavits are deposed to by its acting chief executive officer, Mr </w:t>
      </w:r>
      <w:proofErr w:type="spellStart"/>
      <w:r w:rsidR="00026557" w:rsidRPr="00FB5D84">
        <w:rPr>
          <w:lang w:val="en-US"/>
        </w:rPr>
        <w:t>Msibi</w:t>
      </w:r>
      <w:proofErr w:type="spellEnd"/>
      <w:r w:rsidR="00026557" w:rsidRPr="00FB5D84">
        <w:rPr>
          <w:lang w:val="en-US"/>
        </w:rPr>
        <w:t>.</w:t>
      </w:r>
      <w:r w:rsidR="00026557">
        <w:rPr>
          <w:lang w:val="en-US"/>
        </w:rPr>
        <w:t xml:space="preserve"> </w:t>
      </w:r>
      <w:r w:rsidR="00A662B2">
        <w:rPr>
          <w:lang w:val="en-US"/>
        </w:rPr>
        <w:t>The Authority in response, raised a challenge under rule 7 to the authority of 3Sixty’</w:t>
      </w:r>
      <w:r w:rsidR="00DC38C3">
        <w:rPr>
          <w:lang w:val="en-US"/>
        </w:rPr>
        <w:t>s</w:t>
      </w:r>
      <w:r w:rsidR="00A662B2">
        <w:rPr>
          <w:lang w:val="en-US"/>
        </w:rPr>
        <w:t xml:space="preserve"> attorneys.</w:t>
      </w:r>
    </w:p>
    <w:p w:rsidR="00A662B2" w:rsidRDefault="00DD363E" w:rsidP="00A662B2">
      <w:pPr>
        <w:pStyle w:val="level1"/>
        <w:spacing w:after="480" w:line="360" w:lineRule="auto"/>
        <w:ind w:left="0" w:firstLine="0"/>
        <w:jc w:val="both"/>
        <w:rPr>
          <w:lang w:val="en-US"/>
        </w:rPr>
      </w:pPr>
      <w:r>
        <w:rPr>
          <w:lang w:val="en-US"/>
        </w:rPr>
        <w:t xml:space="preserve">The second respondent </w:t>
      </w:r>
      <w:r w:rsidR="00DC38C3">
        <w:rPr>
          <w:lang w:val="en-US"/>
        </w:rPr>
        <w:t>(“</w:t>
      </w:r>
      <w:r>
        <w:rPr>
          <w:lang w:val="en-US"/>
        </w:rPr>
        <w:t>NUMSA</w:t>
      </w:r>
      <w:r w:rsidR="00DC38C3">
        <w:rPr>
          <w:lang w:val="en-US"/>
        </w:rPr>
        <w:t>”),</w:t>
      </w:r>
      <w:r>
        <w:rPr>
          <w:lang w:val="en-US"/>
        </w:rPr>
        <w:t xml:space="preserve"> similarly </w:t>
      </w:r>
      <w:r w:rsidR="00DE686D">
        <w:rPr>
          <w:lang w:val="en-US"/>
        </w:rPr>
        <w:t xml:space="preserve">delivered a rule 6(8) notice and an application for leave to intervene in the proceedings in order to seek the discharge of the provisional curatorship order. </w:t>
      </w:r>
      <w:r w:rsidR="00A662B2" w:rsidRPr="00FE27E3">
        <w:rPr>
          <w:lang w:val="en-US"/>
        </w:rPr>
        <w:t>The Authority opposed the intervention of NUMSA and raised an authority challenge under r</w:t>
      </w:r>
      <w:r w:rsidR="00A662B2">
        <w:rPr>
          <w:lang w:val="en-US"/>
        </w:rPr>
        <w:t>ule</w:t>
      </w:r>
      <w:r w:rsidR="00A662B2" w:rsidRPr="00FE27E3">
        <w:rPr>
          <w:lang w:val="en-US"/>
        </w:rPr>
        <w:t xml:space="preserve"> 7. </w:t>
      </w:r>
    </w:p>
    <w:p w:rsidR="00CC15C7" w:rsidRPr="004A7AC9" w:rsidRDefault="00CC15C7" w:rsidP="00CC15C7">
      <w:pPr>
        <w:pStyle w:val="level1"/>
        <w:spacing w:after="480" w:line="360" w:lineRule="auto"/>
        <w:ind w:left="0" w:firstLine="0"/>
        <w:jc w:val="both"/>
        <w:rPr>
          <w:i/>
          <w:lang w:val="en-US"/>
        </w:rPr>
      </w:pPr>
      <w:r>
        <w:rPr>
          <w:lang w:val="en-US"/>
        </w:rPr>
        <w:t xml:space="preserve">On 15 February 2022, an urgent application was launched by the Authority for the variation of the </w:t>
      </w:r>
      <w:r w:rsidRPr="00DC38C3">
        <w:rPr>
          <w:i/>
          <w:lang w:val="en-US"/>
        </w:rPr>
        <w:t>ex parte</w:t>
      </w:r>
      <w:r>
        <w:rPr>
          <w:lang w:val="en-US"/>
        </w:rPr>
        <w:t xml:space="preserve"> order </w:t>
      </w:r>
      <w:r w:rsidR="001A4695">
        <w:rPr>
          <w:lang w:val="en-US"/>
        </w:rPr>
        <w:t>by</w:t>
      </w:r>
      <w:r w:rsidR="0022028D">
        <w:rPr>
          <w:lang w:val="en-US"/>
        </w:rPr>
        <w:t xml:space="preserve"> the replacement </w:t>
      </w:r>
      <w:r>
        <w:rPr>
          <w:lang w:val="en-US"/>
        </w:rPr>
        <w:t xml:space="preserve">of </w:t>
      </w:r>
      <w:proofErr w:type="spellStart"/>
      <w:r>
        <w:rPr>
          <w:lang w:val="en-US"/>
        </w:rPr>
        <w:t>Ms</w:t>
      </w:r>
      <w:proofErr w:type="spellEnd"/>
      <w:r>
        <w:rPr>
          <w:lang w:val="en-US"/>
        </w:rPr>
        <w:t xml:space="preserve"> Ram as provisional curator </w:t>
      </w:r>
      <w:proofErr w:type="gramStart"/>
      <w:r>
        <w:rPr>
          <w:lang w:val="en-US"/>
        </w:rPr>
        <w:t>by</w:t>
      </w:r>
      <w:r w:rsidR="00DC38C3">
        <w:rPr>
          <w:lang w:val="en-US"/>
        </w:rPr>
        <w:t xml:space="preserve"> </w:t>
      </w:r>
      <w:r>
        <w:rPr>
          <w:lang w:val="en-US"/>
        </w:rPr>
        <w:t xml:space="preserve"> Mr</w:t>
      </w:r>
      <w:proofErr w:type="gramEnd"/>
      <w:r>
        <w:rPr>
          <w:lang w:val="en-US"/>
        </w:rPr>
        <w:t xml:space="preserve"> </w:t>
      </w:r>
      <w:proofErr w:type="spellStart"/>
      <w:r>
        <w:rPr>
          <w:lang w:val="en-US"/>
        </w:rPr>
        <w:t>Mashoko</w:t>
      </w:r>
      <w:proofErr w:type="spellEnd"/>
      <w:r>
        <w:rPr>
          <w:lang w:val="en-US"/>
        </w:rPr>
        <w:t xml:space="preserve">. On 3 March 2022, Fisher J dismissed that application by way of a written judgment. The order </w:t>
      </w:r>
      <w:r w:rsidR="001A4695">
        <w:rPr>
          <w:lang w:val="en-US"/>
        </w:rPr>
        <w:t>states</w:t>
      </w:r>
      <w:r>
        <w:rPr>
          <w:lang w:val="en-US"/>
        </w:rPr>
        <w:t xml:space="preserve">:  </w:t>
      </w:r>
    </w:p>
    <w:p w:rsidR="00CC15C7" w:rsidRPr="004A7AC9" w:rsidRDefault="00CC15C7" w:rsidP="00CC15C7">
      <w:pPr>
        <w:pStyle w:val="level1"/>
        <w:numPr>
          <w:ilvl w:val="0"/>
          <w:numId w:val="0"/>
        </w:numPr>
        <w:spacing w:after="480" w:line="360" w:lineRule="auto"/>
        <w:jc w:val="both"/>
        <w:rPr>
          <w:i/>
          <w:sz w:val="20"/>
          <w:szCs w:val="20"/>
          <w:lang w:val="en-US"/>
        </w:rPr>
      </w:pPr>
      <w:r w:rsidRPr="004A7AC9">
        <w:rPr>
          <w:i/>
          <w:sz w:val="20"/>
          <w:szCs w:val="20"/>
          <w:lang w:val="en-US"/>
        </w:rPr>
        <w:lastRenderedPageBreak/>
        <w:t xml:space="preserve">“The application for variation of the curatorship order is dismissed for want of urgency with costs reserved”. </w:t>
      </w:r>
    </w:p>
    <w:p w:rsidR="00984E4E" w:rsidRDefault="00465C58" w:rsidP="00930836">
      <w:pPr>
        <w:pStyle w:val="level1"/>
        <w:spacing w:after="480" w:line="360" w:lineRule="auto"/>
        <w:ind w:left="0" w:firstLine="0"/>
        <w:jc w:val="both"/>
        <w:rPr>
          <w:lang w:val="en-US"/>
        </w:rPr>
      </w:pPr>
      <w:proofErr w:type="spellStart"/>
      <w:r w:rsidRPr="00984E4E">
        <w:rPr>
          <w:lang w:val="en-US"/>
        </w:rPr>
        <w:t>Ms</w:t>
      </w:r>
      <w:proofErr w:type="spellEnd"/>
      <w:r w:rsidRPr="00984E4E">
        <w:rPr>
          <w:lang w:val="en-US"/>
        </w:rPr>
        <w:t xml:space="preserve"> Ram provided an interim report and a final report. </w:t>
      </w:r>
      <w:proofErr w:type="spellStart"/>
      <w:r w:rsidR="00984E4E" w:rsidRPr="00984E4E">
        <w:rPr>
          <w:lang w:val="en-US"/>
        </w:rPr>
        <w:t>Ms</w:t>
      </w:r>
      <w:proofErr w:type="spellEnd"/>
      <w:r w:rsidR="00984E4E" w:rsidRPr="00984E4E">
        <w:rPr>
          <w:lang w:val="en-US"/>
        </w:rPr>
        <w:t xml:space="preserve"> Ram originally filed a notice of intention to abide. After the dismissal of the Authority’s variation application, </w:t>
      </w:r>
      <w:proofErr w:type="spellStart"/>
      <w:r w:rsidR="00984E4E" w:rsidRPr="00984E4E">
        <w:rPr>
          <w:lang w:val="en-US"/>
        </w:rPr>
        <w:t>Ms</w:t>
      </w:r>
      <w:proofErr w:type="spellEnd"/>
      <w:r w:rsidR="00984E4E" w:rsidRPr="00984E4E">
        <w:rPr>
          <w:lang w:val="en-US"/>
        </w:rPr>
        <w:t xml:space="preserve"> Ram on 18 March 2022, launched an urgent application for leave to intervene in the main application. Although formally abiding the decision of the court, </w:t>
      </w:r>
      <w:proofErr w:type="spellStart"/>
      <w:r w:rsidR="00984E4E" w:rsidRPr="00984E4E">
        <w:rPr>
          <w:lang w:val="en-US"/>
        </w:rPr>
        <w:t>Ms</w:t>
      </w:r>
      <w:proofErr w:type="spellEnd"/>
      <w:r w:rsidR="00984E4E" w:rsidRPr="00984E4E">
        <w:rPr>
          <w:lang w:val="en-US"/>
        </w:rPr>
        <w:t xml:space="preserve"> Ram effectively supported the discharge of the curatorship order. BDO in response produced an affidavit which was introduced into evidence in the interests of justice so that the matter could be determined on its full facts, despite objection from </w:t>
      </w:r>
      <w:proofErr w:type="spellStart"/>
      <w:r w:rsidR="00984E4E" w:rsidRPr="00984E4E">
        <w:rPr>
          <w:lang w:val="en-US"/>
        </w:rPr>
        <w:t>Ms</w:t>
      </w:r>
      <w:proofErr w:type="spellEnd"/>
      <w:r w:rsidR="00984E4E" w:rsidRPr="00984E4E">
        <w:rPr>
          <w:lang w:val="en-US"/>
        </w:rPr>
        <w:t xml:space="preserve"> Ram. </w:t>
      </w:r>
      <w:proofErr w:type="spellStart"/>
      <w:r w:rsidR="00984E4E" w:rsidRPr="00984E4E">
        <w:rPr>
          <w:lang w:val="en-US"/>
        </w:rPr>
        <w:t>Ms</w:t>
      </w:r>
      <w:proofErr w:type="spellEnd"/>
      <w:r w:rsidR="00984E4E" w:rsidRPr="00984E4E">
        <w:rPr>
          <w:lang w:val="en-US"/>
        </w:rPr>
        <w:t xml:space="preserve"> Ram in her affidavit introduced the issues surrounding her suspension and employment disputes between her and BDO and her issues with the Authority.  There are multiple disputes of fact pertaining to the versions raised by </w:t>
      </w:r>
      <w:proofErr w:type="spellStart"/>
      <w:r w:rsidR="00984E4E" w:rsidRPr="00984E4E">
        <w:rPr>
          <w:lang w:val="en-US"/>
        </w:rPr>
        <w:t>Ms</w:t>
      </w:r>
      <w:proofErr w:type="spellEnd"/>
      <w:r w:rsidR="00984E4E" w:rsidRPr="00984E4E">
        <w:rPr>
          <w:lang w:val="en-US"/>
        </w:rPr>
        <w:t xml:space="preserve"> Ram and BDO relating to </w:t>
      </w:r>
      <w:r w:rsidR="00DC38C3">
        <w:rPr>
          <w:lang w:val="en-US"/>
        </w:rPr>
        <w:t>her con</w:t>
      </w:r>
      <w:r w:rsidR="00984E4E" w:rsidRPr="00984E4E">
        <w:rPr>
          <w:lang w:val="en-US"/>
        </w:rPr>
        <w:t>duct and the level of co</w:t>
      </w:r>
      <w:r w:rsidR="00DC38C3">
        <w:rPr>
          <w:lang w:val="en-US"/>
        </w:rPr>
        <w:t>-</w:t>
      </w:r>
      <w:r w:rsidR="00984E4E" w:rsidRPr="00984E4E">
        <w:rPr>
          <w:lang w:val="en-US"/>
        </w:rPr>
        <w:t xml:space="preserve">operation and support between her and BDO. These </w:t>
      </w:r>
      <w:r w:rsidR="00D412AB">
        <w:rPr>
          <w:lang w:val="en-US"/>
        </w:rPr>
        <w:t>disputes</w:t>
      </w:r>
      <w:r w:rsidR="00984E4E" w:rsidRPr="00984E4E">
        <w:rPr>
          <w:lang w:val="en-US"/>
        </w:rPr>
        <w:t xml:space="preserve"> are not relevant to the present </w:t>
      </w:r>
      <w:r w:rsidR="00D412AB">
        <w:rPr>
          <w:lang w:val="en-US"/>
        </w:rPr>
        <w:t>application</w:t>
      </w:r>
      <w:r w:rsidR="00984E4E" w:rsidRPr="00984E4E">
        <w:rPr>
          <w:lang w:val="en-US"/>
        </w:rPr>
        <w:t xml:space="preserve"> and it is not necessary to make any findings on these issues, nor is it possible to do so on the papers</w:t>
      </w:r>
      <w:r w:rsidR="00984E4E">
        <w:rPr>
          <w:lang w:val="en-US"/>
        </w:rPr>
        <w:t>.</w:t>
      </w:r>
    </w:p>
    <w:p w:rsidR="00D412AB" w:rsidRPr="00D412AB" w:rsidRDefault="00D412AB" w:rsidP="00527DBA">
      <w:pPr>
        <w:pStyle w:val="level1"/>
        <w:spacing w:after="480" w:line="360" w:lineRule="auto"/>
        <w:ind w:left="0" w:firstLine="0"/>
        <w:jc w:val="both"/>
        <w:rPr>
          <w:i/>
          <w:sz w:val="20"/>
          <w:szCs w:val="20"/>
          <w:lang w:val="en-US"/>
        </w:rPr>
      </w:pPr>
      <w:r w:rsidRPr="00D412AB">
        <w:rPr>
          <w:lang w:val="en-US"/>
        </w:rPr>
        <w:t xml:space="preserve">The bellicose attitude adopted by </w:t>
      </w:r>
      <w:proofErr w:type="spellStart"/>
      <w:r w:rsidRPr="00D412AB">
        <w:rPr>
          <w:lang w:val="en-US"/>
        </w:rPr>
        <w:t>Ms</w:t>
      </w:r>
      <w:proofErr w:type="spellEnd"/>
      <w:r w:rsidRPr="00D412AB">
        <w:rPr>
          <w:lang w:val="en-US"/>
        </w:rPr>
        <w:t xml:space="preserve"> Ram towards BDO and the Authority</w:t>
      </w:r>
      <w:r>
        <w:rPr>
          <w:lang w:val="en-US"/>
        </w:rPr>
        <w:t xml:space="preserve"> and t</w:t>
      </w:r>
      <w:r w:rsidR="00984E4E" w:rsidRPr="00D412AB">
        <w:rPr>
          <w:lang w:val="en-US"/>
        </w:rPr>
        <w:t xml:space="preserve">he disputes between </w:t>
      </w:r>
      <w:r>
        <w:rPr>
          <w:lang w:val="en-US"/>
        </w:rPr>
        <w:t>them</w:t>
      </w:r>
      <w:r w:rsidR="00984E4E" w:rsidRPr="00D412AB">
        <w:rPr>
          <w:lang w:val="en-US"/>
        </w:rPr>
        <w:t xml:space="preserve"> regrettably dominated much of what followed, resulting in the filing of various supplementary affidavits and submissions</w:t>
      </w:r>
      <w:r w:rsidR="005C143D" w:rsidRPr="00D412AB">
        <w:rPr>
          <w:lang w:val="en-US"/>
        </w:rPr>
        <w:t xml:space="preserve"> </w:t>
      </w:r>
      <w:r w:rsidR="00984E4E" w:rsidRPr="00D412AB">
        <w:rPr>
          <w:lang w:val="en-US"/>
        </w:rPr>
        <w:t xml:space="preserve">and substantial delays in the </w:t>
      </w:r>
      <w:proofErr w:type="spellStart"/>
      <w:r w:rsidR="00984E4E" w:rsidRPr="00D412AB">
        <w:rPr>
          <w:lang w:val="en-US"/>
        </w:rPr>
        <w:t>finalisation</w:t>
      </w:r>
      <w:proofErr w:type="spellEnd"/>
      <w:r w:rsidR="00984E4E" w:rsidRPr="00D412AB">
        <w:rPr>
          <w:lang w:val="en-US"/>
        </w:rPr>
        <w:t xml:space="preserve"> of the matter.</w:t>
      </w:r>
      <w:r w:rsidRPr="00D412AB">
        <w:rPr>
          <w:lang w:val="en-US"/>
        </w:rPr>
        <w:t xml:space="preserve"> </w:t>
      </w:r>
    </w:p>
    <w:p w:rsidR="005C143D" w:rsidRPr="00D412AB" w:rsidRDefault="00984E4E" w:rsidP="00527DBA">
      <w:pPr>
        <w:pStyle w:val="level1"/>
        <w:spacing w:after="480" w:line="360" w:lineRule="auto"/>
        <w:ind w:left="0" w:firstLine="0"/>
        <w:jc w:val="both"/>
        <w:rPr>
          <w:i/>
          <w:sz w:val="20"/>
          <w:szCs w:val="20"/>
          <w:lang w:val="en-US"/>
        </w:rPr>
      </w:pPr>
      <w:r w:rsidRPr="00D412AB">
        <w:rPr>
          <w:lang w:val="en-US"/>
        </w:rPr>
        <w:t xml:space="preserve">After judgment was reserved on 22 March 2022, the Authority notified this court on 16 May 2022 that a material event had occurred as the provisional curator had purported to resign by way of </w:t>
      </w:r>
      <w:r w:rsidR="00D412AB">
        <w:rPr>
          <w:lang w:val="en-US"/>
        </w:rPr>
        <w:t xml:space="preserve">a </w:t>
      </w:r>
      <w:r w:rsidRPr="00D412AB">
        <w:rPr>
          <w:lang w:val="en-US"/>
        </w:rPr>
        <w:t xml:space="preserve">letter dated 26 April 2022. In adherence to the principle of </w:t>
      </w:r>
      <w:proofErr w:type="spellStart"/>
      <w:r w:rsidRPr="00D412AB">
        <w:rPr>
          <w:i/>
          <w:lang w:val="en-US"/>
        </w:rPr>
        <w:t>audi</w:t>
      </w:r>
      <w:proofErr w:type="spellEnd"/>
      <w:r w:rsidRPr="00D412AB">
        <w:rPr>
          <w:i/>
          <w:lang w:val="en-US"/>
        </w:rPr>
        <w:t xml:space="preserve"> </w:t>
      </w:r>
      <w:proofErr w:type="spellStart"/>
      <w:r w:rsidRPr="00D412AB">
        <w:rPr>
          <w:i/>
          <w:lang w:val="en-US"/>
        </w:rPr>
        <w:t>alteram</w:t>
      </w:r>
      <w:proofErr w:type="spellEnd"/>
      <w:r w:rsidRPr="00D412AB">
        <w:rPr>
          <w:i/>
          <w:lang w:val="en-US"/>
        </w:rPr>
        <w:t xml:space="preserve"> </w:t>
      </w:r>
      <w:proofErr w:type="spellStart"/>
      <w:r w:rsidRPr="00D412AB">
        <w:rPr>
          <w:i/>
          <w:lang w:val="en-US"/>
        </w:rPr>
        <w:t>partem</w:t>
      </w:r>
      <w:proofErr w:type="spellEnd"/>
      <w:r w:rsidRPr="00D412AB">
        <w:rPr>
          <w:i/>
          <w:lang w:val="en-US"/>
        </w:rPr>
        <w:t xml:space="preserve">, </w:t>
      </w:r>
      <w:r w:rsidRPr="00D412AB">
        <w:rPr>
          <w:lang w:val="en-US"/>
        </w:rPr>
        <w:t xml:space="preserve">the parties were afforded the opportunity to deliver </w:t>
      </w:r>
      <w:r w:rsidR="00D412AB">
        <w:rPr>
          <w:lang w:val="en-US"/>
        </w:rPr>
        <w:t xml:space="preserve">further affidavits and </w:t>
      </w:r>
      <w:r w:rsidRPr="00D412AB">
        <w:rPr>
          <w:lang w:val="en-US"/>
        </w:rPr>
        <w:t>submissions on the issue.</w:t>
      </w:r>
    </w:p>
    <w:p w:rsidR="00984E4E" w:rsidRPr="002D7558" w:rsidRDefault="005C143D" w:rsidP="00984E4E">
      <w:pPr>
        <w:pStyle w:val="level1"/>
        <w:spacing w:after="480" w:line="360" w:lineRule="auto"/>
        <w:ind w:left="0" w:firstLine="0"/>
        <w:jc w:val="both"/>
        <w:rPr>
          <w:i/>
          <w:sz w:val="20"/>
          <w:szCs w:val="20"/>
          <w:lang w:val="en-US"/>
        </w:rPr>
      </w:pPr>
      <w:r>
        <w:rPr>
          <w:lang w:val="en-US"/>
        </w:rPr>
        <w:t xml:space="preserve">On 20 June 2022, 3Sixty launched a striking out application pertaining to certain averments made by the Authority </w:t>
      </w:r>
      <w:r w:rsidR="004A25EC">
        <w:rPr>
          <w:lang w:val="en-US"/>
        </w:rPr>
        <w:t xml:space="preserve">regarding 3Sixty’s solvency </w:t>
      </w:r>
      <w:r>
        <w:rPr>
          <w:lang w:val="en-US"/>
        </w:rPr>
        <w:t xml:space="preserve">in response to an affidavit of </w:t>
      </w:r>
      <w:proofErr w:type="spellStart"/>
      <w:r>
        <w:rPr>
          <w:lang w:val="en-US"/>
        </w:rPr>
        <w:t>Ms</w:t>
      </w:r>
      <w:proofErr w:type="spellEnd"/>
      <w:r>
        <w:rPr>
          <w:lang w:val="en-US"/>
        </w:rPr>
        <w:t xml:space="preserve"> Ram delivered on 8 June 2022. A hearing date for that application was set for 18 July 2022 at which the parties could </w:t>
      </w:r>
      <w:r w:rsidR="00E223C5">
        <w:rPr>
          <w:lang w:val="en-US"/>
        </w:rPr>
        <w:t xml:space="preserve">also </w:t>
      </w:r>
      <w:r>
        <w:rPr>
          <w:lang w:val="en-US"/>
        </w:rPr>
        <w:t xml:space="preserve">make oral submissions regarding the affidavits </w:t>
      </w:r>
      <w:r>
        <w:rPr>
          <w:lang w:val="en-US"/>
        </w:rPr>
        <w:lastRenderedPageBreak/>
        <w:t>and submissions delivered after the hearing on 22 March 2022. Shortly before the hearing 3Sixty launched a postponement application as its two lead counsel were not available and it was thus prejudiced. The postponement was granted and costs were reserved. On 1 August 2022 the court was advised that the parties had agreed that the striking out application and the further issues which had arisen after the hearing could be determined on the papers.</w:t>
      </w:r>
      <w:r w:rsidR="00984E4E" w:rsidRPr="00984E4E">
        <w:rPr>
          <w:lang w:val="en-US"/>
        </w:rPr>
        <w:t xml:space="preserve"> </w:t>
      </w:r>
    </w:p>
    <w:p w:rsidR="00984E4E" w:rsidRDefault="00984E4E" w:rsidP="00486EEA">
      <w:pPr>
        <w:pStyle w:val="level1"/>
        <w:numPr>
          <w:ilvl w:val="0"/>
          <w:numId w:val="0"/>
        </w:numPr>
        <w:spacing w:after="480" w:line="360" w:lineRule="auto"/>
        <w:jc w:val="both"/>
        <w:rPr>
          <w:lang w:val="en-US"/>
        </w:rPr>
      </w:pPr>
      <w:r>
        <w:rPr>
          <w:lang w:val="en-US"/>
        </w:rPr>
        <w:t>The issues</w:t>
      </w:r>
    </w:p>
    <w:p w:rsidR="00026557" w:rsidRDefault="00465C58" w:rsidP="009929A4">
      <w:pPr>
        <w:pStyle w:val="level1"/>
        <w:spacing w:after="480" w:line="360" w:lineRule="auto"/>
        <w:ind w:left="0" w:firstLine="0"/>
        <w:jc w:val="both"/>
        <w:rPr>
          <w:lang w:val="en-US"/>
        </w:rPr>
      </w:pPr>
      <w:r>
        <w:rPr>
          <w:lang w:val="en-US"/>
        </w:rPr>
        <w:t>On the merits, t</w:t>
      </w:r>
      <w:r w:rsidR="00026557">
        <w:rPr>
          <w:lang w:val="en-US"/>
        </w:rPr>
        <w:t xml:space="preserve">he main issues which fall to be determined are </w:t>
      </w:r>
      <w:r>
        <w:rPr>
          <w:lang w:val="en-US"/>
        </w:rPr>
        <w:t xml:space="preserve">first, </w:t>
      </w:r>
      <w:r w:rsidR="00026557">
        <w:rPr>
          <w:lang w:val="en-US"/>
        </w:rPr>
        <w:t xml:space="preserve">whether the curatorship order should be confirmed or discharged and </w:t>
      </w:r>
      <w:r>
        <w:rPr>
          <w:lang w:val="en-US"/>
        </w:rPr>
        <w:t xml:space="preserve">second, </w:t>
      </w:r>
      <w:r w:rsidR="00026557">
        <w:rPr>
          <w:lang w:val="en-US"/>
        </w:rPr>
        <w:t xml:space="preserve">whether </w:t>
      </w:r>
      <w:proofErr w:type="spellStart"/>
      <w:r w:rsidR="00026557">
        <w:rPr>
          <w:lang w:val="en-US"/>
        </w:rPr>
        <w:t>Ms</w:t>
      </w:r>
      <w:proofErr w:type="spellEnd"/>
      <w:r w:rsidR="00026557">
        <w:rPr>
          <w:lang w:val="en-US"/>
        </w:rPr>
        <w:t xml:space="preserve"> Ram should be appointed as final curator</w:t>
      </w:r>
      <w:r>
        <w:rPr>
          <w:lang w:val="en-US"/>
        </w:rPr>
        <w:t>.</w:t>
      </w:r>
    </w:p>
    <w:p w:rsidR="00CC15C7" w:rsidRDefault="00D01F6C" w:rsidP="009929A4">
      <w:pPr>
        <w:pStyle w:val="level1"/>
        <w:spacing w:after="480" w:line="360" w:lineRule="auto"/>
        <w:ind w:left="0" w:firstLine="0"/>
        <w:jc w:val="both"/>
        <w:rPr>
          <w:lang w:val="en-US"/>
        </w:rPr>
      </w:pPr>
      <w:r>
        <w:rPr>
          <w:lang w:val="en-US"/>
        </w:rPr>
        <w:t xml:space="preserve">In addition to </w:t>
      </w:r>
      <w:r w:rsidR="00465C58">
        <w:rPr>
          <w:lang w:val="en-US"/>
        </w:rPr>
        <w:t xml:space="preserve">a determination of </w:t>
      </w:r>
      <w:r>
        <w:rPr>
          <w:lang w:val="en-US"/>
        </w:rPr>
        <w:t xml:space="preserve">the merits, there </w:t>
      </w:r>
      <w:r w:rsidR="00D412AB">
        <w:rPr>
          <w:lang w:val="en-US"/>
        </w:rPr>
        <w:t>we</w:t>
      </w:r>
      <w:r>
        <w:rPr>
          <w:lang w:val="en-US"/>
        </w:rPr>
        <w:t xml:space="preserve">re </w:t>
      </w:r>
      <w:r w:rsidR="00465C58">
        <w:rPr>
          <w:lang w:val="en-US"/>
        </w:rPr>
        <w:t xml:space="preserve">further </w:t>
      </w:r>
      <w:r>
        <w:rPr>
          <w:lang w:val="en-US"/>
        </w:rPr>
        <w:t>various i</w:t>
      </w:r>
      <w:r w:rsidR="00CC15C7">
        <w:rPr>
          <w:lang w:val="en-US"/>
        </w:rPr>
        <w:t xml:space="preserve">nterlocutory </w:t>
      </w:r>
      <w:r w:rsidR="00465C58">
        <w:rPr>
          <w:lang w:val="en-US"/>
        </w:rPr>
        <w:t>application</w:t>
      </w:r>
      <w:r w:rsidR="00CC15C7">
        <w:rPr>
          <w:lang w:val="en-US"/>
        </w:rPr>
        <w:t>s</w:t>
      </w:r>
      <w:r w:rsidR="00A662B2">
        <w:rPr>
          <w:lang w:val="en-US"/>
        </w:rPr>
        <w:t xml:space="preserve">, </w:t>
      </w:r>
      <w:r w:rsidR="00465C58">
        <w:rPr>
          <w:lang w:val="en-US"/>
        </w:rPr>
        <w:t xml:space="preserve">including two striking out applications </w:t>
      </w:r>
      <w:r w:rsidR="0022028D">
        <w:rPr>
          <w:lang w:val="en-US"/>
        </w:rPr>
        <w:t xml:space="preserve">launched by 3Sixty </w:t>
      </w:r>
      <w:r w:rsidR="00465C58">
        <w:rPr>
          <w:lang w:val="en-US"/>
        </w:rPr>
        <w:t>which must be determined a</w:t>
      </w:r>
      <w:r w:rsidR="00D412AB">
        <w:rPr>
          <w:lang w:val="en-US"/>
        </w:rPr>
        <w:t xml:space="preserve">s well as </w:t>
      </w:r>
      <w:r w:rsidR="00465C58">
        <w:rPr>
          <w:lang w:val="en-US"/>
        </w:rPr>
        <w:t>various</w:t>
      </w:r>
      <w:r w:rsidR="002D7558">
        <w:rPr>
          <w:lang w:val="en-US"/>
        </w:rPr>
        <w:t xml:space="preserve"> reserved costs orders. They </w:t>
      </w:r>
      <w:r w:rsidR="00A662B2">
        <w:rPr>
          <w:lang w:val="en-US"/>
        </w:rPr>
        <w:t xml:space="preserve">will be dealt with where appropriate. </w:t>
      </w:r>
    </w:p>
    <w:p w:rsidR="00A63A93" w:rsidRDefault="00632327" w:rsidP="00486EEA">
      <w:pPr>
        <w:pStyle w:val="level1"/>
        <w:numPr>
          <w:ilvl w:val="0"/>
          <w:numId w:val="0"/>
        </w:numPr>
        <w:spacing w:after="480" w:line="360" w:lineRule="auto"/>
        <w:jc w:val="both"/>
        <w:rPr>
          <w:lang w:val="en-US"/>
        </w:rPr>
      </w:pPr>
      <w:r>
        <w:rPr>
          <w:lang w:val="en-US"/>
        </w:rPr>
        <w:t>NUMSA</w:t>
      </w:r>
      <w:r w:rsidR="00D412AB">
        <w:rPr>
          <w:lang w:val="en-US"/>
        </w:rPr>
        <w:t>’</w:t>
      </w:r>
      <w:r>
        <w:rPr>
          <w:lang w:val="en-US"/>
        </w:rPr>
        <w:t xml:space="preserve">s </w:t>
      </w:r>
      <w:r w:rsidR="00085231">
        <w:rPr>
          <w:lang w:val="en-US"/>
        </w:rPr>
        <w:t xml:space="preserve">intervention application. </w:t>
      </w:r>
    </w:p>
    <w:p w:rsidR="001F66A2" w:rsidRDefault="00861FD5" w:rsidP="00C85B22">
      <w:pPr>
        <w:pStyle w:val="level1"/>
        <w:spacing w:after="480" w:line="360" w:lineRule="auto"/>
        <w:ind w:left="0" w:firstLine="0"/>
        <w:jc w:val="both"/>
        <w:rPr>
          <w:lang w:val="en-US"/>
        </w:rPr>
      </w:pPr>
      <w:r w:rsidRPr="00861FD5">
        <w:rPr>
          <w:lang w:val="en-US"/>
        </w:rPr>
        <w:t xml:space="preserve">The nub of NUMSA’s case was to dispute that there is any risk to policy holders as no claims were rejected during the </w:t>
      </w:r>
      <w:proofErr w:type="spellStart"/>
      <w:r w:rsidRPr="00861FD5">
        <w:rPr>
          <w:lang w:val="en-US"/>
        </w:rPr>
        <w:t>Covid</w:t>
      </w:r>
      <w:proofErr w:type="spellEnd"/>
      <w:r w:rsidRPr="00861FD5">
        <w:rPr>
          <w:lang w:val="en-US"/>
        </w:rPr>
        <w:t xml:space="preserve"> pandemic. It contended that a significant number of 3Sixty’s policy holders are NUMSA members and are also indirect shareholders of 3Sixty. </w:t>
      </w:r>
      <w:r w:rsidR="00085231" w:rsidRPr="00861FD5">
        <w:rPr>
          <w:lang w:val="en-US"/>
        </w:rPr>
        <w:t>NUMSA</w:t>
      </w:r>
      <w:r w:rsidR="00465C58" w:rsidRPr="00861FD5">
        <w:rPr>
          <w:lang w:val="en-US"/>
        </w:rPr>
        <w:t>’s</w:t>
      </w:r>
      <w:r w:rsidR="00FE74B1" w:rsidRPr="00861FD5">
        <w:rPr>
          <w:lang w:val="en-US"/>
        </w:rPr>
        <w:t xml:space="preserve"> affidavits </w:t>
      </w:r>
      <w:r w:rsidRPr="00861FD5">
        <w:rPr>
          <w:lang w:val="en-US"/>
        </w:rPr>
        <w:t xml:space="preserve">are </w:t>
      </w:r>
      <w:r w:rsidR="00FE74B1" w:rsidRPr="00861FD5">
        <w:rPr>
          <w:lang w:val="en-US"/>
        </w:rPr>
        <w:t xml:space="preserve">deposed to by </w:t>
      </w:r>
      <w:r w:rsidRPr="00861FD5">
        <w:rPr>
          <w:lang w:val="en-US"/>
        </w:rPr>
        <w:t xml:space="preserve">its general secretary, </w:t>
      </w:r>
      <w:r w:rsidR="00FE74B1" w:rsidRPr="00861FD5">
        <w:rPr>
          <w:lang w:val="en-US"/>
        </w:rPr>
        <w:t xml:space="preserve">Mr Irwin Jim. Its case relies heavily on the interests of NUMSA Financial Services (“NFS”), </w:t>
      </w:r>
      <w:r w:rsidR="00AB77D7" w:rsidRPr="00861FD5">
        <w:rPr>
          <w:lang w:val="en-US"/>
        </w:rPr>
        <w:t xml:space="preserve">a broker that sells policies that are underwritten by 3Sixty. </w:t>
      </w:r>
      <w:r w:rsidR="00085231" w:rsidRPr="00861FD5">
        <w:rPr>
          <w:lang w:val="en-US"/>
        </w:rPr>
        <w:t>3Sixty</w:t>
      </w:r>
      <w:r w:rsidR="00FE74B1" w:rsidRPr="00861FD5">
        <w:rPr>
          <w:lang w:val="en-US"/>
        </w:rPr>
        <w:t xml:space="preserve"> is ultimately owned for the benefit of members of NUMSA through NUMSA’s investment arm, the NUMSA Investment Trust (“NIT”). </w:t>
      </w:r>
      <w:r w:rsidR="00B67962" w:rsidRPr="00861FD5">
        <w:rPr>
          <w:lang w:val="en-US"/>
        </w:rPr>
        <w:t xml:space="preserve">NIT owns Doves, </w:t>
      </w:r>
      <w:r w:rsidR="009507F9" w:rsidRPr="00861FD5">
        <w:rPr>
          <w:lang w:val="en-US"/>
        </w:rPr>
        <w:t>wh</w:t>
      </w:r>
      <w:r w:rsidR="00D412AB">
        <w:rPr>
          <w:lang w:val="en-US"/>
        </w:rPr>
        <w:t>ich</w:t>
      </w:r>
      <w:r w:rsidR="00B67962" w:rsidRPr="00861FD5">
        <w:rPr>
          <w:lang w:val="en-US"/>
        </w:rPr>
        <w:t xml:space="preserve"> in turn owns 3Sixty. </w:t>
      </w:r>
      <w:r w:rsidR="00085231" w:rsidRPr="00861FD5">
        <w:rPr>
          <w:lang w:val="en-US"/>
        </w:rPr>
        <w:t>3Sixty</w:t>
      </w:r>
      <w:r w:rsidR="00FE74B1" w:rsidRPr="00861FD5">
        <w:rPr>
          <w:lang w:val="en-US"/>
        </w:rPr>
        <w:t xml:space="preserve"> is an underwriter of life insurance and funeral policies which are sold and marketed by NFS to NUMSA members.</w:t>
      </w:r>
      <w:r w:rsidR="00A63A93" w:rsidRPr="00861FD5">
        <w:rPr>
          <w:lang w:val="en-US"/>
        </w:rPr>
        <w:t xml:space="preserve"> </w:t>
      </w:r>
    </w:p>
    <w:p w:rsidR="00963D71" w:rsidRPr="00861FD5" w:rsidRDefault="00FE74B1" w:rsidP="00C85B22">
      <w:pPr>
        <w:pStyle w:val="level1"/>
        <w:spacing w:after="480" w:line="360" w:lineRule="auto"/>
        <w:ind w:left="0" w:firstLine="0"/>
        <w:jc w:val="both"/>
        <w:rPr>
          <w:lang w:val="en-US"/>
        </w:rPr>
      </w:pPr>
      <w:r w:rsidRPr="00861FD5">
        <w:rPr>
          <w:lang w:val="en-US"/>
        </w:rPr>
        <w:lastRenderedPageBreak/>
        <w:t xml:space="preserve">The high water mark of </w:t>
      </w:r>
      <w:r w:rsidR="001F66A2">
        <w:rPr>
          <w:lang w:val="en-US"/>
        </w:rPr>
        <w:t>NUMSA’s</w:t>
      </w:r>
      <w:r w:rsidRPr="00861FD5">
        <w:rPr>
          <w:lang w:val="en-US"/>
        </w:rPr>
        <w:t xml:space="preserve"> case is pleaded thus</w:t>
      </w:r>
      <w:r w:rsidR="00963D71" w:rsidRPr="00861FD5">
        <w:rPr>
          <w:lang w:val="en-US"/>
        </w:rPr>
        <w:t xml:space="preserve">: </w:t>
      </w:r>
    </w:p>
    <w:p w:rsidR="00963D71" w:rsidRPr="00963D71" w:rsidRDefault="00FE74B1" w:rsidP="00963D71">
      <w:pPr>
        <w:pStyle w:val="level1"/>
        <w:numPr>
          <w:ilvl w:val="0"/>
          <w:numId w:val="0"/>
        </w:numPr>
        <w:spacing w:after="480"/>
        <w:jc w:val="both"/>
        <w:rPr>
          <w:i/>
          <w:sz w:val="20"/>
          <w:szCs w:val="20"/>
          <w:lang w:val="en-US"/>
        </w:rPr>
      </w:pPr>
      <w:r w:rsidRPr="00963D71">
        <w:rPr>
          <w:i/>
          <w:sz w:val="20"/>
          <w:szCs w:val="20"/>
          <w:lang w:val="en-US"/>
        </w:rPr>
        <w:t>“Since 3SixtyLife is ultimately owned for the benefit of members of NUMSA through the NUMSA Investment Trust; and NFS accounts for 26% of 3Sixty’s policy holders in terms of premium income, therefore NFS and indeed NUMSA is an important voice when it comes to any potential or actual risk to policy holders that would be posed by the alleged insolvency of 3Sixty</w:t>
      </w:r>
      <w:r w:rsidR="00963D71" w:rsidRPr="00963D71">
        <w:rPr>
          <w:i/>
          <w:sz w:val="20"/>
          <w:szCs w:val="20"/>
          <w:lang w:val="en-US"/>
        </w:rPr>
        <w:t>”</w:t>
      </w:r>
      <w:r w:rsidRPr="00963D71">
        <w:rPr>
          <w:i/>
          <w:sz w:val="20"/>
          <w:szCs w:val="20"/>
          <w:lang w:val="en-US"/>
        </w:rPr>
        <w:t xml:space="preserve">. </w:t>
      </w:r>
    </w:p>
    <w:p w:rsidR="00FE74B1" w:rsidRDefault="00FE74B1" w:rsidP="00FE74B1">
      <w:pPr>
        <w:pStyle w:val="level1"/>
        <w:spacing w:after="480" w:line="360" w:lineRule="auto"/>
        <w:ind w:left="0" w:firstLine="0"/>
        <w:jc w:val="both"/>
        <w:rPr>
          <w:lang w:val="en-US"/>
        </w:rPr>
      </w:pPr>
      <w:r>
        <w:rPr>
          <w:lang w:val="en-US"/>
        </w:rPr>
        <w:t xml:space="preserve">NFS is </w:t>
      </w:r>
      <w:r w:rsidR="00861FD5">
        <w:rPr>
          <w:lang w:val="en-US"/>
        </w:rPr>
        <w:t>however a</w:t>
      </w:r>
      <w:r w:rsidR="001F66A2">
        <w:rPr>
          <w:lang w:val="en-US"/>
        </w:rPr>
        <w:t xml:space="preserve"> legal</w:t>
      </w:r>
      <w:r w:rsidR="00861FD5">
        <w:rPr>
          <w:lang w:val="en-US"/>
        </w:rPr>
        <w:t xml:space="preserve"> entity </w:t>
      </w:r>
      <w:r>
        <w:rPr>
          <w:lang w:val="en-US"/>
        </w:rPr>
        <w:t>sep</w:t>
      </w:r>
      <w:r w:rsidR="00963D71">
        <w:rPr>
          <w:lang w:val="en-US"/>
        </w:rPr>
        <w:t>a</w:t>
      </w:r>
      <w:r>
        <w:rPr>
          <w:lang w:val="en-US"/>
        </w:rPr>
        <w:t xml:space="preserve">rate </w:t>
      </w:r>
      <w:r w:rsidR="00861FD5">
        <w:rPr>
          <w:lang w:val="en-US"/>
        </w:rPr>
        <w:t>to NUMSA, which</w:t>
      </w:r>
      <w:r>
        <w:rPr>
          <w:lang w:val="en-US"/>
        </w:rPr>
        <w:t xml:space="preserve"> did not seek to join the proceedings. </w:t>
      </w:r>
      <w:r w:rsidR="00063C6F">
        <w:rPr>
          <w:lang w:val="en-US"/>
        </w:rPr>
        <w:t xml:space="preserve">Neither did the trustees of NIT. </w:t>
      </w:r>
      <w:r>
        <w:rPr>
          <w:lang w:val="en-US"/>
        </w:rPr>
        <w:t>It is only if a judgment or order sought will prejudicially affect a p</w:t>
      </w:r>
      <w:r w:rsidR="0022028D">
        <w:rPr>
          <w:lang w:val="en-US"/>
        </w:rPr>
        <w:t>arty</w:t>
      </w:r>
      <w:r>
        <w:rPr>
          <w:lang w:val="en-US"/>
        </w:rPr>
        <w:t xml:space="preserve"> that such party must be a party to the proceedings.</w:t>
      </w:r>
      <w:r>
        <w:rPr>
          <w:rStyle w:val="FootnoteReference"/>
          <w:lang w:val="en-US"/>
        </w:rPr>
        <w:footnoteReference w:id="1"/>
      </w:r>
    </w:p>
    <w:p w:rsidR="00FC21D5" w:rsidRDefault="00FE74B1" w:rsidP="00FE74B1">
      <w:pPr>
        <w:pStyle w:val="level1"/>
        <w:spacing w:after="480" w:line="360" w:lineRule="auto"/>
        <w:ind w:left="0" w:firstLine="0"/>
        <w:jc w:val="both"/>
        <w:rPr>
          <w:lang w:val="en-US"/>
        </w:rPr>
      </w:pPr>
      <w:r>
        <w:rPr>
          <w:lang w:val="en-US"/>
        </w:rPr>
        <w:t xml:space="preserve">It is trite that a mere financial interest is not sufficient but that a </w:t>
      </w:r>
      <w:r w:rsidR="00861FD5">
        <w:rPr>
          <w:lang w:val="en-US"/>
        </w:rPr>
        <w:t xml:space="preserve">direct and substantial </w:t>
      </w:r>
      <w:r w:rsidR="007724D2">
        <w:rPr>
          <w:lang w:val="en-US"/>
        </w:rPr>
        <w:t>i</w:t>
      </w:r>
      <w:r>
        <w:rPr>
          <w:lang w:val="en-US"/>
        </w:rPr>
        <w:t xml:space="preserve">nterest </w:t>
      </w:r>
      <w:r w:rsidR="00861FD5">
        <w:rPr>
          <w:lang w:val="en-US"/>
        </w:rPr>
        <w:t xml:space="preserve">in the subject matter of the case </w:t>
      </w:r>
      <w:r>
        <w:rPr>
          <w:lang w:val="en-US"/>
        </w:rPr>
        <w:t>is required</w:t>
      </w:r>
      <w:r w:rsidR="00B56F2E">
        <w:rPr>
          <w:lang w:val="en-US"/>
        </w:rPr>
        <w:t>.</w:t>
      </w:r>
      <w:r w:rsidR="00FC21D5">
        <w:rPr>
          <w:rStyle w:val="FootnoteReference"/>
          <w:lang w:val="en-US"/>
        </w:rPr>
        <w:footnoteReference w:id="2"/>
      </w:r>
      <w:r w:rsidR="007724D2">
        <w:rPr>
          <w:lang w:val="en-US"/>
        </w:rPr>
        <w:t xml:space="preserve"> This is established where an applicant shows that it has some right which is affected by the order.</w:t>
      </w:r>
    </w:p>
    <w:p w:rsidR="00FE74B1" w:rsidRPr="00632327" w:rsidRDefault="00F40390" w:rsidP="009929A4">
      <w:pPr>
        <w:pStyle w:val="level1"/>
        <w:spacing w:after="480" w:line="360" w:lineRule="auto"/>
        <w:ind w:left="0" w:firstLine="0"/>
        <w:jc w:val="both"/>
        <w:rPr>
          <w:lang w:val="en-US"/>
        </w:rPr>
      </w:pPr>
      <w:r>
        <w:rPr>
          <w:lang w:val="en-US"/>
        </w:rPr>
        <w:t>In my view, NUMSA has not illustrated a direct and substantial interest</w:t>
      </w:r>
      <w:r w:rsidR="00632327" w:rsidRPr="00632327">
        <w:rPr>
          <w:lang w:val="en-US"/>
        </w:rPr>
        <w:t xml:space="preserve"> </w:t>
      </w:r>
      <w:r w:rsidR="00963D71" w:rsidRPr="00632327">
        <w:rPr>
          <w:lang w:val="en-US"/>
        </w:rPr>
        <w:t xml:space="preserve">as </w:t>
      </w:r>
      <w:r w:rsidR="00FE74B1" w:rsidRPr="00632327">
        <w:rPr>
          <w:lang w:val="en-US"/>
        </w:rPr>
        <w:t xml:space="preserve">the interests contended for are those of different entities. </w:t>
      </w:r>
      <w:r w:rsidR="00632327">
        <w:rPr>
          <w:lang w:val="en-US"/>
        </w:rPr>
        <w:t xml:space="preserve"> </w:t>
      </w:r>
      <w:r w:rsidR="00EB62BD" w:rsidRPr="00632327">
        <w:rPr>
          <w:lang w:val="en-US"/>
        </w:rPr>
        <w:t>It follows that NUMSA’s a</w:t>
      </w:r>
      <w:r w:rsidR="00FE74B1" w:rsidRPr="00632327">
        <w:rPr>
          <w:lang w:val="en-US"/>
        </w:rPr>
        <w:t xml:space="preserve">pplication for leave to intervene must fail. </w:t>
      </w:r>
      <w:r>
        <w:rPr>
          <w:lang w:val="en-US"/>
        </w:rPr>
        <w:t xml:space="preserve">I will later deal with the </w:t>
      </w:r>
      <w:r w:rsidR="00FE74B1" w:rsidRPr="00632327">
        <w:rPr>
          <w:lang w:val="en-US"/>
        </w:rPr>
        <w:t>costs</w:t>
      </w:r>
      <w:r>
        <w:rPr>
          <w:lang w:val="en-US"/>
        </w:rPr>
        <w:t>.</w:t>
      </w:r>
      <w:r w:rsidR="00FE74B1" w:rsidRPr="00632327">
        <w:rPr>
          <w:lang w:val="en-US"/>
        </w:rPr>
        <w:t xml:space="preserve"> </w:t>
      </w:r>
      <w:r w:rsidR="00EB62BD" w:rsidRPr="00632327">
        <w:rPr>
          <w:lang w:val="en-US"/>
        </w:rPr>
        <w:t>I</w:t>
      </w:r>
      <w:r>
        <w:rPr>
          <w:lang w:val="en-US"/>
        </w:rPr>
        <w:t>n light of the conclusion reached i</w:t>
      </w:r>
      <w:r w:rsidR="00EB62BD" w:rsidRPr="00632327">
        <w:rPr>
          <w:lang w:val="en-US"/>
        </w:rPr>
        <w:t xml:space="preserve">t is </w:t>
      </w:r>
      <w:r w:rsidR="00FE74B1" w:rsidRPr="00632327">
        <w:rPr>
          <w:lang w:val="en-US"/>
        </w:rPr>
        <w:t xml:space="preserve">not necessary to </w:t>
      </w:r>
      <w:r>
        <w:rPr>
          <w:lang w:val="en-US"/>
        </w:rPr>
        <w:t>consider the Authority’s</w:t>
      </w:r>
      <w:r w:rsidR="00FE74B1" w:rsidRPr="00632327">
        <w:rPr>
          <w:lang w:val="en-US"/>
        </w:rPr>
        <w:t xml:space="preserve"> r</w:t>
      </w:r>
      <w:r w:rsidR="009507F9" w:rsidRPr="00632327">
        <w:rPr>
          <w:lang w:val="en-US"/>
        </w:rPr>
        <w:t xml:space="preserve">ule </w:t>
      </w:r>
      <w:r w:rsidR="00FE74B1" w:rsidRPr="00632327">
        <w:rPr>
          <w:lang w:val="en-US"/>
        </w:rPr>
        <w:t>7</w:t>
      </w:r>
      <w:r>
        <w:rPr>
          <w:lang w:val="en-US"/>
        </w:rPr>
        <w:t xml:space="preserve"> challenge</w:t>
      </w:r>
      <w:r w:rsidR="00FE74B1" w:rsidRPr="00632327">
        <w:rPr>
          <w:lang w:val="en-US"/>
        </w:rPr>
        <w:t xml:space="preserve">. </w:t>
      </w:r>
    </w:p>
    <w:p w:rsidR="00A63A93" w:rsidRDefault="00A63A93" w:rsidP="00486EEA">
      <w:pPr>
        <w:pStyle w:val="level1"/>
        <w:numPr>
          <w:ilvl w:val="0"/>
          <w:numId w:val="0"/>
        </w:numPr>
        <w:spacing w:after="480" w:line="360" w:lineRule="auto"/>
        <w:jc w:val="both"/>
        <w:rPr>
          <w:lang w:val="en-US"/>
        </w:rPr>
      </w:pPr>
      <w:r>
        <w:rPr>
          <w:lang w:val="en-US"/>
        </w:rPr>
        <w:t>The rule 7 challenge</w:t>
      </w:r>
      <w:r w:rsidR="00632327">
        <w:rPr>
          <w:lang w:val="en-US"/>
        </w:rPr>
        <w:t xml:space="preserve"> to 3Sixty’s attorneys</w:t>
      </w:r>
    </w:p>
    <w:p w:rsidR="004339F3" w:rsidRDefault="00A63A93" w:rsidP="004339F3">
      <w:pPr>
        <w:pStyle w:val="level1"/>
        <w:spacing w:after="480" w:line="360" w:lineRule="auto"/>
        <w:ind w:left="0" w:firstLine="0"/>
        <w:jc w:val="both"/>
        <w:rPr>
          <w:lang w:val="en-US"/>
        </w:rPr>
      </w:pPr>
      <w:r w:rsidRPr="00FB5D84">
        <w:rPr>
          <w:lang w:val="en-US"/>
        </w:rPr>
        <w:t xml:space="preserve">In response to the </w:t>
      </w:r>
      <w:r w:rsidR="00632327" w:rsidRPr="00FB5D84">
        <w:rPr>
          <w:lang w:val="en-US"/>
        </w:rPr>
        <w:t xml:space="preserve">Authority’s </w:t>
      </w:r>
      <w:r w:rsidRPr="00FB5D84">
        <w:rPr>
          <w:lang w:val="en-US"/>
        </w:rPr>
        <w:t xml:space="preserve">rule 7 notice, </w:t>
      </w:r>
      <w:r w:rsidR="00EB62BD" w:rsidRPr="00FB5D84">
        <w:rPr>
          <w:lang w:val="en-US"/>
        </w:rPr>
        <w:t>3Sixty provid</w:t>
      </w:r>
      <w:r w:rsidRPr="00FB5D84">
        <w:rPr>
          <w:lang w:val="en-US"/>
        </w:rPr>
        <w:t>ed</w:t>
      </w:r>
      <w:r w:rsidR="00EB62BD" w:rsidRPr="00FB5D84">
        <w:rPr>
          <w:lang w:val="en-US"/>
        </w:rPr>
        <w:t xml:space="preserve"> a power of attorney issued pursuant to a resolution passed by </w:t>
      </w:r>
      <w:r w:rsidR="001F66A2">
        <w:rPr>
          <w:lang w:val="en-US"/>
        </w:rPr>
        <w:t>it</w:t>
      </w:r>
      <w:r w:rsidR="00EB62BD" w:rsidRPr="00FB5D84">
        <w:rPr>
          <w:lang w:val="en-US"/>
        </w:rPr>
        <w:t xml:space="preserve">s board of directors. </w:t>
      </w:r>
      <w:r w:rsidR="004339F3">
        <w:rPr>
          <w:lang w:val="en-US"/>
        </w:rPr>
        <w:t>It argued that its board of directors retained a residual authority to oppose the confirmation of the provisional order, relying on the authorities applicable to winding up proceedings</w:t>
      </w:r>
      <w:r w:rsidR="00B56F2E">
        <w:rPr>
          <w:lang w:val="en-US"/>
        </w:rPr>
        <w:t>.</w:t>
      </w:r>
      <w:r w:rsidR="004339F3">
        <w:rPr>
          <w:rStyle w:val="FootnoteReference"/>
          <w:lang w:val="en-US"/>
        </w:rPr>
        <w:footnoteReference w:id="3"/>
      </w:r>
      <w:r w:rsidR="004339F3">
        <w:rPr>
          <w:lang w:val="en-US"/>
        </w:rPr>
        <w:t xml:space="preserve"> It further argued that if the directors are denuded of the power to oppose the confirmation of the rule </w:t>
      </w:r>
      <w:r w:rsidR="004339F3" w:rsidRPr="00551316">
        <w:rPr>
          <w:lang w:val="en-US"/>
        </w:rPr>
        <w:t>nisi</w:t>
      </w:r>
      <w:r w:rsidR="004339F3" w:rsidRPr="001F66A2">
        <w:rPr>
          <w:i/>
          <w:lang w:val="en-US"/>
        </w:rPr>
        <w:t xml:space="preserve"> </w:t>
      </w:r>
      <w:r w:rsidR="004339F3">
        <w:rPr>
          <w:lang w:val="en-US"/>
        </w:rPr>
        <w:lastRenderedPageBreak/>
        <w:t>on the return date by virtue of a provisional order, it would infringe on 3Sixty’s constitutional right in terms of s34 of the Constitution</w:t>
      </w:r>
      <w:r w:rsidR="00B56F2E">
        <w:rPr>
          <w:lang w:val="en-US"/>
        </w:rPr>
        <w:t>.</w:t>
      </w:r>
      <w:r w:rsidR="004339F3">
        <w:rPr>
          <w:rStyle w:val="FootnoteReference"/>
          <w:lang w:val="en-US"/>
        </w:rPr>
        <w:footnoteReference w:id="4"/>
      </w:r>
      <w:r w:rsidR="004339F3">
        <w:rPr>
          <w:lang w:val="en-US"/>
        </w:rPr>
        <w:t xml:space="preserve"> </w:t>
      </w:r>
    </w:p>
    <w:p w:rsidR="004339F3" w:rsidRDefault="00EB62BD" w:rsidP="00C85B22">
      <w:pPr>
        <w:pStyle w:val="level1"/>
        <w:spacing w:after="480" w:line="360" w:lineRule="auto"/>
        <w:ind w:left="0" w:firstLine="0"/>
        <w:jc w:val="both"/>
        <w:rPr>
          <w:lang w:val="en-US"/>
        </w:rPr>
      </w:pPr>
      <w:r w:rsidRPr="00F63C70">
        <w:rPr>
          <w:lang w:val="en-US"/>
        </w:rPr>
        <w:t xml:space="preserve">The Authority </w:t>
      </w:r>
      <w:r w:rsidR="004339F3" w:rsidRPr="00F63C70">
        <w:rPr>
          <w:lang w:val="en-US"/>
        </w:rPr>
        <w:t xml:space="preserve">on the other hand </w:t>
      </w:r>
      <w:r w:rsidRPr="00F63C70">
        <w:rPr>
          <w:lang w:val="en-US"/>
        </w:rPr>
        <w:t xml:space="preserve">argued that </w:t>
      </w:r>
      <w:r w:rsidR="0015663B" w:rsidRPr="00F63C70">
        <w:rPr>
          <w:lang w:val="en-US"/>
        </w:rPr>
        <w:t xml:space="preserve">in terms of the provisional </w:t>
      </w:r>
      <w:r w:rsidR="00FE74B1" w:rsidRPr="00F63C70">
        <w:rPr>
          <w:lang w:val="en-US"/>
        </w:rPr>
        <w:t>curator</w:t>
      </w:r>
      <w:r w:rsidR="0015663B" w:rsidRPr="00F63C70">
        <w:rPr>
          <w:lang w:val="en-US"/>
        </w:rPr>
        <w:t>ship order</w:t>
      </w:r>
      <w:r w:rsidRPr="00F63C70">
        <w:rPr>
          <w:lang w:val="en-US"/>
        </w:rPr>
        <w:t>,</w:t>
      </w:r>
      <w:r w:rsidR="00FE74B1" w:rsidRPr="00F63C70">
        <w:rPr>
          <w:lang w:val="en-US"/>
        </w:rPr>
        <w:t xml:space="preserve"> </w:t>
      </w:r>
      <w:r w:rsidR="0015663B" w:rsidRPr="00F63C70">
        <w:rPr>
          <w:lang w:val="en-US"/>
        </w:rPr>
        <w:t xml:space="preserve">only the provisional curator could represent </w:t>
      </w:r>
      <w:r w:rsidR="00695B83">
        <w:rPr>
          <w:lang w:val="en-US"/>
        </w:rPr>
        <w:t xml:space="preserve">3Sixty </w:t>
      </w:r>
      <w:r w:rsidR="0015663B" w:rsidRPr="00F63C70">
        <w:rPr>
          <w:lang w:val="en-US"/>
        </w:rPr>
        <w:t xml:space="preserve">as </w:t>
      </w:r>
      <w:r w:rsidR="00695B83">
        <w:rPr>
          <w:lang w:val="en-US"/>
        </w:rPr>
        <w:t>it</w:t>
      </w:r>
      <w:r w:rsidRPr="00F63C70">
        <w:rPr>
          <w:lang w:val="en-US"/>
        </w:rPr>
        <w:t xml:space="preserve">s </w:t>
      </w:r>
      <w:r w:rsidR="00FE74B1" w:rsidRPr="00F63C70">
        <w:rPr>
          <w:lang w:val="en-US"/>
        </w:rPr>
        <w:t xml:space="preserve">board of directors and management </w:t>
      </w:r>
      <w:r w:rsidR="0015663B" w:rsidRPr="00F63C70">
        <w:rPr>
          <w:lang w:val="en-US"/>
        </w:rPr>
        <w:t>had been</w:t>
      </w:r>
      <w:r w:rsidR="00FE74B1" w:rsidRPr="00F63C70">
        <w:rPr>
          <w:lang w:val="en-US"/>
        </w:rPr>
        <w:t xml:space="preserve"> provisionally divested of all their power and authority in relation to its affairs</w:t>
      </w:r>
      <w:r w:rsidR="00695B83">
        <w:rPr>
          <w:lang w:val="en-US"/>
        </w:rPr>
        <w:t xml:space="preserve">. </w:t>
      </w:r>
      <w:r w:rsidR="001F66A2">
        <w:rPr>
          <w:lang w:val="en-US"/>
        </w:rPr>
        <w:t>It further argued that the principles pertaining to</w:t>
      </w:r>
      <w:r w:rsidR="004339F3" w:rsidRPr="00F63C70">
        <w:rPr>
          <w:lang w:val="en-US"/>
        </w:rPr>
        <w:t xml:space="preserve"> </w:t>
      </w:r>
      <w:r w:rsidR="001F66A2">
        <w:rPr>
          <w:lang w:val="en-US"/>
        </w:rPr>
        <w:t xml:space="preserve">residual authority in </w:t>
      </w:r>
      <w:r w:rsidR="004339F3" w:rsidRPr="00F63C70">
        <w:rPr>
          <w:lang w:val="en-US"/>
        </w:rPr>
        <w:t>winding up proceedings</w:t>
      </w:r>
      <w:r w:rsidR="001F66A2">
        <w:rPr>
          <w:lang w:val="en-US"/>
        </w:rPr>
        <w:t xml:space="preserve"> were thus not applicable.</w:t>
      </w:r>
      <w:r w:rsidR="00FE74B1" w:rsidRPr="00F63C70">
        <w:rPr>
          <w:lang w:val="en-US"/>
        </w:rPr>
        <w:t xml:space="preserve"> </w:t>
      </w:r>
      <w:r w:rsidR="004339F3" w:rsidRPr="00F63C70">
        <w:rPr>
          <w:lang w:val="en-US"/>
        </w:rPr>
        <w:t xml:space="preserve">Reliance was placed on the judgment of </w:t>
      </w:r>
      <w:proofErr w:type="spellStart"/>
      <w:r w:rsidR="004339F3" w:rsidRPr="00F63C70">
        <w:rPr>
          <w:lang w:val="en-US"/>
        </w:rPr>
        <w:t>Kollapen</w:t>
      </w:r>
      <w:proofErr w:type="spellEnd"/>
      <w:r w:rsidR="004339F3" w:rsidRPr="00F63C70">
        <w:rPr>
          <w:lang w:val="en-US"/>
        </w:rPr>
        <w:t xml:space="preserve"> J in </w:t>
      </w:r>
      <w:r w:rsidR="004339F3" w:rsidRPr="00F63C70">
        <w:rPr>
          <w:i/>
          <w:lang w:val="en-US"/>
        </w:rPr>
        <w:t xml:space="preserve">Registrar of Medical Schemes v </w:t>
      </w:r>
      <w:proofErr w:type="spellStart"/>
      <w:r w:rsidR="004339F3" w:rsidRPr="00F63C70">
        <w:rPr>
          <w:i/>
          <w:lang w:val="en-US"/>
        </w:rPr>
        <w:t>Keyhealth</w:t>
      </w:r>
      <w:proofErr w:type="spellEnd"/>
      <w:r w:rsidR="004339F3" w:rsidRPr="00F63C70">
        <w:rPr>
          <w:i/>
          <w:lang w:val="en-US"/>
        </w:rPr>
        <w:t xml:space="preserve"> Medical Scheme and Others</w:t>
      </w:r>
      <w:r w:rsidR="004339F3">
        <w:rPr>
          <w:rStyle w:val="FootnoteReference"/>
          <w:lang w:val="en-US"/>
        </w:rPr>
        <w:footnoteReference w:id="5"/>
      </w:r>
      <w:r w:rsidR="004339F3" w:rsidRPr="00F63C70">
        <w:rPr>
          <w:i/>
          <w:lang w:val="en-US"/>
        </w:rPr>
        <w:t xml:space="preserve"> (“</w:t>
      </w:r>
      <w:proofErr w:type="spellStart"/>
      <w:r w:rsidR="004339F3" w:rsidRPr="00F63C70">
        <w:rPr>
          <w:i/>
          <w:lang w:val="en-US"/>
        </w:rPr>
        <w:t>Keyhealth</w:t>
      </w:r>
      <w:proofErr w:type="spellEnd"/>
      <w:r w:rsidR="004339F3" w:rsidRPr="00F63C70">
        <w:rPr>
          <w:i/>
          <w:lang w:val="en-US"/>
        </w:rPr>
        <w:t>”)</w:t>
      </w:r>
      <w:r w:rsidR="0084603A">
        <w:rPr>
          <w:i/>
          <w:lang w:val="en-US"/>
        </w:rPr>
        <w:t>.</w:t>
      </w:r>
      <w:r w:rsidR="00F759A5">
        <w:rPr>
          <w:lang w:val="en-US"/>
        </w:rPr>
        <w:t xml:space="preserve"> </w:t>
      </w:r>
    </w:p>
    <w:p w:rsidR="00E77B6B" w:rsidRDefault="00E77B6B" w:rsidP="00E77B6B">
      <w:pPr>
        <w:pStyle w:val="level1"/>
        <w:spacing w:after="480" w:line="360" w:lineRule="auto"/>
        <w:ind w:left="0" w:firstLine="0"/>
        <w:jc w:val="both"/>
        <w:rPr>
          <w:lang w:val="en-US"/>
        </w:rPr>
      </w:pPr>
      <w:r>
        <w:rPr>
          <w:lang w:val="en-US"/>
        </w:rPr>
        <w:t xml:space="preserve">In </w:t>
      </w:r>
      <w:proofErr w:type="spellStart"/>
      <w:r w:rsidRPr="005F3C6F">
        <w:rPr>
          <w:i/>
          <w:lang w:val="en-US"/>
        </w:rPr>
        <w:t>Keyhealth</w:t>
      </w:r>
      <w:proofErr w:type="spellEnd"/>
      <w:r>
        <w:rPr>
          <w:lang w:val="en-US"/>
        </w:rPr>
        <w:t xml:space="preserve">, the trustees of the respondent, collectively acting as its board and in the alternative in their personal capacities sought leave to intervene to seek the setting aside of a provisional curatorship order. </w:t>
      </w:r>
      <w:proofErr w:type="spellStart"/>
      <w:r>
        <w:rPr>
          <w:lang w:val="en-US"/>
        </w:rPr>
        <w:t>Keyhealth</w:t>
      </w:r>
      <w:proofErr w:type="spellEnd"/>
      <w:r>
        <w:rPr>
          <w:lang w:val="en-US"/>
        </w:rPr>
        <w:t xml:space="preserve">, represented by </w:t>
      </w:r>
      <w:r w:rsidR="00657DC7">
        <w:rPr>
          <w:lang w:val="en-US"/>
        </w:rPr>
        <w:t>its</w:t>
      </w:r>
      <w:r>
        <w:rPr>
          <w:lang w:val="en-US"/>
        </w:rPr>
        <w:t xml:space="preserve"> provisional curator, opposed the intervention application. </w:t>
      </w:r>
      <w:r w:rsidR="00F759A5">
        <w:rPr>
          <w:lang w:val="en-US"/>
        </w:rPr>
        <w:t xml:space="preserve">Although granting the trustees leave to intervene </w:t>
      </w:r>
      <w:r w:rsidR="00660796">
        <w:rPr>
          <w:lang w:val="en-US"/>
        </w:rPr>
        <w:t>i</w:t>
      </w:r>
      <w:r w:rsidR="00F759A5">
        <w:rPr>
          <w:lang w:val="en-US"/>
        </w:rPr>
        <w:t>n their personal capacities by virtue of the interest they ha</w:t>
      </w:r>
      <w:r w:rsidR="00657DC7">
        <w:rPr>
          <w:lang w:val="en-US"/>
        </w:rPr>
        <w:t>d</w:t>
      </w:r>
      <w:r w:rsidR="00F759A5">
        <w:rPr>
          <w:lang w:val="en-US"/>
        </w:rPr>
        <w:t xml:space="preserve"> in the proceedings, </w:t>
      </w:r>
      <w:r w:rsidR="00660796">
        <w:rPr>
          <w:lang w:val="en-US"/>
        </w:rPr>
        <w:t xml:space="preserve">leave was refused to the board to intervene. </w:t>
      </w:r>
      <w:proofErr w:type="spellStart"/>
      <w:r>
        <w:rPr>
          <w:lang w:val="en-US"/>
        </w:rPr>
        <w:t>Kollapen</w:t>
      </w:r>
      <w:proofErr w:type="spellEnd"/>
      <w:r>
        <w:rPr>
          <w:lang w:val="en-US"/>
        </w:rPr>
        <w:t xml:space="preserve"> J held</w:t>
      </w:r>
      <w:r>
        <w:rPr>
          <w:rStyle w:val="FootnoteReference"/>
          <w:lang w:val="en-US"/>
        </w:rPr>
        <w:footnoteReference w:id="6"/>
      </w:r>
      <w:r>
        <w:rPr>
          <w:lang w:val="en-US"/>
        </w:rPr>
        <w:t xml:space="preserve">: </w:t>
      </w:r>
    </w:p>
    <w:p w:rsidR="00257594" w:rsidRDefault="00E77B6B" w:rsidP="00E77B6B">
      <w:pPr>
        <w:pStyle w:val="level1"/>
        <w:numPr>
          <w:ilvl w:val="0"/>
          <w:numId w:val="0"/>
        </w:numPr>
        <w:spacing w:after="480"/>
        <w:jc w:val="both"/>
        <w:rPr>
          <w:i/>
          <w:sz w:val="20"/>
          <w:szCs w:val="20"/>
          <w:lang w:val="en-US"/>
        </w:rPr>
      </w:pPr>
      <w:r w:rsidRPr="00102F28">
        <w:rPr>
          <w:i/>
          <w:sz w:val="20"/>
          <w:szCs w:val="20"/>
          <w:lang w:val="en-US"/>
        </w:rPr>
        <w:t>“</w:t>
      </w:r>
      <w:r w:rsidR="00257594">
        <w:rPr>
          <w:i/>
          <w:sz w:val="20"/>
          <w:szCs w:val="20"/>
          <w:lang w:val="en-US"/>
        </w:rPr>
        <w:t>[18]</w:t>
      </w:r>
      <w:r w:rsidR="005670C4">
        <w:rPr>
          <w:i/>
          <w:sz w:val="20"/>
          <w:szCs w:val="20"/>
          <w:lang w:val="en-US"/>
        </w:rPr>
        <w:t xml:space="preserve"> </w:t>
      </w:r>
      <w:r w:rsidR="00257594">
        <w:rPr>
          <w:i/>
          <w:sz w:val="20"/>
          <w:szCs w:val="20"/>
          <w:lang w:val="en-US"/>
        </w:rPr>
        <w:t xml:space="preserve"> </w:t>
      </w:r>
      <w:r w:rsidRPr="00102F28">
        <w:rPr>
          <w:i/>
          <w:sz w:val="20"/>
          <w:szCs w:val="20"/>
          <w:lang w:val="en-US"/>
        </w:rPr>
        <w:t xml:space="preserve">It is common cause that the current trustees of the respondent no longer exercise any control over the respondent, in particular in light of the order of this Court of 16 September 2020 which expressly </w:t>
      </w:r>
      <w:proofErr w:type="spellStart"/>
      <w:r w:rsidRPr="00102F28">
        <w:rPr>
          <w:i/>
          <w:sz w:val="20"/>
          <w:szCs w:val="20"/>
          <w:lang w:val="en-US"/>
        </w:rPr>
        <w:t>authorises</w:t>
      </w:r>
      <w:proofErr w:type="spellEnd"/>
      <w:r w:rsidRPr="00102F28">
        <w:rPr>
          <w:i/>
          <w:sz w:val="20"/>
          <w:szCs w:val="20"/>
          <w:lang w:val="en-US"/>
        </w:rPr>
        <w:t xml:space="preserve"> the curator to take immediate control and in the place of the board of trustees manage the business and operations of the respondent. They accordingly cannot seek to intervene as the board o</w:t>
      </w:r>
      <w:r>
        <w:rPr>
          <w:i/>
          <w:sz w:val="20"/>
          <w:szCs w:val="20"/>
          <w:lang w:val="en-US"/>
        </w:rPr>
        <w:t>f</w:t>
      </w:r>
      <w:r w:rsidRPr="00102F28">
        <w:rPr>
          <w:i/>
          <w:sz w:val="20"/>
          <w:szCs w:val="20"/>
          <w:lang w:val="en-US"/>
        </w:rPr>
        <w:t xml:space="preserve"> the respondent as such a board does not exist for now or at the very least is not functional nor possessed of any power or authority. It is the curator who now manages the respondent and who has also assumed the powe</w:t>
      </w:r>
      <w:r w:rsidR="00257594">
        <w:rPr>
          <w:i/>
          <w:sz w:val="20"/>
          <w:szCs w:val="20"/>
          <w:lang w:val="en-US"/>
        </w:rPr>
        <w:t>rs of the boa</w:t>
      </w:r>
      <w:r w:rsidRPr="00102F28">
        <w:rPr>
          <w:i/>
          <w:sz w:val="20"/>
          <w:szCs w:val="20"/>
          <w:lang w:val="en-US"/>
        </w:rPr>
        <w:t>r</w:t>
      </w:r>
      <w:r w:rsidR="00257594">
        <w:rPr>
          <w:i/>
          <w:sz w:val="20"/>
          <w:szCs w:val="20"/>
          <w:lang w:val="en-US"/>
        </w:rPr>
        <w:t>d.”</w:t>
      </w:r>
    </w:p>
    <w:p w:rsidR="005F3C6F" w:rsidRDefault="00657DC7" w:rsidP="005F3C6F">
      <w:pPr>
        <w:pStyle w:val="level1"/>
        <w:spacing w:after="480" w:line="360" w:lineRule="auto"/>
        <w:ind w:left="0" w:firstLine="0"/>
        <w:jc w:val="both"/>
        <w:rPr>
          <w:lang w:val="en-US"/>
        </w:rPr>
      </w:pPr>
      <w:r>
        <w:rPr>
          <w:lang w:val="en-US"/>
        </w:rPr>
        <w:t>T</w:t>
      </w:r>
      <w:r w:rsidR="005F3C6F">
        <w:rPr>
          <w:lang w:val="en-US"/>
        </w:rPr>
        <w:t xml:space="preserve">he </w:t>
      </w:r>
      <w:r>
        <w:rPr>
          <w:lang w:val="en-US"/>
        </w:rPr>
        <w:t>relevant p</w:t>
      </w:r>
      <w:r w:rsidR="00551316">
        <w:rPr>
          <w:lang w:val="en-US"/>
        </w:rPr>
        <w:t>o</w:t>
      </w:r>
      <w:r>
        <w:rPr>
          <w:lang w:val="en-US"/>
        </w:rPr>
        <w:t>r</w:t>
      </w:r>
      <w:r w:rsidR="00551316">
        <w:rPr>
          <w:lang w:val="en-US"/>
        </w:rPr>
        <w:t>ti</w:t>
      </w:r>
      <w:r>
        <w:rPr>
          <w:lang w:val="en-US"/>
        </w:rPr>
        <w:t xml:space="preserve">ons of the </w:t>
      </w:r>
      <w:r w:rsidR="005F3C6F">
        <w:rPr>
          <w:lang w:val="en-US"/>
        </w:rPr>
        <w:t>provisional order of 21 December 2021</w:t>
      </w:r>
      <w:r w:rsidR="00FC663C">
        <w:rPr>
          <w:lang w:val="en-US"/>
        </w:rPr>
        <w:t xml:space="preserve"> </w:t>
      </w:r>
      <w:r w:rsidR="005F3C6F">
        <w:rPr>
          <w:lang w:val="en-US"/>
        </w:rPr>
        <w:t>provide:</w:t>
      </w:r>
    </w:p>
    <w:p w:rsidR="005F3C6F" w:rsidRDefault="005F3C6F" w:rsidP="005F3C6F">
      <w:pPr>
        <w:pStyle w:val="level1"/>
        <w:numPr>
          <w:ilvl w:val="0"/>
          <w:numId w:val="0"/>
        </w:numPr>
        <w:spacing w:after="480"/>
        <w:jc w:val="both"/>
        <w:rPr>
          <w:i/>
          <w:sz w:val="20"/>
          <w:szCs w:val="20"/>
          <w:lang w:val="en-US"/>
        </w:rPr>
      </w:pPr>
      <w:r w:rsidRPr="004908DE">
        <w:rPr>
          <w:i/>
          <w:sz w:val="20"/>
          <w:szCs w:val="20"/>
          <w:lang w:val="en-US"/>
        </w:rPr>
        <w:t xml:space="preserve"> “5</w:t>
      </w:r>
      <w:r>
        <w:rPr>
          <w:i/>
          <w:sz w:val="20"/>
          <w:szCs w:val="20"/>
          <w:lang w:val="en-US"/>
        </w:rPr>
        <w:t xml:space="preserve"> </w:t>
      </w:r>
      <w:r w:rsidRPr="004908DE">
        <w:rPr>
          <w:i/>
          <w:sz w:val="20"/>
          <w:szCs w:val="20"/>
          <w:lang w:val="en-US"/>
        </w:rPr>
        <w:t>Any other person (including but not limited to directors) now vested with management of 3Sixty, be and is hereby provisionally divested thereof.</w:t>
      </w:r>
    </w:p>
    <w:p w:rsidR="005F3C6F" w:rsidRDefault="005F3C6F" w:rsidP="005F3C6F">
      <w:pPr>
        <w:pStyle w:val="level1"/>
        <w:numPr>
          <w:ilvl w:val="0"/>
          <w:numId w:val="0"/>
        </w:numPr>
        <w:spacing w:after="480"/>
        <w:jc w:val="both"/>
        <w:rPr>
          <w:i/>
          <w:sz w:val="20"/>
          <w:szCs w:val="20"/>
          <w:lang w:val="en-US"/>
        </w:rPr>
      </w:pPr>
      <w:r>
        <w:rPr>
          <w:i/>
          <w:sz w:val="20"/>
          <w:szCs w:val="20"/>
          <w:lang w:val="en-US"/>
        </w:rPr>
        <w:lastRenderedPageBreak/>
        <w:t>7</w:t>
      </w:r>
      <w:r w:rsidRPr="004908DE">
        <w:rPr>
          <w:i/>
          <w:sz w:val="20"/>
          <w:szCs w:val="20"/>
          <w:lang w:val="en-US"/>
        </w:rPr>
        <w:t xml:space="preserve"> Pending the return date</w:t>
      </w:r>
      <w:r>
        <w:rPr>
          <w:i/>
          <w:sz w:val="20"/>
          <w:szCs w:val="20"/>
          <w:lang w:val="en-US"/>
        </w:rPr>
        <w:t xml:space="preserve"> specified hereunder, </w:t>
      </w:r>
      <w:r w:rsidRPr="004908DE">
        <w:rPr>
          <w:i/>
          <w:sz w:val="20"/>
          <w:szCs w:val="20"/>
          <w:lang w:val="en-US"/>
        </w:rPr>
        <w:t xml:space="preserve">the curator </w:t>
      </w:r>
      <w:r>
        <w:rPr>
          <w:i/>
          <w:sz w:val="20"/>
          <w:szCs w:val="20"/>
          <w:lang w:val="en-US"/>
        </w:rPr>
        <w:t>be and is hereby:</w:t>
      </w:r>
    </w:p>
    <w:p w:rsidR="005F3C6F" w:rsidRDefault="005F3C6F" w:rsidP="005F3C6F">
      <w:pPr>
        <w:pStyle w:val="level1"/>
        <w:numPr>
          <w:ilvl w:val="0"/>
          <w:numId w:val="0"/>
        </w:numPr>
        <w:spacing w:after="480"/>
        <w:jc w:val="both"/>
        <w:rPr>
          <w:i/>
          <w:sz w:val="20"/>
          <w:szCs w:val="20"/>
          <w:lang w:val="en-US"/>
        </w:rPr>
      </w:pPr>
      <w:r>
        <w:rPr>
          <w:i/>
          <w:sz w:val="20"/>
          <w:szCs w:val="20"/>
          <w:lang w:val="en-US"/>
        </w:rPr>
        <w:t xml:space="preserve">7.1 </w:t>
      </w:r>
      <w:proofErr w:type="spellStart"/>
      <w:r w:rsidRPr="004908DE">
        <w:rPr>
          <w:i/>
          <w:sz w:val="20"/>
          <w:szCs w:val="20"/>
          <w:lang w:val="en-US"/>
        </w:rPr>
        <w:t>authorised</w:t>
      </w:r>
      <w:proofErr w:type="spellEnd"/>
      <w:r w:rsidRPr="004908DE">
        <w:rPr>
          <w:i/>
          <w:sz w:val="20"/>
          <w:szCs w:val="20"/>
          <w:lang w:val="en-US"/>
        </w:rPr>
        <w:t xml:space="preserve"> to </w:t>
      </w:r>
      <w:r w:rsidR="00657DC7">
        <w:rPr>
          <w:i/>
          <w:sz w:val="20"/>
          <w:szCs w:val="20"/>
          <w:lang w:val="en-US"/>
        </w:rPr>
        <w:t>t</w:t>
      </w:r>
      <w:r w:rsidRPr="004908DE">
        <w:rPr>
          <w:i/>
          <w:sz w:val="20"/>
          <w:szCs w:val="20"/>
          <w:lang w:val="en-US"/>
        </w:rPr>
        <w:t>ake immediate control of, manage and investigate 3Sixty’s business, together with all assets and inter</w:t>
      </w:r>
      <w:r>
        <w:rPr>
          <w:i/>
          <w:sz w:val="20"/>
          <w:szCs w:val="20"/>
          <w:lang w:val="en-US"/>
        </w:rPr>
        <w:t>e</w:t>
      </w:r>
      <w:r w:rsidRPr="004908DE">
        <w:rPr>
          <w:i/>
          <w:sz w:val="20"/>
          <w:szCs w:val="20"/>
          <w:lang w:val="en-US"/>
        </w:rPr>
        <w:t>sts relating to such business, such authority to be exercised subject to t</w:t>
      </w:r>
      <w:r>
        <w:rPr>
          <w:i/>
          <w:sz w:val="20"/>
          <w:szCs w:val="20"/>
          <w:lang w:val="en-US"/>
        </w:rPr>
        <w:t>h</w:t>
      </w:r>
      <w:r w:rsidRPr="004908DE">
        <w:rPr>
          <w:i/>
          <w:sz w:val="20"/>
          <w:szCs w:val="20"/>
          <w:lang w:val="en-US"/>
        </w:rPr>
        <w:t>e control of t</w:t>
      </w:r>
      <w:r>
        <w:rPr>
          <w:i/>
          <w:sz w:val="20"/>
          <w:szCs w:val="20"/>
          <w:lang w:val="en-US"/>
        </w:rPr>
        <w:t>h</w:t>
      </w:r>
      <w:r w:rsidRPr="004908DE">
        <w:rPr>
          <w:i/>
          <w:sz w:val="20"/>
          <w:szCs w:val="20"/>
          <w:lang w:val="en-US"/>
        </w:rPr>
        <w:t>e applicant in accordance with the provisions of s5(6) of t</w:t>
      </w:r>
      <w:r>
        <w:rPr>
          <w:i/>
          <w:sz w:val="20"/>
          <w:szCs w:val="20"/>
          <w:lang w:val="en-US"/>
        </w:rPr>
        <w:t>h</w:t>
      </w:r>
      <w:r w:rsidRPr="004908DE">
        <w:rPr>
          <w:i/>
          <w:sz w:val="20"/>
          <w:szCs w:val="20"/>
          <w:lang w:val="en-US"/>
        </w:rPr>
        <w:t>e Financial Institutions Act, and wit</w:t>
      </w:r>
      <w:r>
        <w:rPr>
          <w:i/>
          <w:sz w:val="20"/>
          <w:szCs w:val="20"/>
          <w:lang w:val="en-US"/>
        </w:rPr>
        <w:t>h</w:t>
      </w:r>
      <w:r w:rsidRPr="004908DE">
        <w:rPr>
          <w:i/>
          <w:sz w:val="20"/>
          <w:szCs w:val="20"/>
          <w:lang w:val="en-US"/>
        </w:rPr>
        <w:t xml:space="preserve"> all suc</w:t>
      </w:r>
      <w:r>
        <w:rPr>
          <w:i/>
          <w:sz w:val="20"/>
          <w:szCs w:val="20"/>
          <w:lang w:val="en-US"/>
        </w:rPr>
        <w:t>h</w:t>
      </w:r>
      <w:r w:rsidRPr="004908DE">
        <w:rPr>
          <w:i/>
          <w:sz w:val="20"/>
          <w:szCs w:val="20"/>
          <w:lang w:val="en-US"/>
        </w:rPr>
        <w:t xml:space="preserve"> rights and obligations as may be pertaining thereto; </w:t>
      </w:r>
    </w:p>
    <w:p w:rsidR="005F3C6F" w:rsidRDefault="005F3C6F" w:rsidP="005F3C6F">
      <w:pPr>
        <w:pStyle w:val="level1"/>
        <w:numPr>
          <w:ilvl w:val="0"/>
          <w:numId w:val="0"/>
        </w:numPr>
        <w:spacing w:after="480"/>
        <w:jc w:val="both"/>
        <w:rPr>
          <w:i/>
          <w:sz w:val="20"/>
          <w:szCs w:val="20"/>
          <w:lang w:val="en-US"/>
        </w:rPr>
      </w:pPr>
      <w:r w:rsidRPr="004908DE">
        <w:rPr>
          <w:i/>
          <w:sz w:val="20"/>
          <w:szCs w:val="20"/>
          <w:lang w:val="en-US"/>
        </w:rPr>
        <w:t xml:space="preserve">7.2 vested with all executive powers which would ordinarily be vested in, and exercised by, the board of directors, members of managers of 3Sixty, whether by law or by virtue of its memorandum of </w:t>
      </w:r>
      <w:r>
        <w:rPr>
          <w:i/>
          <w:sz w:val="20"/>
          <w:szCs w:val="20"/>
          <w:lang w:val="en-US"/>
        </w:rPr>
        <w:t>incorporation,</w:t>
      </w:r>
      <w:r w:rsidRPr="004908DE">
        <w:rPr>
          <w:i/>
          <w:sz w:val="20"/>
          <w:szCs w:val="20"/>
          <w:lang w:val="en-US"/>
        </w:rPr>
        <w:t xml:space="preserve"> and the present directors, members or managers of 3Sixty are divested of all such powers in relation to 3Sixty; </w:t>
      </w:r>
    </w:p>
    <w:p w:rsidR="005F3C6F" w:rsidRDefault="005F3C6F" w:rsidP="005F3C6F">
      <w:pPr>
        <w:pStyle w:val="level1"/>
        <w:numPr>
          <w:ilvl w:val="0"/>
          <w:numId w:val="0"/>
        </w:numPr>
        <w:spacing w:after="480"/>
        <w:jc w:val="both"/>
        <w:rPr>
          <w:i/>
          <w:sz w:val="20"/>
          <w:szCs w:val="20"/>
          <w:lang w:val="en-US"/>
        </w:rPr>
      </w:pPr>
      <w:r w:rsidRPr="004908DE">
        <w:rPr>
          <w:i/>
          <w:sz w:val="20"/>
          <w:szCs w:val="20"/>
          <w:lang w:val="en-US"/>
        </w:rPr>
        <w:t xml:space="preserve">7.10 </w:t>
      </w:r>
      <w:proofErr w:type="spellStart"/>
      <w:r w:rsidRPr="004908DE">
        <w:rPr>
          <w:i/>
          <w:sz w:val="20"/>
          <w:szCs w:val="20"/>
          <w:lang w:val="en-US"/>
        </w:rPr>
        <w:t>authorised</w:t>
      </w:r>
      <w:proofErr w:type="spellEnd"/>
      <w:r w:rsidRPr="004908DE">
        <w:rPr>
          <w:i/>
          <w:sz w:val="20"/>
          <w:szCs w:val="20"/>
          <w:lang w:val="en-US"/>
        </w:rPr>
        <w:t xml:space="preserve"> to institute or prosecute any legal proceedings on behalf of 3Sixty and to defend any litigation brought against 3Sixty. </w:t>
      </w:r>
    </w:p>
    <w:p w:rsidR="00F403D6" w:rsidRDefault="005F3C6F" w:rsidP="005F3C6F">
      <w:pPr>
        <w:pStyle w:val="level1"/>
        <w:numPr>
          <w:ilvl w:val="0"/>
          <w:numId w:val="0"/>
        </w:numPr>
        <w:spacing w:after="480"/>
        <w:jc w:val="both"/>
        <w:rPr>
          <w:i/>
          <w:sz w:val="20"/>
          <w:szCs w:val="20"/>
          <w:lang w:val="en-US"/>
        </w:rPr>
      </w:pPr>
      <w:r w:rsidRPr="004908DE">
        <w:rPr>
          <w:i/>
          <w:sz w:val="20"/>
          <w:szCs w:val="20"/>
          <w:lang w:val="en-US"/>
        </w:rPr>
        <w:t>8 A rule nisi is hereby issued calling upon 3Sixty or any other interested party to s</w:t>
      </w:r>
      <w:r>
        <w:rPr>
          <w:i/>
          <w:sz w:val="20"/>
          <w:szCs w:val="20"/>
          <w:lang w:val="en-US"/>
        </w:rPr>
        <w:t>h</w:t>
      </w:r>
      <w:r w:rsidRPr="004908DE">
        <w:rPr>
          <w:i/>
          <w:sz w:val="20"/>
          <w:szCs w:val="20"/>
          <w:lang w:val="en-US"/>
        </w:rPr>
        <w:t>ow cause …why a final order s</w:t>
      </w:r>
      <w:r>
        <w:rPr>
          <w:i/>
          <w:sz w:val="20"/>
          <w:szCs w:val="20"/>
          <w:lang w:val="en-US"/>
        </w:rPr>
        <w:t>h</w:t>
      </w:r>
      <w:r w:rsidRPr="004908DE">
        <w:rPr>
          <w:i/>
          <w:sz w:val="20"/>
          <w:szCs w:val="20"/>
          <w:lang w:val="en-US"/>
        </w:rPr>
        <w:t>ould not be made</w:t>
      </w:r>
      <w:r>
        <w:rPr>
          <w:i/>
          <w:sz w:val="20"/>
          <w:szCs w:val="20"/>
          <w:lang w:val="en-US"/>
        </w:rPr>
        <w:t xml:space="preserve"> in the following terms: </w:t>
      </w:r>
    </w:p>
    <w:p w:rsidR="007566EC" w:rsidRDefault="005F3C6F" w:rsidP="005F3C6F">
      <w:pPr>
        <w:pStyle w:val="level1"/>
        <w:numPr>
          <w:ilvl w:val="0"/>
          <w:numId w:val="0"/>
        </w:numPr>
        <w:spacing w:after="480"/>
        <w:jc w:val="both"/>
        <w:rPr>
          <w:i/>
          <w:sz w:val="20"/>
          <w:szCs w:val="20"/>
          <w:lang w:val="en-US"/>
        </w:rPr>
      </w:pPr>
      <w:r>
        <w:rPr>
          <w:i/>
          <w:sz w:val="20"/>
          <w:szCs w:val="20"/>
          <w:lang w:val="en-US"/>
        </w:rPr>
        <w:t>8.1 confirming and rendering final the orders referred to in paragraphs 3, 4 and 5 above and finally conferring on the curator the powers and duties set out in paragraph 7 above;</w:t>
      </w:r>
    </w:p>
    <w:p w:rsidR="00657DC7" w:rsidRDefault="00F403D6" w:rsidP="005F3C6F">
      <w:pPr>
        <w:pStyle w:val="level1"/>
        <w:numPr>
          <w:ilvl w:val="0"/>
          <w:numId w:val="0"/>
        </w:numPr>
        <w:spacing w:after="480"/>
        <w:jc w:val="both"/>
        <w:rPr>
          <w:i/>
          <w:sz w:val="20"/>
          <w:szCs w:val="20"/>
          <w:lang w:val="en-US"/>
        </w:rPr>
      </w:pPr>
      <w:r>
        <w:rPr>
          <w:i/>
          <w:sz w:val="20"/>
          <w:szCs w:val="20"/>
          <w:lang w:val="en-US"/>
        </w:rPr>
        <w:t xml:space="preserve">8.3 3Sixty shall pay, alternatively the curator shall pay from the assets held by or under the control of 3Sixty: </w:t>
      </w:r>
    </w:p>
    <w:p w:rsidR="00F403D6" w:rsidRDefault="00F403D6" w:rsidP="005F3C6F">
      <w:pPr>
        <w:pStyle w:val="level1"/>
        <w:numPr>
          <w:ilvl w:val="0"/>
          <w:numId w:val="0"/>
        </w:numPr>
        <w:spacing w:after="480"/>
        <w:jc w:val="both"/>
        <w:rPr>
          <w:i/>
          <w:sz w:val="20"/>
          <w:szCs w:val="20"/>
          <w:lang w:val="en-US"/>
        </w:rPr>
      </w:pPr>
      <w:r>
        <w:rPr>
          <w:i/>
          <w:sz w:val="20"/>
          <w:szCs w:val="20"/>
          <w:lang w:val="en-US"/>
        </w:rPr>
        <w:t xml:space="preserve">8.3.1 </w:t>
      </w:r>
      <w:proofErr w:type="gramStart"/>
      <w:r>
        <w:rPr>
          <w:i/>
          <w:sz w:val="20"/>
          <w:szCs w:val="20"/>
          <w:lang w:val="en-US"/>
        </w:rPr>
        <w:t>the</w:t>
      </w:r>
      <w:proofErr w:type="gramEnd"/>
      <w:r>
        <w:rPr>
          <w:i/>
          <w:sz w:val="20"/>
          <w:szCs w:val="20"/>
          <w:lang w:val="en-US"/>
        </w:rPr>
        <w:t xml:space="preserve"> costs of these proceedings only in the event of 3Sixty’s opposition of this application;</w:t>
      </w:r>
    </w:p>
    <w:p w:rsidR="005F3C6F" w:rsidRPr="004908DE" w:rsidRDefault="005F3C6F" w:rsidP="005F3C6F">
      <w:pPr>
        <w:pStyle w:val="level1"/>
        <w:numPr>
          <w:ilvl w:val="0"/>
          <w:numId w:val="0"/>
        </w:numPr>
        <w:spacing w:after="480"/>
        <w:jc w:val="both"/>
        <w:rPr>
          <w:i/>
          <w:sz w:val="20"/>
          <w:szCs w:val="20"/>
          <w:lang w:val="en-US"/>
        </w:rPr>
      </w:pPr>
      <w:r w:rsidRPr="004908DE">
        <w:rPr>
          <w:i/>
          <w:sz w:val="20"/>
          <w:szCs w:val="20"/>
          <w:lang w:val="en-US"/>
        </w:rPr>
        <w:t>11 I</w:t>
      </w:r>
      <w:r>
        <w:rPr>
          <w:i/>
          <w:sz w:val="20"/>
          <w:szCs w:val="20"/>
          <w:lang w:val="en-US"/>
        </w:rPr>
        <w:t>n</w:t>
      </w:r>
      <w:r w:rsidRPr="004908DE">
        <w:rPr>
          <w:i/>
          <w:sz w:val="20"/>
          <w:szCs w:val="20"/>
          <w:lang w:val="en-US"/>
        </w:rPr>
        <w:t xml:space="preserve"> the event that 3Sixty or any other interested party wishes to oppose the confirmation of the rule, it must lodge such intention to oppose, together with an affidavit in support of such opposition, with the </w:t>
      </w:r>
      <w:r>
        <w:rPr>
          <w:i/>
          <w:sz w:val="20"/>
          <w:szCs w:val="20"/>
          <w:lang w:val="en-US"/>
        </w:rPr>
        <w:t>re</w:t>
      </w:r>
      <w:r w:rsidRPr="004908DE">
        <w:rPr>
          <w:i/>
          <w:sz w:val="20"/>
          <w:szCs w:val="20"/>
          <w:lang w:val="en-US"/>
        </w:rPr>
        <w:t>gistrar…</w:t>
      </w:r>
      <w:proofErr w:type="gramStart"/>
      <w:r>
        <w:rPr>
          <w:i/>
          <w:sz w:val="20"/>
          <w:szCs w:val="20"/>
          <w:lang w:val="en-US"/>
        </w:rPr>
        <w:t>”</w:t>
      </w:r>
      <w:r w:rsidRPr="004908DE">
        <w:rPr>
          <w:i/>
          <w:sz w:val="20"/>
          <w:szCs w:val="20"/>
          <w:lang w:val="en-US"/>
        </w:rPr>
        <w:t>.</w:t>
      </w:r>
      <w:proofErr w:type="gramEnd"/>
    </w:p>
    <w:p w:rsidR="002844C8" w:rsidRDefault="00A7361D" w:rsidP="005F3C6F">
      <w:pPr>
        <w:pStyle w:val="level1"/>
        <w:spacing w:after="480" w:line="360" w:lineRule="auto"/>
        <w:ind w:left="0" w:firstLine="0"/>
        <w:jc w:val="both"/>
        <w:rPr>
          <w:lang w:val="en-US"/>
        </w:rPr>
      </w:pPr>
      <w:r>
        <w:rPr>
          <w:lang w:val="en-US"/>
        </w:rPr>
        <w:t xml:space="preserve">The appointment of curators </w:t>
      </w:r>
      <w:r w:rsidR="00657DC7">
        <w:rPr>
          <w:lang w:val="en-US"/>
        </w:rPr>
        <w:t>is</w:t>
      </w:r>
      <w:r>
        <w:rPr>
          <w:lang w:val="en-US"/>
        </w:rPr>
        <w:t xml:space="preserve"> regulated by s</w:t>
      </w:r>
      <w:r w:rsidR="00657DC7">
        <w:rPr>
          <w:lang w:val="en-US"/>
        </w:rPr>
        <w:t>ection</w:t>
      </w:r>
      <w:r>
        <w:rPr>
          <w:lang w:val="en-US"/>
        </w:rPr>
        <w:t xml:space="preserve"> 5 of the </w:t>
      </w:r>
      <w:r w:rsidR="000D3625" w:rsidRPr="008165D2">
        <w:rPr>
          <w:lang w:val="en-US"/>
        </w:rPr>
        <w:t>Financial Institutions (Protection of Funds) Act</w:t>
      </w:r>
      <w:r w:rsidR="000D3625">
        <w:rPr>
          <w:rStyle w:val="FootnoteReference"/>
          <w:lang w:val="en-US"/>
        </w:rPr>
        <w:footnoteReference w:id="7"/>
      </w:r>
      <w:r w:rsidR="000D3625" w:rsidRPr="008165D2">
        <w:rPr>
          <w:lang w:val="en-US"/>
        </w:rPr>
        <w:t xml:space="preserve"> </w:t>
      </w:r>
      <w:r w:rsidR="000D3625">
        <w:rPr>
          <w:lang w:val="en-US"/>
        </w:rPr>
        <w:t>(“</w:t>
      </w:r>
      <w:r>
        <w:rPr>
          <w:lang w:val="en-US"/>
        </w:rPr>
        <w:t>FI Act</w:t>
      </w:r>
      <w:r w:rsidR="000D3625">
        <w:rPr>
          <w:lang w:val="en-US"/>
        </w:rPr>
        <w:t>”)</w:t>
      </w:r>
      <w:r w:rsidR="00B56F2E">
        <w:rPr>
          <w:lang w:val="en-US"/>
        </w:rPr>
        <w:t>.</w:t>
      </w:r>
      <w:r w:rsidR="00F759A5">
        <w:rPr>
          <w:rStyle w:val="FootnoteReference"/>
          <w:lang w:val="en-US"/>
        </w:rPr>
        <w:footnoteReference w:id="8"/>
      </w:r>
      <w:r>
        <w:rPr>
          <w:lang w:val="en-US"/>
        </w:rPr>
        <w:t xml:space="preserve"> </w:t>
      </w:r>
      <w:r w:rsidR="00FC663C">
        <w:rPr>
          <w:lang w:val="en-US"/>
        </w:rPr>
        <w:t>S</w:t>
      </w:r>
      <w:r w:rsidR="00E41AC8">
        <w:rPr>
          <w:lang w:val="en-US"/>
        </w:rPr>
        <w:t>ection 5(8)(a) provides:</w:t>
      </w:r>
      <w:r w:rsidR="002844C8">
        <w:rPr>
          <w:lang w:val="en-US"/>
        </w:rPr>
        <w:t xml:space="preserve"> </w:t>
      </w:r>
    </w:p>
    <w:p w:rsidR="005F3C6F" w:rsidRPr="001E39E4" w:rsidRDefault="005F3C6F" w:rsidP="00E41AC8">
      <w:pPr>
        <w:pStyle w:val="level1"/>
        <w:numPr>
          <w:ilvl w:val="0"/>
          <w:numId w:val="0"/>
        </w:numPr>
        <w:spacing w:after="480"/>
        <w:ind w:left="720" w:firstLine="60"/>
        <w:jc w:val="both"/>
        <w:rPr>
          <w:sz w:val="20"/>
          <w:szCs w:val="20"/>
          <w:lang w:val="en-US"/>
        </w:rPr>
      </w:pPr>
      <w:r w:rsidRPr="001E39E4">
        <w:rPr>
          <w:sz w:val="20"/>
          <w:szCs w:val="20"/>
          <w:lang w:val="en-US"/>
        </w:rPr>
        <w:t>“A</w:t>
      </w:r>
      <w:r w:rsidRPr="001E39E4">
        <w:rPr>
          <w:i/>
          <w:sz w:val="20"/>
          <w:szCs w:val="20"/>
          <w:lang w:val="en-US"/>
        </w:rPr>
        <w:t>ny person, on good cause shown, may make application to the court to set aside or alter any decision made, or any action taken, by the curator or the registrar with regard to any matter arising out of or in connection with, the control and management of the business of an institution which has been placed under curatorship</w:t>
      </w:r>
      <w:r>
        <w:rPr>
          <w:i/>
          <w:sz w:val="20"/>
          <w:szCs w:val="20"/>
          <w:lang w:val="en-US"/>
        </w:rPr>
        <w:t>”</w:t>
      </w:r>
    </w:p>
    <w:p w:rsidR="00847B13" w:rsidRDefault="00E41AC8" w:rsidP="00E41AC8">
      <w:pPr>
        <w:pStyle w:val="level1"/>
        <w:spacing w:after="480" w:line="360" w:lineRule="auto"/>
        <w:ind w:left="0" w:firstLine="0"/>
        <w:jc w:val="both"/>
        <w:rPr>
          <w:lang w:val="en-US"/>
        </w:rPr>
      </w:pPr>
      <w:r>
        <w:rPr>
          <w:lang w:val="en-US"/>
        </w:rPr>
        <w:lastRenderedPageBreak/>
        <w:t xml:space="preserve">The </w:t>
      </w:r>
      <w:r w:rsidR="00671AE0">
        <w:rPr>
          <w:lang w:val="en-US"/>
        </w:rPr>
        <w:t xml:space="preserve">Supreme Court of Appeal has held that the </w:t>
      </w:r>
      <w:r w:rsidR="00FC663C">
        <w:rPr>
          <w:lang w:val="en-US"/>
        </w:rPr>
        <w:t xml:space="preserve">provision addresses the issue of </w:t>
      </w:r>
      <w:r w:rsidR="00FC663C" w:rsidRPr="00657DC7">
        <w:rPr>
          <w:i/>
          <w:lang w:val="en-US"/>
        </w:rPr>
        <w:t xml:space="preserve">locus </w:t>
      </w:r>
      <w:proofErr w:type="spellStart"/>
      <w:r w:rsidR="00FC663C" w:rsidRPr="00657DC7">
        <w:rPr>
          <w:i/>
          <w:lang w:val="en-US"/>
        </w:rPr>
        <w:t>standi</w:t>
      </w:r>
      <w:proofErr w:type="spellEnd"/>
      <w:r w:rsidR="00671AE0">
        <w:rPr>
          <w:lang w:val="en-US"/>
        </w:rPr>
        <w:t>,</w:t>
      </w:r>
      <w:r w:rsidR="00FC663C">
        <w:rPr>
          <w:lang w:val="en-US"/>
        </w:rPr>
        <w:t xml:space="preserve"> </w:t>
      </w:r>
      <w:r w:rsidR="002A07C1">
        <w:rPr>
          <w:lang w:val="en-US"/>
        </w:rPr>
        <w:t xml:space="preserve">is in broad terms and </w:t>
      </w:r>
      <w:r w:rsidR="00FC663C">
        <w:rPr>
          <w:lang w:val="en-US"/>
        </w:rPr>
        <w:t xml:space="preserve">requires only that </w:t>
      </w:r>
      <w:r>
        <w:rPr>
          <w:lang w:val="en-US"/>
        </w:rPr>
        <w:t xml:space="preserve">good cause </w:t>
      </w:r>
      <w:r w:rsidR="00FC663C">
        <w:rPr>
          <w:lang w:val="en-US"/>
        </w:rPr>
        <w:t>be shown for challenging the decis</w:t>
      </w:r>
      <w:r w:rsidR="00671AE0">
        <w:rPr>
          <w:lang w:val="en-US"/>
        </w:rPr>
        <w:t>io</w:t>
      </w:r>
      <w:r w:rsidR="00FC663C">
        <w:rPr>
          <w:lang w:val="en-US"/>
        </w:rPr>
        <w:t>n</w:t>
      </w:r>
      <w:r w:rsidR="00B56F2E">
        <w:rPr>
          <w:lang w:val="en-US"/>
        </w:rPr>
        <w:t>.</w:t>
      </w:r>
      <w:r>
        <w:rPr>
          <w:rStyle w:val="FootnoteReference"/>
          <w:lang w:val="en-US"/>
        </w:rPr>
        <w:footnoteReference w:id="9"/>
      </w:r>
      <w:r>
        <w:rPr>
          <w:lang w:val="en-US"/>
        </w:rPr>
        <w:t xml:space="preserve"> </w:t>
      </w:r>
    </w:p>
    <w:p w:rsidR="005121C5" w:rsidRDefault="00A7361D" w:rsidP="00E41AC8">
      <w:pPr>
        <w:pStyle w:val="level1"/>
        <w:spacing w:after="480" w:line="360" w:lineRule="auto"/>
        <w:ind w:left="0" w:firstLine="0"/>
        <w:jc w:val="both"/>
        <w:rPr>
          <w:lang w:val="en-US"/>
        </w:rPr>
      </w:pPr>
      <w:r>
        <w:rPr>
          <w:lang w:val="en-US"/>
        </w:rPr>
        <w:t>Section</w:t>
      </w:r>
      <w:r w:rsidR="00847B13">
        <w:rPr>
          <w:lang w:val="en-US"/>
        </w:rPr>
        <w:t xml:space="preserve"> 5(2)(b) of the FI Act provides</w:t>
      </w:r>
      <w:r w:rsidR="005121C5">
        <w:rPr>
          <w:lang w:val="en-US"/>
        </w:rPr>
        <w:t>:</w:t>
      </w:r>
    </w:p>
    <w:p w:rsidR="00695B83" w:rsidRDefault="005121C5" w:rsidP="005121C5">
      <w:pPr>
        <w:pStyle w:val="level1"/>
        <w:numPr>
          <w:ilvl w:val="0"/>
          <w:numId w:val="0"/>
        </w:numPr>
        <w:spacing w:after="480"/>
        <w:ind w:left="720"/>
        <w:jc w:val="both"/>
        <w:rPr>
          <w:i/>
          <w:sz w:val="20"/>
          <w:szCs w:val="20"/>
          <w:lang w:val="en-US"/>
        </w:rPr>
      </w:pPr>
      <w:r w:rsidRPr="005121C5">
        <w:rPr>
          <w:i/>
          <w:sz w:val="20"/>
          <w:szCs w:val="20"/>
          <w:lang w:val="en-US"/>
        </w:rPr>
        <w:t>(2)</w:t>
      </w:r>
      <w:r>
        <w:rPr>
          <w:i/>
          <w:sz w:val="20"/>
          <w:szCs w:val="20"/>
          <w:lang w:val="en-US"/>
        </w:rPr>
        <w:t xml:space="preserve"> </w:t>
      </w:r>
      <w:r w:rsidRPr="005121C5">
        <w:rPr>
          <w:i/>
          <w:sz w:val="20"/>
          <w:szCs w:val="20"/>
          <w:lang w:val="en-US"/>
        </w:rPr>
        <w:t>Upon an application in terms of subsection (1), the</w:t>
      </w:r>
      <w:r w:rsidR="00B15EB7" w:rsidRPr="005121C5">
        <w:rPr>
          <w:i/>
          <w:sz w:val="20"/>
          <w:szCs w:val="20"/>
          <w:lang w:val="en-US"/>
        </w:rPr>
        <w:t xml:space="preserve"> court may</w:t>
      </w:r>
      <w:r w:rsidRPr="005121C5">
        <w:rPr>
          <w:i/>
          <w:sz w:val="20"/>
          <w:szCs w:val="20"/>
          <w:lang w:val="en-US"/>
        </w:rPr>
        <w:t>-</w:t>
      </w:r>
    </w:p>
    <w:p w:rsidR="00847B13" w:rsidRPr="005121C5" w:rsidRDefault="005121C5" w:rsidP="005121C5">
      <w:pPr>
        <w:pStyle w:val="level1"/>
        <w:numPr>
          <w:ilvl w:val="0"/>
          <w:numId w:val="0"/>
        </w:numPr>
        <w:spacing w:after="480"/>
        <w:ind w:left="720"/>
        <w:jc w:val="both"/>
        <w:rPr>
          <w:i/>
          <w:sz w:val="20"/>
          <w:szCs w:val="20"/>
          <w:lang w:val="en-US"/>
        </w:rPr>
      </w:pPr>
      <w:r w:rsidRPr="005121C5">
        <w:rPr>
          <w:i/>
          <w:sz w:val="20"/>
          <w:szCs w:val="20"/>
          <w:lang w:val="en-US"/>
        </w:rPr>
        <w:t>(b)</w:t>
      </w:r>
      <w:r w:rsidR="00847B13" w:rsidRPr="005121C5">
        <w:rPr>
          <w:i/>
          <w:sz w:val="20"/>
          <w:szCs w:val="20"/>
          <w:lang w:val="en-US"/>
        </w:rPr>
        <w:t xml:space="preserve"> </w:t>
      </w:r>
      <w:proofErr w:type="gramStart"/>
      <w:r w:rsidR="00847B13" w:rsidRPr="005121C5">
        <w:rPr>
          <w:i/>
          <w:sz w:val="20"/>
          <w:szCs w:val="20"/>
          <w:lang w:val="en-US"/>
        </w:rPr>
        <w:t>simultaneously</w:t>
      </w:r>
      <w:proofErr w:type="gramEnd"/>
      <w:r w:rsidR="00847B13" w:rsidRPr="005121C5">
        <w:rPr>
          <w:i/>
          <w:sz w:val="20"/>
          <w:szCs w:val="20"/>
          <w:lang w:val="en-US"/>
        </w:rPr>
        <w:t xml:space="preserve"> grant a rule nisi calling upon the institution and other interested parties to show cause on a day mentioned in the rule why the appointment of the curator should not be confirmed</w:t>
      </w:r>
      <w:r w:rsidR="00B15EB7" w:rsidRPr="005121C5">
        <w:rPr>
          <w:i/>
          <w:sz w:val="20"/>
          <w:szCs w:val="20"/>
          <w:lang w:val="en-US"/>
        </w:rPr>
        <w:t>”</w:t>
      </w:r>
      <w:r w:rsidR="00847B13" w:rsidRPr="005121C5">
        <w:rPr>
          <w:i/>
          <w:sz w:val="20"/>
          <w:szCs w:val="20"/>
          <w:lang w:val="en-US"/>
        </w:rPr>
        <w:t>.</w:t>
      </w:r>
    </w:p>
    <w:p w:rsidR="00E41AC8" w:rsidRDefault="005121C5" w:rsidP="00E41AC8">
      <w:pPr>
        <w:pStyle w:val="level1"/>
        <w:spacing w:after="480" w:line="360" w:lineRule="auto"/>
        <w:ind w:left="0" w:firstLine="0"/>
        <w:jc w:val="both"/>
        <w:rPr>
          <w:lang w:val="en-US"/>
        </w:rPr>
      </w:pPr>
      <w:r>
        <w:rPr>
          <w:lang w:val="en-US"/>
        </w:rPr>
        <w:t xml:space="preserve">Section 5(5) of the FI Act in broad terms provides that a court may make an order with regard to the powers and duties of a curator. It does not expressly provide for the complete divestment of the board of an entity of their powers, including any residual power to represent an institution to oppose a rule nisi on its return date. </w:t>
      </w:r>
    </w:p>
    <w:p w:rsidR="00102F28" w:rsidRDefault="00660796" w:rsidP="00FE74B1">
      <w:pPr>
        <w:pStyle w:val="level1"/>
        <w:spacing w:after="480" w:line="360" w:lineRule="auto"/>
        <w:ind w:left="0" w:firstLine="0"/>
        <w:jc w:val="both"/>
        <w:rPr>
          <w:lang w:val="en-US"/>
        </w:rPr>
      </w:pPr>
      <w:r>
        <w:rPr>
          <w:lang w:val="en-US"/>
        </w:rPr>
        <w:t xml:space="preserve">In my view, </w:t>
      </w:r>
      <w:proofErr w:type="spellStart"/>
      <w:r w:rsidR="00950D15" w:rsidRPr="00660796">
        <w:rPr>
          <w:i/>
          <w:lang w:val="en-US"/>
        </w:rPr>
        <w:t>Keyhealth</w:t>
      </w:r>
      <w:proofErr w:type="spellEnd"/>
      <w:r w:rsidR="00950D15">
        <w:rPr>
          <w:lang w:val="en-US"/>
        </w:rPr>
        <w:t xml:space="preserve"> is distinguishable</w:t>
      </w:r>
      <w:r w:rsidR="00632327">
        <w:rPr>
          <w:lang w:val="en-US"/>
        </w:rPr>
        <w:t>. In</w:t>
      </w:r>
      <w:r w:rsidR="00950D15">
        <w:rPr>
          <w:lang w:val="en-US"/>
        </w:rPr>
        <w:t xml:space="preserve"> </w:t>
      </w:r>
      <w:proofErr w:type="spellStart"/>
      <w:r w:rsidR="007566EC" w:rsidRPr="00660796">
        <w:rPr>
          <w:i/>
          <w:lang w:val="en-US"/>
        </w:rPr>
        <w:t>Keyhealth</w:t>
      </w:r>
      <w:proofErr w:type="spellEnd"/>
      <w:r w:rsidR="00E95F45">
        <w:rPr>
          <w:lang w:val="en-US"/>
        </w:rPr>
        <w:t xml:space="preserve">, </w:t>
      </w:r>
      <w:r w:rsidR="00B15EB7">
        <w:rPr>
          <w:lang w:val="en-US"/>
        </w:rPr>
        <w:t xml:space="preserve">it was the entity </w:t>
      </w:r>
      <w:r w:rsidR="00E95F45">
        <w:rPr>
          <w:lang w:val="en-US"/>
        </w:rPr>
        <w:t>u</w:t>
      </w:r>
      <w:r w:rsidR="00B15EB7">
        <w:rPr>
          <w:lang w:val="en-US"/>
        </w:rPr>
        <w:t>n</w:t>
      </w:r>
      <w:r w:rsidR="00E95F45">
        <w:rPr>
          <w:lang w:val="en-US"/>
        </w:rPr>
        <w:t>der</w:t>
      </w:r>
      <w:r w:rsidR="00B15EB7">
        <w:rPr>
          <w:lang w:val="en-US"/>
        </w:rPr>
        <w:t xml:space="preserve"> curatorship,</w:t>
      </w:r>
      <w:r w:rsidR="007566EC">
        <w:rPr>
          <w:lang w:val="en-US"/>
        </w:rPr>
        <w:t xml:space="preserve"> represented by its provisional curator, </w:t>
      </w:r>
      <w:r w:rsidR="00B15EB7">
        <w:rPr>
          <w:lang w:val="en-US"/>
        </w:rPr>
        <w:t xml:space="preserve">who </w:t>
      </w:r>
      <w:r w:rsidR="007566EC">
        <w:rPr>
          <w:lang w:val="en-US"/>
        </w:rPr>
        <w:t>opposed the intervention application</w:t>
      </w:r>
      <w:r w:rsidR="00B15EB7">
        <w:rPr>
          <w:lang w:val="en-US"/>
        </w:rPr>
        <w:t xml:space="preserve"> of </w:t>
      </w:r>
      <w:r w:rsidR="00E95F45">
        <w:rPr>
          <w:lang w:val="en-US"/>
        </w:rPr>
        <w:t xml:space="preserve">the board of directors of </w:t>
      </w:r>
      <w:proofErr w:type="spellStart"/>
      <w:r w:rsidR="00B15EB7">
        <w:rPr>
          <w:lang w:val="en-US"/>
        </w:rPr>
        <w:t>Keyhealth</w:t>
      </w:r>
      <w:proofErr w:type="spellEnd"/>
      <w:r w:rsidR="002844C8">
        <w:rPr>
          <w:lang w:val="en-US"/>
        </w:rPr>
        <w:t xml:space="preserve">, whereas </w:t>
      </w:r>
      <w:r w:rsidR="007566EC">
        <w:rPr>
          <w:lang w:val="en-US"/>
        </w:rPr>
        <w:t xml:space="preserve">in the present instance it </w:t>
      </w:r>
      <w:r>
        <w:rPr>
          <w:lang w:val="en-US"/>
        </w:rPr>
        <w:t>i</w:t>
      </w:r>
      <w:r w:rsidR="007566EC">
        <w:rPr>
          <w:lang w:val="en-US"/>
        </w:rPr>
        <w:t>s the Authority who oppose t</w:t>
      </w:r>
      <w:r w:rsidR="002844C8">
        <w:rPr>
          <w:lang w:val="en-US"/>
        </w:rPr>
        <w:t>he</w:t>
      </w:r>
      <w:r w:rsidR="007566EC">
        <w:rPr>
          <w:lang w:val="en-US"/>
        </w:rPr>
        <w:t xml:space="preserve"> </w:t>
      </w:r>
      <w:r w:rsidR="00414BC6">
        <w:rPr>
          <w:lang w:val="en-US"/>
        </w:rPr>
        <w:t>3Sixty board’s opposition</w:t>
      </w:r>
      <w:r w:rsidR="00962D3A">
        <w:rPr>
          <w:lang w:val="en-US"/>
        </w:rPr>
        <w:t xml:space="preserve"> </w:t>
      </w:r>
      <w:r w:rsidR="009475DC">
        <w:rPr>
          <w:lang w:val="en-US"/>
        </w:rPr>
        <w:t xml:space="preserve">as 3Sixty </w:t>
      </w:r>
      <w:r w:rsidR="00962D3A">
        <w:rPr>
          <w:lang w:val="en-US"/>
        </w:rPr>
        <w:t xml:space="preserve">and </w:t>
      </w:r>
      <w:r>
        <w:rPr>
          <w:lang w:val="en-US"/>
        </w:rPr>
        <w:t xml:space="preserve">not </w:t>
      </w:r>
      <w:r w:rsidR="00962D3A">
        <w:rPr>
          <w:lang w:val="en-US"/>
        </w:rPr>
        <w:t>the provisional curator</w:t>
      </w:r>
      <w:r>
        <w:rPr>
          <w:lang w:val="en-US"/>
        </w:rPr>
        <w:t>, acting as representative of 3Sixty.</w:t>
      </w:r>
      <w:r w:rsidR="00B15EB7">
        <w:rPr>
          <w:lang w:val="en-US"/>
        </w:rPr>
        <w:t xml:space="preserve"> It </w:t>
      </w:r>
      <w:r w:rsidR="00F759A5">
        <w:rPr>
          <w:lang w:val="en-US"/>
        </w:rPr>
        <w:t xml:space="preserve">further </w:t>
      </w:r>
      <w:r w:rsidR="00B15EB7">
        <w:rPr>
          <w:lang w:val="en-US"/>
        </w:rPr>
        <w:t xml:space="preserve">does not appear from the judgment that the </w:t>
      </w:r>
      <w:r w:rsidR="00F759A5">
        <w:rPr>
          <w:lang w:val="en-US"/>
        </w:rPr>
        <w:t>relevant provisions of the FI Act were raised or considered in the proceedings before</w:t>
      </w:r>
      <w:r w:rsidR="00B15EB7">
        <w:rPr>
          <w:lang w:val="en-US"/>
        </w:rPr>
        <w:t xml:space="preserve"> </w:t>
      </w:r>
      <w:proofErr w:type="spellStart"/>
      <w:r w:rsidR="00B15EB7">
        <w:rPr>
          <w:lang w:val="en-US"/>
        </w:rPr>
        <w:t>Kollapen</w:t>
      </w:r>
      <w:proofErr w:type="spellEnd"/>
      <w:r w:rsidR="00B15EB7">
        <w:rPr>
          <w:lang w:val="en-US"/>
        </w:rPr>
        <w:t xml:space="preserve"> J.</w:t>
      </w:r>
    </w:p>
    <w:p w:rsidR="00F759A5" w:rsidRDefault="00C27EE9" w:rsidP="00C60BB5">
      <w:pPr>
        <w:pStyle w:val="level1"/>
        <w:spacing w:after="480" w:line="360" w:lineRule="auto"/>
        <w:ind w:left="0" w:firstLine="0"/>
        <w:jc w:val="both"/>
        <w:rPr>
          <w:lang w:val="en-US"/>
        </w:rPr>
      </w:pPr>
      <w:r w:rsidRPr="00C27EE9">
        <w:rPr>
          <w:lang w:val="en-US"/>
        </w:rPr>
        <w:t xml:space="preserve">The provisional </w:t>
      </w:r>
      <w:r w:rsidR="007566EC">
        <w:rPr>
          <w:lang w:val="en-US"/>
        </w:rPr>
        <w:t>curatorship order in its terms</w:t>
      </w:r>
      <w:r w:rsidRPr="00C27EE9">
        <w:rPr>
          <w:lang w:val="en-US"/>
        </w:rPr>
        <w:t xml:space="preserve"> </w:t>
      </w:r>
      <w:r w:rsidR="00632327">
        <w:rPr>
          <w:lang w:val="en-US"/>
        </w:rPr>
        <w:t>i</w:t>
      </w:r>
      <w:r w:rsidR="007566EC">
        <w:rPr>
          <w:lang w:val="en-US"/>
        </w:rPr>
        <w:t>s contradictory as it, whilst divesting the board of 3Sixty of its powers</w:t>
      </w:r>
      <w:r w:rsidR="009475DC">
        <w:rPr>
          <w:lang w:val="en-US"/>
        </w:rPr>
        <w:t>,</w:t>
      </w:r>
      <w:r w:rsidR="007566EC">
        <w:rPr>
          <w:lang w:val="en-US"/>
        </w:rPr>
        <w:t xml:space="preserve"> simultaneously envisaged that 3Sixty would be entitled to oppose the application. </w:t>
      </w:r>
      <w:r w:rsidR="00F759A5">
        <w:rPr>
          <w:lang w:val="en-US"/>
        </w:rPr>
        <w:t>The latter position accords with s</w:t>
      </w:r>
      <w:r w:rsidR="00695B83">
        <w:rPr>
          <w:lang w:val="en-US"/>
        </w:rPr>
        <w:t>ections 5(2</w:t>
      </w:r>
      <w:proofErr w:type="gramStart"/>
      <w:r w:rsidR="00695B83">
        <w:rPr>
          <w:lang w:val="en-US"/>
        </w:rPr>
        <w:t>)(</w:t>
      </w:r>
      <w:proofErr w:type="gramEnd"/>
      <w:r w:rsidR="00695B83">
        <w:rPr>
          <w:lang w:val="en-US"/>
        </w:rPr>
        <w:t xml:space="preserve">b) and </w:t>
      </w:r>
      <w:r w:rsidR="00F759A5">
        <w:rPr>
          <w:lang w:val="en-US"/>
        </w:rPr>
        <w:t>5(8)(a) of the F</w:t>
      </w:r>
      <w:r w:rsidR="00695B83">
        <w:rPr>
          <w:lang w:val="en-US"/>
        </w:rPr>
        <w:t>I</w:t>
      </w:r>
      <w:r w:rsidR="00F759A5">
        <w:rPr>
          <w:lang w:val="en-US"/>
        </w:rPr>
        <w:t xml:space="preserve"> Act. </w:t>
      </w:r>
    </w:p>
    <w:p w:rsidR="00C23285" w:rsidRDefault="00F759A5" w:rsidP="00C60BB5">
      <w:pPr>
        <w:pStyle w:val="level1"/>
        <w:spacing w:after="480" w:line="360" w:lineRule="auto"/>
        <w:ind w:left="0" w:firstLine="0"/>
        <w:jc w:val="both"/>
        <w:rPr>
          <w:lang w:val="en-US"/>
        </w:rPr>
      </w:pPr>
      <w:r>
        <w:rPr>
          <w:lang w:val="en-US"/>
        </w:rPr>
        <w:lastRenderedPageBreak/>
        <w:t>If the Authority’s interpretation is followed, t</w:t>
      </w:r>
      <w:r w:rsidR="00C27EE9" w:rsidRPr="00C27EE9">
        <w:rPr>
          <w:lang w:val="en-US"/>
        </w:rPr>
        <w:t xml:space="preserve">he inimical position </w:t>
      </w:r>
      <w:r>
        <w:rPr>
          <w:lang w:val="en-US"/>
        </w:rPr>
        <w:t>i</w:t>
      </w:r>
      <w:r w:rsidR="007566EC">
        <w:rPr>
          <w:lang w:val="en-US"/>
        </w:rPr>
        <w:t xml:space="preserve">s created </w:t>
      </w:r>
      <w:r w:rsidR="00C27EE9" w:rsidRPr="00C27EE9">
        <w:rPr>
          <w:lang w:val="en-US"/>
        </w:rPr>
        <w:t xml:space="preserve">that if an order </w:t>
      </w:r>
      <w:r w:rsidR="007566EC">
        <w:rPr>
          <w:lang w:val="en-US"/>
        </w:rPr>
        <w:t>wa</w:t>
      </w:r>
      <w:r w:rsidR="00C27EE9" w:rsidRPr="00C27EE9">
        <w:rPr>
          <w:lang w:val="en-US"/>
        </w:rPr>
        <w:t xml:space="preserve">s obtained </w:t>
      </w:r>
      <w:r w:rsidR="00C27EE9" w:rsidRPr="00C733CD">
        <w:rPr>
          <w:i/>
          <w:lang w:val="en-US"/>
        </w:rPr>
        <w:t>ex parte</w:t>
      </w:r>
      <w:r w:rsidR="00414BC6">
        <w:rPr>
          <w:lang w:val="en-US"/>
        </w:rPr>
        <w:t>,</w:t>
      </w:r>
      <w:r w:rsidR="00C27EE9" w:rsidRPr="00C27EE9">
        <w:rPr>
          <w:lang w:val="en-US"/>
        </w:rPr>
        <w:t xml:space="preserve"> </w:t>
      </w:r>
      <w:r>
        <w:rPr>
          <w:lang w:val="en-US"/>
        </w:rPr>
        <w:t>(as it was)</w:t>
      </w:r>
      <w:r w:rsidR="00414BC6">
        <w:rPr>
          <w:lang w:val="en-US"/>
        </w:rPr>
        <w:t>,</w:t>
      </w:r>
      <w:r>
        <w:rPr>
          <w:lang w:val="en-US"/>
        </w:rPr>
        <w:t xml:space="preserve"> </w:t>
      </w:r>
      <w:r w:rsidR="00C27EE9" w:rsidRPr="00C27EE9">
        <w:rPr>
          <w:lang w:val="en-US"/>
        </w:rPr>
        <w:t xml:space="preserve">it </w:t>
      </w:r>
      <w:r w:rsidR="007566EC">
        <w:rPr>
          <w:lang w:val="en-US"/>
        </w:rPr>
        <w:t>w</w:t>
      </w:r>
      <w:r w:rsidR="00695B83">
        <w:rPr>
          <w:lang w:val="en-US"/>
        </w:rPr>
        <w:t>ould</w:t>
      </w:r>
      <w:r w:rsidR="00C27EE9" w:rsidRPr="00C27EE9">
        <w:rPr>
          <w:lang w:val="en-US"/>
        </w:rPr>
        <w:t xml:space="preserve"> not </w:t>
      </w:r>
      <w:r w:rsidR="00C733CD">
        <w:rPr>
          <w:lang w:val="en-US"/>
        </w:rPr>
        <w:t xml:space="preserve">be </w:t>
      </w:r>
      <w:r w:rsidR="00C27EE9" w:rsidRPr="00C27EE9">
        <w:rPr>
          <w:lang w:val="en-US"/>
        </w:rPr>
        <w:t xml:space="preserve">open to the board of </w:t>
      </w:r>
      <w:r w:rsidR="007566EC">
        <w:rPr>
          <w:lang w:val="en-US"/>
        </w:rPr>
        <w:t>3Sixty</w:t>
      </w:r>
      <w:r w:rsidR="00C27EE9" w:rsidRPr="00C27EE9">
        <w:rPr>
          <w:lang w:val="en-US"/>
        </w:rPr>
        <w:t xml:space="preserve"> to resolve to oppose the confirmation of the rule </w:t>
      </w:r>
      <w:r w:rsidR="00C27EE9" w:rsidRPr="00551316">
        <w:rPr>
          <w:lang w:val="en-US"/>
        </w:rPr>
        <w:t>nisi</w:t>
      </w:r>
      <w:r w:rsidR="00C27EE9" w:rsidRPr="00C27EE9">
        <w:rPr>
          <w:lang w:val="en-US"/>
        </w:rPr>
        <w:t xml:space="preserve">, whereas it </w:t>
      </w:r>
      <w:r w:rsidR="007566EC">
        <w:rPr>
          <w:lang w:val="en-US"/>
        </w:rPr>
        <w:t xml:space="preserve">would have been </w:t>
      </w:r>
      <w:r w:rsidR="00C27EE9" w:rsidRPr="00C27EE9">
        <w:rPr>
          <w:lang w:val="en-US"/>
        </w:rPr>
        <w:t xml:space="preserve">entitled to do so if </w:t>
      </w:r>
      <w:r w:rsidR="007566EC">
        <w:rPr>
          <w:lang w:val="en-US"/>
        </w:rPr>
        <w:t xml:space="preserve">notice was given of </w:t>
      </w:r>
      <w:r w:rsidR="00C27EE9" w:rsidRPr="00C27EE9">
        <w:rPr>
          <w:lang w:val="en-US"/>
        </w:rPr>
        <w:t xml:space="preserve">the application.  </w:t>
      </w:r>
    </w:p>
    <w:p w:rsidR="00924D74" w:rsidRPr="00C27EE9" w:rsidRDefault="007566EC" w:rsidP="00C60BB5">
      <w:pPr>
        <w:pStyle w:val="level1"/>
        <w:spacing w:after="480" w:line="360" w:lineRule="auto"/>
        <w:ind w:left="0" w:firstLine="0"/>
        <w:jc w:val="both"/>
        <w:rPr>
          <w:lang w:val="en-US"/>
        </w:rPr>
      </w:pPr>
      <w:r>
        <w:rPr>
          <w:lang w:val="en-US"/>
        </w:rPr>
        <w:t xml:space="preserve">The anomaly in the order </w:t>
      </w:r>
      <w:r w:rsidR="00C27EE9" w:rsidRPr="00C27EE9">
        <w:rPr>
          <w:lang w:val="en-US"/>
        </w:rPr>
        <w:t xml:space="preserve">renders the principle enunciated by </w:t>
      </w:r>
      <w:proofErr w:type="spellStart"/>
      <w:r w:rsidR="00C27EE9" w:rsidRPr="00C27EE9">
        <w:rPr>
          <w:lang w:val="en-US"/>
        </w:rPr>
        <w:t>Bermann</w:t>
      </w:r>
      <w:proofErr w:type="spellEnd"/>
      <w:r w:rsidR="00C27EE9" w:rsidRPr="00C27EE9">
        <w:rPr>
          <w:lang w:val="en-US"/>
        </w:rPr>
        <w:t xml:space="preserve"> J </w:t>
      </w:r>
      <w:r w:rsidR="005F3C6F">
        <w:rPr>
          <w:lang w:val="en-US"/>
        </w:rPr>
        <w:t>in</w:t>
      </w:r>
      <w:r w:rsidR="00924D74" w:rsidRPr="005F3C6F">
        <w:rPr>
          <w:i/>
          <w:lang w:val="en-US"/>
        </w:rPr>
        <w:t xml:space="preserve"> Absa Bank Ltd v </w:t>
      </w:r>
      <w:proofErr w:type="spellStart"/>
      <w:r w:rsidR="00924D74" w:rsidRPr="005F3C6F">
        <w:rPr>
          <w:i/>
          <w:lang w:val="en-US"/>
        </w:rPr>
        <w:t>Rhebokskloof</w:t>
      </w:r>
      <w:proofErr w:type="spellEnd"/>
      <w:r w:rsidR="00924D74" w:rsidRPr="005F3C6F">
        <w:rPr>
          <w:i/>
          <w:lang w:val="en-US"/>
        </w:rPr>
        <w:t xml:space="preserve"> (Pty) Ltd and Others</w:t>
      </w:r>
      <w:r w:rsidR="00924D74">
        <w:rPr>
          <w:rStyle w:val="FootnoteReference"/>
          <w:lang w:val="en-US"/>
        </w:rPr>
        <w:footnoteReference w:id="10"/>
      </w:r>
      <w:r w:rsidR="005F3C6F">
        <w:rPr>
          <w:i/>
          <w:lang w:val="en-US"/>
        </w:rPr>
        <w:t xml:space="preserve"> </w:t>
      </w:r>
      <w:r w:rsidR="005F3C6F">
        <w:rPr>
          <w:lang w:val="en-US"/>
        </w:rPr>
        <w:t xml:space="preserve">pertaining to the scheme of a rule </w:t>
      </w:r>
      <w:r w:rsidR="005F3C6F" w:rsidRPr="00C733CD">
        <w:rPr>
          <w:i/>
          <w:lang w:val="en-US"/>
        </w:rPr>
        <w:t>nis</w:t>
      </w:r>
      <w:r w:rsidR="00950D15" w:rsidRPr="00C733CD">
        <w:rPr>
          <w:i/>
          <w:lang w:val="en-US"/>
        </w:rPr>
        <w:t>i</w:t>
      </w:r>
      <w:r w:rsidR="005F3C6F">
        <w:rPr>
          <w:i/>
          <w:lang w:val="en-US"/>
        </w:rPr>
        <w:t xml:space="preserve"> </w:t>
      </w:r>
      <w:r w:rsidRPr="007566EC">
        <w:rPr>
          <w:lang w:val="en-US"/>
        </w:rPr>
        <w:t>app</w:t>
      </w:r>
      <w:r w:rsidR="00C23285">
        <w:rPr>
          <w:lang w:val="en-US"/>
        </w:rPr>
        <w:t>osite</w:t>
      </w:r>
      <w:r w:rsidR="00695B83">
        <w:rPr>
          <w:rStyle w:val="FootnoteReference"/>
          <w:lang w:val="en-US"/>
        </w:rPr>
        <w:footnoteReference w:id="11"/>
      </w:r>
      <w:r w:rsidR="005F3C6F">
        <w:rPr>
          <w:lang w:val="en-US"/>
        </w:rPr>
        <w:t>:</w:t>
      </w:r>
    </w:p>
    <w:p w:rsidR="00924D74" w:rsidRPr="005F3C6F" w:rsidRDefault="00924D74" w:rsidP="005F3C6F">
      <w:pPr>
        <w:pStyle w:val="level1"/>
        <w:numPr>
          <w:ilvl w:val="0"/>
          <w:numId w:val="0"/>
        </w:numPr>
        <w:spacing w:after="480"/>
        <w:jc w:val="both"/>
        <w:rPr>
          <w:i/>
          <w:sz w:val="20"/>
          <w:szCs w:val="20"/>
          <w:lang w:val="en-US"/>
        </w:rPr>
      </w:pPr>
      <w:r w:rsidRPr="005F3C6F">
        <w:rPr>
          <w:i/>
          <w:sz w:val="20"/>
          <w:szCs w:val="20"/>
          <w:lang w:val="en-US"/>
        </w:rPr>
        <w:t>“To hold that after the granting of a provisional liquidation or</w:t>
      </w:r>
      <w:r w:rsidR="005F3C6F">
        <w:rPr>
          <w:i/>
          <w:sz w:val="20"/>
          <w:szCs w:val="20"/>
          <w:lang w:val="en-US"/>
        </w:rPr>
        <w:t>d</w:t>
      </w:r>
      <w:r w:rsidRPr="005F3C6F">
        <w:rPr>
          <w:i/>
          <w:sz w:val="20"/>
          <w:szCs w:val="20"/>
          <w:lang w:val="en-US"/>
        </w:rPr>
        <w:t xml:space="preserve">er the directors of the company which has been provisionally liquidated by virtue of such order have lost their locus </w:t>
      </w:r>
      <w:proofErr w:type="spellStart"/>
      <w:r w:rsidRPr="005F3C6F">
        <w:rPr>
          <w:i/>
          <w:sz w:val="20"/>
          <w:szCs w:val="20"/>
          <w:lang w:val="en-US"/>
        </w:rPr>
        <w:t>standi</w:t>
      </w:r>
      <w:proofErr w:type="spellEnd"/>
      <w:r w:rsidRPr="005F3C6F">
        <w:rPr>
          <w:i/>
          <w:sz w:val="20"/>
          <w:szCs w:val="20"/>
          <w:lang w:val="en-US"/>
        </w:rPr>
        <w:t xml:space="preserve"> in </w:t>
      </w:r>
      <w:proofErr w:type="spellStart"/>
      <w:r w:rsidRPr="005F3C6F">
        <w:rPr>
          <w:i/>
          <w:sz w:val="20"/>
          <w:szCs w:val="20"/>
          <w:lang w:val="en-US"/>
        </w:rPr>
        <w:t>judi</w:t>
      </w:r>
      <w:r w:rsidR="005F3C6F" w:rsidRPr="005F3C6F">
        <w:rPr>
          <w:i/>
          <w:sz w:val="20"/>
          <w:szCs w:val="20"/>
          <w:lang w:val="en-US"/>
        </w:rPr>
        <w:t>ci</w:t>
      </w:r>
      <w:r w:rsidRPr="005F3C6F">
        <w:rPr>
          <w:i/>
          <w:sz w:val="20"/>
          <w:szCs w:val="20"/>
          <w:lang w:val="en-US"/>
        </w:rPr>
        <w:t>o</w:t>
      </w:r>
      <w:proofErr w:type="spellEnd"/>
      <w:r w:rsidRPr="005F3C6F">
        <w:rPr>
          <w:i/>
          <w:sz w:val="20"/>
          <w:szCs w:val="20"/>
          <w:lang w:val="en-US"/>
        </w:rPr>
        <w:t xml:space="preserve"> to oppose the granting of a final order would fly in</w:t>
      </w:r>
      <w:r w:rsidR="005F3C6F">
        <w:rPr>
          <w:i/>
          <w:sz w:val="20"/>
          <w:szCs w:val="20"/>
          <w:lang w:val="en-US"/>
        </w:rPr>
        <w:t xml:space="preserve"> </w:t>
      </w:r>
      <w:r w:rsidRPr="005F3C6F">
        <w:rPr>
          <w:i/>
          <w:sz w:val="20"/>
          <w:szCs w:val="20"/>
          <w:lang w:val="en-US"/>
        </w:rPr>
        <w:t>the</w:t>
      </w:r>
      <w:r w:rsidR="005F3C6F">
        <w:rPr>
          <w:i/>
          <w:sz w:val="20"/>
          <w:szCs w:val="20"/>
          <w:lang w:val="en-US"/>
        </w:rPr>
        <w:t xml:space="preserve"> </w:t>
      </w:r>
      <w:r w:rsidRPr="005F3C6F">
        <w:rPr>
          <w:i/>
          <w:sz w:val="20"/>
          <w:szCs w:val="20"/>
          <w:lang w:val="en-US"/>
        </w:rPr>
        <w:t>face of the very object and purpose of the rule nisi and it would, therefore, be quite wrong to emasculate such object and purpose by finding that the directors have lost their residual power to show cause why the company should not be would up, for that matter to anticipate the return day of the rule nisi. It would be quite ludicrous to hold that a director, or a company acting th</w:t>
      </w:r>
      <w:r w:rsidR="005F3C6F">
        <w:rPr>
          <w:i/>
          <w:sz w:val="20"/>
          <w:szCs w:val="20"/>
          <w:lang w:val="en-US"/>
        </w:rPr>
        <w:t>r</w:t>
      </w:r>
      <w:r w:rsidRPr="005F3C6F">
        <w:rPr>
          <w:i/>
          <w:sz w:val="20"/>
          <w:szCs w:val="20"/>
          <w:lang w:val="en-US"/>
        </w:rPr>
        <w:t>ou</w:t>
      </w:r>
      <w:r w:rsidR="005F3C6F">
        <w:rPr>
          <w:i/>
          <w:sz w:val="20"/>
          <w:szCs w:val="20"/>
          <w:lang w:val="en-US"/>
        </w:rPr>
        <w:t>g</w:t>
      </w:r>
      <w:r w:rsidRPr="005F3C6F">
        <w:rPr>
          <w:i/>
          <w:sz w:val="20"/>
          <w:szCs w:val="20"/>
          <w:lang w:val="en-US"/>
        </w:rPr>
        <w:t>h its directors, is not an interested party wh</w:t>
      </w:r>
      <w:r w:rsidR="005F3C6F">
        <w:rPr>
          <w:i/>
          <w:sz w:val="20"/>
          <w:szCs w:val="20"/>
          <w:lang w:val="en-US"/>
        </w:rPr>
        <w:t>e</w:t>
      </w:r>
      <w:r w:rsidRPr="005F3C6F">
        <w:rPr>
          <w:i/>
          <w:sz w:val="20"/>
          <w:szCs w:val="20"/>
          <w:lang w:val="en-US"/>
        </w:rPr>
        <w:t>n it comes to deciding whether it and/or they have the right to be heard on the return day of the rule nisi.</w:t>
      </w:r>
      <w:r w:rsidR="005F3C6F">
        <w:rPr>
          <w:i/>
          <w:sz w:val="20"/>
          <w:szCs w:val="20"/>
          <w:lang w:val="en-US"/>
        </w:rPr>
        <w:t>”</w:t>
      </w:r>
    </w:p>
    <w:p w:rsidR="008B384F" w:rsidRPr="00C733CD" w:rsidRDefault="008B384F" w:rsidP="00FE74B1">
      <w:pPr>
        <w:pStyle w:val="level1"/>
        <w:spacing w:after="480" w:line="360" w:lineRule="auto"/>
        <w:ind w:left="0" w:firstLine="0"/>
        <w:jc w:val="both"/>
        <w:rPr>
          <w:lang w:val="en-US"/>
        </w:rPr>
      </w:pPr>
      <w:r>
        <w:rPr>
          <w:lang w:val="en-US"/>
        </w:rPr>
        <w:t xml:space="preserve">It would be </w:t>
      </w:r>
      <w:r w:rsidR="00C733CD">
        <w:rPr>
          <w:lang w:val="en-US"/>
        </w:rPr>
        <w:t>contrary</w:t>
      </w:r>
      <w:r>
        <w:rPr>
          <w:lang w:val="en-US"/>
        </w:rPr>
        <w:t xml:space="preserve"> to the interests of justice and the principle of </w:t>
      </w:r>
      <w:proofErr w:type="spellStart"/>
      <w:r w:rsidR="001D3089">
        <w:rPr>
          <w:i/>
          <w:lang w:val="en-US"/>
        </w:rPr>
        <w:t>audi</w:t>
      </w:r>
      <w:proofErr w:type="spellEnd"/>
      <w:r w:rsidR="001D3089">
        <w:rPr>
          <w:i/>
          <w:lang w:val="en-US"/>
        </w:rPr>
        <w:t xml:space="preserve"> </w:t>
      </w:r>
      <w:proofErr w:type="spellStart"/>
      <w:r w:rsidR="001D3089">
        <w:rPr>
          <w:i/>
          <w:lang w:val="en-US"/>
        </w:rPr>
        <w:t>alteram</w:t>
      </w:r>
      <w:proofErr w:type="spellEnd"/>
      <w:r w:rsidR="001D3089">
        <w:rPr>
          <w:i/>
          <w:lang w:val="en-US"/>
        </w:rPr>
        <w:t xml:space="preserve"> </w:t>
      </w:r>
      <w:proofErr w:type="spellStart"/>
      <w:r w:rsidR="001D3089">
        <w:rPr>
          <w:i/>
          <w:lang w:val="en-US"/>
        </w:rPr>
        <w:t>partem</w:t>
      </w:r>
      <w:proofErr w:type="spellEnd"/>
      <w:r w:rsidR="0088682C">
        <w:rPr>
          <w:rStyle w:val="FootnoteReference"/>
          <w:i/>
          <w:lang w:val="en-US"/>
        </w:rPr>
        <w:footnoteReference w:id="12"/>
      </w:r>
      <w:r w:rsidR="00695B83">
        <w:rPr>
          <w:i/>
          <w:lang w:val="en-US"/>
        </w:rPr>
        <w:t xml:space="preserve"> </w:t>
      </w:r>
      <w:r>
        <w:rPr>
          <w:lang w:val="en-US"/>
        </w:rPr>
        <w:t xml:space="preserve">to deprive an entity in the position of 3Sixty of the right to be heard in order to oppose the granting of a final curatorship order, where a provisional order had been granted on an </w:t>
      </w:r>
      <w:r w:rsidRPr="00C733CD">
        <w:rPr>
          <w:i/>
          <w:lang w:val="en-US"/>
        </w:rPr>
        <w:t>ex parte</w:t>
      </w:r>
      <w:r>
        <w:rPr>
          <w:lang w:val="en-US"/>
        </w:rPr>
        <w:t xml:space="preserve"> basis. </w:t>
      </w:r>
      <w:r w:rsidR="001104D5">
        <w:rPr>
          <w:lang w:val="en-US"/>
        </w:rPr>
        <w:t xml:space="preserve">To </w:t>
      </w:r>
      <w:r w:rsidR="00C23285" w:rsidRPr="001104D5">
        <w:rPr>
          <w:lang w:val="en-US"/>
        </w:rPr>
        <w:t>deprive the board of that power and leave it vested in a curator who acts under the control of the Authority under s</w:t>
      </w:r>
      <w:r w:rsidR="00414BC6">
        <w:rPr>
          <w:lang w:val="en-US"/>
        </w:rPr>
        <w:t xml:space="preserve">ection </w:t>
      </w:r>
      <w:r w:rsidR="00C23285" w:rsidRPr="001104D5">
        <w:rPr>
          <w:lang w:val="en-US"/>
        </w:rPr>
        <w:t>5(6) of the FI Act</w:t>
      </w:r>
      <w:r w:rsidR="001104D5">
        <w:rPr>
          <w:lang w:val="en-US"/>
        </w:rPr>
        <w:t>, would render the express provisions of sections 5(2)(b) and 5(8)(a) nugatory</w:t>
      </w:r>
      <w:r w:rsidR="00C23285" w:rsidRPr="00C23285">
        <w:rPr>
          <w:b/>
          <w:lang w:val="en-US"/>
        </w:rPr>
        <w:t>.</w:t>
      </w:r>
    </w:p>
    <w:p w:rsidR="00C733CD" w:rsidRDefault="00C733CD" w:rsidP="00C733CD">
      <w:pPr>
        <w:pStyle w:val="level1"/>
        <w:spacing w:after="480" w:line="360" w:lineRule="auto"/>
        <w:ind w:left="0" w:firstLine="0"/>
        <w:jc w:val="both"/>
        <w:rPr>
          <w:lang w:val="en-US"/>
        </w:rPr>
      </w:pPr>
      <w:r>
        <w:rPr>
          <w:lang w:val="en-US"/>
        </w:rPr>
        <w:t xml:space="preserve">Insofar as </w:t>
      </w:r>
      <w:proofErr w:type="spellStart"/>
      <w:r w:rsidRPr="00C733CD">
        <w:rPr>
          <w:i/>
          <w:lang w:val="en-US"/>
        </w:rPr>
        <w:t>Keyhealth</w:t>
      </w:r>
      <w:proofErr w:type="spellEnd"/>
      <w:r>
        <w:rPr>
          <w:lang w:val="en-US"/>
        </w:rPr>
        <w:t xml:space="preserve"> may not be distinguishable, I respectfully disagree with </w:t>
      </w:r>
      <w:proofErr w:type="spellStart"/>
      <w:r>
        <w:rPr>
          <w:lang w:val="en-US"/>
        </w:rPr>
        <w:t>Kollapen</w:t>
      </w:r>
      <w:proofErr w:type="spellEnd"/>
      <w:r>
        <w:rPr>
          <w:lang w:val="en-US"/>
        </w:rPr>
        <w:t xml:space="preserve"> J for the reasons </w:t>
      </w:r>
      <w:r w:rsidR="00127D0E">
        <w:rPr>
          <w:lang w:val="en-US"/>
        </w:rPr>
        <w:t xml:space="preserve">as </w:t>
      </w:r>
      <w:r>
        <w:rPr>
          <w:lang w:val="en-US"/>
        </w:rPr>
        <w:t xml:space="preserve">set out above. In any event, on a </w:t>
      </w:r>
      <w:r w:rsidR="00127D0E">
        <w:rPr>
          <w:lang w:val="en-US"/>
        </w:rPr>
        <w:t>proper</w:t>
      </w:r>
      <w:r>
        <w:rPr>
          <w:lang w:val="en-US"/>
        </w:rPr>
        <w:t xml:space="preserve"> interpretation of paragraph</w:t>
      </w:r>
      <w:r w:rsidR="00127D0E">
        <w:rPr>
          <w:lang w:val="en-US"/>
        </w:rPr>
        <w:t>s 8 and</w:t>
      </w:r>
      <w:r>
        <w:rPr>
          <w:lang w:val="en-US"/>
        </w:rPr>
        <w:t xml:space="preserve"> 11 of the provisional order as well as section</w:t>
      </w:r>
      <w:r w:rsidR="00127D0E">
        <w:rPr>
          <w:lang w:val="en-US"/>
        </w:rPr>
        <w:t>s 5(2</w:t>
      </w:r>
      <w:proofErr w:type="gramStart"/>
      <w:r w:rsidR="00127D0E">
        <w:rPr>
          <w:lang w:val="en-US"/>
        </w:rPr>
        <w:t>)(</w:t>
      </w:r>
      <w:proofErr w:type="gramEnd"/>
      <w:r w:rsidR="00127D0E">
        <w:rPr>
          <w:lang w:val="en-US"/>
        </w:rPr>
        <w:t>b) and</w:t>
      </w:r>
      <w:r>
        <w:rPr>
          <w:lang w:val="en-US"/>
        </w:rPr>
        <w:t xml:space="preserve"> 5(8)(a) of the </w:t>
      </w:r>
      <w:r>
        <w:rPr>
          <w:lang w:val="en-US"/>
        </w:rPr>
        <w:lastRenderedPageBreak/>
        <w:t xml:space="preserve">FI Act, it is my view that the board of directors of 3Sixty </w:t>
      </w:r>
      <w:r w:rsidR="00127D0E">
        <w:rPr>
          <w:lang w:val="en-US"/>
        </w:rPr>
        <w:t>would</w:t>
      </w:r>
      <w:r>
        <w:rPr>
          <w:lang w:val="en-US"/>
        </w:rPr>
        <w:t xml:space="preserve"> have </w:t>
      </w:r>
      <w:r w:rsidR="009475DC">
        <w:rPr>
          <w:lang w:val="en-US"/>
        </w:rPr>
        <w:t>the</w:t>
      </w:r>
      <w:r>
        <w:rPr>
          <w:lang w:val="en-US"/>
        </w:rPr>
        <w:t xml:space="preserve"> residual power to oppose the </w:t>
      </w:r>
      <w:r w:rsidR="00551316">
        <w:rPr>
          <w:lang w:val="en-US"/>
        </w:rPr>
        <w:t>confirmation of the provisional curatorship order</w:t>
      </w:r>
      <w:r>
        <w:rPr>
          <w:lang w:val="en-US"/>
        </w:rPr>
        <w:t xml:space="preserve">. </w:t>
      </w:r>
    </w:p>
    <w:p w:rsidR="00F76EB8" w:rsidRDefault="00F76EB8" w:rsidP="00FE74B1">
      <w:pPr>
        <w:pStyle w:val="level1"/>
        <w:spacing w:after="480" w:line="360" w:lineRule="auto"/>
        <w:ind w:left="0" w:firstLine="0"/>
        <w:jc w:val="both"/>
        <w:rPr>
          <w:lang w:val="en-US"/>
        </w:rPr>
      </w:pPr>
      <w:r>
        <w:rPr>
          <w:lang w:val="en-US"/>
        </w:rPr>
        <w:t>I conclude that the</w:t>
      </w:r>
      <w:r w:rsidR="00414BC6">
        <w:rPr>
          <w:lang w:val="en-US"/>
        </w:rPr>
        <w:t xml:space="preserve"> Authority’s challenge under rule 7 must fail</w:t>
      </w:r>
      <w:r w:rsidR="0092175B">
        <w:rPr>
          <w:lang w:val="en-US"/>
        </w:rPr>
        <w:t>.</w:t>
      </w:r>
      <w:r>
        <w:rPr>
          <w:lang w:val="en-US"/>
        </w:rPr>
        <w:t xml:space="preserve"> </w:t>
      </w:r>
    </w:p>
    <w:p w:rsidR="0092175B" w:rsidRDefault="0092175B" w:rsidP="0092175B">
      <w:pPr>
        <w:pStyle w:val="level1"/>
        <w:spacing w:after="480" w:line="360" w:lineRule="auto"/>
        <w:ind w:left="0" w:firstLine="0"/>
        <w:jc w:val="both"/>
        <w:rPr>
          <w:lang w:val="en-US"/>
        </w:rPr>
      </w:pPr>
      <w:r>
        <w:rPr>
          <w:lang w:val="en-US"/>
        </w:rPr>
        <w:t xml:space="preserve">As referred to earlier, </w:t>
      </w:r>
      <w:proofErr w:type="spellStart"/>
      <w:r>
        <w:rPr>
          <w:lang w:val="en-US"/>
        </w:rPr>
        <w:t>Ms</w:t>
      </w:r>
      <w:proofErr w:type="spellEnd"/>
      <w:r>
        <w:rPr>
          <w:lang w:val="en-US"/>
        </w:rPr>
        <w:t xml:space="preserve"> Ram launched an application for leave to intervene, </w:t>
      </w:r>
      <w:r w:rsidR="00414BC6">
        <w:rPr>
          <w:lang w:val="en-US"/>
        </w:rPr>
        <w:t>to which the parties consented</w:t>
      </w:r>
      <w:r>
        <w:rPr>
          <w:lang w:val="en-US"/>
        </w:rPr>
        <w:t xml:space="preserve">. That order will be granted by agreement. </w:t>
      </w:r>
      <w:proofErr w:type="spellStart"/>
      <w:r>
        <w:rPr>
          <w:lang w:val="en-US"/>
        </w:rPr>
        <w:t>Ms</w:t>
      </w:r>
      <w:proofErr w:type="spellEnd"/>
      <w:r>
        <w:rPr>
          <w:lang w:val="en-US"/>
        </w:rPr>
        <w:t xml:space="preserve"> Ram was afforded the opportunity to deliver affidavit</w:t>
      </w:r>
      <w:r w:rsidR="0084603A">
        <w:rPr>
          <w:lang w:val="en-US"/>
        </w:rPr>
        <w:t>s</w:t>
      </w:r>
      <w:r>
        <w:rPr>
          <w:lang w:val="en-US"/>
        </w:rPr>
        <w:t xml:space="preserve"> and make submissions in the proceedings. </w:t>
      </w:r>
    </w:p>
    <w:p w:rsidR="0092175B" w:rsidRPr="003D1F55" w:rsidRDefault="0092175B" w:rsidP="0092175B">
      <w:pPr>
        <w:pStyle w:val="level1"/>
        <w:spacing w:after="480" w:line="360" w:lineRule="auto"/>
        <w:ind w:left="0" w:firstLine="0"/>
        <w:jc w:val="both"/>
        <w:rPr>
          <w:lang w:val="en-US"/>
        </w:rPr>
      </w:pPr>
      <w:r w:rsidRPr="003D1F55">
        <w:rPr>
          <w:lang w:val="en-US"/>
        </w:rPr>
        <w:t>3Sixty launched two striking out applications</w:t>
      </w:r>
      <w:r w:rsidR="00291CEB">
        <w:rPr>
          <w:lang w:val="en-US"/>
        </w:rPr>
        <w:t>.</w:t>
      </w:r>
      <w:r w:rsidRPr="003D1F55">
        <w:rPr>
          <w:lang w:val="en-US"/>
        </w:rPr>
        <w:t xml:space="preserve"> The first, an application launched on 21 March 2022, seeking to strike portions of the applicant’s supplementary affidavit in which the </w:t>
      </w:r>
      <w:r w:rsidR="00291CEB">
        <w:rPr>
          <w:lang w:val="en-US"/>
        </w:rPr>
        <w:t>A</w:t>
      </w:r>
      <w:r w:rsidRPr="003D1F55">
        <w:rPr>
          <w:lang w:val="en-US"/>
        </w:rPr>
        <w:t>uthority reli</w:t>
      </w:r>
      <w:r>
        <w:rPr>
          <w:lang w:val="en-US"/>
        </w:rPr>
        <w:t>ed</w:t>
      </w:r>
      <w:r w:rsidRPr="003D1F55">
        <w:rPr>
          <w:lang w:val="en-US"/>
        </w:rPr>
        <w:t xml:space="preserve"> on various reports provided by the BDO support team members</w:t>
      </w:r>
      <w:r w:rsidR="0084603A">
        <w:rPr>
          <w:lang w:val="en-US"/>
        </w:rPr>
        <w:t>,</w:t>
      </w:r>
      <w:r w:rsidRPr="003D1F55">
        <w:rPr>
          <w:lang w:val="en-US"/>
        </w:rPr>
        <w:t xml:space="preserve"> </w:t>
      </w:r>
      <w:r>
        <w:rPr>
          <w:lang w:val="en-US"/>
        </w:rPr>
        <w:t xml:space="preserve">appointed to </w:t>
      </w:r>
      <w:r w:rsidR="00291CEB">
        <w:rPr>
          <w:lang w:val="en-US"/>
        </w:rPr>
        <w:t>assist</w:t>
      </w:r>
      <w:r>
        <w:rPr>
          <w:lang w:val="en-US"/>
        </w:rPr>
        <w:t xml:space="preserve"> </w:t>
      </w:r>
      <w:proofErr w:type="spellStart"/>
      <w:r>
        <w:rPr>
          <w:lang w:val="en-US"/>
        </w:rPr>
        <w:t>Ms</w:t>
      </w:r>
      <w:proofErr w:type="spellEnd"/>
      <w:r>
        <w:rPr>
          <w:lang w:val="en-US"/>
        </w:rPr>
        <w:t xml:space="preserve"> Ram</w:t>
      </w:r>
      <w:r w:rsidR="0084603A">
        <w:rPr>
          <w:lang w:val="en-US"/>
        </w:rPr>
        <w:t>,</w:t>
      </w:r>
      <w:r>
        <w:rPr>
          <w:lang w:val="en-US"/>
        </w:rPr>
        <w:t xml:space="preserve"> </w:t>
      </w:r>
      <w:r w:rsidRPr="003D1F55">
        <w:rPr>
          <w:lang w:val="en-US"/>
        </w:rPr>
        <w:t xml:space="preserve">in support of their averment that the curatorship should continue. </w:t>
      </w:r>
      <w:r>
        <w:rPr>
          <w:lang w:val="en-US"/>
        </w:rPr>
        <w:t xml:space="preserve">It was argued that the Authority was limited to the grounds raised in its founding affidavit. </w:t>
      </w:r>
      <w:r w:rsidRPr="003D1F55">
        <w:rPr>
          <w:lang w:val="en-US"/>
        </w:rPr>
        <w:t>3Sixty also delivered a supplementary affidavit in response to the Authority’s averments, in the event that the offending portions of the supplementary replying affidavit are not struck out.</w:t>
      </w:r>
    </w:p>
    <w:p w:rsidR="00563C7C" w:rsidRDefault="0092175B" w:rsidP="0092175B">
      <w:pPr>
        <w:pStyle w:val="level1"/>
        <w:spacing w:after="480" w:line="360" w:lineRule="auto"/>
        <w:ind w:left="0" w:firstLine="0"/>
        <w:jc w:val="both"/>
        <w:rPr>
          <w:lang w:val="en-US"/>
        </w:rPr>
      </w:pPr>
      <w:r>
        <w:rPr>
          <w:lang w:val="en-US"/>
        </w:rPr>
        <w:t>I am not persuaded that the application has merit. A</w:t>
      </w:r>
      <w:r w:rsidRPr="003D1F55">
        <w:rPr>
          <w:lang w:val="en-US"/>
        </w:rPr>
        <w:t xml:space="preserve">n opportunity </w:t>
      </w:r>
      <w:r w:rsidR="0084603A">
        <w:rPr>
          <w:lang w:val="en-US"/>
        </w:rPr>
        <w:t xml:space="preserve">was </w:t>
      </w:r>
      <w:r>
        <w:rPr>
          <w:lang w:val="en-US"/>
        </w:rPr>
        <w:t xml:space="preserve">afforded to 3Sixty </w:t>
      </w:r>
      <w:r w:rsidRPr="003D1F55">
        <w:rPr>
          <w:lang w:val="en-US"/>
        </w:rPr>
        <w:t xml:space="preserve">to deal with the additional affidavit, </w:t>
      </w:r>
      <w:r w:rsidR="0084603A">
        <w:rPr>
          <w:lang w:val="en-US"/>
        </w:rPr>
        <w:t xml:space="preserve">which it did. The issues raised in the supplementary affidavit by the Authority expanded on the issues raised in the founding affidavit. </w:t>
      </w:r>
      <w:r w:rsidR="00563C7C">
        <w:rPr>
          <w:lang w:val="en-US"/>
        </w:rPr>
        <w:t xml:space="preserve">In my view, </w:t>
      </w:r>
      <w:r w:rsidRPr="003D1F55">
        <w:rPr>
          <w:lang w:val="en-US"/>
        </w:rPr>
        <w:t xml:space="preserve">the interests of justice </w:t>
      </w:r>
      <w:proofErr w:type="spellStart"/>
      <w:r w:rsidRPr="003D1F55">
        <w:rPr>
          <w:lang w:val="en-US"/>
        </w:rPr>
        <w:t>favour</w:t>
      </w:r>
      <w:proofErr w:type="spellEnd"/>
      <w:r w:rsidRPr="003D1F55">
        <w:rPr>
          <w:lang w:val="en-US"/>
        </w:rPr>
        <w:t xml:space="preserve"> the admission of both affidavits so that the application can be determined on all the available facts and in the best interests of the policy holders of 3Sixty. This approach will not prejudice </w:t>
      </w:r>
      <w:r>
        <w:rPr>
          <w:lang w:val="en-US"/>
        </w:rPr>
        <w:t>3Sixty.</w:t>
      </w:r>
      <w:r w:rsidRPr="003D1F55">
        <w:rPr>
          <w:lang w:val="en-US"/>
        </w:rPr>
        <w:t xml:space="preserve"> </w:t>
      </w:r>
      <w:r>
        <w:rPr>
          <w:lang w:val="en-US"/>
        </w:rPr>
        <w:t xml:space="preserve"> </w:t>
      </w:r>
    </w:p>
    <w:p w:rsidR="0092175B" w:rsidRPr="003D1F55" w:rsidRDefault="0092175B" w:rsidP="0092175B">
      <w:pPr>
        <w:pStyle w:val="level1"/>
        <w:spacing w:after="480" w:line="360" w:lineRule="auto"/>
        <w:ind w:left="0" w:firstLine="0"/>
        <w:jc w:val="both"/>
        <w:rPr>
          <w:lang w:val="en-US"/>
        </w:rPr>
      </w:pPr>
      <w:r w:rsidRPr="003D1F55">
        <w:rPr>
          <w:lang w:val="en-US"/>
        </w:rPr>
        <w:t xml:space="preserve">The striking </w:t>
      </w:r>
      <w:r w:rsidR="00291CEB">
        <w:rPr>
          <w:lang w:val="en-US"/>
        </w:rPr>
        <w:t xml:space="preserve">out </w:t>
      </w:r>
      <w:r w:rsidRPr="003D1F55">
        <w:rPr>
          <w:lang w:val="en-US"/>
        </w:rPr>
        <w:t>application is thus dismissed</w:t>
      </w:r>
      <w:r>
        <w:rPr>
          <w:lang w:val="en-US"/>
        </w:rPr>
        <w:t xml:space="preserve"> </w:t>
      </w:r>
      <w:r w:rsidRPr="003D1F55">
        <w:rPr>
          <w:lang w:val="en-US"/>
        </w:rPr>
        <w:t>and the supplementary affidavit of 3Sixty is admitted into evidence.</w:t>
      </w:r>
      <w:r>
        <w:rPr>
          <w:lang w:val="en-US"/>
        </w:rPr>
        <w:t xml:space="preserve"> I will later deal with the costs.</w:t>
      </w:r>
    </w:p>
    <w:p w:rsidR="0092175B" w:rsidRDefault="000E17E9" w:rsidP="0092175B">
      <w:pPr>
        <w:pStyle w:val="level1"/>
        <w:spacing w:after="480" w:line="360" w:lineRule="auto"/>
        <w:ind w:left="0" w:firstLine="0"/>
        <w:jc w:val="both"/>
        <w:rPr>
          <w:lang w:val="en-US"/>
        </w:rPr>
      </w:pPr>
      <w:r>
        <w:rPr>
          <w:lang w:val="en-US"/>
        </w:rPr>
        <w:t xml:space="preserve">3Sixty’s </w:t>
      </w:r>
      <w:r w:rsidR="0092175B" w:rsidRPr="003D1F55">
        <w:rPr>
          <w:lang w:val="en-US"/>
        </w:rPr>
        <w:t xml:space="preserve">second striking </w:t>
      </w:r>
      <w:r w:rsidR="00291CEB">
        <w:rPr>
          <w:lang w:val="en-US"/>
        </w:rPr>
        <w:t xml:space="preserve">out </w:t>
      </w:r>
      <w:r w:rsidR="0092175B" w:rsidRPr="003D1F55">
        <w:rPr>
          <w:lang w:val="en-US"/>
        </w:rPr>
        <w:t>application launched on 20 June 2022</w:t>
      </w:r>
      <w:r w:rsidR="0092175B">
        <w:rPr>
          <w:lang w:val="en-US"/>
        </w:rPr>
        <w:t>,</w:t>
      </w:r>
      <w:r w:rsidR="0092175B" w:rsidRPr="003D1F55">
        <w:rPr>
          <w:lang w:val="en-US"/>
        </w:rPr>
        <w:t xml:space="preserve"> object</w:t>
      </w:r>
      <w:r>
        <w:rPr>
          <w:lang w:val="en-US"/>
        </w:rPr>
        <w:t>ed</w:t>
      </w:r>
      <w:r w:rsidR="0092175B" w:rsidRPr="003D1F55">
        <w:rPr>
          <w:lang w:val="en-US"/>
        </w:rPr>
        <w:t xml:space="preserve"> to </w:t>
      </w:r>
      <w:r w:rsidR="00563C7C">
        <w:rPr>
          <w:lang w:val="en-US"/>
        </w:rPr>
        <w:t xml:space="preserve">certain </w:t>
      </w:r>
      <w:r w:rsidR="0092175B" w:rsidRPr="003D1F55">
        <w:rPr>
          <w:lang w:val="en-US"/>
        </w:rPr>
        <w:t>paragraphs and annex</w:t>
      </w:r>
      <w:r w:rsidR="00291CEB">
        <w:rPr>
          <w:lang w:val="en-US"/>
        </w:rPr>
        <w:t>ures</w:t>
      </w:r>
      <w:r w:rsidR="0092175B" w:rsidRPr="003D1F55">
        <w:rPr>
          <w:lang w:val="en-US"/>
        </w:rPr>
        <w:t xml:space="preserve"> </w:t>
      </w:r>
      <w:r w:rsidR="00563C7C">
        <w:rPr>
          <w:lang w:val="en-US"/>
        </w:rPr>
        <w:t>containing financial information relating to 3Sixty in</w:t>
      </w:r>
      <w:r w:rsidR="0092175B" w:rsidRPr="003D1F55">
        <w:rPr>
          <w:lang w:val="en-US"/>
        </w:rPr>
        <w:t xml:space="preserve"> </w:t>
      </w:r>
      <w:r w:rsidR="0092175B" w:rsidRPr="003D1F55">
        <w:rPr>
          <w:lang w:val="en-US"/>
        </w:rPr>
        <w:lastRenderedPageBreak/>
        <w:t>the Authority’s affidavit dated 9 June 2022</w:t>
      </w:r>
      <w:r w:rsidR="00563C7C">
        <w:rPr>
          <w:lang w:val="en-US"/>
        </w:rPr>
        <w:t>.</w:t>
      </w:r>
      <w:r w:rsidR="0092175B" w:rsidRPr="003D1F55">
        <w:rPr>
          <w:lang w:val="en-US"/>
        </w:rPr>
        <w:t xml:space="preserve"> </w:t>
      </w:r>
      <w:r w:rsidR="0092175B">
        <w:rPr>
          <w:lang w:val="en-US"/>
        </w:rPr>
        <w:t xml:space="preserve">The averments in the Authority’s affidavit were delivered in response </w:t>
      </w:r>
      <w:r w:rsidR="00563C7C">
        <w:rPr>
          <w:lang w:val="en-US"/>
        </w:rPr>
        <w:t>t</w:t>
      </w:r>
      <w:r w:rsidR="0092175B">
        <w:rPr>
          <w:lang w:val="en-US"/>
        </w:rPr>
        <w:t xml:space="preserve">o the contention made in </w:t>
      </w:r>
      <w:proofErr w:type="spellStart"/>
      <w:r w:rsidR="0092175B">
        <w:rPr>
          <w:lang w:val="en-US"/>
        </w:rPr>
        <w:t>Ms</w:t>
      </w:r>
      <w:proofErr w:type="spellEnd"/>
      <w:r w:rsidR="0092175B">
        <w:rPr>
          <w:lang w:val="en-US"/>
        </w:rPr>
        <w:t xml:space="preserve"> Ram’s affidavit </w:t>
      </w:r>
      <w:r w:rsidR="00563C7C">
        <w:rPr>
          <w:lang w:val="en-US"/>
        </w:rPr>
        <w:t xml:space="preserve">of 8 June 2022 </w:t>
      </w:r>
      <w:r w:rsidR="0092175B">
        <w:rPr>
          <w:lang w:val="en-US"/>
        </w:rPr>
        <w:t xml:space="preserve">that 3Sixty was solvent. 3Sixty did not however object to the contents of </w:t>
      </w:r>
      <w:proofErr w:type="spellStart"/>
      <w:r w:rsidR="0092175B">
        <w:rPr>
          <w:lang w:val="en-US"/>
        </w:rPr>
        <w:t>Ms</w:t>
      </w:r>
      <w:proofErr w:type="spellEnd"/>
      <w:r w:rsidR="0092175B">
        <w:rPr>
          <w:lang w:val="en-US"/>
        </w:rPr>
        <w:t xml:space="preserve"> Ram’s affidavit.</w:t>
      </w:r>
    </w:p>
    <w:p w:rsidR="003828CC" w:rsidRDefault="0092175B" w:rsidP="00B42636">
      <w:pPr>
        <w:pStyle w:val="level1"/>
        <w:spacing w:after="480" w:line="360" w:lineRule="auto"/>
        <w:ind w:left="0" w:firstLine="0"/>
        <w:jc w:val="both"/>
        <w:rPr>
          <w:lang w:val="en-US"/>
        </w:rPr>
      </w:pPr>
      <w:r w:rsidRPr="00563C7C">
        <w:rPr>
          <w:lang w:val="en-US"/>
        </w:rPr>
        <w:t xml:space="preserve">3Sixty contended that the averments were </w:t>
      </w:r>
      <w:r w:rsidR="00291CEB">
        <w:rPr>
          <w:lang w:val="en-US"/>
        </w:rPr>
        <w:t xml:space="preserve">scandalous, </w:t>
      </w:r>
      <w:r w:rsidRPr="00563C7C">
        <w:rPr>
          <w:lang w:val="en-US"/>
        </w:rPr>
        <w:t xml:space="preserve">vexatious and </w:t>
      </w:r>
      <w:r w:rsidR="00291CEB">
        <w:rPr>
          <w:lang w:val="en-US"/>
        </w:rPr>
        <w:t>irrelevant.</w:t>
      </w:r>
      <w:r w:rsidRPr="00563C7C">
        <w:rPr>
          <w:lang w:val="en-US"/>
        </w:rPr>
        <w:t xml:space="preserve"> It delivered a substantial affidavit </w:t>
      </w:r>
      <w:r w:rsidR="00563C7C" w:rsidRPr="00563C7C">
        <w:rPr>
          <w:lang w:val="en-US"/>
        </w:rPr>
        <w:t xml:space="preserve">of which only a few paragraphs were dedicated to the </w:t>
      </w:r>
      <w:r w:rsidRPr="00563C7C">
        <w:rPr>
          <w:lang w:val="en-US"/>
        </w:rPr>
        <w:t>striking out application. Most of the affidavit was de</w:t>
      </w:r>
      <w:r w:rsidR="00291CEB">
        <w:rPr>
          <w:lang w:val="en-US"/>
        </w:rPr>
        <w:t>voted</w:t>
      </w:r>
      <w:r w:rsidRPr="00563C7C">
        <w:rPr>
          <w:lang w:val="en-US"/>
        </w:rPr>
        <w:t xml:space="preserve"> </w:t>
      </w:r>
      <w:r w:rsidR="00563C7C" w:rsidRPr="00563C7C">
        <w:rPr>
          <w:lang w:val="en-US"/>
        </w:rPr>
        <w:t>to</w:t>
      </w:r>
      <w:r w:rsidRPr="00563C7C">
        <w:rPr>
          <w:lang w:val="en-US"/>
        </w:rPr>
        <w:t xml:space="preserve"> extraneous issues already canvassed at the hearing and </w:t>
      </w:r>
      <w:r w:rsidR="00291CEB">
        <w:rPr>
          <w:lang w:val="en-US"/>
        </w:rPr>
        <w:t>constituted a</w:t>
      </w:r>
      <w:r w:rsidRPr="00563C7C">
        <w:rPr>
          <w:lang w:val="en-US"/>
        </w:rPr>
        <w:t xml:space="preserve"> re</w:t>
      </w:r>
      <w:r w:rsidR="00291CEB">
        <w:rPr>
          <w:lang w:val="en-US"/>
        </w:rPr>
        <w:t>-</w:t>
      </w:r>
      <w:r w:rsidRPr="00563C7C">
        <w:rPr>
          <w:lang w:val="en-US"/>
        </w:rPr>
        <w:t xml:space="preserve">arguing </w:t>
      </w:r>
      <w:r w:rsidR="00291CEB">
        <w:rPr>
          <w:lang w:val="en-US"/>
        </w:rPr>
        <w:t xml:space="preserve">of </w:t>
      </w:r>
      <w:r w:rsidRPr="00563C7C">
        <w:rPr>
          <w:lang w:val="en-US"/>
        </w:rPr>
        <w:t>3Sixty’s case on the merits. 3Sixty did not however meaningfully address the facts put up by the Authority and the fact that it was insolvent.</w:t>
      </w:r>
    </w:p>
    <w:p w:rsidR="0092175B" w:rsidRPr="00563C7C" w:rsidRDefault="0092175B" w:rsidP="00B42636">
      <w:pPr>
        <w:pStyle w:val="level1"/>
        <w:spacing w:after="480" w:line="360" w:lineRule="auto"/>
        <w:ind w:left="0" w:firstLine="0"/>
        <w:jc w:val="both"/>
        <w:rPr>
          <w:lang w:val="en-US"/>
        </w:rPr>
      </w:pPr>
      <w:r w:rsidRPr="00563C7C">
        <w:rPr>
          <w:lang w:val="en-US"/>
        </w:rPr>
        <w:t>The striking out application lacks merit. The challenged paragraphs are not scandalous, vexatious or irrelevant as envisaged in rule 6(15), nor has it been established that 3Sixty would be prejudiced if the offending paragraphs and annexures are not struck out. As</w:t>
      </w:r>
      <w:r w:rsidR="003828CC">
        <w:rPr>
          <w:lang w:val="en-US"/>
        </w:rPr>
        <w:t xml:space="preserve"> </w:t>
      </w:r>
      <w:r w:rsidRPr="00563C7C">
        <w:rPr>
          <w:lang w:val="en-US"/>
        </w:rPr>
        <w:t xml:space="preserve">such it has not met the applicable test for the striking out of portions of affidavits as enunciated by the Constitutional Court in </w:t>
      </w:r>
      <w:r w:rsidRPr="00563C7C">
        <w:rPr>
          <w:i/>
          <w:lang w:val="en-US"/>
        </w:rPr>
        <w:t xml:space="preserve">Helen </w:t>
      </w:r>
      <w:proofErr w:type="spellStart"/>
      <w:r w:rsidRPr="00563C7C">
        <w:rPr>
          <w:i/>
          <w:lang w:val="en-US"/>
        </w:rPr>
        <w:t>Suzman</w:t>
      </w:r>
      <w:proofErr w:type="spellEnd"/>
      <w:r w:rsidRPr="00563C7C">
        <w:rPr>
          <w:i/>
          <w:lang w:val="en-US"/>
        </w:rPr>
        <w:t xml:space="preserve"> Foundation v President of the Republic of South Afri</w:t>
      </w:r>
      <w:r w:rsidR="00291CEB">
        <w:rPr>
          <w:i/>
          <w:lang w:val="en-US"/>
        </w:rPr>
        <w:t>c</w:t>
      </w:r>
      <w:r w:rsidRPr="00563C7C">
        <w:rPr>
          <w:i/>
          <w:lang w:val="en-US"/>
        </w:rPr>
        <w:t>a</w:t>
      </w:r>
      <w:r w:rsidR="001D3089">
        <w:rPr>
          <w:i/>
          <w:lang w:val="en-US"/>
        </w:rPr>
        <w:t>.</w:t>
      </w:r>
      <w:r>
        <w:rPr>
          <w:rStyle w:val="FootnoteReference"/>
          <w:lang w:val="en-US"/>
        </w:rPr>
        <w:footnoteReference w:id="13"/>
      </w:r>
    </w:p>
    <w:p w:rsidR="0092175B" w:rsidRDefault="0092175B" w:rsidP="0092175B">
      <w:pPr>
        <w:pStyle w:val="level1"/>
        <w:spacing w:after="480" w:line="360" w:lineRule="auto"/>
        <w:ind w:left="0" w:firstLine="0"/>
        <w:jc w:val="both"/>
        <w:rPr>
          <w:lang w:val="en-US"/>
        </w:rPr>
      </w:pPr>
      <w:r>
        <w:rPr>
          <w:lang w:val="en-US"/>
        </w:rPr>
        <w:t>It follows that th</w:t>
      </w:r>
      <w:r w:rsidR="00291CEB">
        <w:rPr>
          <w:lang w:val="en-US"/>
        </w:rPr>
        <w:t>is</w:t>
      </w:r>
      <w:r w:rsidR="003828CC">
        <w:rPr>
          <w:lang w:val="en-US"/>
        </w:rPr>
        <w:t xml:space="preserve"> </w:t>
      </w:r>
      <w:r>
        <w:rPr>
          <w:lang w:val="en-US"/>
        </w:rPr>
        <w:t xml:space="preserve">application </w:t>
      </w:r>
      <w:r w:rsidR="00291CEB">
        <w:rPr>
          <w:lang w:val="en-US"/>
        </w:rPr>
        <w:t>too</w:t>
      </w:r>
      <w:r w:rsidR="003828CC">
        <w:rPr>
          <w:lang w:val="en-US"/>
        </w:rPr>
        <w:t xml:space="preserve"> </w:t>
      </w:r>
      <w:r>
        <w:rPr>
          <w:lang w:val="en-US"/>
        </w:rPr>
        <w:t>must fail. I return later to deal with the costs.</w:t>
      </w:r>
    </w:p>
    <w:p w:rsidR="006843DD" w:rsidRDefault="00AE5D47" w:rsidP="00486EEA">
      <w:pPr>
        <w:pStyle w:val="level1"/>
        <w:numPr>
          <w:ilvl w:val="0"/>
          <w:numId w:val="0"/>
        </w:numPr>
        <w:spacing w:after="480" w:line="360" w:lineRule="auto"/>
        <w:jc w:val="both"/>
        <w:rPr>
          <w:lang w:val="en-US"/>
        </w:rPr>
      </w:pPr>
      <w:r>
        <w:rPr>
          <w:lang w:val="en-US"/>
        </w:rPr>
        <w:t>The merits</w:t>
      </w:r>
    </w:p>
    <w:p w:rsidR="0089474D" w:rsidRPr="004433B3" w:rsidRDefault="0089474D" w:rsidP="0043660B">
      <w:pPr>
        <w:pStyle w:val="level1"/>
        <w:spacing w:after="480" w:line="360" w:lineRule="auto"/>
        <w:ind w:left="0" w:firstLine="0"/>
        <w:jc w:val="both"/>
        <w:rPr>
          <w:lang w:val="en-US"/>
        </w:rPr>
      </w:pPr>
      <w:r w:rsidRPr="004433B3">
        <w:rPr>
          <w:lang w:val="en-US"/>
        </w:rPr>
        <w:t xml:space="preserve">The application must be considered in context of the relevant statutory framework. 3Sixty is regulated in terms of </w:t>
      </w:r>
      <w:r w:rsidRPr="000C1752">
        <w:rPr>
          <w:i/>
          <w:lang w:val="en-US"/>
        </w:rPr>
        <w:t>inter alia</w:t>
      </w:r>
      <w:r w:rsidRPr="004433B3">
        <w:rPr>
          <w:lang w:val="en-US"/>
        </w:rPr>
        <w:t xml:space="preserve"> the Insurance Act</w:t>
      </w:r>
      <w:r w:rsidR="00096B33">
        <w:rPr>
          <w:rStyle w:val="FootnoteReference"/>
          <w:lang w:val="en-US"/>
        </w:rPr>
        <w:footnoteReference w:id="14"/>
      </w:r>
      <w:r w:rsidR="000E17E9">
        <w:rPr>
          <w:lang w:val="en-US"/>
        </w:rPr>
        <w:t>, the FI Act</w:t>
      </w:r>
      <w:r w:rsidR="004433B3" w:rsidRPr="004433B3">
        <w:rPr>
          <w:lang w:val="en-US"/>
        </w:rPr>
        <w:t xml:space="preserve"> and </w:t>
      </w:r>
      <w:r w:rsidRPr="004433B3">
        <w:rPr>
          <w:lang w:val="en-US"/>
        </w:rPr>
        <w:t>the Financial Sector Regulation Act</w:t>
      </w:r>
      <w:r w:rsidR="00205BB4">
        <w:rPr>
          <w:lang w:val="en-US"/>
        </w:rPr>
        <w:t xml:space="preserve"> (“FSR Act”)</w:t>
      </w:r>
      <w:r w:rsidR="001D3089">
        <w:rPr>
          <w:lang w:val="en-US"/>
        </w:rPr>
        <w:t>.</w:t>
      </w:r>
      <w:r>
        <w:rPr>
          <w:rStyle w:val="FootnoteReference"/>
          <w:lang w:val="en-US"/>
        </w:rPr>
        <w:footnoteReference w:id="15"/>
      </w:r>
      <w:r w:rsidR="004433B3">
        <w:rPr>
          <w:lang w:val="en-US"/>
        </w:rPr>
        <w:t xml:space="preserve"> </w:t>
      </w:r>
      <w:r w:rsidR="00376E87">
        <w:rPr>
          <w:lang w:val="en-US"/>
        </w:rPr>
        <w:t>Of particular relevance is s</w:t>
      </w:r>
      <w:r w:rsidR="000C1752">
        <w:rPr>
          <w:lang w:val="en-US"/>
        </w:rPr>
        <w:t xml:space="preserve">ection </w:t>
      </w:r>
      <w:r w:rsidR="00376E87">
        <w:rPr>
          <w:lang w:val="en-US"/>
        </w:rPr>
        <w:t>54(2) of the Insurance Act, which sets out the duties and powers of a curator, subject to s</w:t>
      </w:r>
      <w:r w:rsidR="000C1752">
        <w:rPr>
          <w:lang w:val="en-US"/>
        </w:rPr>
        <w:t xml:space="preserve">ection </w:t>
      </w:r>
      <w:r w:rsidR="00376E87">
        <w:rPr>
          <w:lang w:val="en-US"/>
        </w:rPr>
        <w:t xml:space="preserve">5 of </w:t>
      </w:r>
      <w:r w:rsidR="00376E87">
        <w:rPr>
          <w:lang w:val="en-US"/>
        </w:rPr>
        <w:lastRenderedPageBreak/>
        <w:t>the FI Act</w:t>
      </w:r>
      <w:r w:rsidR="001D3089">
        <w:rPr>
          <w:lang w:val="en-US"/>
        </w:rPr>
        <w:t>.</w:t>
      </w:r>
      <w:r>
        <w:rPr>
          <w:rStyle w:val="FootnoteReference"/>
          <w:lang w:val="en-US"/>
        </w:rPr>
        <w:footnoteReference w:id="16"/>
      </w:r>
      <w:r w:rsidR="00563C7C" w:rsidRPr="00563C7C">
        <w:rPr>
          <w:b/>
          <w:lang w:val="en-US"/>
        </w:rPr>
        <w:t xml:space="preserve"> </w:t>
      </w:r>
      <w:r w:rsidR="00405773" w:rsidRPr="00405773">
        <w:rPr>
          <w:lang w:val="en-US"/>
        </w:rPr>
        <w:t>The Authority is charged with oversight over institutions such as 3Sixty under the Insurance Act and the FSR Act.</w:t>
      </w:r>
      <w:r w:rsidR="00405773">
        <w:rPr>
          <w:b/>
          <w:lang w:val="en-US"/>
        </w:rPr>
        <w:t xml:space="preserve">              </w:t>
      </w:r>
    </w:p>
    <w:p w:rsidR="00281415" w:rsidRDefault="00281415" w:rsidP="00281415">
      <w:pPr>
        <w:pStyle w:val="level1"/>
        <w:spacing w:after="480" w:line="360" w:lineRule="auto"/>
        <w:ind w:left="0" w:firstLine="0"/>
        <w:jc w:val="both"/>
        <w:rPr>
          <w:lang w:val="en-US"/>
        </w:rPr>
      </w:pPr>
      <w:r>
        <w:rPr>
          <w:lang w:val="en-US"/>
        </w:rPr>
        <w:t xml:space="preserve">It is trite that the interest of the beneficiaries of </w:t>
      </w:r>
      <w:r w:rsidR="000E17E9">
        <w:rPr>
          <w:lang w:val="en-US"/>
        </w:rPr>
        <w:t>a</w:t>
      </w:r>
      <w:r>
        <w:rPr>
          <w:lang w:val="en-US"/>
        </w:rPr>
        <w:t xml:space="preserve"> scheme is paramount when considering whether a curator should be appointed to a scheme</w:t>
      </w:r>
      <w:r w:rsidR="001D3089">
        <w:rPr>
          <w:lang w:val="en-US"/>
        </w:rPr>
        <w:t>.</w:t>
      </w:r>
      <w:r>
        <w:rPr>
          <w:rStyle w:val="FootnoteReference"/>
          <w:lang w:val="en-US"/>
        </w:rPr>
        <w:footnoteReference w:id="17"/>
      </w:r>
      <w:r>
        <w:rPr>
          <w:lang w:val="en-US"/>
        </w:rPr>
        <w:t xml:space="preserve"> What ultimately has to be decided is whether the grounds, viewed objectively, constitute material irregularities justifying, in the interests of the policy holders, the appointment of a curator.</w:t>
      </w:r>
      <w:r>
        <w:rPr>
          <w:rStyle w:val="FootnoteReference"/>
          <w:lang w:val="en-US"/>
        </w:rPr>
        <w:footnoteReference w:id="18"/>
      </w:r>
    </w:p>
    <w:p w:rsidR="00527DBA" w:rsidRDefault="00C23E68" w:rsidP="00930836">
      <w:pPr>
        <w:pStyle w:val="level1"/>
        <w:spacing w:after="480" w:line="360" w:lineRule="auto"/>
        <w:ind w:left="0" w:firstLine="0"/>
        <w:jc w:val="both"/>
        <w:rPr>
          <w:lang w:val="en-US"/>
        </w:rPr>
      </w:pPr>
      <w:r w:rsidRPr="001C4C1A">
        <w:rPr>
          <w:lang w:val="en-US"/>
        </w:rPr>
        <w:t>The Authority in its founding papers</w:t>
      </w:r>
      <w:r w:rsidR="00780D61" w:rsidRPr="001C4C1A">
        <w:rPr>
          <w:lang w:val="en-US"/>
        </w:rPr>
        <w:t xml:space="preserve"> </w:t>
      </w:r>
      <w:r w:rsidRPr="001C4C1A">
        <w:rPr>
          <w:lang w:val="en-US"/>
        </w:rPr>
        <w:t xml:space="preserve">relied on </w:t>
      </w:r>
      <w:r w:rsidR="00780D61" w:rsidRPr="001C4C1A">
        <w:rPr>
          <w:lang w:val="en-US"/>
        </w:rPr>
        <w:t>s 54(1) of the Insurance Act</w:t>
      </w:r>
      <w:r w:rsidR="00780D61">
        <w:rPr>
          <w:rStyle w:val="FootnoteReference"/>
          <w:lang w:val="en-US"/>
        </w:rPr>
        <w:footnoteReference w:id="19"/>
      </w:r>
      <w:r w:rsidR="00780D61" w:rsidRPr="001C4C1A">
        <w:rPr>
          <w:lang w:val="en-US"/>
        </w:rPr>
        <w:t xml:space="preserve"> read with s 5(1) of the F</w:t>
      </w:r>
      <w:r w:rsidR="00405773" w:rsidRPr="001C4C1A">
        <w:rPr>
          <w:lang w:val="en-US"/>
        </w:rPr>
        <w:t>I A</w:t>
      </w:r>
      <w:r w:rsidR="00780D61" w:rsidRPr="001C4C1A">
        <w:rPr>
          <w:lang w:val="en-US"/>
        </w:rPr>
        <w:t>ct</w:t>
      </w:r>
      <w:r w:rsidR="008165D2" w:rsidRPr="001C4C1A">
        <w:rPr>
          <w:lang w:val="en-US"/>
        </w:rPr>
        <w:t xml:space="preserve"> to launch the application on an </w:t>
      </w:r>
      <w:r w:rsidR="008165D2" w:rsidRPr="00527DBA">
        <w:rPr>
          <w:i/>
          <w:lang w:val="en-US"/>
        </w:rPr>
        <w:t>ex parte</w:t>
      </w:r>
      <w:r w:rsidR="008165D2" w:rsidRPr="001C4C1A">
        <w:rPr>
          <w:lang w:val="en-US"/>
        </w:rPr>
        <w:t xml:space="preserve"> basis</w:t>
      </w:r>
      <w:r w:rsidRPr="001C4C1A">
        <w:rPr>
          <w:lang w:val="en-US"/>
        </w:rPr>
        <w:t xml:space="preserve">. </w:t>
      </w:r>
      <w:r w:rsidR="001C4C1A" w:rsidRPr="001C4C1A">
        <w:rPr>
          <w:lang w:val="en-US"/>
        </w:rPr>
        <w:t xml:space="preserve">The application was based on </w:t>
      </w:r>
      <w:r w:rsidR="00527DBA">
        <w:rPr>
          <w:lang w:val="en-US"/>
        </w:rPr>
        <w:t>various</w:t>
      </w:r>
      <w:r w:rsidR="001C4C1A" w:rsidRPr="001C4C1A">
        <w:rPr>
          <w:lang w:val="en-US"/>
        </w:rPr>
        <w:t xml:space="preserve"> grounds</w:t>
      </w:r>
      <w:r w:rsidR="00527DBA">
        <w:rPr>
          <w:lang w:val="en-US"/>
        </w:rPr>
        <w:t>.</w:t>
      </w:r>
      <w:r w:rsidR="001C4C1A" w:rsidRPr="001C4C1A">
        <w:rPr>
          <w:lang w:val="en-US"/>
        </w:rPr>
        <w:t xml:space="preserve"> </w:t>
      </w:r>
      <w:r w:rsidR="00527DBA">
        <w:rPr>
          <w:lang w:val="en-US"/>
        </w:rPr>
        <w:t>These included</w:t>
      </w:r>
      <w:r w:rsidR="001C4C1A" w:rsidRPr="001C4C1A">
        <w:rPr>
          <w:lang w:val="en-US"/>
        </w:rPr>
        <w:t xml:space="preserve"> </w:t>
      </w:r>
      <w:r w:rsidR="00527DBA">
        <w:rPr>
          <w:lang w:val="en-US"/>
        </w:rPr>
        <w:t>the insolvency of 3Sixty, its</w:t>
      </w:r>
      <w:r w:rsidR="00527DBA" w:rsidRPr="001C4C1A">
        <w:rPr>
          <w:lang w:val="en-US"/>
        </w:rPr>
        <w:t xml:space="preserve"> Solvency Capital Requirement (“SCR”)</w:t>
      </w:r>
      <w:r w:rsidR="00527DBA">
        <w:rPr>
          <w:rStyle w:val="FootnoteReference"/>
          <w:lang w:val="en-US"/>
        </w:rPr>
        <w:footnoteReference w:id="20"/>
      </w:r>
      <w:r w:rsidR="00527DBA" w:rsidRPr="001C4C1A">
        <w:rPr>
          <w:lang w:val="en-US"/>
        </w:rPr>
        <w:t xml:space="preserve"> and Minimum Capital Requirement (“MCR”)</w:t>
      </w:r>
      <w:r w:rsidR="00527DBA">
        <w:rPr>
          <w:rStyle w:val="FootnoteReference"/>
          <w:lang w:val="en-US"/>
        </w:rPr>
        <w:footnoteReference w:id="21"/>
      </w:r>
      <w:r w:rsidR="000E17E9">
        <w:rPr>
          <w:lang w:val="en-US"/>
        </w:rPr>
        <w:t xml:space="preserve"> being below the regulatory minimum</w:t>
      </w:r>
      <w:r w:rsidR="00527DBA">
        <w:rPr>
          <w:lang w:val="en-US"/>
        </w:rPr>
        <w:t xml:space="preserve">, the audit of 3Sixty’s results for the 2020 financial year not </w:t>
      </w:r>
      <w:r w:rsidR="000E17E9">
        <w:rPr>
          <w:lang w:val="en-US"/>
        </w:rPr>
        <w:t xml:space="preserve">having </w:t>
      </w:r>
      <w:r w:rsidR="00527DBA">
        <w:rPr>
          <w:lang w:val="en-US"/>
        </w:rPr>
        <w:t xml:space="preserve">been concluded, </w:t>
      </w:r>
      <w:r w:rsidR="000E17E9">
        <w:rPr>
          <w:lang w:val="en-US"/>
        </w:rPr>
        <w:t>i</w:t>
      </w:r>
      <w:r w:rsidR="00527DBA">
        <w:rPr>
          <w:lang w:val="en-US"/>
        </w:rPr>
        <w:t>t</w:t>
      </w:r>
      <w:r w:rsidR="000E17E9">
        <w:rPr>
          <w:lang w:val="en-US"/>
        </w:rPr>
        <w:t>s</w:t>
      </w:r>
      <w:r w:rsidR="00527DBA">
        <w:rPr>
          <w:lang w:val="en-US"/>
        </w:rPr>
        <w:t xml:space="preserve"> high executive staff turnover rate and that the </w:t>
      </w:r>
      <w:r w:rsidR="000E17E9">
        <w:rPr>
          <w:lang w:val="en-US"/>
        </w:rPr>
        <w:t xml:space="preserve">fact that the </w:t>
      </w:r>
      <w:r w:rsidR="00527DBA">
        <w:rPr>
          <w:lang w:val="en-US"/>
        </w:rPr>
        <w:t xml:space="preserve">Authority had received complaints about 3Sixty’s unwillingness or inability to pay claims.  </w:t>
      </w:r>
    </w:p>
    <w:p w:rsidR="00527DBA" w:rsidRDefault="00C23E68" w:rsidP="0043660B">
      <w:pPr>
        <w:pStyle w:val="level1"/>
        <w:spacing w:after="480" w:line="360" w:lineRule="auto"/>
        <w:ind w:left="0" w:firstLine="0"/>
        <w:jc w:val="both"/>
        <w:rPr>
          <w:lang w:val="en-US"/>
        </w:rPr>
      </w:pPr>
      <w:r w:rsidRPr="008165D2">
        <w:rPr>
          <w:lang w:val="en-US"/>
        </w:rPr>
        <w:t>I</w:t>
      </w:r>
      <w:r w:rsidR="006843DD" w:rsidRPr="008165D2">
        <w:rPr>
          <w:lang w:val="en-US"/>
        </w:rPr>
        <w:t>n sum, i</w:t>
      </w:r>
      <w:r w:rsidRPr="008165D2">
        <w:rPr>
          <w:lang w:val="en-US"/>
        </w:rPr>
        <w:t xml:space="preserve">ts </w:t>
      </w:r>
      <w:r w:rsidR="00D12421" w:rsidRPr="008165D2">
        <w:rPr>
          <w:lang w:val="en-US"/>
        </w:rPr>
        <w:t>c</w:t>
      </w:r>
      <w:r w:rsidR="00F35546" w:rsidRPr="008165D2">
        <w:rPr>
          <w:lang w:val="en-US"/>
        </w:rPr>
        <w:t xml:space="preserve">ase was that 3Sixty </w:t>
      </w:r>
      <w:r w:rsidR="0014188B">
        <w:rPr>
          <w:lang w:val="en-US"/>
        </w:rPr>
        <w:t xml:space="preserve">was guilty of </w:t>
      </w:r>
      <w:r w:rsidR="00527DBA">
        <w:rPr>
          <w:lang w:val="en-US"/>
        </w:rPr>
        <w:t xml:space="preserve">various </w:t>
      </w:r>
      <w:r w:rsidR="0014188B">
        <w:rPr>
          <w:lang w:val="en-US"/>
        </w:rPr>
        <w:t xml:space="preserve">statutory transgressions </w:t>
      </w:r>
      <w:r w:rsidR="00F35546" w:rsidRPr="008165D2">
        <w:rPr>
          <w:lang w:val="en-US"/>
        </w:rPr>
        <w:t>of the Insurance Act</w:t>
      </w:r>
      <w:r w:rsidR="002C6297">
        <w:rPr>
          <w:lang w:val="en-US"/>
        </w:rPr>
        <w:t xml:space="preserve">, </w:t>
      </w:r>
      <w:r w:rsidR="00074986">
        <w:rPr>
          <w:lang w:val="en-US"/>
        </w:rPr>
        <w:t>was not</w:t>
      </w:r>
      <w:r w:rsidR="002C6297">
        <w:rPr>
          <w:lang w:val="en-US"/>
        </w:rPr>
        <w:t xml:space="preserve"> in a sound financial position and could not </w:t>
      </w:r>
      <w:r w:rsidR="00527DBA">
        <w:rPr>
          <w:lang w:val="en-US"/>
        </w:rPr>
        <w:t xml:space="preserve">be </w:t>
      </w:r>
      <w:r w:rsidR="002C6297">
        <w:rPr>
          <w:lang w:val="en-US"/>
        </w:rPr>
        <w:t>restore</w:t>
      </w:r>
      <w:r w:rsidR="00527DBA">
        <w:rPr>
          <w:lang w:val="en-US"/>
        </w:rPr>
        <w:t>d</w:t>
      </w:r>
      <w:r w:rsidR="002C6297">
        <w:rPr>
          <w:lang w:val="en-US"/>
        </w:rPr>
        <w:t xml:space="preserve"> into </w:t>
      </w:r>
      <w:r w:rsidR="002C6297">
        <w:rPr>
          <w:lang w:val="en-US"/>
        </w:rPr>
        <w:lastRenderedPageBreak/>
        <w:t>compliance with the regulatory regime</w:t>
      </w:r>
      <w:r w:rsidR="00527DBA">
        <w:rPr>
          <w:lang w:val="en-US"/>
        </w:rPr>
        <w:t>.</w:t>
      </w:r>
      <w:r w:rsidR="008165D2">
        <w:rPr>
          <w:lang w:val="en-US"/>
        </w:rPr>
        <w:t xml:space="preserve"> </w:t>
      </w:r>
      <w:r w:rsidR="00527DBA">
        <w:rPr>
          <w:lang w:val="en-US"/>
        </w:rPr>
        <w:t>T</w:t>
      </w:r>
      <w:r w:rsidR="00074986">
        <w:rPr>
          <w:lang w:val="en-US"/>
        </w:rPr>
        <w:t>he Financial Sector Conduct Authority (“FSCA”) supported the application</w:t>
      </w:r>
      <w:r w:rsidR="008165D2" w:rsidRPr="008165D2">
        <w:rPr>
          <w:lang w:val="en-US"/>
        </w:rPr>
        <w:t>.</w:t>
      </w:r>
      <w:r w:rsidR="002C6297">
        <w:rPr>
          <w:lang w:val="en-US"/>
        </w:rPr>
        <w:t xml:space="preserve"> </w:t>
      </w:r>
    </w:p>
    <w:p w:rsidR="002C6297" w:rsidRDefault="002C6297" w:rsidP="0043660B">
      <w:pPr>
        <w:pStyle w:val="level1"/>
        <w:spacing w:after="480" w:line="360" w:lineRule="auto"/>
        <w:ind w:left="0" w:firstLine="0"/>
        <w:jc w:val="both"/>
        <w:rPr>
          <w:lang w:val="en-US"/>
        </w:rPr>
      </w:pPr>
      <w:r>
        <w:rPr>
          <w:lang w:val="en-US"/>
        </w:rPr>
        <w:t xml:space="preserve">It was contended that the application was launched on an </w:t>
      </w:r>
      <w:r w:rsidRPr="00527DBA">
        <w:rPr>
          <w:i/>
          <w:lang w:val="en-US"/>
        </w:rPr>
        <w:t>ex parte</w:t>
      </w:r>
      <w:r>
        <w:rPr>
          <w:lang w:val="en-US"/>
        </w:rPr>
        <w:t xml:space="preserve"> and </w:t>
      </w:r>
      <w:r w:rsidRPr="00527DBA">
        <w:rPr>
          <w:i/>
          <w:lang w:val="en-US"/>
        </w:rPr>
        <w:t xml:space="preserve">in camera </w:t>
      </w:r>
      <w:r>
        <w:rPr>
          <w:lang w:val="en-US"/>
        </w:rPr>
        <w:t>basis:</w:t>
      </w:r>
    </w:p>
    <w:p w:rsidR="008165D2" w:rsidRPr="002C6297" w:rsidRDefault="002C6297" w:rsidP="002C6297">
      <w:pPr>
        <w:pStyle w:val="level1"/>
        <w:numPr>
          <w:ilvl w:val="0"/>
          <w:numId w:val="0"/>
        </w:numPr>
        <w:spacing w:after="480"/>
        <w:ind w:left="720" w:firstLine="70"/>
        <w:jc w:val="both"/>
        <w:rPr>
          <w:sz w:val="20"/>
          <w:szCs w:val="20"/>
          <w:lang w:val="en-US"/>
        </w:rPr>
      </w:pPr>
      <w:r w:rsidRPr="002C6297">
        <w:rPr>
          <w:sz w:val="20"/>
          <w:szCs w:val="20"/>
          <w:lang w:val="en-US"/>
        </w:rPr>
        <w:t>“</w:t>
      </w:r>
      <w:r w:rsidR="00527DBA">
        <w:rPr>
          <w:sz w:val="20"/>
          <w:szCs w:val="20"/>
          <w:lang w:val="en-US"/>
        </w:rPr>
        <w:t>..</w:t>
      </w:r>
      <w:proofErr w:type="gramStart"/>
      <w:r w:rsidRPr="002C6297">
        <w:rPr>
          <w:i/>
          <w:sz w:val="20"/>
          <w:szCs w:val="20"/>
          <w:lang w:val="en-US"/>
        </w:rPr>
        <w:t>to</w:t>
      </w:r>
      <w:proofErr w:type="gramEnd"/>
      <w:r w:rsidRPr="002C6297">
        <w:rPr>
          <w:i/>
          <w:sz w:val="20"/>
          <w:szCs w:val="20"/>
          <w:lang w:val="en-US"/>
        </w:rPr>
        <w:t xml:space="preserve"> avoid the risk of 3Sixty taking steps to misappropriate funds, or otherwise act improperly or unlawfully upon gaining knowledge that a curator is on her way. There may be records and other critical info</w:t>
      </w:r>
      <w:r w:rsidR="004F47C1">
        <w:rPr>
          <w:i/>
          <w:sz w:val="20"/>
          <w:szCs w:val="20"/>
          <w:lang w:val="en-US"/>
        </w:rPr>
        <w:t>r</w:t>
      </w:r>
      <w:r w:rsidRPr="002C6297">
        <w:rPr>
          <w:i/>
          <w:sz w:val="20"/>
          <w:szCs w:val="20"/>
          <w:lang w:val="en-US"/>
        </w:rPr>
        <w:t>mat</w:t>
      </w:r>
      <w:r>
        <w:rPr>
          <w:i/>
          <w:sz w:val="20"/>
          <w:szCs w:val="20"/>
          <w:lang w:val="en-US"/>
        </w:rPr>
        <w:t>i</w:t>
      </w:r>
      <w:r w:rsidRPr="002C6297">
        <w:rPr>
          <w:i/>
          <w:sz w:val="20"/>
          <w:szCs w:val="20"/>
          <w:lang w:val="en-US"/>
        </w:rPr>
        <w:t>on also destroyed in order for the curator not to have sight of these</w:t>
      </w:r>
      <w:r w:rsidRPr="002C6297">
        <w:rPr>
          <w:sz w:val="20"/>
          <w:szCs w:val="20"/>
          <w:lang w:val="en-US"/>
        </w:rPr>
        <w:t>”.</w:t>
      </w:r>
    </w:p>
    <w:p w:rsidR="00096B33" w:rsidRDefault="00527DBA" w:rsidP="00096B33">
      <w:pPr>
        <w:pStyle w:val="level1"/>
        <w:spacing w:after="480" w:line="360" w:lineRule="auto"/>
        <w:ind w:left="0" w:firstLine="0"/>
        <w:jc w:val="both"/>
        <w:rPr>
          <w:lang w:val="en-US"/>
        </w:rPr>
      </w:pPr>
      <w:r>
        <w:rPr>
          <w:lang w:val="en-US"/>
        </w:rPr>
        <w:t xml:space="preserve">A broad ground of opposition raised by </w:t>
      </w:r>
      <w:r w:rsidR="00096B33">
        <w:rPr>
          <w:lang w:val="en-US"/>
        </w:rPr>
        <w:t xml:space="preserve">3Sixty was that the provisional curatorship order should be set aside as the Authority had not complied with the principles relevant to </w:t>
      </w:r>
      <w:r w:rsidR="00096B33" w:rsidRPr="00527DBA">
        <w:rPr>
          <w:i/>
          <w:lang w:val="en-US"/>
        </w:rPr>
        <w:t>ex parte</w:t>
      </w:r>
      <w:r w:rsidR="00096B33">
        <w:rPr>
          <w:lang w:val="en-US"/>
        </w:rPr>
        <w:t xml:space="preserve"> applications, had not made full disclosure of all relevant facts and had misled the court in various respects. It argued that </w:t>
      </w:r>
      <w:r w:rsidR="00096B33" w:rsidRPr="004F2730">
        <w:rPr>
          <w:lang w:val="en-US"/>
        </w:rPr>
        <w:t>each of the</w:t>
      </w:r>
      <w:r w:rsidR="00096B33">
        <w:rPr>
          <w:lang w:val="en-US"/>
        </w:rPr>
        <w:t xml:space="preserve"> grounds relied on by the Authority</w:t>
      </w:r>
      <w:r w:rsidR="00096B33" w:rsidRPr="004F2730">
        <w:rPr>
          <w:lang w:val="en-US"/>
        </w:rPr>
        <w:t xml:space="preserve"> </w:t>
      </w:r>
      <w:r w:rsidR="00096B33">
        <w:rPr>
          <w:lang w:val="en-US"/>
        </w:rPr>
        <w:t>wa</w:t>
      </w:r>
      <w:r w:rsidR="00096B33" w:rsidRPr="004F2730">
        <w:rPr>
          <w:lang w:val="en-US"/>
        </w:rPr>
        <w:t>s speculative, unreasona</w:t>
      </w:r>
      <w:r w:rsidR="00096B33">
        <w:rPr>
          <w:lang w:val="en-US"/>
        </w:rPr>
        <w:t>b</w:t>
      </w:r>
      <w:r w:rsidR="00096B33" w:rsidRPr="004F2730">
        <w:rPr>
          <w:lang w:val="en-US"/>
        </w:rPr>
        <w:t>le or misleading and should be rejected.</w:t>
      </w:r>
      <w:r w:rsidR="00096B33">
        <w:rPr>
          <w:lang w:val="en-US"/>
        </w:rPr>
        <w:t xml:space="preserve"> It was further argued that the Authority had failed to demonstrate any reasonable basis for not giving notice of the application to 3Sixty or bringing the application as one of urgency.</w:t>
      </w:r>
    </w:p>
    <w:p w:rsidR="00096B33" w:rsidRDefault="00096B33" w:rsidP="00096B33">
      <w:pPr>
        <w:pStyle w:val="level1"/>
        <w:spacing w:after="480" w:line="360" w:lineRule="auto"/>
        <w:ind w:left="0" w:firstLine="0"/>
        <w:jc w:val="both"/>
        <w:rPr>
          <w:lang w:val="en-US"/>
        </w:rPr>
      </w:pPr>
      <w:r w:rsidRPr="00917E58">
        <w:rPr>
          <w:lang w:val="en-US"/>
        </w:rPr>
        <w:t xml:space="preserve">It is trite that an applicant must, in an </w:t>
      </w:r>
      <w:r w:rsidRPr="00527DBA">
        <w:rPr>
          <w:i/>
          <w:lang w:val="en-US"/>
        </w:rPr>
        <w:t xml:space="preserve">ex parte </w:t>
      </w:r>
      <w:r w:rsidRPr="00917E58">
        <w:rPr>
          <w:lang w:val="en-US"/>
        </w:rPr>
        <w:t>application, disclose all material facts which might influence a court in coming to its decision</w:t>
      </w:r>
      <w:r w:rsidR="001D3089">
        <w:rPr>
          <w:lang w:val="en-US"/>
        </w:rPr>
        <w:t>.</w:t>
      </w:r>
      <w:r>
        <w:rPr>
          <w:rStyle w:val="FootnoteReference"/>
          <w:lang w:val="en-US"/>
        </w:rPr>
        <w:footnoteReference w:id="22"/>
      </w:r>
      <w:r w:rsidRPr="00917E58">
        <w:rPr>
          <w:lang w:val="en-US"/>
        </w:rPr>
        <w:t xml:space="preserve"> The withholding or suppression of material facts entitles a court to set aside an order even if the non- disclosure was not </w:t>
      </w:r>
      <w:proofErr w:type="spellStart"/>
      <w:r w:rsidRPr="00917E58">
        <w:rPr>
          <w:lang w:val="en-US"/>
        </w:rPr>
        <w:t>wilful</w:t>
      </w:r>
      <w:proofErr w:type="spellEnd"/>
      <w:r w:rsidRPr="00917E58">
        <w:rPr>
          <w:lang w:val="en-US"/>
        </w:rPr>
        <w:t xml:space="preserve"> or </w:t>
      </w:r>
      <w:r w:rsidRPr="00527DBA">
        <w:rPr>
          <w:i/>
          <w:lang w:val="en-US"/>
        </w:rPr>
        <w:t>mala fide</w:t>
      </w:r>
      <w:r w:rsidRPr="00917E58">
        <w:rPr>
          <w:lang w:val="en-US"/>
        </w:rPr>
        <w:t xml:space="preserve"> and a court retai</w:t>
      </w:r>
      <w:r w:rsidR="00205BB4">
        <w:rPr>
          <w:lang w:val="en-US"/>
        </w:rPr>
        <w:t>ns a discretion in this regard.</w:t>
      </w:r>
      <w:r>
        <w:rPr>
          <w:rStyle w:val="FootnoteReference"/>
          <w:lang w:val="en-US"/>
        </w:rPr>
        <w:footnoteReference w:id="23"/>
      </w:r>
      <w:r>
        <w:rPr>
          <w:lang w:val="en-US"/>
        </w:rPr>
        <w:t xml:space="preserve"> </w:t>
      </w:r>
      <w:r w:rsidR="00205BB4">
        <w:rPr>
          <w:lang w:val="en-US"/>
        </w:rPr>
        <w:t xml:space="preserve"> </w:t>
      </w:r>
      <w:r w:rsidRPr="00917E58">
        <w:rPr>
          <w:lang w:val="en-US"/>
        </w:rPr>
        <w:t xml:space="preserve">It is further well established that a court has a discretion to discharge a provisional order in circumstances where the use of </w:t>
      </w:r>
      <w:r w:rsidRPr="00384856">
        <w:rPr>
          <w:i/>
          <w:lang w:val="en-US"/>
        </w:rPr>
        <w:t>ex parte</w:t>
      </w:r>
      <w:r w:rsidRPr="00917E58">
        <w:rPr>
          <w:lang w:val="en-US"/>
        </w:rPr>
        <w:t xml:space="preserve"> proceedings was unjustified</w:t>
      </w:r>
      <w:r w:rsidR="001D3089">
        <w:rPr>
          <w:lang w:val="en-US"/>
        </w:rPr>
        <w:t>.</w:t>
      </w:r>
      <w:r>
        <w:rPr>
          <w:rStyle w:val="FootnoteReference"/>
          <w:lang w:val="en-US"/>
        </w:rPr>
        <w:footnoteReference w:id="24"/>
      </w:r>
    </w:p>
    <w:p w:rsidR="0031118A" w:rsidRDefault="0031118A" w:rsidP="006D128B">
      <w:pPr>
        <w:pStyle w:val="level1"/>
        <w:spacing w:after="480" w:line="360" w:lineRule="auto"/>
        <w:ind w:left="0" w:firstLine="0"/>
        <w:jc w:val="both"/>
        <w:rPr>
          <w:lang w:val="en-US"/>
        </w:rPr>
      </w:pPr>
      <w:r>
        <w:rPr>
          <w:lang w:val="en-US"/>
        </w:rPr>
        <w:lastRenderedPageBreak/>
        <w:t xml:space="preserve">It was common cause that </w:t>
      </w:r>
      <w:proofErr w:type="spellStart"/>
      <w:r>
        <w:rPr>
          <w:lang w:val="en-US"/>
        </w:rPr>
        <w:t>Ms</w:t>
      </w:r>
      <w:proofErr w:type="spellEnd"/>
      <w:r>
        <w:rPr>
          <w:lang w:val="en-US"/>
        </w:rPr>
        <w:t xml:space="preserve"> Ram’s qualifications were </w:t>
      </w:r>
      <w:r w:rsidR="00384856">
        <w:rPr>
          <w:lang w:val="en-US"/>
        </w:rPr>
        <w:t xml:space="preserve">initially </w:t>
      </w:r>
      <w:r>
        <w:rPr>
          <w:lang w:val="en-US"/>
        </w:rPr>
        <w:t xml:space="preserve">misstated in the Authority’s founding papers. 3Sixty relied on this as constituting misleading evidence given in the </w:t>
      </w:r>
      <w:r w:rsidRPr="00384856">
        <w:rPr>
          <w:i/>
          <w:lang w:val="en-US"/>
        </w:rPr>
        <w:t>ex parte</w:t>
      </w:r>
      <w:r>
        <w:rPr>
          <w:lang w:val="en-US"/>
        </w:rPr>
        <w:t xml:space="preserve"> application. It was this fact which gave rise to the Authority launching the urgent variation application on the basis that it had lost faith in the integrity of </w:t>
      </w:r>
      <w:proofErr w:type="spellStart"/>
      <w:r>
        <w:rPr>
          <w:lang w:val="en-US"/>
        </w:rPr>
        <w:t>Ms</w:t>
      </w:r>
      <w:proofErr w:type="spellEnd"/>
      <w:r>
        <w:rPr>
          <w:lang w:val="en-US"/>
        </w:rPr>
        <w:t xml:space="preserve"> Ram. </w:t>
      </w:r>
    </w:p>
    <w:p w:rsidR="0031118A" w:rsidRDefault="0031118A" w:rsidP="006D128B">
      <w:pPr>
        <w:pStyle w:val="level1"/>
        <w:spacing w:after="480" w:line="360" w:lineRule="auto"/>
        <w:ind w:left="0" w:firstLine="0"/>
        <w:jc w:val="both"/>
        <w:rPr>
          <w:lang w:val="en-US"/>
        </w:rPr>
      </w:pPr>
      <w:r>
        <w:rPr>
          <w:lang w:val="en-US"/>
        </w:rPr>
        <w:t xml:space="preserve">Given the circumstances, I am not persuaded that the misstatement of </w:t>
      </w:r>
      <w:proofErr w:type="spellStart"/>
      <w:r>
        <w:rPr>
          <w:lang w:val="en-US"/>
        </w:rPr>
        <w:t>Ms</w:t>
      </w:r>
      <w:proofErr w:type="spellEnd"/>
      <w:r>
        <w:rPr>
          <w:lang w:val="en-US"/>
        </w:rPr>
        <w:t xml:space="preserve"> Ram’s qualifications constitutes sufficient grounds </w:t>
      </w:r>
      <w:r w:rsidR="00384856">
        <w:rPr>
          <w:lang w:val="en-US"/>
        </w:rPr>
        <w:t>to</w:t>
      </w:r>
      <w:r>
        <w:rPr>
          <w:lang w:val="en-US"/>
        </w:rPr>
        <w:t xml:space="preserve"> set aside the entire curatorship order. </w:t>
      </w:r>
    </w:p>
    <w:p w:rsidR="002912BA" w:rsidRDefault="00096B33" w:rsidP="002912BA">
      <w:pPr>
        <w:pStyle w:val="level1"/>
        <w:spacing w:after="480" w:line="360" w:lineRule="auto"/>
        <w:ind w:left="0" w:firstLine="0"/>
        <w:jc w:val="both"/>
        <w:rPr>
          <w:lang w:val="en-US"/>
        </w:rPr>
      </w:pPr>
      <w:r>
        <w:rPr>
          <w:lang w:val="en-US"/>
        </w:rPr>
        <w:t xml:space="preserve">Whilst </w:t>
      </w:r>
      <w:r w:rsidR="00074986" w:rsidRPr="00602ECD">
        <w:rPr>
          <w:lang w:val="en-US"/>
        </w:rPr>
        <w:t xml:space="preserve">I </w:t>
      </w:r>
      <w:r>
        <w:rPr>
          <w:lang w:val="en-US"/>
        </w:rPr>
        <w:t>a</w:t>
      </w:r>
      <w:r w:rsidR="00074986" w:rsidRPr="00602ECD">
        <w:rPr>
          <w:lang w:val="en-US"/>
        </w:rPr>
        <w:t xml:space="preserve">gree with 3Sixty that there was no sound basis for the </w:t>
      </w:r>
      <w:r w:rsidR="00B42636">
        <w:rPr>
          <w:lang w:val="en-US"/>
        </w:rPr>
        <w:t xml:space="preserve">Authority’s </w:t>
      </w:r>
      <w:r w:rsidR="00074986" w:rsidRPr="00602ECD">
        <w:rPr>
          <w:lang w:val="en-US"/>
        </w:rPr>
        <w:t>allegation</w:t>
      </w:r>
      <w:r w:rsidR="00B42636">
        <w:rPr>
          <w:lang w:val="en-US"/>
        </w:rPr>
        <w:t>s</w:t>
      </w:r>
      <w:r w:rsidR="00074986" w:rsidRPr="00602ECD">
        <w:rPr>
          <w:lang w:val="en-US"/>
        </w:rPr>
        <w:t xml:space="preserve"> that there was a risk of misappropriation of funds or destruction of documents</w:t>
      </w:r>
      <w:r w:rsidR="00B42636">
        <w:rPr>
          <w:lang w:val="en-US"/>
        </w:rPr>
        <w:t xml:space="preserve"> and that they were specious</w:t>
      </w:r>
      <w:r>
        <w:rPr>
          <w:lang w:val="en-US"/>
        </w:rPr>
        <w:t xml:space="preserve">, </w:t>
      </w:r>
      <w:r w:rsidR="00B42636">
        <w:rPr>
          <w:lang w:val="en-US"/>
        </w:rPr>
        <w:t>it cannot be concluded that such allegations materially influenced the court in granting the</w:t>
      </w:r>
      <w:r w:rsidR="00130CE4">
        <w:rPr>
          <w:lang w:val="en-US"/>
        </w:rPr>
        <w:t xml:space="preserve"> order on an</w:t>
      </w:r>
      <w:r w:rsidR="00B42636">
        <w:rPr>
          <w:lang w:val="en-US"/>
        </w:rPr>
        <w:t xml:space="preserve"> </w:t>
      </w:r>
      <w:r w:rsidR="00B42636" w:rsidRPr="006A1B1C">
        <w:rPr>
          <w:i/>
          <w:lang w:val="en-US"/>
        </w:rPr>
        <w:t>ex parte</w:t>
      </w:r>
      <w:r w:rsidR="00B42636">
        <w:rPr>
          <w:lang w:val="en-US"/>
        </w:rPr>
        <w:t xml:space="preserve"> </w:t>
      </w:r>
      <w:r w:rsidR="00130CE4">
        <w:rPr>
          <w:lang w:val="en-US"/>
        </w:rPr>
        <w:t>basis</w:t>
      </w:r>
      <w:r w:rsidR="00B42636">
        <w:rPr>
          <w:lang w:val="en-US"/>
        </w:rPr>
        <w:t xml:space="preserve">. </w:t>
      </w:r>
      <w:r w:rsidR="006A1B1C">
        <w:rPr>
          <w:lang w:val="en-US"/>
        </w:rPr>
        <w:t>In any event s</w:t>
      </w:r>
      <w:r>
        <w:rPr>
          <w:lang w:val="en-US"/>
        </w:rPr>
        <w:t xml:space="preserve">ection 5(1) of the FI Act </w:t>
      </w:r>
      <w:r w:rsidR="00B42636">
        <w:rPr>
          <w:lang w:val="en-US"/>
        </w:rPr>
        <w:t xml:space="preserve">expressly </w:t>
      </w:r>
      <w:proofErr w:type="spellStart"/>
      <w:r w:rsidR="00B42636">
        <w:rPr>
          <w:lang w:val="en-US"/>
        </w:rPr>
        <w:t>authorises</w:t>
      </w:r>
      <w:proofErr w:type="spellEnd"/>
      <w:r>
        <w:rPr>
          <w:lang w:val="en-US"/>
        </w:rPr>
        <w:t xml:space="preserve"> </w:t>
      </w:r>
      <w:r w:rsidR="00074986" w:rsidRPr="00602ECD">
        <w:rPr>
          <w:lang w:val="en-US"/>
        </w:rPr>
        <w:t xml:space="preserve">the </w:t>
      </w:r>
      <w:r>
        <w:rPr>
          <w:lang w:val="en-US"/>
        </w:rPr>
        <w:t xml:space="preserve">launching of </w:t>
      </w:r>
      <w:r w:rsidR="00074986" w:rsidRPr="00602ECD">
        <w:rPr>
          <w:lang w:val="en-US"/>
        </w:rPr>
        <w:t xml:space="preserve">the application on an </w:t>
      </w:r>
      <w:r w:rsidR="00074986" w:rsidRPr="006A1B1C">
        <w:rPr>
          <w:i/>
          <w:lang w:val="en-US"/>
        </w:rPr>
        <w:t>ex parte</w:t>
      </w:r>
      <w:r w:rsidR="00074986" w:rsidRPr="00602ECD">
        <w:rPr>
          <w:lang w:val="en-US"/>
        </w:rPr>
        <w:t xml:space="preserve"> basis</w:t>
      </w:r>
      <w:r>
        <w:rPr>
          <w:lang w:val="en-US"/>
        </w:rPr>
        <w:t>.</w:t>
      </w:r>
      <w:r>
        <w:rPr>
          <w:rStyle w:val="FootnoteReference"/>
          <w:lang w:val="en-US"/>
        </w:rPr>
        <w:footnoteReference w:id="25"/>
      </w:r>
      <w:r w:rsidR="002912BA" w:rsidRPr="002912BA">
        <w:rPr>
          <w:lang w:val="en-US"/>
        </w:rPr>
        <w:t xml:space="preserve"> </w:t>
      </w:r>
      <w:r w:rsidR="002912BA">
        <w:rPr>
          <w:lang w:val="en-US"/>
        </w:rPr>
        <w:t>Given that 3Sixty has been allowed to deliver affidavits and to fully oppose this application, no prejudice has ensued.</w:t>
      </w:r>
      <w:r w:rsidR="002912BA">
        <w:rPr>
          <w:rStyle w:val="FootnoteReference"/>
          <w:lang w:val="en-US"/>
        </w:rPr>
        <w:footnoteReference w:id="26"/>
      </w:r>
    </w:p>
    <w:p w:rsidR="00B42636" w:rsidRPr="002912BA" w:rsidRDefault="0031118A" w:rsidP="00930836">
      <w:pPr>
        <w:pStyle w:val="level1"/>
        <w:spacing w:after="480" w:line="360" w:lineRule="auto"/>
        <w:ind w:left="0" w:firstLine="0"/>
        <w:jc w:val="both"/>
        <w:rPr>
          <w:lang w:val="en-US"/>
        </w:rPr>
      </w:pPr>
      <w:r w:rsidRPr="002912BA">
        <w:rPr>
          <w:lang w:val="en-US"/>
        </w:rPr>
        <w:t xml:space="preserve">The nature of the said allegations </w:t>
      </w:r>
      <w:r w:rsidR="006A1B1C">
        <w:rPr>
          <w:lang w:val="en-US"/>
        </w:rPr>
        <w:t>are</w:t>
      </w:r>
      <w:r w:rsidRPr="002912BA">
        <w:rPr>
          <w:lang w:val="en-US"/>
        </w:rPr>
        <w:t xml:space="preserve"> also not such that </w:t>
      </w:r>
      <w:r w:rsidR="006A1B1C">
        <w:rPr>
          <w:lang w:val="en-US"/>
        </w:rPr>
        <w:t>they</w:t>
      </w:r>
      <w:r w:rsidRPr="002912BA">
        <w:rPr>
          <w:lang w:val="en-US"/>
        </w:rPr>
        <w:t xml:space="preserve"> justif</w:t>
      </w:r>
      <w:r w:rsidR="006A1B1C">
        <w:rPr>
          <w:lang w:val="en-US"/>
        </w:rPr>
        <w:t>y</w:t>
      </w:r>
      <w:r w:rsidRPr="002912BA">
        <w:rPr>
          <w:lang w:val="en-US"/>
        </w:rPr>
        <w:t xml:space="preserve"> the setting aside of the curatorship order.</w:t>
      </w:r>
      <w:r w:rsidR="002912BA">
        <w:rPr>
          <w:lang w:val="en-US"/>
        </w:rPr>
        <w:t xml:space="preserve"> </w:t>
      </w:r>
      <w:r w:rsidR="00B42636" w:rsidRPr="002912BA">
        <w:rPr>
          <w:lang w:val="en-US"/>
        </w:rPr>
        <w:t>Considering the totality of the evidence in the Authority’s founding papers</w:t>
      </w:r>
      <w:r w:rsidR="00130CE4" w:rsidRPr="002912BA">
        <w:rPr>
          <w:lang w:val="en-US"/>
        </w:rPr>
        <w:t xml:space="preserve"> pertaining to 3Sixty’s statutory transgressions and unsound financial position</w:t>
      </w:r>
      <w:r w:rsidR="00B42636" w:rsidRPr="002912BA">
        <w:rPr>
          <w:lang w:val="en-US"/>
        </w:rPr>
        <w:t xml:space="preserve">, </w:t>
      </w:r>
      <w:r w:rsidR="00130CE4" w:rsidRPr="002912BA">
        <w:rPr>
          <w:lang w:val="en-US"/>
        </w:rPr>
        <w:t xml:space="preserve">which to a large extent have not been disputed or refuted by any countervailing evidence by 3Sixty, there were sufficient grounds to justify the application being brought on an </w:t>
      </w:r>
      <w:r w:rsidR="00130CE4" w:rsidRPr="006A1B1C">
        <w:rPr>
          <w:i/>
          <w:lang w:val="en-US"/>
        </w:rPr>
        <w:t>ex parte</w:t>
      </w:r>
      <w:r w:rsidR="00130CE4" w:rsidRPr="002912BA">
        <w:rPr>
          <w:lang w:val="en-US"/>
        </w:rPr>
        <w:t xml:space="preserve"> basis. It can also not be concluded that the grounds advanced by the Authority were speculative, unreasonable or misleading, as contended by 3Sixty</w:t>
      </w:r>
      <w:r w:rsidRPr="002912BA">
        <w:rPr>
          <w:lang w:val="en-US"/>
        </w:rPr>
        <w:t>.</w:t>
      </w:r>
      <w:r w:rsidR="00130CE4" w:rsidRPr="002912BA">
        <w:rPr>
          <w:lang w:val="en-US"/>
        </w:rPr>
        <w:t xml:space="preserve"> </w:t>
      </w:r>
    </w:p>
    <w:p w:rsidR="000E180E" w:rsidRPr="0031118A" w:rsidRDefault="0031118A" w:rsidP="00930836">
      <w:pPr>
        <w:pStyle w:val="level1"/>
        <w:spacing w:after="480" w:line="360" w:lineRule="auto"/>
        <w:ind w:left="0" w:firstLine="0"/>
        <w:jc w:val="both"/>
        <w:rPr>
          <w:lang w:val="en-US"/>
        </w:rPr>
      </w:pPr>
      <w:r w:rsidRPr="0031118A">
        <w:rPr>
          <w:lang w:val="en-US"/>
        </w:rPr>
        <w:lastRenderedPageBreak/>
        <w:t xml:space="preserve">Considering all the facts, </w:t>
      </w:r>
      <w:r w:rsidR="00EF12ED" w:rsidRPr="0031118A">
        <w:rPr>
          <w:lang w:val="en-US"/>
        </w:rPr>
        <w:t>I</w:t>
      </w:r>
      <w:r w:rsidRPr="0031118A">
        <w:rPr>
          <w:lang w:val="en-US"/>
        </w:rPr>
        <w:t xml:space="preserve"> conclude that this </w:t>
      </w:r>
      <w:r w:rsidR="00264EF6">
        <w:rPr>
          <w:lang w:val="en-US"/>
        </w:rPr>
        <w:t>ground of opposition m</w:t>
      </w:r>
      <w:r w:rsidRPr="0031118A">
        <w:rPr>
          <w:lang w:val="en-US"/>
        </w:rPr>
        <w:t xml:space="preserve">ust fail and that no proper case has been made out for the exercise of the discretion </w:t>
      </w:r>
      <w:r w:rsidR="00264EF6">
        <w:rPr>
          <w:lang w:val="en-US"/>
        </w:rPr>
        <w:t>to</w:t>
      </w:r>
      <w:r w:rsidRPr="0031118A">
        <w:rPr>
          <w:lang w:val="en-US"/>
        </w:rPr>
        <w:t xml:space="preserve"> set aside the provisional curatorship. </w:t>
      </w:r>
    </w:p>
    <w:p w:rsidR="006F67CE" w:rsidRPr="00264EF6" w:rsidRDefault="006D128B" w:rsidP="006C57CE">
      <w:pPr>
        <w:pStyle w:val="level1"/>
        <w:spacing w:after="480" w:line="360" w:lineRule="auto"/>
        <w:ind w:left="0" w:firstLine="0"/>
        <w:jc w:val="both"/>
        <w:rPr>
          <w:lang w:val="en-US"/>
        </w:rPr>
      </w:pPr>
      <w:r w:rsidRPr="00264EF6">
        <w:rPr>
          <w:lang w:val="en-US"/>
        </w:rPr>
        <w:t xml:space="preserve">3Sixty’s </w:t>
      </w:r>
      <w:r w:rsidR="0014188B" w:rsidRPr="00264EF6">
        <w:rPr>
          <w:lang w:val="en-US"/>
        </w:rPr>
        <w:t>remaining</w:t>
      </w:r>
      <w:r w:rsidR="00C94F3F" w:rsidRPr="00264EF6">
        <w:rPr>
          <w:lang w:val="en-US"/>
        </w:rPr>
        <w:t xml:space="preserve"> grounds of </w:t>
      </w:r>
      <w:r w:rsidR="000629F7" w:rsidRPr="00264EF6">
        <w:rPr>
          <w:lang w:val="en-US"/>
        </w:rPr>
        <w:t>opposition</w:t>
      </w:r>
      <w:r w:rsidRPr="00264EF6">
        <w:rPr>
          <w:lang w:val="en-US"/>
        </w:rPr>
        <w:t xml:space="preserve"> w</w:t>
      </w:r>
      <w:r w:rsidR="00C94F3F" w:rsidRPr="00264EF6">
        <w:rPr>
          <w:lang w:val="en-US"/>
        </w:rPr>
        <w:t>ere</w:t>
      </w:r>
      <w:r w:rsidRPr="00264EF6">
        <w:rPr>
          <w:lang w:val="en-US"/>
        </w:rPr>
        <w:t xml:space="preserve"> </w:t>
      </w:r>
      <w:r w:rsidR="0014188B" w:rsidRPr="00264EF6">
        <w:rPr>
          <w:lang w:val="en-US"/>
        </w:rPr>
        <w:t xml:space="preserve">predicated </w:t>
      </w:r>
      <w:r w:rsidRPr="00264EF6">
        <w:rPr>
          <w:lang w:val="en-US"/>
        </w:rPr>
        <w:t xml:space="preserve">on the Authority’s </w:t>
      </w:r>
      <w:r w:rsidR="001C4C1A" w:rsidRPr="00264EF6">
        <w:rPr>
          <w:lang w:val="en-US"/>
        </w:rPr>
        <w:t xml:space="preserve">alleged </w:t>
      </w:r>
      <w:r w:rsidRPr="00264EF6">
        <w:rPr>
          <w:lang w:val="en-US"/>
        </w:rPr>
        <w:t xml:space="preserve">failure to comply with </w:t>
      </w:r>
      <w:r w:rsidR="00264EF6" w:rsidRPr="00264EF6">
        <w:rPr>
          <w:lang w:val="en-US"/>
        </w:rPr>
        <w:t>an</w:t>
      </w:r>
      <w:r w:rsidRPr="00264EF6">
        <w:rPr>
          <w:lang w:val="en-US"/>
        </w:rPr>
        <w:t xml:space="preserve"> undertaking to apply for the discharge of the provisional curatorship order if </w:t>
      </w:r>
      <w:r w:rsidR="00264EF6" w:rsidRPr="00264EF6">
        <w:rPr>
          <w:lang w:val="en-US"/>
        </w:rPr>
        <w:t>certain</w:t>
      </w:r>
      <w:r w:rsidRPr="00264EF6">
        <w:rPr>
          <w:lang w:val="en-US"/>
        </w:rPr>
        <w:t xml:space="preserve"> conditions were met</w:t>
      </w:r>
      <w:r w:rsidR="00CD32F0">
        <w:rPr>
          <w:lang w:val="en-US"/>
        </w:rPr>
        <w:t xml:space="preserve"> and</w:t>
      </w:r>
      <w:r w:rsidR="00264EF6" w:rsidRPr="00264EF6">
        <w:rPr>
          <w:lang w:val="en-US"/>
        </w:rPr>
        <w:t xml:space="preserve"> </w:t>
      </w:r>
      <w:r w:rsidR="009475DC">
        <w:rPr>
          <w:lang w:val="en-US"/>
        </w:rPr>
        <w:t xml:space="preserve">the contention that </w:t>
      </w:r>
      <w:r w:rsidR="006F67CE" w:rsidRPr="00264EF6">
        <w:rPr>
          <w:lang w:val="en-US"/>
        </w:rPr>
        <w:t xml:space="preserve">based on the provisional curator’s findings and recommendations and the contents of </w:t>
      </w:r>
      <w:proofErr w:type="spellStart"/>
      <w:r w:rsidR="006F67CE" w:rsidRPr="00264EF6">
        <w:rPr>
          <w:lang w:val="en-US"/>
        </w:rPr>
        <w:t>Ms</w:t>
      </w:r>
      <w:proofErr w:type="spellEnd"/>
      <w:r w:rsidR="006F67CE" w:rsidRPr="00264EF6">
        <w:rPr>
          <w:lang w:val="en-US"/>
        </w:rPr>
        <w:t xml:space="preserve"> Ram’s latest affidavit dated 8 June 2022, the provisional order fell to be set aside.  </w:t>
      </w:r>
    </w:p>
    <w:p w:rsidR="001D1C1F" w:rsidRDefault="006F67CE" w:rsidP="001D1C1F">
      <w:pPr>
        <w:pStyle w:val="level1"/>
        <w:spacing w:after="480" w:line="360" w:lineRule="auto"/>
        <w:ind w:left="0" w:firstLine="0"/>
        <w:jc w:val="both"/>
        <w:rPr>
          <w:lang w:val="en-US"/>
        </w:rPr>
      </w:pPr>
      <w:r>
        <w:rPr>
          <w:lang w:val="en-US"/>
        </w:rPr>
        <w:t xml:space="preserve">3Sixty’s </w:t>
      </w:r>
      <w:r w:rsidR="00073C65" w:rsidRPr="00F20686">
        <w:rPr>
          <w:lang w:val="en-US"/>
        </w:rPr>
        <w:t>case was that each of the conditions had been met</w:t>
      </w:r>
      <w:r w:rsidR="00264EF6">
        <w:rPr>
          <w:lang w:val="en-US"/>
        </w:rPr>
        <w:t xml:space="preserve"> and the Authority was obliged to comply with its undertaking.</w:t>
      </w:r>
      <w:r w:rsidR="001D1C1F">
        <w:rPr>
          <w:lang w:val="en-US"/>
        </w:rPr>
        <w:t xml:space="preserve"> </w:t>
      </w:r>
    </w:p>
    <w:p w:rsidR="005B6823" w:rsidRDefault="006F67CE" w:rsidP="006F67CE">
      <w:pPr>
        <w:pStyle w:val="level1"/>
        <w:spacing w:after="480" w:line="360" w:lineRule="auto"/>
        <w:ind w:left="0" w:firstLine="0"/>
        <w:jc w:val="both"/>
        <w:rPr>
          <w:lang w:val="en-US"/>
        </w:rPr>
      </w:pPr>
      <w:r w:rsidRPr="00132368">
        <w:rPr>
          <w:lang w:val="en-US"/>
        </w:rPr>
        <w:t>The Authority</w:t>
      </w:r>
      <w:r>
        <w:rPr>
          <w:lang w:val="en-US"/>
        </w:rPr>
        <w:t xml:space="preserve"> argued that its </w:t>
      </w:r>
      <w:r w:rsidRPr="00132368">
        <w:rPr>
          <w:lang w:val="en-US"/>
        </w:rPr>
        <w:t xml:space="preserve">undertaking was stated in qualified terms being that it </w:t>
      </w:r>
      <w:r w:rsidRPr="00132368">
        <w:rPr>
          <w:i/>
          <w:lang w:val="en-US"/>
        </w:rPr>
        <w:t>“will consider applying for the discharge of the rule”</w:t>
      </w:r>
      <w:r w:rsidRPr="00132368">
        <w:rPr>
          <w:lang w:val="en-US"/>
        </w:rPr>
        <w:t xml:space="preserve"> if the conditions were met. Its case was that it was not satisfied that the conditions had been met, irrespective of the contents of its replying affidavit and that it did not accept the provisional curator’s reports.</w:t>
      </w:r>
      <w:r>
        <w:rPr>
          <w:lang w:val="en-US"/>
        </w:rPr>
        <w:t xml:space="preserve"> </w:t>
      </w:r>
      <w:r w:rsidR="003865CE">
        <w:rPr>
          <w:lang w:val="en-US"/>
        </w:rPr>
        <w:t>It placed reliance on reports provided by various members of the BDO support te</w:t>
      </w:r>
      <w:r w:rsidR="005B6823">
        <w:rPr>
          <w:lang w:val="en-US"/>
        </w:rPr>
        <w:t>a</w:t>
      </w:r>
      <w:r w:rsidR="003865CE">
        <w:rPr>
          <w:lang w:val="en-US"/>
        </w:rPr>
        <w:t xml:space="preserve">m who </w:t>
      </w:r>
      <w:r w:rsidR="005B6823">
        <w:rPr>
          <w:lang w:val="en-US"/>
        </w:rPr>
        <w:t>assisted</w:t>
      </w:r>
      <w:r w:rsidR="003865CE">
        <w:rPr>
          <w:lang w:val="en-US"/>
        </w:rPr>
        <w:t xml:space="preserve"> </w:t>
      </w:r>
      <w:proofErr w:type="spellStart"/>
      <w:r w:rsidR="003865CE">
        <w:rPr>
          <w:lang w:val="en-US"/>
        </w:rPr>
        <w:t>Ms</w:t>
      </w:r>
      <w:proofErr w:type="spellEnd"/>
      <w:r w:rsidR="003865CE">
        <w:rPr>
          <w:lang w:val="en-US"/>
        </w:rPr>
        <w:t xml:space="preserve"> Ram in the </w:t>
      </w:r>
      <w:r w:rsidR="00E16ACD">
        <w:rPr>
          <w:lang w:val="en-US"/>
        </w:rPr>
        <w:t xml:space="preserve">curatorship. </w:t>
      </w:r>
    </w:p>
    <w:p w:rsidR="00AE5D47" w:rsidRPr="00281415" w:rsidRDefault="00AE5D47" w:rsidP="00AE5D47">
      <w:pPr>
        <w:pStyle w:val="level1"/>
        <w:spacing w:after="480" w:line="360" w:lineRule="auto"/>
        <w:ind w:left="0" w:firstLine="0"/>
        <w:jc w:val="both"/>
        <w:rPr>
          <w:lang w:val="en-US"/>
        </w:rPr>
      </w:pPr>
      <w:r w:rsidRPr="00281415">
        <w:rPr>
          <w:lang w:val="en-US"/>
        </w:rPr>
        <w:t>The central issue to determine is whether the provisional curatorship order should be confirmed.</w:t>
      </w:r>
      <w:r>
        <w:rPr>
          <w:lang w:val="en-US"/>
        </w:rPr>
        <w:t xml:space="preserve"> </w:t>
      </w:r>
      <w:r w:rsidRPr="00281415">
        <w:rPr>
          <w:lang w:val="en-US"/>
        </w:rPr>
        <w:t>The test at this stage of the proceedings is stated in s</w:t>
      </w:r>
      <w:r w:rsidR="000D3625">
        <w:rPr>
          <w:lang w:val="en-US"/>
        </w:rPr>
        <w:t xml:space="preserve">ection </w:t>
      </w:r>
      <w:r w:rsidRPr="00281415">
        <w:rPr>
          <w:lang w:val="en-US"/>
        </w:rPr>
        <w:t>5(4) of the F</w:t>
      </w:r>
      <w:r>
        <w:rPr>
          <w:lang w:val="en-US"/>
        </w:rPr>
        <w:t>I</w:t>
      </w:r>
      <w:r w:rsidRPr="00281415">
        <w:rPr>
          <w:lang w:val="en-US"/>
        </w:rPr>
        <w:t xml:space="preserve"> Act</w:t>
      </w:r>
      <w:r>
        <w:rPr>
          <w:lang w:val="en-US"/>
        </w:rPr>
        <w:t xml:space="preserve"> as follows</w:t>
      </w:r>
      <w:r w:rsidRPr="00281415">
        <w:rPr>
          <w:lang w:val="en-US"/>
        </w:rPr>
        <w:t xml:space="preserve">: </w:t>
      </w:r>
    </w:p>
    <w:p w:rsidR="00AE5D47" w:rsidRPr="00CA6EAB" w:rsidRDefault="00AE5D47" w:rsidP="00AE5D47">
      <w:pPr>
        <w:pStyle w:val="level1"/>
        <w:numPr>
          <w:ilvl w:val="0"/>
          <w:numId w:val="0"/>
        </w:numPr>
        <w:spacing w:after="480"/>
        <w:ind w:left="720"/>
        <w:jc w:val="both"/>
        <w:rPr>
          <w:i/>
          <w:sz w:val="20"/>
          <w:szCs w:val="20"/>
          <w:lang w:val="en-US"/>
        </w:rPr>
      </w:pPr>
      <w:r w:rsidRPr="00CA6EAB">
        <w:rPr>
          <w:i/>
          <w:sz w:val="20"/>
          <w:szCs w:val="20"/>
          <w:lang w:val="en-US"/>
        </w:rPr>
        <w:t xml:space="preserve">“If at the hearing pursuant to the rule nisi the court is satisfied that it is desirable to do so, it may confirm the appointment of the curator”- </w:t>
      </w:r>
    </w:p>
    <w:p w:rsidR="00AE5D47" w:rsidRDefault="00AE5D47" w:rsidP="00AE5D47">
      <w:pPr>
        <w:pStyle w:val="level1"/>
        <w:spacing w:after="480" w:line="360" w:lineRule="auto"/>
        <w:ind w:left="0" w:firstLine="0"/>
        <w:jc w:val="both"/>
        <w:rPr>
          <w:lang w:val="en-US"/>
        </w:rPr>
      </w:pPr>
      <w:r>
        <w:rPr>
          <w:lang w:val="en-US"/>
        </w:rPr>
        <w:t>At the provisional stage the applicable test is stated in s</w:t>
      </w:r>
      <w:r w:rsidR="000D3625">
        <w:rPr>
          <w:lang w:val="en-US"/>
        </w:rPr>
        <w:t xml:space="preserve">ection </w:t>
      </w:r>
      <w:r>
        <w:rPr>
          <w:lang w:val="en-US"/>
        </w:rPr>
        <w:t>5(2)(a):</w:t>
      </w:r>
    </w:p>
    <w:p w:rsidR="00AE5D47" w:rsidRPr="00BE49D1" w:rsidRDefault="00AE5D47" w:rsidP="00AE5D47">
      <w:pPr>
        <w:pStyle w:val="level1"/>
        <w:numPr>
          <w:ilvl w:val="0"/>
          <w:numId w:val="0"/>
        </w:numPr>
        <w:spacing w:after="480"/>
        <w:ind w:left="720"/>
        <w:jc w:val="both"/>
        <w:rPr>
          <w:i/>
          <w:sz w:val="20"/>
          <w:szCs w:val="20"/>
          <w:lang w:val="en-US"/>
        </w:rPr>
      </w:pPr>
      <w:r w:rsidRPr="00BE49D1">
        <w:rPr>
          <w:i/>
          <w:sz w:val="20"/>
          <w:szCs w:val="20"/>
          <w:lang w:val="en-US"/>
        </w:rPr>
        <w:lastRenderedPageBreak/>
        <w:t xml:space="preserve"> </w:t>
      </w:r>
      <w:r>
        <w:rPr>
          <w:i/>
          <w:sz w:val="20"/>
          <w:szCs w:val="20"/>
          <w:lang w:val="en-US"/>
        </w:rPr>
        <w:t>“</w:t>
      </w:r>
      <w:r w:rsidRPr="00BE49D1">
        <w:rPr>
          <w:i/>
          <w:sz w:val="20"/>
          <w:szCs w:val="20"/>
          <w:lang w:val="en-US"/>
        </w:rPr>
        <w:t>(2) Upon an application in terms of subsection (1)</w:t>
      </w:r>
      <w:r>
        <w:rPr>
          <w:rStyle w:val="FootnoteReference"/>
          <w:i/>
          <w:sz w:val="20"/>
          <w:szCs w:val="20"/>
          <w:lang w:val="en-US"/>
        </w:rPr>
        <w:footnoteReference w:id="27"/>
      </w:r>
      <w:r w:rsidRPr="00BE49D1">
        <w:rPr>
          <w:i/>
          <w:sz w:val="20"/>
          <w:szCs w:val="20"/>
          <w:lang w:val="en-US"/>
        </w:rPr>
        <w:t xml:space="preserve"> the court may-(a) on good cause shown, provisionally appoint a curator to take control of, and to manage the whole or any part of, the business of the institution on such conditions and for such a period as the court deems fit…”</w:t>
      </w:r>
    </w:p>
    <w:p w:rsidR="00B27AB5" w:rsidRDefault="00B27AB5" w:rsidP="00B27AB5">
      <w:pPr>
        <w:pStyle w:val="level1"/>
        <w:spacing w:after="480" w:line="360" w:lineRule="auto"/>
        <w:ind w:left="0" w:firstLine="0"/>
        <w:jc w:val="both"/>
        <w:rPr>
          <w:lang w:val="en-US"/>
        </w:rPr>
      </w:pPr>
      <w:r>
        <w:rPr>
          <w:lang w:val="en-US"/>
        </w:rPr>
        <w:t xml:space="preserve">Section 5 was interpreted by the Supreme Court of Appeal in </w:t>
      </w:r>
      <w:r w:rsidRPr="00EF0FFA">
        <w:rPr>
          <w:i/>
          <w:lang w:val="en-US"/>
        </w:rPr>
        <w:t>Executive Officer, Financial Services Board v Dynamic Wealth and Others</w:t>
      </w:r>
      <w:r>
        <w:rPr>
          <w:rStyle w:val="FootnoteReference"/>
          <w:lang w:val="en-US"/>
        </w:rPr>
        <w:footnoteReference w:id="28"/>
      </w:r>
      <w:r>
        <w:rPr>
          <w:i/>
          <w:lang w:val="en-US"/>
        </w:rPr>
        <w:t xml:space="preserve"> </w:t>
      </w:r>
      <w:r>
        <w:rPr>
          <w:lang w:val="en-US"/>
        </w:rPr>
        <w:t>thus:</w:t>
      </w:r>
    </w:p>
    <w:p w:rsidR="00B27AB5" w:rsidRDefault="00B27AB5" w:rsidP="00B27AB5">
      <w:pPr>
        <w:pStyle w:val="level1"/>
        <w:numPr>
          <w:ilvl w:val="0"/>
          <w:numId w:val="0"/>
        </w:numPr>
        <w:spacing w:after="480"/>
        <w:ind w:left="720"/>
        <w:jc w:val="both"/>
        <w:rPr>
          <w:i/>
          <w:sz w:val="20"/>
          <w:szCs w:val="20"/>
          <w:lang w:val="en-US"/>
        </w:rPr>
      </w:pPr>
      <w:r w:rsidRPr="001D3F77">
        <w:rPr>
          <w:i/>
          <w:sz w:val="20"/>
          <w:szCs w:val="20"/>
          <w:lang w:val="en-US"/>
        </w:rPr>
        <w:t>“[4] Reading sub-sec (1) together with sub-sec (4) that means that the court must be satisfied on the basis of the evidence placed before it that it is desirable to appoint a curator. Something is desirable if it is ‘worth having, wishing for’. The court must assess whether curatorship is required in order to address identified problems in the business of the financial institution. It assesses this in the light of the interests of actual or potential investors in the financial institution, or investments to it. It must determine whether appointing a curator will address those problems and have beneficial consequences for investors. It must also consider whether there are preferable alternatives to resolve the problems. Ultimately what will constitute good cause in any particular case will depend upon the facts of that case</w:t>
      </w:r>
      <w:r>
        <w:rPr>
          <w:i/>
          <w:sz w:val="20"/>
          <w:szCs w:val="20"/>
          <w:lang w:val="en-US"/>
        </w:rPr>
        <w:t>…</w:t>
      </w:r>
    </w:p>
    <w:p w:rsidR="00B27AB5" w:rsidRPr="001D3F77" w:rsidRDefault="00B27AB5" w:rsidP="00B27AB5">
      <w:pPr>
        <w:pStyle w:val="level1"/>
        <w:numPr>
          <w:ilvl w:val="0"/>
          <w:numId w:val="0"/>
        </w:numPr>
        <w:spacing w:after="480"/>
        <w:ind w:left="720"/>
        <w:jc w:val="both"/>
        <w:rPr>
          <w:i/>
          <w:sz w:val="20"/>
          <w:szCs w:val="20"/>
          <w:lang w:val="en-US"/>
        </w:rPr>
      </w:pPr>
      <w:r w:rsidRPr="001D3F77">
        <w:rPr>
          <w:i/>
          <w:sz w:val="20"/>
          <w:szCs w:val="20"/>
          <w:lang w:val="en-US"/>
        </w:rPr>
        <w:t xml:space="preserve">[6] </w:t>
      </w:r>
      <w:r>
        <w:rPr>
          <w:i/>
          <w:sz w:val="20"/>
          <w:szCs w:val="20"/>
          <w:lang w:val="en-US"/>
        </w:rPr>
        <w:t>T</w:t>
      </w:r>
      <w:r w:rsidRPr="001D3F77">
        <w:rPr>
          <w:i/>
          <w:sz w:val="20"/>
          <w:szCs w:val="20"/>
          <w:lang w:val="en-US"/>
        </w:rPr>
        <w:t>he appointment of curators under s 5(1) may be appropriate even where the funds under administration are not shown to be at risk…..the inability or unwillingness of the institution to comply with regulatory requirements applicable to protected funds itself provides a reason for appointing a curator. Where there is uncertainty whether the funds of investors are at risk it may be desirable to safeguard the interests of investors to appoint a curator. …The existence of an adverse report by inspectors may of itsel</w:t>
      </w:r>
      <w:r>
        <w:rPr>
          <w:i/>
          <w:sz w:val="20"/>
          <w:szCs w:val="20"/>
          <w:lang w:val="en-US"/>
        </w:rPr>
        <w:t>f</w:t>
      </w:r>
      <w:r w:rsidRPr="001D3F77">
        <w:rPr>
          <w:i/>
          <w:sz w:val="20"/>
          <w:szCs w:val="20"/>
          <w:lang w:val="en-US"/>
        </w:rPr>
        <w:t xml:space="preserve"> provide legitimate grounds for concern and found an application for an interim curatorship even if its conclusions are disputed….The registrar cannot be expected to resolve factual disputes by litigation before obtaining an order appointing a curator. Provided the court is satisfied that the Registrar’s concerns are legitimate and that the appointment of a curator will assist in resolving those concerns it will ordinarily be appropriate to grant an order:…</w:t>
      </w:r>
    </w:p>
    <w:p w:rsidR="0054555B" w:rsidRPr="005A7E09" w:rsidRDefault="003865CE" w:rsidP="00486EEA">
      <w:pPr>
        <w:pStyle w:val="level1"/>
        <w:numPr>
          <w:ilvl w:val="0"/>
          <w:numId w:val="0"/>
        </w:numPr>
        <w:spacing w:after="480" w:line="360" w:lineRule="auto"/>
        <w:jc w:val="both"/>
        <w:rPr>
          <w:lang w:val="en-US"/>
        </w:rPr>
      </w:pPr>
      <w:r>
        <w:rPr>
          <w:lang w:val="en-US"/>
        </w:rPr>
        <w:t>Is</w:t>
      </w:r>
      <w:r w:rsidR="0054555B">
        <w:rPr>
          <w:lang w:val="en-US"/>
        </w:rPr>
        <w:t xml:space="preserve"> curatorship required in order to address identified problems in the business of 3Sixty</w:t>
      </w:r>
      <w:r>
        <w:rPr>
          <w:lang w:val="en-US"/>
        </w:rPr>
        <w:t>?</w:t>
      </w:r>
      <w:r w:rsidR="0054555B">
        <w:rPr>
          <w:lang w:val="en-US"/>
        </w:rPr>
        <w:t xml:space="preserve"> </w:t>
      </w:r>
    </w:p>
    <w:p w:rsidR="00CA6EAB" w:rsidRDefault="00CA6EAB" w:rsidP="00CA6EAB">
      <w:pPr>
        <w:pStyle w:val="level1"/>
        <w:spacing w:after="480" w:line="360" w:lineRule="auto"/>
        <w:ind w:left="0" w:firstLine="0"/>
        <w:jc w:val="both"/>
        <w:rPr>
          <w:lang w:val="en-US"/>
        </w:rPr>
      </w:pPr>
      <w:r>
        <w:rPr>
          <w:lang w:val="en-US"/>
        </w:rPr>
        <w:t xml:space="preserve">One of the main bones of contention between the parties was </w:t>
      </w:r>
      <w:r w:rsidR="000E17E9">
        <w:rPr>
          <w:lang w:val="en-US"/>
        </w:rPr>
        <w:t>3Sixty’s proposed</w:t>
      </w:r>
      <w:r>
        <w:rPr>
          <w:lang w:val="en-US"/>
        </w:rPr>
        <w:t xml:space="preserve"> Internal </w:t>
      </w:r>
      <w:proofErr w:type="spellStart"/>
      <w:r>
        <w:rPr>
          <w:lang w:val="en-US"/>
        </w:rPr>
        <w:t>Recapitalisation</w:t>
      </w:r>
      <w:proofErr w:type="spellEnd"/>
      <w:r>
        <w:rPr>
          <w:lang w:val="en-US"/>
        </w:rPr>
        <w:t xml:space="preserve"> Plan (“IRP”).  The IRP</w:t>
      </w:r>
      <w:r>
        <w:rPr>
          <w:rStyle w:val="FootnoteReference"/>
          <w:lang w:val="en-US"/>
        </w:rPr>
        <w:footnoteReference w:id="29"/>
      </w:r>
      <w:r>
        <w:rPr>
          <w:lang w:val="en-US"/>
        </w:rPr>
        <w:t xml:space="preserve"> is a property transaction between Doves and 3Sixty involving the disposal of 53 properties to 3Sixty by Doves in order to inject capital and to bolster 3Sixty’s liquidity for purposes of meeting regulatory solvency.</w:t>
      </w:r>
    </w:p>
    <w:p w:rsidR="00CA6EAB" w:rsidRPr="00132368" w:rsidRDefault="00CA6EAB" w:rsidP="00CA6EAB">
      <w:pPr>
        <w:pStyle w:val="level1"/>
        <w:spacing w:after="480" w:line="360" w:lineRule="auto"/>
        <w:ind w:left="0" w:firstLine="0"/>
        <w:jc w:val="both"/>
        <w:rPr>
          <w:lang w:val="en-US"/>
        </w:rPr>
      </w:pPr>
      <w:r>
        <w:rPr>
          <w:lang w:val="en-US"/>
        </w:rPr>
        <w:lastRenderedPageBreak/>
        <w:t xml:space="preserve">The stance adopted by the Authority was that the IRP would not result in 3Sixty achieving financial soundness. It further argued that </w:t>
      </w:r>
      <w:r w:rsidRPr="00132368">
        <w:rPr>
          <w:lang w:val="en-US"/>
        </w:rPr>
        <w:t>based on the common cause facts it was desirable for 3Sixty to remain under curatorship</w:t>
      </w:r>
      <w:r>
        <w:rPr>
          <w:lang w:val="en-US"/>
        </w:rPr>
        <w:t xml:space="preserve"> and</w:t>
      </w:r>
      <w:r w:rsidRPr="00132368">
        <w:rPr>
          <w:lang w:val="en-US"/>
        </w:rPr>
        <w:t xml:space="preserve"> good cause has not been shown for the setting aside of the provisional order</w:t>
      </w:r>
      <w:r>
        <w:rPr>
          <w:lang w:val="en-US"/>
        </w:rPr>
        <w:t>.</w:t>
      </w:r>
      <w:r w:rsidRPr="00132368">
        <w:rPr>
          <w:lang w:val="en-US"/>
        </w:rPr>
        <w:t xml:space="preserve"> </w:t>
      </w:r>
    </w:p>
    <w:p w:rsidR="004F2730" w:rsidRPr="00E16ACD" w:rsidRDefault="00CA6EAB" w:rsidP="00930836">
      <w:pPr>
        <w:pStyle w:val="level1"/>
        <w:spacing w:after="480" w:line="360" w:lineRule="auto"/>
        <w:ind w:left="0" w:firstLine="0"/>
        <w:jc w:val="both"/>
        <w:rPr>
          <w:lang w:val="en-US"/>
        </w:rPr>
      </w:pPr>
      <w:r>
        <w:rPr>
          <w:lang w:val="en-US"/>
        </w:rPr>
        <w:t>I</w:t>
      </w:r>
      <w:r w:rsidR="00B64E50" w:rsidRPr="00E16ACD">
        <w:rPr>
          <w:lang w:val="en-US"/>
        </w:rPr>
        <w:t xml:space="preserve">t </w:t>
      </w:r>
      <w:r w:rsidR="00B21A16" w:rsidRPr="00E16ACD">
        <w:rPr>
          <w:lang w:val="en-US"/>
        </w:rPr>
        <w:t xml:space="preserve">is clear that there is disagreement between the Authority </w:t>
      </w:r>
      <w:r w:rsidR="00242C39">
        <w:rPr>
          <w:lang w:val="en-US"/>
        </w:rPr>
        <w:t>on the one hand an</w:t>
      </w:r>
      <w:r w:rsidR="00B21A16" w:rsidRPr="00E16ACD">
        <w:rPr>
          <w:lang w:val="en-US"/>
        </w:rPr>
        <w:t>d 3Sixty</w:t>
      </w:r>
      <w:r w:rsidR="00B64E50" w:rsidRPr="00E16ACD">
        <w:rPr>
          <w:lang w:val="en-US"/>
        </w:rPr>
        <w:t xml:space="preserve"> </w:t>
      </w:r>
      <w:r w:rsidR="00E16ACD" w:rsidRPr="00E16ACD">
        <w:rPr>
          <w:lang w:val="en-US"/>
        </w:rPr>
        <w:t xml:space="preserve">and </w:t>
      </w:r>
      <w:proofErr w:type="spellStart"/>
      <w:r w:rsidR="00E16ACD" w:rsidRPr="00E16ACD">
        <w:rPr>
          <w:lang w:val="en-US"/>
        </w:rPr>
        <w:t>Ms</w:t>
      </w:r>
      <w:proofErr w:type="spellEnd"/>
      <w:r w:rsidR="00E16ACD" w:rsidRPr="00E16ACD">
        <w:rPr>
          <w:lang w:val="en-US"/>
        </w:rPr>
        <w:t xml:space="preserve"> Ram </w:t>
      </w:r>
      <w:r w:rsidR="00242C39">
        <w:rPr>
          <w:lang w:val="en-US"/>
        </w:rPr>
        <w:t xml:space="preserve">on the other </w:t>
      </w:r>
      <w:r w:rsidR="00B64E50" w:rsidRPr="00E16ACD">
        <w:rPr>
          <w:lang w:val="en-US"/>
        </w:rPr>
        <w:t xml:space="preserve">regarding the </w:t>
      </w:r>
      <w:r>
        <w:rPr>
          <w:lang w:val="en-US"/>
        </w:rPr>
        <w:t>IRP</w:t>
      </w:r>
      <w:r w:rsidR="00B64E50" w:rsidRPr="00E16ACD">
        <w:rPr>
          <w:lang w:val="en-US"/>
        </w:rPr>
        <w:t xml:space="preserve">. </w:t>
      </w:r>
      <w:r w:rsidR="00E16ACD" w:rsidRPr="00E16ACD">
        <w:rPr>
          <w:lang w:val="en-US"/>
        </w:rPr>
        <w:t>Normally the cogency of an expert opinion must be determined based on the cogency of the reasoning</w:t>
      </w:r>
      <w:r w:rsidR="00017C4F">
        <w:rPr>
          <w:lang w:val="en-US"/>
        </w:rPr>
        <w:t>.</w:t>
      </w:r>
      <w:r w:rsidR="00E16ACD" w:rsidRPr="000C73DC">
        <w:rPr>
          <w:rStyle w:val="FootnoteReference"/>
          <w:rFonts w:cs="Arial"/>
          <w:sz w:val="25"/>
          <w:szCs w:val="25"/>
        </w:rPr>
        <w:footnoteReference w:id="30"/>
      </w:r>
      <w:r w:rsidR="00E16ACD">
        <w:rPr>
          <w:lang w:val="en-US"/>
        </w:rPr>
        <w:t xml:space="preserve"> </w:t>
      </w:r>
    </w:p>
    <w:p w:rsidR="000B1FD8" w:rsidRDefault="000B1FD8" w:rsidP="000B1FD8">
      <w:pPr>
        <w:pStyle w:val="level1"/>
        <w:spacing w:after="480" w:line="360" w:lineRule="auto"/>
        <w:ind w:left="0" w:firstLine="0"/>
        <w:jc w:val="both"/>
        <w:rPr>
          <w:lang w:val="en-US"/>
        </w:rPr>
      </w:pPr>
      <w:r>
        <w:rPr>
          <w:lang w:val="en-US"/>
        </w:rPr>
        <w:t xml:space="preserve">In her interim report, </w:t>
      </w:r>
      <w:proofErr w:type="spellStart"/>
      <w:r>
        <w:rPr>
          <w:lang w:val="en-US"/>
        </w:rPr>
        <w:t>Ms</w:t>
      </w:r>
      <w:proofErr w:type="spellEnd"/>
      <w:r>
        <w:rPr>
          <w:lang w:val="en-US"/>
        </w:rPr>
        <w:t xml:space="preserve"> Ram concluded: </w:t>
      </w:r>
    </w:p>
    <w:p w:rsidR="000B1FD8" w:rsidRDefault="000B1FD8" w:rsidP="000B1FD8">
      <w:pPr>
        <w:pStyle w:val="level1"/>
        <w:numPr>
          <w:ilvl w:val="0"/>
          <w:numId w:val="0"/>
        </w:numPr>
        <w:spacing w:after="480"/>
        <w:ind w:left="720"/>
        <w:jc w:val="both"/>
        <w:rPr>
          <w:i/>
          <w:sz w:val="20"/>
          <w:szCs w:val="20"/>
          <w:lang w:val="en-US"/>
        </w:rPr>
      </w:pPr>
      <w:r w:rsidRPr="00D42221">
        <w:rPr>
          <w:sz w:val="20"/>
          <w:szCs w:val="20"/>
          <w:lang w:val="en-US"/>
        </w:rPr>
        <w:t>“1</w:t>
      </w:r>
      <w:r>
        <w:rPr>
          <w:sz w:val="20"/>
          <w:szCs w:val="20"/>
          <w:lang w:val="en-US"/>
        </w:rPr>
        <w:t xml:space="preserve"> </w:t>
      </w:r>
      <w:r>
        <w:rPr>
          <w:i/>
          <w:sz w:val="20"/>
          <w:szCs w:val="20"/>
          <w:lang w:val="en-US"/>
        </w:rPr>
        <w:t>T</w:t>
      </w:r>
      <w:r w:rsidRPr="00D42221">
        <w:rPr>
          <w:i/>
          <w:sz w:val="20"/>
          <w:szCs w:val="20"/>
          <w:lang w:val="en-US"/>
        </w:rPr>
        <w:t>he fact</w:t>
      </w:r>
      <w:r>
        <w:rPr>
          <w:i/>
          <w:sz w:val="20"/>
          <w:szCs w:val="20"/>
          <w:lang w:val="en-US"/>
        </w:rPr>
        <w:t>s</w:t>
      </w:r>
      <w:r w:rsidRPr="00D42221">
        <w:rPr>
          <w:i/>
          <w:sz w:val="20"/>
          <w:szCs w:val="20"/>
          <w:lang w:val="en-US"/>
        </w:rPr>
        <w:t xml:space="preserve"> presented in this report, as well as the expert opinions outsources, show that had the PA considered the transaction prior to placing the licen</w:t>
      </w:r>
      <w:r>
        <w:rPr>
          <w:i/>
          <w:sz w:val="20"/>
          <w:szCs w:val="20"/>
          <w:lang w:val="en-US"/>
        </w:rPr>
        <w:t>s</w:t>
      </w:r>
      <w:r w:rsidRPr="00D42221">
        <w:rPr>
          <w:i/>
          <w:sz w:val="20"/>
          <w:szCs w:val="20"/>
          <w:lang w:val="en-US"/>
        </w:rPr>
        <w:t>e under curatorship in all its merits the curatorship would not have been deemed necessary based on solvency alone.</w:t>
      </w:r>
    </w:p>
    <w:p w:rsidR="000B1FD8" w:rsidRDefault="000B1FD8" w:rsidP="000B1FD8">
      <w:pPr>
        <w:pStyle w:val="level1"/>
        <w:numPr>
          <w:ilvl w:val="0"/>
          <w:numId w:val="0"/>
        </w:numPr>
        <w:spacing w:after="480"/>
        <w:ind w:left="720"/>
        <w:jc w:val="both"/>
        <w:rPr>
          <w:i/>
          <w:sz w:val="20"/>
          <w:szCs w:val="20"/>
          <w:lang w:val="en-US"/>
        </w:rPr>
      </w:pPr>
      <w:r w:rsidRPr="00D42221">
        <w:rPr>
          <w:i/>
          <w:sz w:val="20"/>
          <w:szCs w:val="20"/>
          <w:lang w:val="en-US"/>
        </w:rPr>
        <w:t xml:space="preserve">2 </w:t>
      </w:r>
      <w:r>
        <w:rPr>
          <w:i/>
          <w:sz w:val="20"/>
          <w:szCs w:val="20"/>
          <w:lang w:val="en-US"/>
        </w:rPr>
        <w:t>G</w:t>
      </w:r>
      <w:r w:rsidRPr="00D42221">
        <w:rPr>
          <w:i/>
          <w:sz w:val="20"/>
          <w:szCs w:val="20"/>
          <w:lang w:val="en-US"/>
        </w:rPr>
        <w:t>iven that this report was requested by the</w:t>
      </w:r>
      <w:r>
        <w:rPr>
          <w:i/>
          <w:sz w:val="20"/>
          <w:szCs w:val="20"/>
          <w:lang w:val="en-US"/>
        </w:rPr>
        <w:t xml:space="preserve"> </w:t>
      </w:r>
      <w:r w:rsidRPr="00D42221">
        <w:rPr>
          <w:i/>
          <w:sz w:val="20"/>
          <w:szCs w:val="20"/>
          <w:lang w:val="en-US"/>
        </w:rPr>
        <w:t xml:space="preserve">court in the matter of the opposition of curatorship the conclusion based on this report alone, is that curatorship may not have been appropriate and notwithstanding other allegations put forward by the PA, should be opposed. </w:t>
      </w:r>
    </w:p>
    <w:p w:rsidR="000B1FD8" w:rsidRDefault="000B1FD8" w:rsidP="000B1FD8">
      <w:pPr>
        <w:pStyle w:val="level1"/>
        <w:numPr>
          <w:ilvl w:val="0"/>
          <w:numId w:val="0"/>
        </w:numPr>
        <w:spacing w:after="480"/>
        <w:ind w:left="720"/>
        <w:jc w:val="both"/>
        <w:rPr>
          <w:i/>
          <w:sz w:val="20"/>
          <w:szCs w:val="20"/>
          <w:lang w:val="en-US"/>
        </w:rPr>
      </w:pPr>
      <w:r w:rsidRPr="00D42221">
        <w:rPr>
          <w:i/>
          <w:sz w:val="20"/>
          <w:szCs w:val="20"/>
          <w:lang w:val="en-US"/>
        </w:rPr>
        <w:t>3 Given the facts and circumstances that have resulted from this case, insofar as the integrity and</w:t>
      </w:r>
      <w:r>
        <w:rPr>
          <w:i/>
          <w:sz w:val="20"/>
          <w:szCs w:val="20"/>
          <w:lang w:val="en-US"/>
        </w:rPr>
        <w:t xml:space="preserve"> </w:t>
      </w:r>
      <w:r w:rsidRPr="00D42221">
        <w:rPr>
          <w:i/>
          <w:sz w:val="20"/>
          <w:szCs w:val="20"/>
          <w:lang w:val="en-US"/>
        </w:rPr>
        <w:t>livel</w:t>
      </w:r>
      <w:r>
        <w:rPr>
          <w:i/>
          <w:sz w:val="20"/>
          <w:szCs w:val="20"/>
          <w:lang w:val="en-US"/>
        </w:rPr>
        <w:t>i</w:t>
      </w:r>
      <w:r w:rsidRPr="00D42221">
        <w:rPr>
          <w:i/>
          <w:sz w:val="20"/>
          <w:szCs w:val="20"/>
          <w:lang w:val="en-US"/>
        </w:rPr>
        <w:t xml:space="preserve">hood of </w:t>
      </w:r>
      <w:r>
        <w:rPr>
          <w:i/>
          <w:sz w:val="20"/>
          <w:szCs w:val="20"/>
          <w:lang w:val="en-US"/>
        </w:rPr>
        <w:t>t</w:t>
      </w:r>
      <w:r w:rsidRPr="00D42221">
        <w:rPr>
          <w:i/>
          <w:sz w:val="20"/>
          <w:szCs w:val="20"/>
          <w:lang w:val="en-US"/>
        </w:rPr>
        <w:t>h</w:t>
      </w:r>
      <w:r>
        <w:rPr>
          <w:i/>
          <w:sz w:val="20"/>
          <w:szCs w:val="20"/>
          <w:lang w:val="en-US"/>
        </w:rPr>
        <w:t>e</w:t>
      </w:r>
      <w:r w:rsidRPr="00D42221">
        <w:rPr>
          <w:i/>
          <w:sz w:val="20"/>
          <w:szCs w:val="20"/>
          <w:lang w:val="en-US"/>
        </w:rPr>
        <w:t xml:space="preserve"> provis</w:t>
      </w:r>
      <w:r>
        <w:rPr>
          <w:i/>
          <w:sz w:val="20"/>
          <w:szCs w:val="20"/>
          <w:lang w:val="en-US"/>
        </w:rPr>
        <w:t>i</w:t>
      </w:r>
      <w:r w:rsidRPr="00D42221">
        <w:rPr>
          <w:i/>
          <w:sz w:val="20"/>
          <w:szCs w:val="20"/>
          <w:lang w:val="en-US"/>
        </w:rPr>
        <w:t xml:space="preserve">onal curator, the Board and the executive Management of the license as well as the license itself, one has to consider the motives of all parties concerned. </w:t>
      </w:r>
    </w:p>
    <w:p w:rsidR="000B1FD8" w:rsidRDefault="000B1FD8" w:rsidP="000B1FD8">
      <w:pPr>
        <w:pStyle w:val="level1"/>
        <w:numPr>
          <w:ilvl w:val="0"/>
          <w:numId w:val="0"/>
        </w:numPr>
        <w:spacing w:after="480"/>
        <w:ind w:left="720"/>
        <w:jc w:val="both"/>
        <w:rPr>
          <w:i/>
          <w:sz w:val="20"/>
          <w:szCs w:val="20"/>
          <w:lang w:val="en-US"/>
        </w:rPr>
      </w:pPr>
      <w:r w:rsidRPr="00D42221">
        <w:rPr>
          <w:i/>
          <w:sz w:val="20"/>
          <w:szCs w:val="20"/>
          <w:lang w:val="en-US"/>
        </w:rPr>
        <w:t>4 As disclaimed earlier in this report, the various other matters alleged in the Founding Affidavit of the Applicant have not been considered in this report.</w:t>
      </w:r>
    </w:p>
    <w:p w:rsidR="000B1FD8" w:rsidRPr="00D42221" w:rsidRDefault="000B1FD8" w:rsidP="000B1FD8">
      <w:pPr>
        <w:pStyle w:val="level1"/>
        <w:numPr>
          <w:ilvl w:val="0"/>
          <w:numId w:val="0"/>
        </w:numPr>
        <w:spacing w:after="480"/>
        <w:ind w:left="720"/>
        <w:jc w:val="both"/>
        <w:rPr>
          <w:sz w:val="20"/>
          <w:szCs w:val="20"/>
          <w:lang w:val="en-US"/>
        </w:rPr>
      </w:pPr>
      <w:r w:rsidRPr="00D42221">
        <w:rPr>
          <w:i/>
          <w:sz w:val="20"/>
          <w:szCs w:val="20"/>
          <w:lang w:val="en-US"/>
        </w:rPr>
        <w:t xml:space="preserve">5 </w:t>
      </w:r>
      <w:r>
        <w:rPr>
          <w:i/>
          <w:sz w:val="20"/>
          <w:szCs w:val="20"/>
          <w:lang w:val="en-US"/>
        </w:rPr>
        <w:t>T</w:t>
      </w:r>
      <w:r w:rsidRPr="00D42221">
        <w:rPr>
          <w:i/>
          <w:sz w:val="20"/>
          <w:szCs w:val="20"/>
          <w:lang w:val="en-US"/>
        </w:rPr>
        <w:t>he outcomes of the opinions of expert from BDO have not been included due to the suspension of the provisional curator from her role and not being in a position to discuss nor verify the findings of these specialists</w:t>
      </w:r>
      <w:r>
        <w:rPr>
          <w:i/>
          <w:sz w:val="20"/>
          <w:szCs w:val="20"/>
          <w:lang w:val="en-US"/>
        </w:rPr>
        <w:t>.</w:t>
      </w:r>
      <w:r w:rsidRPr="00D42221">
        <w:rPr>
          <w:i/>
          <w:sz w:val="20"/>
          <w:szCs w:val="20"/>
          <w:lang w:val="en-US"/>
        </w:rPr>
        <w:t xml:space="preserve">” </w:t>
      </w:r>
    </w:p>
    <w:p w:rsidR="000B1FD8" w:rsidRPr="001C4C1A" w:rsidRDefault="000B1FD8" w:rsidP="000B1FD8">
      <w:pPr>
        <w:pStyle w:val="level1"/>
        <w:spacing w:after="480" w:line="360" w:lineRule="auto"/>
        <w:ind w:left="0" w:firstLine="0"/>
        <w:jc w:val="both"/>
        <w:rPr>
          <w:lang w:val="en-US"/>
        </w:rPr>
      </w:pPr>
      <w:proofErr w:type="spellStart"/>
      <w:r w:rsidRPr="001C4C1A">
        <w:rPr>
          <w:lang w:val="en-US"/>
        </w:rPr>
        <w:t>Ms</w:t>
      </w:r>
      <w:proofErr w:type="spellEnd"/>
      <w:r w:rsidRPr="001C4C1A">
        <w:rPr>
          <w:lang w:val="en-US"/>
        </w:rPr>
        <w:t xml:space="preserve"> Ram based her interim report mainly on the </w:t>
      </w:r>
      <w:r w:rsidR="009475DC">
        <w:rPr>
          <w:lang w:val="en-US"/>
        </w:rPr>
        <w:t xml:space="preserve">report </w:t>
      </w:r>
      <w:r w:rsidRPr="001C4C1A">
        <w:rPr>
          <w:lang w:val="en-US"/>
        </w:rPr>
        <w:t xml:space="preserve">of </w:t>
      </w:r>
      <w:proofErr w:type="spellStart"/>
      <w:r w:rsidR="009475DC">
        <w:rPr>
          <w:lang w:val="en-US"/>
        </w:rPr>
        <w:t>Millman</w:t>
      </w:r>
      <w:proofErr w:type="spellEnd"/>
      <w:r w:rsidR="009475DC">
        <w:rPr>
          <w:lang w:val="en-US"/>
        </w:rPr>
        <w:t xml:space="preserve">, </w:t>
      </w:r>
      <w:r>
        <w:rPr>
          <w:lang w:val="en-US"/>
        </w:rPr>
        <w:t xml:space="preserve">a </w:t>
      </w:r>
      <w:r w:rsidRPr="001C4C1A">
        <w:rPr>
          <w:lang w:val="en-US"/>
        </w:rPr>
        <w:t>special actuarial consultant</w:t>
      </w:r>
      <w:r w:rsidR="009475DC">
        <w:rPr>
          <w:lang w:val="en-US"/>
        </w:rPr>
        <w:t xml:space="preserve"> (“the </w:t>
      </w:r>
      <w:proofErr w:type="spellStart"/>
      <w:r w:rsidR="009475DC">
        <w:rPr>
          <w:lang w:val="en-US"/>
        </w:rPr>
        <w:t>Millman</w:t>
      </w:r>
      <w:proofErr w:type="spellEnd"/>
      <w:r w:rsidR="009475DC">
        <w:rPr>
          <w:lang w:val="en-US"/>
        </w:rPr>
        <w:t xml:space="preserve"> report”).</w:t>
      </w:r>
      <w:r w:rsidRPr="001C4C1A">
        <w:rPr>
          <w:lang w:val="en-US"/>
        </w:rPr>
        <w:t xml:space="preserve"> </w:t>
      </w:r>
      <w:r>
        <w:rPr>
          <w:lang w:val="en-US"/>
        </w:rPr>
        <w:t>Her</w:t>
      </w:r>
      <w:r w:rsidRPr="001C4C1A">
        <w:rPr>
          <w:lang w:val="en-US"/>
        </w:rPr>
        <w:t xml:space="preserve"> findings were based on information provided to </w:t>
      </w:r>
      <w:r>
        <w:rPr>
          <w:lang w:val="en-US"/>
        </w:rPr>
        <w:t>her</w:t>
      </w:r>
      <w:r w:rsidRPr="001C4C1A">
        <w:rPr>
          <w:lang w:val="en-US"/>
        </w:rPr>
        <w:t xml:space="preserve"> and the specialists commissioned by 3Sixty. </w:t>
      </w:r>
      <w:r>
        <w:rPr>
          <w:lang w:val="en-US"/>
        </w:rPr>
        <w:t>The report</w:t>
      </w:r>
      <w:r w:rsidRPr="001C4C1A">
        <w:rPr>
          <w:lang w:val="en-US"/>
        </w:rPr>
        <w:t xml:space="preserve"> focused on the I</w:t>
      </w:r>
      <w:r>
        <w:rPr>
          <w:lang w:val="en-US"/>
        </w:rPr>
        <w:t>RP</w:t>
      </w:r>
      <w:r w:rsidRPr="001C4C1A">
        <w:rPr>
          <w:lang w:val="en-US"/>
        </w:rPr>
        <w:t xml:space="preserve"> and the other issues raised by the Authority in their founding affidavit were not </w:t>
      </w:r>
      <w:r w:rsidR="009648E5">
        <w:rPr>
          <w:lang w:val="en-US"/>
        </w:rPr>
        <w:t xml:space="preserve">fully </w:t>
      </w:r>
      <w:r w:rsidRPr="001C4C1A">
        <w:rPr>
          <w:lang w:val="en-US"/>
        </w:rPr>
        <w:t xml:space="preserve">considered. </w:t>
      </w:r>
      <w:r>
        <w:rPr>
          <w:lang w:val="en-US"/>
        </w:rPr>
        <w:t>She</w:t>
      </w:r>
      <w:r w:rsidRPr="001C4C1A">
        <w:rPr>
          <w:lang w:val="en-US"/>
        </w:rPr>
        <w:t xml:space="preserve"> concluded that if the transaction w</w:t>
      </w:r>
      <w:r>
        <w:rPr>
          <w:lang w:val="en-US"/>
        </w:rPr>
        <w:t xml:space="preserve">as implemented </w:t>
      </w:r>
      <w:r w:rsidRPr="001C4C1A">
        <w:rPr>
          <w:lang w:val="en-US"/>
        </w:rPr>
        <w:t xml:space="preserve">or was considered as </w:t>
      </w:r>
      <w:r w:rsidRPr="001C4C1A">
        <w:rPr>
          <w:lang w:val="en-US"/>
        </w:rPr>
        <w:lastRenderedPageBreak/>
        <w:t xml:space="preserve">early as 7 December 2021, </w:t>
      </w:r>
      <w:r>
        <w:rPr>
          <w:lang w:val="en-US"/>
        </w:rPr>
        <w:t xml:space="preserve">when it was presented to the Authority, </w:t>
      </w:r>
      <w:r w:rsidRPr="001C4C1A">
        <w:rPr>
          <w:lang w:val="en-US"/>
        </w:rPr>
        <w:t>3Sixty would be solvent considering the MCR</w:t>
      </w:r>
      <w:r w:rsidR="00017C4F">
        <w:rPr>
          <w:lang w:val="en-US"/>
        </w:rPr>
        <w:t>.</w:t>
      </w:r>
      <w:r>
        <w:rPr>
          <w:rStyle w:val="FootnoteReference"/>
          <w:lang w:val="en-US"/>
        </w:rPr>
        <w:footnoteReference w:id="31"/>
      </w:r>
      <w:r w:rsidRPr="001C4C1A">
        <w:rPr>
          <w:lang w:val="en-US"/>
        </w:rPr>
        <w:t xml:space="preserve"> </w:t>
      </w:r>
    </w:p>
    <w:p w:rsidR="000B1FD8" w:rsidRPr="00003646" w:rsidRDefault="000B1FD8" w:rsidP="000B1FD8">
      <w:pPr>
        <w:pStyle w:val="level1"/>
        <w:spacing w:after="480" w:line="360" w:lineRule="auto"/>
        <w:ind w:left="0" w:firstLine="0"/>
        <w:jc w:val="both"/>
        <w:rPr>
          <w:i/>
          <w:lang w:val="en-US"/>
        </w:rPr>
      </w:pPr>
      <w:proofErr w:type="spellStart"/>
      <w:r>
        <w:rPr>
          <w:lang w:val="en-US"/>
        </w:rPr>
        <w:t>Ms</w:t>
      </w:r>
      <w:proofErr w:type="spellEnd"/>
      <w:r>
        <w:rPr>
          <w:lang w:val="en-US"/>
        </w:rPr>
        <w:t xml:space="preserve"> Ram’s conclusion in her final report was:</w:t>
      </w:r>
    </w:p>
    <w:p w:rsidR="000B1FD8" w:rsidRPr="00003646" w:rsidRDefault="000B1FD8" w:rsidP="00017C4F">
      <w:pPr>
        <w:pStyle w:val="level1"/>
        <w:numPr>
          <w:ilvl w:val="0"/>
          <w:numId w:val="0"/>
        </w:numPr>
        <w:spacing w:after="480"/>
        <w:ind w:left="720"/>
        <w:jc w:val="both"/>
        <w:rPr>
          <w:i/>
          <w:sz w:val="20"/>
          <w:szCs w:val="20"/>
          <w:lang w:val="en-US"/>
        </w:rPr>
      </w:pPr>
      <w:r w:rsidRPr="00003646">
        <w:rPr>
          <w:i/>
          <w:sz w:val="20"/>
          <w:szCs w:val="20"/>
          <w:lang w:val="en-US"/>
        </w:rPr>
        <w:t>“</w:t>
      </w:r>
      <w:r>
        <w:rPr>
          <w:i/>
          <w:sz w:val="20"/>
          <w:szCs w:val="20"/>
          <w:lang w:val="en-US"/>
        </w:rPr>
        <w:t>H</w:t>
      </w:r>
      <w:r w:rsidRPr="00003646">
        <w:rPr>
          <w:i/>
          <w:sz w:val="20"/>
          <w:szCs w:val="20"/>
          <w:lang w:val="en-US"/>
        </w:rPr>
        <w:t>ad a due diligence been undertaken by the PA on receipt of the plan and the authority worked with the licen</w:t>
      </w:r>
      <w:r>
        <w:rPr>
          <w:i/>
          <w:sz w:val="20"/>
          <w:szCs w:val="20"/>
          <w:lang w:val="en-US"/>
        </w:rPr>
        <w:t>s</w:t>
      </w:r>
      <w:r w:rsidRPr="00003646">
        <w:rPr>
          <w:i/>
          <w:sz w:val="20"/>
          <w:szCs w:val="20"/>
          <w:lang w:val="en-US"/>
        </w:rPr>
        <w:t>e to iron out fine creases in the overall proposal, curatorship could have been avoided….I maintain that the IRP should it be permitted will restore the minimum amount of capital required to be held to be considered to meet regulatory capital requirements to continue operating as an insurance licen</w:t>
      </w:r>
      <w:r>
        <w:rPr>
          <w:i/>
          <w:sz w:val="20"/>
          <w:szCs w:val="20"/>
          <w:lang w:val="en-US"/>
        </w:rPr>
        <w:t>s</w:t>
      </w:r>
      <w:r w:rsidRPr="00003646">
        <w:rPr>
          <w:i/>
          <w:sz w:val="20"/>
          <w:szCs w:val="20"/>
          <w:lang w:val="en-US"/>
        </w:rPr>
        <w:t>e”.</w:t>
      </w:r>
    </w:p>
    <w:p w:rsidR="000B1FD8" w:rsidRPr="00D34E14" w:rsidRDefault="000B1FD8" w:rsidP="000B1FD8">
      <w:pPr>
        <w:pStyle w:val="level1"/>
        <w:spacing w:after="480" w:line="360" w:lineRule="auto"/>
        <w:ind w:left="0" w:firstLine="0"/>
        <w:jc w:val="both"/>
        <w:rPr>
          <w:lang w:val="en-US"/>
        </w:rPr>
      </w:pPr>
      <w:proofErr w:type="spellStart"/>
      <w:r w:rsidRPr="00D34E14">
        <w:rPr>
          <w:lang w:val="en-US"/>
        </w:rPr>
        <w:t>Ms</w:t>
      </w:r>
      <w:proofErr w:type="spellEnd"/>
      <w:r w:rsidRPr="00D34E14">
        <w:rPr>
          <w:lang w:val="en-US"/>
        </w:rPr>
        <w:t xml:space="preserve"> </w:t>
      </w:r>
      <w:r>
        <w:rPr>
          <w:lang w:val="en-US"/>
        </w:rPr>
        <w:t>R</w:t>
      </w:r>
      <w:r w:rsidRPr="00D34E14">
        <w:rPr>
          <w:lang w:val="en-US"/>
        </w:rPr>
        <w:t xml:space="preserve">am </w:t>
      </w:r>
      <w:r>
        <w:rPr>
          <w:lang w:val="en-US"/>
        </w:rPr>
        <w:t xml:space="preserve">further </w:t>
      </w:r>
      <w:r w:rsidRPr="00D34E14">
        <w:rPr>
          <w:lang w:val="en-US"/>
        </w:rPr>
        <w:t>conclude</w:t>
      </w:r>
      <w:r>
        <w:rPr>
          <w:lang w:val="en-US"/>
        </w:rPr>
        <w:t>d</w:t>
      </w:r>
      <w:r w:rsidRPr="00D34E14">
        <w:rPr>
          <w:lang w:val="en-US"/>
        </w:rPr>
        <w:t xml:space="preserve"> tha</w:t>
      </w:r>
      <w:r>
        <w:rPr>
          <w:lang w:val="en-US"/>
        </w:rPr>
        <w:t>t</w:t>
      </w:r>
      <w:r w:rsidRPr="00D34E14">
        <w:rPr>
          <w:lang w:val="en-US"/>
        </w:rPr>
        <w:t>:</w:t>
      </w:r>
    </w:p>
    <w:p w:rsidR="000B1FD8" w:rsidRPr="00D34E14" w:rsidRDefault="009648E5" w:rsidP="000B1FD8">
      <w:pPr>
        <w:pStyle w:val="level1"/>
        <w:numPr>
          <w:ilvl w:val="0"/>
          <w:numId w:val="0"/>
        </w:numPr>
        <w:spacing w:after="480"/>
        <w:ind w:left="720" w:firstLine="70"/>
        <w:jc w:val="both"/>
        <w:rPr>
          <w:i/>
          <w:sz w:val="20"/>
          <w:szCs w:val="20"/>
          <w:lang w:val="en-US"/>
        </w:rPr>
      </w:pPr>
      <w:r>
        <w:rPr>
          <w:i/>
          <w:sz w:val="20"/>
          <w:szCs w:val="20"/>
          <w:lang w:val="en-US"/>
        </w:rPr>
        <w:t>“3</w:t>
      </w:r>
      <w:r w:rsidR="000B1FD8" w:rsidRPr="00D34E14">
        <w:rPr>
          <w:i/>
          <w:sz w:val="20"/>
          <w:szCs w:val="20"/>
          <w:lang w:val="en-US"/>
        </w:rPr>
        <w:t xml:space="preserve">sixty has presented an internal </w:t>
      </w:r>
      <w:proofErr w:type="spellStart"/>
      <w:r w:rsidR="000B1FD8" w:rsidRPr="00D34E14">
        <w:rPr>
          <w:i/>
          <w:sz w:val="20"/>
          <w:szCs w:val="20"/>
          <w:lang w:val="en-US"/>
        </w:rPr>
        <w:t>recapitalisat</w:t>
      </w:r>
      <w:r w:rsidR="000B1FD8">
        <w:rPr>
          <w:i/>
          <w:sz w:val="20"/>
          <w:szCs w:val="20"/>
          <w:lang w:val="en-US"/>
        </w:rPr>
        <w:t>i</w:t>
      </w:r>
      <w:r w:rsidR="000B1FD8" w:rsidRPr="00D34E14">
        <w:rPr>
          <w:i/>
          <w:sz w:val="20"/>
          <w:szCs w:val="20"/>
          <w:lang w:val="en-US"/>
        </w:rPr>
        <w:t>on</w:t>
      </w:r>
      <w:proofErr w:type="spellEnd"/>
      <w:r w:rsidR="000B1FD8" w:rsidRPr="00D34E14">
        <w:rPr>
          <w:i/>
          <w:sz w:val="20"/>
          <w:szCs w:val="20"/>
          <w:lang w:val="en-US"/>
        </w:rPr>
        <w:t xml:space="preserve"> plan that will restore the MRC to the regulatory required level; the matters relating to the unaudited financial accounts can be resolved with cooperation of external auditor of choice and increased focus on accounting and finance function within 3Sixty; the alleged misappropriation </w:t>
      </w:r>
      <w:r w:rsidR="000B1FD8">
        <w:rPr>
          <w:i/>
          <w:sz w:val="20"/>
          <w:szCs w:val="20"/>
          <w:lang w:val="en-US"/>
        </w:rPr>
        <w:t>o</w:t>
      </w:r>
      <w:r w:rsidR="000B1FD8" w:rsidRPr="00D34E14">
        <w:rPr>
          <w:i/>
          <w:sz w:val="20"/>
          <w:szCs w:val="20"/>
          <w:lang w:val="en-US"/>
        </w:rPr>
        <w:t>f funds cannot be proven or justified; matters relating to governance risk management control functions ar</w:t>
      </w:r>
      <w:r w:rsidR="000B1FD8">
        <w:rPr>
          <w:i/>
          <w:sz w:val="20"/>
          <w:szCs w:val="20"/>
          <w:lang w:val="en-US"/>
        </w:rPr>
        <w:t>e r</w:t>
      </w:r>
      <w:r w:rsidR="000B1FD8" w:rsidRPr="00D34E14">
        <w:rPr>
          <w:i/>
          <w:sz w:val="20"/>
          <w:szCs w:val="20"/>
          <w:lang w:val="en-US"/>
        </w:rPr>
        <w:t>equired as per GOIs and soundness of board of directors are noted however the onus of the approval of appointment of the</w:t>
      </w:r>
      <w:r w:rsidR="000B1FD8">
        <w:rPr>
          <w:i/>
          <w:sz w:val="20"/>
          <w:szCs w:val="20"/>
          <w:lang w:val="en-US"/>
        </w:rPr>
        <w:t>s</w:t>
      </w:r>
      <w:r w:rsidR="000B1FD8" w:rsidRPr="00D34E14">
        <w:rPr>
          <w:i/>
          <w:sz w:val="20"/>
          <w:szCs w:val="20"/>
          <w:lang w:val="en-US"/>
        </w:rPr>
        <w:t>e individuals has and will continue to rest with the authority themselves any concerns does not constitute grounds for curatorship there have been no findings that justify the provisional curatorship continuing…include BDO conclusions I do not condone any of these conclusions of BDO.</w:t>
      </w:r>
      <w:r w:rsidR="00017C4F">
        <w:rPr>
          <w:i/>
          <w:sz w:val="20"/>
          <w:szCs w:val="20"/>
          <w:lang w:val="en-US"/>
        </w:rPr>
        <w:t>”</w:t>
      </w:r>
    </w:p>
    <w:p w:rsidR="000B1FD8" w:rsidRDefault="000B1FD8" w:rsidP="000B1FD8">
      <w:pPr>
        <w:pStyle w:val="level1"/>
        <w:spacing w:after="480" w:line="360" w:lineRule="auto"/>
        <w:ind w:left="0" w:firstLine="0"/>
        <w:jc w:val="both"/>
        <w:rPr>
          <w:lang w:val="en-US"/>
        </w:rPr>
      </w:pPr>
      <w:r>
        <w:rPr>
          <w:lang w:val="en-US"/>
        </w:rPr>
        <w:t xml:space="preserve">In </w:t>
      </w:r>
      <w:proofErr w:type="spellStart"/>
      <w:r>
        <w:rPr>
          <w:lang w:val="en-US"/>
        </w:rPr>
        <w:t>Ms</w:t>
      </w:r>
      <w:proofErr w:type="spellEnd"/>
      <w:r>
        <w:rPr>
          <w:lang w:val="en-US"/>
        </w:rPr>
        <w:t xml:space="preserve"> Ram’s affidavit of 8 June 2022, she stated:</w:t>
      </w:r>
    </w:p>
    <w:p w:rsidR="000B1FD8" w:rsidRPr="00ED421E" w:rsidRDefault="000B1FD8" w:rsidP="000B1FD8">
      <w:pPr>
        <w:pStyle w:val="level1"/>
        <w:numPr>
          <w:ilvl w:val="0"/>
          <w:numId w:val="0"/>
        </w:numPr>
        <w:spacing w:after="480"/>
        <w:ind w:left="720"/>
        <w:jc w:val="both"/>
        <w:rPr>
          <w:i/>
          <w:sz w:val="20"/>
          <w:szCs w:val="20"/>
          <w:lang w:val="en-US"/>
        </w:rPr>
      </w:pPr>
      <w:r w:rsidRPr="00ED421E">
        <w:rPr>
          <w:i/>
          <w:sz w:val="20"/>
          <w:szCs w:val="20"/>
          <w:lang w:val="en-US"/>
        </w:rPr>
        <w:t xml:space="preserve">“I maintain that the </w:t>
      </w:r>
      <w:r>
        <w:rPr>
          <w:i/>
          <w:sz w:val="20"/>
          <w:szCs w:val="20"/>
          <w:lang w:val="en-US"/>
        </w:rPr>
        <w:t>F</w:t>
      </w:r>
      <w:r w:rsidRPr="00ED421E">
        <w:rPr>
          <w:i/>
          <w:sz w:val="20"/>
          <w:szCs w:val="20"/>
          <w:lang w:val="en-US"/>
        </w:rPr>
        <w:t xml:space="preserve">irst </w:t>
      </w:r>
      <w:r>
        <w:rPr>
          <w:i/>
          <w:sz w:val="20"/>
          <w:szCs w:val="20"/>
          <w:lang w:val="en-US"/>
        </w:rPr>
        <w:t>R</w:t>
      </w:r>
      <w:r w:rsidRPr="00ED421E">
        <w:rPr>
          <w:i/>
          <w:sz w:val="20"/>
          <w:szCs w:val="20"/>
          <w:lang w:val="en-US"/>
        </w:rPr>
        <w:t>e</w:t>
      </w:r>
      <w:r>
        <w:rPr>
          <w:i/>
          <w:sz w:val="20"/>
          <w:szCs w:val="20"/>
          <w:lang w:val="en-US"/>
        </w:rPr>
        <w:t>s</w:t>
      </w:r>
      <w:r w:rsidRPr="00ED421E">
        <w:rPr>
          <w:i/>
          <w:sz w:val="20"/>
          <w:szCs w:val="20"/>
          <w:lang w:val="en-US"/>
        </w:rPr>
        <w:t xml:space="preserve">pondent is solvent and ought not to be under curatorship. I submit this court ought </w:t>
      </w:r>
      <w:proofErr w:type="gramStart"/>
      <w:r w:rsidRPr="00ED421E">
        <w:rPr>
          <w:i/>
          <w:sz w:val="20"/>
          <w:szCs w:val="20"/>
          <w:lang w:val="en-US"/>
        </w:rPr>
        <w:t>not</w:t>
      </w:r>
      <w:proofErr w:type="gramEnd"/>
      <w:r w:rsidRPr="00ED421E">
        <w:rPr>
          <w:i/>
          <w:sz w:val="20"/>
          <w:szCs w:val="20"/>
          <w:lang w:val="en-US"/>
        </w:rPr>
        <w:t xml:space="preserve"> confirm the rule nisi.</w:t>
      </w:r>
      <w:r w:rsidR="00297385">
        <w:rPr>
          <w:i/>
          <w:sz w:val="20"/>
          <w:szCs w:val="20"/>
          <w:lang w:val="en-US"/>
        </w:rPr>
        <w:t>”</w:t>
      </w:r>
      <w:r w:rsidRPr="00ED421E">
        <w:rPr>
          <w:i/>
          <w:sz w:val="20"/>
          <w:szCs w:val="20"/>
          <w:lang w:val="en-US"/>
        </w:rPr>
        <w:t xml:space="preserve"> </w:t>
      </w:r>
    </w:p>
    <w:p w:rsidR="005E6153" w:rsidRPr="00033BE9" w:rsidRDefault="005E6153" w:rsidP="005E6153">
      <w:pPr>
        <w:pStyle w:val="level1"/>
        <w:spacing w:after="480" w:line="360" w:lineRule="auto"/>
        <w:ind w:left="0" w:firstLine="0"/>
        <w:jc w:val="both"/>
        <w:rPr>
          <w:b/>
          <w:lang w:val="en-US"/>
        </w:rPr>
      </w:pPr>
      <w:r w:rsidRPr="00033BE9">
        <w:rPr>
          <w:lang w:val="en-US"/>
        </w:rPr>
        <w:t>One of the concerns raised by the Authority pertains to the lack of evidence that the properties are not encumbered</w:t>
      </w:r>
      <w:r w:rsidR="0088189C" w:rsidRPr="00033BE9">
        <w:rPr>
          <w:lang w:val="en-US"/>
        </w:rPr>
        <w:t>.</w:t>
      </w:r>
      <w:r w:rsidRPr="00033BE9">
        <w:rPr>
          <w:lang w:val="en-US"/>
        </w:rPr>
        <w:t xml:space="preserve"> </w:t>
      </w:r>
      <w:r w:rsidR="0088189C" w:rsidRPr="00033BE9">
        <w:rPr>
          <w:lang w:val="en-US"/>
        </w:rPr>
        <w:t>That</w:t>
      </w:r>
      <w:r w:rsidRPr="00033BE9">
        <w:rPr>
          <w:lang w:val="en-US"/>
        </w:rPr>
        <w:t xml:space="preserve"> would impact on the full value of the assets, given that the properties are leased back to Doves. Its concerns were that the </w:t>
      </w:r>
      <w:proofErr w:type="spellStart"/>
      <w:r w:rsidRPr="00033BE9">
        <w:rPr>
          <w:lang w:val="en-US"/>
        </w:rPr>
        <w:t>Millman</w:t>
      </w:r>
      <w:proofErr w:type="spellEnd"/>
      <w:r w:rsidRPr="00033BE9">
        <w:rPr>
          <w:lang w:val="en-US"/>
        </w:rPr>
        <w:t xml:space="preserve"> report has numerous disclaimers and qualifications, including whether the properties are potentially encumbered</w:t>
      </w:r>
      <w:r w:rsidR="0088189C" w:rsidRPr="00033BE9">
        <w:rPr>
          <w:lang w:val="en-US"/>
        </w:rPr>
        <w:t>.</w:t>
      </w:r>
      <w:r w:rsidRPr="00033BE9">
        <w:rPr>
          <w:b/>
          <w:lang w:val="en-US"/>
        </w:rPr>
        <w:t xml:space="preserve"> </w:t>
      </w:r>
      <w:r w:rsidR="0088189C" w:rsidRPr="00033BE9">
        <w:rPr>
          <w:lang w:val="en-US"/>
        </w:rPr>
        <w:t>3Sixty</w:t>
      </w:r>
      <w:r w:rsidRPr="00033BE9">
        <w:rPr>
          <w:lang w:val="en-US"/>
        </w:rPr>
        <w:t xml:space="preserve"> cannot use encumbered assets as part of its solvency calculation, without prior approval from the Authority. </w:t>
      </w:r>
    </w:p>
    <w:p w:rsidR="005E6153" w:rsidRDefault="005E6153" w:rsidP="005E6153">
      <w:pPr>
        <w:pStyle w:val="level1"/>
        <w:spacing w:after="480" w:line="360" w:lineRule="auto"/>
        <w:ind w:left="0" w:firstLine="0"/>
        <w:jc w:val="both"/>
        <w:rPr>
          <w:lang w:val="en-US"/>
        </w:rPr>
      </w:pPr>
      <w:r>
        <w:rPr>
          <w:lang w:val="en-US"/>
        </w:rPr>
        <w:lastRenderedPageBreak/>
        <w:t>T</w:t>
      </w:r>
      <w:r w:rsidRPr="00AA2A4D">
        <w:rPr>
          <w:lang w:val="en-US"/>
        </w:rPr>
        <w:t xml:space="preserve">he </w:t>
      </w:r>
      <w:proofErr w:type="spellStart"/>
      <w:r w:rsidRPr="00AA2A4D">
        <w:rPr>
          <w:lang w:val="en-US"/>
        </w:rPr>
        <w:t>Millman</w:t>
      </w:r>
      <w:proofErr w:type="spellEnd"/>
      <w:r w:rsidRPr="00AA2A4D">
        <w:rPr>
          <w:lang w:val="en-US"/>
        </w:rPr>
        <w:t xml:space="preserve"> report identifie</w:t>
      </w:r>
      <w:r>
        <w:rPr>
          <w:lang w:val="en-US"/>
        </w:rPr>
        <w:t>d</w:t>
      </w:r>
      <w:r w:rsidRPr="00AA2A4D">
        <w:rPr>
          <w:lang w:val="en-US"/>
        </w:rPr>
        <w:t xml:space="preserve"> this as a risk as</w:t>
      </w:r>
      <w:r>
        <w:rPr>
          <w:lang w:val="en-US"/>
        </w:rPr>
        <w:t>:</w:t>
      </w:r>
    </w:p>
    <w:p w:rsidR="005E6153" w:rsidRPr="005E6153" w:rsidRDefault="005E6153" w:rsidP="00017C4F">
      <w:pPr>
        <w:pStyle w:val="level1"/>
        <w:numPr>
          <w:ilvl w:val="0"/>
          <w:numId w:val="0"/>
        </w:numPr>
        <w:spacing w:after="480"/>
        <w:ind w:left="720"/>
        <w:jc w:val="both"/>
        <w:rPr>
          <w:sz w:val="20"/>
          <w:szCs w:val="20"/>
          <w:lang w:val="en-US"/>
        </w:rPr>
      </w:pPr>
      <w:r w:rsidRPr="005E6153">
        <w:rPr>
          <w:i/>
          <w:sz w:val="20"/>
          <w:szCs w:val="20"/>
          <w:lang w:val="en-US"/>
        </w:rPr>
        <w:t>“</w:t>
      </w:r>
      <w:r w:rsidR="00C44815">
        <w:rPr>
          <w:i/>
          <w:sz w:val="20"/>
          <w:szCs w:val="20"/>
          <w:lang w:val="en-US"/>
        </w:rPr>
        <w:t>T</w:t>
      </w:r>
      <w:r w:rsidRPr="005E6153">
        <w:rPr>
          <w:i/>
          <w:sz w:val="20"/>
          <w:szCs w:val="20"/>
          <w:lang w:val="en-US"/>
        </w:rPr>
        <w:t>he lease of the properties to Doves, 3Sixty’s parent, could be viewed as a limitation on the use or disposal of the properties.</w:t>
      </w:r>
      <w:r w:rsidRPr="005E6153">
        <w:rPr>
          <w:sz w:val="20"/>
          <w:szCs w:val="20"/>
          <w:lang w:val="en-US"/>
        </w:rPr>
        <w:t xml:space="preserve"> </w:t>
      </w:r>
      <w:r w:rsidRPr="005E6153">
        <w:rPr>
          <w:i/>
          <w:sz w:val="20"/>
          <w:szCs w:val="20"/>
          <w:lang w:val="en-US"/>
        </w:rPr>
        <w:t>As Doves controls 3Sixty, Doves has a clear operational need to operate from the properties involved. The lease proposed in the disposal agreement is a month by month lease, which means that a sale of the property to a third party could easily result in termination of the lease.</w:t>
      </w:r>
      <w:r w:rsidRPr="005E6153">
        <w:rPr>
          <w:sz w:val="20"/>
          <w:szCs w:val="20"/>
          <w:lang w:val="en-US"/>
        </w:rPr>
        <w:t>”</w:t>
      </w:r>
    </w:p>
    <w:p w:rsidR="005E6153" w:rsidRPr="00FE7275" w:rsidRDefault="005E6153" w:rsidP="005E6153">
      <w:pPr>
        <w:pStyle w:val="level1"/>
        <w:spacing w:after="480" w:line="360" w:lineRule="auto"/>
        <w:ind w:left="0" w:firstLine="0"/>
        <w:jc w:val="both"/>
        <w:rPr>
          <w:lang w:val="en-US"/>
        </w:rPr>
      </w:pPr>
      <w:r>
        <w:rPr>
          <w:lang w:val="en-US"/>
        </w:rPr>
        <w:t>The opinions d</w:t>
      </w:r>
      <w:r w:rsidRPr="00FE7275">
        <w:rPr>
          <w:lang w:val="en-US"/>
        </w:rPr>
        <w:t xml:space="preserve">rawn by </w:t>
      </w:r>
      <w:r w:rsidR="00103504" w:rsidRPr="00CC68F4">
        <w:rPr>
          <w:lang w:val="en-US"/>
        </w:rPr>
        <w:t>BDO</w:t>
      </w:r>
      <w:r w:rsidRPr="00FE7275">
        <w:rPr>
          <w:lang w:val="en-US"/>
        </w:rPr>
        <w:t>’s actuarial, accounting and tax teams relating to the I</w:t>
      </w:r>
      <w:r w:rsidR="00A0385F">
        <w:rPr>
          <w:lang w:val="en-US"/>
        </w:rPr>
        <w:t>RP</w:t>
      </w:r>
      <w:r w:rsidRPr="00FE7275">
        <w:rPr>
          <w:lang w:val="en-US"/>
        </w:rPr>
        <w:t xml:space="preserve"> d</w:t>
      </w:r>
      <w:r w:rsidR="00103504">
        <w:rPr>
          <w:lang w:val="en-US"/>
        </w:rPr>
        <w:t>id</w:t>
      </w:r>
      <w:r w:rsidRPr="00FE7275">
        <w:rPr>
          <w:lang w:val="en-US"/>
        </w:rPr>
        <w:t xml:space="preserve"> not support </w:t>
      </w:r>
      <w:proofErr w:type="spellStart"/>
      <w:r w:rsidRPr="00FE7275">
        <w:rPr>
          <w:lang w:val="en-US"/>
        </w:rPr>
        <w:t>Ms</w:t>
      </w:r>
      <w:proofErr w:type="spellEnd"/>
      <w:r w:rsidRPr="00FE7275">
        <w:rPr>
          <w:lang w:val="en-US"/>
        </w:rPr>
        <w:t xml:space="preserve"> Ram’s findings in her interim report of 21 February 2022. </w:t>
      </w:r>
      <w:proofErr w:type="spellStart"/>
      <w:r w:rsidRPr="00FE7275">
        <w:rPr>
          <w:lang w:val="en-US"/>
        </w:rPr>
        <w:t>Ms</w:t>
      </w:r>
      <w:proofErr w:type="spellEnd"/>
      <w:r w:rsidRPr="00FE7275">
        <w:rPr>
          <w:lang w:val="en-US"/>
        </w:rPr>
        <w:t xml:space="preserve"> Ram received the reports prepared by the BDO support teams but did not explain the differences o</w:t>
      </w:r>
      <w:r w:rsidR="00C44815">
        <w:rPr>
          <w:lang w:val="en-US"/>
        </w:rPr>
        <w:t>r</w:t>
      </w:r>
      <w:r w:rsidRPr="00FE7275">
        <w:rPr>
          <w:lang w:val="en-US"/>
        </w:rPr>
        <w:t xml:space="preserve"> the reasons for her disagreement in her interim report.</w:t>
      </w:r>
      <w:r>
        <w:rPr>
          <w:lang w:val="en-US"/>
        </w:rPr>
        <w:t xml:space="preserve"> </w:t>
      </w:r>
      <w:r w:rsidR="00103504">
        <w:rPr>
          <w:lang w:val="en-US"/>
        </w:rPr>
        <w:t>S</w:t>
      </w:r>
      <w:r>
        <w:rPr>
          <w:lang w:val="en-US"/>
        </w:rPr>
        <w:t>he also did not do so in her final report.</w:t>
      </w:r>
      <w:r w:rsidRPr="00FE7275">
        <w:rPr>
          <w:lang w:val="en-US"/>
        </w:rPr>
        <w:t xml:space="preserve">   </w:t>
      </w:r>
    </w:p>
    <w:p w:rsidR="002C0AD8" w:rsidRPr="002C0AD8" w:rsidRDefault="005E6153" w:rsidP="00003275">
      <w:pPr>
        <w:pStyle w:val="level1"/>
        <w:spacing w:after="480" w:line="360" w:lineRule="auto"/>
        <w:ind w:left="0" w:firstLine="0"/>
        <w:jc w:val="both"/>
        <w:rPr>
          <w:b/>
          <w:lang w:val="en-US"/>
        </w:rPr>
      </w:pPr>
      <w:r w:rsidRPr="002C0AD8">
        <w:rPr>
          <w:lang w:val="en-US"/>
        </w:rPr>
        <w:t>The BDO support team’s three actuaries</w:t>
      </w:r>
      <w:r w:rsidR="00A536F6" w:rsidRPr="002C0AD8">
        <w:rPr>
          <w:lang w:val="en-US"/>
        </w:rPr>
        <w:t>, relied on by the Authority</w:t>
      </w:r>
      <w:r w:rsidR="009648E5" w:rsidRPr="002C0AD8">
        <w:rPr>
          <w:lang w:val="en-US"/>
        </w:rPr>
        <w:t xml:space="preserve"> concluded</w:t>
      </w:r>
      <w:r w:rsidR="00A536F6" w:rsidRPr="002C0AD8">
        <w:rPr>
          <w:lang w:val="en-US"/>
        </w:rPr>
        <w:t>,</w:t>
      </w:r>
      <w:r w:rsidR="009648E5" w:rsidRPr="002C0AD8">
        <w:rPr>
          <w:lang w:val="en-US"/>
        </w:rPr>
        <w:t xml:space="preserve"> </w:t>
      </w:r>
      <w:r w:rsidRPr="002C0AD8">
        <w:rPr>
          <w:lang w:val="en-US"/>
        </w:rPr>
        <w:t xml:space="preserve">conversely to </w:t>
      </w:r>
      <w:proofErr w:type="spellStart"/>
      <w:r w:rsidRPr="002C0AD8">
        <w:rPr>
          <w:lang w:val="en-US"/>
        </w:rPr>
        <w:t>Ms</w:t>
      </w:r>
      <w:proofErr w:type="spellEnd"/>
      <w:r w:rsidRPr="002C0AD8">
        <w:rPr>
          <w:lang w:val="en-US"/>
        </w:rPr>
        <w:t xml:space="preserve"> Ram’s opinions</w:t>
      </w:r>
      <w:r w:rsidR="009648E5" w:rsidRPr="002C0AD8">
        <w:rPr>
          <w:lang w:val="en-US"/>
        </w:rPr>
        <w:t>,</w:t>
      </w:r>
      <w:r w:rsidRPr="002C0AD8">
        <w:rPr>
          <w:lang w:val="en-US"/>
        </w:rPr>
        <w:t xml:space="preserve"> that the issues identified in the Authority’s founding papers remain. </w:t>
      </w:r>
      <w:r w:rsidR="002C0AD8" w:rsidRPr="002C0AD8">
        <w:rPr>
          <w:lang w:val="en-US"/>
        </w:rPr>
        <w:t xml:space="preserve">In the report by the BDO representatives, recommendations were made supporting the retention of the curatorship. </w:t>
      </w:r>
      <w:r w:rsidR="002C0AD8">
        <w:rPr>
          <w:lang w:val="en-US"/>
        </w:rPr>
        <w:t xml:space="preserve"> </w:t>
      </w:r>
    </w:p>
    <w:p w:rsidR="005E6153" w:rsidRPr="002C0AD8" w:rsidRDefault="005E6153" w:rsidP="00003275">
      <w:pPr>
        <w:pStyle w:val="level1"/>
        <w:spacing w:after="480" w:line="360" w:lineRule="auto"/>
        <w:ind w:left="0" w:firstLine="0"/>
        <w:jc w:val="both"/>
        <w:rPr>
          <w:b/>
          <w:lang w:val="en-US"/>
        </w:rPr>
      </w:pPr>
      <w:r w:rsidRPr="002C0AD8">
        <w:rPr>
          <w:lang w:val="en-US"/>
        </w:rPr>
        <w:t>In their view, the financial results provided by 3Sixty could not necessarily be relied upon and no opinion was given regarding their accuracy or reliability a</w:t>
      </w:r>
      <w:r w:rsidR="00A0385F" w:rsidRPr="002C0AD8">
        <w:rPr>
          <w:lang w:val="en-US"/>
        </w:rPr>
        <w:t>s</w:t>
      </w:r>
      <w:r w:rsidRPr="002C0AD8">
        <w:rPr>
          <w:lang w:val="en-US"/>
        </w:rPr>
        <w:t xml:space="preserve"> verification was required.</w:t>
      </w:r>
      <w:r w:rsidR="009648E5" w:rsidRPr="002C0AD8">
        <w:rPr>
          <w:lang w:val="en-US"/>
        </w:rPr>
        <w:t xml:space="preserve"> </w:t>
      </w:r>
      <w:r w:rsidRPr="002C0AD8">
        <w:rPr>
          <w:lang w:val="en-US"/>
        </w:rPr>
        <w:t xml:space="preserve">Their view was that the proposed </w:t>
      </w:r>
      <w:r w:rsidR="00A0385F" w:rsidRPr="002C0AD8">
        <w:rPr>
          <w:lang w:val="en-US"/>
        </w:rPr>
        <w:t>IRP</w:t>
      </w:r>
      <w:r w:rsidRPr="002C0AD8">
        <w:rPr>
          <w:lang w:val="en-US"/>
        </w:rPr>
        <w:t xml:space="preserve"> was merely part of the required process and on its own </w:t>
      </w:r>
      <w:r w:rsidR="00C44815" w:rsidRPr="002C0AD8">
        <w:rPr>
          <w:lang w:val="en-US"/>
        </w:rPr>
        <w:t>wa</w:t>
      </w:r>
      <w:r w:rsidRPr="002C0AD8">
        <w:rPr>
          <w:lang w:val="en-US"/>
        </w:rPr>
        <w:t xml:space="preserve">s not a suitable measure to resolve the issues raised by the Authority in its entirety. Any impact of the </w:t>
      </w:r>
      <w:r w:rsidR="00A0385F" w:rsidRPr="002C0AD8">
        <w:rPr>
          <w:lang w:val="en-US"/>
        </w:rPr>
        <w:t>IRP</w:t>
      </w:r>
      <w:r w:rsidRPr="002C0AD8">
        <w:rPr>
          <w:lang w:val="en-US"/>
        </w:rPr>
        <w:t xml:space="preserve"> on 3Sixty’s liquidity would be limited. </w:t>
      </w:r>
      <w:r w:rsidR="002C0AD8">
        <w:rPr>
          <w:lang w:val="en-US"/>
        </w:rPr>
        <w:t>Even i</w:t>
      </w:r>
      <w:r w:rsidRPr="002C0AD8">
        <w:rPr>
          <w:lang w:val="en-US"/>
        </w:rPr>
        <w:t xml:space="preserve">f </w:t>
      </w:r>
      <w:r w:rsidR="009648E5" w:rsidRPr="002C0AD8">
        <w:rPr>
          <w:lang w:val="en-US"/>
        </w:rPr>
        <w:t xml:space="preserve">the properties were </w:t>
      </w:r>
      <w:r w:rsidRPr="002C0AD8">
        <w:rPr>
          <w:lang w:val="en-US"/>
        </w:rPr>
        <w:t>considered unencumbered as proposed by 3Sixty, the MCR cover would increase to well above 1.9</w:t>
      </w:r>
      <w:r w:rsidR="002C0AD8">
        <w:rPr>
          <w:lang w:val="en-US"/>
        </w:rPr>
        <w:t>X</w:t>
      </w:r>
      <w:r w:rsidRPr="002C0AD8">
        <w:rPr>
          <w:lang w:val="en-US"/>
        </w:rPr>
        <w:t xml:space="preserve"> but its SCR cover would remain below 1.0X and thus not in accordance with the guidelines. It was concluded that the </w:t>
      </w:r>
      <w:r w:rsidR="00A0385F" w:rsidRPr="002C0AD8">
        <w:rPr>
          <w:lang w:val="en-US"/>
        </w:rPr>
        <w:t>IRP</w:t>
      </w:r>
      <w:r w:rsidRPr="002C0AD8">
        <w:rPr>
          <w:lang w:val="en-US"/>
        </w:rPr>
        <w:t xml:space="preserve"> </w:t>
      </w:r>
      <w:r w:rsidR="00C44815" w:rsidRPr="002C0AD8">
        <w:rPr>
          <w:lang w:val="en-US"/>
        </w:rPr>
        <w:t>wa</w:t>
      </w:r>
      <w:r w:rsidRPr="002C0AD8">
        <w:rPr>
          <w:lang w:val="en-US"/>
        </w:rPr>
        <w:t>s therefor</w:t>
      </w:r>
      <w:r w:rsidR="002C0AD8">
        <w:rPr>
          <w:lang w:val="en-US"/>
        </w:rPr>
        <w:t>e</w:t>
      </w:r>
      <w:r w:rsidRPr="002C0AD8">
        <w:rPr>
          <w:lang w:val="en-US"/>
        </w:rPr>
        <w:t xml:space="preserve"> ineffective even to render 3Sixty into a financially sound solvency position</w:t>
      </w:r>
      <w:r w:rsidR="009648E5" w:rsidRPr="002C0AD8">
        <w:rPr>
          <w:lang w:val="en-US"/>
        </w:rPr>
        <w:t xml:space="preserve"> and the IRP</w:t>
      </w:r>
      <w:r w:rsidRPr="002C0AD8">
        <w:rPr>
          <w:lang w:val="en-US"/>
        </w:rPr>
        <w:t xml:space="preserve"> did not achieve the objectives for which the order was issued</w:t>
      </w:r>
      <w:r w:rsidR="002C0AD8">
        <w:rPr>
          <w:lang w:val="en-US"/>
        </w:rPr>
        <w:t>.</w:t>
      </w:r>
      <w:r w:rsidRPr="002C0AD8">
        <w:rPr>
          <w:lang w:val="en-US"/>
        </w:rPr>
        <w:t xml:space="preserve"> </w:t>
      </w:r>
    </w:p>
    <w:p w:rsidR="00D83E53" w:rsidRDefault="002C0AD8" w:rsidP="002C0AD8">
      <w:pPr>
        <w:pStyle w:val="level1"/>
        <w:spacing w:after="480" w:line="360" w:lineRule="auto"/>
        <w:ind w:left="0" w:firstLine="0"/>
        <w:jc w:val="both"/>
        <w:rPr>
          <w:lang w:val="en-US"/>
        </w:rPr>
      </w:pPr>
      <w:r w:rsidRPr="00132368">
        <w:rPr>
          <w:lang w:val="en-US"/>
        </w:rPr>
        <w:t xml:space="preserve">It must be borne in mind that it remains within the prerogative of the Authority to consider and approve a </w:t>
      </w:r>
      <w:proofErr w:type="spellStart"/>
      <w:r w:rsidRPr="00132368">
        <w:rPr>
          <w:lang w:val="en-US"/>
        </w:rPr>
        <w:t>recapitalisation</w:t>
      </w:r>
      <w:proofErr w:type="spellEnd"/>
      <w:r w:rsidRPr="00132368">
        <w:rPr>
          <w:lang w:val="en-US"/>
        </w:rPr>
        <w:t xml:space="preserve"> plan under sections 39(6) to 39(10) of the Insurance Act. </w:t>
      </w:r>
      <w:r>
        <w:rPr>
          <w:lang w:val="en-US"/>
        </w:rPr>
        <w:t xml:space="preserve">As stated, there are numerous issues surrounding the IRP on which the </w:t>
      </w:r>
      <w:r>
        <w:rPr>
          <w:lang w:val="en-US"/>
        </w:rPr>
        <w:lastRenderedPageBreak/>
        <w:t xml:space="preserve">various experts have expressed differing views. </w:t>
      </w:r>
      <w:r w:rsidR="00D83E53" w:rsidRPr="00C44815">
        <w:rPr>
          <w:lang w:val="en-US"/>
        </w:rPr>
        <w:t xml:space="preserve">It is at least common </w:t>
      </w:r>
      <w:proofErr w:type="gramStart"/>
      <w:r w:rsidR="00D83E53" w:rsidRPr="00C44815">
        <w:rPr>
          <w:lang w:val="en-US"/>
        </w:rPr>
        <w:t>cause</w:t>
      </w:r>
      <w:proofErr w:type="gramEnd"/>
      <w:r w:rsidR="00D83E53" w:rsidRPr="00C44815">
        <w:rPr>
          <w:lang w:val="en-US"/>
        </w:rPr>
        <w:t xml:space="preserve"> there may be areas of uncertainty from legal and accounting perspectives.</w:t>
      </w:r>
    </w:p>
    <w:p w:rsidR="002C0AD8" w:rsidRPr="00D83E53" w:rsidRDefault="002C0AD8" w:rsidP="0032044A">
      <w:pPr>
        <w:pStyle w:val="level1"/>
        <w:spacing w:after="480" w:line="360" w:lineRule="auto"/>
        <w:ind w:left="0" w:firstLine="0"/>
        <w:jc w:val="both"/>
        <w:rPr>
          <w:lang w:val="en-US"/>
        </w:rPr>
      </w:pPr>
      <w:r w:rsidRPr="00D83E53">
        <w:rPr>
          <w:lang w:val="en-US"/>
        </w:rPr>
        <w:t xml:space="preserve">It is not for this court to determine the viability of the </w:t>
      </w:r>
      <w:r w:rsidR="00D83E53">
        <w:rPr>
          <w:lang w:val="en-US"/>
        </w:rPr>
        <w:t>IRP</w:t>
      </w:r>
      <w:r w:rsidRPr="00D83E53">
        <w:rPr>
          <w:lang w:val="en-US"/>
        </w:rPr>
        <w:t xml:space="preserve"> and this is not a review application regarding the exercise by the Authority of its discretion on this issue. Moreover, as stated in </w:t>
      </w:r>
      <w:r w:rsidRPr="00D83E53">
        <w:rPr>
          <w:i/>
          <w:lang w:val="en-US"/>
        </w:rPr>
        <w:t>Dynamic Wealth,</w:t>
      </w:r>
      <w:r w:rsidRPr="00D83E53">
        <w:rPr>
          <w:lang w:val="en-US"/>
        </w:rPr>
        <w:t xml:space="preserve"> the Authority need not resolve the factual disputes by litigation, but must illustrate that its concerns are legitimate and that the appointment of a curator will assist in resolving its concerns. It is thus not necessary for this court to resolve the factual disputes or make a definitive determination on the IRP.</w:t>
      </w:r>
    </w:p>
    <w:p w:rsidR="00242C39" w:rsidRPr="00C44815" w:rsidRDefault="00242C39" w:rsidP="00527DBA">
      <w:pPr>
        <w:pStyle w:val="level1"/>
        <w:spacing w:after="480" w:line="360" w:lineRule="auto"/>
        <w:ind w:left="0" w:firstLine="0"/>
        <w:jc w:val="both"/>
        <w:rPr>
          <w:lang w:val="en-US"/>
        </w:rPr>
      </w:pPr>
      <w:r w:rsidRPr="00C44815">
        <w:rPr>
          <w:lang w:val="en-US"/>
        </w:rPr>
        <w:t>Despite the various disputes on the papers, the following emerges from the undisputed facts.</w:t>
      </w:r>
    </w:p>
    <w:p w:rsidR="000327B0" w:rsidRDefault="00336117" w:rsidP="009929A4">
      <w:pPr>
        <w:pStyle w:val="level1"/>
        <w:spacing w:after="480" w:line="360" w:lineRule="auto"/>
        <w:ind w:left="0" w:firstLine="0"/>
        <w:jc w:val="both"/>
        <w:rPr>
          <w:lang w:val="en-US"/>
        </w:rPr>
      </w:pPr>
      <w:r w:rsidRPr="000327B0">
        <w:rPr>
          <w:lang w:val="en-US"/>
        </w:rPr>
        <w:t>3Sixty is obliged to</w:t>
      </w:r>
      <w:r w:rsidR="000327B0">
        <w:rPr>
          <w:lang w:val="en-US"/>
        </w:rPr>
        <w:t xml:space="preserve"> </w:t>
      </w:r>
      <w:r w:rsidR="000327B0" w:rsidRPr="000327B0">
        <w:rPr>
          <w:lang w:val="en-US"/>
        </w:rPr>
        <w:t>prepare ann</w:t>
      </w:r>
      <w:r w:rsidR="000327B0">
        <w:rPr>
          <w:lang w:val="en-US"/>
        </w:rPr>
        <w:t>u</w:t>
      </w:r>
      <w:r w:rsidR="000327B0" w:rsidRPr="000327B0">
        <w:rPr>
          <w:lang w:val="en-US"/>
        </w:rPr>
        <w:t>al financial statements in accordance with the Companies Act, 2008 and the International Financial Reporting Standards (“IFRS”), have them audited and submitted to the Authority</w:t>
      </w:r>
      <w:r w:rsidRPr="000327B0">
        <w:rPr>
          <w:lang w:val="en-US"/>
        </w:rPr>
        <w:t xml:space="preserve"> under s</w:t>
      </w:r>
      <w:r w:rsidR="000327B0">
        <w:rPr>
          <w:lang w:val="en-US"/>
        </w:rPr>
        <w:t>ection</w:t>
      </w:r>
      <w:r w:rsidRPr="000327B0">
        <w:rPr>
          <w:lang w:val="en-US"/>
        </w:rPr>
        <w:t xml:space="preserve">s </w:t>
      </w:r>
      <w:r w:rsidR="000327B0">
        <w:rPr>
          <w:lang w:val="en-US"/>
        </w:rPr>
        <w:t xml:space="preserve">46 and 47 </w:t>
      </w:r>
      <w:r w:rsidRPr="000327B0">
        <w:rPr>
          <w:lang w:val="en-US"/>
        </w:rPr>
        <w:t>of the Insurance Act.</w:t>
      </w:r>
      <w:r w:rsidR="000327B0">
        <w:rPr>
          <w:lang w:val="en-US"/>
        </w:rPr>
        <w:t xml:space="preserve"> </w:t>
      </w:r>
      <w:r w:rsidRPr="000327B0">
        <w:rPr>
          <w:lang w:val="en-US"/>
        </w:rPr>
        <w:t>Under s</w:t>
      </w:r>
      <w:r w:rsidR="00242C39">
        <w:rPr>
          <w:lang w:val="en-US"/>
        </w:rPr>
        <w:t xml:space="preserve">ection </w:t>
      </w:r>
      <w:r w:rsidRPr="000327B0">
        <w:rPr>
          <w:lang w:val="en-US"/>
        </w:rPr>
        <w:t>6</w:t>
      </w:r>
      <w:r>
        <w:rPr>
          <w:rStyle w:val="FootnoteReference"/>
          <w:lang w:val="en-US"/>
        </w:rPr>
        <w:footnoteReference w:id="32"/>
      </w:r>
      <w:r w:rsidRPr="000327B0">
        <w:rPr>
          <w:lang w:val="en-US"/>
        </w:rPr>
        <w:t xml:space="preserve"> of the FSRA, the board of 3Sixty was obliged to ensure that 3Sixty complies with its statutory duties. </w:t>
      </w:r>
      <w:r w:rsidR="00242C39">
        <w:rPr>
          <w:lang w:val="en-US"/>
        </w:rPr>
        <w:t>It is undisputed that the 2020 financial statements have still not been audited.</w:t>
      </w:r>
      <w:r w:rsidR="00242C39">
        <w:rPr>
          <w:rStyle w:val="FootnoteReference"/>
          <w:lang w:val="en-US"/>
        </w:rPr>
        <w:footnoteReference w:id="33"/>
      </w:r>
      <w:r w:rsidR="00242C39">
        <w:rPr>
          <w:lang w:val="en-US"/>
        </w:rPr>
        <w:t xml:space="preserve"> </w:t>
      </w:r>
    </w:p>
    <w:p w:rsidR="00414BC6" w:rsidRDefault="00336117" w:rsidP="00527DBA">
      <w:pPr>
        <w:pStyle w:val="level1"/>
        <w:spacing w:after="480" w:line="360" w:lineRule="auto"/>
        <w:ind w:left="0" w:firstLine="0"/>
        <w:jc w:val="both"/>
        <w:rPr>
          <w:lang w:val="en-US"/>
        </w:rPr>
      </w:pPr>
      <w:r w:rsidRPr="00414BC6">
        <w:rPr>
          <w:lang w:val="en-US"/>
        </w:rPr>
        <w:t xml:space="preserve">Although 3Sixty sought to blame its auditors </w:t>
      </w:r>
      <w:r w:rsidR="00242C39" w:rsidRPr="00414BC6">
        <w:rPr>
          <w:lang w:val="en-US"/>
        </w:rPr>
        <w:t xml:space="preserve">and </w:t>
      </w:r>
      <w:r w:rsidRPr="00414BC6">
        <w:rPr>
          <w:lang w:val="en-US"/>
        </w:rPr>
        <w:t>the Authority for the failure to have the 2020</w:t>
      </w:r>
      <w:r>
        <w:rPr>
          <w:rStyle w:val="FootnoteReference"/>
          <w:lang w:val="en-US"/>
        </w:rPr>
        <w:footnoteReference w:id="34"/>
      </w:r>
      <w:r w:rsidRPr="00414BC6">
        <w:rPr>
          <w:lang w:val="en-US"/>
        </w:rPr>
        <w:t xml:space="preserve"> financial statements audited and submitted, the criticism does not bear scrutiny, given that they should have been submitted even before the provisional curatorship order was granted. If its auditor</w:t>
      </w:r>
      <w:r w:rsidR="00CC6A61">
        <w:rPr>
          <w:lang w:val="en-US"/>
        </w:rPr>
        <w:t>s</w:t>
      </w:r>
      <w:r w:rsidRPr="00414BC6">
        <w:rPr>
          <w:lang w:val="en-US"/>
        </w:rPr>
        <w:t xml:space="preserve"> w</w:t>
      </w:r>
      <w:r w:rsidR="00CC6A61">
        <w:rPr>
          <w:lang w:val="en-US"/>
        </w:rPr>
        <w:t>ere</w:t>
      </w:r>
      <w:r w:rsidRPr="00414BC6">
        <w:rPr>
          <w:lang w:val="en-US"/>
        </w:rPr>
        <w:t xml:space="preserve"> hostile, as </w:t>
      </w:r>
      <w:r w:rsidR="00C44815" w:rsidRPr="00414BC6">
        <w:rPr>
          <w:lang w:val="en-US"/>
        </w:rPr>
        <w:t>3Sixty</w:t>
      </w:r>
      <w:r w:rsidRPr="00414BC6">
        <w:rPr>
          <w:lang w:val="en-US"/>
        </w:rPr>
        <w:t xml:space="preserve"> alleges, no bar </w:t>
      </w:r>
      <w:r w:rsidRPr="00414BC6">
        <w:rPr>
          <w:lang w:val="en-US"/>
        </w:rPr>
        <w:lastRenderedPageBreak/>
        <w:t>existed to 3Sixty employing an alternative firm of auditors to perform the necessary audit functions</w:t>
      </w:r>
      <w:r w:rsidR="00A0385F">
        <w:rPr>
          <w:lang w:val="en-US"/>
        </w:rPr>
        <w:t xml:space="preserve"> timeously</w:t>
      </w:r>
      <w:r w:rsidRPr="00414BC6">
        <w:rPr>
          <w:lang w:val="en-US"/>
        </w:rPr>
        <w:t>.</w:t>
      </w:r>
      <w:r w:rsidR="00414BC6">
        <w:rPr>
          <w:lang w:val="en-US"/>
        </w:rPr>
        <w:t xml:space="preserve"> </w:t>
      </w:r>
    </w:p>
    <w:p w:rsidR="00414BC6" w:rsidRPr="00414BC6" w:rsidRDefault="00E16ACD" w:rsidP="00527DBA">
      <w:pPr>
        <w:pStyle w:val="level1"/>
        <w:spacing w:after="480" w:line="360" w:lineRule="auto"/>
        <w:ind w:left="0" w:firstLine="0"/>
        <w:jc w:val="both"/>
        <w:rPr>
          <w:lang w:val="en-US"/>
        </w:rPr>
      </w:pPr>
      <w:r w:rsidRPr="00414BC6">
        <w:rPr>
          <w:lang w:val="en-US"/>
        </w:rPr>
        <w:t xml:space="preserve">The auditors involved in the audit blamed the 3Sixty board for dictating how the audit should be performed and </w:t>
      </w:r>
      <w:r w:rsidR="00242C39" w:rsidRPr="00414BC6">
        <w:rPr>
          <w:lang w:val="en-US"/>
        </w:rPr>
        <w:t>for</w:t>
      </w:r>
      <w:r w:rsidRPr="00414BC6">
        <w:rPr>
          <w:lang w:val="en-US"/>
        </w:rPr>
        <w:t xml:space="preserve"> not provid</w:t>
      </w:r>
      <w:r w:rsidR="00242C39" w:rsidRPr="00414BC6">
        <w:rPr>
          <w:lang w:val="en-US"/>
        </w:rPr>
        <w:t>ing</w:t>
      </w:r>
      <w:r w:rsidRPr="00414BC6">
        <w:rPr>
          <w:lang w:val="en-US"/>
        </w:rPr>
        <w:t xml:space="preserve"> the</w:t>
      </w:r>
      <w:r w:rsidR="00242C39" w:rsidRPr="00414BC6">
        <w:rPr>
          <w:lang w:val="en-US"/>
        </w:rPr>
        <w:t>m</w:t>
      </w:r>
      <w:r w:rsidRPr="00414BC6">
        <w:rPr>
          <w:lang w:val="en-US"/>
        </w:rPr>
        <w:t xml:space="preserve"> with the necessary support, thus impeding the audit. No countervailing evidence was presented by 3Sixty on this issue.  </w:t>
      </w:r>
    </w:p>
    <w:p w:rsidR="00E16ACD" w:rsidRPr="00860C13" w:rsidRDefault="00E16ACD" w:rsidP="00E16ACD">
      <w:pPr>
        <w:pStyle w:val="level1"/>
        <w:spacing w:after="480" w:line="360" w:lineRule="auto"/>
        <w:ind w:left="0" w:firstLine="0"/>
        <w:jc w:val="both"/>
        <w:rPr>
          <w:lang w:val="en-US"/>
        </w:rPr>
      </w:pPr>
      <w:r>
        <w:rPr>
          <w:lang w:val="en-US"/>
        </w:rPr>
        <w:t>Many of the</w:t>
      </w:r>
      <w:r w:rsidRPr="00860C13">
        <w:rPr>
          <w:lang w:val="en-US"/>
        </w:rPr>
        <w:t xml:space="preserve"> </w:t>
      </w:r>
      <w:r w:rsidR="001A32F2">
        <w:rPr>
          <w:lang w:val="en-US"/>
        </w:rPr>
        <w:t>r</w:t>
      </w:r>
      <w:r w:rsidRPr="00860C13">
        <w:rPr>
          <w:lang w:val="en-US"/>
        </w:rPr>
        <w:t xml:space="preserve">eportable irregularities </w:t>
      </w:r>
      <w:r>
        <w:rPr>
          <w:lang w:val="en-US"/>
        </w:rPr>
        <w:t xml:space="preserve">which </w:t>
      </w:r>
      <w:r w:rsidRPr="00860C13">
        <w:rPr>
          <w:lang w:val="en-US"/>
        </w:rPr>
        <w:t xml:space="preserve">were identified by the 3Sixty auditors in 2020, </w:t>
      </w:r>
      <w:r>
        <w:rPr>
          <w:lang w:val="en-US"/>
        </w:rPr>
        <w:t>have</w:t>
      </w:r>
      <w:r w:rsidRPr="00860C13">
        <w:rPr>
          <w:lang w:val="en-US"/>
        </w:rPr>
        <w:t xml:space="preserve"> not </w:t>
      </w:r>
      <w:r>
        <w:rPr>
          <w:lang w:val="en-US"/>
        </w:rPr>
        <w:t xml:space="preserve">been </w:t>
      </w:r>
      <w:r w:rsidRPr="00860C13">
        <w:rPr>
          <w:lang w:val="en-US"/>
        </w:rPr>
        <w:t>addressed</w:t>
      </w:r>
      <w:r>
        <w:rPr>
          <w:lang w:val="en-US"/>
        </w:rPr>
        <w:t>, including the</w:t>
      </w:r>
      <w:r w:rsidRPr="00860C13">
        <w:rPr>
          <w:lang w:val="en-US"/>
        </w:rPr>
        <w:t xml:space="preserve"> admitted reduction of share capital </w:t>
      </w:r>
      <w:r w:rsidR="00205BB4" w:rsidRPr="00860C13">
        <w:rPr>
          <w:lang w:val="en-US"/>
        </w:rPr>
        <w:t xml:space="preserve">without </w:t>
      </w:r>
      <w:r w:rsidR="00205BB4">
        <w:rPr>
          <w:lang w:val="en-US"/>
        </w:rPr>
        <w:t>Authority</w:t>
      </w:r>
      <w:r w:rsidRPr="00860C13">
        <w:rPr>
          <w:lang w:val="en-US"/>
        </w:rPr>
        <w:t xml:space="preserve"> approval contrary to s</w:t>
      </w:r>
      <w:r w:rsidR="00C44815">
        <w:rPr>
          <w:lang w:val="en-US"/>
        </w:rPr>
        <w:t xml:space="preserve">ection </w:t>
      </w:r>
      <w:r w:rsidRPr="00860C13">
        <w:rPr>
          <w:lang w:val="en-US"/>
        </w:rPr>
        <w:t xml:space="preserve">38 </w:t>
      </w:r>
      <w:r w:rsidR="00C44815">
        <w:rPr>
          <w:lang w:val="en-US"/>
        </w:rPr>
        <w:t xml:space="preserve">of the </w:t>
      </w:r>
      <w:r w:rsidRPr="00860C13">
        <w:rPr>
          <w:lang w:val="en-US"/>
        </w:rPr>
        <w:t>Insurance Act</w:t>
      </w:r>
      <w:r w:rsidR="001A32F2">
        <w:rPr>
          <w:lang w:val="en-US"/>
        </w:rPr>
        <w:t xml:space="preserve">. </w:t>
      </w:r>
      <w:r w:rsidRPr="00860C13">
        <w:rPr>
          <w:lang w:val="en-US"/>
        </w:rPr>
        <w:t xml:space="preserve">3Sixty termed </w:t>
      </w:r>
      <w:r w:rsidR="001A32F2">
        <w:rPr>
          <w:lang w:val="en-US"/>
        </w:rPr>
        <w:t xml:space="preserve">this </w:t>
      </w:r>
      <w:r w:rsidRPr="00860C13">
        <w:rPr>
          <w:lang w:val="en-US"/>
        </w:rPr>
        <w:t>“an oversight”</w:t>
      </w:r>
      <w:r w:rsidR="001A32F2">
        <w:rPr>
          <w:lang w:val="en-US"/>
        </w:rPr>
        <w:t>.</w:t>
      </w:r>
      <w:r w:rsidRPr="00860C13">
        <w:rPr>
          <w:lang w:val="en-US"/>
        </w:rPr>
        <w:t xml:space="preserve"> </w:t>
      </w:r>
      <w:r w:rsidR="001A32F2">
        <w:rPr>
          <w:lang w:val="en-US"/>
        </w:rPr>
        <w:t>A</w:t>
      </w:r>
      <w:r w:rsidRPr="00860C13">
        <w:rPr>
          <w:lang w:val="en-US"/>
        </w:rPr>
        <w:t xml:space="preserve"> belated application for approval </w:t>
      </w:r>
      <w:r w:rsidR="00C44815">
        <w:rPr>
          <w:lang w:val="en-US"/>
        </w:rPr>
        <w:t xml:space="preserve">to the Prudential Authority </w:t>
      </w:r>
      <w:r w:rsidRPr="00860C13">
        <w:rPr>
          <w:lang w:val="en-US"/>
        </w:rPr>
        <w:t>was refused.</w:t>
      </w:r>
    </w:p>
    <w:p w:rsidR="00BB34FB" w:rsidRDefault="00BB34FB" w:rsidP="009929A4">
      <w:pPr>
        <w:pStyle w:val="level1"/>
        <w:spacing w:after="480" w:line="360" w:lineRule="auto"/>
        <w:ind w:left="0" w:firstLine="0"/>
        <w:jc w:val="both"/>
        <w:rPr>
          <w:lang w:val="en-US"/>
        </w:rPr>
      </w:pPr>
      <w:r>
        <w:rPr>
          <w:lang w:val="en-US"/>
        </w:rPr>
        <w:t xml:space="preserve">It is thus undisputed that 3Sixty </w:t>
      </w:r>
      <w:r w:rsidR="001A32F2">
        <w:rPr>
          <w:lang w:val="en-US"/>
        </w:rPr>
        <w:t xml:space="preserve">is </w:t>
      </w:r>
      <w:r>
        <w:rPr>
          <w:lang w:val="en-US"/>
        </w:rPr>
        <w:t xml:space="preserve">in breach of sections 45 and 46 of the Insurance Act, </w:t>
      </w:r>
      <w:r w:rsidR="001A32F2">
        <w:rPr>
          <w:lang w:val="en-US"/>
        </w:rPr>
        <w:t xml:space="preserve">and has </w:t>
      </w:r>
      <w:r>
        <w:rPr>
          <w:lang w:val="en-US"/>
        </w:rPr>
        <w:t>still not submitted financial statements for the 2020 financial year.</w:t>
      </w:r>
    </w:p>
    <w:p w:rsidR="00944074" w:rsidRPr="00AA2A4D" w:rsidRDefault="001A32F2" w:rsidP="00944074">
      <w:pPr>
        <w:pStyle w:val="level1"/>
        <w:spacing w:after="480" w:line="360" w:lineRule="auto"/>
        <w:ind w:left="0" w:firstLine="0"/>
        <w:jc w:val="both"/>
        <w:rPr>
          <w:lang w:val="en-US"/>
        </w:rPr>
      </w:pPr>
      <w:r>
        <w:rPr>
          <w:lang w:val="en-US"/>
        </w:rPr>
        <w:t>I</w:t>
      </w:r>
      <w:r w:rsidR="00967909">
        <w:rPr>
          <w:lang w:val="en-US"/>
        </w:rPr>
        <w:t xml:space="preserve">t </w:t>
      </w:r>
      <w:r>
        <w:rPr>
          <w:lang w:val="en-US"/>
        </w:rPr>
        <w:t>wa</w:t>
      </w:r>
      <w:r w:rsidR="00967909">
        <w:rPr>
          <w:lang w:val="en-US"/>
        </w:rPr>
        <w:t xml:space="preserve">s undisputed that 3Sixty’s minimum capital requirement and solvency capital requirement were both below the required threshold for a considerable period of time and it was not able to effect a </w:t>
      </w:r>
      <w:proofErr w:type="spellStart"/>
      <w:r w:rsidR="00967909">
        <w:rPr>
          <w:lang w:val="en-US"/>
        </w:rPr>
        <w:t>recapitalisation</w:t>
      </w:r>
      <w:proofErr w:type="spellEnd"/>
      <w:r w:rsidR="00967909">
        <w:rPr>
          <w:lang w:val="en-US"/>
        </w:rPr>
        <w:t xml:space="preserve"> plan</w:t>
      </w:r>
      <w:r w:rsidR="00242C39">
        <w:rPr>
          <w:lang w:val="en-US"/>
        </w:rPr>
        <w:t>,</w:t>
      </w:r>
      <w:r w:rsidR="00967909">
        <w:rPr>
          <w:lang w:val="en-US"/>
        </w:rPr>
        <w:t xml:space="preserve"> despite several indulgences granted to it by the Authority.</w:t>
      </w:r>
      <w:r w:rsidR="00944074" w:rsidRPr="00944074">
        <w:rPr>
          <w:lang w:val="en-US"/>
        </w:rPr>
        <w:t xml:space="preserve"> </w:t>
      </w:r>
      <w:r w:rsidR="00944074">
        <w:rPr>
          <w:lang w:val="en-US"/>
        </w:rPr>
        <w:t>It was undisputed that s</w:t>
      </w:r>
      <w:r w:rsidR="00944074" w:rsidRPr="00AA2A4D">
        <w:rPr>
          <w:lang w:val="en-US"/>
        </w:rPr>
        <w:t>ince Nov</w:t>
      </w:r>
      <w:r w:rsidR="00242C39">
        <w:rPr>
          <w:lang w:val="en-US"/>
        </w:rPr>
        <w:t>ember</w:t>
      </w:r>
      <w:r w:rsidR="00944074" w:rsidRPr="00AA2A4D">
        <w:rPr>
          <w:lang w:val="en-US"/>
        </w:rPr>
        <w:t xml:space="preserve"> 2020, </w:t>
      </w:r>
      <w:r w:rsidR="00944074">
        <w:rPr>
          <w:lang w:val="en-US"/>
        </w:rPr>
        <w:t xml:space="preserve">3Sixty’s </w:t>
      </w:r>
      <w:r w:rsidR="00944074" w:rsidRPr="00AA2A4D">
        <w:rPr>
          <w:lang w:val="en-US"/>
        </w:rPr>
        <w:t>SC</w:t>
      </w:r>
      <w:r w:rsidR="00242C39">
        <w:rPr>
          <w:lang w:val="en-US"/>
        </w:rPr>
        <w:t>R</w:t>
      </w:r>
      <w:r w:rsidR="00944074" w:rsidRPr="00AA2A4D">
        <w:rPr>
          <w:lang w:val="en-US"/>
        </w:rPr>
        <w:t xml:space="preserve"> cover requirements </w:t>
      </w:r>
      <w:r w:rsidR="00242C39">
        <w:rPr>
          <w:lang w:val="en-US"/>
        </w:rPr>
        <w:t xml:space="preserve">fell </w:t>
      </w:r>
      <w:r w:rsidR="00944074" w:rsidRPr="00AA2A4D">
        <w:rPr>
          <w:lang w:val="en-US"/>
        </w:rPr>
        <w:t xml:space="preserve">below </w:t>
      </w:r>
      <w:r w:rsidR="00242C39">
        <w:rPr>
          <w:lang w:val="en-US"/>
        </w:rPr>
        <w:t xml:space="preserve">the </w:t>
      </w:r>
      <w:r w:rsidR="00944074" w:rsidRPr="00AA2A4D">
        <w:rPr>
          <w:lang w:val="en-US"/>
        </w:rPr>
        <w:t xml:space="preserve">minimum and shortly thereafter </w:t>
      </w:r>
      <w:r w:rsidR="00242C39">
        <w:rPr>
          <w:lang w:val="en-US"/>
        </w:rPr>
        <w:t xml:space="preserve">the </w:t>
      </w:r>
      <w:r w:rsidR="00944074" w:rsidRPr="00AA2A4D">
        <w:rPr>
          <w:lang w:val="en-US"/>
        </w:rPr>
        <w:t>MCR cov</w:t>
      </w:r>
      <w:r w:rsidR="00944074">
        <w:rPr>
          <w:lang w:val="en-US"/>
        </w:rPr>
        <w:t>e</w:t>
      </w:r>
      <w:r w:rsidR="00944074" w:rsidRPr="00AA2A4D">
        <w:rPr>
          <w:lang w:val="en-US"/>
        </w:rPr>
        <w:t>r requirements followed suit.</w:t>
      </w:r>
      <w:r w:rsidR="00944074">
        <w:rPr>
          <w:lang w:val="en-US"/>
        </w:rPr>
        <w:t xml:space="preserve"> The high water mark of 3Sixty’s contentions is that the position has improved and will be substantially improved if the </w:t>
      </w:r>
      <w:r>
        <w:rPr>
          <w:lang w:val="en-US"/>
        </w:rPr>
        <w:t>IRP</w:t>
      </w:r>
      <w:r w:rsidR="00944074">
        <w:rPr>
          <w:lang w:val="en-US"/>
        </w:rPr>
        <w:t xml:space="preserve"> were to be approved. However, even on its own </w:t>
      </w:r>
      <w:r w:rsidR="00D83E53">
        <w:rPr>
          <w:lang w:val="en-US"/>
        </w:rPr>
        <w:t>interpretation of the IRP</w:t>
      </w:r>
      <w:r w:rsidR="00944074">
        <w:rPr>
          <w:lang w:val="en-US"/>
        </w:rPr>
        <w:t>, the SCR requirement would not be met</w:t>
      </w:r>
      <w:r w:rsidR="00D83E53">
        <w:rPr>
          <w:lang w:val="en-US"/>
        </w:rPr>
        <w:t xml:space="preserve"> and thus not meet the statutory requirements</w:t>
      </w:r>
      <w:r w:rsidR="00944074">
        <w:rPr>
          <w:lang w:val="en-US"/>
        </w:rPr>
        <w:t xml:space="preserve">. </w:t>
      </w:r>
    </w:p>
    <w:p w:rsidR="00967909" w:rsidRDefault="001A32F2" w:rsidP="009929A4">
      <w:pPr>
        <w:pStyle w:val="level1"/>
        <w:spacing w:after="480" w:line="360" w:lineRule="auto"/>
        <w:ind w:left="0" w:firstLine="0"/>
        <w:jc w:val="both"/>
        <w:rPr>
          <w:lang w:val="en-US"/>
        </w:rPr>
      </w:pPr>
      <w:r>
        <w:rPr>
          <w:lang w:val="en-US"/>
        </w:rPr>
        <w:t>I</w:t>
      </w:r>
      <w:r w:rsidR="00967909">
        <w:rPr>
          <w:lang w:val="en-US"/>
        </w:rPr>
        <w:t>t was not disputed that 3Sixty has for more than a year failed to maintain a financially sound condition as required by s</w:t>
      </w:r>
      <w:r w:rsidR="002B69B4">
        <w:rPr>
          <w:lang w:val="en-US"/>
        </w:rPr>
        <w:t xml:space="preserve">ection </w:t>
      </w:r>
      <w:r w:rsidR="00967909">
        <w:rPr>
          <w:lang w:val="en-US"/>
        </w:rPr>
        <w:t xml:space="preserve">36 of the Insurance Act and it is </w:t>
      </w:r>
      <w:r w:rsidR="00242C39">
        <w:rPr>
          <w:lang w:val="en-US"/>
        </w:rPr>
        <w:t xml:space="preserve">in </w:t>
      </w:r>
      <w:r w:rsidR="00967909">
        <w:rPr>
          <w:lang w:val="en-US"/>
        </w:rPr>
        <w:t xml:space="preserve">financial </w:t>
      </w:r>
      <w:r w:rsidR="00242C39">
        <w:rPr>
          <w:lang w:val="en-US"/>
        </w:rPr>
        <w:t>difficulty</w:t>
      </w:r>
      <w:r w:rsidR="00967909">
        <w:rPr>
          <w:lang w:val="en-US"/>
        </w:rPr>
        <w:t xml:space="preserve"> to the extent that it requires a bail out from Doves</w:t>
      </w:r>
      <w:r>
        <w:rPr>
          <w:lang w:val="en-US"/>
        </w:rPr>
        <w:t>.</w:t>
      </w:r>
      <w:r w:rsidR="00574907">
        <w:rPr>
          <w:lang w:val="en-US"/>
        </w:rPr>
        <w:t xml:space="preserve"> No countervailing evidence was presented by 3Sixty to the Authority’s evidence that </w:t>
      </w:r>
      <w:r>
        <w:rPr>
          <w:lang w:val="en-US"/>
        </w:rPr>
        <w:t>it</w:t>
      </w:r>
      <w:r w:rsidR="00574907">
        <w:rPr>
          <w:lang w:val="en-US"/>
        </w:rPr>
        <w:t xml:space="preserve"> is insolvent.</w:t>
      </w:r>
    </w:p>
    <w:p w:rsidR="00944074" w:rsidRPr="006A11A1" w:rsidRDefault="00242C39" w:rsidP="00930836">
      <w:pPr>
        <w:pStyle w:val="level1"/>
        <w:spacing w:after="480" w:line="360" w:lineRule="auto"/>
        <w:ind w:left="0" w:firstLine="0"/>
        <w:jc w:val="both"/>
        <w:rPr>
          <w:lang w:val="en-US"/>
        </w:rPr>
      </w:pPr>
      <w:r w:rsidRPr="006A11A1">
        <w:rPr>
          <w:lang w:val="en-US"/>
        </w:rPr>
        <w:lastRenderedPageBreak/>
        <w:t>3Sixty experienced certain governance issues, which existed for at least 2 years before the provisional curatorship order was granted,</w:t>
      </w:r>
      <w:r w:rsidR="006A11A1" w:rsidRPr="006A11A1">
        <w:rPr>
          <w:lang w:val="en-US"/>
        </w:rPr>
        <w:t xml:space="preserve"> </w:t>
      </w:r>
      <w:r w:rsidRPr="006A11A1">
        <w:rPr>
          <w:lang w:val="en-US"/>
        </w:rPr>
        <w:t xml:space="preserve">which resulted in the Authority commissioning </w:t>
      </w:r>
      <w:r w:rsidR="006A11A1" w:rsidRPr="006A11A1">
        <w:rPr>
          <w:lang w:val="en-US"/>
        </w:rPr>
        <w:t>an independent investigation by</w:t>
      </w:r>
      <w:r w:rsidRPr="006A11A1">
        <w:rPr>
          <w:lang w:val="en-US"/>
        </w:rPr>
        <w:t xml:space="preserve"> Deloitte</w:t>
      </w:r>
      <w:r w:rsidR="006A11A1" w:rsidRPr="006A11A1">
        <w:rPr>
          <w:lang w:val="en-US"/>
        </w:rPr>
        <w:t xml:space="preserve"> of the affairs of 3Sixty for the period 2017 to 2019</w:t>
      </w:r>
      <w:r w:rsidRPr="006A11A1">
        <w:rPr>
          <w:lang w:val="en-US"/>
        </w:rPr>
        <w:t xml:space="preserve">. </w:t>
      </w:r>
      <w:r w:rsidR="006A11A1" w:rsidRPr="006A11A1">
        <w:rPr>
          <w:lang w:val="en-US"/>
        </w:rPr>
        <w:t xml:space="preserve">It </w:t>
      </w:r>
      <w:r w:rsidR="001A32F2">
        <w:rPr>
          <w:lang w:val="en-US"/>
        </w:rPr>
        <w:t>wa</w:t>
      </w:r>
      <w:r w:rsidR="006A11A1" w:rsidRPr="006A11A1">
        <w:rPr>
          <w:lang w:val="en-US"/>
        </w:rPr>
        <w:t>s undisputed that the Deloitte report highlighted various internal governance failures</w:t>
      </w:r>
      <w:r w:rsidR="006A11A1">
        <w:rPr>
          <w:lang w:val="en-US"/>
        </w:rPr>
        <w:t xml:space="preserve"> and </w:t>
      </w:r>
      <w:r w:rsidR="006A11A1" w:rsidRPr="006A11A1">
        <w:rPr>
          <w:lang w:val="en-US"/>
        </w:rPr>
        <w:t xml:space="preserve">revealed </w:t>
      </w:r>
      <w:r w:rsidR="00967909" w:rsidRPr="006A11A1">
        <w:rPr>
          <w:lang w:val="en-US"/>
        </w:rPr>
        <w:t>that 3Sixty used policy holder funds to pay for the birthday party of the general secretary of NUMSA, Mr Jim and a laptop and software was purchased to be used by Mr Jim’s daughter.</w:t>
      </w:r>
      <w:r w:rsidR="00944074" w:rsidRPr="006A11A1">
        <w:rPr>
          <w:lang w:val="en-US"/>
        </w:rPr>
        <w:t xml:space="preserve">  </w:t>
      </w:r>
    </w:p>
    <w:p w:rsidR="00AA2A4D" w:rsidRDefault="00AA2A4D" w:rsidP="00967909">
      <w:pPr>
        <w:pStyle w:val="level1"/>
        <w:spacing w:after="480" w:line="360" w:lineRule="auto"/>
        <w:ind w:left="0" w:firstLine="0"/>
        <w:jc w:val="both"/>
        <w:rPr>
          <w:lang w:val="en-US"/>
        </w:rPr>
      </w:pPr>
      <w:r>
        <w:rPr>
          <w:lang w:val="en-US"/>
        </w:rPr>
        <w:t xml:space="preserve">It was </w:t>
      </w:r>
      <w:r w:rsidR="00944074">
        <w:rPr>
          <w:lang w:val="en-US"/>
        </w:rPr>
        <w:t xml:space="preserve">further </w:t>
      </w:r>
      <w:r>
        <w:rPr>
          <w:lang w:val="en-US"/>
        </w:rPr>
        <w:t>not disputed that 3Sixty’s former CEO was accused of embezzling R14 million from its business</w:t>
      </w:r>
      <w:r w:rsidR="00860C13">
        <w:rPr>
          <w:lang w:val="en-US"/>
        </w:rPr>
        <w:t xml:space="preserve"> in respect of irregularly incurred expenses</w:t>
      </w:r>
      <w:r>
        <w:rPr>
          <w:lang w:val="en-US"/>
        </w:rPr>
        <w:t xml:space="preserve">, although action was only taken in relation thereto </w:t>
      </w:r>
      <w:r w:rsidR="006A11A1">
        <w:rPr>
          <w:lang w:val="en-US"/>
        </w:rPr>
        <w:t xml:space="preserve">substantially later and </w:t>
      </w:r>
      <w:r>
        <w:rPr>
          <w:lang w:val="en-US"/>
        </w:rPr>
        <w:t>during August 2021.</w:t>
      </w:r>
    </w:p>
    <w:p w:rsidR="004C4D5A" w:rsidRPr="004F2730" w:rsidRDefault="00967909" w:rsidP="004C4D5A">
      <w:pPr>
        <w:pStyle w:val="level1"/>
        <w:spacing w:after="480" w:line="360" w:lineRule="auto"/>
        <w:ind w:left="0" w:firstLine="0"/>
        <w:jc w:val="both"/>
        <w:rPr>
          <w:lang w:val="en-US"/>
        </w:rPr>
      </w:pPr>
      <w:r>
        <w:rPr>
          <w:lang w:val="en-US"/>
        </w:rPr>
        <w:t xml:space="preserve">During the course of the proceedings </w:t>
      </w:r>
      <w:r w:rsidR="00944074">
        <w:rPr>
          <w:lang w:val="en-US"/>
        </w:rPr>
        <w:t xml:space="preserve">certain </w:t>
      </w:r>
      <w:r>
        <w:rPr>
          <w:lang w:val="en-US"/>
        </w:rPr>
        <w:t>further governance issues were identified and referred to in the Authority’s affidavits</w:t>
      </w:r>
      <w:r w:rsidR="001A32F2">
        <w:rPr>
          <w:lang w:val="en-US"/>
        </w:rPr>
        <w:t>.</w:t>
      </w:r>
      <w:r w:rsidR="006A11A1">
        <w:rPr>
          <w:lang w:val="en-US"/>
        </w:rPr>
        <w:t xml:space="preserve"> 3Sixty did not put up any </w:t>
      </w:r>
      <w:r w:rsidR="00AA2A4D">
        <w:rPr>
          <w:lang w:val="en-US"/>
        </w:rPr>
        <w:t>countervailing evidence</w:t>
      </w:r>
      <w:r w:rsidR="004C4D5A">
        <w:rPr>
          <w:lang w:val="en-US"/>
        </w:rPr>
        <w:t>, despite fil</w:t>
      </w:r>
      <w:r w:rsidR="006A11A1">
        <w:rPr>
          <w:lang w:val="en-US"/>
        </w:rPr>
        <w:t>ing</w:t>
      </w:r>
      <w:r w:rsidR="004C4D5A">
        <w:rPr>
          <w:lang w:val="en-US"/>
        </w:rPr>
        <w:t xml:space="preserve"> a substantial affidavit in response.</w:t>
      </w:r>
      <w:r w:rsidR="004C4D5A" w:rsidRPr="004C4D5A">
        <w:rPr>
          <w:lang w:val="en-US"/>
        </w:rPr>
        <w:t xml:space="preserve"> </w:t>
      </w:r>
      <w:r w:rsidR="006A11A1">
        <w:rPr>
          <w:lang w:val="en-US"/>
        </w:rPr>
        <w:t xml:space="preserve">For present purposes it is not necessary to </w:t>
      </w:r>
      <w:proofErr w:type="spellStart"/>
      <w:r w:rsidR="006A11A1">
        <w:rPr>
          <w:lang w:val="en-US"/>
        </w:rPr>
        <w:t>particularise</w:t>
      </w:r>
      <w:proofErr w:type="spellEnd"/>
      <w:r w:rsidR="006A11A1">
        <w:rPr>
          <w:lang w:val="en-US"/>
        </w:rPr>
        <w:t xml:space="preserve"> such governance issues in any detail. Suffice it to state that the concerns raised cannot be rejected as fanciful or untenable and by and large appear </w:t>
      </w:r>
      <w:proofErr w:type="gramStart"/>
      <w:r w:rsidR="006A11A1">
        <w:rPr>
          <w:lang w:val="en-US"/>
        </w:rPr>
        <w:t>to</w:t>
      </w:r>
      <w:proofErr w:type="gramEnd"/>
      <w:r w:rsidR="006A11A1">
        <w:rPr>
          <w:lang w:val="en-US"/>
        </w:rPr>
        <w:t xml:space="preserve"> reasonable and undisputed. </w:t>
      </w:r>
      <w:r w:rsidR="004C4D5A">
        <w:rPr>
          <w:lang w:val="en-US"/>
        </w:rPr>
        <w:t>The additional facts simply make the position worse for 3Sixty.</w:t>
      </w:r>
    </w:p>
    <w:p w:rsidR="00AA2A4D" w:rsidRPr="001A32F2" w:rsidRDefault="00AA2A4D" w:rsidP="00967909">
      <w:pPr>
        <w:pStyle w:val="level1"/>
        <w:spacing w:after="480" w:line="360" w:lineRule="auto"/>
        <w:ind w:left="0" w:firstLine="0"/>
        <w:jc w:val="both"/>
        <w:rPr>
          <w:b/>
          <w:lang w:val="en-US"/>
        </w:rPr>
      </w:pPr>
      <w:r w:rsidRPr="00D83E53">
        <w:rPr>
          <w:lang w:val="en-US"/>
        </w:rPr>
        <w:t xml:space="preserve">3Sixty has not in terms of sections 36(6) to 36(10) of the Insurance Act submitted a </w:t>
      </w:r>
      <w:proofErr w:type="spellStart"/>
      <w:r w:rsidRPr="00D83E53">
        <w:rPr>
          <w:lang w:val="en-US"/>
        </w:rPr>
        <w:t>recapitalisation</w:t>
      </w:r>
      <w:proofErr w:type="spellEnd"/>
      <w:r w:rsidRPr="00D83E53">
        <w:rPr>
          <w:lang w:val="en-US"/>
        </w:rPr>
        <w:t xml:space="preserve"> strategy which has met with the approval of the Authority</w:t>
      </w:r>
      <w:r w:rsidR="005E6153" w:rsidRPr="00D83E53">
        <w:rPr>
          <w:lang w:val="en-US"/>
        </w:rPr>
        <w:t>.</w:t>
      </w:r>
      <w:r w:rsidR="005E6153" w:rsidRPr="001A32F2">
        <w:rPr>
          <w:b/>
          <w:lang w:val="en-US"/>
        </w:rPr>
        <w:t xml:space="preserve"> </w:t>
      </w:r>
    </w:p>
    <w:p w:rsidR="00A536F6" w:rsidRDefault="00944074" w:rsidP="00C85B22">
      <w:pPr>
        <w:pStyle w:val="level1"/>
        <w:spacing w:after="480" w:line="360" w:lineRule="auto"/>
        <w:ind w:left="0" w:firstLine="0"/>
        <w:jc w:val="both"/>
        <w:rPr>
          <w:lang w:val="en-US"/>
        </w:rPr>
      </w:pPr>
      <w:r w:rsidRPr="00A412A7">
        <w:rPr>
          <w:lang w:val="en-US"/>
        </w:rPr>
        <w:t>These concerns cannot be rejected as frivolous or untenable.</w:t>
      </w:r>
      <w:r w:rsidR="00A536F6">
        <w:rPr>
          <w:lang w:val="en-US"/>
        </w:rPr>
        <w:t xml:space="preserve"> Rather, I am persuaded that the Authority has illustrated that </w:t>
      </w:r>
      <w:r w:rsidR="00D83E53">
        <w:rPr>
          <w:lang w:val="en-US"/>
        </w:rPr>
        <w:t>i</w:t>
      </w:r>
      <w:r w:rsidR="00A536F6">
        <w:rPr>
          <w:lang w:val="en-US"/>
        </w:rPr>
        <w:t>t</w:t>
      </w:r>
      <w:r w:rsidR="00D83E53">
        <w:rPr>
          <w:lang w:val="en-US"/>
        </w:rPr>
        <w:t>s concerns</w:t>
      </w:r>
      <w:r w:rsidR="00A536F6">
        <w:rPr>
          <w:lang w:val="en-US"/>
        </w:rPr>
        <w:t xml:space="preserve"> are legitimate.</w:t>
      </w:r>
      <w:r w:rsidR="00A412A7">
        <w:rPr>
          <w:lang w:val="en-US"/>
        </w:rPr>
        <w:t xml:space="preserve"> </w:t>
      </w:r>
    </w:p>
    <w:p w:rsidR="00697C99" w:rsidRDefault="00205BB4" w:rsidP="00486EEA">
      <w:pPr>
        <w:pStyle w:val="level1"/>
        <w:numPr>
          <w:ilvl w:val="0"/>
          <w:numId w:val="0"/>
        </w:numPr>
        <w:spacing w:after="480" w:line="360" w:lineRule="auto"/>
        <w:jc w:val="both"/>
        <w:rPr>
          <w:lang w:val="en-US"/>
        </w:rPr>
      </w:pPr>
      <w:r>
        <w:rPr>
          <w:lang w:val="en-US"/>
        </w:rPr>
        <w:t>[85</w:t>
      </w:r>
      <w:r w:rsidR="00697C99">
        <w:rPr>
          <w:lang w:val="en-US"/>
        </w:rPr>
        <w:t>]</w:t>
      </w:r>
      <w:r w:rsidR="00697C99">
        <w:rPr>
          <w:lang w:val="en-US"/>
        </w:rPr>
        <w:tab/>
      </w:r>
      <w:r w:rsidR="00080493" w:rsidRPr="00697C99">
        <w:rPr>
          <w:lang w:val="en-US"/>
        </w:rPr>
        <w:t xml:space="preserve">Considering all the </w:t>
      </w:r>
      <w:r w:rsidR="004F2F21" w:rsidRPr="00697C99">
        <w:rPr>
          <w:lang w:val="en-US"/>
        </w:rPr>
        <w:t>regulatory breaches</w:t>
      </w:r>
      <w:r w:rsidR="00A536F6" w:rsidRPr="00697C99">
        <w:rPr>
          <w:lang w:val="en-US"/>
        </w:rPr>
        <w:t xml:space="preserve">, </w:t>
      </w:r>
      <w:r w:rsidR="00080493" w:rsidRPr="00697C99">
        <w:rPr>
          <w:lang w:val="en-US"/>
        </w:rPr>
        <w:t xml:space="preserve">it </w:t>
      </w:r>
      <w:r w:rsidR="00A536F6" w:rsidRPr="00697C99">
        <w:rPr>
          <w:lang w:val="en-US"/>
        </w:rPr>
        <w:t xml:space="preserve">would </w:t>
      </w:r>
      <w:r w:rsidR="00080493" w:rsidRPr="00697C99">
        <w:rPr>
          <w:lang w:val="en-US"/>
        </w:rPr>
        <w:t>o</w:t>
      </w:r>
      <w:r w:rsidR="004F2F21" w:rsidRPr="00697C99">
        <w:rPr>
          <w:lang w:val="en-US"/>
        </w:rPr>
        <w:t xml:space="preserve">f itself </w:t>
      </w:r>
      <w:r w:rsidR="00A536F6" w:rsidRPr="00697C99">
        <w:rPr>
          <w:lang w:val="en-US"/>
        </w:rPr>
        <w:t xml:space="preserve">be </w:t>
      </w:r>
      <w:r w:rsidR="004F2F21" w:rsidRPr="00697C99">
        <w:rPr>
          <w:lang w:val="en-US"/>
        </w:rPr>
        <w:t>sufficient to justify</w:t>
      </w:r>
      <w:r w:rsidR="00A536F6" w:rsidRPr="00697C99">
        <w:rPr>
          <w:lang w:val="en-US"/>
        </w:rPr>
        <w:t xml:space="preserve"> a curatorship</w:t>
      </w:r>
      <w:r w:rsidR="004F2F21" w:rsidRPr="00697C99">
        <w:rPr>
          <w:lang w:val="en-US"/>
        </w:rPr>
        <w:t xml:space="preserve"> order</w:t>
      </w:r>
      <w:r w:rsidR="001824D5" w:rsidRPr="00697C99">
        <w:rPr>
          <w:lang w:val="en-US"/>
        </w:rPr>
        <w:t>. That,</w:t>
      </w:r>
      <w:r w:rsidR="00080493" w:rsidRPr="00697C99">
        <w:rPr>
          <w:lang w:val="en-US"/>
        </w:rPr>
        <w:t xml:space="preserve"> combined with the governance issues</w:t>
      </w:r>
      <w:r w:rsidR="001824D5" w:rsidRPr="00697C99">
        <w:rPr>
          <w:lang w:val="en-US"/>
        </w:rPr>
        <w:t xml:space="preserve"> and the</w:t>
      </w:r>
      <w:r w:rsidR="004F2F21" w:rsidRPr="00697C99">
        <w:rPr>
          <w:lang w:val="en-US"/>
        </w:rPr>
        <w:t xml:space="preserve"> liquidity issues that appear not to have been rectified</w:t>
      </w:r>
      <w:r w:rsidR="001824D5" w:rsidRPr="00697C99">
        <w:rPr>
          <w:lang w:val="en-US"/>
        </w:rPr>
        <w:t>,</w:t>
      </w:r>
      <w:r w:rsidR="00080493" w:rsidRPr="00697C99">
        <w:rPr>
          <w:lang w:val="en-US"/>
        </w:rPr>
        <w:t xml:space="preserve"> </w:t>
      </w:r>
      <w:r w:rsidR="00CC6A61">
        <w:rPr>
          <w:lang w:val="en-US"/>
        </w:rPr>
        <w:t xml:space="preserve">seen </w:t>
      </w:r>
      <w:r w:rsidR="00080493" w:rsidRPr="00697C99">
        <w:rPr>
          <w:lang w:val="en-US"/>
        </w:rPr>
        <w:t xml:space="preserve">cumulatively, </w:t>
      </w:r>
      <w:r w:rsidR="001824D5" w:rsidRPr="00697C99">
        <w:rPr>
          <w:lang w:val="en-US"/>
        </w:rPr>
        <w:t xml:space="preserve">lead me to the conclusion that </w:t>
      </w:r>
      <w:r w:rsidR="00A412A7" w:rsidRPr="00697C99">
        <w:rPr>
          <w:lang w:val="en-US"/>
        </w:rPr>
        <w:t>the</w:t>
      </w:r>
      <w:r w:rsidR="001824D5" w:rsidRPr="00697C99">
        <w:rPr>
          <w:lang w:val="en-US"/>
        </w:rPr>
        <w:t>re are identified problems in the business of 3Sixty and that the</w:t>
      </w:r>
      <w:r w:rsidR="00A412A7" w:rsidRPr="00697C99">
        <w:rPr>
          <w:lang w:val="en-US"/>
        </w:rPr>
        <w:t xml:space="preserve"> concerns raised by the </w:t>
      </w:r>
      <w:r w:rsidR="00A412A7" w:rsidRPr="00697C99">
        <w:rPr>
          <w:lang w:val="en-US"/>
        </w:rPr>
        <w:lastRenderedPageBreak/>
        <w:t>Prudential Authority are legitimate</w:t>
      </w:r>
      <w:r w:rsidR="001824D5" w:rsidRPr="00697C99">
        <w:rPr>
          <w:lang w:val="en-US"/>
        </w:rPr>
        <w:t xml:space="preserve">, considering the interests of the </w:t>
      </w:r>
      <w:r w:rsidR="00697C99" w:rsidRPr="00697C99">
        <w:rPr>
          <w:lang w:val="en-US"/>
        </w:rPr>
        <w:t xml:space="preserve">3Sixty </w:t>
      </w:r>
      <w:r w:rsidR="001824D5" w:rsidRPr="00697C99">
        <w:rPr>
          <w:lang w:val="en-US"/>
        </w:rPr>
        <w:t>policy holders and that curatorship is required to</w:t>
      </w:r>
      <w:r w:rsidR="00A412A7" w:rsidRPr="00697C99">
        <w:rPr>
          <w:lang w:val="en-US"/>
        </w:rPr>
        <w:t xml:space="preserve"> address </w:t>
      </w:r>
      <w:r w:rsidR="001824D5" w:rsidRPr="00697C99">
        <w:rPr>
          <w:lang w:val="en-US"/>
        </w:rPr>
        <w:t>these issues.</w:t>
      </w:r>
      <w:r w:rsidR="00A412A7" w:rsidRPr="00697C99">
        <w:rPr>
          <w:lang w:val="en-US"/>
        </w:rPr>
        <w:t xml:space="preserve"> </w:t>
      </w:r>
    </w:p>
    <w:p w:rsidR="001824D5" w:rsidRDefault="00E85CAE" w:rsidP="00486EEA">
      <w:pPr>
        <w:pStyle w:val="level1"/>
        <w:numPr>
          <w:ilvl w:val="0"/>
          <w:numId w:val="0"/>
        </w:numPr>
        <w:spacing w:after="480" w:line="360" w:lineRule="auto"/>
        <w:jc w:val="both"/>
        <w:rPr>
          <w:lang w:val="en-US"/>
        </w:rPr>
      </w:pPr>
      <w:r w:rsidRPr="003865CE">
        <w:rPr>
          <w:lang w:val="en-US"/>
        </w:rPr>
        <w:t>Will a curatorship resolve the issues</w:t>
      </w:r>
      <w:r w:rsidR="00A412A7" w:rsidRPr="003865CE">
        <w:rPr>
          <w:lang w:val="en-US"/>
        </w:rPr>
        <w:t xml:space="preserve"> and have beneficial consequences for policy holders</w:t>
      </w:r>
      <w:r w:rsidRPr="003865CE">
        <w:rPr>
          <w:lang w:val="en-US"/>
        </w:rPr>
        <w:t>?</w:t>
      </w:r>
      <w:r w:rsidR="003865CE" w:rsidRPr="003865CE">
        <w:rPr>
          <w:lang w:val="en-US"/>
        </w:rPr>
        <w:t xml:space="preserve"> </w:t>
      </w:r>
    </w:p>
    <w:p w:rsidR="004C4D5A" w:rsidRPr="003865CE" w:rsidRDefault="00205BB4" w:rsidP="00205BB4">
      <w:pPr>
        <w:pStyle w:val="level1"/>
        <w:numPr>
          <w:ilvl w:val="0"/>
          <w:numId w:val="0"/>
        </w:numPr>
        <w:spacing w:after="480" w:line="360" w:lineRule="auto"/>
        <w:jc w:val="both"/>
        <w:rPr>
          <w:lang w:val="en-US"/>
        </w:rPr>
      </w:pPr>
      <w:r>
        <w:rPr>
          <w:lang w:val="en-US"/>
        </w:rPr>
        <w:t>[86]</w:t>
      </w:r>
      <w:r>
        <w:rPr>
          <w:lang w:val="en-US"/>
        </w:rPr>
        <w:tab/>
      </w:r>
      <w:r w:rsidR="00E85CAE" w:rsidRPr="003865CE">
        <w:rPr>
          <w:lang w:val="en-US"/>
        </w:rPr>
        <w:t xml:space="preserve">According to </w:t>
      </w:r>
      <w:r w:rsidR="004C4D5A" w:rsidRPr="003865CE">
        <w:rPr>
          <w:lang w:val="en-US"/>
        </w:rPr>
        <w:t xml:space="preserve">3Sixty continued curatorship would prejudice it and its policy holders. Reliance was placed on the </w:t>
      </w:r>
      <w:r w:rsidR="00A412A7" w:rsidRPr="003865CE">
        <w:rPr>
          <w:lang w:val="en-US"/>
        </w:rPr>
        <w:t xml:space="preserve">conclusions and </w:t>
      </w:r>
      <w:r w:rsidR="004C4D5A" w:rsidRPr="003865CE">
        <w:rPr>
          <w:lang w:val="en-US"/>
        </w:rPr>
        <w:t xml:space="preserve">recommendations made by </w:t>
      </w:r>
      <w:proofErr w:type="spellStart"/>
      <w:r w:rsidR="004C4D5A" w:rsidRPr="003865CE">
        <w:rPr>
          <w:lang w:val="en-US"/>
        </w:rPr>
        <w:t>Ms</w:t>
      </w:r>
      <w:proofErr w:type="spellEnd"/>
      <w:r w:rsidR="004C4D5A" w:rsidRPr="003865CE">
        <w:rPr>
          <w:lang w:val="en-US"/>
        </w:rPr>
        <w:t xml:space="preserve"> Ram</w:t>
      </w:r>
      <w:r w:rsidR="00A412A7" w:rsidRPr="003865CE">
        <w:rPr>
          <w:lang w:val="en-US"/>
        </w:rPr>
        <w:t>, already referred to.</w:t>
      </w:r>
    </w:p>
    <w:p w:rsidR="00A412A7" w:rsidRDefault="00205BB4" w:rsidP="00205BB4">
      <w:pPr>
        <w:pStyle w:val="level1"/>
        <w:numPr>
          <w:ilvl w:val="0"/>
          <w:numId w:val="0"/>
        </w:numPr>
        <w:spacing w:after="480" w:line="360" w:lineRule="auto"/>
        <w:jc w:val="both"/>
        <w:rPr>
          <w:lang w:val="en-US"/>
        </w:rPr>
      </w:pPr>
      <w:r>
        <w:rPr>
          <w:lang w:val="en-US"/>
        </w:rPr>
        <w:t>[87]</w:t>
      </w:r>
      <w:r>
        <w:rPr>
          <w:lang w:val="en-US"/>
        </w:rPr>
        <w:tab/>
      </w:r>
      <w:r w:rsidR="004C4D5A">
        <w:rPr>
          <w:lang w:val="en-US"/>
        </w:rPr>
        <w:t>T</w:t>
      </w:r>
      <w:r w:rsidR="00E85CAE">
        <w:rPr>
          <w:lang w:val="en-US"/>
        </w:rPr>
        <w:t>he A</w:t>
      </w:r>
      <w:r w:rsidR="004C4D5A">
        <w:rPr>
          <w:lang w:val="en-US"/>
        </w:rPr>
        <w:t>uthority</w:t>
      </w:r>
      <w:r w:rsidR="001824D5">
        <w:rPr>
          <w:lang w:val="en-US"/>
        </w:rPr>
        <w:t>’s case was</w:t>
      </w:r>
      <w:r w:rsidR="004C4D5A">
        <w:rPr>
          <w:lang w:val="en-US"/>
        </w:rPr>
        <w:t xml:space="preserve"> that</w:t>
      </w:r>
      <w:r w:rsidR="00E85CAE">
        <w:rPr>
          <w:lang w:val="en-US"/>
        </w:rPr>
        <w:t xml:space="preserve"> a curatorship would preserve the current financial position of 3Sixty and provide an opportunity to source funding whilst preventing further erosion of its solvency capital cover</w:t>
      </w:r>
      <w:r w:rsidR="002D1219">
        <w:rPr>
          <w:lang w:val="en-US"/>
        </w:rPr>
        <w:t xml:space="preserve"> and to avoid liqui</w:t>
      </w:r>
      <w:r w:rsidR="00080493">
        <w:rPr>
          <w:lang w:val="en-US"/>
        </w:rPr>
        <w:t>d</w:t>
      </w:r>
      <w:r w:rsidR="002D1219">
        <w:rPr>
          <w:lang w:val="en-US"/>
        </w:rPr>
        <w:t>ation</w:t>
      </w:r>
      <w:r w:rsidR="00E85CAE">
        <w:rPr>
          <w:lang w:val="en-US"/>
        </w:rPr>
        <w:t xml:space="preserve">. </w:t>
      </w:r>
    </w:p>
    <w:p w:rsidR="00E85CAE" w:rsidRPr="00AA1B73" w:rsidRDefault="00205BB4" w:rsidP="00205BB4">
      <w:pPr>
        <w:pStyle w:val="level1"/>
        <w:numPr>
          <w:ilvl w:val="0"/>
          <w:numId w:val="0"/>
        </w:numPr>
        <w:spacing w:after="480" w:line="360" w:lineRule="auto"/>
        <w:jc w:val="both"/>
        <w:rPr>
          <w:lang w:val="en-US"/>
        </w:rPr>
      </w:pPr>
      <w:r>
        <w:rPr>
          <w:lang w:val="en-US"/>
        </w:rPr>
        <w:t>[88]</w:t>
      </w:r>
      <w:r>
        <w:rPr>
          <w:lang w:val="en-US"/>
        </w:rPr>
        <w:tab/>
      </w:r>
      <w:r w:rsidR="004C4D5A">
        <w:rPr>
          <w:lang w:val="en-US"/>
        </w:rPr>
        <w:t xml:space="preserve">Despite </w:t>
      </w:r>
      <w:proofErr w:type="spellStart"/>
      <w:r w:rsidR="004C4D5A">
        <w:rPr>
          <w:lang w:val="en-US"/>
        </w:rPr>
        <w:t>Ms</w:t>
      </w:r>
      <w:proofErr w:type="spellEnd"/>
      <w:r w:rsidR="004C4D5A">
        <w:rPr>
          <w:lang w:val="en-US"/>
        </w:rPr>
        <w:t xml:space="preserve"> </w:t>
      </w:r>
      <w:r w:rsidR="00A412A7">
        <w:rPr>
          <w:lang w:val="en-US"/>
        </w:rPr>
        <w:t>R</w:t>
      </w:r>
      <w:r w:rsidR="004C4D5A">
        <w:rPr>
          <w:lang w:val="en-US"/>
        </w:rPr>
        <w:t xml:space="preserve">am’s bald statement in her affidavit of 8 June 2022 that 3Sixty is solvent, that statement is not supported by any objective evidence. It is also in conflict with her </w:t>
      </w:r>
      <w:r w:rsidR="001824D5">
        <w:rPr>
          <w:lang w:val="en-US"/>
        </w:rPr>
        <w:t xml:space="preserve">own </w:t>
      </w:r>
      <w:r w:rsidR="004C4D5A">
        <w:rPr>
          <w:lang w:val="en-US"/>
        </w:rPr>
        <w:t xml:space="preserve">earlier version that 3Sixty would be solvent if the </w:t>
      </w:r>
      <w:r w:rsidR="005129C8">
        <w:rPr>
          <w:lang w:val="en-US"/>
        </w:rPr>
        <w:t>IRP</w:t>
      </w:r>
      <w:r w:rsidR="004C4D5A">
        <w:rPr>
          <w:lang w:val="en-US"/>
        </w:rPr>
        <w:t xml:space="preserve"> was implemented. </w:t>
      </w:r>
      <w:r w:rsidR="00E85CAE">
        <w:rPr>
          <w:lang w:val="en-US"/>
        </w:rPr>
        <w:t>Th</w:t>
      </w:r>
      <w:r w:rsidR="004C4D5A">
        <w:rPr>
          <w:lang w:val="en-US"/>
        </w:rPr>
        <w:t xml:space="preserve">e objective evidence however indicates that 3Sixty is insolvent and the MCR and SCR values are still under the statutory minimum values, </w:t>
      </w:r>
      <w:r w:rsidR="00E85CAE">
        <w:rPr>
          <w:lang w:val="en-US"/>
        </w:rPr>
        <w:t>given the la</w:t>
      </w:r>
      <w:r w:rsidR="00080493">
        <w:rPr>
          <w:lang w:val="en-US"/>
        </w:rPr>
        <w:t>t</w:t>
      </w:r>
      <w:r w:rsidR="00E85CAE">
        <w:rPr>
          <w:lang w:val="en-US"/>
        </w:rPr>
        <w:t xml:space="preserve">est financial information provided </w:t>
      </w:r>
      <w:r w:rsidR="001824D5">
        <w:rPr>
          <w:lang w:val="en-US"/>
        </w:rPr>
        <w:t>by</w:t>
      </w:r>
      <w:r w:rsidR="00E85CAE">
        <w:rPr>
          <w:lang w:val="en-US"/>
        </w:rPr>
        <w:t xml:space="preserve"> </w:t>
      </w:r>
      <w:r w:rsidR="004C4D5A">
        <w:rPr>
          <w:lang w:val="en-US"/>
        </w:rPr>
        <w:t xml:space="preserve">the </w:t>
      </w:r>
      <w:r w:rsidR="00E85CAE">
        <w:rPr>
          <w:lang w:val="en-US"/>
        </w:rPr>
        <w:t>A</w:t>
      </w:r>
      <w:r w:rsidR="004C4D5A">
        <w:rPr>
          <w:lang w:val="en-US"/>
        </w:rPr>
        <w:t>uthority.</w:t>
      </w:r>
    </w:p>
    <w:p w:rsidR="004C4D5A" w:rsidRDefault="00205BB4" w:rsidP="00205BB4">
      <w:pPr>
        <w:pStyle w:val="level1"/>
        <w:numPr>
          <w:ilvl w:val="0"/>
          <w:numId w:val="0"/>
        </w:numPr>
        <w:spacing w:after="480" w:line="360" w:lineRule="auto"/>
        <w:jc w:val="both"/>
        <w:rPr>
          <w:lang w:val="en-US"/>
        </w:rPr>
      </w:pPr>
      <w:r>
        <w:rPr>
          <w:lang w:val="en-US"/>
        </w:rPr>
        <w:t>[89]</w:t>
      </w:r>
      <w:r>
        <w:rPr>
          <w:lang w:val="en-US"/>
        </w:rPr>
        <w:tab/>
      </w:r>
      <w:r w:rsidR="002D1219">
        <w:rPr>
          <w:lang w:val="en-US"/>
        </w:rPr>
        <w:t>I conclude that confirmation of the curatorship may well avoid liquidation and the risk of value destruction and prejudice</w:t>
      </w:r>
      <w:r w:rsidR="005129C8">
        <w:rPr>
          <w:lang w:val="en-US"/>
        </w:rPr>
        <w:t>. That</w:t>
      </w:r>
      <w:r w:rsidR="001824D5">
        <w:rPr>
          <w:lang w:val="en-US"/>
        </w:rPr>
        <w:t xml:space="preserve"> would </w:t>
      </w:r>
      <w:r w:rsidR="005129C8">
        <w:rPr>
          <w:lang w:val="en-US"/>
        </w:rPr>
        <w:t>have</w:t>
      </w:r>
      <w:r w:rsidR="001824D5">
        <w:rPr>
          <w:lang w:val="en-US"/>
        </w:rPr>
        <w:t xml:space="preserve"> beneficial consequence</w:t>
      </w:r>
      <w:r w:rsidR="00CC6A61">
        <w:rPr>
          <w:lang w:val="en-US"/>
        </w:rPr>
        <w:t>s</w:t>
      </w:r>
      <w:r w:rsidR="001824D5">
        <w:rPr>
          <w:lang w:val="en-US"/>
        </w:rPr>
        <w:t xml:space="preserve"> to the 3Sixty policy holders.</w:t>
      </w:r>
    </w:p>
    <w:p w:rsidR="00132368" w:rsidRDefault="00132368" w:rsidP="000B660F">
      <w:pPr>
        <w:pStyle w:val="level1"/>
        <w:numPr>
          <w:ilvl w:val="0"/>
          <w:numId w:val="0"/>
        </w:numPr>
        <w:spacing w:after="480" w:line="360" w:lineRule="auto"/>
        <w:jc w:val="both"/>
        <w:rPr>
          <w:i/>
          <w:lang w:val="en-US"/>
        </w:rPr>
      </w:pPr>
      <w:r>
        <w:rPr>
          <w:lang w:val="en-US"/>
        </w:rPr>
        <w:t>Are there preferable alternatives to curatorship to resolve the problems?</w:t>
      </w:r>
    </w:p>
    <w:p w:rsidR="00281415" w:rsidRPr="00CC68F4" w:rsidRDefault="00205BB4" w:rsidP="00205BB4">
      <w:pPr>
        <w:pStyle w:val="level1"/>
        <w:numPr>
          <w:ilvl w:val="0"/>
          <w:numId w:val="0"/>
        </w:numPr>
        <w:spacing w:after="480" w:line="360" w:lineRule="auto"/>
        <w:jc w:val="both"/>
        <w:rPr>
          <w:lang w:val="en-US"/>
        </w:rPr>
      </w:pPr>
      <w:r>
        <w:rPr>
          <w:lang w:val="en-US"/>
        </w:rPr>
        <w:t>[90]</w:t>
      </w:r>
      <w:r>
        <w:rPr>
          <w:lang w:val="en-US"/>
        </w:rPr>
        <w:tab/>
      </w:r>
      <w:proofErr w:type="spellStart"/>
      <w:r w:rsidR="001824D5" w:rsidRPr="00CC68F4">
        <w:rPr>
          <w:lang w:val="en-US"/>
        </w:rPr>
        <w:t>Ms</w:t>
      </w:r>
      <w:proofErr w:type="spellEnd"/>
      <w:r w:rsidR="00350E0D" w:rsidRPr="00CC68F4">
        <w:rPr>
          <w:i/>
          <w:lang w:val="en-US"/>
        </w:rPr>
        <w:t xml:space="preserve"> </w:t>
      </w:r>
      <w:r w:rsidR="00350E0D" w:rsidRPr="00CC68F4">
        <w:rPr>
          <w:lang w:val="en-US"/>
        </w:rPr>
        <w:t>Ram</w:t>
      </w:r>
      <w:r w:rsidR="001824D5" w:rsidRPr="00CC68F4">
        <w:rPr>
          <w:lang w:val="en-US"/>
        </w:rPr>
        <w:t>’s recommendations in he</w:t>
      </w:r>
      <w:r w:rsidR="00486EEA">
        <w:rPr>
          <w:lang w:val="en-US"/>
        </w:rPr>
        <w:t>r</w:t>
      </w:r>
      <w:r w:rsidR="001824D5" w:rsidRPr="00CC68F4">
        <w:rPr>
          <w:lang w:val="en-US"/>
        </w:rPr>
        <w:t xml:space="preserve"> final report </w:t>
      </w:r>
      <w:r w:rsidR="00132368" w:rsidRPr="00CC68F4">
        <w:rPr>
          <w:lang w:val="en-US"/>
        </w:rPr>
        <w:t xml:space="preserve">essentially leave it to the management of 3Sixty to resolve their own problems. </w:t>
      </w:r>
      <w:proofErr w:type="spellStart"/>
      <w:r w:rsidR="003D1F55" w:rsidRPr="00CC68F4">
        <w:rPr>
          <w:lang w:val="en-US"/>
        </w:rPr>
        <w:t>Ms</w:t>
      </w:r>
      <w:proofErr w:type="spellEnd"/>
      <w:r w:rsidR="003D1F55" w:rsidRPr="00CC68F4">
        <w:rPr>
          <w:lang w:val="en-US"/>
        </w:rPr>
        <w:t xml:space="preserve"> Ram did not investigate nor fully report on the issues raised by the Authority pertaining to regulatory breaches and </w:t>
      </w:r>
      <w:r w:rsidR="003D1F55" w:rsidRPr="00CC68F4">
        <w:rPr>
          <w:lang w:val="en-US"/>
        </w:rPr>
        <w:lastRenderedPageBreak/>
        <w:t xml:space="preserve">governance issues. </w:t>
      </w:r>
      <w:proofErr w:type="spellStart"/>
      <w:r w:rsidR="003D1F55" w:rsidRPr="00CC68F4">
        <w:rPr>
          <w:lang w:val="en-US"/>
        </w:rPr>
        <w:t>Ms</w:t>
      </w:r>
      <w:proofErr w:type="spellEnd"/>
      <w:r w:rsidR="003D1F55" w:rsidRPr="00CC68F4">
        <w:rPr>
          <w:lang w:val="en-US"/>
        </w:rPr>
        <w:t xml:space="preserve"> Ram’s views are not supported by objective evidence and are of limited assistance to the court. There is essentially no countervailing evidence produced by either 3Sixty or </w:t>
      </w:r>
      <w:proofErr w:type="spellStart"/>
      <w:r w:rsidR="003D1F55" w:rsidRPr="00CC68F4">
        <w:rPr>
          <w:lang w:val="en-US"/>
        </w:rPr>
        <w:t>Ms</w:t>
      </w:r>
      <w:proofErr w:type="spellEnd"/>
      <w:r w:rsidR="003D1F55" w:rsidRPr="00CC68F4">
        <w:rPr>
          <w:lang w:val="en-US"/>
        </w:rPr>
        <w:t xml:space="preserve"> Ram to counter the facts presented by the Authority. In material respects, those facts are admitted by 3Sixty.</w:t>
      </w:r>
    </w:p>
    <w:p w:rsidR="003D1F55" w:rsidRDefault="00205BB4" w:rsidP="00205BB4">
      <w:pPr>
        <w:pStyle w:val="level1"/>
        <w:numPr>
          <w:ilvl w:val="0"/>
          <w:numId w:val="0"/>
        </w:numPr>
        <w:spacing w:after="480" w:line="360" w:lineRule="auto"/>
        <w:jc w:val="both"/>
        <w:rPr>
          <w:lang w:val="en-US"/>
        </w:rPr>
      </w:pPr>
      <w:r>
        <w:rPr>
          <w:lang w:val="en-US"/>
        </w:rPr>
        <w:t>[91]</w:t>
      </w:r>
      <w:r>
        <w:rPr>
          <w:lang w:val="en-US"/>
        </w:rPr>
        <w:tab/>
      </w:r>
      <w:r w:rsidR="003D1F55">
        <w:rPr>
          <w:lang w:val="en-US"/>
        </w:rPr>
        <w:t>Considering the undisputed facts</w:t>
      </w:r>
      <w:r w:rsidR="00CC68F4">
        <w:rPr>
          <w:lang w:val="en-US"/>
        </w:rPr>
        <w:t>,</w:t>
      </w:r>
      <w:r w:rsidR="003D1F55">
        <w:rPr>
          <w:lang w:val="en-US"/>
        </w:rPr>
        <w:t xml:space="preserve"> 3Sixty has not meaningfully addressed the statutory breaches or governance issues since the time they arose</w:t>
      </w:r>
      <w:r w:rsidR="008551F9">
        <w:rPr>
          <w:lang w:val="en-US"/>
        </w:rPr>
        <w:t>.</w:t>
      </w:r>
      <w:r w:rsidR="003D1F55">
        <w:rPr>
          <w:lang w:val="en-US"/>
        </w:rPr>
        <w:t xml:space="preserve"> I am persuaded that there are no preferable alternatives to curatorship.</w:t>
      </w:r>
    </w:p>
    <w:p w:rsidR="00DD680A" w:rsidRDefault="00205BB4" w:rsidP="00205BB4">
      <w:pPr>
        <w:pStyle w:val="level1"/>
        <w:numPr>
          <w:ilvl w:val="0"/>
          <w:numId w:val="0"/>
        </w:numPr>
        <w:spacing w:after="480" w:line="360" w:lineRule="auto"/>
        <w:jc w:val="both"/>
        <w:rPr>
          <w:lang w:val="en-US"/>
        </w:rPr>
      </w:pPr>
      <w:r>
        <w:rPr>
          <w:lang w:val="en-US"/>
        </w:rPr>
        <w:t>[92]</w:t>
      </w:r>
      <w:r>
        <w:rPr>
          <w:lang w:val="en-US"/>
        </w:rPr>
        <w:tab/>
      </w:r>
      <w:r w:rsidR="00DD680A">
        <w:rPr>
          <w:lang w:val="en-US"/>
        </w:rPr>
        <w:t>Having met all the criteria, I conclude that the curatorship order should be confirmed in the best interests of the 3Sixt</w:t>
      </w:r>
      <w:r w:rsidR="00CC68F4">
        <w:rPr>
          <w:lang w:val="en-US"/>
        </w:rPr>
        <w:t>y</w:t>
      </w:r>
      <w:r w:rsidR="00DD680A">
        <w:rPr>
          <w:lang w:val="en-US"/>
        </w:rPr>
        <w:t xml:space="preserve"> policy holders.</w:t>
      </w:r>
    </w:p>
    <w:p w:rsidR="000A541B" w:rsidRDefault="00585571" w:rsidP="000B660F">
      <w:pPr>
        <w:pStyle w:val="level1"/>
        <w:numPr>
          <w:ilvl w:val="0"/>
          <w:numId w:val="0"/>
        </w:numPr>
        <w:spacing w:after="480" w:line="360" w:lineRule="auto"/>
        <w:jc w:val="both"/>
        <w:rPr>
          <w:lang w:val="en-US"/>
        </w:rPr>
      </w:pPr>
      <w:r>
        <w:rPr>
          <w:lang w:val="en-US"/>
        </w:rPr>
        <w:t>Should</w:t>
      </w:r>
      <w:r w:rsidR="007909D3" w:rsidRPr="00CC68F4">
        <w:rPr>
          <w:lang w:val="en-US"/>
        </w:rPr>
        <w:t xml:space="preserve"> </w:t>
      </w:r>
      <w:proofErr w:type="spellStart"/>
      <w:r w:rsidR="007909D3" w:rsidRPr="00CC68F4">
        <w:rPr>
          <w:lang w:val="en-US"/>
        </w:rPr>
        <w:t>M</w:t>
      </w:r>
      <w:r w:rsidR="00CC68F4" w:rsidRPr="00CC68F4">
        <w:rPr>
          <w:lang w:val="en-US"/>
        </w:rPr>
        <w:t>s</w:t>
      </w:r>
      <w:proofErr w:type="spellEnd"/>
      <w:r w:rsidR="007909D3" w:rsidRPr="00CC68F4">
        <w:rPr>
          <w:lang w:val="en-US"/>
        </w:rPr>
        <w:t xml:space="preserve"> Ram</w:t>
      </w:r>
      <w:r w:rsidR="00EA00E5">
        <w:rPr>
          <w:lang w:val="en-US"/>
        </w:rPr>
        <w:t>’</w:t>
      </w:r>
      <w:r w:rsidR="007909D3" w:rsidRPr="00CC68F4">
        <w:rPr>
          <w:lang w:val="en-US"/>
        </w:rPr>
        <w:t>s appointment as provisional curator be confirmed</w:t>
      </w:r>
      <w:r>
        <w:rPr>
          <w:lang w:val="en-US"/>
        </w:rPr>
        <w:t>?</w:t>
      </w:r>
      <w:r w:rsidR="00CC68F4" w:rsidRPr="00CC68F4">
        <w:rPr>
          <w:lang w:val="en-US"/>
        </w:rPr>
        <w:t xml:space="preserve"> </w:t>
      </w:r>
    </w:p>
    <w:p w:rsidR="00814E95" w:rsidRDefault="00205BB4" w:rsidP="00205BB4">
      <w:pPr>
        <w:pStyle w:val="level1"/>
        <w:numPr>
          <w:ilvl w:val="0"/>
          <w:numId w:val="0"/>
        </w:numPr>
        <w:spacing w:after="480" w:line="360" w:lineRule="auto"/>
        <w:jc w:val="both"/>
        <w:rPr>
          <w:lang w:val="en-US"/>
        </w:rPr>
      </w:pPr>
      <w:r>
        <w:rPr>
          <w:lang w:val="en-US"/>
        </w:rPr>
        <w:t>[93]</w:t>
      </w:r>
      <w:r>
        <w:rPr>
          <w:lang w:val="en-US"/>
        </w:rPr>
        <w:tab/>
      </w:r>
      <w:r w:rsidR="00814E95">
        <w:rPr>
          <w:lang w:val="en-US"/>
        </w:rPr>
        <w:t>It was undisputed that t</w:t>
      </w:r>
      <w:r w:rsidR="00DD680A" w:rsidRPr="00CC68F4">
        <w:rPr>
          <w:lang w:val="en-US"/>
        </w:rPr>
        <w:t>he appointment or removal of a particular curator is an issue entirely separate from the curatorship and its confirmation</w:t>
      </w:r>
      <w:r w:rsidR="00017C4F">
        <w:rPr>
          <w:lang w:val="en-US"/>
        </w:rPr>
        <w:t>.</w:t>
      </w:r>
      <w:r w:rsidR="00DD680A">
        <w:rPr>
          <w:rStyle w:val="FootnoteReference"/>
          <w:lang w:val="en-US"/>
        </w:rPr>
        <w:footnoteReference w:id="35"/>
      </w:r>
      <w:r w:rsidR="00742F91" w:rsidRPr="00CC68F4">
        <w:rPr>
          <w:lang w:val="en-US"/>
        </w:rPr>
        <w:t xml:space="preserve"> </w:t>
      </w:r>
    </w:p>
    <w:p w:rsidR="00CC68F4" w:rsidRDefault="00205BB4" w:rsidP="00205BB4">
      <w:pPr>
        <w:pStyle w:val="level1"/>
        <w:numPr>
          <w:ilvl w:val="0"/>
          <w:numId w:val="0"/>
        </w:numPr>
        <w:spacing w:after="480" w:line="360" w:lineRule="auto"/>
        <w:jc w:val="both"/>
        <w:rPr>
          <w:lang w:val="en-US"/>
        </w:rPr>
      </w:pPr>
      <w:r>
        <w:rPr>
          <w:lang w:val="en-US"/>
        </w:rPr>
        <w:t>[94]</w:t>
      </w:r>
      <w:r>
        <w:rPr>
          <w:lang w:val="en-US"/>
        </w:rPr>
        <w:tab/>
      </w:r>
      <w:r w:rsidR="00814E95">
        <w:rPr>
          <w:lang w:val="en-US"/>
        </w:rPr>
        <w:t xml:space="preserve">The Authority’s unsuccessful variation application and </w:t>
      </w:r>
      <w:proofErr w:type="spellStart"/>
      <w:r w:rsidR="00814E95">
        <w:rPr>
          <w:lang w:val="en-US"/>
        </w:rPr>
        <w:t>Ms</w:t>
      </w:r>
      <w:proofErr w:type="spellEnd"/>
      <w:r w:rsidR="00814E95">
        <w:rPr>
          <w:lang w:val="en-US"/>
        </w:rPr>
        <w:t xml:space="preserve"> Ram’s purported resignation on 26 April 2022 dominated the debate between the parties.</w:t>
      </w:r>
    </w:p>
    <w:p w:rsidR="00C85703" w:rsidRDefault="00205BB4" w:rsidP="00205BB4">
      <w:pPr>
        <w:pStyle w:val="level1"/>
        <w:numPr>
          <w:ilvl w:val="0"/>
          <w:numId w:val="0"/>
        </w:numPr>
        <w:spacing w:after="480" w:line="360" w:lineRule="auto"/>
        <w:jc w:val="both"/>
        <w:rPr>
          <w:lang w:val="en-US"/>
        </w:rPr>
      </w:pPr>
      <w:r>
        <w:rPr>
          <w:lang w:val="en-US"/>
        </w:rPr>
        <w:t>[95]</w:t>
      </w:r>
      <w:r>
        <w:rPr>
          <w:lang w:val="en-US"/>
        </w:rPr>
        <w:tab/>
      </w:r>
      <w:r w:rsidR="000A541B">
        <w:rPr>
          <w:lang w:val="en-US"/>
        </w:rPr>
        <w:t>At the hearing on 22 March 2022,</w:t>
      </w:r>
      <w:r w:rsidR="00C85703" w:rsidRPr="00C85703">
        <w:rPr>
          <w:lang w:val="en-US"/>
        </w:rPr>
        <w:t xml:space="preserve"> the Authority simply left it in court’s hands to determine whether </w:t>
      </w:r>
      <w:proofErr w:type="spellStart"/>
      <w:r w:rsidR="00C85703" w:rsidRPr="00C85703">
        <w:rPr>
          <w:lang w:val="en-US"/>
        </w:rPr>
        <w:t>Ms</w:t>
      </w:r>
      <w:proofErr w:type="spellEnd"/>
      <w:r w:rsidR="00C85703" w:rsidRPr="00C85703">
        <w:rPr>
          <w:lang w:val="en-US"/>
        </w:rPr>
        <w:t xml:space="preserve"> Ram should remain or be removed. It baldly stated that it abided the decision of the court </w:t>
      </w:r>
      <w:r w:rsidR="000A541B">
        <w:rPr>
          <w:lang w:val="en-US"/>
        </w:rPr>
        <w:t>but that it did not recommend</w:t>
      </w:r>
      <w:r w:rsidR="00C85703" w:rsidRPr="00C85703">
        <w:rPr>
          <w:lang w:val="en-US"/>
        </w:rPr>
        <w:t xml:space="preserve"> </w:t>
      </w:r>
      <w:r w:rsidR="000A541B">
        <w:rPr>
          <w:lang w:val="en-US"/>
        </w:rPr>
        <w:t xml:space="preserve">that </w:t>
      </w:r>
      <w:proofErr w:type="spellStart"/>
      <w:r w:rsidR="00C85703" w:rsidRPr="00C85703">
        <w:rPr>
          <w:lang w:val="en-US"/>
        </w:rPr>
        <w:t>Ms</w:t>
      </w:r>
      <w:proofErr w:type="spellEnd"/>
      <w:r w:rsidR="00C85703" w:rsidRPr="00C85703">
        <w:rPr>
          <w:lang w:val="en-US"/>
        </w:rPr>
        <w:t xml:space="preserve"> Ram</w:t>
      </w:r>
      <w:r w:rsidR="000A541B">
        <w:rPr>
          <w:lang w:val="en-US"/>
        </w:rPr>
        <w:t xml:space="preserve"> be confirmed as final curator.</w:t>
      </w:r>
      <w:r w:rsidR="00C85703" w:rsidRPr="00C85703">
        <w:rPr>
          <w:lang w:val="en-US"/>
        </w:rPr>
        <w:t xml:space="preserve"> </w:t>
      </w:r>
      <w:r w:rsidR="000A541B">
        <w:rPr>
          <w:lang w:val="en-US"/>
        </w:rPr>
        <w:t xml:space="preserve">It was argued that if </w:t>
      </w:r>
      <w:proofErr w:type="spellStart"/>
      <w:r w:rsidR="000A541B">
        <w:rPr>
          <w:lang w:val="en-US"/>
        </w:rPr>
        <w:t>Ms</w:t>
      </w:r>
      <w:proofErr w:type="spellEnd"/>
      <w:r w:rsidR="000A541B">
        <w:rPr>
          <w:lang w:val="en-US"/>
        </w:rPr>
        <w:t xml:space="preserve"> Ram’s appointment was not confirmed, Mr </w:t>
      </w:r>
      <w:proofErr w:type="spellStart"/>
      <w:r w:rsidR="000A541B">
        <w:rPr>
          <w:lang w:val="en-US"/>
        </w:rPr>
        <w:t>Mashoko</w:t>
      </w:r>
      <w:proofErr w:type="spellEnd"/>
      <w:r w:rsidR="000A541B">
        <w:rPr>
          <w:lang w:val="en-US"/>
        </w:rPr>
        <w:t xml:space="preserve"> would be a suitable </w:t>
      </w:r>
      <w:r w:rsidR="00814E95">
        <w:rPr>
          <w:lang w:val="en-US"/>
        </w:rPr>
        <w:t>candidate to be appointed as final curator</w:t>
      </w:r>
      <w:r w:rsidR="000A541B">
        <w:rPr>
          <w:lang w:val="en-US"/>
        </w:rPr>
        <w:t xml:space="preserve">. </w:t>
      </w:r>
      <w:r w:rsidR="00C85703" w:rsidRPr="00C85703">
        <w:rPr>
          <w:lang w:val="en-US"/>
        </w:rPr>
        <w:t xml:space="preserve">Mr </w:t>
      </w:r>
      <w:proofErr w:type="spellStart"/>
      <w:r w:rsidR="00C85703" w:rsidRPr="00C85703">
        <w:rPr>
          <w:lang w:val="en-US"/>
        </w:rPr>
        <w:t>Mashoko</w:t>
      </w:r>
      <w:proofErr w:type="spellEnd"/>
      <w:r w:rsidR="00C85703" w:rsidRPr="00C85703">
        <w:rPr>
          <w:lang w:val="en-US"/>
        </w:rPr>
        <w:t xml:space="preserve"> was also the individual recommended by the Authority in the unsuccessful </w:t>
      </w:r>
      <w:r w:rsidR="008551F9">
        <w:rPr>
          <w:lang w:val="en-US"/>
        </w:rPr>
        <w:t xml:space="preserve">urgent </w:t>
      </w:r>
      <w:r w:rsidR="00C85703" w:rsidRPr="00C85703">
        <w:rPr>
          <w:lang w:val="en-US"/>
        </w:rPr>
        <w:t>variation application.</w:t>
      </w:r>
      <w:r w:rsidR="0004371F">
        <w:rPr>
          <w:lang w:val="en-US"/>
        </w:rPr>
        <w:t xml:space="preserve"> Pursuant to </w:t>
      </w:r>
      <w:proofErr w:type="spellStart"/>
      <w:r w:rsidR="0004371F">
        <w:rPr>
          <w:lang w:val="en-US"/>
        </w:rPr>
        <w:t>Ms</w:t>
      </w:r>
      <w:proofErr w:type="spellEnd"/>
      <w:r w:rsidR="0004371F">
        <w:rPr>
          <w:lang w:val="en-US"/>
        </w:rPr>
        <w:t xml:space="preserve"> Ram’s purported resignation, it adopted the stance that the confirmation </w:t>
      </w:r>
      <w:r w:rsidR="0004371F">
        <w:rPr>
          <w:lang w:val="en-US"/>
        </w:rPr>
        <w:lastRenderedPageBreak/>
        <w:t xml:space="preserve">of </w:t>
      </w:r>
      <w:proofErr w:type="spellStart"/>
      <w:r w:rsidR="0004371F">
        <w:rPr>
          <w:lang w:val="en-US"/>
        </w:rPr>
        <w:t>Ms</w:t>
      </w:r>
      <w:proofErr w:type="spellEnd"/>
      <w:r w:rsidR="0004371F">
        <w:rPr>
          <w:lang w:val="en-US"/>
        </w:rPr>
        <w:t xml:space="preserve"> Ram’s appointment would be untenable</w:t>
      </w:r>
      <w:r w:rsidR="00B86D27">
        <w:rPr>
          <w:lang w:val="en-US"/>
        </w:rPr>
        <w:t>, given that she no longer wanted to act as curator</w:t>
      </w:r>
      <w:r w:rsidR="0004371F">
        <w:rPr>
          <w:lang w:val="en-US"/>
        </w:rPr>
        <w:t>.</w:t>
      </w:r>
    </w:p>
    <w:p w:rsidR="00EA00E5" w:rsidRPr="00C85703" w:rsidRDefault="00205BB4" w:rsidP="00205BB4">
      <w:pPr>
        <w:pStyle w:val="level1"/>
        <w:numPr>
          <w:ilvl w:val="0"/>
          <w:numId w:val="0"/>
        </w:numPr>
        <w:spacing w:after="480" w:line="360" w:lineRule="auto"/>
        <w:jc w:val="both"/>
        <w:rPr>
          <w:lang w:val="en-US"/>
        </w:rPr>
      </w:pPr>
      <w:r>
        <w:rPr>
          <w:lang w:val="en-US"/>
        </w:rPr>
        <w:t>[96]</w:t>
      </w:r>
      <w:r>
        <w:rPr>
          <w:lang w:val="en-US"/>
        </w:rPr>
        <w:tab/>
      </w:r>
      <w:r w:rsidR="00EA00E5" w:rsidRPr="00EB39DE">
        <w:rPr>
          <w:lang w:val="en-US"/>
        </w:rPr>
        <w:t xml:space="preserve">3Sixty challenged the appointment of a replacement curator on the basis that the Authority </w:t>
      </w:r>
      <w:r w:rsidR="00F74047">
        <w:rPr>
          <w:lang w:val="en-US"/>
        </w:rPr>
        <w:t>was attempting to appeal the unsuccessful variation application and the order and judgment of Fisher J</w:t>
      </w:r>
      <w:r w:rsidR="00EA00E5" w:rsidRPr="00EB39DE">
        <w:rPr>
          <w:lang w:val="en-US"/>
        </w:rPr>
        <w:t xml:space="preserve"> a</w:t>
      </w:r>
      <w:r w:rsidR="00574907">
        <w:rPr>
          <w:lang w:val="en-US"/>
        </w:rPr>
        <w:t>nd that</w:t>
      </w:r>
      <w:r w:rsidR="00EA00E5" w:rsidRPr="00EB39DE">
        <w:rPr>
          <w:lang w:val="en-US"/>
        </w:rPr>
        <w:t xml:space="preserve"> </w:t>
      </w:r>
      <w:proofErr w:type="spellStart"/>
      <w:r w:rsidR="00EA00E5" w:rsidRPr="00EB39DE">
        <w:rPr>
          <w:lang w:val="en-US"/>
        </w:rPr>
        <w:t>Ms</w:t>
      </w:r>
      <w:proofErr w:type="spellEnd"/>
      <w:r w:rsidR="00EA00E5" w:rsidRPr="00EB39DE">
        <w:rPr>
          <w:lang w:val="en-US"/>
        </w:rPr>
        <w:t xml:space="preserve"> Ram had</w:t>
      </w:r>
      <w:r w:rsidR="00EA00E5">
        <w:rPr>
          <w:lang w:val="en-US"/>
        </w:rPr>
        <w:t xml:space="preserve"> </w:t>
      </w:r>
      <w:r w:rsidR="00EA00E5" w:rsidRPr="00EB39DE">
        <w:rPr>
          <w:lang w:val="en-US"/>
        </w:rPr>
        <w:t>n</w:t>
      </w:r>
      <w:r w:rsidR="00EA00E5">
        <w:rPr>
          <w:lang w:val="en-US"/>
        </w:rPr>
        <w:t>o</w:t>
      </w:r>
      <w:r w:rsidR="00EA00E5" w:rsidRPr="00EB39DE">
        <w:rPr>
          <w:lang w:val="en-US"/>
        </w:rPr>
        <w:t xml:space="preserve">t sought the court’s leave to resign and this question not before the court. It </w:t>
      </w:r>
      <w:r w:rsidR="0004371F">
        <w:rPr>
          <w:lang w:val="en-US"/>
        </w:rPr>
        <w:t xml:space="preserve">further </w:t>
      </w:r>
      <w:r w:rsidR="00EA00E5" w:rsidRPr="00EB39DE">
        <w:rPr>
          <w:lang w:val="en-US"/>
        </w:rPr>
        <w:t xml:space="preserve">argued that it was not open to the court to accept </w:t>
      </w:r>
      <w:proofErr w:type="spellStart"/>
      <w:r w:rsidR="00EA00E5" w:rsidRPr="00EB39DE">
        <w:rPr>
          <w:lang w:val="en-US"/>
        </w:rPr>
        <w:t>Ms</w:t>
      </w:r>
      <w:proofErr w:type="spellEnd"/>
      <w:r w:rsidR="00EA00E5" w:rsidRPr="00EB39DE">
        <w:rPr>
          <w:lang w:val="en-US"/>
        </w:rPr>
        <w:t xml:space="preserve"> Ram’s resignation.</w:t>
      </w:r>
      <w:r w:rsidR="00EA00E5">
        <w:rPr>
          <w:lang w:val="en-US"/>
        </w:rPr>
        <w:t xml:space="preserve"> </w:t>
      </w:r>
    </w:p>
    <w:p w:rsidR="001A42E5" w:rsidRPr="00921030" w:rsidRDefault="00205BB4" w:rsidP="00205BB4">
      <w:pPr>
        <w:pStyle w:val="level1"/>
        <w:numPr>
          <w:ilvl w:val="0"/>
          <w:numId w:val="0"/>
        </w:numPr>
        <w:spacing w:after="480" w:line="360" w:lineRule="auto"/>
        <w:jc w:val="both"/>
        <w:rPr>
          <w:lang w:val="en-US"/>
        </w:rPr>
      </w:pPr>
      <w:r>
        <w:rPr>
          <w:lang w:val="en-US"/>
        </w:rPr>
        <w:t>[97]</w:t>
      </w:r>
      <w:r>
        <w:rPr>
          <w:lang w:val="en-US"/>
        </w:rPr>
        <w:tab/>
      </w:r>
      <w:proofErr w:type="spellStart"/>
      <w:r w:rsidR="009D78F2" w:rsidRPr="00921030">
        <w:rPr>
          <w:lang w:val="en-US"/>
        </w:rPr>
        <w:t>Ms</w:t>
      </w:r>
      <w:proofErr w:type="spellEnd"/>
      <w:r w:rsidR="009D78F2" w:rsidRPr="00921030">
        <w:rPr>
          <w:lang w:val="en-US"/>
        </w:rPr>
        <w:t xml:space="preserve"> Ram held the view that her resignation was irrelevant. In </w:t>
      </w:r>
      <w:r w:rsidR="009D78F2">
        <w:rPr>
          <w:lang w:val="en-US"/>
        </w:rPr>
        <w:t>her</w:t>
      </w:r>
      <w:r w:rsidR="009D78F2" w:rsidRPr="00921030">
        <w:rPr>
          <w:lang w:val="en-US"/>
        </w:rPr>
        <w:t xml:space="preserve"> affidavit of 8 June</w:t>
      </w:r>
      <w:r w:rsidR="009D78F2">
        <w:rPr>
          <w:lang w:val="en-US"/>
        </w:rPr>
        <w:t xml:space="preserve"> 2022</w:t>
      </w:r>
      <w:r w:rsidR="009D78F2" w:rsidRPr="00921030">
        <w:rPr>
          <w:lang w:val="en-US"/>
        </w:rPr>
        <w:t xml:space="preserve"> she stated:</w:t>
      </w:r>
    </w:p>
    <w:p w:rsidR="009D78F2" w:rsidRPr="00ED421E" w:rsidRDefault="009D78F2" w:rsidP="009D78F2">
      <w:pPr>
        <w:pStyle w:val="level1"/>
        <w:numPr>
          <w:ilvl w:val="0"/>
          <w:numId w:val="0"/>
        </w:numPr>
        <w:spacing w:after="480"/>
        <w:ind w:left="720"/>
        <w:jc w:val="both"/>
        <w:rPr>
          <w:i/>
          <w:sz w:val="20"/>
          <w:szCs w:val="20"/>
          <w:lang w:val="en-US"/>
        </w:rPr>
      </w:pPr>
      <w:r w:rsidRPr="00ED421E">
        <w:rPr>
          <w:i/>
          <w:sz w:val="20"/>
          <w:szCs w:val="20"/>
          <w:lang w:val="en-US"/>
        </w:rPr>
        <w:t>“I submit in conclusion that it is for this court to decide whether to confirm curatorship of the First Res</w:t>
      </w:r>
      <w:r>
        <w:rPr>
          <w:i/>
          <w:sz w:val="20"/>
          <w:szCs w:val="20"/>
          <w:lang w:val="en-US"/>
        </w:rPr>
        <w:t>p</w:t>
      </w:r>
      <w:r w:rsidRPr="00ED421E">
        <w:rPr>
          <w:i/>
          <w:sz w:val="20"/>
          <w:szCs w:val="20"/>
          <w:lang w:val="en-US"/>
        </w:rPr>
        <w:t>ondent and that my “resignation” has no bearing on that decision because I have continued to substantially comply with my fiduciary duties.</w:t>
      </w:r>
      <w:r>
        <w:rPr>
          <w:i/>
          <w:sz w:val="20"/>
          <w:szCs w:val="20"/>
          <w:lang w:val="en-US"/>
        </w:rPr>
        <w:t>”</w:t>
      </w:r>
      <w:r w:rsidRPr="00ED421E">
        <w:rPr>
          <w:i/>
          <w:sz w:val="20"/>
          <w:szCs w:val="20"/>
          <w:lang w:val="en-US"/>
        </w:rPr>
        <w:t xml:space="preserve"> </w:t>
      </w:r>
    </w:p>
    <w:p w:rsidR="0093491B" w:rsidRDefault="001A42E5" w:rsidP="001A42E5">
      <w:pPr>
        <w:pStyle w:val="level1"/>
        <w:numPr>
          <w:ilvl w:val="0"/>
          <w:numId w:val="0"/>
        </w:numPr>
        <w:spacing w:after="480" w:line="360" w:lineRule="auto"/>
        <w:jc w:val="both"/>
        <w:rPr>
          <w:lang w:val="en-US"/>
        </w:rPr>
      </w:pPr>
      <w:r>
        <w:rPr>
          <w:lang w:val="en-US"/>
        </w:rPr>
        <w:t>[98]</w:t>
      </w:r>
      <w:r>
        <w:rPr>
          <w:lang w:val="en-US"/>
        </w:rPr>
        <w:tab/>
      </w:r>
      <w:r w:rsidR="0093491B">
        <w:rPr>
          <w:lang w:val="en-US"/>
        </w:rPr>
        <w:t xml:space="preserve">Significantly, </w:t>
      </w:r>
      <w:proofErr w:type="spellStart"/>
      <w:r w:rsidR="0093491B">
        <w:rPr>
          <w:lang w:val="en-US"/>
        </w:rPr>
        <w:t>Ms</w:t>
      </w:r>
      <w:proofErr w:type="spellEnd"/>
      <w:r w:rsidR="0093491B">
        <w:rPr>
          <w:lang w:val="en-US"/>
        </w:rPr>
        <w:t xml:space="preserve"> Ram did not in her affidavit state any willingness to act as final curator if the provisional curatorship order was not discharged.</w:t>
      </w:r>
    </w:p>
    <w:p w:rsidR="00EA00E5" w:rsidRDefault="001A42E5" w:rsidP="001A42E5">
      <w:pPr>
        <w:pStyle w:val="level1"/>
        <w:numPr>
          <w:ilvl w:val="0"/>
          <w:numId w:val="0"/>
        </w:numPr>
        <w:spacing w:after="480" w:line="360" w:lineRule="auto"/>
        <w:jc w:val="both"/>
        <w:rPr>
          <w:lang w:val="en-US"/>
        </w:rPr>
      </w:pPr>
      <w:r>
        <w:rPr>
          <w:lang w:val="en-US"/>
        </w:rPr>
        <w:t>[99]</w:t>
      </w:r>
      <w:r>
        <w:rPr>
          <w:lang w:val="en-US"/>
        </w:rPr>
        <w:tab/>
      </w:r>
      <w:proofErr w:type="spellStart"/>
      <w:r w:rsidR="00B86D27">
        <w:rPr>
          <w:lang w:val="en-US"/>
        </w:rPr>
        <w:t>Ms</w:t>
      </w:r>
      <w:proofErr w:type="spellEnd"/>
      <w:r w:rsidR="00B86D27">
        <w:rPr>
          <w:lang w:val="en-US"/>
        </w:rPr>
        <w:t xml:space="preserve"> Ram</w:t>
      </w:r>
      <w:r w:rsidR="009D78F2">
        <w:rPr>
          <w:lang w:val="en-US"/>
        </w:rPr>
        <w:t xml:space="preserve"> accused the Authority of “pen-palling” with the court in advising it of her resignation on 16 May 2022</w:t>
      </w:r>
      <w:r w:rsidR="00EA00E5">
        <w:rPr>
          <w:lang w:val="en-US"/>
        </w:rPr>
        <w:t>, rather than launching a formal application to adduce further evidence</w:t>
      </w:r>
      <w:r w:rsidR="005C143D">
        <w:rPr>
          <w:lang w:val="en-US"/>
        </w:rPr>
        <w:t xml:space="preserve"> pertaining to</w:t>
      </w:r>
      <w:r w:rsidR="00EA00E5">
        <w:rPr>
          <w:lang w:val="en-US"/>
        </w:rPr>
        <w:t xml:space="preserve"> her purported resignation.</w:t>
      </w:r>
      <w:r w:rsidR="009D78F2">
        <w:rPr>
          <w:lang w:val="en-US"/>
        </w:rPr>
        <w:t xml:space="preserve"> </w:t>
      </w:r>
      <w:r w:rsidR="00EA00E5">
        <w:rPr>
          <w:lang w:val="en-US"/>
        </w:rPr>
        <w:t xml:space="preserve">It was argued that the </w:t>
      </w:r>
      <w:r w:rsidR="00AB7AB1">
        <w:rPr>
          <w:lang w:val="en-US"/>
        </w:rPr>
        <w:t>A</w:t>
      </w:r>
      <w:r w:rsidR="00EA00E5">
        <w:rPr>
          <w:lang w:val="en-US"/>
        </w:rPr>
        <w:t xml:space="preserve">uthority should be mulcted with a punitive costs order for placing new evidence before the court in this manner. </w:t>
      </w:r>
      <w:proofErr w:type="spellStart"/>
      <w:r w:rsidR="00EA00E5">
        <w:rPr>
          <w:lang w:val="en-US"/>
        </w:rPr>
        <w:t>Ms</w:t>
      </w:r>
      <w:proofErr w:type="spellEnd"/>
      <w:r w:rsidR="00EA00E5">
        <w:rPr>
          <w:lang w:val="en-US"/>
        </w:rPr>
        <w:t xml:space="preserve"> Ram adopted the position that the evidence of her resignation has no legal effect and should have no bearing on the main issues for the court to determine.</w:t>
      </w:r>
      <w:r w:rsidR="00B86D27">
        <w:rPr>
          <w:lang w:val="en-US"/>
        </w:rPr>
        <w:t xml:space="preserve"> </w:t>
      </w:r>
    </w:p>
    <w:p w:rsidR="00DD680A" w:rsidRDefault="001A42E5" w:rsidP="001A42E5">
      <w:pPr>
        <w:pStyle w:val="level1"/>
        <w:numPr>
          <w:ilvl w:val="0"/>
          <w:numId w:val="0"/>
        </w:numPr>
        <w:spacing w:after="480" w:line="360" w:lineRule="auto"/>
        <w:jc w:val="both"/>
        <w:rPr>
          <w:lang w:val="en-US"/>
        </w:rPr>
      </w:pPr>
      <w:r>
        <w:rPr>
          <w:lang w:val="en-US"/>
        </w:rPr>
        <w:t>[100]</w:t>
      </w:r>
      <w:r>
        <w:rPr>
          <w:lang w:val="en-US"/>
        </w:rPr>
        <w:tab/>
      </w:r>
      <w:r w:rsidR="007909D3" w:rsidRPr="00CC68F4">
        <w:rPr>
          <w:lang w:val="en-US"/>
        </w:rPr>
        <w:t>Ultimately, t</w:t>
      </w:r>
      <w:r w:rsidR="00DD680A" w:rsidRPr="00CC68F4">
        <w:rPr>
          <w:lang w:val="en-US"/>
        </w:rPr>
        <w:t>he</w:t>
      </w:r>
      <w:r w:rsidR="007909D3" w:rsidRPr="00CC68F4">
        <w:rPr>
          <w:lang w:val="en-US"/>
        </w:rPr>
        <w:t xml:space="preserve"> parties</w:t>
      </w:r>
      <w:r w:rsidR="00DD680A" w:rsidRPr="00CC68F4">
        <w:rPr>
          <w:lang w:val="en-US"/>
        </w:rPr>
        <w:t xml:space="preserve"> were in agreement that </w:t>
      </w:r>
      <w:proofErr w:type="spellStart"/>
      <w:r w:rsidR="007909D3" w:rsidRPr="00CC68F4">
        <w:rPr>
          <w:lang w:val="en-US"/>
        </w:rPr>
        <w:t>Ms</w:t>
      </w:r>
      <w:proofErr w:type="spellEnd"/>
      <w:r w:rsidR="007909D3" w:rsidRPr="00CC68F4">
        <w:rPr>
          <w:lang w:val="en-US"/>
        </w:rPr>
        <w:t xml:space="preserve"> Ram’s</w:t>
      </w:r>
      <w:r w:rsidR="00DD680A" w:rsidRPr="00CC68F4">
        <w:rPr>
          <w:lang w:val="en-US"/>
        </w:rPr>
        <w:t xml:space="preserve"> purported resignation was irregular</w:t>
      </w:r>
      <w:r w:rsidR="0093491B">
        <w:rPr>
          <w:lang w:val="en-US"/>
        </w:rPr>
        <w:t xml:space="preserve"> as she had been appointed in terms of a court order</w:t>
      </w:r>
      <w:r w:rsidR="00DD680A" w:rsidRPr="00CC68F4">
        <w:rPr>
          <w:lang w:val="en-US"/>
        </w:rPr>
        <w:t xml:space="preserve">, a position </w:t>
      </w:r>
      <w:proofErr w:type="spellStart"/>
      <w:r w:rsidR="00DD680A" w:rsidRPr="00CC68F4">
        <w:rPr>
          <w:lang w:val="en-US"/>
        </w:rPr>
        <w:t>Ms</w:t>
      </w:r>
      <w:proofErr w:type="spellEnd"/>
      <w:r w:rsidR="00DD680A" w:rsidRPr="00CC68F4">
        <w:rPr>
          <w:lang w:val="en-US"/>
        </w:rPr>
        <w:t xml:space="preserve"> Ram herself </w:t>
      </w:r>
      <w:r w:rsidR="00DD680A" w:rsidRPr="00CC68F4">
        <w:rPr>
          <w:lang w:val="en-US"/>
        </w:rPr>
        <w:lastRenderedPageBreak/>
        <w:t>belatedly accepted.</w:t>
      </w:r>
      <w:r w:rsidR="007909D3" w:rsidRPr="00CC68F4">
        <w:rPr>
          <w:lang w:val="en-US"/>
        </w:rPr>
        <w:t xml:space="preserve"> Her letter of resignation </w:t>
      </w:r>
      <w:r w:rsidR="0093491B">
        <w:rPr>
          <w:lang w:val="en-US"/>
        </w:rPr>
        <w:t xml:space="preserve">however </w:t>
      </w:r>
      <w:r w:rsidR="007909D3" w:rsidRPr="00CC68F4">
        <w:rPr>
          <w:lang w:val="en-US"/>
        </w:rPr>
        <w:t xml:space="preserve">did not reflect </w:t>
      </w:r>
      <w:r w:rsidR="00574907">
        <w:rPr>
          <w:lang w:val="en-US"/>
        </w:rPr>
        <w:t>that she</w:t>
      </w:r>
      <w:r w:rsidR="007909D3" w:rsidRPr="00CC68F4">
        <w:rPr>
          <w:lang w:val="en-US"/>
        </w:rPr>
        <w:t xml:space="preserve"> appreciat</w:t>
      </w:r>
      <w:r w:rsidR="00574907">
        <w:rPr>
          <w:lang w:val="en-US"/>
        </w:rPr>
        <w:t>ed that at the time</w:t>
      </w:r>
      <w:r w:rsidR="00017C4F">
        <w:rPr>
          <w:lang w:val="en-US"/>
        </w:rPr>
        <w:t>.</w:t>
      </w:r>
      <w:r w:rsidR="0093491B">
        <w:rPr>
          <w:rStyle w:val="FootnoteReference"/>
          <w:lang w:val="en-US"/>
        </w:rPr>
        <w:footnoteReference w:id="36"/>
      </w:r>
    </w:p>
    <w:p w:rsidR="006C1A01" w:rsidRDefault="001A42E5" w:rsidP="001A42E5">
      <w:pPr>
        <w:pStyle w:val="level1"/>
        <w:numPr>
          <w:ilvl w:val="0"/>
          <w:numId w:val="0"/>
        </w:numPr>
        <w:spacing w:after="480" w:line="360" w:lineRule="auto"/>
        <w:jc w:val="both"/>
        <w:rPr>
          <w:lang w:val="en-US"/>
        </w:rPr>
      </w:pPr>
      <w:r>
        <w:rPr>
          <w:lang w:val="en-US"/>
        </w:rPr>
        <w:t>[101]</w:t>
      </w:r>
      <w:r>
        <w:rPr>
          <w:lang w:val="en-US"/>
        </w:rPr>
        <w:tab/>
      </w:r>
      <w:proofErr w:type="gramStart"/>
      <w:r w:rsidR="00B86D27">
        <w:rPr>
          <w:lang w:val="en-US"/>
        </w:rPr>
        <w:t>The</w:t>
      </w:r>
      <w:proofErr w:type="gramEnd"/>
      <w:r w:rsidR="00B86D27">
        <w:rPr>
          <w:lang w:val="en-US"/>
        </w:rPr>
        <w:t xml:space="preserve"> stance adopted by </w:t>
      </w:r>
      <w:proofErr w:type="spellStart"/>
      <w:r w:rsidR="00B86D27">
        <w:rPr>
          <w:lang w:val="en-US"/>
        </w:rPr>
        <w:t>Ms</w:t>
      </w:r>
      <w:proofErr w:type="spellEnd"/>
      <w:r w:rsidR="00B86D27">
        <w:rPr>
          <w:lang w:val="en-US"/>
        </w:rPr>
        <w:t xml:space="preserve"> Ram is misconceived</w:t>
      </w:r>
      <w:r w:rsidR="0093491B">
        <w:rPr>
          <w:lang w:val="en-US"/>
        </w:rPr>
        <w:t>, given her obligations under the provisional curatorship order.</w:t>
      </w:r>
      <w:r w:rsidR="00B86D27">
        <w:rPr>
          <w:lang w:val="en-US"/>
        </w:rPr>
        <w:t xml:space="preserve"> Curiously, </w:t>
      </w:r>
      <w:proofErr w:type="spellStart"/>
      <w:r w:rsidR="0093491B">
        <w:rPr>
          <w:lang w:val="en-US"/>
        </w:rPr>
        <w:t>Ms</w:t>
      </w:r>
      <w:proofErr w:type="spellEnd"/>
      <w:r w:rsidR="0093491B">
        <w:rPr>
          <w:lang w:val="en-US"/>
        </w:rPr>
        <w:t xml:space="preserve"> Ram did not advance any</w:t>
      </w:r>
      <w:r w:rsidR="00B86D27">
        <w:rPr>
          <w:lang w:val="en-US"/>
        </w:rPr>
        <w:t xml:space="preserve"> reasons</w:t>
      </w:r>
      <w:r w:rsidR="0093491B">
        <w:rPr>
          <w:lang w:val="en-US"/>
        </w:rPr>
        <w:t xml:space="preserve"> why</w:t>
      </w:r>
      <w:r w:rsidR="00B86D27">
        <w:rPr>
          <w:lang w:val="en-US"/>
        </w:rPr>
        <w:t xml:space="preserve"> she did not herself launch proceedings for her re</w:t>
      </w:r>
      <w:r w:rsidR="00944E2C">
        <w:rPr>
          <w:lang w:val="en-US"/>
        </w:rPr>
        <w:t>lease as curator</w:t>
      </w:r>
      <w:r w:rsidR="00B86D27">
        <w:rPr>
          <w:lang w:val="en-US"/>
        </w:rPr>
        <w:t xml:space="preserve"> or at least advise the court of her purported resignation</w:t>
      </w:r>
      <w:r w:rsidR="0093491B">
        <w:rPr>
          <w:lang w:val="en-US"/>
        </w:rPr>
        <w:t xml:space="preserve"> at the time as it clearly has a bearing on the relief sought in th</w:t>
      </w:r>
      <w:r w:rsidR="00944E2C">
        <w:rPr>
          <w:lang w:val="en-US"/>
        </w:rPr>
        <w:t>is</w:t>
      </w:r>
      <w:r w:rsidR="0093491B">
        <w:rPr>
          <w:lang w:val="en-US"/>
        </w:rPr>
        <w:t xml:space="preserve"> application</w:t>
      </w:r>
      <w:r w:rsidR="00B86D27">
        <w:rPr>
          <w:lang w:val="en-US"/>
        </w:rPr>
        <w:t xml:space="preserve">. </w:t>
      </w:r>
    </w:p>
    <w:p w:rsidR="006C1A01" w:rsidRPr="006C1A01" w:rsidRDefault="001A42E5" w:rsidP="001A42E5">
      <w:pPr>
        <w:pStyle w:val="level1"/>
        <w:numPr>
          <w:ilvl w:val="0"/>
          <w:numId w:val="0"/>
        </w:numPr>
        <w:spacing w:after="480" w:line="360" w:lineRule="auto"/>
        <w:jc w:val="both"/>
        <w:rPr>
          <w:lang w:val="en-US"/>
        </w:rPr>
      </w:pPr>
      <w:r>
        <w:rPr>
          <w:lang w:val="en-US"/>
        </w:rPr>
        <w:t>[102]</w:t>
      </w:r>
      <w:r>
        <w:rPr>
          <w:lang w:val="en-US"/>
        </w:rPr>
        <w:tab/>
      </w:r>
      <w:proofErr w:type="spellStart"/>
      <w:r w:rsidR="00B86D27" w:rsidRPr="006C1A01">
        <w:rPr>
          <w:lang w:val="en-US"/>
        </w:rPr>
        <w:t>Ms</w:t>
      </w:r>
      <w:proofErr w:type="spellEnd"/>
      <w:r w:rsidR="00B86D27" w:rsidRPr="006C1A01">
        <w:rPr>
          <w:lang w:val="en-US"/>
        </w:rPr>
        <w:t xml:space="preserve"> Ram’s statement that she </w:t>
      </w:r>
      <w:r w:rsidR="00B86D27" w:rsidRPr="006C1A01">
        <w:rPr>
          <w:i/>
          <w:lang w:val="en-US"/>
        </w:rPr>
        <w:t>“is substantially complying with her fiduciary obligations as curator”</w:t>
      </w:r>
      <w:r w:rsidR="00B86D27" w:rsidRPr="006C1A01">
        <w:rPr>
          <w:lang w:val="en-US"/>
        </w:rPr>
        <w:t xml:space="preserve"> is the subject matter of substantial disputes of fact between her and the Authority, </w:t>
      </w:r>
      <w:r w:rsidR="006C1A01" w:rsidRPr="006C1A01">
        <w:rPr>
          <w:lang w:val="en-US"/>
        </w:rPr>
        <w:t>each of which blame the other of being obstructive.</w:t>
      </w:r>
      <w:r w:rsidR="006C1A01">
        <w:rPr>
          <w:lang w:val="en-US"/>
        </w:rPr>
        <w:t xml:space="preserve"> It is not necessary or possible to resolve </w:t>
      </w:r>
      <w:r w:rsidR="00AB7AB1">
        <w:rPr>
          <w:lang w:val="en-US"/>
        </w:rPr>
        <w:t xml:space="preserve">all </w:t>
      </w:r>
      <w:r w:rsidR="006C1A01">
        <w:rPr>
          <w:lang w:val="en-US"/>
        </w:rPr>
        <w:t xml:space="preserve">these factual disputes on the papers. Suffice it to state that </w:t>
      </w:r>
      <w:r w:rsidR="00944E2C">
        <w:rPr>
          <w:lang w:val="en-US"/>
        </w:rPr>
        <w:t xml:space="preserve">it is clear from the undisputed facts that there is a breakdown in reporting and communication pertaining to 3Sixty between the Authority and </w:t>
      </w:r>
      <w:proofErr w:type="spellStart"/>
      <w:r w:rsidR="00944E2C">
        <w:rPr>
          <w:lang w:val="en-US"/>
        </w:rPr>
        <w:t>Ms</w:t>
      </w:r>
      <w:proofErr w:type="spellEnd"/>
      <w:r w:rsidR="00944E2C">
        <w:rPr>
          <w:lang w:val="en-US"/>
        </w:rPr>
        <w:t xml:space="preserve"> Ram and between </w:t>
      </w:r>
      <w:proofErr w:type="spellStart"/>
      <w:r w:rsidR="00944E2C">
        <w:rPr>
          <w:lang w:val="en-US"/>
        </w:rPr>
        <w:t>Ms</w:t>
      </w:r>
      <w:proofErr w:type="spellEnd"/>
      <w:r w:rsidR="00944E2C">
        <w:rPr>
          <w:lang w:val="en-US"/>
        </w:rPr>
        <w:t xml:space="preserve"> Ram and BDO. Such a state of affairs is untenable.</w:t>
      </w:r>
    </w:p>
    <w:p w:rsidR="004E2E29" w:rsidRPr="004E2E29" w:rsidRDefault="001A42E5" w:rsidP="001A42E5">
      <w:pPr>
        <w:pStyle w:val="level1"/>
        <w:numPr>
          <w:ilvl w:val="0"/>
          <w:numId w:val="0"/>
        </w:numPr>
        <w:spacing w:after="480" w:line="360" w:lineRule="auto"/>
        <w:jc w:val="both"/>
        <w:rPr>
          <w:lang w:val="en-US"/>
        </w:rPr>
      </w:pPr>
      <w:r>
        <w:rPr>
          <w:lang w:val="en-US"/>
        </w:rPr>
        <w:t>[103]</w:t>
      </w:r>
      <w:r>
        <w:rPr>
          <w:lang w:val="en-US"/>
        </w:rPr>
        <w:tab/>
      </w:r>
      <w:proofErr w:type="gramStart"/>
      <w:r w:rsidR="004E2E29" w:rsidRPr="004E2E29">
        <w:rPr>
          <w:lang w:val="en-US"/>
        </w:rPr>
        <w:t>The</w:t>
      </w:r>
      <w:proofErr w:type="gramEnd"/>
      <w:r w:rsidR="004E2E29" w:rsidRPr="004E2E29">
        <w:rPr>
          <w:lang w:val="en-US"/>
        </w:rPr>
        <w:t xml:space="preserve"> approach adopted by the Prudential Authority, by simply abiding the court’s decision in the face of its unsuccessful urgent application, is flawed. On the other hand, the approach adopted by 3Sixty is opportunistic, technical and places form over substance. The true question is not whether </w:t>
      </w:r>
      <w:proofErr w:type="spellStart"/>
      <w:r w:rsidR="004E2E29" w:rsidRPr="004E2E29">
        <w:rPr>
          <w:lang w:val="en-US"/>
        </w:rPr>
        <w:t>Ms</w:t>
      </w:r>
      <w:proofErr w:type="spellEnd"/>
      <w:r w:rsidR="004E2E29" w:rsidRPr="004E2E29">
        <w:rPr>
          <w:lang w:val="en-US"/>
        </w:rPr>
        <w:t xml:space="preserve"> Ram must be removed as provisional curator, rather it is whether </w:t>
      </w:r>
      <w:proofErr w:type="spellStart"/>
      <w:r w:rsidR="004E2E29" w:rsidRPr="004E2E29">
        <w:rPr>
          <w:lang w:val="en-US"/>
        </w:rPr>
        <w:t>Ms</w:t>
      </w:r>
      <w:proofErr w:type="spellEnd"/>
      <w:r w:rsidR="004E2E29" w:rsidRPr="004E2E29">
        <w:rPr>
          <w:lang w:val="en-US"/>
        </w:rPr>
        <w:t xml:space="preserve"> Ram</w:t>
      </w:r>
      <w:r w:rsidR="004E2E29">
        <w:rPr>
          <w:lang w:val="en-US"/>
        </w:rPr>
        <w:t>’s appointment must be confirmed and she</w:t>
      </w:r>
      <w:r w:rsidR="004E2E29" w:rsidRPr="004E2E29">
        <w:rPr>
          <w:lang w:val="en-US"/>
        </w:rPr>
        <w:t xml:space="preserve"> must be appointed as final curator.</w:t>
      </w:r>
    </w:p>
    <w:p w:rsidR="0093491B" w:rsidRDefault="001A42E5" w:rsidP="001A42E5">
      <w:pPr>
        <w:pStyle w:val="level1"/>
        <w:numPr>
          <w:ilvl w:val="0"/>
          <w:numId w:val="0"/>
        </w:numPr>
        <w:spacing w:after="480" w:line="360" w:lineRule="auto"/>
        <w:jc w:val="both"/>
        <w:rPr>
          <w:lang w:val="en-US"/>
        </w:rPr>
      </w:pPr>
      <w:r>
        <w:rPr>
          <w:lang w:val="en-US"/>
        </w:rPr>
        <w:lastRenderedPageBreak/>
        <w:t>[104]</w:t>
      </w:r>
      <w:r>
        <w:rPr>
          <w:lang w:val="en-US"/>
        </w:rPr>
        <w:tab/>
      </w:r>
      <w:proofErr w:type="spellStart"/>
      <w:r w:rsidR="0044058F">
        <w:rPr>
          <w:lang w:val="en-US"/>
        </w:rPr>
        <w:t>Ms</w:t>
      </w:r>
      <w:proofErr w:type="spellEnd"/>
      <w:r w:rsidR="0044058F">
        <w:rPr>
          <w:lang w:val="en-US"/>
        </w:rPr>
        <w:t xml:space="preserve"> Ram’s unwillingness to continue acting as curator in my view of itself renders it undesirable for her to be confirmed as curator as it would force her to remain in that position against her will, a concept difficult to reconcile with our constitutional values</w:t>
      </w:r>
      <w:r w:rsidR="00017C4F">
        <w:rPr>
          <w:lang w:val="en-US"/>
        </w:rPr>
        <w:t>.</w:t>
      </w:r>
      <w:r w:rsidR="0044058F">
        <w:rPr>
          <w:rStyle w:val="FootnoteReference"/>
          <w:lang w:val="en-US"/>
        </w:rPr>
        <w:footnoteReference w:id="37"/>
      </w:r>
      <w:r w:rsidR="0044058F">
        <w:rPr>
          <w:lang w:val="en-US"/>
        </w:rPr>
        <w:t xml:space="preserve"> </w:t>
      </w:r>
    </w:p>
    <w:p w:rsidR="00E51AC8" w:rsidRDefault="001A42E5" w:rsidP="001A42E5">
      <w:pPr>
        <w:pStyle w:val="level1"/>
        <w:numPr>
          <w:ilvl w:val="0"/>
          <w:numId w:val="0"/>
        </w:numPr>
        <w:spacing w:after="480" w:line="360" w:lineRule="auto"/>
        <w:jc w:val="both"/>
        <w:rPr>
          <w:lang w:val="en-US"/>
        </w:rPr>
      </w:pPr>
      <w:r>
        <w:rPr>
          <w:lang w:val="en-US"/>
        </w:rPr>
        <w:t>[105]</w:t>
      </w:r>
      <w:r>
        <w:rPr>
          <w:lang w:val="en-US"/>
        </w:rPr>
        <w:tab/>
      </w:r>
      <w:r w:rsidR="00245DA5">
        <w:rPr>
          <w:lang w:val="en-US"/>
        </w:rPr>
        <w:t xml:space="preserve">Considering </w:t>
      </w:r>
      <w:proofErr w:type="spellStart"/>
      <w:r w:rsidR="00245DA5">
        <w:rPr>
          <w:lang w:val="en-US"/>
        </w:rPr>
        <w:t>Ms</w:t>
      </w:r>
      <w:proofErr w:type="spellEnd"/>
      <w:r w:rsidR="00245DA5">
        <w:rPr>
          <w:lang w:val="en-US"/>
        </w:rPr>
        <w:t xml:space="preserve"> Ram’s conduct in relation to this matter and the level of hostility which currently prevails between her and the Authority </w:t>
      </w:r>
      <w:r w:rsidR="00FE2B0C">
        <w:rPr>
          <w:lang w:val="en-US"/>
        </w:rPr>
        <w:t>i</w:t>
      </w:r>
      <w:r w:rsidR="00245DA5">
        <w:rPr>
          <w:lang w:val="en-US"/>
        </w:rPr>
        <w:t>t</w:t>
      </w:r>
      <w:r w:rsidR="00FE2B0C">
        <w:rPr>
          <w:lang w:val="en-US"/>
        </w:rPr>
        <w:t xml:space="preserve"> would not be in the interests of the policy holders of 3Sixty i</w:t>
      </w:r>
      <w:r w:rsidR="00AB7AB1">
        <w:rPr>
          <w:lang w:val="en-US"/>
        </w:rPr>
        <w:t>f</w:t>
      </w:r>
      <w:r w:rsidR="00FE2B0C">
        <w:rPr>
          <w:lang w:val="en-US"/>
        </w:rPr>
        <w:t xml:space="preserve"> her appointment as curator is confirmed. Her conduct can best be described as </w:t>
      </w:r>
      <w:r w:rsidR="00CC6A61">
        <w:rPr>
          <w:lang w:val="en-US"/>
        </w:rPr>
        <w:t xml:space="preserve">prejudicial, </w:t>
      </w:r>
      <w:r w:rsidR="00AB7AB1">
        <w:rPr>
          <w:lang w:val="en-US"/>
        </w:rPr>
        <w:t xml:space="preserve">belligerent and </w:t>
      </w:r>
      <w:r w:rsidR="00FE2B0C">
        <w:rPr>
          <w:lang w:val="en-US"/>
        </w:rPr>
        <w:t>erratic</w:t>
      </w:r>
      <w:r w:rsidR="00AB7AB1">
        <w:rPr>
          <w:lang w:val="en-US"/>
        </w:rPr>
        <w:t>. I</w:t>
      </w:r>
      <w:r w:rsidR="0044058F">
        <w:rPr>
          <w:lang w:val="en-US"/>
        </w:rPr>
        <w:t xml:space="preserve">t appears that </w:t>
      </w:r>
      <w:r w:rsidR="0093491B">
        <w:rPr>
          <w:lang w:val="en-US"/>
        </w:rPr>
        <w:t xml:space="preserve">in numerous respects, </w:t>
      </w:r>
      <w:proofErr w:type="spellStart"/>
      <w:r w:rsidR="0093491B">
        <w:rPr>
          <w:lang w:val="en-US"/>
        </w:rPr>
        <w:t>Ms</w:t>
      </w:r>
      <w:proofErr w:type="spellEnd"/>
      <w:r w:rsidR="0093491B">
        <w:rPr>
          <w:lang w:val="en-US"/>
        </w:rPr>
        <w:t xml:space="preserve"> Ram</w:t>
      </w:r>
      <w:r w:rsidR="00FE2B0C">
        <w:rPr>
          <w:lang w:val="en-US"/>
        </w:rPr>
        <w:t xml:space="preserve"> has acted in her own interests, rather than in the interests of the policy holders of 3 Sixty</w:t>
      </w:r>
      <w:r w:rsidR="00CC6A61">
        <w:rPr>
          <w:lang w:val="en-US"/>
        </w:rPr>
        <w:t xml:space="preserve"> in this litigation</w:t>
      </w:r>
      <w:r w:rsidR="00FE2B0C">
        <w:rPr>
          <w:lang w:val="en-US"/>
        </w:rPr>
        <w:t xml:space="preserve">. </w:t>
      </w:r>
    </w:p>
    <w:p w:rsidR="00245DA5" w:rsidRDefault="001A42E5" w:rsidP="001A42E5">
      <w:pPr>
        <w:pStyle w:val="level1"/>
        <w:numPr>
          <w:ilvl w:val="0"/>
          <w:numId w:val="0"/>
        </w:numPr>
        <w:spacing w:after="480" w:line="360" w:lineRule="auto"/>
        <w:jc w:val="both"/>
        <w:rPr>
          <w:lang w:val="en-US"/>
        </w:rPr>
      </w:pPr>
      <w:r>
        <w:rPr>
          <w:lang w:val="en-US"/>
        </w:rPr>
        <w:t>[106]</w:t>
      </w:r>
      <w:r>
        <w:rPr>
          <w:lang w:val="en-US"/>
        </w:rPr>
        <w:tab/>
      </w:r>
      <w:r w:rsidR="0093491B">
        <w:rPr>
          <w:lang w:val="en-US"/>
        </w:rPr>
        <w:t xml:space="preserve">In </w:t>
      </w:r>
      <w:proofErr w:type="spellStart"/>
      <w:r w:rsidR="0093491B">
        <w:rPr>
          <w:lang w:val="en-US"/>
        </w:rPr>
        <w:t>Ms</w:t>
      </w:r>
      <w:proofErr w:type="spellEnd"/>
      <w:r w:rsidR="0093491B">
        <w:rPr>
          <w:lang w:val="en-US"/>
        </w:rPr>
        <w:t xml:space="preserve"> Ram’s reports and affidavits, she has not provided a cogent factual basis or</w:t>
      </w:r>
      <w:r w:rsidR="00FE2B0C">
        <w:rPr>
          <w:lang w:val="en-US"/>
        </w:rPr>
        <w:t xml:space="preserve"> proper </w:t>
      </w:r>
      <w:r w:rsidR="00E51AC8">
        <w:rPr>
          <w:lang w:val="en-US"/>
        </w:rPr>
        <w:t xml:space="preserve">logical </w:t>
      </w:r>
      <w:r w:rsidR="00FE2B0C">
        <w:rPr>
          <w:lang w:val="en-US"/>
        </w:rPr>
        <w:t xml:space="preserve">motivation for her views or her fluctuating opinions. Considering all the facts, it is not desirable that </w:t>
      </w:r>
      <w:proofErr w:type="spellStart"/>
      <w:r w:rsidR="00FE2B0C">
        <w:rPr>
          <w:lang w:val="en-US"/>
        </w:rPr>
        <w:t>Ms</w:t>
      </w:r>
      <w:proofErr w:type="spellEnd"/>
      <w:r w:rsidR="00FE2B0C">
        <w:rPr>
          <w:lang w:val="en-US"/>
        </w:rPr>
        <w:t xml:space="preserve"> Ram’s appointment as curator be confirmed. </w:t>
      </w:r>
    </w:p>
    <w:p w:rsidR="00245DA5" w:rsidRDefault="001A42E5" w:rsidP="001A42E5">
      <w:pPr>
        <w:pStyle w:val="level1"/>
        <w:numPr>
          <w:ilvl w:val="0"/>
          <w:numId w:val="0"/>
        </w:numPr>
        <w:spacing w:after="480" w:line="360" w:lineRule="auto"/>
        <w:jc w:val="both"/>
        <w:rPr>
          <w:lang w:val="en-US"/>
        </w:rPr>
      </w:pPr>
      <w:r>
        <w:rPr>
          <w:lang w:val="en-US"/>
        </w:rPr>
        <w:t>[107]</w:t>
      </w:r>
      <w:r>
        <w:rPr>
          <w:lang w:val="en-US"/>
        </w:rPr>
        <w:tab/>
      </w:r>
      <w:proofErr w:type="gramStart"/>
      <w:r w:rsidR="00245DA5">
        <w:rPr>
          <w:lang w:val="en-US"/>
        </w:rPr>
        <w:t>A</w:t>
      </w:r>
      <w:proofErr w:type="gramEnd"/>
      <w:r w:rsidR="00245DA5">
        <w:rPr>
          <w:lang w:val="en-US"/>
        </w:rPr>
        <w:t xml:space="preserve"> court cannot simply confirm the curatorship order </w:t>
      </w:r>
      <w:r w:rsidR="0044058F">
        <w:rPr>
          <w:lang w:val="en-US"/>
        </w:rPr>
        <w:t>without appointing a curator, thereby leaving the curatorship to</w:t>
      </w:r>
      <w:r w:rsidR="00245DA5">
        <w:rPr>
          <w:lang w:val="en-US"/>
        </w:rPr>
        <w:t xml:space="preserve"> limp on rudderless. </w:t>
      </w:r>
      <w:r w:rsidR="00E51AC8">
        <w:rPr>
          <w:lang w:val="en-US"/>
        </w:rPr>
        <w:t>Such an order would not comply with section 5 of the FI Act.</w:t>
      </w:r>
      <w:r w:rsidR="00245DA5">
        <w:rPr>
          <w:lang w:val="en-US"/>
        </w:rPr>
        <w:t xml:space="preserve"> A court has wide powers under s</w:t>
      </w:r>
      <w:r w:rsidR="00574907">
        <w:rPr>
          <w:lang w:val="en-US"/>
        </w:rPr>
        <w:t xml:space="preserve">ection </w:t>
      </w:r>
      <w:r w:rsidR="00245DA5">
        <w:rPr>
          <w:lang w:val="en-US"/>
        </w:rPr>
        <w:t>5(5</w:t>
      </w:r>
      <w:proofErr w:type="gramStart"/>
      <w:r w:rsidR="00245DA5">
        <w:rPr>
          <w:lang w:val="en-US"/>
        </w:rPr>
        <w:t>)(</w:t>
      </w:r>
      <w:proofErr w:type="gramEnd"/>
      <w:r w:rsidR="00245DA5">
        <w:rPr>
          <w:lang w:val="en-US"/>
        </w:rPr>
        <w:t>f) of the FI Act</w:t>
      </w:r>
      <w:r w:rsidR="00E51AC8">
        <w:rPr>
          <w:lang w:val="en-US"/>
        </w:rPr>
        <w:t>, which</w:t>
      </w:r>
      <w:r w:rsidR="00245DA5">
        <w:rPr>
          <w:lang w:val="en-US"/>
        </w:rPr>
        <w:t xml:space="preserve"> provides:</w:t>
      </w:r>
    </w:p>
    <w:p w:rsidR="00245DA5" w:rsidRPr="00D27220" w:rsidRDefault="0044058F" w:rsidP="00245DA5">
      <w:pPr>
        <w:pStyle w:val="level1"/>
        <w:numPr>
          <w:ilvl w:val="0"/>
          <w:numId w:val="0"/>
        </w:numPr>
        <w:spacing w:after="480"/>
        <w:ind w:left="720"/>
        <w:jc w:val="both"/>
        <w:rPr>
          <w:i/>
          <w:sz w:val="20"/>
          <w:szCs w:val="20"/>
          <w:lang w:val="en-US"/>
        </w:rPr>
      </w:pPr>
      <w:r>
        <w:rPr>
          <w:i/>
          <w:sz w:val="20"/>
          <w:szCs w:val="20"/>
          <w:lang w:val="en-US"/>
        </w:rPr>
        <w:t>“</w:t>
      </w:r>
      <w:r w:rsidR="00245DA5" w:rsidRPr="00D27220">
        <w:rPr>
          <w:i/>
          <w:sz w:val="20"/>
          <w:szCs w:val="20"/>
          <w:lang w:val="en-US"/>
        </w:rPr>
        <w:t>The court may, for the purpose of a provisional appointment in terms of subsection (2)(a) or a final appointment in terms of subsection (4) make an order with regard to-</w:t>
      </w:r>
      <w:r w:rsidR="00CC6A61">
        <w:rPr>
          <w:i/>
          <w:sz w:val="20"/>
          <w:szCs w:val="20"/>
          <w:lang w:val="en-US"/>
        </w:rPr>
        <w:t>…</w:t>
      </w:r>
      <w:r w:rsidR="00245DA5" w:rsidRPr="00D27220">
        <w:rPr>
          <w:i/>
          <w:sz w:val="20"/>
          <w:szCs w:val="20"/>
          <w:lang w:val="en-US"/>
        </w:rPr>
        <w:t>(f) any other matter which the court deems necessary</w:t>
      </w:r>
      <w:r>
        <w:rPr>
          <w:i/>
          <w:sz w:val="20"/>
          <w:szCs w:val="20"/>
          <w:lang w:val="en-US"/>
        </w:rPr>
        <w:t>”.</w:t>
      </w:r>
      <w:r w:rsidR="00245DA5" w:rsidRPr="00D27220">
        <w:rPr>
          <w:i/>
          <w:sz w:val="20"/>
          <w:szCs w:val="20"/>
          <w:lang w:val="en-US"/>
        </w:rPr>
        <w:t xml:space="preserve"> </w:t>
      </w:r>
    </w:p>
    <w:p w:rsidR="0044058F" w:rsidRDefault="001A42E5" w:rsidP="001A42E5">
      <w:pPr>
        <w:pStyle w:val="level1"/>
        <w:numPr>
          <w:ilvl w:val="0"/>
          <w:numId w:val="0"/>
        </w:numPr>
        <w:spacing w:after="480" w:line="360" w:lineRule="auto"/>
        <w:jc w:val="both"/>
        <w:rPr>
          <w:lang w:val="en-US"/>
        </w:rPr>
      </w:pPr>
      <w:r>
        <w:rPr>
          <w:lang w:val="en-US"/>
        </w:rPr>
        <w:t>[108]</w:t>
      </w:r>
      <w:r>
        <w:rPr>
          <w:lang w:val="en-US"/>
        </w:rPr>
        <w:tab/>
      </w:r>
      <w:proofErr w:type="gramStart"/>
      <w:r w:rsidR="0044058F">
        <w:rPr>
          <w:lang w:val="en-US"/>
        </w:rPr>
        <w:t>I</w:t>
      </w:r>
      <w:r w:rsidR="006D2034">
        <w:rPr>
          <w:lang w:val="en-US"/>
        </w:rPr>
        <w:t>t</w:t>
      </w:r>
      <w:proofErr w:type="gramEnd"/>
      <w:r w:rsidR="006D2034">
        <w:rPr>
          <w:lang w:val="en-US"/>
        </w:rPr>
        <w:t xml:space="preserve"> is in my view n</w:t>
      </w:r>
      <w:r w:rsidR="0044058F">
        <w:rPr>
          <w:lang w:val="en-US"/>
        </w:rPr>
        <w:t xml:space="preserve">ecessary to </w:t>
      </w:r>
      <w:r w:rsidR="00E51AC8">
        <w:rPr>
          <w:lang w:val="en-US"/>
        </w:rPr>
        <w:t xml:space="preserve">make an order </w:t>
      </w:r>
      <w:r w:rsidR="0044058F">
        <w:rPr>
          <w:lang w:val="en-US"/>
        </w:rPr>
        <w:t>appoint</w:t>
      </w:r>
      <w:r w:rsidR="00E51AC8">
        <w:rPr>
          <w:lang w:val="en-US"/>
        </w:rPr>
        <w:t>ing</w:t>
      </w:r>
      <w:r w:rsidR="0044058F">
        <w:rPr>
          <w:lang w:val="en-US"/>
        </w:rPr>
        <w:t xml:space="preserve"> a curator other than </w:t>
      </w:r>
      <w:proofErr w:type="spellStart"/>
      <w:r w:rsidR="0044058F">
        <w:rPr>
          <w:lang w:val="en-US"/>
        </w:rPr>
        <w:t>Ms</w:t>
      </w:r>
      <w:proofErr w:type="spellEnd"/>
      <w:r w:rsidR="0044058F">
        <w:rPr>
          <w:lang w:val="en-US"/>
        </w:rPr>
        <w:t xml:space="preserve"> Ram.</w:t>
      </w:r>
      <w:r w:rsidR="00585571">
        <w:rPr>
          <w:lang w:val="en-US"/>
        </w:rPr>
        <w:t xml:space="preserve"> Section 5(5</w:t>
      </w:r>
      <w:proofErr w:type="gramStart"/>
      <w:r w:rsidR="00585571">
        <w:rPr>
          <w:lang w:val="en-US"/>
        </w:rPr>
        <w:t>)(</w:t>
      </w:r>
      <w:proofErr w:type="gramEnd"/>
      <w:r w:rsidR="00585571">
        <w:rPr>
          <w:lang w:val="en-US"/>
        </w:rPr>
        <w:t>f) of the FI Act entitles me to make such an order.</w:t>
      </w:r>
    </w:p>
    <w:p w:rsidR="00814E95" w:rsidRDefault="001A42E5" w:rsidP="001A42E5">
      <w:pPr>
        <w:pStyle w:val="level1"/>
        <w:numPr>
          <w:ilvl w:val="0"/>
          <w:numId w:val="0"/>
        </w:numPr>
        <w:spacing w:after="480" w:line="360" w:lineRule="auto"/>
        <w:jc w:val="both"/>
        <w:rPr>
          <w:lang w:val="en-US"/>
        </w:rPr>
      </w:pPr>
      <w:r>
        <w:rPr>
          <w:lang w:val="en-US"/>
        </w:rPr>
        <w:t>[109]</w:t>
      </w:r>
      <w:r>
        <w:rPr>
          <w:lang w:val="en-US"/>
        </w:rPr>
        <w:tab/>
      </w:r>
      <w:r w:rsidR="00814E95">
        <w:rPr>
          <w:lang w:val="en-US"/>
        </w:rPr>
        <w:t xml:space="preserve">3Sixty did not suggest an alternative candidate </w:t>
      </w:r>
      <w:r w:rsidR="00E51AC8">
        <w:rPr>
          <w:lang w:val="en-US"/>
        </w:rPr>
        <w:t xml:space="preserve">for appointment </w:t>
      </w:r>
      <w:r w:rsidR="00814E95">
        <w:rPr>
          <w:lang w:val="en-US"/>
        </w:rPr>
        <w:t>as curator</w:t>
      </w:r>
      <w:r w:rsidR="00E51AC8" w:rsidRPr="00E51AC8">
        <w:rPr>
          <w:lang w:val="en-US"/>
        </w:rPr>
        <w:t xml:space="preserve"> </w:t>
      </w:r>
      <w:r w:rsidR="00E51AC8">
        <w:rPr>
          <w:lang w:val="en-US"/>
        </w:rPr>
        <w:t xml:space="preserve">and </w:t>
      </w:r>
      <w:r w:rsidR="00E51AC8" w:rsidRPr="00EB39DE">
        <w:rPr>
          <w:lang w:val="en-US"/>
        </w:rPr>
        <w:t xml:space="preserve">argued that a curator should be appointed by agreement </w:t>
      </w:r>
      <w:r w:rsidR="00CC6A61">
        <w:rPr>
          <w:lang w:val="en-US"/>
        </w:rPr>
        <w:t xml:space="preserve">between </w:t>
      </w:r>
      <w:r w:rsidR="00AB7AB1">
        <w:rPr>
          <w:lang w:val="en-US"/>
        </w:rPr>
        <w:t>it</w:t>
      </w:r>
      <w:r w:rsidR="00E51AC8">
        <w:rPr>
          <w:lang w:val="en-US"/>
        </w:rPr>
        <w:t xml:space="preserve"> </w:t>
      </w:r>
      <w:r w:rsidR="00CC6A61">
        <w:rPr>
          <w:lang w:val="en-US"/>
        </w:rPr>
        <w:t xml:space="preserve">and the Authority </w:t>
      </w:r>
      <w:r w:rsidR="00E51AC8">
        <w:rPr>
          <w:lang w:val="en-US"/>
        </w:rPr>
        <w:t xml:space="preserve">in </w:t>
      </w:r>
      <w:r w:rsidR="00E51AC8">
        <w:rPr>
          <w:lang w:val="en-US"/>
        </w:rPr>
        <w:lastRenderedPageBreak/>
        <w:t xml:space="preserve">terms of </w:t>
      </w:r>
      <w:r w:rsidR="00E51AC8" w:rsidRPr="00EB39DE">
        <w:rPr>
          <w:lang w:val="en-US"/>
        </w:rPr>
        <w:t>s</w:t>
      </w:r>
      <w:r w:rsidR="00E51AC8">
        <w:rPr>
          <w:lang w:val="en-US"/>
        </w:rPr>
        <w:t xml:space="preserve">ection </w:t>
      </w:r>
      <w:r w:rsidR="00E51AC8" w:rsidRPr="00EB39DE">
        <w:rPr>
          <w:lang w:val="en-US"/>
        </w:rPr>
        <w:t>54</w:t>
      </w:r>
      <w:r w:rsidR="00E51AC8">
        <w:rPr>
          <w:lang w:val="en-US"/>
        </w:rPr>
        <w:t>(10) of the Insurance Act</w:t>
      </w:r>
      <w:r w:rsidR="00E51AC8" w:rsidRPr="00EB39DE">
        <w:rPr>
          <w:lang w:val="en-US"/>
        </w:rPr>
        <w:t>.</w:t>
      </w:r>
      <w:r w:rsidR="00814E95">
        <w:rPr>
          <w:lang w:val="en-US"/>
        </w:rPr>
        <w:t xml:space="preserve"> It objected to the appointment of M</w:t>
      </w:r>
      <w:r w:rsidR="00CC6A61">
        <w:rPr>
          <w:lang w:val="en-US"/>
        </w:rPr>
        <w:t>r</w:t>
      </w:r>
      <w:r w:rsidR="00814E95">
        <w:rPr>
          <w:lang w:val="en-US"/>
        </w:rPr>
        <w:t xml:space="preserve"> </w:t>
      </w:r>
      <w:proofErr w:type="spellStart"/>
      <w:r w:rsidR="00814E95">
        <w:rPr>
          <w:lang w:val="en-US"/>
        </w:rPr>
        <w:t>Mashoko</w:t>
      </w:r>
      <w:proofErr w:type="spellEnd"/>
      <w:r w:rsidR="00814E95" w:rsidRPr="00C85703">
        <w:rPr>
          <w:lang w:val="en-US"/>
        </w:rPr>
        <w:t xml:space="preserve"> </w:t>
      </w:r>
      <w:r w:rsidR="00814E95">
        <w:rPr>
          <w:lang w:val="en-US"/>
        </w:rPr>
        <w:t xml:space="preserve">on the basis that he lacked independence, having given an affidavit supporting the confirmation of the curatorship order and that his appointment would be detrimental. </w:t>
      </w:r>
      <w:r w:rsidR="00E51AC8">
        <w:rPr>
          <w:lang w:val="en-US"/>
        </w:rPr>
        <w:t xml:space="preserve">No other reasons were advanced why Mr </w:t>
      </w:r>
      <w:proofErr w:type="spellStart"/>
      <w:r w:rsidR="00E51AC8">
        <w:rPr>
          <w:lang w:val="en-US"/>
        </w:rPr>
        <w:t>Mashoko</w:t>
      </w:r>
      <w:proofErr w:type="spellEnd"/>
      <w:r w:rsidR="00E51AC8">
        <w:rPr>
          <w:lang w:val="en-US"/>
        </w:rPr>
        <w:t xml:space="preserve"> would not be a suitable candidate.</w:t>
      </w:r>
      <w:r w:rsidR="00814E95">
        <w:rPr>
          <w:lang w:val="en-US"/>
        </w:rPr>
        <w:t xml:space="preserve"> </w:t>
      </w:r>
    </w:p>
    <w:p w:rsidR="006D2034" w:rsidRDefault="001A42E5" w:rsidP="001A42E5">
      <w:pPr>
        <w:pStyle w:val="level1"/>
        <w:numPr>
          <w:ilvl w:val="0"/>
          <w:numId w:val="0"/>
        </w:numPr>
        <w:spacing w:after="480" w:line="360" w:lineRule="auto"/>
        <w:jc w:val="both"/>
        <w:rPr>
          <w:lang w:val="en-US"/>
        </w:rPr>
      </w:pPr>
      <w:r>
        <w:rPr>
          <w:lang w:val="en-US"/>
        </w:rPr>
        <w:t>[110]</w:t>
      </w:r>
      <w:r>
        <w:rPr>
          <w:lang w:val="en-US"/>
        </w:rPr>
        <w:tab/>
      </w:r>
      <w:proofErr w:type="gramStart"/>
      <w:r w:rsidR="00814E95" w:rsidRPr="006D2034">
        <w:rPr>
          <w:lang w:val="en-US"/>
        </w:rPr>
        <w:t>T</w:t>
      </w:r>
      <w:r w:rsidR="00245DA5" w:rsidRPr="006D2034">
        <w:rPr>
          <w:lang w:val="en-US"/>
        </w:rPr>
        <w:t>he</w:t>
      </w:r>
      <w:proofErr w:type="gramEnd"/>
      <w:r w:rsidR="00245DA5" w:rsidRPr="006D2034">
        <w:rPr>
          <w:lang w:val="en-US"/>
        </w:rPr>
        <w:t xml:space="preserve"> appointment of </w:t>
      </w:r>
      <w:proofErr w:type="spellStart"/>
      <w:r w:rsidR="00245DA5" w:rsidRPr="006D2034">
        <w:rPr>
          <w:lang w:val="en-US"/>
        </w:rPr>
        <w:t>Ms</w:t>
      </w:r>
      <w:proofErr w:type="spellEnd"/>
      <w:r w:rsidR="00245DA5" w:rsidRPr="006D2034">
        <w:rPr>
          <w:lang w:val="en-US"/>
        </w:rPr>
        <w:t xml:space="preserve"> </w:t>
      </w:r>
      <w:proofErr w:type="spellStart"/>
      <w:r w:rsidR="00245DA5" w:rsidRPr="006D2034">
        <w:rPr>
          <w:lang w:val="en-US"/>
        </w:rPr>
        <w:t>Mashoko</w:t>
      </w:r>
      <w:proofErr w:type="spellEnd"/>
      <w:r w:rsidR="00245DA5" w:rsidRPr="006D2034">
        <w:rPr>
          <w:lang w:val="en-US"/>
        </w:rPr>
        <w:t xml:space="preserve"> was already raised in the Authority’s papers, prior to the hearing of 22 March 2022. His credentials identify him as a person with the necessary qualifications for appointment. It would also be sensible to retain continuity in as much as Mr </w:t>
      </w:r>
      <w:proofErr w:type="spellStart"/>
      <w:r w:rsidR="00245DA5" w:rsidRPr="006D2034">
        <w:rPr>
          <w:lang w:val="en-US"/>
        </w:rPr>
        <w:t>Mashoko</w:t>
      </w:r>
      <w:proofErr w:type="spellEnd"/>
      <w:r w:rsidR="00245DA5" w:rsidRPr="006D2034">
        <w:rPr>
          <w:lang w:val="en-US"/>
        </w:rPr>
        <w:t xml:space="preserve"> has been part of the support team for the curatorship to alleviate ay prejudice caused by </w:t>
      </w:r>
      <w:proofErr w:type="spellStart"/>
      <w:r w:rsidR="00245DA5" w:rsidRPr="006D2034">
        <w:rPr>
          <w:lang w:val="en-US"/>
        </w:rPr>
        <w:t>Ms</w:t>
      </w:r>
      <w:proofErr w:type="spellEnd"/>
      <w:r w:rsidR="00245DA5" w:rsidRPr="006D2034">
        <w:rPr>
          <w:lang w:val="en-US"/>
        </w:rPr>
        <w:t xml:space="preserve"> Ram’s actions. 3Sixty’s contention that </w:t>
      </w:r>
      <w:r w:rsidR="00E51AC8" w:rsidRPr="006D2034">
        <w:rPr>
          <w:lang w:val="en-US"/>
        </w:rPr>
        <w:t>M</w:t>
      </w:r>
      <w:r w:rsidR="00245DA5" w:rsidRPr="006D2034">
        <w:rPr>
          <w:lang w:val="en-US"/>
        </w:rPr>
        <w:t xml:space="preserve">r </w:t>
      </w:r>
      <w:proofErr w:type="spellStart"/>
      <w:r w:rsidR="00245DA5" w:rsidRPr="006D2034">
        <w:rPr>
          <w:lang w:val="en-US"/>
        </w:rPr>
        <w:t>Mashoko</w:t>
      </w:r>
      <w:proofErr w:type="spellEnd"/>
      <w:r w:rsidR="00245DA5" w:rsidRPr="006D2034">
        <w:rPr>
          <w:lang w:val="en-US"/>
        </w:rPr>
        <w:t xml:space="preserve"> is biased</w:t>
      </w:r>
      <w:r w:rsidR="00E51AC8" w:rsidRPr="006D2034">
        <w:rPr>
          <w:lang w:val="en-US"/>
        </w:rPr>
        <w:t xml:space="preserve"> </w:t>
      </w:r>
      <w:r w:rsidR="00245DA5" w:rsidRPr="006D2034">
        <w:rPr>
          <w:lang w:val="en-US"/>
        </w:rPr>
        <w:t xml:space="preserve">as he furnished an affidavit supporting the granting of a final order does not make him the Authority’s lackey as alleged. Mr </w:t>
      </w:r>
      <w:proofErr w:type="spellStart"/>
      <w:r w:rsidR="00245DA5" w:rsidRPr="006D2034">
        <w:rPr>
          <w:lang w:val="en-US"/>
        </w:rPr>
        <w:t>Mashoko</w:t>
      </w:r>
      <w:proofErr w:type="spellEnd"/>
      <w:r w:rsidR="00245DA5" w:rsidRPr="006D2034">
        <w:rPr>
          <w:lang w:val="en-US"/>
        </w:rPr>
        <w:t xml:space="preserve"> provided an opinion on what he considered the investigations into 3Sixty’s business revealed. </w:t>
      </w:r>
    </w:p>
    <w:p w:rsidR="00A5101C" w:rsidRDefault="001A42E5" w:rsidP="001A42E5">
      <w:pPr>
        <w:pStyle w:val="level1"/>
        <w:numPr>
          <w:ilvl w:val="0"/>
          <w:numId w:val="0"/>
        </w:numPr>
        <w:spacing w:after="480" w:line="360" w:lineRule="auto"/>
        <w:jc w:val="both"/>
        <w:rPr>
          <w:lang w:val="en-US"/>
        </w:rPr>
      </w:pPr>
      <w:r>
        <w:rPr>
          <w:lang w:val="en-US"/>
        </w:rPr>
        <w:t>[111]</w:t>
      </w:r>
      <w:r>
        <w:rPr>
          <w:lang w:val="en-US"/>
        </w:rPr>
        <w:tab/>
      </w:r>
      <w:r w:rsidR="00FE2B0C">
        <w:rPr>
          <w:lang w:val="en-US"/>
        </w:rPr>
        <w:t xml:space="preserve">I conclude that </w:t>
      </w:r>
      <w:r w:rsidR="00585571">
        <w:rPr>
          <w:lang w:val="en-US"/>
        </w:rPr>
        <w:t xml:space="preserve">it is not desirable that </w:t>
      </w:r>
      <w:proofErr w:type="spellStart"/>
      <w:r w:rsidR="00FE2B0C">
        <w:rPr>
          <w:lang w:val="en-US"/>
        </w:rPr>
        <w:t>Ms</w:t>
      </w:r>
      <w:proofErr w:type="spellEnd"/>
      <w:r w:rsidR="00FE2B0C">
        <w:rPr>
          <w:lang w:val="en-US"/>
        </w:rPr>
        <w:t xml:space="preserve"> Ram’s appointment as curator be confirmed</w:t>
      </w:r>
      <w:r w:rsidR="006D2034">
        <w:rPr>
          <w:lang w:val="en-US"/>
        </w:rPr>
        <w:t xml:space="preserve"> and that </w:t>
      </w:r>
      <w:r w:rsidR="00FE2B0C">
        <w:rPr>
          <w:lang w:val="en-US"/>
        </w:rPr>
        <w:t>M</w:t>
      </w:r>
      <w:r w:rsidR="006D2034">
        <w:rPr>
          <w:lang w:val="en-US"/>
        </w:rPr>
        <w:t>r</w:t>
      </w:r>
      <w:r w:rsidR="00FE2B0C">
        <w:rPr>
          <w:lang w:val="en-US"/>
        </w:rPr>
        <w:t xml:space="preserve"> </w:t>
      </w:r>
      <w:proofErr w:type="spellStart"/>
      <w:r w:rsidR="00FE2B0C">
        <w:rPr>
          <w:lang w:val="en-US"/>
        </w:rPr>
        <w:t>Mashoko</w:t>
      </w:r>
      <w:proofErr w:type="spellEnd"/>
      <w:r w:rsidR="00FE2B0C">
        <w:rPr>
          <w:lang w:val="en-US"/>
        </w:rPr>
        <w:t xml:space="preserve"> should be appointed as </w:t>
      </w:r>
      <w:r w:rsidR="006D2034">
        <w:rPr>
          <w:lang w:val="en-US"/>
        </w:rPr>
        <w:t xml:space="preserve">final </w:t>
      </w:r>
      <w:r w:rsidR="00FE2B0C">
        <w:rPr>
          <w:lang w:val="en-US"/>
        </w:rPr>
        <w:t xml:space="preserve">curator. </w:t>
      </w:r>
    </w:p>
    <w:p w:rsidR="00B96DB4" w:rsidRDefault="00585571" w:rsidP="000B660F">
      <w:pPr>
        <w:pStyle w:val="level1"/>
        <w:numPr>
          <w:ilvl w:val="0"/>
          <w:numId w:val="0"/>
        </w:numPr>
        <w:spacing w:after="480" w:line="360" w:lineRule="auto"/>
        <w:ind w:left="360" w:hanging="360"/>
        <w:jc w:val="both"/>
        <w:rPr>
          <w:lang w:val="en-US"/>
        </w:rPr>
      </w:pPr>
      <w:r>
        <w:rPr>
          <w:lang w:val="en-US"/>
        </w:rPr>
        <w:t>C</w:t>
      </w:r>
      <w:r w:rsidR="00FE2B0C">
        <w:rPr>
          <w:lang w:val="en-US"/>
        </w:rPr>
        <w:t>osts</w:t>
      </w:r>
    </w:p>
    <w:p w:rsidR="00026557" w:rsidRPr="00585571" w:rsidRDefault="001A42E5" w:rsidP="001A42E5">
      <w:pPr>
        <w:pStyle w:val="level1"/>
        <w:numPr>
          <w:ilvl w:val="0"/>
          <w:numId w:val="0"/>
        </w:numPr>
        <w:spacing w:after="480" w:line="360" w:lineRule="auto"/>
        <w:jc w:val="both"/>
        <w:rPr>
          <w:i/>
          <w:sz w:val="20"/>
          <w:szCs w:val="20"/>
          <w:lang w:val="en-US"/>
        </w:rPr>
      </w:pPr>
      <w:r>
        <w:rPr>
          <w:lang w:val="en-US"/>
        </w:rPr>
        <w:t>[112]</w:t>
      </w:r>
      <w:r>
        <w:rPr>
          <w:lang w:val="en-US"/>
        </w:rPr>
        <w:tab/>
      </w:r>
      <w:proofErr w:type="gramStart"/>
      <w:r w:rsidR="00585571">
        <w:rPr>
          <w:lang w:val="en-US"/>
        </w:rPr>
        <w:t>When</w:t>
      </w:r>
      <w:proofErr w:type="gramEnd"/>
      <w:r w:rsidR="00585571">
        <w:rPr>
          <w:lang w:val="en-US"/>
        </w:rPr>
        <w:t xml:space="preserve"> t</w:t>
      </w:r>
      <w:r w:rsidR="00026557" w:rsidRPr="00585571">
        <w:rPr>
          <w:lang w:val="en-US"/>
        </w:rPr>
        <w:t>he application was po</w:t>
      </w:r>
      <w:r w:rsidR="005670C4">
        <w:rPr>
          <w:lang w:val="en-US"/>
        </w:rPr>
        <w:t>stponed in the urgent court on 4</w:t>
      </w:r>
      <w:r w:rsidR="00026557" w:rsidRPr="00585571">
        <w:rPr>
          <w:lang w:val="en-US"/>
        </w:rPr>
        <w:t xml:space="preserve"> February 2022</w:t>
      </w:r>
      <w:r w:rsidR="00585571">
        <w:rPr>
          <w:lang w:val="en-US"/>
        </w:rPr>
        <w:t xml:space="preserve"> </w:t>
      </w:r>
      <w:r w:rsidR="00026557" w:rsidRPr="00585571">
        <w:rPr>
          <w:lang w:val="en-US"/>
        </w:rPr>
        <w:t>to be heard as a special motion on 22 March 2022</w:t>
      </w:r>
      <w:r w:rsidR="00585571">
        <w:rPr>
          <w:lang w:val="en-US"/>
        </w:rPr>
        <w:t xml:space="preserve">, costs were reserved. </w:t>
      </w:r>
      <w:r w:rsidR="00693BD6">
        <w:rPr>
          <w:lang w:val="en-US"/>
        </w:rPr>
        <w:t>Given the circumstances, i</w:t>
      </w:r>
      <w:r w:rsidR="00585571">
        <w:rPr>
          <w:lang w:val="en-US"/>
        </w:rPr>
        <w:t>t would be appropriate to direct th</w:t>
      </w:r>
      <w:r w:rsidR="00930836">
        <w:rPr>
          <w:lang w:val="en-US"/>
        </w:rPr>
        <w:t>os</w:t>
      </w:r>
      <w:r w:rsidR="00585571">
        <w:rPr>
          <w:lang w:val="en-US"/>
        </w:rPr>
        <w:t>e costs to be cost</w:t>
      </w:r>
      <w:r w:rsidR="006D3B14">
        <w:rPr>
          <w:lang w:val="en-US"/>
        </w:rPr>
        <w:t>s</w:t>
      </w:r>
      <w:r w:rsidR="00585571">
        <w:rPr>
          <w:lang w:val="en-US"/>
        </w:rPr>
        <w:t xml:space="preserve"> in the cause.</w:t>
      </w:r>
    </w:p>
    <w:p w:rsidR="00930836" w:rsidRDefault="001A42E5" w:rsidP="001A42E5">
      <w:pPr>
        <w:pStyle w:val="level1"/>
        <w:numPr>
          <w:ilvl w:val="0"/>
          <w:numId w:val="0"/>
        </w:numPr>
        <w:spacing w:after="480" w:line="360" w:lineRule="auto"/>
        <w:jc w:val="both"/>
        <w:rPr>
          <w:lang w:val="en-US"/>
        </w:rPr>
      </w:pPr>
      <w:r>
        <w:rPr>
          <w:lang w:val="en-US"/>
        </w:rPr>
        <w:t>[113]</w:t>
      </w:r>
      <w:r>
        <w:rPr>
          <w:lang w:val="en-US"/>
        </w:rPr>
        <w:tab/>
      </w:r>
      <w:r w:rsidR="00930836">
        <w:rPr>
          <w:lang w:val="en-US"/>
        </w:rPr>
        <w:t xml:space="preserve">In relation to the various interlocutory applications, the general </w:t>
      </w:r>
      <w:r w:rsidR="00675554">
        <w:rPr>
          <w:lang w:val="en-US"/>
        </w:rPr>
        <w:t>principle</w:t>
      </w:r>
      <w:r w:rsidR="00930836">
        <w:rPr>
          <w:lang w:val="en-US"/>
        </w:rPr>
        <w:t xml:space="preserve"> is that costs follow the result. </w:t>
      </w:r>
      <w:r w:rsidR="00675554">
        <w:rPr>
          <w:lang w:val="en-US"/>
        </w:rPr>
        <w:t>There is no reason to deviate from that principle and i</w:t>
      </w:r>
      <w:r w:rsidR="00930836">
        <w:rPr>
          <w:lang w:val="en-US"/>
        </w:rPr>
        <w:t>t is appropriate to grant such order</w:t>
      </w:r>
      <w:r w:rsidR="00675554">
        <w:rPr>
          <w:lang w:val="en-US"/>
        </w:rPr>
        <w:t>s</w:t>
      </w:r>
      <w:r w:rsidR="00930836">
        <w:rPr>
          <w:lang w:val="en-US"/>
        </w:rPr>
        <w:t xml:space="preserve"> in relation to NUMSA’s unsuccessful intervention application</w:t>
      </w:r>
      <w:r w:rsidR="00693BD6">
        <w:rPr>
          <w:lang w:val="en-US"/>
        </w:rPr>
        <w:t xml:space="preserve"> </w:t>
      </w:r>
      <w:r w:rsidR="00930836">
        <w:rPr>
          <w:lang w:val="en-US"/>
        </w:rPr>
        <w:t xml:space="preserve">and 3Sixty’s unsuccessful striking out application </w:t>
      </w:r>
      <w:r w:rsidR="00693BD6">
        <w:rPr>
          <w:lang w:val="en-US"/>
        </w:rPr>
        <w:t>dated</w:t>
      </w:r>
      <w:r w:rsidR="00930836">
        <w:rPr>
          <w:lang w:val="en-US"/>
        </w:rPr>
        <w:t xml:space="preserve"> 21 March 2022.</w:t>
      </w:r>
    </w:p>
    <w:p w:rsidR="00693BD6" w:rsidRDefault="001A42E5" w:rsidP="001A42E5">
      <w:pPr>
        <w:pStyle w:val="level1"/>
        <w:numPr>
          <w:ilvl w:val="0"/>
          <w:numId w:val="0"/>
        </w:numPr>
        <w:spacing w:after="480" w:line="360" w:lineRule="auto"/>
        <w:jc w:val="both"/>
        <w:rPr>
          <w:lang w:val="en-US"/>
        </w:rPr>
      </w:pPr>
      <w:r>
        <w:rPr>
          <w:lang w:val="en-US"/>
        </w:rPr>
        <w:lastRenderedPageBreak/>
        <w:t>[114]</w:t>
      </w:r>
      <w:r>
        <w:rPr>
          <w:lang w:val="en-US"/>
        </w:rPr>
        <w:tab/>
      </w:r>
      <w:r w:rsidR="00930836">
        <w:rPr>
          <w:lang w:val="en-US"/>
        </w:rPr>
        <w:t>In relation to 3Sixty’s second striking out application</w:t>
      </w:r>
      <w:r w:rsidR="00EB2422">
        <w:rPr>
          <w:lang w:val="en-US"/>
        </w:rPr>
        <w:t xml:space="preserve"> of 20 June 2022</w:t>
      </w:r>
      <w:r w:rsidR="00930836">
        <w:rPr>
          <w:lang w:val="en-US"/>
        </w:rPr>
        <w:t>, I agree with the Authority that the application constituted an abuse of process</w:t>
      </w:r>
      <w:r w:rsidR="00675554">
        <w:rPr>
          <w:rStyle w:val="FootnoteReference"/>
          <w:lang w:val="en-US"/>
        </w:rPr>
        <w:footnoteReference w:id="38"/>
      </w:r>
      <w:r w:rsidR="00930836">
        <w:rPr>
          <w:lang w:val="en-US"/>
        </w:rPr>
        <w:t xml:space="preserve"> </w:t>
      </w:r>
      <w:r w:rsidR="00675554">
        <w:rPr>
          <w:lang w:val="en-US"/>
        </w:rPr>
        <w:t xml:space="preserve">devoid of merit </w:t>
      </w:r>
      <w:r w:rsidR="00930836">
        <w:rPr>
          <w:lang w:val="en-US"/>
        </w:rPr>
        <w:t>and that a punitive costs order is warranted</w:t>
      </w:r>
      <w:r w:rsidR="00017C4F">
        <w:rPr>
          <w:lang w:val="en-US"/>
        </w:rPr>
        <w:t>.</w:t>
      </w:r>
      <w:r w:rsidR="00675554">
        <w:rPr>
          <w:rStyle w:val="FootnoteReference"/>
          <w:lang w:val="en-US"/>
        </w:rPr>
        <w:footnoteReference w:id="39"/>
      </w:r>
      <w:r w:rsidR="00693BD6">
        <w:rPr>
          <w:lang w:val="en-US"/>
        </w:rPr>
        <w:t xml:space="preserve"> </w:t>
      </w:r>
      <w:r w:rsidR="00EB2422">
        <w:rPr>
          <w:lang w:val="en-US"/>
        </w:rPr>
        <w:t xml:space="preserve">For those reasons, </w:t>
      </w:r>
      <w:r w:rsidR="00693BD6">
        <w:rPr>
          <w:lang w:val="en-US"/>
        </w:rPr>
        <w:t xml:space="preserve">3Sixty is to pay the costs on the scale as between attorney and client. </w:t>
      </w:r>
    </w:p>
    <w:p w:rsidR="0027505F" w:rsidRDefault="001A42E5" w:rsidP="001A42E5">
      <w:pPr>
        <w:pStyle w:val="level1"/>
        <w:numPr>
          <w:ilvl w:val="0"/>
          <w:numId w:val="0"/>
        </w:numPr>
        <w:spacing w:after="480" w:line="360" w:lineRule="auto"/>
        <w:jc w:val="both"/>
        <w:rPr>
          <w:lang w:val="en-US"/>
        </w:rPr>
      </w:pPr>
      <w:r>
        <w:rPr>
          <w:lang w:val="en-US"/>
        </w:rPr>
        <w:t>[115]</w:t>
      </w:r>
      <w:r>
        <w:rPr>
          <w:lang w:val="en-US"/>
        </w:rPr>
        <w:tab/>
      </w:r>
      <w:proofErr w:type="gramStart"/>
      <w:r w:rsidR="00693BD6">
        <w:rPr>
          <w:lang w:val="en-US"/>
        </w:rPr>
        <w:t>The</w:t>
      </w:r>
      <w:proofErr w:type="gramEnd"/>
      <w:r w:rsidR="00693BD6">
        <w:rPr>
          <w:lang w:val="en-US"/>
        </w:rPr>
        <w:t xml:space="preserve"> costs of the postponement application on 18 July 2022 were reserved. Although the application was ultimately granted to afford 3Sixty the opportunity of having its lead counsel present oral argument</w:t>
      </w:r>
      <w:r w:rsidR="00574907">
        <w:rPr>
          <w:lang w:val="en-US"/>
        </w:rPr>
        <w:t xml:space="preserve"> in the interests of justice</w:t>
      </w:r>
      <w:r w:rsidR="00966B33">
        <w:rPr>
          <w:lang w:val="en-US"/>
        </w:rPr>
        <w:t>, it was granted an indulgence to do so</w:t>
      </w:r>
      <w:r w:rsidR="00EB2422">
        <w:rPr>
          <w:lang w:val="en-US"/>
        </w:rPr>
        <w:t>, albeit that the parties later agreed to rely on written submissions only</w:t>
      </w:r>
      <w:r w:rsidR="00966B33">
        <w:rPr>
          <w:lang w:val="en-US"/>
        </w:rPr>
        <w:t>. The postponement application was only launched on Friday 15 July 2022, a day before the hearing and no proper explanation was tendered</w:t>
      </w:r>
      <w:r w:rsidR="00693BD6">
        <w:rPr>
          <w:lang w:val="en-US"/>
        </w:rPr>
        <w:t xml:space="preserve"> </w:t>
      </w:r>
      <w:r w:rsidR="00966B33">
        <w:rPr>
          <w:lang w:val="en-US"/>
        </w:rPr>
        <w:t xml:space="preserve">for the delay or its failure to raise the issue when the </w:t>
      </w:r>
      <w:r w:rsidR="004E40D2">
        <w:rPr>
          <w:lang w:val="en-US"/>
        </w:rPr>
        <w:t xml:space="preserve">hearing </w:t>
      </w:r>
      <w:r w:rsidR="00966B33">
        <w:rPr>
          <w:lang w:val="en-US"/>
        </w:rPr>
        <w:t xml:space="preserve">date was allocated </w:t>
      </w:r>
      <w:r w:rsidR="00CD710F">
        <w:rPr>
          <w:lang w:val="en-US"/>
        </w:rPr>
        <w:t xml:space="preserve">on 30 June 2022. </w:t>
      </w:r>
    </w:p>
    <w:p w:rsidR="00693BD6" w:rsidRDefault="001A42E5" w:rsidP="001A42E5">
      <w:pPr>
        <w:pStyle w:val="level1"/>
        <w:numPr>
          <w:ilvl w:val="0"/>
          <w:numId w:val="0"/>
        </w:numPr>
        <w:spacing w:after="480" w:line="360" w:lineRule="auto"/>
        <w:jc w:val="both"/>
        <w:rPr>
          <w:lang w:val="en-US"/>
        </w:rPr>
      </w:pPr>
      <w:r>
        <w:rPr>
          <w:lang w:val="en-US"/>
        </w:rPr>
        <w:t>[116]</w:t>
      </w:r>
      <w:r>
        <w:rPr>
          <w:lang w:val="en-US"/>
        </w:rPr>
        <w:tab/>
      </w:r>
      <w:proofErr w:type="gramStart"/>
      <w:r w:rsidR="00CD710F">
        <w:rPr>
          <w:lang w:val="en-US"/>
        </w:rPr>
        <w:t>Considering</w:t>
      </w:r>
      <w:proofErr w:type="gramEnd"/>
      <w:r w:rsidR="00CD710F">
        <w:rPr>
          <w:lang w:val="en-US"/>
        </w:rPr>
        <w:t xml:space="preserve"> the </w:t>
      </w:r>
      <w:r w:rsidR="006D3B14">
        <w:rPr>
          <w:lang w:val="en-US"/>
        </w:rPr>
        <w:t xml:space="preserve">postponement </w:t>
      </w:r>
      <w:r w:rsidR="00CD710F">
        <w:rPr>
          <w:lang w:val="en-US"/>
        </w:rPr>
        <w:t xml:space="preserve">application papers and the facts, </w:t>
      </w:r>
      <w:r w:rsidR="0027505F">
        <w:rPr>
          <w:lang w:val="en-US"/>
        </w:rPr>
        <w:t>they</w:t>
      </w:r>
      <w:r w:rsidR="00CD710F">
        <w:rPr>
          <w:lang w:val="en-US"/>
        </w:rPr>
        <w:t xml:space="preserve"> justif</w:t>
      </w:r>
      <w:r w:rsidR="0027505F">
        <w:rPr>
          <w:lang w:val="en-US"/>
        </w:rPr>
        <w:t>y</w:t>
      </w:r>
      <w:r w:rsidR="00CD710F">
        <w:rPr>
          <w:lang w:val="en-US"/>
        </w:rPr>
        <w:t xml:space="preserve"> a departure from the normal principle that costs follow the result</w:t>
      </w:r>
      <w:r w:rsidR="0027505F">
        <w:rPr>
          <w:lang w:val="en-US"/>
        </w:rPr>
        <w:t>, given that</w:t>
      </w:r>
      <w:r w:rsidR="00CD710F">
        <w:rPr>
          <w:lang w:val="en-US"/>
        </w:rPr>
        <w:t xml:space="preserve"> 3Sixty was granted an indulgence.  3Sixty should in the circumstances be held liable for the costs of the postponement.</w:t>
      </w:r>
      <w:r w:rsidR="00472E5A">
        <w:rPr>
          <w:lang w:val="en-US"/>
        </w:rPr>
        <w:t xml:space="preserve"> Given the facts, and the prejudice suffered by the other parties as a result of the postponement, it would be appropriate to grant costs on the scale as between attorney and client so that the other parties are not left out of pocket for the expenses incurred.</w:t>
      </w:r>
      <w:r w:rsidR="00472E5A">
        <w:rPr>
          <w:rStyle w:val="FootnoteReference"/>
          <w:lang w:val="en-US"/>
        </w:rPr>
        <w:footnoteReference w:id="40"/>
      </w:r>
    </w:p>
    <w:p w:rsidR="004C31F0" w:rsidRDefault="001A42E5" w:rsidP="001A42E5">
      <w:pPr>
        <w:pStyle w:val="level1"/>
        <w:numPr>
          <w:ilvl w:val="0"/>
          <w:numId w:val="0"/>
        </w:numPr>
        <w:spacing w:after="480" w:line="360" w:lineRule="auto"/>
        <w:jc w:val="both"/>
        <w:rPr>
          <w:lang w:val="en-US"/>
        </w:rPr>
      </w:pPr>
      <w:r>
        <w:rPr>
          <w:lang w:val="en-US"/>
        </w:rPr>
        <w:t>[117]</w:t>
      </w:r>
      <w:r>
        <w:rPr>
          <w:lang w:val="en-US"/>
        </w:rPr>
        <w:tab/>
      </w:r>
      <w:proofErr w:type="gramStart"/>
      <w:r w:rsidR="00930836" w:rsidRPr="00CD710F">
        <w:rPr>
          <w:lang w:val="en-US"/>
        </w:rPr>
        <w:t>The</w:t>
      </w:r>
      <w:proofErr w:type="gramEnd"/>
      <w:r w:rsidR="00930836" w:rsidRPr="00CD710F">
        <w:rPr>
          <w:lang w:val="en-US"/>
        </w:rPr>
        <w:t xml:space="preserve"> costs of the urgent proceedings before Fisher J were reserved to be determined in these proceedings. </w:t>
      </w:r>
      <w:r w:rsidR="00472E5A">
        <w:rPr>
          <w:lang w:val="en-US"/>
        </w:rPr>
        <w:t xml:space="preserve">Fisher J was of the view that this court would be in a better position to determine whether a punitive costs order was warranted. </w:t>
      </w:r>
      <w:r w:rsidR="00930836" w:rsidRPr="00CD710F">
        <w:rPr>
          <w:lang w:val="en-US"/>
        </w:rPr>
        <w:t>The A</w:t>
      </w:r>
      <w:r w:rsidR="00CD710F">
        <w:rPr>
          <w:lang w:val="en-US"/>
        </w:rPr>
        <w:t xml:space="preserve">uthority </w:t>
      </w:r>
      <w:r w:rsidR="00930836" w:rsidRPr="00CD710F">
        <w:rPr>
          <w:lang w:val="en-US"/>
        </w:rPr>
        <w:t>argued that the</w:t>
      </w:r>
      <w:r w:rsidR="00CD710F">
        <w:rPr>
          <w:lang w:val="en-US"/>
        </w:rPr>
        <w:t>r</w:t>
      </w:r>
      <w:r w:rsidR="00930836" w:rsidRPr="00CD710F">
        <w:rPr>
          <w:lang w:val="en-US"/>
        </w:rPr>
        <w:t>e should be no order as to costs</w:t>
      </w:r>
      <w:r w:rsidR="00472E5A">
        <w:rPr>
          <w:lang w:val="en-US"/>
        </w:rPr>
        <w:t xml:space="preserve"> as both 3Sixty and </w:t>
      </w:r>
      <w:proofErr w:type="spellStart"/>
      <w:r w:rsidR="00472E5A">
        <w:rPr>
          <w:lang w:val="en-US"/>
        </w:rPr>
        <w:t>Ms</w:t>
      </w:r>
      <w:proofErr w:type="spellEnd"/>
      <w:r w:rsidR="00472E5A">
        <w:rPr>
          <w:lang w:val="en-US"/>
        </w:rPr>
        <w:t xml:space="preserve"> Ram </w:t>
      </w:r>
      <w:r w:rsidR="006D3B14">
        <w:rPr>
          <w:lang w:val="en-US"/>
        </w:rPr>
        <w:t xml:space="preserve">formally </w:t>
      </w:r>
      <w:r w:rsidR="00930836" w:rsidRPr="00CD710F">
        <w:rPr>
          <w:lang w:val="en-US"/>
        </w:rPr>
        <w:t xml:space="preserve">abided the </w:t>
      </w:r>
      <w:r w:rsidR="00472E5A">
        <w:rPr>
          <w:lang w:val="en-US"/>
        </w:rPr>
        <w:t xml:space="preserve">court’s decision and delivered explanatory affidavits only. 3Sixty and </w:t>
      </w:r>
      <w:proofErr w:type="spellStart"/>
      <w:r w:rsidR="00472E5A">
        <w:rPr>
          <w:lang w:val="en-US"/>
        </w:rPr>
        <w:t>Ms</w:t>
      </w:r>
      <w:proofErr w:type="spellEnd"/>
      <w:r w:rsidR="00472E5A">
        <w:rPr>
          <w:lang w:val="en-US"/>
        </w:rPr>
        <w:t xml:space="preserve"> Ram </w:t>
      </w:r>
      <w:r w:rsidR="00472E5A">
        <w:rPr>
          <w:lang w:val="en-US"/>
        </w:rPr>
        <w:lastRenderedPageBreak/>
        <w:t xml:space="preserve">on the other hand sought punitive costs orders on the scale as between attorney and client. </w:t>
      </w:r>
    </w:p>
    <w:p w:rsidR="00930836" w:rsidRPr="004E2E29" w:rsidRDefault="001A42E5" w:rsidP="001A42E5">
      <w:pPr>
        <w:pStyle w:val="level1"/>
        <w:numPr>
          <w:ilvl w:val="0"/>
          <w:numId w:val="0"/>
        </w:numPr>
        <w:spacing w:after="480" w:line="360" w:lineRule="auto"/>
        <w:jc w:val="both"/>
        <w:rPr>
          <w:lang w:val="en-US"/>
        </w:rPr>
      </w:pPr>
      <w:r>
        <w:rPr>
          <w:lang w:val="en-US"/>
        </w:rPr>
        <w:t>[118]</w:t>
      </w:r>
      <w:r>
        <w:rPr>
          <w:lang w:val="en-US"/>
        </w:rPr>
        <w:tab/>
      </w:r>
      <w:r w:rsidR="00472E5A" w:rsidRPr="004E2E29">
        <w:rPr>
          <w:lang w:val="en-US"/>
        </w:rPr>
        <w:t>Considering the stance adopted by 3Sixty</w:t>
      </w:r>
      <w:r w:rsidR="001F51BE" w:rsidRPr="004E2E29">
        <w:rPr>
          <w:lang w:val="en-US"/>
        </w:rPr>
        <w:t xml:space="preserve"> and </w:t>
      </w:r>
      <w:proofErr w:type="spellStart"/>
      <w:r w:rsidR="001F51BE" w:rsidRPr="004E2E29">
        <w:rPr>
          <w:lang w:val="en-US"/>
        </w:rPr>
        <w:t>Ms</w:t>
      </w:r>
      <w:proofErr w:type="spellEnd"/>
      <w:r w:rsidR="001F51BE" w:rsidRPr="004E2E29">
        <w:rPr>
          <w:lang w:val="en-US"/>
        </w:rPr>
        <w:t xml:space="preserve"> Ram</w:t>
      </w:r>
      <w:r w:rsidR="00472E5A" w:rsidRPr="004E2E29">
        <w:rPr>
          <w:lang w:val="en-US"/>
        </w:rPr>
        <w:t xml:space="preserve">, who, despite not formally opposing the application effectively opposed it, I am not persuaded that a punitive costs order should be granted. </w:t>
      </w:r>
      <w:r w:rsidR="004E2E29">
        <w:rPr>
          <w:lang w:val="en-US"/>
        </w:rPr>
        <w:t>A</w:t>
      </w:r>
      <w:r w:rsidR="00472E5A" w:rsidRPr="004E2E29">
        <w:rPr>
          <w:lang w:val="en-US"/>
        </w:rPr>
        <w:t>s the application was however unsuccessful, there is no reason to deviate from the normal principle that costs follow the result. It follows that the Authority should be liable for the costs</w:t>
      </w:r>
      <w:r w:rsidR="004C31F0" w:rsidRPr="004E2E29">
        <w:rPr>
          <w:lang w:val="en-US"/>
        </w:rPr>
        <w:t xml:space="preserve"> of the urgent application</w:t>
      </w:r>
      <w:r w:rsidR="00472E5A" w:rsidRPr="004E2E29">
        <w:rPr>
          <w:lang w:val="en-US"/>
        </w:rPr>
        <w:t xml:space="preserve">. </w:t>
      </w:r>
    </w:p>
    <w:p w:rsidR="004C31F0" w:rsidRPr="003127E7" w:rsidRDefault="001A42E5" w:rsidP="001A42E5">
      <w:pPr>
        <w:pStyle w:val="level1"/>
        <w:numPr>
          <w:ilvl w:val="0"/>
          <w:numId w:val="0"/>
        </w:numPr>
        <w:spacing w:after="480" w:line="360" w:lineRule="auto"/>
        <w:jc w:val="both"/>
        <w:rPr>
          <w:lang w:val="en-US"/>
        </w:rPr>
      </w:pPr>
      <w:r>
        <w:rPr>
          <w:lang w:val="en-US"/>
        </w:rPr>
        <w:t>[119]</w:t>
      </w:r>
      <w:r>
        <w:rPr>
          <w:lang w:val="en-US"/>
        </w:rPr>
        <w:tab/>
      </w:r>
      <w:proofErr w:type="gramStart"/>
      <w:r w:rsidR="004C31F0" w:rsidRPr="003127E7">
        <w:rPr>
          <w:lang w:val="en-US"/>
        </w:rPr>
        <w:t>The</w:t>
      </w:r>
      <w:proofErr w:type="gramEnd"/>
      <w:r w:rsidR="004C31F0" w:rsidRPr="003127E7">
        <w:rPr>
          <w:lang w:val="en-US"/>
        </w:rPr>
        <w:t xml:space="preserve"> costs of </w:t>
      </w:r>
      <w:proofErr w:type="spellStart"/>
      <w:r w:rsidR="004C31F0" w:rsidRPr="003127E7">
        <w:rPr>
          <w:lang w:val="en-US"/>
        </w:rPr>
        <w:t>Ms</w:t>
      </w:r>
      <w:proofErr w:type="spellEnd"/>
      <w:r w:rsidR="004C31F0" w:rsidRPr="003127E7">
        <w:rPr>
          <w:lang w:val="en-US"/>
        </w:rPr>
        <w:t xml:space="preserve"> Ram’s intervention application were contentious, albeit that the parties consented to her intervention. </w:t>
      </w:r>
      <w:proofErr w:type="spellStart"/>
      <w:r w:rsidR="004C31F0" w:rsidRPr="003127E7">
        <w:rPr>
          <w:lang w:val="en-US"/>
        </w:rPr>
        <w:t>Ms</w:t>
      </w:r>
      <w:proofErr w:type="spellEnd"/>
      <w:r w:rsidR="004C31F0" w:rsidRPr="003127E7">
        <w:rPr>
          <w:lang w:val="en-US"/>
        </w:rPr>
        <w:t xml:space="preserve"> Ram sought an order directing the Authority to pay her costs, given that she was obliged to enter the fray pursuant to the reservation of the costs of the urgent application.  There is </w:t>
      </w:r>
      <w:r w:rsidR="006D3B14" w:rsidRPr="003127E7">
        <w:rPr>
          <w:lang w:val="en-US"/>
        </w:rPr>
        <w:t xml:space="preserve">no </w:t>
      </w:r>
      <w:r w:rsidR="004C31F0" w:rsidRPr="003127E7">
        <w:rPr>
          <w:lang w:val="en-US"/>
        </w:rPr>
        <w:t xml:space="preserve">merit in that argument. </w:t>
      </w:r>
      <w:proofErr w:type="spellStart"/>
      <w:r w:rsidR="004C31F0" w:rsidRPr="003127E7">
        <w:rPr>
          <w:lang w:val="en-US"/>
        </w:rPr>
        <w:t>Ms</w:t>
      </w:r>
      <w:proofErr w:type="spellEnd"/>
      <w:r w:rsidR="004C31F0" w:rsidRPr="003127E7">
        <w:rPr>
          <w:lang w:val="en-US"/>
        </w:rPr>
        <w:t xml:space="preserve"> Ram did not limit her intervention to the costs of the urgent application. Instead she fully entered into the fray and introduced issues pertaining to her disputes with BDO and the Authority on various fronts.</w:t>
      </w:r>
      <w:r w:rsidR="004E2E29" w:rsidRPr="003127E7">
        <w:rPr>
          <w:lang w:val="en-US"/>
        </w:rPr>
        <w:t xml:space="preserve"> </w:t>
      </w:r>
      <w:proofErr w:type="spellStart"/>
      <w:r w:rsidR="004E2E29" w:rsidRPr="003127E7">
        <w:rPr>
          <w:lang w:val="en-US"/>
        </w:rPr>
        <w:t>Ms</w:t>
      </w:r>
      <w:proofErr w:type="spellEnd"/>
      <w:r w:rsidR="004E2E29" w:rsidRPr="003127E7">
        <w:rPr>
          <w:lang w:val="en-US"/>
        </w:rPr>
        <w:t xml:space="preserve"> Ram did not simply rely on the extensive papers filed in the urgent application to argue the issue of costs, but delivered affidavits raising substantial additional facts and issues.</w:t>
      </w:r>
      <w:r w:rsidR="004C31F0" w:rsidRPr="003127E7">
        <w:rPr>
          <w:lang w:val="en-US"/>
        </w:rPr>
        <w:t xml:space="preserve"> In so doing, </w:t>
      </w:r>
      <w:r w:rsidR="001F51BE" w:rsidRPr="003127E7">
        <w:rPr>
          <w:lang w:val="en-US"/>
        </w:rPr>
        <w:t xml:space="preserve">she was </w:t>
      </w:r>
      <w:r w:rsidR="00863F06" w:rsidRPr="003127E7">
        <w:rPr>
          <w:lang w:val="en-US"/>
        </w:rPr>
        <w:t xml:space="preserve">primarily </w:t>
      </w:r>
      <w:r w:rsidR="001F51BE" w:rsidRPr="003127E7">
        <w:rPr>
          <w:lang w:val="en-US"/>
        </w:rPr>
        <w:t>advancing her own interests</w:t>
      </w:r>
      <w:r w:rsidR="004E2E29" w:rsidRPr="003127E7">
        <w:rPr>
          <w:lang w:val="en-US"/>
        </w:rPr>
        <w:t xml:space="preserve">, adopting the position that she was protecting her career and </w:t>
      </w:r>
      <w:r w:rsidR="001F51BE" w:rsidRPr="003127E7">
        <w:rPr>
          <w:lang w:val="en-US"/>
        </w:rPr>
        <w:t xml:space="preserve">professional reputation.  </w:t>
      </w:r>
    </w:p>
    <w:p w:rsidR="00863F06" w:rsidRDefault="001A42E5" w:rsidP="001A42E5">
      <w:pPr>
        <w:pStyle w:val="level1"/>
        <w:numPr>
          <w:ilvl w:val="0"/>
          <w:numId w:val="0"/>
        </w:numPr>
        <w:spacing w:after="480" w:line="360" w:lineRule="auto"/>
        <w:jc w:val="both"/>
        <w:rPr>
          <w:lang w:val="en-US"/>
        </w:rPr>
      </w:pPr>
      <w:r>
        <w:rPr>
          <w:lang w:val="en-US"/>
        </w:rPr>
        <w:t>[120]</w:t>
      </w:r>
      <w:r>
        <w:rPr>
          <w:lang w:val="en-US"/>
        </w:rPr>
        <w:tab/>
      </w:r>
      <w:r w:rsidR="004E2E29" w:rsidRPr="00863F06">
        <w:rPr>
          <w:lang w:val="en-US"/>
        </w:rPr>
        <w:t xml:space="preserve">The conduct of </w:t>
      </w:r>
      <w:proofErr w:type="spellStart"/>
      <w:r w:rsidR="004E2E29" w:rsidRPr="00863F06">
        <w:rPr>
          <w:lang w:val="en-US"/>
        </w:rPr>
        <w:t>Ms</w:t>
      </w:r>
      <w:proofErr w:type="spellEnd"/>
      <w:r w:rsidR="004E2E29" w:rsidRPr="00863F06">
        <w:rPr>
          <w:lang w:val="en-US"/>
        </w:rPr>
        <w:t xml:space="preserve"> Ram in relation to the matter has </w:t>
      </w:r>
      <w:r w:rsidR="00863F06" w:rsidRPr="00863F06">
        <w:rPr>
          <w:lang w:val="en-US"/>
        </w:rPr>
        <w:t xml:space="preserve">had </w:t>
      </w:r>
      <w:r w:rsidR="004E2E29" w:rsidRPr="00863F06">
        <w:rPr>
          <w:lang w:val="en-US"/>
        </w:rPr>
        <w:t xml:space="preserve">a substantial impact on the </w:t>
      </w:r>
      <w:r w:rsidR="00944E2C">
        <w:rPr>
          <w:lang w:val="en-US"/>
        </w:rPr>
        <w:t xml:space="preserve">delays and the </w:t>
      </w:r>
      <w:r w:rsidR="004E2E29" w:rsidRPr="00863F06">
        <w:rPr>
          <w:lang w:val="en-US"/>
        </w:rPr>
        <w:t xml:space="preserve">additional costs which were incurred by both the Authority and 3Sixty after the hearing of the matter on 22 March 2022. It was her purported resignation on 26 April 2022 which resulted in </w:t>
      </w:r>
      <w:r w:rsidR="00863F06">
        <w:rPr>
          <w:lang w:val="en-US"/>
        </w:rPr>
        <w:t>extensive delays and substantial additional costs being incurred by the parties</w:t>
      </w:r>
      <w:r w:rsidR="004E2E29" w:rsidRPr="00863F06">
        <w:rPr>
          <w:lang w:val="en-US"/>
        </w:rPr>
        <w:t xml:space="preserve">. </w:t>
      </w:r>
    </w:p>
    <w:p w:rsidR="004E2E29" w:rsidRDefault="001A42E5" w:rsidP="001A42E5">
      <w:pPr>
        <w:pStyle w:val="level1"/>
        <w:numPr>
          <w:ilvl w:val="0"/>
          <w:numId w:val="0"/>
        </w:numPr>
        <w:spacing w:after="480" w:line="360" w:lineRule="auto"/>
        <w:jc w:val="both"/>
        <w:rPr>
          <w:lang w:val="en-US"/>
        </w:rPr>
      </w:pPr>
      <w:r>
        <w:rPr>
          <w:lang w:val="en-US"/>
        </w:rPr>
        <w:t>[121]</w:t>
      </w:r>
      <w:r>
        <w:rPr>
          <w:lang w:val="en-US"/>
        </w:rPr>
        <w:tab/>
      </w:r>
      <w:r w:rsidR="00944E2C">
        <w:rPr>
          <w:lang w:val="en-US"/>
        </w:rPr>
        <w:t>By way of example, w</w:t>
      </w:r>
      <w:r w:rsidR="006C1A01" w:rsidRPr="006C1A01">
        <w:rPr>
          <w:lang w:val="en-US"/>
        </w:rPr>
        <w:t>hen</w:t>
      </w:r>
      <w:r w:rsidR="004E2E29" w:rsidRPr="006C1A01">
        <w:rPr>
          <w:lang w:val="en-US"/>
        </w:rPr>
        <w:t xml:space="preserve"> the parties were afforded an opportunity to make further submissions</w:t>
      </w:r>
      <w:r w:rsidR="00863F06" w:rsidRPr="006C1A01">
        <w:rPr>
          <w:lang w:val="en-US"/>
        </w:rPr>
        <w:t xml:space="preserve"> pertaining to </w:t>
      </w:r>
      <w:proofErr w:type="spellStart"/>
      <w:r w:rsidR="00863F06" w:rsidRPr="006C1A01">
        <w:rPr>
          <w:lang w:val="en-US"/>
        </w:rPr>
        <w:t>Ms</w:t>
      </w:r>
      <w:proofErr w:type="spellEnd"/>
      <w:r w:rsidR="00863F06" w:rsidRPr="006C1A01">
        <w:rPr>
          <w:lang w:val="en-US"/>
        </w:rPr>
        <w:t xml:space="preserve"> Ram’s resignation</w:t>
      </w:r>
      <w:r w:rsidR="004E2E29" w:rsidRPr="006C1A01">
        <w:rPr>
          <w:lang w:val="en-US"/>
        </w:rPr>
        <w:t xml:space="preserve">, </w:t>
      </w:r>
      <w:proofErr w:type="spellStart"/>
      <w:r w:rsidR="006C1A01" w:rsidRPr="006C1A01">
        <w:rPr>
          <w:lang w:val="en-US"/>
        </w:rPr>
        <w:t>Ms</w:t>
      </w:r>
      <w:proofErr w:type="spellEnd"/>
      <w:r w:rsidR="006C1A01" w:rsidRPr="006C1A01">
        <w:rPr>
          <w:lang w:val="en-US"/>
        </w:rPr>
        <w:t xml:space="preserve"> Ram only did so after the</w:t>
      </w:r>
      <w:r w:rsidR="004E2E29" w:rsidRPr="006C1A01">
        <w:rPr>
          <w:lang w:val="en-US"/>
        </w:rPr>
        <w:t xml:space="preserve"> designated date</w:t>
      </w:r>
      <w:r w:rsidR="006C1A01" w:rsidRPr="006C1A01">
        <w:rPr>
          <w:lang w:val="en-US"/>
        </w:rPr>
        <w:t xml:space="preserve"> by way of an </w:t>
      </w:r>
      <w:r w:rsidR="004E2E29" w:rsidRPr="006C1A01">
        <w:rPr>
          <w:lang w:val="en-US"/>
        </w:rPr>
        <w:t>affidavit containing redactions</w:t>
      </w:r>
      <w:r w:rsidR="006C1A01" w:rsidRPr="006C1A01">
        <w:rPr>
          <w:lang w:val="en-US"/>
        </w:rPr>
        <w:t>. A</w:t>
      </w:r>
      <w:r w:rsidR="004E2E29" w:rsidRPr="006C1A01">
        <w:rPr>
          <w:lang w:val="en-US"/>
        </w:rPr>
        <w:t xml:space="preserve">n </w:t>
      </w:r>
      <w:proofErr w:type="spellStart"/>
      <w:r w:rsidR="004E2E29" w:rsidRPr="006C1A01">
        <w:rPr>
          <w:lang w:val="en-US"/>
        </w:rPr>
        <w:t>unredacted</w:t>
      </w:r>
      <w:proofErr w:type="spellEnd"/>
      <w:r w:rsidR="004E2E29" w:rsidRPr="006C1A01">
        <w:rPr>
          <w:lang w:val="en-US"/>
        </w:rPr>
        <w:t xml:space="preserve"> version of </w:t>
      </w:r>
      <w:proofErr w:type="spellStart"/>
      <w:r w:rsidR="004E2E29" w:rsidRPr="006C1A01">
        <w:rPr>
          <w:lang w:val="en-US"/>
        </w:rPr>
        <w:t>Ms</w:t>
      </w:r>
      <w:proofErr w:type="spellEnd"/>
      <w:r w:rsidR="004E2E29" w:rsidRPr="006C1A01">
        <w:rPr>
          <w:lang w:val="en-US"/>
        </w:rPr>
        <w:t xml:space="preserve"> Ram’s affidavit was inexplicably sent via email to the court only. The parties were notified that the court would not read that affidavit and a case management meeting was convened </w:t>
      </w:r>
      <w:r w:rsidR="004E2E29" w:rsidRPr="006C1A01">
        <w:rPr>
          <w:lang w:val="en-US"/>
        </w:rPr>
        <w:lastRenderedPageBreak/>
        <w:t xml:space="preserve">between the parties on 1 June 2022, pursuant to which directives were issued by agreement between the parties that the </w:t>
      </w:r>
      <w:proofErr w:type="spellStart"/>
      <w:r w:rsidR="004E2E29" w:rsidRPr="006C1A01">
        <w:rPr>
          <w:lang w:val="en-US"/>
        </w:rPr>
        <w:t>unredacted</w:t>
      </w:r>
      <w:proofErr w:type="spellEnd"/>
      <w:r w:rsidR="004E2E29" w:rsidRPr="006C1A01">
        <w:rPr>
          <w:lang w:val="en-US"/>
        </w:rPr>
        <w:t xml:space="preserve"> affidavit should be ignored</w:t>
      </w:r>
      <w:r w:rsidR="003127E7">
        <w:rPr>
          <w:lang w:val="en-US"/>
        </w:rPr>
        <w:t>.</w:t>
      </w:r>
      <w:r w:rsidR="004E2E29" w:rsidRPr="006C1A01">
        <w:rPr>
          <w:lang w:val="en-US"/>
        </w:rPr>
        <w:t xml:space="preserve"> </w:t>
      </w:r>
      <w:proofErr w:type="spellStart"/>
      <w:r w:rsidR="004E2E29" w:rsidRPr="006C1A01">
        <w:rPr>
          <w:lang w:val="en-US"/>
        </w:rPr>
        <w:t>Ms</w:t>
      </w:r>
      <w:proofErr w:type="spellEnd"/>
      <w:r w:rsidR="004E2E29" w:rsidRPr="006C1A01">
        <w:rPr>
          <w:lang w:val="en-US"/>
        </w:rPr>
        <w:t xml:space="preserve"> Ram would provide an affidavit to the parties on a confidential basis</w:t>
      </w:r>
      <w:r w:rsidR="00944E2C">
        <w:rPr>
          <w:lang w:val="en-US"/>
        </w:rPr>
        <w:t>, pursuant to which</w:t>
      </w:r>
      <w:r w:rsidR="004E2E29" w:rsidRPr="006C1A01">
        <w:rPr>
          <w:lang w:val="en-US"/>
        </w:rPr>
        <w:t xml:space="preserve"> the parties would </w:t>
      </w:r>
      <w:r w:rsidR="00944E2C">
        <w:rPr>
          <w:lang w:val="en-US"/>
        </w:rPr>
        <w:t>c</w:t>
      </w:r>
      <w:r w:rsidR="004E2E29" w:rsidRPr="006C1A01">
        <w:rPr>
          <w:lang w:val="en-US"/>
        </w:rPr>
        <w:t xml:space="preserve">onvey their views to the court, </w:t>
      </w:r>
      <w:r w:rsidR="00944E2C">
        <w:rPr>
          <w:lang w:val="en-US"/>
        </w:rPr>
        <w:t>after</w:t>
      </w:r>
      <w:r w:rsidR="004E2E29" w:rsidRPr="006C1A01">
        <w:rPr>
          <w:lang w:val="en-US"/>
        </w:rPr>
        <w:t xml:space="preserve"> which further directions would be given, if necessary. </w:t>
      </w:r>
      <w:r w:rsidR="006C1A01">
        <w:rPr>
          <w:lang w:val="en-US"/>
        </w:rPr>
        <w:t>A</w:t>
      </w:r>
      <w:r w:rsidR="004E2E29" w:rsidRPr="006C1A01">
        <w:rPr>
          <w:lang w:val="en-US"/>
        </w:rPr>
        <w:t xml:space="preserve">n affidavit was eventually produced </w:t>
      </w:r>
      <w:r w:rsidR="00944E2C">
        <w:rPr>
          <w:lang w:val="en-US"/>
        </w:rPr>
        <w:t xml:space="preserve">by </w:t>
      </w:r>
      <w:proofErr w:type="spellStart"/>
      <w:r w:rsidR="00944E2C">
        <w:rPr>
          <w:lang w:val="en-US"/>
        </w:rPr>
        <w:t>Ms</w:t>
      </w:r>
      <w:proofErr w:type="spellEnd"/>
      <w:r w:rsidR="00944E2C">
        <w:rPr>
          <w:lang w:val="en-US"/>
        </w:rPr>
        <w:t xml:space="preserve"> Ram </w:t>
      </w:r>
      <w:r w:rsidR="004E2E29" w:rsidRPr="006C1A01">
        <w:rPr>
          <w:lang w:val="en-US"/>
        </w:rPr>
        <w:t>on 8 June 2022</w:t>
      </w:r>
      <w:r w:rsidR="006C1A01">
        <w:rPr>
          <w:lang w:val="en-US"/>
        </w:rPr>
        <w:t xml:space="preserve">, without any condonation application, albeit that the affidavit was delivered </w:t>
      </w:r>
      <w:r w:rsidR="003127E7">
        <w:rPr>
          <w:lang w:val="en-US"/>
        </w:rPr>
        <w:t>late.</w:t>
      </w:r>
      <w:r w:rsidR="004E2E29" w:rsidRPr="006C1A01">
        <w:rPr>
          <w:lang w:val="en-US"/>
        </w:rPr>
        <w:t xml:space="preserve"> </w:t>
      </w:r>
      <w:proofErr w:type="spellStart"/>
      <w:r w:rsidR="004E2E29" w:rsidRPr="006C1A01">
        <w:rPr>
          <w:lang w:val="en-US"/>
        </w:rPr>
        <w:t>Ms</w:t>
      </w:r>
      <w:proofErr w:type="spellEnd"/>
      <w:r w:rsidR="004E2E29" w:rsidRPr="006C1A01">
        <w:rPr>
          <w:lang w:val="en-US"/>
        </w:rPr>
        <w:t xml:space="preserve"> Ram </w:t>
      </w:r>
      <w:r w:rsidR="003127E7">
        <w:rPr>
          <w:lang w:val="en-US"/>
        </w:rPr>
        <w:t xml:space="preserve">then </w:t>
      </w:r>
      <w:r w:rsidR="004E2E29" w:rsidRPr="006C1A01">
        <w:rPr>
          <w:lang w:val="en-US"/>
        </w:rPr>
        <w:t xml:space="preserve">abandoned her claim to confidentiality of the affidavit by way of correspondence. </w:t>
      </w:r>
    </w:p>
    <w:p w:rsidR="00944E2C" w:rsidRDefault="001A42E5" w:rsidP="001A42E5">
      <w:pPr>
        <w:pStyle w:val="level1"/>
        <w:numPr>
          <w:ilvl w:val="0"/>
          <w:numId w:val="0"/>
        </w:numPr>
        <w:spacing w:after="480" w:line="360" w:lineRule="auto"/>
        <w:jc w:val="both"/>
        <w:rPr>
          <w:lang w:val="en-US"/>
        </w:rPr>
      </w:pPr>
      <w:r>
        <w:rPr>
          <w:lang w:val="en-US"/>
        </w:rPr>
        <w:t>[122]</w:t>
      </w:r>
      <w:r>
        <w:rPr>
          <w:lang w:val="en-US"/>
        </w:rPr>
        <w:tab/>
      </w:r>
      <w:proofErr w:type="spellStart"/>
      <w:r w:rsidR="00E705B3">
        <w:rPr>
          <w:lang w:val="en-US"/>
        </w:rPr>
        <w:t>Ms</w:t>
      </w:r>
      <w:proofErr w:type="spellEnd"/>
      <w:r w:rsidR="00E705B3">
        <w:rPr>
          <w:lang w:val="en-US"/>
        </w:rPr>
        <w:t xml:space="preserve"> Ram could have abided the </w:t>
      </w:r>
      <w:r w:rsidR="003127E7">
        <w:rPr>
          <w:lang w:val="en-US"/>
        </w:rPr>
        <w:t>court’s decision</w:t>
      </w:r>
      <w:r w:rsidR="00E705B3">
        <w:rPr>
          <w:lang w:val="en-US"/>
        </w:rPr>
        <w:t xml:space="preserve"> and simply delivered her reports and affidavits, which would have been considered. Instead, </w:t>
      </w:r>
      <w:proofErr w:type="spellStart"/>
      <w:r w:rsidR="00E705B3">
        <w:rPr>
          <w:lang w:val="en-US"/>
        </w:rPr>
        <w:t>Ms</w:t>
      </w:r>
      <w:proofErr w:type="spellEnd"/>
      <w:r w:rsidR="00E705B3">
        <w:rPr>
          <w:lang w:val="en-US"/>
        </w:rPr>
        <w:t xml:space="preserve"> Ram’s conduct belied that </w:t>
      </w:r>
      <w:r w:rsidR="003127E7">
        <w:rPr>
          <w:lang w:val="en-US"/>
        </w:rPr>
        <w:t>position</w:t>
      </w:r>
      <w:r w:rsidR="00E705B3">
        <w:rPr>
          <w:lang w:val="en-US"/>
        </w:rPr>
        <w:t xml:space="preserve"> and she adopted an adversarial stance to the Authority and effectively opposed it at every turn</w:t>
      </w:r>
      <w:r w:rsidR="009A2FEF">
        <w:rPr>
          <w:lang w:val="en-US"/>
        </w:rPr>
        <w:t>.</w:t>
      </w:r>
      <w:r w:rsidR="00E705B3">
        <w:rPr>
          <w:rStyle w:val="FootnoteReference"/>
          <w:lang w:val="en-US"/>
        </w:rPr>
        <w:footnoteReference w:id="41"/>
      </w:r>
      <w:r w:rsidR="00E705B3">
        <w:rPr>
          <w:lang w:val="en-US"/>
        </w:rPr>
        <w:t xml:space="preserve"> That stance did not facilitate the determination of the real issues in this application but were rather </w:t>
      </w:r>
      <w:r w:rsidR="003127E7">
        <w:rPr>
          <w:lang w:val="en-US"/>
        </w:rPr>
        <w:t xml:space="preserve">primarily </w:t>
      </w:r>
      <w:r w:rsidR="00E705B3">
        <w:rPr>
          <w:lang w:val="en-US"/>
        </w:rPr>
        <w:t xml:space="preserve">aimed at </w:t>
      </w:r>
      <w:proofErr w:type="spellStart"/>
      <w:r w:rsidR="00E705B3">
        <w:rPr>
          <w:lang w:val="en-US"/>
        </w:rPr>
        <w:t>Ms</w:t>
      </w:r>
      <w:proofErr w:type="spellEnd"/>
      <w:r w:rsidR="00E705B3">
        <w:rPr>
          <w:lang w:val="en-US"/>
        </w:rPr>
        <w:t xml:space="preserve"> Ram’s own interests rather than those of the curatorship.</w:t>
      </w:r>
      <w:r w:rsidR="00E705B3" w:rsidRPr="00E705B3">
        <w:rPr>
          <w:lang w:val="en-US"/>
        </w:rPr>
        <w:t xml:space="preserve"> </w:t>
      </w:r>
      <w:r w:rsidR="00E705B3">
        <w:rPr>
          <w:lang w:val="en-US"/>
        </w:rPr>
        <w:t xml:space="preserve">Having regard to the facts, </w:t>
      </w:r>
      <w:proofErr w:type="spellStart"/>
      <w:r w:rsidR="00E705B3">
        <w:rPr>
          <w:lang w:val="en-US"/>
        </w:rPr>
        <w:t>Ms</w:t>
      </w:r>
      <w:proofErr w:type="spellEnd"/>
      <w:r w:rsidR="00E705B3">
        <w:rPr>
          <w:lang w:val="en-US"/>
        </w:rPr>
        <w:t xml:space="preserve"> Ram </w:t>
      </w:r>
      <w:r w:rsidR="005236B3">
        <w:rPr>
          <w:lang w:val="en-US"/>
        </w:rPr>
        <w:t xml:space="preserve">should be held liable for her own costs. </w:t>
      </w:r>
    </w:p>
    <w:p w:rsidR="000B660F" w:rsidRDefault="001A42E5" w:rsidP="001A42E5">
      <w:pPr>
        <w:pStyle w:val="level1"/>
        <w:numPr>
          <w:ilvl w:val="0"/>
          <w:numId w:val="0"/>
        </w:numPr>
        <w:spacing w:after="480" w:line="360" w:lineRule="auto"/>
        <w:jc w:val="both"/>
        <w:rPr>
          <w:lang w:val="en-US"/>
        </w:rPr>
      </w:pPr>
      <w:r>
        <w:rPr>
          <w:lang w:val="en-US"/>
        </w:rPr>
        <w:t>[123]</w:t>
      </w:r>
      <w:r>
        <w:rPr>
          <w:lang w:val="en-US"/>
        </w:rPr>
        <w:tab/>
      </w:r>
      <w:r w:rsidR="00930836" w:rsidRPr="00E705B3">
        <w:rPr>
          <w:lang w:val="en-US"/>
        </w:rPr>
        <w:t xml:space="preserve">In relation to the </w:t>
      </w:r>
      <w:r w:rsidR="00EB2422" w:rsidRPr="00E705B3">
        <w:rPr>
          <w:lang w:val="en-US"/>
        </w:rPr>
        <w:t xml:space="preserve">main application, </w:t>
      </w:r>
      <w:r w:rsidR="00930836" w:rsidRPr="00E705B3">
        <w:rPr>
          <w:lang w:val="en-US"/>
        </w:rPr>
        <w:t xml:space="preserve">there is no reason to deviate from the normal principle that costs follow the result. </w:t>
      </w:r>
      <w:r w:rsidR="00E705B3" w:rsidRPr="00E705B3">
        <w:rPr>
          <w:lang w:val="en-US"/>
        </w:rPr>
        <w:t>As the Authority has been substantially successful</w:t>
      </w:r>
      <w:r w:rsidR="00443381">
        <w:rPr>
          <w:lang w:val="en-US"/>
        </w:rPr>
        <w:t>,</w:t>
      </w:r>
      <w:r w:rsidR="00E705B3" w:rsidRPr="00E705B3">
        <w:rPr>
          <w:lang w:val="en-US"/>
        </w:rPr>
        <w:t xml:space="preserve"> it is entitled to costs</w:t>
      </w:r>
      <w:r w:rsidR="00E705B3">
        <w:rPr>
          <w:lang w:val="en-US"/>
        </w:rPr>
        <w:t xml:space="preserve"> against</w:t>
      </w:r>
      <w:r w:rsidR="00E705B3" w:rsidRPr="00E705B3">
        <w:rPr>
          <w:lang w:val="en-US"/>
        </w:rPr>
        <w:t xml:space="preserve"> 3Sixty</w:t>
      </w:r>
      <w:r w:rsidR="00E705B3">
        <w:rPr>
          <w:lang w:val="en-US"/>
        </w:rPr>
        <w:t>.</w:t>
      </w:r>
    </w:p>
    <w:p w:rsidR="00930836" w:rsidRDefault="001A42E5" w:rsidP="001A42E5">
      <w:pPr>
        <w:pStyle w:val="level1"/>
        <w:numPr>
          <w:ilvl w:val="0"/>
          <w:numId w:val="0"/>
        </w:numPr>
        <w:spacing w:after="480" w:line="360" w:lineRule="auto"/>
        <w:jc w:val="both"/>
        <w:rPr>
          <w:lang w:val="en-US"/>
        </w:rPr>
      </w:pPr>
      <w:r>
        <w:rPr>
          <w:lang w:val="en-US"/>
        </w:rPr>
        <w:t>[124]</w:t>
      </w:r>
      <w:r>
        <w:rPr>
          <w:lang w:val="en-US"/>
        </w:rPr>
        <w:tab/>
      </w:r>
      <w:proofErr w:type="gramStart"/>
      <w:r w:rsidR="00930836" w:rsidRPr="00E705B3">
        <w:rPr>
          <w:lang w:val="en-US"/>
        </w:rPr>
        <w:t>Considering</w:t>
      </w:r>
      <w:proofErr w:type="gramEnd"/>
      <w:r w:rsidR="00930836" w:rsidRPr="00E705B3">
        <w:rPr>
          <w:lang w:val="en-US"/>
        </w:rPr>
        <w:t xml:space="preserve"> the issues which arose in these proceedings, the employment of two counsel was justified.</w:t>
      </w:r>
    </w:p>
    <w:p w:rsidR="00003646" w:rsidRDefault="00003646" w:rsidP="00414BC6">
      <w:pPr>
        <w:pStyle w:val="level1"/>
        <w:numPr>
          <w:ilvl w:val="0"/>
          <w:numId w:val="0"/>
        </w:numPr>
        <w:spacing w:after="480" w:line="360" w:lineRule="auto"/>
        <w:jc w:val="both"/>
        <w:rPr>
          <w:lang w:val="en-US"/>
        </w:rPr>
      </w:pPr>
      <w:r>
        <w:rPr>
          <w:lang w:val="en-US"/>
        </w:rPr>
        <w:t>Order</w:t>
      </w:r>
    </w:p>
    <w:p w:rsidR="003F7DD8" w:rsidRPr="00731929" w:rsidRDefault="009A2FEF" w:rsidP="001A42E5">
      <w:pPr>
        <w:pStyle w:val="level1"/>
        <w:numPr>
          <w:ilvl w:val="0"/>
          <w:numId w:val="0"/>
        </w:numPr>
        <w:spacing w:after="480" w:line="360" w:lineRule="auto"/>
        <w:jc w:val="both"/>
        <w:rPr>
          <w:lang w:val="en-US"/>
        </w:rPr>
      </w:pPr>
      <w:r>
        <w:rPr>
          <w:lang w:val="en-US"/>
        </w:rPr>
        <w:t>[125]</w:t>
      </w:r>
      <w:r>
        <w:rPr>
          <w:lang w:val="en-US"/>
        </w:rPr>
        <w:tab/>
      </w:r>
      <w:r w:rsidR="003F7DD8" w:rsidRPr="00731929">
        <w:rPr>
          <w:lang w:val="en-US"/>
        </w:rPr>
        <w:t>I grant the following order:</w:t>
      </w:r>
    </w:p>
    <w:p w:rsidR="006063AC" w:rsidRDefault="0029252E" w:rsidP="000B660F">
      <w:pPr>
        <w:pStyle w:val="level1"/>
        <w:numPr>
          <w:ilvl w:val="0"/>
          <w:numId w:val="0"/>
        </w:numPr>
        <w:spacing w:after="480" w:line="360" w:lineRule="auto"/>
        <w:ind w:left="720"/>
        <w:jc w:val="both"/>
        <w:rPr>
          <w:lang w:val="en-US"/>
        </w:rPr>
      </w:pPr>
      <w:r>
        <w:rPr>
          <w:lang w:val="en-US"/>
        </w:rPr>
        <w:lastRenderedPageBreak/>
        <w:t>[1</w:t>
      </w:r>
      <w:r w:rsidR="009A2FEF">
        <w:rPr>
          <w:lang w:val="en-US"/>
        </w:rPr>
        <w:t xml:space="preserve">] </w:t>
      </w:r>
      <w:r>
        <w:rPr>
          <w:lang w:val="en-US"/>
        </w:rPr>
        <w:t>The</w:t>
      </w:r>
      <w:r w:rsidR="006063AC">
        <w:rPr>
          <w:lang w:val="en-US"/>
        </w:rPr>
        <w:t xml:space="preserve"> second respondent’s intervention application is dismissed with costs</w:t>
      </w:r>
      <w:r w:rsidR="000B660F">
        <w:rPr>
          <w:lang w:val="en-US"/>
        </w:rPr>
        <w:t>, including the costs of two counsel where employed</w:t>
      </w:r>
      <w:r w:rsidR="006063AC">
        <w:rPr>
          <w:lang w:val="en-US"/>
        </w:rPr>
        <w:t xml:space="preserve">; </w:t>
      </w:r>
    </w:p>
    <w:p w:rsidR="003F7DD8" w:rsidRPr="00207719" w:rsidRDefault="003F7DD8" w:rsidP="000B660F">
      <w:pPr>
        <w:pStyle w:val="level1"/>
        <w:numPr>
          <w:ilvl w:val="0"/>
          <w:numId w:val="0"/>
        </w:numPr>
        <w:spacing w:after="480" w:line="360" w:lineRule="auto"/>
        <w:ind w:firstLine="720"/>
        <w:jc w:val="both"/>
        <w:rPr>
          <w:lang w:val="en-US"/>
        </w:rPr>
      </w:pPr>
      <w:r w:rsidRPr="00207719">
        <w:rPr>
          <w:lang w:val="en-US"/>
        </w:rPr>
        <w:t>[</w:t>
      </w:r>
      <w:r w:rsidR="006063AC">
        <w:rPr>
          <w:lang w:val="en-US"/>
        </w:rPr>
        <w:t>2</w:t>
      </w:r>
      <w:r w:rsidR="009A2FEF">
        <w:rPr>
          <w:lang w:val="en-US"/>
        </w:rPr>
        <w:t xml:space="preserve">] </w:t>
      </w:r>
      <w:proofErr w:type="spellStart"/>
      <w:r w:rsidR="009A2FEF">
        <w:rPr>
          <w:lang w:val="en-US"/>
        </w:rPr>
        <w:t>Ms</w:t>
      </w:r>
      <w:proofErr w:type="spellEnd"/>
      <w:r w:rsidRPr="00207719">
        <w:rPr>
          <w:lang w:val="en-US"/>
        </w:rPr>
        <w:t xml:space="preserve"> Ram is granted leave to intervene as the third respondent;</w:t>
      </w:r>
    </w:p>
    <w:p w:rsidR="008F1582" w:rsidRDefault="008F1582" w:rsidP="008F1582">
      <w:pPr>
        <w:shd w:val="clear" w:color="auto" w:fill="FFFFFF"/>
        <w:spacing w:line="360" w:lineRule="auto"/>
        <w:ind w:left="720"/>
        <w:jc w:val="both"/>
        <w:rPr>
          <w:rFonts w:ascii="Arial" w:eastAsia="Times New Roman" w:hAnsi="Arial" w:cs="Arial"/>
          <w:color w:val="1D2228"/>
          <w:sz w:val="24"/>
          <w:szCs w:val="20"/>
          <w:lang w:eastAsia="en-ZA"/>
        </w:rPr>
      </w:pPr>
      <w:r w:rsidRPr="0029252E">
        <w:rPr>
          <w:rFonts w:ascii="Arial" w:eastAsia="Times New Roman" w:hAnsi="Arial" w:cs="Arial"/>
          <w:color w:val="1D2228"/>
          <w:sz w:val="24"/>
          <w:szCs w:val="20"/>
          <w:lang w:eastAsia="en-ZA"/>
        </w:rPr>
        <w:t>[</w:t>
      </w:r>
      <w:r>
        <w:rPr>
          <w:rFonts w:ascii="Arial" w:eastAsia="Times New Roman" w:hAnsi="Arial" w:cs="Arial"/>
          <w:color w:val="1D2228"/>
          <w:sz w:val="24"/>
          <w:szCs w:val="20"/>
          <w:lang w:eastAsia="en-ZA"/>
        </w:rPr>
        <w:t>3</w:t>
      </w:r>
      <w:r w:rsidRPr="0029252E">
        <w:rPr>
          <w:rFonts w:ascii="Arial" w:eastAsia="Times New Roman" w:hAnsi="Arial" w:cs="Arial"/>
          <w:color w:val="1D2228"/>
          <w:sz w:val="24"/>
          <w:szCs w:val="20"/>
          <w:lang w:eastAsia="en-ZA"/>
        </w:rPr>
        <w:t>]</w:t>
      </w:r>
      <w:r>
        <w:rPr>
          <w:rFonts w:ascii="Arial" w:eastAsia="Times New Roman" w:hAnsi="Arial" w:cs="Arial"/>
          <w:color w:val="1D2228"/>
          <w:sz w:val="24"/>
          <w:szCs w:val="20"/>
          <w:lang w:eastAsia="en-ZA"/>
        </w:rPr>
        <w:t xml:space="preserve"> Paragraphs</w:t>
      </w:r>
      <w:r w:rsidRPr="0029252E">
        <w:rPr>
          <w:rFonts w:ascii="Arial" w:eastAsia="Times New Roman" w:hAnsi="Arial" w:cs="Arial"/>
          <w:color w:val="1D2228"/>
          <w:sz w:val="24"/>
          <w:szCs w:val="20"/>
          <w:lang w:eastAsia="en-ZA"/>
        </w:rPr>
        <w:t xml:space="preserve"> 3, 5</w:t>
      </w:r>
      <w:r w:rsidR="007570EB">
        <w:rPr>
          <w:rFonts w:ascii="Arial" w:eastAsia="Times New Roman" w:hAnsi="Arial" w:cs="Arial"/>
          <w:color w:val="1D2228"/>
          <w:sz w:val="24"/>
          <w:szCs w:val="20"/>
          <w:lang w:eastAsia="en-ZA"/>
        </w:rPr>
        <w:t xml:space="preserve">, 7, 8.1, 8.2 and </w:t>
      </w:r>
      <w:r w:rsidRPr="0029252E">
        <w:rPr>
          <w:rFonts w:ascii="Arial" w:eastAsia="Times New Roman" w:hAnsi="Arial" w:cs="Arial"/>
          <w:color w:val="1D2228"/>
          <w:sz w:val="24"/>
          <w:szCs w:val="20"/>
          <w:lang w:eastAsia="en-ZA"/>
        </w:rPr>
        <w:t xml:space="preserve">8.3 of the </w:t>
      </w:r>
      <w:r>
        <w:rPr>
          <w:rFonts w:ascii="Arial" w:eastAsia="Times New Roman" w:hAnsi="Arial" w:cs="Arial"/>
          <w:color w:val="1D2228"/>
          <w:sz w:val="24"/>
          <w:szCs w:val="20"/>
          <w:lang w:eastAsia="en-ZA"/>
        </w:rPr>
        <w:t xml:space="preserve">provisional </w:t>
      </w:r>
      <w:r w:rsidRPr="0029252E">
        <w:rPr>
          <w:rFonts w:ascii="Arial" w:eastAsia="Times New Roman" w:hAnsi="Arial" w:cs="Arial"/>
          <w:color w:val="1D2228"/>
          <w:sz w:val="24"/>
          <w:szCs w:val="20"/>
          <w:lang w:eastAsia="en-ZA"/>
        </w:rPr>
        <w:t xml:space="preserve">order of 21 December 2021 </w:t>
      </w:r>
      <w:r w:rsidR="007570EB">
        <w:rPr>
          <w:rFonts w:ascii="Arial" w:eastAsia="Times New Roman" w:hAnsi="Arial" w:cs="Arial"/>
          <w:color w:val="1D2228"/>
          <w:sz w:val="24"/>
          <w:szCs w:val="20"/>
          <w:lang w:eastAsia="en-ZA"/>
        </w:rPr>
        <w:t>are</w:t>
      </w:r>
      <w:r w:rsidRPr="0029252E">
        <w:rPr>
          <w:rFonts w:ascii="Arial" w:eastAsia="Times New Roman" w:hAnsi="Arial" w:cs="Arial"/>
          <w:color w:val="1D2228"/>
          <w:sz w:val="24"/>
          <w:szCs w:val="20"/>
          <w:lang w:eastAsia="en-ZA"/>
        </w:rPr>
        <w:t xml:space="preserve"> confirmed and </w:t>
      </w:r>
      <w:r w:rsidR="007570EB">
        <w:rPr>
          <w:rFonts w:ascii="Arial" w:eastAsia="Times New Roman" w:hAnsi="Arial" w:cs="Arial"/>
          <w:color w:val="1D2228"/>
          <w:sz w:val="24"/>
          <w:szCs w:val="20"/>
          <w:lang w:eastAsia="en-ZA"/>
        </w:rPr>
        <w:t xml:space="preserve">rendered final and </w:t>
      </w:r>
      <w:r w:rsidRPr="0029252E">
        <w:rPr>
          <w:rFonts w:ascii="Arial" w:eastAsia="Times New Roman" w:hAnsi="Arial" w:cs="Arial"/>
          <w:color w:val="1D2228"/>
          <w:sz w:val="24"/>
          <w:szCs w:val="20"/>
          <w:lang w:eastAsia="en-ZA"/>
        </w:rPr>
        <w:t>the business of the first respondent is placed under final curatorship</w:t>
      </w:r>
      <w:r>
        <w:rPr>
          <w:rFonts w:ascii="Arial" w:eastAsia="Times New Roman" w:hAnsi="Arial" w:cs="Arial"/>
          <w:color w:val="1D2228"/>
          <w:sz w:val="24"/>
          <w:szCs w:val="20"/>
          <w:lang w:eastAsia="en-ZA"/>
        </w:rPr>
        <w:t>;</w:t>
      </w:r>
    </w:p>
    <w:p w:rsidR="008F1582" w:rsidRPr="0029252E" w:rsidRDefault="008F1582" w:rsidP="008F1582">
      <w:pPr>
        <w:shd w:val="clear" w:color="auto" w:fill="FFFFFF"/>
        <w:spacing w:after="0" w:line="240" w:lineRule="auto"/>
        <w:ind w:left="720"/>
        <w:jc w:val="both"/>
        <w:rPr>
          <w:rFonts w:ascii="Arial" w:eastAsia="Times New Roman" w:hAnsi="Arial" w:cs="Arial"/>
          <w:color w:val="1D2228"/>
          <w:sz w:val="24"/>
          <w:szCs w:val="20"/>
          <w:lang w:eastAsia="en-ZA"/>
        </w:rPr>
      </w:pPr>
    </w:p>
    <w:p w:rsidR="008F1582" w:rsidRPr="0029252E" w:rsidRDefault="008F1582" w:rsidP="008F1582">
      <w:pPr>
        <w:shd w:val="clear" w:color="auto" w:fill="FFFFFF"/>
        <w:spacing w:after="0" w:line="360" w:lineRule="auto"/>
        <w:ind w:left="720"/>
        <w:jc w:val="both"/>
        <w:rPr>
          <w:rFonts w:ascii="Arial" w:eastAsia="Times New Roman" w:hAnsi="Arial" w:cs="Arial"/>
          <w:color w:val="1D2228"/>
          <w:sz w:val="24"/>
          <w:szCs w:val="20"/>
          <w:lang w:eastAsia="en-ZA"/>
        </w:rPr>
      </w:pPr>
      <w:r w:rsidRPr="0087209F">
        <w:rPr>
          <w:rFonts w:ascii="Arial" w:eastAsia="Times New Roman" w:hAnsi="Arial" w:cs="Arial"/>
          <w:color w:val="1D2228"/>
          <w:sz w:val="24"/>
          <w:szCs w:val="20"/>
          <w:lang w:eastAsia="en-ZA"/>
        </w:rPr>
        <w:t>[</w:t>
      </w:r>
      <w:r>
        <w:rPr>
          <w:rFonts w:ascii="Arial" w:eastAsia="Times New Roman" w:hAnsi="Arial" w:cs="Arial"/>
          <w:color w:val="1D2228"/>
          <w:sz w:val="24"/>
          <w:szCs w:val="20"/>
          <w:lang w:eastAsia="en-ZA"/>
        </w:rPr>
        <w:t>4] Paragraph</w:t>
      </w:r>
      <w:r w:rsidRPr="0087209F">
        <w:rPr>
          <w:rFonts w:ascii="Arial" w:eastAsia="Times New Roman" w:hAnsi="Arial" w:cs="Arial"/>
          <w:color w:val="1D2228"/>
          <w:sz w:val="24"/>
          <w:szCs w:val="20"/>
          <w:lang w:eastAsia="en-ZA"/>
        </w:rPr>
        <w:t xml:space="preserve"> 4 of the </w:t>
      </w:r>
      <w:r w:rsidR="004E40D2">
        <w:rPr>
          <w:rFonts w:ascii="Arial" w:eastAsia="Times New Roman" w:hAnsi="Arial" w:cs="Arial"/>
          <w:color w:val="1D2228"/>
          <w:sz w:val="24"/>
          <w:szCs w:val="20"/>
          <w:lang w:eastAsia="en-ZA"/>
        </w:rPr>
        <w:t xml:space="preserve">provisional </w:t>
      </w:r>
      <w:r w:rsidRPr="0087209F">
        <w:rPr>
          <w:rFonts w:ascii="Arial" w:eastAsia="Times New Roman" w:hAnsi="Arial" w:cs="Arial"/>
          <w:color w:val="1D2228"/>
          <w:sz w:val="24"/>
          <w:szCs w:val="20"/>
          <w:lang w:eastAsia="en-ZA"/>
        </w:rPr>
        <w:t>order of 21 December 2021 appointing Ms Ram as provisional curator is not confirmed and her appointment as curator is cancelled with effect from the date of this order</w:t>
      </w:r>
      <w:r>
        <w:rPr>
          <w:rFonts w:ascii="Arial" w:eastAsia="Times New Roman" w:hAnsi="Arial" w:cs="Arial"/>
          <w:color w:val="1D2228"/>
          <w:sz w:val="24"/>
          <w:szCs w:val="20"/>
          <w:lang w:eastAsia="en-ZA"/>
        </w:rPr>
        <w:t>;</w:t>
      </w:r>
    </w:p>
    <w:p w:rsidR="008F1582" w:rsidRPr="0087209F" w:rsidRDefault="008F1582" w:rsidP="008F1582">
      <w:pPr>
        <w:shd w:val="clear" w:color="auto" w:fill="FFFFFF"/>
        <w:spacing w:after="0" w:line="360" w:lineRule="auto"/>
        <w:ind w:left="720"/>
        <w:jc w:val="both"/>
        <w:rPr>
          <w:rFonts w:ascii="Arial" w:eastAsia="Times New Roman" w:hAnsi="Arial" w:cs="Arial"/>
          <w:color w:val="1D2228"/>
          <w:sz w:val="24"/>
          <w:szCs w:val="20"/>
          <w:lang w:eastAsia="en-ZA"/>
        </w:rPr>
      </w:pPr>
    </w:p>
    <w:p w:rsidR="008F1582" w:rsidRDefault="008F1582" w:rsidP="008F1582">
      <w:pPr>
        <w:shd w:val="clear" w:color="auto" w:fill="FFFFFF"/>
        <w:spacing w:after="0" w:line="360" w:lineRule="auto"/>
        <w:ind w:left="720"/>
        <w:jc w:val="both"/>
        <w:rPr>
          <w:rFonts w:ascii="Arial" w:eastAsia="Times New Roman" w:hAnsi="Arial" w:cs="Arial"/>
          <w:color w:val="1D2228"/>
          <w:sz w:val="24"/>
          <w:szCs w:val="20"/>
          <w:lang w:eastAsia="en-ZA"/>
        </w:rPr>
      </w:pPr>
      <w:r w:rsidRPr="0087209F">
        <w:rPr>
          <w:rFonts w:ascii="Arial" w:eastAsia="Times New Roman" w:hAnsi="Arial" w:cs="Arial"/>
          <w:color w:val="1D2228"/>
          <w:sz w:val="24"/>
          <w:szCs w:val="20"/>
          <w:lang w:eastAsia="en-ZA"/>
        </w:rPr>
        <w:t>[</w:t>
      </w:r>
      <w:r>
        <w:rPr>
          <w:rFonts w:ascii="Arial" w:eastAsia="Times New Roman" w:hAnsi="Arial" w:cs="Arial"/>
          <w:color w:val="1D2228"/>
          <w:sz w:val="24"/>
          <w:szCs w:val="20"/>
          <w:lang w:eastAsia="en-ZA"/>
        </w:rPr>
        <w:t>5</w:t>
      </w:r>
      <w:r w:rsidRPr="0087209F">
        <w:rPr>
          <w:rFonts w:ascii="Arial" w:eastAsia="Times New Roman" w:hAnsi="Arial" w:cs="Arial"/>
          <w:color w:val="1D2228"/>
          <w:sz w:val="24"/>
          <w:szCs w:val="20"/>
          <w:lang w:eastAsia="en-ZA"/>
        </w:rPr>
        <w:t xml:space="preserve">] </w:t>
      </w:r>
      <w:r>
        <w:rPr>
          <w:rFonts w:ascii="Arial" w:eastAsia="Times New Roman" w:hAnsi="Arial" w:cs="Arial"/>
          <w:color w:val="1D2228"/>
          <w:sz w:val="24"/>
          <w:szCs w:val="20"/>
          <w:lang w:eastAsia="en-ZA"/>
        </w:rPr>
        <w:t>Mr</w:t>
      </w:r>
      <w:r w:rsidRPr="0087209F">
        <w:rPr>
          <w:rFonts w:ascii="Arial" w:eastAsia="Times New Roman" w:hAnsi="Arial" w:cs="Arial"/>
          <w:color w:val="1D2228"/>
          <w:sz w:val="24"/>
          <w:szCs w:val="20"/>
          <w:lang w:eastAsia="en-ZA"/>
        </w:rPr>
        <w:t xml:space="preserve"> </w:t>
      </w:r>
      <w:proofErr w:type="spellStart"/>
      <w:r w:rsidRPr="0087209F">
        <w:rPr>
          <w:rFonts w:ascii="Arial" w:eastAsia="Times New Roman" w:hAnsi="Arial" w:cs="Arial"/>
          <w:color w:val="1D2228"/>
          <w:sz w:val="24"/>
          <w:szCs w:val="20"/>
          <w:lang w:eastAsia="en-ZA"/>
        </w:rPr>
        <w:t>Tinashe</w:t>
      </w:r>
      <w:proofErr w:type="spellEnd"/>
      <w:r w:rsidRPr="0087209F">
        <w:rPr>
          <w:rFonts w:ascii="Arial" w:eastAsia="Times New Roman" w:hAnsi="Arial" w:cs="Arial"/>
          <w:color w:val="1D2228"/>
          <w:sz w:val="24"/>
          <w:szCs w:val="20"/>
          <w:lang w:eastAsia="en-ZA"/>
        </w:rPr>
        <w:t xml:space="preserve"> </w:t>
      </w:r>
      <w:proofErr w:type="spellStart"/>
      <w:r w:rsidRPr="0087209F">
        <w:rPr>
          <w:rFonts w:ascii="Arial" w:eastAsia="Times New Roman" w:hAnsi="Arial" w:cs="Arial"/>
          <w:color w:val="1D2228"/>
          <w:sz w:val="24"/>
          <w:szCs w:val="20"/>
          <w:lang w:eastAsia="en-ZA"/>
        </w:rPr>
        <w:t>Mshoko</w:t>
      </w:r>
      <w:proofErr w:type="spellEnd"/>
      <w:r w:rsidRPr="0087209F">
        <w:rPr>
          <w:rFonts w:ascii="Arial" w:eastAsia="Times New Roman" w:hAnsi="Arial" w:cs="Arial"/>
          <w:color w:val="1D2228"/>
          <w:sz w:val="24"/>
          <w:szCs w:val="20"/>
          <w:lang w:eastAsia="en-ZA"/>
        </w:rPr>
        <w:t xml:space="preserve"> is appointed as final curator of the first respondent with effect from the date of this order with the powers contained in paragraph 7 of the provisional order of 21 December 2021</w:t>
      </w:r>
      <w:r w:rsidR="007570EB">
        <w:rPr>
          <w:rFonts w:ascii="Arial" w:eastAsia="Times New Roman" w:hAnsi="Arial" w:cs="Arial"/>
          <w:color w:val="1D2228"/>
          <w:sz w:val="24"/>
          <w:szCs w:val="20"/>
          <w:lang w:eastAsia="en-ZA"/>
        </w:rPr>
        <w:t>;</w:t>
      </w:r>
    </w:p>
    <w:p w:rsidR="008F1582" w:rsidRPr="0029252E" w:rsidRDefault="008F1582" w:rsidP="008F1582">
      <w:pPr>
        <w:shd w:val="clear" w:color="auto" w:fill="FFFFFF"/>
        <w:spacing w:after="0" w:line="360" w:lineRule="auto"/>
        <w:ind w:left="720"/>
        <w:jc w:val="both"/>
        <w:rPr>
          <w:rFonts w:ascii="Arial" w:eastAsia="Times New Roman" w:hAnsi="Arial" w:cs="Arial"/>
          <w:color w:val="1D2228"/>
          <w:sz w:val="24"/>
          <w:szCs w:val="20"/>
          <w:lang w:eastAsia="en-ZA"/>
        </w:rPr>
      </w:pPr>
    </w:p>
    <w:p w:rsidR="00207719" w:rsidRPr="000B660F" w:rsidRDefault="003F7DD8" w:rsidP="009A2FEF">
      <w:pPr>
        <w:pStyle w:val="level1"/>
        <w:numPr>
          <w:ilvl w:val="0"/>
          <w:numId w:val="0"/>
        </w:numPr>
        <w:spacing w:after="480" w:line="360" w:lineRule="auto"/>
        <w:ind w:left="720"/>
        <w:jc w:val="both"/>
        <w:rPr>
          <w:lang w:val="en-US"/>
        </w:rPr>
      </w:pPr>
      <w:r w:rsidRPr="000B660F">
        <w:rPr>
          <w:lang w:val="en-US"/>
        </w:rPr>
        <w:t>[</w:t>
      </w:r>
      <w:r w:rsidR="008B7439">
        <w:rPr>
          <w:lang w:val="en-US"/>
        </w:rPr>
        <w:t>6</w:t>
      </w:r>
      <w:r w:rsidR="0029252E" w:rsidRPr="000B660F">
        <w:rPr>
          <w:lang w:val="en-US"/>
        </w:rPr>
        <w:t xml:space="preserve">] </w:t>
      </w:r>
      <w:r w:rsidR="0029252E">
        <w:rPr>
          <w:lang w:val="en-US"/>
        </w:rPr>
        <w:t>The</w:t>
      </w:r>
      <w:r w:rsidR="00207719" w:rsidRPr="000B660F">
        <w:rPr>
          <w:lang w:val="en-US"/>
        </w:rPr>
        <w:t xml:space="preserve"> affidavits of BDO </w:t>
      </w:r>
      <w:r w:rsidR="000B660F">
        <w:rPr>
          <w:lang w:val="en-US"/>
        </w:rPr>
        <w:t xml:space="preserve">Advisory Services (Pty) Ltd </w:t>
      </w:r>
      <w:r w:rsidR="00207719" w:rsidRPr="000B660F">
        <w:rPr>
          <w:lang w:val="en-US"/>
        </w:rPr>
        <w:t>are accepted into evidence;</w:t>
      </w:r>
    </w:p>
    <w:p w:rsidR="00BC3CA8" w:rsidRDefault="00BC3CA8" w:rsidP="000B660F">
      <w:pPr>
        <w:pStyle w:val="level1"/>
        <w:numPr>
          <w:ilvl w:val="0"/>
          <w:numId w:val="0"/>
        </w:numPr>
        <w:spacing w:after="480" w:line="360" w:lineRule="auto"/>
        <w:ind w:left="720"/>
        <w:jc w:val="both"/>
        <w:rPr>
          <w:lang w:val="en-US"/>
        </w:rPr>
      </w:pPr>
      <w:r>
        <w:rPr>
          <w:lang w:val="en-US"/>
        </w:rPr>
        <w:t>[</w:t>
      </w:r>
      <w:r w:rsidR="008B7439">
        <w:rPr>
          <w:lang w:val="en-US"/>
        </w:rPr>
        <w:t>7</w:t>
      </w:r>
      <w:r w:rsidR="0029252E">
        <w:rPr>
          <w:lang w:val="en-US"/>
        </w:rPr>
        <w:t>] The</w:t>
      </w:r>
      <w:r>
        <w:rPr>
          <w:lang w:val="en-US"/>
        </w:rPr>
        <w:t xml:space="preserve"> condonation applications </w:t>
      </w:r>
      <w:r w:rsidR="00FB262C">
        <w:rPr>
          <w:lang w:val="en-US"/>
        </w:rPr>
        <w:t xml:space="preserve">of the applicant and </w:t>
      </w:r>
      <w:r w:rsidR="000B660F">
        <w:rPr>
          <w:lang w:val="en-US"/>
        </w:rPr>
        <w:t xml:space="preserve">the </w:t>
      </w:r>
      <w:r w:rsidR="00FB262C">
        <w:rPr>
          <w:lang w:val="en-US"/>
        </w:rPr>
        <w:t xml:space="preserve">first respondent </w:t>
      </w:r>
      <w:r>
        <w:rPr>
          <w:lang w:val="en-US"/>
        </w:rPr>
        <w:t>for the delivery of supplementary affidavits are granted;</w:t>
      </w:r>
    </w:p>
    <w:p w:rsidR="00FB262C" w:rsidRDefault="00FB262C" w:rsidP="000B660F">
      <w:pPr>
        <w:pStyle w:val="level1"/>
        <w:numPr>
          <w:ilvl w:val="0"/>
          <w:numId w:val="0"/>
        </w:numPr>
        <w:spacing w:after="480" w:line="360" w:lineRule="auto"/>
        <w:ind w:left="720"/>
        <w:jc w:val="both"/>
        <w:rPr>
          <w:lang w:val="en-US"/>
        </w:rPr>
      </w:pPr>
      <w:r>
        <w:rPr>
          <w:lang w:val="en-US"/>
        </w:rPr>
        <w:t>[</w:t>
      </w:r>
      <w:r w:rsidR="008B7439">
        <w:rPr>
          <w:lang w:val="en-US"/>
        </w:rPr>
        <w:t>8</w:t>
      </w:r>
      <w:r w:rsidR="0029252E">
        <w:rPr>
          <w:lang w:val="en-US"/>
        </w:rPr>
        <w:t>] The</w:t>
      </w:r>
      <w:r>
        <w:rPr>
          <w:lang w:val="en-US"/>
        </w:rPr>
        <w:t xml:space="preserve"> first respondent’s first striking out application dated 21 March 2022 is dismissed with costs</w:t>
      </w:r>
      <w:r w:rsidR="000B660F">
        <w:rPr>
          <w:lang w:val="en-US"/>
        </w:rPr>
        <w:t>, including the costs of two counsel, where employed</w:t>
      </w:r>
      <w:r>
        <w:rPr>
          <w:lang w:val="en-US"/>
        </w:rPr>
        <w:t>;</w:t>
      </w:r>
    </w:p>
    <w:p w:rsidR="00FB262C" w:rsidRDefault="00FB262C" w:rsidP="000B660F">
      <w:pPr>
        <w:pStyle w:val="level1"/>
        <w:numPr>
          <w:ilvl w:val="0"/>
          <w:numId w:val="0"/>
        </w:numPr>
        <w:spacing w:after="480" w:line="360" w:lineRule="auto"/>
        <w:ind w:left="720"/>
        <w:jc w:val="both"/>
        <w:rPr>
          <w:lang w:val="en-US"/>
        </w:rPr>
      </w:pPr>
      <w:r>
        <w:rPr>
          <w:lang w:val="en-US"/>
        </w:rPr>
        <w:t>[</w:t>
      </w:r>
      <w:r w:rsidR="008B7439">
        <w:rPr>
          <w:lang w:val="en-US"/>
        </w:rPr>
        <w:t>9</w:t>
      </w:r>
      <w:r w:rsidR="0029252E">
        <w:rPr>
          <w:lang w:val="en-US"/>
        </w:rPr>
        <w:t>] The</w:t>
      </w:r>
      <w:r>
        <w:rPr>
          <w:lang w:val="en-US"/>
        </w:rPr>
        <w:t xml:space="preserve"> first respondent’s second striking out application dated 20 June 2022 is dismissed </w:t>
      </w:r>
      <w:r w:rsidR="000B660F">
        <w:rPr>
          <w:lang w:val="en-US"/>
        </w:rPr>
        <w:t xml:space="preserve">with costs </w:t>
      </w:r>
      <w:r>
        <w:rPr>
          <w:lang w:val="en-US"/>
        </w:rPr>
        <w:t>on the scale as between attorney and client</w:t>
      </w:r>
      <w:r w:rsidR="000B660F">
        <w:rPr>
          <w:lang w:val="en-US"/>
        </w:rPr>
        <w:t>, including the costs of two counsel where employed</w:t>
      </w:r>
      <w:r>
        <w:rPr>
          <w:lang w:val="en-US"/>
        </w:rPr>
        <w:t xml:space="preserve">; </w:t>
      </w:r>
    </w:p>
    <w:p w:rsidR="00FB262C" w:rsidRDefault="00FB262C" w:rsidP="000B660F">
      <w:pPr>
        <w:pStyle w:val="level1"/>
        <w:numPr>
          <w:ilvl w:val="0"/>
          <w:numId w:val="0"/>
        </w:numPr>
        <w:spacing w:after="480" w:line="360" w:lineRule="auto"/>
        <w:ind w:left="720"/>
        <w:jc w:val="both"/>
        <w:rPr>
          <w:lang w:val="en-US"/>
        </w:rPr>
      </w:pPr>
      <w:r>
        <w:rPr>
          <w:lang w:val="en-US"/>
        </w:rPr>
        <w:lastRenderedPageBreak/>
        <w:t>[</w:t>
      </w:r>
      <w:r w:rsidR="007570EB">
        <w:rPr>
          <w:lang w:val="en-US"/>
        </w:rPr>
        <w:t>1</w:t>
      </w:r>
      <w:r w:rsidR="008B7439">
        <w:rPr>
          <w:lang w:val="en-US"/>
        </w:rPr>
        <w:t>0</w:t>
      </w:r>
      <w:r w:rsidR="007570EB">
        <w:rPr>
          <w:lang w:val="en-US"/>
        </w:rPr>
        <w:t>]</w:t>
      </w:r>
      <w:r w:rsidR="0029252E">
        <w:rPr>
          <w:lang w:val="en-US"/>
        </w:rPr>
        <w:t xml:space="preserve"> The</w:t>
      </w:r>
      <w:r>
        <w:rPr>
          <w:lang w:val="en-US"/>
        </w:rPr>
        <w:t xml:space="preserve"> costs of the postponement application granted on 18 July 2022 are to be borne by the first respondent</w:t>
      </w:r>
      <w:r w:rsidR="000B660F">
        <w:rPr>
          <w:lang w:val="en-US"/>
        </w:rPr>
        <w:t xml:space="preserve"> on the scale as between attorney and client, including the costs of two counsel, where employed</w:t>
      </w:r>
      <w:r>
        <w:rPr>
          <w:lang w:val="en-US"/>
        </w:rPr>
        <w:t>;</w:t>
      </w:r>
    </w:p>
    <w:p w:rsidR="00FB262C" w:rsidRDefault="00FB262C" w:rsidP="000B660F">
      <w:pPr>
        <w:pStyle w:val="level1"/>
        <w:numPr>
          <w:ilvl w:val="0"/>
          <w:numId w:val="0"/>
        </w:numPr>
        <w:spacing w:after="480" w:line="360" w:lineRule="auto"/>
        <w:ind w:left="720"/>
        <w:jc w:val="both"/>
        <w:rPr>
          <w:lang w:val="en-US"/>
        </w:rPr>
      </w:pPr>
      <w:r>
        <w:rPr>
          <w:lang w:val="en-US"/>
        </w:rPr>
        <w:t>[</w:t>
      </w:r>
      <w:r w:rsidR="007570EB">
        <w:rPr>
          <w:lang w:val="en-US"/>
        </w:rPr>
        <w:t>1</w:t>
      </w:r>
      <w:r w:rsidR="008B7439">
        <w:rPr>
          <w:lang w:val="en-US"/>
        </w:rPr>
        <w:t>1</w:t>
      </w:r>
      <w:r w:rsidR="0029252E">
        <w:rPr>
          <w:lang w:val="en-US"/>
        </w:rPr>
        <w:t>] The</w:t>
      </w:r>
      <w:r>
        <w:rPr>
          <w:lang w:val="en-US"/>
        </w:rPr>
        <w:t xml:space="preserve"> costs of the urgent application before Fisher J are to be borne by the applicant</w:t>
      </w:r>
      <w:r w:rsidR="000B660F">
        <w:rPr>
          <w:lang w:val="en-US"/>
        </w:rPr>
        <w:t>, including the costs of two counsel where employed</w:t>
      </w:r>
      <w:r>
        <w:rPr>
          <w:lang w:val="en-US"/>
        </w:rPr>
        <w:t>;</w:t>
      </w:r>
    </w:p>
    <w:p w:rsidR="00FB262C" w:rsidRDefault="00FB262C" w:rsidP="000B660F">
      <w:pPr>
        <w:pStyle w:val="level1"/>
        <w:numPr>
          <w:ilvl w:val="0"/>
          <w:numId w:val="0"/>
        </w:numPr>
        <w:spacing w:after="480" w:line="360" w:lineRule="auto"/>
        <w:ind w:left="720"/>
        <w:jc w:val="both"/>
        <w:rPr>
          <w:lang w:val="en-US"/>
        </w:rPr>
      </w:pPr>
      <w:r>
        <w:rPr>
          <w:lang w:val="en-US"/>
        </w:rPr>
        <w:t>[1</w:t>
      </w:r>
      <w:r w:rsidR="008B7439">
        <w:rPr>
          <w:lang w:val="en-US"/>
        </w:rPr>
        <w:t>2</w:t>
      </w:r>
      <w:r w:rsidR="0029252E">
        <w:rPr>
          <w:lang w:val="en-US"/>
        </w:rPr>
        <w:t>] The</w:t>
      </w:r>
      <w:r>
        <w:rPr>
          <w:lang w:val="en-US"/>
        </w:rPr>
        <w:t xml:space="preserve"> costs of the proceeding</w:t>
      </w:r>
      <w:r w:rsidR="005670C4">
        <w:rPr>
          <w:lang w:val="en-US"/>
        </w:rPr>
        <w:t xml:space="preserve">s in the urgent court in week of 1 </w:t>
      </w:r>
      <w:r w:rsidR="007570EB">
        <w:rPr>
          <w:lang w:val="en-US"/>
        </w:rPr>
        <w:t>and</w:t>
      </w:r>
      <w:r w:rsidR="005670C4">
        <w:rPr>
          <w:lang w:val="en-US"/>
        </w:rPr>
        <w:t xml:space="preserve"> 4</w:t>
      </w:r>
      <w:r>
        <w:rPr>
          <w:lang w:val="en-US"/>
        </w:rPr>
        <w:t xml:space="preserve"> February 2022 are to be costs in the cause;</w:t>
      </w:r>
    </w:p>
    <w:p w:rsidR="008B7439" w:rsidRDefault="008B7439" w:rsidP="000B660F">
      <w:pPr>
        <w:pStyle w:val="level1"/>
        <w:numPr>
          <w:ilvl w:val="0"/>
          <w:numId w:val="0"/>
        </w:numPr>
        <w:spacing w:after="480" w:line="360" w:lineRule="auto"/>
        <w:ind w:left="720"/>
        <w:jc w:val="both"/>
        <w:rPr>
          <w:lang w:val="en-US"/>
        </w:rPr>
      </w:pPr>
      <w:r>
        <w:rPr>
          <w:lang w:val="en-US"/>
        </w:rPr>
        <w:t xml:space="preserve">[13] The third respondent, </w:t>
      </w:r>
      <w:proofErr w:type="spellStart"/>
      <w:r>
        <w:rPr>
          <w:lang w:val="en-US"/>
        </w:rPr>
        <w:t>Ms</w:t>
      </w:r>
      <w:proofErr w:type="spellEnd"/>
      <w:r>
        <w:rPr>
          <w:lang w:val="en-US"/>
        </w:rPr>
        <w:t xml:space="preserve"> Ram, is to bear her own legal costs;</w:t>
      </w:r>
    </w:p>
    <w:p w:rsidR="003F7DD8" w:rsidRDefault="006063AC" w:rsidP="000B660F">
      <w:pPr>
        <w:pStyle w:val="level1"/>
        <w:numPr>
          <w:ilvl w:val="0"/>
          <w:numId w:val="0"/>
        </w:numPr>
        <w:spacing w:after="480" w:line="360" w:lineRule="auto"/>
        <w:ind w:left="720"/>
        <w:jc w:val="both"/>
        <w:rPr>
          <w:lang w:val="en-US"/>
        </w:rPr>
      </w:pPr>
      <w:r>
        <w:rPr>
          <w:lang w:val="en-US"/>
        </w:rPr>
        <w:t>[1</w:t>
      </w:r>
      <w:r w:rsidR="000B660F">
        <w:rPr>
          <w:lang w:val="en-US"/>
        </w:rPr>
        <w:t>4</w:t>
      </w:r>
      <w:r w:rsidR="0029252E">
        <w:rPr>
          <w:lang w:val="en-US"/>
        </w:rPr>
        <w:t>] The</w:t>
      </w:r>
      <w:r>
        <w:rPr>
          <w:lang w:val="en-US"/>
        </w:rPr>
        <w:t xml:space="preserve"> costs of the application are to be borne by the first respondent</w:t>
      </w:r>
      <w:r w:rsidR="00F14BE9">
        <w:rPr>
          <w:lang w:val="en-US"/>
        </w:rPr>
        <w:t>, including the costs of two counsel where employed</w:t>
      </w:r>
      <w:r>
        <w:rPr>
          <w:lang w:val="en-US"/>
        </w:rPr>
        <w:t>.</w:t>
      </w:r>
    </w:p>
    <w:p w:rsidR="00FB262C" w:rsidRDefault="00FB262C" w:rsidP="003B7F1D">
      <w:pPr>
        <w:pStyle w:val="level1"/>
        <w:numPr>
          <w:ilvl w:val="0"/>
          <w:numId w:val="0"/>
        </w:numPr>
        <w:spacing w:after="480" w:line="360" w:lineRule="auto"/>
        <w:jc w:val="both"/>
        <w:rPr>
          <w:lang w:val="en-US"/>
        </w:rPr>
      </w:pPr>
    </w:p>
    <w:p w:rsidR="001D3089" w:rsidRPr="003B7F1D" w:rsidRDefault="001D3089" w:rsidP="003B7F1D">
      <w:pPr>
        <w:pStyle w:val="level1"/>
        <w:numPr>
          <w:ilvl w:val="0"/>
          <w:numId w:val="0"/>
        </w:numPr>
        <w:spacing w:after="480" w:line="360" w:lineRule="auto"/>
        <w:jc w:val="both"/>
        <w:rPr>
          <w:lang w:val="en-US"/>
        </w:rPr>
      </w:pPr>
    </w:p>
    <w:p w:rsidR="003E4474" w:rsidRPr="003E4474" w:rsidRDefault="003E4474" w:rsidP="003E4474">
      <w:pPr>
        <w:spacing w:after="0" w:line="360" w:lineRule="auto"/>
        <w:ind w:left="2880" w:firstLine="720"/>
        <w:rPr>
          <w:rFonts w:ascii="Arial" w:eastAsia="Times New Roman" w:hAnsi="Arial" w:cs="Times New Roman"/>
          <w:kern w:val="28"/>
          <w:sz w:val="24"/>
          <w:szCs w:val="24"/>
          <w:lang w:eastAsia="en-GB"/>
        </w:rPr>
      </w:pPr>
      <w:r w:rsidRPr="003E4474">
        <w:rPr>
          <w:rFonts w:ascii="Arial" w:eastAsia="Times New Roman" w:hAnsi="Arial" w:cs="Times New Roman"/>
          <w:kern w:val="28"/>
          <w:sz w:val="24"/>
          <w:szCs w:val="24"/>
          <w:lang w:eastAsia="en-GB"/>
        </w:rPr>
        <w:tab/>
        <w:t>_____________________________________</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EF DIPPENAAR</w:t>
      </w:r>
      <w:r w:rsidRPr="003E4474">
        <w:rPr>
          <w:rFonts w:ascii="Arial" w:eastAsia="Times New Roman" w:hAnsi="Arial" w:cs="Times New Roman"/>
          <w:kern w:val="28"/>
          <w:sz w:val="24"/>
          <w:szCs w:val="24"/>
          <w:lang w:eastAsia="en-GB"/>
        </w:rPr>
        <w:t xml:space="preserve">                        </w:t>
      </w:r>
    </w:p>
    <w:p w:rsidR="003E4474" w:rsidRPr="003E4474" w:rsidRDefault="003E4474" w:rsidP="003E4474">
      <w:pPr>
        <w:spacing w:after="0" w:line="240" w:lineRule="auto"/>
        <w:ind w:left="4395"/>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JUDGE OF THE HIGH COURT </w:t>
      </w:r>
      <w:smartTag w:uri="urn:schemas-microsoft-com:office:smarttags" w:element="City">
        <w:smartTag w:uri="urn:schemas-microsoft-com:office:smarttags" w:element="place">
          <w:r w:rsidRPr="003E4474">
            <w:rPr>
              <w:rFonts w:ascii="Arial" w:eastAsia="Times New Roman" w:hAnsi="Arial" w:cs="Times New Roman"/>
              <w:b/>
              <w:kern w:val="28"/>
              <w:sz w:val="24"/>
              <w:szCs w:val="24"/>
              <w:lang w:eastAsia="en-GB"/>
            </w:rPr>
            <w:t>JOHANNESBURG</w:t>
          </w:r>
        </w:smartTag>
      </w:smartTag>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p>
    <w:p w:rsidR="003E4474" w:rsidRPr="003E4474" w:rsidRDefault="003E4474" w:rsidP="003E4474">
      <w:pPr>
        <w:spacing w:after="0" w:line="240" w:lineRule="auto"/>
        <w:rPr>
          <w:rFonts w:ascii="Arial" w:eastAsia="Times New Roman" w:hAnsi="Arial" w:cs="Times New Roman"/>
          <w:b/>
          <w:kern w:val="28"/>
          <w:sz w:val="24"/>
          <w:szCs w:val="24"/>
          <w:u w:val="single"/>
          <w:lang w:eastAsia="en-GB"/>
        </w:rPr>
      </w:pPr>
      <w:r w:rsidRPr="003E4474">
        <w:rPr>
          <w:rFonts w:ascii="Arial" w:eastAsia="Times New Roman" w:hAnsi="Arial" w:cs="Times New Roman"/>
          <w:b/>
          <w:kern w:val="28"/>
          <w:sz w:val="24"/>
          <w:szCs w:val="24"/>
          <w:u w:val="single"/>
          <w:lang w:eastAsia="en-GB"/>
        </w:rPr>
        <w:t xml:space="preserve">APPEARANCES </w:t>
      </w:r>
    </w:p>
    <w:p w:rsidR="003E4474" w:rsidRPr="003E4474" w:rsidRDefault="003E4474" w:rsidP="003E4474">
      <w:pPr>
        <w:spacing w:after="0" w:line="240" w:lineRule="auto"/>
        <w:contextualSpacing/>
        <w:rPr>
          <w:rFonts w:ascii="Arial" w:eastAsia="Calibri" w:hAnsi="Arial" w:cs="Times New Roman"/>
          <w:sz w:val="24"/>
        </w:rPr>
      </w:pPr>
    </w:p>
    <w:p w:rsidR="006B400D" w:rsidRDefault="003E4474" w:rsidP="003E4474">
      <w:pPr>
        <w:spacing w:after="0" w:line="240" w:lineRule="auto"/>
        <w:rPr>
          <w:rFonts w:ascii="Arial" w:eastAsia="Times New Roman" w:hAnsi="Arial" w:cs="Times New Roman"/>
          <w:kern w:val="28"/>
          <w:sz w:val="24"/>
          <w:szCs w:val="24"/>
          <w:lang w:eastAsia="en-GB"/>
        </w:rPr>
      </w:pPr>
      <w:r w:rsidRPr="003E4474">
        <w:rPr>
          <w:rFonts w:ascii="Arial" w:eastAsia="Times New Roman" w:hAnsi="Arial" w:cs="Times New Roman"/>
          <w:b/>
          <w:kern w:val="28"/>
          <w:sz w:val="24"/>
          <w:szCs w:val="24"/>
          <w:lang w:eastAsia="en-GB"/>
        </w:rPr>
        <w:t>DATE OF HEARING</w:t>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CC6105">
        <w:rPr>
          <w:rFonts w:ascii="Arial" w:eastAsia="Times New Roman" w:hAnsi="Arial" w:cs="Times New Roman"/>
          <w:kern w:val="28"/>
          <w:sz w:val="24"/>
          <w:szCs w:val="24"/>
          <w:lang w:eastAsia="en-GB"/>
        </w:rPr>
        <w:t>22</w:t>
      </w:r>
      <w:r w:rsidR="004B3AA4">
        <w:rPr>
          <w:rFonts w:ascii="Arial" w:eastAsia="Times New Roman" w:hAnsi="Arial" w:cs="Times New Roman"/>
          <w:kern w:val="28"/>
          <w:sz w:val="24"/>
          <w:szCs w:val="24"/>
          <w:lang w:eastAsia="en-GB"/>
        </w:rPr>
        <w:t xml:space="preserve"> March 2022</w:t>
      </w:r>
      <w:r w:rsidR="006B400D">
        <w:rPr>
          <w:rFonts w:ascii="Arial" w:eastAsia="Times New Roman" w:hAnsi="Arial" w:cs="Times New Roman"/>
          <w:kern w:val="28"/>
          <w:sz w:val="24"/>
          <w:szCs w:val="24"/>
          <w:lang w:eastAsia="en-GB"/>
        </w:rPr>
        <w:t>, 18 July 2022</w:t>
      </w:r>
    </w:p>
    <w:p w:rsidR="006B400D" w:rsidRDefault="006B400D" w:rsidP="003E4474">
      <w:pPr>
        <w:spacing w:after="0" w:line="240" w:lineRule="auto"/>
        <w:rPr>
          <w:rFonts w:ascii="Arial" w:eastAsia="Times New Roman" w:hAnsi="Arial" w:cs="Times New Roman"/>
          <w:kern w:val="28"/>
          <w:sz w:val="24"/>
          <w:szCs w:val="24"/>
          <w:lang w:eastAsia="en-GB"/>
        </w:rPr>
      </w:pPr>
    </w:p>
    <w:p w:rsidR="006B400D" w:rsidRDefault="006B400D" w:rsidP="003E4474">
      <w:pPr>
        <w:spacing w:after="0" w:line="240" w:lineRule="auto"/>
        <w:rPr>
          <w:rFonts w:ascii="Arial" w:eastAsia="Times New Roman" w:hAnsi="Arial" w:cs="Times New Roman"/>
          <w:kern w:val="28"/>
          <w:sz w:val="24"/>
          <w:szCs w:val="24"/>
          <w:lang w:eastAsia="en-GB"/>
        </w:rPr>
      </w:pPr>
      <w:r w:rsidRPr="009B3AD9">
        <w:rPr>
          <w:rFonts w:ascii="Arial" w:eastAsia="Times New Roman" w:hAnsi="Arial" w:cs="Times New Roman"/>
          <w:b/>
          <w:kern w:val="28"/>
          <w:sz w:val="24"/>
          <w:szCs w:val="24"/>
          <w:lang w:eastAsia="en-GB"/>
        </w:rPr>
        <w:t>CASE MANAGEMENT MEETING</w:t>
      </w:r>
      <w:r>
        <w:rPr>
          <w:rFonts w:ascii="Arial" w:eastAsia="Times New Roman" w:hAnsi="Arial" w:cs="Times New Roman"/>
          <w:kern w:val="28"/>
          <w:sz w:val="24"/>
          <w:szCs w:val="24"/>
          <w:lang w:eastAsia="en-GB"/>
        </w:rPr>
        <w:tab/>
      </w:r>
      <w:r>
        <w:rPr>
          <w:rFonts w:ascii="Arial" w:eastAsia="Times New Roman" w:hAnsi="Arial" w:cs="Times New Roman"/>
          <w:kern w:val="28"/>
          <w:sz w:val="24"/>
          <w:szCs w:val="24"/>
          <w:lang w:eastAsia="en-GB"/>
        </w:rPr>
        <w:tab/>
        <w:t>: 1 June 2022</w:t>
      </w:r>
    </w:p>
    <w:p w:rsidR="006B400D" w:rsidRDefault="006B400D" w:rsidP="003E4474">
      <w:pPr>
        <w:spacing w:after="0" w:line="240" w:lineRule="auto"/>
        <w:rPr>
          <w:rFonts w:ascii="Arial" w:eastAsia="Times New Roman" w:hAnsi="Arial" w:cs="Times New Roman"/>
          <w:kern w:val="28"/>
          <w:sz w:val="24"/>
          <w:szCs w:val="24"/>
          <w:lang w:eastAsia="en-GB"/>
        </w:rPr>
      </w:pPr>
    </w:p>
    <w:p w:rsidR="006B400D" w:rsidRDefault="006B400D" w:rsidP="003E4474">
      <w:pPr>
        <w:spacing w:after="0" w:line="240" w:lineRule="auto"/>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SUPPLEMENTARY AFFIDAVITS</w:t>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sidRPr="006B400D">
        <w:rPr>
          <w:rFonts w:ascii="Arial" w:eastAsia="Times New Roman" w:hAnsi="Arial" w:cs="Times New Roman"/>
          <w:kern w:val="28"/>
          <w:sz w:val="24"/>
          <w:szCs w:val="24"/>
          <w:lang w:eastAsia="en-GB"/>
        </w:rPr>
        <w:t>:</w:t>
      </w:r>
      <w:r>
        <w:rPr>
          <w:rFonts w:ascii="Arial" w:eastAsia="Times New Roman" w:hAnsi="Arial" w:cs="Times New Roman"/>
          <w:kern w:val="28"/>
          <w:sz w:val="24"/>
          <w:szCs w:val="24"/>
          <w:lang w:eastAsia="en-GB"/>
        </w:rPr>
        <w:t xml:space="preserve"> </w:t>
      </w:r>
      <w:r w:rsidR="009B3AD9">
        <w:rPr>
          <w:rFonts w:ascii="Arial" w:eastAsia="Times New Roman" w:hAnsi="Arial" w:cs="Times New Roman"/>
          <w:kern w:val="28"/>
          <w:sz w:val="24"/>
          <w:szCs w:val="24"/>
          <w:lang w:eastAsia="en-GB"/>
        </w:rPr>
        <w:t xml:space="preserve">30 May, </w:t>
      </w:r>
      <w:r>
        <w:rPr>
          <w:rFonts w:ascii="Arial" w:eastAsia="Times New Roman" w:hAnsi="Arial" w:cs="Times New Roman"/>
          <w:kern w:val="28"/>
          <w:sz w:val="24"/>
          <w:szCs w:val="24"/>
          <w:lang w:eastAsia="en-GB"/>
        </w:rPr>
        <w:t>8</w:t>
      </w:r>
      <w:r w:rsidR="009B3AD9">
        <w:rPr>
          <w:rFonts w:ascii="Arial" w:eastAsia="Times New Roman" w:hAnsi="Arial" w:cs="Times New Roman"/>
          <w:kern w:val="28"/>
          <w:sz w:val="24"/>
          <w:szCs w:val="24"/>
          <w:lang w:eastAsia="en-GB"/>
        </w:rPr>
        <w:t>,</w:t>
      </w:r>
      <w:r>
        <w:rPr>
          <w:rFonts w:ascii="Arial" w:eastAsia="Times New Roman" w:hAnsi="Arial" w:cs="Times New Roman"/>
          <w:kern w:val="28"/>
          <w:sz w:val="24"/>
          <w:szCs w:val="24"/>
          <w:lang w:eastAsia="en-GB"/>
        </w:rPr>
        <w:t xml:space="preserve"> </w:t>
      </w:r>
      <w:r w:rsidR="009B3AD9">
        <w:rPr>
          <w:rFonts w:ascii="Arial" w:eastAsia="Times New Roman" w:hAnsi="Arial" w:cs="Times New Roman"/>
          <w:kern w:val="28"/>
          <w:sz w:val="24"/>
          <w:szCs w:val="24"/>
          <w:lang w:eastAsia="en-GB"/>
        </w:rPr>
        <w:t>9, 20, 24, 27 June</w:t>
      </w:r>
      <w:r>
        <w:rPr>
          <w:rFonts w:ascii="Arial" w:eastAsia="Times New Roman" w:hAnsi="Arial" w:cs="Times New Roman"/>
          <w:kern w:val="28"/>
          <w:sz w:val="24"/>
          <w:szCs w:val="24"/>
          <w:lang w:eastAsia="en-GB"/>
        </w:rPr>
        <w:t xml:space="preserve"> 2022</w:t>
      </w:r>
    </w:p>
    <w:p w:rsidR="006B400D" w:rsidRDefault="006B400D" w:rsidP="003E4474">
      <w:pPr>
        <w:spacing w:after="0" w:line="240" w:lineRule="auto"/>
        <w:rPr>
          <w:rFonts w:ascii="Arial" w:eastAsia="Times New Roman" w:hAnsi="Arial" w:cs="Times New Roman"/>
          <w:b/>
          <w:kern w:val="28"/>
          <w:sz w:val="24"/>
          <w:szCs w:val="24"/>
          <w:lang w:eastAsia="en-GB"/>
        </w:rPr>
      </w:pPr>
    </w:p>
    <w:p w:rsidR="009B3AD9" w:rsidRDefault="009B3AD9" w:rsidP="003E4474">
      <w:pPr>
        <w:spacing w:after="0" w:line="240" w:lineRule="auto"/>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 xml:space="preserve">STRIKING OUT APPLICATION </w:t>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Pr>
          <w:rFonts w:ascii="Arial" w:eastAsia="Times New Roman" w:hAnsi="Arial" w:cs="Times New Roman"/>
          <w:b/>
          <w:kern w:val="28"/>
          <w:sz w:val="24"/>
          <w:szCs w:val="24"/>
          <w:lang w:eastAsia="en-GB"/>
        </w:rPr>
        <w:tab/>
      </w:r>
      <w:r w:rsidRPr="009B3AD9">
        <w:rPr>
          <w:rFonts w:ascii="Arial" w:eastAsia="Times New Roman" w:hAnsi="Arial" w:cs="Times New Roman"/>
          <w:kern w:val="28"/>
          <w:sz w:val="24"/>
          <w:szCs w:val="24"/>
          <w:lang w:eastAsia="en-GB"/>
        </w:rPr>
        <w:t>: 20 June 2022</w:t>
      </w:r>
    </w:p>
    <w:p w:rsidR="009B3AD9" w:rsidRDefault="009B3AD9" w:rsidP="003E4474">
      <w:pPr>
        <w:spacing w:after="0" w:line="240" w:lineRule="auto"/>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FIRST RESPONDENT</w:t>
      </w:r>
    </w:p>
    <w:p w:rsidR="009B3AD9" w:rsidRDefault="009B3AD9" w:rsidP="003E4474">
      <w:pPr>
        <w:spacing w:after="0" w:line="240" w:lineRule="auto"/>
        <w:rPr>
          <w:rFonts w:ascii="Arial" w:eastAsia="Times New Roman" w:hAnsi="Arial" w:cs="Times New Roman"/>
          <w:b/>
          <w:kern w:val="28"/>
          <w:sz w:val="24"/>
          <w:szCs w:val="24"/>
          <w:lang w:eastAsia="en-GB"/>
        </w:rPr>
      </w:pPr>
    </w:p>
    <w:p w:rsidR="003E4474" w:rsidRPr="006B400D" w:rsidRDefault="006B400D" w:rsidP="00943704">
      <w:pPr>
        <w:spacing w:after="0" w:line="240" w:lineRule="auto"/>
        <w:ind w:left="5040" w:hanging="5040"/>
        <w:rPr>
          <w:rFonts w:ascii="Arial" w:eastAsia="Times New Roman" w:hAnsi="Arial" w:cs="Times New Roman"/>
          <w:b/>
          <w:kern w:val="28"/>
          <w:sz w:val="24"/>
          <w:szCs w:val="24"/>
          <w:lang w:eastAsia="en-GB"/>
        </w:rPr>
      </w:pPr>
      <w:r w:rsidRPr="006B400D">
        <w:rPr>
          <w:rFonts w:ascii="Arial" w:eastAsia="Times New Roman" w:hAnsi="Arial" w:cs="Times New Roman"/>
          <w:b/>
          <w:kern w:val="28"/>
          <w:sz w:val="24"/>
          <w:szCs w:val="24"/>
          <w:lang w:eastAsia="en-GB"/>
        </w:rPr>
        <w:lastRenderedPageBreak/>
        <w:t>SUPPLEMENTARY SUBMISSIONS</w:t>
      </w:r>
      <w:r w:rsidR="003E4474" w:rsidRPr="006B400D">
        <w:rPr>
          <w:rFonts w:ascii="Arial" w:eastAsia="Times New Roman" w:hAnsi="Arial" w:cs="Times New Roman"/>
          <w:b/>
          <w:kern w:val="28"/>
          <w:sz w:val="24"/>
          <w:szCs w:val="24"/>
          <w:lang w:eastAsia="en-GB"/>
        </w:rPr>
        <w:tab/>
      </w:r>
      <w:r w:rsidRPr="006B400D">
        <w:rPr>
          <w:rFonts w:ascii="Arial" w:eastAsia="Times New Roman" w:hAnsi="Arial" w:cs="Times New Roman"/>
          <w:kern w:val="28"/>
          <w:sz w:val="24"/>
          <w:szCs w:val="24"/>
          <w:lang w:eastAsia="en-GB"/>
        </w:rPr>
        <w:t>:</w:t>
      </w:r>
      <w:r>
        <w:rPr>
          <w:rFonts w:ascii="Arial" w:eastAsia="Times New Roman" w:hAnsi="Arial" w:cs="Times New Roman"/>
          <w:b/>
          <w:kern w:val="28"/>
          <w:sz w:val="24"/>
          <w:szCs w:val="24"/>
          <w:lang w:eastAsia="en-GB"/>
        </w:rPr>
        <w:t xml:space="preserve"> </w:t>
      </w:r>
      <w:r w:rsidR="009B3AD9" w:rsidRPr="009B3AD9">
        <w:rPr>
          <w:rFonts w:ascii="Arial" w:eastAsia="Times New Roman" w:hAnsi="Arial" w:cs="Times New Roman"/>
          <w:kern w:val="28"/>
          <w:sz w:val="24"/>
          <w:szCs w:val="24"/>
          <w:lang w:eastAsia="en-GB"/>
        </w:rPr>
        <w:t>25 May,</w:t>
      </w:r>
      <w:r w:rsidR="009B3AD9">
        <w:rPr>
          <w:rFonts w:ascii="Arial" w:eastAsia="Times New Roman" w:hAnsi="Arial" w:cs="Times New Roman"/>
          <w:kern w:val="28"/>
          <w:sz w:val="24"/>
          <w:szCs w:val="24"/>
          <w:lang w:eastAsia="en-GB"/>
        </w:rPr>
        <w:t xml:space="preserve"> 30 May, </w:t>
      </w:r>
      <w:r w:rsidR="00943704">
        <w:rPr>
          <w:rFonts w:ascii="Arial" w:eastAsia="Times New Roman" w:hAnsi="Arial" w:cs="Times New Roman"/>
          <w:kern w:val="28"/>
          <w:sz w:val="24"/>
          <w:szCs w:val="24"/>
          <w:lang w:eastAsia="en-GB"/>
        </w:rPr>
        <w:t xml:space="preserve">29 July, </w:t>
      </w:r>
      <w:r w:rsidRPr="006B400D">
        <w:rPr>
          <w:rFonts w:ascii="Arial" w:eastAsia="Times New Roman" w:hAnsi="Arial" w:cs="Times New Roman"/>
          <w:kern w:val="28"/>
          <w:sz w:val="24"/>
          <w:szCs w:val="24"/>
          <w:lang w:eastAsia="en-GB"/>
        </w:rPr>
        <w:t>1 August</w:t>
      </w:r>
      <w:r w:rsidR="00943704">
        <w:rPr>
          <w:rFonts w:ascii="Arial" w:eastAsia="Times New Roman" w:hAnsi="Arial" w:cs="Times New Roman"/>
          <w:kern w:val="28"/>
          <w:sz w:val="24"/>
          <w:szCs w:val="24"/>
          <w:lang w:eastAsia="en-GB"/>
        </w:rPr>
        <w:t xml:space="preserve"> </w:t>
      </w:r>
      <w:r w:rsidRPr="006B400D">
        <w:rPr>
          <w:rFonts w:ascii="Arial" w:eastAsia="Times New Roman" w:hAnsi="Arial" w:cs="Times New Roman"/>
          <w:kern w:val="28"/>
          <w:sz w:val="24"/>
          <w:szCs w:val="24"/>
          <w:lang w:eastAsia="en-GB"/>
        </w:rPr>
        <w:t xml:space="preserve"> </w:t>
      </w:r>
      <w:r w:rsidR="00943704">
        <w:rPr>
          <w:rFonts w:ascii="Arial" w:eastAsia="Times New Roman" w:hAnsi="Arial" w:cs="Times New Roman"/>
          <w:kern w:val="28"/>
          <w:sz w:val="24"/>
          <w:szCs w:val="24"/>
          <w:lang w:eastAsia="en-GB"/>
        </w:rPr>
        <w:t xml:space="preserve">   </w:t>
      </w:r>
    </w:p>
    <w:p w:rsidR="003E4474" w:rsidRPr="00943704" w:rsidRDefault="00943704" w:rsidP="003E4474">
      <w:pPr>
        <w:spacing w:after="0" w:line="240" w:lineRule="auto"/>
        <w:rPr>
          <w:rFonts w:ascii="Arial" w:eastAsia="Times New Roman" w:hAnsi="Arial" w:cs="Times New Roman"/>
          <w:kern w:val="28"/>
          <w:sz w:val="24"/>
          <w:szCs w:val="24"/>
          <w:lang w:eastAsia="en-GB"/>
        </w:rPr>
      </w:pPr>
      <w:r>
        <w:rPr>
          <w:rFonts w:ascii="Arial" w:eastAsia="Times New Roman" w:hAnsi="Arial" w:cs="Times New Roman"/>
          <w:b/>
          <w:kern w:val="28"/>
          <w:sz w:val="24"/>
          <w:szCs w:val="24"/>
          <w:lang w:eastAsia="en-GB"/>
        </w:rPr>
        <w:t xml:space="preserve">                                                                              </w:t>
      </w:r>
      <w:r w:rsidRPr="00943704">
        <w:rPr>
          <w:rFonts w:ascii="Arial" w:eastAsia="Times New Roman" w:hAnsi="Arial" w:cs="Times New Roman"/>
          <w:kern w:val="28"/>
          <w:sz w:val="24"/>
          <w:szCs w:val="24"/>
          <w:lang w:eastAsia="en-GB"/>
        </w:rPr>
        <w:t>2022</w:t>
      </w:r>
    </w:p>
    <w:p w:rsidR="00943704" w:rsidRDefault="00943704" w:rsidP="003E4474">
      <w:pPr>
        <w:spacing w:after="0" w:line="240" w:lineRule="auto"/>
        <w:rPr>
          <w:rFonts w:ascii="Arial" w:eastAsia="Times New Roman" w:hAnsi="Arial" w:cs="Times New Roman"/>
          <w:b/>
          <w:kern w:val="28"/>
          <w:sz w:val="24"/>
          <w:szCs w:val="24"/>
          <w:lang w:eastAsia="en-GB"/>
        </w:rPr>
      </w:pP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 xml:space="preserve">DATE OF JUDGMENT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t xml:space="preserve"> </w:t>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kern w:val="28"/>
          <w:sz w:val="24"/>
          <w:szCs w:val="24"/>
          <w:lang w:eastAsia="en-GB"/>
        </w:rPr>
        <w:t xml:space="preserve">: </w:t>
      </w:r>
      <w:r w:rsidR="00443381">
        <w:rPr>
          <w:rFonts w:ascii="Arial" w:eastAsia="Times New Roman" w:hAnsi="Arial" w:cs="Times New Roman"/>
          <w:kern w:val="28"/>
          <w:sz w:val="24"/>
          <w:szCs w:val="24"/>
          <w:lang w:eastAsia="en-GB"/>
        </w:rPr>
        <w:t>30</w:t>
      </w:r>
      <w:r w:rsidR="006B400D">
        <w:rPr>
          <w:rFonts w:ascii="Arial" w:eastAsia="Times New Roman" w:hAnsi="Arial" w:cs="Times New Roman"/>
          <w:kern w:val="28"/>
          <w:sz w:val="24"/>
          <w:szCs w:val="24"/>
          <w:lang w:eastAsia="en-GB"/>
        </w:rPr>
        <w:t xml:space="preserve"> September</w:t>
      </w:r>
      <w:r w:rsidR="003F7DD8">
        <w:rPr>
          <w:rFonts w:ascii="Arial" w:eastAsia="Times New Roman" w:hAnsi="Arial" w:cs="Times New Roman"/>
          <w:kern w:val="28"/>
          <w:sz w:val="24"/>
          <w:szCs w:val="24"/>
          <w:lang w:eastAsia="en-GB"/>
        </w:rPr>
        <w:t xml:space="preserve"> </w:t>
      </w:r>
      <w:r w:rsidRPr="003E4474">
        <w:rPr>
          <w:rFonts w:ascii="Arial" w:eastAsia="Times New Roman" w:hAnsi="Arial" w:cs="Times New Roman"/>
          <w:kern w:val="28"/>
          <w:sz w:val="24"/>
          <w:szCs w:val="24"/>
          <w:lang w:eastAsia="en-GB"/>
        </w:rPr>
        <w:t>2022</w:t>
      </w:r>
    </w:p>
    <w:p w:rsidR="003E4474" w:rsidRPr="003E4474" w:rsidRDefault="003E4474" w:rsidP="003E4474">
      <w:pPr>
        <w:spacing w:after="0" w:line="240" w:lineRule="auto"/>
        <w:rPr>
          <w:rFonts w:ascii="Arial" w:eastAsia="Times New Roman" w:hAnsi="Arial" w:cs="Times New Roman"/>
          <w:b/>
          <w:kern w:val="28"/>
          <w:sz w:val="24"/>
          <w:szCs w:val="24"/>
          <w:lang w:eastAsia="en-GB"/>
        </w:rPr>
      </w:pP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r w:rsidRPr="003E4474">
        <w:rPr>
          <w:rFonts w:ascii="Arial" w:eastAsia="Times New Roman" w:hAnsi="Arial" w:cs="Times New Roman"/>
          <w:b/>
          <w:kern w:val="28"/>
          <w:sz w:val="24"/>
          <w:szCs w:val="24"/>
          <w:lang w:eastAsia="en-GB"/>
        </w:rPr>
        <w:tab/>
      </w:r>
    </w:p>
    <w:p w:rsidR="003F7DD8" w:rsidRDefault="004B3AA4" w:rsidP="003E4474">
      <w:pPr>
        <w:spacing w:after="200" w:line="240" w:lineRule="auto"/>
        <w:contextualSpacing/>
        <w:rPr>
          <w:rFonts w:ascii="Arial" w:eastAsia="Calibri" w:hAnsi="Arial" w:cs="Times New Roman"/>
          <w:sz w:val="24"/>
        </w:rPr>
      </w:pPr>
      <w:r w:rsidRPr="004B3AA4">
        <w:rPr>
          <w:rFonts w:ascii="Arial" w:eastAsia="Calibri" w:hAnsi="Arial" w:cs="Times New Roman"/>
          <w:b/>
          <w:sz w:val="24"/>
        </w:rPr>
        <w:t>APPLICANT</w:t>
      </w:r>
      <w:r>
        <w:rPr>
          <w:rFonts w:ascii="Arial" w:eastAsia="Calibri" w:hAnsi="Arial" w:cs="Times New Roman"/>
          <w:b/>
          <w:sz w:val="24"/>
        </w:rPr>
        <w:t>’S</w:t>
      </w:r>
      <w:r w:rsidR="00F772C3" w:rsidRPr="003E4474">
        <w:rPr>
          <w:rFonts w:ascii="Arial" w:eastAsia="Calibri" w:hAnsi="Arial" w:cs="Times New Roman"/>
          <w:b/>
          <w:sz w:val="24"/>
        </w:rPr>
        <w:t xml:space="preserve"> COUNSEL</w:t>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b/>
          <w:sz w:val="24"/>
        </w:rPr>
        <w:tab/>
      </w:r>
      <w:r w:rsidR="003E4474" w:rsidRPr="003E4474">
        <w:rPr>
          <w:rFonts w:ascii="Arial" w:eastAsia="Calibri" w:hAnsi="Arial" w:cs="Times New Roman"/>
          <w:sz w:val="24"/>
        </w:rPr>
        <w:t xml:space="preserve">: </w:t>
      </w:r>
      <w:proofErr w:type="spellStart"/>
      <w:r w:rsidR="003F7DD8">
        <w:rPr>
          <w:rFonts w:ascii="Arial" w:eastAsia="Calibri" w:hAnsi="Arial" w:cs="Times New Roman"/>
          <w:sz w:val="24"/>
        </w:rPr>
        <w:t>Adv</w:t>
      </w:r>
      <w:proofErr w:type="spellEnd"/>
      <w:r w:rsidR="003F7DD8">
        <w:rPr>
          <w:rFonts w:ascii="Arial" w:eastAsia="Calibri" w:hAnsi="Arial" w:cs="Times New Roman"/>
          <w:sz w:val="24"/>
        </w:rPr>
        <w:t xml:space="preserve"> S Khumalo SC</w:t>
      </w:r>
      <w:r w:rsidR="003E4474" w:rsidRPr="003E4474">
        <w:rPr>
          <w:rFonts w:ascii="Arial" w:eastAsia="Calibri" w:hAnsi="Arial" w:cs="Times New Roman"/>
          <w:sz w:val="24"/>
        </w:rPr>
        <w:t xml:space="preserve"> </w:t>
      </w:r>
    </w:p>
    <w:p w:rsidR="003E4474" w:rsidRDefault="003F7DD8" w:rsidP="003F7DD8">
      <w:pPr>
        <w:spacing w:after="200" w:line="240" w:lineRule="auto"/>
        <w:ind w:left="4320" w:firstLine="720"/>
        <w:contextualSpacing/>
        <w:rPr>
          <w:rFonts w:ascii="Arial" w:eastAsia="Calibri" w:hAnsi="Arial" w:cs="Times New Roman"/>
          <w:sz w:val="24"/>
        </w:rPr>
      </w:pPr>
      <w:r>
        <w:rPr>
          <w:rFonts w:ascii="Arial" w:eastAsia="Calibri" w:hAnsi="Arial" w:cs="Times New Roman"/>
          <w:sz w:val="24"/>
        </w:rPr>
        <w:t xml:space="preserve">  </w:t>
      </w:r>
      <w:r w:rsidR="003E4474">
        <w:rPr>
          <w:rFonts w:ascii="Arial" w:eastAsia="Calibri" w:hAnsi="Arial" w:cs="Times New Roman"/>
          <w:sz w:val="24"/>
        </w:rPr>
        <w:t xml:space="preserve">Adv. </w:t>
      </w:r>
      <w:r w:rsidR="00CC6105">
        <w:rPr>
          <w:rFonts w:ascii="Arial" w:eastAsia="Calibri" w:hAnsi="Arial" w:cs="Times New Roman"/>
          <w:sz w:val="24"/>
        </w:rPr>
        <w:t>Y. Peer</w:t>
      </w:r>
    </w:p>
    <w:p w:rsidR="003E4474" w:rsidRPr="003E4474" w:rsidRDefault="004B3AA4" w:rsidP="003E4474">
      <w:pPr>
        <w:spacing w:after="200" w:line="240" w:lineRule="auto"/>
        <w:contextualSpacing/>
        <w:rPr>
          <w:rFonts w:ascii="Arial" w:eastAsia="Calibri" w:hAnsi="Arial" w:cs="Times New Roman"/>
          <w:b/>
          <w:bCs/>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p>
    <w:p w:rsidR="003E4474" w:rsidRPr="003E4474" w:rsidRDefault="004B3AA4" w:rsidP="003E4474">
      <w:pPr>
        <w:spacing w:after="200" w:line="240" w:lineRule="auto"/>
        <w:contextualSpacing/>
        <w:rPr>
          <w:rFonts w:ascii="Arial" w:eastAsia="Calibri" w:hAnsi="Arial" w:cs="Times New Roman"/>
          <w:sz w:val="24"/>
        </w:rPr>
      </w:pPr>
      <w:r w:rsidRPr="004B3AA4">
        <w:rPr>
          <w:rFonts w:ascii="Arial" w:eastAsia="Calibri" w:hAnsi="Arial" w:cs="Times New Roman"/>
          <w:b/>
          <w:bCs/>
          <w:sz w:val="24"/>
        </w:rPr>
        <w:t>APPLICANT’S</w:t>
      </w:r>
      <w:r w:rsidR="00F772C3" w:rsidRPr="003E4474">
        <w:rPr>
          <w:rFonts w:ascii="Arial" w:eastAsia="Calibri" w:hAnsi="Arial" w:cs="Times New Roman"/>
          <w:b/>
          <w:bCs/>
          <w:sz w:val="24"/>
        </w:rPr>
        <w:t xml:space="preserve"> ATTORNEYS</w:t>
      </w:r>
      <w:r w:rsidR="00CC6105">
        <w:rPr>
          <w:rFonts w:ascii="Arial" w:eastAsia="Calibri" w:hAnsi="Arial" w:cs="Times New Roman"/>
          <w:sz w:val="24"/>
        </w:rPr>
        <w:tab/>
      </w:r>
      <w:r w:rsidR="00CC6105">
        <w:rPr>
          <w:rFonts w:ascii="Arial" w:eastAsia="Calibri" w:hAnsi="Arial" w:cs="Times New Roman"/>
          <w:sz w:val="24"/>
        </w:rPr>
        <w:tab/>
      </w:r>
      <w:r w:rsidR="00CC6105">
        <w:rPr>
          <w:rFonts w:ascii="Arial" w:eastAsia="Calibri" w:hAnsi="Arial" w:cs="Times New Roman"/>
          <w:sz w:val="24"/>
        </w:rPr>
        <w:tab/>
        <w:t xml:space="preserve">: </w:t>
      </w:r>
      <w:r w:rsidR="00CC6105" w:rsidRPr="00CC6105">
        <w:rPr>
          <w:rFonts w:ascii="Arial" w:eastAsia="Calibri" w:hAnsi="Arial" w:cs="Times New Roman"/>
          <w:sz w:val="24"/>
        </w:rPr>
        <w:t xml:space="preserve">Edward Nathan </w:t>
      </w:r>
      <w:proofErr w:type="spellStart"/>
      <w:r w:rsidR="00CC6105" w:rsidRPr="00CC6105">
        <w:rPr>
          <w:rFonts w:ascii="Arial" w:eastAsia="Calibri" w:hAnsi="Arial" w:cs="Times New Roman"/>
          <w:sz w:val="24"/>
        </w:rPr>
        <w:t>Sonnenbergs</w:t>
      </w:r>
      <w:proofErr w:type="spellEnd"/>
      <w:r w:rsidR="00CC6105" w:rsidRPr="00CC6105">
        <w:rPr>
          <w:rFonts w:ascii="Arial" w:eastAsia="Calibri" w:hAnsi="Arial" w:cs="Times New Roman"/>
          <w:sz w:val="24"/>
        </w:rPr>
        <w:t xml:space="preserve"> </w:t>
      </w:r>
      <w:proofErr w:type="spellStart"/>
      <w:r w:rsidR="00CC6105" w:rsidRPr="00CC6105">
        <w:rPr>
          <w:rFonts w:ascii="Arial" w:eastAsia="Calibri" w:hAnsi="Arial" w:cs="Times New Roman"/>
          <w:sz w:val="24"/>
        </w:rPr>
        <w:t>Inc</w:t>
      </w:r>
      <w:proofErr w:type="spellEnd"/>
    </w:p>
    <w:p w:rsidR="003E4474" w:rsidRPr="003E4474" w:rsidRDefault="003E4474" w:rsidP="003E4474">
      <w:pPr>
        <w:spacing w:after="20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t xml:space="preserve">  </w:t>
      </w:r>
      <w:bookmarkStart w:id="1" w:name="_Hlk44520146"/>
    </w:p>
    <w:bookmarkEnd w:id="1"/>
    <w:p w:rsidR="003E4474" w:rsidRDefault="004B3AA4" w:rsidP="003E4474">
      <w:pPr>
        <w:spacing w:after="200" w:line="240" w:lineRule="auto"/>
        <w:contextualSpacing/>
        <w:rPr>
          <w:rFonts w:ascii="Arial" w:eastAsia="Calibri" w:hAnsi="Arial" w:cs="Times New Roman"/>
          <w:sz w:val="24"/>
        </w:rPr>
      </w:pPr>
      <w:r>
        <w:rPr>
          <w:rFonts w:ascii="Arial" w:eastAsia="Calibri" w:hAnsi="Arial" w:cs="Times New Roman"/>
          <w:b/>
          <w:sz w:val="24"/>
        </w:rPr>
        <w:t>1</w:t>
      </w:r>
      <w:r w:rsidRPr="004B3AA4">
        <w:rPr>
          <w:rFonts w:ascii="Arial" w:eastAsia="Calibri" w:hAnsi="Arial" w:cs="Times New Roman"/>
          <w:b/>
          <w:sz w:val="24"/>
          <w:vertAlign w:val="superscript"/>
        </w:rPr>
        <w:t>st</w:t>
      </w:r>
      <w:r>
        <w:rPr>
          <w:rFonts w:ascii="Arial" w:eastAsia="Calibri" w:hAnsi="Arial" w:cs="Times New Roman"/>
          <w:b/>
          <w:sz w:val="24"/>
        </w:rPr>
        <w:t xml:space="preserve"> RESPONDENT</w:t>
      </w:r>
      <w:r w:rsidR="00F772C3" w:rsidRPr="003E4474">
        <w:rPr>
          <w:rFonts w:ascii="Arial" w:eastAsia="Calibri" w:hAnsi="Arial" w:cs="Times New Roman"/>
          <w:b/>
          <w:sz w:val="24"/>
        </w:rPr>
        <w:t>’S COUNSEL</w:t>
      </w:r>
      <w:r w:rsidR="003E4474" w:rsidRPr="003E4474">
        <w:rPr>
          <w:rFonts w:ascii="Arial" w:eastAsia="Calibri" w:hAnsi="Arial" w:cs="Times New Roman"/>
          <w:b/>
          <w:sz w:val="24"/>
        </w:rPr>
        <w:tab/>
      </w:r>
      <w:r w:rsidR="003E4474">
        <w:rPr>
          <w:rFonts w:ascii="Arial" w:eastAsia="Calibri" w:hAnsi="Arial" w:cs="Times New Roman"/>
          <w:b/>
          <w:sz w:val="24"/>
        </w:rPr>
        <w:tab/>
      </w:r>
      <w:r w:rsidR="003E4474">
        <w:rPr>
          <w:rFonts w:ascii="Arial" w:eastAsia="Calibri" w:hAnsi="Arial" w:cs="Times New Roman"/>
          <w:b/>
          <w:sz w:val="24"/>
        </w:rPr>
        <w:tab/>
      </w:r>
      <w:r w:rsidR="003B7F1D">
        <w:rPr>
          <w:rFonts w:ascii="Arial" w:eastAsia="Calibri" w:hAnsi="Arial" w:cs="Times New Roman"/>
          <w:sz w:val="24"/>
        </w:rPr>
        <w:t>: Adv.</w:t>
      </w:r>
      <w:r w:rsidR="00CC6105">
        <w:rPr>
          <w:rFonts w:ascii="Arial" w:eastAsia="Calibri" w:hAnsi="Arial" w:cs="Times New Roman"/>
          <w:sz w:val="24"/>
        </w:rPr>
        <w:t xml:space="preserve"> V. </w:t>
      </w:r>
      <w:proofErr w:type="spellStart"/>
      <w:r w:rsidR="00CC6105">
        <w:rPr>
          <w:rFonts w:ascii="Arial" w:eastAsia="Calibri" w:hAnsi="Arial" w:cs="Times New Roman"/>
          <w:sz w:val="24"/>
        </w:rPr>
        <w:t>Ngalwana</w:t>
      </w:r>
      <w:proofErr w:type="spellEnd"/>
      <w:r w:rsidR="00CC6105">
        <w:rPr>
          <w:rFonts w:ascii="Arial" w:eastAsia="Calibri" w:hAnsi="Arial" w:cs="Times New Roman"/>
          <w:sz w:val="24"/>
        </w:rPr>
        <w:t xml:space="preserve"> SC</w:t>
      </w:r>
    </w:p>
    <w:p w:rsidR="003F7DD8" w:rsidRDefault="003F7DD8"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w:t>
      </w:r>
      <w:proofErr w:type="spellStart"/>
      <w:r>
        <w:rPr>
          <w:rFonts w:ascii="Arial" w:eastAsia="Calibri" w:hAnsi="Arial" w:cs="Times New Roman"/>
          <w:sz w:val="24"/>
        </w:rPr>
        <w:t>Adv</w:t>
      </w:r>
      <w:proofErr w:type="spellEnd"/>
      <w:r>
        <w:rPr>
          <w:rFonts w:ascii="Arial" w:eastAsia="Calibri" w:hAnsi="Arial" w:cs="Times New Roman"/>
          <w:sz w:val="24"/>
        </w:rPr>
        <w:t xml:space="preserve"> F Karachi</w:t>
      </w:r>
    </w:p>
    <w:p w:rsidR="004B3AA4" w:rsidRPr="003E4474" w:rsidRDefault="004B3AA4" w:rsidP="003E4474">
      <w:pPr>
        <w:spacing w:after="200" w:line="240" w:lineRule="auto"/>
        <w:contextualSpacing/>
        <w:rPr>
          <w:rFonts w:ascii="Arial" w:eastAsia="Calibri" w:hAnsi="Arial" w:cs="Times New Roman"/>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Adv. </w:t>
      </w:r>
      <w:r w:rsidR="00CC6105">
        <w:rPr>
          <w:rFonts w:ascii="Arial" w:eastAsia="Calibri" w:hAnsi="Arial" w:cs="Times New Roman"/>
          <w:sz w:val="24"/>
        </w:rPr>
        <w:t xml:space="preserve">T. </w:t>
      </w:r>
      <w:proofErr w:type="spellStart"/>
      <w:r w:rsidR="00CC6105">
        <w:rPr>
          <w:rFonts w:ascii="Arial" w:eastAsia="Calibri" w:hAnsi="Arial" w:cs="Times New Roman"/>
          <w:sz w:val="24"/>
        </w:rPr>
        <w:t>Makola</w:t>
      </w:r>
      <w:proofErr w:type="spellEnd"/>
    </w:p>
    <w:p w:rsidR="003E4474" w:rsidRPr="003E4474" w:rsidRDefault="003E4474" w:rsidP="003E4474">
      <w:pPr>
        <w:spacing w:after="200" w:line="240" w:lineRule="auto"/>
        <w:contextualSpacing/>
        <w:rPr>
          <w:rFonts w:ascii="Arial" w:eastAsia="Calibri" w:hAnsi="Arial" w:cs="Times New Roman"/>
          <w:bCs/>
          <w:sz w:val="24"/>
        </w:rPr>
      </w:pPr>
    </w:p>
    <w:p w:rsidR="003E4474" w:rsidRDefault="004B3AA4" w:rsidP="003B7F1D">
      <w:pPr>
        <w:spacing w:after="200" w:line="240" w:lineRule="auto"/>
        <w:contextualSpacing/>
        <w:rPr>
          <w:rFonts w:ascii="Arial" w:eastAsia="Calibri" w:hAnsi="Arial" w:cs="Times New Roman"/>
          <w:sz w:val="24"/>
        </w:rPr>
      </w:pPr>
      <w:r w:rsidRPr="004B3AA4">
        <w:rPr>
          <w:rFonts w:ascii="Arial" w:eastAsia="Calibri" w:hAnsi="Arial" w:cs="Times New Roman"/>
          <w:b/>
          <w:sz w:val="24"/>
        </w:rPr>
        <w:t>1st RESPONDENT’S</w:t>
      </w:r>
      <w:r w:rsidR="00F772C3" w:rsidRPr="004B3AA4">
        <w:rPr>
          <w:rFonts w:ascii="Arial" w:eastAsia="Calibri" w:hAnsi="Arial" w:cs="Times New Roman"/>
          <w:b/>
          <w:sz w:val="24"/>
        </w:rPr>
        <w:t xml:space="preserve"> </w:t>
      </w:r>
      <w:r w:rsidR="00F772C3" w:rsidRPr="003E4474">
        <w:rPr>
          <w:rFonts w:ascii="Arial" w:eastAsia="Calibri" w:hAnsi="Arial" w:cs="Times New Roman"/>
          <w:b/>
          <w:sz w:val="24"/>
        </w:rPr>
        <w:t>ATTORNEYS</w:t>
      </w:r>
      <w:r>
        <w:rPr>
          <w:rFonts w:ascii="Arial" w:eastAsia="Calibri" w:hAnsi="Arial" w:cs="Times New Roman"/>
          <w:b/>
          <w:sz w:val="24"/>
        </w:rPr>
        <w:tab/>
      </w:r>
      <w:r>
        <w:rPr>
          <w:rFonts w:ascii="Arial" w:eastAsia="Calibri" w:hAnsi="Arial" w:cs="Times New Roman"/>
          <w:b/>
          <w:sz w:val="24"/>
        </w:rPr>
        <w:tab/>
      </w:r>
      <w:r w:rsidR="003E4474" w:rsidRPr="003E4474">
        <w:rPr>
          <w:rFonts w:ascii="Arial" w:eastAsia="Calibri" w:hAnsi="Arial" w:cs="Times New Roman"/>
          <w:sz w:val="24"/>
        </w:rPr>
        <w:t xml:space="preserve">: </w:t>
      </w:r>
      <w:r w:rsidR="00CC6105" w:rsidRPr="00CC6105">
        <w:rPr>
          <w:rFonts w:ascii="Arial" w:eastAsia="Calibri" w:hAnsi="Arial" w:cs="Times New Roman"/>
          <w:sz w:val="24"/>
        </w:rPr>
        <w:t>Malatji &amp; Co. Attorneys</w:t>
      </w:r>
    </w:p>
    <w:p w:rsidR="004B3AA4" w:rsidRDefault="004B3AA4" w:rsidP="004B3AA4">
      <w:pPr>
        <w:spacing w:after="200" w:line="240" w:lineRule="auto"/>
        <w:contextualSpacing/>
        <w:rPr>
          <w:rFonts w:ascii="Arial" w:eastAsia="Calibri" w:hAnsi="Arial" w:cs="Times New Roman"/>
          <w:sz w:val="24"/>
        </w:rPr>
      </w:pPr>
    </w:p>
    <w:p w:rsidR="004B3AA4" w:rsidRDefault="004B3AA4" w:rsidP="004B3AA4">
      <w:pPr>
        <w:spacing w:after="200" w:line="240" w:lineRule="auto"/>
        <w:contextualSpacing/>
        <w:rPr>
          <w:rFonts w:ascii="Arial" w:eastAsia="Calibri" w:hAnsi="Arial" w:cs="Times New Roman"/>
          <w:sz w:val="24"/>
        </w:rPr>
      </w:pPr>
      <w:r w:rsidRPr="004B3AA4">
        <w:rPr>
          <w:rFonts w:ascii="Arial" w:eastAsia="Calibri" w:hAnsi="Arial" w:cs="Times New Roman"/>
          <w:b/>
          <w:sz w:val="24"/>
        </w:rPr>
        <w:t>2</w:t>
      </w:r>
      <w:r w:rsidRPr="004B3AA4">
        <w:rPr>
          <w:rFonts w:ascii="Arial" w:eastAsia="Calibri" w:hAnsi="Arial" w:cs="Times New Roman"/>
          <w:b/>
          <w:sz w:val="24"/>
          <w:vertAlign w:val="superscript"/>
        </w:rPr>
        <w:t>nd</w:t>
      </w:r>
      <w:r w:rsidRPr="004B3AA4">
        <w:rPr>
          <w:rFonts w:ascii="Arial" w:eastAsia="Calibri" w:hAnsi="Arial" w:cs="Times New Roman"/>
          <w:b/>
          <w:sz w:val="24"/>
        </w:rPr>
        <w:t xml:space="preserve"> RESPONDENT’</w:t>
      </w:r>
      <w:r>
        <w:rPr>
          <w:rFonts w:ascii="Arial" w:eastAsia="Calibri" w:hAnsi="Arial" w:cs="Times New Roman"/>
          <w:b/>
          <w:sz w:val="24"/>
        </w:rPr>
        <w:t>S COUNSEL</w:t>
      </w: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Pr="004B3AA4">
        <w:rPr>
          <w:rFonts w:ascii="Arial" w:eastAsia="Calibri" w:hAnsi="Arial" w:cs="Times New Roman"/>
          <w:sz w:val="24"/>
        </w:rPr>
        <w:t>: Adv.</w:t>
      </w:r>
      <w:r>
        <w:rPr>
          <w:rFonts w:ascii="Arial" w:eastAsia="Calibri" w:hAnsi="Arial" w:cs="Times New Roman"/>
          <w:b/>
          <w:sz w:val="24"/>
        </w:rPr>
        <w:t xml:space="preserve"> </w:t>
      </w:r>
      <w:proofErr w:type="spellStart"/>
      <w:r w:rsidR="003F7DD8" w:rsidRPr="003F7DD8">
        <w:rPr>
          <w:rFonts w:ascii="Arial" w:eastAsia="Calibri" w:hAnsi="Arial" w:cs="Times New Roman"/>
          <w:sz w:val="24"/>
        </w:rPr>
        <w:t>Ts</w:t>
      </w:r>
      <w:r w:rsidR="003F7DD8">
        <w:rPr>
          <w:rFonts w:ascii="Arial" w:eastAsia="Calibri" w:hAnsi="Arial" w:cs="Times New Roman"/>
          <w:sz w:val="24"/>
        </w:rPr>
        <w:t>h</w:t>
      </w:r>
      <w:r w:rsidR="003F7DD8" w:rsidRPr="003F7DD8">
        <w:rPr>
          <w:rFonts w:ascii="Arial" w:eastAsia="Calibri" w:hAnsi="Arial" w:cs="Times New Roman"/>
          <w:sz w:val="24"/>
        </w:rPr>
        <w:t>etlo</w:t>
      </w:r>
      <w:proofErr w:type="spellEnd"/>
    </w:p>
    <w:p w:rsidR="006B400D" w:rsidRPr="004B3AA4" w:rsidRDefault="006B400D" w:rsidP="004B3AA4">
      <w:pPr>
        <w:spacing w:after="200" w:line="240" w:lineRule="auto"/>
        <w:contextualSpacing/>
        <w:rPr>
          <w:rFonts w:ascii="Arial" w:eastAsia="Calibri" w:hAnsi="Arial" w:cs="Times New Roman"/>
          <w:b/>
          <w:sz w:val="24"/>
        </w:rPr>
      </w:pP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r>
      <w:r>
        <w:rPr>
          <w:rFonts w:ascii="Arial" w:eastAsia="Calibri" w:hAnsi="Arial" w:cs="Times New Roman"/>
          <w:sz w:val="24"/>
        </w:rPr>
        <w:tab/>
        <w:t xml:space="preserve"> </w:t>
      </w:r>
      <w:proofErr w:type="spellStart"/>
      <w:r>
        <w:rPr>
          <w:rFonts w:ascii="Arial" w:eastAsia="Calibri" w:hAnsi="Arial" w:cs="Times New Roman"/>
          <w:sz w:val="24"/>
        </w:rPr>
        <w:t>Adv</w:t>
      </w:r>
      <w:proofErr w:type="spellEnd"/>
      <w:r>
        <w:rPr>
          <w:rFonts w:ascii="Arial" w:eastAsia="Calibri" w:hAnsi="Arial" w:cs="Times New Roman"/>
          <w:sz w:val="24"/>
        </w:rPr>
        <w:t xml:space="preserve"> B </w:t>
      </w:r>
      <w:proofErr w:type="spellStart"/>
      <w:r>
        <w:rPr>
          <w:rFonts w:ascii="Arial" w:eastAsia="Calibri" w:hAnsi="Arial" w:cs="Times New Roman"/>
          <w:sz w:val="24"/>
        </w:rPr>
        <w:t>Lekokotla</w:t>
      </w:r>
      <w:proofErr w:type="spellEnd"/>
      <w:r>
        <w:rPr>
          <w:rFonts w:ascii="Arial" w:eastAsia="Calibri" w:hAnsi="Arial" w:cs="Times New Roman"/>
          <w:sz w:val="24"/>
        </w:rPr>
        <w:t xml:space="preserve"> </w:t>
      </w:r>
    </w:p>
    <w:p w:rsidR="004B3AA4" w:rsidRPr="004B3AA4" w:rsidRDefault="004B3AA4" w:rsidP="004B3AA4">
      <w:pPr>
        <w:spacing w:after="200" w:line="240" w:lineRule="auto"/>
        <w:contextualSpacing/>
        <w:rPr>
          <w:rFonts w:ascii="Arial" w:eastAsia="Calibri" w:hAnsi="Arial" w:cs="Times New Roman"/>
          <w:b/>
          <w:sz w:val="24"/>
        </w:rPr>
      </w:pPr>
    </w:p>
    <w:p w:rsidR="004B3AA4" w:rsidRPr="003E4474" w:rsidRDefault="004B3AA4" w:rsidP="004B3AA4">
      <w:pPr>
        <w:spacing w:after="200" w:line="240" w:lineRule="auto"/>
        <w:contextualSpacing/>
        <w:rPr>
          <w:rFonts w:ascii="Arial" w:eastAsia="Calibri" w:hAnsi="Arial" w:cs="Times New Roman"/>
          <w:b/>
          <w:sz w:val="24"/>
        </w:rPr>
      </w:pPr>
      <w:r>
        <w:rPr>
          <w:rFonts w:ascii="Arial" w:eastAsia="Calibri" w:hAnsi="Arial" w:cs="Times New Roman"/>
          <w:b/>
          <w:sz w:val="24"/>
        </w:rPr>
        <w:t>2</w:t>
      </w:r>
      <w:r w:rsidRPr="004B3AA4">
        <w:rPr>
          <w:rFonts w:ascii="Arial" w:eastAsia="Calibri" w:hAnsi="Arial" w:cs="Times New Roman"/>
          <w:b/>
          <w:sz w:val="24"/>
          <w:vertAlign w:val="superscript"/>
        </w:rPr>
        <w:t>nd</w:t>
      </w:r>
      <w:r>
        <w:rPr>
          <w:rFonts w:ascii="Arial" w:eastAsia="Calibri" w:hAnsi="Arial" w:cs="Times New Roman"/>
          <w:b/>
          <w:sz w:val="24"/>
        </w:rPr>
        <w:t xml:space="preserve"> </w:t>
      </w:r>
      <w:r w:rsidRPr="004B3AA4">
        <w:rPr>
          <w:rFonts w:ascii="Arial" w:eastAsia="Calibri" w:hAnsi="Arial" w:cs="Times New Roman"/>
          <w:b/>
          <w:sz w:val="24"/>
        </w:rPr>
        <w:t>RESPONDENT’S ATTORNEYS</w:t>
      </w:r>
      <w:r w:rsidRPr="004B3AA4">
        <w:rPr>
          <w:rFonts w:ascii="Arial" w:eastAsia="Calibri" w:hAnsi="Arial" w:cs="Times New Roman"/>
          <w:b/>
          <w:sz w:val="24"/>
        </w:rPr>
        <w:tab/>
      </w:r>
      <w:r w:rsidRPr="004B3AA4">
        <w:rPr>
          <w:rFonts w:ascii="Arial" w:eastAsia="Calibri" w:hAnsi="Arial" w:cs="Times New Roman"/>
          <w:b/>
          <w:sz w:val="24"/>
        </w:rPr>
        <w:tab/>
      </w:r>
      <w:r w:rsidRPr="004B3AA4">
        <w:rPr>
          <w:rFonts w:ascii="Arial" w:eastAsia="Calibri" w:hAnsi="Arial" w:cs="Times New Roman"/>
          <w:sz w:val="24"/>
        </w:rPr>
        <w:t xml:space="preserve">: </w:t>
      </w:r>
      <w:proofErr w:type="spellStart"/>
      <w:r w:rsidR="00CC6105" w:rsidRPr="00CC6105">
        <w:rPr>
          <w:rFonts w:ascii="Arial" w:eastAsia="Calibri" w:hAnsi="Arial" w:cs="Times New Roman"/>
          <w:sz w:val="24"/>
        </w:rPr>
        <w:t>Ditsela</w:t>
      </w:r>
      <w:proofErr w:type="spellEnd"/>
      <w:r w:rsidR="00CC6105" w:rsidRPr="00CC6105">
        <w:rPr>
          <w:rFonts w:ascii="Arial" w:eastAsia="Calibri" w:hAnsi="Arial" w:cs="Times New Roman"/>
          <w:sz w:val="24"/>
        </w:rPr>
        <w:t xml:space="preserve"> Incorporated Attorneys</w:t>
      </w:r>
    </w:p>
    <w:p w:rsidR="003E4474" w:rsidRPr="003E4474" w:rsidRDefault="003E4474" w:rsidP="003E4474">
      <w:pPr>
        <w:spacing w:after="0" w:line="240" w:lineRule="auto"/>
        <w:contextualSpacing/>
        <w:rPr>
          <w:rFonts w:ascii="Arial" w:eastAsia="Calibri" w:hAnsi="Arial" w:cs="Times New Roman"/>
          <w:b/>
          <w:sz w:val="24"/>
        </w:rPr>
      </w:pPr>
      <w:r w:rsidRPr="003E4474">
        <w:rPr>
          <w:rFonts w:ascii="Arial" w:eastAsia="Calibri" w:hAnsi="Arial" w:cs="Times New Roman"/>
          <w:b/>
          <w:sz w:val="24"/>
        </w:rPr>
        <w:tab/>
      </w:r>
      <w:r w:rsidRPr="003E4474">
        <w:rPr>
          <w:rFonts w:ascii="Arial" w:eastAsia="Calibri" w:hAnsi="Arial" w:cs="Times New Roman"/>
          <w:b/>
          <w:sz w:val="24"/>
        </w:rPr>
        <w:tab/>
      </w:r>
      <w:r w:rsidRPr="003E4474">
        <w:rPr>
          <w:rFonts w:ascii="Arial" w:eastAsia="Calibri" w:hAnsi="Arial" w:cs="Times New Roman"/>
          <w:b/>
          <w:sz w:val="24"/>
        </w:rPr>
        <w:tab/>
      </w:r>
    </w:p>
    <w:p w:rsidR="004B3AA4" w:rsidRPr="004B3AA4" w:rsidRDefault="004B3AA4" w:rsidP="004B3AA4">
      <w:pPr>
        <w:spacing w:after="200" w:line="240" w:lineRule="auto"/>
        <w:contextualSpacing/>
        <w:rPr>
          <w:rFonts w:ascii="Arial" w:eastAsia="Calibri" w:hAnsi="Arial" w:cs="Times New Roman"/>
          <w:b/>
          <w:sz w:val="24"/>
        </w:rPr>
      </w:pPr>
      <w:r>
        <w:rPr>
          <w:rFonts w:ascii="Arial" w:eastAsia="Calibri" w:hAnsi="Arial" w:cs="Times New Roman"/>
          <w:b/>
          <w:sz w:val="24"/>
        </w:rPr>
        <w:t>3</w:t>
      </w:r>
      <w:r w:rsidRPr="004B3AA4">
        <w:rPr>
          <w:rFonts w:ascii="Arial" w:eastAsia="Calibri" w:hAnsi="Arial" w:cs="Times New Roman"/>
          <w:b/>
          <w:sz w:val="24"/>
          <w:vertAlign w:val="superscript"/>
        </w:rPr>
        <w:t>rd</w:t>
      </w:r>
      <w:r>
        <w:rPr>
          <w:rFonts w:ascii="Arial" w:eastAsia="Calibri" w:hAnsi="Arial" w:cs="Times New Roman"/>
          <w:b/>
          <w:sz w:val="24"/>
        </w:rPr>
        <w:t xml:space="preserve"> </w:t>
      </w:r>
      <w:r w:rsidRPr="004B3AA4">
        <w:rPr>
          <w:rFonts w:ascii="Arial" w:eastAsia="Calibri" w:hAnsi="Arial" w:cs="Times New Roman"/>
          <w:b/>
          <w:sz w:val="24"/>
        </w:rPr>
        <w:t>RESPONDENT’</w:t>
      </w:r>
      <w:r>
        <w:rPr>
          <w:rFonts w:ascii="Arial" w:eastAsia="Calibri" w:hAnsi="Arial" w:cs="Times New Roman"/>
          <w:b/>
          <w:sz w:val="24"/>
        </w:rPr>
        <w:t>S COUNSEL</w:t>
      </w:r>
      <w:r>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Pr="004B3AA4">
        <w:rPr>
          <w:rFonts w:ascii="Arial" w:eastAsia="Calibri" w:hAnsi="Arial" w:cs="Times New Roman"/>
          <w:sz w:val="24"/>
        </w:rPr>
        <w:t xml:space="preserve">: Adv. C. </w:t>
      </w:r>
      <w:proofErr w:type="spellStart"/>
      <w:r w:rsidRPr="004B3AA4">
        <w:rPr>
          <w:rFonts w:ascii="Arial" w:eastAsia="Calibri" w:hAnsi="Arial" w:cs="Times New Roman"/>
          <w:sz w:val="24"/>
        </w:rPr>
        <w:t>S</w:t>
      </w:r>
      <w:r w:rsidR="00CC6105">
        <w:rPr>
          <w:rFonts w:ascii="Arial" w:eastAsia="Calibri" w:hAnsi="Arial" w:cs="Times New Roman"/>
          <w:sz w:val="24"/>
        </w:rPr>
        <w:t>hahim</w:t>
      </w:r>
      <w:proofErr w:type="spellEnd"/>
    </w:p>
    <w:p w:rsidR="004B3AA4" w:rsidRPr="004B3AA4" w:rsidRDefault="004B3AA4" w:rsidP="004B3AA4">
      <w:pPr>
        <w:spacing w:after="200" w:line="240" w:lineRule="auto"/>
        <w:contextualSpacing/>
        <w:rPr>
          <w:rFonts w:ascii="Arial" w:eastAsia="Calibri" w:hAnsi="Arial" w:cs="Times New Roman"/>
          <w:b/>
          <w:sz w:val="24"/>
        </w:rPr>
      </w:pPr>
    </w:p>
    <w:p w:rsidR="004B3AA4" w:rsidRPr="003E4474" w:rsidRDefault="004B3AA4" w:rsidP="004B3AA4">
      <w:pPr>
        <w:spacing w:after="200" w:line="240" w:lineRule="auto"/>
        <w:contextualSpacing/>
        <w:rPr>
          <w:rFonts w:ascii="Arial" w:eastAsia="Calibri" w:hAnsi="Arial" w:cs="Times New Roman"/>
          <w:b/>
          <w:sz w:val="24"/>
        </w:rPr>
      </w:pPr>
      <w:r>
        <w:rPr>
          <w:rFonts w:ascii="Arial" w:eastAsia="Calibri" w:hAnsi="Arial" w:cs="Times New Roman"/>
          <w:b/>
          <w:sz w:val="24"/>
        </w:rPr>
        <w:t>3</w:t>
      </w:r>
      <w:r w:rsidRPr="004B3AA4">
        <w:rPr>
          <w:rFonts w:ascii="Arial" w:eastAsia="Calibri" w:hAnsi="Arial" w:cs="Times New Roman"/>
          <w:b/>
          <w:sz w:val="24"/>
          <w:vertAlign w:val="superscript"/>
        </w:rPr>
        <w:t>rd</w:t>
      </w:r>
      <w:r>
        <w:rPr>
          <w:rFonts w:ascii="Arial" w:eastAsia="Calibri" w:hAnsi="Arial" w:cs="Times New Roman"/>
          <w:b/>
          <w:sz w:val="24"/>
        </w:rPr>
        <w:t xml:space="preserve"> </w:t>
      </w:r>
      <w:r w:rsidRPr="004B3AA4">
        <w:rPr>
          <w:rFonts w:ascii="Arial" w:eastAsia="Calibri" w:hAnsi="Arial" w:cs="Times New Roman"/>
          <w:b/>
          <w:sz w:val="24"/>
        </w:rPr>
        <w:t>RESPONDENT’S ATTORNEYS</w:t>
      </w:r>
      <w:r w:rsidRPr="004B3AA4">
        <w:rPr>
          <w:rFonts w:ascii="Arial" w:eastAsia="Calibri" w:hAnsi="Arial" w:cs="Times New Roman"/>
          <w:b/>
          <w:sz w:val="24"/>
        </w:rPr>
        <w:tab/>
      </w:r>
      <w:r w:rsidRPr="004B3AA4">
        <w:rPr>
          <w:rFonts w:ascii="Arial" w:eastAsia="Calibri" w:hAnsi="Arial" w:cs="Times New Roman"/>
          <w:b/>
          <w:sz w:val="24"/>
        </w:rPr>
        <w:tab/>
      </w:r>
      <w:r w:rsidRPr="004B3AA4">
        <w:rPr>
          <w:rFonts w:ascii="Arial" w:eastAsia="Calibri" w:hAnsi="Arial" w:cs="Times New Roman"/>
          <w:sz w:val="24"/>
        </w:rPr>
        <w:t xml:space="preserve">: </w:t>
      </w:r>
      <w:r w:rsidR="009216EE">
        <w:rPr>
          <w:rFonts w:ascii="Arial" w:eastAsia="Calibri" w:hAnsi="Arial" w:cs="Times New Roman"/>
          <w:sz w:val="24"/>
        </w:rPr>
        <w:t xml:space="preserve">Kern Armstrong &amp; Du Plessis Inc. </w:t>
      </w:r>
    </w:p>
    <w:p w:rsidR="003E4474" w:rsidRPr="003E4474" w:rsidRDefault="003E4474" w:rsidP="003E4474">
      <w:pPr>
        <w:spacing w:after="0" w:line="240" w:lineRule="auto"/>
        <w:contextualSpacing/>
        <w:rPr>
          <w:rFonts w:ascii="Arial" w:eastAsia="Calibri" w:hAnsi="Arial" w:cs="Times New Roman"/>
          <w:sz w:val="24"/>
        </w:rPr>
      </w:pPr>
    </w:p>
    <w:p w:rsidR="009216EE" w:rsidRPr="009216EE" w:rsidRDefault="003F7DD8" w:rsidP="009216EE">
      <w:pPr>
        <w:spacing w:after="0" w:line="240" w:lineRule="auto"/>
        <w:contextualSpacing/>
        <w:rPr>
          <w:rFonts w:ascii="Arial" w:eastAsia="Calibri" w:hAnsi="Arial" w:cs="Times New Roman"/>
          <w:b/>
          <w:sz w:val="24"/>
        </w:rPr>
      </w:pPr>
      <w:r>
        <w:rPr>
          <w:rFonts w:ascii="Arial" w:eastAsia="Calibri" w:hAnsi="Arial" w:cs="Times New Roman"/>
          <w:b/>
          <w:sz w:val="24"/>
        </w:rPr>
        <w:t>BDO’S</w:t>
      </w:r>
      <w:r w:rsidR="009216EE" w:rsidRPr="009216EE">
        <w:rPr>
          <w:rFonts w:ascii="Arial" w:eastAsia="Calibri" w:hAnsi="Arial" w:cs="Times New Roman"/>
          <w:b/>
          <w:sz w:val="24"/>
        </w:rPr>
        <w:t xml:space="preserve"> COUNSEL</w:t>
      </w:r>
      <w:r w:rsidR="009216EE" w:rsidRPr="009216EE">
        <w:rPr>
          <w:rFonts w:ascii="Arial" w:eastAsia="Calibri" w:hAnsi="Arial" w:cs="Times New Roman"/>
          <w:b/>
          <w:sz w:val="24"/>
        </w:rPr>
        <w:tab/>
      </w:r>
      <w:r>
        <w:rPr>
          <w:rFonts w:ascii="Arial" w:eastAsia="Calibri" w:hAnsi="Arial" w:cs="Times New Roman"/>
          <w:b/>
          <w:sz w:val="24"/>
        </w:rPr>
        <w:tab/>
      </w:r>
      <w:r>
        <w:rPr>
          <w:rFonts w:ascii="Arial" w:eastAsia="Calibri" w:hAnsi="Arial" w:cs="Times New Roman"/>
          <w:b/>
          <w:sz w:val="24"/>
        </w:rPr>
        <w:tab/>
      </w:r>
      <w:r w:rsidR="009216EE" w:rsidRPr="009216EE">
        <w:rPr>
          <w:rFonts w:ascii="Arial" w:eastAsia="Calibri" w:hAnsi="Arial" w:cs="Times New Roman"/>
          <w:b/>
          <w:sz w:val="24"/>
        </w:rPr>
        <w:tab/>
      </w:r>
      <w:r w:rsidR="009216EE" w:rsidRPr="009216EE">
        <w:rPr>
          <w:rFonts w:ascii="Arial" w:eastAsia="Calibri" w:hAnsi="Arial" w:cs="Times New Roman"/>
          <w:b/>
          <w:sz w:val="24"/>
        </w:rPr>
        <w:tab/>
      </w:r>
      <w:r w:rsidR="009216EE" w:rsidRPr="009216EE">
        <w:rPr>
          <w:rFonts w:ascii="Arial" w:eastAsia="Calibri" w:hAnsi="Arial" w:cs="Times New Roman"/>
          <w:sz w:val="24"/>
        </w:rPr>
        <w:t xml:space="preserve">: Adv. </w:t>
      </w:r>
      <w:r w:rsidR="009216EE">
        <w:rPr>
          <w:rFonts w:ascii="Arial" w:eastAsia="Calibri" w:hAnsi="Arial" w:cs="Times New Roman"/>
          <w:sz w:val="24"/>
        </w:rPr>
        <w:t>T. Dalrymple</w:t>
      </w:r>
    </w:p>
    <w:p w:rsidR="009216EE" w:rsidRPr="009216EE" w:rsidRDefault="009216EE" w:rsidP="009216EE">
      <w:pPr>
        <w:spacing w:after="0" w:line="240" w:lineRule="auto"/>
        <w:contextualSpacing/>
        <w:rPr>
          <w:rFonts w:ascii="Arial" w:eastAsia="Calibri" w:hAnsi="Arial" w:cs="Times New Roman"/>
          <w:b/>
          <w:sz w:val="24"/>
        </w:rPr>
      </w:pPr>
    </w:p>
    <w:p w:rsidR="009216EE" w:rsidRPr="009216EE" w:rsidRDefault="003F7DD8" w:rsidP="009216EE">
      <w:pPr>
        <w:spacing w:after="0" w:line="240" w:lineRule="auto"/>
        <w:contextualSpacing/>
        <w:rPr>
          <w:rFonts w:ascii="Arial" w:eastAsia="Calibri" w:hAnsi="Arial" w:cs="Times New Roman"/>
          <w:b/>
          <w:sz w:val="24"/>
        </w:rPr>
      </w:pPr>
      <w:r>
        <w:rPr>
          <w:rFonts w:ascii="Arial" w:eastAsia="Calibri" w:hAnsi="Arial" w:cs="Times New Roman"/>
          <w:b/>
          <w:sz w:val="24"/>
        </w:rPr>
        <w:t>BDO’S</w:t>
      </w:r>
      <w:r w:rsidR="009216EE" w:rsidRPr="009216EE">
        <w:rPr>
          <w:rFonts w:ascii="Arial" w:eastAsia="Calibri" w:hAnsi="Arial" w:cs="Times New Roman"/>
          <w:b/>
          <w:sz w:val="24"/>
        </w:rPr>
        <w:t xml:space="preserve"> ATTORNEYS</w:t>
      </w:r>
      <w:r>
        <w:rPr>
          <w:rFonts w:ascii="Arial" w:eastAsia="Calibri" w:hAnsi="Arial" w:cs="Times New Roman"/>
          <w:b/>
          <w:sz w:val="24"/>
        </w:rPr>
        <w:tab/>
      </w:r>
      <w:r>
        <w:rPr>
          <w:rFonts w:ascii="Arial" w:eastAsia="Calibri" w:hAnsi="Arial" w:cs="Times New Roman"/>
          <w:b/>
          <w:sz w:val="24"/>
        </w:rPr>
        <w:tab/>
      </w:r>
      <w:r w:rsidR="009216EE" w:rsidRPr="009216EE">
        <w:rPr>
          <w:rFonts w:ascii="Arial" w:eastAsia="Calibri" w:hAnsi="Arial" w:cs="Times New Roman"/>
          <w:b/>
          <w:sz w:val="24"/>
        </w:rPr>
        <w:tab/>
      </w:r>
      <w:r w:rsidR="009216EE" w:rsidRPr="009216EE">
        <w:rPr>
          <w:rFonts w:ascii="Arial" w:eastAsia="Calibri" w:hAnsi="Arial" w:cs="Times New Roman"/>
          <w:b/>
          <w:sz w:val="24"/>
        </w:rPr>
        <w:tab/>
      </w:r>
      <w:r w:rsidR="009216EE" w:rsidRPr="009216EE">
        <w:rPr>
          <w:rFonts w:ascii="Arial" w:eastAsia="Calibri" w:hAnsi="Arial" w:cs="Times New Roman"/>
          <w:sz w:val="24"/>
        </w:rPr>
        <w:t xml:space="preserve">: </w:t>
      </w:r>
      <w:r w:rsidR="009216EE">
        <w:rPr>
          <w:rFonts w:ascii="Arial" w:eastAsia="Calibri" w:hAnsi="Arial" w:cs="Times New Roman"/>
          <w:sz w:val="24"/>
        </w:rPr>
        <w:t xml:space="preserve">Webber </w:t>
      </w:r>
      <w:proofErr w:type="spellStart"/>
      <w:r w:rsidR="009216EE">
        <w:rPr>
          <w:rFonts w:ascii="Arial" w:eastAsia="Calibri" w:hAnsi="Arial" w:cs="Times New Roman"/>
          <w:sz w:val="24"/>
        </w:rPr>
        <w:t>Wentzel</w:t>
      </w:r>
      <w:proofErr w:type="spellEnd"/>
      <w:r w:rsidR="009216EE">
        <w:rPr>
          <w:rFonts w:ascii="Arial" w:eastAsia="Calibri" w:hAnsi="Arial" w:cs="Times New Roman"/>
          <w:sz w:val="24"/>
        </w:rPr>
        <w:t xml:space="preserve"> Attorneys</w:t>
      </w:r>
      <w:r w:rsidR="009216EE" w:rsidRPr="009216EE">
        <w:rPr>
          <w:rFonts w:ascii="Arial" w:eastAsia="Calibri" w:hAnsi="Arial" w:cs="Times New Roman"/>
          <w:sz w:val="24"/>
        </w:rPr>
        <w:t xml:space="preserve"> </w:t>
      </w:r>
    </w:p>
    <w:p w:rsidR="003E4474" w:rsidRPr="003E4474" w:rsidRDefault="003E4474" w:rsidP="003E4474">
      <w:pPr>
        <w:spacing w:after="0" w:line="240" w:lineRule="auto"/>
        <w:contextualSpacing/>
        <w:rPr>
          <w:rFonts w:ascii="Arial" w:eastAsia="Calibri" w:hAnsi="Arial" w:cs="Times New Roman"/>
          <w:sz w:val="24"/>
        </w:rPr>
      </w:pP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r w:rsidRPr="003E4474">
        <w:rPr>
          <w:rFonts w:ascii="Arial" w:eastAsia="Calibri" w:hAnsi="Arial" w:cs="Times New Roman"/>
          <w:sz w:val="24"/>
        </w:rPr>
        <w:tab/>
      </w:r>
    </w:p>
    <w:p w:rsidR="003E4474" w:rsidRPr="003E4474" w:rsidRDefault="003E4474" w:rsidP="003E4474">
      <w:pPr>
        <w:spacing w:after="0" w:line="240" w:lineRule="auto"/>
        <w:contextualSpacing/>
        <w:rPr>
          <w:rFonts w:ascii="Arial" w:eastAsia="Calibri" w:hAnsi="Arial" w:cs="Times New Roman"/>
          <w:sz w:val="24"/>
        </w:rPr>
      </w:pPr>
    </w:p>
    <w:sectPr w:rsidR="003E4474" w:rsidRPr="003E4474" w:rsidSect="00B21A16">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64" w:rsidRDefault="00891364" w:rsidP="003E4474">
      <w:pPr>
        <w:spacing w:after="0" w:line="240" w:lineRule="auto"/>
      </w:pPr>
      <w:r>
        <w:separator/>
      </w:r>
    </w:p>
  </w:endnote>
  <w:endnote w:type="continuationSeparator" w:id="0">
    <w:p w:rsidR="00891364" w:rsidRDefault="00891364" w:rsidP="003E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64" w:rsidRDefault="00891364" w:rsidP="003E4474">
      <w:pPr>
        <w:spacing w:after="0" w:line="240" w:lineRule="auto"/>
      </w:pPr>
      <w:r>
        <w:separator/>
      </w:r>
    </w:p>
  </w:footnote>
  <w:footnote w:type="continuationSeparator" w:id="0">
    <w:p w:rsidR="00891364" w:rsidRDefault="00891364" w:rsidP="003E4474">
      <w:pPr>
        <w:spacing w:after="0" w:line="240" w:lineRule="auto"/>
      </w:pPr>
      <w:r>
        <w:continuationSeparator/>
      </w:r>
    </w:p>
  </w:footnote>
  <w:footnote w:id="1">
    <w:p w:rsidR="00527DBA" w:rsidRDefault="00527DBA" w:rsidP="00FE74B1">
      <w:pPr>
        <w:pStyle w:val="FootnoteText"/>
      </w:pPr>
      <w:r>
        <w:rPr>
          <w:rStyle w:val="FootnoteReference"/>
        </w:rPr>
        <w:footnoteRef/>
      </w:r>
      <w:r>
        <w:t xml:space="preserve"> Amalgamated Engineering Union v Minister of Labour 1949 (3) SA 637(A)</w:t>
      </w:r>
    </w:p>
  </w:footnote>
  <w:footnote w:id="2">
    <w:p w:rsidR="00527DBA" w:rsidRDefault="00527DBA">
      <w:pPr>
        <w:pStyle w:val="FootnoteText"/>
      </w:pPr>
      <w:r>
        <w:rPr>
          <w:rStyle w:val="FootnoteReference"/>
        </w:rPr>
        <w:footnoteRef/>
      </w:r>
      <w:r>
        <w:t xml:space="preserve"> </w:t>
      </w:r>
      <w:r w:rsidRPr="00861FD5">
        <w:rPr>
          <w:lang w:val="en-US"/>
        </w:rPr>
        <w:t>SA Riding for the Disabled Association v Regional Land Claims Commissioner</w:t>
      </w:r>
      <w:r w:rsidRPr="00861FD5">
        <w:t xml:space="preserve"> </w:t>
      </w:r>
      <w:r>
        <w:t>2017 (5) SA 1 (CC)</w:t>
      </w:r>
    </w:p>
  </w:footnote>
  <w:footnote w:id="3">
    <w:p w:rsidR="00527DBA" w:rsidRDefault="00527DBA" w:rsidP="004339F3">
      <w:pPr>
        <w:pStyle w:val="FootnoteText"/>
      </w:pPr>
      <w:r>
        <w:rPr>
          <w:rStyle w:val="FootnoteReference"/>
        </w:rPr>
        <w:footnoteRef/>
      </w:r>
      <w:r>
        <w:t xml:space="preserve"> O’Connell </w:t>
      </w:r>
      <w:proofErr w:type="spellStart"/>
      <w:r>
        <w:t>Manthe</w:t>
      </w:r>
      <w:proofErr w:type="spellEnd"/>
      <w:r>
        <w:t xml:space="preserve"> and Partners </w:t>
      </w:r>
      <w:proofErr w:type="spellStart"/>
      <w:r>
        <w:t>Inc</w:t>
      </w:r>
      <w:proofErr w:type="spellEnd"/>
      <w:r>
        <w:t xml:space="preserve"> v Vryheid </w:t>
      </w:r>
      <w:proofErr w:type="spellStart"/>
      <w:r>
        <w:t>Minerale</w:t>
      </w:r>
      <w:proofErr w:type="spellEnd"/>
      <w:r>
        <w:t xml:space="preserve"> (</w:t>
      </w:r>
      <w:proofErr w:type="spellStart"/>
      <w:r>
        <w:t>Edms</w:t>
      </w:r>
      <w:proofErr w:type="spellEnd"/>
      <w:r>
        <w:t xml:space="preserve">) </w:t>
      </w:r>
      <w:proofErr w:type="spellStart"/>
      <w:r>
        <w:t>Bpk</w:t>
      </w:r>
      <w:proofErr w:type="spellEnd"/>
      <w:r>
        <w:t xml:space="preserve"> 1979 (1) SA 553 (T); Ex Parte G Pagan Enterprises (Pty) Ltd 1983 (3) All SA 400 (W) at 401; </w:t>
      </w:r>
      <w:proofErr w:type="spellStart"/>
      <w:r>
        <w:t>Koupis</w:t>
      </w:r>
      <w:proofErr w:type="spellEnd"/>
      <w:r>
        <w:t xml:space="preserve"> v </w:t>
      </w:r>
      <w:proofErr w:type="spellStart"/>
      <w:r>
        <w:t>Udumo</w:t>
      </w:r>
      <w:proofErr w:type="spellEnd"/>
      <w:r>
        <w:t xml:space="preserve"> Trading 225 CC t/a </w:t>
      </w:r>
      <w:proofErr w:type="spellStart"/>
      <w:r>
        <w:t>Pastic</w:t>
      </w:r>
      <w:proofErr w:type="spellEnd"/>
      <w:r>
        <w:t xml:space="preserve"> Rebuilders [2013] JOL 30379 (FB) </w:t>
      </w:r>
    </w:p>
  </w:footnote>
  <w:footnote w:id="4">
    <w:p w:rsidR="00527DBA" w:rsidRDefault="00527DBA" w:rsidP="004339F3">
      <w:pPr>
        <w:pStyle w:val="FootnoteText"/>
      </w:pPr>
      <w:r>
        <w:rPr>
          <w:rStyle w:val="FootnoteReference"/>
        </w:rPr>
        <w:footnoteRef/>
      </w:r>
      <w:r>
        <w:t xml:space="preserve"> </w:t>
      </w:r>
      <w:r w:rsidRPr="004339F3">
        <w:rPr>
          <w:lang w:val="en-US"/>
        </w:rPr>
        <w:t xml:space="preserve">Chief </w:t>
      </w:r>
      <w:proofErr w:type="spellStart"/>
      <w:r w:rsidRPr="004339F3">
        <w:rPr>
          <w:lang w:val="en-US"/>
        </w:rPr>
        <w:t>Lesapo</w:t>
      </w:r>
      <w:proofErr w:type="spellEnd"/>
      <w:r w:rsidRPr="004339F3">
        <w:rPr>
          <w:lang w:val="en-US"/>
        </w:rPr>
        <w:t xml:space="preserve"> v North West Agricultural Bank and Another</w:t>
      </w:r>
      <w:r>
        <w:t xml:space="preserve"> 2001 (1) SA 409 (CC) para [16]</w:t>
      </w:r>
    </w:p>
  </w:footnote>
  <w:footnote w:id="5">
    <w:p w:rsidR="00527DBA" w:rsidRDefault="00527DBA" w:rsidP="004339F3">
      <w:pPr>
        <w:pStyle w:val="FootnoteText"/>
      </w:pPr>
      <w:r>
        <w:rPr>
          <w:rStyle w:val="FootnoteReference"/>
        </w:rPr>
        <w:footnoteRef/>
      </w:r>
      <w:r>
        <w:t xml:space="preserve"> </w:t>
      </w:r>
      <w:r w:rsidRPr="000D3625">
        <w:rPr>
          <w:lang w:val="en-US"/>
        </w:rPr>
        <w:t xml:space="preserve">Registrar of Medical Schemes v </w:t>
      </w:r>
      <w:proofErr w:type="spellStart"/>
      <w:r w:rsidRPr="000D3625">
        <w:rPr>
          <w:lang w:val="en-US"/>
        </w:rPr>
        <w:t>Keyhealth</w:t>
      </w:r>
      <w:proofErr w:type="spellEnd"/>
      <w:r w:rsidRPr="000D3625">
        <w:rPr>
          <w:lang w:val="en-US"/>
        </w:rPr>
        <w:t xml:space="preserve"> Medical Scheme and Others </w:t>
      </w:r>
      <w:r w:rsidRPr="000D3625">
        <w:t xml:space="preserve">Unreported judgment Gauteng Division Pretoria 25 March 2021 </w:t>
      </w:r>
    </w:p>
  </w:footnote>
  <w:footnote w:id="6">
    <w:p w:rsidR="00527DBA" w:rsidRDefault="00527DBA">
      <w:pPr>
        <w:pStyle w:val="FootnoteText"/>
      </w:pPr>
      <w:r>
        <w:rPr>
          <w:rStyle w:val="FootnoteReference"/>
        </w:rPr>
        <w:footnoteRef/>
      </w:r>
      <w:r>
        <w:t xml:space="preserve"> Para [18]</w:t>
      </w:r>
    </w:p>
  </w:footnote>
  <w:footnote w:id="7">
    <w:p w:rsidR="00527DBA" w:rsidRDefault="00527DBA" w:rsidP="000D3625">
      <w:pPr>
        <w:pStyle w:val="FootnoteText"/>
      </w:pPr>
      <w:r>
        <w:rPr>
          <w:rStyle w:val="FootnoteReference"/>
        </w:rPr>
        <w:footnoteRef/>
      </w:r>
      <w:r>
        <w:t xml:space="preserve"> 28 of 2001</w:t>
      </w:r>
    </w:p>
  </w:footnote>
  <w:footnote w:id="8">
    <w:p w:rsidR="00527DBA" w:rsidRDefault="00527DBA">
      <w:pPr>
        <w:pStyle w:val="FootnoteText"/>
      </w:pPr>
      <w:r>
        <w:rPr>
          <w:rStyle w:val="FootnoteReference"/>
        </w:rPr>
        <w:footnoteRef/>
      </w:r>
      <w:r>
        <w:t xml:space="preserve"> As read with s54(1) of the Insurance Act 18 of 2017</w:t>
      </w:r>
    </w:p>
  </w:footnote>
  <w:footnote w:id="9">
    <w:p w:rsidR="00527DBA" w:rsidRDefault="00527DBA" w:rsidP="00E41AC8">
      <w:pPr>
        <w:pStyle w:val="FootnoteText"/>
      </w:pPr>
      <w:r>
        <w:rPr>
          <w:rStyle w:val="FootnoteReference"/>
        </w:rPr>
        <w:footnoteRef/>
      </w:r>
      <w:r>
        <w:t xml:space="preserve"> </w:t>
      </w:r>
      <w:proofErr w:type="spellStart"/>
      <w:r>
        <w:t>Mostert</w:t>
      </w:r>
      <w:proofErr w:type="spellEnd"/>
      <w:r>
        <w:t xml:space="preserve"> and Others v Nash and Another [2018] ZASCA 62 par [23] </w:t>
      </w:r>
    </w:p>
  </w:footnote>
  <w:footnote w:id="10">
    <w:p w:rsidR="00527DBA" w:rsidRDefault="00527DBA">
      <w:pPr>
        <w:pStyle w:val="FootnoteText"/>
      </w:pPr>
      <w:r>
        <w:rPr>
          <w:rStyle w:val="FootnoteReference"/>
        </w:rPr>
        <w:footnoteRef/>
      </w:r>
      <w:r>
        <w:t xml:space="preserve"> 1993 (2) All SA 534 (C) p537 </w:t>
      </w:r>
    </w:p>
  </w:footnote>
  <w:footnote w:id="11">
    <w:p w:rsidR="00527DBA" w:rsidRDefault="00527DBA">
      <w:pPr>
        <w:pStyle w:val="FootnoteText"/>
      </w:pPr>
      <w:r>
        <w:rPr>
          <w:rStyle w:val="FootnoteReference"/>
        </w:rPr>
        <w:footnoteRef/>
      </w:r>
      <w:r>
        <w:t xml:space="preserve"> Albeit in the context of winding up proceedings </w:t>
      </w:r>
    </w:p>
  </w:footnote>
  <w:footnote w:id="12">
    <w:p w:rsidR="00527DBA" w:rsidRPr="0088682C" w:rsidRDefault="00527DBA">
      <w:pPr>
        <w:pStyle w:val="FootnoteText"/>
        <w:rPr>
          <w:lang w:val="en-GB"/>
        </w:rPr>
      </w:pPr>
      <w:r>
        <w:rPr>
          <w:rStyle w:val="FootnoteReference"/>
        </w:rPr>
        <w:footnoteRef/>
      </w:r>
      <w:r>
        <w:t xml:space="preserve"> </w:t>
      </w:r>
      <w:r>
        <w:rPr>
          <w:lang w:val="en-GB"/>
        </w:rPr>
        <w:t xml:space="preserve">Under section 34 of the Constitution: </w:t>
      </w:r>
      <w:r w:rsidRPr="0088682C">
        <w:rPr>
          <w:i/>
          <w:lang w:val="en-GB"/>
        </w:rPr>
        <w:t>Everyone has the right to have any dispute that can be resolved by the application of law decided in a fair and public hearing before a court or, where appropriate, another independent and impartial tribunal or forum”.</w:t>
      </w:r>
    </w:p>
  </w:footnote>
  <w:footnote w:id="13">
    <w:p w:rsidR="00527DBA" w:rsidRDefault="00527DBA" w:rsidP="0092175B">
      <w:pPr>
        <w:pStyle w:val="FootnoteText"/>
      </w:pPr>
      <w:r>
        <w:rPr>
          <w:rStyle w:val="FootnoteReference"/>
        </w:rPr>
        <w:footnoteRef/>
      </w:r>
      <w:r>
        <w:t xml:space="preserve"> 2015 92) SA 1 (CC) paras [27]-[28]</w:t>
      </w:r>
    </w:p>
  </w:footnote>
  <w:footnote w:id="14">
    <w:p w:rsidR="00527DBA" w:rsidRDefault="00527DBA">
      <w:pPr>
        <w:pStyle w:val="FootnoteText"/>
      </w:pPr>
      <w:r>
        <w:rPr>
          <w:rStyle w:val="FootnoteReference"/>
        </w:rPr>
        <w:footnoteRef/>
      </w:r>
      <w:r>
        <w:t xml:space="preserve"> </w:t>
      </w:r>
      <w:r w:rsidRPr="00096B33">
        <w:t>8 of 2017</w:t>
      </w:r>
    </w:p>
  </w:footnote>
  <w:footnote w:id="15">
    <w:p w:rsidR="00527DBA" w:rsidRDefault="00527DBA">
      <w:pPr>
        <w:pStyle w:val="FootnoteText"/>
      </w:pPr>
      <w:r>
        <w:rPr>
          <w:rStyle w:val="FootnoteReference"/>
        </w:rPr>
        <w:footnoteRef/>
      </w:r>
      <w:r>
        <w:t xml:space="preserve"> 9 of 2017</w:t>
      </w:r>
    </w:p>
  </w:footnote>
  <w:footnote w:id="16">
    <w:p w:rsidR="00527DBA" w:rsidRDefault="00527DBA" w:rsidP="0089474D">
      <w:pPr>
        <w:pStyle w:val="FootnoteText"/>
      </w:pPr>
      <w:r>
        <w:rPr>
          <w:rStyle w:val="FootnoteReference"/>
        </w:rPr>
        <w:footnoteRef/>
      </w:r>
      <w:r>
        <w:t xml:space="preserve"> </w:t>
      </w:r>
      <w:r w:rsidRPr="004433B3">
        <w:rPr>
          <w:lang w:val="en-US"/>
        </w:rPr>
        <w:t xml:space="preserve">The regulatory framework and powers of the Authority is </w:t>
      </w:r>
      <w:r>
        <w:rPr>
          <w:lang w:val="en-US"/>
        </w:rPr>
        <w:t xml:space="preserve">usefully </w:t>
      </w:r>
      <w:proofErr w:type="spellStart"/>
      <w:r>
        <w:rPr>
          <w:lang w:val="en-US"/>
        </w:rPr>
        <w:t>summarised</w:t>
      </w:r>
      <w:proofErr w:type="spellEnd"/>
      <w:r>
        <w:rPr>
          <w:lang w:val="en-US"/>
        </w:rPr>
        <w:t xml:space="preserve"> by Yacoob J</w:t>
      </w:r>
      <w:r w:rsidRPr="00376E87">
        <w:rPr>
          <w:lang w:val="en-US"/>
        </w:rPr>
        <w:t xml:space="preserve"> </w:t>
      </w:r>
      <w:r>
        <w:rPr>
          <w:lang w:val="en-US"/>
        </w:rPr>
        <w:t xml:space="preserve">in </w:t>
      </w:r>
      <w:r w:rsidRPr="00376E87">
        <w:rPr>
          <w:lang w:val="en-US"/>
        </w:rPr>
        <w:t xml:space="preserve">Prudential Authority v </w:t>
      </w:r>
      <w:proofErr w:type="spellStart"/>
      <w:r w:rsidRPr="00376E87">
        <w:rPr>
          <w:lang w:val="en-US"/>
        </w:rPr>
        <w:t>Bophelo</w:t>
      </w:r>
      <w:proofErr w:type="spellEnd"/>
      <w:r w:rsidRPr="00376E87">
        <w:rPr>
          <w:lang w:val="en-US"/>
        </w:rPr>
        <w:t xml:space="preserve"> Life Insurance Company Ltd and Others</w:t>
      </w:r>
      <w:r>
        <w:t xml:space="preserve"> [2020] ZAGPJHC 7 (30 November 2020) paras [39]-[43]</w:t>
      </w:r>
    </w:p>
  </w:footnote>
  <w:footnote w:id="17">
    <w:p w:rsidR="00527DBA" w:rsidRDefault="00527DBA" w:rsidP="00205BB4">
      <w:pPr>
        <w:pStyle w:val="FootnoteText"/>
        <w:jc w:val="both"/>
      </w:pPr>
      <w:r>
        <w:rPr>
          <w:rStyle w:val="FootnoteReference"/>
        </w:rPr>
        <w:footnoteRef/>
      </w:r>
      <w:r>
        <w:t xml:space="preserve"> Barnard and Others v Registrar of Medical Schemes 2015 (3) SA 204 (SCA) para [47]-[50]</w:t>
      </w:r>
    </w:p>
  </w:footnote>
  <w:footnote w:id="18">
    <w:p w:rsidR="00527DBA" w:rsidRDefault="00527DBA" w:rsidP="00205BB4">
      <w:pPr>
        <w:pStyle w:val="FootnoteText"/>
        <w:jc w:val="both"/>
      </w:pPr>
      <w:r>
        <w:rPr>
          <w:rStyle w:val="FootnoteReference"/>
        </w:rPr>
        <w:footnoteRef/>
      </w:r>
      <w:r>
        <w:t xml:space="preserve"> Barnard supra para [41]</w:t>
      </w:r>
    </w:p>
  </w:footnote>
  <w:footnote w:id="19">
    <w:p w:rsidR="00527DBA" w:rsidRDefault="00527DBA" w:rsidP="00205BB4">
      <w:pPr>
        <w:pStyle w:val="FootnoteText"/>
        <w:jc w:val="both"/>
      </w:pPr>
      <w:r>
        <w:rPr>
          <w:rStyle w:val="FootnoteReference"/>
        </w:rPr>
        <w:footnoteRef/>
      </w:r>
      <w:r>
        <w:t xml:space="preserve"> It provides:</w:t>
      </w:r>
      <w:r w:rsidRPr="00096B33">
        <w:rPr>
          <w:i/>
          <w:lang w:val="en-US"/>
        </w:rPr>
        <w:t xml:space="preserve"> </w:t>
      </w:r>
      <w:r>
        <w:rPr>
          <w:i/>
          <w:lang w:val="en-US"/>
        </w:rPr>
        <w:t>“</w:t>
      </w:r>
      <w:r w:rsidRPr="00096B33">
        <w:rPr>
          <w:i/>
          <w:lang w:val="en-US"/>
        </w:rPr>
        <w:t>Despite any other law-the court may, (a) on application by the Prudential Authority; or (b) The Prudential Authority may by agreement with an insurer or controlling company and without the intervention of the court, appoint a curator in terms of section 5 of the Financial Institutions *Protection of Funds) Act in respect of any insurer or controlling company”.</w:t>
      </w:r>
    </w:p>
  </w:footnote>
  <w:footnote w:id="20">
    <w:p w:rsidR="00527DBA" w:rsidRDefault="00527DBA" w:rsidP="00205BB4">
      <w:pPr>
        <w:pStyle w:val="FootnoteText"/>
        <w:jc w:val="both"/>
      </w:pPr>
      <w:r>
        <w:rPr>
          <w:rStyle w:val="FootnoteReference"/>
        </w:rPr>
        <w:footnoteRef/>
      </w:r>
      <w:r>
        <w:t xml:space="preserve"> The amount of money, as determined through the Prudential Authority’s Standard Formula to Insurers that the shareholder must have in the business so that if the estimated most extreme risk events applying to insurers were to happen, the insurer would remain solvent after such event. It is the required capital that the insurer must have to ensure that it is solvent after being shocked by extreme risk, imagined to happen at a ratio of 1 in 200 years</w:t>
      </w:r>
    </w:p>
  </w:footnote>
  <w:footnote w:id="21">
    <w:p w:rsidR="00527DBA" w:rsidRDefault="00527DBA" w:rsidP="00205BB4">
      <w:pPr>
        <w:pStyle w:val="FootnoteText"/>
        <w:jc w:val="both"/>
      </w:pPr>
      <w:r>
        <w:rPr>
          <w:rStyle w:val="FootnoteReference"/>
        </w:rPr>
        <w:footnoteRef/>
      </w:r>
      <w:r>
        <w:t xml:space="preserve"> The amount of money, determined through the Prudential Authority’s standard formula to insurers that the shareholder must, at minimum have in the business, meant to cover 3 months’ operational expenses and set to be at an absolute minimum of R15 million.</w:t>
      </w:r>
    </w:p>
  </w:footnote>
  <w:footnote w:id="22">
    <w:p w:rsidR="00527DBA" w:rsidRDefault="00527DBA" w:rsidP="00096B33">
      <w:pPr>
        <w:pStyle w:val="FootnoteText"/>
      </w:pPr>
      <w:r>
        <w:rPr>
          <w:rStyle w:val="FootnoteReference"/>
        </w:rPr>
        <w:footnoteRef/>
      </w:r>
      <w:r>
        <w:t xml:space="preserve"> Schlesinger v Schlesinger [1979] 3 All SA 780 (W); </w:t>
      </w:r>
      <w:proofErr w:type="spellStart"/>
      <w:r>
        <w:t>Logie</w:t>
      </w:r>
      <w:proofErr w:type="spellEnd"/>
      <w:r>
        <w:t xml:space="preserve"> v Priest 1926 AD 312; Recycling and Economic Development Initiative of South Africa NPC v Minister of Environmental Affairs 2019 (3) SA 251 (SCA) paras [42]-[52]</w:t>
      </w:r>
    </w:p>
  </w:footnote>
  <w:footnote w:id="23">
    <w:p w:rsidR="00527DBA" w:rsidRDefault="00527DBA" w:rsidP="00096B33">
      <w:pPr>
        <w:pStyle w:val="FootnoteText"/>
      </w:pPr>
      <w:r>
        <w:rPr>
          <w:rStyle w:val="FootnoteReference"/>
        </w:rPr>
        <w:footnoteRef/>
      </w:r>
      <w:r>
        <w:t xml:space="preserve"> National Director of Public Prosecutions v </w:t>
      </w:r>
      <w:proofErr w:type="spellStart"/>
      <w:r>
        <w:t>Basson</w:t>
      </w:r>
      <w:proofErr w:type="spellEnd"/>
      <w:r>
        <w:t xml:space="preserve"> 2002 (1) SA 419 (SCA) para [21]; National Director of Public Prosecutions v Phillips 2003 (6) SA 447 (SCA) para [29]</w:t>
      </w:r>
    </w:p>
  </w:footnote>
  <w:footnote w:id="24">
    <w:p w:rsidR="00527DBA" w:rsidRDefault="00527DBA" w:rsidP="00096B33">
      <w:pPr>
        <w:pStyle w:val="FootnoteText"/>
      </w:pPr>
      <w:r>
        <w:rPr>
          <w:rStyle w:val="FootnoteReference"/>
        </w:rPr>
        <w:footnoteRef/>
      </w:r>
      <w:r>
        <w:t xml:space="preserve"> Recycling and Economic Development Initiative of South Africa v the Minister of Environmental Affairs (1260/2017 and 188/2018) and </w:t>
      </w:r>
      <w:proofErr w:type="spellStart"/>
      <w:r>
        <w:t>Kusaga</w:t>
      </w:r>
      <w:proofErr w:type="spellEnd"/>
      <w:r>
        <w:t xml:space="preserve"> Taka Consulting (Pty) Ltd v The Minister of Environmental Affairs (1279/2017 and 187/2018) [2018] ZASCA 01 (24 January 2019) para [87]</w:t>
      </w:r>
    </w:p>
  </w:footnote>
  <w:footnote w:id="25">
    <w:p w:rsidR="00527DBA" w:rsidRDefault="00527DBA" w:rsidP="00205BB4">
      <w:pPr>
        <w:pStyle w:val="FootnoteText"/>
        <w:jc w:val="both"/>
      </w:pPr>
      <w:r>
        <w:rPr>
          <w:rStyle w:val="FootnoteReference"/>
        </w:rPr>
        <w:footnoteRef/>
      </w:r>
      <w:r>
        <w:t xml:space="preserve"> It provides: </w:t>
      </w:r>
      <w:r w:rsidRPr="00096B33">
        <w:rPr>
          <w:i/>
          <w:lang w:val="en-US"/>
        </w:rPr>
        <w:t>The registrar may, on an ex parte basis, apply to a division of the High Court having jurisdiction for the appointment of a curator to take control of, and to manage the whole or any part of, the business of an institution”.</w:t>
      </w:r>
    </w:p>
  </w:footnote>
  <w:footnote w:id="26">
    <w:p w:rsidR="00527DBA" w:rsidRDefault="00527DBA" w:rsidP="00205BB4">
      <w:pPr>
        <w:pStyle w:val="FootnoteText"/>
        <w:jc w:val="both"/>
      </w:pPr>
      <w:r>
        <w:rPr>
          <w:rStyle w:val="FootnoteReference"/>
        </w:rPr>
        <w:footnoteRef/>
      </w:r>
      <w:r>
        <w:t xml:space="preserve"> Barnard and Others v Registrar of Medical Schemes 2015 (3) SA 204 (SCA) para [47]</w:t>
      </w:r>
    </w:p>
  </w:footnote>
  <w:footnote w:id="27">
    <w:p w:rsidR="00527DBA" w:rsidRDefault="00527DBA" w:rsidP="00205BB4">
      <w:pPr>
        <w:pStyle w:val="FootnoteText"/>
        <w:jc w:val="both"/>
      </w:pPr>
      <w:r>
        <w:rPr>
          <w:rStyle w:val="FootnoteReference"/>
        </w:rPr>
        <w:footnoteRef/>
      </w:r>
      <w:r>
        <w:t xml:space="preserve"> Which provides: “</w:t>
      </w:r>
      <w:r w:rsidRPr="00BE49D1">
        <w:rPr>
          <w:i/>
          <w:lang w:val="en-US"/>
        </w:rPr>
        <w:t>(1) the registrar may, on an ex parte basis, apply to a division of the High Court having jurisdiction for the appointment of a curator to take control of, and to manage the whole or any part of, the business of an institution</w:t>
      </w:r>
      <w:r>
        <w:rPr>
          <w:i/>
          <w:lang w:val="en-US"/>
        </w:rPr>
        <w:t>”</w:t>
      </w:r>
      <w:r w:rsidRPr="00BE49D1">
        <w:rPr>
          <w:i/>
          <w:lang w:val="en-US"/>
        </w:rPr>
        <w:t xml:space="preserve">. </w:t>
      </w:r>
    </w:p>
  </w:footnote>
  <w:footnote w:id="28">
    <w:p w:rsidR="00527DBA" w:rsidRDefault="00527DBA" w:rsidP="00205BB4">
      <w:pPr>
        <w:pStyle w:val="FootnoteText"/>
        <w:jc w:val="both"/>
      </w:pPr>
      <w:r>
        <w:rPr>
          <w:rStyle w:val="FootnoteReference"/>
        </w:rPr>
        <w:footnoteRef/>
      </w:r>
      <w:r>
        <w:t xml:space="preserve"> 2012 (1) SA 453 (SCA)</w:t>
      </w:r>
    </w:p>
  </w:footnote>
  <w:footnote w:id="29">
    <w:p w:rsidR="00CA6EAB" w:rsidRDefault="00CA6EAB" w:rsidP="00CA6EAB">
      <w:pPr>
        <w:pStyle w:val="FootnoteText"/>
      </w:pPr>
      <w:r>
        <w:rPr>
          <w:rStyle w:val="FootnoteReference"/>
        </w:rPr>
        <w:footnoteRef/>
      </w:r>
      <w:r>
        <w:t xml:space="preserve"> Proposed to the Prudential Authority on 7 December 2021</w:t>
      </w:r>
    </w:p>
  </w:footnote>
  <w:footnote w:id="30">
    <w:p w:rsidR="00527DBA" w:rsidRDefault="00527DBA" w:rsidP="00205BB4">
      <w:pPr>
        <w:pStyle w:val="FootnoteText"/>
        <w:jc w:val="both"/>
      </w:pPr>
      <w:r>
        <w:rPr>
          <w:rStyle w:val="FootnoteReference"/>
        </w:rPr>
        <w:footnoteRef/>
      </w:r>
      <w:r>
        <w:t xml:space="preserve"> </w:t>
      </w:r>
      <w:r w:rsidRPr="0072455E">
        <w:rPr>
          <w:bCs/>
          <w:iCs/>
        </w:rPr>
        <w:t xml:space="preserve">Buthelezi v </w:t>
      </w:r>
      <w:proofErr w:type="spellStart"/>
      <w:r w:rsidRPr="0072455E">
        <w:rPr>
          <w:bCs/>
          <w:iCs/>
        </w:rPr>
        <w:t>Ndaba</w:t>
      </w:r>
      <w:proofErr w:type="spellEnd"/>
      <w:r w:rsidRPr="0072455E">
        <w:t xml:space="preserve"> </w:t>
      </w:r>
      <w:r>
        <w:t>(575/2012) [2013] ZASCA 72 (29 May 2013) para [14].</w:t>
      </w:r>
    </w:p>
  </w:footnote>
  <w:footnote w:id="31">
    <w:p w:rsidR="000B1FD8" w:rsidRPr="00181C62" w:rsidRDefault="000B1FD8" w:rsidP="00205BB4">
      <w:pPr>
        <w:pStyle w:val="FootnoteText"/>
        <w:jc w:val="both"/>
        <w:rPr>
          <w:lang w:val="en-GB"/>
        </w:rPr>
      </w:pPr>
      <w:r>
        <w:rPr>
          <w:rStyle w:val="FootnoteReference"/>
        </w:rPr>
        <w:footnoteRef/>
      </w:r>
      <w:r>
        <w:t xml:space="preserve"> </w:t>
      </w:r>
      <w:r>
        <w:rPr>
          <w:lang w:val="en-GB"/>
        </w:rPr>
        <w:t>Regulated by FSI’s Prudential Standard as published by the Prudential Authority Framework for Financial Soundness of Insurers</w:t>
      </w:r>
    </w:p>
  </w:footnote>
  <w:footnote w:id="32">
    <w:p w:rsidR="00527DBA" w:rsidRDefault="00527DBA" w:rsidP="00205BB4">
      <w:pPr>
        <w:pStyle w:val="FootnoteText"/>
        <w:rPr>
          <w:i/>
        </w:rPr>
      </w:pPr>
      <w:r>
        <w:rPr>
          <w:rStyle w:val="FootnoteReference"/>
        </w:rPr>
        <w:footnoteRef/>
      </w:r>
      <w:r>
        <w:t xml:space="preserve"> It provides: “</w:t>
      </w:r>
      <w:r w:rsidRPr="00336117">
        <w:rPr>
          <w:i/>
        </w:rPr>
        <w:t xml:space="preserve">Financial </w:t>
      </w:r>
      <w:r>
        <w:rPr>
          <w:i/>
        </w:rPr>
        <w:t>i</w:t>
      </w:r>
      <w:r w:rsidRPr="00336117">
        <w:rPr>
          <w:i/>
        </w:rPr>
        <w:t>nstitutions that are juristic persons</w:t>
      </w:r>
    </w:p>
    <w:p w:rsidR="00527DBA" w:rsidRDefault="00527DBA" w:rsidP="00205BB4">
      <w:pPr>
        <w:pStyle w:val="FootnoteText"/>
      </w:pPr>
      <w:r w:rsidRPr="00336117">
        <w:rPr>
          <w:i/>
        </w:rPr>
        <w:t xml:space="preserve"> </w:t>
      </w:r>
      <w:r>
        <w:rPr>
          <w:i/>
        </w:rPr>
        <w:t>W</w:t>
      </w:r>
      <w:r w:rsidRPr="00336117">
        <w:rPr>
          <w:i/>
        </w:rPr>
        <w:t>here a financial sector law imposes an obligation to be complied with by an entity that is a juristic person, the members of the governing body of that juristic person must ensure that the obligation is complied with”.</w:t>
      </w:r>
    </w:p>
  </w:footnote>
  <w:footnote w:id="33">
    <w:p w:rsidR="00527DBA" w:rsidRDefault="00527DBA" w:rsidP="00205BB4">
      <w:pPr>
        <w:pStyle w:val="FootnoteText"/>
      </w:pPr>
      <w:r>
        <w:rPr>
          <w:rStyle w:val="FootnoteReference"/>
        </w:rPr>
        <w:footnoteRef/>
      </w:r>
      <w:r>
        <w:t xml:space="preserve"> The same pertains to the 2021 financial statements</w:t>
      </w:r>
    </w:p>
  </w:footnote>
  <w:footnote w:id="34">
    <w:p w:rsidR="00527DBA" w:rsidRDefault="00527DBA" w:rsidP="00205BB4">
      <w:pPr>
        <w:pStyle w:val="FootnoteText"/>
      </w:pPr>
      <w:r>
        <w:rPr>
          <w:rStyle w:val="FootnoteReference"/>
        </w:rPr>
        <w:footnoteRef/>
      </w:r>
      <w:r>
        <w:t xml:space="preserve"> Financial year ending December 2020</w:t>
      </w:r>
    </w:p>
  </w:footnote>
  <w:footnote w:id="35">
    <w:p w:rsidR="00527DBA" w:rsidRDefault="00527DBA" w:rsidP="00DD680A">
      <w:pPr>
        <w:pStyle w:val="FootnoteText"/>
      </w:pPr>
      <w:r>
        <w:rPr>
          <w:rStyle w:val="FootnoteReference"/>
        </w:rPr>
        <w:footnoteRef/>
      </w:r>
      <w:r>
        <w:t xml:space="preserve"> Maxwell v </w:t>
      </w:r>
      <w:proofErr w:type="spellStart"/>
      <w:r>
        <w:t>Khosana</w:t>
      </w:r>
      <w:proofErr w:type="spellEnd"/>
      <w:r>
        <w:t xml:space="preserve"> and Others; Registrar of Medical Schemes v SAMWUMED Medical Scheme and Others [2018] ZAWCHC 151 (9 October 2018) para [24]</w:t>
      </w:r>
    </w:p>
  </w:footnote>
  <w:footnote w:id="36">
    <w:p w:rsidR="00527DBA" w:rsidRPr="007909D3" w:rsidRDefault="00527DBA" w:rsidP="001A42E5">
      <w:pPr>
        <w:pStyle w:val="level1"/>
        <w:numPr>
          <w:ilvl w:val="0"/>
          <w:numId w:val="0"/>
        </w:numPr>
        <w:spacing w:after="480"/>
        <w:jc w:val="both"/>
        <w:rPr>
          <w:i/>
          <w:sz w:val="20"/>
          <w:szCs w:val="20"/>
          <w:lang w:val="en-US"/>
        </w:rPr>
      </w:pPr>
      <w:r>
        <w:rPr>
          <w:rStyle w:val="FootnoteReference"/>
        </w:rPr>
        <w:footnoteRef/>
      </w:r>
      <w:r>
        <w:t xml:space="preserve"> </w:t>
      </w:r>
      <w:r w:rsidRPr="00B86D27">
        <w:rPr>
          <w:sz w:val="20"/>
          <w:szCs w:val="20"/>
        </w:rPr>
        <w:t>Ms Ram’s</w:t>
      </w:r>
      <w:r w:rsidRPr="007909D3">
        <w:rPr>
          <w:sz w:val="20"/>
          <w:szCs w:val="20"/>
          <w:lang w:val="en-US"/>
        </w:rPr>
        <w:t xml:space="preserve"> letter of resignation of 26 April 2022 addressed to the Prudential Authority stated:</w:t>
      </w:r>
      <w:r>
        <w:rPr>
          <w:sz w:val="20"/>
          <w:szCs w:val="20"/>
          <w:lang w:val="en-US"/>
        </w:rPr>
        <w:t xml:space="preserve"> </w:t>
      </w:r>
      <w:r>
        <w:rPr>
          <w:i/>
          <w:sz w:val="20"/>
          <w:szCs w:val="20"/>
          <w:lang w:val="en-US"/>
        </w:rPr>
        <w:t>“</w:t>
      </w:r>
      <w:r w:rsidRPr="007909D3">
        <w:rPr>
          <w:i/>
          <w:sz w:val="20"/>
          <w:szCs w:val="20"/>
          <w:lang w:val="en-US"/>
        </w:rPr>
        <w:t>I hereby confirm that I tender my resignation as the curator of 3 Sixty Li</w:t>
      </w:r>
      <w:r>
        <w:rPr>
          <w:i/>
          <w:sz w:val="20"/>
          <w:szCs w:val="20"/>
          <w:lang w:val="en-US"/>
        </w:rPr>
        <w:t xml:space="preserve">fe Limited with immediate effect. </w:t>
      </w:r>
      <w:r w:rsidRPr="007909D3">
        <w:rPr>
          <w:i/>
          <w:sz w:val="20"/>
          <w:szCs w:val="20"/>
          <w:lang w:val="en-US"/>
        </w:rPr>
        <w:t>I furthermore confirm that I have also resigned from BDO Advisory Services (Pty) Ltd with immediate effect. All my rights remain strictly reserved.”</w:t>
      </w:r>
    </w:p>
    <w:p w:rsidR="00527DBA" w:rsidRDefault="00527DBA" w:rsidP="0093491B">
      <w:pPr>
        <w:pStyle w:val="FootnoteText"/>
      </w:pPr>
    </w:p>
  </w:footnote>
  <w:footnote w:id="37">
    <w:p w:rsidR="00527DBA" w:rsidRDefault="00527DBA" w:rsidP="0044058F">
      <w:pPr>
        <w:pStyle w:val="FootnoteText"/>
      </w:pPr>
      <w:r>
        <w:rPr>
          <w:rStyle w:val="FootnoteReference"/>
        </w:rPr>
        <w:footnoteRef/>
      </w:r>
      <w:r>
        <w:t xml:space="preserve"> </w:t>
      </w:r>
      <w:r w:rsidRPr="00297802">
        <w:rPr>
          <w:lang w:val="en-US"/>
        </w:rPr>
        <w:t>Toyota SA Motors (Pty) Ltd v Commission for Conciliation, Mediation and Arbitration and others</w:t>
      </w:r>
      <w:r w:rsidRPr="00297802">
        <w:t xml:space="preserve"> </w:t>
      </w:r>
      <w:r>
        <w:t>(2016) 37 ILJ 313 (CC) para [184]</w:t>
      </w:r>
    </w:p>
  </w:footnote>
  <w:footnote w:id="38">
    <w:p w:rsidR="00527DBA" w:rsidRDefault="00527DBA" w:rsidP="0087209F">
      <w:pPr>
        <w:pStyle w:val="FootnoteText"/>
        <w:jc w:val="both"/>
      </w:pPr>
      <w:r>
        <w:rPr>
          <w:rStyle w:val="FootnoteReference"/>
        </w:rPr>
        <w:footnoteRef/>
      </w:r>
      <w:r>
        <w:t xml:space="preserve"> </w:t>
      </w:r>
      <w:proofErr w:type="spellStart"/>
      <w:r>
        <w:t>Beinash</w:t>
      </w:r>
      <w:proofErr w:type="spellEnd"/>
      <w:r>
        <w:t xml:space="preserve"> v </w:t>
      </w:r>
      <w:proofErr w:type="spellStart"/>
      <w:r>
        <w:t>Wixley</w:t>
      </w:r>
      <w:proofErr w:type="spellEnd"/>
      <w:r>
        <w:t xml:space="preserve"> 1997 (3) SA 721 (SCA)</w:t>
      </w:r>
    </w:p>
  </w:footnote>
  <w:footnote w:id="39">
    <w:p w:rsidR="00527DBA" w:rsidRDefault="00527DBA" w:rsidP="0087209F">
      <w:pPr>
        <w:pStyle w:val="FootnoteText"/>
        <w:jc w:val="both"/>
      </w:pPr>
      <w:r>
        <w:rPr>
          <w:rStyle w:val="FootnoteReference"/>
        </w:rPr>
        <w:footnoteRef/>
      </w:r>
      <w:r>
        <w:t xml:space="preserve"> </w:t>
      </w:r>
      <w:proofErr w:type="spellStart"/>
      <w:r>
        <w:t>Tjiroze</w:t>
      </w:r>
      <w:proofErr w:type="spellEnd"/>
      <w:r>
        <w:t xml:space="preserve"> v Appeal </w:t>
      </w:r>
      <w:r w:rsidR="00443381">
        <w:t>B</w:t>
      </w:r>
      <w:r>
        <w:t xml:space="preserve">oard of the Financial Services Board (CCT271/19) [2020] ZACC 18 para [23]; Public Protector v South African Reserve Bank 2019 (6) SA 253 (CC) paras [221]-[223]; </w:t>
      </w:r>
      <w:proofErr w:type="spellStart"/>
      <w:r>
        <w:t>Ferreiras</w:t>
      </w:r>
      <w:proofErr w:type="spellEnd"/>
      <w:r>
        <w:t xml:space="preserve"> (Pty) Ltd v Naidoo and Another 2022 (1) SA 201 (GJ) para [22]; In Re Alluvial Creek 1929 CPD 532 at 535  </w:t>
      </w:r>
    </w:p>
  </w:footnote>
  <w:footnote w:id="40">
    <w:p w:rsidR="00527DBA" w:rsidRDefault="00527DBA">
      <w:pPr>
        <w:pStyle w:val="FootnoteText"/>
      </w:pPr>
      <w:r>
        <w:rPr>
          <w:rStyle w:val="FootnoteReference"/>
        </w:rPr>
        <w:footnoteRef/>
      </w:r>
      <w:r>
        <w:t xml:space="preserve"> Nel v Waterberg </w:t>
      </w:r>
      <w:proofErr w:type="spellStart"/>
      <w:r>
        <w:t>Landbouers</w:t>
      </w:r>
      <w:proofErr w:type="spellEnd"/>
      <w:r>
        <w:t xml:space="preserve"> </w:t>
      </w:r>
      <w:proofErr w:type="spellStart"/>
      <w:r>
        <w:t>Ko-operatiewe</w:t>
      </w:r>
      <w:proofErr w:type="spellEnd"/>
      <w:r>
        <w:t xml:space="preserve"> Vereeniging 1946 AD 597 at 607</w:t>
      </w:r>
    </w:p>
  </w:footnote>
  <w:footnote w:id="41">
    <w:p w:rsidR="00527DBA" w:rsidRDefault="00527DBA">
      <w:pPr>
        <w:pStyle w:val="FootnoteText"/>
      </w:pPr>
      <w:r>
        <w:rPr>
          <w:rStyle w:val="FootnoteReference"/>
        </w:rPr>
        <w:footnoteRef/>
      </w:r>
      <w:r>
        <w:t xml:space="preserve"> King Pie Holdings (Pty) Ltd v King Pie (Durban)(Pty) Ltd 1998 (4) SA 1240 (D&amp;C LD) at 1250 F-J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BA" w:rsidRDefault="00527DBA">
    <w:pPr>
      <w:pStyle w:val="Header"/>
      <w:jc w:val="right"/>
    </w:pPr>
    <w:r>
      <w:t xml:space="preserve">Page </w:t>
    </w:r>
    <w:r>
      <w:fldChar w:fldCharType="begin"/>
    </w:r>
    <w:r>
      <w:instrText xml:space="preserve"> PAGE   \* MERGEFORMAT </w:instrText>
    </w:r>
    <w:r>
      <w:fldChar w:fldCharType="separate"/>
    </w:r>
    <w:r w:rsidR="001C2810">
      <w:rPr>
        <w:noProof/>
      </w:rPr>
      <w:t>34</w:t>
    </w:r>
    <w:r>
      <w:rPr>
        <w:noProof/>
      </w:rPr>
      <w:fldChar w:fldCharType="end"/>
    </w:r>
  </w:p>
  <w:p w:rsidR="00527DBA" w:rsidRDefault="0052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2C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D17F80"/>
    <w:multiLevelType w:val="hybridMultilevel"/>
    <w:tmpl w:val="EAD20DC4"/>
    <w:lvl w:ilvl="0" w:tplc="64E055BA">
      <w:start w:val="1"/>
      <w:numFmt w:val="decimal"/>
      <w:pStyle w:val="level1"/>
      <w:lvlText w:val="[%1]"/>
      <w:lvlJc w:val="left"/>
      <w:pPr>
        <w:ind w:left="360" w:hanging="360"/>
      </w:pPr>
      <w:rPr>
        <w:rFonts w:hint="default"/>
        <w:b w:val="0"/>
        <w:i w:val="0"/>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71C90643"/>
    <w:multiLevelType w:val="hybridMultilevel"/>
    <w:tmpl w:val="EE0CD0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4"/>
    <w:rsid w:val="00000BB4"/>
    <w:rsid w:val="00003646"/>
    <w:rsid w:val="00017C4F"/>
    <w:rsid w:val="00026557"/>
    <w:rsid w:val="000327B0"/>
    <w:rsid w:val="00033963"/>
    <w:rsid w:val="00033BE9"/>
    <w:rsid w:val="0003637B"/>
    <w:rsid w:val="00041B29"/>
    <w:rsid w:val="0004371F"/>
    <w:rsid w:val="00050DA6"/>
    <w:rsid w:val="0005707D"/>
    <w:rsid w:val="000629F7"/>
    <w:rsid w:val="00063C6F"/>
    <w:rsid w:val="00073C65"/>
    <w:rsid w:val="00074986"/>
    <w:rsid w:val="000773F7"/>
    <w:rsid w:val="00080493"/>
    <w:rsid w:val="000837F7"/>
    <w:rsid w:val="00085231"/>
    <w:rsid w:val="00085AAE"/>
    <w:rsid w:val="00085CA9"/>
    <w:rsid w:val="00091946"/>
    <w:rsid w:val="0009423A"/>
    <w:rsid w:val="00094D41"/>
    <w:rsid w:val="00096B33"/>
    <w:rsid w:val="000A22CD"/>
    <w:rsid w:val="000A541B"/>
    <w:rsid w:val="000B1FD8"/>
    <w:rsid w:val="000B660F"/>
    <w:rsid w:val="000C0965"/>
    <w:rsid w:val="000C1752"/>
    <w:rsid w:val="000C291A"/>
    <w:rsid w:val="000D3625"/>
    <w:rsid w:val="000E17E9"/>
    <w:rsid w:val="000E180E"/>
    <w:rsid w:val="000E3F24"/>
    <w:rsid w:val="000E459C"/>
    <w:rsid w:val="000E4A7E"/>
    <w:rsid w:val="000F0E6A"/>
    <w:rsid w:val="000F3B95"/>
    <w:rsid w:val="000F3EB3"/>
    <w:rsid w:val="000F4AF7"/>
    <w:rsid w:val="000F689F"/>
    <w:rsid w:val="00102F28"/>
    <w:rsid w:val="00103504"/>
    <w:rsid w:val="001104D5"/>
    <w:rsid w:val="00120ADB"/>
    <w:rsid w:val="00127D0E"/>
    <w:rsid w:val="00130CE4"/>
    <w:rsid w:val="00132368"/>
    <w:rsid w:val="0014070D"/>
    <w:rsid w:val="0014188B"/>
    <w:rsid w:val="00154BF8"/>
    <w:rsid w:val="0015663B"/>
    <w:rsid w:val="00157E58"/>
    <w:rsid w:val="00167CE8"/>
    <w:rsid w:val="0017107A"/>
    <w:rsid w:val="00181C62"/>
    <w:rsid w:val="001824D5"/>
    <w:rsid w:val="00182678"/>
    <w:rsid w:val="00183CD9"/>
    <w:rsid w:val="00187EDD"/>
    <w:rsid w:val="001918C6"/>
    <w:rsid w:val="001A32F2"/>
    <w:rsid w:val="001A421E"/>
    <w:rsid w:val="001A42E5"/>
    <w:rsid w:val="001A4695"/>
    <w:rsid w:val="001B0461"/>
    <w:rsid w:val="001C2810"/>
    <w:rsid w:val="001C4C1A"/>
    <w:rsid w:val="001C5BF8"/>
    <w:rsid w:val="001C6103"/>
    <w:rsid w:val="001D0E2C"/>
    <w:rsid w:val="001D1C1F"/>
    <w:rsid w:val="001D3089"/>
    <w:rsid w:val="001D3F77"/>
    <w:rsid w:val="001E39E4"/>
    <w:rsid w:val="001F1B01"/>
    <w:rsid w:val="001F265A"/>
    <w:rsid w:val="001F3AC5"/>
    <w:rsid w:val="001F51BE"/>
    <w:rsid w:val="001F66A2"/>
    <w:rsid w:val="00201AC4"/>
    <w:rsid w:val="00205BB4"/>
    <w:rsid w:val="00207719"/>
    <w:rsid w:val="00210542"/>
    <w:rsid w:val="00215E50"/>
    <w:rsid w:val="0022028D"/>
    <w:rsid w:val="002264EE"/>
    <w:rsid w:val="00227227"/>
    <w:rsid w:val="002403FD"/>
    <w:rsid w:val="00242C39"/>
    <w:rsid w:val="002453C4"/>
    <w:rsid w:val="00245DA5"/>
    <w:rsid w:val="00250BD6"/>
    <w:rsid w:val="0025286E"/>
    <w:rsid w:val="00256152"/>
    <w:rsid w:val="00257594"/>
    <w:rsid w:val="00264EF6"/>
    <w:rsid w:val="002674D4"/>
    <w:rsid w:val="0027505F"/>
    <w:rsid w:val="00281415"/>
    <w:rsid w:val="002844C8"/>
    <w:rsid w:val="00284E83"/>
    <w:rsid w:val="0028633E"/>
    <w:rsid w:val="002912BA"/>
    <w:rsid w:val="00291CEB"/>
    <w:rsid w:val="0029252E"/>
    <w:rsid w:val="00297385"/>
    <w:rsid w:val="00297802"/>
    <w:rsid w:val="002A07C1"/>
    <w:rsid w:val="002A2ED0"/>
    <w:rsid w:val="002A3D8A"/>
    <w:rsid w:val="002A50BA"/>
    <w:rsid w:val="002B69B4"/>
    <w:rsid w:val="002C0695"/>
    <w:rsid w:val="002C0AD8"/>
    <w:rsid w:val="002C6297"/>
    <w:rsid w:val="002D1219"/>
    <w:rsid w:val="002D7558"/>
    <w:rsid w:val="002E0C98"/>
    <w:rsid w:val="002E6884"/>
    <w:rsid w:val="0031118A"/>
    <w:rsid w:val="003120D3"/>
    <w:rsid w:val="003127E7"/>
    <w:rsid w:val="00312C14"/>
    <w:rsid w:val="003152BF"/>
    <w:rsid w:val="0031690B"/>
    <w:rsid w:val="00323EF7"/>
    <w:rsid w:val="00324552"/>
    <w:rsid w:val="00325E45"/>
    <w:rsid w:val="00336117"/>
    <w:rsid w:val="003405F0"/>
    <w:rsid w:val="00350E0D"/>
    <w:rsid w:val="00362C90"/>
    <w:rsid w:val="00362E4E"/>
    <w:rsid w:val="00375C97"/>
    <w:rsid w:val="00376E87"/>
    <w:rsid w:val="003828CC"/>
    <w:rsid w:val="00384856"/>
    <w:rsid w:val="003865CE"/>
    <w:rsid w:val="00396E50"/>
    <w:rsid w:val="003A287C"/>
    <w:rsid w:val="003B03EC"/>
    <w:rsid w:val="003B0D27"/>
    <w:rsid w:val="003B56CD"/>
    <w:rsid w:val="003B7F1D"/>
    <w:rsid w:val="003C7163"/>
    <w:rsid w:val="003D1F55"/>
    <w:rsid w:val="003E4474"/>
    <w:rsid w:val="003E6BCB"/>
    <w:rsid w:val="003F7B66"/>
    <w:rsid w:val="003F7DD8"/>
    <w:rsid w:val="00405773"/>
    <w:rsid w:val="00405C3A"/>
    <w:rsid w:val="00414BC6"/>
    <w:rsid w:val="004317C1"/>
    <w:rsid w:val="004339F3"/>
    <w:rsid w:val="0043660B"/>
    <w:rsid w:val="0044058F"/>
    <w:rsid w:val="00443381"/>
    <w:rsid w:val="004433B3"/>
    <w:rsid w:val="00452C25"/>
    <w:rsid w:val="00465C58"/>
    <w:rsid w:val="00472D3E"/>
    <w:rsid w:val="00472E5A"/>
    <w:rsid w:val="00473936"/>
    <w:rsid w:val="00483044"/>
    <w:rsid w:val="00485509"/>
    <w:rsid w:val="00486EEA"/>
    <w:rsid w:val="004908DE"/>
    <w:rsid w:val="004A25EC"/>
    <w:rsid w:val="004A4A1C"/>
    <w:rsid w:val="004A7AC9"/>
    <w:rsid w:val="004B2BB2"/>
    <w:rsid w:val="004B3AA4"/>
    <w:rsid w:val="004C31F0"/>
    <w:rsid w:val="004C3778"/>
    <w:rsid w:val="004C42CB"/>
    <w:rsid w:val="004C4D5A"/>
    <w:rsid w:val="004C6407"/>
    <w:rsid w:val="004C6DC2"/>
    <w:rsid w:val="004E2E29"/>
    <w:rsid w:val="004E40D2"/>
    <w:rsid w:val="004F2730"/>
    <w:rsid w:val="004F2F21"/>
    <w:rsid w:val="004F47C1"/>
    <w:rsid w:val="004F4851"/>
    <w:rsid w:val="0050034A"/>
    <w:rsid w:val="00507F5F"/>
    <w:rsid w:val="0051149F"/>
    <w:rsid w:val="005121C5"/>
    <w:rsid w:val="005129C8"/>
    <w:rsid w:val="00514CE9"/>
    <w:rsid w:val="00514EA7"/>
    <w:rsid w:val="005174EA"/>
    <w:rsid w:val="005201B2"/>
    <w:rsid w:val="005236B3"/>
    <w:rsid w:val="00527DBA"/>
    <w:rsid w:val="00530FDC"/>
    <w:rsid w:val="00532E28"/>
    <w:rsid w:val="00534E58"/>
    <w:rsid w:val="00534F99"/>
    <w:rsid w:val="005419CC"/>
    <w:rsid w:val="005437BA"/>
    <w:rsid w:val="0054555B"/>
    <w:rsid w:val="00547CEB"/>
    <w:rsid w:val="00551316"/>
    <w:rsid w:val="00552F05"/>
    <w:rsid w:val="00563C7C"/>
    <w:rsid w:val="005644C9"/>
    <w:rsid w:val="00566059"/>
    <w:rsid w:val="005670C4"/>
    <w:rsid w:val="00574907"/>
    <w:rsid w:val="005761DE"/>
    <w:rsid w:val="00576355"/>
    <w:rsid w:val="00585571"/>
    <w:rsid w:val="005939C4"/>
    <w:rsid w:val="005A7E09"/>
    <w:rsid w:val="005B2E27"/>
    <w:rsid w:val="005B6823"/>
    <w:rsid w:val="005C143D"/>
    <w:rsid w:val="005D2DEA"/>
    <w:rsid w:val="005E268A"/>
    <w:rsid w:val="005E5117"/>
    <w:rsid w:val="005E538A"/>
    <w:rsid w:val="005E6153"/>
    <w:rsid w:val="005F3C6F"/>
    <w:rsid w:val="00602ECD"/>
    <w:rsid w:val="006063AC"/>
    <w:rsid w:val="00625F7D"/>
    <w:rsid w:val="006317C4"/>
    <w:rsid w:val="00632327"/>
    <w:rsid w:val="00657DC7"/>
    <w:rsid w:val="00660796"/>
    <w:rsid w:val="00662A09"/>
    <w:rsid w:val="00671AE0"/>
    <w:rsid w:val="0067330C"/>
    <w:rsid w:val="00675554"/>
    <w:rsid w:val="006843DD"/>
    <w:rsid w:val="00693BD6"/>
    <w:rsid w:val="00695B83"/>
    <w:rsid w:val="00697C99"/>
    <w:rsid w:val="006A11A1"/>
    <w:rsid w:val="006A1B1C"/>
    <w:rsid w:val="006B400D"/>
    <w:rsid w:val="006B5018"/>
    <w:rsid w:val="006C04AD"/>
    <w:rsid w:val="006C076D"/>
    <w:rsid w:val="006C1A01"/>
    <w:rsid w:val="006C7E0E"/>
    <w:rsid w:val="006D128B"/>
    <w:rsid w:val="006D2034"/>
    <w:rsid w:val="006D3B14"/>
    <w:rsid w:val="006E740A"/>
    <w:rsid w:val="006E7849"/>
    <w:rsid w:val="006F185C"/>
    <w:rsid w:val="006F5484"/>
    <w:rsid w:val="006F67CE"/>
    <w:rsid w:val="00702D3D"/>
    <w:rsid w:val="00703A9D"/>
    <w:rsid w:val="00704146"/>
    <w:rsid w:val="007046CF"/>
    <w:rsid w:val="0071538E"/>
    <w:rsid w:val="007225D3"/>
    <w:rsid w:val="0072455E"/>
    <w:rsid w:val="00731929"/>
    <w:rsid w:val="00742F91"/>
    <w:rsid w:val="00754AC6"/>
    <w:rsid w:val="007566EC"/>
    <w:rsid w:val="007570EB"/>
    <w:rsid w:val="00762A4F"/>
    <w:rsid w:val="0076334F"/>
    <w:rsid w:val="00764DBF"/>
    <w:rsid w:val="007669D5"/>
    <w:rsid w:val="007724D2"/>
    <w:rsid w:val="00775570"/>
    <w:rsid w:val="00780CBA"/>
    <w:rsid w:val="00780D61"/>
    <w:rsid w:val="00782011"/>
    <w:rsid w:val="007909D3"/>
    <w:rsid w:val="00794F18"/>
    <w:rsid w:val="007A7264"/>
    <w:rsid w:val="007B1204"/>
    <w:rsid w:val="007B597D"/>
    <w:rsid w:val="007C34C0"/>
    <w:rsid w:val="00810F86"/>
    <w:rsid w:val="00814E95"/>
    <w:rsid w:val="008165D2"/>
    <w:rsid w:val="00824748"/>
    <w:rsid w:val="008305C1"/>
    <w:rsid w:val="008312A2"/>
    <w:rsid w:val="00837FAF"/>
    <w:rsid w:val="0084603A"/>
    <w:rsid w:val="00847B13"/>
    <w:rsid w:val="00850123"/>
    <w:rsid w:val="008551F9"/>
    <w:rsid w:val="008564CA"/>
    <w:rsid w:val="00860C13"/>
    <w:rsid w:val="00861FD5"/>
    <w:rsid w:val="00863F06"/>
    <w:rsid w:val="0087156D"/>
    <w:rsid w:val="0087209F"/>
    <w:rsid w:val="00874CB5"/>
    <w:rsid w:val="0088189C"/>
    <w:rsid w:val="00882B5C"/>
    <w:rsid w:val="00884B54"/>
    <w:rsid w:val="0088682C"/>
    <w:rsid w:val="00891364"/>
    <w:rsid w:val="0089474D"/>
    <w:rsid w:val="00896FFE"/>
    <w:rsid w:val="008B384F"/>
    <w:rsid w:val="008B5DE6"/>
    <w:rsid w:val="008B7439"/>
    <w:rsid w:val="008C2463"/>
    <w:rsid w:val="008D5E42"/>
    <w:rsid w:val="008D66D0"/>
    <w:rsid w:val="008D68CA"/>
    <w:rsid w:val="008E0304"/>
    <w:rsid w:val="008F1582"/>
    <w:rsid w:val="008F6F55"/>
    <w:rsid w:val="00903B9D"/>
    <w:rsid w:val="0090571A"/>
    <w:rsid w:val="00917E58"/>
    <w:rsid w:val="00921030"/>
    <w:rsid w:val="009216EE"/>
    <w:rsid w:val="0092175B"/>
    <w:rsid w:val="0092248C"/>
    <w:rsid w:val="00924D74"/>
    <w:rsid w:val="00925D7B"/>
    <w:rsid w:val="0092728B"/>
    <w:rsid w:val="00930836"/>
    <w:rsid w:val="0093491B"/>
    <w:rsid w:val="0093788C"/>
    <w:rsid w:val="00941FCF"/>
    <w:rsid w:val="00943704"/>
    <w:rsid w:val="00944074"/>
    <w:rsid w:val="00944E2C"/>
    <w:rsid w:val="009475DC"/>
    <w:rsid w:val="009507F9"/>
    <w:rsid w:val="00950D15"/>
    <w:rsid w:val="009607BD"/>
    <w:rsid w:val="00962D3A"/>
    <w:rsid w:val="00963D71"/>
    <w:rsid w:val="009648E5"/>
    <w:rsid w:val="00966B33"/>
    <w:rsid w:val="00967909"/>
    <w:rsid w:val="009719E5"/>
    <w:rsid w:val="00973C47"/>
    <w:rsid w:val="009771EF"/>
    <w:rsid w:val="00984E4E"/>
    <w:rsid w:val="009929A4"/>
    <w:rsid w:val="009A2FEF"/>
    <w:rsid w:val="009B3AD9"/>
    <w:rsid w:val="009B49CF"/>
    <w:rsid w:val="009C7D8E"/>
    <w:rsid w:val="009D0144"/>
    <w:rsid w:val="009D3465"/>
    <w:rsid w:val="009D78F2"/>
    <w:rsid w:val="009E0308"/>
    <w:rsid w:val="00A0385F"/>
    <w:rsid w:val="00A21FFB"/>
    <w:rsid w:val="00A22963"/>
    <w:rsid w:val="00A41013"/>
    <w:rsid w:val="00A412A7"/>
    <w:rsid w:val="00A5101C"/>
    <w:rsid w:val="00A536F6"/>
    <w:rsid w:val="00A63A93"/>
    <w:rsid w:val="00A662B2"/>
    <w:rsid w:val="00A7361D"/>
    <w:rsid w:val="00AA1B73"/>
    <w:rsid w:val="00AA2A4D"/>
    <w:rsid w:val="00AA79FE"/>
    <w:rsid w:val="00AB1628"/>
    <w:rsid w:val="00AB5BFD"/>
    <w:rsid w:val="00AB6A57"/>
    <w:rsid w:val="00AB77D7"/>
    <w:rsid w:val="00AB7AB1"/>
    <w:rsid w:val="00AC2C0E"/>
    <w:rsid w:val="00AC4EFE"/>
    <w:rsid w:val="00AD3068"/>
    <w:rsid w:val="00AE5D47"/>
    <w:rsid w:val="00AF0C92"/>
    <w:rsid w:val="00AF133B"/>
    <w:rsid w:val="00AF39B8"/>
    <w:rsid w:val="00AF62C1"/>
    <w:rsid w:val="00B15EB7"/>
    <w:rsid w:val="00B21A16"/>
    <w:rsid w:val="00B27AB5"/>
    <w:rsid w:val="00B32E46"/>
    <w:rsid w:val="00B41A2B"/>
    <w:rsid w:val="00B42636"/>
    <w:rsid w:val="00B45B13"/>
    <w:rsid w:val="00B56E43"/>
    <w:rsid w:val="00B56F2E"/>
    <w:rsid w:val="00B638EE"/>
    <w:rsid w:val="00B64B92"/>
    <w:rsid w:val="00B64BC0"/>
    <w:rsid w:val="00B64E50"/>
    <w:rsid w:val="00B656F7"/>
    <w:rsid w:val="00B67962"/>
    <w:rsid w:val="00B70F69"/>
    <w:rsid w:val="00B86D27"/>
    <w:rsid w:val="00B91E9E"/>
    <w:rsid w:val="00B96DB4"/>
    <w:rsid w:val="00BA1AE4"/>
    <w:rsid w:val="00BB34FB"/>
    <w:rsid w:val="00BC3CA8"/>
    <w:rsid w:val="00BE49D1"/>
    <w:rsid w:val="00BF125A"/>
    <w:rsid w:val="00BF1974"/>
    <w:rsid w:val="00C10E4B"/>
    <w:rsid w:val="00C114A2"/>
    <w:rsid w:val="00C23285"/>
    <w:rsid w:val="00C23E68"/>
    <w:rsid w:val="00C26ED1"/>
    <w:rsid w:val="00C27EE9"/>
    <w:rsid w:val="00C41A81"/>
    <w:rsid w:val="00C44815"/>
    <w:rsid w:val="00C501AF"/>
    <w:rsid w:val="00C57480"/>
    <w:rsid w:val="00C60BB5"/>
    <w:rsid w:val="00C733CD"/>
    <w:rsid w:val="00C83D35"/>
    <w:rsid w:val="00C85703"/>
    <w:rsid w:val="00C85B22"/>
    <w:rsid w:val="00C94F3F"/>
    <w:rsid w:val="00CA5429"/>
    <w:rsid w:val="00CA6EAB"/>
    <w:rsid w:val="00CB46D6"/>
    <w:rsid w:val="00CB66D5"/>
    <w:rsid w:val="00CC0A80"/>
    <w:rsid w:val="00CC108E"/>
    <w:rsid w:val="00CC15C7"/>
    <w:rsid w:val="00CC3B14"/>
    <w:rsid w:val="00CC6105"/>
    <w:rsid w:val="00CC68F4"/>
    <w:rsid w:val="00CC6A61"/>
    <w:rsid w:val="00CD32F0"/>
    <w:rsid w:val="00CD67C2"/>
    <w:rsid w:val="00CD6E5D"/>
    <w:rsid w:val="00CD710F"/>
    <w:rsid w:val="00CE517E"/>
    <w:rsid w:val="00CE5744"/>
    <w:rsid w:val="00CF2528"/>
    <w:rsid w:val="00CF2A1B"/>
    <w:rsid w:val="00D01F6C"/>
    <w:rsid w:val="00D039A8"/>
    <w:rsid w:val="00D053E5"/>
    <w:rsid w:val="00D12421"/>
    <w:rsid w:val="00D260C3"/>
    <w:rsid w:val="00D27220"/>
    <w:rsid w:val="00D344EA"/>
    <w:rsid w:val="00D34E14"/>
    <w:rsid w:val="00D412AB"/>
    <w:rsid w:val="00D41D06"/>
    <w:rsid w:val="00D42221"/>
    <w:rsid w:val="00D53184"/>
    <w:rsid w:val="00D56440"/>
    <w:rsid w:val="00D62D00"/>
    <w:rsid w:val="00D664AC"/>
    <w:rsid w:val="00D6798C"/>
    <w:rsid w:val="00D707CA"/>
    <w:rsid w:val="00D71F94"/>
    <w:rsid w:val="00D82035"/>
    <w:rsid w:val="00D83E53"/>
    <w:rsid w:val="00D9556A"/>
    <w:rsid w:val="00D95EDA"/>
    <w:rsid w:val="00D975D9"/>
    <w:rsid w:val="00DA2357"/>
    <w:rsid w:val="00DA4B03"/>
    <w:rsid w:val="00DC16DE"/>
    <w:rsid w:val="00DC38C3"/>
    <w:rsid w:val="00DC3BCB"/>
    <w:rsid w:val="00DC3E69"/>
    <w:rsid w:val="00DD363E"/>
    <w:rsid w:val="00DD4479"/>
    <w:rsid w:val="00DD680A"/>
    <w:rsid w:val="00DE5F55"/>
    <w:rsid w:val="00DE686D"/>
    <w:rsid w:val="00E04D3E"/>
    <w:rsid w:val="00E16ACD"/>
    <w:rsid w:val="00E17956"/>
    <w:rsid w:val="00E223C5"/>
    <w:rsid w:val="00E23FBF"/>
    <w:rsid w:val="00E41AC8"/>
    <w:rsid w:val="00E51AC8"/>
    <w:rsid w:val="00E56443"/>
    <w:rsid w:val="00E61424"/>
    <w:rsid w:val="00E705B3"/>
    <w:rsid w:val="00E76367"/>
    <w:rsid w:val="00E77A8E"/>
    <w:rsid w:val="00E77B6B"/>
    <w:rsid w:val="00E85CAE"/>
    <w:rsid w:val="00E870CF"/>
    <w:rsid w:val="00E95F45"/>
    <w:rsid w:val="00EA00E5"/>
    <w:rsid w:val="00EA2693"/>
    <w:rsid w:val="00EB2422"/>
    <w:rsid w:val="00EB2EE5"/>
    <w:rsid w:val="00EB39DE"/>
    <w:rsid w:val="00EB4087"/>
    <w:rsid w:val="00EB62BD"/>
    <w:rsid w:val="00ED10BF"/>
    <w:rsid w:val="00ED421E"/>
    <w:rsid w:val="00ED5BD7"/>
    <w:rsid w:val="00EE1A33"/>
    <w:rsid w:val="00EE3B21"/>
    <w:rsid w:val="00EE51AA"/>
    <w:rsid w:val="00EF0FFA"/>
    <w:rsid w:val="00EF12ED"/>
    <w:rsid w:val="00EF4365"/>
    <w:rsid w:val="00EF7C75"/>
    <w:rsid w:val="00F030F4"/>
    <w:rsid w:val="00F14BE9"/>
    <w:rsid w:val="00F15822"/>
    <w:rsid w:val="00F17625"/>
    <w:rsid w:val="00F20686"/>
    <w:rsid w:val="00F35546"/>
    <w:rsid w:val="00F40390"/>
    <w:rsid w:val="00F403D6"/>
    <w:rsid w:val="00F42922"/>
    <w:rsid w:val="00F54474"/>
    <w:rsid w:val="00F57318"/>
    <w:rsid w:val="00F57687"/>
    <w:rsid w:val="00F57718"/>
    <w:rsid w:val="00F63C70"/>
    <w:rsid w:val="00F679F7"/>
    <w:rsid w:val="00F72250"/>
    <w:rsid w:val="00F74047"/>
    <w:rsid w:val="00F74070"/>
    <w:rsid w:val="00F759A5"/>
    <w:rsid w:val="00F76EB8"/>
    <w:rsid w:val="00F772C3"/>
    <w:rsid w:val="00F9616A"/>
    <w:rsid w:val="00F969F9"/>
    <w:rsid w:val="00FB0784"/>
    <w:rsid w:val="00FB1176"/>
    <w:rsid w:val="00FB262C"/>
    <w:rsid w:val="00FB5D84"/>
    <w:rsid w:val="00FC0D7A"/>
    <w:rsid w:val="00FC21D5"/>
    <w:rsid w:val="00FC663C"/>
    <w:rsid w:val="00FD0024"/>
    <w:rsid w:val="00FD6E5E"/>
    <w:rsid w:val="00FE004E"/>
    <w:rsid w:val="00FE27E3"/>
    <w:rsid w:val="00FE2B0C"/>
    <w:rsid w:val="00FE3287"/>
    <w:rsid w:val="00FE7275"/>
    <w:rsid w:val="00FE7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FDCAC37-0828-473C-A536-5BD31258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74"/>
  </w:style>
  <w:style w:type="paragraph" w:styleId="FootnoteText">
    <w:name w:val="footnote text"/>
    <w:aliases w:val="Footnote Text Char1 Char,Footnote Text Char Char Char,Footnote Text Char1 Char Char Char,Footnote Text Char Char Char Char Char,Footnote Text Char1 Char Char Char Char Char,Footnote Text Char1,Footnote Text Char Char"/>
    <w:basedOn w:val="Normal"/>
    <w:link w:val="FootnoteTextChar"/>
    <w:uiPriority w:val="99"/>
    <w:unhideWhenUsed/>
    <w:rsid w:val="003E4474"/>
    <w:pPr>
      <w:spacing w:after="0" w:line="240" w:lineRule="auto"/>
    </w:pPr>
    <w:rPr>
      <w:rFonts w:ascii="Arial" w:eastAsia="Times New Roman" w:hAnsi="Arial" w:cs="Times New Roman"/>
      <w:kern w:val="28"/>
      <w:sz w:val="20"/>
      <w:szCs w:val="20"/>
      <w:lang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w:basedOn w:val="DefaultParagraphFont"/>
    <w:link w:val="FootnoteText"/>
    <w:uiPriority w:val="99"/>
    <w:rsid w:val="003E4474"/>
    <w:rPr>
      <w:rFonts w:ascii="Arial" w:eastAsia="Times New Roman" w:hAnsi="Arial" w:cs="Times New Roman"/>
      <w:kern w:val="28"/>
      <w:sz w:val="20"/>
      <w:szCs w:val="20"/>
      <w:lang w:eastAsia="en-GB"/>
    </w:rPr>
  </w:style>
  <w:style w:type="character" w:styleId="FootnoteReference">
    <w:name w:val="footnote reference"/>
    <w:uiPriority w:val="99"/>
    <w:unhideWhenUsed/>
    <w:rsid w:val="003E4474"/>
    <w:rPr>
      <w:vertAlign w:val="superscript"/>
    </w:rPr>
  </w:style>
  <w:style w:type="paragraph" w:customStyle="1" w:styleId="level1">
    <w:name w:val="level1"/>
    <w:basedOn w:val="Normal"/>
    <w:rsid w:val="003E447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547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EB"/>
  </w:style>
  <w:style w:type="paragraph" w:styleId="ListParagraph">
    <w:name w:val="List Paragraph"/>
    <w:basedOn w:val="Normal"/>
    <w:uiPriority w:val="99"/>
    <w:qFormat/>
    <w:rsid w:val="006E740A"/>
    <w:pPr>
      <w:spacing w:after="0" w:line="240" w:lineRule="auto"/>
      <w:ind w:left="720"/>
      <w:contextualSpacing/>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90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2C10-C6B1-478B-A51C-BB061F17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8892</Words>
  <Characters>50685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2022-09-30T07:19:00Z</cp:lastPrinted>
  <dcterms:created xsi:type="dcterms:W3CDTF">2022-10-04T06:15:00Z</dcterms:created>
  <dcterms:modified xsi:type="dcterms:W3CDTF">2022-10-04T06:15:00Z</dcterms:modified>
</cp:coreProperties>
</file>