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83761" w14:textId="77777777" w:rsidR="00997AB9" w:rsidRPr="006B28B0" w:rsidRDefault="00997AB9" w:rsidP="00997AB9">
      <w:pPr>
        <w:autoSpaceDN w:val="0"/>
        <w:spacing w:after="0" w:line="240" w:lineRule="auto"/>
        <w:ind w:left="720" w:firstLine="720"/>
        <w:jc w:val="center"/>
        <w:rPr>
          <w:rFonts w:ascii="Arial" w:eastAsiaTheme="minorEastAsia" w:hAnsi="Arial" w:cs="Arial"/>
          <w:sz w:val="24"/>
          <w:szCs w:val="24"/>
          <w:lang w:val="af-ZA"/>
        </w:rPr>
      </w:pPr>
      <w:bookmarkStart w:id="0" w:name="_GoBack"/>
      <w:bookmarkEnd w:id="0"/>
      <w:r w:rsidRPr="006B28B0">
        <w:rPr>
          <w:rFonts w:ascii="Arial" w:eastAsiaTheme="minorEastAsia" w:hAnsi="Arial" w:cs="Arial"/>
          <w:sz w:val="24"/>
          <w:szCs w:val="24"/>
          <w:lang w:val="af-ZA"/>
        </w:rPr>
        <w:t>REPUBLIC OF SOUTH AFRICA</w:t>
      </w:r>
    </w:p>
    <w:p w14:paraId="32E1529D" w14:textId="77777777" w:rsidR="00997AB9" w:rsidRPr="006B28B0" w:rsidRDefault="00997AB9" w:rsidP="00997AB9">
      <w:pPr>
        <w:autoSpaceDN w:val="0"/>
        <w:spacing w:after="0" w:line="240" w:lineRule="auto"/>
        <w:ind w:left="1440"/>
        <w:jc w:val="center"/>
        <w:rPr>
          <w:rFonts w:ascii="Arial" w:hAnsi="Arial" w:cs="Arial"/>
          <w:noProof/>
          <w:sz w:val="24"/>
          <w:szCs w:val="24"/>
          <w:lang w:eastAsia="en-ZA"/>
        </w:rPr>
      </w:pPr>
    </w:p>
    <w:p w14:paraId="092B2ABA" w14:textId="77777777" w:rsidR="00997AB9" w:rsidRPr="006B28B0" w:rsidRDefault="00997AB9" w:rsidP="00997AB9">
      <w:pPr>
        <w:autoSpaceDN w:val="0"/>
        <w:spacing w:after="0" w:line="240" w:lineRule="auto"/>
        <w:ind w:left="1440"/>
        <w:jc w:val="center"/>
        <w:rPr>
          <w:rFonts w:ascii="Arial" w:hAnsi="Arial" w:cs="Arial"/>
          <w:sz w:val="24"/>
          <w:szCs w:val="24"/>
          <w:lang w:val="en-US"/>
        </w:rPr>
      </w:pPr>
      <w:r w:rsidRPr="006B28B0">
        <w:rPr>
          <w:rFonts w:ascii="Arial" w:hAnsi="Arial" w:cs="Arial"/>
          <w:noProof/>
          <w:sz w:val="24"/>
          <w:szCs w:val="24"/>
          <w:lang w:val="en-US"/>
        </w:rPr>
        <w:drawing>
          <wp:inline distT="0" distB="0" distL="0" distR="0" wp14:anchorId="46DB43A4" wp14:editId="64BEB581">
            <wp:extent cx="1212850" cy="1060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060450"/>
                    </a:xfrm>
                    <a:prstGeom prst="rect">
                      <a:avLst/>
                    </a:prstGeom>
                    <a:noFill/>
                    <a:ln>
                      <a:noFill/>
                    </a:ln>
                  </pic:spPr>
                </pic:pic>
              </a:graphicData>
            </a:graphic>
          </wp:inline>
        </w:drawing>
      </w:r>
    </w:p>
    <w:p w14:paraId="5812E54E" w14:textId="77777777" w:rsidR="00997AB9" w:rsidRPr="006B28B0" w:rsidRDefault="00997AB9" w:rsidP="00997AB9">
      <w:pPr>
        <w:autoSpaceDN w:val="0"/>
        <w:spacing w:after="0" w:line="240" w:lineRule="auto"/>
        <w:ind w:left="1440"/>
        <w:jc w:val="center"/>
        <w:rPr>
          <w:rFonts w:ascii="Arial" w:hAnsi="Arial" w:cs="Arial"/>
          <w:sz w:val="24"/>
          <w:szCs w:val="24"/>
          <w:lang w:val="en-US"/>
        </w:rPr>
      </w:pPr>
      <w:r w:rsidRPr="006B28B0">
        <w:rPr>
          <w:rFonts w:ascii="Arial" w:hAnsi="Arial" w:cs="Arial"/>
          <w:sz w:val="24"/>
          <w:szCs w:val="24"/>
          <w:lang w:val="en-US"/>
        </w:rPr>
        <w:t>IN THE HIGH COURT OF SOUTH AFRICA</w:t>
      </w:r>
    </w:p>
    <w:p w14:paraId="67F3C2F7" w14:textId="77777777" w:rsidR="00997AB9" w:rsidRPr="006B28B0" w:rsidRDefault="00997AB9" w:rsidP="00997AB9">
      <w:pPr>
        <w:tabs>
          <w:tab w:val="left" w:pos="6526"/>
        </w:tabs>
        <w:spacing w:line="240" w:lineRule="auto"/>
        <w:ind w:left="1134"/>
        <w:jc w:val="center"/>
        <w:rPr>
          <w:rFonts w:ascii="Arial" w:eastAsia="Calibri" w:hAnsi="Arial" w:cs="Arial"/>
          <w:sz w:val="24"/>
          <w:szCs w:val="24"/>
          <w:lang w:val="en-US"/>
        </w:rPr>
      </w:pPr>
      <w:r w:rsidRPr="006B28B0">
        <w:rPr>
          <w:rFonts w:ascii="Arial" w:hAnsi="Arial" w:cs="Arial"/>
          <w:sz w:val="24"/>
          <w:szCs w:val="24"/>
          <w:lang w:val="en-US"/>
        </w:rPr>
        <w:t xml:space="preserve">   (</w:t>
      </w:r>
      <w:r>
        <w:rPr>
          <w:rFonts w:ascii="Arial" w:hAnsi="Arial" w:cs="Arial"/>
          <w:sz w:val="24"/>
          <w:szCs w:val="24"/>
          <w:lang w:val="en-US"/>
        </w:rPr>
        <w:t>GAUTENG DIVISION</w:t>
      </w:r>
      <w:r w:rsidRPr="006B28B0">
        <w:rPr>
          <w:rFonts w:ascii="Arial" w:hAnsi="Arial" w:cs="Arial"/>
          <w:sz w:val="24"/>
          <w:szCs w:val="24"/>
          <w:lang w:val="en-US"/>
        </w:rPr>
        <w:t xml:space="preserve">, </w:t>
      </w:r>
      <w:r>
        <w:rPr>
          <w:rFonts w:ascii="Arial" w:hAnsi="Arial" w:cs="Arial"/>
          <w:sz w:val="24"/>
          <w:szCs w:val="24"/>
          <w:lang w:val="en-US"/>
        </w:rPr>
        <w:t>JOHANNESBURG</w:t>
      </w:r>
      <w:r w:rsidRPr="006B28B0">
        <w:rPr>
          <w:rFonts w:ascii="Arial" w:hAnsi="Arial" w:cs="Arial"/>
          <w:sz w:val="24"/>
          <w:szCs w:val="24"/>
          <w:lang w:val="en-US"/>
        </w:rPr>
        <w:t>)</w:t>
      </w:r>
      <w:r w:rsidRPr="006B28B0">
        <w:rPr>
          <w:rFonts w:ascii="Arial" w:eastAsia="Calibri" w:hAnsi="Arial" w:cs="Arial"/>
          <w:sz w:val="24"/>
          <w:szCs w:val="24"/>
          <w:lang w:val="en-US"/>
        </w:rPr>
        <w:t xml:space="preserve">                                                                                 </w:t>
      </w:r>
      <w:r w:rsidRPr="006B28B0">
        <w:rPr>
          <w:rFonts w:ascii="Arial" w:eastAsia="Calibri" w:hAnsi="Arial" w:cs="Arial"/>
          <w:sz w:val="24"/>
          <w:szCs w:val="24"/>
          <w:lang w:val="en-US"/>
        </w:rPr>
        <w:br/>
        <w:t xml:space="preserve">                                                          </w:t>
      </w:r>
    </w:p>
    <w:p w14:paraId="0D8B7193" w14:textId="44BA09B7" w:rsidR="00997AB9" w:rsidRPr="006B28B0" w:rsidRDefault="00997AB9" w:rsidP="00997AB9">
      <w:pPr>
        <w:tabs>
          <w:tab w:val="left" w:pos="6526"/>
        </w:tabs>
        <w:ind w:left="1134"/>
        <w:jc w:val="right"/>
        <w:rPr>
          <w:rFonts w:ascii="Arial" w:hAnsi="Arial" w:cs="Arial"/>
          <w:b/>
          <w:spacing w:val="3"/>
          <w:w w:val="104"/>
          <w:kern w:val="2"/>
          <w:sz w:val="24"/>
          <w:szCs w:val="24"/>
        </w:rPr>
      </w:pPr>
      <w:r w:rsidRPr="006B28B0">
        <w:rPr>
          <w:rFonts w:ascii="Arial" w:eastAsia="Calibri" w:hAnsi="Arial" w:cs="Arial"/>
          <w:b/>
          <w:sz w:val="24"/>
          <w:szCs w:val="24"/>
          <w:lang w:val="en-US"/>
        </w:rPr>
        <w:t xml:space="preserve">Case No: </w:t>
      </w:r>
      <w:r w:rsidR="009F66F5">
        <w:rPr>
          <w:rFonts w:ascii="Arial" w:hAnsi="Arial" w:cs="Arial"/>
          <w:b/>
          <w:bCs/>
          <w:sz w:val="24"/>
          <w:szCs w:val="24"/>
          <w:lang w:val="en-US"/>
        </w:rPr>
        <w:t>24877</w:t>
      </w:r>
      <w:r w:rsidR="00122DFC">
        <w:rPr>
          <w:rFonts w:ascii="Arial" w:hAnsi="Arial" w:cs="Arial"/>
          <w:b/>
          <w:bCs/>
          <w:sz w:val="24"/>
          <w:szCs w:val="24"/>
          <w:lang w:val="en-US"/>
        </w:rPr>
        <w:t>/2021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tblGrid>
      <w:tr w:rsidR="00997AB9" w:rsidRPr="006B28B0" w14:paraId="425050D9" w14:textId="77777777" w:rsidTr="00734543">
        <w:trPr>
          <w:trHeight w:val="1675"/>
        </w:trPr>
        <w:tc>
          <w:tcPr>
            <w:tcW w:w="4451" w:type="dxa"/>
            <w:tcBorders>
              <w:top w:val="single" w:sz="4" w:space="0" w:color="auto"/>
              <w:left w:val="single" w:sz="4" w:space="0" w:color="auto"/>
              <w:bottom w:val="single" w:sz="4" w:space="0" w:color="auto"/>
              <w:right w:val="single" w:sz="4" w:space="0" w:color="auto"/>
            </w:tcBorders>
            <w:hideMark/>
          </w:tcPr>
          <w:p w14:paraId="3990C0D6" w14:textId="77777777" w:rsidR="00997AB9" w:rsidRPr="006B28B0" w:rsidRDefault="00997AB9" w:rsidP="00734543">
            <w:pPr>
              <w:spacing w:after="0" w:line="240" w:lineRule="auto"/>
              <w:jc w:val="center"/>
              <w:rPr>
                <w:rFonts w:ascii="Arial" w:eastAsia="Calibri" w:hAnsi="Arial" w:cs="Arial"/>
                <w:b/>
                <w:noProof/>
                <w:sz w:val="16"/>
                <w:szCs w:val="16"/>
                <w:lang w:val="en-GB"/>
              </w:rPr>
            </w:pPr>
          </w:p>
          <w:p w14:paraId="0142A092"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DELETE WHICHEVER IS NOT APPLICABLE</w:t>
            </w:r>
          </w:p>
          <w:p w14:paraId="7416B7CF"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(1) REPORTABLE:  YES / NO.</w:t>
            </w:r>
          </w:p>
          <w:p w14:paraId="269677F0"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(2) OF INTEREST TO OTHER JUDGES:  YES / NO.</w:t>
            </w:r>
          </w:p>
          <w:p w14:paraId="7583FB3D"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(3) REVISED.</w:t>
            </w:r>
          </w:p>
          <w:p w14:paraId="634A572F" w14:textId="77777777" w:rsidR="00997AB9" w:rsidRPr="006B28B0" w:rsidRDefault="00997AB9" w:rsidP="00734543">
            <w:pPr>
              <w:spacing w:after="0" w:line="240" w:lineRule="auto"/>
              <w:jc w:val="center"/>
              <w:rPr>
                <w:rFonts w:ascii="Arial" w:eastAsia="Calibri" w:hAnsi="Arial" w:cs="Arial"/>
                <w:b/>
                <w:noProof/>
                <w:sz w:val="16"/>
                <w:szCs w:val="16"/>
                <w:u w:val="single"/>
                <w:lang w:val="en-GB"/>
              </w:rPr>
            </w:pPr>
          </w:p>
          <w:p w14:paraId="35FF8203"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u w:val="single"/>
                <w:lang w:val="en-GB"/>
              </w:rPr>
              <w:t>DATE:</w:t>
            </w:r>
          </w:p>
          <w:p w14:paraId="262B820F" w14:textId="77777777" w:rsidR="00997AB9" w:rsidRPr="006B28B0" w:rsidRDefault="00997AB9" w:rsidP="00734543">
            <w:pPr>
              <w:spacing w:after="0" w:line="240" w:lineRule="auto"/>
              <w:jc w:val="center"/>
              <w:rPr>
                <w:rFonts w:ascii="Arial" w:eastAsia="Calibri" w:hAnsi="Arial" w:cs="Arial"/>
                <w:b/>
                <w:noProof/>
                <w:sz w:val="16"/>
                <w:szCs w:val="16"/>
                <w:u w:val="single"/>
                <w:lang w:val="en-GB"/>
              </w:rPr>
            </w:pPr>
          </w:p>
          <w:p w14:paraId="6E295289" w14:textId="77777777" w:rsidR="00997AB9" w:rsidRPr="006B28B0" w:rsidRDefault="00997AB9" w:rsidP="00734543">
            <w:pPr>
              <w:spacing w:after="0" w:line="240" w:lineRule="auto"/>
              <w:rPr>
                <w:rFonts w:ascii="Arial" w:eastAsia="Calibri" w:hAnsi="Arial" w:cs="Arial"/>
                <w:b/>
                <w:noProof/>
                <w:sz w:val="24"/>
                <w:szCs w:val="24"/>
                <w:u w:val="single"/>
                <w:lang w:val="en-GB"/>
              </w:rPr>
            </w:pPr>
            <w:r w:rsidRPr="006B28B0">
              <w:rPr>
                <w:rFonts w:ascii="Arial" w:eastAsia="Calibri" w:hAnsi="Arial" w:cs="Arial"/>
                <w:b/>
                <w:noProof/>
                <w:sz w:val="16"/>
                <w:szCs w:val="16"/>
                <w:u w:val="single"/>
                <w:lang w:val="en-GB"/>
              </w:rPr>
              <w:t>SIGNATURE:</w:t>
            </w:r>
            <w:r w:rsidRPr="006B28B0">
              <w:rPr>
                <w:rFonts w:ascii="Arial" w:eastAsia="Calibri" w:hAnsi="Arial" w:cs="Arial"/>
                <w:b/>
                <w:noProof/>
                <w:sz w:val="16"/>
                <w:szCs w:val="16"/>
                <w:u w:val="single"/>
                <w:lang w:val="en-GB"/>
              </w:rPr>
              <w:br/>
            </w:r>
          </w:p>
        </w:tc>
      </w:tr>
    </w:tbl>
    <w:p w14:paraId="4BAC72EF" w14:textId="77777777" w:rsidR="00C501B3" w:rsidRDefault="00C501B3" w:rsidP="00997AB9">
      <w:pPr>
        <w:rPr>
          <w:rFonts w:ascii="Arial" w:hAnsi="Arial" w:cs="Arial"/>
          <w:sz w:val="24"/>
          <w:szCs w:val="24"/>
          <w:lang w:val="en-US"/>
        </w:rPr>
      </w:pPr>
    </w:p>
    <w:p w14:paraId="1E3A7112" w14:textId="610659B6" w:rsidR="00997AB9" w:rsidRPr="00B71F31" w:rsidRDefault="00997AB9" w:rsidP="00997AB9">
      <w:pPr>
        <w:rPr>
          <w:rFonts w:ascii="Arial" w:hAnsi="Arial" w:cs="Arial"/>
          <w:sz w:val="24"/>
          <w:szCs w:val="24"/>
          <w:lang w:val="en-US"/>
        </w:rPr>
      </w:pPr>
      <w:r w:rsidRPr="00B71F31">
        <w:rPr>
          <w:rFonts w:ascii="Arial" w:hAnsi="Arial" w:cs="Arial"/>
          <w:sz w:val="24"/>
          <w:szCs w:val="24"/>
          <w:lang w:val="en-US"/>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7"/>
      </w:tblGrid>
      <w:tr w:rsidR="00997AB9" w:rsidRPr="00B71F31" w14:paraId="4515CB73" w14:textId="77777777" w:rsidTr="006C3F39">
        <w:tc>
          <w:tcPr>
            <w:tcW w:w="5382" w:type="dxa"/>
          </w:tcPr>
          <w:p w14:paraId="43108A05" w14:textId="1463F80A" w:rsidR="00997AB9" w:rsidRPr="00B71F31" w:rsidRDefault="009F66F5" w:rsidP="00734543">
            <w:pPr>
              <w:rPr>
                <w:rFonts w:ascii="Arial" w:hAnsi="Arial" w:cs="Arial"/>
                <w:b/>
                <w:bCs/>
                <w:sz w:val="24"/>
                <w:szCs w:val="24"/>
                <w:lang w:val="en-US"/>
              </w:rPr>
            </w:pPr>
            <w:r>
              <w:rPr>
                <w:rFonts w:ascii="Arial" w:hAnsi="Arial" w:cs="Arial"/>
                <w:b/>
                <w:bCs/>
                <w:sz w:val="24"/>
                <w:szCs w:val="24"/>
                <w:lang w:val="en-US"/>
              </w:rPr>
              <w:t>PHILIP HENRY ARNOLD</w:t>
            </w:r>
          </w:p>
        </w:tc>
        <w:tc>
          <w:tcPr>
            <w:tcW w:w="4247" w:type="dxa"/>
          </w:tcPr>
          <w:p w14:paraId="6C8BAA6B" w14:textId="77777777" w:rsidR="00997AB9" w:rsidRPr="00B71F31" w:rsidRDefault="00997AB9" w:rsidP="00734543">
            <w:pPr>
              <w:jc w:val="right"/>
              <w:rPr>
                <w:rFonts w:ascii="Arial" w:hAnsi="Arial" w:cs="Arial"/>
                <w:sz w:val="24"/>
                <w:szCs w:val="24"/>
                <w:lang w:val="en-US"/>
              </w:rPr>
            </w:pPr>
            <w:r>
              <w:rPr>
                <w:rFonts w:ascii="Arial" w:hAnsi="Arial" w:cs="Arial"/>
                <w:sz w:val="24"/>
                <w:szCs w:val="24"/>
                <w:lang w:val="en-US"/>
              </w:rPr>
              <w:t>Applicant</w:t>
            </w:r>
          </w:p>
        </w:tc>
      </w:tr>
      <w:tr w:rsidR="00997AB9" w:rsidRPr="00B71F31" w14:paraId="346B173F" w14:textId="77777777" w:rsidTr="006C3F39">
        <w:tc>
          <w:tcPr>
            <w:tcW w:w="9629" w:type="dxa"/>
            <w:gridSpan w:val="2"/>
          </w:tcPr>
          <w:p w14:paraId="702AC8ED" w14:textId="77777777" w:rsidR="00997AB9" w:rsidRPr="00B71F31" w:rsidRDefault="00997AB9" w:rsidP="00734543">
            <w:pPr>
              <w:jc w:val="left"/>
              <w:rPr>
                <w:rFonts w:ascii="Arial" w:hAnsi="Arial" w:cs="Arial"/>
                <w:sz w:val="24"/>
                <w:szCs w:val="24"/>
                <w:lang w:val="en-US"/>
              </w:rPr>
            </w:pPr>
            <w:r>
              <w:rPr>
                <w:rFonts w:ascii="Arial" w:hAnsi="Arial" w:cs="Arial"/>
                <w:sz w:val="24"/>
                <w:szCs w:val="24"/>
                <w:lang w:val="en-US"/>
              </w:rPr>
              <w:t>a</w:t>
            </w:r>
            <w:r w:rsidRPr="00B71F31">
              <w:rPr>
                <w:rFonts w:ascii="Arial" w:hAnsi="Arial" w:cs="Arial"/>
                <w:sz w:val="24"/>
                <w:szCs w:val="24"/>
                <w:lang w:val="en-US"/>
              </w:rPr>
              <w:t>nd</w:t>
            </w:r>
          </w:p>
        </w:tc>
      </w:tr>
      <w:tr w:rsidR="007129F5" w:rsidRPr="00B71F31" w14:paraId="74210BE8" w14:textId="77777777" w:rsidTr="006C3F39">
        <w:tc>
          <w:tcPr>
            <w:tcW w:w="5382" w:type="dxa"/>
          </w:tcPr>
          <w:p w14:paraId="0B679C23" w14:textId="1ABA9CA3" w:rsidR="007129F5" w:rsidRPr="00B71F31" w:rsidRDefault="007129F5" w:rsidP="007129F5">
            <w:pPr>
              <w:rPr>
                <w:rFonts w:ascii="Arial" w:hAnsi="Arial" w:cs="Arial"/>
                <w:b/>
                <w:bCs/>
                <w:sz w:val="24"/>
                <w:szCs w:val="24"/>
                <w:lang w:val="en-US"/>
              </w:rPr>
            </w:pPr>
            <w:r>
              <w:rPr>
                <w:rFonts w:ascii="Arial" w:hAnsi="Arial" w:cs="Arial"/>
                <w:b/>
                <w:bCs/>
                <w:sz w:val="24"/>
                <w:szCs w:val="24"/>
                <w:lang w:val="en-US"/>
              </w:rPr>
              <w:t>EOH MANAGED SERVICES PS (PTY) LTD</w:t>
            </w:r>
          </w:p>
        </w:tc>
        <w:tc>
          <w:tcPr>
            <w:tcW w:w="4247" w:type="dxa"/>
          </w:tcPr>
          <w:p w14:paraId="20DDB2CC" w14:textId="77777777" w:rsidR="007129F5" w:rsidRPr="00B71F31" w:rsidRDefault="007129F5" w:rsidP="007129F5">
            <w:pPr>
              <w:jc w:val="right"/>
              <w:rPr>
                <w:rFonts w:ascii="Arial" w:hAnsi="Arial" w:cs="Arial"/>
                <w:sz w:val="24"/>
                <w:szCs w:val="24"/>
                <w:lang w:val="en-US"/>
              </w:rPr>
            </w:pPr>
            <w:r>
              <w:rPr>
                <w:rFonts w:ascii="Arial" w:hAnsi="Arial" w:cs="Arial"/>
                <w:sz w:val="24"/>
                <w:szCs w:val="24"/>
                <w:lang w:val="en-US"/>
              </w:rPr>
              <w:t>First Respondent</w:t>
            </w:r>
          </w:p>
        </w:tc>
      </w:tr>
      <w:tr w:rsidR="00997AB9" w:rsidRPr="00B71F31" w14:paraId="354F862D" w14:textId="77777777" w:rsidTr="006C3F39">
        <w:tc>
          <w:tcPr>
            <w:tcW w:w="5382" w:type="dxa"/>
          </w:tcPr>
          <w:p w14:paraId="6230129D" w14:textId="77777777" w:rsidR="00997AB9" w:rsidRDefault="00FE3814" w:rsidP="00734543">
            <w:pPr>
              <w:rPr>
                <w:rFonts w:ascii="Arial" w:hAnsi="Arial" w:cs="Arial"/>
                <w:b/>
                <w:bCs/>
                <w:sz w:val="24"/>
                <w:szCs w:val="24"/>
                <w:lang w:val="en-US"/>
              </w:rPr>
            </w:pPr>
            <w:r>
              <w:rPr>
                <w:rFonts w:ascii="Arial" w:hAnsi="Arial" w:cs="Arial"/>
                <w:b/>
                <w:bCs/>
                <w:sz w:val="24"/>
                <w:szCs w:val="24"/>
                <w:lang w:val="en-US"/>
              </w:rPr>
              <w:t>MONICA COWEN N.O.</w:t>
            </w:r>
          </w:p>
          <w:p w14:paraId="4C568CBB" w14:textId="77777777" w:rsidR="000B3199" w:rsidRDefault="0000155F" w:rsidP="00734543">
            <w:pPr>
              <w:rPr>
                <w:rFonts w:ascii="Arial" w:hAnsi="Arial" w:cs="Arial"/>
                <w:b/>
                <w:bCs/>
                <w:sz w:val="24"/>
                <w:szCs w:val="24"/>
                <w:lang w:val="en-US"/>
              </w:rPr>
            </w:pPr>
            <w:r>
              <w:rPr>
                <w:rFonts w:ascii="Arial" w:hAnsi="Arial" w:cs="Arial"/>
                <w:b/>
                <w:bCs/>
                <w:sz w:val="24"/>
                <w:szCs w:val="24"/>
                <w:lang w:val="en-US"/>
              </w:rPr>
              <w:t>ANKIA VAN JAARSVELD N.O.</w:t>
            </w:r>
          </w:p>
          <w:p w14:paraId="2EA4DAAC" w14:textId="77777777" w:rsidR="003A69A9" w:rsidRDefault="003A69A9" w:rsidP="00734543">
            <w:pPr>
              <w:rPr>
                <w:rFonts w:ascii="Arial" w:hAnsi="Arial" w:cs="Arial"/>
                <w:b/>
                <w:bCs/>
                <w:sz w:val="24"/>
                <w:szCs w:val="24"/>
                <w:lang w:val="en-US"/>
              </w:rPr>
            </w:pPr>
            <w:r>
              <w:rPr>
                <w:rFonts w:ascii="Arial" w:hAnsi="Arial" w:cs="Arial"/>
                <w:b/>
                <w:bCs/>
                <w:sz w:val="24"/>
                <w:szCs w:val="24"/>
                <w:lang w:val="en-US"/>
              </w:rPr>
              <w:t>JEHAN MACKAY</w:t>
            </w:r>
          </w:p>
          <w:p w14:paraId="22AAB7BE" w14:textId="77777777" w:rsidR="00B91BD6" w:rsidRDefault="00891F00" w:rsidP="00734543">
            <w:pPr>
              <w:rPr>
                <w:rFonts w:ascii="Arial" w:hAnsi="Arial" w:cs="Arial"/>
                <w:b/>
                <w:bCs/>
                <w:sz w:val="24"/>
                <w:szCs w:val="24"/>
                <w:lang w:val="en-US"/>
              </w:rPr>
            </w:pPr>
            <w:r>
              <w:rPr>
                <w:rFonts w:ascii="Arial" w:hAnsi="Arial" w:cs="Arial"/>
                <w:b/>
                <w:bCs/>
                <w:sz w:val="24"/>
                <w:szCs w:val="24"/>
                <w:lang w:val="en-US"/>
              </w:rPr>
              <w:t>EBRAHIM ABOOBAKER LAHER</w:t>
            </w:r>
          </w:p>
          <w:p w14:paraId="58B25EBC" w14:textId="77777777" w:rsidR="00F06F92" w:rsidRDefault="00F06F92" w:rsidP="00734543">
            <w:pPr>
              <w:rPr>
                <w:rFonts w:ascii="Arial" w:hAnsi="Arial" w:cs="Arial"/>
                <w:b/>
                <w:bCs/>
                <w:sz w:val="24"/>
                <w:szCs w:val="24"/>
                <w:lang w:val="en-US"/>
              </w:rPr>
            </w:pPr>
            <w:r>
              <w:rPr>
                <w:rFonts w:ascii="Arial" w:hAnsi="Arial" w:cs="Arial"/>
                <w:b/>
                <w:bCs/>
                <w:sz w:val="24"/>
                <w:szCs w:val="24"/>
                <w:lang w:val="en-US"/>
              </w:rPr>
              <w:t>MOKUNYO PATRICK MONYEKI</w:t>
            </w:r>
          </w:p>
          <w:p w14:paraId="63A2EA6D" w14:textId="77777777" w:rsidR="00AA206F" w:rsidRDefault="00AA206F" w:rsidP="00734543">
            <w:pPr>
              <w:rPr>
                <w:rFonts w:ascii="Arial" w:hAnsi="Arial" w:cs="Arial"/>
                <w:b/>
                <w:bCs/>
                <w:sz w:val="24"/>
                <w:szCs w:val="24"/>
                <w:lang w:val="en-US"/>
              </w:rPr>
            </w:pPr>
            <w:r>
              <w:rPr>
                <w:rFonts w:ascii="Arial" w:hAnsi="Arial" w:cs="Arial"/>
                <w:b/>
                <w:bCs/>
                <w:sz w:val="24"/>
                <w:szCs w:val="24"/>
                <w:lang w:val="en-US"/>
              </w:rPr>
              <w:t>GARTH SOLOMON MADELLA</w:t>
            </w:r>
          </w:p>
          <w:p w14:paraId="3AB6AF5F" w14:textId="77777777" w:rsidR="00772506" w:rsidRDefault="00772506" w:rsidP="00734543">
            <w:pPr>
              <w:rPr>
                <w:rFonts w:ascii="Arial" w:hAnsi="Arial" w:cs="Arial"/>
                <w:b/>
                <w:bCs/>
                <w:sz w:val="24"/>
                <w:szCs w:val="24"/>
                <w:lang w:val="en-US"/>
              </w:rPr>
            </w:pPr>
            <w:r>
              <w:rPr>
                <w:rFonts w:ascii="Arial" w:hAnsi="Arial" w:cs="Arial"/>
                <w:b/>
                <w:bCs/>
                <w:sz w:val="24"/>
                <w:szCs w:val="24"/>
                <w:lang w:val="en-US"/>
              </w:rPr>
              <w:t>CHETTAN OTTAM</w:t>
            </w:r>
          </w:p>
          <w:p w14:paraId="67D08062" w14:textId="77777777" w:rsidR="00772506" w:rsidRDefault="00D574D2" w:rsidP="00734543">
            <w:pPr>
              <w:rPr>
                <w:rFonts w:ascii="Arial" w:hAnsi="Arial" w:cs="Arial"/>
                <w:b/>
                <w:bCs/>
                <w:sz w:val="24"/>
                <w:szCs w:val="24"/>
                <w:lang w:val="en-US"/>
              </w:rPr>
            </w:pPr>
            <w:r>
              <w:rPr>
                <w:rFonts w:ascii="Arial" w:hAnsi="Arial" w:cs="Arial"/>
                <w:b/>
                <w:bCs/>
                <w:sz w:val="24"/>
                <w:szCs w:val="24"/>
                <w:lang w:val="en-US"/>
              </w:rPr>
              <w:t>MICHAEL FITZGERALD N.O.</w:t>
            </w:r>
          </w:p>
          <w:p w14:paraId="05919F7E" w14:textId="77777777" w:rsidR="00D574D2" w:rsidRDefault="008A4B3E" w:rsidP="00734543">
            <w:pPr>
              <w:rPr>
                <w:rFonts w:ascii="Arial" w:hAnsi="Arial" w:cs="Arial"/>
                <w:b/>
                <w:bCs/>
                <w:sz w:val="24"/>
                <w:szCs w:val="24"/>
                <w:lang w:val="en-US"/>
              </w:rPr>
            </w:pPr>
            <w:r>
              <w:rPr>
                <w:rFonts w:ascii="Arial" w:hAnsi="Arial" w:cs="Arial"/>
                <w:b/>
                <w:bCs/>
                <w:sz w:val="24"/>
                <w:szCs w:val="24"/>
                <w:lang w:val="en-US"/>
              </w:rPr>
              <w:t>ADVOCATE MABASO N.O.</w:t>
            </w:r>
          </w:p>
          <w:p w14:paraId="3B982316" w14:textId="77777777" w:rsidR="009D3C9F" w:rsidRDefault="009D3C9F" w:rsidP="00734543">
            <w:pPr>
              <w:rPr>
                <w:rFonts w:ascii="Arial" w:hAnsi="Arial" w:cs="Arial"/>
                <w:b/>
                <w:bCs/>
                <w:sz w:val="24"/>
                <w:szCs w:val="24"/>
                <w:lang w:val="en-US"/>
              </w:rPr>
            </w:pPr>
          </w:p>
          <w:p w14:paraId="7CF31730" w14:textId="6EBBF44D" w:rsidR="00C501B3" w:rsidRDefault="00C501B3" w:rsidP="00734543">
            <w:pPr>
              <w:rPr>
                <w:rFonts w:ascii="Arial" w:hAnsi="Arial" w:cs="Arial"/>
                <w:b/>
                <w:bCs/>
                <w:sz w:val="24"/>
                <w:szCs w:val="24"/>
                <w:lang w:val="en-US"/>
              </w:rPr>
            </w:pPr>
            <w:r>
              <w:rPr>
                <w:rFonts w:ascii="Arial" w:hAnsi="Arial" w:cs="Arial"/>
                <w:b/>
                <w:bCs/>
                <w:sz w:val="24"/>
                <w:szCs w:val="24"/>
                <w:lang w:val="en-US"/>
              </w:rPr>
              <w:t>MASTER OF THE HIGH COURT,</w:t>
            </w:r>
          </w:p>
          <w:p w14:paraId="32D2AE48" w14:textId="5686D93C" w:rsidR="008A4B3E" w:rsidRDefault="00C501B3" w:rsidP="00734543">
            <w:pPr>
              <w:rPr>
                <w:rFonts w:ascii="Arial" w:hAnsi="Arial" w:cs="Arial"/>
                <w:b/>
                <w:bCs/>
                <w:sz w:val="24"/>
                <w:szCs w:val="24"/>
                <w:lang w:val="en-US"/>
              </w:rPr>
            </w:pPr>
            <w:r>
              <w:rPr>
                <w:rFonts w:ascii="Arial" w:hAnsi="Arial" w:cs="Arial"/>
                <w:b/>
                <w:bCs/>
                <w:sz w:val="24"/>
                <w:szCs w:val="24"/>
                <w:lang w:val="en-US"/>
              </w:rPr>
              <w:t>JOHANNESBURG</w:t>
            </w:r>
          </w:p>
        </w:tc>
        <w:tc>
          <w:tcPr>
            <w:tcW w:w="4247" w:type="dxa"/>
          </w:tcPr>
          <w:p w14:paraId="4AA028B8" w14:textId="77777777" w:rsidR="00997AB9" w:rsidRDefault="00997AB9" w:rsidP="00734543">
            <w:pPr>
              <w:jc w:val="right"/>
              <w:rPr>
                <w:rFonts w:ascii="Arial" w:hAnsi="Arial" w:cs="Arial"/>
                <w:sz w:val="24"/>
                <w:szCs w:val="24"/>
                <w:lang w:val="en-US"/>
              </w:rPr>
            </w:pPr>
            <w:r>
              <w:rPr>
                <w:rFonts w:ascii="Arial" w:hAnsi="Arial" w:cs="Arial"/>
                <w:sz w:val="24"/>
                <w:szCs w:val="24"/>
                <w:lang w:val="en-US"/>
              </w:rPr>
              <w:t xml:space="preserve">Second Respondent </w:t>
            </w:r>
          </w:p>
          <w:p w14:paraId="5F5870C2" w14:textId="336216A4" w:rsidR="006C3F39" w:rsidRDefault="006C3F39" w:rsidP="006C3F39">
            <w:pPr>
              <w:jc w:val="right"/>
              <w:rPr>
                <w:rFonts w:ascii="Arial" w:hAnsi="Arial" w:cs="Arial"/>
                <w:sz w:val="24"/>
                <w:szCs w:val="24"/>
                <w:lang w:val="en-US"/>
              </w:rPr>
            </w:pPr>
            <w:r>
              <w:rPr>
                <w:rFonts w:ascii="Arial" w:hAnsi="Arial" w:cs="Arial"/>
                <w:sz w:val="24"/>
                <w:szCs w:val="24"/>
                <w:lang w:val="en-US"/>
              </w:rPr>
              <w:t>Third Respondent</w:t>
            </w:r>
          </w:p>
          <w:p w14:paraId="550B626D" w14:textId="61FFC9DB" w:rsidR="006C3F39" w:rsidRDefault="006C3F39" w:rsidP="006C3F39">
            <w:pPr>
              <w:jc w:val="right"/>
              <w:rPr>
                <w:rFonts w:ascii="Arial" w:hAnsi="Arial" w:cs="Arial"/>
                <w:sz w:val="24"/>
                <w:szCs w:val="24"/>
                <w:lang w:val="en-US"/>
              </w:rPr>
            </w:pPr>
            <w:r>
              <w:rPr>
                <w:rFonts w:ascii="Arial" w:hAnsi="Arial" w:cs="Arial"/>
                <w:sz w:val="24"/>
                <w:szCs w:val="24"/>
                <w:lang w:val="en-US"/>
              </w:rPr>
              <w:t xml:space="preserve">Fourth Respondent </w:t>
            </w:r>
          </w:p>
          <w:p w14:paraId="614AD7A5" w14:textId="56D38677" w:rsidR="000B3199" w:rsidRDefault="006C3F39" w:rsidP="000B3199">
            <w:pPr>
              <w:jc w:val="right"/>
              <w:rPr>
                <w:rFonts w:ascii="Arial" w:hAnsi="Arial" w:cs="Arial"/>
                <w:sz w:val="24"/>
                <w:szCs w:val="24"/>
                <w:lang w:val="en-US"/>
              </w:rPr>
            </w:pPr>
            <w:r>
              <w:rPr>
                <w:rFonts w:ascii="Arial" w:hAnsi="Arial" w:cs="Arial"/>
                <w:sz w:val="24"/>
                <w:szCs w:val="24"/>
                <w:lang w:val="en-US"/>
              </w:rPr>
              <w:t>Fifth Res</w:t>
            </w:r>
            <w:r w:rsidR="000B3199">
              <w:rPr>
                <w:rFonts w:ascii="Arial" w:hAnsi="Arial" w:cs="Arial"/>
                <w:sz w:val="24"/>
                <w:szCs w:val="24"/>
                <w:lang w:val="en-US"/>
              </w:rPr>
              <w:t>pondent</w:t>
            </w:r>
          </w:p>
          <w:p w14:paraId="0BDA6983" w14:textId="35769E79" w:rsidR="000B3199" w:rsidRDefault="000B3199" w:rsidP="000B3199">
            <w:pPr>
              <w:jc w:val="right"/>
              <w:rPr>
                <w:rFonts w:ascii="Arial" w:hAnsi="Arial" w:cs="Arial"/>
                <w:sz w:val="24"/>
                <w:szCs w:val="24"/>
                <w:lang w:val="en-US"/>
              </w:rPr>
            </w:pPr>
            <w:r>
              <w:rPr>
                <w:rFonts w:ascii="Arial" w:hAnsi="Arial" w:cs="Arial"/>
                <w:sz w:val="24"/>
                <w:szCs w:val="24"/>
                <w:lang w:val="en-US"/>
              </w:rPr>
              <w:t>Sixth Respondent</w:t>
            </w:r>
          </w:p>
          <w:p w14:paraId="22AA62FF" w14:textId="073453A4" w:rsidR="000B3199" w:rsidRDefault="000B3199" w:rsidP="000B3199">
            <w:pPr>
              <w:jc w:val="right"/>
              <w:rPr>
                <w:rFonts w:ascii="Arial" w:hAnsi="Arial" w:cs="Arial"/>
                <w:sz w:val="24"/>
                <w:szCs w:val="24"/>
                <w:lang w:val="en-US"/>
              </w:rPr>
            </w:pPr>
            <w:r>
              <w:rPr>
                <w:rFonts w:ascii="Arial" w:hAnsi="Arial" w:cs="Arial"/>
                <w:sz w:val="24"/>
                <w:szCs w:val="24"/>
                <w:lang w:val="en-US"/>
              </w:rPr>
              <w:t>Seventh Respondent</w:t>
            </w:r>
          </w:p>
          <w:p w14:paraId="7D79807C" w14:textId="01D33C2E" w:rsidR="000B3199" w:rsidRDefault="000B3199" w:rsidP="000B3199">
            <w:pPr>
              <w:jc w:val="right"/>
              <w:rPr>
                <w:rFonts w:ascii="Arial" w:hAnsi="Arial" w:cs="Arial"/>
                <w:sz w:val="24"/>
                <w:szCs w:val="24"/>
                <w:lang w:val="en-US"/>
              </w:rPr>
            </w:pPr>
            <w:r>
              <w:rPr>
                <w:rFonts w:ascii="Arial" w:hAnsi="Arial" w:cs="Arial"/>
                <w:sz w:val="24"/>
                <w:szCs w:val="24"/>
                <w:lang w:val="en-US"/>
              </w:rPr>
              <w:t>Eighth Respondent</w:t>
            </w:r>
          </w:p>
          <w:p w14:paraId="1FB87114" w14:textId="4B112BBB" w:rsidR="000B3199" w:rsidRDefault="000B3199" w:rsidP="000B3199">
            <w:pPr>
              <w:jc w:val="right"/>
              <w:rPr>
                <w:rFonts w:ascii="Arial" w:hAnsi="Arial" w:cs="Arial"/>
                <w:sz w:val="24"/>
                <w:szCs w:val="24"/>
                <w:lang w:val="en-US"/>
              </w:rPr>
            </w:pPr>
            <w:r>
              <w:rPr>
                <w:rFonts w:ascii="Arial" w:hAnsi="Arial" w:cs="Arial"/>
                <w:sz w:val="24"/>
                <w:szCs w:val="24"/>
                <w:lang w:val="en-US"/>
              </w:rPr>
              <w:t>Ninth Respondent</w:t>
            </w:r>
          </w:p>
          <w:p w14:paraId="6CC78F08" w14:textId="6663C7F8" w:rsidR="000B3199" w:rsidRDefault="000B3199" w:rsidP="000B3199">
            <w:pPr>
              <w:jc w:val="right"/>
              <w:rPr>
                <w:rFonts w:ascii="Arial" w:hAnsi="Arial" w:cs="Arial"/>
                <w:sz w:val="24"/>
                <w:szCs w:val="24"/>
                <w:lang w:val="en-US"/>
              </w:rPr>
            </w:pPr>
            <w:r>
              <w:rPr>
                <w:rFonts w:ascii="Arial" w:hAnsi="Arial" w:cs="Arial"/>
                <w:sz w:val="24"/>
                <w:szCs w:val="24"/>
                <w:lang w:val="en-US"/>
              </w:rPr>
              <w:t>Tenth Respondent</w:t>
            </w:r>
          </w:p>
          <w:p w14:paraId="1578565D" w14:textId="77777777" w:rsidR="009D3C9F" w:rsidRDefault="009D3C9F" w:rsidP="000B3199">
            <w:pPr>
              <w:jc w:val="right"/>
              <w:rPr>
                <w:rFonts w:ascii="Arial" w:hAnsi="Arial" w:cs="Arial"/>
                <w:sz w:val="24"/>
                <w:szCs w:val="24"/>
                <w:lang w:val="en-US"/>
              </w:rPr>
            </w:pPr>
          </w:p>
          <w:p w14:paraId="1CFB5142" w14:textId="0E48AF43" w:rsidR="000B3199" w:rsidRDefault="000B3199" w:rsidP="000B3199">
            <w:pPr>
              <w:jc w:val="right"/>
              <w:rPr>
                <w:rFonts w:ascii="Arial" w:hAnsi="Arial" w:cs="Arial"/>
                <w:sz w:val="24"/>
                <w:szCs w:val="24"/>
                <w:lang w:val="en-US"/>
              </w:rPr>
            </w:pPr>
            <w:r>
              <w:rPr>
                <w:rFonts w:ascii="Arial" w:hAnsi="Arial" w:cs="Arial"/>
                <w:sz w:val="24"/>
                <w:szCs w:val="24"/>
                <w:lang w:val="en-US"/>
              </w:rPr>
              <w:t>Eleventh Respondent</w:t>
            </w:r>
          </w:p>
          <w:p w14:paraId="7AC1A82D" w14:textId="77777777" w:rsidR="006C3F39" w:rsidRDefault="006C3F39" w:rsidP="00734543">
            <w:pPr>
              <w:jc w:val="right"/>
              <w:rPr>
                <w:rFonts w:ascii="Arial" w:hAnsi="Arial" w:cs="Arial"/>
                <w:sz w:val="24"/>
                <w:szCs w:val="24"/>
                <w:lang w:val="en-US"/>
              </w:rPr>
            </w:pPr>
          </w:p>
          <w:p w14:paraId="5774C251" w14:textId="4FDD7B02" w:rsidR="006C3F39" w:rsidRDefault="006C3F39" w:rsidP="00734543">
            <w:pPr>
              <w:jc w:val="right"/>
              <w:rPr>
                <w:rFonts w:ascii="Arial" w:hAnsi="Arial" w:cs="Arial"/>
                <w:sz w:val="24"/>
                <w:szCs w:val="24"/>
                <w:lang w:val="en-US"/>
              </w:rPr>
            </w:pPr>
          </w:p>
        </w:tc>
      </w:tr>
    </w:tbl>
    <w:p w14:paraId="0FACA978" w14:textId="77777777" w:rsidR="007B387F" w:rsidRDefault="007B387F" w:rsidP="007B387F">
      <w:pPr>
        <w:pBdr>
          <w:top w:val="single" w:sz="12" w:space="1" w:color="auto"/>
          <w:bottom w:val="single" w:sz="12" w:space="1" w:color="auto"/>
        </w:pBdr>
        <w:spacing w:line="240" w:lineRule="auto"/>
        <w:rPr>
          <w:rFonts w:ascii="Arial" w:hAnsi="Arial" w:cs="Arial"/>
          <w:sz w:val="24"/>
          <w:szCs w:val="24"/>
          <w:lang w:val="en-US"/>
        </w:rPr>
      </w:pPr>
    </w:p>
    <w:p w14:paraId="6DEE2706" w14:textId="77777777" w:rsidR="007B387F" w:rsidRPr="00B71F31" w:rsidRDefault="007B387F" w:rsidP="007B387F">
      <w:pPr>
        <w:pBdr>
          <w:top w:val="single" w:sz="12" w:space="1" w:color="auto"/>
          <w:bottom w:val="single" w:sz="12" w:space="1" w:color="auto"/>
        </w:pBdr>
        <w:spacing w:line="240" w:lineRule="auto"/>
        <w:jc w:val="center"/>
        <w:rPr>
          <w:rFonts w:ascii="Arial" w:hAnsi="Arial" w:cs="Arial"/>
          <w:b/>
          <w:bCs/>
          <w:sz w:val="24"/>
          <w:szCs w:val="24"/>
          <w:lang w:val="en-US"/>
        </w:rPr>
      </w:pPr>
      <w:r w:rsidRPr="00B71F31">
        <w:rPr>
          <w:rFonts w:ascii="Arial" w:hAnsi="Arial" w:cs="Arial"/>
          <w:b/>
          <w:bCs/>
          <w:sz w:val="24"/>
          <w:szCs w:val="24"/>
          <w:lang w:val="en-US"/>
        </w:rPr>
        <w:t>JUDGMENT</w:t>
      </w:r>
    </w:p>
    <w:p w14:paraId="645C077D" w14:textId="77777777" w:rsidR="007B387F" w:rsidRDefault="007B387F" w:rsidP="007B387F">
      <w:pPr>
        <w:pBdr>
          <w:top w:val="single" w:sz="12" w:space="1" w:color="auto"/>
          <w:bottom w:val="single" w:sz="12" w:space="1" w:color="auto"/>
        </w:pBdr>
        <w:spacing w:line="240" w:lineRule="auto"/>
        <w:rPr>
          <w:rFonts w:ascii="Arial" w:hAnsi="Arial" w:cs="Arial"/>
          <w:sz w:val="24"/>
          <w:szCs w:val="24"/>
          <w:lang w:val="en-US"/>
        </w:rPr>
      </w:pPr>
    </w:p>
    <w:p w14:paraId="6E9AA595" w14:textId="1D21A554" w:rsidR="00876EBC" w:rsidRPr="00921D26" w:rsidRDefault="00F7164D" w:rsidP="00876EBC">
      <w:pPr>
        <w:rPr>
          <w:rFonts w:ascii="Arial" w:hAnsi="Arial" w:cs="Arial"/>
          <w:b/>
          <w:bCs/>
          <w:sz w:val="24"/>
          <w:szCs w:val="24"/>
          <w:lang w:val="en-US"/>
        </w:rPr>
      </w:pPr>
      <w:r>
        <w:rPr>
          <w:rFonts w:ascii="Arial" w:hAnsi="Arial" w:cs="Arial"/>
          <w:b/>
          <w:bCs/>
          <w:sz w:val="24"/>
          <w:szCs w:val="24"/>
          <w:lang w:val="en-US"/>
        </w:rPr>
        <w:t>TODD AJ</w:t>
      </w:r>
    </w:p>
    <w:p w14:paraId="3DCF36F2" w14:textId="77777777" w:rsidR="00876EBC" w:rsidRPr="001963C7" w:rsidRDefault="00876EBC" w:rsidP="00876EBC">
      <w:pPr>
        <w:rPr>
          <w:rFonts w:ascii="Arial" w:hAnsi="Arial" w:cs="Arial"/>
          <w:b/>
          <w:bCs/>
          <w:sz w:val="24"/>
          <w:szCs w:val="24"/>
          <w:lang w:val="en-US"/>
        </w:rPr>
      </w:pPr>
      <w:r w:rsidRPr="001963C7">
        <w:rPr>
          <w:rFonts w:ascii="Arial" w:hAnsi="Arial" w:cs="Arial"/>
          <w:b/>
          <w:bCs/>
          <w:sz w:val="24"/>
          <w:szCs w:val="24"/>
          <w:lang w:val="en-US"/>
        </w:rPr>
        <w:t>Introduction</w:t>
      </w:r>
    </w:p>
    <w:p w14:paraId="445099EA" w14:textId="475A8EB3" w:rsidR="00684B8F" w:rsidRDefault="00FA5D38" w:rsidP="00FA5D38">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7A6F51">
        <w:rPr>
          <w:rFonts w:ascii="Arial" w:hAnsi="Arial" w:cs="Arial"/>
          <w:sz w:val="24"/>
          <w:szCs w:val="24"/>
          <w:lang w:val="en-US"/>
        </w:rPr>
        <w:t>The a</w:t>
      </w:r>
      <w:r w:rsidR="00FC1530">
        <w:rPr>
          <w:rFonts w:ascii="Arial" w:hAnsi="Arial" w:cs="Arial"/>
          <w:sz w:val="24"/>
          <w:szCs w:val="24"/>
          <w:lang w:val="en-US"/>
        </w:rPr>
        <w:t xml:space="preserve">pplicant </w:t>
      </w:r>
      <w:r w:rsidR="00EC681B">
        <w:rPr>
          <w:rFonts w:ascii="Arial" w:hAnsi="Arial" w:cs="Arial"/>
          <w:sz w:val="24"/>
          <w:szCs w:val="24"/>
          <w:lang w:val="en-US"/>
        </w:rPr>
        <w:t>applies</w:t>
      </w:r>
      <w:r w:rsidR="007A6F51">
        <w:rPr>
          <w:rFonts w:ascii="Arial" w:hAnsi="Arial" w:cs="Arial"/>
          <w:sz w:val="24"/>
          <w:szCs w:val="24"/>
          <w:lang w:val="en-US"/>
        </w:rPr>
        <w:t xml:space="preserve"> </w:t>
      </w:r>
      <w:r w:rsidR="00FC1530">
        <w:rPr>
          <w:rFonts w:ascii="Arial" w:hAnsi="Arial" w:cs="Arial"/>
          <w:sz w:val="24"/>
          <w:szCs w:val="24"/>
          <w:lang w:val="en-US"/>
        </w:rPr>
        <w:t xml:space="preserve">to set aside an order </w:t>
      </w:r>
      <w:r w:rsidR="00EC681B">
        <w:rPr>
          <w:rFonts w:ascii="Arial" w:hAnsi="Arial" w:cs="Arial"/>
          <w:sz w:val="24"/>
          <w:szCs w:val="24"/>
          <w:lang w:val="en-US"/>
        </w:rPr>
        <w:t xml:space="preserve">of </w:t>
      </w:r>
      <w:r w:rsidR="00FC1530">
        <w:rPr>
          <w:rFonts w:ascii="Arial" w:hAnsi="Arial" w:cs="Arial"/>
          <w:sz w:val="24"/>
          <w:szCs w:val="24"/>
          <w:lang w:val="en-US"/>
        </w:rPr>
        <w:t xml:space="preserve">this court </w:t>
      </w:r>
      <w:r w:rsidR="00EC681B">
        <w:rPr>
          <w:rFonts w:ascii="Arial" w:hAnsi="Arial" w:cs="Arial"/>
          <w:sz w:val="24"/>
          <w:szCs w:val="24"/>
          <w:lang w:val="en-US"/>
        </w:rPr>
        <w:t xml:space="preserve">dated </w:t>
      </w:r>
      <w:r w:rsidR="00FC1530">
        <w:rPr>
          <w:rFonts w:ascii="Arial" w:hAnsi="Arial" w:cs="Arial"/>
          <w:sz w:val="24"/>
          <w:szCs w:val="24"/>
          <w:lang w:val="en-US"/>
        </w:rPr>
        <w:t xml:space="preserve">30 </w:t>
      </w:r>
      <w:r w:rsidR="00EC681B">
        <w:rPr>
          <w:rFonts w:ascii="Arial" w:hAnsi="Arial" w:cs="Arial"/>
          <w:sz w:val="24"/>
          <w:szCs w:val="24"/>
          <w:lang w:val="en-US"/>
        </w:rPr>
        <w:t xml:space="preserve">March </w:t>
      </w:r>
      <w:r w:rsidR="00FC1530">
        <w:rPr>
          <w:rFonts w:ascii="Arial" w:hAnsi="Arial" w:cs="Arial"/>
          <w:sz w:val="24"/>
          <w:szCs w:val="24"/>
          <w:lang w:val="en-US"/>
        </w:rPr>
        <w:t xml:space="preserve">2021 </w:t>
      </w:r>
      <w:r w:rsidR="005A5B6E">
        <w:rPr>
          <w:rFonts w:ascii="Arial" w:hAnsi="Arial" w:cs="Arial"/>
          <w:sz w:val="24"/>
          <w:szCs w:val="24"/>
          <w:lang w:val="en-US"/>
        </w:rPr>
        <w:t xml:space="preserve">which effectively converted a voluntary winding-up </w:t>
      </w:r>
      <w:r w:rsidR="00FC1530">
        <w:rPr>
          <w:rFonts w:ascii="Arial" w:hAnsi="Arial" w:cs="Arial"/>
          <w:sz w:val="24"/>
          <w:szCs w:val="24"/>
          <w:lang w:val="en-US"/>
        </w:rPr>
        <w:t>of Silver Touch IT Solutions (Pty) Ltd</w:t>
      </w:r>
      <w:r w:rsidR="00684B8F">
        <w:rPr>
          <w:rFonts w:ascii="Arial" w:hAnsi="Arial" w:cs="Arial"/>
          <w:sz w:val="24"/>
          <w:szCs w:val="24"/>
          <w:lang w:val="en-US"/>
        </w:rPr>
        <w:t xml:space="preserve"> (“</w:t>
      </w:r>
      <w:r w:rsidR="00684B8F" w:rsidRPr="00F44054">
        <w:rPr>
          <w:rFonts w:ascii="Arial" w:hAnsi="Arial" w:cs="Arial"/>
          <w:b/>
          <w:bCs/>
          <w:sz w:val="24"/>
          <w:szCs w:val="24"/>
          <w:lang w:val="en-US"/>
        </w:rPr>
        <w:t>Silver Touch</w:t>
      </w:r>
      <w:r w:rsidR="00684B8F">
        <w:rPr>
          <w:rFonts w:ascii="Arial" w:hAnsi="Arial" w:cs="Arial"/>
          <w:sz w:val="24"/>
          <w:szCs w:val="24"/>
          <w:lang w:val="en-US"/>
        </w:rPr>
        <w:t>”)</w:t>
      </w:r>
      <w:r w:rsidR="00355138">
        <w:rPr>
          <w:rFonts w:ascii="Arial" w:hAnsi="Arial" w:cs="Arial"/>
          <w:sz w:val="24"/>
          <w:szCs w:val="24"/>
          <w:lang w:val="en-US"/>
        </w:rPr>
        <w:t xml:space="preserve"> </w:t>
      </w:r>
      <w:r w:rsidR="00DC10CD">
        <w:rPr>
          <w:rFonts w:ascii="Arial" w:hAnsi="Arial" w:cs="Arial"/>
          <w:sz w:val="24"/>
          <w:szCs w:val="24"/>
          <w:lang w:val="en-US"/>
        </w:rPr>
        <w:t>into a compulsory winding</w:t>
      </w:r>
      <w:r w:rsidR="00BC3E1D">
        <w:rPr>
          <w:rFonts w:ascii="Arial" w:hAnsi="Arial" w:cs="Arial"/>
          <w:sz w:val="24"/>
          <w:szCs w:val="24"/>
          <w:lang w:val="en-US"/>
        </w:rPr>
        <w:t>-</w:t>
      </w:r>
      <w:r w:rsidR="00DC10CD">
        <w:rPr>
          <w:rFonts w:ascii="Arial" w:hAnsi="Arial" w:cs="Arial"/>
          <w:sz w:val="24"/>
          <w:szCs w:val="24"/>
          <w:lang w:val="en-US"/>
        </w:rPr>
        <w:t xml:space="preserve">up.  He also seeks </w:t>
      </w:r>
      <w:r w:rsidR="00355138">
        <w:rPr>
          <w:rFonts w:ascii="Arial" w:hAnsi="Arial" w:cs="Arial"/>
          <w:sz w:val="24"/>
          <w:szCs w:val="24"/>
          <w:lang w:val="en-US"/>
        </w:rPr>
        <w:t xml:space="preserve">certain </w:t>
      </w:r>
      <w:r w:rsidR="005E3FF3">
        <w:rPr>
          <w:rFonts w:ascii="Arial" w:hAnsi="Arial" w:cs="Arial"/>
          <w:sz w:val="24"/>
          <w:szCs w:val="24"/>
          <w:lang w:val="en-US"/>
        </w:rPr>
        <w:t xml:space="preserve">related, </w:t>
      </w:r>
      <w:r w:rsidR="00355138">
        <w:rPr>
          <w:rFonts w:ascii="Arial" w:hAnsi="Arial" w:cs="Arial"/>
          <w:sz w:val="24"/>
          <w:szCs w:val="24"/>
          <w:lang w:val="en-US"/>
        </w:rPr>
        <w:t xml:space="preserve">consequential </w:t>
      </w:r>
      <w:r w:rsidR="005E3FF3">
        <w:rPr>
          <w:rFonts w:ascii="Arial" w:hAnsi="Arial" w:cs="Arial"/>
          <w:sz w:val="24"/>
          <w:szCs w:val="24"/>
          <w:lang w:val="en-US"/>
        </w:rPr>
        <w:t xml:space="preserve">and </w:t>
      </w:r>
      <w:r w:rsidR="00355138">
        <w:rPr>
          <w:rFonts w:ascii="Arial" w:hAnsi="Arial" w:cs="Arial"/>
          <w:sz w:val="24"/>
          <w:szCs w:val="24"/>
          <w:lang w:val="en-US"/>
        </w:rPr>
        <w:t>alternative relief</w:t>
      </w:r>
      <w:r w:rsidR="00FC1530">
        <w:rPr>
          <w:rFonts w:ascii="Arial" w:hAnsi="Arial" w:cs="Arial"/>
          <w:sz w:val="24"/>
          <w:szCs w:val="24"/>
          <w:lang w:val="en-US"/>
        </w:rPr>
        <w:t xml:space="preserve">.  </w:t>
      </w:r>
    </w:p>
    <w:p w14:paraId="47E3E9DC" w14:textId="782131EE" w:rsidR="00FC1530" w:rsidRDefault="00165222" w:rsidP="00FA5D38">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 xml:space="preserve">[2] </w:t>
      </w:r>
      <w:r>
        <w:rPr>
          <w:rFonts w:ascii="Arial" w:hAnsi="Arial" w:cs="Arial"/>
          <w:sz w:val="24"/>
          <w:szCs w:val="24"/>
          <w:lang w:val="en-US"/>
        </w:rPr>
        <w:tab/>
      </w:r>
      <w:r w:rsidR="00FC1530">
        <w:rPr>
          <w:rFonts w:ascii="Arial" w:hAnsi="Arial" w:cs="Arial"/>
          <w:sz w:val="24"/>
          <w:szCs w:val="24"/>
          <w:lang w:val="en-US"/>
        </w:rPr>
        <w:t xml:space="preserve">The background to the matter is that </w:t>
      </w:r>
      <w:r w:rsidR="005E3FF3">
        <w:rPr>
          <w:rFonts w:ascii="Arial" w:hAnsi="Arial" w:cs="Arial"/>
          <w:sz w:val="24"/>
          <w:szCs w:val="24"/>
          <w:lang w:val="en-US"/>
        </w:rPr>
        <w:t xml:space="preserve">during May 2020 </w:t>
      </w:r>
      <w:r w:rsidR="00FC1530">
        <w:rPr>
          <w:rFonts w:ascii="Arial" w:hAnsi="Arial" w:cs="Arial"/>
          <w:sz w:val="24"/>
          <w:szCs w:val="24"/>
          <w:lang w:val="en-US"/>
        </w:rPr>
        <w:t xml:space="preserve">the </w:t>
      </w:r>
      <w:r w:rsidR="00355138">
        <w:rPr>
          <w:rFonts w:ascii="Arial" w:hAnsi="Arial" w:cs="Arial"/>
          <w:sz w:val="24"/>
          <w:szCs w:val="24"/>
          <w:lang w:val="en-US"/>
        </w:rPr>
        <w:t>a</w:t>
      </w:r>
      <w:r w:rsidR="00FC1530">
        <w:rPr>
          <w:rFonts w:ascii="Arial" w:hAnsi="Arial" w:cs="Arial"/>
          <w:sz w:val="24"/>
          <w:szCs w:val="24"/>
          <w:lang w:val="en-US"/>
        </w:rPr>
        <w:t>pplicant, who was the sole director of Silver Touch</w:t>
      </w:r>
      <w:r w:rsidR="00355138">
        <w:rPr>
          <w:rFonts w:ascii="Arial" w:hAnsi="Arial" w:cs="Arial"/>
          <w:sz w:val="24"/>
          <w:szCs w:val="24"/>
          <w:lang w:val="en-US"/>
        </w:rPr>
        <w:t>,</w:t>
      </w:r>
      <w:r w:rsidR="00FC1530">
        <w:rPr>
          <w:rFonts w:ascii="Arial" w:hAnsi="Arial" w:cs="Arial"/>
          <w:sz w:val="24"/>
          <w:szCs w:val="24"/>
          <w:lang w:val="en-US"/>
        </w:rPr>
        <w:t xml:space="preserve"> placed th</w:t>
      </w:r>
      <w:r w:rsidR="00BC3E1D">
        <w:rPr>
          <w:rFonts w:ascii="Arial" w:hAnsi="Arial" w:cs="Arial"/>
          <w:sz w:val="24"/>
          <w:szCs w:val="24"/>
          <w:lang w:val="en-US"/>
        </w:rPr>
        <w:t>at</w:t>
      </w:r>
      <w:r w:rsidR="00FC1530">
        <w:rPr>
          <w:rFonts w:ascii="Arial" w:hAnsi="Arial" w:cs="Arial"/>
          <w:sz w:val="24"/>
          <w:szCs w:val="24"/>
          <w:lang w:val="en-US"/>
        </w:rPr>
        <w:t xml:space="preserve"> company in voluntary liquidation.  </w:t>
      </w:r>
    </w:p>
    <w:p w14:paraId="0D8F7DF5" w14:textId="0C89848F" w:rsidR="00FC1530" w:rsidRPr="00921D26" w:rsidRDefault="00165222" w:rsidP="00165222">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BC3E1D">
        <w:rPr>
          <w:rFonts w:ascii="Arial" w:hAnsi="Arial" w:cs="Arial"/>
          <w:sz w:val="24"/>
          <w:szCs w:val="24"/>
          <w:lang w:val="en-US"/>
        </w:rPr>
        <w:t xml:space="preserve">The </w:t>
      </w:r>
      <w:r w:rsidR="00FC1530">
        <w:rPr>
          <w:rFonts w:ascii="Arial" w:hAnsi="Arial" w:cs="Arial"/>
          <w:sz w:val="24"/>
          <w:szCs w:val="24"/>
          <w:lang w:val="en-US"/>
        </w:rPr>
        <w:t xml:space="preserve">first meeting of creditors </w:t>
      </w:r>
      <w:r w:rsidR="006C59CA">
        <w:rPr>
          <w:rFonts w:ascii="Arial" w:hAnsi="Arial" w:cs="Arial"/>
          <w:sz w:val="24"/>
          <w:szCs w:val="24"/>
          <w:lang w:val="en-US"/>
        </w:rPr>
        <w:t>held in November 2020</w:t>
      </w:r>
      <w:r w:rsidR="006C59CA">
        <w:rPr>
          <w:rFonts w:ascii="Arial" w:hAnsi="Arial" w:cs="Arial"/>
          <w:b/>
          <w:bCs/>
          <w:sz w:val="24"/>
          <w:szCs w:val="24"/>
          <w:lang w:val="en-US"/>
        </w:rPr>
        <w:t xml:space="preserve"> </w:t>
      </w:r>
      <w:r w:rsidR="0002199D">
        <w:rPr>
          <w:rFonts w:ascii="Arial" w:hAnsi="Arial" w:cs="Arial"/>
          <w:sz w:val="24"/>
          <w:szCs w:val="24"/>
          <w:lang w:val="en-US"/>
        </w:rPr>
        <w:t xml:space="preserve">was presided over by the tenth respondent.  At that meeting </w:t>
      </w:r>
      <w:r w:rsidR="00FC1530">
        <w:rPr>
          <w:rFonts w:ascii="Arial" w:hAnsi="Arial" w:cs="Arial"/>
          <w:sz w:val="24"/>
          <w:szCs w:val="24"/>
          <w:lang w:val="en-US"/>
        </w:rPr>
        <w:t xml:space="preserve">the </w:t>
      </w:r>
      <w:r w:rsidR="00F44054">
        <w:rPr>
          <w:rFonts w:ascii="Arial" w:hAnsi="Arial" w:cs="Arial"/>
          <w:sz w:val="24"/>
          <w:szCs w:val="24"/>
          <w:lang w:val="en-US"/>
        </w:rPr>
        <w:t>f</w:t>
      </w:r>
      <w:r w:rsidR="00FC1530">
        <w:rPr>
          <w:rFonts w:ascii="Arial" w:hAnsi="Arial" w:cs="Arial"/>
          <w:sz w:val="24"/>
          <w:szCs w:val="24"/>
          <w:lang w:val="en-US"/>
        </w:rPr>
        <w:t xml:space="preserve">irst </w:t>
      </w:r>
      <w:r w:rsidR="00F44054">
        <w:rPr>
          <w:rFonts w:ascii="Arial" w:hAnsi="Arial" w:cs="Arial"/>
          <w:sz w:val="24"/>
          <w:szCs w:val="24"/>
          <w:lang w:val="en-US"/>
        </w:rPr>
        <w:t>r</w:t>
      </w:r>
      <w:r w:rsidR="00FC1530">
        <w:rPr>
          <w:rFonts w:ascii="Arial" w:hAnsi="Arial" w:cs="Arial"/>
          <w:sz w:val="24"/>
          <w:szCs w:val="24"/>
          <w:lang w:val="en-US"/>
        </w:rPr>
        <w:t xml:space="preserve">espondent, </w:t>
      </w:r>
      <w:r w:rsidR="00482F5D">
        <w:rPr>
          <w:rFonts w:ascii="Arial" w:hAnsi="Arial" w:cs="Arial"/>
          <w:sz w:val="24"/>
          <w:szCs w:val="24"/>
          <w:lang w:val="en-US"/>
        </w:rPr>
        <w:t xml:space="preserve">which </w:t>
      </w:r>
      <w:r w:rsidR="00C1112D">
        <w:rPr>
          <w:rFonts w:ascii="Arial" w:hAnsi="Arial" w:cs="Arial"/>
          <w:sz w:val="24"/>
          <w:szCs w:val="24"/>
          <w:lang w:val="en-US"/>
        </w:rPr>
        <w:t xml:space="preserve">I will </w:t>
      </w:r>
      <w:r w:rsidR="00482F5D">
        <w:rPr>
          <w:rFonts w:ascii="Arial" w:hAnsi="Arial" w:cs="Arial"/>
          <w:sz w:val="24"/>
          <w:szCs w:val="24"/>
          <w:lang w:val="en-US"/>
        </w:rPr>
        <w:t xml:space="preserve">also </w:t>
      </w:r>
      <w:r w:rsidR="00C1112D">
        <w:rPr>
          <w:rFonts w:ascii="Arial" w:hAnsi="Arial" w:cs="Arial"/>
          <w:sz w:val="24"/>
          <w:szCs w:val="24"/>
          <w:lang w:val="en-US"/>
        </w:rPr>
        <w:t xml:space="preserve">refer to as </w:t>
      </w:r>
      <w:r w:rsidR="002F5CB0">
        <w:rPr>
          <w:rFonts w:ascii="Arial" w:hAnsi="Arial" w:cs="Arial"/>
          <w:sz w:val="24"/>
          <w:szCs w:val="24"/>
          <w:lang w:val="en-US"/>
        </w:rPr>
        <w:t>“</w:t>
      </w:r>
      <w:r w:rsidR="002F5CB0" w:rsidRPr="00F44054">
        <w:rPr>
          <w:rFonts w:ascii="Arial" w:hAnsi="Arial" w:cs="Arial"/>
          <w:b/>
          <w:bCs/>
          <w:sz w:val="24"/>
          <w:szCs w:val="24"/>
          <w:lang w:val="en-US"/>
        </w:rPr>
        <w:t>E</w:t>
      </w:r>
      <w:r w:rsidR="00AF595C">
        <w:rPr>
          <w:rFonts w:ascii="Arial" w:hAnsi="Arial" w:cs="Arial"/>
          <w:b/>
          <w:bCs/>
          <w:sz w:val="24"/>
          <w:szCs w:val="24"/>
          <w:lang w:val="en-US"/>
        </w:rPr>
        <w:t xml:space="preserve">OH </w:t>
      </w:r>
      <w:r w:rsidR="002F5CB0" w:rsidRPr="00F44054">
        <w:rPr>
          <w:rFonts w:ascii="Arial" w:hAnsi="Arial" w:cs="Arial"/>
          <w:b/>
          <w:bCs/>
          <w:sz w:val="24"/>
          <w:szCs w:val="24"/>
          <w:lang w:val="en-US"/>
        </w:rPr>
        <w:t>MS</w:t>
      </w:r>
      <w:r w:rsidR="002F5CB0">
        <w:rPr>
          <w:rFonts w:ascii="Arial" w:hAnsi="Arial" w:cs="Arial"/>
          <w:sz w:val="24"/>
          <w:szCs w:val="24"/>
          <w:lang w:val="en-US"/>
        </w:rPr>
        <w:t>”</w:t>
      </w:r>
      <w:r w:rsidR="00FC1530">
        <w:rPr>
          <w:rFonts w:ascii="Arial" w:hAnsi="Arial" w:cs="Arial"/>
          <w:sz w:val="24"/>
          <w:szCs w:val="24"/>
          <w:lang w:val="en-US"/>
        </w:rPr>
        <w:t xml:space="preserve">, </w:t>
      </w:r>
      <w:r w:rsidR="00323174" w:rsidRPr="00E87C68">
        <w:rPr>
          <w:rFonts w:ascii="Arial" w:hAnsi="Arial" w:cs="Arial"/>
          <w:sz w:val="24"/>
          <w:szCs w:val="24"/>
          <w:lang w:val="en-US"/>
        </w:rPr>
        <w:t>presented</w:t>
      </w:r>
      <w:r w:rsidR="00323174">
        <w:rPr>
          <w:rFonts w:ascii="Arial" w:hAnsi="Arial" w:cs="Arial"/>
          <w:sz w:val="24"/>
          <w:szCs w:val="24"/>
          <w:lang w:val="en-US"/>
        </w:rPr>
        <w:t xml:space="preserve"> </w:t>
      </w:r>
      <w:r w:rsidR="00FC1530">
        <w:rPr>
          <w:rFonts w:ascii="Arial" w:hAnsi="Arial" w:cs="Arial"/>
          <w:sz w:val="24"/>
          <w:szCs w:val="24"/>
          <w:lang w:val="en-US"/>
        </w:rPr>
        <w:t xml:space="preserve">a claim against </w:t>
      </w:r>
      <w:r w:rsidR="00482F5D">
        <w:rPr>
          <w:rFonts w:ascii="Arial" w:hAnsi="Arial" w:cs="Arial"/>
          <w:sz w:val="24"/>
          <w:szCs w:val="24"/>
          <w:lang w:val="en-US"/>
        </w:rPr>
        <w:t>Silver Touch</w:t>
      </w:r>
      <w:r w:rsidR="0002199D">
        <w:rPr>
          <w:rFonts w:ascii="Arial" w:hAnsi="Arial" w:cs="Arial"/>
          <w:sz w:val="24"/>
          <w:szCs w:val="24"/>
          <w:lang w:val="en-US"/>
        </w:rPr>
        <w:t xml:space="preserve"> supported by an affidavit deposed to by a </w:t>
      </w:r>
      <w:r w:rsidR="00E91F63">
        <w:rPr>
          <w:rFonts w:ascii="Arial" w:hAnsi="Arial" w:cs="Arial"/>
          <w:sz w:val="24"/>
          <w:szCs w:val="24"/>
          <w:lang w:val="en-US"/>
        </w:rPr>
        <w:t xml:space="preserve">legal advisor.  </w:t>
      </w:r>
      <w:r w:rsidR="00323174">
        <w:rPr>
          <w:rFonts w:ascii="Arial" w:hAnsi="Arial" w:cs="Arial"/>
          <w:sz w:val="24"/>
          <w:szCs w:val="24"/>
          <w:lang w:val="en-US"/>
        </w:rPr>
        <w:t xml:space="preserve"> </w:t>
      </w:r>
      <w:r w:rsidR="00E91F63">
        <w:rPr>
          <w:rFonts w:ascii="Arial" w:hAnsi="Arial" w:cs="Arial"/>
          <w:sz w:val="24"/>
          <w:szCs w:val="24"/>
          <w:lang w:val="en-US"/>
        </w:rPr>
        <w:t>The claim</w:t>
      </w:r>
      <w:r w:rsidR="00D53E2B">
        <w:rPr>
          <w:rFonts w:ascii="Arial" w:hAnsi="Arial" w:cs="Arial"/>
          <w:sz w:val="24"/>
          <w:szCs w:val="24"/>
          <w:lang w:val="en-US"/>
        </w:rPr>
        <w:t>, which</w:t>
      </w:r>
      <w:r w:rsidR="00FC1530">
        <w:rPr>
          <w:rFonts w:ascii="Arial" w:hAnsi="Arial" w:cs="Arial"/>
          <w:sz w:val="24"/>
          <w:szCs w:val="24"/>
          <w:lang w:val="en-US"/>
        </w:rPr>
        <w:t xml:space="preserve"> arose from a loan advanced to </w:t>
      </w:r>
      <w:r w:rsidR="00482F5D">
        <w:rPr>
          <w:rFonts w:ascii="Arial" w:hAnsi="Arial" w:cs="Arial"/>
          <w:sz w:val="24"/>
          <w:szCs w:val="24"/>
          <w:lang w:val="en-US"/>
        </w:rPr>
        <w:t xml:space="preserve">Silver Touch </w:t>
      </w:r>
      <w:r w:rsidR="00FC1530">
        <w:rPr>
          <w:rFonts w:ascii="Arial" w:hAnsi="Arial" w:cs="Arial"/>
          <w:sz w:val="24"/>
          <w:szCs w:val="24"/>
          <w:lang w:val="en-US"/>
        </w:rPr>
        <w:t xml:space="preserve">in circumstances that I refer to in more detail </w:t>
      </w:r>
      <w:r w:rsidR="000D2F4C">
        <w:rPr>
          <w:rFonts w:ascii="Arial" w:hAnsi="Arial" w:cs="Arial"/>
          <w:sz w:val="24"/>
          <w:szCs w:val="24"/>
          <w:lang w:val="en-US"/>
        </w:rPr>
        <w:t>later</w:t>
      </w:r>
      <w:r w:rsidR="00D53E2B" w:rsidRPr="00921D26">
        <w:rPr>
          <w:rFonts w:ascii="Arial" w:hAnsi="Arial" w:cs="Arial"/>
          <w:sz w:val="24"/>
          <w:szCs w:val="24"/>
          <w:lang w:val="en-US"/>
        </w:rPr>
        <w:t>,</w:t>
      </w:r>
      <w:r w:rsidR="00FC1530" w:rsidRPr="00921D26">
        <w:rPr>
          <w:rFonts w:ascii="Arial" w:hAnsi="Arial" w:cs="Arial"/>
          <w:sz w:val="24"/>
          <w:szCs w:val="24"/>
          <w:lang w:val="en-US"/>
        </w:rPr>
        <w:t xml:space="preserve"> </w:t>
      </w:r>
      <w:r w:rsidR="00D53E2B" w:rsidRPr="00921D26">
        <w:rPr>
          <w:rFonts w:ascii="Arial" w:hAnsi="Arial" w:cs="Arial"/>
          <w:sz w:val="24"/>
          <w:szCs w:val="24"/>
          <w:lang w:val="en-US"/>
        </w:rPr>
        <w:t>was allowed by the tenth respondent.</w:t>
      </w:r>
    </w:p>
    <w:p w14:paraId="54DFDC18" w14:textId="371CA575" w:rsidR="00FC1530" w:rsidRDefault="00165222" w:rsidP="00165222">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FC1530">
        <w:rPr>
          <w:rFonts w:ascii="Arial" w:hAnsi="Arial" w:cs="Arial"/>
          <w:sz w:val="24"/>
          <w:szCs w:val="24"/>
          <w:lang w:val="en-US"/>
        </w:rPr>
        <w:t xml:space="preserve">In December 2020 </w:t>
      </w:r>
      <w:r w:rsidR="00482F5D">
        <w:rPr>
          <w:rFonts w:ascii="Arial" w:hAnsi="Arial" w:cs="Arial"/>
          <w:sz w:val="24"/>
          <w:szCs w:val="24"/>
          <w:lang w:val="en-US"/>
        </w:rPr>
        <w:t>the first respondent</w:t>
      </w:r>
      <w:r w:rsidR="00FC1530">
        <w:rPr>
          <w:rFonts w:ascii="Arial" w:hAnsi="Arial" w:cs="Arial"/>
          <w:sz w:val="24"/>
          <w:szCs w:val="24"/>
          <w:lang w:val="en-US"/>
        </w:rPr>
        <w:t xml:space="preserve"> brought an application to convert the voluntary winding</w:t>
      </w:r>
      <w:r w:rsidR="00D53E2B">
        <w:rPr>
          <w:rFonts w:ascii="Arial" w:hAnsi="Arial" w:cs="Arial"/>
          <w:sz w:val="24"/>
          <w:szCs w:val="24"/>
          <w:lang w:val="en-US"/>
        </w:rPr>
        <w:t>-</w:t>
      </w:r>
      <w:r w:rsidR="00FC1530">
        <w:rPr>
          <w:rFonts w:ascii="Arial" w:hAnsi="Arial" w:cs="Arial"/>
          <w:sz w:val="24"/>
          <w:szCs w:val="24"/>
          <w:lang w:val="en-US"/>
        </w:rPr>
        <w:t>up of Silver Touch into a compulsory winding</w:t>
      </w:r>
      <w:r w:rsidR="00D53E2B">
        <w:rPr>
          <w:rFonts w:ascii="Arial" w:hAnsi="Arial" w:cs="Arial"/>
          <w:sz w:val="24"/>
          <w:szCs w:val="24"/>
          <w:lang w:val="en-US"/>
        </w:rPr>
        <w:t>-</w:t>
      </w:r>
      <w:r w:rsidR="00FC1530">
        <w:rPr>
          <w:rFonts w:ascii="Arial" w:hAnsi="Arial" w:cs="Arial"/>
          <w:sz w:val="24"/>
          <w:szCs w:val="24"/>
          <w:lang w:val="en-US"/>
        </w:rPr>
        <w:t xml:space="preserve">up.  The </w:t>
      </w:r>
      <w:r w:rsidR="00741410">
        <w:rPr>
          <w:rFonts w:ascii="Arial" w:hAnsi="Arial" w:cs="Arial"/>
          <w:sz w:val="24"/>
          <w:szCs w:val="24"/>
          <w:lang w:val="en-US"/>
        </w:rPr>
        <w:t>a</w:t>
      </w:r>
      <w:r w:rsidR="00FC1530">
        <w:rPr>
          <w:rFonts w:ascii="Arial" w:hAnsi="Arial" w:cs="Arial"/>
          <w:sz w:val="24"/>
          <w:szCs w:val="24"/>
          <w:lang w:val="en-US"/>
        </w:rPr>
        <w:t xml:space="preserve">pplicant applied to intervene in that application and his application to intervene and the application itself were heard on 2 February 2021.  </w:t>
      </w:r>
    </w:p>
    <w:p w14:paraId="2B0B787C" w14:textId="5C52A6CB" w:rsidR="00FC1530" w:rsidRDefault="00165222" w:rsidP="00165222">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FC1530">
        <w:rPr>
          <w:rFonts w:ascii="Arial" w:hAnsi="Arial" w:cs="Arial"/>
          <w:sz w:val="24"/>
          <w:szCs w:val="24"/>
          <w:lang w:val="en-US"/>
        </w:rPr>
        <w:t xml:space="preserve">Judgment in that application was handed down on 30 March 2021.  The </w:t>
      </w:r>
      <w:r w:rsidR="00741410">
        <w:rPr>
          <w:rFonts w:ascii="Arial" w:hAnsi="Arial" w:cs="Arial"/>
          <w:sz w:val="24"/>
          <w:szCs w:val="24"/>
          <w:lang w:val="en-US"/>
        </w:rPr>
        <w:t>a</w:t>
      </w:r>
      <w:r w:rsidR="00FC1530">
        <w:rPr>
          <w:rFonts w:ascii="Arial" w:hAnsi="Arial" w:cs="Arial"/>
          <w:sz w:val="24"/>
          <w:szCs w:val="24"/>
          <w:lang w:val="en-US"/>
        </w:rPr>
        <w:t xml:space="preserve">pplicant’s application to intervene was dismissed and </w:t>
      </w:r>
      <w:r w:rsidR="000D2F4C">
        <w:rPr>
          <w:rFonts w:ascii="Arial" w:hAnsi="Arial" w:cs="Arial"/>
          <w:sz w:val="24"/>
          <w:szCs w:val="24"/>
          <w:lang w:val="en-US"/>
        </w:rPr>
        <w:t>the court</w:t>
      </w:r>
      <w:r w:rsidR="00FC1530">
        <w:rPr>
          <w:rFonts w:ascii="Arial" w:hAnsi="Arial" w:cs="Arial"/>
          <w:sz w:val="24"/>
          <w:szCs w:val="24"/>
          <w:lang w:val="en-US"/>
        </w:rPr>
        <w:t xml:space="preserve"> granted </w:t>
      </w:r>
      <w:r w:rsidR="000D2F4C">
        <w:rPr>
          <w:rFonts w:ascii="Arial" w:hAnsi="Arial" w:cs="Arial"/>
          <w:sz w:val="24"/>
          <w:szCs w:val="24"/>
          <w:lang w:val="en-US"/>
        </w:rPr>
        <w:t xml:space="preserve">an order </w:t>
      </w:r>
      <w:r w:rsidR="00FC1530">
        <w:rPr>
          <w:rFonts w:ascii="Arial" w:hAnsi="Arial" w:cs="Arial"/>
          <w:sz w:val="24"/>
          <w:szCs w:val="24"/>
          <w:lang w:val="en-US"/>
        </w:rPr>
        <w:t xml:space="preserve">converting </w:t>
      </w:r>
      <w:r w:rsidR="00741410">
        <w:rPr>
          <w:rFonts w:ascii="Arial" w:hAnsi="Arial" w:cs="Arial"/>
          <w:sz w:val="24"/>
          <w:szCs w:val="24"/>
          <w:lang w:val="en-US"/>
        </w:rPr>
        <w:t xml:space="preserve">the </w:t>
      </w:r>
      <w:r w:rsidR="00FC1530">
        <w:rPr>
          <w:rFonts w:ascii="Arial" w:hAnsi="Arial" w:cs="Arial"/>
          <w:sz w:val="24"/>
          <w:szCs w:val="24"/>
          <w:lang w:val="en-US"/>
        </w:rPr>
        <w:t>voluntary winding</w:t>
      </w:r>
      <w:r w:rsidR="000D2F4C">
        <w:rPr>
          <w:rFonts w:ascii="Arial" w:hAnsi="Arial" w:cs="Arial"/>
          <w:sz w:val="24"/>
          <w:szCs w:val="24"/>
          <w:lang w:val="en-US"/>
        </w:rPr>
        <w:t>-</w:t>
      </w:r>
      <w:r w:rsidR="00FC1530">
        <w:rPr>
          <w:rFonts w:ascii="Arial" w:hAnsi="Arial" w:cs="Arial"/>
          <w:sz w:val="24"/>
          <w:szCs w:val="24"/>
          <w:lang w:val="en-US"/>
        </w:rPr>
        <w:t>up of Silver Touch into a compulsory winding</w:t>
      </w:r>
      <w:r w:rsidR="000D2F4C">
        <w:rPr>
          <w:rFonts w:ascii="Arial" w:hAnsi="Arial" w:cs="Arial"/>
          <w:sz w:val="24"/>
          <w:szCs w:val="24"/>
          <w:lang w:val="en-US"/>
        </w:rPr>
        <w:t>-</w:t>
      </w:r>
      <w:r w:rsidR="00FC1530">
        <w:rPr>
          <w:rFonts w:ascii="Arial" w:hAnsi="Arial" w:cs="Arial"/>
          <w:sz w:val="24"/>
          <w:szCs w:val="24"/>
          <w:lang w:val="en-US"/>
        </w:rPr>
        <w:t>up and convening an enquiry in</w:t>
      </w:r>
      <w:r w:rsidR="00B22CDE">
        <w:rPr>
          <w:rFonts w:ascii="Arial" w:hAnsi="Arial" w:cs="Arial"/>
          <w:sz w:val="24"/>
          <w:szCs w:val="24"/>
          <w:lang w:val="en-US"/>
        </w:rPr>
        <w:t xml:space="preserve">to the affairs of Silver Touch </w:t>
      </w:r>
      <w:r w:rsidR="00435CFC">
        <w:rPr>
          <w:rFonts w:ascii="Arial" w:hAnsi="Arial" w:cs="Arial"/>
          <w:sz w:val="24"/>
          <w:szCs w:val="24"/>
          <w:lang w:val="en-US"/>
        </w:rPr>
        <w:t xml:space="preserve">in terms </w:t>
      </w:r>
      <w:r w:rsidR="00FC1530">
        <w:rPr>
          <w:rFonts w:ascii="Arial" w:hAnsi="Arial" w:cs="Arial"/>
          <w:sz w:val="24"/>
          <w:szCs w:val="24"/>
          <w:lang w:val="en-US"/>
        </w:rPr>
        <w:t>of section</w:t>
      </w:r>
      <w:r w:rsidR="00435CFC">
        <w:rPr>
          <w:rFonts w:ascii="Arial" w:hAnsi="Arial" w:cs="Arial"/>
          <w:sz w:val="24"/>
          <w:szCs w:val="24"/>
          <w:lang w:val="en-US"/>
        </w:rPr>
        <w:t>s</w:t>
      </w:r>
      <w:r w:rsidR="00FC1530">
        <w:rPr>
          <w:rFonts w:ascii="Arial" w:hAnsi="Arial" w:cs="Arial"/>
          <w:sz w:val="24"/>
          <w:szCs w:val="24"/>
          <w:lang w:val="en-US"/>
        </w:rPr>
        <w:t xml:space="preserve"> 417 and 418 of the Companies Act.  </w:t>
      </w:r>
    </w:p>
    <w:p w14:paraId="6AD8A660" w14:textId="2D52097A" w:rsidR="00E67041" w:rsidRDefault="00165222" w:rsidP="00165222">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FC1530">
        <w:rPr>
          <w:rFonts w:ascii="Arial" w:hAnsi="Arial" w:cs="Arial"/>
          <w:sz w:val="24"/>
          <w:szCs w:val="24"/>
          <w:lang w:val="en-US"/>
        </w:rPr>
        <w:t xml:space="preserve">The </w:t>
      </w:r>
      <w:r w:rsidR="00435CFC">
        <w:rPr>
          <w:rFonts w:ascii="Arial" w:hAnsi="Arial" w:cs="Arial"/>
          <w:sz w:val="24"/>
          <w:szCs w:val="24"/>
          <w:lang w:val="en-US"/>
        </w:rPr>
        <w:t>a</w:t>
      </w:r>
      <w:r w:rsidR="00FC1530">
        <w:rPr>
          <w:rFonts w:ascii="Arial" w:hAnsi="Arial" w:cs="Arial"/>
          <w:sz w:val="24"/>
          <w:szCs w:val="24"/>
          <w:lang w:val="en-US"/>
        </w:rPr>
        <w:t xml:space="preserve">pplicant applied for leave to appeal against that judgment but did nothing to progress </w:t>
      </w:r>
      <w:r w:rsidR="00435CFC">
        <w:rPr>
          <w:rFonts w:ascii="Arial" w:hAnsi="Arial" w:cs="Arial"/>
          <w:sz w:val="24"/>
          <w:szCs w:val="24"/>
          <w:lang w:val="en-US"/>
        </w:rPr>
        <w:t>the application.  In</w:t>
      </w:r>
      <w:r w:rsidR="00FC1530">
        <w:rPr>
          <w:rFonts w:ascii="Arial" w:hAnsi="Arial" w:cs="Arial"/>
          <w:sz w:val="24"/>
          <w:szCs w:val="24"/>
          <w:lang w:val="en-US"/>
        </w:rPr>
        <w:t xml:space="preserve"> the course of the hearing before me</w:t>
      </w:r>
      <w:r w:rsidR="00E67041">
        <w:rPr>
          <w:rFonts w:ascii="Arial" w:hAnsi="Arial" w:cs="Arial"/>
          <w:sz w:val="24"/>
          <w:szCs w:val="24"/>
          <w:lang w:val="en-US"/>
        </w:rPr>
        <w:t xml:space="preserve"> Mr Cook, who appeared </w:t>
      </w:r>
      <w:r w:rsidR="000D2F4C">
        <w:rPr>
          <w:rFonts w:ascii="Arial" w:hAnsi="Arial" w:cs="Arial"/>
          <w:sz w:val="24"/>
          <w:szCs w:val="24"/>
          <w:lang w:val="en-US"/>
        </w:rPr>
        <w:t>for</w:t>
      </w:r>
      <w:r w:rsidR="00E67041">
        <w:rPr>
          <w:rFonts w:ascii="Arial" w:hAnsi="Arial" w:cs="Arial"/>
          <w:sz w:val="24"/>
          <w:szCs w:val="24"/>
          <w:lang w:val="en-US"/>
        </w:rPr>
        <w:t xml:space="preserve"> the applicant, informed the court that the applicant </w:t>
      </w:r>
      <w:r w:rsidR="000D2F4C">
        <w:rPr>
          <w:rFonts w:ascii="Arial" w:hAnsi="Arial" w:cs="Arial"/>
          <w:sz w:val="24"/>
          <w:szCs w:val="24"/>
          <w:lang w:val="en-US"/>
        </w:rPr>
        <w:t xml:space="preserve">had now </w:t>
      </w:r>
      <w:r w:rsidR="00E67041">
        <w:rPr>
          <w:rFonts w:ascii="Arial" w:hAnsi="Arial" w:cs="Arial"/>
          <w:sz w:val="24"/>
          <w:szCs w:val="24"/>
          <w:lang w:val="en-US"/>
        </w:rPr>
        <w:t>withdr</w:t>
      </w:r>
      <w:r w:rsidR="000D2F4C">
        <w:rPr>
          <w:rFonts w:ascii="Arial" w:hAnsi="Arial" w:cs="Arial"/>
          <w:sz w:val="24"/>
          <w:szCs w:val="24"/>
          <w:lang w:val="en-US"/>
        </w:rPr>
        <w:t>awn</w:t>
      </w:r>
      <w:r w:rsidR="00E67041">
        <w:rPr>
          <w:rFonts w:ascii="Arial" w:hAnsi="Arial" w:cs="Arial"/>
          <w:sz w:val="24"/>
          <w:szCs w:val="24"/>
          <w:lang w:val="en-US"/>
        </w:rPr>
        <w:t xml:space="preserve"> </w:t>
      </w:r>
      <w:r w:rsidR="00FC1530">
        <w:rPr>
          <w:rFonts w:ascii="Arial" w:hAnsi="Arial" w:cs="Arial"/>
          <w:sz w:val="24"/>
          <w:szCs w:val="24"/>
          <w:lang w:val="en-US"/>
        </w:rPr>
        <w:t xml:space="preserve">the application for leave to appeal.  </w:t>
      </w:r>
    </w:p>
    <w:p w14:paraId="18BF159C" w14:textId="45C111B4" w:rsidR="00C44251" w:rsidRDefault="00C8762A" w:rsidP="00C8762A">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FE7D6F">
        <w:rPr>
          <w:rFonts w:ascii="Arial" w:hAnsi="Arial" w:cs="Arial"/>
          <w:sz w:val="24"/>
          <w:szCs w:val="24"/>
          <w:lang w:val="en-US"/>
        </w:rPr>
        <w:t xml:space="preserve">In </w:t>
      </w:r>
      <w:r w:rsidR="002836A8">
        <w:rPr>
          <w:rFonts w:ascii="Arial" w:hAnsi="Arial" w:cs="Arial"/>
          <w:sz w:val="24"/>
          <w:szCs w:val="24"/>
          <w:lang w:val="en-US"/>
        </w:rPr>
        <w:t xml:space="preserve">April 2021 the applicant </w:t>
      </w:r>
      <w:r w:rsidR="00FC1530">
        <w:rPr>
          <w:rFonts w:ascii="Arial" w:hAnsi="Arial" w:cs="Arial"/>
          <w:sz w:val="24"/>
          <w:szCs w:val="24"/>
          <w:lang w:val="en-US"/>
        </w:rPr>
        <w:t xml:space="preserve">instituted the present </w:t>
      </w:r>
      <w:r w:rsidR="002836A8">
        <w:rPr>
          <w:rFonts w:ascii="Arial" w:hAnsi="Arial" w:cs="Arial"/>
          <w:sz w:val="24"/>
          <w:szCs w:val="24"/>
          <w:lang w:val="en-US"/>
        </w:rPr>
        <w:t>application</w:t>
      </w:r>
      <w:r w:rsidR="00FC1530">
        <w:rPr>
          <w:rFonts w:ascii="Arial" w:hAnsi="Arial" w:cs="Arial"/>
          <w:sz w:val="24"/>
          <w:szCs w:val="24"/>
          <w:lang w:val="en-US"/>
        </w:rPr>
        <w:t xml:space="preserve">.  He </w:t>
      </w:r>
      <w:r w:rsidR="000466F4">
        <w:rPr>
          <w:rFonts w:ascii="Arial" w:hAnsi="Arial" w:cs="Arial"/>
          <w:sz w:val="24"/>
          <w:szCs w:val="24"/>
          <w:lang w:val="en-US"/>
        </w:rPr>
        <w:t>attempted</w:t>
      </w:r>
      <w:r w:rsidR="002836A8">
        <w:rPr>
          <w:rFonts w:ascii="Arial" w:hAnsi="Arial" w:cs="Arial"/>
          <w:sz w:val="24"/>
          <w:szCs w:val="24"/>
          <w:lang w:val="en-US"/>
        </w:rPr>
        <w:t xml:space="preserve"> </w:t>
      </w:r>
      <w:r w:rsidR="00FC1530">
        <w:rPr>
          <w:rFonts w:ascii="Arial" w:hAnsi="Arial" w:cs="Arial"/>
          <w:sz w:val="24"/>
          <w:szCs w:val="24"/>
          <w:lang w:val="en-US"/>
        </w:rPr>
        <w:t>by way of urgent application in part A to interdict the section 417 enquiry pending the determination of this application</w:t>
      </w:r>
      <w:r w:rsidR="00C44251">
        <w:rPr>
          <w:rFonts w:ascii="Arial" w:hAnsi="Arial" w:cs="Arial"/>
          <w:sz w:val="24"/>
          <w:szCs w:val="24"/>
          <w:lang w:val="en-US"/>
        </w:rPr>
        <w:t xml:space="preserve">, but </w:t>
      </w:r>
      <w:r w:rsidR="00FC1530">
        <w:rPr>
          <w:rFonts w:ascii="Arial" w:hAnsi="Arial" w:cs="Arial"/>
          <w:sz w:val="24"/>
          <w:szCs w:val="24"/>
          <w:lang w:val="en-US"/>
        </w:rPr>
        <w:t xml:space="preserve">that effort was unsuccessful.  </w:t>
      </w:r>
    </w:p>
    <w:p w14:paraId="7219F8DF" w14:textId="0637CB46" w:rsidR="00FC1530" w:rsidRDefault="00C8762A" w:rsidP="00C8762A">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6E5E19">
        <w:rPr>
          <w:rFonts w:ascii="Arial" w:hAnsi="Arial" w:cs="Arial"/>
          <w:sz w:val="24"/>
          <w:szCs w:val="24"/>
          <w:lang w:val="en-US"/>
        </w:rPr>
        <w:t xml:space="preserve">What came before me </w:t>
      </w:r>
      <w:r w:rsidR="00C647A9">
        <w:rPr>
          <w:rFonts w:ascii="Arial" w:hAnsi="Arial" w:cs="Arial"/>
          <w:sz w:val="24"/>
          <w:szCs w:val="24"/>
          <w:lang w:val="en-US"/>
        </w:rPr>
        <w:t xml:space="preserve">was </w:t>
      </w:r>
      <w:r w:rsidR="006E5E19">
        <w:rPr>
          <w:rFonts w:ascii="Arial" w:hAnsi="Arial" w:cs="Arial"/>
          <w:sz w:val="24"/>
          <w:szCs w:val="24"/>
          <w:lang w:val="en-US"/>
        </w:rPr>
        <w:t xml:space="preserve">part B of the application.  </w:t>
      </w:r>
      <w:r w:rsidR="00FC1530">
        <w:rPr>
          <w:rFonts w:ascii="Arial" w:hAnsi="Arial" w:cs="Arial"/>
          <w:sz w:val="24"/>
          <w:szCs w:val="24"/>
          <w:lang w:val="en-US"/>
        </w:rPr>
        <w:t>The issue</w:t>
      </w:r>
      <w:r w:rsidR="004843B4">
        <w:rPr>
          <w:rFonts w:ascii="Arial" w:hAnsi="Arial" w:cs="Arial"/>
          <w:sz w:val="24"/>
          <w:szCs w:val="24"/>
          <w:lang w:val="en-US"/>
        </w:rPr>
        <w:t>s</w:t>
      </w:r>
      <w:r w:rsidR="00FC1530">
        <w:rPr>
          <w:rFonts w:ascii="Arial" w:hAnsi="Arial" w:cs="Arial"/>
          <w:sz w:val="24"/>
          <w:szCs w:val="24"/>
          <w:lang w:val="en-US"/>
        </w:rPr>
        <w:t xml:space="preserve"> </w:t>
      </w:r>
      <w:r w:rsidR="006E5E19">
        <w:rPr>
          <w:rFonts w:ascii="Arial" w:hAnsi="Arial" w:cs="Arial"/>
          <w:sz w:val="24"/>
          <w:szCs w:val="24"/>
          <w:lang w:val="en-US"/>
        </w:rPr>
        <w:t xml:space="preserve">in part B </w:t>
      </w:r>
      <w:r w:rsidR="004843B4">
        <w:rPr>
          <w:rFonts w:ascii="Arial" w:hAnsi="Arial" w:cs="Arial"/>
          <w:sz w:val="24"/>
          <w:szCs w:val="24"/>
          <w:lang w:val="en-US"/>
        </w:rPr>
        <w:t>are</w:t>
      </w:r>
      <w:r w:rsidR="004405A7">
        <w:rPr>
          <w:rFonts w:ascii="Arial" w:hAnsi="Arial" w:cs="Arial"/>
          <w:sz w:val="24"/>
          <w:szCs w:val="24"/>
          <w:lang w:val="en-US"/>
        </w:rPr>
        <w:t xml:space="preserve"> </w:t>
      </w:r>
      <w:r w:rsidR="006E5E19">
        <w:rPr>
          <w:rFonts w:ascii="Arial" w:hAnsi="Arial" w:cs="Arial"/>
          <w:sz w:val="24"/>
          <w:szCs w:val="24"/>
          <w:lang w:val="en-US"/>
        </w:rPr>
        <w:t xml:space="preserve">essentially </w:t>
      </w:r>
      <w:r w:rsidR="004405A7">
        <w:rPr>
          <w:rFonts w:ascii="Arial" w:hAnsi="Arial" w:cs="Arial"/>
          <w:sz w:val="24"/>
          <w:szCs w:val="24"/>
          <w:lang w:val="en-US"/>
        </w:rPr>
        <w:t>these:</w:t>
      </w:r>
      <w:r w:rsidR="00C44251">
        <w:rPr>
          <w:rFonts w:ascii="Arial" w:hAnsi="Arial" w:cs="Arial"/>
          <w:sz w:val="24"/>
          <w:szCs w:val="24"/>
          <w:lang w:val="en-US"/>
        </w:rPr>
        <w:t xml:space="preserve"> </w:t>
      </w:r>
      <w:r w:rsidR="007A0F69">
        <w:rPr>
          <w:rFonts w:ascii="Arial" w:hAnsi="Arial" w:cs="Arial"/>
          <w:sz w:val="24"/>
          <w:szCs w:val="24"/>
          <w:lang w:val="en-US"/>
        </w:rPr>
        <w:t>first</w:t>
      </w:r>
      <w:r w:rsidR="004405A7">
        <w:rPr>
          <w:rFonts w:ascii="Arial" w:hAnsi="Arial" w:cs="Arial"/>
          <w:sz w:val="24"/>
          <w:szCs w:val="24"/>
          <w:lang w:val="en-US"/>
        </w:rPr>
        <w:t>,</w:t>
      </w:r>
      <w:r w:rsidR="004843B4">
        <w:rPr>
          <w:rFonts w:ascii="Arial" w:hAnsi="Arial" w:cs="Arial"/>
          <w:sz w:val="24"/>
          <w:szCs w:val="24"/>
          <w:lang w:val="en-US"/>
        </w:rPr>
        <w:t xml:space="preserve"> </w:t>
      </w:r>
      <w:r w:rsidR="006E5E19">
        <w:rPr>
          <w:rFonts w:ascii="Arial" w:hAnsi="Arial" w:cs="Arial"/>
          <w:sz w:val="24"/>
          <w:szCs w:val="24"/>
          <w:lang w:val="en-US"/>
        </w:rPr>
        <w:t xml:space="preserve">whether there are grounds </w:t>
      </w:r>
      <w:r w:rsidR="00BD0CBE">
        <w:rPr>
          <w:rFonts w:ascii="Arial" w:hAnsi="Arial" w:cs="Arial"/>
          <w:sz w:val="24"/>
          <w:szCs w:val="24"/>
          <w:lang w:val="en-US"/>
        </w:rPr>
        <w:t xml:space="preserve">under the provisions of section 354 of the Companies Act </w:t>
      </w:r>
      <w:r w:rsidR="006E5E19">
        <w:rPr>
          <w:rFonts w:ascii="Arial" w:hAnsi="Arial" w:cs="Arial"/>
          <w:sz w:val="24"/>
          <w:szCs w:val="24"/>
          <w:lang w:val="en-US"/>
        </w:rPr>
        <w:t xml:space="preserve">to set aside the order </w:t>
      </w:r>
      <w:r w:rsidR="00BD0CBE">
        <w:rPr>
          <w:rFonts w:ascii="Arial" w:hAnsi="Arial" w:cs="Arial"/>
          <w:sz w:val="24"/>
          <w:szCs w:val="24"/>
          <w:lang w:val="en-US"/>
        </w:rPr>
        <w:t xml:space="preserve">of this court </w:t>
      </w:r>
      <w:r w:rsidR="006E5E19">
        <w:rPr>
          <w:rFonts w:ascii="Arial" w:hAnsi="Arial" w:cs="Arial"/>
          <w:sz w:val="24"/>
          <w:szCs w:val="24"/>
          <w:lang w:val="en-US"/>
        </w:rPr>
        <w:t>granting the compulsory winding</w:t>
      </w:r>
      <w:r w:rsidR="005208A6">
        <w:rPr>
          <w:rFonts w:ascii="Arial" w:hAnsi="Arial" w:cs="Arial"/>
          <w:sz w:val="24"/>
          <w:szCs w:val="24"/>
          <w:lang w:val="en-US"/>
        </w:rPr>
        <w:t>-</w:t>
      </w:r>
      <w:r w:rsidR="006E5E19">
        <w:rPr>
          <w:rFonts w:ascii="Arial" w:hAnsi="Arial" w:cs="Arial"/>
          <w:sz w:val="24"/>
          <w:szCs w:val="24"/>
          <w:lang w:val="en-US"/>
        </w:rPr>
        <w:t xml:space="preserve">up of Silver Touch, or in the alternative to rescind that order; </w:t>
      </w:r>
      <w:r w:rsidR="00FC1530">
        <w:rPr>
          <w:rFonts w:ascii="Arial" w:hAnsi="Arial" w:cs="Arial"/>
          <w:sz w:val="24"/>
          <w:szCs w:val="24"/>
          <w:lang w:val="en-US"/>
        </w:rPr>
        <w:t>and second</w:t>
      </w:r>
      <w:r w:rsidR="004405A7">
        <w:rPr>
          <w:rFonts w:ascii="Arial" w:hAnsi="Arial" w:cs="Arial"/>
          <w:sz w:val="24"/>
          <w:szCs w:val="24"/>
          <w:lang w:val="en-US"/>
        </w:rPr>
        <w:t>,</w:t>
      </w:r>
      <w:r w:rsidR="007A0F69">
        <w:rPr>
          <w:rFonts w:ascii="Arial" w:hAnsi="Arial" w:cs="Arial"/>
          <w:sz w:val="24"/>
          <w:szCs w:val="24"/>
          <w:lang w:val="en-US"/>
        </w:rPr>
        <w:t xml:space="preserve"> </w:t>
      </w:r>
      <w:r w:rsidR="006E5E19">
        <w:rPr>
          <w:rFonts w:ascii="Arial" w:hAnsi="Arial" w:cs="Arial"/>
          <w:sz w:val="24"/>
          <w:szCs w:val="24"/>
          <w:lang w:val="en-US"/>
        </w:rPr>
        <w:t>whether there are grounds under the provisions of section 151 of the Insolvency Act to review and set aside the decision of the tenth respondent</w:t>
      </w:r>
      <w:r w:rsidR="00CE2191" w:rsidRPr="00CE2191">
        <w:rPr>
          <w:rStyle w:val="FootnoteReference"/>
          <w:rFonts w:ascii="Arial" w:hAnsi="Arial" w:cs="Arial"/>
          <w:sz w:val="24"/>
          <w:szCs w:val="24"/>
          <w:lang w:val="en-US"/>
        </w:rPr>
        <w:footnoteReference w:id="1"/>
      </w:r>
      <w:r w:rsidR="006E5E19" w:rsidRPr="00CE2191">
        <w:rPr>
          <w:rFonts w:ascii="Arial" w:hAnsi="Arial" w:cs="Arial"/>
          <w:sz w:val="24"/>
          <w:szCs w:val="24"/>
          <w:lang w:val="en-US"/>
        </w:rPr>
        <w:t xml:space="preserve"> </w:t>
      </w:r>
      <w:r w:rsidR="006E5E19">
        <w:rPr>
          <w:rFonts w:ascii="Arial" w:hAnsi="Arial" w:cs="Arial"/>
          <w:sz w:val="24"/>
          <w:szCs w:val="24"/>
          <w:lang w:val="en-US"/>
        </w:rPr>
        <w:t>to allow the first respondent’s claim against Silver Touch at the first meeting of creditors</w:t>
      </w:r>
      <w:r w:rsidR="00C95676">
        <w:rPr>
          <w:rFonts w:ascii="Arial" w:hAnsi="Arial" w:cs="Arial"/>
          <w:sz w:val="24"/>
          <w:szCs w:val="24"/>
          <w:lang w:val="en-US"/>
        </w:rPr>
        <w:t xml:space="preserve">.  </w:t>
      </w:r>
      <w:r w:rsidR="001E5101">
        <w:rPr>
          <w:rFonts w:ascii="Arial" w:hAnsi="Arial" w:cs="Arial"/>
          <w:sz w:val="24"/>
          <w:szCs w:val="24"/>
          <w:lang w:val="en-US"/>
        </w:rPr>
        <w:t xml:space="preserve">The ancillary relief </w:t>
      </w:r>
      <w:r w:rsidR="00C95676">
        <w:rPr>
          <w:rFonts w:ascii="Arial" w:hAnsi="Arial" w:cs="Arial"/>
          <w:sz w:val="24"/>
          <w:szCs w:val="24"/>
          <w:lang w:val="en-US"/>
        </w:rPr>
        <w:t xml:space="preserve">that the applicant seeks </w:t>
      </w:r>
      <w:r w:rsidR="001E5101">
        <w:rPr>
          <w:rFonts w:ascii="Arial" w:hAnsi="Arial" w:cs="Arial"/>
          <w:sz w:val="24"/>
          <w:szCs w:val="24"/>
          <w:lang w:val="en-US"/>
        </w:rPr>
        <w:t xml:space="preserve">depends on the conclusion that I reach on those </w:t>
      </w:r>
      <w:r w:rsidR="00C95676">
        <w:rPr>
          <w:rFonts w:ascii="Arial" w:hAnsi="Arial" w:cs="Arial"/>
          <w:sz w:val="24"/>
          <w:szCs w:val="24"/>
          <w:lang w:val="en-US"/>
        </w:rPr>
        <w:t xml:space="preserve">primary </w:t>
      </w:r>
      <w:r w:rsidR="001E5101">
        <w:rPr>
          <w:rFonts w:ascii="Arial" w:hAnsi="Arial" w:cs="Arial"/>
          <w:sz w:val="24"/>
          <w:szCs w:val="24"/>
          <w:lang w:val="en-US"/>
        </w:rPr>
        <w:t>questions</w:t>
      </w:r>
      <w:r w:rsidR="00833E32">
        <w:rPr>
          <w:rFonts w:ascii="Arial" w:hAnsi="Arial" w:cs="Arial"/>
          <w:sz w:val="24"/>
          <w:szCs w:val="24"/>
          <w:lang w:val="en-US"/>
        </w:rPr>
        <w:t>.</w:t>
      </w:r>
      <w:r w:rsidR="00FC1530">
        <w:rPr>
          <w:rFonts w:ascii="Arial" w:hAnsi="Arial" w:cs="Arial"/>
          <w:sz w:val="24"/>
          <w:szCs w:val="24"/>
          <w:lang w:val="en-US"/>
        </w:rPr>
        <w:t xml:space="preserve"> </w:t>
      </w:r>
    </w:p>
    <w:p w14:paraId="2DB3FCDA" w14:textId="606BE7FE" w:rsidR="00E4203A" w:rsidRDefault="00C8762A" w:rsidP="00C8762A">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FC1530">
        <w:rPr>
          <w:rFonts w:ascii="Arial" w:hAnsi="Arial" w:cs="Arial"/>
          <w:sz w:val="24"/>
          <w:szCs w:val="24"/>
          <w:lang w:val="en-US"/>
        </w:rPr>
        <w:t xml:space="preserve">The </w:t>
      </w:r>
      <w:r w:rsidR="00CB0920">
        <w:rPr>
          <w:rFonts w:ascii="Arial" w:hAnsi="Arial" w:cs="Arial"/>
          <w:sz w:val="24"/>
          <w:szCs w:val="24"/>
          <w:lang w:val="en-US"/>
        </w:rPr>
        <w:t xml:space="preserve">facts on which the applicant relies in attacking each of these </w:t>
      </w:r>
      <w:r w:rsidR="00FC1530">
        <w:rPr>
          <w:rFonts w:ascii="Arial" w:hAnsi="Arial" w:cs="Arial"/>
          <w:sz w:val="24"/>
          <w:szCs w:val="24"/>
          <w:lang w:val="en-US"/>
        </w:rPr>
        <w:t xml:space="preserve">decisions </w:t>
      </w:r>
      <w:r w:rsidR="00F24502">
        <w:rPr>
          <w:rFonts w:ascii="Arial" w:hAnsi="Arial" w:cs="Arial"/>
          <w:sz w:val="24"/>
          <w:szCs w:val="24"/>
          <w:lang w:val="en-US"/>
        </w:rPr>
        <w:t xml:space="preserve">are </w:t>
      </w:r>
      <w:r w:rsidR="00FC1530">
        <w:rPr>
          <w:rFonts w:ascii="Arial" w:hAnsi="Arial" w:cs="Arial"/>
          <w:sz w:val="24"/>
          <w:szCs w:val="24"/>
          <w:lang w:val="en-US"/>
        </w:rPr>
        <w:t>essentially the same</w:t>
      </w:r>
      <w:r w:rsidR="00F24502">
        <w:rPr>
          <w:rFonts w:ascii="Arial" w:hAnsi="Arial" w:cs="Arial"/>
          <w:sz w:val="24"/>
          <w:szCs w:val="24"/>
          <w:lang w:val="en-US"/>
        </w:rPr>
        <w:t xml:space="preserve">.  They </w:t>
      </w:r>
      <w:r w:rsidR="001D6F33">
        <w:rPr>
          <w:rFonts w:ascii="Arial" w:hAnsi="Arial" w:cs="Arial"/>
          <w:sz w:val="24"/>
          <w:szCs w:val="24"/>
          <w:lang w:val="en-US"/>
        </w:rPr>
        <w:t>hinge on</w:t>
      </w:r>
      <w:r w:rsidR="00D35AFE">
        <w:rPr>
          <w:rFonts w:ascii="Arial" w:hAnsi="Arial" w:cs="Arial"/>
          <w:sz w:val="24"/>
          <w:szCs w:val="24"/>
          <w:lang w:val="en-US"/>
        </w:rPr>
        <w:t xml:space="preserve"> the contention that the first respondent’s claim </w:t>
      </w:r>
      <w:r w:rsidR="00B43BB1">
        <w:rPr>
          <w:rFonts w:ascii="Arial" w:hAnsi="Arial" w:cs="Arial"/>
          <w:sz w:val="24"/>
          <w:szCs w:val="24"/>
          <w:lang w:val="en-US"/>
        </w:rPr>
        <w:t xml:space="preserve">against Silver Touch, </w:t>
      </w:r>
      <w:r w:rsidR="000B2EE3">
        <w:rPr>
          <w:rFonts w:ascii="Arial" w:hAnsi="Arial" w:cs="Arial"/>
          <w:sz w:val="24"/>
          <w:szCs w:val="24"/>
          <w:lang w:val="en-US"/>
        </w:rPr>
        <w:t xml:space="preserve">which was </w:t>
      </w:r>
      <w:r w:rsidR="00B43BB1">
        <w:rPr>
          <w:rFonts w:ascii="Arial" w:hAnsi="Arial" w:cs="Arial"/>
          <w:sz w:val="24"/>
          <w:szCs w:val="24"/>
          <w:lang w:val="en-US"/>
        </w:rPr>
        <w:t xml:space="preserve">allowed by the </w:t>
      </w:r>
      <w:r w:rsidR="00F24502">
        <w:rPr>
          <w:rFonts w:ascii="Arial" w:hAnsi="Arial" w:cs="Arial"/>
          <w:sz w:val="24"/>
          <w:szCs w:val="24"/>
          <w:lang w:val="en-US"/>
        </w:rPr>
        <w:t xml:space="preserve">tenth </w:t>
      </w:r>
      <w:r w:rsidR="00B43BB1">
        <w:rPr>
          <w:rFonts w:ascii="Arial" w:hAnsi="Arial" w:cs="Arial"/>
          <w:sz w:val="24"/>
          <w:szCs w:val="24"/>
          <w:lang w:val="en-US"/>
        </w:rPr>
        <w:t xml:space="preserve">respondent </w:t>
      </w:r>
      <w:r w:rsidR="000B2EE3">
        <w:rPr>
          <w:rFonts w:ascii="Arial" w:hAnsi="Arial" w:cs="Arial"/>
          <w:sz w:val="24"/>
          <w:szCs w:val="24"/>
          <w:lang w:val="en-US"/>
        </w:rPr>
        <w:t xml:space="preserve">at the first meeting of creditors and which </w:t>
      </w:r>
      <w:r w:rsidR="00E4203A">
        <w:rPr>
          <w:rFonts w:ascii="Arial" w:hAnsi="Arial" w:cs="Arial"/>
          <w:sz w:val="24"/>
          <w:szCs w:val="24"/>
          <w:lang w:val="en-US"/>
        </w:rPr>
        <w:t xml:space="preserve">provided the basis on which the first respondent </w:t>
      </w:r>
      <w:r w:rsidR="00B43BB1">
        <w:rPr>
          <w:rFonts w:ascii="Arial" w:hAnsi="Arial" w:cs="Arial"/>
          <w:sz w:val="24"/>
          <w:szCs w:val="24"/>
          <w:lang w:val="en-US"/>
        </w:rPr>
        <w:t xml:space="preserve">approached this court for the order made </w:t>
      </w:r>
      <w:r w:rsidR="00067FE0">
        <w:rPr>
          <w:rFonts w:ascii="Arial" w:hAnsi="Arial" w:cs="Arial"/>
          <w:sz w:val="24"/>
          <w:szCs w:val="24"/>
          <w:lang w:val="en-US"/>
        </w:rPr>
        <w:t xml:space="preserve">on 30 </w:t>
      </w:r>
      <w:r w:rsidR="00212082">
        <w:rPr>
          <w:rFonts w:ascii="Arial" w:hAnsi="Arial" w:cs="Arial"/>
          <w:sz w:val="24"/>
          <w:szCs w:val="24"/>
          <w:lang w:val="en-US"/>
        </w:rPr>
        <w:t xml:space="preserve">March </w:t>
      </w:r>
      <w:r w:rsidR="00067FE0">
        <w:rPr>
          <w:rFonts w:ascii="Arial" w:hAnsi="Arial" w:cs="Arial"/>
          <w:sz w:val="24"/>
          <w:szCs w:val="24"/>
          <w:lang w:val="en-US"/>
        </w:rPr>
        <w:t xml:space="preserve">2021, </w:t>
      </w:r>
      <w:r w:rsidR="00E4203A">
        <w:rPr>
          <w:rFonts w:ascii="Arial" w:hAnsi="Arial" w:cs="Arial"/>
          <w:sz w:val="24"/>
          <w:szCs w:val="24"/>
          <w:lang w:val="en-US"/>
        </w:rPr>
        <w:t>was</w:t>
      </w:r>
      <w:r w:rsidR="000B2EE3">
        <w:rPr>
          <w:rFonts w:ascii="Arial" w:hAnsi="Arial" w:cs="Arial"/>
          <w:sz w:val="24"/>
          <w:szCs w:val="24"/>
          <w:lang w:val="en-US"/>
        </w:rPr>
        <w:t xml:space="preserve"> </w:t>
      </w:r>
      <w:r w:rsidR="00E4203A">
        <w:rPr>
          <w:rFonts w:ascii="Arial" w:hAnsi="Arial" w:cs="Arial"/>
          <w:sz w:val="24"/>
          <w:szCs w:val="24"/>
          <w:lang w:val="en-US"/>
        </w:rPr>
        <w:t xml:space="preserve">supported by </w:t>
      </w:r>
      <w:r w:rsidR="00E73776">
        <w:rPr>
          <w:rFonts w:ascii="Arial" w:hAnsi="Arial" w:cs="Arial"/>
          <w:sz w:val="24"/>
          <w:szCs w:val="24"/>
          <w:lang w:val="en-US"/>
        </w:rPr>
        <w:t xml:space="preserve">what the </w:t>
      </w:r>
      <w:r w:rsidR="0034077A">
        <w:rPr>
          <w:rFonts w:ascii="Arial" w:hAnsi="Arial" w:cs="Arial"/>
          <w:sz w:val="24"/>
          <w:szCs w:val="24"/>
          <w:lang w:val="en-US"/>
        </w:rPr>
        <w:t>applicant contends was “an inaccurate document, arguably fraudulently created”</w:t>
      </w:r>
      <w:r w:rsidR="00405C2F">
        <w:rPr>
          <w:rFonts w:ascii="Arial" w:hAnsi="Arial" w:cs="Arial"/>
          <w:sz w:val="24"/>
          <w:szCs w:val="24"/>
          <w:lang w:val="en-US"/>
        </w:rPr>
        <w:t xml:space="preserve">.  On a proper consideration of the facts, the applicant contends, the first respondent’s </w:t>
      </w:r>
      <w:r w:rsidR="001D6F33">
        <w:rPr>
          <w:rFonts w:ascii="Arial" w:hAnsi="Arial" w:cs="Arial"/>
          <w:sz w:val="24"/>
          <w:szCs w:val="24"/>
          <w:lang w:val="en-US"/>
        </w:rPr>
        <w:t xml:space="preserve">claim </w:t>
      </w:r>
      <w:r w:rsidR="000B2EE3">
        <w:rPr>
          <w:rFonts w:ascii="Arial" w:hAnsi="Arial" w:cs="Arial"/>
          <w:sz w:val="24"/>
          <w:szCs w:val="24"/>
          <w:lang w:val="en-US"/>
        </w:rPr>
        <w:t xml:space="preserve">had </w:t>
      </w:r>
      <w:r w:rsidR="00067FE0">
        <w:rPr>
          <w:rFonts w:ascii="Arial" w:hAnsi="Arial" w:cs="Arial"/>
          <w:sz w:val="24"/>
          <w:szCs w:val="24"/>
          <w:lang w:val="en-US"/>
        </w:rPr>
        <w:t>in fact prescribed</w:t>
      </w:r>
      <w:r w:rsidR="00FC1530">
        <w:rPr>
          <w:rFonts w:ascii="Arial" w:hAnsi="Arial" w:cs="Arial"/>
          <w:sz w:val="24"/>
          <w:szCs w:val="24"/>
          <w:lang w:val="en-US"/>
        </w:rPr>
        <w:t xml:space="preserve">.  </w:t>
      </w:r>
    </w:p>
    <w:p w14:paraId="284732A1" w14:textId="1BDEB825" w:rsidR="00FC1530" w:rsidRDefault="00C8762A" w:rsidP="00C8762A">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FC1530">
        <w:rPr>
          <w:rFonts w:ascii="Arial" w:hAnsi="Arial" w:cs="Arial"/>
          <w:sz w:val="24"/>
          <w:szCs w:val="24"/>
          <w:lang w:val="en-US"/>
        </w:rPr>
        <w:t xml:space="preserve">I </w:t>
      </w:r>
      <w:r w:rsidR="00093970">
        <w:rPr>
          <w:rFonts w:ascii="Arial" w:hAnsi="Arial" w:cs="Arial"/>
          <w:sz w:val="24"/>
          <w:szCs w:val="24"/>
          <w:lang w:val="en-US"/>
        </w:rPr>
        <w:t>deal with the facts relevant to those contentions next</w:t>
      </w:r>
      <w:r w:rsidR="00FC1530">
        <w:rPr>
          <w:rFonts w:ascii="Arial" w:hAnsi="Arial" w:cs="Arial"/>
          <w:sz w:val="24"/>
          <w:szCs w:val="24"/>
          <w:lang w:val="en-US"/>
        </w:rPr>
        <w:t xml:space="preserve">.  </w:t>
      </w:r>
    </w:p>
    <w:p w14:paraId="5929274C" w14:textId="0FB328EC" w:rsidR="00876EBC" w:rsidRPr="001963C7" w:rsidRDefault="00C8762A" w:rsidP="00876EBC">
      <w:pPr>
        <w:pStyle w:val="BowLevel1ListAlt"/>
        <w:numPr>
          <w:ilvl w:val="0"/>
          <w:numId w:val="0"/>
        </w:numPr>
        <w:rPr>
          <w:rFonts w:ascii="Arial" w:hAnsi="Arial" w:cs="Arial"/>
          <w:b/>
          <w:bCs/>
          <w:sz w:val="24"/>
          <w:szCs w:val="24"/>
          <w:lang w:val="en-US"/>
        </w:rPr>
      </w:pPr>
      <w:r>
        <w:rPr>
          <w:rFonts w:ascii="Arial" w:hAnsi="Arial" w:cs="Arial"/>
          <w:b/>
          <w:bCs/>
          <w:sz w:val="24"/>
          <w:szCs w:val="24"/>
          <w:lang w:val="en-US"/>
        </w:rPr>
        <w:t>The</w:t>
      </w:r>
      <w:r w:rsidR="00053C88">
        <w:rPr>
          <w:rFonts w:ascii="Arial" w:hAnsi="Arial" w:cs="Arial"/>
          <w:b/>
          <w:bCs/>
          <w:sz w:val="24"/>
          <w:szCs w:val="24"/>
          <w:lang w:val="en-US"/>
        </w:rPr>
        <w:t xml:space="preserve"> </w:t>
      </w:r>
      <w:r w:rsidR="00357B08">
        <w:rPr>
          <w:rFonts w:ascii="Arial" w:hAnsi="Arial" w:cs="Arial"/>
          <w:b/>
          <w:bCs/>
          <w:sz w:val="24"/>
          <w:szCs w:val="24"/>
          <w:lang w:val="en-US"/>
        </w:rPr>
        <w:t>first respondent’s claim against Silver Touch</w:t>
      </w:r>
    </w:p>
    <w:p w14:paraId="4194562E" w14:textId="26AFEE97" w:rsidR="00E41A06" w:rsidRDefault="00C8762A" w:rsidP="00C8762A">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44588B" w:rsidRPr="008D1A11">
        <w:rPr>
          <w:rFonts w:ascii="Arial" w:hAnsi="Arial" w:cs="Arial"/>
          <w:sz w:val="24"/>
          <w:szCs w:val="24"/>
          <w:lang w:val="en-US"/>
        </w:rPr>
        <w:t xml:space="preserve">The </w:t>
      </w:r>
      <w:r w:rsidR="00B17227">
        <w:rPr>
          <w:rFonts w:ascii="Arial" w:hAnsi="Arial" w:cs="Arial"/>
          <w:sz w:val="24"/>
          <w:szCs w:val="24"/>
          <w:lang w:val="en-US"/>
        </w:rPr>
        <w:t xml:space="preserve">background </w:t>
      </w:r>
      <w:r w:rsidR="0044588B" w:rsidRPr="008D1A11">
        <w:rPr>
          <w:rFonts w:ascii="Arial" w:hAnsi="Arial" w:cs="Arial"/>
          <w:sz w:val="24"/>
          <w:szCs w:val="24"/>
          <w:lang w:val="en-US"/>
        </w:rPr>
        <w:t xml:space="preserve">facts </w:t>
      </w:r>
      <w:r w:rsidR="00B17227">
        <w:rPr>
          <w:rFonts w:ascii="Arial" w:hAnsi="Arial" w:cs="Arial"/>
          <w:sz w:val="24"/>
          <w:szCs w:val="24"/>
          <w:lang w:val="en-US"/>
        </w:rPr>
        <w:t xml:space="preserve">relevant to the first respondent’s claim </w:t>
      </w:r>
      <w:r w:rsidR="00E41A06">
        <w:rPr>
          <w:rFonts w:ascii="Arial" w:hAnsi="Arial" w:cs="Arial"/>
          <w:sz w:val="24"/>
          <w:szCs w:val="24"/>
          <w:lang w:val="en-US"/>
        </w:rPr>
        <w:t xml:space="preserve">involved </w:t>
      </w:r>
      <w:r w:rsidR="006C3C44">
        <w:rPr>
          <w:rFonts w:ascii="Arial" w:hAnsi="Arial" w:cs="Arial"/>
          <w:sz w:val="24"/>
          <w:szCs w:val="24"/>
          <w:lang w:val="en-US"/>
        </w:rPr>
        <w:t xml:space="preserve">Silver Touch and </w:t>
      </w:r>
      <w:r w:rsidR="0044588B" w:rsidRPr="008D1A11">
        <w:rPr>
          <w:rFonts w:ascii="Arial" w:hAnsi="Arial" w:cs="Arial"/>
          <w:sz w:val="24"/>
          <w:szCs w:val="24"/>
          <w:lang w:val="en-US"/>
        </w:rPr>
        <w:t xml:space="preserve">three entities in the EOH </w:t>
      </w:r>
      <w:r w:rsidR="006C3C44">
        <w:rPr>
          <w:rFonts w:ascii="Arial" w:hAnsi="Arial" w:cs="Arial"/>
          <w:sz w:val="24"/>
          <w:szCs w:val="24"/>
          <w:lang w:val="en-US"/>
        </w:rPr>
        <w:t>g</w:t>
      </w:r>
      <w:r w:rsidR="0044588B" w:rsidRPr="008D1A11">
        <w:rPr>
          <w:rFonts w:ascii="Arial" w:hAnsi="Arial" w:cs="Arial"/>
          <w:sz w:val="24"/>
          <w:szCs w:val="24"/>
          <w:lang w:val="en-US"/>
        </w:rPr>
        <w:t xml:space="preserve">roup of </w:t>
      </w:r>
      <w:r w:rsidR="006C3C44">
        <w:rPr>
          <w:rFonts w:ascii="Arial" w:hAnsi="Arial" w:cs="Arial"/>
          <w:sz w:val="24"/>
          <w:szCs w:val="24"/>
          <w:lang w:val="en-US"/>
        </w:rPr>
        <w:t>co</w:t>
      </w:r>
      <w:r w:rsidR="0044588B" w:rsidRPr="008D1A11">
        <w:rPr>
          <w:rFonts w:ascii="Arial" w:hAnsi="Arial" w:cs="Arial"/>
          <w:sz w:val="24"/>
          <w:szCs w:val="24"/>
          <w:lang w:val="en-US"/>
        </w:rPr>
        <w:t xml:space="preserve">mpanies.  </w:t>
      </w:r>
    </w:p>
    <w:p w14:paraId="315B3748" w14:textId="7E7C42A8" w:rsidR="0044588B" w:rsidRPr="00E41A06" w:rsidRDefault="00733C74" w:rsidP="00733C74">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44588B" w:rsidRPr="00E41A06">
        <w:rPr>
          <w:rFonts w:ascii="Arial" w:hAnsi="Arial" w:cs="Arial"/>
          <w:sz w:val="24"/>
          <w:szCs w:val="24"/>
          <w:lang w:val="en-US"/>
        </w:rPr>
        <w:t xml:space="preserve">The first </w:t>
      </w:r>
      <w:r w:rsidR="00075272">
        <w:rPr>
          <w:rFonts w:ascii="Arial" w:hAnsi="Arial" w:cs="Arial"/>
          <w:sz w:val="24"/>
          <w:szCs w:val="24"/>
          <w:lang w:val="en-US"/>
        </w:rPr>
        <w:t xml:space="preserve">entity </w:t>
      </w:r>
      <w:r w:rsidR="0044588B" w:rsidRPr="00E41A06">
        <w:rPr>
          <w:rFonts w:ascii="Arial" w:hAnsi="Arial" w:cs="Arial"/>
          <w:sz w:val="24"/>
          <w:szCs w:val="24"/>
          <w:lang w:val="en-US"/>
        </w:rPr>
        <w:t xml:space="preserve">is EOH </w:t>
      </w:r>
      <w:r w:rsidR="006C3C44" w:rsidRPr="00E41A06">
        <w:rPr>
          <w:rFonts w:ascii="Arial" w:hAnsi="Arial" w:cs="Arial"/>
          <w:sz w:val="24"/>
          <w:szCs w:val="24"/>
          <w:lang w:val="en-US"/>
        </w:rPr>
        <w:t>M</w:t>
      </w:r>
      <w:r w:rsidR="0044588B" w:rsidRPr="00E41A06">
        <w:rPr>
          <w:rFonts w:ascii="Arial" w:hAnsi="Arial" w:cs="Arial"/>
          <w:sz w:val="24"/>
          <w:szCs w:val="24"/>
          <w:lang w:val="en-US"/>
        </w:rPr>
        <w:t>thombo (Pty) Limited (“</w:t>
      </w:r>
      <w:r w:rsidR="0044588B" w:rsidRPr="00E41A06">
        <w:rPr>
          <w:rFonts w:ascii="Arial" w:hAnsi="Arial" w:cs="Arial"/>
          <w:b/>
          <w:bCs/>
          <w:sz w:val="24"/>
          <w:szCs w:val="24"/>
          <w:lang w:val="en-US"/>
        </w:rPr>
        <w:t xml:space="preserve">EOH </w:t>
      </w:r>
      <w:r w:rsidR="006C3C44" w:rsidRPr="00E41A06">
        <w:rPr>
          <w:rFonts w:ascii="Arial" w:hAnsi="Arial" w:cs="Arial"/>
          <w:b/>
          <w:bCs/>
          <w:sz w:val="24"/>
          <w:szCs w:val="24"/>
          <w:lang w:val="en-US"/>
        </w:rPr>
        <w:t>M</w:t>
      </w:r>
      <w:r w:rsidR="0044588B" w:rsidRPr="00E41A06">
        <w:rPr>
          <w:rFonts w:ascii="Arial" w:hAnsi="Arial" w:cs="Arial"/>
          <w:b/>
          <w:bCs/>
          <w:sz w:val="24"/>
          <w:szCs w:val="24"/>
          <w:lang w:val="en-US"/>
        </w:rPr>
        <w:t>thombo</w:t>
      </w:r>
      <w:r w:rsidR="0044588B" w:rsidRPr="00E41A06">
        <w:rPr>
          <w:rFonts w:ascii="Arial" w:hAnsi="Arial" w:cs="Arial"/>
          <w:sz w:val="24"/>
          <w:szCs w:val="24"/>
          <w:lang w:val="en-US"/>
        </w:rPr>
        <w:t xml:space="preserve">”).  The other two </w:t>
      </w:r>
      <w:r w:rsidR="00075272">
        <w:rPr>
          <w:rFonts w:ascii="Arial" w:hAnsi="Arial" w:cs="Arial"/>
          <w:sz w:val="24"/>
          <w:szCs w:val="24"/>
          <w:lang w:val="en-US"/>
        </w:rPr>
        <w:t xml:space="preserve">entities </w:t>
      </w:r>
      <w:r w:rsidR="007E4C1C" w:rsidRPr="00E41A06">
        <w:rPr>
          <w:rFonts w:ascii="Arial" w:hAnsi="Arial" w:cs="Arial"/>
          <w:sz w:val="24"/>
          <w:szCs w:val="24"/>
          <w:lang w:val="en-US"/>
        </w:rPr>
        <w:t xml:space="preserve">are </w:t>
      </w:r>
      <w:r w:rsidR="0044588B" w:rsidRPr="00E41A06">
        <w:rPr>
          <w:rFonts w:ascii="Arial" w:hAnsi="Arial" w:cs="Arial"/>
          <w:sz w:val="24"/>
          <w:szCs w:val="24"/>
          <w:lang w:val="en-US"/>
        </w:rPr>
        <w:t xml:space="preserve">wholly owned subsidiaries of EOH </w:t>
      </w:r>
      <w:r w:rsidR="00771009" w:rsidRPr="00E41A06">
        <w:rPr>
          <w:rFonts w:ascii="Arial" w:hAnsi="Arial" w:cs="Arial"/>
          <w:sz w:val="24"/>
          <w:szCs w:val="24"/>
          <w:lang w:val="en-US"/>
        </w:rPr>
        <w:t>Mthombo</w:t>
      </w:r>
      <w:r w:rsidR="00407C74">
        <w:rPr>
          <w:rFonts w:ascii="Arial" w:hAnsi="Arial" w:cs="Arial"/>
          <w:sz w:val="24"/>
          <w:szCs w:val="24"/>
          <w:lang w:val="en-US"/>
        </w:rPr>
        <w:t xml:space="preserve">, namely </w:t>
      </w:r>
      <w:r w:rsidR="0044588B" w:rsidRPr="00E41A06">
        <w:rPr>
          <w:rFonts w:ascii="Arial" w:hAnsi="Arial" w:cs="Arial"/>
          <w:sz w:val="24"/>
          <w:szCs w:val="24"/>
          <w:lang w:val="en-US"/>
        </w:rPr>
        <w:t>TSS Managed Services (Pty) Ltd (“</w:t>
      </w:r>
      <w:r w:rsidR="0044588B" w:rsidRPr="00E41A06">
        <w:rPr>
          <w:rFonts w:ascii="Arial" w:hAnsi="Arial" w:cs="Arial"/>
          <w:b/>
          <w:bCs/>
          <w:sz w:val="24"/>
          <w:szCs w:val="24"/>
          <w:lang w:val="en-US"/>
        </w:rPr>
        <w:t>TSS</w:t>
      </w:r>
      <w:r w:rsidR="0044588B" w:rsidRPr="00E41A06">
        <w:rPr>
          <w:rFonts w:ascii="Arial" w:hAnsi="Arial" w:cs="Arial"/>
          <w:sz w:val="24"/>
          <w:szCs w:val="24"/>
          <w:lang w:val="en-US"/>
        </w:rPr>
        <w:t xml:space="preserve">”), and </w:t>
      </w:r>
      <w:r w:rsidR="007E4C1C" w:rsidRPr="00E41A06">
        <w:rPr>
          <w:rFonts w:ascii="Arial" w:hAnsi="Arial" w:cs="Arial"/>
          <w:sz w:val="24"/>
          <w:szCs w:val="24"/>
          <w:lang w:val="en-US"/>
        </w:rPr>
        <w:t xml:space="preserve">the first respondent, </w:t>
      </w:r>
      <w:r w:rsidR="00AF595C">
        <w:rPr>
          <w:rFonts w:ascii="Arial" w:hAnsi="Arial" w:cs="Arial"/>
          <w:sz w:val="24"/>
          <w:szCs w:val="24"/>
          <w:lang w:val="en-US"/>
        </w:rPr>
        <w:t>EOH MS</w:t>
      </w:r>
      <w:r w:rsidR="0044588B" w:rsidRPr="00E41A06">
        <w:rPr>
          <w:rFonts w:ascii="Arial" w:hAnsi="Arial" w:cs="Arial"/>
          <w:sz w:val="24"/>
          <w:szCs w:val="24"/>
          <w:lang w:val="en-US"/>
        </w:rPr>
        <w:t>.</w:t>
      </w:r>
    </w:p>
    <w:p w14:paraId="6BF0D94D" w14:textId="4C831D46" w:rsidR="00D17004" w:rsidRDefault="00733C74" w:rsidP="00733C74">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44588B" w:rsidRPr="008D1A11">
        <w:rPr>
          <w:rFonts w:ascii="Arial" w:hAnsi="Arial" w:cs="Arial"/>
          <w:sz w:val="24"/>
          <w:szCs w:val="24"/>
          <w:lang w:val="en-US"/>
        </w:rPr>
        <w:t xml:space="preserve">During December 2012 Silver Touch, of which the </w:t>
      </w:r>
      <w:r w:rsidR="007E4C1C">
        <w:rPr>
          <w:rFonts w:ascii="Arial" w:hAnsi="Arial" w:cs="Arial"/>
          <w:sz w:val="24"/>
          <w:szCs w:val="24"/>
          <w:lang w:val="en-US"/>
        </w:rPr>
        <w:t>a</w:t>
      </w:r>
      <w:r w:rsidR="0044588B" w:rsidRPr="008D1A11">
        <w:rPr>
          <w:rFonts w:ascii="Arial" w:hAnsi="Arial" w:cs="Arial"/>
          <w:sz w:val="24"/>
          <w:szCs w:val="24"/>
          <w:lang w:val="en-US"/>
        </w:rPr>
        <w:t>pplicant was the sole director, concluded a loan agreement with TSS under which TSS advanced to Silver Touch an amount of R1.2</w:t>
      </w:r>
      <w:r w:rsidR="007E4C1C">
        <w:rPr>
          <w:rFonts w:ascii="Arial" w:hAnsi="Arial" w:cs="Arial"/>
          <w:sz w:val="24"/>
          <w:szCs w:val="24"/>
          <w:lang w:val="en-US"/>
        </w:rPr>
        <w:t xml:space="preserve"> </w:t>
      </w:r>
      <w:r w:rsidR="0044588B" w:rsidRPr="008D1A11">
        <w:rPr>
          <w:rFonts w:ascii="Arial" w:hAnsi="Arial" w:cs="Arial"/>
          <w:sz w:val="24"/>
          <w:szCs w:val="24"/>
          <w:lang w:val="en-US"/>
        </w:rPr>
        <w:t>m</w:t>
      </w:r>
      <w:r w:rsidR="007E4C1C">
        <w:rPr>
          <w:rFonts w:ascii="Arial" w:hAnsi="Arial" w:cs="Arial"/>
          <w:sz w:val="24"/>
          <w:szCs w:val="24"/>
          <w:lang w:val="en-US"/>
        </w:rPr>
        <w:t xml:space="preserve">illion </w:t>
      </w:r>
      <w:r w:rsidR="000D6E09">
        <w:rPr>
          <w:rFonts w:ascii="Arial" w:hAnsi="Arial" w:cs="Arial"/>
          <w:sz w:val="24"/>
          <w:szCs w:val="24"/>
          <w:lang w:val="en-US"/>
        </w:rPr>
        <w:t xml:space="preserve">as an </w:t>
      </w:r>
      <w:r w:rsidR="0044588B" w:rsidRPr="008D1A11">
        <w:rPr>
          <w:rFonts w:ascii="Arial" w:hAnsi="Arial" w:cs="Arial"/>
          <w:sz w:val="24"/>
          <w:szCs w:val="24"/>
          <w:lang w:val="en-US"/>
        </w:rPr>
        <w:t xml:space="preserve">interest free enterprise development loan.  </w:t>
      </w:r>
      <w:r w:rsidR="00D17004">
        <w:rPr>
          <w:rFonts w:ascii="Arial" w:hAnsi="Arial" w:cs="Arial"/>
          <w:sz w:val="24"/>
          <w:szCs w:val="24"/>
          <w:lang w:val="en-US"/>
        </w:rPr>
        <w:t xml:space="preserve">Under the </w:t>
      </w:r>
      <w:r w:rsidR="00407C74">
        <w:rPr>
          <w:rFonts w:ascii="Arial" w:hAnsi="Arial" w:cs="Arial"/>
          <w:sz w:val="24"/>
          <w:szCs w:val="24"/>
          <w:lang w:val="en-US"/>
        </w:rPr>
        <w:t xml:space="preserve">initial </w:t>
      </w:r>
      <w:r w:rsidR="00D17004">
        <w:rPr>
          <w:rFonts w:ascii="Arial" w:hAnsi="Arial" w:cs="Arial"/>
          <w:sz w:val="24"/>
          <w:szCs w:val="24"/>
          <w:lang w:val="en-US"/>
        </w:rPr>
        <w:t xml:space="preserve">terms of the </w:t>
      </w:r>
      <w:r w:rsidR="0044588B" w:rsidRPr="008D1A11">
        <w:rPr>
          <w:rFonts w:ascii="Arial" w:hAnsi="Arial" w:cs="Arial"/>
          <w:sz w:val="24"/>
          <w:szCs w:val="24"/>
          <w:lang w:val="en-US"/>
        </w:rPr>
        <w:t xml:space="preserve">loan </w:t>
      </w:r>
      <w:r w:rsidR="00D17004">
        <w:rPr>
          <w:rFonts w:ascii="Arial" w:hAnsi="Arial" w:cs="Arial"/>
          <w:sz w:val="24"/>
          <w:szCs w:val="24"/>
          <w:lang w:val="en-US"/>
        </w:rPr>
        <w:t xml:space="preserve">it </w:t>
      </w:r>
      <w:r w:rsidR="0044588B" w:rsidRPr="008D1A11">
        <w:rPr>
          <w:rFonts w:ascii="Arial" w:hAnsi="Arial" w:cs="Arial"/>
          <w:sz w:val="24"/>
          <w:szCs w:val="24"/>
          <w:lang w:val="en-US"/>
        </w:rPr>
        <w:t xml:space="preserve">was repayable by no later than 31 December 2013.  </w:t>
      </w:r>
    </w:p>
    <w:p w14:paraId="13648B5E" w14:textId="74DABFD8" w:rsidR="0044588B" w:rsidRPr="008D1A11" w:rsidRDefault="00733C74" w:rsidP="00733C74">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D17004">
        <w:rPr>
          <w:rFonts w:ascii="Arial" w:hAnsi="Arial" w:cs="Arial"/>
          <w:sz w:val="24"/>
          <w:szCs w:val="24"/>
          <w:lang w:val="en-US"/>
        </w:rPr>
        <w:t>The s</w:t>
      </w:r>
      <w:r w:rsidR="0044588B" w:rsidRPr="008D1A11">
        <w:rPr>
          <w:rFonts w:ascii="Arial" w:hAnsi="Arial" w:cs="Arial"/>
          <w:sz w:val="24"/>
          <w:szCs w:val="24"/>
          <w:lang w:val="en-US"/>
        </w:rPr>
        <w:t>ignatories to the loan agreement were</w:t>
      </w:r>
      <w:r w:rsidR="00D17004">
        <w:rPr>
          <w:rFonts w:ascii="Arial" w:hAnsi="Arial" w:cs="Arial"/>
          <w:sz w:val="24"/>
          <w:szCs w:val="24"/>
          <w:lang w:val="en-US"/>
        </w:rPr>
        <w:t xml:space="preserve"> the applicant </w:t>
      </w:r>
      <w:r w:rsidR="0044588B" w:rsidRPr="008D1A11">
        <w:rPr>
          <w:rFonts w:ascii="Arial" w:hAnsi="Arial" w:cs="Arial"/>
          <w:sz w:val="24"/>
          <w:szCs w:val="24"/>
          <w:lang w:val="en-US"/>
        </w:rPr>
        <w:t xml:space="preserve">on behalf of Silver Touch, </w:t>
      </w:r>
      <w:r w:rsidR="00D17004">
        <w:rPr>
          <w:rFonts w:ascii="Arial" w:hAnsi="Arial" w:cs="Arial"/>
          <w:sz w:val="24"/>
          <w:szCs w:val="24"/>
          <w:lang w:val="en-US"/>
        </w:rPr>
        <w:t xml:space="preserve">and the fourth respondent </w:t>
      </w:r>
      <w:r w:rsidR="0044588B" w:rsidRPr="008D1A11">
        <w:rPr>
          <w:rFonts w:ascii="Arial" w:hAnsi="Arial" w:cs="Arial"/>
          <w:sz w:val="24"/>
          <w:szCs w:val="24"/>
          <w:lang w:val="en-US"/>
        </w:rPr>
        <w:t xml:space="preserve">on behalf of TSS.  </w:t>
      </w:r>
    </w:p>
    <w:p w14:paraId="13435032" w14:textId="5D338DDB" w:rsidR="0044588B" w:rsidRPr="008D1A11" w:rsidRDefault="00733C74" w:rsidP="00733C74">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44588B" w:rsidRPr="008D1A11">
        <w:rPr>
          <w:rFonts w:ascii="Arial" w:hAnsi="Arial" w:cs="Arial"/>
          <w:sz w:val="24"/>
          <w:szCs w:val="24"/>
          <w:lang w:val="en-US"/>
        </w:rPr>
        <w:t xml:space="preserve">The </w:t>
      </w:r>
      <w:r w:rsidR="00D17004">
        <w:rPr>
          <w:rFonts w:ascii="Arial" w:hAnsi="Arial" w:cs="Arial"/>
          <w:sz w:val="24"/>
          <w:szCs w:val="24"/>
          <w:lang w:val="en-US"/>
        </w:rPr>
        <w:t>f</w:t>
      </w:r>
      <w:r w:rsidR="0044588B" w:rsidRPr="008D1A11">
        <w:rPr>
          <w:rFonts w:ascii="Arial" w:hAnsi="Arial" w:cs="Arial"/>
          <w:sz w:val="24"/>
          <w:szCs w:val="24"/>
          <w:lang w:val="en-US"/>
        </w:rPr>
        <w:t xml:space="preserve">ourth </w:t>
      </w:r>
      <w:r w:rsidR="00D17004">
        <w:rPr>
          <w:rFonts w:ascii="Arial" w:hAnsi="Arial" w:cs="Arial"/>
          <w:sz w:val="24"/>
          <w:szCs w:val="24"/>
          <w:lang w:val="en-US"/>
        </w:rPr>
        <w:t>r</w:t>
      </w:r>
      <w:r w:rsidR="0044588B" w:rsidRPr="008D1A11">
        <w:rPr>
          <w:rFonts w:ascii="Arial" w:hAnsi="Arial" w:cs="Arial"/>
          <w:sz w:val="24"/>
          <w:szCs w:val="24"/>
          <w:lang w:val="en-US"/>
        </w:rPr>
        <w:t xml:space="preserve">espondent was at all material times a director of each of the three EOH </w:t>
      </w:r>
      <w:r w:rsidR="00FF24E5">
        <w:rPr>
          <w:rFonts w:ascii="Arial" w:hAnsi="Arial" w:cs="Arial"/>
          <w:sz w:val="24"/>
          <w:szCs w:val="24"/>
          <w:lang w:val="en-US"/>
        </w:rPr>
        <w:t>entities concerned</w:t>
      </w:r>
      <w:r w:rsidR="0044588B" w:rsidRPr="008D1A11">
        <w:rPr>
          <w:rFonts w:ascii="Arial" w:hAnsi="Arial" w:cs="Arial"/>
          <w:sz w:val="24"/>
          <w:szCs w:val="24"/>
          <w:lang w:val="en-US"/>
        </w:rPr>
        <w:t xml:space="preserve">, that is TSS, </w:t>
      </w:r>
      <w:r w:rsidR="00AF595C">
        <w:rPr>
          <w:rFonts w:ascii="Arial" w:hAnsi="Arial" w:cs="Arial"/>
          <w:sz w:val="24"/>
          <w:szCs w:val="24"/>
          <w:lang w:val="en-US"/>
        </w:rPr>
        <w:t>EOH MS</w:t>
      </w:r>
      <w:r w:rsidR="0044588B" w:rsidRPr="008D1A11">
        <w:rPr>
          <w:rFonts w:ascii="Arial" w:hAnsi="Arial" w:cs="Arial"/>
          <w:sz w:val="24"/>
          <w:szCs w:val="24"/>
          <w:lang w:val="en-US"/>
        </w:rPr>
        <w:t xml:space="preserve"> and their parent company EOH </w:t>
      </w:r>
      <w:r w:rsidR="00771009">
        <w:rPr>
          <w:rFonts w:ascii="Arial" w:hAnsi="Arial" w:cs="Arial"/>
          <w:sz w:val="24"/>
          <w:szCs w:val="24"/>
          <w:lang w:val="en-US"/>
        </w:rPr>
        <w:t>Mthombo</w:t>
      </w:r>
      <w:r w:rsidR="0044588B" w:rsidRPr="008D1A11">
        <w:rPr>
          <w:rFonts w:ascii="Arial" w:hAnsi="Arial" w:cs="Arial"/>
          <w:sz w:val="24"/>
          <w:szCs w:val="24"/>
          <w:lang w:val="en-US"/>
        </w:rPr>
        <w:t>.</w:t>
      </w:r>
    </w:p>
    <w:p w14:paraId="633297E5" w14:textId="7145CE2C" w:rsidR="00B85B63" w:rsidRDefault="00B64B8F" w:rsidP="00B64B8F">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44588B" w:rsidRPr="008D1A11">
        <w:rPr>
          <w:rFonts w:ascii="Arial" w:hAnsi="Arial" w:cs="Arial"/>
          <w:sz w:val="24"/>
          <w:szCs w:val="24"/>
          <w:lang w:val="en-US"/>
        </w:rPr>
        <w:t>In July 2013, for reasons that are not explained on the papers, the loan claim was ceded</w:t>
      </w:r>
      <w:r w:rsidR="002E52F8">
        <w:rPr>
          <w:rFonts w:ascii="Arial" w:hAnsi="Arial" w:cs="Arial"/>
          <w:sz w:val="24"/>
          <w:szCs w:val="24"/>
          <w:lang w:val="en-US"/>
        </w:rPr>
        <w:t xml:space="preserve"> or </w:t>
      </w:r>
      <w:r w:rsidR="008F24A2">
        <w:rPr>
          <w:rFonts w:ascii="Arial" w:hAnsi="Arial" w:cs="Arial"/>
          <w:sz w:val="24"/>
          <w:szCs w:val="24"/>
          <w:lang w:val="en-US"/>
        </w:rPr>
        <w:t>“</w:t>
      </w:r>
      <w:r w:rsidR="002E52F8">
        <w:rPr>
          <w:rFonts w:ascii="Arial" w:hAnsi="Arial" w:cs="Arial"/>
          <w:sz w:val="24"/>
          <w:szCs w:val="24"/>
          <w:lang w:val="en-US"/>
        </w:rPr>
        <w:t>transferred</w:t>
      </w:r>
      <w:r w:rsidR="008F24A2">
        <w:rPr>
          <w:rFonts w:ascii="Arial" w:hAnsi="Arial" w:cs="Arial"/>
          <w:sz w:val="24"/>
          <w:szCs w:val="24"/>
          <w:lang w:val="en-US"/>
        </w:rPr>
        <w:t>”</w:t>
      </w:r>
      <w:r w:rsidR="002E52F8">
        <w:rPr>
          <w:rFonts w:ascii="Arial" w:hAnsi="Arial" w:cs="Arial"/>
          <w:sz w:val="24"/>
          <w:szCs w:val="24"/>
          <w:lang w:val="en-US"/>
        </w:rPr>
        <w:t xml:space="preserve"> from </w:t>
      </w:r>
      <w:r w:rsidR="00FF24E5">
        <w:rPr>
          <w:rFonts w:ascii="Arial" w:hAnsi="Arial" w:cs="Arial"/>
          <w:sz w:val="24"/>
          <w:szCs w:val="24"/>
          <w:lang w:val="en-US"/>
        </w:rPr>
        <w:t xml:space="preserve">one subsidiary of EOH Mthombo to another, from </w:t>
      </w:r>
      <w:r w:rsidR="0044588B" w:rsidRPr="008D1A11">
        <w:rPr>
          <w:rFonts w:ascii="Arial" w:hAnsi="Arial" w:cs="Arial"/>
          <w:sz w:val="24"/>
          <w:szCs w:val="24"/>
          <w:lang w:val="en-US"/>
        </w:rPr>
        <w:t xml:space="preserve">TSS to </w:t>
      </w:r>
      <w:r w:rsidR="00AF595C">
        <w:rPr>
          <w:rFonts w:ascii="Arial" w:hAnsi="Arial" w:cs="Arial"/>
          <w:sz w:val="24"/>
          <w:szCs w:val="24"/>
          <w:lang w:val="en-US"/>
        </w:rPr>
        <w:t>EOH MS</w:t>
      </w:r>
      <w:r w:rsidR="00FF24E5">
        <w:rPr>
          <w:rFonts w:ascii="Arial" w:hAnsi="Arial" w:cs="Arial"/>
          <w:sz w:val="24"/>
          <w:szCs w:val="24"/>
          <w:lang w:val="en-US"/>
        </w:rPr>
        <w:t xml:space="preserve">.  </w:t>
      </w:r>
      <w:r w:rsidR="0044588B" w:rsidRPr="008D1A11">
        <w:rPr>
          <w:rFonts w:ascii="Arial" w:hAnsi="Arial" w:cs="Arial"/>
          <w:sz w:val="24"/>
          <w:szCs w:val="24"/>
          <w:lang w:val="en-US"/>
        </w:rPr>
        <w:t xml:space="preserve">The </w:t>
      </w:r>
      <w:r w:rsidR="008F24A2">
        <w:rPr>
          <w:rFonts w:ascii="Arial" w:hAnsi="Arial" w:cs="Arial"/>
          <w:sz w:val="24"/>
          <w:szCs w:val="24"/>
          <w:lang w:val="en-US"/>
        </w:rPr>
        <w:t xml:space="preserve">transfer </w:t>
      </w:r>
      <w:r w:rsidR="00FF24E5">
        <w:rPr>
          <w:rFonts w:ascii="Arial" w:hAnsi="Arial" w:cs="Arial"/>
          <w:sz w:val="24"/>
          <w:szCs w:val="24"/>
          <w:lang w:val="en-US"/>
        </w:rPr>
        <w:t>was</w:t>
      </w:r>
      <w:r w:rsidR="0044588B" w:rsidRPr="008D1A11">
        <w:rPr>
          <w:rFonts w:ascii="Arial" w:hAnsi="Arial" w:cs="Arial"/>
          <w:sz w:val="24"/>
          <w:szCs w:val="24"/>
          <w:lang w:val="en-US"/>
        </w:rPr>
        <w:t xml:space="preserve"> not recorded in a written agreement but is reflected in </w:t>
      </w:r>
      <w:r w:rsidR="00AF595C">
        <w:rPr>
          <w:rFonts w:ascii="Arial" w:hAnsi="Arial" w:cs="Arial"/>
          <w:sz w:val="24"/>
          <w:szCs w:val="24"/>
          <w:lang w:val="en-US"/>
        </w:rPr>
        <w:t>EOH MS</w:t>
      </w:r>
      <w:r w:rsidR="0044588B" w:rsidRPr="008D1A11">
        <w:rPr>
          <w:rFonts w:ascii="Arial" w:hAnsi="Arial" w:cs="Arial"/>
          <w:sz w:val="24"/>
          <w:szCs w:val="24"/>
          <w:lang w:val="en-US"/>
        </w:rPr>
        <w:t>’s general ledger</w:t>
      </w:r>
      <w:r w:rsidR="00AD713C">
        <w:rPr>
          <w:rFonts w:ascii="Arial" w:hAnsi="Arial" w:cs="Arial"/>
          <w:sz w:val="24"/>
          <w:szCs w:val="24"/>
          <w:lang w:val="en-US"/>
        </w:rPr>
        <w:t xml:space="preserve">.  The loan claim is also reflected in </w:t>
      </w:r>
      <w:r w:rsidR="00B85B63">
        <w:rPr>
          <w:rFonts w:ascii="Arial" w:hAnsi="Arial" w:cs="Arial"/>
          <w:sz w:val="24"/>
          <w:szCs w:val="24"/>
          <w:lang w:val="en-US"/>
        </w:rPr>
        <w:t xml:space="preserve">EOH MS’s </w:t>
      </w:r>
      <w:r w:rsidR="0044588B" w:rsidRPr="008D1A11">
        <w:rPr>
          <w:rFonts w:ascii="Arial" w:hAnsi="Arial" w:cs="Arial"/>
          <w:sz w:val="24"/>
          <w:szCs w:val="24"/>
          <w:lang w:val="en-US"/>
        </w:rPr>
        <w:t xml:space="preserve">annual financial statements for the financial years 2013 through 2018.  </w:t>
      </w:r>
    </w:p>
    <w:p w14:paraId="186846BD" w14:textId="04E34C1F" w:rsidR="0044588B" w:rsidRPr="008D1A11" w:rsidRDefault="00B64B8F" w:rsidP="00B64B8F">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44588B" w:rsidRPr="008D1A11">
        <w:rPr>
          <w:rFonts w:ascii="Arial" w:hAnsi="Arial" w:cs="Arial"/>
          <w:sz w:val="24"/>
          <w:szCs w:val="24"/>
          <w:lang w:val="en-US"/>
        </w:rPr>
        <w:t xml:space="preserve">Silver Touch was </w:t>
      </w:r>
      <w:r w:rsidR="00F15A91">
        <w:rPr>
          <w:rFonts w:ascii="Arial" w:hAnsi="Arial" w:cs="Arial"/>
          <w:sz w:val="24"/>
          <w:szCs w:val="24"/>
          <w:lang w:val="en-US"/>
        </w:rPr>
        <w:t xml:space="preserve">the </w:t>
      </w:r>
      <w:r w:rsidR="0044588B" w:rsidRPr="008D1A11">
        <w:rPr>
          <w:rFonts w:ascii="Arial" w:hAnsi="Arial" w:cs="Arial"/>
          <w:sz w:val="24"/>
          <w:szCs w:val="24"/>
          <w:lang w:val="en-US"/>
        </w:rPr>
        <w:t xml:space="preserve">beneficiary of </w:t>
      </w:r>
      <w:r w:rsidR="00A67C56">
        <w:rPr>
          <w:rFonts w:ascii="Arial" w:hAnsi="Arial" w:cs="Arial"/>
          <w:sz w:val="24"/>
          <w:szCs w:val="24"/>
          <w:lang w:val="en-US"/>
        </w:rPr>
        <w:t xml:space="preserve">the interest free </w:t>
      </w:r>
      <w:r w:rsidR="0044588B" w:rsidRPr="008D1A11">
        <w:rPr>
          <w:rFonts w:ascii="Arial" w:hAnsi="Arial" w:cs="Arial"/>
          <w:sz w:val="24"/>
          <w:szCs w:val="24"/>
          <w:lang w:val="en-US"/>
        </w:rPr>
        <w:t>loan</w:t>
      </w:r>
      <w:r w:rsidR="00F15A91">
        <w:rPr>
          <w:rFonts w:ascii="Arial" w:hAnsi="Arial" w:cs="Arial"/>
          <w:sz w:val="24"/>
          <w:szCs w:val="24"/>
          <w:lang w:val="en-US"/>
        </w:rPr>
        <w:t xml:space="preserve"> throughout this period</w:t>
      </w:r>
      <w:r w:rsidR="00A67C56">
        <w:rPr>
          <w:rFonts w:ascii="Arial" w:hAnsi="Arial" w:cs="Arial"/>
          <w:sz w:val="24"/>
          <w:szCs w:val="24"/>
          <w:lang w:val="en-US"/>
        </w:rPr>
        <w:t xml:space="preserve">.  It was </w:t>
      </w:r>
      <w:r w:rsidR="0044588B" w:rsidRPr="008D1A11">
        <w:rPr>
          <w:rFonts w:ascii="Arial" w:hAnsi="Arial" w:cs="Arial"/>
          <w:sz w:val="24"/>
          <w:szCs w:val="24"/>
          <w:lang w:val="en-US"/>
        </w:rPr>
        <w:t xml:space="preserve">represented at all times by the </w:t>
      </w:r>
      <w:r w:rsidR="00F15A91">
        <w:rPr>
          <w:rFonts w:ascii="Arial" w:hAnsi="Arial" w:cs="Arial"/>
          <w:sz w:val="24"/>
          <w:szCs w:val="24"/>
          <w:lang w:val="en-US"/>
        </w:rPr>
        <w:t>a</w:t>
      </w:r>
      <w:r w:rsidR="0044588B" w:rsidRPr="008D1A11">
        <w:rPr>
          <w:rFonts w:ascii="Arial" w:hAnsi="Arial" w:cs="Arial"/>
          <w:sz w:val="24"/>
          <w:szCs w:val="24"/>
          <w:lang w:val="en-US"/>
        </w:rPr>
        <w:t>pplicant</w:t>
      </w:r>
      <w:r w:rsidR="00A67C56">
        <w:rPr>
          <w:rFonts w:ascii="Arial" w:hAnsi="Arial" w:cs="Arial"/>
          <w:sz w:val="24"/>
          <w:szCs w:val="24"/>
          <w:lang w:val="en-US"/>
        </w:rPr>
        <w:t>, who was its sole director</w:t>
      </w:r>
      <w:r w:rsidR="0044588B" w:rsidRPr="008D1A11">
        <w:rPr>
          <w:rFonts w:ascii="Arial" w:hAnsi="Arial" w:cs="Arial"/>
          <w:sz w:val="24"/>
          <w:szCs w:val="24"/>
          <w:lang w:val="en-US"/>
        </w:rPr>
        <w:t xml:space="preserve">.  </w:t>
      </w:r>
    </w:p>
    <w:p w14:paraId="3BB4D353" w14:textId="260CF5E7" w:rsidR="00DF48DD" w:rsidRDefault="00B64B8F" w:rsidP="00B64B8F">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44588B" w:rsidRPr="008D1A11">
        <w:rPr>
          <w:rFonts w:ascii="Arial" w:hAnsi="Arial" w:cs="Arial"/>
          <w:sz w:val="24"/>
          <w:szCs w:val="24"/>
          <w:lang w:val="en-US"/>
        </w:rPr>
        <w:t>Th</w:t>
      </w:r>
      <w:r w:rsidR="005F08E7">
        <w:rPr>
          <w:rFonts w:ascii="Arial" w:hAnsi="Arial" w:cs="Arial"/>
          <w:sz w:val="24"/>
          <w:szCs w:val="24"/>
          <w:lang w:val="en-US"/>
        </w:rPr>
        <w:t xml:space="preserve">e document on which the controversy centers is a short </w:t>
      </w:r>
      <w:r w:rsidR="00D33206">
        <w:rPr>
          <w:rFonts w:ascii="Arial" w:hAnsi="Arial" w:cs="Arial"/>
          <w:sz w:val="24"/>
          <w:szCs w:val="24"/>
          <w:lang w:val="en-US"/>
        </w:rPr>
        <w:t xml:space="preserve">agreement recording an extension of the repayment date for the loan.  That agreement was </w:t>
      </w:r>
      <w:r w:rsidR="0044588B" w:rsidRPr="008D1A11">
        <w:rPr>
          <w:rFonts w:ascii="Arial" w:hAnsi="Arial" w:cs="Arial"/>
          <w:sz w:val="24"/>
          <w:szCs w:val="24"/>
          <w:lang w:val="en-US"/>
        </w:rPr>
        <w:t>purportedly entered into during July 2013</w:t>
      </w:r>
      <w:r w:rsidR="00407C74">
        <w:rPr>
          <w:rFonts w:ascii="Arial" w:hAnsi="Arial" w:cs="Arial"/>
          <w:sz w:val="24"/>
          <w:szCs w:val="24"/>
          <w:lang w:val="en-US"/>
        </w:rPr>
        <w:t xml:space="preserve">, at around the time of the cession of the loan claim from TSS to </w:t>
      </w:r>
      <w:r w:rsidR="00AF595C">
        <w:rPr>
          <w:rFonts w:ascii="Arial" w:hAnsi="Arial" w:cs="Arial"/>
          <w:sz w:val="24"/>
          <w:szCs w:val="24"/>
          <w:lang w:val="en-US"/>
        </w:rPr>
        <w:t>EOH MS</w:t>
      </w:r>
      <w:r w:rsidR="00A003E9">
        <w:rPr>
          <w:rFonts w:ascii="Arial" w:hAnsi="Arial" w:cs="Arial"/>
          <w:sz w:val="24"/>
          <w:szCs w:val="24"/>
          <w:lang w:val="en-US"/>
        </w:rPr>
        <w:t>.  The agreement’s</w:t>
      </w:r>
      <w:r w:rsidR="00D33206">
        <w:rPr>
          <w:rFonts w:ascii="Arial" w:hAnsi="Arial" w:cs="Arial"/>
          <w:sz w:val="24"/>
          <w:szCs w:val="24"/>
          <w:lang w:val="en-US"/>
        </w:rPr>
        <w:t xml:space="preserve"> </w:t>
      </w:r>
      <w:r w:rsidR="0044588B" w:rsidRPr="008D1A11">
        <w:rPr>
          <w:rFonts w:ascii="Arial" w:hAnsi="Arial" w:cs="Arial"/>
          <w:sz w:val="24"/>
          <w:szCs w:val="24"/>
          <w:lang w:val="en-US"/>
        </w:rPr>
        <w:t xml:space="preserve">only material term </w:t>
      </w:r>
      <w:r w:rsidR="00D33206">
        <w:rPr>
          <w:rFonts w:ascii="Arial" w:hAnsi="Arial" w:cs="Arial"/>
          <w:sz w:val="24"/>
          <w:szCs w:val="24"/>
          <w:lang w:val="en-US"/>
        </w:rPr>
        <w:t xml:space="preserve">extended the </w:t>
      </w:r>
      <w:r w:rsidR="0044588B" w:rsidRPr="008D1A11">
        <w:rPr>
          <w:rFonts w:ascii="Arial" w:hAnsi="Arial" w:cs="Arial"/>
          <w:sz w:val="24"/>
          <w:szCs w:val="24"/>
          <w:lang w:val="en-US"/>
        </w:rPr>
        <w:t>repayment date for the loan</w:t>
      </w:r>
      <w:r w:rsidR="00D33206">
        <w:rPr>
          <w:rFonts w:ascii="Arial" w:hAnsi="Arial" w:cs="Arial"/>
          <w:sz w:val="24"/>
          <w:szCs w:val="24"/>
          <w:lang w:val="en-US"/>
        </w:rPr>
        <w:t xml:space="preserve"> </w:t>
      </w:r>
      <w:r w:rsidR="00F10F03">
        <w:rPr>
          <w:rFonts w:ascii="Arial" w:hAnsi="Arial" w:cs="Arial"/>
          <w:sz w:val="24"/>
          <w:szCs w:val="24"/>
          <w:lang w:val="en-US"/>
        </w:rPr>
        <w:t xml:space="preserve">from 31 December 2013 until </w:t>
      </w:r>
      <w:r w:rsidR="0044588B" w:rsidRPr="008D1A11">
        <w:rPr>
          <w:rFonts w:ascii="Arial" w:hAnsi="Arial" w:cs="Arial"/>
          <w:sz w:val="24"/>
          <w:szCs w:val="24"/>
          <w:lang w:val="en-US"/>
        </w:rPr>
        <w:t xml:space="preserve">31 January 2015.  </w:t>
      </w:r>
    </w:p>
    <w:p w14:paraId="736E7974" w14:textId="7A9271F4" w:rsidR="0044588B" w:rsidRPr="008D1A11" w:rsidRDefault="00482F5D"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E948B4">
        <w:rPr>
          <w:rFonts w:ascii="Arial" w:hAnsi="Arial" w:cs="Arial"/>
          <w:sz w:val="24"/>
          <w:szCs w:val="24"/>
          <w:lang w:val="en-US"/>
        </w:rPr>
        <w:t>Th</w:t>
      </w:r>
      <w:r w:rsidR="00475CC0">
        <w:rPr>
          <w:rFonts w:ascii="Arial" w:hAnsi="Arial" w:cs="Arial"/>
          <w:sz w:val="24"/>
          <w:szCs w:val="24"/>
          <w:lang w:val="en-US"/>
        </w:rPr>
        <w:t>e</w:t>
      </w:r>
      <w:r w:rsidR="00E948B4">
        <w:rPr>
          <w:rFonts w:ascii="Arial" w:hAnsi="Arial" w:cs="Arial"/>
          <w:sz w:val="24"/>
          <w:szCs w:val="24"/>
          <w:lang w:val="en-US"/>
        </w:rPr>
        <w:t xml:space="preserve"> </w:t>
      </w:r>
      <w:r w:rsidR="008D632A">
        <w:rPr>
          <w:rFonts w:ascii="Arial" w:hAnsi="Arial" w:cs="Arial"/>
          <w:sz w:val="24"/>
          <w:szCs w:val="24"/>
          <w:lang w:val="en-US"/>
        </w:rPr>
        <w:t xml:space="preserve">document </w:t>
      </w:r>
      <w:r w:rsidR="00DF48DD">
        <w:rPr>
          <w:rFonts w:ascii="Arial" w:hAnsi="Arial" w:cs="Arial"/>
          <w:sz w:val="24"/>
          <w:szCs w:val="24"/>
          <w:lang w:val="en-US"/>
        </w:rPr>
        <w:t xml:space="preserve">was </w:t>
      </w:r>
      <w:r>
        <w:rPr>
          <w:rFonts w:ascii="Arial" w:hAnsi="Arial" w:cs="Arial"/>
          <w:sz w:val="24"/>
          <w:szCs w:val="24"/>
          <w:lang w:val="en-US"/>
        </w:rPr>
        <w:t xml:space="preserve">originally </w:t>
      </w:r>
      <w:r w:rsidR="00FD37BD">
        <w:rPr>
          <w:rFonts w:ascii="Arial" w:hAnsi="Arial" w:cs="Arial"/>
          <w:sz w:val="24"/>
          <w:szCs w:val="24"/>
          <w:lang w:val="en-US"/>
        </w:rPr>
        <w:t xml:space="preserve">created </w:t>
      </w:r>
      <w:r w:rsidR="00A003E9" w:rsidRPr="008D1A11">
        <w:rPr>
          <w:rFonts w:ascii="Arial" w:hAnsi="Arial" w:cs="Arial"/>
          <w:sz w:val="24"/>
          <w:szCs w:val="24"/>
          <w:lang w:val="en-US"/>
        </w:rPr>
        <w:t>during July 2013</w:t>
      </w:r>
      <w:r w:rsidR="00A003E9">
        <w:rPr>
          <w:rFonts w:ascii="Arial" w:hAnsi="Arial" w:cs="Arial"/>
          <w:sz w:val="24"/>
          <w:szCs w:val="24"/>
          <w:lang w:val="en-US"/>
        </w:rPr>
        <w:t xml:space="preserve"> </w:t>
      </w:r>
      <w:r w:rsidR="00DF48DD">
        <w:rPr>
          <w:rFonts w:ascii="Arial" w:hAnsi="Arial" w:cs="Arial"/>
          <w:sz w:val="24"/>
          <w:szCs w:val="24"/>
          <w:lang w:val="en-US"/>
        </w:rPr>
        <w:t xml:space="preserve">by </w:t>
      </w:r>
      <w:r w:rsidR="00B64B8F">
        <w:rPr>
          <w:rFonts w:ascii="Arial" w:hAnsi="Arial" w:cs="Arial"/>
          <w:sz w:val="24"/>
          <w:szCs w:val="24"/>
          <w:lang w:val="en-US"/>
        </w:rPr>
        <w:t xml:space="preserve">an </w:t>
      </w:r>
      <w:r w:rsidR="00A003E9">
        <w:rPr>
          <w:rFonts w:ascii="Arial" w:hAnsi="Arial" w:cs="Arial"/>
          <w:sz w:val="24"/>
          <w:szCs w:val="24"/>
          <w:lang w:val="en-US"/>
        </w:rPr>
        <w:t xml:space="preserve">unidentified </w:t>
      </w:r>
      <w:r w:rsidR="0044588B" w:rsidRPr="008D1A11">
        <w:rPr>
          <w:rFonts w:ascii="Arial" w:hAnsi="Arial" w:cs="Arial"/>
          <w:sz w:val="24"/>
          <w:szCs w:val="24"/>
          <w:lang w:val="en-US"/>
        </w:rPr>
        <w:t xml:space="preserve">employee of the EOH </w:t>
      </w:r>
      <w:r w:rsidR="00DF48DD">
        <w:rPr>
          <w:rFonts w:ascii="Arial" w:hAnsi="Arial" w:cs="Arial"/>
          <w:sz w:val="24"/>
          <w:szCs w:val="24"/>
          <w:lang w:val="en-US"/>
        </w:rPr>
        <w:t>g</w:t>
      </w:r>
      <w:r w:rsidR="0044588B" w:rsidRPr="008D1A11">
        <w:rPr>
          <w:rFonts w:ascii="Arial" w:hAnsi="Arial" w:cs="Arial"/>
          <w:sz w:val="24"/>
          <w:szCs w:val="24"/>
          <w:lang w:val="en-US"/>
        </w:rPr>
        <w:t xml:space="preserve">roup.  </w:t>
      </w:r>
      <w:r w:rsidR="00E948B4">
        <w:rPr>
          <w:rFonts w:ascii="Arial" w:hAnsi="Arial" w:cs="Arial"/>
          <w:sz w:val="24"/>
          <w:szCs w:val="24"/>
          <w:lang w:val="en-US"/>
        </w:rPr>
        <w:t>In fact t</w:t>
      </w:r>
      <w:r w:rsidR="00FE413B">
        <w:rPr>
          <w:rFonts w:ascii="Arial" w:hAnsi="Arial" w:cs="Arial"/>
          <w:sz w:val="24"/>
          <w:szCs w:val="24"/>
          <w:lang w:val="en-US"/>
        </w:rPr>
        <w:t xml:space="preserve">wo documents were </w:t>
      </w:r>
      <w:r w:rsidR="0054656A">
        <w:rPr>
          <w:rFonts w:ascii="Arial" w:hAnsi="Arial" w:cs="Arial"/>
          <w:sz w:val="24"/>
          <w:szCs w:val="24"/>
          <w:lang w:val="en-US"/>
        </w:rPr>
        <w:t xml:space="preserve">created </w:t>
      </w:r>
      <w:r w:rsidR="00E948B4">
        <w:rPr>
          <w:rFonts w:ascii="Arial" w:hAnsi="Arial" w:cs="Arial"/>
          <w:sz w:val="24"/>
          <w:szCs w:val="24"/>
          <w:lang w:val="en-US"/>
        </w:rPr>
        <w:t xml:space="preserve">at this time </w:t>
      </w:r>
      <w:r w:rsidR="00FE413B">
        <w:rPr>
          <w:rFonts w:ascii="Arial" w:hAnsi="Arial" w:cs="Arial"/>
          <w:sz w:val="24"/>
          <w:szCs w:val="24"/>
          <w:lang w:val="en-US"/>
        </w:rPr>
        <w:t xml:space="preserve">in </w:t>
      </w:r>
      <w:r w:rsidR="00833CD3">
        <w:rPr>
          <w:rFonts w:ascii="Arial" w:hAnsi="Arial" w:cs="Arial"/>
          <w:sz w:val="24"/>
          <w:szCs w:val="24"/>
          <w:lang w:val="en-US"/>
        </w:rPr>
        <w:t xml:space="preserve">relatively </w:t>
      </w:r>
      <w:r w:rsidR="00FE413B">
        <w:rPr>
          <w:rFonts w:ascii="Arial" w:hAnsi="Arial" w:cs="Arial"/>
          <w:sz w:val="24"/>
          <w:szCs w:val="24"/>
          <w:lang w:val="en-US"/>
        </w:rPr>
        <w:t>quick succession</w:t>
      </w:r>
      <w:r w:rsidR="00833CD3">
        <w:rPr>
          <w:rFonts w:ascii="Arial" w:hAnsi="Arial" w:cs="Arial"/>
          <w:sz w:val="24"/>
          <w:szCs w:val="24"/>
          <w:lang w:val="en-US"/>
        </w:rPr>
        <w:t>, and it is necessary to deal with both.</w:t>
      </w:r>
      <w:r w:rsidR="00FE413B">
        <w:rPr>
          <w:rFonts w:ascii="Arial" w:hAnsi="Arial" w:cs="Arial"/>
          <w:sz w:val="24"/>
          <w:szCs w:val="24"/>
          <w:lang w:val="en-US"/>
        </w:rPr>
        <w:t xml:space="preserve">  </w:t>
      </w:r>
      <w:r w:rsidR="0044588B" w:rsidRPr="008D1A11">
        <w:rPr>
          <w:rFonts w:ascii="Arial" w:hAnsi="Arial" w:cs="Arial"/>
          <w:sz w:val="24"/>
          <w:szCs w:val="24"/>
          <w:lang w:val="en-US"/>
        </w:rPr>
        <w:t xml:space="preserve">  </w:t>
      </w:r>
    </w:p>
    <w:p w14:paraId="34B3D204" w14:textId="4CC4063E" w:rsidR="00F47D38" w:rsidRDefault="00482F5D"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 xml:space="preserve">[20] </w:t>
      </w:r>
      <w:r>
        <w:rPr>
          <w:rFonts w:ascii="Arial" w:hAnsi="Arial" w:cs="Arial"/>
          <w:sz w:val="24"/>
          <w:szCs w:val="24"/>
          <w:lang w:val="en-US"/>
        </w:rPr>
        <w:tab/>
      </w:r>
      <w:r w:rsidR="0044588B" w:rsidRPr="008D1A11">
        <w:rPr>
          <w:rFonts w:ascii="Arial" w:hAnsi="Arial" w:cs="Arial"/>
          <w:sz w:val="24"/>
          <w:szCs w:val="24"/>
          <w:lang w:val="en-US"/>
        </w:rPr>
        <w:t xml:space="preserve">The first </w:t>
      </w:r>
      <w:r w:rsidR="008D632A">
        <w:rPr>
          <w:rFonts w:ascii="Arial" w:hAnsi="Arial" w:cs="Arial"/>
          <w:sz w:val="24"/>
          <w:szCs w:val="24"/>
          <w:lang w:val="en-US"/>
        </w:rPr>
        <w:t>document</w:t>
      </w:r>
      <w:r w:rsidR="0044588B" w:rsidRPr="008D1A11">
        <w:rPr>
          <w:rFonts w:ascii="Arial" w:hAnsi="Arial" w:cs="Arial"/>
          <w:sz w:val="24"/>
          <w:szCs w:val="24"/>
          <w:lang w:val="en-US"/>
        </w:rPr>
        <w:t xml:space="preserve">, which the </w:t>
      </w:r>
      <w:r w:rsidR="00FE413B">
        <w:rPr>
          <w:rFonts w:ascii="Arial" w:hAnsi="Arial" w:cs="Arial"/>
          <w:sz w:val="24"/>
          <w:szCs w:val="24"/>
          <w:lang w:val="en-US"/>
        </w:rPr>
        <w:t>a</w:t>
      </w:r>
      <w:r w:rsidR="0044588B" w:rsidRPr="008D1A11">
        <w:rPr>
          <w:rFonts w:ascii="Arial" w:hAnsi="Arial" w:cs="Arial"/>
          <w:sz w:val="24"/>
          <w:szCs w:val="24"/>
          <w:lang w:val="en-US"/>
        </w:rPr>
        <w:t xml:space="preserve">pplicant and </w:t>
      </w:r>
      <w:r w:rsidR="00FE413B">
        <w:rPr>
          <w:rFonts w:ascii="Arial" w:hAnsi="Arial" w:cs="Arial"/>
          <w:sz w:val="24"/>
          <w:szCs w:val="24"/>
          <w:lang w:val="en-US"/>
        </w:rPr>
        <w:t>f</w:t>
      </w:r>
      <w:r w:rsidR="0044588B" w:rsidRPr="008D1A11">
        <w:rPr>
          <w:rFonts w:ascii="Arial" w:hAnsi="Arial" w:cs="Arial"/>
          <w:sz w:val="24"/>
          <w:szCs w:val="24"/>
          <w:lang w:val="en-US"/>
        </w:rPr>
        <w:t xml:space="preserve">ourth </w:t>
      </w:r>
      <w:r w:rsidR="00FE413B">
        <w:rPr>
          <w:rFonts w:ascii="Arial" w:hAnsi="Arial" w:cs="Arial"/>
          <w:sz w:val="24"/>
          <w:szCs w:val="24"/>
          <w:lang w:val="en-US"/>
        </w:rPr>
        <w:t>r</w:t>
      </w:r>
      <w:r w:rsidR="0044588B" w:rsidRPr="008D1A11">
        <w:rPr>
          <w:rFonts w:ascii="Arial" w:hAnsi="Arial" w:cs="Arial"/>
          <w:sz w:val="24"/>
          <w:szCs w:val="24"/>
          <w:lang w:val="en-US"/>
        </w:rPr>
        <w:t xml:space="preserve">espondent </w:t>
      </w:r>
      <w:r w:rsidR="00FE413B">
        <w:rPr>
          <w:rFonts w:ascii="Arial" w:hAnsi="Arial" w:cs="Arial"/>
          <w:sz w:val="24"/>
          <w:szCs w:val="24"/>
          <w:lang w:val="en-US"/>
        </w:rPr>
        <w:t xml:space="preserve">both </w:t>
      </w:r>
      <w:r w:rsidR="00833CD3">
        <w:rPr>
          <w:rFonts w:ascii="Arial" w:hAnsi="Arial" w:cs="Arial"/>
          <w:sz w:val="24"/>
          <w:szCs w:val="24"/>
          <w:lang w:val="en-US"/>
        </w:rPr>
        <w:t xml:space="preserve">confirm </w:t>
      </w:r>
      <w:r w:rsidR="0044588B" w:rsidRPr="008D1A11">
        <w:rPr>
          <w:rFonts w:ascii="Arial" w:hAnsi="Arial" w:cs="Arial"/>
          <w:sz w:val="24"/>
          <w:szCs w:val="24"/>
          <w:lang w:val="en-US"/>
        </w:rPr>
        <w:t xml:space="preserve">having </w:t>
      </w:r>
      <w:r w:rsidR="00FE413B">
        <w:rPr>
          <w:rFonts w:ascii="Arial" w:hAnsi="Arial" w:cs="Arial"/>
          <w:sz w:val="24"/>
          <w:szCs w:val="24"/>
          <w:lang w:val="en-US"/>
        </w:rPr>
        <w:t xml:space="preserve">signed, was </w:t>
      </w:r>
      <w:r w:rsidR="00C30074">
        <w:rPr>
          <w:rFonts w:ascii="Arial" w:hAnsi="Arial" w:cs="Arial"/>
          <w:sz w:val="24"/>
          <w:szCs w:val="24"/>
          <w:lang w:val="en-US"/>
        </w:rPr>
        <w:t xml:space="preserve">an agreement </w:t>
      </w:r>
      <w:r w:rsidR="0044588B" w:rsidRPr="008D1A11">
        <w:rPr>
          <w:rFonts w:ascii="Arial" w:hAnsi="Arial" w:cs="Arial"/>
          <w:sz w:val="24"/>
          <w:szCs w:val="24"/>
          <w:lang w:val="en-US"/>
        </w:rPr>
        <w:t xml:space="preserve">entered into </w:t>
      </w:r>
      <w:r w:rsidR="00C30074">
        <w:rPr>
          <w:rFonts w:ascii="Arial" w:hAnsi="Arial" w:cs="Arial"/>
          <w:sz w:val="24"/>
          <w:szCs w:val="24"/>
          <w:lang w:val="en-US"/>
        </w:rPr>
        <w:t xml:space="preserve">between </w:t>
      </w:r>
      <w:r w:rsidR="0044588B" w:rsidRPr="008D1A11">
        <w:rPr>
          <w:rFonts w:ascii="Arial" w:hAnsi="Arial" w:cs="Arial"/>
          <w:sz w:val="24"/>
          <w:szCs w:val="24"/>
          <w:lang w:val="en-US"/>
        </w:rPr>
        <w:t xml:space="preserve">Silver Touch </w:t>
      </w:r>
      <w:r w:rsidR="00FE413B">
        <w:rPr>
          <w:rFonts w:ascii="Arial" w:hAnsi="Arial" w:cs="Arial"/>
          <w:sz w:val="24"/>
          <w:szCs w:val="24"/>
          <w:lang w:val="en-US"/>
        </w:rPr>
        <w:t xml:space="preserve">on the one hand </w:t>
      </w:r>
      <w:r w:rsidR="0044588B" w:rsidRPr="008D1A11">
        <w:rPr>
          <w:rFonts w:ascii="Arial" w:hAnsi="Arial" w:cs="Arial"/>
          <w:sz w:val="24"/>
          <w:szCs w:val="24"/>
          <w:lang w:val="en-US"/>
        </w:rPr>
        <w:t xml:space="preserve">and EOH </w:t>
      </w:r>
      <w:r w:rsidR="00771009">
        <w:rPr>
          <w:rFonts w:ascii="Arial" w:hAnsi="Arial" w:cs="Arial"/>
          <w:sz w:val="24"/>
          <w:szCs w:val="24"/>
          <w:lang w:val="en-US"/>
        </w:rPr>
        <w:t>Mthombo</w:t>
      </w:r>
      <w:r w:rsidR="0044588B" w:rsidRPr="008D1A11">
        <w:rPr>
          <w:rFonts w:ascii="Arial" w:hAnsi="Arial" w:cs="Arial"/>
          <w:sz w:val="24"/>
          <w:szCs w:val="24"/>
          <w:lang w:val="en-US"/>
        </w:rPr>
        <w:t xml:space="preserve"> </w:t>
      </w:r>
      <w:r w:rsidR="00FE413B">
        <w:rPr>
          <w:rFonts w:ascii="Arial" w:hAnsi="Arial" w:cs="Arial"/>
          <w:sz w:val="24"/>
          <w:szCs w:val="24"/>
          <w:lang w:val="en-US"/>
        </w:rPr>
        <w:t xml:space="preserve">on the other.  </w:t>
      </w:r>
      <w:r>
        <w:rPr>
          <w:rFonts w:ascii="Arial" w:hAnsi="Arial" w:cs="Arial"/>
          <w:sz w:val="24"/>
          <w:szCs w:val="24"/>
          <w:lang w:val="en-US"/>
        </w:rPr>
        <w:t xml:space="preserve">It </w:t>
      </w:r>
      <w:r w:rsidR="00C30074">
        <w:rPr>
          <w:rFonts w:ascii="Arial" w:hAnsi="Arial" w:cs="Arial"/>
          <w:sz w:val="24"/>
          <w:szCs w:val="24"/>
          <w:lang w:val="en-US"/>
        </w:rPr>
        <w:t>was</w:t>
      </w:r>
      <w:r w:rsidR="00FE413B">
        <w:rPr>
          <w:rFonts w:ascii="Arial" w:hAnsi="Arial" w:cs="Arial"/>
          <w:sz w:val="24"/>
          <w:szCs w:val="24"/>
          <w:lang w:val="en-US"/>
        </w:rPr>
        <w:t xml:space="preserve"> signed </w:t>
      </w:r>
      <w:r w:rsidR="0044588B" w:rsidRPr="008D1A11">
        <w:rPr>
          <w:rFonts w:ascii="Arial" w:hAnsi="Arial" w:cs="Arial"/>
          <w:sz w:val="24"/>
          <w:szCs w:val="24"/>
          <w:lang w:val="en-US"/>
        </w:rPr>
        <w:t xml:space="preserve">by the </w:t>
      </w:r>
      <w:r w:rsidR="00FE413B">
        <w:rPr>
          <w:rFonts w:ascii="Arial" w:hAnsi="Arial" w:cs="Arial"/>
          <w:sz w:val="24"/>
          <w:szCs w:val="24"/>
          <w:lang w:val="en-US"/>
        </w:rPr>
        <w:t>f</w:t>
      </w:r>
      <w:r w:rsidR="0044588B" w:rsidRPr="008D1A11">
        <w:rPr>
          <w:rFonts w:ascii="Arial" w:hAnsi="Arial" w:cs="Arial"/>
          <w:sz w:val="24"/>
          <w:szCs w:val="24"/>
          <w:lang w:val="en-US"/>
        </w:rPr>
        <w:t xml:space="preserve">ourth </w:t>
      </w:r>
      <w:r w:rsidR="00FE413B">
        <w:rPr>
          <w:rFonts w:ascii="Arial" w:hAnsi="Arial" w:cs="Arial"/>
          <w:sz w:val="24"/>
          <w:szCs w:val="24"/>
          <w:lang w:val="en-US"/>
        </w:rPr>
        <w:t>r</w:t>
      </w:r>
      <w:r w:rsidR="0044588B" w:rsidRPr="008D1A11">
        <w:rPr>
          <w:rFonts w:ascii="Arial" w:hAnsi="Arial" w:cs="Arial"/>
          <w:sz w:val="24"/>
          <w:szCs w:val="24"/>
          <w:lang w:val="en-US"/>
        </w:rPr>
        <w:t xml:space="preserve">espondent </w:t>
      </w:r>
      <w:r w:rsidR="00FE413B">
        <w:rPr>
          <w:rFonts w:ascii="Arial" w:hAnsi="Arial" w:cs="Arial"/>
          <w:sz w:val="24"/>
          <w:szCs w:val="24"/>
          <w:lang w:val="en-US"/>
        </w:rPr>
        <w:t xml:space="preserve">on behalf of EOH Mthombo </w:t>
      </w:r>
      <w:r w:rsidR="0044588B" w:rsidRPr="008D1A11">
        <w:rPr>
          <w:rFonts w:ascii="Arial" w:hAnsi="Arial" w:cs="Arial"/>
          <w:sz w:val="24"/>
          <w:szCs w:val="24"/>
          <w:lang w:val="en-US"/>
        </w:rPr>
        <w:t xml:space="preserve">on 25 July </w:t>
      </w:r>
      <w:r w:rsidR="00FE413B">
        <w:rPr>
          <w:rFonts w:ascii="Arial" w:hAnsi="Arial" w:cs="Arial"/>
          <w:sz w:val="24"/>
          <w:szCs w:val="24"/>
          <w:lang w:val="en-US"/>
        </w:rPr>
        <w:t xml:space="preserve">2013 and by </w:t>
      </w:r>
      <w:r w:rsidR="0044588B" w:rsidRPr="008D1A11">
        <w:rPr>
          <w:rFonts w:ascii="Arial" w:hAnsi="Arial" w:cs="Arial"/>
          <w:sz w:val="24"/>
          <w:szCs w:val="24"/>
          <w:lang w:val="en-US"/>
        </w:rPr>
        <w:t xml:space="preserve">the </w:t>
      </w:r>
      <w:r w:rsidR="00C30074">
        <w:rPr>
          <w:rFonts w:ascii="Arial" w:hAnsi="Arial" w:cs="Arial"/>
          <w:sz w:val="24"/>
          <w:szCs w:val="24"/>
          <w:lang w:val="en-US"/>
        </w:rPr>
        <w:t>a</w:t>
      </w:r>
      <w:r w:rsidR="0044588B" w:rsidRPr="008D1A11">
        <w:rPr>
          <w:rFonts w:ascii="Arial" w:hAnsi="Arial" w:cs="Arial"/>
          <w:sz w:val="24"/>
          <w:szCs w:val="24"/>
          <w:lang w:val="en-US"/>
        </w:rPr>
        <w:t xml:space="preserve">pplicant </w:t>
      </w:r>
      <w:r w:rsidR="004C19BF">
        <w:rPr>
          <w:rFonts w:ascii="Arial" w:hAnsi="Arial" w:cs="Arial"/>
          <w:sz w:val="24"/>
          <w:szCs w:val="24"/>
          <w:lang w:val="en-US"/>
        </w:rPr>
        <w:t xml:space="preserve">on behalf of Silver Touch </w:t>
      </w:r>
      <w:r w:rsidR="0044588B" w:rsidRPr="008D1A11">
        <w:rPr>
          <w:rFonts w:ascii="Arial" w:hAnsi="Arial" w:cs="Arial"/>
          <w:sz w:val="24"/>
          <w:szCs w:val="24"/>
          <w:lang w:val="en-US"/>
        </w:rPr>
        <w:t xml:space="preserve">on 30 July </w:t>
      </w:r>
      <w:r w:rsidR="004C19BF">
        <w:rPr>
          <w:rFonts w:ascii="Arial" w:hAnsi="Arial" w:cs="Arial"/>
          <w:sz w:val="24"/>
          <w:szCs w:val="24"/>
          <w:lang w:val="en-US"/>
        </w:rPr>
        <w:t xml:space="preserve">2013.  </w:t>
      </w:r>
      <w:r w:rsidR="00CC0B86">
        <w:rPr>
          <w:rFonts w:ascii="Arial" w:hAnsi="Arial" w:cs="Arial"/>
          <w:sz w:val="24"/>
          <w:szCs w:val="24"/>
          <w:lang w:val="en-US"/>
        </w:rPr>
        <w:t xml:space="preserve">The evidence indicates that it </w:t>
      </w:r>
      <w:r w:rsidR="004C19BF">
        <w:rPr>
          <w:rFonts w:ascii="Arial" w:hAnsi="Arial" w:cs="Arial"/>
          <w:sz w:val="24"/>
          <w:szCs w:val="24"/>
          <w:lang w:val="en-US"/>
        </w:rPr>
        <w:t xml:space="preserve">was </w:t>
      </w:r>
      <w:r w:rsidR="0044588B" w:rsidRPr="008D1A11">
        <w:rPr>
          <w:rFonts w:ascii="Arial" w:hAnsi="Arial" w:cs="Arial"/>
          <w:sz w:val="24"/>
          <w:szCs w:val="24"/>
          <w:lang w:val="en-US"/>
        </w:rPr>
        <w:t xml:space="preserve">scanned and saved onto the </w:t>
      </w:r>
      <w:r w:rsidR="00C30074">
        <w:rPr>
          <w:rFonts w:ascii="Arial" w:hAnsi="Arial" w:cs="Arial"/>
          <w:sz w:val="24"/>
          <w:szCs w:val="24"/>
          <w:lang w:val="en-US"/>
        </w:rPr>
        <w:t xml:space="preserve">relevant </w:t>
      </w:r>
      <w:r w:rsidR="00BD3C7B">
        <w:rPr>
          <w:rFonts w:ascii="Arial" w:hAnsi="Arial" w:cs="Arial"/>
          <w:sz w:val="24"/>
          <w:szCs w:val="24"/>
          <w:lang w:val="en-US"/>
        </w:rPr>
        <w:t xml:space="preserve">EOH </w:t>
      </w:r>
      <w:r w:rsidR="0044588B" w:rsidRPr="008D1A11">
        <w:rPr>
          <w:rFonts w:ascii="Arial" w:hAnsi="Arial" w:cs="Arial"/>
          <w:sz w:val="24"/>
          <w:szCs w:val="24"/>
          <w:lang w:val="en-US"/>
        </w:rPr>
        <w:t xml:space="preserve">server </w:t>
      </w:r>
      <w:r w:rsidR="004618CB" w:rsidRPr="008D1A11">
        <w:rPr>
          <w:rFonts w:ascii="Arial" w:hAnsi="Arial" w:cs="Arial"/>
          <w:sz w:val="24"/>
          <w:szCs w:val="24"/>
          <w:lang w:val="en-US"/>
        </w:rPr>
        <w:t>at 14</w:t>
      </w:r>
      <w:r w:rsidR="004618CB">
        <w:rPr>
          <w:rFonts w:ascii="Arial" w:hAnsi="Arial" w:cs="Arial"/>
          <w:sz w:val="24"/>
          <w:szCs w:val="24"/>
          <w:lang w:val="en-US"/>
        </w:rPr>
        <w:t>h</w:t>
      </w:r>
      <w:r w:rsidR="004618CB" w:rsidRPr="008D1A11">
        <w:rPr>
          <w:rFonts w:ascii="Arial" w:hAnsi="Arial" w:cs="Arial"/>
          <w:sz w:val="24"/>
          <w:szCs w:val="24"/>
          <w:lang w:val="en-US"/>
        </w:rPr>
        <w:t>12</w:t>
      </w:r>
      <w:r w:rsidR="004618CB">
        <w:rPr>
          <w:rFonts w:ascii="Arial" w:hAnsi="Arial" w:cs="Arial"/>
          <w:sz w:val="24"/>
          <w:szCs w:val="24"/>
          <w:lang w:val="en-US"/>
        </w:rPr>
        <w:t xml:space="preserve"> </w:t>
      </w:r>
      <w:r w:rsidR="0044588B" w:rsidRPr="008D1A11">
        <w:rPr>
          <w:rFonts w:ascii="Arial" w:hAnsi="Arial" w:cs="Arial"/>
          <w:sz w:val="24"/>
          <w:szCs w:val="24"/>
          <w:lang w:val="en-US"/>
        </w:rPr>
        <w:t>on 30 July 2013.</w:t>
      </w:r>
      <w:r w:rsidR="00FD56F1">
        <w:rPr>
          <w:rFonts w:ascii="Arial" w:hAnsi="Arial" w:cs="Arial"/>
          <w:sz w:val="24"/>
          <w:szCs w:val="24"/>
          <w:lang w:val="en-US"/>
        </w:rPr>
        <w:t xml:space="preserve">  </w:t>
      </w:r>
    </w:p>
    <w:p w14:paraId="5A44739F" w14:textId="0E8C4C57" w:rsidR="00DF7F13" w:rsidRDefault="00BD3C7B"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 xml:space="preserve">[21] </w:t>
      </w:r>
      <w:r>
        <w:rPr>
          <w:rFonts w:ascii="Arial" w:hAnsi="Arial" w:cs="Arial"/>
          <w:sz w:val="24"/>
          <w:szCs w:val="24"/>
          <w:lang w:val="en-US"/>
        </w:rPr>
        <w:tab/>
      </w:r>
      <w:r w:rsidR="00F47D38">
        <w:rPr>
          <w:rFonts w:ascii="Arial" w:hAnsi="Arial" w:cs="Arial"/>
          <w:sz w:val="24"/>
          <w:szCs w:val="24"/>
          <w:lang w:val="en-US"/>
        </w:rPr>
        <w:t>Th</w:t>
      </w:r>
      <w:r w:rsidR="009C636D">
        <w:rPr>
          <w:rFonts w:ascii="Arial" w:hAnsi="Arial" w:cs="Arial"/>
          <w:sz w:val="24"/>
          <w:szCs w:val="24"/>
          <w:lang w:val="en-US"/>
        </w:rPr>
        <w:t>is first</w:t>
      </w:r>
      <w:r w:rsidR="00F47D38">
        <w:rPr>
          <w:rFonts w:ascii="Arial" w:hAnsi="Arial" w:cs="Arial"/>
          <w:sz w:val="24"/>
          <w:szCs w:val="24"/>
          <w:lang w:val="en-US"/>
        </w:rPr>
        <w:t xml:space="preserve"> document record</w:t>
      </w:r>
      <w:r w:rsidR="00FD56F1">
        <w:rPr>
          <w:rFonts w:ascii="Arial" w:hAnsi="Arial" w:cs="Arial"/>
          <w:sz w:val="24"/>
          <w:szCs w:val="24"/>
          <w:lang w:val="en-US"/>
        </w:rPr>
        <w:t>s</w:t>
      </w:r>
      <w:r w:rsidR="00F47D38">
        <w:rPr>
          <w:rFonts w:ascii="Arial" w:hAnsi="Arial" w:cs="Arial"/>
          <w:sz w:val="24"/>
          <w:szCs w:val="24"/>
          <w:lang w:val="en-US"/>
        </w:rPr>
        <w:t xml:space="preserve">, in a preamble, the </w:t>
      </w:r>
      <w:r w:rsidR="00950FDE">
        <w:rPr>
          <w:rFonts w:ascii="Arial" w:hAnsi="Arial" w:cs="Arial"/>
          <w:sz w:val="24"/>
          <w:szCs w:val="24"/>
          <w:lang w:val="en-US"/>
        </w:rPr>
        <w:t>transfer</w:t>
      </w:r>
      <w:r w:rsidR="00F47D38">
        <w:rPr>
          <w:rFonts w:ascii="Arial" w:hAnsi="Arial" w:cs="Arial"/>
          <w:sz w:val="24"/>
          <w:szCs w:val="24"/>
          <w:lang w:val="en-US"/>
        </w:rPr>
        <w:t xml:space="preserve"> of the loan claim </w:t>
      </w:r>
      <w:r w:rsidR="00FD56F1">
        <w:rPr>
          <w:rFonts w:ascii="Arial" w:hAnsi="Arial" w:cs="Arial"/>
          <w:sz w:val="24"/>
          <w:szCs w:val="24"/>
          <w:lang w:val="en-US"/>
        </w:rPr>
        <w:t xml:space="preserve">from </w:t>
      </w:r>
      <w:r w:rsidR="00FB3FD6">
        <w:rPr>
          <w:rFonts w:ascii="Arial" w:hAnsi="Arial" w:cs="Arial"/>
          <w:sz w:val="24"/>
          <w:szCs w:val="24"/>
          <w:lang w:val="en-US"/>
        </w:rPr>
        <w:t>TSS to EOH Mthombo</w:t>
      </w:r>
      <w:r w:rsidR="00BD3F5B">
        <w:rPr>
          <w:rFonts w:ascii="Arial" w:hAnsi="Arial" w:cs="Arial"/>
          <w:sz w:val="24"/>
          <w:szCs w:val="24"/>
          <w:lang w:val="en-US"/>
        </w:rPr>
        <w:t xml:space="preserve"> </w:t>
      </w:r>
      <w:r w:rsidR="009C636D">
        <w:rPr>
          <w:rFonts w:ascii="Arial" w:hAnsi="Arial" w:cs="Arial"/>
          <w:sz w:val="24"/>
          <w:szCs w:val="24"/>
          <w:lang w:val="en-US"/>
        </w:rPr>
        <w:t xml:space="preserve">- </w:t>
      </w:r>
      <w:r w:rsidR="00BD3F5B">
        <w:rPr>
          <w:rFonts w:ascii="Arial" w:hAnsi="Arial" w:cs="Arial"/>
          <w:sz w:val="24"/>
          <w:szCs w:val="24"/>
          <w:lang w:val="en-US"/>
        </w:rPr>
        <w:t>and not EOH MS</w:t>
      </w:r>
      <w:r w:rsidR="009C636D">
        <w:rPr>
          <w:rFonts w:ascii="Arial" w:hAnsi="Arial" w:cs="Arial"/>
          <w:sz w:val="24"/>
          <w:szCs w:val="24"/>
          <w:lang w:val="en-US"/>
        </w:rPr>
        <w:t xml:space="preserve"> - </w:t>
      </w:r>
      <w:r w:rsidR="00F47D38">
        <w:rPr>
          <w:rFonts w:ascii="Arial" w:hAnsi="Arial" w:cs="Arial"/>
          <w:sz w:val="24"/>
          <w:szCs w:val="24"/>
          <w:lang w:val="en-US"/>
        </w:rPr>
        <w:t xml:space="preserve">and </w:t>
      </w:r>
      <w:r w:rsidR="00FB3FD6">
        <w:rPr>
          <w:rFonts w:ascii="Arial" w:hAnsi="Arial" w:cs="Arial"/>
          <w:sz w:val="24"/>
          <w:szCs w:val="24"/>
          <w:lang w:val="en-US"/>
        </w:rPr>
        <w:t xml:space="preserve">in its only material substantive provision </w:t>
      </w:r>
      <w:r w:rsidR="00BD3F5B">
        <w:rPr>
          <w:rFonts w:ascii="Arial" w:hAnsi="Arial" w:cs="Arial"/>
          <w:sz w:val="24"/>
          <w:szCs w:val="24"/>
          <w:lang w:val="en-US"/>
        </w:rPr>
        <w:t xml:space="preserve">it </w:t>
      </w:r>
      <w:r w:rsidR="0044588B" w:rsidRPr="008D1A11">
        <w:rPr>
          <w:rFonts w:ascii="Arial" w:hAnsi="Arial" w:cs="Arial"/>
          <w:sz w:val="24"/>
          <w:szCs w:val="24"/>
          <w:lang w:val="en-US"/>
        </w:rPr>
        <w:t>extend</w:t>
      </w:r>
      <w:r w:rsidR="00FB3FD6">
        <w:rPr>
          <w:rFonts w:ascii="Arial" w:hAnsi="Arial" w:cs="Arial"/>
          <w:sz w:val="24"/>
          <w:szCs w:val="24"/>
          <w:lang w:val="en-US"/>
        </w:rPr>
        <w:t>s</w:t>
      </w:r>
      <w:r w:rsidR="0044588B" w:rsidRPr="008D1A11">
        <w:rPr>
          <w:rFonts w:ascii="Arial" w:hAnsi="Arial" w:cs="Arial"/>
          <w:sz w:val="24"/>
          <w:szCs w:val="24"/>
          <w:lang w:val="en-US"/>
        </w:rPr>
        <w:t xml:space="preserve"> the date for repayment </w:t>
      </w:r>
      <w:r w:rsidR="0000081B">
        <w:rPr>
          <w:rFonts w:ascii="Arial" w:hAnsi="Arial" w:cs="Arial"/>
          <w:sz w:val="24"/>
          <w:szCs w:val="24"/>
          <w:lang w:val="en-US"/>
        </w:rPr>
        <w:t xml:space="preserve">of the loan </w:t>
      </w:r>
      <w:r w:rsidR="00DF7F13">
        <w:rPr>
          <w:rFonts w:ascii="Arial" w:hAnsi="Arial" w:cs="Arial"/>
          <w:sz w:val="24"/>
          <w:szCs w:val="24"/>
          <w:lang w:val="en-US"/>
        </w:rPr>
        <w:t xml:space="preserve">by Silver Touch </w:t>
      </w:r>
      <w:r w:rsidR="0044588B" w:rsidRPr="008D1A11">
        <w:rPr>
          <w:rFonts w:ascii="Arial" w:hAnsi="Arial" w:cs="Arial"/>
          <w:sz w:val="24"/>
          <w:szCs w:val="24"/>
          <w:lang w:val="en-US"/>
        </w:rPr>
        <w:t>to 31 January 2015</w:t>
      </w:r>
      <w:r w:rsidR="00DF7F13">
        <w:rPr>
          <w:rFonts w:ascii="Arial" w:hAnsi="Arial" w:cs="Arial"/>
          <w:sz w:val="24"/>
          <w:szCs w:val="24"/>
          <w:lang w:val="en-US"/>
        </w:rPr>
        <w:t xml:space="preserve">.  </w:t>
      </w:r>
    </w:p>
    <w:p w14:paraId="43FA03A5" w14:textId="7ED80953" w:rsidR="00C64296" w:rsidRDefault="00BD3C7B"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864E99">
        <w:rPr>
          <w:rFonts w:ascii="Arial" w:hAnsi="Arial" w:cs="Arial"/>
          <w:sz w:val="24"/>
          <w:szCs w:val="24"/>
          <w:lang w:val="en-US"/>
        </w:rPr>
        <w:t xml:space="preserve">In fact, </w:t>
      </w:r>
      <w:r w:rsidR="00C573D3">
        <w:rPr>
          <w:rFonts w:ascii="Arial" w:hAnsi="Arial" w:cs="Arial"/>
          <w:sz w:val="24"/>
          <w:szCs w:val="24"/>
          <w:lang w:val="en-US"/>
        </w:rPr>
        <w:t xml:space="preserve">transfer of the Silver Touch loan </w:t>
      </w:r>
      <w:r w:rsidR="00864E99">
        <w:rPr>
          <w:rFonts w:ascii="Arial" w:hAnsi="Arial" w:cs="Arial"/>
          <w:sz w:val="24"/>
          <w:szCs w:val="24"/>
          <w:lang w:val="en-US"/>
        </w:rPr>
        <w:t xml:space="preserve">claim </w:t>
      </w:r>
      <w:r w:rsidR="00C573D3">
        <w:rPr>
          <w:rFonts w:ascii="Arial" w:hAnsi="Arial" w:cs="Arial"/>
          <w:sz w:val="24"/>
          <w:szCs w:val="24"/>
          <w:lang w:val="en-US"/>
        </w:rPr>
        <w:t xml:space="preserve">to EOH Mthombo was not </w:t>
      </w:r>
      <w:r w:rsidR="00A44E49">
        <w:rPr>
          <w:rFonts w:ascii="Arial" w:hAnsi="Arial" w:cs="Arial"/>
          <w:sz w:val="24"/>
          <w:szCs w:val="24"/>
          <w:lang w:val="en-US"/>
        </w:rPr>
        <w:t xml:space="preserve">what </w:t>
      </w:r>
      <w:r>
        <w:rPr>
          <w:rFonts w:ascii="Arial" w:hAnsi="Arial" w:cs="Arial"/>
          <w:sz w:val="24"/>
          <w:szCs w:val="24"/>
          <w:lang w:val="en-US"/>
        </w:rPr>
        <w:t>was intended w</w:t>
      </w:r>
      <w:r w:rsidR="00255855">
        <w:rPr>
          <w:rFonts w:ascii="Arial" w:hAnsi="Arial" w:cs="Arial"/>
          <w:sz w:val="24"/>
          <w:szCs w:val="24"/>
          <w:lang w:val="en-US"/>
        </w:rPr>
        <w:t xml:space="preserve">ithin the EOH group </w:t>
      </w:r>
      <w:r w:rsidR="007662FC">
        <w:rPr>
          <w:rFonts w:ascii="Arial" w:hAnsi="Arial" w:cs="Arial"/>
          <w:sz w:val="24"/>
          <w:szCs w:val="24"/>
          <w:lang w:val="en-US"/>
        </w:rPr>
        <w:t>at or around that time</w:t>
      </w:r>
      <w:r w:rsidR="00C83D51">
        <w:rPr>
          <w:rFonts w:ascii="Arial" w:hAnsi="Arial" w:cs="Arial"/>
          <w:sz w:val="24"/>
          <w:szCs w:val="24"/>
          <w:lang w:val="en-US"/>
        </w:rPr>
        <w:t xml:space="preserve">.  </w:t>
      </w:r>
      <w:r w:rsidR="00342879">
        <w:rPr>
          <w:rFonts w:ascii="Arial" w:hAnsi="Arial" w:cs="Arial"/>
          <w:sz w:val="24"/>
          <w:szCs w:val="24"/>
          <w:lang w:val="en-US"/>
        </w:rPr>
        <w:t xml:space="preserve">The general ledger entries and </w:t>
      </w:r>
      <w:r w:rsidR="009A00D1">
        <w:rPr>
          <w:rFonts w:ascii="Arial" w:hAnsi="Arial" w:cs="Arial"/>
          <w:sz w:val="24"/>
          <w:szCs w:val="24"/>
          <w:lang w:val="en-US"/>
        </w:rPr>
        <w:t xml:space="preserve">financial statements of </w:t>
      </w:r>
      <w:r w:rsidR="00AF595C">
        <w:rPr>
          <w:rFonts w:ascii="Arial" w:hAnsi="Arial" w:cs="Arial"/>
          <w:sz w:val="24"/>
          <w:szCs w:val="24"/>
          <w:lang w:val="en-US"/>
        </w:rPr>
        <w:t>EOH MS</w:t>
      </w:r>
      <w:r w:rsidR="00342879">
        <w:rPr>
          <w:rFonts w:ascii="Arial" w:hAnsi="Arial" w:cs="Arial"/>
          <w:sz w:val="24"/>
          <w:szCs w:val="24"/>
          <w:lang w:val="en-US"/>
        </w:rPr>
        <w:t xml:space="preserve"> clearly </w:t>
      </w:r>
      <w:r w:rsidR="009A00D1">
        <w:rPr>
          <w:rFonts w:ascii="Arial" w:hAnsi="Arial" w:cs="Arial"/>
          <w:sz w:val="24"/>
          <w:szCs w:val="24"/>
          <w:lang w:val="en-US"/>
        </w:rPr>
        <w:t xml:space="preserve">reflect </w:t>
      </w:r>
      <w:r w:rsidR="006F4319">
        <w:rPr>
          <w:rFonts w:ascii="Arial" w:hAnsi="Arial" w:cs="Arial"/>
          <w:sz w:val="24"/>
          <w:szCs w:val="24"/>
          <w:lang w:val="en-US"/>
        </w:rPr>
        <w:t xml:space="preserve">the assumption of </w:t>
      </w:r>
      <w:r w:rsidR="00255855">
        <w:rPr>
          <w:rFonts w:ascii="Arial" w:hAnsi="Arial" w:cs="Arial"/>
          <w:sz w:val="24"/>
          <w:szCs w:val="24"/>
          <w:lang w:val="en-US"/>
        </w:rPr>
        <w:t xml:space="preserve">the </w:t>
      </w:r>
      <w:r w:rsidR="00342879">
        <w:rPr>
          <w:rFonts w:ascii="Arial" w:hAnsi="Arial" w:cs="Arial"/>
          <w:sz w:val="24"/>
          <w:szCs w:val="24"/>
          <w:lang w:val="en-US"/>
        </w:rPr>
        <w:t xml:space="preserve">loan claim </w:t>
      </w:r>
      <w:r w:rsidR="006F4319">
        <w:rPr>
          <w:rFonts w:ascii="Arial" w:hAnsi="Arial" w:cs="Arial"/>
          <w:sz w:val="24"/>
          <w:szCs w:val="24"/>
          <w:lang w:val="en-US"/>
        </w:rPr>
        <w:t xml:space="preserve">by </w:t>
      </w:r>
      <w:r w:rsidR="00AF595C">
        <w:rPr>
          <w:rFonts w:ascii="Arial" w:hAnsi="Arial" w:cs="Arial"/>
          <w:sz w:val="24"/>
          <w:szCs w:val="24"/>
          <w:lang w:val="en-US"/>
        </w:rPr>
        <w:t>EOH MS</w:t>
      </w:r>
      <w:r w:rsidR="006F4319">
        <w:rPr>
          <w:rFonts w:ascii="Arial" w:hAnsi="Arial" w:cs="Arial"/>
          <w:sz w:val="24"/>
          <w:szCs w:val="24"/>
          <w:lang w:val="en-US"/>
        </w:rPr>
        <w:t xml:space="preserve"> </w:t>
      </w:r>
      <w:r w:rsidR="00342879">
        <w:rPr>
          <w:rFonts w:ascii="Arial" w:hAnsi="Arial" w:cs="Arial"/>
          <w:sz w:val="24"/>
          <w:szCs w:val="24"/>
          <w:lang w:val="en-US"/>
        </w:rPr>
        <w:t xml:space="preserve">in July </w:t>
      </w:r>
      <w:r w:rsidR="006F4319">
        <w:rPr>
          <w:rFonts w:ascii="Arial" w:hAnsi="Arial" w:cs="Arial"/>
          <w:sz w:val="24"/>
          <w:szCs w:val="24"/>
          <w:lang w:val="en-US"/>
        </w:rPr>
        <w:t>2013</w:t>
      </w:r>
      <w:r w:rsidR="00F537AB">
        <w:rPr>
          <w:rFonts w:ascii="Arial" w:hAnsi="Arial" w:cs="Arial"/>
          <w:sz w:val="24"/>
          <w:szCs w:val="24"/>
          <w:lang w:val="en-US"/>
        </w:rPr>
        <w:t xml:space="preserve">.  A </w:t>
      </w:r>
      <w:r w:rsidR="00A60167">
        <w:rPr>
          <w:rFonts w:ascii="Arial" w:hAnsi="Arial" w:cs="Arial"/>
          <w:sz w:val="24"/>
          <w:szCs w:val="24"/>
          <w:lang w:val="en-US"/>
        </w:rPr>
        <w:t xml:space="preserve">former financial manager of the EOH group, </w:t>
      </w:r>
      <w:r w:rsidR="003D4FF5">
        <w:rPr>
          <w:rFonts w:ascii="Arial" w:hAnsi="Arial" w:cs="Arial"/>
          <w:sz w:val="24"/>
          <w:szCs w:val="24"/>
          <w:lang w:val="en-US"/>
        </w:rPr>
        <w:t>Ms Bredenkamp</w:t>
      </w:r>
      <w:r w:rsidR="00F537AB">
        <w:rPr>
          <w:rFonts w:ascii="Arial" w:hAnsi="Arial" w:cs="Arial"/>
          <w:sz w:val="24"/>
          <w:szCs w:val="24"/>
          <w:lang w:val="en-US"/>
        </w:rPr>
        <w:t>, confirms that this was what was in fact intended</w:t>
      </w:r>
      <w:r w:rsidR="006F4319">
        <w:rPr>
          <w:rFonts w:ascii="Arial" w:hAnsi="Arial" w:cs="Arial"/>
          <w:sz w:val="24"/>
          <w:szCs w:val="24"/>
          <w:lang w:val="en-US"/>
        </w:rPr>
        <w:t xml:space="preserve">.  </w:t>
      </w:r>
    </w:p>
    <w:p w14:paraId="7B28EC06" w14:textId="3C400E36" w:rsidR="00872B51" w:rsidRDefault="00CF6B39"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C64296">
        <w:rPr>
          <w:rFonts w:ascii="Arial" w:hAnsi="Arial" w:cs="Arial"/>
          <w:sz w:val="24"/>
          <w:szCs w:val="24"/>
          <w:lang w:val="en-US"/>
        </w:rPr>
        <w:t>There is no evidence before me</w:t>
      </w:r>
      <w:r w:rsidR="00224182">
        <w:rPr>
          <w:rFonts w:ascii="Arial" w:hAnsi="Arial" w:cs="Arial"/>
          <w:sz w:val="24"/>
          <w:szCs w:val="24"/>
          <w:lang w:val="en-US"/>
        </w:rPr>
        <w:t xml:space="preserve"> that provides any explanation for the </w:t>
      </w:r>
      <w:r w:rsidR="00BF1FEB">
        <w:rPr>
          <w:rFonts w:ascii="Arial" w:hAnsi="Arial" w:cs="Arial"/>
          <w:sz w:val="24"/>
          <w:szCs w:val="24"/>
          <w:lang w:val="en-US"/>
        </w:rPr>
        <w:t xml:space="preserve">production </w:t>
      </w:r>
      <w:r w:rsidR="00615CDD">
        <w:rPr>
          <w:rFonts w:ascii="Arial" w:hAnsi="Arial" w:cs="Arial"/>
          <w:sz w:val="24"/>
          <w:szCs w:val="24"/>
          <w:lang w:val="en-US"/>
        </w:rPr>
        <w:t xml:space="preserve">in July 2013 </w:t>
      </w:r>
      <w:r w:rsidR="00BF1FEB">
        <w:rPr>
          <w:rFonts w:ascii="Arial" w:hAnsi="Arial" w:cs="Arial"/>
          <w:sz w:val="24"/>
          <w:szCs w:val="24"/>
          <w:lang w:val="en-US"/>
        </w:rPr>
        <w:t xml:space="preserve">and </w:t>
      </w:r>
      <w:r w:rsidR="00224182">
        <w:rPr>
          <w:rFonts w:ascii="Arial" w:hAnsi="Arial" w:cs="Arial"/>
          <w:sz w:val="24"/>
          <w:szCs w:val="24"/>
          <w:lang w:val="en-US"/>
        </w:rPr>
        <w:t xml:space="preserve">signature by the applicant and fourth respondent </w:t>
      </w:r>
      <w:r w:rsidR="00C9600E">
        <w:rPr>
          <w:rFonts w:ascii="Arial" w:hAnsi="Arial" w:cs="Arial"/>
          <w:sz w:val="24"/>
          <w:szCs w:val="24"/>
          <w:lang w:val="en-US"/>
        </w:rPr>
        <w:t>of a</w:t>
      </w:r>
      <w:r w:rsidR="00755C27">
        <w:rPr>
          <w:rFonts w:ascii="Arial" w:hAnsi="Arial" w:cs="Arial"/>
          <w:sz w:val="24"/>
          <w:szCs w:val="24"/>
          <w:lang w:val="en-US"/>
        </w:rPr>
        <w:t xml:space="preserve"> </w:t>
      </w:r>
      <w:r w:rsidR="00872B51">
        <w:rPr>
          <w:rFonts w:ascii="Arial" w:hAnsi="Arial" w:cs="Arial"/>
          <w:sz w:val="24"/>
          <w:szCs w:val="24"/>
          <w:lang w:val="en-US"/>
        </w:rPr>
        <w:t xml:space="preserve">document that </w:t>
      </w:r>
      <w:r w:rsidR="00C9600E">
        <w:rPr>
          <w:rFonts w:ascii="Arial" w:hAnsi="Arial" w:cs="Arial"/>
          <w:sz w:val="24"/>
          <w:szCs w:val="24"/>
          <w:lang w:val="en-US"/>
        </w:rPr>
        <w:t xml:space="preserve">reflects the transfer of the </w:t>
      </w:r>
      <w:r w:rsidR="001C1C0C">
        <w:rPr>
          <w:rFonts w:ascii="Arial" w:hAnsi="Arial" w:cs="Arial"/>
          <w:sz w:val="24"/>
          <w:szCs w:val="24"/>
          <w:lang w:val="en-US"/>
        </w:rPr>
        <w:t xml:space="preserve">loan claim to </w:t>
      </w:r>
      <w:r w:rsidR="00872B51">
        <w:rPr>
          <w:rFonts w:ascii="Arial" w:hAnsi="Arial" w:cs="Arial"/>
          <w:sz w:val="24"/>
          <w:szCs w:val="24"/>
          <w:lang w:val="en-US"/>
        </w:rPr>
        <w:t xml:space="preserve">EOH Mthombo instead of </w:t>
      </w:r>
      <w:r w:rsidR="00AF595C">
        <w:rPr>
          <w:rFonts w:ascii="Arial" w:hAnsi="Arial" w:cs="Arial"/>
          <w:sz w:val="24"/>
          <w:szCs w:val="24"/>
          <w:lang w:val="en-US"/>
        </w:rPr>
        <w:t>EOH MS</w:t>
      </w:r>
      <w:r w:rsidR="00872B51">
        <w:rPr>
          <w:rFonts w:ascii="Arial" w:hAnsi="Arial" w:cs="Arial"/>
          <w:sz w:val="24"/>
          <w:szCs w:val="24"/>
          <w:lang w:val="en-US"/>
        </w:rPr>
        <w:t xml:space="preserve">.  </w:t>
      </w:r>
      <w:r w:rsidR="001C1C0C">
        <w:rPr>
          <w:rFonts w:ascii="Arial" w:hAnsi="Arial" w:cs="Arial"/>
          <w:sz w:val="24"/>
          <w:szCs w:val="24"/>
          <w:lang w:val="en-US"/>
        </w:rPr>
        <w:t xml:space="preserve">Neither </w:t>
      </w:r>
      <w:r w:rsidR="00224182">
        <w:rPr>
          <w:rFonts w:ascii="Arial" w:hAnsi="Arial" w:cs="Arial"/>
          <w:sz w:val="24"/>
          <w:szCs w:val="24"/>
          <w:lang w:val="en-US"/>
        </w:rPr>
        <w:t xml:space="preserve">the applicant nor the fourth respondent, who were </w:t>
      </w:r>
      <w:r w:rsidR="001C1C0C">
        <w:rPr>
          <w:rFonts w:ascii="Arial" w:hAnsi="Arial" w:cs="Arial"/>
          <w:sz w:val="24"/>
          <w:szCs w:val="24"/>
          <w:lang w:val="en-US"/>
        </w:rPr>
        <w:t xml:space="preserve">at all relevant times including in July 2013 </w:t>
      </w:r>
      <w:r w:rsidR="00224182">
        <w:rPr>
          <w:rFonts w:ascii="Arial" w:hAnsi="Arial" w:cs="Arial"/>
          <w:sz w:val="24"/>
          <w:szCs w:val="24"/>
          <w:lang w:val="en-US"/>
        </w:rPr>
        <w:t xml:space="preserve">the representatives of Silver Touch and the EOH group of companies </w:t>
      </w:r>
      <w:r w:rsidR="001C1C0C">
        <w:rPr>
          <w:rFonts w:ascii="Arial" w:hAnsi="Arial" w:cs="Arial"/>
          <w:sz w:val="24"/>
          <w:szCs w:val="24"/>
          <w:lang w:val="en-US"/>
        </w:rPr>
        <w:t xml:space="preserve">respectively </w:t>
      </w:r>
      <w:r w:rsidR="00731651">
        <w:rPr>
          <w:rFonts w:ascii="Arial" w:hAnsi="Arial" w:cs="Arial"/>
          <w:sz w:val="24"/>
          <w:szCs w:val="24"/>
          <w:lang w:val="en-US"/>
        </w:rPr>
        <w:t xml:space="preserve">and </w:t>
      </w:r>
      <w:r w:rsidR="001C1C0C">
        <w:rPr>
          <w:rFonts w:ascii="Arial" w:hAnsi="Arial" w:cs="Arial"/>
          <w:sz w:val="24"/>
          <w:szCs w:val="24"/>
          <w:lang w:val="en-US"/>
        </w:rPr>
        <w:t xml:space="preserve">who were responsible for </w:t>
      </w:r>
      <w:r w:rsidR="00C465B7">
        <w:rPr>
          <w:rFonts w:ascii="Arial" w:hAnsi="Arial" w:cs="Arial"/>
          <w:sz w:val="24"/>
          <w:szCs w:val="24"/>
          <w:lang w:val="en-US"/>
        </w:rPr>
        <w:t>arrangements concerning the loan</w:t>
      </w:r>
      <w:r w:rsidR="00224182">
        <w:rPr>
          <w:rFonts w:ascii="Arial" w:hAnsi="Arial" w:cs="Arial"/>
          <w:sz w:val="24"/>
          <w:szCs w:val="24"/>
          <w:lang w:val="en-US"/>
        </w:rPr>
        <w:t>,</w:t>
      </w:r>
      <w:r w:rsidR="00731651">
        <w:rPr>
          <w:rFonts w:ascii="Arial" w:hAnsi="Arial" w:cs="Arial"/>
          <w:sz w:val="24"/>
          <w:szCs w:val="24"/>
          <w:lang w:val="en-US"/>
        </w:rPr>
        <w:t xml:space="preserve"> have explained </w:t>
      </w:r>
      <w:r w:rsidR="007D5022">
        <w:rPr>
          <w:rFonts w:ascii="Arial" w:hAnsi="Arial" w:cs="Arial"/>
          <w:sz w:val="24"/>
          <w:szCs w:val="24"/>
          <w:lang w:val="en-US"/>
        </w:rPr>
        <w:t>it</w:t>
      </w:r>
      <w:r w:rsidR="005B3BBE">
        <w:rPr>
          <w:rFonts w:ascii="Arial" w:hAnsi="Arial" w:cs="Arial"/>
          <w:sz w:val="24"/>
          <w:szCs w:val="24"/>
          <w:lang w:val="en-US"/>
        </w:rPr>
        <w:t>.  Ms Bredenkamp’s evidence is that it was not intended.</w:t>
      </w:r>
      <w:r w:rsidR="00903993">
        <w:rPr>
          <w:rFonts w:ascii="Arial" w:hAnsi="Arial" w:cs="Arial"/>
          <w:sz w:val="24"/>
          <w:szCs w:val="24"/>
          <w:lang w:val="en-US"/>
        </w:rPr>
        <w:t xml:space="preserve">  </w:t>
      </w:r>
    </w:p>
    <w:p w14:paraId="3FA5D1E6" w14:textId="6B838EF0" w:rsidR="00AB787B" w:rsidRDefault="00CF6B39"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9B3DC0">
        <w:rPr>
          <w:rFonts w:ascii="Arial" w:hAnsi="Arial" w:cs="Arial"/>
          <w:sz w:val="24"/>
          <w:szCs w:val="24"/>
          <w:lang w:val="en-US"/>
        </w:rPr>
        <w:t xml:space="preserve">Shortly after the first document was </w:t>
      </w:r>
      <w:r w:rsidR="008E125E">
        <w:rPr>
          <w:rFonts w:ascii="Arial" w:hAnsi="Arial" w:cs="Arial"/>
          <w:sz w:val="24"/>
          <w:szCs w:val="24"/>
          <w:lang w:val="en-US"/>
        </w:rPr>
        <w:t>created</w:t>
      </w:r>
      <w:r w:rsidR="009B3DC0">
        <w:rPr>
          <w:rFonts w:ascii="Arial" w:hAnsi="Arial" w:cs="Arial"/>
          <w:sz w:val="24"/>
          <w:szCs w:val="24"/>
          <w:lang w:val="en-US"/>
        </w:rPr>
        <w:t xml:space="preserve"> and signed a second document was created</w:t>
      </w:r>
      <w:r w:rsidR="0084550B">
        <w:rPr>
          <w:rFonts w:ascii="Arial" w:hAnsi="Arial" w:cs="Arial"/>
          <w:sz w:val="24"/>
          <w:szCs w:val="24"/>
          <w:lang w:val="en-US"/>
        </w:rPr>
        <w:t>, this time reflecting the transfer of the loan claim to EOH MS</w:t>
      </w:r>
      <w:r w:rsidR="009B3DC0">
        <w:rPr>
          <w:rFonts w:ascii="Arial" w:hAnsi="Arial" w:cs="Arial"/>
          <w:sz w:val="24"/>
          <w:szCs w:val="24"/>
          <w:lang w:val="en-US"/>
        </w:rPr>
        <w:t xml:space="preserve">.  </w:t>
      </w:r>
      <w:r w:rsidR="005B3BBE">
        <w:rPr>
          <w:rFonts w:ascii="Arial" w:hAnsi="Arial" w:cs="Arial"/>
          <w:sz w:val="24"/>
          <w:szCs w:val="24"/>
          <w:lang w:val="en-US"/>
        </w:rPr>
        <w:t xml:space="preserve">The </w:t>
      </w:r>
      <w:r w:rsidR="00841B68">
        <w:rPr>
          <w:rFonts w:ascii="Arial" w:hAnsi="Arial" w:cs="Arial"/>
          <w:sz w:val="24"/>
          <w:szCs w:val="24"/>
          <w:lang w:val="en-US"/>
        </w:rPr>
        <w:t xml:space="preserve">evidence </w:t>
      </w:r>
      <w:r w:rsidR="00903993">
        <w:rPr>
          <w:rFonts w:ascii="Arial" w:hAnsi="Arial" w:cs="Arial"/>
          <w:sz w:val="24"/>
          <w:szCs w:val="24"/>
          <w:lang w:val="en-US"/>
        </w:rPr>
        <w:t xml:space="preserve">also </w:t>
      </w:r>
      <w:r w:rsidR="00841B68">
        <w:rPr>
          <w:rFonts w:ascii="Arial" w:hAnsi="Arial" w:cs="Arial"/>
          <w:sz w:val="24"/>
          <w:szCs w:val="24"/>
          <w:lang w:val="en-US"/>
        </w:rPr>
        <w:t xml:space="preserve">does not </w:t>
      </w:r>
      <w:r w:rsidR="00343536">
        <w:rPr>
          <w:rFonts w:ascii="Arial" w:hAnsi="Arial" w:cs="Arial"/>
          <w:sz w:val="24"/>
          <w:szCs w:val="24"/>
          <w:lang w:val="en-US"/>
        </w:rPr>
        <w:t>establish</w:t>
      </w:r>
      <w:r w:rsidR="00903993">
        <w:rPr>
          <w:rFonts w:ascii="Arial" w:hAnsi="Arial" w:cs="Arial"/>
          <w:sz w:val="24"/>
          <w:szCs w:val="24"/>
          <w:lang w:val="en-US"/>
        </w:rPr>
        <w:t xml:space="preserve"> </w:t>
      </w:r>
      <w:r w:rsidR="00841B68">
        <w:rPr>
          <w:rFonts w:ascii="Arial" w:hAnsi="Arial" w:cs="Arial"/>
          <w:sz w:val="24"/>
          <w:szCs w:val="24"/>
          <w:lang w:val="en-US"/>
        </w:rPr>
        <w:t>at whose instance and in precisely what circumstances the second document was created</w:t>
      </w:r>
      <w:r w:rsidR="000E2EA0">
        <w:rPr>
          <w:rFonts w:ascii="Arial" w:hAnsi="Arial" w:cs="Arial"/>
          <w:sz w:val="24"/>
          <w:szCs w:val="24"/>
          <w:lang w:val="en-US"/>
        </w:rPr>
        <w:t xml:space="preserve">, but </w:t>
      </w:r>
      <w:r w:rsidR="00343536">
        <w:rPr>
          <w:rFonts w:ascii="Arial" w:hAnsi="Arial" w:cs="Arial"/>
          <w:sz w:val="24"/>
          <w:szCs w:val="24"/>
          <w:lang w:val="en-US"/>
        </w:rPr>
        <w:t xml:space="preserve">it appears </w:t>
      </w:r>
      <w:r w:rsidR="000E2EA0">
        <w:rPr>
          <w:rFonts w:ascii="Arial" w:hAnsi="Arial" w:cs="Arial"/>
          <w:sz w:val="24"/>
          <w:szCs w:val="24"/>
          <w:lang w:val="en-US"/>
        </w:rPr>
        <w:t>that the document was</w:t>
      </w:r>
      <w:r w:rsidR="00E510BF" w:rsidRPr="003A2236">
        <w:rPr>
          <w:rFonts w:ascii="Arial" w:hAnsi="Arial" w:cs="Arial"/>
          <w:sz w:val="24"/>
          <w:szCs w:val="24"/>
          <w:lang w:val="en-US"/>
        </w:rPr>
        <w:t xml:space="preserve"> </w:t>
      </w:r>
      <w:r w:rsidR="003359F5" w:rsidRPr="003A2236">
        <w:rPr>
          <w:rFonts w:ascii="Arial" w:hAnsi="Arial" w:cs="Arial"/>
          <w:sz w:val="24"/>
          <w:szCs w:val="24"/>
          <w:lang w:val="en-US"/>
        </w:rPr>
        <w:t>created</w:t>
      </w:r>
      <w:r w:rsidR="00CE1772" w:rsidRPr="003A2236">
        <w:rPr>
          <w:rFonts w:ascii="Arial" w:hAnsi="Arial" w:cs="Arial"/>
          <w:sz w:val="24"/>
          <w:szCs w:val="24"/>
          <w:lang w:val="en-US"/>
        </w:rPr>
        <w:t xml:space="preserve"> by the </w:t>
      </w:r>
      <w:r w:rsidR="000E2EA0">
        <w:rPr>
          <w:rFonts w:ascii="Arial" w:hAnsi="Arial" w:cs="Arial"/>
          <w:sz w:val="24"/>
          <w:szCs w:val="24"/>
          <w:lang w:val="en-US"/>
        </w:rPr>
        <w:t xml:space="preserve">fourth respondent’s </w:t>
      </w:r>
      <w:r w:rsidR="00CE1772" w:rsidRPr="003A2236">
        <w:rPr>
          <w:rFonts w:ascii="Arial" w:hAnsi="Arial" w:cs="Arial"/>
          <w:sz w:val="24"/>
          <w:szCs w:val="24"/>
          <w:lang w:val="en-US"/>
        </w:rPr>
        <w:t>personal assistant</w:t>
      </w:r>
      <w:r w:rsidR="000E2EA0">
        <w:rPr>
          <w:rFonts w:ascii="Arial" w:hAnsi="Arial" w:cs="Arial"/>
          <w:sz w:val="24"/>
          <w:szCs w:val="24"/>
          <w:lang w:val="en-US"/>
        </w:rPr>
        <w:t xml:space="preserve">.  It </w:t>
      </w:r>
      <w:r w:rsidR="00FC1B56" w:rsidRPr="003A2236">
        <w:rPr>
          <w:rFonts w:ascii="Arial" w:hAnsi="Arial" w:cs="Arial"/>
          <w:sz w:val="24"/>
          <w:szCs w:val="24"/>
          <w:lang w:val="en-US"/>
        </w:rPr>
        <w:t xml:space="preserve">was saved to the relevant server </w:t>
      </w:r>
      <w:r w:rsidR="00A063A2" w:rsidRPr="003A2236">
        <w:rPr>
          <w:rFonts w:ascii="Arial" w:hAnsi="Arial" w:cs="Arial"/>
          <w:sz w:val="24"/>
          <w:szCs w:val="24"/>
          <w:lang w:val="en-US"/>
        </w:rPr>
        <w:t xml:space="preserve">approximately an hour after the first document, at 15h18 on 30 July 2013.  </w:t>
      </w:r>
    </w:p>
    <w:p w14:paraId="365B966B" w14:textId="1E0F7735" w:rsidR="003A2236" w:rsidRDefault="001E7B0F"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A063A2" w:rsidRPr="003A2236">
        <w:rPr>
          <w:rFonts w:ascii="Arial" w:hAnsi="Arial" w:cs="Arial"/>
          <w:sz w:val="24"/>
          <w:szCs w:val="24"/>
          <w:lang w:val="en-US"/>
        </w:rPr>
        <w:t>Th</w:t>
      </w:r>
      <w:r w:rsidR="00AB787B">
        <w:rPr>
          <w:rFonts w:ascii="Arial" w:hAnsi="Arial" w:cs="Arial"/>
          <w:sz w:val="24"/>
          <w:szCs w:val="24"/>
          <w:lang w:val="en-US"/>
        </w:rPr>
        <w:t>is</w:t>
      </w:r>
      <w:r w:rsidR="00A063A2" w:rsidRPr="003A2236">
        <w:rPr>
          <w:rFonts w:ascii="Arial" w:hAnsi="Arial" w:cs="Arial"/>
          <w:sz w:val="24"/>
          <w:szCs w:val="24"/>
          <w:lang w:val="en-US"/>
        </w:rPr>
        <w:t xml:space="preserve"> second document was </w:t>
      </w:r>
      <w:r w:rsidR="0092145C" w:rsidRPr="003A2236">
        <w:rPr>
          <w:rFonts w:ascii="Arial" w:hAnsi="Arial" w:cs="Arial"/>
          <w:sz w:val="24"/>
          <w:szCs w:val="24"/>
          <w:lang w:val="en-US"/>
        </w:rPr>
        <w:t>essentially a replica of the first, but reflecting EOH MS and not EOH Mthombo as</w:t>
      </w:r>
      <w:r w:rsidR="00183869" w:rsidRPr="003A2236">
        <w:rPr>
          <w:rFonts w:ascii="Arial" w:hAnsi="Arial" w:cs="Arial"/>
          <w:sz w:val="24"/>
          <w:szCs w:val="24"/>
          <w:lang w:val="en-US"/>
        </w:rPr>
        <w:t xml:space="preserve"> the </w:t>
      </w:r>
      <w:r w:rsidR="00736AA6" w:rsidRPr="003A2236">
        <w:rPr>
          <w:rFonts w:ascii="Arial" w:hAnsi="Arial" w:cs="Arial"/>
          <w:sz w:val="24"/>
          <w:szCs w:val="24"/>
          <w:lang w:val="en-US"/>
        </w:rPr>
        <w:t xml:space="preserve">entity to which the Silver Touch loan claim had been transferred.  </w:t>
      </w:r>
    </w:p>
    <w:p w14:paraId="78E37BA5" w14:textId="46C439EC" w:rsidR="009D4A39" w:rsidRPr="003A2236" w:rsidRDefault="001E7B0F"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6B634A">
        <w:rPr>
          <w:rFonts w:ascii="Arial" w:hAnsi="Arial" w:cs="Arial"/>
          <w:sz w:val="24"/>
          <w:szCs w:val="24"/>
          <w:lang w:val="en-US"/>
        </w:rPr>
        <w:t xml:space="preserve">The person who </w:t>
      </w:r>
      <w:r w:rsidR="00736AA6" w:rsidRPr="003A2236">
        <w:rPr>
          <w:rFonts w:ascii="Arial" w:hAnsi="Arial" w:cs="Arial"/>
          <w:sz w:val="24"/>
          <w:szCs w:val="24"/>
          <w:lang w:val="en-US"/>
        </w:rPr>
        <w:t xml:space="preserve">created the </w:t>
      </w:r>
      <w:r w:rsidR="006B634A">
        <w:rPr>
          <w:rFonts w:ascii="Arial" w:hAnsi="Arial" w:cs="Arial"/>
          <w:sz w:val="24"/>
          <w:szCs w:val="24"/>
          <w:lang w:val="en-US"/>
        </w:rPr>
        <w:t xml:space="preserve">second </w:t>
      </w:r>
      <w:r w:rsidR="00736AA6" w:rsidRPr="003A2236">
        <w:rPr>
          <w:rFonts w:ascii="Arial" w:hAnsi="Arial" w:cs="Arial"/>
          <w:sz w:val="24"/>
          <w:szCs w:val="24"/>
          <w:lang w:val="en-US"/>
        </w:rPr>
        <w:t xml:space="preserve">document, however, </w:t>
      </w:r>
      <w:r w:rsidR="004D5C1B">
        <w:rPr>
          <w:rFonts w:ascii="Arial" w:hAnsi="Arial" w:cs="Arial"/>
          <w:sz w:val="24"/>
          <w:szCs w:val="24"/>
          <w:lang w:val="en-US"/>
        </w:rPr>
        <w:t xml:space="preserve">apparently </w:t>
      </w:r>
      <w:r w:rsidR="006B634A">
        <w:rPr>
          <w:rFonts w:ascii="Arial" w:hAnsi="Arial" w:cs="Arial"/>
          <w:sz w:val="24"/>
          <w:szCs w:val="24"/>
          <w:lang w:val="en-US"/>
        </w:rPr>
        <w:t xml:space="preserve">did not </w:t>
      </w:r>
      <w:r w:rsidR="00D34EE1">
        <w:rPr>
          <w:rFonts w:ascii="Arial" w:hAnsi="Arial" w:cs="Arial"/>
          <w:sz w:val="24"/>
          <w:szCs w:val="24"/>
          <w:lang w:val="en-US"/>
        </w:rPr>
        <w:t xml:space="preserve">think it necessary to rescind the first document or to </w:t>
      </w:r>
      <w:r w:rsidR="00483E34">
        <w:rPr>
          <w:rFonts w:ascii="Arial" w:hAnsi="Arial" w:cs="Arial"/>
          <w:sz w:val="24"/>
          <w:szCs w:val="24"/>
          <w:lang w:val="en-US"/>
        </w:rPr>
        <w:t>procur</w:t>
      </w:r>
      <w:r w:rsidR="006B634A">
        <w:rPr>
          <w:rFonts w:ascii="Arial" w:hAnsi="Arial" w:cs="Arial"/>
          <w:sz w:val="24"/>
          <w:szCs w:val="24"/>
          <w:lang w:val="en-US"/>
        </w:rPr>
        <w:t>e</w:t>
      </w:r>
      <w:r w:rsidR="00483E34">
        <w:rPr>
          <w:rFonts w:ascii="Arial" w:hAnsi="Arial" w:cs="Arial"/>
          <w:sz w:val="24"/>
          <w:szCs w:val="24"/>
          <w:lang w:val="en-US"/>
        </w:rPr>
        <w:t xml:space="preserve"> </w:t>
      </w:r>
      <w:r w:rsidR="00736D28" w:rsidRPr="003A2236">
        <w:rPr>
          <w:rFonts w:ascii="Arial" w:hAnsi="Arial" w:cs="Arial"/>
          <w:sz w:val="24"/>
          <w:szCs w:val="24"/>
          <w:lang w:val="en-US"/>
        </w:rPr>
        <w:t>signatures of the applicant and fourth respondent afresh on the new or corrected version of the document</w:t>
      </w:r>
      <w:r w:rsidR="00D34EE1">
        <w:rPr>
          <w:rFonts w:ascii="Arial" w:hAnsi="Arial" w:cs="Arial"/>
          <w:sz w:val="24"/>
          <w:szCs w:val="24"/>
          <w:lang w:val="en-US"/>
        </w:rPr>
        <w:t xml:space="preserve">.  Instead, they took </w:t>
      </w:r>
      <w:r w:rsidR="002645A8" w:rsidRPr="003A2236">
        <w:rPr>
          <w:rFonts w:ascii="Arial" w:hAnsi="Arial" w:cs="Arial"/>
          <w:sz w:val="24"/>
          <w:szCs w:val="24"/>
          <w:lang w:val="en-US"/>
        </w:rPr>
        <w:t>a short cut</w:t>
      </w:r>
      <w:r w:rsidR="008D4263">
        <w:rPr>
          <w:rFonts w:ascii="Arial" w:hAnsi="Arial" w:cs="Arial"/>
          <w:sz w:val="24"/>
          <w:szCs w:val="24"/>
          <w:lang w:val="en-US"/>
        </w:rPr>
        <w:t xml:space="preserve">, simply attaching </w:t>
      </w:r>
      <w:r w:rsidR="001B0A00" w:rsidRPr="003A2236">
        <w:rPr>
          <w:rFonts w:ascii="Arial" w:hAnsi="Arial" w:cs="Arial"/>
          <w:sz w:val="24"/>
          <w:szCs w:val="24"/>
          <w:lang w:val="en-US"/>
        </w:rPr>
        <w:t xml:space="preserve">the </w:t>
      </w:r>
      <w:r w:rsidR="004B6697" w:rsidRPr="003A2236">
        <w:rPr>
          <w:rFonts w:ascii="Arial" w:hAnsi="Arial" w:cs="Arial"/>
          <w:sz w:val="24"/>
          <w:szCs w:val="24"/>
          <w:lang w:val="en-US"/>
        </w:rPr>
        <w:t xml:space="preserve">completed signature page from the </w:t>
      </w:r>
      <w:r w:rsidR="005F45B5">
        <w:rPr>
          <w:rFonts w:ascii="Arial" w:hAnsi="Arial" w:cs="Arial"/>
          <w:sz w:val="24"/>
          <w:szCs w:val="24"/>
          <w:lang w:val="en-US"/>
        </w:rPr>
        <w:t xml:space="preserve">earlier signed document to the new version, now </w:t>
      </w:r>
      <w:r w:rsidR="00DF7387" w:rsidRPr="003A2236">
        <w:rPr>
          <w:rFonts w:ascii="Arial" w:hAnsi="Arial" w:cs="Arial"/>
          <w:sz w:val="24"/>
          <w:szCs w:val="24"/>
          <w:lang w:val="en-US"/>
        </w:rPr>
        <w:t>reflect</w:t>
      </w:r>
      <w:r w:rsidR="005F45B5">
        <w:rPr>
          <w:rFonts w:ascii="Arial" w:hAnsi="Arial" w:cs="Arial"/>
          <w:sz w:val="24"/>
          <w:szCs w:val="24"/>
          <w:lang w:val="en-US"/>
        </w:rPr>
        <w:t>ing</w:t>
      </w:r>
      <w:r w:rsidR="00DF7387" w:rsidRPr="003A2236">
        <w:rPr>
          <w:rFonts w:ascii="Arial" w:hAnsi="Arial" w:cs="Arial"/>
          <w:sz w:val="24"/>
          <w:szCs w:val="24"/>
          <w:lang w:val="en-US"/>
        </w:rPr>
        <w:t xml:space="preserve"> </w:t>
      </w:r>
      <w:r w:rsidR="00AF595C" w:rsidRPr="003A2236">
        <w:rPr>
          <w:rFonts w:ascii="Arial" w:hAnsi="Arial" w:cs="Arial"/>
          <w:sz w:val="24"/>
          <w:szCs w:val="24"/>
          <w:lang w:val="en-US"/>
        </w:rPr>
        <w:t>EOH MS</w:t>
      </w:r>
      <w:r w:rsidR="00DF7387" w:rsidRPr="003A2236">
        <w:rPr>
          <w:rFonts w:ascii="Arial" w:hAnsi="Arial" w:cs="Arial"/>
          <w:sz w:val="24"/>
          <w:szCs w:val="24"/>
          <w:lang w:val="en-US"/>
        </w:rPr>
        <w:t xml:space="preserve"> as the loan creditor</w:t>
      </w:r>
      <w:r w:rsidR="0024108B" w:rsidRPr="003A2236">
        <w:rPr>
          <w:rFonts w:ascii="Arial" w:hAnsi="Arial" w:cs="Arial"/>
          <w:sz w:val="24"/>
          <w:szCs w:val="24"/>
          <w:lang w:val="en-US"/>
        </w:rPr>
        <w:t>.  Th</w:t>
      </w:r>
      <w:r w:rsidR="005F45B5">
        <w:rPr>
          <w:rFonts w:ascii="Arial" w:hAnsi="Arial" w:cs="Arial"/>
          <w:sz w:val="24"/>
          <w:szCs w:val="24"/>
          <w:lang w:val="en-US"/>
        </w:rPr>
        <w:t>e</w:t>
      </w:r>
      <w:r w:rsidR="008D4263">
        <w:rPr>
          <w:rFonts w:ascii="Arial" w:hAnsi="Arial" w:cs="Arial"/>
          <w:sz w:val="24"/>
          <w:szCs w:val="24"/>
          <w:lang w:val="en-US"/>
        </w:rPr>
        <w:t xml:space="preserve">y went further, </w:t>
      </w:r>
      <w:r w:rsidR="0024108B" w:rsidRPr="003A2236">
        <w:rPr>
          <w:rFonts w:ascii="Arial" w:hAnsi="Arial" w:cs="Arial"/>
          <w:sz w:val="24"/>
          <w:szCs w:val="24"/>
          <w:lang w:val="en-US"/>
        </w:rPr>
        <w:t>perform</w:t>
      </w:r>
      <w:r w:rsidR="008D4263">
        <w:rPr>
          <w:rFonts w:ascii="Arial" w:hAnsi="Arial" w:cs="Arial"/>
          <w:sz w:val="24"/>
          <w:szCs w:val="24"/>
          <w:lang w:val="en-US"/>
        </w:rPr>
        <w:t>ing</w:t>
      </w:r>
      <w:r w:rsidR="0024108B" w:rsidRPr="003A2236">
        <w:rPr>
          <w:rFonts w:ascii="Arial" w:hAnsi="Arial" w:cs="Arial"/>
          <w:sz w:val="24"/>
          <w:szCs w:val="24"/>
          <w:lang w:val="en-US"/>
        </w:rPr>
        <w:t xml:space="preserve"> the digital equivalent of scratching out the name of the company on whose behalf </w:t>
      </w:r>
      <w:r w:rsidR="002E3DBC" w:rsidRPr="003A2236">
        <w:rPr>
          <w:rFonts w:ascii="Arial" w:hAnsi="Arial" w:cs="Arial"/>
          <w:sz w:val="24"/>
          <w:szCs w:val="24"/>
          <w:lang w:val="en-US"/>
        </w:rPr>
        <w:t xml:space="preserve">the fourth respondent had affixed his signature to the </w:t>
      </w:r>
      <w:r w:rsidR="008D4263">
        <w:rPr>
          <w:rFonts w:ascii="Arial" w:hAnsi="Arial" w:cs="Arial"/>
          <w:sz w:val="24"/>
          <w:szCs w:val="24"/>
          <w:lang w:val="en-US"/>
        </w:rPr>
        <w:t xml:space="preserve">first </w:t>
      </w:r>
      <w:r w:rsidR="002E3DBC" w:rsidRPr="003A2236">
        <w:rPr>
          <w:rFonts w:ascii="Arial" w:hAnsi="Arial" w:cs="Arial"/>
          <w:sz w:val="24"/>
          <w:szCs w:val="24"/>
          <w:lang w:val="en-US"/>
        </w:rPr>
        <w:t>document, EOH Mthombo, and replac</w:t>
      </w:r>
      <w:r w:rsidR="004A6623">
        <w:rPr>
          <w:rFonts w:ascii="Arial" w:hAnsi="Arial" w:cs="Arial"/>
          <w:sz w:val="24"/>
          <w:szCs w:val="24"/>
          <w:lang w:val="en-US"/>
        </w:rPr>
        <w:t>ing</w:t>
      </w:r>
      <w:r w:rsidR="002E3DBC" w:rsidRPr="003A2236">
        <w:rPr>
          <w:rFonts w:ascii="Arial" w:hAnsi="Arial" w:cs="Arial"/>
          <w:sz w:val="24"/>
          <w:szCs w:val="24"/>
          <w:lang w:val="en-US"/>
        </w:rPr>
        <w:t xml:space="preserve"> </w:t>
      </w:r>
      <w:r w:rsidR="0016150E">
        <w:rPr>
          <w:rFonts w:ascii="Arial" w:hAnsi="Arial" w:cs="Arial"/>
          <w:sz w:val="24"/>
          <w:szCs w:val="24"/>
          <w:lang w:val="en-US"/>
        </w:rPr>
        <w:t xml:space="preserve">it </w:t>
      </w:r>
      <w:r w:rsidR="002E3DBC" w:rsidRPr="003A2236">
        <w:rPr>
          <w:rFonts w:ascii="Arial" w:hAnsi="Arial" w:cs="Arial"/>
          <w:sz w:val="24"/>
          <w:szCs w:val="24"/>
          <w:lang w:val="en-US"/>
        </w:rPr>
        <w:t xml:space="preserve">with </w:t>
      </w:r>
      <w:r w:rsidR="00AF595C" w:rsidRPr="003A2236">
        <w:rPr>
          <w:rFonts w:ascii="Arial" w:hAnsi="Arial" w:cs="Arial"/>
          <w:sz w:val="24"/>
          <w:szCs w:val="24"/>
          <w:lang w:val="en-US"/>
        </w:rPr>
        <w:t>EOH MS</w:t>
      </w:r>
      <w:r w:rsidR="009D4A39" w:rsidRPr="003A2236">
        <w:rPr>
          <w:rFonts w:ascii="Arial" w:hAnsi="Arial" w:cs="Arial"/>
          <w:sz w:val="24"/>
          <w:szCs w:val="24"/>
          <w:lang w:val="en-US"/>
        </w:rPr>
        <w:t>.</w:t>
      </w:r>
    </w:p>
    <w:p w14:paraId="12E96691" w14:textId="174D6984" w:rsidR="00B77A36" w:rsidRPr="00915C77" w:rsidRDefault="001E7B0F"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AF41E7" w:rsidRPr="00915C77">
        <w:rPr>
          <w:rFonts w:ascii="Arial" w:hAnsi="Arial" w:cs="Arial"/>
          <w:sz w:val="24"/>
          <w:szCs w:val="24"/>
          <w:lang w:val="en-US"/>
        </w:rPr>
        <w:t>T</w:t>
      </w:r>
      <w:r w:rsidR="00B77A36" w:rsidRPr="00915C77">
        <w:rPr>
          <w:rFonts w:ascii="Arial" w:hAnsi="Arial" w:cs="Arial"/>
          <w:sz w:val="24"/>
          <w:szCs w:val="24"/>
          <w:lang w:val="en-US"/>
        </w:rPr>
        <w:t xml:space="preserve">his was </w:t>
      </w:r>
      <w:r w:rsidR="00AF41E7" w:rsidRPr="00915C77">
        <w:rPr>
          <w:rFonts w:ascii="Arial" w:hAnsi="Arial" w:cs="Arial"/>
          <w:sz w:val="24"/>
          <w:szCs w:val="24"/>
          <w:lang w:val="en-US"/>
        </w:rPr>
        <w:t xml:space="preserve">of course </w:t>
      </w:r>
      <w:r w:rsidR="002E3DBC" w:rsidRPr="00915C77">
        <w:rPr>
          <w:rFonts w:ascii="Arial" w:hAnsi="Arial" w:cs="Arial"/>
          <w:sz w:val="24"/>
          <w:szCs w:val="24"/>
          <w:lang w:val="en-US"/>
        </w:rPr>
        <w:t xml:space="preserve">an impermissible </w:t>
      </w:r>
      <w:r w:rsidR="00A16908" w:rsidRPr="00915C77">
        <w:rPr>
          <w:rFonts w:ascii="Arial" w:hAnsi="Arial" w:cs="Arial"/>
          <w:sz w:val="24"/>
          <w:szCs w:val="24"/>
          <w:lang w:val="en-US"/>
        </w:rPr>
        <w:t xml:space="preserve">and manipulated </w:t>
      </w:r>
      <w:r w:rsidR="002E3DBC" w:rsidRPr="00915C77">
        <w:rPr>
          <w:rFonts w:ascii="Arial" w:hAnsi="Arial" w:cs="Arial"/>
          <w:sz w:val="24"/>
          <w:szCs w:val="24"/>
          <w:lang w:val="en-US"/>
        </w:rPr>
        <w:t xml:space="preserve">shortcut.  </w:t>
      </w:r>
      <w:r w:rsidR="003B0F1E" w:rsidRPr="00915C77">
        <w:rPr>
          <w:rFonts w:ascii="Arial" w:hAnsi="Arial" w:cs="Arial"/>
          <w:sz w:val="24"/>
          <w:szCs w:val="24"/>
          <w:lang w:val="en-US"/>
        </w:rPr>
        <w:t xml:space="preserve">The first respondent speculates that </w:t>
      </w:r>
      <w:r w:rsidR="009A5B1B" w:rsidRPr="00915C77">
        <w:rPr>
          <w:rFonts w:ascii="Arial" w:hAnsi="Arial" w:cs="Arial"/>
          <w:sz w:val="24"/>
          <w:szCs w:val="24"/>
          <w:lang w:val="en-US"/>
        </w:rPr>
        <w:t xml:space="preserve">the </w:t>
      </w:r>
      <w:r w:rsidR="00D3206E" w:rsidRPr="00915C77">
        <w:rPr>
          <w:rFonts w:ascii="Arial" w:hAnsi="Arial" w:cs="Arial"/>
          <w:sz w:val="24"/>
          <w:szCs w:val="24"/>
          <w:lang w:val="en-US"/>
        </w:rPr>
        <w:t xml:space="preserve">fourth respondent’s </w:t>
      </w:r>
      <w:r w:rsidR="009A5B1B" w:rsidRPr="00915C77">
        <w:rPr>
          <w:rFonts w:ascii="Arial" w:hAnsi="Arial" w:cs="Arial"/>
          <w:sz w:val="24"/>
          <w:szCs w:val="24"/>
          <w:lang w:val="en-US"/>
        </w:rPr>
        <w:t xml:space="preserve">personal </w:t>
      </w:r>
      <w:r w:rsidR="00F7030B" w:rsidRPr="00915C77">
        <w:rPr>
          <w:rFonts w:ascii="Arial" w:hAnsi="Arial" w:cs="Arial"/>
          <w:sz w:val="24"/>
          <w:szCs w:val="24"/>
          <w:lang w:val="en-US"/>
        </w:rPr>
        <w:t>assistant</w:t>
      </w:r>
      <w:r w:rsidR="009A5B1B" w:rsidRPr="00915C77">
        <w:rPr>
          <w:rFonts w:ascii="Arial" w:hAnsi="Arial" w:cs="Arial"/>
          <w:sz w:val="24"/>
          <w:szCs w:val="24"/>
          <w:lang w:val="en-US"/>
        </w:rPr>
        <w:t xml:space="preserve"> had </w:t>
      </w:r>
      <w:r w:rsidR="00D3206E" w:rsidRPr="00915C77">
        <w:rPr>
          <w:rFonts w:ascii="Arial" w:hAnsi="Arial" w:cs="Arial"/>
          <w:sz w:val="24"/>
          <w:szCs w:val="24"/>
          <w:lang w:val="en-US"/>
        </w:rPr>
        <w:t xml:space="preserve">either </w:t>
      </w:r>
      <w:r w:rsidR="009A5B1B" w:rsidRPr="00915C77">
        <w:rPr>
          <w:rFonts w:ascii="Arial" w:hAnsi="Arial" w:cs="Arial"/>
          <w:sz w:val="24"/>
          <w:szCs w:val="24"/>
          <w:lang w:val="en-US"/>
        </w:rPr>
        <w:t xml:space="preserve">been informed of or had noticed the error </w:t>
      </w:r>
      <w:r w:rsidR="00A3610C" w:rsidRPr="00915C77">
        <w:rPr>
          <w:rFonts w:ascii="Arial" w:hAnsi="Arial" w:cs="Arial"/>
          <w:sz w:val="24"/>
          <w:szCs w:val="24"/>
          <w:lang w:val="en-US"/>
        </w:rPr>
        <w:t xml:space="preserve">in the first version of the document, and had decided </w:t>
      </w:r>
      <w:r w:rsidR="00F7030B" w:rsidRPr="00915C77">
        <w:rPr>
          <w:rFonts w:ascii="Arial" w:hAnsi="Arial" w:cs="Arial"/>
          <w:sz w:val="24"/>
          <w:szCs w:val="24"/>
          <w:lang w:val="en-US"/>
        </w:rPr>
        <w:t xml:space="preserve">simply </w:t>
      </w:r>
      <w:r w:rsidR="00A3610C" w:rsidRPr="00915C77">
        <w:rPr>
          <w:rFonts w:ascii="Arial" w:hAnsi="Arial" w:cs="Arial"/>
          <w:sz w:val="24"/>
          <w:szCs w:val="24"/>
          <w:lang w:val="en-US"/>
        </w:rPr>
        <w:t>to replac</w:t>
      </w:r>
      <w:r w:rsidR="00F7030B" w:rsidRPr="00915C77">
        <w:rPr>
          <w:rFonts w:ascii="Arial" w:hAnsi="Arial" w:cs="Arial"/>
          <w:sz w:val="24"/>
          <w:szCs w:val="24"/>
          <w:lang w:val="en-US"/>
        </w:rPr>
        <w:t>e</w:t>
      </w:r>
      <w:r w:rsidR="00A3610C" w:rsidRPr="00915C77">
        <w:rPr>
          <w:rFonts w:ascii="Arial" w:hAnsi="Arial" w:cs="Arial"/>
          <w:sz w:val="24"/>
          <w:szCs w:val="24"/>
          <w:lang w:val="en-US"/>
        </w:rPr>
        <w:t xml:space="preserve"> the first page </w:t>
      </w:r>
      <w:r w:rsidR="00B75BDE" w:rsidRPr="00915C77">
        <w:rPr>
          <w:rFonts w:ascii="Arial" w:hAnsi="Arial" w:cs="Arial"/>
          <w:sz w:val="24"/>
          <w:szCs w:val="24"/>
          <w:lang w:val="en-US"/>
        </w:rPr>
        <w:t xml:space="preserve">with a corrected version and amend </w:t>
      </w:r>
      <w:r w:rsidR="00A3610C" w:rsidRPr="00915C77">
        <w:rPr>
          <w:rFonts w:ascii="Arial" w:hAnsi="Arial" w:cs="Arial"/>
          <w:sz w:val="24"/>
          <w:szCs w:val="24"/>
          <w:lang w:val="en-US"/>
        </w:rPr>
        <w:t xml:space="preserve">the name of the entity </w:t>
      </w:r>
      <w:r w:rsidR="00FC7D5F" w:rsidRPr="00915C77">
        <w:rPr>
          <w:rFonts w:ascii="Arial" w:hAnsi="Arial" w:cs="Arial"/>
          <w:sz w:val="24"/>
          <w:szCs w:val="24"/>
          <w:lang w:val="en-US"/>
        </w:rPr>
        <w:t>on whose behalf the fourth respondent had signed the document.  No more plausible explanation is put up by the applicant or fourth respondent</w:t>
      </w:r>
      <w:r w:rsidR="00B70214">
        <w:rPr>
          <w:rFonts w:ascii="Arial" w:hAnsi="Arial" w:cs="Arial"/>
          <w:sz w:val="24"/>
          <w:szCs w:val="24"/>
          <w:lang w:val="en-US"/>
        </w:rPr>
        <w:t>,</w:t>
      </w:r>
      <w:r w:rsidR="00B75BDE" w:rsidRPr="00915C77">
        <w:rPr>
          <w:rFonts w:ascii="Arial" w:hAnsi="Arial" w:cs="Arial"/>
          <w:sz w:val="24"/>
          <w:szCs w:val="24"/>
          <w:lang w:val="en-US"/>
        </w:rPr>
        <w:t xml:space="preserve"> and on the papers before me this </w:t>
      </w:r>
      <w:r w:rsidR="00543908" w:rsidRPr="00915C77">
        <w:rPr>
          <w:rFonts w:ascii="Arial" w:hAnsi="Arial" w:cs="Arial"/>
          <w:sz w:val="24"/>
          <w:szCs w:val="24"/>
          <w:lang w:val="en-US"/>
        </w:rPr>
        <w:t>would appear to be the most probable explanation for what occurred</w:t>
      </w:r>
      <w:r w:rsidR="00D04B1E" w:rsidRPr="00915C77">
        <w:rPr>
          <w:rFonts w:ascii="Arial" w:hAnsi="Arial" w:cs="Arial"/>
          <w:sz w:val="24"/>
          <w:szCs w:val="24"/>
          <w:lang w:val="en-US"/>
        </w:rPr>
        <w:t>.</w:t>
      </w:r>
    </w:p>
    <w:p w14:paraId="4CF6AF6C" w14:textId="638CABE4" w:rsidR="009C10EC" w:rsidRDefault="001E7B0F"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44588B" w:rsidRPr="008D1A11">
        <w:rPr>
          <w:rFonts w:ascii="Arial" w:hAnsi="Arial" w:cs="Arial"/>
          <w:sz w:val="24"/>
          <w:szCs w:val="24"/>
          <w:lang w:val="en-US"/>
        </w:rPr>
        <w:t xml:space="preserve">At all material times </w:t>
      </w:r>
      <w:r w:rsidR="00CF1EC4">
        <w:rPr>
          <w:rFonts w:ascii="Arial" w:hAnsi="Arial" w:cs="Arial"/>
          <w:sz w:val="24"/>
          <w:szCs w:val="24"/>
          <w:lang w:val="en-US"/>
        </w:rPr>
        <w:t xml:space="preserve">thereafter, </w:t>
      </w:r>
      <w:r w:rsidR="009B61DA">
        <w:rPr>
          <w:rFonts w:ascii="Arial" w:hAnsi="Arial" w:cs="Arial"/>
          <w:sz w:val="24"/>
          <w:szCs w:val="24"/>
          <w:lang w:val="en-US"/>
        </w:rPr>
        <w:t xml:space="preserve">the </w:t>
      </w:r>
      <w:r w:rsidR="0044588B" w:rsidRPr="008D1A11">
        <w:rPr>
          <w:rFonts w:ascii="Arial" w:hAnsi="Arial" w:cs="Arial"/>
          <w:sz w:val="24"/>
          <w:szCs w:val="24"/>
          <w:lang w:val="en-US"/>
        </w:rPr>
        <w:t xml:space="preserve">EOH </w:t>
      </w:r>
      <w:r w:rsidR="009B61DA">
        <w:rPr>
          <w:rFonts w:ascii="Arial" w:hAnsi="Arial" w:cs="Arial"/>
          <w:sz w:val="24"/>
          <w:szCs w:val="24"/>
          <w:lang w:val="en-US"/>
        </w:rPr>
        <w:t>g</w:t>
      </w:r>
      <w:r w:rsidR="0044588B" w:rsidRPr="008D1A11">
        <w:rPr>
          <w:rFonts w:ascii="Arial" w:hAnsi="Arial" w:cs="Arial"/>
          <w:sz w:val="24"/>
          <w:szCs w:val="24"/>
          <w:lang w:val="en-US"/>
        </w:rPr>
        <w:t xml:space="preserve">roup </w:t>
      </w:r>
      <w:r w:rsidR="006C40CE">
        <w:rPr>
          <w:rFonts w:ascii="Arial" w:hAnsi="Arial" w:cs="Arial"/>
          <w:sz w:val="24"/>
          <w:szCs w:val="24"/>
          <w:lang w:val="en-US"/>
        </w:rPr>
        <w:t xml:space="preserve">presented </w:t>
      </w:r>
      <w:r w:rsidR="00AF595C">
        <w:rPr>
          <w:rFonts w:ascii="Arial" w:hAnsi="Arial" w:cs="Arial"/>
          <w:sz w:val="24"/>
          <w:szCs w:val="24"/>
          <w:lang w:val="en-US"/>
        </w:rPr>
        <w:t>EOH MS</w:t>
      </w:r>
      <w:r w:rsidR="0044588B" w:rsidRPr="008D1A11">
        <w:rPr>
          <w:rFonts w:ascii="Arial" w:hAnsi="Arial" w:cs="Arial"/>
          <w:sz w:val="24"/>
          <w:szCs w:val="24"/>
          <w:lang w:val="en-US"/>
        </w:rPr>
        <w:t xml:space="preserve"> as the creditor in </w:t>
      </w:r>
      <w:r w:rsidR="00932736">
        <w:rPr>
          <w:rFonts w:ascii="Arial" w:hAnsi="Arial" w:cs="Arial"/>
          <w:sz w:val="24"/>
          <w:szCs w:val="24"/>
          <w:lang w:val="en-US"/>
        </w:rPr>
        <w:t xml:space="preserve">respect of </w:t>
      </w:r>
      <w:r w:rsidR="0044588B" w:rsidRPr="008D1A11">
        <w:rPr>
          <w:rFonts w:ascii="Arial" w:hAnsi="Arial" w:cs="Arial"/>
          <w:sz w:val="24"/>
          <w:szCs w:val="24"/>
          <w:lang w:val="en-US"/>
        </w:rPr>
        <w:t>the Silver Touch loan</w:t>
      </w:r>
      <w:r w:rsidR="006C40CE">
        <w:rPr>
          <w:rFonts w:ascii="Arial" w:hAnsi="Arial" w:cs="Arial"/>
          <w:sz w:val="24"/>
          <w:szCs w:val="24"/>
          <w:lang w:val="en-US"/>
        </w:rPr>
        <w:t xml:space="preserve">.  This was </w:t>
      </w:r>
      <w:r w:rsidR="00C816DD">
        <w:rPr>
          <w:rFonts w:ascii="Arial" w:hAnsi="Arial" w:cs="Arial"/>
          <w:sz w:val="24"/>
          <w:szCs w:val="24"/>
          <w:lang w:val="en-US"/>
        </w:rPr>
        <w:t xml:space="preserve">consistently </w:t>
      </w:r>
      <w:r w:rsidR="0044588B" w:rsidRPr="008D1A11">
        <w:rPr>
          <w:rFonts w:ascii="Arial" w:hAnsi="Arial" w:cs="Arial"/>
          <w:sz w:val="24"/>
          <w:szCs w:val="24"/>
          <w:lang w:val="en-US"/>
        </w:rPr>
        <w:t xml:space="preserve">reflected </w:t>
      </w:r>
      <w:r w:rsidR="006C40CE">
        <w:rPr>
          <w:rFonts w:ascii="Arial" w:hAnsi="Arial" w:cs="Arial"/>
          <w:sz w:val="24"/>
          <w:szCs w:val="24"/>
          <w:lang w:val="en-US"/>
        </w:rPr>
        <w:t xml:space="preserve">in </w:t>
      </w:r>
      <w:r w:rsidR="00AF595C">
        <w:rPr>
          <w:rFonts w:ascii="Arial" w:hAnsi="Arial" w:cs="Arial"/>
          <w:sz w:val="24"/>
          <w:szCs w:val="24"/>
          <w:lang w:val="en-US"/>
        </w:rPr>
        <w:t>EOH MS</w:t>
      </w:r>
      <w:r w:rsidR="00C816DD">
        <w:rPr>
          <w:rFonts w:ascii="Arial" w:hAnsi="Arial" w:cs="Arial"/>
          <w:sz w:val="24"/>
          <w:szCs w:val="24"/>
          <w:lang w:val="en-US"/>
        </w:rPr>
        <w:t xml:space="preserve">’s </w:t>
      </w:r>
      <w:r w:rsidR="0044588B" w:rsidRPr="008D1A11">
        <w:rPr>
          <w:rFonts w:ascii="Arial" w:hAnsi="Arial" w:cs="Arial"/>
          <w:sz w:val="24"/>
          <w:szCs w:val="24"/>
          <w:lang w:val="en-US"/>
        </w:rPr>
        <w:t>financial statements</w:t>
      </w:r>
      <w:r w:rsidR="00442536">
        <w:rPr>
          <w:rFonts w:ascii="Arial" w:hAnsi="Arial" w:cs="Arial"/>
          <w:sz w:val="24"/>
          <w:szCs w:val="24"/>
          <w:lang w:val="en-US"/>
        </w:rPr>
        <w:t xml:space="preserve">.  It </w:t>
      </w:r>
      <w:r w:rsidR="00B70214">
        <w:rPr>
          <w:rFonts w:ascii="Arial" w:hAnsi="Arial" w:cs="Arial"/>
          <w:sz w:val="24"/>
          <w:szCs w:val="24"/>
          <w:lang w:val="en-US"/>
        </w:rPr>
        <w:t xml:space="preserve">was </w:t>
      </w:r>
      <w:r w:rsidR="00630A2F">
        <w:rPr>
          <w:rFonts w:ascii="Arial" w:hAnsi="Arial" w:cs="Arial"/>
          <w:sz w:val="24"/>
          <w:szCs w:val="24"/>
          <w:lang w:val="en-US"/>
        </w:rPr>
        <w:t xml:space="preserve">also </w:t>
      </w:r>
      <w:r w:rsidR="005A3DB7">
        <w:rPr>
          <w:rFonts w:ascii="Arial" w:hAnsi="Arial" w:cs="Arial"/>
          <w:sz w:val="24"/>
          <w:szCs w:val="24"/>
          <w:lang w:val="en-US"/>
        </w:rPr>
        <w:t xml:space="preserve">confirmed </w:t>
      </w:r>
      <w:r w:rsidR="00630A2F">
        <w:rPr>
          <w:rFonts w:ascii="Arial" w:hAnsi="Arial" w:cs="Arial"/>
          <w:sz w:val="24"/>
          <w:szCs w:val="24"/>
          <w:lang w:val="en-US"/>
        </w:rPr>
        <w:t xml:space="preserve">when </w:t>
      </w:r>
      <w:r w:rsidR="001A0434">
        <w:rPr>
          <w:rFonts w:ascii="Arial" w:hAnsi="Arial" w:cs="Arial"/>
          <w:sz w:val="24"/>
          <w:szCs w:val="24"/>
          <w:lang w:val="en-US"/>
        </w:rPr>
        <w:t xml:space="preserve">the </w:t>
      </w:r>
      <w:r w:rsidR="0044588B" w:rsidRPr="008D1A11">
        <w:rPr>
          <w:rFonts w:ascii="Arial" w:hAnsi="Arial" w:cs="Arial"/>
          <w:sz w:val="24"/>
          <w:szCs w:val="24"/>
          <w:lang w:val="en-US"/>
        </w:rPr>
        <w:t xml:space="preserve">parties </w:t>
      </w:r>
      <w:r w:rsidR="00630A2F">
        <w:rPr>
          <w:rFonts w:ascii="Arial" w:hAnsi="Arial" w:cs="Arial"/>
          <w:sz w:val="24"/>
          <w:szCs w:val="24"/>
          <w:lang w:val="en-US"/>
        </w:rPr>
        <w:t xml:space="preserve">subsequently </w:t>
      </w:r>
      <w:r w:rsidR="00F325FF">
        <w:rPr>
          <w:rFonts w:ascii="Arial" w:hAnsi="Arial" w:cs="Arial"/>
          <w:sz w:val="24"/>
          <w:szCs w:val="24"/>
          <w:lang w:val="en-US"/>
        </w:rPr>
        <w:t xml:space="preserve">agreed to a further extension of </w:t>
      </w:r>
      <w:r w:rsidR="0044588B" w:rsidRPr="008D1A11">
        <w:rPr>
          <w:rFonts w:ascii="Arial" w:hAnsi="Arial" w:cs="Arial"/>
          <w:sz w:val="24"/>
          <w:szCs w:val="24"/>
          <w:lang w:val="en-US"/>
        </w:rPr>
        <w:t>the repayment date for the loan</w:t>
      </w:r>
      <w:r w:rsidR="00F325FF">
        <w:rPr>
          <w:rFonts w:ascii="Arial" w:hAnsi="Arial" w:cs="Arial"/>
          <w:sz w:val="24"/>
          <w:szCs w:val="24"/>
          <w:lang w:val="en-US"/>
        </w:rPr>
        <w:t xml:space="preserve">, </w:t>
      </w:r>
      <w:r w:rsidR="0044588B" w:rsidRPr="008D1A11">
        <w:rPr>
          <w:rFonts w:ascii="Arial" w:hAnsi="Arial" w:cs="Arial"/>
          <w:sz w:val="24"/>
          <w:szCs w:val="24"/>
          <w:lang w:val="en-US"/>
        </w:rPr>
        <w:t xml:space="preserve">in January 2015.  </w:t>
      </w:r>
    </w:p>
    <w:p w14:paraId="49B6756C" w14:textId="2D8D9109" w:rsidR="00F94007" w:rsidRDefault="001E7B0F" w:rsidP="001E7B0F">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w:t>
      </w:r>
      <w:r w:rsidR="00442536">
        <w:rPr>
          <w:rFonts w:ascii="Arial" w:hAnsi="Arial" w:cs="Arial"/>
          <w:sz w:val="24"/>
          <w:szCs w:val="24"/>
          <w:lang w:val="en-US"/>
        </w:rPr>
        <w:t>29</w:t>
      </w:r>
      <w:r>
        <w:rPr>
          <w:rFonts w:ascii="Arial" w:hAnsi="Arial" w:cs="Arial"/>
          <w:sz w:val="24"/>
          <w:szCs w:val="24"/>
          <w:lang w:val="en-US"/>
        </w:rPr>
        <w:t>]</w:t>
      </w:r>
      <w:r>
        <w:rPr>
          <w:rFonts w:ascii="Arial" w:hAnsi="Arial" w:cs="Arial"/>
          <w:sz w:val="24"/>
          <w:szCs w:val="24"/>
          <w:lang w:val="en-US"/>
        </w:rPr>
        <w:tab/>
      </w:r>
      <w:r w:rsidR="0044588B" w:rsidRPr="008D1A11">
        <w:rPr>
          <w:rFonts w:ascii="Arial" w:hAnsi="Arial" w:cs="Arial"/>
          <w:sz w:val="24"/>
          <w:szCs w:val="24"/>
          <w:lang w:val="en-US"/>
        </w:rPr>
        <w:t xml:space="preserve">This time </w:t>
      </w:r>
      <w:r w:rsidR="009C10EC">
        <w:rPr>
          <w:rFonts w:ascii="Arial" w:hAnsi="Arial" w:cs="Arial"/>
          <w:sz w:val="24"/>
          <w:szCs w:val="24"/>
          <w:lang w:val="en-US"/>
        </w:rPr>
        <w:t xml:space="preserve">the extension was recorded </w:t>
      </w:r>
      <w:r w:rsidR="00EF7931">
        <w:rPr>
          <w:rFonts w:ascii="Arial" w:hAnsi="Arial" w:cs="Arial"/>
          <w:sz w:val="24"/>
          <w:szCs w:val="24"/>
          <w:lang w:val="en-US"/>
        </w:rPr>
        <w:t xml:space="preserve">in </w:t>
      </w:r>
      <w:r w:rsidR="0044588B" w:rsidRPr="008D1A11">
        <w:rPr>
          <w:rFonts w:ascii="Arial" w:hAnsi="Arial" w:cs="Arial"/>
          <w:sz w:val="24"/>
          <w:szCs w:val="24"/>
          <w:lang w:val="en-US"/>
        </w:rPr>
        <w:t>a document entitled enterprise development agreement “first amendment”</w:t>
      </w:r>
      <w:r w:rsidR="00A1062C">
        <w:rPr>
          <w:rFonts w:ascii="Arial" w:hAnsi="Arial" w:cs="Arial"/>
          <w:sz w:val="24"/>
          <w:szCs w:val="24"/>
          <w:lang w:val="en-US"/>
        </w:rPr>
        <w:t xml:space="preserve">.  </w:t>
      </w:r>
      <w:r w:rsidR="00F94007">
        <w:rPr>
          <w:rFonts w:ascii="Arial" w:hAnsi="Arial" w:cs="Arial"/>
          <w:sz w:val="24"/>
          <w:szCs w:val="24"/>
          <w:lang w:val="en-US"/>
        </w:rPr>
        <w:t xml:space="preserve">The </w:t>
      </w:r>
      <w:r w:rsidR="00C01B36">
        <w:rPr>
          <w:rFonts w:ascii="Arial" w:hAnsi="Arial" w:cs="Arial"/>
          <w:sz w:val="24"/>
          <w:szCs w:val="24"/>
          <w:lang w:val="en-US"/>
        </w:rPr>
        <w:t xml:space="preserve">document </w:t>
      </w:r>
      <w:r w:rsidR="0044588B" w:rsidRPr="008D1A11">
        <w:rPr>
          <w:rFonts w:ascii="Arial" w:hAnsi="Arial" w:cs="Arial"/>
          <w:sz w:val="24"/>
          <w:szCs w:val="24"/>
          <w:lang w:val="en-US"/>
        </w:rPr>
        <w:t>recorded in its preamble</w:t>
      </w:r>
      <w:r w:rsidR="00B07B49">
        <w:rPr>
          <w:rFonts w:ascii="Arial" w:hAnsi="Arial" w:cs="Arial"/>
          <w:sz w:val="24"/>
          <w:szCs w:val="24"/>
          <w:lang w:val="en-US"/>
        </w:rPr>
        <w:t xml:space="preserve"> </w:t>
      </w:r>
      <w:r w:rsidR="0044588B" w:rsidRPr="008D1A11">
        <w:rPr>
          <w:rFonts w:ascii="Arial" w:hAnsi="Arial" w:cs="Arial"/>
          <w:sz w:val="24"/>
          <w:szCs w:val="24"/>
          <w:lang w:val="en-US"/>
        </w:rPr>
        <w:t>that the transfer of the original loan with Silver Touch “</w:t>
      </w:r>
      <w:r w:rsidR="0044588B" w:rsidRPr="00EF7931">
        <w:rPr>
          <w:rFonts w:ascii="Arial" w:hAnsi="Arial" w:cs="Arial"/>
          <w:i/>
          <w:iCs/>
          <w:sz w:val="24"/>
          <w:szCs w:val="24"/>
          <w:lang w:val="en-US"/>
        </w:rPr>
        <w:t xml:space="preserve">is now made between TSS Managed Services to EOH Managed Services PS </w:t>
      </w:r>
      <w:r w:rsidR="00EF5446" w:rsidRPr="00EF7931">
        <w:rPr>
          <w:rFonts w:ascii="Arial" w:hAnsi="Arial" w:cs="Arial"/>
          <w:i/>
          <w:iCs/>
          <w:sz w:val="24"/>
          <w:szCs w:val="24"/>
          <w:lang w:val="en-US"/>
        </w:rPr>
        <w:t>[</w:t>
      </w:r>
      <w:r w:rsidR="00AF595C" w:rsidRPr="00EF7931">
        <w:rPr>
          <w:rFonts w:ascii="Arial" w:hAnsi="Arial" w:cs="Arial"/>
          <w:i/>
          <w:iCs/>
          <w:sz w:val="24"/>
          <w:szCs w:val="24"/>
          <w:lang w:val="en-US"/>
        </w:rPr>
        <w:t>EOH MS</w:t>
      </w:r>
      <w:r w:rsidR="00EF5446" w:rsidRPr="00EF7931">
        <w:rPr>
          <w:rFonts w:ascii="Arial" w:hAnsi="Arial" w:cs="Arial"/>
          <w:i/>
          <w:iCs/>
          <w:sz w:val="24"/>
          <w:szCs w:val="24"/>
          <w:lang w:val="en-US"/>
        </w:rPr>
        <w:t xml:space="preserve">] </w:t>
      </w:r>
      <w:r w:rsidR="0044588B" w:rsidRPr="00EF7931">
        <w:rPr>
          <w:rFonts w:ascii="Arial" w:hAnsi="Arial" w:cs="Arial"/>
          <w:i/>
          <w:iCs/>
          <w:sz w:val="24"/>
          <w:szCs w:val="24"/>
          <w:lang w:val="en-US"/>
        </w:rPr>
        <w:t>on 25 July 2013</w:t>
      </w:r>
      <w:r w:rsidR="0044588B" w:rsidRPr="008D1A11">
        <w:rPr>
          <w:rFonts w:ascii="Arial" w:hAnsi="Arial" w:cs="Arial"/>
          <w:sz w:val="24"/>
          <w:szCs w:val="24"/>
          <w:lang w:val="en-US"/>
        </w:rPr>
        <w:t>”.</w:t>
      </w:r>
      <w:r w:rsidR="00B07B49">
        <w:rPr>
          <w:rFonts w:ascii="Arial" w:hAnsi="Arial" w:cs="Arial"/>
          <w:sz w:val="24"/>
          <w:szCs w:val="24"/>
          <w:lang w:val="en-US"/>
        </w:rPr>
        <w:t xml:space="preserve">  </w:t>
      </w:r>
    </w:p>
    <w:p w14:paraId="2B1C22B2" w14:textId="000C7E78" w:rsidR="005A758B" w:rsidRDefault="001E7B0F"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[3</w:t>
      </w:r>
      <w:r w:rsidR="00FD4A66">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F94007">
        <w:rPr>
          <w:rFonts w:ascii="Arial" w:hAnsi="Arial" w:cs="Arial"/>
          <w:sz w:val="24"/>
          <w:szCs w:val="24"/>
          <w:lang w:val="en-US"/>
        </w:rPr>
        <w:t xml:space="preserve">This accords with what the evidence indicates the parties had intended in July 2013.  </w:t>
      </w:r>
      <w:r w:rsidR="0044588B" w:rsidRPr="00896DFD">
        <w:rPr>
          <w:rFonts w:ascii="Arial" w:hAnsi="Arial" w:cs="Arial"/>
          <w:sz w:val="24"/>
          <w:szCs w:val="24"/>
          <w:lang w:val="en-US"/>
        </w:rPr>
        <w:t xml:space="preserve">The preamble </w:t>
      </w:r>
      <w:r w:rsidR="00DA461B" w:rsidRPr="00896DFD">
        <w:rPr>
          <w:rFonts w:ascii="Arial" w:hAnsi="Arial" w:cs="Arial"/>
          <w:sz w:val="24"/>
          <w:szCs w:val="24"/>
          <w:lang w:val="en-US"/>
        </w:rPr>
        <w:t xml:space="preserve">also </w:t>
      </w:r>
      <w:r w:rsidR="0044588B" w:rsidRPr="00896DFD">
        <w:rPr>
          <w:rFonts w:ascii="Arial" w:hAnsi="Arial" w:cs="Arial"/>
          <w:sz w:val="24"/>
          <w:szCs w:val="24"/>
          <w:lang w:val="en-US"/>
        </w:rPr>
        <w:t>record</w:t>
      </w:r>
      <w:r w:rsidR="00FD4A66">
        <w:rPr>
          <w:rFonts w:ascii="Arial" w:hAnsi="Arial" w:cs="Arial"/>
          <w:sz w:val="24"/>
          <w:szCs w:val="24"/>
          <w:lang w:val="en-US"/>
        </w:rPr>
        <w:t>ed</w:t>
      </w:r>
      <w:r w:rsidR="0044588B" w:rsidRPr="00896DFD">
        <w:rPr>
          <w:rFonts w:ascii="Arial" w:hAnsi="Arial" w:cs="Arial"/>
          <w:sz w:val="24"/>
          <w:szCs w:val="24"/>
          <w:lang w:val="en-US"/>
        </w:rPr>
        <w:t xml:space="preserve"> that “the agreement” </w:t>
      </w:r>
      <w:r w:rsidR="00E879E6" w:rsidRPr="00896DFD">
        <w:rPr>
          <w:rFonts w:ascii="Arial" w:hAnsi="Arial" w:cs="Arial"/>
          <w:sz w:val="24"/>
          <w:szCs w:val="24"/>
          <w:lang w:val="en-US"/>
        </w:rPr>
        <w:t xml:space="preserve">- </w:t>
      </w:r>
      <w:r w:rsidR="002045FA" w:rsidRPr="00896DFD">
        <w:rPr>
          <w:rFonts w:ascii="Arial" w:hAnsi="Arial" w:cs="Arial"/>
          <w:sz w:val="24"/>
          <w:szCs w:val="24"/>
          <w:lang w:val="en-US"/>
        </w:rPr>
        <w:t>apparently referring to the July 2013 agreement</w:t>
      </w:r>
      <w:r w:rsidR="00E879E6" w:rsidRPr="00896DFD">
        <w:rPr>
          <w:rFonts w:ascii="Arial" w:hAnsi="Arial" w:cs="Arial"/>
          <w:sz w:val="24"/>
          <w:szCs w:val="24"/>
          <w:lang w:val="en-US"/>
        </w:rPr>
        <w:t xml:space="preserve"> -</w:t>
      </w:r>
      <w:r w:rsidR="002045FA" w:rsidRPr="00896DFD">
        <w:rPr>
          <w:rFonts w:ascii="Arial" w:hAnsi="Arial" w:cs="Arial"/>
          <w:sz w:val="24"/>
          <w:szCs w:val="24"/>
          <w:lang w:val="en-US"/>
        </w:rPr>
        <w:t xml:space="preserve"> had </w:t>
      </w:r>
      <w:r w:rsidR="0044588B" w:rsidRPr="00896DFD">
        <w:rPr>
          <w:rFonts w:ascii="Arial" w:hAnsi="Arial" w:cs="Arial"/>
          <w:sz w:val="24"/>
          <w:szCs w:val="24"/>
          <w:lang w:val="en-US"/>
        </w:rPr>
        <w:t>served to extend the loan repayment period, and that the parties ha</w:t>
      </w:r>
      <w:r w:rsidR="00E879E6" w:rsidRPr="00896DFD">
        <w:rPr>
          <w:rFonts w:ascii="Arial" w:hAnsi="Arial" w:cs="Arial"/>
          <w:sz w:val="24"/>
          <w:szCs w:val="24"/>
          <w:lang w:val="en-US"/>
        </w:rPr>
        <w:t>d</w:t>
      </w:r>
      <w:r w:rsidR="0044588B" w:rsidRPr="00896DFD">
        <w:rPr>
          <w:rFonts w:ascii="Arial" w:hAnsi="Arial" w:cs="Arial"/>
          <w:sz w:val="24"/>
          <w:szCs w:val="24"/>
          <w:lang w:val="en-US"/>
        </w:rPr>
        <w:t xml:space="preserve"> </w:t>
      </w:r>
      <w:r w:rsidR="002045FA" w:rsidRPr="00896DFD">
        <w:rPr>
          <w:rFonts w:ascii="Arial" w:hAnsi="Arial" w:cs="Arial"/>
          <w:sz w:val="24"/>
          <w:szCs w:val="24"/>
          <w:lang w:val="en-US"/>
        </w:rPr>
        <w:t xml:space="preserve">further </w:t>
      </w:r>
      <w:r w:rsidR="0044588B" w:rsidRPr="00896DFD">
        <w:rPr>
          <w:rFonts w:ascii="Arial" w:hAnsi="Arial" w:cs="Arial"/>
          <w:sz w:val="24"/>
          <w:szCs w:val="24"/>
          <w:lang w:val="en-US"/>
        </w:rPr>
        <w:t xml:space="preserve">agreed to amend the terms and conditions of </w:t>
      </w:r>
      <w:r w:rsidR="002045FA" w:rsidRPr="00896DFD">
        <w:rPr>
          <w:rFonts w:ascii="Arial" w:hAnsi="Arial" w:cs="Arial"/>
          <w:sz w:val="24"/>
          <w:szCs w:val="24"/>
          <w:lang w:val="en-US"/>
        </w:rPr>
        <w:t xml:space="preserve">that </w:t>
      </w:r>
      <w:r w:rsidR="0044588B" w:rsidRPr="00896DFD">
        <w:rPr>
          <w:rFonts w:ascii="Arial" w:hAnsi="Arial" w:cs="Arial"/>
          <w:sz w:val="24"/>
          <w:szCs w:val="24"/>
          <w:lang w:val="en-US"/>
        </w:rPr>
        <w:t xml:space="preserve">agreement. </w:t>
      </w:r>
      <w:r>
        <w:rPr>
          <w:rFonts w:ascii="Arial" w:hAnsi="Arial" w:cs="Arial"/>
          <w:sz w:val="24"/>
          <w:szCs w:val="24"/>
          <w:lang w:val="en-US"/>
        </w:rPr>
        <w:t xml:space="preserve"> </w:t>
      </w:r>
      <w:r w:rsidR="0044588B" w:rsidRPr="008D1A11">
        <w:rPr>
          <w:rFonts w:ascii="Arial" w:hAnsi="Arial" w:cs="Arial"/>
          <w:sz w:val="24"/>
          <w:szCs w:val="24"/>
          <w:lang w:val="en-US"/>
        </w:rPr>
        <w:t xml:space="preserve">The </w:t>
      </w:r>
      <w:r w:rsidR="00896DFD">
        <w:rPr>
          <w:rFonts w:ascii="Arial" w:hAnsi="Arial" w:cs="Arial"/>
          <w:sz w:val="24"/>
          <w:szCs w:val="24"/>
          <w:lang w:val="en-US"/>
        </w:rPr>
        <w:t>document then</w:t>
      </w:r>
      <w:r w:rsidR="002045FA">
        <w:rPr>
          <w:rFonts w:ascii="Arial" w:hAnsi="Arial" w:cs="Arial"/>
          <w:sz w:val="24"/>
          <w:szCs w:val="24"/>
          <w:lang w:val="en-US"/>
        </w:rPr>
        <w:t xml:space="preserve"> </w:t>
      </w:r>
      <w:r w:rsidR="0044588B" w:rsidRPr="008D1A11">
        <w:rPr>
          <w:rFonts w:ascii="Arial" w:hAnsi="Arial" w:cs="Arial"/>
          <w:sz w:val="24"/>
          <w:szCs w:val="24"/>
          <w:lang w:val="en-US"/>
        </w:rPr>
        <w:t>record</w:t>
      </w:r>
      <w:r w:rsidR="00E879E6">
        <w:rPr>
          <w:rFonts w:ascii="Arial" w:hAnsi="Arial" w:cs="Arial"/>
          <w:sz w:val="24"/>
          <w:szCs w:val="24"/>
          <w:lang w:val="en-US"/>
        </w:rPr>
        <w:t>ed</w:t>
      </w:r>
      <w:r w:rsidR="0044588B" w:rsidRPr="008D1A11">
        <w:rPr>
          <w:rFonts w:ascii="Arial" w:hAnsi="Arial" w:cs="Arial"/>
          <w:sz w:val="24"/>
          <w:szCs w:val="24"/>
          <w:lang w:val="en-US"/>
        </w:rPr>
        <w:t xml:space="preserve"> </w:t>
      </w:r>
      <w:r w:rsidR="00E879E6">
        <w:rPr>
          <w:rFonts w:ascii="Arial" w:hAnsi="Arial" w:cs="Arial"/>
          <w:sz w:val="24"/>
          <w:szCs w:val="24"/>
          <w:lang w:val="en-US"/>
        </w:rPr>
        <w:t xml:space="preserve">a further </w:t>
      </w:r>
      <w:r w:rsidR="0044588B" w:rsidRPr="008D1A11">
        <w:rPr>
          <w:rFonts w:ascii="Arial" w:hAnsi="Arial" w:cs="Arial"/>
          <w:sz w:val="24"/>
          <w:szCs w:val="24"/>
          <w:lang w:val="en-US"/>
        </w:rPr>
        <w:t>extension of the repayment period</w:t>
      </w:r>
      <w:r w:rsidR="00E879E6">
        <w:rPr>
          <w:rFonts w:ascii="Arial" w:hAnsi="Arial" w:cs="Arial"/>
          <w:sz w:val="24"/>
          <w:szCs w:val="24"/>
          <w:lang w:val="en-US"/>
        </w:rPr>
        <w:t>, this time</w:t>
      </w:r>
      <w:r w:rsidR="0044588B" w:rsidRPr="008D1A11">
        <w:rPr>
          <w:rFonts w:ascii="Arial" w:hAnsi="Arial" w:cs="Arial"/>
          <w:sz w:val="24"/>
          <w:szCs w:val="24"/>
          <w:lang w:val="en-US"/>
        </w:rPr>
        <w:t xml:space="preserve"> to 20 January 2020.  </w:t>
      </w:r>
    </w:p>
    <w:p w14:paraId="5A53BA7B" w14:textId="2327B90E" w:rsidR="009F179E" w:rsidRPr="00CF01D7" w:rsidRDefault="001E7B0F"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[3</w:t>
      </w:r>
      <w:r w:rsidR="00FD4A66">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5A758B" w:rsidRPr="00CF01D7">
        <w:rPr>
          <w:rFonts w:ascii="Arial" w:hAnsi="Arial" w:cs="Arial"/>
          <w:sz w:val="24"/>
          <w:szCs w:val="24"/>
          <w:lang w:val="en-US"/>
        </w:rPr>
        <w:t xml:space="preserve">This “first amendment” </w:t>
      </w:r>
      <w:r w:rsidR="0044588B" w:rsidRPr="00CF01D7">
        <w:rPr>
          <w:rFonts w:ascii="Arial" w:hAnsi="Arial" w:cs="Arial"/>
          <w:sz w:val="24"/>
          <w:szCs w:val="24"/>
          <w:lang w:val="en-US"/>
        </w:rPr>
        <w:t xml:space="preserve">agreement </w:t>
      </w:r>
      <w:r w:rsidR="005A758B" w:rsidRPr="00CF01D7">
        <w:rPr>
          <w:rFonts w:ascii="Arial" w:hAnsi="Arial" w:cs="Arial"/>
          <w:sz w:val="24"/>
          <w:szCs w:val="24"/>
          <w:lang w:val="en-US"/>
        </w:rPr>
        <w:t xml:space="preserve">was, </w:t>
      </w:r>
      <w:r w:rsidR="007A51D8" w:rsidRPr="00CF01D7">
        <w:rPr>
          <w:rFonts w:ascii="Arial" w:hAnsi="Arial" w:cs="Arial"/>
          <w:sz w:val="24"/>
          <w:szCs w:val="24"/>
          <w:lang w:val="en-US"/>
        </w:rPr>
        <w:t xml:space="preserve">the applicant and fourth respondent </w:t>
      </w:r>
      <w:r w:rsidR="006A20DA" w:rsidRPr="00CF01D7">
        <w:rPr>
          <w:rFonts w:ascii="Arial" w:hAnsi="Arial" w:cs="Arial"/>
          <w:sz w:val="24"/>
          <w:szCs w:val="24"/>
          <w:lang w:val="en-US"/>
        </w:rPr>
        <w:t xml:space="preserve">both </w:t>
      </w:r>
      <w:r w:rsidR="007A51D8" w:rsidRPr="00CF01D7">
        <w:rPr>
          <w:rFonts w:ascii="Arial" w:hAnsi="Arial" w:cs="Arial"/>
          <w:sz w:val="24"/>
          <w:szCs w:val="24"/>
          <w:lang w:val="en-US"/>
        </w:rPr>
        <w:t xml:space="preserve">confirm, </w:t>
      </w:r>
      <w:r w:rsidR="0044588B" w:rsidRPr="00CF01D7">
        <w:rPr>
          <w:rFonts w:ascii="Arial" w:hAnsi="Arial" w:cs="Arial"/>
          <w:sz w:val="24"/>
          <w:szCs w:val="24"/>
          <w:lang w:val="en-US"/>
        </w:rPr>
        <w:t xml:space="preserve">signed </w:t>
      </w:r>
      <w:r w:rsidR="003D6C99" w:rsidRPr="00CF01D7">
        <w:rPr>
          <w:rFonts w:ascii="Arial" w:hAnsi="Arial" w:cs="Arial"/>
          <w:sz w:val="24"/>
          <w:szCs w:val="24"/>
          <w:lang w:val="en-US"/>
        </w:rPr>
        <w:t xml:space="preserve">by </w:t>
      </w:r>
      <w:r w:rsidR="007A51D8" w:rsidRPr="00CF01D7">
        <w:rPr>
          <w:rFonts w:ascii="Arial" w:hAnsi="Arial" w:cs="Arial"/>
          <w:sz w:val="24"/>
          <w:szCs w:val="24"/>
          <w:lang w:val="en-US"/>
        </w:rPr>
        <w:t>them</w:t>
      </w:r>
      <w:r w:rsidR="005D0B98" w:rsidRPr="00CF01D7">
        <w:rPr>
          <w:rFonts w:ascii="Arial" w:hAnsi="Arial" w:cs="Arial"/>
          <w:sz w:val="24"/>
          <w:szCs w:val="24"/>
          <w:lang w:val="en-US"/>
        </w:rPr>
        <w:t xml:space="preserve"> in January 2015</w:t>
      </w:r>
      <w:r w:rsidR="007A51D8" w:rsidRPr="00CF01D7">
        <w:rPr>
          <w:rFonts w:ascii="Arial" w:hAnsi="Arial" w:cs="Arial"/>
          <w:sz w:val="24"/>
          <w:szCs w:val="24"/>
          <w:lang w:val="en-US"/>
        </w:rPr>
        <w:t>, in the case of the applicant</w:t>
      </w:r>
      <w:r w:rsidR="003D6C99" w:rsidRPr="00CF01D7">
        <w:rPr>
          <w:rFonts w:ascii="Arial" w:hAnsi="Arial" w:cs="Arial"/>
          <w:sz w:val="24"/>
          <w:szCs w:val="24"/>
          <w:lang w:val="en-US"/>
        </w:rPr>
        <w:t xml:space="preserve"> </w:t>
      </w:r>
      <w:r w:rsidR="0044588B" w:rsidRPr="00CF01D7">
        <w:rPr>
          <w:rFonts w:ascii="Arial" w:hAnsi="Arial" w:cs="Arial"/>
          <w:sz w:val="24"/>
          <w:szCs w:val="24"/>
          <w:lang w:val="en-US"/>
        </w:rPr>
        <w:t xml:space="preserve">on behalf of Silver Touch and </w:t>
      </w:r>
      <w:r w:rsidR="007A51D8" w:rsidRPr="00CF01D7">
        <w:rPr>
          <w:rFonts w:ascii="Arial" w:hAnsi="Arial" w:cs="Arial"/>
          <w:sz w:val="24"/>
          <w:szCs w:val="24"/>
          <w:lang w:val="en-US"/>
        </w:rPr>
        <w:t xml:space="preserve">in the case of the </w:t>
      </w:r>
      <w:r w:rsidR="003D6C99" w:rsidRPr="00CF01D7">
        <w:rPr>
          <w:rFonts w:ascii="Arial" w:hAnsi="Arial" w:cs="Arial"/>
          <w:sz w:val="24"/>
          <w:szCs w:val="24"/>
          <w:lang w:val="en-US"/>
        </w:rPr>
        <w:t xml:space="preserve">fourth respondent </w:t>
      </w:r>
      <w:r w:rsidR="0044588B" w:rsidRPr="00CF01D7">
        <w:rPr>
          <w:rFonts w:ascii="Arial" w:hAnsi="Arial" w:cs="Arial"/>
          <w:sz w:val="24"/>
          <w:szCs w:val="24"/>
          <w:lang w:val="en-US"/>
        </w:rPr>
        <w:t>on behalf of EOH</w:t>
      </w:r>
      <w:r w:rsidR="007A51D8" w:rsidRPr="00CF01D7">
        <w:rPr>
          <w:rFonts w:ascii="Arial" w:hAnsi="Arial" w:cs="Arial"/>
          <w:sz w:val="24"/>
          <w:szCs w:val="24"/>
          <w:lang w:val="en-US"/>
        </w:rPr>
        <w:t xml:space="preserve"> Mthombo</w:t>
      </w:r>
      <w:r w:rsidR="0044588B" w:rsidRPr="00CF01D7">
        <w:rPr>
          <w:rFonts w:ascii="Arial" w:hAnsi="Arial" w:cs="Arial"/>
          <w:sz w:val="24"/>
          <w:szCs w:val="24"/>
          <w:lang w:val="en-US"/>
        </w:rPr>
        <w:t>.</w:t>
      </w:r>
      <w:r w:rsidR="00CF01D7" w:rsidRPr="00CF01D7">
        <w:rPr>
          <w:rFonts w:ascii="Arial" w:hAnsi="Arial" w:cs="Arial"/>
          <w:sz w:val="24"/>
          <w:szCs w:val="24"/>
          <w:lang w:val="en-US"/>
        </w:rPr>
        <w:t xml:space="preserve">  </w:t>
      </w:r>
      <w:r w:rsidR="004B4F8E">
        <w:rPr>
          <w:rFonts w:ascii="Arial" w:hAnsi="Arial" w:cs="Arial"/>
          <w:sz w:val="24"/>
          <w:szCs w:val="24"/>
          <w:lang w:val="en-US"/>
        </w:rPr>
        <w:t>The agreement records, correctly from the perspective of the EOH group</w:t>
      </w:r>
      <w:r w:rsidR="00734421">
        <w:rPr>
          <w:rFonts w:ascii="Arial" w:hAnsi="Arial" w:cs="Arial"/>
          <w:sz w:val="24"/>
          <w:szCs w:val="24"/>
          <w:lang w:val="en-US"/>
        </w:rPr>
        <w:t xml:space="preserve"> and consistently with its financial records, that the loan creditor was EOH MS.  The </w:t>
      </w:r>
      <w:r w:rsidR="00F2499A">
        <w:rPr>
          <w:rFonts w:ascii="Arial" w:hAnsi="Arial" w:cs="Arial"/>
          <w:sz w:val="24"/>
          <w:szCs w:val="24"/>
          <w:lang w:val="en-US"/>
        </w:rPr>
        <w:t xml:space="preserve">agreement’s </w:t>
      </w:r>
      <w:r w:rsidR="0044588B" w:rsidRPr="00CF01D7">
        <w:rPr>
          <w:rFonts w:ascii="Arial" w:hAnsi="Arial" w:cs="Arial"/>
          <w:sz w:val="24"/>
          <w:szCs w:val="24"/>
          <w:lang w:val="en-US"/>
        </w:rPr>
        <w:t xml:space="preserve">unequivocal </w:t>
      </w:r>
      <w:r w:rsidR="00CF01D7">
        <w:rPr>
          <w:rFonts w:ascii="Arial" w:hAnsi="Arial" w:cs="Arial"/>
          <w:sz w:val="24"/>
          <w:szCs w:val="24"/>
          <w:lang w:val="en-US"/>
        </w:rPr>
        <w:t>purpose</w:t>
      </w:r>
      <w:r w:rsidR="0044588B" w:rsidRPr="00CF01D7">
        <w:rPr>
          <w:rFonts w:ascii="Arial" w:hAnsi="Arial" w:cs="Arial"/>
          <w:sz w:val="24"/>
          <w:szCs w:val="24"/>
          <w:lang w:val="en-US"/>
        </w:rPr>
        <w:t xml:space="preserve">, endorsed by </w:t>
      </w:r>
      <w:r w:rsidR="00754144" w:rsidRPr="00CF01D7">
        <w:rPr>
          <w:rFonts w:ascii="Arial" w:hAnsi="Arial" w:cs="Arial"/>
          <w:sz w:val="24"/>
          <w:szCs w:val="24"/>
          <w:lang w:val="en-US"/>
        </w:rPr>
        <w:t xml:space="preserve">both </w:t>
      </w:r>
      <w:r w:rsidR="0044588B" w:rsidRPr="00CF01D7">
        <w:rPr>
          <w:rFonts w:ascii="Arial" w:hAnsi="Arial" w:cs="Arial"/>
          <w:sz w:val="24"/>
          <w:szCs w:val="24"/>
          <w:lang w:val="en-US"/>
        </w:rPr>
        <w:t>signatories</w:t>
      </w:r>
      <w:r w:rsidR="00CF01D7">
        <w:rPr>
          <w:rFonts w:ascii="Arial" w:hAnsi="Arial" w:cs="Arial"/>
          <w:sz w:val="24"/>
          <w:szCs w:val="24"/>
          <w:lang w:val="en-US"/>
        </w:rPr>
        <w:t>,</w:t>
      </w:r>
      <w:r w:rsidR="0044588B" w:rsidRPr="00CF01D7">
        <w:rPr>
          <w:rFonts w:ascii="Arial" w:hAnsi="Arial" w:cs="Arial"/>
          <w:sz w:val="24"/>
          <w:szCs w:val="24"/>
          <w:lang w:val="en-US"/>
        </w:rPr>
        <w:t xml:space="preserve"> </w:t>
      </w:r>
      <w:r w:rsidR="00FD2E99" w:rsidRPr="00CF01D7">
        <w:rPr>
          <w:rFonts w:ascii="Arial" w:hAnsi="Arial" w:cs="Arial"/>
          <w:sz w:val="24"/>
          <w:szCs w:val="24"/>
          <w:lang w:val="en-US"/>
        </w:rPr>
        <w:t xml:space="preserve">who were also the signatories to the </w:t>
      </w:r>
      <w:r w:rsidR="0044588B" w:rsidRPr="00CF01D7">
        <w:rPr>
          <w:rFonts w:ascii="Arial" w:hAnsi="Arial" w:cs="Arial"/>
          <w:sz w:val="24"/>
          <w:szCs w:val="24"/>
          <w:lang w:val="en-US"/>
        </w:rPr>
        <w:t xml:space="preserve">original </w:t>
      </w:r>
      <w:r w:rsidR="00FD2E99" w:rsidRPr="00CF01D7">
        <w:rPr>
          <w:rFonts w:ascii="Arial" w:hAnsi="Arial" w:cs="Arial"/>
          <w:sz w:val="24"/>
          <w:szCs w:val="24"/>
          <w:lang w:val="en-US"/>
        </w:rPr>
        <w:t xml:space="preserve">loan </w:t>
      </w:r>
      <w:r w:rsidR="0044588B" w:rsidRPr="00CF01D7">
        <w:rPr>
          <w:rFonts w:ascii="Arial" w:hAnsi="Arial" w:cs="Arial"/>
          <w:sz w:val="24"/>
          <w:szCs w:val="24"/>
          <w:lang w:val="en-US"/>
        </w:rPr>
        <w:t xml:space="preserve">agreement, </w:t>
      </w:r>
      <w:r w:rsidR="00FD2E99" w:rsidRPr="00CF01D7">
        <w:rPr>
          <w:rFonts w:ascii="Arial" w:hAnsi="Arial" w:cs="Arial"/>
          <w:sz w:val="24"/>
          <w:szCs w:val="24"/>
          <w:lang w:val="en-US"/>
        </w:rPr>
        <w:t xml:space="preserve">was </w:t>
      </w:r>
      <w:r w:rsidR="0044588B" w:rsidRPr="00CF01D7">
        <w:rPr>
          <w:rFonts w:ascii="Arial" w:hAnsi="Arial" w:cs="Arial"/>
          <w:sz w:val="24"/>
          <w:szCs w:val="24"/>
          <w:lang w:val="en-US"/>
        </w:rPr>
        <w:t>to extend the period for repayment of the loan</w:t>
      </w:r>
      <w:r w:rsidR="00FD2E99" w:rsidRPr="00CF01D7">
        <w:rPr>
          <w:rFonts w:ascii="Arial" w:hAnsi="Arial" w:cs="Arial"/>
          <w:sz w:val="24"/>
          <w:szCs w:val="24"/>
          <w:lang w:val="en-US"/>
        </w:rPr>
        <w:t xml:space="preserve"> until 20 January 2020</w:t>
      </w:r>
      <w:r w:rsidR="0044588B" w:rsidRPr="00CF01D7">
        <w:rPr>
          <w:rFonts w:ascii="Arial" w:hAnsi="Arial" w:cs="Arial"/>
          <w:sz w:val="24"/>
          <w:szCs w:val="24"/>
          <w:lang w:val="en-US"/>
        </w:rPr>
        <w:t xml:space="preserve">.  </w:t>
      </w:r>
    </w:p>
    <w:p w14:paraId="6E126FE0" w14:textId="53DE7BCD" w:rsidR="0021643B" w:rsidRDefault="001E7B0F"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[3</w:t>
      </w:r>
      <w:r w:rsidR="00555F30">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DA7201">
        <w:rPr>
          <w:rFonts w:ascii="Arial" w:hAnsi="Arial" w:cs="Arial"/>
          <w:sz w:val="24"/>
          <w:szCs w:val="24"/>
          <w:lang w:val="en-US"/>
        </w:rPr>
        <w:t xml:space="preserve">Two and a half years </w:t>
      </w:r>
      <w:r w:rsidR="00F2499A">
        <w:rPr>
          <w:rFonts w:ascii="Arial" w:hAnsi="Arial" w:cs="Arial"/>
          <w:sz w:val="24"/>
          <w:szCs w:val="24"/>
          <w:lang w:val="en-US"/>
        </w:rPr>
        <w:t xml:space="preserve">after </w:t>
      </w:r>
      <w:r w:rsidR="00145C4B">
        <w:rPr>
          <w:rFonts w:ascii="Arial" w:hAnsi="Arial" w:cs="Arial"/>
          <w:sz w:val="24"/>
          <w:szCs w:val="24"/>
          <w:lang w:val="en-US"/>
        </w:rPr>
        <w:t xml:space="preserve">signature of the “first amendment” agreement, </w:t>
      </w:r>
      <w:r w:rsidR="00DA7201">
        <w:rPr>
          <w:rFonts w:ascii="Arial" w:hAnsi="Arial" w:cs="Arial"/>
          <w:sz w:val="24"/>
          <w:szCs w:val="24"/>
          <w:lang w:val="en-US"/>
        </w:rPr>
        <w:t xml:space="preserve">in a </w:t>
      </w:r>
      <w:r w:rsidR="004879C2">
        <w:rPr>
          <w:rFonts w:ascii="Arial" w:hAnsi="Arial" w:cs="Arial"/>
          <w:sz w:val="24"/>
          <w:szCs w:val="24"/>
          <w:lang w:val="en-US"/>
        </w:rPr>
        <w:t xml:space="preserve">letter </w:t>
      </w:r>
      <w:r w:rsidR="00DA7201">
        <w:rPr>
          <w:rFonts w:ascii="Arial" w:hAnsi="Arial" w:cs="Arial"/>
          <w:sz w:val="24"/>
          <w:szCs w:val="24"/>
          <w:lang w:val="en-US"/>
        </w:rPr>
        <w:t>dated 26 September 2017</w:t>
      </w:r>
      <w:r w:rsidR="004879C2">
        <w:rPr>
          <w:rFonts w:ascii="Arial" w:hAnsi="Arial" w:cs="Arial"/>
          <w:sz w:val="24"/>
          <w:szCs w:val="24"/>
          <w:lang w:val="en-US"/>
        </w:rPr>
        <w:t xml:space="preserve"> signed by the </w:t>
      </w:r>
      <w:r w:rsidR="00EB46AC">
        <w:rPr>
          <w:rFonts w:ascii="Arial" w:hAnsi="Arial" w:cs="Arial"/>
          <w:sz w:val="24"/>
          <w:szCs w:val="24"/>
          <w:lang w:val="en-US"/>
        </w:rPr>
        <w:t>applicant on behalf of Silver Touch</w:t>
      </w:r>
      <w:r w:rsidR="004879C2">
        <w:rPr>
          <w:rFonts w:ascii="Arial" w:hAnsi="Arial" w:cs="Arial"/>
          <w:sz w:val="24"/>
          <w:szCs w:val="24"/>
          <w:lang w:val="en-US"/>
        </w:rPr>
        <w:t xml:space="preserve">, the applicant </w:t>
      </w:r>
      <w:r w:rsidR="0021643B">
        <w:rPr>
          <w:rFonts w:ascii="Arial" w:hAnsi="Arial" w:cs="Arial"/>
          <w:sz w:val="24"/>
          <w:szCs w:val="24"/>
          <w:lang w:val="en-US"/>
        </w:rPr>
        <w:t xml:space="preserve">confirmed </w:t>
      </w:r>
      <w:r w:rsidR="00EB46AC">
        <w:rPr>
          <w:rFonts w:ascii="Arial" w:hAnsi="Arial" w:cs="Arial"/>
          <w:sz w:val="24"/>
          <w:szCs w:val="24"/>
          <w:lang w:val="en-US"/>
        </w:rPr>
        <w:t xml:space="preserve">receipt </w:t>
      </w:r>
      <w:r w:rsidR="004879C2">
        <w:rPr>
          <w:rFonts w:ascii="Arial" w:hAnsi="Arial" w:cs="Arial"/>
          <w:sz w:val="24"/>
          <w:szCs w:val="24"/>
          <w:lang w:val="en-US"/>
        </w:rPr>
        <w:t xml:space="preserve">by </w:t>
      </w:r>
      <w:r w:rsidR="0021643B" w:rsidRPr="008D1A11">
        <w:rPr>
          <w:rFonts w:ascii="Arial" w:hAnsi="Arial" w:cs="Arial"/>
          <w:sz w:val="24"/>
          <w:szCs w:val="24"/>
          <w:lang w:val="en-US"/>
        </w:rPr>
        <w:t xml:space="preserve">Silver Touch of the benefit of an interest free loan </w:t>
      </w:r>
      <w:r w:rsidR="00A14FE4">
        <w:rPr>
          <w:rFonts w:ascii="Arial" w:hAnsi="Arial" w:cs="Arial"/>
          <w:sz w:val="24"/>
          <w:szCs w:val="24"/>
          <w:lang w:val="en-US"/>
        </w:rPr>
        <w:t xml:space="preserve">from </w:t>
      </w:r>
      <w:r w:rsidR="00AF595C">
        <w:rPr>
          <w:rFonts w:ascii="Arial" w:hAnsi="Arial" w:cs="Arial"/>
          <w:sz w:val="24"/>
          <w:szCs w:val="24"/>
          <w:lang w:val="en-US"/>
        </w:rPr>
        <w:t>EOH MS</w:t>
      </w:r>
      <w:r w:rsidR="00A14FE4">
        <w:rPr>
          <w:rFonts w:ascii="Arial" w:hAnsi="Arial" w:cs="Arial"/>
          <w:sz w:val="24"/>
          <w:szCs w:val="24"/>
          <w:lang w:val="en-US"/>
        </w:rPr>
        <w:t xml:space="preserve"> </w:t>
      </w:r>
      <w:r w:rsidR="0021643B" w:rsidRPr="008D1A11">
        <w:rPr>
          <w:rFonts w:ascii="Arial" w:hAnsi="Arial" w:cs="Arial"/>
          <w:sz w:val="24"/>
          <w:szCs w:val="24"/>
          <w:lang w:val="en-US"/>
        </w:rPr>
        <w:t>in the amount of R1.2</w:t>
      </w:r>
      <w:r w:rsidR="00A14FE4">
        <w:rPr>
          <w:rFonts w:ascii="Arial" w:hAnsi="Arial" w:cs="Arial"/>
          <w:sz w:val="24"/>
          <w:szCs w:val="24"/>
          <w:lang w:val="en-US"/>
        </w:rPr>
        <w:t xml:space="preserve"> </w:t>
      </w:r>
      <w:r w:rsidR="0021643B" w:rsidRPr="008D1A11">
        <w:rPr>
          <w:rFonts w:ascii="Arial" w:hAnsi="Arial" w:cs="Arial"/>
          <w:sz w:val="24"/>
          <w:szCs w:val="24"/>
          <w:lang w:val="en-US"/>
        </w:rPr>
        <w:t>m</w:t>
      </w:r>
      <w:r w:rsidR="00A14FE4">
        <w:rPr>
          <w:rFonts w:ascii="Arial" w:hAnsi="Arial" w:cs="Arial"/>
          <w:sz w:val="24"/>
          <w:szCs w:val="24"/>
          <w:lang w:val="en-US"/>
        </w:rPr>
        <w:t>illion during</w:t>
      </w:r>
      <w:r w:rsidR="0021643B" w:rsidRPr="008D1A11">
        <w:rPr>
          <w:rFonts w:ascii="Arial" w:hAnsi="Arial" w:cs="Arial"/>
          <w:sz w:val="24"/>
          <w:szCs w:val="24"/>
          <w:lang w:val="en-US"/>
        </w:rPr>
        <w:t xml:space="preserve"> the period ending 31 July 2017</w:t>
      </w:r>
      <w:r w:rsidR="00145C4B">
        <w:rPr>
          <w:rFonts w:ascii="Arial" w:hAnsi="Arial" w:cs="Arial"/>
          <w:sz w:val="24"/>
          <w:szCs w:val="24"/>
          <w:lang w:val="en-US"/>
        </w:rPr>
        <w:t>.  The letter reco</w:t>
      </w:r>
      <w:r w:rsidR="002D326B">
        <w:rPr>
          <w:rFonts w:ascii="Arial" w:hAnsi="Arial" w:cs="Arial"/>
          <w:sz w:val="24"/>
          <w:szCs w:val="24"/>
          <w:lang w:val="en-US"/>
        </w:rPr>
        <w:t>r</w:t>
      </w:r>
      <w:r w:rsidR="00145C4B">
        <w:rPr>
          <w:rFonts w:ascii="Arial" w:hAnsi="Arial" w:cs="Arial"/>
          <w:sz w:val="24"/>
          <w:szCs w:val="24"/>
          <w:lang w:val="en-US"/>
        </w:rPr>
        <w:t xml:space="preserve">ded </w:t>
      </w:r>
      <w:r w:rsidR="0021643B">
        <w:rPr>
          <w:rFonts w:ascii="Arial" w:hAnsi="Arial" w:cs="Arial"/>
          <w:sz w:val="24"/>
          <w:szCs w:val="24"/>
          <w:lang w:val="en-US"/>
        </w:rPr>
        <w:t xml:space="preserve">that this was </w:t>
      </w:r>
      <w:r w:rsidR="0021643B" w:rsidRPr="008D1A11">
        <w:rPr>
          <w:rFonts w:ascii="Arial" w:hAnsi="Arial" w:cs="Arial"/>
          <w:sz w:val="24"/>
          <w:szCs w:val="24"/>
          <w:lang w:val="en-US"/>
        </w:rPr>
        <w:t>an interest free loan with a balance</w:t>
      </w:r>
      <w:r w:rsidR="0021643B">
        <w:rPr>
          <w:rFonts w:ascii="Arial" w:hAnsi="Arial" w:cs="Arial"/>
          <w:sz w:val="24"/>
          <w:szCs w:val="24"/>
          <w:lang w:val="en-US"/>
        </w:rPr>
        <w:t xml:space="preserve">, as </w:t>
      </w:r>
      <w:r w:rsidR="0021643B" w:rsidRPr="008D1A11">
        <w:rPr>
          <w:rFonts w:ascii="Arial" w:hAnsi="Arial" w:cs="Arial"/>
          <w:sz w:val="24"/>
          <w:szCs w:val="24"/>
          <w:lang w:val="en-US"/>
        </w:rPr>
        <w:t>at 31 July 2017</w:t>
      </w:r>
      <w:r w:rsidR="0021643B">
        <w:rPr>
          <w:rFonts w:ascii="Arial" w:hAnsi="Arial" w:cs="Arial"/>
          <w:sz w:val="24"/>
          <w:szCs w:val="24"/>
          <w:lang w:val="en-US"/>
        </w:rPr>
        <w:t xml:space="preserve">, of </w:t>
      </w:r>
      <w:r w:rsidR="0021643B" w:rsidRPr="008D1A11">
        <w:rPr>
          <w:rFonts w:ascii="Arial" w:hAnsi="Arial" w:cs="Arial"/>
          <w:sz w:val="24"/>
          <w:szCs w:val="24"/>
          <w:lang w:val="en-US"/>
        </w:rPr>
        <w:t>R1.2</w:t>
      </w:r>
      <w:r w:rsidR="0021643B">
        <w:rPr>
          <w:rFonts w:ascii="Arial" w:hAnsi="Arial" w:cs="Arial"/>
          <w:sz w:val="24"/>
          <w:szCs w:val="24"/>
          <w:lang w:val="en-US"/>
        </w:rPr>
        <w:t xml:space="preserve"> </w:t>
      </w:r>
      <w:r w:rsidR="0021643B" w:rsidRPr="008D1A11">
        <w:rPr>
          <w:rFonts w:ascii="Arial" w:hAnsi="Arial" w:cs="Arial"/>
          <w:sz w:val="24"/>
          <w:szCs w:val="24"/>
          <w:lang w:val="en-US"/>
        </w:rPr>
        <w:t>m</w:t>
      </w:r>
      <w:r w:rsidR="0021643B">
        <w:rPr>
          <w:rFonts w:ascii="Arial" w:hAnsi="Arial" w:cs="Arial"/>
          <w:sz w:val="24"/>
          <w:szCs w:val="24"/>
          <w:lang w:val="en-US"/>
        </w:rPr>
        <w:t>illion</w:t>
      </w:r>
      <w:r w:rsidR="0021643B" w:rsidRPr="008D1A11">
        <w:rPr>
          <w:rFonts w:ascii="Arial" w:hAnsi="Arial" w:cs="Arial"/>
          <w:sz w:val="24"/>
          <w:szCs w:val="24"/>
          <w:lang w:val="en-US"/>
        </w:rPr>
        <w:t>.</w:t>
      </w:r>
    </w:p>
    <w:p w14:paraId="04AB5497" w14:textId="12247AD3" w:rsidR="00A56002" w:rsidRDefault="00C57A4F"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[3</w:t>
      </w:r>
      <w:r w:rsidR="00555F30">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6E29CF">
        <w:rPr>
          <w:rFonts w:ascii="Arial" w:hAnsi="Arial" w:cs="Arial"/>
          <w:sz w:val="24"/>
          <w:szCs w:val="24"/>
          <w:lang w:val="en-US"/>
        </w:rPr>
        <w:t>When EOH MS, the first respondent, presented its claim at the first meeting of creditors</w:t>
      </w:r>
      <w:r w:rsidR="00C82EAF">
        <w:rPr>
          <w:rFonts w:ascii="Arial" w:hAnsi="Arial" w:cs="Arial"/>
          <w:sz w:val="24"/>
          <w:szCs w:val="24"/>
          <w:lang w:val="en-US"/>
        </w:rPr>
        <w:t xml:space="preserve"> of Silver Touch</w:t>
      </w:r>
      <w:r w:rsidR="00555F30">
        <w:rPr>
          <w:rFonts w:ascii="Arial" w:hAnsi="Arial" w:cs="Arial"/>
          <w:sz w:val="24"/>
          <w:szCs w:val="24"/>
          <w:lang w:val="en-US"/>
        </w:rPr>
        <w:t xml:space="preserve"> in November 202</w:t>
      </w:r>
      <w:r w:rsidR="0098291E">
        <w:rPr>
          <w:rFonts w:ascii="Arial" w:hAnsi="Arial" w:cs="Arial"/>
          <w:sz w:val="24"/>
          <w:szCs w:val="24"/>
          <w:lang w:val="en-US"/>
        </w:rPr>
        <w:t>0</w:t>
      </w:r>
      <w:r w:rsidR="00C82EAF">
        <w:rPr>
          <w:rFonts w:ascii="Arial" w:hAnsi="Arial" w:cs="Arial"/>
          <w:sz w:val="24"/>
          <w:szCs w:val="24"/>
          <w:lang w:val="en-US"/>
        </w:rPr>
        <w:t xml:space="preserve">, it did so in the form of an affidavit deposed to by </w:t>
      </w:r>
      <w:r w:rsidR="00E74093">
        <w:rPr>
          <w:rFonts w:ascii="Arial" w:hAnsi="Arial" w:cs="Arial"/>
          <w:sz w:val="24"/>
          <w:szCs w:val="24"/>
          <w:lang w:val="en-US"/>
        </w:rPr>
        <w:t xml:space="preserve">a legal advisor of </w:t>
      </w:r>
      <w:r w:rsidR="005609CF">
        <w:rPr>
          <w:rFonts w:ascii="Arial" w:hAnsi="Arial" w:cs="Arial"/>
          <w:sz w:val="24"/>
          <w:szCs w:val="24"/>
          <w:lang w:val="en-US"/>
        </w:rPr>
        <w:t xml:space="preserve">the first respondent, Ms Jordaan.  </w:t>
      </w:r>
      <w:r w:rsidR="00FB7ABF">
        <w:rPr>
          <w:rFonts w:ascii="Arial" w:hAnsi="Arial" w:cs="Arial"/>
          <w:sz w:val="24"/>
          <w:szCs w:val="24"/>
          <w:lang w:val="en-US"/>
        </w:rPr>
        <w:t>In that affidavit Ms Jordaan</w:t>
      </w:r>
      <w:r w:rsidR="005A5F5A">
        <w:rPr>
          <w:rFonts w:ascii="Arial" w:hAnsi="Arial" w:cs="Arial"/>
          <w:sz w:val="24"/>
          <w:szCs w:val="24"/>
          <w:lang w:val="en-US"/>
        </w:rPr>
        <w:t xml:space="preserve"> stated that she had personal knowledge of the facts, and then rec</w:t>
      </w:r>
      <w:r w:rsidR="0028428F">
        <w:rPr>
          <w:rFonts w:ascii="Arial" w:hAnsi="Arial" w:cs="Arial"/>
          <w:sz w:val="24"/>
          <w:szCs w:val="24"/>
          <w:lang w:val="en-US"/>
        </w:rPr>
        <w:t xml:space="preserve">ited the </w:t>
      </w:r>
      <w:r w:rsidR="00A63B26">
        <w:rPr>
          <w:rFonts w:ascii="Arial" w:hAnsi="Arial" w:cs="Arial"/>
          <w:sz w:val="24"/>
          <w:szCs w:val="24"/>
          <w:lang w:val="en-US"/>
        </w:rPr>
        <w:t xml:space="preserve">circumstances in which the claim had arisen.  </w:t>
      </w:r>
      <w:r w:rsidR="00012DE7">
        <w:rPr>
          <w:rFonts w:ascii="Arial" w:hAnsi="Arial" w:cs="Arial"/>
          <w:sz w:val="24"/>
          <w:szCs w:val="24"/>
          <w:lang w:val="en-US"/>
        </w:rPr>
        <w:t xml:space="preserve">As regards the July 2013 agreement, the deponent referred </w:t>
      </w:r>
      <w:r w:rsidR="0009562E">
        <w:rPr>
          <w:rFonts w:ascii="Arial" w:hAnsi="Arial" w:cs="Arial"/>
          <w:sz w:val="24"/>
          <w:szCs w:val="24"/>
          <w:lang w:val="en-US"/>
        </w:rPr>
        <w:t xml:space="preserve">to and attached </w:t>
      </w:r>
      <w:r w:rsidR="00012DE7">
        <w:rPr>
          <w:rFonts w:ascii="Arial" w:hAnsi="Arial" w:cs="Arial"/>
          <w:sz w:val="24"/>
          <w:szCs w:val="24"/>
          <w:lang w:val="en-US"/>
        </w:rPr>
        <w:t>only what I have described as the second document</w:t>
      </w:r>
      <w:r w:rsidR="00C400D3">
        <w:rPr>
          <w:rFonts w:ascii="Arial" w:hAnsi="Arial" w:cs="Arial"/>
          <w:sz w:val="24"/>
          <w:szCs w:val="24"/>
          <w:lang w:val="en-US"/>
        </w:rPr>
        <w:t>, amended and manipulated in the manner described above</w:t>
      </w:r>
      <w:r w:rsidR="00A56002">
        <w:rPr>
          <w:rFonts w:ascii="Arial" w:hAnsi="Arial" w:cs="Arial"/>
          <w:sz w:val="24"/>
          <w:szCs w:val="24"/>
          <w:lang w:val="en-US"/>
        </w:rPr>
        <w:t xml:space="preserve">, in terms of which the revised payment date was </w:t>
      </w:r>
      <w:r w:rsidR="00FB7ABF">
        <w:rPr>
          <w:rFonts w:ascii="Arial" w:hAnsi="Arial" w:cs="Arial"/>
          <w:sz w:val="24"/>
          <w:szCs w:val="24"/>
          <w:lang w:val="en-US"/>
        </w:rPr>
        <w:t xml:space="preserve">initially </w:t>
      </w:r>
      <w:r w:rsidR="00A56002">
        <w:rPr>
          <w:rFonts w:ascii="Arial" w:hAnsi="Arial" w:cs="Arial"/>
          <w:sz w:val="24"/>
          <w:szCs w:val="24"/>
          <w:lang w:val="en-US"/>
        </w:rPr>
        <w:t>extended to 31 January 2015.</w:t>
      </w:r>
    </w:p>
    <w:p w14:paraId="798A8A91" w14:textId="22F331AC" w:rsidR="00042559" w:rsidRDefault="00C57A4F"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[3</w:t>
      </w:r>
      <w:r w:rsidR="003B4357">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551B16">
        <w:rPr>
          <w:rFonts w:ascii="Arial" w:hAnsi="Arial" w:cs="Arial"/>
          <w:sz w:val="24"/>
          <w:szCs w:val="24"/>
          <w:lang w:val="en-US"/>
        </w:rPr>
        <w:t xml:space="preserve">In fact Ms Jordaan did not have personal knowledge of the </w:t>
      </w:r>
      <w:r w:rsidR="00BE2D14">
        <w:rPr>
          <w:rFonts w:ascii="Arial" w:hAnsi="Arial" w:cs="Arial"/>
          <w:sz w:val="24"/>
          <w:szCs w:val="24"/>
          <w:lang w:val="en-US"/>
        </w:rPr>
        <w:t xml:space="preserve">sequence of events, </w:t>
      </w:r>
      <w:r w:rsidR="00C4131B">
        <w:rPr>
          <w:rFonts w:ascii="Arial" w:hAnsi="Arial" w:cs="Arial"/>
          <w:sz w:val="24"/>
          <w:szCs w:val="24"/>
          <w:lang w:val="en-US"/>
        </w:rPr>
        <w:t xml:space="preserve">had not been employed by the company when the relevant documents were </w:t>
      </w:r>
      <w:r w:rsidR="005F1194">
        <w:rPr>
          <w:rFonts w:ascii="Arial" w:hAnsi="Arial" w:cs="Arial"/>
          <w:sz w:val="24"/>
          <w:szCs w:val="24"/>
          <w:lang w:val="en-US"/>
        </w:rPr>
        <w:t>created</w:t>
      </w:r>
      <w:r w:rsidR="00C4131B">
        <w:rPr>
          <w:rFonts w:ascii="Arial" w:hAnsi="Arial" w:cs="Arial"/>
          <w:sz w:val="24"/>
          <w:szCs w:val="24"/>
          <w:lang w:val="en-US"/>
        </w:rPr>
        <w:t xml:space="preserve"> in 2013, </w:t>
      </w:r>
      <w:r w:rsidR="00BE2D14">
        <w:rPr>
          <w:rFonts w:ascii="Arial" w:hAnsi="Arial" w:cs="Arial"/>
          <w:sz w:val="24"/>
          <w:szCs w:val="24"/>
          <w:lang w:val="en-US"/>
        </w:rPr>
        <w:t xml:space="preserve">and was relying on the records and information available to her in her capacity as legal advisor of the company.  </w:t>
      </w:r>
      <w:r w:rsidR="00C4131B">
        <w:rPr>
          <w:rFonts w:ascii="Arial" w:hAnsi="Arial" w:cs="Arial"/>
          <w:sz w:val="24"/>
          <w:szCs w:val="24"/>
          <w:lang w:val="en-US"/>
        </w:rPr>
        <w:t xml:space="preserve">Following further investigation, once the </w:t>
      </w:r>
      <w:r w:rsidR="00C33F63">
        <w:rPr>
          <w:rFonts w:ascii="Arial" w:hAnsi="Arial" w:cs="Arial"/>
          <w:sz w:val="24"/>
          <w:szCs w:val="24"/>
          <w:lang w:val="en-US"/>
        </w:rPr>
        <w:t xml:space="preserve">document actually signed in July 2013 had been produced </w:t>
      </w:r>
      <w:r w:rsidR="00AD05E2">
        <w:rPr>
          <w:rFonts w:ascii="Arial" w:hAnsi="Arial" w:cs="Arial"/>
          <w:sz w:val="24"/>
          <w:szCs w:val="24"/>
          <w:lang w:val="en-US"/>
        </w:rPr>
        <w:t>by the applicant and fourth respondent</w:t>
      </w:r>
      <w:r w:rsidR="00C356E2">
        <w:rPr>
          <w:rFonts w:ascii="Arial" w:hAnsi="Arial" w:cs="Arial"/>
          <w:sz w:val="24"/>
          <w:szCs w:val="24"/>
          <w:lang w:val="en-US"/>
        </w:rPr>
        <w:t xml:space="preserve"> </w:t>
      </w:r>
      <w:r w:rsidR="00C33F63">
        <w:rPr>
          <w:rFonts w:ascii="Arial" w:hAnsi="Arial" w:cs="Arial"/>
          <w:sz w:val="24"/>
          <w:szCs w:val="24"/>
          <w:lang w:val="en-US"/>
        </w:rPr>
        <w:t xml:space="preserve">and its authenticity established in the course of the present proceedings, </w:t>
      </w:r>
      <w:r w:rsidR="00F4686E">
        <w:rPr>
          <w:rFonts w:ascii="Arial" w:hAnsi="Arial" w:cs="Arial"/>
          <w:sz w:val="24"/>
          <w:szCs w:val="24"/>
          <w:lang w:val="en-US"/>
        </w:rPr>
        <w:t xml:space="preserve">Ms Jordaan acknowledged and confirmed the sequence of events </w:t>
      </w:r>
      <w:r w:rsidR="00596280">
        <w:rPr>
          <w:rFonts w:ascii="Arial" w:hAnsi="Arial" w:cs="Arial"/>
          <w:sz w:val="24"/>
          <w:szCs w:val="24"/>
          <w:lang w:val="en-US"/>
        </w:rPr>
        <w:t xml:space="preserve">regarding production of both documents, as </w:t>
      </w:r>
      <w:r w:rsidR="00C356E2">
        <w:rPr>
          <w:rFonts w:ascii="Arial" w:hAnsi="Arial" w:cs="Arial"/>
          <w:sz w:val="24"/>
          <w:szCs w:val="24"/>
          <w:lang w:val="en-US"/>
        </w:rPr>
        <w:t xml:space="preserve">I have </w:t>
      </w:r>
      <w:r w:rsidR="00F4686E">
        <w:rPr>
          <w:rFonts w:ascii="Arial" w:hAnsi="Arial" w:cs="Arial"/>
          <w:sz w:val="24"/>
          <w:szCs w:val="24"/>
          <w:lang w:val="en-US"/>
        </w:rPr>
        <w:t xml:space="preserve">described </w:t>
      </w:r>
      <w:r w:rsidR="00C356E2">
        <w:rPr>
          <w:rFonts w:ascii="Arial" w:hAnsi="Arial" w:cs="Arial"/>
          <w:sz w:val="24"/>
          <w:szCs w:val="24"/>
          <w:lang w:val="en-US"/>
        </w:rPr>
        <w:t xml:space="preserve">them </w:t>
      </w:r>
      <w:r w:rsidR="00F4686E">
        <w:rPr>
          <w:rFonts w:ascii="Arial" w:hAnsi="Arial" w:cs="Arial"/>
          <w:sz w:val="24"/>
          <w:szCs w:val="24"/>
          <w:lang w:val="en-US"/>
        </w:rPr>
        <w:t xml:space="preserve">above.  </w:t>
      </w:r>
    </w:p>
    <w:p w14:paraId="2140E661" w14:textId="4DCA1471" w:rsidR="002D326B" w:rsidRPr="008D1A11" w:rsidRDefault="005F1194"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[3</w:t>
      </w:r>
      <w:r w:rsidR="003B4357">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2D326B">
        <w:rPr>
          <w:rFonts w:ascii="Arial" w:hAnsi="Arial" w:cs="Arial"/>
          <w:sz w:val="24"/>
          <w:szCs w:val="24"/>
          <w:lang w:val="en-US"/>
        </w:rPr>
        <w:t>Before dealing with the parties’ submission</w:t>
      </w:r>
      <w:r w:rsidR="004029A6">
        <w:rPr>
          <w:rFonts w:ascii="Arial" w:hAnsi="Arial" w:cs="Arial"/>
          <w:sz w:val="24"/>
          <w:szCs w:val="24"/>
          <w:lang w:val="en-US"/>
        </w:rPr>
        <w:t>s</w:t>
      </w:r>
      <w:r w:rsidR="002D326B">
        <w:rPr>
          <w:rFonts w:ascii="Arial" w:hAnsi="Arial" w:cs="Arial"/>
          <w:sz w:val="24"/>
          <w:szCs w:val="24"/>
          <w:lang w:val="en-US"/>
        </w:rPr>
        <w:t xml:space="preserve"> on the strength of these facts, </w:t>
      </w:r>
      <w:r w:rsidR="004029A6">
        <w:rPr>
          <w:rFonts w:ascii="Arial" w:hAnsi="Arial" w:cs="Arial"/>
          <w:sz w:val="24"/>
          <w:szCs w:val="24"/>
          <w:lang w:val="en-US"/>
        </w:rPr>
        <w:t xml:space="preserve">I deal briefly with the </w:t>
      </w:r>
      <w:r w:rsidR="003C581A">
        <w:rPr>
          <w:rFonts w:ascii="Arial" w:hAnsi="Arial" w:cs="Arial"/>
          <w:sz w:val="24"/>
          <w:szCs w:val="24"/>
          <w:lang w:val="en-US"/>
        </w:rPr>
        <w:t>legal principles applicable to the applicant’s causes of action in this application.</w:t>
      </w:r>
    </w:p>
    <w:p w14:paraId="53E55FBE" w14:textId="77777777" w:rsidR="00F93FDB" w:rsidRPr="00B068CB" w:rsidRDefault="00F93FDB" w:rsidP="00F93FDB">
      <w:pPr>
        <w:rPr>
          <w:rFonts w:ascii="Arial" w:hAnsi="Arial" w:cs="Arial"/>
          <w:b/>
          <w:bCs/>
          <w:sz w:val="24"/>
          <w:szCs w:val="24"/>
          <w:lang w:val="en-US"/>
        </w:rPr>
      </w:pPr>
      <w:r w:rsidRPr="00B068CB">
        <w:rPr>
          <w:rFonts w:ascii="Arial" w:hAnsi="Arial" w:cs="Arial"/>
          <w:b/>
          <w:bCs/>
          <w:sz w:val="24"/>
          <w:szCs w:val="24"/>
          <w:lang w:val="en-US"/>
        </w:rPr>
        <w:t>Applicable legal principles</w:t>
      </w:r>
    </w:p>
    <w:p w14:paraId="2196CD19" w14:textId="0A7A98AD" w:rsidR="00F93FDB" w:rsidRPr="00B068CB" w:rsidRDefault="005F1194"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[3</w:t>
      </w:r>
      <w:r w:rsidR="003B4357">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311E9F">
        <w:rPr>
          <w:rFonts w:ascii="Arial" w:hAnsi="Arial" w:cs="Arial"/>
          <w:sz w:val="24"/>
          <w:szCs w:val="24"/>
          <w:lang w:val="en-US"/>
        </w:rPr>
        <w:t>S</w:t>
      </w:r>
      <w:r w:rsidR="00F93FDB" w:rsidRPr="00B068CB">
        <w:rPr>
          <w:rFonts w:ascii="Arial" w:hAnsi="Arial" w:cs="Arial"/>
          <w:sz w:val="24"/>
          <w:szCs w:val="24"/>
          <w:lang w:val="en-US"/>
        </w:rPr>
        <w:t>ection 354 of the Companies Act, 1973</w:t>
      </w:r>
      <w:r w:rsidR="00245FF4" w:rsidRPr="00B068CB">
        <w:rPr>
          <w:rFonts w:ascii="Arial" w:hAnsi="Arial" w:cs="Arial"/>
          <w:sz w:val="24"/>
          <w:szCs w:val="24"/>
          <w:lang w:val="en-US"/>
        </w:rPr>
        <w:t>, provide</w:t>
      </w:r>
      <w:r w:rsidR="00311E9F">
        <w:rPr>
          <w:rFonts w:ascii="Arial" w:hAnsi="Arial" w:cs="Arial"/>
          <w:sz w:val="24"/>
          <w:szCs w:val="24"/>
          <w:lang w:val="en-US"/>
        </w:rPr>
        <w:t>s</w:t>
      </w:r>
      <w:r w:rsidR="00245FF4" w:rsidRPr="00B068CB">
        <w:rPr>
          <w:rFonts w:ascii="Arial" w:hAnsi="Arial" w:cs="Arial"/>
          <w:sz w:val="24"/>
          <w:szCs w:val="24"/>
          <w:lang w:val="en-US"/>
        </w:rPr>
        <w:t xml:space="preserve"> as </w:t>
      </w:r>
      <w:r w:rsidR="00F93FDB" w:rsidRPr="00B068CB">
        <w:rPr>
          <w:rFonts w:ascii="Arial" w:hAnsi="Arial" w:cs="Arial"/>
          <w:sz w:val="24"/>
          <w:szCs w:val="24"/>
          <w:lang w:val="en-US"/>
        </w:rPr>
        <w:t>follows:</w:t>
      </w:r>
    </w:p>
    <w:p w14:paraId="31470017" w14:textId="77777777" w:rsidR="00F93FDB" w:rsidRPr="00B068CB" w:rsidRDefault="00F93FDB" w:rsidP="00F93FDB">
      <w:pPr>
        <w:pStyle w:val="BowLevel1ListAlt"/>
        <w:numPr>
          <w:ilvl w:val="0"/>
          <w:numId w:val="0"/>
        </w:numPr>
        <w:ind w:left="2160" w:hanging="720"/>
        <w:rPr>
          <w:rFonts w:ascii="Arial" w:hAnsi="Arial" w:cs="Arial"/>
          <w:i/>
          <w:iCs/>
          <w:sz w:val="24"/>
          <w:szCs w:val="24"/>
          <w:lang w:val="en-US"/>
        </w:rPr>
      </w:pPr>
      <w:r w:rsidRPr="00B068CB">
        <w:rPr>
          <w:rFonts w:ascii="Arial" w:hAnsi="Arial" w:cs="Arial"/>
          <w:sz w:val="24"/>
          <w:szCs w:val="24"/>
          <w:lang w:val="en-US"/>
        </w:rPr>
        <w:t>“</w:t>
      </w:r>
      <w:r w:rsidRPr="00B068CB">
        <w:rPr>
          <w:rFonts w:ascii="Arial" w:hAnsi="Arial" w:cs="Arial"/>
          <w:i/>
          <w:iCs/>
          <w:sz w:val="24"/>
          <w:szCs w:val="24"/>
          <w:lang w:val="en-US"/>
        </w:rPr>
        <w:t>(1)</w:t>
      </w:r>
      <w:r w:rsidRPr="00B068CB">
        <w:rPr>
          <w:rFonts w:ascii="Arial" w:hAnsi="Arial" w:cs="Arial"/>
          <w:i/>
          <w:iCs/>
          <w:sz w:val="24"/>
          <w:szCs w:val="24"/>
          <w:lang w:val="en-US"/>
        </w:rPr>
        <w:tab/>
        <w:t>The court may at any time after the commencement of a winding-up, on the application of any liquidator or member, and on proof to the satisfaction of the court that all proceedings in relation to the winding-up ought to be stayed or set aside, make an order staying or setting aside the proceedings or for the continuance of any voluntary winding up on such terms and conditions as the court may deem fit.</w:t>
      </w:r>
    </w:p>
    <w:p w14:paraId="0BDB3B30" w14:textId="77777777" w:rsidR="00F93FDB" w:rsidRPr="00B068CB" w:rsidRDefault="00F93FDB" w:rsidP="00F93FDB">
      <w:pPr>
        <w:pStyle w:val="BowLevel1ListAlt"/>
        <w:numPr>
          <w:ilvl w:val="0"/>
          <w:numId w:val="0"/>
        </w:numPr>
        <w:ind w:left="2160" w:hanging="720"/>
        <w:rPr>
          <w:rFonts w:ascii="Arial" w:hAnsi="Arial" w:cs="Arial"/>
          <w:i/>
          <w:iCs/>
          <w:sz w:val="24"/>
          <w:szCs w:val="24"/>
          <w:lang w:val="en-US"/>
        </w:rPr>
      </w:pPr>
      <w:r w:rsidRPr="00B068CB">
        <w:rPr>
          <w:rFonts w:ascii="Arial" w:hAnsi="Arial" w:cs="Arial"/>
          <w:i/>
          <w:iCs/>
          <w:sz w:val="24"/>
          <w:szCs w:val="24"/>
          <w:lang w:val="en-US"/>
        </w:rPr>
        <w:t>(2)</w:t>
      </w:r>
      <w:r w:rsidRPr="00B068CB">
        <w:rPr>
          <w:rFonts w:ascii="Arial" w:hAnsi="Arial" w:cs="Arial"/>
          <w:i/>
          <w:iCs/>
          <w:sz w:val="24"/>
          <w:szCs w:val="24"/>
          <w:lang w:val="en-US"/>
        </w:rPr>
        <w:tab/>
        <w:t>The court may, as to all matters relating to a winding-up, have regard to the wishes of the creditors or members as proved to it by any sufficient evidence.”</w:t>
      </w:r>
    </w:p>
    <w:p w14:paraId="18CF1493" w14:textId="78982B95" w:rsidR="00F93FDB" w:rsidRPr="00B068CB" w:rsidRDefault="00EA7C6C"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[3</w:t>
      </w:r>
      <w:r w:rsidR="003B4357">
        <w:rPr>
          <w:rFonts w:ascii="Arial" w:hAnsi="Arial" w:cs="Arial"/>
          <w:sz w:val="24"/>
          <w:szCs w:val="24"/>
          <w:lang w:val="en-US"/>
        </w:rPr>
        <w:t>7</w:t>
      </w:r>
      <w:r>
        <w:rPr>
          <w:rFonts w:ascii="Arial" w:hAnsi="Arial" w:cs="Arial"/>
          <w:sz w:val="24"/>
          <w:szCs w:val="24"/>
          <w:lang w:val="en-US"/>
        </w:rPr>
        <w:t xml:space="preserve">] </w:t>
      </w:r>
      <w:r w:rsidR="00245FF4" w:rsidRPr="00B068CB">
        <w:rPr>
          <w:rFonts w:ascii="Arial" w:hAnsi="Arial" w:cs="Arial"/>
          <w:sz w:val="24"/>
          <w:szCs w:val="24"/>
          <w:lang w:val="en-US"/>
        </w:rPr>
        <w:t>On interpreting this provision</w:t>
      </w:r>
      <w:r w:rsidR="003F64CC">
        <w:rPr>
          <w:rFonts w:ascii="Arial" w:hAnsi="Arial" w:cs="Arial"/>
          <w:sz w:val="24"/>
          <w:szCs w:val="24"/>
          <w:lang w:val="en-US"/>
        </w:rPr>
        <w:t>,</w:t>
      </w:r>
      <w:r w:rsidR="00245FF4" w:rsidRPr="00B068CB">
        <w:rPr>
          <w:rFonts w:ascii="Arial" w:hAnsi="Arial" w:cs="Arial"/>
          <w:sz w:val="24"/>
          <w:szCs w:val="24"/>
          <w:lang w:val="en-US"/>
        </w:rPr>
        <w:t xml:space="preserve"> both </w:t>
      </w:r>
      <w:r w:rsidR="00F93FDB" w:rsidRPr="00B068CB">
        <w:rPr>
          <w:rFonts w:ascii="Arial" w:hAnsi="Arial" w:cs="Arial"/>
          <w:sz w:val="24"/>
          <w:szCs w:val="24"/>
          <w:lang w:val="en-US"/>
        </w:rPr>
        <w:t xml:space="preserve">parties </w:t>
      </w:r>
      <w:r w:rsidR="00245FF4" w:rsidRPr="00B068CB">
        <w:rPr>
          <w:rFonts w:ascii="Arial" w:hAnsi="Arial" w:cs="Arial"/>
          <w:sz w:val="24"/>
          <w:szCs w:val="24"/>
          <w:lang w:val="en-US"/>
        </w:rPr>
        <w:t xml:space="preserve">referred me to </w:t>
      </w:r>
      <w:r w:rsidR="00F93FDB" w:rsidRPr="00B068CB">
        <w:rPr>
          <w:rFonts w:ascii="Arial" w:hAnsi="Arial" w:cs="Arial"/>
          <w:i/>
          <w:iCs/>
          <w:sz w:val="24"/>
          <w:szCs w:val="24"/>
          <w:lang w:val="en-US"/>
        </w:rPr>
        <w:t xml:space="preserve">Ward v Smit in re: Gurr v Zambia Airways Corporation </w:t>
      </w:r>
      <w:r w:rsidR="00F93FDB" w:rsidRPr="003F64CC">
        <w:rPr>
          <w:rFonts w:ascii="Arial" w:hAnsi="Arial" w:cs="Arial"/>
          <w:i/>
          <w:iCs/>
          <w:sz w:val="24"/>
          <w:szCs w:val="24"/>
          <w:lang w:val="en-US"/>
        </w:rPr>
        <w:t>Limited</w:t>
      </w:r>
      <w:r w:rsidR="003F64CC" w:rsidRPr="003F64CC">
        <w:rPr>
          <w:rStyle w:val="FootnoteReference"/>
          <w:rFonts w:ascii="Arial" w:hAnsi="Arial" w:cs="Arial"/>
          <w:i/>
          <w:iCs/>
          <w:sz w:val="24"/>
          <w:szCs w:val="24"/>
          <w:lang w:val="en-US"/>
        </w:rPr>
        <w:footnoteReference w:id="2"/>
      </w:r>
      <w:r w:rsidR="00245FF4" w:rsidRPr="003F64CC">
        <w:rPr>
          <w:rFonts w:ascii="Arial" w:hAnsi="Arial" w:cs="Arial"/>
          <w:sz w:val="24"/>
          <w:szCs w:val="24"/>
          <w:lang w:val="en-US"/>
        </w:rPr>
        <w:t>,</w:t>
      </w:r>
      <w:r w:rsidR="00245FF4" w:rsidRPr="00B068CB">
        <w:rPr>
          <w:rFonts w:ascii="Arial" w:hAnsi="Arial" w:cs="Arial"/>
          <w:sz w:val="24"/>
          <w:szCs w:val="24"/>
          <w:lang w:val="en-US"/>
        </w:rPr>
        <w:t xml:space="preserve"> which </w:t>
      </w:r>
      <w:r w:rsidR="00461C9B">
        <w:rPr>
          <w:rFonts w:ascii="Arial" w:hAnsi="Arial" w:cs="Arial"/>
          <w:sz w:val="24"/>
          <w:szCs w:val="24"/>
          <w:lang w:val="en-US"/>
        </w:rPr>
        <w:t xml:space="preserve">establishes </w:t>
      </w:r>
      <w:r w:rsidR="00245FF4" w:rsidRPr="00B068CB">
        <w:rPr>
          <w:rFonts w:ascii="Arial" w:hAnsi="Arial" w:cs="Arial"/>
          <w:sz w:val="24"/>
          <w:szCs w:val="24"/>
          <w:lang w:val="en-US"/>
        </w:rPr>
        <w:t xml:space="preserve">a number of principles </w:t>
      </w:r>
      <w:r w:rsidR="00461C9B">
        <w:rPr>
          <w:rFonts w:ascii="Arial" w:hAnsi="Arial" w:cs="Arial"/>
          <w:sz w:val="24"/>
          <w:szCs w:val="24"/>
          <w:lang w:val="en-US"/>
        </w:rPr>
        <w:t xml:space="preserve">arising </w:t>
      </w:r>
      <w:r w:rsidR="00167640">
        <w:rPr>
          <w:rFonts w:ascii="Arial" w:hAnsi="Arial" w:cs="Arial"/>
          <w:sz w:val="24"/>
          <w:szCs w:val="24"/>
          <w:lang w:val="en-US"/>
        </w:rPr>
        <w:t>from the section.  These include</w:t>
      </w:r>
      <w:r w:rsidR="00245FF4" w:rsidRPr="00B068CB">
        <w:rPr>
          <w:rFonts w:ascii="Arial" w:hAnsi="Arial" w:cs="Arial"/>
          <w:sz w:val="24"/>
          <w:szCs w:val="24"/>
          <w:lang w:val="en-US"/>
        </w:rPr>
        <w:t xml:space="preserve">: that the </w:t>
      </w:r>
      <w:r w:rsidR="00F93FDB" w:rsidRPr="00B068CB">
        <w:rPr>
          <w:rFonts w:ascii="Arial" w:hAnsi="Arial" w:cs="Arial"/>
          <w:sz w:val="24"/>
          <w:szCs w:val="24"/>
          <w:lang w:val="en-US"/>
        </w:rPr>
        <w:t>language of the section is wide enough to afford the court a discretion to set aside a winding</w:t>
      </w:r>
      <w:r w:rsidR="009C67DE">
        <w:rPr>
          <w:rFonts w:ascii="Arial" w:hAnsi="Arial" w:cs="Arial"/>
          <w:sz w:val="24"/>
          <w:szCs w:val="24"/>
          <w:lang w:val="en-US"/>
        </w:rPr>
        <w:t>-</w:t>
      </w:r>
      <w:r w:rsidR="00F93FDB" w:rsidRPr="00B068CB">
        <w:rPr>
          <w:rFonts w:ascii="Arial" w:hAnsi="Arial" w:cs="Arial"/>
          <w:sz w:val="24"/>
          <w:szCs w:val="24"/>
          <w:lang w:val="en-US"/>
        </w:rPr>
        <w:t xml:space="preserve">up order both on the basis that </w:t>
      </w:r>
      <w:r w:rsidR="00245FF4" w:rsidRPr="00B068CB">
        <w:rPr>
          <w:rFonts w:ascii="Arial" w:hAnsi="Arial" w:cs="Arial"/>
          <w:sz w:val="24"/>
          <w:szCs w:val="24"/>
          <w:lang w:val="en-US"/>
        </w:rPr>
        <w:t xml:space="preserve">the order </w:t>
      </w:r>
      <w:r w:rsidR="00F93FDB" w:rsidRPr="00B068CB">
        <w:rPr>
          <w:rFonts w:ascii="Arial" w:hAnsi="Arial" w:cs="Arial"/>
          <w:sz w:val="24"/>
          <w:szCs w:val="24"/>
          <w:lang w:val="en-US"/>
        </w:rPr>
        <w:t xml:space="preserve">ought not to have been granted </w:t>
      </w:r>
      <w:r w:rsidR="00245FF4" w:rsidRPr="00B068CB">
        <w:rPr>
          <w:rFonts w:ascii="Arial" w:hAnsi="Arial" w:cs="Arial"/>
          <w:sz w:val="24"/>
          <w:szCs w:val="24"/>
          <w:lang w:val="en-US"/>
        </w:rPr>
        <w:t xml:space="preserve">in the first place </w:t>
      </w:r>
      <w:r w:rsidR="00F93FDB" w:rsidRPr="00B068CB">
        <w:rPr>
          <w:rFonts w:ascii="Arial" w:hAnsi="Arial" w:cs="Arial"/>
          <w:sz w:val="24"/>
          <w:szCs w:val="24"/>
          <w:lang w:val="en-US"/>
        </w:rPr>
        <w:t xml:space="preserve">and </w:t>
      </w:r>
      <w:r w:rsidR="00245FF4" w:rsidRPr="00B068CB">
        <w:rPr>
          <w:rFonts w:ascii="Arial" w:hAnsi="Arial" w:cs="Arial"/>
          <w:sz w:val="24"/>
          <w:szCs w:val="24"/>
          <w:lang w:val="en-US"/>
        </w:rPr>
        <w:t xml:space="preserve">also </w:t>
      </w:r>
      <w:r w:rsidR="00F93FDB" w:rsidRPr="00B068CB">
        <w:rPr>
          <w:rFonts w:ascii="Arial" w:hAnsi="Arial" w:cs="Arial"/>
          <w:sz w:val="24"/>
          <w:szCs w:val="24"/>
          <w:lang w:val="en-US"/>
        </w:rPr>
        <w:t xml:space="preserve">on the basis that it </w:t>
      </w:r>
      <w:r w:rsidR="00245FF4" w:rsidRPr="00B068CB">
        <w:rPr>
          <w:rFonts w:ascii="Arial" w:hAnsi="Arial" w:cs="Arial"/>
          <w:sz w:val="24"/>
          <w:szCs w:val="24"/>
          <w:lang w:val="en-US"/>
        </w:rPr>
        <w:t xml:space="preserve">falls </w:t>
      </w:r>
      <w:r w:rsidR="00F93FDB" w:rsidRPr="00B068CB">
        <w:rPr>
          <w:rFonts w:ascii="Arial" w:hAnsi="Arial" w:cs="Arial"/>
          <w:sz w:val="24"/>
          <w:szCs w:val="24"/>
          <w:lang w:val="en-US"/>
        </w:rPr>
        <w:t>to be set aside by reason of subsequent events;</w:t>
      </w:r>
      <w:r w:rsidR="00245FF4" w:rsidRPr="00B068CB">
        <w:rPr>
          <w:rFonts w:ascii="Arial" w:hAnsi="Arial" w:cs="Arial"/>
          <w:sz w:val="24"/>
          <w:szCs w:val="24"/>
          <w:lang w:val="en-US"/>
        </w:rPr>
        <w:t xml:space="preserve"> that w</w:t>
      </w:r>
      <w:r w:rsidR="00F93FDB" w:rsidRPr="00B068CB">
        <w:rPr>
          <w:rFonts w:ascii="Arial" w:hAnsi="Arial" w:cs="Arial"/>
          <w:sz w:val="24"/>
          <w:szCs w:val="24"/>
          <w:lang w:val="en-US"/>
        </w:rPr>
        <w:t xml:space="preserve">here an applicant contends that an order should not have been granted </w:t>
      </w:r>
      <w:r w:rsidR="00245FF4" w:rsidRPr="00B068CB">
        <w:rPr>
          <w:rFonts w:ascii="Arial" w:hAnsi="Arial" w:cs="Arial"/>
          <w:sz w:val="24"/>
          <w:szCs w:val="24"/>
          <w:lang w:val="en-US"/>
        </w:rPr>
        <w:t xml:space="preserve">in the first place it must demonstrate </w:t>
      </w:r>
      <w:r w:rsidR="00F93FDB" w:rsidRPr="00B068CB">
        <w:rPr>
          <w:rFonts w:ascii="Arial" w:hAnsi="Arial" w:cs="Arial"/>
          <w:sz w:val="24"/>
          <w:szCs w:val="24"/>
          <w:lang w:val="en-US"/>
        </w:rPr>
        <w:t xml:space="preserve">exceptional circumstances that warrant </w:t>
      </w:r>
      <w:r w:rsidR="00245FF4" w:rsidRPr="00B068CB">
        <w:rPr>
          <w:rFonts w:ascii="Arial" w:hAnsi="Arial" w:cs="Arial"/>
          <w:sz w:val="24"/>
          <w:szCs w:val="24"/>
          <w:lang w:val="en-US"/>
        </w:rPr>
        <w:t xml:space="preserve">a </w:t>
      </w:r>
      <w:r w:rsidR="00F93FDB" w:rsidRPr="00B068CB">
        <w:rPr>
          <w:rFonts w:ascii="Arial" w:hAnsi="Arial" w:cs="Arial"/>
          <w:sz w:val="24"/>
          <w:szCs w:val="24"/>
          <w:lang w:val="en-US"/>
        </w:rPr>
        <w:t>setting aside</w:t>
      </w:r>
      <w:r w:rsidR="00245FF4" w:rsidRPr="00B068CB">
        <w:rPr>
          <w:rFonts w:ascii="Arial" w:hAnsi="Arial" w:cs="Arial"/>
          <w:sz w:val="24"/>
          <w:szCs w:val="24"/>
          <w:lang w:val="en-US"/>
        </w:rPr>
        <w:t xml:space="preserve">; that for a </w:t>
      </w:r>
      <w:r w:rsidR="00F93FDB" w:rsidRPr="00B068CB">
        <w:rPr>
          <w:rFonts w:ascii="Arial" w:hAnsi="Arial" w:cs="Arial"/>
          <w:sz w:val="24"/>
          <w:szCs w:val="24"/>
          <w:lang w:val="en-US"/>
        </w:rPr>
        <w:t>court</w:t>
      </w:r>
      <w:r w:rsidR="00245FF4" w:rsidRPr="00B068CB">
        <w:rPr>
          <w:rFonts w:ascii="Arial" w:hAnsi="Arial" w:cs="Arial"/>
          <w:sz w:val="24"/>
          <w:szCs w:val="24"/>
          <w:lang w:val="en-US"/>
        </w:rPr>
        <w:t xml:space="preserve"> to exercise its </w:t>
      </w:r>
      <w:r w:rsidR="00F93FDB" w:rsidRPr="00B068CB">
        <w:rPr>
          <w:rFonts w:ascii="Arial" w:hAnsi="Arial" w:cs="Arial"/>
          <w:sz w:val="24"/>
          <w:szCs w:val="24"/>
          <w:lang w:val="en-US"/>
        </w:rPr>
        <w:t>discretionary power</w:t>
      </w:r>
      <w:r w:rsidR="00245FF4" w:rsidRPr="00B068CB">
        <w:rPr>
          <w:rFonts w:ascii="Arial" w:hAnsi="Arial" w:cs="Arial"/>
          <w:sz w:val="24"/>
          <w:szCs w:val="24"/>
          <w:lang w:val="en-US"/>
        </w:rPr>
        <w:t xml:space="preserve"> under the section </w:t>
      </w:r>
      <w:r w:rsidR="00F93FDB" w:rsidRPr="00B068CB">
        <w:rPr>
          <w:rFonts w:ascii="Arial" w:hAnsi="Arial" w:cs="Arial"/>
          <w:sz w:val="24"/>
          <w:szCs w:val="24"/>
          <w:lang w:val="en-US"/>
        </w:rPr>
        <w:t xml:space="preserve">no less would be expected of an applicant than of an applicant who seeks to have a judgment </w:t>
      </w:r>
      <w:r w:rsidR="00245FF4" w:rsidRPr="00B068CB">
        <w:rPr>
          <w:rFonts w:ascii="Arial" w:hAnsi="Arial" w:cs="Arial"/>
          <w:sz w:val="24"/>
          <w:szCs w:val="24"/>
          <w:lang w:val="en-US"/>
        </w:rPr>
        <w:t>rescinded at</w:t>
      </w:r>
      <w:r w:rsidR="00F93FDB" w:rsidRPr="00B068CB">
        <w:rPr>
          <w:rFonts w:ascii="Arial" w:hAnsi="Arial" w:cs="Arial"/>
          <w:sz w:val="24"/>
          <w:szCs w:val="24"/>
          <w:lang w:val="en-US"/>
        </w:rPr>
        <w:t xml:space="preserve"> common law;</w:t>
      </w:r>
      <w:r w:rsidR="00245FF4" w:rsidRPr="00B068CB">
        <w:rPr>
          <w:rFonts w:ascii="Arial" w:hAnsi="Arial" w:cs="Arial"/>
          <w:sz w:val="24"/>
          <w:szCs w:val="24"/>
          <w:lang w:val="en-US"/>
        </w:rPr>
        <w:t xml:space="preserve"> that the </w:t>
      </w:r>
      <w:r w:rsidR="00F93FDB" w:rsidRPr="00B068CB">
        <w:rPr>
          <w:rFonts w:ascii="Arial" w:hAnsi="Arial" w:cs="Arial"/>
          <w:sz w:val="24"/>
          <w:szCs w:val="24"/>
          <w:lang w:val="en-US"/>
        </w:rPr>
        <w:t>object of the section is not to provide for a rehearing of winding-up proceedings or for the court to sit in appeal upon the merits of a judgment in respect of those proceedings;</w:t>
      </w:r>
      <w:r w:rsidR="00245FF4" w:rsidRPr="00B068CB">
        <w:rPr>
          <w:rFonts w:ascii="Arial" w:hAnsi="Arial" w:cs="Arial"/>
          <w:sz w:val="24"/>
          <w:szCs w:val="24"/>
          <w:lang w:val="en-US"/>
        </w:rPr>
        <w:t xml:space="preserve"> and that other relevant </w:t>
      </w:r>
      <w:r w:rsidR="00F93FDB" w:rsidRPr="00B068CB">
        <w:rPr>
          <w:rFonts w:ascii="Arial" w:hAnsi="Arial" w:cs="Arial"/>
          <w:sz w:val="24"/>
          <w:szCs w:val="24"/>
          <w:lang w:val="en-US"/>
        </w:rPr>
        <w:t>considerations include any delay in bringing the application and the extent to which the winding-up has progressed.</w:t>
      </w:r>
    </w:p>
    <w:p w14:paraId="5B550B77" w14:textId="70E74B7D" w:rsidR="00F93FDB" w:rsidRPr="00B068CB" w:rsidRDefault="00EA7C6C"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[3</w:t>
      </w:r>
      <w:r w:rsidR="00217CFC">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F93FDB" w:rsidRPr="00B068CB">
        <w:rPr>
          <w:rFonts w:ascii="Arial" w:hAnsi="Arial" w:cs="Arial"/>
          <w:sz w:val="24"/>
          <w:szCs w:val="24"/>
          <w:lang w:val="en-US"/>
        </w:rPr>
        <w:t xml:space="preserve">The second basis on which the </w:t>
      </w:r>
      <w:r w:rsidR="00245FF4" w:rsidRPr="00B068CB">
        <w:rPr>
          <w:rFonts w:ascii="Arial" w:hAnsi="Arial" w:cs="Arial"/>
          <w:sz w:val="24"/>
          <w:szCs w:val="24"/>
          <w:lang w:val="en-US"/>
        </w:rPr>
        <w:t>a</w:t>
      </w:r>
      <w:r w:rsidR="00F93FDB" w:rsidRPr="00B068CB">
        <w:rPr>
          <w:rFonts w:ascii="Arial" w:hAnsi="Arial" w:cs="Arial"/>
          <w:sz w:val="24"/>
          <w:szCs w:val="24"/>
          <w:lang w:val="en-US"/>
        </w:rPr>
        <w:t xml:space="preserve">pplicant </w:t>
      </w:r>
      <w:r w:rsidR="00245FF4" w:rsidRPr="00B068CB">
        <w:rPr>
          <w:rFonts w:ascii="Arial" w:hAnsi="Arial" w:cs="Arial"/>
          <w:sz w:val="24"/>
          <w:szCs w:val="24"/>
          <w:lang w:val="en-US"/>
        </w:rPr>
        <w:t xml:space="preserve">approaches </w:t>
      </w:r>
      <w:r w:rsidR="00F93FDB" w:rsidRPr="00B068CB">
        <w:rPr>
          <w:rFonts w:ascii="Arial" w:hAnsi="Arial" w:cs="Arial"/>
          <w:sz w:val="24"/>
          <w:szCs w:val="24"/>
          <w:lang w:val="en-US"/>
        </w:rPr>
        <w:t xml:space="preserve">the court is for </w:t>
      </w:r>
      <w:r w:rsidR="00245FF4" w:rsidRPr="00B068CB">
        <w:rPr>
          <w:rFonts w:ascii="Arial" w:hAnsi="Arial" w:cs="Arial"/>
          <w:sz w:val="24"/>
          <w:szCs w:val="24"/>
          <w:lang w:val="en-US"/>
        </w:rPr>
        <w:t xml:space="preserve">judicial </w:t>
      </w:r>
      <w:r w:rsidR="00F93FDB" w:rsidRPr="00B068CB">
        <w:rPr>
          <w:rFonts w:ascii="Arial" w:hAnsi="Arial" w:cs="Arial"/>
          <w:sz w:val="24"/>
          <w:szCs w:val="24"/>
          <w:lang w:val="en-US"/>
        </w:rPr>
        <w:t xml:space="preserve">review </w:t>
      </w:r>
      <w:r w:rsidR="00245FF4" w:rsidRPr="00B068CB">
        <w:rPr>
          <w:rFonts w:ascii="Arial" w:hAnsi="Arial" w:cs="Arial"/>
          <w:sz w:val="24"/>
          <w:szCs w:val="24"/>
          <w:lang w:val="en-US"/>
        </w:rPr>
        <w:t xml:space="preserve">of the decision of the </w:t>
      </w:r>
      <w:r w:rsidR="00CF2663">
        <w:rPr>
          <w:rFonts w:ascii="Arial" w:hAnsi="Arial" w:cs="Arial"/>
          <w:sz w:val="24"/>
          <w:szCs w:val="24"/>
          <w:lang w:val="en-US"/>
        </w:rPr>
        <w:t>tenth</w:t>
      </w:r>
      <w:r w:rsidR="00245FF4" w:rsidRPr="00B068CB">
        <w:rPr>
          <w:rFonts w:ascii="Arial" w:hAnsi="Arial" w:cs="Arial"/>
          <w:sz w:val="24"/>
          <w:szCs w:val="24"/>
          <w:lang w:val="en-US"/>
        </w:rPr>
        <w:t xml:space="preserve"> respondent</w:t>
      </w:r>
      <w:r w:rsidR="00CF2663">
        <w:rPr>
          <w:rFonts w:ascii="Arial" w:hAnsi="Arial" w:cs="Arial"/>
          <w:sz w:val="24"/>
          <w:szCs w:val="24"/>
          <w:lang w:val="en-US"/>
        </w:rPr>
        <w:t>,</w:t>
      </w:r>
      <w:r w:rsidR="00245FF4" w:rsidRPr="00B068CB">
        <w:rPr>
          <w:rFonts w:ascii="Arial" w:hAnsi="Arial" w:cs="Arial"/>
          <w:sz w:val="24"/>
          <w:szCs w:val="24"/>
          <w:lang w:val="en-US"/>
        </w:rPr>
        <w:t xml:space="preserve"> </w:t>
      </w:r>
      <w:r w:rsidR="00F93FDB" w:rsidRPr="00B068CB">
        <w:rPr>
          <w:rFonts w:ascii="Arial" w:hAnsi="Arial" w:cs="Arial"/>
          <w:sz w:val="24"/>
          <w:szCs w:val="24"/>
          <w:lang w:val="en-US"/>
        </w:rPr>
        <w:t>under the provisions of section 151 of the Insolvency Act.  Those provisions provide as follows:</w:t>
      </w:r>
    </w:p>
    <w:p w14:paraId="68A5B9AE" w14:textId="1E322F42" w:rsidR="00F93FDB" w:rsidRPr="00B068CB" w:rsidRDefault="00F93FDB" w:rsidP="00F93FDB">
      <w:pPr>
        <w:pStyle w:val="BowLevel1ListAlt"/>
        <w:numPr>
          <w:ilvl w:val="0"/>
          <w:numId w:val="0"/>
        </w:numPr>
        <w:ind w:left="1440"/>
        <w:rPr>
          <w:rFonts w:ascii="Arial" w:hAnsi="Arial" w:cs="Arial"/>
          <w:sz w:val="24"/>
          <w:szCs w:val="24"/>
          <w:lang w:val="en-US"/>
        </w:rPr>
      </w:pPr>
      <w:r w:rsidRPr="00B068CB">
        <w:rPr>
          <w:rFonts w:ascii="Arial" w:hAnsi="Arial" w:cs="Arial"/>
          <w:sz w:val="24"/>
          <w:szCs w:val="24"/>
          <w:lang w:val="en-US"/>
        </w:rPr>
        <w:t>“</w:t>
      </w:r>
      <w:r w:rsidRPr="00B068CB">
        <w:rPr>
          <w:rFonts w:ascii="Arial" w:hAnsi="Arial" w:cs="Arial"/>
          <w:i/>
          <w:iCs/>
          <w:sz w:val="24"/>
          <w:szCs w:val="24"/>
          <w:lang w:val="en-US"/>
        </w:rPr>
        <w:t>Subject to the provisions of section 5</w:t>
      </w:r>
      <w:r w:rsidR="00380974">
        <w:rPr>
          <w:rFonts w:ascii="Arial" w:hAnsi="Arial" w:cs="Arial"/>
          <w:i/>
          <w:iCs/>
          <w:sz w:val="24"/>
          <w:szCs w:val="24"/>
          <w:lang w:val="en-US"/>
        </w:rPr>
        <w:t>7</w:t>
      </w:r>
      <w:r w:rsidRPr="00B068CB">
        <w:rPr>
          <w:rFonts w:ascii="Arial" w:hAnsi="Arial" w:cs="Arial"/>
          <w:i/>
          <w:iCs/>
          <w:sz w:val="24"/>
          <w:szCs w:val="24"/>
          <w:lang w:val="en-US"/>
        </w:rPr>
        <w:t xml:space="preserve"> any person aggrieved by any decision, ruling, order or taxation of the Master or by a decision, ruling or order of an officer presiding at a meeting of creditors may bring it under review by the court and to that end may apply to the court by motion, after notice to the Master or to the presiding officer, if the case may be, and any person whose interests are affected…</w:t>
      </w:r>
      <w:r w:rsidRPr="00B068CB">
        <w:rPr>
          <w:rFonts w:ascii="Arial" w:hAnsi="Arial" w:cs="Arial"/>
          <w:sz w:val="24"/>
          <w:szCs w:val="24"/>
          <w:lang w:val="en-US"/>
        </w:rPr>
        <w:t>”</w:t>
      </w:r>
    </w:p>
    <w:p w14:paraId="38D1462B" w14:textId="5BC7DB35" w:rsidR="00F93FDB" w:rsidRPr="00B068CB" w:rsidRDefault="00EA7C6C"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w:t>
      </w:r>
      <w:r w:rsidR="0059010E">
        <w:rPr>
          <w:rFonts w:ascii="Arial" w:hAnsi="Arial" w:cs="Arial"/>
          <w:sz w:val="24"/>
          <w:szCs w:val="24"/>
          <w:lang w:val="en-US"/>
        </w:rPr>
        <w:t>39</w:t>
      </w:r>
      <w:r>
        <w:rPr>
          <w:rFonts w:ascii="Arial" w:hAnsi="Arial" w:cs="Arial"/>
          <w:sz w:val="24"/>
          <w:szCs w:val="24"/>
          <w:lang w:val="en-US"/>
        </w:rPr>
        <w:t>]</w:t>
      </w:r>
      <w:r>
        <w:rPr>
          <w:rFonts w:ascii="Arial" w:hAnsi="Arial" w:cs="Arial"/>
          <w:sz w:val="24"/>
          <w:szCs w:val="24"/>
          <w:lang w:val="en-US"/>
        </w:rPr>
        <w:tab/>
      </w:r>
      <w:r w:rsidR="00F93FDB" w:rsidRPr="00B068CB">
        <w:rPr>
          <w:rFonts w:ascii="Arial" w:hAnsi="Arial" w:cs="Arial"/>
          <w:sz w:val="24"/>
          <w:szCs w:val="24"/>
          <w:lang w:val="en-US"/>
        </w:rPr>
        <w:t xml:space="preserve">Insofar as the </w:t>
      </w:r>
      <w:r w:rsidR="00245FF4" w:rsidRPr="00B068CB">
        <w:rPr>
          <w:rFonts w:ascii="Arial" w:hAnsi="Arial" w:cs="Arial"/>
          <w:sz w:val="24"/>
          <w:szCs w:val="24"/>
          <w:lang w:val="en-US"/>
        </w:rPr>
        <w:t>a</w:t>
      </w:r>
      <w:r w:rsidR="00F93FDB" w:rsidRPr="00B068CB">
        <w:rPr>
          <w:rFonts w:ascii="Arial" w:hAnsi="Arial" w:cs="Arial"/>
          <w:sz w:val="24"/>
          <w:szCs w:val="24"/>
          <w:lang w:val="en-US"/>
        </w:rPr>
        <w:t>pplicant relies on this provision it accepts that grounds of review must be established under PAJA</w:t>
      </w:r>
      <w:r w:rsidR="007E423A">
        <w:rPr>
          <w:rFonts w:ascii="Arial" w:hAnsi="Arial" w:cs="Arial"/>
          <w:sz w:val="24"/>
          <w:szCs w:val="24"/>
          <w:lang w:val="en-US"/>
        </w:rPr>
        <w:t xml:space="preserve">, although </w:t>
      </w:r>
      <w:r w:rsidR="009546E6">
        <w:rPr>
          <w:rFonts w:ascii="Arial" w:hAnsi="Arial" w:cs="Arial"/>
          <w:sz w:val="24"/>
          <w:szCs w:val="24"/>
          <w:lang w:val="en-US"/>
        </w:rPr>
        <w:t xml:space="preserve">it </w:t>
      </w:r>
      <w:r w:rsidR="007E423A">
        <w:rPr>
          <w:rFonts w:ascii="Arial" w:hAnsi="Arial" w:cs="Arial"/>
          <w:sz w:val="24"/>
          <w:szCs w:val="24"/>
          <w:lang w:val="en-US"/>
        </w:rPr>
        <w:t xml:space="preserve">has not specified </w:t>
      </w:r>
      <w:r w:rsidR="00217CFC">
        <w:rPr>
          <w:rFonts w:ascii="Arial" w:hAnsi="Arial" w:cs="Arial"/>
          <w:sz w:val="24"/>
          <w:szCs w:val="24"/>
          <w:lang w:val="en-US"/>
        </w:rPr>
        <w:t xml:space="preserve">any particular </w:t>
      </w:r>
      <w:r w:rsidR="007E423A">
        <w:rPr>
          <w:rFonts w:ascii="Arial" w:hAnsi="Arial" w:cs="Arial"/>
          <w:sz w:val="24"/>
          <w:szCs w:val="24"/>
          <w:lang w:val="en-US"/>
        </w:rPr>
        <w:t>provision of PAJA on which it relies</w:t>
      </w:r>
      <w:r w:rsidR="00F93FDB" w:rsidRPr="00B068CB">
        <w:rPr>
          <w:rFonts w:ascii="Arial" w:hAnsi="Arial" w:cs="Arial"/>
          <w:sz w:val="24"/>
          <w:szCs w:val="24"/>
          <w:lang w:val="en-US"/>
        </w:rPr>
        <w:t xml:space="preserve">. </w:t>
      </w:r>
    </w:p>
    <w:p w14:paraId="4F7DA00F" w14:textId="1D31566D" w:rsidR="00F93FDB" w:rsidRPr="00C729F0" w:rsidRDefault="007E423A"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[4</w:t>
      </w:r>
      <w:r w:rsidR="0059010E">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F93FDB" w:rsidRPr="00B068CB">
        <w:rPr>
          <w:rFonts w:ascii="Arial" w:hAnsi="Arial" w:cs="Arial"/>
          <w:sz w:val="24"/>
          <w:szCs w:val="24"/>
          <w:lang w:val="en-US"/>
        </w:rPr>
        <w:t xml:space="preserve">Insofar as the </w:t>
      </w:r>
      <w:r w:rsidR="00245FF4" w:rsidRPr="00B068CB">
        <w:rPr>
          <w:rFonts w:ascii="Arial" w:hAnsi="Arial" w:cs="Arial"/>
          <w:sz w:val="24"/>
          <w:szCs w:val="24"/>
          <w:lang w:val="en-US"/>
        </w:rPr>
        <w:t>a</w:t>
      </w:r>
      <w:r w:rsidR="00F93FDB" w:rsidRPr="00B068CB">
        <w:rPr>
          <w:rFonts w:ascii="Arial" w:hAnsi="Arial" w:cs="Arial"/>
          <w:sz w:val="24"/>
          <w:szCs w:val="24"/>
          <w:lang w:val="en-US"/>
        </w:rPr>
        <w:t xml:space="preserve">pplicant relies on </w:t>
      </w:r>
      <w:r w:rsidR="00245FF4" w:rsidRPr="00B068CB">
        <w:rPr>
          <w:rFonts w:ascii="Arial" w:hAnsi="Arial" w:cs="Arial"/>
          <w:sz w:val="24"/>
          <w:szCs w:val="24"/>
          <w:lang w:val="en-US"/>
        </w:rPr>
        <w:t xml:space="preserve">grounds for rescission of </w:t>
      </w:r>
      <w:r w:rsidR="00927CBD">
        <w:rPr>
          <w:rFonts w:ascii="Arial" w:hAnsi="Arial" w:cs="Arial"/>
          <w:sz w:val="24"/>
          <w:szCs w:val="24"/>
          <w:lang w:val="en-US"/>
        </w:rPr>
        <w:t xml:space="preserve">this court’s </w:t>
      </w:r>
      <w:r w:rsidR="00F93FDB" w:rsidRPr="00B068CB">
        <w:rPr>
          <w:rFonts w:ascii="Arial" w:hAnsi="Arial" w:cs="Arial"/>
          <w:sz w:val="24"/>
          <w:szCs w:val="24"/>
          <w:lang w:val="en-US"/>
        </w:rPr>
        <w:t xml:space="preserve">order </w:t>
      </w:r>
      <w:r w:rsidR="0033447A">
        <w:rPr>
          <w:rFonts w:ascii="Arial" w:hAnsi="Arial" w:cs="Arial"/>
          <w:sz w:val="24"/>
          <w:szCs w:val="24"/>
          <w:lang w:val="en-US"/>
        </w:rPr>
        <w:t xml:space="preserve">converting the voluntary winding-up to a compulsory </w:t>
      </w:r>
      <w:r w:rsidR="00F93FDB" w:rsidRPr="00B068CB">
        <w:rPr>
          <w:rFonts w:ascii="Arial" w:hAnsi="Arial" w:cs="Arial"/>
          <w:sz w:val="24"/>
          <w:szCs w:val="24"/>
          <w:lang w:val="en-US"/>
        </w:rPr>
        <w:t xml:space="preserve">winding-up, the </w:t>
      </w:r>
      <w:r w:rsidR="00245FF4" w:rsidRPr="00B068CB">
        <w:rPr>
          <w:rFonts w:ascii="Arial" w:hAnsi="Arial" w:cs="Arial"/>
          <w:sz w:val="24"/>
          <w:szCs w:val="24"/>
          <w:lang w:val="en-US"/>
        </w:rPr>
        <w:t>a</w:t>
      </w:r>
      <w:r w:rsidR="00F93FDB" w:rsidRPr="00B068CB">
        <w:rPr>
          <w:rFonts w:ascii="Arial" w:hAnsi="Arial" w:cs="Arial"/>
          <w:sz w:val="24"/>
          <w:szCs w:val="24"/>
          <w:lang w:val="en-US"/>
        </w:rPr>
        <w:t>pplicant relies on section 149(2) of the Insolvency Act and common law grounds of rescission</w:t>
      </w:r>
      <w:r w:rsidR="00DA2BBF">
        <w:rPr>
          <w:rFonts w:ascii="Arial" w:hAnsi="Arial" w:cs="Arial"/>
          <w:sz w:val="24"/>
          <w:szCs w:val="24"/>
          <w:lang w:val="en-US"/>
        </w:rPr>
        <w:t xml:space="preserve"> which are well established and which I do not restate </w:t>
      </w:r>
      <w:r>
        <w:rPr>
          <w:rFonts w:ascii="Arial" w:hAnsi="Arial" w:cs="Arial"/>
          <w:sz w:val="24"/>
          <w:szCs w:val="24"/>
          <w:lang w:val="en-US"/>
        </w:rPr>
        <w:t xml:space="preserve">at any length </w:t>
      </w:r>
      <w:r w:rsidR="00DA2BBF">
        <w:rPr>
          <w:rFonts w:ascii="Arial" w:hAnsi="Arial" w:cs="Arial"/>
          <w:sz w:val="24"/>
          <w:szCs w:val="24"/>
          <w:lang w:val="en-US"/>
        </w:rPr>
        <w:t>here</w:t>
      </w:r>
      <w:r w:rsidR="00F93FDB" w:rsidRPr="00B068CB">
        <w:rPr>
          <w:rFonts w:ascii="Arial" w:hAnsi="Arial" w:cs="Arial"/>
          <w:sz w:val="24"/>
          <w:szCs w:val="24"/>
          <w:lang w:val="en-US"/>
        </w:rPr>
        <w:t>.</w:t>
      </w:r>
      <w:r w:rsidR="00426CDA">
        <w:rPr>
          <w:rFonts w:ascii="Arial" w:hAnsi="Arial" w:cs="Arial"/>
          <w:sz w:val="24"/>
          <w:szCs w:val="24"/>
          <w:lang w:val="en-US"/>
        </w:rPr>
        <w:t xml:space="preserve">  </w:t>
      </w:r>
      <w:r w:rsidR="00DA2BBF">
        <w:rPr>
          <w:rFonts w:ascii="Arial" w:hAnsi="Arial" w:cs="Arial"/>
          <w:sz w:val="24"/>
          <w:szCs w:val="24"/>
          <w:lang w:val="en-US"/>
        </w:rPr>
        <w:t xml:space="preserve">In essence, at </w:t>
      </w:r>
      <w:r w:rsidR="00426CDA">
        <w:rPr>
          <w:rFonts w:ascii="Arial" w:hAnsi="Arial" w:cs="Arial"/>
          <w:sz w:val="24"/>
          <w:szCs w:val="24"/>
          <w:lang w:val="en-US"/>
        </w:rPr>
        <w:t>common law a judgment can be set on grounds of fraud</w:t>
      </w:r>
      <w:r w:rsidR="002C730A">
        <w:rPr>
          <w:rFonts w:ascii="Arial" w:hAnsi="Arial" w:cs="Arial"/>
          <w:sz w:val="24"/>
          <w:szCs w:val="24"/>
          <w:lang w:val="en-US"/>
        </w:rPr>
        <w:t xml:space="preserve">, provided that it has been </w:t>
      </w:r>
      <w:r w:rsidR="00DB6B90">
        <w:rPr>
          <w:rFonts w:ascii="Arial" w:hAnsi="Arial" w:cs="Arial"/>
          <w:sz w:val="24"/>
          <w:szCs w:val="24"/>
          <w:lang w:val="en-US"/>
        </w:rPr>
        <w:t xml:space="preserve">established that </w:t>
      </w:r>
      <w:r>
        <w:rPr>
          <w:rFonts w:ascii="Arial" w:hAnsi="Arial" w:cs="Arial"/>
          <w:sz w:val="24"/>
          <w:szCs w:val="24"/>
          <w:lang w:val="en-US"/>
        </w:rPr>
        <w:t>the party concerned was privy to the fraud and that the facts presented to the court diverged from the truth to such an extent that the court would have given a different judgment had it known the true state of affairs</w:t>
      </w:r>
      <w:r w:rsidRPr="00C729F0">
        <w:rPr>
          <w:rFonts w:ascii="Arial" w:hAnsi="Arial" w:cs="Arial"/>
          <w:sz w:val="24"/>
          <w:szCs w:val="24"/>
          <w:lang w:val="en-US"/>
        </w:rPr>
        <w:t>.</w:t>
      </w:r>
      <w:r w:rsidRPr="00921D26">
        <w:rPr>
          <w:rStyle w:val="FootnoteReference"/>
          <w:rFonts w:ascii="Arial" w:hAnsi="Arial" w:cs="Arial"/>
          <w:sz w:val="24"/>
          <w:szCs w:val="24"/>
          <w:lang w:val="en-US"/>
        </w:rPr>
        <w:footnoteReference w:id="3"/>
      </w:r>
      <w:r w:rsidR="00F93FDB" w:rsidRPr="00C729F0">
        <w:rPr>
          <w:rFonts w:ascii="Arial" w:hAnsi="Arial" w:cs="Arial"/>
          <w:sz w:val="24"/>
          <w:szCs w:val="24"/>
          <w:lang w:val="en-US"/>
        </w:rPr>
        <w:t xml:space="preserve"> </w:t>
      </w:r>
    </w:p>
    <w:p w14:paraId="24A6EBBB" w14:textId="08CD42BB" w:rsidR="00245FF4" w:rsidRPr="00B068CB" w:rsidRDefault="00E35643"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[4</w:t>
      </w:r>
      <w:r w:rsidR="0059010E">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F93FDB" w:rsidRPr="00B068CB">
        <w:rPr>
          <w:rFonts w:ascii="Arial" w:hAnsi="Arial" w:cs="Arial"/>
          <w:sz w:val="24"/>
          <w:szCs w:val="24"/>
          <w:lang w:val="en-US"/>
        </w:rPr>
        <w:t xml:space="preserve">In </w:t>
      </w:r>
      <w:r w:rsidR="00F93FDB" w:rsidRPr="00B068CB">
        <w:rPr>
          <w:rFonts w:ascii="Arial" w:hAnsi="Arial" w:cs="Arial"/>
          <w:i/>
          <w:iCs/>
          <w:sz w:val="24"/>
          <w:szCs w:val="24"/>
          <w:lang w:val="en-US"/>
        </w:rPr>
        <w:t>Storti v Nugent</w:t>
      </w:r>
      <w:r w:rsidR="0033447A" w:rsidRPr="0033447A">
        <w:rPr>
          <w:rStyle w:val="FootnoteReference"/>
          <w:rFonts w:ascii="Arial" w:hAnsi="Arial" w:cs="Arial"/>
          <w:i/>
          <w:iCs/>
          <w:sz w:val="24"/>
          <w:szCs w:val="24"/>
          <w:lang w:val="en-US"/>
        </w:rPr>
        <w:footnoteReference w:id="4"/>
      </w:r>
      <w:r w:rsidR="00F93FDB" w:rsidRPr="00B068CB">
        <w:rPr>
          <w:rFonts w:ascii="Arial" w:hAnsi="Arial" w:cs="Arial"/>
          <w:sz w:val="24"/>
          <w:szCs w:val="24"/>
          <w:lang w:val="en-US"/>
        </w:rPr>
        <w:t xml:space="preserve"> the court held that its discretionary power conferred by section 149(2) of the Insolvency Act is not limited to rescission on common law grounds; that unusual or special or exceptional circumstances must exist to justify the relief; that the section cannot be </w:t>
      </w:r>
      <w:r w:rsidR="00245FF4" w:rsidRPr="00B068CB">
        <w:rPr>
          <w:rFonts w:ascii="Arial" w:hAnsi="Arial" w:cs="Arial"/>
          <w:sz w:val="24"/>
          <w:szCs w:val="24"/>
          <w:lang w:val="en-US"/>
        </w:rPr>
        <w:t>i</w:t>
      </w:r>
      <w:r w:rsidR="00F93FDB" w:rsidRPr="00B068CB">
        <w:rPr>
          <w:rFonts w:ascii="Arial" w:hAnsi="Arial" w:cs="Arial"/>
          <w:sz w:val="24"/>
          <w:szCs w:val="24"/>
          <w:lang w:val="en-US"/>
        </w:rPr>
        <w:t>nvoked to obtain a rehearing of the merits of sequestration proceedings; that w</w:t>
      </w:r>
      <w:r w:rsidR="00245FF4" w:rsidRPr="00B068CB">
        <w:rPr>
          <w:rFonts w:ascii="Arial" w:hAnsi="Arial" w:cs="Arial"/>
          <w:sz w:val="24"/>
          <w:szCs w:val="24"/>
          <w:lang w:val="en-US"/>
        </w:rPr>
        <w:t>h</w:t>
      </w:r>
      <w:r w:rsidR="00F93FDB" w:rsidRPr="00B068CB">
        <w:rPr>
          <w:rFonts w:ascii="Arial" w:hAnsi="Arial" w:cs="Arial"/>
          <w:sz w:val="24"/>
          <w:szCs w:val="24"/>
          <w:lang w:val="en-US"/>
        </w:rPr>
        <w:t xml:space="preserve">ere it </w:t>
      </w:r>
      <w:r w:rsidR="00245FF4" w:rsidRPr="00B068CB">
        <w:rPr>
          <w:rFonts w:ascii="Arial" w:hAnsi="Arial" w:cs="Arial"/>
          <w:sz w:val="24"/>
          <w:szCs w:val="24"/>
          <w:lang w:val="en-US"/>
        </w:rPr>
        <w:t xml:space="preserve">is </w:t>
      </w:r>
      <w:r w:rsidR="00F93FDB" w:rsidRPr="00B068CB">
        <w:rPr>
          <w:rFonts w:ascii="Arial" w:hAnsi="Arial" w:cs="Arial"/>
          <w:sz w:val="24"/>
          <w:szCs w:val="24"/>
          <w:lang w:val="en-US"/>
        </w:rPr>
        <w:t xml:space="preserve">alleged that the order should not have been granted the facts should at least support a cause of action for a common law rescission; that where reliance is placed on supervening events </w:t>
      </w:r>
      <w:r w:rsidR="005D3BD4">
        <w:rPr>
          <w:rFonts w:ascii="Arial" w:hAnsi="Arial" w:cs="Arial"/>
          <w:sz w:val="24"/>
          <w:szCs w:val="24"/>
          <w:lang w:val="en-US"/>
        </w:rPr>
        <w:t xml:space="preserve">an applicant must show </w:t>
      </w:r>
      <w:r w:rsidR="008B288F">
        <w:rPr>
          <w:rFonts w:ascii="Arial" w:hAnsi="Arial" w:cs="Arial"/>
          <w:sz w:val="24"/>
          <w:szCs w:val="24"/>
          <w:lang w:val="en-US"/>
        </w:rPr>
        <w:t xml:space="preserve">that being confined to the ordinary rehabilitation machinery would </w:t>
      </w:r>
      <w:r w:rsidR="00F93FDB" w:rsidRPr="00B068CB">
        <w:rPr>
          <w:rFonts w:ascii="Arial" w:hAnsi="Arial" w:cs="Arial"/>
          <w:sz w:val="24"/>
          <w:szCs w:val="24"/>
          <w:lang w:val="en-US"/>
        </w:rPr>
        <w:t xml:space="preserve">involve unnecessary hardship </w:t>
      </w:r>
      <w:r w:rsidR="008B288F">
        <w:rPr>
          <w:rFonts w:ascii="Arial" w:hAnsi="Arial" w:cs="Arial"/>
          <w:sz w:val="24"/>
          <w:szCs w:val="24"/>
          <w:lang w:val="en-US"/>
        </w:rPr>
        <w:t xml:space="preserve">or that the </w:t>
      </w:r>
      <w:r w:rsidR="00F93FDB" w:rsidRPr="00B068CB">
        <w:rPr>
          <w:rFonts w:ascii="Arial" w:hAnsi="Arial" w:cs="Arial"/>
          <w:sz w:val="24"/>
          <w:szCs w:val="24"/>
          <w:lang w:val="en-US"/>
        </w:rPr>
        <w:t xml:space="preserve">circumstances </w:t>
      </w:r>
      <w:r w:rsidR="008B288F">
        <w:rPr>
          <w:rFonts w:ascii="Arial" w:hAnsi="Arial" w:cs="Arial"/>
          <w:sz w:val="24"/>
          <w:szCs w:val="24"/>
          <w:lang w:val="en-US"/>
        </w:rPr>
        <w:t xml:space="preserve">are </w:t>
      </w:r>
      <w:r w:rsidR="00F93FDB" w:rsidRPr="00B068CB">
        <w:rPr>
          <w:rFonts w:ascii="Arial" w:hAnsi="Arial" w:cs="Arial"/>
          <w:sz w:val="24"/>
          <w:szCs w:val="24"/>
          <w:lang w:val="en-US"/>
        </w:rPr>
        <w:t xml:space="preserve">very exceptional, and that a court will not exercise its discretion in favour of such an application if </w:t>
      </w:r>
      <w:r w:rsidR="00242822">
        <w:rPr>
          <w:rFonts w:ascii="Arial" w:hAnsi="Arial" w:cs="Arial"/>
          <w:sz w:val="24"/>
          <w:szCs w:val="24"/>
          <w:lang w:val="en-US"/>
        </w:rPr>
        <w:t xml:space="preserve">undesirable </w:t>
      </w:r>
      <w:r w:rsidR="00F93FDB" w:rsidRPr="00B068CB">
        <w:rPr>
          <w:rFonts w:ascii="Arial" w:hAnsi="Arial" w:cs="Arial"/>
          <w:sz w:val="24"/>
          <w:szCs w:val="24"/>
          <w:lang w:val="en-US"/>
        </w:rPr>
        <w:t xml:space="preserve">consequences </w:t>
      </w:r>
      <w:r w:rsidR="00242822">
        <w:rPr>
          <w:rFonts w:ascii="Arial" w:hAnsi="Arial" w:cs="Arial"/>
          <w:sz w:val="24"/>
          <w:szCs w:val="24"/>
          <w:lang w:val="en-US"/>
        </w:rPr>
        <w:t xml:space="preserve">would </w:t>
      </w:r>
      <w:r w:rsidR="00F93FDB" w:rsidRPr="00B068CB">
        <w:rPr>
          <w:rFonts w:ascii="Arial" w:hAnsi="Arial" w:cs="Arial"/>
          <w:sz w:val="24"/>
          <w:szCs w:val="24"/>
          <w:lang w:val="en-US"/>
        </w:rPr>
        <w:t xml:space="preserve">follow.  </w:t>
      </w:r>
    </w:p>
    <w:p w14:paraId="22B9D62B" w14:textId="71030927" w:rsidR="00F93FDB" w:rsidRPr="00B068CB" w:rsidRDefault="00E35643"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[4</w:t>
      </w:r>
      <w:r w:rsidR="0059010E">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F93FDB" w:rsidRPr="00B068CB">
        <w:rPr>
          <w:rFonts w:ascii="Arial" w:hAnsi="Arial" w:cs="Arial"/>
          <w:sz w:val="24"/>
          <w:szCs w:val="24"/>
          <w:lang w:val="en-US"/>
        </w:rPr>
        <w:t xml:space="preserve">What is apparent </w:t>
      </w:r>
      <w:r w:rsidR="00DF56D4">
        <w:rPr>
          <w:rFonts w:ascii="Arial" w:hAnsi="Arial" w:cs="Arial"/>
          <w:sz w:val="24"/>
          <w:szCs w:val="24"/>
          <w:lang w:val="en-US"/>
        </w:rPr>
        <w:t xml:space="preserve">from all of these sources is </w:t>
      </w:r>
      <w:r w:rsidR="00F93FDB" w:rsidRPr="00B068CB">
        <w:rPr>
          <w:rFonts w:ascii="Arial" w:hAnsi="Arial" w:cs="Arial"/>
          <w:sz w:val="24"/>
          <w:szCs w:val="24"/>
          <w:lang w:val="en-US"/>
        </w:rPr>
        <w:t xml:space="preserve">that relief of the kind sought by the </w:t>
      </w:r>
      <w:r w:rsidR="00245FF4" w:rsidRPr="00B068CB">
        <w:rPr>
          <w:rFonts w:ascii="Arial" w:hAnsi="Arial" w:cs="Arial"/>
          <w:sz w:val="24"/>
          <w:szCs w:val="24"/>
          <w:lang w:val="en-US"/>
        </w:rPr>
        <w:t>a</w:t>
      </w:r>
      <w:r w:rsidR="00F93FDB" w:rsidRPr="00B068CB">
        <w:rPr>
          <w:rFonts w:ascii="Arial" w:hAnsi="Arial" w:cs="Arial"/>
          <w:sz w:val="24"/>
          <w:szCs w:val="24"/>
          <w:lang w:val="en-US"/>
        </w:rPr>
        <w:t xml:space="preserve">pplicant </w:t>
      </w:r>
      <w:r w:rsidR="00245FF4" w:rsidRPr="00B068CB">
        <w:rPr>
          <w:rFonts w:ascii="Arial" w:hAnsi="Arial" w:cs="Arial"/>
          <w:sz w:val="24"/>
          <w:szCs w:val="24"/>
          <w:lang w:val="en-US"/>
        </w:rPr>
        <w:t xml:space="preserve">will </w:t>
      </w:r>
      <w:r w:rsidR="00F93FDB" w:rsidRPr="00B068CB">
        <w:rPr>
          <w:rFonts w:ascii="Arial" w:hAnsi="Arial" w:cs="Arial"/>
          <w:sz w:val="24"/>
          <w:szCs w:val="24"/>
          <w:lang w:val="en-US"/>
        </w:rPr>
        <w:t>ordinarily be granted in exceptional circumstances only or on good cause shown</w:t>
      </w:r>
      <w:r w:rsidR="00245FF4" w:rsidRPr="00B068CB">
        <w:rPr>
          <w:rFonts w:ascii="Arial" w:hAnsi="Arial" w:cs="Arial"/>
          <w:sz w:val="24"/>
          <w:szCs w:val="24"/>
          <w:lang w:val="en-US"/>
        </w:rPr>
        <w:t xml:space="preserve">; and that it is a matter of the exercise of this court’s discretion whether </w:t>
      </w:r>
      <w:r w:rsidR="00A94E69">
        <w:rPr>
          <w:rFonts w:ascii="Arial" w:hAnsi="Arial" w:cs="Arial"/>
          <w:sz w:val="24"/>
          <w:szCs w:val="24"/>
          <w:lang w:val="en-US"/>
        </w:rPr>
        <w:t xml:space="preserve">relief of </w:t>
      </w:r>
      <w:r w:rsidR="00726879">
        <w:rPr>
          <w:rFonts w:ascii="Arial" w:hAnsi="Arial" w:cs="Arial"/>
          <w:sz w:val="24"/>
          <w:szCs w:val="24"/>
          <w:lang w:val="en-US"/>
        </w:rPr>
        <w:t xml:space="preserve">this </w:t>
      </w:r>
      <w:r w:rsidR="00A94E69">
        <w:rPr>
          <w:rFonts w:ascii="Arial" w:hAnsi="Arial" w:cs="Arial"/>
          <w:sz w:val="24"/>
          <w:szCs w:val="24"/>
          <w:lang w:val="en-US"/>
        </w:rPr>
        <w:t xml:space="preserve">kind sought </w:t>
      </w:r>
      <w:r w:rsidR="00245FF4" w:rsidRPr="00B068CB">
        <w:rPr>
          <w:rFonts w:ascii="Arial" w:hAnsi="Arial" w:cs="Arial"/>
          <w:sz w:val="24"/>
          <w:szCs w:val="24"/>
          <w:lang w:val="en-US"/>
        </w:rPr>
        <w:t>should be granted.</w:t>
      </w:r>
      <w:r w:rsidR="00F93FDB" w:rsidRPr="00B068CB">
        <w:rPr>
          <w:rFonts w:ascii="Arial" w:hAnsi="Arial" w:cs="Arial"/>
          <w:sz w:val="24"/>
          <w:szCs w:val="24"/>
          <w:lang w:val="en-US"/>
        </w:rPr>
        <w:t xml:space="preserve">  </w:t>
      </w:r>
    </w:p>
    <w:p w14:paraId="0E56AF28" w14:textId="15557928" w:rsidR="001376AC" w:rsidRDefault="00BC3C44" w:rsidP="00BC3C44">
      <w:pPr>
        <w:pStyle w:val="BowLevel1ListAlt"/>
        <w:numPr>
          <w:ilvl w:val="0"/>
          <w:numId w:val="0"/>
        </w:numPr>
        <w:rPr>
          <w:rFonts w:ascii="Arial" w:hAnsi="Arial" w:cs="Arial"/>
          <w:b/>
          <w:bCs/>
          <w:sz w:val="24"/>
          <w:szCs w:val="24"/>
          <w:lang w:val="en-US"/>
        </w:rPr>
      </w:pPr>
      <w:r w:rsidRPr="001963C7">
        <w:rPr>
          <w:rFonts w:ascii="Arial" w:hAnsi="Arial" w:cs="Arial"/>
          <w:b/>
          <w:bCs/>
          <w:sz w:val="24"/>
          <w:szCs w:val="24"/>
          <w:lang w:val="en-US"/>
        </w:rPr>
        <w:t xml:space="preserve">The </w:t>
      </w:r>
      <w:r w:rsidR="003347D4">
        <w:rPr>
          <w:rFonts w:ascii="Arial" w:hAnsi="Arial" w:cs="Arial"/>
          <w:b/>
          <w:bCs/>
          <w:sz w:val="24"/>
          <w:szCs w:val="24"/>
          <w:lang w:val="en-US"/>
        </w:rPr>
        <w:t>submission</w:t>
      </w:r>
      <w:r w:rsidR="0059010E">
        <w:rPr>
          <w:rFonts w:ascii="Arial" w:hAnsi="Arial" w:cs="Arial"/>
          <w:b/>
          <w:bCs/>
          <w:sz w:val="24"/>
          <w:szCs w:val="24"/>
          <w:lang w:val="en-US"/>
        </w:rPr>
        <w:t>s</w:t>
      </w:r>
      <w:r w:rsidR="003347D4">
        <w:rPr>
          <w:rFonts w:ascii="Arial" w:hAnsi="Arial" w:cs="Arial"/>
          <w:b/>
          <w:bCs/>
          <w:sz w:val="24"/>
          <w:szCs w:val="24"/>
          <w:lang w:val="en-US"/>
        </w:rPr>
        <w:t xml:space="preserve"> of the </w:t>
      </w:r>
      <w:r w:rsidRPr="001963C7">
        <w:rPr>
          <w:rFonts w:ascii="Arial" w:hAnsi="Arial" w:cs="Arial"/>
          <w:b/>
          <w:bCs/>
          <w:sz w:val="24"/>
          <w:szCs w:val="24"/>
          <w:lang w:val="en-US"/>
        </w:rPr>
        <w:t>parties</w:t>
      </w:r>
    </w:p>
    <w:p w14:paraId="75F21EAA" w14:textId="6888573F" w:rsidR="00BF2814" w:rsidRDefault="00E35643"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[4</w:t>
      </w:r>
      <w:r w:rsidR="0059010E">
        <w:rPr>
          <w:rFonts w:ascii="Arial" w:hAnsi="Arial" w:cs="Arial"/>
          <w:sz w:val="24"/>
          <w:szCs w:val="24"/>
          <w:lang w:val="en-US"/>
        </w:rPr>
        <w:t>3</w:t>
      </w:r>
      <w:r>
        <w:rPr>
          <w:rFonts w:ascii="Arial" w:hAnsi="Arial" w:cs="Arial"/>
          <w:sz w:val="24"/>
          <w:szCs w:val="24"/>
          <w:lang w:val="en-US"/>
        </w:rPr>
        <w:t xml:space="preserve">] </w:t>
      </w:r>
      <w:r>
        <w:rPr>
          <w:rFonts w:ascii="Arial" w:hAnsi="Arial" w:cs="Arial"/>
          <w:sz w:val="24"/>
          <w:szCs w:val="24"/>
          <w:lang w:val="en-US"/>
        </w:rPr>
        <w:tab/>
      </w:r>
      <w:r w:rsidR="00BF2814" w:rsidRPr="003347D4">
        <w:rPr>
          <w:rFonts w:ascii="Arial" w:hAnsi="Arial" w:cs="Arial"/>
          <w:sz w:val="24"/>
          <w:szCs w:val="24"/>
          <w:lang w:val="en-US"/>
        </w:rPr>
        <w:t xml:space="preserve">Mr </w:t>
      </w:r>
      <w:r w:rsidR="00BF2814">
        <w:rPr>
          <w:rFonts w:ascii="Arial" w:hAnsi="Arial" w:cs="Arial"/>
          <w:sz w:val="24"/>
          <w:szCs w:val="24"/>
          <w:lang w:val="en-US"/>
        </w:rPr>
        <w:t>Cook</w:t>
      </w:r>
      <w:r w:rsidR="00BF2814" w:rsidRPr="003347D4">
        <w:rPr>
          <w:rFonts w:ascii="Arial" w:hAnsi="Arial" w:cs="Arial"/>
          <w:sz w:val="24"/>
          <w:szCs w:val="24"/>
          <w:lang w:val="en-US"/>
        </w:rPr>
        <w:t xml:space="preserve"> submitted that insofar as the deponent to the affidavit </w:t>
      </w:r>
      <w:r w:rsidR="00A71BEC">
        <w:rPr>
          <w:rFonts w:ascii="Arial" w:hAnsi="Arial" w:cs="Arial"/>
          <w:sz w:val="24"/>
          <w:szCs w:val="24"/>
          <w:lang w:val="en-US"/>
        </w:rPr>
        <w:t>presented by</w:t>
      </w:r>
      <w:r w:rsidR="00BF2814">
        <w:rPr>
          <w:rFonts w:ascii="Arial" w:hAnsi="Arial" w:cs="Arial"/>
          <w:sz w:val="24"/>
          <w:szCs w:val="24"/>
          <w:lang w:val="en-US"/>
        </w:rPr>
        <w:t xml:space="preserve"> the first respondent to prove its claim against the estate of Silver Touch stated </w:t>
      </w:r>
      <w:r w:rsidR="00BF2814" w:rsidRPr="003347D4">
        <w:rPr>
          <w:rFonts w:ascii="Arial" w:hAnsi="Arial" w:cs="Arial"/>
          <w:sz w:val="24"/>
          <w:szCs w:val="24"/>
          <w:lang w:val="en-US"/>
        </w:rPr>
        <w:t>that she had personal knowledge of the fact</w:t>
      </w:r>
      <w:r w:rsidR="00BF2814">
        <w:rPr>
          <w:rFonts w:ascii="Arial" w:hAnsi="Arial" w:cs="Arial"/>
          <w:sz w:val="24"/>
          <w:szCs w:val="24"/>
          <w:lang w:val="en-US"/>
        </w:rPr>
        <w:t xml:space="preserve">s giving rise to the claim, this statement had been shown to be untrue.  The deponent had </w:t>
      </w:r>
      <w:r w:rsidR="00A71BEC">
        <w:rPr>
          <w:rFonts w:ascii="Arial" w:hAnsi="Arial" w:cs="Arial"/>
          <w:sz w:val="24"/>
          <w:szCs w:val="24"/>
          <w:lang w:val="en-US"/>
        </w:rPr>
        <w:t xml:space="preserve">now </w:t>
      </w:r>
      <w:r w:rsidR="00BF2814">
        <w:rPr>
          <w:rFonts w:ascii="Arial" w:hAnsi="Arial" w:cs="Arial"/>
          <w:sz w:val="24"/>
          <w:szCs w:val="24"/>
          <w:lang w:val="en-US"/>
        </w:rPr>
        <w:t>confirmed that in presenting the facts she had been relying on records of the first respondent that were in the first respondent’s possession and control</w:t>
      </w:r>
      <w:r w:rsidR="00A71BEC">
        <w:rPr>
          <w:rFonts w:ascii="Arial" w:hAnsi="Arial" w:cs="Arial"/>
          <w:sz w:val="24"/>
          <w:szCs w:val="24"/>
          <w:lang w:val="en-US"/>
        </w:rPr>
        <w:t xml:space="preserve"> rather than on her personal knowledge of those facts</w:t>
      </w:r>
      <w:r w:rsidR="00BF2814">
        <w:rPr>
          <w:rFonts w:ascii="Arial" w:hAnsi="Arial" w:cs="Arial"/>
          <w:sz w:val="24"/>
          <w:szCs w:val="24"/>
          <w:lang w:val="en-US"/>
        </w:rPr>
        <w:t>.  This meant, Mr Cook submitted, that her affidavit asserting personal knowledge of the facts was untrue</w:t>
      </w:r>
      <w:r w:rsidR="002610B4">
        <w:rPr>
          <w:rFonts w:ascii="Arial" w:hAnsi="Arial" w:cs="Arial"/>
          <w:sz w:val="24"/>
          <w:szCs w:val="24"/>
          <w:lang w:val="en-US"/>
        </w:rPr>
        <w:t xml:space="preserve">.  Had this been known, he submitted, the tenth respondent and this court would not have made the decisions </w:t>
      </w:r>
      <w:r w:rsidR="009D00F7">
        <w:rPr>
          <w:rFonts w:ascii="Arial" w:hAnsi="Arial" w:cs="Arial"/>
          <w:sz w:val="24"/>
          <w:szCs w:val="24"/>
          <w:lang w:val="en-US"/>
        </w:rPr>
        <w:t>which the applicant now seeks to set aside.</w:t>
      </w:r>
      <w:r w:rsidR="00BF2814">
        <w:rPr>
          <w:rFonts w:ascii="Arial" w:hAnsi="Arial" w:cs="Arial"/>
          <w:sz w:val="24"/>
          <w:szCs w:val="24"/>
          <w:lang w:val="en-US"/>
        </w:rPr>
        <w:t xml:space="preserve"> </w:t>
      </w:r>
    </w:p>
    <w:p w14:paraId="6B2F62DD" w14:textId="0DB1764C" w:rsidR="009D51D6" w:rsidRPr="003347D4" w:rsidRDefault="00E35643"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[4</w:t>
      </w:r>
      <w:r w:rsidR="0059010E">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8F6FB9">
        <w:rPr>
          <w:rFonts w:ascii="Arial" w:hAnsi="Arial" w:cs="Arial"/>
          <w:sz w:val="24"/>
          <w:szCs w:val="24"/>
          <w:lang w:val="en-US"/>
        </w:rPr>
        <w:t>Turning to the first respondent’s reliance in provi</w:t>
      </w:r>
      <w:r w:rsidR="00A71BEC">
        <w:rPr>
          <w:rFonts w:ascii="Arial" w:hAnsi="Arial" w:cs="Arial"/>
          <w:sz w:val="24"/>
          <w:szCs w:val="24"/>
          <w:lang w:val="en-US"/>
        </w:rPr>
        <w:t>n</w:t>
      </w:r>
      <w:r w:rsidR="008F6FB9">
        <w:rPr>
          <w:rFonts w:ascii="Arial" w:hAnsi="Arial" w:cs="Arial"/>
          <w:sz w:val="24"/>
          <w:szCs w:val="24"/>
          <w:lang w:val="en-US"/>
        </w:rPr>
        <w:t xml:space="preserve">g its claim on </w:t>
      </w:r>
      <w:r w:rsidR="00F5781B">
        <w:rPr>
          <w:rFonts w:ascii="Arial" w:hAnsi="Arial" w:cs="Arial"/>
          <w:sz w:val="24"/>
          <w:szCs w:val="24"/>
          <w:lang w:val="en-US"/>
        </w:rPr>
        <w:t xml:space="preserve">what </w:t>
      </w:r>
      <w:r w:rsidR="00C83B24">
        <w:rPr>
          <w:rFonts w:ascii="Arial" w:hAnsi="Arial" w:cs="Arial"/>
          <w:sz w:val="24"/>
          <w:szCs w:val="24"/>
          <w:lang w:val="en-US"/>
        </w:rPr>
        <w:t xml:space="preserve">the applicant </w:t>
      </w:r>
      <w:r w:rsidR="00F5781B">
        <w:rPr>
          <w:rFonts w:ascii="Arial" w:hAnsi="Arial" w:cs="Arial"/>
          <w:sz w:val="24"/>
          <w:szCs w:val="24"/>
          <w:lang w:val="en-US"/>
        </w:rPr>
        <w:t xml:space="preserve">referred to as the fraudulent document, </w:t>
      </w:r>
      <w:r w:rsidR="009D51D6" w:rsidRPr="003347D4">
        <w:rPr>
          <w:rFonts w:ascii="Arial" w:hAnsi="Arial" w:cs="Arial"/>
          <w:sz w:val="24"/>
          <w:szCs w:val="24"/>
          <w:lang w:val="en-US"/>
        </w:rPr>
        <w:t>Mr Cook submi</w:t>
      </w:r>
      <w:r w:rsidR="00F5781B">
        <w:rPr>
          <w:rFonts w:ascii="Arial" w:hAnsi="Arial" w:cs="Arial"/>
          <w:sz w:val="24"/>
          <w:szCs w:val="24"/>
          <w:lang w:val="en-US"/>
        </w:rPr>
        <w:t xml:space="preserve">tted that </w:t>
      </w:r>
      <w:r w:rsidR="009D51D6" w:rsidRPr="003347D4">
        <w:rPr>
          <w:rFonts w:ascii="Arial" w:hAnsi="Arial" w:cs="Arial"/>
          <w:sz w:val="24"/>
          <w:szCs w:val="24"/>
          <w:lang w:val="en-US"/>
        </w:rPr>
        <w:t xml:space="preserve">the </w:t>
      </w:r>
      <w:r w:rsidR="00CE2E38">
        <w:rPr>
          <w:rFonts w:ascii="Arial" w:hAnsi="Arial" w:cs="Arial"/>
          <w:sz w:val="24"/>
          <w:szCs w:val="24"/>
          <w:lang w:val="en-US"/>
        </w:rPr>
        <w:t>f</w:t>
      </w:r>
      <w:r w:rsidR="009D51D6" w:rsidRPr="003347D4">
        <w:rPr>
          <w:rFonts w:ascii="Arial" w:hAnsi="Arial" w:cs="Arial"/>
          <w:sz w:val="24"/>
          <w:szCs w:val="24"/>
          <w:lang w:val="en-US"/>
        </w:rPr>
        <w:t xml:space="preserve">irst </w:t>
      </w:r>
      <w:r w:rsidR="00CE2E38">
        <w:rPr>
          <w:rFonts w:ascii="Arial" w:hAnsi="Arial" w:cs="Arial"/>
          <w:sz w:val="24"/>
          <w:szCs w:val="24"/>
          <w:lang w:val="en-US"/>
        </w:rPr>
        <w:t>r</w:t>
      </w:r>
      <w:r w:rsidR="009D51D6" w:rsidRPr="003347D4">
        <w:rPr>
          <w:rFonts w:ascii="Arial" w:hAnsi="Arial" w:cs="Arial"/>
          <w:sz w:val="24"/>
          <w:szCs w:val="24"/>
          <w:lang w:val="en-US"/>
        </w:rPr>
        <w:t xml:space="preserve">espondent’s claim against Silver Touch was founded on </w:t>
      </w:r>
      <w:r w:rsidR="007A62C5">
        <w:rPr>
          <w:rFonts w:ascii="Arial" w:hAnsi="Arial" w:cs="Arial"/>
          <w:sz w:val="24"/>
          <w:szCs w:val="24"/>
          <w:lang w:val="en-US"/>
        </w:rPr>
        <w:t>fraud</w:t>
      </w:r>
      <w:r w:rsidR="00C83B24">
        <w:rPr>
          <w:rFonts w:ascii="Arial" w:hAnsi="Arial" w:cs="Arial"/>
          <w:sz w:val="24"/>
          <w:szCs w:val="24"/>
          <w:lang w:val="en-US"/>
        </w:rPr>
        <w:t>,</w:t>
      </w:r>
      <w:r w:rsidR="007A62C5">
        <w:rPr>
          <w:rFonts w:ascii="Arial" w:hAnsi="Arial" w:cs="Arial"/>
          <w:sz w:val="24"/>
          <w:szCs w:val="24"/>
          <w:lang w:val="en-US"/>
        </w:rPr>
        <w:t xml:space="preserve"> and that </w:t>
      </w:r>
      <w:r w:rsidR="00A71BEC">
        <w:rPr>
          <w:rFonts w:ascii="Arial" w:hAnsi="Arial" w:cs="Arial"/>
          <w:sz w:val="24"/>
          <w:szCs w:val="24"/>
          <w:lang w:val="en-US"/>
        </w:rPr>
        <w:t>“</w:t>
      </w:r>
      <w:r w:rsidR="009D51D6" w:rsidRPr="003347D4">
        <w:rPr>
          <w:rFonts w:ascii="Arial" w:hAnsi="Arial" w:cs="Arial"/>
          <w:sz w:val="24"/>
          <w:szCs w:val="24"/>
          <w:lang w:val="en-US"/>
        </w:rPr>
        <w:t xml:space="preserve">fraud unravels </w:t>
      </w:r>
      <w:r w:rsidR="00A71BEC">
        <w:rPr>
          <w:rFonts w:ascii="Arial" w:hAnsi="Arial" w:cs="Arial"/>
          <w:sz w:val="24"/>
          <w:szCs w:val="24"/>
          <w:lang w:val="en-US"/>
        </w:rPr>
        <w:t>everything</w:t>
      </w:r>
      <w:r w:rsidR="009D51D6" w:rsidRPr="003347D4">
        <w:rPr>
          <w:rFonts w:ascii="Arial" w:hAnsi="Arial" w:cs="Arial"/>
          <w:sz w:val="24"/>
          <w:szCs w:val="24"/>
          <w:lang w:val="en-US"/>
        </w:rPr>
        <w:t>”</w:t>
      </w:r>
      <w:r w:rsidR="00A71BEC" w:rsidRPr="00921D26">
        <w:rPr>
          <w:rStyle w:val="FootnoteReference"/>
          <w:rFonts w:ascii="Arial" w:hAnsi="Arial" w:cs="Arial"/>
          <w:sz w:val="24"/>
          <w:szCs w:val="24"/>
          <w:lang w:val="en-US"/>
        </w:rPr>
        <w:footnoteReference w:id="5"/>
      </w:r>
      <w:r w:rsidR="007A62C5">
        <w:rPr>
          <w:rFonts w:ascii="Arial" w:hAnsi="Arial" w:cs="Arial"/>
          <w:sz w:val="24"/>
          <w:szCs w:val="24"/>
          <w:lang w:val="en-US"/>
        </w:rPr>
        <w:t xml:space="preserve">.  </w:t>
      </w:r>
      <w:r w:rsidR="006B7016">
        <w:rPr>
          <w:rFonts w:ascii="Arial" w:hAnsi="Arial" w:cs="Arial"/>
          <w:sz w:val="24"/>
          <w:szCs w:val="24"/>
          <w:lang w:val="en-US"/>
        </w:rPr>
        <w:t>If</w:t>
      </w:r>
      <w:r w:rsidR="007A62C5">
        <w:rPr>
          <w:rFonts w:ascii="Arial" w:hAnsi="Arial" w:cs="Arial"/>
          <w:sz w:val="24"/>
          <w:szCs w:val="24"/>
          <w:lang w:val="en-US"/>
        </w:rPr>
        <w:t xml:space="preserve"> the tenth respondent </w:t>
      </w:r>
      <w:r w:rsidR="006B7016">
        <w:rPr>
          <w:rFonts w:ascii="Arial" w:hAnsi="Arial" w:cs="Arial"/>
          <w:sz w:val="24"/>
          <w:szCs w:val="24"/>
          <w:lang w:val="en-US"/>
        </w:rPr>
        <w:t xml:space="preserve">had </w:t>
      </w:r>
      <w:r w:rsidR="009D51D6" w:rsidRPr="003347D4">
        <w:rPr>
          <w:rFonts w:ascii="Arial" w:hAnsi="Arial" w:cs="Arial"/>
          <w:sz w:val="24"/>
          <w:szCs w:val="24"/>
          <w:lang w:val="en-US"/>
        </w:rPr>
        <w:t xml:space="preserve">known the true facts, including </w:t>
      </w:r>
      <w:r w:rsidR="00E20A73">
        <w:rPr>
          <w:rFonts w:ascii="Arial" w:hAnsi="Arial" w:cs="Arial"/>
          <w:sz w:val="24"/>
          <w:szCs w:val="24"/>
          <w:lang w:val="en-US"/>
        </w:rPr>
        <w:t>specifically regarding the manipulated produc</w:t>
      </w:r>
      <w:r w:rsidR="00EF14D3">
        <w:rPr>
          <w:rFonts w:ascii="Arial" w:hAnsi="Arial" w:cs="Arial"/>
          <w:sz w:val="24"/>
          <w:szCs w:val="24"/>
          <w:lang w:val="en-US"/>
        </w:rPr>
        <w:t xml:space="preserve">tion </w:t>
      </w:r>
      <w:r w:rsidR="00E20A73">
        <w:rPr>
          <w:rFonts w:ascii="Arial" w:hAnsi="Arial" w:cs="Arial"/>
          <w:sz w:val="24"/>
          <w:szCs w:val="24"/>
          <w:lang w:val="en-US"/>
        </w:rPr>
        <w:t xml:space="preserve">of the July 2013 document relied upon by the first respondent, </w:t>
      </w:r>
      <w:r w:rsidR="009D51D6" w:rsidRPr="003347D4">
        <w:rPr>
          <w:rFonts w:ascii="Arial" w:hAnsi="Arial" w:cs="Arial"/>
          <w:sz w:val="24"/>
          <w:szCs w:val="24"/>
          <w:lang w:val="en-US"/>
        </w:rPr>
        <w:t xml:space="preserve">he would not have accepted the </w:t>
      </w:r>
      <w:r w:rsidR="00D31CD6">
        <w:rPr>
          <w:rFonts w:ascii="Arial" w:hAnsi="Arial" w:cs="Arial"/>
          <w:sz w:val="24"/>
          <w:szCs w:val="24"/>
          <w:lang w:val="en-US"/>
        </w:rPr>
        <w:t>first respondent’s claim as proved</w:t>
      </w:r>
      <w:r w:rsidR="00EF14D3">
        <w:rPr>
          <w:rFonts w:ascii="Arial" w:hAnsi="Arial" w:cs="Arial"/>
          <w:sz w:val="24"/>
          <w:szCs w:val="24"/>
          <w:lang w:val="en-US"/>
        </w:rPr>
        <w:t xml:space="preserve">.  Similarly, </w:t>
      </w:r>
      <w:r w:rsidR="009D51D6" w:rsidRPr="003347D4">
        <w:rPr>
          <w:rFonts w:ascii="Arial" w:hAnsi="Arial" w:cs="Arial"/>
          <w:sz w:val="24"/>
          <w:szCs w:val="24"/>
          <w:lang w:val="en-US"/>
        </w:rPr>
        <w:t>had this court known the true facts it would not have ordered compulsory winding-up in terms of its order o</w:t>
      </w:r>
      <w:r w:rsidR="00D31CD6">
        <w:rPr>
          <w:rFonts w:ascii="Arial" w:hAnsi="Arial" w:cs="Arial"/>
          <w:sz w:val="24"/>
          <w:szCs w:val="24"/>
          <w:lang w:val="en-US"/>
        </w:rPr>
        <w:t>f</w:t>
      </w:r>
      <w:r w:rsidR="009D51D6" w:rsidRPr="003347D4">
        <w:rPr>
          <w:rFonts w:ascii="Arial" w:hAnsi="Arial" w:cs="Arial"/>
          <w:sz w:val="24"/>
          <w:szCs w:val="24"/>
          <w:lang w:val="en-US"/>
        </w:rPr>
        <w:t xml:space="preserve"> 30 </w:t>
      </w:r>
      <w:r w:rsidR="005C3C41">
        <w:rPr>
          <w:rFonts w:ascii="Arial" w:hAnsi="Arial" w:cs="Arial"/>
          <w:sz w:val="24"/>
          <w:szCs w:val="24"/>
          <w:lang w:val="en-US"/>
        </w:rPr>
        <w:t>March</w:t>
      </w:r>
      <w:r w:rsidR="005C3C41" w:rsidRPr="003347D4">
        <w:rPr>
          <w:rFonts w:ascii="Arial" w:hAnsi="Arial" w:cs="Arial"/>
          <w:sz w:val="24"/>
          <w:szCs w:val="24"/>
          <w:lang w:val="en-US"/>
        </w:rPr>
        <w:t xml:space="preserve"> </w:t>
      </w:r>
      <w:r w:rsidR="009D51D6" w:rsidRPr="003347D4">
        <w:rPr>
          <w:rFonts w:ascii="Arial" w:hAnsi="Arial" w:cs="Arial"/>
          <w:sz w:val="24"/>
          <w:szCs w:val="24"/>
          <w:lang w:val="en-US"/>
        </w:rPr>
        <w:t>2021.</w:t>
      </w:r>
    </w:p>
    <w:p w14:paraId="5AD354A2" w14:textId="55941451" w:rsidR="0073783D" w:rsidRDefault="00E35643"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[4</w:t>
      </w:r>
      <w:r w:rsidR="006A3AD3">
        <w:rPr>
          <w:rFonts w:ascii="Arial" w:hAnsi="Arial" w:cs="Arial"/>
          <w:sz w:val="24"/>
          <w:szCs w:val="24"/>
          <w:lang w:val="en-US"/>
        </w:rPr>
        <w:t>5</w:t>
      </w:r>
      <w:r>
        <w:rPr>
          <w:rFonts w:ascii="Arial" w:hAnsi="Arial" w:cs="Arial"/>
          <w:sz w:val="24"/>
          <w:szCs w:val="24"/>
          <w:lang w:val="en-US"/>
        </w:rPr>
        <w:t xml:space="preserve">] </w:t>
      </w:r>
      <w:r>
        <w:rPr>
          <w:rFonts w:ascii="Arial" w:hAnsi="Arial" w:cs="Arial"/>
          <w:sz w:val="24"/>
          <w:szCs w:val="24"/>
          <w:lang w:val="en-US"/>
        </w:rPr>
        <w:tab/>
      </w:r>
      <w:r w:rsidR="009D51D6" w:rsidRPr="003347D4">
        <w:rPr>
          <w:rFonts w:ascii="Arial" w:hAnsi="Arial" w:cs="Arial"/>
          <w:sz w:val="24"/>
          <w:szCs w:val="24"/>
          <w:lang w:val="en-US"/>
        </w:rPr>
        <w:t xml:space="preserve">In developing this submission Mr Cook </w:t>
      </w:r>
      <w:r w:rsidR="00680358">
        <w:rPr>
          <w:rFonts w:ascii="Arial" w:hAnsi="Arial" w:cs="Arial"/>
          <w:sz w:val="24"/>
          <w:szCs w:val="24"/>
          <w:lang w:val="en-US"/>
        </w:rPr>
        <w:t>argued</w:t>
      </w:r>
      <w:r w:rsidR="00680358" w:rsidRPr="003347D4">
        <w:rPr>
          <w:rFonts w:ascii="Arial" w:hAnsi="Arial" w:cs="Arial"/>
          <w:sz w:val="24"/>
          <w:szCs w:val="24"/>
          <w:lang w:val="en-US"/>
        </w:rPr>
        <w:t xml:space="preserve"> </w:t>
      </w:r>
      <w:r w:rsidR="009D51D6" w:rsidRPr="003347D4">
        <w:rPr>
          <w:rFonts w:ascii="Arial" w:hAnsi="Arial" w:cs="Arial"/>
          <w:sz w:val="24"/>
          <w:szCs w:val="24"/>
          <w:lang w:val="en-US"/>
        </w:rPr>
        <w:t xml:space="preserve">that in fact EOH </w:t>
      </w:r>
      <w:r w:rsidR="0073783D">
        <w:rPr>
          <w:rFonts w:ascii="Arial" w:hAnsi="Arial" w:cs="Arial"/>
          <w:sz w:val="24"/>
          <w:szCs w:val="24"/>
          <w:lang w:val="en-US"/>
        </w:rPr>
        <w:t>M</w:t>
      </w:r>
      <w:r w:rsidR="009D51D6" w:rsidRPr="003347D4">
        <w:rPr>
          <w:rFonts w:ascii="Arial" w:hAnsi="Arial" w:cs="Arial"/>
          <w:sz w:val="24"/>
          <w:szCs w:val="24"/>
          <w:lang w:val="en-US"/>
        </w:rPr>
        <w:t xml:space="preserve">thombo was the true creditor in respect of the loan to Silver Touch, that </w:t>
      </w:r>
      <w:r w:rsidR="00AF595C" w:rsidRPr="003347D4">
        <w:rPr>
          <w:rFonts w:ascii="Arial" w:hAnsi="Arial" w:cs="Arial"/>
          <w:sz w:val="24"/>
          <w:szCs w:val="24"/>
          <w:lang w:val="en-US"/>
        </w:rPr>
        <w:t>EOH MS</w:t>
      </w:r>
      <w:r w:rsidR="009D51D6" w:rsidRPr="003347D4">
        <w:rPr>
          <w:rFonts w:ascii="Arial" w:hAnsi="Arial" w:cs="Arial"/>
          <w:sz w:val="24"/>
          <w:szCs w:val="24"/>
          <w:lang w:val="en-US"/>
        </w:rPr>
        <w:t xml:space="preserve"> had misrepresented that it was the creditor in reliance on a fraudulent or fabricated agreement, that this court should not sanction reliance by a party before it on fabricated documents</w:t>
      </w:r>
      <w:r w:rsidR="0073783D">
        <w:rPr>
          <w:rFonts w:ascii="Arial" w:hAnsi="Arial" w:cs="Arial"/>
          <w:sz w:val="24"/>
          <w:szCs w:val="24"/>
          <w:lang w:val="en-US"/>
        </w:rPr>
        <w:t>,</w:t>
      </w:r>
      <w:r w:rsidR="009D51D6" w:rsidRPr="003347D4">
        <w:rPr>
          <w:rFonts w:ascii="Arial" w:hAnsi="Arial" w:cs="Arial"/>
          <w:sz w:val="24"/>
          <w:szCs w:val="24"/>
          <w:lang w:val="en-US"/>
        </w:rPr>
        <w:t xml:space="preserve"> and that this was sufficient to bring the matter within the ambit of section 354 of the Companies Act.  </w:t>
      </w:r>
    </w:p>
    <w:p w14:paraId="13F0B9B0" w14:textId="10CB60F7" w:rsidR="009D51D6" w:rsidRPr="00680358" w:rsidRDefault="00E35643"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[4</w:t>
      </w:r>
      <w:r w:rsidR="006A3AD3">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9D51D6" w:rsidRPr="00921D26">
        <w:rPr>
          <w:rFonts w:ascii="Arial" w:hAnsi="Arial" w:cs="Arial"/>
          <w:sz w:val="24"/>
          <w:szCs w:val="24"/>
          <w:lang w:val="en-US"/>
        </w:rPr>
        <w:t xml:space="preserve">On setting aside the decision of the </w:t>
      </w:r>
      <w:r w:rsidR="0073783D" w:rsidRPr="00921D26">
        <w:rPr>
          <w:rFonts w:ascii="Arial" w:hAnsi="Arial" w:cs="Arial"/>
          <w:sz w:val="24"/>
          <w:szCs w:val="24"/>
          <w:lang w:val="en-US"/>
        </w:rPr>
        <w:t>tenth respondent</w:t>
      </w:r>
      <w:r w:rsidR="009D51D6" w:rsidRPr="00921D26">
        <w:rPr>
          <w:rFonts w:ascii="Arial" w:hAnsi="Arial" w:cs="Arial"/>
          <w:sz w:val="24"/>
          <w:szCs w:val="24"/>
          <w:lang w:val="en-US"/>
        </w:rPr>
        <w:t xml:space="preserve">, Mr Cook submitted that the provision of PAJA apply, and submitted that where a decision had been procured </w:t>
      </w:r>
      <w:r w:rsidR="0073783D" w:rsidRPr="00921D26">
        <w:rPr>
          <w:rFonts w:ascii="Arial" w:hAnsi="Arial" w:cs="Arial"/>
          <w:sz w:val="24"/>
          <w:szCs w:val="24"/>
          <w:lang w:val="en-US"/>
        </w:rPr>
        <w:t xml:space="preserve">by means of </w:t>
      </w:r>
      <w:r w:rsidR="009D51D6" w:rsidRPr="00921D26">
        <w:rPr>
          <w:rFonts w:ascii="Arial" w:hAnsi="Arial" w:cs="Arial"/>
          <w:sz w:val="24"/>
          <w:szCs w:val="24"/>
          <w:lang w:val="en-US"/>
        </w:rPr>
        <w:t>a fraudulent misrepresentation it was liable to be set aside</w:t>
      </w:r>
      <w:r w:rsidR="00680358" w:rsidRPr="00921D26">
        <w:rPr>
          <w:rFonts w:ascii="Arial" w:hAnsi="Arial" w:cs="Arial"/>
          <w:sz w:val="24"/>
          <w:szCs w:val="24"/>
          <w:lang w:val="en-US"/>
        </w:rPr>
        <w:t xml:space="preserve"> on review</w:t>
      </w:r>
      <w:r w:rsidR="009D51D6" w:rsidRPr="00921D26">
        <w:rPr>
          <w:rFonts w:ascii="Arial" w:hAnsi="Arial" w:cs="Arial"/>
          <w:sz w:val="24"/>
          <w:szCs w:val="24"/>
          <w:lang w:val="en-US"/>
        </w:rPr>
        <w:t xml:space="preserve">. </w:t>
      </w:r>
    </w:p>
    <w:p w14:paraId="02750D81" w14:textId="5113927D" w:rsidR="002C2DDC" w:rsidRDefault="00E35643"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[4</w:t>
      </w:r>
      <w:r w:rsidR="006A3AD3">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9D51D6" w:rsidRPr="003347D4">
        <w:rPr>
          <w:rFonts w:ascii="Arial" w:hAnsi="Arial" w:cs="Arial"/>
          <w:sz w:val="24"/>
          <w:szCs w:val="24"/>
          <w:lang w:val="en-US"/>
        </w:rPr>
        <w:t>In</w:t>
      </w:r>
      <w:r w:rsidR="0073783D">
        <w:rPr>
          <w:rFonts w:ascii="Arial" w:hAnsi="Arial" w:cs="Arial"/>
          <w:sz w:val="24"/>
          <w:szCs w:val="24"/>
          <w:lang w:val="en-US"/>
        </w:rPr>
        <w:t xml:space="preserve"> response to the</w:t>
      </w:r>
      <w:r w:rsidR="009D51D6" w:rsidRPr="003347D4">
        <w:rPr>
          <w:rFonts w:ascii="Arial" w:hAnsi="Arial" w:cs="Arial"/>
          <w:sz w:val="24"/>
          <w:szCs w:val="24"/>
          <w:lang w:val="en-US"/>
        </w:rPr>
        <w:t xml:space="preserve"> submissions </w:t>
      </w:r>
      <w:r w:rsidR="00901060">
        <w:rPr>
          <w:rFonts w:ascii="Arial" w:hAnsi="Arial" w:cs="Arial"/>
          <w:sz w:val="24"/>
          <w:szCs w:val="24"/>
          <w:lang w:val="en-US"/>
        </w:rPr>
        <w:t xml:space="preserve">by </w:t>
      </w:r>
      <w:r w:rsidR="00565BE0">
        <w:rPr>
          <w:rFonts w:ascii="Arial" w:hAnsi="Arial" w:cs="Arial"/>
          <w:sz w:val="24"/>
          <w:szCs w:val="24"/>
          <w:lang w:val="en-US"/>
        </w:rPr>
        <w:t>the first respondent</w:t>
      </w:r>
      <w:r w:rsidR="00901060">
        <w:rPr>
          <w:rFonts w:ascii="Arial" w:hAnsi="Arial" w:cs="Arial"/>
          <w:sz w:val="24"/>
          <w:szCs w:val="24"/>
          <w:lang w:val="en-US"/>
        </w:rPr>
        <w:t xml:space="preserve"> in its </w:t>
      </w:r>
      <w:r w:rsidR="00565BE0">
        <w:rPr>
          <w:rFonts w:ascii="Arial" w:hAnsi="Arial" w:cs="Arial"/>
          <w:sz w:val="24"/>
          <w:szCs w:val="24"/>
          <w:lang w:val="en-US"/>
        </w:rPr>
        <w:t xml:space="preserve">heads of argument </w:t>
      </w:r>
      <w:r w:rsidR="009D51D6" w:rsidRPr="003347D4">
        <w:rPr>
          <w:rFonts w:ascii="Arial" w:hAnsi="Arial" w:cs="Arial"/>
          <w:sz w:val="24"/>
          <w:szCs w:val="24"/>
          <w:lang w:val="en-US"/>
        </w:rPr>
        <w:t>that the application was an abus</w:t>
      </w:r>
      <w:r w:rsidR="00565BE0">
        <w:rPr>
          <w:rFonts w:ascii="Arial" w:hAnsi="Arial" w:cs="Arial"/>
          <w:sz w:val="24"/>
          <w:szCs w:val="24"/>
          <w:lang w:val="en-US"/>
        </w:rPr>
        <w:t xml:space="preserve">e of </w:t>
      </w:r>
      <w:r w:rsidR="009D51D6" w:rsidRPr="003347D4">
        <w:rPr>
          <w:rFonts w:ascii="Arial" w:hAnsi="Arial" w:cs="Arial"/>
          <w:sz w:val="24"/>
          <w:szCs w:val="24"/>
          <w:lang w:val="en-US"/>
        </w:rPr>
        <w:t xml:space="preserve">process and that the public interest militated against the setting aside of the order, Mr Cook submitted that </w:t>
      </w:r>
      <w:r w:rsidR="00565BE0">
        <w:rPr>
          <w:rFonts w:ascii="Arial" w:hAnsi="Arial" w:cs="Arial"/>
          <w:sz w:val="24"/>
          <w:szCs w:val="24"/>
          <w:lang w:val="en-US"/>
        </w:rPr>
        <w:t xml:space="preserve">the extensive material in the answering papers introduced to </w:t>
      </w:r>
      <w:r w:rsidR="005231CA">
        <w:rPr>
          <w:rFonts w:ascii="Arial" w:hAnsi="Arial" w:cs="Arial"/>
          <w:sz w:val="24"/>
          <w:szCs w:val="24"/>
          <w:lang w:val="en-US"/>
        </w:rPr>
        <w:t>demonstrate that the applicant and Silver Touch had been instrumental in large scale fraud perpetrated on the first respondent and the EOH group more broadly</w:t>
      </w:r>
      <w:r w:rsidR="00437F85">
        <w:rPr>
          <w:rFonts w:ascii="Arial" w:hAnsi="Arial" w:cs="Arial"/>
          <w:sz w:val="24"/>
          <w:szCs w:val="24"/>
          <w:lang w:val="en-US"/>
        </w:rPr>
        <w:t xml:space="preserve"> was </w:t>
      </w:r>
      <w:r w:rsidR="009D51D6" w:rsidRPr="003347D4">
        <w:rPr>
          <w:rFonts w:ascii="Arial" w:hAnsi="Arial" w:cs="Arial"/>
          <w:sz w:val="24"/>
          <w:szCs w:val="24"/>
          <w:lang w:val="en-US"/>
        </w:rPr>
        <w:t xml:space="preserve">extraneous </w:t>
      </w:r>
      <w:r w:rsidR="00437F85">
        <w:rPr>
          <w:rFonts w:ascii="Arial" w:hAnsi="Arial" w:cs="Arial"/>
          <w:sz w:val="24"/>
          <w:szCs w:val="24"/>
          <w:lang w:val="en-US"/>
        </w:rPr>
        <w:t xml:space="preserve">and irrelevant, had been </w:t>
      </w:r>
      <w:r w:rsidR="009D51D6" w:rsidRPr="003347D4">
        <w:rPr>
          <w:rFonts w:ascii="Arial" w:hAnsi="Arial" w:cs="Arial"/>
          <w:sz w:val="24"/>
          <w:szCs w:val="24"/>
          <w:lang w:val="en-US"/>
        </w:rPr>
        <w:t xml:space="preserve">introduced for </w:t>
      </w:r>
      <w:r w:rsidR="00437F85">
        <w:rPr>
          <w:rFonts w:ascii="Arial" w:hAnsi="Arial" w:cs="Arial"/>
          <w:sz w:val="24"/>
          <w:szCs w:val="24"/>
          <w:lang w:val="en-US"/>
        </w:rPr>
        <w:t xml:space="preserve">impermissible </w:t>
      </w:r>
      <w:r w:rsidR="009D51D6" w:rsidRPr="003347D4">
        <w:rPr>
          <w:rFonts w:ascii="Arial" w:hAnsi="Arial" w:cs="Arial"/>
          <w:sz w:val="24"/>
          <w:szCs w:val="24"/>
          <w:lang w:val="en-US"/>
        </w:rPr>
        <w:t>collateral purposes</w:t>
      </w:r>
      <w:r w:rsidR="00437F85">
        <w:rPr>
          <w:rFonts w:ascii="Arial" w:hAnsi="Arial" w:cs="Arial"/>
          <w:sz w:val="24"/>
          <w:szCs w:val="24"/>
          <w:lang w:val="en-US"/>
        </w:rPr>
        <w:t>,</w:t>
      </w:r>
      <w:r w:rsidR="009D51D6" w:rsidRPr="003347D4">
        <w:rPr>
          <w:rFonts w:ascii="Arial" w:hAnsi="Arial" w:cs="Arial"/>
          <w:sz w:val="24"/>
          <w:szCs w:val="24"/>
          <w:lang w:val="en-US"/>
        </w:rPr>
        <w:t xml:space="preserve"> and that </w:t>
      </w:r>
      <w:r w:rsidR="002C2DDC">
        <w:rPr>
          <w:rFonts w:ascii="Arial" w:hAnsi="Arial" w:cs="Arial"/>
          <w:sz w:val="24"/>
          <w:szCs w:val="24"/>
          <w:lang w:val="en-US"/>
        </w:rPr>
        <w:t xml:space="preserve">it was </w:t>
      </w:r>
      <w:r w:rsidR="00437F85">
        <w:rPr>
          <w:rFonts w:ascii="Arial" w:hAnsi="Arial" w:cs="Arial"/>
          <w:sz w:val="24"/>
          <w:szCs w:val="24"/>
          <w:lang w:val="en-US"/>
        </w:rPr>
        <w:t>this</w:t>
      </w:r>
      <w:r w:rsidR="002C2DDC">
        <w:rPr>
          <w:rFonts w:ascii="Arial" w:hAnsi="Arial" w:cs="Arial"/>
          <w:sz w:val="24"/>
          <w:szCs w:val="24"/>
          <w:lang w:val="en-US"/>
        </w:rPr>
        <w:t xml:space="preserve">, and not the applicant’s conduct in bringing this application, that </w:t>
      </w:r>
      <w:r w:rsidR="009D51D6" w:rsidRPr="003347D4">
        <w:rPr>
          <w:rFonts w:ascii="Arial" w:hAnsi="Arial" w:cs="Arial"/>
          <w:sz w:val="24"/>
          <w:szCs w:val="24"/>
          <w:lang w:val="en-US"/>
        </w:rPr>
        <w:t xml:space="preserve">constituted an abuse of process.  </w:t>
      </w:r>
    </w:p>
    <w:p w14:paraId="23891A39" w14:textId="74141F7D" w:rsidR="00755F02" w:rsidRDefault="00E35643"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[4</w:t>
      </w:r>
      <w:r w:rsidR="006A3AD3">
        <w:rPr>
          <w:rFonts w:ascii="Arial" w:hAnsi="Arial" w:cs="Arial"/>
          <w:sz w:val="24"/>
          <w:szCs w:val="24"/>
          <w:lang w:val="en-US"/>
        </w:rPr>
        <w:t>8</w:t>
      </w:r>
      <w:r>
        <w:rPr>
          <w:rFonts w:ascii="Arial" w:hAnsi="Arial" w:cs="Arial"/>
          <w:sz w:val="24"/>
          <w:szCs w:val="24"/>
          <w:lang w:val="en-US"/>
        </w:rPr>
        <w:t xml:space="preserve">] </w:t>
      </w:r>
      <w:r w:rsidR="00BC1901">
        <w:rPr>
          <w:rFonts w:ascii="Arial" w:hAnsi="Arial" w:cs="Arial"/>
          <w:sz w:val="24"/>
          <w:szCs w:val="24"/>
          <w:lang w:val="en-US"/>
        </w:rPr>
        <w:t xml:space="preserve"> </w:t>
      </w:r>
      <w:r w:rsidR="009D51D6" w:rsidRPr="003347D4">
        <w:rPr>
          <w:rFonts w:ascii="Arial" w:hAnsi="Arial" w:cs="Arial"/>
          <w:sz w:val="24"/>
          <w:szCs w:val="24"/>
          <w:lang w:val="en-US"/>
        </w:rPr>
        <w:t xml:space="preserve">Mr Blou, for the </w:t>
      </w:r>
      <w:r w:rsidR="00144ED1">
        <w:rPr>
          <w:rFonts w:ascii="Arial" w:hAnsi="Arial" w:cs="Arial"/>
          <w:sz w:val="24"/>
          <w:szCs w:val="24"/>
          <w:lang w:val="en-US"/>
        </w:rPr>
        <w:t>f</w:t>
      </w:r>
      <w:r w:rsidR="009D51D6" w:rsidRPr="003347D4">
        <w:rPr>
          <w:rFonts w:ascii="Arial" w:hAnsi="Arial" w:cs="Arial"/>
          <w:sz w:val="24"/>
          <w:szCs w:val="24"/>
          <w:lang w:val="en-US"/>
        </w:rPr>
        <w:t xml:space="preserve">irst </w:t>
      </w:r>
      <w:r w:rsidR="00144ED1">
        <w:rPr>
          <w:rFonts w:ascii="Arial" w:hAnsi="Arial" w:cs="Arial"/>
          <w:sz w:val="24"/>
          <w:szCs w:val="24"/>
          <w:lang w:val="en-US"/>
        </w:rPr>
        <w:t>r</w:t>
      </w:r>
      <w:r w:rsidR="009D51D6" w:rsidRPr="003347D4">
        <w:rPr>
          <w:rFonts w:ascii="Arial" w:hAnsi="Arial" w:cs="Arial"/>
          <w:sz w:val="24"/>
          <w:szCs w:val="24"/>
          <w:lang w:val="en-US"/>
        </w:rPr>
        <w:t xml:space="preserve">espondent, submitted that </w:t>
      </w:r>
      <w:r w:rsidR="005242F0">
        <w:rPr>
          <w:rFonts w:ascii="Arial" w:hAnsi="Arial" w:cs="Arial"/>
          <w:sz w:val="24"/>
          <w:szCs w:val="24"/>
          <w:lang w:val="en-US"/>
        </w:rPr>
        <w:t>for the purpose of determining</w:t>
      </w:r>
      <w:r w:rsidR="009D51D6" w:rsidRPr="003347D4">
        <w:rPr>
          <w:rFonts w:ascii="Arial" w:hAnsi="Arial" w:cs="Arial"/>
          <w:sz w:val="24"/>
          <w:szCs w:val="24"/>
          <w:lang w:val="en-US"/>
        </w:rPr>
        <w:t xml:space="preserve"> both legs of the </w:t>
      </w:r>
      <w:r w:rsidR="00BC104B">
        <w:rPr>
          <w:rFonts w:ascii="Arial" w:hAnsi="Arial" w:cs="Arial"/>
          <w:sz w:val="24"/>
          <w:szCs w:val="24"/>
          <w:lang w:val="en-US"/>
        </w:rPr>
        <w:t>a</w:t>
      </w:r>
      <w:r w:rsidR="009D51D6" w:rsidRPr="003347D4">
        <w:rPr>
          <w:rFonts w:ascii="Arial" w:hAnsi="Arial" w:cs="Arial"/>
          <w:sz w:val="24"/>
          <w:szCs w:val="24"/>
          <w:lang w:val="en-US"/>
        </w:rPr>
        <w:t xml:space="preserve">pplicant’s application, whether relying on section 354 </w:t>
      </w:r>
      <w:r w:rsidR="00A95A78">
        <w:rPr>
          <w:rFonts w:ascii="Arial" w:hAnsi="Arial" w:cs="Arial"/>
          <w:sz w:val="24"/>
          <w:szCs w:val="24"/>
          <w:lang w:val="en-US"/>
        </w:rPr>
        <w:t xml:space="preserve">of the Companies Act </w:t>
      </w:r>
      <w:r w:rsidR="009D51D6" w:rsidRPr="003347D4">
        <w:rPr>
          <w:rFonts w:ascii="Arial" w:hAnsi="Arial" w:cs="Arial"/>
          <w:sz w:val="24"/>
          <w:szCs w:val="24"/>
          <w:lang w:val="en-US"/>
        </w:rPr>
        <w:t>or section 151</w:t>
      </w:r>
      <w:r w:rsidR="00A95A78">
        <w:rPr>
          <w:rFonts w:ascii="Arial" w:hAnsi="Arial" w:cs="Arial"/>
          <w:sz w:val="24"/>
          <w:szCs w:val="24"/>
          <w:lang w:val="en-US"/>
        </w:rPr>
        <w:t xml:space="preserve"> of the Insolvency Act, </w:t>
      </w:r>
      <w:r w:rsidR="00401334">
        <w:rPr>
          <w:rFonts w:ascii="Arial" w:hAnsi="Arial" w:cs="Arial"/>
          <w:sz w:val="24"/>
          <w:szCs w:val="24"/>
          <w:lang w:val="en-US"/>
        </w:rPr>
        <w:t xml:space="preserve">applying the rule in </w:t>
      </w:r>
      <w:r w:rsidR="009D51D6" w:rsidRPr="00401334">
        <w:rPr>
          <w:rFonts w:ascii="Arial" w:hAnsi="Arial" w:cs="Arial"/>
          <w:i/>
          <w:iCs/>
          <w:sz w:val="24"/>
          <w:szCs w:val="24"/>
          <w:lang w:val="en-US"/>
        </w:rPr>
        <w:t>Plascon Evans</w:t>
      </w:r>
      <w:r w:rsidR="00401334" w:rsidRPr="006A2109">
        <w:rPr>
          <w:rStyle w:val="FootnoteReference"/>
          <w:rFonts w:ascii="Arial" w:hAnsi="Arial" w:cs="Arial"/>
          <w:i/>
          <w:iCs/>
          <w:sz w:val="24"/>
          <w:szCs w:val="24"/>
          <w:lang w:val="en-US"/>
        </w:rPr>
        <w:footnoteReference w:id="6"/>
      </w:r>
      <w:r w:rsidR="009D51D6" w:rsidRPr="006A2109">
        <w:rPr>
          <w:rFonts w:ascii="Arial" w:hAnsi="Arial" w:cs="Arial"/>
          <w:sz w:val="24"/>
          <w:szCs w:val="24"/>
          <w:lang w:val="en-US"/>
        </w:rPr>
        <w:t xml:space="preserve"> </w:t>
      </w:r>
      <w:r w:rsidR="009D51D6" w:rsidRPr="003347D4">
        <w:rPr>
          <w:rFonts w:ascii="Arial" w:hAnsi="Arial" w:cs="Arial"/>
          <w:sz w:val="24"/>
          <w:szCs w:val="24"/>
          <w:lang w:val="en-US"/>
        </w:rPr>
        <w:t xml:space="preserve">all of the </w:t>
      </w:r>
      <w:r w:rsidR="006A2109">
        <w:rPr>
          <w:rFonts w:ascii="Arial" w:hAnsi="Arial" w:cs="Arial"/>
          <w:sz w:val="24"/>
          <w:szCs w:val="24"/>
          <w:lang w:val="en-US"/>
        </w:rPr>
        <w:t xml:space="preserve">factual </w:t>
      </w:r>
      <w:r w:rsidR="009D51D6" w:rsidRPr="003347D4">
        <w:rPr>
          <w:rFonts w:ascii="Arial" w:hAnsi="Arial" w:cs="Arial"/>
          <w:sz w:val="24"/>
          <w:szCs w:val="24"/>
          <w:lang w:val="en-US"/>
        </w:rPr>
        <w:t xml:space="preserve">material put up by the </w:t>
      </w:r>
      <w:r w:rsidR="006A2109">
        <w:rPr>
          <w:rFonts w:ascii="Arial" w:hAnsi="Arial" w:cs="Arial"/>
          <w:sz w:val="24"/>
          <w:szCs w:val="24"/>
          <w:lang w:val="en-US"/>
        </w:rPr>
        <w:t>f</w:t>
      </w:r>
      <w:r w:rsidR="009D51D6" w:rsidRPr="003347D4">
        <w:rPr>
          <w:rFonts w:ascii="Arial" w:hAnsi="Arial" w:cs="Arial"/>
          <w:sz w:val="24"/>
          <w:szCs w:val="24"/>
          <w:lang w:val="en-US"/>
        </w:rPr>
        <w:t xml:space="preserve">irst </w:t>
      </w:r>
      <w:r w:rsidR="006A2109">
        <w:rPr>
          <w:rFonts w:ascii="Arial" w:hAnsi="Arial" w:cs="Arial"/>
          <w:sz w:val="24"/>
          <w:szCs w:val="24"/>
          <w:lang w:val="en-US"/>
        </w:rPr>
        <w:t>r</w:t>
      </w:r>
      <w:r w:rsidR="009D51D6" w:rsidRPr="003347D4">
        <w:rPr>
          <w:rFonts w:ascii="Arial" w:hAnsi="Arial" w:cs="Arial"/>
          <w:sz w:val="24"/>
          <w:szCs w:val="24"/>
          <w:lang w:val="en-US"/>
        </w:rPr>
        <w:t xml:space="preserve">espondent in the answering papers must be accepted.  </w:t>
      </w:r>
    </w:p>
    <w:p w14:paraId="68AA80AB" w14:textId="39B7CCCC" w:rsidR="003F1EAD" w:rsidRPr="003347D4" w:rsidRDefault="00144ED1"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w:t>
      </w:r>
      <w:r w:rsidR="00541193">
        <w:rPr>
          <w:rFonts w:ascii="Arial" w:hAnsi="Arial" w:cs="Arial"/>
          <w:sz w:val="24"/>
          <w:szCs w:val="24"/>
          <w:lang w:val="en-US"/>
        </w:rPr>
        <w:t>49</w:t>
      </w:r>
      <w:r>
        <w:rPr>
          <w:rFonts w:ascii="Arial" w:hAnsi="Arial" w:cs="Arial"/>
          <w:sz w:val="24"/>
          <w:szCs w:val="24"/>
          <w:lang w:val="en-US"/>
        </w:rPr>
        <w:t xml:space="preserve">]   </w:t>
      </w:r>
      <w:r w:rsidR="003F1EAD" w:rsidRPr="003347D4">
        <w:rPr>
          <w:rFonts w:ascii="Arial" w:hAnsi="Arial" w:cs="Arial"/>
          <w:sz w:val="24"/>
          <w:szCs w:val="24"/>
          <w:lang w:val="en-US"/>
        </w:rPr>
        <w:t xml:space="preserve">Mr Blou further submitted that an applicant under section 354 is required to show more than a </w:t>
      </w:r>
      <w:r w:rsidR="003F1EAD" w:rsidRPr="003347D4">
        <w:rPr>
          <w:rFonts w:ascii="Arial" w:hAnsi="Arial" w:cs="Arial"/>
          <w:i/>
          <w:iCs/>
          <w:sz w:val="24"/>
          <w:szCs w:val="24"/>
          <w:lang w:val="en-US"/>
        </w:rPr>
        <w:t>bona fide</w:t>
      </w:r>
      <w:r w:rsidR="003F1EAD" w:rsidRPr="003347D4">
        <w:rPr>
          <w:rFonts w:ascii="Arial" w:hAnsi="Arial" w:cs="Arial"/>
          <w:sz w:val="24"/>
          <w:szCs w:val="24"/>
          <w:lang w:val="en-US"/>
        </w:rPr>
        <w:t xml:space="preserve"> defence and must show in addition</w:t>
      </w:r>
      <w:r w:rsidR="008036D4">
        <w:rPr>
          <w:rFonts w:ascii="Arial" w:hAnsi="Arial" w:cs="Arial"/>
          <w:sz w:val="24"/>
          <w:szCs w:val="24"/>
          <w:lang w:val="en-US"/>
        </w:rPr>
        <w:t>,</w:t>
      </w:r>
      <w:r w:rsidR="00EA42BC">
        <w:rPr>
          <w:rFonts w:ascii="Arial" w:hAnsi="Arial" w:cs="Arial"/>
          <w:sz w:val="24"/>
          <w:szCs w:val="24"/>
          <w:lang w:val="en-US"/>
        </w:rPr>
        <w:t xml:space="preserve"> among other things,</w:t>
      </w:r>
      <w:r w:rsidR="008036D4">
        <w:rPr>
          <w:rFonts w:ascii="Arial" w:hAnsi="Arial" w:cs="Arial"/>
          <w:sz w:val="24"/>
          <w:szCs w:val="24"/>
          <w:lang w:val="en-US"/>
        </w:rPr>
        <w:t xml:space="preserve"> </w:t>
      </w:r>
      <w:r w:rsidR="003F1EAD" w:rsidRPr="003347D4">
        <w:rPr>
          <w:rFonts w:ascii="Arial" w:hAnsi="Arial" w:cs="Arial"/>
          <w:sz w:val="24"/>
          <w:szCs w:val="24"/>
          <w:lang w:val="en-US"/>
        </w:rPr>
        <w:t>that there are no unpaid creditors and adequate provision has been made to pay the liquidators</w:t>
      </w:r>
      <w:r w:rsidR="008036D4">
        <w:rPr>
          <w:rFonts w:ascii="Arial" w:hAnsi="Arial" w:cs="Arial"/>
          <w:sz w:val="24"/>
          <w:szCs w:val="24"/>
          <w:lang w:val="en-US"/>
        </w:rPr>
        <w:t>,</w:t>
      </w:r>
      <w:r w:rsidR="002D5610" w:rsidRPr="002D5610">
        <w:rPr>
          <w:rStyle w:val="FootnoteReference"/>
          <w:rFonts w:ascii="Arial" w:hAnsi="Arial" w:cs="Arial"/>
          <w:sz w:val="24"/>
          <w:szCs w:val="24"/>
          <w:lang w:val="en-US"/>
        </w:rPr>
        <w:footnoteReference w:id="7"/>
      </w:r>
      <w:r w:rsidR="003F1EAD" w:rsidRPr="002D5610">
        <w:rPr>
          <w:rFonts w:ascii="Arial" w:hAnsi="Arial" w:cs="Arial"/>
          <w:sz w:val="24"/>
          <w:szCs w:val="24"/>
          <w:lang w:val="en-US"/>
        </w:rPr>
        <w:t xml:space="preserve"> </w:t>
      </w:r>
      <w:r w:rsidR="003F1EAD" w:rsidRPr="003347D4">
        <w:rPr>
          <w:rFonts w:ascii="Arial" w:hAnsi="Arial" w:cs="Arial"/>
          <w:sz w:val="24"/>
          <w:szCs w:val="24"/>
          <w:lang w:val="en-US"/>
        </w:rPr>
        <w:t xml:space="preserve">and that the relief sought is </w:t>
      </w:r>
      <w:r w:rsidR="002D5610">
        <w:rPr>
          <w:rFonts w:ascii="Arial" w:hAnsi="Arial" w:cs="Arial"/>
          <w:sz w:val="24"/>
          <w:szCs w:val="24"/>
          <w:lang w:val="en-US"/>
        </w:rPr>
        <w:t>“</w:t>
      </w:r>
      <w:r w:rsidR="003F1EAD" w:rsidRPr="00921D26">
        <w:rPr>
          <w:rFonts w:ascii="Arial" w:hAnsi="Arial" w:cs="Arial"/>
          <w:i/>
          <w:iCs/>
          <w:sz w:val="24"/>
          <w:szCs w:val="24"/>
          <w:lang w:val="en-US"/>
        </w:rPr>
        <w:t>conducive to commercial morality</w:t>
      </w:r>
      <w:r w:rsidR="002D5610">
        <w:rPr>
          <w:rFonts w:ascii="Arial" w:hAnsi="Arial" w:cs="Arial"/>
          <w:sz w:val="24"/>
          <w:szCs w:val="24"/>
          <w:lang w:val="en-US"/>
        </w:rPr>
        <w:t>”</w:t>
      </w:r>
      <w:r w:rsidR="003F1EAD" w:rsidRPr="003347D4">
        <w:rPr>
          <w:rFonts w:ascii="Arial" w:hAnsi="Arial" w:cs="Arial"/>
          <w:sz w:val="24"/>
          <w:szCs w:val="24"/>
          <w:lang w:val="en-US"/>
        </w:rPr>
        <w:t xml:space="preserve"> and in the interests of the public at large, even beyond the interests of creditors and members</w:t>
      </w:r>
      <w:r w:rsidR="0082209E">
        <w:rPr>
          <w:rFonts w:ascii="Arial" w:hAnsi="Arial" w:cs="Arial"/>
          <w:sz w:val="24"/>
          <w:szCs w:val="24"/>
          <w:lang w:val="en-US"/>
        </w:rPr>
        <w:t xml:space="preserve">.  It must be shown, he submitted, </w:t>
      </w:r>
      <w:r w:rsidR="003F1EAD" w:rsidRPr="003347D4">
        <w:rPr>
          <w:rFonts w:ascii="Arial" w:hAnsi="Arial" w:cs="Arial"/>
          <w:sz w:val="24"/>
          <w:szCs w:val="24"/>
          <w:lang w:val="en-US"/>
        </w:rPr>
        <w:t>that “</w:t>
      </w:r>
      <w:r w:rsidR="003F1EAD" w:rsidRPr="003347D4">
        <w:rPr>
          <w:rFonts w:ascii="Arial" w:hAnsi="Arial" w:cs="Arial"/>
          <w:i/>
          <w:iCs/>
          <w:sz w:val="24"/>
          <w:szCs w:val="24"/>
          <w:lang w:val="en-US"/>
        </w:rPr>
        <w:t>the trading operations have been fair and above-board</w:t>
      </w:r>
      <w:r w:rsidR="003F1EAD" w:rsidRPr="003347D4">
        <w:rPr>
          <w:rFonts w:ascii="Arial" w:hAnsi="Arial" w:cs="Arial"/>
          <w:sz w:val="24"/>
          <w:szCs w:val="24"/>
          <w:lang w:val="en-US"/>
        </w:rPr>
        <w:t>”</w:t>
      </w:r>
      <w:r w:rsidR="002D5610" w:rsidRPr="00F71244">
        <w:rPr>
          <w:rStyle w:val="FootnoteReference"/>
          <w:rFonts w:ascii="Arial" w:hAnsi="Arial" w:cs="Arial"/>
          <w:sz w:val="24"/>
          <w:szCs w:val="24"/>
          <w:lang w:val="en-US"/>
        </w:rPr>
        <w:footnoteReference w:id="8"/>
      </w:r>
      <w:r w:rsidR="002D5610">
        <w:rPr>
          <w:rFonts w:ascii="Arial" w:hAnsi="Arial" w:cs="Arial"/>
          <w:sz w:val="24"/>
          <w:szCs w:val="24"/>
          <w:lang w:val="en-US"/>
        </w:rPr>
        <w:t>.</w:t>
      </w:r>
      <w:r w:rsidR="003F1EAD" w:rsidRPr="003347D4">
        <w:rPr>
          <w:rFonts w:ascii="Arial" w:hAnsi="Arial" w:cs="Arial"/>
          <w:sz w:val="24"/>
          <w:szCs w:val="24"/>
          <w:lang w:val="en-US"/>
        </w:rPr>
        <w:t xml:space="preserve"> </w:t>
      </w:r>
    </w:p>
    <w:p w14:paraId="7577D987" w14:textId="21F55043" w:rsidR="0037239D" w:rsidRDefault="00144ED1"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[5</w:t>
      </w:r>
      <w:r w:rsidR="00541193">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830606">
        <w:rPr>
          <w:rFonts w:ascii="Arial" w:hAnsi="Arial" w:cs="Arial"/>
          <w:sz w:val="24"/>
          <w:szCs w:val="24"/>
          <w:lang w:val="en-US"/>
        </w:rPr>
        <w:t xml:space="preserve">Mr </w:t>
      </w:r>
      <w:r w:rsidR="003F1EAD" w:rsidRPr="003347D4">
        <w:rPr>
          <w:rFonts w:ascii="Arial" w:hAnsi="Arial" w:cs="Arial"/>
          <w:sz w:val="24"/>
          <w:szCs w:val="24"/>
          <w:lang w:val="en-US"/>
        </w:rPr>
        <w:t>Blou submitted</w:t>
      </w:r>
      <w:r w:rsidR="003A3BB9">
        <w:rPr>
          <w:rFonts w:ascii="Arial" w:hAnsi="Arial" w:cs="Arial"/>
          <w:sz w:val="24"/>
          <w:szCs w:val="24"/>
          <w:lang w:val="en-US"/>
        </w:rPr>
        <w:t>,</w:t>
      </w:r>
      <w:r w:rsidR="003F1EAD" w:rsidRPr="003347D4">
        <w:rPr>
          <w:rFonts w:ascii="Arial" w:hAnsi="Arial" w:cs="Arial"/>
          <w:sz w:val="24"/>
          <w:szCs w:val="24"/>
          <w:lang w:val="en-US"/>
        </w:rPr>
        <w:t xml:space="preserve"> </w:t>
      </w:r>
      <w:r w:rsidR="00F71244">
        <w:rPr>
          <w:rFonts w:ascii="Arial" w:hAnsi="Arial" w:cs="Arial"/>
          <w:sz w:val="24"/>
          <w:szCs w:val="24"/>
          <w:lang w:val="en-US"/>
        </w:rPr>
        <w:t>as regards the contention that the claim had not been validly ceded to EOH MS</w:t>
      </w:r>
      <w:r w:rsidR="003A3BB9">
        <w:rPr>
          <w:rFonts w:ascii="Arial" w:hAnsi="Arial" w:cs="Arial"/>
          <w:sz w:val="24"/>
          <w:szCs w:val="24"/>
          <w:lang w:val="en-US"/>
        </w:rPr>
        <w:t>,</w:t>
      </w:r>
      <w:r w:rsidR="00124B53">
        <w:rPr>
          <w:rFonts w:ascii="Arial" w:hAnsi="Arial" w:cs="Arial"/>
          <w:sz w:val="24"/>
          <w:szCs w:val="24"/>
          <w:lang w:val="en-US"/>
        </w:rPr>
        <w:t xml:space="preserve"> </w:t>
      </w:r>
      <w:r w:rsidR="003F1EAD" w:rsidRPr="003347D4">
        <w:rPr>
          <w:rFonts w:ascii="Arial" w:hAnsi="Arial" w:cs="Arial"/>
          <w:sz w:val="24"/>
          <w:szCs w:val="24"/>
          <w:lang w:val="en-US"/>
        </w:rPr>
        <w:t xml:space="preserve">that no formality is required </w:t>
      </w:r>
      <w:r w:rsidR="00124B53">
        <w:rPr>
          <w:rFonts w:ascii="Arial" w:hAnsi="Arial" w:cs="Arial"/>
          <w:sz w:val="24"/>
          <w:szCs w:val="24"/>
          <w:lang w:val="en-US"/>
        </w:rPr>
        <w:t xml:space="preserve">for </w:t>
      </w:r>
      <w:r w:rsidR="003F1EAD" w:rsidRPr="003347D4">
        <w:rPr>
          <w:rFonts w:ascii="Arial" w:hAnsi="Arial" w:cs="Arial"/>
          <w:sz w:val="24"/>
          <w:szCs w:val="24"/>
          <w:lang w:val="en-US"/>
        </w:rPr>
        <w:t>the cession of a loan claim of the kind which occurred here</w:t>
      </w:r>
      <w:r w:rsidR="00124B53">
        <w:rPr>
          <w:rFonts w:ascii="Arial" w:hAnsi="Arial" w:cs="Arial"/>
          <w:sz w:val="24"/>
          <w:szCs w:val="24"/>
          <w:lang w:val="en-US"/>
        </w:rPr>
        <w:t xml:space="preserve"> or for the extension of terms of repayment,</w:t>
      </w:r>
      <w:r w:rsidR="003F1EAD" w:rsidRPr="003347D4">
        <w:rPr>
          <w:rFonts w:ascii="Arial" w:hAnsi="Arial" w:cs="Arial"/>
          <w:sz w:val="24"/>
          <w:szCs w:val="24"/>
          <w:lang w:val="en-US"/>
        </w:rPr>
        <w:t xml:space="preserve"> and </w:t>
      </w:r>
      <w:r w:rsidR="00124B53">
        <w:rPr>
          <w:rFonts w:ascii="Arial" w:hAnsi="Arial" w:cs="Arial"/>
          <w:sz w:val="24"/>
          <w:szCs w:val="24"/>
          <w:lang w:val="en-US"/>
        </w:rPr>
        <w:t xml:space="preserve">that </w:t>
      </w:r>
      <w:r w:rsidR="003F1EAD" w:rsidRPr="003347D4">
        <w:rPr>
          <w:rFonts w:ascii="Arial" w:hAnsi="Arial" w:cs="Arial"/>
          <w:sz w:val="24"/>
          <w:szCs w:val="24"/>
          <w:lang w:val="en-US"/>
        </w:rPr>
        <w:t xml:space="preserve">the </w:t>
      </w:r>
      <w:r w:rsidR="00124B53">
        <w:rPr>
          <w:rFonts w:ascii="Arial" w:hAnsi="Arial" w:cs="Arial"/>
          <w:sz w:val="24"/>
          <w:szCs w:val="24"/>
          <w:lang w:val="en-US"/>
        </w:rPr>
        <w:t xml:space="preserve">written agreements </w:t>
      </w:r>
      <w:r w:rsidR="0037239D">
        <w:rPr>
          <w:rFonts w:ascii="Arial" w:hAnsi="Arial" w:cs="Arial"/>
          <w:sz w:val="24"/>
          <w:szCs w:val="24"/>
          <w:lang w:val="en-US"/>
        </w:rPr>
        <w:t xml:space="preserve">in the present matter were </w:t>
      </w:r>
      <w:r w:rsidR="003F1EAD" w:rsidRPr="003347D4">
        <w:rPr>
          <w:rFonts w:ascii="Arial" w:hAnsi="Arial" w:cs="Arial"/>
          <w:sz w:val="24"/>
          <w:szCs w:val="24"/>
          <w:lang w:val="en-US"/>
        </w:rPr>
        <w:t>matter</w:t>
      </w:r>
      <w:r w:rsidR="0037239D">
        <w:rPr>
          <w:rFonts w:ascii="Arial" w:hAnsi="Arial" w:cs="Arial"/>
          <w:sz w:val="24"/>
          <w:szCs w:val="24"/>
          <w:lang w:val="en-US"/>
        </w:rPr>
        <w:t>s</w:t>
      </w:r>
      <w:r w:rsidR="003F1EAD" w:rsidRPr="003347D4">
        <w:rPr>
          <w:rFonts w:ascii="Arial" w:hAnsi="Arial" w:cs="Arial"/>
          <w:sz w:val="24"/>
          <w:szCs w:val="24"/>
          <w:lang w:val="en-US"/>
        </w:rPr>
        <w:t xml:space="preserve"> of evidence rather than </w:t>
      </w:r>
      <w:r w:rsidR="0037239D">
        <w:rPr>
          <w:rFonts w:ascii="Arial" w:hAnsi="Arial" w:cs="Arial"/>
          <w:sz w:val="24"/>
          <w:szCs w:val="24"/>
          <w:lang w:val="en-US"/>
        </w:rPr>
        <w:t>compliance with any required legal formality.</w:t>
      </w:r>
      <w:r w:rsidR="003F1EAD" w:rsidRPr="003347D4">
        <w:rPr>
          <w:rFonts w:ascii="Arial" w:hAnsi="Arial" w:cs="Arial"/>
          <w:sz w:val="24"/>
          <w:szCs w:val="24"/>
          <w:lang w:val="en-US"/>
        </w:rPr>
        <w:t xml:space="preserve">  </w:t>
      </w:r>
    </w:p>
    <w:p w14:paraId="3DB8291A" w14:textId="6CA7FAD0" w:rsidR="00F90C91" w:rsidRDefault="00EA21BA"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w:t>
      </w:r>
      <w:r w:rsidR="003A3BB9">
        <w:rPr>
          <w:rFonts w:ascii="Arial" w:hAnsi="Arial" w:cs="Arial"/>
          <w:sz w:val="24"/>
          <w:szCs w:val="24"/>
          <w:lang w:val="en-US"/>
        </w:rPr>
        <w:t>5</w:t>
      </w:r>
      <w:r>
        <w:rPr>
          <w:rFonts w:ascii="Arial" w:hAnsi="Arial" w:cs="Arial"/>
          <w:sz w:val="24"/>
          <w:szCs w:val="24"/>
          <w:lang w:val="en-US"/>
        </w:rPr>
        <w:t>1</w:t>
      </w:r>
      <w:r w:rsidR="003A3BB9">
        <w:rPr>
          <w:rFonts w:ascii="Arial" w:hAnsi="Arial" w:cs="Arial"/>
          <w:sz w:val="24"/>
          <w:szCs w:val="24"/>
          <w:lang w:val="en-US"/>
        </w:rPr>
        <w:t>]</w:t>
      </w:r>
      <w:r w:rsidR="003A3BB9">
        <w:rPr>
          <w:rFonts w:ascii="Arial" w:hAnsi="Arial" w:cs="Arial"/>
          <w:sz w:val="24"/>
          <w:szCs w:val="24"/>
          <w:lang w:val="en-US"/>
        </w:rPr>
        <w:tab/>
      </w:r>
      <w:r w:rsidR="0021711E" w:rsidRPr="003347D4">
        <w:rPr>
          <w:rFonts w:ascii="Arial" w:hAnsi="Arial" w:cs="Arial"/>
          <w:sz w:val="24"/>
          <w:szCs w:val="24"/>
          <w:lang w:val="en-US"/>
        </w:rPr>
        <w:t xml:space="preserve">Mr Blou emphasized that this court does not sit </w:t>
      </w:r>
      <w:r w:rsidR="00143098">
        <w:rPr>
          <w:rFonts w:ascii="Arial" w:hAnsi="Arial" w:cs="Arial"/>
          <w:sz w:val="24"/>
          <w:szCs w:val="24"/>
          <w:lang w:val="en-US"/>
        </w:rPr>
        <w:t xml:space="preserve">in </w:t>
      </w:r>
      <w:r w:rsidR="0021711E" w:rsidRPr="003347D4">
        <w:rPr>
          <w:rFonts w:ascii="Arial" w:hAnsi="Arial" w:cs="Arial"/>
          <w:sz w:val="24"/>
          <w:szCs w:val="24"/>
          <w:lang w:val="en-US"/>
        </w:rPr>
        <w:t xml:space="preserve">an appeal in relation to the approval of the claim, that the onus was on the </w:t>
      </w:r>
      <w:r w:rsidR="0021711E">
        <w:rPr>
          <w:rFonts w:ascii="Arial" w:hAnsi="Arial" w:cs="Arial"/>
          <w:sz w:val="24"/>
          <w:szCs w:val="24"/>
          <w:lang w:val="en-US"/>
        </w:rPr>
        <w:t>a</w:t>
      </w:r>
      <w:r w:rsidR="0021711E" w:rsidRPr="003347D4">
        <w:rPr>
          <w:rFonts w:ascii="Arial" w:hAnsi="Arial" w:cs="Arial"/>
          <w:sz w:val="24"/>
          <w:szCs w:val="24"/>
          <w:lang w:val="en-US"/>
        </w:rPr>
        <w:t xml:space="preserve">pplicant to demonstrate that exceptional circumstances existed to warrant setting aside </w:t>
      </w:r>
      <w:r w:rsidR="0021711E">
        <w:rPr>
          <w:rFonts w:ascii="Arial" w:hAnsi="Arial" w:cs="Arial"/>
          <w:sz w:val="24"/>
          <w:szCs w:val="24"/>
          <w:lang w:val="en-US"/>
        </w:rPr>
        <w:t xml:space="preserve">the winding-up order under </w:t>
      </w:r>
      <w:r w:rsidR="0021711E" w:rsidRPr="003347D4">
        <w:rPr>
          <w:rFonts w:ascii="Arial" w:hAnsi="Arial" w:cs="Arial"/>
          <w:sz w:val="24"/>
          <w:szCs w:val="24"/>
          <w:lang w:val="en-US"/>
        </w:rPr>
        <w:t>the provisions of section 354</w:t>
      </w:r>
      <w:r w:rsidR="00F90C91">
        <w:rPr>
          <w:rFonts w:ascii="Arial" w:hAnsi="Arial" w:cs="Arial"/>
          <w:sz w:val="24"/>
          <w:szCs w:val="24"/>
          <w:lang w:val="en-US"/>
        </w:rPr>
        <w:t xml:space="preserve">, and that the section </w:t>
      </w:r>
      <w:r w:rsidR="0021711E" w:rsidRPr="003347D4">
        <w:rPr>
          <w:rFonts w:ascii="Arial" w:hAnsi="Arial" w:cs="Arial"/>
          <w:sz w:val="24"/>
          <w:szCs w:val="24"/>
          <w:lang w:val="en-US"/>
        </w:rPr>
        <w:t>placed emphasis on other relevant considerations including the interest</w:t>
      </w:r>
      <w:r w:rsidR="00F90C91">
        <w:rPr>
          <w:rFonts w:ascii="Arial" w:hAnsi="Arial" w:cs="Arial"/>
          <w:sz w:val="24"/>
          <w:szCs w:val="24"/>
          <w:lang w:val="en-US"/>
        </w:rPr>
        <w:t>s</w:t>
      </w:r>
      <w:r w:rsidR="0021711E" w:rsidRPr="003347D4">
        <w:rPr>
          <w:rFonts w:ascii="Arial" w:hAnsi="Arial" w:cs="Arial"/>
          <w:sz w:val="24"/>
          <w:szCs w:val="24"/>
          <w:lang w:val="en-US"/>
        </w:rPr>
        <w:t xml:space="preserve"> of justice</w:t>
      </w:r>
      <w:r w:rsidR="00F90C91">
        <w:rPr>
          <w:rFonts w:ascii="Arial" w:hAnsi="Arial" w:cs="Arial"/>
          <w:sz w:val="24"/>
          <w:szCs w:val="24"/>
          <w:lang w:val="en-US"/>
        </w:rPr>
        <w:t xml:space="preserve"> and</w:t>
      </w:r>
      <w:r w:rsidR="0021711E" w:rsidRPr="003347D4">
        <w:rPr>
          <w:rFonts w:ascii="Arial" w:hAnsi="Arial" w:cs="Arial"/>
          <w:sz w:val="24"/>
          <w:szCs w:val="24"/>
          <w:lang w:val="en-US"/>
        </w:rPr>
        <w:t xml:space="preserve"> the public interest that must </w:t>
      </w:r>
      <w:r w:rsidR="00F90C91">
        <w:rPr>
          <w:rFonts w:ascii="Arial" w:hAnsi="Arial" w:cs="Arial"/>
          <w:sz w:val="24"/>
          <w:szCs w:val="24"/>
          <w:lang w:val="en-US"/>
        </w:rPr>
        <w:t xml:space="preserve">justify </w:t>
      </w:r>
      <w:r w:rsidR="0021711E" w:rsidRPr="003347D4">
        <w:rPr>
          <w:rFonts w:ascii="Arial" w:hAnsi="Arial" w:cs="Arial"/>
          <w:sz w:val="24"/>
          <w:szCs w:val="24"/>
          <w:lang w:val="en-US"/>
        </w:rPr>
        <w:t xml:space="preserve">the conclusion that the company should be released from </w:t>
      </w:r>
      <w:r w:rsidR="00D5543B">
        <w:rPr>
          <w:rFonts w:ascii="Arial" w:hAnsi="Arial" w:cs="Arial"/>
          <w:sz w:val="24"/>
          <w:szCs w:val="24"/>
          <w:lang w:val="en-US"/>
        </w:rPr>
        <w:t xml:space="preserve">compulsory </w:t>
      </w:r>
      <w:r w:rsidR="0021711E" w:rsidRPr="003347D4">
        <w:rPr>
          <w:rFonts w:ascii="Arial" w:hAnsi="Arial" w:cs="Arial"/>
          <w:sz w:val="24"/>
          <w:szCs w:val="24"/>
          <w:lang w:val="en-US"/>
        </w:rPr>
        <w:t xml:space="preserve">winding-up.  </w:t>
      </w:r>
    </w:p>
    <w:p w14:paraId="53BD065C" w14:textId="2A36B3DB" w:rsidR="0037239D" w:rsidRDefault="003A3BB9"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[5</w:t>
      </w:r>
      <w:r w:rsidR="00EA21BA">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755F02">
        <w:rPr>
          <w:rFonts w:ascii="Arial" w:hAnsi="Arial" w:cs="Arial"/>
          <w:sz w:val="24"/>
          <w:szCs w:val="24"/>
          <w:lang w:val="en-US"/>
        </w:rPr>
        <w:t xml:space="preserve">He submitted that </w:t>
      </w:r>
      <w:r w:rsidR="00D67B0D">
        <w:rPr>
          <w:rFonts w:ascii="Arial" w:hAnsi="Arial" w:cs="Arial"/>
          <w:sz w:val="24"/>
          <w:szCs w:val="24"/>
          <w:lang w:val="en-US"/>
        </w:rPr>
        <w:t xml:space="preserve">there were no grounds </w:t>
      </w:r>
      <w:r w:rsidR="00223EDB">
        <w:rPr>
          <w:rFonts w:ascii="Arial" w:hAnsi="Arial" w:cs="Arial"/>
          <w:sz w:val="24"/>
          <w:szCs w:val="24"/>
          <w:lang w:val="en-US"/>
        </w:rPr>
        <w:t xml:space="preserve">on which </w:t>
      </w:r>
      <w:r w:rsidR="00D67B0D">
        <w:rPr>
          <w:rFonts w:ascii="Arial" w:hAnsi="Arial" w:cs="Arial"/>
          <w:sz w:val="24"/>
          <w:szCs w:val="24"/>
          <w:lang w:val="en-US"/>
        </w:rPr>
        <w:t>to find that the first respondent’s claim against the insolvent estate was bad</w:t>
      </w:r>
      <w:r w:rsidR="0037239D">
        <w:rPr>
          <w:rFonts w:ascii="Arial" w:hAnsi="Arial" w:cs="Arial"/>
          <w:sz w:val="24"/>
          <w:szCs w:val="24"/>
          <w:lang w:val="en-US"/>
        </w:rPr>
        <w:t xml:space="preserve"> or that it had prescribed</w:t>
      </w:r>
      <w:r w:rsidR="00D67B0D">
        <w:rPr>
          <w:rFonts w:ascii="Arial" w:hAnsi="Arial" w:cs="Arial"/>
          <w:sz w:val="24"/>
          <w:szCs w:val="24"/>
          <w:lang w:val="en-US"/>
        </w:rPr>
        <w:t xml:space="preserve">, but that </w:t>
      </w:r>
      <w:r w:rsidR="00755F02">
        <w:rPr>
          <w:rFonts w:ascii="Arial" w:hAnsi="Arial" w:cs="Arial"/>
          <w:sz w:val="24"/>
          <w:szCs w:val="24"/>
          <w:lang w:val="en-US"/>
        </w:rPr>
        <w:t xml:space="preserve">even if </w:t>
      </w:r>
      <w:r w:rsidR="0037239D">
        <w:rPr>
          <w:rFonts w:ascii="Arial" w:hAnsi="Arial" w:cs="Arial"/>
          <w:sz w:val="24"/>
          <w:szCs w:val="24"/>
          <w:lang w:val="en-US"/>
        </w:rPr>
        <w:t>there were</w:t>
      </w:r>
      <w:r w:rsidR="009E3CEC">
        <w:rPr>
          <w:rFonts w:ascii="Arial" w:hAnsi="Arial" w:cs="Arial"/>
          <w:sz w:val="24"/>
          <w:szCs w:val="24"/>
          <w:lang w:val="en-US"/>
        </w:rPr>
        <w:t xml:space="preserve">, </w:t>
      </w:r>
      <w:r w:rsidR="009D51D6" w:rsidRPr="003347D4">
        <w:rPr>
          <w:rFonts w:ascii="Arial" w:hAnsi="Arial" w:cs="Arial"/>
          <w:sz w:val="24"/>
          <w:szCs w:val="24"/>
          <w:lang w:val="en-US"/>
        </w:rPr>
        <w:t xml:space="preserve">the </w:t>
      </w:r>
      <w:r w:rsidR="009E3CEC">
        <w:rPr>
          <w:rFonts w:ascii="Arial" w:hAnsi="Arial" w:cs="Arial"/>
          <w:sz w:val="24"/>
          <w:szCs w:val="24"/>
          <w:lang w:val="en-US"/>
        </w:rPr>
        <w:t>f</w:t>
      </w:r>
      <w:r w:rsidR="009D51D6" w:rsidRPr="003347D4">
        <w:rPr>
          <w:rFonts w:ascii="Arial" w:hAnsi="Arial" w:cs="Arial"/>
          <w:sz w:val="24"/>
          <w:szCs w:val="24"/>
          <w:lang w:val="en-US"/>
        </w:rPr>
        <w:t xml:space="preserve">irst </w:t>
      </w:r>
      <w:r w:rsidR="009E3CEC">
        <w:rPr>
          <w:rFonts w:ascii="Arial" w:hAnsi="Arial" w:cs="Arial"/>
          <w:sz w:val="24"/>
          <w:szCs w:val="24"/>
          <w:lang w:val="en-US"/>
        </w:rPr>
        <w:t>r</w:t>
      </w:r>
      <w:r w:rsidR="009D51D6" w:rsidRPr="003347D4">
        <w:rPr>
          <w:rFonts w:ascii="Arial" w:hAnsi="Arial" w:cs="Arial"/>
          <w:sz w:val="24"/>
          <w:szCs w:val="24"/>
          <w:lang w:val="en-US"/>
        </w:rPr>
        <w:t>espondent ha</w:t>
      </w:r>
      <w:r w:rsidR="009E3CEC">
        <w:rPr>
          <w:rFonts w:ascii="Arial" w:hAnsi="Arial" w:cs="Arial"/>
          <w:sz w:val="24"/>
          <w:szCs w:val="24"/>
          <w:lang w:val="en-US"/>
        </w:rPr>
        <w:t>d</w:t>
      </w:r>
      <w:r w:rsidR="009D51D6" w:rsidRPr="003347D4">
        <w:rPr>
          <w:rFonts w:ascii="Arial" w:hAnsi="Arial" w:cs="Arial"/>
          <w:sz w:val="24"/>
          <w:szCs w:val="24"/>
          <w:lang w:val="en-US"/>
        </w:rPr>
        <w:t xml:space="preserve"> clearly </w:t>
      </w:r>
      <w:r w:rsidR="009E3CEC">
        <w:rPr>
          <w:rFonts w:ascii="Arial" w:hAnsi="Arial" w:cs="Arial"/>
          <w:sz w:val="24"/>
          <w:szCs w:val="24"/>
          <w:lang w:val="en-US"/>
        </w:rPr>
        <w:t xml:space="preserve">established </w:t>
      </w:r>
      <w:r w:rsidR="009D51D6" w:rsidRPr="003347D4">
        <w:rPr>
          <w:rFonts w:ascii="Arial" w:hAnsi="Arial" w:cs="Arial"/>
          <w:sz w:val="24"/>
          <w:szCs w:val="24"/>
          <w:lang w:val="en-US"/>
        </w:rPr>
        <w:t>that it would not be in the public interest for the winding-up order to be set aside</w:t>
      </w:r>
      <w:r w:rsidR="009E3CEC">
        <w:rPr>
          <w:rFonts w:ascii="Arial" w:hAnsi="Arial" w:cs="Arial"/>
          <w:sz w:val="24"/>
          <w:szCs w:val="24"/>
          <w:lang w:val="en-US"/>
        </w:rPr>
        <w:t xml:space="preserve">.  It was </w:t>
      </w:r>
      <w:r w:rsidR="009D51D6" w:rsidRPr="003347D4">
        <w:rPr>
          <w:rFonts w:ascii="Arial" w:hAnsi="Arial" w:cs="Arial"/>
          <w:sz w:val="24"/>
          <w:szCs w:val="24"/>
          <w:lang w:val="en-US"/>
        </w:rPr>
        <w:t>clearly established on the papers</w:t>
      </w:r>
      <w:r w:rsidR="009E3CEC">
        <w:rPr>
          <w:rFonts w:ascii="Arial" w:hAnsi="Arial" w:cs="Arial"/>
          <w:sz w:val="24"/>
          <w:szCs w:val="24"/>
          <w:lang w:val="en-US"/>
        </w:rPr>
        <w:t xml:space="preserve">, he submitted, that </w:t>
      </w:r>
      <w:r w:rsidR="009D51D6" w:rsidRPr="003347D4">
        <w:rPr>
          <w:rFonts w:ascii="Arial" w:hAnsi="Arial" w:cs="Arial"/>
          <w:sz w:val="24"/>
          <w:szCs w:val="24"/>
          <w:lang w:val="en-US"/>
        </w:rPr>
        <w:t>the trading operations of Silver Touch had not been “</w:t>
      </w:r>
      <w:r w:rsidR="009D51D6" w:rsidRPr="009E3CEC">
        <w:rPr>
          <w:rFonts w:ascii="Arial" w:hAnsi="Arial" w:cs="Arial"/>
          <w:i/>
          <w:iCs/>
          <w:sz w:val="24"/>
          <w:szCs w:val="24"/>
          <w:lang w:val="en-US"/>
        </w:rPr>
        <w:t>fair and above board</w:t>
      </w:r>
      <w:r w:rsidR="009D51D6" w:rsidRPr="003347D4">
        <w:rPr>
          <w:rFonts w:ascii="Arial" w:hAnsi="Arial" w:cs="Arial"/>
          <w:sz w:val="24"/>
          <w:szCs w:val="24"/>
          <w:lang w:val="en-US"/>
        </w:rPr>
        <w:t xml:space="preserve">” in the sense contemplated in </w:t>
      </w:r>
      <w:r w:rsidR="00223EDB">
        <w:rPr>
          <w:rFonts w:ascii="Arial" w:hAnsi="Arial" w:cs="Arial"/>
          <w:sz w:val="24"/>
          <w:szCs w:val="24"/>
          <w:lang w:val="en-US"/>
        </w:rPr>
        <w:t>R</w:t>
      </w:r>
      <w:r w:rsidR="009D51D6" w:rsidRPr="003347D4">
        <w:rPr>
          <w:rFonts w:ascii="Arial" w:hAnsi="Arial" w:cs="Arial"/>
          <w:i/>
          <w:iCs/>
          <w:sz w:val="24"/>
          <w:szCs w:val="24"/>
          <w:lang w:val="en-US"/>
        </w:rPr>
        <w:t>e Telescriptor Sydicate Ltd</w:t>
      </w:r>
      <w:r w:rsidR="00223EDB">
        <w:rPr>
          <w:rFonts w:ascii="Arial" w:hAnsi="Arial" w:cs="Arial"/>
          <w:i/>
          <w:iCs/>
          <w:sz w:val="24"/>
          <w:szCs w:val="24"/>
          <w:lang w:val="en-US"/>
        </w:rPr>
        <w:t>,</w:t>
      </w:r>
      <w:r w:rsidR="009D51D6" w:rsidRPr="003347D4">
        <w:rPr>
          <w:rFonts w:ascii="Arial" w:hAnsi="Arial" w:cs="Arial"/>
          <w:sz w:val="24"/>
          <w:szCs w:val="24"/>
          <w:lang w:val="en-US"/>
        </w:rPr>
        <w:t xml:space="preserve"> </w:t>
      </w:r>
      <w:r w:rsidR="00C156AD">
        <w:rPr>
          <w:rFonts w:ascii="Arial" w:hAnsi="Arial" w:cs="Arial"/>
          <w:sz w:val="24"/>
          <w:szCs w:val="24"/>
          <w:lang w:val="en-US"/>
        </w:rPr>
        <w:t xml:space="preserve">approved </w:t>
      </w:r>
      <w:r w:rsidR="009D51D6" w:rsidRPr="003347D4">
        <w:rPr>
          <w:rFonts w:ascii="Arial" w:hAnsi="Arial" w:cs="Arial"/>
          <w:sz w:val="24"/>
          <w:szCs w:val="24"/>
          <w:lang w:val="en-US"/>
        </w:rPr>
        <w:t xml:space="preserve">in </w:t>
      </w:r>
      <w:r w:rsidR="009D51D6" w:rsidRPr="003347D4">
        <w:rPr>
          <w:rFonts w:ascii="Arial" w:hAnsi="Arial" w:cs="Arial"/>
          <w:i/>
          <w:iCs/>
          <w:sz w:val="24"/>
          <w:szCs w:val="24"/>
          <w:lang w:val="en-US"/>
        </w:rPr>
        <w:t>Klass</w:t>
      </w:r>
      <w:r w:rsidR="009D51D6" w:rsidRPr="003347D4">
        <w:rPr>
          <w:rFonts w:ascii="Arial" w:hAnsi="Arial" w:cs="Arial"/>
          <w:sz w:val="24"/>
          <w:szCs w:val="24"/>
          <w:lang w:val="en-US"/>
        </w:rPr>
        <w:t>.</w:t>
      </w:r>
    </w:p>
    <w:p w14:paraId="15A9E066" w14:textId="5F37ECB4" w:rsidR="0037239D" w:rsidRPr="003347D4" w:rsidRDefault="00C156AD"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[5</w:t>
      </w:r>
      <w:r w:rsidR="00EA21BA">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37239D" w:rsidRPr="003347D4">
        <w:rPr>
          <w:rFonts w:ascii="Arial" w:hAnsi="Arial" w:cs="Arial"/>
          <w:sz w:val="24"/>
          <w:szCs w:val="24"/>
          <w:lang w:val="en-US"/>
        </w:rPr>
        <w:t>Ultimately</w:t>
      </w:r>
      <w:r w:rsidR="0037239D">
        <w:rPr>
          <w:rFonts w:ascii="Arial" w:hAnsi="Arial" w:cs="Arial"/>
          <w:sz w:val="24"/>
          <w:szCs w:val="24"/>
          <w:lang w:val="en-US"/>
        </w:rPr>
        <w:t>,</w:t>
      </w:r>
      <w:r w:rsidR="0037239D" w:rsidRPr="003347D4">
        <w:rPr>
          <w:rFonts w:ascii="Arial" w:hAnsi="Arial" w:cs="Arial"/>
          <w:sz w:val="24"/>
          <w:szCs w:val="24"/>
          <w:lang w:val="en-US"/>
        </w:rPr>
        <w:t xml:space="preserve"> Mr Blou submitted</w:t>
      </w:r>
      <w:r w:rsidR="0037239D">
        <w:rPr>
          <w:rFonts w:ascii="Arial" w:hAnsi="Arial" w:cs="Arial"/>
          <w:sz w:val="24"/>
          <w:szCs w:val="24"/>
          <w:lang w:val="en-US"/>
        </w:rPr>
        <w:t>,</w:t>
      </w:r>
      <w:r w:rsidR="0037239D" w:rsidRPr="003347D4">
        <w:rPr>
          <w:rFonts w:ascii="Arial" w:hAnsi="Arial" w:cs="Arial"/>
          <w:sz w:val="24"/>
          <w:szCs w:val="24"/>
          <w:lang w:val="en-US"/>
        </w:rPr>
        <w:t xml:space="preserve"> even if this court considered that the claim relied upon by the </w:t>
      </w:r>
      <w:r w:rsidR="0021711E">
        <w:rPr>
          <w:rFonts w:ascii="Arial" w:hAnsi="Arial" w:cs="Arial"/>
          <w:sz w:val="24"/>
          <w:szCs w:val="24"/>
          <w:lang w:val="en-US"/>
        </w:rPr>
        <w:t>f</w:t>
      </w:r>
      <w:r w:rsidR="0037239D" w:rsidRPr="003347D4">
        <w:rPr>
          <w:rFonts w:ascii="Arial" w:hAnsi="Arial" w:cs="Arial"/>
          <w:sz w:val="24"/>
          <w:szCs w:val="24"/>
          <w:lang w:val="en-US"/>
        </w:rPr>
        <w:t xml:space="preserve">irst </w:t>
      </w:r>
      <w:r w:rsidR="0021711E">
        <w:rPr>
          <w:rFonts w:ascii="Arial" w:hAnsi="Arial" w:cs="Arial"/>
          <w:sz w:val="24"/>
          <w:szCs w:val="24"/>
          <w:lang w:val="en-US"/>
        </w:rPr>
        <w:t>r</w:t>
      </w:r>
      <w:r w:rsidR="0037239D" w:rsidRPr="003347D4">
        <w:rPr>
          <w:rFonts w:ascii="Arial" w:hAnsi="Arial" w:cs="Arial"/>
          <w:sz w:val="24"/>
          <w:szCs w:val="24"/>
          <w:lang w:val="en-US"/>
        </w:rPr>
        <w:t>espondent was flawed</w:t>
      </w:r>
      <w:r w:rsidR="0021711E">
        <w:rPr>
          <w:rFonts w:ascii="Arial" w:hAnsi="Arial" w:cs="Arial"/>
          <w:sz w:val="24"/>
          <w:szCs w:val="24"/>
          <w:lang w:val="en-US"/>
        </w:rPr>
        <w:t xml:space="preserve"> in one or other respect</w:t>
      </w:r>
      <w:r w:rsidR="0037239D" w:rsidRPr="003347D4">
        <w:rPr>
          <w:rFonts w:ascii="Arial" w:hAnsi="Arial" w:cs="Arial"/>
          <w:sz w:val="24"/>
          <w:szCs w:val="24"/>
          <w:lang w:val="en-US"/>
        </w:rPr>
        <w:t xml:space="preserve">, the public interest requirement was not satisfied and it would not be in the public interest to set aside the winding-up order.  </w:t>
      </w:r>
    </w:p>
    <w:p w14:paraId="0ACB7E95" w14:textId="207516ED" w:rsidR="00C54C2C" w:rsidRPr="003347D4" w:rsidRDefault="00C156AD"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[5</w:t>
      </w:r>
      <w:r w:rsidR="001A501A">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9D51D6" w:rsidRPr="003347D4">
        <w:rPr>
          <w:rFonts w:ascii="Arial" w:hAnsi="Arial" w:cs="Arial"/>
          <w:sz w:val="24"/>
          <w:szCs w:val="24"/>
          <w:lang w:val="en-US"/>
        </w:rPr>
        <w:t xml:space="preserve">In reply Mr </w:t>
      </w:r>
      <w:r w:rsidR="007E5E0E">
        <w:rPr>
          <w:rFonts w:ascii="Arial" w:hAnsi="Arial" w:cs="Arial"/>
          <w:sz w:val="24"/>
          <w:szCs w:val="24"/>
          <w:lang w:val="en-US"/>
        </w:rPr>
        <w:t>Cook</w:t>
      </w:r>
      <w:r w:rsidR="009D51D6" w:rsidRPr="003347D4">
        <w:rPr>
          <w:rFonts w:ascii="Arial" w:hAnsi="Arial" w:cs="Arial"/>
          <w:sz w:val="24"/>
          <w:szCs w:val="24"/>
          <w:lang w:val="en-US"/>
        </w:rPr>
        <w:t xml:space="preserve"> accepted that the </w:t>
      </w:r>
      <w:r w:rsidR="003D7095">
        <w:rPr>
          <w:rFonts w:ascii="Arial" w:hAnsi="Arial" w:cs="Arial"/>
          <w:sz w:val="24"/>
          <w:szCs w:val="24"/>
          <w:lang w:val="en-US"/>
        </w:rPr>
        <w:t>a</w:t>
      </w:r>
      <w:r w:rsidR="009D51D6" w:rsidRPr="003347D4">
        <w:rPr>
          <w:rFonts w:ascii="Arial" w:hAnsi="Arial" w:cs="Arial"/>
          <w:sz w:val="24"/>
          <w:szCs w:val="24"/>
          <w:lang w:val="en-US"/>
        </w:rPr>
        <w:t xml:space="preserve">pplicant and </w:t>
      </w:r>
      <w:r w:rsidR="003D7095">
        <w:rPr>
          <w:rFonts w:ascii="Arial" w:hAnsi="Arial" w:cs="Arial"/>
          <w:sz w:val="24"/>
          <w:szCs w:val="24"/>
          <w:lang w:val="en-US"/>
        </w:rPr>
        <w:t>f</w:t>
      </w:r>
      <w:r w:rsidR="009D51D6" w:rsidRPr="003347D4">
        <w:rPr>
          <w:rFonts w:ascii="Arial" w:hAnsi="Arial" w:cs="Arial"/>
          <w:sz w:val="24"/>
          <w:szCs w:val="24"/>
          <w:lang w:val="en-US"/>
        </w:rPr>
        <w:t xml:space="preserve">ourth </w:t>
      </w:r>
      <w:r w:rsidR="003D7095">
        <w:rPr>
          <w:rFonts w:ascii="Arial" w:hAnsi="Arial" w:cs="Arial"/>
          <w:sz w:val="24"/>
          <w:szCs w:val="24"/>
          <w:lang w:val="en-US"/>
        </w:rPr>
        <w:t>r</w:t>
      </w:r>
      <w:r w:rsidR="009D51D6" w:rsidRPr="003347D4">
        <w:rPr>
          <w:rFonts w:ascii="Arial" w:hAnsi="Arial" w:cs="Arial"/>
          <w:sz w:val="24"/>
          <w:szCs w:val="24"/>
          <w:lang w:val="en-US"/>
        </w:rPr>
        <w:t xml:space="preserve">espondent would </w:t>
      </w:r>
      <w:r w:rsidR="003D7095">
        <w:rPr>
          <w:rFonts w:ascii="Arial" w:hAnsi="Arial" w:cs="Arial"/>
          <w:sz w:val="24"/>
          <w:szCs w:val="24"/>
          <w:lang w:val="en-US"/>
        </w:rPr>
        <w:t xml:space="preserve">readily have </w:t>
      </w:r>
      <w:r w:rsidR="009D51D6" w:rsidRPr="003347D4">
        <w:rPr>
          <w:rFonts w:ascii="Arial" w:hAnsi="Arial" w:cs="Arial"/>
          <w:sz w:val="24"/>
          <w:szCs w:val="24"/>
          <w:lang w:val="en-US"/>
        </w:rPr>
        <w:t>agreed to the terms reflected in the fabricated or manipulated document</w:t>
      </w:r>
      <w:r w:rsidR="003D7095">
        <w:rPr>
          <w:rFonts w:ascii="Arial" w:hAnsi="Arial" w:cs="Arial"/>
          <w:sz w:val="24"/>
          <w:szCs w:val="24"/>
          <w:lang w:val="en-US"/>
        </w:rPr>
        <w:t xml:space="preserve">, </w:t>
      </w:r>
      <w:r w:rsidR="009D51D6" w:rsidRPr="003347D4">
        <w:rPr>
          <w:rFonts w:ascii="Arial" w:hAnsi="Arial" w:cs="Arial"/>
          <w:sz w:val="24"/>
          <w:szCs w:val="24"/>
          <w:lang w:val="en-US"/>
        </w:rPr>
        <w:t xml:space="preserve">but </w:t>
      </w:r>
      <w:r w:rsidR="003D7095">
        <w:rPr>
          <w:rFonts w:ascii="Arial" w:hAnsi="Arial" w:cs="Arial"/>
          <w:sz w:val="24"/>
          <w:szCs w:val="24"/>
          <w:lang w:val="en-US"/>
        </w:rPr>
        <w:t xml:space="preserve">he </w:t>
      </w:r>
      <w:r w:rsidR="009D51D6" w:rsidRPr="003347D4">
        <w:rPr>
          <w:rFonts w:ascii="Arial" w:hAnsi="Arial" w:cs="Arial"/>
          <w:sz w:val="24"/>
          <w:szCs w:val="24"/>
          <w:lang w:val="en-US"/>
        </w:rPr>
        <w:t xml:space="preserve">submitted that this did not render the terms of the document </w:t>
      </w:r>
      <w:r w:rsidR="003D7095">
        <w:rPr>
          <w:rFonts w:ascii="Arial" w:hAnsi="Arial" w:cs="Arial"/>
          <w:sz w:val="24"/>
          <w:szCs w:val="24"/>
          <w:lang w:val="en-US"/>
        </w:rPr>
        <w:t xml:space="preserve">effective, or </w:t>
      </w:r>
      <w:r w:rsidR="009D51D6" w:rsidRPr="003347D4">
        <w:rPr>
          <w:rFonts w:ascii="Arial" w:hAnsi="Arial" w:cs="Arial"/>
          <w:sz w:val="24"/>
          <w:szCs w:val="24"/>
          <w:lang w:val="en-US"/>
        </w:rPr>
        <w:t xml:space="preserve">relieve the </w:t>
      </w:r>
      <w:r w:rsidR="003D7095">
        <w:rPr>
          <w:rFonts w:ascii="Arial" w:hAnsi="Arial" w:cs="Arial"/>
          <w:sz w:val="24"/>
          <w:szCs w:val="24"/>
          <w:lang w:val="en-US"/>
        </w:rPr>
        <w:t>f</w:t>
      </w:r>
      <w:r w:rsidR="009D51D6" w:rsidRPr="003347D4">
        <w:rPr>
          <w:rFonts w:ascii="Arial" w:hAnsi="Arial" w:cs="Arial"/>
          <w:sz w:val="24"/>
          <w:szCs w:val="24"/>
          <w:lang w:val="en-US"/>
        </w:rPr>
        <w:t xml:space="preserve">irst </w:t>
      </w:r>
      <w:r w:rsidR="003D7095">
        <w:rPr>
          <w:rFonts w:ascii="Arial" w:hAnsi="Arial" w:cs="Arial"/>
          <w:sz w:val="24"/>
          <w:szCs w:val="24"/>
          <w:lang w:val="en-US"/>
        </w:rPr>
        <w:t>r</w:t>
      </w:r>
      <w:r w:rsidR="009D51D6" w:rsidRPr="003347D4">
        <w:rPr>
          <w:rFonts w:ascii="Arial" w:hAnsi="Arial" w:cs="Arial"/>
          <w:sz w:val="24"/>
          <w:szCs w:val="24"/>
          <w:lang w:val="en-US"/>
        </w:rPr>
        <w:t xml:space="preserve">espondent of the consequences of the </w:t>
      </w:r>
      <w:r w:rsidR="003D7095">
        <w:rPr>
          <w:rFonts w:ascii="Arial" w:hAnsi="Arial" w:cs="Arial"/>
          <w:sz w:val="24"/>
          <w:szCs w:val="24"/>
          <w:lang w:val="en-US"/>
        </w:rPr>
        <w:t xml:space="preserve">fact that it had been fraudulently </w:t>
      </w:r>
      <w:r w:rsidR="009D51D6" w:rsidRPr="003347D4">
        <w:rPr>
          <w:rFonts w:ascii="Arial" w:hAnsi="Arial" w:cs="Arial"/>
          <w:sz w:val="24"/>
          <w:szCs w:val="24"/>
          <w:lang w:val="en-US"/>
        </w:rPr>
        <w:t>manipulat</w:t>
      </w:r>
      <w:r w:rsidR="003D7095">
        <w:rPr>
          <w:rFonts w:ascii="Arial" w:hAnsi="Arial" w:cs="Arial"/>
          <w:sz w:val="24"/>
          <w:szCs w:val="24"/>
          <w:lang w:val="en-US"/>
        </w:rPr>
        <w:t>ed</w:t>
      </w:r>
      <w:r w:rsidR="009D51D6" w:rsidRPr="003347D4">
        <w:rPr>
          <w:rFonts w:ascii="Arial" w:hAnsi="Arial" w:cs="Arial"/>
          <w:sz w:val="24"/>
          <w:szCs w:val="24"/>
          <w:lang w:val="en-US"/>
        </w:rPr>
        <w:t xml:space="preserve">.  </w:t>
      </w:r>
    </w:p>
    <w:p w14:paraId="358EFDDB" w14:textId="55A7AACE" w:rsidR="009D51D6" w:rsidRPr="003347D4" w:rsidRDefault="00C156AD"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[5</w:t>
      </w:r>
      <w:r w:rsidR="001A501A">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9D51D6" w:rsidRPr="003347D4">
        <w:rPr>
          <w:rFonts w:ascii="Arial" w:hAnsi="Arial" w:cs="Arial"/>
          <w:sz w:val="24"/>
          <w:szCs w:val="24"/>
          <w:lang w:val="en-US"/>
        </w:rPr>
        <w:t xml:space="preserve">Mr </w:t>
      </w:r>
      <w:r w:rsidR="007E5E0E">
        <w:rPr>
          <w:rFonts w:ascii="Arial" w:hAnsi="Arial" w:cs="Arial"/>
          <w:sz w:val="24"/>
          <w:szCs w:val="24"/>
          <w:lang w:val="en-US"/>
        </w:rPr>
        <w:t>Cook</w:t>
      </w:r>
      <w:r w:rsidR="009D51D6" w:rsidRPr="003347D4">
        <w:rPr>
          <w:rFonts w:ascii="Arial" w:hAnsi="Arial" w:cs="Arial"/>
          <w:sz w:val="24"/>
          <w:szCs w:val="24"/>
          <w:lang w:val="en-US"/>
        </w:rPr>
        <w:t xml:space="preserve"> submitted that this court should find that the loan was not in fact repayable to </w:t>
      </w:r>
      <w:r w:rsidR="00AF595C" w:rsidRPr="003347D4">
        <w:rPr>
          <w:rFonts w:ascii="Arial" w:hAnsi="Arial" w:cs="Arial"/>
          <w:sz w:val="24"/>
          <w:szCs w:val="24"/>
          <w:lang w:val="en-US"/>
        </w:rPr>
        <w:t>EOH MS</w:t>
      </w:r>
      <w:r w:rsidR="009D51D6" w:rsidRPr="003347D4">
        <w:rPr>
          <w:rFonts w:ascii="Arial" w:hAnsi="Arial" w:cs="Arial"/>
          <w:sz w:val="24"/>
          <w:szCs w:val="24"/>
          <w:lang w:val="en-US"/>
        </w:rPr>
        <w:t xml:space="preserve"> and that on the terms of the extension agreement I should find </w:t>
      </w:r>
      <w:r w:rsidR="00020097">
        <w:rPr>
          <w:rFonts w:ascii="Arial" w:hAnsi="Arial" w:cs="Arial"/>
          <w:sz w:val="24"/>
          <w:szCs w:val="24"/>
          <w:lang w:val="en-US"/>
        </w:rPr>
        <w:t xml:space="preserve">that </w:t>
      </w:r>
      <w:r w:rsidR="009D51D6" w:rsidRPr="003347D4">
        <w:rPr>
          <w:rFonts w:ascii="Arial" w:hAnsi="Arial" w:cs="Arial"/>
          <w:sz w:val="24"/>
          <w:szCs w:val="24"/>
          <w:lang w:val="en-US"/>
        </w:rPr>
        <w:t xml:space="preserve">EOH </w:t>
      </w:r>
      <w:r w:rsidR="00020097">
        <w:rPr>
          <w:rFonts w:ascii="Arial" w:hAnsi="Arial" w:cs="Arial"/>
          <w:sz w:val="24"/>
          <w:szCs w:val="24"/>
          <w:lang w:val="en-US"/>
        </w:rPr>
        <w:t>M</w:t>
      </w:r>
      <w:r w:rsidR="009D51D6" w:rsidRPr="003347D4">
        <w:rPr>
          <w:rFonts w:ascii="Arial" w:hAnsi="Arial" w:cs="Arial"/>
          <w:sz w:val="24"/>
          <w:szCs w:val="24"/>
          <w:lang w:val="en-US"/>
        </w:rPr>
        <w:t>thombo was the true creditor</w:t>
      </w:r>
      <w:r w:rsidR="00020097">
        <w:rPr>
          <w:rFonts w:ascii="Arial" w:hAnsi="Arial" w:cs="Arial"/>
          <w:sz w:val="24"/>
          <w:szCs w:val="24"/>
          <w:lang w:val="en-US"/>
        </w:rPr>
        <w:t xml:space="preserve"> of Silver Touch</w:t>
      </w:r>
      <w:r w:rsidR="009D51D6" w:rsidRPr="003347D4">
        <w:rPr>
          <w:rFonts w:ascii="Arial" w:hAnsi="Arial" w:cs="Arial"/>
          <w:sz w:val="24"/>
          <w:szCs w:val="24"/>
          <w:lang w:val="en-US"/>
        </w:rPr>
        <w:t xml:space="preserve">.  </w:t>
      </w:r>
      <w:r w:rsidR="00020097">
        <w:rPr>
          <w:rFonts w:ascii="Arial" w:hAnsi="Arial" w:cs="Arial"/>
          <w:sz w:val="24"/>
          <w:szCs w:val="24"/>
          <w:lang w:val="en-US"/>
        </w:rPr>
        <w:t xml:space="preserve">He </w:t>
      </w:r>
      <w:r w:rsidR="009D51D6" w:rsidRPr="003347D4">
        <w:rPr>
          <w:rFonts w:ascii="Arial" w:hAnsi="Arial" w:cs="Arial"/>
          <w:sz w:val="24"/>
          <w:szCs w:val="24"/>
          <w:lang w:val="en-US"/>
        </w:rPr>
        <w:t xml:space="preserve">submitted that reliance </w:t>
      </w:r>
      <w:r w:rsidR="00020097">
        <w:rPr>
          <w:rFonts w:ascii="Arial" w:hAnsi="Arial" w:cs="Arial"/>
          <w:sz w:val="24"/>
          <w:szCs w:val="24"/>
          <w:lang w:val="en-US"/>
        </w:rPr>
        <w:t xml:space="preserve">by the first respondent </w:t>
      </w:r>
      <w:r w:rsidR="009D51D6" w:rsidRPr="003347D4">
        <w:rPr>
          <w:rFonts w:ascii="Arial" w:hAnsi="Arial" w:cs="Arial"/>
          <w:sz w:val="24"/>
          <w:szCs w:val="24"/>
          <w:lang w:val="en-US"/>
        </w:rPr>
        <w:t>on the fabricated document</w:t>
      </w:r>
      <w:r w:rsidR="00020097">
        <w:rPr>
          <w:rFonts w:ascii="Arial" w:hAnsi="Arial" w:cs="Arial"/>
          <w:sz w:val="24"/>
          <w:szCs w:val="24"/>
          <w:lang w:val="en-US"/>
        </w:rPr>
        <w:t>,</w:t>
      </w:r>
      <w:r w:rsidR="009D51D6" w:rsidRPr="003347D4">
        <w:rPr>
          <w:rFonts w:ascii="Arial" w:hAnsi="Arial" w:cs="Arial"/>
          <w:sz w:val="24"/>
          <w:szCs w:val="24"/>
          <w:lang w:val="en-US"/>
        </w:rPr>
        <w:t xml:space="preserve"> including in the court proceedings </w:t>
      </w:r>
      <w:r w:rsidR="00020097">
        <w:rPr>
          <w:rFonts w:ascii="Arial" w:hAnsi="Arial" w:cs="Arial"/>
          <w:sz w:val="24"/>
          <w:szCs w:val="24"/>
          <w:lang w:val="en-US"/>
        </w:rPr>
        <w:t xml:space="preserve">in which the first respondent had secured the compulsory winding-up order, </w:t>
      </w:r>
      <w:r w:rsidR="009D51D6" w:rsidRPr="003347D4">
        <w:rPr>
          <w:rFonts w:ascii="Arial" w:hAnsi="Arial" w:cs="Arial"/>
          <w:sz w:val="24"/>
          <w:szCs w:val="24"/>
          <w:lang w:val="en-US"/>
        </w:rPr>
        <w:t xml:space="preserve">provided </w:t>
      </w:r>
      <w:r w:rsidR="00020097">
        <w:rPr>
          <w:rFonts w:ascii="Arial" w:hAnsi="Arial" w:cs="Arial"/>
          <w:sz w:val="24"/>
          <w:szCs w:val="24"/>
          <w:lang w:val="en-US"/>
        </w:rPr>
        <w:t xml:space="preserve">the </w:t>
      </w:r>
      <w:r w:rsidR="009D51D6" w:rsidRPr="003347D4">
        <w:rPr>
          <w:rFonts w:ascii="Arial" w:hAnsi="Arial" w:cs="Arial"/>
          <w:sz w:val="24"/>
          <w:szCs w:val="24"/>
          <w:lang w:val="en-US"/>
        </w:rPr>
        <w:t>“</w:t>
      </w:r>
      <w:r w:rsidR="009D51D6" w:rsidRPr="003347D4">
        <w:rPr>
          <w:rFonts w:ascii="Arial" w:hAnsi="Arial" w:cs="Arial"/>
          <w:i/>
          <w:iCs/>
          <w:sz w:val="24"/>
          <w:szCs w:val="24"/>
          <w:lang w:val="en-US"/>
        </w:rPr>
        <w:t>something special</w:t>
      </w:r>
      <w:r w:rsidR="009D51D6" w:rsidRPr="003347D4">
        <w:rPr>
          <w:rFonts w:ascii="Arial" w:hAnsi="Arial" w:cs="Arial"/>
          <w:sz w:val="24"/>
          <w:szCs w:val="24"/>
          <w:lang w:val="en-US"/>
        </w:rPr>
        <w:t>”</w:t>
      </w:r>
      <w:r w:rsidR="00020097">
        <w:rPr>
          <w:rFonts w:ascii="Arial" w:hAnsi="Arial" w:cs="Arial"/>
          <w:sz w:val="24"/>
          <w:szCs w:val="24"/>
          <w:lang w:val="en-US"/>
        </w:rPr>
        <w:t xml:space="preserve"> or exceptional circumstances</w:t>
      </w:r>
      <w:r w:rsidR="001A501A">
        <w:rPr>
          <w:rFonts w:ascii="Arial" w:hAnsi="Arial" w:cs="Arial"/>
          <w:sz w:val="24"/>
          <w:szCs w:val="24"/>
          <w:lang w:val="en-US"/>
        </w:rPr>
        <w:t xml:space="preserve"> that were required</w:t>
      </w:r>
      <w:r w:rsidR="00020097">
        <w:rPr>
          <w:rFonts w:ascii="Arial" w:hAnsi="Arial" w:cs="Arial"/>
          <w:sz w:val="24"/>
          <w:szCs w:val="24"/>
          <w:lang w:val="en-US"/>
        </w:rPr>
        <w:t xml:space="preserve">, </w:t>
      </w:r>
      <w:r w:rsidR="00B62564">
        <w:rPr>
          <w:rFonts w:ascii="Arial" w:hAnsi="Arial" w:cs="Arial"/>
          <w:sz w:val="24"/>
          <w:szCs w:val="24"/>
          <w:lang w:val="en-US"/>
        </w:rPr>
        <w:t xml:space="preserve">that the claim depended on </w:t>
      </w:r>
      <w:r w:rsidR="009D51D6" w:rsidRPr="003347D4">
        <w:rPr>
          <w:rFonts w:ascii="Arial" w:hAnsi="Arial" w:cs="Arial"/>
          <w:sz w:val="24"/>
          <w:szCs w:val="24"/>
          <w:lang w:val="en-US"/>
        </w:rPr>
        <w:t>tainted evidence</w:t>
      </w:r>
      <w:r w:rsidR="00B62564">
        <w:rPr>
          <w:rFonts w:ascii="Arial" w:hAnsi="Arial" w:cs="Arial"/>
          <w:sz w:val="24"/>
          <w:szCs w:val="24"/>
          <w:lang w:val="en-US"/>
        </w:rPr>
        <w:t xml:space="preserve">, that this </w:t>
      </w:r>
      <w:r w:rsidR="009D51D6" w:rsidRPr="003347D4">
        <w:rPr>
          <w:rFonts w:ascii="Arial" w:hAnsi="Arial" w:cs="Arial"/>
          <w:sz w:val="24"/>
          <w:szCs w:val="24"/>
          <w:lang w:val="en-US"/>
        </w:rPr>
        <w:t xml:space="preserve">could not have been a </w:t>
      </w:r>
      <w:r w:rsidR="009D51D6" w:rsidRPr="00B62564">
        <w:rPr>
          <w:rFonts w:ascii="Arial" w:hAnsi="Arial" w:cs="Arial"/>
          <w:i/>
          <w:iCs/>
          <w:sz w:val="24"/>
          <w:szCs w:val="24"/>
          <w:lang w:val="en-US"/>
        </w:rPr>
        <w:t>bona fide</w:t>
      </w:r>
      <w:r w:rsidR="009D51D6" w:rsidRPr="003347D4">
        <w:rPr>
          <w:rFonts w:ascii="Arial" w:hAnsi="Arial" w:cs="Arial"/>
          <w:sz w:val="24"/>
          <w:szCs w:val="24"/>
          <w:lang w:val="en-US"/>
        </w:rPr>
        <w:t xml:space="preserve"> error</w:t>
      </w:r>
      <w:r w:rsidR="00B62564">
        <w:rPr>
          <w:rFonts w:ascii="Arial" w:hAnsi="Arial" w:cs="Arial"/>
          <w:sz w:val="24"/>
          <w:szCs w:val="24"/>
          <w:lang w:val="en-US"/>
        </w:rPr>
        <w:t>,</w:t>
      </w:r>
      <w:r w:rsidR="009D51D6" w:rsidRPr="003347D4">
        <w:rPr>
          <w:rFonts w:ascii="Arial" w:hAnsi="Arial" w:cs="Arial"/>
          <w:sz w:val="24"/>
          <w:szCs w:val="24"/>
          <w:lang w:val="en-US"/>
        </w:rPr>
        <w:t xml:space="preserve"> and </w:t>
      </w:r>
      <w:r w:rsidR="00B62564">
        <w:rPr>
          <w:rFonts w:ascii="Arial" w:hAnsi="Arial" w:cs="Arial"/>
          <w:sz w:val="24"/>
          <w:szCs w:val="24"/>
          <w:lang w:val="en-US"/>
        </w:rPr>
        <w:t xml:space="preserve">that </w:t>
      </w:r>
      <w:r w:rsidR="009D51D6" w:rsidRPr="003347D4">
        <w:rPr>
          <w:rFonts w:ascii="Arial" w:hAnsi="Arial" w:cs="Arial"/>
          <w:sz w:val="24"/>
          <w:szCs w:val="24"/>
          <w:lang w:val="en-US"/>
        </w:rPr>
        <w:t xml:space="preserve">consequently the court would not have granted the </w:t>
      </w:r>
      <w:r w:rsidR="00B62564">
        <w:rPr>
          <w:rFonts w:ascii="Arial" w:hAnsi="Arial" w:cs="Arial"/>
          <w:sz w:val="24"/>
          <w:szCs w:val="24"/>
          <w:lang w:val="en-US"/>
        </w:rPr>
        <w:t xml:space="preserve">compulsory </w:t>
      </w:r>
      <w:r w:rsidR="009D51D6" w:rsidRPr="003347D4">
        <w:rPr>
          <w:rFonts w:ascii="Arial" w:hAnsi="Arial" w:cs="Arial"/>
          <w:sz w:val="24"/>
          <w:szCs w:val="24"/>
          <w:lang w:val="en-US"/>
        </w:rPr>
        <w:t>winding</w:t>
      </w:r>
      <w:r w:rsidR="00B62564">
        <w:rPr>
          <w:rFonts w:ascii="Arial" w:hAnsi="Arial" w:cs="Arial"/>
          <w:sz w:val="24"/>
          <w:szCs w:val="24"/>
          <w:lang w:val="en-US"/>
        </w:rPr>
        <w:t>-</w:t>
      </w:r>
      <w:r w:rsidR="009D51D6" w:rsidRPr="003347D4">
        <w:rPr>
          <w:rFonts w:ascii="Arial" w:hAnsi="Arial" w:cs="Arial"/>
          <w:sz w:val="24"/>
          <w:szCs w:val="24"/>
          <w:lang w:val="en-US"/>
        </w:rPr>
        <w:t xml:space="preserve">up order if it </w:t>
      </w:r>
      <w:r w:rsidR="00B62564">
        <w:rPr>
          <w:rFonts w:ascii="Arial" w:hAnsi="Arial" w:cs="Arial"/>
          <w:sz w:val="24"/>
          <w:szCs w:val="24"/>
          <w:lang w:val="en-US"/>
        </w:rPr>
        <w:t>k</w:t>
      </w:r>
      <w:r w:rsidR="009D51D6" w:rsidRPr="003347D4">
        <w:rPr>
          <w:rFonts w:ascii="Arial" w:hAnsi="Arial" w:cs="Arial"/>
          <w:sz w:val="24"/>
          <w:szCs w:val="24"/>
          <w:lang w:val="en-US"/>
        </w:rPr>
        <w:t xml:space="preserve">new the facts that are now presented to this court in the present proceedings.  </w:t>
      </w:r>
    </w:p>
    <w:p w14:paraId="5AF0FDFE" w14:textId="53AE66DB" w:rsidR="00BC3C44" w:rsidRPr="00921D26" w:rsidRDefault="00BC3C44" w:rsidP="00BC3C44">
      <w:pPr>
        <w:pStyle w:val="BowLevel1ListAlt"/>
        <w:numPr>
          <w:ilvl w:val="0"/>
          <w:numId w:val="0"/>
        </w:numPr>
        <w:rPr>
          <w:rFonts w:ascii="Arial" w:hAnsi="Arial" w:cs="Arial"/>
          <w:b/>
          <w:bCs/>
          <w:sz w:val="24"/>
          <w:szCs w:val="24"/>
          <w:lang w:val="en-US"/>
        </w:rPr>
      </w:pPr>
      <w:r w:rsidRPr="00921D26">
        <w:rPr>
          <w:rFonts w:ascii="Arial" w:hAnsi="Arial" w:cs="Arial"/>
          <w:b/>
          <w:bCs/>
          <w:sz w:val="24"/>
          <w:szCs w:val="24"/>
          <w:lang w:val="en-US"/>
        </w:rPr>
        <w:t>Evaluation</w:t>
      </w:r>
      <w:r w:rsidR="001958A3" w:rsidRPr="00921D26">
        <w:rPr>
          <w:rFonts w:ascii="Arial" w:hAnsi="Arial" w:cs="Arial"/>
          <w:b/>
          <w:bCs/>
          <w:sz w:val="24"/>
          <w:szCs w:val="24"/>
          <w:lang w:val="en-US"/>
        </w:rPr>
        <w:t xml:space="preserve"> </w:t>
      </w:r>
    </w:p>
    <w:p w14:paraId="31A67A0F" w14:textId="12E373A2" w:rsidR="0071627B" w:rsidRPr="00D64A60" w:rsidRDefault="00C156AD" w:rsidP="00921D26">
      <w:pPr>
        <w:pStyle w:val="BowLevel1ListAlt"/>
        <w:numPr>
          <w:ilvl w:val="0"/>
          <w:numId w:val="0"/>
        </w:numPr>
        <w:ind w:left="567" w:hanging="567"/>
        <w:rPr>
          <w:rFonts w:ascii="Arial" w:hAnsi="Arial" w:cs="Arial"/>
          <w:sz w:val="24"/>
          <w:szCs w:val="24"/>
          <w:lang w:val="en-US"/>
        </w:rPr>
      </w:pPr>
      <w:r w:rsidRPr="00921D26">
        <w:rPr>
          <w:rFonts w:ascii="Arial" w:hAnsi="Arial" w:cs="Arial"/>
          <w:sz w:val="24"/>
          <w:szCs w:val="24"/>
          <w:lang w:val="en-US"/>
        </w:rPr>
        <w:t>[5</w:t>
      </w:r>
      <w:r w:rsidR="001A501A">
        <w:rPr>
          <w:rFonts w:ascii="Arial" w:hAnsi="Arial" w:cs="Arial"/>
          <w:sz w:val="24"/>
          <w:szCs w:val="24"/>
          <w:lang w:val="en-US"/>
        </w:rPr>
        <w:t>6</w:t>
      </w:r>
      <w:r w:rsidRPr="00921D26">
        <w:rPr>
          <w:rFonts w:ascii="Arial" w:hAnsi="Arial" w:cs="Arial"/>
          <w:sz w:val="24"/>
          <w:szCs w:val="24"/>
          <w:lang w:val="en-US"/>
        </w:rPr>
        <w:t>]</w:t>
      </w:r>
      <w:r w:rsidRPr="00921D26">
        <w:rPr>
          <w:rFonts w:ascii="Arial" w:hAnsi="Arial" w:cs="Arial"/>
          <w:sz w:val="24"/>
          <w:szCs w:val="24"/>
          <w:lang w:val="en-US"/>
        </w:rPr>
        <w:tab/>
      </w:r>
      <w:r w:rsidR="00C20156" w:rsidRPr="00921D26">
        <w:rPr>
          <w:rFonts w:ascii="Arial" w:hAnsi="Arial" w:cs="Arial"/>
          <w:sz w:val="24"/>
          <w:szCs w:val="24"/>
          <w:lang w:val="en-US"/>
        </w:rPr>
        <w:t xml:space="preserve">The applicant’s attack on </w:t>
      </w:r>
      <w:r w:rsidR="0002406E" w:rsidRPr="00921D26">
        <w:rPr>
          <w:rFonts w:ascii="Arial" w:hAnsi="Arial" w:cs="Arial"/>
          <w:sz w:val="24"/>
          <w:szCs w:val="24"/>
          <w:lang w:val="en-US"/>
        </w:rPr>
        <w:t xml:space="preserve">the first respondent’s claim </w:t>
      </w:r>
      <w:r w:rsidR="004007AE" w:rsidRPr="00921D26">
        <w:rPr>
          <w:rFonts w:ascii="Arial" w:hAnsi="Arial" w:cs="Arial"/>
          <w:sz w:val="24"/>
          <w:szCs w:val="24"/>
          <w:lang w:val="en-US"/>
        </w:rPr>
        <w:t xml:space="preserve">centers on </w:t>
      </w:r>
      <w:r w:rsidR="0002406E" w:rsidRPr="00921D26">
        <w:rPr>
          <w:rFonts w:ascii="Arial" w:hAnsi="Arial" w:cs="Arial"/>
          <w:sz w:val="24"/>
          <w:szCs w:val="24"/>
          <w:lang w:val="en-US"/>
        </w:rPr>
        <w:t xml:space="preserve">the manipulated July 2013 extension agreement which was put up by the deponent to the affidavit </w:t>
      </w:r>
      <w:r w:rsidR="0071627B" w:rsidRPr="00921D26">
        <w:rPr>
          <w:rFonts w:ascii="Arial" w:hAnsi="Arial" w:cs="Arial"/>
          <w:sz w:val="24"/>
          <w:szCs w:val="24"/>
          <w:lang w:val="en-US"/>
        </w:rPr>
        <w:t>in support of the claim</w:t>
      </w:r>
      <w:r w:rsidR="004E5175">
        <w:rPr>
          <w:rFonts w:ascii="Arial" w:hAnsi="Arial" w:cs="Arial"/>
          <w:sz w:val="24"/>
          <w:szCs w:val="24"/>
          <w:lang w:val="en-US"/>
        </w:rPr>
        <w:t xml:space="preserve"> when it was presented </w:t>
      </w:r>
      <w:r w:rsidR="00F97E3F">
        <w:rPr>
          <w:rFonts w:ascii="Arial" w:hAnsi="Arial" w:cs="Arial"/>
          <w:sz w:val="24"/>
          <w:szCs w:val="24"/>
          <w:lang w:val="en-US"/>
        </w:rPr>
        <w:t xml:space="preserve">for approval by </w:t>
      </w:r>
      <w:r w:rsidR="0071627B" w:rsidRPr="00921D26">
        <w:rPr>
          <w:rFonts w:ascii="Arial" w:hAnsi="Arial" w:cs="Arial"/>
          <w:sz w:val="24"/>
          <w:szCs w:val="24"/>
          <w:lang w:val="en-US"/>
        </w:rPr>
        <w:t xml:space="preserve">the tenth respondent at the first meeting of creditors.  </w:t>
      </w:r>
    </w:p>
    <w:p w14:paraId="49923592" w14:textId="4074334C" w:rsidR="000D0258" w:rsidRPr="00D64A60" w:rsidRDefault="00FA4659" w:rsidP="00921D26">
      <w:pPr>
        <w:pStyle w:val="BowLevel1ListAlt"/>
        <w:numPr>
          <w:ilvl w:val="0"/>
          <w:numId w:val="0"/>
        </w:numPr>
        <w:ind w:left="567" w:hanging="567"/>
        <w:rPr>
          <w:rFonts w:ascii="Arial" w:hAnsi="Arial" w:cs="Arial"/>
          <w:sz w:val="24"/>
          <w:szCs w:val="24"/>
          <w:lang w:val="en-US"/>
        </w:rPr>
      </w:pPr>
      <w:r w:rsidRPr="00921D26">
        <w:rPr>
          <w:rFonts w:ascii="Arial" w:hAnsi="Arial" w:cs="Arial"/>
          <w:sz w:val="24"/>
          <w:szCs w:val="24"/>
          <w:lang w:val="en-US"/>
        </w:rPr>
        <w:t>[5</w:t>
      </w:r>
      <w:r w:rsidR="001A501A">
        <w:rPr>
          <w:rFonts w:ascii="Arial" w:hAnsi="Arial" w:cs="Arial"/>
          <w:sz w:val="24"/>
          <w:szCs w:val="24"/>
          <w:lang w:val="en-US"/>
        </w:rPr>
        <w:t>7</w:t>
      </w:r>
      <w:r w:rsidRPr="00921D26">
        <w:rPr>
          <w:rFonts w:ascii="Arial" w:hAnsi="Arial" w:cs="Arial"/>
          <w:sz w:val="24"/>
          <w:szCs w:val="24"/>
          <w:lang w:val="en-US"/>
        </w:rPr>
        <w:t>]</w:t>
      </w:r>
      <w:r w:rsidRPr="00921D26">
        <w:rPr>
          <w:rFonts w:ascii="Arial" w:hAnsi="Arial" w:cs="Arial"/>
          <w:sz w:val="24"/>
          <w:szCs w:val="24"/>
          <w:lang w:val="en-US"/>
        </w:rPr>
        <w:tab/>
      </w:r>
      <w:r w:rsidR="005C49F7">
        <w:rPr>
          <w:rFonts w:ascii="Arial" w:hAnsi="Arial" w:cs="Arial"/>
          <w:sz w:val="24"/>
          <w:szCs w:val="24"/>
          <w:lang w:val="en-US"/>
        </w:rPr>
        <w:t xml:space="preserve">As regards the </w:t>
      </w:r>
      <w:r w:rsidR="00C5776F">
        <w:rPr>
          <w:rFonts w:ascii="Arial" w:hAnsi="Arial" w:cs="Arial"/>
          <w:sz w:val="24"/>
          <w:szCs w:val="24"/>
          <w:lang w:val="en-US"/>
        </w:rPr>
        <w:t xml:space="preserve">applicant’s </w:t>
      </w:r>
      <w:r w:rsidR="005C49F7">
        <w:rPr>
          <w:rFonts w:ascii="Arial" w:hAnsi="Arial" w:cs="Arial"/>
          <w:sz w:val="24"/>
          <w:szCs w:val="24"/>
          <w:lang w:val="en-US"/>
        </w:rPr>
        <w:t xml:space="preserve">submission </w:t>
      </w:r>
      <w:r w:rsidR="00861B69" w:rsidRPr="00921D26">
        <w:rPr>
          <w:rFonts w:ascii="Arial" w:hAnsi="Arial" w:cs="Arial"/>
          <w:sz w:val="24"/>
          <w:szCs w:val="24"/>
          <w:lang w:val="en-US"/>
        </w:rPr>
        <w:t xml:space="preserve">that the affidavit </w:t>
      </w:r>
      <w:r w:rsidR="006A01EC" w:rsidRPr="00921D26">
        <w:rPr>
          <w:rFonts w:ascii="Arial" w:hAnsi="Arial" w:cs="Arial"/>
          <w:sz w:val="24"/>
          <w:szCs w:val="24"/>
          <w:lang w:val="en-US"/>
        </w:rPr>
        <w:t xml:space="preserve">contained a </w:t>
      </w:r>
      <w:r w:rsidR="00ED1327" w:rsidRPr="00921D26">
        <w:rPr>
          <w:rFonts w:ascii="Arial" w:hAnsi="Arial" w:cs="Arial"/>
          <w:sz w:val="24"/>
          <w:szCs w:val="24"/>
          <w:lang w:val="en-US"/>
        </w:rPr>
        <w:t xml:space="preserve">false </w:t>
      </w:r>
      <w:r w:rsidR="006A01EC" w:rsidRPr="00921D26">
        <w:rPr>
          <w:rFonts w:ascii="Arial" w:hAnsi="Arial" w:cs="Arial"/>
          <w:sz w:val="24"/>
          <w:szCs w:val="24"/>
          <w:lang w:val="en-US"/>
        </w:rPr>
        <w:t xml:space="preserve">assertion that </w:t>
      </w:r>
      <w:r w:rsidR="00ED1327" w:rsidRPr="00921D26">
        <w:rPr>
          <w:rFonts w:ascii="Arial" w:hAnsi="Arial" w:cs="Arial"/>
          <w:sz w:val="24"/>
          <w:szCs w:val="24"/>
          <w:lang w:val="en-US"/>
        </w:rPr>
        <w:t xml:space="preserve">the deponent </w:t>
      </w:r>
      <w:r w:rsidR="006A01EC" w:rsidRPr="00921D26">
        <w:rPr>
          <w:rFonts w:ascii="Arial" w:hAnsi="Arial" w:cs="Arial"/>
          <w:sz w:val="24"/>
          <w:szCs w:val="24"/>
          <w:lang w:val="en-US"/>
        </w:rPr>
        <w:t xml:space="preserve">had </w:t>
      </w:r>
      <w:r w:rsidR="00ED1327" w:rsidRPr="00921D26">
        <w:rPr>
          <w:rFonts w:ascii="Arial" w:hAnsi="Arial" w:cs="Arial"/>
          <w:sz w:val="24"/>
          <w:szCs w:val="24"/>
          <w:lang w:val="en-US"/>
        </w:rPr>
        <w:t xml:space="preserve">personal knowledge of its contents, </w:t>
      </w:r>
      <w:r w:rsidR="00231FE7" w:rsidRPr="00921D26">
        <w:rPr>
          <w:rFonts w:ascii="Arial" w:hAnsi="Arial" w:cs="Arial"/>
          <w:sz w:val="24"/>
          <w:szCs w:val="24"/>
          <w:lang w:val="en-US"/>
        </w:rPr>
        <w:t xml:space="preserve">I do not think, absent the underlying issue concerning the authenticity and manipulation of one of the </w:t>
      </w:r>
      <w:r w:rsidR="00316A13" w:rsidRPr="00921D26">
        <w:rPr>
          <w:rFonts w:ascii="Arial" w:hAnsi="Arial" w:cs="Arial"/>
          <w:sz w:val="24"/>
          <w:szCs w:val="24"/>
          <w:lang w:val="en-US"/>
        </w:rPr>
        <w:t xml:space="preserve">documents on which the deponent relied in presenting the claim, that either the tenth respondent or this court would have </w:t>
      </w:r>
      <w:r w:rsidR="000D0258" w:rsidRPr="00921D26">
        <w:rPr>
          <w:rFonts w:ascii="Arial" w:hAnsi="Arial" w:cs="Arial"/>
          <w:sz w:val="24"/>
          <w:szCs w:val="24"/>
          <w:lang w:val="en-US"/>
        </w:rPr>
        <w:t>made any different decision merely on grounds that the deponent asserted personal knowledge of the matters dealt with in it</w:t>
      </w:r>
      <w:r w:rsidRPr="00921D26">
        <w:rPr>
          <w:rFonts w:ascii="Arial" w:hAnsi="Arial" w:cs="Arial"/>
          <w:sz w:val="24"/>
          <w:szCs w:val="24"/>
          <w:lang w:val="en-US"/>
        </w:rPr>
        <w:t xml:space="preserve"> when </w:t>
      </w:r>
      <w:r w:rsidR="00093B86" w:rsidRPr="00921D26">
        <w:rPr>
          <w:rFonts w:ascii="Arial" w:hAnsi="Arial" w:cs="Arial"/>
          <w:sz w:val="24"/>
          <w:szCs w:val="24"/>
          <w:lang w:val="en-US"/>
        </w:rPr>
        <w:t>she was in fact relying on the authenticity of documents in her possession</w:t>
      </w:r>
      <w:r w:rsidR="000D0258" w:rsidRPr="00921D26">
        <w:rPr>
          <w:rFonts w:ascii="Arial" w:hAnsi="Arial" w:cs="Arial"/>
          <w:sz w:val="24"/>
          <w:szCs w:val="24"/>
          <w:lang w:val="en-US"/>
        </w:rPr>
        <w:t xml:space="preserve">.  </w:t>
      </w:r>
    </w:p>
    <w:p w14:paraId="361DF096" w14:textId="3D57B2D9" w:rsidR="00483DBB" w:rsidRPr="00D64A60" w:rsidRDefault="00850AB9" w:rsidP="00921D26">
      <w:pPr>
        <w:pStyle w:val="BowLevel1ListAlt"/>
        <w:numPr>
          <w:ilvl w:val="0"/>
          <w:numId w:val="0"/>
        </w:numPr>
        <w:ind w:left="567" w:hanging="567"/>
        <w:rPr>
          <w:rFonts w:ascii="Arial" w:hAnsi="Arial" w:cs="Arial"/>
          <w:sz w:val="24"/>
          <w:szCs w:val="24"/>
          <w:lang w:val="en-US"/>
        </w:rPr>
      </w:pPr>
      <w:r w:rsidRPr="00921D26">
        <w:rPr>
          <w:rFonts w:ascii="Arial" w:hAnsi="Arial" w:cs="Arial"/>
          <w:sz w:val="24"/>
          <w:szCs w:val="24"/>
          <w:lang w:val="en-US"/>
        </w:rPr>
        <w:t>[5</w:t>
      </w:r>
      <w:r w:rsidR="001A501A">
        <w:rPr>
          <w:rFonts w:ascii="Arial" w:hAnsi="Arial" w:cs="Arial"/>
          <w:sz w:val="24"/>
          <w:szCs w:val="24"/>
          <w:lang w:val="en-US"/>
        </w:rPr>
        <w:t>8</w:t>
      </w:r>
      <w:r w:rsidRPr="00921D26">
        <w:rPr>
          <w:rFonts w:ascii="Arial" w:hAnsi="Arial" w:cs="Arial"/>
          <w:sz w:val="24"/>
          <w:szCs w:val="24"/>
          <w:lang w:val="en-US"/>
        </w:rPr>
        <w:t>]</w:t>
      </w:r>
      <w:r w:rsidRPr="00921D26">
        <w:rPr>
          <w:rFonts w:ascii="Arial" w:hAnsi="Arial" w:cs="Arial"/>
          <w:sz w:val="24"/>
          <w:szCs w:val="24"/>
          <w:lang w:val="en-US"/>
        </w:rPr>
        <w:tab/>
      </w:r>
      <w:r w:rsidR="00767D40" w:rsidRPr="00D64A60">
        <w:rPr>
          <w:rFonts w:ascii="Arial" w:hAnsi="Arial" w:cs="Arial"/>
          <w:sz w:val="24"/>
          <w:szCs w:val="24"/>
          <w:lang w:val="en-US"/>
        </w:rPr>
        <w:t>Deponents to affidavits of this kind should</w:t>
      </w:r>
      <w:r w:rsidR="00E06A53" w:rsidRPr="00D64A60">
        <w:rPr>
          <w:rFonts w:ascii="Arial" w:hAnsi="Arial" w:cs="Arial"/>
          <w:sz w:val="24"/>
          <w:szCs w:val="24"/>
          <w:lang w:val="en-US"/>
        </w:rPr>
        <w:t>, of course,</w:t>
      </w:r>
      <w:r w:rsidR="00767D40" w:rsidRPr="00D64A60">
        <w:rPr>
          <w:rFonts w:ascii="Arial" w:hAnsi="Arial" w:cs="Arial"/>
          <w:sz w:val="24"/>
          <w:szCs w:val="24"/>
          <w:lang w:val="en-US"/>
        </w:rPr>
        <w:t xml:space="preserve"> be careful not to misrepresent the </w:t>
      </w:r>
      <w:r w:rsidR="00E06A53" w:rsidRPr="00D64A60">
        <w:rPr>
          <w:rFonts w:ascii="Arial" w:hAnsi="Arial" w:cs="Arial"/>
          <w:sz w:val="24"/>
          <w:szCs w:val="24"/>
          <w:lang w:val="en-US"/>
        </w:rPr>
        <w:t>extent of their personal knowledge of the facts.  It</w:t>
      </w:r>
      <w:r w:rsidR="00767D40" w:rsidRPr="00D64A60">
        <w:rPr>
          <w:rFonts w:ascii="Arial" w:hAnsi="Arial" w:cs="Arial"/>
          <w:sz w:val="24"/>
          <w:szCs w:val="24"/>
          <w:lang w:val="en-US"/>
        </w:rPr>
        <w:t xml:space="preserve"> seems to me</w:t>
      </w:r>
      <w:r w:rsidR="00E06A53" w:rsidRPr="00D64A60">
        <w:rPr>
          <w:rFonts w:ascii="Arial" w:hAnsi="Arial" w:cs="Arial"/>
          <w:sz w:val="24"/>
          <w:szCs w:val="24"/>
          <w:lang w:val="en-US"/>
        </w:rPr>
        <w:t xml:space="preserve">, however, that it was in any event </w:t>
      </w:r>
      <w:r w:rsidR="00767D40" w:rsidRPr="00D64A60">
        <w:rPr>
          <w:rFonts w:ascii="Arial" w:hAnsi="Arial" w:cs="Arial"/>
          <w:sz w:val="24"/>
          <w:szCs w:val="24"/>
          <w:lang w:val="en-US"/>
        </w:rPr>
        <w:t>apparent from the context</w:t>
      </w:r>
      <w:r w:rsidR="004E332D" w:rsidRPr="00D64A60">
        <w:rPr>
          <w:rFonts w:ascii="Arial" w:hAnsi="Arial" w:cs="Arial"/>
          <w:sz w:val="24"/>
          <w:szCs w:val="24"/>
          <w:lang w:val="en-US"/>
        </w:rPr>
        <w:t xml:space="preserve">, even if not expressly stated, </w:t>
      </w:r>
      <w:r w:rsidR="00767D40" w:rsidRPr="00D64A60">
        <w:rPr>
          <w:rFonts w:ascii="Arial" w:hAnsi="Arial" w:cs="Arial"/>
          <w:sz w:val="24"/>
          <w:szCs w:val="24"/>
          <w:lang w:val="en-US"/>
        </w:rPr>
        <w:t xml:space="preserve">that Ms Jordaan did not </w:t>
      </w:r>
      <w:r w:rsidR="004E332D" w:rsidRPr="00D64A60">
        <w:rPr>
          <w:rFonts w:ascii="Arial" w:hAnsi="Arial" w:cs="Arial"/>
          <w:sz w:val="24"/>
          <w:szCs w:val="24"/>
          <w:lang w:val="en-US"/>
        </w:rPr>
        <w:t xml:space="preserve">claim </w:t>
      </w:r>
      <w:r w:rsidR="00767D40" w:rsidRPr="00D64A60">
        <w:rPr>
          <w:rFonts w:ascii="Arial" w:hAnsi="Arial" w:cs="Arial"/>
          <w:sz w:val="24"/>
          <w:szCs w:val="24"/>
          <w:lang w:val="en-US"/>
        </w:rPr>
        <w:t xml:space="preserve">to have been present when the </w:t>
      </w:r>
      <w:r w:rsidR="004E332D" w:rsidRPr="00D64A60">
        <w:rPr>
          <w:rFonts w:ascii="Arial" w:hAnsi="Arial" w:cs="Arial"/>
          <w:sz w:val="24"/>
          <w:szCs w:val="24"/>
          <w:lang w:val="en-US"/>
        </w:rPr>
        <w:t xml:space="preserve">relevant </w:t>
      </w:r>
      <w:r w:rsidR="00767D40" w:rsidRPr="00D64A60">
        <w:rPr>
          <w:rFonts w:ascii="Arial" w:hAnsi="Arial" w:cs="Arial"/>
          <w:sz w:val="24"/>
          <w:szCs w:val="24"/>
          <w:lang w:val="en-US"/>
        </w:rPr>
        <w:t xml:space="preserve">agreements were concluded, and that in the context </w:t>
      </w:r>
      <w:r w:rsidR="004E332D" w:rsidRPr="00D64A60">
        <w:rPr>
          <w:rFonts w:ascii="Arial" w:hAnsi="Arial" w:cs="Arial"/>
          <w:sz w:val="24"/>
          <w:szCs w:val="24"/>
          <w:lang w:val="en-US"/>
        </w:rPr>
        <w:t xml:space="preserve">in which the affidavit was submitted </w:t>
      </w:r>
      <w:r w:rsidR="00767D40" w:rsidRPr="00D64A60">
        <w:rPr>
          <w:rFonts w:ascii="Arial" w:hAnsi="Arial" w:cs="Arial"/>
          <w:sz w:val="24"/>
          <w:szCs w:val="24"/>
          <w:lang w:val="en-US"/>
        </w:rPr>
        <w:t xml:space="preserve">her personal knowledge </w:t>
      </w:r>
      <w:r w:rsidR="00483DBB" w:rsidRPr="00D64A60">
        <w:rPr>
          <w:rFonts w:ascii="Arial" w:hAnsi="Arial" w:cs="Arial"/>
          <w:sz w:val="24"/>
          <w:szCs w:val="24"/>
          <w:lang w:val="en-US"/>
        </w:rPr>
        <w:t xml:space="preserve">included </w:t>
      </w:r>
      <w:r w:rsidR="00767D40" w:rsidRPr="00D64A60">
        <w:rPr>
          <w:rFonts w:ascii="Arial" w:hAnsi="Arial" w:cs="Arial"/>
          <w:sz w:val="24"/>
          <w:szCs w:val="24"/>
          <w:lang w:val="en-US"/>
        </w:rPr>
        <w:t xml:space="preserve">knowledge gained from </w:t>
      </w:r>
      <w:r w:rsidR="00483DBB" w:rsidRPr="00D64A60">
        <w:rPr>
          <w:rFonts w:ascii="Arial" w:hAnsi="Arial" w:cs="Arial"/>
          <w:sz w:val="24"/>
          <w:szCs w:val="24"/>
          <w:lang w:val="en-US"/>
        </w:rPr>
        <w:t xml:space="preserve">the </w:t>
      </w:r>
      <w:r w:rsidR="00767D40" w:rsidRPr="00D64A60">
        <w:rPr>
          <w:rFonts w:ascii="Arial" w:hAnsi="Arial" w:cs="Arial"/>
          <w:sz w:val="24"/>
          <w:szCs w:val="24"/>
          <w:lang w:val="en-US"/>
        </w:rPr>
        <w:t xml:space="preserve">records </w:t>
      </w:r>
      <w:r w:rsidR="00483DBB" w:rsidRPr="00D64A60">
        <w:rPr>
          <w:rFonts w:ascii="Arial" w:hAnsi="Arial" w:cs="Arial"/>
          <w:sz w:val="24"/>
          <w:szCs w:val="24"/>
          <w:lang w:val="en-US"/>
        </w:rPr>
        <w:t xml:space="preserve">of the first respondent that were </w:t>
      </w:r>
      <w:r w:rsidR="00767D40" w:rsidRPr="00D64A60">
        <w:rPr>
          <w:rFonts w:ascii="Arial" w:hAnsi="Arial" w:cs="Arial"/>
          <w:sz w:val="24"/>
          <w:szCs w:val="24"/>
          <w:lang w:val="en-US"/>
        </w:rPr>
        <w:t>in her possession.</w:t>
      </w:r>
      <w:r w:rsidR="00483DBB" w:rsidRPr="00D64A60">
        <w:rPr>
          <w:rFonts w:ascii="Arial" w:hAnsi="Arial" w:cs="Arial"/>
          <w:sz w:val="24"/>
          <w:szCs w:val="24"/>
          <w:lang w:val="en-US"/>
        </w:rPr>
        <w:t xml:space="preserve">  There is certainly no basis for a conclusion that Ms Jordaan </w:t>
      </w:r>
      <w:r w:rsidR="009B6CA1" w:rsidRPr="00D64A60">
        <w:rPr>
          <w:rFonts w:ascii="Arial" w:hAnsi="Arial" w:cs="Arial"/>
          <w:sz w:val="24"/>
          <w:szCs w:val="24"/>
          <w:lang w:val="en-US"/>
        </w:rPr>
        <w:t>either knew or should have known at the time that she deposed to her affidavit of the facts that have subsequently come to light concerning the two documents produced in Ju</w:t>
      </w:r>
      <w:r w:rsidR="00343410">
        <w:rPr>
          <w:rFonts w:ascii="Arial" w:hAnsi="Arial" w:cs="Arial"/>
          <w:sz w:val="24"/>
          <w:szCs w:val="24"/>
          <w:lang w:val="en-US"/>
        </w:rPr>
        <w:t>ly</w:t>
      </w:r>
      <w:r w:rsidR="009B6CA1" w:rsidRPr="00D64A60">
        <w:rPr>
          <w:rFonts w:ascii="Arial" w:hAnsi="Arial" w:cs="Arial"/>
          <w:sz w:val="24"/>
          <w:szCs w:val="24"/>
          <w:lang w:val="en-US"/>
        </w:rPr>
        <w:t xml:space="preserve"> 2013.</w:t>
      </w:r>
    </w:p>
    <w:p w14:paraId="2E6A7C90" w14:textId="35D3C18A" w:rsidR="00767D40" w:rsidRPr="00D64A60" w:rsidRDefault="00093B86"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w:t>
      </w:r>
      <w:r w:rsidR="001A501A">
        <w:rPr>
          <w:rFonts w:ascii="Arial" w:hAnsi="Arial" w:cs="Arial"/>
          <w:sz w:val="24"/>
          <w:szCs w:val="24"/>
          <w:lang w:val="en-US"/>
        </w:rPr>
        <w:t>59</w:t>
      </w:r>
      <w:r w:rsidRPr="00D64A60">
        <w:rPr>
          <w:rFonts w:ascii="Arial" w:hAnsi="Arial" w:cs="Arial"/>
          <w:sz w:val="24"/>
          <w:szCs w:val="24"/>
          <w:lang w:val="en-US"/>
        </w:rPr>
        <w:t>]</w:t>
      </w:r>
      <w:r w:rsidRPr="00D64A60">
        <w:rPr>
          <w:rFonts w:ascii="Arial" w:hAnsi="Arial" w:cs="Arial"/>
          <w:sz w:val="24"/>
          <w:szCs w:val="24"/>
          <w:lang w:val="en-US"/>
        </w:rPr>
        <w:tab/>
      </w:r>
      <w:r w:rsidR="00767D40" w:rsidRPr="00D64A60">
        <w:rPr>
          <w:rFonts w:ascii="Arial" w:hAnsi="Arial" w:cs="Arial"/>
          <w:sz w:val="24"/>
          <w:szCs w:val="24"/>
          <w:lang w:val="en-US"/>
        </w:rPr>
        <w:t xml:space="preserve">Even if Ms Jordaan </w:t>
      </w:r>
      <w:r w:rsidR="009B6CA1" w:rsidRPr="00D64A60">
        <w:rPr>
          <w:rFonts w:ascii="Arial" w:hAnsi="Arial" w:cs="Arial"/>
          <w:sz w:val="24"/>
          <w:szCs w:val="24"/>
          <w:lang w:val="en-US"/>
        </w:rPr>
        <w:t xml:space="preserve">had, on a </w:t>
      </w:r>
      <w:r w:rsidR="009B5935" w:rsidRPr="00D64A60">
        <w:rPr>
          <w:rFonts w:ascii="Arial" w:hAnsi="Arial" w:cs="Arial"/>
          <w:sz w:val="24"/>
          <w:szCs w:val="24"/>
          <w:lang w:val="en-US"/>
        </w:rPr>
        <w:t xml:space="preserve">proper construction of her affidavit, </w:t>
      </w:r>
      <w:r w:rsidR="00767D40" w:rsidRPr="00D64A60">
        <w:rPr>
          <w:rFonts w:ascii="Arial" w:hAnsi="Arial" w:cs="Arial"/>
          <w:sz w:val="24"/>
          <w:szCs w:val="24"/>
          <w:lang w:val="en-US"/>
        </w:rPr>
        <w:t xml:space="preserve">misstated the </w:t>
      </w:r>
      <w:r w:rsidR="009B5935" w:rsidRPr="00D64A60">
        <w:rPr>
          <w:rFonts w:ascii="Arial" w:hAnsi="Arial" w:cs="Arial"/>
          <w:sz w:val="24"/>
          <w:szCs w:val="24"/>
          <w:lang w:val="en-US"/>
        </w:rPr>
        <w:t xml:space="preserve">extent of her personal knowledge of the facts </w:t>
      </w:r>
      <w:r w:rsidR="00767D40" w:rsidRPr="00D64A60">
        <w:rPr>
          <w:rFonts w:ascii="Arial" w:hAnsi="Arial" w:cs="Arial"/>
          <w:sz w:val="24"/>
          <w:szCs w:val="24"/>
          <w:lang w:val="en-US"/>
        </w:rPr>
        <w:t xml:space="preserve">this would not </w:t>
      </w:r>
      <w:r w:rsidR="009B5935" w:rsidRPr="00D64A60">
        <w:rPr>
          <w:rFonts w:ascii="Arial" w:hAnsi="Arial" w:cs="Arial"/>
          <w:sz w:val="24"/>
          <w:szCs w:val="24"/>
          <w:lang w:val="en-US"/>
        </w:rPr>
        <w:t xml:space="preserve">by itself support a conclusion that the </w:t>
      </w:r>
      <w:r w:rsidR="00A962CD" w:rsidRPr="00D64A60">
        <w:rPr>
          <w:rFonts w:ascii="Arial" w:hAnsi="Arial" w:cs="Arial"/>
          <w:sz w:val="24"/>
          <w:szCs w:val="24"/>
          <w:lang w:val="en-US"/>
        </w:rPr>
        <w:t xml:space="preserve">tenth respondent and this court respectively would not have reached the decisions that they reached.  Unless there is merit in the </w:t>
      </w:r>
      <w:r w:rsidR="00FF137B" w:rsidRPr="00D64A60">
        <w:rPr>
          <w:rFonts w:ascii="Arial" w:hAnsi="Arial" w:cs="Arial"/>
          <w:sz w:val="24"/>
          <w:szCs w:val="24"/>
          <w:lang w:val="en-US"/>
        </w:rPr>
        <w:t xml:space="preserve">applicant’s contentions regarding the first respondent’s reliance on the fraudulent or manipulated July 2013 </w:t>
      </w:r>
      <w:r w:rsidR="00037906">
        <w:rPr>
          <w:rFonts w:ascii="Arial" w:hAnsi="Arial" w:cs="Arial"/>
          <w:sz w:val="24"/>
          <w:szCs w:val="24"/>
          <w:lang w:val="en-US"/>
        </w:rPr>
        <w:t>agreement</w:t>
      </w:r>
      <w:r w:rsidR="00FF137B" w:rsidRPr="00D64A60">
        <w:rPr>
          <w:rFonts w:ascii="Arial" w:hAnsi="Arial" w:cs="Arial"/>
          <w:sz w:val="24"/>
          <w:szCs w:val="24"/>
          <w:lang w:val="en-US"/>
        </w:rPr>
        <w:t xml:space="preserve">, </w:t>
      </w:r>
      <w:r w:rsidR="00767D40" w:rsidRPr="00D64A60">
        <w:rPr>
          <w:rFonts w:ascii="Arial" w:hAnsi="Arial" w:cs="Arial"/>
          <w:sz w:val="24"/>
          <w:szCs w:val="24"/>
          <w:lang w:val="en-US"/>
        </w:rPr>
        <w:t xml:space="preserve">I have </w:t>
      </w:r>
      <w:r w:rsidRPr="00D64A60">
        <w:rPr>
          <w:rFonts w:ascii="Arial" w:hAnsi="Arial" w:cs="Arial"/>
          <w:sz w:val="24"/>
          <w:szCs w:val="24"/>
          <w:lang w:val="en-US"/>
        </w:rPr>
        <w:t>little</w:t>
      </w:r>
      <w:r w:rsidR="00FF137B" w:rsidRPr="00D64A60">
        <w:rPr>
          <w:rFonts w:ascii="Arial" w:hAnsi="Arial" w:cs="Arial"/>
          <w:sz w:val="24"/>
          <w:szCs w:val="24"/>
          <w:lang w:val="en-US"/>
        </w:rPr>
        <w:t xml:space="preserve"> </w:t>
      </w:r>
      <w:r w:rsidR="00767D40" w:rsidRPr="00D64A60">
        <w:rPr>
          <w:rFonts w:ascii="Arial" w:hAnsi="Arial" w:cs="Arial"/>
          <w:sz w:val="24"/>
          <w:szCs w:val="24"/>
          <w:lang w:val="en-US"/>
        </w:rPr>
        <w:t xml:space="preserve">doubt that </w:t>
      </w:r>
      <w:r w:rsidR="00FF137B" w:rsidRPr="00D64A60">
        <w:rPr>
          <w:rFonts w:ascii="Arial" w:hAnsi="Arial" w:cs="Arial"/>
          <w:sz w:val="24"/>
          <w:szCs w:val="24"/>
          <w:lang w:val="en-US"/>
        </w:rPr>
        <w:t>the same decisions would have been reached</w:t>
      </w:r>
      <w:r w:rsidR="00A9721A" w:rsidRPr="00D64A60">
        <w:rPr>
          <w:rFonts w:ascii="Arial" w:hAnsi="Arial" w:cs="Arial"/>
          <w:sz w:val="24"/>
          <w:szCs w:val="24"/>
          <w:lang w:val="en-US"/>
        </w:rPr>
        <w:t xml:space="preserve"> in each case.  </w:t>
      </w:r>
    </w:p>
    <w:p w14:paraId="21AE1336" w14:textId="35DFA8D7" w:rsidR="008A70FD" w:rsidRPr="00D64A60" w:rsidRDefault="00093B86"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[6</w:t>
      </w:r>
      <w:r w:rsidR="00037906">
        <w:rPr>
          <w:rFonts w:ascii="Arial" w:hAnsi="Arial" w:cs="Arial"/>
          <w:sz w:val="24"/>
          <w:szCs w:val="24"/>
          <w:lang w:val="en-US"/>
        </w:rPr>
        <w:t>0</w:t>
      </w:r>
      <w:r w:rsidRPr="00D64A60">
        <w:rPr>
          <w:rFonts w:ascii="Arial" w:hAnsi="Arial" w:cs="Arial"/>
          <w:sz w:val="24"/>
          <w:szCs w:val="24"/>
          <w:lang w:val="en-US"/>
        </w:rPr>
        <w:t>]</w:t>
      </w:r>
      <w:r w:rsidRPr="00D64A60">
        <w:rPr>
          <w:rFonts w:ascii="Arial" w:hAnsi="Arial" w:cs="Arial"/>
          <w:sz w:val="24"/>
          <w:szCs w:val="24"/>
          <w:lang w:val="en-US"/>
        </w:rPr>
        <w:tab/>
      </w:r>
      <w:r w:rsidR="000D0258" w:rsidRPr="00921D26">
        <w:rPr>
          <w:rFonts w:ascii="Arial" w:hAnsi="Arial" w:cs="Arial"/>
          <w:sz w:val="24"/>
          <w:szCs w:val="24"/>
          <w:lang w:val="en-US"/>
        </w:rPr>
        <w:t xml:space="preserve">The real question is whether </w:t>
      </w:r>
      <w:r w:rsidR="00B42BD3" w:rsidRPr="00921D26">
        <w:rPr>
          <w:rFonts w:ascii="Arial" w:hAnsi="Arial" w:cs="Arial"/>
          <w:sz w:val="24"/>
          <w:szCs w:val="24"/>
          <w:lang w:val="en-US"/>
        </w:rPr>
        <w:t xml:space="preserve">knowledge of the facts </w:t>
      </w:r>
      <w:r w:rsidR="00A9721A" w:rsidRPr="00921D26">
        <w:rPr>
          <w:rFonts w:ascii="Arial" w:hAnsi="Arial" w:cs="Arial"/>
          <w:sz w:val="24"/>
          <w:szCs w:val="24"/>
          <w:lang w:val="en-US"/>
        </w:rPr>
        <w:t>no</w:t>
      </w:r>
      <w:r w:rsidRPr="00921D26">
        <w:rPr>
          <w:rFonts w:ascii="Arial" w:hAnsi="Arial" w:cs="Arial"/>
          <w:sz w:val="24"/>
          <w:szCs w:val="24"/>
          <w:lang w:val="en-US"/>
        </w:rPr>
        <w:t>w</w:t>
      </w:r>
      <w:r w:rsidR="00A9721A" w:rsidRPr="00921D26">
        <w:rPr>
          <w:rFonts w:ascii="Arial" w:hAnsi="Arial" w:cs="Arial"/>
          <w:sz w:val="24"/>
          <w:szCs w:val="24"/>
          <w:lang w:val="en-US"/>
        </w:rPr>
        <w:t xml:space="preserve"> brought to light</w:t>
      </w:r>
      <w:r w:rsidR="00B42BD3" w:rsidRPr="00921D26">
        <w:rPr>
          <w:rFonts w:ascii="Arial" w:hAnsi="Arial" w:cs="Arial"/>
          <w:sz w:val="24"/>
          <w:szCs w:val="24"/>
          <w:lang w:val="en-US"/>
        </w:rPr>
        <w:t xml:space="preserve"> concerning the July 2013 agreement would have materially affected the decisions of either the tenth respondent or this court to an extent that I should now </w:t>
      </w:r>
      <w:r w:rsidR="008A70FD" w:rsidRPr="00921D26">
        <w:rPr>
          <w:rFonts w:ascii="Arial" w:hAnsi="Arial" w:cs="Arial"/>
          <w:sz w:val="24"/>
          <w:szCs w:val="24"/>
          <w:lang w:val="en-US"/>
        </w:rPr>
        <w:t>interfere and set those decisions aside.</w:t>
      </w:r>
    </w:p>
    <w:p w14:paraId="26073D21" w14:textId="61C8BBD2" w:rsidR="008B340E" w:rsidRPr="00D64A60" w:rsidRDefault="00093B86" w:rsidP="00921D26">
      <w:pPr>
        <w:pStyle w:val="BowLevel1ListAlt"/>
        <w:numPr>
          <w:ilvl w:val="0"/>
          <w:numId w:val="0"/>
        </w:numPr>
        <w:ind w:left="567" w:hanging="567"/>
        <w:rPr>
          <w:rFonts w:ascii="Arial" w:hAnsi="Arial" w:cs="Arial"/>
          <w:sz w:val="24"/>
          <w:szCs w:val="24"/>
          <w:lang w:val="en-US"/>
        </w:rPr>
      </w:pPr>
      <w:r w:rsidRPr="00921D26">
        <w:rPr>
          <w:rFonts w:ascii="Arial" w:hAnsi="Arial" w:cs="Arial"/>
          <w:sz w:val="24"/>
          <w:szCs w:val="24"/>
          <w:lang w:val="en-US"/>
        </w:rPr>
        <w:t>[6</w:t>
      </w:r>
      <w:r w:rsidR="00037906">
        <w:rPr>
          <w:rFonts w:ascii="Arial" w:hAnsi="Arial" w:cs="Arial"/>
          <w:sz w:val="24"/>
          <w:szCs w:val="24"/>
          <w:lang w:val="en-US"/>
        </w:rPr>
        <w:t>1</w:t>
      </w:r>
      <w:r w:rsidRPr="00921D26">
        <w:rPr>
          <w:rFonts w:ascii="Arial" w:hAnsi="Arial" w:cs="Arial"/>
          <w:sz w:val="24"/>
          <w:szCs w:val="24"/>
          <w:lang w:val="en-US"/>
        </w:rPr>
        <w:t>]</w:t>
      </w:r>
      <w:r w:rsidRPr="00921D26">
        <w:rPr>
          <w:rFonts w:ascii="Arial" w:hAnsi="Arial" w:cs="Arial"/>
          <w:sz w:val="24"/>
          <w:szCs w:val="24"/>
          <w:lang w:val="en-US"/>
        </w:rPr>
        <w:tab/>
      </w:r>
      <w:r w:rsidR="008A70FD" w:rsidRPr="00921D26">
        <w:rPr>
          <w:rFonts w:ascii="Arial" w:hAnsi="Arial" w:cs="Arial"/>
          <w:sz w:val="24"/>
          <w:szCs w:val="24"/>
          <w:lang w:val="en-US"/>
        </w:rPr>
        <w:t xml:space="preserve">In considering this </w:t>
      </w:r>
      <w:r w:rsidR="00BC7546" w:rsidRPr="00921D26">
        <w:rPr>
          <w:rFonts w:ascii="Arial" w:hAnsi="Arial" w:cs="Arial"/>
          <w:sz w:val="24"/>
          <w:szCs w:val="24"/>
          <w:lang w:val="en-US"/>
        </w:rPr>
        <w:t xml:space="preserve">I have had some difficulty </w:t>
      </w:r>
      <w:r w:rsidR="008A70FD" w:rsidRPr="00921D26">
        <w:rPr>
          <w:rFonts w:ascii="Arial" w:hAnsi="Arial" w:cs="Arial"/>
          <w:sz w:val="24"/>
          <w:szCs w:val="24"/>
          <w:lang w:val="en-US"/>
        </w:rPr>
        <w:t xml:space="preserve">in understanding </w:t>
      </w:r>
      <w:r w:rsidR="00C20156" w:rsidRPr="00921D26">
        <w:rPr>
          <w:rFonts w:ascii="Arial" w:hAnsi="Arial" w:cs="Arial"/>
          <w:sz w:val="24"/>
          <w:szCs w:val="24"/>
          <w:lang w:val="en-US"/>
        </w:rPr>
        <w:t xml:space="preserve">precisely what consequences in law the applicant contends </w:t>
      </w:r>
      <w:r w:rsidR="008A70FD" w:rsidRPr="00921D26">
        <w:rPr>
          <w:rFonts w:ascii="Arial" w:hAnsi="Arial" w:cs="Arial"/>
          <w:sz w:val="24"/>
          <w:szCs w:val="24"/>
          <w:lang w:val="en-US"/>
        </w:rPr>
        <w:t xml:space="preserve">should follow from </w:t>
      </w:r>
      <w:r w:rsidR="008B340E" w:rsidRPr="00921D26">
        <w:rPr>
          <w:rFonts w:ascii="Arial" w:hAnsi="Arial" w:cs="Arial"/>
          <w:sz w:val="24"/>
          <w:szCs w:val="24"/>
          <w:lang w:val="en-US"/>
        </w:rPr>
        <w:t xml:space="preserve">the fact that the second July 2013 agreement was manipulated and not in fact signed.  </w:t>
      </w:r>
    </w:p>
    <w:p w14:paraId="4B80772D" w14:textId="6FE12E1A" w:rsidR="00177531" w:rsidRPr="00D64A60" w:rsidRDefault="00093B86" w:rsidP="00921D26">
      <w:pPr>
        <w:pStyle w:val="BowLevel1ListAlt"/>
        <w:numPr>
          <w:ilvl w:val="0"/>
          <w:numId w:val="0"/>
        </w:numPr>
        <w:ind w:left="567" w:hanging="567"/>
        <w:rPr>
          <w:rFonts w:ascii="Arial" w:hAnsi="Arial" w:cs="Arial"/>
          <w:sz w:val="24"/>
          <w:szCs w:val="24"/>
          <w:lang w:val="en-US"/>
        </w:rPr>
      </w:pPr>
      <w:r w:rsidRPr="00921D26">
        <w:rPr>
          <w:rFonts w:ascii="Arial" w:hAnsi="Arial" w:cs="Arial"/>
          <w:sz w:val="24"/>
          <w:szCs w:val="24"/>
          <w:lang w:val="en-US"/>
        </w:rPr>
        <w:t>[6</w:t>
      </w:r>
      <w:r w:rsidR="00037906">
        <w:rPr>
          <w:rFonts w:ascii="Arial" w:hAnsi="Arial" w:cs="Arial"/>
          <w:sz w:val="24"/>
          <w:szCs w:val="24"/>
          <w:lang w:val="en-US"/>
        </w:rPr>
        <w:t>2</w:t>
      </w:r>
      <w:r w:rsidRPr="00921D26">
        <w:rPr>
          <w:rFonts w:ascii="Arial" w:hAnsi="Arial" w:cs="Arial"/>
          <w:sz w:val="24"/>
          <w:szCs w:val="24"/>
          <w:lang w:val="en-US"/>
        </w:rPr>
        <w:t>]</w:t>
      </w:r>
      <w:r w:rsidRPr="00921D26">
        <w:rPr>
          <w:rFonts w:ascii="Arial" w:hAnsi="Arial" w:cs="Arial"/>
          <w:sz w:val="24"/>
          <w:szCs w:val="24"/>
          <w:lang w:val="en-US"/>
        </w:rPr>
        <w:tab/>
      </w:r>
      <w:r w:rsidR="008B340E" w:rsidRPr="00921D26">
        <w:rPr>
          <w:rFonts w:ascii="Arial" w:hAnsi="Arial" w:cs="Arial"/>
          <w:sz w:val="24"/>
          <w:szCs w:val="24"/>
          <w:lang w:val="en-US"/>
        </w:rPr>
        <w:t xml:space="preserve">On the one hand, Mr Cook submitted that the agreement was a fraud, and that “fraud unravels </w:t>
      </w:r>
      <w:r w:rsidRPr="00921D26">
        <w:rPr>
          <w:rFonts w:ascii="Arial" w:hAnsi="Arial" w:cs="Arial"/>
          <w:sz w:val="24"/>
          <w:szCs w:val="24"/>
          <w:lang w:val="en-US"/>
        </w:rPr>
        <w:t>everthing</w:t>
      </w:r>
      <w:r w:rsidR="008B340E" w:rsidRPr="00921D26">
        <w:rPr>
          <w:rFonts w:ascii="Arial" w:hAnsi="Arial" w:cs="Arial"/>
          <w:sz w:val="24"/>
          <w:szCs w:val="24"/>
          <w:lang w:val="en-US"/>
        </w:rPr>
        <w:t xml:space="preserve">”.  </w:t>
      </w:r>
      <w:r w:rsidR="009D21FB" w:rsidRPr="00921D26">
        <w:rPr>
          <w:rFonts w:ascii="Arial" w:hAnsi="Arial" w:cs="Arial"/>
          <w:sz w:val="24"/>
          <w:szCs w:val="24"/>
          <w:lang w:val="en-US"/>
        </w:rPr>
        <w:t xml:space="preserve">Another submission </w:t>
      </w:r>
      <w:r w:rsidR="00CA75B9" w:rsidRPr="00921D26">
        <w:rPr>
          <w:rFonts w:ascii="Arial" w:hAnsi="Arial" w:cs="Arial"/>
          <w:sz w:val="24"/>
          <w:szCs w:val="24"/>
          <w:lang w:val="en-US"/>
        </w:rPr>
        <w:t>was</w:t>
      </w:r>
      <w:r w:rsidR="009D21FB" w:rsidRPr="00921D26">
        <w:rPr>
          <w:rFonts w:ascii="Arial" w:hAnsi="Arial" w:cs="Arial"/>
          <w:sz w:val="24"/>
          <w:szCs w:val="24"/>
          <w:lang w:val="en-US"/>
        </w:rPr>
        <w:t xml:space="preserve"> that in fact the loan claim was ceded to EOH Mthombo </w:t>
      </w:r>
      <w:r w:rsidR="00330260" w:rsidRPr="00921D26">
        <w:rPr>
          <w:rFonts w:ascii="Arial" w:hAnsi="Arial" w:cs="Arial"/>
          <w:sz w:val="24"/>
          <w:szCs w:val="24"/>
          <w:lang w:val="en-US"/>
        </w:rPr>
        <w:t xml:space="preserve">under the first and properly signed July 2013 agreement, </w:t>
      </w:r>
      <w:r w:rsidR="00CA75B9" w:rsidRPr="00921D26">
        <w:rPr>
          <w:rFonts w:ascii="Arial" w:hAnsi="Arial" w:cs="Arial"/>
          <w:sz w:val="24"/>
          <w:szCs w:val="24"/>
          <w:lang w:val="en-US"/>
        </w:rPr>
        <w:t xml:space="preserve">and </w:t>
      </w:r>
      <w:r w:rsidR="005A210D" w:rsidRPr="00921D26">
        <w:rPr>
          <w:rFonts w:ascii="Arial" w:hAnsi="Arial" w:cs="Arial"/>
          <w:sz w:val="24"/>
          <w:szCs w:val="24"/>
          <w:lang w:val="en-US"/>
        </w:rPr>
        <w:t xml:space="preserve">was not ceded </w:t>
      </w:r>
      <w:r w:rsidR="00C71885">
        <w:rPr>
          <w:rFonts w:ascii="Arial" w:hAnsi="Arial" w:cs="Arial"/>
          <w:sz w:val="24"/>
          <w:szCs w:val="24"/>
          <w:lang w:val="en-US"/>
        </w:rPr>
        <w:t xml:space="preserve">to </w:t>
      </w:r>
      <w:r w:rsidR="009D21FB" w:rsidRPr="00921D26">
        <w:rPr>
          <w:rFonts w:ascii="Arial" w:hAnsi="Arial" w:cs="Arial"/>
          <w:sz w:val="24"/>
          <w:szCs w:val="24"/>
          <w:lang w:val="en-US"/>
        </w:rPr>
        <w:t>EOH MS</w:t>
      </w:r>
      <w:r w:rsidR="00EB2E1D" w:rsidRPr="00921D26">
        <w:rPr>
          <w:rFonts w:ascii="Arial" w:hAnsi="Arial" w:cs="Arial"/>
          <w:sz w:val="24"/>
          <w:szCs w:val="24"/>
          <w:lang w:val="en-US"/>
        </w:rPr>
        <w:t xml:space="preserve">.  </w:t>
      </w:r>
      <w:r w:rsidR="00CA75B9" w:rsidRPr="00921D26">
        <w:rPr>
          <w:rFonts w:ascii="Arial" w:hAnsi="Arial" w:cs="Arial"/>
          <w:sz w:val="24"/>
          <w:szCs w:val="24"/>
          <w:lang w:val="en-US"/>
        </w:rPr>
        <w:t xml:space="preserve">Yet </w:t>
      </w:r>
      <w:r w:rsidR="00EB2E1D" w:rsidRPr="00921D26">
        <w:rPr>
          <w:rFonts w:ascii="Arial" w:hAnsi="Arial" w:cs="Arial"/>
          <w:sz w:val="24"/>
          <w:szCs w:val="24"/>
          <w:lang w:val="en-US"/>
        </w:rPr>
        <w:t xml:space="preserve">another submission </w:t>
      </w:r>
      <w:r w:rsidR="00C71885">
        <w:rPr>
          <w:rFonts w:ascii="Arial" w:hAnsi="Arial" w:cs="Arial"/>
          <w:sz w:val="24"/>
          <w:szCs w:val="24"/>
          <w:lang w:val="en-US"/>
        </w:rPr>
        <w:t>was</w:t>
      </w:r>
      <w:r w:rsidR="00C71885" w:rsidRPr="00921D26">
        <w:rPr>
          <w:rFonts w:ascii="Arial" w:hAnsi="Arial" w:cs="Arial"/>
          <w:sz w:val="24"/>
          <w:szCs w:val="24"/>
          <w:lang w:val="en-US"/>
        </w:rPr>
        <w:t xml:space="preserve"> </w:t>
      </w:r>
      <w:r w:rsidR="00EB2E1D" w:rsidRPr="00921D26">
        <w:rPr>
          <w:rFonts w:ascii="Arial" w:hAnsi="Arial" w:cs="Arial"/>
          <w:sz w:val="24"/>
          <w:szCs w:val="24"/>
          <w:lang w:val="en-US"/>
        </w:rPr>
        <w:t xml:space="preserve">that there was no </w:t>
      </w:r>
      <w:r w:rsidR="00330260" w:rsidRPr="00921D26">
        <w:rPr>
          <w:rFonts w:ascii="Arial" w:hAnsi="Arial" w:cs="Arial"/>
          <w:sz w:val="24"/>
          <w:szCs w:val="24"/>
          <w:lang w:val="en-US"/>
        </w:rPr>
        <w:t xml:space="preserve">valid cession of the </w:t>
      </w:r>
      <w:r w:rsidR="005A210D" w:rsidRPr="00921D26">
        <w:rPr>
          <w:rFonts w:ascii="Arial" w:hAnsi="Arial" w:cs="Arial"/>
          <w:sz w:val="24"/>
          <w:szCs w:val="24"/>
          <w:lang w:val="en-US"/>
        </w:rPr>
        <w:t xml:space="preserve">loan </w:t>
      </w:r>
      <w:r w:rsidR="00330260" w:rsidRPr="00921D26">
        <w:rPr>
          <w:rFonts w:ascii="Arial" w:hAnsi="Arial" w:cs="Arial"/>
          <w:sz w:val="24"/>
          <w:szCs w:val="24"/>
          <w:lang w:val="en-US"/>
        </w:rPr>
        <w:t>claim at all</w:t>
      </w:r>
      <w:r w:rsidR="005A210D" w:rsidRPr="00921D26">
        <w:rPr>
          <w:rFonts w:ascii="Arial" w:hAnsi="Arial" w:cs="Arial"/>
          <w:sz w:val="24"/>
          <w:szCs w:val="24"/>
          <w:lang w:val="en-US"/>
        </w:rPr>
        <w:t xml:space="preserve">, with the result that the claim prescribed three years after the original repayment date agreed between </w:t>
      </w:r>
      <w:r w:rsidR="00177531" w:rsidRPr="00921D26">
        <w:rPr>
          <w:rFonts w:ascii="Arial" w:hAnsi="Arial" w:cs="Arial"/>
          <w:sz w:val="24"/>
          <w:szCs w:val="24"/>
          <w:lang w:val="en-US"/>
        </w:rPr>
        <w:t>Silver Touch and TSS.</w:t>
      </w:r>
    </w:p>
    <w:p w14:paraId="599AAFFB" w14:textId="5091BC4F" w:rsidR="00C54C2C" w:rsidRPr="00D64A60" w:rsidRDefault="00093B86"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[6</w:t>
      </w:r>
      <w:r w:rsidR="00037906">
        <w:rPr>
          <w:rFonts w:ascii="Arial" w:hAnsi="Arial" w:cs="Arial"/>
          <w:sz w:val="24"/>
          <w:szCs w:val="24"/>
          <w:lang w:val="en-US"/>
        </w:rPr>
        <w:t>3</w:t>
      </w:r>
      <w:r w:rsidRPr="00D64A60">
        <w:rPr>
          <w:rFonts w:ascii="Arial" w:hAnsi="Arial" w:cs="Arial"/>
          <w:sz w:val="24"/>
          <w:szCs w:val="24"/>
          <w:lang w:val="en-US"/>
        </w:rPr>
        <w:t>]</w:t>
      </w:r>
      <w:r w:rsidRPr="00D64A60">
        <w:rPr>
          <w:rFonts w:ascii="Arial" w:hAnsi="Arial" w:cs="Arial"/>
          <w:sz w:val="24"/>
          <w:szCs w:val="24"/>
          <w:lang w:val="en-US"/>
        </w:rPr>
        <w:tab/>
      </w:r>
      <w:r w:rsidR="00177531" w:rsidRPr="00D64A60">
        <w:rPr>
          <w:rFonts w:ascii="Arial" w:hAnsi="Arial" w:cs="Arial"/>
          <w:sz w:val="24"/>
          <w:szCs w:val="24"/>
          <w:lang w:val="en-US"/>
        </w:rPr>
        <w:t>I</w:t>
      </w:r>
      <w:r w:rsidRPr="00D64A60">
        <w:rPr>
          <w:rFonts w:ascii="Arial" w:hAnsi="Arial" w:cs="Arial"/>
          <w:sz w:val="24"/>
          <w:szCs w:val="24"/>
          <w:lang w:val="en-US"/>
        </w:rPr>
        <w:t>n the context of the facts of this matter I</w:t>
      </w:r>
      <w:r w:rsidR="00177531" w:rsidRPr="00D64A60">
        <w:rPr>
          <w:rFonts w:ascii="Arial" w:hAnsi="Arial" w:cs="Arial"/>
          <w:sz w:val="24"/>
          <w:szCs w:val="24"/>
          <w:lang w:val="en-US"/>
        </w:rPr>
        <w:t xml:space="preserve"> am not persuaded by any of these submissions.</w:t>
      </w:r>
    </w:p>
    <w:p w14:paraId="1E5E163D" w14:textId="5CDF8CAE" w:rsidR="00C54C2C" w:rsidRPr="00921D26" w:rsidRDefault="00093B86" w:rsidP="00921D26">
      <w:pPr>
        <w:pStyle w:val="BowLevel1ListAlt"/>
        <w:numPr>
          <w:ilvl w:val="0"/>
          <w:numId w:val="0"/>
        </w:numPr>
        <w:ind w:left="567" w:hanging="567"/>
        <w:rPr>
          <w:rFonts w:ascii="Arial" w:hAnsi="Arial" w:cs="Arial"/>
          <w:sz w:val="24"/>
          <w:szCs w:val="24"/>
          <w:lang w:val="en-US"/>
        </w:rPr>
      </w:pPr>
      <w:r w:rsidRPr="00921D26">
        <w:rPr>
          <w:rFonts w:ascii="Arial" w:hAnsi="Arial" w:cs="Arial"/>
          <w:sz w:val="24"/>
          <w:szCs w:val="24"/>
          <w:lang w:val="en-US"/>
        </w:rPr>
        <w:t>[6</w:t>
      </w:r>
      <w:r w:rsidR="00037906">
        <w:rPr>
          <w:rFonts w:ascii="Arial" w:hAnsi="Arial" w:cs="Arial"/>
          <w:sz w:val="24"/>
          <w:szCs w:val="24"/>
          <w:lang w:val="en-US"/>
        </w:rPr>
        <w:t>4</w:t>
      </w:r>
      <w:r w:rsidRPr="00921D26">
        <w:rPr>
          <w:rFonts w:ascii="Arial" w:hAnsi="Arial" w:cs="Arial"/>
          <w:sz w:val="24"/>
          <w:szCs w:val="24"/>
          <w:lang w:val="en-US"/>
        </w:rPr>
        <w:t>]</w:t>
      </w:r>
      <w:r w:rsidRPr="00921D26">
        <w:rPr>
          <w:rFonts w:ascii="Arial" w:hAnsi="Arial" w:cs="Arial"/>
          <w:sz w:val="24"/>
          <w:szCs w:val="24"/>
          <w:lang w:val="en-US"/>
        </w:rPr>
        <w:tab/>
      </w:r>
      <w:r w:rsidR="00C54C2C" w:rsidRPr="00921D26">
        <w:rPr>
          <w:rFonts w:ascii="Arial" w:hAnsi="Arial" w:cs="Arial"/>
          <w:sz w:val="24"/>
          <w:szCs w:val="24"/>
          <w:lang w:val="en-US"/>
        </w:rPr>
        <w:t xml:space="preserve">Whatever the reason for the </w:t>
      </w:r>
      <w:r w:rsidR="00177531" w:rsidRPr="00921D26">
        <w:rPr>
          <w:rFonts w:ascii="Arial" w:hAnsi="Arial" w:cs="Arial"/>
          <w:sz w:val="24"/>
          <w:szCs w:val="24"/>
          <w:lang w:val="en-US"/>
        </w:rPr>
        <w:t xml:space="preserve">clumsy manipulation of the July 2013 agreement, </w:t>
      </w:r>
      <w:r w:rsidR="00C54C2C" w:rsidRPr="00921D26">
        <w:rPr>
          <w:rFonts w:ascii="Arial" w:hAnsi="Arial" w:cs="Arial"/>
          <w:sz w:val="24"/>
          <w:szCs w:val="24"/>
          <w:lang w:val="en-US"/>
        </w:rPr>
        <w:t xml:space="preserve">no sensible or rational explanation has been provided in the papers or presented to me in argument other than that this was the method chosen, however ill-advised, by the person responsible for correcting an administrative error.  </w:t>
      </w:r>
    </w:p>
    <w:p w14:paraId="7F56781D" w14:textId="2CB29FC5" w:rsidR="00B420F1" w:rsidRPr="00921D26" w:rsidRDefault="00453E13" w:rsidP="00921D26">
      <w:pPr>
        <w:pStyle w:val="BowLevel1ListAlt"/>
        <w:numPr>
          <w:ilvl w:val="0"/>
          <w:numId w:val="0"/>
        </w:numPr>
        <w:ind w:left="567" w:hanging="567"/>
        <w:rPr>
          <w:rFonts w:ascii="Arial" w:hAnsi="Arial" w:cs="Arial"/>
          <w:sz w:val="24"/>
          <w:szCs w:val="24"/>
          <w:lang w:val="en-US"/>
        </w:rPr>
      </w:pPr>
      <w:r w:rsidRPr="00921D26">
        <w:rPr>
          <w:rFonts w:ascii="Arial" w:hAnsi="Arial" w:cs="Arial"/>
          <w:sz w:val="24"/>
          <w:szCs w:val="24"/>
          <w:lang w:val="en-US"/>
        </w:rPr>
        <w:t>[6</w:t>
      </w:r>
      <w:r w:rsidR="00F24AB0">
        <w:rPr>
          <w:rFonts w:ascii="Arial" w:hAnsi="Arial" w:cs="Arial"/>
          <w:sz w:val="24"/>
          <w:szCs w:val="24"/>
          <w:lang w:val="en-US"/>
        </w:rPr>
        <w:t>5</w:t>
      </w:r>
      <w:r w:rsidRPr="00921D26">
        <w:rPr>
          <w:rFonts w:ascii="Arial" w:hAnsi="Arial" w:cs="Arial"/>
          <w:sz w:val="24"/>
          <w:szCs w:val="24"/>
          <w:lang w:val="en-US"/>
        </w:rPr>
        <w:t>]</w:t>
      </w:r>
      <w:r w:rsidRPr="00921D26">
        <w:rPr>
          <w:rFonts w:ascii="Arial" w:hAnsi="Arial" w:cs="Arial"/>
          <w:sz w:val="24"/>
          <w:szCs w:val="24"/>
          <w:lang w:val="en-US"/>
        </w:rPr>
        <w:tab/>
      </w:r>
      <w:r w:rsidR="00C54C2C" w:rsidRPr="00921D26">
        <w:rPr>
          <w:rFonts w:ascii="Arial" w:hAnsi="Arial" w:cs="Arial"/>
          <w:sz w:val="24"/>
          <w:szCs w:val="24"/>
          <w:lang w:val="en-US"/>
        </w:rPr>
        <w:t xml:space="preserve">The revised document reflected the same extension of the repayment date, the only substantive term of the </w:t>
      </w:r>
      <w:r w:rsidR="00093B86" w:rsidRPr="00921D26">
        <w:rPr>
          <w:rFonts w:ascii="Arial" w:hAnsi="Arial" w:cs="Arial"/>
          <w:sz w:val="24"/>
          <w:szCs w:val="24"/>
          <w:lang w:val="en-US"/>
        </w:rPr>
        <w:t>agreement</w:t>
      </w:r>
      <w:r w:rsidR="00C54C2C" w:rsidRPr="00921D26">
        <w:rPr>
          <w:rFonts w:ascii="Arial" w:hAnsi="Arial" w:cs="Arial"/>
          <w:sz w:val="24"/>
          <w:szCs w:val="24"/>
          <w:lang w:val="en-US"/>
        </w:rPr>
        <w:t xml:space="preserve">, but this time recording in the preamble the transfer of the loan from TSS to </w:t>
      </w:r>
      <w:r w:rsidR="00AF595C" w:rsidRPr="00921D26">
        <w:rPr>
          <w:rFonts w:ascii="Arial" w:hAnsi="Arial" w:cs="Arial"/>
          <w:sz w:val="24"/>
          <w:szCs w:val="24"/>
          <w:lang w:val="en-US"/>
        </w:rPr>
        <w:t>EOH MS</w:t>
      </w:r>
      <w:r w:rsidR="00C54C2C" w:rsidRPr="00921D26">
        <w:rPr>
          <w:rFonts w:ascii="Arial" w:hAnsi="Arial" w:cs="Arial"/>
          <w:sz w:val="24"/>
          <w:szCs w:val="24"/>
          <w:lang w:val="en-US"/>
        </w:rPr>
        <w:t xml:space="preserve"> rather than to </w:t>
      </w:r>
      <w:r w:rsidR="00D50DE8" w:rsidRPr="00921D26">
        <w:rPr>
          <w:rFonts w:ascii="Arial" w:hAnsi="Arial" w:cs="Arial"/>
          <w:sz w:val="24"/>
          <w:szCs w:val="24"/>
          <w:lang w:val="en-US"/>
        </w:rPr>
        <w:t xml:space="preserve">its </w:t>
      </w:r>
      <w:r w:rsidR="00C54C2C" w:rsidRPr="00921D26">
        <w:rPr>
          <w:rFonts w:ascii="Arial" w:hAnsi="Arial" w:cs="Arial"/>
          <w:sz w:val="24"/>
          <w:szCs w:val="24"/>
          <w:lang w:val="en-US"/>
        </w:rPr>
        <w:t>parent company EOH Mthombo.</w:t>
      </w:r>
    </w:p>
    <w:p w14:paraId="1A87E4C6" w14:textId="71E1FE92" w:rsidR="00C54C2C" w:rsidRPr="00921D26" w:rsidRDefault="00453E13" w:rsidP="00921D26">
      <w:pPr>
        <w:pStyle w:val="BowLevel1ListAlt"/>
        <w:numPr>
          <w:ilvl w:val="0"/>
          <w:numId w:val="0"/>
        </w:numPr>
        <w:ind w:left="567" w:hanging="567"/>
        <w:rPr>
          <w:rFonts w:ascii="Arial" w:hAnsi="Arial" w:cs="Arial"/>
          <w:sz w:val="24"/>
          <w:szCs w:val="24"/>
          <w:lang w:val="en-US"/>
        </w:rPr>
      </w:pPr>
      <w:r w:rsidRPr="00921D26">
        <w:rPr>
          <w:rFonts w:ascii="Arial" w:hAnsi="Arial" w:cs="Arial"/>
          <w:sz w:val="24"/>
          <w:szCs w:val="24"/>
          <w:lang w:val="en-US"/>
        </w:rPr>
        <w:t>[6</w:t>
      </w:r>
      <w:r w:rsidR="00F24AB0">
        <w:rPr>
          <w:rFonts w:ascii="Arial" w:hAnsi="Arial" w:cs="Arial"/>
          <w:sz w:val="24"/>
          <w:szCs w:val="24"/>
          <w:lang w:val="en-US"/>
        </w:rPr>
        <w:t>6</w:t>
      </w:r>
      <w:r w:rsidRPr="00921D26">
        <w:rPr>
          <w:rFonts w:ascii="Arial" w:hAnsi="Arial" w:cs="Arial"/>
          <w:sz w:val="24"/>
          <w:szCs w:val="24"/>
          <w:lang w:val="en-US"/>
        </w:rPr>
        <w:t>]</w:t>
      </w:r>
      <w:r w:rsidRPr="00921D26">
        <w:rPr>
          <w:rFonts w:ascii="Arial" w:hAnsi="Arial" w:cs="Arial"/>
          <w:sz w:val="24"/>
          <w:szCs w:val="24"/>
          <w:lang w:val="en-US"/>
        </w:rPr>
        <w:tab/>
      </w:r>
      <w:r w:rsidR="00B420F1" w:rsidRPr="00921D26">
        <w:rPr>
          <w:rFonts w:ascii="Arial" w:hAnsi="Arial" w:cs="Arial"/>
          <w:sz w:val="24"/>
          <w:szCs w:val="24"/>
          <w:lang w:val="en-US"/>
        </w:rPr>
        <w:t>On the probabilities, on the evidence before me, this was in fact the mutual intention of the contracting parties.</w:t>
      </w:r>
      <w:r w:rsidR="00FD0286" w:rsidRPr="00921D26">
        <w:rPr>
          <w:rFonts w:ascii="Arial" w:hAnsi="Arial" w:cs="Arial"/>
          <w:sz w:val="24"/>
          <w:szCs w:val="24"/>
          <w:lang w:val="en-US"/>
        </w:rPr>
        <w:t xml:space="preserve">  Certainly that is what the same representatives of the same parties </w:t>
      </w:r>
      <w:r w:rsidR="000D58A0" w:rsidRPr="00921D26">
        <w:rPr>
          <w:rFonts w:ascii="Arial" w:hAnsi="Arial" w:cs="Arial"/>
          <w:sz w:val="24"/>
          <w:szCs w:val="24"/>
          <w:lang w:val="en-US"/>
        </w:rPr>
        <w:t>confirmed when they concluded the further extension in the “first amendment” agreement in January 2015.</w:t>
      </w:r>
      <w:r w:rsidR="00B420F1" w:rsidRPr="00921D26">
        <w:rPr>
          <w:rFonts w:ascii="Arial" w:hAnsi="Arial" w:cs="Arial"/>
          <w:sz w:val="24"/>
          <w:szCs w:val="24"/>
          <w:lang w:val="en-US"/>
        </w:rPr>
        <w:t xml:space="preserve"> </w:t>
      </w:r>
      <w:r w:rsidR="00C54C2C" w:rsidRPr="00921D26">
        <w:rPr>
          <w:rFonts w:ascii="Arial" w:hAnsi="Arial" w:cs="Arial"/>
          <w:sz w:val="24"/>
          <w:szCs w:val="24"/>
          <w:lang w:val="en-US"/>
        </w:rPr>
        <w:t xml:space="preserve">  </w:t>
      </w:r>
    </w:p>
    <w:p w14:paraId="051CAC19" w14:textId="4F3AE9C4" w:rsidR="0044588B" w:rsidRPr="00D64A60" w:rsidRDefault="00453E13"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[6</w:t>
      </w:r>
      <w:r w:rsidR="00F24AB0">
        <w:rPr>
          <w:rFonts w:ascii="Arial" w:hAnsi="Arial" w:cs="Arial"/>
          <w:sz w:val="24"/>
          <w:szCs w:val="24"/>
          <w:lang w:val="en-US"/>
        </w:rPr>
        <w:t>7</w:t>
      </w:r>
      <w:r w:rsidRPr="00D64A60">
        <w:rPr>
          <w:rFonts w:ascii="Arial" w:hAnsi="Arial" w:cs="Arial"/>
          <w:sz w:val="24"/>
          <w:szCs w:val="24"/>
          <w:lang w:val="en-US"/>
        </w:rPr>
        <w:t>]</w:t>
      </w:r>
      <w:r w:rsidRPr="00D64A60">
        <w:rPr>
          <w:rFonts w:ascii="Arial" w:hAnsi="Arial" w:cs="Arial"/>
          <w:sz w:val="24"/>
          <w:szCs w:val="24"/>
          <w:lang w:val="en-US"/>
        </w:rPr>
        <w:tab/>
      </w:r>
      <w:r w:rsidR="005F2145" w:rsidRPr="00D64A60">
        <w:rPr>
          <w:rFonts w:ascii="Arial" w:hAnsi="Arial" w:cs="Arial"/>
          <w:sz w:val="24"/>
          <w:szCs w:val="24"/>
          <w:lang w:val="en-US"/>
        </w:rPr>
        <w:t xml:space="preserve">Mr Cook submitted that </w:t>
      </w:r>
      <w:r w:rsidR="0040141A" w:rsidRPr="00D64A60">
        <w:rPr>
          <w:rFonts w:ascii="Arial" w:hAnsi="Arial" w:cs="Arial"/>
          <w:sz w:val="24"/>
          <w:szCs w:val="24"/>
          <w:lang w:val="en-US"/>
        </w:rPr>
        <w:t xml:space="preserve">although the January 2015 agreement recorded the transfer of the loan credit to </w:t>
      </w:r>
      <w:r w:rsidR="00DB09D4" w:rsidRPr="00D64A60">
        <w:rPr>
          <w:rFonts w:ascii="Arial" w:hAnsi="Arial" w:cs="Arial"/>
          <w:sz w:val="24"/>
          <w:szCs w:val="24"/>
          <w:lang w:val="en-US"/>
        </w:rPr>
        <w:t xml:space="preserve">the first respondent, </w:t>
      </w:r>
      <w:r w:rsidR="00967423" w:rsidRPr="00D64A60">
        <w:rPr>
          <w:rFonts w:ascii="Arial" w:hAnsi="Arial" w:cs="Arial"/>
          <w:sz w:val="24"/>
          <w:szCs w:val="24"/>
          <w:lang w:val="en-US"/>
        </w:rPr>
        <w:t xml:space="preserve">the fourth respondent </w:t>
      </w:r>
      <w:r w:rsidR="0040141A" w:rsidRPr="00D64A60">
        <w:rPr>
          <w:rFonts w:ascii="Arial" w:hAnsi="Arial" w:cs="Arial"/>
          <w:sz w:val="24"/>
          <w:szCs w:val="24"/>
          <w:lang w:val="en-US"/>
        </w:rPr>
        <w:t xml:space="preserve">had </w:t>
      </w:r>
      <w:r w:rsidR="00967423" w:rsidRPr="00D64A60">
        <w:rPr>
          <w:rFonts w:ascii="Arial" w:hAnsi="Arial" w:cs="Arial"/>
          <w:sz w:val="24"/>
          <w:szCs w:val="24"/>
          <w:lang w:val="en-US"/>
        </w:rPr>
        <w:t xml:space="preserve">signed </w:t>
      </w:r>
      <w:r w:rsidR="00371F68" w:rsidRPr="00D64A60">
        <w:rPr>
          <w:rFonts w:ascii="Arial" w:hAnsi="Arial" w:cs="Arial"/>
          <w:sz w:val="24"/>
          <w:szCs w:val="24"/>
          <w:lang w:val="en-US"/>
        </w:rPr>
        <w:t xml:space="preserve">it </w:t>
      </w:r>
      <w:r w:rsidR="00967423" w:rsidRPr="00D64A60">
        <w:rPr>
          <w:rFonts w:ascii="Arial" w:hAnsi="Arial" w:cs="Arial"/>
          <w:sz w:val="24"/>
          <w:szCs w:val="24"/>
          <w:lang w:val="en-US"/>
        </w:rPr>
        <w:t xml:space="preserve">on behalf of </w:t>
      </w:r>
      <w:r w:rsidR="00AF595C" w:rsidRPr="00D64A60">
        <w:rPr>
          <w:rFonts w:ascii="Arial" w:hAnsi="Arial" w:cs="Arial"/>
          <w:sz w:val="24"/>
          <w:szCs w:val="24"/>
          <w:lang w:val="en-US"/>
        </w:rPr>
        <w:t xml:space="preserve">EOH </w:t>
      </w:r>
      <w:r w:rsidR="005F2145" w:rsidRPr="00D64A60">
        <w:rPr>
          <w:rFonts w:ascii="Arial" w:hAnsi="Arial" w:cs="Arial"/>
          <w:sz w:val="24"/>
          <w:szCs w:val="24"/>
          <w:lang w:val="en-US"/>
        </w:rPr>
        <w:t xml:space="preserve">Mthombo and not EOH </w:t>
      </w:r>
      <w:r w:rsidR="00AF595C" w:rsidRPr="00D64A60">
        <w:rPr>
          <w:rFonts w:ascii="Arial" w:hAnsi="Arial" w:cs="Arial"/>
          <w:sz w:val="24"/>
          <w:szCs w:val="24"/>
          <w:lang w:val="en-US"/>
        </w:rPr>
        <w:t>MS</w:t>
      </w:r>
      <w:r w:rsidR="005F2145" w:rsidRPr="00D64A60">
        <w:rPr>
          <w:rFonts w:ascii="Arial" w:hAnsi="Arial" w:cs="Arial"/>
          <w:sz w:val="24"/>
          <w:szCs w:val="24"/>
          <w:lang w:val="en-US"/>
        </w:rPr>
        <w:t>, and that</w:t>
      </w:r>
      <w:r w:rsidR="00AB266E" w:rsidRPr="00D64A60">
        <w:rPr>
          <w:rFonts w:ascii="Arial" w:hAnsi="Arial" w:cs="Arial"/>
          <w:sz w:val="24"/>
          <w:szCs w:val="24"/>
          <w:lang w:val="en-US"/>
        </w:rPr>
        <w:t xml:space="preserve"> in the absence of proof of authority or agency this did not establish </w:t>
      </w:r>
      <w:r w:rsidR="00371F68" w:rsidRPr="00D64A60">
        <w:rPr>
          <w:rFonts w:ascii="Arial" w:hAnsi="Arial" w:cs="Arial"/>
          <w:sz w:val="24"/>
          <w:szCs w:val="24"/>
          <w:lang w:val="en-US"/>
        </w:rPr>
        <w:t xml:space="preserve">the </w:t>
      </w:r>
      <w:r w:rsidR="00AB266E" w:rsidRPr="00D64A60">
        <w:rPr>
          <w:rFonts w:ascii="Arial" w:hAnsi="Arial" w:cs="Arial"/>
          <w:sz w:val="24"/>
          <w:szCs w:val="24"/>
          <w:lang w:val="en-US"/>
        </w:rPr>
        <w:t xml:space="preserve">agreement of </w:t>
      </w:r>
      <w:r w:rsidR="00AF595C" w:rsidRPr="00D64A60">
        <w:rPr>
          <w:rFonts w:ascii="Arial" w:hAnsi="Arial" w:cs="Arial"/>
          <w:sz w:val="24"/>
          <w:szCs w:val="24"/>
          <w:lang w:val="en-US"/>
        </w:rPr>
        <w:t>EOH MS</w:t>
      </w:r>
      <w:r w:rsidR="00AB266E" w:rsidRPr="00D64A60">
        <w:rPr>
          <w:rFonts w:ascii="Arial" w:hAnsi="Arial" w:cs="Arial"/>
          <w:sz w:val="24"/>
          <w:szCs w:val="24"/>
          <w:lang w:val="en-US"/>
        </w:rPr>
        <w:t xml:space="preserve"> to </w:t>
      </w:r>
      <w:r w:rsidR="00371F68" w:rsidRPr="00D64A60">
        <w:rPr>
          <w:rFonts w:ascii="Arial" w:hAnsi="Arial" w:cs="Arial"/>
          <w:sz w:val="24"/>
          <w:szCs w:val="24"/>
          <w:lang w:val="en-US"/>
        </w:rPr>
        <w:t xml:space="preserve">an extension </w:t>
      </w:r>
      <w:r w:rsidR="0014131F" w:rsidRPr="00D64A60">
        <w:rPr>
          <w:rFonts w:ascii="Arial" w:hAnsi="Arial" w:cs="Arial"/>
          <w:sz w:val="24"/>
          <w:szCs w:val="24"/>
          <w:lang w:val="en-US"/>
        </w:rPr>
        <w:t>of</w:t>
      </w:r>
      <w:r w:rsidR="00AB266E" w:rsidRPr="00D64A60">
        <w:rPr>
          <w:rFonts w:ascii="Arial" w:hAnsi="Arial" w:cs="Arial"/>
          <w:sz w:val="24"/>
          <w:szCs w:val="24"/>
          <w:lang w:val="en-US"/>
        </w:rPr>
        <w:t xml:space="preserve"> the date for repayment.  I do not agree.  </w:t>
      </w:r>
    </w:p>
    <w:p w14:paraId="3802E14C" w14:textId="5B337EAF" w:rsidR="0044588B" w:rsidRPr="00D64A60" w:rsidRDefault="00453E13"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[6</w:t>
      </w:r>
      <w:r w:rsidR="00F24AB0">
        <w:rPr>
          <w:rFonts w:ascii="Arial" w:hAnsi="Arial" w:cs="Arial"/>
          <w:sz w:val="24"/>
          <w:szCs w:val="24"/>
          <w:lang w:val="en-US"/>
        </w:rPr>
        <w:t>8</w:t>
      </w:r>
      <w:r w:rsidRPr="00D64A60">
        <w:rPr>
          <w:rFonts w:ascii="Arial" w:hAnsi="Arial" w:cs="Arial"/>
          <w:sz w:val="24"/>
          <w:szCs w:val="24"/>
          <w:lang w:val="en-US"/>
        </w:rPr>
        <w:t>]</w:t>
      </w:r>
      <w:r w:rsidRPr="00D64A60">
        <w:rPr>
          <w:rFonts w:ascii="Arial" w:hAnsi="Arial" w:cs="Arial"/>
          <w:sz w:val="24"/>
          <w:szCs w:val="24"/>
          <w:lang w:val="en-US"/>
        </w:rPr>
        <w:tab/>
      </w:r>
      <w:r w:rsidR="0044588B" w:rsidRPr="00D64A60">
        <w:rPr>
          <w:rFonts w:ascii="Arial" w:hAnsi="Arial" w:cs="Arial"/>
          <w:sz w:val="24"/>
          <w:szCs w:val="24"/>
          <w:lang w:val="en-US"/>
        </w:rPr>
        <w:t>The</w:t>
      </w:r>
      <w:r w:rsidR="00AB266E" w:rsidRPr="00D64A60">
        <w:rPr>
          <w:rFonts w:ascii="Arial" w:hAnsi="Arial" w:cs="Arial"/>
          <w:sz w:val="24"/>
          <w:szCs w:val="24"/>
          <w:lang w:val="en-US"/>
        </w:rPr>
        <w:t xml:space="preserve">re can be no doubt that the intention of </w:t>
      </w:r>
      <w:r w:rsidR="001A64C4" w:rsidRPr="00D64A60">
        <w:rPr>
          <w:rFonts w:ascii="Arial" w:hAnsi="Arial" w:cs="Arial"/>
          <w:sz w:val="24"/>
          <w:szCs w:val="24"/>
          <w:lang w:val="en-US"/>
        </w:rPr>
        <w:t xml:space="preserve">the applicant on the one hand, and the EOH group on the other, </w:t>
      </w:r>
      <w:r w:rsidR="005F2145" w:rsidRPr="00D64A60">
        <w:rPr>
          <w:rFonts w:ascii="Arial" w:hAnsi="Arial" w:cs="Arial"/>
          <w:sz w:val="24"/>
          <w:szCs w:val="24"/>
          <w:lang w:val="en-US"/>
        </w:rPr>
        <w:t>was</w:t>
      </w:r>
      <w:r w:rsidR="0044588B" w:rsidRPr="00D64A60">
        <w:rPr>
          <w:rFonts w:ascii="Arial" w:hAnsi="Arial" w:cs="Arial"/>
          <w:sz w:val="24"/>
          <w:szCs w:val="24"/>
          <w:lang w:val="en-US"/>
        </w:rPr>
        <w:t xml:space="preserve"> unequivocally communicated</w:t>
      </w:r>
      <w:r w:rsidR="001A64C4" w:rsidRPr="00D64A60">
        <w:rPr>
          <w:rFonts w:ascii="Arial" w:hAnsi="Arial" w:cs="Arial"/>
          <w:sz w:val="24"/>
          <w:szCs w:val="24"/>
          <w:lang w:val="en-US"/>
        </w:rPr>
        <w:t xml:space="preserve">.  </w:t>
      </w:r>
      <w:r w:rsidR="001F3748" w:rsidRPr="00D64A60">
        <w:rPr>
          <w:rFonts w:ascii="Arial" w:hAnsi="Arial" w:cs="Arial"/>
          <w:sz w:val="24"/>
          <w:szCs w:val="24"/>
          <w:lang w:val="en-US"/>
        </w:rPr>
        <w:t xml:space="preserve">The </w:t>
      </w:r>
      <w:r w:rsidR="005F2145" w:rsidRPr="00D64A60">
        <w:rPr>
          <w:rFonts w:ascii="Arial" w:hAnsi="Arial" w:cs="Arial"/>
          <w:sz w:val="24"/>
          <w:szCs w:val="24"/>
          <w:lang w:val="en-US"/>
        </w:rPr>
        <w:t xml:space="preserve">“first amendment” </w:t>
      </w:r>
      <w:r w:rsidR="001F3748" w:rsidRPr="00D64A60">
        <w:rPr>
          <w:rFonts w:ascii="Arial" w:hAnsi="Arial" w:cs="Arial"/>
          <w:sz w:val="24"/>
          <w:szCs w:val="24"/>
          <w:lang w:val="en-US"/>
        </w:rPr>
        <w:t>agreement record</w:t>
      </w:r>
      <w:r w:rsidR="005F2145" w:rsidRPr="00D64A60">
        <w:rPr>
          <w:rFonts w:ascii="Arial" w:hAnsi="Arial" w:cs="Arial"/>
          <w:sz w:val="24"/>
          <w:szCs w:val="24"/>
          <w:lang w:val="en-US"/>
        </w:rPr>
        <w:t>ed</w:t>
      </w:r>
      <w:r w:rsidR="001F3748" w:rsidRPr="00D64A60">
        <w:rPr>
          <w:rFonts w:ascii="Arial" w:hAnsi="Arial" w:cs="Arial"/>
          <w:sz w:val="24"/>
          <w:szCs w:val="24"/>
          <w:lang w:val="en-US"/>
        </w:rPr>
        <w:t xml:space="preserve"> the tran</w:t>
      </w:r>
      <w:r w:rsidR="005F2145" w:rsidRPr="00D64A60">
        <w:rPr>
          <w:rFonts w:ascii="Arial" w:hAnsi="Arial" w:cs="Arial"/>
          <w:sz w:val="24"/>
          <w:szCs w:val="24"/>
          <w:lang w:val="en-US"/>
        </w:rPr>
        <w:t>s</w:t>
      </w:r>
      <w:r w:rsidR="001F3748" w:rsidRPr="00D64A60">
        <w:rPr>
          <w:rFonts w:ascii="Arial" w:hAnsi="Arial" w:cs="Arial"/>
          <w:sz w:val="24"/>
          <w:szCs w:val="24"/>
          <w:lang w:val="en-US"/>
        </w:rPr>
        <w:t>fe</w:t>
      </w:r>
      <w:r w:rsidR="00121E9E" w:rsidRPr="00D64A60">
        <w:rPr>
          <w:rFonts w:ascii="Arial" w:hAnsi="Arial" w:cs="Arial"/>
          <w:sz w:val="24"/>
          <w:szCs w:val="24"/>
          <w:lang w:val="en-US"/>
        </w:rPr>
        <w:t>r</w:t>
      </w:r>
      <w:r w:rsidR="001F3748" w:rsidRPr="00D64A60">
        <w:rPr>
          <w:rFonts w:ascii="Arial" w:hAnsi="Arial" w:cs="Arial"/>
          <w:sz w:val="24"/>
          <w:szCs w:val="24"/>
          <w:lang w:val="en-US"/>
        </w:rPr>
        <w:t xml:space="preserve"> of the loan credit to </w:t>
      </w:r>
      <w:r w:rsidR="00AF595C" w:rsidRPr="00D64A60">
        <w:rPr>
          <w:rFonts w:ascii="Arial" w:hAnsi="Arial" w:cs="Arial"/>
          <w:sz w:val="24"/>
          <w:szCs w:val="24"/>
          <w:lang w:val="en-US"/>
        </w:rPr>
        <w:t>EOH MS</w:t>
      </w:r>
      <w:r w:rsidR="00121E9E" w:rsidRPr="00D64A60">
        <w:rPr>
          <w:rFonts w:ascii="Arial" w:hAnsi="Arial" w:cs="Arial"/>
          <w:sz w:val="24"/>
          <w:szCs w:val="24"/>
          <w:lang w:val="en-US"/>
        </w:rPr>
        <w:t xml:space="preserve">, and it </w:t>
      </w:r>
      <w:r w:rsidR="0044588B" w:rsidRPr="00D64A60">
        <w:rPr>
          <w:rFonts w:ascii="Arial" w:hAnsi="Arial" w:cs="Arial"/>
          <w:sz w:val="24"/>
          <w:szCs w:val="24"/>
          <w:lang w:val="en-US"/>
        </w:rPr>
        <w:t>extend</w:t>
      </w:r>
      <w:r w:rsidR="005F2145" w:rsidRPr="00D64A60">
        <w:rPr>
          <w:rFonts w:ascii="Arial" w:hAnsi="Arial" w:cs="Arial"/>
          <w:sz w:val="24"/>
          <w:szCs w:val="24"/>
          <w:lang w:val="en-US"/>
        </w:rPr>
        <w:t>ed</w:t>
      </w:r>
      <w:r w:rsidR="0044588B" w:rsidRPr="00D64A60">
        <w:rPr>
          <w:rFonts w:ascii="Arial" w:hAnsi="Arial" w:cs="Arial"/>
          <w:sz w:val="24"/>
          <w:szCs w:val="24"/>
          <w:lang w:val="en-US"/>
        </w:rPr>
        <w:t xml:space="preserve"> the date for repayment of the loan until 20 January 2020.</w:t>
      </w:r>
      <w:r w:rsidR="0014131F" w:rsidRPr="00D64A60">
        <w:rPr>
          <w:rFonts w:ascii="Arial" w:hAnsi="Arial" w:cs="Arial"/>
          <w:sz w:val="24"/>
          <w:szCs w:val="24"/>
          <w:lang w:val="en-US"/>
        </w:rPr>
        <w:t xml:space="preserve">  </w:t>
      </w:r>
      <w:r w:rsidR="0044588B" w:rsidRPr="00D64A60">
        <w:rPr>
          <w:rFonts w:ascii="Arial" w:hAnsi="Arial" w:cs="Arial"/>
          <w:sz w:val="24"/>
          <w:szCs w:val="24"/>
          <w:lang w:val="en-US"/>
        </w:rPr>
        <w:t xml:space="preserve"> </w:t>
      </w:r>
    </w:p>
    <w:p w14:paraId="6189EC83" w14:textId="2226D341" w:rsidR="0044588B" w:rsidRPr="00921D26" w:rsidRDefault="00E71550" w:rsidP="00921D26">
      <w:pPr>
        <w:pStyle w:val="BowLevel1ListAlt"/>
        <w:numPr>
          <w:ilvl w:val="0"/>
          <w:numId w:val="0"/>
        </w:numPr>
        <w:ind w:left="567" w:hanging="567"/>
        <w:rPr>
          <w:rFonts w:ascii="Arial" w:hAnsi="Arial" w:cs="Arial"/>
          <w:sz w:val="24"/>
          <w:szCs w:val="24"/>
          <w:lang w:val="en-US"/>
        </w:rPr>
      </w:pPr>
      <w:r w:rsidRPr="00921D26">
        <w:rPr>
          <w:rFonts w:ascii="Arial" w:hAnsi="Arial" w:cs="Arial"/>
          <w:sz w:val="24"/>
          <w:szCs w:val="24"/>
          <w:lang w:val="en-US"/>
        </w:rPr>
        <w:t>[</w:t>
      </w:r>
      <w:r w:rsidR="003802F1">
        <w:rPr>
          <w:rFonts w:ascii="Arial" w:hAnsi="Arial" w:cs="Arial"/>
          <w:sz w:val="24"/>
          <w:szCs w:val="24"/>
          <w:lang w:val="en-US"/>
        </w:rPr>
        <w:t>69</w:t>
      </w:r>
      <w:r w:rsidRPr="00921D26">
        <w:rPr>
          <w:rFonts w:ascii="Arial" w:hAnsi="Arial" w:cs="Arial"/>
          <w:sz w:val="24"/>
          <w:szCs w:val="24"/>
          <w:lang w:val="en-US"/>
        </w:rPr>
        <w:t>]</w:t>
      </w:r>
      <w:r w:rsidRPr="00921D26">
        <w:rPr>
          <w:rFonts w:ascii="Arial" w:hAnsi="Arial" w:cs="Arial"/>
          <w:sz w:val="24"/>
          <w:szCs w:val="24"/>
          <w:lang w:val="en-US"/>
        </w:rPr>
        <w:tab/>
      </w:r>
      <w:r w:rsidR="0044588B" w:rsidRPr="00921D26">
        <w:rPr>
          <w:rFonts w:ascii="Arial" w:hAnsi="Arial" w:cs="Arial"/>
          <w:sz w:val="24"/>
          <w:szCs w:val="24"/>
          <w:lang w:val="en-US"/>
        </w:rPr>
        <w:t xml:space="preserve">That the </w:t>
      </w:r>
      <w:r w:rsidR="00121E9E" w:rsidRPr="00921D26">
        <w:rPr>
          <w:rFonts w:ascii="Arial" w:hAnsi="Arial" w:cs="Arial"/>
          <w:sz w:val="24"/>
          <w:szCs w:val="24"/>
          <w:lang w:val="en-US"/>
        </w:rPr>
        <w:t>a</w:t>
      </w:r>
      <w:r w:rsidR="0044588B" w:rsidRPr="00921D26">
        <w:rPr>
          <w:rFonts w:ascii="Arial" w:hAnsi="Arial" w:cs="Arial"/>
          <w:sz w:val="24"/>
          <w:szCs w:val="24"/>
          <w:lang w:val="en-US"/>
        </w:rPr>
        <w:t xml:space="preserve">pplicant </w:t>
      </w:r>
      <w:r w:rsidR="00121E9E" w:rsidRPr="00921D26">
        <w:rPr>
          <w:rFonts w:ascii="Arial" w:hAnsi="Arial" w:cs="Arial"/>
          <w:sz w:val="24"/>
          <w:szCs w:val="24"/>
          <w:lang w:val="en-US"/>
        </w:rPr>
        <w:t xml:space="preserve">himself </w:t>
      </w:r>
      <w:r w:rsidR="0044588B" w:rsidRPr="00921D26">
        <w:rPr>
          <w:rFonts w:ascii="Arial" w:hAnsi="Arial" w:cs="Arial"/>
          <w:sz w:val="24"/>
          <w:szCs w:val="24"/>
          <w:lang w:val="en-US"/>
        </w:rPr>
        <w:t xml:space="preserve">understood </w:t>
      </w:r>
      <w:r w:rsidR="00121E9E" w:rsidRPr="00921D26">
        <w:rPr>
          <w:rFonts w:ascii="Arial" w:hAnsi="Arial" w:cs="Arial"/>
          <w:sz w:val="24"/>
          <w:szCs w:val="24"/>
          <w:lang w:val="en-US"/>
        </w:rPr>
        <w:t xml:space="preserve">that this is what had occurred </w:t>
      </w:r>
      <w:r w:rsidR="0044588B" w:rsidRPr="00921D26">
        <w:rPr>
          <w:rFonts w:ascii="Arial" w:hAnsi="Arial" w:cs="Arial"/>
          <w:sz w:val="24"/>
          <w:szCs w:val="24"/>
          <w:lang w:val="en-US"/>
        </w:rPr>
        <w:t xml:space="preserve">is evidenced by </w:t>
      </w:r>
      <w:r w:rsidR="005F2145" w:rsidRPr="00921D26">
        <w:rPr>
          <w:rFonts w:ascii="Arial" w:hAnsi="Arial" w:cs="Arial"/>
          <w:sz w:val="24"/>
          <w:szCs w:val="24"/>
          <w:lang w:val="en-US"/>
        </w:rPr>
        <w:t xml:space="preserve">the letter that he </w:t>
      </w:r>
      <w:r w:rsidR="0044588B" w:rsidRPr="00921D26">
        <w:rPr>
          <w:rFonts w:ascii="Arial" w:hAnsi="Arial" w:cs="Arial"/>
          <w:sz w:val="24"/>
          <w:szCs w:val="24"/>
          <w:lang w:val="en-US"/>
        </w:rPr>
        <w:t>subsequently signed on behalf of Silver Touch</w:t>
      </w:r>
      <w:r w:rsidR="005F2145" w:rsidRPr="00921D26">
        <w:rPr>
          <w:rFonts w:ascii="Arial" w:hAnsi="Arial" w:cs="Arial"/>
          <w:sz w:val="24"/>
          <w:szCs w:val="24"/>
          <w:lang w:val="en-US"/>
        </w:rPr>
        <w:t xml:space="preserve">, </w:t>
      </w:r>
      <w:r w:rsidR="0044588B" w:rsidRPr="00921D26">
        <w:rPr>
          <w:rFonts w:ascii="Arial" w:hAnsi="Arial" w:cs="Arial"/>
          <w:sz w:val="24"/>
          <w:szCs w:val="24"/>
          <w:lang w:val="en-US"/>
        </w:rPr>
        <w:t>dated 26 September 201</w:t>
      </w:r>
      <w:r w:rsidRPr="00921D26">
        <w:rPr>
          <w:rFonts w:ascii="Arial" w:hAnsi="Arial" w:cs="Arial"/>
          <w:sz w:val="24"/>
          <w:szCs w:val="24"/>
          <w:lang w:val="en-US"/>
        </w:rPr>
        <w:t>7</w:t>
      </w:r>
      <w:r w:rsidR="00622486" w:rsidRPr="00921D26">
        <w:rPr>
          <w:rFonts w:ascii="Arial" w:hAnsi="Arial" w:cs="Arial"/>
          <w:sz w:val="24"/>
          <w:szCs w:val="24"/>
          <w:lang w:val="en-US"/>
        </w:rPr>
        <w:t xml:space="preserve">.  </w:t>
      </w:r>
    </w:p>
    <w:p w14:paraId="2FDF6E4F" w14:textId="53D90C2E" w:rsidR="009E1F01" w:rsidRPr="00D64A60" w:rsidRDefault="00E71550"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[7</w:t>
      </w:r>
      <w:r w:rsidR="003802F1">
        <w:rPr>
          <w:rFonts w:ascii="Arial" w:hAnsi="Arial" w:cs="Arial"/>
          <w:sz w:val="24"/>
          <w:szCs w:val="24"/>
          <w:lang w:val="en-US"/>
        </w:rPr>
        <w:t>0</w:t>
      </w:r>
      <w:r w:rsidRPr="00D64A60">
        <w:rPr>
          <w:rFonts w:ascii="Arial" w:hAnsi="Arial" w:cs="Arial"/>
          <w:sz w:val="24"/>
          <w:szCs w:val="24"/>
          <w:lang w:val="en-US"/>
        </w:rPr>
        <w:t>]</w:t>
      </w:r>
      <w:r w:rsidRPr="00D64A60">
        <w:rPr>
          <w:rFonts w:ascii="Arial" w:hAnsi="Arial" w:cs="Arial"/>
          <w:sz w:val="24"/>
          <w:szCs w:val="24"/>
          <w:lang w:val="en-US"/>
        </w:rPr>
        <w:tab/>
      </w:r>
      <w:r w:rsidR="0044588B" w:rsidRPr="00D64A60">
        <w:rPr>
          <w:rFonts w:ascii="Arial" w:hAnsi="Arial" w:cs="Arial"/>
          <w:sz w:val="24"/>
          <w:szCs w:val="24"/>
          <w:lang w:val="en-US"/>
        </w:rPr>
        <w:t xml:space="preserve">Mr Cook submitted that </w:t>
      </w:r>
      <w:r w:rsidR="005051BD" w:rsidRPr="00D64A60">
        <w:rPr>
          <w:rFonts w:ascii="Arial" w:hAnsi="Arial" w:cs="Arial"/>
          <w:sz w:val="24"/>
          <w:szCs w:val="24"/>
          <w:lang w:val="en-US"/>
        </w:rPr>
        <w:t xml:space="preserve">it was apparent from the face of </w:t>
      </w:r>
      <w:r w:rsidR="005F2145" w:rsidRPr="00D64A60">
        <w:rPr>
          <w:rFonts w:ascii="Arial" w:hAnsi="Arial" w:cs="Arial"/>
          <w:sz w:val="24"/>
          <w:szCs w:val="24"/>
          <w:lang w:val="en-US"/>
        </w:rPr>
        <w:t xml:space="preserve">that letter </w:t>
      </w:r>
      <w:r w:rsidR="005051BD" w:rsidRPr="00D64A60">
        <w:rPr>
          <w:rFonts w:ascii="Arial" w:hAnsi="Arial" w:cs="Arial"/>
          <w:sz w:val="24"/>
          <w:szCs w:val="24"/>
          <w:lang w:val="en-US"/>
        </w:rPr>
        <w:t xml:space="preserve">that this was </w:t>
      </w:r>
      <w:r w:rsidR="0044588B" w:rsidRPr="00D64A60">
        <w:rPr>
          <w:rFonts w:ascii="Arial" w:hAnsi="Arial" w:cs="Arial"/>
          <w:sz w:val="24"/>
          <w:szCs w:val="24"/>
          <w:lang w:val="en-US"/>
        </w:rPr>
        <w:t xml:space="preserve">simply a document issued for the purpose of </w:t>
      </w:r>
      <w:r w:rsidR="005051BD" w:rsidRPr="00D64A60">
        <w:rPr>
          <w:rFonts w:ascii="Arial" w:hAnsi="Arial" w:cs="Arial"/>
          <w:sz w:val="24"/>
          <w:szCs w:val="24"/>
          <w:lang w:val="en-US"/>
        </w:rPr>
        <w:t xml:space="preserve">supporting </w:t>
      </w:r>
      <w:r w:rsidR="00AF595C" w:rsidRPr="00D64A60">
        <w:rPr>
          <w:rFonts w:ascii="Arial" w:hAnsi="Arial" w:cs="Arial"/>
          <w:sz w:val="24"/>
          <w:szCs w:val="24"/>
          <w:lang w:val="en-US"/>
        </w:rPr>
        <w:t>EOH MS</w:t>
      </w:r>
      <w:r w:rsidR="005051BD" w:rsidRPr="00D64A60">
        <w:rPr>
          <w:rFonts w:ascii="Arial" w:hAnsi="Arial" w:cs="Arial"/>
          <w:sz w:val="24"/>
          <w:szCs w:val="24"/>
          <w:lang w:val="en-US"/>
        </w:rPr>
        <w:t xml:space="preserve"> </w:t>
      </w:r>
      <w:r w:rsidR="009E1F01" w:rsidRPr="00D64A60">
        <w:rPr>
          <w:rFonts w:ascii="Arial" w:hAnsi="Arial" w:cs="Arial"/>
          <w:sz w:val="24"/>
          <w:szCs w:val="24"/>
          <w:lang w:val="en-US"/>
        </w:rPr>
        <w:t xml:space="preserve">in </w:t>
      </w:r>
      <w:r w:rsidR="0044588B" w:rsidRPr="00D64A60">
        <w:rPr>
          <w:rFonts w:ascii="Arial" w:hAnsi="Arial" w:cs="Arial"/>
          <w:sz w:val="24"/>
          <w:szCs w:val="24"/>
          <w:lang w:val="en-US"/>
        </w:rPr>
        <w:t>claiming BBBEE points</w:t>
      </w:r>
      <w:r w:rsidR="009E1F01" w:rsidRPr="00D64A60">
        <w:rPr>
          <w:rFonts w:ascii="Arial" w:hAnsi="Arial" w:cs="Arial"/>
          <w:sz w:val="24"/>
          <w:szCs w:val="24"/>
          <w:lang w:val="en-US"/>
        </w:rPr>
        <w:t>, and that it did not necessarily reflect or confirm the true state of affairs</w:t>
      </w:r>
      <w:r w:rsidR="0044588B" w:rsidRPr="00D64A60">
        <w:rPr>
          <w:rFonts w:ascii="Arial" w:hAnsi="Arial" w:cs="Arial"/>
          <w:sz w:val="24"/>
          <w:szCs w:val="24"/>
          <w:lang w:val="en-US"/>
        </w:rPr>
        <w:t xml:space="preserve">.  </w:t>
      </w:r>
    </w:p>
    <w:p w14:paraId="459E4001" w14:textId="4683304A" w:rsidR="00E64109" w:rsidRPr="00D64A60" w:rsidRDefault="00E71550" w:rsidP="00E71550">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[7</w:t>
      </w:r>
      <w:r w:rsidR="003802F1">
        <w:rPr>
          <w:rFonts w:ascii="Arial" w:hAnsi="Arial" w:cs="Arial"/>
          <w:sz w:val="24"/>
          <w:szCs w:val="24"/>
          <w:lang w:val="en-US"/>
        </w:rPr>
        <w:t>1</w:t>
      </w:r>
      <w:r w:rsidRPr="00D64A60">
        <w:rPr>
          <w:rFonts w:ascii="Arial" w:hAnsi="Arial" w:cs="Arial"/>
          <w:sz w:val="24"/>
          <w:szCs w:val="24"/>
          <w:lang w:val="en-US"/>
        </w:rPr>
        <w:t>]</w:t>
      </w:r>
      <w:r w:rsidRPr="00D64A60">
        <w:rPr>
          <w:rFonts w:ascii="Arial" w:hAnsi="Arial" w:cs="Arial"/>
          <w:sz w:val="24"/>
          <w:szCs w:val="24"/>
          <w:lang w:val="en-US"/>
        </w:rPr>
        <w:tab/>
      </w:r>
      <w:r w:rsidR="009E1F01" w:rsidRPr="00D64A60">
        <w:rPr>
          <w:rFonts w:ascii="Arial" w:hAnsi="Arial" w:cs="Arial"/>
          <w:sz w:val="24"/>
          <w:szCs w:val="24"/>
          <w:lang w:val="en-US"/>
        </w:rPr>
        <w:t>This is a surprising submission, for a number of reasons.  First, the applicant himself, despite being the author of the document an</w:t>
      </w:r>
      <w:r w:rsidR="00EC240B" w:rsidRPr="00D64A60">
        <w:rPr>
          <w:rFonts w:ascii="Arial" w:hAnsi="Arial" w:cs="Arial"/>
          <w:sz w:val="24"/>
          <w:szCs w:val="24"/>
          <w:lang w:val="en-US"/>
        </w:rPr>
        <w:t>d knowing that it was relied upon and had been presented in support of the first respondent</w:t>
      </w:r>
      <w:r w:rsidR="003802F1">
        <w:rPr>
          <w:rFonts w:ascii="Arial" w:hAnsi="Arial" w:cs="Arial"/>
          <w:sz w:val="24"/>
          <w:szCs w:val="24"/>
          <w:lang w:val="en-US"/>
        </w:rPr>
        <w:t>’</w:t>
      </w:r>
      <w:r w:rsidR="00EC240B" w:rsidRPr="00D64A60">
        <w:rPr>
          <w:rFonts w:ascii="Arial" w:hAnsi="Arial" w:cs="Arial"/>
          <w:sz w:val="24"/>
          <w:szCs w:val="24"/>
          <w:lang w:val="en-US"/>
        </w:rPr>
        <w:t>s claim at the first meeting of creditors, said nothing about it</w:t>
      </w:r>
      <w:r w:rsidR="005507F8" w:rsidRPr="00D64A60">
        <w:rPr>
          <w:rFonts w:ascii="Arial" w:hAnsi="Arial" w:cs="Arial"/>
          <w:sz w:val="24"/>
          <w:szCs w:val="24"/>
          <w:lang w:val="en-US"/>
        </w:rPr>
        <w:t xml:space="preserve"> at all in the founding affidavit in this application.</w:t>
      </w:r>
      <w:r w:rsidR="009E1F01" w:rsidRPr="00D64A60">
        <w:rPr>
          <w:rFonts w:ascii="Arial" w:hAnsi="Arial" w:cs="Arial"/>
          <w:sz w:val="24"/>
          <w:szCs w:val="24"/>
          <w:lang w:val="en-US"/>
        </w:rPr>
        <w:t xml:space="preserve"> </w:t>
      </w:r>
      <w:r w:rsidR="005507F8" w:rsidRPr="00D64A60">
        <w:rPr>
          <w:rFonts w:ascii="Arial" w:hAnsi="Arial" w:cs="Arial"/>
          <w:sz w:val="24"/>
          <w:szCs w:val="24"/>
          <w:lang w:val="en-US"/>
        </w:rPr>
        <w:t xml:space="preserve">Second, </w:t>
      </w:r>
      <w:r w:rsidR="00B63718" w:rsidRPr="00D64A60">
        <w:rPr>
          <w:rFonts w:ascii="Arial" w:hAnsi="Arial" w:cs="Arial"/>
          <w:sz w:val="24"/>
          <w:szCs w:val="24"/>
          <w:lang w:val="en-US"/>
        </w:rPr>
        <w:t xml:space="preserve">I must surely assume, in favour of the applicant, that when he authored the document he genuinely believed it to be true, and that he was not intending </w:t>
      </w:r>
      <w:r w:rsidR="004C6544" w:rsidRPr="00D64A60">
        <w:rPr>
          <w:rFonts w:ascii="Arial" w:hAnsi="Arial" w:cs="Arial"/>
          <w:sz w:val="24"/>
          <w:szCs w:val="24"/>
          <w:lang w:val="en-US"/>
        </w:rPr>
        <w:t xml:space="preserve">to publish a false representation aimed at assisting </w:t>
      </w:r>
      <w:r w:rsidR="00AF595C" w:rsidRPr="00D64A60">
        <w:rPr>
          <w:rFonts w:ascii="Arial" w:hAnsi="Arial" w:cs="Arial"/>
          <w:sz w:val="24"/>
          <w:szCs w:val="24"/>
          <w:lang w:val="en-US"/>
        </w:rPr>
        <w:t>EOH MS</w:t>
      </w:r>
      <w:r w:rsidR="004C6544" w:rsidRPr="00D64A60">
        <w:rPr>
          <w:rFonts w:ascii="Arial" w:hAnsi="Arial" w:cs="Arial"/>
          <w:sz w:val="24"/>
          <w:szCs w:val="24"/>
          <w:lang w:val="en-US"/>
        </w:rPr>
        <w:t xml:space="preserve"> to claim BBBEE points for enterprise development to which it was not entitled.</w:t>
      </w:r>
    </w:p>
    <w:p w14:paraId="42C7DE2A" w14:textId="2DA96BF5" w:rsidR="00B63A1F" w:rsidRDefault="00E64109" w:rsidP="00E71550">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[7</w:t>
      </w:r>
      <w:r w:rsidR="00571D63">
        <w:rPr>
          <w:rFonts w:ascii="Arial" w:hAnsi="Arial" w:cs="Arial"/>
          <w:sz w:val="24"/>
          <w:szCs w:val="24"/>
          <w:lang w:val="en-US"/>
        </w:rPr>
        <w:t>2</w:t>
      </w:r>
      <w:r w:rsidRPr="00D64A60">
        <w:rPr>
          <w:rFonts w:ascii="Arial" w:hAnsi="Arial" w:cs="Arial"/>
          <w:sz w:val="24"/>
          <w:szCs w:val="24"/>
          <w:lang w:val="en-US"/>
        </w:rPr>
        <w:t>]</w:t>
      </w:r>
      <w:r w:rsidRPr="00D64A60">
        <w:rPr>
          <w:rFonts w:ascii="Arial" w:hAnsi="Arial" w:cs="Arial"/>
          <w:sz w:val="24"/>
          <w:szCs w:val="24"/>
          <w:lang w:val="en-US"/>
        </w:rPr>
        <w:tab/>
      </w:r>
      <w:r w:rsidR="005B2524" w:rsidRPr="00D64A60">
        <w:rPr>
          <w:rFonts w:ascii="Arial" w:hAnsi="Arial" w:cs="Arial"/>
          <w:sz w:val="24"/>
          <w:szCs w:val="24"/>
          <w:lang w:val="en-US"/>
        </w:rPr>
        <w:t xml:space="preserve">In support of his submission </w:t>
      </w:r>
      <w:r w:rsidRPr="00D64A60">
        <w:rPr>
          <w:rFonts w:ascii="Arial" w:hAnsi="Arial" w:cs="Arial"/>
          <w:sz w:val="24"/>
          <w:szCs w:val="24"/>
          <w:lang w:val="en-US"/>
        </w:rPr>
        <w:t>Mr Cook referred me to the assertion of the fourth respondent that enterprise development loans within the EOH group “</w:t>
      </w:r>
      <w:r w:rsidRPr="00921D26">
        <w:rPr>
          <w:rFonts w:ascii="Arial" w:hAnsi="Arial" w:cs="Arial"/>
          <w:i/>
          <w:iCs/>
          <w:sz w:val="24"/>
          <w:szCs w:val="24"/>
          <w:lang w:val="en-US"/>
        </w:rPr>
        <w:t>were continuously moved around between the EOH entities in order to maximise BEE points at certain points in time</w:t>
      </w:r>
      <w:r w:rsidRPr="00D64A60">
        <w:rPr>
          <w:rFonts w:ascii="Arial" w:hAnsi="Arial" w:cs="Arial"/>
          <w:sz w:val="24"/>
          <w:szCs w:val="24"/>
          <w:lang w:val="en-US"/>
        </w:rPr>
        <w:t>”.  This</w:t>
      </w:r>
      <w:r w:rsidR="005B2524" w:rsidRPr="00D64A60">
        <w:rPr>
          <w:rFonts w:ascii="Arial" w:hAnsi="Arial" w:cs="Arial"/>
          <w:sz w:val="24"/>
          <w:szCs w:val="24"/>
          <w:lang w:val="en-US"/>
        </w:rPr>
        <w:t xml:space="preserve"> statement </w:t>
      </w:r>
      <w:r w:rsidRPr="00D64A60">
        <w:rPr>
          <w:rFonts w:ascii="Arial" w:hAnsi="Arial" w:cs="Arial"/>
          <w:sz w:val="24"/>
          <w:szCs w:val="24"/>
          <w:lang w:val="en-US"/>
        </w:rPr>
        <w:t xml:space="preserve">says nothing about the facts in the present matter.  If </w:t>
      </w:r>
      <w:r w:rsidR="005B2524" w:rsidRPr="00D64A60">
        <w:rPr>
          <w:rFonts w:ascii="Arial" w:hAnsi="Arial" w:cs="Arial"/>
          <w:sz w:val="24"/>
          <w:szCs w:val="24"/>
          <w:lang w:val="en-US"/>
        </w:rPr>
        <w:t xml:space="preserve">I </w:t>
      </w:r>
      <w:r w:rsidR="008C2DC3">
        <w:rPr>
          <w:rFonts w:ascii="Arial" w:hAnsi="Arial" w:cs="Arial"/>
          <w:sz w:val="24"/>
          <w:szCs w:val="24"/>
          <w:lang w:val="en-US"/>
        </w:rPr>
        <w:t>were</w:t>
      </w:r>
      <w:r w:rsidR="005B2524" w:rsidRPr="00D64A60">
        <w:rPr>
          <w:rFonts w:ascii="Arial" w:hAnsi="Arial" w:cs="Arial"/>
          <w:sz w:val="24"/>
          <w:szCs w:val="24"/>
          <w:lang w:val="en-US"/>
        </w:rPr>
        <w:t xml:space="preserve"> to make anything of it at all it would be to take it as an indication of the </w:t>
      </w:r>
      <w:r w:rsidR="00571D63">
        <w:rPr>
          <w:rFonts w:ascii="Arial" w:hAnsi="Arial" w:cs="Arial"/>
          <w:sz w:val="24"/>
          <w:szCs w:val="24"/>
          <w:lang w:val="en-US"/>
        </w:rPr>
        <w:t xml:space="preserve">kind of </w:t>
      </w:r>
      <w:r w:rsidR="005B2524" w:rsidRPr="00D64A60">
        <w:rPr>
          <w:rFonts w:ascii="Arial" w:hAnsi="Arial" w:cs="Arial"/>
          <w:sz w:val="24"/>
          <w:szCs w:val="24"/>
          <w:lang w:val="en-US"/>
        </w:rPr>
        <w:t>abuse of corporate personality that might justify this court disregarding the separate corporate personality of entities within a group of companies where the abuse is aimed at securing an advantage as against third parties.</w:t>
      </w:r>
      <w:r w:rsidRPr="00D64A60">
        <w:rPr>
          <w:rFonts w:ascii="Arial" w:hAnsi="Arial" w:cs="Arial"/>
          <w:sz w:val="24"/>
          <w:szCs w:val="24"/>
          <w:lang w:val="en-US"/>
        </w:rPr>
        <w:t xml:space="preserve"> </w:t>
      </w:r>
    </w:p>
    <w:p w14:paraId="79052037" w14:textId="70279304" w:rsidR="007F6EBC" w:rsidRDefault="007F6EBC" w:rsidP="007F6EBC">
      <w:pPr>
        <w:pStyle w:val="BowLevel1ListAlt"/>
        <w:numPr>
          <w:ilvl w:val="0"/>
          <w:numId w:val="0"/>
        </w:numPr>
        <w:ind w:left="567" w:hanging="567"/>
        <w:rPr>
          <w:rFonts w:ascii="Arial" w:hAnsi="Arial" w:cs="Arial"/>
          <w:color w:val="242121"/>
          <w:sz w:val="24"/>
          <w:szCs w:val="24"/>
          <w:shd w:val="clear" w:color="auto" w:fill="FFFFFF"/>
        </w:rPr>
      </w:pPr>
      <w:r>
        <w:rPr>
          <w:rFonts w:ascii="Arial" w:hAnsi="Arial" w:cs="Arial"/>
          <w:sz w:val="24"/>
          <w:szCs w:val="24"/>
          <w:lang w:val="en-US"/>
        </w:rPr>
        <w:t>[73]</w:t>
      </w:r>
      <w:r>
        <w:rPr>
          <w:rFonts w:ascii="Arial" w:hAnsi="Arial" w:cs="Arial"/>
          <w:sz w:val="24"/>
          <w:szCs w:val="24"/>
          <w:lang w:val="en-US"/>
        </w:rPr>
        <w:tab/>
        <w:t xml:space="preserve">In this respect, and </w:t>
      </w:r>
      <w:r w:rsidR="0037030C">
        <w:rPr>
          <w:rFonts w:ascii="Arial" w:hAnsi="Arial" w:cs="Arial"/>
          <w:sz w:val="24"/>
          <w:szCs w:val="24"/>
          <w:lang w:val="en-US"/>
        </w:rPr>
        <w:t xml:space="preserve">taking into account </w:t>
      </w:r>
      <w:r w:rsidR="00732821">
        <w:rPr>
          <w:rFonts w:ascii="Arial" w:hAnsi="Arial" w:cs="Arial"/>
          <w:sz w:val="24"/>
          <w:szCs w:val="24"/>
          <w:lang w:val="en-US"/>
        </w:rPr>
        <w:t>the manner in which the fourth respondent and the relevant EOH entities document</w:t>
      </w:r>
      <w:r w:rsidR="00621AFB">
        <w:rPr>
          <w:rFonts w:ascii="Arial" w:hAnsi="Arial" w:cs="Arial"/>
          <w:sz w:val="24"/>
          <w:szCs w:val="24"/>
          <w:lang w:val="en-US"/>
        </w:rPr>
        <w:t>ed</w:t>
      </w:r>
      <w:r w:rsidR="00732821">
        <w:rPr>
          <w:rFonts w:ascii="Arial" w:hAnsi="Arial" w:cs="Arial"/>
          <w:sz w:val="24"/>
          <w:szCs w:val="24"/>
          <w:lang w:val="en-US"/>
        </w:rPr>
        <w:t xml:space="preserve"> the extension of the </w:t>
      </w:r>
      <w:r w:rsidR="00621AFB">
        <w:rPr>
          <w:rFonts w:ascii="Arial" w:hAnsi="Arial" w:cs="Arial"/>
          <w:sz w:val="24"/>
          <w:szCs w:val="24"/>
          <w:lang w:val="en-US"/>
        </w:rPr>
        <w:t xml:space="preserve">enterprise development </w:t>
      </w:r>
      <w:r w:rsidR="00732821">
        <w:rPr>
          <w:rFonts w:ascii="Arial" w:hAnsi="Arial" w:cs="Arial"/>
          <w:sz w:val="24"/>
          <w:szCs w:val="24"/>
          <w:lang w:val="en-US"/>
        </w:rPr>
        <w:t>loan</w:t>
      </w:r>
      <w:r w:rsidR="00621AFB">
        <w:rPr>
          <w:rFonts w:ascii="Arial" w:hAnsi="Arial" w:cs="Arial"/>
          <w:sz w:val="24"/>
          <w:szCs w:val="24"/>
          <w:lang w:val="en-US"/>
        </w:rPr>
        <w:t xml:space="preserve"> to Silver Touch</w:t>
      </w:r>
      <w:r w:rsidR="00732821">
        <w:rPr>
          <w:rFonts w:ascii="Arial" w:hAnsi="Arial" w:cs="Arial"/>
          <w:sz w:val="24"/>
          <w:szCs w:val="24"/>
          <w:lang w:val="en-US"/>
        </w:rPr>
        <w:t xml:space="preserve">, the </w:t>
      </w:r>
      <w:r>
        <w:rPr>
          <w:rFonts w:ascii="Arial" w:hAnsi="Arial" w:cs="Arial"/>
          <w:sz w:val="24"/>
          <w:szCs w:val="24"/>
          <w:lang w:val="en-US"/>
        </w:rPr>
        <w:t xml:space="preserve">situation is </w:t>
      </w:r>
      <w:r w:rsidRPr="00D64A60">
        <w:rPr>
          <w:rFonts w:ascii="Arial" w:hAnsi="Arial" w:cs="Arial"/>
          <w:sz w:val="24"/>
          <w:szCs w:val="24"/>
          <w:lang w:val="en-US"/>
        </w:rPr>
        <w:t xml:space="preserve">reminiscent of </w:t>
      </w:r>
      <w:r>
        <w:rPr>
          <w:rFonts w:ascii="Arial" w:hAnsi="Arial" w:cs="Arial"/>
          <w:sz w:val="24"/>
          <w:szCs w:val="24"/>
          <w:lang w:val="en-US"/>
        </w:rPr>
        <w:t xml:space="preserve">that </w:t>
      </w:r>
      <w:r w:rsidRPr="00D64A60">
        <w:rPr>
          <w:rFonts w:ascii="Arial" w:hAnsi="Arial" w:cs="Arial"/>
          <w:sz w:val="24"/>
          <w:szCs w:val="24"/>
          <w:lang w:val="en-US"/>
        </w:rPr>
        <w:t xml:space="preserve">in </w:t>
      </w:r>
      <w:r w:rsidRPr="00EB01A1">
        <w:rPr>
          <w:rFonts w:ascii="Arial" w:hAnsi="Arial" w:cs="Arial"/>
          <w:i/>
          <w:iCs/>
          <w:sz w:val="24"/>
          <w:szCs w:val="24"/>
          <w:lang w:val="en-US"/>
        </w:rPr>
        <w:t xml:space="preserve">Ex </w:t>
      </w:r>
      <w:r>
        <w:rPr>
          <w:rFonts w:ascii="Arial" w:hAnsi="Arial" w:cs="Arial"/>
          <w:i/>
          <w:iCs/>
          <w:sz w:val="24"/>
          <w:szCs w:val="24"/>
          <w:lang w:val="en-US"/>
        </w:rPr>
        <w:t>P</w:t>
      </w:r>
      <w:r w:rsidRPr="00EB01A1">
        <w:rPr>
          <w:rFonts w:ascii="Arial" w:hAnsi="Arial" w:cs="Arial"/>
          <w:i/>
          <w:iCs/>
          <w:sz w:val="24"/>
          <w:szCs w:val="24"/>
          <w:lang w:val="en-US"/>
        </w:rPr>
        <w:t>arte Gore NO</w:t>
      </w:r>
      <w:r w:rsidR="0051779D" w:rsidRPr="00921D26">
        <w:rPr>
          <w:rStyle w:val="FootnoteReference"/>
          <w:rFonts w:ascii="Arial" w:hAnsi="Arial" w:cs="Arial"/>
          <w:i/>
          <w:iCs/>
          <w:sz w:val="24"/>
          <w:szCs w:val="24"/>
          <w:lang w:val="en-US"/>
        </w:rPr>
        <w:footnoteReference w:id="9"/>
      </w:r>
      <w:r w:rsidRPr="00274D65">
        <w:rPr>
          <w:rFonts w:ascii="Arial" w:hAnsi="Arial" w:cs="Arial"/>
          <w:sz w:val="24"/>
          <w:szCs w:val="24"/>
          <w:lang w:val="en-US"/>
        </w:rPr>
        <w:t>,</w:t>
      </w:r>
      <w:r>
        <w:rPr>
          <w:rFonts w:ascii="Arial" w:hAnsi="Arial" w:cs="Arial"/>
          <w:sz w:val="24"/>
          <w:szCs w:val="24"/>
          <w:lang w:val="en-US"/>
        </w:rPr>
        <w:t xml:space="preserve"> </w:t>
      </w:r>
      <w:r w:rsidRPr="009E0102">
        <w:rPr>
          <w:rFonts w:ascii="Arial" w:hAnsi="Arial" w:cs="Arial"/>
          <w:sz w:val="24"/>
          <w:szCs w:val="24"/>
          <w:lang w:val="en-US"/>
        </w:rPr>
        <w:t>where</w:t>
      </w:r>
      <w:r>
        <w:rPr>
          <w:rFonts w:ascii="Arial" w:hAnsi="Arial" w:cs="Arial"/>
          <w:sz w:val="24"/>
          <w:szCs w:val="24"/>
          <w:lang w:val="en-US"/>
        </w:rPr>
        <w:t xml:space="preserve"> </w:t>
      </w:r>
      <w:r>
        <w:rPr>
          <w:rFonts w:ascii="Arial" w:hAnsi="Arial" w:cs="Arial"/>
          <w:color w:val="242121"/>
          <w:sz w:val="24"/>
          <w:szCs w:val="24"/>
          <w:shd w:val="clear" w:color="auto" w:fill="FFFFFF"/>
        </w:rPr>
        <w:t>“…</w:t>
      </w:r>
      <w:r w:rsidRPr="00EB01A1">
        <w:rPr>
          <w:rFonts w:ascii="Arial" w:hAnsi="Arial" w:cs="Arial"/>
          <w:i/>
          <w:iCs/>
          <w:color w:val="242121"/>
          <w:sz w:val="24"/>
          <w:szCs w:val="24"/>
          <w:shd w:val="clear" w:color="auto" w:fill="FFFFFF"/>
        </w:rPr>
        <w:t xml:space="preserve">the affairs of </w:t>
      </w:r>
      <w:r w:rsidR="004A35F0">
        <w:rPr>
          <w:rFonts w:ascii="Arial" w:hAnsi="Arial" w:cs="Arial"/>
          <w:i/>
          <w:iCs/>
          <w:color w:val="242121"/>
          <w:sz w:val="24"/>
          <w:szCs w:val="24"/>
          <w:shd w:val="clear" w:color="auto" w:fill="FFFFFF"/>
        </w:rPr>
        <w:t xml:space="preserve">the </w:t>
      </w:r>
      <w:r w:rsidRPr="00EB01A1">
        <w:rPr>
          <w:rFonts w:ascii="Arial" w:hAnsi="Arial" w:cs="Arial"/>
          <w:i/>
          <w:iCs/>
          <w:color w:val="242121"/>
          <w:sz w:val="24"/>
          <w:szCs w:val="24"/>
          <w:shd w:val="clear" w:color="auto" w:fill="FFFFFF"/>
        </w:rPr>
        <w:t>group were in material respects conducted in a manner that maintained no distinguishable corporate identity between the various constituent companies in the group</w:t>
      </w:r>
      <w:r w:rsidRPr="00EB01A1">
        <w:rPr>
          <w:rFonts w:ascii="Arial" w:hAnsi="Arial" w:cs="Arial"/>
          <w:color w:val="242121"/>
          <w:sz w:val="24"/>
          <w:szCs w:val="24"/>
          <w:shd w:val="clear" w:color="auto" w:fill="FFFFFF"/>
        </w:rPr>
        <w:t>”</w:t>
      </w:r>
      <w:r w:rsidRPr="00EB01A1">
        <w:rPr>
          <w:rStyle w:val="FootnoteReference"/>
          <w:rFonts w:ascii="Arial" w:hAnsi="Arial" w:cs="Arial"/>
          <w:color w:val="242121"/>
          <w:sz w:val="24"/>
          <w:szCs w:val="24"/>
          <w:shd w:val="clear" w:color="auto" w:fill="FFFFFF"/>
        </w:rPr>
        <w:footnoteReference w:id="10"/>
      </w:r>
      <w:r>
        <w:rPr>
          <w:rFonts w:ascii="Arial" w:hAnsi="Arial" w:cs="Arial"/>
          <w:color w:val="242121"/>
          <w:sz w:val="24"/>
          <w:szCs w:val="24"/>
          <w:shd w:val="clear" w:color="auto" w:fill="FFFFFF"/>
        </w:rPr>
        <w:t xml:space="preserve">.  </w:t>
      </w:r>
    </w:p>
    <w:p w14:paraId="54B1D5CA" w14:textId="54974B3F" w:rsidR="007F6EBC" w:rsidRPr="00EB01A1" w:rsidRDefault="007F6EBC" w:rsidP="007F6EBC">
      <w:pPr>
        <w:pStyle w:val="BowLevel1ListAlt"/>
        <w:numPr>
          <w:ilvl w:val="0"/>
          <w:numId w:val="0"/>
        </w:numPr>
        <w:ind w:left="567" w:hanging="567"/>
        <w:rPr>
          <w:rFonts w:ascii="Arial" w:hAnsi="Arial" w:cs="Arial"/>
          <w:strike/>
          <w:sz w:val="24"/>
          <w:szCs w:val="24"/>
        </w:rPr>
      </w:pPr>
      <w:r>
        <w:rPr>
          <w:rFonts w:ascii="Arial" w:hAnsi="Arial" w:cs="Arial"/>
          <w:color w:val="242121"/>
          <w:sz w:val="24"/>
          <w:szCs w:val="24"/>
          <w:shd w:val="clear" w:color="auto" w:fill="FFFFFF"/>
        </w:rPr>
        <w:t>[</w:t>
      </w:r>
      <w:r w:rsidR="0051779D">
        <w:rPr>
          <w:rFonts w:ascii="Arial" w:hAnsi="Arial" w:cs="Arial"/>
          <w:color w:val="242121"/>
          <w:sz w:val="24"/>
          <w:szCs w:val="24"/>
          <w:shd w:val="clear" w:color="auto" w:fill="FFFFFF"/>
        </w:rPr>
        <w:t>74</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t xml:space="preserve">Where there is </w:t>
      </w:r>
      <w:r w:rsidRPr="009E0102">
        <w:rPr>
          <w:rFonts w:ascii="Arial" w:hAnsi="Arial" w:cs="Arial"/>
          <w:sz w:val="24"/>
          <w:szCs w:val="24"/>
          <w:lang w:val="en-US"/>
        </w:rPr>
        <w:t>“</w:t>
      </w:r>
      <w:r w:rsidRPr="00921D26">
        <w:rPr>
          <w:rFonts w:ascii="Arial" w:hAnsi="Arial" w:cs="Arial"/>
          <w:i/>
          <w:iCs/>
          <w:color w:val="242121"/>
          <w:sz w:val="24"/>
          <w:szCs w:val="24"/>
          <w:shd w:val="clear" w:color="auto" w:fill="FFFFFF"/>
        </w:rPr>
        <w:t>an unconscionable abuse</w:t>
      </w:r>
      <w:r w:rsidRPr="00EB01A1">
        <w:rPr>
          <w:rFonts w:ascii="Arial" w:hAnsi="Arial" w:cs="Arial"/>
          <w:color w:val="242121"/>
          <w:sz w:val="24"/>
          <w:szCs w:val="24"/>
          <w:shd w:val="clear" w:color="auto" w:fill="FFFFFF"/>
        </w:rPr>
        <w:t>” of the concept of separate legal personality by founders, shareholders, or controllers of a company the courts “</w:t>
      </w:r>
      <w:r w:rsidRPr="00EB01A1">
        <w:rPr>
          <w:rFonts w:ascii="Arial" w:hAnsi="Arial" w:cs="Arial"/>
          <w:i/>
          <w:iCs/>
          <w:color w:val="242121"/>
          <w:sz w:val="24"/>
          <w:szCs w:val="24"/>
          <w:shd w:val="clear" w:color="auto" w:fill="FFFFFF"/>
        </w:rPr>
        <w:t>have shown an acute appreciation that juristic personality is a statutory creation and that ‘their separate existence remains a figment of law, liable to be curtailed or withdrawn when the objects of their creation are abused or thwarted’.</w:t>
      </w:r>
      <w:r w:rsidRPr="00EB01A1">
        <w:rPr>
          <w:rFonts w:ascii="Arial" w:hAnsi="Arial" w:cs="Arial"/>
          <w:color w:val="242121"/>
          <w:sz w:val="24"/>
          <w:szCs w:val="24"/>
          <w:shd w:val="clear" w:color="auto" w:fill="FFFFFF"/>
        </w:rPr>
        <w:t>”</w:t>
      </w:r>
      <w:r w:rsidRPr="00EB01A1">
        <w:rPr>
          <w:rStyle w:val="FootnoteReference"/>
          <w:rFonts w:ascii="Arial" w:hAnsi="Arial" w:cs="Arial"/>
          <w:color w:val="242121"/>
          <w:sz w:val="28"/>
          <w:szCs w:val="28"/>
          <w:shd w:val="clear" w:color="auto" w:fill="FFFFFF"/>
        </w:rPr>
        <w:footnoteReference w:id="11"/>
      </w:r>
      <w:r w:rsidRPr="00EB01A1">
        <w:rPr>
          <w:rFonts w:ascii="Arial" w:hAnsi="Arial" w:cs="Arial"/>
          <w:sz w:val="28"/>
          <w:szCs w:val="28"/>
          <w:lang w:val="en-US"/>
        </w:rPr>
        <w:t xml:space="preserve"> </w:t>
      </w:r>
      <w:r w:rsidRPr="00EB01A1">
        <w:rPr>
          <w:rFonts w:ascii="Arial" w:hAnsi="Arial" w:cs="Arial"/>
          <w:strike/>
          <w:sz w:val="28"/>
          <w:szCs w:val="28"/>
        </w:rPr>
        <w:t xml:space="preserve"> </w:t>
      </w:r>
    </w:p>
    <w:p w14:paraId="4563914E" w14:textId="334246C9" w:rsidR="007F6EBC" w:rsidRPr="00D64A60" w:rsidRDefault="007F6EBC" w:rsidP="007F6EBC">
      <w:pPr>
        <w:pStyle w:val="BowLevel1ListAlt"/>
        <w:numPr>
          <w:ilvl w:val="0"/>
          <w:numId w:val="0"/>
        </w:numPr>
        <w:ind w:left="567" w:hanging="567"/>
        <w:rPr>
          <w:rFonts w:ascii="Arial" w:hAnsi="Arial" w:cs="Arial"/>
          <w:sz w:val="24"/>
          <w:szCs w:val="24"/>
        </w:rPr>
      </w:pPr>
      <w:r w:rsidRPr="00D64A60">
        <w:rPr>
          <w:rFonts w:ascii="Arial" w:hAnsi="Arial" w:cs="Arial"/>
          <w:sz w:val="24"/>
          <w:szCs w:val="24"/>
        </w:rPr>
        <w:t>[</w:t>
      </w:r>
      <w:r w:rsidR="0051779D">
        <w:rPr>
          <w:rFonts w:ascii="Arial" w:hAnsi="Arial" w:cs="Arial"/>
          <w:sz w:val="24"/>
          <w:szCs w:val="24"/>
        </w:rPr>
        <w:t>75</w:t>
      </w:r>
      <w:r w:rsidRPr="00D64A60">
        <w:rPr>
          <w:rFonts w:ascii="Arial" w:hAnsi="Arial" w:cs="Arial"/>
          <w:sz w:val="24"/>
          <w:szCs w:val="24"/>
        </w:rPr>
        <w:t>]</w:t>
      </w:r>
      <w:r w:rsidRPr="00D64A60">
        <w:rPr>
          <w:rFonts w:ascii="Arial" w:hAnsi="Arial" w:cs="Arial"/>
          <w:sz w:val="24"/>
          <w:szCs w:val="24"/>
        </w:rPr>
        <w:tab/>
      </w:r>
      <w:r w:rsidR="0025242F">
        <w:rPr>
          <w:rFonts w:ascii="Arial" w:hAnsi="Arial" w:cs="Arial"/>
          <w:sz w:val="24"/>
          <w:szCs w:val="24"/>
        </w:rPr>
        <w:t xml:space="preserve">Although the </w:t>
      </w:r>
      <w:r w:rsidR="0025242F" w:rsidRPr="00D64A60">
        <w:rPr>
          <w:rFonts w:ascii="Arial" w:hAnsi="Arial" w:cs="Arial"/>
          <w:sz w:val="24"/>
          <w:szCs w:val="24"/>
        </w:rPr>
        <w:t>exceptional circumstances under which our courts have been willing to hold one company within a group liable for the obligations of another have usually arisen under the doctrine of piercing the veil</w:t>
      </w:r>
      <w:r w:rsidR="0025242F">
        <w:rPr>
          <w:rFonts w:ascii="Arial" w:hAnsi="Arial" w:cs="Arial"/>
          <w:sz w:val="24"/>
          <w:szCs w:val="24"/>
        </w:rPr>
        <w:t xml:space="preserve">, </w:t>
      </w:r>
      <w:r w:rsidR="007C05DB">
        <w:rPr>
          <w:rFonts w:ascii="Arial" w:hAnsi="Arial" w:cs="Arial"/>
          <w:sz w:val="24"/>
          <w:szCs w:val="24"/>
        </w:rPr>
        <w:t xml:space="preserve">there are also </w:t>
      </w:r>
      <w:r w:rsidRPr="00D64A60">
        <w:rPr>
          <w:rFonts w:ascii="Arial" w:hAnsi="Arial" w:cs="Arial"/>
          <w:sz w:val="24"/>
          <w:szCs w:val="24"/>
        </w:rPr>
        <w:t xml:space="preserve">circumstances in which the conduct of representatives of a group of companies </w:t>
      </w:r>
      <w:r>
        <w:rPr>
          <w:rFonts w:ascii="Arial" w:hAnsi="Arial" w:cs="Arial"/>
          <w:sz w:val="24"/>
          <w:szCs w:val="24"/>
        </w:rPr>
        <w:t xml:space="preserve">has been </w:t>
      </w:r>
      <w:r w:rsidRPr="00D64A60">
        <w:rPr>
          <w:rFonts w:ascii="Arial" w:hAnsi="Arial" w:cs="Arial"/>
          <w:sz w:val="24"/>
          <w:szCs w:val="24"/>
        </w:rPr>
        <w:t xml:space="preserve">found to </w:t>
      </w:r>
      <w:r>
        <w:rPr>
          <w:rFonts w:ascii="Arial" w:hAnsi="Arial" w:cs="Arial"/>
          <w:sz w:val="24"/>
          <w:szCs w:val="24"/>
        </w:rPr>
        <w:t xml:space="preserve">have consequences for the </w:t>
      </w:r>
      <w:r w:rsidRPr="00D64A60">
        <w:rPr>
          <w:rFonts w:ascii="Arial" w:hAnsi="Arial" w:cs="Arial"/>
          <w:sz w:val="24"/>
          <w:szCs w:val="24"/>
        </w:rPr>
        <w:t xml:space="preserve">contractual relations between a third party and more than one entity in the group, or </w:t>
      </w:r>
      <w:r>
        <w:rPr>
          <w:rFonts w:ascii="Arial" w:hAnsi="Arial" w:cs="Arial"/>
          <w:sz w:val="24"/>
          <w:szCs w:val="24"/>
        </w:rPr>
        <w:t xml:space="preserve">for </w:t>
      </w:r>
      <w:r w:rsidRPr="00D64A60">
        <w:rPr>
          <w:rFonts w:ascii="Arial" w:hAnsi="Arial" w:cs="Arial"/>
          <w:sz w:val="24"/>
          <w:szCs w:val="24"/>
        </w:rPr>
        <w:t>a group entity other than the entity claimed by the group</w:t>
      </w:r>
      <w:r w:rsidRPr="00EB01A1">
        <w:rPr>
          <w:rStyle w:val="FootnoteReference"/>
          <w:rFonts w:ascii="Arial" w:hAnsi="Arial" w:cs="Arial"/>
          <w:sz w:val="24"/>
          <w:szCs w:val="24"/>
        </w:rPr>
        <w:footnoteReference w:id="12"/>
      </w:r>
      <w:r>
        <w:rPr>
          <w:rFonts w:ascii="Arial" w:hAnsi="Arial" w:cs="Arial"/>
          <w:sz w:val="24"/>
          <w:szCs w:val="24"/>
        </w:rPr>
        <w:t xml:space="preserve">.  </w:t>
      </w:r>
    </w:p>
    <w:p w14:paraId="0091BBB0" w14:textId="06676E75" w:rsidR="00C64CDD" w:rsidRPr="00D64A60" w:rsidRDefault="00E64109"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[7</w:t>
      </w:r>
      <w:r w:rsidR="007E2F99">
        <w:rPr>
          <w:rFonts w:ascii="Arial" w:hAnsi="Arial" w:cs="Arial"/>
          <w:sz w:val="24"/>
          <w:szCs w:val="24"/>
          <w:lang w:val="en-US"/>
        </w:rPr>
        <w:t>6</w:t>
      </w:r>
      <w:r w:rsidRPr="00D64A60">
        <w:rPr>
          <w:rFonts w:ascii="Arial" w:hAnsi="Arial" w:cs="Arial"/>
          <w:sz w:val="24"/>
          <w:szCs w:val="24"/>
          <w:lang w:val="en-US"/>
        </w:rPr>
        <w:t>]</w:t>
      </w:r>
      <w:r w:rsidRPr="00D64A60">
        <w:rPr>
          <w:rFonts w:ascii="Arial" w:hAnsi="Arial" w:cs="Arial"/>
          <w:sz w:val="24"/>
          <w:szCs w:val="24"/>
          <w:lang w:val="en-US"/>
        </w:rPr>
        <w:tab/>
      </w:r>
      <w:r w:rsidR="009E7D4C">
        <w:rPr>
          <w:rFonts w:ascii="Arial" w:hAnsi="Arial" w:cs="Arial"/>
          <w:sz w:val="24"/>
          <w:szCs w:val="24"/>
          <w:lang w:val="en-US"/>
        </w:rPr>
        <w:t xml:space="preserve">It is not necessary, for present purposes, to apply this line of reasoning in the present matter.  There is quite simply </w:t>
      </w:r>
      <w:r w:rsidR="004C6544" w:rsidRPr="00D64A60">
        <w:rPr>
          <w:rFonts w:ascii="Arial" w:hAnsi="Arial" w:cs="Arial"/>
          <w:sz w:val="24"/>
          <w:szCs w:val="24"/>
          <w:lang w:val="en-US"/>
        </w:rPr>
        <w:t xml:space="preserve">no factual basis on the papers </w:t>
      </w:r>
      <w:r w:rsidR="00AC7C61">
        <w:rPr>
          <w:rFonts w:ascii="Arial" w:hAnsi="Arial" w:cs="Arial"/>
          <w:sz w:val="24"/>
          <w:szCs w:val="24"/>
          <w:lang w:val="en-US"/>
        </w:rPr>
        <w:t>before</w:t>
      </w:r>
      <w:r w:rsidR="00CF252A" w:rsidRPr="00D64A60">
        <w:rPr>
          <w:rFonts w:ascii="Arial" w:hAnsi="Arial" w:cs="Arial"/>
          <w:sz w:val="24"/>
          <w:szCs w:val="24"/>
          <w:lang w:val="en-US"/>
        </w:rPr>
        <w:t xml:space="preserve"> me to</w:t>
      </w:r>
      <w:r w:rsidR="004C6544" w:rsidRPr="00D64A60">
        <w:rPr>
          <w:rFonts w:ascii="Arial" w:hAnsi="Arial" w:cs="Arial"/>
          <w:sz w:val="24"/>
          <w:szCs w:val="24"/>
          <w:lang w:val="en-US"/>
        </w:rPr>
        <w:t xml:space="preserve"> reach any conclusion other than that what the applicant communicated in the letter </w:t>
      </w:r>
      <w:r w:rsidRPr="00D64A60">
        <w:rPr>
          <w:rFonts w:ascii="Arial" w:hAnsi="Arial" w:cs="Arial"/>
          <w:sz w:val="24"/>
          <w:szCs w:val="24"/>
          <w:lang w:val="en-US"/>
        </w:rPr>
        <w:t xml:space="preserve">of 26 September 2017 </w:t>
      </w:r>
      <w:r w:rsidR="004C6544" w:rsidRPr="00D64A60">
        <w:rPr>
          <w:rFonts w:ascii="Arial" w:hAnsi="Arial" w:cs="Arial"/>
          <w:sz w:val="24"/>
          <w:szCs w:val="24"/>
          <w:lang w:val="en-US"/>
        </w:rPr>
        <w:t>was</w:t>
      </w:r>
      <w:r w:rsidR="00C64CDD" w:rsidRPr="00D64A60">
        <w:rPr>
          <w:rFonts w:ascii="Arial" w:hAnsi="Arial" w:cs="Arial"/>
          <w:sz w:val="24"/>
          <w:szCs w:val="24"/>
          <w:lang w:val="en-US"/>
        </w:rPr>
        <w:t xml:space="preserve"> </w:t>
      </w:r>
      <w:r w:rsidR="00B11BF5">
        <w:rPr>
          <w:rFonts w:ascii="Arial" w:hAnsi="Arial" w:cs="Arial"/>
          <w:sz w:val="24"/>
          <w:szCs w:val="24"/>
          <w:lang w:val="en-US"/>
        </w:rPr>
        <w:t xml:space="preserve">within his personal knowledge and </w:t>
      </w:r>
      <w:r w:rsidR="00B94D5D">
        <w:rPr>
          <w:rFonts w:ascii="Arial" w:hAnsi="Arial" w:cs="Arial"/>
          <w:sz w:val="24"/>
          <w:szCs w:val="24"/>
          <w:lang w:val="en-US"/>
        </w:rPr>
        <w:t>represented the true position</w:t>
      </w:r>
      <w:r w:rsidR="00C64CDD" w:rsidRPr="00D64A60">
        <w:rPr>
          <w:rFonts w:ascii="Arial" w:hAnsi="Arial" w:cs="Arial"/>
          <w:sz w:val="24"/>
          <w:szCs w:val="24"/>
          <w:lang w:val="en-US"/>
        </w:rPr>
        <w:t>.</w:t>
      </w:r>
    </w:p>
    <w:p w14:paraId="03433782" w14:textId="49054396" w:rsidR="0044588B" w:rsidRPr="00D64A60" w:rsidRDefault="00E64109"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[7</w:t>
      </w:r>
      <w:r w:rsidR="007E2F99">
        <w:rPr>
          <w:rFonts w:ascii="Arial" w:hAnsi="Arial" w:cs="Arial"/>
          <w:sz w:val="24"/>
          <w:szCs w:val="24"/>
          <w:lang w:val="en-US"/>
        </w:rPr>
        <w:t>7</w:t>
      </w:r>
      <w:r w:rsidRPr="00D64A60">
        <w:rPr>
          <w:rFonts w:ascii="Arial" w:hAnsi="Arial" w:cs="Arial"/>
          <w:sz w:val="24"/>
          <w:szCs w:val="24"/>
          <w:lang w:val="en-US"/>
        </w:rPr>
        <w:t>]</w:t>
      </w:r>
      <w:r w:rsidRPr="00D64A60">
        <w:rPr>
          <w:rFonts w:ascii="Arial" w:hAnsi="Arial" w:cs="Arial"/>
          <w:sz w:val="24"/>
          <w:szCs w:val="24"/>
          <w:lang w:val="en-US"/>
        </w:rPr>
        <w:tab/>
      </w:r>
      <w:r w:rsidR="00730F13" w:rsidRPr="00D64A60">
        <w:rPr>
          <w:rFonts w:ascii="Arial" w:hAnsi="Arial" w:cs="Arial"/>
          <w:sz w:val="24"/>
          <w:szCs w:val="24"/>
          <w:lang w:val="en-US"/>
        </w:rPr>
        <w:t xml:space="preserve">Certainly the applicant has not stated to this court that his statement </w:t>
      </w:r>
      <w:r w:rsidR="0044588B" w:rsidRPr="00D64A60">
        <w:rPr>
          <w:rFonts w:ascii="Arial" w:hAnsi="Arial" w:cs="Arial"/>
          <w:sz w:val="24"/>
          <w:szCs w:val="24"/>
          <w:lang w:val="en-US"/>
        </w:rPr>
        <w:t xml:space="preserve">was </w:t>
      </w:r>
      <w:r w:rsidR="00730F13" w:rsidRPr="00D64A60">
        <w:rPr>
          <w:rFonts w:ascii="Arial" w:hAnsi="Arial" w:cs="Arial"/>
          <w:sz w:val="24"/>
          <w:szCs w:val="24"/>
          <w:lang w:val="en-US"/>
        </w:rPr>
        <w:t>un</w:t>
      </w:r>
      <w:r w:rsidR="0044588B" w:rsidRPr="00D64A60">
        <w:rPr>
          <w:rFonts w:ascii="Arial" w:hAnsi="Arial" w:cs="Arial"/>
          <w:sz w:val="24"/>
          <w:szCs w:val="24"/>
          <w:lang w:val="en-US"/>
        </w:rPr>
        <w:t>true at the time</w:t>
      </w:r>
      <w:r w:rsidR="00730F13" w:rsidRPr="00D64A60">
        <w:rPr>
          <w:rFonts w:ascii="Arial" w:hAnsi="Arial" w:cs="Arial"/>
          <w:sz w:val="24"/>
          <w:szCs w:val="24"/>
          <w:lang w:val="en-US"/>
        </w:rPr>
        <w:t xml:space="preserve">.  That statement </w:t>
      </w:r>
      <w:r w:rsidR="0044588B" w:rsidRPr="00D64A60">
        <w:rPr>
          <w:rFonts w:ascii="Arial" w:hAnsi="Arial" w:cs="Arial"/>
          <w:sz w:val="24"/>
          <w:szCs w:val="24"/>
          <w:lang w:val="en-US"/>
        </w:rPr>
        <w:t xml:space="preserve">is </w:t>
      </w:r>
      <w:r w:rsidR="00730F13" w:rsidRPr="00D64A60">
        <w:rPr>
          <w:rFonts w:ascii="Arial" w:hAnsi="Arial" w:cs="Arial"/>
          <w:sz w:val="24"/>
          <w:szCs w:val="24"/>
          <w:lang w:val="en-US"/>
        </w:rPr>
        <w:t xml:space="preserve">clearly </w:t>
      </w:r>
      <w:r w:rsidR="0044588B" w:rsidRPr="00D64A60">
        <w:rPr>
          <w:rFonts w:ascii="Arial" w:hAnsi="Arial" w:cs="Arial"/>
          <w:sz w:val="24"/>
          <w:szCs w:val="24"/>
          <w:lang w:val="en-US"/>
        </w:rPr>
        <w:t xml:space="preserve">consistent </w:t>
      </w:r>
      <w:r w:rsidR="0078322E" w:rsidRPr="00D64A60">
        <w:rPr>
          <w:rFonts w:ascii="Arial" w:hAnsi="Arial" w:cs="Arial"/>
          <w:sz w:val="24"/>
          <w:szCs w:val="24"/>
          <w:lang w:val="en-US"/>
        </w:rPr>
        <w:t xml:space="preserve">only </w:t>
      </w:r>
      <w:r w:rsidR="0044588B" w:rsidRPr="00D64A60">
        <w:rPr>
          <w:rFonts w:ascii="Arial" w:hAnsi="Arial" w:cs="Arial"/>
          <w:sz w:val="24"/>
          <w:szCs w:val="24"/>
          <w:lang w:val="en-US"/>
        </w:rPr>
        <w:t xml:space="preserve">with a clear understanding </w:t>
      </w:r>
      <w:r w:rsidR="00730F13" w:rsidRPr="00D64A60">
        <w:rPr>
          <w:rFonts w:ascii="Arial" w:hAnsi="Arial" w:cs="Arial"/>
          <w:sz w:val="24"/>
          <w:szCs w:val="24"/>
          <w:lang w:val="en-US"/>
        </w:rPr>
        <w:t xml:space="preserve">on the part of the applicant (i) that </w:t>
      </w:r>
      <w:r w:rsidR="0044588B" w:rsidRPr="00D64A60">
        <w:rPr>
          <w:rFonts w:ascii="Arial" w:hAnsi="Arial" w:cs="Arial"/>
          <w:sz w:val="24"/>
          <w:szCs w:val="24"/>
          <w:lang w:val="en-US"/>
        </w:rPr>
        <w:t xml:space="preserve">the loan creditor was </w:t>
      </w:r>
      <w:r w:rsidR="00AF595C" w:rsidRPr="00D64A60">
        <w:rPr>
          <w:rFonts w:ascii="Arial" w:hAnsi="Arial" w:cs="Arial"/>
          <w:sz w:val="24"/>
          <w:szCs w:val="24"/>
          <w:lang w:val="en-US"/>
        </w:rPr>
        <w:t>EOH MS</w:t>
      </w:r>
      <w:r w:rsidR="0044588B" w:rsidRPr="00D64A60">
        <w:rPr>
          <w:rFonts w:ascii="Arial" w:hAnsi="Arial" w:cs="Arial"/>
          <w:sz w:val="24"/>
          <w:szCs w:val="24"/>
          <w:lang w:val="en-US"/>
        </w:rPr>
        <w:t xml:space="preserve"> and </w:t>
      </w:r>
      <w:r w:rsidR="00730F13" w:rsidRPr="00D64A60">
        <w:rPr>
          <w:rFonts w:ascii="Arial" w:hAnsi="Arial" w:cs="Arial"/>
          <w:sz w:val="24"/>
          <w:szCs w:val="24"/>
          <w:lang w:val="en-US"/>
        </w:rPr>
        <w:t xml:space="preserve">(ii) </w:t>
      </w:r>
      <w:r w:rsidR="0044588B" w:rsidRPr="00D64A60">
        <w:rPr>
          <w:rFonts w:ascii="Arial" w:hAnsi="Arial" w:cs="Arial"/>
          <w:sz w:val="24"/>
          <w:szCs w:val="24"/>
          <w:lang w:val="en-US"/>
        </w:rPr>
        <w:t xml:space="preserve">that however poorly this </w:t>
      </w:r>
      <w:r w:rsidR="00730F13" w:rsidRPr="00D64A60">
        <w:rPr>
          <w:rFonts w:ascii="Arial" w:hAnsi="Arial" w:cs="Arial"/>
          <w:sz w:val="24"/>
          <w:szCs w:val="24"/>
          <w:lang w:val="en-US"/>
        </w:rPr>
        <w:t xml:space="preserve">had been </w:t>
      </w:r>
      <w:r w:rsidR="0044588B" w:rsidRPr="00D64A60">
        <w:rPr>
          <w:rFonts w:ascii="Arial" w:hAnsi="Arial" w:cs="Arial"/>
          <w:sz w:val="24"/>
          <w:szCs w:val="24"/>
          <w:lang w:val="en-US"/>
        </w:rPr>
        <w:t xml:space="preserve">documented, both he and the </w:t>
      </w:r>
      <w:r w:rsidR="00730F13" w:rsidRPr="00D64A60">
        <w:rPr>
          <w:rFonts w:ascii="Arial" w:hAnsi="Arial" w:cs="Arial"/>
          <w:sz w:val="24"/>
          <w:szCs w:val="24"/>
          <w:lang w:val="en-US"/>
        </w:rPr>
        <w:t>fourth respondent had</w:t>
      </w:r>
      <w:r w:rsidR="00063189" w:rsidRPr="00D64A60">
        <w:rPr>
          <w:rFonts w:ascii="Arial" w:hAnsi="Arial" w:cs="Arial"/>
          <w:sz w:val="24"/>
          <w:szCs w:val="24"/>
          <w:lang w:val="en-US"/>
        </w:rPr>
        <w:t xml:space="preserve">, as duly authorized representatives of borrower and lender respectively, agreed to extend the loan period </w:t>
      </w:r>
      <w:r w:rsidR="0044588B" w:rsidRPr="00D64A60">
        <w:rPr>
          <w:rFonts w:ascii="Arial" w:hAnsi="Arial" w:cs="Arial"/>
          <w:sz w:val="24"/>
          <w:szCs w:val="24"/>
          <w:lang w:val="en-US"/>
        </w:rPr>
        <w:t xml:space="preserve">to January 2020. </w:t>
      </w:r>
    </w:p>
    <w:p w14:paraId="44B52881" w14:textId="33C3A7B7" w:rsidR="0044588B" w:rsidRPr="00D64A60" w:rsidRDefault="00CF252A"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[7</w:t>
      </w:r>
      <w:r w:rsidR="007E2F99">
        <w:rPr>
          <w:rFonts w:ascii="Arial" w:hAnsi="Arial" w:cs="Arial"/>
          <w:sz w:val="24"/>
          <w:szCs w:val="24"/>
          <w:lang w:val="en-US"/>
        </w:rPr>
        <w:t>8</w:t>
      </w:r>
      <w:r w:rsidRPr="00D64A60">
        <w:rPr>
          <w:rFonts w:ascii="Arial" w:hAnsi="Arial" w:cs="Arial"/>
          <w:sz w:val="24"/>
          <w:szCs w:val="24"/>
          <w:lang w:val="en-US"/>
        </w:rPr>
        <w:t>]</w:t>
      </w:r>
      <w:r w:rsidRPr="00D64A60">
        <w:rPr>
          <w:rFonts w:ascii="Arial" w:hAnsi="Arial" w:cs="Arial"/>
          <w:sz w:val="24"/>
          <w:szCs w:val="24"/>
          <w:lang w:val="en-US"/>
        </w:rPr>
        <w:tab/>
      </w:r>
      <w:r w:rsidR="0044588B" w:rsidRPr="00D64A60">
        <w:rPr>
          <w:rFonts w:ascii="Arial" w:hAnsi="Arial" w:cs="Arial"/>
          <w:sz w:val="24"/>
          <w:szCs w:val="24"/>
          <w:lang w:val="en-US"/>
        </w:rPr>
        <w:t xml:space="preserve">This is the only sensible construction that can be put on </w:t>
      </w:r>
      <w:r w:rsidR="00AD14F5" w:rsidRPr="00D64A60">
        <w:rPr>
          <w:rFonts w:ascii="Arial" w:hAnsi="Arial" w:cs="Arial"/>
          <w:sz w:val="24"/>
          <w:szCs w:val="24"/>
          <w:lang w:val="en-US"/>
        </w:rPr>
        <w:t xml:space="preserve">the sequence of events.  </w:t>
      </w:r>
      <w:r w:rsidR="0044588B" w:rsidRPr="00D64A60">
        <w:rPr>
          <w:rFonts w:ascii="Arial" w:hAnsi="Arial" w:cs="Arial"/>
          <w:sz w:val="24"/>
          <w:szCs w:val="24"/>
          <w:lang w:val="en-US"/>
        </w:rPr>
        <w:t>There is no requirement in law that the extension of a time period for repayment of a loan of this kind be in writing.  A written recordal</w:t>
      </w:r>
      <w:r w:rsidR="00AD14F5" w:rsidRPr="00D64A60">
        <w:rPr>
          <w:rFonts w:ascii="Arial" w:hAnsi="Arial" w:cs="Arial"/>
          <w:sz w:val="24"/>
          <w:szCs w:val="24"/>
          <w:lang w:val="en-US"/>
        </w:rPr>
        <w:t>,</w:t>
      </w:r>
      <w:r w:rsidR="0044588B" w:rsidRPr="00D64A60">
        <w:rPr>
          <w:rFonts w:ascii="Arial" w:hAnsi="Arial" w:cs="Arial"/>
          <w:sz w:val="24"/>
          <w:szCs w:val="24"/>
          <w:lang w:val="en-US"/>
        </w:rPr>
        <w:t xml:space="preserve"> albeit signed </w:t>
      </w:r>
      <w:r w:rsidR="00B15031" w:rsidRPr="00D64A60">
        <w:rPr>
          <w:rFonts w:ascii="Arial" w:hAnsi="Arial" w:cs="Arial"/>
          <w:sz w:val="24"/>
          <w:szCs w:val="24"/>
          <w:lang w:val="en-US"/>
        </w:rPr>
        <w:t xml:space="preserve">ostensibly </w:t>
      </w:r>
      <w:r w:rsidR="00AD14F5" w:rsidRPr="00D64A60">
        <w:rPr>
          <w:rFonts w:ascii="Arial" w:hAnsi="Arial" w:cs="Arial"/>
          <w:sz w:val="24"/>
          <w:szCs w:val="24"/>
          <w:lang w:val="en-US"/>
        </w:rPr>
        <w:t>on behalf of the parent entity in the EOH group</w:t>
      </w:r>
      <w:r w:rsidR="000B1B43" w:rsidRPr="00D64A60">
        <w:rPr>
          <w:rFonts w:ascii="Arial" w:hAnsi="Arial" w:cs="Arial"/>
          <w:sz w:val="24"/>
          <w:szCs w:val="24"/>
          <w:lang w:val="en-US"/>
        </w:rPr>
        <w:t xml:space="preserve">, but by a person </w:t>
      </w:r>
      <w:r w:rsidR="0017170D">
        <w:rPr>
          <w:rFonts w:ascii="Arial" w:hAnsi="Arial" w:cs="Arial"/>
          <w:sz w:val="24"/>
          <w:szCs w:val="24"/>
          <w:lang w:val="en-US"/>
        </w:rPr>
        <w:t xml:space="preserve">- </w:t>
      </w:r>
      <w:r w:rsidR="000B1B43" w:rsidRPr="00D64A60">
        <w:rPr>
          <w:rFonts w:ascii="Arial" w:hAnsi="Arial" w:cs="Arial"/>
          <w:sz w:val="24"/>
          <w:szCs w:val="24"/>
          <w:lang w:val="en-US"/>
        </w:rPr>
        <w:t>the fourth respondent</w:t>
      </w:r>
      <w:r w:rsidR="0017170D">
        <w:rPr>
          <w:rFonts w:ascii="Arial" w:hAnsi="Arial" w:cs="Arial"/>
          <w:sz w:val="24"/>
          <w:szCs w:val="24"/>
          <w:lang w:val="en-US"/>
        </w:rPr>
        <w:t xml:space="preserve"> -</w:t>
      </w:r>
      <w:r w:rsidR="000B1B43" w:rsidRPr="00D64A60">
        <w:rPr>
          <w:rFonts w:ascii="Arial" w:hAnsi="Arial" w:cs="Arial"/>
          <w:sz w:val="24"/>
          <w:szCs w:val="24"/>
          <w:lang w:val="en-US"/>
        </w:rPr>
        <w:t xml:space="preserve"> who was a director both of the parent and of the subsidiary loan creditor, </w:t>
      </w:r>
      <w:r w:rsidR="0044588B" w:rsidRPr="00D64A60">
        <w:rPr>
          <w:rFonts w:ascii="Arial" w:hAnsi="Arial" w:cs="Arial"/>
          <w:sz w:val="24"/>
          <w:szCs w:val="24"/>
          <w:lang w:val="en-US"/>
        </w:rPr>
        <w:t xml:space="preserve">recording that </w:t>
      </w:r>
      <w:r w:rsidR="000B1B43" w:rsidRPr="00D64A60">
        <w:rPr>
          <w:rFonts w:ascii="Arial" w:hAnsi="Arial" w:cs="Arial"/>
          <w:sz w:val="24"/>
          <w:szCs w:val="24"/>
          <w:lang w:val="en-US"/>
        </w:rPr>
        <w:t xml:space="preserve">the </w:t>
      </w:r>
      <w:r w:rsidR="0044588B" w:rsidRPr="00D64A60">
        <w:rPr>
          <w:rFonts w:ascii="Arial" w:hAnsi="Arial" w:cs="Arial"/>
          <w:sz w:val="24"/>
          <w:szCs w:val="24"/>
          <w:lang w:val="en-US"/>
        </w:rPr>
        <w:t xml:space="preserve">loan repayment date was extended cannot in my view be said to be anything other than a clear recordal of </w:t>
      </w:r>
      <w:r w:rsidR="00DE2A40" w:rsidRPr="00D64A60">
        <w:rPr>
          <w:rFonts w:ascii="Arial" w:hAnsi="Arial" w:cs="Arial"/>
          <w:sz w:val="24"/>
          <w:szCs w:val="24"/>
          <w:lang w:val="en-US"/>
        </w:rPr>
        <w:t xml:space="preserve">that </w:t>
      </w:r>
      <w:r w:rsidR="0044588B" w:rsidRPr="00D64A60">
        <w:rPr>
          <w:rFonts w:ascii="Arial" w:hAnsi="Arial" w:cs="Arial"/>
          <w:sz w:val="24"/>
          <w:szCs w:val="24"/>
          <w:lang w:val="en-US"/>
        </w:rPr>
        <w:t>extension</w:t>
      </w:r>
      <w:r w:rsidR="00DE2A40" w:rsidRPr="00D64A60">
        <w:rPr>
          <w:rFonts w:ascii="Arial" w:hAnsi="Arial" w:cs="Arial"/>
          <w:sz w:val="24"/>
          <w:szCs w:val="24"/>
          <w:lang w:val="en-US"/>
        </w:rPr>
        <w:t xml:space="preserve">.  There is no doubt that at least the second extension, by way of the document </w:t>
      </w:r>
      <w:r w:rsidR="000729F0">
        <w:rPr>
          <w:rFonts w:ascii="Arial" w:hAnsi="Arial" w:cs="Arial"/>
          <w:sz w:val="24"/>
          <w:szCs w:val="24"/>
          <w:lang w:val="en-US"/>
        </w:rPr>
        <w:t>titled</w:t>
      </w:r>
      <w:r w:rsidR="000729F0" w:rsidRPr="00D64A60">
        <w:rPr>
          <w:rFonts w:ascii="Arial" w:hAnsi="Arial" w:cs="Arial"/>
          <w:sz w:val="24"/>
          <w:szCs w:val="24"/>
          <w:lang w:val="en-US"/>
        </w:rPr>
        <w:t xml:space="preserve"> </w:t>
      </w:r>
      <w:r w:rsidR="00DE2A40" w:rsidRPr="00D64A60">
        <w:rPr>
          <w:rFonts w:ascii="Arial" w:hAnsi="Arial" w:cs="Arial"/>
          <w:sz w:val="24"/>
          <w:szCs w:val="24"/>
          <w:lang w:val="en-US"/>
        </w:rPr>
        <w:t xml:space="preserve">“first amendment” of the loan agreement, </w:t>
      </w:r>
      <w:r w:rsidR="0019267F" w:rsidRPr="00D64A60">
        <w:rPr>
          <w:rFonts w:ascii="Arial" w:hAnsi="Arial" w:cs="Arial"/>
          <w:sz w:val="24"/>
          <w:szCs w:val="24"/>
          <w:lang w:val="en-US"/>
        </w:rPr>
        <w:t xml:space="preserve">establishes that all </w:t>
      </w:r>
      <w:r w:rsidR="0044588B" w:rsidRPr="00D64A60">
        <w:rPr>
          <w:rFonts w:ascii="Arial" w:hAnsi="Arial" w:cs="Arial"/>
          <w:sz w:val="24"/>
          <w:szCs w:val="24"/>
          <w:lang w:val="en-US"/>
        </w:rPr>
        <w:t xml:space="preserve">relevant parties </w:t>
      </w:r>
      <w:r w:rsidR="0019267F" w:rsidRPr="00D64A60">
        <w:rPr>
          <w:rFonts w:ascii="Arial" w:hAnsi="Arial" w:cs="Arial"/>
          <w:sz w:val="24"/>
          <w:szCs w:val="24"/>
          <w:lang w:val="en-US"/>
        </w:rPr>
        <w:t>were</w:t>
      </w:r>
      <w:r w:rsidR="0044588B" w:rsidRPr="00D64A60">
        <w:rPr>
          <w:rFonts w:ascii="Arial" w:hAnsi="Arial" w:cs="Arial"/>
          <w:sz w:val="24"/>
          <w:szCs w:val="24"/>
          <w:lang w:val="en-US"/>
        </w:rPr>
        <w:t xml:space="preserve"> aware </w:t>
      </w:r>
      <w:r w:rsidR="00792A9E" w:rsidRPr="00D64A60">
        <w:rPr>
          <w:rFonts w:ascii="Arial" w:hAnsi="Arial" w:cs="Arial"/>
          <w:sz w:val="24"/>
          <w:szCs w:val="24"/>
          <w:lang w:val="en-US"/>
        </w:rPr>
        <w:t xml:space="preserve">of and </w:t>
      </w:r>
      <w:r w:rsidR="0019267F" w:rsidRPr="00D64A60">
        <w:rPr>
          <w:rFonts w:ascii="Arial" w:hAnsi="Arial" w:cs="Arial"/>
          <w:sz w:val="24"/>
          <w:szCs w:val="24"/>
          <w:lang w:val="en-US"/>
        </w:rPr>
        <w:t xml:space="preserve">agreed </w:t>
      </w:r>
      <w:r w:rsidR="00792A9E" w:rsidRPr="00D64A60">
        <w:rPr>
          <w:rFonts w:ascii="Arial" w:hAnsi="Arial" w:cs="Arial"/>
          <w:sz w:val="24"/>
          <w:szCs w:val="24"/>
          <w:lang w:val="en-US"/>
        </w:rPr>
        <w:t>to this</w:t>
      </w:r>
      <w:r w:rsidR="0044588B" w:rsidRPr="00D64A60">
        <w:rPr>
          <w:rFonts w:ascii="Arial" w:hAnsi="Arial" w:cs="Arial"/>
          <w:sz w:val="24"/>
          <w:szCs w:val="24"/>
          <w:lang w:val="en-US"/>
        </w:rPr>
        <w:t>.</w:t>
      </w:r>
    </w:p>
    <w:p w14:paraId="2DD2703A" w14:textId="267C3701" w:rsidR="00896CAC" w:rsidRPr="00D64A60" w:rsidRDefault="00CF252A"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[7</w:t>
      </w:r>
      <w:r w:rsidR="007E2F99">
        <w:rPr>
          <w:rFonts w:ascii="Arial" w:hAnsi="Arial" w:cs="Arial"/>
          <w:sz w:val="24"/>
          <w:szCs w:val="24"/>
          <w:lang w:val="en-US"/>
        </w:rPr>
        <w:t>9</w:t>
      </w:r>
      <w:r w:rsidRPr="00D64A60">
        <w:rPr>
          <w:rFonts w:ascii="Arial" w:hAnsi="Arial" w:cs="Arial"/>
          <w:sz w:val="24"/>
          <w:szCs w:val="24"/>
          <w:lang w:val="en-US"/>
        </w:rPr>
        <w:t>]</w:t>
      </w:r>
      <w:r w:rsidRPr="00D64A60">
        <w:rPr>
          <w:rFonts w:ascii="Arial" w:hAnsi="Arial" w:cs="Arial"/>
          <w:sz w:val="24"/>
          <w:szCs w:val="24"/>
          <w:lang w:val="en-US"/>
        </w:rPr>
        <w:tab/>
      </w:r>
      <w:r w:rsidR="0044588B" w:rsidRPr="00D64A60">
        <w:rPr>
          <w:rFonts w:ascii="Arial" w:hAnsi="Arial" w:cs="Arial"/>
          <w:sz w:val="24"/>
          <w:szCs w:val="24"/>
          <w:lang w:val="en-US"/>
        </w:rPr>
        <w:t xml:space="preserve">In those circumstances, while it is clear that the impugned </w:t>
      </w:r>
      <w:r w:rsidR="00792A9E" w:rsidRPr="00D64A60">
        <w:rPr>
          <w:rFonts w:ascii="Arial" w:hAnsi="Arial" w:cs="Arial"/>
          <w:sz w:val="24"/>
          <w:szCs w:val="24"/>
          <w:lang w:val="en-US"/>
        </w:rPr>
        <w:t>document</w:t>
      </w:r>
      <w:r w:rsidR="0044588B" w:rsidRPr="00D64A60">
        <w:rPr>
          <w:rFonts w:ascii="Arial" w:hAnsi="Arial" w:cs="Arial"/>
          <w:sz w:val="24"/>
          <w:szCs w:val="24"/>
          <w:lang w:val="en-US"/>
        </w:rPr>
        <w:t xml:space="preserve"> was the subject of manipulation</w:t>
      </w:r>
      <w:r w:rsidR="00F80D4D" w:rsidRPr="00D64A60">
        <w:rPr>
          <w:rFonts w:ascii="Arial" w:hAnsi="Arial" w:cs="Arial"/>
          <w:sz w:val="24"/>
          <w:szCs w:val="24"/>
          <w:lang w:val="en-US"/>
        </w:rPr>
        <w:t xml:space="preserve">, probably by the fourth respondent’s personal assistant at the time, </w:t>
      </w:r>
      <w:r w:rsidR="0044588B" w:rsidRPr="00D64A60">
        <w:rPr>
          <w:rFonts w:ascii="Arial" w:hAnsi="Arial" w:cs="Arial"/>
          <w:sz w:val="24"/>
          <w:szCs w:val="24"/>
          <w:lang w:val="en-US"/>
        </w:rPr>
        <w:t xml:space="preserve">who thought it appropriate </w:t>
      </w:r>
      <w:r w:rsidR="004A223B" w:rsidRPr="00D64A60">
        <w:rPr>
          <w:rFonts w:ascii="Arial" w:hAnsi="Arial" w:cs="Arial"/>
          <w:sz w:val="24"/>
          <w:szCs w:val="24"/>
          <w:lang w:val="en-US"/>
        </w:rPr>
        <w:t xml:space="preserve">or was instructed </w:t>
      </w:r>
      <w:r w:rsidR="0044588B" w:rsidRPr="00D64A60">
        <w:rPr>
          <w:rFonts w:ascii="Arial" w:hAnsi="Arial" w:cs="Arial"/>
          <w:sz w:val="24"/>
          <w:szCs w:val="24"/>
          <w:lang w:val="en-US"/>
        </w:rPr>
        <w:t xml:space="preserve">to attach </w:t>
      </w:r>
      <w:r w:rsidR="004A223B" w:rsidRPr="00D64A60">
        <w:rPr>
          <w:rFonts w:ascii="Arial" w:hAnsi="Arial" w:cs="Arial"/>
          <w:sz w:val="24"/>
          <w:szCs w:val="24"/>
          <w:lang w:val="en-US"/>
        </w:rPr>
        <w:t xml:space="preserve">the </w:t>
      </w:r>
      <w:r w:rsidR="0044588B" w:rsidRPr="00D64A60">
        <w:rPr>
          <w:rFonts w:ascii="Arial" w:hAnsi="Arial" w:cs="Arial"/>
          <w:sz w:val="24"/>
          <w:szCs w:val="24"/>
          <w:lang w:val="en-US"/>
        </w:rPr>
        <w:t xml:space="preserve">signature page </w:t>
      </w:r>
      <w:r w:rsidR="004A223B" w:rsidRPr="00D64A60">
        <w:rPr>
          <w:rFonts w:ascii="Arial" w:hAnsi="Arial" w:cs="Arial"/>
          <w:sz w:val="24"/>
          <w:szCs w:val="24"/>
          <w:lang w:val="en-US"/>
        </w:rPr>
        <w:t>from the earlier document to a corrected version</w:t>
      </w:r>
      <w:r w:rsidR="00326554" w:rsidRPr="00D64A60">
        <w:rPr>
          <w:rFonts w:ascii="Arial" w:hAnsi="Arial" w:cs="Arial"/>
          <w:sz w:val="24"/>
          <w:szCs w:val="24"/>
          <w:lang w:val="en-US"/>
        </w:rPr>
        <w:t xml:space="preserve">, </w:t>
      </w:r>
      <w:r w:rsidR="00896CAC" w:rsidRPr="00D64A60">
        <w:rPr>
          <w:rFonts w:ascii="Arial" w:hAnsi="Arial" w:cs="Arial"/>
          <w:sz w:val="24"/>
          <w:szCs w:val="24"/>
          <w:lang w:val="en-US"/>
        </w:rPr>
        <w:t xml:space="preserve">there are no grounds on which to find that this constituted a fraud that unravels the </w:t>
      </w:r>
      <w:r w:rsidR="00AF595C" w:rsidRPr="00D64A60">
        <w:rPr>
          <w:rFonts w:ascii="Arial" w:hAnsi="Arial" w:cs="Arial"/>
          <w:sz w:val="24"/>
          <w:szCs w:val="24"/>
          <w:lang w:val="en-US"/>
        </w:rPr>
        <w:t>EOH MS</w:t>
      </w:r>
      <w:r w:rsidR="00896CAC" w:rsidRPr="00D64A60">
        <w:rPr>
          <w:rFonts w:ascii="Arial" w:hAnsi="Arial" w:cs="Arial"/>
          <w:sz w:val="24"/>
          <w:szCs w:val="24"/>
          <w:lang w:val="en-US"/>
        </w:rPr>
        <w:t xml:space="preserve"> claim to repayment of the loan.  </w:t>
      </w:r>
    </w:p>
    <w:p w14:paraId="74DFB222" w14:textId="69D763EE" w:rsidR="0044588B" w:rsidRPr="00D64A60" w:rsidRDefault="00CF252A"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w:t>
      </w:r>
      <w:r w:rsidR="007E2F99">
        <w:rPr>
          <w:rFonts w:ascii="Arial" w:hAnsi="Arial" w:cs="Arial"/>
          <w:sz w:val="24"/>
          <w:szCs w:val="24"/>
          <w:lang w:val="en-US"/>
        </w:rPr>
        <w:t>80]</w:t>
      </w:r>
      <w:r w:rsidRPr="00D64A60">
        <w:rPr>
          <w:rFonts w:ascii="Arial" w:hAnsi="Arial" w:cs="Arial"/>
          <w:sz w:val="24"/>
          <w:szCs w:val="24"/>
          <w:lang w:val="en-US"/>
        </w:rPr>
        <w:tab/>
      </w:r>
      <w:r w:rsidR="0044588B" w:rsidRPr="00D64A60">
        <w:rPr>
          <w:rFonts w:ascii="Arial" w:hAnsi="Arial" w:cs="Arial"/>
          <w:sz w:val="24"/>
          <w:szCs w:val="24"/>
          <w:lang w:val="en-US"/>
        </w:rPr>
        <w:t xml:space="preserve">All relevant principals who </w:t>
      </w:r>
      <w:r w:rsidR="007F71F8" w:rsidRPr="00D64A60">
        <w:rPr>
          <w:rFonts w:ascii="Arial" w:hAnsi="Arial" w:cs="Arial"/>
          <w:sz w:val="24"/>
          <w:szCs w:val="24"/>
          <w:lang w:val="en-US"/>
        </w:rPr>
        <w:t>were</w:t>
      </w:r>
      <w:r w:rsidR="0044588B" w:rsidRPr="00D64A60">
        <w:rPr>
          <w:rFonts w:ascii="Arial" w:hAnsi="Arial" w:cs="Arial"/>
          <w:sz w:val="24"/>
          <w:szCs w:val="24"/>
          <w:lang w:val="en-US"/>
        </w:rPr>
        <w:t xml:space="preserve"> required to endorse the arrangements </w:t>
      </w:r>
      <w:r w:rsidR="007F71F8" w:rsidRPr="00D64A60">
        <w:rPr>
          <w:rFonts w:ascii="Arial" w:hAnsi="Arial" w:cs="Arial"/>
          <w:sz w:val="24"/>
          <w:szCs w:val="24"/>
          <w:lang w:val="en-US"/>
        </w:rPr>
        <w:t xml:space="preserve">understood the true position clearly, and the </w:t>
      </w:r>
      <w:r w:rsidR="0044588B" w:rsidRPr="00D64A60">
        <w:rPr>
          <w:rFonts w:ascii="Arial" w:hAnsi="Arial" w:cs="Arial"/>
          <w:sz w:val="24"/>
          <w:szCs w:val="24"/>
          <w:lang w:val="en-US"/>
        </w:rPr>
        <w:t xml:space="preserve">records </w:t>
      </w:r>
      <w:r w:rsidR="007F71F8" w:rsidRPr="00D64A60">
        <w:rPr>
          <w:rFonts w:ascii="Arial" w:hAnsi="Arial" w:cs="Arial"/>
          <w:sz w:val="24"/>
          <w:szCs w:val="24"/>
          <w:lang w:val="en-US"/>
        </w:rPr>
        <w:t xml:space="preserve">of </w:t>
      </w:r>
      <w:r w:rsidR="0044588B" w:rsidRPr="00D64A60">
        <w:rPr>
          <w:rFonts w:ascii="Arial" w:hAnsi="Arial" w:cs="Arial"/>
          <w:sz w:val="24"/>
          <w:szCs w:val="24"/>
          <w:lang w:val="en-US"/>
        </w:rPr>
        <w:t xml:space="preserve">the EOH Group were consistent in recording the loan creditor as </w:t>
      </w:r>
      <w:r w:rsidR="00AF595C" w:rsidRPr="00D64A60">
        <w:rPr>
          <w:rFonts w:ascii="Arial" w:hAnsi="Arial" w:cs="Arial"/>
          <w:sz w:val="24"/>
          <w:szCs w:val="24"/>
          <w:lang w:val="en-US"/>
        </w:rPr>
        <w:t>EOH MS</w:t>
      </w:r>
      <w:r w:rsidR="0044588B" w:rsidRPr="00D64A60">
        <w:rPr>
          <w:rFonts w:ascii="Arial" w:hAnsi="Arial" w:cs="Arial"/>
          <w:sz w:val="24"/>
          <w:szCs w:val="24"/>
          <w:lang w:val="en-US"/>
        </w:rPr>
        <w:t xml:space="preserve">.  </w:t>
      </w:r>
      <w:r w:rsidR="0097740E" w:rsidRPr="00D64A60">
        <w:rPr>
          <w:rFonts w:ascii="Arial" w:hAnsi="Arial" w:cs="Arial"/>
          <w:sz w:val="24"/>
          <w:szCs w:val="24"/>
          <w:lang w:val="en-US"/>
        </w:rPr>
        <w:t xml:space="preserve"> The fourth respondent was, as I have stated, at all material times a director of both EOH Mthombo and </w:t>
      </w:r>
      <w:r w:rsidR="00AF595C" w:rsidRPr="00D64A60">
        <w:rPr>
          <w:rFonts w:ascii="Arial" w:hAnsi="Arial" w:cs="Arial"/>
          <w:sz w:val="24"/>
          <w:szCs w:val="24"/>
          <w:lang w:val="en-US"/>
        </w:rPr>
        <w:t>EOH MS</w:t>
      </w:r>
      <w:r w:rsidR="0097740E" w:rsidRPr="00D64A60">
        <w:rPr>
          <w:rFonts w:ascii="Arial" w:hAnsi="Arial" w:cs="Arial"/>
          <w:sz w:val="24"/>
          <w:szCs w:val="24"/>
          <w:lang w:val="en-US"/>
        </w:rPr>
        <w:t>.</w:t>
      </w:r>
    </w:p>
    <w:p w14:paraId="5927DFD4" w14:textId="379F39AB" w:rsidR="00301C5B" w:rsidRPr="00D64A60" w:rsidRDefault="00CF252A"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w:t>
      </w:r>
      <w:r w:rsidR="007E2F99">
        <w:rPr>
          <w:rFonts w:ascii="Arial" w:hAnsi="Arial" w:cs="Arial"/>
          <w:sz w:val="24"/>
          <w:szCs w:val="24"/>
          <w:lang w:val="en-US"/>
        </w:rPr>
        <w:t>81</w:t>
      </w:r>
      <w:r w:rsidRPr="00D64A60">
        <w:rPr>
          <w:rFonts w:ascii="Arial" w:hAnsi="Arial" w:cs="Arial"/>
          <w:sz w:val="24"/>
          <w:szCs w:val="24"/>
          <w:lang w:val="en-US"/>
        </w:rPr>
        <w:t xml:space="preserve">] </w:t>
      </w:r>
      <w:r w:rsidR="00833DA2" w:rsidRPr="00D64A60">
        <w:rPr>
          <w:rFonts w:ascii="Arial" w:hAnsi="Arial" w:cs="Arial"/>
          <w:sz w:val="24"/>
          <w:szCs w:val="24"/>
          <w:lang w:val="en-US"/>
        </w:rPr>
        <w:t xml:space="preserve">In summary, there are a number of reasons </w:t>
      </w:r>
      <w:r w:rsidR="00301C5B" w:rsidRPr="00D64A60">
        <w:rPr>
          <w:rFonts w:ascii="Arial" w:hAnsi="Arial" w:cs="Arial"/>
          <w:sz w:val="24"/>
          <w:szCs w:val="24"/>
          <w:lang w:val="en-US"/>
        </w:rPr>
        <w:t xml:space="preserve">why I am not persuaded </w:t>
      </w:r>
      <w:r w:rsidR="00521F3E" w:rsidRPr="00D64A60">
        <w:rPr>
          <w:rFonts w:ascii="Arial" w:hAnsi="Arial" w:cs="Arial"/>
          <w:sz w:val="24"/>
          <w:szCs w:val="24"/>
          <w:lang w:val="en-US"/>
        </w:rPr>
        <w:t xml:space="preserve">that the manipulated document in July 2013 is fatal to the first respondent’s claim against </w:t>
      </w:r>
      <w:r w:rsidR="00485F1A" w:rsidRPr="00D64A60">
        <w:rPr>
          <w:rFonts w:ascii="Arial" w:hAnsi="Arial" w:cs="Arial"/>
          <w:sz w:val="24"/>
          <w:szCs w:val="24"/>
          <w:lang w:val="en-US"/>
        </w:rPr>
        <w:t>Silver Touch.</w:t>
      </w:r>
    </w:p>
    <w:p w14:paraId="69C2A154" w14:textId="595B0EDB" w:rsidR="00301C5B" w:rsidRPr="00D64A60" w:rsidRDefault="00CF252A"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w:t>
      </w:r>
      <w:r w:rsidR="007E2F99">
        <w:rPr>
          <w:rFonts w:ascii="Arial" w:hAnsi="Arial" w:cs="Arial"/>
          <w:sz w:val="24"/>
          <w:szCs w:val="24"/>
          <w:lang w:val="en-US"/>
        </w:rPr>
        <w:t>82</w:t>
      </w:r>
      <w:r w:rsidRPr="00D64A60">
        <w:rPr>
          <w:rFonts w:ascii="Arial" w:hAnsi="Arial" w:cs="Arial"/>
          <w:sz w:val="24"/>
          <w:szCs w:val="24"/>
          <w:lang w:val="en-US"/>
        </w:rPr>
        <w:t>]</w:t>
      </w:r>
      <w:r w:rsidRPr="00D64A60">
        <w:rPr>
          <w:rFonts w:ascii="Arial" w:hAnsi="Arial" w:cs="Arial"/>
          <w:sz w:val="24"/>
          <w:szCs w:val="24"/>
          <w:lang w:val="en-US"/>
        </w:rPr>
        <w:tab/>
      </w:r>
      <w:r w:rsidR="00301C5B" w:rsidRPr="00D64A60">
        <w:rPr>
          <w:rFonts w:ascii="Arial" w:hAnsi="Arial" w:cs="Arial"/>
          <w:sz w:val="24"/>
          <w:szCs w:val="24"/>
          <w:lang w:val="en-US"/>
        </w:rPr>
        <w:t xml:space="preserve">First, the </w:t>
      </w:r>
      <w:r w:rsidR="00D6572A" w:rsidRPr="00D64A60">
        <w:rPr>
          <w:rFonts w:ascii="Arial" w:hAnsi="Arial" w:cs="Arial"/>
          <w:sz w:val="24"/>
          <w:szCs w:val="24"/>
          <w:lang w:val="en-US"/>
        </w:rPr>
        <w:t xml:space="preserve">evidence establishes the </w:t>
      </w:r>
      <w:r w:rsidR="00301C5B" w:rsidRPr="00D64A60">
        <w:rPr>
          <w:rFonts w:ascii="Arial" w:hAnsi="Arial" w:cs="Arial"/>
          <w:sz w:val="24"/>
          <w:szCs w:val="24"/>
          <w:lang w:val="en-US"/>
        </w:rPr>
        <w:t xml:space="preserve">intention within the EOH group that the loan creditor should be </w:t>
      </w:r>
      <w:r w:rsidR="00AF595C" w:rsidRPr="00D64A60">
        <w:rPr>
          <w:rFonts w:ascii="Arial" w:hAnsi="Arial" w:cs="Arial"/>
          <w:sz w:val="24"/>
          <w:szCs w:val="24"/>
          <w:lang w:val="en-US"/>
        </w:rPr>
        <w:t>EOH MS</w:t>
      </w:r>
      <w:r w:rsidR="00D6572A" w:rsidRPr="00D64A60">
        <w:rPr>
          <w:rFonts w:ascii="Arial" w:hAnsi="Arial" w:cs="Arial"/>
          <w:sz w:val="24"/>
          <w:szCs w:val="24"/>
          <w:lang w:val="en-US"/>
        </w:rPr>
        <w:t xml:space="preserve">. This </w:t>
      </w:r>
      <w:r w:rsidR="00301C5B" w:rsidRPr="00D64A60">
        <w:rPr>
          <w:rFonts w:ascii="Arial" w:hAnsi="Arial" w:cs="Arial"/>
          <w:sz w:val="24"/>
          <w:szCs w:val="24"/>
          <w:lang w:val="en-US"/>
        </w:rPr>
        <w:t xml:space="preserve">was clear and consistent, as reflected in the </w:t>
      </w:r>
      <w:r w:rsidR="00AF595C" w:rsidRPr="00D64A60">
        <w:rPr>
          <w:rFonts w:ascii="Arial" w:hAnsi="Arial" w:cs="Arial"/>
          <w:sz w:val="24"/>
          <w:szCs w:val="24"/>
          <w:lang w:val="en-US"/>
        </w:rPr>
        <w:t>EOH MS</w:t>
      </w:r>
      <w:r w:rsidR="00301C5B" w:rsidRPr="00D64A60">
        <w:rPr>
          <w:rFonts w:ascii="Arial" w:hAnsi="Arial" w:cs="Arial"/>
          <w:sz w:val="24"/>
          <w:szCs w:val="24"/>
          <w:lang w:val="en-US"/>
        </w:rPr>
        <w:t xml:space="preserve"> financial statements.</w:t>
      </w:r>
    </w:p>
    <w:p w14:paraId="6AB40122" w14:textId="1555BEB4" w:rsidR="00301C5B" w:rsidRPr="00D64A60" w:rsidRDefault="00CF252A"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[8</w:t>
      </w:r>
      <w:r w:rsidR="00295513">
        <w:rPr>
          <w:rFonts w:ascii="Arial" w:hAnsi="Arial" w:cs="Arial"/>
          <w:sz w:val="24"/>
          <w:szCs w:val="24"/>
          <w:lang w:val="en-US"/>
        </w:rPr>
        <w:t>3</w:t>
      </w:r>
      <w:r w:rsidRPr="00D64A60">
        <w:rPr>
          <w:rFonts w:ascii="Arial" w:hAnsi="Arial" w:cs="Arial"/>
          <w:sz w:val="24"/>
          <w:szCs w:val="24"/>
          <w:lang w:val="en-US"/>
        </w:rPr>
        <w:t>]</w:t>
      </w:r>
      <w:r w:rsidRPr="00D64A60">
        <w:rPr>
          <w:rFonts w:ascii="Arial" w:hAnsi="Arial" w:cs="Arial"/>
          <w:sz w:val="24"/>
          <w:szCs w:val="24"/>
          <w:lang w:val="en-US"/>
        </w:rPr>
        <w:tab/>
      </w:r>
      <w:r w:rsidR="00301C5B" w:rsidRPr="00D64A60">
        <w:rPr>
          <w:rFonts w:ascii="Arial" w:hAnsi="Arial" w:cs="Arial"/>
          <w:sz w:val="24"/>
          <w:szCs w:val="24"/>
          <w:lang w:val="en-US"/>
        </w:rPr>
        <w:t xml:space="preserve">Second, the subsequent written extension signed by both applicant and first respondent in January 2015 correctly identified </w:t>
      </w:r>
      <w:r w:rsidR="00AF595C" w:rsidRPr="00D64A60">
        <w:rPr>
          <w:rFonts w:ascii="Arial" w:hAnsi="Arial" w:cs="Arial"/>
          <w:sz w:val="24"/>
          <w:szCs w:val="24"/>
          <w:lang w:val="en-US"/>
        </w:rPr>
        <w:t>EOH MS</w:t>
      </w:r>
      <w:r w:rsidR="00301C5B" w:rsidRPr="00D64A60">
        <w:rPr>
          <w:rFonts w:ascii="Arial" w:hAnsi="Arial" w:cs="Arial"/>
          <w:sz w:val="24"/>
          <w:szCs w:val="24"/>
          <w:lang w:val="en-US"/>
        </w:rPr>
        <w:t xml:space="preserve"> as the loan creditor.  The fact that the fourth respondent signed on behalf of the loan creditor’s parent and not the loan creditor itself, a wholly owned subsidiary of which he was also a director, does not detract from the clear purpose of the document which was to record in writing the extension of the repayment period to January 2020.</w:t>
      </w:r>
    </w:p>
    <w:p w14:paraId="1C794EB7" w14:textId="07212E5D" w:rsidR="005F572F" w:rsidRPr="00D64A60" w:rsidRDefault="00CF252A"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[8</w:t>
      </w:r>
      <w:r w:rsidR="00295513">
        <w:rPr>
          <w:rFonts w:ascii="Arial" w:hAnsi="Arial" w:cs="Arial"/>
          <w:sz w:val="24"/>
          <w:szCs w:val="24"/>
          <w:lang w:val="en-US"/>
        </w:rPr>
        <w:t>4</w:t>
      </w:r>
      <w:r w:rsidRPr="00D64A60">
        <w:rPr>
          <w:rFonts w:ascii="Arial" w:hAnsi="Arial" w:cs="Arial"/>
          <w:sz w:val="24"/>
          <w:szCs w:val="24"/>
          <w:lang w:val="en-US"/>
        </w:rPr>
        <w:t>]</w:t>
      </w:r>
      <w:r w:rsidRPr="00D64A60">
        <w:rPr>
          <w:rFonts w:ascii="Arial" w:hAnsi="Arial" w:cs="Arial"/>
          <w:sz w:val="24"/>
          <w:szCs w:val="24"/>
          <w:lang w:val="en-US"/>
        </w:rPr>
        <w:tab/>
      </w:r>
      <w:r w:rsidR="00301C5B" w:rsidRPr="00D64A60">
        <w:rPr>
          <w:rFonts w:ascii="Arial" w:hAnsi="Arial" w:cs="Arial"/>
          <w:sz w:val="24"/>
          <w:szCs w:val="24"/>
          <w:lang w:val="en-US"/>
        </w:rPr>
        <w:t xml:space="preserve">Third, the applicant’s own unequivocal representation </w:t>
      </w:r>
      <w:r w:rsidR="00485F1A" w:rsidRPr="00D64A60">
        <w:rPr>
          <w:rFonts w:ascii="Arial" w:hAnsi="Arial" w:cs="Arial"/>
          <w:sz w:val="24"/>
          <w:szCs w:val="24"/>
          <w:lang w:val="en-US"/>
        </w:rPr>
        <w:t xml:space="preserve">in 2017 </w:t>
      </w:r>
      <w:r w:rsidR="00301C5B" w:rsidRPr="00D64A60">
        <w:rPr>
          <w:rFonts w:ascii="Arial" w:hAnsi="Arial" w:cs="Arial"/>
          <w:sz w:val="24"/>
          <w:szCs w:val="24"/>
          <w:lang w:val="en-US"/>
        </w:rPr>
        <w:t xml:space="preserve">that </w:t>
      </w:r>
      <w:r w:rsidR="00AF595C" w:rsidRPr="00D64A60">
        <w:rPr>
          <w:rFonts w:ascii="Arial" w:hAnsi="Arial" w:cs="Arial"/>
          <w:sz w:val="24"/>
          <w:szCs w:val="24"/>
          <w:lang w:val="en-US"/>
        </w:rPr>
        <w:t>EOH MS</w:t>
      </w:r>
      <w:r w:rsidR="00301C5B" w:rsidRPr="00D64A60">
        <w:rPr>
          <w:rFonts w:ascii="Arial" w:hAnsi="Arial" w:cs="Arial"/>
          <w:sz w:val="24"/>
          <w:szCs w:val="24"/>
          <w:lang w:val="en-US"/>
        </w:rPr>
        <w:t xml:space="preserve"> was the loan creditor </w:t>
      </w:r>
      <w:r w:rsidR="00485F1A" w:rsidRPr="00D64A60">
        <w:rPr>
          <w:rFonts w:ascii="Arial" w:hAnsi="Arial" w:cs="Arial"/>
          <w:sz w:val="24"/>
          <w:szCs w:val="24"/>
          <w:lang w:val="en-US"/>
        </w:rPr>
        <w:t xml:space="preserve">at that stage </w:t>
      </w:r>
      <w:r w:rsidR="00301C5B" w:rsidRPr="00D64A60">
        <w:rPr>
          <w:rFonts w:ascii="Arial" w:hAnsi="Arial" w:cs="Arial"/>
          <w:sz w:val="24"/>
          <w:szCs w:val="24"/>
          <w:lang w:val="en-US"/>
        </w:rPr>
        <w:t xml:space="preserve">cannot be reconciled with any contrary understanding or version.  </w:t>
      </w:r>
    </w:p>
    <w:p w14:paraId="16DB1CDA" w14:textId="2C0667A9" w:rsidR="00052F56" w:rsidRPr="00921D26" w:rsidRDefault="005F572F" w:rsidP="00921D26">
      <w:pPr>
        <w:pStyle w:val="BowLevel1ListAlt"/>
        <w:numPr>
          <w:ilvl w:val="0"/>
          <w:numId w:val="0"/>
        </w:numPr>
        <w:ind w:left="567" w:hanging="567"/>
        <w:rPr>
          <w:rFonts w:ascii="Arial" w:hAnsi="Arial" w:cs="Arial"/>
          <w:b/>
          <w:bCs/>
          <w:sz w:val="24"/>
          <w:szCs w:val="24"/>
          <w:lang w:val="en-US"/>
        </w:rPr>
      </w:pPr>
      <w:r>
        <w:rPr>
          <w:rFonts w:ascii="Arial" w:hAnsi="Arial" w:cs="Arial"/>
          <w:sz w:val="24"/>
          <w:szCs w:val="24"/>
          <w:lang w:val="en-US"/>
        </w:rPr>
        <w:t>[8</w:t>
      </w:r>
      <w:r w:rsidR="00295513">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301C5B" w:rsidRPr="00D64A60">
        <w:rPr>
          <w:rFonts w:ascii="Arial" w:hAnsi="Arial" w:cs="Arial"/>
          <w:sz w:val="24"/>
          <w:szCs w:val="24"/>
          <w:lang w:val="en-US"/>
        </w:rPr>
        <w:t xml:space="preserve">There is no credible suggestion that the actual or true loan creditor was </w:t>
      </w:r>
      <w:r w:rsidR="00AF595C" w:rsidRPr="00D64A60">
        <w:rPr>
          <w:rFonts w:ascii="Arial" w:hAnsi="Arial" w:cs="Arial"/>
          <w:sz w:val="24"/>
          <w:szCs w:val="24"/>
          <w:lang w:val="en-US"/>
        </w:rPr>
        <w:t>EOH MS</w:t>
      </w:r>
      <w:r w:rsidR="00301C5B" w:rsidRPr="00D64A60">
        <w:rPr>
          <w:rFonts w:ascii="Arial" w:hAnsi="Arial" w:cs="Arial"/>
          <w:sz w:val="24"/>
          <w:szCs w:val="24"/>
          <w:lang w:val="en-US"/>
        </w:rPr>
        <w:t xml:space="preserve"> Mthombo.</w:t>
      </w:r>
      <w:r>
        <w:rPr>
          <w:rFonts w:ascii="Arial" w:hAnsi="Arial" w:cs="Arial"/>
          <w:sz w:val="24"/>
          <w:szCs w:val="24"/>
        </w:rPr>
        <w:t xml:space="preserve">  </w:t>
      </w:r>
      <w:r w:rsidR="00934E59">
        <w:rPr>
          <w:rFonts w:ascii="Arial" w:hAnsi="Arial" w:cs="Arial"/>
          <w:sz w:val="24"/>
          <w:szCs w:val="24"/>
        </w:rPr>
        <w:t>T</w:t>
      </w:r>
      <w:r w:rsidR="00301C5B" w:rsidRPr="00D64A60">
        <w:rPr>
          <w:rFonts w:ascii="Arial" w:hAnsi="Arial" w:cs="Arial"/>
          <w:sz w:val="24"/>
          <w:szCs w:val="24"/>
          <w:lang w:val="en-US"/>
        </w:rPr>
        <w:t xml:space="preserve">he fourth respondent was fully conversant with the facts and circumstances under which the loan was originally advanced, was a director of the company to which the loan claim was ceded in July 2013 </w:t>
      </w:r>
      <w:r w:rsidR="009B0607">
        <w:rPr>
          <w:rFonts w:ascii="Arial" w:hAnsi="Arial" w:cs="Arial"/>
          <w:sz w:val="24"/>
          <w:szCs w:val="24"/>
          <w:lang w:val="en-US"/>
        </w:rPr>
        <w:t xml:space="preserve">- </w:t>
      </w:r>
      <w:r w:rsidR="00AF595C" w:rsidRPr="00D64A60">
        <w:rPr>
          <w:rFonts w:ascii="Arial" w:hAnsi="Arial" w:cs="Arial"/>
          <w:sz w:val="24"/>
          <w:szCs w:val="24"/>
          <w:lang w:val="en-US"/>
        </w:rPr>
        <w:t>EOH MS</w:t>
      </w:r>
      <w:r w:rsidR="00301C5B" w:rsidRPr="00D64A60">
        <w:rPr>
          <w:rFonts w:ascii="Arial" w:hAnsi="Arial" w:cs="Arial"/>
          <w:sz w:val="24"/>
          <w:szCs w:val="24"/>
          <w:lang w:val="en-US"/>
        </w:rPr>
        <w:t xml:space="preserve">, must have known that the claim was reflected in </w:t>
      </w:r>
      <w:r w:rsidR="00AF595C" w:rsidRPr="00D64A60">
        <w:rPr>
          <w:rFonts w:ascii="Arial" w:hAnsi="Arial" w:cs="Arial"/>
          <w:sz w:val="24"/>
          <w:szCs w:val="24"/>
          <w:lang w:val="en-US"/>
        </w:rPr>
        <w:t>EOH MS</w:t>
      </w:r>
      <w:r w:rsidR="00301C5B" w:rsidRPr="00D64A60">
        <w:rPr>
          <w:rFonts w:ascii="Arial" w:hAnsi="Arial" w:cs="Arial"/>
          <w:sz w:val="24"/>
          <w:szCs w:val="24"/>
          <w:lang w:val="en-US"/>
        </w:rPr>
        <w:t xml:space="preserve">’ financial statements annually thereafter, and could only reasonably have understood the January 2015 extension to have extended the period for repayment to </w:t>
      </w:r>
      <w:r w:rsidR="00AF595C" w:rsidRPr="00D64A60">
        <w:rPr>
          <w:rFonts w:ascii="Arial" w:hAnsi="Arial" w:cs="Arial"/>
          <w:sz w:val="24"/>
          <w:szCs w:val="24"/>
          <w:lang w:val="en-US"/>
        </w:rPr>
        <w:t>EOH MS</w:t>
      </w:r>
      <w:r w:rsidR="00301C5B" w:rsidRPr="00D64A60">
        <w:rPr>
          <w:rFonts w:ascii="Arial" w:hAnsi="Arial" w:cs="Arial"/>
          <w:sz w:val="24"/>
          <w:szCs w:val="24"/>
          <w:lang w:val="en-US"/>
        </w:rPr>
        <w:t>, notwithstanding the fact that he purported to approve that extension on behalf of the parent company.</w:t>
      </w:r>
      <w:r w:rsidR="001E7FD5">
        <w:rPr>
          <w:rFonts w:ascii="Arial" w:hAnsi="Arial" w:cs="Arial"/>
          <w:sz w:val="24"/>
          <w:szCs w:val="24"/>
          <w:lang w:val="en-US"/>
        </w:rPr>
        <w:t xml:space="preserve">  The applicant himself was sim</w:t>
      </w:r>
      <w:r w:rsidR="007121AD">
        <w:rPr>
          <w:rFonts w:ascii="Arial" w:hAnsi="Arial" w:cs="Arial"/>
          <w:sz w:val="24"/>
          <w:szCs w:val="24"/>
          <w:lang w:val="en-US"/>
        </w:rPr>
        <w:t>i</w:t>
      </w:r>
      <w:r w:rsidR="001E7FD5">
        <w:rPr>
          <w:rFonts w:ascii="Arial" w:hAnsi="Arial" w:cs="Arial"/>
          <w:sz w:val="24"/>
          <w:szCs w:val="24"/>
          <w:lang w:val="en-US"/>
        </w:rPr>
        <w:t>larly fully appraised of all of these facts</w:t>
      </w:r>
      <w:r w:rsidR="007121AD">
        <w:rPr>
          <w:rFonts w:ascii="Arial" w:hAnsi="Arial" w:cs="Arial"/>
          <w:sz w:val="24"/>
          <w:szCs w:val="24"/>
          <w:lang w:val="en-US"/>
        </w:rPr>
        <w:t xml:space="preserve"> and circumstances, and as the sole director of Silver Touch accepted all of the benefits of the extension of the loan </w:t>
      </w:r>
      <w:r w:rsidR="001275C5">
        <w:rPr>
          <w:rFonts w:ascii="Arial" w:hAnsi="Arial" w:cs="Arial"/>
          <w:sz w:val="24"/>
          <w:szCs w:val="24"/>
          <w:lang w:val="en-US"/>
        </w:rPr>
        <w:t xml:space="preserve">on </w:t>
      </w:r>
      <w:r w:rsidR="0067780F">
        <w:rPr>
          <w:rFonts w:ascii="Arial" w:hAnsi="Arial" w:cs="Arial"/>
          <w:sz w:val="24"/>
          <w:szCs w:val="24"/>
          <w:lang w:val="en-US"/>
        </w:rPr>
        <w:t>Silver Touch’s</w:t>
      </w:r>
      <w:r w:rsidR="001275C5">
        <w:rPr>
          <w:rFonts w:ascii="Arial" w:hAnsi="Arial" w:cs="Arial"/>
          <w:sz w:val="24"/>
          <w:szCs w:val="24"/>
          <w:lang w:val="en-US"/>
        </w:rPr>
        <w:t xml:space="preserve"> behalf</w:t>
      </w:r>
      <w:r w:rsidR="007121AD">
        <w:rPr>
          <w:rFonts w:ascii="Arial" w:hAnsi="Arial" w:cs="Arial"/>
          <w:sz w:val="24"/>
          <w:szCs w:val="24"/>
          <w:lang w:val="en-US"/>
        </w:rPr>
        <w:t>.</w:t>
      </w:r>
      <w:r w:rsidR="00301C5B" w:rsidRPr="00D64A60">
        <w:rPr>
          <w:rFonts w:ascii="Arial" w:hAnsi="Arial" w:cs="Arial"/>
          <w:sz w:val="24"/>
          <w:szCs w:val="24"/>
          <w:lang w:val="en-US"/>
        </w:rPr>
        <w:t xml:space="preserve">   </w:t>
      </w:r>
    </w:p>
    <w:p w14:paraId="49D3ABE8" w14:textId="72140416" w:rsidR="00301C5B" w:rsidRPr="00D64A60" w:rsidRDefault="00514D72" w:rsidP="00921D26">
      <w:pPr>
        <w:pStyle w:val="BowLevel1ListAlt"/>
        <w:numPr>
          <w:ilvl w:val="0"/>
          <w:numId w:val="0"/>
        </w:numPr>
        <w:ind w:left="567" w:hanging="567"/>
        <w:rPr>
          <w:rFonts w:ascii="Arial" w:hAnsi="Arial" w:cs="Arial"/>
          <w:sz w:val="24"/>
          <w:szCs w:val="24"/>
          <w:lang w:val="en-US"/>
        </w:rPr>
      </w:pPr>
      <w:r w:rsidRPr="00921D26">
        <w:rPr>
          <w:rFonts w:ascii="Arial" w:hAnsi="Arial" w:cs="Arial"/>
          <w:sz w:val="24"/>
          <w:szCs w:val="24"/>
          <w:lang w:val="en-US"/>
        </w:rPr>
        <w:t>[</w:t>
      </w:r>
      <w:r w:rsidR="00295513">
        <w:rPr>
          <w:rFonts w:ascii="Arial" w:hAnsi="Arial" w:cs="Arial"/>
          <w:sz w:val="24"/>
          <w:szCs w:val="24"/>
          <w:lang w:val="en-US"/>
        </w:rPr>
        <w:t>86</w:t>
      </w:r>
      <w:r w:rsidRPr="00921D26">
        <w:rPr>
          <w:rFonts w:ascii="Arial" w:hAnsi="Arial" w:cs="Arial"/>
          <w:sz w:val="24"/>
          <w:szCs w:val="24"/>
          <w:lang w:val="en-US"/>
        </w:rPr>
        <w:t>]</w:t>
      </w:r>
      <w:r w:rsidRPr="00921D26">
        <w:rPr>
          <w:rFonts w:ascii="Arial" w:hAnsi="Arial" w:cs="Arial"/>
          <w:sz w:val="24"/>
          <w:szCs w:val="24"/>
          <w:lang w:val="en-US"/>
        </w:rPr>
        <w:tab/>
      </w:r>
      <w:r w:rsidR="00301C5B" w:rsidRPr="00D64A60">
        <w:rPr>
          <w:rFonts w:ascii="Arial" w:hAnsi="Arial" w:cs="Arial"/>
          <w:sz w:val="24"/>
          <w:szCs w:val="24"/>
          <w:lang w:val="en-US"/>
        </w:rPr>
        <w:t>In those circumstances</w:t>
      </w:r>
      <w:r w:rsidR="001275C5">
        <w:rPr>
          <w:rFonts w:ascii="Arial" w:hAnsi="Arial" w:cs="Arial"/>
          <w:sz w:val="24"/>
          <w:szCs w:val="24"/>
          <w:lang w:val="en-US"/>
        </w:rPr>
        <w:t>, it seems to me,</w:t>
      </w:r>
      <w:r w:rsidR="00301C5B" w:rsidRPr="00D64A60">
        <w:rPr>
          <w:rFonts w:ascii="Arial" w:hAnsi="Arial" w:cs="Arial"/>
          <w:sz w:val="24"/>
          <w:szCs w:val="24"/>
          <w:lang w:val="en-US"/>
        </w:rPr>
        <w:t xml:space="preserve"> agency could be </w:t>
      </w:r>
      <w:r w:rsidR="001275C5">
        <w:rPr>
          <w:rFonts w:ascii="Arial" w:hAnsi="Arial" w:cs="Arial"/>
          <w:sz w:val="24"/>
          <w:szCs w:val="24"/>
          <w:lang w:val="en-US"/>
        </w:rPr>
        <w:t xml:space="preserve">implied, </w:t>
      </w:r>
      <w:r w:rsidR="00301C5B" w:rsidRPr="00D64A60">
        <w:rPr>
          <w:rFonts w:ascii="Arial" w:hAnsi="Arial" w:cs="Arial"/>
          <w:sz w:val="24"/>
          <w:szCs w:val="24"/>
          <w:lang w:val="en-US"/>
        </w:rPr>
        <w:t xml:space="preserve">and Silver Touch and the applicant cannot rely on the failure of compliance with internal arrangements within the EOH group to avoid the consequences of an extension that was patently to the advantage of Silver Touch. </w:t>
      </w:r>
      <w:r w:rsidR="002C392E" w:rsidRPr="00921D26">
        <w:rPr>
          <w:rFonts w:ascii="Arial" w:hAnsi="Arial" w:cs="Arial"/>
          <w:sz w:val="24"/>
          <w:szCs w:val="24"/>
          <w:lang w:val="en-US"/>
        </w:rPr>
        <w:t xml:space="preserve"> </w:t>
      </w:r>
    </w:p>
    <w:p w14:paraId="5876CC68" w14:textId="04EDAA9E" w:rsidR="00301C5B" w:rsidRPr="00D64A60" w:rsidRDefault="00514D72"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w:t>
      </w:r>
      <w:r w:rsidR="00295513">
        <w:rPr>
          <w:rFonts w:ascii="Arial" w:hAnsi="Arial" w:cs="Arial"/>
          <w:sz w:val="24"/>
          <w:szCs w:val="24"/>
          <w:lang w:val="en-US"/>
        </w:rPr>
        <w:t>87</w:t>
      </w:r>
      <w:r w:rsidRPr="00D64A60">
        <w:rPr>
          <w:rFonts w:ascii="Arial" w:hAnsi="Arial" w:cs="Arial"/>
          <w:sz w:val="24"/>
          <w:szCs w:val="24"/>
          <w:lang w:val="en-US"/>
        </w:rPr>
        <w:t>]</w:t>
      </w:r>
      <w:r w:rsidRPr="00D64A60">
        <w:rPr>
          <w:rFonts w:ascii="Arial" w:hAnsi="Arial" w:cs="Arial"/>
          <w:sz w:val="24"/>
          <w:szCs w:val="24"/>
          <w:lang w:val="en-US"/>
        </w:rPr>
        <w:tab/>
      </w:r>
      <w:r w:rsidR="00301C5B" w:rsidRPr="00D64A60">
        <w:rPr>
          <w:rFonts w:ascii="Arial" w:hAnsi="Arial" w:cs="Arial"/>
          <w:sz w:val="24"/>
          <w:szCs w:val="24"/>
          <w:lang w:val="en-US"/>
        </w:rPr>
        <w:t>I do not suggest that these points are exhaustive of the reasons why there are no grounds to interfere with the decision of the fifth respondent that the claim was proved, but they are in my view sufficient to dispose of the application.</w:t>
      </w:r>
    </w:p>
    <w:p w14:paraId="4352A5ED" w14:textId="0B09A56E" w:rsidR="002C392E" w:rsidRPr="00D64A60" w:rsidRDefault="00514D72"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w:t>
      </w:r>
      <w:r w:rsidR="00295513">
        <w:rPr>
          <w:rFonts w:ascii="Arial" w:hAnsi="Arial" w:cs="Arial"/>
          <w:sz w:val="24"/>
          <w:szCs w:val="24"/>
          <w:lang w:val="en-US"/>
        </w:rPr>
        <w:t>88</w:t>
      </w:r>
      <w:r w:rsidRPr="00D64A60">
        <w:rPr>
          <w:rFonts w:ascii="Arial" w:hAnsi="Arial" w:cs="Arial"/>
          <w:sz w:val="24"/>
          <w:szCs w:val="24"/>
          <w:lang w:val="en-US"/>
        </w:rPr>
        <w:t>]</w:t>
      </w:r>
      <w:r w:rsidRPr="00D64A60">
        <w:rPr>
          <w:rFonts w:ascii="Arial" w:hAnsi="Arial" w:cs="Arial"/>
          <w:sz w:val="24"/>
          <w:szCs w:val="24"/>
          <w:lang w:val="en-US"/>
        </w:rPr>
        <w:tab/>
      </w:r>
      <w:r w:rsidR="002C392E" w:rsidRPr="00D64A60">
        <w:rPr>
          <w:rFonts w:ascii="Arial" w:hAnsi="Arial" w:cs="Arial"/>
          <w:sz w:val="24"/>
          <w:szCs w:val="24"/>
          <w:lang w:val="en-US"/>
        </w:rPr>
        <w:t xml:space="preserve">It follows from this that I find no </w:t>
      </w:r>
      <w:r w:rsidR="0009141A" w:rsidRPr="00D64A60">
        <w:rPr>
          <w:rFonts w:ascii="Arial" w:hAnsi="Arial" w:cs="Arial"/>
          <w:sz w:val="24"/>
          <w:szCs w:val="24"/>
          <w:lang w:val="en-US"/>
        </w:rPr>
        <w:t xml:space="preserve">reason </w:t>
      </w:r>
      <w:r w:rsidR="002C392E" w:rsidRPr="00D64A60">
        <w:rPr>
          <w:rFonts w:ascii="Arial" w:hAnsi="Arial" w:cs="Arial"/>
          <w:sz w:val="24"/>
          <w:szCs w:val="24"/>
          <w:lang w:val="en-US"/>
        </w:rPr>
        <w:t xml:space="preserve">to </w:t>
      </w:r>
      <w:r w:rsidR="00972DAD" w:rsidRPr="00D64A60">
        <w:rPr>
          <w:rFonts w:ascii="Arial" w:hAnsi="Arial" w:cs="Arial"/>
          <w:sz w:val="24"/>
          <w:szCs w:val="24"/>
          <w:lang w:val="en-US"/>
        </w:rPr>
        <w:t xml:space="preserve">review and </w:t>
      </w:r>
      <w:r w:rsidR="002C392E" w:rsidRPr="00D64A60">
        <w:rPr>
          <w:rFonts w:ascii="Arial" w:hAnsi="Arial" w:cs="Arial"/>
          <w:sz w:val="24"/>
          <w:szCs w:val="24"/>
          <w:lang w:val="en-US"/>
        </w:rPr>
        <w:t xml:space="preserve">set aside </w:t>
      </w:r>
      <w:r w:rsidR="00052F56" w:rsidRPr="00D64A60">
        <w:rPr>
          <w:rFonts w:ascii="Arial" w:hAnsi="Arial" w:cs="Arial"/>
          <w:sz w:val="24"/>
          <w:szCs w:val="24"/>
          <w:lang w:val="en-US"/>
        </w:rPr>
        <w:t xml:space="preserve">either the decision of the tenth respondent or </w:t>
      </w:r>
      <w:r w:rsidR="00972DAD" w:rsidRPr="00D64A60">
        <w:rPr>
          <w:rFonts w:ascii="Arial" w:hAnsi="Arial" w:cs="Arial"/>
          <w:sz w:val="24"/>
          <w:szCs w:val="24"/>
          <w:lang w:val="en-US"/>
        </w:rPr>
        <w:t xml:space="preserve">to vary or set aside </w:t>
      </w:r>
      <w:r w:rsidR="002C392E" w:rsidRPr="00D64A60">
        <w:rPr>
          <w:rFonts w:ascii="Arial" w:hAnsi="Arial" w:cs="Arial"/>
          <w:sz w:val="24"/>
          <w:szCs w:val="24"/>
          <w:lang w:val="en-US"/>
        </w:rPr>
        <w:t xml:space="preserve">the order </w:t>
      </w:r>
      <w:r w:rsidR="00052F56" w:rsidRPr="00D64A60">
        <w:rPr>
          <w:rFonts w:ascii="Arial" w:hAnsi="Arial" w:cs="Arial"/>
          <w:sz w:val="24"/>
          <w:szCs w:val="24"/>
          <w:lang w:val="en-US"/>
        </w:rPr>
        <w:t>of this court, whether acting in terms of section 354 of the Companies Act or otherwise.</w:t>
      </w:r>
      <w:r w:rsidR="002C392E" w:rsidRPr="00D64A60">
        <w:rPr>
          <w:rFonts w:ascii="Arial" w:hAnsi="Arial" w:cs="Arial"/>
          <w:sz w:val="24"/>
          <w:szCs w:val="24"/>
          <w:lang w:val="en-US"/>
        </w:rPr>
        <w:t xml:space="preserve"> </w:t>
      </w:r>
    </w:p>
    <w:p w14:paraId="27BD0BD9" w14:textId="0A31FEBC" w:rsidR="006D0EB4" w:rsidRPr="00D64A60" w:rsidRDefault="00514D72" w:rsidP="00921D26">
      <w:pPr>
        <w:pStyle w:val="BowLevel1ListAlt"/>
        <w:numPr>
          <w:ilvl w:val="0"/>
          <w:numId w:val="0"/>
        </w:numPr>
        <w:ind w:left="567" w:hanging="567"/>
        <w:rPr>
          <w:rFonts w:ascii="Arial" w:hAnsi="Arial" w:cs="Arial"/>
          <w:sz w:val="24"/>
          <w:szCs w:val="24"/>
          <w:lang w:val="en-US"/>
        </w:rPr>
      </w:pPr>
      <w:r w:rsidRPr="00921D26">
        <w:rPr>
          <w:rFonts w:ascii="Arial" w:hAnsi="Arial" w:cs="Arial"/>
          <w:sz w:val="24"/>
          <w:szCs w:val="24"/>
          <w:lang w:val="en-US"/>
        </w:rPr>
        <w:t>[</w:t>
      </w:r>
      <w:r w:rsidR="00295513">
        <w:rPr>
          <w:rFonts w:ascii="Arial" w:hAnsi="Arial" w:cs="Arial"/>
          <w:sz w:val="24"/>
          <w:szCs w:val="24"/>
          <w:lang w:val="en-US"/>
        </w:rPr>
        <w:t>8</w:t>
      </w:r>
      <w:r w:rsidRPr="00921D26">
        <w:rPr>
          <w:rFonts w:ascii="Arial" w:hAnsi="Arial" w:cs="Arial"/>
          <w:sz w:val="24"/>
          <w:szCs w:val="24"/>
          <w:lang w:val="en-US"/>
        </w:rPr>
        <w:t>9]</w:t>
      </w:r>
      <w:r w:rsidRPr="00921D26">
        <w:rPr>
          <w:rFonts w:ascii="Arial" w:hAnsi="Arial" w:cs="Arial"/>
          <w:sz w:val="24"/>
          <w:szCs w:val="24"/>
          <w:lang w:val="en-US"/>
        </w:rPr>
        <w:tab/>
      </w:r>
      <w:r w:rsidR="00E172EC" w:rsidRPr="00921D26">
        <w:rPr>
          <w:rFonts w:ascii="Arial" w:hAnsi="Arial" w:cs="Arial"/>
          <w:sz w:val="24"/>
          <w:szCs w:val="24"/>
          <w:lang w:val="en-US"/>
        </w:rPr>
        <w:t>Even if I were not correct</w:t>
      </w:r>
      <w:r w:rsidR="00052F56" w:rsidRPr="00921D26">
        <w:rPr>
          <w:rFonts w:ascii="Arial" w:hAnsi="Arial" w:cs="Arial"/>
          <w:sz w:val="24"/>
          <w:szCs w:val="24"/>
          <w:lang w:val="en-US"/>
        </w:rPr>
        <w:t xml:space="preserve"> in </w:t>
      </w:r>
      <w:r w:rsidR="0063664B">
        <w:rPr>
          <w:rFonts w:ascii="Arial" w:hAnsi="Arial" w:cs="Arial"/>
          <w:sz w:val="24"/>
          <w:szCs w:val="24"/>
          <w:lang w:val="en-US"/>
        </w:rPr>
        <w:t>the conclusion I have reached on</w:t>
      </w:r>
      <w:r w:rsidR="00052F56" w:rsidRPr="00921D26">
        <w:rPr>
          <w:rFonts w:ascii="Arial" w:hAnsi="Arial" w:cs="Arial"/>
          <w:sz w:val="24"/>
          <w:szCs w:val="24"/>
          <w:lang w:val="en-US"/>
        </w:rPr>
        <w:t xml:space="preserve"> the facts, </w:t>
      </w:r>
      <w:r w:rsidR="00D92BC7" w:rsidRPr="00921D26">
        <w:rPr>
          <w:rFonts w:ascii="Arial" w:hAnsi="Arial" w:cs="Arial"/>
          <w:sz w:val="24"/>
          <w:szCs w:val="24"/>
          <w:lang w:val="en-US"/>
        </w:rPr>
        <w:t xml:space="preserve">however, </w:t>
      </w:r>
      <w:r w:rsidR="00F70B4F" w:rsidRPr="00D64A60">
        <w:rPr>
          <w:rFonts w:ascii="Arial" w:hAnsi="Arial" w:cs="Arial"/>
          <w:sz w:val="24"/>
          <w:szCs w:val="24"/>
          <w:lang w:val="en-US"/>
        </w:rPr>
        <w:t>I agree with the submission of Mr Blou that it would in any event not be in the public interest to set aside the winding</w:t>
      </w:r>
      <w:r w:rsidR="005D7F94">
        <w:rPr>
          <w:rFonts w:ascii="Arial" w:hAnsi="Arial" w:cs="Arial"/>
          <w:sz w:val="24"/>
          <w:szCs w:val="24"/>
          <w:lang w:val="en-US"/>
        </w:rPr>
        <w:t>-</w:t>
      </w:r>
      <w:r w:rsidR="00F70B4F" w:rsidRPr="00D64A60">
        <w:rPr>
          <w:rFonts w:ascii="Arial" w:hAnsi="Arial" w:cs="Arial"/>
          <w:sz w:val="24"/>
          <w:szCs w:val="24"/>
          <w:lang w:val="en-US"/>
        </w:rPr>
        <w:t xml:space="preserve">up order under section </w:t>
      </w:r>
      <w:r w:rsidR="005D7F94">
        <w:rPr>
          <w:rFonts w:ascii="Arial" w:hAnsi="Arial" w:cs="Arial"/>
          <w:sz w:val="24"/>
          <w:szCs w:val="24"/>
          <w:lang w:val="en-US"/>
        </w:rPr>
        <w:t>3</w:t>
      </w:r>
      <w:r w:rsidR="00F70B4F" w:rsidRPr="00D64A60">
        <w:rPr>
          <w:rFonts w:ascii="Arial" w:hAnsi="Arial" w:cs="Arial"/>
          <w:sz w:val="24"/>
          <w:szCs w:val="24"/>
          <w:lang w:val="en-US"/>
        </w:rPr>
        <w:t>54.</w:t>
      </w:r>
      <w:r w:rsidR="00D92BC7" w:rsidRPr="00D64A60">
        <w:rPr>
          <w:rFonts w:ascii="Arial" w:hAnsi="Arial" w:cs="Arial"/>
          <w:sz w:val="24"/>
          <w:szCs w:val="24"/>
          <w:lang w:val="en-US"/>
        </w:rPr>
        <w:t xml:space="preserve">  I say so </w:t>
      </w:r>
      <w:r w:rsidR="00052F56" w:rsidRPr="00D64A60">
        <w:rPr>
          <w:rFonts w:ascii="Arial" w:hAnsi="Arial" w:cs="Arial"/>
          <w:sz w:val="24"/>
          <w:szCs w:val="24"/>
          <w:lang w:val="en-US"/>
        </w:rPr>
        <w:t>for a</w:t>
      </w:r>
      <w:r w:rsidR="005D7F94">
        <w:rPr>
          <w:rFonts w:ascii="Arial" w:hAnsi="Arial" w:cs="Arial"/>
          <w:sz w:val="24"/>
          <w:szCs w:val="24"/>
          <w:lang w:val="en-US"/>
        </w:rPr>
        <w:t xml:space="preserve"> </w:t>
      </w:r>
      <w:r w:rsidR="00052F56" w:rsidRPr="00D64A60">
        <w:rPr>
          <w:rFonts w:ascii="Arial" w:hAnsi="Arial" w:cs="Arial"/>
          <w:sz w:val="24"/>
          <w:szCs w:val="24"/>
          <w:lang w:val="en-US"/>
        </w:rPr>
        <w:t xml:space="preserve">number of reasons, including </w:t>
      </w:r>
      <w:r w:rsidR="00D92BC7" w:rsidRPr="00D64A60">
        <w:rPr>
          <w:rFonts w:ascii="Arial" w:hAnsi="Arial" w:cs="Arial"/>
          <w:sz w:val="24"/>
          <w:szCs w:val="24"/>
          <w:lang w:val="en-US"/>
        </w:rPr>
        <w:t>the evidence before me of extensive wrong</w:t>
      </w:r>
      <w:r w:rsidR="00564BEC" w:rsidRPr="00D64A60">
        <w:rPr>
          <w:rFonts w:ascii="Arial" w:hAnsi="Arial" w:cs="Arial"/>
          <w:sz w:val="24"/>
          <w:szCs w:val="24"/>
          <w:lang w:val="en-US"/>
        </w:rPr>
        <w:t xml:space="preserve">-doing in the conduct of the business of Silver Touch, and </w:t>
      </w:r>
      <w:r w:rsidR="002136D2" w:rsidRPr="00D64A60">
        <w:rPr>
          <w:rFonts w:ascii="Arial" w:hAnsi="Arial" w:cs="Arial"/>
          <w:sz w:val="24"/>
          <w:szCs w:val="24"/>
          <w:lang w:val="en-US"/>
        </w:rPr>
        <w:t xml:space="preserve">the </w:t>
      </w:r>
      <w:r w:rsidR="00564BEC" w:rsidRPr="00D64A60">
        <w:rPr>
          <w:rFonts w:ascii="Arial" w:hAnsi="Arial" w:cs="Arial"/>
          <w:sz w:val="24"/>
          <w:szCs w:val="24"/>
          <w:lang w:val="en-US"/>
        </w:rPr>
        <w:t xml:space="preserve">extent to which the winding-up </w:t>
      </w:r>
      <w:r w:rsidR="00D77A57" w:rsidRPr="00D64A60">
        <w:rPr>
          <w:rFonts w:ascii="Arial" w:hAnsi="Arial" w:cs="Arial"/>
          <w:sz w:val="24"/>
          <w:szCs w:val="24"/>
          <w:lang w:val="en-US"/>
        </w:rPr>
        <w:t>and the inquiry have progressed</w:t>
      </w:r>
      <w:r w:rsidR="007135C4">
        <w:rPr>
          <w:rFonts w:ascii="Arial" w:hAnsi="Arial" w:cs="Arial"/>
          <w:sz w:val="24"/>
          <w:szCs w:val="24"/>
          <w:lang w:val="en-US"/>
        </w:rPr>
        <w:t xml:space="preserve"> since the order was granted</w:t>
      </w:r>
      <w:r w:rsidR="00D77A57" w:rsidRPr="00D64A60">
        <w:rPr>
          <w:rFonts w:ascii="Arial" w:hAnsi="Arial" w:cs="Arial"/>
          <w:sz w:val="24"/>
          <w:szCs w:val="24"/>
          <w:lang w:val="en-US"/>
        </w:rPr>
        <w:t xml:space="preserve">.  </w:t>
      </w:r>
    </w:p>
    <w:p w14:paraId="6A135CD2" w14:textId="3B0629F8" w:rsidR="00C71B13" w:rsidRPr="00D64A60" w:rsidRDefault="00514D72" w:rsidP="00921D26">
      <w:pPr>
        <w:pStyle w:val="BowLevel1ListAlt"/>
        <w:numPr>
          <w:ilvl w:val="0"/>
          <w:numId w:val="0"/>
        </w:numPr>
        <w:ind w:left="567" w:hanging="567"/>
        <w:rPr>
          <w:rFonts w:ascii="Arial" w:hAnsi="Arial" w:cs="Arial"/>
          <w:sz w:val="24"/>
          <w:szCs w:val="24"/>
          <w:lang w:val="en-US"/>
        </w:rPr>
      </w:pPr>
      <w:r w:rsidRPr="00921D26">
        <w:rPr>
          <w:rFonts w:ascii="Arial" w:hAnsi="Arial" w:cs="Arial"/>
          <w:sz w:val="24"/>
          <w:szCs w:val="24"/>
          <w:lang w:val="en-US"/>
        </w:rPr>
        <w:t>[9</w:t>
      </w:r>
      <w:r w:rsidR="00295513">
        <w:rPr>
          <w:rFonts w:ascii="Arial" w:hAnsi="Arial" w:cs="Arial"/>
          <w:sz w:val="24"/>
          <w:szCs w:val="24"/>
          <w:lang w:val="en-US"/>
        </w:rPr>
        <w:t>0</w:t>
      </w:r>
      <w:r w:rsidRPr="00921D26">
        <w:rPr>
          <w:rFonts w:ascii="Arial" w:hAnsi="Arial" w:cs="Arial"/>
          <w:sz w:val="24"/>
          <w:szCs w:val="24"/>
          <w:lang w:val="en-US"/>
        </w:rPr>
        <w:t>]</w:t>
      </w:r>
      <w:r w:rsidRPr="00921D26">
        <w:rPr>
          <w:rFonts w:ascii="Arial" w:hAnsi="Arial" w:cs="Arial"/>
          <w:sz w:val="24"/>
          <w:szCs w:val="24"/>
          <w:lang w:val="en-US"/>
        </w:rPr>
        <w:tab/>
      </w:r>
      <w:r w:rsidR="00D77A57" w:rsidRPr="00D64A60">
        <w:rPr>
          <w:rFonts w:ascii="Arial" w:hAnsi="Arial" w:cs="Arial"/>
          <w:sz w:val="24"/>
          <w:szCs w:val="24"/>
          <w:lang w:val="en-US"/>
        </w:rPr>
        <w:t xml:space="preserve">I </w:t>
      </w:r>
      <w:r w:rsidR="002136D2" w:rsidRPr="00921D26">
        <w:rPr>
          <w:rFonts w:ascii="Arial" w:hAnsi="Arial" w:cs="Arial"/>
          <w:sz w:val="24"/>
          <w:szCs w:val="24"/>
          <w:lang w:val="en-US"/>
        </w:rPr>
        <w:t xml:space="preserve">would </w:t>
      </w:r>
      <w:r w:rsidR="00D77A57" w:rsidRPr="00D64A60">
        <w:rPr>
          <w:rFonts w:ascii="Arial" w:hAnsi="Arial" w:cs="Arial"/>
          <w:sz w:val="24"/>
          <w:szCs w:val="24"/>
          <w:lang w:val="en-US"/>
        </w:rPr>
        <w:t xml:space="preserve">also have regard to the fact that the case on which the applicant </w:t>
      </w:r>
      <w:r w:rsidR="00E00FBB" w:rsidRPr="00D64A60">
        <w:rPr>
          <w:rFonts w:ascii="Arial" w:hAnsi="Arial" w:cs="Arial"/>
          <w:sz w:val="24"/>
          <w:szCs w:val="24"/>
          <w:lang w:val="en-US"/>
        </w:rPr>
        <w:t xml:space="preserve">has approached this court, supported by the fourth respondent, discloses </w:t>
      </w:r>
      <w:r w:rsidR="002136D2" w:rsidRPr="00921D26">
        <w:rPr>
          <w:rFonts w:ascii="Arial" w:hAnsi="Arial" w:cs="Arial"/>
          <w:sz w:val="24"/>
          <w:szCs w:val="24"/>
          <w:lang w:val="en-US"/>
        </w:rPr>
        <w:t xml:space="preserve">and seeks to rely on </w:t>
      </w:r>
      <w:r w:rsidR="00E00FBB" w:rsidRPr="00D64A60">
        <w:rPr>
          <w:rFonts w:ascii="Arial" w:hAnsi="Arial" w:cs="Arial"/>
          <w:sz w:val="24"/>
          <w:szCs w:val="24"/>
          <w:lang w:val="en-US"/>
        </w:rPr>
        <w:t xml:space="preserve">clear abuses of corporate legal personality </w:t>
      </w:r>
      <w:r w:rsidR="002136D2" w:rsidRPr="00921D26">
        <w:rPr>
          <w:rFonts w:ascii="Arial" w:hAnsi="Arial" w:cs="Arial"/>
          <w:sz w:val="24"/>
          <w:szCs w:val="24"/>
          <w:lang w:val="en-US"/>
        </w:rPr>
        <w:t xml:space="preserve">within </w:t>
      </w:r>
      <w:r w:rsidR="00E00FBB" w:rsidRPr="00D64A60">
        <w:rPr>
          <w:rFonts w:ascii="Arial" w:hAnsi="Arial" w:cs="Arial"/>
          <w:sz w:val="24"/>
          <w:szCs w:val="24"/>
          <w:lang w:val="en-US"/>
        </w:rPr>
        <w:t xml:space="preserve">the EOH group of companies </w:t>
      </w:r>
      <w:r w:rsidR="006D0EB4" w:rsidRPr="00D64A60">
        <w:rPr>
          <w:rFonts w:ascii="Arial" w:hAnsi="Arial" w:cs="Arial"/>
          <w:sz w:val="24"/>
          <w:szCs w:val="24"/>
          <w:lang w:val="en-US"/>
        </w:rPr>
        <w:t xml:space="preserve">and in particular those of </w:t>
      </w:r>
      <w:r w:rsidR="00E00FBB" w:rsidRPr="00D64A60">
        <w:rPr>
          <w:rFonts w:ascii="Arial" w:hAnsi="Arial" w:cs="Arial"/>
          <w:sz w:val="24"/>
          <w:szCs w:val="24"/>
          <w:lang w:val="en-US"/>
        </w:rPr>
        <w:t xml:space="preserve">which the fourth respondent </w:t>
      </w:r>
      <w:r w:rsidR="006D0EB4" w:rsidRPr="00D64A60">
        <w:rPr>
          <w:rFonts w:ascii="Arial" w:hAnsi="Arial" w:cs="Arial"/>
          <w:sz w:val="24"/>
          <w:szCs w:val="24"/>
          <w:lang w:val="en-US"/>
        </w:rPr>
        <w:t>was a director at the time.</w:t>
      </w:r>
    </w:p>
    <w:p w14:paraId="2416A512" w14:textId="6DB233E5" w:rsidR="00F70B4F" w:rsidRPr="00D64A60" w:rsidRDefault="00514D72"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[9</w:t>
      </w:r>
      <w:r w:rsidR="00295513">
        <w:rPr>
          <w:rFonts w:ascii="Arial" w:hAnsi="Arial" w:cs="Arial"/>
          <w:sz w:val="24"/>
          <w:szCs w:val="24"/>
          <w:lang w:val="en-US"/>
        </w:rPr>
        <w:t>1</w:t>
      </w:r>
      <w:r w:rsidRPr="00D64A60">
        <w:rPr>
          <w:rFonts w:ascii="Arial" w:hAnsi="Arial" w:cs="Arial"/>
          <w:sz w:val="24"/>
          <w:szCs w:val="24"/>
          <w:lang w:val="en-US"/>
        </w:rPr>
        <w:t>]</w:t>
      </w:r>
      <w:r w:rsidRPr="00D64A60">
        <w:rPr>
          <w:rFonts w:ascii="Arial" w:hAnsi="Arial" w:cs="Arial"/>
          <w:sz w:val="24"/>
          <w:szCs w:val="24"/>
          <w:lang w:val="en-US"/>
        </w:rPr>
        <w:tab/>
      </w:r>
      <w:r w:rsidR="00F70B4F" w:rsidRPr="00D64A60">
        <w:rPr>
          <w:rFonts w:ascii="Arial" w:hAnsi="Arial" w:cs="Arial"/>
          <w:sz w:val="24"/>
          <w:szCs w:val="24"/>
          <w:lang w:val="en-US"/>
        </w:rPr>
        <w:t xml:space="preserve">Consequently, even if I were not correct regarding the facts </w:t>
      </w:r>
      <w:r w:rsidR="002136D2" w:rsidRPr="00D64A60">
        <w:rPr>
          <w:rFonts w:ascii="Arial" w:hAnsi="Arial" w:cs="Arial"/>
          <w:sz w:val="24"/>
          <w:szCs w:val="24"/>
          <w:lang w:val="en-US"/>
        </w:rPr>
        <w:t xml:space="preserve">as I have assessed them </w:t>
      </w:r>
      <w:r w:rsidR="00F70B4F" w:rsidRPr="00D64A60">
        <w:rPr>
          <w:rFonts w:ascii="Arial" w:hAnsi="Arial" w:cs="Arial"/>
          <w:sz w:val="24"/>
          <w:szCs w:val="24"/>
          <w:lang w:val="en-US"/>
        </w:rPr>
        <w:t>above, I would not have gra</w:t>
      </w:r>
      <w:r w:rsidR="006D0EB4" w:rsidRPr="00D64A60">
        <w:rPr>
          <w:rFonts w:ascii="Arial" w:hAnsi="Arial" w:cs="Arial"/>
          <w:sz w:val="24"/>
          <w:szCs w:val="24"/>
          <w:lang w:val="en-US"/>
        </w:rPr>
        <w:t>n</w:t>
      </w:r>
      <w:r w:rsidR="00F70B4F" w:rsidRPr="00D64A60">
        <w:rPr>
          <w:rFonts w:ascii="Arial" w:hAnsi="Arial" w:cs="Arial"/>
          <w:sz w:val="24"/>
          <w:szCs w:val="24"/>
          <w:lang w:val="en-US"/>
        </w:rPr>
        <w:t xml:space="preserve">ted the order and would not </w:t>
      </w:r>
      <w:r w:rsidR="002136D2" w:rsidRPr="00D64A60">
        <w:rPr>
          <w:rFonts w:ascii="Arial" w:hAnsi="Arial" w:cs="Arial"/>
          <w:sz w:val="24"/>
          <w:szCs w:val="24"/>
          <w:lang w:val="en-US"/>
        </w:rPr>
        <w:t xml:space="preserve">have </w:t>
      </w:r>
      <w:r w:rsidR="00F70B4F" w:rsidRPr="00D64A60">
        <w:rPr>
          <w:rFonts w:ascii="Arial" w:hAnsi="Arial" w:cs="Arial"/>
          <w:sz w:val="24"/>
          <w:szCs w:val="24"/>
          <w:lang w:val="en-US"/>
        </w:rPr>
        <w:t>exercise</w:t>
      </w:r>
      <w:r w:rsidR="002136D2" w:rsidRPr="00D64A60">
        <w:rPr>
          <w:rFonts w:ascii="Arial" w:hAnsi="Arial" w:cs="Arial"/>
          <w:sz w:val="24"/>
          <w:szCs w:val="24"/>
          <w:lang w:val="en-US"/>
        </w:rPr>
        <w:t>d</w:t>
      </w:r>
      <w:r w:rsidR="00F70B4F" w:rsidRPr="00D64A60">
        <w:rPr>
          <w:rFonts w:ascii="Arial" w:hAnsi="Arial" w:cs="Arial"/>
          <w:sz w:val="24"/>
          <w:szCs w:val="24"/>
          <w:lang w:val="en-US"/>
        </w:rPr>
        <w:t xml:space="preserve"> this court’s discretion to either review, rescind or otherwise interfere with the winding</w:t>
      </w:r>
      <w:r w:rsidR="002136D2" w:rsidRPr="00D64A60">
        <w:rPr>
          <w:rFonts w:ascii="Arial" w:hAnsi="Arial" w:cs="Arial"/>
          <w:sz w:val="24"/>
          <w:szCs w:val="24"/>
          <w:lang w:val="en-US"/>
        </w:rPr>
        <w:t>-</w:t>
      </w:r>
      <w:r w:rsidR="00F70B4F" w:rsidRPr="00D64A60">
        <w:rPr>
          <w:rFonts w:ascii="Arial" w:hAnsi="Arial" w:cs="Arial"/>
          <w:sz w:val="24"/>
          <w:szCs w:val="24"/>
          <w:lang w:val="en-US"/>
        </w:rPr>
        <w:t xml:space="preserve">up order granted by this court and the ongoing consequences or </w:t>
      </w:r>
      <w:r w:rsidR="00F70B4F" w:rsidRPr="00D64A60">
        <w:rPr>
          <w:rFonts w:ascii="Arial" w:hAnsi="Arial" w:cs="Arial"/>
          <w:i/>
          <w:iCs/>
          <w:sz w:val="24"/>
          <w:szCs w:val="24"/>
          <w:lang w:val="en-US"/>
        </w:rPr>
        <w:t>sequelae</w:t>
      </w:r>
      <w:r w:rsidR="00F70B4F" w:rsidRPr="00D64A60">
        <w:rPr>
          <w:rFonts w:ascii="Arial" w:hAnsi="Arial" w:cs="Arial"/>
          <w:sz w:val="24"/>
          <w:szCs w:val="24"/>
          <w:lang w:val="en-US"/>
        </w:rPr>
        <w:t xml:space="preserve"> of that order, including the </w:t>
      </w:r>
      <w:r w:rsidR="002136D2" w:rsidRPr="00D64A60">
        <w:rPr>
          <w:rFonts w:ascii="Arial" w:hAnsi="Arial" w:cs="Arial"/>
          <w:sz w:val="24"/>
          <w:szCs w:val="24"/>
          <w:lang w:val="en-US"/>
        </w:rPr>
        <w:t>i</w:t>
      </w:r>
      <w:r w:rsidR="00F70B4F" w:rsidRPr="00D64A60">
        <w:rPr>
          <w:rFonts w:ascii="Arial" w:hAnsi="Arial" w:cs="Arial"/>
          <w:sz w:val="24"/>
          <w:szCs w:val="24"/>
          <w:lang w:val="en-US"/>
        </w:rPr>
        <w:t>nquiry and related summonses.</w:t>
      </w:r>
    </w:p>
    <w:p w14:paraId="111B235A" w14:textId="56FBD999" w:rsidR="00301C5B" w:rsidRPr="00D64A60" w:rsidRDefault="009B3A20" w:rsidP="00876EBC">
      <w:pPr>
        <w:pStyle w:val="BowLevel1ListAlt"/>
        <w:numPr>
          <w:ilvl w:val="0"/>
          <w:numId w:val="0"/>
        </w:numPr>
        <w:rPr>
          <w:rFonts w:ascii="Arial" w:hAnsi="Arial" w:cs="Arial"/>
          <w:b/>
          <w:bCs/>
          <w:sz w:val="24"/>
          <w:szCs w:val="24"/>
          <w:lang w:val="en-US"/>
        </w:rPr>
      </w:pPr>
      <w:r w:rsidRPr="00D64A60">
        <w:rPr>
          <w:rFonts w:ascii="Arial" w:hAnsi="Arial" w:cs="Arial"/>
          <w:b/>
          <w:bCs/>
          <w:sz w:val="24"/>
          <w:szCs w:val="24"/>
          <w:lang w:val="en-US"/>
        </w:rPr>
        <w:t>Costs</w:t>
      </w:r>
    </w:p>
    <w:p w14:paraId="4199E111" w14:textId="72907FB5" w:rsidR="00C54C2C" w:rsidRPr="00D64A60" w:rsidRDefault="00514D72"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[9</w:t>
      </w:r>
      <w:r w:rsidR="00295513">
        <w:rPr>
          <w:rFonts w:ascii="Arial" w:hAnsi="Arial" w:cs="Arial"/>
          <w:sz w:val="24"/>
          <w:szCs w:val="24"/>
          <w:lang w:val="en-US"/>
        </w:rPr>
        <w:t>2</w:t>
      </w:r>
      <w:r w:rsidRPr="00D64A60">
        <w:rPr>
          <w:rFonts w:ascii="Arial" w:hAnsi="Arial" w:cs="Arial"/>
          <w:sz w:val="24"/>
          <w:szCs w:val="24"/>
          <w:lang w:val="en-US"/>
        </w:rPr>
        <w:t>]</w:t>
      </w:r>
      <w:r w:rsidRPr="00D64A60">
        <w:rPr>
          <w:rFonts w:ascii="Arial" w:hAnsi="Arial" w:cs="Arial"/>
          <w:sz w:val="24"/>
          <w:szCs w:val="24"/>
          <w:lang w:val="en-US"/>
        </w:rPr>
        <w:tab/>
      </w:r>
      <w:r w:rsidR="00444F75">
        <w:rPr>
          <w:rFonts w:ascii="Arial" w:hAnsi="Arial" w:cs="Arial"/>
          <w:sz w:val="24"/>
          <w:szCs w:val="24"/>
          <w:lang w:val="en-US"/>
        </w:rPr>
        <w:t xml:space="preserve">Both </w:t>
      </w:r>
      <w:r w:rsidR="00C54C2C" w:rsidRPr="00D64A60">
        <w:rPr>
          <w:rFonts w:ascii="Arial" w:hAnsi="Arial" w:cs="Arial"/>
          <w:sz w:val="24"/>
          <w:szCs w:val="24"/>
          <w:lang w:val="en-US"/>
        </w:rPr>
        <w:t xml:space="preserve">parties contended that costs should </w:t>
      </w:r>
      <w:r w:rsidR="0018072E">
        <w:rPr>
          <w:rFonts w:ascii="Arial" w:hAnsi="Arial" w:cs="Arial"/>
          <w:sz w:val="24"/>
          <w:szCs w:val="24"/>
          <w:lang w:val="en-US"/>
        </w:rPr>
        <w:t xml:space="preserve">follow the result, and </w:t>
      </w:r>
      <w:r w:rsidR="00444F75">
        <w:rPr>
          <w:rFonts w:ascii="Arial" w:hAnsi="Arial" w:cs="Arial"/>
          <w:sz w:val="24"/>
          <w:szCs w:val="24"/>
          <w:lang w:val="en-US"/>
        </w:rPr>
        <w:t xml:space="preserve">that these </w:t>
      </w:r>
      <w:r w:rsidR="0018072E">
        <w:rPr>
          <w:rFonts w:ascii="Arial" w:hAnsi="Arial" w:cs="Arial"/>
          <w:sz w:val="24"/>
          <w:szCs w:val="24"/>
          <w:lang w:val="en-US"/>
        </w:rPr>
        <w:t xml:space="preserve">should </w:t>
      </w:r>
      <w:r w:rsidR="00C54C2C" w:rsidRPr="00D64A60">
        <w:rPr>
          <w:rFonts w:ascii="Arial" w:hAnsi="Arial" w:cs="Arial"/>
          <w:sz w:val="24"/>
          <w:szCs w:val="24"/>
          <w:lang w:val="en-US"/>
        </w:rPr>
        <w:t>include the costs of two counsel where so employed.</w:t>
      </w:r>
    </w:p>
    <w:p w14:paraId="67F7B425" w14:textId="5232AE6B" w:rsidR="009B3A20" w:rsidRPr="00D64A60" w:rsidRDefault="00514D72"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[9</w:t>
      </w:r>
      <w:r w:rsidR="00295513">
        <w:rPr>
          <w:rFonts w:ascii="Arial" w:hAnsi="Arial" w:cs="Arial"/>
          <w:sz w:val="24"/>
          <w:szCs w:val="24"/>
          <w:lang w:val="en-US"/>
        </w:rPr>
        <w:t>3</w:t>
      </w:r>
      <w:r w:rsidRPr="00D64A60">
        <w:rPr>
          <w:rFonts w:ascii="Arial" w:hAnsi="Arial" w:cs="Arial"/>
          <w:sz w:val="24"/>
          <w:szCs w:val="24"/>
          <w:lang w:val="en-US"/>
        </w:rPr>
        <w:t>]</w:t>
      </w:r>
      <w:r w:rsidRPr="00D64A60">
        <w:rPr>
          <w:rFonts w:ascii="Arial" w:hAnsi="Arial" w:cs="Arial"/>
          <w:sz w:val="24"/>
          <w:szCs w:val="24"/>
          <w:lang w:val="en-US"/>
        </w:rPr>
        <w:tab/>
      </w:r>
      <w:r w:rsidR="00C54C2C" w:rsidRPr="00D64A60">
        <w:rPr>
          <w:rFonts w:ascii="Arial" w:hAnsi="Arial" w:cs="Arial"/>
          <w:sz w:val="24"/>
          <w:szCs w:val="24"/>
          <w:lang w:val="en-US"/>
        </w:rPr>
        <w:t>The first respondent sought costs on a</w:t>
      </w:r>
      <w:r w:rsidR="004F140F">
        <w:rPr>
          <w:rFonts w:ascii="Arial" w:hAnsi="Arial" w:cs="Arial"/>
          <w:sz w:val="24"/>
          <w:szCs w:val="24"/>
          <w:lang w:val="en-US"/>
        </w:rPr>
        <w:t xml:space="preserve">n attorney and client </w:t>
      </w:r>
      <w:r w:rsidR="00C54C2C" w:rsidRPr="00D64A60">
        <w:rPr>
          <w:rFonts w:ascii="Arial" w:hAnsi="Arial" w:cs="Arial"/>
          <w:sz w:val="24"/>
          <w:szCs w:val="24"/>
          <w:lang w:val="en-US"/>
        </w:rPr>
        <w:t>scale.</w:t>
      </w:r>
    </w:p>
    <w:p w14:paraId="36B3B8B3" w14:textId="2E43A9E7" w:rsidR="00421E15" w:rsidRPr="00DA52C6" w:rsidRDefault="00514D72" w:rsidP="00921D26">
      <w:pPr>
        <w:pStyle w:val="BowLevel1ListAlt"/>
        <w:numPr>
          <w:ilvl w:val="0"/>
          <w:numId w:val="0"/>
        </w:numPr>
        <w:ind w:left="567" w:hanging="567"/>
        <w:rPr>
          <w:rFonts w:ascii="Arial" w:hAnsi="Arial" w:cs="Arial"/>
          <w:sz w:val="24"/>
          <w:szCs w:val="24"/>
          <w:lang w:val="en-US"/>
        </w:rPr>
      </w:pPr>
      <w:r w:rsidRPr="00D64A60">
        <w:rPr>
          <w:rFonts w:ascii="Arial" w:hAnsi="Arial" w:cs="Arial"/>
          <w:sz w:val="24"/>
          <w:szCs w:val="24"/>
          <w:lang w:val="en-US"/>
        </w:rPr>
        <w:t>[9</w:t>
      </w:r>
      <w:r w:rsidR="00295513">
        <w:rPr>
          <w:rFonts w:ascii="Arial" w:hAnsi="Arial" w:cs="Arial"/>
          <w:sz w:val="24"/>
          <w:szCs w:val="24"/>
          <w:lang w:val="en-US"/>
        </w:rPr>
        <w:t>4</w:t>
      </w:r>
      <w:r w:rsidRPr="00D64A60">
        <w:rPr>
          <w:rFonts w:ascii="Arial" w:hAnsi="Arial" w:cs="Arial"/>
          <w:sz w:val="24"/>
          <w:szCs w:val="24"/>
          <w:lang w:val="en-US"/>
        </w:rPr>
        <w:t>]</w:t>
      </w:r>
      <w:r w:rsidRPr="00D64A60">
        <w:rPr>
          <w:rFonts w:ascii="Arial" w:hAnsi="Arial" w:cs="Arial"/>
          <w:sz w:val="24"/>
          <w:szCs w:val="24"/>
          <w:lang w:val="en-US"/>
        </w:rPr>
        <w:tab/>
      </w:r>
      <w:r w:rsidR="00421E15" w:rsidRPr="00D64A60">
        <w:rPr>
          <w:rFonts w:ascii="Arial" w:hAnsi="Arial" w:cs="Arial"/>
          <w:sz w:val="24"/>
          <w:szCs w:val="24"/>
          <w:lang w:val="en-US"/>
        </w:rPr>
        <w:t xml:space="preserve">Our courts will </w:t>
      </w:r>
      <w:r w:rsidR="006F523A" w:rsidRPr="00D64A60">
        <w:rPr>
          <w:rFonts w:ascii="Arial" w:hAnsi="Arial" w:cs="Arial"/>
          <w:sz w:val="24"/>
          <w:szCs w:val="24"/>
          <w:lang w:val="en-US"/>
        </w:rPr>
        <w:t xml:space="preserve">generally </w:t>
      </w:r>
      <w:r w:rsidR="00421E15" w:rsidRPr="00D64A60">
        <w:rPr>
          <w:rFonts w:ascii="Arial" w:hAnsi="Arial" w:cs="Arial"/>
          <w:sz w:val="24"/>
          <w:szCs w:val="24"/>
          <w:lang w:val="en-US"/>
        </w:rPr>
        <w:t xml:space="preserve">grant costs on a punitive scale </w:t>
      </w:r>
      <w:r w:rsidR="006F523A" w:rsidRPr="00D64A60">
        <w:rPr>
          <w:rFonts w:ascii="Arial" w:hAnsi="Arial" w:cs="Arial"/>
          <w:sz w:val="24"/>
          <w:szCs w:val="24"/>
          <w:lang w:val="en-US"/>
        </w:rPr>
        <w:t xml:space="preserve">only </w:t>
      </w:r>
      <w:r w:rsidR="00421E15" w:rsidRPr="00D64A60">
        <w:rPr>
          <w:rFonts w:ascii="Arial" w:hAnsi="Arial" w:cs="Arial"/>
          <w:sz w:val="24"/>
          <w:szCs w:val="24"/>
          <w:lang w:val="en-US"/>
        </w:rPr>
        <w:t>where a party has been put to unnecessary expense in consequence of conduct by a litigant that can reasonably be characterized as unreasonable or obdurate.</w:t>
      </w:r>
      <w:r w:rsidR="00421E15" w:rsidRPr="00D64A60">
        <w:rPr>
          <w:rStyle w:val="FootnoteReference"/>
          <w:rFonts w:ascii="Arial" w:hAnsi="Arial" w:cs="Arial"/>
          <w:sz w:val="24"/>
          <w:szCs w:val="24"/>
          <w:lang w:val="en-US"/>
        </w:rPr>
        <w:footnoteReference w:id="13"/>
      </w:r>
      <w:r w:rsidR="00421E15" w:rsidRPr="00D64A60">
        <w:rPr>
          <w:rFonts w:ascii="Arial" w:hAnsi="Arial" w:cs="Arial"/>
          <w:sz w:val="24"/>
          <w:szCs w:val="24"/>
          <w:lang w:val="en-US"/>
        </w:rPr>
        <w:t xml:space="preserve">  An award of this kind requires “</w:t>
      </w:r>
      <w:r w:rsidR="00421E15" w:rsidRPr="00D64A60">
        <w:rPr>
          <w:rFonts w:ascii="Arial" w:hAnsi="Arial" w:cs="Arial"/>
          <w:i/>
          <w:iCs/>
          <w:sz w:val="24"/>
          <w:szCs w:val="24"/>
          <w:lang w:val="en-US"/>
        </w:rPr>
        <w:t>special considerations arising either from the circumstances</w:t>
      </w:r>
      <w:r w:rsidR="00421E15" w:rsidRPr="00DA52C6">
        <w:rPr>
          <w:rFonts w:ascii="Arial" w:hAnsi="Arial" w:cs="Arial"/>
          <w:i/>
          <w:iCs/>
          <w:sz w:val="24"/>
          <w:szCs w:val="24"/>
          <w:lang w:val="en-US"/>
        </w:rPr>
        <w:t xml:space="preserve"> which gave rise to the action or from the conduct of the losing party</w:t>
      </w:r>
      <w:r w:rsidR="00421E15" w:rsidRPr="00DA52C6">
        <w:rPr>
          <w:rFonts w:ascii="Arial" w:hAnsi="Arial" w:cs="Arial"/>
          <w:sz w:val="24"/>
          <w:szCs w:val="24"/>
          <w:lang w:val="en-US"/>
        </w:rPr>
        <w:t>”.</w:t>
      </w:r>
      <w:r w:rsidR="00421E15" w:rsidRPr="00DA52C6">
        <w:rPr>
          <w:rStyle w:val="FootnoteReference"/>
          <w:rFonts w:ascii="Arial" w:hAnsi="Arial" w:cs="Arial"/>
          <w:sz w:val="24"/>
          <w:szCs w:val="24"/>
          <w:lang w:val="en-US"/>
        </w:rPr>
        <w:footnoteReference w:id="14"/>
      </w:r>
    </w:p>
    <w:p w14:paraId="24C6EFCC" w14:textId="06BA00FB" w:rsidR="009B3A20" w:rsidRPr="008D1A11" w:rsidRDefault="00514D72"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w:t>
      </w:r>
      <w:r w:rsidR="00295513">
        <w:rPr>
          <w:rFonts w:ascii="Arial" w:hAnsi="Arial" w:cs="Arial"/>
          <w:sz w:val="24"/>
          <w:szCs w:val="24"/>
          <w:lang w:val="en-US"/>
        </w:rPr>
        <w:t>95</w:t>
      </w:r>
      <w:r>
        <w:rPr>
          <w:rFonts w:ascii="Arial" w:hAnsi="Arial" w:cs="Arial"/>
          <w:sz w:val="24"/>
          <w:szCs w:val="24"/>
          <w:lang w:val="en-US"/>
        </w:rPr>
        <w:t>]</w:t>
      </w:r>
      <w:r>
        <w:rPr>
          <w:rFonts w:ascii="Arial" w:hAnsi="Arial" w:cs="Arial"/>
          <w:sz w:val="24"/>
          <w:szCs w:val="24"/>
          <w:lang w:val="en-US"/>
        </w:rPr>
        <w:tab/>
      </w:r>
      <w:r w:rsidR="009B3A20" w:rsidRPr="008D1A11">
        <w:rPr>
          <w:rFonts w:ascii="Arial" w:hAnsi="Arial" w:cs="Arial"/>
          <w:sz w:val="24"/>
          <w:szCs w:val="24"/>
          <w:lang w:val="en-US"/>
        </w:rPr>
        <w:t xml:space="preserve">In my view this is a case where </w:t>
      </w:r>
      <w:r w:rsidR="00CA0555">
        <w:rPr>
          <w:rFonts w:ascii="Arial" w:hAnsi="Arial" w:cs="Arial"/>
          <w:sz w:val="24"/>
          <w:szCs w:val="24"/>
          <w:lang w:val="en-US"/>
        </w:rPr>
        <w:t>attorney and client</w:t>
      </w:r>
      <w:r w:rsidR="00CA0555" w:rsidRPr="008D1A11">
        <w:rPr>
          <w:rFonts w:ascii="Arial" w:hAnsi="Arial" w:cs="Arial"/>
          <w:sz w:val="24"/>
          <w:szCs w:val="24"/>
          <w:lang w:val="en-US"/>
        </w:rPr>
        <w:t xml:space="preserve"> </w:t>
      </w:r>
      <w:r w:rsidR="009B3A20" w:rsidRPr="008D1A11">
        <w:rPr>
          <w:rFonts w:ascii="Arial" w:hAnsi="Arial" w:cs="Arial"/>
          <w:sz w:val="24"/>
          <w:szCs w:val="24"/>
          <w:lang w:val="en-US"/>
        </w:rPr>
        <w:t xml:space="preserve">costs are warranted.  The </w:t>
      </w:r>
      <w:r w:rsidR="006B3542">
        <w:rPr>
          <w:rFonts w:ascii="Arial" w:hAnsi="Arial" w:cs="Arial"/>
          <w:sz w:val="24"/>
          <w:szCs w:val="24"/>
          <w:lang w:val="en-US"/>
        </w:rPr>
        <w:t>a</w:t>
      </w:r>
      <w:r w:rsidR="009B3A20" w:rsidRPr="008D1A11">
        <w:rPr>
          <w:rFonts w:ascii="Arial" w:hAnsi="Arial" w:cs="Arial"/>
          <w:sz w:val="24"/>
          <w:szCs w:val="24"/>
          <w:lang w:val="en-US"/>
        </w:rPr>
        <w:t xml:space="preserve">pplicant has approached this court with </w:t>
      </w:r>
      <w:r w:rsidR="00CA0555">
        <w:rPr>
          <w:rFonts w:ascii="Arial" w:hAnsi="Arial" w:cs="Arial"/>
          <w:sz w:val="24"/>
          <w:szCs w:val="24"/>
          <w:lang w:val="en-US"/>
        </w:rPr>
        <w:t xml:space="preserve">an </w:t>
      </w:r>
      <w:r w:rsidR="009B3A20" w:rsidRPr="008D1A11">
        <w:rPr>
          <w:rFonts w:ascii="Arial" w:hAnsi="Arial" w:cs="Arial"/>
          <w:sz w:val="24"/>
          <w:szCs w:val="24"/>
          <w:lang w:val="en-US"/>
        </w:rPr>
        <w:t xml:space="preserve">attack </w:t>
      </w:r>
      <w:r w:rsidR="006B3542">
        <w:rPr>
          <w:rFonts w:ascii="Arial" w:hAnsi="Arial" w:cs="Arial"/>
          <w:sz w:val="24"/>
          <w:szCs w:val="24"/>
          <w:lang w:val="en-US"/>
        </w:rPr>
        <w:t xml:space="preserve">on </w:t>
      </w:r>
      <w:r w:rsidR="009B3A20" w:rsidRPr="008D1A11">
        <w:rPr>
          <w:rFonts w:ascii="Arial" w:hAnsi="Arial" w:cs="Arial"/>
          <w:sz w:val="24"/>
          <w:szCs w:val="24"/>
          <w:lang w:val="en-US"/>
        </w:rPr>
        <w:t xml:space="preserve">the </w:t>
      </w:r>
      <w:r w:rsidR="006B3542">
        <w:rPr>
          <w:rFonts w:ascii="Arial" w:hAnsi="Arial" w:cs="Arial"/>
          <w:sz w:val="24"/>
          <w:szCs w:val="24"/>
          <w:lang w:val="en-US"/>
        </w:rPr>
        <w:t xml:space="preserve">validity of </w:t>
      </w:r>
      <w:r w:rsidR="00CA0555">
        <w:rPr>
          <w:rFonts w:ascii="Arial" w:hAnsi="Arial" w:cs="Arial"/>
          <w:sz w:val="24"/>
          <w:szCs w:val="24"/>
          <w:lang w:val="en-US"/>
        </w:rPr>
        <w:t xml:space="preserve">the </w:t>
      </w:r>
      <w:r w:rsidR="009B3A20" w:rsidRPr="008D1A11">
        <w:rPr>
          <w:rFonts w:ascii="Arial" w:hAnsi="Arial" w:cs="Arial"/>
          <w:sz w:val="24"/>
          <w:szCs w:val="24"/>
          <w:lang w:val="en-US"/>
        </w:rPr>
        <w:t xml:space="preserve">extension of the loan agreement </w:t>
      </w:r>
      <w:r w:rsidR="006B3542">
        <w:rPr>
          <w:rFonts w:ascii="Arial" w:hAnsi="Arial" w:cs="Arial"/>
          <w:sz w:val="24"/>
          <w:szCs w:val="24"/>
          <w:lang w:val="en-US"/>
        </w:rPr>
        <w:t xml:space="preserve">in circumstances in which </w:t>
      </w:r>
      <w:r w:rsidR="00065C48">
        <w:rPr>
          <w:rFonts w:ascii="Arial" w:hAnsi="Arial" w:cs="Arial"/>
          <w:sz w:val="24"/>
          <w:szCs w:val="24"/>
          <w:lang w:val="en-US"/>
        </w:rPr>
        <w:t xml:space="preserve">he had, with </w:t>
      </w:r>
      <w:r w:rsidR="00C41E5B">
        <w:rPr>
          <w:rFonts w:ascii="Arial" w:hAnsi="Arial" w:cs="Arial"/>
          <w:sz w:val="24"/>
          <w:szCs w:val="24"/>
          <w:lang w:val="en-US"/>
        </w:rPr>
        <w:t xml:space="preserve">full knowledge of </w:t>
      </w:r>
      <w:r w:rsidR="0047521A">
        <w:rPr>
          <w:rFonts w:ascii="Arial" w:hAnsi="Arial" w:cs="Arial"/>
          <w:sz w:val="24"/>
          <w:szCs w:val="24"/>
          <w:lang w:val="en-US"/>
        </w:rPr>
        <w:t xml:space="preserve">the </w:t>
      </w:r>
      <w:r w:rsidR="00C41E5B">
        <w:rPr>
          <w:rFonts w:ascii="Arial" w:hAnsi="Arial" w:cs="Arial"/>
          <w:sz w:val="24"/>
          <w:szCs w:val="24"/>
          <w:lang w:val="en-US"/>
        </w:rPr>
        <w:t xml:space="preserve">relevant facts, </w:t>
      </w:r>
      <w:r w:rsidR="009B3A20" w:rsidRPr="008D1A11">
        <w:rPr>
          <w:rFonts w:ascii="Arial" w:hAnsi="Arial" w:cs="Arial"/>
          <w:sz w:val="24"/>
          <w:szCs w:val="24"/>
          <w:lang w:val="en-US"/>
        </w:rPr>
        <w:t xml:space="preserve"> unequivocally acknowledged </w:t>
      </w:r>
      <w:r w:rsidR="00002381">
        <w:rPr>
          <w:rFonts w:ascii="Arial" w:hAnsi="Arial" w:cs="Arial"/>
          <w:sz w:val="24"/>
          <w:szCs w:val="24"/>
          <w:lang w:val="en-US"/>
        </w:rPr>
        <w:t xml:space="preserve">liability </w:t>
      </w:r>
      <w:r w:rsidR="00F6114F">
        <w:rPr>
          <w:rFonts w:ascii="Arial" w:hAnsi="Arial" w:cs="Arial"/>
          <w:sz w:val="24"/>
          <w:szCs w:val="24"/>
          <w:lang w:val="en-US"/>
        </w:rPr>
        <w:t>in favour of the first respondent</w:t>
      </w:r>
      <w:r w:rsidR="009B3A20" w:rsidRPr="008D1A11">
        <w:rPr>
          <w:rFonts w:ascii="Arial" w:hAnsi="Arial" w:cs="Arial"/>
          <w:sz w:val="24"/>
          <w:szCs w:val="24"/>
          <w:lang w:val="en-US"/>
        </w:rPr>
        <w:t>.</w:t>
      </w:r>
      <w:r w:rsidR="00DD3F0B">
        <w:rPr>
          <w:rFonts w:ascii="Arial" w:hAnsi="Arial" w:cs="Arial"/>
          <w:sz w:val="24"/>
          <w:szCs w:val="24"/>
          <w:lang w:val="en-US"/>
        </w:rPr>
        <w:t xml:space="preserve">  His attempt to rely on </w:t>
      </w:r>
      <w:r w:rsidR="00002381">
        <w:rPr>
          <w:rFonts w:ascii="Arial" w:hAnsi="Arial" w:cs="Arial"/>
          <w:sz w:val="24"/>
          <w:szCs w:val="24"/>
          <w:lang w:val="en-US"/>
        </w:rPr>
        <w:t xml:space="preserve">administrative incompetence and manipulation within the EOH group in documenting that liability, </w:t>
      </w:r>
      <w:r w:rsidR="004443EC">
        <w:rPr>
          <w:rFonts w:ascii="Arial" w:hAnsi="Arial" w:cs="Arial"/>
          <w:sz w:val="24"/>
          <w:szCs w:val="24"/>
          <w:lang w:val="en-US"/>
        </w:rPr>
        <w:t xml:space="preserve">where this occurred in the office of the fourth respondent and under his authority, </w:t>
      </w:r>
      <w:r w:rsidR="00616A51">
        <w:rPr>
          <w:rFonts w:ascii="Arial" w:hAnsi="Arial" w:cs="Arial"/>
          <w:sz w:val="24"/>
          <w:szCs w:val="24"/>
          <w:lang w:val="en-US"/>
        </w:rPr>
        <w:t>was unreasonabl</w:t>
      </w:r>
      <w:r w:rsidR="006C361F">
        <w:rPr>
          <w:rFonts w:ascii="Arial" w:hAnsi="Arial" w:cs="Arial"/>
          <w:sz w:val="24"/>
          <w:szCs w:val="24"/>
          <w:lang w:val="en-US"/>
        </w:rPr>
        <w:t>e</w:t>
      </w:r>
      <w:r w:rsidR="00616A51">
        <w:rPr>
          <w:rFonts w:ascii="Arial" w:hAnsi="Arial" w:cs="Arial"/>
          <w:sz w:val="24"/>
          <w:szCs w:val="24"/>
          <w:lang w:val="en-US"/>
        </w:rPr>
        <w:t xml:space="preserve"> and warrants a special costs order</w:t>
      </w:r>
      <w:r w:rsidR="004443EC">
        <w:rPr>
          <w:rFonts w:ascii="Arial" w:hAnsi="Arial" w:cs="Arial"/>
          <w:sz w:val="24"/>
          <w:szCs w:val="24"/>
          <w:lang w:val="en-US"/>
        </w:rPr>
        <w:t>.</w:t>
      </w:r>
    </w:p>
    <w:p w14:paraId="2B0A6FDF" w14:textId="0C36E30A" w:rsidR="00922876" w:rsidRPr="00922876" w:rsidRDefault="00922876" w:rsidP="007273B3">
      <w:pPr>
        <w:pStyle w:val="BowLevel1ListAlt"/>
        <w:numPr>
          <w:ilvl w:val="0"/>
          <w:numId w:val="0"/>
        </w:numPr>
        <w:rPr>
          <w:rFonts w:ascii="Arial" w:hAnsi="Arial" w:cs="Arial"/>
          <w:b/>
          <w:bCs/>
          <w:sz w:val="24"/>
          <w:szCs w:val="24"/>
          <w:lang w:val="en-US"/>
        </w:rPr>
      </w:pPr>
      <w:r w:rsidRPr="00922876">
        <w:rPr>
          <w:rFonts w:ascii="Arial" w:hAnsi="Arial" w:cs="Arial"/>
          <w:b/>
          <w:bCs/>
          <w:sz w:val="24"/>
          <w:szCs w:val="24"/>
          <w:lang w:val="en-US"/>
        </w:rPr>
        <w:t>Order</w:t>
      </w:r>
    </w:p>
    <w:p w14:paraId="1253A45B" w14:textId="2994439E" w:rsidR="007273B3" w:rsidRDefault="00CE54E4" w:rsidP="00921D26">
      <w:pPr>
        <w:pStyle w:val="BowLevel1ListAlt"/>
        <w:numPr>
          <w:ilvl w:val="0"/>
          <w:numId w:val="0"/>
        </w:numPr>
        <w:ind w:left="567" w:hanging="567"/>
        <w:rPr>
          <w:rFonts w:ascii="Arial" w:hAnsi="Arial" w:cs="Arial"/>
          <w:sz w:val="24"/>
          <w:szCs w:val="24"/>
          <w:lang w:val="en-US"/>
        </w:rPr>
      </w:pPr>
      <w:r>
        <w:rPr>
          <w:rFonts w:ascii="Arial" w:hAnsi="Arial" w:cs="Arial"/>
          <w:sz w:val="24"/>
          <w:szCs w:val="24"/>
          <w:lang w:val="en-US"/>
        </w:rPr>
        <w:t>[96]</w:t>
      </w:r>
      <w:r>
        <w:rPr>
          <w:rFonts w:ascii="Arial" w:hAnsi="Arial" w:cs="Arial"/>
          <w:sz w:val="24"/>
          <w:szCs w:val="24"/>
          <w:lang w:val="en-US"/>
        </w:rPr>
        <w:tab/>
      </w:r>
      <w:r w:rsidR="007273B3">
        <w:rPr>
          <w:rFonts w:ascii="Arial" w:hAnsi="Arial" w:cs="Arial"/>
          <w:sz w:val="24"/>
          <w:szCs w:val="24"/>
          <w:lang w:val="en-US"/>
        </w:rPr>
        <w:t>In the circumstances I make the following order:</w:t>
      </w:r>
    </w:p>
    <w:p w14:paraId="5F150D00" w14:textId="08989ADA" w:rsidR="00352A04" w:rsidRDefault="007273B3" w:rsidP="00C54C2C">
      <w:pPr>
        <w:pStyle w:val="BowLevel1ListAlt"/>
        <w:numPr>
          <w:ilvl w:val="0"/>
          <w:numId w:val="0"/>
        </w:numPr>
        <w:ind w:left="720"/>
        <w:rPr>
          <w:rFonts w:ascii="Arial" w:hAnsi="Arial" w:cs="Arial"/>
          <w:sz w:val="24"/>
          <w:szCs w:val="24"/>
          <w:lang w:val="en-US"/>
        </w:rPr>
      </w:pPr>
      <w:r>
        <w:rPr>
          <w:rFonts w:ascii="Arial" w:hAnsi="Arial" w:cs="Arial"/>
          <w:sz w:val="24"/>
          <w:szCs w:val="24"/>
          <w:lang w:val="en-US"/>
        </w:rPr>
        <w:t>The application is dismissed with costs</w:t>
      </w:r>
      <w:r w:rsidR="009B3A20">
        <w:rPr>
          <w:rFonts w:ascii="Arial" w:hAnsi="Arial" w:cs="Arial"/>
          <w:sz w:val="24"/>
          <w:szCs w:val="24"/>
          <w:lang w:val="en-US"/>
        </w:rPr>
        <w:t xml:space="preserve"> </w:t>
      </w:r>
      <w:r w:rsidR="00513E52">
        <w:rPr>
          <w:rFonts w:ascii="Arial" w:hAnsi="Arial" w:cs="Arial"/>
          <w:sz w:val="24"/>
          <w:szCs w:val="24"/>
          <w:lang w:val="en-US"/>
        </w:rPr>
        <w:t xml:space="preserve">on </w:t>
      </w:r>
      <w:r w:rsidR="009B3A20">
        <w:rPr>
          <w:rFonts w:ascii="Arial" w:hAnsi="Arial" w:cs="Arial"/>
          <w:sz w:val="24"/>
          <w:szCs w:val="24"/>
          <w:lang w:val="en-US"/>
        </w:rPr>
        <w:t>an attorney and client scale</w:t>
      </w:r>
      <w:r w:rsidR="00C54C2C">
        <w:rPr>
          <w:rFonts w:ascii="Arial" w:hAnsi="Arial" w:cs="Arial"/>
          <w:sz w:val="24"/>
          <w:szCs w:val="24"/>
          <w:lang w:val="en-US"/>
        </w:rPr>
        <w:t>, including the costs of two counsel where so employed</w:t>
      </w:r>
      <w:r>
        <w:rPr>
          <w:rFonts w:ascii="Arial" w:hAnsi="Arial" w:cs="Arial"/>
          <w:sz w:val="24"/>
          <w:szCs w:val="24"/>
          <w:lang w:val="en-US"/>
        </w:rPr>
        <w:t>.</w:t>
      </w:r>
      <w:r w:rsidRPr="007273B3">
        <w:rPr>
          <w:rFonts w:ascii="Arial" w:hAnsi="Arial" w:cs="Arial"/>
          <w:sz w:val="24"/>
          <w:szCs w:val="24"/>
          <w:lang w:val="en-US"/>
        </w:rPr>
        <w:t xml:space="preserve"> </w:t>
      </w:r>
    </w:p>
    <w:p w14:paraId="4E16D8C9" w14:textId="77777777" w:rsidR="00AE6B1E" w:rsidRPr="00B906A3" w:rsidRDefault="00AE6B1E" w:rsidP="00BB6B5B">
      <w:pPr>
        <w:spacing w:line="240" w:lineRule="auto"/>
        <w:ind w:left="567" w:hanging="567"/>
        <w:rPr>
          <w:rFonts w:ascii="Arial" w:eastAsia="Calibri" w:hAnsi="Arial" w:cs="Arial"/>
          <w:sz w:val="22"/>
          <w:szCs w:val="22"/>
          <w:lang w:val="en-GB"/>
        </w:rPr>
      </w:pPr>
    </w:p>
    <w:p w14:paraId="33675D9C" w14:textId="366B5133" w:rsidR="00E71522" w:rsidRPr="00B906A3" w:rsidRDefault="00E71522" w:rsidP="00BB6B5B">
      <w:pPr>
        <w:spacing w:line="240" w:lineRule="auto"/>
        <w:ind w:left="567" w:hanging="567"/>
        <w:rPr>
          <w:rFonts w:ascii="Arial" w:eastAsia="Calibri" w:hAnsi="Arial" w:cs="Arial"/>
          <w:sz w:val="22"/>
          <w:szCs w:val="22"/>
          <w:lang w:val="en-GB"/>
        </w:rPr>
      </w:pPr>
      <w:r w:rsidRPr="00B906A3">
        <w:rPr>
          <w:rFonts w:ascii="Arial" w:eastAsia="Calibri" w:hAnsi="Arial" w:cs="Arial"/>
          <w:sz w:val="22"/>
          <w:szCs w:val="22"/>
          <w:lang w:val="en-GB"/>
        </w:rPr>
        <w:t>_______________</w:t>
      </w:r>
    </w:p>
    <w:p w14:paraId="1F7EFD38" w14:textId="77777777" w:rsidR="00E71522" w:rsidRPr="00B906A3" w:rsidRDefault="00E71522" w:rsidP="00BB6B5B">
      <w:pPr>
        <w:spacing w:line="240" w:lineRule="auto"/>
        <w:ind w:left="567" w:hanging="567"/>
        <w:rPr>
          <w:rFonts w:ascii="Arial" w:eastAsia="Calibri" w:hAnsi="Arial" w:cs="Arial"/>
          <w:b/>
          <w:bCs/>
          <w:sz w:val="22"/>
          <w:szCs w:val="22"/>
          <w:lang w:val="en-GB"/>
        </w:rPr>
      </w:pPr>
      <w:r w:rsidRPr="00B906A3">
        <w:rPr>
          <w:rFonts w:ascii="Arial" w:eastAsia="Calibri" w:hAnsi="Arial" w:cs="Arial"/>
          <w:b/>
          <w:bCs/>
          <w:sz w:val="22"/>
          <w:szCs w:val="22"/>
          <w:lang w:val="en-GB"/>
        </w:rPr>
        <w:t>C Todd</w:t>
      </w:r>
    </w:p>
    <w:p w14:paraId="65C51520" w14:textId="794879BD" w:rsidR="00E71522" w:rsidRPr="00B906A3" w:rsidRDefault="00E71522" w:rsidP="00BB6B5B">
      <w:pPr>
        <w:spacing w:line="240" w:lineRule="auto"/>
        <w:ind w:left="567" w:hanging="567"/>
        <w:rPr>
          <w:rFonts w:ascii="Arial" w:hAnsi="Arial" w:cs="Arial"/>
          <w:sz w:val="22"/>
          <w:szCs w:val="22"/>
        </w:rPr>
      </w:pPr>
      <w:r w:rsidRPr="00B906A3">
        <w:rPr>
          <w:rFonts w:ascii="Arial" w:eastAsia="Calibri" w:hAnsi="Arial" w:cs="Arial"/>
          <w:b/>
          <w:bCs/>
          <w:sz w:val="22"/>
          <w:szCs w:val="22"/>
          <w:lang w:val="en-GB"/>
        </w:rPr>
        <w:t>Acting Judge of the High Court of South Africa</w:t>
      </w:r>
    </w:p>
    <w:p w14:paraId="0CB7F7CD" w14:textId="08AA22AE" w:rsidR="00D17D18" w:rsidRPr="00B906A3" w:rsidRDefault="00D17D18" w:rsidP="00BB6B5B">
      <w:pPr>
        <w:pStyle w:val="BowLevel1ListAlt"/>
        <w:numPr>
          <w:ilvl w:val="0"/>
          <w:numId w:val="0"/>
        </w:numPr>
        <w:spacing w:line="240" w:lineRule="auto"/>
        <w:ind w:left="567" w:firstLine="153"/>
        <w:rPr>
          <w:rFonts w:ascii="Arial" w:hAnsi="Arial" w:cs="Arial"/>
          <w:sz w:val="22"/>
          <w:szCs w:val="22"/>
          <w:lang w:val="en-US"/>
        </w:rPr>
      </w:pPr>
    </w:p>
    <w:p w14:paraId="7A42E0F3" w14:textId="77777777" w:rsidR="00921D26" w:rsidRDefault="00921D26">
      <w:pPr>
        <w:jc w:val="left"/>
        <w:rPr>
          <w:rFonts w:ascii="Arial" w:hAnsi="Arial" w:cs="Arial"/>
          <w:b/>
          <w:sz w:val="22"/>
          <w:szCs w:val="22"/>
          <w:lang w:val="en-US"/>
        </w:rPr>
      </w:pPr>
      <w:r>
        <w:rPr>
          <w:rFonts w:ascii="Arial" w:hAnsi="Arial" w:cs="Arial"/>
          <w:b/>
          <w:sz w:val="22"/>
          <w:szCs w:val="22"/>
          <w:lang w:val="en-US"/>
        </w:rPr>
        <w:br w:type="page"/>
      </w:r>
    </w:p>
    <w:p w14:paraId="74428902" w14:textId="03D41554" w:rsidR="00D17D18" w:rsidRPr="00921D26" w:rsidRDefault="00D17D18" w:rsidP="00AE6B1E">
      <w:pPr>
        <w:spacing w:line="240" w:lineRule="auto"/>
        <w:ind w:left="567" w:hanging="567"/>
        <w:rPr>
          <w:rFonts w:ascii="Arial" w:hAnsi="Arial" w:cs="Arial"/>
          <w:b/>
          <w:sz w:val="24"/>
          <w:szCs w:val="24"/>
          <w:lang w:val="en-US"/>
        </w:rPr>
      </w:pPr>
      <w:r w:rsidRPr="00921D26">
        <w:rPr>
          <w:rFonts w:ascii="Arial" w:hAnsi="Arial" w:cs="Arial"/>
          <w:b/>
          <w:sz w:val="24"/>
          <w:szCs w:val="24"/>
          <w:lang w:val="en-US"/>
        </w:rPr>
        <w:t>REFERENCES</w:t>
      </w:r>
    </w:p>
    <w:p w14:paraId="4B570BC3" w14:textId="77777777" w:rsidR="00F6481A" w:rsidRPr="00921D26" w:rsidRDefault="00F6481A" w:rsidP="00AE6B1E">
      <w:pPr>
        <w:spacing w:line="240" w:lineRule="auto"/>
        <w:ind w:left="567" w:hanging="567"/>
        <w:rPr>
          <w:rFonts w:ascii="Arial" w:hAnsi="Arial" w:cs="Arial"/>
          <w:sz w:val="24"/>
          <w:szCs w:val="24"/>
        </w:rPr>
      </w:pPr>
    </w:p>
    <w:p w14:paraId="378F111B" w14:textId="5161F42D" w:rsidR="00D17D18" w:rsidRPr="00921D26" w:rsidRDefault="00D17D18" w:rsidP="00AE6B1E">
      <w:pPr>
        <w:spacing w:line="240" w:lineRule="auto"/>
        <w:ind w:left="567" w:hanging="567"/>
        <w:rPr>
          <w:rFonts w:ascii="Arial" w:hAnsi="Arial" w:cs="Arial"/>
          <w:sz w:val="24"/>
          <w:szCs w:val="24"/>
        </w:rPr>
      </w:pPr>
      <w:r w:rsidRPr="00921D26">
        <w:rPr>
          <w:rFonts w:ascii="Arial" w:hAnsi="Arial" w:cs="Arial"/>
          <w:sz w:val="24"/>
          <w:szCs w:val="24"/>
        </w:rPr>
        <w:t>For the Applicant:</w:t>
      </w:r>
      <w:r w:rsidRPr="00921D26">
        <w:rPr>
          <w:rFonts w:ascii="Arial" w:hAnsi="Arial" w:cs="Arial"/>
          <w:sz w:val="24"/>
          <w:szCs w:val="24"/>
        </w:rPr>
        <w:tab/>
      </w:r>
      <w:r w:rsidRPr="00921D26">
        <w:rPr>
          <w:rFonts w:ascii="Arial" w:hAnsi="Arial" w:cs="Arial"/>
          <w:sz w:val="24"/>
          <w:szCs w:val="24"/>
        </w:rPr>
        <w:tab/>
      </w:r>
      <w:r w:rsidRPr="00921D26">
        <w:rPr>
          <w:rFonts w:ascii="Arial" w:hAnsi="Arial" w:cs="Arial"/>
          <w:sz w:val="24"/>
          <w:szCs w:val="24"/>
        </w:rPr>
        <w:tab/>
      </w:r>
      <w:r w:rsidR="00F6481A" w:rsidRPr="00921D26">
        <w:rPr>
          <w:rFonts w:ascii="Arial" w:hAnsi="Arial" w:cs="Arial"/>
          <w:sz w:val="24"/>
          <w:szCs w:val="24"/>
        </w:rPr>
        <w:t>Adv. O Cook SC</w:t>
      </w:r>
      <w:r w:rsidR="006927B0" w:rsidRPr="00921D26">
        <w:rPr>
          <w:rFonts w:ascii="Arial" w:hAnsi="Arial" w:cs="Arial"/>
          <w:sz w:val="24"/>
          <w:szCs w:val="24"/>
        </w:rPr>
        <w:t xml:space="preserve"> </w:t>
      </w:r>
      <w:r w:rsidR="00AA25AF" w:rsidRPr="00921D26">
        <w:rPr>
          <w:rFonts w:ascii="Arial" w:hAnsi="Arial" w:cs="Arial"/>
          <w:sz w:val="24"/>
          <w:szCs w:val="24"/>
        </w:rPr>
        <w:t xml:space="preserve">and </w:t>
      </w:r>
      <w:r w:rsidR="00C71B13" w:rsidRPr="00921D26">
        <w:rPr>
          <w:rFonts w:ascii="Arial" w:hAnsi="Arial" w:cs="Arial"/>
          <w:sz w:val="24"/>
          <w:szCs w:val="24"/>
        </w:rPr>
        <w:t>Adv. R Shepstone</w:t>
      </w:r>
    </w:p>
    <w:p w14:paraId="06900A8F" w14:textId="3922C3E3" w:rsidR="00D17D18" w:rsidRPr="00921D26" w:rsidRDefault="00D17D18" w:rsidP="00AE6B1E">
      <w:pPr>
        <w:spacing w:line="240" w:lineRule="auto"/>
        <w:ind w:left="567" w:hanging="567"/>
        <w:rPr>
          <w:rFonts w:ascii="Arial" w:hAnsi="Arial" w:cs="Arial"/>
          <w:sz w:val="24"/>
          <w:szCs w:val="24"/>
        </w:rPr>
      </w:pPr>
      <w:r w:rsidRPr="00921D26">
        <w:rPr>
          <w:rFonts w:ascii="Arial" w:hAnsi="Arial" w:cs="Arial"/>
          <w:sz w:val="24"/>
          <w:szCs w:val="24"/>
        </w:rPr>
        <w:t>Instructed by:</w:t>
      </w:r>
      <w:r w:rsidRPr="00921D26">
        <w:rPr>
          <w:rFonts w:ascii="Arial" w:hAnsi="Arial" w:cs="Arial"/>
          <w:sz w:val="24"/>
          <w:szCs w:val="24"/>
        </w:rPr>
        <w:tab/>
      </w:r>
      <w:r w:rsidRPr="00921D26">
        <w:rPr>
          <w:rFonts w:ascii="Arial" w:hAnsi="Arial" w:cs="Arial"/>
          <w:sz w:val="24"/>
          <w:szCs w:val="24"/>
        </w:rPr>
        <w:tab/>
      </w:r>
      <w:r w:rsidRPr="00921D26">
        <w:rPr>
          <w:rFonts w:ascii="Arial" w:hAnsi="Arial" w:cs="Arial"/>
          <w:sz w:val="24"/>
          <w:szCs w:val="24"/>
        </w:rPr>
        <w:tab/>
      </w:r>
      <w:r w:rsidR="00B703D3" w:rsidRPr="00921D26">
        <w:rPr>
          <w:rFonts w:ascii="Arial" w:hAnsi="Arial" w:cs="Arial"/>
          <w:sz w:val="24"/>
          <w:szCs w:val="24"/>
        </w:rPr>
        <w:t>Adam Creswick Attorneys</w:t>
      </w:r>
    </w:p>
    <w:p w14:paraId="1446EB96" w14:textId="77777777" w:rsidR="00FE3814" w:rsidRPr="00921D26" w:rsidRDefault="00FE3814" w:rsidP="00AE6B1E">
      <w:pPr>
        <w:spacing w:line="240" w:lineRule="auto"/>
        <w:ind w:left="567" w:hanging="567"/>
        <w:rPr>
          <w:rFonts w:ascii="Arial" w:hAnsi="Arial" w:cs="Arial"/>
          <w:sz w:val="24"/>
          <w:szCs w:val="24"/>
        </w:rPr>
      </w:pPr>
    </w:p>
    <w:p w14:paraId="7CDD1304" w14:textId="41EAD986" w:rsidR="00D17D18" w:rsidRPr="00921D26" w:rsidRDefault="00D17D18" w:rsidP="00AE6B1E">
      <w:pPr>
        <w:spacing w:line="240" w:lineRule="auto"/>
        <w:ind w:left="567" w:hanging="567"/>
        <w:rPr>
          <w:rFonts w:ascii="Arial" w:hAnsi="Arial" w:cs="Arial"/>
          <w:sz w:val="24"/>
          <w:szCs w:val="24"/>
        </w:rPr>
      </w:pPr>
      <w:r w:rsidRPr="00921D26">
        <w:rPr>
          <w:rFonts w:ascii="Arial" w:hAnsi="Arial" w:cs="Arial"/>
          <w:sz w:val="24"/>
          <w:szCs w:val="24"/>
        </w:rPr>
        <w:t>For</w:t>
      </w:r>
      <w:r w:rsidR="00634CB5" w:rsidRPr="00921D26">
        <w:rPr>
          <w:rFonts w:ascii="Arial" w:hAnsi="Arial" w:cs="Arial"/>
          <w:sz w:val="24"/>
          <w:szCs w:val="24"/>
        </w:rPr>
        <w:t xml:space="preserve"> the</w:t>
      </w:r>
      <w:r w:rsidRPr="00921D26">
        <w:rPr>
          <w:rFonts w:ascii="Arial" w:hAnsi="Arial" w:cs="Arial"/>
          <w:sz w:val="24"/>
          <w:szCs w:val="24"/>
        </w:rPr>
        <w:t xml:space="preserve"> </w:t>
      </w:r>
      <w:r w:rsidR="007B7108" w:rsidRPr="00921D26">
        <w:rPr>
          <w:rFonts w:ascii="Arial" w:hAnsi="Arial" w:cs="Arial"/>
          <w:sz w:val="24"/>
          <w:szCs w:val="24"/>
        </w:rPr>
        <w:t>First Respondent</w:t>
      </w:r>
      <w:r w:rsidRPr="00921D26">
        <w:rPr>
          <w:rFonts w:ascii="Arial" w:hAnsi="Arial" w:cs="Arial"/>
          <w:sz w:val="24"/>
          <w:szCs w:val="24"/>
        </w:rPr>
        <w:t>:</w:t>
      </w:r>
      <w:r w:rsidRPr="00921D26">
        <w:rPr>
          <w:rFonts w:ascii="Arial" w:hAnsi="Arial" w:cs="Arial"/>
          <w:sz w:val="24"/>
          <w:szCs w:val="24"/>
        </w:rPr>
        <w:tab/>
      </w:r>
      <w:r w:rsidRPr="00921D26">
        <w:rPr>
          <w:rFonts w:ascii="Arial" w:hAnsi="Arial" w:cs="Arial"/>
          <w:sz w:val="24"/>
          <w:szCs w:val="24"/>
        </w:rPr>
        <w:tab/>
      </w:r>
      <w:r w:rsidR="00F6481A" w:rsidRPr="00921D26">
        <w:rPr>
          <w:rFonts w:ascii="Arial" w:hAnsi="Arial" w:cs="Arial"/>
          <w:sz w:val="24"/>
          <w:szCs w:val="24"/>
        </w:rPr>
        <w:t>Adv. J Blou SC</w:t>
      </w:r>
      <w:r w:rsidR="00E217A2" w:rsidRPr="00921D26">
        <w:rPr>
          <w:rFonts w:ascii="Arial" w:hAnsi="Arial" w:cs="Arial"/>
          <w:sz w:val="24"/>
          <w:szCs w:val="24"/>
        </w:rPr>
        <w:t xml:space="preserve"> and Adv. J</w:t>
      </w:r>
      <w:r w:rsidR="00AA25AF" w:rsidRPr="00921D26">
        <w:rPr>
          <w:rFonts w:ascii="Arial" w:hAnsi="Arial" w:cs="Arial"/>
          <w:sz w:val="24"/>
          <w:szCs w:val="24"/>
        </w:rPr>
        <w:t>E</w:t>
      </w:r>
      <w:r w:rsidR="00E217A2" w:rsidRPr="00921D26">
        <w:rPr>
          <w:rFonts w:ascii="Arial" w:hAnsi="Arial" w:cs="Arial"/>
          <w:sz w:val="24"/>
          <w:szCs w:val="24"/>
        </w:rPr>
        <w:t xml:space="preserve"> Smit</w:t>
      </w:r>
    </w:p>
    <w:p w14:paraId="482F72F2" w14:textId="05C19CCE" w:rsidR="00D17D18" w:rsidRPr="00921D26" w:rsidRDefault="00D17D18" w:rsidP="00AE6B1E">
      <w:pPr>
        <w:spacing w:line="240" w:lineRule="auto"/>
        <w:ind w:left="567" w:hanging="567"/>
        <w:rPr>
          <w:rFonts w:ascii="Arial" w:hAnsi="Arial" w:cs="Arial"/>
          <w:sz w:val="24"/>
          <w:szCs w:val="24"/>
        </w:rPr>
      </w:pPr>
      <w:r w:rsidRPr="00921D26">
        <w:rPr>
          <w:rFonts w:ascii="Arial" w:hAnsi="Arial" w:cs="Arial"/>
          <w:sz w:val="24"/>
          <w:szCs w:val="24"/>
        </w:rPr>
        <w:t xml:space="preserve">Instructed by: </w:t>
      </w:r>
      <w:r w:rsidRPr="00921D26">
        <w:rPr>
          <w:rFonts w:ascii="Arial" w:hAnsi="Arial" w:cs="Arial"/>
          <w:sz w:val="24"/>
          <w:szCs w:val="24"/>
        </w:rPr>
        <w:tab/>
      </w:r>
      <w:r w:rsidRPr="00921D26">
        <w:rPr>
          <w:rFonts w:ascii="Arial" w:hAnsi="Arial" w:cs="Arial"/>
          <w:sz w:val="24"/>
          <w:szCs w:val="24"/>
        </w:rPr>
        <w:tab/>
      </w:r>
      <w:r w:rsidRPr="00921D26">
        <w:rPr>
          <w:rFonts w:ascii="Arial" w:hAnsi="Arial" w:cs="Arial"/>
          <w:sz w:val="24"/>
          <w:szCs w:val="24"/>
        </w:rPr>
        <w:tab/>
      </w:r>
      <w:r w:rsidR="00F6481A" w:rsidRPr="00921D26">
        <w:rPr>
          <w:rFonts w:ascii="Arial" w:hAnsi="Arial" w:cs="Arial"/>
          <w:sz w:val="24"/>
          <w:szCs w:val="24"/>
        </w:rPr>
        <w:t>Werksmans</w:t>
      </w:r>
      <w:r w:rsidR="007B7108" w:rsidRPr="00921D26">
        <w:rPr>
          <w:rFonts w:ascii="Arial" w:hAnsi="Arial" w:cs="Arial"/>
          <w:sz w:val="24"/>
          <w:szCs w:val="24"/>
        </w:rPr>
        <w:t xml:space="preserve"> Attorneys</w:t>
      </w:r>
    </w:p>
    <w:p w14:paraId="50B3845F" w14:textId="77777777" w:rsidR="00F6481A" w:rsidRPr="00921D26" w:rsidRDefault="00F6481A" w:rsidP="00AE6B1E">
      <w:pPr>
        <w:spacing w:line="240" w:lineRule="auto"/>
        <w:ind w:left="567" w:hanging="567"/>
        <w:rPr>
          <w:rFonts w:ascii="Arial" w:hAnsi="Arial" w:cs="Arial"/>
          <w:sz w:val="24"/>
          <w:szCs w:val="24"/>
        </w:rPr>
      </w:pPr>
    </w:p>
    <w:p w14:paraId="061EE6CB" w14:textId="6FA94D4B" w:rsidR="00D17D18" w:rsidRPr="00921D26" w:rsidRDefault="00D17D18" w:rsidP="00AE6B1E">
      <w:pPr>
        <w:spacing w:line="240" w:lineRule="auto"/>
        <w:ind w:left="567" w:hanging="567"/>
        <w:rPr>
          <w:rFonts w:ascii="Arial" w:hAnsi="Arial" w:cs="Arial"/>
          <w:sz w:val="24"/>
          <w:szCs w:val="24"/>
        </w:rPr>
      </w:pPr>
      <w:r w:rsidRPr="00921D26">
        <w:rPr>
          <w:rFonts w:ascii="Arial" w:hAnsi="Arial" w:cs="Arial"/>
          <w:sz w:val="24"/>
          <w:szCs w:val="24"/>
        </w:rPr>
        <w:t>Hearing date:</w:t>
      </w:r>
      <w:r w:rsidRPr="00921D26">
        <w:rPr>
          <w:rFonts w:ascii="Arial" w:hAnsi="Arial" w:cs="Arial"/>
          <w:sz w:val="24"/>
          <w:szCs w:val="24"/>
        </w:rPr>
        <w:tab/>
      </w:r>
      <w:r w:rsidRPr="00921D26">
        <w:rPr>
          <w:rFonts w:ascii="Arial" w:hAnsi="Arial" w:cs="Arial"/>
          <w:sz w:val="24"/>
          <w:szCs w:val="24"/>
        </w:rPr>
        <w:tab/>
      </w:r>
      <w:r w:rsidRPr="00921D26">
        <w:rPr>
          <w:rFonts w:ascii="Arial" w:hAnsi="Arial" w:cs="Arial"/>
          <w:sz w:val="24"/>
          <w:szCs w:val="24"/>
        </w:rPr>
        <w:tab/>
        <w:t>0</w:t>
      </w:r>
      <w:r w:rsidR="0025065E" w:rsidRPr="00921D26">
        <w:rPr>
          <w:rFonts w:ascii="Arial" w:hAnsi="Arial" w:cs="Arial"/>
          <w:sz w:val="24"/>
          <w:szCs w:val="24"/>
        </w:rPr>
        <w:t>7</w:t>
      </w:r>
      <w:r w:rsidRPr="00921D26">
        <w:rPr>
          <w:rFonts w:ascii="Arial" w:hAnsi="Arial" w:cs="Arial"/>
          <w:sz w:val="24"/>
          <w:szCs w:val="24"/>
        </w:rPr>
        <w:t xml:space="preserve"> September 2022</w:t>
      </w:r>
    </w:p>
    <w:p w14:paraId="6853DC97" w14:textId="4D073ADE" w:rsidR="00D17D18" w:rsidRPr="00921D26" w:rsidRDefault="00D17D18" w:rsidP="00AE6B1E">
      <w:pPr>
        <w:pStyle w:val="BowLevel1ListAlt"/>
        <w:numPr>
          <w:ilvl w:val="0"/>
          <w:numId w:val="0"/>
        </w:numPr>
        <w:spacing w:line="240" w:lineRule="auto"/>
        <w:ind w:left="567" w:hanging="567"/>
        <w:rPr>
          <w:rFonts w:ascii="Arial" w:hAnsi="Arial" w:cs="Arial"/>
          <w:sz w:val="24"/>
          <w:szCs w:val="24"/>
          <w:lang w:val="en-US"/>
        </w:rPr>
      </w:pPr>
      <w:r w:rsidRPr="00921D26">
        <w:rPr>
          <w:rFonts w:ascii="Arial" w:hAnsi="Arial" w:cs="Arial"/>
          <w:sz w:val="24"/>
          <w:szCs w:val="24"/>
        </w:rPr>
        <w:t>Judgment delivered:</w:t>
      </w:r>
      <w:r w:rsidRPr="00921D26">
        <w:rPr>
          <w:rFonts w:ascii="Arial" w:hAnsi="Arial" w:cs="Arial"/>
          <w:sz w:val="24"/>
          <w:szCs w:val="24"/>
        </w:rPr>
        <w:tab/>
      </w:r>
      <w:r w:rsidRPr="00921D26">
        <w:rPr>
          <w:rFonts w:ascii="Arial" w:hAnsi="Arial" w:cs="Arial"/>
          <w:sz w:val="24"/>
          <w:szCs w:val="24"/>
        </w:rPr>
        <w:tab/>
      </w:r>
      <w:r w:rsidR="00805F1B" w:rsidRPr="00921D26">
        <w:rPr>
          <w:rFonts w:ascii="Arial" w:hAnsi="Arial" w:cs="Arial"/>
          <w:sz w:val="24"/>
          <w:szCs w:val="24"/>
        </w:rPr>
        <w:t>2</w:t>
      </w:r>
      <w:r w:rsidR="00324785" w:rsidRPr="00921D26">
        <w:rPr>
          <w:rFonts w:ascii="Arial" w:hAnsi="Arial" w:cs="Arial"/>
          <w:sz w:val="24"/>
          <w:szCs w:val="24"/>
        </w:rPr>
        <w:t>7</w:t>
      </w:r>
      <w:r w:rsidRPr="00921D26">
        <w:rPr>
          <w:rFonts w:ascii="Arial" w:hAnsi="Arial" w:cs="Arial"/>
          <w:sz w:val="24"/>
          <w:szCs w:val="24"/>
        </w:rPr>
        <w:t xml:space="preserve"> September 2022</w:t>
      </w:r>
    </w:p>
    <w:sectPr w:rsidR="00D17D18" w:rsidRPr="00921D26" w:rsidSect="00D9014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680" w:footer="680" w:gutter="0"/>
      <w:pgNumType w:start="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5542A" w14:textId="77777777" w:rsidR="00365277" w:rsidRDefault="00365277">
      <w:pPr>
        <w:spacing w:after="0" w:line="240" w:lineRule="auto"/>
      </w:pPr>
      <w:r>
        <w:separator/>
      </w:r>
    </w:p>
  </w:endnote>
  <w:endnote w:type="continuationSeparator" w:id="0">
    <w:p w14:paraId="6C179226" w14:textId="77777777" w:rsidR="00365277" w:rsidRDefault="0036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HEBREW LIGH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5177" w14:textId="77777777" w:rsidR="00A85D6B" w:rsidRDefault="00A85D6B">
    <w:pPr>
      <w:pStyle w:val="Footer"/>
    </w:pPr>
  </w:p>
  <w:p w14:paraId="4DE101C5" w14:textId="77777777" w:rsidR="000B7F03" w:rsidRDefault="000B7F03"/>
  <w:p w14:paraId="4C0DBD9B" w14:textId="77777777" w:rsidR="00F40686" w:rsidRDefault="00F406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4E0C8" w14:textId="4313A265" w:rsidR="00B8718D" w:rsidRPr="00B8718D" w:rsidRDefault="00365277" w:rsidP="00B8718D">
    <w:pPr>
      <w:pStyle w:val="Footer"/>
      <w:tabs>
        <w:tab w:val="clear" w:pos="4513"/>
        <w:tab w:val="clear" w:pos="9026"/>
      </w:tabs>
      <w:jc w:val="center"/>
    </w:pPr>
    <w:sdt>
      <w:sdtPr>
        <w:id w:val="-363593569"/>
        <w:docPartObj>
          <w:docPartGallery w:val="Page Numbers (Bottom of Page)"/>
          <w:docPartUnique/>
        </w:docPartObj>
      </w:sdtPr>
      <w:sdtEndPr/>
      <w:sdtContent>
        <w:r w:rsidR="00B8718D" w:rsidRPr="00B8718D">
          <w:fldChar w:fldCharType="begin"/>
        </w:r>
        <w:r w:rsidR="00B8718D" w:rsidRPr="00B8718D">
          <w:instrText xml:space="preserve"> PAGE  \* ArabicDash  \* MERGEFORMAT </w:instrText>
        </w:r>
        <w:r w:rsidR="00B8718D" w:rsidRPr="00B8718D">
          <w:fldChar w:fldCharType="separate"/>
        </w:r>
        <w:r w:rsidR="00FC2082">
          <w:rPr>
            <w:noProof/>
          </w:rPr>
          <w:t>- 1 -</w:t>
        </w:r>
        <w:r w:rsidR="00B8718D" w:rsidRPr="00B8718D">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8AECC" w14:textId="77777777" w:rsidR="00EF1EDF" w:rsidRDefault="00EF1EDF" w:rsidP="006561BA">
    <w:pPr>
      <w:pStyle w:val="Footer"/>
      <w:tabs>
        <w:tab w:val="clear" w:pos="4513"/>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2DF0E" w14:textId="77777777" w:rsidR="00365277" w:rsidRDefault="00365277">
      <w:pPr>
        <w:spacing w:after="0" w:line="240" w:lineRule="auto"/>
      </w:pPr>
      <w:r>
        <w:separator/>
      </w:r>
    </w:p>
  </w:footnote>
  <w:footnote w:type="continuationSeparator" w:id="0">
    <w:p w14:paraId="6A9601DF" w14:textId="77777777" w:rsidR="00365277" w:rsidRDefault="00365277">
      <w:pPr>
        <w:spacing w:after="0" w:line="240" w:lineRule="auto"/>
      </w:pPr>
      <w:r>
        <w:continuationSeparator/>
      </w:r>
    </w:p>
  </w:footnote>
  <w:footnote w:id="1">
    <w:p w14:paraId="23E4BE99" w14:textId="0F3D716E" w:rsidR="00CE2191" w:rsidRPr="00CE2191" w:rsidRDefault="00CE2191">
      <w:pPr>
        <w:pStyle w:val="FootnoteText"/>
        <w:rPr>
          <w:rFonts w:ascii="Arial" w:hAnsi="Arial" w:cs="Arial"/>
          <w:sz w:val="20"/>
          <w:lang w:val="en-US"/>
        </w:rPr>
      </w:pPr>
      <w:r w:rsidRPr="00CE2191">
        <w:rPr>
          <w:rStyle w:val="FootnoteReference"/>
          <w:rFonts w:ascii="Arial" w:hAnsi="Arial" w:cs="Arial"/>
          <w:sz w:val="20"/>
        </w:rPr>
        <w:footnoteRef/>
      </w:r>
      <w:r w:rsidRPr="00CE2191">
        <w:rPr>
          <w:rFonts w:ascii="Arial" w:hAnsi="Arial" w:cs="Arial"/>
          <w:sz w:val="20"/>
        </w:rPr>
        <w:t xml:space="preserve"> </w:t>
      </w:r>
      <w:r w:rsidRPr="00CE2191">
        <w:rPr>
          <w:rFonts w:ascii="Arial" w:hAnsi="Arial" w:cs="Arial"/>
          <w:sz w:val="20"/>
          <w:lang w:val="en-US"/>
        </w:rPr>
        <w:t xml:space="preserve">incorrectly referred to </w:t>
      </w:r>
      <w:r w:rsidR="00733C74" w:rsidRPr="00CE2191">
        <w:rPr>
          <w:rFonts w:ascii="Arial" w:hAnsi="Arial" w:cs="Arial"/>
          <w:sz w:val="20"/>
          <w:lang w:val="en-US"/>
        </w:rPr>
        <w:t xml:space="preserve">as the ninth respondent </w:t>
      </w:r>
      <w:r w:rsidRPr="00CE2191">
        <w:rPr>
          <w:rFonts w:ascii="Arial" w:hAnsi="Arial" w:cs="Arial"/>
          <w:sz w:val="20"/>
          <w:lang w:val="en-US"/>
        </w:rPr>
        <w:t>in the notice of motion</w:t>
      </w:r>
      <w:r>
        <w:rPr>
          <w:rFonts w:ascii="Arial" w:hAnsi="Arial" w:cs="Arial"/>
          <w:sz w:val="20"/>
          <w:lang w:val="en-US"/>
        </w:rPr>
        <w:t>,</w:t>
      </w:r>
      <w:r w:rsidRPr="00CE2191">
        <w:rPr>
          <w:rFonts w:ascii="Arial" w:hAnsi="Arial" w:cs="Arial"/>
          <w:sz w:val="20"/>
          <w:lang w:val="en-US"/>
        </w:rPr>
        <w:t xml:space="preserve"> in paragraph 4 of </w:t>
      </w:r>
      <w:r w:rsidR="00733C74">
        <w:rPr>
          <w:rFonts w:ascii="Arial" w:hAnsi="Arial" w:cs="Arial"/>
          <w:sz w:val="20"/>
          <w:lang w:val="en-US"/>
        </w:rPr>
        <w:t xml:space="preserve">the </w:t>
      </w:r>
      <w:r w:rsidRPr="00CE2191">
        <w:rPr>
          <w:rFonts w:ascii="Arial" w:hAnsi="Arial" w:cs="Arial"/>
          <w:sz w:val="20"/>
          <w:lang w:val="en-US"/>
        </w:rPr>
        <w:t xml:space="preserve">relief sought in part B </w:t>
      </w:r>
    </w:p>
  </w:footnote>
  <w:footnote w:id="2">
    <w:p w14:paraId="63D42A7E" w14:textId="352FAE6B" w:rsidR="003F64CC" w:rsidRPr="003F64CC" w:rsidRDefault="003F64CC">
      <w:pPr>
        <w:pStyle w:val="FootnoteText"/>
        <w:rPr>
          <w:rFonts w:ascii="Arial" w:hAnsi="Arial" w:cs="Arial"/>
          <w:sz w:val="20"/>
          <w:lang w:val="en-US"/>
        </w:rPr>
      </w:pPr>
      <w:r w:rsidRPr="003F64CC">
        <w:rPr>
          <w:rStyle w:val="FootnoteReference"/>
          <w:rFonts w:ascii="Arial" w:hAnsi="Arial" w:cs="Arial"/>
          <w:sz w:val="20"/>
        </w:rPr>
        <w:footnoteRef/>
      </w:r>
      <w:r w:rsidRPr="003F64CC">
        <w:rPr>
          <w:rFonts w:ascii="Arial" w:hAnsi="Arial" w:cs="Arial"/>
          <w:sz w:val="20"/>
        </w:rPr>
        <w:t xml:space="preserve"> </w:t>
      </w:r>
      <w:r w:rsidRPr="003F64CC">
        <w:rPr>
          <w:rFonts w:ascii="Arial" w:hAnsi="Arial" w:cs="Arial"/>
          <w:sz w:val="20"/>
          <w:lang w:val="en-US"/>
        </w:rPr>
        <w:t>1998 (3) SA 175 (SCA) at 180-181</w:t>
      </w:r>
    </w:p>
  </w:footnote>
  <w:footnote w:id="3">
    <w:p w14:paraId="6B5BE7B9" w14:textId="6B543BE7" w:rsidR="007E423A" w:rsidRPr="00921D26" w:rsidRDefault="007E423A">
      <w:pPr>
        <w:pStyle w:val="FootnoteText"/>
        <w:rPr>
          <w:rFonts w:ascii="Arial" w:hAnsi="Arial" w:cs="Arial"/>
          <w:sz w:val="20"/>
          <w:lang w:val="en-US"/>
        </w:rPr>
      </w:pPr>
      <w:r w:rsidRPr="00921D26">
        <w:rPr>
          <w:rStyle w:val="FootnoteReference"/>
          <w:rFonts w:ascii="Arial" w:hAnsi="Arial" w:cs="Arial"/>
          <w:sz w:val="20"/>
        </w:rPr>
        <w:footnoteRef/>
      </w:r>
      <w:r w:rsidRPr="00921D26">
        <w:rPr>
          <w:rFonts w:ascii="Arial" w:hAnsi="Arial" w:cs="Arial"/>
          <w:sz w:val="20"/>
        </w:rPr>
        <w:t xml:space="preserve"> </w:t>
      </w:r>
      <w:r w:rsidR="00C729F0" w:rsidRPr="00921D26">
        <w:rPr>
          <w:rFonts w:ascii="Arial" w:hAnsi="Arial" w:cs="Arial"/>
          <w:sz w:val="20"/>
        </w:rPr>
        <w:t xml:space="preserve">see for example </w:t>
      </w:r>
      <w:r w:rsidR="00C729F0" w:rsidRPr="00921D26">
        <w:rPr>
          <w:rFonts w:ascii="Arial" w:hAnsi="Arial" w:cs="Arial"/>
          <w:i/>
          <w:iCs/>
          <w:sz w:val="20"/>
          <w:lang w:val="en-US"/>
        </w:rPr>
        <w:t>Rowe v Rowe</w:t>
      </w:r>
      <w:r w:rsidR="00042053">
        <w:rPr>
          <w:rFonts w:ascii="Arial" w:hAnsi="Arial" w:cs="Arial"/>
          <w:i/>
          <w:iCs/>
          <w:sz w:val="20"/>
          <w:lang w:val="en-US"/>
        </w:rPr>
        <w:t xml:space="preserve"> </w:t>
      </w:r>
      <w:r w:rsidR="00C729F0" w:rsidRPr="00921D26">
        <w:rPr>
          <w:rFonts w:ascii="Arial" w:hAnsi="Arial" w:cs="Arial"/>
          <w:sz w:val="20"/>
          <w:lang w:val="en-US"/>
        </w:rPr>
        <w:t>1997 (4) SA 160 at 166</w:t>
      </w:r>
      <w:r w:rsidR="00042053">
        <w:rPr>
          <w:rFonts w:ascii="Arial" w:hAnsi="Arial" w:cs="Arial"/>
          <w:sz w:val="20"/>
          <w:lang w:val="en-US"/>
        </w:rPr>
        <w:t xml:space="preserve"> </w:t>
      </w:r>
      <w:r w:rsidR="00C729F0" w:rsidRPr="00921D26">
        <w:rPr>
          <w:rFonts w:ascii="Arial" w:hAnsi="Arial" w:cs="Arial"/>
          <w:sz w:val="20"/>
          <w:lang w:val="en-US"/>
        </w:rPr>
        <w:t>I</w:t>
      </w:r>
    </w:p>
  </w:footnote>
  <w:footnote w:id="4">
    <w:p w14:paraId="2672103C" w14:textId="484080F8" w:rsidR="0033447A" w:rsidRPr="0033447A" w:rsidRDefault="0033447A">
      <w:pPr>
        <w:pStyle w:val="FootnoteText"/>
        <w:rPr>
          <w:rFonts w:ascii="Arial" w:hAnsi="Arial" w:cs="Arial"/>
          <w:sz w:val="20"/>
          <w:lang w:val="en-US"/>
        </w:rPr>
      </w:pPr>
      <w:r w:rsidRPr="0033447A">
        <w:rPr>
          <w:rStyle w:val="FootnoteReference"/>
          <w:rFonts w:ascii="Arial" w:hAnsi="Arial" w:cs="Arial"/>
          <w:sz w:val="20"/>
        </w:rPr>
        <w:footnoteRef/>
      </w:r>
      <w:r w:rsidRPr="0033447A">
        <w:rPr>
          <w:rFonts w:ascii="Arial" w:hAnsi="Arial" w:cs="Arial"/>
          <w:sz w:val="20"/>
        </w:rPr>
        <w:t xml:space="preserve"> </w:t>
      </w:r>
      <w:r w:rsidRPr="0033447A">
        <w:rPr>
          <w:rFonts w:ascii="Arial" w:hAnsi="Arial" w:cs="Arial"/>
          <w:sz w:val="20"/>
          <w:lang w:val="en-US"/>
        </w:rPr>
        <w:t>2001 (3) SA 783</w:t>
      </w:r>
      <w:r w:rsidR="00885FDF">
        <w:rPr>
          <w:rFonts w:ascii="Arial" w:hAnsi="Arial" w:cs="Arial"/>
          <w:sz w:val="20"/>
          <w:lang w:val="en-US"/>
        </w:rPr>
        <w:t xml:space="preserve"> </w:t>
      </w:r>
      <w:r w:rsidRPr="0033447A">
        <w:rPr>
          <w:rFonts w:ascii="Arial" w:hAnsi="Arial" w:cs="Arial"/>
          <w:sz w:val="20"/>
          <w:lang w:val="en-US"/>
        </w:rPr>
        <w:t xml:space="preserve">(W) at 806 D-G, followed in </w:t>
      </w:r>
      <w:r w:rsidRPr="0033447A">
        <w:rPr>
          <w:rFonts w:ascii="Arial" w:hAnsi="Arial" w:cs="Arial"/>
          <w:i/>
          <w:iCs/>
          <w:sz w:val="20"/>
          <w:lang w:val="en-US"/>
        </w:rPr>
        <w:t>Naidoo and another v Mathlala NO and others</w:t>
      </w:r>
      <w:r w:rsidRPr="0033447A">
        <w:rPr>
          <w:rFonts w:ascii="Arial" w:hAnsi="Arial" w:cs="Arial"/>
          <w:sz w:val="20"/>
          <w:lang w:val="en-US"/>
        </w:rPr>
        <w:t xml:space="preserve"> 2012 (1) SA 143 (GNP)</w:t>
      </w:r>
    </w:p>
  </w:footnote>
  <w:footnote w:id="5">
    <w:p w14:paraId="2FCC7485" w14:textId="51CFFC8E" w:rsidR="00A71BEC" w:rsidRPr="00921D26" w:rsidRDefault="00A71BEC">
      <w:pPr>
        <w:pStyle w:val="FootnoteText"/>
        <w:rPr>
          <w:rFonts w:ascii="Arial" w:hAnsi="Arial" w:cs="Arial"/>
          <w:sz w:val="20"/>
          <w:lang w:val="en-US"/>
        </w:rPr>
      </w:pPr>
      <w:r w:rsidRPr="00921D26">
        <w:rPr>
          <w:rStyle w:val="FootnoteReference"/>
          <w:rFonts w:ascii="Arial" w:hAnsi="Arial" w:cs="Arial"/>
          <w:sz w:val="20"/>
        </w:rPr>
        <w:footnoteRef/>
      </w:r>
      <w:r w:rsidRPr="00921D26">
        <w:rPr>
          <w:rFonts w:ascii="Arial" w:hAnsi="Arial" w:cs="Arial"/>
          <w:sz w:val="20"/>
        </w:rPr>
        <w:t xml:space="preserve"> </w:t>
      </w:r>
      <w:r w:rsidR="00680358">
        <w:rPr>
          <w:rFonts w:ascii="Arial" w:hAnsi="Arial" w:cs="Arial"/>
          <w:sz w:val="20"/>
        </w:rPr>
        <w:t>a</w:t>
      </w:r>
      <w:r w:rsidR="0076699C" w:rsidRPr="00921D26">
        <w:rPr>
          <w:rFonts w:ascii="Arial" w:hAnsi="Arial" w:cs="Arial"/>
          <w:sz w:val="20"/>
        </w:rPr>
        <w:t xml:space="preserve">dopting, presumably, the words of Lord Denning in </w:t>
      </w:r>
      <w:r w:rsidR="0076699C" w:rsidRPr="00921D26">
        <w:rPr>
          <w:rFonts w:ascii="Arial" w:hAnsi="Arial" w:cs="Arial"/>
          <w:i/>
          <w:iCs/>
          <w:sz w:val="20"/>
        </w:rPr>
        <w:t xml:space="preserve">Lazarus Estates Ltd v Beasley </w:t>
      </w:r>
      <w:r w:rsidR="0076699C" w:rsidRPr="00921D26">
        <w:rPr>
          <w:rFonts w:ascii="Arial" w:hAnsi="Arial" w:cs="Arial"/>
          <w:sz w:val="20"/>
        </w:rPr>
        <w:t>[1956] 1 All ER 341 CA at 345c</w:t>
      </w:r>
    </w:p>
  </w:footnote>
  <w:footnote w:id="6">
    <w:p w14:paraId="6BD06D99" w14:textId="250B1F9E" w:rsidR="00401334" w:rsidRPr="00921D26" w:rsidRDefault="00401334">
      <w:pPr>
        <w:pStyle w:val="FootnoteText"/>
        <w:rPr>
          <w:rFonts w:ascii="Arial" w:hAnsi="Arial" w:cs="Arial"/>
          <w:sz w:val="20"/>
          <w:lang w:val="en-US"/>
        </w:rPr>
      </w:pPr>
      <w:r w:rsidRPr="00921D26">
        <w:rPr>
          <w:rStyle w:val="FootnoteReference"/>
          <w:rFonts w:ascii="Arial" w:hAnsi="Arial" w:cs="Arial"/>
          <w:b/>
          <w:bCs/>
          <w:sz w:val="20"/>
        </w:rPr>
        <w:footnoteRef/>
      </w:r>
      <w:r w:rsidRPr="00921D26">
        <w:rPr>
          <w:rFonts w:ascii="Arial" w:hAnsi="Arial" w:cs="Arial"/>
          <w:b/>
          <w:bCs/>
          <w:sz w:val="20"/>
        </w:rPr>
        <w:t xml:space="preserve"> </w:t>
      </w:r>
      <w:r w:rsidRPr="00921D26">
        <w:rPr>
          <w:rFonts w:ascii="Arial" w:hAnsi="Arial" w:cs="Arial"/>
          <w:i/>
          <w:iCs/>
          <w:sz w:val="20"/>
          <w:lang w:val="en-US"/>
        </w:rPr>
        <w:t>Plascon</w:t>
      </w:r>
      <w:r w:rsidR="008B622F" w:rsidRPr="00921D26">
        <w:rPr>
          <w:rFonts w:ascii="Arial" w:hAnsi="Arial" w:cs="Arial"/>
          <w:i/>
          <w:iCs/>
          <w:sz w:val="20"/>
          <w:lang w:val="en-US"/>
        </w:rPr>
        <w:t>-</w:t>
      </w:r>
      <w:r w:rsidRPr="00921D26">
        <w:rPr>
          <w:rFonts w:ascii="Arial" w:hAnsi="Arial" w:cs="Arial"/>
          <w:i/>
          <w:iCs/>
          <w:sz w:val="20"/>
          <w:lang w:val="en-US"/>
        </w:rPr>
        <w:t xml:space="preserve">Evans </w:t>
      </w:r>
      <w:r w:rsidR="008B622F" w:rsidRPr="00921D26">
        <w:rPr>
          <w:rFonts w:ascii="Arial" w:hAnsi="Arial" w:cs="Arial"/>
          <w:i/>
          <w:iCs/>
          <w:sz w:val="20"/>
          <w:lang w:val="en-US"/>
        </w:rPr>
        <w:t>Paints</w:t>
      </w:r>
      <w:r w:rsidR="008B622F" w:rsidRPr="00921D26">
        <w:rPr>
          <w:rFonts w:ascii="Arial" w:hAnsi="Arial" w:cs="Arial"/>
          <w:b/>
          <w:bCs/>
          <w:i/>
          <w:iCs/>
          <w:sz w:val="20"/>
          <w:lang w:val="en-US"/>
        </w:rPr>
        <w:t xml:space="preserve"> </w:t>
      </w:r>
      <w:r w:rsidR="008B622F" w:rsidRPr="00921D26">
        <w:rPr>
          <w:rFonts w:ascii="Arial" w:hAnsi="Arial" w:cs="Arial"/>
          <w:i/>
          <w:iCs/>
          <w:sz w:val="20"/>
          <w:lang w:val="en-US"/>
        </w:rPr>
        <w:t>Ltd v Van Riebeeck Paints (Pty) Ltd</w:t>
      </w:r>
      <w:r w:rsidR="008B622F" w:rsidRPr="00921D26">
        <w:rPr>
          <w:rFonts w:ascii="Arial" w:hAnsi="Arial" w:cs="Arial"/>
          <w:sz w:val="20"/>
          <w:lang w:val="en-US"/>
        </w:rPr>
        <w:t xml:space="preserve"> 1984 (3) SA 623 (A)</w:t>
      </w:r>
    </w:p>
  </w:footnote>
  <w:footnote w:id="7">
    <w:p w14:paraId="0056EDA5" w14:textId="27710D70" w:rsidR="002D5610" w:rsidRPr="002D5610" w:rsidRDefault="002D5610">
      <w:pPr>
        <w:pStyle w:val="FootnoteText"/>
        <w:rPr>
          <w:rFonts w:ascii="Arial" w:hAnsi="Arial" w:cs="Arial"/>
          <w:sz w:val="20"/>
          <w:lang w:val="en-US"/>
        </w:rPr>
      </w:pPr>
      <w:r w:rsidRPr="008B622F">
        <w:rPr>
          <w:rStyle w:val="FootnoteReference"/>
          <w:rFonts w:ascii="Arial" w:hAnsi="Arial" w:cs="Arial"/>
          <w:sz w:val="20"/>
        </w:rPr>
        <w:footnoteRef/>
      </w:r>
      <w:r w:rsidRPr="008B622F">
        <w:rPr>
          <w:rFonts w:ascii="Arial" w:hAnsi="Arial" w:cs="Arial"/>
          <w:sz w:val="20"/>
        </w:rPr>
        <w:t xml:space="preserve"> </w:t>
      </w:r>
      <w:r w:rsidR="00EA21BA">
        <w:rPr>
          <w:rFonts w:ascii="Arial" w:hAnsi="Arial" w:cs="Arial"/>
          <w:sz w:val="20"/>
        </w:rPr>
        <w:t xml:space="preserve">referring to </w:t>
      </w:r>
      <w:r w:rsidRPr="008B622F">
        <w:rPr>
          <w:rFonts w:ascii="Arial" w:hAnsi="Arial" w:cs="Arial"/>
          <w:i/>
          <w:iCs/>
          <w:sz w:val="20"/>
          <w:lang w:val="en-US"/>
        </w:rPr>
        <w:t>Klass v Contract Interi</w:t>
      </w:r>
      <w:r w:rsidRPr="002D5610">
        <w:rPr>
          <w:rFonts w:ascii="Arial" w:hAnsi="Arial" w:cs="Arial"/>
          <w:i/>
          <w:iCs/>
          <w:sz w:val="20"/>
          <w:lang w:val="en-US"/>
        </w:rPr>
        <w:t>ors</w:t>
      </w:r>
      <w:r w:rsidRPr="002D5610">
        <w:rPr>
          <w:rFonts w:ascii="Arial" w:hAnsi="Arial" w:cs="Arial"/>
          <w:sz w:val="20"/>
          <w:lang w:val="en-US"/>
        </w:rPr>
        <w:t xml:space="preserve"> 2010 5 SA 40 (W)</w:t>
      </w:r>
    </w:p>
  </w:footnote>
  <w:footnote w:id="8">
    <w:p w14:paraId="2BD1DABD" w14:textId="70081C67" w:rsidR="002D5610" w:rsidRPr="002D5610" w:rsidRDefault="002D5610">
      <w:pPr>
        <w:pStyle w:val="FootnoteText"/>
        <w:rPr>
          <w:rFonts w:ascii="Arial" w:hAnsi="Arial" w:cs="Arial"/>
          <w:b/>
          <w:bCs/>
          <w:sz w:val="20"/>
          <w:lang w:val="en-US"/>
        </w:rPr>
      </w:pPr>
      <w:r w:rsidRPr="002D5610">
        <w:rPr>
          <w:rStyle w:val="FootnoteReference"/>
          <w:rFonts w:ascii="Arial" w:hAnsi="Arial" w:cs="Arial"/>
          <w:sz w:val="20"/>
        </w:rPr>
        <w:footnoteRef/>
      </w:r>
      <w:r w:rsidRPr="002D5610">
        <w:rPr>
          <w:rFonts w:ascii="Arial" w:hAnsi="Arial" w:cs="Arial"/>
          <w:sz w:val="20"/>
        </w:rPr>
        <w:t xml:space="preserve"> </w:t>
      </w:r>
      <w:r w:rsidR="00E1517E">
        <w:rPr>
          <w:rFonts w:ascii="Arial" w:hAnsi="Arial" w:cs="Arial"/>
          <w:i/>
          <w:iCs/>
          <w:sz w:val="20"/>
        </w:rPr>
        <w:t xml:space="preserve">Klass </w:t>
      </w:r>
      <w:r w:rsidR="00E1517E">
        <w:rPr>
          <w:rFonts w:ascii="Arial" w:hAnsi="Arial" w:cs="Arial"/>
          <w:sz w:val="20"/>
        </w:rPr>
        <w:t xml:space="preserve">supra at [57], [61] and [65], referring to </w:t>
      </w:r>
      <w:r w:rsidRPr="002D5610">
        <w:rPr>
          <w:rFonts w:ascii="Arial" w:hAnsi="Arial" w:cs="Arial"/>
          <w:sz w:val="20"/>
        </w:rPr>
        <w:t>R</w:t>
      </w:r>
      <w:r w:rsidRPr="002D5610">
        <w:rPr>
          <w:rFonts w:ascii="Arial" w:hAnsi="Arial" w:cs="Arial"/>
          <w:i/>
          <w:iCs/>
          <w:sz w:val="20"/>
          <w:lang w:val="en-US"/>
        </w:rPr>
        <w:t>e Telescriptor Sydicate Ltd</w:t>
      </w:r>
      <w:r w:rsidRPr="002D5610">
        <w:rPr>
          <w:rFonts w:ascii="Arial" w:hAnsi="Arial" w:cs="Arial"/>
          <w:sz w:val="20"/>
          <w:lang w:val="en-US"/>
        </w:rPr>
        <w:t xml:space="preserve"> [1903] 2 CH 174 at 180 – 182, </w:t>
      </w:r>
    </w:p>
  </w:footnote>
  <w:footnote w:id="9">
    <w:p w14:paraId="0506B410" w14:textId="14812E54" w:rsidR="0051779D" w:rsidRPr="00921D26" w:rsidRDefault="0051779D">
      <w:pPr>
        <w:pStyle w:val="FootnoteText"/>
        <w:rPr>
          <w:rFonts w:ascii="Arial" w:hAnsi="Arial" w:cs="Arial"/>
          <w:sz w:val="20"/>
          <w:lang w:val="en-US"/>
        </w:rPr>
      </w:pPr>
      <w:r w:rsidRPr="00921D26">
        <w:rPr>
          <w:rStyle w:val="FootnoteReference"/>
          <w:rFonts w:ascii="Arial" w:hAnsi="Arial" w:cs="Arial"/>
          <w:sz w:val="20"/>
        </w:rPr>
        <w:footnoteRef/>
      </w:r>
      <w:r w:rsidRPr="00921D26">
        <w:rPr>
          <w:rFonts w:ascii="Arial" w:hAnsi="Arial" w:cs="Arial"/>
          <w:sz w:val="20"/>
        </w:rPr>
        <w:t xml:space="preserve"> </w:t>
      </w:r>
      <w:r w:rsidR="00C47CE0">
        <w:rPr>
          <w:rFonts w:ascii="Arial" w:hAnsi="Arial" w:cs="Arial"/>
          <w:sz w:val="20"/>
        </w:rPr>
        <w:t>2013 (3) SA 382 (WCC)</w:t>
      </w:r>
    </w:p>
  </w:footnote>
  <w:footnote w:id="10">
    <w:p w14:paraId="383DB2F2" w14:textId="77777777" w:rsidR="007F6EBC" w:rsidRPr="00EB01A1" w:rsidRDefault="007F6EBC" w:rsidP="007F6EBC">
      <w:pPr>
        <w:pStyle w:val="FootnoteText"/>
        <w:rPr>
          <w:rFonts w:ascii="Arial" w:hAnsi="Arial" w:cs="Arial"/>
          <w:sz w:val="20"/>
          <w:lang w:val="en-US"/>
        </w:rPr>
      </w:pPr>
      <w:r w:rsidRPr="00EB01A1">
        <w:rPr>
          <w:rStyle w:val="FootnoteReference"/>
          <w:rFonts w:ascii="Arial" w:hAnsi="Arial" w:cs="Arial"/>
          <w:sz w:val="20"/>
        </w:rPr>
        <w:footnoteRef/>
      </w:r>
      <w:r w:rsidRPr="00EB01A1">
        <w:rPr>
          <w:rFonts w:ascii="Arial" w:hAnsi="Arial" w:cs="Arial"/>
          <w:sz w:val="20"/>
        </w:rPr>
        <w:t xml:space="preserve"> </w:t>
      </w:r>
      <w:r w:rsidRPr="00EB01A1">
        <w:rPr>
          <w:rFonts w:ascii="Arial" w:hAnsi="Arial" w:cs="Arial"/>
          <w:sz w:val="20"/>
          <w:lang w:val="en-US"/>
        </w:rPr>
        <w:t>At paragraph [8]</w:t>
      </w:r>
    </w:p>
  </w:footnote>
  <w:footnote w:id="11">
    <w:p w14:paraId="47751C71" w14:textId="15CC9CAE" w:rsidR="007F6EBC" w:rsidRPr="00A440FB" w:rsidRDefault="007F6EBC" w:rsidP="007F6EBC">
      <w:pPr>
        <w:pStyle w:val="FootnoteText"/>
        <w:rPr>
          <w:rFonts w:ascii="Arial" w:hAnsi="Arial" w:cs="Arial"/>
          <w:sz w:val="20"/>
          <w:lang w:val="en-US"/>
        </w:rPr>
      </w:pPr>
      <w:r w:rsidRPr="00EB01A1">
        <w:rPr>
          <w:rStyle w:val="FootnoteReference"/>
          <w:rFonts w:ascii="Arial" w:hAnsi="Arial" w:cs="Arial"/>
          <w:sz w:val="20"/>
        </w:rPr>
        <w:footnoteRef/>
      </w:r>
      <w:r w:rsidRPr="00EB01A1">
        <w:rPr>
          <w:rFonts w:ascii="Arial" w:hAnsi="Arial" w:cs="Arial"/>
          <w:sz w:val="20"/>
        </w:rPr>
        <w:t xml:space="preserve"> </w:t>
      </w:r>
      <w:r w:rsidR="004C2A19" w:rsidRPr="004C2A19">
        <w:rPr>
          <w:rFonts w:ascii="Arial" w:hAnsi="Arial" w:cs="Arial"/>
          <w:i/>
          <w:iCs/>
          <w:sz w:val="20"/>
        </w:rPr>
        <w:t xml:space="preserve">Ex </w:t>
      </w:r>
      <w:r w:rsidR="004C2A19">
        <w:rPr>
          <w:rFonts w:ascii="Arial" w:hAnsi="Arial" w:cs="Arial"/>
          <w:i/>
          <w:iCs/>
          <w:sz w:val="20"/>
        </w:rPr>
        <w:t>P</w:t>
      </w:r>
      <w:r w:rsidR="004C2A19" w:rsidRPr="004C2A19">
        <w:rPr>
          <w:rFonts w:ascii="Arial" w:hAnsi="Arial" w:cs="Arial"/>
          <w:i/>
          <w:iCs/>
          <w:sz w:val="20"/>
        </w:rPr>
        <w:t>arte Gore</w:t>
      </w:r>
      <w:r w:rsidR="004C2A19">
        <w:rPr>
          <w:rFonts w:ascii="Arial" w:hAnsi="Arial" w:cs="Arial"/>
          <w:sz w:val="20"/>
        </w:rPr>
        <w:t xml:space="preserve"> a</w:t>
      </w:r>
      <w:r w:rsidRPr="00EB01A1">
        <w:rPr>
          <w:rFonts w:ascii="Arial" w:hAnsi="Arial" w:cs="Arial"/>
          <w:sz w:val="20"/>
          <w:lang w:val="en-US"/>
        </w:rPr>
        <w:t>t paragraph [29]</w:t>
      </w:r>
      <w:r w:rsidR="009D49F4">
        <w:rPr>
          <w:rFonts w:ascii="Arial" w:hAnsi="Arial" w:cs="Arial"/>
          <w:sz w:val="20"/>
        </w:rPr>
        <w:t xml:space="preserve">.  </w:t>
      </w:r>
      <w:r>
        <w:rPr>
          <w:rFonts w:ascii="Arial" w:hAnsi="Arial" w:cs="Arial"/>
          <w:sz w:val="20"/>
          <w:lang w:val="en-US"/>
        </w:rPr>
        <w:t xml:space="preserve">The court </w:t>
      </w:r>
      <w:r w:rsidR="00617A0C">
        <w:rPr>
          <w:rFonts w:ascii="Arial" w:hAnsi="Arial" w:cs="Arial"/>
          <w:sz w:val="20"/>
          <w:lang w:val="en-US"/>
        </w:rPr>
        <w:t xml:space="preserve">went on to </w:t>
      </w:r>
      <w:r>
        <w:rPr>
          <w:rFonts w:ascii="Arial" w:hAnsi="Arial" w:cs="Arial"/>
          <w:sz w:val="20"/>
          <w:lang w:val="en-US"/>
        </w:rPr>
        <w:t xml:space="preserve">conclude, </w:t>
      </w:r>
      <w:r>
        <w:rPr>
          <w:rFonts w:ascii="Arial" w:hAnsi="Arial" w:cs="Arial"/>
          <w:sz w:val="20"/>
        </w:rPr>
        <w:t xml:space="preserve">at paragraph [33], </w:t>
      </w:r>
      <w:r>
        <w:rPr>
          <w:rFonts w:ascii="Arial" w:hAnsi="Arial" w:cs="Arial"/>
          <w:sz w:val="20"/>
          <w:lang w:val="en-US"/>
        </w:rPr>
        <w:t xml:space="preserve">that </w:t>
      </w:r>
      <w:r w:rsidRPr="00EB01A1">
        <w:rPr>
          <w:rFonts w:ascii="Arial" w:hAnsi="Arial" w:cs="Arial"/>
          <w:sz w:val="20"/>
        </w:rPr>
        <w:t xml:space="preserve">the manner in which the business of the group of companies was conducted </w:t>
      </w:r>
      <w:r>
        <w:rPr>
          <w:rFonts w:ascii="Arial" w:hAnsi="Arial" w:cs="Arial"/>
          <w:sz w:val="20"/>
        </w:rPr>
        <w:t>in that case</w:t>
      </w:r>
      <w:r w:rsidRPr="00EB01A1">
        <w:rPr>
          <w:rFonts w:ascii="Arial" w:hAnsi="Arial" w:cs="Arial"/>
          <w:sz w:val="20"/>
        </w:rPr>
        <w:t>, with scant regard for the separate legal personalities of the individual corporate entities of which it was comprised, by itself constitute</w:t>
      </w:r>
      <w:r>
        <w:rPr>
          <w:rFonts w:ascii="Arial" w:hAnsi="Arial" w:cs="Arial"/>
          <w:sz w:val="20"/>
        </w:rPr>
        <w:t>d</w:t>
      </w:r>
      <w:r w:rsidRPr="00EB01A1">
        <w:rPr>
          <w:rFonts w:ascii="Arial" w:hAnsi="Arial" w:cs="Arial"/>
          <w:sz w:val="20"/>
        </w:rPr>
        <w:t xml:space="preserve"> a gross abuse of the corporate personality of all of the entities concerned, bringing the matter within the ambit of the unconscionable abuse of juristic personality contemplated by section 20(9)</w:t>
      </w:r>
      <w:r>
        <w:rPr>
          <w:rFonts w:ascii="Arial" w:hAnsi="Arial" w:cs="Arial"/>
          <w:sz w:val="20"/>
        </w:rPr>
        <w:t xml:space="preserve"> of the Companies Act</w:t>
      </w:r>
      <w:r w:rsidRPr="00EB01A1">
        <w:rPr>
          <w:rFonts w:ascii="Arial" w:hAnsi="Arial" w:cs="Arial"/>
          <w:sz w:val="20"/>
        </w:rPr>
        <w:t>.</w:t>
      </w:r>
      <w:r>
        <w:rPr>
          <w:rFonts w:ascii="Arial" w:hAnsi="Arial" w:cs="Arial"/>
          <w:sz w:val="20"/>
        </w:rPr>
        <w:t xml:space="preserve">  </w:t>
      </w:r>
      <w:r w:rsidR="009D49F4">
        <w:rPr>
          <w:rFonts w:ascii="Arial" w:hAnsi="Arial" w:cs="Arial"/>
          <w:sz w:val="20"/>
        </w:rPr>
        <w:t xml:space="preserve">See also </w:t>
      </w:r>
      <w:r w:rsidR="00570B7F" w:rsidRPr="00921D26">
        <w:rPr>
          <w:rFonts w:ascii="Arial" w:hAnsi="Arial" w:cs="Arial"/>
          <w:i/>
          <w:iCs/>
          <w:sz w:val="20"/>
        </w:rPr>
        <w:t xml:space="preserve">Ebrahim v Airport Cold Storage </w:t>
      </w:r>
      <w:r w:rsidR="00641B4F" w:rsidRPr="00921D26">
        <w:rPr>
          <w:rFonts w:ascii="Arial" w:hAnsi="Arial" w:cs="Arial"/>
          <w:i/>
          <w:iCs/>
          <w:sz w:val="20"/>
        </w:rPr>
        <w:t>(Pty) Ltd</w:t>
      </w:r>
      <w:r w:rsidR="00641B4F">
        <w:rPr>
          <w:rFonts w:ascii="Arial" w:hAnsi="Arial" w:cs="Arial"/>
          <w:sz w:val="20"/>
        </w:rPr>
        <w:t xml:space="preserve"> 2008 (6) SA 585 (SCA) </w:t>
      </w:r>
      <w:r w:rsidR="00534D48">
        <w:rPr>
          <w:rFonts w:ascii="Arial" w:hAnsi="Arial" w:cs="Arial"/>
          <w:sz w:val="20"/>
        </w:rPr>
        <w:t>at paragraph</w:t>
      </w:r>
      <w:r w:rsidR="006E45B7">
        <w:rPr>
          <w:rFonts w:ascii="Arial" w:hAnsi="Arial" w:cs="Arial"/>
          <w:sz w:val="20"/>
        </w:rPr>
        <w:t>s</w:t>
      </w:r>
      <w:r w:rsidR="00534D48">
        <w:rPr>
          <w:rFonts w:ascii="Arial" w:hAnsi="Arial" w:cs="Arial"/>
          <w:sz w:val="20"/>
        </w:rPr>
        <w:t xml:space="preserve"> [</w:t>
      </w:r>
      <w:r w:rsidR="006E45B7">
        <w:rPr>
          <w:rFonts w:ascii="Arial" w:hAnsi="Arial" w:cs="Arial"/>
          <w:sz w:val="20"/>
        </w:rPr>
        <w:t>16</w:t>
      </w:r>
      <w:r w:rsidR="00534D48">
        <w:rPr>
          <w:rFonts w:ascii="Arial" w:hAnsi="Arial" w:cs="Arial"/>
          <w:sz w:val="20"/>
        </w:rPr>
        <w:t>]</w:t>
      </w:r>
      <w:r w:rsidR="000F03DA">
        <w:rPr>
          <w:rFonts w:ascii="Arial" w:hAnsi="Arial" w:cs="Arial"/>
          <w:sz w:val="20"/>
        </w:rPr>
        <w:t>, [19] and [23]</w:t>
      </w:r>
      <w:r w:rsidR="00534D48">
        <w:rPr>
          <w:rFonts w:ascii="Arial" w:hAnsi="Arial" w:cs="Arial"/>
          <w:sz w:val="20"/>
        </w:rPr>
        <w:t xml:space="preserve">.  Although, as pointed out in </w:t>
      </w:r>
      <w:r w:rsidR="00534D48">
        <w:rPr>
          <w:rFonts w:ascii="Arial" w:hAnsi="Arial" w:cs="Arial"/>
          <w:i/>
          <w:iCs/>
          <w:sz w:val="20"/>
        </w:rPr>
        <w:t xml:space="preserve">Ex Parte Gore </w:t>
      </w:r>
      <w:r w:rsidR="00534D48">
        <w:rPr>
          <w:rFonts w:ascii="Arial" w:hAnsi="Arial" w:cs="Arial"/>
          <w:sz w:val="20"/>
        </w:rPr>
        <w:t>at paragraph [</w:t>
      </w:r>
      <w:r w:rsidR="006C7A82">
        <w:rPr>
          <w:rFonts w:ascii="Arial" w:hAnsi="Arial" w:cs="Arial"/>
          <w:sz w:val="20"/>
        </w:rPr>
        <w:t>27</w:t>
      </w:r>
      <w:r w:rsidR="00534D48">
        <w:rPr>
          <w:rFonts w:ascii="Arial" w:hAnsi="Arial" w:cs="Arial"/>
          <w:sz w:val="20"/>
        </w:rPr>
        <w:t>]</w:t>
      </w:r>
      <w:r w:rsidR="000F03DA">
        <w:rPr>
          <w:rFonts w:ascii="Arial" w:hAnsi="Arial" w:cs="Arial"/>
          <w:sz w:val="20"/>
        </w:rPr>
        <w:t>,</w:t>
      </w:r>
      <w:r w:rsidR="00534D48">
        <w:rPr>
          <w:rFonts w:ascii="Arial" w:hAnsi="Arial" w:cs="Arial"/>
          <w:sz w:val="20"/>
        </w:rPr>
        <w:t xml:space="preserve"> it appears that </w:t>
      </w:r>
      <w:r w:rsidR="00C27820">
        <w:rPr>
          <w:rFonts w:ascii="Arial" w:hAnsi="Arial" w:cs="Arial"/>
          <w:sz w:val="20"/>
        </w:rPr>
        <w:t xml:space="preserve">our </w:t>
      </w:r>
      <w:r w:rsidRPr="00921D26">
        <w:rPr>
          <w:rFonts w:ascii="Arial" w:hAnsi="Arial" w:cs="Arial"/>
          <w:sz w:val="20"/>
        </w:rPr>
        <w:t>courts ha</w:t>
      </w:r>
      <w:r w:rsidR="00534D48" w:rsidRPr="00921D26">
        <w:rPr>
          <w:rFonts w:ascii="Arial" w:hAnsi="Arial" w:cs="Arial"/>
          <w:sz w:val="20"/>
        </w:rPr>
        <w:t>ve</w:t>
      </w:r>
      <w:r w:rsidRPr="00921D26">
        <w:rPr>
          <w:rFonts w:ascii="Arial" w:hAnsi="Arial" w:cs="Arial"/>
          <w:sz w:val="20"/>
        </w:rPr>
        <w:t xml:space="preserve"> </w:t>
      </w:r>
      <w:r w:rsidR="00AF2790" w:rsidRPr="00921D26">
        <w:rPr>
          <w:rFonts w:ascii="Arial" w:hAnsi="Arial" w:cs="Arial"/>
          <w:sz w:val="20"/>
        </w:rPr>
        <w:t xml:space="preserve">followed a “more recent conservative trend by </w:t>
      </w:r>
      <w:r w:rsidR="000F03DA" w:rsidRPr="00921D26">
        <w:rPr>
          <w:rFonts w:ascii="Arial" w:hAnsi="Arial" w:cs="Arial"/>
          <w:sz w:val="20"/>
        </w:rPr>
        <w:t xml:space="preserve">the </w:t>
      </w:r>
      <w:r w:rsidR="00AF2790" w:rsidRPr="00921D26">
        <w:rPr>
          <w:rFonts w:ascii="Arial" w:hAnsi="Arial" w:cs="Arial"/>
          <w:sz w:val="20"/>
        </w:rPr>
        <w:t>English courts</w:t>
      </w:r>
      <w:r w:rsidR="000F03DA" w:rsidRPr="00921D26">
        <w:rPr>
          <w:rFonts w:ascii="Arial" w:hAnsi="Arial" w:cs="Arial"/>
          <w:sz w:val="20"/>
        </w:rPr>
        <w:t>”</w:t>
      </w:r>
      <w:r w:rsidR="00F41FDE" w:rsidRPr="00921D26">
        <w:rPr>
          <w:rFonts w:ascii="Arial" w:hAnsi="Arial" w:cs="Arial"/>
          <w:sz w:val="20"/>
        </w:rPr>
        <w:t xml:space="preserve">, pulling back from </w:t>
      </w:r>
      <w:r w:rsidR="00C27820" w:rsidRPr="00921D26">
        <w:rPr>
          <w:rFonts w:ascii="Arial" w:hAnsi="Arial" w:cs="Arial"/>
          <w:sz w:val="20"/>
        </w:rPr>
        <w:t xml:space="preserve">an </w:t>
      </w:r>
      <w:r w:rsidRPr="00921D26">
        <w:rPr>
          <w:rFonts w:ascii="Arial" w:hAnsi="Arial" w:cs="Arial"/>
          <w:sz w:val="20"/>
        </w:rPr>
        <w:t xml:space="preserve">earlier </w:t>
      </w:r>
      <w:r w:rsidR="00C27820" w:rsidRPr="00921D26">
        <w:rPr>
          <w:rFonts w:ascii="Arial" w:hAnsi="Arial" w:cs="Arial"/>
          <w:sz w:val="20"/>
        </w:rPr>
        <w:t xml:space="preserve">willingness to </w:t>
      </w:r>
      <w:r w:rsidR="00F41FDE" w:rsidRPr="00921D26">
        <w:rPr>
          <w:rFonts w:ascii="Arial" w:hAnsi="Arial" w:cs="Arial"/>
          <w:sz w:val="20"/>
        </w:rPr>
        <w:t>ignore</w:t>
      </w:r>
      <w:r w:rsidR="00C27820" w:rsidRPr="00921D26">
        <w:rPr>
          <w:rFonts w:ascii="Arial" w:hAnsi="Arial" w:cs="Arial"/>
          <w:sz w:val="20"/>
        </w:rPr>
        <w:t xml:space="preserve"> separate personality of individual companies in the context of a group </w:t>
      </w:r>
      <w:r w:rsidR="000C66F2" w:rsidRPr="00921D26">
        <w:rPr>
          <w:rFonts w:ascii="Arial" w:hAnsi="Arial" w:cs="Arial"/>
          <w:sz w:val="20"/>
        </w:rPr>
        <w:t>(</w:t>
      </w:r>
      <w:r w:rsidR="00741C68" w:rsidRPr="00921D26">
        <w:rPr>
          <w:rFonts w:ascii="Arial" w:hAnsi="Arial" w:cs="Arial"/>
          <w:sz w:val="20"/>
        </w:rPr>
        <w:t xml:space="preserve">as in, </w:t>
      </w:r>
      <w:r w:rsidR="000C66F2" w:rsidRPr="00921D26">
        <w:rPr>
          <w:rFonts w:ascii="Arial" w:hAnsi="Arial" w:cs="Arial"/>
          <w:sz w:val="20"/>
        </w:rPr>
        <w:t>for example</w:t>
      </w:r>
      <w:r w:rsidR="00741C68" w:rsidRPr="00921D26">
        <w:rPr>
          <w:rFonts w:ascii="Arial" w:hAnsi="Arial" w:cs="Arial"/>
          <w:sz w:val="20"/>
        </w:rPr>
        <w:t>,</w:t>
      </w:r>
      <w:r w:rsidR="000C66F2" w:rsidRPr="00921D26">
        <w:rPr>
          <w:rFonts w:ascii="Arial" w:hAnsi="Arial" w:cs="Arial"/>
          <w:sz w:val="20"/>
        </w:rPr>
        <w:t xml:space="preserve"> </w:t>
      </w:r>
      <w:r w:rsidR="00997540" w:rsidRPr="00921D26">
        <w:rPr>
          <w:rFonts w:ascii="Arial" w:hAnsi="Arial" w:cs="Arial"/>
          <w:i/>
          <w:iCs/>
          <w:sz w:val="20"/>
        </w:rPr>
        <w:t>Ritz Hotel Ltd v Charles of the Ritz Ltd</w:t>
      </w:r>
      <w:r w:rsidR="00997540" w:rsidRPr="00921D26">
        <w:rPr>
          <w:rFonts w:ascii="Arial" w:hAnsi="Arial" w:cs="Arial"/>
          <w:sz w:val="20"/>
        </w:rPr>
        <w:t xml:space="preserve"> 1988 (3) SA 290 (A)</w:t>
      </w:r>
      <w:r w:rsidR="0009237E" w:rsidRPr="00921D26">
        <w:rPr>
          <w:rFonts w:ascii="Arial" w:hAnsi="Arial" w:cs="Arial"/>
          <w:sz w:val="20"/>
        </w:rPr>
        <w:t>)</w:t>
      </w:r>
      <w:r w:rsidR="00E917D8">
        <w:rPr>
          <w:rFonts w:ascii="Arial" w:hAnsi="Arial" w:cs="Arial"/>
          <w:sz w:val="20"/>
        </w:rPr>
        <w:t>,</w:t>
      </w:r>
      <w:r w:rsidR="0009237E" w:rsidRPr="00921D26">
        <w:rPr>
          <w:rFonts w:ascii="Arial" w:hAnsi="Arial" w:cs="Arial"/>
          <w:sz w:val="20"/>
        </w:rPr>
        <w:t xml:space="preserve"> i</w:t>
      </w:r>
      <w:r w:rsidR="00D930C9" w:rsidRPr="00921D26">
        <w:rPr>
          <w:rFonts w:ascii="Arial" w:hAnsi="Arial" w:cs="Arial"/>
          <w:sz w:val="20"/>
        </w:rPr>
        <w:t>n</w:t>
      </w:r>
      <w:r w:rsidR="00551FEE" w:rsidRPr="00921D26">
        <w:rPr>
          <w:rFonts w:ascii="Arial" w:hAnsi="Arial" w:cs="Arial"/>
          <w:sz w:val="20"/>
        </w:rPr>
        <w:t xml:space="preserve"> </w:t>
      </w:r>
      <w:r w:rsidR="00551FEE" w:rsidRPr="00921D26">
        <w:rPr>
          <w:rFonts w:ascii="Arial" w:hAnsi="Arial" w:cs="Arial"/>
          <w:i/>
          <w:iCs/>
          <w:sz w:val="20"/>
        </w:rPr>
        <w:t>Ebrahim</w:t>
      </w:r>
      <w:r w:rsidR="00551FEE" w:rsidRPr="00921D26">
        <w:rPr>
          <w:rFonts w:ascii="Arial" w:hAnsi="Arial" w:cs="Arial"/>
          <w:sz w:val="20"/>
        </w:rPr>
        <w:t xml:space="preserve"> </w:t>
      </w:r>
      <w:r w:rsidR="00D930C9" w:rsidRPr="00921D26">
        <w:rPr>
          <w:rFonts w:ascii="Arial" w:hAnsi="Arial" w:cs="Arial"/>
          <w:sz w:val="20"/>
        </w:rPr>
        <w:t xml:space="preserve">the SCA considered </w:t>
      </w:r>
      <w:r w:rsidR="00551FEE" w:rsidRPr="00921D26">
        <w:rPr>
          <w:rFonts w:ascii="Arial" w:hAnsi="Arial" w:cs="Arial"/>
          <w:sz w:val="20"/>
        </w:rPr>
        <w:t xml:space="preserve">that </w:t>
      </w:r>
      <w:r w:rsidR="00897C4B" w:rsidRPr="00921D26">
        <w:rPr>
          <w:rFonts w:ascii="Arial" w:hAnsi="Arial" w:cs="Arial"/>
          <w:sz w:val="20"/>
        </w:rPr>
        <w:t xml:space="preserve">in contrast with the position in the United Kingdom </w:t>
      </w:r>
      <w:r w:rsidR="00E6580F" w:rsidRPr="00921D26">
        <w:rPr>
          <w:rFonts w:ascii="Arial" w:hAnsi="Arial" w:cs="Arial"/>
          <w:sz w:val="20"/>
        </w:rPr>
        <w:t>“</w:t>
      </w:r>
      <w:r w:rsidR="00E6580F" w:rsidRPr="003E7E90">
        <w:rPr>
          <w:rFonts w:ascii="Arial" w:hAnsi="Arial" w:cs="Arial"/>
          <w:i/>
          <w:iCs/>
          <w:sz w:val="20"/>
        </w:rPr>
        <w:t xml:space="preserve">the jurisprudence of this court evidences claimants’ </w:t>
      </w:r>
      <w:r w:rsidR="0009237E" w:rsidRPr="003E7E90">
        <w:rPr>
          <w:rFonts w:ascii="Arial" w:hAnsi="Arial" w:cs="Arial"/>
          <w:i/>
          <w:iCs/>
          <w:sz w:val="20"/>
        </w:rPr>
        <w:t>spirited</w:t>
      </w:r>
      <w:r w:rsidR="00E6580F" w:rsidRPr="003E7E90">
        <w:rPr>
          <w:rFonts w:ascii="Arial" w:hAnsi="Arial" w:cs="Arial"/>
          <w:i/>
          <w:iCs/>
          <w:sz w:val="20"/>
        </w:rPr>
        <w:t xml:space="preserve"> reliance on the provision</w:t>
      </w:r>
      <w:r w:rsidR="0043125B" w:rsidRPr="003E7E90">
        <w:rPr>
          <w:rFonts w:ascii="Arial" w:hAnsi="Arial" w:cs="Arial"/>
          <w:i/>
          <w:iCs/>
          <w:sz w:val="20"/>
        </w:rPr>
        <w:t xml:space="preserve">.  Though courts will never ‘lightly </w:t>
      </w:r>
      <w:r w:rsidR="00D77CD8" w:rsidRPr="003E7E90">
        <w:rPr>
          <w:rFonts w:ascii="Arial" w:hAnsi="Arial" w:cs="Arial"/>
          <w:i/>
          <w:iCs/>
          <w:sz w:val="20"/>
        </w:rPr>
        <w:t>disregard</w:t>
      </w:r>
      <w:r w:rsidR="0043125B" w:rsidRPr="003E7E90">
        <w:rPr>
          <w:rFonts w:ascii="Arial" w:hAnsi="Arial" w:cs="Arial"/>
          <w:i/>
          <w:iCs/>
          <w:sz w:val="20"/>
        </w:rPr>
        <w:t xml:space="preserve">’ a </w:t>
      </w:r>
      <w:r w:rsidR="00D77CD8" w:rsidRPr="003E7E90">
        <w:rPr>
          <w:rFonts w:ascii="Arial" w:hAnsi="Arial" w:cs="Arial"/>
          <w:i/>
          <w:iCs/>
          <w:sz w:val="20"/>
        </w:rPr>
        <w:t>corporation’s</w:t>
      </w:r>
      <w:r w:rsidR="0043125B" w:rsidRPr="003E7E90">
        <w:rPr>
          <w:rFonts w:ascii="Arial" w:hAnsi="Arial" w:cs="Arial"/>
          <w:i/>
          <w:iCs/>
          <w:sz w:val="20"/>
        </w:rPr>
        <w:t xml:space="preserve"> separate identity, nor lightly find recklessness, such conclusions when merited can only help in keeping corporate </w:t>
      </w:r>
      <w:r w:rsidR="00D77CD8" w:rsidRPr="003E7E90">
        <w:rPr>
          <w:rFonts w:ascii="Arial" w:hAnsi="Arial" w:cs="Arial"/>
          <w:i/>
          <w:iCs/>
          <w:sz w:val="20"/>
        </w:rPr>
        <w:t>governance</w:t>
      </w:r>
      <w:r w:rsidR="0043125B" w:rsidRPr="003E7E90">
        <w:rPr>
          <w:rFonts w:ascii="Arial" w:hAnsi="Arial" w:cs="Arial"/>
          <w:i/>
          <w:iCs/>
          <w:sz w:val="20"/>
        </w:rPr>
        <w:t xml:space="preserve"> true</w:t>
      </w:r>
      <w:r w:rsidR="001F12A8" w:rsidRPr="00921D26">
        <w:rPr>
          <w:rFonts w:ascii="Arial" w:hAnsi="Arial" w:cs="Arial"/>
          <w:sz w:val="20"/>
        </w:rPr>
        <w:t xml:space="preserve">”.  </w:t>
      </w:r>
      <w:r w:rsidR="00551FEE" w:rsidRPr="00921D26">
        <w:rPr>
          <w:rFonts w:ascii="Arial" w:hAnsi="Arial" w:cs="Arial"/>
          <w:sz w:val="20"/>
        </w:rPr>
        <w:t xml:space="preserve"> There seems to me to be much to </w:t>
      </w:r>
      <w:r w:rsidR="00D77CD8" w:rsidRPr="00921D26">
        <w:rPr>
          <w:rFonts w:ascii="Arial" w:hAnsi="Arial" w:cs="Arial"/>
          <w:sz w:val="20"/>
        </w:rPr>
        <w:t xml:space="preserve">be said for </w:t>
      </w:r>
      <w:r w:rsidR="00AA1AD3" w:rsidRPr="00921D26">
        <w:rPr>
          <w:rFonts w:ascii="Arial" w:hAnsi="Arial" w:cs="Arial"/>
          <w:sz w:val="20"/>
        </w:rPr>
        <w:t>a willingness in appropriate circumstances to ignore the separate personality of entities within a grou</w:t>
      </w:r>
      <w:r w:rsidR="00480CE0" w:rsidRPr="00921D26">
        <w:rPr>
          <w:rFonts w:ascii="Arial" w:hAnsi="Arial" w:cs="Arial"/>
          <w:sz w:val="20"/>
        </w:rPr>
        <w:t>p</w:t>
      </w:r>
      <w:r w:rsidR="00AA1AD3" w:rsidRPr="00921D26">
        <w:rPr>
          <w:rFonts w:ascii="Arial" w:hAnsi="Arial" w:cs="Arial"/>
          <w:sz w:val="20"/>
        </w:rPr>
        <w:t xml:space="preserve"> and to look instead at the economic entity of the group </w:t>
      </w:r>
      <w:r w:rsidR="00480CE0" w:rsidRPr="00921D26">
        <w:rPr>
          <w:rFonts w:ascii="Arial" w:hAnsi="Arial" w:cs="Arial"/>
          <w:sz w:val="20"/>
        </w:rPr>
        <w:t>as a whole</w:t>
      </w:r>
      <w:r w:rsidR="00BF2775" w:rsidRPr="00921D26">
        <w:rPr>
          <w:rFonts w:ascii="Arial" w:hAnsi="Arial" w:cs="Arial"/>
          <w:sz w:val="20"/>
        </w:rPr>
        <w:t xml:space="preserve">, especially </w:t>
      </w:r>
      <w:r w:rsidR="005A56A1" w:rsidRPr="00921D26">
        <w:rPr>
          <w:rFonts w:ascii="Arial" w:hAnsi="Arial" w:cs="Arial"/>
          <w:sz w:val="20"/>
        </w:rPr>
        <w:t>“</w:t>
      </w:r>
      <w:r w:rsidR="005A56A1" w:rsidRPr="00957E89">
        <w:rPr>
          <w:rFonts w:ascii="Arial" w:hAnsi="Arial" w:cs="Arial"/>
          <w:i/>
          <w:iCs/>
          <w:sz w:val="20"/>
        </w:rPr>
        <w:t>when a parent company owns all the shares of the subsidiaries, so much so that it can control every movement of the subsidiaries.  These subsidiaries are bound hand and foot to the parent company and must do just what the parent company says</w:t>
      </w:r>
      <w:r w:rsidR="0009237E" w:rsidRPr="00921D26">
        <w:rPr>
          <w:rFonts w:ascii="Arial" w:hAnsi="Arial" w:cs="Arial"/>
          <w:sz w:val="20"/>
        </w:rPr>
        <w:t>.</w:t>
      </w:r>
      <w:r w:rsidR="003B55EF" w:rsidRPr="00921D26">
        <w:rPr>
          <w:rFonts w:ascii="Arial" w:hAnsi="Arial" w:cs="Arial"/>
          <w:sz w:val="20"/>
        </w:rPr>
        <w:t>” (</w:t>
      </w:r>
      <w:r w:rsidR="003B55EF" w:rsidRPr="00921D26">
        <w:rPr>
          <w:rFonts w:ascii="Arial" w:hAnsi="Arial" w:cs="Arial"/>
          <w:i/>
          <w:iCs/>
          <w:sz w:val="20"/>
        </w:rPr>
        <w:t>DHN Food Distributors Ltd v Tower Hamlets London Borough Council</w:t>
      </w:r>
      <w:r w:rsidR="003B55EF" w:rsidRPr="00921D26">
        <w:rPr>
          <w:rFonts w:ascii="Arial" w:hAnsi="Arial" w:cs="Arial"/>
          <w:sz w:val="20"/>
        </w:rPr>
        <w:t xml:space="preserve"> [1976] 3 All ER 462 at 467 b-c</w:t>
      </w:r>
      <w:r w:rsidR="00A044F7" w:rsidRPr="00921D26">
        <w:rPr>
          <w:rFonts w:ascii="Arial" w:hAnsi="Arial" w:cs="Arial"/>
          <w:sz w:val="20"/>
        </w:rPr>
        <w:t>)</w:t>
      </w:r>
    </w:p>
  </w:footnote>
  <w:footnote w:id="12">
    <w:p w14:paraId="72D10107" w14:textId="77777777" w:rsidR="007F6EBC" w:rsidRPr="00EB01A1" w:rsidRDefault="007F6EBC" w:rsidP="007F6EBC">
      <w:pPr>
        <w:pStyle w:val="FootnoteText"/>
        <w:rPr>
          <w:rFonts w:ascii="Arial" w:hAnsi="Arial" w:cs="Arial"/>
          <w:sz w:val="20"/>
          <w:lang w:val="en-US"/>
        </w:rPr>
      </w:pPr>
      <w:r w:rsidRPr="00A440FB">
        <w:rPr>
          <w:rStyle w:val="FootnoteReference"/>
          <w:rFonts w:ascii="Arial" w:hAnsi="Arial" w:cs="Arial"/>
          <w:sz w:val="20"/>
        </w:rPr>
        <w:footnoteRef/>
      </w:r>
      <w:r w:rsidRPr="00A440FB">
        <w:rPr>
          <w:rFonts w:ascii="Arial" w:hAnsi="Arial" w:cs="Arial"/>
          <w:sz w:val="20"/>
        </w:rPr>
        <w:t xml:space="preserve"> See for example </w:t>
      </w:r>
      <w:r w:rsidRPr="00A440FB">
        <w:rPr>
          <w:rFonts w:ascii="Arial" w:hAnsi="Arial" w:cs="Arial"/>
          <w:i/>
          <w:iCs/>
          <w:sz w:val="20"/>
        </w:rPr>
        <w:t>Board of Executors Ltd v McCafferty</w:t>
      </w:r>
      <w:r w:rsidRPr="00A440FB">
        <w:rPr>
          <w:rFonts w:ascii="Arial" w:hAnsi="Arial" w:cs="Arial"/>
          <w:sz w:val="20"/>
        </w:rPr>
        <w:t xml:space="preserve"> 200</w:t>
      </w:r>
      <w:r w:rsidRPr="00FD2253">
        <w:rPr>
          <w:rFonts w:ascii="Arial" w:hAnsi="Arial" w:cs="Arial"/>
          <w:sz w:val="20"/>
        </w:rPr>
        <w:t>0 (1) SA 848 (SCA)</w:t>
      </w:r>
    </w:p>
  </w:footnote>
  <w:footnote w:id="13">
    <w:p w14:paraId="27C16F97" w14:textId="77777777" w:rsidR="00421E15" w:rsidRPr="00944DAE" w:rsidRDefault="00421E15" w:rsidP="00421E15">
      <w:pPr>
        <w:pStyle w:val="FootnoteText"/>
        <w:rPr>
          <w:rFonts w:ascii="Arial" w:hAnsi="Arial" w:cs="Arial"/>
          <w:sz w:val="20"/>
          <w:lang w:val="en-US"/>
        </w:rPr>
      </w:pPr>
      <w:r w:rsidRPr="00944DAE">
        <w:rPr>
          <w:rStyle w:val="FootnoteReference"/>
          <w:rFonts w:ascii="Arial" w:hAnsi="Arial" w:cs="Arial"/>
          <w:sz w:val="20"/>
        </w:rPr>
        <w:footnoteRef/>
      </w:r>
      <w:r w:rsidRPr="00944DAE">
        <w:rPr>
          <w:rFonts w:ascii="Arial" w:hAnsi="Arial" w:cs="Arial"/>
          <w:sz w:val="20"/>
        </w:rPr>
        <w:t xml:space="preserve"> </w:t>
      </w:r>
      <w:r w:rsidRPr="00944DAE">
        <w:rPr>
          <w:rFonts w:ascii="Arial" w:hAnsi="Arial" w:cs="Arial"/>
          <w:i/>
          <w:iCs/>
          <w:sz w:val="20"/>
          <w:lang w:val="en-US"/>
        </w:rPr>
        <w:t>Claase v Information Officer, S</w:t>
      </w:r>
      <w:r>
        <w:rPr>
          <w:rFonts w:ascii="Arial" w:hAnsi="Arial" w:cs="Arial"/>
          <w:i/>
          <w:iCs/>
          <w:sz w:val="20"/>
          <w:lang w:val="en-US"/>
        </w:rPr>
        <w:t>outh African Airways (Pty) Ltd</w:t>
      </w:r>
      <w:r w:rsidRPr="00944DAE">
        <w:rPr>
          <w:rFonts w:ascii="Arial" w:hAnsi="Arial" w:cs="Arial"/>
          <w:sz w:val="20"/>
          <w:lang w:val="en-US"/>
        </w:rPr>
        <w:t xml:space="preserve"> 2007 (5) SA 46</w:t>
      </w:r>
      <w:r>
        <w:rPr>
          <w:rFonts w:ascii="Arial" w:hAnsi="Arial" w:cs="Arial"/>
          <w:sz w:val="20"/>
          <w:lang w:val="en-US"/>
        </w:rPr>
        <w:t>9</w:t>
      </w:r>
      <w:r w:rsidRPr="00944DAE">
        <w:rPr>
          <w:rFonts w:ascii="Arial" w:hAnsi="Arial" w:cs="Arial"/>
          <w:sz w:val="20"/>
          <w:lang w:val="en-US"/>
        </w:rPr>
        <w:t xml:space="preserve"> (SCA) at paragraph </w:t>
      </w:r>
      <w:r>
        <w:rPr>
          <w:rFonts w:ascii="Arial" w:hAnsi="Arial" w:cs="Arial"/>
          <w:sz w:val="20"/>
          <w:lang w:val="en-US"/>
        </w:rPr>
        <w:t>[</w:t>
      </w:r>
      <w:r w:rsidRPr="00944DAE">
        <w:rPr>
          <w:rFonts w:ascii="Arial" w:hAnsi="Arial" w:cs="Arial"/>
          <w:sz w:val="20"/>
          <w:lang w:val="en-US"/>
        </w:rPr>
        <w:t>11</w:t>
      </w:r>
      <w:r>
        <w:rPr>
          <w:rFonts w:ascii="Arial" w:hAnsi="Arial" w:cs="Arial"/>
          <w:sz w:val="20"/>
          <w:lang w:val="en-US"/>
        </w:rPr>
        <w:t xml:space="preserve">] </w:t>
      </w:r>
    </w:p>
  </w:footnote>
  <w:footnote w:id="14">
    <w:p w14:paraId="42E2AF0D" w14:textId="77777777" w:rsidR="00421E15" w:rsidRPr="00DA52C6" w:rsidRDefault="00421E15" w:rsidP="00421E15">
      <w:pPr>
        <w:pStyle w:val="FootnoteText"/>
        <w:rPr>
          <w:rFonts w:ascii="Arial" w:hAnsi="Arial" w:cs="Arial"/>
          <w:sz w:val="20"/>
          <w:lang w:val="en-US"/>
        </w:rPr>
      </w:pPr>
      <w:r w:rsidRPr="00DA52C6">
        <w:rPr>
          <w:rStyle w:val="FootnoteReference"/>
          <w:rFonts w:ascii="Arial" w:hAnsi="Arial" w:cs="Arial"/>
          <w:sz w:val="20"/>
        </w:rPr>
        <w:footnoteRef/>
      </w:r>
      <w:r w:rsidRPr="00DA52C6">
        <w:rPr>
          <w:rFonts w:ascii="Arial" w:hAnsi="Arial" w:cs="Arial"/>
          <w:sz w:val="20"/>
        </w:rPr>
        <w:t xml:space="preserve"> </w:t>
      </w:r>
      <w:r w:rsidRPr="00944DAE">
        <w:rPr>
          <w:rFonts w:ascii="Arial" w:hAnsi="Arial" w:cs="Arial"/>
          <w:i/>
          <w:iCs/>
          <w:sz w:val="20"/>
          <w:lang w:val="en-US"/>
        </w:rPr>
        <w:t>Swart</w:t>
      </w:r>
      <w:r>
        <w:rPr>
          <w:rFonts w:ascii="Arial" w:hAnsi="Arial" w:cs="Arial"/>
          <w:i/>
          <w:iCs/>
          <w:sz w:val="20"/>
          <w:lang w:val="en-US"/>
        </w:rPr>
        <w:t>b</w:t>
      </w:r>
      <w:r w:rsidRPr="00944DAE">
        <w:rPr>
          <w:rFonts w:ascii="Arial" w:hAnsi="Arial" w:cs="Arial"/>
          <w:i/>
          <w:iCs/>
          <w:sz w:val="20"/>
          <w:lang w:val="en-US"/>
        </w:rPr>
        <w:t>ooi v Brink</w:t>
      </w:r>
      <w:r w:rsidRPr="00944DAE">
        <w:rPr>
          <w:rFonts w:ascii="Arial" w:hAnsi="Arial" w:cs="Arial"/>
          <w:sz w:val="20"/>
          <w:lang w:val="en-US"/>
        </w:rPr>
        <w:t xml:space="preserve"> 2006 (1) SA 203 (CC) at paragraph </w:t>
      </w:r>
      <w:r>
        <w:rPr>
          <w:rFonts w:ascii="Arial" w:hAnsi="Arial" w:cs="Arial"/>
          <w:sz w:val="20"/>
          <w:lang w:val="en-US"/>
        </w:rPr>
        <w:t>[</w:t>
      </w:r>
      <w:r w:rsidRPr="00944DAE">
        <w:rPr>
          <w:rFonts w:ascii="Arial" w:hAnsi="Arial" w:cs="Arial"/>
          <w:sz w:val="20"/>
          <w:lang w:val="en-US"/>
        </w:rPr>
        <w:t>27</w:t>
      </w:r>
      <w:r>
        <w:rPr>
          <w:rFonts w:ascii="Arial" w:hAnsi="Arial" w:cs="Arial"/>
          <w:sz w:val="20"/>
          <w:lang w:val="en-US"/>
        </w:rPr>
        <w:t>],</w:t>
      </w:r>
      <w:r w:rsidRPr="00DD7847">
        <w:rPr>
          <w:rFonts w:ascii="Arial" w:hAnsi="Arial" w:cs="Arial"/>
          <w:sz w:val="20"/>
          <w:lang w:val="en-US"/>
        </w:rPr>
        <w:t xml:space="preserve"> </w:t>
      </w:r>
      <w:r>
        <w:rPr>
          <w:rFonts w:ascii="Arial" w:hAnsi="Arial" w:cs="Arial"/>
          <w:sz w:val="20"/>
          <w:lang w:val="en-US"/>
        </w:rPr>
        <w:t xml:space="preserve">approving </w:t>
      </w:r>
      <w:r w:rsidRPr="002A480B">
        <w:rPr>
          <w:rFonts w:ascii="Arial" w:hAnsi="Arial" w:cs="Arial"/>
          <w:i/>
          <w:iCs/>
          <w:sz w:val="20"/>
          <w:lang w:val="en-US"/>
        </w:rPr>
        <w:t>Nel v Waterberg Landbouwers Ko-operatiewe Vereeniging</w:t>
      </w:r>
      <w:r>
        <w:rPr>
          <w:rFonts w:ascii="Arial" w:hAnsi="Arial" w:cs="Arial"/>
          <w:sz w:val="20"/>
          <w:lang w:val="en-US"/>
        </w:rPr>
        <w:t xml:space="preserve"> 1946 AD 597 at 607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C9BD5" w14:textId="77777777" w:rsidR="00A85D6B" w:rsidRDefault="00A85D6B"/>
  <w:p w14:paraId="6CB339AE" w14:textId="77777777" w:rsidR="000B7F03" w:rsidRDefault="000B7F03"/>
  <w:p w14:paraId="32B8B95B" w14:textId="77777777" w:rsidR="00F40686" w:rsidRDefault="00F406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2C5D2" w14:textId="77777777" w:rsidR="007373FB" w:rsidRDefault="007373FB">
    <w:pPr>
      <w:pStyle w:val="Header"/>
    </w:pPr>
  </w:p>
  <w:p w14:paraId="1D5BD0D9" w14:textId="77777777" w:rsidR="00F40686" w:rsidRDefault="00F406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EFDD" w14:textId="77777777" w:rsidR="00384E22" w:rsidRDefault="00384E22" w:rsidP="00384E22">
    <w:pPr>
      <w:pStyle w:val="Header"/>
      <w:jc w:val="left"/>
    </w:pPr>
  </w:p>
  <w:p w14:paraId="3595D0BF" w14:textId="77777777" w:rsidR="00F40686" w:rsidRDefault="00F406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44234D"/>
    <w:multiLevelType w:val="hybridMultilevel"/>
    <w:tmpl w:val="3A52B2D6"/>
    <w:lvl w:ilvl="0" w:tplc="D182EE7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110C1C9A"/>
    <w:multiLevelType w:val="hybridMultilevel"/>
    <w:tmpl w:val="5C6619C4"/>
    <w:lvl w:ilvl="0" w:tplc="F022F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1">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322344F"/>
    <w:multiLevelType w:val="multilevel"/>
    <w:tmpl w:val="69F2DFA0"/>
    <w:lvl w:ilvl="0">
      <w:start w:val="1"/>
      <w:numFmt w:val="decimal"/>
      <w:pStyle w:val="BowLevel1ListAlt"/>
      <w:lvlText w:val="%1."/>
      <w:lvlJc w:val="left"/>
      <w:pPr>
        <w:tabs>
          <w:tab w:val="num" w:pos="7938"/>
        </w:tabs>
        <w:ind w:left="7938"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61D13BD"/>
    <w:multiLevelType w:val="multilevel"/>
    <w:tmpl w:val="92E84EDC"/>
    <w:lvl w:ilvl="0">
      <w:start w:val="1"/>
      <w:numFmt w:val="decimal"/>
      <w:pStyle w:val="JUGMENTNUMBERED"/>
      <w:lvlText w:val="[%1]"/>
      <w:lvlJc w:val="left"/>
      <w:pPr>
        <w:tabs>
          <w:tab w:val="num" w:pos="680"/>
        </w:tabs>
        <w:ind w:left="0" w:firstLine="0"/>
      </w:pPr>
      <w:rPr>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2">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3">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1DB2C8B"/>
    <w:multiLevelType w:val="hybridMultilevel"/>
    <w:tmpl w:val="4C4C4CC4"/>
    <w:lvl w:ilvl="0" w:tplc="4BEAA11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5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51">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9"/>
  </w:num>
  <w:num w:numId="2">
    <w:abstractNumId w:val="12"/>
  </w:num>
  <w:num w:numId="3">
    <w:abstractNumId w:val="5"/>
  </w:num>
  <w:num w:numId="4">
    <w:abstractNumId w:val="23"/>
  </w:num>
  <w:num w:numId="5">
    <w:abstractNumId w:val="2"/>
  </w:num>
  <w:num w:numId="6">
    <w:abstractNumId w:val="1"/>
  </w:num>
  <w:num w:numId="7">
    <w:abstractNumId w:val="20"/>
  </w:num>
  <w:num w:numId="8">
    <w:abstractNumId w:val="14"/>
  </w:num>
  <w:num w:numId="9">
    <w:abstractNumId w:val="34"/>
  </w:num>
  <w:num w:numId="10">
    <w:abstractNumId w:val="33"/>
  </w:num>
  <w:num w:numId="11">
    <w:abstractNumId w:val="45"/>
  </w:num>
  <w:num w:numId="12">
    <w:abstractNumId w:val="48"/>
  </w:num>
  <w:num w:numId="13">
    <w:abstractNumId w:val="3"/>
  </w:num>
  <w:num w:numId="14">
    <w:abstractNumId w:val="24"/>
  </w:num>
  <w:num w:numId="15">
    <w:abstractNumId w:val="16"/>
  </w:num>
  <w:num w:numId="16">
    <w:abstractNumId w:val="6"/>
  </w:num>
  <w:num w:numId="17">
    <w:abstractNumId w:val="4"/>
  </w:num>
  <w:num w:numId="18">
    <w:abstractNumId w:val="25"/>
  </w:num>
  <w:num w:numId="19">
    <w:abstractNumId w:val="43"/>
  </w:num>
  <w:num w:numId="20">
    <w:abstractNumId w:val="26"/>
  </w:num>
  <w:num w:numId="21">
    <w:abstractNumId w:val="31"/>
  </w:num>
  <w:num w:numId="22">
    <w:abstractNumId w:val="35"/>
  </w:num>
  <w:num w:numId="23">
    <w:abstractNumId w:val="22"/>
  </w:num>
  <w:num w:numId="24">
    <w:abstractNumId w:val="10"/>
  </w:num>
  <w:num w:numId="25">
    <w:abstractNumId w:val="36"/>
  </w:num>
  <w:num w:numId="26">
    <w:abstractNumId w:val="44"/>
  </w:num>
  <w:num w:numId="27">
    <w:abstractNumId w:val="52"/>
  </w:num>
  <w:num w:numId="28">
    <w:abstractNumId w:val="7"/>
  </w:num>
  <w:num w:numId="29">
    <w:abstractNumId w:val="21"/>
  </w:num>
  <w:num w:numId="30">
    <w:abstractNumId w:val="27"/>
  </w:num>
  <w:num w:numId="31">
    <w:abstractNumId w:val="37"/>
  </w:num>
  <w:num w:numId="32">
    <w:abstractNumId w:val="11"/>
  </w:num>
  <w:num w:numId="33">
    <w:abstractNumId w:val="38"/>
  </w:num>
  <w:num w:numId="34">
    <w:abstractNumId w:val="47"/>
  </w:num>
  <w:num w:numId="35">
    <w:abstractNumId w:val="32"/>
  </w:num>
  <w:num w:numId="36">
    <w:abstractNumId w:val="19"/>
  </w:num>
  <w:num w:numId="37">
    <w:abstractNumId w:val="40"/>
  </w:num>
  <w:num w:numId="38">
    <w:abstractNumId w:val="51"/>
  </w:num>
  <w:num w:numId="39">
    <w:abstractNumId w:val="39"/>
  </w:num>
  <w:num w:numId="40">
    <w:abstractNumId w:val="28"/>
  </w:num>
  <w:num w:numId="41">
    <w:abstractNumId w:val="42"/>
  </w:num>
  <w:num w:numId="42">
    <w:abstractNumId w:val="13"/>
  </w:num>
  <w:num w:numId="43">
    <w:abstractNumId w:val="17"/>
  </w:num>
  <w:num w:numId="44">
    <w:abstractNumId w:val="15"/>
  </w:num>
  <w:num w:numId="45">
    <w:abstractNumId w:val="50"/>
  </w:num>
  <w:num w:numId="46">
    <w:abstractNumId w:val="0"/>
  </w:num>
  <w:num w:numId="47">
    <w:abstractNumId w:val="29"/>
  </w:num>
  <w:num w:numId="48">
    <w:abstractNumId w:val="41"/>
  </w:num>
  <w:num w:numId="49">
    <w:abstractNumId w:val="18"/>
  </w:num>
  <w:num w:numId="50">
    <w:abstractNumId w:val="9"/>
  </w:num>
  <w:num w:numId="51">
    <w:abstractNumId w:val="29"/>
    <w:lvlOverride w:ilvl="0">
      <w:startOverride w:val="1"/>
    </w:lvlOverride>
  </w:num>
  <w:num w:numId="52">
    <w:abstractNumId w:val="29"/>
  </w:num>
  <w:num w:numId="53">
    <w:abstractNumId w:val="8"/>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B71F31"/>
    <w:rsid w:val="0000028C"/>
    <w:rsid w:val="0000081B"/>
    <w:rsid w:val="0000155F"/>
    <w:rsid w:val="00002381"/>
    <w:rsid w:val="0000416D"/>
    <w:rsid w:val="00006901"/>
    <w:rsid w:val="000079D3"/>
    <w:rsid w:val="00012DE7"/>
    <w:rsid w:val="00014825"/>
    <w:rsid w:val="000164AB"/>
    <w:rsid w:val="00020097"/>
    <w:rsid w:val="0002034F"/>
    <w:rsid w:val="0002199D"/>
    <w:rsid w:val="00022554"/>
    <w:rsid w:val="0002406E"/>
    <w:rsid w:val="000260A7"/>
    <w:rsid w:val="00026285"/>
    <w:rsid w:val="00027DA7"/>
    <w:rsid w:val="00027E64"/>
    <w:rsid w:val="00031614"/>
    <w:rsid w:val="00032E90"/>
    <w:rsid w:val="00034762"/>
    <w:rsid w:val="000349D5"/>
    <w:rsid w:val="000362F4"/>
    <w:rsid w:val="00036A75"/>
    <w:rsid w:val="00037906"/>
    <w:rsid w:val="00042053"/>
    <w:rsid w:val="00042559"/>
    <w:rsid w:val="00042C36"/>
    <w:rsid w:val="00045314"/>
    <w:rsid w:val="00045D47"/>
    <w:rsid w:val="000466F4"/>
    <w:rsid w:val="00052AC7"/>
    <w:rsid w:val="00052F56"/>
    <w:rsid w:val="00053A87"/>
    <w:rsid w:val="00053C88"/>
    <w:rsid w:val="0005786C"/>
    <w:rsid w:val="00063189"/>
    <w:rsid w:val="00063199"/>
    <w:rsid w:val="00065C48"/>
    <w:rsid w:val="00067FE0"/>
    <w:rsid w:val="00070162"/>
    <w:rsid w:val="0007023D"/>
    <w:rsid w:val="000729F0"/>
    <w:rsid w:val="000732EF"/>
    <w:rsid w:val="000733C8"/>
    <w:rsid w:val="00075272"/>
    <w:rsid w:val="00076B87"/>
    <w:rsid w:val="00077DBB"/>
    <w:rsid w:val="00082266"/>
    <w:rsid w:val="00086445"/>
    <w:rsid w:val="00087C05"/>
    <w:rsid w:val="0009141A"/>
    <w:rsid w:val="0009237E"/>
    <w:rsid w:val="0009296D"/>
    <w:rsid w:val="00093535"/>
    <w:rsid w:val="00093970"/>
    <w:rsid w:val="00093B86"/>
    <w:rsid w:val="00093E12"/>
    <w:rsid w:val="00093F2D"/>
    <w:rsid w:val="0009562E"/>
    <w:rsid w:val="000960C8"/>
    <w:rsid w:val="00097706"/>
    <w:rsid w:val="000A149E"/>
    <w:rsid w:val="000A1E0C"/>
    <w:rsid w:val="000A2E93"/>
    <w:rsid w:val="000B105E"/>
    <w:rsid w:val="000B113B"/>
    <w:rsid w:val="000B1B43"/>
    <w:rsid w:val="000B2EE3"/>
    <w:rsid w:val="000B3199"/>
    <w:rsid w:val="000B672A"/>
    <w:rsid w:val="000B7F03"/>
    <w:rsid w:val="000C44F3"/>
    <w:rsid w:val="000C66F2"/>
    <w:rsid w:val="000C6B96"/>
    <w:rsid w:val="000C6F4E"/>
    <w:rsid w:val="000C7D51"/>
    <w:rsid w:val="000D0258"/>
    <w:rsid w:val="000D085B"/>
    <w:rsid w:val="000D2B8C"/>
    <w:rsid w:val="000D2F4C"/>
    <w:rsid w:val="000D4460"/>
    <w:rsid w:val="000D4A87"/>
    <w:rsid w:val="000D583C"/>
    <w:rsid w:val="000D58A0"/>
    <w:rsid w:val="000D66EC"/>
    <w:rsid w:val="000D6BCC"/>
    <w:rsid w:val="000D6E09"/>
    <w:rsid w:val="000D7170"/>
    <w:rsid w:val="000E2EA0"/>
    <w:rsid w:val="000E6988"/>
    <w:rsid w:val="000F03DA"/>
    <w:rsid w:val="000F1ED4"/>
    <w:rsid w:val="000F2251"/>
    <w:rsid w:val="000F2FD9"/>
    <w:rsid w:val="000F4535"/>
    <w:rsid w:val="000F4812"/>
    <w:rsid w:val="000F5634"/>
    <w:rsid w:val="000F5EC2"/>
    <w:rsid w:val="00101AC1"/>
    <w:rsid w:val="00106EF4"/>
    <w:rsid w:val="0011130F"/>
    <w:rsid w:val="001113A5"/>
    <w:rsid w:val="001136D8"/>
    <w:rsid w:val="00115024"/>
    <w:rsid w:val="00115C15"/>
    <w:rsid w:val="0011777D"/>
    <w:rsid w:val="001177E5"/>
    <w:rsid w:val="001201E5"/>
    <w:rsid w:val="00121E9E"/>
    <w:rsid w:val="00122DFC"/>
    <w:rsid w:val="00124B53"/>
    <w:rsid w:val="00126263"/>
    <w:rsid w:val="001275C5"/>
    <w:rsid w:val="001312BC"/>
    <w:rsid w:val="0013242A"/>
    <w:rsid w:val="001350D7"/>
    <w:rsid w:val="0013627B"/>
    <w:rsid w:val="001375FB"/>
    <w:rsid w:val="001376AC"/>
    <w:rsid w:val="0014131F"/>
    <w:rsid w:val="00143098"/>
    <w:rsid w:val="001432BC"/>
    <w:rsid w:val="00144ED1"/>
    <w:rsid w:val="00145C4B"/>
    <w:rsid w:val="001472E5"/>
    <w:rsid w:val="00150EDF"/>
    <w:rsid w:val="00152C0C"/>
    <w:rsid w:val="00152FA2"/>
    <w:rsid w:val="00153CA5"/>
    <w:rsid w:val="00154296"/>
    <w:rsid w:val="00156532"/>
    <w:rsid w:val="0016150E"/>
    <w:rsid w:val="00161A8F"/>
    <w:rsid w:val="00165222"/>
    <w:rsid w:val="00167640"/>
    <w:rsid w:val="0017170D"/>
    <w:rsid w:val="00172277"/>
    <w:rsid w:val="001722AA"/>
    <w:rsid w:val="0017403A"/>
    <w:rsid w:val="00174D97"/>
    <w:rsid w:val="00176D2E"/>
    <w:rsid w:val="00177531"/>
    <w:rsid w:val="0018072E"/>
    <w:rsid w:val="00182E83"/>
    <w:rsid w:val="00183869"/>
    <w:rsid w:val="00183CB0"/>
    <w:rsid w:val="00186BF5"/>
    <w:rsid w:val="00190161"/>
    <w:rsid w:val="0019267F"/>
    <w:rsid w:val="00193979"/>
    <w:rsid w:val="00193B2F"/>
    <w:rsid w:val="001958A3"/>
    <w:rsid w:val="00196A4B"/>
    <w:rsid w:val="00197E89"/>
    <w:rsid w:val="001A0434"/>
    <w:rsid w:val="001A0AF9"/>
    <w:rsid w:val="001A1738"/>
    <w:rsid w:val="001A1EFC"/>
    <w:rsid w:val="001A23C2"/>
    <w:rsid w:val="001A2D31"/>
    <w:rsid w:val="001A3F4B"/>
    <w:rsid w:val="001A4456"/>
    <w:rsid w:val="001A4A0F"/>
    <w:rsid w:val="001A501A"/>
    <w:rsid w:val="001A64C4"/>
    <w:rsid w:val="001B0A00"/>
    <w:rsid w:val="001C062C"/>
    <w:rsid w:val="001C1990"/>
    <w:rsid w:val="001C19F9"/>
    <w:rsid w:val="001C1B67"/>
    <w:rsid w:val="001C1C0C"/>
    <w:rsid w:val="001C247B"/>
    <w:rsid w:val="001D01DF"/>
    <w:rsid w:val="001D04B2"/>
    <w:rsid w:val="001D44F2"/>
    <w:rsid w:val="001D6F33"/>
    <w:rsid w:val="001D731B"/>
    <w:rsid w:val="001E44FC"/>
    <w:rsid w:val="001E5101"/>
    <w:rsid w:val="001E5E83"/>
    <w:rsid w:val="001E6BBF"/>
    <w:rsid w:val="001E79AB"/>
    <w:rsid w:val="001E7B0F"/>
    <w:rsid w:val="001E7FD5"/>
    <w:rsid w:val="001F12A8"/>
    <w:rsid w:val="001F1FF2"/>
    <w:rsid w:val="001F3748"/>
    <w:rsid w:val="001F393B"/>
    <w:rsid w:val="001F760A"/>
    <w:rsid w:val="00200563"/>
    <w:rsid w:val="002045FA"/>
    <w:rsid w:val="0020591D"/>
    <w:rsid w:val="002066D6"/>
    <w:rsid w:val="0020774E"/>
    <w:rsid w:val="00212082"/>
    <w:rsid w:val="002136D2"/>
    <w:rsid w:val="00215121"/>
    <w:rsid w:val="00215E83"/>
    <w:rsid w:val="0021643B"/>
    <w:rsid w:val="0021711E"/>
    <w:rsid w:val="00217CFC"/>
    <w:rsid w:val="00223EDB"/>
    <w:rsid w:val="00224182"/>
    <w:rsid w:val="00224882"/>
    <w:rsid w:val="00225D00"/>
    <w:rsid w:val="00226D22"/>
    <w:rsid w:val="00231FE7"/>
    <w:rsid w:val="0024108B"/>
    <w:rsid w:val="00242822"/>
    <w:rsid w:val="00243C96"/>
    <w:rsid w:val="002444C0"/>
    <w:rsid w:val="00245FF4"/>
    <w:rsid w:val="0025065E"/>
    <w:rsid w:val="00251F72"/>
    <w:rsid w:val="0025242F"/>
    <w:rsid w:val="002540B5"/>
    <w:rsid w:val="002544C8"/>
    <w:rsid w:val="00255855"/>
    <w:rsid w:val="0025681D"/>
    <w:rsid w:val="002610B4"/>
    <w:rsid w:val="0026187E"/>
    <w:rsid w:val="00262A0E"/>
    <w:rsid w:val="00264503"/>
    <w:rsid w:val="002645A8"/>
    <w:rsid w:val="002655C2"/>
    <w:rsid w:val="00265D3B"/>
    <w:rsid w:val="00265D95"/>
    <w:rsid w:val="002711BC"/>
    <w:rsid w:val="00274D65"/>
    <w:rsid w:val="002750B8"/>
    <w:rsid w:val="00276529"/>
    <w:rsid w:val="00277601"/>
    <w:rsid w:val="00280860"/>
    <w:rsid w:val="0028140E"/>
    <w:rsid w:val="002836A8"/>
    <w:rsid w:val="0028428F"/>
    <w:rsid w:val="00287344"/>
    <w:rsid w:val="002908B8"/>
    <w:rsid w:val="00293BAB"/>
    <w:rsid w:val="002942C7"/>
    <w:rsid w:val="00294307"/>
    <w:rsid w:val="00295513"/>
    <w:rsid w:val="00296E5E"/>
    <w:rsid w:val="002A0518"/>
    <w:rsid w:val="002A0711"/>
    <w:rsid w:val="002A0A2D"/>
    <w:rsid w:val="002A16C2"/>
    <w:rsid w:val="002A3A35"/>
    <w:rsid w:val="002A480B"/>
    <w:rsid w:val="002A7042"/>
    <w:rsid w:val="002B13BF"/>
    <w:rsid w:val="002B1873"/>
    <w:rsid w:val="002B2553"/>
    <w:rsid w:val="002B27CC"/>
    <w:rsid w:val="002C2DDC"/>
    <w:rsid w:val="002C392E"/>
    <w:rsid w:val="002C3D19"/>
    <w:rsid w:val="002C5070"/>
    <w:rsid w:val="002C5551"/>
    <w:rsid w:val="002C59D0"/>
    <w:rsid w:val="002C5A38"/>
    <w:rsid w:val="002C6F84"/>
    <w:rsid w:val="002C7005"/>
    <w:rsid w:val="002C730A"/>
    <w:rsid w:val="002D018E"/>
    <w:rsid w:val="002D09F4"/>
    <w:rsid w:val="002D1B5C"/>
    <w:rsid w:val="002D27BE"/>
    <w:rsid w:val="002D2E74"/>
    <w:rsid w:val="002D326B"/>
    <w:rsid w:val="002D3DDD"/>
    <w:rsid w:val="002D4510"/>
    <w:rsid w:val="002D5610"/>
    <w:rsid w:val="002D6473"/>
    <w:rsid w:val="002D69A2"/>
    <w:rsid w:val="002D7BAD"/>
    <w:rsid w:val="002E3DBC"/>
    <w:rsid w:val="002E52F8"/>
    <w:rsid w:val="002E63B7"/>
    <w:rsid w:val="002E763E"/>
    <w:rsid w:val="002F0B3A"/>
    <w:rsid w:val="002F2527"/>
    <w:rsid w:val="002F2705"/>
    <w:rsid w:val="002F5CB0"/>
    <w:rsid w:val="002F72AD"/>
    <w:rsid w:val="00300A2C"/>
    <w:rsid w:val="00301C5B"/>
    <w:rsid w:val="00303283"/>
    <w:rsid w:val="00303F7B"/>
    <w:rsid w:val="00311E9F"/>
    <w:rsid w:val="00314EC1"/>
    <w:rsid w:val="00315EE5"/>
    <w:rsid w:val="00316A13"/>
    <w:rsid w:val="003175D1"/>
    <w:rsid w:val="00320A12"/>
    <w:rsid w:val="00323174"/>
    <w:rsid w:val="00324785"/>
    <w:rsid w:val="00326554"/>
    <w:rsid w:val="00326D25"/>
    <w:rsid w:val="00330260"/>
    <w:rsid w:val="003323D5"/>
    <w:rsid w:val="0033447A"/>
    <w:rsid w:val="003347D4"/>
    <w:rsid w:val="00334C5E"/>
    <w:rsid w:val="003359F5"/>
    <w:rsid w:val="00336661"/>
    <w:rsid w:val="0034077A"/>
    <w:rsid w:val="00342879"/>
    <w:rsid w:val="00343410"/>
    <w:rsid w:val="00343536"/>
    <w:rsid w:val="00344F24"/>
    <w:rsid w:val="00346C6D"/>
    <w:rsid w:val="00352A04"/>
    <w:rsid w:val="00355138"/>
    <w:rsid w:val="003563CC"/>
    <w:rsid w:val="00357B08"/>
    <w:rsid w:val="0036055F"/>
    <w:rsid w:val="00360A53"/>
    <w:rsid w:val="00361ACA"/>
    <w:rsid w:val="00361FF0"/>
    <w:rsid w:val="003651A0"/>
    <w:rsid w:val="00365277"/>
    <w:rsid w:val="0037030C"/>
    <w:rsid w:val="00370CF7"/>
    <w:rsid w:val="00371F68"/>
    <w:rsid w:val="0037239D"/>
    <w:rsid w:val="00372E58"/>
    <w:rsid w:val="00374C2F"/>
    <w:rsid w:val="00377914"/>
    <w:rsid w:val="003802F1"/>
    <w:rsid w:val="00380974"/>
    <w:rsid w:val="003812D3"/>
    <w:rsid w:val="00384557"/>
    <w:rsid w:val="00384E22"/>
    <w:rsid w:val="00386219"/>
    <w:rsid w:val="00387B70"/>
    <w:rsid w:val="00390DEF"/>
    <w:rsid w:val="00391D43"/>
    <w:rsid w:val="003961E2"/>
    <w:rsid w:val="003A024F"/>
    <w:rsid w:val="003A2236"/>
    <w:rsid w:val="003A356F"/>
    <w:rsid w:val="003A3BB9"/>
    <w:rsid w:val="003A5BF7"/>
    <w:rsid w:val="003A69A9"/>
    <w:rsid w:val="003A700C"/>
    <w:rsid w:val="003B0F1E"/>
    <w:rsid w:val="003B4357"/>
    <w:rsid w:val="003B55EF"/>
    <w:rsid w:val="003B7A41"/>
    <w:rsid w:val="003C01D2"/>
    <w:rsid w:val="003C33B6"/>
    <w:rsid w:val="003C3503"/>
    <w:rsid w:val="003C581A"/>
    <w:rsid w:val="003D0003"/>
    <w:rsid w:val="003D4FF5"/>
    <w:rsid w:val="003D67B0"/>
    <w:rsid w:val="003D6C99"/>
    <w:rsid w:val="003D7095"/>
    <w:rsid w:val="003D726C"/>
    <w:rsid w:val="003D7779"/>
    <w:rsid w:val="003E1A1A"/>
    <w:rsid w:val="003E7E90"/>
    <w:rsid w:val="003F1EAD"/>
    <w:rsid w:val="003F57D5"/>
    <w:rsid w:val="003F64CC"/>
    <w:rsid w:val="004007AE"/>
    <w:rsid w:val="00401334"/>
    <w:rsid w:val="0040141A"/>
    <w:rsid w:val="004016DA"/>
    <w:rsid w:val="004029A6"/>
    <w:rsid w:val="00403619"/>
    <w:rsid w:val="00405888"/>
    <w:rsid w:val="00405C2F"/>
    <w:rsid w:val="004061B0"/>
    <w:rsid w:val="00406ABE"/>
    <w:rsid w:val="00407115"/>
    <w:rsid w:val="00407C74"/>
    <w:rsid w:val="00411531"/>
    <w:rsid w:val="00411709"/>
    <w:rsid w:val="00411E60"/>
    <w:rsid w:val="0041292E"/>
    <w:rsid w:val="00415698"/>
    <w:rsid w:val="00421AAF"/>
    <w:rsid w:val="00421E15"/>
    <w:rsid w:val="004221FD"/>
    <w:rsid w:val="00423C91"/>
    <w:rsid w:val="00426CDA"/>
    <w:rsid w:val="00427BFE"/>
    <w:rsid w:val="0043125B"/>
    <w:rsid w:val="00432B15"/>
    <w:rsid w:val="004336D5"/>
    <w:rsid w:val="00435B55"/>
    <w:rsid w:val="00435CFC"/>
    <w:rsid w:val="004367AC"/>
    <w:rsid w:val="00437F85"/>
    <w:rsid w:val="004405A7"/>
    <w:rsid w:val="0044084D"/>
    <w:rsid w:val="00441CAB"/>
    <w:rsid w:val="00442536"/>
    <w:rsid w:val="004443EC"/>
    <w:rsid w:val="00444F75"/>
    <w:rsid w:val="0044588B"/>
    <w:rsid w:val="00453E13"/>
    <w:rsid w:val="00453FF7"/>
    <w:rsid w:val="00460C85"/>
    <w:rsid w:val="004618CB"/>
    <w:rsid w:val="00461C9B"/>
    <w:rsid w:val="00467685"/>
    <w:rsid w:val="00467F4C"/>
    <w:rsid w:val="00471865"/>
    <w:rsid w:val="004718D5"/>
    <w:rsid w:val="0047298A"/>
    <w:rsid w:val="00472B3B"/>
    <w:rsid w:val="0047521A"/>
    <w:rsid w:val="00475CC0"/>
    <w:rsid w:val="0047630A"/>
    <w:rsid w:val="00480B8C"/>
    <w:rsid w:val="00480C8C"/>
    <w:rsid w:val="00480CE0"/>
    <w:rsid w:val="00482F5D"/>
    <w:rsid w:val="00483901"/>
    <w:rsid w:val="00483DBB"/>
    <w:rsid w:val="00483E34"/>
    <w:rsid w:val="004843B4"/>
    <w:rsid w:val="0048515F"/>
    <w:rsid w:val="00485F1A"/>
    <w:rsid w:val="00486AF8"/>
    <w:rsid w:val="00486DC7"/>
    <w:rsid w:val="004879C2"/>
    <w:rsid w:val="00490EBB"/>
    <w:rsid w:val="00494405"/>
    <w:rsid w:val="00497523"/>
    <w:rsid w:val="004A0D0F"/>
    <w:rsid w:val="004A1190"/>
    <w:rsid w:val="004A223B"/>
    <w:rsid w:val="004A35F0"/>
    <w:rsid w:val="004A4A47"/>
    <w:rsid w:val="004A6623"/>
    <w:rsid w:val="004B11DC"/>
    <w:rsid w:val="004B13CA"/>
    <w:rsid w:val="004B3192"/>
    <w:rsid w:val="004B44BA"/>
    <w:rsid w:val="004B4F8E"/>
    <w:rsid w:val="004B6697"/>
    <w:rsid w:val="004C0044"/>
    <w:rsid w:val="004C19BF"/>
    <w:rsid w:val="004C2A19"/>
    <w:rsid w:val="004C6544"/>
    <w:rsid w:val="004C6B93"/>
    <w:rsid w:val="004D047F"/>
    <w:rsid w:val="004D3867"/>
    <w:rsid w:val="004D5C1B"/>
    <w:rsid w:val="004D693E"/>
    <w:rsid w:val="004E332D"/>
    <w:rsid w:val="004E3E39"/>
    <w:rsid w:val="004E3FF1"/>
    <w:rsid w:val="004E47A6"/>
    <w:rsid w:val="004E5175"/>
    <w:rsid w:val="004E5F68"/>
    <w:rsid w:val="004E7B10"/>
    <w:rsid w:val="004F140F"/>
    <w:rsid w:val="004F2DC4"/>
    <w:rsid w:val="004F4F69"/>
    <w:rsid w:val="004F75EE"/>
    <w:rsid w:val="005002E7"/>
    <w:rsid w:val="005005F9"/>
    <w:rsid w:val="005045AD"/>
    <w:rsid w:val="00504FB0"/>
    <w:rsid w:val="005051BD"/>
    <w:rsid w:val="00511C72"/>
    <w:rsid w:val="00513E52"/>
    <w:rsid w:val="00514D72"/>
    <w:rsid w:val="00515275"/>
    <w:rsid w:val="0051668C"/>
    <w:rsid w:val="00517194"/>
    <w:rsid w:val="0051779D"/>
    <w:rsid w:val="005208A6"/>
    <w:rsid w:val="00520D28"/>
    <w:rsid w:val="00520DB7"/>
    <w:rsid w:val="00520E4B"/>
    <w:rsid w:val="00521283"/>
    <w:rsid w:val="00521EC3"/>
    <w:rsid w:val="00521F3E"/>
    <w:rsid w:val="00522A33"/>
    <w:rsid w:val="00522EB2"/>
    <w:rsid w:val="005231CA"/>
    <w:rsid w:val="005242F0"/>
    <w:rsid w:val="00531F5F"/>
    <w:rsid w:val="00533F42"/>
    <w:rsid w:val="0053406F"/>
    <w:rsid w:val="00534D48"/>
    <w:rsid w:val="00534DC0"/>
    <w:rsid w:val="00536A07"/>
    <w:rsid w:val="005371DC"/>
    <w:rsid w:val="00541193"/>
    <w:rsid w:val="0054192E"/>
    <w:rsid w:val="00542C41"/>
    <w:rsid w:val="0054350D"/>
    <w:rsid w:val="00543908"/>
    <w:rsid w:val="00544BA6"/>
    <w:rsid w:val="00546157"/>
    <w:rsid w:val="0054656A"/>
    <w:rsid w:val="005507F8"/>
    <w:rsid w:val="00550E3E"/>
    <w:rsid w:val="00551B16"/>
    <w:rsid w:val="00551FEE"/>
    <w:rsid w:val="00552C64"/>
    <w:rsid w:val="00553250"/>
    <w:rsid w:val="00553AAD"/>
    <w:rsid w:val="00555F30"/>
    <w:rsid w:val="0055694E"/>
    <w:rsid w:val="005609CF"/>
    <w:rsid w:val="00564688"/>
    <w:rsid w:val="00564BEC"/>
    <w:rsid w:val="00565BE0"/>
    <w:rsid w:val="00565BEB"/>
    <w:rsid w:val="00567328"/>
    <w:rsid w:val="00567424"/>
    <w:rsid w:val="00570521"/>
    <w:rsid w:val="00570967"/>
    <w:rsid w:val="00570B7F"/>
    <w:rsid w:val="00571D63"/>
    <w:rsid w:val="00577216"/>
    <w:rsid w:val="00580F35"/>
    <w:rsid w:val="005814CF"/>
    <w:rsid w:val="00582D5D"/>
    <w:rsid w:val="0058700E"/>
    <w:rsid w:val="0059010E"/>
    <w:rsid w:val="00590844"/>
    <w:rsid w:val="005922FC"/>
    <w:rsid w:val="005942AD"/>
    <w:rsid w:val="00596280"/>
    <w:rsid w:val="005A10E0"/>
    <w:rsid w:val="005A210D"/>
    <w:rsid w:val="005A2D63"/>
    <w:rsid w:val="005A3DB7"/>
    <w:rsid w:val="005A4188"/>
    <w:rsid w:val="005A56A1"/>
    <w:rsid w:val="005A5B6E"/>
    <w:rsid w:val="005A5F5A"/>
    <w:rsid w:val="005A64DB"/>
    <w:rsid w:val="005A758B"/>
    <w:rsid w:val="005B02F3"/>
    <w:rsid w:val="005B2524"/>
    <w:rsid w:val="005B3BBE"/>
    <w:rsid w:val="005B3E39"/>
    <w:rsid w:val="005B6659"/>
    <w:rsid w:val="005B6DA9"/>
    <w:rsid w:val="005B79B1"/>
    <w:rsid w:val="005C1BDB"/>
    <w:rsid w:val="005C1D1D"/>
    <w:rsid w:val="005C2E18"/>
    <w:rsid w:val="005C3C41"/>
    <w:rsid w:val="005C406A"/>
    <w:rsid w:val="005C49F7"/>
    <w:rsid w:val="005D0B98"/>
    <w:rsid w:val="005D3BD4"/>
    <w:rsid w:val="005D7F94"/>
    <w:rsid w:val="005E0B5E"/>
    <w:rsid w:val="005E1DE4"/>
    <w:rsid w:val="005E3FF3"/>
    <w:rsid w:val="005F08E7"/>
    <w:rsid w:val="005F1194"/>
    <w:rsid w:val="005F2145"/>
    <w:rsid w:val="005F392A"/>
    <w:rsid w:val="005F4313"/>
    <w:rsid w:val="005F45B5"/>
    <w:rsid w:val="005F4CDD"/>
    <w:rsid w:val="005F572F"/>
    <w:rsid w:val="005F6310"/>
    <w:rsid w:val="005F69B1"/>
    <w:rsid w:val="00600109"/>
    <w:rsid w:val="0060718A"/>
    <w:rsid w:val="006107E2"/>
    <w:rsid w:val="006138D7"/>
    <w:rsid w:val="00615CDD"/>
    <w:rsid w:val="00616A51"/>
    <w:rsid w:val="00616D35"/>
    <w:rsid w:val="00617739"/>
    <w:rsid w:val="00617A0C"/>
    <w:rsid w:val="006200A3"/>
    <w:rsid w:val="00621AFB"/>
    <w:rsid w:val="00622486"/>
    <w:rsid w:val="00623505"/>
    <w:rsid w:val="00623C2D"/>
    <w:rsid w:val="006261EA"/>
    <w:rsid w:val="00630A2F"/>
    <w:rsid w:val="006319BE"/>
    <w:rsid w:val="006330ED"/>
    <w:rsid w:val="00634276"/>
    <w:rsid w:val="00634CB5"/>
    <w:rsid w:val="0063664B"/>
    <w:rsid w:val="00641B4F"/>
    <w:rsid w:val="006431F0"/>
    <w:rsid w:val="00643C8D"/>
    <w:rsid w:val="00646230"/>
    <w:rsid w:val="00647B13"/>
    <w:rsid w:val="00652544"/>
    <w:rsid w:val="006560CB"/>
    <w:rsid w:val="006561BA"/>
    <w:rsid w:val="0066122B"/>
    <w:rsid w:val="00664A7F"/>
    <w:rsid w:val="00665B0F"/>
    <w:rsid w:val="00666169"/>
    <w:rsid w:val="00667C51"/>
    <w:rsid w:val="00667FB8"/>
    <w:rsid w:val="0067780F"/>
    <w:rsid w:val="00680358"/>
    <w:rsid w:val="0068377D"/>
    <w:rsid w:val="006838DA"/>
    <w:rsid w:val="00684B8F"/>
    <w:rsid w:val="006877CE"/>
    <w:rsid w:val="006927B0"/>
    <w:rsid w:val="0069603B"/>
    <w:rsid w:val="00696DA0"/>
    <w:rsid w:val="006A01EC"/>
    <w:rsid w:val="006A156F"/>
    <w:rsid w:val="006A20DA"/>
    <w:rsid w:val="006A2109"/>
    <w:rsid w:val="006A37D8"/>
    <w:rsid w:val="006A39C0"/>
    <w:rsid w:val="006A3AD3"/>
    <w:rsid w:val="006B0653"/>
    <w:rsid w:val="006B098C"/>
    <w:rsid w:val="006B0DC8"/>
    <w:rsid w:val="006B12A8"/>
    <w:rsid w:val="006B1A23"/>
    <w:rsid w:val="006B3542"/>
    <w:rsid w:val="006B634A"/>
    <w:rsid w:val="006B7016"/>
    <w:rsid w:val="006C14E0"/>
    <w:rsid w:val="006C15AD"/>
    <w:rsid w:val="006C1F17"/>
    <w:rsid w:val="006C361F"/>
    <w:rsid w:val="006C373B"/>
    <w:rsid w:val="006C3C44"/>
    <w:rsid w:val="006C3E0E"/>
    <w:rsid w:val="006C3F39"/>
    <w:rsid w:val="006C40CE"/>
    <w:rsid w:val="006C59CA"/>
    <w:rsid w:val="006C7406"/>
    <w:rsid w:val="006C7A82"/>
    <w:rsid w:val="006D0EB4"/>
    <w:rsid w:val="006D26B7"/>
    <w:rsid w:val="006D34BF"/>
    <w:rsid w:val="006E1D0D"/>
    <w:rsid w:val="006E29CF"/>
    <w:rsid w:val="006E36B9"/>
    <w:rsid w:val="006E3E56"/>
    <w:rsid w:val="006E45B7"/>
    <w:rsid w:val="006E5E19"/>
    <w:rsid w:val="006E7EA4"/>
    <w:rsid w:val="006F1A79"/>
    <w:rsid w:val="006F2414"/>
    <w:rsid w:val="006F2BB8"/>
    <w:rsid w:val="006F4319"/>
    <w:rsid w:val="006F523A"/>
    <w:rsid w:val="006F5A2F"/>
    <w:rsid w:val="006F6782"/>
    <w:rsid w:val="00701302"/>
    <w:rsid w:val="00701A7C"/>
    <w:rsid w:val="00703B0F"/>
    <w:rsid w:val="00703D20"/>
    <w:rsid w:val="007050E7"/>
    <w:rsid w:val="0071029B"/>
    <w:rsid w:val="007109DD"/>
    <w:rsid w:val="007121AD"/>
    <w:rsid w:val="007129F5"/>
    <w:rsid w:val="007135C4"/>
    <w:rsid w:val="00715C92"/>
    <w:rsid w:val="007160AE"/>
    <w:rsid w:val="0071627B"/>
    <w:rsid w:val="00716C67"/>
    <w:rsid w:val="00723372"/>
    <w:rsid w:val="00723FC5"/>
    <w:rsid w:val="00726425"/>
    <w:rsid w:val="00726879"/>
    <w:rsid w:val="007273B3"/>
    <w:rsid w:val="00730F13"/>
    <w:rsid w:val="00731651"/>
    <w:rsid w:val="00732821"/>
    <w:rsid w:val="00732D13"/>
    <w:rsid w:val="00733556"/>
    <w:rsid w:val="00733C74"/>
    <w:rsid w:val="00734421"/>
    <w:rsid w:val="00736AA6"/>
    <w:rsid w:val="00736D28"/>
    <w:rsid w:val="007371C8"/>
    <w:rsid w:val="007373FB"/>
    <w:rsid w:val="0073768D"/>
    <w:rsid w:val="0073783D"/>
    <w:rsid w:val="00741410"/>
    <w:rsid w:val="00741C68"/>
    <w:rsid w:val="00744766"/>
    <w:rsid w:val="00744A1B"/>
    <w:rsid w:val="00744BFB"/>
    <w:rsid w:val="00745F15"/>
    <w:rsid w:val="00752052"/>
    <w:rsid w:val="0075354B"/>
    <w:rsid w:val="00754144"/>
    <w:rsid w:val="00755C27"/>
    <w:rsid w:val="00755F02"/>
    <w:rsid w:val="00756AB3"/>
    <w:rsid w:val="007608B7"/>
    <w:rsid w:val="00763FC5"/>
    <w:rsid w:val="007662FC"/>
    <w:rsid w:val="0076699C"/>
    <w:rsid w:val="00767D40"/>
    <w:rsid w:val="00771009"/>
    <w:rsid w:val="00772506"/>
    <w:rsid w:val="007830A6"/>
    <w:rsid w:val="0078322E"/>
    <w:rsid w:val="007874F9"/>
    <w:rsid w:val="007902E3"/>
    <w:rsid w:val="00792A9E"/>
    <w:rsid w:val="00792F34"/>
    <w:rsid w:val="007947A5"/>
    <w:rsid w:val="00796F55"/>
    <w:rsid w:val="0079716C"/>
    <w:rsid w:val="007A0F69"/>
    <w:rsid w:val="007A3018"/>
    <w:rsid w:val="007A30FD"/>
    <w:rsid w:val="007A4139"/>
    <w:rsid w:val="007A4674"/>
    <w:rsid w:val="007A51D8"/>
    <w:rsid w:val="007A62C5"/>
    <w:rsid w:val="007A6F51"/>
    <w:rsid w:val="007B031C"/>
    <w:rsid w:val="007B0C6A"/>
    <w:rsid w:val="007B1849"/>
    <w:rsid w:val="007B23E4"/>
    <w:rsid w:val="007B387F"/>
    <w:rsid w:val="007B7108"/>
    <w:rsid w:val="007B7A38"/>
    <w:rsid w:val="007C05DB"/>
    <w:rsid w:val="007C09AB"/>
    <w:rsid w:val="007C3E0B"/>
    <w:rsid w:val="007C4D93"/>
    <w:rsid w:val="007C56E5"/>
    <w:rsid w:val="007C5CF9"/>
    <w:rsid w:val="007C6EF5"/>
    <w:rsid w:val="007C7BA5"/>
    <w:rsid w:val="007D129D"/>
    <w:rsid w:val="007D3484"/>
    <w:rsid w:val="007D435B"/>
    <w:rsid w:val="007D5022"/>
    <w:rsid w:val="007E06BA"/>
    <w:rsid w:val="007E0AFD"/>
    <w:rsid w:val="007E0DF9"/>
    <w:rsid w:val="007E1F14"/>
    <w:rsid w:val="007E2208"/>
    <w:rsid w:val="007E2F99"/>
    <w:rsid w:val="007E423A"/>
    <w:rsid w:val="007E4C1C"/>
    <w:rsid w:val="007E5E0E"/>
    <w:rsid w:val="007E70F3"/>
    <w:rsid w:val="007F10C7"/>
    <w:rsid w:val="007F11D5"/>
    <w:rsid w:val="007F5AFE"/>
    <w:rsid w:val="007F6374"/>
    <w:rsid w:val="007F6EBC"/>
    <w:rsid w:val="007F71F8"/>
    <w:rsid w:val="00801881"/>
    <w:rsid w:val="008036D4"/>
    <w:rsid w:val="00805F1B"/>
    <w:rsid w:val="0080699F"/>
    <w:rsid w:val="00807F70"/>
    <w:rsid w:val="00814A6B"/>
    <w:rsid w:val="00814AF4"/>
    <w:rsid w:val="00817F8A"/>
    <w:rsid w:val="0082209E"/>
    <w:rsid w:val="008223B6"/>
    <w:rsid w:val="00823179"/>
    <w:rsid w:val="008245AA"/>
    <w:rsid w:val="00824983"/>
    <w:rsid w:val="00827178"/>
    <w:rsid w:val="00827D68"/>
    <w:rsid w:val="00827FFD"/>
    <w:rsid w:val="00830606"/>
    <w:rsid w:val="00831C03"/>
    <w:rsid w:val="00831CEE"/>
    <w:rsid w:val="0083205C"/>
    <w:rsid w:val="008325C2"/>
    <w:rsid w:val="008329B2"/>
    <w:rsid w:val="00833CD3"/>
    <w:rsid w:val="00833DA2"/>
    <w:rsid w:val="00833E32"/>
    <w:rsid w:val="00835F34"/>
    <w:rsid w:val="008400EF"/>
    <w:rsid w:val="00841B68"/>
    <w:rsid w:val="00841FC6"/>
    <w:rsid w:val="008420B0"/>
    <w:rsid w:val="00842375"/>
    <w:rsid w:val="00842948"/>
    <w:rsid w:val="0084550B"/>
    <w:rsid w:val="008509D0"/>
    <w:rsid w:val="00850AB9"/>
    <w:rsid w:val="0085308A"/>
    <w:rsid w:val="008558BF"/>
    <w:rsid w:val="00855932"/>
    <w:rsid w:val="0085674B"/>
    <w:rsid w:val="00856D8C"/>
    <w:rsid w:val="00857E7D"/>
    <w:rsid w:val="008603E3"/>
    <w:rsid w:val="00861B69"/>
    <w:rsid w:val="00864E99"/>
    <w:rsid w:val="0086542B"/>
    <w:rsid w:val="008672AA"/>
    <w:rsid w:val="00872B51"/>
    <w:rsid w:val="00876EBC"/>
    <w:rsid w:val="008809FC"/>
    <w:rsid w:val="0088231B"/>
    <w:rsid w:val="0088267D"/>
    <w:rsid w:val="00883842"/>
    <w:rsid w:val="00885FDF"/>
    <w:rsid w:val="0088746B"/>
    <w:rsid w:val="00891A3D"/>
    <w:rsid w:val="00891F00"/>
    <w:rsid w:val="00894707"/>
    <w:rsid w:val="008952F6"/>
    <w:rsid w:val="008954E7"/>
    <w:rsid w:val="00896CAC"/>
    <w:rsid w:val="00896DFD"/>
    <w:rsid w:val="008972BE"/>
    <w:rsid w:val="00897911"/>
    <w:rsid w:val="00897C4B"/>
    <w:rsid w:val="008A0946"/>
    <w:rsid w:val="008A3D4F"/>
    <w:rsid w:val="008A4B3E"/>
    <w:rsid w:val="008A5AE3"/>
    <w:rsid w:val="008A670C"/>
    <w:rsid w:val="008A70FD"/>
    <w:rsid w:val="008B1A86"/>
    <w:rsid w:val="008B288F"/>
    <w:rsid w:val="008B340E"/>
    <w:rsid w:val="008B4E78"/>
    <w:rsid w:val="008B622F"/>
    <w:rsid w:val="008B75F1"/>
    <w:rsid w:val="008C0ADE"/>
    <w:rsid w:val="008C224E"/>
    <w:rsid w:val="008C2C9A"/>
    <w:rsid w:val="008C2DC3"/>
    <w:rsid w:val="008C3DBB"/>
    <w:rsid w:val="008D0023"/>
    <w:rsid w:val="008D34ED"/>
    <w:rsid w:val="008D359F"/>
    <w:rsid w:val="008D3CCA"/>
    <w:rsid w:val="008D4263"/>
    <w:rsid w:val="008D519D"/>
    <w:rsid w:val="008D632A"/>
    <w:rsid w:val="008D6B01"/>
    <w:rsid w:val="008D7BD0"/>
    <w:rsid w:val="008E0A4F"/>
    <w:rsid w:val="008E0FEF"/>
    <w:rsid w:val="008E125E"/>
    <w:rsid w:val="008E2781"/>
    <w:rsid w:val="008E4D2A"/>
    <w:rsid w:val="008E7B9E"/>
    <w:rsid w:val="008F0227"/>
    <w:rsid w:val="008F24A2"/>
    <w:rsid w:val="008F3E8F"/>
    <w:rsid w:val="008F6FB9"/>
    <w:rsid w:val="00901060"/>
    <w:rsid w:val="00903993"/>
    <w:rsid w:val="00905CED"/>
    <w:rsid w:val="00906ADB"/>
    <w:rsid w:val="0090717C"/>
    <w:rsid w:val="00910069"/>
    <w:rsid w:val="00910264"/>
    <w:rsid w:val="00910BF1"/>
    <w:rsid w:val="00915C77"/>
    <w:rsid w:val="00916108"/>
    <w:rsid w:val="0092145C"/>
    <w:rsid w:val="0092197D"/>
    <w:rsid w:val="00921D26"/>
    <w:rsid w:val="00922876"/>
    <w:rsid w:val="009262BD"/>
    <w:rsid w:val="0092641C"/>
    <w:rsid w:val="00927CBD"/>
    <w:rsid w:val="00927D8A"/>
    <w:rsid w:val="009302C8"/>
    <w:rsid w:val="0093058E"/>
    <w:rsid w:val="009307BF"/>
    <w:rsid w:val="00930AB8"/>
    <w:rsid w:val="00932736"/>
    <w:rsid w:val="00933555"/>
    <w:rsid w:val="00934E59"/>
    <w:rsid w:val="00941D9D"/>
    <w:rsid w:val="00943BEF"/>
    <w:rsid w:val="00944DAE"/>
    <w:rsid w:val="009468C9"/>
    <w:rsid w:val="00947AD1"/>
    <w:rsid w:val="00950FDE"/>
    <w:rsid w:val="00951D10"/>
    <w:rsid w:val="009520FF"/>
    <w:rsid w:val="009546E6"/>
    <w:rsid w:val="00957E89"/>
    <w:rsid w:val="00961CB1"/>
    <w:rsid w:val="00966F37"/>
    <w:rsid w:val="00967423"/>
    <w:rsid w:val="009716CD"/>
    <w:rsid w:val="00972559"/>
    <w:rsid w:val="00972DAD"/>
    <w:rsid w:val="009743C2"/>
    <w:rsid w:val="00975317"/>
    <w:rsid w:val="0097740E"/>
    <w:rsid w:val="00981AD5"/>
    <w:rsid w:val="0098291E"/>
    <w:rsid w:val="00984118"/>
    <w:rsid w:val="00984B12"/>
    <w:rsid w:val="00986000"/>
    <w:rsid w:val="00986D1C"/>
    <w:rsid w:val="0098777D"/>
    <w:rsid w:val="00987891"/>
    <w:rsid w:val="00987B3A"/>
    <w:rsid w:val="00990533"/>
    <w:rsid w:val="00991B25"/>
    <w:rsid w:val="00992BB5"/>
    <w:rsid w:val="00996D34"/>
    <w:rsid w:val="00997540"/>
    <w:rsid w:val="00997AB9"/>
    <w:rsid w:val="00997B84"/>
    <w:rsid w:val="009A00D1"/>
    <w:rsid w:val="009A5B1B"/>
    <w:rsid w:val="009B0607"/>
    <w:rsid w:val="009B3A20"/>
    <w:rsid w:val="009B3DC0"/>
    <w:rsid w:val="009B4238"/>
    <w:rsid w:val="009B5935"/>
    <w:rsid w:val="009B5D6F"/>
    <w:rsid w:val="009B61DA"/>
    <w:rsid w:val="009B6CA1"/>
    <w:rsid w:val="009B7558"/>
    <w:rsid w:val="009C02FA"/>
    <w:rsid w:val="009C10EC"/>
    <w:rsid w:val="009C2D56"/>
    <w:rsid w:val="009C41D3"/>
    <w:rsid w:val="009C41F8"/>
    <w:rsid w:val="009C636D"/>
    <w:rsid w:val="009C67DE"/>
    <w:rsid w:val="009C7EBC"/>
    <w:rsid w:val="009D00F7"/>
    <w:rsid w:val="009D0D31"/>
    <w:rsid w:val="009D21FB"/>
    <w:rsid w:val="009D2FFE"/>
    <w:rsid w:val="009D3C9F"/>
    <w:rsid w:val="009D49F4"/>
    <w:rsid w:val="009D4A39"/>
    <w:rsid w:val="009D51D6"/>
    <w:rsid w:val="009D60D7"/>
    <w:rsid w:val="009D7358"/>
    <w:rsid w:val="009D78AA"/>
    <w:rsid w:val="009E0102"/>
    <w:rsid w:val="009E1F01"/>
    <w:rsid w:val="009E3CEC"/>
    <w:rsid w:val="009E61C2"/>
    <w:rsid w:val="009E6C5E"/>
    <w:rsid w:val="009E7D4C"/>
    <w:rsid w:val="009F011F"/>
    <w:rsid w:val="009F08E1"/>
    <w:rsid w:val="009F179E"/>
    <w:rsid w:val="009F2CA2"/>
    <w:rsid w:val="009F4E84"/>
    <w:rsid w:val="009F5440"/>
    <w:rsid w:val="009F5EF2"/>
    <w:rsid w:val="009F66F5"/>
    <w:rsid w:val="009F6BD9"/>
    <w:rsid w:val="009F7BB8"/>
    <w:rsid w:val="00A003E9"/>
    <w:rsid w:val="00A00D3E"/>
    <w:rsid w:val="00A044F7"/>
    <w:rsid w:val="00A04BA5"/>
    <w:rsid w:val="00A063A2"/>
    <w:rsid w:val="00A075D7"/>
    <w:rsid w:val="00A1062C"/>
    <w:rsid w:val="00A10D54"/>
    <w:rsid w:val="00A12477"/>
    <w:rsid w:val="00A14FE4"/>
    <w:rsid w:val="00A15ACA"/>
    <w:rsid w:val="00A16908"/>
    <w:rsid w:val="00A21931"/>
    <w:rsid w:val="00A24E52"/>
    <w:rsid w:val="00A27872"/>
    <w:rsid w:val="00A27D05"/>
    <w:rsid w:val="00A34F47"/>
    <w:rsid w:val="00A3610C"/>
    <w:rsid w:val="00A41181"/>
    <w:rsid w:val="00A4400D"/>
    <w:rsid w:val="00A440FB"/>
    <w:rsid w:val="00A44E49"/>
    <w:rsid w:val="00A500E0"/>
    <w:rsid w:val="00A50491"/>
    <w:rsid w:val="00A52A9E"/>
    <w:rsid w:val="00A56002"/>
    <w:rsid w:val="00A60167"/>
    <w:rsid w:val="00A63B26"/>
    <w:rsid w:val="00A63D25"/>
    <w:rsid w:val="00A640F7"/>
    <w:rsid w:val="00A64536"/>
    <w:rsid w:val="00A67C56"/>
    <w:rsid w:val="00A71BEC"/>
    <w:rsid w:val="00A7257C"/>
    <w:rsid w:val="00A73FBA"/>
    <w:rsid w:val="00A741CF"/>
    <w:rsid w:val="00A75401"/>
    <w:rsid w:val="00A776A4"/>
    <w:rsid w:val="00A83E1F"/>
    <w:rsid w:val="00A84390"/>
    <w:rsid w:val="00A84BDB"/>
    <w:rsid w:val="00A85049"/>
    <w:rsid w:val="00A85D6B"/>
    <w:rsid w:val="00A8764D"/>
    <w:rsid w:val="00A90BBB"/>
    <w:rsid w:val="00A93FA9"/>
    <w:rsid w:val="00A94E69"/>
    <w:rsid w:val="00A95A78"/>
    <w:rsid w:val="00A962CD"/>
    <w:rsid w:val="00A9721A"/>
    <w:rsid w:val="00A97CE2"/>
    <w:rsid w:val="00AA1AD3"/>
    <w:rsid w:val="00AA206F"/>
    <w:rsid w:val="00AA25AF"/>
    <w:rsid w:val="00AA6A45"/>
    <w:rsid w:val="00AA7FC4"/>
    <w:rsid w:val="00AB266E"/>
    <w:rsid w:val="00AB383A"/>
    <w:rsid w:val="00AB3C6F"/>
    <w:rsid w:val="00AB787B"/>
    <w:rsid w:val="00AC003A"/>
    <w:rsid w:val="00AC11E4"/>
    <w:rsid w:val="00AC1E13"/>
    <w:rsid w:val="00AC1F76"/>
    <w:rsid w:val="00AC304A"/>
    <w:rsid w:val="00AC3A5F"/>
    <w:rsid w:val="00AC47B5"/>
    <w:rsid w:val="00AC6CB2"/>
    <w:rsid w:val="00AC7C61"/>
    <w:rsid w:val="00AD05E2"/>
    <w:rsid w:val="00AD14F5"/>
    <w:rsid w:val="00AD1B2B"/>
    <w:rsid w:val="00AD1DFD"/>
    <w:rsid w:val="00AD5DFE"/>
    <w:rsid w:val="00AD7105"/>
    <w:rsid w:val="00AD713C"/>
    <w:rsid w:val="00AD79F8"/>
    <w:rsid w:val="00AE6B1E"/>
    <w:rsid w:val="00AE7F92"/>
    <w:rsid w:val="00AF2790"/>
    <w:rsid w:val="00AF3A62"/>
    <w:rsid w:val="00AF41E7"/>
    <w:rsid w:val="00AF595C"/>
    <w:rsid w:val="00AF5CA8"/>
    <w:rsid w:val="00AF74F3"/>
    <w:rsid w:val="00B035CB"/>
    <w:rsid w:val="00B068CB"/>
    <w:rsid w:val="00B07B49"/>
    <w:rsid w:val="00B10226"/>
    <w:rsid w:val="00B11BF5"/>
    <w:rsid w:val="00B140C8"/>
    <w:rsid w:val="00B15031"/>
    <w:rsid w:val="00B17227"/>
    <w:rsid w:val="00B17906"/>
    <w:rsid w:val="00B20742"/>
    <w:rsid w:val="00B20E3B"/>
    <w:rsid w:val="00B21294"/>
    <w:rsid w:val="00B22CDE"/>
    <w:rsid w:val="00B2359C"/>
    <w:rsid w:val="00B24C0E"/>
    <w:rsid w:val="00B27924"/>
    <w:rsid w:val="00B36835"/>
    <w:rsid w:val="00B40636"/>
    <w:rsid w:val="00B420F1"/>
    <w:rsid w:val="00B42BD3"/>
    <w:rsid w:val="00B42C41"/>
    <w:rsid w:val="00B43BB1"/>
    <w:rsid w:val="00B45C6F"/>
    <w:rsid w:val="00B46660"/>
    <w:rsid w:val="00B505D9"/>
    <w:rsid w:val="00B5184B"/>
    <w:rsid w:val="00B52E30"/>
    <w:rsid w:val="00B57FE6"/>
    <w:rsid w:val="00B6196B"/>
    <w:rsid w:val="00B62564"/>
    <w:rsid w:val="00B63718"/>
    <w:rsid w:val="00B63A1F"/>
    <w:rsid w:val="00B64B8F"/>
    <w:rsid w:val="00B66BA3"/>
    <w:rsid w:val="00B70214"/>
    <w:rsid w:val="00B703D3"/>
    <w:rsid w:val="00B71086"/>
    <w:rsid w:val="00B71F31"/>
    <w:rsid w:val="00B74815"/>
    <w:rsid w:val="00B7556D"/>
    <w:rsid w:val="00B75BDE"/>
    <w:rsid w:val="00B77A36"/>
    <w:rsid w:val="00B8359A"/>
    <w:rsid w:val="00B85415"/>
    <w:rsid w:val="00B85B63"/>
    <w:rsid w:val="00B86D33"/>
    <w:rsid w:val="00B86DC0"/>
    <w:rsid w:val="00B8718D"/>
    <w:rsid w:val="00B906A3"/>
    <w:rsid w:val="00B91BD6"/>
    <w:rsid w:val="00B923AF"/>
    <w:rsid w:val="00B93451"/>
    <w:rsid w:val="00B942D9"/>
    <w:rsid w:val="00B94801"/>
    <w:rsid w:val="00B94D5D"/>
    <w:rsid w:val="00B94EE8"/>
    <w:rsid w:val="00B97A9A"/>
    <w:rsid w:val="00BA381F"/>
    <w:rsid w:val="00BB25E6"/>
    <w:rsid w:val="00BB3145"/>
    <w:rsid w:val="00BB44C1"/>
    <w:rsid w:val="00BB6B5B"/>
    <w:rsid w:val="00BB7B54"/>
    <w:rsid w:val="00BB7C94"/>
    <w:rsid w:val="00BC0975"/>
    <w:rsid w:val="00BC104B"/>
    <w:rsid w:val="00BC1901"/>
    <w:rsid w:val="00BC3698"/>
    <w:rsid w:val="00BC3C44"/>
    <w:rsid w:val="00BC3E1D"/>
    <w:rsid w:val="00BC5FE7"/>
    <w:rsid w:val="00BC6A0E"/>
    <w:rsid w:val="00BC722F"/>
    <w:rsid w:val="00BC7546"/>
    <w:rsid w:val="00BD0CBE"/>
    <w:rsid w:val="00BD3C7B"/>
    <w:rsid w:val="00BD3F5B"/>
    <w:rsid w:val="00BE2D14"/>
    <w:rsid w:val="00BE2D43"/>
    <w:rsid w:val="00BE318A"/>
    <w:rsid w:val="00BE4F6D"/>
    <w:rsid w:val="00BE5701"/>
    <w:rsid w:val="00BE6FF1"/>
    <w:rsid w:val="00BF06DC"/>
    <w:rsid w:val="00BF184D"/>
    <w:rsid w:val="00BF1FEB"/>
    <w:rsid w:val="00BF2031"/>
    <w:rsid w:val="00BF242D"/>
    <w:rsid w:val="00BF2483"/>
    <w:rsid w:val="00BF2775"/>
    <w:rsid w:val="00BF2814"/>
    <w:rsid w:val="00BF36E7"/>
    <w:rsid w:val="00BF6281"/>
    <w:rsid w:val="00BF7C21"/>
    <w:rsid w:val="00C01357"/>
    <w:rsid w:val="00C015E2"/>
    <w:rsid w:val="00C01B36"/>
    <w:rsid w:val="00C03D0E"/>
    <w:rsid w:val="00C071F6"/>
    <w:rsid w:val="00C1112D"/>
    <w:rsid w:val="00C11405"/>
    <w:rsid w:val="00C11A3E"/>
    <w:rsid w:val="00C15393"/>
    <w:rsid w:val="00C156AD"/>
    <w:rsid w:val="00C1768E"/>
    <w:rsid w:val="00C20156"/>
    <w:rsid w:val="00C20AFE"/>
    <w:rsid w:val="00C254B8"/>
    <w:rsid w:val="00C2723C"/>
    <w:rsid w:val="00C27820"/>
    <w:rsid w:val="00C30074"/>
    <w:rsid w:val="00C30512"/>
    <w:rsid w:val="00C310F1"/>
    <w:rsid w:val="00C31E90"/>
    <w:rsid w:val="00C33F63"/>
    <w:rsid w:val="00C34CE3"/>
    <w:rsid w:val="00C356E2"/>
    <w:rsid w:val="00C371BF"/>
    <w:rsid w:val="00C37A55"/>
    <w:rsid w:val="00C400D3"/>
    <w:rsid w:val="00C40349"/>
    <w:rsid w:val="00C4131B"/>
    <w:rsid w:val="00C417C7"/>
    <w:rsid w:val="00C41E5B"/>
    <w:rsid w:val="00C426F1"/>
    <w:rsid w:val="00C4384D"/>
    <w:rsid w:val="00C44251"/>
    <w:rsid w:val="00C4525A"/>
    <w:rsid w:val="00C465B7"/>
    <w:rsid w:val="00C47391"/>
    <w:rsid w:val="00C47CE0"/>
    <w:rsid w:val="00C501B3"/>
    <w:rsid w:val="00C524A5"/>
    <w:rsid w:val="00C52D6A"/>
    <w:rsid w:val="00C54C2C"/>
    <w:rsid w:val="00C573D3"/>
    <w:rsid w:val="00C5776F"/>
    <w:rsid w:val="00C57A4F"/>
    <w:rsid w:val="00C62EEC"/>
    <w:rsid w:val="00C63445"/>
    <w:rsid w:val="00C63F2A"/>
    <w:rsid w:val="00C64296"/>
    <w:rsid w:val="00C647A9"/>
    <w:rsid w:val="00C64ACD"/>
    <w:rsid w:val="00C64CDD"/>
    <w:rsid w:val="00C7065C"/>
    <w:rsid w:val="00C71885"/>
    <w:rsid w:val="00C71B13"/>
    <w:rsid w:val="00C71FE1"/>
    <w:rsid w:val="00C729F0"/>
    <w:rsid w:val="00C7396D"/>
    <w:rsid w:val="00C74AED"/>
    <w:rsid w:val="00C74F74"/>
    <w:rsid w:val="00C7770B"/>
    <w:rsid w:val="00C816DD"/>
    <w:rsid w:val="00C81C41"/>
    <w:rsid w:val="00C82048"/>
    <w:rsid w:val="00C82D95"/>
    <w:rsid w:val="00C82EAF"/>
    <w:rsid w:val="00C832AF"/>
    <w:rsid w:val="00C83B24"/>
    <w:rsid w:val="00C83D51"/>
    <w:rsid w:val="00C86E21"/>
    <w:rsid w:val="00C8762A"/>
    <w:rsid w:val="00C93986"/>
    <w:rsid w:val="00C953B0"/>
    <w:rsid w:val="00C95676"/>
    <w:rsid w:val="00C9600E"/>
    <w:rsid w:val="00C9605F"/>
    <w:rsid w:val="00CA0555"/>
    <w:rsid w:val="00CA0AD1"/>
    <w:rsid w:val="00CA194B"/>
    <w:rsid w:val="00CA2941"/>
    <w:rsid w:val="00CA6CAF"/>
    <w:rsid w:val="00CA75B9"/>
    <w:rsid w:val="00CB0920"/>
    <w:rsid w:val="00CB3446"/>
    <w:rsid w:val="00CB7978"/>
    <w:rsid w:val="00CC0B86"/>
    <w:rsid w:val="00CC10EA"/>
    <w:rsid w:val="00CC360A"/>
    <w:rsid w:val="00CC4647"/>
    <w:rsid w:val="00CC7079"/>
    <w:rsid w:val="00CC76C5"/>
    <w:rsid w:val="00CD0EE3"/>
    <w:rsid w:val="00CD6F43"/>
    <w:rsid w:val="00CE04F2"/>
    <w:rsid w:val="00CE1772"/>
    <w:rsid w:val="00CE1C4B"/>
    <w:rsid w:val="00CE2191"/>
    <w:rsid w:val="00CE2E38"/>
    <w:rsid w:val="00CE471C"/>
    <w:rsid w:val="00CE54E4"/>
    <w:rsid w:val="00CE693A"/>
    <w:rsid w:val="00CE6CEE"/>
    <w:rsid w:val="00CE7E3E"/>
    <w:rsid w:val="00CF01D7"/>
    <w:rsid w:val="00CF0CEF"/>
    <w:rsid w:val="00CF1EC4"/>
    <w:rsid w:val="00CF2339"/>
    <w:rsid w:val="00CF252A"/>
    <w:rsid w:val="00CF2663"/>
    <w:rsid w:val="00CF3001"/>
    <w:rsid w:val="00CF4C80"/>
    <w:rsid w:val="00CF6B39"/>
    <w:rsid w:val="00D0268D"/>
    <w:rsid w:val="00D04B1E"/>
    <w:rsid w:val="00D07741"/>
    <w:rsid w:val="00D1009A"/>
    <w:rsid w:val="00D10544"/>
    <w:rsid w:val="00D12C27"/>
    <w:rsid w:val="00D13D6E"/>
    <w:rsid w:val="00D13D8E"/>
    <w:rsid w:val="00D144B0"/>
    <w:rsid w:val="00D14BE3"/>
    <w:rsid w:val="00D14D64"/>
    <w:rsid w:val="00D158AD"/>
    <w:rsid w:val="00D168B8"/>
    <w:rsid w:val="00D17004"/>
    <w:rsid w:val="00D17D18"/>
    <w:rsid w:val="00D17DA8"/>
    <w:rsid w:val="00D20A4E"/>
    <w:rsid w:val="00D21242"/>
    <w:rsid w:val="00D2224F"/>
    <w:rsid w:val="00D23828"/>
    <w:rsid w:val="00D2715B"/>
    <w:rsid w:val="00D31CD6"/>
    <w:rsid w:val="00D3206E"/>
    <w:rsid w:val="00D32128"/>
    <w:rsid w:val="00D32742"/>
    <w:rsid w:val="00D33184"/>
    <w:rsid w:val="00D33206"/>
    <w:rsid w:val="00D34262"/>
    <w:rsid w:val="00D342D0"/>
    <w:rsid w:val="00D34EE1"/>
    <w:rsid w:val="00D35AFE"/>
    <w:rsid w:val="00D40620"/>
    <w:rsid w:val="00D41236"/>
    <w:rsid w:val="00D41425"/>
    <w:rsid w:val="00D41F06"/>
    <w:rsid w:val="00D42B29"/>
    <w:rsid w:val="00D43278"/>
    <w:rsid w:val="00D440EA"/>
    <w:rsid w:val="00D47B52"/>
    <w:rsid w:val="00D47BC5"/>
    <w:rsid w:val="00D50DE8"/>
    <w:rsid w:val="00D523AE"/>
    <w:rsid w:val="00D52B9F"/>
    <w:rsid w:val="00D5311E"/>
    <w:rsid w:val="00D53299"/>
    <w:rsid w:val="00D53DB9"/>
    <w:rsid w:val="00D53E2B"/>
    <w:rsid w:val="00D53F24"/>
    <w:rsid w:val="00D540C3"/>
    <w:rsid w:val="00D5543B"/>
    <w:rsid w:val="00D56435"/>
    <w:rsid w:val="00D56864"/>
    <w:rsid w:val="00D574D2"/>
    <w:rsid w:val="00D604CF"/>
    <w:rsid w:val="00D6090B"/>
    <w:rsid w:val="00D60AC8"/>
    <w:rsid w:val="00D61472"/>
    <w:rsid w:val="00D61B0A"/>
    <w:rsid w:val="00D61EBD"/>
    <w:rsid w:val="00D62A85"/>
    <w:rsid w:val="00D63A68"/>
    <w:rsid w:val="00D64A60"/>
    <w:rsid w:val="00D6572A"/>
    <w:rsid w:val="00D66FB1"/>
    <w:rsid w:val="00D67B0D"/>
    <w:rsid w:val="00D7012C"/>
    <w:rsid w:val="00D71C97"/>
    <w:rsid w:val="00D72737"/>
    <w:rsid w:val="00D730AF"/>
    <w:rsid w:val="00D7353C"/>
    <w:rsid w:val="00D7569D"/>
    <w:rsid w:val="00D77A57"/>
    <w:rsid w:val="00D77CD8"/>
    <w:rsid w:val="00D810ED"/>
    <w:rsid w:val="00D828CD"/>
    <w:rsid w:val="00D833EF"/>
    <w:rsid w:val="00D84A15"/>
    <w:rsid w:val="00D87DF2"/>
    <w:rsid w:val="00D9014F"/>
    <w:rsid w:val="00D91671"/>
    <w:rsid w:val="00D92BC7"/>
    <w:rsid w:val="00D930C9"/>
    <w:rsid w:val="00DA2BBF"/>
    <w:rsid w:val="00DA3B05"/>
    <w:rsid w:val="00DA40BB"/>
    <w:rsid w:val="00DA461B"/>
    <w:rsid w:val="00DA52C6"/>
    <w:rsid w:val="00DA5712"/>
    <w:rsid w:val="00DA7201"/>
    <w:rsid w:val="00DA7D73"/>
    <w:rsid w:val="00DB09D4"/>
    <w:rsid w:val="00DB4177"/>
    <w:rsid w:val="00DB6B90"/>
    <w:rsid w:val="00DC10CD"/>
    <w:rsid w:val="00DC12F3"/>
    <w:rsid w:val="00DC3BD8"/>
    <w:rsid w:val="00DC6219"/>
    <w:rsid w:val="00DC6467"/>
    <w:rsid w:val="00DD336D"/>
    <w:rsid w:val="00DD3F0B"/>
    <w:rsid w:val="00DD4AED"/>
    <w:rsid w:val="00DD56FA"/>
    <w:rsid w:val="00DD6B8B"/>
    <w:rsid w:val="00DD7847"/>
    <w:rsid w:val="00DE20FE"/>
    <w:rsid w:val="00DE2370"/>
    <w:rsid w:val="00DE2A40"/>
    <w:rsid w:val="00DE65F9"/>
    <w:rsid w:val="00DE70F1"/>
    <w:rsid w:val="00DF0EDF"/>
    <w:rsid w:val="00DF2CEC"/>
    <w:rsid w:val="00DF3656"/>
    <w:rsid w:val="00DF48DD"/>
    <w:rsid w:val="00DF545E"/>
    <w:rsid w:val="00DF5532"/>
    <w:rsid w:val="00DF56D4"/>
    <w:rsid w:val="00DF7387"/>
    <w:rsid w:val="00DF7F13"/>
    <w:rsid w:val="00E00BD6"/>
    <w:rsid w:val="00E00FBB"/>
    <w:rsid w:val="00E01B8F"/>
    <w:rsid w:val="00E05567"/>
    <w:rsid w:val="00E06A53"/>
    <w:rsid w:val="00E07A4C"/>
    <w:rsid w:val="00E11554"/>
    <w:rsid w:val="00E1517E"/>
    <w:rsid w:val="00E172EC"/>
    <w:rsid w:val="00E20A1E"/>
    <w:rsid w:val="00E20A73"/>
    <w:rsid w:val="00E20CBD"/>
    <w:rsid w:val="00E217A2"/>
    <w:rsid w:val="00E26F6B"/>
    <w:rsid w:val="00E2768F"/>
    <w:rsid w:val="00E35643"/>
    <w:rsid w:val="00E41A06"/>
    <w:rsid w:val="00E4203A"/>
    <w:rsid w:val="00E4467D"/>
    <w:rsid w:val="00E47841"/>
    <w:rsid w:val="00E510BF"/>
    <w:rsid w:val="00E54BEA"/>
    <w:rsid w:val="00E553D5"/>
    <w:rsid w:val="00E562D1"/>
    <w:rsid w:val="00E579A5"/>
    <w:rsid w:val="00E610FA"/>
    <w:rsid w:val="00E61D4F"/>
    <w:rsid w:val="00E63519"/>
    <w:rsid w:val="00E63C79"/>
    <w:rsid w:val="00E63F7A"/>
    <w:rsid w:val="00E64109"/>
    <w:rsid w:val="00E6580F"/>
    <w:rsid w:val="00E66F1F"/>
    <w:rsid w:val="00E67041"/>
    <w:rsid w:val="00E71522"/>
    <w:rsid w:val="00E71550"/>
    <w:rsid w:val="00E727CC"/>
    <w:rsid w:val="00E72FDA"/>
    <w:rsid w:val="00E73613"/>
    <w:rsid w:val="00E73776"/>
    <w:rsid w:val="00E74093"/>
    <w:rsid w:val="00E761DB"/>
    <w:rsid w:val="00E76D05"/>
    <w:rsid w:val="00E76ED2"/>
    <w:rsid w:val="00E77A66"/>
    <w:rsid w:val="00E77BD3"/>
    <w:rsid w:val="00E81004"/>
    <w:rsid w:val="00E82F6E"/>
    <w:rsid w:val="00E835ED"/>
    <w:rsid w:val="00E854F1"/>
    <w:rsid w:val="00E879E6"/>
    <w:rsid w:val="00E87C68"/>
    <w:rsid w:val="00E91434"/>
    <w:rsid w:val="00E917D8"/>
    <w:rsid w:val="00E91F63"/>
    <w:rsid w:val="00E9416D"/>
    <w:rsid w:val="00E948B4"/>
    <w:rsid w:val="00E958B2"/>
    <w:rsid w:val="00E95F62"/>
    <w:rsid w:val="00EA21BA"/>
    <w:rsid w:val="00EA42BC"/>
    <w:rsid w:val="00EA666E"/>
    <w:rsid w:val="00EA7AEE"/>
    <w:rsid w:val="00EA7C6C"/>
    <w:rsid w:val="00EA7E36"/>
    <w:rsid w:val="00EB045D"/>
    <w:rsid w:val="00EB2E1D"/>
    <w:rsid w:val="00EB46AC"/>
    <w:rsid w:val="00EB6EB5"/>
    <w:rsid w:val="00EC038B"/>
    <w:rsid w:val="00EC240B"/>
    <w:rsid w:val="00EC34C3"/>
    <w:rsid w:val="00EC681B"/>
    <w:rsid w:val="00ED1327"/>
    <w:rsid w:val="00ED2C3C"/>
    <w:rsid w:val="00ED56FE"/>
    <w:rsid w:val="00EE5052"/>
    <w:rsid w:val="00EE6069"/>
    <w:rsid w:val="00EE692D"/>
    <w:rsid w:val="00EE6E0F"/>
    <w:rsid w:val="00EE7440"/>
    <w:rsid w:val="00EF127F"/>
    <w:rsid w:val="00EF14D3"/>
    <w:rsid w:val="00EF1CD7"/>
    <w:rsid w:val="00EF1EDF"/>
    <w:rsid w:val="00EF266D"/>
    <w:rsid w:val="00EF49A4"/>
    <w:rsid w:val="00EF5446"/>
    <w:rsid w:val="00EF7931"/>
    <w:rsid w:val="00F000E0"/>
    <w:rsid w:val="00F00166"/>
    <w:rsid w:val="00F016B7"/>
    <w:rsid w:val="00F02D92"/>
    <w:rsid w:val="00F06F92"/>
    <w:rsid w:val="00F07A4B"/>
    <w:rsid w:val="00F10F03"/>
    <w:rsid w:val="00F1477F"/>
    <w:rsid w:val="00F15561"/>
    <w:rsid w:val="00F15A91"/>
    <w:rsid w:val="00F22917"/>
    <w:rsid w:val="00F23EE7"/>
    <w:rsid w:val="00F24502"/>
    <w:rsid w:val="00F2499A"/>
    <w:rsid w:val="00F24AB0"/>
    <w:rsid w:val="00F276F2"/>
    <w:rsid w:val="00F325FF"/>
    <w:rsid w:val="00F342C1"/>
    <w:rsid w:val="00F353E0"/>
    <w:rsid w:val="00F40686"/>
    <w:rsid w:val="00F41FDE"/>
    <w:rsid w:val="00F44054"/>
    <w:rsid w:val="00F454C4"/>
    <w:rsid w:val="00F46213"/>
    <w:rsid w:val="00F4686E"/>
    <w:rsid w:val="00F47D38"/>
    <w:rsid w:val="00F51E8C"/>
    <w:rsid w:val="00F52608"/>
    <w:rsid w:val="00F537AB"/>
    <w:rsid w:val="00F54612"/>
    <w:rsid w:val="00F54E2E"/>
    <w:rsid w:val="00F55A46"/>
    <w:rsid w:val="00F5781B"/>
    <w:rsid w:val="00F60226"/>
    <w:rsid w:val="00F6114F"/>
    <w:rsid w:val="00F6134B"/>
    <w:rsid w:val="00F63788"/>
    <w:rsid w:val="00F6481A"/>
    <w:rsid w:val="00F649FD"/>
    <w:rsid w:val="00F65AC4"/>
    <w:rsid w:val="00F7030B"/>
    <w:rsid w:val="00F70B4F"/>
    <w:rsid w:val="00F71244"/>
    <w:rsid w:val="00F7164D"/>
    <w:rsid w:val="00F71B48"/>
    <w:rsid w:val="00F71D98"/>
    <w:rsid w:val="00F73BB8"/>
    <w:rsid w:val="00F768DA"/>
    <w:rsid w:val="00F80D4D"/>
    <w:rsid w:val="00F83ABE"/>
    <w:rsid w:val="00F84716"/>
    <w:rsid w:val="00F860F2"/>
    <w:rsid w:val="00F90330"/>
    <w:rsid w:val="00F90A96"/>
    <w:rsid w:val="00F90C91"/>
    <w:rsid w:val="00F911BB"/>
    <w:rsid w:val="00F93FDB"/>
    <w:rsid w:val="00F94007"/>
    <w:rsid w:val="00F947EF"/>
    <w:rsid w:val="00F95457"/>
    <w:rsid w:val="00F97E0D"/>
    <w:rsid w:val="00F97E3F"/>
    <w:rsid w:val="00FA4659"/>
    <w:rsid w:val="00FA4DD3"/>
    <w:rsid w:val="00FA5D38"/>
    <w:rsid w:val="00FB0DED"/>
    <w:rsid w:val="00FB3FD6"/>
    <w:rsid w:val="00FB68BA"/>
    <w:rsid w:val="00FB7ABF"/>
    <w:rsid w:val="00FC1530"/>
    <w:rsid w:val="00FC1B56"/>
    <w:rsid w:val="00FC2082"/>
    <w:rsid w:val="00FC23BF"/>
    <w:rsid w:val="00FC6D93"/>
    <w:rsid w:val="00FC7D5F"/>
    <w:rsid w:val="00FD0286"/>
    <w:rsid w:val="00FD1FE5"/>
    <w:rsid w:val="00FD2253"/>
    <w:rsid w:val="00FD2E99"/>
    <w:rsid w:val="00FD37BD"/>
    <w:rsid w:val="00FD4A66"/>
    <w:rsid w:val="00FD53C3"/>
    <w:rsid w:val="00FD56F1"/>
    <w:rsid w:val="00FE12D9"/>
    <w:rsid w:val="00FE17B3"/>
    <w:rsid w:val="00FE3814"/>
    <w:rsid w:val="00FE413B"/>
    <w:rsid w:val="00FE7D6F"/>
    <w:rsid w:val="00FF00DF"/>
    <w:rsid w:val="00FF0B38"/>
    <w:rsid w:val="00FF137B"/>
    <w:rsid w:val="00FF24E5"/>
    <w:rsid w:val="00FF36E8"/>
    <w:rsid w:val="00FF3A1E"/>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893D9"/>
  <w15:chartTrackingRefBased/>
  <w15:docId w15:val="{5E748549-E483-4D0E-BA52-1FA860E4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Ind w:w="0"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Ind w:w="0" w:type="dxa"/>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CellMar>
        <w:top w:w="0" w:type="dxa"/>
        <w:left w:w="108" w:type="dxa"/>
        <w:bottom w:w="0" w:type="dxa"/>
        <w:right w:w="108" w:type="dxa"/>
      </w:tblCellMar>
    </w:tblPr>
    <w:tcPr>
      <w:shd w:val="clear" w:color="auto" w:fill="auto"/>
    </w:tcPr>
    <w:tblStylePr w:type="firstRow">
      <w:rPr>
        <w:b/>
      </w:rPr>
    </w:tblStylePr>
  </w:style>
  <w:style w:type="character" w:customStyle="1" w:styleId="Heading2Char">
    <w:name w:val="Heading 2 Char"/>
    <w:basedOn w:val="DefaultParagraphFont"/>
    <w:link w:val="Heading2"/>
    <w:uiPriority w:val="9"/>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rsid w:val="005F392A"/>
    <w:pPr>
      <w:tabs>
        <w:tab w:val="center" w:pos="4513"/>
        <w:tab w:val="right" w:pos="9026"/>
      </w:tabs>
      <w:spacing w:after="0" w:line="240" w:lineRule="auto"/>
    </w:pPr>
  </w:style>
  <w:style w:type="character" w:customStyle="1" w:styleId="HeaderChar">
    <w:name w:val="Header Char"/>
    <w:basedOn w:val="DefaultParagraphFont"/>
    <w:link w:val="Header"/>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tabs>
        <w:tab w:val="clear" w:pos="7938"/>
        <w:tab w:val="num" w:pos="567"/>
      </w:tabs>
      <w:ind w:left="567"/>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JUGMENTNUMBERED">
    <w:name w:val="JUGMENT NUMBERED"/>
    <w:basedOn w:val="Normal"/>
    <w:uiPriority w:val="99"/>
    <w:rsid w:val="009F6BD9"/>
    <w:pPr>
      <w:numPr>
        <w:numId w:val="54"/>
      </w:numPr>
      <w:spacing w:after="0" w:line="480" w:lineRule="auto"/>
    </w:pPr>
    <w:rPr>
      <w:rFonts w:ascii="Times New Roman" w:hAnsi="Times New Roman"/>
      <w:sz w:val="26"/>
      <w:szCs w:val="26"/>
      <w:lang w:eastAsia="en-ZA"/>
    </w:rPr>
  </w:style>
  <w:style w:type="paragraph" w:customStyle="1" w:styleId="western">
    <w:name w:val="western"/>
    <w:basedOn w:val="Normal"/>
    <w:rsid w:val="00E727CC"/>
    <w:pPr>
      <w:spacing w:before="100" w:beforeAutospacing="1" w:after="100" w:afterAutospacing="1" w:line="240" w:lineRule="auto"/>
      <w:jc w:val="left"/>
    </w:pPr>
    <w:rPr>
      <w:rFonts w:ascii="Times New Roman" w:hAnsi="Times New Roman"/>
      <w:sz w:val="24"/>
      <w:szCs w:val="24"/>
      <w:lang w:eastAsia="en-ZA"/>
    </w:rPr>
  </w:style>
  <w:style w:type="paragraph" w:styleId="Revision">
    <w:name w:val="Revision"/>
    <w:hidden/>
    <w:uiPriority w:val="99"/>
    <w:semiHidden/>
    <w:rsid w:val="00905CED"/>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9258">
      <w:bodyDiv w:val="1"/>
      <w:marLeft w:val="0"/>
      <w:marRight w:val="0"/>
      <w:marTop w:val="0"/>
      <w:marBottom w:val="0"/>
      <w:divBdr>
        <w:top w:val="none" w:sz="0" w:space="0" w:color="auto"/>
        <w:left w:val="none" w:sz="0" w:space="0" w:color="auto"/>
        <w:bottom w:val="none" w:sz="0" w:space="0" w:color="auto"/>
        <w:right w:val="none" w:sz="0" w:space="0" w:color="auto"/>
      </w:divBdr>
    </w:div>
    <w:div w:id="649867391">
      <w:bodyDiv w:val="1"/>
      <w:marLeft w:val="0"/>
      <w:marRight w:val="0"/>
      <w:marTop w:val="0"/>
      <w:marBottom w:val="0"/>
      <w:divBdr>
        <w:top w:val="none" w:sz="0" w:space="0" w:color="auto"/>
        <w:left w:val="none" w:sz="0" w:space="0" w:color="auto"/>
        <w:bottom w:val="none" w:sz="0" w:space="0" w:color="auto"/>
        <w:right w:val="none" w:sz="0" w:space="0" w:color="auto"/>
      </w:divBdr>
    </w:div>
    <w:div w:id="749234567">
      <w:bodyDiv w:val="1"/>
      <w:marLeft w:val="0"/>
      <w:marRight w:val="0"/>
      <w:marTop w:val="0"/>
      <w:marBottom w:val="0"/>
      <w:divBdr>
        <w:top w:val="none" w:sz="0" w:space="0" w:color="auto"/>
        <w:left w:val="none" w:sz="0" w:space="0" w:color="auto"/>
        <w:bottom w:val="none" w:sz="0" w:space="0" w:color="auto"/>
        <w:right w:val="none" w:sz="0" w:space="0" w:color="auto"/>
      </w:divBdr>
    </w:div>
    <w:div w:id="826358288">
      <w:bodyDiv w:val="1"/>
      <w:marLeft w:val="0"/>
      <w:marRight w:val="0"/>
      <w:marTop w:val="0"/>
      <w:marBottom w:val="0"/>
      <w:divBdr>
        <w:top w:val="none" w:sz="0" w:space="0" w:color="auto"/>
        <w:left w:val="none" w:sz="0" w:space="0" w:color="auto"/>
        <w:bottom w:val="none" w:sz="0" w:space="0" w:color="auto"/>
        <w:right w:val="none" w:sz="0" w:space="0" w:color="auto"/>
      </w:divBdr>
    </w:div>
    <w:div w:id="1072318379">
      <w:bodyDiv w:val="1"/>
      <w:marLeft w:val="0"/>
      <w:marRight w:val="0"/>
      <w:marTop w:val="0"/>
      <w:marBottom w:val="0"/>
      <w:divBdr>
        <w:top w:val="none" w:sz="0" w:space="0" w:color="auto"/>
        <w:left w:val="none" w:sz="0" w:space="0" w:color="auto"/>
        <w:bottom w:val="none" w:sz="0" w:space="0" w:color="auto"/>
        <w:right w:val="none" w:sz="0" w:space="0" w:color="auto"/>
      </w:divBdr>
    </w:div>
    <w:div w:id="11472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1FE4-F99E-4541-BBA0-3379C462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6054</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Bowmans</dc:creator>
  <cp:keywords/>
  <dc:description/>
  <cp:lastModifiedBy>Mokone</cp:lastModifiedBy>
  <cp:revision>2</cp:revision>
  <cp:lastPrinted>2022-09-27T09:12:00Z</cp:lastPrinted>
  <dcterms:created xsi:type="dcterms:W3CDTF">2022-10-12T09:26:00Z</dcterms:created>
  <dcterms:modified xsi:type="dcterms:W3CDTF">2022-10-12T09:26:00Z</dcterms:modified>
</cp:coreProperties>
</file>