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1283" w14:textId="6B904DC8" w:rsidR="00AE39D3" w:rsidRPr="00C71BA3" w:rsidRDefault="00842028" w:rsidP="00BC3FB8">
      <w:pPr>
        <w:spacing w:line="360" w:lineRule="auto"/>
        <w:jc w:val="center"/>
        <w:rPr>
          <w:rFonts w:ascii="Arial" w:hAnsi="Arial" w:cs="Arial"/>
          <w:b/>
        </w:rPr>
      </w:pPr>
      <w:bookmarkStart w:id="0" w:name="_GoBack"/>
      <w:bookmarkEnd w:id="0"/>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77777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1C180131">
                      <wp:simplePos x="0" y="0"/>
                      <wp:positionH relativeFrom="column">
                        <wp:posOffset>75565</wp:posOffset>
                      </wp:positionH>
                      <wp:positionV relativeFrom="paragraph">
                        <wp:posOffset>422910</wp:posOffset>
                      </wp:positionV>
                      <wp:extent cx="3228975" cy="12001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0015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07679ACA"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B82F3F">
                                    <w:rPr>
                                      <w:rFonts w:ascii="Arial" w:hAnsi="Arial" w:cs="Arial"/>
                                      <w:sz w:val="20"/>
                                      <w:szCs w:val="20"/>
                                    </w:rPr>
                                    <w:t>2</w:t>
                                  </w:r>
                                  <w:r w:rsidR="004542F1">
                                    <w:rPr>
                                      <w:rFonts w:ascii="Arial" w:hAnsi="Arial" w:cs="Arial"/>
                                      <w:sz w:val="20"/>
                                      <w:szCs w:val="20"/>
                                    </w:rPr>
                                    <w:t>3</w:t>
                                  </w:r>
                                  <w:r>
                                    <w:rPr>
                                      <w:rFonts w:ascii="Arial" w:hAnsi="Arial" w:cs="Arial"/>
                                      <w:sz w:val="20"/>
                                      <w:szCs w:val="20"/>
                                    </w:rPr>
                                    <w:t xml:space="preserve"> </w:t>
                                  </w:r>
                                  <w:r w:rsidR="000E7926">
                                    <w:rPr>
                                      <w:rFonts w:ascii="Arial" w:hAnsi="Arial" w:cs="Arial"/>
                                      <w:sz w:val="20"/>
                                      <w:szCs w:val="20"/>
                                    </w:rPr>
                                    <w:t>September</w:t>
                                  </w:r>
                                  <w:r>
                                    <w:rPr>
                                      <w:rFonts w:ascii="Arial" w:hAnsi="Arial" w:cs="Arial"/>
                                      <w:sz w:val="20"/>
                                      <w:szCs w:val="20"/>
                                    </w:rPr>
                                    <w:t xml:space="preserve">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95pt;margin-top:33.3pt;width:254.25pt;height: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07679ACA"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B82F3F">
                              <w:rPr>
                                <w:rFonts w:ascii="Arial" w:hAnsi="Arial" w:cs="Arial"/>
                                <w:sz w:val="20"/>
                                <w:szCs w:val="20"/>
                              </w:rPr>
                              <w:t>2</w:t>
                            </w:r>
                            <w:r w:rsidR="004542F1">
                              <w:rPr>
                                <w:rFonts w:ascii="Arial" w:hAnsi="Arial" w:cs="Arial"/>
                                <w:sz w:val="20"/>
                                <w:szCs w:val="20"/>
                              </w:rPr>
                              <w:t>3</w:t>
                            </w:r>
                            <w:r>
                              <w:rPr>
                                <w:rFonts w:ascii="Arial" w:hAnsi="Arial" w:cs="Arial"/>
                                <w:sz w:val="20"/>
                                <w:szCs w:val="20"/>
                              </w:rPr>
                              <w:t xml:space="preserve"> </w:t>
                            </w:r>
                            <w:r w:rsidR="000E7926">
                              <w:rPr>
                                <w:rFonts w:ascii="Arial" w:hAnsi="Arial" w:cs="Arial"/>
                                <w:sz w:val="20"/>
                                <w:szCs w:val="20"/>
                              </w:rPr>
                              <w:t>September</w:t>
                            </w:r>
                            <w:r>
                              <w:rPr>
                                <w:rFonts w:ascii="Arial" w:hAnsi="Arial" w:cs="Arial"/>
                                <w:sz w:val="20"/>
                                <w:szCs w:val="20"/>
                              </w:rPr>
                              <w:t xml:space="preserve">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2F0897AB"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E377EE">
              <w:rPr>
                <w:rFonts w:cs="Arial"/>
                <w:b/>
                <w:sz w:val="24"/>
                <w:szCs w:val="24"/>
              </w:rPr>
              <w:t>44522</w:t>
            </w:r>
            <w:r w:rsidR="00E238A5">
              <w:rPr>
                <w:rFonts w:cs="Arial"/>
                <w:b/>
                <w:sz w:val="24"/>
                <w:szCs w:val="24"/>
              </w:rPr>
              <w:t>/20</w:t>
            </w:r>
            <w:r w:rsidR="00EA280F">
              <w:rPr>
                <w:rFonts w:cs="Arial"/>
                <w:b/>
                <w:sz w:val="24"/>
                <w:szCs w:val="24"/>
              </w:rPr>
              <w:t>18</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5D9193EE" w:rsidR="00574219" w:rsidRDefault="00E16594"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NETHONONDO: PHINEAS</w:t>
      </w:r>
      <w:r w:rsidR="00574219">
        <w:rPr>
          <w:rFonts w:ascii="Arial" w:eastAsia="Times New Roman" w:hAnsi="Arial" w:cs="Arial"/>
          <w:b/>
          <w:lang w:val="en-ZA" w:eastAsia="en-GB"/>
        </w:rPr>
        <w:tab/>
      </w:r>
      <w:r>
        <w:rPr>
          <w:rFonts w:ascii="Arial" w:eastAsia="Times New Roman" w:hAnsi="Arial" w:cs="Arial"/>
          <w:b/>
          <w:lang w:val="en-ZA" w:eastAsia="en-GB"/>
        </w:rPr>
        <w:t xml:space="preserve">FIRST </w:t>
      </w:r>
      <w:r w:rsidR="00041F40">
        <w:rPr>
          <w:rFonts w:ascii="Arial" w:eastAsia="Times New Roman" w:hAnsi="Arial" w:cs="Arial"/>
          <w:b/>
          <w:lang w:val="en-ZA" w:eastAsia="en-GB"/>
        </w:rPr>
        <w:t>APPLICANT</w:t>
      </w:r>
    </w:p>
    <w:p w14:paraId="34E4E89B" w14:textId="11A3FC65" w:rsidR="00E16594" w:rsidRDefault="00E16594"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NETHONONDO: MASHANGU ESTHER</w:t>
      </w:r>
      <w:r>
        <w:rPr>
          <w:rFonts w:ascii="Arial" w:eastAsia="Times New Roman" w:hAnsi="Arial" w:cs="Arial"/>
          <w:b/>
          <w:lang w:val="en-ZA" w:eastAsia="en-GB"/>
        </w:rPr>
        <w:tab/>
        <w:t>SECOND APPLICANT</w:t>
      </w:r>
    </w:p>
    <w:p w14:paraId="5B167486" w14:textId="5975528D" w:rsidR="00E16594" w:rsidRDefault="00E16594"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MASHUDU’S GARDEN D</w:t>
      </w:r>
      <w:r w:rsidR="006E65D3">
        <w:rPr>
          <w:rFonts w:ascii="Arial" w:eastAsia="Times New Roman" w:hAnsi="Arial" w:cs="Arial"/>
          <w:b/>
          <w:lang w:val="en-ZA" w:eastAsia="en-GB"/>
        </w:rPr>
        <w:t>È</w:t>
      </w:r>
      <w:r>
        <w:rPr>
          <w:rFonts w:ascii="Arial" w:eastAsia="Times New Roman" w:hAnsi="Arial" w:cs="Arial"/>
          <w:b/>
          <w:lang w:val="en-ZA" w:eastAsia="en-GB"/>
        </w:rPr>
        <w:t>COR</w:t>
      </w:r>
      <w:r w:rsidR="006E65D3">
        <w:rPr>
          <w:rFonts w:ascii="Arial" w:eastAsia="Times New Roman" w:hAnsi="Arial" w:cs="Arial"/>
          <w:b/>
          <w:lang w:val="en-ZA" w:eastAsia="en-GB"/>
        </w:rPr>
        <w:tab/>
        <w:t>THIRD APPLICANT</w:t>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2926D20A" w14:textId="5A62DCCE" w:rsidR="00041F40" w:rsidRPr="00AD3B10" w:rsidRDefault="006E65D3" w:rsidP="00292280">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NATHCRON CC</w:t>
      </w:r>
      <w:r w:rsidR="00574219">
        <w:rPr>
          <w:rFonts w:ascii="Arial" w:eastAsia="Times New Roman" w:hAnsi="Arial" w:cs="Arial"/>
          <w:b/>
          <w:lang w:val="en-ZA" w:eastAsia="en-GB"/>
        </w:rPr>
        <w:tab/>
      </w:r>
      <w:r w:rsidR="00041F40">
        <w:rPr>
          <w:rFonts w:ascii="Arial" w:eastAsia="Times New Roman" w:hAnsi="Arial" w:cs="Arial"/>
          <w:b/>
          <w:lang w:val="en-ZA" w:eastAsia="en-GB"/>
        </w:rPr>
        <w:t>RESPONDENT</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77777777"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37A54620" w14:textId="23683E48" w:rsidR="00574219"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712A1CCE" w14:textId="77A00411" w:rsidR="00AA7BEE" w:rsidRDefault="00AA7BEE" w:rsidP="00E56817">
      <w:pPr>
        <w:tabs>
          <w:tab w:val="left" w:pos="5868"/>
        </w:tabs>
        <w:spacing w:line="360" w:lineRule="auto"/>
        <w:jc w:val="both"/>
        <w:rPr>
          <w:rFonts w:ascii="Arial" w:eastAsia="Times New Roman" w:hAnsi="Arial" w:cs="Arial"/>
          <w:b/>
          <w:u w:val="single"/>
          <w:lang w:val="en-ZA" w:eastAsia="en-GB"/>
        </w:rPr>
      </w:pPr>
    </w:p>
    <w:p w14:paraId="50C8FC7B" w14:textId="29E4CDAB" w:rsidR="00AA7BEE" w:rsidRPr="00AA7BEE" w:rsidRDefault="00AA7BEE"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36E29361" w14:textId="03954BC9" w:rsidR="004542F1" w:rsidRDefault="00574219" w:rsidP="004542F1">
      <w:pPr>
        <w:spacing w:after="200"/>
        <w:rPr>
          <w:rFonts w:ascii="Arial" w:eastAsia="Calibri" w:hAnsi="Arial" w:cs="Arial"/>
          <w:lang w:val="en-ZA"/>
        </w:rPr>
      </w:pPr>
      <w:r>
        <w:rPr>
          <w:rFonts w:ascii="Arial" w:eastAsia="Calibri" w:hAnsi="Arial" w:cs="Arial"/>
          <w:lang w:val="en-ZA"/>
        </w:rPr>
        <w:t>[1]</w:t>
      </w:r>
      <w:r w:rsidR="006E65D3">
        <w:rPr>
          <w:rFonts w:ascii="Arial" w:eastAsia="Calibri" w:hAnsi="Arial" w:cs="Arial"/>
          <w:lang w:val="en-ZA"/>
        </w:rPr>
        <w:tab/>
        <w:t>This is an opposed application for the upliftment of a notice of bar and condonation for the late filing of a plea</w:t>
      </w:r>
      <w:r w:rsidR="00A66658">
        <w:rPr>
          <w:rFonts w:ascii="Arial" w:eastAsia="Calibri" w:hAnsi="Arial" w:cs="Arial"/>
          <w:lang w:val="en-ZA"/>
        </w:rPr>
        <w:t xml:space="preserve"> in terms of Rule 27 of the Uniform Rules of Court</w:t>
      </w:r>
      <w:r w:rsidR="006E65D3">
        <w:rPr>
          <w:rFonts w:ascii="Arial" w:eastAsia="Calibri" w:hAnsi="Arial" w:cs="Arial"/>
          <w:lang w:val="en-ZA"/>
        </w:rPr>
        <w:t>.</w:t>
      </w:r>
    </w:p>
    <w:p w14:paraId="118AFEF0" w14:textId="0A7E4E6E" w:rsidR="00212427" w:rsidRDefault="006E65D3" w:rsidP="004542F1">
      <w:pPr>
        <w:spacing w:after="200"/>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212427">
        <w:rPr>
          <w:rFonts w:ascii="Arial" w:eastAsia="Calibri" w:hAnsi="Arial" w:cs="Arial"/>
          <w:lang w:val="en-ZA"/>
        </w:rPr>
        <w:t xml:space="preserve">In these proceedings, the Applicants were represented by Mr </w:t>
      </w:r>
      <w:r w:rsidR="006575F1">
        <w:rPr>
          <w:rFonts w:ascii="Arial" w:eastAsia="Calibri" w:hAnsi="Arial" w:cs="Arial"/>
          <w:lang w:val="en-ZA"/>
        </w:rPr>
        <w:t>P.</w:t>
      </w:r>
      <w:r w:rsidR="00BA4448">
        <w:rPr>
          <w:rFonts w:ascii="Arial" w:eastAsia="Calibri" w:hAnsi="Arial" w:cs="Arial"/>
          <w:lang w:val="en-ZA"/>
        </w:rPr>
        <w:t xml:space="preserve"> W.</w:t>
      </w:r>
      <w:r w:rsidR="006575F1">
        <w:rPr>
          <w:rFonts w:ascii="Arial" w:eastAsia="Calibri" w:hAnsi="Arial" w:cs="Arial"/>
          <w:lang w:val="en-ZA"/>
        </w:rPr>
        <w:t xml:space="preserve"> </w:t>
      </w:r>
      <w:r w:rsidR="00212427">
        <w:rPr>
          <w:rFonts w:ascii="Arial" w:eastAsia="Calibri" w:hAnsi="Arial" w:cs="Arial"/>
          <w:lang w:val="en-ZA"/>
        </w:rPr>
        <w:t>Makhambeni</w:t>
      </w:r>
      <w:r w:rsidR="000E7926">
        <w:rPr>
          <w:rFonts w:ascii="Arial" w:eastAsia="Calibri" w:hAnsi="Arial" w:cs="Arial"/>
          <w:lang w:val="en-ZA"/>
        </w:rPr>
        <w:t xml:space="preserve"> for the Applicants</w:t>
      </w:r>
      <w:r w:rsidR="00212427">
        <w:rPr>
          <w:rFonts w:ascii="Arial" w:eastAsia="Calibri" w:hAnsi="Arial" w:cs="Arial"/>
          <w:lang w:val="en-ZA"/>
        </w:rPr>
        <w:t xml:space="preserve"> and </w:t>
      </w:r>
      <w:r w:rsidR="000E7926">
        <w:rPr>
          <w:rFonts w:ascii="Arial" w:eastAsia="Calibri" w:hAnsi="Arial" w:cs="Arial"/>
          <w:lang w:val="en-ZA"/>
        </w:rPr>
        <w:t xml:space="preserve">Mr </w:t>
      </w:r>
      <w:r w:rsidR="00BA4448">
        <w:rPr>
          <w:rFonts w:ascii="Arial" w:eastAsia="Calibri" w:hAnsi="Arial" w:cs="Arial"/>
          <w:lang w:val="en-ZA"/>
        </w:rPr>
        <w:t xml:space="preserve">S. B. </w:t>
      </w:r>
      <w:r w:rsidR="000E7926">
        <w:rPr>
          <w:rFonts w:ascii="Arial" w:eastAsia="Calibri" w:hAnsi="Arial" w:cs="Arial"/>
          <w:lang w:val="en-ZA"/>
        </w:rPr>
        <w:t>Nel</w:t>
      </w:r>
      <w:r w:rsidR="00212427">
        <w:rPr>
          <w:rFonts w:ascii="Arial" w:eastAsia="Calibri" w:hAnsi="Arial" w:cs="Arial"/>
          <w:lang w:val="en-ZA"/>
        </w:rPr>
        <w:t xml:space="preserve"> </w:t>
      </w:r>
      <w:r w:rsidR="000E7926">
        <w:rPr>
          <w:rFonts w:ascii="Arial" w:eastAsia="Calibri" w:hAnsi="Arial" w:cs="Arial"/>
          <w:lang w:val="en-ZA"/>
        </w:rPr>
        <w:t xml:space="preserve">for the </w:t>
      </w:r>
      <w:r w:rsidR="00212427">
        <w:rPr>
          <w:rFonts w:ascii="Arial" w:eastAsia="Calibri" w:hAnsi="Arial" w:cs="Arial"/>
          <w:lang w:val="en-ZA"/>
        </w:rPr>
        <w:t>Respondent</w:t>
      </w:r>
      <w:r w:rsidR="000E7926">
        <w:rPr>
          <w:rFonts w:ascii="Arial" w:eastAsia="Calibri" w:hAnsi="Arial" w:cs="Arial"/>
          <w:lang w:val="en-ZA"/>
        </w:rPr>
        <w:t>.</w:t>
      </w:r>
    </w:p>
    <w:p w14:paraId="431AB4F7" w14:textId="4DFBE27C" w:rsidR="006E65D3" w:rsidRDefault="00212427" w:rsidP="004542F1">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At the outset both Counsel agreed that the Court should condone the late filing of the answering affidavit and the replying affidavit in these proceedings. I accordingly, granted </w:t>
      </w:r>
      <w:r w:rsidR="008C3E4C">
        <w:rPr>
          <w:rFonts w:ascii="Arial" w:eastAsia="Calibri" w:hAnsi="Arial" w:cs="Arial"/>
          <w:lang w:val="en-ZA"/>
        </w:rPr>
        <w:t xml:space="preserve">such </w:t>
      </w:r>
      <w:r>
        <w:rPr>
          <w:rFonts w:ascii="Arial" w:eastAsia="Calibri" w:hAnsi="Arial" w:cs="Arial"/>
          <w:lang w:val="en-ZA"/>
        </w:rPr>
        <w:t>condonation.</w:t>
      </w:r>
    </w:p>
    <w:p w14:paraId="07742DCB" w14:textId="48B26AD2" w:rsidR="00212427" w:rsidRDefault="00212427" w:rsidP="004542F1">
      <w:pPr>
        <w:spacing w:after="200"/>
        <w:rPr>
          <w:rFonts w:ascii="Arial" w:eastAsia="Calibri" w:hAnsi="Arial" w:cs="Arial"/>
          <w:b/>
          <w:bCs/>
          <w:lang w:val="en-ZA"/>
        </w:rPr>
      </w:pPr>
      <w:r>
        <w:rPr>
          <w:rFonts w:ascii="Arial" w:eastAsia="Calibri" w:hAnsi="Arial" w:cs="Arial"/>
          <w:b/>
          <w:bCs/>
          <w:lang w:val="en-ZA"/>
        </w:rPr>
        <w:t>BACKGROUND FACTS</w:t>
      </w:r>
    </w:p>
    <w:p w14:paraId="7FB8D0FA" w14:textId="440078D6" w:rsidR="00212427" w:rsidRDefault="00212427" w:rsidP="004542F1">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r>
      <w:r w:rsidR="00A66658">
        <w:rPr>
          <w:rFonts w:ascii="Arial" w:eastAsia="Calibri" w:hAnsi="Arial" w:cs="Arial"/>
          <w:lang w:val="en-ZA"/>
        </w:rPr>
        <w:t>The Respondent had a summons issued out of this Court wherein certain relief was claimed.</w:t>
      </w:r>
    </w:p>
    <w:p w14:paraId="61287591" w14:textId="016F7E08" w:rsidR="00A66658" w:rsidRDefault="00A66658" w:rsidP="004542F1">
      <w:pPr>
        <w:spacing w:after="200"/>
        <w:rPr>
          <w:rFonts w:ascii="Arial" w:eastAsia="Calibri" w:hAnsi="Arial" w:cs="Arial"/>
          <w:lang w:val="en-ZA"/>
        </w:rPr>
      </w:pPr>
      <w:r>
        <w:rPr>
          <w:rFonts w:ascii="Arial" w:eastAsia="Calibri" w:hAnsi="Arial" w:cs="Arial"/>
          <w:lang w:val="en-ZA"/>
        </w:rPr>
        <w:t>[5]</w:t>
      </w:r>
      <w:r>
        <w:rPr>
          <w:rFonts w:ascii="Arial" w:eastAsia="Calibri" w:hAnsi="Arial" w:cs="Arial"/>
          <w:lang w:val="en-ZA"/>
        </w:rPr>
        <w:tab/>
        <w:t xml:space="preserve">The Applicants were to file a plea within the time periods stated in the summons which they failed to do </w:t>
      </w:r>
      <w:r w:rsidR="000E7926">
        <w:rPr>
          <w:rFonts w:ascii="Arial" w:eastAsia="Calibri" w:hAnsi="Arial" w:cs="Arial"/>
          <w:lang w:val="en-ZA"/>
        </w:rPr>
        <w:t xml:space="preserve">and after some time </w:t>
      </w:r>
      <w:r>
        <w:rPr>
          <w:rFonts w:ascii="Arial" w:eastAsia="Calibri" w:hAnsi="Arial" w:cs="Arial"/>
          <w:lang w:val="en-ZA"/>
        </w:rPr>
        <w:t>these proceedings</w:t>
      </w:r>
      <w:r w:rsidR="000E7926">
        <w:rPr>
          <w:rFonts w:ascii="Arial" w:eastAsia="Calibri" w:hAnsi="Arial" w:cs="Arial"/>
          <w:lang w:val="en-ZA"/>
        </w:rPr>
        <w:t xml:space="preserve"> were initiated</w:t>
      </w:r>
      <w:r>
        <w:rPr>
          <w:rFonts w:ascii="Arial" w:eastAsia="Calibri" w:hAnsi="Arial" w:cs="Arial"/>
          <w:lang w:val="en-ZA"/>
        </w:rPr>
        <w:t>.</w:t>
      </w:r>
    </w:p>
    <w:p w14:paraId="207567C0" w14:textId="77423849" w:rsidR="007249B2" w:rsidRDefault="007249B2" w:rsidP="007249B2">
      <w:pPr>
        <w:spacing w:after="200"/>
        <w:rPr>
          <w:rFonts w:ascii="Arial" w:eastAsia="Calibri" w:hAnsi="Arial" w:cs="Arial"/>
          <w:b/>
          <w:bCs/>
          <w:lang w:val="en-ZA"/>
        </w:rPr>
      </w:pPr>
      <w:r>
        <w:rPr>
          <w:rFonts w:ascii="Arial" w:eastAsia="Calibri" w:hAnsi="Arial" w:cs="Arial"/>
          <w:b/>
          <w:bCs/>
          <w:lang w:val="en-ZA"/>
        </w:rPr>
        <w:t>LEGAL FRAMEWORK</w:t>
      </w:r>
    </w:p>
    <w:p w14:paraId="42763D68" w14:textId="18B51784" w:rsidR="007249B2" w:rsidRPr="007249B2" w:rsidRDefault="007249B2" w:rsidP="007249B2">
      <w:pPr>
        <w:spacing w:after="200"/>
        <w:rPr>
          <w:rFonts w:ascii="Arial" w:eastAsia="Calibri" w:hAnsi="Arial" w:cs="Arial"/>
          <w:lang w:val="en-ZA"/>
        </w:rPr>
      </w:pPr>
      <w:r>
        <w:rPr>
          <w:rFonts w:ascii="Arial" w:eastAsia="Calibri" w:hAnsi="Arial" w:cs="Arial"/>
          <w:lang w:val="en-ZA"/>
        </w:rPr>
        <w:t>[6]</w:t>
      </w:r>
      <w:r>
        <w:rPr>
          <w:rFonts w:ascii="Arial" w:eastAsia="Calibri" w:hAnsi="Arial" w:cs="Arial"/>
          <w:lang w:val="en-ZA"/>
        </w:rPr>
        <w:tab/>
        <w:t>Rule 27</w:t>
      </w:r>
      <w:r w:rsidR="000E7926">
        <w:rPr>
          <w:rFonts w:ascii="Arial" w:eastAsia="Calibri" w:hAnsi="Arial" w:cs="Arial"/>
          <w:lang w:val="en-ZA"/>
        </w:rPr>
        <w:t xml:space="preserve"> </w:t>
      </w:r>
      <w:r>
        <w:rPr>
          <w:rFonts w:ascii="Arial" w:eastAsia="Calibri" w:hAnsi="Arial" w:cs="Arial"/>
          <w:lang w:val="en-ZA"/>
        </w:rPr>
        <w:t>of the Uniform Rules of Court provides as follows:</w:t>
      </w:r>
    </w:p>
    <w:p w14:paraId="10ACB956" w14:textId="7A308DF8" w:rsidR="007249B2" w:rsidRDefault="007249B2" w:rsidP="007249B2">
      <w:pPr>
        <w:spacing w:after="200"/>
        <w:ind w:left="720"/>
        <w:rPr>
          <w:rFonts w:ascii="Arial" w:hAnsi="Arial" w:cs="Arial"/>
          <w:i/>
          <w:iCs/>
          <w:color w:val="000000"/>
          <w:sz w:val="22"/>
          <w:szCs w:val="22"/>
          <w:lang w:val="en-ZA" w:eastAsia="en-ZA"/>
        </w:rPr>
      </w:pPr>
      <w:r>
        <w:rPr>
          <w:rFonts w:ascii="Arial" w:hAnsi="Arial" w:cs="Arial"/>
          <w:i/>
          <w:iCs/>
          <w:color w:val="000000"/>
          <w:sz w:val="22"/>
          <w:szCs w:val="22"/>
          <w:lang w:val="en-ZA" w:eastAsia="en-ZA"/>
        </w:rPr>
        <w:t>“</w:t>
      </w:r>
      <w:r w:rsidRPr="007249B2">
        <w:rPr>
          <w:rFonts w:ascii="Arial" w:hAnsi="Arial" w:cs="Arial"/>
          <w:i/>
          <w:iCs/>
          <w:color w:val="000000"/>
          <w:sz w:val="22"/>
          <w:szCs w:val="22"/>
          <w:lang w:val="en-ZA" w:eastAsia="en-ZA"/>
        </w:rPr>
        <w:t>(1) In the absence of agreement between the parties, the court may upon application on notice and on good cause shown, make an order extending or abridging any time prescribed by these Rules or by an order of court or fixed by an order extending or abridging any time for doing any act or taking any step</w:t>
      </w:r>
      <w:r w:rsidR="003B4E98">
        <w:rPr>
          <w:rFonts w:ascii="Arial" w:hAnsi="Arial" w:cs="Arial"/>
          <w:i/>
          <w:iCs/>
          <w:color w:val="000000"/>
          <w:sz w:val="22"/>
          <w:szCs w:val="22"/>
          <w:lang w:val="en-ZA" w:eastAsia="en-ZA"/>
        </w:rPr>
        <w:t xml:space="preserve"> </w:t>
      </w:r>
      <w:r w:rsidRPr="007249B2">
        <w:rPr>
          <w:rFonts w:ascii="Arial" w:hAnsi="Arial" w:cs="Arial"/>
          <w:i/>
          <w:iCs/>
          <w:color w:val="000000"/>
          <w:sz w:val="22"/>
          <w:szCs w:val="22"/>
          <w:lang w:val="en-ZA" w:eastAsia="en-ZA"/>
        </w:rPr>
        <w:t>in connection with any proceedings of any nature whatsoever upon such terms as to it seems meet.</w:t>
      </w:r>
    </w:p>
    <w:p w14:paraId="6042D41F" w14:textId="51B7A604" w:rsidR="007249B2" w:rsidRDefault="007249B2" w:rsidP="007249B2">
      <w:pPr>
        <w:spacing w:after="200"/>
        <w:ind w:left="720"/>
        <w:rPr>
          <w:rFonts w:ascii="Arial" w:hAnsi="Arial" w:cs="Arial"/>
          <w:i/>
          <w:iCs/>
          <w:color w:val="000000"/>
          <w:sz w:val="22"/>
          <w:szCs w:val="22"/>
          <w:lang w:val="en-ZA" w:eastAsia="en-ZA"/>
        </w:rPr>
      </w:pPr>
      <w:r w:rsidRPr="007249B2">
        <w:rPr>
          <w:rFonts w:ascii="Arial" w:hAnsi="Arial" w:cs="Arial"/>
          <w:i/>
          <w:iCs/>
          <w:color w:val="000000"/>
          <w:sz w:val="22"/>
          <w:szCs w:val="22"/>
          <w:lang w:val="en-ZA" w:eastAsia="en-ZA"/>
        </w:rPr>
        <w:t>(3) The court may, on good cause shown, condone any non-compliance with these Rules.</w:t>
      </w:r>
      <w:r>
        <w:rPr>
          <w:rFonts w:ascii="Arial" w:hAnsi="Arial" w:cs="Arial"/>
          <w:i/>
          <w:iCs/>
          <w:color w:val="000000"/>
          <w:sz w:val="22"/>
          <w:szCs w:val="22"/>
          <w:lang w:val="en-ZA" w:eastAsia="en-ZA"/>
        </w:rPr>
        <w:t>”</w:t>
      </w:r>
    </w:p>
    <w:p w14:paraId="0D68B588" w14:textId="0BF75C0D" w:rsidR="00643667" w:rsidRDefault="00643667" w:rsidP="00643667">
      <w:pPr>
        <w:spacing w:after="200"/>
        <w:rPr>
          <w:rFonts w:ascii="Arial" w:hAnsi="Arial" w:cs="Arial"/>
          <w:b/>
          <w:bCs/>
          <w:color w:val="000000"/>
          <w:lang w:val="en-ZA" w:eastAsia="en-ZA"/>
        </w:rPr>
      </w:pPr>
      <w:r>
        <w:rPr>
          <w:rFonts w:ascii="Arial" w:hAnsi="Arial" w:cs="Arial"/>
          <w:b/>
          <w:bCs/>
          <w:color w:val="000000"/>
          <w:lang w:val="en-ZA" w:eastAsia="en-ZA"/>
        </w:rPr>
        <w:t>ANALYSIS AND EVALUATION</w:t>
      </w:r>
    </w:p>
    <w:p w14:paraId="6D729E0B" w14:textId="77777777" w:rsidR="00914012" w:rsidRDefault="00643667" w:rsidP="00643667">
      <w:pPr>
        <w:spacing w:after="200"/>
        <w:rPr>
          <w:rFonts w:ascii="Arial" w:hAnsi="Arial" w:cs="Arial"/>
          <w:color w:val="000000"/>
          <w:lang w:val="en-ZA" w:eastAsia="en-ZA"/>
        </w:rPr>
      </w:pPr>
      <w:r>
        <w:rPr>
          <w:rFonts w:ascii="Arial" w:hAnsi="Arial" w:cs="Arial"/>
          <w:color w:val="000000"/>
          <w:lang w:val="en-ZA" w:eastAsia="en-ZA"/>
        </w:rPr>
        <w:t>[7]</w:t>
      </w:r>
      <w:r>
        <w:rPr>
          <w:rFonts w:ascii="Arial" w:hAnsi="Arial" w:cs="Arial"/>
          <w:color w:val="000000"/>
          <w:lang w:val="en-ZA" w:eastAsia="en-ZA"/>
        </w:rPr>
        <w:tab/>
        <w:t>For the Applicants to succeed they need to have complied with the abovementioned Uniform Rule of Court. Our Courts</w:t>
      </w:r>
      <w:r>
        <w:rPr>
          <w:rStyle w:val="FootnoteReference"/>
          <w:rFonts w:ascii="Arial" w:hAnsi="Arial" w:cs="Arial"/>
          <w:color w:val="000000"/>
          <w:lang w:val="en-ZA" w:eastAsia="en-ZA"/>
        </w:rPr>
        <w:footnoteReference w:id="1"/>
      </w:r>
      <w:r>
        <w:rPr>
          <w:rFonts w:ascii="Arial" w:hAnsi="Arial" w:cs="Arial"/>
          <w:color w:val="000000"/>
          <w:lang w:val="en-ZA" w:eastAsia="en-ZA"/>
        </w:rPr>
        <w:t xml:space="preserve"> have given guidance in applying Rule 27.</w:t>
      </w:r>
      <w:r w:rsidR="00682E55">
        <w:rPr>
          <w:rFonts w:ascii="Arial" w:hAnsi="Arial" w:cs="Arial"/>
          <w:color w:val="000000"/>
          <w:lang w:val="en-ZA" w:eastAsia="en-ZA"/>
        </w:rPr>
        <w:t xml:space="preserve"> In this regard the phrase “good cause” has been interpreted to mean</w:t>
      </w:r>
      <w:r w:rsidR="00914012">
        <w:rPr>
          <w:rFonts w:ascii="Arial" w:hAnsi="Arial" w:cs="Arial"/>
          <w:color w:val="000000"/>
          <w:lang w:val="en-ZA" w:eastAsia="en-ZA"/>
        </w:rPr>
        <w:t>:</w:t>
      </w:r>
    </w:p>
    <w:p w14:paraId="2B9310ED" w14:textId="519D253E" w:rsidR="00643667" w:rsidRDefault="00914012" w:rsidP="00914012">
      <w:pPr>
        <w:spacing w:after="200"/>
        <w:ind w:left="720"/>
        <w:rPr>
          <w:rFonts w:ascii="Arial" w:hAnsi="Arial" w:cs="Arial"/>
          <w:color w:val="000000"/>
          <w:lang w:val="en-ZA" w:eastAsia="en-ZA"/>
        </w:rPr>
      </w:pPr>
      <w:r>
        <w:rPr>
          <w:rFonts w:ascii="Arial" w:hAnsi="Arial" w:cs="Arial"/>
          <w:i/>
          <w:iCs/>
          <w:color w:val="000000"/>
          <w:sz w:val="22"/>
          <w:szCs w:val="22"/>
          <w:lang w:val="en-ZA" w:eastAsia="en-ZA"/>
        </w:rPr>
        <w:t>“…the defendant must at least furnish an explanation of his default sufficiently full to enable the Court to understand how it really came about, and to assess his conduct and motives”.</w:t>
      </w:r>
      <w:r w:rsidR="00643667">
        <w:rPr>
          <w:rFonts w:ascii="Arial" w:hAnsi="Arial" w:cs="Arial"/>
          <w:color w:val="000000"/>
          <w:lang w:val="en-ZA" w:eastAsia="en-ZA"/>
        </w:rPr>
        <w:tab/>
      </w:r>
    </w:p>
    <w:p w14:paraId="3BE8F3D0" w14:textId="77777777" w:rsidR="005B395E" w:rsidRDefault="00354511" w:rsidP="00354511">
      <w:pPr>
        <w:spacing w:after="200"/>
        <w:rPr>
          <w:rFonts w:ascii="Arial" w:hAnsi="Arial" w:cs="Arial"/>
          <w:color w:val="000000"/>
          <w:lang w:val="en-ZA" w:eastAsia="en-ZA"/>
        </w:rPr>
      </w:pPr>
      <w:r>
        <w:rPr>
          <w:rFonts w:ascii="Arial" w:hAnsi="Arial" w:cs="Arial"/>
          <w:color w:val="000000"/>
          <w:lang w:val="en-ZA" w:eastAsia="en-ZA"/>
        </w:rPr>
        <w:t>[8]</w:t>
      </w:r>
      <w:r>
        <w:rPr>
          <w:rFonts w:ascii="Arial" w:hAnsi="Arial" w:cs="Arial"/>
          <w:color w:val="000000"/>
          <w:lang w:val="en-ZA" w:eastAsia="en-ZA"/>
        </w:rPr>
        <w:tab/>
        <w:t xml:space="preserve">In </w:t>
      </w:r>
      <w:r>
        <w:rPr>
          <w:rFonts w:ascii="Arial" w:hAnsi="Arial" w:cs="Arial"/>
          <w:b/>
          <w:bCs/>
          <w:color w:val="000000"/>
          <w:lang w:val="en-ZA" w:eastAsia="en-ZA"/>
        </w:rPr>
        <w:t>Melane v Santam Insurance Company Ltd</w:t>
      </w:r>
      <w:r>
        <w:rPr>
          <w:rStyle w:val="FootnoteReference"/>
          <w:rFonts w:ascii="Arial" w:hAnsi="Arial" w:cs="Arial"/>
          <w:b/>
          <w:bCs/>
          <w:color w:val="000000"/>
          <w:lang w:val="en-ZA" w:eastAsia="en-ZA"/>
        </w:rPr>
        <w:footnoteReference w:id="2"/>
      </w:r>
      <w:r>
        <w:rPr>
          <w:rFonts w:ascii="Arial" w:hAnsi="Arial" w:cs="Arial"/>
          <w:b/>
          <w:bCs/>
          <w:color w:val="000000"/>
          <w:lang w:val="en-ZA" w:eastAsia="en-ZA"/>
        </w:rPr>
        <w:t xml:space="preserve"> </w:t>
      </w:r>
      <w:r>
        <w:rPr>
          <w:rFonts w:ascii="Arial" w:hAnsi="Arial" w:cs="Arial"/>
          <w:color w:val="000000"/>
          <w:lang w:val="en-ZA" w:eastAsia="en-ZA"/>
        </w:rPr>
        <w:t xml:space="preserve">the Court in dealing with the issue of whether or not sufficient cause had been shown in not complying with the rules of court </w:t>
      </w:r>
      <w:r w:rsidR="005B395E">
        <w:rPr>
          <w:rFonts w:ascii="Arial" w:hAnsi="Arial" w:cs="Arial"/>
          <w:color w:val="000000"/>
          <w:lang w:val="en-ZA" w:eastAsia="en-ZA"/>
        </w:rPr>
        <w:t>stated the following:</w:t>
      </w:r>
    </w:p>
    <w:p w14:paraId="14AA9E48" w14:textId="7F065A75" w:rsidR="00354511" w:rsidRDefault="00CF7A21" w:rsidP="00CF7A21">
      <w:pPr>
        <w:spacing w:after="200"/>
        <w:ind w:left="720"/>
        <w:rPr>
          <w:rFonts w:ascii="Arial" w:hAnsi="Arial" w:cs="Arial"/>
          <w:i/>
          <w:iCs/>
          <w:color w:val="000000"/>
          <w:sz w:val="22"/>
          <w:szCs w:val="22"/>
          <w:lang w:val="en-ZA" w:eastAsia="en-ZA"/>
        </w:rPr>
      </w:pPr>
      <w:r w:rsidRPr="00CF7A21">
        <w:rPr>
          <w:rFonts w:ascii="Arial" w:hAnsi="Arial" w:cs="Arial"/>
          <w:i/>
          <w:iCs/>
          <w:sz w:val="22"/>
          <w:szCs w:val="22"/>
        </w:rPr>
        <w:t>“In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thereof, the prospects of success, and the importance of the case. Ordinarily these facts are interrelated: they are not individually decisive, for that would be a piecemeal approach incompatible with a true discretion, save of course that if there are no prospects of success there would be no point in granting condonation. Any attempt to formulate a rule of thumb would only serve to harden the arteries of what should be a flexible discretion. What is needed is an objective conspectus of all facts. Thus a slight delay and a good explanation may help to compensate for prospects of success which are not strong. Or the importance of the issue and strong prospects of success may tend to compensate for a long delay. And the respondent’s interest in finality must not be overlooked.”</w:t>
      </w:r>
      <w:r w:rsidR="00354511" w:rsidRPr="00CF7A21">
        <w:rPr>
          <w:rFonts w:ascii="Arial" w:hAnsi="Arial" w:cs="Arial"/>
          <w:i/>
          <w:iCs/>
          <w:color w:val="000000"/>
          <w:sz w:val="22"/>
          <w:szCs w:val="22"/>
          <w:lang w:val="en-ZA" w:eastAsia="en-ZA"/>
        </w:rPr>
        <w:t xml:space="preserve"> </w:t>
      </w:r>
    </w:p>
    <w:p w14:paraId="31C94379" w14:textId="2A16D78C" w:rsidR="00CF7A21" w:rsidRDefault="00CF7A21" w:rsidP="00CF7A21">
      <w:pPr>
        <w:spacing w:after="200"/>
        <w:rPr>
          <w:rFonts w:ascii="Arial" w:hAnsi="Arial" w:cs="Arial"/>
          <w:color w:val="000000"/>
          <w:lang w:val="en-ZA" w:eastAsia="en-ZA"/>
        </w:rPr>
      </w:pPr>
      <w:r>
        <w:rPr>
          <w:rFonts w:ascii="Arial" w:hAnsi="Arial" w:cs="Arial"/>
          <w:color w:val="000000"/>
          <w:lang w:val="en-ZA" w:eastAsia="en-ZA"/>
        </w:rPr>
        <w:t>[9]</w:t>
      </w:r>
      <w:r>
        <w:rPr>
          <w:rFonts w:ascii="Arial" w:hAnsi="Arial" w:cs="Arial"/>
          <w:color w:val="000000"/>
          <w:lang w:val="en-ZA" w:eastAsia="en-ZA"/>
        </w:rPr>
        <w:tab/>
      </w:r>
      <w:r w:rsidR="00A006FD">
        <w:rPr>
          <w:rFonts w:ascii="Arial" w:hAnsi="Arial" w:cs="Arial"/>
          <w:color w:val="000000"/>
          <w:lang w:val="en-ZA" w:eastAsia="en-ZA"/>
        </w:rPr>
        <w:t xml:space="preserve">In </w:t>
      </w:r>
      <w:r w:rsidR="00A006FD">
        <w:rPr>
          <w:rFonts w:ascii="Arial" w:hAnsi="Arial" w:cs="Arial"/>
          <w:b/>
          <w:bCs/>
          <w:color w:val="000000"/>
          <w:lang w:val="en-ZA" w:eastAsia="en-ZA"/>
        </w:rPr>
        <w:t>Brummer v Gorfil</w:t>
      </w:r>
      <w:r w:rsidR="009A68D5">
        <w:rPr>
          <w:rStyle w:val="FootnoteReference"/>
          <w:rFonts w:ascii="Arial" w:hAnsi="Arial" w:cs="Arial"/>
          <w:b/>
          <w:bCs/>
          <w:color w:val="000000"/>
          <w:lang w:val="en-ZA" w:eastAsia="en-ZA"/>
        </w:rPr>
        <w:footnoteReference w:id="3"/>
      </w:r>
      <w:r w:rsidR="00A006FD">
        <w:rPr>
          <w:rFonts w:ascii="Arial" w:hAnsi="Arial" w:cs="Arial"/>
          <w:b/>
          <w:bCs/>
          <w:color w:val="000000"/>
          <w:lang w:val="en-ZA" w:eastAsia="en-ZA"/>
        </w:rPr>
        <w:t xml:space="preserve"> </w:t>
      </w:r>
      <w:r w:rsidR="00A006FD">
        <w:rPr>
          <w:rFonts w:ascii="Arial" w:hAnsi="Arial" w:cs="Arial"/>
          <w:color w:val="000000"/>
          <w:lang w:val="en-ZA" w:eastAsia="en-ZA"/>
        </w:rPr>
        <w:t>the Constitutional Court added, in my view, an extra consideration that a Court must assess, namely, the interests of justice. The following was stated:</w:t>
      </w:r>
    </w:p>
    <w:p w14:paraId="29C5F52A" w14:textId="0F4F08AE" w:rsidR="00A006FD" w:rsidRDefault="009A68D5" w:rsidP="009A68D5">
      <w:pPr>
        <w:spacing w:after="200"/>
        <w:ind w:left="720"/>
        <w:rPr>
          <w:rFonts w:ascii="Arial" w:hAnsi="Arial" w:cs="Arial"/>
          <w:i/>
          <w:iCs/>
          <w:sz w:val="22"/>
          <w:szCs w:val="22"/>
        </w:rPr>
      </w:pPr>
      <w:r>
        <w:rPr>
          <w:rFonts w:ascii="Arial" w:hAnsi="Arial" w:cs="Arial"/>
          <w:i/>
          <w:iCs/>
          <w:sz w:val="22"/>
          <w:szCs w:val="22"/>
        </w:rPr>
        <w:t>“</w:t>
      </w:r>
      <w:r w:rsidRPr="009A68D5">
        <w:rPr>
          <w:rFonts w:ascii="Arial" w:hAnsi="Arial" w:cs="Arial"/>
          <w:i/>
          <w:iCs/>
          <w:sz w:val="22"/>
          <w:szCs w:val="22"/>
        </w:rPr>
        <w:t>This Court has held that an application for leave to appeal will be granted if it is in the interests of justice to do so and that the existence of prospects of success, though an important consideration in deciding whether to grant leave to appeal, is not the only factor in the determination of the interests of justice.  It is appropriate that an application for condonation be considered on the same basis and that such an application should be granted if that is in the interests of justice and refused if it is not.  The interests of justice must be determined by reference to all relevant factors including the nature of the relief sought, the extent and cause of the delay, the nature and cause of any other defect in respect of which condonation is sought, the effect on the administration of justice, prejudice and the reasonableness of the applicant’s explanation for the delay or defect.</w:t>
      </w:r>
      <w:r>
        <w:rPr>
          <w:rFonts w:ascii="Arial" w:hAnsi="Arial" w:cs="Arial"/>
          <w:i/>
          <w:iCs/>
          <w:sz w:val="22"/>
          <w:szCs w:val="22"/>
        </w:rPr>
        <w:t>”</w:t>
      </w:r>
    </w:p>
    <w:p w14:paraId="39DF5461" w14:textId="77777777" w:rsidR="00330FE8" w:rsidRDefault="009A68D5" w:rsidP="009A68D5">
      <w:pPr>
        <w:spacing w:after="200"/>
        <w:rPr>
          <w:rFonts w:ascii="Arial" w:hAnsi="Arial" w:cs="Arial"/>
        </w:rPr>
      </w:pPr>
      <w:r>
        <w:rPr>
          <w:rFonts w:ascii="Arial" w:hAnsi="Arial" w:cs="Arial"/>
        </w:rPr>
        <w:t>[10]</w:t>
      </w:r>
      <w:r>
        <w:rPr>
          <w:rFonts w:ascii="Arial" w:hAnsi="Arial" w:cs="Arial"/>
        </w:rPr>
        <w:tab/>
      </w:r>
      <w:r w:rsidR="006A6D70">
        <w:rPr>
          <w:rFonts w:ascii="Arial" w:hAnsi="Arial" w:cs="Arial"/>
        </w:rPr>
        <w:t xml:space="preserve">It is further clear that </w:t>
      </w:r>
      <w:r w:rsidR="006042FB">
        <w:rPr>
          <w:rFonts w:ascii="Arial" w:hAnsi="Arial" w:cs="Arial"/>
        </w:rPr>
        <w:t>the</w:t>
      </w:r>
      <w:r w:rsidR="006A6D70">
        <w:rPr>
          <w:rFonts w:ascii="Arial" w:hAnsi="Arial" w:cs="Arial"/>
        </w:rPr>
        <w:t xml:space="preserve"> </w:t>
      </w:r>
      <w:r w:rsidR="006042FB">
        <w:rPr>
          <w:rFonts w:ascii="Arial" w:hAnsi="Arial" w:cs="Arial"/>
        </w:rPr>
        <w:t>A</w:t>
      </w:r>
      <w:r w:rsidR="006A6D70">
        <w:rPr>
          <w:rFonts w:ascii="Arial" w:hAnsi="Arial" w:cs="Arial"/>
        </w:rPr>
        <w:t>pplicant</w:t>
      </w:r>
      <w:r w:rsidR="006042FB">
        <w:rPr>
          <w:rFonts w:ascii="Arial" w:hAnsi="Arial" w:cs="Arial"/>
        </w:rPr>
        <w:t>s</w:t>
      </w:r>
      <w:r w:rsidR="006A6D70">
        <w:rPr>
          <w:rFonts w:ascii="Arial" w:hAnsi="Arial" w:cs="Arial"/>
        </w:rPr>
        <w:t xml:space="preserve"> </w:t>
      </w:r>
      <w:r w:rsidR="006042FB">
        <w:rPr>
          <w:rFonts w:ascii="Arial" w:hAnsi="Arial" w:cs="Arial"/>
        </w:rPr>
        <w:t>must file an affidavit which explains the delay in filing their plea. In this regard the explanation must be sufficiently full to enable the Court to be able to assess and really understand how the delay came about. The explanation must also cover the entire period of the delay</w:t>
      </w:r>
      <w:r w:rsidR="00330FE8">
        <w:rPr>
          <w:rStyle w:val="FootnoteReference"/>
          <w:rFonts w:ascii="Arial" w:hAnsi="Arial" w:cs="Arial"/>
        </w:rPr>
        <w:footnoteReference w:id="4"/>
      </w:r>
      <w:r w:rsidR="006042FB">
        <w:rPr>
          <w:rFonts w:ascii="Arial" w:hAnsi="Arial" w:cs="Arial"/>
        </w:rPr>
        <w:t xml:space="preserve">. </w:t>
      </w:r>
    </w:p>
    <w:p w14:paraId="4F1E2904" w14:textId="651BD8C1" w:rsidR="006A6D70" w:rsidRDefault="00330FE8" w:rsidP="009A68D5">
      <w:pPr>
        <w:spacing w:after="200"/>
        <w:rPr>
          <w:rFonts w:ascii="Arial" w:hAnsi="Arial" w:cs="Arial"/>
        </w:rPr>
      </w:pPr>
      <w:r>
        <w:rPr>
          <w:rFonts w:ascii="Arial" w:hAnsi="Arial" w:cs="Arial"/>
        </w:rPr>
        <w:t>[11]</w:t>
      </w:r>
      <w:r>
        <w:rPr>
          <w:rFonts w:ascii="Arial" w:hAnsi="Arial" w:cs="Arial"/>
        </w:rPr>
        <w:tab/>
        <w:t>The question be</w:t>
      </w:r>
      <w:r w:rsidR="00E14F2C">
        <w:rPr>
          <w:rFonts w:ascii="Arial" w:hAnsi="Arial" w:cs="Arial"/>
        </w:rPr>
        <w:t>fore</w:t>
      </w:r>
      <w:r>
        <w:rPr>
          <w:rFonts w:ascii="Arial" w:hAnsi="Arial" w:cs="Arial"/>
        </w:rPr>
        <w:t xml:space="preserve"> this Court therefore is whether the Applicants, in this application for </w:t>
      </w:r>
      <w:r w:rsidR="00E14F2C">
        <w:rPr>
          <w:rFonts w:ascii="Arial" w:hAnsi="Arial" w:cs="Arial"/>
        </w:rPr>
        <w:t xml:space="preserve">condonation and </w:t>
      </w:r>
      <w:r>
        <w:rPr>
          <w:rFonts w:ascii="Arial" w:hAnsi="Arial" w:cs="Arial"/>
        </w:rPr>
        <w:t xml:space="preserve">upliftment of the </w:t>
      </w:r>
      <w:r w:rsidR="00E14F2C">
        <w:rPr>
          <w:rFonts w:ascii="Arial" w:hAnsi="Arial" w:cs="Arial"/>
        </w:rPr>
        <w:t xml:space="preserve">notice of </w:t>
      </w:r>
      <w:r>
        <w:rPr>
          <w:rFonts w:ascii="Arial" w:hAnsi="Arial" w:cs="Arial"/>
        </w:rPr>
        <w:t>bar, have measured up to the requirements set out above.</w:t>
      </w:r>
      <w:r w:rsidR="00C72278">
        <w:rPr>
          <w:rFonts w:ascii="Arial" w:hAnsi="Arial" w:cs="Arial"/>
        </w:rPr>
        <w:tab/>
      </w:r>
    </w:p>
    <w:p w14:paraId="7DE8A3D5" w14:textId="33041414" w:rsidR="00D77220" w:rsidRDefault="00330FE8" w:rsidP="009A68D5">
      <w:pPr>
        <w:spacing w:after="200"/>
        <w:rPr>
          <w:rFonts w:ascii="Arial" w:hAnsi="Arial" w:cs="Arial"/>
        </w:rPr>
      </w:pPr>
      <w:r>
        <w:rPr>
          <w:rFonts w:ascii="Arial" w:hAnsi="Arial" w:cs="Arial"/>
        </w:rPr>
        <w:t>[12]</w:t>
      </w:r>
      <w:r>
        <w:rPr>
          <w:rFonts w:ascii="Arial" w:hAnsi="Arial" w:cs="Arial"/>
        </w:rPr>
        <w:tab/>
      </w:r>
      <w:r w:rsidR="00C72278">
        <w:rPr>
          <w:rFonts w:ascii="Arial" w:hAnsi="Arial" w:cs="Arial"/>
        </w:rPr>
        <w:t>The Respondent submits that they have not because the</w:t>
      </w:r>
      <w:r>
        <w:rPr>
          <w:rFonts w:ascii="Arial" w:hAnsi="Arial" w:cs="Arial"/>
        </w:rPr>
        <w:t xml:space="preserve"> Applicants </w:t>
      </w:r>
      <w:r w:rsidR="00C72278">
        <w:rPr>
          <w:rFonts w:ascii="Arial" w:hAnsi="Arial" w:cs="Arial"/>
        </w:rPr>
        <w:t>have not</w:t>
      </w:r>
      <w:r>
        <w:rPr>
          <w:rFonts w:ascii="Arial" w:hAnsi="Arial" w:cs="Arial"/>
        </w:rPr>
        <w:t xml:space="preserve"> explained in detail the reasons for the delay as well as not explaining </w:t>
      </w:r>
      <w:r w:rsidR="00D77220">
        <w:rPr>
          <w:rFonts w:ascii="Arial" w:hAnsi="Arial" w:cs="Arial"/>
        </w:rPr>
        <w:t>sufficiently the whole period of the delay, especially relating to the period when the Notice of bar was received and the burglary at the Office of the Attorneys.</w:t>
      </w:r>
    </w:p>
    <w:p w14:paraId="3E83250C" w14:textId="2D03C0FC" w:rsidR="00D77220" w:rsidRDefault="00D77220" w:rsidP="009A68D5">
      <w:pPr>
        <w:spacing w:after="200"/>
        <w:rPr>
          <w:rFonts w:ascii="Arial" w:hAnsi="Arial" w:cs="Arial"/>
        </w:rPr>
      </w:pPr>
      <w:r>
        <w:rPr>
          <w:rFonts w:ascii="Arial" w:hAnsi="Arial" w:cs="Arial"/>
        </w:rPr>
        <w:t>[13]</w:t>
      </w:r>
      <w:r>
        <w:rPr>
          <w:rFonts w:ascii="Arial" w:hAnsi="Arial" w:cs="Arial"/>
        </w:rPr>
        <w:tab/>
        <w:t xml:space="preserve">The Respondent submits further that the explanations about the burglary are self-contradictory and should not be believed by the Court. In this regard the Respondent points to </w:t>
      </w:r>
      <w:r w:rsidR="0097035A">
        <w:rPr>
          <w:rFonts w:ascii="Arial" w:hAnsi="Arial" w:cs="Arial"/>
        </w:rPr>
        <w:t xml:space="preserve">the </w:t>
      </w:r>
      <w:r w:rsidR="00B732EF">
        <w:rPr>
          <w:rFonts w:ascii="Arial" w:hAnsi="Arial" w:cs="Arial"/>
        </w:rPr>
        <w:t xml:space="preserve">founding </w:t>
      </w:r>
      <w:r w:rsidR="0097035A">
        <w:rPr>
          <w:rFonts w:ascii="Arial" w:hAnsi="Arial" w:cs="Arial"/>
        </w:rPr>
        <w:t>affidavit</w:t>
      </w:r>
      <w:r w:rsidR="00B732EF">
        <w:rPr>
          <w:rFonts w:ascii="Arial" w:hAnsi="Arial" w:cs="Arial"/>
        </w:rPr>
        <w:t xml:space="preserve"> wherein it is mentioned at paragraph 26 that the Attorney was finalising the insurance claim whereas the affidavit in the docket of the burglary</w:t>
      </w:r>
      <w:r w:rsidR="00B732EF">
        <w:rPr>
          <w:rStyle w:val="FootnoteReference"/>
          <w:rFonts w:ascii="Arial" w:hAnsi="Arial" w:cs="Arial"/>
        </w:rPr>
        <w:footnoteReference w:id="5"/>
      </w:r>
      <w:r w:rsidR="0097035A">
        <w:rPr>
          <w:rFonts w:ascii="Arial" w:hAnsi="Arial" w:cs="Arial"/>
        </w:rPr>
        <w:t xml:space="preserve"> </w:t>
      </w:r>
      <w:r w:rsidR="00B732EF">
        <w:rPr>
          <w:rFonts w:ascii="Arial" w:hAnsi="Arial" w:cs="Arial"/>
        </w:rPr>
        <w:t>mentions that there was no insurance.</w:t>
      </w:r>
    </w:p>
    <w:p w14:paraId="040F56B9" w14:textId="5E39AC18" w:rsidR="00A239CD" w:rsidRDefault="00A239CD" w:rsidP="009A68D5">
      <w:pPr>
        <w:spacing w:after="200"/>
        <w:rPr>
          <w:rFonts w:ascii="Arial" w:hAnsi="Arial" w:cs="Arial"/>
        </w:rPr>
      </w:pPr>
      <w:r>
        <w:rPr>
          <w:rFonts w:ascii="Arial" w:hAnsi="Arial" w:cs="Arial"/>
        </w:rPr>
        <w:t>[14]</w:t>
      </w:r>
      <w:r>
        <w:rPr>
          <w:rFonts w:ascii="Arial" w:hAnsi="Arial" w:cs="Arial"/>
        </w:rPr>
        <w:tab/>
        <w:t>The Respondent further states that the burglary issue should have been confirmed by the person laying the charge, namely, Mr Rudzani</w:t>
      </w:r>
      <w:r w:rsidR="00EC7AC3">
        <w:rPr>
          <w:rFonts w:ascii="Arial" w:hAnsi="Arial" w:cs="Arial"/>
        </w:rPr>
        <w:t xml:space="preserve"> Gumi</w:t>
      </w:r>
      <w:r>
        <w:rPr>
          <w:rFonts w:ascii="Arial" w:hAnsi="Arial" w:cs="Arial"/>
        </w:rPr>
        <w:t>, but there is no confirmatory affidavit from Mr Rudzani</w:t>
      </w:r>
      <w:r w:rsidR="0031201C">
        <w:rPr>
          <w:rFonts w:ascii="Arial" w:hAnsi="Arial" w:cs="Arial"/>
        </w:rPr>
        <w:t xml:space="preserve"> Gumi</w:t>
      </w:r>
      <w:r>
        <w:rPr>
          <w:rFonts w:ascii="Arial" w:hAnsi="Arial" w:cs="Arial"/>
        </w:rPr>
        <w:t xml:space="preserve"> and this factor adds to the point that the burglary of the computers should be disbelieved by this Court.</w:t>
      </w:r>
    </w:p>
    <w:p w14:paraId="67749650" w14:textId="35D7A75D" w:rsidR="00EC7AC3" w:rsidRDefault="00A239CD" w:rsidP="009A68D5">
      <w:pPr>
        <w:spacing w:after="200"/>
        <w:rPr>
          <w:rFonts w:ascii="Arial" w:hAnsi="Arial" w:cs="Arial"/>
        </w:rPr>
      </w:pPr>
      <w:r>
        <w:rPr>
          <w:rFonts w:ascii="Arial" w:hAnsi="Arial" w:cs="Arial"/>
        </w:rPr>
        <w:t>[15]</w:t>
      </w:r>
      <w:r>
        <w:rPr>
          <w:rFonts w:ascii="Arial" w:hAnsi="Arial" w:cs="Arial"/>
        </w:rPr>
        <w:tab/>
      </w:r>
      <w:r w:rsidR="0031201C">
        <w:rPr>
          <w:rFonts w:ascii="Arial" w:hAnsi="Arial" w:cs="Arial"/>
        </w:rPr>
        <w:t>The Applicant</w:t>
      </w:r>
      <w:r w:rsidR="00EC7AC3">
        <w:rPr>
          <w:rFonts w:ascii="Arial" w:hAnsi="Arial" w:cs="Arial"/>
        </w:rPr>
        <w:t>s</w:t>
      </w:r>
      <w:r w:rsidR="0031201C">
        <w:rPr>
          <w:rFonts w:ascii="Arial" w:hAnsi="Arial" w:cs="Arial"/>
        </w:rPr>
        <w:t xml:space="preserve"> in</w:t>
      </w:r>
      <w:r w:rsidR="00EC7AC3">
        <w:rPr>
          <w:rFonts w:ascii="Arial" w:hAnsi="Arial" w:cs="Arial"/>
        </w:rPr>
        <w:t xml:space="preserve"> turn submit that they have complied with the requirements for condonation and upliftment of the </w:t>
      </w:r>
      <w:r w:rsidR="00E14F2C">
        <w:rPr>
          <w:rFonts w:ascii="Arial" w:hAnsi="Arial" w:cs="Arial"/>
        </w:rPr>
        <w:t xml:space="preserve">notice of </w:t>
      </w:r>
      <w:r w:rsidR="00EC7AC3">
        <w:rPr>
          <w:rFonts w:ascii="Arial" w:hAnsi="Arial" w:cs="Arial"/>
        </w:rPr>
        <w:t xml:space="preserve">bar. In this regard they submit that there were issues at the Office where the former secretary had emailed the plea but as a result of the burglary, they are unable to prove that the email was sent to the Respondent’s Attorneys especially since the Respondent denies having received same. </w:t>
      </w:r>
    </w:p>
    <w:p w14:paraId="49100117" w14:textId="797433D8" w:rsidR="00C40F80" w:rsidRDefault="00EC7AC3" w:rsidP="009A68D5">
      <w:pPr>
        <w:spacing w:after="200"/>
        <w:rPr>
          <w:rFonts w:ascii="Arial" w:hAnsi="Arial" w:cs="Arial"/>
        </w:rPr>
      </w:pPr>
      <w:r>
        <w:rPr>
          <w:rFonts w:ascii="Arial" w:hAnsi="Arial" w:cs="Arial"/>
        </w:rPr>
        <w:t>[16]</w:t>
      </w:r>
      <w:r>
        <w:rPr>
          <w:rFonts w:ascii="Arial" w:hAnsi="Arial" w:cs="Arial"/>
        </w:rPr>
        <w:tab/>
        <w:t xml:space="preserve">The Applicants submit that the Respondent has not shown the Court that they would be prejudiced </w:t>
      </w:r>
      <w:r w:rsidR="00E14F2C">
        <w:rPr>
          <w:rFonts w:ascii="Arial" w:hAnsi="Arial" w:cs="Arial"/>
        </w:rPr>
        <w:t xml:space="preserve">by the granting of the relief claimed </w:t>
      </w:r>
      <w:r>
        <w:rPr>
          <w:rFonts w:ascii="Arial" w:hAnsi="Arial" w:cs="Arial"/>
        </w:rPr>
        <w:t xml:space="preserve">which prejudice </w:t>
      </w:r>
      <w:r w:rsidR="00B1698D">
        <w:rPr>
          <w:rFonts w:ascii="Arial" w:hAnsi="Arial" w:cs="Arial"/>
        </w:rPr>
        <w:t>can</w:t>
      </w:r>
      <w:r>
        <w:rPr>
          <w:rFonts w:ascii="Arial" w:hAnsi="Arial" w:cs="Arial"/>
        </w:rPr>
        <w:t>not be cured by a costs order against the Applicants.</w:t>
      </w:r>
      <w:r w:rsidR="00C40F80">
        <w:rPr>
          <w:rFonts w:ascii="Arial" w:hAnsi="Arial" w:cs="Arial"/>
        </w:rPr>
        <w:t xml:space="preserve"> </w:t>
      </w:r>
    </w:p>
    <w:p w14:paraId="7650DD18" w14:textId="77777777" w:rsidR="00C40F80" w:rsidRDefault="00C40F80" w:rsidP="009A68D5">
      <w:pPr>
        <w:spacing w:after="200"/>
        <w:rPr>
          <w:rFonts w:ascii="Arial" w:hAnsi="Arial" w:cs="Arial"/>
        </w:rPr>
      </w:pPr>
      <w:r>
        <w:rPr>
          <w:rFonts w:ascii="Arial" w:hAnsi="Arial" w:cs="Arial"/>
        </w:rPr>
        <w:t>[17]</w:t>
      </w:r>
      <w:r>
        <w:rPr>
          <w:rFonts w:ascii="Arial" w:hAnsi="Arial" w:cs="Arial"/>
        </w:rPr>
        <w:tab/>
        <w:t xml:space="preserve">The Applicants submit that they have a </w:t>
      </w:r>
      <w:r>
        <w:rPr>
          <w:rFonts w:ascii="Arial" w:hAnsi="Arial" w:cs="Arial"/>
          <w:i/>
          <w:iCs/>
        </w:rPr>
        <w:t xml:space="preserve">bona fide </w:t>
      </w:r>
      <w:r>
        <w:rPr>
          <w:rFonts w:ascii="Arial" w:hAnsi="Arial" w:cs="Arial"/>
        </w:rPr>
        <w:t>defence which is outlined in the plea and a ventilation of the dispute between the parties should be allowed by this Court.</w:t>
      </w:r>
    </w:p>
    <w:p w14:paraId="6BDA800D" w14:textId="45463783" w:rsidR="004F2592" w:rsidRDefault="00C40F80" w:rsidP="009A68D5">
      <w:pPr>
        <w:spacing w:after="200"/>
        <w:rPr>
          <w:rFonts w:ascii="Arial" w:hAnsi="Arial" w:cs="Arial"/>
        </w:rPr>
      </w:pPr>
      <w:r>
        <w:rPr>
          <w:rFonts w:ascii="Arial" w:hAnsi="Arial" w:cs="Arial"/>
        </w:rPr>
        <w:t>[18]</w:t>
      </w:r>
      <w:r>
        <w:rPr>
          <w:rFonts w:ascii="Arial" w:hAnsi="Arial" w:cs="Arial"/>
        </w:rPr>
        <w:tab/>
        <w:t>It should be stated at this stage</w:t>
      </w:r>
      <w:r w:rsidR="00E14F2C">
        <w:rPr>
          <w:rFonts w:ascii="Arial" w:hAnsi="Arial" w:cs="Arial"/>
        </w:rPr>
        <w:t>, which in my view is an important factor in this case,</w:t>
      </w:r>
      <w:r>
        <w:rPr>
          <w:rFonts w:ascii="Arial" w:hAnsi="Arial" w:cs="Arial"/>
        </w:rPr>
        <w:t xml:space="preserve"> that the delay and cause of the delay in this case arose because of the actions or omissions of the representatives of the Applicants. It is trite that an Applicant in given circumstances cannot hide behind the conduct of their legal representatives. The question though is, is this case one of those cases.</w:t>
      </w:r>
    </w:p>
    <w:p w14:paraId="25F0C513" w14:textId="648F6DE4" w:rsidR="00D40E25" w:rsidRDefault="004F2592" w:rsidP="00B4537B">
      <w:pPr>
        <w:spacing w:after="200"/>
        <w:rPr>
          <w:rFonts w:ascii="Arial" w:hAnsi="Arial" w:cs="Arial"/>
        </w:rPr>
      </w:pPr>
      <w:r>
        <w:rPr>
          <w:rFonts w:ascii="Arial" w:hAnsi="Arial" w:cs="Arial"/>
        </w:rPr>
        <w:t>[19]</w:t>
      </w:r>
      <w:r>
        <w:rPr>
          <w:rFonts w:ascii="Arial" w:hAnsi="Arial" w:cs="Arial"/>
        </w:rPr>
        <w:tab/>
        <w:t xml:space="preserve">In </w:t>
      </w:r>
      <w:r w:rsidRPr="00B4537B">
        <w:rPr>
          <w:rFonts w:ascii="Arial" w:hAnsi="Arial" w:cs="Arial"/>
          <w:b/>
          <w:bCs/>
        </w:rPr>
        <w:t xml:space="preserve">Saloojee and </w:t>
      </w:r>
      <w:r w:rsidR="00D40E25" w:rsidRPr="00B4537B">
        <w:rPr>
          <w:rFonts w:ascii="Arial" w:hAnsi="Arial" w:cs="Arial"/>
          <w:b/>
          <w:bCs/>
        </w:rPr>
        <w:t>Another NNO v Minister of Community Development</w:t>
      </w:r>
      <w:r w:rsidR="00D40E25" w:rsidRPr="00B4537B">
        <w:rPr>
          <w:rStyle w:val="FootnoteReference"/>
          <w:rFonts w:ascii="Arial" w:hAnsi="Arial" w:cs="Arial"/>
          <w:b/>
          <w:bCs/>
        </w:rPr>
        <w:footnoteReference w:id="6"/>
      </w:r>
      <w:r w:rsidR="00D40E25">
        <w:rPr>
          <w:rFonts w:ascii="Arial" w:hAnsi="Arial" w:cs="Arial"/>
        </w:rPr>
        <w:t xml:space="preserve"> the following was stated in respect of a litigant being held to the failures of his legal representatives:</w:t>
      </w:r>
    </w:p>
    <w:p w14:paraId="200733F5" w14:textId="7B5B8401" w:rsidR="00D40E25" w:rsidRDefault="00D40E25" w:rsidP="00B4537B">
      <w:pPr>
        <w:pStyle w:val="BowLevel1ListAlt"/>
        <w:numPr>
          <w:ilvl w:val="0"/>
          <w:numId w:val="0"/>
        </w:numPr>
        <w:spacing w:before="240" w:after="120" w:line="480" w:lineRule="auto"/>
        <w:ind w:left="567"/>
        <w:rPr>
          <w:rFonts w:ascii="Arial" w:hAnsi="Arial" w:cs="Arial"/>
          <w:i/>
          <w:iCs/>
          <w:sz w:val="22"/>
          <w:szCs w:val="22"/>
        </w:rPr>
      </w:pPr>
      <w:r w:rsidRPr="002A7B29">
        <w:rPr>
          <w:rFonts w:ascii="Arial" w:hAnsi="Arial" w:cs="Arial"/>
          <w:i/>
          <w:sz w:val="22"/>
          <w:szCs w:val="22"/>
        </w:rPr>
        <w:t>”</w:t>
      </w:r>
      <w:r w:rsidRPr="002A7B29">
        <w:rPr>
          <w:rFonts w:ascii="Arial" w:hAnsi="Arial" w:cs="Arial"/>
          <w:i/>
          <w:iCs/>
          <w:sz w:val="22"/>
          <w:szCs w:val="22"/>
        </w:rPr>
        <w:t>I should point out, however, that it has not at any time been held that condonation will not in any circumstances be withheld if the blame lies with his attorney.  There is a limit beyond which a litigant cannot escape the results of his attorney’s lack of diligence, or the insufficiency of the explanation tendered.</w:t>
      </w:r>
      <w:r w:rsidR="00F34686">
        <w:rPr>
          <w:rFonts w:ascii="Arial" w:hAnsi="Arial" w:cs="Arial"/>
          <w:i/>
          <w:iCs/>
          <w:sz w:val="22"/>
          <w:szCs w:val="22"/>
        </w:rPr>
        <w:t xml:space="preserve"> </w:t>
      </w:r>
      <w:r w:rsidRPr="002A7B29">
        <w:rPr>
          <w:rFonts w:ascii="Arial" w:hAnsi="Arial" w:cs="Arial"/>
          <w:i/>
          <w:iCs/>
          <w:sz w:val="22"/>
          <w:szCs w:val="22"/>
        </w:rPr>
        <w:t>To hold otherwise might have a disastrous effect on the observance of the Rules of this Court</w:t>
      </w:r>
      <w:r w:rsidR="00F34686">
        <w:rPr>
          <w:rFonts w:ascii="Arial" w:hAnsi="Arial" w:cs="Arial"/>
          <w:i/>
          <w:iCs/>
          <w:sz w:val="22"/>
          <w:szCs w:val="22"/>
        </w:rPr>
        <w:t>.</w:t>
      </w:r>
      <w:r w:rsidRPr="002A7B29">
        <w:rPr>
          <w:rFonts w:ascii="Arial" w:hAnsi="Arial" w:cs="Arial"/>
          <w:i/>
          <w:iCs/>
          <w:sz w:val="22"/>
          <w:szCs w:val="22"/>
        </w:rPr>
        <w:t xml:space="preserve"> Considerations ad misericordiam should not be allowed to become an invitation to laxity.  In fact, this Court has lately been burdened with an undue increasing number of applications for condonation in which the failure to comply with the Rules of this Court was due to neglect on the part of the attorney.  The attorney, after all, is the representative whom the litigant has chosen for himself, and there is little reason why, in regard to condonation of a failure to comply with a Rule of Court, the litigant should be absolved from the normal consequences of such</w:t>
      </w:r>
      <w:r w:rsidR="00F34686">
        <w:rPr>
          <w:rFonts w:ascii="Arial" w:hAnsi="Arial" w:cs="Arial"/>
          <w:i/>
          <w:iCs/>
          <w:sz w:val="22"/>
          <w:szCs w:val="22"/>
        </w:rPr>
        <w:t xml:space="preserve"> </w:t>
      </w:r>
      <w:r w:rsidRPr="002A7B29">
        <w:rPr>
          <w:rFonts w:ascii="Arial" w:hAnsi="Arial" w:cs="Arial"/>
          <w:i/>
          <w:iCs/>
          <w:sz w:val="22"/>
          <w:szCs w:val="22"/>
        </w:rPr>
        <w:t>a relationship, no matter what the consequences of the failure are.”</w:t>
      </w:r>
    </w:p>
    <w:p w14:paraId="22B8CC6C" w14:textId="78320EAA" w:rsidR="00D40E25" w:rsidRDefault="00D40E25"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[20]</w:t>
      </w:r>
      <w:r>
        <w:rPr>
          <w:rFonts w:ascii="Arial" w:hAnsi="Arial" w:cs="Arial"/>
          <w:sz w:val="24"/>
          <w:szCs w:val="24"/>
        </w:rPr>
        <w:tab/>
      </w:r>
      <w:r w:rsidR="00BD1EAB">
        <w:rPr>
          <w:rFonts w:ascii="Arial" w:hAnsi="Arial" w:cs="Arial"/>
          <w:sz w:val="24"/>
          <w:szCs w:val="24"/>
        </w:rPr>
        <w:t>The important principle enunciate</w:t>
      </w:r>
      <w:r w:rsidR="00B4537B">
        <w:rPr>
          <w:rFonts w:ascii="Arial" w:hAnsi="Arial" w:cs="Arial"/>
          <w:sz w:val="24"/>
          <w:szCs w:val="24"/>
        </w:rPr>
        <w:t>d</w:t>
      </w:r>
      <w:r w:rsidR="00BD1EAB">
        <w:rPr>
          <w:rFonts w:ascii="Arial" w:hAnsi="Arial" w:cs="Arial"/>
          <w:sz w:val="24"/>
          <w:szCs w:val="24"/>
        </w:rPr>
        <w:t xml:space="preserve"> above is that each case will be depend on its own circumstances. In my view, one of the circumstances would be where a litigant has a strong prospect of success in a given case. Furthermore, it is not for the Court adjudicating an application for condonation to dissect the defence or defences that a litigant has </w:t>
      </w:r>
      <w:r w:rsidR="00B4537B">
        <w:rPr>
          <w:rFonts w:ascii="Arial" w:hAnsi="Arial" w:cs="Arial"/>
          <w:sz w:val="24"/>
          <w:szCs w:val="24"/>
        </w:rPr>
        <w:t>proffered</w:t>
      </w:r>
      <w:r w:rsidR="00BD1EAB">
        <w:rPr>
          <w:rFonts w:ascii="Arial" w:hAnsi="Arial" w:cs="Arial"/>
          <w:sz w:val="24"/>
          <w:szCs w:val="24"/>
        </w:rPr>
        <w:t xml:space="preserve"> but must </w:t>
      </w:r>
      <w:r w:rsidR="006575F1">
        <w:rPr>
          <w:rFonts w:ascii="Arial" w:hAnsi="Arial" w:cs="Arial"/>
          <w:sz w:val="24"/>
          <w:szCs w:val="24"/>
        </w:rPr>
        <w:t>assess</w:t>
      </w:r>
      <w:r w:rsidR="00BD1EAB">
        <w:rPr>
          <w:rFonts w:ascii="Arial" w:hAnsi="Arial" w:cs="Arial"/>
          <w:sz w:val="24"/>
          <w:szCs w:val="24"/>
        </w:rPr>
        <w:t xml:space="preserve"> </w:t>
      </w:r>
      <w:r w:rsidR="00BD1EAB" w:rsidRPr="006575F1">
        <w:rPr>
          <w:rFonts w:ascii="Arial" w:hAnsi="Arial" w:cs="Arial"/>
          <w:i/>
          <w:iCs/>
          <w:sz w:val="24"/>
          <w:szCs w:val="24"/>
        </w:rPr>
        <w:t>prima facie</w:t>
      </w:r>
      <w:r w:rsidR="006575F1">
        <w:rPr>
          <w:rFonts w:ascii="Arial" w:hAnsi="Arial" w:cs="Arial"/>
          <w:sz w:val="24"/>
          <w:szCs w:val="24"/>
        </w:rPr>
        <w:t xml:space="preserve"> that the</w:t>
      </w:r>
      <w:r w:rsidR="00BD1EAB">
        <w:rPr>
          <w:rFonts w:ascii="Arial" w:hAnsi="Arial" w:cs="Arial"/>
          <w:sz w:val="24"/>
          <w:szCs w:val="24"/>
        </w:rPr>
        <w:t xml:space="preserve"> litigant has </w:t>
      </w:r>
      <w:r w:rsidR="00B4537B">
        <w:rPr>
          <w:rFonts w:ascii="Arial" w:hAnsi="Arial" w:cs="Arial"/>
          <w:sz w:val="24"/>
          <w:szCs w:val="24"/>
        </w:rPr>
        <w:t xml:space="preserve">proffered </w:t>
      </w:r>
      <w:r w:rsidR="00BD1EAB">
        <w:rPr>
          <w:rFonts w:ascii="Arial" w:hAnsi="Arial" w:cs="Arial"/>
          <w:sz w:val="24"/>
          <w:szCs w:val="24"/>
        </w:rPr>
        <w:t xml:space="preserve">a </w:t>
      </w:r>
      <w:r w:rsidR="00BD1EAB">
        <w:rPr>
          <w:rFonts w:ascii="Arial" w:hAnsi="Arial" w:cs="Arial"/>
          <w:i/>
          <w:iCs/>
          <w:sz w:val="24"/>
          <w:szCs w:val="24"/>
        </w:rPr>
        <w:t xml:space="preserve">bona fide </w:t>
      </w:r>
      <w:r w:rsidR="00BD1EAB">
        <w:rPr>
          <w:rFonts w:ascii="Arial" w:hAnsi="Arial" w:cs="Arial"/>
          <w:sz w:val="24"/>
          <w:szCs w:val="24"/>
        </w:rPr>
        <w:t>defence.</w:t>
      </w:r>
      <w:r w:rsidR="006575F1">
        <w:rPr>
          <w:rFonts w:ascii="Arial" w:hAnsi="Arial" w:cs="Arial"/>
          <w:sz w:val="24"/>
          <w:szCs w:val="24"/>
        </w:rPr>
        <w:t xml:space="preserve"> I am satisfied that the Applicants have proffered such defence.</w:t>
      </w:r>
    </w:p>
    <w:p w14:paraId="4726F264" w14:textId="1CB1D408" w:rsidR="00B1698D" w:rsidRDefault="00692F30"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[21]</w:t>
      </w:r>
      <w:r>
        <w:rPr>
          <w:rFonts w:ascii="Arial" w:hAnsi="Arial" w:cs="Arial"/>
          <w:sz w:val="24"/>
          <w:szCs w:val="24"/>
        </w:rPr>
        <w:tab/>
      </w:r>
      <w:r w:rsidR="00B1698D">
        <w:rPr>
          <w:rFonts w:ascii="Arial" w:hAnsi="Arial" w:cs="Arial"/>
          <w:sz w:val="24"/>
          <w:szCs w:val="24"/>
        </w:rPr>
        <w:t xml:space="preserve">It is my view that the conduct of the legal representatives of the </w:t>
      </w:r>
      <w:r w:rsidR="00E14F2C">
        <w:rPr>
          <w:rFonts w:ascii="Arial" w:hAnsi="Arial" w:cs="Arial"/>
          <w:sz w:val="24"/>
          <w:szCs w:val="24"/>
        </w:rPr>
        <w:t xml:space="preserve">Applicants </w:t>
      </w:r>
      <w:r w:rsidR="00B1698D">
        <w:rPr>
          <w:rFonts w:ascii="Arial" w:hAnsi="Arial" w:cs="Arial"/>
          <w:sz w:val="24"/>
          <w:szCs w:val="24"/>
        </w:rPr>
        <w:t>should not be held against the Applicants in the circumstances of this case</w:t>
      </w:r>
      <w:r w:rsidR="003B02BC">
        <w:rPr>
          <w:rFonts w:ascii="Arial" w:hAnsi="Arial" w:cs="Arial"/>
          <w:sz w:val="24"/>
          <w:szCs w:val="24"/>
        </w:rPr>
        <w:t xml:space="preserve"> as the Applicants would not have known about what was happening in the Offices of their Attorneys until such time as they were told</w:t>
      </w:r>
      <w:r w:rsidR="006575F1">
        <w:rPr>
          <w:rFonts w:ascii="Arial" w:hAnsi="Arial" w:cs="Arial"/>
          <w:sz w:val="24"/>
          <w:szCs w:val="24"/>
        </w:rPr>
        <w:t>.</w:t>
      </w:r>
    </w:p>
    <w:p w14:paraId="137140CB" w14:textId="1C567219" w:rsidR="00692F30" w:rsidRDefault="00B1698D"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[22]</w:t>
      </w:r>
      <w:r>
        <w:rPr>
          <w:rFonts w:ascii="Arial" w:hAnsi="Arial" w:cs="Arial"/>
          <w:sz w:val="24"/>
          <w:szCs w:val="24"/>
        </w:rPr>
        <w:tab/>
      </w:r>
      <w:r w:rsidR="00692F30">
        <w:rPr>
          <w:rFonts w:ascii="Arial" w:hAnsi="Arial" w:cs="Arial"/>
          <w:sz w:val="24"/>
          <w:szCs w:val="24"/>
        </w:rPr>
        <w:t>A further factor to be taken into account is the length of the delay. In my view the delay in this case cannot be categorized as an inordinate delay; in other words</w:t>
      </w:r>
      <w:r w:rsidR="00064276">
        <w:rPr>
          <w:rFonts w:ascii="Arial" w:hAnsi="Arial" w:cs="Arial"/>
          <w:sz w:val="24"/>
          <w:szCs w:val="24"/>
        </w:rPr>
        <w:t>,</w:t>
      </w:r>
      <w:r w:rsidR="00692F30">
        <w:rPr>
          <w:rFonts w:ascii="Arial" w:hAnsi="Arial" w:cs="Arial"/>
          <w:sz w:val="24"/>
          <w:szCs w:val="24"/>
        </w:rPr>
        <w:t xml:space="preserve"> the delay cannot be said be years or even six months for that matter.</w:t>
      </w:r>
      <w:r w:rsidR="00064276">
        <w:rPr>
          <w:rFonts w:ascii="Arial" w:hAnsi="Arial" w:cs="Arial"/>
          <w:sz w:val="24"/>
          <w:szCs w:val="24"/>
        </w:rPr>
        <w:t xml:space="preserve"> The plea was served out of time but on or about 11 March 2019. This delay, in my view, does not represent an inordinate delay.</w:t>
      </w:r>
    </w:p>
    <w:p w14:paraId="1D8CFA9E" w14:textId="5040ECF3" w:rsidR="00A81F4F" w:rsidRDefault="00064276"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w:t>
      </w:r>
      <w:r w:rsidR="00B1698D">
        <w:rPr>
          <w:rFonts w:ascii="Arial" w:hAnsi="Arial" w:cs="Arial"/>
          <w:sz w:val="24"/>
          <w:szCs w:val="24"/>
        </w:rPr>
        <w:t>3</w:t>
      </w:r>
      <w:r>
        <w:rPr>
          <w:rFonts w:ascii="Arial" w:hAnsi="Arial" w:cs="Arial"/>
          <w:sz w:val="24"/>
          <w:szCs w:val="24"/>
        </w:rPr>
        <w:t>]</w:t>
      </w:r>
      <w:r>
        <w:rPr>
          <w:rFonts w:ascii="Arial" w:hAnsi="Arial" w:cs="Arial"/>
          <w:sz w:val="24"/>
          <w:szCs w:val="24"/>
        </w:rPr>
        <w:tab/>
        <w:t>Mr M</w:t>
      </w:r>
      <w:r w:rsidR="006575F1">
        <w:rPr>
          <w:rFonts w:ascii="Arial" w:hAnsi="Arial" w:cs="Arial"/>
          <w:sz w:val="24"/>
          <w:szCs w:val="24"/>
        </w:rPr>
        <w:t>a</w:t>
      </w:r>
      <w:r>
        <w:rPr>
          <w:rFonts w:ascii="Arial" w:hAnsi="Arial" w:cs="Arial"/>
          <w:sz w:val="24"/>
          <w:szCs w:val="24"/>
        </w:rPr>
        <w:t>khambeni, who argued this matter</w:t>
      </w:r>
      <w:r w:rsidR="00BA4448">
        <w:rPr>
          <w:rFonts w:ascii="Arial" w:hAnsi="Arial" w:cs="Arial"/>
          <w:sz w:val="24"/>
          <w:szCs w:val="24"/>
        </w:rPr>
        <w:t xml:space="preserve"> </w:t>
      </w:r>
      <w:r>
        <w:rPr>
          <w:rFonts w:ascii="Arial" w:hAnsi="Arial" w:cs="Arial"/>
          <w:sz w:val="24"/>
          <w:szCs w:val="24"/>
        </w:rPr>
        <w:t xml:space="preserve">on behalf of the Applicants but did not draft the Heads of Argument, made a submission that this Court should apply the </w:t>
      </w:r>
      <w:r>
        <w:rPr>
          <w:rFonts w:ascii="Arial" w:hAnsi="Arial" w:cs="Arial"/>
          <w:i/>
          <w:iCs/>
          <w:sz w:val="24"/>
          <w:szCs w:val="24"/>
        </w:rPr>
        <w:t>audi alter</w:t>
      </w:r>
      <w:r w:rsidR="00A81F4F">
        <w:rPr>
          <w:rFonts w:ascii="Arial" w:hAnsi="Arial" w:cs="Arial"/>
          <w:i/>
          <w:iCs/>
          <w:sz w:val="24"/>
          <w:szCs w:val="24"/>
        </w:rPr>
        <w:t>a</w:t>
      </w:r>
      <w:r>
        <w:rPr>
          <w:rFonts w:ascii="Arial" w:hAnsi="Arial" w:cs="Arial"/>
          <w:i/>
          <w:iCs/>
          <w:sz w:val="24"/>
          <w:szCs w:val="24"/>
        </w:rPr>
        <w:t xml:space="preserve">m partem </w:t>
      </w:r>
      <w:r>
        <w:rPr>
          <w:rFonts w:ascii="Arial" w:hAnsi="Arial" w:cs="Arial"/>
          <w:sz w:val="24"/>
          <w:szCs w:val="24"/>
        </w:rPr>
        <w:t xml:space="preserve">principle in permitting the </w:t>
      </w:r>
      <w:r w:rsidR="00BA4448">
        <w:rPr>
          <w:rFonts w:ascii="Arial" w:hAnsi="Arial" w:cs="Arial"/>
          <w:sz w:val="24"/>
          <w:szCs w:val="24"/>
        </w:rPr>
        <w:t xml:space="preserve">notice of </w:t>
      </w:r>
      <w:r>
        <w:rPr>
          <w:rFonts w:ascii="Arial" w:hAnsi="Arial" w:cs="Arial"/>
          <w:sz w:val="24"/>
          <w:szCs w:val="24"/>
        </w:rPr>
        <w:t>bar to be uplifted. It should be stated immediately, that this principle finds no application in this case</w:t>
      </w:r>
      <w:r w:rsidR="00BA4448">
        <w:rPr>
          <w:rFonts w:ascii="Arial" w:hAnsi="Arial" w:cs="Arial"/>
          <w:sz w:val="24"/>
          <w:szCs w:val="24"/>
        </w:rPr>
        <w:t xml:space="preserve"> and the submission has no merit</w:t>
      </w:r>
      <w:r>
        <w:rPr>
          <w:rFonts w:ascii="Arial" w:hAnsi="Arial" w:cs="Arial"/>
          <w:sz w:val="24"/>
          <w:szCs w:val="24"/>
        </w:rPr>
        <w:t>. Firstly, because this submission was not raised in the pleadings and secondly, the Applicants had the chance to respond to the Respondent</w:t>
      </w:r>
      <w:r w:rsidR="00BA4448">
        <w:rPr>
          <w:rFonts w:ascii="Arial" w:hAnsi="Arial" w:cs="Arial"/>
          <w:sz w:val="24"/>
          <w:szCs w:val="24"/>
        </w:rPr>
        <w:t>’</w:t>
      </w:r>
      <w:r>
        <w:rPr>
          <w:rFonts w:ascii="Arial" w:hAnsi="Arial" w:cs="Arial"/>
          <w:sz w:val="24"/>
          <w:szCs w:val="24"/>
        </w:rPr>
        <w:t>s claim but such response was not submitted timeously</w:t>
      </w:r>
      <w:r w:rsidR="00A81F4F">
        <w:rPr>
          <w:rFonts w:ascii="Arial" w:hAnsi="Arial" w:cs="Arial"/>
          <w:sz w:val="24"/>
          <w:szCs w:val="24"/>
        </w:rPr>
        <w:t xml:space="preserve"> and I do not see the relevance of the said principle in the circumstances of this case.</w:t>
      </w:r>
    </w:p>
    <w:p w14:paraId="3F9928C8" w14:textId="0CE7A211" w:rsidR="00A81F4F" w:rsidRDefault="00A81F4F"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w:t>
      </w:r>
      <w:r w:rsidR="00B1698D">
        <w:rPr>
          <w:rFonts w:ascii="Arial" w:hAnsi="Arial" w:cs="Arial"/>
          <w:sz w:val="24"/>
          <w:szCs w:val="24"/>
        </w:rPr>
        <w:t>4</w:t>
      </w:r>
      <w:r>
        <w:rPr>
          <w:rFonts w:ascii="Arial" w:hAnsi="Arial" w:cs="Arial"/>
          <w:sz w:val="24"/>
          <w:szCs w:val="24"/>
        </w:rPr>
        <w:t>]</w:t>
      </w:r>
      <w:r>
        <w:rPr>
          <w:rFonts w:ascii="Arial" w:hAnsi="Arial" w:cs="Arial"/>
          <w:sz w:val="24"/>
          <w:szCs w:val="24"/>
        </w:rPr>
        <w:tab/>
        <w:t xml:space="preserve">A principle that does find application in this case is the interests of justice </w:t>
      </w:r>
      <w:r w:rsidR="00E57130">
        <w:rPr>
          <w:rFonts w:ascii="Arial" w:hAnsi="Arial" w:cs="Arial"/>
          <w:sz w:val="24"/>
          <w:szCs w:val="24"/>
        </w:rPr>
        <w:t xml:space="preserve">principle </w:t>
      </w:r>
      <w:r>
        <w:rPr>
          <w:rFonts w:ascii="Arial" w:hAnsi="Arial" w:cs="Arial"/>
          <w:sz w:val="24"/>
          <w:szCs w:val="24"/>
        </w:rPr>
        <w:t xml:space="preserve">as stated in the </w:t>
      </w:r>
      <w:r>
        <w:rPr>
          <w:rFonts w:ascii="Arial" w:hAnsi="Arial" w:cs="Arial"/>
          <w:b/>
          <w:bCs/>
          <w:sz w:val="24"/>
          <w:szCs w:val="24"/>
        </w:rPr>
        <w:t xml:space="preserve">Brummer </w:t>
      </w:r>
      <w:r>
        <w:rPr>
          <w:rFonts w:ascii="Arial" w:hAnsi="Arial" w:cs="Arial"/>
          <w:sz w:val="24"/>
          <w:szCs w:val="24"/>
        </w:rPr>
        <w:t xml:space="preserve">case. There is more cogency in this argument applying to the circumstances of this case rather than the clutching at straw legal principle such as the </w:t>
      </w:r>
      <w:r>
        <w:rPr>
          <w:rFonts w:ascii="Arial" w:hAnsi="Arial" w:cs="Arial"/>
          <w:i/>
          <w:iCs/>
          <w:sz w:val="24"/>
          <w:szCs w:val="24"/>
        </w:rPr>
        <w:t xml:space="preserve">audi alteram partem </w:t>
      </w:r>
      <w:r>
        <w:rPr>
          <w:rFonts w:ascii="Arial" w:hAnsi="Arial" w:cs="Arial"/>
          <w:sz w:val="24"/>
          <w:szCs w:val="24"/>
        </w:rPr>
        <w:t>principle.</w:t>
      </w:r>
    </w:p>
    <w:p w14:paraId="58B76A36" w14:textId="715B099A" w:rsidR="00064276" w:rsidRDefault="00A81F4F"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w:t>
      </w:r>
      <w:r w:rsidR="00B1698D">
        <w:rPr>
          <w:rFonts w:ascii="Arial" w:hAnsi="Arial" w:cs="Arial"/>
          <w:sz w:val="24"/>
          <w:szCs w:val="24"/>
        </w:rPr>
        <w:t>5</w:t>
      </w:r>
      <w:r>
        <w:rPr>
          <w:rFonts w:ascii="Arial" w:hAnsi="Arial" w:cs="Arial"/>
          <w:sz w:val="24"/>
          <w:szCs w:val="24"/>
        </w:rPr>
        <w:t>]</w:t>
      </w:r>
      <w:r>
        <w:rPr>
          <w:rFonts w:ascii="Arial" w:hAnsi="Arial" w:cs="Arial"/>
          <w:sz w:val="24"/>
          <w:szCs w:val="24"/>
        </w:rPr>
        <w:tab/>
        <w:t xml:space="preserve"> </w:t>
      </w:r>
      <w:r w:rsidR="0056185D">
        <w:rPr>
          <w:rFonts w:ascii="Arial" w:hAnsi="Arial" w:cs="Arial"/>
          <w:sz w:val="24"/>
          <w:szCs w:val="24"/>
        </w:rPr>
        <w:t>On a conspectus of all the circumstances in this case</w:t>
      </w:r>
      <w:r w:rsidR="00E57130">
        <w:rPr>
          <w:rFonts w:ascii="Arial" w:hAnsi="Arial" w:cs="Arial"/>
          <w:sz w:val="24"/>
          <w:szCs w:val="24"/>
        </w:rPr>
        <w:t>, I am of the view that condonation should be granted and that the notice of bar must be uplifted for the reasons set out above.</w:t>
      </w:r>
      <w:r w:rsidR="00295DEF">
        <w:rPr>
          <w:rFonts w:ascii="Arial" w:hAnsi="Arial" w:cs="Arial"/>
          <w:sz w:val="24"/>
          <w:szCs w:val="24"/>
        </w:rPr>
        <w:t xml:space="preserve"> It follows further that if condonation is granted that the notice of bar must be uplifted.</w:t>
      </w:r>
    </w:p>
    <w:p w14:paraId="267E595F" w14:textId="49E874D6" w:rsidR="00E57130" w:rsidRDefault="00E57130" w:rsidP="00B4537B">
      <w:pPr>
        <w:pStyle w:val="BowLevel1ListAlt"/>
        <w:numPr>
          <w:ilvl w:val="0"/>
          <w:numId w:val="0"/>
        </w:numPr>
        <w:spacing w:before="240" w:after="120" w:line="480" w:lineRule="auto"/>
        <w:rPr>
          <w:rFonts w:ascii="Arial" w:hAnsi="Arial" w:cs="Arial"/>
          <w:b/>
          <w:bCs/>
          <w:sz w:val="24"/>
          <w:szCs w:val="24"/>
        </w:rPr>
      </w:pPr>
      <w:r>
        <w:rPr>
          <w:rFonts w:ascii="Arial" w:hAnsi="Arial" w:cs="Arial"/>
          <w:b/>
          <w:bCs/>
          <w:sz w:val="24"/>
          <w:szCs w:val="24"/>
        </w:rPr>
        <w:t>COSTS</w:t>
      </w:r>
    </w:p>
    <w:p w14:paraId="75D71041" w14:textId="3AA76DA1" w:rsidR="00E57130" w:rsidRDefault="00E57130"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w:t>
      </w:r>
      <w:r w:rsidR="00B1698D">
        <w:rPr>
          <w:rFonts w:ascii="Arial" w:hAnsi="Arial" w:cs="Arial"/>
          <w:sz w:val="24"/>
          <w:szCs w:val="24"/>
        </w:rPr>
        <w:t>6</w:t>
      </w:r>
      <w:r>
        <w:rPr>
          <w:rFonts w:ascii="Arial" w:hAnsi="Arial" w:cs="Arial"/>
          <w:sz w:val="24"/>
          <w:szCs w:val="24"/>
        </w:rPr>
        <w:t>]</w:t>
      </w:r>
      <w:r>
        <w:rPr>
          <w:rFonts w:ascii="Arial" w:hAnsi="Arial" w:cs="Arial"/>
          <w:sz w:val="24"/>
          <w:szCs w:val="24"/>
        </w:rPr>
        <w:tab/>
        <w:t xml:space="preserve">It is trite that the party that is successful is entitled to their costs unless exceptional circumstances can be shown why this should not be applied. This application, however, is one that </w:t>
      </w:r>
      <w:r w:rsidR="00BD0921">
        <w:rPr>
          <w:rFonts w:ascii="Arial" w:hAnsi="Arial" w:cs="Arial"/>
          <w:sz w:val="24"/>
          <w:szCs w:val="24"/>
        </w:rPr>
        <w:t>requests an indulgence from the Court. The opposition from the Respondent, in my view, cannot be said to be spiteful and vexatious nor frivolous. In fact, important issues were raised by the Respondent which this Court had to assess.</w:t>
      </w:r>
    </w:p>
    <w:p w14:paraId="6A3155E3" w14:textId="30D3BBC8" w:rsidR="00BD0921" w:rsidRDefault="00BD0921"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w:t>
      </w:r>
      <w:r w:rsidR="00B1698D">
        <w:rPr>
          <w:rFonts w:ascii="Arial" w:hAnsi="Arial" w:cs="Arial"/>
          <w:sz w:val="24"/>
          <w:szCs w:val="24"/>
        </w:rPr>
        <w:t>7</w:t>
      </w:r>
      <w:r>
        <w:rPr>
          <w:rFonts w:ascii="Arial" w:hAnsi="Arial" w:cs="Arial"/>
          <w:sz w:val="24"/>
          <w:szCs w:val="24"/>
        </w:rPr>
        <w:t>]</w:t>
      </w:r>
      <w:r>
        <w:rPr>
          <w:rFonts w:ascii="Arial" w:hAnsi="Arial" w:cs="Arial"/>
          <w:sz w:val="24"/>
          <w:szCs w:val="24"/>
        </w:rPr>
        <w:tab/>
        <w:t>In the circumstances, the Applicants must pay the costs of this application.</w:t>
      </w:r>
    </w:p>
    <w:p w14:paraId="116FD3F5" w14:textId="77777777" w:rsidR="00292280" w:rsidRDefault="00292280" w:rsidP="00B4537B">
      <w:pPr>
        <w:pStyle w:val="BowLevel1ListAlt"/>
        <w:numPr>
          <w:ilvl w:val="0"/>
          <w:numId w:val="0"/>
        </w:numPr>
        <w:spacing w:before="240" w:after="120" w:line="480" w:lineRule="auto"/>
        <w:rPr>
          <w:rFonts w:ascii="Arial" w:hAnsi="Arial" w:cs="Arial"/>
          <w:b/>
          <w:bCs/>
          <w:sz w:val="24"/>
          <w:szCs w:val="24"/>
        </w:rPr>
      </w:pPr>
    </w:p>
    <w:p w14:paraId="79785D0F" w14:textId="1DBDB259" w:rsidR="00BD0921" w:rsidRDefault="00BD0921" w:rsidP="00B4537B">
      <w:pPr>
        <w:pStyle w:val="BowLevel1ListAlt"/>
        <w:numPr>
          <w:ilvl w:val="0"/>
          <w:numId w:val="0"/>
        </w:numPr>
        <w:spacing w:before="240" w:after="120" w:line="480" w:lineRule="auto"/>
        <w:rPr>
          <w:rFonts w:ascii="Arial" w:hAnsi="Arial" w:cs="Arial"/>
          <w:b/>
          <w:bCs/>
          <w:sz w:val="24"/>
          <w:szCs w:val="24"/>
        </w:rPr>
      </w:pPr>
      <w:r>
        <w:rPr>
          <w:rFonts w:ascii="Arial" w:hAnsi="Arial" w:cs="Arial"/>
          <w:b/>
          <w:bCs/>
          <w:sz w:val="24"/>
          <w:szCs w:val="24"/>
        </w:rPr>
        <w:t>CONCLUSION</w:t>
      </w:r>
    </w:p>
    <w:p w14:paraId="2A69C13A" w14:textId="3384C1E3" w:rsidR="00394E96" w:rsidRPr="00394E96" w:rsidRDefault="00394E96"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[28]</w:t>
      </w:r>
      <w:r>
        <w:rPr>
          <w:rFonts w:ascii="Arial" w:hAnsi="Arial" w:cs="Arial"/>
          <w:sz w:val="24"/>
          <w:szCs w:val="24"/>
        </w:rPr>
        <w:tab/>
        <w:t>In the result and as stated, on a conspectus of all the evidence, the Applicants have satisfied this Court that the relief claimed is warranted except in relation to the costs.</w:t>
      </w:r>
    </w:p>
    <w:p w14:paraId="507DAB12" w14:textId="6D9CA77F" w:rsidR="00BD0921" w:rsidRDefault="00BD0921" w:rsidP="00B4537B">
      <w:pPr>
        <w:pStyle w:val="BowLevel1ListAlt"/>
        <w:numPr>
          <w:ilvl w:val="0"/>
          <w:numId w:val="0"/>
        </w:numPr>
        <w:spacing w:before="240" w:after="120" w:line="480" w:lineRule="auto"/>
        <w:rPr>
          <w:rFonts w:ascii="Arial" w:hAnsi="Arial" w:cs="Arial"/>
          <w:sz w:val="24"/>
          <w:szCs w:val="24"/>
        </w:rPr>
      </w:pPr>
      <w:r>
        <w:rPr>
          <w:rFonts w:ascii="Arial" w:hAnsi="Arial" w:cs="Arial"/>
          <w:sz w:val="24"/>
          <w:szCs w:val="24"/>
        </w:rPr>
        <w:t>[2</w:t>
      </w:r>
      <w:r w:rsidR="00664E99">
        <w:rPr>
          <w:rFonts w:ascii="Arial" w:hAnsi="Arial" w:cs="Arial"/>
          <w:sz w:val="24"/>
          <w:szCs w:val="24"/>
        </w:rPr>
        <w:t>9</w:t>
      </w:r>
      <w:r>
        <w:rPr>
          <w:rFonts w:ascii="Arial" w:hAnsi="Arial" w:cs="Arial"/>
          <w:sz w:val="24"/>
          <w:szCs w:val="24"/>
        </w:rPr>
        <w:t>]</w:t>
      </w:r>
      <w:r>
        <w:rPr>
          <w:rFonts w:ascii="Arial" w:hAnsi="Arial" w:cs="Arial"/>
          <w:sz w:val="24"/>
          <w:szCs w:val="24"/>
        </w:rPr>
        <w:tab/>
        <w:t xml:space="preserve">Accordingly, the </w:t>
      </w:r>
      <w:r w:rsidR="00295DEF">
        <w:rPr>
          <w:rFonts w:ascii="Arial" w:hAnsi="Arial" w:cs="Arial"/>
          <w:sz w:val="24"/>
          <w:szCs w:val="24"/>
        </w:rPr>
        <w:t>following Order shall issue:</w:t>
      </w:r>
    </w:p>
    <w:p w14:paraId="789F554E" w14:textId="54D7B664" w:rsidR="00295DEF" w:rsidRDefault="00295DEF" w:rsidP="00295DEF">
      <w:pPr>
        <w:pStyle w:val="BowLevel1ListAlt"/>
        <w:numPr>
          <w:ilvl w:val="0"/>
          <w:numId w:val="0"/>
        </w:numPr>
        <w:spacing w:before="240" w:after="120" w:line="480" w:lineRule="auto"/>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The failure by the Applicants to deliver their plea within the time period prescribed by the Uniform Rules of Court, is hereby condoned;</w:t>
      </w:r>
    </w:p>
    <w:p w14:paraId="727D0BB1" w14:textId="7C118CED" w:rsidR="00295DEF" w:rsidRDefault="00295DEF" w:rsidP="00295DEF">
      <w:pPr>
        <w:pStyle w:val="BowLevel1ListAlt"/>
        <w:numPr>
          <w:ilvl w:val="0"/>
          <w:numId w:val="0"/>
        </w:numPr>
        <w:spacing w:before="240" w:after="120" w:line="480" w:lineRule="auto"/>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The Notice of Bar dated 13 February 2019 is hereby uplifted;</w:t>
      </w:r>
    </w:p>
    <w:p w14:paraId="35E4AA0F" w14:textId="77777777" w:rsidR="00A42DE6" w:rsidRDefault="00A42DE6" w:rsidP="00295DEF">
      <w:pPr>
        <w:pStyle w:val="BowLevel1ListAlt"/>
        <w:numPr>
          <w:ilvl w:val="0"/>
          <w:numId w:val="0"/>
        </w:numPr>
        <w:spacing w:before="240" w:after="120" w:line="480" w:lineRule="auto"/>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The Applicants are granted leave to defend the action by the Respondent/Plaintiff under the above case number;</w:t>
      </w:r>
    </w:p>
    <w:p w14:paraId="1E615820" w14:textId="127480E4" w:rsidR="00A66658" w:rsidRDefault="00A42DE6" w:rsidP="00665788">
      <w:pPr>
        <w:pStyle w:val="BowLevel1ListAlt"/>
        <w:numPr>
          <w:ilvl w:val="0"/>
          <w:numId w:val="0"/>
        </w:numPr>
        <w:spacing w:before="240" w:after="120" w:line="480" w:lineRule="auto"/>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 xml:space="preserve">The Applicants are to pay the costs of this application, the one paying the others to be absolved. </w:t>
      </w:r>
    </w:p>
    <w:p w14:paraId="787F9801" w14:textId="77777777" w:rsidR="00665788" w:rsidRPr="00665788" w:rsidRDefault="00665788" w:rsidP="00292280">
      <w:pPr>
        <w:pStyle w:val="BowLevel1ListAlt"/>
        <w:numPr>
          <w:ilvl w:val="0"/>
          <w:numId w:val="0"/>
        </w:numPr>
        <w:spacing w:before="240" w:after="120" w:line="480" w:lineRule="auto"/>
        <w:rPr>
          <w:rFonts w:ascii="Arial" w:hAnsi="Arial" w:cs="Arial"/>
          <w:sz w:val="24"/>
          <w:szCs w:val="24"/>
        </w:rPr>
      </w:pPr>
    </w:p>
    <w:p w14:paraId="1CACC54A" w14:textId="77777777" w:rsidR="009B79A6" w:rsidRDefault="009B79A6" w:rsidP="00AB16B4">
      <w:pPr>
        <w:pStyle w:val="ListParagraph"/>
        <w:spacing w:after="200"/>
        <w:ind w:left="0"/>
        <w:contextualSpacing/>
        <w:jc w:val="right"/>
        <w:rPr>
          <w:rFonts w:ascii="Vivaldi" w:hAnsi="Vivaldi" w:cs="Arial"/>
          <w:b/>
        </w:rPr>
      </w:pPr>
    </w:p>
    <w:p w14:paraId="6B0D05EF" w14:textId="3C12149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77777777"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GAUTENG DIVISION OF THE HIGH COURT, JOHANNESBURG</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7A0461F7" w14:textId="77777777" w:rsidR="00C71BA3" w:rsidRDefault="00C71BA3" w:rsidP="00F86E29">
      <w:pPr>
        <w:pStyle w:val="ListParagraph"/>
        <w:spacing w:after="200"/>
        <w:ind w:left="0"/>
        <w:contextualSpacing/>
        <w:rPr>
          <w:rFonts w:ascii="Arial" w:eastAsia="Arial Unicode MS" w:hAnsi="Arial" w:cs="Arial"/>
          <w:bCs/>
        </w:rPr>
      </w:pPr>
    </w:p>
    <w:p w14:paraId="152F2C55" w14:textId="77777777" w:rsidR="00C71BA3" w:rsidRDefault="00C71BA3" w:rsidP="00F86E29">
      <w:pPr>
        <w:pStyle w:val="ListParagraph"/>
        <w:spacing w:after="200"/>
        <w:ind w:left="0"/>
        <w:contextualSpacing/>
        <w:rPr>
          <w:rFonts w:ascii="Arial" w:eastAsia="Arial Unicode MS" w:hAnsi="Arial" w:cs="Arial"/>
          <w:bCs/>
        </w:rPr>
      </w:pPr>
    </w:p>
    <w:p w14:paraId="1CA2B2D0" w14:textId="77777777" w:rsidR="00292280" w:rsidRDefault="00292280" w:rsidP="00F86E29">
      <w:pPr>
        <w:pStyle w:val="ListParagraph"/>
        <w:spacing w:after="200"/>
        <w:ind w:left="0"/>
        <w:contextualSpacing/>
        <w:rPr>
          <w:rFonts w:ascii="Arial" w:eastAsia="Arial Unicode MS" w:hAnsi="Arial" w:cs="Arial"/>
          <w:bCs/>
        </w:rPr>
      </w:pPr>
    </w:p>
    <w:p w14:paraId="6878E5AD" w14:textId="77777777" w:rsidR="00292280" w:rsidRDefault="00292280" w:rsidP="00F86E29">
      <w:pPr>
        <w:pStyle w:val="ListParagraph"/>
        <w:spacing w:after="200"/>
        <w:ind w:left="0"/>
        <w:contextualSpacing/>
        <w:rPr>
          <w:rFonts w:ascii="Arial" w:eastAsia="Arial Unicode MS" w:hAnsi="Arial" w:cs="Arial"/>
          <w:bCs/>
        </w:rPr>
      </w:pPr>
    </w:p>
    <w:p w14:paraId="4DC4660F" w14:textId="28B2A537"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665788" w:rsidRPr="00292280">
        <w:rPr>
          <w:rFonts w:ascii="Arial" w:eastAsia="Arial Unicode MS" w:hAnsi="Arial" w:cs="Arial"/>
          <w:b/>
        </w:rPr>
        <w:t>23</w:t>
      </w:r>
      <w:r w:rsidR="00FF0EE0" w:rsidRPr="00292280">
        <w:rPr>
          <w:rFonts w:ascii="Arial" w:eastAsia="Arial Unicode MS" w:hAnsi="Arial" w:cs="Arial"/>
          <w:b/>
        </w:rPr>
        <w:t xml:space="preserve"> </w:t>
      </w:r>
      <w:r w:rsidR="00665788" w:rsidRPr="00292280">
        <w:rPr>
          <w:rFonts w:ascii="Arial" w:eastAsia="Arial Unicode MS" w:hAnsi="Arial" w:cs="Arial"/>
          <w:b/>
        </w:rPr>
        <w:t>September</w:t>
      </w:r>
      <w:r w:rsidRPr="00292280">
        <w:rPr>
          <w:rFonts w:ascii="Arial" w:eastAsia="Arial Unicode MS" w:hAnsi="Arial" w:cs="Arial"/>
          <w:b/>
        </w:rPr>
        <w:t xml:space="preserve"> 202</w:t>
      </w:r>
      <w:r w:rsidR="00287A07" w:rsidRPr="00292280">
        <w:rPr>
          <w:rFonts w:ascii="Arial" w:eastAsia="Arial Unicode MS" w:hAnsi="Arial" w:cs="Arial"/>
          <w:b/>
        </w:rPr>
        <w:t>2</w:t>
      </w:r>
      <w:r w:rsidR="00350F08" w:rsidRPr="00C71BA3">
        <w:rPr>
          <w:rFonts w:ascii="Arial" w:eastAsia="Arial Unicode MS" w:hAnsi="Arial" w:cs="Arial"/>
          <w:bCs/>
        </w:rPr>
        <w:t>.</w:t>
      </w:r>
    </w:p>
    <w:p w14:paraId="028C3B99" w14:textId="77777777" w:rsidR="00F86E29" w:rsidRPr="00C71BA3" w:rsidRDefault="00F86E29" w:rsidP="00AB16B4">
      <w:pPr>
        <w:pStyle w:val="ListParagraph"/>
        <w:spacing w:after="200"/>
        <w:ind w:left="0"/>
        <w:contextualSpacing/>
        <w:jc w:val="right"/>
        <w:rPr>
          <w:rFonts w:ascii="Arial" w:hAnsi="Arial" w:cs="Arial"/>
          <w:b/>
          <w:i/>
          <w:iCs/>
        </w:rPr>
      </w:pPr>
    </w:p>
    <w:p w14:paraId="58D71082" w14:textId="77777777" w:rsidR="00FF2527" w:rsidRDefault="00FF2527" w:rsidP="004B0905">
      <w:pPr>
        <w:pStyle w:val="Default"/>
      </w:pPr>
    </w:p>
    <w:p w14:paraId="4DA12059" w14:textId="73925F22" w:rsidR="0014506E" w:rsidRPr="00C71BA3" w:rsidRDefault="0014506E" w:rsidP="004B0905">
      <w:pPr>
        <w:pStyle w:val="Default"/>
      </w:pPr>
      <w:r w:rsidRPr="00C71BA3">
        <w:t xml:space="preserve">Date of </w:t>
      </w:r>
      <w:r w:rsidR="00287A07">
        <w:t xml:space="preserve">virtual </w:t>
      </w:r>
      <w:r w:rsidRPr="00C71BA3">
        <w:t xml:space="preserve">hearing: </w:t>
      </w:r>
      <w:r w:rsidR="00347F37">
        <w:t>15</w:t>
      </w:r>
      <w:r w:rsidR="00460767">
        <w:t xml:space="preserve"> </w:t>
      </w:r>
      <w:r w:rsidR="00347F37">
        <w:t>March</w:t>
      </w:r>
      <w:r w:rsidR="00287A07">
        <w:t xml:space="preserve"> 2022</w:t>
      </w:r>
    </w:p>
    <w:p w14:paraId="3962CE00" w14:textId="30B50D3C"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5A6506">
        <w:rPr>
          <w:rFonts w:ascii="Arial" w:hAnsi="Arial" w:cs="Arial"/>
        </w:rPr>
        <w:t>23</w:t>
      </w:r>
      <w:r w:rsidR="00287A07">
        <w:rPr>
          <w:rFonts w:ascii="Arial" w:hAnsi="Arial" w:cs="Arial"/>
        </w:rPr>
        <w:t xml:space="preserve"> </w:t>
      </w:r>
      <w:r w:rsidR="005A6506">
        <w:rPr>
          <w:rFonts w:ascii="Arial" w:hAnsi="Arial" w:cs="Arial"/>
        </w:rPr>
        <w:t>September</w:t>
      </w:r>
      <w:r w:rsidR="00287A07">
        <w:rPr>
          <w:rFonts w:ascii="Arial" w:hAnsi="Arial" w:cs="Arial"/>
        </w:rPr>
        <w:t xml:space="preserve"> 2022</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1B1CC768" w:rsidR="008C369D" w:rsidRPr="007863A9" w:rsidRDefault="00C71BA3" w:rsidP="004B0905">
      <w:pPr>
        <w:pStyle w:val="Default"/>
        <w:rPr>
          <w:b/>
        </w:rPr>
      </w:pPr>
      <w:r>
        <w:t>Attorneys for the Applicant</w:t>
      </w:r>
      <w:r w:rsidR="005A6506">
        <w:t>s</w:t>
      </w:r>
      <w:r w:rsidR="007863A9">
        <w:t>:</w:t>
      </w:r>
      <w:r w:rsidR="007863A9">
        <w:tab/>
      </w:r>
      <w:r w:rsidR="005A6506">
        <w:rPr>
          <w:b/>
        </w:rPr>
        <w:t>LETHABA MAKGATO &amp; ASSOCIATES</w:t>
      </w:r>
    </w:p>
    <w:p w14:paraId="0509699B" w14:textId="3A06CF89" w:rsidR="007863A9" w:rsidRDefault="007863A9" w:rsidP="004B0905">
      <w:pPr>
        <w:pStyle w:val="Default"/>
      </w:pPr>
      <w:r>
        <w:tab/>
      </w:r>
      <w:r>
        <w:tab/>
      </w:r>
      <w:r>
        <w:tab/>
      </w:r>
      <w:r>
        <w:tab/>
      </w:r>
      <w:r>
        <w:tab/>
      </w:r>
      <w:hyperlink r:id="rId9" w:history="1">
        <w:r w:rsidR="005A6506" w:rsidRPr="009446BA">
          <w:rPr>
            <w:rStyle w:val="Hyperlink"/>
          </w:rPr>
          <w:t>reception@makgato.co.za</w:t>
        </w:r>
      </w:hyperlink>
    </w:p>
    <w:p w14:paraId="552517CE" w14:textId="5DF081A5" w:rsidR="00C71BA3" w:rsidRPr="007863A9" w:rsidRDefault="00C71BA3" w:rsidP="004B0905">
      <w:pPr>
        <w:pStyle w:val="Default"/>
        <w:rPr>
          <w:b/>
        </w:rPr>
      </w:pPr>
      <w:r>
        <w:t xml:space="preserve">Counsel for the Applicant:  </w:t>
      </w:r>
      <w:r w:rsidR="007863A9">
        <w:tab/>
      </w:r>
      <w:r w:rsidR="00AB1F4A">
        <w:rPr>
          <w:b/>
        </w:rPr>
        <w:t xml:space="preserve">Adv. </w:t>
      </w:r>
      <w:r w:rsidR="005A6506">
        <w:rPr>
          <w:b/>
        </w:rPr>
        <w:t>P.W. Makhambeni</w:t>
      </w:r>
    </w:p>
    <w:p w14:paraId="0B0F1208" w14:textId="77777777" w:rsidR="008C369D" w:rsidRPr="00C71BA3" w:rsidRDefault="008C369D" w:rsidP="004B0905">
      <w:pPr>
        <w:pStyle w:val="Default"/>
      </w:pPr>
    </w:p>
    <w:p w14:paraId="5C33685D" w14:textId="6EAA84DC" w:rsidR="00671F90" w:rsidRDefault="00AB1F4A" w:rsidP="007863A9">
      <w:pPr>
        <w:pStyle w:val="Default"/>
        <w:rPr>
          <w:b/>
        </w:rPr>
      </w:pPr>
      <w:r>
        <w:t>Attorneys for the</w:t>
      </w:r>
      <w:r w:rsidR="0083204B">
        <w:t xml:space="preserve"> Respondent:</w:t>
      </w:r>
      <w:r w:rsidR="0083204B">
        <w:tab/>
      </w:r>
      <w:r w:rsidR="005A6506">
        <w:rPr>
          <w:b/>
        </w:rPr>
        <w:t>COWAN-HARPER-MADIKIZELA ATTORNEYS</w:t>
      </w:r>
    </w:p>
    <w:p w14:paraId="3B379F1D" w14:textId="312E5471" w:rsidR="0083204B" w:rsidRDefault="0083204B" w:rsidP="007863A9">
      <w:pPr>
        <w:pStyle w:val="Default"/>
      </w:pPr>
      <w:r>
        <w:rPr>
          <w:b/>
        </w:rPr>
        <w:tab/>
      </w:r>
      <w:r>
        <w:rPr>
          <w:b/>
        </w:rPr>
        <w:tab/>
      </w:r>
      <w:r>
        <w:rPr>
          <w:b/>
        </w:rPr>
        <w:tab/>
      </w:r>
      <w:r>
        <w:rPr>
          <w:b/>
        </w:rPr>
        <w:tab/>
      </w:r>
      <w:r>
        <w:rPr>
          <w:b/>
        </w:rPr>
        <w:tab/>
      </w:r>
      <w:hyperlink r:id="rId10" w:history="1">
        <w:r w:rsidR="005A6506" w:rsidRPr="009446BA">
          <w:rPr>
            <w:rStyle w:val="Hyperlink"/>
          </w:rPr>
          <w:t>kgantley@chmlegal.co.za</w:t>
        </w:r>
      </w:hyperlink>
      <w:r w:rsidR="006E2DF1">
        <w:t xml:space="preserve"> </w:t>
      </w:r>
    </w:p>
    <w:p w14:paraId="5FDFE184" w14:textId="047665DD" w:rsidR="0083204B" w:rsidRPr="0083204B" w:rsidRDefault="006E2DF1" w:rsidP="007863A9">
      <w:pPr>
        <w:pStyle w:val="Default"/>
        <w:rPr>
          <w:b/>
        </w:rPr>
      </w:pPr>
      <w:r>
        <w:t>Counsel for the</w:t>
      </w:r>
      <w:r w:rsidR="0083204B">
        <w:t xml:space="preserve"> Respondent:</w:t>
      </w:r>
      <w:r w:rsidR="0083204B">
        <w:tab/>
      </w:r>
      <w:r w:rsidR="0083204B">
        <w:rPr>
          <w:b/>
        </w:rPr>
        <w:t xml:space="preserve">Adv. </w:t>
      </w:r>
      <w:r w:rsidR="009D584B">
        <w:rPr>
          <w:b/>
        </w:rPr>
        <w:t>S.B. Nel</w:t>
      </w:r>
    </w:p>
    <w:sectPr w:rsidR="0083204B" w:rsidRPr="0083204B"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31BB6" w14:textId="77777777" w:rsidR="002C36EE" w:rsidRDefault="002C36EE">
      <w:r>
        <w:separator/>
      </w:r>
    </w:p>
  </w:endnote>
  <w:endnote w:type="continuationSeparator" w:id="0">
    <w:p w14:paraId="261D2521" w14:textId="77777777" w:rsidR="002C36EE" w:rsidRDefault="002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457B" w14:textId="77777777" w:rsidR="002C36EE" w:rsidRDefault="002C36EE">
      <w:r>
        <w:separator/>
      </w:r>
    </w:p>
  </w:footnote>
  <w:footnote w:type="continuationSeparator" w:id="0">
    <w:p w14:paraId="441E5844" w14:textId="77777777" w:rsidR="002C36EE" w:rsidRDefault="002C36EE">
      <w:r>
        <w:continuationSeparator/>
      </w:r>
    </w:p>
  </w:footnote>
  <w:footnote w:id="1">
    <w:p w14:paraId="06D1E485" w14:textId="6BEC0FB1" w:rsidR="00643667" w:rsidRPr="00080380" w:rsidRDefault="00643667">
      <w:pPr>
        <w:pStyle w:val="FootnoteText"/>
        <w:rPr>
          <w:rFonts w:ascii="Arial" w:hAnsi="Arial" w:cs="Arial"/>
        </w:rPr>
      </w:pPr>
      <w:r w:rsidRPr="00080380">
        <w:rPr>
          <w:rStyle w:val="FootnoteReference"/>
          <w:rFonts w:ascii="Arial" w:hAnsi="Arial" w:cs="Arial"/>
        </w:rPr>
        <w:footnoteRef/>
      </w:r>
      <w:r w:rsidRPr="00080380">
        <w:rPr>
          <w:rFonts w:ascii="Arial" w:hAnsi="Arial" w:cs="Arial"/>
        </w:rPr>
        <w:t xml:space="preserve"> </w:t>
      </w:r>
      <w:r w:rsidR="00682E55">
        <w:rPr>
          <w:rFonts w:ascii="Arial" w:hAnsi="Arial" w:cs="Arial"/>
        </w:rPr>
        <w:t>Silber v Ozen Wholesalers (Pty) Ltd 1954 (2) SA 345 @ 353</w:t>
      </w:r>
    </w:p>
  </w:footnote>
  <w:footnote w:id="2">
    <w:p w14:paraId="4D58B306" w14:textId="32A613A3" w:rsidR="00354511" w:rsidRPr="00354511" w:rsidRDefault="00354511">
      <w:pPr>
        <w:pStyle w:val="FootnoteText"/>
        <w:rPr>
          <w:rFonts w:ascii="Arial" w:hAnsi="Arial" w:cs="Arial"/>
        </w:rPr>
      </w:pPr>
      <w:r w:rsidRPr="00354511">
        <w:rPr>
          <w:rStyle w:val="FootnoteReference"/>
          <w:rFonts w:ascii="Arial" w:hAnsi="Arial" w:cs="Arial"/>
        </w:rPr>
        <w:footnoteRef/>
      </w:r>
      <w:r w:rsidRPr="00354511">
        <w:rPr>
          <w:rFonts w:ascii="Arial" w:hAnsi="Arial" w:cs="Arial"/>
        </w:rPr>
        <w:t xml:space="preserve"> </w:t>
      </w:r>
      <w:r>
        <w:rPr>
          <w:rFonts w:ascii="Arial" w:hAnsi="Arial" w:cs="Arial"/>
        </w:rPr>
        <w:t>1962 (4) SA 531 (A) @ 532C - F</w:t>
      </w:r>
    </w:p>
  </w:footnote>
  <w:footnote w:id="3">
    <w:p w14:paraId="4957EAE7" w14:textId="0150AED0" w:rsidR="009A68D5" w:rsidRPr="009A68D5" w:rsidRDefault="009A68D5">
      <w:pPr>
        <w:pStyle w:val="FootnoteText"/>
        <w:rPr>
          <w:rFonts w:ascii="Arial" w:hAnsi="Arial" w:cs="Arial"/>
        </w:rPr>
      </w:pPr>
      <w:r w:rsidRPr="009A68D5">
        <w:rPr>
          <w:rStyle w:val="FootnoteReference"/>
          <w:rFonts w:ascii="Arial" w:hAnsi="Arial" w:cs="Arial"/>
        </w:rPr>
        <w:footnoteRef/>
      </w:r>
      <w:r w:rsidRPr="009A68D5">
        <w:rPr>
          <w:rFonts w:ascii="Arial" w:hAnsi="Arial" w:cs="Arial"/>
        </w:rPr>
        <w:t xml:space="preserve"> </w:t>
      </w:r>
      <w:r>
        <w:rPr>
          <w:rFonts w:ascii="Arial" w:hAnsi="Arial" w:cs="Arial"/>
        </w:rPr>
        <w:t>2000 ZACC 3 @ para 3</w:t>
      </w:r>
    </w:p>
  </w:footnote>
  <w:footnote w:id="4">
    <w:p w14:paraId="560AD306" w14:textId="0000CC48" w:rsidR="00330FE8" w:rsidRPr="00330FE8" w:rsidRDefault="00330FE8">
      <w:pPr>
        <w:pStyle w:val="FootnoteText"/>
        <w:rPr>
          <w:rFonts w:ascii="Arial" w:hAnsi="Arial" w:cs="Arial"/>
        </w:rPr>
      </w:pPr>
      <w:r w:rsidRPr="00330FE8">
        <w:rPr>
          <w:rStyle w:val="FootnoteReference"/>
          <w:rFonts w:ascii="Arial" w:hAnsi="Arial" w:cs="Arial"/>
        </w:rPr>
        <w:footnoteRef/>
      </w:r>
      <w:r w:rsidRPr="00330FE8">
        <w:rPr>
          <w:rFonts w:ascii="Arial" w:hAnsi="Arial" w:cs="Arial"/>
        </w:rPr>
        <w:t xml:space="preserve"> </w:t>
      </w:r>
      <w:r>
        <w:rPr>
          <w:rFonts w:ascii="Arial" w:hAnsi="Arial" w:cs="Arial"/>
        </w:rPr>
        <w:t>Laerskool Generaal Hendrik Schoeman v Bastian Financial Services (Pty) Ltd 2012 (2) SA 637 (CC) at 640 H - I</w:t>
      </w:r>
    </w:p>
  </w:footnote>
  <w:footnote w:id="5">
    <w:p w14:paraId="2B9278A9" w14:textId="69069671" w:rsidR="00B732EF" w:rsidRPr="00B732EF" w:rsidRDefault="00B732EF">
      <w:pPr>
        <w:pStyle w:val="FootnoteText"/>
        <w:rPr>
          <w:rFonts w:ascii="Arial" w:hAnsi="Arial" w:cs="Arial"/>
        </w:rPr>
      </w:pPr>
      <w:r w:rsidRPr="00B732EF">
        <w:rPr>
          <w:rStyle w:val="FootnoteReference"/>
          <w:rFonts w:ascii="Arial" w:hAnsi="Arial" w:cs="Arial"/>
        </w:rPr>
        <w:footnoteRef/>
      </w:r>
      <w:r w:rsidRPr="00B732EF">
        <w:rPr>
          <w:rFonts w:ascii="Arial" w:hAnsi="Arial" w:cs="Arial"/>
        </w:rPr>
        <w:t xml:space="preserve"> </w:t>
      </w:r>
      <w:r>
        <w:rPr>
          <w:rFonts w:ascii="Arial" w:hAnsi="Arial" w:cs="Arial"/>
        </w:rPr>
        <w:t>Caselines: 021-66</w:t>
      </w:r>
    </w:p>
  </w:footnote>
  <w:footnote w:id="6">
    <w:p w14:paraId="6D77B39E" w14:textId="13920BD1" w:rsidR="00D40E25" w:rsidRPr="00D40E25" w:rsidRDefault="00D40E25">
      <w:pPr>
        <w:pStyle w:val="FootnoteText"/>
        <w:rPr>
          <w:rFonts w:ascii="Arial" w:hAnsi="Arial" w:cs="Arial"/>
        </w:rPr>
      </w:pPr>
      <w:r w:rsidRPr="00D40E25">
        <w:rPr>
          <w:rStyle w:val="FootnoteReference"/>
          <w:rFonts w:ascii="Arial" w:hAnsi="Arial" w:cs="Arial"/>
        </w:rPr>
        <w:footnoteRef/>
      </w:r>
      <w:r w:rsidRPr="00D40E25">
        <w:rPr>
          <w:rFonts w:ascii="Arial" w:hAnsi="Arial" w:cs="Arial"/>
        </w:rPr>
        <w:t xml:space="preserve"> </w:t>
      </w:r>
      <w:r>
        <w:rPr>
          <w:rFonts w:ascii="Arial" w:hAnsi="Arial" w:cs="Arial"/>
        </w:rPr>
        <w:t xml:space="preserve">1965 </w:t>
      </w:r>
      <w:r w:rsidR="00F34686">
        <w:rPr>
          <w:rFonts w:ascii="Arial" w:hAnsi="Arial" w:cs="Arial"/>
        </w:rPr>
        <w:t>(2) SA 135 A @ 141 C -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964" w14:textId="34E90A32"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9A6">
      <w:rPr>
        <w:rStyle w:val="PageNumber"/>
        <w:noProof/>
      </w:rPr>
      <w:t>3</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22344F"/>
    <w:multiLevelType w:val="multilevel"/>
    <w:tmpl w:val="FFFFFFFF"/>
    <w:lvl w:ilvl="0">
      <w:start w:val="1"/>
      <w:numFmt w:val="decimal"/>
      <w:pStyle w:val="BowLevel1ListAlt"/>
      <w:lvlText w:val="[%1]"/>
      <w:lvlJc w:val="left"/>
      <w:pPr>
        <w:tabs>
          <w:tab w:val="num" w:pos="567"/>
        </w:tabs>
        <w:ind w:left="567" w:hanging="567"/>
      </w:pPr>
      <w:rPr>
        <w:rFonts w:cs="Times New Roman" w:hint="default"/>
        <w:b w:val="0"/>
        <w:i w:val="0"/>
        <w:sz w:val="24"/>
        <w:szCs w:val="24"/>
      </w:rPr>
    </w:lvl>
    <w:lvl w:ilvl="1">
      <w:start w:val="1"/>
      <w:numFmt w:val="decimal"/>
      <w:pStyle w:val="BowLevel2ListAlt"/>
      <w:lvlText w:val="%1.%2"/>
      <w:lvlJc w:val="left"/>
      <w:pPr>
        <w:tabs>
          <w:tab w:val="num" w:pos="851"/>
        </w:tabs>
        <w:ind w:left="851" w:hanging="851"/>
      </w:pPr>
      <w:rPr>
        <w:rFonts w:cs="Times New Roman" w:hint="default"/>
        <w:b w:val="0"/>
      </w:rPr>
    </w:lvl>
    <w:lvl w:ilvl="2">
      <w:start w:val="1"/>
      <w:numFmt w:val="decimal"/>
      <w:pStyle w:val="BowLevel3ListAlt"/>
      <w:lvlText w:val="%1.%2.%3"/>
      <w:lvlJc w:val="left"/>
      <w:pPr>
        <w:tabs>
          <w:tab w:val="num" w:pos="1134"/>
        </w:tabs>
        <w:ind w:left="1134" w:hanging="1134"/>
      </w:pPr>
      <w:rPr>
        <w:rFonts w:ascii="Arial" w:hAnsi="Arial" w:cs="Arial" w:hint="default"/>
        <w:b w:val="0"/>
        <w:sz w:val="24"/>
        <w:szCs w:val="24"/>
      </w:rPr>
    </w:lvl>
    <w:lvl w:ilvl="3">
      <w:start w:val="1"/>
      <w:numFmt w:val="decimal"/>
      <w:pStyle w:val="BowLevel4ListAlt"/>
      <w:lvlText w:val="%1.%2.%3.%4"/>
      <w:lvlJc w:val="left"/>
      <w:pPr>
        <w:tabs>
          <w:tab w:val="num" w:pos="1418"/>
        </w:tabs>
        <w:ind w:left="1418" w:hanging="1418"/>
      </w:pPr>
      <w:rPr>
        <w:rFonts w:cs="Times New Roman" w:hint="default"/>
        <w:i w:val="0"/>
      </w:rPr>
    </w:lvl>
    <w:lvl w:ilvl="4">
      <w:start w:val="1"/>
      <w:numFmt w:val="decimal"/>
      <w:pStyle w:val="BowLevel5ListAlt"/>
      <w:lvlText w:val="%1.%2.%3.%4.%5"/>
      <w:lvlJc w:val="left"/>
      <w:pPr>
        <w:tabs>
          <w:tab w:val="num" w:pos="1701"/>
        </w:tabs>
        <w:ind w:left="1701" w:hanging="1701"/>
      </w:pPr>
      <w:rPr>
        <w:rFonts w:cs="Times New Roman" w:hint="default"/>
      </w:rPr>
    </w:lvl>
    <w:lvl w:ilvl="5">
      <w:start w:val="1"/>
      <w:numFmt w:val="decimal"/>
      <w:pStyle w:val="BowLevel6ListAlt"/>
      <w:lvlText w:val="%1.%2.%3.%4.%5.%6"/>
      <w:lvlJc w:val="left"/>
      <w:pPr>
        <w:tabs>
          <w:tab w:val="num" w:pos="1985"/>
        </w:tabs>
        <w:ind w:left="1985" w:hanging="1985"/>
      </w:pPr>
      <w:rPr>
        <w:rFonts w:cs="Times New Roman" w:hint="default"/>
      </w:rPr>
    </w:lvl>
    <w:lvl w:ilvl="6">
      <w:start w:val="1"/>
      <w:numFmt w:val="decimal"/>
      <w:pStyle w:val="BowLevel7ListAltM"/>
      <w:lvlText w:val="%1.%2.%3.%4.%5.%6.%7"/>
      <w:lvlJc w:val="left"/>
      <w:pPr>
        <w:tabs>
          <w:tab w:val="num" w:pos="2268"/>
        </w:tabs>
        <w:ind w:left="2268" w:hanging="2268"/>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A40"/>
    <w:rsid w:val="00063E38"/>
    <w:rsid w:val="00064276"/>
    <w:rsid w:val="00065794"/>
    <w:rsid w:val="00073D5C"/>
    <w:rsid w:val="000746E0"/>
    <w:rsid w:val="0007485B"/>
    <w:rsid w:val="00074F96"/>
    <w:rsid w:val="00075A8C"/>
    <w:rsid w:val="000773E4"/>
    <w:rsid w:val="00077F28"/>
    <w:rsid w:val="00080380"/>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3F7A"/>
    <w:rsid w:val="000D4FC8"/>
    <w:rsid w:val="000D62A7"/>
    <w:rsid w:val="000E2402"/>
    <w:rsid w:val="000E311B"/>
    <w:rsid w:val="000E32A6"/>
    <w:rsid w:val="000E4F7D"/>
    <w:rsid w:val="000E518C"/>
    <w:rsid w:val="000E5B34"/>
    <w:rsid w:val="000E6102"/>
    <w:rsid w:val="000E71BF"/>
    <w:rsid w:val="000E7926"/>
    <w:rsid w:val="000F0FE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7B1"/>
    <w:rsid w:val="00114E95"/>
    <w:rsid w:val="00116005"/>
    <w:rsid w:val="00117959"/>
    <w:rsid w:val="00120C65"/>
    <w:rsid w:val="00123195"/>
    <w:rsid w:val="001242A4"/>
    <w:rsid w:val="001245A8"/>
    <w:rsid w:val="00124E64"/>
    <w:rsid w:val="00124ECB"/>
    <w:rsid w:val="00125ABA"/>
    <w:rsid w:val="00127459"/>
    <w:rsid w:val="0013349B"/>
    <w:rsid w:val="00134545"/>
    <w:rsid w:val="001347BA"/>
    <w:rsid w:val="00137924"/>
    <w:rsid w:val="00142481"/>
    <w:rsid w:val="00143719"/>
    <w:rsid w:val="001439DB"/>
    <w:rsid w:val="0014425D"/>
    <w:rsid w:val="00144B80"/>
    <w:rsid w:val="0014506E"/>
    <w:rsid w:val="00146F88"/>
    <w:rsid w:val="001472EA"/>
    <w:rsid w:val="0014793F"/>
    <w:rsid w:val="00150C1D"/>
    <w:rsid w:val="00152029"/>
    <w:rsid w:val="001539FA"/>
    <w:rsid w:val="00153D97"/>
    <w:rsid w:val="001541B6"/>
    <w:rsid w:val="00154297"/>
    <w:rsid w:val="00156BA5"/>
    <w:rsid w:val="00156BCC"/>
    <w:rsid w:val="001619D3"/>
    <w:rsid w:val="00163F09"/>
    <w:rsid w:val="001663DF"/>
    <w:rsid w:val="001716EC"/>
    <w:rsid w:val="00171B36"/>
    <w:rsid w:val="00174F8B"/>
    <w:rsid w:val="00181375"/>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3808"/>
    <w:rsid w:val="001B646A"/>
    <w:rsid w:val="001C0076"/>
    <w:rsid w:val="001C05CC"/>
    <w:rsid w:val="001C40D7"/>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2427"/>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21FE"/>
    <w:rsid w:val="002430E1"/>
    <w:rsid w:val="00245804"/>
    <w:rsid w:val="00245AF2"/>
    <w:rsid w:val="002509C8"/>
    <w:rsid w:val="0025197C"/>
    <w:rsid w:val="002532BC"/>
    <w:rsid w:val="002545C2"/>
    <w:rsid w:val="00256F8B"/>
    <w:rsid w:val="00260BBD"/>
    <w:rsid w:val="00263180"/>
    <w:rsid w:val="00263BF2"/>
    <w:rsid w:val="0026606C"/>
    <w:rsid w:val="00266A0D"/>
    <w:rsid w:val="002672C1"/>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2280"/>
    <w:rsid w:val="002931B5"/>
    <w:rsid w:val="0029391D"/>
    <w:rsid w:val="00294E0D"/>
    <w:rsid w:val="00295DEF"/>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36EE"/>
    <w:rsid w:val="002C4DDC"/>
    <w:rsid w:val="002C528E"/>
    <w:rsid w:val="002C597D"/>
    <w:rsid w:val="002C5A94"/>
    <w:rsid w:val="002C5E3C"/>
    <w:rsid w:val="002C69DD"/>
    <w:rsid w:val="002C7887"/>
    <w:rsid w:val="002C7F31"/>
    <w:rsid w:val="002D07CA"/>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201C"/>
    <w:rsid w:val="00315C3F"/>
    <w:rsid w:val="0032073D"/>
    <w:rsid w:val="00323EFB"/>
    <w:rsid w:val="00323FA7"/>
    <w:rsid w:val="00324C28"/>
    <w:rsid w:val="00326524"/>
    <w:rsid w:val="003266CE"/>
    <w:rsid w:val="00326D5B"/>
    <w:rsid w:val="0032704A"/>
    <w:rsid w:val="003303CB"/>
    <w:rsid w:val="00330FE8"/>
    <w:rsid w:val="00331B63"/>
    <w:rsid w:val="00332B8C"/>
    <w:rsid w:val="003406CD"/>
    <w:rsid w:val="003418B5"/>
    <w:rsid w:val="00344470"/>
    <w:rsid w:val="0034483D"/>
    <w:rsid w:val="003476B3"/>
    <w:rsid w:val="00347F37"/>
    <w:rsid w:val="00350F08"/>
    <w:rsid w:val="00354511"/>
    <w:rsid w:val="00354540"/>
    <w:rsid w:val="0035716C"/>
    <w:rsid w:val="00360E31"/>
    <w:rsid w:val="00361A3D"/>
    <w:rsid w:val="00361D69"/>
    <w:rsid w:val="00363826"/>
    <w:rsid w:val="00363F18"/>
    <w:rsid w:val="00365760"/>
    <w:rsid w:val="00366132"/>
    <w:rsid w:val="00366343"/>
    <w:rsid w:val="00370429"/>
    <w:rsid w:val="0037088F"/>
    <w:rsid w:val="003709D5"/>
    <w:rsid w:val="003713D4"/>
    <w:rsid w:val="00371530"/>
    <w:rsid w:val="003725C4"/>
    <w:rsid w:val="00373DCA"/>
    <w:rsid w:val="00373FC3"/>
    <w:rsid w:val="0037402E"/>
    <w:rsid w:val="00374B54"/>
    <w:rsid w:val="00375C02"/>
    <w:rsid w:val="00375CA3"/>
    <w:rsid w:val="00377FB6"/>
    <w:rsid w:val="003805CB"/>
    <w:rsid w:val="00382393"/>
    <w:rsid w:val="003824BC"/>
    <w:rsid w:val="00382B1C"/>
    <w:rsid w:val="00384306"/>
    <w:rsid w:val="00386A27"/>
    <w:rsid w:val="003910D1"/>
    <w:rsid w:val="0039304A"/>
    <w:rsid w:val="003949CC"/>
    <w:rsid w:val="00394E96"/>
    <w:rsid w:val="00395602"/>
    <w:rsid w:val="00396BCF"/>
    <w:rsid w:val="00396DDA"/>
    <w:rsid w:val="003A09D9"/>
    <w:rsid w:val="003A22F1"/>
    <w:rsid w:val="003A3305"/>
    <w:rsid w:val="003A6677"/>
    <w:rsid w:val="003A6799"/>
    <w:rsid w:val="003A6BF8"/>
    <w:rsid w:val="003A6C33"/>
    <w:rsid w:val="003A7B36"/>
    <w:rsid w:val="003B02BC"/>
    <w:rsid w:val="003B0FB6"/>
    <w:rsid w:val="003B3D03"/>
    <w:rsid w:val="003B40F8"/>
    <w:rsid w:val="003B4E98"/>
    <w:rsid w:val="003B67C6"/>
    <w:rsid w:val="003B6D76"/>
    <w:rsid w:val="003C0F75"/>
    <w:rsid w:val="003C12C6"/>
    <w:rsid w:val="003C1DBC"/>
    <w:rsid w:val="003C248A"/>
    <w:rsid w:val="003C403B"/>
    <w:rsid w:val="003C6032"/>
    <w:rsid w:val="003C6D3D"/>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4741"/>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11BA"/>
    <w:rsid w:val="00453FF8"/>
    <w:rsid w:val="004541FE"/>
    <w:rsid w:val="004542F1"/>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110F"/>
    <w:rsid w:val="004F13CA"/>
    <w:rsid w:val="004F13DB"/>
    <w:rsid w:val="004F1CDD"/>
    <w:rsid w:val="004F2592"/>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75C8"/>
    <w:rsid w:val="0056185D"/>
    <w:rsid w:val="00561ED7"/>
    <w:rsid w:val="00561FE4"/>
    <w:rsid w:val="00563790"/>
    <w:rsid w:val="00563D95"/>
    <w:rsid w:val="005640D9"/>
    <w:rsid w:val="00565114"/>
    <w:rsid w:val="00566788"/>
    <w:rsid w:val="00570338"/>
    <w:rsid w:val="00574219"/>
    <w:rsid w:val="005751B9"/>
    <w:rsid w:val="005756A7"/>
    <w:rsid w:val="005779A8"/>
    <w:rsid w:val="00581B35"/>
    <w:rsid w:val="00582BB0"/>
    <w:rsid w:val="00582BB6"/>
    <w:rsid w:val="00584F6F"/>
    <w:rsid w:val="0059031F"/>
    <w:rsid w:val="00590AFF"/>
    <w:rsid w:val="00591785"/>
    <w:rsid w:val="0059690E"/>
    <w:rsid w:val="00597016"/>
    <w:rsid w:val="005974A2"/>
    <w:rsid w:val="0059767B"/>
    <w:rsid w:val="005A0758"/>
    <w:rsid w:val="005A30EE"/>
    <w:rsid w:val="005A5805"/>
    <w:rsid w:val="005A6506"/>
    <w:rsid w:val="005B06C7"/>
    <w:rsid w:val="005B09D0"/>
    <w:rsid w:val="005B1354"/>
    <w:rsid w:val="005B18FC"/>
    <w:rsid w:val="005B395E"/>
    <w:rsid w:val="005B6CFB"/>
    <w:rsid w:val="005B775D"/>
    <w:rsid w:val="005C19F1"/>
    <w:rsid w:val="005C2242"/>
    <w:rsid w:val="005C266F"/>
    <w:rsid w:val="005C2B2E"/>
    <w:rsid w:val="005C59A5"/>
    <w:rsid w:val="005C5CF1"/>
    <w:rsid w:val="005C6642"/>
    <w:rsid w:val="005C6721"/>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2FB"/>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7832"/>
    <w:rsid w:val="00630413"/>
    <w:rsid w:val="00630EE1"/>
    <w:rsid w:val="006328ED"/>
    <w:rsid w:val="006350CD"/>
    <w:rsid w:val="00636CC4"/>
    <w:rsid w:val="00636F6D"/>
    <w:rsid w:val="006415B6"/>
    <w:rsid w:val="00643667"/>
    <w:rsid w:val="0065008E"/>
    <w:rsid w:val="00652566"/>
    <w:rsid w:val="006546FF"/>
    <w:rsid w:val="0065526A"/>
    <w:rsid w:val="00655FFB"/>
    <w:rsid w:val="006575F1"/>
    <w:rsid w:val="006605D6"/>
    <w:rsid w:val="006615C6"/>
    <w:rsid w:val="00664E99"/>
    <w:rsid w:val="00665788"/>
    <w:rsid w:val="00671F90"/>
    <w:rsid w:val="00675EA3"/>
    <w:rsid w:val="0067711E"/>
    <w:rsid w:val="006779A6"/>
    <w:rsid w:val="0068081A"/>
    <w:rsid w:val="00680F77"/>
    <w:rsid w:val="00682E55"/>
    <w:rsid w:val="0068490D"/>
    <w:rsid w:val="00685ABD"/>
    <w:rsid w:val="00690910"/>
    <w:rsid w:val="00690D25"/>
    <w:rsid w:val="00692F30"/>
    <w:rsid w:val="00693147"/>
    <w:rsid w:val="0069671E"/>
    <w:rsid w:val="006A0C61"/>
    <w:rsid w:val="006A27B0"/>
    <w:rsid w:val="006A44E4"/>
    <w:rsid w:val="006A52B7"/>
    <w:rsid w:val="006A6D70"/>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0E14"/>
    <w:rsid w:val="006D10C9"/>
    <w:rsid w:val="006D2C3E"/>
    <w:rsid w:val="006D2F61"/>
    <w:rsid w:val="006D423E"/>
    <w:rsid w:val="006D5794"/>
    <w:rsid w:val="006D700F"/>
    <w:rsid w:val="006D73BC"/>
    <w:rsid w:val="006E059F"/>
    <w:rsid w:val="006E10F2"/>
    <w:rsid w:val="006E1A60"/>
    <w:rsid w:val="006E1CB0"/>
    <w:rsid w:val="006E1EE7"/>
    <w:rsid w:val="006E2062"/>
    <w:rsid w:val="006E24AE"/>
    <w:rsid w:val="006E2DF1"/>
    <w:rsid w:val="006E4EDF"/>
    <w:rsid w:val="006E5D35"/>
    <w:rsid w:val="006E65D3"/>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49B2"/>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9E5"/>
    <w:rsid w:val="00774FC8"/>
    <w:rsid w:val="0077641F"/>
    <w:rsid w:val="00777C07"/>
    <w:rsid w:val="007803FC"/>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BCB"/>
    <w:rsid w:val="007A5149"/>
    <w:rsid w:val="007B2BEB"/>
    <w:rsid w:val="007B3440"/>
    <w:rsid w:val="007B36C0"/>
    <w:rsid w:val="007B4A53"/>
    <w:rsid w:val="007B6586"/>
    <w:rsid w:val="007B6E7E"/>
    <w:rsid w:val="007B75A1"/>
    <w:rsid w:val="007B79E4"/>
    <w:rsid w:val="007C1B98"/>
    <w:rsid w:val="007C42D5"/>
    <w:rsid w:val="007D0011"/>
    <w:rsid w:val="007D1C75"/>
    <w:rsid w:val="007D25A5"/>
    <w:rsid w:val="007D37B5"/>
    <w:rsid w:val="007D4AD9"/>
    <w:rsid w:val="007D66CB"/>
    <w:rsid w:val="007E0A7F"/>
    <w:rsid w:val="007E1468"/>
    <w:rsid w:val="007E2C2D"/>
    <w:rsid w:val="007E2ECA"/>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FFD"/>
    <w:rsid w:val="008117F5"/>
    <w:rsid w:val="00812EBA"/>
    <w:rsid w:val="00814492"/>
    <w:rsid w:val="0081468E"/>
    <w:rsid w:val="00814959"/>
    <w:rsid w:val="00814F3C"/>
    <w:rsid w:val="00815022"/>
    <w:rsid w:val="00816040"/>
    <w:rsid w:val="0082108A"/>
    <w:rsid w:val="0082172A"/>
    <w:rsid w:val="008249C0"/>
    <w:rsid w:val="0082569E"/>
    <w:rsid w:val="00826853"/>
    <w:rsid w:val="0082788D"/>
    <w:rsid w:val="0083204B"/>
    <w:rsid w:val="00832288"/>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3E4C"/>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125E"/>
    <w:rsid w:val="009036C3"/>
    <w:rsid w:val="009046D3"/>
    <w:rsid w:val="00904806"/>
    <w:rsid w:val="00904DBF"/>
    <w:rsid w:val="00907202"/>
    <w:rsid w:val="00910A34"/>
    <w:rsid w:val="0091107D"/>
    <w:rsid w:val="009138BE"/>
    <w:rsid w:val="00914012"/>
    <w:rsid w:val="0091449E"/>
    <w:rsid w:val="00916AB4"/>
    <w:rsid w:val="00917366"/>
    <w:rsid w:val="00917C22"/>
    <w:rsid w:val="00920B7E"/>
    <w:rsid w:val="009220FE"/>
    <w:rsid w:val="00922B25"/>
    <w:rsid w:val="009232FB"/>
    <w:rsid w:val="00924358"/>
    <w:rsid w:val="009254CB"/>
    <w:rsid w:val="00927267"/>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32A1"/>
    <w:rsid w:val="009533D5"/>
    <w:rsid w:val="009547DF"/>
    <w:rsid w:val="00956D56"/>
    <w:rsid w:val="00957F8A"/>
    <w:rsid w:val="0096046F"/>
    <w:rsid w:val="00963E70"/>
    <w:rsid w:val="0097035A"/>
    <w:rsid w:val="00972138"/>
    <w:rsid w:val="0097571E"/>
    <w:rsid w:val="00975BE4"/>
    <w:rsid w:val="00976632"/>
    <w:rsid w:val="00977303"/>
    <w:rsid w:val="009808FF"/>
    <w:rsid w:val="009813FA"/>
    <w:rsid w:val="00990A02"/>
    <w:rsid w:val="00990CF8"/>
    <w:rsid w:val="00991E11"/>
    <w:rsid w:val="00993489"/>
    <w:rsid w:val="00995AC4"/>
    <w:rsid w:val="0099643E"/>
    <w:rsid w:val="009A08C1"/>
    <w:rsid w:val="009A133E"/>
    <w:rsid w:val="009A1723"/>
    <w:rsid w:val="009A247F"/>
    <w:rsid w:val="009A24B7"/>
    <w:rsid w:val="009A2540"/>
    <w:rsid w:val="009A5239"/>
    <w:rsid w:val="009A5947"/>
    <w:rsid w:val="009A68D5"/>
    <w:rsid w:val="009A6D72"/>
    <w:rsid w:val="009A76AC"/>
    <w:rsid w:val="009A7B9E"/>
    <w:rsid w:val="009B17D6"/>
    <w:rsid w:val="009B26D3"/>
    <w:rsid w:val="009B2AC4"/>
    <w:rsid w:val="009B33A1"/>
    <w:rsid w:val="009B5258"/>
    <w:rsid w:val="009B79A6"/>
    <w:rsid w:val="009C3C3C"/>
    <w:rsid w:val="009C50E6"/>
    <w:rsid w:val="009C6954"/>
    <w:rsid w:val="009C6A91"/>
    <w:rsid w:val="009D18BB"/>
    <w:rsid w:val="009D1A4D"/>
    <w:rsid w:val="009D2527"/>
    <w:rsid w:val="009D3BB6"/>
    <w:rsid w:val="009D493B"/>
    <w:rsid w:val="009D5040"/>
    <w:rsid w:val="009D55F8"/>
    <w:rsid w:val="009D584B"/>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6FD"/>
    <w:rsid w:val="00A00C23"/>
    <w:rsid w:val="00A02DEE"/>
    <w:rsid w:val="00A04039"/>
    <w:rsid w:val="00A0610B"/>
    <w:rsid w:val="00A10E8A"/>
    <w:rsid w:val="00A1148A"/>
    <w:rsid w:val="00A12036"/>
    <w:rsid w:val="00A12AA3"/>
    <w:rsid w:val="00A1346D"/>
    <w:rsid w:val="00A14976"/>
    <w:rsid w:val="00A14A32"/>
    <w:rsid w:val="00A169A8"/>
    <w:rsid w:val="00A20E63"/>
    <w:rsid w:val="00A2123D"/>
    <w:rsid w:val="00A230F2"/>
    <w:rsid w:val="00A239CD"/>
    <w:rsid w:val="00A24C5C"/>
    <w:rsid w:val="00A26E9B"/>
    <w:rsid w:val="00A30D0B"/>
    <w:rsid w:val="00A32282"/>
    <w:rsid w:val="00A36D70"/>
    <w:rsid w:val="00A37048"/>
    <w:rsid w:val="00A42DE6"/>
    <w:rsid w:val="00A44236"/>
    <w:rsid w:val="00A45935"/>
    <w:rsid w:val="00A47057"/>
    <w:rsid w:val="00A47737"/>
    <w:rsid w:val="00A47B15"/>
    <w:rsid w:val="00A51884"/>
    <w:rsid w:val="00A51A28"/>
    <w:rsid w:val="00A52A74"/>
    <w:rsid w:val="00A543F5"/>
    <w:rsid w:val="00A56E82"/>
    <w:rsid w:val="00A646D7"/>
    <w:rsid w:val="00A66658"/>
    <w:rsid w:val="00A73041"/>
    <w:rsid w:val="00A77BCC"/>
    <w:rsid w:val="00A80BC0"/>
    <w:rsid w:val="00A810AE"/>
    <w:rsid w:val="00A816C5"/>
    <w:rsid w:val="00A81F4F"/>
    <w:rsid w:val="00A8254D"/>
    <w:rsid w:val="00A87845"/>
    <w:rsid w:val="00A9209D"/>
    <w:rsid w:val="00A92521"/>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3214"/>
    <w:rsid w:val="00AF3E75"/>
    <w:rsid w:val="00B00FE0"/>
    <w:rsid w:val="00B0247E"/>
    <w:rsid w:val="00B02847"/>
    <w:rsid w:val="00B041BE"/>
    <w:rsid w:val="00B054F1"/>
    <w:rsid w:val="00B06C6A"/>
    <w:rsid w:val="00B1181D"/>
    <w:rsid w:val="00B14735"/>
    <w:rsid w:val="00B160E9"/>
    <w:rsid w:val="00B1698D"/>
    <w:rsid w:val="00B17D44"/>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37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97"/>
    <w:rsid w:val="00B72ABC"/>
    <w:rsid w:val="00B732EF"/>
    <w:rsid w:val="00B744A2"/>
    <w:rsid w:val="00B758DB"/>
    <w:rsid w:val="00B80510"/>
    <w:rsid w:val="00B827B6"/>
    <w:rsid w:val="00B82F3F"/>
    <w:rsid w:val="00B862AB"/>
    <w:rsid w:val="00B87E17"/>
    <w:rsid w:val="00B932DE"/>
    <w:rsid w:val="00B934F2"/>
    <w:rsid w:val="00B94130"/>
    <w:rsid w:val="00B94552"/>
    <w:rsid w:val="00B945EE"/>
    <w:rsid w:val="00B94C44"/>
    <w:rsid w:val="00B95100"/>
    <w:rsid w:val="00B971EA"/>
    <w:rsid w:val="00BA322F"/>
    <w:rsid w:val="00BA4448"/>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21"/>
    <w:rsid w:val="00BD0978"/>
    <w:rsid w:val="00BD1EAB"/>
    <w:rsid w:val="00BD3E35"/>
    <w:rsid w:val="00BD63A1"/>
    <w:rsid w:val="00BD73DB"/>
    <w:rsid w:val="00BE00F7"/>
    <w:rsid w:val="00BE09D6"/>
    <w:rsid w:val="00BE2968"/>
    <w:rsid w:val="00BE3802"/>
    <w:rsid w:val="00BE4793"/>
    <w:rsid w:val="00BE5DF3"/>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386F"/>
    <w:rsid w:val="00C245D5"/>
    <w:rsid w:val="00C271EA"/>
    <w:rsid w:val="00C30FB4"/>
    <w:rsid w:val="00C32279"/>
    <w:rsid w:val="00C32FCA"/>
    <w:rsid w:val="00C40E61"/>
    <w:rsid w:val="00C40F4A"/>
    <w:rsid w:val="00C40F80"/>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298"/>
    <w:rsid w:val="00C71BA3"/>
    <w:rsid w:val="00C72278"/>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735E"/>
    <w:rsid w:val="00CA789A"/>
    <w:rsid w:val="00CA7F9C"/>
    <w:rsid w:val="00CB183B"/>
    <w:rsid w:val="00CB4408"/>
    <w:rsid w:val="00CB5673"/>
    <w:rsid w:val="00CB5DBF"/>
    <w:rsid w:val="00CB620F"/>
    <w:rsid w:val="00CB671B"/>
    <w:rsid w:val="00CB6EA0"/>
    <w:rsid w:val="00CB7366"/>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CF7A21"/>
    <w:rsid w:val="00D019BD"/>
    <w:rsid w:val="00D0249E"/>
    <w:rsid w:val="00D03E2F"/>
    <w:rsid w:val="00D0664B"/>
    <w:rsid w:val="00D07BCE"/>
    <w:rsid w:val="00D10D5D"/>
    <w:rsid w:val="00D1186C"/>
    <w:rsid w:val="00D139B0"/>
    <w:rsid w:val="00D14C42"/>
    <w:rsid w:val="00D17480"/>
    <w:rsid w:val="00D3078E"/>
    <w:rsid w:val="00D32E06"/>
    <w:rsid w:val="00D350CB"/>
    <w:rsid w:val="00D3610F"/>
    <w:rsid w:val="00D36152"/>
    <w:rsid w:val="00D40456"/>
    <w:rsid w:val="00D40E25"/>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77220"/>
    <w:rsid w:val="00D8056C"/>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1351"/>
    <w:rsid w:val="00DD196B"/>
    <w:rsid w:val="00DD31CA"/>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4F2C"/>
    <w:rsid w:val="00E16594"/>
    <w:rsid w:val="00E16CE2"/>
    <w:rsid w:val="00E17822"/>
    <w:rsid w:val="00E20571"/>
    <w:rsid w:val="00E21206"/>
    <w:rsid w:val="00E21C3D"/>
    <w:rsid w:val="00E22D9E"/>
    <w:rsid w:val="00E238A5"/>
    <w:rsid w:val="00E25FC7"/>
    <w:rsid w:val="00E26AB2"/>
    <w:rsid w:val="00E271DD"/>
    <w:rsid w:val="00E3060D"/>
    <w:rsid w:val="00E31572"/>
    <w:rsid w:val="00E344C7"/>
    <w:rsid w:val="00E34D84"/>
    <w:rsid w:val="00E377EE"/>
    <w:rsid w:val="00E37D90"/>
    <w:rsid w:val="00E37E9F"/>
    <w:rsid w:val="00E40DC9"/>
    <w:rsid w:val="00E41077"/>
    <w:rsid w:val="00E414FF"/>
    <w:rsid w:val="00E41CE2"/>
    <w:rsid w:val="00E428D6"/>
    <w:rsid w:val="00E438E8"/>
    <w:rsid w:val="00E545BA"/>
    <w:rsid w:val="00E5493D"/>
    <w:rsid w:val="00E55D0A"/>
    <w:rsid w:val="00E564F2"/>
    <w:rsid w:val="00E56817"/>
    <w:rsid w:val="00E57130"/>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D58"/>
    <w:rsid w:val="00EB4EB2"/>
    <w:rsid w:val="00EB6438"/>
    <w:rsid w:val="00EB73C7"/>
    <w:rsid w:val="00EC00AE"/>
    <w:rsid w:val="00EC101C"/>
    <w:rsid w:val="00EC1384"/>
    <w:rsid w:val="00EC2363"/>
    <w:rsid w:val="00EC2BD7"/>
    <w:rsid w:val="00EC683A"/>
    <w:rsid w:val="00EC6A71"/>
    <w:rsid w:val="00EC77F8"/>
    <w:rsid w:val="00EC7AC3"/>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3E2E"/>
    <w:rsid w:val="00F07D34"/>
    <w:rsid w:val="00F1020A"/>
    <w:rsid w:val="00F1331D"/>
    <w:rsid w:val="00F15CF1"/>
    <w:rsid w:val="00F21884"/>
    <w:rsid w:val="00F2620A"/>
    <w:rsid w:val="00F26CC1"/>
    <w:rsid w:val="00F326BB"/>
    <w:rsid w:val="00F34686"/>
    <w:rsid w:val="00F350DB"/>
    <w:rsid w:val="00F372FA"/>
    <w:rsid w:val="00F37755"/>
    <w:rsid w:val="00F402B2"/>
    <w:rsid w:val="00F420F4"/>
    <w:rsid w:val="00F448AC"/>
    <w:rsid w:val="00F450F5"/>
    <w:rsid w:val="00F45406"/>
    <w:rsid w:val="00F45DA4"/>
    <w:rsid w:val="00F50453"/>
    <w:rsid w:val="00F51A7E"/>
    <w:rsid w:val="00F53647"/>
    <w:rsid w:val="00F53CD2"/>
    <w:rsid w:val="00F54D14"/>
    <w:rsid w:val="00F55C32"/>
    <w:rsid w:val="00F55E06"/>
    <w:rsid w:val="00F567ED"/>
    <w:rsid w:val="00F56EBA"/>
    <w:rsid w:val="00F61EE0"/>
    <w:rsid w:val="00F66069"/>
    <w:rsid w:val="00F67223"/>
    <w:rsid w:val="00F678D9"/>
    <w:rsid w:val="00F732C5"/>
    <w:rsid w:val="00F74C2A"/>
    <w:rsid w:val="00F767F8"/>
    <w:rsid w:val="00F803FE"/>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aliases w:val="Char Char,Char Char Char Char Char Char Char,Char Char Char Char Char Char Char Char,Char Char Char Char Char Char,Char Char Char Char Cha,Char Char Char Char Char Char Char Char Char Char Char,Char Char Char Char Char"/>
    <w:basedOn w:val="Normal"/>
    <w:link w:val="FootnoteTextChar"/>
    <w:uiPriority w:val="99"/>
    <w:qFormat/>
    <w:rsid w:val="00C245D5"/>
    <w:rPr>
      <w:sz w:val="20"/>
      <w:szCs w:val="20"/>
    </w:rPr>
  </w:style>
  <w:style w:type="character" w:customStyle="1" w:styleId="FootnoteTextChar">
    <w:name w:val="Footnote Text Char"/>
    <w:aliases w:val="Char Char Char,Char Char Char Char Char Char Char Char1,Char Char Char Char Char Char Char Char Char,Char Char Char Char Char Char Char1,Char Char Char Char Cha Char,Char Char Char Char Char Char Char Char Char Char Char Char"/>
    <w:link w:val="FootnoteText"/>
    <w:uiPriority w:val="99"/>
    <w:rsid w:val="00C245D5"/>
    <w:rPr>
      <w:lang w:val="en-GB" w:eastAsia="zh-CN"/>
    </w:rPr>
  </w:style>
  <w:style w:type="character" w:styleId="FootnoteReference">
    <w:name w:val="footnote reference"/>
    <w:aliases w:val="Bow_Footnote Reference,BL_Footnote Reference,Footnotes refss,Footnote Reference + Superscript,(NECG) Footnote Reference,Appel note de bas de page,Ref,de nota al pie,註腳內容"/>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paragraph" w:customStyle="1" w:styleId="BowLevel1ListAlt">
    <w:name w:val="Bow_Level 1 List Alt+["/>
    <w:basedOn w:val="Normal"/>
    <w:rsid w:val="00D40E25"/>
    <w:pPr>
      <w:numPr>
        <w:numId w:val="2"/>
      </w:numPr>
      <w:spacing w:after="200" w:line="360" w:lineRule="auto"/>
      <w:jc w:val="both"/>
    </w:pPr>
    <w:rPr>
      <w:rFonts w:ascii="Century Gothic" w:eastAsia="Times New Roman" w:hAnsi="Century Gothic"/>
      <w:sz w:val="18"/>
      <w:szCs w:val="18"/>
      <w:lang w:val="en-US" w:eastAsia="en-US"/>
    </w:rPr>
  </w:style>
  <w:style w:type="paragraph" w:customStyle="1" w:styleId="BowLevel2ListAlt">
    <w:name w:val="Bow_Level 2 List Alt ]"/>
    <w:basedOn w:val="Normal"/>
    <w:rsid w:val="00D40E25"/>
    <w:pPr>
      <w:numPr>
        <w:ilvl w:val="1"/>
        <w:numId w:val="2"/>
      </w:numPr>
      <w:spacing w:after="200" w:line="360" w:lineRule="auto"/>
      <w:jc w:val="both"/>
    </w:pPr>
    <w:rPr>
      <w:rFonts w:ascii="Century Gothic" w:eastAsia="Times New Roman" w:hAnsi="Century Gothic"/>
      <w:sz w:val="18"/>
      <w:szCs w:val="18"/>
      <w:lang w:val="en-ZA" w:eastAsia="en-US"/>
    </w:rPr>
  </w:style>
  <w:style w:type="paragraph" w:customStyle="1" w:styleId="BowLevel3ListAlt">
    <w:name w:val="Bow_Level 3 List Alt+'"/>
    <w:basedOn w:val="Normal"/>
    <w:rsid w:val="00D40E25"/>
    <w:pPr>
      <w:numPr>
        <w:ilvl w:val="2"/>
        <w:numId w:val="2"/>
      </w:numPr>
      <w:spacing w:after="200" w:line="360" w:lineRule="auto"/>
      <w:jc w:val="both"/>
    </w:pPr>
    <w:rPr>
      <w:rFonts w:ascii="Century Gothic" w:eastAsia="Times New Roman" w:hAnsi="Century Gothic"/>
      <w:sz w:val="18"/>
      <w:szCs w:val="18"/>
      <w:lang w:val="en-US" w:eastAsia="en-US"/>
    </w:rPr>
  </w:style>
  <w:style w:type="paragraph" w:customStyle="1" w:styleId="BowLevel4ListAlt">
    <w:name w:val="Bow_Level 4 List Alt+/"/>
    <w:basedOn w:val="Normal"/>
    <w:rsid w:val="00D40E25"/>
    <w:pPr>
      <w:numPr>
        <w:ilvl w:val="3"/>
        <w:numId w:val="2"/>
      </w:numPr>
      <w:spacing w:after="200" w:line="360" w:lineRule="auto"/>
      <w:jc w:val="both"/>
    </w:pPr>
    <w:rPr>
      <w:rFonts w:ascii="Century Gothic" w:eastAsia="Times New Roman" w:hAnsi="Century Gothic"/>
      <w:sz w:val="18"/>
      <w:szCs w:val="18"/>
      <w:lang w:val="en-ZA" w:eastAsia="en-US"/>
    </w:rPr>
  </w:style>
  <w:style w:type="paragraph" w:customStyle="1" w:styleId="BowLevel5ListAlt">
    <w:name w:val="Bow_Level 5 List Alt+."/>
    <w:basedOn w:val="Normal"/>
    <w:rsid w:val="00D40E25"/>
    <w:pPr>
      <w:numPr>
        <w:ilvl w:val="4"/>
        <w:numId w:val="2"/>
      </w:numPr>
      <w:spacing w:after="200" w:line="360" w:lineRule="auto"/>
      <w:jc w:val="both"/>
    </w:pPr>
    <w:rPr>
      <w:rFonts w:ascii="Century Gothic" w:eastAsia="Times New Roman" w:hAnsi="Century Gothic"/>
      <w:sz w:val="18"/>
      <w:szCs w:val="18"/>
      <w:lang w:val="en-US" w:eastAsia="en-US"/>
    </w:rPr>
  </w:style>
  <w:style w:type="paragraph" w:customStyle="1" w:styleId="BowLevel6ListAlt">
    <w:name w:val="Bow_Level 6 List Alt+"/>
    <w:basedOn w:val="Normal"/>
    <w:rsid w:val="00D40E25"/>
    <w:pPr>
      <w:numPr>
        <w:ilvl w:val="5"/>
        <w:numId w:val="2"/>
      </w:numPr>
      <w:spacing w:after="200" w:line="360" w:lineRule="auto"/>
      <w:jc w:val="both"/>
    </w:pPr>
    <w:rPr>
      <w:rFonts w:ascii="Century Gothic" w:eastAsia="Times New Roman" w:hAnsi="Century Gothic"/>
      <w:sz w:val="18"/>
      <w:szCs w:val="18"/>
      <w:lang w:val="en-US" w:eastAsia="en-US"/>
    </w:rPr>
  </w:style>
  <w:style w:type="paragraph" w:customStyle="1" w:styleId="BowLevel7ListAltM">
    <w:name w:val="Bow_Level 7 List Alt+M"/>
    <w:basedOn w:val="Normal"/>
    <w:rsid w:val="00D40E25"/>
    <w:pPr>
      <w:numPr>
        <w:ilvl w:val="6"/>
        <w:numId w:val="2"/>
      </w:numPr>
      <w:spacing w:after="200" w:line="360" w:lineRule="auto"/>
      <w:jc w:val="both"/>
    </w:pPr>
    <w:rPr>
      <w:rFonts w:ascii="Century Gothic" w:eastAsia="Times New Roman" w:hAnsi="Century Gothic"/>
      <w:sz w:val="18"/>
      <w:szCs w:val="18"/>
      <w:lang w:val="en-US" w:eastAsia="en-US"/>
    </w:rPr>
  </w:style>
  <w:style w:type="character" w:customStyle="1" w:styleId="UnresolvedMention">
    <w:name w:val="Unresolved Mention"/>
    <w:basedOn w:val="DefaultParagraphFont"/>
    <w:uiPriority w:val="99"/>
    <w:semiHidden/>
    <w:unhideWhenUsed/>
    <w:rsid w:val="005A6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antley@chmlegal.co.za" TargetMode="External"/><Relationship Id="rId4" Type="http://schemas.openxmlformats.org/officeDocument/2006/relationships/settings" Target="settings.xml"/><Relationship Id="rId9" Type="http://schemas.openxmlformats.org/officeDocument/2006/relationships/hyperlink" Target="mailto:reception@makgato.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D703-C834-4EAB-B68A-4016C660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12977</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2</cp:revision>
  <cp:lastPrinted>2022-09-23T09:13:00Z</cp:lastPrinted>
  <dcterms:created xsi:type="dcterms:W3CDTF">2022-10-12T09:55:00Z</dcterms:created>
  <dcterms:modified xsi:type="dcterms:W3CDTF">2022-10-12T09:55:00Z</dcterms:modified>
</cp:coreProperties>
</file>