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48" w:rsidRDefault="00E03248" w:rsidP="00E03248">
      <w:pPr>
        <w:rPr>
          <w:rFonts w:ascii="Arial" w:hAnsi="Arial" w:cs="Arial"/>
          <w:b/>
        </w:rPr>
      </w:pPr>
      <w:bookmarkStart w:id="0" w:name="_GoBack"/>
      <w:bookmarkEnd w:id="0"/>
      <w:r>
        <w:rPr>
          <w:rFonts w:ascii="Arial" w:hAnsi="Arial" w:cs="Arial"/>
          <w:b/>
        </w:rPr>
        <w:t xml:space="preserve">                            REPUBLIC OF SOUTH AFRICA</w:t>
      </w:r>
    </w:p>
    <w:p w:rsidR="00E03248" w:rsidRDefault="00E03248" w:rsidP="00E03248">
      <w:pPr>
        <w:rPr>
          <w:rFonts w:ascii="Arial" w:hAnsi="Arial" w:cs="Arial"/>
          <w:b/>
        </w:rPr>
      </w:pPr>
    </w:p>
    <w:p w:rsidR="00E03248" w:rsidRDefault="00E03248" w:rsidP="00E03248">
      <w:pPr>
        <w:jc w:val="center"/>
        <w:rPr>
          <w:rFonts w:ascii="Arial" w:hAnsi="Arial" w:cs="Arial"/>
          <w:b/>
        </w:rPr>
      </w:pPr>
      <w:r>
        <w:rPr>
          <w:rFonts w:ascii="Arial" w:hAnsi="Arial" w:cs="Arial"/>
          <w:lang w:val="en-US"/>
        </w:rPr>
        <w:t xml:space="preserve">          </w:t>
      </w:r>
      <w:r>
        <w:rPr>
          <w:rFonts w:ascii="Arial" w:hAnsi="Arial" w:cs="Arial"/>
          <w:noProof/>
          <w:lang w:eastAsia="en-ZA"/>
        </w:rPr>
        <w:drawing>
          <wp:inline distT="0" distB="0" distL="0" distR="0">
            <wp:extent cx="1441450" cy="1441450"/>
            <wp:effectExtent l="0" t="0" r="6350" b="635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noProof/>
          <w:lang w:eastAsia="en-ZA"/>
        </w:rPr>
        <mc:AlternateContent>
          <mc:Choice Requires="wpg">
            <w:drawing>
              <wp:inline distT="0" distB="0" distL="0" distR="0">
                <wp:extent cx="673100" cy="863600"/>
                <wp:effectExtent l="0" t="0"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3"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F2816" id="Group 2"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w10:anchorlock/>
              </v:group>
            </w:pict>
          </mc:Fallback>
        </mc:AlternateContent>
      </w:r>
    </w:p>
    <w:p w:rsidR="00E03248" w:rsidRDefault="00E03248" w:rsidP="00E03248">
      <w:pPr>
        <w:jc w:val="center"/>
        <w:rPr>
          <w:rFonts w:ascii="Arial" w:hAnsi="Arial" w:cs="Arial"/>
          <w:b/>
        </w:rPr>
      </w:pPr>
      <w:r>
        <w:rPr>
          <w:rFonts w:ascii="Arial" w:hAnsi="Arial" w:cs="Arial"/>
          <w:b/>
        </w:rPr>
        <w:t xml:space="preserve">IN THE HIGH COURT OF SOUTH AFRICA, </w:t>
      </w:r>
    </w:p>
    <w:p w:rsidR="00E03248" w:rsidRDefault="00E03248" w:rsidP="00E03248">
      <w:pPr>
        <w:jc w:val="center"/>
        <w:rPr>
          <w:rFonts w:ascii="Arial" w:hAnsi="Arial" w:cs="Arial"/>
          <w:b/>
        </w:rPr>
      </w:pPr>
      <w:r>
        <w:rPr>
          <w:rFonts w:ascii="Arial" w:hAnsi="Arial" w:cs="Arial"/>
          <w:b/>
        </w:rPr>
        <w:t>GAUTENG LOCAL DIVISION, JOHANNESBURG</w:t>
      </w:r>
    </w:p>
    <w:p w:rsidR="00E03248" w:rsidRDefault="00E03248" w:rsidP="00E03248">
      <w:pPr>
        <w:jc w:val="center"/>
        <w:rPr>
          <w:rFonts w:ascii="Arial" w:hAnsi="Arial" w:cs="Arial"/>
          <w:b/>
        </w:rPr>
      </w:pPr>
    </w:p>
    <w:p w:rsidR="00E03248" w:rsidRDefault="00E03248" w:rsidP="00E03248">
      <w:pPr>
        <w:jc w:val="center"/>
        <w:rPr>
          <w:rFonts w:ascii="Arial" w:hAnsi="Arial" w:cs="Arial"/>
        </w:rPr>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114300</wp:posOffset>
                </wp:positionV>
                <wp:extent cx="3314700" cy="1371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5D209F" w:rsidRDefault="005D209F" w:rsidP="00E03248">
                            <w:pPr>
                              <w:jc w:val="center"/>
                              <w:rPr>
                                <w:rFonts w:ascii="Century Gothic" w:hAnsi="Century Gothic"/>
                                <w:b/>
                                <w:sz w:val="20"/>
                                <w:szCs w:val="20"/>
                              </w:rPr>
                            </w:pPr>
                          </w:p>
                          <w:p w:rsidR="005D209F" w:rsidRDefault="005D209F" w:rsidP="00E03248">
                            <w:pPr>
                              <w:numPr>
                                <w:ilvl w:val="0"/>
                                <w:numId w:val="1"/>
                              </w:numPr>
                              <w:rPr>
                                <w:rFonts w:ascii="Century Gothic" w:hAnsi="Century Gothic"/>
                                <w:sz w:val="20"/>
                                <w:szCs w:val="20"/>
                              </w:rPr>
                            </w:pPr>
                            <w:r>
                              <w:rPr>
                                <w:rFonts w:ascii="Century Gothic" w:hAnsi="Century Gothic"/>
                                <w:sz w:val="20"/>
                                <w:szCs w:val="20"/>
                              </w:rPr>
                              <w:t>REPORTABLE:   YES</w:t>
                            </w:r>
                          </w:p>
                          <w:p w:rsidR="005D209F" w:rsidRDefault="005D209F" w:rsidP="00E03248">
                            <w:pPr>
                              <w:numPr>
                                <w:ilvl w:val="0"/>
                                <w:numId w:val="1"/>
                              </w:numPr>
                              <w:rPr>
                                <w:rFonts w:ascii="Century Gothic" w:hAnsi="Century Gothic"/>
                                <w:sz w:val="20"/>
                                <w:szCs w:val="20"/>
                              </w:rPr>
                            </w:pPr>
                            <w:r>
                              <w:rPr>
                                <w:rFonts w:ascii="Century Gothic" w:hAnsi="Century Gothic"/>
                                <w:sz w:val="20"/>
                                <w:szCs w:val="20"/>
                              </w:rPr>
                              <w:t>OF INTEREST TO OTHER JUDGES: YES</w:t>
                            </w:r>
                          </w:p>
                          <w:p w:rsidR="005D209F" w:rsidRDefault="005D209F" w:rsidP="00E03248">
                            <w:pPr>
                              <w:numPr>
                                <w:ilvl w:val="0"/>
                                <w:numId w:val="1"/>
                              </w:numPr>
                              <w:rPr>
                                <w:rFonts w:ascii="Century Gothic" w:hAnsi="Century Gothic"/>
                                <w:sz w:val="20"/>
                                <w:szCs w:val="20"/>
                              </w:rPr>
                            </w:pPr>
                            <w:r>
                              <w:rPr>
                                <w:rFonts w:ascii="Century Gothic" w:hAnsi="Century Gothic"/>
                                <w:sz w:val="20"/>
                                <w:szCs w:val="20"/>
                              </w:rPr>
                              <w:t>REVISED.  NO</w:t>
                            </w:r>
                          </w:p>
                          <w:p w:rsidR="005D209F" w:rsidRDefault="005D209F" w:rsidP="00E03248">
                            <w:pPr>
                              <w:rPr>
                                <w:rFonts w:ascii="Century Gothic" w:hAnsi="Century Gothic"/>
                                <w:b/>
                                <w:sz w:val="18"/>
                                <w:szCs w:val="18"/>
                              </w:rPr>
                            </w:pPr>
                          </w:p>
                          <w:p w:rsidR="005D209F" w:rsidRDefault="005D209F" w:rsidP="00E0324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rsidR="005D209F" w:rsidRDefault="005D209F" w:rsidP="00E0324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">
                <v:textbox>
                  <w:txbxContent>
                    <w:p w:rsidR="005D209F" w:rsidRDefault="005D209F" w:rsidP="00E03248">
                      <w:pPr>
                        <w:jc w:val="center"/>
                        <w:rPr>
                          <w:rFonts w:ascii="Century Gothic" w:hAnsi="Century Gothic"/>
                          <w:b/>
                          <w:sz w:val="20"/>
                          <w:szCs w:val="20"/>
                        </w:rPr>
                      </w:pPr>
                    </w:p>
                    <w:p w:rsidR="005D209F" w:rsidRDefault="005D209F" w:rsidP="00E03248">
                      <w:pPr>
                        <w:numPr>
                          <w:ilvl w:val="0"/>
                          <w:numId w:val="1"/>
                        </w:numPr>
                        <w:rPr>
                          <w:rFonts w:ascii="Century Gothic" w:hAnsi="Century Gothic"/>
                          <w:sz w:val="20"/>
                          <w:szCs w:val="20"/>
                        </w:rPr>
                      </w:pPr>
                      <w:r>
                        <w:rPr>
                          <w:rFonts w:ascii="Century Gothic" w:hAnsi="Century Gothic"/>
                          <w:sz w:val="20"/>
                          <w:szCs w:val="20"/>
                        </w:rPr>
                        <w:t>REPORTABLE:   YES</w:t>
                      </w:r>
                    </w:p>
                    <w:p w:rsidR="005D209F" w:rsidRDefault="005D209F" w:rsidP="00E03248">
                      <w:pPr>
                        <w:numPr>
                          <w:ilvl w:val="0"/>
                          <w:numId w:val="1"/>
                        </w:numPr>
                        <w:rPr>
                          <w:rFonts w:ascii="Century Gothic" w:hAnsi="Century Gothic"/>
                          <w:sz w:val="20"/>
                          <w:szCs w:val="20"/>
                        </w:rPr>
                      </w:pPr>
                      <w:r>
                        <w:rPr>
                          <w:rFonts w:ascii="Century Gothic" w:hAnsi="Century Gothic"/>
                          <w:sz w:val="20"/>
                          <w:szCs w:val="20"/>
                        </w:rPr>
                        <w:t>OF INTEREST TO OTHER JUDGES: YES</w:t>
                      </w:r>
                    </w:p>
                    <w:p w:rsidR="005D209F" w:rsidRDefault="005D209F" w:rsidP="00E03248">
                      <w:pPr>
                        <w:numPr>
                          <w:ilvl w:val="0"/>
                          <w:numId w:val="1"/>
                        </w:numPr>
                        <w:rPr>
                          <w:rFonts w:ascii="Century Gothic" w:hAnsi="Century Gothic"/>
                          <w:sz w:val="20"/>
                          <w:szCs w:val="20"/>
                        </w:rPr>
                      </w:pPr>
                      <w:r>
                        <w:rPr>
                          <w:rFonts w:ascii="Century Gothic" w:hAnsi="Century Gothic"/>
                          <w:sz w:val="20"/>
                          <w:szCs w:val="20"/>
                        </w:rPr>
                        <w:t>REVISED.  NO</w:t>
                      </w:r>
                    </w:p>
                    <w:p w:rsidR="005D209F" w:rsidRDefault="005D209F" w:rsidP="00E03248">
                      <w:pPr>
                        <w:rPr>
                          <w:rFonts w:ascii="Century Gothic" w:hAnsi="Century Gothic"/>
                          <w:b/>
                          <w:sz w:val="18"/>
                          <w:szCs w:val="18"/>
                        </w:rPr>
                      </w:pPr>
                    </w:p>
                    <w:p w:rsidR="005D209F" w:rsidRDefault="005D209F" w:rsidP="00E0324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rsidR="005D209F" w:rsidRDefault="005D209F" w:rsidP="00E0324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Pr>
          <w:rFonts w:ascii="Arial" w:hAnsi="Arial" w:cs="Arial"/>
          <w:b/>
        </w:rPr>
        <w:t xml:space="preserve">                                                                                          Case Number:</w:t>
      </w:r>
      <w:r>
        <w:rPr>
          <w:rFonts w:ascii="Arial" w:hAnsi="Arial" w:cs="Arial"/>
        </w:rPr>
        <w:t xml:space="preserve"> </w:t>
      </w:r>
      <w:r w:rsidR="00657B6D">
        <w:rPr>
          <w:rFonts w:ascii="Arial" w:hAnsi="Arial" w:cs="Arial"/>
          <w:b/>
        </w:rPr>
        <w:t>273</w:t>
      </w:r>
      <w:r>
        <w:rPr>
          <w:rFonts w:ascii="Arial" w:hAnsi="Arial" w:cs="Arial"/>
          <w:b/>
        </w:rPr>
        <w:t>65/2021</w:t>
      </w:r>
    </w:p>
    <w:p w:rsidR="00E03248" w:rsidRDefault="00E03248" w:rsidP="00E03248">
      <w:pPr>
        <w:jc w:val="both"/>
        <w:rPr>
          <w:rFonts w:ascii="Arial" w:hAnsi="Arial" w:cs="Arial"/>
        </w:rPr>
      </w:pPr>
    </w:p>
    <w:p w:rsidR="00E03248" w:rsidRDefault="00E03248" w:rsidP="00E03248">
      <w:pPr>
        <w:rPr>
          <w:rFonts w:ascii="Arial" w:hAnsi="Arial" w:cs="Arial"/>
        </w:rPr>
      </w:pPr>
    </w:p>
    <w:p w:rsidR="00E03248" w:rsidRDefault="00E03248" w:rsidP="00E03248">
      <w:pPr>
        <w:rPr>
          <w:rFonts w:ascii="Arial" w:hAnsi="Arial" w:cs="Arial"/>
        </w:rPr>
      </w:pPr>
    </w:p>
    <w:p w:rsidR="00E03248" w:rsidRDefault="00E03248" w:rsidP="00E03248">
      <w:pPr>
        <w:rPr>
          <w:rFonts w:ascii="Arial" w:hAnsi="Arial" w:cs="Arial"/>
        </w:rPr>
      </w:pPr>
    </w:p>
    <w:p w:rsidR="00E03248" w:rsidRDefault="00E03248" w:rsidP="00E03248">
      <w:pPr>
        <w:rPr>
          <w:rFonts w:ascii="Arial" w:hAnsi="Arial" w:cs="Arial"/>
        </w:rPr>
      </w:pPr>
    </w:p>
    <w:p w:rsidR="00E03248" w:rsidRDefault="00E03248" w:rsidP="00E03248">
      <w:pPr>
        <w:rPr>
          <w:rFonts w:ascii="Arial" w:hAnsi="Arial" w:cs="Arial"/>
        </w:rPr>
      </w:pPr>
    </w:p>
    <w:p w:rsidR="00E03248" w:rsidRDefault="00E03248" w:rsidP="00E03248">
      <w:pPr>
        <w:rPr>
          <w:rFonts w:ascii="Arial" w:hAnsi="Arial" w:cs="Arial"/>
        </w:rPr>
      </w:pPr>
    </w:p>
    <w:p w:rsidR="00E03248" w:rsidRDefault="00E03248" w:rsidP="00E03248">
      <w:pPr>
        <w:jc w:val="both"/>
        <w:rPr>
          <w:rFonts w:ascii="Arial" w:hAnsi="Arial" w:cs="Arial"/>
          <w:lang w:val="en-GB"/>
        </w:rPr>
      </w:pPr>
    </w:p>
    <w:p w:rsidR="00367D19" w:rsidRDefault="00367D19" w:rsidP="00E03248">
      <w:pPr>
        <w:widowControl w:val="0"/>
        <w:tabs>
          <w:tab w:val="right" w:pos="8493"/>
        </w:tabs>
        <w:jc w:val="both"/>
        <w:rPr>
          <w:rFonts w:ascii="Arial" w:hAnsi="Arial" w:cs="Arial"/>
        </w:rPr>
      </w:pPr>
    </w:p>
    <w:p w:rsidR="00367D19" w:rsidRDefault="00367D19" w:rsidP="00E03248">
      <w:pPr>
        <w:widowControl w:val="0"/>
        <w:tabs>
          <w:tab w:val="right" w:pos="8493"/>
        </w:tabs>
        <w:jc w:val="both"/>
        <w:rPr>
          <w:rFonts w:ascii="Arial" w:hAnsi="Arial" w:cs="Arial"/>
        </w:rPr>
      </w:pPr>
    </w:p>
    <w:p w:rsidR="00E03248" w:rsidRDefault="00E03248" w:rsidP="00E03248">
      <w:pPr>
        <w:widowControl w:val="0"/>
        <w:tabs>
          <w:tab w:val="right" w:pos="8493"/>
        </w:tabs>
        <w:jc w:val="both"/>
        <w:rPr>
          <w:rFonts w:ascii="Arial" w:hAnsi="Arial" w:cs="Arial"/>
        </w:rPr>
      </w:pPr>
      <w:r>
        <w:rPr>
          <w:rFonts w:ascii="Arial" w:hAnsi="Arial" w:cs="Arial"/>
        </w:rPr>
        <w:t>In the matter between:</w:t>
      </w:r>
    </w:p>
    <w:p w:rsidR="00E03248" w:rsidRPr="00E03248" w:rsidRDefault="00E03248" w:rsidP="00E03248">
      <w:pPr>
        <w:rPr>
          <w:rFonts w:ascii="Arial" w:hAnsi="Arial" w:cs="Arial"/>
          <w:b/>
        </w:rPr>
      </w:pPr>
    </w:p>
    <w:p w:rsidR="00E03248" w:rsidRPr="00E03248" w:rsidRDefault="00367D19" w:rsidP="00E03248">
      <w:pPr>
        <w:rPr>
          <w:rFonts w:ascii="Arial" w:hAnsi="Arial" w:cs="Arial"/>
          <w:b/>
        </w:rPr>
      </w:pPr>
      <w:r>
        <w:rPr>
          <w:rFonts w:ascii="Arial" w:hAnsi="Arial" w:cs="Arial"/>
          <w:b/>
        </w:rPr>
        <w:t>CITY SQU</w:t>
      </w:r>
      <w:r w:rsidR="00E03248" w:rsidRPr="00E03248">
        <w:rPr>
          <w:rFonts w:ascii="Arial" w:hAnsi="Arial" w:cs="Arial"/>
          <w:b/>
        </w:rPr>
        <w:t xml:space="preserve">ARE TRADING 522 (PTY) LIMITED         </w:t>
      </w:r>
      <w:r w:rsidR="00E03248">
        <w:rPr>
          <w:rFonts w:ascii="Arial" w:hAnsi="Arial" w:cs="Arial"/>
          <w:b/>
        </w:rPr>
        <w:t xml:space="preserve">                                </w:t>
      </w:r>
      <w:r>
        <w:rPr>
          <w:rFonts w:ascii="Arial" w:hAnsi="Arial" w:cs="Arial"/>
          <w:b/>
        </w:rPr>
        <w:t xml:space="preserve">     </w:t>
      </w:r>
      <w:r w:rsidR="00E03248">
        <w:rPr>
          <w:rFonts w:ascii="Arial" w:hAnsi="Arial" w:cs="Arial"/>
          <w:b/>
        </w:rPr>
        <w:t xml:space="preserve">  </w:t>
      </w:r>
      <w:r>
        <w:rPr>
          <w:rFonts w:ascii="Arial" w:hAnsi="Arial" w:cs="Arial"/>
        </w:rPr>
        <w:t xml:space="preserve">Plaintiff </w:t>
      </w:r>
      <w:r w:rsidR="00E03248" w:rsidRPr="00E03248">
        <w:rPr>
          <w:rFonts w:ascii="Arial" w:hAnsi="Arial" w:cs="Arial"/>
        </w:rPr>
        <w:t xml:space="preserve">    </w:t>
      </w:r>
      <w:r w:rsidR="00E03248" w:rsidRPr="00E03248">
        <w:rPr>
          <w:rFonts w:ascii="Arial" w:hAnsi="Arial" w:cs="Arial"/>
          <w:b/>
        </w:rPr>
        <w:t xml:space="preserve">                                      </w:t>
      </w:r>
      <w:r w:rsidR="00E03248">
        <w:rPr>
          <w:rFonts w:ascii="Arial" w:hAnsi="Arial" w:cs="Arial"/>
          <w:b/>
        </w:rPr>
        <w:t xml:space="preserve">                            </w:t>
      </w:r>
    </w:p>
    <w:p w:rsidR="00E03248" w:rsidRDefault="00E03248" w:rsidP="00E03248">
      <w:pPr>
        <w:widowControl w:val="0"/>
        <w:tabs>
          <w:tab w:val="right" w:pos="8910"/>
        </w:tabs>
        <w:spacing w:line="360" w:lineRule="auto"/>
        <w:jc w:val="both"/>
        <w:rPr>
          <w:rFonts w:ascii="Arial" w:hAnsi="Arial" w:cs="Arial"/>
        </w:rPr>
      </w:pPr>
    </w:p>
    <w:p w:rsidR="00E03248" w:rsidRDefault="00367D19" w:rsidP="00E03248">
      <w:pPr>
        <w:widowControl w:val="0"/>
        <w:tabs>
          <w:tab w:val="right" w:pos="8910"/>
        </w:tabs>
        <w:spacing w:line="360" w:lineRule="auto"/>
        <w:jc w:val="both"/>
        <w:rPr>
          <w:rFonts w:ascii="Arial" w:hAnsi="Arial" w:cs="Arial"/>
        </w:rPr>
      </w:pPr>
      <w:r>
        <w:rPr>
          <w:rFonts w:ascii="Arial" w:hAnsi="Arial" w:cs="Arial"/>
        </w:rPr>
        <w:t>And,</w:t>
      </w:r>
    </w:p>
    <w:p w:rsidR="00367D19" w:rsidRDefault="00367D19" w:rsidP="00E03248">
      <w:pPr>
        <w:widowControl w:val="0"/>
        <w:tabs>
          <w:tab w:val="right" w:pos="8910"/>
        </w:tabs>
        <w:spacing w:line="360" w:lineRule="auto"/>
        <w:jc w:val="both"/>
        <w:rPr>
          <w:rFonts w:ascii="Arial" w:hAnsi="Arial" w:cs="Arial"/>
        </w:rPr>
      </w:pPr>
    </w:p>
    <w:p w:rsidR="00E03248" w:rsidRDefault="00E03248" w:rsidP="00E03248">
      <w:pPr>
        <w:widowControl w:val="0"/>
        <w:tabs>
          <w:tab w:val="right" w:pos="8910"/>
        </w:tabs>
        <w:spacing w:line="360" w:lineRule="auto"/>
        <w:jc w:val="both"/>
        <w:rPr>
          <w:rFonts w:ascii="Arial" w:hAnsi="Arial" w:cs="Arial"/>
        </w:rPr>
      </w:pPr>
      <w:r>
        <w:rPr>
          <w:rFonts w:ascii="Arial" w:hAnsi="Arial" w:cs="Arial"/>
          <w:b/>
        </w:rPr>
        <w:t xml:space="preserve">GUNZENHAUSER ATTORNEYS (PTY) LTD                                        </w:t>
      </w:r>
      <w:r w:rsidR="00367D19">
        <w:rPr>
          <w:rFonts w:ascii="Arial" w:hAnsi="Arial" w:cs="Arial"/>
          <w:b/>
        </w:rPr>
        <w:t xml:space="preserve"> </w:t>
      </w:r>
      <w:r w:rsidR="00367D19">
        <w:rPr>
          <w:rFonts w:ascii="Arial" w:hAnsi="Arial" w:cs="Arial"/>
        </w:rPr>
        <w:t>First Defendant</w:t>
      </w:r>
    </w:p>
    <w:p w:rsidR="00E03248" w:rsidRPr="00E03248" w:rsidRDefault="00E03248" w:rsidP="00E03248">
      <w:pPr>
        <w:widowControl w:val="0"/>
        <w:tabs>
          <w:tab w:val="right" w:pos="8910"/>
        </w:tabs>
        <w:spacing w:line="360" w:lineRule="auto"/>
        <w:jc w:val="both"/>
        <w:rPr>
          <w:rFonts w:ascii="Arial" w:hAnsi="Arial" w:cs="Arial"/>
          <w:b/>
        </w:rPr>
      </w:pPr>
      <w:r>
        <w:rPr>
          <w:rFonts w:ascii="Arial" w:hAnsi="Arial" w:cs="Arial"/>
          <w:b/>
        </w:rPr>
        <w:t>(</w:t>
      </w:r>
      <w:r w:rsidRPr="00E03248">
        <w:rPr>
          <w:rFonts w:ascii="Arial" w:hAnsi="Arial" w:cs="Arial"/>
          <w:b/>
        </w:rPr>
        <w:t>Registration Number:2018/225530/07)</w:t>
      </w:r>
    </w:p>
    <w:p w:rsidR="00E03248" w:rsidRDefault="00E03248" w:rsidP="00E03248">
      <w:pPr>
        <w:widowControl w:val="0"/>
        <w:tabs>
          <w:tab w:val="right" w:pos="8910"/>
        </w:tabs>
        <w:spacing w:line="360" w:lineRule="auto"/>
        <w:jc w:val="both"/>
        <w:rPr>
          <w:rFonts w:ascii="Arial" w:hAnsi="Arial" w:cs="Arial"/>
          <w:b/>
        </w:rPr>
      </w:pPr>
    </w:p>
    <w:p w:rsidR="00E03248" w:rsidRDefault="00E03248" w:rsidP="00E03248">
      <w:pPr>
        <w:widowControl w:val="0"/>
        <w:tabs>
          <w:tab w:val="right" w:pos="8910"/>
        </w:tabs>
        <w:spacing w:line="360" w:lineRule="auto"/>
        <w:jc w:val="both"/>
        <w:rPr>
          <w:rFonts w:ascii="Arial" w:hAnsi="Arial" w:cs="Arial"/>
        </w:rPr>
      </w:pPr>
      <w:r>
        <w:rPr>
          <w:rFonts w:ascii="Arial" w:hAnsi="Arial" w:cs="Arial"/>
          <w:b/>
        </w:rPr>
        <w:t>MAXINE GUNZENHAUSER</w:t>
      </w:r>
      <w:r>
        <w:rPr>
          <w:rFonts w:ascii="Arial" w:hAnsi="Arial" w:cs="Arial"/>
        </w:rPr>
        <w:t xml:space="preserve">                                                          </w:t>
      </w:r>
      <w:r w:rsidR="00367D19">
        <w:rPr>
          <w:rFonts w:ascii="Arial" w:hAnsi="Arial" w:cs="Arial"/>
        </w:rPr>
        <w:t xml:space="preserve">   Second Defendant</w:t>
      </w:r>
    </w:p>
    <w:p w:rsidR="00E03248" w:rsidRDefault="00E03248" w:rsidP="00E03248">
      <w:pPr>
        <w:spacing w:line="480" w:lineRule="auto"/>
        <w:jc w:val="both"/>
        <w:rPr>
          <w:rFonts w:ascii="Arial" w:hAnsi="Arial" w:cs="Arial"/>
          <w:lang w:val="en-GB"/>
        </w:rPr>
      </w:pPr>
      <w:r>
        <w:rPr>
          <w:rFonts w:ascii="Arial" w:hAnsi="Arial" w:cs="Arial"/>
          <w:lang w:val="en-GB"/>
        </w:rPr>
        <w:t>___________________________________________________________________</w:t>
      </w:r>
    </w:p>
    <w:p w:rsidR="00E03248" w:rsidRDefault="00E03248" w:rsidP="00E03248">
      <w:pPr>
        <w:jc w:val="both"/>
        <w:rPr>
          <w:rFonts w:ascii="Arial" w:hAnsi="Arial" w:cs="Arial"/>
          <w:b/>
          <w:sz w:val="28"/>
          <w:lang w:val="en-GB"/>
        </w:rPr>
      </w:pPr>
      <w:r>
        <w:rPr>
          <w:rFonts w:ascii="Arial" w:hAnsi="Arial" w:cs="Arial"/>
          <w:b/>
          <w:sz w:val="28"/>
          <w:lang w:val="en-GB"/>
        </w:rPr>
        <w:t xml:space="preserve">                                       JUDGMENT</w:t>
      </w:r>
    </w:p>
    <w:p w:rsidR="00E03248" w:rsidRDefault="00E03248" w:rsidP="00E03248">
      <w:pPr>
        <w:jc w:val="both"/>
        <w:rPr>
          <w:rFonts w:ascii="Arial" w:hAnsi="Arial" w:cs="Arial"/>
          <w:lang w:val="en-GB"/>
        </w:rPr>
      </w:pPr>
      <w:r>
        <w:rPr>
          <w:rFonts w:ascii="Arial" w:hAnsi="Arial" w:cs="Arial"/>
          <w:lang w:val="en-GB"/>
        </w:rPr>
        <w:t>___________________________________________________________________</w:t>
      </w:r>
    </w:p>
    <w:p w:rsidR="00E03248" w:rsidRDefault="00E03248" w:rsidP="00E03248">
      <w:pPr>
        <w:widowControl w:val="0"/>
        <w:tabs>
          <w:tab w:val="right" w:pos="8493"/>
        </w:tabs>
        <w:jc w:val="both"/>
        <w:rPr>
          <w:b/>
          <w:bCs/>
          <w:sz w:val="28"/>
          <w:szCs w:val="28"/>
          <w:u w:val="single"/>
        </w:rPr>
      </w:pPr>
    </w:p>
    <w:p w:rsidR="0045093A" w:rsidRPr="0045093A" w:rsidRDefault="0045581F" w:rsidP="0045093A">
      <w:pPr>
        <w:pStyle w:val="ListParagraph"/>
        <w:spacing w:line="360" w:lineRule="auto"/>
        <w:ind w:left="0"/>
        <w:rPr>
          <w:rFonts w:ascii="Arial" w:hAnsi="Arial" w:cs="Arial"/>
          <w:b/>
          <w:sz w:val="22"/>
          <w:szCs w:val="22"/>
          <w:lang w:val="en-GB"/>
        </w:rPr>
      </w:pPr>
      <w:r w:rsidRPr="0045581F">
        <w:rPr>
          <w:b/>
          <w:bCs/>
          <w:sz w:val="28"/>
          <w:szCs w:val="28"/>
        </w:rPr>
        <w:t>Summary:</w:t>
      </w:r>
    </w:p>
    <w:p w:rsidR="0035152D" w:rsidRPr="00824CA3" w:rsidRDefault="0045581F" w:rsidP="0045093A">
      <w:pPr>
        <w:pStyle w:val="ListParagraph"/>
        <w:spacing w:line="360" w:lineRule="auto"/>
        <w:ind w:left="0"/>
        <w:rPr>
          <w:rFonts w:ascii="Arial" w:hAnsi="Arial" w:cs="Arial"/>
          <w:b/>
          <w:sz w:val="22"/>
          <w:szCs w:val="22"/>
          <w:lang w:val="en-GB"/>
        </w:rPr>
      </w:pPr>
      <w:r>
        <w:rPr>
          <w:b/>
          <w:bCs/>
          <w:sz w:val="28"/>
          <w:szCs w:val="28"/>
        </w:rPr>
        <w:t xml:space="preserve"> </w:t>
      </w:r>
      <w:r w:rsidRPr="0045093A">
        <w:rPr>
          <w:rFonts w:cstheme="minorHAnsi"/>
          <w:b/>
          <w:bCs/>
          <w:sz w:val="22"/>
          <w:szCs w:val="22"/>
        </w:rPr>
        <w:t>Civil Procedure</w:t>
      </w:r>
      <w:r w:rsidR="00824CA3" w:rsidRPr="0045093A">
        <w:rPr>
          <w:rFonts w:cstheme="minorHAnsi"/>
          <w:b/>
          <w:bCs/>
          <w:sz w:val="22"/>
          <w:szCs w:val="22"/>
        </w:rPr>
        <w:t xml:space="preserve"> – summary judgment</w:t>
      </w:r>
      <w:r w:rsidR="0045093A" w:rsidRPr="0045093A">
        <w:rPr>
          <w:rFonts w:cstheme="minorHAnsi"/>
          <w:b/>
          <w:bCs/>
          <w:sz w:val="22"/>
          <w:szCs w:val="22"/>
        </w:rPr>
        <w:t>:</w:t>
      </w:r>
      <w:r w:rsidR="0035152D" w:rsidRPr="0045093A">
        <w:rPr>
          <w:rFonts w:cstheme="minorHAnsi"/>
          <w:b/>
          <w:bCs/>
          <w:sz w:val="22"/>
          <w:szCs w:val="22"/>
        </w:rPr>
        <w:t xml:space="preserve"> – </w:t>
      </w:r>
      <w:r w:rsidR="0035152D" w:rsidRPr="0045093A">
        <w:rPr>
          <w:rFonts w:cstheme="minorHAnsi"/>
          <w:sz w:val="22"/>
          <w:szCs w:val="22"/>
          <w:lang w:val="en-GB"/>
        </w:rPr>
        <w:t xml:space="preserve"> </w:t>
      </w:r>
      <w:r w:rsidR="0035152D" w:rsidRPr="0045093A">
        <w:rPr>
          <w:rFonts w:cstheme="minorHAnsi"/>
          <w:b/>
          <w:sz w:val="22"/>
          <w:szCs w:val="22"/>
          <w:lang w:val="en-GB"/>
        </w:rPr>
        <w:t>rule 32(4) does not deprive the plaintiff of its rights under rule 28(8)</w:t>
      </w:r>
      <w:r w:rsidR="005D209F" w:rsidRPr="0045093A">
        <w:rPr>
          <w:rFonts w:cstheme="minorHAnsi"/>
          <w:b/>
          <w:sz w:val="22"/>
          <w:szCs w:val="22"/>
          <w:lang w:val="en-GB"/>
        </w:rPr>
        <w:t xml:space="preserve"> to make consequential adjustments to its affidavit filed in terms of rule 32(2)</w:t>
      </w:r>
      <w:r w:rsidR="00824CA3" w:rsidRPr="0045093A">
        <w:rPr>
          <w:rFonts w:cstheme="minorHAnsi"/>
          <w:b/>
          <w:sz w:val="22"/>
          <w:szCs w:val="22"/>
          <w:lang w:val="en-GB"/>
        </w:rPr>
        <w:t xml:space="preserve"> pursuant to the amendment of the plea</w:t>
      </w:r>
      <w:r w:rsidR="005D209F" w:rsidRPr="0045093A">
        <w:rPr>
          <w:rFonts w:cstheme="minorHAnsi"/>
          <w:b/>
          <w:sz w:val="22"/>
          <w:szCs w:val="22"/>
          <w:lang w:val="en-GB"/>
        </w:rPr>
        <w:t xml:space="preserve">; </w:t>
      </w:r>
      <w:r w:rsidR="0035152D" w:rsidRPr="0045093A">
        <w:rPr>
          <w:rFonts w:cstheme="minorHAnsi"/>
          <w:b/>
          <w:sz w:val="22"/>
          <w:szCs w:val="22"/>
          <w:lang w:val="en-GB"/>
        </w:rPr>
        <w:t xml:space="preserve"> </w:t>
      </w:r>
      <w:r w:rsidR="00824CA3" w:rsidRPr="0045093A">
        <w:rPr>
          <w:rFonts w:cstheme="minorHAnsi"/>
          <w:b/>
          <w:sz w:val="22"/>
          <w:szCs w:val="22"/>
          <w:lang w:val="en-GB"/>
        </w:rPr>
        <w:t>rule 32(4) is</w:t>
      </w:r>
      <w:r w:rsidR="0035152D" w:rsidRPr="0045093A">
        <w:rPr>
          <w:rFonts w:cstheme="minorHAnsi"/>
          <w:b/>
          <w:sz w:val="22"/>
          <w:szCs w:val="22"/>
          <w:lang w:val="en-GB"/>
        </w:rPr>
        <w:t xml:space="preserve"> </w:t>
      </w:r>
      <w:r w:rsidR="008F6BD4">
        <w:rPr>
          <w:rFonts w:cstheme="minorHAnsi"/>
          <w:b/>
          <w:sz w:val="22"/>
          <w:szCs w:val="22"/>
          <w:lang w:val="en-GB"/>
        </w:rPr>
        <w:t xml:space="preserve">a </w:t>
      </w:r>
      <w:r w:rsidR="0035152D" w:rsidRPr="0045093A">
        <w:rPr>
          <w:rFonts w:cstheme="minorHAnsi"/>
          <w:b/>
          <w:sz w:val="22"/>
          <w:szCs w:val="22"/>
          <w:lang w:val="en-GB"/>
        </w:rPr>
        <w:t>prohibition</w:t>
      </w:r>
      <w:r w:rsidR="0035152D" w:rsidRPr="00824CA3">
        <w:rPr>
          <w:rFonts w:ascii="Arial" w:hAnsi="Arial" w:cs="Arial"/>
          <w:b/>
          <w:sz w:val="22"/>
          <w:szCs w:val="22"/>
          <w:lang w:val="en-GB"/>
        </w:rPr>
        <w:t xml:space="preserve"> against </w:t>
      </w:r>
      <w:r w:rsidR="00824CA3" w:rsidRPr="00824CA3">
        <w:rPr>
          <w:rFonts w:ascii="Arial" w:hAnsi="Arial" w:cs="Arial"/>
          <w:b/>
          <w:sz w:val="22"/>
          <w:szCs w:val="22"/>
          <w:lang w:val="en-GB"/>
        </w:rPr>
        <w:t>the introduction of</w:t>
      </w:r>
      <w:r w:rsidR="0035152D" w:rsidRPr="00824CA3">
        <w:rPr>
          <w:rFonts w:ascii="Arial" w:hAnsi="Arial" w:cs="Arial"/>
          <w:b/>
          <w:sz w:val="22"/>
          <w:szCs w:val="22"/>
          <w:lang w:val="en-GB"/>
        </w:rPr>
        <w:t xml:space="preserve"> factual matter which is of the nature of a reply or rejoinder to the defendant’s case.</w:t>
      </w:r>
    </w:p>
    <w:p w:rsidR="0035152D" w:rsidRDefault="0035152D" w:rsidP="0035152D">
      <w:pPr>
        <w:pStyle w:val="ListParagraph"/>
        <w:spacing w:line="360" w:lineRule="auto"/>
        <w:ind w:left="0"/>
        <w:rPr>
          <w:rFonts w:ascii="Arial" w:hAnsi="Arial" w:cs="Arial"/>
          <w:lang w:val="en-GB"/>
        </w:rPr>
      </w:pPr>
    </w:p>
    <w:p w:rsidR="00367D19" w:rsidRPr="0045581F" w:rsidRDefault="00367D19" w:rsidP="00E03248">
      <w:pPr>
        <w:widowControl w:val="0"/>
        <w:tabs>
          <w:tab w:val="right" w:pos="8493"/>
        </w:tabs>
        <w:jc w:val="both"/>
        <w:rPr>
          <w:b/>
          <w:bCs/>
          <w:sz w:val="28"/>
          <w:szCs w:val="28"/>
        </w:rPr>
      </w:pPr>
    </w:p>
    <w:p w:rsidR="00367D19" w:rsidRDefault="00367D19" w:rsidP="00E03248">
      <w:pPr>
        <w:widowControl w:val="0"/>
        <w:tabs>
          <w:tab w:val="right" w:pos="8493"/>
        </w:tabs>
        <w:jc w:val="both"/>
        <w:rPr>
          <w:rFonts w:ascii="Arial" w:hAnsi="Arial" w:cs="Arial"/>
          <w:b/>
          <w:bCs/>
          <w:sz w:val="28"/>
          <w:szCs w:val="28"/>
          <w:u w:val="single"/>
        </w:rPr>
      </w:pPr>
    </w:p>
    <w:p w:rsidR="00E03248" w:rsidRDefault="00E03248" w:rsidP="00E03248">
      <w:pPr>
        <w:widowControl w:val="0"/>
        <w:tabs>
          <w:tab w:val="right" w:pos="8493"/>
        </w:tabs>
        <w:jc w:val="both"/>
        <w:rPr>
          <w:rFonts w:ascii="Arial" w:hAnsi="Arial" w:cs="Arial"/>
          <w:b/>
          <w:bCs/>
          <w:sz w:val="28"/>
          <w:szCs w:val="28"/>
          <w:u w:val="single"/>
        </w:rPr>
      </w:pPr>
      <w:r>
        <w:rPr>
          <w:rFonts w:ascii="Arial" w:hAnsi="Arial" w:cs="Arial"/>
          <w:b/>
          <w:bCs/>
          <w:sz w:val="28"/>
          <w:szCs w:val="28"/>
          <w:u w:val="single"/>
        </w:rPr>
        <w:t>FISHER J:</w:t>
      </w:r>
    </w:p>
    <w:p w:rsidR="00367D19" w:rsidRDefault="00367D19" w:rsidP="00E03248">
      <w:pPr>
        <w:spacing w:line="360" w:lineRule="auto"/>
        <w:jc w:val="both"/>
        <w:rPr>
          <w:rFonts w:ascii="Arial" w:hAnsi="Arial" w:cs="Arial"/>
          <w:b/>
          <w:lang w:val="en-GB"/>
        </w:rPr>
      </w:pPr>
    </w:p>
    <w:p w:rsidR="00367D19" w:rsidRDefault="00367D19" w:rsidP="00E03248">
      <w:pPr>
        <w:spacing w:line="360" w:lineRule="auto"/>
        <w:jc w:val="both"/>
        <w:rPr>
          <w:rFonts w:ascii="Arial" w:hAnsi="Arial" w:cs="Arial"/>
          <w:b/>
          <w:lang w:val="en-GB"/>
        </w:rPr>
      </w:pPr>
    </w:p>
    <w:p w:rsidR="00367D19" w:rsidRDefault="00367D19" w:rsidP="00E03248">
      <w:pPr>
        <w:spacing w:line="360" w:lineRule="auto"/>
        <w:jc w:val="both"/>
        <w:rPr>
          <w:rFonts w:ascii="Arial" w:hAnsi="Arial" w:cs="Arial"/>
          <w:b/>
          <w:lang w:val="en-GB"/>
        </w:rPr>
      </w:pPr>
    </w:p>
    <w:p w:rsidR="00E03248" w:rsidRDefault="00E03248" w:rsidP="00E03248">
      <w:pPr>
        <w:spacing w:line="360" w:lineRule="auto"/>
        <w:jc w:val="both"/>
        <w:rPr>
          <w:rFonts w:ascii="Arial" w:hAnsi="Arial" w:cs="Arial"/>
          <w:b/>
          <w:lang w:val="en-GB"/>
        </w:rPr>
      </w:pPr>
      <w:r>
        <w:rPr>
          <w:rFonts w:ascii="Arial" w:hAnsi="Arial" w:cs="Arial"/>
          <w:b/>
          <w:lang w:val="en-GB"/>
        </w:rPr>
        <w:t>Introduction</w:t>
      </w:r>
    </w:p>
    <w:p w:rsidR="00367D19" w:rsidRDefault="00367D19" w:rsidP="00E03248">
      <w:pPr>
        <w:spacing w:line="360" w:lineRule="auto"/>
        <w:jc w:val="both"/>
        <w:rPr>
          <w:rFonts w:ascii="Arial" w:hAnsi="Arial" w:cs="Arial"/>
          <w:b/>
          <w:lang w:val="en-GB"/>
        </w:rPr>
      </w:pPr>
    </w:p>
    <w:p w:rsidR="007B62E0" w:rsidRDefault="00E03248" w:rsidP="00F94A0B">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This is a summary judgment application. Interlocutory </w:t>
      </w:r>
      <w:r w:rsidR="003B6AC3">
        <w:rPr>
          <w:rFonts w:ascii="Arial" w:hAnsi="Arial" w:cs="Arial"/>
          <w:lang w:val="en-GB"/>
        </w:rPr>
        <w:t>hereto</w:t>
      </w:r>
      <w:r w:rsidR="00A13774">
        <w:rPr>
          <w:rFonts w:ascii="Arial" w:hAnsi="Arial" w:cs="Arial"/>
          <w:lang w:val="en-GB"/>
        </w:rPr>
        <w:t>,</w:t>
      </w:r>
      <w:r>
        <w:rPr>
          <w:rFonts w:ascii="Arial" w:hAnsi="Arial" w:cs="Arial"/>
          <w:lang w:val="en-GB"/>
        </w:rPr>
        <w:t xml:space="preserve"> there has been an application in terms of rule 30 by the </w:t>
      </w:r>
      <w:r w:rsidR="00AE0803">
        <w:rPr>
          <w:rFonts w:ascii="Arial" w:hAnsi="Arial" w:cs="Arial"/>
          <w:lang w:val="en-GB"/>
        </w:rPr>
        <w:t>d</w:t>
      </w:r>
      <w:r>
        <w:rPr>
          <w:rFonts w:ascii="Arial" w:hAnsi="Arial" w:cs="Arial"/>
          <w:lang w:val="en-GB"/>
        </w:rPr>
        <w:t xml:space="preserve">efendant to set aside the filing of a further affidavit by the plaintiff. This affidavit was filed </w:t>
      </w:r>
      <w:r w:rsidR="007B62E0">
        <w:rPr>
          <w:rFonts w:ascii="Arial" w:hAnsi="Arial" w:cs="Arial"/>
          <w:lang w:val="en-GB"/>
        </w:rPr>
        <w:t xml:space="preserve">for the purposes </w:t>
      </w:r>
      <w:r w:rsidR="00626853">
        <w:rPr>
          <w:rFonts w:ascii="Arial" w:hAnsi="Arial" w:cs="Arial"/>
          <w:lang w:val="en-GB"/>
        </w:rPr>
        <w:t>of supplementing</w:t>
      </w:r>
      <w:r>
        <w:rPr>
          <w:rFonts w:ascii="Arial" w:hAnsi="Arial" w:cs="Arial"/>
          <w:lang w:val="en-GB"/>
        </w:rPr>
        <w:t xml:space="preserve"> the plaintiff’s founding affidavit </w:t>
      </w:r>
      <w:r w:rsidR="008F6BD4">
        <w:rPr>
          <w:rFonts w:ascii="Arial" w:hAnsi="Arial" w:cs="Arial"/>
          <w:lang w:val="en-GB"/>
        </w:rPr>
        <w:t xml:space="preserve">consequent </w:t>
      </w:r>
      <w:r w:rsidR="00D538FA">
        <w:rPr>
          <w:rFonts w:ascii="Arial" w:hAnsi="Arial" w:cs="Arial"/>
          <w:lang w:val="en-GB"/>
        </w:rPr>
        <w:t>upon</w:t>
      </w:r>
      <w:r>
        <w:rPr>
          <w:rFonts w:ascii="Arial" w:hAnsi="Arial" w:cs="Arial"/>
          <w:lang w:val="en-GB"/>
        </w:rPr>
        <w:t xml:space="preserve"> an amendment of the defendant’s plea effected after the filing of the application for summary judgment.</w:t>
      </w:r>
      <w:r w:rsidRPr="00F94A0B">
        <w:rPr>
          <w:rFonts w:ascii="Arial" w:hAnsi="Arial" w:cs="Arial"/>
          <w:lang w:val="en-GB"/>
        </w:rPr>
        <w:t xml:space="preserve"> </w:t>
      </w:r>
    </w:p>
    <w:p w:rsidR="00F94A0B" w:rsidRPr="00F94A0B" w:rsidRDefault="00F94A0B" w:rsidP="00F94A0B">
      <w:pPr>
        <w:pStyle w:val="ListParagraph"/>
        <w:spacing w:line="360" w:lineRule="auto"/>
        <w:ind w:left="0"/>
        <w:jc w:val="both"/>
        <w:rPr>
          <w:rFonts w:ascii="Arial" w:hAnsi="Arial" w:cs="Arial"/>
          <w:lang w:val="en-GB"/>
        </w:rPr>
      </w:pPr>
    </w:p>
    <w:p w:rsidR="00F94A0B" w:rsidRDefault="00E03248" w:rsidP="00F94A0B">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The determination of the rule 30 application is fundamental to the summary judgment application and it was agreed that it should be determined before argument of the summary judgment application.</w:t>
      </w:r>
    </w:p>
    <w:p w:rsidR="00F94A0B" w:rsidRPr="00F94A0B" w:rsidRDefault="00F94A0B" w:rsidP="00F94A0B">
      <w:pPr>
        <w:pStyle w:val="ListParagraph"/>
        <w:spacing w:line="360" w:lineRule="auto"/>
        <w:ind w:left="0"/>
        <w:jc w:val="both"/>
        <w:rPr>
          <w:rFonts w:ascii="Arial" w:hAnsi="Arial" w:cs="Arial"/>
          <w:lang w:val="en-GB"/>
        </w:rPr>
      </w:pPr>
    </w:p>
    <w:p w:rsidR="00E03248"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 The crisp </w:t>
      </w:r>
      <w:r w:rsidR="0045581F">
        <w:rPr>
          <w:rFonts w:ascii="Arial" w:hAnsi="Arial" w:cs="Arial"/>
          <w:lang w:val="en-GB"/>
        </w:rPr>
        <w:t>question in</w:t>
      </w:r>
      <w:r>
        <w:rPr>
          <w:rFonts w:ascii="Arial" w:hAnsi="Arial" w:cs="Arial"/>
          <w:lang w:val="en-GB"/>
        </w:rPr>
        <w:t xml:space="preserve"> the rule 30 application is whether it is permissible for the plaintiff to file </w:t>
      </w:r>
      <w:r w:rsidR="007B62E0">
        <w:rPr>
          <w:rFonts w:ascii="Arial" w:hAnsi="Arial" w:cs="Arial"/>
          <w:lang w:val="en-GB"/>
        </w:rPr>
        <w:t>the</w:t>
      </w:r>
      <w:r>
        <w:rPr>
          <w:rFonts w:ascii="Arial" w:hAnsi="Arial" w:cs="Arial"/>
          <w:lang w:val="en-GB"/>
        </w:rPr>
        <w:t xml:space="preserve"> further affidavit in the circumstances. </w:t>
      </w:r>
    </w:p>
    <w:p w:rsidR="00E03248" w:rsidRDefault="00E03248" w:rsidP="00E03248">
      <w:pPr>
        <w:pStyle w:val="ListParagraph"/>
        <w:spacing w:line="360" w:lineRule="auto"/>
        <w:ind w:left="0"/>
        <w:jc w:val="both"/>
        <w:rPr>
          <w:rFonts w:ascii="Arial" w:hAnsi="Arial" w:cs="Arial"/>
          <w:lang w:val="en-GB"/>
        </w:rPr>
      </w:pPr>
    </w:p>
    <w:p w:rsidR="00E03248" w:rsidRDefault="00E03248" w:rsidP="00E03248">
      <w:pPr>
        <w:spacing w:line="360" w:lineRule="auto"/>
        <w:jc w:val="both"/>
        <w:rPr>
          <w:rFonts w:ascii="Arial" w:hAnsi="Arial" w:cs="Arial"/>
          <w:b/>
          <w:lang w:val="en-GB"/>
        </w:rPr>
      </w:pPr>
      <w:r>
        <w:rPr>
          <w:rFonts w:ascii="Arial" w:hAnsi="Arial" w:cs="Arial"/>
          <w:b/>
          <w:lang w:val="en-GB"/>
        </w:rPr>
        <w:t>Procedural history</w:t>
      </w:r>
    </w:p>
    <w:p w:rsidR="00E03248" w:rsidRDefault="00E03248" w:rsidP="00E03248">
      <w:pPr>
        <w:pStyle w:val="ListParagraph"/>
        <w:spacing w:line="360" w:lineRule="auto"/>
        <w:ind w:left="0"/>
        <w:jc w:val="both"/>
        <w:rPr>
          <w:rFonts w:ascii="Arial" w:hAnsi="Arial" w:cs="Arial"/>
          <w:lang w:val="en-GB"/>
        </w:rPr>
      </w:pPr>
    </w:p>
    <w:p w:rsidR="00E03248"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The summons was delivered on 14 June 2021 for payment of R503 305.6 together with interest and costs. The cause of action</w:t>
      </w:r>
      <w:r w:rsidR="00A13774">
        <w:rPr>
          <w:rFonts w:ascii="Arial" w:hAnsi="Arial" w:cs="Arial"/>
          <w:lang w:val="en-GB"/>
        </w:rPr>
        <w:t xml:space="preserve"> </w:t>
      </w:r>
      <w:r w:rsidR="007B62E0">
        <w:rPr>
          <w:rFonts w:ascii="Arial" w:hAnsi="Arial" w:cs="Arial"/>
          <w:lang w:val="en-GB"/>
        </w:rPr>
        <w:t>pleaded</w:t>
      </w:r>
      <w:r>
        <w:rPr>
          <w:rFonts w:ascii="Arial" w:hAnsi="Arial" w:cs="Arial"/>
          <w:lang w:val="en-GB"/>
        </w:rPr>
        <w:t xml:space="preserve"> against the first defendant is for outstanding rental under two lease agreements and the cause of action </w:t>
      </w:r>
      <w:r w:rsidR="007B62E0">
        <w:rPr>
          <w:rFonts w:ascii="Arial" w:hAnsi="Arial" w:cs="Arial"/>
          <w:lang w:val="en-GB"/>
        </w:rPr>
        <w:t xml:space="preserve">pleaded </w:t>
      </w:r>
      <w:r>
        <w:rPr>
          <w:rFonts w:ascii="Arial" w:hAnsi="Arial" w:cs="Arial"/>
          <w:lang w:val="en-GB"/>
        </w:rPr>
        <w:t xml:space="preserve">against the second defendant is for the same indebtedness on the basis of her being a guarantor for such </w:t>
      </w:r>
      <w:r w:rsidR="007B62E0">
        <w:rPr>
          <w:rFonts w:ascii="Arial" w:hAnsi="Arial" w:cs="Arial"/>
          <w:lang w:val="en-GB"/>
        </w:rPr>
        <w:t>indebtedness</w:t>
      </w:r>
      <w:r>
        <w:rPr>
          <w:rFonts w:ascii="Arial" w:hAnsi="Arial" w:cs="Arial"/>
          <w:lang w:val="en-GB"/>
        </w:rPr>
        <w:t xml:space="preserve">. </w:t>
      </w:r>
    </w:p>
    <w:p w:rsidR="00E03248" w:rsidRDefault="00E03248" w:rsidP="00E03248">
      <w:pPr>
        <w:pStyle w:val="ListParagraph"/>
        <w:spacing w:line="360" w:lineRule="auto"/>
        <w:ind w:left="0"/>
        <w:jc w:val="both"/>
        <w:rPr>
          <w:rFonts w:ascii="Arial" w:hAnsi="Arial" w:cs="Arial"/>
          <w:lang w:val="en-GB"/>
        </w:rPr>
      </w:pPr>
    </w:p>
    <w:p w:rsidR="00E03248"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T</w:t>
      </w:r>
      <w:r w:rsidR="00397FE4">
        <w:rPr>
          <w:rFonts w:ascii="Arial" w:hAnsi="Arial" w:cs="Arial"/>
          <w:lang w:val="en-GB"/>
        </w:rPr>
        <w:t>he first defendant filed</w:t>
      </w:r>
      <w:r>
        <w:rPr>
          <w:rFonts w:ascii="Arial" w:hAnsi="Arial" w:cs="Arial"/>
          <w:lang w:val="en-GB"/>
        </w:rPr>
        <w:t xml:space="preserve"> a special plea of </w:t>
      </w:r>
      <w:r w:rsidR="00A13774">
        <w:rPr>
          <w:rFonts w:ascii="Arial" w:hAnsi="Arial" w:cs="Arial"/>
          <w:lang w:val="en-GB"/>
        </w:rPr>
        <w:t xml:space="preserve">non-joinder and both </w:t>
      </w:r>
      <w:r w:rsidR="00D538FA">
        <w:rPr>
          <w:rFonts w:ascii="Arial" w:hAnsi="Arial" w:cs="Arial"/>
          <w:lang w:val="en-GB"/>
        </w:rPr>
        <w:t>defendants</w:t>
      </w:r>
      <w:r w:rsidR="00397FE4">
        <w:rPr>
          <w:rFonts w:ascii="Arial" w:hAnsi="Arial" w:cs="Arial"/>
          <w:lang w:val="en-GB"/>
        </w:rPr>
        <w:t xml:space="preserve"> filed</w:t>
      </w:r>
      <w:r>
        <w:rPr>
          <w:rFonts w:ascii="Arial" w:hAnsi="Arial" w:cs="Arial"/>
          <w:lang w:val="en-GB"/>
        </w:rPr>
        <w:t xml:space="preserve"> a plea which read as follows:</w:t>
      </w:r>
    </w:p>
    <w:p w:rsidR="00E03248" w:rsidRDefault="00E03248" w:rsidP="00E03248">
      <w:pPr>
        <w:pStyle w:val="ListParagraph"/>
        <w:rPr>
          <w:rFonts w:ascii="Arial" w:hAnsi="Arial" w:cs="Arial"/>
          <w:lang w:val="en-GB"/>
        </w:rPr>
      </w:pPr>
    </w:p>
    <w:p w:rsidR="00E03248" w:rsidRDefault="00E03248" w:rsidP="00E03248">
      <w:pPr>
        <w:spacing w:line="360" w:lineRule="auto"/>
        <w:jc w:val="both"/>
        <w:rPr>
          <w:rFonts w:ascii="Arial" w:hAnsi="Arial" w:cs="Arial"/>
          <w:sz w:val="22"/>
          <w:szCs w:val="22"/>
          <w:lang w:val="en-GB"/>
        </w:rPr>
      </w:pPr>
      <w:r>
        <w:rPr>
          <w:rFonts w:ascii="Arial" w:hAnsi="Arial" w:cs="Arial"/>
          <w:lang w:val="en-GB"/>
        </w:rPr>
        <w:t>‘</w:t>
      </w:r>
      <w:r>
        <w:rPr>
          <w:rFonts w:ascii="Arial" w:hAnsi="Arial" w:cs="Arial"/>
          <w:sz w:val="22"/>
          <w:szCs w:val="22"/>
          <w:lang w:val="en-GB"/>
        </w:rPr>
        <w:t>AD PARAGAPH 1, 2 AND 3 THEREOF:</w:t>
      </w:r>
    </w:p>
    <w:p w:rsidR="00E03248" w:rsidRDefault="00E03248" w:rsidP="00E03248">
      <w:pPr>
        <w:spacing w:line="360" w:lineRule="auto"/>
        <w:jc w:val="both"/>
        <w:rPr>
          <w:rFonts w:ascii="Arial" w:hAnsi="Arial" w:cs="Arial"/>
          <w:sz w:val="22"/>
          <w:szCs w:val="22"/>
          <w:lang w:val="en-GB"/>
        </w:rPr>
      </w:pPr>
      <w:r>
        <w:rPr>
          <w:rFonts w:ascii="Arial" w:hAnsi="Arial" w:cs="Arial"/>
          <w:sz w:val="22"/>
          <w:szCs w:val="22"/>
          <w:lang w:val="en-GB"/>
        </w:rPr>
        <w:t xml:space="preserve"> The contents of these paragraphs are denied, and the Plaintiff is put to the proof thereof.</w:t>
      </w:r>
    </w:p>
    <w:p w:rsidR="00E03248" w:rsidRDefault="00E03248" w:rsidP="00E03248">
      <w:pPr>
        <w:spacing w:line="360" w:lineRule="auto"/>
        <w:jc w:val="both"/>
        <w:rPr>
          <w:rFonts w:ascii="Arial" w:hAnsi="Arial" w:cs="Arial"/>
          <w:sz w:val="22"/>
          <w:szCs w:val="22"/>
          <w:lang w:val="en-GB"/>
        </w:rPr>
      </w:pPr>
      <w:r>
        <w:rPr>
          <w:rFonts w:ascii="Arial" w:hAnsi="Arial" w:cs="Arial"/>
          <w:sz w:val="22"/>
          <w:szCs w:val="22"/>
          <w:lang w:val="en-GB"/>
        </w:rPr>
        <w:lastRenderedPageBreak/>
        <w:t xml:space="preserve"> AD PARAGAPH 4 —18 AND THE SUBPARAGRAPHS THEREOF:</w:t>
      </w:r>
    </w:p>
    <w:p w:rsidR="00E03248" w:rsidRDefault="00E03248" w:rsidP="00E03248">
      <w:pPr>
        <w:spacing w:line="360" w:lineRule="auto"/>
        <w:jc w:val="both"/>
        <w:rPr>
          <w:rFonts w:ascii="Arial" w:hAnsi="Arial" w:cs="Arial"/>
          <w:sz w:val="22"/>
          <w:szCs w:val="22"/>
          <w:lang w:val="en-GB"/>
        </w:rPr>
      </w:pPr>
      <w:r>
        <w:rPr>
          <w:rFonts w:ascii="Arial" w:hAnsi="Arial" w:cs="Arial"/>
          <w:sz w:val="22"/>
          <w:szCs w:val="22"/>
          <w:lang w:val="en-GB"/>
        </w:rPr>
        <w:t xml:space="preserve"> Each and every allegation contained in these paragraphs are denied and the Plaintiff is put to the proof thereof.</w:t>
      </w:r>
    </w:p>
    <w:p w:rsidR="00E03248" w:rsidRDefault="00E03248" w:rsidP="00E03248">
      <w:pPr>
        <w:spacing w:line="360" w:lineRule="auto"/>
        <w:jc w:val="both"/>
        <w:rPr>
          <w:rFonts w:ascii="Arial" w:hAnsi="Arial" w:cs="Arial"/>
          <w:sz w:val="22"/>
          <w:szCs w:val="22"/>
          <w:lang w:val="en-GB"/>
        </w:rPr>
      </w:pPr>
    </w:p>
    <w:p w:rsidR="00E03248" w:rsidRDefault="00E03248" w:rsidP="00E03248">
      <w:pPr>
        <w:spacing w:line="360" w:lineRule="auto"/>
        <w:jc w:val="both"/>
        <w:rPr>
          <w:rFonts w:ascii="Arial" w:hAnsi="Arial" w:cs="Arial"/>
          <w:lang w:val="en-GB"/>
        </w:rPr>
      </w:pPr>
      <w:r>
        <w:rPr>
          <w:rFonts w:ascii="Arial" w:hAnsi="Arial" w:cs="Arial"/>
          <w:sz w:val="22"/>
          <w:szCs w:val="22"/>
          <w:lang w:val="en-GB"/>
        </w:rPr>
        <w:t xml:space="preserve"> WHEREFORE THE DEFENDANTS PRAY THAT THE PLAINTIFF'S CLAIM BE DISMMISSED ON A SCALE AS BETWEEN ATTORNEY AND CLIE</w:t>
      </w:r>
      <w:r>
        <w:rPr>
          <w:rFonts w:ascii="Arial" w:hAnsi="Arial" w:cs="Arial"/>
          <w:lang w:val="en-GB"/>
        </w:rPr>
        <w:t>NT’</w:t>
      </w:r>
    </w:p>
    <w:p w:rsidR="00E03248" w:rsidRDefault="00E03248" w:rsidP="00E03248">
      <w:pPr>
        <w:pStyle w:val="ListParagraph"/>
        <w:rPr>
          <w:rFonts w:ascii="Arial" w:hAnsi="Arial" w:cs="Arial"/>
          <w:lang w:val="en-GB"/>
        </w:rPr>
      </w:pPr>
    </w:p>
    <w:p w:rsidR="00E03248" w:rsidRDefault="00E03248" w:rsidP="00E03248">
      <w:pPr>
        <w:pStyle w:val="ListParagraph"/>
        <w:rPr>
          <w:rFonts w:ascii="Arial" w:hAnsi="Arial" w:cs="Arial"/>
          <w:lang w:val="en-GB"/>
        </w:rPr>
      </w:pPr>
    </w:p>
    <w:p w:rsidR="00E03248" w:rsidRDefault="00E03248" w:rsidP="00E03248">
      <w:pPr>
        <w:pStyle w:val="ListParagraph"/>
        <w:rPr>
          <w:rFonts w:ascii="Arial" w:hAnsi="Arial" w:cs="Arial"/>
          <w:lang w:val="en-GB"/>
        </w:rPr>
      </w:pPr>
    </w:p>
    <w:p w:rsidR="00E03248" w:rsidRDefault="00E03248" w:rsidP="00E03248">
      <w:pPr>
        <w:pStyle w:val="ListParagraph"/>
        <w:rPr>
          <w:rFonts w:ascii="Arial" w:hAnsi="Arial" w:cs="Arial"/>
          <w:lang w:val="en-GB"/>
        </w:rPr>
      </w:pPr>
    </w:p>
    <w:p w:rsidR="00E03248" w:rsidRDefault="00E03248" w:rsidP="00E03248">
      <w:pPr>
        <w:pStyle w:val="ListParagraph"/>
        <w:rPr>
          <w:rFonts w:ascii="Arial" w:hAnsi="Arial" w:cs="Arial"/>
          <w:lang w:val="en-GB"/>
        </w:rPr>
      </w:pPr>
    </w:p>
    <w:p w:rsidR="00E03248" w:rsidRDefault="0045093A"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A </w:t>
      </w:r>
      <w:r w:rsidR="00D538FA">
        <w:rPr>
          <w:rFonts w:ascii="Arial" w:hAnsi="Arial" w:cs="Arial"/>
          <w:lang w:val="en-GB"/>
        </w:rPr>
        <w:t>scanter</w:t>
      </w:r>
      <w:r>
        <w:rPr>
          <w:rFonts w:ascii="Arial" w:hAnsi="Arial" w:cs="Arial"/>
          <w:lang w:val="en-GB"/>
        </w:rPr>
        <w:t xml:space="preserve"> denial could hardly be </w:t>
      </w:r>
      <w:r w:rsidR="0001280A">
        <w:rPr>
          <w:rFonts w:ascii="Arial" w:hAnsi="Arial" w:cs="Arial"/>
          <w:lang w:val="en-GB"/>
        </w:rPr>
        <w:t xml:space="preserve">imagined. </w:t>
      </w:r>
      <w:r w:rsidR="00E03248">
        <w:rPr>
          <w:rFonts w:ascii="Arial" w:hAnsi="Arial" w:cs="Arial"/>
          <w:lang w:val="en-GB"/>
        </w:rPr>
        <w:t xml:space="preserve">The </w:t>
      </w:r>
      <w:r w:rsidR="00D538FA">
        <w:rPr>
          <w:rFonts w:ascii="Arial" w:hAnsi="Arial" w:cs="Arial"/>
          <w:lang w:val="en-GB"/>
        </w:rPr>
        <w:t>plaintiff thus</w:t>
      </w:r>
      <w:r w:rsidR="0001280A">
        <w:rPr>
          <w:rFonts w:ascii="Arial" w:hAnsi="Arial" w:cs="Arial"/>
          <w:lang w:val="en-GB"/>
        </w:rPr>
        <w:t xml:space="preserve"> </w:t>
      </w:r>
      <w:r w:rsidR="00E03248">
        <w:rPr>
          <w:rFonts w:ascii="Arial" w:hAnsi="Arial" w:cs="Arial"/>
          <w:lang w:val="en-GB"/>
        </w:rPr>
        <w:t xml:space="preserve">issued the summary judgment application </w:t>
      </w:r>
      <w:r w:rsidR="0001280A">
        <w:rPr>
          <w:rFonts w:ascii="Arial" w:hAnsi="Arial" w:cs="Arial"/>
          <w:lang w:val="en-GB"/>
        </w:rPr>
        <w:t>on the basis of th</w:t>
      </w:r>
      <w:r w:rsidR="00D872BC">
        <w:rPr>
          <w:rFonts w:ascii="Arial" w:hAnsi="Arial" w:cs="Arial"/>
          <w:lang w:val="en-GB"/>
        </w:rPr>
        <w:t>is plea</w:t>
      </w:r>
      <w:r w:rsidR="00E03248">
        <w:rPr>
          <w:rFonts w:ascii="Arial" w:hAnsi="Arial" w:cs="Arial"/>
          <w:lang w:val="en-GB"/>
        </w:rPr>
        <w:t xml:space="preserve">. </w:t>
      </w:r>
      <w:r w:rsidR="00D872BC">
        <w:rPr>
          <w:rFonts w:ascii="Arial" w:hAnsi="Arial" w:cs="Arial"/>
          <w:lang w:val="en-GB"/>
        </w:rPr>
        <w:t xml:space="preserve">The affidavit founding the summary judgment </w:t>
      </w:r>
      <w:r w:rsidR="00F94A0B">
        <w:rPr>
          <w:rFonts w:ascii="Arial" w:hAnsi="Arial" w:cs="Arial"/>
          <w:lang w:val="en-GB"/>
        </w:rPr>
        <w:t>comprehensively set</w:t>
      </w:r>
      <w:r w:rsidR="00D538FA">
        <w:rPr>
          <w:rFonts w:ascii="Arial" w:hAnsi="Arial" w:cs="Arial"/>
          <w:lang w:val="en-GB"/>
        </w:rPr>
        <w:t>s</w:t>
      </w:r>
      <w:r w:rsidR="00F94A0B">
        <w:rPr>
          <w:rFonts w:ascii="Arial" w:hAnsi="Arial" w:cs="Arial"/>
          <w:lang w:val="en-GB"/>
        </w:rPr>
        <w:t xml:space="preserve"> out the plaintiff’s case</w:t>
      </w:r>
      <w:r w:rsidR="00D538FA">
        <w:rPr>
          <w:rFonts w:ascii="Arial" w:hAnsi="Arial" w:cs="Arial"/>
          <w:lang w:val="en-GB"/>
        </w:rPr>
        <w:t xml:space="preserve"> and engages to the extent required with the </w:t>
      </w:r>
      <w:r w:rsidR="00141EA2">
        <w:rPr>
          <w:rFonts w:ascii="Arial" w:hAnsi="Arial" w:cs="Arial"/>
          <w:lang w:val="en-GB"/>
        </w:rPr>
        <w:t>then existing plea</w:t>
      </w:r>
      <w:r w:rsidR="00F94A0B">
        <w:rPr>
          <w:rFonts w:ascii="Arial" w:hAnsi="Arial" w:cs="Arial"/>
          <w:lang w:val="en-GB"/>
        </w:rPr>
        <w:t>.</w:t>
      </w:r>
      <w:r w:rsidR="00E03248">
        <w:rPr>
          <w:rFonts w:ascii="Arial" w:hAnsi="Arial" w:cs="Arial"/>
          <w:lang w:val="en-GB"/>
        </w:rPr>
        <w:t xml:space="preserve"> The </w:t>
      </w:r>
      <w:r w:rsidR="007B62E0">
        <w:rPr>
          <w:rFonts w:ascii="Arial" w:hAnsi="Arial" w:cs="Arial"/>
          <w:lang w:val="en-GB"/>
        </w:rPr>
        <w:t>defendants</w:t>
      </w:r>
      <w:r w:rsidR="00E03248">
        <w:rPr>
          <w:rFonts w:ascii="Arial" w:hAnsi="Arial" w:cs="Arial"/>
          <w:lang w:val="en-GB"/>
        </w:rPr>
        <w:t xml:space="preserve"> then filed their affidavit resisting summary judgment</w:t>
      </w:r>
      <w:r w:rsidR="00D872BC">
        <w:rPr>
          <w:rFonts w:ascii="Arial" w:hAnsi="Arial" w:cs="Arial"/>
          <w:lang w:val="en-GB"/>
        </w:rPr>
        <w:t>.</w:t>
      </w:r>
      <w:r w:rsidR="007B62E0">
        <w:rPr>
          <w:rFonts w:ascii="Arial" w:hAnsi="Arial" w:cs="Arial"/>
          <w:lang w:val="en-GB"/>
        </w:rPr>
        <w:t xml:space="preserve"> </w:t>
      </w:r>
      <w:r w:rsidR="00D872BC">
        <w:rPr>
          <w:rFonts w:ascii="Arial" w:hAnsi="Arial" w:cs="Arial"/>
          <w:lang w:val="en-GB"/>
        </w:rPr>
        <w:t>In it</w:t>
      </w:r>
      <w:r w:rsidR="007B62E0">
        <w:rPr>
          <w:rFonts w:ascii="Arial" w:hAnsi="Arial" w:cs="Arial"/>
          <w:lang w:val="en-GB"/>
        </w:rPr>
        <w:t xml:space="preserve"> they raised defences</w:t>
      </w:r>
      <w:r w:rsidR="00141EA2">
        <w:rPr>
          <w:rFonts w:ascii="Arial" w:hAnsi="Arial" w:cs="Arial"/>
          <w:lang w:val="en-GB"/>
        </w:rPr>
        <w:t xml:space="preserve"> which had</w:t>
      </w:r>
      <w:r w:rsidR="007B62E0">
        <w:rPr>
          <w:rFonts w:ascii="Arial" w:hAnsi="Arial" w:cs="Arial"/>
          <w:lang w:val="en-GB"/>
        </w:rPr>
        <w:t xml:space="preserve"> not </w:t>
      </w:r>
      <w:r w:rsidR="00141EA2">
        <w:rPr>
          <w:rFonts w:ascii="Arial" w:hAnsi="Arial" w:cs="Arial"/>
          <w:lang w:val="en-GB"/>
        </w:rPr>
        <w:t xml:space="preserve"> been </w:t>
      </w:r>
      <w:r w:rsidR="007B62E0">
        <w:rPr>
          <w:rFonts w:ascii="Arial" w:hAnsi="Arial" w:cs="Arial"/>
          <w:lang w:val="en-GB"/>
        </w:rPr>
        <w:t>pleaded.</w:t>
      </w:r>
      <w:r w:rsidR="00D872BC">
        <w:rPr>
          <w:rFonts w:ascii="Arial" w:hAnsi="Arial" w:cs="Arial"/>
          <w:lang w:val="en-GB"/>
        </w:rPr>
        <w:t xml:space="preserve"> </w:t>
      </w:r>
    </w:p>
    <w:p w:rsidR="00E03248" w:rsidRDefault="00E03248" w:rsidP="00E03248">
      <w:pPr>
        <w:pStyle w:val="ListParagraph"/>
        <w:spacing w:line="360" w:lineRule="auto"/>
        <w:ind w:left="0"/>
        <w:jc w:val="both"/>
        <w:rPr>
          <w:rFonts w:ascii="Arial" w:hAnsi="Arial" w:cs="Arial"/>
          <w:lang w:val="en-GB"/>
        </w:rPr>
      </w:pPr>
    </w:p>
    <w:p w:rsidR="00720773"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 The defendants thereafter sought leave to amend their plea  </w:t>
      </w:r>
      <w:r w:rsidR="00DF388C">
        <w:rPr>
          <w:rFonts w:ascii="Arial" w:hAnsi="Arial" w:cs="Arial"/>
          <w:lang w:val="en-GB"/>
        </w:rPr>
        <w:t xml:space="preserve">in a bid </w:t>
      </w:r>
      <w:r w:rsidR="007B62E0">
        <w:rPr>
          <w:rFonts w:ascii="Arial" w:hAnsi="Arial" w:cs="Arial"/>
          <w:lang w:val="en-GB"/>
        </w:rPr>
        <w:t xml:space="preserve"> to bring </w:t>
      </w:r>
      <w:r w:rsidR="008E48C7">
        <w:rPr>
          <w:rFonts w:ascii="Arial" w:hAnsi="Arial" w:cs="Arial"/>
          <w:lang w:val="en-GB"/>
        </w:rPr>
        <w:t>it</w:t>
      </w:r>
      <w:r w:rsidR="00DF388C">
        <w:rPr>
          <w:rFonts w:ascii="Arial" w:hAnsi="Arial" w:cs="Arial"/>
          <w:lang w:val="en-GB"/>
        </w:rPr>
        <w:t xml:space="preserve"> into line</w:t>
      </w:r>
      <w:r>
        <w:rPr>
          <w:rFonts w:ascii="Arial" w:hAnsi="Arial" w:cs="Arial"/>
          <w:lang w:val="en-GB"/>
        </w:rPr>
        <w:t xml:space="preserve"> </w:t>
      </w:r>
      <w:r w:rsidR="00DF388C">
        <w:rPr>
          <w:rFonts w:ascii="Arial" w:hAnsi="Arial" w:cs="Arial"/>
          <w:lang w:val="en-GB"/>
        </w:rPr>
        <w:t>with the</w:t>
      </w:r>
      <w:r w:rsidR="00720773">
        <w:rPr>
          <w:rFonts w:ascii="Arial" w:hAnsi="Arial" w:cs="Arial"/>
          <w:lang w:val="en-GB"/>
        </w:rPr>
        <w:t>ir affidavit resisting  summary judgment</w:t>
      </w:r>
      <w:r w:rsidR="00DF388C">
        <w:rPr>
          <w:rFonts w:ascii="Arial" w:hAnsi="Arial" w:cs="Arial"/>
          <w:lang w:val="en-GB"/>
        </w:rPr>
        <w:t>.</w:t>
      </w:r>
    </w:p>
    <w:p w:rsidR="00720773" w:rsidRPr="00720773" w:rsidRDefault="00720773" w:rsidP="00720773">
      <w:pPr>
        <w:pStyle w:val="ListParagraph"/>
        <w:rPr>
          <w:rFonts w:ascii="Arial" w:hAnsi="Arial" w:cs="Arial"/>
          <w:lang w:val="en-GB"/>
        </w:rPr>
      </w:pPr>
    </w:p>
    <w:p w:rsidR="00637657" w:rsidRPr="00720773" w:rsidRDefault="008E48C7" w:rsidP="00720773">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 The plaintiff did not object to the amendment and it was duly </w:t>
      </w:r>
      <w:r w:rsidR="00720773">
        <w:rPr>
          <w:rFonts w:ascii="Arial" w:hAnsi="Arial" w:cs="Arial"/>
          <w:lang w:val="en-GB"/>
        </w:rPr>
        <w:t>effected</w:t>
      </w:r>
      <w:r>
        <w:rPr>
          <w:rFonts w:ascii="Arial" w:hAnsi="Arial" w:cs="Arial"/>
          <w:lang w:val="en-GB"/>
        </w:rPr>
        <w:t>.</w:t>
      </w:r>
      <w:r w:rsidR="00E03248">
        <w:rPr>
          <w:rFonts w:ascii="Arial" w:hAnsi="Arial" w:cs="Arial"/>
          <w:lang w:val="en-GB"/>
        </w:rPr>
        <w:t xml:space="preserve"> The amended plea seeks to plead </w:t>
      </w:r>
      <w:r w:rsidR="00720773">
        <w:rPr>
          <w:rFonts w:ascii="Arial" w:hAnsi="Arial" w:cs="Arial"/>
          <w:lang w:val="en-GB"/>
        </w:rPr>
        <w:t>new</w:t>
      </w:r>
      <w:r w:rsidR="00E03248">
        <w:rPr>
          <w:rFonts w:ascii="Arial" w:hAnsi="Arial" w:cs="Arial"/>
          <w:lang w:val="en-GB"/>
        </w:rPr>
        <w:t xml:space="preserve"> defences which were</w:t>
      </w:r>
      <w:r w:rsidR="00141EA2">
        <w:rPr>
          <w:rFonts w:ascii="Arial" w:hAnsi="Arial" w:cs="Arial"/>
          <w:lang w:val="en-GB"/>
        </w:rPr>
        <w:t xml:space="preserve"> raised </w:t>
      </w:r>
      <w:r w:rsidR="00E03248">
        <w:rPr>
          <w:rFonts w:ascii="Arial" w:hAnsi="Arial" w:cs="Arial"/>
          <w:lang w:val="en-GB"/>
        </w:rPr>
        <w:t xml:space="preserve"> </w:t>
      </w:r>
      <w:r w:rsidR="00720773">
        <w:rPr>
          <w:rFonts w:ascii="Arial" w:hAnsi="Arial" w:cs="Arial"/>
          <w:lang w:val="en-GB"/>
        </w:rPr>
        <w:t>for the first time</w:t>
      </w:r>
      <w:r w:rsidR="00E03248">
        <w:rPr>
          <w:rFonts w:ascii="Arial" w:hAnsi="Arial" w:cs="Arial"/>
          <w:lang w:val="en-GB"/>
        </w:rPr>
        <w:t xml:space="preserve"> in the</w:t>
      </w:r>
      <w:r w:rsidR="0051459E">
        <w:rPr>
          <w:rFonts w:ascii="Arial" w:hAnsi="Arial" w:cs="Arial"/>
          <w:lang w:val="en-GB"/>
        </w:rPr>
        <w:t xml:space="preserve"> </w:t>
      </w:r>
      <w:r w:rsidR="00E03248">
        <w:rPr>
          <w:rFonts w:ascii="Arial" w:hAnsi="Arial" w:cs="Arial"/>
          <w:lang w:val="en-GB"/>
        </w:rPr>
        <w:t xml:space="preserve"> affidavit resisting summary judgment.</w:t>
      </w:r>
      <w:r w:rsidR="00E03248" w:rsidRPr="00720773">
        <w:rPr>
          <w:rFonts w:ascii="Arial" w:hAnsi="Arial" w:cs="Arial"/>
          <w:lang w:val="en-GB"/>
        </w:rPr>
        <w:t xml:space="preserve"> </w:t>
      </w:r>
      <w:r w:rsidRPr="00720773">
        <w:rPr>
          <w:rFonts w:ascii="Arial" w:hAnsi="Arial" w:cs="Arial"/>
          <w:lang w:val="en-GB"/>
        </w:rPr>
        <w:t>This caused and postponement of the summary judgment application to enable the plaintiff to deal with the</w:t>
      </w:r>
      <w:r w:rsidR="00720773" w:rsidRPr="00720773">
        <w:rPr>
          <w:rFonts w:ascii="Arial" w:hAnsi="Arial" w:cs="Arial"/>
          <w:lang w:val="en-GB"/>
        </w:rPr>
        <w:t xml:space="preserve"> plea as amended</w:t>
      </w:r>
      <w:r w:rsidRPr="00720773">
        <w:rPr>
          <w:rFonts w:ascii="Arial" w:hAnsi="Arial" w:cs="Arial"/>
          <w:lang w:val="en-GB"/>
        </w:rPr>
        <w:t>.</w:t>
      </w:r>
    </w:p>
    <w:p w:rsidR="00637657" w:rsidRPr="00637657" w:rsidRDefault="00637657" w:rsidP="00637657">
      <w:pPr>
        <w:pStyle w:val="ListParagraph"/>
        <w:rPr>
          <w:rFonts w:ascii="Arial" w:hAnsi="Arial" w:cs="Arial"/>
          <w:lang w:val="en-GB"/>
        </w:rPr>
      </w:pPr>
    </w:p>
    <w:p w:rsidR="00627B02" w:rsidRPr="0035152D" w:rsidRDefault="008E48C7" w:rsidP="0051459E">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 </w:t>
      </w:r>
      <w:r w:rsidR="00E03248" w:rsidRPr="008E48C7">
        <w:rPr>
          <w:rFonts w:ascii="Arial" w:hAnsi="Arial" w:cs="Arial"/>
          <w:lang w:val="en-GB"/>
        </w:rPr>
        <w:t xml:space="preserve">The plaintiff </w:t>
      </w:r>
      <w:r w:rsidR="006E5F9F">
        <w:rPr>
          <w:rFonts w:ascii="Arial" w:hAnsi="Arial" w:cs="Arial"/>
          <w:lang w:val="en-GB"/>
        </w:rPr>
        <w:t xml:space="preserve"> dealt with the new plea by filing</w:t>
      </w:r>
      <w:r w:rsidR="00E03248" w:rsidRPr="008E48C7">
        <w:rPr>
          <w:rFonts w:ascii="Arial" w:hAnsi="Arial" w:cs="Arial"/>
          <w:lang w:val="en-GB"/>
        </w:rPr>
        <w:t xml:space="preserve"> </w:t>
      </w:r>
      <w:r w:rsidR="00720773">
        <w:rPr>
          <w:rFonts w:ascii="Arial" w:hAnsi="Arial" w:cs="Arial"/>
          <w:lang w:val="en-GB"/>
        </w:rPr>
        <w:t>the</w:t>
      </w:r>
      <w:r w:rsidR="00E03248" w:rsidRPr="008E48C7">
        <w:rPr>
          <w:rFonts w:ascii="Arial" w:hAnsi="Arial" w:cs="Arial"/>
          <w:lang w:val="en-GB"/>
        </w:rPr>
        <w:t xml:space="preserve"> supplementary affidavit</w:t>
      </w:r>
      <w:r w:rsidR="00720773">
        <w:rPr>
          <w:rFonts w:ascii="Arial" w:hAnsi="Arial" w:cs="Arial"/>
          <w:lang w:val="en-GB"/>
        </w:rPr>
        <w:t xml:space="preserve"> in issue</w:t>
      </w:r>
      <w:r w:rsidR="00E03248" w:rsidRPr="008E48C7">
        <w:rPr>
          <w:rFonts w:ascii="Arial" w:hAnsi="Arial" w:cs="Arial"/>
          <w:lang w:val="en-GB"/>
        </w:rPr>
        <w:t xml:space="preserve">. </w:t>
      </w:r>
    </w:p>
    <w:p w:rsidR="00E213B9" w:rsidRPr="00E213B9" w:rsidRDefault="00E213B9" w:rsidP="00E213B9">
      <w:pPr>
        <w:pStyle w:val="ListParagraph"/>
        <w:rPr>
          <w:rFonts w:ascii="Arial" w:hAnsi="Arial" w:cs="Arial"/>
          <w:lang w:val="en-GB"/>
        </w:rPr>
      </w:pPr>
    </w:p>
    <w:p w:rsidR="00E213B9" w:rsidRPr="005F5708" w:rsidRDefault="00E213B9" w:rsidP="00E213B9">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 xml:space="preserve">Mr White argues on behalf of the defendants that </w:t>
      </w:r>
      <w:r w:rsidR="00DC7687">
        <w:rPr>
          <w:rFonts w:ascii="Arial" w:hAnsi="Arial" w:cs="Arial"/>
          <w:lang w:val="en-GB"/>
        </w:rPr>
        <w:t>rules 32(2) and (4)</w:t>
      </w:r>
      <w:r w:rsidR="0051459E">
        <w:rPr>
          <w:rFonts w:ascii="Arial" w:hAnsi="Arial" w:cs="Arial"/>
          <w:lang w:val="en-GB"/>
        </w:rPr>
        <w:t>,</w:t>
      </w:r>
      <w:r>
        <w:rPr>
          <w:rFonts w:ascii="Arial" w:hAnsi="Arial" w:cs="Arial"/>
          <w:lang w:val="en-GB"/>
        </w:rPr>
        <w:t xml:space="preserve"> properly construed</w:t>
      </w:r>
      <w:r w:rsidR="0057564F">
        <w:rPr>
          <w:rFonts w:ascii="Arial" w:hAnsi="Arial" w:cs="Arial"/>
          <w:lang w:val="en-GB"/>
        </w:rPr>
        <w:t>,</w:t>
      </w:r>
      <w:r>
        <w:rPr>
          <w:rFonts w:ascii="Arial" w:hAnsi="Arial" w:cs="Arial"/>
          <w:lang w:val="en-GB"/>
        </w:rPr>
        <w:t xml:space="preserve"> prohibit the filing of a supplementary affidavit. Mr </w:t>
      </w:r>
      <w:r w:rsidR="0051459E">
        <w:rPr>
          <w:rFonts w:ascii="Arial" w:hAnsi="Arial" w:cs="Arial"/>
          <w:lang w:val="en-GB"/>
        </w:rPr>
        <w:t>Hollander for</w:t>
      </w:r>
      <w:r w:rsidR="00334CFA">
        <w:rPr>
          <w:rFonts w:ascii="Arial" w:hAnsi="Arial" w:cs="Arial"/>
          <w:lang w:val="en-GB"/>
        </w:rPr>
        <w:t xml:space="preserve"> the plaintiff </w:t>
      </w:r>
      <w:r>
        <w:rPr>
          <w:rFonts w:ascii="Arial" w:hAnsi="Arial" w:cs="Arial"/>
          <w:lang w:val="en-GB"/>
        </w:rPr>
        <w:t>argues that</w:t>
      </w:r>
      <w:r w:rsidR="00334CFA">
        <w:rPr>
          <w:rFonts w:ascii="Arial" w:hAnsi="Arial" w:cs="Arial"/>
          <w:lang w:val="en-GB"/>
        </w:rPr>
        <w:t>,</w:t>
      </w:r>
      <w:r>
        <w:rPr>
          <w:rFonts w:ascii="Arial" w:hAnsi="Arial" w:cs="Arial"/>
          <w:lang w:val="en-GB"/>
        </w:rPr>
        <w:t xml:space="preserve"> in light of the fact that the</w:t>
      </w:r>
      <w:r w:rsidR="0057564F">
        <w:rPr>
          <w:rFonts w:ascii="Arial" w:hAnsi="Arial" w:cs="Arial"/>
          <w:lang w:val="en-GB"/>
        </w:rPr>
        <w:t xml:space="preserve"> plea is now different</w:t>
      </w:r>
      <w:r>
        <w:rPr>
          <w:rFonts w:ascii="Arial" w:hAnsi="Arial" w:cs="Arial"/>
          <w:lang w:val="en-GB"/>
        </w:rPr>
        <w:t xml:space="preserve">, a further engagement with the plea is indicated and is not precluded by subrule (4). Mr White </w:t>
      </w:r>
      <w:r w:rsidR="00334CFA">
        <w:rPr>
          <w:rFonts w:ascii="Arial" w:hAnsi="Arial" w:cs="Arial"/>
          <w:lang w:val="en-GB"/>
        </w:rPr>
        <w:t xml:space="preserve"> agrees that the application for summary judgment cannot be proceeded with </w:t>
      </w:r>
      <w:r w:rsidR="009C2E47">
        <w:rPr>
          <w:rFonts w:ascii="Arial" w:hAnsi="Arial" w:cs="Arial"/>
          <w:lang w:val="en-GB"/>
        </w:rPr>
        <w:t>in the circumstances of the amendment of the plea</w:t>
      </w:r>
      <w:r w:rsidR="00626853">
        <w:rPr>
          <w:rFonts w:ascii="Arial" w:hAnsi="Arial" w:cs="Arial"/>
          <w:lang w:val="en-GB"/>
        </w:rPr>
        <w:t xml:space="preserve"> with the founding affidavit </w:t>
      </w:r>
      <w:r w:rsidR="00DC7687">
        <w:rPr>
          <w:rFonts w:ascii="Arial" w:hAnsi="Arial" w:cs="Arial"/>
          <w:lang w:val="en-GB"/>
        </w:rPr>
        <w:t>as is</w:t>
      </w:r>
      <w:r w:rsidR="009C2E47">
        <w:rPr>
          <w:rFonts w:ascii="Arial" w:hAnsi="Arial" w:cs="Arial"/>
          <w:lang w:val="en-GB"/>
        </w:rPr>
        <w:t xml:space="preserve">. He </w:t>
      </w:r>
      <w:r>
        <w:rPr>
          <w:rFonts w:ascii="Arial" w:hAnsi="Arial" w:cs="Arial"/>
          <w:lang w:val="en-GB"/>
        </w:rPr>
        <w:t xml:space="preserve">argues that a fresh </w:t>
      </w:r>
      <w:r>
        <w:rPr>
          <w:rFonts w:ascii="Arial" w:hAnsi="Arial" w:cs="Arial"/>
          <w:lang w:val="en-GB"/>
        </w:rPr>
        <w:lastRenderedPageBreak/>
        <w:t>application for summary judgment must be brought. He relies in this</w:t>
      </w:r>
      <w:r w:rsidR="0057564F">
        <w:rPr>
          <w:rFonts w:ascii="Arial" w:hAnsi="Arial" w:cs="Arial"/>
          <w:lang w:val="en-GB"/>
        </w:rPr>
        <w:t xml:space="preserve"> latter</w:t>
      </w:r>
      <w:r>
        <w:rPr>
          <w:rFonts w:ascii="Arial" w:hAnsi="Arial" w:cs="Arial"/>
          <w:lang w:val="en-GB"/>
        </w:rPr>
        <w:t xml:space="preserve"> regard on the judgment of </w:t>
      </w:r>
      <w:r w:rsidRPr="00657B6D">
        <w:rPr>
          <w:rFonts w:ascii="Arial" w:hAnsi="Arial" w:cs="Arial"/>
          <w:i/>
          <w:lang w:val="en-GB"/>
        </w:rPr>
        <w:t>Belrex 95 cc v Barday</w:t>
      </w:r>
      <w:r w:rsidR="007A4AAE">
        <w:rPr>
          <w:rFonts w:ascii="Arial" w:hAnsi="Arial" w:cs="Arial"/>
          <w:i/>
          <w:lang w:val="en-GB"/>
        </w:rPr>
        <w:t>.</w:t>
      </w:r>
      <w:r>
        <w:rPr>
          <w:rStyle w:val="FootnoteReference"/>
          <w:rFonts w:ascii="Arial" w:hAnsi="Arial" w:cs="Arial"/>
          <w:i/>
          <w:lang w:val="en-GB"/>
        </w:rPr>
        <w:footnoteReference w:id="1"/>
      </w:r>
      <w:r w:rsidRPr="00657B6D">
        <w:rPr>
          <w:rFonts w:ascii="Arial" w:hAnsi="Arial" w:cs="Arial"/>
          <w:i/>
          <w:lang w:val="en-GB"/>
        </w:rPr>
        <w:t xml:space="preserve"> </w:t>
      </w:r>
    </w:p>
    <w:p w:rsidR="00E213B9" w:rsidRDefault="00E213B9" w:rsidP="00334CFA">
      <w:pPr>
        <w:pStyle w:val="ListParagraph"/>
        <w:spacing w:line="360" w:lineRule="auto"/>
        <w:ind w:left="0"/>
        <w:jc w:val="both"/>
        <w:rPr>
          <w:rFonts w:ascii="Arial" w:hAnsi="Arial" w:cs="Arial"/>
          <w:lang w:val="en-GB"/>
        </w:rPr>
      </w:pPr>
    </w:p>
    <w:p w:rsidR="009C2E47" w:rsidRPr="00E213B9" w:rsidRDefault="009C2E47" w:rsidP="00334CFA">
      <w:pPr>
        <w:pStyle w:val="ListParagraph"/>
        <w:spacing w:line="360" w:lineRule="auto"/>
        <w:ind w:left="0"/>
        <w:jc w:val="both"/>
        <w:rPr>
          <w:rFonts w:ascii="Arial" w:hAnsi="Arial" w:cs="Arial"/>
          <w:lang w:val="en-GB"/>
        </w:rPr>
      </w:pPr>
    </w:p>
    <w:p w:rsidR="00627B02" w:rsidRPr="00627B02" w:rsidRDefault="00627B02" w:rsidP="00627B02">
      <w:pPr>
        <w:pStyle w:val="ListParagraph"/>
        <w:rPr>
          <w:rFonts w:ascii="Arial" w:hAnsi="Arial" w:cs="Arial"/>
          <w:lang w:val="en-GB"/>
        </w:rPr>
      </w:pPr>
    </w:p>
    <w:p w:rsidR="009C2E47" w:rsidRDefault="009C2E47" w:rsidP="009C2E47">
      <w:pPr>
        <w:pStyle w:val="ListParagraph"/>
        <w:spacing w:line="360" w:lineRule="auto"/>
        <w:ind w:left="0"/>
        <w:jc w:val="both"/>
        <w:rPr>
          <w:rFonts w:ascii="Arial" w:hAnsi="Arial" w:cs="Arial"/>
          <w:b/>
          <w:lang w:val="en-GB"/>
        </w:rPr>
      </w:pPr>
      <w:r>
        <w:rPr>
          <w:rFonts w:ascii="Arial" w:hAnsi="Arial" w:cs="Arial"/>
          <w:b/>
          <w:lang w:val="en-GB"/>
        </w:rPr>
        <w:t>D</w:t>
      </w:r>
      <w:r w:rsidRPr="009C2E47">
        <w:rPr>
          <w:rFonts w:ascii="Arial" w:hAnsi="Arial" w:cs="Arial"/>
          <w:b/>
          <w:lang w:val="en-GB"/>
        </w:rPr>
        <w:t>iscussion</w:t>
      </w:r>
    </w:p>
    <w:p w:rsidR="00DC7687" w:rsidRPr="009C2E47" w:rsidRDefault="00DC7687" w:rsidP="009C2E47">
      <w:pPr>
        <w:pStyle w:val="ListParagraph"/>
        <w:spacing w:line="360" w:lineRule="auto"/>
        <w:ind w:left="0"/>
        <w:jc w:val="both"/>
        <w:rPr>
          <w:rFonts w:ascii="Arial" w:hAnsi="Arial" w:cs="Arial"/>
          <w:b/>
          <w:lang w:val="en-GB"/>
        </w:rPr>
      </w:pPr>
    </w:p>
    <w:p w:rsidR="00E03248" w:rsidRPr="008E48C7" w:rsidRDefault="00E03248" w:rsidP="008E48C7">
      <w:pPr>
        <w:pStyle w:val="ListParagraph"/>
        <w:numPr>
          <w:ilvl w:val="0"/>
          <w:numId w:val="2"/>
        </w:numPr>
        <w:spacing w:line="360" w:lineRule="auto"/>
        <w:ind w:left="0" w:firstLine="0"/>
        <w:jc w:val="both"/>
        <w:rPr>
          <w:rFonts w:ascii="Arial" w:hAnsi="Arial" w:cs="Arial"/>
          <w:lang w:val="en-GB"/>
        </w:rPr>
      </w:pPr>
      <w:r w:rsidRPr="008E48C7">
        <w:rPr>
          <w:rFonts w:ascii="Arial" w:hAnsi="Arial" w:cs="Arial"/>
          <w:lang w:val="en-GB"/>
        </w:rPr>
        <w:t>Rule 32(4) reads as follows in relevant part:</w:t>
      </w:r>
    </w:p>
    <w:p w:rsidR="00E03248" w:rsidRDefault="00E03248" w:rsidP="00E03248">
      <w:pPr>
        <w:spacing w:line="360" w:lineRule="auto"/>
        <w:jc w:val="both"/>
        <w:rPr>
          <w:rFonts w:ascii="Arial" w:hAnsi="Arial" w:cs="Arial"/>
          <w:sz w:val="22"/>
          <w:szCs w:val="22"/>
          <w:lang w:val="en-GB"/>
        </w:rPr>
      </w:pPr>
      <w:r>
        <w:rPr>
          <w:rFonts w:ascii="Arial" w:hAnsi="Arial" w:cs="Arial"/>
          <w:sz w:val="22"/>
          <w:szCs w:val="22"/>
          <w:lang w:val="en-GB"/>
        </w:rPr>
        <w:t>‘No evidence may be adduced by the plaintiff otherwise than by the affidavit referred to in subrule (2) …’</w:t>
      </w:r>
    </w:p>
    <w:p w:rsidR="00E03248" w:rsidRDefault="00E03248" w:rsidP="00E03248">
      <w:pPr>
        <w:pStyle w:val="ListParagraph"/>
        <w:rPr>
          <w:rFonts w:ascii="Arial" w:hAnsi="Arial" w:cs="Arial"/>
          <w:lang w:val="en-GB"/>
        </w:rPr>
      </w:pPr>
    </w:p>
    <w:p w:rsidR="00E03248"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Subrule (2) reads as follows</w:t>
      </w:r>
      <w:r w:rsidR="00A02499">
        <w:rPr>
          <w:rFonts w:ascii="Arial" w:hAnsi="Arial" w:cs="Arial"/>
          <w:lang w:val="en-GB"/>
        </w:rPr>
        <w:t xml:space="preserve"> in relevant part</w:t>
      </w:r>
      <w:r>
        <w:rPr>
          <w:rFonts w:ascii="Arial" w:hAnsi="Arial" w:cs="Arial"/>
          <w:lang w:val="en-GB"/>
        </w:rPr>
        <w:t>:</w:t>
      </w:r>
    </w:p>
    <w:p w:rsidR="00E03248" w:rsidRDefault="00E03248" w:rsidP="00E03248">
      <w:pPr>
        <w:pStyle w:val="ListParagraph"/>
        <w:spacing w:line="360" w:lineRule="auto"/>
        <w:ind w:left="0"/>
        <w:jc w:val="both"/>
        <w:rPr>
          <w:rFonts w:ascii="Arial" w:hAnsi="Arial" w:cs="Arial"/>
          <w:lang w:val="en-GB"/>
        </w:rPr>
      </w:pPr>
    </w:p>
    <w:p w:rsidR="00E03248" w:rsidRPr="00A13774" w:rsidRDefault="00A13774" w:rsidP="00E03248">
      <w:pPr>
        <w:spacing w:line="360" w:lineRule="auto"/>
        <w:jc w:val="both"/>
        <w:rPr>
          <w:rFonts w:ascii="Arial" w:hAnsi="Arial" w:cs="Arial"/>
          <w:sz w:val="22"/>
          <w:szCs w:val="22"/>
          <w:lang w:val="en-GB"/>
        </w:rPr>
      </w:pPr>
      <w:r>
        <w:rPr>
          <w:rFonts w:ascii="Arial" w:hAnsi="Arial" w:cs="Arial"/>
          <w:sz w:val="22"/>
          <w:szCs w:val="22"/>
          <w:lang w:val="en-GB"/>
        </w:rPr>
        <w:t>‘</w:t>
      </w:r>
      <w:r w:rsidR="00580BDE">
        <w:rPr>
          <w:rFonts w:ascii="Arial" w:hAnsi="Arial" w:cs="Arial"/>
          <w:sz w:val="22"/>
          <w:szCs w:val="22"/>
          <w:lang w:val="en-GB"/>
        </w:rPr>
        <w:t xml:space="preserve">(2)(a) </w:t>
      </w:r>
      <w:r w:rsidR="00657B6D">
        <w:rPr>
          <w:rFonts w:ascii="Arial" w:hAnsi="Arial" w:cs="Arial"/>
          <w:sz w:val="22"/>
          <w:szCs w:val="22"/>
          <w:lang w:val="en-GB"/>
        </w:rPr>
        <w:t>within</w:t>
      </w:r>
      <w:r w:rsidR="00E03248" w:rsidRPr="00A13774">
        <w:rPr>
          <w:rFonts w:ascii="Arial" w:hAnsi="Arial" w:cs="Arial"/>
          <w:sz w:val="22"/>
          <w:szCs w:val="22"/>
          <w:lang w:val="en-GB"/>
        </w:rPr>
        <w:t xml:space="preserve"> 15 days after the date of delivery of the plea, the plaintiff shall deliver a no</w:t>
      </w:r>
      <w:r w:rsidR="00657B6D">
        <w:rPr>
          <w:rFonts w:ascii="Arial" w:hAnsi="Arial" w:cs="Arial"/>
          <w:sz w:val="22"/>
          <w:szCs w:val="22"/>
          <w:lang w:val="en-GB"/>
        </w:rPr>
        <w:t>tice of application for summary</w:t>
      </w:r>
      <w:r w:rsidR="00E03248" w:rsidRPr="00A13774">
        <w:rPr>
          <w:rFonts w:ascii="Arial" w:hAnsi="Arial" w:cs="Arial"/>
          <w:sz w:val="22"/>
          <w:szCs w:val="22"/>
          <w:lang w:val="en-GB"/>
        </w:rPr>
        <w:t xml:space="preserve"> </w:t>
      </w:r>
      <w:r w:rsidR="00657B6D">
        <w:rPr>
          <w:rFonts w:ascii="Arial" w:hAnsi="Arial" w:cs="Arial"/>
          <w:sz w:val="22"/>
          <w:szCs w:val="22"/>
          <w:lang w:val="en-GB"/>
        </w:rPr>
        <w:t>j</w:t>
      </w:r>
      <w:r w:rsidR="00E03248" w:rsidRPr="00A13774">
        <w:rPr>
          <w:rFonts w:ascii="Arial" w:hAnsi="Arial" w:cs="Arial"/>
          <w:sz w:val="22"/>
          <w:szCs w:val="22"/>
          <w:lang w:val="en-GB"/>
        </w:rPr>
        <w:t>udgment, together with an affidavit made by the plaintiff or by any other person who can swear positively to the facts.</w:t>
      </w:r>
    </w:p>
    <w:p w:rsidR="00A02499" w:rsidRDefault="00E03248" w:rsidP="00E03248">
      <w:pPr>
        <w:spacing w:line="360" w:lineRule="auto"/>
        <w:jc w:val="both"/>
        <w:rPr>
          <w:rFonts w:ascii="Arial" w:hAnsi="Arial" w:cs="Arial"/>
          <w:sz w:val="22"/>
          <w:szCs w:val="22"/>
          <w:lang w:val="en-GB"/>
        </w:rPr>
      </w:pPr>
      <w:r w:rsidRPr="00A13774">
        <w:rPr>
          <w:rFonts w:ascii="Arial" w:hAnsi="Arial" w:cs="Arial"/>
          <w:sz w:val="22"/>
          <w:szCs w:val="22"/>
          <w:lang w:val="en-GB"/>
        </w:rPr>
        <w:t>(b) The plaintiff shall, in the affidavit referred to in subrule (2)(a), verify the cause of</w:t>
      </w:r>
      <w:r w:rsidR="00657B6D">
        <w:rPr>
          <w:rFonts w:ascii="Arial" w:hAnsi="Arial" w:cs="Arial"/>
          <w:sz w:val="22"/>
          <w:szCs w:val="22"/>
          <w:lang w:val="en-GB"/>
        </w:rPr>
        <w:t xml:space="preserve"> </w:t>
      </w:r>
      <w:r w:rsidRPr="00A13774">
        <w:rPr>
          <w:rFonts w:ascii="Arial" w:hAnsi="Arial" w:cs="Arial"/>
          <w:sz w:val="22"/>
          <w:szCs w:val="22"/>
          <w:lang w:val="en-GB"/>
        </w:rPr>
        <w:t>action and the amount, if any, claimed, and identify any point of law relied upon and the facts upon which the plaintiffs claim is based, and explain briefly why the defence as pleaded does not raise any issue for trial.</w:t>
      </w:r>
    </w:p>
    <w:p w:rsidR="00A02499" w:rsidRDefault="00E03248" w:rsidP="00E03248">
      <w:pPr>
        <w:spacing w:line="360" w:lineRule="auto"/>
        <w:jc w:val="both"/>
        <w:rPr>
          <w:rFonts w:ascii="Arial" w:hAnsi="Arial" w:cs="Arial"/>
          <w:sz w:val="22"/>
          <w:szCs w:val="22"/>
          <w:lang w:val="en-GB"/>
        </w:rPr>
      </w:pPr>
      <w:r w:rsidRPr="00A13774">
        <w:rPr>
          <w:rFonts w:ascii="Arial" w:hAnsi="Arial" w:cs="Arial"/>
          <w:sz w:val="22"/>
          <w:szCs w:val="22"/>
          <w:lang w:val="en-GB"/>
        </w:rPr>
        <w:t xml:space="preserve"> (c) </w:t>
      </w:r>
      <w:r w:rsidR="00A02499">
        <w:rPr>
          <w:rFonts w:ascii="Arial" w:hAnsi="Arial" w:cs="Arial"/>
          <w:sz w:val="22"/>
          <w:szCs w:val="22"/>
          <w:lang w:val="en-GB"/>
        </w:rPr>
        <w:t>…’</w:t>
      </w:r>
    </w:p>
    <w:p w:rsidR="00EF45D2" w:rsidRDefault="00EF45D2" w:rsidP="00EF45D2">
      <w:pPr>
        <w:pStyle w:val="ListParagraph"/>
        <w:spacing w:line="360" w:lineRule="auto"/>
        <w:ind w:left="0"/>
        <w:jc w:val="both"/>
        <w:rPr>
          <w:rFonts w:ascii="Arial" w:hAnsi="Arial" w:cs="Arial"/>
          <w:lang w:val="en-GB"/>
        </w:rPr>
      </w:pPr>
    </w:p>
    <w:p w:rsidR="003B4D7F" w:rsidRDefault="00952E19" w:rsidP="003B4D7F">
      <w:pPr>
        <w:pStyle w:val="ListParagraph"/>
        <w:numPr>
          <w:ilvl w:val="0"/>
          <w:numId w:val="2"/>
        </w:numPr>
        <w:spacing w:line="360" w:lineRule="auto"/>
        <w:ind w:left="0" w:firstLine="0"/>
        <w:jc w:val="both"/>
        <w:rPr>
          <w:rFonts w:ascii="Arial" w:hAnsi="Arial" w:cs="Arial"/>
          <w:lang w:val="en-GB"/>
        </w:rPr>
      </w:pPr>
      <w:r w:rsidRPr="00EF45D2">
        <w:rPr>
          <w:rFonts w:ascii="Arial" w:hAnsi="Arial" w:cs="Arial"/>
          <w:lang w:val="en-GB"/>
        </w:rPr>
        <w:t xml:space="preserve">In </w:t>
      </w:r>
      <w:r w:rsidR="00AD75AD" w:rsidRPr="00EF45D2">
        <w:rPr>
          <w:rFonts w:ascii="Arial" w:hAnsi="Arial" w:cs="Arial"/>
          <w:i/>
          <w:lang w:val="en-GB"/>
        </w:rPr>
        <w:t>Belrex</w:t>
      </w:r>
      <w:r w:rsidR="007A4AAE">
        <w:rPr>
          <w:rFonts w:ascii="Arial" w:hAnsi="Arial" w:cs="Arial"/>
          <w:i/>
          <w:lang w:val="en-GB"/>
        </w:rPr>
        <w:t>,</w:t>
      </w:r>
      <w:r w:rsidR="006E5F9F">
        <w:rPr>
          <w:rFonts w:ascii="Arial" w:hAnsi="Arial" w:cs="Arial"/>
          <w:lang w:val="en-GB"/>
        </w:rPr>
        <w:t xml:space="preserve"> the court</w:t>
      </w:r>
      <w:r w:rsidR="00AD75AD" w:rsidRPr="00EF45D2">
        <w:rPr>
          <w:rFonts w:ascii="Arial" w:hAnsi="Arial" w:cs="Arial"/>
          <w:lang w:val="en-GB"/>
        </w:rPr>
        <w:t xml:space="preserve"> </w:t>
      </w:r>
      <w:r w:rsidR="007F504B" w:rsidRPr="00EF45D2">
        <w:rPr>
          <w:rFonts w:ascii="Arial" w:hAnsi="Arial" w:cs="Arial"/>
          <w:lang w:val="en-GB"/>
        </w:rPr>
        <w:t xml:space="preserve">dealt with the question of whether a defendant was precluded </w:t>
      </w:r>
      <w:r w:rsidR="009A24C7" w:rsidRPr="00EF45D2">
        <w:rPr>
          <w:rFonts w:ascii="Arial" w:hAnsi="Arial" w:cs="Arial"/>
          <w:lang w:val="en-GB"/>
        </w:rPr>
        <w:t xml:space="preserve">from amending its pleading </w:t>
      </w:r>
      <w:r w:rsidR="00EB46B8" w:rsidRPr="00EF45D2">
        <w:rPr>
          <w:rFonts w:ascii="Arial" w:hAnsi="Arial" w:cs="Arial"/>
          <w:lang w:val="en-GB"/>
        </w:rPr>
        <w:t>after the delivery of an application for summary judgment and</w:t>
      </w:r>
      <w:r w:rsidR="007A4AAE">
        <w:rPr>
          <w:rFonts w:ascii="Arial" w:hAnsi="Arial" w:cs="Arial"/>
          <w:lang w:val="en-GB"/>
        </w:rPr>
        <w:t xml:space="preserve">, </w:t>
      </w:r>
      <w:r w:rsidR="00EB46B8" w:rsidRPr="00EF45D2">
        <w:rPr>
          <w:rFonts w:ascii="Arial" w:hAnsi="Arial" w:cs="Arial"/>
          <w:lang w:val="en-GB"/>
        </w:rPr>
        <w:t>correctly</w:t>
      </w:r>
      <w:r w:rsidR="007A4AAE">
        <w:rPr>
          <w:rFonts w:ascii="Arial" w:hAnsi="Arial" w:cs="Arial"/>
          <w:lang w:val="en-GB"/>
        </w:rPr>
        <w:t>,</w:t>
      </w:r>
      <w:r w:rsidR="00EB46B8" w:rsidRPr="00EF45D2">
        <w:rPr>
          <w:rFonts w:ascii="Arial" w:hAnsi="Arial" w:cs="Arial"/>
          <w:lang w:val="en-GB"/>
        </w:rPr>
        <w:t xml:space="preserve"> found that rule 32 </w:t>
      </w:r>
      <w:r w:rsidR="006F26DE" w:rsidRPr="00EF45D2">
        <w:rPr>
          <w:rFonts w:ascii="Arial" w:hAnsi="Arial" w:cs="Arial"/>
          <w:lang w:val="en-GB"/>
        </w:rPr>
        <w:t>could not be read to</w:t>
      </w:r>
      <w:r w:rsidR="00EB46B8" w:rsidRPr="00EF45D2">
        <w:rPr>
          <w:rFonts w:ascii="Arial" w:hAnsi="Arial" w:cs="Arial"/>
          <w:lang w:val="en-GB"/>
        </w:rPr>
        <w:t xml:space="preserve"> preclude the amendment of the plea mid-summary judgment proceedings</w:t>
      </w:r>
      <w:r w:rsidR="00F20A36" w:rsidRPr="00EF45D2">
        <w:rPr>
          <w:rFonts w:ascii="Arial" w:hAnsi="Arial" w:cs="Arial"/>
          <w:lang w:val="en-GB"/>
        </w:rPr>
        <w:t>.</w:t>
      </w:r>
      <w:r w:rsidR="006F26DE">
        <w:rPr>
          <w:rStyle w:val="FootnoteReference"/>
          <w:rFonts w:ascii="Arial" w:hAnsi="Arial" w:cs="Arial"/>
          <w:lang w:val="en-GB"/>
        </w:rPr>
        <w:footnoteReference w:id="2"/>
      </w:r>
      <w:r w:rsidR="00EB46B8" w:rsidRPr="00EF45D2">
        <w:rPr>
          <w:rFonts w:ascii="Arial" w:hAnsi="Arial" w:cs="Arial"/>
          <w:lang w:val="en-GB"/>
        </w:rPr>
        <w:t xml:space="preserve"> </w:t>
      </w:r>
    </w:p>
    <w:p w:rsidR="00DC7687" w:rsidRPr="003B4D7F" w:rsidRDefault="00DC7687" w:rsidP="00DC7687">
      <w:pPr>
        <w:pStyle w:val="ListParagraph"/>
        <w:spacing w:line="360" w:lineRule="auto"/>
        <w:ind w:left="0"/>
        <w:jc w:val="both"/>
        <w:rPr>
          <w:rFonts w:ascii="Arial" w:hAnsi="Arial" w:cs="Arial"/>
          <w:lang w:val="en-GB"/>
        </w:rPr>
      </w:pPr>
    </w:p>
    <w:p w:rsidR="005F5708" w:rsidRDefault="00F20A36" w:rsidP="00F11421">
      <w:pPr>
        <w:pStyle w:val="ListParagraph"/>
        <w:numPr>
          <w:ilvl w:val="0"/>
          <w:numId w:val="2"/>
        </w:numPr>
        <w:spacing w:line="360" w:lineRule="auto"/>
        <w:ind w:left="0" w:firstLine="0"/>
        <w:jc w:val="both"/>
        <w:rPr>
          <w:rFonts w:ascii="Arial" w:hAnsi="Arial" w:cs="Arial"/>
          <w:lang w:val="en-GB"/>
        </w:rPr>
      </w:pPr>
      <w:r w:rsidRPr="00F11421">
        <w:rPr>
          <w:rFonts w:ascii="Arial" w:hAnsi="Arial" w:cs="Arial"/>
          <w:lang w:val="en-GB"/>
        </w:rPr>
        <w:t xml:space="preserve">Having found this, the </w:t>
      </w:r>
      <w:r w:rsidR="00AF2D45">
        <w:rPr>
          <w:rFonts w:ascii="Arial" w:hAnsi="Arial" w:cs="Arial"/>
          <w:lang w:val="en-GB"/>
        </w:rPr>
        <w:t>Court</w:t>
      </w:r>
      <w:r w:rsidRPr="00F11421">
        <w:rPr>
          <w:rFonts w:ascii="Arial" w:hAnsi="Arial" w:cs="Arial"/>
          <w:lang w:val="en-GB"/>
        </w:rPr>
        <w:t xml:space="preserve"> was confronted by the same argument which </w:t>
      </w:r>
      <w:r w:rsidR="003B4D7F">
        <w:rPr>
          <w:rFonts w:ascii="Arial" w:hAnsi="Arial" w:cs="Arial"/>
          <w:lang w:val="en-GB"/>
        </w:rPr>
        <w:t xml:space="preserve">now </w:t>
      </w:r>
      <w:r w:rsidRPr="00F11421">
        <w:rPr>
          <w:rFonts w:ascii="Arial" w:hAnsi="Arial" w:cs="Arial"/>
          <w:lang w:val="en-GB"/>
        </w:rPr>
        <w:t xml:space="preserve">confronts this </w:t>
      </w:r>
      <w:r w:rsidR="00840A7E">
        <w:rPr>
          <w:rFonts w:ascii="Arial" w:hAnsi="Arial" w:cs="Arial"/>
          <w:lang w:val="en-GB"/>
        </w:rPr>
        <w:t>C</w:t>
      </w:r>
      <w:r w:rsidRPr="00F11421">
        <w:rPr>
          <w:rFonts w:ascii="Arial" w:hAnsi="Arial" w:cs="Arial"/>
          <w:lang w:val="en-GB"/>
        </w:rPr>
        <w:t xml:space="preserve">ourt – being that rule </w:t>
      </w:r>
      <w:r w:rsidR="00270302" w:rsidRPr="00F11421">
        <w:rPr>
          <w:rFonts w:ascii="Arial" w:hAnsi="Arial" w:cs="Arial"/>
          <w:lang w:val="en-GB"/>
        </w:rPr>
        <w:t xml:space="preserve">32(4) </w:t>
      </w:r>
      <w:r w:rsidR="00E7326C" w:rsidRPr="00F11421">
        <w:rPr>
          <w:rFonts w:ascii="Arial" w:hAnsi="Arial" w:cs="Arial"/>
          <w:lang w:val="en-GB"/>
        </w:rPr>
        <w:t xml:space="preserve">on the face of the </w:t>
      </w:r>
      <w:r w:rsidR="00117630" w:rsidRPr="00F11421">
        <w:rPr>
          <w:rFonts w:ascii="Arial" w:hAnsi="Arial" w:cs="Arial"/>
          <w:lang w:val="en-GB"/>
        </w:rPr>
        <w:t xml:space="preserve">prohibitive </w:t>
      </w:r>
      <w:r w:rsidR="003D76E7" w:rsidRPr="00F11421">
        <w:rPr>
          <w:rFonts w:ascii="Arial" w:hAnsi="Arial" w:cs="Arial"/>
          <w:lang w:val="en-GB"/>
        </w:rPr>
        <w:t xml:space="preserve">language </w:t>
      </w:r>
      <w:r w:rsidR="003D76E7">
        <w:rPr>
          <w:rFonts w:ascii="Arial" w:hAnsi="Arial" w:cs="Arial"/>
          <w:lang w:val="en-GB"/>
        </w:rPr>
        <w:t>used</w:t>
      </w:r>
      <w:r w:rsidR="00ED1F7E">
        <w:rPr>
          <w:rFonts w:ascii="Arial" w:hAnsi="Arial" w:cs="Arial"/>
          <w:lang w:val="en-GB"/>
        </w:rPr>
        <w:t xml:space="preserve"> therein </w:t>
      </w:r>
      <w:r w:rsidR="00E7326C" w:rsidRPr="00F11421">
        <w:rPr>
          <w:rFonts w:ascii="Arial" w:hAnsi="Arial" w:cs="Arial"/>
          <w:lang w:val="en-GB"/>
        </w:rPr>
        <w:t xml:space="preserve">precludes the tendering of evidence other than in the </w:t>
      </w:r>
      <w:r w:rsidR="00654BDF" w:rsidRPr="00F11421">
        <w:rPr>
          <w:rFonts w:ascii="Arial" w:hAnsi="Arial" w:cs="Arial"/>
          <w:lang w:val="en-GB"/>
        </w:rPr>
        <w:t xml:space="preserve">founding affidavit.  </w:t>
      </w:r>
      <w:r w:rsidR="00AF2D45">
        <w:rPr>
          <w:rFonts w:ascii="Arial" w:hAnsi="Arial" w:cs="Arial"/>
          <w:lang w:val="en-GB"/>
        </w:rPr>
        <w:t>The Court agreed with this interpretation which le</w:t>
      </w:r>
      <w:r w:rsidR="00655F19">
        <w:rPr>
          <w:rFonts w:ascii="Arial" w:hAnsi="Arial" w:cs="Arial"/>
          <w:lang w:val="en-GB"/>
        </w:rPr>
        <w:t xml:space="preserve">d it </w:t>
      </w:r>
      <w:r w:rsidR="00654BDF" w:rsidRPr="00F11421">
        <w:rPr>
          <w:rFonts w:ascii="Arial" w:hAnsi="Arial" w:cs="Arial"/>
          <w:lang w:val="en-GB"/>
        </w:rPr>
        <w:t xml:space="preserve">to the conclusion that the only way for the process to move forward was for a fresh summary judgment application to be brought </w:t>
      </w:r>
      <w:r w:rsidR="00117630" w:rsidRPr="00F11421">
        <w:rPr>
          <w:rFonts w:ascii="Arial" w:hAnsi="Arial" w:cs="Arial"/>
          <w:lang w:val="en-GB"/>
        </w:rPr>
        <w:t>in accordance with the plea as amended.</w:t>
      </w:r>
    </w:p>
    <w:p w:rsidR="00F11421" w:rsidRDefault="00117630" w:rsidP="00F11421">
      <w:pPr>
        <w:pStyle w:val="ListParagraph"/>
        <w:numPr>
          <w:ilvl w:val="0"/>
          <w:numId w:val="2"/>
        </w:numPr>
        <w:spacing w:line="360" w:lineRule="auto"/>
        <w:ind w:left="0" w:firstLine="0"/>
        <w:jc w:val="both"/>
        <w:rPr>
          <w:rFonts w:ascii="Arial" w:hAnsi="Arial" w:cs="Arial"/>
          <w:lang w:val="en-GB"/>
        </w:rPr>
      </w:pPr>
      <w:r w:rsidRPr="00F11421">
        <w:rPr>
          <w:rFonts w:ascii="Arial" w:hAnsi="Arial" w:cs="Arial"/>
          <w:lang w:val="en-GB"/>
        </w:rPr>
        <w:lastRenderedPageBreak/>
        <w:t xml:space="preserve"> </w:t>
      </w:r>
      <w:r w:rsidR="00655F19">
        <w:rPr>
          <w:rFonts w:ascii="Arial" w:hAnsi="Arial" w:cs="Arial"/>
          <w:lang w:val="en-GB"/>
        </w:rPr>
        <w:t xml:space="preserve">In considering the matter the Court in </w:t>
      </w:r>
      <w:r w:rsidR="00655F19" w:rsidRPr="00655F19">
        <w:rPr>
          <w:rFonts w:ascii="Arial" w:hAnsi="Arial" w:cs="Arial"/>
          <w:i/>
          <w:lang w:val="en-GB"/>
        </w:rPr>
        <w:t>Belrex</w:t>
      </w:r>
      <w:r w:rsidR="00840A7E">
        <w:rPr>
          <w:rFonts w:ascii="Arial" w:hAnsi="Arial" w:cs="Arial"/>
          <w:lang w:val="en-GB"/>
        </w:rPr>
        <w:t xml:space="preserve">, </w:t>
      </w:r>
      <w:r w:rsidR="006D4D6E">
        <w:rPr>
          <w:rFonts w:ascii="Arial" w:hAnsi="Arial" w:cs="Arial"/>
          <w:lang w:val="en-GB"/>
        </w:rPr>
        <w:t xml:space="preserve">again </w:t>
      </w:r>
      <w:r w:rsidRPr="00F11421">
        <w:rPr>
          <w:rFonts w:ascii="Arial" w:hAnsi="Arial" w:cs="Arial"/>
          <w:lang w:val="en-GB"/>
        </w:rPr>
        <w:t>correctly</w:t>
      </w:r>
      <w:r w:rsidR="00840A7E">
        <w:rPr>
          <w:rFonts w:ascii="Arial" w:hAnsi="Arial" w:cs="Arial"/>
          <w:lang w:val="en-GB"/>
        </w:rPr>
        <w:t>,</w:t>
      </w:r>
      <w:r w:rsidRPr="00F11421">
        <w:rPr>
          <w:rFonts w:ascii="Arial" w:hAnsi="Arial" w:cs="Arial"/>
          <w:lang w:val="en-GB"/>
        </w:rPr>
        <w:t xml:space="preserve"> </w:t>
      </w:r>
      <w:r w:rsidR="00655F19">
        <w:rPr>
          <w:rFonts w:ascii="Arial" w:hAnsi="Arial" w:cs="Arial"/>
          <w:lang w:val="en-GB"/>
        </w:rPr>
        <w:t>raised the  concern</w:t>
      </w:r>
      <w:r w:rsidR="005F5708" w:rsidRPr="00F11421">
        <w:rPr>
          <w:rFonts w:ascii="Arial" w:hAnsi="Arial" w:cs="Arial"/>
          <w:lang w:val="en-GB"/>
        </w:rPr>
        <w:t xml:space="preserve"> that</w:t>
      </w:r>
      <w:r w:rsidR="007B194B" w:rsidRPr="00F11421">
        <w:rPr>
          <w:rFonts w:ascii="Arial" w:hAnsi="Arial" w:cs="Arial"/>
          <w:lang w:val="en-GB"/>
        </w:rPr>
        <w:t xml:space="preserve"> </w:t>
      </w:r>
      <w:r w:rsidR="005237D8" w:rsidRPr="00F11421">
        <w:rPr>
          <w:rFonts w:ascii="Arial" w:hAnsi="Arial" w:cs="Arial"/>
          <w:lang w:val="en-GB"/>
        </w:rPr>
        <w:t xml:space="preserve">such a position would provide </w:t>
      </w:r>
      <w:r w:rsidR="00407AC9">
        <w:rPr>
          <w:rFonts w:ascii="Arial" w:hAnsi="Arial" w:cs="Arial"/>
          <w:lang w:val="en-GB"/>
        </w:rPr>
        <w:t>an opportunity</w:t>
      </w:r>
      <w:r w:rsidR="005237D8" w:rsidRPr="00F11421">
        <w:rPr>
          <w:rFonts w:ascii="Arial" w:hAnsi="Arial" w:cs="Arial"/>
          <w:lang w:val="en-GB"/>
        </w:rPr>
        <w:t xml:space="preserve"> for the recalcitrant defendant who wishes to frustrate the proceedings. </w:t>
      </w:r>
      <w:r w:rsidR="00D61F5F">
        <w:rPr>
          <w:rFonts w:ascii="Arial" w:hAnsi="Arial" w:cs="Arial"/>
          <w:lang w:val="en-GB"/>
        </w:rPr>
        <w:t>It concluded</w:t>
      </w:r>
      <w:r w:rsidR="005237D8" w:rsidRPr="00F11421">
        <w:rPr>
          <w:rFonts w:ascii="Arial" w:hAnsi="Arial" w:cs="Arial"/>
          <w:lang w:val="en-GB"/>
        </w:rPr>
        <w:t xml:space="preserve"> that this is a lacuna in rule 32 which appears to </w:t>
      </w:r>
      <w:r w:rsidR="00EF45D2" w:rsidRPr="00F11421">
        <w:rPr>
          <w:rFonts w:ascii="Arial" w:hAnsi="Arial" w:cs="Arial"/>
          <w:lang w:val="en-GB"/>
        </w:rPr>
        <w:t xml:space="preserve">have been overlooked by those who framed the </w:t>
      </w:r>
      <w:r w:rsidR="00D61F5F">
        <w:rPr>
          <w:rFonts w:ascii="Arial" w:hAnsi="Arial" w:cs="Arial"/>
          <w:lang w:val="en-GB"/>
        </w:rPr>
        <w:t>‘</w:t>
      </w:r>
      <w:r w:rsidR="00EF45D2" w:rsidRPr="00F11421">
        <w:rPr>
          <w:rFonts w:ascii="Arial" w:hAnsi="Arial" w:cs="Arial"/>
          <w:lang w:val="en-GB"/>
        </w:rPr>
        <w:t>new</w:t>
      </w:r>
      <w:r w:rsidR="00D61F5F">
        <w:rPr>
          <w:rFonts w:ascii="Arial" w:hAnsi="Arial" w:cs="Arial"/>
          <w:lang w:val="en-GB"/>
        </w:rPr>
        <w:t>’</w:t>
      </w:r>
      <w:r w:rsidR="00EF45D2" w:rsidRPr="00F11421">
        <w:rPr>
          <w:rFonts w:ascii="Arial" w:hAnsi="Arial" w:cs="Arial"/>
          <w:lang w:val="en-GB"/>
        </w:rPr>
        <w:t xml:space="preserve"> rule 32.</w:t>
      </w:r>
      <w:r w:rsidR="00EF45D2">
        <w:rPr>
          <w:rStyle w:val="FootnoteReference"/>
          <w:rFonts w:ascii="Arial" w:hAnsi="Arial" w:cs="Arial"/>
          <w:lang w:val="en-GB"/>
        </w:rPr>
        <w:footnoteReference w:id="3"/>
      </w:r>
    </w:p>
    <w:p w:rsidR="00262647" w:rsidRDefault="00262647" w:rsidP="00262647">
      <w:pPr>
        <w:pStyle w:val="ListParagraph"/>
        <w:spacing w:line="360" w:lineRule="auto"/>
        <w:ind w:left="0"/>
        <w:jc w:val="both"/>
        <w:rPr>
          <w:rFonts w:ascii="Arial" w:hAnsi="Arial" w:cs="Arial"/>
          <w:lang w:val="en-GB"/>
        </w:rPr>
      </w:pPr>
    </w:p>
    <w:p w:rsidR="007F0318" w:rsidRDefault="00F11421" w:rsidP="00F11421">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I am inclin</w:t>
      </w:r>
      <w:r w:rsidR="003E6013">
        <w:rPr>
          <w:rFonts w:ascii="Arial" w:hAnsi="Arial" w:cs="Arial"/>
          <w:lang w:val="en-GB"/>
        </w:rPr>
        <w:t>ed to a more benign view of the assid</w:t>
      </w:r>
      <w:r w:rsidR="008B0C63">
        <w:rPr>
          <w:rFonts w:ascii="Arial" w:hAnsi="Arial" w:cs="Arial"/>
          <w:lang w:val="en-GB"/>
        </w:rPr>
        <w:t>uity of</w:t>
      </w:r>
      <w:r w:rsidR="003E6013">
        <w:rPr>
          <w:rFonts w:ascii="Arial" w:hAnsi="Arial" w:cs="Arial"/>
          <w:lang w:val="en-GB"/>
        </w:rPr>
        <w:t xml:space="preserve"> </w:t>
      </w:r>
      <w:r w:rsidR="00840A7E">
        <w:rPr>
          <w:rFonts w:ascii="Arial" w:hAnsi="Arial" w:cs="Arial"/>
          <w:lang w:val="en-GB"/>
        </w:rPr>
        <w:t xml:space="preserve">the </w:t>
      </w:r>
      <w:r w:rsidR="003E6013">
        <w:rPr>
          <w:rFonts w:ascii="Arial" w:hAnsi="Arial" w:cs="Arial"/>
          <w:lang w:val="en-GB"/>
        </w:rPr>
        <w:t xml:space="preserve">drafters of </w:t>
      </w:r>
      <w:r w:rsidR="00D61F5F">
        <w:rPr>
          <w:rFonts w:ascii="Arial" w:hAnsi="Arial" w:cs="Arial"/>
          <w:lang w:val="en-GB"/>
        </w:rPr>
        <w:t xml:space="preserve"> the amendments to </w:t>
      </w:r>
      <w:r w:rsidR="003E6013">
        <w:rPr>
          <w:rFonts w:ascii="Arial" w:hAnsi="Arial" w:cs="Arial"/>
          <w:lang w:val="en-GB"/>
        </w:rPr>
        <w:t>rule 32.</w:t>
      </w:r>
      <w:r w:rsidR="008B0C63">
        <w:rPr>
          <w:rFonts w:ascii="Arial" w:hAnsi="Arial" w:cs="Arial"/>
          <w:lang w:val="en-GB"/>
        </w:rPr>
        <w:t xml:space="preserve"> Whilst </w:t>
      </w:r>
      <w:r w:rsidR="006D4D6E">
        <w:rPr>
          <w:rFonts w:ascii="Arial" w:hAnsi="Arial" w:cs="Arial"/>
          <w:lang w:val="en-GB"/>
        </w:rPr>
        <w:t xml:space="preserve">it is correct that </w:t>
      </w:r>
      <w:r w:rsidR="008B0C63">
        <w:rPr>
          <w:rFonts w:ascii="Arial" w:hAnsi="Arial" w:cs="Arial"/>
          <w:lang w:val="en-GB"/>
        </w:rPr>
        <w:t>the rule itself does</w:t>
      </w:r>
      <w:r w:rsidR="007F0318">
        <w:rPr>
          <w:rFonts w:ascii="Arial" w:hAnsi="Arial" w:cs="Arial"/>
          <w:lang w:val="en-GB"/>
        </w:rPr>
        <w:t xml:space="preserve"> not</w:t>
      </w:r>
      <w:r w:rsidR="008B0C63">
        <w:rPr>
          <w:rFonts w:ascii="Arial" w:hAnsi="Arial" w:cs="Arial"/>
          <w:lang w:val="en-GB"/>
        </w:rPr>
        <w:t xml:space="preserve"> deal with </w:t>
      </w:r>
      <w:r w:rsidR="007F0318">
        <w:rPr>
          <w:rFonts w:ascii="Arial" w:hAnsi="Arial" w:cs="Arial"/>
          <w:lang w:val="en-GB"/>
        </w:rPr>
        <w:t>what is to happen if there is an amendment</w:t>
      </w:r>
      <w:r w:rsidR="00262647">
        <w:rPr>
          <w:rFonts w:ascii="Arial" w:hAnsi="Arial" w:cs="Arial"/>
          <w:lang w:val="en-GB"/>
        </w:rPr>
        <w:t xml:space="preserve"> to the plea</w:t>
      </w:r>
      <w:r w:rsidR="007F0318">
        <w:rPr>
          <w:rFonts w:ascii="Arial" w:hAnsi="Arial" w:cs="Arial"/>
          <w:lang w:val="en-GB"/>
        </w:rPr>
        <w:t>, rule 28</w:t>
      </w:r>
      <w:r w:rsidR="00262647">
        <w:rPr>
          <w:rFonts w:ascii="Arial" w:hAnsi="Arial" w:cs="Arial"/>
          <w:lang w:val="en-GB"/>
        </w:rPr>
        <w:t>(8),</w:t>
      </w:r>
      <w:r w:rsidR="00FE614A">
        <w:rPr>
          <w:rFonts w:ascii="Arial" w:hAnsi="Arial" w:cs="Arial"/>
          <w:lang w:val="en-GB"/>
        </w:rPr>
        <w:t xml:space="preserve"> </w:t>
      </w:r>
      <w:r w:rsidR="006D4D6E">
        <w:rPr>
          <w:rFonts w:ascii="Arial" w:hAnsi="Arial" w:cs="Arial"/>
          <w:lang w:val="en-GB"/>
        </w:rPr>
        <w:t xml:space="preserve">which is </w:t>
      </w:r>
      <w:r w:rsidR="00FE614A">
        <w:rPr>
          <w:rFonts w:ascii="Arial" w:hAnsi="Arial" w:cs="Arial"/>
          <w:lang w:val="en-GB"/>
        </w:rPr>
        <w:t>a rule of general application</w:t>
      </w:r>
      <w:r w:rsidR="006D4D6E">
        <w:rPr>
          <w:rFonts w:ascii="Arial" w:hAnsi="Arial" w:cs="Arial"/>
          <w:lang w:val="en-GB"/>
        </w:rPr>
        <w:t>,</w:t>
      </w:r>
      <w:r w:rsidR="00FE614A">
        <w:rPr>
          <w:rFonts w:ascii="Arial" w:hAnsi="Arial" w:cs="Arial"/>
          <w:lang w:val="en-GB"/>
        </w:rPr>
        <w:t xml:space="preserve"> takes account</w:t>
      </w:r>
      <w:r w:rsidR="007F0318">
        <w:rPr>
          <w:rFonts w:ascii="Arial" w:hAnsi="Arial" w:cs="Arial"/>
          <w:lang w:val="en-GB"/>
        </w:rPr>
        <w:t xml:space="preserve"> of the consequences of the amendment of pleadings</w:t>
      </w:r>
      <w:r w:rsidR="00262647">
        <w:rPr>
          <w:rFonts w:ascii="Arial" w:hAnsi="Arial" w:cs="Arial"/>
          <w:lang w:val="en-GB"/>
        </w:rPr>
        <w:t xml:space="preserve"> generally</w:t>
      </w:r>
      <w:r w:rsidR="007F0318">
        <w:rPr>
          <w:rFonts w:ascii="Arial" w:hAnsi="Arial" w:cs="Arial"/>
          <w:lang w:val="en-GB"/>
        </w:rPr>
        <w:t>.</w:t>
      </w:r>
      <w:r w:rsidR="00EB7BB5">
        <w:rPr>
          <w:rFonts w:ascii="Arial" w:hAnsi="Arial" w:cs="Arial"/>
          <w:lang w:val="en-GB"/>
        </w:rPr>
        <w:t xml:space="preserve"> It reads as follows</w:t>
      </w:r>
      <w:r w:rsidR="00262647">
        <w:rPr>
          <w:rFonts w:ascii="Arial" w:hAnsi="Arial" w:cs="Arial"/>
          <w:lang w:val="en-GB"/>
        </w:rPr>
        <w:t xml:space="preserve"> in relevant part</w:t>
      </w:r>
      <w:r w:rsidR="00EB7BB5">
        <w:rPr>
          <w:rFonts w:ascii="Arial" w:hAnsi="Arial" w:cs="Arial"/>
          <w:lang w:val="en-GB"/>
        </w:rPr>
        <w:t>:</w:t>
      </w:r>
    </w:p>
    <w:p w:rsidR="00407AC9" w:rsidRPr="006D4D6E" w:rsidRDefault="00407AC9" w:rsidP="00407AC9">
      <w:pPr>
        <w:pStyle w:val="ListParagraph"/>
        <w:spacing w:line="360" w:lineRule="auto"/>
        <w:ind w:left="0"/>
        <w:jc w:val="both"/>
        <w:rPr>
          <w:rFonts w:ascii="Arial" w:hAnsi="Arial" w:cs="Arial"/>
          <w:sz w:val="22"/>
          <w:szCs w:val="22"/>
          <w:lang w:val="en-GB"/>
        </w:rPr>
      </w:pPr>
    </w:p>
    <w:p w:rsidR="00F11421" w:rsidRPr="006D4D6E" w:rsidRDefault="00EB7BB5" w:rsidP="001B2C3D">
      <w:pPr>
        <w:pStyle w:val="ListParagraph"/>
        <w:spacing w:line="360" w:lineRule="auto"/>
        <w:ind w:left="0"/>
        <w:jc w:val="both"/>
        <w:rPr>
          <w:rFonts w:ascii="Arial" w:hAnsi="Arial" w:cs="Arial"/>
          <w:sz w:val="22"/>
          <w:szCs w:val="22"/>
          <w:lang w:val="en-GB"/>
        </w:rPr>
      </w:pPr>
      <w:r w:rsidRPr="006D4D6E">
        <w:rPr>
          <w:rFonts w:ascii="Arial" w:hAnsi="Arial" w:cs="Arial"/>
          <w:sz w:val="22"/>
          <w:szCs w:val="22"/>
          <w:lang w:val="en-GB"/>
        </w:rPr>
        <w:t>‘</w:t>
      </w:r>
      <w:r w:rsidR="00262647" w:rsidRPr="006D4D6E">
        <w:rPr>
          <w:rFonts w:ascii="Arial" w:hAnsi="Arial" w:cs="Arial"/>
          <w:sz w:val="22"/>
          <w:szCs w:val="22"/>
          <w:lang w:val="en-GB"/>
        </w:rPr>
        <w:t xml:space="preserve"> 28 (8) </w:t>
      </w:r>
      <w:r w:rsidR="00924CA5" w:rsidRPr="006D4D6E">
        <w:rPr>
          <w:rFonts w:ascii="Arial" w:hAnsi="Arial" w:cs="Arial"/>
          <w:sz w:val="22"/>
          <w:szCs w:val="22"/>
          <w:lang w:val="en-GB"/>
        </w:rPr>
        <w:t xml:space="preserve">Any party affected by an amendment may, within 15 days after </w:t>
      </w:r>
      <w:r w:rsidR="00AC0828" w:rsidRPr="006D4D6E">
        <w:rPr>
          <w:rFonts w:ascii="Arial" w:hAnsi="Arial" w:cs="Arial"/>
          <w:sz w:val="22"/>
          <w:szCs w:val="22"/>
          <w:lang w:val="en-GB"/>
        </w:rPr>
        <w:t xml:space="preserve">the amendment has been effected or within such other period as the court may determine, make consequential adjustment to the documents filed </w:t>
      </w:r>
      <w:r w:rsidR="001B2C3D" w:rsidRPr="006D4D6E">
        <w:rPr>
          <w:rFonts w:ascii="Arial" w:hAnsi="Arial" w:cs="Arial"/>
          <w:sz w:val="22"/>
          <w:szCs w:val="22"/>
          <w:lang w:val="en-GB"/>
        </w:rPr>
        <w:t xml:space="preserve">by him, </w:t>
      </w:r>
      <w:r w:rsidR="00780237" w:rsidRPr="006D4D6E">
        <w:rPr>
          <w:rFonts w:ascii="Arial" w:hAnsi="Arial" w:cs="Arial"/>
          <w:sz w:val="22"/>
          <w:szCs w:val="22"/>
          <w:lang w:val="en-GB"/>
        </w:rPr>
        <w:t>…</w:t>
      </w:r>
      <w:r w:rsidR="001B2C3D" w:rsidRPr="006D4D6E">
        <w:rPr>
          <w:rFonts w:ascii="Arial" w:hAnsi="Arial" w:cs="Arial"/>
          <w:sz w:val="22"/>
          <w:szCs w:val="22"/>
          <w:lang w:val="en-GB"/>
        </w:rPr>
        <w:t>.’</w:t>
      </w:r>
      <w:r w:rsidR="007F0318" w:rsidRPr="006D4D6E">
        <w:rPr>
          <w:rFonts w:ascii="Arial" w:hAnsi="Arial" w:cs="Arial"/>
          <w:sz w:val="22"/>
          <w:szCs w:val="22"/>
          <w:lang w:val="en-GB"/>
        </w:rPr>
        <w:t xml:space="preserve"> </w:t>
      </w:r>
    </w:p>
    <w:p w:rsidR="00EF45D2" w:rsidRPr="00AD75AD" w:rsidRDefault="00EF45D2" w:rsidP="00E03248">
      <w:pPr>
        <w:pStyle w:val="ListParagraph"/>
        <w:spacing w:line="360" w:lineRule="auto"/>
        <w:ind w:left="0"/>
        <w:jc w:val="both"/>
        <w:rPr>
          <w:rFonts w:ascii="Arial" w:hAnsi="Arial" w:cs="Arial"/>
          <w:lang w:val="en-GB"/>
        </w:rPr>
      </w:pPr>
    </w:p>
    <w:p w:rsidR="001B2C3D" w:rsidRDefault="001B2C3D" w:rsidP="00FE614A">
      <w:pPr>
        <w:pStyle w:val="ListParagraph"/>
        <w:spacing w:line="360" w:lineRule="auto"/>
        <w:ind w:left="0"/>
        <w:jc w:val="both"/>
        <w:rPr>
          <w:rFonts w:ascii="Arial" w:hAnsi="Arial" w:cs="Arial"/>
          <w:lang w:val="en-GB"/>
        </w:rPr>
      </w:pPr>
    </w:p>
    <w:p w:rsidR="00E03248"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Rule 28(8) is deliberately inclusive. It does not specify that it relates only to consequential amendment of pleadings</w:t>
      </w:r>
      <w:r w:rsidR="000050FB">
        <w:rPr>
          <w:rFonts w:ascii="Arial" w:hAnsi="Arial" w:cs="Arial"/>
          <w:lang w:val="en-GB"/>
        </w:rPr>
        <w:t xml:space="preserve"> ( it relates to ‘documents’)</w:t>
      </w:r>
      <w:r>
        <w:rPr>
          <w:rFonts w:ascii="Arial" w:hAnsi="Arial" w:cs="Arial"/>
          <w:lang w:val="en-GB"/>
        </w:rPr>
        <w:t xml:space="preserve"> and neither does it prescribe how the ‘adjustment’ contemplated should take place.</w:t>
      </w:r>
      <w:r w:rsidR="00A11A72">
        <w:rPr>
          <w:rFonts w:ascii="Arial" w:hAnsi="Arial" w:cs="Arial"/>
          <w:lang w:val="en-GB"/>
        </w:rPr>
        <w:t xml:space="preserve"> The only constraint is that it should be consequential on the amendment. </w:t>
      </w:r>
      <w:r w:rsidR="00356D66">
        <w:rPr>
          <w:rFonts w:ascii="Arial" w:hAnsi="Arial" w:cs="Arial"/>
          <w:lang w:val="en-GB"/>
        </w:rPr>
        <w:t>Sub</w:t>
      </w:r>
      <w:r w:rsidR="00A11A72">
        <w:rPr>
          <w:rFonts w:ascii="Arial" w:hAnsi="Arial" w:cs="Arial"/>
          <w:lang w:val="en-GB"/>
        </w:rPr>
        <w:t>rule</w:t>
      </w:r>
      <w:r w:rsidR="00356D66">
        <w:rPr>
          <w:rFonts w:ascii="Arial" w:hAnsi="Arial" w:cs="Arial"/>
          <w:lang w:val="en-GB"/>
        </w:rPr>
        <w:t xml:space="preserve"> (8</w:t>
      </w:r>
      <w:r w:rsidR="00D61F5F">
        <w:rPr>
          <w:rFonts w:ascii="Arial" w:hAnsi="Arial" w:cs="Arial"/>
          <w:lang w:val="en-GB"/>
        </w:rPr>
        <w:t>), thus, expressly</w:t>
      </w:r>
      <w:r w:rsidR="00780237">
        <w:rPr>
          <w:rFonts w:ascii="Arial" w:hAnsi="Arial" w:cs="Arial"/>
          <w:lang w:val="en-GB"/>
        </w:rPr>
        <w:t xml:space="preserve"> </w:t>
      </w:r>
      <w:r w:rsidR="000050FB">
        <w:rPr>
          <w:rFonts w:ascii="Arial" w:hAnsi="Arial" w:cs="Arial"/>
          <w:lang w:val="en-GB"/>
        </w:rPr>
        <w:t>precludes</w:t>
      </w:r>
      <w:r w:rsidR="005F5708">
        <w:rPr>
          <w:rFonts w:ascii="Arial" w:hAnsi="Arial" w:cs="Arial"/>
          <w:lang w:val="en-GB"/>
        </w:rPr>
        <w:t xml:space="preserve"> the </w:t>
      </w:r>
      <w:r w:rsidR="0057564F">
        <w:rPr>
          <w:rFonts w:ascii="Arial" w:hAnsi="Arial" w:cs="Arial"/>
          <w:lang w:val="en-GB"/>
        </w:rPr>
        <w:t>raising</w:t>
      </w:r>
      <w:r w:rsidR="00664629">
        <w:rPr>
          <w:rFonts w:ascii="Arial" w:hAnsi="Arial" w:cs="Arial"/>
          <w:lang w:val="en-GB"/>
        </w:rPr>
        <w:t xml:space="preserve"> </w:t>
      </w:r>
      <w:r w:rsidR="00B65E28">
        <w:rPr>
          <w:rFonts w:ascii="Arial" w:hAnsi="Arial" w:cs="Arial"/>
          <w:lang w:val="en-GB"/>
        </w:rPr>
        <w:t xml:space="preserve">of </w:t>
      </w:r>
      <w:r w:rsidR="00780237">
        <w:rPr>
          <w:rFonts w:ascii="Arial" w:hAnsi="Arial" w:cs="Arial"/>
          <w:lang w:val="en-GB"/>
        </w:rPr>
        <w:t>issues</w:t>
      </w:r>
      <w:r w:rsidR="00B65E28">
        <w:rPr>
          <w:rFonts w:ascii="Arial" w:hAnsi="Arial" w:cs="Arial"/>
          <w:lang w:val="en-GB"/>
        </w:rPr>
        <w:t xml:space="preserve"> which are extraneous to the</w:t>
      </w:r>
      <w:r w:rsidR="000050FB">
        <w:rPr>
          <w:rFonts w:ascii="Arial" w:hAnsi="Arial" w:cs="Arial"/>
          <w:lang w:val="en-GB"/>
        </w:rPr>
        <w:t xml:space="preserve"> pleading</w:t>
      </w:r>
      <w:r w:rsidR="00B65E28">
        <w:rPr>
          <w:rFonts w:ascii="Arial" w:hAnsi="Arial" w:cs="Arial"/>
          <w:lang w:val="en-GB"/>
        </w:rPr>
        <w:t xml:space="preserve"> as amended. </w:t>
      </w:r>
      <w:r w:rsidR="00780237">
        <w:rPr>
          <w:rFonts w:ascii="Arial" w:hAnsi="Arial" w:cs="Arial"/>
          <w:lang w:val="en-GB"/>
        </w:rPr>
        <w:t>To the extent that an amendment</w:t>
      </w:r>
      <w:r w:rsidR="000050FB">
        <w:rPr>
          <w:rFonts w:ascii="Arial" w:hAnsi="Arial" w:cs="Arial"/>
          <w:lang w:val="en-GB"/>
        </w:rPr>
        <w:t xml:space="preserve"> of ple</w:t>
      </w:r>
      <w:r w:rsidR="00A76AF1">
        <w:rPr>
          <w:rFonts w:ascii="Arial" w:hAnsi="Arial" w:cs="Arial"/>
          <w:lang w:val="en-GB"/>
        </w:rPr>
        <w:t>adings or relief</w:t>
      </w:r>
      <w:r w:rsidR="00780237">
        <w:rPr>
          <w:rFonts w:ascii="Arial" w:hAnsi="Arial" w:cs="Arial"/>
          <w:lang w:val="en-GB"/>
        </w:rPr>
        <w:t xml:space="preserve"> other than one which is consequential </w:t>
      </w:r>
      <w:r w:rsidR="00C10319">
        <w:rPr>
          <w:rFonts w:ascii="Arial" w:hAnsi="Arial" w:cs="Arial"/>
          <w:lang w:val="en-GB"/>
        </w:rPr>
        <w:t>is required</w:t>
      </w:r>
      <w:r w:rsidR="0057564F">
        <w:rPr>
          <w:rFonts w:ascii="Arial" w:hAnsi="Arial" w:cs="Arial"/>
          <w:lang w:val="en-GB"/>
        </w:rPr>
        <w:t>,</w:t>
      </w:r>
      <w:r w:rsidR="00664629">
        <w:rPr>
          <w:rFonts w:ascii="Arial" w:hAnsi="Arial" w:cs="Arial"/>
          <w:lang w:val="en-GB"/>
        </w:rPr>
        <w:t xml:space="preserve"> subrule (</w:t>
      </w:r>
      <w:r w:rsidR="00C07957">
        <w:rPr>
          <w:rFonts w:ascii="Arial" w:hAnsi="Arial" w:cs="Arial"/>
          <w:lang w:val="en-GB"/>
        </w:rPr>
        <w:t xml:space="preserve">1) must be used </w:t>
      </w:r>
      <w:r w:rsidR="006E4A83">
        <w:rPr>
          <w:rFonts w:ascii="Arial" w:hAnsi="Arial" w:cs="Arial"/>
          <w:lang w:val="en-GB"/>
        </w:rPr>
        <w:t>and, leave</w:t>
      </w:r>
      <w:r w:rsidR="00C10319">
        <w:rPr>
          <w:rFonts w:ascii="Arial" w:hAnsi="Arial" w:cs="Arial"/>
          <w:lang w:val="en-GB"/>
        </w:rPr>
        <w:t xml:space="preserve"> to amend must be sought</w:t>
      </w:r>
      <w:r w:rsidR="000050FB">
        <w:rPr>
          <w:rFonts w:ascii="Arial" w:hAnsi="Arial" w:cs="Arial"/>
          <w:lang w:val="en-GB"/>
        </w:rPr>
        <w:t>.</w:t>
      </w:r>
      <w:r w:rsidR="00850B4C">
        <w:rPr>
          <w:rFonts w:ascii="Arial" w:hAnsi="Arial" w:cs="Arial"/>
          <w:lang w:val="en-GB"/>
        </w:rPr>
        <w:t xml:space="preserve"> </w:t>
      </w:r>
    </w:p>
    <w:p w:rsidR="00E03248" w:rsidRDefault="00E03248" w:rsidP="00E03248">
      <w:pPr>
        <w:pStyle w:val="ListParagraph"/>
        <w:spacing w:line="360" w:lineRule="auto"/>
        <w:ind w:left="0"/>
        <w:jc w:val="both"/>
        <w:rPr>
          <w:rFonts w:ascii="Arial" w:hAnsi="Arial" w:cs="Arial"/>
          <w:lang w:val="en-GB"/>
        </w:rPr>
      </w:pPr>
    </w:p>
    <w:p w:rsidR="00E03248" w:rsidRPr="00A76AF1" w:rsidRDefault="00E03248" w:rsidP="00A76AF1">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In the case of the amendment of the plea after the filing of a summary judgment application the plaintiff is decidedly ‘a party affected’ by the amendment</w:t>
      </w:r>
      <w:r w:rsidR="00A11A72">
        <w:rPr>
          <w:rFonts w:ascii="Arial" w:hAnsi="Arial" w:cs="Arial"/>
          <w:lang w:val="en-GB"/>
        </w:rPr>
        <w:t xml:space="preserve">. </w:t>
      </w:r>
      <w:r>
        <w:rPr>
          <w:rFonts w:ascii="Arial" w:hAnsi="Arial" w:cs="Arial"/>
          <w:lang w:val="en-GB"/>
        </w:rPr>
        <w:t xml:space="preserve"> Thus</w:t>
      </w:r>
      <w:r w:rsidR="00AB1962">
        <w:rPr>
          <w:rFonts w:ascii="Arial" w:hAnsi="Arial" w:cs="Arial"/>
          <w:lang w:val="en-GB"/>
        </w:rPr>
        <w:t>,</w:t>
      </w:r>
      <w:r>
        <w:rPr>
          <w:rFonts w:ascii="Arial" w:hAnsi="Arial" w:cs="Arial"/>
          <w:lang w:val="en-GB"/>
        </w:rPr>
        <w:t xml:space="preserve"> the provisions of the </w:t>
      </w:r>
      <w:r w:rsidR="000B5E86">
        <w:rPr>
          <w:rFonts w:ascii="Arial" w:hAnsi="Arial" w:cs="Arial"/>
          <w:lang w:val="en-GB"/>
        </w:rPr>
        <w:t>rule 28(8)</w:t>
      </w:r>
      <w:r>
        <w:rPr>
          <w:rFonts w:ascii="Arial" w:hAnsi="Arial" w:cs="Arial"/>
          <w:lang w:val="en-GB"/>
        </w:rPr>
        <w:t xml:space="preserve"> apply to it</w:t>
      </w:r>
      <w:r w:rsidR="002B4651">
        <w:rPr>
          <w:rFonts w:ascii="Arial" w:hAnsi="Arial" w:cs="Arial"/>
          <w:lang w:val="en-GB"/>
        </w:rPr>
        <w:t xml:space="preserve"> and</w:t>
      </w:r>
      <w:r w:rsidR="000B5E86">
        <w:rPr>
          <w:rFonts w:ascii="Arial" w:hAnsi="Arial" w:cs="Arial"/>
          <w:lang w:val="en-GB"/>
        </w:rPr>
        <w:t xml:space="preserve"> so</w:t>
      </w:r>
      <w:r w:rsidR="002B4651">
        <w:rPr>
          <w:rFonts w:ascii="Arial" w:hAnsi="Arial" w:cs="Arial"/>
          <w:lang w:val="en-GB"/>
        </w:rPr>
        <w:t xml:space="preserve"> afford it the right to adjust</w:t>
      </w:r>
      <w:r w:rsidR="00356D66">
        <w:rPr>
          <w:rFonts w:ascii="Arial" w:hAnsi="Arial" w:cs="Arial"/>
          <w:lang w:val="en-GB"/>
        </w:rPr>
        <w:t xml:space="preserve"> the </w:t>
      </w:r>
      <w:r w:rsidR="003D2CE2">
        <w:rPr>
          <w:rFonts w:ascii="Arial" w:hAnsi="Arial" w:cs="Arial"/>
          <w:lang w:val="en-GB"/>
        </w:rPr>
        <w:t>founding affidavit</w:t>
      </w:r>
      <w:r w:rsidR="00850B4C">
        <w:rPr>
          <w:rFonts w:ascii="Arial" w:hAnsi="Arial" w:cs="Arial"/>
          <w:lang w:val="en-GB"/>
        </w:rPr>
        <w:t xml:space="preserve"> without </w:t>
      </w:r>
      <w:r w:rsidR="000B5E86">
        <w:rPr>
          <w:rFonts w:ascii="Arial" w:hAnsi="Arial" w:cs="Arial"/>
          <w:lang w:val="en-GB"/>
        </w:rPr>
        <w:t>leave, provided the adjustment is consequential</w:t>
      </w:r>
      <w:r w:rsidR="003D2CE2">
        <w:rPr>
          <w:rFonts w:ascii="Arial" w:hAnsi="Arial" w:cs="Arial"/>
          <w:lang w:val="en-GB"/>
        </w:rPr>
        <w:t>.</w:t>
      </w:r>
      <w:r>
        <w:rPr>
          <w:rFonts w:ascii="Arial" w:hAnsi="Arial" w:cs="Arial"/>
          <w:lang w:val="en-GB"/>
        </w:rPr>
        <w:t xml:space="preserve"> The</w:t>
      </w:r>
      <w:r w:rsidR="003D2CE2">
        <w:rPr>
          <w:rFonts w:ascii="Arial" w:hAnsi="Arial" w:cs="Arial"/>
          <w:lang w:val="en-GB"/>
        </w:rPr>
        <w:t>,</w:t>
      </w:r>
      <w:r>
        <w:rPr>
          <w:rFonts w:ascii="Arial" w:hAnsi="Arial" w:cs="Arial"/>
          <w:lang w:val="en-GB"/>
        </w:rPr>
        <w:t xml:space="preserve"> consequential adjustment in this instance would be the </w:t>
      </w:r>
      <w:r w:rsidR="003D2CE2">
        <w:rPr>
          <w:rFonts w:ascii="Arial" w:hAnsi="Arial" w:cs="Arial"/>
          <w:lang w:val="en-GB"/>
        </w:rPr>
        <w:t>amendment</w:t>
      </w:r>
      <w:r>
        <w:rPr>
          <w:rFonts w:ascii="Arial" w:hAnsi="Arial" w:cs="Arial"/>
          <w:lang w:val="en-GB"/>
        </w:rPr>
        <w:t xml:space="preserve"> of the affidavit filed in terms of </w:t>
      </w:r>
      <w:r>
        <w:rPr>
          <w:rFonts w:ascii="Arial" w:hAnsi="Arial" w:cs="Arial"/>
          <w:lang w:val="en-GB"/>
        </w:rPr>
        <w:lastRenderedPageBreak/>
        <w:t>rule 32(2)(a)</w:t>
      </w:r>
      <w:r w:rsidR="003D2CE2">
        <w:rPr>
          <w:rFonts w:ascii="Arial" w:hAnsi="Arial" w:cs="Arial"/>
          <w:lang w:val="en-GB"/>
        </w:rPr>
        <w:t xml:space="preserve"> </w:t>
      </w:r>
      <w:r w:rsidR="00C07957">
        <w:rPr>
          <w:rFonts w:ascii="Arial" w:hAnsi="Arial" w:cs="Arial"/>
          <w:lang w:val="en-GB"/>
        </w:rPr>
        <w:t xml:space="preserve">to take </w:t>
      </w:r>
      <w:r w:rsidR="003D2CE2">
        <w:rPr>
          <w:rFonts w:ascii="Arial" w:hAnsi="Arial" w:cs="Arial"/>
          <w:lang w:val="en-GB"/>
        </w:rPr>
        <w:t>account</w:t>
      </w:r>
      <w:r w:rsidR="00C07957">
        <w:rPr>
          <w:rFonts w:ascii="Arial" w:hAnsi="Arial" w:cs="Arial"/>
          <w:lang w:val="en-GB"/>
        </w:rPr>
        <w:t xml:space="preserve"> of</w:t>
      </w:r>
      <w:r w:rsidR="003D2CE2">
        <w:rPr>
          <w:rFonts w:ascii="Arial" w:hAnsi="Arial" w:cs="Arial"/>
          <w:lang w:val="en-GB"/>
        </w:rPr>
        <w:t xml:space="preserve"> the amendment</w:t>
      </w:r>
      <w:r w:rsidR="00A76AF1">
        <w:rPr>
          <w:rFonts w:ascii="Arial" w:hAnsi="Arial" w:cs="Arial"/>
          <w:lang w:val="en-GB"/>
        </w:rPr>
        <w:t>.</w:t>
      </w:r>
      <w:r w:rsidRPr="00A76AF1">
        <w:rPr>
          <w:rFonts w:ascii="Arial" w:hAnsi="Arial" w:cs="Arial"/>
          <w:lang w:val="en-GB"/>
        </w:rPr>
        <w:t xml:space="preserve"> I do not read rule 32(4) to preclude such adjustment. </w:t>
      </w:r>
    </w:p>
    <w:p w:rsidR="007B62E0" w:rsidRPr="007B62E0" w:rsidRDefault="007B62E0" w:rsidP="007B62E0">
      <w:pPr>
        <w:pStyle w:val="ListParagraph"/>
        <w:rPr>
          <w:rFonts w:ascii="Arial" w:hAnsi="Arial" w:cs="Arial"/>
          <w:lang w:val="en-GB"/>
        </w:rPr>
      </w:pPr>
    </w:p>
    <w:p w:rsidR="007B62E0" w:rsidRDefault="007B62E0" w:rsidP="007B62E0">
      <w:pPr>
        <w:pStyle w:val="ListParagraph"/>
        <w:spacing w:line="360" w:lineRule="auto"/>
        <w:ind w:left="0"/>
        <w:jc w:val="both"/>
        <w:rPr>
          <w:rFonts w:ascii="Arial" w:hAnsi="Arial" w:cs="Arial"/>
          <w:lang w:val="en-GB"/>
        </w:rPr>
      </w:pPr>
    </w:p>
    <w:p w:rsidR="000648D6" w:rsidRPr="000648D6" w:rsidRDefault="000648D6" w:rsidP="000648D6">
      <w:pPr>
        <w:pStyle w:val="ListParagraph"/>
        <w:rPr>
          <w:rFonts w:ascii="Arial" w:hAnsi="Arial" w:cs="Arial"/>
          <w:lang w:val="en-GB"/>
        </w:rPr>
      </w:pPr>
    </w:p>
    <w:p w:rsidR="000648D6" w:rsidRPr="00655A13" w:rsidRDefault="00AB1962" w:rsidP="000D6B4E">
      <w:pPr>
        <w:pStyle w:val="ListParagraph"/>
        <w:numPr>
          <w:ilvl w:val="0"/>
          <w:numId w:val="2"/>
        </w:numPr>
        <w:spacing w:line="360" w:lineRule="auto"/>
        <w:ind w:left="0" w:firstLine="0"/>
        <w:rPr>
          <w:rFonts w:ascii="Arial" w:hAnsi="Arial" w:cs="Arial"/>
          <w:sz w:val="22"/>
          <w:szCs w:val="22"/>
          <w:lang w:val="en-GB"/>
        </w:rPr>
      </w:pPr>
      <w:r w:rsidRPr="004A277B">
        <w:rPr>
          <w:rFonts w:ascii="Arial" w:hAnsi="Arial" w:cs="Arial"/>
          <w:lang w:val="en-GB"/>
        </w:rPr>
        <w:t xml:space="preserve">As long as the </w:t>
      </w:r>
      <w:r w:rsidR="00B775F5" w:rsidRPr="004A277B">
        <w:rPr>
          <w:rFonts w:ascii="Arial" w:hAnsi="Arial" w:cs="Arial"/>
          <w:lang w:val="en-GB"/>
        </w:rPr>
        <w:t>adjustment is strictly consequential on the amendment</w:t>
      </w:r>
      <w:r w:rsidR="00E16E9E">
        <w:rPr>
          <w:rFonts w:ascii="Arial" w:hAnsi="Arial" w:cs="Arial"/>
          <w:lang w:val="en-GB"/>
        </w:rPr>
        <w:t xml:space="preserve">, </w:t>
      </w:r>
      <w:r w:rsidR="00B775F5" w:rsidRPr="004A277B">
        <w:rPr>
          <w:rFonts w:ascii="Arial" w:hAnsi="Arial" w:cs="Arial"/>
          <w:lang w:val="en-GB"/>
        </w:rPr>
        <w:t xml:space="preserve">there is </w:t>
      </w:r>
      <w:r w:rsidR="00AF4099">
        <w:rPr>
          <w:rFonts w:ascii="Arial" w:hAnsi="Arial" w:cs="Arial"/>
          <w:lang w:val="en-GB"/>
        </w:rPr>
        <w:t>,</w:t>
      </w:r>
      <w:r w:rsidR="00CA37C3">
        <w:rPr>
          <w:rFonts w:ascii="Arial" w:hAnsi="Arial" w:cs="Arial"/>
          <w:lang w:val="en-GB"/>
        </w:rPr>
        <w:t>to my mind</w:t>
      </w:r>
      <w:r w:rsidR="00AF4099">
        <w:rPr>
          <w:rFonts w:ascii="Arial" w:hAnsi="Arial" w:cs="Arial"/>
          <w:lang w:val="en-GB"/>
        </w:rPr>
        <w:t>,</w:t>
      </w:r>
      <w:r w:rsidR="00CA37C3">
        <w:rPr>
          <w:rFonts w:ascii="Arial" w:hAnsi="Arial" w:cs="Arial"/>
          <w:lang w:val="en-GB"/>
        </w:rPr>
        <w:t xml:space="preserve"> </w:t>
      </w:r>
      <w:r w:rsidR="00B775F5" w:rsidRPr="004A277B">
        <w:rPr>
          <w:rFonts w:ascii="Arial" w:hAnsi="Arial" w:cs="Arial"/>
          <w:lang w:val="en-GB"/>
        </w:rPr>
        <w:t>no reason why the affidavit</w:t>
      </w:r>
      <w:r w:rsidR="003B7F7E" w:rsidRPr="004A277B">
        <w:rPr>
          <w:rFonts w:ascii="Arial" w:hAnsi="Arial" w:cs="Arial"/>
          <w:lang w:val="en-GB"/>
        </w:rPr>
        <w:t xml:space="preserve">, although </w:t>
      </w:r>
      <w:r w:rsidR="0035152D" w:rsidRPr="004A277B">
        <w:rPr>
          <w:rFonts w:ascii="Arial" w:hAnsi="Arial" w:cs="Arial"/>
          <w:lang w:val="en-GB"/>
        </w:rPr>
        <w:t>supplemented</w:t>
      </w:r>
      <w:r w:rsidR="0035152D">
        <w:rPr>
          <w:rFonts w:ascii="Arial" w:hAnsi="Arial" w:cs="Arial"/>
          <w:lang w:val="en-GB"/>
        </w:rPr>
        <w:t>,</w:t>
      </w:r>
      <w:r w:rsidR="0035152D" w:rsidRPr="004A277B">
        <w:rPr>
          <w:rFonts w:ascii="Arial" w:hAnsi="Arial" w:cs="Arial"/>
          <w:lang w:val="en-GB"/>
        </w:rPr>
        <w:t xml:space="preserve"> should</w:t>
      </w:r>
      <w:r w:rsidR="00B775F5" w:rsidRPr="004A277B">
        <w:rPr>
          <w:rFonts w:ascii="Arial" w:hAnsi="Arial" w:cs="Arial"/>
          <w:lang w:val="en-GB"/>
        </w:rPr>
        <w:t xml:space="preserve"> not </w:t>
      </w:r>
      <w:r w:rsidR="003B7F7E" w:rsidRPr="004A277B">
        <w:rPr>
          <w:rFonts w:ascii="Arial" w:hAnsi="Arial" w:cs="Arial"/>
          <w:lang w:val="en-GB"/>
        </w:rPr>
        <w:t xml:space="preserve">be read to conform to the description of the </w:t>
      </w:r>
      <w:r w:rsidR="000D6B4E">
        <w:rPr>
          <w:rFonts w:ascii="Arial" w:hAnsi="Arial" w:cs="Arial"/>
          <w:lang w:val="en-GB"/>
        </w:rPr>
        <w:t xml:space="preserve"> subrule </w:t>
      </w:r>
      <w:r w:rsidR="00DD7759" w:rsidRPr="004A277B">
        <w:rPr>
          <w:rFonts w:ascii="Arial" w:hAnsi="Arial" w:cs="Arial"/>
          <w:lang w:val="en-GB"/>
        </w:rPr>
        <w:t>(2)(a) affidavit</w:t>
      </w:r>
      <w:r w:rsidR="00E16E9E">
        <w:rPr>
          <w:rFonts w:ascii="Arial" w:hAnsi="Arial" w:cs="Arial"/>
          <w:lang w:val="en-GB"/>
        </w:rPr>
        <w:t xml:space="preserve"> the purpose of which is to</w:t>
      </w:r>
      <w:r w:rsidR="00DD7759" w:rsidRPr="004A277B">
        <w:rPr>
          <w:rFonts w:ascii="Arial" w:hAnsi="Arial" w:cs="Arial"/>
          <w:lang w:val="en-GB"/>
        </w:rPr>
        <w:t xml:space="preserve"> </w:t>
      </w:r>
      <w:r w:rsidR="00E16E9E">
        <w:rPr>
          <w:rFonts w:ascii="Arial" w:hAnsi="Arial" w:cs="Arial"/>
          <w:lang w:val="en-GB"/>
        </w:rPr>
        <w:t>provide</w:t>
      </w:r>
      <w:r w:rsidR="00D74CA8">
        <w:rPr>
          <w:rFonts w:ascii="Arial" w:hAnsi="Arial" w:cs="Arial"/>
          <w:lang w:val="en-GB"/>
        </w:rPr>
        <w:t xml:space="preserve"> information as to the plaintiff’s  case in a way that</w:t>
      </w:r>
      <w:r w:rsidR="00DD7759" w:rsidRPr="004A277B">
        <w:rPr>
          <w:rFonts w:ascii="Arial" w:hAnsi="Arial" w:cs="Arial"/>
          <w:lang w:val="en-GB"/>
        </w:rPr>
        <w:t xml:space="preserve"> </w:t>
      </w:r>
      <w:r w:rsidR="002E0EFC">
        <w:rPr>
          <w:rFonts w:ascii="Arial" w:hAnsi="Arial" w:cs="Arial"/>
          <w:lang w:val="en-GB"/>
        </w:rPr>
        <w:t>‘</w:t>
      </w:r>
      <w:r w:rsidR="00DD7759" w:rsidRPr="00655A13">
        <w:rPr>
          <w:rFonts w:ascii="Arial" w:hAnsi="Arial" w:cs="Arial"/>
          <w:sz w:val="22"/>
          <w:szCs w:val="22"/>
          <w:lang w:val="en-GB"/>
        </w:rPr>
        <w:t>explain</w:t>
      </w:r>
      <w:r w:rsidR="002E0EFC" w:rsidRPr="00655A13">
        <w:rPr>
          <w:rFonts w:ascii="Arial" w:hAnsi="Arial" w:cs="Arial"/>
          <w:sz w:val="22"/>
          <w:szCs w:val="22"/>
          <w:lang w:val="en-GB"/>
        </w:rPr>
        <w:t>[s]</w:t>
      </w:r>
      <w:r w:rsidR="00DD7759" w:rsidRPr="00655A13">
        <w:rPr>
          <w:rFonts w:ascii="Arial" w:hAnsi="Arial" w:cs="Arial"/>
          <w:sz w:val="22"/>
          <w:szCs w:val="22"/>
          <w:lang w:val="en-GB"/>
        </w:rPr>
        <w:t xml:space="preserve"> briefly why the </w:t>
      </w:r>
      <w:r w:rsidR="00DD7759" w:rsidRPr="000C3C1B">
        <w:rPr>
          <w:rFonts w:ascii="Arial" w:hAnsi="Arial" w:cs="Arial"/>
          <w:sz w:val="22"/>
          <w:szCs w:val="22"/>
          <w:u w:val="single"/>
          <w:lang w:val="en-GB"/>
        </w:rPr>
        <w:t>defence pleaded</w:t>
      </w:r>
      <w:r w:rsidR="00DD7759" w:rsidRPr="00655A13">
        <w:rPr>
          <w:rFonts w:ascii="Arial" w:hAnsi="Arial" w:cs="Arial"/>
          <w:sz w:val="22"/>
          <w:szCs w:val="22"/>
          <w:lang w:val="en-GB"/>
        </w:rPr>
        <w:t xml:space="preserve"> does not raise any issue for trial.</w:t>
      </w:r>
      <w:r w:rsidR="004A277B" w:rsidRPr="00655A13">
        <w:rPr>
          <w:rFonts w:ascii="Arial" w:hAnsi="Arial" w:cs="Arial"/>
          <w:sz w:val="22"/>
          <w:szCs w:val="22"/>
          <w:lang w:val="en-GB"/>
        </w:rPr>
        <w:t>’</w:t>
      </w:r>
      <w:r w:rsidR="00DD7759" w:rsidRPr="00655A13">
        <w:rPr>
          <w:rFonts w:ascii="Arial" w:hAnsi="Arial" w:cs="Arial"/>
          <w:sz w:val="22"/>
          <w:szCs w:val="22"/>
          <w:lang w:val="en-GB"/>
        </w:rPr>
        <w:t xml:space="preserve"> </w:t>
      </w:r>
      <w:r w:rsidR="000C3C1B">
        <w:rPr>
          <w:rFonts w:ascii="Arial" w:hAnsi="Arial" w:cs="Arial"/>
          <w:sz w:val="22"/>
          <w:szCs w:val="22"/>
          <w:lang w:val="en-GB"/>
        </w:rPr>
        <w:t>(Emphasis added.)</w:t>
      </w:r>
    </w:p>
    <w:p w:rsidR="004A277B" w:rsidRPr="004A277B" w:rsidRDefault="004A277B" w:rsidP="000D6B4E">
      <w:pPr>
        <w:pStyle w:val="ListParagraph"/>
        <w:spacing w:line="360" w:lineRule="auto"/>
        <w:rPr>
          <w:rFonts w:ascii="Arial" w:hAnsi="Arial" w:cs="Arial"/>
          <w:lang w:val="en-GB"/>
        </w:rPr>
      </w:pPr>
    </w:p>
    <w:p w:rsidR="00412325" w:rsidRDefault="00331529" w:rsidP="00FD6753">
      <w:pPr>
        <w:pStyle w:val="ListParagraph"/>
        <w:numPr>
          <w:ilvl w:val="0"/>
          <w:numId w:val="2"/>
        </w:numPr>
        <w:spacing w:line="360" w:lineRule="auto"/>
        <w:ind w:left="0" w:firstLine="0"/>
        <w:rPr>
          <w:rFonts w:ascii="Arial" w:hAnsi="Arial" w:cs="Arial"/>
          <w:lang w:val="en-GB"/>
        </w:rPr>
      </w:pPr>
      <w:r>
        <w:rPr>
          <w:rFonts w:ascii="Arial" w:hAnsi="Arial" w:cs="Arial"/>
          <w:lang w:val="en-GB"/>
        </w:rPr>
        <w:t xml:space="preserve">To my mind, it stands to reason that if the pleaded </w:t>
      </w:r>
      <w:r w:rsidR="005344A5">
        <w:rPr>
          <w:rFonts w:ascii="Arial" w:hAnsi="Arial" w:cs="Arial"/>
          <w:lang w:val="en-GB"/>
        </w:rPr>
        <w:t xml:space="preserve">defence </w:t>
      </w:r>
      <w:r>
        <w:rPr>
          <w:rFonts w:ascii="Arial" w:hAnsi="Arial" w:cs="Arial"/>
          <w:lang w:val="en-GB"/>
        </w:rPr>
        <w:t>changes</w:t>
      </w:r>
      <w:r w:rsidR="003A2D12">
        <w:rPr>
          <w:rFonts w:ascii="Arial" w:hAnsi="Arial" w:cs="Arial"/>
          <w:lang w:val="en-GB"/>
        </w:rPr>
        <w:t>,</w:t>
      </w:r>
      <w:r>
        <w:rPr>
          <w:rFonts w:ascii="Arial" w:hAnsi="Arial" w:cs="Arial"/>
          <w:lang w:val="en-GB"/>
        </w:rPr>
        <w:t xml:space="preserve"> the affidavit filed</w:t>
      </w:r>
      <w:r w:rsidR="000D6B4E">
        <w:rPr>
          <w:rFonts w:ascii="Arial" w:hAnsi="Arial" w:cs="Arial"/>
          <w:lang w:val="en-GB"/>
        </w:rPr>
        <w:t xml:space="preserve"> may need</w:t>
      </w:r>
      <w:r>
        <w:rPr>
          <w:rFonts w:ascii="Arial" w:hAnsi="Arial" w:cs="Arial"/>
          <w:lang w:val="en-GB"/>
        </w:rPr>
        <w:t xml:space="preserve"> to be adjusted </w:t>
      </w:r>
      <w:r w:rsidR="00412325">
        <w:rPr>
          <w:rFonts w:ascii="Arial" w:hAnsi="Arial" w:cs="Arial"/>
          <w:lang w:val="en-GB"/>
        </w:rPr>
        <w:t>to deal with the new defence</w:t>
      </w:r>
      <w:r w:rsidR="00F321D8">
        <w:rPr>
          <w:rFonts w:ascii="Arial" w:hAnsi="Arial" w:cs="Arial"/>
          <w:lang w:val="en-GB"/>
        </w:rPr>
        <w:t xml:space="preserve">. The fact that </w:t>
      </w:r>
      <w:r w:rsidR="00655A13">
        <w:rPr>
          <w:rFonts w:ascii="Arial" w:hAnsi="Arial" w:cs="Arial"/>
          <w:lang w:val="en-GB"/>
        </w:rPr>
        <w:t>a further affidavit is necessary for</w:t>
      </w:r>
      <w:r w:rsidR="00152DE7">
        <w:rPr>
          <w:rFonts w:ascii="Arial" w:hAnsi="Arial" w:cs="Arial"/>
          <w:lang w:val="en-GB"/>
        </w:rPr>
        <w:t xml:space="preserve"> the purpose of this adjustment </w:t>
      </w:r>
      <w:r w:rsidR="00F321D8">
        <w:rPr>
          <w:rFonts w:ascii="Arial" w:hAnsi="Arial" w:cs="Arial"/>
          <w:lang w:val="en-GB"/>
        </w:rPr>
        <w:t xml:space="preserve">does not change the nature and characterisation of the </w:t>
      </w:r>
      <w:r w:rsidR="00180019">
        <w:rPr>
          <w:rFonts w:ascii="Arial" w:hAnsi="Arial" w:cs="Arial"/>
          <w:lang w:val="en-GB"/>
        </w:rPr>
        <w:t>founding application.</w:t>
      </w:r>
      <w:r w:rsidR="00152DE7">
        <w:rPr>
          <w:rFonts w:ascii="Arial" w:hAnsi="Arial" w:cs="Arial"/>
          <w:lang w:val="en-GB"/>
        </w:rPr>
        <w:t xml:space="preserve"> Indeed</w:t>
      </w:r>
      <w:r w:rsidR="00F27BF6">
        <w:rPr>
          <w:rFonts w:ascii="Arial" w:hAnsi="Arial" w:cs="Arial"/>
          <w:lang w:val="en-GB"/>
        </w:rPr>
        <w:t>,</w:t>
      </w:r>
      <w:r w:rsidR="00152DE7">
        <w:rPr>
          <w:rFonts w:ascii="Arial" w:hAnsi="Arial" w:cs="Arial"/>
          <w:lang w:val="en-GB"/>
        </w:rPr>
        <w:t xml:space="preserve"> the adjustment may not be </w:t>
      </w:r>
      <w:r w:rsidR="00F27BF6">
        <w:rPr>
          <w:rFonts w:ascii="Arial" w:hAnsi="Arial" w:cs="Arial"/>
          <w:lang w:val="en-GB"/>
        </w:rPr>
        <w:t xml:space="preserve">evidence dependent </w:t>
      </w:r>
      <w:r w:rsidR="002E0EFC">
        <w:rPr>
          <w:rFonts w:ascii="Arial" w:hAnsi="Arial" w:cs="Arial"/>
          <w:lang w:val="en-GB"/>
        </w:rPr>
        <w:t xml:space="preserve">at all </w:t>
      </w:r>
      <w:r w:rsidR="00F27BF6">
        <w:rPr>
          <w:rFonts w:ascii="Arial" w:hAnsi="Arial" w:cs="Arial"/>
          <w:lang w:val="en-GB"/>
        </w:rPr>
        <w:t xml:space="preserve">and may require only </w:t>
      </w:r>
      <w:r w:rsidR="00180019">
        <w:rPr>
          <w:rFonts w:ascii="Arial" w:hAnsi="Arial" w:cs="Arial"/>
          <w:lang w:val="en-GB"/>
        </w:rPr>
        <w:t xml:space="preserve">the setting out of </w:t>
      </w:r>
      <w:r w:rsidR="00F27BF6">
        <w:rPr>
          <w:rFonts w:ascii="Arial" w:hAnsi="Arial" w:cs="Arial"/>
          <w:lang w:val="en-GB"/>
        </w:rPr>
        <w:t xml:space="preserve">a legal </w:t>
      </w:r>
      <w:r w:rsidR="00314CEA">
        <w:rPr>
          <w:rFonts w:ascii="Arial" w:hAnsi="Arial" w:cs="Arial"/>
          <w:lang w:val="en-GB"/>
        </w:rPr>
        <w:t>point</w:t>
      </w:r>
      <w:r w:rsidR="00F27BF6">
        <w:rPr>
          <w:rFonts w:ascii="Arial" w:hAnsi="Arial" w:cs="Arial"/>
          <w:lang w:val="en-GB"/>
        </w:rPr>
        <w:t>. Such an adjustment would not</w:t>
      </w:r>
      <w:r w:rsidR="00A403D8">
        <w:rPr>
          <w:rFonts w:ascii="Arial" w:hAnsi="Arial" w:cs="Arial"/>
          <w:lang w:val="en-GB"/>
        </w:rPr>
        <w:t>,</w:t>
      </w:r>
      <w:r w:rsidR="00F27BF6">
        <w:rPr>
          <w:rFonts w:ascii="Arial" w:hAnsi="Arial" w:cs="Arial"/>
          <w:lang w:val="en-GB"/>
        </w:rPr>
        <w:t xml:space="preserve"> on any interpretation</w:t>
      </w:r>
      <w:r w:rsidR="00A403D8">
        <w:rPr>
          <w:rFonts w:ascii="Arial" w:hAnsi="Arial" w:cs="Arial"/>
          <w:lang w:val="en-GB"/>
        </w:rPr>
        <w:t>,</w:t>
      </w:r>
      <w:r w:rsidR="00F27BF6">
        <w:rPr>
          <w:rFonts w:ascii="Arial" w:hAnsi="Arial" w:cs="Arial"/>
          <w:lang w:val="en-GB"/>
        </w:rPr>
        <w:t xml:space="preserve"> be hit by the prohibition in subrule (4) which </w:t>
      </w:r>
      <w:r w:rsidR="00A403D8">
        <w:rPr>
          <w:rFonts w:ascii="Arial" w:hAnsi="Arial" w:cs="Arial"/>
          <w:lang w:val="en-GB"/>
        </w:rPr>
        <w:t xml:space="preserve">applies only to </w:t>
      </w:r>
      <w:r w:rsidR="00314CEA">
        <w:rPr>
          <w:rFonts w:ascii="Arial" w:hAnsi="Arial" w:cs="Arial"/>
          <w:lang w:val="en-GB"/>
        </w:rPr>
        <w:t>‘</w:t>
      </w:r>
      <w:r w:rsidR="00A403D8">
        <w:rPr>
          <w:rFonts w:ascii="Arial" w:hAnsi="Arial" w:cs="Arial"/>
          <w:lang w:val="en-GB"/>
        </w:rPr>
        <w:t>evidence</w:t>
      </w:r>
      <w:r w:rsidR="00314CEA">
        <w:rPr>
          <w:rFonts w:ascii="Arial" w:hAnsi="Arial" w:cs="Arial"/>
          <w:lang w:val="en-GB"/>
        </w:rPr>
        <w:t>’</w:t>
      </w:r>
      <w:r w:rsidR="00A403D8">
        <w:rPr>
          <w:rFonts w:ascii="Arial" w:hAnsi="Arial" w:cs="Arial"/>
          <w:lang w:val="en-GB"/>
        </w:rPr>
        <w:t>.</w:t>
      </w:r>
    </w:p>
    <w:p w:rsidR="00412325" w:rsidRPr="00412325" w:rsidRDefault="00412325" w:rsidP="00412325">
      <w:pPr>
        <w:pStyle w:val="ListParagraph"/>
        <w:rPr>
          <w:rFonts w:ascii="Arial" w:hAnsi="Arial" w:cs="Arial"/>
          <w:lang w:val="en-GB"/>
        </w:rPr>
      </w:pPr>
    </w:p>
    <w:p w:rsidR="00FD6753" w:rsidRDefault="00A403D8" w:rsidP="00FD6753">
      <w:pPr>
        <w:pStyle w:val="ListParagraph"/>
        <w:numPr>
          <w:ilvl w:val="0"/>
          <w:numId w:val="2"/>
        </w:numPr>
        <w:spacing w:line="360" w:lineRule="auto"/>
        <w:ind w:left="0" w:firstLine="0"/>
        <w:rPr>
          <w:rFonts w:ascii="Arial" w:hAnsi="Arial" w:cs="Arial"/>
          <w:lang w:val="en-GB"/>
        </w:rPr>
      </w:pPr>
      <w:r>
        <w:rPr>
          <w:rFonts w:ascii="Arial" w:hAnsi="Arial" w:cs="Arial"/>
          <w:lang w:val="en-GB"/>
        </w:rPr>
        <w:t xml:space="preserve"> It could not have been the intention of the dra</w:t>
      </w:r>
      <w:r w:rsidR="00154CC9">
        <w:rPr>
          <w:rFonts w:ascii="Arial" w:hAnsi="Arial" w:cs="Arial"/>
          <w:lang w:val="en-GB"/>
        </w:rPr>
        <w:t>fters</w:t>
      </w:r>
      <w:r>
        <w:rPr>
          <w:rFonts w:ascii="Arial" w:hAnsi="Arial" w:cs="Arial"/>
          <w:lang w:val="en-GB"/>
        </w:rPr>
        <w:t xml:space="preserve"> of the rule to </w:t>
      </w:r>
      <w:r w:rsidR="000C3C1B">
        <w:rPr>
          <w:rFonts w:ascii="Arial" w:hAnsi="Arial" w:cs="Arial"/>
          <w:lang w:val="en-GB"/>
        </w:rPr>
        <w:t>allow the</w:t>
      </w:r>
      <w:r w:rsidR="00412325">
        <w:rPr>
          <w:rFonts w:ascii="Arial" w:hAnsi="Arial" w:cs="Arial"/>
          <w:lang w:val="en-GB"/>
        </w:rPr>
        <w:t xml:space="preserve"> plaintiff to raise</w:t>
      </w:r>
      <w:r w:rsidR="00791DE8">
        <w:rPr>
          <w:rFonts w:ascii="Arial" w:hAnsi="Arial" w:cs="Arial"/>
          <w:lang w:val="en-GB"/>
        </w:rPr>
        <w:t xml:space="preserve"> points of law </w:t>
      </w:r>
      <w:r w:rsidR="004375C8">
        <w:rPr>
          <w:rFonts w:ascii="Arial" w:hAnsi="Arial" w:cs="Arial"/>
          <w:lang w:val="en-GB"/>
        </w:rPr>
        <w:t>arising from</w:t>
      </w:r>
      <w:r w:rsidR="00FD6753">
        <w:rPr>
          <w:rFonts w:ascii="Arial" w:hAnsi="Arial" w:cs="Arial"/>
          <w:lang w:val="en-GB"/>
        </w:rPr>
        <w:t xml:space="preserve"> the amended</w:t>
      </w:r>
      <w:r w:rsidR="00314CEA">
        <w:rPr>
          <w:rFonts w:ascii="Arial" w:hAnsi="Arial" w:cs="Arial"/>
          <w:lang w:val="en-GB"/>
        </w:rPr>
        <w:t xml:space="preserve"> plea</w:t>
      </w:r>
      <w:r w:rsidR="00FD6753">
        <w:rPr>
          <w:rFonts w:ascii="Arial" w:hAnsi="Arial" w:cs="Arial"/>
          <w:lang w:val="en-GB"/>
        </w:rPr>
        <w:t xml:space="preserve"> but </w:t>
      </w:r>
      <w:r w:rsidR="000C3C1B">
        <w:rPr>
          <w:rFonts w:ascii="Arial" w:hAnsi="Arial" w:cs="Arial"/>
          <w:lang w:val="en-GB"/>
        </w:rPr>
        <w:t>to pro</w:t>
      </w:r>
      <w:r w:rsidR="00DD3F7E">
        <w:rPr>
          <w:rFonts w:ascii="Arial" w:hAnsi="Arial" w:cs="Arial"/>
          <w:lang w:val="en-GB"/>
        </w:rPr>
        <w:t>hibit the raising of</w:t>
      </w:r>
      <w:r w:rsidR="004375C8">
        <w:rPr>
          <w:rFonts w:ascii="Arial" w:hAnsi="Arial" w:cs="Arial"/>
          <w:lang w:val="en-GB"/>
        </w:rPr>
        <w:t xml:space="preserve"> </w:t>
      </w:r>
      <w:r w:rsidR="00314CEA">
        <w:rPr>
          <w:rFonts w:ascii="Arial" w:hAnsi="Arial" w:cs="Arial"/>
          <w:lang w:val="en-GB"/>
        </w:rPr>
        <w:t xml:space="preserve"> </w:t>
      </w:r>
      <w:r w:rsidR="00FD6753">
        <w:rPr>
          <w:rFonts w:ascii="Arial" w:hAnsi="Arial" w:cs="Arial"/>
          <w:lang w:val="en-GB"/>
        </w:rPr>
        <w:t>factual content</w:t>
      </w:r>
      <w:r w:rsidR="00944883">
        <w:rPr>
          <w:rFonts w:ascii="Arial" w:hAnsi="Arial" w:cs="Arial"/>
          <w:lang w:val="en-GB"/>
        </w:rPr>
        <w:t xml:space="preserve"> arising therefrom</w:t>
      </w:r>
      <w:r w:rsidR="00FD6753">
        <w:rPr>
          <w:rFonts w:ascii="Arial" w:hAnsi="Arial" w:cs="Arial"/>
          <w:lang w:val="en-GB"/>
        </w:rPr>
        <w:t>. Such a distinction would be irrational.</w:t>
      </w:r>
    </w:p>
    <w:p w:rsidR="00FD6753" w:rsidRPr="00FD6753" w:rsidRDefault="00FD6753" w:rsidP="00FD6753">
      <w:pPr>
        <w:pStyle w:val="ListParagraph"/>
        <w:rPr>
          <w:rFonts w:ascii="Arial" w:hAnsi="Arial" w:cs="Arial"/>
          <w:lang w:val="en-GB"/>
        </w:rPr>
      </w:pPr>
    </w:p>
    <w:p w:rsidR="000736A1" w:rsidRPr="000736A1" w:rsidRDefault="000736A1" w:rsidP="000736A1">
      <w:pPr>
        <w:pStyle w:val="ListParagraph"/>
        <w:rPr>
          <w:rFonts w:ascii="Arial" w:hAnsi="Arial" w:cs="Arial"/>
          <w:lang w:val="en-GB"/>
        </w:rPr>
      </w:pPr>
    </w:p>
    <w:p w:rsidR="00314CEA" w:rsidRPr="00314CEA" w:rsidRDefault="002B2FAE" w:rsidP="005D209F">
      <w:pPr>
        <w:pStyle w:val="ListParagraph"/>
        <w:numPr>
          <w:ilvl w:val="0"/>
          <w:numId w:val="2"/>
        </w:numPr>
        <w:spacing w:line="360" w:lineRule="auto"/>
        <w:ind w:left="0" w:firstLine="0"/>
        <w:rPr>
          <w:rFonts w:ascii="Arial" w:hAnsi="Arial" w:cs="Arial"/>
          <w:b/>
          <w:lang w:val="en-GB"/>
        </w:rPr>
      </w:pPr>
      <w:r>
        <w:rPr>
          <w:rFonts w:ascii="Arial" w:hAnsi="Arial" w:cs="Arial"/>
          <w:lang w:val="en-GB"/>
        </w:rPr>
        <w:t>The Rules Board for Courts of Law of the Republic of South Africa</w:t>
      </w:r>
      <w:r w:rsidR="00D24478">
        <w:rPr>
          <w:rFonts w:ascii="Arial" w:hAnsi="Arial" w:cs="Arial"/>
          <w:lang w:val="en-GB"/>
        </w:rPr>
        <w:t xml:space="preserve"> (the  Board)</w:t>
      </w:r>
      <w:r w:rsidR="00A03ECF">
        <w:rPr>
          <w:rFonts w:ascii="Arial" w:hAnsi="Arial" w:cs="Arial"/>
          <w:lang w:val="en-GB"/>
        </w:rPr>
        <w:t xml:space="preserve"> is</w:t>
      </w:r>
      <w:r w:rsidR="006161D8">
        <w:rPr>
          <w:rFonts w:ascii="Arial" w:hAnsi="Arial" w:cs="Arial"/>
          <w:lang w:val="en-GB"/>
        </w:rPr>
        <w:t xml:space="preserve"> </w:t>
      </w:r>
      <w:r w:rsidR="00D24478">
        <w:rPr>
          <w:rFonts w:ascii="Arial" w:hAnsi="Arial" w:cs="Arial"/>
          <w:lang w:val="en-GB"/>
        </w:rPr>
        <w:t xml:space="preserve">the body responsible </w:t>
      </w:r>
      <w:r w:rsidR="006161D8">
        <w:rPr>
          <w:rFonts w:ascii="Arial" w:hAnsi="Arial" w:cs="Arial"/>
          <w:lang w:val="en-GB"/>
        </w:rPr>
        <w:t xml:space="preserve">for the review of the rules of court and the making, amendment or repeal of the </w:t>
      </w:r>
      <w:r w:rsidR="003C2769">
        <w:rPr>
          <w:rFonts w:ascii="Arial" w:hAnsi="Arial" w:cs="Arial"/>
          <w:lang w:val="en-GB"/>
        </w:rPr>
        <w:t xml:space="preserve">uniform </w:t>
      </w:r>
      <w:r w:rsidR="006161D8">
        <w:rPr>
          <w:rFonts w:ascii="Arial" w:hAnsi="Arial" w:cs="Arial"/>
          <w:lang w:val="en-GB"/>
        </w:rPr>
        <w:t>rules subject to the approval of the Minster of Justice and Correctional Services</w:t>
      </w:r>
      <w:r w:rsidR="003C2769">
        <w:rPr>
          <w:rFonts w:ascii="Arial" w:hAnsi="Arial" w:cs="Arial"/>
          <w:lang w:val="en-GB"/>
        </w:rPr>
        <w:t>.</w:t>
      </w:r>
    </w:p>
    <w:p w:rsidR="00314CEA" w:rsidRPr="00314CEA" w:rsidRDefault="00314CEA" w:rsidP="00314CEA">
      <w:pPr>
        <w:pStyle w:val="ListParagraph"/>
        <w:spacing w:line="360" w:lineRule="auto"/>
        <w:ind w:left="0"/>
        <w:rPr>
          <w:rFonts w:ascii="Arial" w:hAnsi="Arial" w:cs="Arial"/>
          <w:b/>
          <w:lang w:val="en-GB"/>
        </w:rPr>
      </w:pPr>
    </w:p>
    <w:p w:rsidR="00E60582" w:rsidRPr="00E60582" w:rsidRDefault="00314CEA" w:rsidP="005D209F">
      <w:pPr>
        <w:pStyle w:val="ListParagraph"/>
        <w:numPr>
          <w:ilvl w:val="0"/>
          <w:numId w:val="2"/>
        </w:numPr>
        <w:spacing w:line="360" w:lineRule="auto"/>
        <w:ind w:left="0" w:firstLine="0"/>
        <w:rPr>
          <w:rFonts w:ascii="Arial" w:hAnsi="Arial" w:cs="Arial"/>
          <w:b/>
          <w:lang w:val="en-GB"/>
        </w:rPr>
      </w:pPr>
      <w:r>
        <w:rPr>
          <w:rFonts w:ascii="Arial" w:hAnsi="Arial" w:cs="Arial"/>
          <w:lang w:val="en-GB"/>
        </w:rPr>
        <w:t xml:space="preserve">Preparatory to the </w:t>
      </w:r>
      <w:r w:rsidR="00E60582">
        <w:rPr>
          <w:rFonts w:ascii="Arial" w:hAnsi="Arial" w:cs="Arial"/>
          <w:lang w:val="en-GB"/>
        </w:rPr>
        <w:t xml:space="preserve">possible </w:t>
      </w:r>
      <w:r>
        <w:rPr>
          <w:rFonts w:ascii="Arial" w:hAnsi="Arial" w:cs="Arial"/>
          <w:lang w:val="en-GB"/>
        </w:rPr>
        <w:t>amendment of the summary judgment procedure,</w:t>
      </w:r>
      <w:r w:rsidR="00D10FBF">
        <w:rPr>
          <w:rFonts w:ascii="Arial" w:hAnsi="Arial" w:cs="Arial"/>
          <w:lang w:val="en-GB"/>
        </w:rPr>
        <w:t xml:space="preserve"> </w:t>
      </w:r>
      <w:r w:rsidR="003C2769">
        <w:rPr>
          <w:rFonts w:ascii="Arial" w:hAnsi="Arial" w:cs="Arial"/>
          <w:lang w:val="en-GB"/>
        </w:rPr>
        <w:t xml:space="preserve"> </w:t>
      </w:r>
      <w:r>
        <w:rPr>
          <w:rFonts w:ascii="Arial" w:hAnsi="Arial" w:cs="Arial"/>
          <w:lang w:val="en-GB"/>
        </w:rPr>
        <w:t>t</w:t>
      </w:r>
      <w:r w:rsidR="003C2769">
        <w:rPr>
          <w:rFonts w:ascii="Arial" w:hAnsi="Arial" w:cs="Arial"/>
          <w:lang w:val="en-GB"/>
        </w:rPr>
        <w:t>he Board appointed a task team to investigate and consider</w:t>
      </w:r>
      <w:r w:rsidR="005B1BA1">
        <w:rPr>
          <w:rFonts w:ascii="Arial" w:hAnsi="Arial" w:cs="Arial"/>
          <w:lang w:val="en-GB"/>
        </w:rPr>
        <w:t xml:space="preserve"> whether rule 32 was fit for purpose</w:t>
      </w:r>
      <w:r w:rsidR="009B4E9E">
        <w:rPr>
          <w:rFonts w:ascii="Arial" w:hAnsi="Arial" w:cs="Arial"/>
          <w:lang w:val="en-GB"/>
        </w:rPr>
        <w:t xml:space="preserve">. </w:t>
      </w:r>
      <w:r w:rsidR="00E60582">
        <w:rPr>
          <w:rFonts w:ascii="Arial" w:hAnsi="Arial" w:cs="Arial"/>
          <w:lang w:val="en-GB"/>
        </w:rPr>
        <w:t xml:space="preserve"> Pursuant to this process,</w:t>
      </w:r>
      <w:r w:rsidR="009B4E9E">
        <w:rPr>
          <w:rFonts w:ascii="Arial" w:hAnsi="Arial" w:cs="Arial"/>
          <w:lang w:val="en-GB"/>
        </w:rPr>
        <w:t xml:space="preserve"> the Board released a memorandum </w:t>
      </w:r>
      <w:r w:rsidR="00E60582">
        <w:rPr>
          <w:rFonts w:ascii="Arial" w:hAnsi="Arial" w:cs="Arial"/>
          <w:lang w:val="en-GB"/>
        </w:rPr>
        <w:t xml:space="preserve"> ( the memorandum) </w:t>
      </w:r>
      <w:r w:rsidR="008E470A">
        <w:rPr>
          <w:rFonts w:ascii="Arial" w:hAnsi="Arial" w:cs="Arial"/>
          <w:lang w:val="en-GB"/>
        </w:rPr>
        <w:t>dealing with proposed changes to rule 32 which had arisen out of the task team</w:t>
      </w:r>
      <w:r w:rsidR="00F56F6C">
        <w:rPr>
          <w:rFonts w:ascii="Arial" w:hAnsi="Arial" w:cs="Arial"/>
          <w:lang w:val="en-GB"/>
        </w:rPr>
        <w:t>’</w:t>
      </w:r>
      <w:r w:rsidR="008E470A">
        <w:rPr>
          <w:rFonts w:ascii="Arial" w:hAnsi="Arial" w:cs="Arial"/>
          <w:lang w:val="en-GB"/>
        </w:rPr>
        <w:t xml:space="preserve">s consideration of rule 32. </w:t>
      </w:r>
    </w:p>
    <w:p w:rsidR="00E60582" w:rsidRPr="00E60582" w:rsidRDefault="00E60582" w:rsidP="00E60582">
      <w:pPr>
        <w:pStyle w:val="ListParagraph"/>
        <w:rPr>
          <w:rFonts w:ascii="Arial" w:hAnsi="Arial" w:cs="Arial"/>
          <w:lang w:val="en-GB"/>
        </w:rPr>
      </w:pPr>
    </w:p>
    <w:p w:rsidR="009F4B91" w:rsidRDefault="008E470A" w:rsidP="0099433C">
      <w:pPr>
        <w:pStyle w:val="ListParagraph"/>
        <w:numPr>
          <w:ilvl w:val="0"/>
          <w:numId w:val="2"/>
        </w:numPr>
        <w:spacing w:line="360" w:lineRule="auto"/>
        <w:ind w:left="0" w:firstLine="0"/>
        <w:rPr>
          <w:rFonts w:ascii="Arial" w:hAnsi="Arial" w:cs="Arial"/>
          <w:b/>
          <w:lang w:val="en-GB"/>
        </w:rPr>
      </w:pPr>
      <w:r>
        <w:rPr>
          <w:rFonts w:ascii="Arial" w:hAnsi="Arial" w:cs="Arial"/>
          <w:lang w:val="en-GB"/>
        </w:rPr>
        <w:lastRenderedPageBreak/>
        <w:t xml:space="preserve"> </w:t>
      </w:r>
      <w:r w:rsidR="00E60582">
        <w:rPr>
          <w:rFonts w:ascii="Arial" w:hAnsi="Arial" w:cs="Arial"/>
          <w:lang w:val="en-GB"/>
        </w:rPr>
        <w:t xml:space="preserve">In the </w:t>
      </w:r>
      <w:r>
        <w:rPr>
          <w:rFonts w:ascii="Arial" w:hAnsi="Arial" w:cs="Arial"/>
          <w:lang w:val="en-GB"/>
        </w:rPr>
        <w:t xml:space="preserve">memorandum </w:t>
      </w:r>
      <w:r w:rsidR="00E60582">
        <w:rPr>
          <w:rFonts w:ascii="Arial" w:hAnsi="Arial" w:cs="Arial"/>
          <w:lang w:val="en-GB"/>
        </w:rPr>
        <w:t>it was raised that the task team was of the opinion that</w:t>
      </w:r>
      <w:r w:rsidR="002D4076">
        <w:rPr>
          <w:rFonts w:ascii="Arial" w:hAnsi="Arial" w:cs="Arial"/>
          <w:lang w:val="en-GB"/>
        </w:rPr>
        <w:t xml:space="preserve"> t</w:t>
      </w:r>
      <w:r w:rsidR="00E60582">
        <w:rPr>
          <w:rFonts w:ascii="Arial" w:hAnsi="Arial" w:cs="Arial"/>
          <w:lang w:val="en-GB"/>
        </w:rPr>
        <w:t>he</w:t>
      </w:r>
      <w:r w:rsidR="002D4076">
        <w:rPr>
          <w:rFonts w:ascii="Arial" w:hAnsi="Arial" w:cs="Arial"/>
          <w:lang w:val="en-GB"/>
        </w:rPr>
        <w:t xml:space="preserve"> then existing summary judgment procedure was unsatisfactory</w:t>
      </w:r>
      <w:r w:rsidR="00E60582">
        <w:rPr>
          <w:rFonts w:ascii="Arial" w:hAnsi="Arial" w:cs="Arial"/>
          <w:lang w:val="en-GB"/>
        </w:rPr>
        <w:t xml:space="preserve"> in a number of respects</w:t>
      </w:r>
      <w:r w:rsidR="00676CF3">
        <w:rPr>
          <w:rFonts w:ascii="Arial" w:hAnsi="Arial" w:cs="Arial"/>
          <w:lang w:val="en-GB"/>
        </w:rPr>
        <w:t>. In paragraph 3 of the memorandum</w:t>
      </w:r>
      <w:r w:rsidR="009F4B91">
        <w:rPr>
          <w:rFonts w:ascii="Arial" w:hAnsi="Arial" w:cs="Arial"/>
          <w:lang w:val="en-GB"/>
        </w:rPr>
        <w:t xml:space="preserve"> it was </w:t>
      </w:r>
      <w:r w:rsidR="002C288B">
        <w:rPr>
          <w:rFonts w:ascii="Arial" w:hAnsi="Arial" w:cs="Arial"/>
          <w:lang w:val="en-GB"/>
        </w:rPr>
        <w:t>said</w:t>
      </w:r>
      <w:r w:rsidR="009F4B91">
        <w:rPr>
          <w:rFonts w:ascii="Arial" w:hAnsi="Arial" w:cs="Arial"/>
          <w:lang w:val="en-GB"/>
        </w:rPr>
        <w:t xml:space="preserve"> that the task team had raised the following main difficulties with the rule</w:t>
      </w:r>
      <w:r w:rsidR="00395B93">
        <w:rPr>
          <w:rFonts w:ascii="Arial" w:hAnsi="Arial" w:cs="Arial"/>
          <w:lang w:val="en-GB"/>
        </w:rPr>
        <w:t>:</w:t>
      </w:r>
    </w:p>
    <w:p w:rsidR="009F4B91" w:rsidRPr="009F4B91" w:rsidRDefault="009F4B91" w:rsidP="009F4B91">
      <w:pPr>
        <w:pStyle w:val="ListParagraph"/>
        <w:rPr>
          <w:rFonts w:ascii="Arial" w:hAnsi="Arial" w:cs="Arial"/>
          <w:lang w:val="en-GB"/>
        </w:rPr>
      </w:pPr>
    </w:p>
    <w:p w:rsidR="002C288B" w:rsidRPr="002C288B" w:rsidRDefault="004375C8" w:rsidP="002C288B">
      <w:pPr>
        <w:pStyle w:val="ListParagraph"/>
        <w:spacing w:line="360" w:lineRule="auto"/>
        <w:ind w:left="0"/>
        <w:rPr>
          <w:rFonts w:ascii="Arial" w:hAnsi="Arial" w:cs="Arial"/>
          <w:b/>
          <w:sz w:val="22"/>
          <w:szCs w:val="22"/>
          <w:lang w:val="en-GB"/>
        </w:rPr>
      </w:pPr>
      <w:r>
        <w:rPr>
          <w:rFonts w:ascii="Arial" w:hAnsi="Arial" w:cs="Arial"/>
          <w:lang w:val="en-GB"/>
        </w:rPr>
        <w:t>‘</w:t>
      </w:r>
      <w:r w:rsidR="002C288B" w:rsidRPr="002C288B">
        <w:rPr>
          <w:rFonts w:ascii="Arial" w:hAnsi="Arial" w:cs="Arial"/>
          <w:sz w:val="22"/>
          <w:szCs w:val="22"/>
          <w:lang w:val="en-GB"/>
        </w:rPr>
        <w:t xml:space="preserve">3.1 deserving plaintiffs were frequently unable to obtain expeditious relief because of an inability to expose bogus defences (either in their founding affidavit or in any further affidavit – further affidavits not being permitted); </w:t>
      </w:r>
    </w:p>
    <w:p w:rsidR="002C288B" w:rsidRPr="00662FF5" w:rsidRDefault="002C288B" w:rsidP="002C288B">
      <w:pPr>
        <w:pStyle w:val="ListParagraph"/>
        <w:spacing w:line="360" w:lineRule="auto"/>
        <w:ind w:left="0"/>
        <w:rPr>
          <w:rFonts w:ascii="Arial" w:hAnsi="Arial" w:cs="Arial"/>
          <w:sz w:val="22"/>
          <w:szCs w:val="22"/>
          <w:lang w:val="en-GB"/>
        </w:rPr>
      </w:pPr>
      <w:r w:rsidRPr="002C288B">
        <w:rPr>
          <w:rFonts w:ascii="Arial" w:hAnsi="Arial" w:cs="Arial"/>
          <w:sz w:val="22"/>
          <w:szCs w:val="22"/>
          <w:lang w:val="en-GB"/>
        </w:rPr>
        <w:t xml:space="preserve"> 3.2</w:t>
      </w:r>
      <w:r w:rsidRPr="00662FF5">
        <w:rPr>
          <w:rFonts w:ascii="Arial" w:hAnsi="Arial" w:cs="Arial"/>
          <w:sz w:val="22"/>
          <w:szCs w:val="22"/>
          <w:lang w:val="en-GB"/>
        </w:rPr>
        <w:t xml:space="preserve"> opportunistic plaintiffs were able to use the procedure to get the defendant to commit to a version on oath and thus obtain a tactical advantage for trial in due course; and</w:t>
      </w:r>
    </w:p>
    <w:p w:rsidR="002C288B" w:rsidRDefault="002C288B" w:rsidP="002C288B">
      <w:pPr>
        <w:pStyle w:val="ListParagraph"/>
        <w:numPr>
          <w:ilvl w:val="1"/>
          <w:numId w:val="3"/>
        </w:numPr>
        <w:spacing w:line="360" w:lineRule="auto"/>
        <w:rPr>
          <w:rFonts w:ascii="Arial" w:hAnsi="Arial" w:cs="Arial"/>
          <w:sz w:val="22"/>
          <w:szCs w:val="22"/>
          <w:lang w:val="en-GB"/>
        </w:rPr>
      </w:pPr>
      <w:r w:rsidRPr="00662FF5">
        <w:rPr>
          <w:rFonts w:ascii="Arial" w:hAnsi="Arial" w:cs="Arial"/>
          <w:sz w:val="22"/>
          <w:szCs w:val="22"/>
          <w:lang w:val="en-GB"/>
        </w:rPr>
        <w:t>a burden of proof was arguably shifted to the defendant which was not only unfair but</w:t>
      </w:r>
    </w:p>
    <w:p w:rsidR="002C288B" w:rsidRDefault="002C288B" w:rsidP="002C288B">
      <w:pPr>
        <w:pStyle w:val="ListParagraph"/>
        <w:spacing w:line="360" w:lineRule="auto"/>
        <w:ind w:left="360"/>
        <w:rPr>
          <w:rFonts w:ascii="Arial" w:hAnsi="Arial" w:cs="Arial"/>
          <w:sz w:val="22"/>
          <w:szCs w:val="22"/>
          <w:lang w:val="en-GB"/>
        </w:rPr>
      </w:pPr>
      <w:r w:rsidRPr="00662FF5">
        <w:rPr>
          <w:rFonts w:ascii="Arial" w:hAnsi="Arial" w:cs="Arial"/>
          <w:sz w:val="22"/>
          <w:szCs w:val="22"/>
          <w:lang w:val="en-GB"/>
        </w:rPr>
        <w:t>(sic) led to the kinds of constitutional challenges which have emanated in the High Court’</w:t>
      </w:r>
    </w:p>
    <w:p w:rsidR="002C288B" w:rsidRPr="002C288B" w:rsidRDefault="002C288B" w:rsidP="002C288B">
      <w:pPr>
        <w:spacing w:line="360" w:lineRule="auto"/>
        <w:ind w:left="3969"/>
        <w:rPr>
          <w:rFonts w:ascii="Arial" w:hAnsi="Arial" w:cs="Arial"/>
          <w:sz w:val="22"/>
          <w:szCs w:val="22"/>
          <w:lang w:val="en-GB"/>
        </w:rPr>
      </w:pPr>
    </w:p>
    <w:p w:rsidR="002C288B" w:rsidRPr="002C288B" w:rsidRDefault="002C288B" w:rsidP="002C288B">
      <w:pPr>
        <w:pStyle w:val="ListParagraph"/>
        <w:rPr>
          <w:rFonts w:ascii="Arial" w:hAnsi="Arial" w:cs="Arial"/>
          <w:lang w:val="en-GB"/>
        </w:rPr>
      </w:pPr>
    </w:p>
    <w:p w:rsidR="009C01A1" w:rsidRDefault="004375C8" w:rsidP="00A7155E">
      <w:pPr>
        <w:pStyle w:val="ListParagraph"/>
        <w:numPr>
          <w:ilvl w:val="0"/>
          <w:numId w:val="2"/>
        </w:numPr>
        <w:spacing w:line="360" w:lineRule="auto"/>
        <w:ind w:left="0" w:firstLine="0"/>
        <w:rPr>
          <w:rFonts w:ascii="Arial" w:hAnsi="Arial" w:cs="Arial"/>
          <w:sz w:val="22"/>
          <w:szCs w:val="22"/>
          <w:lang w:val="en-GB"/>
        </w:rPr>
      </w:pPr>
      <w:r>
        <w:rPr>
          <w:rFonts w:ascii="Arial" w:hAnsi="Arial" w:cs="Arial"/>
          <w:lang w:val="en-GB"/>
        </w:rPr>
        <w:t>Central</w:t>
      </w:r>
      <w:r w:rsidR="00D64A4B" w:rsidRPr="00D64A4B">
        <w:rPr>
          <w:rFonts w:ascii="Arial" w:hAnsi="Arial" w:cs="Arial"/>
          <w:lang w:val="en-GB"/>
        </w:rPr>
        <w:t xml:space="preserve"> recommendations of the task team</w:t>
      </w:r>
      <w:r>
        <w:rPr>
          <w:rFonts w:ascii="Arial" w:hAnsi="Arial" w:cs="Arial"/>
          <w:lang w:val="en-GB"/>
        </w:rPr>
        <w:t xml:space="preserve"> covered in the memorandum</w:t>
      </w:r>
      <w:r w:rsidR="002C288B">
        <w:rPr>
          <w:rStyle w:val="FootnoteReference"/>
          <w:rFonts w:ascii="Arial" w:hAnsi="Arial" w:cs="Arial"/>
          <w:lang w:val="en-GB"/>
        </w:rPr>
        <w:footnoteReference w:id="4"/>
      </w:r>
      <w:r w:rsidR="00A7155E">
        <w:rPr>
          <w:rFonts w:ascii="Arial" w:hAnsi="Arial" w:cs="Arial"/>
          <w:lang w:val="en-GB"/>
        </w:rPr>
        <w:t xml:space="preserve"> were </w:t>
      </w:r>
      <w:r w:rsidR="00D64A4B" w:rsidRPr="00A7155E">
        <w:rPr>
          <w:rFonts w:ascii="Arial" w:hAnsi="Arial" w:cs="Arial"/>
          <w:lang w:val="en-GB"/>
        </w:rPr>
        <w:t xml:space="preserve">that summary </w:t>
      </w:r>
      <w:r w:rsidR="00A03ECF" w:rsidRPr="00A7155E">
        <w:rPr>
          <w:rFonts w:ascii="Arial" w:hAnsi="Arial" w:cs="Arial"/>
          <w:lang w:val="en-GB"/>
        </w:rPr>
        <w:t xml:space="preserve">judgment </w:t>
      </w:r>
      <w:r w:rsidR="00A03ECF">
        <w:rPr>
          <w:rFonts w:ascii="Arial" w:hAnsi="Arial" w:cs="Arial"/>
          <w:lang w:val="en-GB"/>
        </w:rPr>
        <w:t>should</w:t>
      </w:r>
      <w:r w:rsidR="001D6466">
        <w:rPr>
          <w:rFonts w:ascii="Arial" w:hAnsi="Arial" w:cs="Arial"/>
          <w:lang w:val="en-GB"/>
        </w:rPr>
        <w:t xml:space="preserve"> be applied for</w:t>
      </w:r>
      <w:r w:rsidR="00D64A4B" w:rsidRPr="00A7155E">
        <w:rPr>
          <w:rFonts w:ascii="Arial" w:hAnsi="Arial" w:cs="Arial"/>
          <w:lang w:val="en-GB"/>
        </w:rPr>
        <w:t xml:space="preserve"> after</w:t>
      </w:r>
      <w:r w:rsidR="001D6466">
        <w:rPr>
          <w:rFonts w:ascii="Arial" w:hAnsi="Arial" w:cs="Arial"/>
          <w:lang w:val="en-GB"/>
        </w:rPr>
        <w:t xml:space="preserve"> the delivery of</w:t>
      </w:r>
      <w:r w:rsidR="00D64A4B" w:rsidRPr="00A7155E">
        <w:rPr>
          <w:rFonts w:ascii="Arial" w:hAnsi="Arial" w:cs="Arial"/>
          <w:lang w:val="en-GB"/>
        </w:rPr>
        <w:t xml:space="preserve"> a plea or exception and that</w:t>
      </w:r>
      <w:r w:rsidR="001D6466">
        <w:rPr>
          <w:rFonts w:ascii="Arial" w:hAnsi="Arial" w:cs="Arial"/>
          <w:lang w:val="en-GB"/>
        </w:rPr>
        <w:t xml:space="preserve"> the application for supporting the summary judgment</w:t>
      </w:r>
      <w:r w:rsidR="00D64A4B" w:rsidRPr="00A7155E">
        <w:rPr>
          <w:rFonts w:ascii="Arial" w:hAnsi="Arial" w:cs="Arial"/>
          <w:lang w:val="en-GB"/>
        </w:rPr>
        <w:t xml:space="preserve"> should not </w:t>
      </w:r>
      <w:r w:rsidR="001D6466">
        <w:rPr>
          <w:rFonts w:ascii="Arial" w:hAnsi="Arial" w:cs="Arial"/>
          <w:lang w:val="en-GB"/>
        </w:rPr>
        <w:t>be the</w:t>
      </w:r>
      <w:r w:rsidR="00D64A4B" w:rsidRPr="00A7155E">
        <w:rPr>
          <w:rFonts w:ascii="Arial" w:hAnsi="Arial" w:cs="Arial"/>
          <w:lang w:val="en-GB"/>
        </w:rPr>
        <w:t xml:space="preserve"> </w:t>
      </w:r>
      <w:r w:rsidR="00D64A4B" w:rsidRPr="00A7155E">
        <w:rPr>
          <w:rFonts w:ascii="Arial" w:hAnsi="Arial" w:cs="Arial"/>
          <w:i/>
          <w:lang w:val="en-GB"/>
        </w:rPr>
        <w:t>pro forma</w:t>
      </w:r>
      <w:r w:rsidR="00D64A4B" w:rsidRPr="00A7155E">
        <w:rPr>
          <w:rFonts w:ascii="Arial" w:hAnsi="Arial" w:cs="Arial"/>
          <w:lang w:val="en-GB"/>
        </w:rPr>
        <w:t xml:space="preserve"> affidavit</w:t>
      </w:r>
      <w:r w:rsidR="001D6466">
        <w:rPr>
          <w:rFonts w:ascii="Arial" w:hAnsi="Arial" w:cs="Arial"/>
          <w:lang w:val="en-GB"/>
        </w:rPr>
        <w:t xml:space="preserve"> of the then existing rules</w:t>
      </w:r>
      <w:r w:rsidR="00D64A4B" w:rsidRPr="00A7155E">
        <w:rPr>
          <w:rFonts w:ascii="Arial" w:hAnsi="Arial" w:cs="Arial"/>
          <w:lang w:val="en-GB"/>
        </w:rPr>
        <w:t xml:space="preserve"> but should instead </w:t>
      </w:r>
      <w:r w:rsidR="00A03ECF">
        <w:rPr>
          <w:rFonts w:ascii="Arial" w:hAnsi="Arial" w:cs="Arial"/>
          <w:lang w:val="en-GB"/>
        </w:rPr>
        <w:t>‘</w:t>
      </w:r>
      <w:r w:rsidR="00A03ECF" w:rsidRPr="00A7155E">
        <w:rPr>
          <w:rFonts w:ascii="Arial" w:hAnsi="Arial" w:cs="Arial"/>
          <w:lang w:val="en-GB"/>
        </w:rPr>
        <w:t>identify</w:t>
      </w:r>
      <w:r w:rsidR="00D64A4B" w:rsidRPr="00F56F6C">
        <w:rPr>
          <w:rFonts w:ascii="Arial" w:hAnsi="Arial" w:cs="Arial"/>
          <w:sz w:val="22"/>
          <w:szCs w:val="22"/>
          <w:lang w:val="en-GB"/>
        </w:rPr>
        <w:t xml:space="preserve"> any point of law relied upon and explain briefly why the defence as pleaded does not raise any triable issues.</w:t>
      </w:r>
      <w:r w:rsidR="009C01A1" w:rsidRPr="00F56F6C">
        <w:rPr>
          <w:rFonts w:ascii="Arial" w:hAnsi="Arial" w:cs="Arial"/>
          <w:sz w:val="22"/>
          <w:szCs w:val="22"/>
          <w:lang w:val="en-GB"/>
        </w:rPr>
        <w:t>’</w:t>
      </w:r>
    </w:p>
    <w:p w:rsidR="003D53E9" w:rsidRPr="00F56F6C" w:rsidRDefault="003D53E9" w:rsidP="003D53E9">
      <w:pPr>
        <w:pStyle w:val="ListParagraph"/>
        <w:spacing w:line="360" w:lineRule="auto"/>
        <w:ind w:left="0"/>
        <w:rPr>
          <w:rFonts w:ascii="Arial" w:hAnsi="Arial" w:cs="Arial"/>
          <w:sz w:val="22"/>
          <w:szCs w:val="22"/>
          <w:lang w:val="en-GB"/>
        </w:rPr>
      </w:pPr>
    </w:p>
    <w:p w:rsidR="00D64A4B" w:rsidRPr="00A7155E" w:rsidRDefault="00D64A4B" w:rsidP="00A7155E">
      <w:pPr>
        <w:pStyle w:val="ListParagraph"/>
        <w:numPr>
          <w:ilvl w:val="0"/>
          <w:numId w:val="2"/>
        </w:numPr>
        <w:spacing w:line="360" w:lineRule="auto"/>
        <w:ind w:left="0" w:firstLine="0"/>
        <w:rPr>
          <w:rFonts w:ascii="Arial" w:hAnsi="Arial" w:cs="Arial"/>
          <w:sz w:val="22"/>
          <w:szCs w:val="22"/>
          <w:lang w:val="en-GB"/>
        </w:rPr>
      </w:pPr>
      <w:r w:rsidRPr="00A7155E">
        <w:rPr>
          <w:rFonts w:ascii="Arial" w:hAnsi="Arial" w:cs="Arial"/>
          <w:lang w:val="en-GB"/>
        </w:rPr>
        <w:t xml:space="preserve"> After dealing </w:t>
      </w:r>
      <w:r w:rsidR="0035152D" w:rsidRPr="00A7155E">
        <w:rPr>
          <w:rFonts w:ascii="Arial" w:hAnsi="Arial" w:cs="Arial"/>
          <w:lang w:val="en-GB"/>
        </w:rPr>
        <w:t>with various</w:t>
      </w:r>
      <w:r w:rsidRPr="00A7155E">
        <w:rPr>
          <w:rFonts w:ascii="Arial" w:hAnsi="Arial" w:cs="Arial"/>
          <w:lang w:val="en-GB"/>
        </w:rPr>
        <w:t xml:space="preserve"> shortcomings which arose due to the formulaic approach to the founding affidavit in the then existing rule 32</w:t>
      </w:r>
      <w:r w:rsidR="003D53E9">
        <w:rPr>
          <w:rFonts w:ascii="Arial" w:hAnsi="Arial" w:cs="Arial"/>
          <w:lang w:val="en-GB"/>
        </w:rPr>
        <w:t xml:space="preserve">, </w:t>
      </w:r>
      <w:r w:rsidRPr="00A7155E">
        <w:rPr>
          <w:rFonts w:ascii="Arial" w:hAnsi="Arial" w:cs="Arial"/>
          <w:lang w:val="en-GB"/>
        </w:rPr>
        <w:t xml:space="preserve">the memorandum </w:t>
      </w:r>
      <w:r w:rsidR="003D53E9">
        <w:rPr>
          <w:rFonts w:ascii="Arial" w:hAnsi="Arial" w:cs="Arial"/>
          <w:lang w:val="en-GB"/>
        </w:rPr>
        <w:t>of the Board goes on to state as follows in relation to one</w:t>
      </w:r>
      <w:r w:rsidRPr="00A7155E">
        <w:rPr>
          <w:rFonts w:ascii="Arial" w:hAnsi="Arial" w:cs="Arial"/>
          <w:lang w:val="en-GB"/>
        </w:rPr>
        <w:t xml:space="preserve"> of the main bases for the task team’s recommendations:</w:t>
      </w:r>
    </w:p>
    <w:p w:rsidR="00D64A4B" w:rsidRPr="009C01A1" w:rsidRDefault="00D64A4B" w:rsidP="00D64A4B">
      <w:pPr>
        <w:spacing w:line="360" w:lineRule="auto"/>
        <w:rPr>
          <w:rFonts w:ascii="Arial" w:hAnsi="Arial" w:cs="Arial"/>
          <w:sz w:val="22"/>
          <w:szCs w:val="22"/>
          <w:lang w:val="en-GB"/>
        </w:rPr>
      </w:pPr>
      <w:r w:rsidRPr="00D64A4B">
        <w:rPr>
          <w:rFonts w:ascii="Arial" w:hAnsi="Arial" w:cs="Arial"/>
          <w:lang w:val="en-GB"/>
        </w:rPr>
        <w:t>‘</w:t>
      </w:r>
      <w:r w:rsidRPr="009C01A1">
        <w:rPr>
          <w:rFonts w:ascii="Arial" w:hAnsi="Arial" w:cs="Arial"/>
          <w:sz w:val="22"/>
          <w:szCs w:val="22"/>
          <w:lang w:val="en-GB"/>
        </w:rPr>
        <w:t xml:space="preserve">8.2  The best way of addressing these shortcomings would seem to be to require the founding affidavit in support of summary judgment to be filed at a time when the defendants defence to the action is apparent; by virtue of having been set out in a plea. This course is better than allowing a replying affidavit to be filed (as was suggested by a report prepared a few decades ago by the Galgut </w:t>
      </w:r>
      <w:r w:rsidR="00A03ECF" w:rsidRPr="009C01A1">
        <w:rPr>
          <w:rFonts w:ascii="Arial" w:hAnsi="Arial" w:cs="Arial"/>
          <w:sz w:val="22"/>
          <w:szCs w:val="22"/>
          <w:lang w:val="en-GB"/>
        </w:rPr>
        <w:t>Commission</w:t>
      </w:r>
      <w:r w:rsidRPr="009C01A1">
        <w:rPr>
          <w:rFonts w:ascii="Arial" w:hAnsi="Arial" w:cs="Arial"/>
          <w:sz w:val="22"/>
          <w:szCs w:val="22"/>
          <w:lang w:val="en-GB"/>
        </w:rPr>
        <w:t>).  Merely including provision for a replying affidavit would not address the problems with the formulaic nature of the founding affidavit’.</w:t>
      </w:r>
    </w:p>
    <w:p w:rsidR="00D64A4B" w:rsidRPr="002C288B" w:rsidRDefault="00D64A4B" w:rsidP="002C288B">
      <w:pPr>
        <w:spacing w:line="360" w:lineRule="auto"/>
        <w:ind w:left="3969"/>
        <w:rPr>
          <w:rFonts w:ascii="Arial" w:hAnsi="Arial" w:cs="Arial"/>
          <w:lang w:val="en-GB"/>
        </w:rPr>
      </w:pPr>
    </w:p>
    <w:p w:rsidR="00B2796B" w:rsidRDefault="00F53D8B" w:rsidP="006A3E1E">
      <w:pPr>
        <w:pStyle w:val="ListParagraph"/>
        <w:numPr>
          <w:ilvl w:val="0"/>
          <w:numId w:val="2"/>
        </w:numPr>
        <w:spacing w:line="360" w:lineRule="auto"/>
        <w:ind w:left="0" w:firstLine="0"/>
        <w:rPr>
          <w:rFonts w:ascii="Arial" w:hAnsi="Arial" w:cs="Arial"/>
          <w:lang w:val="en-GB"/>
        </w:rPr>
      </w:pPr>
      <w:r>
        <w:rPr>
          <w:rFonts w:ascii="Arial" w:hAnsi="Arial" w:cs="Arial"/>
          <w:lang w:val="en-GB"/>
        </w:rPr>
        <w:t xml:space="preserve">It is </w:t>
      </w:r>
      <w:r w:rsidR="009C01A1">
        <w:rPr>
          <w:rFonts w:ascii="Arial" w:hAnsi="Arial" w:cs="Arial"/>
          <w:lang w:val="en-GB"/>
        </w:rPr>
        <w:t xml:space="preserve">thus </w:t>
      </w:r>
      <w:r>
        <w:rPr>
          <w:rFonts w:ascii="Arial" w:hAnsi="Arial" w:cs="Arial"/>
          <w:lang w:val="en-GB"/>
        </w:rPr>
        <w:t xml:space="preserve">clear from the </w:t>
      </w:r>
      <w:r w:rsidR="00687A4D">
        <w:rPr>
          <w:rFonts w:ascii="Arial" w:hAnsi="Arial" w:cs="Arial"/>
          <w:lang w:val="en-GB"/>
        </w:rPr>
        <w:t xml:space="preserve">memorandum that </w:t>
      </w:r>
      <w:r w:rsidR="00F56F6C">
        <w:rPr>
          <w:rFonts w:ascii="Arial" w:hAnsi="Arial" w:cs="Arial"/>
          <w:lang w:val="en-GB"/>
        </w:rPr>
        <w:t xml:space="preserve">the main </w:t>
      </w:r>
      <w:r>
        <w:rPr>
          <w:rFonts w:ascii="Arial" w:hAnsi="Arial" w:cs="Arial"/>
          <w:lang w:val="en-GB"/>
        </w:rPr>
        <w:t xml:space="preserve">purpose of the amendment to rule </w:t>
      </w:r>
      <w:r w:rsidR="00B2796B">
        <w:rPr>
          <w:rFonts w:ascii="Arial" w:hAnsi="Arial" w:cs="Arial"/>
          <w:lang w:val="en-GB"/>
        </w:rPr>
        <w:t>32 was</w:t>
      </w:r>
      <w:r>
        <w:rPr>
          <w:rFonts w:ascii="Arial" w:hAnsi="Arial" w:cs="Arial"/>
          <w:lang w:val="en-GB"/>
        </w:rPr>
        <w:t xml:space="preserve"> to avoid the formulaic approach of the old rule to the </w:t>
      </w:r>
      <w:r>
        <w:rPr>
          <w:rFonts w:ascii="Arial" w:hAnsi="Arial" w:cs="Arial"/>
          <w:lang w:val="en-GB"/>
        </w:rPr>
        <w:lastRenderedPageBreak/>
        <w:t>affidavit supporting a summary judgment application and to allow</w:t>
      </w:r>
      <w:r w:rsidR="00F56F6C">
        <w:rPr>
          <w:rFonts w:ascii="Arial" w:hAnsi="Arial" w:cs="Arial"/>
          <w:lang w:val="en-GB"/>
        </w:rPr>
        <w:t xml:space="preserve"> </w:t>
      </w:r>
      <w:r w:rsidR="001F2056">
        <w:rPr>
          <w:rFonts w:ascii="Arial" w:hAnsi="Arial" w:cs="Arial"/>
          <w:lang w:val="en-GB"/>
        </w:rPr>
        <w:t xml:space="preserve"> for </w:t>
      </w:r>
      <w:r w:rsidR="00F56F6C">
        <w:rPr>
          <w:rFonts w:ascii="Arial" w:hAnsi="Arial" w:cs="Arial"/>
          <w:lang w:val="en-GB"/>
        </w:rPr>
        <w:t>proper</w:t>
      </w:r>
      <w:r>
        <w:rPr>
          <w:rFonts w:ascii="Arial" w:hAnsi="Arial" w:cs="Arial"/>
          <w:lang w:val="en-GB"/>
        </w:rPr>
        <w:t xml:space="preserve"> engagement</w:t>
      </w:r>
      <w:r w:rsidR="00F56F6C">
        <w:rPr>
          <w:rFonts w:ascii="Arial" w:hAnsi="Arial" w:cs="Arial"/>
          <w:lang w:val="en-GB"/>
        </w:rPr>
        <w:t xml:space="preserve"> by the parties</w:t>
      </w:r>
      <w:r>
        <w:rPr>
          <w:rFonts w:ascii="Arial" w:hAnsi="Arial" w:cs="Arial"/>
          <w:lang w:val="en-GB"/>
        </w:rPr>
        <w:t xml:space="preserve"> with the plead</w:t>
      </w:r>
      <w:r w:rsidR="00F56F6C">
        <w:rPr>
          <w:rFonts w:ascii="Arial" w:hAnsi="Arial" w:cs="Arial"/>
          <w:lang w:val="en-GB"/>
        </w:rPr>
        <w:t>ings</w:t>
      </w:r>
      <w:r>
        <w:rPr>
          <w:rFonts w:ascii="Arial" w:hAnsi="Arial" w:cs="Arial"/>
          <w:lang w:val="en-GB"/>
        </w:rPr>
        <w:t xml:space="preserve">. </w:t>
      </w:r>
    </w:p>
    <w:p w:rsidR="00B2796B" w:rsidRDefault="00B2796B" w:rsidP="00B2796B">
      <w:pPr>
        <w:pStyle w:val="ListParagraph"/>
        <w:spacing w:line="360" w:lineRule="auto"/>
        <w:ind w:left="0"/>
        <w:rPr>
          <w:rFonts w:ascii="Arial" w:hAnsi="Arial" w:cs="Arial"/>
          <w:lang w:val="en-GB"/>
        </w:rPr>
      </w:pPr>
    </w:p>
    <w:p w:rsidR="00F53D8B" w:rsidRPr="006A3E1E" w:rsidRDefault="00882AB6" w:rsidP="006A3E1E">
      <w:pPr>
        <w:pStyle w:val="ListParagraph"/>
        <w:numPr>
          <w:ilvl w:val="0"/>
          <w:numId w:val="2"/>
        </w:numPr>
        <w:spacing w:line="360" w:lineRule="auto"/>
        <w:ind w:left="0" w:firstLine="0"/>
        <w:rPr>
          <w:rFonts w:ascii="Arial" w:hAnsi="Arial" w:cs="Arial"/>
          <w:lang w:val="en-GB"/>
        </w:rPr>
      </w:pPr>
      <w:r>
        <w:rPr>
          <w:rFonts w:ascii="Arial" w:hAnsi="Arial" w:cs="Arial"/>
          <w:lang w:val="en-GB"/>
        </w:rPr>
        <w:t>In this context, to</w:t>
      </w:r>
      <w:r w:rsidR="00F53D8B">
        <w:rPr>
          <w:rFonts w:ascii="Arial" w:hAnsi="Arial" w:cs="Arial"/>
          <w:lang w:val="en-GB"/>
        </w:rPr>
        <w:t xml:space="preserve"> interpret the rule</w:t>
      </w:r>
      <w:r w:rsidR="001C609C">
        <w:rPr>
          <w:rFonts w:ascii="Arial" w:hAnsi="Arial" w:cs="Arial"/>
          <w:lang w:val="en-GB"/>
        </w:rPr>
        <w:t xml:space="preserve"> so </w:t>
      </w:r>
      <w:r w:rsidR="0045581F">
        <w:rPr>
          <w:rFonts w:ascii="Arial" w:hAnsi="Arial" w:cs="Arial"/>
          <w:lang w:val="en-GB"/>
        </w:rPr>
        <w:t>as to</w:t>
      </w:r>
      <w:r w:rsidR="00F53D8B">
        <w:rPr>
          <w:rFonts w:ascii="Arial" w:hAnsi="Arial" w:cs="Arial"/>
          <w:lang w:val="en-GB"/>
        </w:rPr>
        <w:t xml:space="preserve"> allow the amendment of the defence mid summary judgment </w:t>
      </w:r>
      <w:r w:rsidR="0045581F">
        <w:rPr>
          <w:rFonts w:ascii="Arial" w:hAnsi="Arial" w:cs="Arial"/>
          <w:lang w:val="en-GB"/>
        </w:rPr>
        <w:t>proceedings but</w:t>
      </w:r>
      <w:r w:rsidR="00687A4D">
        <w:rPr>
          <w:rFonts w:ascii="Arial" w:hAnsi="Arial" w:cs="Arial"/>
          <w:lang w:val="en-GB"/>
        </w:rPr>
        <w:t xml:space="preserve"> </w:t>
      </w:r>
      <w:r w:rsidR="00B2796B">
        <w:rPr>
          <w:rFonts w:ascii="Arial" w:hAnsi="Arial" w:cs="Arial"/>
          <w:lang w:val="en-GB"/>
        </w:rPr>
        <w:t xml:space="preserve">then </w:t>
      </w:r>
      <w:r w:rsidR="00687A4D">
        <w:rPr>
          <w:rFonts w:ascii="Arial" w:hAnsi="Arial" w:cs="Arial"/>
          <w:lang w:val="en-GB"/>
        </w:rPr>
        <w:t>to</w:t>
      </w:r>
      <w:r w:rsidR="00B2796B">
        <w:rPr>
          <w:rFonts w:ascii="Arial" w:hAnsi="Arial" w:cs="Arial"/>
          <w:lang w:val="en-GB"/>
        </w:rPr>
        <w:t xml:space="preserve"> </w:t>
      </w:r>
      <w:r w:rsidR="00F53D8B">
        <w:rPr>
          <w:rFonts w:ascii="Arial" w:hAnsi="Arial" w:cs="Arial"/>
          <w:lang w:val="en-GB"/>
        </w:rPr>
        <w:t>close the door in those proceedings to the engagement with the very inquiry which the rule requires would make no sense.</w:t>
      </w:r>
    </w:p>
    <w:p w:rsidR="00DC3CC3" w:rsidRPr="00DC3CC3" w:rsidRDefault="00DC3CC3" w:rsidP="0099433C">
      <w:pPr>
        <w:pStyle w:val="ListParagraph"/>
        <w:spacing w:line="360" w:lineRule="auto"/>
        <w:ind w:left="0"/>
        <w:rPr>
          <w:rFonts w:ascii="Arial" w:hAnsi="Arial" w:cs="Arial"/>
          <w:lang w:val="en-GB"/>
        </w:rPr>
      </w:pPr>
    </w:p>
    <w:p w:rsidR="006A3E1E" w:rsidRPr="006A3E1E" w:rsidRDefault="00FD6753" w:rsidP="006A3E1E">
      <w:pPr>
        <w:pStyle w:val="ListParagraph"/>
        <w:spacing w:line="360" w:lineRule="auto"/>
        <w:ind w:left="0"/>
        <w:rPr>
          <w:rFonts w:ascii="Arial" w:hAnsi="Arial" w:cs="Arial"/>
          <w:lang w:val="en-GB"/>
        </w:rPr>
      </w:pPr>
      <w:r w:rsidRPr="006D1155">
        <w:rPr>
          <w:rFonts w:ascii="Arial" w:hAnsi="Arial" w:cs="Arial"/>
          <w:b/>
          <w:lang w:val="en-GB"/>
        </w:rPr>
        <w:t>Conclusion</w:t>
      </w:r>
    </w:p>
    <w:p w:rsidR="00E03248" w:rsidRDefault="006A3E1E" w:rsidP="006A3E1E">
      <w:pPr>
        <w:pStyle w:val="ListParagraph"/>
        <w:numPr>
          <w:ilvl w:val="0"/>
          <w:numId w:val="2"/>
        </w:numPr>
        <w:spacing w:line="360" w:lineRule="auto"/>
        <w:ind w:left="0" w:firstLine="0"/>
        <w:rPr>
          <w:rFonts w:ascii="Arial" w:hAnsi="Arial" w:cs="Arial"/>
          <w:lang w:val="en-GB"/>
        </w:rPr>
      </w:pPr>
      <w:r w:rsidRPr="006A3E1E">
        <w:rPr>
          <w:rFonts w:ascii="Arial" w:hAnsi="Arial" w:cs="Arial"/>
          <w:lang w:val="en-GB"/>
        </w:rPr>
        <w:t xml:space="preserve">To my mind, rule 32(4) should not be read to deprive the plaintiff of its rights under rule 28(8) but rather as </w:t>
      </w:r>
      <w:r w:rsidR="00B2796B" w:rsidRPr="006A3E1E">
        <w:rPr>
          <w:rFonts w:ascii="Arial" w:hAnsi="Arial" w:cs="Arial"/>
          <w:lang w:val="en-GB"/>
        </w:rPr>
        <w:t>a prohibition</w:t>
      </w:r>
      <w:r w:rsidRPr="006A3E1E">
        <w:rPr>
          <w:rFonts w:ascii="Arial" w:hAnsi="Arial" w:cs="Arial"/>
          <w:lang w:val="en-GB"/>
        </w:rPr>
        <w:t xml:space="preserve"> against introducing </w:t>
      </w:r>
      <w:r w:rsidR="00944883">
        <w:rPr>
          <w:rFonts w:ascii="Arial" w:hAnsi="Arial" w:cs="Arial"/>
          <w:lang w:val="en-GB"/>
        </w:rPr>
        <w:t xml:space="preserve">factual </w:t>
      </w:r>
      <w:r w:rsidRPr="006A3E1E">
        <w:rPr>
          <w:rFonts w:ascii="Arial" w:hAnsi="Arial" w:cs="Arial"/>
          <w:lang w:val="en-GB"/>
        </w:rPr>
        <w:t xml:space="preserve">matter which is of the nature of a reply </w:t>
      </w:r>
      <w:r w:rsidR="002F429F">
        <w:rPr>
          <w:rFonts w:ascii="Arial" w:hAnsi="Arial" w:cs="Arial"/>
          <w:lang w:val="en-GB"/>
        </w:rPr>
        <w:t>or rejoinder to the defendant’s case</w:t>
      </w:r>
      <w:r w:rsidR="001F2056">
        <w:rPr>
          <w:rFonts w:ascii="Arial" w:hAnsi="Arial" w:cs="Arial"/>
          <w:lang w:val="en-GB"/>
        </w:rPr>
        <w:t xml:space="preserve"> and which is not consequential on the amendment of the plea</w:t>
      </w:r>
      <w:r>
        <w:rPr>
          <w:rFonts w:ascii="Arial" w:hAnsi="Arial" w:cs="Arial"/>
          <w:lang w:val="en-GB"/>
        </w:rPr>
        <w:t>.</w:t>
      </w:r>
    </w:p>
    <w:p w:rsidR="003104F4" w:rsidRDefault="003104F4" w:rsidP="003104F4">
      <w:pPr>
        <w:pStyle w:val="ListParagraph"/>
        <w:spacing w:line="360" w:lineRule="auto"/>
        <w:ind w:left="0"/>
        <w:rPr>
          <w:rFonts w:ascii="Arial" w:hAnsi="Arial" w:cs="Arial"/>
          <w:lang w:val="en-GB"/>
        </w:rPr>
      </w:pPr>
    </w:p>
    <w:p w:rsidR="00882AB6" w:rsidRPr="006A3E1E" w:rsidRDefault="003104F4" w:rsidP="006A3E1E">
      <w:pPr>
        <w:pStyle w:val="ListParagraph"/>
        <w:numPr>
          <w:ilvl w:val="0"/>
          <w:numId w:val="2"/>
        </w:numPr>
        <w:spacing w:line="360" w:lineRule="auto"/>
        <w:ind w:left="0" w:firstLine="0"/>
        <w:rPr>
          <w:rFonts w:ascii="Arial" w:hAnsi="Arial" w:cs="Arial"/>
          <w:lang w:val="en-GB"/>
        </w:rPr>
      </w:pPr>
      <w:r>
        <w:rPr>
          <w:rFonts w:ascii="Arial" w:hAnsi="Arial" w:cs="Arial"/>
          <w:lang w:val="en-GB"/>
        </w:rPr>
        <w:t>I do not understand Mr White to argue that any of the matter sought to be introduced by the supplementary affidavit is not purely consequential. It would</w:t>
      </w:r>
      <w:r w:rsidR="0045581F">
        <w:rPr>
          <w:rFonts w:ascii="Arial" w:hAnsi="Arial" w:cs="Arial"/>
          <w:lang w:val="en-GB"/>
        </w:rPr>
        <w:t>, in any event,</w:t>
      </w:r>
      <w:r>
        <w:rPr>
          <w:rFonts w:ascii="Arial" w:hAnsi="Arial" w:cs="Arial"/>
          <w:lang w:val="en-GB"/>
        </w:rPr>
        <w:t xml:space="preserve"> be open for a defendant faced with such</w:t>
      </w:r>
      <w:r w:rsidR="001C609C">
        <w:rPr>
          <w:rFonts w:ascii="Arial" w:hAnsi="Arial" w:cs="Arial"/>
          <w:lang w:val="en-GB"/>
        </w:rPr>
        <w:t xml:space="preserve"> extraneous</w:t>
      </w:r>
      <w:r>
        <w:rPr>
          <w:rFonts w:ascii="Arial" w:hAnsi="Arial" w:cs="Arial"/>
          <w:lang w:val="en-GB"/>
        </w:rPr>
        <w:t xml:space="preserve"> matter</w:t>
      </w:r>
      <w:r w:rsidR="007B62E0">
        <w:rPr>
          <w:rFonts w:ascii="Arial" w:hAnsi="Arial" w:cs="Arial"/>
          <w:lang w:val="en-GB"/>
        </w:rPr>
        <w:t xml:space="preserve"> to have it struck out</w:t>
      </w:r>
      <w:r w:rsidR="007C35EC">
        <w:rPr>
          <w:rFonts w:ascii="Arial" w:hAnsi="Arial" w:cs="Arial"/>
          <w:lang w:val="en-GB"/>
        </w:rPr>
        <w:t xml:space="preserve"> of the affidavit</w:t>
      </w:r>
      <w:r w:rsidR="007B62E0">
        <w:rPr>
          <w:rFonts w:ascii="Arial" w:hAnsi="Arial" w:cs="Arial"/>
          <w:lang w:val="en-GB"/>
        </w:rPr>
        <w:t>.</w:t>
      </w:r>
    </w:p>
    <w:p w:rsidR="00882AB6" w:rsidRDefault="00882AB6" w:rsidP="000D6B4E">
      <w:pPr>
        <w:pStyle w:val="ListParagraph"/>
        <w:spacing w:line="360" w:lineRule="auto"/>
        <w:ind w:left="0"/>
        <w:jc w:val="both"/>
        <w:rPr>
          <w:rFonts w:ascii="Arial" w:hAnsi="Arial" w:cs="Arial"/>
          <w:lang w:val="en-GB"/>
        </w:rPr>
      </w:pPr>
    </w:p>
    <w:p w:rsidR="00882AB6" w:rsidRDefault="00882AB6" w:rsidP="000D6B4E">
      <w:pPr>
        <w:pStyle w:val="ListParagraph"/>
        <w:spacing w:line="360" w:lineRule="auto"/>
        <w:ind w:left="0"/>
        <w:jc w:val="both"/>
        <w:rPr>
          <w:rFonts w:ascii="Arial" w:hAnsi="Arial" w:cs="Arial"/>
          <w:lang w:val="en-GB"/>
        </w:rPr>
      </w:pPr>
    </w:p>
    <w:p w:rsidR="00E03248" w:rsidRDefault="00E03248" w:rsidP="00E03248">
      <w:pPr>
        <w:spacing w:line="360" w:lineRule="auto"/>
        <w:jc w:val="both"/>
        <w:rPr>
          <w:rFonts w:ascii="Arial" w:hAnsi="Arial" w:cs="Arial"/>
          <w:b/>
          <w:lang w:val="en-GB"/>
        </w:rPr>
      </w:pPr>
      <w:r>
        <w:rPr>
          <w:rFonts w:ascii="Arial" w:hAnsi="Arial" w:cs="Arial"/>
          <w:b/>
          <w:lang w:val="en-GB"/>
        </w:rPr>
        <w:t>Order</w:t>
      </w:r>
    </w:p>
    <w:p w:rsidR="00E03248" w:rsidRDefault="00E03248" w:rsidP="00E03248">
      <w:pPr>
        <w:pStyle w:val="ListParagraph"/>
        <w:spacing w:line="360" w:lineRule="auto"/>
        <w:ind w:left="0"/>
        <w:jc w:val="both"/>
        <w:rPr>
          <w:rFonts w:ascii="Arial" w:hAnsi="Arial" w:cs="Arial"/>
          <w:lang w:val="en-GB"/>
        </w:rPr>
      </w:pPr>
    </w:p>
    <w:p w:rsidR="00E03248" w:rsidRDefault="00E03248" w:rsidP="00E03248">
      <w:pPr>
        <w:pStyle w:val="ListParagraph"/>
        <w:rPr>
          <w:rFonts w:ascii="Arial" w:hAnsi="Arial" w:cs="Arial"/>
          <w:lang w:val="en-GB"/>
        </w:rPr>
      </w:pPr>
    </w:p>
    <w:p w:rsidR="00E03248" w:rsidRDefault="00E03248" w:rsidP="00E03248">
      <w:pPr>
        <w:pStyle w:val="ListParagraph"/>
        <w:numPr>
          <w:ilvl w:val="0"/>
          <w:numId w:val="2"/>
        </w:numPr>
        <w:spacing w:line="360" w:lineRule="auto"/>
        <w:ind w:left="0" w:firstLine="0"/>
        <w:jc w:val="both"/>
        <w:rPr>
          <w:rFonts w:ascii="Arial" w:hAnsi="Arial" w:cs="Arial"/>
          <w:lang w:val="en-GB"/>
        </w:rPr>
      </w:pPr>
      <w:r>
        <w:rPr>
          <w:rFonts w:ascii="Arial" w:hAnsi="Arial" w:cs="Arial"/>
          <w:lang w:val="en-GB"/>
        </w:rPr>
        <w:t>Thus, I order as follows:</w:t>
      </w:r>
    </w:p>
    <w:p w:rsidR="00E03248" w:rsidRDefault="00E03248" w:rsidP="00E03248">
      <w:pPr>
        <w:spacing w:line="360" w:lineRule="auto"/>
        <w:jc w:val="both"/>
        <w:rPr>
          <w:rFonts w:ascii="Arial" w:hAnsi="Arial" w:cs="Arial"/>
          <w:lang w:val="en-GB"/>
        </w:rPr>
      </w:pPr>
    </w:p>
    <w:p w:rsidR="00E03248" w:rsidRDefault="00E03248" w:rsidP="0045581F">
      <w:pPr>
        <w:spacing w:line="360" w:lineRule="auto"/>
        <w:ind w:left="720"/>
        <w:jc w:val="both"/>
        <w:rPr>
          <w:rFonts w:ascii="Arial" w:hAnsi="Arial" w:cs="Arial"/>
          <w:lang w:val="en-GB"/>
        </w:rPr>
      </w:pPr>
      <w:r>
        <w:rPr>
          <w:rFonts w:ascii="Arial" w:hAnsi="Arial" w:cs="Arial"/>
          <w:lang w:val="en-GB"/>
        </w:rPr>
        <w:t>1.The application in terms of rule 30 is dismissed.</w:t>
      </w:r>
    </w:p>
    <w:p w:rsidR="00AB1962" w:rsidRDefault="00AB1962" w:rsidP="0045581F">
      <w:pPr>
        <w:spacing w:line="360" w:lineRule="auto"/>
        <w:ind w:left="720"/>
        <w:jc w:val="both"/>
        <w:rPr>
          <w:rFonts w:ascii="Arial" w:hAnsi="Arial" w:cs="Arial"/>
          <w:lang w:val="en-GB"/>
        </w:rPr>
      </w:pPr>
    </w:p>
    <w:p w:rsidR="00AB1962" w:rsidRDefault="00AB1962" w:rsidP="0045581F">
      <w:pPr>
        <w:spacing w:line="360" w:lineRule="auto"/>
        <w:ind w:left="720"/>
        <w:jc w:val="both"/>
        <w:rPr>
          <w:rFonts w:ascii="Arial" w:hAnsi="Arial" w:cs="Arial"/>
          <w:lang w:val="en-GB"/>
        </w:rPr>
      </w:pPr>
      <w:r>
        <w:rPr>
          <w:rFonts w:ascii="Arial" w:hAnsi="Arial" w:cs="Arial"/>
          <w:lang w:val="en-GB"/>
        </w:rPr>
        <w:t xml:space="preserve">2 The </w:t>
      </w:r>
      <w:r w:rsidR="006A3E1E">
        <w:rPr>
          <w:rFonts w:ascii="Arial" w:hAnsi="Arial" w:cs="Arial"/>
          <w:lang w:val="en-GB"/>
        </w:rPr>
        <w:t xml:space="preserve">plaintiff’s supplementary affidavit </w:t>
      </w:r>
      <w:r w:rsidR="001F2056">
        <w:rPr>
          <w:rFonts w:ascii="Arial" w:hAnsi="Arial" w:cs="Arial"/>
          <w:lang w:val="en-GB"/>
        </w:rPr>
        <w:t>is declared</w:t>
      </w:r>
      <w:r w:rsidR="007C35EC">
        <w:rPr>
          <w:rFonts w:ascii="Arial" w:hAnsi="Arial" w:cs="Arial"/>
          <w:lang w:val="en-GB"/>
        </w:rPr>
        <w:t xml:space="preserve"> to be properly filed</w:t>
      </w:r>
      <w:r w:rsidR="006A3E1E">
        <w:rPr>
          <w:rFonts w:ascii="Arial" w:hAnsi="Arial" w:cs="Arial"/>
          <w:lang w:val="en-GB"/>
        </w:rPr>
        <w:t>.</w:t>
      </w:r>
    </w:p>
    <w:p w:rsidR="00E03248" w:rsidRDefault="00E03248" w:rsidP="0045581F">
      <w:pPr>
        <w:spacing w:line="360" w:lineRule="auto"/>
        <w:ind w:left="720"/>
        <w:jc w:val="both"/>
        <w:rPr>
          <w:rFonts w:ascii="Arial" w:hAnsi="Arial" w:cs="Arial"/>
          <w:lang w:val="en-GB"/>
        </w:rPr>
      </w:pPr>
    </w:p>
    <w:p w:rsidR="00E03248" w:rsidRDefault="00AB1962" w:rsidP="0045581F">
      <w:pPr>
        <w:spacing w:line="360" w:lineRule="auto"/>
        <w:ind w:left="720"/>
        <w:jc w:val="both"/>
        <w:rPr>
          <w:rFonts w:ascii="Arial" w:hAnsi="Arial" w:cs="Arial"/>
          <w:lang w:val="en-GB"/>
        </w:rPr>
      </w:pPr>
      <w:r>
        <w:rPr>
          <w:rFonts w:ascii="Arial" w:hAnsi="Arial" w:cs="Arial"/>
          <w:lang w:val="en-GB"/>
        </w:rPr>
        <w:t xml:space="preserve">3 </w:t>
      </w:r>
      <w:r w:rsidR="00E03248">
        <w:rPr>
          <w:rFonts w:ascii="Arial" w:hAnsi="Arial" w:cs="Arial"/>
          <w:lang w:val="en-GB"/>
        </w:rPr>
        <w:t>The application for summary judgment is postponed to a date to be arranged with the office of Fisher J</w:t>
      </w:r>
      <w:r>
        <w:rPr>
          <w:rFonts w:ascii="Arial" w:hAnsi="Arial" w:cs="Arial"/>
          <w:lang w:val="en-GB"/>
        </w:rPr>
        <w:t>.</w:t>
      </w:r>
    </w:p>
    <w:p w:rsidR="00AB1962" w:rsidRDefault="00AB1962" w:rsidP="0045581F">
      <w:pPr>
        <w:spacing w:line="360" w:lineRule="auto"/>
        <w:ind w:left="720"/>
        <w:jc w:val="both"/>
        <w:rPr>
          <w:rFonts w:ascii="Arial" w:hAnsi="Arial" w:cs="Arial"/>
          <w:lang w:val="en-GB"/>
        </w:rPr>
      </w:pPr>
    </w:p>
    <w:p w:rsidR="00AB1962" w:rsidRDefault="00AB1962" w:rsidP="0045581F">
      <w:pPr>
        <w:spacing w:line="360" w:lineRule="auto"/>
        <w:ind w:left="720"/>
        <w:jc w:val="both"/>
        <w:rPr>
          <w:rFonts w:ascii="Arial" w:hAnsi="Arial" w:cs="Arial"/>
          <w:lang w:val="en-GB"/>
        </w:rPr>
      </w:pPr>
      <w:r>
        <w:rPr>
          <w:rFonts w:ascii="Arial" w:hAnsi="Arial" w:cs="Arial"/>
          <w:lang w:val="en-GB"/>
        </w:rPr>
        <w:t>4. The costs are reserved</w:t>
      </w:r>
    </w:p>
    <w:p w:rsidR="00E03248" w:rsidRDefault="00E03248" w:rsidP="0045581F">
      <w:pPr>
        <w:ind w:left="720"/>
        <w:rPr>
          <w:lang w:val="en-GB"/>
        </w:rPr>
      </w:pPr>
    </w:p>
    <w:p w:rsidR="00E03248" w:rsidRDefault="00E03248" w:rsidP="0045581F">
      <w:pPr>
        <w:spacing w:line="360" w:lineRule="auto"/>
        <w:ind w:left="720"/>
        <w:jc w:val="both"/>
        <w:rPr>
          <w:rFonts w:ascii="Arial" w:hAnsi="Arial" w:cs="Arial"/>
          <w:lang w:val="en-GB"/>
        </w:rPr>
      </w:pPr>
    </w:p>
    <w:p w:rsidR="00E03248" w:rsidRDefault="00E03248" w:rsidP="0045581F">
      <w:pPr>
        <w:spacing w:line="360" w:lineRule="auto"/>
        <w:ind w:left="720"/>
        <w:jc w:val="both"/>
        <w:rPr>
          <w:rFonts w:ascii="Arial" w:hAnsi="Arial" w:cs="Arial"/>
          <w:lang w:val="en-GB"/>
        </w:rPr>
      </w:pPr>
    </w:p>
    <w:p w:rsidR="00E03248" w:rsidRDefault="00E03248" w:rsidP="00E03248">
      <w:pPr>
        <w:spacing w:line="360" w:lineRule="auto"/>
        <w:jc w:val="both"/>
        <w:rPr>
          <w:rFonts w:ascii="Arial" w:hAnsi="Arial" w:cs="Arial"/>
          <w:lang w:val="en-GB"/>
        </w:rPr>
      </w:pPr>
    </w:p>
    <w:p w:rsidR="00E03248" w:rsidRDefault="00E03248" w:rsidP="00E03248">
      <w:pPr>
        <w:spacing w:line="360" w:lineRule="auto"/>
        <w:jc w:val="both"/>
        <w:rPr>
          <w:rFonts w:ascii="Arial" w:hAnsi="Arial" w:cs="Arial"/>
          <w:lang w:val="en-GB"/>
        </w:rPr>
      </w:pPr>
    </w:p>
    <w:p w:rsidR="00E03248" w:rsidRDefault="00E03248" w:rsidP="00E03248">
      <w:pPr>
        <w:widowControl w:val="0"/>
        <w:spacing w:before="120"/>
        <w:jc w:val="both"/>
        <w:rPr>
          <w:rFonts w:ascii="Arial" w:hAnsi="Arial" w:cs="Arial"/>
        </w:rPr>
      </w:pPr>
      <w:r>
        <w:rPr>
          <w:rFonts w:ascii="Arial" w:hAnsi="Arial" w:cs="Arial"/>
          <w:lang w:val="en-GB"/>
        </w:rPr>
        <w:t xml:space="preserve"> </w:t>
      </w:r>
      <w:r>
        <w:rPr>
          <w:rFonts w:ascii="Arial" w:hAnsi="Arial" w:cs="Arial"/>
        </w:rPr>
        <w:t xml:space="preserve">                       ______________________________________</w:t>
      </w:r>
    </w:p>
    <w:p w:rsidR="00E03248" w:rsidRDefault="00E03248" w:rsidP="00E03248">
      <w:pPr>
        <w:ind w:left="2160" w:firstLine="720"/>
        <w:jc w:val="both"/>
        <w:rPr>
          <w:rFonts w:ascii="Arial" w:hAnsi="Arial" w:cs="Arial"/>
          <w:b/>
          <w:bCs/>
        </w:rPr>
      </w:pPr>
      <w:r>
        <w:rPr>
          <w:rFonts w:ascii="Arial" w:hAnsi="Arial" w:cs="Arial"/>
          <w:b/>
          <w:bCs/>
        </w:rPr>
        <w:t xml:space="preserve">          FISHER J</w:t>
      </w:r>
    </w:p>
    <w:p w:rsidR="00E03248" w:rsidRDefault="00E03248" w:rsidP="00E03248">
      <w:pPr>
        <w:ind w:left="2160" w:firstLine="720"/>
        <w:jc w:val="both"/>
        <w:rPr>
          <w:rFonts w:ascii="Arial" w:hAnsi="Arial" w:cs="Arial"/>
          <w:b/>
          <w:bCs/>
        </w:rPr>
      </w:pPr>
    </w:p>
    <w:p w:rsidR="00E03248" w:rsidRDefault="00E03248" w:rsidP="00E03248">
      <w:pPr>
        <w:tabs>
          <w:tab w:val="right" w:pos="0"/>
        </w:tabs>
        <w:spacing w:after="200" w:line="276" w:lineRule="auto"/>
        <w:jc w:val="both"/>
        <w:rPr>
          <w:rFonts w:ascii="Arial" w:hAnsi="Arial" w:cs="Arial"/>
          <w:b/>
        </w:rPr>
      </w:pPr>
      <w:r>
        <w:rPr>
          <w:rFonts w:ascii="Arial" w:hAnsi="Arial" w:cs="Arial"/>
          <w:b/>
        </w:rPr>
        <w:t xml:space="preserve">                                            HIGH COURT JUDGE </w:t>
      </w:r>
    </w:p>
    <w:p w:rsidR="00E03248" w:rsidRDefault="00E03248" w:rsidP="00E03248">
      <w:pPr>
        <w:tabs>
          <w:tab w:val="right" w:pos="0"/>
        </w:tabs>
        <w:spacing w:after="200" w:line="276" w:lineRule="auto"/>
        <w:jc w:val="both"/>
        <w:rPr>
          <w:rFonts w:ascii="Arial" w:hAnsi="Arial" w:cs="Arial"/>
          <w:b/>
        </w:rPr>
      </w:pPr>
      <w:r>
        <w:rPr>
          <w:rFonts w:ascii="Arial" w:hAnsi="Arial" w:cs="Arial"/>
        </w:rPr>
        <w:tab/>
      </w:r>
      <w:r>
        <w:rPr>
          <w:rFonts w:ascii="Arial" w:hAnsi="Arial" w:cs="Arial"/>
        </w:rPr>
        <w:tab/>
        <w:t xml:space="preserve">       </w:t>
      </w:r>
      <w:r>
        <w:rPr>
          <w:rFonts w:ascii="Arial" w:hAnsi="Arial" w:cs="Arial"/>
          <w:b/>
        </w:rPr>
        <w:t>GAUTENG LOCAL DIVISION, JOHANNESBURG</w:t>
      </w:r>
      <w:r>
        <w:rPr>
          <w:rFonts w:ascii="Arial" w:hAnsi="Arial" w:cs="Arial"/>
        </w:rPr>
        <w:t xml:space="preserve">                  </w:t>
      </w:r>
    </w:p>
    <w:p w:rsidR="00E03248" w:rsidRDefault="00E03248" w:rsidP="00E03248">
      <w:pPr>
        <w:widowControl w:val="0"/>
        <w:spacing w:before="120"/>
        <w:jc w:val="both"/>
        <w:rPr>
          <w:rFonts w:ascii="Arial" w:hAnsi="Arial" w:cs="Arial"/>
        </w:rPr>
      </w:pPr>
      <w:r>
        <w:rPr>
          <w:rFonts w:ascii="Arial" w:hAnsi="Arial" w:cs="Arial"/>
        </w:rPr>
        <w:t xml:space="preserve">   </w:t>
      </w:r>
    </w:p>
    <w:p w:rsidR="00E03248" w:rsidRDefault="00E03248" w:rsidP="00E03248">
      <w:pPr>
        <w:widowControl w:val="0"/>
        <w:spacing w:before="120"/>
        <w:jc w:val="both"/>
        <w:rPr>
          <w:rFonts w:ascii="Arial" w:hAnsi="Arial" w:cs="Arial"/>
        </w:rPr>
      </w:pPr>
    </w:p>
    <w:p w:rsidR="00E03248" w:rsidRDefault="00E03248" w:rsidP="00E03248">
      <w:pPr>
        <w:widowControl w:val="0"/>
        <w:spacing w:before="120"/>
        <w:jc w:val="both"/>
        <w:rPr>
          <w:rFonts w:ascii="Arial" w:hAnsi="Arial" w:cs="Arial"/>
        </w:rPr>
      </w:pPr>
    </w:p>
    <w:p w:rsidR="00E03248" w:rsidRDefault="00E03248" w:rsidP="00E03248">
      <w:pPr>
        <w:widowControl w:val="0"/>
        <w:spacing w:before="120"/>
        <w:jc w:val="both"/>
        <w:rPr>
          <w:rFonts w:ascii="Arial" w:hAnsi="Arial" w:cs="Arial"/>
        </w:rPr>
      </w:pPr>
    </w:p>
    <w:p w:rsidR="00E03248" w:rsidRDefault="00E03248" w:rsidP="00E03248">
      <w:pPr>
        <w:widowControl w:val="0"/>
        <w:spacing w:before="120"/>
        <w:jc w:val="both"/>
        <w:rPr>
          <w:rFonts w:ascii="Arial" w:hAnsi="Arial" w:cs="Arial"/>
        </w:rPr>
      </w:pPr>
      <w:r>
        <w:rPr>
          <w:rFonts w:ascii="Arial" w:hAnsi="Arial" w:cs="Arial"/>
        </w:rPr>
        <w:t xml:space="preserve">                  </w:t>
      </w:r>
    </w:p>
    <w:p w:rsidR="00E03248" w:rsidRDefault="00E03248" w:rsidP="00E03248">
      <w:pPr>
        <w:tabs>
          <w:tab w:val="right" w:pos="0"/>
        </w:tabs>
        <w:spacing w:after="200" w:line="276" w:lineRule="auto"/>
        <w:jc w:val="both"/>
        <w:rPr>
          <w:rFonts w:ascii="Arial" w:hAnsi="Arial" w:cs="Arial"/>
          <w:b/>
          <w:sz w:val="22"/>
        </w:rPr>
      </w:pPr>
      <w:r>
        <w:rPr>
          <w:rFonts w:ascii="Arial" w:hAnsi="Arial" w:cs="Arial"/>
        </w:rPr>
        <w:t xml:space="preserve">       </w:t>
      </w:r>
    </w:p>
    <w:p w:rsidR="00E03248" w:rsidRDefault="00E03248" w:rsidP="00E03248">
      <w:pPr>
        <w:tabs>
          <w:tab w:val="right" w:pos="0"/>
        </w:tabs>
        <w:spacing w:after="200" w:line="480" w:lineRule="auto"/>
        <w:jc w:val="both"/>
        <w:outlineLvl w:val="0"/>
        <w:rPr>
          <w:rFonts w:ascii="Arial" w:hAnsi="Arial" w:cs="Arial"/>
        </w:rPr>
      </w:pPr>
      <w:r>
        <w:rPr>
          <w:rFonts w:ascii="Arial" w:hAnsi="Arial" w:cs="Arial"/>
          <w:b/>
        </w:rPr>
        <w:t xml:space="preserve">Date of Hearing:  </w:t>
      </w:r>
      <w:r w:rsidR="00657B6D">
        <w:rPr>
          <w:rFonts w:ascii="Arial" w:hAnsi="Arial" w:cs="Arial"/>
        </w:rPr>
        <w:t>17 January 2022.</w:t>
      </w:r>
    </w:p>
    <w:p w:rsidR="00E03248" w:rsidRDefault="00E03248" w:rsidP="00E03248">
      <w:pPr>
        <w:tabs>
          <w:tab w:val="right" w:pos="0"/>
        </w:tabs>
        <w:spacing w:after="200" w:line="480" w:lineRule="auto"/>
        <w:jc w:val="both"/>
        <w:outlineLvl w:val="0"/>
        <w:rPr>
          <w:rFonts w:ascii="Arial" w:hAnsi="Arial" w:cs="Arial"/>
        </w:rPr>
      </w:pPr>
      <w:r>
        <w:rPr>
          <w:rFonts w:ascii="Arial" w:hAnsi="Arial" w:cs="Arial"/>
          <w:b/>
        </w:rPr>
        <w:t xml:space="preserve">Judgment Delivered: </w:t>
      </w:r>
      <w:r w:rsidR="00657B6D">
        <w:rPr>
          <w:rFonts w:ascii="Arial" w:hAnsi="Arial" w:cs="Arial"/>
        </w:rPr>
        <w:t xml:space="preserve">  </w:t>
      </w:r>
      <w:r w:rsidR="00541B9E">
        <w:rPr>
          <w:rFonts w:ascii="Arial" w:hAnsi="Arial" w:cs="Arial"/>
        </w:rPr>
        <w:t>18</w:t>
      </w:r>
      <w:r w:rsidR="00657B6D">
        <w:rPr>
          <w:rFonts w:ascii="Arial" w:hAnsi="Arial" w:cs="Arial"/>
        </w:rPr>
        <w:t xml:space="preserve">   February 2022.</w:t>
      </w:r>
    </w:p>
    <w:p w:rsidR="00E03248" w:rsidRPr="00541B9E" w:rsidRDefault="00E03248" w:rsidP="00E03248">
      <w:pPr>
        <w:pStyle w:val="ListParagraph"/>
        <w:spacing w:before="240" w:after="120" w:line="360" w:lineRule="auto"/>
        <w:ind w:left="4253" w:hanging="4253"/>
        <w:jc w:val="both"/>
        <w:rPr>
          <w:rFonts w:ascii="Arial" w:hAnsi="Arial" w:cs="Arial"/>
          <w:b/>
        </w:rPr>
      </w:pPr>
      <w:r w:rsidRPr="00541B9E">
        <w:rPr>
          <w:rFonts w:ascii="Arial" w:hAnsi="Arial" w:cs="Arial"/>
          <w:b/>
        </w:rPr>
        <w:t>APPEARANCES:</w:t>
      </w:r>
    </w:p>
    <w:p w:rsidR="00E03248" w:rsidRDefault="00E03248" w:rsidP="00E03248">
      <w:pPr>
        <w:pStyle w:val="ListParagraph"/>
        <w:spacing w:before="240" w:after="120" w:line="360" w:lineRule="auto"/>
        <w:ind w:left="4253" w:hanging="4253"/>
        <w:jc w:val="both"/>
        <w:rPr>
          <w:rFonts w:ascii="Arial" w:hAnsi="Arial" w:cs="Arial"/>
        </w:rPr>
      </w:pPr>
      <w:r>
        <w:rPr>
          <w:rFonts w:ascii="Arial" w:hAnsi="Arial" w:cs="Arial"/>
        </w:rPr>
        <w:tab/>
      </w:r>
    </w:p>
    <w:p w:rsidR="00E03248" w:rsidRDefault="00657B6D" w:rsidP="00E03248">
      <w:pPr>
        <w:pStyle w:val="ListParagraph"/>
        <w:spacing w:before="240" w:after="120" w:line="360" w:lineRule="auto"/>
        <w:ind w:left="4253" w:hanging="4253"/>
        <w:jc w:val="both"/>
        <w:rPr>
          <w:rFonts w:ascii="Arial" w:hAnsi="Arial" w:cs="Arial"/>
        </w:rPr>
      </w:pPr>
      <w:r>
        <w:rPr>
          <w:rFonts w:ascii="Arial" w:hAnsi="Arial" w:cs="Arial"/>
        </w:rPr>
        <w:t>For the Plaintiff:</w:t>
      </w:r>
      <w:r>
        <w:rPr>
          <w:rFonts w:ascii="Arial" w:hAnsi="Arial" w:cs="Arial"/>
        </w:rPr>
        <w:tab/>
      </w:r>
      <w:r>
        <w:rPr>
          <w:rFonts w:ascii="Arial" w:hAnsi="Arial" w:cs="Arial"/>
        </w:rPr>
        <w:tab/>
      </w:r>
      <w:r>
        <w:rPr>
          <w:rFonts w:ascii="Arial" w:hAnsi="Arial" w:cs="Arial"/>
        </w:rPr>
        <w:tab/>
        <w:t>Adv L Hollander.</w:t>
      </w:r>
    </w:p>
    <w:p w:rsidR="00E03248" w:rsidRDefault="00657B6D" w:rsidP="00E03248">
      <w:pPr>
        <w:pStyle w:val="ListParagraph"/>
        <w:spacing w:before="240" w:after="120" w:line="360" w:lineRule="auto"/>
        <w:ind w:left="4253" w:hanging="4253"/>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Harris Incorporated.</w:t>
      </w:r>
    </w:p>
    <w:p w:rsidR="00657B6D" w:rsidRDefault="00657B6D" w:rsidP="00E03248">
      <w:pPr>
        <w:pStyle w:val="ListParagraph"/>
        <w:spacing w:before="240" w:after="120" w:line="360" w:lineRule="auto"/>
        <w:ind w:left="0"/>
        <w:jc w:val="both"/>
        <w:rPr>
          <w:rFonts w:ascii="Arial" w:hAnsi="Arial" w:cs="Arial"/>
        </w:rPr>
      </w:pPr>
    </w:p>
    <w:p w:rsidR="00E03248" w:rsidRDefault="00657B6D" w:rsidP="00E03248">
      <w:pPr>
        <w:pStyle w:val="ListParagraph"/>
        <w:spacing w:before="240" w:after="120" w:line="360" w:lineRule="auto"/>
        <w:ind w:left="0"/>
        <w:jc w:val="both"/>
        <w:rPr>
          <w:rFonts w:ascii="Arial" w:hAnsi="Arial" w:cs="Arial"/>
        </w:rPr>
      </w:pPr>
      <w:r>
        <w:rPr>
          <w:rFonts w:ascii="Arial" w:hAnsi="Arial" w:cs="Arial"/>
        </w:rPr>
        <w:t>For the Defendants</w:t>
      </w:r>
      <w:r w:rsidR="00E03248">
        <w:rPr>
          <w:rFonts w:ascii="Arial" w:hAnsi="Arial" w:cs="Arial"/>
        </w:rPr>
        <w:t>:</w:t>
      </w:r>
      <w:r w:rsidR="00E03248">
        <w:rPr>
          <w:rFonts w:ascii="Arial" w:hAnsi="Arial" w:cs="Arial"/>
        </w:rPr>
        <w:tab/>
      </w:r>
      <w:r w:rsidR="00E03248">
        <w:rPr>
          <w:rFonts w:ascii="Arial" w:hAnsi="Arial" w:cs="Arial"/>
        </w:rPr>
        <w:tab/>
      </w:r>
      <w:r w:rsidR="00E03248">
        <w:rPr>
          <w:rFonts w:ascii="Arial" w:hAnsi="Arial" w:cs="Arial"/>
        </w:rPr>
        <w:tab/>
      </w:r>
      <w:r w:rsidR="00E03248">
        <w:rPr>
          <w:rFonts w:ascii="Arial" w:hAnsi="Arial" w:cs="Arial"/>
        </w:rPr>
        <w:tab/>
      </w:r>
      <w:r>
        <w:rPr>
          <w:rFonts w:ascii="Arial" w:hAnsi="Arial" w:cs="Arial"/>
        </w:rPr>
        <w:t xml:space="preserve">           Mr Jonathan White.</w:t>
      </w:r>
    </w:p>
    <w:p w:rsidR="00E03248" w:rsidRDefault="00E03248" w:rsidP="00E03248">
      <w:pPr>
        <w:pStyle w:val="ListParagraph"/>
        <w:spacing w:before="240" w:after="120" w:line="360" w:lineRule="auto"/>
        <w:ind w:left="0"/>
        <w:jc w:val="both"/>
        <w:rPr>
          <w:rFonts w:ascii="Arial" w:hAnsi="Arial" w:cs="Arial"/>
        </w:rPr>
      </w:pPr>
      <w:r>
        <w:rPr>
          <w:rFonts w:ascii="Arial" w:hAnsi="Arial" w:cs="Arial"/>
        </w:rPr>
        <w:t>In</w:t>
      </w:r>
      <w:r w:rsidR="00657B6D">
        <w:rPr>
          <w:rFonts w:ascii="Arial" w:hAnsi="Arial" w:cs="Arial"/>
        </w:rPr>
        <w:t>structed by:</w:t>
      </w:r>
      <w:r w:rsidR="00657B6D">
        <w:rPr>
          <w:rFonts w:ascii="Arial" w:hAnsi="Arial" w:cs="Arial"/>
        </w:rPr>
        <w:tab/>
      </w:r>
      <w:r w:rsidR="00657B6D">
        <w:rPr>
          <w:rFonts w:ascii="Arial" w:hAnsi="Arial" w:cs="Arial"/>
        </w:rPr>
        <w:tab/>
      </w:r>
      <w:r w:rsidR="00657B6D">
        <w:rPr>
          <w:rFonts w:ascii="Arial" w:hAnsi="Arial" w:cs="Arial"/>
        </w:rPr>
        <w:tab/>
      </w:r>
      <w:r w:rsidR="00657B6D">
        <w:rPr>
          <w:rFonts w:ascii="Arial" w:hAnsi="Arial" w:cs="Arial"/>
        </w:rPr>
        <w:tab/>
      </w:r>
      <w:r w:rsidR="00657B6D">
        <w:rPr>
          <w:rFonts w:ascii="Arial" w:hAnsi="Arial" w:cs="Arial"/>
        </w:rPr>
        <w:tab/>
        <w:t>MG Law Inc.</w:t>
      </w:r>
    </w:p>
    <w:p w:rsidR="00E03248" w:rsidRDefault="00E03248" w:rsidP="00E03248">
      <w:pPr>
        <w:spacing w:line="360" w:lineRule="auto"/>
        <w:jc w:val="both"/>
        <w:rPr>
          <w:rFonts w:ascii="Arial" w:hAnsi="Arial" w:cs="Arial"/>
          <w:b/>
          <w:lang w:val="en-GB"/>
        </w:rPr>
      </w:pPr>
    </w:p>
    <w:p w:rsidR="00E03248" w:rsidRDefault="00E03248" w:rsidP="00E03248">
      <w:pPr>
        <w:spacing w:line="360" w:lineRule="auto"/>
        <w:jc w:val="both"/>
        <w:rPr>
          <w:rFonts w:ascii="Arial" w:hAnsi="Arial" w:cs="Arial"/>
          <w:b/>
          <w:lang w:val="en-GB"/>
        </w:rPr>
      </w:pPr>
    </w:p>
    <w:p w:rsidR="00E03248" w:rsidRDefault="00E03248" w:rsidP="00E03248">
      <w:pPr>
        <w:spacing w:line="360" w:lineRule="auto"/>
        <w:jc w:val="both"/>
        <w:rPr>
          <w:rFonts w:ascii="Arial" w:hAnsi="Arial" w:cs="Arial"/>
          <w:b/>
          <w:lang w:val="en-GB"/>
        </w:rPr>
      </w:pPr>
    </w:p>
    <w:p w:rsidR="00E03248" w:rsidRDefault="00E03248" w:rsidP="00E03248">
      <w:pPr>
        <w:spacing w:line="360" w:lineRule="auto"/>
        <w:jc w:val="both"/>
        <w:rPr>
          <w:rFonts w:ascii="Arial" w:hAnsi="Arial" w:cs="Arial"/>
          <w:b/>
          <w:lang w:val="en-GB"/>
        </w:rPr>
      </w:pPr>
    </w:p>
    <w:p w:rsidR="00C85918" w:rsidRDefault="00C85918"/>
    <w:sectPr w:rsidR="00C859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EF" w:rsidRDefault="00F249EF" w:rsidP="006F26DE">
      <w:r>
        <w:separator/>
      </w:r>
    </w:p>
  </w:endnote>
  <w:endnote w:type="continuationSeparator" w:id="0">
    <w:p w:rsidR="00F249EF" w:rsidRDefault="00F249EF" w:rsidP="006F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EF" w:rsidRDefault="00F249EF" w:rsidP="006F26DE">
      <w:r>
        <w:separator/>
      </w:r>
    </w:p>
  </w:footnote>
  <w:footnote w:type="continuationSeparator" w:id="0">
    <w:p w:rsidR="00F249EF" w:rsidRDefault="00F249EF" w:rsidP="006F26DE">
      <w:r>
        <w:continuationSeparator/>
      </w:r>
    </w:p>
  </w:footnote>
  <w:footnote w:id="1">
    <w:p w:rsidR="005D209F" w:rsidRPr="006F26DE" w:rsidRDefault="005D209F" w:rsidP="00E213B9">
      <w:pPr>
        <w:pStyle w:val="FootnoteText"/>
        <w:rPr>
          <w:lang w:val="en-GB"/>
        </w:rPr>
      </w:pPr>
      <w:r>
        <w:rPr>
          <w:rStyle w:val="FootnoteReference"/>
        </w:rPr>
        <w:footnoteRef/>
      </w:r>
      <w:r>
        <w:t xml:space="preserve"> </w:t>
      </w:r>
      <w:r>
        <w:rPr>
          <w:rFonts w:ascii="Arial" w:hAnsi="Arial" w:cs="Arial"/>
          <w:lang w:val="en-GB"/>
        </w:rPr>
        <w:t>2021(3) SA 178 (WCC).</w:t>
      </w:r>
    </w:p>
  </w:footnote>
  <w:footnote w:id="2">
    <w:p w:rsidR="005D209F" w:rsidRPr="006F26DE" w:rsidRDefault="005D209F">
      <w:pPr>
        <w:pStyle w:val="FootnoteText"/>
        <w:rPr>
          <w:lang w:val="en-GB"/>
        </w:rPr>
      </w:pPr>
      <w:r>
        <w:rPr>
          <w:rStyle w:val="FootnoteReference"/>
        </w:rPr>
        <w:footnoteRef/>
      </w:r>
      <w:r>
        <w:t xml:space="preserve"> Id at para 30.</w:t>
      </w:r>
    </w:p>
  </w:footnote>
  <w:footnote w:id="3">
    <w:p w:rsidR="005D209F" w:rsidRPr="00EF45D2" w:rsidRDefault="005D209F">
      <w:pPr>
        <w:pStyle w:val="FootnoteText"/>
        <w:rPr>
          <w:lang w:val="en-GB"/>
        </w:rPr>
      </w:pPr>
      <w:r>
        <w:rPr>
          <w:rStyle w:val="FootnoteReference"/>
        </w:rPr>
        <w:footnoteRef/>
      </w:r>
      <w:r>
        <w:t xml:space="preserve"> </w:t>
      </w:r>
      <w:r>
        <w:rPr>
          <w:lang w:val="en-GB"/>
        </w:rPr>
        <w:t>Id at para 31.</w:t>
      </w:r>
    </w:p>
  </w:footnote>
  <w:footnote w:id="4">
    <w:p w:rsidR="005D209F" w:rsidRPr="002C288B" w:rsidRDefault="005D209F">
      <w:pPr>
        <w:pStyle w:val="FootnoteText"/>
        <w:rPr>
          <w:lang w:val="en-GB"/>
        </w:rPr>
      </w:pPr>
      <w:r>
        <w:rPr>
          <w:rStyle w:val="FootnoteReference"/>
        </w:rPr>
        <w:footnoteRef/>
      </w:r>
      <w:r>
        <w:t xml:space="preserve"> </w:t>
      </w:r>
      <w:r>
        <w:rPr>
          <w:lang w:val="en-GB"/>
        </w:rPr>
        <w:t>Report: at para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576F002C"/>
    <w:multiLevelType w:val="multilevel"/>
    <w:tmpl w:val="A0E86E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D122CF"/>
    <w:multiLevelType w:val="hybridMultilevel"/>
    <w:tmpl w:val="CB1A36B4"/>
    <w:lvl w:ilvl="0" w:tplc="66CE4E48">
      <w:start w:val="1"/>
      <w:numFmt w:val="decimal"/>
      <w:lvlText w:val="[%1] "/>
      <w:lvlJc w:val="left"/>
      <w:pPr>
        <w:ind w:left="4329" w:hanging="360"/>
      </w:pPr>
      <w:rPr>
        <w:b w:val="0"/>
        <w:i w:val="0"/>
      </w:rPr>
    </w:lvl>
    <w:lvl w:ilvl="1" w:tplc="1C090019">
      <w:start w:val="1"/>
      <w:numFmt w:val="lowerLetter"/>
      <w:lvlText w:val="%2."/>
      <w:lvlJc w:val="left"/>
      <w:pPr>
        <w:ind w:left="1504" w:hanging="360"/>
      </w:pPr>
    </w:lvl>
    <w:lvl w:ilvl="2" w:tplc="1C09001B">
      <w:start w:val="1"/>
      <w:numFmt w:val="lowerRoman"/>
      <w:lvlText w:val="%3."/>
      <w:lvlJc w:val="right"/>
      <w:pPr>
        <w:ind w:left="2224" w:hanging="180"/>
      </w:pPr>
    </w:lvl>
    <w:lvl w:ilvl="3" w:tplc="1C09000F">
      <w:start w:val="1"/>
      <w:numFmt w:val="decimal"/>
      <w:lvlText w:val="%4."/>
      <w:lvlJc w:val="left"/>
      <w:pPr>
        <w:ind w:left="2944" w:hanging="360"/>
      </w:pPr>
    </w:lvl>
    <w:lvl w:ilvl="4" w:tplc="1C090019">
      <w:start w:val="1"/>
      <w:numFmt w:val="lowerLetter"/>
      <w:lvlText w:val="%5."/>
      <w:lvlJc w:val="left"/>
      <w:pPr>
        <w:ind w:left="3664" w:hanging="360"/>
      </w:pPr>
    </w:lvl>
    <w:lvl w:ilvl="5" w:tplc="1C09001B">
      <w:start w:val="1"/>
      <w:numFmt w:val="lowerRoman"/>
      <w:lvlText w:val="%6."/>
      <w:lvlJc w:val="right"/>
      <w:pPr>
        <w:ind w:left="4384" w:hanging="180"/>
      </w:pPr>
    </w:lvl>
    <w:lvl w:ilvl="6" w:tplc="1C09000F">
      <w:start w:val="1"/>
      <w:numFmt w:val="decimal"/>
      <w:lvlText w:val="%7."/>
      <w:lvlJc w:val="left"/>
      <w:pPr>
        <w:ind w:left="5104" w:hanging="360"/>
      </w:pPr>
    </w:lvl>
    <w:lvl w:ilvl="7" w:tplc="1C090019">
      <w:start w:val="1"/>
      <w:numFmt w:val="lowerLetter"/>
      <w:lvlText w:val="%8."/>
      <w:lvlJc w:val="left"/>
      <w:pPr>
        <w:ind w:left="5824" w:hanging="360"/>
      </w:pPr>
    </w:lvl>
    <w:lvl w:ilvl="8" w:tplc="1C09001B">
      <w:start w:val="1"/>
      <w:numFmt w:val="lowerRoman"/>
      <w:lvlText w:val="%9."/>
      <w:lvlJc w:val="right"/>
      <w:pPr>
        <w:ind w:left="65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48"/>
    <w:rsid w:val="000050FB"/>
    <w:rsid w:val="0001280A"/>
    <w:rsid w:val="00022246"/>
    <w:rsid w:val="000648D6"/>
    <w:rsid w:val="000736A1"/>
    <w:rsid w:val="000B5E86"/>
    <w:rsid w:val="000C3C1B"/>
    <w:rsid w:val="000D6B4E"/>
    <w:rsid w:val="00117630"/>
    <w:rsid w:val="001305FD"/>
    <w:rsid w:val="00141EA2"/>
    <w:rsid w:val="00152DE7"/>
    <w:rsid w:val="00154CC9"/>
    <w:rsid w:val="00180019"/>
    <w:rsid w:val="001B2327"/>
    <w:rsid w:val="001B2C3D"/>
    <w:rsid w:val="001C609C"/>
    <w:rsid w:val="001D6466"/>
    <w:rsid w:val="001F2056"/>
    <w:rsid w:val="0023709C"/>
    <w:rsid w:val="00262647"/>
    <w:rsid w:val="00270302"/>
    <w:rsid w:val="00273BB9"/>
    <w:rsid w:val="002B2FAE"/>
    <w:rsid w:val="002B4651"/>
    <w:rsid w:val="002C288B"/>
    <w:rsid w:val="002D4076"/>
    <w:rsid w:val="002D693F"/>
    <w:rsid w:val="002E0EFC"/>
    <w:rsid w:val="002E2FC3"/>
    <w:rsid w:val="002F429F"/>
    <w:rsid w:val="003104F4"/>
    <w:rsid w:val="00314CEA"/>
    <w:rsid w:val="00331529"/>
    <w:rsid w:val="00334CFA"/>
    <w:rsid w:val="0034781D"/>
    <w:rsid w:val="0035152D"/>
    <w:rsid w:val="00356D66"/>
    <w:rsid w:val="00367D19"/>
    <w:rsid w:val="00395B93"/>
    <w:rsid w:val="00397FE4"/>
    <w:rsid w:val="003A2D12"/>
    <w:rsid w:val="003B4D7F"/>
    <w:rsid w:val="003B6AC3"/>
    <w:rsid w:val="003B7F7E"/>
    <w:rsid w:val="003C2769"/>
    <w:rsid w:val="003D2CE2"/>
    <w:rsid w:val="003D53E9"/>
    <w:rsid w:val="003D76E7"/>
    <w:rsid w:val="003E6013"/>
    <w:rsid w:val="00407AC9"/>
    <w:rsid w:val="00411A0C"/>
    <w:rsid w:val="00412325"/>
    <w:rsid w:val="004375C8"/>
    <w:rsid w:val="0045093A"/>
    <w:rsid w:val="0045581F"/>
    <w:rsid w:val="004A277B"/>
    <w:rsid w:val="004A5AE0"/>
    <w:rsid w:val="0051459E"/>
    <w:rsid w:val="005237D8"/>
    <w:rsid w:val="005344A5"/>
    <w:rsid w:val="00541B9E"/>
    <w:rsid w:val="0056055F"/>
    <w:rsid w:val="0057564F"/>
    <w:rsid w:val="00580BDE"/>
    <w:rsid w:val="005B1BA1"/>
    <w:rsid w:val="005D209F"/>
    <w:rsid w:val="005F5708"/>
    <w:rsid w:val="006161D8"/>
    <w:rsid w:val="00626853"/>
    <w:rsid w:val="00627B02"/>
    <w:rsid w:val="00634C41"/>
    <w:rsid w:val="00637657"/>
    <w:rsid w:val="00654BDF"/>
    <w:rsid w:val="00655A13"/>
    <w:rsid w:val="00655F19"/>
    <w:rsid w:val="00657B6D"/>
    <w:rsid w:val="00662FF5"/>
    <w:rsid w:val="00664629"/>
    <w:rsid w:val="00666C0D"/>
    <w:rsid w:val="0067647F"/>
    <w:rsid w:val="00676CF3"/>
    <w:rsid w:val="00687A4D"/>
    <w:rsid w:val="006A3E1E"/>
    <w:rsid w:val="006B194D"/>
    <w:rsid w:val="006D1155"/>
    <w:rsid w:val="006D4D6E"/>
    <w:rsid w:val="006E4A83"/>
    <w:rsid w:val="006E5F9F"/>
    <w:rsid w:val="006F26DE"/>
    <w:rsid w:val="00720773"/>
    <w:rsid w:val="00780237"/>
    <w:rsid w:val="00791DE8"/>
    <w:rsid w:val="007A393A"/>
    <w:rsid w:val="007A4AAE"/>
    <w:rsid w:val="007B194B"/>
    <w:rsid w:val="007B62E0"/>
    <w:rsid w:val="007C35EC"/>
    <w:rsid w:val="007C4C71"/>
    <w:rsid w:val="007F0318"/>
    <w:rsid w:val="007F504B"/>
    <w:rsid w:val="00824CA3"/>
    <w:rsid w:val="00840A7E"/>
    <w:rsid w:val="00850B4C"/>
    <w:rsid w:val="00882AB6"/>
    <w:rsid w:val="008B0C63"/>
    <w:rsid w:val="008C371B"/>
    <w:rsid w:val="008E470A"/>
    <w:rsid w:val="008E48C7"/>
    <w:rsid w:val="008F6BD4"/>
    <w:rsid w:val="00924CA5"/>
    <w:rsid w:val="00944883"/>
    <w:rsid w:val="00952E19"/>
    <w:rsid w:val="0099433C"/>
    <w:rsid w:val="009A24C7"/>
    <w:rsid w:val="009B4E9E"/>
    <w:rsid w:val="009C01A1"/>
    <w:rsid w:val="009C2E47"/>
    <w:rsid w:val="009F4B91"/>
    <w:rsid w:val="00A02499"/>
    <w:rsid w:val="00A03ECF"/>
    <w:rsid w:val="00A11A72"/>
    <w:rsid w:val="00A13774"/>
    <w:rsid w:val="00A2040B"/>
    <w:rsid w:val="00A403D8"/>
    <w:rsid w:val="00A7155E"/>
    <w:rsid w:val="00A76AF1"/>
    <w:rsid w:val="00AB1962"/>
    <w:rsid w:val="00AC0828"/>
    <w:rsid w:val="00AD75AD"/>
    <w:rsid w:val="00AE0803"/>
    <w:rsid w:val="00AF2D45"/>
    <w:rsid w:val="00AF4099"/>
    <w:rsid w:val="00B2796B"/>
    <w:rsid w:val="00B42291"/>
    <w:rsid w:val="00B5458F"/>
    <w:rsid w:val="00B65E28"/>
    <w:rsid w:val="00B775F5"/>
    <w:rsid w:val="00BF40B2"/>
    <w:rsid w:val="00C07957"/>
    <w:rsid w:val="00C10319"/>
    <w:rsid w:val="00C10E7F"/>
    <w:rsid w:val="00C85918"/>
    <w:rsid w:val="00CA37C3"/>
    <w:rsid w:val="00CA7969"/>
    <w:rsid w:val="00D10FBF"/>
    <w:rsid w:val="00D24478"/>
    <w:rsid w:val="00D538FA"/>
    <w:rsid w:val="00D61F5F"/>
    <w:rsid w:val="00D6375E"/>
    <w:rsid w:val="00D64A4B"/>
    <w:rsid w:val="00D7023F"/>
    <w:rsid w:val="00D74CA8"/>
    <w:rsid w:val="00D77977"/>
    <w:rsid w:val="00D872BC"/>
    <w:rsid w:val="00DC297B"/>
    <w:rsid w:val="00DC3CC3"/>
    <w:rsid w:val="00DC7687"/>
    <w:rsid w:val="00DD3F7E"/>
    <w:rsid w:val="00DD7759"/>
    <w:rsid w:val="00DF388C"/>
    <w:rsid w:val="00DF554B"/>
    <w:rsid w:val="00E03248"/>
    <w:rsid w:val="00E16E9E"/>
    <w:rsid w:val="00E213B9"/>
    <w:rsid w:val="00E60582"/>
    <w:rsid w:val="00E712BE"/>
    <w:rsid w:val="00E7326C"/>
    <w:rsid w:val="00EA530C"/>
    <w:rsid w:val="00EB00F0"/>
    <w:rsid w:val="00EB46B8"/>
    <w:rsid w:val="00EB7BB5"/>
    <w:rsid w:val="00ED1F7E"/>
    <w:rsid w:val="00EF45D2"/>
    <w:rsid w:val="00F11421"/>
    <w:rsid w:val="00F20A36"/>
    <w:rsid w:val="00F249EF"/>
    <w:rsid w:val="00F27BF6"/>
    <w:rsid w:val="00F321D8"/>
    <w:rsid w:val="00F53D8B"/>
    <w:rsid w:val="00F56F6C"/>
    <w:rsid w:val="00F94A0B"/>
    <w:rsid w:val="00FD6753"/>
    <w:rsid w:val="00FE61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483E-7AF7-4315-9648-639D1158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48"/>
    <w:pPr>
      <w:ind w:left="720"/>
      <w:contextualSpacing/>
    </w:pPr>
  </w:style>
  <w:style w:type="character" w:styleId="CommentReference">
    <w:name w:val="annotation reference"/>
    <w:basedOn w:val="DefaultParagraphFont"/>
    <w:uiPriority w:val="99"/>
    <w:semiHidden/>
    <w:unhideWhenUsed/>
    <w:rsid w:val="00367D19"/>
    <w:rPr>
      <w:sz w:val="16"/>
      <w:szCs w:val="16"/>
    </w:rPr>
  </w:style>
  <w:style w:type="paragraph" w:styleId="CommentText">
    <w:name w:val="annotation text"/>
    <w:basedOn w:val="Normal"/>
    <w:link w:val="CommentTextChar"/>
    <w:uiPriority w:val="99"/>
    <w:semiHidden/>
    <w:unhideWhenUsed/>
    <w:rsid w:val="00367D19"/>
    <w:rPr>
      <w:sz w:val="20"/>
      <w:szCs w:val="20"/>
    </w:rPr>
  </w:style>
  <w:style w:type="character" w:customStyle="1" w:styleId="CommentTextChar">
    <w:name w:val="Comment Text Char"/>
    <w:basedOn w:val="DefaultParagraphFont"/>
    <w:link w:val="CommentText"/>
    <w:uiPriority w:val="99"/>
    <w:semiHidden/>
    <w:rsid w:val="00367D19"/>
    <w:rPr>
      <w:sz w:val="20"/>
      <w:szCs w:val="20"/>
    </w:rPr>
  </w:style>
  <w:style w:type="paragraph" w:styleId="CommentSubject">
    <w:name w:val="annotation subject"/>
    <w:basedOn w:val="CommentText"/>
    <w:next w:val="CommentText"/>
    <w:link w:val="CommentSubjectChar"/>
    <w:uiPriority w:val="99"/>
    <w:semiHidden/>
    <w:unhideWhenUsed/>
    <w:rsid w:val="00367D19"/>
    <w:rPr>
      <w:b/>
      <w:bCs/>
    </w:rPr>
  </w:style>
  <w:style w:type="character" w:customStyle="1" w:styleId="CommentSubjectChar">
    <w:name w:val="Comment Subject Char"/>
    <w:basedOn w:val="CommentTextChar"/>
    <w:link w:val="CommentSubject"/>
    <w:uiPriority w:val="99"/>
    <w:semiHidden/>
    <w:rsid w:val="00367D19"/>
    <w:rPr>
      <w:b/>
      <w:bCs/>
      <w:sz w:val="20"/>
      <w:szCs w:val="20"/>
    </w:rPr>
  </w:style>
  <w:style w:type="paragraph" w:styleId="BalloonText">
    <w:name w:val="Balloon Text"/>
    <w:basedOn w:val="Normal"/>
    <w:link w:val="BalloonTextChar"/>
    <w:uiPriority w:val="99"/>
    <w:semiHidden/>
    <w:unhideWhenUsed/>
    <w:rsid w:val="00367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19"/>
    <w:rPr>
      <w:rFonts w:ascii="Segoe UI" w:hAnsi="Segoe UI" w:cs="Segoe UI"/>
      <w:sz w:val="18"/>
      <w:szCs w:val="18"/>
    </w:rPr>
  </w:style>
  <w:style w:type="paragraph" w:styleId="FootnoteText">
    <w:name w:val="footnote text"/>
    <w:basedOn w:val="Normal"/>
    <w:link w:val="FootnoteTextChar"/>
    <w:uiPriority w:val="99"/>
    <w:semiHidden/>
    <w:unhideWhenUsed/>
    <w:rsid w:val="006F26DE"/>
    <w:rPr>
      <w:sz w:val="20"/>
      <w:szCs w:val="20"/>
    </w:rPr>
  </w:style>
  <w:style w:type="character" w:customStyle="1" w:styleId="FootnoteTextChar">
    <w:name w:val="Footnote Text Char"/>
    <w:basedOn w:val="DefaultParagraphFont"/>
    <w:link w:val="FootnoteText"/>
    <w:uiPriority w:val="99"/>
    <w:semiHidden/>
    <w:rsid w:val="006F26DE"/>
    <w:rPr>
      <w:sz w:val="20"/>
      <w:szCs w:val="20"/>
    </w:rPr>
  </w:style>
  <w:style w:type="character" w:styleId="FootnoteReference">
    <w:name w:val="footnote reference"/>
    <w:basedOn w:val="DefaultParagraphFont"/>
    <w:uiPriority w:val="99"/>
    <w:semiHidden/>
    <w:unhideWhenUsed/>
    <w:rsid w:val="006F2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7277">
      <w:bodyDiv w:val="1"/>
      <w:marLeft w:val="0"/>
      <w:marRight w:val="0"/>
      <w:marTop w:val="0"/>
      <w:marBottom w:val="0"/>
      <w:divBdr>
        <w:top w:val="none" w:sz="0" w:space="0" w:color="auto"/>
        <w:left w:val="none" w:sz="0" w:space="0" w:color="auto"/>
        <w:bottom w:val="none" w:sz="0" w:space="0" w:color="auto"/>
        <w:right w:val="none" w:sz="0" w:space="0" w:color="auto"/>
      </w:divBdr>
    </w:div>
    <w:div w:id="4569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2171F1-7ADC-714F-A30C-9E3211D39DFC}">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9D59-D5BC-49B4-A912-7FC2305D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Lazarus Rakgwale</cp:lastModifiedBy>
  <cp:revision>2</cp:revision>
  <dcterms:created xsi:type="dcterms:W3CDTF">2022-02-21T09:25:00Z</dcterms:created>
  <dcterms:modified xsi:type="dcterms:W3CDTF">2022-02-21T09:25:00Z</dcterms:modified>
</cp:coreProperties>
</file>