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86E38" w14:textId="3534034F" w:rsidR="006C7A40" w:rsidRPr="00FA4765" w:rsidRDefault="006C7A40" w:rsidP="006C7A40">
      <w:pPr>
        <w:jc w:val="center"/>
        <w:rPr>
          <w:rFonts w:ascii="Arial" w:hAnsi="Arial" w:cs="Arial"/>
          <w:sz w:val="26"/>
          <w:szCs w:val="26"/>
        </w:rPr>
      </w:pPr>
      <w:r w:rsidRPr="00FA4765">
        <w:rPr>
          <w:rFonts w:ascii="Arial" w:eastAsia="Times New Roman" w:hAnsi="Arial" w:cs="Arial"/>
          <w:noProof/>
          <w:sz w:val="26"/>
          <w:szCs w:val="26"/>
          <w:lang w:val="en-US"/>
        </w:rPr>
        <w:drawing>
          <wp:inline distT="0" distB="0" distL="0" distR="0" wp14:anchorId="7DAE2D8E" wp14:editId="1E169E65">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276FC55E" w14:textId="77777777" w:rsidR="00922DDA" w:rsidRPr="00FA4765" w:rsidRDefault="00922DDA" w:rsidP="006C7A40">
      <w:pPr>
        <w:jc w:val="center"/>
        <w:rPr>
          <w:rFonts w:ascii="Arial" w:hAnsi="Arial" w:cs="Arial"/>
          <w:sz w:val="26"/>
          <w:szCs w:val="26"/>
        </w:rPr>
      </w:pPr>
    </w:p>
    <w:p w14:paraId="08993E87" w14:textId="77777777" w:rsidR="006C7A40" w:rsidRPr="00FA4765" w:rsidRDefault="006C7A40" w:rsidP="006C7A40">
      <w:pPr>
        <w:spacing w:line="480" w:lineRule="auto"/>
        <w:jc w:val="center"/>
        <w:rPr>
          <w:rFonts w:ascii="Arial" w:hAnsi="Arial" w:cs="Arial"/>
          <w:b/>
          <w:bCs/>
          <w:sz w:val="26"/>
          <w:szCs w:val="26"/>
        </w:rPr>
      </w:pPr>
      <w:r w:rsidRPr="00FA4765">
        <w:rPr>
          <w:rFonts w:ascii="Arial" w:hAnsi="Arial" w:cs="Arial"/>
          <w:b/>
          <w:bCs/>
          <w:sz w:val="26"/>
          <w:szCs w:val="26"/>
        </w:rPr>
        <w:t>IN THE HIGH COURT OF SOUTH AFRICA</w:t>
      </w:r>
    </w:p>
    <w:p w14:paraId="7A006EF9" w14:textId="77777777" w:rsidR="006C7A40" w:rsidRPr="00FA4765" w:rsidRDefault="006C7A40" w:rsidP="006C7A40">
      <w:pPr>
        <w:spacing w:line="480" w:lineRule="auto"/>
        <w:jc w:val="center"/>
        <w:rPr>
          <w:rFonts w:ascii="Arial" w:hAnsi="Arial" w:cs="Arial"/>
          <w:b/>
          <w:bCs/>
          <w:sz w:val="26"/>
          <w:szCs w:val="26"/>
        </w:rPr>
      </w:pPr>
      <w:r w:rsidRPr="00FA4765">
        <w:rPr>
          <w:rFonts w:ascii="Arial" w:hAnsi="Arial" w:cs="Arial"/>
          <w:b/>
          <w:bCs/>
          <w:sz w:val="26"/>
          <w:szCs w:val="26"/>
        </w:rPr>
        <w:t xml:space="preserve"> GAUTENG LOCAL DIVISION, JOHANNESBURG.</w:t>
      </w:r>
    </w:p>
    <w:p w14:paraId="0124B0BA" w14:textId="51A1396E" w:rsidR="00C5475F" w:rsidRPr="00FA4765" w:rsidRDefault="00C5475F" w:rsidP="009B1CA9">
      <w:pPr>
        <w:rPr>
          <w:rFonts w:ascii="Arial" w:hAnsi="Arial" w:cs="Arial"/>
          <w:b/>
          <w:bCs/>
          <w:sz w:val="26"/>
          <w:szCs w:val="26"/>
        </w:rPr>
      </w:pPr>
    </w:p>
    <w:p w14:paraId="3125191D" w14:textId="0FDE0157" w:rsidR="00922DDA" w:rsidRPr="00FA4765" w:rsidRDefault="00922DDA" w:rsidP="00922DDA">
      <w:pPr>
        <w:spacing w:line="480" w:lineRule="auto"/>
        <w:jc w:val="right"/>
        <w:rPr>
          <w:rFonts w:ascii="Arial" w:hAnsi="Arial" w:cs="Arial"/>
          <w:b/>
          <w:bCs/>
          <w:sz w:val="26"/>
          <w:szCs w:val="26"/>
        </w:rPr>
      </w:pPr>
      <w:r w:rsidRPr="00FA4765">
        <w:rPr>
          <w:rFonts w:ascii="Arial" w:hAnsi="Arial" w:cs="Arial"/>
          <w:b/>
          <w:bCs/>
          <w:sz w:val="26"/>
          <w:szCs w:val="26"/>
        </w:rPr>
        <w:t xml:space="preserve">CASE NUMBER: </w:t>
      </w:r>
      <w:r w:rsidR="009B1CA9" w:rsidRPr="00FA4765">
        <w:rPr>
          <w:rFonts w:ascii="Arial" w:hAnsi="Arial" w:cs="Arial"/>
          <w:b/>
          <w:bCs/>
          <w:sz w:val="26"/>
          <w:szCs w:val="26"/>
        </w:rPr>
        <w:t>9578/2020</w:t>
      </w:r>
    </w:p>
    <w:p w14:paraId="7D2C74C7" w14:textId="77777777" w:rsidR="00520BC6" w:rsidRPr="00FA4765" w:rsidRDefault="00520BC6" w:rsidP="00520BC6">
      <w:pPr>
        <w:ind w:left="5760"/>
        <w:jc w:val="center"/>
        <w:rPr>
          <w:rFonts w:ascii="Arial" w:hAnsi="Arial" w:cs="Arial"/>
          <w:sz w:val="26"/>
          <w:szCs w:val="26"/>
        </w:rPr>
      </w:pPr>
    </w:p>
    <w:p w14:paraId="3D6E395B" w14:textId="52BDC202" w:rsidR="00DE5A21" w:rsidRPr="00FA4765" w:rsidRDefault="00DE5A21" w:rsidP="00520BC6">
      <w:pPr>
        <w:rPr>
          <w:rFonts w:ascii="Arial" w:hAnsi="Arial" w:cs="Arial"/>
          <w:sz w:val="26"/>
          <w:szCs w:val="26"/>
        </w:rPr>
      </w:pPr>
      <w:r w:rsidRPr="00FA4765">
        <w:rPr>
          <w:rFonts w:ascii="Arial" w:hAnsi="Arial" w:cs="Arial"/>
          <w:noProof/>
          <w:sz w:val="26"/>
          <w:szCs w:val="26"/>
          <w:lang w:val="en-US"/>
        </w:rPr>
        <mc:AlternateContent>
          <mc:Choice Requires="wps">
            <w:drawing>
              <wp:anchor distT="0" distB="0" distL="114300" distR="114300" simplePos="0" relativeHeight="251659264" behindDoc="0" locked="0" layoutInCell="1" allowOverlap="1" wp14:anchorId="611858D1" wp14:editId="54C8B10D">
                <wp:simplePos x="0" y="0"/>
                <wp:positionH relativeFrom="column">
                  <wp:posOffset>-298450</wp:posOffset>
                </wp:positionH>
                <wp:positionV relativeFrom="paragraph">
                  <wp:posOffset>155575</wp:posOffset>
                </wp:positionV>
                <wp:extent cx="2823845" cy="1435100"/>
                <wp:effectExtent l="0" t="0" r="1460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435100"/>
                        </a:xfrm>
                        <a:prstGeom prst="rect">
                          <a:avLst/>
                        </a:prstGeom>
                        <a:solidFill>
                          <a:srgbClr val="FFFFFF"/>
                        </a:solidFill>
                        <a:ln w="9525">
                          <a:solidFill>
                            <a:srgbClr val="000000"/>
                          </a:solidFill>
                          <a:miter lim="800000"/>
                          <a:headEnd/>
                          <a:tailEnd/>
                        </a:ln>
                      </wps:spPr>
                      <wps:txbx>
                        <w:txbxContent>
                          <w:p w14:paraId="7E77648B" w14:textId="77777777" w:rsidR="00FB6D94" w:rsidRPr="002A7321" w:rsidRDefault="00FB6D94" w:rsidP="00DE5A21">
                            <w:pPr>
                              <w:jc w:val="center"/>
                              <w:rPr>
                                <w:rFonts w:ascii="Arial Black" w:hAnsi="Arial Black"/>
                                <w:b/>
                              </w:rPr>
                            </w:pPr>
                          </w:p>
                          <w:p w14:paraId="455930B7" w14:textId="6E56C858" w:rsidR="00FB6D94" w:rsidRDefault="006F28C9" w:rsidP="006F28C9">
                            <w:pPr>
                              <w:tabs>
                                <w:tab w:val="left" w:pos="720"/>
                              </w:tabs>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B6D94">
                              <w:rPr>
                                <w:rFonts w:ascii="Century Gothic" w:hAnsi="Century Gothic"/>
                                <w:sz w:val="20"/>
                                <w:szCs w:val="20"/>
                              </w:rPr>
                              <w:t>REPORTABLE:  NO</w:t>
                            </w:r>
                          </w:p>
                          <w:p w14:paraId="09AEBF04" w14:textId="1C4A6D7B" w:rsidR="00FB6D94" w:rsidRPr="00913F95" w:rsidRDefault="006F28C9" w:rsidP="006F28C9">
                            <w:pPr>
                              <w:tabs>
                                <w:tab w:val="left" w:pos="720"/>
                              </w:tabs>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FB6D94" w:rsidRPr="00913F95">
                              <w:rPr>
                                <w:rFonts w:ascii="Century Gothic" w:hAnsi="Century Gothic"/>
                                <w:sz w:val="20"/>
                                <w:szCs w:val="20"/>
                              </w:rPr>
                              <w:t>OF INTEREST TO OTHER JUDGES: NO</w:t>
                            </w:r>
                          </w:p>
                          <w:p w14:paraId="0FE2AA76" w14:textId="19563C0D" w:rsidR="00FB6D94" w:rsidRDefault="006F28C9" w:rsidP="006F28C9">
                            <w:pPr>
                              <w:tabs>
                                <w:tab w:val="left" w:pos="720"/>
                              </w:tabs>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B6D94" w:rsidRPr="00913F95">
                              <w:rPr>
                                <w:rFonts w:ascii="Century Gothic" w:hAnsi="Century Gothic"/>
                                <w:sz w:val="20"/>
                                <w:szCs w:val="20"/>
                              </w:rPr>
                              <w:t>REVISED</w:t>
                            </w:r>
                            <w:r w:rsidR="00FB6D94">
                              <w:rPr>
                                <w:rFonts w:ascii="Century Gothic" w:hAnsi="Century Gothic"/>
                                <w:sz w:val="20"/>
                                <w:szCs w:val="20"/>
                              </w:rPr>
                              <w:t xml:space="preserve">: NO </w:t>
                            </w:r>
                          </w:p>
                          <w:p w14:paraId="78B9979D" w14:textId="77777777" w:rsidR="00ED41FE" w:rsidRDefault="00ED41FE" w:rsidP="00DE5A21">
                            <w:pPr>
                              <w:ind w:left="900"/>
                              <w:rPr>
                                <w:rFonts w:ascii="Times New Roman" w:hAnsi="Times New Roman" w:cs="Times New Roman"/>
                                <w:noProof/>
                                <w:sz w:val="20"/>
                                <w:szCs w:val="20"/>
                                <w:lang w:val="en-US"/>
                              </w:rPr>
                            </w:pPr>
                          </w:p>
                          <w:p w14:paraId="26C65FFE" w14:textId="77777777" w:rsidR="00ED41FE" w:rsidRDefault="00ED41FE" w:rsidP="00DE5A21">
                            <w:pPr>
                              <w:ind w:left="900"/>
                              <w:rPr>
                                <w:rFonts w:ascii="Times New Roman" w:hAnsi="Times New Roman" w:cs="Times New Roman"/>
                                <w:noProof/>
                                <w:sz w:val="20"/>
                                <w:szCs w:val="20"/>
                                <w:lang w:val="en-US"/>
                              </w:rPr>
                            </w:pPr>
                          </w:p>
                          <w:p w14:paraId="05B23894" w14:textId="48EF0574" w:rsidR="00FB6D94" w:rsidRPr="00913F95" w:rsidRDefault="00ED41FE" w:rsidP="00DE5A21">
                            <w:pPr>
                              <w:ind w:left="900"/>
                              <w:rPr>
                                <w:rFonts w:ascii="Century Gothic" w:hAnsi="Century Gothic"/>
                                <w:sz w:val="20"/>
                                <w:szCs w:val="20"/>
                              </w:rPr>
                            </w:pPr>
                            <w:r>
                              <w:rPr>
                                <w:rFonts w:ascii="Times New Roman" w:hAnsi="Times New Roman" w:cs="Times New Roman"/>
                                <w:noProof/>
                                <w:sz w:val="20"/>
                                <w:szCs w:val="20"/>
                                <w:lang w:val="en-US"/>
                              </w:rPr>
                              <w:t xml:space="preserve">           </w:t>
                            </w:r>
                            <w:r w:rsidR="00FB6D94">
                              <w:rPr>
                                <w:rFonts w:ascii="Century Gothic" w:hAnsi="Century Gothic"/>
                                <w:sz w:val="20"/>
                                <w:szCs w:val="20"/>
                              </w:rPr>
                              <w:t xml:space="preserve">  29 August 2022</w:t>
                            </w:r>
                          </w:p>
                          <w:p w14:paraId="213132BA" w14:textId="77777777" w:rsidR="00FB6D94" w:rsidRDefault="00FB6D94" w:rsidP="00DE5A21">
                            <w:pPr>
                              <w:rPr>
                                <w:rFonts w:ascii="Century Gothic" w:hAnsi="Century Gothic"/>
                                <w:b/>
                                <w:sz w:val="18"/>
                                <w:szCs w:val="18"/>
                              </w:rPr>
                            </w:pPr>
                            <w:r>
                              <w:rPr>
                                <w:rFonts w:ascii="Century Gothic" w:hAnsi="Century Gothic"/>
                                <w:b/>
                                <w:sz w:val="18"/>
                                <w:szCs w:val="18"/>
                              </w:rPr>
                              <w:t xml:space="preserve">                            _______________________</w:t>
                            </w:r>
                          </w:p>
                          <w:p w14:paraId="7773BC72" w14:textId="77777777" w:rsidR="00FB6D94" w:rsidRDefault="00FB6D94" w:rsidP="00DE5A21">
                            <w:pPr>
                              <w:rPr>
                                <w:rFonts w:ascii="Century Gothic" w:hAnsi="Century Gothic"/>
                                <w:b/>
                                <w:sz w:val="18"/>
                                <w:szCs w:val="18"/>
                              </w:rPr>
                            </w:pPr>
                            <w:r>
                              <w:rPr>
                                <w:rFonts w:ascii="Century Gothic" w:hAnsi="Century Gothic"/>
                                <w:b/>
                                <w:sz w:val="18"/>
                                <w:szCs w:val="18"/>
                              </w:rPr>
                              <w:t xml:space="preserve">                                                        </w:t>
                            </w:r>
                          </w:p>
                          <w:p w14:paraId="2E114811" w14:textId="77777777" w:rsidR="00FB6D94" w:rsidRDefault="00FB6D94" w:rsidP="00DE5A21">
                            <w:pPr>
                              <w:rPr>
                                <w:rFonts w:ascii="Century Gothic" w:hAnsi="Century Gothic"/>
                                <w:b/>
                                <w:sz w:val="18"/>
                                <w:szCs w:val="18"/>
                              </w:rPr>
                            </w:pPr>
                          </w:p>
                          <w:p w14:paraId="68068851" w14:textId="77777777" w:rsidR="00FB6D94" w:rsidRDefault="00FB6D94" w:rsidP="00DE5A21">
                            <w:pPr>
                              <w:rPr>
                                <w:rFonts w:ascii="Century Gothic" w:hAnsi="Century Gothic"/>
                                <w:b/>
                                <w:sz w:val="18"/>
                                <w:szCs w:val="18"/>
                              </w:rPr>
                            </w:pPr>
                          </w:p>
                          <w:p w14:paraId="5DA88AF4" w14:textId="77777777" w:rsidR="00FB6D94" w:rsidRDefault="00FB6D94" w:rsidP="00DE5A21">
                            <w:pPr>
                              <w:rPr>
                                <w:rFonts w:ascii="Century Gothic" w:hAnsi="Century Gothic"/>
                                <w:b/>
                                <w:sz w:val="18"/>
                                <w:szCs w:val="18"/>
                              </w:rPr>
                            </w:pPr>
                          </w:p>
                          <w:p w14:paraId="25E79253" w14:textId="77777777" w:rsidR="00FB6D94" w:rsidRDefault="00FB6D94" w:rsidP="00DE5A21">
                            <w:pPr>
                              <w:rPr>
                                <w:rFonts w:ascii="Century Gothic" w:hAnsi="Century Gothic"/>
                                <w:b/>
                                <w:sz w:val="18"/>
                                <w:szCs w:val="18"/>
                              </w:rPr>
                            </w:pPr>
                          </w:p>
                          <w:p w14:paraId="3FE55245" w14:textId="77777777" w:rsidR="00FB6D94" w:rsidRDefault="00FB6D94" w:rsidP="00DE5A21">
                            <w:pPr>
                              <w:rPr>
                                <w:rFonts w:ascii="Century Gothic" w:hAnsi="Century Gothic"/>
                                <w:b/>
                                <w:sz w:val="18"/>
                                <w:szCs w:val="18"/>
                              </w:rPr>
                            </w:pPr>
                            <w:r>
                              <w:rPr>
                                <w:rFonts w:ascii="Century Gothic" w:hAnsi="Century Gothic"/>
                                <w:b/>
                                <w:sz w:val="18"/>
                                <w:szCs w:val="18"/>
                              </w:rPr>
                              <w:t>______________                                _____________________</w:t>
                            </w:r>
                          </w:p>
                          <w:p w14:paraId="5B91EBEB" w14:textId="77777777" w:rsidR="00FB6D94" w:rsidRDefault="00FB6D94" w:rsidP="00DE5A21">
                            <w:pPr>
                              <w:rPr>
                                <w:rFonts w:ascii="Century Gothic" w:hAnsi="Century Gothic"/>
                                <w:b/>
                                <w:sz w:val="18"/>
                                <w:szCs w:val="18"/>
                              </w:rPr>
                            </w:pPr>
                          </w:p>
                          <w:p w14:paraId="081481D2" w14:textId="77777777" w:rsidR="00FB6D94" w:rsidRDefault="00FB6D94" w:rsidP="00DE5A21">
                            <w:pPr>
                              <w:rPr>
                                <w:rFonts w:ascii="Century Gothic" w:hAnsi="Century Gothic"/>
                                <w:b/>
                                <w:sz w:val="18"/>
                                <w:szCs w:val="18"/>
                              </w:rPr>
                            </w:pPr>
                          </w:p>
                          <w:p w14:paraId="15C51AE6" w14:textId="77777777" w:rsidR="00FB6D94" w:rsidRPr="00084341" w:rsidRDefault="00FB6D94" w:rsidP="00DE5A21">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45A5B994" w14:textId="77777777" w:rsidR="00FB6D94" w:rsidRPr="00084341" w:rsidRDefault="00FB6D94" w:rsidP="00DE5A21">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858D1" id="_x0000_t202" coordsize="21600,21600" o:spt="202" path="m,l,21600r21600,l21600,xe">
                <v:stroke joinstyle="miter"/>
                <v:path gradientshapeok="t" o:connecttype="rect"/>
              </v:shapetype>
              <v:shape id="Text Box 5" o:spid="_x0000_s1026" type="#_x0000_t202" style="position:absolute;margin-left:-23.5pt;margin-top:12.25pt;width:222.3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">
                <v:textbox>
                  <w:txbxContent>
                    <w:p w14:paraId="7E77648B" w14:textId="77777777" w:rsidR="00FB6D94" w:rsidRPr="002A7321" w:rsidRDefault="00FB6D94" w:rsidP="00DE5A21">
                      <w:pPr>
                        <w:jc w:val="center"/>
                        <w:rPr>
                          <w:rFonts w:ascii="Arial Black" w:hAnsi="Arial Black"/>
                          <w:b/>
                        </w:rPr>
                      </w:pPr>
                    </w:p>
                    <w:p w14:paraId="455930B7" w14:textId="6E56C858" w:rsidR="00FB6D94" w:rsidRDefault="006F28C9" w:rsidP="006F28C9">
                      <w:pPr>
                        <w:tabs>
                          <w:tab w:val="left" w:pos="720"/>
                        </w:tabs>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B6D94">
                        <w:rPr>
                          <w:rFonts w:ascii="Century Gothic" w:hAnsi="Century Gothic"/>
                          <w:sz w:val="20"/>
                          <w:szCs w:val="20"/>
                        </w:rPr>
                        <w:t>REPORTABLE:  NO</w:t>
                      </w:r>
                    </w:p>
                    <w:p w14:paraId="09AEBF04" w14:textId="1C4A6D7B" w:rsidR="00FB6D94" w:rsidRPr="00913F95" w:rsidRDefault="006F28C9" w:rsidP="006F28C9">
                      <w:pPr>
                        <w:tabs>
                          <w:tab w:val="left" w:pos="720"/>
                        </w:tabs>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FB6D94" w:rsidRPr="00913F95">
                        <w:rPr>
                          <w:rFonts w:ascii="Century Gothic" w:hAnsi="Century Gothic"/>
                          <w:sz w:val="20"/>
                          <w:szCs w:val="20"/>
                        </w:rPr>
                        <w:t>OF INTEREST TO OTHER JUDGES: NO</w:t>
                      </w:r>
                    </w:p>
                    <w:p w14:paraId="0FE2AA76" w14:textId="19563C0D" w:rsidR="00FB6D94" w:rsidRDefault="006F28C9" w:rsidP="006F28C9">
                      <w:pPr>
                        <w:tabs>
                          <w:tab w:val="left" w:pos="720"/>
                        </w:tabs>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B6D94" w:rsidRPr="00913F95">
                        <w:rPr>
                          <w:rFonts w:ascii="Century Gothic" w:hAnsi="Century Gothic"/>
                          <w:sz w:val="20"/>
                          <w:szCs w:val="20"/>
                        </w:rPr>
                        <w:t>REVISED</w:t>
                      </w:r>
                      <w:r w:rsidR="00FB6D94">
                        <w:rPr>
                          <w:rFonts w:ascii="Century Gothic" w:hAnsi="Century Gothic"/>
                          <w:sz w:val="20"/>
                          <w:szCs w:val="20"/>
                        </w:rPr>
                        <w:t xml:space="preserve">: NO </w:t>
                      </w:r>
                    </w:p>
                    <w:p w14:paraId="78B9979D" w14:textId="77777777" w:rsidR="00ED41FE" w:rsidRDefault="00ED41FE" w:rsidP="00DE5A21">
                      <w:pPr>
                        <w:ind w:left="900"/>
                        <w:rPr>
                          <w:rFonts w:ascii="Times New Roman" w:hAnsi="Times New Roman" w:cs="Times New Roman"/>
                          <w:noProof/>
                          <w:sz w:val="20"/>
                          <w:szCs w:val="20"/>
                          <w:lang w:val="en-US"/>
                        </w:rPr>
                      </w:pPr>
                    </w:p>
                    <w:p w14:paraId="26C65FFE" w14:textId="77777777" w:rsidR="00ED41FE" w:rsidRDefault="00ED41FE" w:rsidP="00DE5A21">
                      <w:pPr>
                        <w:ind w:left="900"/>
                        <w:rPr>
                          <w:rFonts w:ascii="Times New Roman" w:hAnsi="Times New Roman" w:cs="Times New Roman"/>
                          <w:noProof/>
                          <w:sz w:val="20"/>
                          <w:szCs w:val="20"/>
                          <w:lang w:val="en-US"/>
                        </w:rPr>
                      </w:pPr>
                    </w:p>
                    <w:p w14:paraId="05B23894" w14:textId="48EF0574" w:rsidR="00FB6D94" w:rsidRPr="00913F95" w:rsidRDefault="00ED41FE" w:rsidP="00DE5A21">
                      <w:pPr>
                        <w:ind w:left="900"/>
                        <w:rPr>
                          <w:rFonts w:ascii="Century Gothic" w:hAnsi="Century Gothic"/>
                          <w:sz w:val="20"/>
                          <w:szCs w:val="20"/>
                        </w:rPr>
                      </w:pPr>
                      <w:r>
                        <w:rPr>
                          <w:rFonts w:ascii="Times New Roman" w:hAnsi="Times New Roman" w:cs="Times New Roman"/>
                          <w:noProof/>
                          <w:sz w:val="20"/>
                          <w:szCs w:val="20"/>
                          <w:lang w:val="en-US"/>
                        </w:rPr>
                        <w:t xml:space="preserve">           </w:t>
                      </w:r>
                      <w:r w:rsidR="00FB6D94">
                        <w:rPr>
                          <w:rFonts w:ascii="Century Gothic" w:hAnsi="Century Gothic"/>
                          <w:sz w:val="20"/>
                          <w:szCs w:val="20"/>
                        </w:rPr>
                        <w:t xml:space="preserve">  29 August 2022</w:t>
                      </w:r>
                    </w:p>
                    <w:p w14:paraId="213132BA" w14:textId="77777777" w:rsidR="00FB6D94" w:rsidRDefault="00FB6D94" w:rsidP="00DE5A21">
                      <w:pPr>
                        <w:rPr>
                          <w:rFonts w:ascii="Century Gothic" w:hAnsi="Century Gothic"/>
                          <w:b/>
                          <w:sz w:val="18"/>
                          <w:szCs w:val="18"/>
                        </w:rPr>
                      </w:pPr>
                      <w:r>
                        <w:rPr>
                          <w:rFonts w:ascii="Century Gothic" w:hAnsi="Century Gothic"/>
                          <w:b/>
                          <w:sz w:val="18"/>
                          <w:szCs w:val="18"/>
                        </w:rPr>
                        <w:t xml:space="preserve">                            _______________________</w:t>
                      </w:r>
                    </w:p>
                    <w:p w14:paraId="7773BC72" w14:textId="77777777" w:rsidR="00FB6D94" w:rsidRDefault="00FB6D94" w:rsidP="00DE5A21">
                      <w:pPr>
                        <w:rPr>
                          <w:rFonts w:ascii="Century Gothic" w:hAnsi="Century Gothic"/>
                          <w:b/>
                          <w:sz w:val="18"/>
                          <w:szCs w:val="18"/>
                        </w:rPr>
                      </w:pPr>
                      <w:r>
                        <w:rPr>
                          <w:rFonts w:ascii="Century Gothic" w:hAnsi="Century Gothic"/>
                          <w:b/>
                          <w:sz w:val="18"/>
                          <w:szCs w:val="18"/>
                        </w:rPr>
                        <w:t xml:space="preserve">                                                        </w:t>
                      </w:r>
                    </w:p>
                    <w:p w14:paraId="2E114811" w14:textId="77777777" w:rsidR="00FB6D94" w:rsidRDefault="00FB6D94" w:rsidP="00DE5A21">
                      <w:pPr>
                        <w:rPr>
                          <w:rFonts w:ascii="Century Gothic" w:hAnsi="Century Gothic"/>
                          <w:b/>
                          <w:sz w:val="18"/>
                          <w:szCs w:val="18"/>
                        </w:rPr>
                      </w:pPr>
                    </w:p>
                    <w:p w14:paraId="68068851" w14:textId="77777777" w:rsidR="00FB6D94" w:rsidRDefault="00FB6D94" w:rsidP="00DE5A21">
                      <w:pPr>
                        <w:rPr>
                          <w:rFonts w:ascii="Century Gothic" w:hAnsi="Century Gothic"/>
                          <w:b/>
                          <w:sz w:val="18"/>
                          <w:szCs w:val="18"/>
                        </w:rPr>
                      </w:pPr>
                    </w:p>
                    <w:p w14:paraId="5DA88AF4" w14:textId="77777777" w:rsidR="00FB6D94" w:rsidRDefault="00FB6D94" w:rsidP="00DE5A21">
                      <w:pPr>
                        <w:rPr>
                          <w:rFonts w:ascii="Century Gothic" w:hAnsi="Century Gothic"/>
                          <w:b/>
                          <w:sz w:val="18"/>
                          <w:szCs w:val="18"/>
                        </w:rPr>
                      </w:pPr>
                    </w:p>
                    <w:p w14:paraId="25E79253" w14:textId="77777777" w:rsidR="00FB6D94" w:rsidRDefault="00FB6D94" w:rsidP="00DE5A21">
                      <w:pPr>
                        <w:rPr>
                          <w:rFonts w:ascii="Century Gothic" w:hAnsi="Century Gothic"/>
                          <w:b/>
                          <w:sz w:val="18"/>
                          <w:szCs w:val="18"/>
                        </w:rPr>
                      </w:pPr>
                    </w:p>
                    <w:p w14:paraId="3FE55245" w14:textId="77777777" w:rsidR="00FB6D94" w:rsidRDefault="00FB6D94" w:rsidP="00DE5A21">
                      <w:pPr>
                        <w:rPr>
                          <w:rFonts w:ascii="Century Gothic" w:hAnsi="Century Gothic"/>
                          <w:b/>
                          <w:sz w:val="18"/>
                          <w:szCs w:val="18"/>
                        </w:rPr>
                      </w:pPr>
                      <w:r>
                        <w:rPr>
                          <w:rFonts w:ascii="Century Gothic" w:hAnsi="Century Gothic"/>
                          <w:b/>
                          <w:sz w:val="18"/>
                          <w:szCs w:val="18"/>
                        </w:rPr>
                        <w:t>______________                                _____________________</w:t>
                      </w:r>
                    </w:p>
                    <w:p w14:paraId="5B91EBEB" w14:textId="77777777" w:rsidR="00FB6D94" w:rsidRDefault="00FB6D94" w:rsidP="00DE5A21">
                      <w:pPr>
                        <w:rPr>
                          <w:rFonts w:ascii="Century Gothic" w:hAnsi="Century Gothic"/>
                          <w:b/>
                          <w:sz w:val="18"/>
                          <w:szCs w:val="18"/>
                        </w:rPr>
                      </w:pPr>
                    </w:p>
                    <w:p w14:paraId="081481D2" w14:textId="77777777" w:rsidR="00FB6D94" w:rsidRDefault="00FB6D94" w:rsidP="00DE5A21">
                      <w:pPr>
                        <w:rPr>
                          <w:rFonts w:ascii="Century Gothic" w:hAnsi="Century Gothic"/>
                          <w:b/>
                          <w:sz w:val="18"/>
                          <w:szCs w:val="18"/>
                        </w:rPr>
                      </w:pPr>
                    </w:p>
                    <w:p w14:paraId="15C51AE6" w14:textId="77777777" w:rsidR="00FB6D94" w:rsidRPr="00084341" w:rsidRDefault="00FB6D94" w:rsidP="00DE5A21">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45A5B994" w14:textId="77777777" w:rsidR="00FB6D94" w:rsidRPr="00084341" w:rsidRDefault="00FB6D94" w:rsidP="00DE5A21">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89B3E69" w14:textId="77777777" w:rsidR="00DE5A21" w:rsidRPr="00FA4765" w:rsidRDefault="00DE5A21" w:rsidP="00520BC6">
      <w:pPr>
        <w:rPr>
          <w:rFonts w:ascii="Arial" w:hAnsi="Arial" w:cs="Arial"/>
          <w:sz w:val="26"/>
          <w:szCs w:val="26"/>
        </w:rPr>
      </w:pPr>
    </w:p>
    <w:p w14:paraId="06B620A2" w14:textId="346CF347" w:rsidR="00DE5A21" w:rsidRPr="00FA4765" w:rsidRDefault="00DE5A21" w:rsidP="00520BC6">
      <w:pPr>
        <w:rPr>
          <w:rFonts w:ascii="Arial" w:hAnsi="Arial" w:cs="Arial"/>
          <w:sz w:val="26"/>
          <w:szCs w:val="26"/>
        </w:rPr>
      </w:pPr>
    </w:p>
    <w:p w14:paraId="140E9C34" w14:textId="77777777" w:rsidR="00DE5A21" w:rsidRPr="00FA4765" w:rsidRDefault="00DE5A21" w:rsidP="00520BC6">
      <w:pPr>
        <w:rPr>
          <w:rFonts w:ascii="Arial" w:hAnsi="Arial" w:cs="Arial"/>
          <w:sz w:val="26"/>
          <w:szCs w:val="26"/>
        </w:rPr>
      </w:pPr>
    </w:p>
    <w:p w14:paraId="0F8B36F5" w14:textId="77777777" w:rsidR="00DE5A21" w:rsidRPr="00FA4765" w:rsidRDefault="00DE5A21" w:rsidP="00520BC6">
      <w:pPr>
        <w:rPr>
          <w:rFonts w:ascii="Arial" w:hAnsi="Arial" w:cs="Arial"/>
          <w:sz w:val="26"/>
          <w:szCs w:val="26"/>
        </w:rPr>
      </w:pPr>
    </w:p>
    <w:p w14:paraId="6AC81417" w14:textId="77777777" w:rsidR="00DE5A21" w:rsidRPr="00FA4765" w:rsidRDefault="00DE5A21" w:rsidP="00520BC6">
      <w:pPr>
        <w:rPr>
          <w:rFonts w:ascii="Arial" w:hAnsi="Arial" w:cs="Arial"/>
          <w:sz w:val="26"/>
          <w:szCs w:val="26"/>
        </w:rPr>
      </w:pPr>
    </w:p>
    <w:p w14:paraId="18B7B450" w14:textId="77777777" w:rsidR="00DE5A21" w:rsidRPr="00FA4765" w:rsidRDefault="00DE5A21" w:rsidP="00520BC6">
      <w:pPr>
        <w:rPr>
          <w:rFonts w:ascii="Arial" w:hAnsi="Arial" w:cs="Arial"/>
          <w:sz w:val="26"/>
          <w:szCs w:val="26"/>
        </w:rPr>
      </w:pPr>
    </w:p>
    <w:p w14:paraId="5A8D2193" w14:textId="77777777" w:rsidR="00DE5A21" w:rsidRPr="00FA4765" w:rsidRDefault="00DE5A21" w:rsidP="00520BC6">
      <w:pPr>
        <w:rPr>
          <w:rFonts w:ascii="Arial" w:hAnsi="Arial" w:cs="Arial"/>
          <w:sz w:val="26"/>
          <w:szCs w:val="26"/>
        </w:rPr>
      </w:pPr>
    </w:p>
    <w:p w14:paraId="734DED4D" w14:textId="77777777" w:rsidR="00DE5A21" w:rsidRPr="00FA4765" w:rsidRDefault="00DE5A21" w:rsidP="00520BC6">
      <w:pPr>
        <w:rPr>
          <w:rFonts w:ascii="Arial" w:hAnsi="Arial" w:cs="Arial"/>
          <w:sz w:val="26"/>
          <w:szCs w:val="26"/>
        </w:rPr>
      </w:pPr>
    </w:p>
    <w:p w14:paraId="0F958834" w14:textId="77777777" w:rsidR="00DE5A21" w:rsidRPr="00FA4765" w:rsidRDefault="00DE5A21" w:rsidP="00520BC6">
      <w:pPr>
        <w:rPr>
          <w:rFonts w:ascii="Arial" w:hAnsi="Arial" w:cs="Arial"/>
          <w:sz w:val="26"/>
          <w:szCs w:val="26"/>
        </w:rPr>
      </w:pPr>
    </w:p>
    <w:p w14:paraId="7696F5A6" w14:textId="77777777" w:rsidR="00DE5A21" w:rsidRPr="00FA4765" w:rsidRDefault="00DE5A21" w:rsidP="00520BC6">
      <w:pPr>
        <w:rPr>
          <w:rFonts w:ascii="Arial" w:hAnsi="Arial" w:cs="Arial"/>
          <w:sz w:val="26"/>
          <w:szCs w:val="26"/>
        </w:rPr>
      </w:pPr>
    </w:p>
    <w:p w14:paraId="185ADB71" w14:textId="014BF4BF" w:rsidR="00DE5A21" w:rsidRPr="00FA4765" w:rsidRDefault="00166494" w:rsidP="00DE5A21">
      <w:pPr>
        <w:jc w:val="right"/>
        <w:rPr>
          <w:rFonts w:ascii="Arial" w:hAnsi="Arial" w:cs="Arial"/>
          <w:sz w:val="26"/>
          <w:szCs w:val="26"/>
        </w:rPr>
      </w:pPr>
      <w:r w:rsidRPr="00FA4765">
        <w:rPr>
          <w:rFonts w:ascii="Arial" w:hAnsi="Arial" w:cs="Arial"/>
          <w:sz w:val="26"/>
          <w:szCs w:val="26"/>
        </w:rPr>
        <w:t>29</w:t>
      </w:r>
      <w:r w:rsidR="00DE5A21" w:rsidRPr="00FA4765">
        <w:rPr>
          <w:rFonts w:ascii="Arial" w:hAnsi="Arial" w:cs="Arial"/>
          <w:sz w:val="26"/>
          <w:szCs w:val="26"/>
        </w:rPr>
        <w:t xml:space="preserve"> August 2022</w:t>
      </w:r>
    </w:p>
    <w:p w14:paraId="70A13485" w14:textId="77777777" w:rsidR="00DE5A21" w:rsidRPr="00FA4765" w:rsidRDefault="00DE5A21" w:rsidP="00520BC6">
      <w:pPr>
        <w:rPr>
          <w:rFonts w:ascii="Arial" w:hAnsi="Arial" w:cs="Arial"/>
          <w:sz w:val="26"/>
          <w:szCs w:val="26"/>
        </w:rPr>
      </w:pPr>
    </w:p>
    <w:p w14:paraId="04B22674" w14:textId="77777777" w:rsidR="00DE5A21" w:rsidRPr="00FA4765" w:rsidRDefault="00DE5A21" w:rsidP="00520BC6">
      <w:pPr>
        <w:rPr>
          <w:rFonts w:ascii="Arial" w:hAnsi="Arial" w:cs="Arial"/>
          <w:sz w:val="26"/>
          <w:szCs w:val="26"/>
        </w:rPr>
      </w:pPr>
    </w:p>
    <w:p w14:paraId="136C02B6" w14:textId="5BF0CA40" w:rsidR="005508F0" w:rsidRPr="00FA4765" w:rsidRDefault="00C5475F" w:rsidP="00922DDA">
      <w:pPr>
        <w:spacing w:line="480" w:lineRule="auto"/>
        <w:rPr>
          <w:rFonts w:ascii="Arial" w:hAnsi="Arial" w:cs="Arial"/>
          <w:sz w:val="26"/>
          <w:szCs w:val="26"/>
        </w:rPr>
      </w:pPr>
      <w:r w:rsidRPr="00FA4765">
        <w:rPr>
          <w:rFonts w:ascii="Arial" w:hAnsi="Arial" w:cs="Arial"/>
          <w:sz w:val="26"/>
          <w:szCs w:val="26"/>
        </w:rPr>
        <w:t xml:space="preserve">In the matter </w:t>
      </w:r>
      <w:r w:rsidR="005B10A8" w:rsidRPr="00FA4765">
        <w:rPr>
          <w:rFonts w:ascii="Arial" w:hAnsi="Arial" w:cs="Arial"/>
          <w:sz w:val="26"/>
          <w:szCs w:val="26"/>
        </w:rPr>
        <w:t>between:</w:t>
      </w:r>
    </w:p>
    <w:p w14:paraId="2DC1917D" w14:textId="77777777" w:rsidR="005B10A8" w:rsidRPr="00FA4765" w:rsidRDefault="005B10A8" w:rsidP="00922DDA">
      <w:pPr>
        <w:spacing w:line="480" w:lineRule="auto"/>
        <w:rPr>
          <w:rFonts w:ascii="Arial" w:hAnsi="Arial" w:cs="Arial"/>
          <w:b/>
          <w:sz w:val="26"/>
          <w:szCs w:val="26"/>
        </w:rPr>
      </w:pPr>
    </w:p>
    <w:p w14:paraId="7CA0685A" w14:textId="4834EDA1" w:rsidR="00837EA0" w:rsidRPr="00FA4765" w:rsidRDefault="005B10A8" w:rsidP="00922DDA">
      <w:pPr>
        <w:spacing w:line="480" w:lineRule="auto"/>
        <w:rPr>
          <w:rFonts w:ascii="Arial" w:hAnsi="Arial" w:cs="Arial"/>
          <w:b/>
          <w:sz w:val="26"/>
          <w:szCs w:val="26"/>
        </w:rPr>
      </w:pPr>
      <w:r w:rsidRPr="00FA4765">
        <w:rPr>
          <w:rFonts w:ascii="Arial" w:hAnsi="Arial" w:cs="Arial"/>
          <w:b/>
          <w:sz w:val="26"/>
          <w:szCs w:val="26"/>
        </w:rPr>
        <w:t xml:space="preserve">TOYOTA FINANCIAL SERVICES (SOUTH AFRICA) LIMITED </w:t>
      </w:r>
      <w:r w:rsidR="005508F0" w:rsidRPr="00FA4765">
        <w:rPr>
          <w:rFonts w:ascii="Arial" w:hAnsi="Arial" w:cs="Arial"/>
          <w:b/>
          <w:sz w:val="26"/>
          <w:szCs w:val="26"/>
        </w:rPr>
        <w:t xml:space="preserve"> </w:t>
      </w:r>
      <w:r w:rsidRPr="00FA4765">
        <w:rPr>
          <w:rFonts w:ascii="Arial" w:hAnsi="Arial" w:cs="Arial"/>
          <w:b/>
          <w:sz w:val="26"/>
          <w:szCs w:val="26"/>
        </w:rPr>
        <w:t xml:space="preserve">     </w:t>
      </w:r>
      <w:r w:rsidR="001C7C56" w:rsidRPr="00FA4765">
        <w:rPr>
          <w:rFonts w:ascii="Arial" w:hAnsi="Arial" w:cs="Arial"/>
          <w:b/>
          <w:sz w:val="26"/>
          <w:szCs w:val="26"/>
        </w:rPr>
        <w:t xml:space="preserve">  </w:t>
      </w:r>
      <w:r w:rsidRPr="00FA4765">
        <w:rPr>
          <w:rFonts w:ascii="Arial" w:hAnsi="Arial" w:cs="Arial"/>
          <w:b/>
          <w:sz w:val="26"/>
          <w:szCs w:val="26"/>
        </w:rPr>
        <w:t xml:space="preserve"> </w:t>
      </w:r>
      <w:r w:rsidR="005508F0" w:rsidRPr="00FA4765">
        <w:rPr>
          <w:rFonts w:ascii="Arial" w:hAnsi="Arial" w:cs="Arial"/>
          <w:b/>
          <w:sz w:val="26"/>
          <w:szCs w:val="26"/>
        </w:rPr>
        <w:t xml:space="preserve">  </w:t>
      </w:r>
      <w:r w:rsidRPr="00FA4765">
        <w:rPr>
          <w:rFonts w:ascii="Arial" w:hAnsi="Arial" w:cs="Arial"/>
          <w:sz w:val="26"/>
          <w:szCs w:val="26"/>
        </w:rPr>
        <w:t>Plaintiff</w:t>
      </w:r>
      <w:r w:rsidRPr="00FA4765">
        <w:rPr>
          <w:rFonts w:ascii="Arial" w:hAnsi="Arial" w:cs="Arial"/>
          <w:b/>
          <w:sz w:val="26"/>
          <w:szCs w:val="26"/>
        </w:rPr>
        <w:t xml:space="preserve"> </w:t>
      </w:r>
    </w:p>
    <w:p w14:paraId="75F73FD9" w14:textId="77777777" w:rsidR="005B10A8" w:rsidRPr="00FA4765" w:rsidRDefault="005B10A8" w:rsidP="00922DDA">
      <w:pPr>
        <w:spacing w:line="480" w:lineRule="auto"/>
        <w:rPr>
          <w:rFonts w:ascii="Arial" w:hAnsi="Arial" w:cs="Arial"/>
          <w:sz w:val="26"/>
          <w:szCs w:val="26"/>
        </w:rPr>
      </w:pPr>
    </w:p>
    <w:p w14:paraId="45914ECB" w14:textId="0BA43545" w:rsidR="00837EA0" w:rsidRPr="00FA4765" w:rsidRDefault="001C7C56" w:rsidP="00922DDA">
      <w:pPr>
        <w:spacing w:line="480" w:lineRule="auto"/>
        <w:rPr>
          <w:rFonts w:ascii="Arial" w:hAnsi="Arial" w:cs="Arial"/>
          <w:sz w:val="26"/>
          <w:szCs w:val="26"/>
        </w:rPr>
      </w:pPr>
      <w:r w:rsidRPr="00FA4765">
        <w:rPr>
          <w:rFonts w:ascii="Arial" w:hAnsi="Arial" w:cs="Arial"/>
          <w:sz w:val="26"/>
          <w:szCs w:val="26"/>
        </w:rPr>
        <w:t>a</w:t>
      </w:r>
      <w:r w:rsidR="00DE323F" w:rsidRPr="00FA4765">
        <w:rPr>
          <w:rFonts w:ascii="Arial" w:hAnsi="Arial" w:cs="Arial"/>
          <w:sz w:val="26"/>
          <w:szCs w:val="26"/>
        </w:rPr>
        <w:t>nd</w:t>
      </w:r>
    </w:p>
    <w:p w14:paraId="29596710" w14:textId="77777777" w:rsidR="005B10A8" w:rsidRPr="00FA4765" w:rsidRDefault="005B10A8" w:rsidP="005508F0">
      <w:pPr>
        <w:spacing w:line="480" w:lineRule="auto"/>
        <w:rPr>
          <w:rFonts w:ascii="Arial" w:hAnsi="Arial" w:cs="Arial"/>
          <w:b/>
          <w:sz w:val="26"/>
          <w:szCs w:val="26"/>
        </w:rPr>
      </w:pPr>
    </w:p>
    <w:p w14:paraId="29ECF2A7" w14:textId="3722AC33" w:rsidR="001274B4" w:rsidRPr="00FA4765" w:rsidRDefault="005B10A8" w:rsidP="005508F0">
      <w:pPr>
        <w:spacing w:line="480" w:lineRule="auto"/>
        <w:rPr>
          <w:rFonts w:ascii="Arial" w:hAnsi="Arial" w:cs="Arial"/>
          <w:b/>
          <w:sz w:val="26"/>
          <w:szCs w:val="26"/>
        </w:rPr>
      </w:pPr>
      <w:r w:rsidRPr="00FA4765">
        <w:rPr>
          <w:rFonts w:ascii="Arial" w:hAnsi="Arial" w:cs="Arial"/>
          <w:b/>
          <w:sz w:val="26"/>
          <w:szCs w:val="26"/>
        </w:rPr>
        <w:t>WASTE</w:t>
      </w:r>
      <w:r w:rsidRPr="00FA4765">
        <w:rPr>
          <w:rFonts w:ascii="Arial" w:hAnsi="Arial" w:cs="Arial"/>
          <w:sz w:val="26"/>
          <w:szCs w:val="26"/>
        </w:rPr>
        <w:t xml:space="preserve"> </w:t>
      </w:r>
      <w:r w:rsidRPr="00FA4765">
        <w:rPr>
          <w:rFonts w:ascii="Arial" w:hAnsi="Arial" w:cs="Arial"/>
          <w:b/>
          <w:sz w:val="26"/>
          <w:szCs w:val="26"/>
        </w:rPr>
        <w:t>PARTNERS INVESTMENT (</w:t>
      </w:r>
      <w:r w:rsidR="001C7C56" w:rsidRPr="00FA4765">
        <w:rPr>
          <w:rFonts w:ascii="Arial" w:hAnsi="Arial" w:cs="Arial"/>
          <w:b/>
          <w:sz w:val="26"/>
          <w:szCs w:val="26"/>
        </w:rPr>
        <w:t>PTY) LIMITED</w:t>
      </w:r>
      <w:r w:rsidR="001C7C56" w:rsidRPr="00FA4765">
        <w:rPr>
          <w:rFonts w:ascii="Arial" w:hAnsi="Arial" w:cs="Arial"/>
          <w:b/>
          <w:sz w:val="26"/>
          <w:szCs w:val="26"/>
        </w:rPr>
        <w:tab/>
        <w:t>`</w:t>
      </w:r>
      <w:r w:rsidR="001C7C56" w:rsidRPr="00FA4765">
        <w:rPr>
          <w:rFonts w:ascii="Arial" w:hAnsi="Arial" w:cs="Arial"/>
          <w:b/>
          <w:sz w:val="26"/>
          <w:szCs w:val="26"/>
        </w:rPr>
        <w:tab/>
        <w:t xml:space="preserve">        </w:t>
      </w:r>
      <w:r w:rsidRPr="00FA4765">
        <w:rPr>
          <w:rFonts w:ascii="Arial" w:hAnsi="Arial" w:cs="Arial"/>
          <w:sz w:val="26"/>
          <w:szCs w:val="26"/>
        </w:rPr>
        <w:t>Defendant</w:t>
      </w:r>
    </w:p>
    <w:p w14:paraId="5D9398F5" w14:textId="66F040A5" w:rsidR="007F5A37" w:rsidRPr="00FA4765" w:rsidRDefault="003A516E" w:rsidP="005508F0">
      <w:pPr>
        <w:spacing w:line="480" w:lineRule="auto"/>
        <w:rPr>
          <w:rFonts w:ascii="Arial" w:hAnsi="Arial" w:cs="Arial"/>
          <w:b/>
          <w:sz w:val="26"/>
          <w:szCs w:val="26"/>
        </w:rPr>
      </w:pPr>
      <w:r w:rsidRPr="00FA4765">
        <w:rPr>
          <w:rFonts w:ascii="Arial" w:hAnsi="Arial" w:cs="Arial"/>
          <w:b/>
          <w:sz w:val="26"/>
          <w:szCs w:val="26"/>
        </w:rPr>
        <w:t xml:space="preserve">                                                                                         </w:t>
      </w:r>
    </w:p>
    <w:p w14:paraId="2F8099F4" w14:textId="77777777" w:rsidR="007F5A37" w:rsidRPr="00FA4765" w:rsidRDefault="007F5A37" w:rsidP="00C5475F">
      <w:pPr>
        <w:pBdr>
          <w:bottom w:val="single" w:sz="12" w:space="1" w:color="auto"/>
        </w:pBdr>
        <w:rPr>
          <w:rFonts w:ascii="Arial" w:hAnsi="Arial" w:cs="Arial"/>
          <w:bCs/>
          <w:sz w:val="26"/>
          <w:szCs w:val="26"/>
        </w:rPr>
      </w:pPr>
    </w:p>
    <w:p w14:paraId="5E890503" w14:textId="49921F94" w:rsidR="00C5475F" w:rsidRPr="00FA4765" w:rsidRDefault="00C5475F" w:rsidP="00C5475F">
      <w:pPr>
        <w:rPr>
          <w:rFonts w:ascii="Arial" w:hAnsi="Arial" w:cs="Arial"/>
          <w:bCs/>
          <w:sz w:val="26"/>
          <w:szCs w:val="26"/>
        </w:rPr>
      </w:pPr>
    </w:p>
    <w:p w14:paraId="05D2424B" w14:textId="77DDA1E5" w:rsidR="00C5475F" w:rsidRPr="00FA4765" w:rsidRDefault="00C5475F" w:rsidP="00C5475F">
      <w:pPr>
        <w:jc w:val="center"/>
        <w:rPr>
          <w:rFonts w:ascii="Arial" w:hAnsi="Arial" w:cs="Arial"/>
          <w:b/>
          <w:sz w:val="26"/>
          <w:szCs w:val="26"/>
        </w:rPr>
      </w:pPr>
      <w:r w:rsidRPr="00FA4765">
        <w:rPr>
          <w:rFonts w:ascii="Arial" w:hAnsi="Arial" w:cs="Arial"/>
          <w:b/>
          <w:sz w:val="26"/>
          <w:szCs w:val="26"/>
        </w:rPr>
        <w:t>JUDGMENT</w:t>
      </w:r>
    </w:p>
    <w:p w14:paraId="0C98C794" w14:textId="5C2D3621" w:rsidR="00C5475F" w:rsidRPr="00FA4765" w:rsidRDefault="00C5475F" w:rsidP="00C5475F">
      <w:pPr>
        <w:pBdr>
          <w:bottom w:val="single" w:sz="12" w:space="1" w:color="auto"/>
        </w:pBdr>
        <w:jc w:val="center"/>
        <w:rPr>
          <w:rFonts w:ascii="Arial" w:hAnsi="Arial" w:cs="Arial"/>
          <w:bCs/>
          <w:sz w:val="26"/>
          <w:szCs w:val="26"/>
        </w:rPr>
      </w:pPr>
    </w:p>
    <w:p w14:paraId="0A2D180D" w14:textId="77777777" w:rsidR="00407600" w:rsidRPr="00FA4765" w:rsidRDefault="00407600" w:rsidP="00C5475F">
      <w:pPr>
        <w:rPr>
          <w:rFonts w:ascii="Arial" w:hAnsi="Arial" w:cs="Arial"/>
          <w:sz w:val="26"/>
          <w:szCs w:val="26"/>
        </w:rPr>
      </w:pPr>
    </w:p>
    <w:p w14:paraId="1B4318CC" w14:textId="78AAB91C" w:rsidR="00837EA0" w:rsidRPr="00FA4765" w:rsidRDefault="00627996" w:rsidP="00C5475F">
      <w:pPr>
        <w:rPr>
          <w:rFonts w:ascii="Arial" w:hAnsi="Arial" w:cs="Arial"/>
          <w:b/>
          <w:sz w:val="26"/>
          <w:szCs w:val="26"/>
        </w:rPr>
      </w:pPr>
      <w:r w:rsidRPr="00FA4765">
        <w:rPr>
          <w:rFonts w:ascii="Arial" w:hAnsi="Arial" w:cs="Arial"/>
          <w:b/>
          <w:sz w:val="26"/>
          <w:szCs w:val="26"/>
        </w:rPr>
        <w:t>OLI</w:t>
      </w:r>
      <w:r w:rsidR="00DD552D" w:rsidRPr="00FA4765">
        <w:rPr>
          <w:rFonts w:ascii="Arial" w:hAnsi="Arial" w:cs="Arial"/>
          <w:b/>
          <w:sz w:val="26"/>
          <w:szCs w:val="26"/>
        </w:rPr>
        <w:t>V</w:t>
      </w:r>
      <w:r w:rsidRPr="00FA4765">
        <w:rPr>
          <w:rFonts w:ascii="Arial" w:hAnsi="Arial" w:cs="Arial"/>
          <w:b/>
          <w:sz w:val="26"/>
          <w:szCs w:val="26"/>
        </w:rPr>
        <w:t xml:space="preserve">IER </w:t>
      </w:r>
      <w:r w:rsidR="00385311" w:rsidRPr="00FA4765">
        <w:rPr>
          <w:rFonts w:ascii="Arial" w:hAnsi="Arial" w:cs="Arial"/>
          <w:b/>
          <w:sz w:val="26"/>
          <w:szCs w:val="26"/>
        </w:rPr>
        <w:t>AJ:</w:t>
      </w:r>
    </w:p>
    <w:p w14:paraId="7AC5977F" w14:textId="0951E4FE" w:rsidR="001274B4" w:rsidRPr="00FA4765" w:rsidRDefault="001274B4" w:rsidP="00C5475F">
      <w:pPr>
        <w:rPr>
          <w:rFonts w:ascii="Arial" w:hAnsi="Arial" w:cs="Arial"/>
          <w:b/>
          <w:sz w:val="26"/>
          <w:szCs w:val="26"/>
        </w:rPr>
      </w:pPr>
    </w:p>
    <w:p w14:paraId="77D26C5C" w14:textId="5E940E2A" w:rsidR="00385311" w:rsidRPr="00FA4765" w:rsidRDefault="00385311" w:rsidP="00C5475F">
      <w:pPr>
        <w:rPr>
          <w:rFonts w:ascii="Arial" w:hAnsi="Arial" w:cs="Arial"/>
          <w:b/>
          <w:bCs/>
          <w:sz w:val="26"/>
          <w:szCs w:val="26"/>
        </w:rPr>
      </w:pPr>
    </w:p>
    <w:p w14:paraId="296E161B" w14:textId="77777777" w:rsidR="00BF3D30" w:rsidRPr="00FA4765" w:rsidRDefault="00BF3D30" w:rsidP="00C5475F">
      <w:pPr>
        <w:rPr>
          <w:rFonts w:ascii="Arial" w:hAnsi="Arial" w:cs="Arial"/>
          <w:b/>
          <w:bCs/>
          <w:sz w:val="26"/>
          <w:szCs w:val="26"/>
        </w:rPr>
      </w:pPr>
    </w:p>
    <w:p w14:paraId="70F04E20" w14:textId="56C1DAA5" w:rsidR="00385311" w:rsidRPr="00FA4765" w:rsidRDefault="0024025A" w:rsidP="0051198F">
      <w:pPr>
        <w:spacing w:line="360" w:lineRule="auto"/>
        <w:jc w:val="both"/>
        <w:rPr>
          <w:rFonts w:ascii="Arial" w:hAnsi="Arial" w:cs="Arial"/>
          <w:b/>
          <w:iCs/>
          <w:sz w:val="26"/>
          <w:szCs w:val="26"/>
        </w:rPr>
      </w:pPr>
      <w:r w:rsidRPr="00FA4765">
        <w:rPr>
          <w:rFonts w:ascii="Arial" w:hAnsi="Arial" w:cs="Arial"/>
          <w:b/>
          <w:iCs/>
          <w:sz w:val="26"/>
          <w:szCs w:val="26"/>
        </w:rPr>
        <w:t>Introduction</w:t>
      </w:r>
    </w:p>
    <w:p w14:paraId="4EB71ED7" w14:textId="62270F2C" w:rsidR="00407600" w:rsidRPr="00FA4765" w:rsidRDefault="00407600" w:rsidP="0051198F">
      <w:pPr>
        <w:spacing w:line="360" w:lineRule="auto"/>
        <w:jc w:val="both"/>
        <w:rPr>
          <w:rFonts w:ascii="Arial" w:hAnsi="Arial" w:cs="Arial"/>
          <w:b/>
          <w:iCs/>
          <w:sz w:val="26"/>
          <w:szCs w:val="26"/>
        </w:rPr>
      </w:pPr>
    </w:p>
    <w:p w14:paraId="1C7BF170" w14:textId="072108AB" w:rsidR="005D7B5D" w:rsidRPr="006F28C9" w:rsidRDefault="006F28C9" w:rsidP="006F28C9">
      <w:pPr>
        <w:spacing w:line="360" w:lineRule="auto"/>
        <w:ind w:left="720" w:hanging="360"/>
        <w:jc w:val="both"/>
        <w:rPr>
          <w:rFonts w:ascii="Arial" w:hAnsi="Arial" w:cs="Arial"/>
          <w:bCs/>
          <w:iCs/>
          <w:sz w:val="26"/>
          <w:szCs w:val="26"/>
        </w:rPr>
      </w:pPr>
      <w:r w:rsidRPr="00FA4765">
        <w:rPr>
          <w:rFonts w:ascii="Arial" w:hAnsi="Arial" w:cs="Arial"/>
          <w:bCs/>
          <w:iCs/>
          <w:sz w:val="26"/>
          <w:szCs w:val="26"/>
        </w:rPr>
        <w:t>[1]</w:t>
      </w:r>
      <w:r w:rsidRPr="00FA4765">
        <w:rPr>
          <w:rFonts w:ascii="Arial" w:hAnsi="Arial" w:cs="Arial"/>
          <w:bCs/>
          <w:iCs/>
          <w:sz w:val="26"/>
          <w:szCs w:val="26"/>
        </w:rPr>
        <w:tab/>
      </w:r>
      <w:r w:rsidR="00542C2D" w:rsidRPr="006F28C9">
        <w:rPr>
          <w:rFonts w:ascii="Arial" w:hAnsi="Arial" w:cs="Arial"/>
          <w:bCs/>
          <w:iCs/>
          <w:sz w:val="26"/>
          <w:szCs w:val="26"/>
        </w:rPr>
        <w:t>This is an application for summary judgment</w:t>
      </w:r>
      <w:r w:rsidR="005D7B5D" w:rsidRPr="006F28C9">
        <w:rPr>
          <w:rFonts w:ascii="Arial" w:hAnsi="Arial" w:cs="Arial"/>
          <w:bCs/>
          <w:iCs/>
          <w:sz w:val="26"/>
          <w:szCs w:val="26"/>
        </w:rPr>
        <w:t xml:space="preserve"> brought by the Plaintiff against the Defendant in terms of Rule 32 of the Uniform Rules of Court.</w:t>
      </w:r>
      <w:r w:rsidR="00DD552D" w:rsidRPr="006F28C9">
        <w:rPr>
          <w:rFonts w:ascii="Arial" w:hAnsi="Arial" w:cs="Arial"/>
          <w:bCs/>
          <w:iCs/>
          <w:sz w:val="26"/>
          <w:szCs w:val="26"/>
        </w:rPr>
        <w:t xml:space="preserve"> The </w:t>
      </w:r>
      <w:r w:rsidR="00E5225D" w:rsidRPr="006F28C9">
        <w:rPr>
          <w:rFonts w:ascii="Arial" w:hAnsi="Arial" w:cs="Arial"/>
          <w:bCs/>
          <w:iCs/>
          <w:sz w:val="26"/>
          <w:szCs w:val="26"/>
        </w:rPr>
        <w:t>Plaintiff</w:t>
      </w:r>
      <w:r w:rsidR="00DD552D" w:rsidRPr="006F28C9">
        <w:rPr>
          <w:rFonts w:ascii="Arial" w:hAnsi="Arial" w:cs="Arial"/>
          <w:bCs/>
          <w:iCs/>
          <w:sz w:val="26"/>
          <w:szCs w:val="26"/>
        </w:rPr>
        <w:t xml:space="preserve"> is Toyota Financial Services (South Africa) Ltd, a </w:t>
      </w:r>
      <w:r w:rsidR="00BF3D30" w:rsidRPr="006F28C9">
        <w:rPr>
          <w:rFonts w:ascii="Arial" w:hAnsi="Arial" w:cs="Arial"/>
          <w:bCs/>
          <w:iCs/>
          <w:sz w:val="26"/>
          <w:szCs w:val="26"/>
        </w:rPr>
        <w:t>company duly incorporated in accordance with the company laws of the Republic of South Africa, and a registered credit provider in terms of the National Credit Act 34 of 2005</w:t>
      </w:r>
      <w:r w:rsidR="00D64000" w:rsidRPr="006F28C9">
        <w:rPr>
          <w:rFonts w:ascii="Arial" w:hAnsi="Arial" w:cs="Arial"/>
          <w:bCs/>
          <w:iCs/>
          <w:sz w:val="26"/>
          <w:szCs w:val="26"/>
        </w:rPr>
        <w:t xml:space="preserve"> (“the National Credit Act”)</w:t>
      </w:r>
      <w:r w:rsidR="00BF3D30" w:rsidRPr="006F28C9">
        <w:rPr>
          <w:rFonts w:ascii="Arial" w:hAnsi="Arial" w:cs="Arial"/>
          <w:bCs/>
          <w:iCs/>
          <w:sz w:val="26"/>
          <w:szCs w:val="26"/>
        </w:rPr>
        <w:t>.</w:t>
      </w:r>
      <w:r w:rsidR="00DD552D" w:rsidRPr="006F28C9">
        <w:rPr>
          <w:rFonts w:ascii="Arial" w:hAnsi="Arial" w:cs="Arial"/>
          <w:bCs/>
          <w:iCs/>
          <w:sz w:val="26"/>
          <w:szCs w:val="26"/>
        </w:rPr>
        <w:t xml:space="preserve"> The </w:t>
      </w:r>
      <w:r w:rsidR="00E5225D" w:rsidRPr="006F28C9">
        <w:rPr>
          <w:rFonts w:ascii="Arial" w:hAnsi="Arial" w:cs="Arial"/>
          <w:bCs/>
          <w:iCs/>
          <w:sz w:val="26"/>
          <w:szCs w:val="26"/>
        </w:rPr>
        <w:t>Defendant</w:t>
      </w:r>
      <w:r w:rsidR="005D7B5D" w:rsidRPr="006F28C9">
        <w:rPr>
          <w:rFonts w:ascii="Arial" w:hAnsi="Arial" w:cs="Arial"/>
          <w:bCs/>
          <w:iCs/>
          <w:sz w:val="26"/>
          <w:szCs w:val="26"/>
        </w:rPr>
        <w:t xml:space="preserve"> </w:t>
      </w:r>
      <w:r w:rsidR="00DD552D" w:rsidRPr="006F28C9">
        <w:rPr>
          <w:rFonts w:ascii="Arial" w:hAnsi="Arial" w:cs="Arial"/>
          <w:bCs/>
          <w:iCs/>
          <w:sz w:val="26"/>
          <w:szCs w:val="26"/>
        </w:rPr>
        <w:t>is Waste Partners Investment (Pty) Limited, a private company</w:t>
      </w:r>
      <w:r w:rsidR="00BF3D30" w:rsidRPr="006F28C9">
        <w:rPr>
          <w:rFonts w:ascii="Arial" w:hAnsi="Arial" w:cs="Arial"/>
          <w:sz w:val="26"/>
          <w:szCs w:val="26"/>
        </w:rPr>
        <w:t xml:space="preserve"> </w:t>
      </w:r>
      <w:r w:rsidR="00BF3D30" w:rsidRPr="006F28C9">
        <w:rPr>
          <w:rFonts w:ascii="Arial" w:hAnsi="Arial" w:cs="Arial"/>
          <w:bCs/>
          <w:iCs/>
          <w:sz w:val="26"/>
          <w:szCs w:val="26"/>
        </w:rPr>
        <w:t>duly incorporated in accordance with the company laws of the Republic of South Africa.</w:t>
      </w:r>
      <w:r w:rsidR="00DD552D" w:rsidRPr="006F28C9">
        <w:rPr>
          <w:rFonts w:ascii="Arial" w:hAnsi="Arial" w:cs="Arial"/>
          <w:bCs/>
          <w:iCs/>
          <w:sz w:val="26"/>
          <w:szCs w:val="26"/>
        </w:rPr>
        <w:t xml:space="preserve"> </w:t>
      </w:r>
    </w:p>
    <w:p w14:paraId="6AAA7288" w14:textId="77777777" w:rsidR="00E5225D" w:rsidRPr="00FA4765" w:rsidRDefault="00E5225D" w:rsidP="00CB1A51">
      <w:pPr>
        <w:spacing w:line="360" w:lineRule="auto"/>
        <w:jc w:val="both"/>
        <w:rPr>
          <w:rFonts w:ascii="Arial" w:hAnsi="Arial" w:cs="Arial"/>
          <w:b/>
          <w:bCs/>
          <w:iCs/>
          <w:sz w:val="26"/>
          <w:szCs w:val="26"/>
        </w:rPr>
      </w:pPr>
    </w:p>
    <w:p w14:paraId="05B0A0A5" w14:textId="14A1BA5B" w:rsidR="000E55BD" w:rsidRPr="00FA4765" w:rsidRDefault="0024025A" w:rsidP="00CB1A51">
      <w:pPr>
        <w:spacing w:line="360" w:lineRule="auto"/>
        <w:jc w:val="both"/>
        <w:rPr>
          <w:rFonts w:ascii="Arial" w:hAnsi="Arial" w:cs="Arial"/>
          <w:b/>
          <w:bCs/>
          <w:iCs/>
          <w:sz w:val="26"/>
          <w:szCs w:val="26"/>
        </w:rPr>
      </w:pPr>
      <w:r w:rsidRPr="00FA4765">
        <w:rPr>
          <w:rFonts w:ascii="Arial" w:hAnsi="Arial" w:cs="Arial"/>
          <w:b/>
          <w:bCs/>
          <w:iCs/>
          <w:sz w:val="26"/>
          <w:szCs w:val="26"/>
        </w:rPr>
        <w:t>Background facts</w:t>
      </w:r>
    </w:p>
    <w:p w14:paraId="640F99C7" w14:textId="77777777" w:rsidR="000E55BD" w:rsidRPr="00FA4765" w:rsidRDefault="000E55BD" w:rsidP="000E55BD">
      <w:pPr>
        <w:pStyle w:val="ListParagraph"/>
        <w:spacing w:line="360" w:lineRule="auto"/>
        <w:ind w:left="1080"/>
        <w:jc w:val="both"/>
        <w:rPr>
          <w:rFonts w:ascii="Arial" w:hAnsi="Arial" w:cs="Arial"/>
          <w:bCs/>
          <w:iCs/>
          <w:sz w:val="26"/>
          <w:szCs w:val="26"/>
        </w:rPr>
      </w:pPr>
    </w:p>
    <w:p w14:paraId="4581EE6B" w14:textId="0B9D3438" w:rsidR="000E55BD" w:rsidRPr="006F28C9" w:rsidRDefault="006F28C9" w:rsidP="006F28C9">
      <w:pPr>
        <w:spacing w:line="360" w:lineRule="auto"/>
        <w:ind w:left="720" w:hanging="360"/>
        <w:jc w:val="both"/>
        <w:rPr>
          <w:rFonts w:ascii="Arial" w:hAnsi="Arial" w:cs="Arial"/>
          <w:bCs/>
          <w:iCs/>
          <w:sz w:val="26"/>
          <w:szCs w:val="26"/>
        </w:rPr>
      </w:pPr>
      <w:r>
        <w:rPr>
          <w:rFonts w:ascii="Arial" w:hAnsi="Arial" w:cs="Arial"/>
          <w:bCs/>
          <w:iCs/>
          <w:sz w:val="26"/>
          <w:szCs w:val="26"/>
        </w:rPr>
        <w:t>[2]</w:t>
      </w:r>
      <w:r>
        <w:rPr>
          <w:rFonts w:ascii="Arial" w:hAnsi="Arial" w:cs="Arial"/>
          <w:bCs/>
          <w:iCs/>
          <w:sz w:val="26"/>
          <w:szCs w:val="26"/>
        </w:rPr>
        <w:tab/>
      </w:r>
      <w:r w:rsidR="008861A8" w:rsidRPr="006F28C9">
        <w:rPr>
          <w:rFonts w:ascii="Arial" w:hAnsi="Arial" w:cs="Arial"/>
          <w:bCs/>
          <w:iCs/>
          <w:sz w:val="26"/>
          <w:szCs w:val="26"/>
        </w:rPr>
        <w:t>According to the Particulars of Claim, t</w:t>
      </w:r>
      <w:r w:rsidR="005D7B5D" w:rsidRPr="006F28C9">
        <w:rPr>
          <w:rFonts w:ascii="Arial" w:hAnsi="Arial" w:cs="Arial"/>
          <w:bCs/>
          <w:iCs/>
          <w:sz w:val="26"/>
          <w:szCs w:val="26"/>
        </w:rPr>
        <w:t xml:space="preserve">he Plaintiff sold and delivered a certain </w:t>
      </w:r>
      <w:r w:rsidR="0052232D" w:rsidRPr="006F28C9">
        <w:rPr>
          <w:rFonts w:ascii="Arial" w:hAnsi="Arial" w:cs="Arial"/>
          <w:bCs/>
          <w:iCs/>
          <w:sz w:val="26"/>
          <w:szCs w:val="26"/>
        </w:rPr>
        <w:t>2019 HINO 500 2836 (DU5) 6X4 LWB F/C C/C vehicle</w:t>
      </w:r>
      <w:r w:rsidR="005D7B5D" w:rsidRPr="006F28C9">
        <w:rPr>
          <w:rFonts w:ascii="Arial" w:hAnsi="Arial" w:cs="Arial"/>
          <w:bCs/>
          <w:iCs/>
          <w:sz w:val="26"/>
          <w:szCs w:val="26"/>
        </w:rPr>
        <w:t xml:space="preserve"> to the Defendant in terms of an Instalment Sale Agreement concluded </w:t>
      </w:r>
      <w:r w:rsidR="00C13669" w:rsidRPr="006F28C9">
        <w:rPr>
          <w:rFonts w:ascii="Arial" w:hAnsi="Arial" w:cs="Arial"/>
          <w:bCs/>
          <w:iCs/>
          <w:sz w:val="26"/>
          <w:szCs w:val="26"/>
        </w:rPr>
        <w:t xml:space="preserve">electronically </w:t>
      </w:r>
      <w:r w:rsidR="005D7B5D" w:rsidRPr="006F28C9">
        <w:rPr>
          <w:rFonts w:ascii="Arial" w:hAnsi="Arial" w:cs="Arial"/>
          <w:bCs/>
          <w:iCs/>
          <w:sz w:val="26"/>
          <w:szCs w:val="26"/>
        </w:rPr>
        <w:t>between the parties on 25 March 2019</w:t>
      </w:r>
      <w:r w:rsidR="008861A8" w:rsidRPr="006F28C9">
        <w:rPr>
          <w:rFonts w:ascii="Arial" w:hAnsi="Arial" w:cs="Arial"/>
          <w:bCs/>
          <w:iCs/>
          <w:sz w:val="26"/>
          <w:szCs w:val="26"/>
        </w:rPr>
        <w:t xml:space="preserve">. </w:t>
      </w:r>
    </w:p>
    <w:p w14:paraId="1D98E5CB" w14:textId="77777777" w:rsidR="0066636B" w:rsidRPr="00FA4765" w:rsidRDefault="0066636B" w:rsidP="0066636B">
      <w:pPr>
        <w:pStyle w:val="ListParagraph"/>
        <w:spacing w:line="360" w:lineRule="auto"/>
        <w:jc w:val="both"/>
        <w:rPr>
          <w:rFonts w:ascii="Arial" w:hAnsi="Arial" w:cs="Arial"/>
          <w:bCs/>
          <w:iCs/>
          <w:sz w:val="26"/>
          <w:szCs w:val="26"/>
        </w:rPr>
      </w:pPr>
    </w:p>
    <w:p w14:paraId="6898BFC4" w14:textId="70F4FA2E" w:rsidR="0052232D" w:rsidRPr="006F28C9" w:rsidRDefault="006F28C9" w:rsidP="006F28C9">
      <w:pPr>
        <w:spacing w:line="360" w:lineRule="auto"/>
        <w:ind w:left="720" w:hanging="360"/>
        <w:jc w:val="both"/>
        <w:rPr>
          <w:rFonts w:ascii="Arial" w:hAnsi="Arial" w:cs="Arial"/>
          <w:bCs/>
          <w:iCs/>
          <w:sz w:val="26"/>
          <w:szCs w:val="26"/>
        </w:rPr>
      </w:pPr>
      <w:r w:rsidRPr="00FA4765">
        <w:rPr>
          <w:rFonts w:ascii="Arial" w:hAnsi="Arial" w:cs="Arial"/>
          <w:bCs/>
          <w:iCs/>
          <w:sz w:val="26"/>
          <w:szCs w:val="26"/>
        </w:rPr>
        <w:t>[3]</w:t>
      </w:r>
      <w:r w:rsidRPr="00FA4765">
        <w:rPr>
          <w:rFonts w:ascii="Arial" w:hAnsi="Arial" w:cs="Arial"/>
          <w:bCs/>
          <w:iCs/>
          <w:sz w:val="26"/>
          <w:szCs w:val="26"/>
        </w:rPr>
        <w:tab/>
      </w:r>
      <w:r w:rsidR="000E67D1" w:rsidRPr="006F28C9">
        <w:rPr>
          <w:rFonts w:ascii="Arial" w:hAnsi="Arial" w:cs="Arial"/>
          <w:bCs/>
          <w:iCs/>
          <w:sz w:val="26"/>
          <w:szCs w:val="26"/>
        </w:rPr>
        <w:t>In terms of the A</w:t>
      </w:r>
      <w:r w:rsidR="0052232D" w:rsidRPr="006F28C9">
        <w:rPr>
          <w:rFonts w:ascii="Arial" w:hAnsi="Arial" w:cs="Arial"/>
          <w:bCs/>
          <w:iCs/>
          <w:sz w:val="26"/>
          <w:szCs w:val="26"/>
        </w:rPr>
        <w:t>greement the total purchase price payable was the sum of R2 571 058,20, payable by an initial deposit of R186 444,00, including interest charges in the sum of R668 300,70 calculated at 13,5% per annum, the cash price for the vehicle</w:t>
      </w:r>
      <w:r w:rsidR="000E67D1" w:rsidRPr="006F28C9">
        <w:rPr>
          <w:rFonts w:ascii="Arial" w:hAnsi="Arial" w:cs="Arial"/>
          <w:bCs/>
          <w:iCs/>
          <w:sz w:val="26"/>
          <w:szCs w:val="26"/>
        </w:rPr>
        <w:t xml:space="preserve"> being the sum of R1 239 577,50.</w:t>
      </w:r>
    </w:p>
    <w:p w14:paraId="4D3EC787" w14:textId="27738D55" w:rsidR="000E55BD" w:rsidRPr="006F28C9" w:rsidRDefault="006F28C9" w:rsidP="006F28C9">
      <w:pPr>
        <w:spacing w:line="360" w:lineRule="auto"/>
        <w:ind w:left="720" w:hanging="360"/>
        <w:jc w:val="both"/>
        <w:rPr>
          <w:rFonts w:ascii="Arial" w:hAnsi="Arial" w:cs="Arial"/>
          <w:bCs/>
          <w:iCs/>
          <w:sz w:val="26"/>
          <w:szCs w:val="26"/>
        </w:rPr>
      </w:pPr>
      <w:r>
        <w:rPr>
          <w:rFonts w:ascii="Arial" w:hAnsi="Arial" w:cs="Arial"/>
          <w:bCs/>
          <w:iCs/>
          <w:sz w:val="26"/>
          <w:szCs w:val="26"/>
        </w:rPr>
        <w:t>[4]</w:t>
      </w:r>
      <w:r>
        <w:rPr>
          <w:rFonts w:ascii="Arial" w:hAnsi="Arial" w:cs="Arial"/>
          <w:bCs/>
          <w:iCs/>
          <w:sz w:val="26"/>
          <w:szCs w:val="26"/>
        </w:rPr>
        <w:tab/>
      </w:r>
      <w:r w:rsidR="000E55BD" w:rsidRPr="006F28C9">
        <w:rPr>
          <w:rFonts w:ascii="Arial" w:hAnsi="Arial" w:cs="Arial"/>
          <w:bCs/>
          <w:iCs/>
          <w:sz w:val="26"/>
          <w:szCs w:val="26"/>
        </w:rPr>
        <w:t xml:space="preserve">The Agreement was for a period of 60 months and the </w:t>
      </w:r>
      <w:r w:rsidR="00E5225D" w:rsidRPr="006F28C9">
        <w:rPr>
          <w:rFonts w:ascii="Arial" w:hAnsi="Arial" w:cs="Arial"/>
          <w:bCs/>
          <w:iCs/>
          <w:sz w:val="26"/>
          <w:szCs w:val="26"/>
        </w:rPr>
        <w:t>Defendant</w:t>
      </w:r>
      <w:r w:rsidR="000E55BD" w:rsidRPr="006F28C9">
        <w:rPr>
          <w:rFonts w:ascii="Arial" w:hAnsi="Arial" w:cs="Arial"/>
          <w:bCs/>
          <w:iCs/>
          <w:sz w:val="26"/>
          <w:szCs w:val="26"/>
        </w:rPr>
        <w:t xml:space="preserve"> was to pay monthly instalments of R39 743.57 commencing on 10 May 2019</w:t>
      </w:r>
      <w:r w:rsidR="000E67D1" w:rsidRPr="006F28C9">
        <w:rPr>
          <w:rFonts w:ascii="Arial" w:hAnsi="Arial" w:cs="Arial"/>
          <w:bCs/>
          <w:iCs/>
          <w:sz w:val="26"/>
          <w:szCs w:val="26"/>
        </w:rPr>
        <w:t>.</w:t>
      </w:r>
    </w:p>
    <w:p w14:paraId="0DB46787" w14:textId="77777777" w:rsidR="0066636B" w:rsidRPr="00FA4765" w:rsidRDefault="0066636B" w:rsidP="0066636B">
      <w:pPr>
        <w:pStyle w:val="ListParagraph"/>
        <w:spacing w:line="360" w:lineRule="auto"/>
        <w:jc w:val="both"/>
        <w:rPr>
          <w:rFonts w:ascii="Arial" w:hAnsi="Arial" w:cs="Arial"/>
          <w:bCs/>
          <w:iCs/>
          <w:sz w:val="26"/>
          <w:szCs w:val="26"/>
        </w:rPr>
      </w:pPr>
    </w:p>
    <w:p w14:paraId="26B342A0" w14:textId="7C58B897" w:rsidR="0066636B" w:rsidRPr="006F28C9" w:rsidRDefault="006F28C9" w:rsidP="006F28C9">
      <w:pPr>
        <w:spacing w:line="360" w:lineRule="auto"/>
        <w:ind w:left="720" w:hanging="360"/>
        <w:jc w:val="both"/>
        <w:rPr>
          <w:rFonts w:ascii="Arial" w:hAnsi="Arial" w:cs="Arial"/>
          <w:bCs/>
          <w:iCs/>
          <w:sz w:val="26"/>
          <w:szCs w:val="26"/>
        </w:rPr>
      </w:pPr>
      <w:r w:rsidRPr="0066636B">
        <w:rPr>
          <w:rFonts w:ascii="Arial" w:hAnsi="Arial" w:cs="Arial"/>
          <w:bCs/>
          <w:iCs/>
          <w:sz w:val="26"/>
          <w:szCs w:val="26"/>
        </w:rPr>
        <w:t>[5]</w:t>
      </w:r>
      <w:r w:rsidRPr="0066636B">
        <w:rPr>
          <w:rFonts w:ascii="Arial" w:hAnsi="Arial" w:cs="Arial"/>
          <w:bCs/>
          <w:iCs/>
          <w:sz w:val="26"/>
          <w:szCs w:val="26"/>
        </w:rPr>
        <w:tab/>
      </w:r>
      <w:r w:rsidR="0052232D" w:rsidRPr="006F28C9">
        <w:rPr>
          <w:rFonts w:ascii="Arial" w:hAnsi="Arial" w:cs="Arial"/>
          <w:bCs/>
          <w:iCs/>
          <w:sz w:val="26"/>
          <w:szCs w:val="26"/>
        </w:rPr>
        <w:t>T</w:t>
      </w:r>
      <w:r w:rsidR="003E383E" w:rsidRPr="006F28C9">
        <w:rPr>
          <w:rFonts w:ascii="Arial" w:hAnsi="Arial" w:cs="Arial"/>
          <w:bCs/>
          <w:iCs/>
          <w:sz w:val="26"/>
          <w:szCs w:val="26"/>
        </w:rPr>
        <w:t xml:space="preserve">he </w:t>
      </w:r>
      <w:r w:rsidR="00E5225D" w:rsidRPr="006F28C9">
        <w:rPr>
          <w:rFonts w:ascii="Arial" w:hAnsi="Arial" w:cs="Arial"/>
          <w:bCs/>
          <w:iCs/>
          <w:sz w:val="26"/>
          <w:szCs w:val="26"/>
        </w:rPr>
        <w:t>Plaintiff</w:t>
      </w:r>
      <w:r w:rsidR="000E55BD" w:rsidRPr="006F28C9">
        <w:rPr>
          <w:rFonts w:ascii="Arial" w:hAnsi="Arial" w:cs="Arial"/>
          <w:bCs/>
          <w:iCs/>
          <w:sz w:val="26"/>
          <w:szCs w:val="26"/>
        </w:rPr>
        <w:t xml:space="preserve"> would remain the owner of the vehicle until </w:t>
      </w:r>
      <w:r w:rsidR="0052232D" w:rsidRPr="006F28C9">
        <w:rPr>
          <w:rFonts w:ascii="Arial" w:hAnsi="Arial" w:cs="Arial"/>
          <w:bCs/>
          <w:iCs/>
          <w:sz w:val="26"/>
          <w:szCs w:val="26"/>
        </w:rPr>
        <w:t xml:space="preserve">receipt of all amounts payable by </w:t>
      </w:r>
      <w:r w:rsidR="000E55BD" w:rsidRPr="006F28C9">
        <w:rPr>
          <w:rFonts w:ascii="Arial" w:hAnsi="Arial" w:cs="Arial"/>
          <w:bCs/>
          <w:iCs/>
          <w:sz w:val="26"/>
          <w:szCs w:val="26"/>
        </w:rPr>
        <w:t xml:space="preserve">the </w:t>
      </w:r>
      <w:r w:rsidR="00E5225D" w:rsidRPr="006F28C9">
        <w:rPr>
          <w:rFonts w:ascii="Arial" w:hAnsi="Arial" w:cs="Arial"/>
          <w:bCs/>
          <w:iCs/>
          <w:sz w:val="26"/>
          <w:szCs w:val="26"/>
        </w:rPr>
        <w:t>Defendant</w:t>
      </w:r>
      <w:r w:rsidR="0052232D" w:rsidRPr="006F28C9">
        <w:rPr>
          <w:rFonts w:ascii="Arial" w:hAnsi="Arial" w:cs="Arial"/>
          <w:bCs/>
          <w:iCs/>
          <w:sz w:val="26"/>
          <w:szCs w:val="26"/>
        </w:rPr>
        <w:t>.</w:t>
      </w:r>
    </w:p>
    <w:p w14:paraId="5CF46428" w14:textId="77777777" w:rsidR="0066636B" w:rsidRPr="00FA4765" w:rsidRDefault="0066636B" w:rsidP="0066636B">
      <w:pPr>
        <w:pStyle w:val="ListParagraph"/>
        <w:spacing w:line="360" w:lineRule="auto"/>
        <w:jc w:val="both"/>
        <w:rPr>
          <w:rFonts w:ascii="Arial" w:hAnsi="Arial" w:cs="Arial"/>
          <w:bCs/>
          <w:iCs/>
          <w:sz w:val="26"/>
          <w:szCs w:val="26"/>
        </w:rPr>
      </w:pPr>
    </w:p>
    <w:p w14:paraId="7447DCEB" w14:textId="0A93A470" w:rsidR="00E5225D" w:rsidRPr="006F28C9" w:rsidRDefault="006F28C9" w:rsidP="006F28C9">
      <w:pPr>
        <w:spacing w:line="360" w:lineRule="auto"/>
        <w:ind w:left="720" w:hanging="360"/>
        <w:jc w:val="both"/>
        <w:rPr>
          <w:rFonts w:ascii="Arial" w:hAnsi="Arial" w:cs="Arial"/>
          <w:bCs/>
          <w:iCs/>
          <w:sz w:val="26"/>
          <w:szCs w:val="26"/>
        </w:rPr>
      </w:pPr>
      <w:r>
        <w:rPr>
          <w:rFonts w:ascii="Arial" w:hAnsi="Arial" w:cs="Arial"/>
          <w:bCs/>
          <w:iCs/>
          <w:sz w:val="26"/>
          <w:szCs w:val="26"/>
        </w:rPr>
        <w:t>[6]</w:t>
      </w:r>
      <w:r>
        <w:rPr>
          <w:rFonts w:ascii="Arial" w:hAnsi="Arial" w:cs="Arial"/>
          <w:bCs/>
          <w:iCs/>
          <w:sz w:val="26"/>
          <w:szCs w:val="26"/>
        </w:rPr>
        <w:tab/>
      </w:r>
      <w:r w:rsidR="00A75B49" w:rsidRPr="006F28C9">
        <w:rPr>
          <w:rFonts w:ascii="Arial" w:hAnsi="Arial" w:cs="Arial"/>
          <w:bCs/>
          <w:iCs/>
          <w:sz w:val="26"/>
          <w:szCs w:val="26"/>
        </w:rPr>
        <w:t xml:space="preserve">Should </w:t>
      </w:r>
      <w:r w:rsidR="000E55BD" w:rsidRPr="006F28C9">
        <w:rPr>
          <w:rFonts w:ascii="Arial" w:hAnsi="Arial" w:cs="Arial"/>
          <w:bCs/>
          <w:iCs/>
          <w:sz w:val="26"/>
          <w:szCs w:val="26"/>
        </w:rPr>
        <w:t xml:space="preserve">the </w:t>
      </w:r>
      <w:r w:rsidR="00E5225D" w:rsidRPr="006F28C9">
        <w:rPr>
          <w:rFonts w:ascii="Arial" w:hAnsi="Arial" w:cs="Arial"/>
          <w:bCs/>
          <w:iCs/>
          <w:sz w:val="26"/>
          <w:szCs w:val="26"/>
        </w:rPr>
        <w:t>Defendant</w:t>
      </w:r>
      <w:r w:rsidR="000E55BD" w:rsidRPr="006F28C9">
        <w:rPr>
          <w:rFonts w:ascii="Arial" w:hAnsi="Arial" w:cs="Arial"/>
          <w:bCs/>
          <w:iCs/>
          <w:sz w:val="26"/>
          <w:szCs w:val="26"/>
        </w:rPr>
        <w:t xml:space="preserve"> breach any terms of the Agreement, the </w:t>
      </w:r>
      <w:r w:rsidR="00E5225D" w:rsidRPr="006F28C9">
        <w:rPr>
          <w:rFonts w:ascii="Arial" w:hAnsi="Arial" w:cs="Arial"/>
          <w:bCs/>
          <w:iCs/>
          <w:sz w:val="26"/>
          <w:szCs w:val="26"/>
        </w:rPr>
        <w:t>Plaintiff</w:t>
      </w:r>
      <w:r w:rsidR="000E55BD" w:rsidRPr="006F28C9">
        <w:rPr>
          <w:rFonts w:ascii="Arial" w:hAnsi="Arial" w:cs="Arial"/>
          <w:bCs/>
          <w:iCs/>
          <w:sz w:val="26"/>
          <w:szCs w:val="26"/>
        </w:rPr>
        <w:t xml:space="preserve"> would be entitled to cancel the Agreement</w:t>
      </w:r>
      <w:r w:rsidR="00F27ABF" w:rsidRPr="006F28C9">
        <w:rPr>
          <w:rFonts w:ascii="Arial" w:hAnsi="Arial" w:cs="Arial"/>
          <w:bCs/>
          <w:iCs/>
          <w:sz w:val="26"/>
          <w:szCs w:val="26"/>
        </w:rPr>
        <w:t xml:space="preserve">, </w:t>
      </w:r>
      <w:r w:rsidR="00A75B49" w:rsidRPr="006F28C9">
        <w:rPr>
          <w:rFonts w:ascii="Arial" w:hAnsi="Arial" w:cs="Arial"/>
          <w:bCs/>
          <w:iCs/>
          <w:sz w:val="26"/>
          <w:szCs w:val="26"/>
        </w:rPr>
        <w:t xml:space="preserve">recover </w:t>
      </w:r>
      <w:r w:rsidR="000E55BD" w:rsidRPr="006F28C9">
        <w:rPr>
          <w:rFonts w:ascii="Arial" w:hAnsi="Arial" w:cs="Arial"/>
          <w:bCs/>
          <w:iCs/>
          <w:sz w:val="26"/>
          <w:szCs w:val="26"/>
        </w:rPr>
        <w:t xml:space="preserve">the vehicle from the </w:t>
      </w:r>
      <w:r w:rsidR="00E5225D" w:rsidRPr="006F28C9">
        <w:rPr>
          <w:rFonts w:ascii="Arial" w:hAnsi="Arial" w:cs="Arial"/>
          <w:bCs/>
          <w:iCs/>
          <w:sz w:val="26"/>
          <w:szCs w:val="26"/>
        </w:rPr>
        <w:t>Defendant</w:t>
      </w:r>
      <w:r w:rsidR="00F27ABF" w:rsidRPr="006F28C9">
        <w:rPr>
          <w:rFonts w:ascii="Arial" w:hAnsi="Arial" w:cs="Arial"/>
          <w:bCs/>
          <w:iCs/>
          <w:sz w:val="26"/>
          <w:szCs w:val="26"/>
        </w:rPr>
        <w:t xml:space="preserve"> and claim from the Defendant the amount which would have been paid to the Plaintiff had the Defendant fulfilled its obligations in terms of the agreement</w:t>
      </w:r>
      <w:r w:rsidR="000E55BD" w:rsidRPr="006F28C9">
        <w:rPr>
          <w:rFonts w:ascii="Arial" w:hAnsi="Arial" w:cs="Arial"/>
          <w:bCs/>
          <w:iCs/>
          <w:sz w:val="26"/>
          <w:szCs w:val="26"/>
        </w:rPr>
        <w:t>.</w:t>
      </w:r>
    </w:p>
    <w:p w14:paraId="6B194FD9" w14:textId="77777777" w:rsidR="0066636B" w:rsidRPr="0066636B" w:rsidRDefault="0066636B" w:rsidP="0066636B">
      <w:pPr>
        <w:spacing w:line="360" w:lineRule="auto"/>
        <w:jc w:val="both"/>
        <w:rPr>
          <w:rFonts w:ascii="Arial" w:hAnsi="Arial" w:cs="Arial"/>
          <w:bCs/>
          <w:iCs/>
          <w:sz w:val="26"/>
          <w:szCs w:val="26"/>
        </w:rPr>
      </w:pPr>
    </w:p>
    <w:p w14:paraId="598AA063" w14:textId="7AF89F1C" w:rsidR="0066636B" w:rsidRPr="006F28C9" w:rsidRDefault="006F28C9" w:rsidP="006F28C9">
      <w:pPr>
        <w:spacing w:line="360" w:lineRule="auto"/>
        <w:ind w:left="720" w:hanging="360"/>
        <w:jc w:val="both"/>
        <w:rPr>
          <w:rFonts w:ascii="Arial" w:hAnsi="Arial" w:cs="Arial"/>
          <w:bCs/>
          <w:iCs/>
          <w:sz w:val="26"/>
          <w:szCs w:val="26"/>
        </w:rPr>
      </w:pPr>
      <w:r>
        <w:rPr>
          <w:rFonts w:ascii="Arial" w:hAnsi="Arial" w:cs="Arial"/>
          <w:bCs/>
          <w:iCs/>
          <w:sz w:val="26"/>
          <w:szCs w:val="26"/>
        </w:rPr>
        <w:t>[7]</w:t>
      </w:r>
      <w:r>
        <w:rPr>
          <w:rFonts w:ascii="Arial" w:hAnsi="Arial" w:cs="Arial"/>
          <w:bCs/>
          <w:iCs/>
          <w:sz w:val="26"/>
          <w:szCs w:val="26"/>
        </w:rPr>
        <w:tab/>
      </w:r>
      <w:r w:rsidR="000E67D1" w:rsidRPr="006F28C9">
        <w:rPr>
          <w:rFonts w:ascii="Arial" w:hAnsi="Arial" w:cs="Arial"/>
          <w:bCs/>
          <w:iCs/>
          <w:sz w:val="26"/>
          <w:szCs w:val="26"/>
        </w:rPr>
        <w:t xml:space="preserve">As alleged in the </w:t>
      </w:r>
      <w:r w:rsidR="001309F0" w:rsidRPr="006F28C9">
        <w:rPr>
          <w:rFonts w:ascii="Arial" w:hAnsi="Arial" w:cs="Arial"/>
          <w:bCs/>
          <w:iCs/>
          <w:sz w:val="26"/>
          <w:szCs w:val="26"/>
        </w:rPr>
        <w:t>Particulars of C</w:t>
      </w:r>
      <w:r w:rsidR="000E67D1" w:rsidRPr="006F28C9">
        <w:rPr>
          <w:rFonts w:ascii="Arial" w:hAnsi="Arial" w:cs="Arial"/>
          <w:bCs/>
          <w:iCs/>
          <w:sz w:val="26"/>
          <w:szCs w:val="26"/>
        </w:rPr>
        <w:t xml:space="preserve">laim, the </w:t>
      </w:r>
      <w:r w:rsidR="00E5225D" w:rsidRPr="006F28C9">
        <w:rPr>
          <w:rFonts w:ascii="Arial" w:hAnsi="Arial" w:cs="Arial"/>
          <w:bCs/>
          <w:iCs/>
          <w:sz w:val="26"/>
          <w:szCs w:val="26"/>
        </w:rPr>
        <w:t>Defendant</w:t>
      </w:r>
      <w:r w:rsidR="000E55BD" w:rsidRPr="006F28C9">
        <w:rPr>
          <w:rFonts w:ascii="Arial" w:hAnsi="Arial" w:cs="Arial"/>
          <w:bCs/>
          <w:iCs/>
          <w:sz w:val="26"/>
          <w:szCs w:val="26"/>
        </w:rPr>
        <w:t xml:space="preserve"> </w:t>
      </w:r>
      <w:r w:rsidR="00F27ABF" w:rsidRPr="006F28C9">
        <w:rPr>
          <w:rFonts w:ascii="Arial" w:hAnsi="Arial" w:cs="Arial"/>
          <w:bCs/>
          <w:iCs/>
          <w:sz w:val="26"/>
          <w:szCs w:val="26"/>
        </w:rPr>
        <w:t>defaulted by failing</w:t>
      </w:r>
      <w:r w:rsidR="00E17557" w:rsidRPr="006F28C9">
        <w:rPr>
          <w:rFonts w:ascii="Arial" w:hAnsi="Arial" w:cs="Arial"/>
          <w:bCs/>
          <w:iCs/>
          <w:sz w:val="26"/>
          <w:szCs w:val="26"/>
        </w:rPr>
        <w:t xml:space="preserve"> to </w:t>
      </w:r>
      <w:r w:rsidR="001521AA" w:rsidRPr="006F28C9">
        <w:rPr>
          <w:rFonts w:ascii="Arial" w:hAnsi="Arial" w:cs="Arial"/>
          <w:bCs/>
          <w:iCs/>
          <w:sz w:val="26"/>
          <w:szCs w:val="26"/>
        </w:rPr>
        <w:t xml:space="preserve">maintain </w:t>
      </w:r>
      <w:r w:rsidR="00A75B49" w:rsidRPr="006F28C9">
        <w:rPr>
          <w:rFonts w:ascii="Arial" w:hAnsi="Arial" w:cs="Arial"/>
          <w:bCs/>
          <w:iCs/>
          <w:sz w:val="26"/>
          <w:szCs w:val="26"/>
        </w:rPr>
        <w:t>monthly payments</w:t>
      </w:r>
      <w:r w:rsidR="00F27ABF" w:rsidRPr="006F28C9">
        <w:rPr>
          <w:rFonts w:ascii="Arial" w:hAnsi="Arial" w:cs="Arial"/>
          <w:bCs/>
          <w:iCs/>
          <w:sz w:val="26"/>
          <w:szCs w:val="26"/>
        </w:rPr>
        <w:t>.</w:t>
      </w:r>
      <w:r w:rsidR="00A75B49" w:rsidRPr="006F28C9">
        <w:rPr>
          <w:rFonts w:ascii="Arial" w:hAnsi="Arial" w:cs="Arial"/>
          <w:bCs/>
          <w:iCs/>
          <w:sz w:val="26"/>
          <w:szCs w:val="26"/>
        </w:rPr>
        <w:t xml:space="preserve"> </w:t>
      </w:r>
      <w:r w:rsidR="00F27ABF" w:rsidRPr="006F28C9">
        <w:rPr>
          <w:rFonts w:ascii="Arial" w:hAnsi="Arial" w:cs="Arial"/>
          <w:bCs/>
          <w:iCs/>
          <w:sz w:val="26"/>
          <w:szCs w:val="26"/>
        </w:rPr>
        <w:t xml:space="preserve">The </w:t>
      </w:r>
      <w:r w:rsidR="00E17557" w:rsidRPr="006F28C9">
        <w:rPr>
          <w:rFonts w:ascii="Arial" w:hAnsi="Arial" w:cs="Arial"/>
          <w:bCs/>
          <w:iCs/>
          <w:sz w:val="26"/>
          <w:szCs w:val="26"/>
        </w:rPr>
        <w:t xml:space="preserve">Plaintiff elected to enforce </w:t>
      </w:r>
      <w:r w:rsidR="00A75B49" w:rsidRPr="006F28C9">
        <w:rPr>
          <w:rFonts w:ascii="Arial" w:hAnsi="Arial" w:cs="Arial"/>
          <w:bCs/>
          <w:iCs/>
          <w:sz w:val="26"/>
          <w:szCs w:val="26"/>
        </w:rPr>
        <w:t>its rights</w:t>
      </w:r>
      <w:r w:rsidR="001521AA" w:rsidRPr="006F28C9">
        <w:rPr>
          <w:rFonts w:ascii="Arial" w:hAnsi="Arial" w:cs="Arial"/>
          <w:bCs/>
          <w:iCs/>
          <w:sz w:val="26"/>
          <w:szCs w:val="26"/>
        </w:rPr>
        <w:t xml:space="preserve"> in terms of the agreement</w:t>
      </w:r>
      <w:r w:rsidR="00A75B49" w:rsidRPr="006F28C9">
        <w:rPr>
          <w:rFonts w:ascii="Arial" w:hAnsi="Arial" w:cs="Arial"/>
          <w:bCs/>
          <w:iCs/>
          <w:sz w:val="26"/>
          <w:szCs w:val="26"/>
        </w:rPr>
        <w:t xml:space="preserve">. </w:t>
      </w:r>
      <w:r w:rsidR="000E55BD" w:rsidRPr="006F28C9">
        <w:rPr>
          <w:rFonts w:ascii="Arial" w:hAnsi="Arial" w:cs="Arial"/>
          <w:bCs/>
          <w:iCs/>
          <w:sz w:val="26"/>
          <w:szCs w:val="26"/>
        </w:rPr>
        <w:t xml:space="preserve">On 20 March 2020 the </w:t>
      </w:r>
      <w:r w:rsidR="00E5225D" w:rsidRPr="006F28C9">
        <w:rPr>
          <w:rFonts w:ascii="Arial" w:hAnsi="Arial" w:cs="Arial"/>
          <w:bCs/>
          <w:iCs/>
          <w:sz w:val="26"/>
          <w:szCs w:val="26"/>
        </w:rPr>
        <w:t>Plaintiff</w:t>
      </w:r>
      <w:r w:rsidR="000E55BD" w:rsidRPr="006F28C9">
        <w:rPr>
          <w:rFonts w:ascii="Arial" w:hAnsi="Arial" w:cs="Arial"/>
          <w:bCs/>
          <w:iCs/>
          <w:sz w:val="26"/>
          <w:szCs w:val="26"/>
        </w:rPr>
        <w:t xml:space="preserve"> instituted </w:t>
      </w:r>
      <w:r w:rsidR="0043124F" w:rsidRPr="006F28C9">
        <w:rPr>
          <w:rFonts w:ascii="Arial" w:hAnsi="Arial" w:cs="Arial"/>
          <w:bCs/>
          <w:iCs/>
          <w:sz w:val="26"/>
          <w:szCs w:val="26"/>
        </w:rPr>
        <w:t xml:space="preserve">a claim </w:t>
      </w:r>
      <w:r w:rsidR="000E55BD" w:rsidRPr="006F28C9">
        <w:rPr>
          <w:rFonts w:ascii="Arial" w:hAnsi="Arial" w:cs="Arial"/>
          <w:bCs/>
          <w:iCs/>
          <w:sz w:val="26"/>
          <w:szCs w:val="26"/>
        </w:rPr>
        <w:t xml:space="preserve">against the </w:t>
      </w:r>
      <w:r w:rsidR="00E5225D" w:rsidRPr="006F28C9">
        <w:rPr>
          <w:rFonts w:ascii="Arial" w:hAnsi="Arial" w:cs="Arial"/>
          <w:bCs/>
          <w:iCs/>
          <w:sz w:val="26"/>
          <w:szCs w:val="26"/>
        </w:rPr>
        <w:t>Defendant</w:t>
      </w:r>
      <w:r w:rsidR="001309F0" w:rsidRPr="006F28C9">
        <w:rPr>
          <w:rFonts w:ascii="Arial" w:hAnsi="Arial" w:cs="Arial"/>
          <w:bCs/>
          <w:iCs/>
          <w:sz w:val="26"/>
          <w:szCs w:val="26"/>
        </w:rPr>
        <w:t xml:space="preserve"> </w:t>
      </w:r>
      <w:r w:rsidR="0043124F" w:rsidRPr="006F28C9">
        <w:rPr>
          <w:rFonts w:ascii="Arial" w:hAnsi="Arial" w:cs="Arial"/>
          <w:bCs/>
          <w:iCs/>
          <w:sz w:val="26"/>
          <w:szCs w:val="26"/>
        </w:rPr>
        <w:t xml:space="preserve">for </w:t>
      </w:r>
      <w:r w:rsidR="000E55BD" w:rsidRPr="006F28C9">
        <w:rPr>
          <w:rFonts w:ascii="Arial" w:hAnsi="Arial" w:cs="Arial"/>
          <w:bCs/>
          <w:iCs/>
          <w:sz w:val="26"/>
          <w:szCs w:val="26"/>
        </w:rPr>
        <w:t>cancellation of the agreement, return of the motor vehicle</w:t>
      </w:r>
      <w:r w:rsidR="00C13669" w:rsidRPr="006F28C9">
        <w:rPr>
          <w:rFonts w:ascii="Arial" w:hAnsi="Arial" w:cs="Arial"/>
          <w:bCs/>
          <w:iCs/>
          <w:sz w:val="26"/>
          <w:szCs w:val="26"/>
        </w:rPr>
        <w:t>,</w:t>
      </w:r>
      <w:r w:rsidR="000E55BD" w:rsidRPr="006F28C9">
        <w:rPr>
          <w:rFonts w:ascii="Arial" w:hAnsi="Arial" w:cs="Arial"/>
          <w:bCs/>
          <w:iCs/>
          <w:sz w:val="26"/>
          <w:szCs w:val="26"/>
        </w:rPr>
        <w:t xml:space="preserve"> and </w:t>
      </w:r>
      <w:r w:rsidR="00D17A8F" w:rsidRPr="006F28C9">
        <w:rPr>
          <w:rFonts w:ascii="Arial" w:hAnsi="Arial" w:cs="Arial"/>
          <w:bCs/>
          <w:iCs/>
          <w:sz w:val="26"/>
          <w:szCs w:val="26"/>
        </w:rPr>
        <w:t xml:space="preserve">judgment for </w:t>
      </w:r>
      <w:r w:rsidR="00C13669" w:rsidRPr="006F28C9">
        <w:rPr>
          <w:rFonts w:ascii="Arial" w:hAnsi="Arial" w:cs="Arial"/>
          <w:bCs/>
          <w:iCs/>
          <w:sz w:val="26"/>
          <w:szCs w:val="26"/>
        </w:rPr>
        <w:t>damages</w:t>
      </w:r>
      <w:r w:rsidR="001309F0" w:rsidRPr="006F28C9">
        <w:rPr>
          <w:rFonts w:ascii="Arial" w:hAnsi="Arial" w:cs="Arial"/>
          <w:bCs/>
          <w:iCs/>
          <w:sz w:val="26"/>
          <w:szCs w:val="26"/>
        </w:rPr>
        <w:t xml:space="preserve"> to be </w:t>
      </w:r>
      <w:r w:rsidR="00D17A8F" w:rsidRPr="006F28C9">
        <w:rPr>
          <w:rFonts w:ascii="Arial" w:hAnsi="Arial" w:cs="Arial"/>
          <w:bCs/>
          <w:iCs/>
          <w:sz w:val="26"/>
          <w:szCs w:val="26"/>
        </w:rPr>
        <w:t xml:space="preserve">postponed </w:t>
      </w:r>
      <w:r w:rsidR="00D17A8F" w:rsidRPr="006F28C9">
        <w:rPr>
          <w:rFonts w:ascii="Arial" w:hAnsi="Arial" w:cs="Arial"/>
          <w:bCs/>
          <w:i/>
          <w:sz w:val="26"/>
          <w:szCs w:val="26"/>
        </w:rPr>
        <w:t>sine die</w:t>
      </w:r>
      <w:r w:rsidR="000E55BD" w:rsidRPr="006F28C9">
        <w:rPr>
          <w:rFonts w:ascii="Arial" w:hAnsi="Arial" w:cs="Arial"/>
          <w:bCs/>
          <w:iCs/>
          <w:sz w:val="26"/>
          <w:szCs w:val="26"/>
        </w:rPr>
        <w:t>.</w:t>
      </w:r>
      <w:r w:rsidR="00A5487F" w:rsidRPr="006F28C9">
        <w:rPr>
          <w:rFonts w:ascii="Arial" w:hAnsi="Arial" w:cs="Arial"/>
          <w:sz w:val="26"/>
          <w:szCs w:val="26"/>
        </w:rPr>
        <w:t xml:space="preserve"> </w:t>
      </w:r>
      <w:r w:rsidR="0043124F" w:rsidRPr="006F28C9">
        <w:rPr>
          <w:rFonts w:ascii="Arial" w:hAnsi="Arial" w:cs="Arial"/>
          <w:bCs/>
          <w:iCs/>
          <w:sz w:val="26"/>
          <w:szCs w:val="26"/>
        </w:rPr>
        <w:t>B</w:t>
      </w:r>
      <w:r w:rsidR="00A75B49" w:rsidRPr="006F28C9">
        <w:rPr>
          <w:rFonts w:ascii="Arial" w:hAnsi="Arial" w:cs="Arial"/>
          <w:bCs/>
          <w:iCs/>
          <w:sz w:val="26"/>
          <w:szCs w:val="26"/>
        </w:rPr>
        <w:t xml:space="preserve">y 13 February 2020 the Defendant was in arrears in an amount of R96 415.81. </w:t>
      </w:r>
    </w:p>
    <w:p w14:paraId="0756CE52" w14:textId="77777777" w:rsidR="0066636B" w:rsidRPr="0066636B" w:rsidRDefault="0066636B" w:rsidP="0066636B">
      <w:pPr>
        <w:spacing w:line="360" w:lineRule="auto"/>
        <w:jc w:val="both"/>
        <w:rPr>
          <w:rFonts w:ascii="Arial" w:hAnsi="Arial" w:cs="Arial"/>
          <w:bCs/>
          <w:iCs/>
          <w:sz w:val="26"/>
          <w:szCs w:val="26"/>
        </w:rPr>
      </w:pPr>
    </w:p>
    <w:p w14:paraId="06CF4BA4" w14:textId="1A1B2A54" w:rsidR="000E67D1" w:rsidRPr="006F28C9" w:rsidRDefault="006F28C9" w:rsidP="006F28C9">
      <w:pPr>
        <w:spacing w:line="360" w:lineRule="auto"/>
        <w:ind w:left="720" w:hanging="360"/>
        <w:jc w:val="both"/>
        <w:rPr>
          <w:rFonts w:ascii="Arial" w:hAnsi="Arial" w:cs="Arial"/>
          <w:bCs/>
          <w:iCs/>
          <w:sz w:val="26"/>
          <w:szCs w:val="26"/>
        </w:rPr>
      </w:pPr>
      <w:r w:rsidRPr="00FA4765">
        <w:rPr>
          <w:rFonts w:ascii="Arial" w:hAnsi="Arial" w:cs="Arial"/>
          <w:bCs/>
          <w:iCs/>
          <w:sz w:val="26"/>
          <w:szCs w:val="26"/>
        </w:rPr>
        <w:t>[8]</w:t>
      </w:r>
      <w:r w:rsidRPr="00FA4765">
        <w:rPr>
          <w:rFonts w:ascii="Arial" w:hAnsi="Arial" w:cs="Arial"/>
          <w:bCs/>
          <w:iCs/>
          <w:sz w:val="26"/>
          <w:szCs w:val="26"/>
        </w:rPr>
        <w:tab/>
      </w:r>
      <w:r w:rsidR="000E67D1" w:rsidRPr="006F28C9">
        <w:rPr>
          <w:rFonts w:ascii="Arial" w:hAnsi="Arial" w:cs="Arial"/>
          <w:sz w:val="26"/>
          <w:szCs w:val="26"/>
        </w:rPr>
        <w:t xml:space="preserve">On </w:t>
      </w:r>
      <w:r w:rsidR="00A5487F" w:rsidRPr="006F28C9">
        <w:rPr>
          <w:rFonts w:ascii="Arial" w:hAnsi="Arial" w:cs="Arial"/>
          <w:bCs/>
          <w:iCs/>
          <w:sz w:val="26"/>
          <w:szCs w:val="26"/>
        </w:rPr>
        <w:t>11</w:t>
      </w:r>
      <w:r w:rsidR="00061528" w:rsidRPr="006F28C9">
        <w:rPr>
          <w:rFonts w:ascii="Arial" w:hAnsi="Arial" w:cs="Arial"/>
          <w:bCs/>
          <w:iCs/>
          <w:sz w:val="26"/>
          <w:szCs w:val="26"/>
        </w:rPr>
        <w:t xml:space="preserve"> June </w:t>
      </w:r>
      <w:r w:rsidR="00A5487F" w:rsidRPr="006F28C9">
        <w:rPr>
          <w:rFonts w:ascii="Arial" w:hAnsi="Arial" w:cs="Arial"/>
          <w:bCs/>
          <w:iCs/>
          <w:sz w:val="26"/>
          <w:szCs w:val="26"/>
        </w:rPr>
        <w:t xml:space="preserve">2020 </w:t>
      </w:r>
      <w:r w:rsidR="00E17557" w:rsidRPr="006F28C9">
        <w:rPr>
          <w:rFonts w:ascii="Arial" w:hAnsi="Arial" w:cs="Arial"/>
          <w:bCs/>
          <w:iCs/>
          <w:sz w:val="26"/>
          <w:szCs w:val="26"/>
        </w:rPr>
        <w:t xml:space="preserve">a </w:t>
      </w:r>
      <w:r w:rsidR="00A5487F" w:rsidRPr="006F28C9">
        <w:rPr>
          <w:rFonts w:ascii="Arial" w:hAnsi="Arial" w:cs="Arial"/>
          <w:bCs/>
          <w:iCs/>
          <w:sz w:val="26"/>
          <w:szCs w:val="26"/>
        </w:rPr>
        <w:t xml:space="preserve">Notice </w:t>
      </w:r>
      <w:r w:rsidR="00061528" w:rsidRPr="006F28C9">
        <w:rPr>
          <w:rFonts w:ascii="Arial" w:hAnsi="Arial" w:cs="Arial"/>
          <w:bCs/>
          <w:iCs/>
          <w:sz w:val="26"/>
          <w:szCs w:val="26"/>
        </w:rPr>
        <w:t xml:space="preserve">of intention </w:t>
      </w:r>
      <w:r w:rsidR="00A5487F" w:rsidRPr="006F28C9">
        <w:rPr>
          <w:rFonts w:ascii="Arial" w:hAnsi="Arial" w:cs="Arial"/>
          <w:bCs/>
          <w:iCs/>
          <w:sz w:val="26"/>
          <w:szCs w:val="26"/>
        </w:rPr>
        <w:t xml:space="preserve">to Defend </w:t>
      </w:r>
      <w:r w:rsidR="00061528" w:rsidRPr="006F28C9">
        <w:rPr>
          <w:rFonts w:ascii="Arial" w:hAnsi="Arial" w:cs="Arial"/>
          <w:bCs/>
          <w:iCs/>
          <w:sz w:val="26"/>
          <w:szCs w:val="26"/>
        </w:rPr>
        <w:t xml:space="preserve">was </w:t>
      </w:r>
      <w:r w:rsidR="00A5487F" w:rsidRPr="006F28C9">
        <w:rPr>
          <w:rFonts w:ascii="Arial" w:hAnsi="Arial" w:cs="Arial"/>
          <w:bCs/>
          <w:iCs/>
          <w:sz w:val="26"/>
          <w:szCs w:val="26"/>
        </w:rPr>
        <w:t>delivered</w:t>
      </w:r>
      <w:r w:rsidR="00E17557" w:rsidRPr="006F28C9">
        <w:rPr>
          <w:rFonts w:ascii="Arial" w:hAnsi="Arial" w:cs="Arial"/>
          <w:bCs/>
          <w:iCs/>
          <w:sz w:val="26"/>
          <w:szCs w:val="26"/>
        </w:rPr>
        <w:t xml:space="preserve">, with the plea following </w:t>
      </w:r>
      <w:r w:rsidR="00061528" w:rsidRPr="006F28C9">
        <w:rPr>
          <w:rFonts w:ascii="Arial" w:hAnsi="Arial" w:cs="Arial"/>
          <w:bCs/>
          <w:iCs/>
          <w:sz w:val="26"/>
          <w:szCs w:val="26"/>
        </w:rPr>
        <w:t xml:space="preserve">on </w:t>
      </w:r>
      <w:r w:rsidR="00A5487F" w:rsidRPr="006F28C9">
        <w:rPr>
          <w:rFonts w:ascii="Arial" w:hAnsi="Arial" w:cs="Arial"/>
          <w:bCs/>
          <w:iCs/>
          <w:sz w:val="26"/>
          <w:szCs w:val="26"/>
        </w:rPr>
        <w:t>10</w:t>
      </w:r>
      <w:r w:rsidR="00061528" w:rsidRPr="006F28C9">
        <w:rPr>
          <w:rFonts w:ascii="Arial" w:hAnsi="Arial" w:cs="Arial"/>
          <w:bCs/>
          <w:iCs/>
          <w:sz w:val="26"/>
          <w:szCs w:val="26"/>
        </w:rPr>
        <w:t xml:space="preserve"> September 2020. </w:t>
      </w:r>
      <w:r w:rsidR="000E67D1" w:rsidRPr="006F28C9">
        <w:rPr>
          <w:rFonts w:ascii="Arial" w:hAnsi="Arial" w:cs="Arial"/>
          <w:bCs/>
          <w:iCs/>
          <w:sz w:val="26"/>
          <w:szCs w:val="26"/>
        </w:rPr>
        <w:t>The Plaintiff launched this application for summary judgment on 22 September 2020. The Defendant served its answering affidavit on 16 October 2021.</w:t>
      </w:r>
    </w:p>
    <w:p w14:paraId="15E53701" w14:textId="77777777" w:rsidR="0066636B" w:rsidRDefault="0066636B" w:rsidP="0066636B">
      <w:pPr>
        <w:pStyle w:val="ListParagraph"/>
        <w:spacing w:line="360" w:lineRule="auto"/>
        <w:jc w:val="both"/>
        <w:rPr>
          <w:rFonts w:ascii="Arial" w:hAnsi="Arial" w:cs="Arial"/>
          <w:bCs/>
          <w:iCs/>
          <w:sz w:val="26"/>
          <w:szCs w:val="26"/>
        </w:rPr>
      </w:pPr>
    </w:p>
    <w:p w14:paraId="4F2372B4" w14:textId="111317C1" w:rsidR="00C10F0A" w:rsidRPr="006F28C9" w:rsidRDefault="006F28C9" w:rsidP="006F28C9">
      <w:pPr>
        <w:spacing w:line="360" w:lineRule="auto"/>
        <w:ind w:left="720" w:hanging="360"/>
        <w:jc w:val="both"/>
        <w:rPr>
          <w:rFonts w:ascii="Arial" w:hAnsi="Arial" w:cs="Arial"/>
          <w:bCs/>
          <w:iCs/>
          <w:sz w:val="26"/>
          <w:szCs w:val="26"/>
        </w:rPr>
      </w:pPr>
      <w:r w:rsidRPr="00DA3801">
        <w:rPr>
          <w:rFonts w:ascii="Arial" w:hAnsi="Arial" w:cs="Arial"/>
          <w:bCs/>
          <w:iCs/>
          <w:sz w:val="26"/>
          <w:szCs w:val="26"/>
        </w:rPr>
        <w:t>[9]</w:t>
      </w:r>
      <w:r w:rsidRPr="00DA3801">
        <w:rPr>
          <w:rFonts w:ascii="Arial" w:hAnsi="Arial" w:cs="Arial"/>
          <w:bCs/>
          <w:iCs/>
          <w:sz w:val="26"/>
          <w:szCs w:val="26"/>
        </w:rPr>
        <w:tab/>
      </w:r>
      <w:r w:rsidR="00C10F0A" w:rsidRPr="006F28C9">
        <w:rPr>
          <w:rFonts w:ascii="Arial" w:hAnsi="Arial" w:cs="Arial"/>
          <w:bCs/>
          <w:iCs/>
          <w:sz w:val="26"/>
          <w:szCs w:val="26"/>
        </w:rPr>
        <w:t>In its plea the Defendant admitted</w:t>
      </w:r>
      <w:r w:rsidR="00FC30AB" w:rsidRPr="006F28C9">
        <w:rPr>
          <w:rFonts w:ascii="Arial" w:hAnsi="Arial" w:cs="Arial"/>
          <w:bCs/>
          <w:iCs/>
          <w:sz w:val="26"/>
          <w:szCs w:val="26"/>
        </w:rPr>
        <w:t xml:space="preserve"> only its ow</w:t>
      </w:r>
      <w:r w:rsidR="0066636B" w:rsidRPr="006F28C9">
        <w:rPr>
          <w:rFonts w:ascii="Arial" w:hAnsi="Arial" w:cs="Arial"/>
          <w:bCs/>
          <w:iCs/>
          <w:sz w:val="26"/>
          <w:szCs w:val="26"/>
        </w:rPr>
        <w:t>n details</w:t>
      </w:r>
      <w:r w:rsidR="00DA3801" w:rsidRPr="006F28C9">
        <w:rPr>
          <w:rFonts w:ascii="Arial" w:hAnsi="Arial" w:cs="Arial"/>
          <w:bCs/>
          <w:iCs/>
          <w:sz w:val="26"/>
          <w:szCs w:val="26"/>
        </w:rPr>
        <w:t>, and pleaded non-compliance by the Plaintiff of its notice obligations. Everything else was denied.</w:t>
      </w:r>
    </w:p>
    <w:p w14:paraId="3EE65C54" w14:textId="67232E20" w:rsidR="005D7B5D" w:rsidRPr="00FA4765" w:rsidRDefault="005D7B5D" w:rsidP="006C185B">
      <w:pPr>
        <w:spacing w:line="360" w:lineRule="auto"/>
        <w:jc w:val="both"/>
        <w:rPr>
          <w:rFonts w:ascii="Arial" w:hAnsi="Arial" w:cs="Arial"/>
          <w:bCs/>
          <w:iCs/>
          <w:sz w:val="26"/>
          <w:szCs w:val="26"/>
        </w:rPr>
      </w:pPr>
    </w:p>
    <w:p w14:paraId="157BECF8" w14:textId="77777777" w:rsidR="0066636B" w:rsidRDefault="0066636B" w:rsidP="006C185B">
      <w:pPr>
        <w:spacing w:line="360" w:lineRule="auto"/>
        <w:jc w:val="both"/>
        <w:rPr>
          <w:rFonts w:ascii="Arial" w:hAnsi="Arial" w:cs="Arial"/>
          <w:b/>
          <w:iCs/>
          <w:sz w:val="26"/>
          <w:szCs w:val="26"/>
        </w:rPr>
      </w:pPr>
    </w:p>
    <w:p w14:paraId="4B6018A9" w14:textId="77777777" w:rsidR="006C185B" w:rsidRDefault="006C185B" w:rsidP="006C185B">
      <w:pPr>
        <w:spacing w:line="360" w:lineRule="auto"/>
        <w:jc w:val="both"/>
        <w:rPr>
          <w:rFonts w:ascii="Arial" w:hAnsi="Arial" w:cs="Arial"/>
          <w:b/>
          <w:iCs/>
          <w:sz w:val="26"/>
          <w:szCs w:val="26"/>
        </w:rPr>
      </w:pPr>
      <w:r w:rsidRPr="00FA4765">
        <w:rPr>
          <w:rFonts w:ascii="Arial" w:hAnsi="Arial" w:cs="Arial"/>
          <w:b/>
          <w:iCs/>
          <w:sz w:val="26"/>
          <w:szCs w:val="26"/>
        </w:rPr>
        <w:t>Relevant legal principles</w:t>
      </w:r>
    </w:p>
    <w:p w14:paraId="41C2403F" w14:textId="77777777" w:rsidR="0066636B" w:rsidRPr="00FA4765" w:rsidRDefault="0066636B" w:rsidP="006C185B">
      <w:pPr>
        <w:spacing w:line="360" w:lineRule="auto"/>
        <w:jc w:val="both"/>
        <w:rPr>
          <w:rFonts w:ascii="Arial" w:hAnsi="Arial" w:cs="Arial"/>
          <w:bCs/>
          <w:iCs/>
          <w:sz w:val="26"/>
          <w:szCs w:val="26"/>
        </w:rPr>
      </w:pPr>
    </w:p>
    <w:p w14:paraId="5427822F" w14:textId="388BD554" w:rsidR="0066636B" w:rsidRDefault="006F28C9" w:rsidP="006F28C9">
      <w:pPr>
        <w:pStyle w:val="NormalWeb"/>
        <w:spacing w:before="0" w:beforeAutospacing="0" w:after="0" w:afterAutospacing="0" w:line="360" w:lineRule="auto"/>
        <w:ind w:left="720" w:hanging="360"/>
        <w:jc w:val="both"/>
        <w:rPr>
          <w:rStyle w:val="FootnoteReference"/>
          <w:rFonts w:ascii="Arial" w:hAnsi="Arial" w:cs="Arial"/>
          <w:sz w:val="26"/>
          <w:szCs w:val="26"/>
          <w:vertAlign w:val="baseline"/>
        </w:rPr>
      </w:pPr>
      <w:r>
        <w:rPr>
          <w:rStyle w:val="FootnoteReference"/>
          <w:rFonts w:ascii="Arial" w:hAnsi="Arial" w:cs="Arial"/>
          <w:sz w:val="26"/>
          <w:szCs w:val="26"/>
          <w:vertAlign w:val="baseline"/>
        </w:rPr>
        <w:t>[10]</w:t>
      </w:r>
      <w:r>
        <w:rPr>
          <w:rStyle w:val="FootnoteReference"/>
          <w:rFonts w:ascii="Arial" w:hAnsi="Arial" w:cs="Arial"/>
          <w:sz w:val="26"/>
          <w:szCs w:val="26"/>
          <w:vertAlign w:val="baseline"/>
        </w:rPr>
        <w:tab/>
      </w:r>
      <w:r w:rsidR="006C185B" w:rsidRPr="00FA4765">
        <w:rPr>
          <w:rFonts w:ascii="Arial" w:hAnsi="Arial" w:cs="Arial"/>
          <w:bCs/>
          <w:iCs/>
          <w:sz w:val="26"/>
          <w:szCs w:val="26"/>
        </w:rPr>
        <w:t xml:space="preserve">Summary judgment proceedings are regulated by Rule 32 of the Uniform Rules of Court. </w:t>
      </w:r>
      <w:r w:rsidR="006C185B" w:rsidRPr="00FA4765">
        <w:rPr>
          <w:rFonts w:ascii="Arial" w:hAnsi="Arial" w:cs="Arial"/>
          <w:sz w:val="26"/>
          <w:szCs w:val="26"/>
        </w:rPr>
        <w:t>It was designed to prevent a plaintiff’s claim, based upon certain circumstances, from being delayed by what amounts to an abuse of the process of the court.</w:t>
      </w:r>
      <w:r w:rsidR="0043124F" w:rsidRPr="00FA4765">
        <w:rPr>
          <w:rFonts w:ascii="Arial" w:hAnsi="Arial" w:cs="Arial"/>
          <w:sz w:val="26"/>
          <w:szCs w:val="26"/>
        </w:rPr>
        <w:t xml:space="preserve"> </w:t>
      </w:r>
      <w:r w:rsidR="006C185B" w:rsidRPr="00FA4765">
        <w:rPr>
          <w:rFonts w:ascii="Arial" w:hAnsi="Arial" w:cs="Arial"/>
          <w:sz w:val="26"/>
          <w:szCs w:val="26"/>
        </w:rPr>
        <w:t xml:space="preserve">In certain circumstances, the law allows a plaintiff to apply to the court for judgment to be entered summarily against the defendant, thus disposing of the matter without putting the plaintiff to the expense of a trial. However, a defendant can escape a summary judgment against him by showing that he has a </w:t>
      </w:r>
      <w:r w:rsidR="006C185B" w:rsidRPr="00FA4765">
        <w:rPr>
          <w:rFonts w:ascii="Arial" w:hAnsi="Arial" w:cs="Arial"/>
          <w:i/>
          <w:iCs/>
          <w:sz w:val="26"/>
          <w:szCs w:val="26"/>
        </w:rPr>
        <w:t xml:space="preserve">bona fide </w:t>
      </w:r>
      <w:r w:rsidR="006C185B" w:rsidRPr="00FA4765">
        <w:rPr>
          <w:rFonts w:ascii="Arial" w:hAnsi="Arial" w:cs="Arial"/>
          <w:sz w:val="26"/>
          <w:szCs w:val="26"/>
        </w:rPr>
        <w:t>defence to the action –</w:t>
      </w:r>
      <w:r w:rsidR="0043124F" w:rsidRPr="00FA4765">
        <w:rPr>
          <w:rFonts w:ascii="Arial" w:hAnsi="Arial" w:cs="Arial"/>
          <w:sz w:val="26"/>
          <w:szCs w:val="26"/>
        </w:rPr>
        <w:t xml:space="preserve"> </w:t>
      </w:r>
      <w:r w:rsidR="006C185B" w:rsidRPr="00FA4765">
        <w:rPr>
          <w:rFonts w:ascii="Arial" w:hAnsi="Arial" w:cs="Arial"/>
          <w:sz w:val="26"/>
          <w:szCs w:val="26"/>
        </w:rPr>
        <w:t xml:space="preserve">the defendant must disclose fully the nature and grounds of the defence, and the material facts on which it is based. </w:t>
      </w:r>
      <w:r w:rsidR="00E31093" w:rsidRPr="00FA4765">
        <w:rPr>
          <w:rFonts w:ascii="Arial" w:hAnsi="Arial" w:cs="Arial"/>
          <w:iCs/>
          <w:sz w:val="26"/>
          <w:szCs w:val="26"/>
        </w:rPr>
        <w:t>A defendant “may successfully resist summary judgment where his affidavit shows that there is a reasonable possibility that the defence he has advanced may succeed on trial.</w:t>
      </w:r>
      <w:r w:rsidR="00E31093" w:rsidRPr="00FA4765">
        <w:rPr>
          <w:rFonts w:ascii="Arial" w:hAnsi="Arial" w:cs="Arial"/>
          <w:i/>
          <w:iCs/>
          <w:sz w:val="26"/>
          <w:szCs w:val="26"/>
        </w:rPr>
        <w:t>”</w:t>
      </w:r>
      <w:r w:rsidR="00E31093" w:rsidRPr="00FA4765">
        <w:rPr>
          <w:rStyle w:val="FootnoteReference"/>
          <w:rFonts w:ascii="Arial" w:hAnsi="Arial" w:cs="Arial"/>
          <w:i/>
          <w:iCs/>
          <w:sz w:val="26"/>
          <w:szCs w:val="26"/>
        </w:rPr>
        <w:t xml:space="preserve"> </w:t>
      </w:r>
      <w:r w:rsidR="00E31093" w:rsidRPr="00FA4765">
        <w:rPr>
          <w:rStyle w:val="FootnoteReference"/>
          <w:rFonts w:ascii="Arial" w:hAnsi="Arial" w:cs="Arial"/>
          <w:iCs/>
          <w:sz w:val="26"/>
          <w:szCs w:val="26"/>
        </w:rPr>
        <w:footnoteReference w:id="1"/>
      </w:r>
    </w:p>
    <w:p w14:paraId="1D4C3D32" w14:textId="77777777" w:rsidR="0066636B" w:rsidRPr="0066636B" w:rsidRDefault="0066636B" w:rsidP="0066636B">
      <w:pPr>
        <w:pStyle w:val="NormalWeb"/>
        <w:spacing w:before="0" w:beforeAutospacing="0" w:after="0" w:afterAutospacing="0" w:line="360" w:lineRule="auto"/>
        <w:ind w:left="720"/>
        <w:jc w:val="both"/>
        <w:rPr>
          <w:rFonts w:ascii="Arial" w:hAnsi="Arial" w:cs="Arial"/>
          <w:sz w:val="26"/>
          <w:szCs w:val="26"/>
        </w:rPr>
      </w:pPr>
    </w:p>
    <w:p w14:paraId="57FA26A5" w14:textId="17F54CB1" w:rsidR="0066636B" w:rsidRDefault="006F28C9" w:rsidP="006F28C9">
      <w:pPr>
        <w:pStyle w:val="NormalWeb"/>
        <w:spacing w:before="0" w:beforeAutospacing="0" w:after="0" w:afterAutospacing="0" w:line="360" w:lineRule="auto"/>
        <w:ind w:left="720" w:hanging="360"/>
        <w:jc w:val="both"/>
        <w:rPr>
          <w:rFonts w:ascii="Arial" w:hAnsi="Arial" w:cs="Arial"/>
          <w:sz w:val="26"/>
          <w:szCs w:val="26"/>
        </w:rPr>
      </w:pPr>
      <w:r>
        <w:rPr>
          <w:rFonts w:ascii="Arial" w:hAnsi="Arial" w:cs="Arial"/>
          <w:sz w:val="26"/>
          <w:szCs w:val="26"/>
        </w:rPr>
        <w:t>[11]</w:t>
      </w:r>
      <w:r>
        <w:rPr>
          <w:rFonts w:ascii="Arial" w:hAnsi="Arial" w:cs="Arial"/>
          <w:sz w:val="26"/>
          <w:szCs w:val="26"/>
        </w:rPr>
        <w:tab/>
      </w:r>
      <w:r w:rsidR="006C185B" w:rsidRPr="00FA4765">
        <w:rPr>
          <w:rFonts w:ascii="Arial" w:hAnsi="Arial" w:cs="Arial"/>
          <w:sz w:val="26"/>
          <w:szCs w:val="26"/>
        </w:rPr>
        <w:t xml:space="preserve">One of the leading cases is </w:t>
      </w:r>
      <w:r w:rsidR="006C185B" w:rsidRPr="00FA4765">
        <w:rPr>
          <w:rFonts w:ascii="Arial" w:hAnsi="Arial" w:cs="Arial"/>
          <w:i/>
          <w:sz w:val="26"/>
          <w:szCs w:val="26"/>
        </w:rPr>
        <w:t>Maharaj v Barclays National Bank Ltd</w:t>
      </w:r>
      <w:r w:rsidR="006C185B" w:rsidRPr="00FA4765">
        <w:rPr>
          <w:rFonts w:ascii="Arial" w:hAnsi="Arial" w:cs="Arial"/>
          <w:sz w:val="26"/>
          <w:szCs w:val="26"/>
        </w:rPr>
        <w:t xml:space="preserve">. The judgment was penned by Corbett JA (as he then was), who set out how to conduct a summary judgment enquiry. </w:t>
      </w:r>
      <w:r w:rsidR="0043124F" w:rsidRPr="00FA4765">
        <w:rPr>
          <w:rFonts w:ascii="Arial" w:hAnsi="Arial" w:cs="Arial"/>
          <w:sz w:val="26"/>
          <w:szCs w:val="26"/>
        </w:rPr>
        <w:t>T</w:t>
      </w:r>
      <w:r w:rsidR="006C185B" w:rsidRPr="00FA4765">
        <w:rPr>
          <w:rFonts w:ascii="Arial" w:hAnsi="Arial" w:cs="Arial"/>
          <w:sz w:val="26"/>
          <w:szCs w:val="26"/>
        </w:rPr>
        <w:t xml:space="preserve">he court must determine whether the defendant has fully disclosed the nature and grounds of his defence and the material facts upon which it is founded, and whether on the facts so disclosed the defendant appears to have, as to either the whole or part of the claim, a defence which is both </w:t>
      </w:r>
      <w:r w:rsidR="006C185B" w:rsidRPr="00FA4765">
        <w:rPr>
          <w:rFonts w:ascii="Arial" w:hAnsi="Arial" w:cs="Arial"/>
          <w:i/>
          <w:sz w:val="26"/>
          <w:szCs w:val="26"/>
        </w:rPr>
        <w:t>bona fide</w:t>
      </w:r>
      <w:r w:rsidR="006C185B" w:rsidRPr="00FA4765">
        <w:rPr>
          <w:rFonts w:ascii="Arial" w:hAnsi="Arial" w:cs="Arial"/>
          <w:sz w:val="26"/>
          <w:szCs w:val="26"/>
        </w:rPr>
        <w:t xml:space="preserve"> and good in law. And while the defend</w:t>
      </w:r>
      <w:r w:rsidR="0043124F" w:rsidRPr="00FA4765">
        <w:rPr>
          <w:rFonts w:ascii="Arial" w:hAnsi="Arial" w:cs="Arial"/>
          <w:sz w:val="26"/>
          <w:szCs w:val="26"/>
        </w:rPr>
        <w:t xml:space="preserve">ant need not deal exhaustively </w:t>
      </w:r>
      <w:r w:rsidR="006C185B" w:rsidRPr="00FA4765">
        <w:rPr>
          <w:rFonts w:ascii="Arial" w:hAnsi="Arial" w:cs="Arial"/>
          <w:sz w:val="26"/>
          <w:szCs w:val="26"/>
        </w:rPr>
        <w:t xml:space="preserve">with the facts and the evidence relied upon to substantiate them, he must a least disclose his defence and the material facts upon which it is based with sufficient particularity and completeness to enable to the court to decide whether the affidavit discloses a </w:t>
      </w:r>
      <w:r w:rsidR="006C185B" w:rsidRPr="00FA4765">
        <w:rPr>
          <w:rFonts w:ascii="Arial" w:hAnsi="Arial" w:cs="Arial"/>
          <w:i/>
          <w:sz w:val="26"/>
          <w:szCs w:val="26"/>
        </w:rPr>
        <w:t xml:space="preserve">bona fide </w:t>
      </w:r>
      <w:r w:rsidR="006C185B" w:rsidRPr="00FA4765">
        <w:rPr>
          <w:rFonts w:ascii="Arial" w:hAnsi="Arial" w:cs="Arial"/>
          <w:sz w:val="26"/>
          <w:szCs w:val="26"/>
        </w:rPr>
        <w:t>defence.</w:t>
      </w:r>
      <w:r w:rsidR="006C185B" w:rsidRPr="00FA4765">
        <w:rPr>
          <w:rStyle w:val="FootnoteReference"/>
          <w:rFonts w:ascii="Arial" w:hAnsi="Arial" w:cs="Arial"/>
          <w:sz w:val="26"/>
          <w:szCs w:val="26"/>
        </w:rPr>
        <w:footnoteReference w:id="2"/>
      </w:r>
      <w:r w:rsidR="006C185B" w:rsidRPr="00FA4765">
        <w:rPr>
          <w:rFonts w:ascii="Arial" w:hAnsi="Arial" w:cs="Arial"/>
          <w:sz w:val="26"/>
          <w:szCs w:val="26"/>
        </w:rPr>
        <w:t xml:space="preserve"> </w:t>
      </w:r>
    </w:p>
    <w:p w14:paraId="7536D36F" w14:textId="77777777" w:rsidR="0066636B" w:rsidRPr="0066636B" w:rsidRDefault="0066636B" w:rsidP="0066636B">
      <w:pPr>
        <w:pStyle w:val="NormalWeb"/>
        <w:spacing w:before="0" w:beforeAutospacing="0" w:after="0" w:afterAutospacing="0" w:line="360" w:lineRule="auto"/>
        <w:jc w:val="both"/>
        <w:rPr>
          <w:rFonts w:ascii="Arial" w:hAnsi="Arial" w:cs="Arial"/>
          <w:sz w:val="26"/>
          <w:szCs w:val="26"/>
        </w:rPr>
      </w:pPr>
    </w:p>
    <w:p w14:paraId="0DC52609" w14:textId="27342ED4" w:rsidR="006C185B" w:rsidRPr="00FA4765" w:rsidRDefault="006F28C9" w:rsidP="006F28C9">
      <w:pPr>
        <w:pStyle w:val="NormalWeb"/>
        <w:spacing w:before="0" w:beforeAutospacing="0" w:after="0" w:afterAutospacing="0" w:line="360" w:lineRule="auto"/>
        <w:ind w:left="720" w:hanging="360"/>
        <w:jc w:val="both"/>
        <w:rPr>
          <w:rFonts w:ascii="Arial" w:hAnsi="Arial" w:cs="Arial"/>
          <w:sz w:val="26"/>
          <w:szCs w:val="26"/>
        </w:rPr>
      </w:pPr>
      <w:r w:rsidRPr="00FA4765">
        <w:rPr>
          <w:rFonts w:ascii="Arial" w:hAnsi="Arial" w:cs="Arial"/>
          <w:sz w:val="26"/>
          <w:szCs w:val="26"/>
        </w:rPr>
        <w:t>[12]</w:t>
      </w:r>
      <w:r w:rsidRPr="00FA4765">
        <w:rPr>
          <w:rFonts w:ascii="Arial" w:hAnsi="Arial" w:cs="Arial"/>
          <w:sz w:val="26"/>
          <w:szCs w:val="26"/>
        </w:rPr>
        <w:tab/>
      </w:r>
      <w:r w:rsidR="006C185B" w:rsidRPr="00FA4765">
        <w:rPr>
          <w:rFonts w:ascii="Arial" w:hAnsi="Arial" w:cs="Arial"/>
          <w:sz w:val="26"/>
          <w:szCs w:val="26"/>
        </w:rPr>
        <w:t xml:space="preserve">In </w:t>
      </w:r>
      <w:r w:rsidR="00E31093" w:rsidRPr="00FA4765">
        <w:rPr>
          <w:rFonts w:ascii="Arial" w:hAnsi="Arial" w:cs="Arial"/>
          <w:i/>
          <w:iCs/>
          <w:sz w:val="26"/>
          <w:szCs w:val="26"/>
          <w:lang w:val="en-US"/>
        </w:rPr>
        <w:t xml:space="preserve">Joob Joob Investments (Pty) Ltd v Stocks Mavundla Zek Joint Venture </w:t>
      </w:r>
      <w:r w:rsidR="006C185B" w:rsidRPr="00FA4765">
        <w:rPr>
          <w:rFonts w:ascii="Arial" w:hAnsi="Arial" w:cs="Arial"/>
          <w:sz w:val="26"/>
          <w:szCs w:val="26"/>
        </w:rPr>
        <w:t xml:space="preserve">the Supreme Court of Appeal </w:t>
      </w:r>
      <w:r w:rsidR="008A6BDB" w:rsidRPr="00FA4765">
        <w:rPr>
          <w:rFonts w:ascii="Arial" w:hAnsi="Arial" w:cs="Arial"/>
          <w:sz w:val="26"/>
          <w:szCs w:val="26"/>
        </w:rPr>
        <w:t>summarised</w:t>
      </w:r>
      <w:r w:rsidR="006C185B" w:rsidRPr="00FA4765">
        <w:rPr>
          <w:rFonts w:ascii="Arial" w:hAnsi="Arial" w:cs="Arial"/>
          <w:sz w:val="26"/>
          <w:szCs w:val="26"/>
        </w:rPr>
        <w:t xml:space="preserve"> Corbett JA’s approach:</w:t>
      </w:r>
    </w:p>
    <w:p w14:paraId="400192DC" w14:textId="77777777" w:rsidR="0066636B" w:rsidRDefault="0066636B" w:rsidP="00FA4765">
      <w:pPr>
        <w:spacing w:line="360" w:lineRule="auto"/>
        <w:ind w:left="1440"/>
        <w:jc w:val="both"/>
        <w:rPr>
          <w:rFonts w:ascii="Arial" w:hAnsi="Arial" w:cs="Arial"/>
          <w:iCs/>
        </w:rPr>
      </w:pPr>
    </w:p>
    <w:p w14:paraId="5F50D280" w14:textId="4B467924" w:rsidR="006C185B" w:rsidRPr="00FA4765" w:rsidRDefault="006C185B" w:rsidP="00FA4765">
      <w:pPr>
        <w:spacing w:line="360" w:lineRule="auto"/>
        <w:ind w:left="1440"/>
        <w:jc w:val="both"/>
        <w:rPr>
          <w:rFonts w:ascii="Arial" w:eastAsia="Times New Roman" w:hAnsi="Arial" w:cs="Arial"/>
          <w:lang w:eastAsia="en-GB"/>
        </w:rPr>
      </w:pPr>
      <w:r w:rsidRPr="00FA4765">
        <w:rPr>
          <w:rFonts w:ascii="Arial" w:hAnsi="Arial" w:cs="Arial"/>
          <w:iCs/>
        </w:rPr>
        <w:t xml:space="preserve">In </w:t>
      </w:r>
      <w:r w:rsidRPr="00FA4765">
        <w:rPr>
          <w:rFonts w:ascii="Arial" w:eastAsia="Times New Roman" w:hAnsi="Arial" w:cs="Arial"/>
          <w:iCs/>
          <w:color w:val="242121"/>
          <w:shd w:val="clear" w:color="auto" w:fill="FFFFFF"/>
          <w:lang w:eastAsia="en-GB"/>
        </w:rPr>
        <w:t>the </w:t>
      </w:r>
      <w:r w:rsidRPr="00FA4765">
        <w:rPr>
          <w:rFonts w:ascii="Arial" w:eastAsia="Times New Roman" w:hAnsi="Arial" w:cs="Arial"/>
          <w:i/>
          <w:iCs/>
          <w:color w:val="242121"/>
          <w:lang w:eastAsia="en-GB"/>
        </w:rPr>
        <w:t>Maharaj</w:t>
      </w:r>
      <w:r w:rsidRPr="00FA4765">
        <w:rPr>
          <w:rFonts w:ascii="Arial" w:eastAsia="Times New Roman" w:hAnsi="Arial" w:cs="Arial"/>
          <w:iCs/>
          <w:color w:val="242121"/>
          <w:shd w:val="clear" w:color="auto" w:fill="FFFFFF"/>
          <w:lang w:eastAsia="en-GB"/>
        </w:rPr>
        <w:t> case</w:t>
      </w:r>
      <w:r w:rsidR="00B77D89">
        <w:rPr>
          <w:rFonts w:ascii="Arial" w:eastAsia="Times New Roman" w:hAnsi="Arial" w:cs="Arial"/>
          <w:iCs/>
          <w:color w:val="242121"/>
          <w:shd w:val="clear" w:color="auto" w:fill="FFFFFF"/>
          <w:lang w:eastAsia="en-GB"/>
        </w:rPr>
        <w:t xml:space="preserve"> at 425G-426E</w:t>
      </w:r>
      <w:r w:rsidRPr="00FA4765">
        <w:rPr>
          <w:rFonts w:ascii="Arial" w:eastAsia="Times New Roman" w:hAnsi="Arial" w:cs="Arial"/>
          <w:iCs/>
          <w:color w:val="242121"/>
          <w:shd w:val="clear" w:color="auto" w:fill="FFFFFF"/>
          <w:lang w:eastAsia="en-GB"/>
        </w:rPr>
        <w:t>, Corbett JA, was keen to ensure first, an examination of whether there has been sufficient disclosure by a defendant of the nature and grounds of his defence and the facts upon which it is founded. The second consideration is that the defence so disclosed must be both </w:t>
      </w:r>
      <w:r w:rsidRPr="00FA4765">
        <w:rPr>
          <w:rFonts w:ascii="Arial" w:eastAsia="Times New Roman" w:hAnsi="Arial" w:cs="Arial"/>
          <w:iCs/>
          <w:color w:val="242121"/>
          <w:lang w:eastAsia="en-GB"/>
        </w:rPr>
        <w:t>bona fide</w:t>
      </w:r>
      <w:r w:rsidRPr="00FA4765">
        <w:rPr>
          <w:rFonts w:ascii="Arial" w:eastAsia="Times New Roman" w:hAnsi="Arial" w:cs="Arial"/>
          <w:iCs/>
          <w:color w:val="242121"/>
          <w:shd w:val="clear" w:color="auto" w:fill="FFFFFF"/>
          <w:lang w:eastAsia="en-GB"/>
        </w:rPr>
        <w:t> and good in law.  A court which is satisfied that this threshold has been crossed is then bo</w:t>
      </w:r>
      <w:r w:rsidR="0043124F" w:rsidRPr="00FA4765">
        <w:rPr>
          <w:rFonts w:ascii="Arial" w:eastAsia="Times New Roman" w:hAnsi="Arial" w:cs="Arial"/>
          <w:iCs/>
          <w:color w:val="242121"/>
          <w:shd w:val="clear" w:color="auto" w:fill="FFFFFF"/>
          <w:lang w:eastAsia="en-GB"/>
        </w:rPr>
        <w:t>und to refuse summary judgment.</w:t>
      </w:r>
      <w:r w:rsidRPr="00FA4765">
        <w:rPr>
          <w:rFonts w:ascii="Arial" w:eastAsia="Times New Roman" w:hAnsi="Arial" w:cs="Arial"/>
          <w:iCs/>
          <w:color w:val="242121"/>
          <w:shd w:val="clear" w:color="auto" w:fill="FFFFFF"/>
          <w:lang w:eastAsia="en-GB"/>
        </w:rPr>
        <w:t xml:space="preserve"> Corbett JA also warned against requiring of a defendant the precision apposite to pleadings. However, the learned judge was equally astute to ensure that recalcitrant debtors pay what is due to a creditor.</w:t>
      </w:r>
      <w:r w:rsidRPr="00FA4765">
        <w:rPr>
          <w:rStyle w:val="FootnoteReference"/>
          <w:rFonts w:ascii="Arial" w:eastAsia="Times New Roman" w:hAnsi="Arial" w:cs="Arial"/>
          <w:iCs/>
          <w:color w:val="242121"/>
          <w:shd w:val="clear" w:color="auto" w:fill="FFFFFF"/>
          <w:lang w:eastAsia="en-GB"/>
        </w:rPr>
        <w:footnoteReference w:id="3"/>
      </w:r>
    </w:p>
    <w:p w14:paraId="5CC020ED" w14:textId="77777777" w:rsidR="0066636B" w:rsidRDefault="0066636B" w:rsidP="0066636B">
      <w:pPr>
        <w:pStyle w:val="NormalWeb"/>
        <w:spacing w:before="0" w:beforeAutospacing="0" w:after="0" w:afterAutospacing="0" w:line="360" w:lineRule="auto"/>
        <w:jc w:val="both"/>
        <w:rPr>
          <w:rFonts w:ascii="Arial" w:hAnsi="Arial" w:cs="Arial"/>
          <w:sz w:val="26"/>
          <w:szCs w:val="26"/>
        </w:rPr>
      </w:pPr>
    </w:p>
    <w:p w14:paraId="719FE85E" w14:textId="4F5FBF21" w:rsidR="0066636B" w:rsidRDefault="006F28C9" w:rsidP="006F28C9">
      <w:pPr>
        <w:pStyle w:val="NormalWeb"/>
        <w:spacing w:before="0" w:beforeAutospacing="0" w:after="0" w:afterAutospacing="0" w:line="360" w:lineRule="auto"/>
        <w:ind w:left="720" w:hanging="360"/>
        <w:jc w:val="both"/>
        <w:rPr>
          <w:rFonts w:ascii="Arial" w:hAnsi="Arial" w:cs="Arial"/>
          <w:sz w:val="26"/>
          <w:szCs w:val="26"/>
        </w:rPr>
      </w:pPr>
      <w:r>
        <w:rPr>
          <w:rFonts w:ascii="Arial" w:hAnsi="Arial" w:cs="Arial"/>
          <w:sz w:val="26"/>
          <w:szCs w:val="26"/>
        </w:rPr>
        <w:t>[13]</w:t>
      </w:r>
      <w:r>
        <w:rPr>
          <w:rFonts w:ascii="Arial" w:hAnsi="Arial" w:cs="Arial"/>
          <w:sz w:val="26"/>
          <w:szCs w:val="26"/>
        </w:rPr>
        <w:tab/>
      </w:r>
      <w:r w:rsidR="006C185B" w:rsidRPr="00FA4765">
        <w:rPr>
          <w:rFonts w:ascii="Arial" w:hAnsi="Arial" w:cs="Arial"/>
          <w:sz w:val="26"/>
          <w:szCs w:val="26"/>
        </w:rPr>
        <w:t xml:space="preserve">The exposition of the relevant principles above shows that the defendant must meet four requirements: he must disclose the nature of grounds of his defence, he must disclose the facts on which he bases his defence, the defence must be bona fide, and the defence must be good in law. The facts that he provides must be such that if proven at trial, they will constitute an answer to the plaintiff’s claim.  </w:t>
      </w:r>
    </w:p>
    <w:p w14:paraId="2CBB5873" w14:textId="77777777" w:rsidR="0066636B" w:rsidRPr="0066636B" w:rsidRDefault="0066636B" w:rsidP="0066636B">
      <w:pPr>
        <w:pStyle w:val="NormalWeb"/>
        <w:spacing w:before="0" w:beforeAutospacing="0" w:after="0" w:afterAutospacing="0" w:line="360" w:lineRule="auto"/>
        <w:ind w:left="720"/>
        <w:jc w:val="both"/>
        <w:rPr>
          <w:rFonts w:ascii="Arial" w:hAnsi="Arial" w:cs="Arial"/>
          <w:sz w:val="26"/>
          <w:szCs w:val="26"/>
        </w:rPr>
      </w:pPr>
    </w:p>
    <w:p w14:paraId="6B0ECFDD" w14:textId="7D01F6A3" w:rsidR="006C185B" w:rsidRPr="00FA4765" w:rsidRDefault="006F28C9" w:rsidP="006F28C9">
      <w:pPr>
        <w:pStyle w:val="NormalWeb"/>
        <w:spacing w:before="0" w:beforeAutospacing="0" w:after="0" w:afterAutospacing="0" w:line="360" w:lineRule="auto"/>
        <w:ind w:left="720" w:hanging="360"/>
        <w:jc w:val="both"/>
        <w:rPr>
          <w:rFonts w:ascii="Arial" w:hAnsi="Arial" w:cs="Arial"/>
          <w:sz w:val="26"/>
          <w:szCs w:val="26"/>
        </w:rPr>
      </w:pPr>
      <w:r w:rsidRPr="00FA4765">
        <w:rPr>
          <w:rFonts w:ascii="Arial" w:hAnsi="Arial" w:cs="Arial"/>
          <w:sz w:val="26"/>
          <w:szCs w:val="26"/>
        </w:rPr>
        <w:t>[14]</w:t>
      </w:r>
      <w:r w:rsidRPr="00FA4765">
        <w:rPr>
          <w:rFonts w:ascii="Arial" w:hAnsi="Arial" w:cs="Arial"/>
          <w:sz w:val="26"/>
          <w:szCs w:val="26"/>
        </w:rPr>
        <w:tab/>
      </w:r>
      <w:r w:rsidR="006C185B" w:rsidRPr="00FA4765">
        <w:rPr>
          <w:rFonts w:ascii="Arial" w:hAnsi="Arial" w:cs="Arial"/>
          <w:sz w:val="26"/>
          <w:szCs w:val="26"/>
        </w:rPr>
        <w:t xml:space="preserve">Considering the extraordinary and drastic nature of summary judgment, if the court has any doubt as to whether the plaintiff’s case is unanswerable at trial such doubt should be exercised in favour of the defendant and summary judgment should accordingly be refused. </w:t>
      </w:r>
    </w:p>
    <w:p w14:paraId="456CF255" w14:textId="718BF778" w:rsidR="009F4521" w:rsidRPr="00FA4765" w:rsidRDefault="009F4521" w:rsidP="0051198F">
      <w:pPr>
        <w:spacing w:line="360" w:lineRule="auto"/>
        <w:jc w:val="both"/>
        <w:rPr>
          <w:rFonts w:ascii="Arial" w:hAnsi="Arial" w:cs="Arial"/>
          <w:b/>
          <w:iCs/>
          <w:sz w:val="26"/>
          <w:szCs w:val="26"/>
        </w:rPr>
      </w:pPr>
      <w:r w:rsidRPr="00FA4765">
        <w:rPr>
          <w:rFonts w:ascii="Arial" w:hAnsi="Arial" w:cs="Arial"/>
          <w:b/>
          <w:iCs/>
          <w:sz w:val="26"/>
          <w:szCs w:val="26"/>
        </w:rPr>
        <w:t>Defendant’s submissions</w:t>
      </w:r>
    </w:p>
    <w:p w14:paraId="2CB635C2" w14:textId="77777777" w:rsidR="005B10A8" w:rsidRPr="00FA4765" w:rsidRDefault="005B10A8" w:rsidP="005B10A8">
      <w:pPr>
        <w:pStyle w:val="ListParagraph"/>
        <w:spacing w:line="360" w:lineRule="auto"/>
        <w:ind w:left="1080"/>
        <w:jc w:val="both"/>
        <w:rPr>
          <w:rFonts w:ascii="Arial" w:hAnsi="Arial" w:cs="Arial"/>
          <w:iCs/>
          <w:sz w:val="26"/>
          <w:szCs w:val="26"/>
        </w:rPr>
      </w:pPr>
    </w:p>
    <w:p w14:paraId="02ED233C" w14:textId="6F71D4EA" w:rsidR="005A0DEB" w:rsidRPr="006F28C9" w:rsidRDefault="006F28C9" w:rsidP="006F28C9">
      <w:pPr>
        <w:spacing w:line="360" w:lineRule="auto"/>
        <w:ind w:left="720" w:hanging="360"/>
        <w:jc w:val="both"/>
        <w:rPr>
          <w:rFonts w:ascii="Arial" w:hAnsi="Arial" w:cs="Arial"/>
          <w:iCs/>
          <w:sz w:val="26"/>
          <w:szCs w:val="26"/>
        </w:rPr>
      </w:pPr>
      <w:r>
        <w:rPr>
          <w:rFonts w:ascii="Arial" w:hAnsi="Arial" w:cs="Arial"/>
          <w:iCs/>
          <w:sz w:val="26"/>
          <w:szCs w:val="26"/>
        </w:rPr>
        <w:t>[15]</w:t>
      </w:r>
      <w:r>
        <w:rPr>
          <w:rFonts w:ascii="Arial" w:hAnsi="Arial" w:cs="Arial"/>
          <w:iCs/>
          <w:sz w:val="26"/>
          <w:szCs w:val="26"/>
        </w:rPr>
        <w:tab/>
      </w:r>
      <w:r w:rsidR="005A0DEB" w:rsidRPr="006F28C9">
        <w:rPr>
          <w:rFonts w:ascii="Arial" w:hAnsi="Arial" w:cs="Arial"/>
          <w:iCs/>
          <w:sz w:val="26"/>
          <w:szCs w:val="26"/>
        </w:rPr>
        <w:t xml:space="preserve">The </w:t>
      </w:r>
      <w:r w:rsidR="00C13669" w:rsidRPr="006F28C9">
        <w:rPr>
          <w:rFonts w:ascii="Arial" w:hAnsi="Arial" w:cs="Arial"/>
          <w:iCs/>
          <w:sz w:val="26"/>
          <w:szCs w:val="26"/>
        </w:rPr>
        <w:t>D</w:t>
      </w:r>
      <w:r w:rsidR="005B10A8" w:rsidRPr="006F28C9">
        <w:rPr>
          <w:rFonts w:ascii="Arial" w:hAnsi="Arial" w:cs="Arial"/>
          <w:iCs/>
          <w:sz w:val="26"/>
          <w:szCs w:val="26"/>
        </w:rPr>
        <w:t xml:space="preserve">efendant </w:t>
      </w:r>
      <w:r w:rsidR="005A0DEB" w:rsidRPr="006F28C9">
        <w:rPr>
          <w:rFonts w:ascii="Arial" w:hAnsi="Arial" w:cs="Arial"/>
          <w:iCs/>
          <w:sz w:val="26"/>
          <w:szCs w:val="26"/>
        </w:rPr>
        <w:t>challenges the authority of the deponent</w:t>
      </w:r>
      <w:r w:rsidR="00CA0DE6" w:rsidRPr="006F28C9">
        <w:rPr>
          <w:rFonts w:ascii="Arial" w:hAnsi="Arial" w:cs="Arial"/>
          <w:iCs/>
          <w:sz w:val="26"/>
          <w:szCs w:val="26"/>
        </w:rPr>
        <w:t xml:space="preserve"> to </w:t>
      </w:r>
      <w:r w:rsidR="00481F37" w:rsidRPr="006F28C9">
        <w:rPr>
          <w:rFonts w:ascii="Arial" w:hAnsi="Arial" w:cs="Arial"/>
          <w:iCs/>
          <w:sz w:val="26"/>
          <w:szCs w:val="26"/>
        </w:rPr>
        <w:t xml:space="preserve">depose to the founding affidavit, as well as his </w:t>
      </w:r>
      <w:r w:rsidR="005A0DEB" w:rsidRPr="006F28C9">
        <w:rPr>
          <w:rFonts w:ascii="Arial" w:hAnsi="Arial" w:cs="Arial"/>
          <w:iCs/>
          <w:sz w:val="26"/>
          <w:szCs w:val="26"/>
        </w:rPr>
        <w:t>personal knowledge of the relevant facts.</w:t>
      </w:r>
      <w:r w:rsidR="00DD552D" w:rsidRPr="006F28C9">
        <w:rPr>
          <w:rFonts w:ascii="Arial" w:hAnsi="Arial" w:cs="Arial"/>
          <w:iCs/>
          <w:sz w:val="26"/>
          <w:szCs w:val="26"/>
        </w:rPr>
        <w:t xml:space="preserve"> </w:t>
      </w:r>
      <w:r w:rsidR="00B070B9" w:rsidRPr="006F28C9">
        <w:rPr>
          <w:rFonts w:ascii="Arial" w:hAnsi="Arial" w:cs="Arial"/>
          <w:iCs/>
          <w:sz w:val="26"/>
          <w:szCs w:val="26"/>
        </w:rPr>
        <w:t xml:space="preserve">The </w:t>
      </w:r>
      <w:r w:rsidR="00C13669" w:rsidRPr="006F28C9">
        <w:rPr>
          <w:rFonts w:ascii="Arial" w:hAnsi="Arial" w:cs="Arial"/>
          <w:iCs/>
          <w:sz w:val="26"/>
          <w:szCs w:val="26"/>
        </w:rPr>
        <w:t>P</w:t>
      </w:r>
      <w:r w:rsidR="00B070B9" w:rsidRPr="006F28C9">
        <w:rPr>
          <w:rFonts w:ascii="Arial" w:hAnsi="Arial" w:cs="Arial"/>
          <w:iCs/>
          <w:sz w:val="26"/>
          <w:szCs w:val="26"/>
        </w:rPr>
        <w:t>laintiff describes the</w:t>
      </w:r>
      <w:r w:rsidR="00C13669" w:rsidRPr="006F28C9">
        <w:rPr>
          <w:rFonts w:ascii="Arial" w:hAnsi="Arial" w:cs="Arial"/>
          <w:iCs/>
          <w:sz w:val="26"/>
          <w:szCs w:val="26"/>
        </w:rPr>
        <w:t xml:space="preserve"> objections</w:t>
      </w:r>
      <w:r w:rsidR="00B070B9" w:rsidRPr="006F28C9">
        <w:rPr>
          <w:rFonts w:ascii="Arial" w:hAnsi="Arial" w:cs="Arial"/>
          <w:iCs/>
          <w:sz w:val="26"/>
          <w:szCs w:val="26"/>
        </w:rPr>
        <w:t xml:space="preserve"> as opportunistic and vexatious.</w:t>
      </w:r>
    </w:p>
    <w:p w14:paraId="51BC0C79" w14:textId="77777777" w:rsidR="0066636B" w:rsidRPr="00FA4765" w:rsidRDefault="0066636B" w:rsidP="0066636B">
      <w:pPr>
        <w:pStyle w:val="ListParagraph"/>
        <w:spacing w:line="360" w:lineRule="auto"/>
        <w:jc w:val="both"/>
        <w:rPr>
          <w:rFonts w:ascii="Arial" w:hAnsi="Arial" w:cs="Arial"/>
          <w:iCs/>
          <w:sz w:val="26"/>
          <w:szCs w:val="26"/>
        </w:rPr>
      </w:pPr>
    </w:p>
    <w:p w14:paraId="3CEA8509" w14:textId="6A82A7A2" w:rsidR="00481F37" w:rsidRPr="006F28C9" w:rsidRDefault="006F28C9" w:rsidP="006F28C9">
      <w:pPr>
        <w:spacing w:line="360" w:lineRule="auto"/>
        <w:ind w:left="720" w:hanging="360"/>
        <w:jc w:val="both"/>
        <w:rPr>
          <w:rFonts w:ascii="Arial" w:hAnsi="Arial" w:cs="Arial"/>
          <w:iCs/>
          <w:sz w:val="26"/>
          <w:szCs w:val="26"/>
        </w:rPr>
      </w:pPr>
      <w:r>
        <w:rPr>
          <w:rFonts w:ascii="Arial" w:hAnsi="Arial" w:cs="Arial"/>
          <w:iCs/>
          <w:sz w:val="26"/>
          <w:szCs w:val="26"/>
        </w:rPr>
        <w:t>[1</w:t>
      </w:r>
      <w:bookmarkStart w:id="0" w:name="_GoBack"/>
      <w:bookmarkEnd w:id="0"/>
      <w:r>
        <w:rPr>
          <w:rFonts w:ascii="Arial" w:hAnsi="Arial" w:cs="Arial"/>
          <w:iCs/>
          <w:sz w:val="26"/>
          <w:szCs w:val="26"/>
        </w:rPr>
        <w:t>6]</w:t>
      </w:r>
      <w:r>
        <w:rPr>
          <w:rFonts w:ascii="Arial" w:hAnsi="Arial" w:cs="Arial"/>
          <w:iCs/>
          <w:sz w:val="26"/>
          <w:szCs w:val="26"/>
        </w:rPr>
        <w:tab/>
      </w:r>
      <w:r w:rsidR="00481F37" w:rsidRPr="006F28C9">
        <w:rPr>
          <w:rFonts w:ascii="Arial" w:hAnsi="Arial" w:cs="Arial"/>
          <w:iCs/>
          <w:sz w:val="26"/>
          <w:szCs w:val="26"/>
        </w:rPr>
        <w:t>P</w:t>
      </w:r>
      <w:r w:rsidR="00CA0DE6" w:rsidRPr="006F28C9">
        <w:rPr>
          <w:rFonts w:ascii="Arial" w:hAnsi="Arial" w:cs="Arial"/>
          <w:iCs/>
          <w:sz w:val="26"/>
          <w:szCs w:val="26"/>
        </w:rPr>
        <w:t>aragraph 3.1 of the heads of argument of Defendant’s counsel refers to the deponent as “Sunette Stewart”, which is incorrect. In paragraph 3.2 the deponent is identified as “Silver”.</w:t>
      </w:r>
      <w:r w:rsidR="00CA0DE6" w:rsidRPr="006F28C9">
        <w:rPr>
          <w:rFonts w:ascii="Arial" w:hAnsi="Arial" w:cs="Arial"/>
          <w:sz w:val="26"/>
          <w:szCs w:val="26"/>
        </w:rPr>
        <w:t xml:space="preserve"> </w:t>
      </w:r>
      <w:r w:rsidR="00CA0DE6" w:rsidRPr="006F28C9">
        <w:rPr>
          <w:rFonts w:ascii="Arial" w:hAnsi="Arial" w:cs="Arial"/>
          <w:iCs/>
          <w:sz w:val="26"/>
          <w:szCs w:val="26"/>
        </w:rPr>
        <w:t xml:space="preserve">The affidavit in support of summary judgment is in fact deposed by </w:t>
      </w:r>
      <w:r w:rsidR="00481F37" w:rsidRPr="006F28C9">
        <w:rPr>
          <w:rFonts w:ascii="Arial" w:hAnsi="Arial" w:cs="Arial"/>
          <w:iCs/>
          <w:sz w:val="26"/>
          <w:szCs w:val="26"/>
        </w:rPr>
        <w:t>Mr Allistair Samuels</w:t>
      </w:r>
      <w:r w:rsidR="008A6BDB" w:rsidRPr="006F28C9">
        <w:rPr>
          <w:rFonts w:ascii="Arial" w:hAnsi="Arial" w:cs="Arial"/>
          <w:iCs/>
          <w:sz w:val="26"/>
          <w:szCs w:val="26"/>
        </w:rPr>
        <w:t>,</w:t>
      </w:r>
      <w:r w:rsidR="00481F37" w:rsidRPr="006F28C9">
        <w:rPr>
          <w:rFonts w:ascii="Arial" w:hAnsi="Arial" w:cs="Arial"/>
          <w:iCs/>
          <w:sz w:val="26"/>
          <w:szCs w:val="26"/>
        </w:rPr>
        <w:t xml:space="preserve"> </w:t>
      </w:r>
      <w:r w:rsidR="00CA0DE6" w:rsidRPr="006F28C9">
        <w:rPr>
          <w:rFonts w:ascii="Arial" w:hAnsi="Arial" w:cs="Arial"/>
          <w:iCs/>
          <w:sz w:val="26"/>
          <w:szCs w:val="26"/>
        </w:rPr>
        <w:t xml:space="preserve">who describes himself as </w:t>
      </w:r>
      <w:r w:rsidR="00E31093" w:rsidRPr="006F28C9">
        <w:rPr>
          <w:rFonts w:ascii="Arial" w:hAnsi="Arial" w:cs="Arial"/>
          <w:iCs/>
          <w:sz w:val="26"/>
          <w:szCs w:val="26"/>
        </w:rPr>
        <w:t xml:space="preserve">a </w:t>
      </w:r>
      <w:r w:rsidR="00CA0DE6" w:rsidRPr="006F28C9">
        <w:rPr>
          <w:rFonts w:ascii="Arial" w:hAnsi="Arial" w:cs="Arial"/>
          <w:iCs/>
          <w:sz w:val="26"/>
          <w:szCs w:val="26"/>
        </w:rPr>
        <w:t>manager in the specialised collections department of Wesbank. In terms of an operational service agreement, Wesbank is tasked with the recoveries of debts owed to the Plaintiff.</w:t>
      </w:r>
    </w:p>
    <w:p w14:paraId="363758C5" w14:textId="77777777" w:rsidR="0066636B" w:rsidRPr="0066636B" w:rsidRDefault="0066636B" w:rsidP="0066636B">
      <w:pPr>
        <w:spacing w:line="360" w:lineRule="auto"/>
        <w:jc w:val="both"/>
        <w:rPr>
          <w:rFonts w:ascii="Arial" w:hAnsi="Arial" w:cs="Arial"/>
          <w:iCs/>
          <w:sz w:val="26"/>
          <w:szCs w:val="26"/>
        </w:rPr>
      </w:pPr>
    </w:p>
    <w:p w14:paraId="27506FD9" w14:textId="69C13B08" w:rsidR="00C7191A" w:rsidRPr="006F28C9" w:rsidRDefault="006F28C9" w:rsidP="006F28C9">
      <w:pPr>
        <w:spacing w:line="360" w:lineRule="auto"/>
        <w:ind w:left="720" w:hanging="360"/>
        <w:jc w:val="both"/>
        <w:rPr>
          <w:rFonts w:ascii="Arial" w:hAnsi="Arial" w:cs="Arial"/>
          <w:iCs/>
          <w:sz w:val="26"/>
          <w:szCs w:val="26"/>
        </w:rPr>
      </w:pPr>
      <w:r w:rsidRPr="00FA4765">
        <w:rPr>
          <w:rFonts w:ascii="Arial" w:hAnsi="Arial" w:cs="Arial"/>
          <w:iCs/>
          <w:sz w:val="26"/>
          <w:szCs w:val="26"/>
        </w:rPr>
        <w:t>[17]</w:t>
      </w:r>
      <w:r w:rsidRPr="00FA4765">
        <w:rPr>
          <w:rFonts w:ascii="Arial" w:hAnsi="Arial" w:cs="Arial"/>
          <w:iCs/>
          <w:sz w:val="26"/>
          <w:szCs w:val="26"/>
        </w:rPr>
        <w:tab/>
      </w:r>
      <w:r w:rsidR="00C7191A" w:rsidRPr="006F28C9">
        <w:rPr>
          <w:rFonts w:ascii="Arial" w:hAnsi="Arial" w:cs="Arial"/>
          <w:iCs/>
          <w:sz w:val="26"/>
          <w:szCs w:val="26"/>
        </w:rPr>
        <w:t xml:space="preserve">The </w:t>
      </w:r>
      <w:r w:rsidR="000B5AC6" w:rsidRPr="006F28C9">
        <w:rPr>
          <w:rFonts w:ascii="Arial" w:hAnsi="Arial" w:cs="Arial"/>
          <w:iCs/>
          <w:sz w:val="26"/>
          <w:szCs w:val="26"/>
        </w:rPr>
        <w:t>D</w:t>
      </w:r>
      <w:r w:rsidR="00C7191A" w:rsidRPr="006F28C9">
        <w:rPr>
          <w:rFonts w:ascii="Arial" w:hAnsi="Arial" w:cs="Arial"/>
          <w:iCs/>
          <w:sz w:val="26"/>
          <w:szCs w:val="26"/>
        </w:rPr>
        <w:t xml:space="preserve">efendant submits that no </w:t>
      </w:r>
      <w:r w:rsidR="005A0DEB" w:rsidRPr="006F28C9">
        <w:rPr>
          <w:rFonts w:ascii="Arial" w:hAnsi="Arial" w:cs="Arial"/>
          <w:iCs/>
          <w:sz w:val="26"/>
          <w:szCs w:val="26"/>
        </w:rPr>
        <w:t xml:space="preserve">certificate of resolution has been adduced to show that the deponent was authorised to depose to the affidavit on behalf of the Plaintiff. </w:t>
      </w:r>
      <w:r w:rsidR="00E31093" w:rsidRPr="006F28C9">
        <w:rPr>
          <w:rFonts w:ascii="Arial" w:hAnsi="Arial" w:cs="Arial"/>
          <w:iCs/>
          <w:sz w:val="26"/>
          <w:szCs w:val="26"/>
        </w:rPr>
        <w:t xml:space="preserve">It relies on </w:t>
      </w:r>
      <w:r w:rsidR="005A0DEB" w:rsidRPr="006F28C9">
        <w:rPr>
          <w:rFonts w:ascii="Arial" w:hAnsi="Arial" w:cs="Arial"/>
          <w:i/>
          <w:iCs/>
          <w:sz w:val="26"/>
          <w:szCs w:val="26"/>
        </w:rPr>
        <w:t xml:space="preserve">Maharaj </w:t>
      </w:r>
      <w:r w:rsidR="005A0DEB" w:rsidRPr="006F28C9">
        <w:rPr>
          <w:rFonts w:ascii="Arial" w:hAnsi="Arial" w:cs="Arial"/>
          <w:iCs/>
          <w:sz w:val="26"/>
          <w:szCs w:val="26"/>
        </w:rPr>
        <w:t>where the court held that the mere assertion by a deponent that he can swear positively to the facts is not regarded as being sufficient, unless there are good grounds for bel</w:t>
      </w:r>
      <w:r w:rsidR="00481F37" w:rsidRPr="006F28C9">
        <w:rPr>
          <w:rFonts w:ascii="Arial" w:hAnsi="Arial" w:cs="Arial"/>
          <w:iCs/>
          <w:sz w:val="26"/>
          <w:szCs w:val="26"/>
        </w:rPr>
        <w:t>ieving that the deponent fully a</w:t>
      </w:r>
      <w:r w:rsidR="005A0DEB" w:rsidRPr="006F28C9">
        <w:rPr>
          <w:rFonts w:ascii="Arial" w:hAnsi="Arial" w:cs="Arial"/>
          <w:iCs/>
          <w:sz w:val="26"/>
          <w:szCs w:val="26"/>
        </w:rPr>
        <w:t>pprecia</w:t>
      </w:r>
      <w:r w:rsidR="00B070B9" w:rsidRPr="006F28C9">
        <w:rPr>
          <w:rFonts w:ascii="Arial" w:hAnsi="Arial" w:cs="Arial"/>
          <w:iCs/>
          <w:sz w:val="26"/>
          <w:szCs w:val="26"/>
        </w:rPr>
        <w:t>ted the meaning of these words.</w:t>
      </w:r>
      <w:r w:rsidR="00D51351" w:rsidRPr="00FA4765">
        <w:rPr>
          <w:rStyle w:val="FootnoteReference"/>
          <w:rFonts w:ascii="Arial" w:hAnsi="Arial" w:cs="Arial"/>
          <w:iCs/>
          <w:sz w:val="26"/>
          <w:szCs w:val="26"/>
        </w:rPr>
        <w:footnoteReference w:id="4"/>
      </w:r>
      <w:r w:rsidR="00B85C37" w:rsidRPr="006F28C9">
        <w:rPr>
          <w:rFonts w:ascii="Arial" w:hAnsi="Arial" w:cs="Arial"/>
          <w:iCs/>
          <w:sz w:val="26"/>
          <w:szCs w:val="26"/>
        </w:rPr>
        <w:t xml:space="preserve"> </w:t>
      </w:r>
    </w:p>
    <w:p w14:paraId="07341FBF" w14:textId="77777777" w:rsidR="00516BA5" w:rsidRPr="00FA4765" w:rsidRDefault="00516BA5" w:rsidP="00516BA5">
      <w:pPr>
        <w:spacing w:line="360" w:lineRule="auto"/>
        <w:jc w:val="both"/>
        <w:rPr>
          <w:rFonts w:ascii="Arial" w:hAnsi="Arial" w:cs="Arial"/>
          <w:iCs/>
          <w:sz w:val="26"/>
          <w:szCs w:val="26"/>
        </w:rPr>
      </w:pPr>
    </w:p>
    <w:p w14:paraId="2547332C" w14:textId="4784E0C9" w:rsidR="00425386" w:rsidRPr="006F28C9" w:rsidRDefault="006F28C9" w:rsidP="006F28C9">
      <w:pPr>
        <w:spacing w:line="360" w:lineRule="auto"/>
        <w:ind w:left="720" w:hanging="360"/>
        <w:jc w:val="both"/>
        <w:rPr>
          <w:rFonts w:ascii="Arial" w:hAnsi="Arial" w:cs="Arial"/>
          <w:i/>
          <w:iCs/>
          <w:sz w:val="26"/>
          <w:szCs w:val="26"/>
        </w:rPr>
      </w:pPr>
      <w:r w:rsidRPr="00FA4765">
        <w:rPr>
          <w:rFonts w:ascii="Arial" w:hAnsi="Arial" w:cs="Arial"/>
          <w:iCs/>
          <w:sz w:val="26"/>
          <w:szCs w:val="26"/>
        </w:rPr>
        <w:t>[18]</w:t>
      </w:r>
      <w:r w:rsidRPr="00FA4765">
        <w:rPr>
          <w:rFonts w:ascii="Arial" w:hAnsi="Arial" w:cs="Arial"/>
          <w:iCs/>
          <w:sz w:val="26"/>
          <w:szCs w:val="26"/>
        </w:rPr>
        <w:tab/>
      </w:r>
      <w:r w:rsidR="008A6BDB" w:rsidRPr="006F28C9">
        <w:rPr>
          <w:rFonts w:ascii="Arial" w:hAnsi="Arial" w:cs="Arial"/>
          <w:iCs/>
          <w:sz w:val="26"/>
          <w:szCs w:val="26"/>
        </w:rPr>
        <w:t>T</w:t>
      </w:r>
      <w:r w:rsidR="00B44D77" w:rsidRPr="006F28C9">
        <w:rPr>
          <w:rFonts w:ascii="Arial" w:hAnsi="Arial" w:cs="Arial"/>
          <w:iCs/>
          <w:sz w:val="26"/>
          <w:szCs w:val="26"/>
        </w:rPr>
        <w:t xml:space="preserve">here is a </w:t>
      </w:r>
      <w:r w:rsidR="00C7191A" w:rsidRPr="006F28C9">
        <w:rPr>
          <w:rFonts w:ascii="Arial" w:hAnsi="Arial" w:cs="Arial"/>
          <w:iCs/>
          <w:sz w:val="26"/>
          <w:szCs w:val="26"/>
        </w:rPr>
        <w:t>resolution attached to the founding affidavit which contains the names and signatures of the directors, granting indiv</w:t>
      </w:r>
      <w:r w:rsidR="008A6BDB" w:rsidRPr="006F28C9">
        <w:rPr>
          <w:rFonts w:ascii="Arial" w:hAnsi="Arial" w:cs="Arial"/>
          <w:iCs/>
          <w:sz w:val="26"/>
          <w:szCs w:val="26"/>
        </w:rPr>
        <w:t xml:space="preserve">iduals listed in the resolution </w:t>
      </w:r>
      <w:r w:rsidR="00C7191A" w:rsidRPr="006F28C9">
        <w:rPr>
          <w:rFonts w:ascii="Arial" w:hAnsi="Arial" w:cs="Arial"/>
          <w:iCs/>
          <w:sz w:val="26"/>
          <w:szCs w:val="26"/>
        </w:rPr>
        <w:t xml:space="preserve">authority regarding legal action on customer accounts. </w:t>
      </w:r>
      <w:r w:rsidR="008A6BDB" w:rsidRPr="006F28C9">
        <w:rPr>
          <w:rFonts w:ascii="Arial" w:hAnsi="Arial" w:cs="Arial"/>
          <w:iCs/>
          <w:sz w:val="26"/>
          <w:szCs w:val="26"/>
        </w:rPr>
        <w:t>Mr Samuels’s name is on</w:t>
      </w:r>
      <w:r w:rsidR="00B070B9" w:rsidRPr="006F28C9">
        <w:rPr>
          <w:rFonts w:ascii="Arial" w:hAnsi="Arial" w:cs="Arial"/>
          <w:iCs/>
          <w:sz w:val="26"/>
          <w:szCs w:val="26"/>
        </w:rPr>
        <w:t xml:space="preserve"> </w:t>
      </w:r>
      <w:r w:rsidR="008A6BDB" w:rsidRPr="006F28C9">
        <w:rPr>
          <w:rFonts w:ascii="Arial" w:hAnsi="Arial" w:cs="Arial"/>
          <w:iCs/>
          <w:sz w:val="26"/>
          <w:szCs w:val="26"/>
        </w:rPr>
        <w:t>the list</w:t>
      </w:r>
      <w:r w:rsidR="00B070B9" w:rsidRPr="006F28C9">
        <w:rPr>
          <w:rFonts w:ascii="Arial" w:hAnsi="Arial" w:cs="Arial"/>
          <w:iCs/>
          <w:sz w:val="26"/>
          <w:szCs w:val="26"/>
        </w:rPr>
        <w:t xml:space="preserve">. </w:t>
      </w:r>
      <w:r w:rsidR="000B5AC6" w:rsidRPr="006F28C9">
        <w:rPr>
          <w:rFonts w:ascii="Arial" w:hAnsi="Arial" w:cs="Arial"/>
          <w:iCs/>
          <w:sz w:val="26"/>
          <w:szCs w:val="26"/>
        </w:rPr>
        <w:t>The D</w:t>
      </w:r>
      <w:r w:rsidR="00B85C37" w:rsidRPr="006F28C9">
        <w:rPr>
          <w:rFonts w:ascii="Arial" w:hAnsi="Arial" w:cs="Arial"/>
          <w:iCs/>
          <w:sz w:val="26"/>
          <w:szCs w:val="26"/>
        </w:rPr>
        <w:t xml:space="preserve">efendant </w:t>
      </w:r>
      <w:r w:rsidR="00B070B9" w:rsidRPr="006F28C9">
        <w:rPr>
          <w:rFonts w:ascii="Arial" w:hAnsi="Arial" w:cs="Arial"/>
          <w:iCs/>
          <w:sz w:val="26"/>
          <w:szCs w:val="26"/>
        </w:rPr>
        <w:t>objects, claiming</w:t>
      </w:r>
      <w:r w:rsidR="00B85C37" w:rsidRPr="006F28C9">
        <w:rPr>
          <w:rFonts w:ascii="Arial" w:hAnsi="Arial" w:cs="Arial"/>
          <w:iCs/>
          <w:sz w:val="26"/>
          <w:szCs w:val="26"/>
        </w:rPr>
        <w:t xml:space="preserve"> that there is no indication that the signatures are in fact those of the directors</w:t>
      </w:r>
      <w:r w:rsidR="008A6BDB" w:rsidRPr="006F28C9">
        <w:rPr>
          <w:rFonts w:ascii="Arial" w:hAnsi="Arial" w:cs="Arial"/>
          <w:iCs/>
          <w:sz w:val="26"/>
          <w:szCs w:val="26"/>
        </w:rPr>
        <w:t xml:space="preserve">. </w:t>
      </w:r>
      <w:r w:rsidR="00B44D77" w:rsidRPr="006F28C9">
        <w:rPr>
          <w:rFonts w:ascii="Arial" w:hAnsi="Arial" w:cs="Arial"/>
          <w:iCs/>
          <w:sz w:val="26"/>
          <w:szCs w:val="26"/>
        </w:rPr>
        <w:t xml:space="preserve">Defendant submits </w:t>
      </w:r>
      <w:r w:rsidR="008A6BDB" w:rsidRPr="006F28C9">
        <w:rPr>
          <w:rFonts w:ascii="Arial" w:hAnsi="Arial" w:cs="Arial"/>
          <w:iCs/>
          <w:sz w:val="26"/>
          <w:szCs w:val="26"/>
        </w:rPr>
        <w:t xml:space="preserve">further </w:t>
      </w:r>
      <w:r w:rsidR="00B44D77" w:rsidRPr="006F28C9">
        <w:rPr>
          <w:rFonts w:ascii="Arial" w:hAnsi="Arial" w:cs="Arial"/>
          <w:iCs/>
          <w:sz w:val="26"/>
          <w:szCs w:val="26"/>
        </w:rPr>
        <w:t xml:space="preserve">that its attachment is </w:t>
      </w:r>
      <w:r w:rsidR="000B5AC6" w:rsidRPr="006F28C9">
        <w:rPr>
          <w:rFonts w:ascii="Arial" w:hAnsi="Arial" w:cs="Arial"/>
          <w:iCs/>
          <w:sz w:val="26"/>
          <w:szCs w:val="26"/>
        </w:rPr>
        <w:t xml:space="preserve">in </w:t>
      </w:r>
      <w:r w:rsidR="00B44D77" w:rsidRPr="006F28C9">
        <w:rPr>
          <w:rFonts w:ascii="Arial" w:hAnsi="Arial" w:cs="Arial"/>
          <w:iCs/>
          <w:sz w:val="26"/>
          <w:szCs w:val="26"/>
        </w:rPr>
        <w:t xml:space="preserve">itself irregular and that it be struck out from the affidavit, for non-compliance with the Rules – or that the application should be dismissed with a punitive costs order. </w:t>
      </w:r>
      <w:r w:rsidR="008A6BDB" w:rsidRPr="006F28C9">
        <w:rPr>
          <w:rFonts w:ascii="Arial" w:hAnsi="Arial" w:cs="Arial"/>
          <w:iCs/>
          <w:sz w:val="26"/>
          <w:szCs w:val="26"/>
        </w:rPr>
        <w:t xml:space="preserve">It is of little </w:t>
      </w:r>
      <w:r w:rsidR="000B5AC6" w:rsidRPr="006F28C9">
        <w:rPr>
          <w:rFonts w:ascii="Arial" w:hAnsi="Arial" w:cs="Arial"/>
          <w:iCs/>
          <w:sz w:val="26"/>
          <w:szCs w:val="26"/>
        </w:rPr>
        <w:t>import</w:t>
      </w:r>
      <w:r w:rsidR="008A6BDB" w:rsidRPr="006F28C9">
        <w:rPr>
          <w:rFonts w:ascii="Arial" w:hAnsi="Arial" w:cs="Arial"/>
          <w:iCs/>
          <w:sz w:val="26"/>
          <w:szCs w:val="26"/>
        </w:rPr>
        <w:t xml:space="preserve">, however, considering the judgment of </w:t>
      </w:r>
      <w:r w:rsidR="00803BB7" w:rsidRPr="006F28C9">
        <w:rPr>
          <w:rFonts w:ascii="Arial" w:hAnsi="Arial" w:cs="Arial"/>
          <w:i/>
          <w:iCs/>
          <w:sz w:val="26"/>
          <w:szCs w:val="26"/>
        </w:rPr>
        <w:t>Ganes and Another v Telecom Namibia Ltd</w:t>
      </w:r>
      <w:r w:rsidR="00425386" w:rsidRPr="006F28C9">
        <w:rPr>
          <w:rFonts w:ascii="Arial" w:hAnsi="Arial" w:cs="Arial"/>
          <w:i/>
          <w:iCs/>
          <w:sz w:val="26"/>
          <w:szCs w:val="26"/>
        </w:rPr>
        <w:t xml:space="preserve">, </w:t>
      </w:r>
      <w:r w:rsidR="008A6BDB" w:rsidRPr="006F28C9">
        <w:rPr>
          <w:rFonts w:ascii="Arial" w:hAnsi="Arial" w:cs="Arial"/>
          <w:iCs/>
          <w:sz w:val="26"/>
          <w:szCs w:val="26"/>
        </w:rPr>
        <w:t xml:space="preserve">where </w:t>
      </w:r>
      <w:r w:rsidR="00794738" w:rsidRPr="006F28C9">
        <w:rPr>
          <w:rFonts w:ascii="Arial" w:hAnsi="Arial" w:cs="Arial"/>
          <w:iCs/>
          <w:sz w:val="26"/>
          <w:szCs w:val="26"/>
        </w:rPr>
        <w:t xml:space="preserve">the court </w:t>
      </w:r>
      <w:r w:rsidR="00516BA5" w:rsidRPr="006F28C9">
        <w:rPr>
          <w:rFonts w:ascii="Arial" w:hAnsi="Arial" w:cs="Arial"/>
          <w:iCs/>
          <w:sz w:val="26"/>
          <w:szCs w:val="26"/>
        </w:rPr>
        <w:t>observed that the “</w:t>
      </w:r>
      <w:r w:rsidR="00803BB7" w:rsidRPr="006F28C9">
        <w:rPr>
          <w:rFonts w:ascii="Arial" w:hAnsi="Arial" w:cs="Arial"/>
          <w:iCs/>
          <w:sz w:val="26"/>
          <w:szCs w:val="26"/>
        </w:rPr>
        <w:t>deponent to an affidavit in motion proceedings need not be authorised by the party concerned to depose to the affidavit</w:t>
      </w:r>
      <w:r w:rsidR="00516BA5" w:rsidRPr="006F28C9">
        <w:rPr>
          <w:rFonts w:ascii="Arial" w:hAnsi="Arial" w:cs="Arial"/>
          <w:iCs/>
          <w:sz w:val="26"/>
          <w:szCs w:val="26"/>
        </w:rPr>
        <w:t>” but that it is the “</w:t>
      </w:r>
      <w:r w:rsidR="00803BB7" w:rsidRPr="006F28C9">
        <w:rPr>
          <w:rFonts w:ascii="Arial" w:hAnsi="Arial" w:cs="Arial"/>
          <w:iCs/>
          <w:sz w:val="26"/>
          <w:szCs w:val="26"/>
        </w:rPr>
        <w:t>institution of the proceedings and the prosecution thereof which must be authorised.</w:t>
      </w:r>
      <w:r w:rsidR="00516BA5" w:rsidRPr="006F28C9">
        <w:rPr>
          <w:rFonts w:ascii="Arial" w:hAnsi="Arial" w:cs="Arial"/>
          <w:iCs/>
          <w:sz w:val="26"/>
          <w:szCs w:val="26"/>
        </w:rPr>
        <w:t>”</w:t>
      </w:r>
      <w:r w:rsidR="004602F2">
        <w:rPr>
          <w:rStyle w:val="FootnoteReference"/>
          <w:rFonts w:ascii="Arial" w:hAnsi="Arial" w:cs="Arial"/>
          <w:iCs/>
          <w:sz w:val="26"/>
          <w:szCs w:val="26"/>
        </w:rPr>
        <w:footnoteReference w:id="5"/>
      </w:r>
      <w:r w:rsidR="00803BB7" w:rsidRPr="006F28C9">
        <w:rPr>
          <w:rFonts w:ascii="Arial" w:hAnsi="Arial" w:cs="Arial"/>
          <w:iCs/>
          <w:sz w:val="26"/>
          <w:szCs w:val="26"/>
        </w:rPr>
        <w:t xml:space="preserve"> </w:t>
      </w:r>
      <w:r w:rsidR="008A6BDB" w:rsidRPr="006F28C9">
        <w:rPr>
          <w:rFonts w:ascii="Arial" w:hAnsi="Arial" w:cs="Arial"/>
          <w:iCs/>
          <w:sz w:val="26"/>
          <w:szCs w:val="26"/>
        </w:rPr>
        <w:t>The Defendant has not challenged the institution of the proceedings by the Plaintiff.</w:t>
      </w:r>
      <w:r w:rsidR="000B5AC6" w:rsidRPr="006F28C9">
        <w:rPr>
          <w:rFonts w:ascii="Arial" w:hAnsi="Arial" w:cs="Arial"/>
          <w:iCs/>
          <w:sz w:val="26"/>
          <w:szCs w:val="26"/>
        </w:rPr>
        <w:t xml:space="preserve"> There is no merit in this point.</w:t>
      </w:r>
    </w:p>
    <w:p w14:paraId="2A6F1C5F" w14:textId="77777777" w:rsidR="005B10A8" w:rsidRPr="00FA4765" w:rsidRDefault="005B10A8" w:rsidP="005B10A8">
      <w:pPr>
        <w:spacing w:line="360" w:lineRule="auto"/>
        <w:jc w:val="both"/>
        <w:rPr>
          <w:rFonts w:ascii="Arial" w:hAnsi="Arial" w:cs="Arial"/>
          <w:iCs/>
          <w:sz w:val="26"/>
          <w:szCs w:val="26"/>
        </w:rPr>
      </w:pPr>
    </w:p>
    <w:p w14:paraId="620D1DAC" w14:textId="36804250" w:rsidR="007512BF" w:rsidRPr="006F28C9" w:rsidRDefault="006F28C9" w:rsidP="006F28C9">
      <w:pPr>
        <w:spacing w:line="360" w:lineRule="auto"/>
        <w:ind w:left="720" w:hanging="360"/>
        <w:jc w:val="both"/>
        <w:rPr>
          <w:rFonts w:ascii="Arial" w:hAnsi="Arial" w:cs="Arial"/>
          <w:iCs/>
          <w:sz w:val="26"/>
          <w:szCs w:val="26"/>
        </w:rPr>
      </w:pPr>
      <w:r w:rsidRPr="00FA4765">
        <w:rPr>
          <w:rFonts w:ascii="Arial" w:hAnsi="Arial" w:cs="Arial"/>
          <w:iCs/>
          <w:sz w:val="26"/>
          <w:szCs w:val="26"/>
        </w:rPr>
        <w:t>[19]</w:t>
      </w:r>
      <w:r w:rsidRPr="00FA4765">
        <w:rPr>
          <w:rFonts w:ascii="Arial" w:hAnsi="Arial" w:cs="Arial"/>
          <w:iCs/>
          <w:sz w:val="26"/>
          <w:szCs w:val="26"/>
        </w:rPr>
        <w:tab/>
      </w:r>
      <w:r w:rsidR="00D157AB" w:rsidRPr="006F28C9">
        <w:rPr>
          <w:rFonts w:ascii="Arial" w:hAnsi="Arial" w:cs="Arial"/>
          <w:iCs/>
          <w:sz w:val="26"/>
          <w:szCs w:val="26"/>
        </w:rPr>
        <w:t>The Defendant further argues that the deponent lacks the requisite knowledge of the facts</w:t>
      </w:r>
      <w:r w:rsidR="008A6BDB" w:rsidRPr="006F28C9">
        <w:rPr>
          <w:rFonts w:ascii="Arial" w:hAnsi="Arial" w:cs="Arial"/>
          <w:iCs/>
          <w:sz w:val="26"/>
          <w:szCs w:val="26"/>
        </w:rPr>
        <w:t>,</w:t>
      </w:r>
      <w:r w:rsidR="00D157AB" w:rsidRPr="006F28C9">
        <w:rPr>
          <w:rFonts w:ascii="Arial" w:hAnsi="Arial" w:cs="Arial"/>
          <w:iCs/>
          <w:sz w:val="26"/>
          <w:szCs w:val="26"/>
        </w:rPr>
        <w:t xml:space="preserve"> and claims that the Affidavit does not comply with the provisions of Rule 32(2). </w:t>
      </w:r>
      <w:r w:rsidR="005B10A8" w:rsidRPr="006F28C9">
        <w:rPr>
          <w:rFonts w:ascii="Arial" w:hAnsi="Arial" w:cs="Arial"/>
          <w:iCs/>
          <w:sz w:val="26"/>
          <w:szCs w:val="26"/>
        </w:rPr>
        <w:t>T</w:t>
      </w:r>
      <w:r w:rsidR="005A0DEB" w:rsidRPr="006F28C9">
        <w:rPr>
          <w:rFonts w:ascii="Arial" w:hAnsi="Arial" w:cs="Arial"/>
          <w:iCs/>
          <w:sz w:val="26"/>
          <w:szCs w:val="26"/>
        </w:rPr>
        <w:t xml:space="preserve">he </w:t>
      </w:r>
      <w:r w:rsidR="008A6BDB" w:rsidRPr="006F28C9">
        <w:rPr>
          <w:rFonts w:ascii="Arial" w:hAnsi="Arial" w:cs="Arial"/>
          <w:iCs/>
          <w:sz w:val="26"/>
          <w:szCs w:val="26"/>
        </w:rPr>
        <w:t>De</w:t>
      </w:r>
      <w:r w:rsidR="005A0DEB" w:rsidRPr="006F28C9">
        <w:rPr>
          <w:rFonts w:ascii="Arial" w:hAnsi="Arial" w:cs="Arial"/>
          <w:iCs/>
          <w:sz w:val="26"/>
          <w:szCs w:val="26"/>
        </w:rPr>
        <w:t>fendant claims</w:t>
      </w:r>
      <w:r w:rsidR="00D51351" w:rsidRPr="006F28C9">
        <w:rPr>
          <w:rFonts w:ascii="Arial" w:hAnsi="Arial" w:cs="Arial"/>
          <w:iCs/>
          <w:sz w:val="26"/>
          <w:szCs w:val="26"/>
        </w:rPr>
        <w:t xml:space="preserve"> </w:t>
      </w:r>
      <w:r w:rsidR="00D157AB" w:rsidRPr="006F28C9">
        <w:rPr>
          <w:rFonts w:ascii="Arial" w:hAnsi="Arial" w:cs="Arial"/>
          <w:iCs/>
          <w:sz w:val="26"/>
          <w:szCs w:val="26"/>
        </w:rPr>
        <w:t xml:space="preserve">specifically </w:t>
      </w:r>
      <w:r w:rsidR="00D51351" w:rsidRPr="006F28C9">
        <w:rPr>
          <w:rFonts w:ascii="Arial" w:hAnsi="Arial" w:cs="Arial"/>
          <w:iCs/>
          <w:sz w:val="26"/>
          <w:szCs w:val="26"/>
        </w:rPr>
        <w:t>that the deponent is relying on second-hand knowledge, based on documents where rights rela</w:t>
      </w:r>
      <w:r w:rsidR="008A6BDB" w:rsidRPr="006F28C9">
        <w:rPr>
          <w:rFonts w:ascii="Arial" w:hAnsi="Arial" w:cs="Arial"/>
          <w:iCs/>
          <w:sz w:val="26"/>
          <w:szCs w:val="26"/>
        </w:rPr>
        <w:t>ted to the documents and claims</w:t>
      </w:r>
      <w:r w:rsidR="00D51351" w:rsidRPr="006F28C9">
        <w:rPr>
          <w:rFonts w:ascii="Arial" w:hAnsi="Arial" w:cs="Arial"/>
          <w:iCs/>
          <w:sz w:val="26"/>
          <w:szCs w:val="26"/>
        </w:rPr>
        <w:t xml:space="preserve"> were ceded to the Plaintiff by a third party. </w:t>
      </w:r>
      <w:r w:rsidR="002B57AB" w:rsidRPr="006F28C9">
        <w:rPr>
          <w:rFonts w:ascii="Arial" w:hAnsi="Arial" w:cs="Arial"/>
          <w:iCs/>
          <w:sz w:val="26"/>
          <w:szCs w:val="26"/>
        </w:rPr>
        <w:t>The deponent</w:t>
      </w:r>
      <w:r w:rsidR="00D51351" w:rsidRPr="006F28C9">
        <w:rPr>
          <w:rFonts w:ascii="Arial" w:hAnsi="Arial" w:cs="Arial"/>
          <w:iCs/>
          <w:sz w:val="26"/>
          <w:szCs w:val="26"/>
        </w:rPr>
        <w:t xml:space="preserve"> recovers debts on behalf of the </w:t>
      </w:r>
      <w:r w:rsidR="008A6BDB" w:rsidRPr="006F28C9">
        <w:rPr>
          <w:rFonts w:ascii="Arial" w:hAnsi="Arial" w:cs="Arial"/>
          <w:iCs/>
          <w:sz w:val="26"/>
          <w:szCs w:val="26"/>
        </w:rPr>
        <w:t>P</w:t>
      </w:r>
      <w:r w:rsidR="00D51351" w:rsidRPr="006F28C9">
        <w:rPr>
          <w:rFonts w:ascii="Arial" w:hAnsi="Arial" w:cs="Arial"/>
          <w:iCs/>
          <w:sz w:val="26"/>
          <w:szCs w:val="26"/>
        </w:rPr>
        <w:t xml:space="preserve">laintiff in terms of an operational service agreement, which is not before </w:t>
      </w:r>
      <w:r w:rsidR="008A6BDB" w:rsidRPr="006F28C9">
        <w:rPr>
          <w:rFonts w:ascii="Arial" w:hAnsi="Arial" w:cs="Arial"/>
          <w:iCs/>
          <w:sz w:val="26"/>
          <w:szCs w:val="26"/>
        </w:rPr>
        <w:t xml:space="preserve">the </w:t>
      </w:r>
      <w:r w:rsidR="00D51351" w:rsidRPr="006F28C9">
        <w:rPr>
          <w:rFonts w:ascii="Arial" w:hAnsi="Arial" w:cs="Arial"/>
          <w:iCs/>
          <w:sz w:val="26"/>
          <w:szCs w:val="26"/>
        </w:rPr>
        <w:t xml:space="preserve">court. </w:t>
      </w:r>
      <w:r w:rsidR="008A6BDB" w:rsidRPr="006F28C9">
        <w:rPr>
          <w:rFonts w:ascii="Arial" w:hAnsi="Arial" w:cs="Arial"/>
          <w:iCs/>
          <w:sz w:val="26"/>
          <w:szCs w:val="26"/>
        </w:rPr>
        <w:t>Also, t</w:t>
      </w:r>
      <w:r w:rsidR="00D51351" w:rsidRPr="006F28C9">
        <w:rPr>
          <w:rFonts w:ascii="Arial" w:hAnsi="Arial" w:cs="Arial"/>
          <w:iCs/>
          <w:sz w:val="26"/>
          <w:szCs w:val="26"/>
        </w:rPr>
        <w:t xml:space="preserve">he parties to the transaction were not employees of the </w:t>
      </w:r>
      <w:r w:rsidR="008A6BDB" w:rsidRPr="006F28C9">
        <w:rPr>
          <w:rFonts w:ascii="Arial" w:hAnsi="Arial" w:cs="Arial"/>
          <w:iCs/>
          <w:sz w:val="26"/>
          <w:szCs w:val="26"/>
        </w:rPr>
        <w:t>P</w:t>
      </w:r>
      <w:r w:rsidR="00D51351" w:rsidRPr="006F28C9">
        <w:rPr>
          <w:rFonts w:ascii="Arial" w:hAnsi="Arial" w:cs="Arial"/>
          <w:iCs/>
          <w:sz w:val="26"/>
          <w:szCs w:val="26"/>
        </w:rPr>
        <w:t xml:space="preserve">laintiff. The </w:t>
      </w:r>
      <w:r w:rsidR="002B57AB" w:rsidRPr="006F28C9">
        <w:rPr>
          <w:rFonts w:ascii="Arial" w:hAnsi="Arial" w:cs="Arial"/>
          <w:iCs/>
          <w:sz w:val="26"/>
          <w:szCs w:val="26"/>
        </w:rPr>
        <w:t xml:space="preserve">deponent to the </w:t>
      </w:r>
      <w:r w:rsidR="00D51351" w:rsidRPr="006F28C9">
        <w:rPr>
          <w:rFonts w:ascii="Arial" w:hAnsi="Arial" w:cs="Arial"/>
          <w:iCs/>
          <w:sz w:val="26"/>
          <w:szCs w:val="26"/>
        </w:rPr>
        <w:t>Defendant</w:t>
      </w:r>
      <w:r w:rsidR="002B57AB" w:rsidRPr="006F28C9">
        <w:rPr>
          <w:rFonts w:ascii="Arial" w:hAnsi="Arial" w:cs="Arial"/>
          <w:iCs/>
          <w:sz w:val="26"/>
          <w:szCs w:val="26"/>
        </w:rPr>
        <w:t xml:space="preserve">’s </w:t>
      </w:r>
      <w:r w:rsidR="008A6BDB" w:rsidRPr="006F28C9">
        <w:rPr>
          <w:rFonts w:ascii="Arial" w:hAnsi="Arial" w:cs="Arial"/>
          <w:iCs/>
          <w:sz w:val="26"/>
          <w:szCs w:val="26"/>
        </w:rPr>
        <w:t>resisting</w:t>
      </w:r>
      <w:r w:rsidR="002B57AB" w:rsidRPr="006F28C9">
        <w:rPr>
          <w:rFonts w:ascii="Arial" w:hAnsi="Arial" w:cs="Arial"/>
          <w:iCs/>
          <w:sz w:val="26"/>
          <w:szCs w:val="26"/>
        </w:rPr>
        <w:t xml:space="preserve"> affidavit</w:t>
      </w:r>
      <w:r w:rsidR="00D51351" w:rsidRPr="006F28C9">
        <w:rPr>
          <w:rFonts w:ascii="Arial" w:hAnsi="Arial" w:cs="Arial"/>
          <w:iCs/>
          <w:sz w:val="26"/>
          <w:szCs w:val="26"/>
        </w:rPr>
        <w:t xml:space="preserve"> submits that </w:t>
      </w:r>
      <w:r w:rsidR="002B57AB" w:rsidRPr="006F28C9">
        <w:rPr>
          <w:rFonts w:ascii="Arial" w:hAnsi="Arial" w:cs="Arial"/>
          <w:iCs/>
          <w:sz w:val="26"/>
          <w:szCs w:val="26"/>
        </w:rPr>
        <w:t>she</w:t>
      </w:r>
      <w:r w:rsidR="00D51351" w:rsidRPr="006F28C9">
        <w:rPr>
          <w:rFonts w:ascii="Arial" w:hAnsi="Arial" w:cs="Arial"/>
          <w:iCs/>
          <w:sz w:val="26"/>
          <w:szCs w:val="26"/>
        </w:rPr>
        <w:t xml:space="preserve"> has </w:t>
      </w:r>
      <w:r w:rsidR="005A0DEB" w:rsidRPr="006F28C9">
        <w:rPr>
          <w:rFonts w:ascii="Arial" w:hAnsi="Arial" w:cs="Arial"/>
          <w:iCs/>
          <w:sz w:val="26"/>
          <w:szCs w:val="26"/>
        </w:rPr>
        <w:t xml:space="preserve">never heard of </w:t>
      </w:r>
      <w:r w:rsidR="00D51351" w:rsidRPr="006F28C9">
        <w:rPr>
          <w:rFonts w:ascii="Arial" w:hAnsi="Arial" w:cs="Arial"/>
          <w:iCs/>
          <w:sz w:val="26"/>
          <w:szCs w:val="26"/>
        </w:rPr>
        <w:t xml:space="preserve">or seen the deponent, and have never had any dealings with </w:t>
      </w:r>
      <w:r w:rsidR="002B57AB" w:rsidRPr="006F28C9">
        <w:rPr>
          <w:rFonts w:ascii="Arial" w:hAnsi="Arial" w:cs="Arial"/>
          <w:iCs/>
          <w:sz w:val="26"/>
          <w:szCs w:val="26"/>
        </w:rPr>
        <w:t xml:space="preserve">him. The deponent was </w:t>
      </w:r>
      <w:r w:rsidR="005A0DEB" w:rsidRPr="006F28C9">
        <w:rPr>
          <w:rFonts w:ascii="Arial" w:hAnsi="Arial" w:cs="Arial"/>
          <w:iCs/>
          <w:sz w:val="26"/>
          <w:szCs w:val="26"/>
        </w:rPr>
        <w:t xml:space="preserve">not the author of the documents </w:t>
      </w:r>
      <w:r w:rsidR="002B57AB" w:rsidRPr="006F28C9">
        <w:rPr>
          <w:rFonts w:ascii="Arial" w:hAnsi="Arial" w:cs="Arial"/>
          <w:iCs/>
          <w:sz w:val="26"/>
          <w:szCs w:val="26"/>
        </w:rPr>
        <w:t xml:space="preserve">relied on, and </w:t>
      </w:r>
      <w:r w:rsidR="00D51351" w:rsidRPr="006F28C9">
        <w:rPr>
          <w:rFonts w:ascii="Arial" w:hAnsi="Arial" w:cs="Arial"/>
          <w:iCs/>
          <w:sz w:val="26"/>
          <w:szCs w:val="26"/>
        </w:rPr>
        <w:t xml:space="preserve">is </w:t>
      </w:r>
      <w:r w:rsidR="008A6BDB" w:rsidRPr="006F28C9">
        <w:rPr>
          <w:rFonts w:ascii="Arial" w:hAnsi="Arial" w:cs="Arial"/>
          <w:iCs/>
          <w:sz w:val="26"/>
          <w:szCs w:val="26"/>
        </w:rPr>
        <w:t xml:space="preserve">therefore </w:t>
      </w:r>
      <w:r w:rsidR="00D51351" w:rsidRPr="006F28C9">
        <w:rPr>
          <w:rFonts w:ascii="Arial" w:hAnsi="Arial" w:cs="Arial"/>
          <w:iCs/>
          <w:sz w:val="26"/>
          <w:szCs w:val="26"/>
        </w:rPr>
        <w:t xml:space="preserve">unable to </w:t>
      </w:r>
      <w:r w:rsidR="005A0DEB" w:rsidRPr="006F28C9">
        <w:rPr>
          <w:rFonts w:ascii="Arial" w:hAnsi="Arial" w:cs="Arial"/>
          <w:iCs/>
          <w:sz w:val="26"/>
          <w:szCs w:val="26"/>
        </w:rPr>
        <w:t xml:space="preserve">swear positively </w:t>
      </w:r>
      <w:r w:rsidR="002B57AB" w:rsidRPr="006F28C9">
        <w:rPr>
          <w:rFonts w:ascii="Arial" w:hAnsi="Arial" w:cs="Arial"/>
          <w:iCs/>
          <w:sz w:val="26"/>
          <w:szCs w:val="26"/>
        </w:rPr>
        <w:t>to</w:t>
      </w:r>
      <w:r w:rsidR="008A6BDB" w:rsidRPr="006F28C9">
        <w:rPr>
          <w:rFonts w:ascii="Arial" w:hAnsi="Arial" w:cs="Arial"/>
          <w:iCs/>
          <w:sz w:val="26"/>
          <w:szCs w:val="26"/>
        </w:rPr>
        <w:t xml:space="preserve"> or </w:t>
      </w:r>
      <w:r w:rsidR="005A0DEB" w:rsidRPr="006F28C9">
        <w:rPr>
          <w:rFonts w:ascii="Arial" w:hAnsi="Arial" w:cs="Arial"/>
          <w:iCs/>
          <w:sz w:val="26"/>
          <w:szCs w:val="26"/>
        </w:rPr>
        <w:t>verify the signatories and contents of the various agreements</w:t>
      </w:r>
      <w:r w:rsidR="00D51351" w:rsidRPr="006F28C9">
        <w:rPr>
          <w:rFonts w:ascii="Arial" w:hAnsi="Arial" w:cs="Arial"/>
          <w:iCs/>
          <w:sz w:val="26"/>
          <w:szCs w:val="26"/>
        </w:rPr>
        <w:t xml:space="preserve"> or </w:t>
      </w:r>
      <w:r w:rsidR="008A6BDB" w:rsidRPr="006F28C9">
        <w:rPr>
          <w:rFonts w:ascii="Arial" w:hAnsi="Arial" w:cs="Arial"/>
          <w:iCs/>
          <w:sz w:val="26"/>
          <w:szCs w:val="26"/>
        </w:rPr>
        <w:t xml:space="preserve">verify </w:t>
      </w:r>
      <w:r w:rsidR="00D51351" w:rsidRPr="006F28C9">
        <w:rPr>
          <w:rFonts w:ascii="Arial" w:hAnsi="Arial" w:cs="Arial"/>
          <w:iCs/>
          <w:sz w:val="26"/>
          <w:szCs w:val="26"/>
        </w:rPr>
        <w:t xml:space="preserve">that the agreements were entered into validly. The </w:t>
      </w:r>
      <w:r w:rsidR="008A6BDB" w:rsidRPr="006F28C9">
        <w:rPr>
          <w:rFonts w:ascii="Arial" w:hAnsi="Arial" w:cs="Arial"/>
          <w:iCs/>
          <w:sz w:val="26"/>
          <w:szCs w:val="26"/>
        </w:rPr>
        <w:t>D</w:t>
      </w:r>
      <w:r w:rsidR="00D51351" w:rsidRPr="006F28C9">
        <w:rPr>
          <w:rFonts w:ascii="Arial" w:hAnsi="Arial" w:cs="Arial"/>
          <w:iCs/>
          <w:sz w:val="26"/>
          <w:szCs w:val="26"/>
        </w:rPr>
        <w:t xml:space="preserve">efendant submits that the evidence of the deponent is hearsay and inadmissible. </w:t>
      </w:r>
      <w:r w:rsidR="00305124" w:rsidRPr="006F28C9">
        <w:rPr>
          <w:rFonts w:ascii="Arial" w:hAnsi="Arial" w:cs="Arial"/>
          <w:iCs/>
          <w:sz w:val="26"/>
          <w:szCs w:val="26"/>
        </w:rPr>
        <w:t xml:space="preserve">Defendant says that the deponent </w:t>
      </w:r>
      <w:r w:rsidR="002B57AB" w:rsidRPr="006F28C9">
        <w:rPr>
          <w:rFonts w:ascii="Arial" w:hAnsi="Arial" w:cs="Arial"/>
          <w:iCs/>
          <w:sz w:val="26"/>
          <w:szCs w:val="26"/>
        </w:rPr>
        <w:t>has failed</w:t>
      </w:r>
      <w:r w:rsidR="00305124" w:rsidRPr="006F28C9">
        <w:rPr>
          <w:rFonts w:ascii="Arial" w:hAnsi="Arial" w:cs="Arial"/>
          <w:iCs/>
          <w:sz w:val="26"/>
          <w:szCs w:val="26"/>
        </w:rPr>
        <w:t xml:space="preserve"> to state </w:t>
      </w:r>
      <w:r w:rsidR="002B57AB" w:rsidRPr="006F28C9">
        <w:rPr>
          <w:rFonts w:ascii="Arial" w:hAnsi="Arial" w:cs="Arial"/>
          <w:iCs/>
          <w:sz w:val="26"/>
          <w:szCs w:val="26"/>
        </w:rPr>
        <w:t xml:space="preserve">specifically </w:t>
      </w:r>
      <w:r w:rsidR="00305124" w:rsidRPr="006F28C9">
        <w:rPr>
          <w:rFonts w:ascii="Arial" w:hAnsi="Arial" w:cs="Arial"/>
          <w:iCs/>
          <w:sz w:val="26"/>
          <w:szCs w:val="26"/>
        </w:rPr>
        <w:t xml:space="preserve">that </w:t>
      </w:r>
      <w:r w:rsidR="002B57AB" w:rsidRPr="006F28C9">
        <w:rPr>
          <w:rFonts w:ascii="Arial" w:hAnsi="Arial" w:cs="Arial"/>
          <w:iCs/>
          <w:sz w:val="26"/>
          <w:szCs w:val="26"/>
        </w:rPr>
        <w:t>he</w:t>
      </w:r>
      <w:r w:rsidR="00305124" w:rsidRPr="006F28C9">
        <w:rPr>
          <w:rFonts w:ascii="Arial" w:hAnsi="Arial" w:cs="Arial"/>
          <w:iCs/>
          <w:sz w:val="26"/>
          <w:szCs w:val="26"/>
        </w:rPr>
        <w:t xml:space="preserve"> swear</w:t>
      </w:r>
      <w:r w:rsidR="002B57AB" w:rsidRPr="006F28C9">
        <w:rPr>
          <w:rFonts w:ascii="Arial" w:hAnsi="Arial" w:cs="Arial"/>
          <w:iCs/>
          <w:sz w:val="26"/>
          <w:szCs w:val="26"/>
        </w:rPr>
        <w:t>s</w:t>
      </w:r>
      <w:r w:rsidR="00305124" w:rsidRPr="006F28C9">
        <w:rPr>
          <w:rFonts w:ascii="Arial" w:hAnsi="Arial" w:cs="Arial"/>
          <w:iCs/>
          <w:sz w:val="26"/>
          <w:szCs w:val="26"/>
        </w:rPr>
        <w:t xml:space="preserve"> positively to the facts </w:t>
      </w:r>
      <w:r w:rsidR="002B57AB" w:rsidRPr="006F28C9">
        <w:rPr>
          <w:rFonts w:ascii="Arial" w:hAnsi="Arial" w:cs="Arial"/>
          <w:iCs/>
          <w:sz w:val="26"/>
          <w:szCs w:val="26"/>
        </w:rPr>
        <w:t>verifying the cause of action.</w:t>
      </w:r>
    </w:p>
    <w:p w14:paraId="2251C52B" w14:textId="77777777" w:rsidR="002B57AB" w:rsidRPr="00FA4765" w:rsidRDefault="002B57AB" w:rsidP="002B57AB">
      <w:pPr>
        <w:spacing w:line="360" w:lineRule="auto"/>
        <w:ind w:left="360"/>
        <w:jc w:val="both"/>
        <w:rPr>
          <w:rFonts w:ascii="Arial" w:hAnsi="Arial" w:cs="Arial"/>
          <w:iCs/>
          <w:sz w:val="26"/>
          <w:szCs w:val="26"/>
        </w:rPr>
      </w:pPr>
    </w:p>
    <w:p w14:paraId="710DBE15" w14:textId="2905C90C" w:rsidR="000F4E5E" w:rsidRPr="006F28C9" w:rsidRDefault="006F28C9" w:rsidP="006F28C9">
      <w:pPr>
        <w:spacing w:line="360" w:lineRule="auto"/>
        <w:ind w:left="720" w:hanging="360"/>
        <w:jc w:val="both"/>
        <w:rPr>
          <w:rFonts w:ascii="Arial" w:hAnsi="Arial" w:cs="Arial"/>
          <w:iCs/>
          <w:sz w:val="26"/>
          <w:szCs w:val="26"/>
        </w:rPr>
      </w:pPr>
      <w:r>
        <w:rPr>
          <w:rFonts w:ascii="Arial" w:hAnsi="Arial" w:cs="Arial"/>
          <w:iCs/>
          <w:sz w:val="26"/>
          <w:szCs w:val="26"/>
        </w:rPr>
        <w:t>[20]</w:t>
      </w:r>
      <w:r>
        <w:rPr>
          <w:rFonts w:ascii="Arial" w:hAnsi="Arial" w:cs="Arial"/>
          <w:iCs/>
          <w:sz w:val="26"/>
          <w:szCs w:val="26"/>
        </w:rPr>
        <w:tab/>
      </w:r>
      <w:r w:rsidR="00425386" w:rsidRPr="006F28C9">
        <w:rPr>
          <w:rFonts w:ascii="Arial" w:hAnsi="Arial" w:cs="Arial"/>
          <w:iCs/>
          <w:sz w:val="26"/>
          <w:szCs w:val="26"/>
        </w:rPr>
        <w:t xml:space="preserve">In </w:t>
      </w:r>
      <w:r w:rsidR="00425386" w:rsidRPr="006F28C9">
        <w:rPr>
          <w:rFonts w:ascii="Arial" w:hAnsi="Arial" w:cs="Arial"/>
          <w:i/>
          <w:iCs/>
          <w:sz w:val="26"/>
          <w:szCs w:val="26"/>
        </w:rPr>
        <w:t>Rees and Another v Investec Bank Ltd</w:t>
      </w:r>
      <w:r w:rsidR="00425386" w:rsidRPr="006F28C9">
        <w:rPr>
          <w:rFonts w:ascii="Arial" w:hAnsi="Arial" w:cs="Arial"/>
          <w:iCs/>
          <w:sz w:val="26"/>
          <w:szCs w:val="26"/>
        </w:rPr>
        <w:t xml:space="preserve"> </w:t>
      </w:r>
      <w:r w:rsidR="000F4E5E" w:rsidRPr="006F28C9">
        <w:rPr>
          <w:rFonts w:ascii="Arial" w:hAnsi="Arial" w:cs="Arial"/>
          <w:iCs/>
          <w:sz w:val="26"/>
          <w:szCs w:val="26"/>
        </w:rPr>
        <w:t xml:space="preserve">Saldulker JA stated: </w:t>
      </w:r>
    </w:p>
    <w:p w14:paraId="37422610" w14:textId="77777777" w:rsidR="000F4E5E" w:rsidRPr="000F4E5E" w:rsidRDefault="000F4E5E" w:rsidP="000F4E5E">
      <w:pPr>
        <w:pStyle w:val="ListParagraph"/>
        <w:rPr>
          <w:rFonts w:ascii="Arial" w:eastAsia="Times New Roman" w:hAnsi="Arial" w:cs="Arial"/>
          <w:lang w:val="en-GB"/>
        </w:rPr>
      </w:pPr>
    </w:p>
    <w:p w14:paraId="3D61CE16" w14:textId="77777777" w:rsidR="000F4E5E" w:rsidRDefault="000F4E5E" w:rsidP="000F4E5E">
      <w:pPr>
        <w:spacing w:line="360" w:lineRule="auto"/>
        <w:ind w:left="720"/>
        <w:jc w:val="both"/>
        <w:rPr>
          <w:rFonts w:ascii="Arial" w:eastAsia="Times New Roman" w:hAnsi="Arial" w:cs="Arial"/>
          <w:lang w:val="en-GB"/>
        </w:rPr>
      </w:pPr>
    </w:p>
    <w:p w14:paraId="5A9D0BD4" w14:textId="4D547D90" w:rsidR="002B57AB" w:rsidRPr="000F4E5E" w:rsidRDefault="000F4E5E" w:rsidP="000F4E5E">
      <w:pPr>
        <w:spacing w:line="360" w:lineRule="auto"/>
        <w:ind w:left="1440"/>
        <w:jc w:val="both"/>
        <w:rPr>
          <w:rFonts w:ascii="Arial" w:hAnsi="Arial" w:cs="Arial"/>
          <w:iCs/>
          <w:sz w:val="26"/>
          <w:szCs w:val="26"/>
        </w:rPr>
      </w:pPr>
      <w:r w:rsidRPr="000F4E5E">
        <w:rPr>
          <w:rFonts w:ascii="Arial" w:eastAsia="Times New Roman" w:hAnsi="Arial" w:cs="Arial"/>
          <w:lang w:val="en-GB"/>
        </w:rPr>
        <w:t xml:space="preserve">Many summary judgment applications are brought by financial institutions and large corporations. First-hand knowledge of every fact cannot and should not be required of the official who deposes to the affidavit on behalf of such financial institutions and large corporations.  To insist on first-hand knowledge is not consistent with the principles espoused in </w:t>
      </w:r>
      <w:r w:rsidRPr="000F4E5E">
        <w:rPr>
          <w:rFonts w:ascii="Arial" w:eastAsia="Times New Roman" w:hAnsi="Arial" w:cs="Arial"/>
          <w:i/>
          <w:lang w:val="en-GB"/>
        </w:rPr>
        <w:t xml:space="preserve">Maharaj. </w:t>
      </w:r>
      <w:r w:rsidR="00D157AB" w:rsidRPr="00FA4765">
        <w:rPr>
          <w:rStyle w:val="FootnoteReference"/>
          <w:rFonts w:ascii="Arial" w:hAnsi="Arial" w:cs="Arial"/>
          <w:iCs/>
          <w:sz w:val="26"/>
          <w:szCs w:val="26"/>
        </w:rPr>
        <w:footnoteReference w:id="6"/>
      </w:r>
      <w:r w:rsidR="00425386" w:rsidRPr="000F4E5E">
        <w:rPr>
          <w:rFonts w:ascii="Arial" w:hAnsi="Arial" w:cs="Arial"/>
          <w:iCs/>
          <w:sz w:val="26"/>
          <w:szCs w:val="26"/>
        </w:rPr>
        <w:t xml:space="preserve"> </w:t>
      </w:r>
    </w:p>
    <w:p w14:paraId="6668DF0A" w14:textId="77777777" w:rsidR="002B57AB" w:rsidRPr="00FA4765" w:rsidRDefault="002B57AB" w:rsidP="002B57AB">
      <w:pPr>
        <w:pStyle w:val="ListParagraph"/>
        <w:rPr>
          <w:rFonts w:ascii="Arial" w:hAnsi="Arial" w:cs="Arial"/>
          <w:iCs/>
          <w:sz w:val="26"/>
          <w:szCs w:val="26"/>
        </w:rPr>
      </w:pPr>
    </w:p>
    <w:p w14:paraId="276A96FB" w14:textId="7FCDA16F" w:rsidR="002B57AB" w:rsidRPr="006F28C9" w:rsidRDefault="006F28C9" w:rsidP="006F28C9">
      <w:pPr>
        <w:spacing w:line="360" w:lineRule="auto"/>
        <w:ind w:left="720" w:hanging="360"/>
        <w:jc w:val="both"/>
        <w:rPr>
          <w:rFonts w:ascii="Arial" w:hAnsi="Arial" w:cs="Arial"/>
          <w:iCs/>
          <w:sz w:val="26"/>
          <w:szCs w:val="26"/>
        </w:rPr>
      </w:pPr>
      <w:r w:rsidRPr="00FA4765">
        <w:rPr>
          <w:rFonts w:ascii="Arial" w:hAnsi="Arial" w:cs="Arial"/>
          <w:iCs/>
          <w:sz w:val="26"/>
          <w:szCs w:val="26"/>
        </w:rPr>
        <w:t>[21]</w:t>
      </w:r>
      <w:r w:rsidRPr="00FA4765">
        <w:rPr>
          <w:rFonts w:ascii="Arial" w:hAnsi="Arial" w:cs="Arial"/>
          <w:iCs/>
          <w:sz w:val="26"/>
          <w:szCs w:val="26"/>
        </w:rPr>
        <w:tab/>
      </w:r>
      <w:r w:rsidR="00D157AB" w:rsidRPr="006F28C9">
        <w:rPr>
          <w:rFonts w:ascii="Arial" w:hAnsi="Arial" w:cs="Arial"/>
          <w:iCs/>
          <w:sz w:val="26"/>
          <w:szCs w:val="26"/>
        </w:rPr>
        <w:t xml:space="preserve">In </w:t>
      </w:r>
      <w:r w:rsidR="00425386" w:rsidRPr="006F28C9">
        <w:rPr>
          <w:rFonts w:ascii="Arial" w:hAnsi="Arial" w:cs="Arial"/>
          <w:i/>
          <w:iCs/>
          <w:sz w:val="26"/>
          <w:szCs w:val="26"/>
        </w:rPr>
        <w:t xml:space="preserve">Standard Bank of SA Ltd v Secatsa Investments (Pty) Ltd &amp; Others </w:t>
      </w:r>
      <w:r w:rsidR="00D157AB" w:rsidRPr="006F28C9">
        <w:rPr>
          <w:rFonts w:ascii="Arial" w:hAnsi="Arial" w:cs="Arial"/>
          <w:iCs/>
          <w:sz w:val="26"/>
          <w:szCs w:val="26"/>
        </w:rPr>
        <w:t xml:space="preserve">the court </w:t>
      </w:r>
      <w:r w:rsidR="002B57AB" w:rsidRPr="006F28C9">
        <w:rPr>
          <w:rFonts w:ascii="Arial" w:hAnsi="Arial" w:cs="Arial"/>
          <w:iCs/>
          <w:sz w:val="26"/>
          <w:szCs w:val="26"/>
        </w:rPr>
        <w:t xml:space="preserve">observed </w:t>
      </w:r>
      <w:r w:rsidR="009A22FA" w:rsidRPr="006F28C9">
        <w:rPr>
          <w:rFonts w:ascii="Arial" w:hAnsi="Arial" w:cs="Arial"/>
          <w:iCs/>
          <w:sz w:val="26"/>
          <w:szCs w:val="26"/>
        </w:rPr>
        <w:t xml:space="preserve">that </w:t>
      </w:r>
    </w:p>
    <w:p w14:paraId="0704F529" w14:textId="77777777" w:rsidR="002B57AB" w:rsidRPr="00FA4765" w:rsidRDefault="002B57AB" w:rsidP="002B57AB">
      <w:pPr>
        <w:pStyle w:val="ListParagraph"/>
        <w:rPr>
          <w:rFonts w:ascii="Arial" w:hAnsi="Arial" w:cs="Arial"/>
          <w:iCs/>
          <w:sz w:val="26"/>
          <w:szCs w:val="26"/>
        </w:rPr>
      </w:pPr>
    </w:p>
    <w:p w14:paraId="0A48DF94" w14:textId="67287DF8" w:rsidR="003267A0" w:rsidRPr="00FA4765" w:rsidRDefault="009A22FA" w:rsidP="003267A0">
      <w:pPr>
        <w:pStyle w:val="ListParagraph"/>
        <w:spacing w:line="360" w:lineRule="auto"/>
        <w:ind w:left="1440"/>
        <w:jc w:val="both"/>
        <w:rPr>
          <w:rFonts w:ascii="Arial" w:hAnsi="Arial" w:cs="Arial"/>
          <w:iCs/>
        </w:rPr>
      </w:pPr>
      <w:r w:rsidRPr="00FA4765">
        <w:rPr>
          <w:rFonts w:ascii="Arial" w:hAnsi="Arial" w:cs="Arial"/>
          <w:iCs/>
        </w:rPr>
        <w:t>[f]irst</w:t>
      </w:r>
      <w:r w:rsidR="004A6730">
        <w:rPr>
          <w:rFonts w:ascii="Arial" w:hAnsi="Arial" w:cs="Arial"/>
          <w:iCs/>
        </w:rPr>
        <w:t>-</w:t>
      </w:r>
      <w:r w:rsidRPr="00FA4765">
        <w:rPr>
          <w:rFonts w:ascii="Arial" w:hAnsi="Arial" w:cs="Arial"/>
          <w:iCs/>
        </w:rPr>
        <w:t>hand knowledge of every fact which goes to make up the plaintiff’s cause of action is not required and that</w:t>
      </w:r>
      <w:r w:rsidR="004A6730">
        <w:rPr>
          <w:rFonts w:ascii="Arial" w:hAnsi="Arial" w:cs="Arial"/>
          <w:iCs/>
        </w:rPr>
        <w:t>,</w:t>
      </w:r>
      <w:r w:rsidRPr="00FA4765">
        <w:rPr>
          <w:rFonts w:ascii="Arial" w:hAnsi="Arial" w:cs="Arial"/>
          <w:iCs/>
        </w:rPr>
        <w:t xml:space="preserve"> where the plaintiff is a corporate entity, the deponent may well legitimately rely </w:t>
      </w:r>
      <w:r w:rsidR="004A6730" w:rsidRPr="00FA4765">
        <w:rPr>
          <w:rFonts w:ascii="Arial" w:hAnsi="Arial" w:cs="Arial"/>
          <w:iCs/>
        </w:rPr>
        <w:t>for his or her personal knowledge of at least certain of the relevant facts and his or her ability to swear positively to such facts,</w:t>
      </w:r>
      <w:r w:rsidR="004A6730">
        <w:rPr>
          <w:rFonts w:ascii="Arial" w:hAnsi="Arial" w:cs="Arial"/>
          <w:iCs/>
        </w:rPr>
        <w:t xml:space="preserve"> </w:t>
      </w:r>
      <w:r w:rsidRPr="00FA4765">
        <w:rPr>
          <w:rFonts w:ascii="Arial" w:hAnsi="Arial" w:cs="Arial"/>
          <w:iCs/>
        </w:rPr>
        <w:t>on records in the company’s possession</w:t>
      </w:r>
      <w:r w:rsidR="002B57AB" w:rsidRPr="00FA4765">
        <w:rPr>
          <w:rFonts w:ascii="Arial" w:hAnsi="Arial" w:cs="Arial"/>
          <w:iCs/>
        </w:rPr>
        <w:t>.</w:t>
      </w:r>
      <w:r w:rsidR="002B57AB" w:rsidRPr="00FA4765">
        <w:rPr>
          <w:rStyle w:val="FootnoteReference"/>
          <w:rFonts w:ascii="Arial" w:hAnsi="Arial" w:cs="Arial"/>
          <w:i/>
          <w:iCs/>
        </w:rPr>
        <w:t xml:space="preserve"> </w:t>
      </w:r>
      <w:r w:rsidR="002B57AB" w:rsidRPr="00FA4765">
        <w:rPr>
          <w:rStyle w:val="FootnoteReference"/>
          <w:rFonts w:ascii="Arial" w:hAnsi="Arial" w:cs="Arial"/>
          <w:iCs/>
        </w:rPr>
        <w:footnoteReference w:id="7"/>
      </w:r>
      <w:r w:rsidR="00425386" w:rsidRPr="00FA4765">
        <w:rPr>
          <w:rFonts w:ascii="Arial" w:hAnsi="Arial" w:cs="Arial"/>
          <w:iCs/>
        </w:rPr>
        <w:t xml:space="preserve"> </w:t>
      </w:r>
    </w:p>
    <w:p w14:paraId="5133F5B5" w14:textId="77777777" w:rsidR="003267A0" w:rsidRPr="00FA4765" w:rsidRDefault="003267A0" w:rsidP="003267A0">
      <w:pPr>
        <w:pStyle w:val="ListParagraph"/>
        <w:spacing w:line="360" w:lineRule="auto"/>
        <w:ind w:left="1440"/>
        <w:jc w:val="both"/>
        <w:rPr>
          <w:rFonts w:ascii="Arial" w:hAnsi="Arial" w:cs="Arial"/>
          <w:iCs/>
          <w:sz w:val="26"/>
          <w:szCs w:val="26"/>
        </w:rPr>
      </w:pPr>
    </w:p>
    <w:p w14:paraId="5BFA7D59" w14:textId="083EF557" w:rsidR="003267A0" w:rsidRPr="006F28C9" w:rsidRDefault="006F28C9" w:rsidP="006F28C9">
      <w:pPr>
        <w:spacing w:line="360" w:lineRule="auto"/>
        <w:ind w:left="720" w:hanging="360"/>
        <w:jc w:val="both"/>
        <w:rPr>
          <w:rFonts w:ascii="Arial" w:hAnsi="Arial" w:cs="Arial"/>
          <w:iCs/>
          <w:sz w:val="26"/>
          <w:szCs w:val="26"/>
        </w:rPr>
      </w:pPr>
      <w:r w:rsidRPr="00FA4765">
        <w:rPr>
          <w:rFonts w:ascii="Arial" w:hAnsi="Arial" w:cs="Arial"/>
          <w:iCs/>
          <w:sz w:val="26"/>
          <w:szCs w:val="26"/>
        </w:rPr>
        <w:t>[22]</w:t>
      </w:r>
      <w:r w:rsidRPr="00FA4765">
        <w:rPr>
          <w:rFonts w:ascii="Arial" w:hAnsi="Arial" w:cs="Arial"/>
          <w:iCs/>
          <w:sz w:val="26"/>
          <w:szCs w:val="26"/>
        </w:rPr>
        <w:tab/>
      </w:r>
      <w:r w:rsidR="00F02A88" w:rsidRPr="006F28C9">
        <w:rPr>
          <w:rFonts w:ascii="Arial" w:hAnsi="Arial" w:cs="Arial"/>
          <w:iCs/>
          <w:sz w:val="26"/>
          <w:szCs w:val="26"/>
        </w:rPr>
        <w:t xml:space="preserve">Taking into consideration the </w:t>
      </w:r>
      <w:r w:rsidR="00F02A88" w:rsidRPr="006F28C9">
        <w:rPr>
          <w:rFonts w:ascii="Arial" w:hAnsi="Arial" w:cs="Arial"/>
          <w:i/>
          <w:iCs/>
          <w:sz w:val="26"/>
          <w:szCs w:val="26"/>
        </w:rPr>
        <w:t>Rees</w:t>
      </w:r>
      <w:r w:rsidR="00F02A88" w:rsidRPr="006F28C9">
        <w:rPr>
          <w:rFonts w:ascii="Arial" w:hAnsi="Arial" w:cs="Arial"/>
          <w:iCs/>
          <w:sz w:val="26"/>
          <w:szCs w:val="26"/>
        </w:rPr>
        <w:t xml:space="preserve"> judgment, </w:t>
      </w:r>
      <w:r w:rsidR="00516BA5" w:rsidRPr="006F28C9">
        <w:rPr>
          <w:rFonts w:ascii="Arial" w:hAnsi="Arial" w:cs="Arial"/>
          <w:iCs/>
          <w:sz w:val="26"/>
          <w:szCs w:val="26"/>
        </w:rPr>
        <w:t xml:space="preserve">I am satisfied that the deponent has the requisite personal knowledge to depose to the </w:t>
      </w:r>
      <w:r w:rsidR="003267A0" w:rsidRPr="006F28C9">
        <w:rPr>
          <w:rFonts w:ascii="Arial" w:hAnsi="Arial" w:cs="Arial"/>
          <w:iCs/>
          <w:sz w:val="26"/>
          <w:szCs w:val="26"/>
        </w:rPr>
        <w:t xml:space="preserve">founding </w:t>
      </w:r>
      <w:r w:rsidR="00516BA5" w:rsidRPr="006F28C9">
        <w:rPr>
          <w:rFonts w:ascii="Arial" w:hAnsi="Arial" w:cs="Arial"/>
          <w:iCs/>
          <w:sz w:val="26"/>
          <w:szCs w:val="26"/>
        </w:rPr>
        <w:t xml:space="preserve">affidavit. </w:t>
      </w:r>
      <w:r w:rsidR="00F02A88" w:rsidRPr="006F28C9">
        <w:rPr>
          <w:rFonts w:ascii="Arial" w:hAnsi="Arial" w:cs="Arial"/>
          <w:iCs/>
          <w:sz w:val="26"/>
          <w:szCs w:val="26"/>
        </w:rPr>
        <w:t>Further</w:t>
      </w:r>
      <w:r w:rsidR="007257B0" w:rsidRPr="006F28C9">
        <w:rPr>
          <w:rFonts w:ascii="Arial" w:hAnsi="Arial" w:cs="Arial"/>
          <w:iCs/>
          <w:sz w:val="26"/>
          <w:szCs w:val="26"/>
        </w:rPr>
        <w:t>more</w:t>
      </w:r>
      <w:r w:rsidR="00F02A88" w:rsidRPr="006F28C9">
        <w:rPr>
          <w:rFonts w:ascii="Arial" w:hAnsi="Arial" w:cs="Arial"/>
          <w:iCs/>
          <w:sz w:val="26"/>
          <w:szCs w:val="26"/>
        </w:rPr>
        <w:t xml:space="preserve">, </w:t>
      </w:r>
      <w:r w:rsidR="00516BA5" w:rsidRPr="006F28C9">
        <w:rPr>
          <w:rFonts w:ascii="Arial" w:hAnsi="Arial" w:cs="Arial"/>
          <w:iCs/>
          <w:sz w:val="26"/>
          <w:szCs w:val="26"/>
        </w:rPr>
        <w:t>the deponent shows in the affidavit that he has sufficient personal knowledge</w:t>
      </w:r>
      <w:r w:rsidR="003267A0" w:rsidRPr="006F28C9">
        <w:rPr>
          <w:rFonts w:ascii="Arial" w:hAnsi="Arial" w:cs="Arial"/>
          <w:iCs/>
          <w:sz w:val="26"/>
          <w:szCs w:val="26"/>
        </w:rPr>
        <w:t xml:space="preserve">. The specific agreement is under his direct supervision and control; he is familiar with the relevant documents and facts; he verifies the cause of action. He deals with the necessary points in </w:t>
      </w:r>
      <w:r w:rsidR="00E64F8C" w:rsidRPr="006F28C9">
        <w:rPr>
          <w:rFonts w:ascii="Arial" w:hAnsi="Arial" w:cs="Arial"/>
          <w:iCs/>
          <w:sz w:val="26"/>
          <w:szCs w:val="26"/>
        </w:rPr>
        <w:t>adequate</w:t>
      </w:r>
      <w:r w:rsidR="003267A0" w:rsidRPr="006F28C9">
        <w:rPr>
          <w:rFonts w:ascii="Arial" w:hAnsi="Arial" w:cs="Arial"/>
          <w:iCs/>
          <w:sz w:val="26"/>
          <w:szCs w:val="26"/>
        </w:rPr>
        <w:t xml:space="preserve"> detail to show that he has personal knowledge of the matter.</w:t>
      </w:r>
      <w:r w:rsidR="009F4521" w:rsidRPr="006F28C9">
        <w:rPr>
          <w:rFonts w:ascii="Arial" w:hAnsi="Arial" w:cs="Arial"/>
          <w:iCs/>
          <w:sz w:val="26"/>
          <w:szCs w:val="26"/>
        </w:rPr>
        <w:t xml:space="preserve"> </w:t>
      </w:r>
      <w:r w:rsidR="00516BA5" w:rsidRPr="006F28C9">
        <w:rPr>
          <w:rFonts w:ascii="Arial" w:hAnsi="Arial" w:cs="Arial"/>
          <w:iCs/>
          <w:sz w:val="26"/>
          <w:szCs w:val="26"/>
        </w:rPr>
        <w:t xml:space="preserve">It is unrealistic to expect that only someone who has had direct interaction with the Defendant may depose to an affidavit in respect of </w:t>
      </w:r>
      <w:r w:rsidR="00E64F8C" w:rsidRPr="006F28C9">
        <w:rPr>
          <w:rFonts w:ascii="Arial" w:hAnsi="Arial" w:cs="Arial"/>
          <w:iCs/>
          <w:sz w:val="26"/>
          <w:szCs w:val="26"/>
        </w:rPr>
        <w:t>the</w:t>
      </w:r>
      <w:r w:rsidR="00516BA5" w:rsidRPr="006F28C9">
        <w:rPr>
          <w:rFonts w:ascii="Arial" w:hAnsi="Arial" w:cs="Arial"/>
          <w:iCs/>
          <w:sz w:val="26"/>
          <w:szCs w:val="26"/>
        </w:rPr>
        <w:t xml:space="preserve"> transaction</w:t>
      </w:r>
      <w:r w:rsidR="00E64F8C" w:rsidRPr="006F28C9">
        <w:rPr>
          <w:rFonts w:ascii="Arial" w:hAnsi="Arial" w:cs="Arial"/>
          <w:iCs/>
          <w:sz w:val="26"/>
          <w:szCs w:val="26"/>
        </w:rPr>
        <w:t xml:space="preserve"> with the Defendant</w:t>
      </w:r>
      <w:r w:rsidR="00516BA5" w:rsidRPr="006F28C9">
        <w:rPr>
          <w:rFonts w:ascii="Arial" w:hAnsi="Arial" w:cs="Arial"/>
          <w:iCs/>
          <w:sz w:val="26"/>
          <w:szCs w:val="26"/>
        </w:rPr>
        <w:t xml:space="preserve">. </w:t>
      </w:r>
    </w:p>
    <w:p w14:paraId="7735C860" w14:textId="77777777" w:rsidR="009F4521" w:rsidRPr="00FA4765" w:rsidRDefault="009F4521" w:rsidP="009F4521">
      <w:pPr>
        <w:spacing w:line="360" w:lineRule="auto"/>
        <w:ind w:left="360"/>
        <w:jc w:val="both"/>
        <w:rPr>
          <w:rFonts w:ascii="Arial" w:hAnsi="Arial" w:cs="Arial"/>
          <w:iCs/>
          <w:sz w:val="26"/>
          <w:szCs w:val="26"/>
        </w:rPr>
      </w:pPr>
    </w:p>
    <w:p w14:paraId="6F7D5716" w14:textId="66FE2F63" w:rsidR="00416CAC" w:rsidRPr="006F28C9" w:rsidRDefault="006F28C9" w:rsidP="006F28C9">
      <w:pPr>
        <w:spacing w:line="360" w:lineRule="auto"/>
        <w:ind w:left="720" w:hanging="360"/>
        <w:jc w:val="both"/>
        <w:rPr>
          <w:rFonts w:ascii="Arial" w:hAnsi="Arial" w:cs="Arial"/>
          <w:iCs/>
          <w:sz w:val="26"/>
          <w:szCs w:val="26"/>
        </w:rPr>
      </w:pPr>
      <w:r w:rsidRPr="00FA4765">
        <w:rPr>
          <w:rFonts w:ascii="Arial" w:hAnsi="Arial" w:cs="Arial"/>
          <w:iCs/>
          <w:sz w:val="26"/>
          <w:szCs w:val="26"/>
        </w:rPr>
        <w:t>[23]</w:t>
      </w:r>
      <w:r w:rsidRPr="00FA4765">
        <w:rPr>
          <w:rFonts w:ascii="Arial" w:hAnsi="Arial" w:cs="Arial"/>
          <w:iCs/>
          <w:sz w:val="26"/>
          <w:szCs w:val="26"/>
        </w:rPr>
        <w:tab/>
      </w:r>
      <w:r w:rsidR="009F4521" w:rsidRPr="006F28C9">
        <w:rPr>
          <w:rFonts w:ascii="Arial" w:hAnsi="Arial" w:cs="Arial"/>
          <w:iCs/>
          <w:sz w:val="26"/>
          <w:szCs w:val="26"/>
        </w:rPr>
        <w:t>T</w:t>
      </w:r>
      <w:r w:rsidR="00E64F8C" w:rsidRPr="006F28C9">
        <w:rPr>
          <w:rFonts w:ascii="Arial" w:hAnsi="Arial" w:cs="Arial"/>
          <w:iCs/>
          <w:sz w:val="26"/>
          <w:szCs w:val="26"/>
        </w:rPr>
        <w:t>he D</w:t>
      </w:r>
      <w:r w:rsidR="0040525E" w:rsidRPr="006F28C9">
        <w:rPr>
          <w:rFonts w:ascii="Arial" w:hAnsi="Arial" w:cs="Arial"/>
          <w:iCs/>
          <w:sz w:val="26"/>
          <w:szCs w:val="26"/>
        </w:rPr>
        <w:t>efendant</w:t>
      </w:r>
      <w:r w:rsidR="00D264B2" w:rsidRPr="006F28C9">
        <w:rPr>
          <w:rFonts w:ascii="Arial" w:hAnsi="Arial" w:cs="Arial"/>
          <w:iCs/>
          <w:sz w:val="26"/>
          <w:szCs w:val="26"/>
        </w:rPr>
        <w:t xml:space="preserve"> </w:t>
      </w:r>
      <w:r w:rsidR="00D264B2" w:rsidRPr="006F28C9">
        <w:rPr>
          <w:rFonts w:ascii="Arial" w:hAnsi="Arial" w:cs="Arial"/>
          <w:bCs/>
          <w:iCs/>
          <w:sz w:val="26"/>
          <w:szCs w:val="26"/>
        </w:rPr>
        <w:t xml:space="preserve">denies that Annexure “B” to the </w:t>
      </w:r>
      <w:r w:rsidR="00E64F8C" w:rsidRPr="006F28C9">
        <w:rPr>
          <w:rFonts w:ascii="Arial" w:hAnsi="Arial" w:cs="Arial"/>
          <w:bCs/>
          <w:iCs/>
          <w:sz w:val="26"/>
          <w:szCs w:val="26"/>
        </w:rPr>
        <w:t>P</w:t>
      </w:r>
      <w:r w:rsidR="00D264B2" w:rsidRPr="006F28C9">
        <w:rPr>
          <w:rFonts w:ascii="Arial" w:hAnsi="Arial" w:cs="Arial"/>
          <w:bCs/>
          <w:iCs/>
          <w:sz w:val="26"/>
          <w:szCs w:val="26"/>
        </w:rPr>
        <w:t xml:space="preserve">articulars of </w:t>
      </w:r>
      <w:r w:rsidR="00E64F8C" w:rsidRPr="006F28C9">
        <w:rPr>
          <w:rFonts w:ascii="Arial" w:hAnsi="Arial" w:cs="Arial"/>
          <w:bCs/>
          <w:iCs/>
          <w:sz w:val="26"/>
          <w:szCs w:val="26"/>
        </w:rPr>
        <w:t>C</w:t>
      </w:r>
      <w:r w:rsidR="00D264B2" w:rsidRPr="006F28C9">
        <w:rPr>
          <w:rFonts w:ascii="Arial" w:hAnsi="Arial" w:cs="Arial"/>
          <w:bCs/>
          <w:iCs/>
          <w:sz w:val="26"/>
          <w:szCs w:val="26"/>
        </w:rPr>
        <w:t>laim is a copy of the agreement concluded between the parties</w:t>
      </w:r>
      <w:r w:rsidR="00E64F8C" w:rsidRPr="006F28C9">
        <w:rPr>
          <w:rFonts w:ascii="Arial" w:hAnsi="Arial" w:cs="Arial"/>
          <w:bCs/>
          <w:iCs/>
          <w:sz w:val="26"/>
          <w:szCs w:val="26"/>
        </w:rPr>
        <w:t xml:space="preserve">, claiming that Annexure “B” is an unsigned template which does not contain the signatures of the parties. </w:t>
      </w:r>
    </w:p>
    <w:p w14:paraId="55E9868D" w14:textId="77777777" w:rsidR="00416CAC" w:rsidRPr="00FA4765" w:rsidRDefault="00416CAC" w:rsidP="00416CAC">
      <w:pPr>
        <w:pStyle w:val="ListParagraph"/>
        <w:rPr>
          <w:rFonts w:ascii="Arial" w:hAnsi="Arial" w:cs="Arial"/>
          <w:iCs/>
          <w:sz w:val="26"/>
          <w:szCs w:val="26"/>
        </w:rPr>
      </w:pPr>
    </w:p>
    <w:p w14:paraId="05BD6293" w14:textId="37BFFB59" w:rsidR="006C185B" w:rsidRPr="006F28C9" w:rsidRDefault="006F28C9" w:rsidP="006F28C9">
      <w:pPr>
        <w:spacing w:line="360" w:lineRule="auto"/>
        <w:ind w:left="720" w:hanging="360"/>
        <w:jc w:val="both"/>
        <w:rPr>
          <w:rFonts w:ascii="Arial" w:hAnsi="Arial" w:cs="Arial"/>
          <w:iCs/>
          <w:sz w:val="26"/>
          <w:szCs w:val="26"/>
        </w:rPr>
      </w:pPr>
      <w:r>
        <w:rPr>
          <w:rFonts w:ascii="Arial" w:hAnsi="Arial" w:cs="Arial"/>
          <w:iCs/>
          <w:sz w:val="26"/>
          <w:szCs w:val="26"/>
        </w:rPr>
        <w:t>[24]</w:t>
      </w:r>
      <w:r>
        <w:rPr>
          <w:rFonts w:ascii="Arial" w:hAnsi="Arial" w:cs="Arial"/>
          <w:iCs/>
          <w:sz w:val="26"/>
          <w:szCs w:val="26"/>
        </w:rPr>
        <w:tab/>
      </w:r>
      <w:r w:rsidR="006C185B" w:rsidRPr="006F28C9">
        <w:rPr>
          <w:rFonts w:ascii="Arial" w:hAnsi="Arial" w:cs="Arial"/>
          <w:iCs/>
          <w:sz w:val="26"/>
          <w:szCs w:val="26"/>
        </w:rPr>
        <w:t xml:space="preserve">This </w:t>
      </w:r>
      <w:r w:rsidR="0066636B" w:rsidRPr="006F28C9">
        <w:rPr>
          <w:rFonts w:ascii="Arial" w:hAnsi="Arial" w:cs="Arial"/>
          <w:iCs/>
          <w:sz w:val="26"/>
          <w:szCs w:val="26"/>
        </w:rPr>
        <w:t>cannot be</w:t>
      </w:r>
      <w:r w:rsidR="006C185B" w:rsidRPr="006F28C9">
        <w:rPr>
          <w:rFonts w:ascii="Arial" w:hAnsi="Arial" w:cs="Arial"/>
          <w:iCs/>
          <w:sz w:val="26"/>
          <w:szCs w:val="26"/>
        </w:rPr>
        <w:t xml:space="preserve"> correct. </w:t>
      </w:r>
      <w:r w:rsidR="00E64F8C" w:rsidRPr="006F28C9">
        <w:rPr>
          <w:rFonts w:ascii="Arial" w:hAnsi="Arial" w:cs="Arial"/>
          <w:iCs/>
          <w:sz w:val="26"/>
          <w:szCs w:val="26"/>
        </w:rPr>
        <w:t xml:space="preserve">On the face of it </w:t>
      </w:r>
      <w:r w:rsidR="006C185B" w:rsidRPr="006F28C9">
        <w:rPr>
          <w:rFonts w:ascii="Arial" w:hAnsi="Arial" w:cs="Arial"/>
          <w:iCs/>
          <w:sz w:val="26"/>
          <w:szCs w:val="26"/>
        </w:rPr>
        <w:t xml:space="preserve">Annexure “B” </w:t>
      </w:r>
      <w:r w:rsidR="006C185B" w:rsidRPr="006F28C9">
        <w:rPr>
          <w:rFonts w:ascii="Arial" w:hAnsi="Arial" w:cs="Arial"/>
          <w:bCs/>
          <w:iCs/>
          <w:sz w:val="26"/>
          <w:szCs w:val="26"/>
        </w:rPr>
        <w:t>is a valid credit agreement concluded electronically between the parties in compliance with Section 22(1) of the Electronic Communications Transactions Act, 25 of 2002.</w:t>
      </w:r>
      <w:r w:rsidR="006A19FC" w:rsidRPr="00473F4C">
        <w:rPr>
          <w:rStyle w:val="FootnoteReference"/>
          <w:rFonts w:ascii="Arial" w:hAnsi="Arial" w:cs="Arial"/>
          <w:bCs/>
          <w:iCs/>
          <w:sz w:val="26"/>
          <w:szCs w:val="26"/>
        </w:rPr>
        <w:footnoteReference w:id="8"/>
      </w:r>
      <w:r w:rsidR="006C185B" w:rsidRPr="006F28C9">
        <w:rPr>
          <w:rFonts w:ascii="Arial" w:hAnsi="Arial" w:cs="Arial"/>
          <w:bCs/>
          <w:iCs/>
          <w:sz w:val="26"/>
          <w:szCs w:val="26"/>
        </w:rPr>
        <w:t xml:space="preserve"> In the founding </w:t>
      </w:r>
      <w:r w:rsidR="00473F4C" w:rsidRPr="006F28C9">
        <w:rPr>
          <w:rFonts w:ascii="Arial" w:hAnsi="Arial" w:cs="Arial"/>
          <w:bCs/>
          <w:iCs/>
          <w:sz w:val="26"/>
          <w:szCs w:val="26"/>
        </w:rPr>
        <w:t>affidavit</w:t>
      </w:r>
      <w:r w:rsidR="006C185B" w:rsidRPr="006F28C9">
        <w:rPr>
          <w:rFonts w:ascii="Arial" w:hAnsi="Arial" w:cs="Arial"/>
          <w:bCs/>
          <w:iCs/>
          <w:sz w:val="26"/>
          <w:szCs w:val="26"/>
        </w:rPr>
        <w:t xml:space="preserve"> to this application the </w:t>
      </w:r>
      <w:r w:rsidR="00FB6D94" w:rsidRPr="006F28C9">
        <w:rPr>
          <w:rFonts w:ascii="Arial" w:hAnsi="Arial" w:cs="Arial"/>
          <w:bCs/>
          <w:iCs/>
          <w:sz w:val="26"/>
          <w:szCs w:val="26"/>
        </w:rPr>
        <w:t>deponent</w:t>
      </w:r>
      <w:r w:rsidR="006C185B" w:rsidRPr="006F28C9">
        <w:rPr>
          <w:rFonts w:ascii="Arial" w:hAnsi="Arial" w:cs="Arial"/>
          <w:bCs/>
          <w:iCs/>
          <w:sz w:val="26"/>
          <w:szCs w:val="26"/>
        </w:rPr>
        <w:t xml:space="preserve"> sets out in detail the process whereby an electronic agreement is concluded. As explained</w:t>
      </w:r>
      <w:r w:rsidR="00FB6D94" w:rsidRPr="006F28C9">
        <w:rPr>
          <w:rFonts w:ascii="Arial" w:hAnsi="Arial" w:cs="Arial"/>
          <w:bCs/>
          <w:iCs/>
          <w:sz w:val="26"/>
          <w:szCs w:val="26"/>
        </w:rPr>
        <w:t xml:space="preserve"> by him</w:t>
      </w:r>
      <w:r w:rsidR="006C185B" w:rsidRPr="006F28C9">
        <w:rPr>
          <w:rFonts w:ascii="Arial" w:hAnsi="Arial" w:cs="Arial"/>
          <w:bCs/>
          <w:iCs/>
          <w:sz w:val="26"/>
          <w:szCs w:val="26"/>
        </w:rPr>
        <w:t xml:space="preserve">, if the customer accepts the relevant terms and conditions on each page, the  customer’s acceptance of the relevant terms and conditions is imprinted with a watermark signature towards the middle of </w:t>
      </w:r>
      <w:r w:rsidR="00E64F8C" w:rsidRPr="006F28C9">
        <w:rPr>
          <w:rFonts w:ascii="Arial" w:hAnsi="Arial" w:cs="Arial"/>
          <w:bCs/>
          <w:iCs/>
          <w:sz w:val="26"/>
          <w:szCs w:val="26"/>
        </w:rPr>
        <w:t>the particular</w:t>
      </w:r>
      <w:r w:rsidR="006C185B" w:rsidRPr="006F28C9">
        <w:rPr>
          <w:rFonts w:ascii="Arial" w:hAnsi="Arial" w:cs="Arial"/>
          <w:bCs/>
          <w:iCs/>
          <w:sz w:val="26"/>
          <w:szCs w:val="26"/>
        </w:rPr>
        <w:t xml:space="preserve"> page. Annexure “B” clearly </w:t>
      </w:r>
      <w:r w:rsidR="006C185B" w:rsidRPr="006F28C9">
        <w:rPr>
          <w:rFonts w:ascii="Arial" w:hAnsi="Arial" w:cs="Arial"/>
          <w:iCs/>
          <w:sz w:val="26"/>
          <w:szCs w:val="26"/>
        </w:rPr>
        <w:t xml:space="preserve">contains a watermark signature imprinted on </w:t>
      </w:r>
      <w:r w:rsidR="00E64F8C" w:rsidRPr="006F28C9">
        <w:rPr>
          <w:rFonts w:ascii="Arial" w:hAnsi="Arial" w:cs="Arial"/>
          <w:iCs/>
          <w:sz w:val="26"/>
          <w:szCs w:val="26"/>
        </w:rPr>
        <w:t xml:space="preserve">each </w:t>
      </w:r>
      <w:r w:rsidR="00FB6D94" w:rsidRPr="006F28C9">
        <w:rPr>
          <w:rFonts w:ascii="Arial" w:hAnsi="Arial" w:cs="Arial"/>
          <w:iCs/>
          <w:sz w:val="26"/>
          <w:szCs w:val="26"/>
        </w:rPr>
        <w:t xml:space="preserve">page, </w:t>
      </w:r>
      <w:r w:rsidR="006C185B" w:rsidRPr="006F28C9">
        <w:rPr>
          <w:rFonts w:ascii="Arial" w:hAnsi="Arial" w:cs="Arial"/>
          <w:iCs/>
          <w:sz w:val="26"/>
          <w:szCs w:val="26"/>
        </w:rPr>
        <w:t>indicating the identity of the person who acted on behalf of the Defendant – in this case the name on the watermark is Thabang Moeng</w:t>
      </w:r>
      <w:r w:rsidR="00FB6D94" w:rsidRPr="006F28C9">
        <w:rPr>
          <w:rFonts w:ascii="Arial" w:hAnsi="Arial" w:cs="Arial"/>
          <w:iCs/>
          <w:sz w:val="26"/>
          <w:szCs w:val="26"/>
        </w:rPr>
        <w:t>,</w:t>
      </w:r>
      <w:r w:rsidR="006C185B" w:rsidRPr="006F28C9">
        <w:rPr>
          <w:rFonts w:ascii="Arial" w:hAnsi="Arial" w:cs="Arial"/>
          <w:iCs/>
          <w:sz w:val="26"/>
          <w:szCs w:val="26"/>
        </w:rPr>
        <w:t xml:space="preserve"> the CEO of the Defendant and the deponent to the </w:t>
      </w:r>
      <w:r w:rsidR="00E64F8C" w:rsidRPr="006F28C9">
        <w:rPr>
          <w:rFonts w:ascii="Arial" w:hAnsi="Arial" w:cs="Arial"/>
          <w:iCs/>
          <w:sz w:val="26"/>
          <w:szCs w:val="26"/>
        </w:rPr>
        <w:t xml:space="preserve">resisting </w:t>
      </w:r>
      <w:r w:rsidR="006C185B" w:rsidRPr="006F28C9">
        <w:rPr>
          <w:rFonts w:ascii="Arial" w:hAnsi="Arial" w:cs="Arial"/>
          <w:iCs/>
          <w:sz w:val="26"/>
          <w:szCs w:val="26"/>
        </w:rPr>
        <w:t>affidavit. For all intents and purposes it represents the signature of the person</w:t>
      </w:r>
      <w:r w:rsidR="00493C35" w:rsidRPr="006F28C9">
        <w:rPr>
          <w:rFonts w:ascii="Arial" w:hAnsi="Arial" w:cs="Arial"/>
          <w:iCs/>
          <w:sz w:val="26"/>
          <w:szCs w:val="26"/>
        </w:rPr>
        <w:t xml:space="preserve"> who entered </w:t>
      </w:r>
      <w:r w:rsidR="006C185B" w:rsidRPr="006F28C9">
        <w:rPr>
          <w:rFonts w:ascii="Arial" w:hAnsi="Arial" w:cs="Arial"/>
          <w:iCs/>
          <w:sz w:val="26"/>
          <w:szCs w:val="26"/>
        </w:rPr>
        <w:t xml:space="preserve">into the agreement. Clearly the proper process described in the founding affidavit was followed. It </w:t>
      </w:r>
      <w:r w:rsidR="00473F4C" w:rsidRPr="006F28C9">
        <w:rPr>
          <w:rFonts w:ascii="Arial" w:hAnsi="Arial" w:cs="Arial"/>
          <w:iCs/>
          <w:sz w:val="26"/>
          <w:szCs w:val="26"/>
        </w:rPr>
        <w:t xml:space="preserve">complies with </w:t>
      </w:r>
      <w:r w:rsidR="00493C35" w:rsidRPr="006F28C9">
        <w:rPr>
          <w:rFonts w:ascii="Arial" w:hAnsi="Arial" w:cs="Arial"/>
          <w:iCs/>
          <w:sz w:val="26"/>
          <w:szCs w:val="26"/>
        </w:rPr>
        <w:t>the Ele</w:t>
      </w:r>
      <w:r w:rsidR="006C185B" w:rsidRPr="006F28C9">
        <w:rPr>
          <w:rFonts w:ascii="Arial" w:hAnsi="Arial" w:cs="Arial"/>
          <w:iCs/>
          <w:sz w:val="26"/>
          <w:szCs w:val="26"/>
        </w:rPr>
        <w:t>c</w:t>
      </w:r>
      <w:r w:rsidR="00493C35" w:rsidRPr="006F28C9">
        <w:rPr>
          <w:rFonts w:ascii="Arial" w:hAnsi="Arial" w:cs="Arial"/>
          <w:iCs/>
          <w:sz w:val="26"/>
          <w:szCs w:val="26"/>
        </w:rPr>
        <w:t>tr</w:t>
      </w:r>
      <w:r w:rsidR="006C185B" w:rsidRPr="006F28C9">
        <w:rPr>
          <w:rFonts w:ascii="Arial" w:hAnsi="Arial" w:cs="Arial"/>
          <w:iCs/>
          <w:sz w:val="26"/>
          <w:szCs w:val="26"/>
        </w:rPr>
        <w:t xml:space="preserve">onic Communications and Transactions Act 25 of 2002. </w:t>
      </w:r>
    </w:p>
    <w:p w14:paraId="2D67FA01" w14:textId="77777777" w:rsidR="00473F4C" w:rsidRPr="00473F4C" w:rsidRDefault="00473F4C" w:rsidP="00473F4C">
      <w:pPr>
        <w:spacing w:line="360" w:lineRule="auto"/>
        <w:ind w:left="360"/>
        <w:jc w:val="both"/>
        <w:rPr>
          <w:rFonts w:ascii="Arial" w:hAnsi="Arial" w:cs="Arial"/>
          <w:iCs/>
          <w:sz w:val="26"/>
          <w:szCs w:val="26"/>
        </w:rPr>
      </w:pPr>
    </w:p>
    <w:p w14:paraId="0AF2860C" w14:textId="13F45BDA" w:rsidR="00182156" w:rsidRPr="006F28C9" w:rsidRDefault="006F28C9" w:rsidP="006F28C9">
      <w:pPr>
        <w:spacing w:line="360" w:lineRule="auto"/>
        <w:ind w:left="720" w:hanging="360"/>
        <w:jc w:val="both"/>
        <w:rPr>
          <w:rFonts w:ascii="Arial" w:hAnsi="Arial" w:cs="Arial"/>
          <w:iCs/>
          <w:sz w:val="26"/>
          <w:szCs w:val="26"/>
        </w:rPr>
      </w:pPr>
      <w:r>
        <w:rPr>
          <w:rFonts w:ascii="Arial" w:hAnsi="Arial" w:cs="Arial"/>
          <w:iCs/>
          <w:sz w:val="26"/>
          <w:szCs w:val="26"/>
        </w:rPr>
        <w:t>[25]</w:t>
      </w:r>
      <w:r>
        <w:rPr>
          <w:rFonts w:ascii="Arial" w:hAnsi="Arial" w:cs="Arial"/>
          <w:iCs/>
          <w:sz w:val="26"/>
          <w:szCs w:val="26"/>
        </w:rPr>
        <w:tab/>
      </w:r>
      <w:r w:rsidR="006C185B" w:rsidRPr="006F28C9">
        <w:rPr>
          <w:rFonts w:ascii="Arial" w:hAnsi="Arial" w:cs="Arial"/>
          <w:iCs/>
          <w:sz w:val="26"/>
          <w:szCs w:val="26"/>
        </w:rPr>
        <w:t xml:space="preserve">The </w:t>
      </w:r>
      <w:r w:rsidR="00F02A88" w:rsidRPr="006F28C9">
        <w:rPr>
          <w:rFonts w:ascii="Arial" w:hAnsi="Arial" w:cs="Arial"/>
          <w:iCs/>
          <w:sz w:val="26"/>
          <w:szCs w:val="26"/>
        </w:rPr>
        <w:t>D</w:t>
      </w:r>
      <w:r w:rsidR="006C185B" w:rsidRPr="006F28C9">
        <w:rPr>
          <w:rFonts w:ascii="Arial" w:hAnsi="Arial" w:cs="Arial"/>
          <w:iCs/>
          <w:sz w:val="26"/>
          <w:szCs w:val="26"/>
        </w:rPr>
        <w:t>efendant denies that the terms of the agreement between the parties are those enc</w:t>
      </w:r>
      <w:r w:rsidR="00E64F8C" w:rsidRPr="006F28C9">
        <w:rPr>
          <w:rFonts w:ascii="Arial" w:hAnsi="Arial" w:cs="Arial"/>
          <w:iCs/>
          <w:sz w:val="26"/>
          <w:szCs w:val="26"/>
        </w:rPr>
        <w:t>apsulated in Annexure B</w:t>
      </w:r>
      <w:r w:rsidR="006C185B" w:rsidRPr="006F28C9">
        <w:rPr>
          <w:rFonts w:ascii="Arial" w:hAnsi="Arial" w:cs="Arial"/>
          <w:iCs/>
          <w:sz w:val="26"/>
          <w:szCs w:val="26"/>
        </w:rPr>
        <w:t>. This is th</w:t>
      </w:r>
      <w:r w:rsidR="00F02A88" w:rsidRPr="006F28C9">
        <w:rPr>
          <w:rFonts w:ascii="Arial" w:hAnsi="Arial" w:cs="Arial"/>
          <w:iCs/>
          <w:sz w:val="26"/>
          <w:szCs w:val="26"/>
        </w:rPr>
        <w:t>e baldest of bald denials. The D</w:t>
      </w:r>
      <w:r w:rsidR="006C185B" w:rsidRPr="006F28C9">
        <w:rPr>
          <w:rFonts w:ascii="Arial" w:hAnsi="Arial" w:cs="Arial"/>
          <w:iCs/>
          <w:sz w:val="26"/>
          <w:szCs w:val="26"/>
        </w:rPr>
        <w:t>efendant admits to nothing, and dis</w:t>
      </w:r>
      <w:r w:rsidR="00F02A88" w:rsidRPr="006F28C9">
        <w:rPr>
          <w:rFonts w:ascii="Arial" w:hAnsi="Arial" w:cs="Arial"/>
          <w:iCs/>
          <w:sz w:val="26"/>
          <w:szCs w:val="26"/>
        </w:rPr>
        <w:t>putes everything. However, the D</w:t>
      </w:r>
      <w:r w:rsidR="006C185B" w:rsidRPr="006F28C9">
        <w:rPr>
          <w:rFonts w:ascii="Arial" w:hAnsi="Arial" w:cs="Arial"/>
          <w:iCs/>
          <w:sz w:val="26"/>
          <w:szCs w:val="26"/>
        </w:rPr>
        <w:t xml:space="preserve">efendant offers no </w:t>
      </w:r>
      <w:r w:rsidR="00E64F8C" w:rsidRPr="006F28C9">
        <w:rPr>
          <w:rFonts w:ascii="Arial" w:hAnsi="Arial" w:cs="Arial"/>
          <w:iCs/>
          <w:sz w:val="26"/>
          <w:szCs w:val="26"/>
        </w:rPr>
        <w:t xml:space="preserve">facts </w:t>
      </w:r>
      <w:r w:rsidR="006C185B" w:rsidRPr="006F28C9">
        <w:rPr>
          <w:rFonts w:ascii="Arial" w:hAnsi="Arial" w:cs="Arial"/>
          <w:iCs/>
          <w:sz w:val="26"/>
          <w:szCs w:val="26"/>
        </w:rPr>
        <w:t>in support of its denials.</w:t>
      </w:r>
      <w:r w:rsidR="00E64F8C" w:rsidRPr="006F28C9">
        <w:rPr>
          <w:rFonts w:ascii="Arial" w:hAnsi="Arial" w:cs="Arial"/>
          <w:iCs/>
          <w:sz w:val="26"/>
          <w:szCs w:val="26"/>
        </w:rPr>
        <w:t xml:space="preserve"> </w:t>
      </w:r>
    </w:p>
    <w:p w14:paraId="798EAC8C" w14:textId="77777777" w:rsidR="0066636B" w:rsidRPr="0066636B" w:rsidRDefault="0066636B" w:rsidP="0066636B">
      <w:pPr>
        <w:spacing w:line="360" w:lineRule="auto"/>
        <w:jc w:val="both"/>
        <w:rPr>
          <w:rFonts w:ascii="Arial" w:hAnsi="Arial" w:cs="Arial"/>
          <w:iCs/>
          <w:sz w:val="26"/>
          <w:szCs w:val="26"/>
        </w:rPr>
      </w:pPr>
    </w:p>
    <w:p w14:paraId="4316397B" w14:textId="2C07A8A7" w:rsidR="0066636B" w:rsidRPr="006F28C9" w:rsidRDefault="006F28C9" w:rsidP="006F28C9">
      <w:pPr>
        <w:spacing w:line="360" w:lineRule="auto"/>
        <w:ind w:left="720" w:hanging="360"/>
        <w:jc w:val="both"/>
        <w:rPr>
          <w:rFonts w:ascii="Arial" w:hAnsi="Arial" w:cs="Arial"/>
          <w:bCs/>
          <w:iCs/>
          <w:sz w:val="26"/>
          <w:szCs w:val="26"/>
        </w:rPr>
      </w:pPr>
      <w:r w:rsidRPr="0066636B">
        <w:rPr>
          <w:rFonts w:ascii="Arial" w:hAnsi="Arial" w:cs="Arial"/>
          <w:bCs/>
          <w:iCs/>
          <w:sz w:val="26"/>
          <w:szCs w:val="26"/>
        </w:rPr>
        <w:t>[26]</w:t>
      </w:r>
      <w:r w:rsidRPr="0066636B">
        <w:rPr>
          <w:rFonts w:ascii="Arial" w:hAnsi="Arial" w:cs="Arial"/>
          <w:bCs/>
          <w:iCs/>
          <w:sz w:val="26"/>
          <w:szCs w:val="26"/>
        </w:rPr>
        <w:tab/>
      </w:r>
      <w:r w:rsidR="004D6D4A" w:rsidRPr="006F28C9">
        <w:rPr>
          <w:rFonts w:ascii="Arial" w:hAnsi="Arial" w:cs="Arial"/>
          <w:iCs/>
          <w:sz w:val="26"/>
          <w:szCs w:val="26"/>
        </w:rPr>
        <w:t>A certificate of balance and a detailed statement are attached to the application papers. The certificate of balance sets out the customer</w:t>
      </w:r>
      <w:r w:rsidR="00CC34A0" w:rsidRPr="006F28C9">
        <w:rPr>
          <w:rFonts w:ascii="Arial" w:hAnsi="Arial" w:cs="Arial"/>
          <w:iCs/>
          <w:sz w:val="26"/>
          <w:szCs w:val="26"/>
        </w:rPr>
        <w:t>’s</w:t>
      </w:r>
      <w:r w:rsidR="004D6D4A" w:rsidRPr="006F28C9">
        <w:rPr>
          <w:rFonts w:ascii="Arial" w:hAnsi="Arial" w:cs="Arial"/>
          <w:iCs/>
          <w:sz w:val="26"/>
          <w:szCs w:val="26"/>
        </w:rPr>
        <w:t xml:space="preserve"> name, account number, amount in arrears, and the total amount outstanding on the agreement, as at the date of the certificate, which in the present case is 15 September 2020. It is signed by Allistair Samuels, who is the deponent to the founding affidavit. The statement reflects the customer</w:t>
      </w:r>
      <w:r w:rsidR="00CC34A0" w:rsidRPr="006F28C9">
        <w:rPr>
          <w:rFonts w:ascii="Arial" w:hAnsi="Arial" w:cs="Arial"/>
          <w:iCs/>
          <w:sz w:val="26"/>
          <w:szCs w:val="26"/>
        </w:rPr>
        <w:t xml:space="preserve">’s </w:t>
      </w:r>
      <w:r w:rsidR="004D6D4A" w:rsidRPr="006F28C9">
        <w:rPr>
          <w:rFonts w:ascii="Arial" w:hAnsi="Arial" w:cs="Arial"/>
          <w:iCs/>
          <w:sz w:val="26"/>
          <w:szCs w:val="26"/>
        </w:rPr>
        <w:t>name</w:t>
      </w:r>
      <w:r w:rsidR="00CC34A0" w:rsidRPr="006F28C9">
        <w:rPr>
          <w:rFonts w:ascii="Arial" w:hAnsi="Arial" w:cs="Arial"/>
          <w:iCs/>
          <w:sz w:val="26"/>
          <w:szCs w:val="26"/>
        </w:rPr>
        <w:t xml:space="preserve"> and </w:t>
      </w:r>
      <w:r w:rsidR="004D6D4A" w:rsidRPr="006F28C9">
        <w:rPr>
          <w:rFonts w:ascii="Arial" w:hAnsi="Arial" w:cs="Arial"/>
          <w:iCs/>
          <w:sz w:val="26"/>
          <w:szCs w:val="26"/>
        </w:rPr>
        <w:t>number, postal and physical addresses, description of the vehicle, normal instalment payable, contract balance, arrear amount, and a detailed record of payments.  According to the statement the last payment was received on 14 February 2020.</w:t>
      </w:r>
      <w:r w:rsidR="00C80C2A" w:rsidRPr="006F28C9">
        <w:rPr>
          <w:rFonts w:ascii="Arial" w:hAnsi="Arial" w:cs="Arial"/>
          <w:iCs/>
          <w:sz w:val="26"/>
          <w:szCs w:val="26"/>
        </w:rPr>
        <w:t xml:space="preserve"> </w:t>
      </w:r>
      <w:r w:rsidR="0066636B" w:rsidRPr="006F28C9">
        <w:rPr>
          <w:rFonts w:ascii="Arial" w:hAnsi="Arial" w:cs="Arial"/>
          <w:bCs/>
          <w:iCs/>
          <w:sz w:val="26"/>
          <w:szCs w:val="26"/>
        </w:rPr>
        <w:t>Accordi</w:t>
      </w:r>
      <w:r w:rsidR="00C80C2A" w:rsidRPr="006F28C9">
        <w:rPr>
          <w:rFonts w:ascii="Arial" w:hAnsi="Arial" w:cs="Arial"/>
          <w:bCs/>
          <w:iCs/>
          <w:sz w:val="26"/>
          <w:szCs w:val="26"/>
        </w:rPr>
        <w:t xml:space="preserve">ng to the Certificate of Balance, on 15 September 2020, the defendant </w:t>
      </w:r>
      <w:r w:rsidR="00CC34A0" w:rsidRPr="006F28C9">
        <w:rPr>
          <w:rFonts w:ascii="Arial" w:hAnsi="Arial" w:cs="Arial"/>
          <w:bCs/>
          <w:iCs/>
          <w:sz w:val="26"/>
          <w:szCs w:val="26"/>
        </w:rPr>
        <w:t xml:space="preserve">was </w:t>
      </w:r>
      <w:r w:rsidR="00C80C2A" w:rsidRPr="006F28C9">
        <w:rPr>
          <w:rFonts w:ascii="Arial" w:hAnsi="Arial" w:cs="Arial"/>
          <w:bCs/>
          <w:iCs/>
          <w:sz w:val="26"/>
          <w:szCs w:val="26"/>
        </w:rPr>
        <w:t>in arrears in the amount of R399 438.26.</w:t>
      </w:r>
    </w:p>
    <w:p w14:paraId="73F2C255" w14:textId="77777777" w:rsidR="0066636B" w:rsidRPr="00FA4765" w:rsidRDefault="0066636B" w:rsidP="0066636B">
      <w:pPr>
        <w:pStyle w:val="ListParagraph"/>
        <w:spacing w:line="360" w:lineRule="auto"/>
        <w:jc w:val="both"/>
        <w:rPr>
          <w:rFonts w:ascii="Arial" w:hAnsi="Arial" w:cs="Arial"/>
          <w:bCs/>
          <w:iCs/>
          <w:sz w:val="26"/>
          <w:szCs w:val="26"/>
        </w:rPr>
      </w:pPr>
    </w:p>
    <w:p w14:paraId="3E420F60" w14:textId="306F2D17" w:rsidR="0024025A" w:rsidRPr="006F28C9" w:rsidRDefault="006F28C9" w:rsidP="006F28C9">
      <w:pPr>
        <w:spacing w:line="360" w:lineRule="auto"/>
        <w:ind w:left="720" w:hanging="360"/>
        <w:jc w:val="both"/>
        <w:rPr>
          <w:rFonts w:ascii="Arial" w:hAnsi="Arial" w:cs="Arial"/>
          <w:iCs/>
          <w:sz w:val="26"/>
          <w:szCs w:val="26"/>
        </w:rPr>
      </w:pPr>
      <w:r w:rsidRPr="0066636B">
        <w:rPr>
          <w:rFonts w:ascii="Arial" w:hAnsi="Arial" w:cs="Arial"/>
          <w:iCs/>
          <w:sz w:val="26"/>
          <w:szCs w:val="26"/>
        </w:rPr>
        <w:t>[27]</w:t>
      </w:r>
      <w:r w:rsidRPr="0066636B">
        <w:rPr>
          <w:rFonts w:ascii="Arial" w:hAnsi="Arial" w:cs="Arial"/>
          <w:iCs/>
          <w:sz w:val="26"/>
          <w:szCs w:val="26"/>
        </w:rPr>
        <w:tab/>
      </w:r>
      <w:r w:rsidR="006C185B" w:rsidRPr="006F28C9">
        <w:rPr>
          <w:rFonts w:ascii="Arial" w:hAnsi="Arial" w:cs="Arial"/>
          <w:iCs/>
          <w:sz w:val="26"/>
          <w:szCs w:val="26"/>
        </w:rPr>
        <w:t>T</w:t>
      </w:r>
      <w:r w:rsidR="004D2713" w:rsidRPr="006F28C9">
        <w:rPr>
          <w:rFonts w:ascii="Arial" w:hAnsi="Arial" w:cs="Arial"/>
          <w:iCs/>
          <w:sz w:val="26"/>
          <w:szCs w:val="26"/>
        </w:rPr>
        <w:t xml:space="preserve">he </w:t>
      </w:r>
      <w:r w:rsidR="00CC34A0" w:rsidRPr="006F28C9">
        <w:rPr>
          <w:rFonts w:ascii="Arial" w:hAnsi="Arial" w:cs="Arial"/>
          <w:iCs/>
          <w:sz w:val="26"/>
          <w:szCs w:val="26"/>
        </w:rPr>
        <w:t>D</w:t>
      </w:r>
      <w:r w:rsidR="004D2713" w:rsidRPr="006F28C9">
        <w:rPr>
          <w:rFonts w:ascii="Arial" w:hAnsi="Arial" w:cs="Arial"/>
          <w:iCs/>
          <w:sz w:val="26"/>
          <w:szCs w:val="26"/>
        </w:rPr>
        <w:t xml:space="preserve">efendant </w:t>
      </w:r>
      <w:r w:rsidR="0024025A" w:rsidRPr="006F28C9">
        <w:rPr>
          <w:rFonts w:ascii="Arial" w:hAnsi="Arial" w:cs="Arial"/>
          <w:iCs/>
          <w:sz w:val="26"/>
          <w:szCs w:val="26"/>
        </w:rPr>
        <w:t>challenges</w:t>
      </w:r>
      <w:r w:rsidR="003815BB" w:rsidRPr="006F28C9">
        <w:rPr>
          <w:rFonts w:ascii="Arial" w:hAnsi="Arial" w:cs="Arial"/>
          <w:iCs/>
          <w:sz w:val="26"/>
          <w:szCs w:val="26"/>
        </w:rPr>
        <w:t xml:space="preserve"> the certificate of balance,</w:t>
      </w:r>
      <w:r w:rsidR="0024025A" w:rsidRPr="006F28C9">
        <w:rPr>
          <w:rFonts w:ascii="Arial" w:hAnsi="Arial" w:cs="Arial"/>
          <w:iCs/>
          <w:sz w:val="26"/>
          <w:szCs w:val="26"/>
        </w:rPr>
        <w:t xml:space="preserve"> the amount in arrears, </w:t>
      </w:r>
      <w:r w:rsidR="000B583D" w:rsidRPr="006F28C9">
        <w:rPr>
          <w:rFonts w:ascii="Arial" w:hAnsi="Arial" w:cs="Arial"/>
          <w:iCs/>
          <w:sz w:val="26"/>
          <w:szCs w:val="26"/>
        </w:rPr>
        <w:t xml:space="preserve">and </w:t>
      </w:r>
      <w:r w:rsidR="0024025A" w:rsidRPr="006F28C9">
        <w:rPr>
          <w:rFonts w:ascii="Arial" w:hAnsi="Arial" w:cs="Arial"/>
          <w:iCs/>
          <w:sz w:val="26"/>
          <w:szCs w:val="26"/>
        </w:rPr>
        <w:t>the balance due to the Plaintiff</w:t>
      </w:r>
      <w:r w:rsidR="006B4381" w:rsidRPr="006F28C9">
        <w:rPr>
          <w:rFonts w:ascii="Arial" w:hAnsi="Arial" w:cs="Arial"/>
          <w:iCs/>
          <w:sz w:val="26"/>
          <w:szCs w:val="26"/>
        </w:rPr>
        <w:t xml:space="preserve">; the </w:t>
      </w:r>
      <w:r w:rsidR="00CC34A0" w:rsidRPr="006F28C9">
        <w:rPr>
          <w:rFonts w:ascii="Arial" w:hAnsi="Arial" w:cs="Arial"/>
          <w:iCs/>
          <w:sz w:val="26"/>
          <w:szCs w:val="26"/>
        </w:rPr>
        <w:t>D</w:t>
      </w:r>
      <w:r w:rsidR="006B4381" w:rsidRPr="006F28C9">
        <w:rPr>
          <w:rFonts w:ascii="Arial" w:hAnsi="Arial" w:cs="Arial"/>
          <w:iCs/>
          <w:sz w:val="26"/>
          <w:szCs w:val="26"/>
        </w:rPr>
        <w:t xml:space="preserve">efendant </w:t>
      </w:r>
      <w:r w:rsidR="00A01945" w:rsidRPr="006F28C9">
        <w:rPr>
          <w:rFonts w:ascii="Arial" w:hAnsi="Arial" w:cs="Arial"/>
          <w:iCs/>
          <w:sz w:val="26"/>
          <w:szCs w:val="26"/>
        </w:rPr>
        <w:t>denies that it is indebted to the Plaintiff as alleged, alternatively</w:t>
      </w:r>
      <w:r w:rsidR="00F02A88" w:rsidRPr="006F28C9">
        <w:rPr>
          <w:rFonts w:ascii="Arial" w:hAnsi="Arial" w:cs="Arial"/>
          <w:iCs/>
          <w:sz w:val="26"/>
          <w:szCs w:val="26"/>
        </w:rPr>
        <w:t>, denies that it is indebted</w:t>
      </w:r>
      <w:r w:rsidR="00A01945" w:rsidRPr="006F28C9">
        <w:rPr>
          <w:rFonts w:ascii="Arial" w:hAnsi="Arial" w:cs="Arial"/>
          <w:iCs/>
          <w:sz w:val="26"/>
          <w:szCs w:val="26"/>
        </w:rPr>
        <w:t xml:space="preserve"> at all. </w:t>
      </w:r>
      <w:r w:rsidR="007D5F4C" w:rsidRPr="006F28C9">
        <w:rPr>
          <w:rFonts w:ascii="Arial" w:hAnsi="Arial" w:cs="Arial"/>
          <w:bCs/>
          <w:iCs/>
          <w:sz w:val="26"/>
          <w:szCs w:val="26"/>
        </w:rPr>
        <w:t xml:space="preserve">The </w:t>
      </w:r>
      <w:r w:rsidR="00CC34A0" w:rsidRPr="006F28C9">
        <w:rPr>
          <w:rFonts w:ascii="Arial" w:hAnsi="Arial" w:cs="Arial"/>
          <w:bCs/>
          <w:iCs/>
          <w:sz w:val="26"/>
          <w:szCs w:val="26"/>
        </w:rPr>
        <w:t>D</w:t>
      </w:r>
      <w:r w:rsidR="007D5F4C" w:rsidRPr="006F28C9">
        <w:rPr>
          <w:rFonts w:ascii="Arial" w:hAnsi="Arial" w:cs="Arial"/>
          <w:bCs/>
          <w:iCs/>
          <w:sz w:val="26"/>
          <w:szCs w:val="26"/>
        </w:rPr>
        <w:t>efendant a</w:t>
      </w:r>
      <w:r w:rsidR="00305124" w:rsidRPr="006F28C9">
        <w:rPr>
          <w:rFonts w:ascii="Arial" w:hAnsi="Arial" w:cs="Arial"/>
          <w:bCs/>
          <w:iCs/>
          <w:sz w:val="26"/>
          <w:szCs w:val="26"/>
        </w:rPr>
        <w:t xml:space="preserve">vers that the calculations are wrong and misleading, </w:t>
      </w:r>
      <w:r w:rsidR="007D5F4C" w:rsidRPr="006F28C9">
        <w:rPr>
          <w:rFonts w:ascii="Arial" w:hAnsi="Arial" w:cs="Arial"/>
          <w:bCs/>
          <w:iCs/>
          <w:sz w:val="26"/>
          <w:szCs w:val="26"/>
        </w:rPr>
        <w:t xml:space="preserve">and that </w:t>
      </w:r>
      <w:r w:rsidR="00305124" w:rsidRPr="006F28C9">
        <w:rPr>
          <w:rFonts w:ascii="Arial" w:hAnsi="Arial" w:cs="Arial"/>
          <w:bCs/>
          <w:iCs/>
          <w:sz w:val="26"/>
          <w:szCs w:val="26"/>
        </w:rPr>
        <w:t xml:space="preserve">the </w:t>
      </w:r>
      <w:r w:rsidR="00CC34A0" w:rsidRPr="006F28C9">
        <w:rPr>
          <w:rFonts w:ascii="Arial" w:hAnsi="Arial" w:cs="Arial"/>
          <w:bCs/>
          <w:iCs/>
          <w:sz w:val="26"/>
          <w:szCs w:val="26"/>
        </w:rPr>
        <w:t>P</w:t>
      </w:r>
      <w:r w:rsidR="00305124" w:rsidRPr="006F28C9">
        <w:rPr>
          <w:rFonts w:ascii="Arial" w:hAnsi="Arial" w:cs="Arial"/>
          <w:bCs/>
          <w:iCs/>
          <w:sz w:val="26"/>
          <w:szCs w:val="26"/>
        </w:rPr>
        <w:t xml:space="preserve">laintiff is unable to show </w:t>
      </w:r>
      <w:r w:rsidR="007D5F4C" w:rsidRPr="006F28C9">
        <w:rPr>
          <w:rFonts w:ascii="Arial" w:hAnsi="Arial" w:cs="Arial"/>
          <w:bCs/>
          <w:iCs/>
          <w:sz w:val="26"/>
          <w:szCs w:val="26"/>
        </w:rPr>
        <w:t>what</w:t>
      </w:r>
      <w:r w:rsidR="00305124" w:rsidRPr="006F28C9">
        <w:rPr>
          <w:rFonts w:ascii="Arial" w:hAnsi="Arial" w:cs="Arial"/>
          <w:bCs/>
          <w:iCs/>
          <w:sz w:val="26"/>
          <w:szCs w:val="26"/>
        </w:rPr>
        <w:t xml:space="preserve"> the rate of interest is. </w:t>
      </w:r>
      <w:r w:rsidR="00856E25" w:rsidRPr="006F28C9">
        <w:rPr>
          <w:rFonts w:ascii="Arial" w:hAnsi="Arial" w:cs="Arial"/>
          <w:bCs/>
          <w:iCs/>
          <w:sz w:val="26"/>
          <w:szCs w:val="26"/>
        </w:rPr>
        <w:t>However, t</w:t>
      </w:r>
      <w:r w:rsidR="00CC34A0" w:rsidRPr="006F28C9">
        <w:rPr>
          <w:rFonts w:ascii="Arial" w:hAnsi="Arial" w:cs="Arial"/>
          <w:bCs/>
          <w:iCs/>
          <w:sz w:val="26"/>
          <w:szCs w:val="26"/>
        </w:rPr>
        <w:t xml:space="preserve">he Defendant </w:t>
      </w:r>
      <w:r w:rsidR="008511E4" w:rsidRPr="006F28C9">
        <w:rPr>
          <w:rFonts w:ascii="Arial" w:hAnsi="Arial" w:cs="Arial"/>
          <w:bCs/>
          <w:iCs/>
          <w:sz w:val="26"/>
          <w:szCs w:val="26"/>
        </w:rPr>
        <w:t>provides</w:t>
      </w:r>
      <w:r w:rsidR="00CC34A0" w:rsidRPr="006F28C9">
        <w:rPr>
          <w:rFonts w:ascii="Arial" w:hAnsi="Arial" w:cs="Arial"/>
          <w:bCs/>
          <w:iCs/>
          <w:sz w:val="26"/>
          <w:szCs w:val="26"/>
        </w:rPr>
        <w:t xml:space="preserve"> no material f</w:t>
      </w:r>
      <w:r w:rsidR="008511E4" w:rsidRPr="006F28C9">
        <w:rPr>
          <w:rFonts w:ascii="Arial" w:hAnsi="Arial" w:cs="Arial"/>
          <w:bCs/>
          <w:iCs/>
          <w:sz w:val="26"/>
          <w:szCs w:val="26"/>
        </w:rPr>
        <w:t xml:space="preserve">acts in support of its defence. </w:t>
      </w:r>
      <w:r w:rsidR="00305124" w:rsidRPr="006F28C9">
        <w:rPr>
          <w:rFonts w:ascii="Arial" w:hAnsi="Arial" w:cs="Arial"/>
          <w:iCs/>
          <w:sz w:val="26"/>
          <w:szCs w:val="26"/>
        </w:rPr>
        <w:t xml:space="preserve">In the </w:t>
      </w:r>
      <w:r w:rsidR="00856E25" w:rsidRPr="006F28C9">
        <w:rPr>
          <w:rFonts w:ascii="Arial" w:hAnsi="Arial" w:cs="Arial"/>
          <w:iCs/>
          <w:sz w:val="26"/>
          <w:szCs w:val="26"/>
        </w:rPr>
        <w:t xml:space="preserve">answering </w:t>
      </w:r>
      <w:r w:rsidR="00305124" w:rsidRPr="006F28C9">
        <w:rPr>
          <w:rFonts w:ascii="Arial" w:hAnsi="Arial" w:cs="Arial"/>
          <w:iCs/>
          <w:sz w:val="26"/>
          <w:szCs w:val="26"/>
        </w:rPr>
        <w:t>affidavi</w:t>
      </w:r>
      <w:r w:rsidR="00856E25" w:rsidRPr="006F28C9">
        <w:rPr>
          <w:rFonts w:ascii="Arial" w:hAnsi="Arial" w:cs="Arial"/>
          <w:iCs/>
          <w:sz w:val="26"/>
          <w:szCs w:val="26"/>
        </w:rPr>
        <w:t>t</w:t>
      </w:r>
      <w:r w:rsidR="00305124" w:rsidRPr="006F28C9">
        <w:rPr>
          <w:rFonts w:ascii="Arial" w:hAnsi="Arial" w:cs="Arial"/>
          <w:iCs/>
          <w:sz w:val="26"/>
          <w:szCs w:val="26"/>
        </w:rPr>
        <w:t xml:space="preserve"> the </w:t>
      </w:r>
      <w:r w:rsidR="00CC34A0" w:rsidRPr="006F28C9">
        <w:rPr>
          <w:rFonts w:ascii="Arial" w:hAnsi="Arial" w:cs="Arial"/>
          <w:iCs/>
          <w:sz w:val="26"/>
          <w:szCs w:val="26"/>
        </w:rPr>
        <w:t>D</w:t>
      </w:r>
      <w:r w:rsidR="00305124" w:rsidRPr="006F28C9">
        <w:rPr>
          <w:rFonts w:ascii="Arial" w:hAnsi="Arial" w:cs="Arial"/>
          <w:iCs/>
          <w:sz w:val="26"/>
          <w:szCs w:val="26"/>
        </w:rPr>
        <w:t>efendant claims not</w:t>
      </w:r>
      <w:r w:rsidR="00A30361" w:rsidRPr="006F28C9">
        <w:rPr>
          <w:rFonts w:ascii="Arial" w:hAnsi="Arial" w:cs="Arial"/>
          <w:iCs/>
          <w:sz w:val="26"/>
          <w:szCs w:val="26"/>
        </w:rPr>
        <w:t xml:space="preserve"> </w:t>
      </w:r>
      <w:r w:rsidR="008511E4" w:rsidRPr="006F28C9">
        <w:rPr>
          <w:rFonts w:ascii="Arial" w:hAnsi="Arial" w:cs="Arial"/>
          <w:iCs/>
          <w:sz w:val="26"/>
          <w:szCs w:val="26"/>
        </w:rPr>
        <w:t xml:space="preserve">to </w:t>
      </w:r>
      <w:r w:rsidR="00A30361" w:rsidRPr="006F28C9">
        <w:rPr>
          <w:rFonts w:ascii="Arial" w:hAnsi="Arial" w:cs="Arial"/>
          <w:iCs/>
          <w:sz w:val="26"/>
          <w:szCs w:val="26"/>
        </w:rPr>
        <w:t xml:space="preserve">be </w:t>
      </w:r>
      <w:r w:rsidR="00305238" w:rsidRPr="006F28C9">
        <w:rPr>
          <w:rFonts w:ascii="Arial" w:hAnsi="Arial" w:cs="Arial"/>
          <w:iCs/>
          <w:sz w:val="26"/>
          <w:szCs w:val="26"/>
        </w:rPr>
        <w:t>able</w:t>
      </w:r>
      <w:r w:rsidR="00A30361" w:rsidRPr="006F28C9">
        <w:rPr>
          <w:rFonts w:ascii="Arial" w:hAnsi="Arial" w:cs="Arial"/>
          <w:iCs/>
          <w:sz w:val="26"/>
          <w:szCs w:val="26"/>
        </w:rPr>
        <w:t xml:space="preserve"> to attach any</w:t>
      </w:r>
      <w:r w:rsidR="00A205EE" w:rsidRPr="006F28C9">
        <w:rPr>
          <w:rFonts w:ascii="Arial" w:hAnsi="Arial" w:cs="Arial"/>
          <w:iCs/>
          <w:sz w:val="26"/>
          <w:szCs w:val="26"/>
        </w:rPr>
        <w:t xml:space="preserve"> documentation </w:t>
      </w:r>
      <w:r w:rsidR="00A30361" w:rsidRPr="006F28C9">
        <w:rPr>
          <w:rFonts w:ascii="Arial" w:hAnsi="Arial" w:cs="Arial"/>
          <w:iCs/>
          <w:sz w:val="26"/>
          <w:szCs w:val="26"/>
        </w:rPr>
        <w:t>to support its version. It claims not to have had</w:t>
      </w:r>
      <w:r w:rsidR="00305124" w:rsidRPr="006F28C9">
        <w:rPr>
          <w:rFonts w:ascii="Arial" w:hAnsi="Arial" w:cs="Arial"/>
          <w:iCs/>
          <w:sz w:val="26"/>
          <w:szCs w:val="26"/>
        </w:rPr>
        <w:t xml:space="preserve"> sufficient time to </w:t>
      </w:r>
      <w:r w:rsidR="00A30361" w:rsidRPr="006F28C9">
        <w:rPr>
          <w:rFonts w:ascii="Arial" w:hAnsi="Arial" w:cs="Arial"/>
          <w:iCs/>
          <w:sz w:val="26"/>
          <w:szCs w:val="26"/>
        </w:rPr>
        <w:t xml:space="preserve">obtain bank statements, </w:t>
      </w:r>
      <w:r w:rsidR="00476D96" w:rsidRPr="006F28C9">
        <w:rPr>
          <w:rFonts w:ascii="Arial" w:hAnsi="Arial" w:cs="Arial"/>
          <w:iCs/>
          <w:sz w:val="26"/>
          <w:szCs w:val="26"/>
        </w:rPr>
        <w:t>and that the court is therefore faced with two different versions that requi</w:t>
      </w:r>
      <w:r w:rsidR="00A30361" w:rsidRPr="006F28C9">
        <w:rPr>
          <w:rFonts w:ascii="Arial" w:hAnsi="Arial" w:cs="Arial"/>
          <w:iCs/>
          <w:sz w:val="26"/>
          <w:szCs w:val="26"/>
        </w:rPr>
        <w:t>r</w:t>
      </w:r>
      <w:r w:rsidR="000B583D" w:rsidRPr="006F28C9">
        <w:rPr>
          <w:rFonts w:ascii="Arial" w:hAnsi="Arial" w:cs="Arial"/>
          <w:iCs/>
          <w:sz w:val="26"/>
          <w:szCs w:val="26"/>
        </w:rPr>
        <w:t>e</w:t>
      </w:r>
      <w:r w:rsidR="00476D96" w:rsidRPr="006F28C9">
        <w:rPr>
          <w:rFonts w:ascii="Arial" w:hAnsi="Arial" w:cs="Arial"/>
          <w:iCs/>
          <w:sz w:val="26"/>
          <w:szCs w:val="26"/>
        </w:rPr>
        <w:t xml:space="preserve"> the matter to be referred to trial. </w:t>
      </w:r>
      <w:r w:rsidR="00305124" w:rsidRPr="006F28C9">
        <w:rPr>
          <w:rFonts w:ascii="Arial" w:hAnsi="Arial" w:cs="Arial"/>
          <w:iCs/>
          <w:sz w:val="26"/>
          <w:szCs w:val="26"/>
        </w:rPr>
        <w:t>With re</w:t>
      </w:r>
      <w:r w:rsidR="00A30361" w:rsidRPr="006F28C9">
        <w:rPr>
          <w:rFonts w:ascii="Arial" w:hAnsi="Arial" w:cs="Arial"/>
          <w:iCs/>
          <w:sz w:val="26"/>
          <w:szCs w:val="26"/>
        </w:rPr>
        <w:t>spect, this is a feeble excuse.</w:t>
      </w:r>
      <w:r w:rsidR="004D6D4A" w:rsidRPr="006F28C9">
        <w:rPr>
          <w:rFonts w:ascii="Arial" w:hAnsi="Arial" w:cs="Arial"/>
          <w:bCs/>
          <w:iCs/>
          <w:sz w:val="26"/>
          <w:szCs w:val="26"/>
        </w:rPr>
        <w:t xml:space="preserve"> </w:t>
      </w:r>
      <w:r w:rsidR="008511E4" w:rsidRPr="006F28C9">
        <w:rPr>
          <w:rFonts w:ascii="Arial" w:hAnsi="Arial" w:cs="Arial"/>
          <w:bCs/>
          <w:iCs/>
          <w:sz w:val="26"/>
          <w:szCs w:val="26"/>
        </w:rPr>
        <w:t>D</w:t>
      </w:r>
      <w:r w:rsidR="004D6D4A" w:rsidRPr="006F28C9">
        <w:rPr>
          <w:rFonts w:ascii="Arial" w:hAnsi="Arial" w:cs="Arial"/>
          <w:bCs/>
          <w:iCs/>
          <w:sz w:val="26"/>
          <w:szCs w:val="26"/>
        </w:rPr>
        <w:t xml:space="preserve">efendant </w:t>
      </w:r>
      <w:r w:rsidR="008511E4" w:rsidRPr="006F28C9">
        <w:rPr>
          <w:rFonts w:ascii="Arial" w:hAnsi="Arial" w:cs="Arial"/>
          <w:bCs/>
          <w:iCs/>
          <w:sz w:val="26"/>
          <w:szCs w:val="26"/>
        </w:rPr>
        <w:t xml:space="preserve">could, for example, have </w:t>
      </w:r>
      <w:r w:rsidR="004D6D4A" w:rsidRPr="006F28C9">
        <w:rPr>
          <w:rFonts w:ascii="Arial" w:hAnsi="Arial" w:cs="Arial"/>
          <w:bCs/>
          <w:iCs/>
          <w:sz w:val="26"/>
          <w:szCs w:val="26"/>
        </w:rPr>
        <w:t>attach</w:t>
      </w:r>
      <w:r w:rsidR="008511E4" w:rsidRPr="006F28C9">
        <w:rPr>
          <w:rFonts w:ascii="Arial" w:hAnsi="Arial" w:cs="Arial"/>
          <w:bCs/>
          <w:iCs/>
          <w:sz w:val="26"/>
          <w:szCs w:val="26"/>
        </w:rPr>
        <w:t>ed</w:t>
      </w:r>
      <w:r w:rsidR="004D6D4A" w:rsidRPr="006F28C9">
        <w:rPr>
          <w:rFonts w:ascii="Arial" w:hAnsi="Arial" w:cs="Arial"/>
          <w:bCs/>
          <w:iCs/>
          <w:sz w:val="26"/>
          <w:szCs w:val="26"/>
        </w:rPr>
        <w:t xml:space="preserve"> some proof of </w:t>
      </w:r>
      <w:r w:rsidR="008511E4" w:rsidRPr="006F28C9">
        <w:rPr>
          <w:rFonts w:ascii="Arial" w:hAnsi="Arial" w:cs="Arial"/>
          <w:bCs/>
          <w:iCs/>
          <w:sz w:val="26"/>
          <w:szCs w:val="26"/>
        </w:rPr>
        <w:t xml:space="preserve">payment </w:t>
      </w:r>
      <w:r w:rsidR="004D6D4A" w:rsidRPr="006F28C9">
        <w:rPr>
          <w:rFonts w:ascii="Arial" w:hAnsi="Arial" w:cs="Arial"/>
          <w:bCs/>
          <w:iCs/>
          <w:sz w:val="26"/>
          <w:szCs w:val="26"/>
        </w:rPr>
        <w:t xml:space="preserve">to </w:t>
      </w:r>
      <w:r w:rsidR="00F02A88" w:rsidRPr="006F28C9">
        <w:rPr>
          <w:rFonts w:ascii="Arial" w:hAnsi="Arial" w:cs="Arial"/>
          <w:bCs/>
          <w:iCs/>
          <w:sz w:val="26"/>
          <w:szCs w:val="26"/>
        </w:rPr>
        <w:t>bolster</w:t>
      </w:r>
      <w:r w:rsidR="004D6D4A" w:rsidRPr="006F28C9">
        <w:rPr>
          <w:rFonts w:ascii="Arial" w:hAnsi="Arial" w:cs="Arial"/>
          <w:bCs/>
          <w:iCs/>
          <w:sz w:val="26"/>
          <w:szCs w:val="26"/>
        </w:rPr>
        <w:t xml:space="preserve"> its version.</w:t>
      </w:r>
      <w:r w:rsidR="00C80C2A" w:rsidRPr="006F28C9">
        <w:rPr>
          <w:rFonts w:ascii="Arial" w:hAnsi="Arial" w:cs="Arial"/>
          <w:bCs/>
          <w:iCs/>
          <w:sz w:val="26"/>
          <w:szCs w:val="26"/>
        </w:rPr>
        <w:t xml:space="preserve"> </w:t>
      </w:r>
      <w:r w:rsidR="008511E4" w:rsidRPr="006F28C9">
        <w:rPr>
          <w:rFonts w:ascii="Arial" w:hAnsi="Arial" w:cs="Arial"/>
          <w:bCs/>
          <w:iCs/>
          <w:sz w:val="26"/>
          <w:szCs w:val="26"/>
        </w:rPr>
        <w:t xml:space="preserve">It simply cannot be that the Defendant has no records available to provide at least some factual support for its defence. </w:t>
      </w:r>
      <w:r w:rsidR="00C80C2A" w:rsidRPr="006F28C9">
        <w:rPr>
          <w:rFonts w:ascii="Arial" w:hAnsi="Arial" w:cs="Arial"/>
          <w:bCs/>
          <w:iCs/>
          <w:sz w:val="26"/>
          <w:szCs w:val="26"/>
        </w:rPr>
        <w:t>The onus to prove payment lies on the party who claims that payment was made.</w:t>
      </w:r>
      <w:r w:rsidR="00C80C2A" w:rsidRPr="00FA4765">
        <w:rPr>
          <w:rStyle w:val="FootnoteReference"/>
          <w:rFonts w:ascii="Arial" w:hAnsi="Arial" w:cs="Arial"/>
          <w:bCs/>
          <w:iCs/>
          <w:sz w:val="26"/>
          <w:szCs w:val="26"/>
        </w:rPr>
        <w:footnoteReference w:id="9"/>
      </w:r>
    </w:p>
    <w:p w14:paraId="1216095D" w14:textId="77777777" w:rsidR="0066636B" w:rsidRPr="0066636B" w:rsidRDefault="0066636B" w:rsidP="0066636B">
      <w:pPr>
        <w:spacing w:line="360" w:lineRule="auto"/>
        <w:jc w:val="both"/>
        <w:rPr>
          <w:rFonts w:ascii="Arial" w:hAnsi="Arial" w:cs="Arial"/>
          <w:iCs/>
          <w:sz w:val="26"/>
          <w:szCs w:val="26"/>
        </w:rPr>
      </w:pPr>
    </w:p>
    <w:p w14:paraId="052CDD73" w14:textId="0BA760F4" w:rsidR="00A205EE" w:rsidRPr="006F28C9" w:rsidRDefault="006F28C9" w:rsidP="006F28C9">
      <w:pPr>
        <w:spacing w:line="360" w:lineRule="auto"/>
        <w:ind w:left="720" w:hanging="360"/>
        <w:jc w:val="both"/>
        <w:rPr>
          <w:rFonts w:ascii="Arial" w:hAnsi="Arial" w:cs="Arial"/>
          <w:bCs/>
          <w:iCs/>
          <w:sz w:val="26"/>
          <w:szCs w:val="26"/>
        </w:rPr>
      </w:pPr>
      <w:r w:rsidRPr="003640C3">
        <w:rPr>
          <w:rFonts w:ascii="Arial" w:hAnsi="Arial" w:cs="Arial"/>
          <w:bCs/>
          <w:iCs/>
          <w:sz w:val="26"/>
          <w:szCs w:val="26"/>
        </w:rPr>
        <w:t>[28]</w:t>
      </w:r>
      <w:r w:rsidRPr="003640C3">
        <w:rPr>
          <w:rFonts w:ascii="Arial" w:hAnsi="Arial" w:cs="Arial"/>
          <w:bCs/>
          <w:iCs/>
          <w:sz w:val="26"/>
          <w:szCs w:val="26"/>
        </w:rPr>
        <w:tab/>
      </w:r>
      <w:r w:rsidR="004D6D4A" w:rsidRPr="006F28C9">
        <w:rPr>
          <w:rFonts w:ascii="Arial" w:hAnsi="Arial" w:cs="Arial"/>
          <w:iCs/>
          <w:sz w:val="26"/>
          <w:szCs w:val="26"/>
        </w:rPr>
        <w:t>T</w:t>
      </w:r>
      <w:r w:rsidR="00D64000" w:rsidRPr="006F28C9">
        <w:rPr>
          <w:rFonts w:ascii="Arial" w:hAnsi="Arial" w:cs="Arial"/>
          <w:iCs/>
          <w:sz w:val="26"/>
          <w:szCs w:val="26"/>
        </w:rPr>
        <w:t>he D</w:t>
      </w:r>
      <w:r w:rsidR="004D6D4A" w:rsidRPr="006F28C9">
        <w:rPr>
          <w:rFonts w:ascii="Arial" w:hAnsi="Arial" w:cs="Arial"/>
          <w:iCs/>
          <w:sz w:val="26"/>
          <w:szCs w:val="26"/>
        </w:rPr>
        <w:t>efendant</w:t>
      </w:r>
      <w:r w:rsidR="00D64000" w:rsidRPr="006F28C9">
        <w:rPr>
          <w:rFonts w:ascii="Arial" w:hAnsi="Arial" w:cs="Arial"/>
          <w:iCs/>
          <w:sz w:val="26"/>
          <w:szCs w:val="26"/>
        </w:rPr>
        <w:t xml:space="preserve"> </w:t>
      </w:r>
      <w:r w:rsidR="00A205EE" w:rsidRPr="006F28C9">
        <w:rPr>
          <w:rFonts w:ascii="Arial" w:hAnsi="Arial" w:cs="Arial"/>
          <w:iCs/>
          <w:sz w:val="26"/>
          <w:szCs w:val="26"/>
        </w:rPr>
        <w:t>submits that no certificate of balance was attached to the particulars of claim</w:t>
      </w:r>
      <w:r w:rsidR="004D6D4A" w:rsidRPr="006F28C9">
        <w:rPr>
          <w:rFonts w:ascii="Arial" w:hAnsi="Arial" w:cs="Arial"/>
          <w:iCs/>
          <w:sz w:val="26"/>
          <w:szCs w:val="26"/>
        </w:rPr>
        <w:t>, and that the certificate of balance is</w:t>
      </w:r>
      <w:r w:rsidR="00D64000" w:rsidRPr="006F28C9">
        <w:rPr>
          <w:rFonts w:ascii="Arial" w:hAnsi="Arial" w:cs="Arial"/>
          <w:iCs/>
          <w:sz w:val="26"/>
          <w:szCs w:val="26"/>
        </w:rPr>
        <w:t xml:space="preserve"> in any event</w:t>
      </w:r>
      <w:r w:rsidR="004D6D4A" w:rsidRPr="006F28C9">
        <w:rPr>
          <w:rFonts w:ascii="Arial" w:hAnsi="Arial" w:cs="Arial"/>
          <w:iCs/>
          <w:sz w:val="26"/>
          <w:szCs w:val="26"/>
        </w:rPr>
        <w:t xml:space="preserve"> inadmissible</w:t>
      </w:r>
      <w:r w:rsidR="00A205EE" w:rsidRPr="006F28C9">
        <w:rPr>
          <w:rFonts w:ascii="Arial" w:hAnsi="Arial" w:cs="Arial"/>
          <w:iCs/>
          <w:sz w:val="26"/>
          <w:szCs w:val="26"/>
        </w:rPr>
        <w:t xml:space="preserve">. </w:t>
      </w:r>
      <w:r w:rsidR="004D6D4A" w:rsidRPr="006F28C9">
        <w:rPr>
          <w:rFonts w:ascii="Arial" w:hAnsi="Arial" w:cs="Arial"/>
          <w:iCs/>
          <w:sz w:val="26"/>
          <w:szCs w:val="26"/>
        </w:rPr>
        <w:t>The defendant relies on</w:t>
      </w:r>
      <w:r w:rsidR="00D64000" w:rsidRPr="006F28C9">
        <w:rPr>
          <w:rFonts w:ascii="Arial" w:hAnsi="Arial" w:cs="Arial"/>
          <w:iCs/>
          <w:sz w:val="26"/>
          <w:szCs w:val="26"/>
        </w:rPr>
        <w:t xml:space="preserve"> </w:t>
      </w:r>
      <w:r w:rsidR="00A205EE" w:rsidRPr="006F28C9">
        <w:rPr>
          <w:rFonts w:ascii="Arial" w:hAnsi="Arial" w:cs="Arial"/>
          <w:i/>
          <w:iCs/>
          <w:sz w:val="26"/>
          <w:szCs w:val="26"/>
        </w:rPr>
        <w:t>Thrupp Investment Holdings Pty Lid v Goldrick</w:t>
      </w:r>
      <w:r w:rsidR="00A205EE" w:rsidRPr="006F28C9">
        <w:rPr>
          <w:rFonts w:ascii="Arial" w:hAnsi="Arial" w:cs="Arial"/>
          <w:iCs/>
          <w:sz w:val="26"/>
          <w:szCs w:val="26"/>
        </w:rPr>
        <w:t xml:space="preserve"> </w:t>
      </w:r>
      <w:r w:rsidR="004D6D4A" w:rsidRPr="006F28C9">
        <w:rPr>
          <w:rFonts w:ascii="Arial" w:hAnsi="Arial" w:cs="Arial"/>
          <w:iCs/>
          <w:sz w:val="26"/>
          <w:szCs w:val="26"/>
        </w:rPr>
        <w:t xml:space="preserve">as authority </w:t>
      </w:r>
      <w:r w:rsidR="00A205EE" w:rsidRPr="006F28C9">
        <w:rPr>
          <w:rFonts w:ascii="Arial" w:hAnsi="Arial" w:cs="Arial"/>
          <w:iCs/>
          <w:sz w:val="26"/>
          <w:szCs w:val="26"/>
        </w:rPr>
        <w:t>that a certificate of balance is merely an evidentiary tool which does not establish liability.</w:t>
      </w:r>
      <w:r w:rsidR="00A205EE" w:rsidRPr="00FA4765">
        <w:rPr>
          <w:rStyle w:val="FootnoteReference"/>
          <w:rFonts w:ascii="Arial" w:hAnsi="Arial" w:cs="Arial"/>
          <w:iCs/>
          <w:sz w:val="26"/>
          <w:szCs w:val="26"/>
        </w:rPr>
        <w:footnoteReference w:id="10"/>
      </w:r>
      <w:r w:rsidR="00D64000" w:rsidRPr="006F28C9">
        <w:rPr>
          <w:rFonts w:ascii="Arial" w:hAnsi="Arial" w:cs="Arial"/>
          <w:iCs/>
          <w:sz w:val="26"/>
          <w:szCs w:val="26"/>
        </w:rPr>
        <w:t xml:space="preserve"> </w:t>
      </w:r>
      <w:r w:rsidR="00305238" w:rsidRPr="006F28C9">
        <w:rPr>
          <w:rFonts w:ascii="Arial" w:hAnsi="Arial" w:cs="Arial"/>
          <w:iCs/>
          <w:sz w:val="26"/>
          <w:szCs w:val="26"/>
        </w:rPr>
        <w:t>T</w:t>
      </w:r>
      <w:r w:rsidR="003640C3" w:rsidRPr="006F28C9">
        <w:rPr>
          <w:rFonts w:ascii="Arial" w:hAnsi="Arial" w:cs="Arial"/>
          <w:iCs/>
          <w:sz w:val="26"/>
          <w:szCs w:val="26"/>
        </w:rPr>
        <w:t xml:space="preserve">he following excerpt from the judgment of Maya JA (as she then was) </w:t>
      </w:r>
      <w:r w:rsidR="003935CE" w:rsidRPr="006F28C9">
        <w:rPr>
          <w:rFonts w:ascii="Arial" w:hAnsi="Arial" w:cs="Arial"/>
          <w:iCs/>
          <w:sz w:val="26"/>
          <w:szCs w:val="26"/>
        </w:rPr>
        <w:t>in</w:t>
      </w:r>
      <w:r w:rsidR="003935CE" w:rsidRPr="006F28C9">
        <w:rPr>
          <w:rFonts w:ascii="Arial" w:hAnsi="Arial" w:cs="Arial"/>
          <w:i/>
          <w:sz w:val="26"/>
          <w:szCs w:val="26"/>
        </w:rPr>
        <w:t xml:space="preserve"> Rossouw</w:t>
      </w:r>
      <w:r w:rsidR="003640C3" w:rsidRPr="006F28C9">
        <w:rPr>
          <w:rFonts w:ascii="Arial" w:hAnsi="Arial" w:cs="Arial"/>
          <w:i/>
          <w:sz w:val="26"/>
          <w:szCs w:val="26"/>
        </w:rPr>
        <w:t xml:space="preserve"> and Another v First Rand Bank Ltd t/a FNB Homeloans (Formerly First Rand Bank of South Africa Ltd)</w:t>
      </w:r>
      <w:r w:rsidR="00F05F52" w:rsidRPr="006F28C9">
        <w:rPr>
          <w:rFonts w:ascii="Arial" w:hAnsi="Arial" w:cs="Arial"/>
          <w:iCs/>
          <w:sz w:val="26"/>
          <w:szCs w:val="26"/>
        </w:rPr>
        <w:t xml:space="preserve"> explains the position:</w:t>
      </w:r>
    </w:p>
    <w:p w14:paraId="1644DD2F" w14:textId="77777777" w:rsidR="003640C3" w:rsidRPr="003640C3" w:rsidRDefault="003640C3" w:rsidP="003640C3">
      <w:pPr>
        <w:pStyle w:val="ListParagraph"/>
        <w:rPr>
          <w:rFonts w:ascii="Arial" w:hAnsi="Arial" w:cs="Arial"/>
          <w:bCs/>
          <w:iCs/>
          <w:sz w:val="26"/>
          <w:szCs w:val="26"/>
        </w:rPr>
      </w:pPr>
    </w:p>
    <w:p w14:paraId="0EA976F2" w14:textId="5228303C" w:rsidR="003640C3" w:rsidRPr="003640C3" w:rsidRDefault="003640C3" w:rsidP="003640C3">
      <w:pPr>
        <w:pStyle w:val="ListParagraph"/>
        <w:spacing w:line="360" w:lineRule="auto"/>
        <w:ind w:left="1440"/>
        <w:jc w:val="both"/>
        <w:rPr>
          <w:rFonts w:ascii="Arial" w:hAnsi="Arial" w:cs="Arial"/>
          <w:bCs/>
          <w:iCs/>
        </w:rPr>
      </w:pPr>
      <w:r w:rsidRPr="003640C3">
        <w:rPr>
          <w:rFonts w:ascii="Arial" w:hAnsi="Arial" w:cs="Arial"/>
          <w:bCs/>
          <w:iCs/>
        </w:rPr>
        <w:t>The certificate did not, as the court a quo considered, amount to new evidence which would be inadmissible under rule 32(4). To the extent that the certificate reflects the balance due as at the date of hearing, it is merely an arithmetical calculation based on the facts already before the court which the court would otherwise have to perform itself. Such calculations are better performed by a qualified person in the employ of a financial institution. And to the extent that such a certificate may reflect additional payments by the defendant after the issue of summons, or payments not taken into account when summons was issued, this constitutes an admission against interest by the Bank and the Bank is entitled to abandon part of the relief it seeks. Certificates of balance handed in at the hearing (whether a quo or on appeal) perform a useful function and are not hit by the provisions of rule 32(4).</w:t>
      </w:r>
      <w:r w:rsidR="00180ACA">
        <w:rPr>
          <w:rStyle w:val="FootnoteReference"/>
          <w:rFonts w:ascii="Arial" w:hAnsi="Arial" w:cs="Arial"/>
          <w:iCs/>
          <w:sz w:val="26"/>
          <w:szCs w:val="26"/>
        </w:rPr>
        <w:footnoteReference w:id="11"/>
      </w:r>
    </w:p>
    <w:p w14:paraId="08B4D264" w14:textId="77777777" w:rsidR="0066636B" w:rsidRPr="0066636B" w:rsidRDefault="0066636B" w:rsidP="0066636B">
      <w:pPr>
        <w:spacing w:line="360" w:lineRule="auto"/>
        <w:jc w:val="both"/>
        <w:rPr>
          <w:rFonts w:ascii="Arial" w:hAnsi="Arial" w:cs="Arial"/>
          <w:bCs/>
          <w:iCs/>
          <w:sz w:val="26"/>
          <w:szCs w:val="26"/>
        </w:rPr>
      </w:pPr>
    </w:p>
    <w:p w14:paraId="21CC031E" w14:textId="55A04C3B" w:rsidR="00A205EE" w:rsidRPr="006F28C9" w:rsidRDefault="006F28C9" w:rsidP="006F28C9">
      <w:pPr>
        <w:spacing w:line="360" w:lineRule="auto"/>
        <w:ind w:left="720" w:hanging="360"/>
        <w:jc w:val="both"/>
        <w:rPr>
          <w:rFonts w:ascii="Arial" w:hAnsi="Arial" w:cs="Arial"/>
          <w:bCs/>
          <w:iCs/>
          <w:sz w:val="26"/>
          <w:szCs w:val="26"/>
        </w:rPr>
      </w:pPr>
      <w:r>
        <w:rPr>
          <w:rFonts w:ascii="Arial" w:hAnsi="Arial" w:cs="Arial"/>
          <w:bCs/>
          <w:iCs/>
          <w:sz w:val="26"/>
          <w:szCs w:val="26"/>
        </w:rPr>
        <w:t>[29]</w:t>
      </w:r>
      <w:r>
        <w:rPr>
          <w:rFonts w:ascii="Arial" w:hAnsi="Arial" w:cs="Arial"/>
          <w:bCs/>
          <w:iCs/>
          <w:sz w:val="26"/>
          <w:szCs w:val="26"/>
        </w:rPr>
        <w:tab/>
      </w:r>
      <w:r w:rsidR="00EF2C97" w:rsidRPr="006F28C9">
        <w:rPr>
          <w:rFonts w:ascii="Arial" w:hAnsi="Arial" w:cs="Arial"/>
          <w:bCs/>
          <w:iCs/>
          <w:sz w:val="26"/>
          <w:szCs w:val="26"/>
        </w:rPr>
        <w:t xml:space="preserve">The deponent certifies </w:t>
      </w:r>
      <w:r w:rsidR="00A205EE" w:rsidRPr="006F28C9">
        <w:rPr>
          <w:rFonts w:ascii="Arial" w:hAnsi="Arial" w:cs="Arial"/>
          <w:bCs/>
          <w:iCs/>
          <w:sz w:val="26"/>
          <w:szCs w:val="26"/>
        </w:rPr>
        <w:t xml:space="preserve">in the affidavit </w:t>
      </w:r>
      <w:r w:rsidR="00EF2C97" w:rsidRPr="006F28C9">
        <w:rPr>
          <w:rFonts w:ascii="Arial" w:hAnsi="Arial" w:cs="Arial"/>
          <w:bCs/>
          <w:iCs/>
          <w:sz w:val="26"/>
          <w:szCs w:val="26"/>
        </w:rPr>
        <w:t>that the statement and certifica</w:t>
      </w:r>
      <w:r w:rsidR="004D6D4A" w:rsidRPr="006F28C9">
        <w:rPr>
          <w:rFonts w:ascii="Arial" w:hAnsi="Arial" w:cs="Arial"/>
          <w:bCs/>
          <w:iCs/>
          <w:sz w:val="26"/>
          <w:szCs w:val="26"/>
        </w:rPr>
        <w:t>te of balance</w:t>
      </w:r>
      <w:r w:rsidR="00EF2C97" w:rsidRPr="006F28C9">
        <w:rPr>
          <w:rFonts w:ascii="Arial" w:hAnsi="Arial" w:cs="Arial"/>
          <w:bCs/>
          <w:iCs/>
          <w:sz w:val="26"/>
          <w:szCs w:val="26"/>
        </w:rPr>
        <w:t xml:space="preserve"> are correct in all respects</w:t>
      </w:r>
      <w:r w:rsidR="00D64000" w:rsidRPr="006F28C9">
        <w:rPr>
          <w:rFonts w:ascii="Arial" w:hAnsi="Arial" w:cs="Arial"/>
          <w:bCs/>
          <w:iCs/>
          <w:sz w:val="26"/>
          <w:szCs w:val="26"/>
        </w:rPr>
        <w:t>, including the amounts</w:t>
      </w:r>
      <w:r w:rsidR="00EF2C97" w:rsidRPr="006F28C9">
        <w:rPr>
          <w:rFonts w:ascii="Arial" w:hAnsi="Arial" w:cs="Arial"/>
          <w:bCs/>
          <w:iCs/>
          <w:sz w:val="26"/>
          <w:szCs w:val="26"/>
        </w:rPr>
        <w:t xml:space="preserve">. </w:t>
      </w:r>
      <w:r w:rsidR="0022038A" w:rsidRPr="006F28C9">
        <w:rPr>
          <w:rFonts w:ascii="Arial" w:hAnsi="Arial" w:cs="Arial"/>
          <w:bCs/>
          <w:iCs/>
          <w:sz w:val="26"/>
          <w:szCs w:val="26"/>
        </w:rPr>
        <w:t>I</w:t>
      </w:r>
      <w:r w:rsidR="009A58E3" w:rsidRPr="006F28C9">
        <w:rPr>
          <w:rFonts w:ascii="Arial" w:hAnsi="Arial" w:cs="Arial"/>
          <w:bCs/>
          <w:iCs/>
          <w:sz w:val="26"/>
          <w:szCs w:val="26"/>
        </w:rPr>
        <w:t xml:space="preserve">n terms of </w:t>
      </w:r>
      <w:r w:rsidR="004D6D4A" w:rsidRPr="006F28C9">
        <w:rPr>
          <w:rFonts w:ascii="Arial" w:hAnsi="Arial" w:cs="Arial"/>
          <w:bCs/>
          <w:iCs/>
          <w:sz w:val="26"/>
          <w:szCs w:val="26"/>
        </w:rPr>
        <w:t>clause 6.6 of the agreement</w:t>
      </w:r>
      <w:r w:rsidR="0022038A" w:rsidRPr="006F28C9">
        <w:rPr>
          <w:rFonts w:ascii="Arial" w:hAnsi="Arial" w:cs="Arial"/>
          <w:bCs/>
          <w:iCs/>
          <w:sz w:val="26"/>
          <w:szCs w:val="26"/>
        </w:rPr>
        <w:t>,</w:t>
      </w:r>
      <w:r w:rsidR="004D6D4A" w:rsidRPr="006F28C9">
        <w:rPr>
          <w:rFonts w:ascii="Arial" w:hAnsi="Arial" w:cs="Arial"/>
          <w:bCs/>
          <w:iCs/>
          <w:sz w:val="26"/>
          <w:szCs w:val="26"/>
        </w:rPr>
        <w:t xml:space="preserve"> </w:t>
      </w:r>
      <w:r w:rsidR="009A58E3" w:rsidRPr="006F28C9">
        <w:rPr>
          <w:rFonts w:ascii="Arial" w:hAnsi="Arial" w:cs="Arial"/>
          <w:bCs/>
          <w:iCs/>
          <w:sz w:val="26"/>
          <w:szCs w:val="26"/>
        </w:rPr>
        <w:t xml:space="preserve">the Defendant agreed that the </w:t>
      </w:r>
      <w:r w:rsidR="004D6D4A" w:rsidRPr="006F28C9">
        <w:rPr>
          <w:rFonts w:ascii="Arial" w:hAnsi="Arial" w:cs="Arial"/>
          <w:bCs/>
          <w:iCs/>
          <w:sz w:val="26"/>
          <w:szCs w:val="26"/>
        </w:rPr>
        <w:t>Seller</w:t>
      </w:r>
      <w:r w:rsidR="009A58E3" w:rsidRPr="006F28C9">
        <w:rPr>
          <w:rFonts w:ascii="Arial" w:hAnsi="Arial" w:cs="Arial"/>
          <w:bCs/>
          <w:iCs/>
          <w:sz w:val="26"/>
          <w:szCs w:val="26"/>
        </w:rPr>
        <w:t xml:space="preserve"> may provide a certificate from one of its managers, whose position it will not be necessary to prov</w:t>
      </w:r>
      <w:r w:rsidR="00A205EE" w:rsidRPr="006F28C9">
        <w:rPr>
          <w:rFonts w:ascii="Arial" w:hAnsi="Arial" w:cs="Arial"/>
          <w:bCs/>
          <w:iCs/>
          <w:sz w:val="26"/>
          <w:szCs w:val="26"/>
        </w:rPr>
        <w:t>e, show</w:t>
      </w:r>
      <w:r w:rsidR="009A58E3" w:rsidRPr="006F28C9">
        <w:rPr>
          <w:rFonts w:ascii="Arial" w:hAnsi="Arial" w:cs="Arial"/>
          <w:bCs/>
          <w:iCs/>
          <w:sz w:val="26"/>
          <w:szCs w:val="26"/>
        </w:rPr>
        <w:t>ing the amount due to the S</w:t>
      </w:r>
      <w:r w:rsidR="00A205EE" w:rsidRPr="006F28C9">
        <w:rPr>
          <w:rFonts w:ascii="Arial" w:hAnsi="Arial" w:cs="Arial"/>
          <w:bCs/>
          <w:iCs/>
          <w:sz w:val="26"/>
          <w:szCs w:val="26"/>
        </w:rPr>
        <w:t>e</w:t>
      </w:r>
      <w:r w:rsidR="009A58E3" w:rsidRPr="006F28C9">
        <w:rPr>
          <w:rFonts w:ascii="Arial" w:hAnsi="Arial" w:cs="Arial"/>
          <w:bCs/>
          <w:iCs/>
          <w:sz w:val="26"/>
          <w:szCs w:val="26"/>
        </w:rPr>
        <w:t>ller and how it is calculated. Furtherm</w:t>
      </w:r>
      <w:r w:rsidR="004D6D4A" w:rsidRPr="006F28C9">
        <w:rPr>
          <w:rFonts w:ascii="Arial" w:hAnsi="Arial" w:cs="Arial"/>
          <w:bCs/>
          <w:iCs/>
          <w:sz w:val="26"/>
          <w:szCs w:val="26"/>
        </w:rPr>
        <w:t>ore,</w:t>
      </w:r>
      <w:r w:rsidR="009A58E3" w:rsidRPr="006F28C9">
        <w:rPr>
          <w:rFonts w:ascii="Arial" w:hAnsi="Arial" w:cs="Arial"/>
          <w:bCs/>
          <w:iCs/>
          <w:sz w:val="26"/>
          <w:szCs w:val="26"/>
        </w:rPr>
        <w:t xml:space="preserve"> the </w:t>
      </w:r>
      <w:r w:rsidR="004D6D4A" w:rsidRPr="006F28C9">
        <w:rPr>
          <w:rFonts w:ascii="Arial" w:hAnsi="Arial" w:cs="Arial"/>
          <w:bCs/>
          <w:iCs/>
          <w:sz w:val="26"/>
          <w:szCs w:val="26"/>
        </w:rPr>
        <w:t>Seller</w:t>
      </w:r>
      <w:r w:rsidR="009A58E3" w:rsidRPr="006F28C9">
        <w:rPr>
          <w:rFonts w:ascii="Arial" w:hAnsi="Arial" w:cs="Arial"/>
          <w:bCs/>
          <w:iCs/>
          <w:sz w:val="26"/>
          <w:szCs w:val="26"/>
        </w:rPr>
        <w:t xml:space="preserve"> m</w:t>
      </w:r>
      <w:r w:rsidR="004D6D4A" w:rsidRPr="006F28C9">
        <w:rPr>
          <w:rFonts w:ascii="Arial" w:hAnsi="Arial" w:cs="Arial"/>
          <w:bCs/>
          <w:iCs/>
          <w:sz w:val="26"/>
          <w:szCs w:val="26"/>
        </w:rPr>
        <w:t>ay take any judgment or order it</w:t>
      </w:r>
      <w:r w:rsidR="009A58E3" w:rsidRPr="006F28C9">
        <w:rPr>
          <w:rFonts w:ascii="Arial" w:hAnsi="Arial" w:cs="Arial"/>
          <w:bCs/>
          <w:iCs/>
          <w:sz w:val="26"/>
          <w:szCs w:val="26"/>
        </w:rPr>
        <w:t xml:space="preserve"> is entitled to in law based on the facts contained in the certificate or such amount as the court may find to be due, unless the Defendant disagrees with the amounts an</w:t>
      </w:r>
      <w:r w:rsidR="004D6D4A" w:rsidRPr="006F28C9">
        <w:rPr>
          <w:rFonts w:ascii="Arial" w:hAnsi="Arial" w:cs="Arial"/>
          <w:bCs/>
          <w:iCs/>
          <w:sz w:val="26"/>
          <w:szCs w:val="26"/>
        </w:rPr>
        <w:t>d</w:t>
      </w:r>
      <w:r w:rsidR="009A58E3" w:rsidRPr="006F28C9">
        <w:rPr>
          <w:rFonts w:ascii="Arial" w:hAnsi="Arial" w:cs="Arial"/>
          <w:bCs/>
          <w:iCs/>
          <w:sz w:val="26"/>
          <w:szCs w:val="26"/>
        </w:rPr>
        <w:t xml:space="preserve"> is able to satisfy the court that the amount in the certificate is incorrect.</w:t>
      </w:r>
      <w:r w:rsidR="004D6D4A" w:rsidRPr="006F28C9">
        <w:rPr>
          <w:rFonts w:ascii="Arial" w:hAnsi="Arial" w:cs="Arial"/>
          <w:bCs/>
          <w:iCs/>
          <w:sz w:val="26"/>
          <w:szCs w:val="26"/>
        </w:rPr>
        <w:t xml:space="preserve"> Even though the </w:t>
      </w:r>
      <w:r w:rsidR="00C80C2A" w:rsidRPr="006F28C9">
        <w:rPr>
          <w:rFonts w:ascii="Arial" w:hAnsi="Arial" w:cs="Arial"/>
          <w:bCs/>
          <w:iCs/>
          <w:sz w:val="26"/>
          <w:szCs w:val="26"/>
        </w:rPr>
        <w:t>Defendant disputes the amount</w:t>
      </w:r>
      <w:r w:rsidR="003C28DA" w:rsidRPr="006F28C9">
        <w:rPr>
          <w:rFonts w:ascii="Arial" w:hAnsi="Arial" w:cs="Arial"/>
          <w:bCs/>
          <w:iCs/>
          <w:sz w:val="26"/>
          <w:szCs w:val="26"/>
        </w:rPr>
        <w:t>,</w:t>
      </w:r>
      <w:r w:rsidR="00C80C2A" w:rsidRPr="006F28C9">
        <w:rPr>
          <w:rFonts w:ascii="Arial" w:hAnsi="Arial" w:cs="Arial"/>
          <w:bCs/>
          <w:iCs/>
          <w:sz w:val="26"/>
          <w:szCs w:val="26"/>
        </w:rPr>
        <w:t xml:space="preserve"> </w:t>
      </w:r>
      <w:r w:rsidR="0022038A" w:rsidRPr="006F28C9">
        <w:rPr>
          <w:rFonts w:ascii="Arial" w:hAnsi="Arial" w:cs="Arial"/>
          <w:bCs/>
          <w:iCs/>
          <w:sz w:val="26"/>
          <w:szCs w:val="26"/>
        </w:rPr>
        <w:t>it</w:t>
      </w:r>
      <w:r w:rsidR="00C80C2A" w:rsidRPr="006F28C9">
        <w:rPr>
          <w:rFonts w:ascii="Arial" w:hAnsi="Arial" w:cs="Arial"/>
          <w:bCs/>
          <w:iCs/>
          <w:sz w:val="26"/>
          <w:szCs w:val="26"/>
        </w:rPr>
        <w:t xml:space="preserve"> has not provided any material facts in support of </w:t>
      </w:r>
      <w:r w:rsidR="00D64000" w:rsidRPr="006F28C9">
        <w:rPr>
          <w:rFonts w:ascii="Arial" w:hAnsi="Arial" w:cs="Arial"/>
          <w:bCs/>
          <w:iCs/>
          <w:sz w:val="26"/>
          <w:szCs w:val="26"/>
        </w:rPr>
        <w:t>this</w:t>
      </w:r>
      <w:r w:rsidR="00C80C2A" w:rsidRPr="006F28C9">
        <w:rPr>
          <w:rFonts w:ascii="Arial" w:hAnsi="Arial" w:cs="Arial"/>
          <w:bCs/>
          <w:iCs/>
          <w:sz w:val="26"/>
          <w:szCs w:val="26"/>
        </w:rPr>
        <w:t xml:space="preserve"> defence</w:t>
      </w:r>
      <w:r w:rsidR="00D64000" w:rsidRPr="006F28C9">
        <w:rPr>
          <w:rFonts w:ascii="Arial" w:hAnsi="Arial" w:cs="Arial"/>
          <w:bCs/>
          <w:iCs/>
          <w:sz w:val="26"/>
          <w:szCs w:val="26"/>
        </w:rPr>
        <w:t xml:space="preserve"> and is unable to satisfy the court that </w:t>
      </w:r>
      <w:r w:rsidR="003C28DA" w:rsidRPr="006F28C9">
        <w:rPr>
          <w:rFonts w:ascii="Arial" w:hAnsi="Arial" w:cs="Arial"/>
          <w:bCs/>
          <w:iCs/>
          <w:sz w:val="26"/>
          <w:szCs w:val="26"/>
        </w:rPr>
        <w:t xml:space="preserve">the </w:t>
      </w:r>
      <w:r w:rsidR="00D64000" w:rsidRPr="006F28C9">
        <w:rPr>
          <w:rFonts w:ascii="Arial" w:hAnsi="Arial" w:cs="Arial"/>
          <w:bCs/>
          <w:iCs/>
          <w:sz w:val="26"/>
          <w:szCs w:val="26"/>
        </w:rPr>
        <w:t>amount in the certificate is incorrect</w:t>
      </w:r>
      <w:r w:rsidR="0022038A" w:rsidRPr="006F28C9">
        <w:rPr>
          <w:rFonts w:ascii="Arial" w:hAnsi="Arial" w:cs="Arial"/>
          <w:bCs/>
          <w:iCs/>
          <w:sz w:val="26"/>
          <w:szCs w:val="26"/>
        </w:rPr>
        <w:t>, or that this issue</w:t>
      </w:r>
      <w:r w:rsidR="003C28DA" w:rsidRPr="006F28C9">
        <w:rPr>
          <w:rFonts w:ascii="Arial" w:hAnsi="Arial" w:cs="Arial"/>
          <w:bCs/>
          <w:iCs/>
          <w:sz w:val="26"/>
          <w:szCs w:val="26"/>
        </w:rPr>
        <w:t xml:space="preserve"> </w:t>
      </w:r>
      <w:r w:rsidR="00EA56F6" w:rsidRPr="006F28C9">
        <w:rPr>
          <w:rFonts w:ascii="Arial" w:hAnsi="Arial" w:cs="Arial"/>
          <w:bCs/>
          <w:iCs/>
          <w:sz w:val="26"/>
          <w:szCs w:val="26"/>
        </w:rPr>
        <w:t xml:space="preserve">should be referred to </w:t>
      </w:r>
      <w:r w:rsidR="003C28DA" w:rsidRPr="006F28C9">
        <w:rPr>
          <w:rFonts w:ascii="Arial" w:hAnsi="Arial" w:cs="Arial"/>
          <w:bCs/>
          <w:iCs/>
          <w:sz w:val="26"/>
          <w:szCs w:val="26"/>
        </w:rPr>
        <w:t>trial</w:t>
      </w:r>
      <w:r w:rsidR="00D64000" w:rsidRPr="006F28C9">
        <w:rPr>
          <w:rFonts w:ascii="Arial" w:hAnsi="Arial" w:cs="Arial"/>
          <w:bCs/>
          <w:iCs/>
          <w:sz w:val="26"/>
          <w:szCs w:val="26"/>
        </w:rPr>
        <w:t xml:space="preserve">. </w:t>
      </w:r>
      <w:r w:rsidR="00C80C2A" w:rsidRPr="006F28C9">
        <w:rPr>
          <w:rFonts w:ascii="Arial" w:hAnsi="Arial" w:cs="Arial"/>
          <w:bCs/>
          <w:iCs/>
          <w:sz w:val="26"/>
          <w:szCs w:val="26"/>
        </w:rPr>
        <w:t xml:space="preserve"> </w:t>
      </w:r>
      <w:r w:rsidR="009A58E3" w:rsidRPr="006F28C9">
        <w:rPr>
          <w:rFonts w:ascii="Arial" w:hAnsi="Arial" w:cs="Arial"/>
          <w:bCs/>
          <w:iCs/>
          <w:sz w:val="26"/>
          <w:szCs w:val="26"/>
        </w:rPr>
        <w:t xml:space="preserve"> </w:t>
      </w:r>
    </w:p>
    <w:p w14:paraId="1EF0FF29" w14:textId="77777777" w:rsidR="0066636B" w:rsidRPr="00AC6B34" w:rsidRDefault="0066636B" w:rsidP="00AC6B34">
      <w:pPr>
        <w:spacing w:line="360" w:lineRule="auto"/>
        <w:jc w:val="both"/>
        <w:rPr>
          <w:rFonts w:ascii="Arial" w:hAnsi="Arial" w:cs="Arial"/>
          <w:iCs/>
          <w:sz w:val="26"/>
          <w:szCs w:val="26"/>
        </w:rPr>
      </w:pPr>
    </w:p>
    <w:p w14:paraId="234982AA" w14:textId="057E0857" w:rsidR="00F0106F" w:rsidRPr="006F28C9" w:rsidRDefault="006F28C9" w:rsidP="006F28C9">
      <w:pPr>
        <w:spacing w:line="360" w:lineRule="auto"/>
        <w:ind w:left="720" w:hanging="360"/>
        <w:jc w:val="both"/>
        <w:rPr>
          <w:rFonts w:ascii="Arial" w:hAnsi="Arial" w:cs="Arial"/>
          <w:iCs/>
          <w:sz w:val="26"/>
          <w:szCs w:val="26"/>
        </w:rPr>
      </w:pPr>
      <w:r>
        <w:rPr>
          <w:rFonts w:ascii="Arial" w:hAnsi="Arial" w:cs="Arial"/>
          <w:iCs/>
          <w:sz w:val="26"/>
          <w:szCs w:val="26"/>
        </w:rPr>
        <w:t>[30]</w:t>
      </w:r>
      <w:r>
        <w:rPr>
          <w:rFonts w:ascii="Arial" w:hAnsi="Arial" w:cs="Arial"/>
          <w:iCs/>
          <w:sz w:val="26"/>
          <w:szCs w:val="26"/>
        </w:rPr>
        <w:tab/>
      </w:r>
      <w:r w:rsidR="009806DF" w:rsidRPr="006F28C9">
        <w:rPr>
          <w:rFonts w:ascii="Arial" w:hAnsi="Arial" w:cs="Arial"/>
          <w:iCs/>
          <w:sz w:val="26"/>
          <w:szCs w:val="26"/>
        </w:rPr>
        <w:t>Lastly, t</w:t>
      </w:r>
      <w:r w:rsidR="000D7863" w:rsidRPr="006F28C9">
        <w:rPr>
          <w:rFonts w:ascii="Arial" w:hAnsi="Arial" w:cs="Arial"/>
          <w:iCs/>
          <w:sz w:val="26"/>
          <w:szCs w:val="26"/>
        </w:rPr>
        <w:t xml:space="preserve">he </w:t>
      </w:r>
      <w:r w:rsidR="00D64000" w:rsidRPr="006F28C9">
        <w:rPr>
          <w:rFonts w:ascii="Arial" w:hAnsi="Arial" w:cs="Arial"/>
          <w:iCs/>
          <w:sz w:val="26"/>
          <w:szCs w:val="26"/>
        </w:rPr>
        <w:t>D</w:t>
      </w:r>
      <w:r w:rsidR="000D7863" w:rsidRPr="006F28C9">
        <w:rPr>
          <w:rFonts w:ascii="Arial" w:hAnsi="Arial" w:cs="Arial"/>
          <w:iCs/>
          <w:sz w:val="26"/>
          <w:szCs w:val="26"/>
        </w:rPr>
        <w:t xml:space="preserve">efendant alleges that the </w:t>
      </w:r>
      <w:r w:rsidR="00D64000" w:rsidRPr="006F28C9">
        <w:rPr>
          <w:rFonts w:ascii="Arial" w:hAnsi="Arial" w:cs="Arial"/>
          <w:iCs/>
          <w:sz w:val="26"/>
          <w:szCs w:val="26"/>
        </w:rPr>
        <w:t>P</w:t>
      </w:r>
      <w:r w:rsidR="000D7863" w:rsidRPr="006F28C9">
        <w:rPr>
          <w:rFonts w:ascii="Arial" w:hAnsi="Arial" w:cs="Arial"/>
          <w:iCs/>
          <w:sz w:val="26"/>
          <w:szCs w:val="26"/>
        </w:rPr>
        <w:t xml:space="preserve">laintiff has not complied with its obligations </w:t>
      </w:r>
      <w:r w:rsidR="009806DF" w:rsidRPr="006F28C9">
        <w:rPr>
          <w:rFonts w:ascii="Arial" w:hAnsi="Arial" w:cs="Arial"/>
          <w:iCs/>
          <w:sz w:val="26"/>
          <w:szCs w:val="26"/>
        </w:rPr>
        <w:t xml:space="preserve">under </w:t>
      </w:r>
      <w:r w:rsidR="000D7863" w:rsidRPr="006F28C9">
        <w:rPr>
          <w:rFonts w:ascii="Arial" w:hAnsi="Arial" w:cs="Arial"/>
          <w:iCs/>
          <w:sz w:val="26"/>
          <w:szCs w:val="26"/>
        </w:rPr>
        <w:t>the National Credit Act</w:t>
      </w:r>
      <w:r w:rsidR="00EA56F6" w:rsidRPr="006F28C9">
        <w:rPr>
          <w:rFonts w:ascii="Arial" w:hAnsi="Arial" w:cs="Arial"/>
          <w:iCs/>
          <w:sz w:val="26"/>
          <w:szCs w:val="26"/>
        </w:rPr>
        <w:t>.</w:t>
      </w:r>
      <w:r w:rsidR="00A205EE" w:rsidRPr="006F28C9">
        <w:rPr>
          <w:rFonts w:ascii="Arial" w:hAnsi="Arial" w:cs="Arial"/>
          <w:iCs/>
          <w:sz w:val="26"/>
          <w:szCs w:val="26"/>
        </w:rPr>
        <w:t xml:space="preserve"> T</w:t>
      </w:r>
      <w:r w:rsidR="000D7863" w:rsidRPr="006F28C9">
        <w:rPr>
          <w:rFonts w:ascii="Arial" w:hAnsi="Arial" w:cs="Arial"/>
          <w:iCs/>
          <w:sz w:val="26"/>
          <w:szCs w:val="26"/>
        </w:rPr>
        <w:t xml:space="preserve">he </w:t>
      </w:r>
      <w:r w:rsidR="00D64000" w:rsidRPr="006F28C9">
        <w:rPr>
          <w:rFonts w:ascii="Arial" w:hAnsi="Arial" w:cs="Arial"/>
          <w:iCs/>
          <w:sz w:val="26"/>
          <w:szCs w:val="26"/>
        </w:rPr>
        <w:t>D</w:t>
      </w:r>
      <w:r w:rsidR="00A205EE" w:rsidRPr="006F28C9">
        <w:rPr>
          <w:rFonts w:ascii="Arial" w:hAnsi="Arial" w:cs="Arial"/>
          <w:iCs/>
          <w:sz w:val="26"/>
          <w:szCs w:val="26"/>
        </w:rPr>
        <w:t xml:space="preserve">efendant argues that the </w:t>
      </w:r>
      <w:r w:rsidR="00D64000" w:rsidRPr="006F28C9">
        <w:rPr>
          <w:rFonts w:ascii="Arial" w:hAnsi="Arial" w:cs="Arial"/>
          <w:iCs/>
          <w:sz w:val="26"/>
          <w:szCs w:val="26"/>
        </w:rPr>
        <w:t>P</w:t>
      </w:r>
      <w:r w:rsidR="000D7863" w:rsidRPr="006F28C9">
        <w:rPr>
          <w:rFonts w:ascii="Arial" w:hAnsi="Arial" w:cs="Arial"/>
          <w:iCs/>
          <w:sz w:val="26"/>
          <w:szCs w:val="26"/>
        </w:rPr>
        <w:t xml:space="preserve">laintiff has failed to show that it sent the section 129 notice to the </w:t>
      </w:r>
      <w:r w:rsidR="00D64000" w:rsidRPr="006F28C9">
        <w:rPr>
          <w:rFonts w:ascii="Arial" w:hAnsi="Arial" w:cs="Arial"/>
          <w:iCs/>
          <w:sz w:val="26"/>
          <w:szCs w:val="26"/>
        </w:rPr>
        <w:t>Defendant</w:t>
      </w:r>
      <w:r w:rsidR="000D7863" w:rsidRPr="006F28C9">
        <w:rPr>
          <w:rFonts w:ascii="Arial" w:hAnsi="Arial" w:cs="Arial"/>
          <w:iCs/>
          <w:sz w:val="26"/>
          <w:szCs w:val="26"/>
        </w:rPr>
        <w:t xml:space="preserve">’s nominated address and/or its </w:t>
      </w:r>
      <w:r w:rsidR="000D7863" w:rsidRPr="006F28C9">
        <w:rPr>
          <w:rFonts w:ascii="Arial" w:hAnsi="Arial" w:cs="Arial"/>
          <w:i/>
          <w:iCs/>
          <w:sz w:val="26"/>
          <w:szCs w:val="26"/>
        </w:rPr>
        <w:t>domicilium</w:t>
      </w:r>
      <w:r w:rsidR="000D7863" w:rsidRPr="006F28C9">
        <w:rPr>
          <w:rFonts w:ascii="Arial" w:hAnsi="Arial" w:cs="Arial"/>
          <w:iCs/>
          <w:sz w:val="26"/>
          <w:szCs w:val="26"/>
        </w:rPr>
        <w:t xml:space="preserve"> address, or to the address where the </w:t>
      </w:r>
      <w:r w:rsidR="00D64000" w:rsidRPr="006F28C9">
        <w:rPr>
          <w:rFonts w:ascii="Arial" w:hAnsi="Arial" w:cs="Arial"/>
          <w:iCs/>
          <w:sz w:val="26"/>
          <w:szCs w:val="26"/>
        </w:rPr>
        <w:t>D</w:t>
      </w:r>
      <w:r w:rsidR="000D7863" w:rsidRPr="006F28C9">
        <w:rPr>
          <w:rFonts w:ascii="Arial" w:hAnsi="Arial" w:cs="Arial"/>
          <w:iCs/>
          <w:sz w:val="26"/>
          <w:szCs w:val="26"/>
        </w:rPr>
        <w:t xml:space="preserve">efendant was in fact trading from, or the </w:t>
      </w:r>
      <w:r w:rsidR="00D64000" w:rsidRPr="006F28C9">
        <w:rPr>
          <w:rFonts w:ascii="Arial" w:hAnsi="Arial" w:cs="Arial"/>
          <w:iCs/>
          <w:sz w:val="26"/>
          <w:szCs w:val="26"/>
        </w:rPr>
        <w:t>D</w:t>
      </w:r>
      <w:r w:rsidR="000D7863" w:rsidRPr="006F28C9">
        <w:rPr>
          <w:rFonts w:ascii="Arial" w:hAnsi="Arial" w:cs="Arial"/>
          <w:iCs/>
          <w:sz w:val="26"/>
          <w:szCs w:val="26"/>
        </w:rPr>
        <w:t xml:space="preserve">efendant’s last known address, or the address as indicated in the instalment sales agreement.  Furthermore, the </w:t>
      </w:r>
      <w:r w:rsidR="00D64000" w:rsidRPr="006F28C9">
        <w:rPr>
          <w:rFonts w:ascii="Arial" w:hAnsi="Arial" w:cs="Arial"/>
          <w:iCs/>
          <w:sz w:val="26"/>
          <w:szCs w:val="26"/>
        </w:rPr>
        <w:t>P</w:t>
      </w:r>
      <w:r w:rsidR="000D7863" w:rsidRPr="006F28C9">
        <w:rPr>
          <w:rFonts w:ascii="Arial" w:hAnsi="Arial" w:cs="Arial"/>
          <w:iCs/>
          <w:sz w:val="26"/>
          <w:szCs w:val="26"/>
        </w:rPr>
        <w:t xml:space="preserve">laintiff failed to indicate in its papers where it obtained such addresses. </w:t>
      </w:r>
    </w:p>
    <w:p w14:paraId="1E797D52" w14:textId="77777777" w:rsidR="0066636B" w:rsidRPr="0066636B" w:rsidRDefault="0066636B" w:rsidP="0066636B">
      <w:pPr>
        <w:spacing w:line="360" w:lineRule="auto"/>
        <w:jc w:val="both"/>
        <w:rPr>
          <w:rFonts w:ascii="Arial" w:hAnsi="Arial" w:cs="Arial"/>
          <w:iCs/>
          <w:sz w:val="26"/>
          <w:szCs w:val="26"/>
        </w:rPr>
      </w:pPr>
    </w:p>
    <w:p w14:paraId="13260923" w14:textId="7176BC28" w:rsidR="00433446" w:rsidRPr="006F28C9" w:rsidRDefault="006F28C9" w:rsidP="006F28C9">
      <w:pPr>
        <w:spacing w:line="360" w:lineRule="auto"/>
        <w:ind w:left="720" w:hanging="360"/>
        <w:jc w:val="both"/>
        <w:rPr>
          <w:rFonts w:ascii="Arial" w:hAnsi="Arial" w:cs="Arial"/>
          <w:iCs/>
          <w:sz w:val="26"/>
          <w:szCs w:val="26"/>
        </w:rPr>
      </w:pPr>
      <w:r>
        <w:rPr>
          <w:rFonts w:ascii="Arial" w:hAnsi="Arial" w:cs="Arial"/>
          <w:iCs/>
          <w:sz w:val="26"/>
          <w:szCs w:val="26"/>
        </w:rPr>
        <w:t>[31]</w:t>
      </w:r>
      <w:r>
        <w:rPr>
          <w:rFonts w:ascii="Arial" w:hAnsi="Arial" w:cs="Arial"/>
          <w:iCs/>
          <w:sz w:val="26"/>
          <w:szCs w:val="26"/>
        </w:rPr>
        <w:tab/>
      </w:r>
      <w:r w:rsidR="00C80C2A" w:rsidRPr="006F28C9">
        <w:rPr>
          <w:rFonts w:ascii="Arial" w:hAnsi="Arial" w:cs="Arial"/>
          <w:iCs/>
          <w:sz w:val="26"/>
          <w:szCs w:val="26"/>
        </w:rPr>
        <w:t>T</w:t>
      </w:r>
      <w:r w:rsidR="00A205EE" w:rsidRPr="006F28C9">
        <w:rPr>
          <w:rFonts w:ascii="Arial" w:hAnsi="Arial" w:cs="Arial"/>
          <w:iCs/>
          <w:sz w:val="26"/>
          <w:szCs w:val="26"/>
        </w:rPr>
        <w:t xml:space="preserve">his argument is </w:t>
      </w:r>
      <w:r w:rsidR="00C80C2A" w:rsidRPr="006F28C9">
        <w:rPr>
          <w:rFonts w:ascii="Arial" w:hAnsi="Arial" w:cs="Arial"/>
          <w:iCs/>
          <w:sz w:val="26"/>
          <w:szCs w:val="26"/>
        </w:rPr>
        <w:t xml:space="preserve">also </w:t>
      </w:r>
      <w:r w:rsidR="00A205EE" w:rsidRPr="006F28C9">
        <w:rPr>
          <w:rFonts w:ascii="Arial" w:hAnsi="Arial" w:cs="Arial"/>
          <w:iCs/>
          <w:sz w:val="26"/>
          <w:szCs w:val="26"/>
        </w:rPr>
        <w:t xml:space="preserve">devoid of merit. </w:t>
      </w:r>
      <w:r w:rsidR="00433446" w:rsidRPr="006F28C9">
        <w:rPr>
          <w:rFonts w:ascii="Arial" w:hAnsi="Arial" w:cs="Arial"/>
          <w:iCs/>
          <w:sz w:val="26"/>
          <w:szCs w:val="26"/>
        </w:rPr>
        <w:t xml:space="preserve">In the founding affidavit the deponent states that the credit agreement falls outside the ambit of the National Credit Act, </w:t>
      </w:r>
      <w:r w:rsidR="0022038A" w:rsidRPr="006F28C9">
        <w:rPr>
          <w:rFonts w:ascii="Arial" w:hAnsi="Arial" w:cs="Arial"/>
          <w:iCs/>
          <w:sz w:val="26"/>
          <w:szCs w:val="26"/>
        </w:rPr>
        <w:t xml:space="preserve">because the Defendant is a juristic person and </w:t>
      </w:r>
      <w:r w:rsidR="00433446" w:rsidRPr="006F28C9">
        <w:rPr>
          <w:rFonts w:ascii="Arial" w:hAnsi="Arial" w:cs="Arial"/>
          <w:iCs/>
          <w:sz w:val="26"/>
          <w:szCs w:val="26"/>
        </w:rPr>
        <w:t xml:space="preserve">the agreement </w:t>
      </w:r>
      <w:r w:rsidR="0022038A" w:rsidRPr="006F28C9">
        <w:rPr>
          <w:rFonts w:ascii="Arial" w:hAnsi="Arial" w:cs="Arial"/>
          <w:iCs/>
          <w:sz w:val="26"/>
          <w:szCs w:val="26"/>
        </w:rPr>
        <w:t>is</w:t>
      </w:r>
      <w:r w:rsidR="00433446" w:rsidRPr="006F28C9">
        <w:rPr>
          <w:rFonts w:ascii="Arial" w:hAnsi="Arial" w:cs="Arial"/>
          <w:iCs/>
          <w:sz w:val="26"/>
          <w:szCs w:val="26"/>
        </w:rPr>
        <w:t xml:space="preserve"> a “Large Credit Agreement” </w:t>
      </w:r>
      <w:r w:rsidR="004B51C3" w:rsidRPr="006F28C9">
        <w:rPr>
          <w:rFonts w:ascii="Arial" w:hAnsi="Arial" w:cs="Arial"/>
          <w:iCs/>
          <w:sz w:val="26"/>
          <w:szCs w:val="26"/>
        </w:rPr>
        <w:t>(</w:t>
      </w:r>
      <w:r w:rsidR="004B51C3" w:rsidRPr="006F28C9">
        <w:rPr>
          <w:rFonts w:ascii="Arial" w:hAnsi="Arial" w:cs="Arial"/>
          <w:sz w:val="26"/>
          <w:szCs w:val="26"/>
          <w:lang w:val="en-GB"/>
        </w:rPr>
        <w:t>a</w:t>
      </w:r>
      <w:r w:rsidR="0022038A" w:rsidRPr="006F28C9">
        <w:rPr>
          <w:rFonts w:ascii="Arial" w:hAnsi="Arial" w:cs="Arial"/>
          <w:sz w:val="26"/>
          <w:szCs w:val="26"/>
          <w:lang w:val="en-GB"/>
        </w:rPr>
        <w:t xml:space="preserve">n agreement </w:t>
      </w:r>
      <w:r w:rsidR="004B51C3" w:rsidRPr="006F28C9">
        <w:rPr>
          <w:rFonts w:ascii="Arial" w:hAnsi="Arial" w:cs="Arial"/>
          <w:sz w:val="26"/>
          <w:szCs w:val="26"/>
          <w:lang w:val="en-GB"/>
        </w:rPr>
        <w:t xml:space="preserve">where the loan amount is R 250 000 or over in terms of Section </w:t>
      </w:r>
      <w:r w:rsidR="00F34707" w:rsidRPr="006F28C9">
        <w:rPr>
          <w:rFonts w:ascii="Arial" w:hAnsi="Arial" w:cs="Arial"/>
          <w:sz w:val="26"/>
          <w:szCs w:val="26"/>
          <w:lang w:val="en-GB"/>
        </w:rPr>
        <w:t>4</w:t>
      </w:r>
      <w:r w:rsidR="004B51C3" w:rsidRPr="006F28C9">
        <w:rPr>
          <w:rFonts w:ascii="Arial" w:hAnsi="Arial" w:cs="Arial"/>
          <w:sz w:val="26"/>
          <w:szCs w:val="26"/>
          <w:lang w:val="en-GB"/>
        </w:rPr>
        <w:t>(1)(b) of the Act)</w:t>
      </w:r>
      <w:r w:rsidR="00433446" w:rsidRPr="006F28C9">
        <w:rPr>
          <w:rFonts w:ascii="Arial" w:hAnsi="Arial" w:cs="Arial"/>
          <w:iCs/>
          <w:sz w:val="26"/>
          <w:szCs w:val="26"/>
        </w:rPr>
        <w:t xml:space="preserve">. </w:t>
      </w:r>
      <w:r w:rsidR="005834CF" w:rsidRPr="006F28C9">
        <w:rPr>
          <w:rFonts w:ascii="Arial" w:hAnsi="Arial" w:cs="Arial"/>
          <w:iCs/>
          <w:sz w:val="26"/>
          <w:szCs w:val="26"/>
        </w:rPr>
        <w:t xml:space="preserve">The </w:t>
      </w:r>
      <w:r w:rsidR="00C80C2A" w:rsidRPr="006F28C9">
        <w:rPr>
          <w:rFonts w:ascii="Arial" w:hAnsi="Arial" w:cs="Arial"/>
          <w:iCs/>
          <w:sz w:val="26"/>
          <w:szCs w:val="26"/>
        </w:rPr>
        <w:t>provisions of the National Credit Act</w:t>
      </w:r>
      <w:r w:rsidR="005834CF" w:rsidRPr="006F28C9">
        <w:rPr>
          <w:rFonts w:ascii="Arial" w:hAnsi="Arial" w:cs="Arial"/>
          <w:iCs/>
          <w:sz w:val="26"/>
          <w:szCs w:val="26"/>
        </w:rPr>
        <w:t xml:space="preserve"> </w:t>
      </w:r>
      <w:r w:rsidR="004B51C3" w:rsidRPr="006F28C9">
        <w:rPr>
          <w:rFonts w:ascii="Arial" w:hAnsi="Arial" w:cs="Arial"/>
          <w:iCs/>
          <w:sz w:val="26"/>
          <w:szCs w:val="26"/>
        </w:rPr>
        <w:t>do</w:t>
      </w:r>
      <w:r w:rsidR="005834CF" w:rsidRPr="006F28C9">
        <w:rPr>
          <w:rFonts w:ascii="Arial" w:hAnsi="Arial" w:cs="Arial"/>
          <w:iCs/>
          <w:sz w:val="26"/>
          <w:szCs w:val="26"/>
        </w:rPr>
        <w:t xml:space="preserve"> not apply to juristic persons with an asset value</w:t>
      </w:r>
      <w:r w:rsidR="00C80C2A" w:rsidRPr="006F28C9">
        <w:rPr>
          <w:rFonts w:ascii="Arial" w:hAnsi="Arial" w:cs="Arial"/>
          <w:iCs/>
          <w:sz w:val="26"/>
          <w:szCs w:val="26"/>
        </w:rPr>
        <w:t xml:space="preserve"> or annual turnover of more than</w:t>
      </w:r>
      <w:r w:rsidR="005834CF" w:rsidRPr="006F28C9">
        <w:rPr>
          <w:rFonts w:ascii="Arial" w:hAnsi="Arial" w:cs="Arial"/>
          <w:iCs/>
          <w:sz w:val="26"/>
          <w:szCs w:val="26"/>
        </w:rPr>
        <w:t xml:space="preserve"> R1 million</w:t>
      </w:r>
      <w:r w:rsidR="00C80C2A" w:rsidRPr="006F28C9">
        <w:rPr>
          <w:rFonts w:ascii="Arial" w:hAnsi="Arial" w:cs="Arial"/>
          <w:iCs/>
          <w:sz w:val="26"/>
          <w:szCs w:val="26"/>
        </w:rPr>
        <w:t>,</w:t>
      </w:r>
      <w:r w:rsidR="005834CF" w:rsidRPr="006F28C9">
        <w:rPr>
          <w:rFonts w:ascii="Arial" w:hAnsi="Arial" w:cs="Arial"/>
          <w:iCs/>
          <w:sz w:val="26"/>
          <w:szCs w:val="26"/>
        </w:rPr>
        <w:t xml:space="preserve"> nor does it apply to juristic persons with an asset value or annual turnover of less than R1 million who enter</w:t>
      </w:r>
      <w:r w:rsidR="00C80C2A" w:rsidRPr="006F28C9">
        <w:rPr>
          <w:rFonts w:ascii="Arial" w:hAnsi="Arial" w:cs="Arial"/>
          <w:iCs/>
          <w:sz w:val="26"/>
          <w:szCs w:val="26"/>
        </w:rPr>
        <w:t>s</w:t>
      </w:r>
      <w:r w:rsidR="005834CF" w:rsidRPr="006F28C9">
        <w:rPr>
          <w:rFonts w:ascii="Arial" w:hAnsi="Arial" w:cs="Arial"/>
          <w:iCs/>
          <w:sz w:val="26"/>
          <w:szCs w:val="26"/>
        </w:rPr>
        <w:t xml:space="preserve"> into a mortgage agreement or an agreement with a loan value of more than R250 000.</w:t>
      </w:r>
      <w:r w:rsidR="00C80C2A" w:rsidRPr="006F28C9">
        <w:rPr>
          <w:rFonts w:ascii="Arial" w:hAnsi="Arial" w:cs="Arial"/>
          <w:iCs/>
          <w:sz w:val="26"/>
          <w:szCs w:val="26"/>
        </w:rPr>
        <w:t xml:space="preserve"> In this case the loan amount exceeds R 250 000, so irrespective of the turnover of the Defendant, the </w:t>
      </w:r>
      <w:r w:rsidR="00433446" w:rsidRPr="006F28C9">
        <w:rPr>
          <w:rFonts w:ascii="Arial" w:hAnsi="Arial" w:cs="Arial"/>
          <w:iCs/>
          <w:sz w:val="26"/>
          <w:szCs w:val="26"/>
        </w:rPr>
        <w:t xml:space="preserve">National Credit Act is not applicable, and there is, therefore, no statutory requirement to deliver a notice to the Defendant </w:t>
      </w:r>
      <w:r w:rsidR="00C80C2A" w:rsidRPr="006F28C9">
        <w:rPr>
          <w:rFonts w:ascii="Arial" w:hAnsi="Arial" w:cs="Arial"/>
          <w:iCs/>
          <w:sz w:val="26"/>
          <w:szCs w:val="26"/>
        </w:rPr>
        <w:t xml:space="preserve">in terms of section 129 </w:t>
      </w:r>
      <w:r w:rsidR="00433446" w:rsidRPr="006F28C9">
        <w:rPr>
          <w:rFonts w:ascii="Arial" w:hAnsi="Arial" w:cs="Arial"/>
          <w:iCs/>
          <w:sz w:val="26"/>
          <w:szCs w:val="26"/>
        </w:rPr>
        <w:t>prior to the enforcement of the agreement.</w:t>
      </w:r>
      <w:r w:rsidR="00C80C2A" w:rsidRPr="006F28C9">
        <w:rPr>
          <w:rFonts w:ascii="Arial" w:hAnsi="Arial" w:cs="Arial"/>
          <w:iCs/>
          <w:sz w:val="26"/>
          <w:szCs w:val="26"/>
        </w:rPr>
        <w:t xml:space="preserve"> </w:t>
      </w:r>
    </w:p>
    <w:p w14:paraId="41D672DC" w14:textId="77777777" w:rsidR="00F342FA" w:rsidRPr="00F342FA" w:rsidRDefault="00F342FA" w:rsidP="00F342FA">
      <w:pPr>
        <w:spacing w:line="360" w:lineRule="auto"/>
        <w:jc w:val="both"/>
        <w:rPr>
          <w:rFonts w:ascii="Arial" w:hAnsi="Arial" w:cs="Arial"/>
          <w:iCs/>
          <w:sz w:val="26"/>
          <w:szCs w:val="26"/>
        </w:rPr>
      </w:pPr>
    </w:p>
    <w:p w14:paraId="353939BD" w14:textId="7BB837F5" w:rsidR="00433446" w:rsidRPr="006F28C9" w:rsidRDefault="006F28C9" w:rsidP="006F28C9">
      <w:pPr>
        <w:spacing w:line="360" w:lineRule="auto"/>
        <w:ind w:left="720" w:hanging="360"/>
        <w:jc w:val="both"/>
        <w:rPr>
          <w:rFonts w:ascii="Arial" w:hAnsi="Arial" w:cs="Arial"/>
          <w:iCs/>
          <w:sz w:val="26"/>
          <w:szCs w:val="26"/>
        </w:rPr>
      </w:pPr>
      <w:r>
        <w:rPr>
          <w:rFonts w:ascii="Arial" w:hAnsi="Arial" w:cs="Arial"/>
          <w:iCs/>
          <w:sz w:val="26"/>
          <w:szCs w:val="26"/>
        </w:rPr>
        <w:t>[32]</w:t>
      </w:r>
      <w:r>
        <w:rPr>
          <w:rFonts w:ascii="Arial" w:hAnsi="Arial" w:cs="Arial"/>
          <w:iCs/>
          <w:sz w:val="26"/>
          <w:szCs w:val="26"/>
        </w:rPr>
        <w:tab/>
      </w:r>
      <w:r w:rsidR="00B036EF" w:rsidRPr="006F28C9">
        <w:rPr>
          <w:rFonts w:ascii="Arial" w:hAnsi="Arial" w:cs="Arial"/>
          <w:sz w:val="26"/>
          <w:szCs w:val="26"/>
        </w:rPr>
        <w:t xml:space="preserve">However, </w:t>
      </w:r>
      <w:r w:rsidR="00433446" w:rsidRPr="006F28C9">
        <w:rPr>
          <w:rFonts w:ascii="Arial" w:hAnsi="Arial" w:cs="Arial"/>
          <w:sz w:val="26"/>
          <w:szCs w:val="26"/>
        </w:rPr>
        <w:t xml:space="preserve">the </w:t>
      </w:r>
      <w:r w:rsidR="00F342FA" w:rsidRPr="006F28C9">
        <w:rPr>
          <w:rFonts w:ascii="Arial" w:hAnsi="Arial" w:cs="Arial"/>
          <w:sz w:val="26"/>
          <w:szCs w:val="26"/>
        </w:rPr>
        <w:t>P</w:t>
      </w:r>
      <w:r w:rsidR="00433446" w:rsidRPr="006F28C9">
        <w:rPr>
          <w:rFonts w:ascii="Arial" w:hAnsi="Arial" w:cs="Arial"/>
          <w:sz w:val="26"/>
          <w:szCs w:val="26"/>
        </w:rPr>
        <w:t xml:space="preserve">laintiff </w:t>
      </w:r>
      <w:r w:rsidR="004B51C3" w:rsidRPr="006F28C9">
        <w:rPr>
          <w:rFonts w:ascii="Arial" w:hAnsi="Arial" w:cs="Arial"/>
          <w:sz w:val="26"/>
          <w:szCs w:val="26"/>
        </w:rPr>
        <w:t xml:space="preserve">on 26 February 2020 sent </w:t>
      </w:r>
      <w:r w:rsidR="00433446" w:rsidRPr="006F28C9">
        <w:rPr>
          <w:rFonts w:ascii="Arial" w:hAnsi="Arial" w:cs="Arial"/>
          <w:sz w:val="26"/>
          <w:szCs w:val="26"/>
        </w:rPr>
        <w:t xml:space="preserve">the </w:t>
      </w:r>
      <w:r w:rsidR="004B51C3" w:rsidRPr="006F28C9">
        <w:rPr>
          <w:rFonts w:ascii="Arial" w:hAnsi="Arial" w:cs="Arial"/>
          <w:sz w:val="26"/>
          <w:szCs w:val="26"/>
        </w:rPr>
        <w:t>D</w:t>
      </w:r>
      <w:r w:rsidR="00433446" w:rsidRPr="006F28C9">
        <w:rPr>
          <w:rFonts w:ascii="Arial" w:hAnsi="Arial" w:cs="Arial"/>
          <w:sz w:val="26"/>
          <w:szCs w:val="26"/>
        </w:rPr>
        <w:t>efendant a letter of demand</w:t>
      </w:r>
      <w:r w:rsidR="00B036EF" w:rsidRPr="006F28C9">
        <w:rPr>
          <w:rFonts w:ascii="Arial" w:hAnsi="Arial" w:cs="Arial"/>
          <w:sz w:val="26"/>
          <w:szCs w:val="26"/>
        </w:rPr>
        <w:t>,</w:t>
      </w:r>
      <w:r w:rsidR="00433446" w:rsidRPr="006F28C9">
        <w:rPr>
          <w:rFonts w:ascii="Arial" w:hAnsi="Arial" w:cs="Arial"/>
          <w:sz w:val="26"/>
          <w:szCs w:val="26"/>
        </w:rPr>
        <w:t xml:space="preserve"> </w:t>
      </w:r>
      <w:r w:rsidR="00B036EF" w:rsidRPr="006F28C9">
        <w:rPr>
          <w:rFonts w:ascii="Arial" w:hAnsi="Arial" w:cs="Arial"/>
          <w:iCs/>
          <w:sz w:val="26"/>
          <w:szCs w:val="26"/>
        </w:rPr>
        <w:t xml:space="preserve">dated 24 February 2020, </w:t>
      </w:r>
      <w:r w:rsidR="00433446" w:rsidRPr="006F28C9">
        <w:rPr>
          <w:rFonts w:ascii="Arial" w:hAnsi="Arial" w:cs="Arial"/>
          <w:sz w:val="26"/>
          <w:szCs w:val="26"/>
        </w:rPr>
        <w:t xml:space="preserve">by </w:t>
      </w:r>
      <w:r w:rsidR="004B51C3" w:rsidRPr="006F28C9">
        <w:rPr>
          <w:rFonts w:ascii="Arial" w:hAnsi="Arial" w:cs="Arial"/>
          <w:sz w:val="26"/>
          <w:szCs w:val="26"/>
        </w:rPr>
        <w:t xml:space="preserve">pre-paid </w:t>
      </w:r>
      <w:r w:rsidR="00433446" w:rsidRPr="006F28C9">
        <w:rPr>
          <w:rFonts w:ascii="Arial" w:hAnsi="Arial" w:cs="Arial"/>
          <w:sz w:val="26"/>
          <w:szCs w:val="26"/>
        </w:rPr>
        <w:t xml:space="preserve">registered post </w:t>
      </w:r>
      <w:r w:rsidR="00B036EF" w:rsidRPr="006F28C9">
        <w:rPr>
          <w:rFonts w:ascii="Arial" w:hAnsi="Arial" w:cs="Arial"/>
          <w:sz w:val="26"/>
          <w:szCs w:val="26"/>
        </w:rPr>
        <w:t>to</w:t>
      </w:r>
      <w:r w:rsidR="00433446" w:rsidRPr="006F28C9">
        <w:rPr>
          <w:rFonts w:ascii="Arial" w:hAnsi="Arial" w:cs="Arial"/>
          <w:sz w:val="26"/>
          <w:szCs w:val="26"/>
        </w:rPr>
        <w:t xml:space="preserve"> the </w:t>
      </w:r>
      <w:r w:rsidR="00433446" w:rsidRPr="006F28C9">
        <w:rPr>
          <w:rFonts w:ascii="Arial" w:hAnsi="Arial" w:cs="Arial"/>
          <w:iCs/>
          <w:sz w:val="26"/>
          <w:szCs w:val="26"/>
        </w:rPr>
        <w:t xml:space="preserve">business address </w:t>
      </w:r>
      <w:r w:rsidR="007257B0" w:rsidRPr="006F28C9">
        <w:rPr>
          <w:rFonts w:ascii="Arial" w:hAnsi="Arial" w:cs="Arial"/>
          <w:iCs/>
          <w:sz w:val="26"/>
          <w:szCs w:val="26"/>
        </w:rPr>
        <w:t xml:space="preserve">of the Defendant, </w:t>
      </w:r>
      <w:r w:rsidR="00433446" w:rsidRPr="006F28C9">
        <w:rPr>
          <w:rFonts w:ascii="Arial" w:hAnsi="Arial" w:cs="Arial"/>
          <w:iCs/>
          <w:sz w:val="26"/>
          <w:szCs w:val="26"/>
        </w:rPr>
        <w:t xml:space="preserve">which is its </w:t>
      </w:r>
      <w:r w:rsidR="00433446" w:rsidRPr="006F28C9">
        <w:rPr>
          <w:rFonts w:ascii="Arial" w:hAnsi="Arial" w:cs="Arial"/>
          <w:i/>
          <w:iCs/>
          <w:sz w:val="26"/>
          <w:szCs w:val="26"/>
        </w:rPr>
        <w:t>domicilium citandi et executandi</w:t>
      </w:r>
      <w:r w:rsidR="004B51C3" w:rsidRPr="006F28C9">
        <w:rPr>
          <w:rFonts w:ascii="Arial" w:hAnsi="Arial" w:cs="Arial"/>
          <w:iCs/>
          <w:sz w:val="26"/>
          <w:szCs w:val="26"/>
        </w:rPr>
        <w:t xml:space="preserve"> in terms of the agreement. </w:t>
      </w:r>
      <w:r w:rsidR="0086317A" w:rsidRPr="006F28C9">
        <w:rPr>
          <w:rFonts w:ascii="Arial" w:hAnsi="Arial" w:cs="Arial"/>
          <w:iCs/>
          <w:sz w:val="26"/>
          <w:szCs w:val="26"/>
        </w:rPr>
        <w:t xml:space="preserve">The track </w:t>
      </w:r>
      <w:r w:rsidR="00433446" w:rsidRPr="006F28C9">
        <w:rPr>
          <w:rFonts w:ascii="Arial" w:hAnsi="Arial" w:cs="Arial"/>
          <w:iCs/>
          <w:sz w:val="26"/>
          <w:szCs w:val="26"/>
        </w:rPr>
        <w:t>and trace report</w:t>
      </w:r>
      <w:r w:rsidR="0086317A" w:rsidRPr="006F28C9">
        <w:rPr>
          <w:rFonts w:ascii="Arial" w:hAnsi="Arial" w:cs="Arial"/>
          <w:iCs/>
          <w:sz w:val="26"/>
          <w:szCs w:val="26"/>
        </w:rPr>
        <w:t xml:space="preserve"> attached to the particulars of claim</w:t>
      </w:r>
      <w:r w:rsidR="00433446" w:rsidRPr="006F28C9">
        <w:rPr>
          <w:rFonts w:ascii="Arial" w:hAnsi="Arial" w:cs="Arial"/>
          <w:iCs/>
          <w:sz w:val="26"/>
          <w:szCs w:val="26"/>
        </w:rPr>
        <w:t xml:space="preserve"> shows that the letter arrived at the </w:t>
      </w:r>
      <w:r w:rsidR="0086317A" w:rsidRPr="006F28C9">
        <w:rPr>
          <w:rFonts w:ascii="Arial" w:hAnsi="Arial" w:cs="Arial"/>
          <w:iCs/>
          <w:sz w:val="26"/>
          <w:szCs w:val="26"/>
        </w:rPr>
        <w:t xml:space="preserve">relevant </w:t>
      </w:r>
      <w:r w:rsidR="00433446" w:rsidRPr="006F28C9">
        <w:rPr>
          <w:rFonts w:ascii="Arial" w:hAnsi="Arial" w:cs="Arial"/>
          <w:iCs/>
          <w:sz w:val="26"/>
          <w:szCs w:val="26"/>
        </w:rPr>
        <w:t xml:space="preserve">post office and that </w:t>
      </w:r>
      <w:r w:rsidR="0086317A" w:rsidRPr="006F28C9">
        <w:rPr>
          <w:rFonts w:ascii="Arial" w:hAnsi="Arial" w:cs="Arial"/>
          <w:iCs/>
          <w:sz w:val="26"/>
          <w:szCs w:val="26"/>
        </w:rPr>
        <w:t xml:space="preserve">a first </w:t>
      </w:r>
      <w:r w:rsidR="00433446" w:rsidRPr="006F28C9">
        <w:rPr>
          <w:rFonts w:ascii="Arial" w:hAnsi="Arial" w:cs="Arial"/>
          <w:iCs/>
          <w:sz w:val="26"/>
          <w:szCs w:val="26"/>
        </w:rPr>
        <w:t xml:space="preserve">notification was </w:t>
      </w:r>
      <w:r w:rsidR="0086317A" w:rsidRPr="006F28C9">
        <w:rPr>
          <w:rFonts w:ascii="Arial" w:hAnsi="Arial" w:cs="Arial"/>
          <w:iCs/>
          <w:sz w:val="26"/>
          <w:szCs w:val="26"/>
        </w:rPr>
        <w:t xml:space="preserve">sent </w:t>
      </w:r>
      <w:r w:rsidR="00433446" w:rsidRPr="006F28C9">
        <w:rPr>
          <w:rFonts w:ascii="Arial" w:hAnsi="Arial" w:cs="Arial"/>
          <w:iCs/>
          <w:sz w:val="26"/>
          <w:szCs w:val="26"/>
        </w:rPr>
        <w:t xml:space="preserve">to the recipient.  </w:t>
      </w:r>
    </w:p>
    <w:p w14:paraId="02F68EFD" w14:textId="77777777" w:rsidR="0066636B" w:rsidRPr="0066636B" w:rsidRDefault="0066636B" w:rsidP="0066636B">
      <w:pPr>
        <w:spacing w:line="360" w:lineRule="auto"/>
        <w:ind w:left="360"/>
        <w:jc w:val="both"/>
        <w:rPr>
          <w:rFonts w:ascii="Arial" w:hAnsi="Arial" w:cs="Arial"/>
          <w:iCs/>
          <w:sz w:val="26"/>
          <w:szCs w:val="26"/>
        </w:rPr>
      </w:pPr>
    </w:p>
    <w:p w14:paraId="7E1F2DB2" w14:textId="5EB5E2EA" w:rsidR="00A75B49" w:rsidRPr="006F28C9" w:rsidRDefault="006F28C9" w:rsidP="006F28C9">
      <w:pPr>
        <w:spacing w:line="360" w:lineRule="auto"/>
        <w:ind w:left="720" w:hanging="360"/>
        <w:jc w:val="both"/>
        <w:rPr>
          <w:rFonts w:ascii="Arial" w:hAnsi="Arial" w:cs="Arial"/>
          <w:iCs/>
          <w:sz w:val="26"/>
          <w:szCs w:val="26"/>
        </w:rPr>
      </w:pPr>
      <w:r>
        <w:rPr>
          <w:rFonts w:ascii="Arial" w:hAnsi="Arial" w:cs="Arial"/>
          <w:iCs/>
          <w:sz w:val="26"/>
          <w:szCs w:val="26"/>
        </w:rPr>
        <w:t>[33]</w:t>
      </w:r>
      <w:r>
        <w:rPr>
          <w:rFonts w:ascii="Arial" w:hAnsi="Arial" w:cs="Arial"/>
          <w:iCs/>
          <w:sz w:val="26"/>
          <w:szCs w:val="26"/>
        </w:rPr>
        <w:tab/>
      </w:r>
      <w:r w:rsidR="00A75B49" w:rsidRPr="006F28C9">
        <w:rPr>
          <w:rFonts w:ascii="Arial" w:hAnsi="Arial" w:cs="Arial"/>
          <w:iCs/>
          <w:sz w:val="26"/>
          <w:szCs w:val="26"/>
        </w:rPr>
        <w:t xml:space="preserve">The </w:t>
      </w:r>
      <w:r w:rsidR="004B51C3" w:rsidRPr="006F28C9">
        <w:rPr>
          <w:rFonts w:ascii="Arial" w:hAnsi="Arial" w:cs="Arial"/>
          <w:iCs/>
          <w:sz w:val="26"/>
          <w:szCs w:val="26"/>
        </w:rPr>
        <w:t>D</w:t>
      </w:r>
      <w:r w:rsidR="00A75B49" w:rsidRPr="006F28C9">
        <w:rPr>
          <w:rFonts w:ascii="Arial" w:hAnsi="Arial" w:cs="Arial"/>
          <w:iCs/>
          <w:sz w:val="26"/>
          <w:szCs w:val="26"/>
        </w:rPr>
        <w:t>efendant submits that it</w:t>
      </w:r>
      <w:r w:rsidR="00B500E2" w:rsidRPr="006F28C9">
        <w:rPr>
          <w:rFonts w:ascii="Arial" w:hAnsi="Arial" w:cs="Arial"/>
          <w:iCs/>
          <w:sz w:val="26"/>
          <w:szCs w:val="26"/>
        </w:rPr>
        <w:t xml:space="preserve"> has </w:t>
      </w:r>
      <w:r w:rsidR="00A75B49" w:rsidRPr="006F28C9">
        <w:rPr>
          <w:rFonts w:ascii="Arial" w:hAnsi="Arial" w:cs="Arial"/>
          <w:iCs/>
          <w:sz w:val="26"/>
          <w:szCs w:val="26"/>
        </w:rPr>
        <w:t>disclose</w:t>
      </w:r>
      <w:r w:rsidR="00B500E2" w:rsidRPr="006F28C9">
        <w:rPr>
          <w:rFonts w:ascii="Arial" w:hAnsi="Arial" w:cs="Arial"/>
          <w:iCs/>
          <w:sz w:val="26"/>
          <w:szCs w:val="26"/>
        </w:rPr>
        <w:t>d</w:t>
      </w:r>
      <w:r w:rsidR="00A75B49" w:rsidRPr="006F28C9">
        <w:rPr>
          <w:rFonts w:ascii="Arial" w:hAnsi="Arial" w:cs="Arial"/>
          <w:iCs/>
          <w:sz w:val="26"/>
          <w:szCs w:val="26"/>
        </w:rPr>
        <w:t xml:space="preserve"> a </w:t>
      </w:r>
      <w:r w:rsidR="00A75B49" w:rsidRPr="006F28C9">
        <w:rPr>
          <w:rFonts w:ascii="Arial" w:hAnsi="Arial" w:cs="Arial"/>
          <w:i/>
          <w:iCs/>
          <w:sz w:val="26"/>
          <w:szCs w:val="26"/>
        </w:rPr>
        <w:t>bona fide</w:t>
      </w:r>
      <w:r w:rsidR="00A75B49" w:rsidRPr="006F28C9">
        <w:rPr>
          <w:rFonts w:ascii="Arial" w:hAnsi="Arial" w:cs="Arial"/>
          <w:iCs/>
          <w:sz w:val="26"/>
          <w:szCs w:val="26"/>
        </w:rPr>
        <w:t xml:space="preserve"> defence and raise</w:t>
      </w:r>
      <w:r w:rsidR="00B500E2" w:rsidRPr="006F28C9">
        <w:rPr>
          <w:rFonts w:ascii="Arial" w:hAnsi="Arial" w:cs="Arial"/>
          <w:iCs/>
          <w:sz w:val="26"/>
          <w:szCs w:val="26"/>
        </w:rPr>
        <w:t>d</w:t>
      </w:r>
      <w:r w:rsidR="00A75B49" w:rsidRPr="006F28C9">
        <w:rPr>
          <w:rFonts w:ascii="Arial" w:hAnsi="Arial" w:cs="Arial"/>
          <w:iCs/>
          <w:sz w:val="26"/>
          <w:szCs w:val="26"/>
        </w:rPr>
        <w:t xml:space="preserve"> issues for trial. In respect of costs the </w:t>
      </w:r>
      <w:r w:rsidR="004B51C3" w:rsidRPr="006F28C9">
        <w:rPr>
          <w:rFonts w:ascii="Arial" w:hAnsi="Arial" w:cs="Arial"/>
          <w:iCs/>
          <w:sz w:val="26"/>
          <w:szCs w:val="26"/>
        </w:rPr>
        <w:t>D</w:t>
      </w:r>
      <w:r w:rsidR="00A75B49" w:rsidRPr="006F28C9">
        <w:rPr>
          <w:rFonts w:ascii="Arial" w:hAnsi="Arial" w:cs="Arial"/>
          <w:iCs/>
          <w:sz w:val="26"/>
          <w:szCs w:val="26"/>
        </w:rPr>
        <w:t xml:space="preserve">efendant prays for an order on a punitive scale, but also that the action </w:t>
      </w:r>
      <w:r w:rsidR="00B500E2" w:rsidRPr="006F28C9">
        <w:rPr>
          <w:rFonts w:ascii="Arial" w:hAnsi="Arial" w:cs="Arial"/>
          <w:iCs/>
          <w:sz w:val="26"/>
          <w:szCs w:val="26"/>
        </w:rPr>
        <w:t>be</w:t>
      </w:r>
      <w:r w:rsidR="00A75B49" w:rsidRPr="006F28C9">
        <w:rPr>
          <w:rFonts w:ascii="Arial" w:hAnsi="Arial" w:cs="Arial"/>
          <w:iCs/>
          <w:sz w:val="26"/>
          <w:szCs w:val="26"/>
        </w:rPr>
        <w:t xml:space="preserve"> stayed pending payment of such costs by </w:t>
      </w:r>
      <w:r w:rsidR="008C7C8A" w:rsidRPr="006F28C9">
        <w:rPr>
          <w:rFonts w:ascii="Arial" w:hAnsi="Arial" w:cs="Arial"/>
          <w:iCs/>
          <w:sz w:val="26"/>
          <w:szCs w:val="26"/>
        </w:rPr>
        <w:t>the Plaintiff</w:t>
      </w:r>
      <w:r w:rsidR="00A75B49" w:rsidRPr="006F28C9">
        <w:rPr>
          <w:rFonts w:ascii="Arial" w:hAnsi="Arial" w:cs="Arial"/>
          <w:iCs/>
          <w:sz w:val="26"/>
          <w:szCs w:val="26"/>
        </w:rPr>
        <w:t xml:space="preserve">.  </w:t>
      </w:r>
    </w:p>
    <w:p w14:paraId="4026DADA" w14:textId="77777777" w:rsidR="0066636B" w:rsidRPr="0066636B" w:rsidRDefault="0066636B" w:rsidP="0066636B">
      <w:pPr>
        <w:spacing w:line="360" w:lineRule="auto"/>
        <w:jc w:val="both"/>
        <w:rPr>
          <w:rFonts w:ascii="Arial" w:hAnsi="Arial" w:cs="Arial"/>
          <w:iCs/>
          <w:sz w:val="26"/>
          <w:szCs w:val="26"/>
        </w:rPr>
      </w:pPr>
    </w:p>
    <w:p w14:paraId="0D7CE1FE" w14:textId="34C46014" w:rsidR="0066636B" w:rsidRPr="006F28C9" w:rsidRDefault="006F28C9" w:rsidP="006F28C9">
      <w:pPr>
        <w:spacing w:line="360" w:lineRule="auto"/>
        <w:ind w:left="720" w:hanging="360"/>
        <w:jc w:val="both"/>
        <w:rPr>
          <w:rFonts w:ascii="Arial" w:hAnsi="Arial" w:cs="Arial"/>
          <w:bCs/>
          <w:iCs/>
          <w:sz w:val="26"/>
          <w:szCs w:val="26"/>
        </w:rPr>
      </w:pPr>
      <w:r w:rsidRPr="00873407">
        <w:rPr>
          <w:rFonts w:ascii="Arial" w:hAnsi="Arial" w:cs="Arial"/>
          <w:bCs/>
          <w:iCs/>
          <w:sz w:val="26"/>
          <w:szCs w:val="26"/>
        </w:rPr>
        <w:t>[34]</w:t>
      </w:r>
      <w:r w:rsidRPr="00873407">
        <w:rPr>
          <w:rFonts w:ascii="Arial" w:hAnsi="Arial" w:cs="Arial"/>
          <w:bCs/>
          <w:iCs/>
          <w:sz w:val="26"/>
          <w:szCs w:val="26"/>
        </w:rPr>
        <w:tab/>
      </w:r>
      <w:r w:rsidR="008C7C8A" w:rsidRPr="006F28C9">
        <w:rPr>
          <w:rFonts w:ascii="Arial" w:hAnsi="Arial" w:cs="Arial"/>
          <w:iCs/>
          <w:sz w:val="26"/>
          <w:szCs w:val="26"/>
        </w:rPr>
        <w:t>I cannot agree</w:t>
      </w:r>
      <w:r w:rsidR="004B51C3" w:rsidRPr="006F28C9">
        <w:rPr>
          <w:rFonts w:ascii="Arial" w:hAnsi="Arial" w:cs="Arial"/>
          <w:iCs/>
          <w:sz w:val="26"/>
          <w:szCs w:val="26"/>
        </w:rPr>
        <w:t>.</w:t>
      </w:r>
      <w:r w:rsidR="008C7C8A" w:rsidRPr="006F28C9">
        <w:rPr>
          <w:rFonts w:ascii="Arial" w:hAnsi="Arial" w:cs="Arial"/>
          <w:iCs/>
          <w:sz w:val="26"/>
          <w:szCs w:val="26"/>
        </w:rPr>
        <w:t xml:space="preserve"> </w:t>
      </w:r>
      <w:r w:rsidR="0043124F" w:rsidRPr="006F28C9">
        <w:rPr>
          <w:rFonts w:ascii="Arial" w:hAnsi="Arial" w:cs="Arial"/>
          <w:sz w:val="26"/>
          <w:szCs w:val="26"/>
        </w:rPr>
        <w:t xml:space="preserve">The </w:t>
      </w:r>
      <w:r w:rsidR="008C7C8A" w:rsidRPr="006F28C9">
        <w:rPr>
          <w:rFonts w:ascii="Arial" w:hAnsi="Arial" w:cs="Arial"/>
          <w:sz w:val="26"/>
          <w:szCs w:val="26"/>
        </w:rPr>
        <w:t>D</w:t>
      </w:r>
      <w:r w:rsidR="0043124F" w:rsidRPr="006F28C9">
        <w:rPr>
          <w:rFonts w:ascii="Arial" w:hAnsi="Arial" w:cs="Arial"/>
          <w:sz w:val="26"/>
          <w:szCs w:val="26"/>
        </w:rPr>
        <w:t xml:space="preserve">efendant </w:t>
      </w:r>
      <w:r w:rsidR="004B51C3" w:rsidRPr="006F28C9">
        <w:rPr>
          <w:rFonts w:ascii="Arial" w:hAnsi="Arial" w:cs="Arial"/>
          <w:sz w:val="26"/>
          <w:szCs w:val="26"/>
        </w:rPr>
        <w:t xml:space="preserve">has </w:t>
      </w:r>
      <w:r w:rsidR="0043124F" w:rsidRPr="006F28C9">
        <w:rPr>
          <w:rFonts w:ascii="Arial" w:hAnsi="Arial" w:cs="Arial"/>
          <w:sz w:val="26"/>
          <w:szCs w:val="26"/>
        </w:rPr>
        <w:t>failed to provide the material facts upon which its defence is based with sufficient particularity and completeness</w:t>
      </w:r>
      <w:r w:rsidR="00ED5511" w:rsidRPr="006F28C9">
        <w:rPr>
          <w:rFonts w:ascii="Arial" w:hAnsi="Arial" w:cs="Arial"/>
          <w:sz w:val="26"/>
          <w:szCs w:val="26"/>
        </w:rPr>
        <w:t>. N</w:t>
      </w:r>
      <w:r w:rsidR="008C7C8A" w:rsidRPr="006F28C9">
        <w:rPr>
          <w:rFonts w:ascii="Arial" w:hAnsi="Arial" w:cs="Arial"/>
          <w:iCs/>
          <w:sz w:val="26"/>
          <w:szCs w:val="26"/>
        </w:rPr>
        <w:t xml:space="preserve">o </w:t>
      </w:r>
      <w:r w:rsidR="008C7C8A" w:rsidRPr="006F28C9">
        <w:rPr>
          <w:rFonts w:ascii="Arial" w:hAnsi="Arial" w:cs="Arial"/>
          <w:i/>
          <w:iCs/>
          <w:sz w:val="26"/>
          <w:szCs w:val="26"/>
        </w:rPr>
        <w:t>bona fide</w:t>
      </w:r>
      <w:r w:rsidR="008C7C8A" w:rsidRPr="006F28C9">
        <w:rPr>
          <w:rFonts w:ascii="Arial" w:hAnsi="Arial" w:cs="Arial"/>
          <w:iCs/>
          <w:sz w:val="26"/>
          <w:szCs w:val="26"/>
        </w:rPr>
        <w:t xml:space="preserve"> defence has been </w:t>
      </w:r>
      <w:r w:rsidR="00ED5511" w:rsidRPr="006F28C9">
        <w:rPr>
          <w:rFonts w:ascii="Arial" w:hAnsi="Arial" w:cs="Arial"/>
          <w:iCs/>
          <w:sz w:val="26"/>
          <w:szCs w:val="26"/>
        </w:rPr>
        <w:t>disclosed</w:t>
      </w:r>
      <w:r w:rsidR="008C7C8A" w:rsidRPr="006F28C9">
        <w:rPr>
          <w:rFonts w:ascii="Arial" w:hAnsi="Arial" w:cs="Arial"/>
          <w:iCs/>
          <w:sz w:val="26"/>
          <w:szCs w:val="26"/>
        </w:rPr>
        <w:t xml:space="preserve">. </w:t>
      </w:r>
      <w:r w:rsidR="000E67D1" w:rsidRPr="006F28C9">
        <w:rPr>
          <w:rFonts w:ascii="Arial" w:hAnsi="Arial" w:cs="Arial"/>
          <w:sz w:val="26"/>
          <w:szCs w:val="26"/>
        </w:rPr>
        <w:t>S</w:t>
      </w:r>
      <w:r w:rsidR="00166494" w:rsidRPr="006F28C9">
        <w:rPr>
          <w:rFonts w:ascii="Arial" w:hAnsi="Arial" w:cs="Arial"/>
          <w:sz w:val="26"/>
          <w:szCs w:val="26"/>
        </w:rPr>
        <w:t>u</w:t>
      </w:r>
      <w:r w:rsidR="007B299B" w:rsidRPr="006F28C9">
        <w:rPr>
          <w:rFonts w:ascii="Arial" w:hAnsi="Arial" w:cs="Arial"/>
          <w:sz w:val="26"/>
          <w:szCs w:val="26"/>
        </w:rPr>
        <w:t xml:space="preserve">mmary judgment should be entered in favour of the </w:t>
      </w:r>
      <w:r w:rsidR="00B500E2" w:rsidRPr="006F28C9">
        <w:rPr>
          <w:rFonts w:ascii="Arial" w:hAnsi="Arial" w:cs="Arial"/>
          <w:sz w:val="26"/>
          <w:szCs w:val="26"/>
        </w:rPr>
        <w:t>Plaintiff</w:t>
      </w:r>
      <w:r w:rsidR="007B299B" w:rsidRPr="006F28C9">
        <w:rPr>
          <w:rFonts w:ascii="Arial" w:hAnsi="Arial" w:cs="Arial"/>
          <w:sz w:val="26"/>
          <w:szCs w:val="26"/>
        </w:rPr>
        <w:t>.</w:t>
      </w:r>
      <w:r w:rsidR="000E67D1" w:rsidRPr="006F28C9">
        <w:rPr>
          <w:rFonts w:ascii="Arial" w:hAnsi="Arial" w:cs="Arial"/>
          <w:sz w:val="26"/>
          <w:szCs w:val="26"/>
        </w:rPr>
        <w:t xml:space="preserve"> </w:t>
      </w:r>
      <w:r w:rsidR="001309F0" w:rsidRPr="006F28C9">
        <w:rPr>
          <w:rFonts w:ascii="Arial" w:hAnsi="Arial" w:cs="Arial"/>
          <w:sz w:val="26"/>
          <w:szCs w:val="26"/>
        </w:rPr>
        <w:t xml:space="preserve">I intend to make the draft order presented by the Plaintiff an order of court. It is reproduced below. </w:t>
      </w:r>
    </w:p>
    <w:p w14:paraId="59A97781" w14:textId="77777777" w:rsidR="00A60A07" w:rsidRDefault="00A60A07" w:rsidP="00814179">
      <w:pPr>
        <w:pStyle w:val="NormalWeb"/>
        <w:spacing w:line="360" w:lineRule="auto"/>
        <w:jc w:val="both"/>
        <w:rPr>
          <w:rFonts w:ascii="Arial" w:hAnsi="Arial" w:cs="Arial"/>
          <w:b/>
          <w:sz w:val="26"/>
          <w:szCs w:val="26"/>
        </w:rPr>
      </w:pPr>
    </w:p>
    <w:p w14:paraId="176E073B" w14:textId="5CF90E61" w:rsidR="00995C96" w:rsidRPr="00814179" w:rsidRDefault="006C61B5" w:rsidP="00814179">
      <w:pPr>
        <w:pStyle w:val="NormalWeb"/>
        <w:spacing w:line="360" w:lineRule="auto"/>
        <w:jc w:val="both"/>
        <w:rPr>
          <w:rFonts w:ascii="Arial" w:hAnsi="Arial" w:cs="Arial"/>
          <w:b/>
          <w:sz w:val="26"/>
          <w:szCs w:val="26"/>
        </w:rPr>
      </w:pPr>
      <w:r w:rsidRPr="00FA4765">
        <w:rPr>
          <w:rFonts w:ascii="Arial" w:hAnsi="Arial" w:cs="Arial"/>
          <w:b/>
          <w:sz w:val="26"/>
          <w:szCs w:val="26"/>
        </w:rPr>
        <w:t xml:space="preserve">IN THE </w:t>
      </w:r>
      <w:r w:rsidR="00873407">
        <w:rPr>
          <w:rFonts w:ascii="Arial" w:hAnsi="Arial" w:cs="Arial"/>
          <w:b/>
          <w:sz w:val="26"/>
          <w:szCs w:val="26"/>
        </w:rPr>
        <w:t>RESULT</w:t>
      </w:r>
      <w:r w:rsidR="00FE698C" w:rsidRPr="00FA4765">
        <w:rPr>
          <w:rFonts w:ascii="Arial" w:hAnsi="Arial" w:cs="Arial"/>
          <w:b/>
          <w:sz w:val="26"/>
          <w:szCs w:val="26"/>
        </w:rPr>
        <w:t xml:space="preserve"> I MAKE THE FOLLOWING ORDER:</w:t>
      </w:r>
    </w:p>
    <w:p w14:paraId="5F2AC90D" w14:textId="3848ABBA" w:rsidR="00995C96" w:rsidRPr="006F28C9" w:rsidRDefault="006F28C9" w:rsidP="006F28C9">
      <w:pPr>
        <w:spacing w:line="360" w:lineRule="auto"/>
        <w:ind w:left="1080" w:hanging="360"/>
        <w:jc w:val="both"/>
        <w:rPr>
          <w:rFonts w:ascii="Arial" w:hAnsi="Arial" w:cs="Arial"/>
          <w:bCs/>
          <w:iCs/>
          <w:sz w:val="26"/>
          <w:szCs w:val="26"/>
        </w:rPr>
      </w:pPr>
      <w:r w:rsidRPr="00FA4765">
        <w:rPr>
          <w:rFonts w:ascii="Arial" w:hAnsi="Arial" w:cs="Arial"/>
          <w:bCs/>
          <w:iCs/>
          <w:sz w:val="26"/>
          <w:szCs w:val="26"/>
        </w:rPr>
        <w:t>1.</w:t>
      </w:r>
      <w:r w:rsidRPr="00FA4765">
        <w:rPr>
          <w:rFonts w:ascii="Arial" w:hAnsi="Arial" w:cs="Arial"/>
          <w:bCs/>
          <w:iCs/>
          <w:sz w:val="26"/>
          <w:szCs w:val="26"/>
        </w:rPr>
        <w:tab/>
      </w:r>
      <w:r w:rsidR="00995C96" w:rsidRPr="006F28C9">
        <w:rPr>
          <w:rFonts w:ascii="Arial" w:hAnsi="Arial" w:cs="Arial"/>
          <w:bCs/>
          <w:iCs/>
          <w:sz w:val="26"/>
          <w:szCs w:val="26"/>
        </w:rPr>
        <w:t>Summary judgment is granted against the Defendant for:</w:t>
      </w:r>
    </w:p>
    <w:p w14:paraId="73182471" w14:textId="6B53133D" w:rsidR="00995C96" w:rsidRPr="006F28C9" w:rsidRDefault="006F28C9" w:rsidP="006F28C9">
      <w:pPr>
        <w:spacing w:line="360" w:lineRule="auto"/>
        <w:ind w:left="1800" w:hanging="360"/>
        <w:jc w:val="both"/>
        <w:rPr>
          <w:rFonts w:ascii="Arial" w:hAnsi="Arial" w:cs="Arial"/>
          <w:bCs/>
          <w:iCs/>
          <w:sz w:val="26"/>
          <w:szCs w:val="26"/>
        </w:rPr>
      </w:pPr>
      <w:r w:rsidRPr="00FA4765">
        <w:rPr>
          <w:rFonts w:ascii="Arial" w:hAnsi="Arial" w:cs="Arial"/>
          <w:bCs/>
          <w:iCs/>
          <w:sz w:val="26"/>
          <w:szCs w:val="26"/>
        </w:rPr>
        <w:t>a.</w:t>
      </w:r>
      <w:r w:rsidRPr="00FA4765">
        <w:rPr>
          <w:rFonts w:ascii="Arial" w:hAnsi="Arial" w:cs="Arial"/>
          <w:bCs/>
          <w:iCs/>
          <w:sz w:val="26"/>
          <w:szCs w:val="26"/>
        </w:rPr>
        <w:tab/>
      </w:r>
      <w:r w:rsidR="00995C96" w:rsidRPr="006F28C9">
        <w:rPr>
          <w:rFonts w:ascii="Arial" w:hAnsi="Arial" w:cs="Arial"/>
          <w:bCs/>
          <w:iCs/>
          <w:sz w:val="26"/>
          <w:szCs w:val="26"/>
        </w:rPr>
        <w:t>Cancellation of the credit agreement;</w:t>
      </w:r>
    </w:p>
    <w:p w14:paraId="003B043B" w14:textId="46145ED8" w:rsidR="00995C96" w:rsidRPr="006F28C9" w:rsidRDefault="006F28C9" w:rsidP="006F28C9">
      <w:pPr>
        <w:spacing w:line="360" w:lineRule="auto"/>
        <w:ind w:left="1800" w:hanging="360"/>
        <w:jc w:val="both"/>
        <w:rPr>
          <w:rFonts w:ascii="Arial" w:hAnsi="Arial" w:cs="Arial"/>
          <w:bCs/>
          <w:iCs/>
          <w:sz w:val="26"/>
          <w:szCs w:val="26"/>
        </w:rPr>
      </w:pPr>
      <w:r w:rsidRPr="00FA4765">
        <w:rPr>
          <w:rFonts w:ascii="Arial" w:hAnsi="Arial" w:cs="Arial"/>
          <w:bCs/>
          <w:iCs/>
          <w:sz w:val="26"/>
          <w:szCs w:val="26"/>
        </w:rPr>
        <w:t>b.</w:t>
      </w:r>
      <w:r w:rsidRPr="00FA4765">
        <w:rPr>
          <w:rFonts w:ascii="Arial" w:hAnsi="Arial" w:cs="Arial"/>
          <w:bCs/>
          <w:iCs/>
          <w:sz w:val="26"/>
          <w:szCs w:val="26"/>
        </w:rPr>
        <w:tab/>
      </w:r>
      <w:r w:rsidR="00995C96" w:rsidRPr="006F28C9">
        <w:rPr>
          <w:rFonts w:ascii="Arial" w:hAnsi="Arial" w:cs="Arial"/>
          <w:bCs/>
          <w:iCs/>
          <w:sz w:val="26"/>
          <w:szCs w:val="26"/>
        </w:rPr>
        <w:t>An Order directing the Defendant to forthwith return to the Plaintiff a certain 2019 HINO 500 2836 (DU5) 6X4 LWB F/C C/C motor vehicle with chassis number AHHFM2PT1XXX10106 and engine number P11CVT20507 (“the vehicle”), failing which the Sheriff is authorised to attach the vehicle wherever he may find same and hand the vehicle to the Plaintiff;</w:t>
      </w:r>
    </w:p>
    <w:p w14:paraId="731E049A" w14:textId="1943F4F7" w:rsidR="00995C96" w:rsidRPr="006F28C9" w:rsidRDefault="006F28C9" w:rsidP="006F28C9">
      <w:pPr>
        <w:spacing w:line="360" w:lineRule="auto"/>
        <w:ind w:left="1080" w:hanging="360"/>
        <w:jc w:val="both"/>
        <w:rPr>
          <w:rFonts w:ascii="Arial" w:hAnsi="Arial" w:cs="Arial"/>
          <w:bCs/>
          <w:iCs/>
          <w:sz w:val="26"/>
          <w:szCs w:val="26"/>
        </w:rPr>
      </w:pPr>
      <w:r w:rsidRPr="00FA4765">
        <w:rPr>
          <w:rFonts w:ascii="Arial" w:hAnsi="Arial" w:cs="Arial"/>
          <w:bCs/>
          <w:iCs/>
          <w:sz w:val="26"/>
          <w:szCs w:val="26"/>
        </w:rPr>
        <w:t>2.</w:t>
      </w:r>
      <w:r w:rsidRPr="00FA4765">
        <w:rPr>
          <w:rFonts w:ascii="Arial" w:hAnsi="Arial" w:cs="Arial"/>
          <w:bCs/>
          <w:iCs/>
          <w:sz w:val="26"/>
          <w:szCs w:val="26"/>
        </w:rPr>
        <w:tab/>
      </w:r>
      <w:r w:rsidR="00995C96" w:rsidRPr="006F28C9">
        <w:rPr>
          <w:rFonts w:ascii="Arial" w:hAnsi="Arial" w:cs="Arial"/>
          <w:bCs/>
          <w:iCs/>
          <w:sz w:val="26"/>
          <w:szCs w:val="26"/>
        </w:rPr>
        <w:t>Judgment for the amount of damages that the Plaintiff may have suffered, together with interest thereon, is postponed sine die, pending the return of the vehicle to the Plaintiff, and the subsequent valuation and sale thereof and the calculation of the amount which the Plaintiff is entitled to;</w:t>
      </w:r>
    </w:p>
    <w:p w14:paraId="61A3787D" w14:textId="54E3BF67" w:rsidR="00995C96" w:rsidRPr="006F28C9" w:rsidRDefault="006F28C9" w:rsidP="006F28C9">
      <w:pPr>
        <w:spacing w:line="360" w:lineRule="auto"/>
        <w:ind w:left="1080" w:hanging="360"/>
        <w:jc w:val="both"/>
        <w:rPr>
          <w:rFonts w:ascii="Arial" w:hAnsi="Arial" w:cs="Arial"/>
          <w:bCs/>
          <w:iCs/>
          <w:sz w:val="26"/>
          <w:szCs w:val="26"/>
        </w:rPr>
      </w:pPr>
      <w:r w:rsidRPr="00FA4765">
        <w:rPr>
          <w:rFonts w:ascii="Arial" w:hAnsi="Arial" w:cs="Arial"/>
          <w:bCs/>
          <w:iCs/>
          <w:sz w:val="26"/>
          <w:szCs w:val="26"/>
        </w:rPr>
        <w:t>3.</w:t>
      </w:r>
      <w:r w:rsidRPr="00FA4765">
        <w:rPr>
          <w:rFonts w:ascii="Arial" w:hAnsi="Arial" w:cs="Arial"/>
          <w:bCs/>
          <w:iCs/>
          <w:sz w:val="26"/>
          <w:szCs w:val="26"/>
        </w:rPr>
        <w:tab/>
      </w:r>
      <w:r w:rsidR="00995C96" w:rsidRPr="006F28C9">
        <w:rPr>
          <w:rFonts w:ascii="Arial" w:hAnsi="Arial" w:cs="Arial"/>
          <w:bCs/>
          <w:iCs/>
          <w:sz w:val="26"/>
          <w:szCs w:val="26"/>
        </w:rPr>
        <w:t xml:space="preserve">The Plaintiff is granted leave to apply to the Registrar of the Honourable Court for damages on the same papers, duly supplemented by an affidavit, in the event of a shortfall; </w:t>
      </w:r>
    </w:p>
    <w:p w14:paraId="575234E4" w14:textId="364A01A4" w:rsidR="00995C96" w:rsidRPr="006F28C9" w:rsidRDefault="006F28C9" w:rsidP="006F28C9">
      <w:pPr>
        <w:spacing w:line="360" w:lineRule="auto"/>
        <w:ind w:left="1080" w:hanging="360"/>
        <w:jc w:val="both"/>
        <w:rPr>
          <w:rFonts w:ascii="Arial" w:hAnsi="Arial" w:cs="Arial"/>
          <w:bCs/>
          <w:iCs/>
          <w:sz w:val="26"/>
          <w:szCs w:val="26"/>
        </w:rPr>
      </w:pPr>
      <w:r w:rsidRPr="00FA4765">
        <w:rPr>
          <w:rFonts w:ascii="Arial" w:hAnsi="Arial" w:cs="Arial"/>
          <w:bCs/>
          <w:iCs/>
          <w:sz w:val="26"/>
          <w:szCs w:val="26"/>
        </w:rPr>
        <w:t>4.</w:t>
      </w:r>
      <w:r w:rsidRPr="00FA4765">
        <w:rPr>
          <w:rFonts w:ascii="Arial" w:hAnsi="Arial" w:cs="Arial"/>
          <w:bCs/>
          <w:iCs/>
          <w:sz w:val="26"/>
          <w:szCs w:val="26"/>
        </w:rPr>
        <w:tab/>
      </w:r>
      <w:r w:rsidR="00995C96" w:rsidRPr="006F28C9">
        <w:rPr>
          <w:rFonts w:ascii="Arial" w:hAnsi="Arial" w:cs="Arial"/>
          <w:bCs/>
          <w:iCs/>
          <w:sz w:val="26"/>
          <w:szCs w:val="26"/>
        </w:rPr>
        <w:t>Costs of suit.</w:t>
      </w:r>
    </w:p>
    <w:p w14:paraId="3356EA03" w14:textId="77E37820" w:rsidR="00A55AF5" w:rsidRPr="00FA4765" w:rsidRDefault="00A55AF5" w:rsidP="00A55AF5">
      <w:pPr>
        <w:pBdr>
          <w:top w:val="nil"/>
          <w:left w:val="nil"/>
          <w:bottom w:val="nil"/>
          <w:right w:val="nil"/>
          <w:between w:val="nil"/>
        </w:pBdr>
        <w:spacing w:after="200" w:line="360" w:lineRule="auto"/>
        <w:ind w:left="720"/>
        <w:jc w:val="right"/>
        <w:rPr>
          <w:rFonts w:ascii="Arial" w:eastAsia="Calibri" w:hAnsi="Arial" w:cs="Arial"/>
          <w:color w:val="000000"/>
          <w:sz w:val="26"/>
          <w:szCs w:val="26"/>
          <w:lang w:val="en-GB"/>
        </w:rPr>
      </w:pPr>
    </w:p>
    <w:p w14:paraId="285C50CE" w14:textId="77777777" w:rsidR="00A55AF5" w:rsidRPr="00FA4765" w:rsidRDefault="00A55AF5" w:rsidP="00A55AF5">
      <w:pPr>
        <w:spacing w:line="360" w:lineRule="auto"/>
        <w:jc w:val="center"/>
        <w:rPr>
          <w:rFonts w:ascii="Arial" w:eastAsia="Arial" w:hAnsi="Arial" w:cs="Arial"/>
          <w:sz w:val="26"/>
          <w:szCs w:val="26"/>
          <w:u w:val="single"/>
          <w:lang w:val="en-GB"/>
        </w:rPr>
      </w:pPr>
      <w:r w:rsidRPr="00FA4765">
        <w:rPr>
          <w:rFonts w:ascii="Arial" w:eastAsia="Arial" w:hAnsi="Arial" w:cs="Arial"/>
          <w:sz w:val="26"/>
          <w:szCs w:val="26"/>
          <w:lang w:val="en-GB"/>
        </w:rPr>
        <w:t xml:space="preserve">                                                                            _____________________</w:t>
      </w:r>
    </w:p>
    <w:p w14:paraId="7894AEE6" w14:textId="4D0E6117" w:rsidR="00A55AF5" w:rsidRPr="00FA4765" w:rsidRDefault="00A55AF5" w:rsidP="00A55AF5">
      <w:pPr>
        <w:spacing w:line="360" w:lineRule="auto"/>
        <w:jc w:val="center"/>
        <w:rPr>
          <w:rFonts w:ascii="Arial" w:eastAsia="Arial" w:hAnsi="Arial" w:cs="Arial"/>
          <w:b/>
          <w:sz w:val="26"/>
          <w:szCs w:val="26"/>
          <w:lang w:val="en-GB"/>
        </w:rPr>
      </w:pPr>
      <w:r w:rsidRPr="00FA4765">
        <w:rPr>
          <w:rFonts w:ascii="Arial" w:eastAsia="Arial" w:hAnsi="Arial" w:cs="Arial"/>
          <w:sz w:val="26"/>
          <w:szCs w:val="26"/>
          <w:lang w:val="en-GB"/>
        </w:rPr>
        <w:t xml:space="preserve">                                                                    </w:t>
      </w:r>
      <w:r w:rsidR="004B51C3" w:rsidRPr="00FA4765">
        <w:rPr>
          <w:rFonts w:ascii="Arial" w:eastAsia="Arial" w:hAnsi="Arial" w:cs="Arial"/>
          <w:sz w:val="26"/>
          <w:szCs w:val="26"/>
          <w:lang w:val="en-GB"/>
        </w:rPr>
        <w:t xml:space="preserve">                          </w:t>
      </w:r>
      <w:r w:rsidRPr="00FA4765">
        <w:rPr>
          <w:rFonts w:ascii="Arial" w:eastAsia="Arial" w:hAnsi="Arial" w:cs="Arial"/>
          <w:sz w:val="26"/>
          <w:szCs w:val="26"/>
          <w:lang w:val="en-GB"/>
        </w:rPr>
        <w:t xml:space="preserve">               </w:t>
      </w:r>
      <w:r w:rsidRPr="00FA4765">
        <w:rPr>
          <w:rFonts w:ascii="Arial" w:eastAsia="Arial" w:hAnsi="Arial" w:cs="Arial"/>
          <w:b/>
          <w:bCs/>
          <w:sz w:val="26"/>
          <w:szCs w:val="26"/>
          <w:lang w:val="en-GB"/>
        </w:rPr>
        <w:t xml:space="preserve">M </w:t>
      </w:r>
      <w:r w:rsidRPr="00FA4765">
        <w:rPr>
          <w:rFonts w:ascii="Arial" w:eastAsia="Arial" w:hAnsi="Arial" w:cs="Arial"/>
          <w:b/>
          <w:sz w:val="26"/>
          <w:szCs w:val="26"/>
          <w:lang w:val="en-GB"/>
        </w:rPr>
        <w:t xml:space="preserve">Olivier </w:t>
      </w:r>
    </w:p>
    <w:p w14:paraId="7B069301" w14:textId="3806A824" w:rsidR="00A55AF5" w:rsidRPr="00FA4765" w:rsidRDefault="00A55AF5" w:rsidP="00A55AF5">
      <w:pPr>
        <w:spacing w:line="360" w:lineRule="auto"/>
        <w:rPr>
          <w:rFonts w:ascii="Arial" w:eastAsia="Arial" w:hAnsi="Arial" w:cs="Arial"/>
          <w:b/>
          <w:sz w:val="26"/>
          <w:szCs w:val="26"/>
          <w:lang w:val="en-GB"/>
        </w:rPr>
      </w:pPr>
      <w:r w:rsidRPr="00FA4765">
        <w:rPr>
          <w:rFonts w:ascii="Arial" w:eastAsia="Arial" w:hAnsi="Arial" w:cs="Arial"/>
          <w:b/>
          <w:sz w:val="26"/>
          <w:szCs w:val="26"/>
          <w:lang w:val="en-GB"/>
        </w:rPr>
        <w:t xml:space="preserve">                                                    </w:t>
      </w:r>
      <w:r w:rsidR="004B51C3" w:rsidRPr="00FA4765">
        <w:rPr>
          <w:rFonts w:ascii="Arial" w:eastAsia="Arial" w:hAnsi="Arial" w:cs="Arial"/>
          <w:b/>
          <w:sz w:val="26"/>
          <w:szCs w:val="26"/>
          <w:lang w:val="en-GB"/>
        </w:rPr>
        <w:t xml:space="preserve">                   </w:t>
      </w:r>
      <w:r w:rsidRPr="00FA4765">
        <w:rPr>
          <w:rFonts w:ascii="Arial" w:eastAsia="Arial" w:hAnsi="Arial" w:cs="Arial"/>
          <w:b/>
          <w:sz w:val="26"/>
          <w:szCs w:val="26"/>
          <w:lang w:val="en-GB"/>
        </w:rPr>
        <w:t xml:space="preserve">Acting Judge of the High Court             </w:t>
      </w:r>
    </w:p>
    <w:p w14:paraId="46428B78" w14:textId="546AF4BA" w:rsidR="00A55AF5" w:rsidRPr="00FA4765" w:rsidRDefault="00A55AF5" w:rsidP="00A55AF5">
      <w:pPr>
        <w:spacing w:line="360" w:lineRule="auto"/>
        <w:jc w:val="center"/>
        <w:rPr>
          <w:rFonts w:ascii="Arial" w:eastAsia="Arial" w:hAnsi="Arial" w:cs="Arial"/>
          <w:b/>
          <w:sz w:val="26"/>
          <w:szCs w:val="26"/>
          <w:lang w:val="en-GB"/>
        </w:rPr>
      </w:pPr>
      <w:r w:rsidRPr="00FA4765">
        <w:rPr>
          <w:rFonts w:ascii="Arial" w:eastAsia="Arial" w:hAnsi="Arial" w:cs="Arial"/>
          <w:b/>
          <w:sz w:val="26"/>
          <w:szCs w:val="26"/>
          <w:lang w:val="en-GB"/>
        </w:rPr>
        <w:t xml:space="preserve">                                    </w:t>
      </w:r>
      <w:r w:rsidR="004B51C3" w:rsidRPr="00FA4765">
        <w:rPr>
          <w:rFonts w:ascii="Arial" w:eastAsia="Arial" w:hAnsi="Arial" w:cs="Arial"/>
          <w:b/>
          <w:sz w:val="26"/>
          <w:szCs w:val="26"/>
          <w:lang w:val="en-GB"/>
        </w:rPr>
        <w:t xml:space="preserve">                      </w:t>
      </w:r>
      <w:r w:rsidRPr="00FA4765">
        <w:rPr>
          <w:rFonts w:ascii="Arial" w:eastAsia="Arial" w:hAnsi="Arial" w:cs="Arial"/>
          <w:b/>
          <w:sz w:val="26"/>
          <w:szCs w:val="26"/>
          <w:lang w:val="en-GB"/>
        </w:rPr>
        <w:t>Gauteng Local Division, Johannesburg</w:t>
      </w:r>
    </w:p>
    <w:p w14:paraId="01ED490C" w14:textId="77777777" w:rsidR="00A55AF5" w:rsidRPr="00FA4765" w:rsidRDefault="00A55AF5" w:rsidP="00A55AF5">
      <w:pPr>
        <w:spacing w:line="360" w:lineRule="auto"/>
        <w:rPr>
          <w:rFonts w:ascii="Arial" w:eastAsia="Arial" w:hAnsi="Arial" w:cs="Arial"/>
          <w:sz w:val="26"/>
          <w:szCs w:val="26"/>
          <w:lang w:val="en-GB"/>
        </w:rPr>
      </w:pPr>
    </w:p>
    <w:p w14:paraId="7A73EEB2" w14:textId="45BD2160" w:rsidR="00837EA0" w:rsidRPr="00FA4765" w:rsidRDefault="00A55AF5" w:rsidP="00A55AF5">
      <w:pPr>
        <w:spacing w:line="360" w:lineRule="auto"/>
        <w:jc w:val="both"/>
        <w:rPr>
          <w:rFonts w:ascii="Arial" w:hAnsi="Arial" w:cs="Arial"/>
          <w:b/>
          <w:bCs/>
          <w:sz w:val="26"/>
          <w:szCs w:val="26"/>
        </w:rPr>
      </w:pPr>
      <w:r w:rsidRPr="00FA4765">
        <w:rPr>
          <w:rFonts w:ascii="Arial" w:eastAsia="Calibri" w:hAnsi="Arial" w:cs="Arial"/>
          <w:i/>
          <w:sz w:val="26"/>
          <w:szCs w:val="26"/>
        </w:rPr>
        <w:t xml:space="preserve">This judgment was handed down electronically by circulation to the parties and/or parties’ representatives by email and by </w:t>
      </w:r>
      <w:r w:rsidRPr="00FA4765">
        <w:rPr>
          <w:rFonts w:ascii="Arial" w:eastAsia="Calibri" w:hAnsi="Arial" w:cs="Arial"/>
          <w:i/>
          <w:sz w:val="26"/>
          <w:szCs w:val="26"/>
          <w:lang w:val="en-GB"/>
        </w:rPr>
        <w:t>upload</w:t>
      </w:r>
      <w:r w:rsidRPr="00FA4765">
        <w:rPr>
          <w:rFonts w:ascii="Arial" w:eastAsia="Calibri" w:hAnsi="Arial" w:cs="Arial"/>
          <w:i/>
          <w:sz w:val="26"/>
          <w:szCs w:val="26"/>
        </w:rPr>
        <w:t xml:space="preserve"> to CaseLines. The date and time for hand-down is deemed to be 16h00 on </w:t>
      </w:r>
      <w:r w:rsidR="00A47338" w:rsidRPr="00FA4765">
        <w:rPr>
          <w:rFonts w:ascii="Arial" w:eastAsia="Calibri" w:hAnsi="Arial" w:cs="Arial"/>
          <w:i/>
          <w:iCs/>
          <w:sz w:val="26"/>
          <w:szCs w:val="26"/>
          <w:lang w:val="en-GB"/>
        </w:rPr>
        <w:t>29</w:t>
      </w:r>
      <w:r w:rsidRPr="00FA4765">
        <w:rPr>
          <w:rFonts w:ascii="Arial" w:eastAsia="Calibri" w:hAnsi="Arial" w:cs="Arial"/>
          <w:i/>
          <w:iCs/>
          <w:sz w:val="26"/>
          <w:szCs w:val="26"/>
          <w:lang w:val="en-GB"/>
        </w:rPr>
        <w:t xml:space="preserve"> August 2022.</w:t>
      </w:r>
    </w:p>
    <w:p w14:paraId="59F8E9C0" w14:textId="77777777" w:rsidR="00166494" w:rsidRPr="00FA4765" w:rsidRDefault="00166494" w:rsidP="0051198F">
      <w:pPr>
        <w:spacing w:line="360" w:lineRule="auto"/>
        <w:jc w:val="both"/>
        <w:rPr>
          <w:rFonts w:ascii="Arial" w:hAnsi="Arial" w:cs="Arial"/>
          <w:b/>
          <w:bCs/>
          <w:sz w:val="26"/>
          <w:szCs w:val="26"/>
        </w:rPr>
      </w:pPr>
    </w:p>
    <w:p w14:paraId="0702D182" w14:textId="77777777" w:rsidR="00E952FD" w:rsidRDefault="00E952FD" w:rsidP="0051198F">
      <w:pPr>
        <w:spacing w:line="360" w:lineRule="auto"/>
        <w:jc w:val="both"/>
        <w:rPr>
          <w:rFonts w:ascii="Arial" w:hAnsi="Arial" w:cs="Arial"/>
          <w:b/>
          <w:bCs/>
          <w:sz w:val="22"/>
          <w:szCs w:val="22"/>
        </w:rPr>
      </w:pPr>
    </w:p>
    <w:p w14:paraId="643155E4" w14:textId="77777777" w:rsidR="00E952FD" w:rsidRDefault="00E952FD" w:rsidP="0051198F">
      <w:pPr>
        <w:spacing w:line="360" w:lineRule="auto"/>
        <w:jc w:val="both"/>
        <w:rPr>
          <w:rFonts w:ascii="Arial" w:hAnsi="Arial" w:cs="Arial"/>
          <w:b/>
          <w:bCs/>
          <w:sz w:val="22"/>
          <w:szCs w:val="22"/>
        </w:rPr>
      </w:pPr>
    </w:p>
    <w:p w14:paraId="7CECE220" w14:textId="77777777" w:rsidR="00E952FD" w:rsidRDefault="00E952FD" w:rsidP="0051198F">
      <w:pPr>
        <w:spacing w:line="360" w:lineRule="auto"/>
        <w:jc w:val="both"/>
        <w:rPr>
          <w:rFonts w:ascii="Arial" w:hAnsi="Arial" w:cs="Arial"/>
          <w:b/>
          <w:bCs/>
          <w:sz w:val="22"/>
          <w:szCs w:val="22"/>
        </w:rPr>
      </w:pPr>
    </w:p>
    <w:p w14:paraId="7D9F26AF" w14:textId="53B90B21" w:rsidR="000E3541" w:rsidRPr="00873407" w:rsidRDefault="000E3541" w:rsidP="0051198F">
      <w:pPr>
        <w:spacing w:line="360" w:lineRule="auto"/>
        <w:jc w:val="both"/>
        <w:rPr>
          <w:rFonts w:ascii="Arial" w:hAnsi="Arial" w:cs="Arial"/>
          <w:b/>
          <w:bCs/>
          <w:sz w:val="22"/>
          <w:szCs w:val="22"/>
        </w:rPr>
      </w:pPr>
      <w:r w:rsidRPr="00873407">
        <w:rPr>
          <w:rFonts w:ascii="Arial" w:hAnsi="Arial" w:cs="Arial"/>
          <w:b/>
          <w:bCs/>
          <w:sz w:val="22"/>
          <w:szCs w:val="22"/>
        </w:rPr>
        <w:t xml:space="preserve">Appearances </w:t>
      </w:r>
    </w:p>
    <w:p w14:paraId="43EE23EB" w14:textId="3335E71F" w:rsidR="000E3541" w:rsidRPr="00873407" w:rsidRDefault="000E3541" w:rsidP="0051198F">
      <w:pPr>
        <w:spacing w:line="360" w:lineRule="auto"/>
        <w:jc w:val="both"/>
        <w:rPr>
          <w:rFonts w:ascii="Arial" w:hAnsi="Arial" w:cs="Arial"/>
          <w:bCs/>
          <w:sz w:val="22"/>
          <w:szCs w:val="22"/>
        </w:rPr>
      </w:pPr>
      <w:r w:rsidRPr="00873407">
        <w:rPr>
          <w:rFonts w:ascii="Arial" w:hAnsi="Arial" w:cs="Arial"/>
          <w:b/>
          <w:bCs/>
          <w:sz w:val="22"/>
          <w:szCs w:val="22"/>
        </w:rPr>
        <w:t xml:space="preserve">For the </w:t>
      </w:r>
      <w:r w:rsidR="00E5225D" w:rsidRPr="00873407">
        <w:rPr>
          <w:rFonts w:ascii="Arial" w:hAnsi="Arial" w:cs="Arial"/>
          <w:b/>
          <w:bCs/>
          <w:sz w:val="22"/>
          <w:szCs w:val="22"/>
        </w:rPr>
        <w:t>Plaintiff</w:t>
      </w:r>
      <w:r w:rsidRPr="00873407">
        <w:rPr>
          <w:rFonts w:ascii="Arial" w:hAnsi="Arial" w:cs="Arial"/>
          <w:b/>
          <w:bCs/>
          <w:sz w:val="22"/>
          <w:szCs w:val="22"/>
        </w:rPr>
        <w:t>:</w:t>
      </w:r>
      <w:r w:rsidRPr="00873407">
        <w:rPr>
          <w:rFonts w:ascii="Arial" w:hAnsi="Arial" w:cs="Arial"/>
          <w:bCs/>
          <w:sz w:val="22"/>
          <w:szCs w:val="22"/>
        </w:rPr>
        <w:t xml:space="preserve"> </w:t>
      </w:r>
      <w:r w:rsidR="00DD552D" w:rsidRPr="00873407">
        <w:rPr>
          <w:rFonts w:ascii="Arial" w:hAnsi="Arial" w:cs="Arial"/>
          <w:bCs/>
          <w:sz w:val="22"/>
          <w:szCs w:val="22"/>
        </w:rPr>
        <w:t>P. van Niekerk (replacing</w:t>
      </w:r>
      <w:r w:rsidR="00DD552D" w:rsidRPr="00873407">
        <w:rPr>
          <w:rFonts w:ascii="Arial" w:hAnsi="Arial" w:cs="Arial"/>
          <w:b/>
          <w:bCs/>
          <w:sz w:val="22"/>
          <w:szCs w:val="22"/>
        </w:rPr>
        <w:t xml:space="preserve"> </w:t>
      </w:r>
      <w:r w:rsidR="00DD552D" w:rsidRPr="00873407">
        <w:rPr>
          <w:rFonts w:ascii="Arial" w:hAnsi="Arial" w:cs="Arial"/>
          <w:bCs/>
          <w:sz w:val="22"/>
          <w:szCs w:val="22"/>
        </w:rPr>
        <w:t>K. Meyer)</w:t>
      </w:r>
    </w:p>
    <w:p w14:paraId="7EBD5223" w14:textId="65F93683" w:rsidR="000E3541" w:rsidRPr="00873407" w:rsidRDefault="000E3541" w:rsidP="0051198F">
      <w:pPr>
        <w:spacing w:line="360" w:lineRule="auto"/>
        <w:jc w:val="both"/>
        <w:rPr>
          <w:rFonts w:ascii="Arial" w:hAnsi="Arial" w:cs="Arial"/>
          <w:bCs/>
          <w:sz w:val="22"/>
          <w:szCs w:val="22"/>
        </w:rPr>
      </w:pPr>
      <w:r w:rsidRPr="00873407">
        <w:rPr>
          <w:rFonts w:ascii="Arial" w:hAnsi="Arial" w:cs="Arial"/>
          <w:bCs/>
          <w:sz w:val="22"/>
          <w:szCs w:val="22"/>
        </w:rPr>
        <w:t xml:space="preserve">Instructed by </w:t>
      </w:r>
      <w:r w:rsidR="00DD552D" w:rsidRPr="00873407">
        <w:rPr>
          <w:rFonts w:ascii="Arial" w:hAnsi="Arial" w:cs="Arial"/>
          <w:bCs/>
          <w:sz w:val="22"/>
          <w:szCs w:val="22"/>
        </w:rPr>
        <w:t>C</w:t>
      </w:r>
      <w:r w:rsidR="00A47338" w:rsidRPr="00873407">
        <w:rPr>
          <w:rFonts w:ascii="Arial" w:hAnsi="Arial" w:cs="Arial"/>
          <w:bCs/>
          <w:sz w:val="22"/>
          <w:szCs w:val="22"/>
        </w:rPr>
        <w:t>.</w:t>
      </w:r>
      <w:r w:rsidR="00DD552D" w:rsidRPr="00873407">
        <w:rPr>
          <w:rFonts w:ascii="Arial" w:hAnsi="Arial" w:cs="Arial"/>
          <w:bCs/>
          <w:sz w:val="22"/>
          <w:szCs w:val="22"/>
        </w:rPr>
        <w:t xml:space="preserve"> F</w:t>
      </w:r>
      <w:r w:rsidR="00A47338" w:rsidRPr="00873407">
        <w:rPr>
          <w:rFonts w:ascii="Arial" w:hAnsi="Arial" w:cs="Arial"/>
          <w:bCs/>
          <w:sz w:val="22"/>
          <w:szCs w:val="22"/>
        </w:rPr>
        <w:t>.</w:t>
      </w:r>
      <w:r w:rsidR="00DD552D" w:rsidRPr="00873407">
        <w:rPr>
          <w:rFonts w:ascii="Arial" w:hAnsi="Arial" w:cs="Arial"/>
          <w:bCs/>
          <w:sz w:val="22"/>
          <w:szCs w:val="22"/>
        </w:rPr>
        <w:t xml:space="preserve"> Van Coller Inc</w:t>
      </w:r>
    </w:p>
    <w:p w14:paraId="07711FE1" w14:textId="1FF3EBD1" w:rsidR="000E3541" w:rsidRPr="00873407" w:rsidRDefault="00DD552D" w:rsidP="0051198F">
      <w:pPr>
        <w:spacing w:line="360" w:lineRule="auto"/>
        <w:jc w:val="both"/>
        <w:rPr>
          <w:rFonts w:ascii="Arial" w:hAnsi="Arial" w:cs="Arial"/>
          <w:bCs/>
          <w:sz w:val="22"/>
          <w:szCs w:val="22"/>
        </w:rPr>
      </w:pPr>
      <w:r w:rsidRPr="00873407">
        <w:rPr>
          <w:rFonts w:ascii="Arial" w:hAnsi="Arial" w:cs="Arial"/>
          <w:b/>
          <w:bCs/>
          <w:sz w:val="22"/>
          <w:szCs w:val="22"/>
        </w:rPr>
        <w:t xml:space="preserve">For the </w:t>
      </w:r>
      <w:r w:rsidR="00E5225D" w:rsidRPr="00873407">
        <w:rPr>
          <w:rFonts w:ascii="Arial" w:hAnsi="Arial" w:cs="Arial"/>
          <w:b/>
          <w:bCs/>
          <w:sz w:val="22"/>
          <w:szCs w:val="22"/>
        </w:rPr>
        <w:t>Defendant</w:t>
      </w:r>
      <w:r w:rsidRPr="00873407">
        <w:rPr>
          <w:rFonts w:ascii="Arial" w:hAnsi="Arial" w:cs="Arial"/>
          <w:b/>
          <w:bCs/>
          <w:sz w:val="22"/>
          <w:szCs w:val="22"/>
        </w:rPr>
        <w:t xml:space="preserve">: </w:t>
      </w:r>
      <w:r w:rsidRPr="00873407">
        <w:rPr>
          <w:rFonts w:ascii="Arial" w:hAnsi="Arial" w:cs="Arial"/>
          <w:bCs/>
          <w:sz w:val="22"/>
          <w:szCs w:val="22"/>
        </w:rPr>
        <w:t>O.L. Mbunye</w:t>
      </w:r>
    </w:p>
    <w:p w14:paraId="4660CABD" w14:textId="36A7284A" w:rsidR="000E3541" w:rsidRPr="00873407" w:rsidRDefault="000E3541" w:rsidP="0051198F">
      <w:pPr>
        <w:spacing w:line="360" w:lineRule="auto"/>
        <w:jc w:val="both"/>
        <w:rPr>
          <w:rFonts w:ascii="Arial" w:hAnsi="Arial" w:cs="Arial"/>
          <w:bCs/>
          <w:sz w:val="22"/>
          <w:szCs w:val="22"/>
        </w:rPr>
      </w:pPr>
      <w:r w:rsidRPr="00873407">
        <w:rPr>
          <w:rFonts w:ascii="Arial" w:hAnsi="Arial" w:cs="Arial"/>
          <w:bCs/>
          <w:sz w:val="22"/>
          <w:szCs w:val="22"/>
        </w:rPr>
        <w:t xml:space="preserve">Instructed by </w:t>
      </w:r>
      <w:r w:rsidR="00DD552D" w:rsidRPr="00873407">
        <w:rPr>
          <w:rFonts w:ascii="Arial" w:hAnsi="Arial" w:cs="Arial"/>
          <w:bCs/>
          <w:sz w:val="22"/>
          <w:szCs w:val="22"/>
        </w:rPr>
        <w:t xml:space="preserve">Mukansi </w:t>
      </w:r>
      <w:r w:rsidR="00C86DEB" w:rsidRPr="00873407">
        <w:rPr>
          <w:rFonts w:ascii="Arial" w:hAnsi="Arial" w:cs="Arial"/>
          <w:bCs/>
          <w:sz w:val="22"/>
          <w:szCs w:val="22"/>
        </w:rPr>
        <w:t>Attorneys.</w:t>
      </w:r>
      <w:r w:rsidRPr="00873407">
        <w:rPr>
          <w:rFonts w:ascii="Arial" w:hAnsi="Arial" w:cs="Arial"/>
          <w:bCs/>
          <w:sz w:val="22"/>
          <w:szCs w:val="22"/>
        </w:rPr>
        <w:t xml:space="preserve"> </w:t>
      </w:r>
    </w:p>
    <w:p w14:paraId="35164E6C" w14:textId="33CB684A" w:rsidR="00837EA0" w:rsidRPr="00873407" w:rsidRDefault="00837EA0" w:rsidP="0051198F">
      <w:pPr>
        <w:pStyle w:val="NormalWeb"/>
        <w:spacing w:line="360" w:lineRule="auto"/>
        <w:contextualSpacing/>
        <w:jc w:val="both"/>
        <w:rPr>
          <w:rFonts w:ascii="Arial" w:hAnsi="Arial" w:cs="Arial"/>
          <w:sz w:val="22"/>
          <w:szCs w:val="22"/>
        </w:rPr>
      </w:pPr>
    </w:p>
    <w:p w14:paraId="1D6CBDAB" w14:textId="434F8FC9" w:rsidR="00837EA0" w:rsidRPr="00873407" w:rsidRDefault="00837EA0" w:rsidP="0051198F">
      <w:pPr>
        <w:pStyle w:val="NormalWeb"/>
        <w:spacing w:line="360" w:lineRule="auto"/>
        <w:contextualSpacing/>
        <w:jc w:val="both"/>
        <w:rPr>
          <w:rFonts w:ascii="Arial" w:hAnsi="Arial" w:cs="Arial"/>
          <w:b/>
          <w:bCs/>
          <w:sz w:val="22"/>
          <w:szCs w:val="22"/>
        </w:rPr>
      </w:pPr>
      <w:r w:rsidRPr="00873407">
        <w:rPr>
          <w:rFonts w:ascii="Arial" w:hAnsi="Arial" w:cs="Arial"/>
          <w:b/>
          <w:bCs/>
          <w:sz w:val="22"/>
          <w:szCs w:val="22"/>
        </w:rPr>
        <w:t xml:space="preserve">DATE OF HEARING:  </w:t>
      </w:r>
      <w:r w:rsidR="00E47723" w:rsidRPr="00873407">
        <w:rPr>
          <w:rFonts w:ascii="Arial" w:hAnsi="Arial" w:cs="Arial"/>
          <w:b/>
          <w:bCs/>
          <w:sz w:val="22"/>
          <w:szCs w:val="22"/>
        </w:rPr>
        <w:t xml:space="preserve">         </w:t>
      </w:r>
      <w:r w:rsidR="00A55AF5" w:rsidRPr="00873407">
        <w:rPr>
          <w:rFonts w:ascii="Arial" w:hAnsi="Arial" w:cs="Arial"/>
          <w:b/>
          <w:bCs/>
          <w:sz w:val="22"/>
          <w:szCs w:val="22"/>
        </w:rPr>
        <w:t xml:space="preserve"> 26</w:t>
      </w:r>
      <w:r w:rsidR="00DD552D" w:rsidRPr="00873407">
        <w:rPr>
          <w:rFonts w:ascii="Arial" w:hAnsi="Arial" w:cs="Arial"/>
          <w:b/>
          <w:bCs/>
          <w:sz w:val="22"/>
          <w:szCs w:val="22"/>
        </w:rPr>
        <w:t xml:space="preserve"> May </w:t>
      </w:r>
      <w:r w:rsidR="00E47723" w:rsidRPr="00873407">
        <w:rPr>
          <w:rFonts w:ascii="Arial" w:hAnsi="Arial" w:cs="Arial"/>
          <w:b/>
          <w:bCs/>
          <w:sz w:val="22"/>
          <w:szCs w:val="22"/>
        </w:rPr>
        <w:t>2022</w:t>
      </w:r>
      <w:r w:rsidR="00B96804" w:rsidRPr="00873407">
        <w:rPr>
          <w:rFonts w:ascii="Arial" w:hAnsi="Arial" w:cs="Arial"/>
          <w:b/>
          <w:bCs/>
          <w:sz w:val="22"/>
          <w:szCs w:val="22"/>
        </w:rPr>
        <w:t xml:space="preserve">       </w:t>
      </w:r>
      <w:r w:rsidR="00DF0D13" w:rsidRPr="00873407">
        <w:rPr>
          <w:rFonts w:ascii="Arial" w:hAnsi="Arial" w:cs="Arial"/>
          <w:b/>
          <w:bCs/>
          <w:sz w:val="22"/>
          <w:szCs w:val="22"/>
        </w:rPr>
        <w:t xml:space="preserve">            </w:t>
      </w:r>
      <w:r w:rsidR="00B96804" w:rsidRPr="00873407">
        <w:rPr>
          <w:rFonts w:ascii="Arial" w:hAnsi="Arial" w:cs="Arial"/>
          <w:b/>
          <w:bCs/>
          <w:sz w:val="22"/>
          <w:szCs w:val="22"/>
        </w:rPr>
        <w:t xml:space="preserve"> </w:t>
      </w:r>
    </w:p>
    <w:p w14:paraId="29AD7277" w14:textId="24AD286B" w:rsidR="00837EA0" w:rsidRPr="00873407" w:rsidRDefault="00DF0D13" w:rsidP="00873407">
      <w:pPr>
        <w:pStyle w:val="NormalWeb"/>
        <w:spacing w:line="360" w:lineRule="auto"/>
        <w:contextualSpacing/>
        <w:jc w:val="both"/>
        <w:rPr>
          <w:rFonts w:ascii="Arial" w:hAnsi="Arial" w:cs="Arial"/>
          <w:b/>
          <w:bCs/>
          <w:sz w:val="22"/>
          <w:szCs w:val="22"/>
        </w:rPr>
      </w:pPr>
      <w:r w:rsidRPr="00873407">
        <w:rPr>
          <w:rFonts w:ascii="Arial" w:hAnsi="Arial" w:cs="Arial"/>
          <w:b/>
          <w:bCs/>
          <w:sz w:val="22"/>
          <w:szCs w:val="22"/>
        </w:rPr>
        <w:t xml:space="preserve">DATE </w:t>
      </w:r>
      <w:r w:rsidR="00A55AF5" w:rsidRPr="00873407">
        <w:rPr>
          <w:rFonts w:ascii="Arial" w:hAnsi="Arial" w:cs="Arial"/>
          <w:b/>
          <w:bCs/>
          <w:sz w:val="22"/>
          <w:szCs w:val="22"/>
        </w:rPr>
        <w:t xml:space="preserve">OF </w:t>
      </w:r>
      <w:r w:rsidR="00B96804" w:rsidRPr="00873407">
        <w:rPr>
          <w:rFonts w:ascii="Arial" w:hAnsi="Arial" w:cs="Arial"/>
          <w:b/>
          <w:bCs/>
          <w:sz w:val="22"/>
          <w:szCs w:val="22"/>
        </w:rPr>
        <w:t xml:space="preserve">JUDGMENT:   </w:t>
      </w:r>
      <w:r w:rsidR="00821940" w:rsidRPr="00873407">
        <w:rPr>
          <w:rFonts w:ascii="Arial" w:hAnsi="Arial" w:cs="Arial"/>
          <w:b/>
          <w:bCs/>
          <w:sz w:val="22"/>
          <w:szCs w:val="22"/>
        </w:rPr>
        <w:t xml:space="preserve">     </w:t>
      </w:r>
      <w:r w:rsidR="00DD552D" w:rsidRPr="00873407">
        <w:rPr>
          <w:rFonts w:ascii="Arial" w:hAnsi="Arial" w:cs="Arial"/>
          <w:b/>
          <w:bCs/>
          <w:sz w:val="22"/>
          <w:szCs w:val="22"/>
        </w:rPr>
        <w:t>2</w:t>
      </w:r>
      <w:r w:rsidR="00A47338" w:rsidRPr="00873407">
        <w:rPr>
          <w:rFonts w:ascii="Arial" w:hAnsi="Arial" w:cs="Arial"/>
          <w:b/>
          <w:bCs/>
          <w:sz w:val="22"/>
          <w:szCs w:val="22"/>
        </w:rPr>
        <w:t>9</w:t>
      </w:r>
      <w:r w:rsidR="00DD552D" w:rsidRPr="00873407">
        <w:rPr>
          <w:rFonts w:ascii="Arial" w:hAnsi="Arial" w:cs="Arial"/>
          <w:b/>
          <w:bCs/>
          <w:sz w:val="22"/>
          <w:szCs w:val="22"/>
        </w:rPr>
        <w:t xml:space="preserve"> August</w:t>
      </w:r>
      <w:r w:rsidR="00821940" w:rsidRPr="00873407">
        <w:rPr>
          <w:rFonts w:ascii="Arial" w:hAnsi="Arial" w:cs="Arial"/>
          <w:b/>
          <w:bCs/>
          <w:sz w:val="22"/>
          <w:szCs w:val="22"/>
        </w:rPr>
        <w:t xml:space="preserve"> 2022</w:t>
      </w:r>
    </w:p>
    <w:sectPr w:rsidR="00837EA0" w:rsidRPr="00873407" w:rsidSect="00FA4765">
      <w:headerReference w:type="default" r:id="rId9"/>
      <w:footerReference w:type="even"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1E65E" w14:textId="77777777" w:rsidR="00DD7E2E" w:rsidRDefault="00DD7E2E" w:rsidP="003914A2">
      <w:r>
        <w:separator/>
      </w:r>
    </w:p>
  </w:endnote>
  <w:endnote w:type="continuationSeparator" w:id="0">
    <w:p w14:paraId="67C9D07F" w14:textId="77777777" w:rsidR="00DD7E2E" w:rsidRDefault="00DD7E2E"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425947"/>
      <w:docPartObj>
        <w:docPartGallery w:val="Page Numbers (Bottom of Page)"/>
        <w:docPartUnique/>
      </w:docPartObj>
    </w:sdtPr>
    <w:sdtEndPr>
      <w:rPr>
        <w:rStyle w:val="PageNumber"/>
      </w:rPr>
    </w:sdtEndPr>
    <w:sdtContent>
      <w:p w14:paraId="2E9B314F" w14:textId="5363154B" w:rsidR="00FB6D94" w:rsidRDefault="00FB6D94" w:rsidP="00D157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FB6D94" w:rsidRDefault="00FB6D94" w:rsidP="00391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97699689"/>
      <w:docPartObj>
        <w:docPartGallery w:val="Page Numbers (Bottom of Page)"/>
        <w:docPartUnique/>
      </w:docPartObj>
    </w:sdtPr>
    <w:sdtEndPr>
      <w:rPr>
        <w:noProof/>
      </w:rPr>
    </w:sdtEndPr>
    <w:sdtContent>
      <w:p w14:paraId="103A044B" w14:textId="3BFA44C8" w:rsidR="00FB6D94" w:rsidRPr="00837089" w:rsidRDefault="00FB6D94">
        <w:pPr>
          <w:pStyle w:val="Footer"/>
          <w:jc w:val="center"/>
          <w:rPr>
            <w:rFonts w:ascii="Arial" w:hAnsi="Arial" w:cs="Arial"/>
          </w:rPr>
        </w:pPr>
        <w:r w:rsidRPr="00837089">
          <w:rPr>
            <w:rFonts w:ascii="Arial" w:hAnsi="Arial" w:cs="Arial"/>
          </w:rPr>
          <w:fldChar w:fldCharType="begin"/>
        </w:r>
        <w:r w:rsidRPr="00837089">
          <w:rPr>
            <w:rFonts w:ascii="Arial" w:hAnsi="Arial" w:cs="Arial"/>
          </w:rPr>
          <w:instrText xml:space="preserve"> PAGE   \* MERGEFORMAT </w:instrText>
        </w:r>
        <w:r w:rsidRPr="00837089">
          <w:rPr>
            <w:rFonts w:ascii="Arial" w:hAnsi="Arial" w:cs="Arial"/>
          </w:rPr>
          <w:fldChar w:fldCharType="separate"/>
        </w:r>
        <w:r w:rsidR="00AD2160">
          <w:rPr>
            <w:rFonts w:ascii="Arial" w:hAnsi="Arial" w:cs="Arial"/>
            <w:noProof/>
          </w:rPr>
          <w:t>14</w:t>
        </w:r>
        <w:r w:rsidRPr="00837089">
          <w:rPr>
            <w:rFonts w:ascii="Arial" w:hAnsi="Arial" w:cs="Arial"/>
            <w:noProof/>
          </w:rPr>
          <w:fldChar w:fldCharType="end"/>
        </w:r>
      </w:p>
    </w:sdtContent>
  </w:sdt>
  <w:p w14:paraId="71116239" w14:textId="77777777" w:rsidR="00FB6D94" w:rsidRPr="00837089" w:rsidRDefault="00FB6D94" w:rsidP="003914A2">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2970B" w14:textId="77777777" w:rsidR="00DD7E2E" w:rsidRDefault="00DD7E2E" w:rsidP="003914A2">
      <w:r>
        <w:separator/>
      </w:r>
    </w:p>
  </w:footnote>
  <w:footnote w:type="continuationSeparator" w:id="0">
    <w:p w14:paraId="555CBD07" w14:textId="77777777" w:rsidR="00DD7E2E" w:rsidRDefault="00DD7E2E" w:rsidP="003914A2">
      <w:r>
        <w:continuationSeparator/>
      </w:r>
    </w:p>
  </w:footnote>
  <w:footnote w:id="1">
    <w:p w14:paraId="4C2076C7" w14:textId="58B6E963" w:rsidR="00FB6D94" w:rsidRPr="00AC6B34" w:rsidRDefault="00FB6D94" w:rsidP="00E31093">
      <w:pPr>
        <w:pStyle w:val="FootnoteText"/>
        <w:rPr>
          <w:rFonts w:ascii="Arial" w:hAnsi="Arial" w:cs="Arial"/>
          <w:sz w:val="22"/>
          <w:szCs w:val="22"/>
          <w:lang w:val="en-US"/>
        </w:rPr>
      </w:pPr>
      <w:r w:rsidRPr="00AC6B34">
        <w:rPr>
          <w:rStyle w:val="FootnoteReference"/>
          <w:rFonts w:ascii="Arial" w:hAnsi="Arial" w:cs="Arial"/>
          <w:sz w:val="22"/>
          <w:szCs w:val="22"/>
        </w:rPr>
        <w:footnoteRef/>
      </w:r>
      <w:r w:rsidRPr="00AC6B34">
        <w:rPr>
          <w:rFonts w:ascii="Arial" w:hAnsi="Arial" w:cs="Arial"/>
          <w:sz w:val="22"/>
          <w:szCs w:val="22"/>
        </w:rPr>
        <w:t xml:space="preserve"> </w:t>
      </w:r>
      <w:r w:rsidRPr="00AC6B34">
        <w:rPr>
          <w:rFonts w:ascii="Arial" w:hAnsi="Arial" w:cs="Arial"/>
          <w:i/>
          <w:iCs/>
          <w:sz w:val="22"/>
          <w:szCs w:val="22"/>
        </w:rPr>
        <w:t>Shepstone v Shepstone</w:t>
      </w:r>
      <w:r w:rsidRPr="00AC6B34">
        <w:rPr>
          <w:rFonts w:ascii="Arial" w:hAnsi="Arial" w:cs="Arial"/>
          <w:sz w:val="22"/>
          <w:szCs w:val="22"/>
          <w:lang w:val="en-US"/>
        </w:rPr>
        <w:t xml:space="preserve"> 1974 (2) SA 462</w:t>
      </w:r>
      <w:r w:rsidR="00F34217" w:rsidRPr="00AC6B34">
        <w:rPr>
          <w:rFonts w:ascii="Arial" w:hAnsi="Arial" w:cs="Arial"/>
          <w:sz w:val="22"/>
          <w:szCs w:val="22"/>
          <w:lang w:val="en-US"/>
        </w:rPr>
        <w:t xml:space="preserve"> (N) at 467</w:t>
      </w:r>
      <w:r w:rsidRPr="00AC6B34">
        <w:rPr>
          <w:rFonts w:ascii="Arial" w:hAnsi="Arial" w:cs="Arial"/>
          <w:sz w:val="22"/>
          <w:szCs w:val="22"/>
          <w:lang w:val="en-US"/>
        </w:rPr>
        <w:t>E-H.</w:t>
      </w:r>
    </w:p>
  </w:footnote>
  <w:footnote w:id="2">
    <w:p w14:paraId="3F9D3331" w14:textId="5844E8FF" w:rsidR="00FB6D94" w:rsidRPr="00AC6B34" w:rsidRDefault="00FB6D94" w:rsidP="006C185B">
      <w:pPr>
        <w:pStyle w:val="FootnoteText"/>
        <w:rPr>
          <w:rFonts w:ascii="Arial" w:hAnsi="Arial" w:cs="Arial"/>
          <w:sz w:val="22"/>
          <w:szCs w:val="22"/>
          <w:lang w:val="en-GB"/>
        </w:rPr>
      </w:pPr>
      <w:r w:rsidRPr="00AC6B34">
        <w:rPr>
          <w:rStyle w:val="FootnoteReference"/>
          <w:rFonts w:ascii="Arial" w:hAnsi="Arial" w:cs="Arial"/>
          <w:sz w:val="22"/>
          <w:szCs w:val="22"/>
        </w:rPr>
        <w:footnoteRef/>
      </w:r>
      <w:r w:rsidRPr="00AC6B34">
        <w:rPr>
          <w:rFonts w:ascii="Arial" w:hAnsi="Arial" w:cs="Arial"/>
          <w:sz w:val="22"/>
          <w:szCs w:val="22"/>
        </w:rPr>
        <w:t xml:space="preserve"> </w:t>
      </w:r>
      <w:r w:rsidR="001309F0" w:rsidRPr="00AC6B34">
        <w:rPr>
          <w:rFonts w:ascii="Arial" w:hAnsi="Arial" w:cs="Arial"/>
          <w:i/>
          <w:sz w:val="22"/>
          <w:szCs w:val="22"/>
        </w:rPr>
        <w:t>Maharaj v Barclays National Bank Ltd</w:t>
      </w:r>
      <w:r w:rsidR="001309F0" w:rsidRPr="00AC6B34">
        <w:rPr>
          <w:rFonts w:ascii="Arial" w:hAnsi="Arial" w:cs="Arial"/>
          <w:sz w:val="22"/>
          <w:szCs w:val="22"/>
        </w:rPr>
        <w:t xml:space="preserve"> </w:t>
      </w:r>
      <w:r w:rsidRPr="00AC6B34">
        <w:rPr>
          <w:rFonts w:ascii="Arial" w:hAnsi="Arial" w:cs="Arial"/>
          <w:sz w:val="22"/>
          <w:szCs w:val="22"/>
        </w:rPr>
        <w:t>1976 (1) SA 418 (A) at 425G-426E</w:t>
      </w:r>
      <w:r w:rsidR="008A6BDB" w:rsidRPr="00AC6B34">
        <w:rPr>
          <w:rFonts w:ascii="Arial" w:hAnsi="Arial" w:cs="Arial"/>
          <w:sz w:val="22"/>
          <w:szCs w:val="22"/>
        </w:rPr>
        <w:t>.</w:t>
      </w:r>
    </w:p>
  </w:footnote>
  <w:footnote w:id="3">
    <w:p w14:paraId="5B6F62F0" w14:textId="0B1F6BF8" w:rsidR="00FB6D94" w:rsidRPr="00AC6B34" w:rsidRDefault="00FB6D94" w:rsidP="006C185B">
      <w:pPr>
        <w:pStyle w:val="FootnoteText"/>
        <w:rPr>
          <w:rFonts w:ascii="Arial" w:hAnsi="Arial" w:cs="Arial"/>
          <w:sz w:val="22"/>
          <w:szCs w:val="22"/>
          <w:lang w:val="en-GB"/>
        </w:rPr>
      </w:pPr>
      <w:r w:rsidRPr="00AC6B34">
        <w:rPr>
          <w:rStyle w:val="FootnoteReference"/>
          <w:rFonts w:ascii="Arial" w:hAnsi="Arial" w:cs="Arial"/>
          <w:sz w:val="22"/>
          <w:szCs w:val="22"/>
        </w:rPr>
        <w:footnoteRef/>
      </w:r>
      <w:r w:rsidRPr="00AC6B34">
        <w:rPr>
          <w:rFonts w:ascii="Arial" w:hAnsi="Arial" w:cs="Arial"/>
          <w:sz w:val="22"/>
          <w:szCs w:val="22"/>
        </w:rPr>
        <w:t xml:space="preserve"> </w:t>
      </w:r>
      <w:r w:rsidRPr="00AC6B34">
        <w:rPr>
          <w:rFonts w:ascii="Arial" w:hAnsi="Arial" w:cs="Arial"/>
          <w:i/>
          <w:sz w:val="22"/>
          <w:szCs w:val="22"/>
          <w:lang w:val="en-US"/>
        </w:rPr>
        <w:t>Joob Joob Investments (Pty) Ltd v Stocks Mavundla Zek Joint Venture</w:t>
      </w:r>
      <w:r w:rsidRPr="00AC6B34">
        <w:rPr>
          <w:rFonts w:ascii="Arial" w:hAnsi="Arial" w:cs="Arial"/>
          <w:sz w:val="22"/>
          <w:szCs w:val="22"/>
          <w:lang w:val="en-US"/>
        </w:rPr>
        <w:t xml:space="preserve"> 2009 (5) SA 1 (SCA) at </w:t>
      </w:r>
      <w:r w:rsidRPr="00AC6B34">
        <w:rPr>
          <w:rFonts w:ascii="Arial" w:hAnsi="Arial" w:cs="Arial"/>
          <w:sz w:val="22"/>
          <w:szCs w:val="22"/>
        </w:rPr>
        <w:t>para [32]</w:t>
      </w:r>
      <w:r w:rsidR="00B77D89" w:rsidRPr="00AC6B34">
        <w:rPr>
          <w:rFonts w:ascii="Arial" w:hAnsi="Arial" w:cs="Arial"/>
          <w:sz w:val="22"/>
          <w:szCs w:val="22"/>
        </w:rPr>
        <w:t>.</w:t>
      </w:r>
    </w:p>
  </w:footnote>
  <w:footnote w:id="4">
    <w:p w14:paraId="7C756F58" w14:textId="6283F2A7" w:rsidR="00FB6D94" w:rsidRPr="00AC6B34" w:rsidRDefault="00FB6D94">
      <w:pPr>
        <w:pStyle w:val="FootnoteText"/>
        <w:rPr>
          <w:rFonts w:ascii="Arial" w:hAnsi="Arial" w:cs="Arial"/>
          <w:sz w:val="22"/>
          <w:szCs w:val="22"/>
          <w:lang w:val="en-GB"/>
        </w:rPr>
      </w:pPr>
      <w:r w:rsidRPr="00AC6B34">
        <w:rPr>
          <w:rStyle w:val="FootnoteReference"/>
          <w:rFonts w:ascii="Arial" w:hAnsi="Arial" w:cs="Arial"/>
          <w:sz w:val="22"/>
          <w:szCs w:val="22"/>
        </w:rPr>
        <w:footnoteRef/>
      </w:r>
      <w:r w:rsidRPr="00AC6B34">
        <w:rPr>
          <w:rFonts w:ascii="Arial" w:hAnsi="Arial" w:cs="Arial"/>
          <w:sz w:val="22"/>
          <w:szCs w:val="22"/>
        </w:rPr>
        <w:t xml:space="preserve"> </w:t>
      </w:r>
      <w:r w:rsidR="007257B0" w:rsidRPr="007257B0">
        <w:rPr>
          <w:rFonts w:ascii="Arial" w:hAnsi="Arial" w:cs="Arial"/>
          <w:i/>
          <w:iCs/>
          <w:sz w:val="22"/>
          <w:szCs w:val="22"/>
        </w:rPr>
        <w:t xml:space="preserve">Maharaj </w:t>
      </w:r>
      <w:r w:rsidR="007257B0">
        <w:rPr>
          <w:rFonts w:ascii="Arial" w:hAnsi="Arial" w:cs="Arial"/>
          <w:i/>
          <w:sz w:val="22"/>
          <w:szCs w:val="22"/>
        </w:rPr>
        <w:t>s</w:t>
      </w:r>
      <w:r w:rsidR="008A6BDB" w:rsidRPr="00AC6B34">
        <w:rPr>
          <w:rFonts w:ascii="Arial" w:hAnsi="Arial" w:cs="Arial"/>
          <w:i/>
          <w:sz w:val="22"/>
          <w:szCs w:val="22"/>
        </w:rPr>
        <w:t>upra</w:t>
      </w:r>
      <w:r w:rsidRPr="00AC6B34">
        <w:rPr>
          <w:rFonts w:ascii="Arial" w:hAnsi="Arial" w:cs="Arial"/>
          <w:sz w:val="22"/>
          <w:szCs w:val="22"/>
        </w:rPr>
        <w:t xml:space="preserve"> at 423D—E.</w:t>
      </w:r>
    </w:p>
  </w:footnote>
  <w:footnote w:id="5">
    <w:p w14:paraId="29C386FC" w14:textId="0F89E3CF" w:rsidR="004602F2" w:rsidRPr="00AC6B34" w:rsidRDefault="004602F2" w:rsidP="004602F2">
      <w:pPr>
        <w:pStyle w:val="FootnoteText"/>
        <w:rPr>
          <w:rFonts w:ascii="Arial" w:hAnsi="Arial" w:cs="Arial"/>
          <w:sz w:val="22"/>
          <w:szCs w:val="22"/>
        </w:rPr>
      </w:pPr>
      <w:r w:rsidRPr="00AC6B34">
        <w:rPr>
          <w:rStyle w:val="FootnoteReference"/>
          <w:rFonts w:ascii="Arial" w:hAnsi="Arial" w:cs="Arial"/>
          <w:sz w:val="22"/>
          <w:szCs w:val="22"/>
        </w:rPr>
        <w:footnoteRef/>
      </w:r>
      <w:r w:rsidRPr="00AC6B34">
        <w:rPr>
          <w:rFonts w:ascii="Arial" w:hAnsi="Arial" w:cs="Arial"/>
          <w:sz w:val="22"/>
          <w:szCs w:val="22"/>
        </w:rPr>
        <w:t xml:space="preserve"> [2003] ZASCA 123; [2004] 2 All SA 609 (SCA) at para [19].</w:t>
      </w:r>
    </w:p>
    <w:p w14:paraId="49B4857B" w14:textId="4D1E4312" w:rsidR="004602F2" w:rsidRPr="00AC6B34" w:rsidRDefault="004602F2">
      <w:pPr>
        <w:pStyle w:val="FootnoteText"/>
        <w:rPr>
          <w:rFonts w:ascii="Arial" w:hAnsi="Arial" w:cs="Arial"/>
          <w:sz w:val="22"/>
          <w:szCs w:val="22"/>
          <w:lang w:val="en-GB"/>
        </w:rPr>
      </w:pPr>
    </w:p>
  </w:footnote>
  <w:footnote w:id="6">
    <w:p w14:paraId="7118DECD" w14:textId="02BE04D3" w:rsidR="00FB6D94" w:rsidRPr="00AC6B34" w:rsidRDefault="00FB6D94">
      <w:pPr>
        <w:pStyle w:val="FootnoteText"/>
        <w:rPr>
          <w:rFonts w:ascii="Arial" w:hAnsi="Arial" w:cs="Arial"/>
          <w:sz w:val="22"/>
          <w:szCs w:val="22"/>
          <w:lang w:val="en-GB"/>
        </w:rPr>
      </w:pPr>
      <w:r w:rsidRPr="00AC6B34">
        <w:rPr>
          <w:rStyle w:val="FootnoteReference"/>
          <w:rFonts w:ascii="Arial" w:hAnsi="Arial" w:cs="Arial"/>
          <w:sz w:val="22"/>
          <w:szCs w:val="22"/>
        </w:rPr>
        <w:footnoteRef/>
      </w:r>
      <w:r w:rsidRPr="00AC6B34">
        <w:rPr>
          <w:rFonts w:ascii="Arial" w:hAnsi="Arial" w:cs="Arial"/>
          <w:sz w:val="22"/>
          <w:szCs w:val="22"/>
        </w:rPr>
        <w:t xml:space="preserve"> 2014 (4) SA 220 (SCA) at</w:t>
      </w:r>
      <w:r w:rsidR="000F4E5E" w:rsidRPr="00AC6B34">
        <w:rPr>
          <w:rFonts w:ascii="Arial" w:hAnsi="Arial" w:cs="Arial"/>
          <w:sz w:val="22"/>
          <w:szCs w:val="22"/>
        </w:rPr>
        <w:t xml:space="preserve"> para [15].</w:t>
      </w:r>
    </w:p>
  </w:footnote>
  <w:footnote w:id="7">
    <w:p w14:paraId="634794E1" w14:textId="57EAD3B6" w:rsidR="00FB6D94" w:rsidRPr="00AC6B34" w:rsidRDefault="00FB6D94" w:rsidP="002B57AB">
      <w:pPr>
        <w:pStyle w:val="FootnoteText"/>
        <w:rPr>
          <w:rFonts w:ascii="Arial" w:hAnsi="Arial" w:cs="Arial"/>
          <w:sz w:val="22"/>
          <w:szCs w:val="22"/>
          <w:lang w:val="en-GB"/>
        </w:rPr>
      </w:pPr>
      <w:r w:rsidRPr="00AC6B34">
        <w:rPr>
          <w:rStyle w:val="FootnoteReference"/>
          <w:rFonts w:ascii="Arial" w:hAnsi="Arial" w:cs="Arial"/>
          <w:sz w:val="22"/>
          <w:szCs w:val="22"/>
        </w:rPr>
        <w:footnoteRef/>
      </w:r>
      <w:r w:rsidRPr="00AC6B34">
        <w:rPr>
          <w:rFonts w:ascii="Arial" w:hAnsi="Arial" w:cs="Arial"/>
          <w:sz w:val="22"/>
          <w:szCs w:val="22"/>
        </w:rPr>
        <w:t xml:space="preserve"> 1999 (4) SA 229 (C) at 235A–C</w:t>
      </w:r>
      <w:r w:rsidR="003B1DB1" w:rsidRPr="00AC6B34">
        <w:rPr>
          <w:rFonts w:ascii="Arial" w:hAnsi="Arial" w:cs="Arial"/>
          <w:sz w:val="22"/>
          <w:szCs w:val="22"/>
        </w:rPr>
        <w:t>, referred to in</w:t>
      </w:r>
      <w:r w:rsidR="003B1DB1" w:rsidRPr="00AC6B34">
        <w:rPr>
          <w:rFonts w:ascii="Arial" w:hAnsi="Arial" w:cs="Arial"/>
          <w:i/>
          <w:iCs/>
          <w:sz w:val="22"/>
          <w:szCs w:val="22"/>
        </w:rPr>
        <w:t xml:space="preserve"> Shackleton Credit Management (Pty) Ltd v Microzone Trading 88 CC &amp; Another</w:t>
      </w:r>
      <w:r w:rsidR="003B1DB1" w:rsidRPr="00AC6B34">
        <w:rPr>
          <w:rFonts w:ascii="Arial" w:hAnsi="Arial" w:cs="Arial"/>
          <w:sz w:val="22"/>
          <w:szCs w:val="22"/>
        </w:rPr>
        <w:t xml:space="preserve"> 2010 (5) SA 112 (KZP)</w:t>
      </w:r>
      <w:r w:rsidR="007257B0">
        <w:rPr>
          <w:rFonts w:ascii="Arial" w:hAnsi="Arial" w:cs="Arial"/>
          <w:sz w:val="22"/>
          <w:szCs w:val="22"/>
        </w:rPr>
        <w:t xml:space="preserve"> at</w:t>
      </w:r>
      <w:r w:rsidR="003B1DB1" w:rsidRPr="00AC6B34">
        <w:rPr>
          <w:rFonts w:ascii="Arial" w:hAnsi="Arial" w:cs="Arial"/>
          <w:sz w:val="22"/>
          <w:szCs w:val="22"/>
        </w:rPr>
        <w:t xml:space="preserve"> para [13]. </w:t>
      </w:r>
      <w:r w:rsidR="004A6730" w:rsidRPr="00AC6B34">
        <w:rPr>
          <w:rFonts w:ascii="Arial" w:hAnsi="Arial" w:cs="Arial"/>
          <w:sz w:val="22"/>
          <w:szCs w:val="22"/>
        </w:rPr>
        <w:t xml:space="preserve">See too </w:t>
      </w:r>
      <w:r w:rsidR="004A6730" w:rsidRPr="00AC6B34">
        <w:rPr>
          <w:rFonts w:ascii="Arial" w:hAnsi="Arial" w:cs="Arial"/>
          <w:i/>
          <w:iCs/>
          <w:sz w:val="22"/>
          <w:szCs w:val="22"/>
        </w:rPr>
        <w:t>Firstrand Bank Ltd v Carl Beck Estates (Pty) Ltd and Another</w:t>
      </w:r>
      <w:r w:rsidR="004A6730" w:rsidRPr="00AC6B34">
        <w:rPr>
          <w:rFonts w:ascii="Arial" w:hAnsi="Arial" w:cs="Arial"/>
          <w:sz w:val="22"/>
          <w:szCs w:val="22"/>
        </w:rPr>
        <w:t xml:space="preserve"> 2009 (3) SA 384 (T) at 391F-G</w:t>
      </w:r>
      <w:r w:rsidR="003935CE">
        <w:rPr>
          <w:rFonts w:ascii="Arial" w:hAnsi="Arial" w:cs="Arial"/>
          <w:sz w:val="22"/>
          <w:szCs w:val="22"/>
        </w:rPr>
        <w:t>.</w:t>
      </w:r>
      <w:r w:rsidR="00CE2B80" w:rsidRPr="00AC6B34">
        <w:rPr>
          <w:rFonts w:ascii="Arial" w:hAnsi="Arial" w:cs="Arial"/>
          <w:sz w:val="22"/>
          <w:szCs w:val="22"/>
        </w:rPr>
        <w:t xml:space="preserve"> </w:t>
      </w:r>
    </w:p>
  </w:footnote>
  <w:footnote w:id="8">
    <w:p w14:paraId="19CC484C" w14:textId="40F28640" w:rsidR="006A19FC" w:rsidRPr="00AC6B34" w:rsidRDefault="006A19FC">
      <w:pPr>
        <w:pStyle w:val="FootnoteText"/>
        <w:rPr>
          <w:rFonts w:ascii="Arial" w:hAnsi="Arial" w:cs="Arial"/>
          <w:sz w:val="22"/>
          <w:szCs w:val="22"/>
          <w:lang w:val="en-GB"/>
        </w:rPr>
      </w:pPr>
      <w:r w:rsidRPr="00AC6B34">
        <w:rPr>
          <w:rStyle w:val="FootnoteReference"/>
          <w:rFonts w:ascii="Arial" w:hAnsi="Arial" w:cs="Arial"/>
          <w:sz w:val="22"/>
          <w:szCs w:val="22"/>
        </w:rPr>
        <w:footnoteRef/>
      </w:r>
      <w:r w:rsidRPr="00AC6B34">
        <w:rPr>
          <w:rFonts w:ascii="Arial" w:hAnsi="Arial" w:cs="Arial"/>
          <w:sz w:val="22"/>
          <w:szCs w:val="22"/>
        </w:rPr>
        <w:t xml:space="preserve"> See </w:t>
      </w:r>
      <w:r w:rsidRPr="00AC6B34">
        <w:rPr>
          <w:rFonts w:ascii="Arial" w:hAnsi="Arial" w:cs="Arial"/>
          <w:i/>
          <w:iCs/>
          <w:sz w:val="22"/>
          <w:szCs w:val="22"/>
        </w:rPr>
        <w:t>FirstRand Bank LTD t/a Wesbank v Molamuagae</w:t>
      </w:r>
      <w:r w:rsidRPr="00AC6B34">
        <w:rPr>
          <w:rFonts w:ascii="Arial" w:hAnsi="Arial" w:cs="Arial"/>
          <w:sz w:val="22"/>
          <w:szCs w:val="22"/>
        </w:rPr>
        <w:t xml:space="preserve"> (24558/2016) [2018] ZAGPPHC 762 (26 February 2018), where the court granted summary judgment </w:t>
      </w:r>
      <w:r w:rsidR="003935CE" w:rsidRPr="00AC6B34">
        <w:rPr>
          <w:rFonts w:ascii="Arial" w:hAnsi="Arial" w:cs="Arial"/>
          <w:sz w:val="22"/>
          <w:szCs w:val="22"/>
        </w:rPr>
        <w:t>based on</w:t>
      </w:r>
      <w:r w:rsidRPr="00AC6B34">
        <w:rPr>
          <w:rFonts w:ascii="Arial" w:hAnsi="Arial" w:cs="Arial"/>
          <w:sz w:val="22"/>
          <w:szCs w:val="22"/>
        </w:rPr>
        <w:t xml:space="preserve"> an electronic agreement.</w:t>
      </w:r>
    </w:p>
  </w:footnote>
  <w:footnote w:id="9">
    <w:p w14:paraId="501A8794" w14:textId="0EE5168F" w:rsidR="00C80C2A" w:rsidRPr="00AC6B34" w:rsidRDefault="00C80C2A" w:rsidP="00C80C2A">
      <w:pPr>
        <w:pStyle w:val="FootnoteText"/>
        <w:rPr>
          <w:rFonts w:ascii="Arial" w:hAnsi="Arial" w:cs="Arial"/>
          <w:sz w:val="22"/>
          <w:szCs w:val="22"/>
          <w:lang w:val="en-GB"/>
        </w:rPr>
      </w:pPr>
      <w:r w:rsidRPr="00AC6B34">
        <w:rPr>
          <w:rStyle w:val="FootnoteReference"/>
          <w:rFonts w:ascii="Arial" w:hAnsi="Arial" w:cs="Arial"/>
          <w:sz w:val="22"/>
          <w:szCs w:val="22"/>
        </w:rPr>
        <w:footnoteRef/>
      </w:r>
      <w:r w:rsidRPr="00AC6B34">
        <w:rPr>
          <w:rFonts w:ascii="Arial" w:hAnsi="Arial" w:cs="Arial"/>
          <w:sz w:val="22"/>
          <w:szCs w:val="22"/>
        </w:rPr>
        <w:t xml:space="preserve"> </w:t>
      </w:r>
      <w:r w:rsidRPr="00AC6B34">
        <w:rPr>
          <w:rFonts w:ascii="Arial" w:hAnsi="Arial" w:cs="Arial"/>
          <w:i/>
          <w:sz w:val="22"/>
          <w:szCs w:val="22"/>
        </w:rPr>
        <w:t>Pillay v Krishna</w:t>
      </w:r>
      <w:r w:rsidRPr="00AC6B34">
        <w:rPr>
          <w:rFonts w:ascii="Arial" w:hAnsi="Arial" w:cs="Arial"/>
          <w:sz w:val="22"/>
          <w:szCs w:val="22"/>
        </w:rPr>
        <w:t xml:space="preserve"> 1946 AD 946 at 955</w:t>
      </w:r>
      <w:r w:rsidR="00AC6B34" w:rsidRPr="00AC6B34">
        <w:rPr>
          <w:rFonts w:ascii="Arial" w:hAnsi="Arial" w:cs="Arial"/>
          <w:sz w:val="22"/>
          <w:szCs w:val="22"/>
        </w:rPr>
        <w:t>;</w:t>
      </w:r>
      <w:r w:rsidRPr="00AC6B34">
        <w:rPr>
          <w:rFonts w:ascii="Arial" w:hAnsi="Arial" w:cs="Arial"/>
          <w:sz w:val="22"/>
          <w:szCs w:val="22"/>
        </w:rPr>
        <w:t xml:space="preserve"> and </w:t>
      </w:r>
      <w:r w:rsidRPr="00AC6B34">
        <w:rPr>
          <w:rFonts w:ascii="Arial" w:hAnsi="Arial" w:cs="Arial"/>
          <w:i/>
          <w:sz w:val="22"/>
          <w:szCs w:val="22"/>
        </w:rPr>
        <w:t>Nedperm Bank Ltd v P Lavarach &amp; Others</w:t>
      </w:r>
      <w:r w:rsidRPr="00AC6B34">
        <w:rPr>
          <w:rFonts w:ascii="Arial" w:hAnsi="Arial" w:cs="Arial"/>
          <w:sz w:val="22"/>
          <w:szCs w:val="22"/>
        </w:rPr>
        <w:t xml:space="preserve"> 1996 4 SA 30 (AD) at 47B.</w:t>
      </w:r>
    </w:p>
  </w:footnote>
  <w:footnote w:id="10">
    <w:p w14:paraId="6A75C59E" w14:textId="519942F0" w:rsidR="00FB6D94" w:rsidRPr="00AC6B34" w:rsidRDefault="00FB6D94" w:rsidP="00A205EE">
      <w:pPr>
        <w:pStyle w:val="FootnoteText"/>
        <w:rPr>
          <w:rFonts w:ascii="Arial" w:hAnsi="Arial" w:cs="Arial"/>
          <w:sz w:val="22"/>
          <w:szCs w:val="22"/>
          <w:lang w:val="en-GB"/>
        </w:rPr>
      </w:pPr>
      <w:r w:rsidRPr="00AC6B34">
        <w:rPr>
          <w:rStyle w:val="FootnoteReference"/>
          <w:rFonts w:ascii="Arial" w:hAnsi="Arial" w:cs="Arial"/>
          <w:sz w:val="22"/>
          <w:szCs w:val="22"/>
        </w:rPr>
        <w:footnoteRef/>
      </w:r>
      <w:r w:rsidRPr="00AC6B34">
        <w:rPr>
          <w:rFonts w:ascii="Arial" w:hAnsi="Arial" w:cs="Arial"/>
          <w:sz w:val="22"/>
          <w:szCs w:val="22"/>
        </w:rPr>
        <w:t xml:space="preserve"> 2008</w:t>
      </w:r>
      <w:r w:rsidR="003935CE">
        <w:rPr>
          <w:rFonts w:ascii="Arial" w:hAnsi="Arial" w:cs="Arial"/>
          <w:sz w:val="22"/>
          <w:szCs w:val="22"/>
        </w:rPr>
        <w:t xml:space="preserve"> </w:t>
      </w:r>
      <w:r w:rsidRPr="00AC6B34">
        <w:rPr>
          <w:rFonts w:ascii="Arial" w:hAnsi="Arial" w:cs="Arial"/>
          <w:sz w:val="22"/>
          <w:szCs w:val="22"/>
        </w:rPr>
        <w:t>(2) SA 253 (W) at 256.</w:t>
      </w:r>
    </w:p>
  </w:footnote>
  <w:footnote w:id="11">
    <w:p w14:paraId="18BFD622" w14:textId="7FA9D9DC" w:rsidR="00180ACA" w:rsidRPr="00AC6B34" w:rsidRDefault="00180ACA" w:rsidP="00180ACA">
      <w:pPr>
        <w:pStyle w:val="FootnoteText"/>
        <w:rPr>
          <w:rFonts w:ascii="Arial" w:hAnsi="Arial" w:cs="Arial"/>
          <w:sz w:val="22"/>
          <w:szCs w:val="22"/>
          <w:lang w:val="en-GB"/>
        </w:rPr>
      </w:pPr>
      <w:r w:rsidRPr="00AC6B34">
        <w:rPr>
          <w:rStyle w:val="FootnoteReference"/>
          <w:rFonts w:ascii="Arial" w:hAnsi="Arial" w:cs="Arial"/>
          <w:sz w:val="22"/>
          <w:szCs w:val="22"/>
        </w:rPr>
        <w:footnoteRef/>
      </w:r>
      <w:r w:rsidRPr="00AC6B34">
        <w:rPr>
          <w:rFonts w:ascii="Arial" w:hAnsi="Arial" w:cs="Arial"/>
          <w:sz w:val="22"/>
          <w:szCs w:val="22"/>
        </w:rPr>
        <w:t xml:space="preserve"> </w:t>
      </w:r>
      <w:r w:rsidRPr="00AC6B34">
        <w:rPr>
          <w:rFonts w:ascii="Arial" w:hAnsi="Arial" w:cs="Arial"/>
          <w:iCs/>
          <w:sz w:val="22"/>
          <w:szCs w:val="22"/>
        </w:rPr>
        <w:t xml:space="preserve"> [2010] ZASCA 130; 2010 (6) SA 439 (SCA); [2011] 2 All SA 56 (SCA) (30 September 2010) at para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B605" w14:textId="2203587B" w:rsidR="00FB6D94" w:rsidRDefault="00FB6D94" w:rsidP="007512BF">
    <w:pPr>
      <w:pStyle w:val="Header"/>
      <w:tabs>
        <w:tab w:val="clear" w:pos="4513"/>
        <w:tab w:val="clear" w:pos="9026"/>
        <w:tab w:val="left" w:pos="290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2BAA"/>
    <w:multiLevelType w:val="hybridMultilevel"/>
    <w:tmpl w:val="A800AA56"/>
    <w:lvl w:ilvl="0" w:tplc="D212742A">
      <w:start w:val="2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C1E29"/>
    <w:multiLevelType w:val="hybridMultilevel"/>
    <w:tmpl w:val="921E226A"/>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7C2F59"/>
    <w:multiLevelType w:val="hybridMultilevel"/>
    <w:tmpl w:val="6FAC94C8"/>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953AA9"/>
    <w:multiLevelType w:val="hybridMultilevel"/>
    <w:tmpl w:val="A3B627D2"/>
    <w:lvl w:ilvl="0" w:tplc="91F03F2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710AA2"/>
    <w:multiLevelType w:val="hybridMultilevel"/>
    <w:tmpl w:val="12BAE760"/>
    <w:lvl w:ilvl="0" w:tplc="753C06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9ED7095"/>
    <w:multiLevelType w:val="hybridMultilevel"/>
    <w:tmpl w:val="080AE732"/>
    <w:lvl w:ilvl="0" w:tplc="F4562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73B79"/>
    <w:multiLevelType w:val="hybridMultilevel"/>
    <w:tmpl w:val="DAD00DD0"/>
    <w:lvl w:ilvl="0" w:tplc="753C067C">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8D4828"/>
    <w:multiLevelType w:val="hybridMultilevel"/>
    <w:tmpl w:val="7B62BCFC"/>
    <w:lvl w:ilvl="0" w:tplc="BA78070E">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DF2E95"/>
    <w:multiLevelType w:val="hybridMultilevel"/>
    <w:tmpl w:val="72B0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00A31"/>
    <w:multiLevelType w:val="hybridMultilevel"/>
    <w:tmpl w:val="75B62894"/>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9B3361"/>
    <w:multiLevelType w:val="hybridMultilevel"/>
    <w:tmpl w:val="87A2D5F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FE212D6"/>
    <w:multiLevelType w:val="hybridMultilevel"/>
    <w:tmpl w:val="740A3FC2"/>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B028CE"/>
    <w:multiLevelType w:val="hybridMultilevel"/>
    <w:tmpl w:val="BB869B24"/>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590DA1"/>
    <w:multiLevelType w:val="hybridMultilevel"/>
    <w:tmpl w:val="7D92A8B4"/>
    <w:lvl w:ilvl="0" w:tplc="B7B67680">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E27588"/>
    <w:multiLevelType w:val="hybridMultilevel"/>
    <w:tmpl w:val="BE54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8"/>
  </w:num>
  <w:num w:numId="3">
    <w:abstractNumId w:val="12"/>
  </w:num>
  <w:num w:numId="4">
    <w:abstractNumId w:val="13"/>
  </w:num>
  <w:num w:numId="5">
    <w:abstractNumId w:val="7"/>
  </w:num>
  <w:num w:numId="6">
    <w:abstractNumId w:val="10"/>
  </w:num>
  <w:num w:numId="7">
    <w:abstractNumId w:val="4"/>
  </w:num>
  <w:num w:numId="8">
    <w:abstractNumId w:val="1"/>
  </w:num>
  <w:num w:numId="9">
    <w:abstractNumId w:val="6"/>
  </w:num>
  <w:num w:numId="10">
    <w:abstractNumId w:val="3"/>
  </w:num>
  <w:num w:numId="11">
    <w:abstractNumId w:val="16"/>
  </w:num>
  <w:num w:numId="12">
    <w:abstractNumId w:val="5"/>
  </w:num>
  <w:num w:numId="13">
    <w:abstractNumId w:val="11"/>
  </w:num>
  <w:num w:numId="14">
    <w:abstractNumId w:val="15"/>
  </w:num>
  <w:num w:numId="15">
    <w:abstractNumId w:val="0"/>
  </w:num>
  <w:num w:numId="16">
    <w:abstractNumId w:val="8"/>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0245"/>
    <w:rsid w:val="00004403"/>
    <w:rsid w:val="00005B9B"/>
    <w:rsid w:val="00017DF5"/>
    <w:rsid w:val="000233A4"/>
    <w:rsid w:val="000323AB"/>
    <w:rsid w:val="00043338"/>
    <w:rsid w:val="00061528"/>
    <w:rsid w:val="000745D4"/>
    <w:rsid w:val="000879A0"/>
    <w:rsid w:val="0009792A"/>
    <w:rsid w:val="000A0CF8"/>
    <w:rsid w:val="000B0EBA"/>
    <w:rsid w:val="000B583D"/>
    <w:rsid w:val="000B5AC6"/>
    <w:rsid w:val="000C16EE"/>
    <w:rsid w:val="000C27D0"/>
    <w:rsid w:val="000D734C"/>
    <w:rsid w:val="000D7863"/>
    <w:rsid w:val="000E1435"/>
    <w:rsid w:val="000E3541"/>
    <w:rsid w:val="000E55BD"/>
    <w:rsid w:val="000E67D1"/>
    <w:rsid w:val="000E6F45"/>
    <w:rsid w:val="000F0AEF"/>
    <w:rsid w:val="000F1EE7"/>
    <w:rsid w:val="000F2890"/>
    <w:rsid w:val="000F4570"/>
    <w:rsid w:val="000F4E5E"/>
    <w:rsid w:val="0010148A"/>
    <w:rsid w:val="00104DBE"/>
    <w:rsid w:val="001245EF"/>
    <w:rsid w:val="001274B4"/>
    <w:rsid w:val="001309F0"/>
    <w:rsid w:val="0013529C"/>
    <w:rsid w:val="001521AA"/>
    <w:rsid w:val="00162D98"/>
    <w:rsid w:val="00166494"/>
    <w:rsid w:val="0017409C"/>
    <w:rsid w:val="00180ACA"/>
    <w:rsid w:val="001813BA"/>
    <w:rsid w:val="00181917"/>
    <w:rsid w:val="00182156"/>
    <w:rsid w:val="0019409F"/>
    <w:rsid w:val="00194A32"/>
    <w:rsid w:val="0019612C"/>
    <w:rsid w:val="001A12F4"/>
    <w:rsid w:val="001C4B45"/>
    <w:rsid w:val="001C656A"/>
    <w:rsid w:val="001C7C56"/>
    <w:rsid w:val="001D5E23"/>
    <w:rsid w:val="001E2970"/>
    <w:rsid w:val="001F02D0"/>
    <w:rsid w:val="00202683"/>
    <w:rsid w:val="00216BAC"/>
    <w:rsid w:val="0022038A"/>
    <w:rsid w:val="002331DA"/>
    <w:rsid w:val="00237302"/>
    <w:rsid w:val="0024025A"/>
    <w:rsid w:val="00247432"/>
    <w:rsid w:val="002629B9"/>
    <w:rsid w:val="00263B72"/>
    <w:rsid w:val="002659CF"/>
    <w:rsid w:val="002754A3"/>
    <w:rsid w:val="002828B5"/>
    <w:rsid w:val="002837B6"/>
    <w:rsid w:val="002846A0"/>
    <w:rsid w:val="002859FC"/>
    <w:rsid w:val="002936AB"/>
    <w:rsid w:val="00297A1B"/>
    <w:rsid w:val="00297BD6"/>
    <w:rsid w:val="002A1BD6"/>
    <w:rsid w:val="002A4FF4"/>
    <w:rsid w:val="002B57AB"/>
    <w:rsid w:val="002C7229"/>
    <w:rsid w:val="002D1CD9"/>
    <w:rsid w:val="002D57B5"/>
    <w:rsid w:val="002F1C92"/>
    <w:rsid w:val="002F2815"/>
    <w:rsid w:val="002F402A"/>
    <w:rsid w:val="00300FF5"/>
    <w:rsid w:val="003010F5"/>
    <w:rsid w:val="00302403"/>
    <w:rsid w:val="00304E7C"/>
    <w:rsid w:val="00305124"/>
    <w:rsid w:val="00305238"/>
    <w:rsid w:val="00311704"/>
    <w:rsid w:val="00316DA5"/>
    <w:rsid w:val="003267A0"/>
    <w:rsid w:val="00327B53"/>
    <w:rsid w:val="00333AD9"/>
    <w:rsid w:val="003353AC"/>
    <w:rsid w:val="003370A3"/>
    <w:rsid w:val="00340EDC"/>
    <w:rsid w:val="00341FE6"/>
    <w:rsid w:val="00345393"/>
    <w:rsid w:val="003640C3"/>
    <w:rsid w:val="00367651"/>
    <w:rsid w:val="003704C6"/>
    <w:rsid w:val="003815BB"/>
    <w:rsid w:val="00385311"/>
    <w:rsid w:val="00390567"/>
    <w:rsid w:val="00390E48"/>
    <w:rsid w:val="003914A2"/>
    <w:rsid w:val="003915FF"/>
    <w:rsid w:val="00392A31"/>
    <w:rsid w:val="00392D9E"/>
    <w:rsid w:val="003935CE"/>
    <w:rsid w:val="003A1E6A"/>
    <w:rsid w:val="003A516E"/>
    <w:rsid w:val="003B1DB1"/>
    <w:rsid w:val="003B2AD5"/>
    <w:rsid w:val="003C28DA"/>
    <w:rsid w:val="003C5790"/>
    <w:rsid w:val="003E383E"/>
    <w:rsid w:val="003E3BFE"/>
    <w:rsid w:val="003F0C8D"/>
    <w:rsid w:val="003F5A03"/>
    <w:rsid w:val="0040525E"/>
    <w:rsid w:val="004060F1"/>
    <w:rsid w:val="00407600"/>
    <w:rsid w:val="004119D7"/>
    <w:rsid w:val="00411D6E"/>
    <w:rsid w:val="004138C0"/>
    <w:rsid w:val="0041503A"/>
    <w:rsid w:val="00416CAC"/>
    <w:rsid w:val="00425386"/>
    <w:rsid w:val="0043124F"/>
    <w:rsid w:val="00433446"/>
    <w:rsid w:val="004501AF"/>
    <w:rsid w:val="00450F49"/>
    <w:rsid w:val="00453D3E"/>
    <w:rsid w:val="00455594"/>
    <w:rsid w:val="004602F2"/>
    <w:rsid w:val="00460DB9"/>
    <w:rsid w:val="0046301A"/>
    <w:rsid w:val="00467A8F"/>
    <w:rsid w:val="00473F4C"/>
    <w:rsid w:val="00476D96"/>
    <w:rsid w:val="00481F37"/>
    <w:rsid w:val="00491403"/>
    <w:rsid w:val="00493867"/>
    <w:rsid w:val="00493C35"/>
    <w:rsid w:val="004A6730"/>
    <w:rsid w:val="004A7D9A"/>
    <w:rsid w:val="004B2C83"/>
    <w:rsid w:val="004B474D"/>
    <w:rsid w:val="004B51C3"/>
    <w:rsid w:val="004D2713"/>
    <w:rsid w:val="004D2FD5"/>
    <w:rsid w:val="004D3787"/>
    <w:rsid w:val="004D3ECF"/>
    <w:rsid w:val="004D6D4A"/>
    <w:rsid w:val="00504228"/>
    <w:rsid w:val="0051198F"/>
    <w:rsid w:val="005160C8"/>
    <w:rsid w:val="00516BA5"/>
    <w:rsid w:val="00520BC6"/>
    <w:rsid w:val="0052232D"/>
    <w:rsid w:val="00530B05"/>
    <w:rsid w:val="00542C2D"/>
    <w:rsid w:val="005508F0"/>
    <w:rsid w:val="00571ED6"/>
    <w:rsid w:val="0057775D"/>
    <w:rsid w:val="005834CF"/>
    <w:rsid w:val="00596DF5"/>
    <w:rsid w:val="005A0DEB"/>
    <w:rsid w:val="005B10A8"/>
    <w:rsid w:val="005B29F7"/>
    <w:rsid w:val="005B5543"/>
    <w:rsid w:val="005B6863"/>
    <w:rsid w:val="005B7503"/>
    <w:rsid w:val="005C0EF7"/>
    <w:rsid w:val="005C4D7D"/>
    <w:rsid w:val="005C62CE"/>
    <w:rsid w:val="005D7B5D"/>
    <w:rsid w:val="005D7D0D"/>
    <w:rsid w:val="005E7F10"/>
    <w:rsid w:val="005F42C7"/>
    <w:rsid w:val="00612E7D"/>
    <w:rsid w:val="0061431B"/>
    <w:rsid w:val="0061478E"/>
    <w:rsid w:val="00627996"/>
    <w:rsid w:val="0063662C"/>
    <w:rsid w:val="00640060"/>
    <w:rsid w:val="00645C84"/>
    <w:rsid w:val="00665FF8"/>
    <w:rsid w:val="0066636B"/>
    <w:rsid w:val="00673959"/>
    <w:rsid w:val="0068111A"/>
    <w:rsid w:val="0068118D"/>
    <w:rsid w:val="006815C4"/>
    <w:rsid w:val="006851CA"/>
    <w:rsid w:val="006A19FC"/>
    <w:rsid w:val="006A2D52"/>
    <w:rsid w:val="006B4381"/>
    <w:rsid w:val="006B4EFA"/>
    <w:rsid w:val="006B6864"/>
    <w:rsid w:val="006B7EED"/>
    <w:rsid w:val="006C185B"/>
    <w:rsid w:val="006C61B5"/>
    <w:rsid w:val="006C7A40"/>
    <w:rsid w:val="006F28C9"/>
    <w:rsid w:val="006F5228"/>
    <w:rsid w:val="006F5878"/>
    <w:rsid w:val="006F72D9"/>
    <w:rsid w:val="007037C0"/>
    <w:rsid w:val="0071560D"/>
    <w:rsid w:val="007257B0"/>
    <w:rsid w:val="0073290E"/>
    <w:rsid w:val="007512BF"/>
    <w:rsid w:val="00753DC9"/>
    <w:rsid w:val="0076146D"/>
    <w:rsid w:val="0077175E"/>
    <w:rsid w:val="0077184A"/>
    <w:rsid w:val="007770A1"/>
    <w:rsid w:val="00782793"/>
    <w:rsid w:val="00786F9C"/>
    <w:rsid w:val="00794418"/>
    <w:rsid w:val="00794738"/>
    <w:rsid w:val="0079661B"/>
    <w:rsid w:val="00796DAB"/>
    <w:rsid w:val="007A1984"/>
    <w:rsid w:val="007A534F"/>
    <w:rsid w:val="007B23E1"/>
    <w:rsid w:val="007B286C"/>
    <w:rsid w:val="007B299B"/>
    <w:rsid w:val="007B5314"/>
    <w:rsid w:val="007B697D"/>
    <w:rsid w:val="007C302F"/>
    <w:rsid w:val="007C56F8"/>
    <w:rsid w:val="007C6B2C"/>
    <w:rsid w:val="007D5F4C"/>
    <w:rsid w:val="007F276F"/>
    <w:rsid w:val="007F5A37"/>
    <w:rsid w:val="007F7B9D"/>
    <w:rsid w:val="00803BB7"/>
    <w:rsid w:val="00814179"/>
    <w:rsid w:val="00816E10"/>
    <w:rsid w:val="00821940"/>
    <w:rsid w:val="00822463"/>
    <w:rsid w:val="008365F2"/>
    <w:rsid w:val="00837089"/>
    <w:rsid w:val="00837EA0"/>
    <w:rsid w:val="00846D7B"/>
    <w:rsid w:val="008511E4"/>
    <w:rsid w:val="0085196E"/>
    <w:rsid w:val="00856E25"/>
    <w:rsid w:val="0086317A"/>
    <w:rsid w:val="00873407"/>
    <w:rsid w:val="008861A8"/>
    <w:rsid w:val="008A1164"/>
    <w:rsid w:val="008A3B73"/>
    <w:rsid w:val="008A4188"/>
    <w:rsid w:val="008A6BDB"/>
    <w:rsid w:val="008A7499"/>
    <w:rsid w:val="008B73D3"/>
    <w:rsid w:val="008C4A11"/>
    <w:rsid w:val="008C6134"/>
    <w:rsid w:val="008C7C8A"/>
    <w:rsid w:val="008D23AB"/>
    <w:rsid w:val="008D438D"/>
    <w:rsid w:val="008D5618"/>
    <w:rsid w:val="008F0180"/>
    <w:rsid w:val="008F523A"/>
    <w:rsid w:val="0090056A"/>
    <w:rsid w:val="0090311C"/>
    <w:rsid w:val="00905369"/>
    <w:rsid w:val="0092054F"/>
    <w:rsid w:val="0092225F"/>
    <w:rsid w:val="00922DDA"/>
    <w:rsid w:val="00931268"/>
    <w:rsid w:val="00935FB7"/>
    <w:rsid w:val="009400DF"/>
    <w:rsid w:val="0094783D"/>
    <w:rsid w:val="0095021D"/>
    <w:rsid w:val="00950DE2"/>
    <w:rsid w:val="009617ED"/>
    <w:rsid w:val="009806DF"/>
    <w:rsid w:val="00985C94"/>
    <w:rsid w:val="00987E1E"/>
    <w:rsid w:val="00993A4A"/>
    <w:rsid w:val="00995C96"/>
    <w:rsid w:val="009A22FA"/>
    <w:rsid w:val="009A58E3"/>
    <w:rsid w:val="009A78C7"/>
    <w:rsid w:val="009B0C4A"/>
    <w:rsid w:val="009B1CA9"/>
    <w:rsid w:val="009B2AA8"/>
    <w:rsid w:val="009C5809"/>
    <w:rsid w:val="009C764E"/>
    <w:rsid w:val="009C7725"/>
    <w:rsid w:val="009F05B6"/>
    <w:rsid w:val="009F3C31"/>
    <w:rsid w:val="009F4521"/>
    <w:rsid w:val="00A01945"/>
    <w:rsid w:val="00A14886"/>
    <w:rsid w:val="00A205EE"/>
    <w:rsid w:val="00A2092C"/>
    <w:rsid w:val="00A30361"/>
    <w:rsid w:val="00A461B7"/>
    <w:rsid w:val="00A47338"/>
    <w:rsid w:val="00A5487F"/>
    <w:rsid w:val="00A55AF5"/>
    <w:rsid w:val="00A60A07"/>
    <w:rsid w:val="00A75984"/>
    <w:rsid w:val="00A75B49"/>
    <w:rsid w:val="00A86D87"/>
    <w:rsid w:val="00A939A3"/>
    <w:rsid w:val="00A94BB4"/>
    <w:rsid w:val="00AA40F8"/>
    <w:rsid w:val="00AA60AC"/>
    <w:rsid w:val="00AC0B6E"/>
    <w:rsid w:val="00AC5F3D"/>
    <w:rsid w:val="00AC6B34"/>
    <w:rsid w:val="00AD2160"/>
    <w:rsid w:val="00AD49D0"/>
    <w:rsid w:val="00AE2164"/>
    <w:rsid w:val="00AF61D0"/>
    <w:rsid w:val="00B00F74"/>
    <w:rsid w:val="00B036EF"/>
    <w:rsid w:val="00B03C39"/>
    <w:rsid w:val="00B0633C"/>
    <w:rsid w:val="00B070B9"/>
    <w:rsid w:val="00B11CE6"/>
    <w:rsid w:val="00B24EF9"/>
    <w:rsid w:val="00B44D77"/>
    <w:rsid w:val="00B46E31"/>
    <w:rsid w:val="00B500E2"/>
    <w:rsid w:val="00B52B5A"/>
    <w:rsid w:val="00B6085C"/>
    <w:rsid w:val="00B74B75"/>
    <w:rsid w:val="00B77D89"/>
    <w:rsid w:val="00B81EC7"/>
    <w:rsid w:val="00B8210B"/>
    <w:rsid w:val="00B84B15"/>
    <w:rsid w:val="00B85C37"/>
    <w:rsid w:val="00B85E77"/>
    <w:rsid w:val="00B93ED5"/>
    <w:rsid w:val="00B96804"/>
    <w:rsid w:val="00BA09F8"/>
    <w:rsid w:val="00BB26F3"/>
    <w:rsid w:val="00BB2703"/>
    <w:rsid w:val="00BB6D88"/>
    <w:rsid w:val="00BC0A46"/>
    <w:rsid w:val="00BC0D1A"/>
    <w:rsid w:val="00BC121C"/>
    <w:rsid w:val="00BC6AB5"/>
    <w:rsid w:val="00BC70F4"/>
    <w:rsid w:val="00BD1216"/>
    <w:rsid w:val="00BD57EC"/>
    <w:rsid w:val="00BD7798"/>
    <w:rsid w:val="00BE06C3"/>
    <w:rsid w:val="00BE570D"/>
    <w:rsid w:val="00BF07C2"/>
    <w:rsid w:val="00BF2EE9"/>
    <w:rsid w:val="00BF3D30"/>
    <w:rsid w:val="00BF5CBB"/>
    <w:rsid w:val="00C06CB1"/>
    <w:rsid w:val="00C10F0A"/>
    <w:rsid w:val="00C13669"/>
    <w:rsid w:val="00C13DA1"/>
    <w:rsid w:val="00C160A7"/>
    <w:rsid w:val="00C467BB"/>
    <w:rsid w:val="00C5475F"/>
    <w:rsid w:val="00C644B6"/>
    <w:rsid w:val="00C67D4E"/>
    <w:rsid w:val="00C7191A"/>
    <w:rsid w:val="00C7377A"/>
    <w:rsid w:val="00C80C2A"/>
    <w:rsid w:val="00C86419"/>
    <w:rsid w:val="00C86DEB"/>
    <w:rsid w:val="00C94F69"/>
    <w:rsid w:val="00C95D97"/>
    <w:rsid w:val="00C96D24"/>
    <w:rsid w:val="00CA0DE6"/>
    <w:rsid w:val="00CA5C4A"/>
    <w:rsid w:val="00CA6226"/>
    <w:rsid w:val="00CB1A51"/>
    <w:rsid w:val="00CB1B38"/>
    <w:rsid w:val="00CB1DDC"/>
    <w:rsid w:val="00CB381C"/>
    <w:rsid w:val="00CB73BB"/>
    <w:rsid w:val="00CC076D"/>
    <w:rsid w:val="00CC34A0"/>
    <w:rsid w:val="00CD63C0"/>
    <w:rsid w:val="00CE2B80"/>
    <w:rsid w:val="00CE3F4E"/>
    <w:rsid w:val="00CE4813"/>
    <w:rsid w:val="00CE5467"/>
    <w:rsid w:val="00CE7AD1"/>
    <w:rsid w:val="00CF330B"/>
    <w:rsid w:val="00CF4D0E"/>
    <w:rsid w:val="00CF56DC"/>
    <w:rsid w:val="00D149B8"/>
    <w:rsid w:val="00D157AB"/>
    <w:rsid w:val="00D17A8F"/>
    <w:rsid w:val="00D204AB"/>
    <w:rsid w:val="00D264B2"/>
    <w:rsid w:val="00D272C7"/>
    <w:rsid w:val="00D44AC3"/>
    <w:rsid w:val="00D51351"/>
    <w:rsid w:val="00D52C8C"/>
    <w:rsid w:val="00D64000"/>
    <w:rsid w:val="00D6548E"/>
    <w:rsid w:val="00D835D9"/>
    <w:rsid w:val="00D84027"/>
    <w:rsid w:val="00D95671"/>
    <w:rsid w:val="00D974D1"/>
    <w:rsid w:val="00DA06D3"/>
    <w:rsid w:val="00DA2212"/>
    <w:rsid w:val="00DA3801"/>
    <w:rsid w:val="00DC22D2"/>
    <w:rsid w:val="00DD552D"/>
    <w:rsid w:val="00DD7E2E"/>
    <w:rsid w:val="00DE323F"/>
    <w:rsid w:val="00DE5A21"/>
    <w:rsid w:val="00DF0D13"/>
    <w:rsid w:val="00DF4AEA"/>
    <w:rsid w:val="00DF6D36"/>
    <w:rsid w:val="00E04BF6"/>
    <w:rsid w:val="00E056EE"/>
    <w:rsid w:val="00E17557"/>
    <w:rsid w:val="00E21B68"/>
    <w:rsid w:val="00E31093"/>
    <w:rsid w:val="00E47723"/>
    <w:rsid w:val="00E477C2"/>
    <w:rsid w:val="00E5225D"/>
    <w:rsid w:val="00E556F8"/>
    <w:rsid w:val="00E64F8C"/>
    <w:rsid w:val="00E65E37"/>
    <w:rsid w:val="00E952FD"/>
    <w:rsid w:val="00EA543B"/>
    <w:rsid w:val="00EA56F6"/>
    <w:rsid w:val="00EB4BD1"/>
    <w:rsid w:val="00EB7DB4"/>
    <w:rsid w:val="00EC25F7"/>
    <w:rsid w:val="00ED3646"/>
    <w:rsid w:val="00ED41FE"/>
    <w:rsid w:val="00ED5511"/>
    <w:rsid w:val="00EE7933"/>
    <w:rsid w:val="00EF2C97"/>
    <w:rsid w:val="00EF502D"/>
    <w:rsid w:val="00F0106F"/>
    <w:rsid w:val="00F02A88"/>
    <w:rsid w:val="00F05F52"/>
    <w:rsid w:val="00F126C1"/>
    <w:rsid w:val="00F129F6"/>
    <w:rsid w:val="00F17EA7"/>
    <w:rsid w:val="00F27ABF"/>
    <w:rsid w:val="00F30154"/>
    <w:rsid w:val="00F34217"/>
    <w:rsid w:val="00F342FA"/>
    <w:rsid w:val="00F34707"/>
    <w:rsid w:val="00F64F77"/>
    <w:rsid w:val="00F812FC"/>
    <w:rsid w:val="00F82BD7"/>
    <w:rsid w:val="00F841BB"/>
    <w:rsid w:val="00F84DE6"/>
    <w:rsid w:val="00FA039F"/>
    <w:rsid w:val="00FA4765"/>
    <w:rsid w:val="00FA5286"/>
    <w:rsid w:val="00FB581A"/>
    <w:rsid w:val="00FB6D94"/>
    <w:rsid w:val="00FC1B52"/>
    <w:rsid w:val="00FC30AB"/>
    <w:rsid w:val="00FD5C12"/>
    <w:rsid w:val="00FD5D93"/>
    <w:rsid w:val="00FE69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docId w15:val="{A9E3A5F5-3DDA-441A-9AD9-C7E28642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02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unhideWhenUsed/>
    <w:rsid w:val="00645C84"/>
    <w:rPr>
      <w:sz w:val="20"/>
      <w:szCs w:val="20"/>
    </w:rPr>
  </w:style>
  <w:style w:type="character" w:customStyle="1" w:styleId="CommentTextChar">
    <w:name w:val="Comment Text Char"/>
    <w:basedOn w:val="DefaultParagraphFont"/>
    <w:link w:val="CommentText"/>
    <w:uiPriority w:val="99"/>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semiHidden/>
    <w:unhideWhenUsed/>
    <w:rsid w:val="00D6548E"/>
    <w:rPr>
      <w:color w:val="0000FF"/>
      <w:u w:val="single"/>
    </w:rPr>
  </w:style>
  <w:style w:type="paragraph" w:styleId="Header">
    <w:name w:val="header"/>
    <w:basedOn w:val="Normal"/>
    <w:link w:val="HeaderChar"/>
    <w:uiPriority w:val="99"/>
    <w:unhideWhenUsed/>
    <w:rsid w:val="007512BF"/>
    <w:pPr>
      <w:tabs>
        <w:tab w:val="center" w:pos="4513"/>
        <w:tab w:val="right" w:pos="9026"/>
      </w:tabs>
    </w:pPr>
  </w:style>
  <w:style w:type="character" w:customStyle="1" w:styleId="HeaderChar">
    <w:name w:val="Header Char"/>
    <w:basedOn w:val="DefaultParagraphFont"/>
    <w:link w:val="Header"/>
    <w:uiPriority w:val="99"/>
    <w:rsid w:val="007512BF"/>
  </w:style>
  <w:style w:type="character" w:customStyle="1" w:styleId="Heading2Char">
    <w:name w:val="Heading 2 Char"/>
    <w:basedOn w:val="DefaultParagraphFont"/>
    <w:link w:val="Heading2"/>
    <w:uiPriority w:val="9"/>
    <w:semiHidden/>
    <w:rsid w:val="004602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8946">
      <w:bodyDiv w:val="1"/>
      <w:marLeft w:val="0"/>
      <w:marRight w:val="0"/>
      <w:marTop w:val="0"/>
      <w:marBottom w:val="0"/>
      <w:divBdr>
        <w:top w:val="none" w:sz="0" w:space="0" w:color="auto"/>
        <w:left w:val="none" w:sz="0" w:space="0" w:color="auto"/>
        <w:bottom w:val="none" w:sz="0" w:space="0" w:color="auto"/>
        <w:right w:val="none" w:sz="0" w:space="0" w:color="auto"/>
      </w:divBdr>
      <w:divsChild>
        <w:div w:id="1302269923">
          <w:marLeft w:val="0"/>
          <w:marRight w:val="0"/>
          <w:marTop w:val="0"/>
          <w:marBottom w:val="0"/>
          <w:divBdr>
            <w:top w:val="none" w:sz="0" w:space="0" w:color="auto"/>
            <w:left w:val="none" w:sz="0" w:space="0" w:color="auto"/>
            <w:bottom w:val="none" w:sz="0" w:space="0" w:color="auto"/>
            <w:right w:val="none" w:sz="0" w:space="0" w:color="auto"/>
          </w:divBdr>
          <w:divsChild>
            <w:div w:id="910627433">
              <w:marLeft w:val="0"/>
              <w:marRight w:val="0"/>
              <w:marTop w:val="0"/>
              <w:marBottom w:val="0"/>
              <w:divBdr>
                <w:top w:val="none" w:sz="0" w:space="0" w:color="auto"/>
                <w:left w:val="none" w:sz="0" w:space="0" w:color="auto"/>
                <w:bottom w:val="none" w:sz="0" w:space="0" w:color="auto"/>
                <w:right w:val="none" w:sz="0" w:space="0" w:color="auto"/>
              </w:divBdr>
              <w:divsChild>
                <w:div w:id="1454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35057589">
      <w:bodyDiv w:val="1"/>
      <w:marLeft w:val="0"/>
      <w:marRight w:val="0"/>
      <w:marTop w:val="0"/>
      <w:marBottom w:val="0"/>
      <w:divBdr>
        <w:top w:val="none" w:sz="0" w:space="0" w:color="auto"/>
        <w:left w:val="none" w:sz="0" w:space="0" w:color="auto"/>
        <w:bottom w:val="none" w:sz="0" w:space="0" w:color="auto"/>
        <w:right w:val="none" w:sz="0" w:space="0" w:color="auto"/>
      </w:divBdr>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83833566">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00570">
      <w:bodyDiv w:val="1"/>
      <w:marLeft w:val="0"/>
      <w:marRight w:val="0"/>
      <w:marTop w:val="0"/>
      <w:marBottom w:val="0"/>
      <w:divBdr>
        <w:top w:val="none" w:sz="0" w:space="0" w:color="auto"/>
        <w:left w:val="none" w:sz="0" w:space="0" w:color="auto"/>
        <w:bottom w:val="none" w:sz="0" w:space="0" w:color="auto"/>
        <w:right w:val="none" w:sz="0" w:space="0" w:color="auto"/>
      </w:divBdr>
    </w:div>
    <w:div w:id="103507966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02606476">
      <w:bodyDiv w:val="1"/>
      <w:marLeft w:val="0"/>
      <w:marRight w:val="0"/>
      <w:marTop w:val="0"/>
      <w:marBottom w:val="0"/>
      <w:divBdr>
        <w:top w:val="none" w:sz="0" w:space="0" w:color="auto"/>
        <w:left w:val="none" w:sz="0" w:space="0" w:color="auto"/>
        <w:bottom w:val="none" w:sz="0" w:space="0" w:color="auto"/>
        <w:right w:val="none" w:sz="0" w:space="0" w:color="auto"/>
      </w:divBdr>
      <w:divsChild>
        <w:div w:id="938487947">
          <w:marLeft w:val="0"/>
          <w:marRight w:val="0"/>
          <w:marTop w:val="0"/>
          <w:marBottom w:val="0"/>
          <w:divBdr>
            <w:top w:val="none" w:sz="0" w:space="0" w:color="auto"/>
            <w:left w:val="none" w:sz="0" w:space="0" w:color="auto"/>
            <w:bottom w:val="none" w:sz="0" w:space="0" w:color="auto"/>
            <w:right w:val="none" w:sz="0" w:space="0" w:color="auto"/>
          </w:divBdr>
          <w:divsChild>
            <w:div w:id="334236100">
              <w:marLeft w:val="0"/>
              <w:marRight w:val="0"/>
              <w:marTop w:val="0"/>
              <w:marBottom w:val="0"/>
              <w:divBdr>
                <w:top w:val="none" w:sz="0" w:space="0" w:color="auto"/>
                <w:left w:val="none" w:sz="0" w:space="0" w:color="auto"/>
                <w:bottom w:val="none" w:sz="0" w:space="0" w:color="auto"/>
                <w:right w:val="none" w:sz="0" w:space="0" w:color="auto"/>
              </w:divBdr>
              <w:divsChild>
                <w:div w:id="10915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527791223">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8C16-EF19-456C-A288-3669FB5C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Senekal</dc:creator>
  <cp:lastModifiedBy>Mokone</cp:lastModifiedBy>
  <cp:revision>3</cp:revision>
  <cp:lastPrinted>2022-08-29T13:46:00Z</cp:lastPrinted>
  <dcterms:created xsi:type="dcterms:W3CDTF">2022-10-17T06:58:00Z</dcterms:created>
  <dcterms:modified xsi:type="dcterms:W3CDTF">2022-10-17T06:59:00Z</dcterms:modified>
</cp:coreProperties>
</file>