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45E8" w14:textId="77777777" w:rsidR="00A60BC7" w:rsidRPr="000B4788" w:rsidRDefault="00A60BC7" w:rsidP="00A60BC7">
      <w:pPr>
        <w:pStyle w:val="Title"/>
        <w:spacing w:after="120" w:line="360" w:lineRule="auto"/>
      </w:pPr>
      <w:r w:rsidRPr="000B4788">
        <w:rPr>
          <w:noProof/>
          <w:lang w:val="en-US"/>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74826561" w:rsidR="00E519F2" w:rsidRPr="000B4788" w:rsidRDefault="00E519F2" w:rsidP="00E519F2">
      <w:pPr>
        <w:spacing w:line="240" w:lineRule="auto"/>
        <w:jc w:val="center"/>
        <w:rPr>
          <w:b/>
        </w:rPr>
      </w:pPr>
      <w:r w:rsidRPr="000B4788">
        <w:rPr>
          <w:b/>
        </w:rPr>
        <w:t>GAUTENG</w:t>
      </w:r>
      <w:r w:rsidR="00ED0F3E">
        <w:rPr>
          <w:b/>
        </w:rPr>
        <w:t xml:space="preserve"> </w:t>
      </w:r>
      <w:r w:rsidRPr="000B4788">
        <w:rPr>
          <w:b/>
        </w:rPr>
        <w:t xml:space="preserve">DIVISION, </w:t>
      </w:r>
      <w:r w:rsidR="00C644EB">
        <w:rPr>
          <w:b/>
        </w:rPr>
        <w:t>JOHANNESBURG</w:t>
      </w:r>
    </w:p>
    <w:p w14:paraId="60182ABA" w14:textId="77777777" w:rsidR="00E519F2" w:rsidRPr="000B4788" w:rsidRDefault="00E519F2" w:rsidP="00E519F2">
      <w:pPr>
        <w:spacing w:line="240" w:lineRule="auto"/>
        <w:rPr>
          <w:b/>
        </w:rPr>
      </w:pPr>
    </w:p>
    <w:p w14:paraId="62420483" w14:textId="37C31AD1" w:rsidR="00C61466" w:rsidRDefault="001E3FCE" w:rsidP="00E519F2">
      <w:pPr>
        <w:jc w:val="right"/>
        <w:rPr>
          <w:b/>
        </w:rPr>
      </w:pPr>
      <w:r>
        <w:rPr>
          <w:b/>
        </w:rPr>
        <w:t xml:space="preserve">APPEAL </w:t>
      </w:r>
      <w:r w:rsidR="00F56D7C">
        <w:rPr>
          <w:b/>
        </w:rPr>
        <w:t xml:space="preserve">CASE NO: </w:t>
      </w:r>
      <w:r>
        <w:rPr>
          <w:b/>
        </w:rPr>
        <w:t>A5099/2020</w:t>
      </w:r>
    </w:p>
    <w:p w14:paraId="17E498B5" w14:textId="0164B5EF" w:rsidR="001E3FCE" w:rsidRDefault="001E3FCE" w:rsidP="00E519F2">
      <w:pPr>
        <w:jc w:val="right"/>
        <w:rPr>
          <w:b/>
        </w:rPr>
      </w:pPr>
      <w:r>
        <w:rPr>
          <w:b/>
        </w:rPr>
        <w:t>HIGH COURT CASE NO: 44142/2017</w:t>
      </w:r>
    </w:p>
    <w:p w14:paraId="31CA93AA" w14:textId="764DFB6B" w:rsidR="00E519F2" w:rsidRPr="000B4788" w:rsidRDefault="00792993" w:rsidP="00647012">
      <w:pPr>
        <w:jc w:val="right"/>
      </w:pPr>
      <w:r w:rsidRPr="000B4788">
        <w:rPr>
          <w:noProof/>
          <w:lang w:val="en-US"/>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0F6AAC" w:rsidRPr="00913F95" w:rsidRDefault="000F6AAC" w:rsidP="00E519F2">
                            <w:pPr>
                              <w:jc w:val="center"/>
                              <w:rPr>
                                <w:rFonts w:ascii="Century Gothic" w:hAnsi="Century Gothic"/>
                                <w:b/>
                                <w:sz w:val="20"/>
                                <w:szCs w:val="20"/>
                              </w:rPr>
                            </w:pPr>
                          </w:p>
                          <w:p w14:paraId="273920ED" w14:textId="028CCDD6" w:rsidR="000F6AAC" w:rsidRDefault="00FB1A8A" w:rsidP="00FB1A8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B4E1B">
                              <w:rPr>
                                <w:rFonts w:ascii="Century Gothic" w:hAnsi="Century Gothic"/>
                                <w:sz w:val="20"/>
                                <w:szCs w:val="20"/>
                              </w:rPr>
                              <w:t>REPORTABLE:</w:t>
                            </w:r>
                            <w:r w:rsidR="000F6AAC">
                              <w:rPr>
                                <w:rFonts w:ascii="Century Gothic" w:hAnsi="Century Gothic"/>
                                <w:sz w:val="20"/>
                                <w:szCs w:val="20"/>
                              </w:rPr>
                              <w:t xml:space="preserve"> NO</w:t>
                            </w:r>
                          </w:p>
                          <w:p w14:paraId="55B0DC25" w14:textId="4DE26D6D" w:rsidR="000F6AAC" w:rsidRPr="00913F95" w:rsidRDefault="00FB1A8A" w:rsidP="00FB1A8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F6AAC" w:rsidRPr="00913F95">
                              <w:rPr>
                                <w:rFonts w:ascii="Century Gothic" w:hAnsi="Century Gothic"/>
                                <w:sz w:val="20"/>
                                <w:szCs w:val="20"/>
                              </w:rPr>
                              <w:t>OF INTEREST TO OTHER JUDGES: NO</w:t>
                            </w:r>
                          </w:p>
                          <w:p w14:paraId="7CFA632F" w14:textId="75F833A6" w:rsidR="000F6AAC" w:rsidRPr="00913F95" w:rsidRDefault="00FB1A8A" w:rsidP="00FB1A8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0F6AAC" w:rsidRPr="00913F95">
                              <w:rPr>
                                <w:rFonts w:ascii="Century Gothic" w:hAnsi="Century Gothic"/>
                                <w:sz w:val="20"/>
                                <w:szCs w:val="20"/>
                              </w:rPr>
                              <w:t>REVISED</w:t>
                            </w:r>
                            <w:r w:rsidR="000F6AAC">
                              <w:rPr>
                                <w:rFonts w:ascii="Century Gothic" w:hAnsi="Century Gothic"/>
                                <w:sz w:val="20"/>
                                <w:szCs w:val="20"/>
                              </w:rPr>
                              <w:t xml:space="preserve">. </w:t>
                            </w:r>
                          </w:p>
                          <w:p w14:paraId="2CBC09EC" w14:textId="77777777" w:rsidR="000F6AAC" w:rsidRDefault="000F6AAC" w:rsidP="00E519F2">
                            <w:pPr>
                              <w:rPr>
                                <w:rFonts w:ascii="Century Gothic" w:hAnsi="Century Gothic"/>
                                <w:b/>
                                <w:sz w:val="18"/>
                                <w:szCs w:val="18"/>
                              </w:rPr>
                            </w:pPr>
                          </w:p>
                          <w:p w14:paraId="44D56259" w14:textId="19CC7A64" w:rsidR="000F6AAC" w:rsidRPr="00084341" w:rsidRDefault="00D7289A" w:rsidP="003B4E1B">
                            <w:pPr>
                              <w:ind w:firstLine="720"/>
                              <w:rPr>
                                <w:rFonts w:ascii="Century Gothic" w:hAnsi="Century Gothic"/>
                                <w:b/>
                                <w:sz w:val="18"/>
                                <w:szCs w:val="18"/>
                              </w:rPr>
                            </w:pPr>
                            <w:r>
                              <w:rPr>
                                <w:rFonts w:ascii="Century Gothic" w:hAnsi="Century Gothic"/>
                                <w:sz w:val="18"/>
                                <w:szCs w:val="18"/>
                              </w:rPr>
                              <w:t>09</w:t>
                            </w:r>
                            <w:r w:rsidR="003B4E1B" w:rsidRPr="003B4E1B">
                              <w:rPr>
                                <w:rFonts w:ascii="Century Gothic" w:hAnsi="Century Gothic"/>
                                <w:sz w:val="18"/>
                                <w:szCs w:val="18"/>
                              </w:rPr>
                              <w:t>.09.2022</w:t>
                            </w:r>
                            <w:r w:rsidR="000F6AAC" w:rsidRPr="00084341">
                              <w:rPr>
                                <w:rFonts w:ascii="Century Gothic" w:hAnsi="Century Gothic"/>
                                <w:b/>
                                <w:sz w:val="18"/>
                                <w:szCs w:val="18"/>
                              </w:rPr>
                              <w:tab/>
                            </w:r>
                            <w:r w:rsidR="000F6AAC" w:rsidRPr="00084341">
                              <w:rPr>
                                <w:rFonts w:ascii="Century Gothic" w:hAnsi="Century Gothic"/>
                                <w:b/>
                                <w:sz w:val="18"/>
                                <w:szCs w:val="18"/>
                              </w:rPr>
                              <w:tab/>
                              <w:t>………………………...</w:t>
                            </w:r>
                          </w:p>
                          <w:p w14:paraId="492AD257" w14:textId="77777777" w:rsidR="000F6AAC" w:rsidRPr="00084341" w:rsidRDefault="000F6AAC"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">
                <v:textbox>
                  <w:txbxContent>
                    <w:p w14:paraId="020C26CC" w14:textId="77777777" w:rsidR="000F6AAC" w:rsidRPr="00913F95" w:rsidRDefault="000F6AAC" w:rsidP="00E519F2">
                      <w:pPr>
                        <w:jc w:val="center"/>
                        <w:rPr>
                          <w:rFonts w:ascii="Century Gothic" w:hAnsi="Century Gothic"/>
                          <w:b/>
                          <w:sz w:val="20"/>
                          <w:szCs w:val="20"/>
                        </w:rPr>
                      </w:pPr>
                    </w:p>
                    <w:p w14:paraId="273920ED" w14:textId="028CCDD6" w:rsidR="000F6AAC" w:rsidRDefault="00FB1A8A" w:rsidP="00FB1A8A">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B4E1B">
                        <w:rPr>
                          <w:rFonts w:ascii="Century Gothic" w:hAnsi="Century Gothic"/>
                          <w:sz w:val="20"/>
                          <w:szCs w:val="20"/>
                        </w:rPr>
                        <w:t>REPORTABLE:</w:t>
                      </w:r>
                      <w:r w:rsidR="000F6AAC">
                        <w:rPr>
                          <w:rFonts w:ascii="Century Gothic" w:hAnsi="Century Gothic"/>
                          <w:sz w:val="20"/>
                          <w:szCs w:val="20"/>
                        </w:rPr>
                        <w:t xml:space="preserve"> NO</w:t>
                      </w:r>
                    </w:p>
                    <w:p w14:paraId="55B0DC25" w14:textId="4DE26D6D" w:rsidR="000F6AAC" w:rsidRPr="00913F95" w:rsidRDefault="00FB1A8A" w:rsidP="00FB1A8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0F6AAC" w:rsidRPr="00913F95">
                        <w:rPr>
                          <w:rFonts w:ascii="Century Gothic" w:hAnsi="Century Gothic"/>
                          <w:sz w:val="20"/>
                          <w:szCs w:val="20"/>
                        </w:rPr>
                        <w:t>OF INTEREST TO OTHER JUDGES: NO</w:t>
                      </w:r>
                    </w:p>
                    <w:p w14:paraId="7CFA632F" w14:textId="75F833A6" w:rsidR="000F6AAC" w:rsidRPr="00913F95" w:rsidRDefault="00FB1A8A" w:rsidP="00FB1A8A">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0F6AAC" w:rsidRPr="00913F95">
                        <w:rPr>
                          <w:rFonts w:ascii="Century Gothic" w:hAnsi="Century Gothic"/>
                          <w:sz w:val="20"/>
                          <w:szCs w:val="20"/>
                        </w:rPr>
                        <w:t>REVISED</w:t>
                      </w:r>
                      <w:r w:rsidR="000F6AAC">
                        <w:rPr>
                          <w:rFonts w:ascii="Century Gothic" w:hAnsi="Century Gothic"/>
                          <w:sz w:val="20"/>
                          <w:szCs w:val="20"/>
                        </w:rPr>
                        <w:t xml:space="preserve">. </w:t>
                      </w:r>
                    </w:p>
                    <w:p w14:paraId="2CBC09EC" w14:textId="77777777" w:rsidR="000F6AAC" w:rsidRDefault="000F6AAC" w:rsidP="00E519F2">
                      <w:pPr>
                        <w:rPr>
                          <w:rFonts w:ascii="Century Gothic" w:hAnsi="Century Gothic"/>
                          <w:b/>
                          <w:sz w:val="18"/>
                          <w:szCs w:val="18"/>
                        </w:rPr>
                      </w:pPr>
                    </w:p>
                    <w:p w14:paraId="44D56259" w14:textId="19CC7A64" w:rsidR="000F6AAC" w:rsidRPr="00084341" w:rsidRDefault="00D7289A" w:rsidP="003B4E1B">
                      <w:pPr>
                        <w:ind w:firstLine="720"/>
                        <w:rPr>
                          <w:rFonts w:ascii="Century Gothic" w:hAnsi="Century Gothic"/>
                          <w:b/>
                          <w:sz w:val="18"/>
                          <w:szCs w:val="18"/>
                        </w:rPr>
                      </w:pPr>
                      <w:r>
                        <w:rPr>
                          <w:rFonts w:ascii="Century Gothic" w:hAnsi="Century Gothic"/>
                          <w:sz w:val="18"/>
                          <w:szCs w:val="18"/>
                        </w:rPr>
                        <w:t>09</w:t>
                      </w:r>
                      <w:r w:rsidR="003B4E1B" w:rsidRPr="003B4E1B">
                        <w:rPr>
                          <w:rFonts w:ascii="Century Gothic" w:hAnsi="Century Gothic"/>
                          <w:sz w:val="18"/>
                          <w:szCs w:val="18"/>
                        </w:rPr>
                        <w:t>.09.2022</w:t>
                      </w:r>
                      <w:r w:rsidR="000F6AAC" w:rsidRPr="00084341">
                        <w:rPr>
                          <w:rFonts w:ascii="Century Gothic" w:hAnsi="Century Gothic"/>
                          <w:b/>
                          <w:sz w:val="18"/>
                          <w:szCs w:val="18"/>
                        </w:rPr>
                        <w:tab/>
                      </w:r>
                      <w:r w:rsidR="000F6AAC" w:rsidRPr="00084341">
                        <w:rPr>
                          <w:rFonts w:ascii="Century Gothic" w:hAnsi="Century Gothic"/>
                          <w:b/>
                          <w:sz w:val="18"/>
                          <w:szCs w:val="18"/>
                        </w:rPr>
                        <w:tab/>
                        <w:t>………………………...</w:t>
                      </w:r>
                    </w:p>
                    <w:p w14:paraId="492AD257" w14:textId="77777777" w:rsidR="000F6AAC" w:rsidRPr="00084341" w:rsidRDefault="000F6AAC"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5222"/>
        <w:gridCol w:w="3329"/>
      </w:tblGrid>
      <w:tr w:rsidR="00647012" w:rsidRPr="000B4788" w14:paraId="62D6BDD3" w14:textId="77777777" w:rsidTr="009000C5">
        <w:tc>
          <w:tcPr>
            <w:tcW w:w="5353" w:type="dxa"/>
          </w:tcPr>
          <w:p w14:paraId="1D80ED6A" w14:textId="38EC8190" w:rsidR="0024369E" w:rsidRPr="00A75126" w:rsidRDefault="001E3FCE" w:rsidP="00F56D7C">
            <w:pPr>
              <w:spacing w:line="240" w:lineRule="auto"/>
              <w:jc w:val="left"/>
              <w:rPr>
                <w:rFonts w:cs="Arial"/>
                <w:b/>
                <w:bCs/>
                <w:szCs w:val="22"/>
              </w:rPr>
            </w:pPr>
            <w:r>
              <w:rPr>
                <w:rFonts w:cs="Arial"/>
                <w:b/>
                <w:bCs/>
                <w:szCs w:val="22"/>
              </w:rPr>
              <w:t>BRENDAN CHRISTIAAN DE KOOKER</w:t>
            </w:r>
            <w:r w:rsidR="003F5D54">
              <w:rPr>
                <w:rFonts w:cs="Arial"/>
                <w:b/>
                <w:bCs/>
                <w:szCs w:val="22"/>
              </w:rPr>
              <w:t xml:space="preserve"> N.O.</w:t>
            </w:r>
          </w:p>
        </w:tc>
        <w:tc>
          <w:tcPr>
            <w:tcW w:w="3402" w:type="dxa"/>
          </w:tcPr>
          <w:p w14:paraId="7620C948" w14:textId="41A09066" w:rsidR="00820CBF" w:rsidRPr="000B4788" w:rsidRDefault="001E3FCE" w:rsidP="00F9123D">
            <w:pPr>
              <w:spacing w:line="240" w:lineRule="auto"/>
              <w:jc w:val="right"/>
              <w:rPr>
                <w:rFonts w:cs="Arial"/>
                <w:szCs w:val="22"/>
              </w:rPr>
            </w:pPr>
            <w:r>
              <w:rPr>
                <w:rFonts w:cs="Arial"/>
                <w:szCs w:val="22"/>
              </w:rPr>
              <w:t>First Appellant</w:t>
            </w:r>
          </w:p>
        </w:tc>
      </w:tr>
      <w:tr w:rsidR="001E3FCE" w:rsidRPr="000B4788" w14:paraId="1623B90B" w14:textId="77777777" w:rsidTr="009000C5">
        <w:tc>
          <w:tcPr>
            <w:tcW w:w="5353" w:type="dxa"/>
          </w:tcPr>
          <w:p w14:paraId="4B01B43A" w14:textId="77777777" w:rsidR="001E3FCE" w:rsidRDefault="001E3FCE" w:rsidP="00F56D7C">
            <w:pPr>
              <w:spacing w:line="240" w:lineRule="auto"/>
              <w:jc w:val="left"/>
              <w:rPr>
                <w:rFonts w:cs="Arial"/>
                <w:b/>
                <w:bCs/>
                <w:szCs w:val="22"/>
              </w:rPr>
            </w:pPr>
          </w:p>
        </w:tc>
        <w:tc>
          <w:tcPr>
            <w:tcW w:w="3402" w:type="dxa"/>
          </w:tcPr>
          <w:p w14:paraId="1B6BEB04" w14:textId="77777777" w:rsidR="001E3FCE" w:rsidRDefault="001E3FCE" w:rsidP="00F9123D">
            <w:pPr>
              <w:spacing w:line="240" w:lineRule="auto"/>
              <w:jc w:val="right"/>
              <w:rPr>
                <w:rFonts w:cs="Arial"/>
                <w:szCs w:val="22"/>
              </w:rPr>
            </w:pPr>
          </w:p>
        </w:tc>
      </w:tr>
      <w:tr w:rsidR="001E3FCE" w:rsidRPr="000B4788" w14:paraId="5650A4F7" w14:textId="77777777" w:rsidTr="009000C5">
        <w:tc>
          <w:tcPr>
            <w:tcW w:w="5353" w:type="dxa"/>
          </w:tcPr>
          <w:p w14:paraId="41865ABC" w14:textId="7C516C51" w:rsidR="001E3FCE" w:rsidRDefault="001E3FCE" w:rsidP="00F56D7C">
            <w:pPr>
              <w:spacing w:line="240" w:lineRule="auto"/>
              <w:jc w:val="left"/>
              <w:rPr>
                <w:rFonts w:cs="Arial"/>
                <w:b/>
                <w:bCs/>
                <w:szCs w:val="22"/>
              </w:rPr>
            </w:pPr>
            <w:r>
              <w:rPr>
                <w:rFonts w:cs="Arial"/>
                <w:b/>
                <w:bCs/>
                <w:szCs w:val="22"/>
              </w:rPr>
              <w:t>ROBERT WESSEL ROBERTSE N</w:t>
            </w:r>
            <w:r w:rsidR="003F5D54">
              <w:rPr>
                <w:rFonts w:cs="Arial"/>
                <w:b/>
                <w:bCs/>
                <w:szCs w:val="22"/>
              </w:rPr>
              <w:t>.</w:t>
            </w:r>
            <w:r>
              <w:rPr>
                <w:rFonts w:cs="Arial"/>
                <w:b/>
                <w:bCs/>
                <w:szCs w:val="22"/>
              </w:rPr>
              <w:t>O</w:t>
            </w:r>
            <w:r w:rsidR="003F5D54">
              <w:rPr>
                <w:rFonts w:cs="Arial"/>
                <w:b/>
                <w:bCs/>
                <w:szCs w:val="22"/>
              </w:rPr>
              <w:t>.</w:t>
            </w:r>
          </w:p>
        </w:tc>
        <w:tc>
          <w:tcPr>
            <w:tcW w:w="3402" w:type="dxa"/>
          </w:tcPr>
          <w:p w14:paraId="5A53A793" w14:textId="3F27FB6B" w:rsidR="001E3FCE" w:rsidRDefault="001E3FCE" w:rsidP="00F9123D">
            <w:pPr>
              <w:spacing w:line="240" w:lineRule="auto"/>
              <w:jc w:val="right"/>
              <w:rPr>
                <w:rFonts w:cs="Arial"/>
                <w:szCs w:val="22"/>
              </w:rPr>
            </w:pPr>
            <w:r>
              <w:rPr>
                <w:rFonts w:cs="Arial"/>
                <w:szCs w:val="22"/>
              </w:rPr>
              <w:t>Second Appellant</w:t>
            </w:r>
          </w:p>
        </w:tc>
      </w:tr>
      <w:tr w:rsidR="001E3FCE" w:rsidRPr="000B4788" w14:paraId="17604178" w14:textId="77777777" w:rsidTr="009000C5">
        <w:tc>
          <w:tcPr>
            <w:tcW w:w="5353" w:type="dxa"/>
          </w:tcPr>
          <w:p w14:paraId="242E3BE8" w14:textId="77777777" w:rsidR="001E3FCE" w:rsidRDefault="001E3FCE" w:rsidP="00F56D7C">
            <w:pPr>
              <w:spacing w:line="240" w:lineRule="auto"/>
              <w:jc w:val="left"/>
              <w:rPr>
                <w:rFonts w:cs="Arial"/>
                <w:b/>
                <w:bCs/>
                <w:szCs w:val="22"/>
              </w:rPr>
            </w:pPr>
          </w:p>
        </w:tc>
        <w:tc>
          <w:tcPr>
            <w:tcW w:w="3402" w:type="dxa"/>
          </w:tcPr>
          <w:p w14:paraId="1CBCF06D" w14:textId="77777777" w:rsidR="001E3FCE" w:rsidRDefault="001E3FCE" w:rsidP="00F9123D">
            <w:pPr>
              <w:spacing w:line="240" w:lineRule="auto"/>
              <w:jc w:val="right"/>
              <w:rPr>
                <w:rFonts w:cs="Arial"/>
                <w:szCs w:val="22"/>
              </w:rPr>
            </w:pPr>
          </w:p>
        </w:tc>
      </w:tr>
      <w:tr w:rsidR="001E3FCE" w:rsidRPr="000B4788" w14:paraId="7602051D" w14:textId="77777777" w:rsidTr="009000C5">
        <w:tc>
          <w:tcPr>
            <w:tcW w:w="5353" w:type="dxa"/>
          </w:tcPr>
          <w:p w14:paraId="57B147AE" w14:textId="4888B68D" w:rsidR="001E3FCE" w:rsidRDefault="001E3FCE" w:rsidP="00F56D7C">
            <w:pPr>
              <w:spacing w:line="240" w:lineRule="auto"/>
              <w:jc w:val="left"/>
              <w:rPr>
                <w:rFonts w:cs="Arial"/>
                <w:b/>
                <w:bCs/>
                <w:szCs w:val="22"/>
              </w:rPr>
            </w:pPr>
            <w:r>
              <w:rPr>
                <w:rFonts w:cs="Arial"/>
                <w:b/>
                <w:bCs/>
                <w:szCs w:val="22"/>
              </w:rPr>
              <w:t>LOUIS THEODORE ADENDORFF N</w:t>
            </w:r>
            <w:r w:rsidR="003F5D54">
              <w:rPr>
                <w:rFonts w:cs="Arial"/>
                <w:b/>
                <w:bCs/>
                <w:szCs w:val="22"/>
              </w:rPr>
              <w:t>.</w:t>
            </w:r>
            <w:r>
              <w:rPr>
                <w:rFonts w:cs="Arial"/>
                <w:b/>
                <w:bCs/>
                <w:szCs w:val="22"/>
              </w:rPr>
              <w:t>O</w:t>
            </w:r>
            <w:r w:rsidR="003F5D54">
              <w:rPr>
                <w:rFonts w:cs="Arial"/>
                <w:b/>
                <w:bCs/>
                <w:szCs w:val="22"/>
              </w:rPr>
              <w:t>.</w:t>
            </w:r>
          </w:p>
        </w:tc>
        <w:tc>
          <w:tcPr>
            <w:tcW w:w="3402" w:type="dxa"/>
          </w:tcPr>
          <w:p w14:paraId="4717C589" w14:textId="207D5331" w:rsidR="001E3FCE" w:rsidRDefault="001E3FCE" w:rsidP="00F9123D">
            <w:pPr>
              <w:spacing w:line="240" w:lineRule="auto"/>
              <w:jc w:val="right"/>
              <w:rPr>
                <w:rFonts w:cs="Arial"/>
                <w:szCs w:val="22"/>
              </w:rPr>
            </w:pPr>
            <w:r>
              <w:rPr>
                <w:rFonts w:cs="Arial"/>
                <w:szCs w:val="22"/>
              </w:rPr>
              <w:t>Third Appellant</w:t>
            </w:r>
          </w:p>
        </w:tc>
      </w:tr>
      <w:tr w:rsidR="00647012" w:rsidRPr="000B4788" w14:paraId="7DC2C509" w14:textId="77777777" w:rsidTr="009000C5">
        <w:tc>
          <w:tcPr>
            <w:tcW w:w="5353"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3402"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9000C5">
        <w:tc>
          <w:tcPr>
            <w:tcW w:w="5353"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3402"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9000C5">
        <w:tc>
          <w:tcPr>
            <w:tcW w:w="5353"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3402"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9000C5">
        <w:tc>
          <w:tcPr>
            <w:tcW w:w="5353" w:type="dxa"/>
          </w:tcPr>
          <w:p w14:paraId="37731CAA" w14:textId="3F5A7A47" w:rsidR="0024369E" w:rsidRPr="00A75126" w:rsidRDefault="001E3FCE" w:rsidP="00A75126">
            <w:pPr>
              <w:spacing w:line="240" w:lineRule="auto"/>
              <w:jc w:val="left"/>
              <w:rPr>
                <w:b/>
                <w:szCs w:val="22"/>
              </w:rPr>
            </w:pPr>
            <w:r>
              <w:rPr>
                <w:b/>
                <w:szCs w:val="22"/>
              </w:rPr>
              <w:t>RUANDA SNYMAN (nee STAPELBERG)</w:t>
            </w:r>
          </w:p>
        </w:tc>
        <w:tc>
          <w:tcPr>
            <w:tcW w:w="3402" w:type="dxa"/>
          </w:tcPr>
          <w:p w14:paraId="561F7B8D" w14:textId="14F752D6" w:rsidR="00647012" w:rsidRPr="000B4788" w:rsidRDefault="001E3FCE" w:rsidP="00F9123D">
            <w:pPr>
              <w:spacing w:line="240" w:lineRule="auto"/>
              <w:jc w:val="right"/>
              <w:rPr>
                <w:rFonts w:cs="Arial"/>
                <w:szCs w:val="22"/>
              </w:rPr>
            </w:pPr>
            <w:r>
              <w:rPr>
                <w:rFonts w:cs="Arial"/>
                <w:szCs w:val="22"/>
              </w:rPr>
              <w:t>Respondent</w:t>
            </w:r>
          </w:p>
        </w:tc>
      </w:tr>
    </w:tbl>
    <w:p w14:paraId="09955617" w14:textId="77777777" w:rsidR="003A490E" w:rsidRDefault="003A490E">
      <w:pPr>
        <w:spacing w:line="240" w:lineRule="auto"/>
        <w:jc w:val="left"/>
        <w:rPr>
          <w:rFonts w:cs="Arial"/>
          <w:szCs w:val="22"/>
        </w:rPr>
      </w:pPr>
    </w:p>
    <w:p w14:paraId="4A40C71C" w14:textId="77777777" w:rsidR="003A490E" w:rsidRDefault="003A490E">
      <w:pPr>
        <w:spacing w:line="240" w:lineRule="auto"/>
        <w:jc w:val="left"/>
        <w:rPr>
          <w:rFonts w:cs="Arial"/>
          <w:szCs w:val="22"/>
        </w:rPr>
      </w:pPr>
    </w:p>
    <w:p w14:paraId="14C90506" w14:textId="77777777" w:rsidR="00E519F2" w:rsidRPr="000B4788" w:rsidRDefault="00E519F2" w:rsidP="003A490E">
      <w:pPr>
        <w:keepNext/>
        <w:pBdr>
          <w:top w:val="single" w:sz="4" w:space="1" w:color="auto"/>
        </w:pBdr>
        <w:spacing w:line="276" w:lineRule="auto"/>
        <w:rPr>
          <w:rFonts w:cs="Arial"/>
          <w:szCs w:val="22"/>
        </w:rPr>
      </w:pPr>
    </w:p>
    <w:p w14:paraId="7ED266E8" w14:textId="4AFCE1B1" w:rsidR="00E519F2" w:rsidRPr="000B4788" w:rsidRDefault="005816B3" w:rsidP="003A490E">
      <w:pPr>
        <w:pStyle w:val="Heading2"/>
        <w:spacing w:line="276" w:lineRule="auto"/>
        <w:rPr>
          <w:szCs w:val="22"/>
        </w:rPr>
      </w:pPr>
      <w:r>
        <w:rPr>
          <w:szCs w:val="22"/>
        </w:rPr>
        <w:t>JUDGMENT</w:t>
      </w:r>
    </w:p>
    <w:p w14:paraId="68C2C72B" w14:textId="77777777" w:rsidR="00E519F2" w:rsidRPr="000B4788" w:rsidRDefault="00E519F2" w:rsidP="003A490E">
      <w:pPr>
        <w:keepNext/>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74D1EFDE" w:rsidR="00E70877" w:rsidRPr="000B4788" w:rsidRDefault="00E519F2" w:rsidP="00E519F2">
      <w:pPr>
        <w:spacing w:after="480" w:line="480" w:lineRule="auto"/>
        <w:rPr>
          <w:rFonts w:cs="Arial"/>
          <w:b/>
          <w:szCs w:val="22"/>
        </w:rPr>
      </w:pPr>
      <w:r w:rsidRPr="000B4788">
        <w:rPr>
          <w:rFonts w:cs="Arial"/>
          <w:b/>
          <w:szCs w:val="22"/>
        </w:rPr>
        <w:t>CRUT</w:t>
      </w:r>
      <w:r w:rsidR="004E3DD6">
        <w:rPr>
          <w:rFonts w:cs="Arial"/>
          <w:b/>
          <w:szCs w:val="22"/>
        </w:rPr>
        <w:t>C</w:t>
      </w:r>
      <w:r w:rsidRPr="000B4788">
        <w:rPr>
          <w:rFonts w:cs="Arial"/>
          <w:b/>
          <w:szCs w:val="22"/>
        </w:rPr>
        <w:t>HFIELD J:</w:t>
      </w:r>
    </w:p>
    <w:p w14:paraId="67DFAC3A" w14:textId="62627390" w:rsidR="00113D1E" w:rsidRPr="00FB1A8A" w:rsidRDefault="00FB1A8A" w:rsidP="00FB1A8A">
      <w:pPr>
        <w:tabs>
          <w:tab w:val="left" w:pos="567"/>
        </w:tabs>
        <w:spacing w:before="480" w:after="480" w:line="480" w:lineRule="auto"/>
        <w:rPr>
          <w:rFonts w:cs="Arial"/>
          <w:bCs/>
          <w:szCs w:val="22"/>
        </w:rPr>
      </w:pPr>
      <w:r>
        <w:rPr>
          <w:rFonts w:cs="Arial"/>
          <w:bCs/>
          <w:szCs w:val="22"/>
        </w:rPr>
        <w:t>[1]</w:t>
      </w:r>
      <w:r>
        <w:rPr>
          <w:rFonts w:cs="Arial"/>
          <w:bCs/>
          <w:szCs w:val="22"/>
        </w:rPr>
        <w:tab/>
      </w:r>
      <w:r w:rsidR="002136E4" w:rsidRPr="00FB1A8A">
        <w:rPr>
          <w:rFonts w:cs="Arial"/>
          <w:bCs/>
          <w:szCs w:val="22"/>
        </w:rPr>
        <w:t>Th</w:t>
      </w:r>
      <w:r w:rsidR="00434AD8" w:rsidRPr="00FB1A8A">
        <w:rPr>
          <w:rFonts w:cs="Arial"/>
          <w:bCs/>
          <w:szCs w:val="22"/>
        </w:rPr>
        <w:t xml:space="preserve">e </w:t>
      </w:r>
      <w:r w:rsidR="002136E4" w:rsidRPr="00FB1A8A">
        <w:rPr>
          <w:rFonts w:cs="Arial"/>
          <w:bCs/>
          <w:szCs w:val="22"/>
        </w:rPr>
        <w:t>appellants, Brendan Christiaan de Kooker N</w:t>
      </w:r>
      <w:r w:rsidR="00113D1E" w:rsidRPr="00FB1A8A">
        <w:rPr>
          <w:rFonts w:cs="Arial"/>
          <w:bCs/>
          <w:szCs w:val="22"/>
        </w:rPr>
        <w:t>.O,</w:t>
      </w:r>
      <w:r w:rsidR="002136E4" w:rsidRPr="00FB1A8A">
        <w:rPr>
          <w:rFonts w:cs="Arial"/>
          <w:bCs/>
          <w:szCs w:val="22"/>
        </w:rPr>
        <w:t xml:space="preserve"> Robert Wessel Robertse N</w:t>
      </w:r>
      <w:r w:rsidR="00113D1E" w:rsidRPr="00FB1A8A">
        <w:rPr>
          <w:rFonts w:cs="Arial"/>
          <w:bCs/>
          <w:szCs w:val="22"/>
        </w:rPr>
        <w:t>.</w:t>
      </w:r>
      <w:r w:rsidR="002136E4" w:rsidRPr="00FB1A8A">
        <w:rPr>
          <w:rFonts w:cs="Arial"/>
          <w:bCs/>
          <w:szCs w:val="22"/>
        </w:rPr>
        <w:t>O</w:t>
      </w:r>
      <w:r w:rsidR="00113D1E" w:rsidRPr="00FB1A8A">
        <w:rPr>
          <w:rFonts w:cs="Arial"/>
          <w:bCs/>
          <w:szCs w:val="22"/>
        </w:rPr>
        <w:t>.</w:t>
      </w:r>
      <w:r w:rsidR="002136E4" w:rsidRPr="00FB1A8A">
        <w:rPr>
          <w:rFonts w:cs="Arial"/>
          <w:bCs/>
          <w:szCs w:val="22"/>
        </w:rPr>
        <w:t xml:space="preserve"> and Louise Theodore Adendorff N</w:t>
      </w:r>
      <w:r w:rsidR="00113D1E" w:rsidRPr="00FB1A8A">
        <w:rPr>
          <w:rFonts w:cs="Arial"/>
          <w:bCs/>
          <w:szCs w:val="22"/>
        </w:rPr>
        <w:t>.</w:t>
      </w:r>
      <w:r w:rsidR="002136E4" w:rsidRPr="00FB1A8A">
        <w:rPr>
          <w:rFonts w:cs="Arial"/>
          <w:bCs/>
          <w:szCs w:val="22"/>
        </w:rPr>
        <w:t xml:space="preserve">O, the first, second and third </w:t>
      </w:r>
      <w:r w:rsidR="00113D1E" w:rsidRPr="00FB1A8A">
        <w:rPr>
          <w:rFonts w:cs="Arial"/>
          <w:bCs/>
          <w:szCs w:val="22"/>
        </w:rPr>
        <w:t>appellants</w:t>
      </w:r>
      <w:r w:rsidR="00434AD8" w:rsidRPr="00FB1A8A">
        <w:rPr>
          <w:rFonts w:cs="Arial"/>
          <w:bCs/>
          <w:szCs w:val="22"/>
        </w:rPr>
        <w:t xml:space="preserve"> respectively, </w:t>
      </w:r>
      <w:r w:rsidR="009C6FFE" w:rsidRPr="00FB1A8A">
        <w:rPr>
          <w:rFonts w:cs="Arial"/>
          <w:bCs/>
          <w:szCs w:val="22"/>
        </w:rPr>
        <w:t xml:space="preserve">being </w:t>
      </w:r>
      <w:r w:rsidR="00113D1E" w:rsidRPr="00FB1A8A">
        <w:rPr>
          <w:rFonts w:cs="Arial"/>
          <w:bCs/>
          <w:szCs w:val="22"/>
        </w:rPr>
        <w:t xml:space="preserve">the duly appointed trustees of </w:t>
      </w:r>
      <w:r w:rsidR="00664535" w:rsidRPr="00FB1A8A">
        <w:rPr>
          <w:rFonts w:cs="Arial"/>
          <w:bCs/>
          <w:szCs w:val="22"/>
        </w:rPr>
        <w:t>the Stapelberg I</w:t>
      </w:r>
      <w:r w:rsidR="00F32167" w:rsidRPr="00FB1A8A">
        <w:rPr>
          <w:rFonts w:cs="Arial"/>
          <w:bCs/>
          <w:szCs w:val="22"/>
        </w:rPr>
        <w:t xml:space="preserve">nvestment Trust, </w:t>
      </w:r>
      <w:r w:rsidR="00113D1E" w:rsidRPr="00FB1A8A">
        <w:rPr>
          <w:rFonts w:cs="Arial"/>
          <w:bCs/>
          <w:szCs w:val="22"/>
        </w:rPr>
        <w:t>appealed the entirety of the judgment of Her Ladyship N P Mali,</w:t>
      </w:r>
      <w:r w:rsidR="00A63DF2" w:rsidRPr="00FB1A8A">
        <w:rPr>
          <w:rFonts w:cs="Arial"/>
          <w:bCs/>
          <w:szCs w:val="22"/>
        </w:rPr>
        <w:t xml:space="preserve"> including the order for costs</w:t>
      </w:r>
      <w:r w:rsidR="003F5D54" w:rsidRPr="00FB1A8A">
        <w:rPr>
          <w:rFonts w:cs="Arial"/>
          <w:bCs/>
          <w:szCs w:val="22"/>
        </w:rPr>
        <w:t>,</w:t>
      </w:r>
      <w:r w:rsidR="00A63DF2" w:rsidRPr="00FB1A8A">
        <w:rPr>
          <w:rFonts w:cs="Arial"/>
          <w:bCs/>
          <w:szCs w:val="22"/>
        </w:rPr>
        <w:t xml:space="preserve"> delivered </w:t>
      </w:r>
      <w:r w:rsidR="00210B76" w:rsidRPr="00FB1A8A">
        <w:rPr>
          <w:rFonts w:cs="Arial"/>
          <w:bCs/>
          <w:szCs w:val="22"/>
        </w:rPr>
        <w:t>on 31 August 2018</w:t>
      </w:r>
      <w:r w:rsidR="00955D9C" w:rsidRPr="00FB1A8A">
        <w:rPr>
          <w:rFonts w:cs="Arial"/>
          <w:bCs/>
          <w:szCs w:val="22"/>
        </w:rPr>
        <w:t>.</w:t>
      </w:r>
    </w:p>
    <w:p w14:paraId="538EBD27" w14:textId="0845E503" w:rsidR="009C6FFE" w:rsidRPr="00FB1A8A" w:rsidRDefault="00FB1A8A" w:rsidP="00FB1A8A">
      <w:pPr>
        <w:tabs>
          <w:tab w:val="left" w:pos="567"/>
        </w:tabs>
        <w:spacing w:before="480" w:after="480" w:line="480" w:lineRule="auto"/>
        <w:rPr>
          <w:rFonts w:cs="Arial"/>
          <w:bCs/>
          <w:szCs w:val="22"/>
        </w:rPr>
      </w:pPr>
      <w:r>
        <w:rPr>
          <w:rFonts w:cs="Arial"/>
          <w:bCs/>
          <w:szCs w:val="22"/>
        </w:rPr>
        <w:t>[2]</w:t>
      </w:r>
      <w:r>
        <w:rPr>
          <w:rFonts w:cs="Arial"/>
          <w:bCs/>
          <w:szCs w:val="22"/>
        </w:rPr>
        <w:tab/>
      </w:r>
      <w:r w:rsidR="003F5D54" w:rsidRPr="00FB1A8A">
        <w:rPr>
          <w:rFonts w:cs="Arial"/>
          <w:bCs/>
          <w:szCs w:val="22"/>
        </w:rPr>
        <w:t xml:space="preserve">The respondent in the appeal, </w:t>
      </w:r>
      <w:r w:rsidR="009C6FFE" w:rsidRPr="00FB1A8A">
        <w:rPr>
          <w:rFonts w:cs="Arial"/>
          <w:bCs/>
          <w:szCs w:val="22"/>
        </w:rPr>
        <w:t>Ruand</w:t>
      </w:r>
      <w:r w:rsidR="003F5D54" w:rsidRPr="00FB1A8A">
        <w:rPr>
          <w:rFonts w:cs="Arial"/>
          <w:bCs/>
          <w:szCs w:val="22"/>
        </w:rPr>
        <w:t xml:space="preserve">a Snyman (born Stapelberg), was </w:t>
      </w:r>
      <w:r w:rsidR="009C6FFE" w:rsidRPr="00FB1A8A">
        <w:rPr>
          <w:rFonts w:cs="Arial"/>
          <w:bCs/>
          <w:szCs w:val="22"/>
        </w:rPr>
        <w:t xml:space="preserve">the applicant in the court </w:t>
      </w:r>
      <w:r w:rsidR="009C6FFE" w:rsidRPr="00FB1A8A">
        <w:rPr>
          <w:rFonts w:cs="Arial"/>
          <w:bCs/>
          <w:i/>
          <w:szCs w:val="22"/>
        </w:rPr>
        <w:t>a quo</w:t>
      </w:r>
      <w:r w:rsidR="009C6FFE" w:rsidRPr="00FB1A8A">
        <w:rPr>
          <w:rFonts w:cs="Arial"/>
          <w:bCs/>
          <w:szCs w:val="22"/>
        </w:rPr>
        <w:t>. The respondent opposed the appeal.</w:t>
      </w:r>
    </w:p>
    <w:p w14:paraId="74937206" w14:textId="4C016596" w:rsidR="00434AD8" w:rsidRPr="00FB1A8A" w:rsidRDefault="00FB1A8A" w:rsidP="00FB1A8A">
      <w:pPr>
        <w:tabs>
          <w:tab w:val="left" w:pos="567"/>
        </w:tabs>
        <w:spacing w:before="480" w:after="480" w:line="480" w:lineRule="auto"/>
        <w:rPr>
          <w:rFonts w:cs="Arial"/>
          <w:bCs/>
          <w:szCs w:val="22"/>
        </w:rPr>
      </w:pPr>
      <w:r w:rsidRPr="009C6FFE">
        <w:rPr>
          <w:rFonts w:cs="Arial"/>
          <w:bCs/>
          <w:szCs w:val="22"/>
        </w:rPr>
        <w:t>[3]</w:t>
      </w:r>
      <w:r w:rsidRPr="009C6FFE">
        <w:rPr>
          <w:rFonts w:cs="Arial"/>
          <w:bCs/>
          <w:szCs w:val="22"/>
        </w:rPr>
        <w:tab/>
      </w:r>
      <w:r w:rsidR="002136E4" w:rsidRPr="00FB1A8A">
        <w:rPr>
          <w:rFonts w:cs="Arial"/>
          <w:bCs/>
          <w:szCs w:val="22"/>
        </w:rPr>
        <w:t>Tonya Nadine Ehlers, the fourth respondent</w:t>
      </w:r>
      <w:r w:rsidR="00113D1E" w:rsidRPr="00FB1A8A">
        <w:rPr>
          <w:rFonts w:cs="Arial"/>
          <w:bCs/>
          <w:szCs w:val="22"/>
        </w:rPr>
        <w:t xml:space="preserve"> and founder of the Trust,</w:t>
      </w:r>
      <w:r w:rsidR="002136E4" w:rsidRPr="00FB1A8A">
        <w:rPr>
          <w:rFonts w:cs="Arial"/>
          <w:bCs/>
          <w:szCs w:val="22"/>
        </w:rPr>
        <w:t xml:space="preserve"> the Master of the High Court,</w:t>
      </w:r>
      <w:r w:rsidR="00434AD8" w:rsidRPr="00FB1A8A">
        <w:rPr>
          <w:rFonts w:cs="Arial"/>
          <w:bCs/>
          <w:szCs w:val="22"/>
        </w:rPr>
        <w:t xml:space="preserve"> </w:t>
      </w:r>
      <w:r w:rsidR="009C6FFE" w:rsidRPr="00FB1A8A">
        <w:rPr>
          <w:rFonts w:cs="Arial"/>
          <w:bCs/>
          <w:szCs w:val="22"/>
        </w:rPr>
        <w:t xml:space="preserve">being </w:t>
      </w:r>
      <w:r w:rsidR="002136E4" w:rsidRPr="00FB1A8A">
        <w:rPr>
          <w:rFonts w:cs="Arial"/>
          <w:bCs/>
          <w:szCs w:val="22"/>
        </w:rPr>
        <w:t>the fifth responden</w:t>
      </w:r>
      <w:r w:rsidR="00113D1E" w:rsidRPr="00FB1A8A">
        <w:rPr>
          <w:rFonts w:cs="Arial"/>
          <w:bCs/>
          <w:szCs w:val="22"/>
        </w:rPr>
        <w:t>t and the Road Accident Fund (‘RAF’),</w:t>
      </w:r>
      <w:r w:rsidR="00434AD8" w:rsidRPr="00FB1A8A">
        <w:rPr>
          <w:rFonts w:cs="Arial"/>
          <w:bCs/>
          <w:szCs w:val="22"/>
        </w:rPr>
        <w:t xml:space="preserve"> the sixth respondent</w:t>
      </w:r>
      <w:r w:rsidR="002136E4" w:rsidRPr="00FB1A8A">
        <w:rPr>
          <w:rFonts w:cs="Arial"/>
          <w:bCs/>
          <w:szCs w:val="22"/>
        </w:rPr>
        <w:t xml:space="preserve">, </w:t>
      </w:r>
      <w:r w:rsidR="00434AD8" w:rsidRPr="00FB1A8A">
        <w:rPr>
          <w:rFonts w:cs="Arial"/>
          <w:bCs/>
          <w:szCs w:val="22"/>
        </w:rPr>
        <w:t xml:space="preserve">were cited in the proceedings </w:t>
      </w:r>
      <w:r w:rsidR="00434AD8" w:rsidRPr="00FB1A8A">
        <w:rPr>
          <w:rFonts w:cs="Arial"/>
          <w:bCs/>
          <w:i/>
          <w:szCs w:val="22"/>
        </w:rPr>
        <w:t>a quo</w:t>
      </w:r>
      <w:r w:rsidR="00434AD8" w:rsidRPr="00FB1A8A">
        <w:rPr>
          <w:rFonts w:cs="Arial"/>
          <w:bCs/>
          <w:szCs w:val="22"/>
        </w:rPr>
        <w:t xml:space="preserve"> but were not parties to the </w:t>
      </w:r>
      <w:r w:rsidR="002136E4" w:rsidRPr="00FB1A8A">
        <w:rPr>
          <w:rFonts w:cs="Arial"/>
          <w:bCs/>
          <w:szCs w:val="22"/>
        </w:rPr>
        <w:t>appeal</w:t>
      </w:r>
      <w:r w:rsidR="00434AD8" w:rsidRPr="00FB1A8A">
        <w:rPr>
          <w:rFonts w:cs="Arial"/>
          <w:bCs/>
          <w:szCs w:val="22"/>
        </w:rPr>
        <w:t xml:space="preserve">.  </w:t>
      </w:r>
    </w:p>
    <w:p w14:paraId="56CCFE35" w14:textId="47FABF74" w:rsidR="009C6FFE" w:rsidRPr="00FB1A8A" w:rsidRDefault="00FB1A8A" w:rsidP="00FB1A8A">
      <w:pPr>
        <w:tabs>
          <w:tab w:val="left" w:pos="567"/>
        </w:tabs>
        <w:spacing w:before="480" w:after="480" w:line="480" w:lineRule="auto"/>
        <w:rPr>
          <w:rFonts w:cs="Arial"/>
          <w:bCs/>
          <w:szCs w:val="22"/>
        </w:rPr>
      </w:pPr>
      <w:r w:rsidRPr="00210B76">
        <w:rPr>
          <w:rFonts w:cs="Arial"/>
          <w:bCs/>
          <w:szCs w:val="22"/>
        </w:rPr>
        <w:t>[4]</w:t>
      </w:r>
      <w:r w:rsidRPr="00210B76">
        <w:rPr>
          <w:rFonts w:cs="Arial"/>
          <w:bCs/>
          <w:szCs w:val="22"/>
        </w:rPr>
        <w:tab/>
      </w:r>
      <w:r w:rsidR="009C6FFE" w:rsidRPr="00FB1A8A">
        <w:rPr>
          <w:rFonts w:cs="Arial"/>
          <w:bCs/>
          <w:szCs w:val="22"/>
        </w:rPr>
        <w:t xml:space="preserve">The appeal came before us with the leave of the court </w:t>
      </w:r>
      <w:r w:rsidR="009C6FFE" w:rsidRPr="00FB1A8A">
        <w:rPr>
          <w:rFonts w:cs="Arial"/>
          <w:bCs/>
          <w:i/>
          <w:szCs w:val="22"/>
        </w:rPr>
        <w:t xml:space="preserve">a </w:t>
      </w:r>
      <w:r w:rsidR="00A63DF2" w:rsidRPr="00FB1A8A">
        <w:rPr>
          <w:rFonts w:cs="Arial"/>
          <w:bCs/>
          <w:i/>
          <w:szCs w:val="22"/>
        </w:rPr>
        <w:t xml:space="preserve">quo </w:t>
      </w:r>
      <w:r w:rsidR="00A63DF2" w:rsidRPr="00FB1A8A">
        <w:rPr>
          <w:rFonts w:cs="Arial"/>
          <w:bCs/>
          <w:szCs w:val="22"/>
        </w:rPr>
        <w:t>granted on 23 January 2020</w:t>
      </w:r>
      <w:r w:rsidR="003F5D54" w:rsidRPr="00FB1A8A">
        <w:rPr>
          <w:rFonts w:cs="Arial"/>
          <w:bCs/>
          <w:szCs w:val="22"/>
        </w:rPr>
        <w:t>,</w:t>
      </w:r>
      <w:r w:rsidR="00A63DF2" w:rsidRPr="00FB1A8A">
        <w:rPr>
          <w:rFonts w:cs="Arial"/>
          <w:bCs/>
          <w:szCs w:val="22"/>
        </w:rPr>
        <w:t xml:space="preserve"> to the Full Bench of the Gauteng Local Division, Johannesburg. The costs of the application for leave to appeal were ordered to be in the appeal.</w:t>
      </w:r>
    </w:p>
    <w:p w14:paraId="15202E07" w14:textId="43B5836B" w:rsidR="002136E4" w:rsidRPr="00FB1A8A" w:rsidRDefault="00FB1A8A" w:rsidP="00FB1A8A">
      <w:pPr>
        <w:tabs>
          <w:tab w:val="left" w:pos="567"/>
        </w:tabs>
        <w:spacing w:before="480" w:after="480" w:line="480" w:lineRule="auto"/>
        <w:rPr>
          <w:rFonts w:cs="Arial"/>
          <w:bCs/>
          <w:szCs w:val="22"/>
        </w:rPr>
      </w:pPr>
      <w:r w:rsidRPr="003F5D54">
        <w:rPr>
          <w:rFonts w:cs="Arial"/>
          <w:bCs/>
          <w:szCs w:val="22"/>
        </w:rPr>
        <w:t>[5]</w:t>
      </w:r>
      <w:r w:rsidRPr="003F5D54">
        <w:rPr>
          <w:rFonts w:cs="Arial"/>
          <w:bCs/>
          <w:szCs w:val="22"/>
        </w:rPr>
        <w:tab/>
      </w:r>
      <w:r w:rsidR="000C721D" w:rsidRPr="00FB1A8A">
        <w:rPr>
          <w:rFonts w:cs="Arial"/>
          <w:bCs/>
          <w:szCs w:val="22"/>
        </w:rPr>
        <w:t>T</w:t>
      </w:r>
      <w:r w:rsidR="002136E4" w:rsidRPr="00FB1A8A">
        <w:rPr>
          <w:rFonts w:cs="Arial"/>
          <w:bCs/>
          <w:szCs w:val="22"/>
        </w:rPr>
        <w:t>he appellants sought an order that the appeal be upheld wit</w:t>
      </w:r>
      <w:r w:rsidR="003F5D54" w:rsidRPr="00FB1A8A">
        <w:rPr>
          <w:rFonts w:cs="Arial"/>
          <w:bCs/>
          <w:szCs w:val="22"/>
        </w:rPr>
        <w:t xml:space="preserve">h costs, the order </w:t>
      </w:r>
      <w:r w:rsidR="002136E4" w:rsidRPr="00FB1A8A">
        <w:rPr>
          <w:rFonts w:cs="Arial"/>
          <w:bCs/>
          <w:i/>
          <w:szCs w:val="22"/>
        </w:rPr>
        <w:t xml:space="preserve">a quo </w:t>
      </w:r>
      <w:r w:rsidR="002136E4" w:rsidRPr="00FB1A8A">
        <w:rPr>
          <w:rFonts w:cs="Arial"/>
          <w:bCs/>
          <w:szCs w:val="22"/>
        </w:rPr>
        <w:t>be set aside and replaced with an o</w:t>
      </w:r>
      <w:r w:rsidR="004439E4" w:rsidRPr="00FB1A8A">
        <w:rPr>
          <w:rFonts w:cs="Arial"/>
          <w:bCs/>
          <w:szCs w:val="22"/>
        </w:rPr>
        <w:t>rder dismissing the application with costs.</w:t>
      </w:r>
    </w:p>
    <w:p w14:paraId="2B9EBA6D" w14:textId="67903E29" w:rsidR="00385303" w:rsidRPr="00FB1A8A" w:rsidRDefault="00FB1A8A" w:rsidP="00FB1A8A">
      <w:pPr>
        <w:tabs>
          <w:tab w:val="left" w:pos="567"/>
        </w:tabs>
        <w:spacing w:before="480" w:after="480" w:line="480" w:lineRule="auto"/>
        <w:rPr>
          <w:rFonts w:cs="Arial"/>
          <w:bCs/>
          <w:szCs w:val="22"/>
        </w:rPr>
      </w:pPr>
      <w:r>
        <w:rPr>
          <w:rFonts w:cs="Arial"/>
          <w:bCs/>
          <w:szCs w:val="22"/>
        </w:rPr>
        <w:t>[6]</w:t>
      </w:r>
      <w:r>
        <w:rPr>
          <w:rFonts w:cs="Arial"/>
          <w:bCs/>
          <w:szCs w:val="22"/>
        </w:rPr>
        <w:tab/>
      </w:r>
      <w:r w:rsidR="000C721D" w:rsidRPr="00FB1A8A">
        <w:rPr>
          <w:rFonts w:cs="Arial"/>
          <w:bCs/>
          <w:szCs w:val="22"/>
        </w:rPr>
        <w:t>At the outset, t</w:t>
      </w:r>
      <w:r w:rsidR="002136E4" w:rsidRPr="00FB1A8A">
        <w:rPr>
          <w:rFonts w:cs="Arial"/>
          <w:bCs/>
          <w:szCs w:val="22"/>
        </w:rPr>
        <w:t xml:space="preserve">he appellants </w:t>
      </w:r>
      <w:r w:rsidR="000C721D" w:rsidRPr="00FB1A8A">
        <w:rPr>
          <w:rFonts w:cs="Arial"/>
          <w:bCs/>
          <w:szCs w:val="22"/>
        </w:rPr>
        <w:t xml:space="preserve">applied for </w:t>
      </w:r>
      <w:r w:rsidR="002136E4" w:rsidRPr="00FB1A8A">
        <w:rPr>
          <w:rFonts w:cs="Arial"/>
          <w:bCs/>
          <w:szCs w:val="22"/>
        </w:rPr>
        <w:t xml:space="preserve">the reinstatement </w:t>
      </w:r>
      <w:r w:rsidR="000C721D" w:rsidRPr="00FB1A8A">
        <w:rPr>
          <w:rFonts w:cs="Arial"/>
          <w:bCs/>
          <w:szCs w:val="22"/>
        </w:rPr>
        <w:t xml:space="preserve">of the appeal and condonation for the late application for a </w:t>
      </w:r>
      <w:r w:rsidR="002136E4" w:rsidRPr="00FB1A8A">
        <w:rPr>
          <w:rFonts w:cs="Arial"/>
          <w:bCs/>
          <w:szCs w:val="22"/>
        </w:rPr>
        <w:t xml:space="preserve">date of the appeal. </w:t>
      </w:r>
      <w:r w:rsidR="00A16C83" w:rsidRPr="00FB1A8A">
        <w:rPr>
          <w:rFonts w:cs="Arial"/>
          <w:bCs/>
          <w:szCs w:val="22"/>
        </w:rPr>
        <w:t>Whilst t</w:t>
      </w:r>
      <w:r w:rsidR="002136E4" w:rsidRPr="00FB1A8A">
        <w:rPr>
          <w:rFonts w:cs="Arial"/>
          <w:bCs/>
          <w:szCs w:val="22"/>
        </w:rPr>
        <w:t xml:space="preserve">he respondent </w:t>
      </w:r>
      <w:r w:rsidR="00A16C83" w:rsidRPr="00FB1A8A">
        <w:rPr>
          <w:rFonts w:cs="Arial"/>
          <w:bCs/>
          <w:szCs w:val="22"/>
        </w:rPr>
        <w:t xml:space="preserve">delivered papers opposing the condonation and reinstatement </w:t>
      </w:r>
      <w:r w:rsidR="004439E4" w:rsidRPr="00FB1A8A">
        <w:rPr>
          <w:rFonts w:cs="Arial"/>
          <w:bCs/>
          <w:szCs w:val="22"/>
        </w:rPr>
        <w:t>application,</w:t>
      </w:r>
      <w:r w:rsidR="00A16C83" w:rsidRPr="00FB1A8A">
        <w:rPr>
          <w:rFonts w:cs="Arial"/>
          <w:bCs/>
          <w:szCs w:val="22"/>
        </w:rPr>
        <w:t xml:space="preserve"> </w:t>
      </w:r>
      <w:r w:rsidR="000C721D" w:rsidRPr="00FB1A8A">
        <w:rPr>
          <w:rFonts w:cs="Arial"/>
          <w:bCs/>
          <w:szCs w:val="22"/>
        </w:rPr>
        <w:t>the respondent did not advance arguments</w:t>
      </w:r>
      <w:r w:rsidR="00A16C83" w:rsidRPr="00FB1A8A">
        <w:rPr>
          <w:rFonts w:cs="Arial"/>
          <w:bCs/>
          <w:szCs w:val="22"/>
        </w:rPr>
        <w:t xml:space="preserve"> in support of that oppositi</w:t>
      </w:r>
      <w:r w:rsidR="000C721D" w:rsidRPr="00FB1A8A">
        <w:rPr>
          <w:rFonts w:cs="Arial"/>
          <w:bCs/>
          <w:szCs w:val="22"/>
        </w:rPr>
        <w:t>on.</w:t>
      </w:r>
    </w:p>
    <w:p w14:paraId="3539BDF2" w14:textId="1C38DAEC" w:rsidR="00C0217D" w:rsidRPr="00FB1A8A" w:rsidRDefault="00FB1A8A" w:rsidP="00FB1A8A">
      <w:pPr>
        <w:tabs>
          <w:tab w:val="left" w:pos="567"/>
        </w:tabs>
        <w:spacing w:before="480" w:after="480" w:line="480" w:lineRule="auto"/>
        <w:rPr>
          <w:rFonts w:cs="Arial"/>
          <w:bCs/>
          <w:szCs w:val="22"/>
        </w:rPr>
      </w:pPr>
      <w:r>
        <w:rPr>
          <w:rFonts w:cs="Arial"/>
          <w:bCs/>
          <w:szCs w:val="22"/>
        </w:rPr>
        <w:t>[7]</w:t>
      </w:r>
      <w:r>
        <w:rPr>
          <w:rFonts w:cs="Arial"/>
          <w:bCs/>
          <w:szCs w:val="22"/>
        </w:rPr>
        <w:tab/>
      </w:r>
      <w:r w:rsidR="009A488E" w:rsidRPr="00FB1A8A">
        <w:rPr>
          <w:rFonts w:cs="Arial"/>
          <w:bCs/>
          <w:szCs w:val="22"/>
        </w:rPr>
        <w:t>The appellants’ attorney</w:t>
      </w:r>
      <w:r w:rsidR="004439E4" w:rsidRPr="00FB1A8A">
        <w:rPr>
          <w:rFonts w:cs="Arial"/>
          <w:bCs/>
          <w:szCs w:val="22"/>
        </w:rPr>
        <w:t xml:space="preserve"> of record (‘</w:t>
      </w:r>
      <w:r w:rsidR="00030237" w:rsidRPr="00FB1A8A">
        <w:rPr>
          <w:rFonts w:cs="Arial"/>
          <w:bCs/>
          <w:szCs w:val="22"/>
        </w:rPr>
        <w:t>t</w:t>
      </w:r>
      <w:r w:rsidR="004439E4" w:rsidRPr="00FB1A8A">
        <w:rPr>
          <w:rFonts w:cs="Arial"/>
          <w:bCs/>
          <w:szCs w:val="22"/>
        </w:rPr>
        <w:t xml:space="preserve">he appellants’ attorney’), </w:t>
      </w:r>
      <w:r w:rsidR="00385303" w:rsidRPr="00FB1A8A">
        <w:rPr>
          <w:rFonts w:cs="Arial"/>
          <w:bCs/>
          <w:szCs w:val="22"/>
        </w:rPr>
        <w:t>omitted</w:t>
      </w:r>
      <w:r w:rsidR="009A488E" w:rsidRPr="00FB1A8A">
        <w:rPr>
          <w:rFonts w:cs="Arial"/>
          <w:bCs/>
          <w:szCs w:val="22"/>
        </w:rPr>
        <w:t xml:space="preserve"> to apply for a date of the appea</w:t>
      </w:r>
      <w:r w:rsidR="004439E4" w:rsidRPr="00FB1A8A">
        <w:rPr>
          <w:rFonts w:cs="Arial"/>
          <w:bCs/>
          <w:szCs w:val="22"/>
        </w:rPr>
        <w:t xml:space="preserve">l with the filing of the record, </w:t>
      </w:r>
      <w:r w:rsidR="00C0217D" w:rsidRPr="00FB1A8A">
        <w:rPr>
          <w:rFonts w:cs="Arial"/>
          <w:bCs/>
          <w:szCs w:val="22"/>
        </w:rPr>
        <w:t xml:space="preserve">mistakenly </w:t>
      </w:r>
      <w:r w:rsidR="004439E4" w:rsidRPr="00FB1A8A">
        <w:rPr>
          <w:rFonts w:cs="Arial"/>
          <w:bCs/>
          <w:szCs w:val="22"/>
        </w:rPr>
        <w:t>applying</w:t>
      </w:r>
      <w:r w:rsidR="00385303" w:rsidRPr="00FB1A8A">
        <w:rPr>
          <w:rFonts w:cs="Arial"/>
          <w:bCs/>
          <w:szCs w:val="22"/>
        </w:rPr>
        <w:t xml:space="preserve"> after the delivery of the heads of argument. </w:t>
      </w:r>
      <w:r w:rsidR="00546B1B" w:rsidRPr="00FB1A8A">
        <w:rPr>
          <w:rFonts w:cs="Arial"/>
          <w:bCs/>
          <w:szCs w:val="22"/>
        </w:rPr>
        <w:t xml:space="preserve"> </w:t>
      </w:r>
      <w:r w:rsidR="00385303" w:rsidRPr="00FB1A8A">
        <w:rPr>
          <w:rFonts w:cs="Arial"/>
          <w:bCs/>
          <w:szCs w:val="22"/>
        </w:rPr>
        <w:t>The</w:t>
      </w:r>
      <w:r w:rsidR="005555C2" w:rsidRPr="00FB1A8A">
        <w:rPr>
          <w:rFonts w:cs="Arial"/>
          <w:bCs/>
          <w:szCs w:val="22"/>
        </w:rPr>
        <w:t xml:space="preserve"> appellants’ attorney filed the record on 27 July 2020, the practice note on 17 December 2020 and applied for a date for the hearing on 21 December 2020. Whilst there certainly was some delay, the </w:t>
      </w:r>
      <w:r w:rsidR="00385303" w:rsidRPr="00FB1A8A">
        <w:rPr>
          <w:rFonts w:cs="Arial"/>
          <w:bCs/>
          <w:szCs w:val="22"/>
        </w:rPr>
        <w:t>extent of the appellants’ attorney’s non-compliance</w:t>
      </w:r>
      <w:r w:rsidR="00C0217D" w:rsidRPr="00FB1A8A">
        <w:rPr>
          <w:rFonts w:cs="Arial"/>
          <w:bCs/>
          <w:szCs w:val="22"/>
        </w:rPr>
        <w:t xml:space="preserve"> </w:t>
      </w:r>
      <w:r w:rsidR="00385303" w:rsidRPr="00FB1A8A">
        <w:rPr>
          <w:rFonts w:cs="Arial"/>
          <w:bCs/>
          <w:szCs w:val="22"/>
        </w:rPr>
        <w:t>was not flagrant and gross</w:t>
      </w:r>
      <w:r w:rsidR="00385303">
        <w:rPr>
          <w:rStyle w:val="FootnoteReference"/>
          <w:rFonts w:cs="Arial"/>
          <w:bCs/>
          <w:szCs w:val="22"/>
        </w:rPr>
        <w:footnoteReference w:id="2"/>
      </w:r>
      <w:r w:rsidR="00C0217D" w:rsidRPr="00FB1A8A">
        <w:rPr>
          <w:rFonts w:cs="Arial"/>
          <w:bCs/>
          <w:szCs w:val="22"/>
        </w:rPr>
        <w:t xml:space="preserve"> and </w:t>
      </w:r>
      <w:r w:rsidR="00546B1B" w:rsidRPr="00FB1A8A">
        <w:rPr>
          <w:rFonts w:cs="Arial"/>
          <w:bCs/>
          <w:szCs w:val="22"/>
        </w:rPr>
        <w:t xml:space="preserve">he </w:t>
      </w:r>
      <w:r w:rsidR="005555C2" w:rsidRPr="00FB1A8A">
        <w:rPr>
          <w:rFonts w:cs="Arial"/>
          <w:bCs/>
          <w:szCs w:val="22"/>
        </w:rPr>
        <w:t>took</w:t>
      </w:r>
      <w:r w:rsidR="00C0217D" w:rsidRPr="00FB1A8A">
        <w:rPr>
          <w:rFonts w:cs="Arial"/>
          <w:bCs/>
          <w:szCs w:val="22"/>
        </w:rPr>
        <w:t xml:space="preserve"> responsibility for the error, making</w:t>
      </w:r>
      <w:r w:rsidR="005555C2" w:rsidRPr="00FB1A8A">
        <w:rPr>
          <w:rFonts w:cs="Arial"/>
          <w:bCs/>
          <w:szCs w:val="22"/>
        </w:rPr>
        <w:t xml:space="preserve"> a frank and full</w:t>
      </w:r>
      <w:r w:rsidR="00546B1B" w:rsidRPr="00FB1A8A">
        <w:rPr>
          <w:rFonts w:cs="Arial"/>
          <w:bCs/>
          <w:szCs w:val="22"/>
        </w:rPr>
        <w:t xml:space="preserve"> disclosure that he erred</w:t>
      </w:r>
      <w:r w:rsidR="00C0217D" w:rsidRPr="00FB1A8A">
        <w:rPr>
          <w:rFonts w:cs="Arial"/>
          <w:bCs/>
          <w:szCs w:val="22"/>
        </w:rPr>
        <w:t>.</w:t>
      </w:r>
    </w:p>
    <w:p w14:paraId="740464CB" w14:textId="71A9CDB0" w:rsidR="002136E4" w:rsidRPr="00FB1A8A" w:rsidRDefault="00FB1A8A" w:rsidP="00FB1A8A">
      <w:pPr>
        <w:tabs>
          <w:tab w:val="left" w:pos="567"/>
        </w:tabs>
        <w:spacing w:before="480" w:after="480" w:line="480" w:lineRule="auto"/>
        <w:rPr>
          <w:rFonts w:cs="Arial"/>
          <w:bCs/>
          <w:szCs w:val="22"/>
        </w:rPr>
      </w:pPr>
      <w:r w:rsidRPr="00385303">
        <w:rPr>
          <w:rFonts w:cs="Arial"/>
          <w:bCs/>
          <w:szCs w:val="22"/>
        </w:rPr>
        <w:t>[8]</w:t>
      </w:r>
      <w:r w:rsidRPr="00385303">
        <w:rPr>
          <w:rFonts w:cs="Arial"/>
          <w:bCs/>
          <w:szCs w:val="22"/>
        </w:rPr>
        <w:tab/>
      </w:r>
      <w:r w:rsidR="00546B1B" w:rsidRPr="00FB1A8A">
        <w:rPr>
          <w:rFonts w:cs="Arial"/>
          <w:bCs/>
          <w:szCs w:val="22"/>
        </w:rPr>
        <w:t xml:space="preserve">In addition, the appellants </w:t>
      </w:r>
      <w:r w:rsidR="005555C2" w:rsidRPr="00FB1A8A">
        <w:rPr>
          <w:rFonts w:cs="Arial"/>
          <w:bCs/>
          <w:szCs w:val="22"/>
        </w:rPr>
        <w:t xml:space="preserve">contended that they had real prospects of success on the merits of </w:t>
      </w:r>
      <w:r w:rsidR="00022E33" w:rsidRPr="00FB1A8A">
        <w:rPr>
          <w:rFonts w:cs="Arial"/>
          <w:bCs/>
          <w:szCs w:val="22"/>
        </w:rPr>
        <w:t>the appeal,</w:t>
      </w:r>
      <w:r w:rsidR="005555C2" w:rsidRPr="00FB1A8A">
        <w:rPr>
          <w:rFonts w:cs="Arial"/>
          <w:bCs/>
          <w:szCs w:val="22"/>
        </w:rPr>
        <w:t xml:space="preserve"> in that the court </w:t>
      </w:r>
      <w:r w:rsidR="005555C2" w:rsidRPr="00FB1A8A">
        <w:rPr>
          <w:rFonts w:cs="Arial"/>
          <w:bCs/>
          <w:i/>
          <w:szCs w:val="22"/>
        </w:rPr>
        <w:t xml:space="preserve">a quo’s </w:t>
      </w:r>
      <w:r w:rsidR="005555C2" w:rsidRPr="00FB1A8A">
        <w:rPr>
          <w:rFonts w:cs="Arial"/>
          <w:bCs/>
          <w:szCs w:val="22"/>
        </w:rPr>
        <w:t>termination of the</w:t>
      </w:r>
      <w:r w:rsidR="005555C2" w:rsidRPr="00FB1A8A">
        <w:rPr>
          <w:rFonts w:cs="Arial"/>
          <w:bCs/>
          <w:i/>
          <w:szCs w:val="22"/>
        </w:rPr>
        <w:t xml:space="preserve"> </w:t>
      </w:r>
      <w:r w:rsidR="005555C2" w:rsidRPr="00FB1A8A">
        <w:rPr>
          <w:rFonts w:cs="Arial"/>
          <w:bCs/>
          <w:szCs w:val="22"/>
        </w:rPr>
        <w:t xml:space="preserve">Trust and order that the respondent’s attorneys of record establish a new </w:t>
      </w:r>
      <w:r w:rsidR="00030237" w:rsidRPr="00FB1A8A">
        <w:rPr>
          <w:rFonts w:cs="Arial"/>
          <w:bCs/>
          <w:szCs w:val="22"/>
        </w:rPr>
        <w:t>t</w:t>
      </w:r>
      <w:r w:rsidR="005555C2" w:rsidRPr="00FB1A8A">
        <w:rPr>
          <w:rFonts w:cs="Arial"/>
          <w:bCs/>
          <w:szCs w:val="22"/>
        </w:rPr>
        <w:t>rust</w:t>
      </w:r>
      <w:r w:rsidR="00F32167" w:rsidRPr="00FB1A8A">
        <w:rPr>
          <w:rFonts w:cs="Arial"/>
          <w:bCs/>
          <w:szCs w:val="22"/>
        </w:rPr>
        <w:t>, (</w:t>
      </w:r>
      <w:r w:rsidR="005555C2" w:rsidRPr="00FB1A8A">
        <w:rPr>
          <w:rFonts w:cs="Arial"/>
          <w:bCs/>
          <w:szCs w:val="22"/>
        </w:rPr>
        <w:t xml:space="preserve">to protect the award made to the respondent by the </w:t>
      </w:r>
      <w:r w:rsidR="00F32167" w:rsidRPr="00FB1A8A">
        <w:rPr>
          <w:rFonts w:cs="Arial"/>
          <w:bCs/>
          <w:szCs w:val="22"/>
        </w:rPr>
        <w:t>RAF)</w:t>
      </w:r>
      <w:r w:rsidR="005555C2" w:rsidRPr="00FB1A8A">
        <w:rPr>
          <w:rFonts w:cs="Arial"/>
          <w:bCs/>
          <w:szCs w:val="22"/>
        </w:rPr>
        <w:t>, served to render the respondent vulnerable in the interim</w:t>
      </w:r>
      <w:r w:rsidR="00E63D55" w:rsidRPr="00FB1A8A">
        <w:rPr>
          <w:rFonts w:cs="Arial"/>
          <w:bCs/>
          <w:szCs w:val="22"/>
        </w:rPr>
        <w:t>. I agree that the appellants have sufficient prospects of success in the appeal</w:t>
      </w:r>
      <w:r w:rsidR="00022E33" w:rsidRPr="00FB1A8A">
        <w:rPr>
          <w:rFonts w:cs="Arial"/>
          <w:bCs/>
          <w:szCs w:val="22"/>
        </w:rPr>
        <w:t xml:space="preserve"> on this ground.</w:t>
      </w:r>
      <w:r w:rsidR="00E63D55">
        <w:rPr>
          <w:rStyle w:val="FootnoteReference"/>
          <w:rFonts w:cs="Arial"/>
          <w:bCs/>
          <w:szCs w:val="22"/>
        </w:rPr>
        <w:footnoteReference w:id="3"/>
      </w:r>
      <w:r w:rsidR="00E63D55" w:rsidRPr="00FB1A8A">
        <w:rPr>
          <w:rFonts w:cs="Arial"/>
          <w:bCs/>
          <w:szCs w:val="22"/>
        </w:rPr>
        <w:t xml:space="preserve">  </w:t>
      </w:r>
    </w:p>
    <w:p w14:paraId="77D67DA7" w14:textId="4E157420" w:rsidR="00A65639" w:rsidRPr="00FB1A8A" w:rsidRDefault="00FB1A8A" w:rsidP="00FB1A8A">
      <w:pPr>
        <w:tabs>
          <w:tab w:val="left" w:pos="567"/>
        </w:tabs>
        <w:spacing w:before="480" w:after="480" w:line="480" w:lineRule="auto"/>
        <w:rPr>
          <w:rFonts w:cs="Arial"/>
          <w:bCs/>
          <w:szCs w:val="22"/>
        </w:rPr>
      </w:pPr>
      <w:r>
        <w:rPr>
          <w:rFonts w:cs="Arial"/>
          <w:bCs/>
          <w:szCs w:val="22"/>
        </w:rPr>
        <w:t>[9]</w:t>
      </w:r>
      <w:r>
        <w:rPr>
          <w:rFonts w:cs="Arial"/>
          <w:bCs/>
          <w:szCs w:val="22"/>
        </w:rPr>
        <w:tab/>
      </w:r>
      <w:r w:rsidR="00022EA8" w:rsidRPr="00FB1A8A">
        <w:rPr>
          <w:rFonts w:cs="Arial"/>
          <w:bCs/>
          <w:szCs w:val="22"/>
        </w:rPr>
        <w:t xml:space="preserve">In the light of the absence of a flagrant and gross violation of the Rules, a delay that was not significantly </w:t>
      </w:r>
      <w:r w:rsidR="00664535" w:rsidRPr="00FB1A8A">
        <w:rPr>
          <w:rFonts w:cs="Arial"/>
          <w:bCs/>
          <w:szCs w:val="22"/>
        </w:rPr>
        <w:t>prejudicial</w:t>
      </w:r>
      <w:r w:rsidR="00022EA8" w:rsidRPr="00FB1A8A">
        <w:rPr>
          <w:rFonts w:cs="Arial"/>
          <w:bCs/>
          <w:szCs w:val="22"/>
        </w:rPr>
        <w:t xml:space="preserve"> </w:t>
      </w:r>
      <w:r w:rsidR="00A65639" w:rsidRPr="00FB1A8A">
        <w:rPr>
          <w:rFonts w:cs="Arial"/>
          <w:bCs/>
          <w:szCs w:val="22"/>
        </w:rPr>
        <w:t>in the</w:t>
      </w:r>
      <w:r w:rsidR="00F32167" w:rsidRPr="00FB1A8A">
        <w:rPr>
          <w:rFonts w:cs="Arial"/>
          <w:bCs/>
          <w:szCs w:val="22"/>
        </w:rPr>
        <w:t xml:space="preserve"> overall context of the</w:t>
      </w:r>
      <w:r w:rsidR="00A65639" w:rsidRPr="00FB1A8A">
        <w:rPr>
          <w:rFonts w:cs="Arial"/>
          <w:bCs/>
          <w:szCs w:val="22"/>
        </w:rPr>
        <w:t xml:space="preserve"> prevailing circumstances </w:t>
      </w:r>
      <w:r w:rsidR="00022EA8" w:rsidRPr="00FB1A8A">
        <w:rPr>
          <w:rFonts w:cs="Arial"/>
          <w:bCs/>
          <w:szCs w:val="22"/>
        </w:rPr>
        <w:t xml:space="preserve">and the </w:t>
      </w:r>
      <w:r w:rsidR="00022E33" w:rsidRPr="00FB1A8A">
        <w:rPr>
          <w:rFonts w:cs="Arial"/>
          <w:bCs/>
          <w:szCs w:val="22"/>
        </w:rPr>
        <w:t xml:space="preserve">appellants’ </w:t>
      </w:r>
      <w:r w:rsidR="00022EA8" w:rsidRPr="00FB1A8A">
        <w:rPr>
          <w:rFonts w:cs="Arial"/>
          <w:bCs/>
          <w:szCs w:val="22"/>
        </w:rPr>
        <w:t xml:space="preserve">prospects of success </w:t>
      </w:r>
      <w:r w:rsidR="00022E33" w:rsidRPr="00FB1A8A">
        <w:rPr>
          <w:rFonts w:cs="Arial"/>
          <w:bCs/>
          <w:szCs w:val="22"/>
        </w:rPr>
        <w:t>aforementioned,</w:t>
      </w:r>
      <w:r w:rsidR="00A16C83" w:rsidRPr="00FB1A8A">
        <w:rPr>
          <w:rFonts w:cs="Arial"/>
          <w:bCs/>
          <w:szCs w:val="22"/>
        </w:rPr>
        <w:t xml:space="preserve"> I am of the view</w:t>
      </w:r>
      <w:r w:rsidR="00022EA8" w:rsidRPr="00FB1A8A">
        <w:rPr>
          <w:rFonts w:cs="Arial"/>
          <w:bCs/>
          <w:szCs w:val="22"/>
        </w:rPr>
        <w:t xml:space="preserve"> that </w:t>
      </w:r>
      <w:r w:rsidR="00664535" w:rsidRPr="00FB1A8A">
        <w:rPr>
          <w:rFonts w:cs="Arial"/>
          <w:bCs/>
          <w:szCs w:val="22"/>
        </w:rPr>
        <w:t xml:space="preserve">the interests of justice require that </w:t>
      </w:r>
      <w:r w:rsidR="00022E33" w:rsidRPr="00FB1A8A">
        <w:rPr>
          <w:rFonts w:cs="Arial"/>
          <w:bCs/>
          <w:szCs w:val="22"/>
        </w:rPr>
        <w:t>condonation of the late application for a date be granted and that th</w:t>
      </w:r>
      <w:r w:rsidR="00F32167" w:rsidRPr="00FB1A8A">
        <w:rPr>
          <w:rFonts w:cs="Arial"/>
          <w:bCs/>
          <w:szCs w:val="22"/>
        </w:rPr>
        <w:t>e appeal be reinstated by this C</w:t>
      </w:r>
      <w:r w:rsidR="00022E33" w:rsidRPr="00FB1A8A">
        <w:rPr>
          <w:rFonts w:cs="Arial"/>
          <w:bCs/>
          <w:szCs w:val="22"/>
        </w:rPr>
        <w:t xml:space="preserve">ourt. </w:t>
      </w:r>
    </w:p>
    <w:p w14:paraId="09D35496" w14:textId="71917782" w:rsidR="00022E33" w:rsidRPr="00FB1A8A" w:rsidRDefault="00FB1A8A" w:rsidP="00FB1A8A">
      <w:pPr>
        <w:tabs>
          <w:tab w:val="left" w:pos="567"/>
        </w:tabs>
        <w:spacing w:before="480" w:after="480" w:line="480" w:lineRule="auto"/>
        <w:rPr>
          <w:rFonts w:cs="Arial"/>
          <w:bCs/>
          <w:szCs w:val="22"/>
        </w:rPr>
      </w:pPr>
      <w:r w:rsidRPr="00F32167">
        <w:rPr>
          <w:rFonts w:cs="Arial"/>
          <w:bCs/>
          <w:szCs w:val="22"/>
        </w:rPr>
        <w:t>[10]</w:t>
      </w:r>
      <w:r w:rsidRPr="00F32167">
        <w:rPr>
          <w:rFonts w:cs="Arial"/>
          <w:bCs/>
          <w:szCs w:val="22"/>
        </w:rPr>
        <w:tab/>
      </w:r>
      <w:r w:rsidR="00022E33" w:rsidRPr="00FB1A8A">
        <w:rPr>
          <w:rFonts w:cs="Arial"/>
          <w:bCs/>
          <w:szCs w:val="22"/>
        </w:rPr>
        <w:t>Accordingly, I propose an order</w:t>
      </w:r>
      <w:r w:rsidR="00A65639" w:rsidRPr="00FB1A8A">
        <w:rPr>
          <w:rFonts w:cs="Arial"/>
          <w:bCs/>
          <w:szCs w:val="22"/>
        </w:rPr>
        <w:t xml:space="preserve"> that the appellants’ failure to </w:t>
      </w:r>
      <w:r w:rsidR="00F32167" w:rsidRPr="00FB1A8A">
        <w:rPr>
          <w:rFonts w:cs="Arial"/>
          <w:bCs/>
          <w:szCs w:val="22"/>
        </w:rPr>
        <w:t>apply for a date for the appeal</w:t>
      </w:r>
      <w:r w:rsidR="00A65639" w:rsidRPr="00FB1A8A">
        <w:rPr>
          <w:rFonts w:cs="Arial"/>
          <w:bCs/>
          <w:szCs w:val="22"/>
        </w:rPr>
        <w:t xml:space="preserve"> timeously in accordance with Rule 49(6)(a) is condoned in terms of Rule 49(7)(a)(ii), and, that </w:t>
      </w:r>
      <w:r w:rsidR="00022E33" w:rsidRPr="00FB1A8A">
        <w:rPr>
          <w:rFonts w:cs="Arial"/>
          <w:bCs/>
          <w:szCs w:val="22"/>
        </w:rPr>
        <w:t>the appeal is reinstated in terms of Rule 49(6)(b) of the Uniform Rules of Court. The appellants are ordered to p</w:t>
      </w:r>
      <w:r w:rsidR="001B5F9A" w:rsidRPr="00FB1A8A">
        <w:rPr>
          <w:rFonts w:cs="Arial"/>
          <w:bCs/>
          <w:szCs w:val="22"/>
        </w:rPr>
        <w:t>ay the costs of the application</w:t>
      </w:r>
      <w:r w:rsidR="00022E33" w:rsidRPr="00FB1A8A">
        <w:rPr>
          <w:rFonts w:cs="Arial"/>
          <w:bCs/>
          <w:szCs w:val="22"/>
        </w:rPr>
        <w:t xml:space="preserve"> fo</w:t>
      </w:r>
      <w:r w:rsidR="00A65639" w:rsidRPr="00FB1A8A">
        <w:rPr>
          <w:rFonts w:cs="Arial"/>
          <w:bCs/>
          <w:szCs w:val="22"/>
        </w:rPr>
        <w:t>r reinstatement and condonation and the respondent the costs of their opposition to that application.</w:t>
      </w:r>
    </w:p>
    <w:p w14:paraId="0B60C467" w14:textId="48DCFE3D" w:rsidR="00022E33" w:rsidRPr="00FB1A8A" w:rsidRDefault="00FB1A8A" w:rsidP="00FB1A8A">
      <w:pPr>
        <w:tabs>
          <w:tab w:val="left" w:pos="567"/>
        </w:tabs>
        <w:spacing w:before="480" w:after="480" w:line="480" w:lineRule="auto"/>
        <w:rPr>
          <w:rFonts w:cs="Arial"/>
          <w:bCs/>
          <w:szCs w:val="22"/>
        </w:rPr>
      </w:pPr>
      <w:r>
        <w:rPr>
          <w:rFonts w:cs="Arial"/>
          <w:bCs/>
          <w:szCs w:val="22"/>
        </w:rPr>
        <w:t>[11]</w:t>
      </w:r>
      <w:r>
        <w:rPr>
          <w:rFonts w:cs="Arial"/>
          <w:bCs/>
          <w:szCs w:val="22"/>
        </w:rPr>
        <w:tab/>
      </w:r>
      <w:r w:rsidR="00022E33" w:rsidRPr="00FB1A8A">
        <w:rPr>
          <w:rFonts w:cs="Arial"/>
          <w:bCs/>
          <w:szCs w:val="22"/>
        </w:rPr>
        <w:t>As to the appeal, the r</w:t>
      </w:r>
      <w:r w:rsidR="00A65639" w:rsidRPr="00FB1A8A">
        <w:rPr>
          <w:rFonts w:cs="Arial"/>
          <w:bCs/>
          <w:szCs w:val="22"/>
        </w:rPr>
        <w:t>espondent sought that it</w:t>
      </w:r>
      <w:r w:rsidR="00022E33" w:rsidRPr="00FB1A8A">
        <w:rPr>
          <w:rFonts w:cs="Arial"/>
          <w:bCs/>
          <w:szCs w:val="22"/>
        </w:rPr>
        <w:t xml:space="preserve"> be dismissed with costs. </w:t>
      </w:r>
    </w:p>
    <w:p w14:paraId="31FC6AFC" w14:textId="675E0FAA" w:rsidR="00BB7007" w:rsidRPr="00FB1A8A" w:rsidRDefault="00FB1A8A" w:rsidP="00FB1A8A">
      <w:pPr>
        <w:tabs>
          <w:tab w:val="left" w:pos="567"/>
        </w:tabs>
        <w:spacing w:before="480" w:after="480" w:line="480" w:lineRule="auto"/>
        <w:rPr>
          <w:rFonts w:cs="Arial"/>
          <w:bCs/>
          <w:szCs w:val="22"/>
        </w:rPr>
      </w:pPr>
      <w:r>
        <w:rPr>
          <w:rFonts w:cs="Arial"/>
          <w:bCs/>
          <w:szCs w:val="22"/>
        </w:rPr>
        <w:t>[12]</w:t>
      </w:r>
      <w:r>
        <w:rPr>
          <w:rFonts w:cs="Arial"/>
          <w:bCs/>
          <w:szCs w:val="22"/>
        </w:rPr>
        <w:tab/>
      </w:r>
      <w:r w:rsidR="00D111D6" w:rsidRPr="00FB1A8A">
        <w:rPr>
          <w:rFonts w:cs="Arial"/>
          <w:bCs/>
          <w:szCs w:val="22"/>
        </w:rPr>
        <w:t>The</w:t>
      </w:r>
      <w:r w:rsidR="00022E33" w:rsidRPr="00FB1A8A">
        <w:rPr>
          <w:rFonts w:cs="Arial"/>
          <w:bCs/>
          <w:szCs w:val="22"/>
        </w:rPr>
        <w:t xml:space="preserve"> factual </w:t>
      </w:r>
      <w:r w:rsidR="00F77E1E" w:rsidRPr="00FB1A8A">
        <w:rPr>
          <w:rFonts w:cs="Arial"/>
          <w:bCs/>
          <w:szCs w:val="22"/>
        </w:rPr>
        <w:t xml:space="preserve">background </w:t>
      </w:r>
      <w:r w:rsidR="00022E33" w:rsidRPr="00FB1A8A">
        <w:rPr>
          <w:rFonts w:cs="Arial"/>
          <w:bCs/>
          <w:szCs w:val="22"/>
        </w:rPr>
        <w:t xml:space="preserve">of this matter, briefly stated, was that the </w:t>
      </w:r>
      <w:r w:rsidR="00D111D6" w:rsidRPr="00FB1A8A">
        <w:rPr>
          <w:rFonts w:cs="Arial"/>
          <w:bCs/>
          <w:szCs w:val="22"/>
        </w:rPr>
        <w:t>respondent</w:t>
      </w:r>
      <w:r w:rsidR="00022E33" w:rsidRPr="00FB1A8A">
        <w:rPr>
          <w:rFonts w:cs="Arial"/>
          <w:bCs/>
          <w:szCs w:val="22"/>
        </w:rPr>
        <w:t xml:space="preserve"> was</w:t>
      </w:r>
      <w:r w:rsidR="00BB7007" w:rsidRPr="00FB1A8A">
        <w:rPr>
          <w:rFonts w:cs="Arial"/>
          <w:bCs/>
          <w:szCs w:val="22"/>
        </w:rPr>
        <w:t xml:space="preserve"> </w:t>
      </w:r>
      <w:r w:rsidR="001B5F9A" w:rsidRPr="00FB1A8A">
        <w:rPr>
          <w:rFonts w:cs="Arial"/>
          <w:bCs/>
          <w:szCs w:val="22"/>
        </w:rPr>
        <w:t>involved in a motor vehicle accident, in which she sustained damages for which the RAF was liable</w:t>
      </w:r>
      <w:r w:rsidR="00BB7007" w:rsidRPr="00FB1A8A">
        <w:rPr>
          <w:rFonts w:cs="Arial"/>
          <w:bCs/>
          <w:szCs w:val="22"/>
        </w:rPr>
        <w:t>. The settlement between the respondent’s representatives and the RAF under case number 44638/13, ordered the</w:t>
      </w:r>
      <w:r w:rsidR="00F32167" w:rsidRPr="00FB1A8A">
        <w:rPr>
          <w:rFonts w:cs="Arial"/>
          <w:bCs/>
          <w:szCs w:val="22"/>
        </w:rPr>
        <w:t xml:space="preserve"> RAF</w:t>
      </w:r>
      <w:r w:rsidR="00BB7007" w:rsidRPr="00FB1A8A">
        <w:rPr>
          <w:rFonts w:cs="Arial"/>
          <w:bCs/>
          <w:szCs w:val="22"/>
        </w:rPr>
        <w:t xml:space="preserve"> to pay an amount of R4 973 922.00 in full and final settlement of the respondent’s claim</w:t>
      </w:r>
      <w:r w:rsidR="00F32167" w:rsidRPr="00FB1A8A">
        <w:rPr>
          <w:rFonts w:cs="Arial"/>
          <w:bCs/>
          <w:szCs w:val="22"/>
        </w:rPr>
        <w:t xml:space="preserve">, into the </w:t>
      </w:r>
      <w:r w:rsidR="00BB7007" w:rsidRPr="00FB1A8A">
        <w:rPr>
          <w:rFonts w:cs="Arial"/>
          <w:bCs/>
          <w:szCs w:val="22"/>
        </w:rPr>
        <w:t xml:space="preserve">trust account of </w:t>
      </w:r>
      <w:r w:rsidR="00F32167" w:rsidRPr="00FB1A8A">
        <w:rPr>
          <w:rFonts w:cs="Arial"/>
          <w:bCs/>
          <w:szCs w:val="22"/>
        </w:rPr>
        <w:t xml:space="preserve">Ehlers Attorneys, </w:t>
      </w:r>
      <w:r w:rsidR="00BB7007" w:rsidRPr="00FB1A8A">
        <w:rPr>
          <w:rFonts w:cs="Arial"/>
          <w:bCs/>
          <w:szCs w:val="22"/>
        </w:rPr>
        <w:t>the respondent’s attorneys o</w:t>
      </w:r>
      <w:r w:rsidR="00F32167" w:rsidRPr="00FB1A8A">
        <w:rPr>
          <w:rFonts w:cs="Arial"/>
          <w:bCs/>
          <w:szCs w:val="22"/>
        </w:rPr>
        <w:t>f record in the trial action.</w:t>
      </w:r>
    </w:p>
    <w:p w14:paraId="3BA11918" w14:textId="42F3A584" w:rsidR="00BB7007" w:rsidRPr="00FB1A8A" w:rsidRDefault="00FB1A8A" w:rsidP="00FB1A8A">
      <w:pPr>
        <w:tabs>
          <w:tab w:val="left" w:pos="567"/>
        </w:tabs>
        <w:spacing w:before="480" w:after="480" w:line="480" w:lineRule="auto"/>
        <w:rPr>
          <w:rFonts w:cs="Arial"/>
          <w:bCs/>
          <w:szCs w:val="22"/>
        </w:rPr>
      </w:pPr>
      <w:r w:rsidRPr="00955D9C">
        <w:rPr>
          <w:rFonts w:cs="Arial"/>
          <w:bCs/>
          <w:szCs w:val="22"/>
        </w:rPr>
        <w:t>[13]</w:t>
      </w:r>
      <w:r w:rsidRPr="00955D9C">
        <w:rPr>
          <w:rFonts w:cs="Arial"/>
          <w:bCs/>
          <w:szCs w:val="22"/>
        </w:rPr>
        <w:tab/>
      </w:r>
      <w:r w:rsidR="00BB7007" w:rsidRPr="00FB1A8A">
        <w:rPr>
          <w:rFonts w:cs="Arial"/>
          <w:bCs/>
          <w:szCs w:val="22"/>
        </w:rPr>
        <w:t xml:space="preserve">In addition, the </w:t>
      </w:r>
      <w:r w:rsidR="00F32167" w:rsidRPr="00FB1A8A">
        <w:rPr>
          <w:rFonts w:cs="Arial"/>
          <w:bCs/>
          <w:szCs w:val="22"/>
        </w:rPr>
        <w:t>RA</w:t>
      </w:r>
      <w:r w:rsidR="00BB7007" w:rsidRPr="00FB1A8A">
        <w:rPr>
          <w:rFonts w:cs="Arial"/>
          <w:bCs/>
          <w:szCs w:val="22"/>
        </w:rPr>
        <w:t>F</w:t>
      </w:r>
      <w:r w:rsidR="00F32167" w:rsidRPr="00FB1A8A">
        <w:rPr>
          <w:rFonts w:cs="Arial"/>
          <w:bCs/>
          <w:szCs w:val="22"/>
        </w:rPr>
        <w:t xml:space="preserve"> </w:t>
      </w:r>
      <w:r w:rsidR="00BB7007" w:rsidRPr="00FB1A8A">
        <w:rPr>
          <w:rFonts w:cs="Arial"/>
          <w:bCs/>
          <w:szCs w:val="22"/>
        </w:rPr>
        <w:t>was ordered to furnish an undertaking for the payment of any future medical and associated costs incurred by the respondent as well as the costs of the establi</w:t>
      </w:r>
      <w:r w:rsidR="00FB5980" w:rsidRPr="00FB1A8A">
        <w:rPr>
          <w:rFonts w:cs="Arial"/>
          <w:bCs/>
          <w:szCs w:val="22"/>
        </w:rPr>
        <w:t>shment and administration of a t</w:t>
      </w:r>
      <w:r w:rsidR="00BB7007" w:rsidRPr="00FB1A8A">
        <w:rPr>
          <w:rFonts w:cs="Arial"/>
          <w:bCs/>
          <w:szCs w:val="22"/>
        </w:rPr>
        <w:t>rust</w:t>
      </w:r>
      <w:r w:rsidR="00FB5980" w:rsidRPr="00FB1A8A">
        <w:rPr>
          <w:rFonts w:cs="Arial"/>
          <w:bCs/>
          <w:szCs w:val="22"/>
        </w:rPr>
        <w:t>, the Stapelberg Investment Trust (‘the Trust’)</w:t>
      </w:r>
      <w:r w:rsidR="00BB7007" w:rsidRPr="00FB1A8A">
        <w:rPr>
          <w:rFonts w:cs="Arial"/>
          <w:bCs/>
          <w:szCs w:val="22"/>
        </w:rPr>
        <w:t xml:space="preserve"> to protect the award for the exclusive benefit of the respondent</w:t>
      </w:r>
      <w:r w:rsidR="00FB5980" w:rsidRPr="00FB1A8A">
        <w:rPr>
          <w:rFonts w:cs="Arial"/>
          <w:bCs/>
          <w:szCs w:val="22"/>
        </w:rPr>
        <w:t>, the sole beneficiary of the Trust</w:t>
      </w:r>
      <w:r w:rsidR="00BB7007" w:rsidRPr="00FB1A8A">
        <w:rPr>
          <w:rFonts w:cs="Arial"/>
          <w:bCs/>
          <w:szCs w:val="22"/>
        </w:rPr>
        <w:t xml:space="preserve">. The </w:t>
      </w:r>
      <w:r w:rsidR="00030237" w:rsidRPr="00FB1A8A">
        <w:rPr>
          <w:rFonts w:cs="Arial"/>
          <w:bCs/>
          <w:szCs w:val="22"/>
        </w:rPr>
        <w:t>RAF</w:t>
      </w:r>
      <w:r w:rsidR="00BB7007" w:rsidRPr="00FB1A8A">
        <w:rPr>
          <w:rFonts w:cs="Arial"/>
          <w:bCs/>
          <w:szCs w:val="22"/>
        </w:rPr>
        <w:t xml:space="preserve"> was ordered to pay the costs of the action.</w:t>
      </w:r>
    </w:p>
    <w:p w14:paraId="21BFB59F" w14:textId="4D509A70" w:rsidR="00D111D6" w:rsidRPr="00FB1A8A" w:rsidRDefault="00FB1A8A" w:rsidP="00FB1A8A">
      <w:pPr>
        <w:tabs>
          <w:tab w:val="left" w:pos="567"/>
        </w:tabs>
        <w:spacing w:before="480" w:after="480" w:line="480" w:lineRule="auto"/>
        <w:rPr>
          <w:rFonts w:cs="Arial"/>
          <w:bCs/>
          <w:szCs w:val="22"/>
        </w:rPr>
      </w:pPr>
      <w:r w:rsidRPr="00955D9C">
        <w:rPr>
          <w:rFonts w:cs="Arial"/>
          <w:bCs/>
          <w:szCs w:val="22"/>
        </w:rPr>
        <w:t>[14]</w:t>
      </w:r>
      <w:r w:rsidRPr="00955D9C">
        <w:rPr>
          <w:rFonts w:cs="Arial"/>
          <w:bCs/>
          <w:szCs w:val="22"/>
        </w:rPr>
        <w:tab/>
      </w:r>
      <w:r w:rsidR="00BB7007" w:rsidRPr="00FB1A8A">
        <w:rPr>
          <w:rFonts w:cs="Arial"/>
          <w:bCs/>
          <w:szCs w:val="22"/>
        </w:rPr>
        <w:t xml:space="preserve"> </w:t>
      </w:r>
      <w:r w:rsidR="001B5F9A" w:rsidRPr="00FB1A8A">
        <w:rPr>
          <w:rFonts w:cs="Arial"/>
          <w:bCs/>
          <w:szCs w:val="22"/>
        </w:rPr>
        <w:t xml:space="preserve">The respondent was represented by a curator </w:t>
      </w:r>
      <w:r w:rsidR="001B5F9A" w:rsidRPr="00FB1A8A">
        <w:rPr>
          <w:rFonts w:cs="Arial"/>
          <w:bCs/>
          <w:i/>
          <w:szCs w:val="22"/>
        </w:rPr>
        <w:t>ad litem</w:t>
      </w:r>
      <w:r w:rsidR="001B5F9A" w:rsidRPr="00FB1A8A">
        <w:rPr>
          <w:rFonts w:cs="Arial"/>
          <w:bCs/>
          <w:szCs w:val="22"/>
        </w:rPr>
        <w:t xml:space="preserve"> during the course of the </w:t>
      </w:r>
      <w:r w:rsidR="00FF69B5" w:rsidRPr="00FB1A8A">
        <w:rPr>
          <w:rFonts w:cs="Arial"/>
          <w:bCs/>
          <w:szCs w:val="22"/>
        </w:rPr>
        <w:t>trial, (‘</w:t>
      </w:r>
      <w:r w:rsidR="00030237" w:rsidRPr="00FB1A8A">
        <w:rPr>
          <w:rFonts w:cs="Arial"/>
          <w:bCs/>
          <w:szCs w:val="22"/>
        </w:rPr>
        <w:t xml:space="preserve">the </w:t>
      </w:r>
      <w:r w:rsidR="00FF69B5" w:rsidRPr="00FB1A8A">
        <w:rPr>
          <w:rFonts w:cs="Arial"/>
          <w:bCs/>
          <w:szCs w:val="22"/>
        </w:rPr>
        <w:t>curator’), who</w:t>
      </w:r>
      <w:r w:rsidR="00D111D6" w:rsidRPr="00FB1A8A">
        <w:rPr>
          <w:rFonts w:cs="Arial"/>
          <w:bCs/>
          <w:szCs w:val="22"/>
        </w:rPr>
        <w:t xml:space="preserve"> recommended th</w:t>
      </w:r>
      <w:r w:rsidR="00FF69B5" w:rsidRPr="00FB1A8A">
        <w:rPr>
          <w:rFonts w:cs="Arial"/>
          <w:bCs/>
          <w:szCs w:val="22"/>
        </w:rPr>
        <w:t>at</w:t>
      </w:r>
      <w:r w:rsidR="00F77E1E" w:rsidRPr="00FB1A8A">
        <w:rPr>
          <w:rFonts w:cs="Arial"/>
          <w:bCs/>
          <w:szCs w:val="22"/>
        </w:rPr>
        <w:t xml:space="preserve"> </w:t>
      </w:r>
      <w:r w:rsidR="00F32167" w:rsidRPr="00FB1A8A">
        <w:rPr>
          <w:rFonts w:cs="Arial"/>
          <w:bCs/>
          <w:szCs w:val="22"/>
        </w:rPr>
        <w:t xml:space="preserve">the award be paid into a trust. </w:t>
      </w:r>
      <w:r w:rsidR="00FF69B5" w:rsidRPr="00FB1A8A">
        <w:rPr>
          <w:rFonts w:cs="Arial"/>
          <w:bCs/>
          <w:szCs w:val="22"/>
        </w:rPr>
        <w:t>The curator</w:t>
      </w:r>
      <w:r w:rsidR="00D111D6" w:rsidRPr="00FB1A8A">
        <w:rPr>
          <w:rFonts w:cs="Arial"/>
          <w:bCs/>
          <w:szCs w:val="22"/>
        </w:rPr>
        <w:t xml:space="preserve"> </w:t>
      </w:r>
      <w:r w:rsidR="00F0738F" w:rsidRPr="00FB1A8A">
        <w:rPr>
          <w:rFonts w:cs="Arial"/>
          <w:bCs/>
          <w:szCs w:val="22"/>
        </w:rPr>
        <w:t xml:space="preserve">recommended the </w:t>
      </w:r>
      <w:r w:rsidR="00D111D6" w:rsidRPr="00FB1A8A">
        <w:rPr>
          <w:rFonts w:cs="Arial"/>
          <w:bCs/>
          <w:szCs w:val="22"/>
        </w:rPr>
        <w:t>appointment of the</w:t>
      </w:r>
      <w:r w:rsidR="00F32167" w:rsidRPr="00FB1A8A">
        <w:rPr>
          <w:rFonts w:cs="Arial"/>
          <w:bCs/>
          <w:szCs w:val="22"/>
        </w:rPr>
        <w:t xml:space="preserve"> appellants as trustees as </w:t>
      </w:r>
      <w:r w:rsidR="00D111D6" w:rsidRPr="00FB1A8A">
        <w:rPr>
          <w:rFonts w:cs="Arial"/>
          <w:bCs/>
          <w:szCs w:val="22"/>
        </w:rPr>
        <w:t>they possessed the necessary experience</w:t>
      </w:r>
      <w:r w:rsidR="005064EF" w:rsidRPr="00FB1A8A">
        <w:rPr>
          <w:rFonts w:cs="Arial"/>
          <w:bCs/>
          <w:szCs w:val="22"/>
        </w:rPr>
        <w:t xml:space="preserve"> and could provide the</w:t>
      </w:r>
      <w:r w:rsidR="00F0738F" w:rsidRPr="00FB1A8A">
        <w:rPr>
          <w:rFonts w:cs="Arial"/>
          <w:bCs/>
          <w:szCs w:val="22"/>
        </w:rPr>
        <w:t xml:space="preserve"> required</w:t>
      </w:r>
      <w:r w:rsidR="005064EF" w:rsidRPr="00FB1A8A">
        <w:rPr>
          <w:rFonts w:cs="Arial"/>
          <w:bCs/>
          <w:szCs w:val="22"/>
        </w:rPr>
        <w:t xml:space="preserve"> security, which they did</w:t>
      </w:r>
      <w:r w:rsidR="00F0738F" w:rsidRPr="00FB1A8A">
        <w:rPr>
          <w:rFonts w:cs="Arial"/>
          <w:bCs/>
          <w:szCs w:val="22"/>
        </w:rPr>
        <w:t xml:space="preserve">. The trustees furnished a </w:t>
      </w:r>
      <w:r w:rsidR="00D111D6" w:rsidRPr="00FB1A8A">
        <w:rPr>
          <w:rFonts w:cs="Arial"/>
          <w:bCs/>
          <w:szCs w:val="22"/>
        </w:rPr>
        <w:t>security bond and the first appellant signed personal suretyship</w:t>
      </w:r>
      <w:r w:rsidR="00955D9C" w:rsidRPr="00FB1A8A">
        <w:rPr>
          <w:rFonts w:cs="Arial"/>
          <w:bCs/>
          <w:szCs w:val="22"/>
        </w:rPr>
        <w:t>.</w:t>
      </w:r>
    </w:p>
    <w:p w14:paraId="133665ED" w14:textId="42140048" w:rsidR="00E70E33" w:rsidRPr="00FB1A8A" w:rsidRDefault="00FB1A8A" w:rsidP="00FB1A8A">
      <w:pPr>
        <w:tabs>
          <w:tab w:val="left" w:pos="567"/>
        </w:tabs>
        <w:spacing w:before="480" w:after="480" w:line="480" w:lineRule="auto"/>
        <w:rPr>
          <w:rFonts w:cs="Arial"/>
          <w:bCs/>
          <w:szCs w:val="22"/>
        </w:rPr>
      </w:pPr>
      <w:r w:rsidRPr="00210B76">
        <w:rPr>
          <w:rFonts w:cs="Arial"/>
          <w:bCs/>
          <w:szCs w:val="22"/>
        </w:rPr>
        <w:t>[15]</w:t>
      </w:r>
      <w:r w:rsidRPr="00210B76">
        <w:rPr>
          <w:rFonts w:cs="Arial"/>
          <w:bCs/>
          <w:szCs w:val="22"/>
        </w:rPr>
        <w:tab/>
      </w:r>
      <w:r w:rsidR="00E70E33" w:rsidRPr="00FB1A8A">
        <w:rPr>
          <w:rFonts w:cs="Arial"/>
          <w:bCs/>
          <w:szCs w:val="22"/>
        </w:rPr>
        <w:t xml:space="preserve">The respondent launched the application </w:t>
      </w:r>
      <w:r w:rsidR="00E70E33" w:rsidRPr="00FB1A8A">
        <w:rPr>
          <w:rFonts w:cs="Arial"/>
          <w:bCs/>
          <w:i/>
          <w:szCs w:val="22"/>
        </w:rPr>
        <w:t>a quo</w:t>
      </w:r>
      <w:r w:rsidR="00E70E33" w:rsidRPr="00FB1A8A">
        <w:rPr>
          <w:rFonts w:cs="Arial"/>
          <w:bCs/>
          <w:szCs w:val="22"/>
        </w:rPr>
        <w:t xml:space="preserve"> allegedly due to a lack of adequate accounting on the part of the appellants, a potential conflict of interest between the appellants and the Trust and negligent conduct on the part of the appellants. The respondent claimed that the trustees be removed an</w:t>
      </w:r>
      <w:r w:rsidR="00032D16" w:rsidRPr="00FB1A8A">
        <w:rPr>
          <w:rFonts w:cs="Arial"/>
          <w:bCs/>
          <w:szCs w:val="22"/>
        </w:rPr>
        <w:t xml:space="preserve">d that the Trust be </w:t>
      </w:r>
      <w:r w:rsidR="00E70E33" w:rsidRPr="00FB1A8A">
        <w:rPr>
          <w:rFonts w:cs="Arial"/>
          <w:bCs/>
          <w:szCs w:val="22"/>
        </w:rPr>
        <w:t>terminated.</w:t>
      </w:r>
    </w:p>
    <w:p w14:paraId="70D5819E" w14:textId="71474260" w:rsidR="00AB3BBB" w:rsidRPr="00FB1A8A" w:rsidRDefault="00FB1A8A" w:rsidP="00FB1A8A">
      <w:pPr>
        <w:tabs>
          <w:tab w:val="left" w:pos="567"/>
        </w:tabs>
        <w:spacing w:before="480" w:after="480" w:line="480" w:lineRule="auto"/>
        <w:rPr>
          <w:rFonts w:cs="Arial"/>
          <w:bCs/>
          <w:szCs w:val="22"/>
        </w:rPr>
      </w:pPr>
      <w:r>
        <w:rPr>
          <w:rFonts w:cs="Arial"/>
          <w:bCs/>
          <w:szCs w:val="22"/>
        </w:rPr>
        <w:t>[16]</w:t>
      </w:r>
      <w:r>
        <w:rPr>
          <w:rFonts w:cs="Arial"/>
          <w:bCs/>
          <w:szCs w:val="22"/>
        </w:rPr>
        <w:tab/>
      </w:r>
      <w:r w:rsidR="00DD5400" w:rsidRPr="00FB1A8A">
        <w:rPr>
          <w:rFonts w:cs="Arial"/>
          <w:bCs/>
          <w:szCs w:val="22"/>
        </w:rPr>
        <w:t>T</w:t>
      </w:r>
      <w:r w:rsidR="00D5532C" w:rsidRPr="00FB1A8A">
        <w:rPr>
          <w:rFonts w:cs="Arial"/>
          <w:bCs/>
          <w:szCs w:val="22"/>
        </w:rPr>
        <w:t>he court a qu</w:t>
      </w:r>
      <w:r w:rsidR="00DD5400" w:rsidRPr="00FB1A8A">
        <w:rPr>
          <w:rFonts w:cs="Arial"/>
          <w:bCs/>
          <w:szCs w:val="22"/>
        </w:rPr>
        <w:t>o ordered the</w:t>
      </w:r>
      <w:r w:rsidR="00D5532C" w:rsidRPr="00FB1A8A">
        <w:rPr>
          <w:rFonts w:cs="Arial"/>
          <w:bCs/>
          <w:szCs w:val="22"/>
        </w:rPr>
        <w:t xml:space="preserve"> termination of the Trust</w:t>
      </w:r>
      <w:r w:rsidR="00DD5400" w:rsidRPr="00FB1A8A">
        <w:rPr>
          <w:rFonts w:cs="Arial"/>
          <w:bCs/>
          <w:szCs w:val="22"/>
        </w:rPr>
        <w:t xml:space="preserve"> in terms of s 13 of the </w:t>
      </w:r>
      <w:r w:rsidR="005016AB" w:rsidRPr="00FB1A8A">
        <w:rPr>
          <w:rFonts w:cs="Arial"/>
          <w:bCs/>
          <w:szCs w:val="22"/>
        </w:rPr>
        <w:t>Trust Property Control Act 57 of 1988 (‘the Trust Act’), (effectively dismissing</w:t>
      </w:r>
      <w:r w:rsidR="00DD5400" w:rsidRPr="00FB1A8A">
        <w:rPr>
          <w:rFonts w:cs="Arial"/>
          <w:bCs/>
          <w:szCs w:val="22"/>
        </w:rPr>
        <w:t xml:space="preserve"> the appellants as trustees</w:t>
      </w:r>
      <w:r w:rsidR="005016AB" w:rsidRPr="00FB1A8A">
        <w:rPr>
          <w:rFonts w:cs="Arial"/>
          <w:bCs/>
          <w:szCs w:val="22"/>
        </w:rPr>
        <w:t xml:space="preserve"> in terms of s 20 of the Trust Act)</w:t>
      </w:r>
      <w:r w:rsidR="00DD5400" w:rsidRPr="00FB1A8A">
        <w:rPr>
          <w:rFonts w:cs="Arial"/>
          <w:bCs/>
          <w:szCs w:val="22"/>
        </w:rPr>
        <w:t xml:space="preserve">, </w:t>
      </w:r>
      <w:r w:rsidR="00F0738F" w:rsidRPr="00FB1A8A">
        <w:rPr>
          <w:rFonts w:cs="Arial"/>
          <w:bCs/>
          <w:szCs w:val="22"/>
        </w:rPr>
        <w:t>that the</w:t>
      </w:r>
      <w:r w:rsidR="00DD5400" w:rsidRPr="00FB1A8A">
        <w:rPr>
          <w:rFonts w:cs="Arial"/>
          <w:bCs/>
          <w:szCs w:val="22"/>
        </w:rPr>
        <w:t xml:space="preserve"> proceeds of the Trust</w:t>
      </w:r>
      <w:r w:rsidR="00F0738F" w:rsidRPr="00FB1A8A">
        <w:rPr>
          <w:rFonts w:cs="Arial"/>
          <w:bCs/>
          <w:szCs w:val="22"/>
        </w:rPr>
        <w:t xml:space="preserve"> be paid into the respon</w:t>
      </w:r>
      <w:r w:rsidR="00E70E33" w:rsidRPr="00FB1A8A">
        <w:rPr>
          <w:rFonts w:cs="Arial"/>
          <w:bCs/>
          <w:szCs w:val="22"/>
        </w:rPr>
        <w:t xml:space="preserve">dent’s attorney’s trust account, that he create a trust </w:t>
      </w:r>
      <w:r w:rsidR="00E70E33" w:rsidRPr="00FB1A8A">
        <w:rPr>
          <w:rFonts w:cs="Arial"/>
          <w:bCs/>
          <w:i/>
          <w:szCs w:val="22"/>
        </w:rPr>
        <w:t xml:space="preserve">inter vivos </w:t>
      </w:r>
      <w:r w:rsidR="00E70E33" w:rsidRPr="00FB1A8A">
        <w:rPr>
          <w:rFonts w:cs="Arial"/>
          <w:bCs/>
          <w:szCs w:val="22"/>
        </w:rPr>
        <w:t>in terms of the order dated 19 November 2014 handed down by the Gauteng Division under case number 54196/14 (‘the RAF order’).</w:t>
      </w:r>
    </w:p>
    <w:p w14:paraId="14FF5FF8" w14:textId="577978B0" w:rsidR="005016AB" w:rsidRPr="00FB1A8A" w:rsidRDefault="00FB1A8A" w:rsidP="00FB1A8A">
      <w:pPr>
        <w:tabs>
          <w:tab w:val="left" w:pos="567"/>
        </w:tabs>
        <w:spacing w:before="480" w:after="480" w:line="480" w:lineRule="auto"/>
        <w:rPr>
          <w:rFonts w:cs="Arial"/>
          <w:bCs/>
          <w:szCs w:val="22"/>
        </w:rPr>
      </w:pPr>
      <w:r w:rsidRPr="00AB3BBB">
        <w:rPr>
          <w:rFonts w:cs="Arial"/>
          <w:bCs/>
          <w:szCs w:val="22"/>
        </w:rPr>
        <w:t>[17]</w:t>
      </w:r>
      <w:r w:rsidRPr="00AB3BBB">
        <w:rPr>
          <w:rFonts w:cs="Arial"/>
          <w:bCs/>
          <w:szCs w:val="22"/>
        </w:rPr>
        <w:tab/>
      </w:r>
      <w:r w:rsidR="00E70E33" w:rsidRPr="00FB1A8A">
        <w:rPr>
          <w:rFonts w:cs="Arial"/>
          <w:bCs/>
          <w:szCs w:val="22"/>
        </w:rPr>
        <w:t xml:space="preserve">Furthermore, the court </w:t>
      </w:r>
      <w:r w:rsidR="00E70E33" w:rsidRPr="00FB1A8A">
        <w:rPr>
          <w:rFonts w:cs="Arial"/>
          <w:bCs/>
          <w:i/>
          <w:szCs w:val="22"/>
        </w:rPr>
        <w:t>a quo</w:t>
      </w:r>
      <w:r w:rsidR="00E70E33" w:rsidRPr="00FB1A8A">
        <w:rPr>
          <w:rFonts w:cs="Arial"/>
          <w:bCs/>
          <w:szCs w:val="22"/>
        </w:rPr>
        <w:t xml:space="preserve"> permitted the respondent to claim relief consequential on the outcome of the accounting and that the appellants be ordered to pay the costs of the application </w:t>
      </w:r>
      <w:r w:rsidR="00E70E33" w:rsidRPr="00FB1A8A">
        <w:rPr>
          <w:rFonts w:cs="Arial"/>
          <w:bCs/>
          <w:i/>
          <w:szCs w:val="22"/>
        </w:rPr>
        <w:t xml:space="preserve">de bonis propriis </w:t>
      </w:r>
      <w:r w:rsidR="00E70E33" w:rsidRPr="00FB1A8A">
        <w:rPr>
          <w:rFonts w:cs="Arial"/>
          <w:bCs/>
          <w:szCs w:val="22"/>
        </w:rPr>
        <w:t>including indemnification of the Trust for expenses incurred by the appellants themselves or in their official capacities in opposing the litigation</w:t>
      </w:r>
      <w:r w:rsidR="00032D16" w:rsidRPr="00FB1A8A">
        <w:rPr>
          <w:rFonts w:cs="Arial"/>
          <w:bCs/>
          <w:szCs w:val="22"/>
        </w:rPr>
        <w:t>.</w:t>
      </w:r>
    </w:p>
    <w:p w14:paraId="584230B6" w14:textId="0FF0E1C2" w:rsidR="00BD40F6" w:rsidRPr="00FB1A8A" w:rsidRDefault="00FB1A8A" w:rsidP="00FB1A8A">
      <w:pPr>
        <w:tabs>
          <w:tab w:val="left" w:pos="567"/>
        </w:tabs>
        <w:spacing w:before="480" w:after="480" w:line="480" w:lineRule="auto"/>
        <w:rPr>
          <w:rFonts w:cs="Arial"/>
          <w:bCs/>
          <w:szCs w:val="22"/>
        </w:rPr>
      </w:pPr>
      <w:r w:rsidRPr="001370B5">
        <w:rPr>
          <w:rFonts w:cs="Arial"/>
          <w:bCs/>
          <w:szCs w:val="22"/>
        </w:rPr>
        <w:t>[18]</w:t>
      </w:r>
      <w:r w:rsidRPr="001370B5">
        <w:rPr>
          <w:rFonts w:cs="Arial"/>
          <w:bCs/>
          <w:szCs w:val="22"/>
        </w:rPr>
        <w:tab/>
      </w:r>
      <w:r w:rsidR="00E70E33" w:rsidRPr="00FB1A8A">
        <w:rPr>
          <w:rFonts w:cs="Arial"/>
          <w:bCs/>
          <w:szCs w:val="22"/>
        </w:rPr>
        <w:t xml:space="preserve">Three issues arose for determination between us; the court a quo’s termination of the Trust and the consequent dismissal / replacement of the appellants as trustees, whether the appellants failed to account adequately to the respondent and the costs of the proceedings </w:t>
      </w:r>
      <w:r w:rsidR="00E70E33" w:rsidRPr="00FB1A8A">
        <w:rPr>
          <w:rFonts w:cs="Arial"/>
          <w:bCs/>
          <w:i/>
          <w:szCs w:val="22"/>
        </w:rPr>
        <w:t>a quo</w:t>
      </w:r>
      <w:r w:rsidR="00E70E33" w:rsidRPr="00FB1A8A">
        <w:rPr>
          <w:rFonts w:cs="Arial"/>
          <w:bCs/>
          <w:szCs w:val="22"/>
        </w:rPr>
        <w:t xml:space="preserve"> and the appeal. </w:t>
      </w:r>
      <w:r w:rsidR="00E70E33" w:rsidRPr="00FB1A8A">
        <w:rPr>
          <w:rFonts w:cs="Arial"/>
          <w:bCs/>
          <w:i/>
          <w:szCs w:val="22"/>
        </w:rPr>
        <w:t xml:space="preserve"> </w:t>
      </w:r>
    </w:p>
    <w:p w14:paraId="0F258456" w14:textId="44B06144" w:rsidR="00DB2252" w:rsidRPr="00FB1A8A" w:rsidRDefault="00FB1A8A" w:rsidP="00FB1A8A">
      <w:pPr>
        <w:tabs>
          <w:tab w:val="left" w:pos="567"/>
        </w:tabs>
        <w:spacing w:before="480" w:after="480" w:line="480" w:lineRule="auto"/>
        <w:rPr>
          <w:rFonts w:cs="Arial"/>
          <w:bCs/>
          <w:szCs w:val="22"/>
        </w:rPr>
      </w:pPr>
      <w:r>
        <w:rPr>
          <w:rFonts w:cs="Arial"/>
          <w:bCs/>
          <w:szCs w:val="22"/>
        </w:rPr>
        <w:t>[19]</w:t>
      </w:r>
      <w:r>
        <w:rPr>
          <w:rFonts w:cs="Arial"/>
          <w:bCs/>
          <w:szCs w:val="22"/>
        </w:rPr>
        <w:tab/>
      </w:r>
      <w:r w:rsidR="00DB2252" w:rsidRPr="00FB1A8A">
        <w:rPr>
          <w:rFonts w:cs="Arial"/>
          <w:bCs/>
          <w:szCs w:val="22"/>
        </w:rPr>
        <w:t xml:space="preserve">The respondent categorised her concerns in </w:t>
      </w:r>
      <w:r w:rsidR="00D511FF" w:rsidRPr="00FB1A8A">
        <w:rPr>
          <w:rFonts w:cs="Arial"/>
          <w:bCs/>
          <w:szCs w:val="22"/>
        </w:rPr>
        <w:t>respect of the Trust, the trustees and their administration of the Trust funds into three broad categories:</w:t>
      </w:r>
    </w:p>
    <w:p w14:paraId="360AC2E9" w14:textId="7A81E927" w:rsidR="00D511FF" w:rsidRPr="00FB1A8A" w:rsidRDefault="00FB1A8A" w:rsidP="00FB1A8A">
      <w:pPr>
        <w:tabs>
          <w:tab w:val="left" w:pos="1418"/>
        </w:tabs>
        <w:spacing w:before="480" w:after="480" w:line="480" w:lineRule="auto"/>
        <w:ind w:left="1418" w:hanging="851"/>
        <w:rPr>
          <w:rFonts w:cs="Arial"/>
          <w:bCs/>
          <w:szCs w:val="22"/>
        </w:rPr>
      </w:pPr>
      <w:r>
        <w:rPr>
          <w:rFonts w:cs="Arial"/>
          <w:bCs/>
          <w:szCs w:val="22"/>
        </w:rPr>
        <w:t>19.1</w:t>
      </w:r>
      <w:r>
        <w:rPr>
          <w:rFonts w:cs="Arial"/>
          <w:bCs/>
          <w:szCs w:val="22"/>
        </w:rPr>
        <w:tab/>
      </w:r>
      <w:r w:rsidR="00D511FF" w:rsidRPr="00FB1A8A">
        <w:rPr>
          <w:rFonts w:cs="Arial"/>
          <w:bCs/>
          <w:szCs w:val="22"/>
        </w:rPr>
        <w:t xml:space="preserve">That she had not received all the </w:t>
      </w:r>
      <w:r w:rsidR="007C0DE3" w:rsidRPr="00FB1A8A">
        <w:rPr>
          <w:rFonts w:cs="Arial"/>
          <w:bCs/>
          <w:szCs w:val="22"/>
        </w:rPr>
        <w:t>funds due to her under the RAF</w:t>
      </w:r>
      <w:r w:rsidR="00463E94" w:rsidRPr="00FB1A8A">
        <w:rPr>
          <w:rFonts w:cs="Arial"/>
          <w:bCs/>
          <w:szCs w:val="22"/>
        </w:rPr>
        <w:t xml:space="preserve"> order and that the trustees had</w:t>
      </w:r>
      <w:r w:rsidR="00D511FF" w:rsidRPr="00FB1A8A">
        <w:rPr>
          <w:rFonts w:cs="Arial"/>
          <w:bCs/>
          <w:szCs w:val="22"/>
        </w:rPr>
        <w:t xml:space="preserve"> failed to investigate that issue;</w:t>
      </w:r>
    </w:p>
    <w:p w14:paraId="47395731" w14:textId="131934C7" w:rsidR="00D511FF" w:rsidRPr="00FB1A8A" w:rsidRDefault="00FB1A8A" w:rsidP="00FB1A8A">
      <w:pPr>
        <w:tabs>
          <w:tab w:val="left" w:pos="1418"/>
        </w:tabs>
        <w:spacing w:before="480" w:after="480" w:line="480" w:lineRule="auto"/>
        <w:ind w:left="1418" w:hanging="851"/>
        <w:rPr>
          <w:rFonts w:cs="Arial"/>
          <w:bCs/>
          <w:szCs w:val="22"/>
        </w:rPr>
      </w:pPr>
      <w:r>
        <w:rPr>
          <w:rFonts w:cs="Arial"/>
          <w:bCs/>
          <w:szCs w:val="22"/>
        </w:rPr>
        <w:t>19.2</w:t>
      </w:r>
      <w:r>
        <w:rPr>
          <w:rFonts w:cs="Arial"/>
          <w:bCs/>
          <w:szCs w:val="22"/>
        </w:rPr>
        <w:tab/>
      </w:r>
      <w:r w:rsidR="00D511FF" w:rsidRPr="00FB1A8A">
        <w:rPr>
          <w:rFonts w:cs="Arial"/>
          <w:bCs/>
          <w:szCs w:val="22"/>
        </w:rPr>
        <w:t xml:space="preserve">That the trustees were not claiming the administration costs and medical expenses from the </w:t>
      </w:r>
      <w:r w:rsidR="007C0DE3" w:rsidRPr="00FB1A8A">
        <w:rPr>
          <w:rFonts w:cs="Arial"/>
          <w:bCs/>
          <w:szCs w:val="22"/>
        </w:rPr>
        <w:t>RAF</w:t>
      </w:r>
      <w:r w:rsidR="00D511FF" w:rsidRPr="00FB1A8A">
        <w:rPr>
          <w:rFonts w:cs="Arial"/>
          <w:bCs/>
          <w:szCs w:val="22"/>
        </w:rPr>
        <w:t>, in effect not claiming the money due to the respondent from the RAF;</w:t>
      </w:r>
      <w:r w:rsidR="007C0DE3" w:rsidRPr="00FB1A8A">
        <w:rPr>
          <w:rFonts w:cs="Arial"/>
          <w:bCs/>
          <w:szCs w:val="22"/>
        </w:rPr>
        <w:t xml:space="preserve"> and </w:t>
      </w:r>
    </w:p>
    <w:p w14:paraId="6BC8C1F5" w14:textId="6B718893" w:rsidR="00D511FF" w:rsidRPr="00FB1A8A" w:rsidRDefault="00FB1A8A" w:rsidP="00FB1A8A">
      <w:pPr>
        <w:tabs>
          <w:tab w:val="left" w:pos="1418"/>
        </w:tabs>
        <w:spacing w:before="480" w:after="480" w:line="480" w:lineRule="auto"/>
        <w:ind w:left="1418" w:hanging="851"/>
        <w:rPr>
          <w:rFonts w:cs="Arial"/>
          <w:bCs/>
          <w:szCs w:val="22"/>
        </w:rPr>
      </w:pPr>
      <w:r>
        <w:rPr>
          <w:rFonts w:cs="Arial"/>
          <w:bCs/>
          <w:szCs w:val="22"/>
        </w:rPr>
        <w:t>19.3</w:t>
      </w:r>
      <w:r>
        <w:rPr>
          <w:rFonts w:cs="Arial"/>
          <w:bCs/>
          <w:szCs w:val="22"/>
        </w:rPr>
        <w:tab/>
      </w:r>
      <w:r w:rsidR="00D511FF" w:rsidRPr="00FB1A8A">
        <w:rPr>
          <w:rFonts w:cs="Arial"/>
          <w:bCs/>
          <w:szCs w:val="22"/>
        </w:rPr>
        <w:t>Th</w:t>
      </w:r>
      <w:r w:rsidR="007C0DE3" w:rsidRPr="00FB1A8A">
        <w:rPr>
          <w:rFonts w:cs="Arial"/>
          <w:bCs/>
          <w:szCs w:val="22"/>
        </w:rPr>
        <w:t>at th</w:t>
      </w:r>
      <w:r w:rsidR="00D511FF" w:rsidRPr="00FB1A8A">
        <w:rPr>
          <w:rFonts w:cs="Arial"/>
          <w:bCs/>
          <w:szCs w:val="22"/>
        </w:rPr>
        <w:t>e responden</w:t>
      </w:r>
      <w:r w:rsidR="00463E94" w:rsidRPr="00FB1A8A">
        <w:rPr>
          <w:rFonts w:cs="Arial"/>
          <w:bCs/>
          <w:szCs w:val="22"/>
        </w:rPr>
        <w:t>t did not know if the trustees we</w:t>
      </w:r>
      <w:r w:rsidR="00D511FF" w:rsidRPr="00FB1A8A">
        <w:rPr>
          <w:rFonts w:cs="Arial"/>
          <w:bCs/>
          <w:szCs w:val="22"/>
        </w:rPr>
        <w:t xml:space="preserve">re acting in the </w:t>
      </w:r>
      <w:r w:rsidR="00463E94" w:rsidRPr="00FB1A8A">
        <w:rPr>
          <w:rFonts w:cs="Arial"/>
          <w:bCs/>
          <w:szCs w:val="22"/>
        </w:rPr>
        <w:t xml:space="preserve">Trust’s </w:t>
      </w:r>
      <w:r w:rsidR="00131AA9" w:rsidRPr="00FB1A8A">
        <w:rPr>
          <w:rFonts w:cs="Arial"/>
          <w:bCs/>
          <w:szCs w:val="22"/>
        </w:rPr>
        <w:t>best interests and expressed concern</w:t>
      </w:r>
      <w:r w:rsidR="00D511FF" w:rsidRPr="00FB1A8A">
        <w:rPr>
          <w:rFonts w:cs="Arial"/>
          <w:bCs/>
          <w:szCs w:val="22"/>
        </w:rPr>
        <w:t xml:space="preserve"> that the trustees’ position with regard to</w:t>
      </w:r>
      <w:r w:rsidR="00131AA9" w:rsidRPr="00FB1A8A">
        <w:rPr>
          <w:rFonts w:cs="Arial"/>
          <w:bCs/>
          <w:szCs w:val="22"/>
        </w:rPr>
        <w:t xml:space="preserve"> the Trust might </w:t>
      </w:r>
      <w:r w:rsidR="00D511FF" w:rsidRPr="00FB1A8A">
        <w:rPr>
          <w:rFonts w:cs="Arial"/>
          <w:bCs/>
          <w:szCs w:val="22"/>
        </w:rPr>
        <w:t>lead to a</w:t>
      </w:r>
      <w:r w:rsidR="00270D64" w:rsidRPr="00FB1A8A">
        <w:rPr>
          <w:rFonts w:cs="Arial"/>
          <w:bCs/>
          <w:szCs w:val="22"/>
        </w:rPr>
        <w:t xml:space="preserve"> conflict of interest</w:t>
      </w:r>
      <w:r w:rsidR="00D511FF" w:rsidRPr="00FB1A8A">
        <w:rPr>
          <w:rFonts w:cs="Arial"/>
          <w:bCs/>
          <w:szCs w:val="22"/>
        </w:rPr>
        <w:t xml:space="preserve"> </w:t>
      </w:r>
      <w:r w:rsidR="00270D64" w:rsidRPr="00FB1A8A">
        <w:rPr>
          <w:rFonts w:cs="Arial"/>
          <w:bCs/>
          <w:szCs w:val="22"/>
        </w:rPr>
        <w:t xml:space="preserve">that </w:t>
      </w:r>
      <w:r w:rsidR="007C0DE3" w:rsidRPr="00FB1A8A">
        <w:rPr>
          <w:rFonts w:cs="Arial"/>
          <w:bCs/>
          <w:szCs w:val="22"/>
        </w:rPr>
        <w:t>would impede the</w:t>
      </w:r>
      <w:r w:rsidR="00270D64" w:rsidRPr="00FB1A8A">
        <w:rPr>
          <w:rFonts w:cs="Arial"/>
          <w:bCs/>
          <w:szCs w:val="22"/>
        </w:rPr>
        <w:t xml:space="preserve"> administ</w:t>
      </w:r>
      <w:r w:rsidR="007C0DE3" w:rsidRPr="00FB1A8A">
        <w:rPr>
          <w:rFonts w:cs="Arial"/>
          <w:bCs/>
          <w:szCs w:val="22"/>
        </w:rPr>
        <w:t>ration of the Trust to</w:t>
      </w:r>
      <w:r w:rsidR="00D511FF" w:rsidRPr="00FB1A8A">
        <w:rPr>
          <w:rFonts w:cs="Arial"/>
          <w:bCs/>
          <w:szCs w:val="22"/>
        </w:rPr>
        <w:t xml:space="preserve"> the</w:t>
      </w:r>
      <w:r w:rsidR="007C0DE3" w:rsidRPr="00FB1A8A">
        <w:rPr>
          <w:rFonts w:cs="Arial"/>
          <w:bCs/>
          <w:szCs w:val="22"/>
        </w:rPr>
        <w:t xml:space="preserve"> respondent’s </w:t>
      </w:r>
      <w:r w:rsidR="00270D64" w:rsidRPr="00FB1A8A">
        <w:rPr>
          <w:rFonts w:cs="Arial"/>
          <w:bCs/>
          <w:szCs w:val="22"/>
        </w:rPr>
        <w:t>benefit.</w:t>
      </w:r>
    </w:p>
    <w:p w14:paraId="48F93600" w14:textId="16ED7DBF" w:rsidR="00D511FF" w:rsidRPr="00FB1A8A" w:rsidRDefault="00FB1A8A" w:rsidP="00FB1A8A">
      <w:pPr>
        <w:tabs>
          <w:tab w:val="left" w:pos="567"/>
        </w:tabs>
        <w:spacing w:before="480" w:after="480" w:line="480" w:lineRule="auto"/>
        <w:rPr>
          <w:rFonts w:cs="Arial"/>
          <w:bCs/>
          <w:szCs w:val="22"/>
        </w:rPr>
      </w:pPr>
      <w:r>
        <w:rPr>
          <w:rFonts w:cs="Arial"/>
          <w:bCs/>
          <w:szCs w:val="22"/>
        </w:rPr>
        <w:t>[20]</w:t>
      </w:r>
      <w:r>
        <w:rPr>
          <w:rFonts w:cs="Arial"/>
          <w:bCs/>
          <w:szCs w:val="22"/>
        </w:rPr>
        <w:tab/>
      </w:r>
      <w:r w:rsidR="007C0DE3" w:rsidRPr="00FB1A8A">
        <w:rPr>
          <w:rFonts w:cs="Arial"/>
          <w:bCs/>
          <w:szCs w:val="22"/>
        </w:rPr>
        <w:t>Furthermore, the respondent alleged th</w:t>
      </w:r>
      <w:r w:rsidR="00D511FF" w:rsidRPr="00FB1A8A">
        <w:rPr>
          <w:rFonts w:cs="Arial"/>
          <w:bCs/>
          <w:szCs w:val="22"/>
        </w:rPr>
        <w:t>at the Trust d</w:t>
      </w:r>
      <w:r w:rsidR="00463E94" w:rsidRPr="00FB1A8A">
        <w:rPr>
          <w:rFonts w:cs="Arial"/>
          <w:bCs/>
          <w:szCs w:val="22"/>
        </w:rPr>
        <w:t xml:space="preserve">eed did not give effect </w:t>
      </w:r>
      <w:r w:rsidR="007C0DE3" w:rsidRPr="00FB1A8A">
        <w:rPr>
          <w:rFonts w:cs="Arial"/>
          <w:bCs/>
          <w:szCs w:val="22"/>
        </w:rPr>
        <w:t xml:space="preserve">to the RAF </w:t>
      </w:r>
      <w:r w:rsidR="00D511FF" w:rsidRPr="00FB1A8A">
        <w:rPr>
          <w:rFonts w:cs="Arial"/>
          <w:bCs/>
          <w:szCs w:val="22"/>
        </w:rPr>
        <w:t>order and prejudiced the respondent’s in</w:t>
      </w:r>
      <w:r w:rsidR="000E14C8" w:rsidRPr="00FB1A8A">
        <w:rPr>
          <w:rFonts w:cs="Arial"/>
          <w:bCs/>
          <w:szCs w:val="22"/>
        </w:rPr>
        <w:t>terests in the Trust such</w:t>
      </w:r>
      <w:r w:rsidR="00D511FF" w:rsidRPr="00FB1A8A">
        <w:rPr>
          <w:rFonts w:cs="Arial"/>
          <w:bCs/>
          <w:szCs w:val="22"/>
        </w:rPr>
        <w:t xml:space="preserve"> that the Trust had to be terminated. </w:t>
      </w:r>
    </w:p>
    <w:p w14:paraId="0E89244A" w14:textId="45F7351E" w:rsidR="000E14C8" w:rsidRPr="00FB1A8A" w:rsidRDefault="00FB1A8A" w:rsidP="00FB1A8A">
      <w:pPr>
        <w:tabs>
          <w:tab w:val="left" w:pos="567"/>
        </w:tabs>
        <w:spacing w:before="480" w:after="480" w:line="480" w:lineRule="auto"/>
        <w:rPr>
          <w:rFonts w:cs="Arial"/>
          <w:bCs/>
          <w:szCs w:val="22"/>
        </w:rPr>
      </w:pPr>
      <w:r w:rsidRPr="000E14C8">
        <w:rPr>
          <w:rFonts w:cs="Arial"/>
          <w:bCs/>
          <w:szCs w:val="22"/>
        </w:rPr>
        <w:t>[21]</w:t>
      </w:r>
      <w:r w:rsidRPr="000E14C8">
        <w:rPr>
          <w:rFonts w:cs="Arial"/>
          <w:bCs/>
          <w:szCs w:val="22"/>
        </w:rPr>
        <w:tab/>
      </w:r>
      <w:r w:rsidR="000E14C8" w:rsidRPr="00FB1A8A">
        <w:rPr>
          <w:rFonts w:cs="Arial"/>
          <w:bCs/>
          <w:szCs w:val="22"/>
        </w:rPr>
        <w:t>Counsel for the appellants argued that the respondent did not demonstrate compliance with s 13 of the Trust Act, which provides that a trust deed may be varied by a court if the deed hampers the achievement of the objects of the founder, prejudices the beneficiaries’ interests or conflicts with the public interest.</w:t>
      </w:r>
    </w:p>
    <w:p w14:paraId="493C9133" w14:textId="42E2EED2" w:rsidR="000E14C8" w:rsidRPr="00FB1A8A" w:rsidRDefault="00FB1A8A" w:rsidP="00FB1A8A">
      <w:pPr>
        <w:tabs>
          <w:tab w:val="left" w:pos="567"/>
        </w:tabs>
        <w:spacing w:before="480" w:after="480" w:line="480" w:lineRule="auto"/>
        <w:rPr>
          <w:rFonts w:cs="Arial"/>
          <w:bCs/>
          <w:szCs w:val="22"/>
        </w:rPr>
      </w:pPr>
      <w:r w:rsidRPr="000E14C8">
        <w:rPr>
          <w:rFonts w:cs="Arial"/>
          <w:bCs/>
          <w:szCs w:val="22"/>
        </w:rPr>
        <w:t>[22]</w:t>
      </w:r>
      <w:r w:rsidRPr="000E14C8">
        <w:rPr>
          <w:rFonts w:cs="Arial"/>
          <w:bCs/>
          <w:szCs w:val="22"/>
        </w:rPr>
        <w:tab/>
      </w:r>
      <w:r w:rsidR="00D511FF" w:rsidRPr="00FB1A8A">
        <w:rPr>
          <w:rFonts w:cs="Arial"/>
          <w:bCs/>
          <w:szCs w:val="22"/>
        </w:rPr>
        <w:t>The appellants contended that the respondent relied upon secondary conclusions without providing primary facts</w:t>
      </w:r>
      <w:r w:rsidR="007C0DE3" w:rsidRPr="00FB1A8A">
        <w:rPr>
          <w:rStyle w:val="FootnoteReference"/>
          <w:rFonts w:cs="Arial"/>
          <w:bCs/>
          <w:szCs w:val="22"/>
        </w:rPr>
        <w:t xml:space="preserve"> </w:t>
      </w:r>
      <w:r w:rsidR="00D511FF" w:rsidRPr="00FB1A8A">
        <w:rPr>
          <w:rFonts w:cs="Arial"/>
          <w:bCs/>
          <w:szCs w:val="22"/>
        </w:rPr>
        <w:t xml:space="preserve">for the claims made by her. </w:t>
      </w:r>
    </w:p>
    <w:p w14:paraId="499E83C5" w14:textId="16E25FA5" w:rsidR="007C0DE3" w:rsidRPr="00FB1A8A" w:rsidRDefault="00FB1A8A" w:rsidP="00FB1A8A">
      <w:pPr>
        <w:tabs>
          <w:tab w:val="left" w:pos="567"/>
        </w:tabs>
        <w:spacing w:before="480" w:after="480" w:line="480" w:lineRule="auto"/>
        <w:rPr>
          <w:rFonts w:cs="Arial"/>
          <w:bCs/>
          <w:szCs w:val="22"/>
        </w:rPr>
      </w:pPr>
      <w:r>
        <w:rPr>
          <w:rFonts w:cs="Arial"/>
          <w:bCs/>
          <w:szCs w:val="22"/>
        </w:rPr>
        <w:t>[23]</w:t>
      </w:r>
      <w:r>
        <w:rPr>
          <w:rFonts w:cs="Arial"/>
          <w:bCs/>
          <w:szCs w:val="22"/>
        </w:rPr>
        <w:tab/>
      </w:r>
      <w:r w:rsidR="003B083F" w:rsidRPr="00FB1A8A">
        <w:rPr>
          <w:rFonts w:cs="Arial"/>
          <w:bCs/>
          <w:szCs w:val="22"/>
        </w:rPr>
        <w:t>The respondent argued that the Trust deed contained multiple clauses that did not further the respondent’s interests or those of the Trust itself, that certain clauses   gave the trustees an unfettered discretion to deal with the Trust assets that potentially might be in the benefit of the trustees personally and inimical to the respondent’s interests. One such clause was that empowering the trustees to make secured or unsecured loans, with or without interest</w:t>
      </w:r>
      <w:r w:rsidR="00F154F0" w:rsidRPr="00FB1A8A">
        <w:rPr>
          <w:rFonts w:cs="Arial"/>
          <w:bCs/>
          <w:szCs w:val="22"/>
        </w:rPr>
        <w:t>,</w:t>
      </w:r>
      <w:r w:rsidR="003B083F" w:rsidRPr="00FB1A8A">
        <w:rPr>
          <w:rFonts w:cs="Arial"/>
          <w:bCs/>
          <w:szCs w:val="22"/>
        </w:rPr>
        <w:t xml:space="preserve"> to any person or persons including any trustee, director of shareholder of a trustee or any company in which any trustee is interested. Loans </w:t>
      </w:r>
      <w:r w:rsidR="00F154F0" w:rsidRPr="00FB1A8A">
        <w:rPr>
          <w:rFonts w:cs="Arial"/>
          <w:bCs/>
          <w:szCs w:val="22"/>
        </w:rPr>
        <w:t xml:space="preserve">by the Trust </w:t>
      </w:r>
      <w:r w:rsidR="003B083F" w:rsidRPr="00FB1A8A">
        <w:rPr>
          <w:rFonts w:cs="Arial"/>
          <w:bCs/>
          <w:szCs w:val="22"/>
        </w:rPr>
        <w:t>should</w:t>
      </w:r>
      <w:r w:rsidR="00164F6E" w:rsidRPr="00FB1A8A">
        <w:rPr>
          <w:rFonts w:cs="Arial"/>
          <w:bCs/>
          <w:szCs w:val="22"/>
        </w:rPr>
        <w:t>,</w:t>
      </w:r>
      <w:r w:rsidR="003B083F" w:rsidRPr="00FB1A8A">
        <w:rPr>
          <w:rFonts w:cs="Arial"/>
          <w:bCs/>
          <w:szCs w:val="22"/>
        </w:rPr>
        <w:t xml:space="preserve"> </w:t>
      </w:r>
      <w:r w:rsidR="007C0DE3" w:rsidRPr="00FB1A8A">
        <w:rPr>
          <w:rFonts w:cs="Arial"/>
          <w:bCs/>
          <w:szCs w:val="22"/>
        </w:rPr>
        <w:t>however</w:t>
      </w:r>
      <w:r w:rsidR="00164F6E" w:rsidRPr="00FB1A8A">
        <w:rPr>
          <w:rFonts w:cs="Arial"/>
          <w:bCs/>
          <w:szCs w:val="22"/>
        </w:rPr>
        <w:t>,</w:t>
      </w:r>
      <w:r w:rsidR="007C0DE3" w:rsidRPr="00FB1A8A">
        <w:rPr>
          <w:rFonts w:cs="Arial"/>
          <w:bCs/>
          <w:szCs w:val="22"/>
        </w:rPr>
        <w:t xml:space="preserve"> </w:t>
      </w:r>
      <w:r w:rsidR="003B083F" w:rsidRPr="00FB1A8A">
        <w:rPr>
          <w:rFonts w:cs="Arial"/>
          <w:bCs/>
          <w:szCs w:val="22"/>
        </w:rPr>
        <w:t>only be</w:t>
      </w:r>
      <w:r w:rsidR="00F154F0" w:rsidRPr="00FB1A8A">
        <w:rPr>
          <w:rFonts w:cs="Arial"/>
          <w:bCs/>
          <w:szCs w:val="22"/>
        </w:rPr>
        <w:t xml:space="preserve"> made</w:t>
      </w:r>
      <w:r w:rsidR="003B083F" w:rsidRPr="00FB1A8A">
        <w:rPr>
          <w:rFonts w:cs="Arial"/>
          <w:bCs/>
          <w:szCs w:val="22"/>
        </w:rPr>
        <w:t xml:space="preserve"> for the benefit of the respondent, the Trust’s beneficiary</w:t>
      </w:r>
      <w:r w:rsidR="00F154F0" w:rsidRPr="00FB1A8A">
        <w:rPr>
          <w:rFonts w:cs="Arial"/>
          <w:bCs/>
          <w:szCs w:val="22"/>
        </w:rPr>
        <w:t>, not in the wide terms provided by the Trust deed</w:t>
      </w:r>
      <w:r w:rsidR="003B083F" w:rsidRPr="00FB1A8A">
        <w:rPr>
          <w:rFonts w:cs="Arial"/>
          <w:bCs/>
          <w:szCs w:val="22"/>
        </w:rPr>
        <w:t>.</w:t>
      </w:r>
      <w:r w:rsidR="00407322" w:rsidRPr="00FB1A8A">
        <w:rPr>
          <w:rFonts w:cs="Arial"/>
          <w:bCs/>
          <w:szCs w:val="22"/>
        </w:rPr>
        <w:t xml:space="preserve"> </w:t>
      </w:r>
    </w:p>
    <w:p w14:paraId="32567B85" w14:textId="641AE8EA" w:rsidR="003B083F" w:rsidRPr="00FB1A8A" w:rsidRDefault="00FB1A8A" w:rsidP="00FB1A8A">
      <w:pPr>
        <w:tabs>
          <w:tab w:val="left" w:pos="567"/>
        </w:tabs>
        <w:spacing w:before="480" w:after="480" w:line="480" w:lineRule="auto"/>
        <w:rPr>
          <w:rFonts w:cs="Arial"/>
          <w:bCs/>
          <w:szCs w:val="22"/>
        </w:rPr>
      </w:pPr>
      <w:r w:rsidRPr="007C0DE3">
        <w:rPr>
          <w:rFonts w:cs="Arial"/>
          <w:bCs/>
          <w:szCs w:val="22"/>
        </w:rPr>
        <w:t>[24]</w:t>
      </w:r>
      <w:r w:rsidRPr="007C0DE3">
        <w:rPr>
          <w:rFonts w:cs="Arial"/>
          <w:bCs/>
          <w:szCs w:val="22"/>
        </w:rPr>
        <w:tab/>
      </w:r>
      <w:r w:rsidR="007C0DE3" w:rsidRPr="00FB1A8A">
        <w:rPr>
          <w:rFonts w:cs="Arial"/>
          <w:bCs/>
          <w:szCs w:val="22"/>
        </w:rPr>
        <w:t>In addition,</w:t>
      </w:r>
      <w:r w:rsidR="003B083F" w:rsidRPr="00FB1A8A">
        <w:rPr>
          <w:rFonts w:cs="Arial"/>
          <w:bCs/>
          <w:szCs w:val="22"/>
        </w:rPr>
        <w:t xml:space="preserve"> the Trust deed </w:t>
      </w:r>
      <w:r w:rsidR="007C0DE3" w:rsidRPr="00FB1A8A">
        <w:rPr>
          <w:rFonts w:cs="Arial"/>
          <w:bCs/>
          <w:szCs w:val="22"/>
        </w:rPr>
        <w:t xml:space="preserve">provided for a waiver of security and </w:t>
      </w:r>
      <w:r w:rsidR="003B083F" w:rsidRPr="00FB1A8A">
        <w:rPr>
          <w:rFonts w:cs="Arial"/>
          <w:bCs/>
          <w:szCs w:val="22"/>
        </w:rPr>
        <w:t xml:space="preserve">empowered the </w:t>
      </w:r>
      <w:r w:rsidR="007C0DE3" w:rsidRPr="00FB1A8A">
        <w:rPr>
          <w:rFonts w:cs="Arial"/>
          <w:bCs/>
          <w:szCs w:val="22"/>
        </w:rPr>
        <w:t>trustees</w:t>
      </w:r>
      <w:r w:rsidR="003B083F" w:rsidRPr="00FB1A8A">
        <w:rPr>
          <w:rFonts w:cs="Arial"/>
          <w:bCs/>
          <w:szCs w:val="22"/>
        </w:rPr>
        <w:t xml:space="preserve"> to ent</w:t>
      </w:r>
      <w:r w:rsidR="007C0DE3" w:rsidRPr="00FB1A8A">
        <w:rPr>
          <w:rFonts w:cs="Arial"/>
          <w:bCs/>
          <w:szCs w:val="22"/>
        </w:rPr>
        <w:t xml:space="preserve">er into </w:t>
      </w:r>
      <w:r w:rsidR="003B083F" w:rsidRPr="00FB1A8A">
        <w:rPr>
          <w:rFonts w:cs="Arial"/>
          <w:bCs/>
          <w:szCs w:val="22"/>
        </w:rPr>
        <w:t xml:space="preserve">indemnities, guarantees or suretyships of every description be they gratuitous or for consideration, to accept and require gifts for the purpose of the Trust any to employ a wide range of ‘agents’, such as the trustees might consider necessary to transact Trust business and to pay the fees pursuant thereto.  </w:t>
      </w:r>
    </w:p>
    <w:p w14:paraId="1C985D58" w14:textId="6FFFC65C" w:rsidR="003B083F" w:rsidRPr="00FB1A8A" w:rsidRDefault="00FB1A8A" w:rsidP="00FB1A8A">
      <w:pPr>
        <w:tabs>
          <w:tab w:val="left" w:pos="567"/>
        </w:tabs>
        <w:spacing w:before="480" w:after="480" w:line="480" w:lineRule="auto"/>
        <w:rPr>
          <w:rFonts w:cs="Arial"/>
          <w:bCs/>
          <w:szCs w:val="22"/>
        </w:rPr>
      </w:pPr>
      <w:r>
        <w:rPr>
          <w:rFonts w:cs="Arial"/>
          <w:bCs/>
          <w:szCs w:val="22"/>
        </w:rPr>
        <w:t>[25]</w:t>
      </w:r>
      <w:r>
        <w:rPr>
          <w:rFonts w:cs="Arial"/>
          <w:bCs/>
          <w:szCs w:val="22"/>
        </w:rPr>
        <w:tab/>
      </w:r>
      <w:r w:rsidR="003B083F" w:rsidRPr="00FB1A8A">
        <w:rPr>
          <w:rFonts w:cs="Arial"/>
          <w:bCs/>
          <w:szCs w:val="22"/>
        </w:rPr>
        <w:t>The aforementioned are merely examples of some of the clauses</w:t>
      </w:r>
      <w:r w:rsidR="00F5440E" w:rsidRPr="00FB1A8A">
        <w:rPr>
          <w:rFonts w:cs="Arial"/>
          <w:bCs/>
          <w:szCs w:val="22"/>
        </w:rPr>
        <w:t xml:space="preserve"> in the Trust deed</w:t>
      </w:r>
      <w:r w:rsidR="003B083F" w:rsidRPr="00FB1A8A">
        <w:rPr>
          <w:rFonts w:cs="Arial"/>
          <w:bCs/>
          <w:szCs w:val="22"/>
        </w:rPr>
        <w:t xml:space="preserve"> that are better suited to a commercial trust than a trust established to preserve an award from the R</w:t>
      </w:r>
      <w:r w:rsidR="00F5440E" w:rsidRPr="00FB1A8A">
        <w:rPr>
          <w:rFonts w:cs="Arial"/>
          <w:bCs/>
          <w:szCs w:val="22"/>
        </w:rPr>
        <w:t>AF for the</w:t>
      </w:r>
      <w:r w:rsidR="007C0DE3" w:rsidRPr="00FB1A8A">
        <w:rPr>
          <w:rFonts w:cs="Arial"/>
          <w:bCs/>
          <w:szCs w:val="22"/>
        </w:rPr>
        <w:t xml:space="preserve"> sole</w:t>
      </w:r>
      <w:r w:rsidR="00F5440E" w:rsidRPr="00FB1A8A">
        <w:rPr>
          <w:rFonts w:cs="Arial"/>
          <w:bCs/>
          <w:szCs w:val="22"/>
        </w:rPr>
        <w:t xml:space="preserve"> benefit of</w:t>
      </w:r>
      <w:r w:rsidR="003B083F" w:rsidRPr="00FB1A8A">
        <w:rPr>
          <w:rFonts w:cs="Arial"/>
          <w:bCs/>
          <w:szCs w:val="22"/>
        </w:rPr>
        <w:t xml:space="preserve"> the </w:t>
      </w:r>
      <w:r w:rsidR="00F5440E" w:rsidRPr="00FB1A8A">
        <w:rPr>
          <w:rFonts w:cs="Arial"/>
          <w:bCs/>
          <w:szCs w:val="22"/>
        </w:rPr>
        <w:t xml:space="preserve">beneficiary.  </w:t>
      </w:r>
    </w:p>
    <w:p w14:paraId="3ACD7BBA" w14:textId="4334F370" w:rsidR="003B083F" w:rsidRPr="00FB1A8A" w:rsidRDefault="00FB1A8A" w:rsidP="00FB1A8A">
      <w:pPr>
        <w:tabs>
          <w:tab w:val="left" w:pos="567"/>
        </w:tabs>
        <w:spacing w:before="480" w:after="480" w:line="480" w:lineRule="auto"/>
        <w:rPr>
          <w:rFonts w:cs="Arial"/>
          <w:bCs/>
          <w:szCs w:val="22"/>
        </w:rPr>
      </w:pPr>
      <w:r>
        <w:rPr>
          <w:rFonts w:cs="Arial"/>
          <w:bCs/>
          <w:szCs w:val="22"/>
        </w:rPr>
        <w:t>[26]</w:t>
      </w:r>
      <w:r>
        <w:rPr>
          <w:rFonts w:cs="Arial"/>
          <w:bCs/>
          <w:szCs w:val="22"/>
        </w:rPr>
        <w:tab/>
      </w:r>
      <w:r w:rsidR="00407322" w:rsidRPr="00FB1A8A">
        <w:rPr>
          <w:rFonts w:cs="Arial"/>
          <w:bCs/>
          <w:szCs w:val="22"/>
        </w:rPr>
        <w:t>The</w:t>
      </w:r>
      <w:r w:rsidR="003B083F" w:rsidRPr="00FB1A8A">
        <w:rPr>
          <w:rFonts w:cs="Arial"/>
          <w:bCs/>
          <w:szCs w:val="22"/>
        </w:rPr>
        <w:t xml:space="preserve"> Trust </w:t>
      </w:r>
      <w:r w:rsidR="00407322" w:rsidRPr="00FB1A8A">
        <w:rPr>
          <w:rFonts w:cs="Arial"/>
          <w:bCs/>
          <w:szCs w:val="22"/>
        </w:rPr>
        <w:t>does no</w:t>
      </w:r>
      <w:r w:rsidR="005058B7" w:rsidRPr="00FB1A8A">
        <w:rPr>
          <w:rFonts w:cs="Arial"/>
          <w:bCs/>
          <w:szCs w:val="22"/>
        </w:rPr>
        <w:t>t appear to be registered as a S</w:t>
      </w:r>
      <w:r w:rsidR="00407322" w:rsidRPr="00FB1A8A">
        <w:rPr>
          <w:rFonts w:cs="Arial"/>
          <w:bCs/>
          <w:szCs w:val="22"/>
        </w:rPr>
        <w:t>pecial Trust Type A in terms of section 6B(i) of the</w:t>
      </w:r>
      <w:r w:rsidR="00F5440E" w:rsidRPr="00FB1A8A">
        <w:rPr>
          <w:rFonts w:cs="Arial"/>
          <w:bCs/>
          <w:szCs w:val="22"/>
        </w:rPr>
        <w:t xml:space="preserve"> Income Tax Act 58 of 1962. I</w:t>
      </w:r>
      <w:r w:rsidR="00407322" w:rsidRPr="00FB1A8A">
        <w:rPr>
          <w:rFonts w:cs="Arial"/>
          <w:bCs/>
          <w:szCs w:val="22"/>
        </w:rPr>
        <w:t>t may be that the Trust does not meet the requirements for such registration</w:t>
      </w:r>
      <w:r w:rsidR="00F5440E" w:rsidRPr="00FB1A8A">
        <w:rPr>
          <w:rFonts w:cs="Arial"/>
          <w:bCs/>
          <w:szCs w:val="22"/>
        </w:rPr>
        <w:t xml:space="preserve"> but i</w:t>
      </w:r>
      <w:r w:rsidR="00F154F0" w:rsidRPr="00FB1A8A">
        <w:rPr>
          <w:rFonts w:cs="Arial"/>
          <w:bCs/>
          <w:szCs w:val="22"/>
        </w:rPr>
        <w:t>t should be co</w:t>
      </w:r>
      <w:r w:rsidR="00F5440E" w:rsidRPr="00FB1A8A">
        <w:rPr>
          <w:rFonts w:cs="Arial"/>
          <w:bCs/>
          <w:szCs w:val="22"/>
        </w:rPr>
        <w:t>nsid</w:t>
      </w:r>
      <w:r w:rsidR="00EB3ECE" w:rsidRPr="00FB1A8A">
        <w:rPr>
          <w:rFonts w:cs="Arial"/>
          <w:bCs/>
          <w:szCs w:val="22"/>
        </w:rPr>
        <w:t>ered by the trustees given that</w:t>
      </w:r>
      <w:r w:rsidR="00F154F0" w:rsidRPr="00FB1A8A">
        <w:rPr>
          <w:rFonts w:cs="Arial"/>
          <w:bCs/>
          <w:szCs w:val="22"/>
        </w:rPr>
        <w:t xml:space="preserve"> </w:t>
      </w:r>
      <w:r w:rsidR="005058B7" w:rsidRPr="00FB1A8A">
        <w:rPr>
          <w:rFonts w:cs="Arial"/>
          <w:bCs/>
          <w:szCs w:val="22"/>
        </w:rPr>
        <w:t>a S</w:t>
      </w:r>
      <w:r w:rsidR="00EB3ECE" w:rsidRPr="00FB1A8A">
        <w:rPr>
          <w:rFonts w:cs="Arial"/>
          <w:bCs/>
          <w:szCs w:val="22"/>
        </w:rPr>
        <w:t xml:space="preserve">pecial Trust Type A </w:t>
      </w:r>
      <w:r w:rsidR="00F154F0" w:rsidRPr="00FB1A8A">
        <w:rPr>
          <w:rFonts w:cs="Arial"/>
          <w:bCs/>
          <w:szCs w:val="22"/>
        </w:rPr>
        <w:t>enjoy</w:t>
      </w:r>
      <w:r w:rsidR="00EB3ECE" w:rsidRPr="00FB1A8A">
        <w:rPr>
          <w:rFonts w:cs="Arial"/>
          <w:bCs/>
          <w:szCs w:val="22"/>
        </w:rPr>
        <w:t>s</w:t>
      </w:r>
      <w:r w:rsidR="00F154F0" w:rsidRPr="00FB1A8A">
        <w:rPr>
          <w:rFonts w:cs="Arial"/>
          <w:bCs/>
          <w:szCs w:val="22"/>
        </w:rPr>
        <w:t xml:space="preserve"> </w:t>
      </w:r>
      <w:r w:rsidR="00407322" w:rsidRPr="00FB1A8A">
        <w:rPr>
          <w:rFonts w:cs="Arial"/>
          <w:bCs/>
          <w:szCs w:val="22"/>
        </w:rPr>
        <w:t>lenient tax treatment</w:t>
      </w:r>
      <w:r w:rsidR="00F154F0" w:rsidRPr="00FB1A8A">
        <w:rPr>
          <w:rFonts w:cs="Arial"/>
          <w:bCs/>
          <w:szCs w:val="22"/>
        </w:rPr>
        <w:t>.</w:t>
      </w:r>
      <w:r w:rsidR="00407322" w:rsidRPr="00FB1A8A">
        <w:rPr>
          <w:rFonts w:cs="Arial"/>
          <w:bCs/>
          <w:szCs w:val="22"/>
        </w:rPr>
        <w:t xml:space="preserve"> </w:t>
      </w:r>
      <w:r w:rsidR="00F154F0" w:rsidRPr="00FB1A8A">
        <w:rPr>
          <w:rFonts w:cs="Arial"/>
          <w:bCs/>
          <w:szCs w:val="22"/>
        </w:rPr>
        <w:t xml:space="preserve"> </w:t>
      </w:r>
    </w:p>
    <w:p w14:paraId="02A60F6F" w14:textId="450FA47D" w:rsidR="00541546" w:rsidRPr="00FB1A8A" w:rsidRDefault="00FB1A8A" w:rsidP="00FB1A8A">
      <w:pPr>
        <w:tabs>
          <w:tab w:val="left" w:pos="567"/>
        </w:tabs>
        <w:spacing w:before="480" w:after="480" w:line="480" w:lineRule="auto"/>
        <w:rPr>
          <w:rFonts w:cs="Arial"/>
          <w:bCs/>
          <w:szCs w:val="22"/>
        </w:rPr>
      </w:pPr>
      <w:r w:rsidRPr="000E14C8">
        <w:rPr>
          <w:rFonts w:cs="Arial"/>
          <w:bCs/>
          <w:szCs w:val="22"/>
        </w:rPr>
        <w:t>[27]</w:t>
      </w:r>
      <w:r w:rsidRPr="000E14C8">
        <w:rPr>
          <w:rFonts w:cs="Arial"/>
          <w:bCs/>
          <w:szCs w:val="22"/>
        </w:rPr>
        <w:tab/>
      </w:r>
      <w:r w:rsidR="00541546" w:rsidRPr="00FB1A8A">
        <w:rPr>
          <w:rFonts w:cs="Arial"/>
          <w:bCs/>
          <w:szCs w:val="22"/>
        </w:rPr>
        <w:t xml:space="preserve">Notwithstanding the respondent’s criticisms of the provisions of the Trust deed, the respondent did not place a proposed draft of an amended Trust deed before us or the appellants. Nor did the respondent raise </w:t>
      </w:r>
      <w:r w:rsidR="007C0DE3" w:rsidRPr="00FB1A8A">
        <w:rPr>
          <w:rFonts w:cs="Arial"/>
          <w:bCs/>
          <w:szCs w:val="22"/>
        </w:rPr>
        <w:t>her specific</w:t>
      </w:r>
      <w:r w:rsidR="00541546" w:rsidRPr="00FB1A8A">
        <w:rPr>
          <w:rFonts w:cs="Arial"/>
          <w:bCs/>
          <w:szCs w:val="22"/>
        </w:rPr>
        <w:t xml:space="preserve"> criticisms of the Trust deed in the correspondence or meetings with the appellants, prior to the launch of the application.  In the event that the respondent had done so, the application </w:t>
      </w:r>
      <w:r w:rsidR="00541546" w:rsidRPr="00FB1A8A">
        <w:rPr>
          <w:rFonts w:cs="Arial"/>
          <w:bCs/>
          <w:i/>
          <w:szCs w:val="22"/>
        </w:rPr>
        <w:t xml:space="preserve">a quo </w:t>
      </w:r>
      <w:r w:rsidR="00541546" w:rsidRPr="00FB1A8A">
        <w:rPr>
          <w:rFonts w:cs="Arial"/>
          <w:bCs/>
          <w:szCs w:val="22"/>
        </w:rPr>
        <w:t xml:space="preserve">may not have been necessary. </w:t>
      </w:r>
    </w:p>
    <w:p w14:paraId="75D86597" w14:textId="4F31A5FC" w:rsidR="0064271F" w:rsidRPr="00FB1A8A" w:rsidRDefault="00FB1A8A" w:rsidP="00FB1A8A">
      <w:pPr>
        <w:tabs>
          <w:tab w:val="left" w:pos="567"/>
        </w:tabs>
        <w:spacing w:before="480" w:after="480" w:line="480" w:lineRule="auto"/>
        <w:rPr>
          <w:rFonts w:cs="Arial"/>
          <w:bCs/>
          <w:szCs w:val="22"/>
        </w:rPr>
      </w:pPr>
      <w:r w:rsidRPr="00541546">
        <w:rPr>
          <w:rFonts w:cs="Arial"/>
          <w:bCs/>
          <w:szCs w:val="22"/>
        </w:rPr>
        <w:t>[28]</w:t>
      </w:r>
      <w:r w:rsidRPr="00541546">
        <w:rPr>
          <w:rFonts w:cs="Arial"/>
          <w:bCs/>
          <w:szCs w:val="22"/>
        </w:rPr>
        <w:tab/>
      </w:r>
      <w:r w:rsidR="00541546" w:rsidRPr="00FB1A8A">
        <w:rPr>
          <w:rFonts w:cs="Arial"/>
          <w:bCs/>
          <w:szCs w:val="22"/>
        </w:rPr>
        <w:t xml:space="preserve">It is apparent that the respondent’s interests will be better protected by certain amendments being made to the Trust deed. </w:t>
      </w:r>
      <w:r w:rsidR="0064271F" w:rsidRPr="00FB1A8A">
        <w:rPr>
          <w:rFonts w:cs="Arial"/>
          <w:bCs/>
          <w:szCs w:val="22"/>
        </w:rPr>
        <w:t>The proposed draft Trust deed should include provisions to the effect that:</w:t>
      </w:r>
    </w:p>
    <w:p w14:paraId="22BB3C0D" w14:textId="0511021D" w:rsidR="00A17E8B" w:rsidRPr="00FB1A8A" w:rsidRDefault="00FB1A8A" w:rsidP="00FB1A8A">
      <w:pPr>
        <w:tabs>
          <w:tab w:val="left" w:pos="1418"/>
        </w:tabs>
        <w:spacing w:before="480" w:after="480" w:line="480" w:lineRule="auto"/>
        <w:ind w:left="1418" w:hanging="851"/>
        <w:rPr>
          <w:rFonts w:cs="Arial"/>
          <w:bCs/>
          <w:szCs w:val="22"/>
        </w:rPr>
      </w:pPr>
      <w:r>
        <w:rPr>
          <w:rFonts w:cs="Arial"/>
          <w:bCs/>
          <w:szCs w:val="22"/>
        </w:rPr>
        <w:t>28.1</w:t>
      </w:r>
      <w:r>
        <w:rPr>
          <w:rFonts w:cs="Arial"/>
          <w:bCs/>
          <w:szCs w:val="22"/>
        </w:rPr>
        <w:tab/>
      </w:r>
      <w:r w:rsidR="0064271F" w:rsidRPr="00FB1A8A">
        <w:rPr>
          <w:rFonts w:cs="Arial"/>
          <w:bCs/>
          <w:szCs w:val="22"/>
        </w:rPr>
        <w:t>The creation of the Trust is not a donation but a payment for compensation for injuries sustained in terms of the Road Accident Fund Act, 56 of 1996.</w:t>
      </w:r>
    </w:p>
    <w:p w14:paraId="2BE7427D" w14:textId="0582A66B" w:rsidR="00A17E8B" w:rsidRPr="00FB1A8A" w:rsidRDefault="00FB1A8A" w:rsidP="00FB1A8A">
      <w:pPr>
        <w:tabs>
          <w:tab w:val="left" w:pos="1418"/>
        </w:tabs>
        <w:spacing w:before="480" w:after="480" w:line="480" w:lineRule="auto"/>
        <w:ind w:left="1418" w:hanging="851"/>
        <w:rPr>
          <w:rFonts w:cs="Arial"/>
          <w:bCs/>
          <w:szCs w:val="22"/>
        </w:rPr>
      </w:pPr>
      <w:r w:rsidRPr="00A17E8B">
        <w:rPr>
          <w:rFonts w:cs="Arial"/>
          <w:bCs/>
          <w:szCs w:val="22"/>
        </w:rPr>
        <w:t>28.2</w:t>
      </w:r>
      <w:r w:rsidRPr="00A17E8B">
        <w:rPr>
          <w:rFonts w:cs="Arial"/>
          <w:bCs/>
          <w:szCs w:val="22"/>
        </w:rPr>
        <w:tab/>
      </w:r>
      <w:r w:rsidR="00A17E8B" w:rsidRPr="00FB1A8A">
        <w:rPr>
          <w:rFonts w:cs="Arial"/>
          <w:bCs/>
          <w:szCs w:val="22"/>
        </w:rPr>
        <w:t xml:space="preserve">The trust be registered as a special Trust Type A in terms of section 6B(i) of the Income Tax Act 58 of 1962, if the trust meets the requirements for such registration.  </w:t>
      </w:r>
    </w:p>
    <w:p w14:paraId="6575DA29" w14:textId="77A895ED" w:rsidR="0064271F" w:rsidRPr="00FB1A8A" w:rsidRDefault="00FB1A8A" w:rsidP="00FB1A8A">
      <w:pPr>
        <w:tabs>
          <w:tab w:val="left" w:pos="1418"/>
        </w:tabs>
        <w:spacing w:before="480" w:after="480" w:line="480" w:lineRule="auto"/>
        <w:ind w:left="1418" w:hanging="851"/>
        <w:rPr>
          <w:rFonts w:cs="Arial"/>
          <w:bCs/>
          <w:szCs w:val="22"/>
        </w:rPr>
      </w:pPr>
      <w:r w:rsidRPr="00A17E8B">
        <w:rPr>
          <w:rFonts w:cs="Arial"/>
          <w:bCs/>
          <w:szCs w:val="22"/>
        </w:rPr>
        <w:t>28.3</w:t>
      </w:r>
      <w:r w:rsidRPr="00A17E8B">
        <w:rPr>
          <w:rFonts w:cs="Arial"/>
          <w:bCs/>
          <w:szCs w:val="22"/>
        </w:rPr>
        <w:tab/>
      </w:r>
      <w:r w:rsidR="0064271F" w:rsidRPr="00FB1A8A">
        <w:rPr>
          <w:rFonts w:cs="Arial"/>
          <w:bCs/>
          <w:szCs w:val="22"/>
        </w:rPr>
        <w:t>Any loans to be made should be for the benefit of the beneficiary and in the sole interest of the beneficiary and/or the Trust fund.</w:t>
      </w:r>
    </w:p>
    <w:p w14:paraId="753F3CA5" w14:textId="2F37721C"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28.4</w:t>
      </w:r>
      <w:r>
        <w:rPr>
          <w:rFonts w:cs="Arial"/>
          <w:bCs/>
          <w:szCs w:val="22"/>
        </w:rPr>
        <w:tab/>
      </w:r>
      <w:r w:rsidR="0064271F" w:rsidRPr="00FB1A8A">
        <w:rPr>
          <w:rFonts w:cs="Arial"/>
          <w:bCs/>
          <w:szCs w:val="22"/>
        </w:rPr>
        <w:t xml:space="preserve">To call up and/or collect any amounts that may </w:t>
      </w:r>
      <w:r w:rsidR="005B1DBB" w:rsidRPr="00FB1A8A">
        <w:rPr>
          <w:rFonts w:cs="Arial"/>
          <w:bCs/>
          <w:szCs w:val="22"/>
        </w:rPr>
        <w:t>become due to the Trust from time to time.</w:t>
      </w:r>
    </w:p>
    <w:p w14:paraId="16067969" w14:textId="5A750255"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28.5</w:t>
      </w:r>
      <w:r>
        <w:rPr>
          <w:rFonts w:cs="Arial"/>
          <w:bCs/>
          <w:szCs w:val="22"/>
        </w:rPr>
        <w:tab/>
      </w:r>
      <w:r w:rsidR="0064271F" w:rsidRPr="00FB1A8A">
        <w:rPr>
          <w:rFonts w:cs="Arial"/>
          <w:bCs/>
          <w:szCs w:val="22"/>
        </w:rPr>
        <w:t xml:space="preserve">To take advice from any attorney or advocate or any other expert for the </w:t>
      </w:r>
      <w:r w:rsidR="005B1DBB" w:rsidRPr="00FB1A8A">
        <w:rPr>
          <w:rFonts w:cs="Arial"/>
          <w:bCs/>
          <w:szCs w:val="22"/>
        </w:rPr>
        <w:t xml:space="preserve">reasonable </w:t>
      </w:r>
      <w:r w:rsidR="0064271F" w:rsidRPr="00FB1A8A">
        <w:rPr>
          <w:rFonts w:cs="Arial"/>
          <w:bCs/>
          <w:szCs w:val="22"/>
        </w:rPr>
        <w:t>account of the relevant Trust account.</w:t>
      </w:r>
    </w:p>
    <w:p w14:paraId="116C612D" w14:textId="5C249520"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28.6</w:t>
      </w:r>
      <w:r>
        <w:rPr>
          <w:rFonts w:cs="Arial"/>
          <w:bCs/>
          <w:szCs w:val="22"/>
        </w:rPr>
        <w:tab/>
      </w:r>
      <w:r w:rsidR="0064271F" w:rsidRPr="00FB1A8A">
        <w:rPr>
          <w:rFonts w:cs="Arial"/>
          <w:bCs/>
          <w:szCs w:val="22"/>
        </w:rPr>
        <w:t>The trustees should keep complete</w:t>
      </w:r>
      <w:r w:rsidR="00057CA1" w:rsidRPr="00FB1A8A">
        <w:rPr>
          <w:rFonts w:cs="Arial"/>
          <w:bCs/>
          <w:szCs w:val="22"/>
        </w:rPr>
        <w:t xml:space="preserve"> and current</w:t>
      </w:r>
      <w:r w:rsidR="0064271F" w:rsidRPr="00FB1A8A">
        <w:rPr>
          <w:rFonts w:cs="Arial"/>
          <w:bCs/>
          <w:szCs w:val="22"/>
        </w:rPr>
        <w:t xml:space="preserve"> records, statements and accounts of all transactions and prepare proper statements in connection with all financial a</w:t>
      </w:r>
      <w:r w:rsidR="00057CA1" w:rsidRPr="00FB1A8A">
        <w:rPr>
          <w:rFonts w:cs="Arial"/>
          <w:bCs/>
          <w:szCs w:val="22"/>
        </w:rPr>
        <w:t>ctivities in accordance with</w:t>
      </w:r>
      <w:r w:rsidR="0064271F" w:rsidRPr="00FB1A8A">
        <w:rPr>
          <w:rFonts w:cs="Arial"/>
          <w:bCs/>
          <w:szCs w:val="22"/>
        </w:rPr>
        <w:t xml:space="preserve"> generally accepted accounting practices in South Africa. </w:t>
      </w:r>
    </w:p>
    <w:p w14:paraId="05D8BF63" w14:textId="1A24BD11"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28.7</w:t>
      </w:r>
      <w:r>
        <w:rPr>
          <w:rFonts w:cs="Arial"/>
          <w:bCs/>
          <w:szCs w:val="22"/>
        </w:rPr>
        <w:tab/>
      </w:r>
      <w:r w:rsidR="0064271F" w:rsidRPr="00FB1A8A">
        <w:rPr>
          <w:rFonts w:cs="Arial"/>
          <w:bCs/>
          <w:szCs w:val="22"/>
        </w:rPr>
        <w:t xml:space="preserve">The trustees should be entitled </w:t>
      </w:r>
      <w:r w:rsidR="00057CA1" w:rsidRPr="00FB1A8A">
        <w:rPr>
          <w:rFonts w:cs="Arial"/>
          <w:bCs/>
          <w:szCs w:val="22"/>
        </w:rPr>
        <w:t xml:space="preserve">to </w:t>
      </w:r>
      <w:r w:rsidR="0064271F" w:rsidRPr="00FB1A8A">
        <w:rPr>
          <w:rFonts w:cs="Arial"/>
          <w:bCs/>
          <w:szCs w:val="22"/>
        </w:rPr>
        <w:t xml:space="preserve">a management fee of 1% per annum </w:t>
      </w:r>
      <w:r w:rsidR="005B1DBB" w:rsidRPr="00FB1A8A">
        <w:rPr>
          <w:rFonts w:cs="Arial"/>
          <w:bCs/>
          <w:szCs w:val="22"/>
        </w:rPr>
        <w:t xml:space="preserve">plus vat </w:t>
      </w:r>
      <w:r w:rsidR="0064271F" w:rsidRPr="00FB1A8A">
        <w:rPr>
          <w:rFonts w:cs="Arial"/>
          <w:bCs/>
          <w:szCs w:val="22"/>
        </w:rPr>
        <w:t>on the amount under administration.</w:t>
      </w:r>
    </w:p>
    <w:p w14:paraId="6732E9BE" w14:textId="150FD176"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28.8</w:t>
      </w:r>
      <w:r>
        <w:rPr>
          <w:rFonts w:cs="Arial"/>
          <w:bCs/>
          <w:szCs w:val="22"/>
        </w:rPr>
        <w:tab/>
      </w:r>
      <w:r w:rsidR="0064271F" w:rsidRPr="00FB1A8A">
        <w:rPr>
          <w:rFonts w:cs="Arial"/>
          <w:bCs/>
          <w:szCs w:val="22"/>
        </w:rPr>
        <w:t xml:space="preserve">The trustees should be obliged to furnish security </w:t>
      </w:r>
      <w:r w:rsidR="00057CA1" w:rsidRPr="00FB1A8A">
        <w:rPr>
          <w:rFonts w:cs="Arial"/>
          <w:bCs/>
          <w:szCs w:val="22"/>
        </w:rPr>
        <w:t>to the satisfaction of the Master of the High Court</w:t>
      </w:r>
      <w:r w:rsidR="0064271F" w:rsidRPr="00FB1A8A">
        <w:rPr>
          <w:rFonts w:cs="Arial"/>
          <w:bCs/>
          <w:szCs w:val="22"/>
        </w:rPr>
        <w:t xml:space="preserve"> </w:t>
      </w:r>
      <w:r w:rsidR="00057CA1" w:rsidRPr="00FB1A8A">
        <w:rPr>
          <w:rFonts w:cs="Arial"/>
          <w:bCs/>
          <w:szCs w:val="22"/>
        </w:rPr>
        <w:t>for the proper compliance of their duties.</w:t>
      </w:r>
    </w:p>
    <w:p w14:paraId="273E0161" w14:textId="3215EB45"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28.9</w:t>
      </w:r>
      <w:r>
        <w:rPr>
          <w:rFonts w:cs="Arial"/>
          <w:bCs/>
          <w:szCs w:val="22"/>
        </w:rPr>
        <w:tab/>
      </w:r>
      <w:r w:rsidR="0064271F" w:rsidRPr="00FB1A8A">
        <w:rPr>
          <w:rFonts w:cs="Arial"/>
          <w:bCs/>
          <w:szCs w:val="22"/>
        </w:rPr>
        <w:t>The trustees an</w:t>
      </w:r>
      <w:r w:rsidR="005B1DBB" w:rsidRPr="00FB1A8A">
        <w:rPr>
          <w:rFonts w:cs="Arial"/>
          <w:bCs/>
          <w:szCs w:val="22"/>
        </w:rPr>
        <w:t>\</w:t>
      </w:r>
      <w:r w:rsidR="0064271F" w:rsidRPr="00FB1A8A">
        <w:rPr>
          <w:rFonts w:cs="Arial"/>
          <w:bCs/>
          <w:szCs w:val="22"/>
        </w:rPr>
        <w:t xml:space="preserve">d any person in their employ should insofar as it </w:t>
      </w:r>
      <w:r w:rsidR="005B1DBB" w:rsidRPr="00FB1A8A">
        <w:rPr>
          <w:rFonts w:cs="Arial"/>
          <w:bCs/>
          <w:szCs w:val="22"/>
        </w:rPr>
        <w:t>is</w:t>
      </w:r>
      <w:r w:rsidR="0064271F" w:rsidRPr="00FB1A8A">
        <w:rPr>
          <w:rFonts w:cs="Arial"/>
          <w:bCs/>
          <w:szCs w:val="22"/>
        </w:rPr>
        <w:t xml:space="preserve"> valid in terms of the Trust Property Control Act, 57 of 1988, be indemnified against liability for expenses incurred in the execution of their duties as trustees in terms of the Trust deed and against any loss </w:t>
      </w:r>
      <w:r w:rsidR="005B1DBB" w:rsidRPr="00FB1A8A">
        <w:rPr>
          <w:rFonts w:cs="Arial"/>
          <w:bCs/>
          <w:szCs w:val="22"/>
        </w:rPr>
        <w:t xml:space="preserve">to </w:t>
      </w:r>
      <w:r w:rsidR="0064271F" w:rsidRPr="00FB1A8A">
        <w:rPr>
          <w:rFonts w:cs="Arial"/>
          <w:bCs/>
          <w:szCs w:val="22"/>
        </w:rPr>
        <w:t>the Trust as a result of the depreciation of any investment made by the trustee</w:t>
      </w:r>
      <w:r w:rsidR="005B1DBB" w:rsidRPr="00FB1A8A">
        <w:rPr>
          <w:rFonts w:cs="Arial"/>
          <w:bCs/>
          <w:szCs w:val="22"/>
        </w:rPr>
        <w:t>s</w:t>
      </w:r>
      <w:r w:rsidR="0064271F" w:rsidRPr="00FB1A8A">
        <w:rPr>
          <w:rFonts w:cs="Arial"/>
          <w:bCs/>
          <w:szCs w:val="22"/>
        </w:rPr>
        <w:t xml:space="preserve">. </w:t>
      </w:r>
    </w:p>
    <w:p w14:paraId="10C7BA89" w14:textId="3728CDFE"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28.10</w:t>
      </w:r>
      <w:r>
        <w:rPr>
          <w:rFonts w:cs="Arial"/>
          <w:bCs/>
          <w:szCs w:val="22"/>
        </w:rPr>
        <w:tab/>
      </w:r>
      <w:r w:rsidR="0064271F" w:rsidRPr="00FB1A8A">
        <w:rPr>
          <w:rFonts w:cs="Arial"/>
          <w:bCs/>
          <w:szCs w:val="22"/>
        </w:rPr>
        <w:t>No beneficiary receiving benefits under the Trust deed may utilise any interest in the Trust fund as security for debt or encumber it in any manner whatsoever an</w:t>
      </w:r>
      <w:r w:rsidR="00057CA1" w:rsidRPr="00FB1A8A">
        <w:rPr>
          <w:rFonts w:cs="Arial"/>
          <w:bCs/>
          <w:szCs w:val="22"/>
        </w:rPr>
        <w:t>d should such event occur,</w:t>
      </w:r>
      <w:r w:rsidR="0064271F" w:rsidRPr="00FB1A8A">
        <w:rPr>
          <w:rFonts w:cs="Arial"/>
          <w:bCs/>
          <w:szCs w:val="22"/>
        </w:rPr>
        <w:t xml:space="preserve"> the encumbrance of benefits of those beneficiaries</w:t>
      </w:r>
      <w:r w:rsidR="00057CA1" w:rsidRPr="00FB1A8A">
        <w:rPr>
          <w:rFonts w:cs="Arial"/>
          <w:bCs/>
          <w:szCs w:val="22"/>
        </w:rPr>
        <w:t xml:space="preserve"> shall</w:t>
      </w:r>
      <w:r w:rsidR="0064271F" w:rsidRPr="00FB1A8A">
        <w:rPr>
          <w:rFonts w:cs="Arial"/>
          <w:bCs/>
          <w:szCs w:val="22"/>
        </w:rPr>
        <w:t xml:space="preserve"> not be recorded against the Trust fund.</w:t>
      </w:r>
    </w:p>
    <w:p w14:paraId="594BDA82" w14:textId="157C2AAC"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28.11</w:t>
      </w:r>
      <w:r>
        <w:rPr>
          <w:rFonts w:cs="Arial"/>
          <w:bCs/>
          <w:szCs w:val="22"/>
        </w:rPr>
        <w:tab/>
      </w:r>
      <w:r w:rsidR="0064271F" w:rsidRPr="00FB1A8A">
        <w:rPr>
          <w:rFonts w:cs="Arial"/>
          <w:bCs/>
          <w:szCs w:val="22"/>
        </w:rPr>
        <w:t>Any benefit accruing or payable to the beneficiary in accordance with the Trust deed must not form part of any joint estate of the beneficiary and that person’s spouse and no husband of any female person, whether the marriage be in or out of community of property shall hav</w:t>
      </w:r>
      <w:r w:rsidR="00057CA1" w:rsidRPr="00FB1A8A">
        <w:rPr>
          <w:rFonts w:cs="Arial"/>
          <w:bCs/>
          <w:szCs w:val="22"/>
        </w:rPr>
        <w:t xml:space="preserve">e or receive any </w:t>
      </w:r>
      <w:r w:rsidR="0064271F" w:rsidRPr="00FB1A8A">
        <w:rPr>
          <w:rFonts w:cs="Arial"/>
          <w:bCs/>
          <w:szCs w:val="22"/>
        </w:rPr>
        <w:t>control, power of alienation or administration in respect of any benefit received by any such female beneficiary under this deed.</w:t>
      </w:r>
    </w:p>
    <w:p w14:paraId="4E0A84AB" w14:textId="561D9DB0"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28.12</w:t>
      </w:r>
      <w:r>
        <w:rPr>
          <w:rFonts w:cs="Arial"/>
          <w:bCs/>
          <w:szCs w:val="22"/>
        </w:rPr>
        <w:tab/>
      </w:r>
      <w:r w:rsidR="0064271F" w:rsidRPr="00FB1A8A">
        <w:rPr>
          <w:rFonts w:cs="Arial"/>
          <w:bCs/>
          <w:szCs w:val="22"/>
        </w:rPr>
        <w:t>The provisions of the Trust deed should only be amended with</w:t>
      </w:r>
      <w:r w:rsidR="00057CA1" w:rsidRPr="00FB1A8A">
        <w:rPr>
          <w:rFonts w:cs="Arial"/>
          <w:bCs/>
          <w:szCs w:val="22"/>
        </w:rPr>
        <w:t xml:space="preserve"> the leave of a </w:t>
      </w:r>
      <w:r w:rsidR="004C7F5C" w:rsidRPr="00FB1A8A">
        <w:rPr>
          <w:rFonts w:cs="Arial"/>
          <w:bCs/>
          <w:szCs w:val="22"/>
        </w:rPr>
        <w:t>High C</w:t>
      </w:r>
      <w:r w:rsidR="0064271F" w:rsidRPr="00FB1A8A">
        <w:rPr>
          <w:rFonts w:cs="Arial"/>
          <w:bCs/>
          <w:szCs w:val="22"/>
        </w:rPr>
        <w:t xml:space="preserve">ourt. </w:t>
      </w:r>
    </w:p>
    <w:p w14:paraId="04906CFD" w14:textId="4CE0B2C8" w:rsidR="0064271F" w:rsidRPr="00FB1A8A" w:rsidRDefault="00FB1A8A" w:rsidP="00FB1A8A">
      <w:pPr>
        <w:tabs>
          <w:tab w:val="left" w:pos="1418"/>
        </w:tabs>
        <w:spacing w:before="480" w:after="480" w:line="480" w:lineRule="auto"/>
        <w:ind w:left="1418" w:hanging="851"/>
        <w:rPr>
          <w:rFonts w:cs="Arial"/>
          <w:bCs/>
          <w:szCs w:val="22"/>
        </w:rPr>
      </w:pPr>
      <w:r>
        <w:rPr>
          <w:rFonts w:cs="Arial"/>
          <w:bCs/>
          <w:szCs w:val="22"/>
        </w:rPr>
        <w:t>28.13</w:t>
      </w:r>
      <w:r>
        <w:rPr>
          <w:rFonts w:cs="Arial"/>
          <w:bCs/>
          <w:szCs w:val="22"/>
        </w:rPr>
        <w:tab/>
      </w:r>
      <w:r w:rsidR="0064271F" w:rsidRPr="00FB1A8A">
        <w:rPr>
          <w:rFonts w:cs="Arial"/>
          <w:bCs/>
          <w:szCs w:val="22"/>
        </w:rPr>
        <w:t>The cost</w:t>
      </w:r>
      <w:r w:rsidR="00007723" w:rsidRPr="00FB1A8A">
        <w:rPr>
          <w:rFonts w:cs="Arial"/>
          <w:bCs/>
          <w:szCs w:val="22"/>
        </w:rPr>
        <w:t>s</w:t>
      </w:r>
      <w:r w:rsidR="0064271F" w:rsidRPr="00FB1A8A">
        <w:rPr>
          <w:rFonts w:cs="Arial"/>
          <w:bCs/>
          <w:szCs w:val="22"/>
        </w:rPr>
        <w:t xml:space="preserve"> to be incurr</w:t>
      </w:r>
      <w:r w:rsidR="00007723" w:rsidRPr="00FB1A8A">
        <w:rPr>
          <w:rFonts w:cs="Arial"/>
          <w:bCs/>
          <w:szCs w:val="22"/>
        </w:rPr>
        <w:t>ed in the establishment of the t</w:t>
      </w:r>
      <w:r w:rsidR="0064271F" w:rsidRPr="00FB1A8A">
        <w:rPr>
          <w:rFonts w:cs="Arial"/>
          <w:bCs/>
          <w:szCs w:val="22"/>
        </w:rPr>
        <w:t>rust including the administration and/or management of the capital amount and the proceeds thereof should be claimed back from the RAF by the trustees. This includes the remuneration of the trustees in ad</w:t>
      </w:r>
      <w:r w:rsidR="005B1DBB" w:rsidRPr="00FB1A8A">
        <w:rPr>
          <w:rFonts w:cs="Arial"/>
          <w:bCs/>
          <w:szCs w:val="22"/>
        </w:rPr>
        <w:t>ministering the capital amount</w:t>
      </w:r>
      <w:r w:rsidR="0064271F" w:rsidRPr="00FB1A8A">
        <w:rPr>
          <w:rFonts w:cs="Arial"/>
          <w:bCs/>
          <w:szCs w:val="22"/>
        </w:rPr>
        <w:t xml:space="preserve"> as wel</w:t>
      </w:r>
      <w:r w:rsidR="005B1DBB" w:rsidRPr="00FB1A8A">
        <w:rPr>
          <w:rFonts w:cs="Arial"/>
          <w:bCs/>
          <w:szCs w:val="22"/>
        </w:rPr>
        <w:t xml:space="preserve">l as the costs of the </w:t>
      </w:r>
      <w:r w:rsidR="0064271F" w:rsidRPr="00FB1A8A">
        <w:rPr>
          <w:rFonts w:cs="Arial"/>
          <w:bCs/>
          <w:szCs w:val="22"/>
        </w:rPr>
        <w:t>security</w:t>
      </w:r>
      <w:r w:rsidR="00AB3BBB" w:rsidRPr="00FB1A8A">
        <w:rPr>
          <w:rFonts w:cs="Arial"/>
          <w:bCs/>
          <w:szCs w:val="22"/>
        </w:rPr>
        <w:t xml:space="preserve"> to be provided by the trustees.</w:t>
      </w:r>
      <w:r w:rsidR="0064271F" w:rsidRPr="00FB1A8A">
        <w:rPr>
          <w:rFonts w:cs="Arial"/>
          <w:bCs/>
          <w:szCs w:val="22"/>
        </w:rPr>
        <w:t xml:space="preserve"> </w:t>
      </w:r>
      <w:r w:rsidR="00AB3BBB" w:rsidRPr="00FB1A8A">
        <w:rPr>
          <w:rFonts w:cs="Arial"/>
          <w:bCs/>
          <w:szCs w:val="22"/>
        </w:rPr>
        <w:t xml:space="preserve"> </w:t>
      </w:r>
    </w:p>
    <w:p w14:paraId="2FA1655F" w14:textId="5F48C092" w:rsidR="00007723" w:rsidRPr="00FB1A8A" w:rsidRDefault="00FB1A8A" w:rsidP="00FB1A8A">
      <w:pPr>
        <w:tabs>
          <w:tab w:val="left" w:pos="1418"/>
        </w:tabs>
        <w:spacing w:before="480" w:after="480" w:line="480" w:lineRule="auto"/>
        <w:ind w:left="1418" w:hanging="851"/>
        <w:rPr>
          <w:rFonts w:cs="Arial"/>
          <w:bCs/>
          <w:szCs w:val="22"/>
        </w:rPr>
      </w:pPr>
      <w:r>
        <w:rPr>
          <w:rFonts w:cs="Arial"/>
          <w:bCs/>
          <w:szCs w:val="22"/>
        </w:rPr>
        <w:t>28.14</w:t>
      </w:r>
      <w:r>
        <w:rPr>
          <w:rFonts w:cs="Arial"/>
          <w:bCs/>
          <w:szCs w:val="22"/>
        </w:rPr>
        <w:tab/>
      </w:r>
      <w:r w:rsidR="00007723" w:rsidRPr="00FB1A8A">
        <w:rPr>
          <w:rFonts w:cs="Arial"/>
          <w:bCs/>
          <w:szCs w:val="22"/>
        </w:rPr>
        <w:t>The order made by a c</w:t>
      </w:r>
      <w:r w:rsidR="0064271F" w:rsidRPr="00FB1A8A">
        <w:rPr>
          <w:rFonts w:cs="Arial"/>
          <w:bCs/>
          <w:szCs w:val="22"/>
        </w:rPr>
        <w:t xml:space="preserve">ourt in respect of any award to be made by the </w:t>
      </w:r>
      <w:r w:rsidR="00007723" w:rsidRPr="00FB1A8A">
        <w:rPr>
          <w:rFonts w:cs="Arial"/>
          <w:bCs/>
          <w:szCs w:val="22"/>
        </w:rPr>
        <w:t>RAF</w:t>
      </w:r>
      <w:r w:rsidR="0064271F" w:rsidRPr="00FB1A8A">
        <w:rPr>
          <w:rFonts w:cs="Arial"/>
          <w:bCs/>
          <w:szCs w:val="22"/>
        </w:rPr>
        <w:t xml:space="preserve"> should provide that the plaintiff’s attorneys be entitled to make</w:t>
      </w:r>
      <w:r w:rsidR="00007723" w:rsidRPr="00FB1A8A">
        <w:rPr>
          <w:rFonts w:cs="Arial"/>
          <w:bCs/>
          <w:szCs w:val="22"/>
        </w:rPr>
        <w:t xml:space="preserve"> payment of reasonable disbursements in respect of accounts rendered by a sheriff, expert witnesses and c</w:t>
      </w:r>
      <w:r w:rsidR="00DB1FC3" w:rsidRPr="00FB1A8A">
        <w:rPr>
          <w:rFonts w:cs="Arial"/>
          <w:bCs/>
          <w:szCs w:val="22"/>
        </w:rPr>
        <w:t xml:space="preserve">ounsel employed on behalf of the plaintiff from the funds held by them for the benefit of the plaintiff. </w:t>
      </w:r>
    </w:p>
    <w:p w14:paraId="677391BB" w14:textId="5871BB45" w:rsidR="00007723" w:rsidRPr="00FB1A8A" w:rsidRDefault="00FB1A8A" w:rsidP="00FB1A8A">
      <w:pPr>
        <w:tabs>
          <w:tab w:val="left" w:pos="1418"/>
        </w:tabs>
        <w:spacing w:before="480" w:after="480" w:line="480" w:lineRule="auto"/>
        <w:ind w:left="1418" w:hanging="851"/>
        <w:rPr>
          <w:rFonts w:cs="Arial"/>
          <w:bCs/>
          <w:szCs w:val="22"/>
        </w:rPr>
      </w:pPr>
      <w:r>
        <w:rPr>
          <w:rFonts w:cs="Arial"/>
          <w:bCs/>
          <w:szCs w:val="22"/>
        </w:rPr>
        <w:t>28.15</w:t>
      </w:r>
      <w:r>
        <w:rPr>
          <w:rFonts w:cs="Arial"/>
          <w:bCs/>
          <w:szCs w:val="22"/>
        </w:rPr>
        <w:tab/>
      </w:r>
      <w:r w:rsidR="00DB1FC3" w:rsidRPr="00FB1A8A">
        <w:rPr>
          <w:rFonts w:cs="Arial"/>
          <w:bCs/>
          <w:szCs w:val="22"/>
        </w:rPr>
        <w:t>The plaintiff’s attorneys should not recover their fees until such time as the party and party bill of costs has been taxed by the</w:t>
      </w:r>
      <w:r w:rsidR="00AB3BBB" w:rsidRPr="00FB1A8A">
        <w:rPr>
          <w:rFonts w:cs="Arial"/>
          <w:bCs/>
          <w:szCs w:val="22"/>
        </w:rPr>
        <w:t xml:space="preserve"> Taxing</w:t>
      </w:r>
      <w:r w:rsidR="00DB1FC3" w:rsidRPr="00FB1A8A">
        <w:rPr>
          <w:rFonts w:cs="Arial"/>
          <w:bCs/>
          <w:szCs w:val="22"/>
        </w:rPr>
        <w:t xml:space="preserve"> Master.</w:t>
      </w:r>
    </w:p>
    <w:p w14:paraId="022F606E" w14:textId="57428A0D" w:rsidR="005058B7" w:rsidRPr="00FB1A8A" w:rsidRDefault="00FB1A8A" w:rsidP="00FB1A8A">
      <w:pPr>
        <w:tabs>
          <w:tab w:val="left" w:pos="1418"/>
        </w:tabs>
        <w:spacing w:before="480" w:after="480" w:line="480" w:lineRule="auto"/>
        <w:ind w:left="1418" w:hanging="851"/>
        <w:rPr>
          <w:rFonts w:cs="Arial"/>
          <w:bCs/>
          <w:szCs w:val="22"/>
        </w:rPr>
      </w:pPr>
      <w:r>
        <w:rPr>
          <w:rFonts w:cs="Arial"/>
          <w:bCs/>
          <w:szCs w:val="22"/>
        </w:rPr>
        <w:t>28.16</w:t>
      </w:r>
      <w:r>
        <w:rPr>
          <w:rFonts w:cs="Arial"/>
          <w:bCs/>
          <w:szCs w:val="22"/>
        </w:rPr>
        <w:tab/>
      </w:r>
      <w:r w:rsidR="00DB1FC3" w:rsidRPr="00FB1A8A">
        <w:rPr>
          <w:rFonts w:cs="Arial"/>
          <w:bCs/>
          <w:szCs w:val="22"/>
        </w:rPr>
        <w:t xml:space="preserve">The </w:t>
      </w:r>
      <w:r w:rsidR="00007723" w:rsidRPr="00FB1A8A">
        <w:rPr>
          <w:rFonts w:cs="Arial"/>
          <w:bCs/>
          <w:szCs w:val="22"/>
        </w:rPr>
        <w:t>number of trustees should not be less than three unless it is a pr</w:t>
      </w:r>
      <w:r w:rsidR="005058B7" w:rsidRPr="00FB1A8A">
        <w:rPr>
          <w:rFonts w:cs="Arial"/>
          <w:bCs/>
          <w:szCs w:val="22"/>
        </w:rPr>
        <w:t xml:space="preserve">ofessionally managed trust. </w:t>
      </w:r>
    </w:p>
    <w:p w14:paraId="103A8C4C" w14:textId="6E42EAD8" w:rsidR="00DB1FC3" w:rsidRPr="00FB1A8A" w:rsidRDefault="00FB1A8A" w:rsidP="00FB1A8A">
      <w:pPr>
        <w:tabs>
          <w:tab w:val="left" w:pos="1418"/>
        </w:tabs>
        <w:spacing w:before="480" w:after="480" w:line="480" w:lineRule="auto"/>
        <w:ind w:left="1418" w:hanging="851"/>
        <w:rPr>
          <w:rFonts w:cs="Arial"/>
          <w:bCs/>
          <w:szCs w:val="22"/>
        </w:rPr>
      </w:pPr>
      <w:r>
        <w:rPr>
          <w:rFonts w:cs="Arial"/>
          <w:bCs/>
          <w:szCs w:val="22"/>
        </w:rPr>
        <w:t>28.17</w:t>
      </w:r>
      <w:r>
        <w:rPr>
          <w:rFonts w:cs="Arial"/>
          <w:bCs/>
          <w:szCs w:val="22"/>
        </w:rPr>
        <w:tab/>
      </w:r>
      <w:r w:rsidR="005058B7" w:rsidRPr="00FB1A8A">
        <w:rPr>
          <w:rFonts w:cs="Arial"/>
          <w:bCs/>
          <w:szCs w:val="22"/>
        </w:rPr>
        <w:t>T</w:t>
      </w:r>
      <w:r w:rsidR="00007723" w:rsidRPr="00FB1A8A">
        <w:rPr>
          <w:rFonts w:cs="Arial"/>
          <w:bCs/>
          <w:szCs w:val="22"/>
        </w:rPr>
        <w:t xml:space="preserve">he </w:t>
      </w:r>
      <w:r w:rsidR="00DB1FC3" w:rsidRPr="00FB1A8A">
        <w:rPr>
          <w:rFonts w:cs="Arial"/>
          <w:bCs/>
          <w:szCs w:val="22"/>
        </w:rPr>
        <w:t xml:space="preserve">appointment of new </w:t>
      </w:r>
      <w:r w:rsidR="00007723" w:rsidRPr="00FB1A8A">
        <w:rPr>
          <w:rFonts w:cs="Arial"/>
          <w:bCs/>
          <w:szCs w:val="22"/>
        </w:rPr>
        <w:t xml:space="preserve">or replacement </w:t>
      </w:r>
      <w:r w:rsidR="00DB1FC3" w:rsidRPr="00FB1A8A">
        <w:rPr>
          <w:rFonts w:cs="Arial"/>
          <w:bCs/>
          <w:szCs w:val="22"/>
        </w:rPr>
        <w:t xml:space="preserve">trustees should be subject to the approval of the Master. </w:t>
      </w:r>
      <w:r w:rsidR="00007723" w:rsidRPr="00FB1A8A">
        <w:rPr>
          <w:rFonts w:cs="Arial"/>
          <w:bCs/>
          <w:szCs w:val="22"/>
        </w:rPr>
        <w:t xml:space="preserve"> </w:t>
      </w:r>
    </w:p>
    <w:p w14:paraId="185E5FFA" w14:textId="77777777" w:rsidR="00007723" w:rsidRDefault="00007723" w:rsidP="00007723">
      <w:pPr>
        <w:pStyle w:val="ListParagraph"/>
        <w:spacing w:before="480" w:after="480" w:line="480" w:lineRule="auto"/>
        <w:ind w:left="1418"/>
        <w:rPr>
          <w:rFonts w:cs="Arial"/>
          <w:bCs/>
          <w:szCs w:val="22"/>
        </w:rPr>
      </w:pPr>
    </w:p>
    <w:p w14:paraId="0133A6EB" w14:textId="6BF4C74B" w:rsidR="00571AB0" w:rsidRPr="00FB1A8A" w:rsidRDefault="00FB1A8A" w:rsidP="00FB1A8A">
      <w:pPr>
        <w:tabs>
          <w:tab w:val="left" w:pos="567"/>
        </w:tabs>
        <w:spacing w:before="480" w:after="480" w:line="480" w:lineRule="auto"/>
        <w:rPr>
          <w:rFonts w:cs="Arial"/>
          <w:bCs/>
          <w:szCs w:val="22"/>
        </w:rPr>
      </w:pPr>
      <w:r w:rsidRPr="00F8752C">
        <w:rPr>
          <w:rFonts w:cs="Arial"/>
          <w:bCs/>
          <w:szCs w:val="22"/>
        </w:rPr>
        <w:t>[29]</w:t>
      </w:r>
      <w:r w:rsidRPr="00F8752C">
        <w:rPr>
          <w:rFonts w:cs="Arial"/>
          <w:bCs/>
          <w:szCs w:val="22"/>
        </w:rPr>
        <w:tab/>
      </w:r>
      <w:r w:rsidR="00007723" w:rsidRPr="00FB1A8A">
        <w:rPr>
          <w:rFonts w:cs="Arial"/>
          <w:bCs/>
          <w:szCs w:val="22"/>
        </w:rPr>
        <w:t>The list above is not intended</w:t>
      </w:r>
      <w:r w:rsidR="00F8752C" w:rsidRPr="00FB1A8A">
        <w:rPr>
          <w:rFonts w:cs="Arial"/>
          <w:bCs/>
          <w:szCs w:val="22"/>
        </w:rPr>
        <w:t xml:space="preserve"> to be a closed list of</w:t>
      </w:r>
      <w:r w:rsidR="00007723" w:rsidRPr="00FB1A8A">
        <w:rPr>
          <w:rFonts w:cs="Arial"/>
          <w:bCs/>
          <w:szCs w:val="22"/>
        </w:rPr>
        <w:t xml:space="preserve"> provisions </w:t>
      </w:r>
      <w:r w:rsidR="00F8752C" w:rsidRPr="00FB1A8A">
        <w:rPr>
          <w:rFonts w:cs="Arial"/>
          <w:bCs/>
          <w:szCs w:val="22"/>
        </w:rPr>
        <w:t>suitable</w:t>
      </w:r>
      <w:r w:rsidR="005B1DBB" w:rsidRPr="00FB1A8A">
        <w:rPr>
          <w:rFonts w:cs="Arial"/>
          <w:bCs/>
          <w:szCs w:val="22"/>
        </w:rPr>
        <w:t xml:space="preserve"> for inclusion</w:t>
      </w:r>
      <w:r w:rsidR="00007723" w:rsidRPr="00FB1A8A">
        <w:rPr>
          <w:rFonts w:cs="Arial"/>
          <w:bCs/>
          <w:szCs w:val="22"/>
        </w:rPr>
        <w:t xml:space="preserve"> in a trust deed for the benefit of a major who requires assistance in the management of </w:t>
      </w:r>
      <w:r w:rsidR="005B1DBB" w:rsidRPr="00FB1A8A">
        <w:rPr>
          <w:rFonts w:cs="Arial"/>
          <w:bCs/>
          <w:szCs w:val="22"/>
        </w:rPr>
        <w:t xml:space="preserve">his / </w:t>
      </w:r>
      <w:r w:rsidR="00007723" w:rsidRPr="00FB1A8A">
        <w:rPr>
          <w:rFonts w:cs="Arial"/>
          <w:bCs/>
          <w:szCs w:val="22"/>
        </w:rPr>
        <w:t xml:space="preserve">her </w:t>
      </w:r>
      <w:r w:rsidR="005058B7" w:rsidRPr="00FB1A8A">
        <w:rPr>
          <w:rFonts w:cs="Arial"/>
          <w:bCs/>
          <w:szCs w:val="22"/>
        </w:rPr>
        <w:t xml:space="preserve">financial </w:t>
      </w:r>
      <w:r w:rsidR="00007723" w:rsidRPr="00FB1A8A">
        <w:rPr>
          <w:rFonts w:cs="Arial"/>
          <w:bCs/>
          <w:szCs w:val="22"/>
        </w:rPr>
        <w:t xml:space="preserve">affairs.  </w:t>
      </w:r>
      <w:r w:rsidR="00AB3BBB" w:rsidRPr="00FB1A8A">
        <w:rPr>
          <w:rFonts w:cs="Arial"/>
          <w:bCs/>
          <w:szCs w:val="22"/>
        </w:rPr>
        <w:t>The parties are referred to the judgment of the Full Bench</w:t>
      </w:r>
      <w:r w:rsidR="005A7732" w:rsidRPr="00FB1A8A">
        <w:rPr>
          <w:rFonts w:cs="Arial"/>
          <w:bCs/>
          <w:szCs w:val="22"/>
        </w:rPr>
        <w:t xml:space="preserve"> of this Division</w:t>
      </w:r>
      <w:r w:rsidR="00AB3BBB" w:rsidRPr="00FB1A8A">
        <w:rPr>
          <w:rFonts w:cs="Arial"/>
          <w:bCs/>
          <w:szCs w:val="22"/>
        </w:rPr>
        <w:t xml:space="preserve">, Pretoria, in </w:t>
      </w:r>
      <w:r w:rsidR="00AB3BBB" w:rsidRPr="00FB1A8A">
        <w:rPr>
          <w:rFonts w:cs="Arial"/>
          <w:bCs/>
          <w:i/>
          <w:szCs w:val="22"/>
        </w:rPr>
        <w:t>The Master v LPC and Others</w:t>
      </w:r>
      <w:r w:rsidR="00D70230" w:rsidRPr="00FB1A8A">
        <w:rPr>
          <w:rFonts w:cs="Arial"/>
          <w:bCs/>
          <w:i/>
          <w:szCs w:val="22"/>
        </w:rPr>
        <w:t>.</w:t>
      </w:r>
      <w:r w:rsidR="00AB3BBB">
        <w:rPr>
          <w:rStyle w:val="FootnoteReference"/>
          <w:rFonts w:cs="Arial"/>
          <w:bCs/>
          <w:szCs w:val="22"/>
        </w:rPr>
        <w:footnoteReference w:id="4"/>
      </w:r>
      <w:r w:rsidR="00AB3BBB" w:rsidRPr="00FB1A8A">
        <w:rPr>
          <w:rFonts w:cs="Arial"/>
          <w:bCs/>
          <w:szCs w:val="22"/>
        </w:rPr>
        <w:t xml:space="preserve"> </w:t>
      </w:r>
    </w:p>
    <w:p w14:paraId="0930B70B" w14:textId="4C0DCA88" w:rsidR="00BB53B0" w:rsidRPr="00FB1A8A" w:rsidRDefault="00FB1A8A" w:rsidP="00FB1A8A">
      <w:pPr>
        <w:tabs>
          <w:tab w:val="left" w:pos="567"/>
        </w:tabs>
        <w:spacing w:before="480" w:after="480" w:line="480" w:lineRule="auto"/>
        <w:rPr>
          <w:rFonts w:cs="Arial"/>
          <w:bCs/>
          <w:szCs w:val="22"/>
        </w:rPr>
      </w:pPr>
      <w:r>
        <w:rPr>
          <w:rFonts w:cs="Arial"/>
          <w:bCs/>
          <w:szCs w:val="22"/>
        </w:rPr>
        <w:t>[30]</w:t>
      </w:r>
      <w:r>
        <w:rPr>
          <w:rFonts w:cs="Arial"/>
          <w:bCs/>
          <w:szCs w:val="22"/>
        </w:rPr>
        <w:tab/>
      </w:r>
      <w:r w:rsidR="00571AB0" w:rsidRPr="00FB1A8A">
        <w:rPr>
          <w:rFonts w:cs="Arial"/>
          <w:bCs/>
          <w:szCs w:val="22"/>
        </w:rPr>
        <w:t xml:space="preserve">The order </w:t>
      </w:r>
      <w:r w:rsidR="00571AB0" w:rsidRPr="00FB1A8A">
        <w:rPr>
          <w:rFonts w:cs="Arial"/>
          <w:bCs/>
          <w:i/>
          <w:szCs w:val="22"/>
        </w:rPr>
        <w:t>a quo</w:t>
      </w:r>
      <w:r w:rsidR="00541546" w:rsidRPr="00FB1A8A">
        <w:rPr>
          <w:rFonts w:cs="Arial"/>
          <w:bCs/>
          <w:szCs w:val="22"/>
        </w:rPr>
        <w:t xml:space="preserve"> terminating the Trust and the transfer of the Trust funds into the respondent’s attorney’s trust account</w:t>
      </w:r>
      <w:r w:rsidR="00571AB0" w:rsidRPr="00FB1A8A">
        <w:rPr>
          <w:rFonts w:cs="Arial"/>
          <w:bCs/>
          <w:i/>
          <w:szCs w:val="22"/>
        </w:rPr>
        <w:t xml:space="preserve"> </w:t>
      </w:r>
      <w:r w:rsidR="00571AB0" w:rsidRPr="00FB1A8A">
        <w:rPr>
          <w:rFonts w:cs="Arial"/>
          <w:bCs/>
          <w:szCs w:val="22"/>
        </w:rPr>
        <w:t xml:space="preserve">will result in the </w:t>
      </w:r>
      <w:r w:rsidR="00541546" w:rsidRPr="00FB1A8A">
        <w:rPr>
          <w:rFonts w:cs="Arial"/>
          <w:bCs/>
          <w:szCs w:val="22"/>
        </w:rPr>
        <w:t>dismissal of the trustees,</w:t>
      </w:r>
      <w:r w:rsidR="00571AB0" w:rsidRPr="00FB1A8A">
        <w:rPr>
          <w:rFonts w:cs="Arial"/>
          <w:bCs/>
          <w:szCs w:val="22"/>
        </w:rPr>
        <w:t xml:space="preserve"> their replacement with parties </w:t>
      </w:r>
      <w:r w:rsidR="00541546" w:rsidRPr="00FB1A8A">
        <w:rPr>
          <w:rFonts w:cs="Arial"/>
          <w:bCs/>
          <w:szCs w:val="22"/>
        </w:rPr>
        <w:t xml:space="preserve">of </w:t>
      </w:r>
      <w:r w:rsidR="00F8752C" w:rsidRPr="00FB1A8A">
        <w:rPr>
          <w:rFonts w:cs="Arial"/>
          <w:bCs/>
          <w:szCs w:val="22"/>
        </w:rPr>
        <w:t xml:space="preserve">the </w:t>
      </w:r>
      <w:r w:rsidR="00541546" w:rsidRPr="00FB1A8A">
        <w:rPr>
          <w:rFonts w:cs="Arial"/>
          <w:bCs/>
          <w:szCs w:val="22"/>
        </w:rPr>
        <w:t>respondent’s choice</w:t>
      </w:r>
      <w:r w:rsidR="005B1DBB" w:rsidRPr="00FB1A8A">
        <w:rPr>
          <w:rFonts w:cs="Arial"/>
          <w:bCs/>
          <w:szCs w:val="22"/>
        </w:rPr>
        <w:t>,</w:t>
      </w:r>
      <w:r w:rsidR="00541546" w:rsidRPr="00FB1A8A">
        <w:rPr>
          <w:rFonts w:cs="Arial"/>
          <w:bCs/>
          <w:szCs w:val="22"/>
        </w:rPr>
        <w:t xml:space="preserve"> </w:t>
      </w:r>
      <w:r w:rsidR="00571AB0" w:rsidRPr="00FB1A8A">
        <w:rPr>
          <w:rFonts w:cs="Arial"/>
          <w:bCs/>
          <w:szCs w:val="22"/>
        </w:rPr>
        <w:t>not subject to the scrutiny of the Master</w:t>
      </w:r>
      <w:r w:rsidR="005B1DBB" w:rsidRPr="00FB1A8A">
        <w:rPr>
          <w:rFonts w:cs="Arial"/>
          <w:bCs/>
          <w:szCs w:val="22"/>
        </w:rPr>
        <w:t>,</w:t>
      </w:r>
      <w:r w:rsidR="00541546" w:rsidRPr="00FB1A8A">
        <w:rPr>
          <w:rFonts w:cs="Arial"/>
          <w:bCs/>
          <w:szCs w:val="22"/>
        </w:rPr>
        <w:t xml:space="preserve"> and t</w:t>
      </w:r>
      <w:r w:rsidR="00571AB0" w:rsidRPr="00FB1A8A">
        <w:rPr>
          <w:rFonts w:cs="Arial"/>
          <w:bCs/>
          <w:szCs w:val="22"/>
        </w:rPr>
        <w:t>he absence of security in</w:t>
      </w:r>
      <w:r w:rsidR="005B1DBB" w:rsidRPr="00FB1A8A">
        <w:rPr>
          <w:rFonts w:cs="Arial"/>
          <w:bCs/>
          <w:szCs w:val="22"/>
        </w:rPr>
        <w:t xml:space="preserve"> the interim in</w:t>
      </w:r>
      <w:r w:rsidR="00571AB0" w:rsidRPr="00FB1A8A">
        <w:rPr>
          <w:rFonts w:cs="Arial"/>
          <w:bCs/>
          <w:szCs w:val="22"/>
        </w:rPr>
        <w:t xml:space="preserve"> respect of the Trust fund. The consequences of such order</w:t>
      </w:r>
      <w:r w:rsidR="00541546" w:rsidRPr="00FB1A8A">
        <w:rPr>
          <w:rFonts w:cs="Arial"/>
          <w:bCs/>
          <w:szCs w:val="22"/>
        </w:rPr>
        <w:t xml:space="preserve"> are potentially prejudicial in the extreme to the respondent. In addition, </w:t>
      </w:r>
      <w:r w:rsidR="00571AB0" w:rsidRPr="00FB1A8A">
        <w:rPr>
          <w:rFonts w:cs="Arial"/>
          <w:bCs/>
          <w:szCs w:val="22"/>
        </w:rPr>
        <w:t xml:space="preserve">the unwinding of the extant investments </w:t>
      </w:r>
      <w:r w:rsidR="004C7F5C" w:rsidRPr="00FB1A8A">
        <w:rPr>
          <w:rFonts w:cs="Arial"/>
          <w:bCs/>
          <w:szCs w:val="22"/>
        </w:rPr>
        <w:t>may serve</w:t>
      </w:r>
      <w:r w:rsidR="00571AB0" w:rsidRPr="00FB1A8A">
        <w:rPr>
          <w:rFonts w:cs="Arial"/>
          <w:bCs/>
          <w:szCs w:val="22"/>
        </w:rPr>
        <w:t xml:space="preserve"> to incur costs that might otherwise be avoided</w:t>
      </w:r>
      <w:r w:rsidR="00670B59" w:rsidRPr="00FB1A8A">
        <w:rPr>
          <w:rFonts w:cs="Arial"/>
          <w:bCs/>
          <w:szCs w:val="22"/>
        </w:rPr>
        <w:t>, for</w:t>
      </w:r>
      <w:r w:rsidR="00541546" w:rsidRPr="00FB1A8A">
        <w:rPr>
          <w:rFonts w:cs="Arial"/>
          <w:bCs/>
          <w:szCs w:val="22"/>
        </w:rPr>
        <w:t xml:space="preserve"> the account of the Trust.</w:t>
      </w:r>
    </w:p>
    <w:p w14:paraId="44B0212F" w14:textId="1EB07759" w:rsidR="00541546" w:rsidRPr="00FB1A8A" w:rsidRDefault="00FB1A8A" w:rsidP="00FB1A8A">
      <w:pPr>
        <w:tabs>
          <w:tab w:val="left" w:pos="567"/>
        </w:tabs>
        <w:spacing w:before="480" w:after="480" w:line="480" w:lineRule="auto"/>
        <w:rPr>
          <w:rFonts w:cs="Arial"/>
          <w:bCs/>
          <w:szCs w:val="22"/>
        </w:rPr>
      </w:pPr>
      <w:r w:rsidRPr="00BB53B0">
        <w:rPr>
          <w:rFonts w:cs="Arial"/>
          <w:bCs/>
          <w:szCs w:val="22"/>
        </w:rPr>
        <w:t>[31]</w:t>
      </w:r>
      <w:r w:rsidRPr="00BB53B0">
        <w:rPr>
          <w:rFonts w:cs="Arial"/>
          <w:bCs/>
          <w:szCs w:val="22"/>
        </w:rPr>
        <w:tab/>
      </w:r>
      <w:r w:rsidR="00541546" w:rsidRPr="00FB1A8A">
        <w:rPr>
          <w:rFonts w:cs="Arial"/>
          <w:bCs/>
          <w:szCs w:val="22"/>
        </w:rPr>
        <w:t xml:space="preserve">I agree that terminating the Trust as ordered </w:t>
      </w:r>
      <w:r w:rsidR="00541546" w:rsidRPr="00FB1A8A">
        <w:rPr>
          <w:rFonts w:cs="Arial"/>
          <w:bCs/>
          <w:i/>
          <w:szCs w:val="22"/>
        </w:rPr>
        <w:t xml:space="preserve">a quo </w:t>
      </w:r>
      <w:r w:rsidR="00541546" w:rsidRPr="00FB1A8A">
        <w:rPr>
          <w:rFonts w:cs="Arial"/>
          <w:bCs/>
          <w:szCs w:val="22"/>
        </w:rPr>
        <w:t xml:space="preserve">will render the respondent vulnerable and will not advance the beneficiary’s interests. </w:t>
      </w:r>
    </w:p>
    <w:p w14:paraId="33F5E19D" w14:textId="3C1C018C" w:rsidR="00541546" w:rsidRPr="00FB1A8A" w:rsidRDefault="00FB1A8A" w:rsidP="00FB1A8A">
      <w:pPr>
        <w:tabs>
          <w:tab w:val="left" w:pos="567"/>
        </w:tabs>
        <w:spacing w:before="480" w:after="480" w:line="480" w:lineRule="auto"/>
        <w:rPr>
          <w:rFonts w:cs="Arial"/>
          <w:bCs/>
          <w:szCs w:val="22"/>
        </w:rPr>
      </w:pPr>
      <w:r w:rsidRPr="00BB53B0">
        <w:rPr>
          <w:rFonts w:cs="Arial"/>
          <w:bCs/>
          <w:szCs w:val="22"/>
        </w:rPr>
        <w:t>[32]</w:t>
      </w:r>
      <w:r w:rsidRPr="00BB53B0">
        <w:rPr>
          <w:rFonts w:cs="Arial"/>
          <w:bCs/>
          <w:szCs w:val="22"/>
        </w:rPr>
        <w:tab/>
      </w:r>
      <w:r w:rsidR="00541546" w:rsidRPr="00FB1A8A">
        <w:rPr>
          <w:rFonts w:cs="Arial"/>
          <w:bCs/>
          <w:szCs w:val="22"/>
        </w:rPr>
        <w:t>Moreover, the Trust deed can be amended so as to ensure that the purpose of the court order is serv</w:t>
      </w:r>
      <w:r w:rsidR="00F05B0B" w:rsidRPr="00FB1A8A">
        <w:rPr>
          <w:rFonts w:cs="Arial"/>
          <w:bCs/>
          <w:szCs w:val="22"/>
        </w:rPr>
        <w:t>ed by the amended Trust deed,</w:t>
      </w:r>
      <w:r w:rsidR="00541546" w:rsidRPr="00FB1A8A">
        <w:rPr>
          <w:rFonts w:cs="Arial"/>
          <w:bCs/>
          <w:szCs w:val="22"/>
        </w:rPr>
        <w:t xml:space="preserve"> that the respondent remains protected </w:t>
      </w:r>
      <w:r w:rsidR="00F05B0B" w:rsidRPr="00FB1A8A">
        <w:rPr>
          <w:rFonts w:cs="Arial"/>
          <w:bCs/>
          <w:szCs w:val="22"/>
        </w:rPr>
        <w:t>by</w:t>
      </w:r>
      <w:r w:rsidR="00541546" w:rsidRPr="00FB1A8A">
        <w:rPr>
          <w:rFonts w:cs="Arial"/>
          <w:bCs/>
          <w:szCs w:val="22"/>
        </w:rPr>
        <w:t xml:space="preserve"> </w:t>
      </w:r>
      <w:r w:rsidR="00F05B0B" w:rsidRPr="00FB1A8A">
        <w:rPr>
          <w:rFonts w:cs="Arial"/>
          <w:bCs/>
          <w:szCs w:val="22"/>
        </w:rPr>
        <w:t xml:space="preserve">the existing security in the interim, and </w:t>
      </w:r>
      <w:r w:rsidR="00541546" w:rsidRPr="00FB1A8A">
        <w:rPr>
          <w:rFonts w:cs="Arial"/>
          <w:bCs/>
          <w:szCs w:val="22"/>
        </w:rPr>
        <w:t>the ame</w:t>
      </w:r>
      <w:r w:rsidR="00F05B0B" w:rsidRPr="00FB1A8A">
        <w:rPr>
          <w:rFonts w:cs="Arial"/>
          <w:bCs/>
          <w:szCs w:val="22"/>
        </w:rPr>
        <w:t>ndment of the Trust deed is</w:t>
      </w:r>
      <w:r w:rsidR="00541546" w:rsidRPr="00FB1A8A">
        <w:rPr>
          <w:rFonts w:cs="Arial"/>
          <w:bCs/>
          <w:szCs w:val="22"/>
        </w:rPr>
        <w:t xml:space="preserve"> subject to the oversight of this Court.    </w:t>
      </w:r>
    </w:p>
    <w:p w14:paraId="305DDC3E" w14:textId="0F075547" w:rsidR="00541546" w:rsidRPr="00FB1A8A" w:rsidRDefault="00FB1A8A" w:rsidP="00FB1A8A">
      <w:pPr>
        <w:tabs>
          <w:tab w:val="left" w:pos="567"/>
        </w:tabs>
        <w:spacing w:before="480" w:after="480" w:line="480" w:lineRule="auto"/>
        <w:rPr>
          <w:rFonts w:cs="Arial"/>
          <w:bCs/>
          <w:szCs w:val="22"/>
        </w:rPr>
      </w:pPr>
      <w:r w:rsidRPr="00541546">
        <w:rPr>
          <w:rFonts w:cs="Arial"/>
          <w:bCs/>
          <w:szCs w:val="22"/>
        </w:rPr>
        <w:t>[33]</w:t>
      </w:r>
      <w:r w:rsidRPr="00541546">
        <w:rPr>
          <w:rFonts w:cs="Arial"/>
          <w:bCs/>
          <w:szCs w:val="22"/>
        </w:rPr>
        <w:tab/>
      </w:r>
      <w:r w:rsidR="00541546" w:rsidRPr="00FB1A8A">
        <w:rPr>
          <w:rFonts w:cs="Arial"/>
          <w:bCs/>
          <w:szCs w:val="22"/>
        </w:rPr>
        <w:t xml:space="preserve">It is not this Court’s task however to amend or redraft the Trust deed as it is not for a court to draft contracts for the parties. The appropriate manner of amending the Trust deed, in my view, is that the appellant and the respondent’s legal representatives draft a proposed amended Trust deed and place it before us for consideration. </w:t>
      </w:r>
    </w:p>
    <w:p w14:paraId="0B6C3AFD" w14:textId="180A3009" w:rsidR="00670B59" w:rsidRPr="00FB1A8A" w:rsidRDefault="00FB1A8A" w:rsidP="00FB1A8A">
      <w:pPr>
        <w:tabs>
          <w:tab w:val="left" w:pos="567"/>
        </w:tabs>
        <w:spacing w:before="480" w:after="480" w:line="480" w:lineRule="auto"/>
        <w:rPr>
          <w:rFonts w:cs="Arial"/>
          <w:bCs/>
          <w:szCs w:val="22"/>
        </w:rPr>
      </w:pPr>
      <w:r w:rsidRPr="00F05B0B">
        <w:rPr>
          <w:rFonts w:cs="Arial"/>
          <w:bCs/>
          <w:szCs w:val="22"/>
        </w:rPr>
        <w:t>[34]</w:t>
      </w:r>
      <w:r w:rsidRPr="00F05B0B">
        <w:rPr>
          <w:rFonts w:cs="Arial"/>
          <w:bCs/>
          <w:szCs w:val="22"/>
        </w:rPr>
        <w:tab/>
      </w:r>
      <w:r w:rsidR="00670B59" w:rsidRPr="00FB1A8A">
        <w:rPr>
          <w:rFonts w:cs="Arial"/>
          <w:bCs/>
          <w:szCs w:val="22"/>
        </w:rPr>
        <w:t xml:space="preserve">Accordingly, I propose that the order </w:t>
      </w:r>
      <w:r w:rsidR="00670B59" w:rsidRPr="00FB1A8A">
        <w:rPr>
          <w:rFonts w:cs="Arial"/>
          <w:bCs/>
          <w:i/>
          <w:szCs w:val="22"/>
        </w:rPr>
        <w:t>a quo</w:t>
      </w:r>
      <w:r w:rsidR="004C7F5C" w:rsidRPr="00FB1A8A">
        <w:rPr>
          <w:rFonts w:cs="Arial"/>
          <w:bCs/>
          <w:szCs w:val="22"/>
        </w:rPr>
        <w:t xml:space="preserve"> terminating the Trust</w:t>
      </w:r>
      <w:r w:rsidR="000F59F4" w:rsidRPr="00FB1A8A">
        <w:rPr>
          <w:rFonts w:cs="Arial"/>
          <w:bCs/>
          <w:szCs w:val="22"/>
        </w:rPr>
        <w:t xml:space="preserve"> be set aside and that the parties legal repre</w:t>
      </w:r>
      <w:r w:rsidR="004C7F5C" w:rsidRPr="00FB1A8A">
        <w:rPr>
          <w:rFonts w:cs="Arial"/>
          <w:bCs/>
          <w:szCs w:val="22"/>
        </w:rPr>
        <w:t xml:space="preserve">sentatives </w:t>
      </w:r>
      <w:r w:rsidR="00C72BAF" w:rsidRPr="00FB1A8A">
        <w:rPr>
          <w:rFonts w:cs="Arial"/>
          <w:bCs/>
          <w:szCs w:val="22"/>
        </w:rPr>
        <w:t>furnish this C</w:t>
      </w:r>
      <w:r w:rsidR="00F05B0B" w:rsidRPr="00FB1A8A">
        <w:rPr>
          <w:rFonts w:cs="Arial"/>
          <w:bCs/>
          <w:szCs w:val="22"/>
        </w:rPr>
        <w:t>ourt with the</w:t>
      </w:r>
      <w:r w:rsidR="00C72BAF" w:rsidRPr="00FB1A8A">
        <w:rPr>
          <w:rFonts w:cs="Arial"/>
          <w:bCs/>
          <w:szCs w:val="22"/>
        </w:rPr>
        <w:t xml:space="preserve"> proposed</w:t>
      </w:r>
      <w:r w:rsidR="000F59F4" w:rsidRPr="00FB1A8A">
        <w:rPr>
          <w:rFonts w:cs="Arial"/>
          <w:bCs/>
          <w:szCs w:val="22"/>
        </w:rPr>
        <w:t xml:space="preserve"> amended draft Trust dee</w:t>
      </w:r>
      <w:r w:rsidR="00C72BAF" w:rsidRPr="00FB1A8A">
        <w:rPr>
          <w:rFonts w:cs="Arial"/>
          <w:bCs/>
          <w:szCs w:val="22"/>
        </w:rPr>
        <w:t>d, within 15 days of the date of the electronic del</w:t>
      </w:r>
      <w:r w:rsidR="00F05B0B" w:rsidRPr="00FB1A8A">
        <w:rPr>
          <w:rFonts w:cs="Arial"/>
          <w:bCs/>
          <w:szCs w:val="22"/>
        </w:rPr>
        <w:t xml:space="preserve">ivery of this judgment, for </w:t>
      </w:r>
      <w:r w:rsidR="004C7F5C" w:rsidRPr="00FB1A8A">
        <w:rPr>
          <w:rFonts w:cs="Arial"/>
          <w:bCs/>
          <w:szCs w:val="22"/>
        </w:rPr>
        <w:t xml:space="preserve">the </w:t>
      </w:r>
      <w:r w:rsidR="00F05B0B" w:rsidRPr="00FB1A8A">
        <w:rPr>
          <w:rFonts w:cs="Arial"/>
          <w:bCs/>
          <w:szCs w:val="22"/>
        </w:rPr>
        <w:t>consideration</w:t>
      </w:r>
      <w:r w:rsidR="004C7F5C" w:rsidRPr="00FB1A8A">
        <w:rPr>
          <w:rFonts w:cs="Arial"/>
          <w:bCs/>
          <w:szCs w:val="22"/>
        </w:rPr>
        <w:t xml:space="preserve"> of this Court</w:t>
      </w:r>
      <w:r w:rsidR="00F05B0B" w:rsidRPr="00FB1A8A">
        <w:rPr>
          <w:rFonts w:cs="Arial"/>
          <w:bCs/>
          <w:szCs w:val="22"/>
        </w:rPr>
        <w:t>.</w:t>
      </w:r>
    </w:p>
    <w:p w14:paraId="13734BBC" w14:textId="3E4647D7" w:rsidR="00BB53B0" w:rsidRPr="00FB1A8A" w:rsidRDefault="00FB1A8A" w:rsidP="00FB1A8A">
      <w:pPr>
        <w:tabs>
          <w:tab w:val="left" w:pos="567"/>
        </w:tabs>
        <w:spacing w:before="480" w:after="480" w:line="480" w:lineRule="auto"/>
        <w:rPr>
          <w:rFonts w:cs="Arial"/>
          <w:bCs/>
          <w:szCs w:val="22"/>
        </w:rPr>
      </w:pPr>
      <w:r w:rsidRPr="005B1DBB">
        <w:rPr>
          <w:rFonts w:cs="Arial"/>
          <w:bCs/>
          <w:szCs w:val="22"/>
        </w:rPr>
        <w:t>[35]</w:t>
      </w:r>
      <w:r w:rsidRPr="005B1DBB">
        <w:rPr>
          <w:rFonts w:cs="Arial"/>
          <w:bCs/>
          <w:szCs w:val="22"/>
        </w:rPr>
        <w:tab/>
      </w:r>
      <w:r w:rsidR="0056298E" w:rsidRPr="00FB1A8A">
        <w:rPr>
          <w:rFonts w:cs="Arial"/>
          <w:bCs/>
          <w:szCs w:val="22"/>
        </w:rPr>
        <w:t>The removal of</w:t>
      </w:r>
      <w:r w:rsidR="00DB1FC3" w:rsidRPr="00FB1A8A">
        <w:rPr>
          <w:rFonts w:cs="Arial"/>
          <w:bCs/>
          <w:szCs w:val="22"/>
        </w:rPr>
        <w:t xml:space="preserve"> </w:t>
      </w:r>
      <w:r w:rsidR="0056298E" w:rsidRPr="00FB1A8A">
        <w:rPr>
          <w:rFonts w:cs="Arial"/>
          <w:bCs/>
          <w:szCs w:val="22"/>
        </w:rPr>
        <w:t xml:space="preserve">trustees is governed by s </w:t>
      </w:r>
      <w:r w:rsidR="000F59F4" w:rsidRPr="00FB1A8A">
        <w:rPr>
          <w:rFonts w:cs="Arial"/>
          <w:bCs/>
          <w:szCs w:val="22"/>
        </w:rPr>
        <w:t>20 of the Trust Act, which provides that the court be</w:t>
      </w:r>
      <w:r w:rsidR="00DB1FC3" w:rsidRPr="00FB1A8A">
        <w:rPr>
          <w:rFonts w:cs="Arial"/>
          <w:bCs/>
          <w:szCs w:val="22"/>
        </w:rPr>
        <w:t xml:space="preserve"> satisfied “that such removal will be in the interest of the trust and its beneficiaries”.</w:t>
      </w:r>
    </w:p>
    <w:p w14:paraId="6015BCF8" w14:textId="79CAA4CA" w:rsidR="00F409FA" w:rsidRPr="00FB1A8A" w:rsidRDefault="00FB1A8A" w:rsidP="00FB1A8A">
      <w:pPr>
        <w:tabs>
          <w:tab w:val="left" w:pos="567"/>
        </w:tabs>
        <w:spacing w:before="480" w:after="480" w:line="480" w:lineRule="auto"/>
        <w:rPr>
          <w:rFonts w:cs="Arial"/>
          <w:b/>
          <w:bCs/>
          <w:szCs w:val="22"/>
        </w:rPr>
      </w:pPr>
      <w:r w:rsidRPr="00F409FA">
        <w:rPr>
          <w:rFonts w:cs="Arial"/>
          <w:bCs/>
          <w:szCs w:val="22"/>
        </w:rPr>
        <w:t>[36]</w:t>
      </w:r>
      <w:r w:rsidRPr="00F409FA">
        <w:rPr>
          <w:rFonts w:cs="Arial"/>
          <w:bCs/>
          <w:szCs w:val="22"/>
        </w:rPr>
        <w:tab/>
      </w:r>
      <w:r w:rsidR="00DB1FC3" w:rsidRPr="00FB1A8A">
        <w:rPr>
          <w:rFonts w:cs="Arial"/>
          <w:bCs/>
          <w:szCs w:val="22"/>
        </w:rPr>
        <w:t xml:space="preserve">The appellants relied upon </w:t>
      </w:r>
      <w:r w:rsidR="00F05B0B" w:rsidRPr="00FB1A8A">
        <w:rPr>
          <w:rFonts w:cs="Arial"/>
          <w:bCs/>
          <w:i/>
          <w:szCs w:val="22"/>
        </w:rPr>
        <w:t>Gowar &amp; Another v Gowar</w:t>
      </w:r>
      <w:r w:rsidR="00DB1FC3" w:rsidRPr="00FB1A8A">
        <w:rPr>
          <w:rFonts w:cs="Arial"/>
          <w:bCs/>
          <w:i/>
          <w:szCs w:val="22"/>
        </w:rPr>
        <w:t xml:space="preserve"> &amp; Others</w:t>
      </w:r>
      <w:r w:rsidR="00F05B0B" w:rsidRPr="00FB1A8A">
        <w:rPr>
          <w:rFonts w:cs="Arial"/>
          <w:bCs/>
          <w:i/>
          <w:szCs w:val="22"/>
        </w:rPr>
        <w:t>,</w:t>
      </w:r>
      <w:r w:rsidR="00DB1FC3">
        <w:rPr>
          <w:rStyle w:val="FootnoteReference"/>
          <w:bCs/>
          <w:i/>
          <w:szCs w:val="22"/>
        </w:rPr>
        <w:footnoteReference w:id="5"/>
      </w:r>
      <w:r w:rsidR="00DB1FC3" w:rsidRPr="00FB1A8A">
        <w:rPr>
          <w:rFonts w:cs="Arial"/>
          <w:bCs/>
          <w:szCs w:val="22"/>
        </w:rPr>
        <w:t xml:space="preserve"> which clarified that in addition to the powe</w:t>
      </w:r>
      <w:r w:rsidR="00C72BAF" w:rsidRPr="00FB1A8A">
        <w:rPr>
          <w:rFonts w:cs="Arial"/>
          <w:bCs/>
          <w:szCs w:val="22"/>
        </w:rPr>
        <w:t>rs sourced in the Trust Act, a c</w:t>
      </w:r>
      <w:r w:rsidR="00DB1FC3" w:rsidRPr="00FB1A8A">
        <w:rPr>
          <w:rFonts w:cs="Arial"/>
          <w:bCs/>
          <w:szCs w:val="22"/>
        </w:rPr>
        <w:t>ourt has an inherent power to remove a trustee “when continuance in office will prevent the trust being properly administered or will be detrimental to the welfare of the beneficiaries”</w:t>
      </w:r>
      <w:r w:rsidR="00DB1FC3" w:rsidRPr="00FB1A8A">
        <w:rPr>
          <w:rFonts w:cs="Arial"/>
          <w:bCs/>
          <w:i/>
          <w:szCs w:val="22"/>
        </w:rPr>
        <w:t>.</w:t>
      </w:r>
      <w:r w:rsidR="00DB1FC3" w:rsidRPr="00FB1A8A">
        <w:rPr>
          <w:rFonts w:cs="Arial"/>
          <w:bCs/>
          <w:szCs w:val="22"/>
        </w:rPr>
        <w:t xml:space="preserve"> In </w:t>
      </w:r>
      <w:r w:rsidR="00F409FA" w:rsidRPr="00FB1A8A">
        <w:rPr>
          <w:rFonts w:cs="Arial"/>
          <w:bCs/>
          <w:i/>
          <w:szCs w:val="22"/>
        </w:rPr>
        <w:t>Volkwyn N.O. v Clarke  and Damant</w:t>
      </w:r>
      <w:r w:rsidR="00F409FA">
        <w:rPr>
          <w:rStyle w:val="FootnoteReference"/>
          <w:rFonts w:cs="Arial"/>
          <w:bCs/>
          <w:i/>
          <w:szCs w:val="22"/>
        </w:rPr>
        <w:footnoteReference w:id="6"/>
      </w:r>
      <w:r w:rsidR="00F409FA" w:rsidRPr="00FB1A8A">
        <w:rPr>
          <w:rFonts w:cs="Arial"/>
          <w:bCs/>
          <w:i/>
          <w:szCs w:val="22"/>
        </w:rPr>
        <w:t xml:space="preserve"> the court found that even if an executor had not acted strictly in accordance wi</w:t>
      </w:r>
      <w:r w:rsidR="0091357B" w:rsidRPr="00FB1A8A">
        <w:rPr>
          <w:rFonts w:cs="Arial"/>
          <w:bCs/>
          <w:i/>
          <w:szCs w:val="22"/>
        </w:rPr>
        <w:t xml:space="preserve">th his </w:t>
      </w:r>
      <w:r w:rsidR="00F409FA" w:rsidRPr="00FB1A8A">
        <w:rPr>
          <w:rFonts w:cs="Arial"/>
          <w:bCs/>
          <w:i/>
          <w:szCs w:val="22"/>
        </w:rPr>
        <w:t>duties and the strict requirements of the law, something more was required before removal from office was warranted.</w:t>
      </w:r>
    </w:p>
    <w:p w14:paraId="38D87D1D" w14:textId="665C93DA" w:rsidR="0020049E" w:rsidRPr="00FB1A8A" w:rsidRDefault="00FB1A8A" w:rsidP="00FB1A8A">
      <w:pPr>
        <w:tabs>
          <w:tab w:val="left" w:pos="567"/>
        </w:tabs>
        <w:spacing w:before="480" w:after="480" w:line="480" w:lineRule="auto"/>
        <w:rPr>
          <w:rFonts w:cs="Arial"/>
          <w:b/>
          <w:bCs/>
          <w:szCs w:val="22"/>
        </w:rPr>
      </w:pPr>
      <w:r w:rsidRPr="005B1DBB">
        <w:rPr>
          <w:rFonts w:cs="Arial"/>
          <w:bCs/>
          <w:szCs w:val="22"/>
        </w:rPr>
        <w:t>[37]</w:t>
      </w:r>
      <w:r w:rsidRPr="005B1DBB">
        <w:rPr>
          <w:rFonts w:cs="Arial"/>
          <w:bCs/>
          <w:szCs w:val="22"/>
        </w:rPr>
        <w:tab/>
      </w:r>
      <w:r w:rsidR="00160C31" w:rsidRPr="00FB1A8A">
        <w:rPr>
          <w:rFonts w:cs="Arial"/>
          <w:bCs/>
          <w:szCs w:val="22"/>
        </w:rPr>
        <w:t>The court in</w:t>
      </w:r>
      <w:r w:rsidR="00160C31" w:rsidRPr="00FB1A8A">
        <w:rPr>
          <w:rFonts w:cs="Arial"/>
          <w:bCs/>
          <w:i/>
          <w:szCs w:val="22"/>
        </w:rPr>
        <w:t xml:space="preserve"> </w:t>
      </w:r>
      <w:r w:rsidR="00F409FA" w:rsidRPr="00FB1A8A">
        <w:rPr>
          <w:rFonts w:cs="Arial"/>
          <w:bCs/>
          <w:i/>
          <w:szCs w:val="22"/>
        </w:rPr>
        <w:t>Gowar</w:t>
      </w:r>
      <w:r w:rsidR="0091357B">
        <w:rPr>
          <w:rStyle w:val="FootnoteReference"/>
          <w:rFonts w:cs="Arial"/>
          <w:bCs/>
          <w:i/>
          <w:szCs w:val="22"/>
        </w:rPr>
        <w:footnoteReference w:id="7"/>
      </w:r>
      <w:r w:rsidR="0091357B" w:rsidRPr="00FB1A8A">
        <w:rPr>
          <w:rFonts w:cs="Arial"/>
          <w:bCs/>
          <w:i/>
          <w:szCs w:val="22"/>
        </w:rPr>
        <w:t xml:space="preserve"> </w:t>
      </w:r>
      <w:r w:rsidR="0091357B" w:rsidRPr="00FB1A8A">
        <w:rPr>
          <w:rFonts w:cs="Arial"/>
          <w:bCs/>
          <w:szCs w:val="22"/>
        </w:rPr>
        <w:t>found that in order to succeed in the removal of the appellants as trustees, the respondent had to show that their conduct imperilled the trust property or that the trustees’</w:t>
      </w:r>
      <w:r w:rsidR="00263CD4" w:rsidRPr="00FB1A8A">
        <w:rPr>
          <w:rFonts w:cs="Arial"/>
          <w:bCs/>
          <w:szCs w:val="22"/>
        </w:rPr>
        <w:t xml:space="preserve"> removal </w:t>
      </w:r>
      <w:r w:rsidR="0091357B" w:rsidRPr="00FB1A8A">
        <w:rPr>
          <w:rFonts w:cs="Arial"/>
          <w:bCs/>
          <w:szCs w:val="22"/>
        </w:rPr>
        <w:t>w</w:t>
      </w:r>
      <w:r w:rsidR="00263CD4" w:rsidRPr="00FB1A8A">
        <w:rPr>
          <w:rFonts w:cs="Arial"/>
          <w:bCs/>
          <w:szCs w:val="22"/>
        </w:rPr>
        <w:t>ould otherwise be in the interests of the Trust or the respondent.</w:t>
      </w:r>
      <w:r w:rsidR="00263CD4">
        <w:rPr>
          <w:rStyle w:val="FootnoteReference"/>
          <w:rFonts w:cs="Arial"/>
          <w:bCs/>
          <w:szCs w:val="22"/>
        </w:rPr>
        <w:footnoteReference w:id="8"/>
      </w:r>
    </w:p>
    <w:p w14:paraId="4A60EF93" w14:textId="6DB7F042" w:rsidR="00DB1FC3" w:rsidRPr="00FB1A8A" w:rsidRDefault="00FB1A8A" w:rsidP="00FB1A8A">
      <w:pPr>
        <w:tabs>
          <w:tab w:val="left" w:pos="567"/>
        </w:tabs>
        <w:spacing w:before="480" w:after="480" w:line="480" w:lineRule="auto"/>
        <w:rPr>
          <w:rFonts w:cs="Arial"/>
          <w:b/>
          <w:bCs/>
          <w:szCs w:val="22"/>
        </w:rPr>
      </w:pPr>
      <w:r w:rsidRPr="0020049E">
        <w:rPr>
          <w:rFonts w:cs="Arial"/>
          <w:bCs/>
          <w:szCs w:val="22"/>
        </w:rPr>
        <w:t>[38]</w:t>
      </w:r>
      <w:r w:rsidRPr="0020049E">
        <w:rPr>
          <w:rFonts w:cs="Arial"/>
          <w:bCs/>
          <w:szCs w:val="22"/>
        </w:rPr>
        <w:tab/>
      </w:r>
      <w:r w:rsidR="0013131B" w:rsidRPr="00FB1A8A">
        <w:rPr>
          <w:rFonts w:cs="Arial"/>
          <w:bCs/>
          <w:szCs w:val="22"/>
        </w:rPr>
        <w:t>The Trust deed provides</w:t>
      </w:r>
      <w:r w:rsidR="00DB1FC3" w:rsidRPr="00FB1A8A">
        <w:rPr>
          <w:rFonts w:cs="Arial"/>
          <w:bCs/>
          <w:szCs w:val="22"/>
        </w:rPr>
        <w:t xml:space="preserve"> that:</w:t>
      </w:r>
    </w:p>
    <w:p w14:paraId="03D3A78C" w14:textId="3034150F" w:rsidR="00DB1FC3" w:rsidRDefault="00DB1FC3" w:rsidP="00DB1FC3">
      <w:pPr>
        <w:pStyle w:val="ListParagraph"/>
        <w:spacing w:before="480" w:after="480" w:line="240" w:lineRule="auto"/>
        <w:ind w:left="0"/>
        <w:rPr>
          <w:rFonts w:cs="Arial"/>
          <w:bCs/>
          <w:sz w:val="20"/>
          <w:szCs w:val="22"/>
        </w:rPr>
      </w:pPr>
      <w:r>
        <w:rPr>
          <w:rFonts w:cs="Arial"/>
          <w:bCs/>
          <w:sz w:val="20"/>
          <w:szCs w:val="22"/>
        </w:rPr>
        <w:t>“The trustees shall keep a true and correct account of their administration of the Trust and should it become necessary in terms of legislation or should the trustees so decide that the accounts of the Trust are to be audited, the trustees shall in their absolute discretion appoint an auditor or accounting officer. The trustees shall submit annually a signed copy of the accounts of the Trust to the founder.”</w:t>
      </w:r>
    </w:p>
    <w:p w14:paraId="5918A7C8" w14:textId="77777777" w:rsidR="0013131B" w:rsidRDefault="0013131B" w:rsidP="00DB1FC3">
      <w:pPr>
        <w:pStyle w:val="ListParagraph"/>
        <w:spacing w:before="480" w:after="480" w:line="240" w:lineRule="auto"/>
        <w:ind w:left="0"/>
        <w:rPr>
          <w:rFonts w:cs="Arial"/>
          <w:bCs/>
          <w:sz w:val="20"/>
          <w:szCs w:val="22"/>
        </w:rPr>
      </w:pPr>
    </w:p>
    <w:p w14:paraId="51FEB73F" w14:textId="77777777" w:rsidR="0020049E" w:rsidRDefault="0020049E" w:rsidP="00DB1FC3">
      <w:pPr>
        <w:pStyle w:val="ListParagraph"/>
        <w:spacing w:before="480" w:after="480" w:line="240" w:lineRule="auto"/>
        <w:ind w:left="0"/>
        <w:rPr>
          <w:rFonts w:cs="Arial"/>
          <w:bCs/>
          <w:sz w:val="20"/>
          <w:szCs w:val="22"/>
        </w:rPr>
      </w:pPr>
    </w:p>
    <w:p w14:paraId="69CF4614" w14:textId="32F90252" w:rsidR="00DB1FC3" w:rsidRPr="00FB1A8A" w:rsidRDefault="00FB1A8A" w:rsidP="00FB1A8A">
      <w:pPr>
        <w:tabs>
          <w:tab w:val="left" w:pos="567"/>
        </w:tabs>
        <w:spacing w:before="480" w:after="480" w:line="480" w:lineRule="auto"/>
        <w:rPr>
          <w:rFonts w:cs="Arial"/>
          <w:bCs/>
          <w:szCs w:val="22"/>
        </w:rPr>
      </w:pPr>
      <w:r>
        <w:rPr>
          <w:rFonts w:cs="Arial"/>
          <w:bCs/>
          <w:szCs w:val="22"/>
        </w:rPr>
        <w:t>[39]</w:t>
      </w:r>
      <w:r>
        <w:rPr>
          <w:rFonts w:cs="Arial"/>
          <w:bCs/>
          <w:szCs w:val="22"/>
        </w:rPr>
        <w:tab/>
      </w:r>
      <w:r w:rsidR="00DB1FC3" w:rsidRPr="00FB1A8A">
        <w:rPr>
          <w:rFonts w:cs="Arial"/>
          <w:bCs/>
          <w:szCs w:val="22"/>
        </w:rPr>
        <w:t xml:space="preserve">Accordingly, there is no obligation </w:t>
      </w:r>
      <w:r w:rsidR="0013131B" w:rsidRPr="00FB1A8A">
        <w:rPr>
          <w:rFonts w:cs="Arial"/>
          <w:bCs/>
          <w:szCs w:val="22"/>
        </w:rPr>
        <w:t xml:space="preserve">to audit the Trust accounts </w:t>
      </w:r>
      <w:r w:rsidR="00DB1FC3" w:rsidRPr="00FB1A8A">
        <w:rPr>
          <w:rFonts w:cs="Arial"/>
          <w:bCs/>
          <w:szCs w:val="22"/>
        </w:rPr>
        <w:t>absent the trustees making a positive decision</w:t>
      </w:r>
      <w:r w:rsidR="0013131B" w:rsidRPr="00FB1A8A">
        <w:rPr>
          <w:rFonts w:cs="Arial"/>
          <w:bCs/>
          <w:szCs w:val="22"/>
        </w:rPr>
        <w:t xml:space="preserve"> to do so.</w:t>
      </w:r>
      <w:r w:rsidR="00DB1FC3" w:rsidRPr="00FB1A8A">
        <w:rPr>
          <w:rFonts w:cs="Arial"/>
          <w:bCs/>
          <w:szCs w:val="22"/>
        </w:rPr>
        <w:t xml:space="preserve"> Notwithstanding, the trustees are obliged to maintain accurate and up-to-date accounts of the </w:t>
      </w:r>
      <w:r w:rsidR="0013131B" w:rsidRPr="00FB1A8A">
        <w:rPr>
          <w:rFonts w:cs="Arial"/>
          <w:bCs/>
          <w:szCs w:val="22"/>
        </w:rPr>
        <w:t>Trust’s administration.</w:t>
      </w:r>
      <w:r w:rsidR="00DB1FC3" w:rsidRPr="00FB1A8A">
        <w:rPr>
          <w:rFonts w:cs="Arial"/>
          <w:bCs/>
          <w:szCs w:val="22"/>
        </w:rPr>
        <w:t xml:space="preserve"> The respondent argued that the appellants were not doing so and that the answering affidavit toge</w:t>
      </w:r>
      <w:r w:rsidR="0013131B" w:rsidRPr="00FB1A8A">
        <w:rPr>
          <w:rFonts w:cs="Arial"/>
          <w:bCs/>
          <w:szCs w:val="22"/>
        </w:rPr>
        <w:t xml:space="preserve">ther with the annexures thereto, </w:t>
      </w:r>
      <w:r w:rsidR="00DB1FC3" w:rsidRPr="00FB1A8A">
        <w:rPr>
          <w:rFonts w:cs="Arial"/>
          <w:bCs/>
          <w:szCs w:val="22"/>
        </w:rPr>
        <w:t>demonstrated as much.</w:t>
      </w:r>
    </w:p>
    <w:p w14:paraId="036291FA" w14:textId="77777777" w:rsidR="0020049E" w:rsidRDefault="0020049E" w:rsidP="0020049E">
      <w:pPr>
        <w:pStyle w:val="ListParagraph"/>
        <w:spacing w:before="480" w:after="480" w:line="480" w:lineRule="auto"/>
        <w:ind w:left="0"/>
        <w:rPr>
          <w:rFonts w:cs="Arial"/>
          <w:bCs/>
          <w:szCs w:val="22"/>
        </w:rPr>
      </w:pPr>
    </w:p>
    <w:p w14:paraId="577C00C5" w14:textId="27F5642C" w:rsidR="005B1DBB" w:rsidRPr="00FB1A8A" w:rsidRDefault="00FB1A8A" w:rsidP="00FB1A8A">
      <w:pPr>
        <w:tabs>
          <w:tab w:val="left" w:pos="567"/>
        </w:tabs>
        <w:spacing w:before="480" w:after="480" w:line="480" w:lineRule="auto"/>
        <w:rPr>
          <w:rFonts w:cs="Arial"/>
          <w:bCs/>
          <w:szCs w:val="22"/>
        </w:rPr>
      </w:pPr>
      <w:r w:rsidRPr="00C7029F">
        <w:rPr>
          <w:rFonts w:cs="Arial"/>
          <w:bCs/>
          <w:szCs w:val="22"/>
        </w:rPr>
        <w:t>[40]</w:t>
      </w:r>
      <w:r w:rsidRPr="00C7029F">
        <w:rPr>
          <w:rFonts w:cs="Arial"/>
          <w:bCs/>
          <w:szCs w:val="22"/>
        </w:rPr>
        <w:tab/>
      </w:r>
      <w:r w:rsidR="00DB1FC3" w:rsidRPr="00FB1A8A">
        <w:rPr>
          <w:rFonts w:cs="Arial"/>
          <w:bCs/>
          <w:szCs w:val="22"/>
        </w:rPr>
        <w:t xml:space="preserve">The respondent relied upon </w:t>
      </w:r>
      <w:r w:rsidR="00160C31" w:rsidRPr="00FB1A8A">
        <w:rPr>
          <w:rFonts w:cs="Arial"/>
          <w:bCs/>
          <w:i/>
          <w:szCs w:val="22"/>
        </w:rPr>
        <w:t>Doyle v Board of Executors</w:t>
      </w:r>
      <w:r w:rsidR="005B1DBB" w:rsidRPr="00FB1A8A">
        <w:rPr>
          <w:rFonts w:cs="Arial"/>
          <w:bCs/>
          <w:i/>
          <w:szCs w:val="22"/>
        </w:rPr>
        <w:t>,</w:t>
      </w:r>
      <w:r w:rsidR="00DB1FC3">
        <w:rPr>
          <w:rStyle w:val="FootnoteReference"/>
          <w:bCs/>
          <w:i/>
          <w:szCs w:val="22"/>
        </w:rPr>
        <w:footnoteReference w:id="9"/>
      </w:r>
      <w:r w:rsidR="00DB1FC3" w:rsidRPr="00FB1A8A">
        <w:rPr>
          <w:rFonts w:cs="Arial"/>
          <w:bCs/>
          <w:szCs w:val="22"/>
        </w:rPr>
        <w:t xml:space="preserve"> </w:t>
      </w:r>
      <w:r w:rsidR="005B1DBB" w:rsidRPr="00FB1A8A">
        <w:rPr>
          <w:rFonts w:cs="Arial"/>
          <w:bCs/>
          <w:szCs w:val="22"/>
        </w:rPr>
        <w:t>which dealt with accou</w:t>
      </w:r>
      <w:r w:rsidR="00C7029F" w:rsidRPr="00FB1A8A">
        <w:rPr>
          <w:rFonts w:cs="Arial"/>
          <w:bCs/>
          <w:szCs w:val="22"/>
        </w:rPr>
        <w:t>nting to a capital beneficiary and on the entitlement of a Trust beneficiary to demand proper accounting from a trustee.</w:t>
      </w:r>
      <w:r w:rsidR="00C7029F">
        <w:rPr>
          <w:rStyle w:val="FootnoteReference"/>
          <w:bCs/>
          <w:szCs w:val="22"/>
        </w:rPr>
        <w:footnoteReference w:id="10"/>
      </w:r>
      <w:r w:rsidR="00C7029F" w:rsidRPr="00FB1A8A">
        <w:rPr>
          <w:rFonts w:cs="Arial"/>
          <w:bCs/>
          <w:szCs w:val="22"/>
        </w:rPr>
        <w:t xml:space="preserve"> </w:t>
      </w:r>
    </w:p>
    <w:p w14:paraId="26A286CE" w14:textId="77777777" w:rsidR="005B1DBB" w:rsidRPr="005B1DBB" w:rsidRDefault="005B1DBB" w:rsidP="005B1DBB">
      <w:pPr>
        <w:pStyle w:val="ListParagraph"/>
        <w:rPr>
          <w:rFonts w:cs="Arial"/>
          <w:bCs/>
          <w:szCs w:val="22"/>
        </w:rPr>
      </w:pPr>
    </w:p>
    <w:p w14:paraId="747A3D3C" w14:textId="3565163B" w:rsidR="00C7029F" w:rsidRPr="00FB1A8A" w:rsidRDefault="00FB1A8A" w:rsidP="00FB1A8A">
      <w:pPr>
        <w:tabs>
          <w:tab w:val="left" w:pos="567"/>
        </w:tabs>
        <w:spacing w:before="480" w:after="480" w:line="480" w:lineRule="auto"/>
        <w:rPr>
          <w:rFonts w:cs="Arial"/>
          <w:bCs/>
          <w:szCs w:val="22"/>
        </w:rPr>
      </w:pPr>
      <w:r>
        <w:rPr>
          <w:rFonts w:cs="Arial"/>
          <w:bCs/>
          <w:szCs w:val="22"/>
        </w:rPr>
        <w:t>[4</w:t>
      </w:r>
      <w:bookmarkStart w:id="0" w:name="_GoBack"/>
      <w:bookmarkEnd w:id="0"/>
      <w:r>
        <w:rPr>
          <w:rFonts w:cs="Arial"/>
          <w:bCs/>
          <w:szCs w:val="22"/>
        </w:rPr>
        <w:t>1]</w:t>
      </w:r>
      <w:r>
        <w:rPr>
          <w:rFonts w:cs="Arial"/>
          <w:bCs/>
          <w:szCs w:val="22"/>
        </w:rPr>
        <w:tab/>
      </w:r>
      <w:r w:rsidR="00C7029F" w:rsidRPr="00FB1A8A">
        <w:rPr>
          <w:rFonts w:cs="Arial"/>
          <w:bCs/>
          <w:szCs w:val="22"/>
        </w:rPr>
        <w:t xml:space="preserve">I agree that the obligation to </w:t>
      </w:r>
      <w:r w:rsidR="00DB1FC3" w:rsidRPr="00FB1A8A">
        <w:rPr>
          <w:rFonts w:cs="Arial"/>
          <w:bCs/>
          <w:szCs w:val="22"/>
        </w:rPr>
        <w:t>account</w:t>
      </w:r>
      <w:r w:rsidR="00C7029F" w:rsidRPr="00FB1A8A">
        <w:rPr>
          <w:rFonts w:cs="Arial"/>
          <w:bCs/>
          <w:szCs w:val="22"/>
        </w:rPr>
        <w:t xml:space="preserve"> to a sole beneficiary, as in respect of a capital beneficiary, </w:t>
      </w:r>
      <w:r w:rsidR="00DB1FC3" w:rsidRPr="00FB1A8A">
        <w:rPr>
          <w:rFonts w:cs="Arial"/>
          <w:bCs/>
          <w:szCs w:val="22"/>
        </w:rPr>
        <w:t xml:space="preserve">should </w:t>
      </w:r>
      <w:r w:rsidR="00C7029F" w:rsidRPr="00FB1A8A">
        <w:rPr>
          <w:rFonts w:cs="Arial"/>
          <w:bCs/>
          <w:szCs w:val="22"/>
        </w:rPr>
        <w:t>include an</w:t>
      </w:r>
      <w:r w:rsidR="00DB1FC3" w:rsidRPr="00FB1A8A">
        <w:rPr>
          <w:rFonts w:cs="Arial"/>
          <w:bCs/>
          <w:szCs w:val="22"/>
        </w:rPr>
        <w:t xml:space="preserve"> accurate </w:t>
      </w:r>
      <w:r w:rsidR="00C7029F" w:rsidRPr="00FB1A8A">
        <w:rPr>
          <w:rFonts w:cs="Arial"/>
          <w:bCs/>
          <w:szCs w:val="22"/>
        </w:rPr>
        <w:t xml:space="preserve">reflection </w:t>
      </w:r>
      <w:r w:rsidR="00DB1FC3" w:rsidRPr="00FB1A8A">
        <w:rPr>
          <w:rFonts w:cs="Arial"/>
          <w:bCs/>
          <w:szCs w:val="22"/>
        </w:rPr>
        <w:t xml:space="preserve">of both income and expenditure during the period covered and of the prevailing state of the Trust fund </w:t>
      </w:r>
      <w:r w:rsidR="00C7029F" w:rsidRPr="00FB1A8A">
        <w:rPr>
          <w:rFonts w:cs="Arial"/>
          <w:bCs/>
          <w:szCs w:val="22"/>
        </w:rPr>
        <w:t xml:space="preserve">up to and including the relevant date.  </w:t>
      </w:r>
      <w:r w:rsidR="00DB1FC3" w:rsidRPr="00FB1A8A">
        <w:rPr>
          <w:rFonts w:cs="Arial"/>
          <w:bCs/>
          <w:szCs w:val="22"/>
        </w:rPr>
        <w:t>Entries</w:t>
      </w:r>
      <w:r w:rsidR="00C7029F" w:rsidRPr="00FB1A8A">
        <w:rPr>
          <w:rFonts w:cs="Arial"/>
          <w:bCs/>
          <w:szCs w:val="22"/>
        </w:rPr>
        <w:t xml:space="preserve"> should be precise </w:t>
      </w:r>
      <w:r w:rsidR="00DB1FC3" w:rsidRPr="00FB1A8A">
        <w:rPr>
          <w:rFonts w:cs="Arial"/>
          <w:bCs/>
          <w:szCs w:val="22"/>
        </w:rPr>
        <w:t xml:space="preserve">and dates should be provided. </w:t>
      </w:r>
    </w:p>
    <w:p w14:paraId="59A541F4" w14:textId="77777777" w:rsidR="00C7029F" w:rsidRPr="00C7029F" w:rsidRDefault="00C7029F" w:rsidP="00C7029F">
      <w:pPr>
        <w:pStyle w:val="ListParagraph"/>
        <w:rPr>
          <w:rFonts w:cs="Arial"/>
          <w:bCs/>
          <w:szCs w:val="22"/>
        </w:rPr>
      </w:pPr>
    </w:p>
    <w:p w14:paraId="344AC996" w14:textId="5B943DD3" w:rsidR="00D5386E" w:rsidRPr="00FB1A8A" w:rsidRDefault="00FB1A8A" w:rsidP="00FB1A8A">
      <w:pPr>
        <w:tabs>
          <w:tab w:val="left" w:pos="567"/>
        </w:tabs>
        <w:spacing w:before="480" w:after="480" w:line="480" w:lineRule="auto"/>
        <w:rPr>
          <w:rFonts w:cs="Arial"/>
          <w:bCs/>
          <w:szCs w:val="22"/>
        </w:rPr>
      </w:pPr>
      <w:r w:rsidRPr="00C7029F">
        <w:rPr>
          <w:rFonts w:cs="Arial"/>
          <w:bCs/>
          <w:szCs w:val="22"/>
        </w:rPr>
        <w:t>[42]</w:t>
      </w:r>
      <w:r w:rsidRPr="00C7029F">
        <w:rPr>
          <w:rFonts w:cs="Arial"/>
          <w:bCs/>
          <w:szCs w:val="22"/>
        </w:rPr>
        <w:tab/>
      </w:r>
      <w:r w:rsidR="00DB1FC3" w:rsidRPr="00FB1A8A">
        <w:rPr>
          <w:rFonts w:cs="Arial"/>
          <w:bCs/>
          <w:szCs w:val="22"/>
        </w:rPr>
        <w:t xml:space="preserve">The trustees, prior to the launch of the application, provided the respondent with </w:t>
      </w:r>
      <w:r w:rsidR="00261D93" w:rsidRPr="00FB1A8A">
        <w:rPr>
          <w:rFonts w:cs="Arial"/>
          <w:bCs/>
          <w:szCs w:val="22"/>
        </w:rPr>
        <w:t>the documents</w:t>
      </w:r>
      <w:r w:rsidR="00D5386E" w:rsidRPr="00FB1A8A">
        <w:rPr>
          <w:rFonts w:cs="Arial"/>
          <w:bCs/>
          <w:szCs w:val="22"/>
        </w:rPr>
        <w:t xml:space="preserve"> and</w:t>
      </w:r>
      <w:r w:rsidR="00261D93" w:rsidRPr="00FB1A8A">
        <w:rPr>
          <w:rFonts w:cs="Arial"/>
          <w:bCs/>
          <w:szCs w:val="22"/>
        </w:rPr>
        <w:t xml:space="preserve"> </w:t>
      </w:r>
      <w:r w:rsidR="00D5386E" w:rsidRPr="00FB1A8A">
        <w:rPr>
          <w:rFonts w:cs="Arial"/>
          <w:bCs/>
          <w:szCs w:val="22"/>
        </w:rPr>
        <w:t xml:space="preserve">information </w:t>
      </w:r>
      <w:r w:rsidR="00C7029F" w:rsidRPr="00FB1A8A">
        <w:rPr>
          <w:rFonts w:cs="Arial"/>
          <w:bCs/>
          <w:szCs w:val="22"/>
        </w:rPr>
        <w:t>requested by the respondent to the</w:t>
      </w:r>
      <w:r w:rsidR="00261D93" w:rsidRPr="00FB1A8A">
        <w:rPr>
          <w:rFonts w:cs="Arial"/>
          <w:bCs/>
          <w:szCs w:val="22"/>
        </w:rPr>
        <w:t xml:space="preserve"> </w:t>
      </w:r>
      <w:r w:rsidR="00DF28BF" w:rsidRPr="00FB1A8A">
        <w:rPr>
          <w:rFonts w:cs="Arial"/>
          <w:bCs/>
          <w:szCs w:val="22"/>
        </w:rPr>
        <w:t xml:space="preserve">respondent’s legal </w:t>
      </w:r>
      <w:r w:rsidR="00C7029F" w:rsidRPr="00FB1A8A">
        <w:rPr>
          <w:rFonts w:cs="Arial"/>
          <w:bCs/>
          <w:szCs w:val="22"/>
        </w:rPr>
        <w:t>representatives’</w:t>
      </w:r>
      <w:r w:rsidR="00DF28BF" w:rsidRPr="00FB1A8A">
        <w:rPr>
          <w:rFonts w:cs="Arial"/>
          <w:bCs/>
          <w:szCs w:val="22"/>
        </w:rPr>
        <w:t xml:space="preserve"> app</w:t>
      </w:r>
      <w:r w:rsidR="00C7029F" w:rsidRPr="00FB1A8A">
        <w:rPr>
          <w:rFonts w:cs="Arial"/>
          <w:bCs/>
          <w:szCs w:val="22"/>
        </w:rPr>
        <w:t xml:space="preserve">arent satisfaction.   </w:t>
      </w:r>
    </w:p>
    <w:p w14:paraId="7FBB2288" w14:textId="77777777" w:rsidR="00D5386E" w:rsidRPr="00D5386E" w:rsidRDefault="00D5386E" w:rsidP="00D5386E">
      <w:pPr>
        <w:pStyle w:val="ListParagraph"/>
        <w:rPr>
          <w:rFonts w:cs="Arial"/>
          <w:b/>
          <w:bCs/>
          <w:szCs w:val="22"/>
        </w:rPr>
      </w:pPr>
    </w:p>
    <w:p w14:paraId="1AF63AFF" w14:textId="77777777" w:rsidR="00636F6B" w:rsidRPr="00636F6B" w:rsidRDefault="00636F6B" w:rsidP="00636F6B">
      <w:pPr>
        <w:pStyle w:val="ListParagraph"/>
        <w:rPr>
          <w:rFonts w:cs="Arial"/>
          <w:bCs/>
          <w:szCs w:val="22"/>
        </w:rPr>
      </w:pPr>
    </w:p>
    <w:p w14:paraId="077EFC24" w14:textId="4586B0A1" w:rsidR="00636F6B" w:rsidRPr="00FB1A8A" w:rsidRDefault="00FB1A8A" w:rsidP="00FB1A8A">
      <w:pPr>
        <w:tabs>
          <w:tab w:val="left" w:pos="567"/>
        </w:tabs>
        <w:spacing w:before="480" w:after="480" w:line="480" w:lineRule="auto"/>
        <w:rPr>
          <w:rFonts w:cs="Arial"/>
          <w:b/>
          <w:bCs/>
          <w:szCs w:val="22"/>
        </w:rPr>
      </w:pPr>
      <w:r w:rsidRPr="0002194A">
        <w:rPr>
          <w:rFonts w:cs="Arial"/>
          <w:bCs/>
          <w:szCs w:val="22"/>
        </w:rPr>
        <w:t>[43]</w:t>
      </w:r>
      <w:r w:rsidRPr="0002194A">
        <w:rPr>
          <w:rFonts w:cs="Arial"/>
          <w:bCs/>
          <w:szCs w:val="22"/>
        </w:rPr>
        <w:tab/>
      </w:r>
      <w:r w:rsidR="00A04D99" w:rsidRPr="00FB1A8A">
        <w:rPr>
          <w:rFonts w:cs="Arial"/>
          <w:bCs/>
          <w:szCs w:val="22"/>
        </w:rPr>
        <w:t>T</w:t>
      </w:r>
      <w:r w:rsidR="00DB1FC3" w:rsidRPr="00FB1A8A">
        <w:rPr>
          <w:rFonts w:cs="Arial"/>
          <w:bCs/>
          <w:szCs w:val="22"/>
        </w:rPr>
        <w:t>he appellants provided a summary of the investment portfolio as at 26 July 2016, prior to</w:t>
      </w:r>
      <w:r w:rsidR="00A04D99" w:rsidRPr="00FB1A8A">
        <w:rPr>
          <w:rFonts w:cs="Arial"/>
          <w:bCs/>
          <w:szCs w:val="22"/>
        </w:rPr>
        <w:t xml:space="preserve"> the</w:t>
      </w:r>
      <w:r w:rsidR="00D5386E" w:rsidRPr="00FB1A8A">
        <w:rPr>
          <w:rFonts w:cs="Arial"/>
          <w:bCs/>
          <w:szCs w:val="22"/>
        </w:rPr>
        <w:t xml:space="preserve"> parties’</w:t>
      </w:r>
      <w:r w:rsidR="00A04D99" w:rsidRPr="00FB1A8A">
        <w:rPr>
          <w:rFonts w:cs="Arial"/>
          <w:bCs/>
          <w:szCs w:val="22"/>
        </w:rPr>
        <w:t xml:space="preserve"> meeting on 15 August 2016, convened by the respondent and her advisors. The latter did</w:t>
      </w:r>
      <w:r w:rsidR="00DB1FC3" w:rsidRPr="00FB1A8A">
        <w:rPr>
          <w:rFonts w:cs="Arial"/>
          <w:bCs/>
          <w:szCs w:val="22"/>
        </w:rPr>
        <w:t xml:space="preserve"> no</w:t>
      </w:r>
      <w:r w:rsidR="00A04D99" w:rsidRPr="00FB1A8A">
        <w:rPr>
          <w:rFonts w:cs="Arial"/>
          <w:bCs/>
          <w:szCs w:val="22"/>
        </w:rPr>
        <w:t>t raise an</w:t>
      </w:r>
      <w:r w:rsidR="00D5386E" w:rsidRPr="00FB1A8A">
        <w:rPr>
          <w:rFonts w:cs="Arial"/>
          <w:bCs/>
          <w:szCs w:val="22"/>
        </w:rPr>
        <w:t>y</w:t>
      </w:r>
      <w:r w:rsidR="00DB1FC3" w:rsidRPr="00FB1A8A">
        <w:rPr>
          <w:rFonts w:cs="Arial"/>
          <w:bCs/>
          <w:szCs w:val="22"/>
        </w:rPr>
        <w:t xml:space="preserve"> issu</w:t>
      </w:r>
      <w:r w:rsidR="00A04D99" w:rsidRPr="00FB1A8A">
        <w:rPr>
          <w:rFonts w:cs="Arial"/>
          <w:bCs/>
          <w:szCs w:val="22"/>
        </w:rPr>
        <w:t>e</w:t>
      </w:r>
      <w:r w:rsidR="00DB1FC3" w:rsidRPr="00FB1A8A">
        <w:rPr>
          <w:rFonts w:cs="Arial"/>
          <w:bCs/>
          <w:szCs w:val="22"/>
        </w:rPr>
        <w:t xml:space="preserve"> in re</w:t>
      </w:r>
      <w:r w:rsidR="00D5386E" w:rsidRPr="00FB1A8A">
        <w:rPr>
          <w:rFonts w:cs="Arial"/>
          <w:bCs/>
          <w:szCs w:val="22"/>
        </w:rPr>
        <w:t>spect of the bank statements,</w:t>
      </w:r>
      <w:r w:rsidR="00DB1FC3" w:rsidRPr="00FB1A8A">
        <w:rPr>
          <w:rFonts w:cs="Arial"/>
          <w:bCs/>
          <w:szCs w:val="22"/>
        </w:rPr>
        <w:t xml:space="preserve"> the investment portfolio </w:t>
      </w:r>
      <w:r w:rsidR="00D5386E" w:rsidRPr="00FB1A8A">
        <w:rPr>
          <w:rFonts w:cs="Arial"/>
          <w:bCs/>
          <w:szCs w:val="22"/>
        </w:rPr>
        <w:t xml:space="preserve">summary </w:t>
      </w:r>
      <w:r w:rsidR="00DB1FC3" w:rsidRPr="00FB1A8A">
        <w:rPr>
          <w:rFonts w:cs="Arial"/>
          <w:bCs/>
          <w:szCs w:val="22"/>
        </w:rPr>
        <w:t>or the appellants’ explanation</w:t>
      </w:r>
      <w:r w:rsidR="00C7029F" w:rsidRPr="00FB1A8A">
        <w:rPr>
          <w:rFonts w:cs="Arial"/>
          <w:bCs/>
          <w:szCs w:val="22"/>
        </w:rPr>
        <w:t>s.</w:t>
      </w:r>
      <w:r w:rsidR="00DB1FC3" w:rsidRPr="00FB1A8A">
        <w:rPr>
          <w:rFonts w:cs="Arial"/>
          <w:bCs/>
          <w:szCs w:val="22"/>
        </w:rPr>
        <w:t xml:space="preserve"> </w:t>
      </w:r>
      <w:r w:rsidR="00C7029F" w:rsidRPr="00FB1A8A">
        <w:rPr>
          <w:rFonts w:cs="Arial"/>
          <w:bCs/>
          <w:szCs w:val="22"/>
        </w:rPr>
        <w:t xml:space="preserve">- </w:t>
      </w:r>
    </w:p>
    <w:p w14:paraId="3F06A659" w14:textId="77777777" w:rsidR="0002194A" w:rsidRPr="0002194A" w:rsidRDefault="0002194A" w:rsidP="0002194A">
      <w:pPr>
        <w:pStyle w:val="ListParagraph"/>
        <w:rPr>
          <w:rFonts w:cs="Arial"/>
          <w:b/>
          <w:bCs/>
          <w:szCs w:val="22"/>
        </w:rPr>
      </w:pPr>
    </w:p>
    <w:p w14:paraId="4BF58432" w14:textId="5CA287C5" w:rsidR="0002194A" w:rsidRPr="00FB1A8A" w:rsidRDefault="00FB1A8A" w:rsidP="00FB1A8A">
      <w:pPr>
        <w:tabs>
          <w:tab w:val="left" w:pos="567"/>
        </w:tabs>
        <w:spacing w:before="480" w:after="480" w:line="480" w:lineRule="auto"/>
        <w:rPr>
          <w:rFonts w:cs="Arial"/>
          <w:bCs/>
          <w:szCs w:val="22"/>
        </w:rPr>
      </w:pPr>
      <w:r w:rsidRPr="00C7029F">
        <w:rPr>
          <w:rFonts w:cs="Arial"/>
          <w:bCs/>
          <w:szCs w:val="22"/>
        </w:rPr>
        <w:t>[44]</w:t>
      </w:r>
      <w:r w:rsidRPr="00C7029F">
        <w:rPr>
          <w:rFonts w:cs="Arial"/>
          <w:bCs/>
          <w:szCs w:val="22"/>
        </w:rPr>
        <w:tab/>
      </w:r>
      <w:r w:rsidR="0002194A" w:rsidRPr="00FB1A8A">
        <w:rPr>
          <w:rFonts w:cs="Arial"/>
          <w:bCs/>
          <w:szCs w:val="22"/>
        </w:rPr>
        <w:t>Furthermore, the respondent advised thereafter, that she would approach Ehlers Attorneys in respect of her queries regarding their account</w:t>
      </w:r>
      <w:r w:rsidR="00C7029F" w:rsidRPr="00FB1A8A">
        <w:rPr>
          <w:rFonts w:cs="Arial"/>
          <w:bCs/>
          <w:szCs w:val="22"/>
        </w:rPr>
        <w:t>s</w:t>
      </w:r>
      <w:r w:rsidR="0002194A" w:rsidRPr="00FB1A8A">
        <w:rPr>
          <w:rFonts w:cs="Arial"/>
          <w:bCs/>
          <w:szCs w:val="22"/>
        </w:rPr>
        <w:t>.</w:t>
      </w:r>
    </w:p>
    <w:p w14:paraId="65F37DE3" w14:textId="77777777" w:rsidR="00636F6B" w:rsidRPr="00636F6B" w:rsidRDefault="00636F6B" w:rsidP="00636F6B">
      <w:pPr>
        <w:pStyle w:val="ListParagraph"/>
        <w:rPr>
          <w:rFonts w:cs="Arial"/>
          <w:bCs/>
          <w:szCs w:val="22"/>
        </w:rPr>
      </w:pPr>
    </w:p>
    <w:p w14:paraId="78CEBB41" w14:textId="049AE6AE" w:rsidR="00636F6B" w:rsidRPr="00FB1A8A" w:rsidRDefault="00FB1A8A" w:rsidP="00FB1A8A">
      <w:pPr>
        <w:tabs>
          <w:tab w:val="left" w:pos="567"/>
        </w:tabs>
        <w:spacing w:before="480" w:after="480" w:line="480" w:lineRule="auto"/>
        <w:rPr>
          <w:rFonts w:cs="Arial"/>
          <w:b/>
          <w:bCs/>
          <w:szCs w:val="22"/>
        </w:rPr>
      </w:pPr>
      <w:r w:rsidRPr="00D5386E">
        <w:rPr>
          <w:rFonts w:cs="Arial"/>
          <w:bCs/>
          <w:szCs w:val="22"/>
        </w:rPr>
        <w:t>[45]</w:t>
      </w:r>
      <w:r w:rsidRPr="00D5386E">
        <w:rPr>
          <w:rFonts w:cs="Arial"/>
          <w:bCs/>
          <w:szCs w:val="22"/>
        </w:rPr>
        <w:tab/>
      </w:r>
      <w:r w:rsidR="00DB1FC3" w:rsidRPr="00FB1A8A">
        <w:rPr>
          <w:rFonts w:cs="Arial"/>
          <w:bCs/>
          <w:szCs w:val="22"/>
        </w:rPr>
        <w:t xml:space="preserve">On 7 December 2016, the appellants provided proof </w:t>
      </w:r>
      <w:r w:rsidR="00D5386E" w:rsidRPr="00FB1A8A">
        <w:rPr>
          <w:rFonts w:cs="Arial"/>
          <w:bCs/>
          <w:szCs w:val="22"/>
        </w:rPr>
        <w:t xml:space="preserve">in respect </w:t>
      </w:r>
      <w:r w:rsidR="00DB1FC3" w:rsidRPr="00FB1A8A">
        <w:rPr>
          <w:rFonts w:cs="Arial"/>
          <w:bCs/>
          <w:szCs w:val="22"/>
        </w:rPr>
        <w:t>of</w:t>
      </w:r>
      <w:r w:rsidR="00D5386E" w:rsidRPr="00FB1A8A">
        <w:rPr>
          <w:rFonts w:cs="Arial"/>
          <w:bCs/>
          <w:szCs w:val="22"/>
        </w:rPr>
        <w:t xml:space="preserve"> certain</w:t>
      </w:r>
      <w:r w:rsidR="00DB1FC3" w:rsidRPr="00FB1A8A">
        <w:rPr>
          <w:rFonts w:cs="Arial"/>
          <w:bCs/>
          <w:szCs w:val="22"/>
        </w:rPr>
        <w:t xml:space="preserve"> queries raised by the respondent in respect of her medical aid claims from the RAF. </w:t>
      </w:r>
    </w:p>
    <w:p w14:paraId="7C4B0F54" w14:textId="77777777" w:rsidR="00636F6B" w:rsidRPr="00636F6B" w:rsidRDefault="00636F6B" w:rsidP="00636F6B">
      <w:pPr>
        <w:pStyle w:val="ListParagraph"/>
        <w:rPr>
          <w:rFonts w:cs="Arial"/>
          <w:bCs/>
          <w:szCs w:val="22"/>
        </w:rPr>
      </w:pPr>
    </w:p>
    <w:p w14:paraId="5B995D6A" w14:textId="47DCCAF6" w:rsidR="0002194A" w:rsidRPr="00FB1A8A" w:rsidRDefault="00FB1A8A" w:rsidP="00FB1A8A">
      <w:pPr>
        <w:tabs>
          <w:tab w:val="left" w:pos="567"/>
        </w:tabs>
        <w:spacing w:before="480" w:after="480" w:line="480" w:lineRule="auto"/>
        <w:rPr>
          <w:rFonts w:cs="Arial"/>
          <w:b/>
          <w:bCs/>
          <w:szCs w:val="22"/>
        </w:rPr>
      </w:pPr>
      <w:r w:rsidRPr="0002194A">
        <w:rPr>
          <w:rFonts w:cs="Arial"/>
          <w:bCs/>
          <w:szCs w:val="22"/>
        </w:rPr>
        <w:t>[46]</w:t>
      </w:r>
      <w:r w:rsidRPr="0002194A">
        <w:rPr>
          <w:rFonts w:cs="Arial"/>
          <w:bCs/>
          <w:szCs w:val="22"/>
        </w:rPr>
        <w:tab/>
      </w:r>
      <w:r w:rsidR="00DB1FC3" w:rsidRPr="00FB1A8A">
        <w:rPr>
          <w:rFonts w:cs="Arial"/>
          <w:bCs/>
          <w:szCs w:val="22"/>
        </w:rPr>
        <w:t>On 13 January 2017 the respondent requested further bank statements and investment information</w:t>
      </w:r>
      <w:r w:rsidR="00A04D99" w:rsidRPr="00FB1A8A">
        <w:rPr>
          <w:rFonts w:cs="Arial"/>
          <w:bCs/>
          <w:szCs w:val="22"/>
        </w:rPr>
        <w:t>. The bank statements were</w:t>
      </w:r>
      <w:r w:rsidR="00DB1FC3" w:rsidRPr="00FB1A8A">
        <w:rPr>
          <w:rFonts w:cs="Arial"/>
          <w:bCs/>
          <w:szCs w:val="22"/>
        </w:rPr>
        <w:t xml:space="preserve"> provided to her that day and the investment information on 16 January 2017. </w:t>
      </w:r>
    </w:p>
    <w:p w14:paraId="2BC98819" w14:textId="77777777" w:rsidR="0002194A" w:rsidRPr="0002194A" w:rsidRDefault="0002194A" w:rsidP="0002194A">
      <w:pPr>
        <w:pStyle w:val="ListParagraph"/>
        <w:rPr>
          <w:rFonts w:cs="Arial"/>
          <w:bCs/>
          <w:color w:val="FF0000"/>
          <w:szCs w:val="22"/>
        </w:rPr>
      </w:pPr>
    </w:p>
    <w:p w14:paraId="5B6508B7" w14:textId="7F9D5169" w:rsidR="0002194A" w:rsidRPr="00FB1A8A" w:rsidRDefault="00FB1A8A" w:rsidP="00FB1A8A">
      <w:pPr>
        <w:tabs>
          <w:tab w:val="left" w:pos="567"/>
        </w:tabs>
        <w:spacing w:before="480" w:after="480" w:line="480" w:lineRule="auto"/>
        <w:rPr>
          <w:rFonts w:cs="Arial"/>
          <w:b/>
          <w:bCs/>
          <w:szCs w:val="22"/>
        </w:rPr>
      </w:pPr>
      <w:r w:rsidRPr="0002194A">
        <w:rPr>
          <w:rFonts w:cs="Arial"/>
          <w:bCs/>
          <w:szCs w:val="22"/>
        </w:rPr>
        <w:t>[47]</w:t>
      </w:r>
      <w:r w:rsidRPr="0002194A">
        <w:rPr>
          <w:rFonts w:cs="Arial"/>
          <w:bCs/>
          <w:szCs w:val="22"/>
        </w:rPr>
        <w:tab/>
      </w:r>
      <w:r w:rsidR="00DB1FC3" w:rsidRPr="00FB1A8A">
        <w:rPr>
          <w:rFonts w:cs="Arial"/>
          <w:bCs/>
          <w:szCs w:val="22"/>
        </w:rPr>
        <w:t>Thereafter, by way of correspondence dated 24 January 2017, the respo</w:t>
      </w:r>
      <w:r w:rsidR="00A04D99" w:rsidRPr="00FB1A8A">
        <w:rPr>
          <w:rFonts w:cs="Arial"/>
          <w:bCs/>
          <w:szCs w:val="22"/>
        </w:rPr>
        <w:t>ndent threatened to approach a c</w:t>
      </w:r>
      <w:r w:rsidR="00DB1FC3" w:rsidRPr="00FB1A8A">
        <w:rPr>
          <w:rFonts w:cs="Arial"/>
          <w:bCs/>
          <w:szCs w:val="22"/>
        </w:rPr>
        <w:t xml:space="preserve">ourt urgently in the event that her monthly allowance was reduced from R20 000.00, a reduction that was necessary if the award was to be preserved for the respondent’s remaining lifetime. </w:t>
      </w:r>
    </w:p>
    <w:p w14:paraId="40A8E860" w14:textId="77777777" w:rsidR="0002194A" w:rsidRPr="0002194A" w:rsidRDefault="0002194A" w:rsidP="0002194A">
      <w:pPr>
        <w:pStyle w:val="ListParagraph"/>
        <w:rPr>
          <w:rFonts w:cs="Arial"/>
          <w:bCs/>
          <w:color w:val="FF0000"/>
          <w:szCs w:val="22"/>
        </w:rPr>
      </w:pPr>
    </w:p>
    <w:p w14:paraId="7F5E3DDC" w14:textId="62A96BD0" w:rsidR="0002194A" w:rsidRPr="00FB1A8A" w:rsidRDefault="00FB1A8A" w:rsidP="00FB1A8A">
      <w:pPr>
        <w:tabs>
          <w:tab w:val="left" w:pos="567"/>
        </w:tabs>
        <w:spacing w:before="480" w:after="480" w:line="480" w:lineRule="auto"/>
        <w:rPr>
          <w:rFonts w:cs="Arial"/>
          <w:b/>
          <w:bCs/>
          <w:szCs w:val="22"/>
        </w:rPr>
      </w:pPr>
      <w:r w:rsidRPr="0002194A">
        <w:rPr>
          <w:rFonts w:cs="Arial"/>
          <w:bCs/>
          <w:szCs w:val="22"/>
        </w:rPr>
        <w:t>[48]</w:t>
      </w:r>
      <w:r w:rsidRPr="0002194A">
        <w:rPr>
          <w:rFonts w:cs="Arial"/>
          <w:bCs/>
          <w:szCs w:val="22"/>
        </w:rPr>
        <w:tab/>
      </w:r>
      <w:r w:rsidR="00A04D99" w:rsidRPr="00FB1A8A">
        <w:rPr>
          <w:rFonts w:cs="Arial"/>
          <w:bCs/>
          <w:szCs w:val="22"/>
        </w:rPr>
        <w:t>O</w:t>
      </w:r>
      <w:r w:rsidR="00DB1FC3" w:rsidRPr="00FB1A8A">
        <w:rPr>
          <w:rFonts w:cs="Arial"/>
          <w:bCs/>
          <w:szCs w:val="22"/>
        </w:rPr>
        <w:t xml:space="preserve">n </w:t>
      </w:r>
      <w:r w:rsidR="00A04D99" w:rsidRPr="00FB1A8A">
        <w:rPr>
          <w:rFonts w:cs="Arial"/>
          <w:bCs/>
          <w:szCs w:val="22"/>
        </w:rPr>
        <w:t>23 May 2017</w:t>
      </w:r>
      <w:r w:rsidR="0002194A" w:rsidRPr="00FB1A8A">
        <w:rPr>
          <w:rFonts w:cs="Arial"/>
          <w:bCs/>
          <w:szCs w:val="22"/>
        </w:rPr>
        <w:t>,</w:t>
      </w:r>
      <w:r w:rsidR="00A04D99" w:rsidRPr="00FB1A8A">
        <w:rPr>
          <w:rFonts w:cs="Arial"/>
          <w:bCs/>
          <w:szCs w:val="22"/>
        </w:rPr>
        <w:t xml:space="preserve"> the respondent called for </w:t>
      </w:r>
      <w:r w:rsidR="00DB1FC3" w:rsidRPr="00FB1A8A">
        <w:rPr>
          <w:rFonts w:cs="Arial"/>
          <w:bCs/>
          <w:szCs w:val="22"/>
        </w:rPr>
        <w:t>information in respect of the Trust’s financial position, a record of all funds received into the Trust account, expenses incurred by the Trust and all amounts for which the RAF was liable to the fund to date of that correspondence. The appellants responded on 23 June 2017 to the effect that the bank and investment statements and remainin</w:t>
      </w:r>
      <w:r w:rsidR="0002194A" w:rsidRPr="00FB1A8A">
        <w:rPr>
          <w:rFonts w:cs="Arial"/>
          <w:bCs/>
          <w:szCs w:val="22"/>
        </w:rPr>
        <w:t>g documentation was</w:t>
      </w:r>
      <w:r w:rsidR="00A04D99" w:rsidRPr="00FB1A8A">
        <w:rPr>
          <w:rFonts w:cs="Arial"/>
          <w:bCs/>
          <w:szCs w:val="22"/>
        </w:rPr>
        <w:t xml:space="preserve"> provided</w:t>
      </w:r>
      <w:r w:rsidR="0002194A" w:rsidRPr="00FB1A8A">
        <w:rPr>
          <w:rFonts w:cs="Arial"/>
          <w:bCs/>
          <w:szCs w:val="22"/>
        </w:rPr>
        <w:t xml:space="preserve"> to the respondent</w:t>
      </w:r>
      <w:r w:rsidR="00A04D99" w:rsidRPr="00FB1A8A">
        <w:rPr>
          <w:rFonts w:cs="Arial"/>
          <w:bCs/>
          <w:szCs w:val="22"/>
        </w:rPr>
        <w:t xml:space="preserve">. </w:t>
      </w:r>
    </w:p>
    <w:p w14:paraId="201AC8EC" w14:textId="77777777" w:rsidR="0002194A" w:rsidRPr="0002194A" w:rsidRDefault="0002194A" w:rsidP="0002194A">
      <w:pPr>
        <w:pStyle w:val="ListParagraph"/>
        <w:rPr>
          <w:rFonts w:cs="Arial"/>
          <w:bCs/>
          <w:color w:val="FF0000"/>
          <w:szCs w:val="22"/>
        </w:rPr>
      </w:pPr>
    </w:p>
    <w:p w14:paraId="4FADE0F6" w14:textId="3DB0D9F3" w:rsidR="00636F6B" w:rsidRPr="00FB1A8A" w:rsidRDefault="00FB1A8A" w:rsidP="00FB1A8A">
      <w:pPr>
        <w:tabs>
          <w:tab w:val="left" w:pos="567"/>
        </w:tabs>
        <w:spacing w:before="480" w:after="480" w:line="480" w:lineRule="auto"/>
        <w:rPr>
          <w:rFonts w:cs="Arial"/>
          <w:b/>
          <w:bCs/>
          <w:szCs w:val="22"/>
        </w:rPr>
      </w:pPr>
      <w:r w:rsidRPr="0002194A">
        <w:rPr>
          <w:rFonts w:cs="Arial"/>
          <w:bCs/>
          <w:szCs w:val="22"/>
        </w:rPr>
        <w:t>[49]</w:t>
      </w:r>
      <w:r w:rsidRPr="0002194A">
        <w:rPr>
          <w:rFonts w:cs="Arial"/>
          <w:bCs/>
          <w:szCs w:val="22"/>
        </w:rPr>
        <w:tab/>
      </w:r>
      <w:r w:rsidR="00A04D99" w:rsidRPr="00FB1A8A">
        <w:rPr>
          <w:rFonts w:cs="Arial"/>
          <w:bCs/>
          <w:szCs w:val="22"/>
        </w:rPr>
        <w:t>T</w:t>
      </w:r>
      <w:r w:rsidR="00C7029F" w:rsidRPr="00FB1A8A">
        <w:rPr>
          <w:rFonts w:cs="Arial"/>
          <w:bCs/>
          <w:szCs w:val="22"/>
        </w:rPr>
        <w:t>he appellants</w:t>
      </w:r>
      <w:r w:rsidR="00DB1FC3" w:rsidRPr="00FB1A8A">
        <w:rPr>
          <w:rFonts w:cs="Arial"/>
          <w:bCs/>
          <w:szCs w:val="22"/>
        </w:rPr>
        <w:t xml:space="preserve"> </w:t>
      </w:r>
      <w:r w:rsidR="00A04D99" w:rsidRPr="00FB1A8A">
        <w:rPr>
          <w:rFonts w:cs="Arial"/>
          <w:bCs/>
          <w:szCs w:val="22"/>
        </w:rPr>
        <w:t>requested the r</w:t>
      </w:r>
      <w:r w:rsidR="00DB1FC3" w:rsidRPr="00FB1A8A">
        <w:rPr>
          <w:rFonts w:cs="Arial"/>
          <w:bCs/>
          <w:szCs w:val="22"/>
        </w:rPr>
        <w:t xml:space="preserve">espondent </w:t>
      </w:r>
      <w:r w:rsidR="00A04D99" w:rsidRPr="00FB1A8A">
        <w:rPr>
          <w:rFonts w:cs="Arial"/>
          <w:bCs/>
          <w:szCs w:val="22"/>
        </w:rPr>
        <w:t xml:space="preserve">to advise if she </w:t>
      </w:r>
      <w:r w:rsidR="00DB1FC3" w:rsidRPr="00FB1A8A">
        <w:rPr>
          <w:rFonts w:cs="Arial"/>
          <w:bCs/>
          <w:szCs w:val="22"/>
        </w:rPr>
        <w:t xml:space="preserve">required </w:t>
      </w:r>
      <w:r w:rsidR="00A04D99" w:rsidRPr="00FB1A8A">
        <w:rPr>
          <w:rFonts w:cs="Arial"/>
          <w:bCs/>
          <w:szCs w:val="22"/>
        </w:rPr>
        <w:t xml:space="preserve">audited </w:t>
      </w:r>
      <w:r w:rsidR="00DB1FC3" w:rsidRPr="00FB1A8A">
        <w:rPr>
          <w:rFonts w:cs="Arial"/>
          <w:bCs/>
          <w:szCs w:val="22"/>
        </w:rPr>
        <w:t xml:space="preserve">financial statements, </w:t>
      </w:r>
      <w:r w:rsidR="00A04D99" w:rsidRPr="00FB1A8A">
        <w:rPr>
          <w:rFonts w:cs="Arial"/>
          <w:bCs/>
          <w:szCs w:val="22"/>
        </w:rPr>
        <w:t xml:space="preserve">in which case an </w:t>
      </w:r>
      <w:r w:rsidR="00DB1FC3" w:rsidRPr="00FB1A8A">
        <w:rPr>
          <w:rFonts w:cs="Arial"/>
          <w:bCs/>
          <w:szCs w:val="22"/>
        </w:rPr>
        <w:t>auditor would be instructed</w:t>
      </w:r>
      <w:r w:rsidR="00A04D99" w:rsidRPr="00FB1A8A">
        <w:rPr>
          <w:rFonts w:cs="Arial"/>
          <w:bCs/>
          <w:szCs w:val="22"/>
        </w:rPr>
        <w:t xml:space="preserve"> accordingly </w:t>
      </w:r>
      <w:r w:rsidR="00DB1FC3" w:rsidRPr="00FB1A8A">
        <w:rPr>
          <w:rFonts w:cs="Arial"/>
          <w:bCs/>
          <w:szCs w:val="22"/>
        </w:rPr>
        <w:t xml:space="preserve">at the cost of the Trust. Six days later the respondent launched the application, </w:t>
      </w:r>
      <w:r w:rsidR="00A04D99" w:rsidRPr="00FB1A8A">
        <w:rPr>
          <w:rFonts w:cs="Arial"/>
          <w:bCs/>
          <w:szCs w:val="22"/>
        </w:rPr>
        <w:t>i</w:t>
      </w:r>
      <w:r w:rsidR="00DB1FC3" w:rsidRPr="00FB1A8A">
        <w:rPr>
          <w:rFonts w:cs="Arial"/>
          <w:bCs/>
          <w:szCs w:val="22"/>
        </w:rPr>
        <w:t>n</w:t>
      </w:r>
      <w:r w:rsidR="00A04D99" w:rsidRPr="00FB1A8A">
        <w:rPr>
          <w:rFonts w:cs="Arial"/>
          <w:bCs/>
          <w:szCs w:val="22"/>
        </w:rPr>
        <w:t xml:space="preserve"> the face of the appellants’ request fo</w:t>
      </w:r>
      <w:r w:rsidR="0002194A" w:rsidRPr="00FB1A8A">
        <w:rPr>
          <w:rFonts w:cs="Arial"/>
          <w:bCs/>
          <w:szCs w:val="22"/>
        </w:rPr>
        <w:t>r an instruction in respect</w:t>
      </w:r>
      <w:r w:rsidR="00A04D99" w:rsidRPr="00FB1A8A">
        <w:rPr>
          <w:rFonts w:cs="Arial"/>
          <w:bCs/>
          <w:szCs w:val="22"/>
        </w:rPr>
        <w:t xml:space="preserve"> of clause 6 of the Trust deed</w:t>
      </w:r>
      <w:r w:rsidR="00DB1FC3" w:rsidRPr="00FB1A8A">
        <w:rPr>
          <w:rFonts w:cs="Arial"/>
          <w:bCs/>
          <w:szCs w:val="22"/>
        </w:rPr>
        <w:t>, and</w:t>
      </w:r>
      <w:r w:rsidR="0002194A" w:rsidRPr="00FB1A8A">
        <w:rPr>
          <w:rFonts w:cs="Arial"/>
          <w:bCs/>
          <w:szCs w:val="22"/>
        </w:rPr>
        <w:t xml:space="preserve"> a</w:t>
      </w:r>
      <w:r w:rsidR="00DB1FC3" w:rsidRPr="00FB1A8A">
        <w:rPr>
          <w:rFonts w:cs="Arial"/>
          <w:bCs/>
          <w:szCs w:val="22"/>
        </w:rPr>
        <w:t xml:space="preserve"> requ</w:t>
      </w:r>
      <w:r w:rsidR="0002194A" w:rsidRPr="00FB1A8A">
        <w:rPr>
          <w:rFonts w:cs="Arial"/>
          <w:bCs/>
          <w:szCs w:val="22"/>
        </w:rPr>
        <w:t xml:space="preserve">est that the respondent reply thereto. </w:t>
      </w:r>
      <w:r w:rsidR="00DB1FC3" w:rsidRPr="00FB1A8A">
        <w:rPr>
          <w:rFonts w:cs="Arial"/>
          <w:bCs/>
          <w:szCs w:val="22"/>
        </w:rPr>
        <w:t xml:space="preserve"> </w:t>
      </w:r>
      <w:r w:rsidR="0002194A" w:rsidRPr="00FB1A8A">
        <w:rPr>
          <w:rFonts w:cs="Arial"/>
          <w:bCs/>
          <w:szCs w:val="22"/>
        </w:rPr>
        <w:t xml:space="preserve"> </w:t>
      </w:r>
    </w:p>
    <w:p w14:paraId="73F8C819" w14:textId="77777777" w:rsidR="00636F6B" w:rsidRPr="00636F6B" w:rsidRDefault="00636F6B" w:rsidP="00636F6B">
      <w:pPr>
        <w:pStyle w:val="ListParagraph"/>
        <w:rPr>
          <w:rFonts w:cs="Arial"/>
          <w:bCs/>
          <w:szCs w:val="22"/>
        </w:rPr>
      </w:pPr>
    </w:p>
    <w:p w14:paraId="18FF4848" w14:textId="4EC52BD3" w:rsidR="00636F6B" w:rsidRPr="00FB1A8A" w:rsidRDefault="00FB1A8A" w:rsidP="00FB1A8A">
      <w:pPr>
        <w:tabs>
          <w:tab w:val="left" w:pos="567"/>
        </w:tabs>
        <w:spacing w:before="480" w:after="480" w:line="480" w:lineRule="auto"/>
        <w:rPr>
          <w:rFonts w:cs="Arial"/>
          <w:b/>
          <w:bCs/>
          <w:szCs w:val="22"/>
        </w:rPr>
      </w:pPr>
      <w:r w:rsidRPr="00636F6B">
        <w:rPr>
          <w:rFonts w:cs="Arial"/>
          <w:bCs/>
          <w:szCs w:val="22"/>
        </w:rPr>
        <w:t>[50]</w:t>
      </w:r>
      <w:r w:rsidRPr="00636F6B">
        <w:rPr>
          <w:rFonts w:cs="Arial"/>
          <w:bCs/>
          <w:szCs w:val="22"/>
        </w:rPr>
        <w:tab/>
      </w:r>
      <w:r w:rsidR="00DB1FC3" w:rsidRPr="00FB1A8A">
        <w:rPr>
          <w:rFonts w:cs="Arial"/>
          <w:bCs/>
          <w:szCs w:val="22"/>
        </w:rPr>
        <w:t xml:space="preserve">The Court in </w:t>
      </w:r>
      <w:r w:rsidR="00DB1FC3" w:rsidRPr="00FB1A8A">
        <w:rPr>
          <w:rFonts w:cs="Arial"/>
          <w:bCs/>
          <w:i/>
          <w:szCs w:val="22"/>
        </w:rPr>
        <w:t>Van Niekerk v Van Niekerk &amp; Another,</w:t>
      </w:r>
      <w:r w:rsidR="00DB1FC3">
        <w:rPr>
          <w:rStyle w:val="FootnoteReference"/>
          <w:bCs/>
          <w:i/>
          <w:szCs w:val="22"/>
        </w:rPr>
        <w:footnoteReference w:id="11"/>
      </w:r>
      <w:r w:rsidR="00DB1FC3" w:rsidRPr="00FB1A8A">
        <w:rPr>
          <w:rFonts w:cs="Arial"/>
          <w:bCs/>
          <w:szCs w:val="22"/>
        </w:rPr>
        <w:t xml:space="preserve"> with reference to </w:t>
      </w:r>
      <w:r w:rsidR="00DB1FC3" w:rsidRPr="00FB1A8A">
        <w:rPr>
          <w:rFonts w:cs="Arial"/>
          <w:bCs/>
          <w:i/>
          <w:szCs w:val="22"/>
        </w:rPr>
        <w:t>Volkwyn NO v Clark &amp; Demant</w:t>
      </w:r>
      <w:r w:rsidR="00DB1FC3">
        <w:rPr>
          <w:rStyle w:val="FootnoteReference"/>
          <w:bCs/>
          <w:i/>
          <w:szCs w:val="22"/>
        </w:rPr>
        <w:footnoteReference w:id="12"/>
      </w:r>
      <w:r w:rsidR="0002194A" w:rsidRPr="00FB1A8A">
        <w:rPr>
          <w:rFonts w:cs="Arial"/>
          <w:bCs/>
          <w:szCs w:val="22"/>
        </w:rPr>
        <w:t xml:space="preserve">, held </w:t>
      </w:r>
      <w:r w:rsidR="00DB1FC3" w:rsidRPr="00FB1A8A">
        <w:rPr>
          <w:rFonts w:cs="Arial"/>
          <w:bCs/>
          <w:szCs w:val="22"/>
        </w:rPr>
        <w:t>that:</w:t>
      </w:r>
    </w:p>
    <w:p w14:paraId="684BFAC0" w14:textId="77777777" w:rsidR="00636F6B" w:rsidRPr="00636F6B" w:rsidRDefault="00636F6B" w:rsidP="00636F6B">
      <w:pPr>
        <w:pStyle w:val="ListParagraph"/>
        <w:rPr>
          <w:rFonts w:cs="Arial"/>
          <w:bCs/>
          <w:sz w:val="20"/>
          <w:szCs w:val="22"/>
        </w:rPr>
      </w:pPr>
    </w:p>
    <w:p w14:paraId="13ED4813" w14:textId="611829B9" w:rsidR="00636F6B" w:rsidRDefault="00DB1FC3" w:rsidP="00636F6B">
      <w:pPr>
        <w:pStyle w:val="ListParagraph"/>
        <w:spacing w:before="480" w:after="480" w:line="240" w:lineRule="auto"/>
        <w:ind w:left="0"/>
        <w:rPr>
          <w:rFonts w:cs="Arial"/>
          <w:b/>
          <w:bCs/>
          <w:szCs w:val="22"/>
        </w:rPr>
      </w:pPr>
      <w:r w:rsidRPr="00636F6B">
        <w:rPr>
          <w:rFonts w:cs="Arial"/>
          <w:bCs/>
          <w:sz w:val="20"/>
          <w:szCs w:val="22"/>
        </w:rPr>
        <w:t>‘Both the statute and the case</w:t>
      </w:r>
      <w:r w:rsidR="00752034">
        <w:rPr>
          <w:rFonts w:cs="Arial"/>
          <w:bCs/>
          <w:sz w:val="20"/>
          <w:szCs w:val="22"/>
        </w:rPr>
        <w:t xml:space="preserve"> cited indicates that the su</w:t>
      </w:r>
      <w:r w:rsidRPr="00636F6B">
        <w:rPr>
          <w:rFonts w:cs="Arial"/>
          <w:bCs/>
          <w:sz w:val="20"/>
          <w:szCs w:val="22"/>
        </w:rPr>
        <w:t>fficiency of the cause for removal is to be tested by consideration of the interests of the estate. It</w:t>
      </w:r>
      <w:r w:rsidR="00752034">
        <w:rPr>
          <w:rFonts w:cs="Arial"/>
          <w:bCs/>
          <w:sz w:val="20"/>
          <w:szCs w:val="22"/>
        </w:rPr>
        <w:t xml:space="preserve"> must therefore appear, … that</w:t>
      </w:r>
      <w:r w:rsidRPr="00636F6B">
        <w:rPr>
          <w:rFonts w:cs="Arial"/>
          <w:bCs/>
          <w:sz w:val="20"/>
          <w:szCs w:val="22"/>
        </w:rPr>
        <w:t xml:space="preserve"> the particular circumstances of the acts complained are such as to stamp the executor or administrator as a dishonest, grossly inefficient or untrustworthy person, whose future conduct can be expected to be such as to expose t</w:t>
      </w:r>
      <w:r w:rsidR="00752034">
        <w:rPr>
          <w:rFonts w:cs="Arial"/>
          <w:bCs/>
          <w:sz w:val="20"/>
          <w:szCs w:val="22"/>
        </w:rPr>
        <w:t>he estate to</w:t>
      </w:r>
      <w:r w:rsidRPr="00636F6B">
        <w:rPr>
          <w:rFonts w:cs="Arial"/>
          <w:bCs/>
          <w:sz w:val="20"/>
          <w:szCs w:val="22"/>
        </w:rPr>
        <w:t xml:space="preserve"> risk of actual loss or of administration in a way not contemplated by the trust instrument.’</w:t>
      </w:r>
    </w:p>
    <w:p w14:paraId="40ABA5E7" w14:textId="77777777" w:rsidR="00636F6B" w:rsidRPr="00636F6B" w:rsidRDefault="00636F6B" w:rsidP="00636F6B">
      <w:pPr>
        <w:pStyle w:val="ListParagraph"/>
        <w:rPr>
          <w:rFonts w:cs="Arial"/>
          <w:bCs/>
          <w:szCs w:val="22"/>
        </w:rPr>
      </w:pPr>
    </w:p>
    <w:p w14:paraId="35ABC0CD" w14:textId="3760560A" w:rsidR="00752034" w:rsidRPr="00FB1A8A" w:rsidRDefault="00FB1A8A" w:rsidP="00FB1A8A">
      <w:pPr>
        <w:tabs>
          <w:tab w:val="left" w:pos="567"/>
        </w:tabs>
        <w:spacing w:before="480" w:after="480" w:line="480" w:lineRule="auto"/>
        <w:rPr>
          <w:rFonts w:cs="Arial"/>
          <w:b/>
          <w:bCs/>
          <w:szCs w:val="22"/>
        </w:rPr>
      </w:pPr>
      <w:r w:rsidRPr="001370B5">
        <w:rPr>
          <w:rFonts w:cs="Arial"/>
          <w:bCs/>
          <w:szCs w:val="22"/>
        </w:rPr>
        <w:t>[51]</w:t>
      </w:r>
      <w:r w:rsidRPr="001370B5">
        <w:rPr>
          <w:rFonts w:cs="Arial"/>
          <w:bCs/>
          <w:szCs w:val="22"/>
        </w:rPr>
        <w:tab/>
      </w:r>
      <w:r w:rsidR="00DB1FC3" w:rsidRPr="00FB1A8A">
        <w:rPr>
          <w:rFonts w:cs="Arial"/>
          <w:bCs/>
          <w:szCs w:val="22"/>
        </w:rPr>
        <w:t>No facts were advanced before us by the respondent that the</w:t>
      </w:r>
      <w:r w:rsidR="00752034" w:rsidRPr="00FB1A8A">
        <w:rPr>
          <w:rFonts w:cs="Arial"/>
          <w:bCs/>
          <w:szCs w:val="22"/>
        </w:rPr>
        <w:t xml:space="preserve"> appellants </w:t>
      </w:r>
      <w:r w:rsidR="00752034" w:rsidRPr="00FB1A8A">
        <w:rPr>
          <w:rFonts w:cs="Arial"/>
          <w:bCs/>
          <w:i/>
          <w:szCs w:val="22"/>
        </w:rPr>
        <w:t xml:space="preserve">qua </w:t>
      </w:r>
      <w:r w:rsidR="00DB1FC3" w:rsidRPr="00FB1A8A">
        <w:rPr>
          <w:rFonts w:cs="Arial"/>
          <w:bCs/>
          <w:szCs w:val="22"/>
        </w:rPr>
        <w:t>trustees</w:t>
      </w:r>
      <w:r w:rsidR="00752034" w:rsidRPr="00FB1A8A">
        <w:rPr>
          <w:rFonts w:cs="Arial"/>
          <w:bCs/>
          <w:szCs w:val="22"/>
        </w:rPr>
        <w:t>,</w:t>
      </w:r>
      <w:r w:rsidR="00DB1FC3" w:rsidRPr="00FB1A8A">
        <w:rPr>
          <w:rFonts w:cs="Arial"/>
          <w:bCs/>
          <w:szCs w:val="22"/>
        </w:rPr>
        <w:t xml:space="preserve"> or any one of them was dishonest, grossly inefficient or untrustworthy</w:t>
      </w:r>
      <w:r w:rsidR="00C7029F" w:rsidRPr="00FB1A8A">
        <w:rPr>
          <w:rFonts w:cs="Arial"/>
          <w:bCs/>
          <w:szCs w:val="22"/>
        </w:rPr>
        <w:t xml:space="preserve">. Nor was their evidence that the trustees’ </w:t>
      </w:r>
      <w:r w:rsidR="00DB1FC3" w:rsidRPr="00FB1A8A">
        <w:rPr>
          <w:rFonts w:cs="Arial"/>
          <w:bCs/>
          <w:szCs w:val="22"/>
        </w:rPr>
        <w:t>future conduct might imperil the estate</w:t>
      </w:r>
      <w:r w:rsidR="00C7029F" w:rsidRPr="00FB1A8A">
        <w:rPr>
          <w:rFonts w:cs="Arial"/>
          <w:bCs/>
          <w:szCs w:val="22"/>
        </w:rPr>
        <w:t xml:space="preserve"> and risk </w:t>
      </w:r>
      <w:r w:rsidR="00DB1FC3" w:rsidRPr="00FB1A8A">
        <w:rPr>
          <w:rFonts w:cs="Arial"/>
          <w:bCs/>
          <w:szCs w:val="22"/>
        </w:rPr>
        <w:t>actual loss</w:t>
      </w:r>
      <w:r w:rsidR="00C7029F" w:rsidRPr="00FB1A8A">
        <w:rPr>
          <w:rFonts w:cs="Arial"/>
          <w:bCs/>
          <w:szCs w:val="22"/>
        </w:rPr>
        <w:t>,</w:t>
      </w:r>
      <w:r w:rsidR="00DB1FC3" w:rsidRPr="00FB1A8A">
        <w:rPr>
          <w:rFonts w:cs="Arial"/>
          <w:bCs/>
          <w:szCs w:val="22"/>
        </w:rPr>
        <w:t xml:space="preserve"> or of administ</w:t>
      </w:r>
      <w:r w:rsidR="00C7029F" w:rsidRPr="00FB1A8A">
        <w:rPr>
          <w:rFonts w:cs="Arial"/>
          <w:bCs/>
          <w:szCs w:val="22"/>
        </w:rPr>
        <w:t>eri</w:t>
      </w:r>
      <w:r w:rsidR="00DB1FC3" w:rsidRPr="00FB1A8A">
        <w:rPr>
          <w:rFonts w:cs="Arial"/>
          <w:bCs/>
          <w:szCs w:val="22"/>
        </w:rPr>
        <w:t>n</w:t>
      </w:r>
      <w:r w:rsidR="00C7029F" w:rsidRPr="00FB1A8A">
        <w:rPr>
          <w:rFonts w:cs="Arial"/>
          <w:bCs/>
          <w:szCs w:val="22"/>
        </w:rPr>
        <w:t>g the Trust</w:t>
      </w:r>
      <w:r w:rsidR="00DB1FC3" w:rsidRPr="00FB1A8A">
        <w:rPr>
          <w:rFonts w:cs="Arial"/>
          <w:bCs/>
          <w:szCs w:val="22"/>
        </w:rPr>
        <w:t xml:space="preserve"> in a way not contemplated by the Trust</w:t>
      </w:r>
      <w:r w:rsidR="00752034" w:rsidRPr="00FB1A8A">
        <w:rPr>
          <w:rFonts w:cs="Arial"/>
          <w:bCs/>
          <w:szCs w:val="22"/>
        </w:rPr>
        <w:t xml:space="preserve"> deed, or </w:t>
      </w:r>
      <w:r w:rsidR="00DB1FC3" w:rsidRPr="00FB1A8A">
        <w:rPr>
          <w:rFonts w:cs="Arial"/>
          <w:bCs/>
          <w:szCs w:val="22"/>
        </w:rPr>
        <w:t>in a manner that did not further the interests of the beneficiary or the Trust fund.</w:t>
      </w:r>
      <w:r w:rsidR="00752034" w:rsidRPr="00FB1A8A">
        <w:rPr>
          <w:rFonts w:cs="Arial"/>
          <w:bCs/>
          <w:szCs w:val="22"/>
        </w:rPr>
        <w:t xml:space="preserve">    </w:t>
      </w:r>
    </w:p>
    <w:p w14:paraId="6917149C" w14:textId="77777777" w:rsidR="00752034" w:rsidRPr="002079E2" w:rsidRDefault="00752034" w:rsidP="00752034">
      <w:pPr>
        <w:pStyle w:val="ListParagraph"/>
        <w:rPr>
          <w:rFonts w:cs="Arial"/>
          <w:bCs/>
          <w:szCs w:val="22"/>
        </w:rPr>
      </w:pPr>
    </w:p>
    <w:p w14:paraId="7B41F1CF" w14:textId="0D3E7B59" w:rsidR="00895518" w:rsidRPr="00FB1A8A" w:rsidRDefault="00FB1A8A" w:rsidP="00FB1A8A">
      <w:pPr>
        <w:tabs>
          <w:tab w:val="left" w:pos="567"/>
        </w:tabs>
        <w:spacing w:before="480" w:after="480" w:line="480" w:lineRule="auto"/>
        <w:rPr>
          <w:rFonts w:cs="Arial"/>
          <w:bCs/>
          <w:szCs w:val="22"/>
        </w:rPr>
      </w:pPr>
      <w:r w:rsidRPr="002079E2">
        <w:rPr>
          <w:rFonts w:cs="Arial"/>
          <w:bCs/>
          <w:szCs w:val="22"/>
        </w:rPr>
        <w:t>[52]</w:t>
      </w:r>
      <w:r w:rsidRPr="002079E2">
        <w:rPr>
          <w:rFonts w:cs="Arial"/>
          <w:bCs/>
          <w:szCs w:val="22"/>
        </w:rPr>
        <w:tab/>
      </w:r>
      <w:r w:rsidR="00752034" w:rsidRPr="00FB1A8A">
        <w:rPr>
          <w:rFonts w:cs="Arial"/>
          <w:bCs/>
          <w:szCs w:val="22"/>
        </w:rPr>
        <w:t xml:space="preserve">The date on which the final order was granted </w:t>
      </w:r>
      <w:r w:rsidR="00895518" w:rsidRPr="00FB1A8A">
        <w:rPr>
          <w:rFonts w:cs="Arial"/>
          <w:bCs/>
          <w:szCs w:val="22"/>
        </w:rPr>
        <w:t xml:space="preserve">by the trial court </w:t>
      </w:r>
      <w:r w:rsidR="00752034" w:rsidRPr="00FB1A8A">
        <w:rPr>
          <w:rFonts w:cs="Arial"/>
          <w:bCs/>
          <w:szCs w:val="22"/>
        </w:rPr>
        <w:t>is a fact that Ehlers attorn</w:t>
      </w:r>
      <w:r w:rsidR="00895518" w:rsidRPr="00FB1A8A">
        <w:rPr>
          <w:rFonts w:cs="Arial"/>
          <w:bCs/>
          <w:szCs w:val="22"/>
        </w:rPr>
        <w:t xml:space="preserve">ey </w:t>
      </w:r>
      <w:r w:rsidR="00752034" w:rsidRPr="00FB1A8A">
        <w:rPr>
          <w:rFonts w:cs="Arial"/>
          <w:bCs/>
          <w:szCs w:val="22"/>
        </w:rPr>
        <w:t xml:space="preserve">must </w:t>
      </w:r>
      <w:r w:rsidR="00895518" w:rsidRPr="00FB1A8A">
        <w:rPr>
          <w:rFonts w:cs="Arial"/>
          <w:bCs/>
          <w:szCs w:val="22"/>
        </w:rPr>
        <w:t xml:space="preserve">and should </w:t>
      </w:r>
      <w:r w:rsidR="00752034" w:rsidRPr="00FB1A8A">
        <w:rPr>
          <w:rFonts w:cs="Arial"/>
          <w:bCs/>
          <w:szCs w:val="22"/>
        </w:rPr>
        <w:t xml:space="preserve">be able to clarify and the appellants should calculate the </w:t>
      </w:r>
      <w:r w:rsidR="00895518" w:rsidRPr="00FB1A8A">
        <w:rPr>
          <w:rFonts w:cs="Arial"/>
          <w:bCs/>
          <w:szCs w:val="22"/>
        </w:rPr>
        <w:t xml:space="preserve">interest </w:t>
      </w:r>
      <w:r w:rsidR="00752034" w:rsidRPr="00FB1A8A">
        <w:rPr>
          <w:rFonts w:cs="Arial"/>
          <w:bCs/>
          <w:szCs w:val="22"/>
        </w:rPr>
        <w:t>on the award</w:t>
      </w:r>
      <w:r w:rsidR="00895518" w:rsidRPr="00FB1A8A">
        <w:rPr>
          <w:rFonts w:cs="Arial"/>
          <w:bCs/>
          <w:szCs w:val="22"/>
        </w:rPr>
        <w:t xml:space="preserve"> due to the Trust accordingly.</w:t>
      </w:r>
    </w:p>
    <w:p w14:paraId="4F822B8E" w14:textId="77777777" w:rsidR="00895518" w:rsidRPr="002079E2" w:rsidRDefault="00895518" w:rsidP="00895518">
      <w:pPr>
        <w:pStyle w:val="ListParagraph"/>
        <w:rPr>
          <w:rFonts w:cs="Arial"/>
          <w:bCs/>
          <w:szCs w:val="22"/>
        </w:rPr>
      </w:pPr>
    </w:p>
    <w:p w14:paraId="4D870004" w14:textId="61AA3913" w:rsidR="00895518" w:rsidRPr="00FB1A8A" w:rsidRDefault="00FB1A8A" w:rsidP="00FB1A8A">
      <w:pPr>
        <w:tabs>
          <w:tab w:val="left" w:pos="567"/>
        </w:tabs>
        <w:spacing w:before="480" w:after="480" w:line="480" w:lineRule="auto"/>
        <w:rPr>
          <w:rFonts w:cs="Arial"/>
          <w:bCs/>
          <w:szCs w:val="22"/>
        </w:rPr>
      </w:pPr>
      <w:r w:rsidRPr="002079E2">
        <w:rPr>
          <w:rFonts w:cs="Arial"/>
          <w:bCs/>
          <w:szCs w:val="22"/>
        </w:rPr>
        <w:t>[53]</w:t>
      </w:r>
      <w:r w:rsidRPr="002079E2">
        <w:rPr>
          <w:rFonts w:cs="Arial"/>
          <w:bCs/>
          <w:szCs w:val="22"/>
        </w:rPr>
        <w:tab/>
      </w:r>
      <w:r w:rsidR="00895518" w:rsidRPr="00FB1A8A">
        <w:rPr>
          <w:rFonts w:cs="Arial"/>
          <w:bCs/>
          <w:szCs w:val="22"/>
        </w:rPr>
        <w:t>Queries raised by the respondent in respect of Ehlers Attorneys accounts must be dealt with by the respondent with Ehlers Attorneys.</w:t>
      </w:r>
    </w:p>
    <w:p w14:paraId="2886237E" w14:textId="309BA44D" w:rsidR="00895518" w:rsidRPr="002079E2" w:rsidRDefault="00895518" w:rsidP="00895518">
      <w:pPr>
        <w:pStyle w:val="ListParagraph"/>
        <w:rPr>
          <w:rFonts w:cs="Arial"/>
          <w:bCs/>
          <w:szCs w:val="22"/>
        </w:rPr>
      </w:pPr>
    </w:p>
    <w:p w14:paraId="104B0D87" w14:textId="684B8AA7" w:rsidR="00895518" w:rsidRPr="00FB1A8A" w:rsidRDefault="00FB1A8A" w:rsidP="00FB1A8A">
      <w:pPr>
        <w:tabs>
          <w:tab w:val="left" w:pos="567"/>
        </w:tabs>
        <w:spacing w:before="480" w:after="480" w:line="480" w:lineRule="auto"/>
        <w:rPr>
          <w:rFonts w:cs="Arial"/>
          <w:bCs/>
          <w:szCs w:val="22"/>
        </w:rPr>
      </w:pPr>
      <w:r w:rsidRPr="002079E2">
        <w:rPr>
          <w:rFonts w:cs="Arial"/>
          <w:bCs/>
          <w:szCs w:val="22"/>
        </w:rPr>
        <w:t>[54]</w:t>
      </w:r>
      <w:r w:rsidRPr="002079E2">
        <w:rPr>
          <w:rFonts w:cs="Arial"/>
          <w:bCs/>
          <w:szCs w:val="22"/>
        </w:rPr>
        <w:tab/>
      </w:r>
      <w:r w:rsidR="00895518" w:rsidRPr="00FB1A8A">
        <w:rPr>
          <w:rFonts w:cs="Arial"/>
          <w:bCs/>
          <w:szCs w:val="22"/>
        </w:rPr>
        <w:t>The appellants must ensure that the Trust received all the monies due to it under the award in terms of the court order. Furthermore, if Ehlers attorneys accounts stand to be taxed, then that should take place.</w:t>
      </w:r>
    </w:p>
    <w:p w14:paraId="40973ED6" w14:textId="77777777" w:rsidR="00895518" w:rsidRPr="002079E2" w:rsidRDefault="00895518" w:rsidP="00895518">
      <w:pPr>
        <w:pStyle w:val="ListParagraph"/>
        <w:rPr>
          <w:rFonts w:cs="Arial"/>
          <w:bCs/>
          <w:szCs w:val="22"/>
        </w:rPr>
      </w:pPr>
    </w:p>
    <w:p w14:paraId="3783D9A5" w14:textId="49A35FB9" w:rsidR="00752034" w:rsidRPr="00FB1A8A" w:rsidRDefault="00FB1A8A" w:rsidP="00FB1A8A">
      <w:pPr>
        <w:tabs>
          <w:tab w:val="left" w:pos="567"/>
        </w:tabs>
        <w:spacing w:before="480" w:after="480" w:line="480" w:lineRule="auto"/>
        <w:rPr>
          <w:rFonts w:cs="Arial"/>
          <w:bCs/>
          <w:szCs w:val="22"/>
        </w:rPr>
      </w:pPr>
      <w:r w:rsidRPr="002079E2">
        <w:rPr>
          <w:rFonts w:cs="Arial"/>
          <w:bCs/>
          <w:szCs w:val="22"/>
        </w:rPr>
        <w:t>[55]</w:t>
      </w:r>
      <w:r w:rsidRPr="002079E2">
        <w:rPr>
          <w:rFonts w:cs="Arial"/>
          <w:bCs/>
          <w:szCs w:val="22"/>
        </w:rPr>
        <w:tab/>
      </w:r>
      <w:r w:rsidR="00895518" w:rsidRPr="00FB1A8A">
        <w:rPr>
          <w:rFonts w:cs="Arial"/>
          <w:bCs/>
          <w:szCs w:val="22"/>
        </w:rPr>
        <w:t>The appellants should be claiming the administration and related costs of the Trust, the respondent’s medical costs and</w:t>
      </w:r>
      <w:r w:rsidR="002079E2" w:rsidRPr="00FB1A8A">
        <w:rPr>
          <w:rFonts w:cs="Arial"/>
          <w:bCs/>
          <w:szCs w:val="22"/>
        </w:rPr>
        <w:t xml:space="preserve"> such</w:t>
      </w:r>
      <w:r w:rsidR="00895518" w:rsidRPr="00FB1A8A">
        <w:rPr>
          <w:rFonts w:cs="Arial"/>
          <w:bCs/>
          <w:szCs w:val="22"/>
        </w:rPr>
        <w:t xml:space="preserve"> additional </w:t>
      </w:r>
      <w:r w:rsidR="002079E2" w:rsidRPr="00FB1A8A">
        <w:rPr>
          <w:rFonts w:cs="Arial"/>
          <w:bCs/>
          <w:szCs w:val="22"/>
        </w:rPr>
        <w:t xml:space="preserve">costs </w:t>
      </w:r>
      <w:r w:rsidR="00895518" w:rsidRPr="00FB1A8A">
        <w:rPr>
          <w:rFonts w:cs="Arial"/>
          <w:bCs/>
          <w:szCs w:val="22"/>
        </w:rPr>
        <w:t xml:space="preserve">guaranteed under the RAF’s undertaking, from the RAF and should do so on a regular basis.  </w:t>
      </w:r>
      <w:r w:rsidR="00752034" w:rsidRPr="00FB1A8A">
        <w:rPr>
          <w:rFonts w:cs="Arial"/>
          <w:bCs/>
          <w:szCs w:val="22"/>
        </w:rPr>
        <w:t xml:space="preserve"> </w:t>
      </w:r>
    </w:p>
    <w:p w14:paraId="58C02AD1" w14:textId="77777777" w:rsidR="00636F6B" w:rsidRDefault="00636F6B" w:rsidP="00636F6B">
      <w:pPr>
        <w:pStyle w:val="ListParagraph"/>
        <w:spacing w:before="480" w:after="480" w:line="480" w:lineRule="auto"/>
        <w:ind w:left="0"/>
        <w:rPr>
          <w:rFonts w:cs="Arial"/>
          <w:b/>
          <w:bCs/>
          <w:szCs w:val="22"/>
        </w:rPr>
      </w:pPr>
    </w:p>
    <w:p w14:paraId="04396F6C" w14:textId="747987B0" w:rsidR="00752034" w:rsidRPr="00FB1A8A" w:rsidRDefault="00FB1A8A" w:rsidP="00FB1A8A">
      <w:pPr>
        <w:tabs>
          <w:tab w:val="left" w:pos="567"/>
        </w:tabs>
        <w:spacing w:before="480" w:after="480" w:line="480" w:lineRule="auto"/>
        <w:rPr>
          <w:rFonts w:cs="Arial"/>
          <w:b/>
          <w:bCs/>
          <w:szCs w:val="22"/>
        </w:rPr>
      </w:pPr>
      <w:r>
        <w:rPr>
          <w:rFonts w:cs="Arial"/>
          <w:bCs/>
          <w:szCs w:val="22"/>
        </w:rPr>
        <w:t>[56]</w:t>
      </w:r>
      <w:r>
        <w:rPr>
          <w:rFonts w:cs="Arial"/>
          <w:bCs/>
          <w:szCs w:val="22"/>
        </w:rPr>
        <w:tab/>
      </w:r>
      <w:r w:rsidR="00DB1FC3" w:rsidRPr="00FB1A8A">
        <w:rPr>
          <w:rFonts w:cs="Arial"/>
          <w:bCs/>
          <w:szCs w:val="22"/>
        </w:rPr>
        <w:t xml:space="preserve">Nothing stated by </w:t>
      </w:r>
      <w:r w:rsidR="002079E2" w:rsidRPr="00FB1A8A">
        <w:rPr>
          <w:rFonts w:cs="Arial"/>
          <w:bCs/>
          <w:szCs w:val="22"/>
        </w:rPr>
        <w:t xml:space="preserve">the respondent </w:t>
      </w:r>
      <w:r w:rsidR="00895518" w:rsidRPr="00FB1A8A">
        <w:rPr>
          <w:rFonts w:cs="Arial"/>
          <w:bCs/>
          <w:szCs w:val="22"/>
        </w:rPr>
        <w:t>however</w:t>
      </w:r>
      <w:r w:rsidR="00752034" w:rsidRPr="00FB1A8A">
        <w:rPr>
          <w:rFonts w:cs="Arial"/>
          <w:bCs/>
          <w:szCs w:val="22"/>
        </w:rPr>
        <w:t xml:space="preserve"> justified</w:t>
      </w:r>
      <w:r w:rsidR="002079E2" w:rsidRPr="00FB1A8A">
        <w:rPr>
          <w:rFonts w:cs="Arial"/>
          <w:bCs/>
          <w:szCs w:val="22"/>
        </w:rPr>
        <w:t xml:space="preserve"> the fi</w:t>
      </w:r>
      <w:r w:rsidR="00895518" w:rsidRPr="00FB1A8A">
        <w:rPr>
          <w:rFonts w:cs="Arial"/>
          <w:bCs/>
          <w:szCs w:val="22"/>
        </w:rPr>
        <w:t>nding</w:t>
      </w:r>
      <w:r w:rsidR="002079E2" w:rsidRPr="00FB1A8A">
        <w:rPr>
          <w:rFonts w:cs="Arial"/>
          <w:bCs/>
          <w:szCs w:val="22"/>
        </w:rPr>
        <w:t xml:space="preserve"> </w:t>
      </w:r>
      <w:r w:rsidR="002079E2" w:rsidRPr="00FB1A8A">
        <w:rPr>
          <w:rFonts w:cs="Arial"/>
          <w:bCs/>
          <w:i/>
          <w:szCs w:val="22"/>
        </w:rPr>
        <w:t>a quo</w:t>
      </w:r>
      <w:r w:rsidR="00895518" w:rsidRPr="00FB1A8A">
        <w:rPr>
          <w:rFonts w:cs="Arial"/>
          <w:bCs/>
          <w:i/>
          <w:szCs w:val="22"/>
        </w:rPr>
        <w:t xml:space="preserve"> </w:t>
      </w:r>
      <w:r w:rsidR="00895518" w:rsidRPr="00FB1A8A">
        <w:rPr>
          <w:rFonts w:cs="Arial"/>
          <w:bCs/>
          <w:szCs w:val="22"/>
        </w:rPr>
        <w:t xml:space="preserve">that </w:t>
      </w:r>
      <w:r w:rsidR="00752034" w:rsidRPr="00FB1A8A">
        <w:rPr>
          <w:rFonts w:cs="Arial"/>
          <w:bCs/>
          <w:szCs w:val="22"/>
        </w:rPr>
        <w:t>the appellants</w:t>
      </w:r>
      <w:r w:rsidR="00895518" w:rsidRPr="00FB1A8A">
        <w:rPr>
          <w:rFonts w:cs="Arial"/>
          <w:bCs/>
          <w:szCs w:val="22"/>
        </w:rPr>
        <w:t xml:space="preserve">, all professionals, were </w:t>
      </w:r>
      <w:r w:rsidR="00DB1FC3" w:rsidRPr="00FB1A8A">
        <w:rPr>
          <w:rFonts w:cs="Arial"/>
          <w:bCs/>
          <w:szCs w:val="22"/>
        </w:rPr>
        <w:t>dishonest, grossly inefficient or untrustwo</w:t>
      </w:r>
      <w:r w:rsidR="00752034" w:rsidRPr="00FB1A8A">
        <w:rPr>
          <w:rFonts w:cs="Arial"/>
          <w:bCs/>
          <w:szCs w:val="22"/>
        </w:rPr>
        <w:t>rthy</w:t>
      </w:r>
      <w:r w:rsidR="002079E2" w:rsidRPr="00FB1A8A">
        <w:rPr>
          <w:rFonts w:cs="Arial"/>
          <w:bCs/>
          <w:szCs w:val="22"/>
        </w:rPr>
        <w:t xml:space="preserve">. Nor did the respondent submit facts based on her founding papers that the appellants’ </w:t>
      </w:r>
      <w:r w:rsidR="00752034" w:rsidRPr="00FB1A8A">
        <w:rPr>
          <w:rFonts w:cs="Arial"/>
          <w:bCs/>
          <w:szCs w:val="22"/>
        </w:rPr>
        <w:t>conduct</w:t>
      </w:r>
      <w:r w:rsidR="002079E2" w:rsidRPr="00FB1A8A">
        <w:rPr>
          <w:rFonts w:cs="Arial"/>
          <w:bCs/>
          <w:szCs w:val="22"/>
        </w:rPr>
        <w:t xml:space="preserve"> </w:t>
      </w:r>
      <w:r w:rsidR="00752034" w:rsidRPr="00FB1A8A">
        <w:rPr>
          <w:rFonts w:cs="Arial"/>
          <w:bCs/>
          <w:szCs w:val="22"/>
        </w:rPr>
        <w:t>might</w:t>
      </w:r>
      <w:r w:rsidR="00DB1FC3" w:rsidRPr="00FB1A8A">
        <w:rPr>
          <w:rFonts w:cs="Arial"/>
          <w:bCs/>
          <w:szCs w:val="22"/>
        </w:rPr>
        <w:t xml:space="preserve"> expose the</w:t>
      </w:r>
      <w:r w:rsidR="002079E2" w:rsidRPr="00FB1A8A">
        <w:rPr>
          <w:rFonts w:cs="Arial"/>
          <w:bCs/>
          <w:szCs w:val="22"/>
        </w:rPr>
        <w:t xml:space="preserve"> Trust </w:t>
      </w:r>
      <w:r w:rsidR="00DB1FC3" w:rsidRPr="00FB1A8A">
        <w:rPr>
          <w:rFonts w:cs="Arial"/>
          <w:bCs/>
          <w:szCs w:val="22"/>
        </w:rPr>
        <w:t xml:space="preserve">or the </w:t>
      </w:r>
      <w:r w:rsidR="002079E2" w:rsidRPr="00FB1A8A">
        <w:rPr>
          <w:rFonts w:cs="Arial"/>
          <w:bCs/>
          <w:szCs w:val="22"/>
        </w:rPr>
        <w:t xml:space="preserve">respondent beneficiary’s </w:t>
      </w:r>
      <w:r w:rsidR="00DB1FC3" w:rsidRPr="00FB1A8A">
        <w:rPr>
          <w:rFonts w:cs="Arial"/>
          <w:bCs/>
          <w:szCs w:val="22"/>
        </w:rPr>
        <w:t>interests to actual loss.</w:t>
      </w:r>
      <w:r w:rsidR="002079E2" w:rsidRPr="00FB1A8A">
        <w:rPr>
          <w:rFonts w:cs="Arial"/>
          <w:bCs/>
          <w:szCs w:val="22"/>
        </w:rPr>
        <w:t xml:space="preserve"> Furthermore, no basis existed in my view, for an order of costs </w:t>
      </w:r>
      <w:r w:rsidR="002079E2" w:rsidRPr="00FB1A8A">
        <w:rPr>
          <w:rFonts w:cs="Arial"/>
          <w:bCs/>
          <w:i/>
          <w:szCs w:val="22"/>
        </w:rPr>
        <w:t>de bonis propriis</w:t>
      </w:r>
      <w:r w:rsidR="002079E2" w:rsidRPr="00FB1A8A">
        <w:rPr>
          <w:rFonts w:cs="Arial"/>
          <w:bCs/>
          <w:szCs w:val="22"/>
        </w:rPr>
        <w:t xml:space="preserve"> against the appellants.</w:t>
      </w:r>
    </w:p>
    <w:p w14:paraId="1898837F" w14:textId="77777777" w:rsidR="00752034" w:rsidRPr="00752034" w:rsidRDefault="00752034" w:rsidP="00752034">
      <w:pPr>
        <w:pStyle w:val="ListParagraph"/>
        <w:rPr>
          <w:rFonts w:cs="Arial"/>
          <w:bCs/>
          <w:szCs w:val="22"/>
        </w:rPr>
      </w:pPr>
    </w:p>
    <w:p w14:paraId="0FEDC85C" w14:textId="5F45C263" w:rsidR="002079E2" w:rsidRPr="00FB1A8A" w:rsidRDefault="00FB1A8A" w:rsidP="00FB1A8A">
      <w:pPr>
        <w:tabs>
          <w:tab w:val="left" w:pos="567"/>
        </w:tabs>
        <w:spacing w:before="480" w:after="480" w:line="480" w:lineRule="auto"/>
        <w:rPr>
          <w:rFonts w:cs="Arial"/>
          <w:b/>
          <w:bCs/>
          <w:szCs w:val="22"/>
        </w:rPr>
      </w:pPr>
      <w:r w:rsidRPr="000D40AB">
        <w:rPr>
          <w:rFonts w:cs="Arial"/>
          <w:bCs/>
          <w:szCs w:val="22"/>
        </w:rPr>
        <w:t>[57]</w:t>
      </w:r>
      <w:r w:rsidRPr="000D40AB">
        <w:rPr>
          <w:rFonts w:cs="Arial"/>
          <w:bCs/>
          <w:szCs w:val="22"/>
        </w:rPr>
        <w:tab/>
      </w:r>
      <w:r w:rsidR="00DB1FC3" w:rsidRPr="00FB1A8A">
        <w:rPr>
          <w:rFonts w:cs="Arial"/>
          <w:bCs/>
          <w:szCs w:val="22"/>
        </w:rPr>
        <w:t xml:space="preserve">In the circumstances I </w:t>
      </w:r>
      <w:r w:rsidR="00752034" w:rsidRPr="00FB1A8A">
        <w:rPr>
          <w:rFonts w:cs="Arial"/>
          <w:bCs/>
          <w:szCs w:val="22"/>
        </w:rPr>
        <w:t xml:space="preserve">am of the view that an order </w:t>
      </w:r>
      <w:r w:rsidR="000D40AB" w:rsidRPr="00FB1A8A">
        <w:rPr>
          <w:rFonts w:cs="Arial"/>
          <w:bCs/>
          <w:szCs w:val="22"/>
        </w:rPr>
        <w:t>that the trustees be dismissed</w:t>
      </w:r>
      <w:r w:rsidR="001370B5" w:rsidRPr="00FB1A8A">
        <w:rPr>
          <w:rFonts w:cs="Arial"/>
          <w:bCs/>
          <w:szCs w:val="22"/>
        </w:rPr>
        <w:t xml:space="preserve"> is unjustified.</w:t>
      </w:r>
    </w:p>
    <w:p w14:paraId="4A8DA9F9" w14:textId="77777777" w:rsidR="000D40AB" w:rsidRPr="000D40AB" w:rsidRDefault="000D40AB" w:rsidP="000D40AB">
      <w:pPr>
        <w:pStyle w:val="ListParagraph"/>
        <w:rPr>
          <w:rFonts w:cs="Arial"/>
          <w:b/>
          <w:bCs/>
          <w:szCs w:val="22"/>
        </w:rPr>
      </w:pPr>
    </w:p>
    <w:p w14:paraId="21CDEC31" w14:textId="55CB6F86" w:rsidR="000D40AB" w:rsidRPr="00FB1A8A" w:rsidRDefault="00FB1A8A" w:rsidP="00FB1A8A">
      <w:pPr>
        <w:tabs>
          <w:tab w:val="left" w:pos="567"/>
        </w:tabs>
        <w:spacing w:before="480" w:after="480" w:line="480" w:lineRule="auto"/>
        <w:rPr>
          <w:rFonts w:cs="Arial"/>
          <w:bCs/>
          <w:szCs w:val="22"/>
        </w:rPr>
      </w:pPr>
      <w:r w:rsidRPr="000D40AB">
        <w:rPr>
          <w:rFonts w:cs="Arial"/>
          <w:bCs/>
          <w:szCs w:val="22"/>
        </w:rPr>
        <w:t>[58]</w:t>
      </w:r>
      <w:r w:rsidRPr="000D40AB">
        <w:rPr>
          <w:rFonts w:cs="Arial"/>
          <w:bCs/>
          <w:szCs w:val="22"/>
        </w:rPr>
        <w:tab/>
      </w:r>
      <w:r w:rsidR="000D40AB" w:rsidRPr="00FB1A8A">
        <w:rPr>
          <w:rFonts w:cs="Arial"/>
          <w:bCs/>
          <w:szCs w:val="22"/>
        </w:rPr>
        <w:t>By virtue of the above, I propose the following order:</w:t>
      </w:r>
    </w:p>
    <w:p w14:paraId="25A94C92" w14:textId="77777777" w:rsidR="002079E2" w:rsidRPr="002079E2" w:rsidRDefault="002079E2" w:rsidP="002079E2">
      <w:pPr>
        <w:pStyle w:val="ListParagraph"/>
        <w:rPr>
          <w:rFonts w:cs="Arial"/>
          <w:bCs/>
          <w:szCs w:val="22"/>
        </w:rPr>
      </w:pPr>
    </w:p>
    <w:p w14:paraId="5EC4A509" w14:textId="1A256FA3" w:rsidR="00DB1FC3" w:rsidRDefault="00DB1FC3" w:rsidP="004315D7">
      <w:pPr>
        <w:pStyle w:val="ListParagraph"/>
        <w:spacing w:after="480" w:line="480" w:lineRule="auto"/>
        <w:ind w:left="0"/>
        <w:rPr>
          <w:rFonts w:cs="Arial"/>
          <w:bCs/>
          <w:szCs w:val="22"/>
        </w:rPr>
      </w:pPr>
    </w:p>
    <w:p w14:paraId="1BCCAD6B" w14:textId="412F8B9F" w:rsidR="004315D7" w:rsidRPr="00FB1A8A" w:rsidRDefault="00FB1A8A" w:rsidP="00FB1A8A">
      <w:pPr>
        <w:tabs>
          <w:tab w:val="left" w:pos="1701"/>
        </w:tabs>
        <w:spacing w:before="480" w:after="480" w:line="480" w:lineRule="auto"/>
        <w:ind w:left="1701" w:hanging="567"/>
        <w:rPr>
          <w:rFonts w:cs="Arial"/>
          <w:bCs/>
          <w:szCs w:val="22"/>
        </w:rPr>
      </w:pPr>
      <w:r>
        <w:rPr>
          <w:rFonts w:cs="Arial"/>
          <w:bCs/>
          <w:szCs w:val="22"/>
        </w:rPr>
        <w:t>1.</w:t>
      </w:r>
      <w:r>
        <w:rPr>
          <w:rFonts w:cs="Arial"/>
          <w:bCs/>
          <w:szCs w:val="22"/>
        </w:rPr>
        <w:tab/>
      </w:r>
      <w:r w:rsidR="004315D7" w:rsidRPr="00FB1A8A">
        <w:rPr>
          <w:rFonts w:cs="Arial"/>
          <w:bCs/>
          <w:szCs w:val="22"/>
        </w:rPr>
        <w:t xml:space="preserve">The appellants’ failure to apply for a date for the hearing of the appeal timeously in accordance with Rule 49(6)(a) is condoned in terms of Rule 49(7)(a)(ii). </w:t>
      </w:r>
    </w:p>
    <w:p w14:paraId="6E75A66C" w14:textId="12713413" w:rsidR="004315D7" w:rsidRPr="004315D7" w:rsidRDefault="00FB1A8A" w:rsidP="00FB1A8A">
      <w:pPr>
        <w:pStyle w:val="Heading2"/>
        <w:keepNext w:val="0"/>
        <w:tabs>
          <w:tab w:val="left" w:pos="1701"/>
        </w:tabs>
        <w:spacing w:before="360" w:after="360"/>
        <w:ind w:left="1701" w:hanging="567"/>
        <w:jc w:val="both"/>
        <w:rPr>
          <w:b w:val="0"/>
        </w:rPr>
      </w:pPr>
      <w:r w:rsidRPr="004315D7">
        <w:rPr>
          <w:b w:val="0"/>
        </w:rPr>
        <w:t>2.</w:t>
      </w:r>
      <w:r w:rsidRPr="004315D7">
        <w:rPr>
          <w:b w:val="0"/>
        </w:rPr>
        <w:tab/>
      </w:r>
      <w:r w:rsidR="004315D7">
        <w:rPr>
          <w:szCs w:val="22"/>
        </w:rPr>
        <w:t>T</w:t>
      </w:r>
      <w:r w:rsidR="004315D7" w:rsidRPr="004315D7">
        <w:rPr>
          <w:szCs w:val="22"/>
        </w:rPr>
        <w:t xml:space="preserve">he appeal is reinstated in terms of Rule 49(6)(b) of the Uniform Rules of Court. </w:t>
      </w:r>
    </w:p>
    <w:p w14:paraId="35657B5C" w14:textId="4F448362" w:rsidR="000D40AB" w:rsidRPr="00FB1A8A" w:rsidRDefault="00FB1A8A" w:rsidP="00FB1A8A">
      <w:pPr>
        <w:tabs>
          <w:tab w:val="left" w:pos="1701"/>
        </w:tabs>
        <w:spacing w:before="480" w:after="480" w:line="480" w:lineRule="auto"/>
        <w:ind w:left="1701" w:hanging="567"/>
        <w:rPr>
          <w:rFonts w:cs="Arial"/>
          <w:bCs/>
          <w:szCs w:val="22"/>
        </w:rPr>
      </w:pPr>
      <w:r>
        <w:rPr>
          <w:rFonts w:cs="Arial"/>
          <w:bCs/>
          <w:szCs w:val="22"/>
        </w:rPr>
        <w:t>3.</w:t>
      </w:r>
      <w:r>
        <w:rPr>
          <w:rFonts w:cs="Arial"/>
          <w:bCs/>
          <w:szCs w:val="22"/>
        </w:rPr>
        <w:tab/>
      </w:r>
      <w:r w:rsidR="000D40AB" w:rsidRPr="00FB1A8A">
        <w:rPr>
          <w:rFonts w:cs="Arial"/>
          <w:bCs/>
          <w:szCs w:val="22"/>
        </w:rPr>
        <w:t xml:space="preserve">The appellants are ordered to pay the costs of the application for reinstatement and condonation. </w:t>
      </w:r>
    </w:p>
    <w:p w14:paraId="19C56062" w14:textId="72E11E8E" w:rsidR="000D40AB" w:rsidRPr="00FB1A8A" w:rsidRDefault="00FB1A8A" w:rsidP="00FB1A8A">
      <w:pPr>
        <w:tabs>
          <w:tab w:val="left" w:pos="1701"/>
        </w:tabs>
        <w:spacing w:before="480" w:after="480" w:line="480" w:lineRule="auto"/>
        <w:ind w:left="1701" w:hanging="567"/>
        <w:rPr>
          <w:rFonts w:cs="Arial"/>
          <w:bCs/>
          <w:szCs w:val="22"/>
        </w:rPr>
      </w:pPr>
      <w:r w:rsidRPr="002079E2">
        <w:rPr>
          <w:rFonts w:cs="Arial"/>
          <w:bCs/>
          <w:szCs w:val="22"/>
        </w:rPr>
        <w:t>4.</w:t>
      </w:r>
      <w:r w:rsidRPr="002079E2">
        <w:rPr>
          <w:rFonts w:cs="Arial"/>
          <w:bCs/>
          <w:szCs w:val="22"/>
        </w:rPr>
        <w:tab/>
      </w:r>
      <w:r w:rsidR="000D40AB" w:rsidRPr="00FB1A8A">
        <w:rPr>
          <w:rFonts w:cs="Arial"/>
          <w:bCs/>
          <w:szCs w:val="22"/>
        </w:rPr>
        <w:t>The respondent is ordered to pay the costs of their opposition to the application for reinstatement and condonation.</w:t>
      </w:r>
    </w:p>
    <w:p w14:paraId="5BB87899" w14:textId="3DEDE363" w:rsidR="0026036D" w:rsidRPr="000D40AB" w:rsidRDefault="00FB1A8A" w:rsidP="00FB1A8A">
      <w:pPr>
        <w:pStyle w:val="Heading2"/>
        <w:keepNext w:val="0"/>
        <w:tabs>
          <w:tab w:val="left" w:pos="1701"/>
        </w:tabs>
        <w:spacing w:before="360" w:after="360"/>
        <w:ind w:left="1701" w:hanging="567"/>
        <w:jc w:val="both"/>
        <w:rPr>
          <w:b w:val="0"/>
        </w:rPr>
      </w:pPr>
      <w:r w:rsidRPr="000D40AB">
        <w:rPr>
          <w:b w:val="0"/>
        </w:rPr>
        <w:t>5.</w:t>
      </w:r>
      <w:r w:rsidRPr="000D40AB">
        <w:rPr>
          <w:b w:val="0"/>
        </w:rPr>
        <w:tab/>
      </w:r>
      <w:r w:rsidR="00DB1FC3" w:rsidRPr="000D40AB">
        <w:rPr>
          <w:b w:val="0"/>
        </w:rPr>
        <w:t>The appeal is upheld with costs.</w:t>
      </w:r>
    </w:p>
    <w:p w14:paraId="2094FCF6" w14:textId="2E062CB5" w:rsidR="000D40AB" w:rsidRDefault="00FB1A8A" w:rsidP="00FB1A8A">
      <w:pPr>
        <w:pStyle w:val="Heading2"/>
        <w:keepNext w:val="0"/>
        <w:tabs>
          <w:tab w:val="left" w:pos="1701"/>
        </w:tabs>
        <w:spacing w:before="360" w:after="360"/>
        <w:ind w:left="1701" w:hanging="567"/>
        <w:jc w:val="both"/>
        <w:rPr>
          <w:b w:val="0"/>
        </w:rPr>
      </w:pPr>
      <w:r>
        <w:rPr>
          <w:b w:val="0"/>
        </w:rPr>
        <w:t>6.</w:t>
      </w:r>
      <w:r>
        <w:rPr>
          <w:b w:val="0"/>
        </w:rPr>
        <w:tab/>
      </w:r>
      <w:r w:rsidR="00DB1FC3">
        <w:rPr>
          <w:b w:val="0"/>
        </w:rPr>
        <w:t xml:space="preserve">The order of the Court </w:t>
      </w:r>
      <w:r w:rsidR="00DB1FC3">
        <w:rPr>
          <w:b w:val="0"/>
          <w:i/>
        </w:rPr>
        <w:t xml:space="preserve">a quo </w:t>
      </w:r>
      <w:r w:rsidR="00DB1FC3">
        <w:rPr>
          <w:b w:val="0"/>
        </w:rPr>
        <w:t>is set aside and replaced with the following:</w:t>
      </w:r>
      <w:r w:rsidR="0026036D">
        <w:rPr>
          <w:b w:val="0"/>
        </w:rPr>
        <w:t xml:space="preserve"> </w:t>
      </w:r>
    </w:p>
    <w:p w14:paraId="6A03DF96" w14:textId="4C4FD75F" w:rsidR="00DB1FC3" w:rsidRDefault="00FB1A8A" w:rsidP="00FB1A8A">
      <w:pPr>
        <w:pStyle w:val="Heading2"/>
        <w:keepNext w:val="0"/>
        <w:tabs>
          <w:tab w:val="left" w:pos="2552"/>
        </w:tabs>
        <w:spacing w:before="360" w:after="360"/>
        <w:ind w:left="2552" w:hanging="851"/>
        <w:jc w:val="both"/>
        <w:rPr>
          <w:b w:val="0"/>
        </w:rPr>
      </w:pPr>
      <w:r>
        <w:rPr>
          <w:b w:val="0"/>
        </w:rPr>
        <w:t>6.1</w:t>
      </w:r>
      <w:r>
        <w:rPr>
          <w:b w:val="0"/>
        </w:rPr>
        <w:tab/>
      </w:r>
      <w:r w:rsidR="00DB1FC3" w:rsidRPr="0026036D">
        <w:rPr>
          <w:b w:val="0"/>
        </w:rPr>
        <w:t>The application is dismissed with costs.</w:t>
      </w:r>
    </w:p>
    <w:p w14:paraId="01AB0461" w14:textId="5B364708" w:rsidR="0026036D" w:rsidRPr="0026036D" w:rsidRDefault="00FB1A8A" w:rsidP="00FB1A8A">
      <w:pPr>
        <w:tabs>
          <w:tab w:val="left" w:pos="1701"/>
        </w:tabs>
        <w:ind w:left="1701" w:hanging="567"/>
      </w:pPr>
      <w:r w:rsidRPr="0026036D">
        <w:t>7.</w:t>
      </w:r>
      <w:r w:rsidRPr="0026036D">
        <w:tab/>
      </w:r>
      <w:r w:rsidR="0026036D" w:rsidRPr="00FB1A8A">
        <w:rPr>
          <w:rFonts w:cs="Arial"/>
          <w:bCs/>
          <w:szCs w:val="22"/>
        </w:rPr>
        <w:t>The parties’ legal representatives should furnish this Court with their</w:t>
      </w:r>
      <w:r w:rsidR="000D40AB" w:rsidRPr="00FB1A8A">
        <w:rPr>
          <w:rFonts w:cs="Arial"/>
          <w:bCs/>
          <w:szCs w:val="22"/>
        </w:rPr>
        <w:t xml:space="preserve"> </w:t>
      </w:r>
      <w:r w:rsidR="0026036D" w:rsidRPr="00FB1A8A">
        <w:rPr>
          <w:rFonts w:cs="Arial"/>
          <w:bCs/>
          <w:szCs w:val="22"/>
        </w:rPr>
        <w:t>proposed amended draft Trust deed, within 15 days of the date of the electronic delivery of this judgment, for our consideration.</w:t>
      </w:r>
    </w:p>
    <w:p w14:paraId="5BC04965" w14:textId="5FC6EB87" w:rsidR="0026036D" w:rsidRDefault="0026036D" w:rsidP="0026036D">
      <w:pPr>
        <w:pStyle w:val="ListParagraph"/>
        <w:ind w:left="1701"/>
        <w:rPr>
          <w:rFonts w:cs="Arial"/>
          <w:bCs/>
          <w:szCs w:val="22"/>
        </w:rPr>
      </w:pPr>
    </w:p>
    <w:p w14:paraId="6D4688EF" w14:textId="65D6F624" w:rsidR="0026036D" w:rsidRDefault="0026036D" w:rsidP="0026036D">
      <w:pPr>
        <w:pStyle w:val="ListParagraph"/>
        <w:ind w:left="1701"/>
        <w:rPr>
          <w:rFonts w:cs="Arial"/>
          <w:bCs/>
          <w:szCs w:val="22"/>
        </w:rPr>
      </w:pPr>
    </w:p>
    <w:p w14:paraId="02ADBC18" w14:textId="43EE4274" w:rsidR="0026036D" w:rsidRDefault="0026036D" w:rsidP="0026036D">
      <w:pPr>
        <w:pStyle w:val="ListParagraph"/>
        <w:ind w:left="1701"/>
        <w:rPr>
          <w:rFonts w:cs="Arial"/>
          <w:bCs/>
          <w:szCs w:val="22"/>
        </w:rPr>
      </w:pPr>
    </w:p>
    <w:p w14:paraId="1A024867" w14:textId="77777777" w:rsidR="0026036D" w:rsidRDefault="0026036D" w:rsidP="0026036D">
      <w:pPr>
        <w:pStyle w:val="ListParagraph"/>
        <w:keepNext/>
        <w:tabs>
          <w:tab w:val="right" w:pos="0"/>
        </w:tabs>
        <w:ind w:left="0"/>
        <w:jc w:val="right"/>
        <w:rPr>
          <w:rFonts w:cs="Arial"/>
          <w:sz w:val="24"/>
        </w:rPr>
      </w:pPr>
      <w:r>
        <w:rPr>
          <w:rFonts w:cs="Arial"/>
          <w:sz w:val="24"/>
        </w:rPr>
        <w:t>_____________________________</w:t>
      </w:r>
    </w:p>
    <w:p w14:paraId="64A066B1" w14:textId="77777777" w:rsidR="0026036D" w:rsidRDefault="0026036D" w:rsidP="0026036D">
      <w:pPr>
        <w:pStyle w:val="ListParagraph"/>
        <w:tabs>
          <w:tab w:val="right" w:pos="0"/>
        </w:tabs>
        <w:ind w:left="0"/>
        <w:jc w:val="right"/>
        <w:rPr>
          <w:rFonts w:cs="Arial"/>
          <w:b/>
          <w:sz w:val="24"/>
        </w:rPr>
      </w:pPr>
      <w:r>
        <w:rPr>
          <w:rFonts w:cs="Arial"/>
          <w:b/>
          <w:sz w:val="24"/>
        </w:rPr>
        <w:t>CRUTCHFIELD J</w:t>
      </w:r>
    </w:p>
    <w:p w14:paraId="789074E1" w14:textId="77777777" w:rsidR="0026036D" w:rsidRDefault="0026036D" w:rsidP="0026036D">
      <w:pPr>
        <w:pStyle w:val="ListParagraph"/>
        <w:tabs>
          <w:tab w:val="right" w:pos="0"/>
        </w:tabs>
        <w:ind w:left="0"/>
        <w:jc w:val="right"/>
        <w:rPr>
          <w:rFonts w:cs="Arial"/>
          <w:b/>
          <w:sz w:val="24"/>
        </w:rPr>
      </w:pPr>
      <w:r>
        <w:rPr>
          <w:rFonts w:cs="Arial"/>
          <w:b/>
          <w:sz w:val="24"/>
        </w:rPr>
        <w:t>JUDGE OF THE HIGH COURT OF SOUTH AFRICA</w:t>
      </w:r>
    </w:p>
    <w:p w14:paraId="58E0E11C" w14:textId="77777777" w:rsidR="0026036D" w:rsidRDefault="0026036D" w:rsidP="0026036D">
      <w:pPr>
        <w:pStyle w:val="ListParagraph"/>
        <w:tabs>
          <w:tab w:val="right" w:pos="0"/>
          <w:tab w:val="left" w:pos="4253"/>
        </w:tabs>
        <w:ind w:left="0"/>
        <w:jc w:val="right"/>
        <w:rPr>
          <w:rFonts w:cs="Arial"/>
          <w:b/>
          <w:sz w:val="24"/>
        </w:rPr>
      </w:pPr>
      <w:r>
        <w:rPr>
          <w:rFonts w:cs="Arial"/>
          <w:b/>
          <w:sz w:val="24"/>
        </w:rPr>
        <w:t>GAUTENG LOCAL DIVISION</w:t>
      </w:r>
    </w:p>
    <w:p w14:paraId="4628D54D" w14:textId="77777777" w:rsidR="0026036D" w:rsidRDefault="0026036D" w:rsidP="0026036D">
      <w:pPr>
        <w:pStyle w:val="ListParagraph"/>
        <w:tabs>
          <w:tab w:val="right" w:pos="0"/>
          <w:tab w:val="left" w:pos="4253"/>
        </w:tabs>
        <w:ind w:left="0"/>
        <w:jc w:val="right"/>
        <w:rPr>
          <w:rFonts w:cs="Arial"/>
          <w:b/>
          <w:sz w:val="24"/>
        </w:rPr>
      </w:pPr>
      <w:r>
        <w:rPr>
          <w:rFonts w:cs="Arial"/>
          <w:b/>
          <w:sz w:val="24"/>
        </w:rPr>
        <w:t>JOHANNESBURG</w:t>
      </w:r>
    </w:p>
    <w:p w14:paraId="278BB48E" w14:textId="77777777" w:rsidR="0026036D" w:rsidRDefault="0026036D" w:rsidP="0026036D">
      <w:pPr>
        <w:pStyle w:val="ListParagraph"/>
        <w:tabs>
          <w:tab w:val="right" w:pos="0"/>
          <w:tab w:val="left" w:pos="4253"/>
        </w:tabs>
        <w:ind w:left="0"/>
        <w:jc w:val="center"/>
        <w:rPr>
          <w:rFonts w:cs="Arial"/>
          <w:b/>
          <w:sz w:val="24"/>
        </w:rPr>
      </w:pPr>
    </w:p>
    <w:p w14:paraId="359A6D4D" w14:textId="6436F1C3" w:rsidR="0026036D" w:rsidRDefault="0026036D" w:rsidP="0026036D">
      <w:pPr>
        <w:pStyle w:val="ListParagraph"/>
        <w:spacing w:after="200" w:line="480" w:lineRule="auto"/>
        <w:ind w:left="0"/>
        <w:jc w:val="right"/>
        <w:rPr>
          <w:rFonts w:cs="Arial"/>
          <w:b/>
          <w:i/>
          <w:iCs/>
        </w:rPr>
      </w:pPr>
      <w:r>
        <w:rPr>
          <w:rFonts w:cs="Arial"/>
          <w:b/>
          <w:i/>
          <w:iCs/>
        </w:rPr>
        <w:t xml:space="preserve"> </w:t>
      </w:r>
    </w:p>
    <w:p w14:paraId="26783EAC" w14:textId="77777777" w:rsidR="0026036D" w:rsidRPr="0026036D" w:rsidRDefault="0026036D" w:rsidP="0026036D">
      <w:pPr>
        <w:pStyle w:val="ListParagraph"/>
        <w:ind w:left="1701"/>
      </w:pPr>
    </w:p>
    <w:p w14:paraId="6152BE23" w14:textId="77777777" w:rsidR="0026036D" w:rsidRPr="0026036D" w:rsidRDefault="0026036D" w:rsidP="0026036D"/>
    <w:p w14:paraId="0B75A227" w14:textId="77777777" w:rsidR="0026036D" w:rsidRPr="0026036D" w:rsidRDefault="0026036D" w:rsidP="0026036D"/>
    <w:p w14:paraId="31A56A24" w14:textId="77777777" w:rsidR="00DB1FC3" w:rsidRDefault="00DB1FC3" w:rsidP="00DB1FC3">
      <w:pPr>
        <w:spacing w:after="480" w:line="480" w:lineRule="auto"/>
        <w:rPr>
          <w:rFonts w:cs="Arial"/>
          <w:bCs/>
          <w:szCs w:val="22"/>
        </w:rPr>
      </w:pPr>
      <w:r>
        <w:rPr>
          <w:rFonts w:cs="Arial"/>
          <w:bCs/>
          <w:szCs w:val="22"/>
        </w:rPr>
        <w:t>I agree and it is so ordered.</w:t>
      </w:r>
    </w:p>
    <w:p w14:paraId="31E5A917" w14:textId="77777777" w:rsidR="00DB1FC3" w:rsidRDefault="00DB1FC3" w:rsidP="00DB1FC3">
      <w:pPr>
        <w:pStyle w:val="ListParagraph"/>
        <w:keepNext/>
        <w:tabs>
          <w:tab w:val="right" w:pos="0"/>
        </w:tabs>
        <w:ind w:left="0"/>
        <w:jc w:val="right"/>
        <w:rPr>
          <w:rFonts w:cs="Arial"/>
          <w:sz w:val="24"/>
        </w:rPr>
      </w:pPr>
      <w:r>
        <w:rPr>
          <w:rFonts w:cs="Arial"/>
          <w:sz w:val="24"/>
        </w:rPr>
        <w:t>_____________________________________</w:t>
      </w:r>
    </w:p>
    <w:p w14:paraId="5294B22B" w14:textId="77777777" w:rsidR="00DB1FC3" w:rsidRDefault="00DB1FC3" w:rsidP="00DB1FC3">
      <w:pPr>
        <w:pStyle w:val="ListParagraph"/>
        <w:tabs>
          <w:tab w:val="right" w:pos="0"/>
        </w:tabs>
        <w:ind w:left="0"/>
        <w:jc w:val="right"/>
        <w:rPr>
          <w:rFonts w:cs="Arial"/>
          <w:b/>
          <w:sz w:val="24"/>
        </w:rPr>
      </w:pPr>
      <w:r>
        <w:rPr>
          <w:rFonts w:cs="Arial"/>
          <w:b/>
          <w:sz w:val="24"/>
        </w:rPr>
        <w:t>SENYATSI J</w:t>
      </w:r>
    </w:p>
    <w:p w14:paraId="2D83FB28" w14:textId="77777777" w:rsidR="00DB1FC3" w:rsidRDefault="00DB1FC3" w:rsidP="00DB1FC3">
      <w:pPr>
        <w:pStyle w:val="ListParagraph"/>
        <w:tabs>
          <w:tab w:val="right" w:pos="0"/>
        </w:tabs>
        <w:ind w:left="0"/>
        <w:jc w:val="right"/>
        <w:rPr>
          <w:rFonts w:cs="Arial"/>
          <w:b/>
          <w:sz w:val="24"/>
        </w:rPr>
      </w:pPr>
      <w:r>
        <w:rPr>
          <w:rFonts w:cs="Arial"/>
          <w:b/>
          <w:sz w:val="24"/>
        </w:rPr>
        <w:t>JUDGE OF THE HIGH COURT OF SOUTH AFRICA</w:t>
      </w:r>
    </w:p>
    <w:p w14:paraId="3B46F7B6" w14:textId="77777777" w:rsidR="00DB1FC3" w:rsidRDefault="00DB1FC3" w:rsidP="00DB1FC3">
      <w:pPr>
        <w:pStyle w:val="ListParagraph"/>
        <w:tabs>
          <w:tab w:val="right" w:pos="0"/>
          <w:tab w:val="left" w:pos="4253"/>
        </w:tabs>
        <w:ind w:left="0"/>
        <w:jc w:val="right"/>
        <w:rPr>
          <w:rFonts w:cs="Arial"/>
          <w:b/>
          <w:sz w:val="24"/>
        </w:rPr>
      </w:pPr>
      <w:r>
        <w:rPr>
          <w:rFonts w:cs="Arial"/>
          <w:b/>
          <w:sz w:val="24"/>
        </w:rPr>
        <w:t>GAUTENG LOCAL DIVISION</w:t>
      </w:r>
    </w:p>
    <w:p w14:paraId="2C99D437" w14:textId="77777777" w:rsidR="00DB1FC3" w:rsidRDefault="00DB1FC3" w:rsidP="00DB1FC3">
      <w:pPr>
        <w:pStyle w:val="ListParagraph"/>
        <w:tabs>
          <w:tab w:val="right" w:pos="0"/>
          <w:tab w:val="left" w:pos="4253"/>
        </w:tabs>
        <w:ind w:left="0"/>
        <w:jc w:val="right"/>
        <w:rPr>
          <w:rFonts w:cs="Arial"/>
          <w:b/>
          <w:sz w:val="24"/>
        </w:rPr>
      </w:pPr>
      <w:r>
        <w:rPr>
          <w:rFonts w:cs="Arial"/>
          <w:b/>
          <w:sz w:val="24"/>
        </w:rPr>
        <w:t>JOHANNESBURG</w:t>
      </w:r>
    </w:p>
    <w:p w14:paraId="246F0651" w14:textId="77777777" w:rsidR="00DB1FC3" w:rsidRDefault="00DB1FC3" w:rsidP="00DB1FC3">
      <w:pPr>
        <w:pStyle w:val="ListParagraph"/>
        <w:tabs>
          <w:tab w:val="right" w:pos="0"/>
          <w:tab w:val="left" w:pos="4253"/>
        </w:tabs>
        <w:ind w:left="0"/>
        <w:jc w:val="center"/>
        <w:rPr>
          <w:rFonts w:cs="Arial"/>
          <w:b/>
          <w:sz w:val="24"/>
        </w:rPr>
      </w:pPr>
    </w:p>
    <w:p w14:paraId="52521E14" w14:textId="23D0AFF0" w:rsidR="00DB1FC3" w:rsidRDefault="0026036D" w:rsidP="00DB1FC3">
      <w:pPr>
        <w:pStyle w:val="ListParagraph"/>
        <w:spacing w:after="200" w:line="480" w:lineRule="auto"/>
        <w:ind w:left="0"/>
        <w:jc w:val="right"/>
        <w:rPr>
          <w:rFonts w:cs="Arial"/>
          <w:b/>
          <w:i/>
          <w:iCs/>
        </w:rPr>
      </w:pPr>
      <w:r>
        <w:rPr>
          <w:rFonts w:cs="Arial"/>
          <w:b/>
          <w:i/>
          <w:iCs/>
        </w:rPr>
        <w:t xml:space="preserve"> </w:t>
      </w:r>
    </w:p>
    <w:p w14:paraId="3358B823" w14:textId="77777777" w:rsidR="00DB1FC3" w:rsidRDefault="00DB1FC3" w:rsidP="00DB1FC3">
      <w:pPr>
        <w:spacing w:after="480" w:line="480" w:lineRule="auto"/>
        <w:rPr>
          <w:rFonts w:cs="Arial"/>
          <w:bCs/>
          <w:szCs w:val="22"/>
        </w:rPr>
      </w:pPr>
      <w:r>
        <w:rPr>
          <w:rFonts w:cs="Arial"/>
          <w:bCs/>
          <w:szCs w:val="22"/>
        </w:rPr>
        <w:t>I agree and it is so ordered.</w:t>
      </w:r>
    </w:p>
    <w:p w14:paraId="6D9CEC81" w14:textId="77777777" w:rsidR="00DB1FC3" w:rsidRDefault="00DB1FC3" w:rsidP="00DB1FC3">
      <w:pPr>
        <w:pStyle w:val="ListParagraph"/>
        <w:keepNext/>
        <w:tabs>
          <w:tab w:val="right" w:pos="0"/>
        </w:tabs>
        <w:ind w:left="0"/>
        <w:jc w:val="right"/>
        <w:rPr>
          <w:rFonts w:cs="Arial"/>
          <w:sz w:val="24"/>
        </w:rPr>
      </w:pPr>
      <w:r>
        <w:rPr>
          <w:rFonts w:cs="Arial"/>
          <w:sz w:val="24"/>
        </w:rPr>
        <w:t>_____________________________________</w:t>
      </w:r>
    </w:p>
    <w:p w14:paraId="382A103E" w14:textId="77777777" w:rsidR="00DB1FC3" w:rsidRDefault="00DB1FC3" w:rsidP="00DB1FC3">
      <w:pPr>
        <w:pStyle w:val="ListParagraph"/>
        <w:tabs>
          <w:tab w:val="right" w:pos="0"/>
        </w:tabs>
        <w:ind w:left="0"/>
        <w:jc w:val="right"/>
        <w:rPr>
          <w:rFonts w:cs="Arial"/>
          <w:b/>
          <w:sz w:val="24"/>
        </w:rPr>
      </w:pPr>
      <w:r>
        <w:rPr>
          <w:rFonts w:cs="Arial"/>
          <w:b/>
          <w:sz w:val="24"/>
        </w:rPr>
        <w:t>DLAMINI J</w:t>
      </w:r>
    </w:p>
    <w:p w14:paraId="40BDEC45" w14:textId="77777777" w:rsidR="00DB1FC3" w:rsidRDefault="00DB1FC3" w:rsidP="00DB1FC3">
      <w:pPr>
        <w:pStyle w:val="ListParagraph"/>
        <w:tabs>
          <w:tab w:val="right" w:pos="0"/>
        </w:tabs>
        <w:ind w:left="0"/>
        <w:jc w:val="right"/>
        <w:rPr>
          <w:rFonts w:cs="Arial"/>
          <w:b/>
          <w:sz w:val="24"/>
        </w:rPr>
      </w:pPr>
      <w:r>
        <w:rPr>
          <w:rFonts w:cs="Arial"/>
          <w:b/>
          <w:sz w:val="24"/>
        </w:rPr>
        <w:t>JUDGE OF THE HIGH COURT OF SOUTH AFRICA</w:t>
      </w:r>
    </w:p>
    <w:p w14:paraId="511DF36C" w14:textId="77777777" w:rsidR="00DB1FC3" w:rsidRDefault="00DB1FC3" w:rsidP="00DB1FC3">
      <w:pPr>
        <w:pStyle w:val="ListParagraph"/>
        <w:tabs>
          <w:tab w:val="right" w:pos="0"/>
          <w:tab w:val="left" w:pos="4253"/>
        </w:tabs>
        <w:ind w:left="0"/>
        <w:jc w:val="right"/>
        <w:rPr>
          <w:rFonts w:cs="Arial"/>
          <w:b/>
          <w:sz w:val="24"/>
        </w:rPr>
      </w:pPr>
      <w:r>
        <w:rPr>
          <w:rFonts w:cs="Arial"/>
          <w:b/>
          <w:sz w:val="24"/>
        </w:rPr>
        <w:t>GAUTENG LOCAL DIVISION</w:t>
      </w:r>
    </w:p>
    <w:p w14:paraId="051066B5" w14:textId="77777777" w:rsidR="00DB1FC3" w:rsidRDefault="00DB1FC3" w:rsidP="00DB1FC3">
      <w:pPr>
        <w:pStyle w:val="ListParagraph"/>
        <w:tabs>
          <w:tab w:val="right" w:pos="0"/>
          <w:tab w:val="left" w:pos="4253"/>
        </w:tabs>
        <w:ind w:left="0"/>
        <w:jc w:val="right"/>
        <w:rPr>
          <w:rFonts w:cs="Arial"/>
          <w:b/>
          <w:sz w:val="24"/>
        </w:rPr>
      </w:pPr>
      <w:r>
        <w:rPr>
          <w:rFonts w:cs="Arial"/>
          <w:b/>
          <w:sz w:val="24"/>
        </w:rPr>
        <w:t>JOHANNESBURG</w:t>
      </w:r>
    </w:p>
    <w:p w14:paraId="6140D384" w14:textId="77777777" w:rsidR="00DB1FC3" w:rsidRDefault="00DB1FC3" w:rsidP="00DB1FC3">
      <w:pPr>
        <w:pStyle w:val="ListParagraph"/>
        <w:tabs>
          <w:tab w:val="right" w:pos="0"/>
          <w:tab w:val="left" w:pos="4253"/>
        </w:tabs>
        <w:ind w:left="0"/>
        <w:jc w:val="center"/>
        <w:rPr>
          <w:rFonts w:cs="Arial"/>
          <w:b/>
          <w:sz w:val="24"/>
        </w:rPr>
      </w:pPr>
    </w:p>
    <w:p w14:paraId="7BD90FF8" w14:textId="07E81EE5" w:rsidR="00DB1FC3" w:rsidRPr="001370B5" w:rsidRDefault="003B4E1B" w:rsidP="001370B5">
      <w:pPr>
        <w:pStyle w:val="ListParagraph"/>
        <w:spacing w:after="200" w:line="480" w:lineRule="auto"/>
        <w:ind w:left="0"/>
        <w:jc w:val="right"/>
        <w:rPr>
          <w:rFonts w:cs="Arial"/>
          <w:b/>
          <w:i/>
          <w:iCs/>
        </w:rPr>
      </w:pPr>
      <w:r>
        <w:rPr>
          <w:rFonts w:cs="Arial"/>
          <w:b/>
          <w:i/>
          <w:iCs/>
        </w:rPr>
        <w:t xml:space="preserve"> </w:t>
      </w:r>
    </w:p>
    <w:p w14:paraId="51469DE5" w14:textId="77777777" w:rsidR="00DB1FC3" w:rsidRDefault="00DB1FC3" w:rsidP="00DB1FC3">
      <w:pPr>
        <w:pStyle w:val="ListParagraph"/>
        <w:spacing w:after="200"/>
        <w:ind w:left="0"/>
        <w:rPr>
          <w:rFonts w:eastAsia="Arial Unicode MS" w:cs="Arial"/>
          <w:bCs/>
        </w:rPr>
      </w:pPr>
    </w:p>
    <w:p w14:paraId="1D243D53" w14:textId="64F2616C" w:rsidR="00DB1FC3" w:rsidRDefault="00DB1FC3" w:rsidP="00DB1FC3">
      <w:pPr>
        <w:pStyle w:val="ListParagraph"/>
        <w:spacing w:after="200"/>
        <w:ind w:left="0"/>
        <w:rPr>
          <w:rFonts w:eastAsia="Arial Unicode MS" w:cs="Arial"/>
          <w:bCs/>
        </w:rPr>
      </w:pPr>
      <w:r>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w:t>
      </w:r>
      <w:r w:rsidR="003B4E1B">
        <w:rPr>
          <w:rFonts w:eastAsia="Arial Unicode MS" w:cs="Arial"/>
          <w:bCs/>
        </w:rPr>
        <w:t xml:space="preserve">of the judgment is deemed to be </w:t>
      </w:r>
      <w:r w:rsidR="00D7289A">
        <w:rPr>
          <w:rFonts w:eastAsia="Arial Unicode MS" w:cs="Arial"/>
          <w:bCs/>
        </w:rPr>
        <w:t>9</w:t>
      </w:r>
      <w:r w:rsidR="003B4E1B" w:rsidRPr="003B4E1B">
        <w:rPr>
          <w:rFonts w:eastAsia="Arial Unicode MS" w:cs="Arial"/>
          <w:bCs/>
        </w:rPr>
        <w:t xml:space="preserve"> </w:t>
      </w:r>
      <w:r w:rsidR="00032D16" w:rsidRPr="003B4E1B">
        <w:rPr>
          <w:rFonts w:eastAsia="Arial Unicode MS" w:cs="Arial"/>
        </w:rPr>
        <w:t xml:space="preserve">September </w:t>
      </w:r>
      <w:r w:rsidRPr="003B4E1B">
        <w:rPr>
          <w:rFonts w:eastAsia="Arial Unicode MS" w:cs="Arial"/>
        </w:rPr>
        <w:t>2022.</w:t>
      </w:r>
    </w:p>
    <w:p w14:paraId="0C1758E7" w14:textId="03819DBB" w:rsidR="00DB1FC3" w:rsidRDefault="00DB1FC3" w:rsidP="00DB1FC3">
      <w:pPr>
        <w:pStyle w:val="ListParagraph"/>
        <w:tabs>
          <w:tab w:val="right" w:pos="0"/>
          <w:tab w:val="left" w:pos="4253"/>
        </w:tabs>
        <w:ind w:left="0"/>
        <w:rPr>
          <w:rFonts w:cs="Arial"/>
          <w:sz w:val="24"/>
        </w:rPr>
      </w:pPr>
    </w:p>
    <w:p w14:paraId="1E8CD179" w14:textId="77777777" w:rsidR="001370B5" w:rsidRDefault="001370B5" w:rsidP="00DB1FC3">
      <w:pPr>
        <w:pStyle w:val="ListParagraph"/>
        <w:tabs>
          <w:tab w:val="right" w:pos="0"/>
          <w:tab w:val="left" w:pos="4253"/>
        </w:tabs>
        <w:ind w:left="0"/>
        <w:rPr>
          <w:rFonts w:cs="Arial"/>
          <w:sz w:val="24"/>
        </w:rPr>
      </w:pPr>
    </w:p>
    <w:p w14:paraId="76BA52FB" w14:textId="74329B22" w:rsidR="00DB1FC3" w:rsidRDefault="00DB1FC3" w:rsidP="00DB1FC3">
      <w:pPr>
        <w:pStyle w:val="ListParagraph"/>
        <w:tabs>
          <w:tab w:val="right" w:pos="8647"/>
        </w:tabs>
        <w:ind w:left="0"/>
        <w:rPr>
          <w:rFonts w:cs="Arial"/>
          <w:sz w:val="24"/>
        </w:rPr>
      </w:pPr>
      <w:r>
        <w:rPr>
          <w:rFonts w:cs="Arial"/>
          <w:sz w:val="24"/>
        </w:rPr>
        <w:t>CO</w:t>
      </w:r>
      <w:r w:rsidR="0026036D">
        <w:rPr>
          <w:rFonts w:cs="Arial"/>
          <w:sz w:val="24"/>
        </w:rPr>
        <w:t xml:space="preserve">UNSEL FOR THE APPELLANTS: </w:t>
      </w:r>
      <w:r w:rsidR="0026036D">
        <w:rPr>
          <w:rFonts w:cs="Arial"/>
          <w:sz w:val="24"/>
        </w:rPr>
        <w:tab/>
        <w:t>Mr AJ</w:t>
      </w:r>
      <w:r>
        <w:rPr>
          <w:rFonts w:cs="Arial"/>
          <w:sz w:val="24"/>
        </w:rPr>
        <w:t>R Booysen</w:t>
      </w:r>
      <w:r w:rsidR="0026036D">
        <w:rPr>
          <w:rFonts w:cs="Arial"/>
          <w:sz w:val="24"/>
        </w:rPr>
        <w:t>.</w:t>
      </w:r>
    </w:p>
    <w:p w14:paraId="650E68CF" w14:textId="77777777" w:rsidR="00DB1FC3" w:rsidRDefault="00DB1FC3" w:rsidP="00DB1FC3">
      <w:pPr>
        <w:pStyle w:val="ListParagraph"/>
        <w:tabs>
          <w:tab w:val="right" w:pos="0"/>
          <w:tab w:val="right" w:pos="8647"/>
        </w:tabs>
        <w:ind w:left="0"/>
        <w:rPr>
          <w:rFonts w:cs="Arial"/>
          <w:sz w:val="24"/>
        </w:rPr>
      </w:pPr>
    </w:p>
    <w:p w14:paraId="74D7B054" w14:textId="19F86730" w:rsidR="00DB1FC3" w:rsidRDefault="00DB1FC3" w:rsidP="00DB1FC3">
      <w:pPr>
        <w:pStyle w:val="ListParagraph"/>
        <w:tabs>
          <w:tab w:val="right" w:pos="8647"/>
        </w:tabs>
        <w:ind w:left="3119" w:hanging="3119"/>
        <w:jc w:val="left"/>
        <w:rPr>
          <w:rFonts w:cs="Arial"/>
          <w:sz w:val="24"/>
        </w:rPr>
      </w:pPr>
      <w:r>
        <w:rPr>
          <w:rFonts w:cs="Arial"/>
          <w:sz w:val="24"/>
        </w:rPr>
        <w:t xml:space="preserve">INSTRUCTED BY: </w:t>
      </w:r>
      <w:r>
        <w:rPr>
          <w:rFonts w:cs="Arial"/>
          <w:sz w:val="24"/>
        </w:rPr>
        <w:tab/>
      </w:r>
      <w:r>
        <w:rPr>
          <w:rFonts w:cs="Arial"/>
          <w:sz w:val="24"/>
        </w:rPr>
        <w:tab/>
        <w:t>De Kooker Attorneys</w:t>
      </w:r>
      <w:r w:rsidR="0026036D">
        <w:rPr>
          <w:rFonts w:cs="Arial"/>
          <w:sz w:val="24"/>
        </w:rPr>
        <w:t>.</w:t>
      </w:r>
    </w:p>
    <w:p w14:paraId="11946C45" w14:textId="77777777" w:rsidR="00DB1FC3" w:rsidRDefault="00DB1FC3" w:rsidP="00DB1FC3">
      <w:pPr>
        <w:pStyle w:val="ListParagraph"/>
        <w:tabs>
          <w:tab w:val="right" w:pos="0"/>
          <w:tab w:val="right" w:pos="8647"/>
        </w:tabs>
        <w:ind w:left="0"/>
        <w:rPr>
          <w:rFonts w:cs="Arial"/>
          <w:sz w:val="24"/>
        </w:rPr>
      </w:pPr>
    </w:p>
    <w:p w14:paraId="060A6052" w14:textId="71688B8A" w:rsidR="00DB1FC3" w:rsidRDefault="00DB1FC3" w:rsidP="00DB1FC3">
      <w:pPr>
        <w:pStyle w:val="ListParagraph"/>
        <w:tabs>
          <w:tab w:val="right" w:pos="0"/>
          <w:tab w:val="right" w:pos="8647"/>
        </w:tabs>
        <w:ind w:left="0"/>
        <w:rPr>
          <w:rFonts w:cs="Arial"/>
          <w:sz w:val="24"/>
        </w:rPr>
      </w:pPr>
      <w:r>
        <w:rPr>
          <w:rFonts w:cs="Arial"/>
          <w:sz w:val="24"/>
        </w:rPr>
        <w:t xml:space="preserve">COUNSEL FOR THE RESPONDENT: </w:t>
      </w:r>
      <w:r>
        <w:rPr>
          <w:rFonts w:cs="Arial"/>
          <w:sz w:val="24"/>
        </w:rPr>
        <w:tab/>
        <w:t>Mr A C Diamond</w:t>
      </w:r>
      <w:r w:rsidR="0026036D">
        <w:rPr>
          <w:rFonts w:cs="Arial"/>
          <w:sz w:val="24"/>
        </w:rPr>
        <w:t>.</w:t>
      </w:r>
    </w:p>
    <w:p w14:paraId="571DE7AE" w14:textId="77777777" w:rsidR="00DB1FC3" w:rsidRDefault="00DB1FC3" w:rsidP="00DB1FC3">
      <w:pPr>
        <w:pStyle w:val="ListParagraph"/>
        <w:tabs>
          <w:tab w:val="right" w:pos="0"/>
          <w:tab w:val="right" w:pos="8647"/>
        </w:tabs>
        <w:ind w:left="0"/>
        <w:rPr>
          <w:rFonts w:cs="Arial"/>
          <w:sz w:val="24"/>
        </w:rPr>
      </w:pPr>
    </w:p>
    <w:p w14:paraId="314DD966" w14:textId="15D703F7" w:rsidR="00DB1FC3" w:rsidRDefault="00DB1FC3" w:rsidP="00DB1FC3">
      <w:pPr>
        <w:pStyle w:val="ListParagraph"/>
        <w:tabs>
          <w:tab w:val="right" w:pos="8647"/>
        </w:tabs>
        <w:ind w:left="0"/>
        <w:rPr>
          <w:rFonts w:cs="Arial"/>
          <w:sz w:val="24"/>
        </w:rPr>
      </w:pPr>
      <w:r>
        <w:rPr>
          <w:rFonts w:cs="Arial"/>
          <w:sz w:val="24"/>
        </w:rPr>
        <w:t xml:space="preserve">INSTRUCTED BY: </w:t>
      </w:r>
      <w:r>
        <w:rPr>
          <w:rFonts w:cs="Arial"/>
          <w:sz w:val="24"/>
        </w:rPr>
        <w:tab/>
        <w:t>Diamond Attorneys</w:t>
      </w:r>
      <w:r w:rsidR="0026036D">
        <w:rPr>
          <w:rFonts w:cs="Arial"/>
          <w:sz w:val="24"/>
        </w:rPr>
        <w:t>.</w:t>
      </w:r>
    </w:p>
    <w:p w14:paraId="1299FA12" w14:textId="68C0A840" w:rsidR="00DB1FC3" w:rsidRDefault="00DB1FC3" w:rsidP="00DB1FC3">
      <w:pPr>
        <w:pStyle w:val="ListParagraph"/>
        <w:tabs>
          <w:tab w:val="right" w:pos="8647"/>
        </w:tabs>
        <w:ind w:left="0"/>
        <w:rPr>
          <w:rFonts w:cs="Arial"/>
          <w:sz w:val="24"/>
        </w:rPr>
      </w:pPr>
    </w:p>
    <w:p w14:paraId="381B3A1D" w14:textId="41F694B9" w:rsidR="00DB1FC3" w:rsidRDefault="00DB1FC3" w:rsidP="00DB1FC3">
      <w:pPr>
        <w:pStyle w:val="ListParagraph"/>
        <w:tabs>
          <w:tab w:val="right" w:pos="0"/>
          <w:tab w:val="right" w:pos="8647"/>
        </w:tabs>
        <w:ind w:left="0"/>
        <w:rPr>
          <w:rFonts w:cs="Arial"/>
          <w:sz w:val="24"/>
        </w:rPr>
      </w:pPr>
      <w:r>
        <w:rPr>
          <w:rFonts w:cs="Arial"/>
          <w:sz w:val="24"/>
        </w:rPr>
        <w:t>DATE OF THE HEARING:</w:t>
      </w:r>
      <w:r>
        <w:rPr>
          <w:rFonts w:cs="Arial"/>
          <w:sz w:val="24"/>
        </w:rPr>
        <w:tab/>
        <w:t>20 April 2022</w:t>
      </w:r>
      <w:r w:rsidR="0026036D">
        <w:rPr>
          <w:rFonts w:cs="Arial"/>
          <w:sz w:val="24"/>
        </w:rPr>
        <w:t>.</w:t>
      </w:r>
    </w:p>
    <w:p w14:paraId="07913F82" w14:textId="77777777" w:rsidR="00DB1FC3" w:rsidRDefault="00DB1FC3" w:rsidP="00DB1FC3">
      <w:pPr>
        <w:pStyle w:val="ListParagraph"/>
        <w:tabs>
          <w:tab w:val="right" w:pos="0"/>
          <w:tab w:val="right" w:pos="8647"/>
        </w:tabs>
        <w:ind w:left="0"/>
        <w:rPr>
          <w:rFonts w:cs="Arial"/>
          <w:sz w:val="24"/>
        </w:rPr>
      </w:pPr>
    </w:p>
    <w:p w14:paraId="73439566" w14:textId="6CAE4F5F" w:rsidR="000D40AB" w:rsidRPr="001370B5" w:rsidRDefault="00EF3FC8" w:rsidP="001370B5">
      <w:pPr>
        <w:pStyle w:val="ListParagraph"/>
        <w:tabs>
          <w:tab w:val="right" w:pos="0"/>
          <w:tab w:val="right" w:pos="8647"/>
        </w:tabs>
        <w:ind w:left="0"/>
        <w:rPr>
          <w:rFonts w:cs="Arial"/>
          <w:sz w:val="24"/>
        </w:rPr>
      </w:pPr>
      <w:r>
        <w:rPr>
          <w:rFonts w:cs="Arial"/>
          <w:sz w:val="24"/>
        </w:rPr>
        <w:t>DATE OF JUDGMENT:</w:t>
      </w:r>
      <w:r>
        <w:rPr>
          <w:rFonts w:cs="Arial"/>
          <w:sz w:val="24"/>
        </w:rPr>
        <w:tab/>
      </w:r>
      <w:r w:rsidR="00D7289A">
        <w:rPr>
          <w:rFonts w:cs="Arial"/>
          <w:sz w:val="24"/>
        </w:rPr>
        <w:t>9</w:t>
      </w:r>
      <w:r w:rsidR="0026036D">
        <w:rPr>
          <w:rFonts w:cs="Arial"/>
          <w:sz w:val="24"/>
        </w:rPr>
        <w:t xml:space="preserve"> </w:t>
      </w:r>
      <w:r w:rsidR="00032D16">
        <w:rPr>
          <w:rFonts w:cs="Arial"/>
          <w:sz w:val="24"/>
        </w:rPr>
        <w:t xml:space="preserve">September </w:t>
      </w:r>
      <w:r w:rsidR="00DB1FC3">
        <w:rPr>
          <w:rFonts w:cs="Arial"/>
          <w:sz w:val="24"/>
        </w:rPr>
        <w:t>2022</w:t>
      </w:r>
      <w:r w:rsidR="003B4E1B">
        <w:rPr>
          <w:rFonts w:cs="Arial"/>
          <w:sz w:val="24"/>
        </w:rPr>
        <w:t>.</w:t>
      </w:r>
    </w:p>
    <w:p w14:paraId="260B155E" w14:textId="5BBC4E94" w:rsidR="002136E4" w:rsidRPr="00EF3FC8" w:rsidRDefault="001370B5" w:rsidP="000D40AB">
      <w:pPr>
        <w:pStyle w:val="ListParagraph"/>
        <w:spacing w:before="480" w:after="480" w:line="480" w:lineRule="auto"/>
        <w:ind w:left="0"/>
        <w:contextualSpacing w:val="0"/>
        <w:rPr>
          <w:rFonts w:cs="Arial"/>
          <w:bCs/>
          <w:szCs w:val="22"/>
        </w:rPr>
      </w:pPr>
      <w:r>
        <w:rPr>
          <w:rFonts w:cs="Arial"/>
          <w:bCs/>
          <w:szCs w:val="22"/>
        </w:rPr>
        <w:t xml:space="preserve"> </w:t>
      </w:r>
    </w:p>
    <w:p w14:paraId="75717475" w14:textId="30A25431" w:rsidR="00E94BA8" w:rsidRDefault="00EF3FC8" w:rsidP="006E65CF">
      <w:pPr>
        <w:pStyle w:val="ListParagraph"/>
        <w:tabs>
          <w:tab w:val="right" w:pos="0"/>
          <w:tab w:val="right" w:pos="8647"/>
        </w:tabs>
        <w:ind w:left="0"/>
        <w:rPr>
          <w:rFonts w:cs="Arial"/>
          <w:sz w:val="24"/>
        </w:rPr>
      </w:pPr>
      <w:r>
        <w:rPr>
          <w:rFonts w:cs="Arial"/>
          <w:bCs/>
          <w:szCs w:val="22"/>
        </w:rPr>
        <w:t xml:space="preserve"> </w:t>
      </w:r>
    </w:p>
    <w:sectPr w:rsidR="00E94BA8" w:rsidSect="00E863C4">
      <w:headerReference w:type="default" r:id="rId9"/>
      <w:pgSz w:w="11906" w:h="16838"/>
      <w:pgMar w:top="1440" w:right="1558" w:bottom="993"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26460" w14:textId="77777777" w:rsidR="003642F7" w:rsidRDefault="003642F7">
      <w:r>
        <w:separator/>
      </w:r>
    </w:p>
  </w:endnote>
  <w:endnote w:type="continuationSeparator" w:id="0">
    <w:p w14:paraId="436AB26C" w14:textId="77777777" w:rsidR="003642F7" w:rsidRDefault="0036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222CE" w14:textId="77777777" w:rsidR="003642F7" w:rsidRDefault="003642F7" w:rsidP="00927532">
      <w:pPr>
        <w:spacing w:line="240" w:lineRule="auto"/>
      </w:pPr>
      <w:r>
        <w:separator/>
      </w:r>
    </w:p>
  </w:footnote>
  <w:footnote w:type="continuationSeparator" w:id="0">
    <w:p w14:paraId="7C77EE47" w14:textId="77777777" w:rsidR="003642F7" w:rsidRDefault="003642F7" w:rsidP="00927532">
      <w:pPr>
        <w:spacing w:line="240" w:lineRule="auto"/>
      </w:pPr>
      <w:r>
        <w:continuationSeparator/>
      </w:r>
    </w:p>
  </w:footnote>
  <w:footnote w:type="continuationNotice" w:id="1">
    <w:p w14:paraId="4DE645D8" w14:textId="77777777" w:rsidR="003642F7" w:rsidRDefault="003642F7" w:rsidP="00927532">
      <w:pPr>
        <w:spacing w:line="240" w:lineRule="auto"/>
      </w:pPr>
    </w:p>
  </w:footnote>
  <w:footnote w:id="2">
    <w:p w14:paraId="4437472D" w14:textId="341EF0CC" w:rsidR="00385303" w:rsidRPr="001B5F9A" w:rsidRDefault="00385303" w:rsidP="00385303">
      <w:pPr>
        <w:pStyle w:val="FootnoteText"/>
      </w:pPr>
      <w:r w:rsidRPr="001B5F9A">
        <w:rPr>
          <w:rStyle w:val="FootnoteReference"/>
        </w:rPr>
        <w:footnoteRef/>
      </w:r>
      <w:r w:rsidRPr="001B5F9A">
        <w:t xml:space="preserve"> </w:t>
      </w:r>
      <w:r w:rsidRPr="001B5F9A">
        <w:tab/>
      </w:r>
      <w:r w:rsidRPr="001B5F9A">
        <w:rPr>
          <w:i/>
        </w:rPr>
        <w:t>Federated Employers</w:t>
      </w:r>
      <w:r w:rsidR="00A65639" w:rsidRPr="001B5F9A">
        <w:rPr>
          <w:i/>
        </w:rPr>
        <w:t xml:space="preserve"> Fire &amp; General</w:t>
      </w:r>
      <w:r w:rsidRPr="001B5F9A">
        <w:rPr>
          <w:i/>
        </w:rPr>
        <w:t xml:space="preserve"> Insurance Co Ltd</w:t>
      </w:r>
      <w:r w:rsidR="00A65639" w:rsidRPr="001B5F9A">
        <w:rPr>
          <w:i/>
        </w:rPr>
        <w:t xml:space="preserve"> and Another</w:t>
      </w:r>
      <w:r w:rsidRPr="001B5F9A">
        <w:rPr>
          <w:i/>
        </w:rPr>
        <w:t xml:space="preserve"> v McKenzie </w:t>
      </w:r>
      <w:r w:rsidR="00A65639" w:rsidRPr="001B5F9A">
        <w:t>1963</w:t>
      </w:r>
      <w:r w:rsidRPr="00546B1B">
        <w:rPr>
          <w:b/>
        </w:rPr>
        <w:t xml:space="preserve"> (3) </w:t>
      </w:r>
      <w:r w:rsidRPr="001B5F9A">
        <w:t>SA 360 (AD).</w:t>
      </w:r>
    </w:p>
  </w:footnote>
  <w:footnote w:id="3">
    <w:p w14:paraId="39FF4F7F" w14:textId="53D6D58A" w:rsidR="00E63D55" w:rsidRPr="00546B1B" w:rsidRDefault="00E63D55" w:rsidP="00E63D55">
      <w:pPr>
        <w:pStyle w:val="FootnoteText"/>
      </w:pPr>
      <w:r>
        <w:rPr>
          <w:rStyle w:val="FootnoteReference"/>
        </w:rPr>
        <w:footnoteRef/>
      </w:r>
      <w:r>
        <w:t xml:space="preserve"> </w:t>
      </w:r>
      <w:r>
        <w:tab/>
      </w:r>
      <w:r>
        <w:rPr>
          <w:i/>
        </w:rPr>
        <w:t xml:space="preserve">Melanie v Santam Insurance Co Ltd </w:t>
      </w:r>
      <w:r w:rsidRPr="00546B1B">
        <w:t>1962 (4) SA 531 (A)</w:t>
      </w:r>
      <w:r>
        <w:t xml:space="preserve">; </w:t>
      </w:r>
      <w:r>
        <w:rPr>
          <w:i/>
        </w:rPr>
        <w:t xml:space="preserve">Ferreira v Ntshingila </w:t>
      </w:r>
      <w:r>
        <w:t>1990 (4) SA 27</w:t>
      </w:r>
      <w:r w:rsidR="001B5F9A">
        <w:t>1</w:t>
      </w:r>
      <w:r>
        <w:t xml:space="preserve"> (A).</w:t>
      </w:r>
    </w:p>
  </w:footnote>
  <w:footnote w:id="4">
    <w:p w14:paraId="258967D7" w14:textId="54CFEF07" w:rsidR="00AB3BBB" w:rsidRPr="00AB3BBB" w:rsidRDefault="00AB3BBB">
      <w:pPr>
        <w:pStyle w:val="FootnoteText"/>
        <w:rPr>
          <w:lang w:val="en-GB"/>
        </w:rPr>
      </w:pPr>
      <w:r>
        <w:rPr>
          <w:rStyle w:val="FootnoteReference"/>
        </w:rPr>
        <w:footnoteRef/>
      </w:r>
      <w:r>
        <w:t xml:space="preserve"> </w:t>
      </w:r>
      <w:r>
        <w:tab/>
      </w:r>
      <w:r w:rsidRPr="005A7732">
        <w:rPr>
          <w:i/>
        </w:rPr>
        <w:t>The Master v LPC and Others</w:t>
      </w:r>
      <w:r>
        <w:t xml:space="preserve"> case no 35182/2016 20 May 2022</w:t>
      </w:r>
      <w:r w:rsidR="005A7732">
        <w:t xml:space="preserve"> GDP.</w:t>
      </w:r>
    </w:p>
  </w:footnote>
  <w:footnote w:id="5">
    <w:p w14:paraId="6A1D395A" w14:textId="3C2A5179" w:rsidR="00DB1FC3" w:rsidRDefault="00DB1FC3" w:rsidP="00DB1FC3">
      <w:pPr>
        <w:pStyle w:val="FootnoteText"/>
      </w:pPr>
      <w:r>
        <w:rPr>
          <w:rStyle w:val="FootnoteReference"/>
        </w:rPr>
        <w:footnoteRef/>
      </w:r>
      <w:r>
        <w:t xml:space="preserve"> </w:t>
      </w:r>
      <w:r>
        <w:tab/>
      </w:r>
      <w:r w:rsidR="00530C37">
        <w:rPr>
          <w:bCs/>
          <w:i/>
          <w:szCs w:val="22"/>
        </w:rPr>
        <w:t>Gowar &amp; Another v Gowar</w:t>
      </w:r>
      <w:r>
        <w:rPr>
          <w:bCs/>
          <w:i/>
          <w:szCs w:val="22"/>
        </w:rPr>
        <w:t xml:space="preserve"> &amp; Others</w:t>
      </w:r>
      <w:r>
        <w:rPr>
          <w:bCs/>
          <w:szCs w:val="22"/>
        </w:rPr>
        <w:t xml:space="preserve"> 2016 (5) SA 225 (SCA) (</w:t>
      </w:r>
      <w:r>
        <w:rPr>
          <w:bCs/>
          <w:i/>
          <w:szCs w:val="22"/>
        </w:rPr>
        <w:t>‘Gowar’</w:t>
      </w:r>
      <w:r>
        <w:rPr>
          <w:bCs/>
          <w:szCs w:val="22"/>
        </w:rPr>
        <w:t>).</w:t>
      </w:r>
    </w:p>
  </w:footnote>
  <w:footnote w:id="6">
    <w:p w14:paraId="3A684738" w14:textId="2C5A7289" w:rsidR="00F409FA" w:rsidRPr="00F409FA" w:rsidRDefault="00F409FA">
      <w:pPr>
        <w:pStyle w:val="FootnoteText"/>
        <w:rPr>
          <w:lang w:val="en-GB"/>
        </w:rPr>
      </w:pPr>
      <w:r>
        <w:rPr>
          <w:rStyle w:val="FootnoteReference"/>
        </w:rPr>
        <w:footnoteRef/>
      </w:r>
      <w:r>
        <w:t xml:space="preserve"> </w:t>
      </w:r>
      <w:r>
        <w:rPr>
          <w:lang w:val="en-GB"/>
        </w:rPr>
        <w:tab/>
      </w:r>
      <w:r w:rsidRPr="00F409FA">
        <w:rPr>
          <w:i/>
          <w:lang w:val="en-GB"/>
        </w:rPr>
        <w:t>Vo</w:t>
      </w:r>
      <w:r>
        <w:rPr>
          <w:i/>
          <w:lang w:val="en-GB"/>
        </w:rPr>
        <w:t>l</w:t>
      </w:r>
      <w:r w:rsidRPr="00F409FA">
        <w:rPr>
          <w:i/>
          <w:lang w:val="en-GB"/>
        </w:rPr>
        <w:t>kwyn No v Clarke and Damant</w:t>
      </w:r>
      <w:r>
        <w:rPr>
          <w:lang w:val="en-GB"/>
        </w:rPr>
        <w:t xml:space="preserve"> 1946 WLD 459 at 464. </w:t>
      </w:r>
    </w:p>
  </w:footnote>
  <w:footnote w:id="7">
    <w:p w14:paraId="246D112A" w14:textId="119937CD" w:rsidR="0091357B" w:rsidRPr="00F409FA" w:rsidRDefault="0091357B" w:rsidP="0091357B">
      <w:pPr>
        <w:pStyle w:val="FootnoteText"/>
        <w:rPr>
          <w:lang w:val="en-GB"/>
        </w:rPr>
      </w:pPr>
      <w:r>
        <w:rPr>
          <w:rStyle w:val="FootnoteReference"/>
        </w:rPr>
        <w:footnoteRef/>
      </w:r>
      <w:r>
        <w:t xml:space="preserve"> </w:t>
      </w:r>
      <w:r>
        <w:rPr>
          <w:lang w:val="en-GB"/>
        </w:rPr>
        <w:tab/>
      </w:r>
      <w:r w:rsidRPr="00F409FA">
        <w:rPr>
          <w:i/>
          <w:lang w:val="en-GB"/>
        </w:rPr>
        <w:t>Gowar</w:t>
      </w:r>
      <w:r w:rsidR="005B1DBB">
        <w:rPr>
          <w:lang w:val="en-GB"/>
        </w:rPr>
        <w:t xml:space="preserve"> note 9</w:t>
      </w:r>
      <w:r>
        <w:rPr>
          <w:lang w:val="en-GB"/>
        </w:rPr>
        <w:t xml:space="preserve"> above at para 10.</w:t>
      </w:r>
    </w:p>
  </w:footnote>
  <w:footnote w:id="8">
    <w:p w14:paraId="0DF5C76E" w14:textId="11C7E443" w:rsidR="00263CD4" w:rsidRPr="00263CD4" w:rsidRDefault="00263CD4">
      <w:pPr>
        <w:pStyle w:val="FootnoteText"/>
        <w:rPr>
          <w:lang w:val="en-GB"/>
        </w:rPr>
      </w:pPr>
      <w:r>
        <w:rPr>
          <w:rStyle w:val="FootnoteReference"/>
        </w:rPr>
        <w:footnoteRef/>
      </w:r>
      <w:r>
        <w:t xml:space="preserve"> </w:t>
      </w:r>
      <w:r>
        <w:rPr>
          <w:lang w:val="en-GB"/>
        </w:rPr>
        <w:tab/>
        <w:t xml:space="preserve">Judgment </w:t>
      </w:r>
      <w:r w:rsidRPr="00263CD4">
        <w:rPr>
          <w:i/>
          <w:lang w:val="en-GB"/>
        </w:rPr>
        <w:t>a quo</w:t>
      </w:r>
      <w:r>
        <w:rPr>
          <w:lang w:val="en-GB"/>
        </w:rPr>
        <w:t xml:space="preserve"> [10].</w:t>
      </w:r>
    </w:p>
  </w:footnote>
  <w:footnote w:id="9">
    <w:p w14:paraId="4D991216" w14:textId="77777777" w:rsidR="00DB1FC3" w:rsidRDefault="00DB1FC3" w:rsidP="00DB1FC3">
      <w:pPr>
        <w:pStyle w:val="FootnoteText"/>
      </w:pPr>
      <w:r>
        <w:rPr>
          <w:rStyle w:val="FootnoteReference"/>
        </w:rPr>
        <w:footnoteRef/>
      </w:r>
      <w:r>
        <w:t xml:space="preserve"> </w:t>
      </w:r>
      <w:r>
        <w:tab/>
      </w:r>
      <w:r>
        <w:rPr>
          <w:bCs/>
          <w:i/>
          <w:szCs w:val="22"/>
        </w:rPr>
        <w:t>Doyle v Board of Executors</w:t>
      </w:r>
      <w:r>
        <w:rPr>
          <w:bCs/>
          <w:szCs w:val="22"/>
        </w:rPr>
        <w:t xml:space="preserve"> 1999 (2) SA 805 (C) at 813 (</w:t>
      </w:r>
      <w:r>
        <w:rPr>
          <w:bCs/>
          <w:i/>
          <w:szCs w:val="22"/>
        </w:rPr>
        <w:t>‘Doyle’</w:t>
      </w:r>
      <w:r>
        <w:rPr>
          <w:bCs/>
          <w:szCs w:val="22"/>
        </w:rPr>
        <w:t>).</w:t>
      </w:r>
    </w:p>
  </w:footnote>
  <w:footnote w:id="10">
    <w:p w14:paraId="19FDA1A8" w14:textId="77777777" w:rsidR="00C7029F" w:rsidRDefault="00C7029F" w:rsidP="00C7029F">
      <w:pPr>
        <w:pStyle w:val="FootnoteText"/>
      </w:pPr>
      <w:r>
        <w:rPr>
          <w:rStyle w:val="FootnoteReference"/>
        </w:rPr>
        <w:footnoteRef/>
      </w:r>
      <w:r>
        <w:t xml:space="preserve"> </w:t>
      </w:r>
      <w:r>
        <w:tab/>
      </w:r>
      <w:r>
        <w:rPr>
          <w:i/>
        </w:rPr>
        <w:t xml:space="preserve">Mia v Cachalia </w:t>
      </w:r>
      <w:r>
        <w:t>1934 AD 102.</w:t>
      </w:r>
    </w:p>
  </w:footnote>
  <w:footnote w:id="11">
    <w:p w14:paraId="3631AB53" w14:textId="77777777" w:rsidR="00DB1FC3" w:rsidRDefault="00DB1FC3" w:rsidP="00DB1FC3">
      <w:pPr>
        <w:pStyle w:val="FootnoteText"/>
      </w:pPr>
      <w:r>
        <w:rPr>
          <w:rStyle w:val="FootnoteReference"/>
        </w:rPr>
        <w:footnoteRef/>
      </w:r>
      <w:r>
        <w:t xml:space="preserve"> </w:t>
      </w:r>
      <w:r>
        <w:tab/>
      </w:r>
      <w:r>
        <w:rPr>
          <w:bCs/>
          <w:i/>
          <w:szCs w:val="22"/>
        </w:rPr>
        <w:t>Van Niekerk v Van Niekerk &amp; Another</w:t>
      </w:r>
      <w:r>
        <w:rPr>
          <w:bCs/>
          <w:szCs w:val="22"/>
        </w:rPr>
        <w:t xml:space="preserve"> 2011 (2) SA 145 (KZP) (</w:t>
      </w:r>
      <w:r>
        <w:rPr>
          <w:bCs/>
          <w:i/>
          <w:szCs w:val="22"/>
        </w:rPr>
        <w:t>‘Van Niekerk’</w:t>
      </w:r>
      <w:r>
        <w:rPr>
          <w:bCs/>
          <w:szCs w:val="22"/>
        </w:rPr>
        <w:t>) at para [9].</w:t>
      </w:r>
    </w:p>
  </w:footnote>
  <w:footnote w:id="12">
    <w:p w14:paraId="2A865510" w14:textId="77777777" w:rsidR="00DB1FC3" w:rsidRDefault="00DB1FC3" w:rsidP="00DB1FC3">
      <w:pPr>
        <w:pStyle w:val="FootnoteText"/>
      </w:pPr>
      <w:r>
        <w:rPr>
          <w:rStyle w:val="FootnoteReference"/>
        </w:rPr>
        <w:footnoteRef/>
      </w:r>
      <w:r>
        <w:t xml:space="preserve"> </w:t>
      </w:r>
      <w:r>
        <w:tab/>
      </w:r>
      <w:r>
        <w:rPr>
          <w:bCs/>
          <w:i/>
          <w:szCs w:val="22"/>
        </w:rPr>
        <w:t>Volkwyn NO v Clark &amp; Demant</w:t>
      </w:r>
      <w:r>
        <w:rPr>
          <w:bCs/>
          <w:szCs w:val="22"/>
        </w:rPr>
        <w:t xml:space="preserve"> 1946 WLD 456 at 463-464 (</w:t>
      </w:r>
      <w:r>
        <w:rPr>
          <w:bCs/>
          <w:i/>
          <w:szCs w:val="22"/>
        </w:rPr>
        <w:t>‘Volkwyn’</w:t>
      </w:r>
      <w:r>
        <w:rPr>
          <w:bCs/>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D9EA7" w14:textId="320C66B8" w:rsidR="000F6AAC" w:rsidRPr="00787DAE" w:rsidRDefault="000F6AAC"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004020">
      <w:rPr>
        <w:rStyle w:val="PageNumber"/>
        <w:rFonts w:cs="Arial"/>
        <w:noProof/>
        <w:sz w:val="20"/>
        <w:szCs w:val="20"/>
      </w:rPr>
      <w:t>17</w:t>
    </w:r>
    <w:r w:rsidRPr="00787DAE">
      <w:rPr>
        <w:rStyle w:val="PageNumber"/>
        <w:rFonts w:cs="Arial"/>
        <w:sz w:val="20"/>
        <w:szCs w:val="20"/>
      </w:rPr>
      <w:fldChar w:fldCharType="end"/>
    </w:r>
  </w:p>
  <w:p w14:paraId="71FC3EA3" w14:textId="77777777" w:rsidR="000F6AAC" w:rsidRDefault="000F6AAC"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32A3682"/>
    <w:multiLevelType w:val="multilevel"/>
    <w:tmpl w:val="D114ADB0"/>
    <w:lvl w:ilvl="0">
      <w:start w:val="1"/>
      <w:numFmt w:val="decimal"/>
      <w:lvlText w:val="%1."/>
      <w:lvlJc w:val="left"/>
      <w:pPr>
        <w:ind w:left="2007" w:hanging="567"/>
      </w:pPr>
      <w:rPr>
        <w:rFonts w:hint="default"/>
      </w:rPr>
    </w:lvl>
    <w:lvl w:ilvl="1">
      <w:start w:val="1"/>
      <w:numFmt w:val="decimal"/>
      <w:lvlText w:val="%1.%2"/>
      <w:lvlJc w:val="left"/>
      <w:pPr>
        <w:ind w:left="2574" w:hanging="567"/>
      </w:pPr>
      <w:rPr>
        <w:rFonts w:hint="default"/>
      </w:rPr>
    </w:lvl>
    <w:lvl w:ilvl="2">
      <w:start w:val="1"/>
      <w:numFmt w:val="lowerRoman"/>
      <w:lvlText w:val="%3."/>
      <w:lvlJc w:val="right"/>
      <w:pPr>
        <w:ind w:left="2466" w:hanging="180"/>
      </w:pPr>
      <w:rPr>
        <w:rFonts w:hint="default"/>
      </w:rPr>
    </w:lvl>
    <w:lvl w:ilvl="3">
      <w:start w:val="1"/>
      <w:numFmt w:val="decimal"/>
      <w:lvlText w:val="%4."/>
      <w:lvlJc w:val="left"/>
      <w:pPr>
        <w:ind w:left="3186" w:hanging="360"/>
      </w:pPr>
      <w:rPr>
        <w:rFonts w:hint="default"/>
      </w:rPr>
    </w:lvl>
    <w:lvl w:ilvl="4">
      <w:start w:val="1"/>
      <w:numFmt w:val="lowerLetter"/>
      <w:lvlText w:val="%5."/>
      <w:lvlJc w:val="left"/>
      <w:pPr>
        <w:ind w:left="3906" w:hanging="360"/>
      </w:pPr>
      <w:rPr>
        <w:rFonts w:hint="default"/>
      </w:rPr>
    </w:lvl>
    <w:lvl w:ilvl="5">
      <w:start w:val="1"/>
      <w:numFmt w:val="lowerRoman"/>
      <w:lvlText w:val="%6."/>
      <w:lvlJc w:val="right"/>
      <w:pPr>
        <w:ind w:left="4626" w:hanging="180"/>
      </w:pPr>
      <w:rPr>
        <w:rFonts w:hint="default"/>
      </w:rPr>
    </w:lvl>
    <w:lvl w:ilvl="6">
      <w:start w:val="1"/>
      <w:numFmt w:val="decimal"/>
      <w:lvlText w:val="%7."/>
      <w:lvlJc w:val="left"/>
      <w:pPr>
        <w:ind w:left="5346" w:hanging="360"/>
      </w:pPr>
      <w:rPr>
        <w:rFonts w:hint="default"/>
      </w:rPr>
    </w:lvl>
    <w:lvl w:ilvl="7">
      <w:start w:val="1"/>
      <w:numFmt w:val="lowerLetter"/>
      <w:lvlText w:val="%8."/>
      <w:lvlJc w:val="left"/>
      <w:pPr>
        <w:ind w:left="6066" w:hanging="360"/>
      </w:pPr>
      <w:rPr>
        <w:rFonts w:hint="default"/>
      </w:rPr>
    </w:lvl>
    <w:lvl w:ilvl="8">
      <w:start w:val="1"/>
      <w:numFmt w:val="lowerRoman"/>
      <w:lvlText w:val="%9."/>
      <w:lvlJc w:val="right"/>
      <w:pPr>
        <w:ind w:left="6786" w:hanging="180"/>
      </w:pPr>
      <w:rPr>
        <w:rFonts w:hint="default"/>
      </w:rPr>
    </w:lvl>
  </w:abstractNum>
  <w:abstractNum w:abstractNumId="7">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CF5543"/>
    <w:multiLevelType w:val="multilevel"/>
    <w:tmpl w:val="A33CE27A"/>
    <w:lvl w:ilvl="0">
      <w:start w:val="1"/>
      <w:numFmt w:val="decimal"/>
      <w:lvlText w:val="%1."/>
      <w:lvlJc w:val="left"/>
      <w:pPr>
        <w:tabs>
          <w:tab w:val="num" w:pos="1701"/>
        </w:tabs>
        <w:ind w:left="1701" w:hanging="567"/>
      </w:pPr>
      <w:rPr>
        <w:rFonts w:hint="default"/>
        <w:b w:val="0"/>
        <w:color w:val="auto"/>
      </w:rPr>
    </w:lvl>
    <w:lvl w:ilvl="1">
      <w:start w:val="1"/>
      <w:numFmt w:val="decimal"/>
      <w:isLgl/>
      <w:lvlText w:val="%1.%2"/>
      <w:lvlJc w:val="left"/>
      <w:pPr>
        <w:tabs>
          <w:tab w:val="num" w:pos="2552"/>
        </w:tabs>
        <w:ind w:left="2552" w:hanging="851"/>
      </w:pPr>
      <w:rPr>
        <w:rFonts w:hint="default"/>
      </w:rPr>
    </w:lvl>
    <w:lvl w:ilvl="2">
      <w:start w:val="1"/>
      <w:numFmt w:val="decimal"/>
      <w:isLgl/>
      <w:lvlText w:val="%1.%2.%3"/>
      <w:lvlJc w:val="left"/>
      <w:pPr>
        <w:tabs>
          <w:tab w:val="num" w:pos="3686"/>
        </w:tabs>
        <w:ind w:left="3686" w:hanging="1134"/>
      </w:pPr>
      <w:rPr>
        <w:rFonts w:hint="default"/>
      </w:rPr>
    </w:lvl>
    <w:lvl w:ilvl="3">
      <w:start w:val="1"/>
      <w:numFmt w:val="decimal"/>
      <w:isLgl/>
      <w:lvlText w:val="%1.%2.%3.%4"/>
      <w:lvlJc w:val="left"/>
      <w:pPr>
        <w:tabs>
          <w:tab w:val="num" w:pos="4933"/>
        </w:tabs>
        <w:ind w:left="4933" w:hanging="1247"/>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5">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6">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7">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BE86A95"/>
    <w:multiLevelType w:val="multilevel"/>
    <w:tmpl w:val="35C2A41E"/>
    <w:lvl w:ilvl="0">
      <w:start w:val="1"/>
      <w:numFmt w:val="decimal"/>
      <w:lvlText w:val="%1."/>
      <w:lvlJc w:val="left"/>
      <w:pPr>
        <w:tabs>
          <w:tab w:val="num" w:pos="720"/>
        </w:tabs>
        <w:ind w:left="720" w:hanging="720"/>
      </w:pPr>
      <w:rPr>
        <w:rFonts w:hint="default"/>
        <w:b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268"/>
        </w:tabs>
        <w:ind w:left="2268" w:hanging="828"/>
      </w:pPr>
      <w:rPr>
        <w:rFonts w:hint="default"/>
      </w:rPr>
    </w:lvl>
    <w:lvl w:ilvl="3">
      <w:start w:val="1"/>
      <w:numFmt w:val="decimal"/>
      <w:isLgl/>
      <w:lvlText w:val="%1.%2.%3.%4"/>
      <w:lvlJc w:val="left"/>
      <w:pPr>
        <w:tabs>
          <w:tab w:val="num" w:pos="3240"/>
        </w:tabs>
        <w:ind w:left="3402" w:hanging="1134"/>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480"/>
        </w:tabs>
        <w:ind w:left="6480" w:hanging="216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9">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9"/>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1"/>
  </w:num>
  <w:num w:numId="6">
    <w:abstractNumId w:val="5"/>
  </w:num>
  <w:num w:numId="7">
    <w:abstractNumId w:val="10"/>
  </w:num>
  <w:num w:numId="8">
    <w:abstractNumId w:val="1"/>
  </w:num>
  <w:num w:numId="9">
    <w:abstractNumId w:val="0"/>
  </w:num>
  <w:num w:numId="10">
    <w:abstractNumId w:val="22"/>
  </w:num>
  <w:num w:numId="11">
    <w:abstractNumId w:val="16"/>
  </w:num>
  <w:num w:numId="12">
    <w:abstractNumId w:val="8"/>
  </w:num>
  <w:num w:numId="13">
    <w:abstractNumId w:val="12"/>
  </w:num>
  <w:num w:numId="14">
    <w:abstractNumId w:val="19"/>
  </w:num>
  <w:num w:numId="15">
    <w:abstractNumId w:val="20"/>
  </w:num>
  <w:num w:numId="16">
    <w:abstractNumId w:val="17"/>
  </w:num>
  <w:num w:numId="17">
    <w:abstractNumId w:val="4"/>
  </w:num>
  <w:num w:numId="18">
    <w:abstractNumId w:val="7"/>
  </w:num>
  <w:num w:numId="19">
    <w:abstractNumId w:val="15"/>
  </w:num>
  <w:num w:numId="20">
    <w:abstractNumId w:val="21"/>
  </w:num>
  <w:num w:numId="21">
    <w:abstractNumId w:val="13"/>
  </w:num>
  <w:num w:numId="22">
    <w:abstractNumId w:val="6"/>
  </w:num>
  <w:num w:numId="23">
    <w:abstractNumId w:val="18"/>
  </w:num>
  <w:num w:numId="24">
    <w:abstractNumId w:val="1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2D"/>
    <w:rsid w:val="000008C8"/>
    <w:rsid w:val="00000A42"/>
    <w:rsid w:val="00000EF8"/>
    <w:rsid w:val="000014AB"/>
    <w:rsid w:val="00001C2B"/>
    <w:rsid w:val="00001D87"/>
    <w:rsid w:val="00001ED1"/>
    <w:rsid w:val="00001F37"/>
    <w:rsid w:val="00001F4A"/>
    <w:rsid w:val="000022C9"/>
    <w:rsid w:val="00002A5A"/>
    <w:rsid w:val="00003B22"/>
    <w:rsid w:val="00004020"/>
    <w:rsid w:val="00004DCC"/>
    <w:rsid w:val="00005098"/>
    <w:rsid w:val="000054B3"/>
    <w:rsid w:val="00005559"/>
    <w:rsid w:val="00005FB2"/>
    <w:rsid w:val="00006217"/>
    <w:rsid w:val="00006488"/>
    <w:rsid w:val="000067E8"/>
    <w:rsid w:val="00006B0B"/>
    <w:rsid w:val="00006EF4"/>
    <w:rsid w:val="00006FB0"/>
    <w:rsid w:val="000075E6"/>
    <w:rsid w:val="00007649"/>
    <w:rsid w:val="00007723"/>
    <w:rsid w:val="00007A49"/>
    <w:rsid w:val="00007F4C"/>
    <w:rsid w:val="00010555"/>
    <w:rsid w:val="0001097C"/>
    <w:rsid w:val="0001127C"/>
    <w:rsid w:val="00011B90"/>
    <w:rsid w:val="00011DA0"/>
    <w:rsid w:val="00012122"/>
    <w:rsid w:val="00012338"/>
    <w:rsid w:val="000136A9"/>
    <w:rsid w:val="000138E7"/>
    <w:rsid w:val="00013C41"/>
    <w:rsid w:val="00015564"/>
    <w:rsid w:val="000159D0"/>
    <w:rsid w:val="000159E3"/>
    <w:rsid w:val="00015DF2"/>
    <w:rsid w:val="00016CAE"/>
    <w:rsid w:val="0001778E"/>
    <w:rsid w:val="00017ADC"/>
    <w:rsid w:val="00017F38"/>
    <w:rsid w:val="00017FBE"/>
    <w:rsid w:val="000201F3"/>
    <w:rsid w:val="0002183E"/>
    <w:rsid w:val="000218D9"/>
    <w:rsid w:val="0002194A"/>
    <w:rsid w:val="00022137"/>
    <w:rsid w:val="00022755"/>
    <w:rsid w:val="00022DBD"/>
    <w:rsid w:val="00022E33"/>
    <w:rsid w:val="00022EA8"/>
    <w:rsid w:val="0002339D"/>
    <w:rsid w:val="00024D9F"/>
    <w:rsid w:val="00025230"/>
    <w:rsid w:val="000257BF"/>
    <w:rsid w:val="00025F74"/>
    <w:rsid w:val="0002779C"/>
    <w:rsid w:val="00027F96"/>
    <w:rsid w:val="0003016A"/>
    <w:rsid w:val="00030237"/>
    <w:rsid w:val="00030771"/>
    <w:rsid w:val="000311CB"/>
    <w:rsid w:val="00031BEB"/>
    <w:rsid w:val="00032B62"/>
    <w:rsid w:val="00032B92"/>
    <w:rsid w:val="00032CBF"/>
    <w:rsid w:val="00032D16"/>
    <w:rsid w:val="00033905"/>
    <w:rsid w:val="00033951"/>
    <w:rsid w:val="00033B8B"/>
    <w:rsid w:val="00033BB2"/>
    <w:rsid w:val="00033D80"/>
    <w:rsid w:val="00033E4B"/>
    <w:rsid w:val="00034750"/>
    <w:rsid w:val="00034CA4"/>
    <w:rsid w:val="000368F0"/>
    <w:rsid w:val="00036C6F"/>
    <w:rsid w:val="0003747A"/>
    <w:rsid w:val="00040223"/>
    <w:rsid w:val="00041412"/>
    <w:rsid w:val="000417FB"/>
    <w:rsid w:val="00042147"/>
    <w:rsid w:val="000424C1"/>
    <w:rsid w:val="000424CF"/>
    <w:rsid w:val="00042F90"/>
    <w:rsid w:val="00043428"/>
    <w:rsid w:val="00043BD9"/>
    <w:rsid w:val="00043FBC"/>
    <w:rsid w:val="00044931"/>
    <w:rsid w:val="00045632"/>
    <w:rsid w:val="00045833"/>
    <w:rsid w:val="00045E98"/>
    <w:rsid w:val="00045F4F"/>
    <w:rsid w:val="000465C5"/>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57CA1"/>
    <w:rsid w:val="000610F7"/>
    <w:rsid w:val="00061E96"/>
    <w:rsid w:val="000626EF"/>
    <w:rsid w:val="00063810"/>
    <w:rsid w:val="00063A5A"/>
    <w:rsid w:val="00063EDD"/>
    <w:rsid w:val="0006492B"/>
    <w:rsid w:val="00064C10"/>
    <w:rsid w:val="000656D7"/>
    <w:rsid w:val="000659AD"/>
    <w:rsid w:val="00065BC7"/>
    <w:rsid w:val="00066475"/>
    <w:rsid w:val="00066521"/>
    <w:rsid w:val="00066B5C"/>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E9"/>
    <w:rsid w:val="00080236"/>
    <w:rsid w:val="00080D72"/>
    <w:rsid w:val="000815CC"/>
    <w:rsid w:val="000818E4"/>
    <w:rsid w:val="00082591"/>
    <w:rsid w:val="000846A3"/>
    <w:rsid w:val="00084DB1"/>
    <w:rsid w:val="000859AD"/>
    <w:rsid w:val="00085B09"/>
    <w:rsid w:val="00085F9F"/>
    <w:rsid w:val="00085FC0"/>
    <w:rsid w:val="0008653B"/>
    <w:rsid w:val="00086D96"/>
    <w:rsid w:val="00086E1F"/>
    <w:rsid w:val="00087F42"/>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2B1F"/>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21D"/>
    <w:rsid w:val="000C7459"/>
    <w:rsid w:val="000C79C6"/>
    <w:rsid w:val="000C7D50"/>
    <w:rsid w:val="000C7F43"/>
    <w:rsid w:val="000D102B"/>
    <w:rsid w:val="000D132A"/>
    <w:rsid w:val="000D1ECD"/>
    <w:rsid w:val="000D2CEB"/>
    <w:rsid w:val="000D2F06"/>
    <w:rsid w:val="000D3A78"/>
    <w:rsid w:val="000D40AB"/>
    <w:rsid w:val="000D40E2"/>
    <w:rsid w:val="000D4BC5"/>
    <w:rsid w:val="000D4D04"/>
    <w:rsid w:val="000D512A"/>
    <w:rsid w:val="000D5462"/>
    <w:rsid w:val="000D60CB"/>
    <w:rsid w:val="000D65C9"/>
    <w:rsid w:val="000D67EE"/>
    <w:rsid w:val="000D7188"/>
    <w:rsid w:val="000D7AD3"/>
    <w:rsid w:val="000E07A7"/>
    <w:rsid w:val="000E0869"/>
    <w:rsid w:val="000E0B6E"/>
    <w:rsid w:val="000E0CCE"/>
    <w:rsid w:val="000E0F0F"/>
    <w:rsid w:val="000E110F"/>
    <w:rsid w:val="000E117E"/>
    <w:rsid w:val="000E14C8"/>
    <w:rsid w:val="000E1B5D"/>
    <w:rsid w:val="000E1B61"/>
    <w:rsid w:val="000E21A8"/>
    <w:rsid w:val="000E22D9"/>
    <w:rsid w:val="000E28D4"/>
    <w:rsid w:val="000E3933"/>
    <w:rsid w:val="000E3C4B"/>
    <w:rsid w:val="000E462D"/>
    <w:rsid w:val="000E481A"/>
    <w:rsid w:val="000E4A0E"/>
    <w:rsid w:val="000E4BD3"/>
    <w:rsid w:val="000E4EE7"/>
    <w:rsid w:val="000E5617"/>
    <w:rsid w:val="000E5D15"/>
    <w:rsid w:val="000E5E2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9F4"/>
    <w:rsid w:val="000F5D8D"/>
    <w:rsid w:val="000F66CF"/>
    <w:rsid w:val="000F686D"/>
    <w:rsid w:val="000F6AAC"/>
    <w:rsid w:val="000F6ED1"/>
    <w:rsid w:val="000F75ED"/>
    <w:rsid w:val="0010088E"/>
    <w:rsid w:val="001017AA"/>
    <w:rsid w:val="00101811"/>
    <w:rsid w:val="0010191A"/>
    <w:rsid w:val="001026AC"/>
    <w:rsid w:val="00102832"/>
    <w:rsid w:val="00102A45"/>
    <w:rsid w:val="0010452B"/>
    <w:rsid w:val="00104818"/>
    <w:rsid w:val="00105A0A"/>
    <w:rsid w:val="00105D5A"/>
    <w:rsid w:val="001061C2"/>
    <w:rsid w:val="00106ED5"/>
    <w:rsid w:val="001074A3"/>
    <w:rsid w:val="00107765"/>
    <w:rsid w:val="00107BB1"/>
    <w:rsid w:val="00110198"/>
    <w:rsid w:val="00110911"/>
    <w:rsid w:val="00110B59"/>
    <w:rsid w:val="00110C9C"/>
    <w:rsid w:val="001119A7"/>
    <w:rsid w:val="0011232E"/>
    <w:rsid w:val="00112648"/>
    <w:rsid w:val="00112796"/>
    <w:rsid w:val="00112C59"/>
    <w:rsid w:val="00112E3E"/>
    <w:rsid w:val="00112FA3"/>
    <w:rsid w:val="00113782"/>
    <w:rsid w:val="00113984"/>
    <w:rsid w:val="00113D1E"/>
    <w:rsid w:val="001145A5"/>
    <w:rsid w:val="00116290"/>
    <w:rsid w:val="001164AF"/>
    <w:rsid w:val="00117303"/>
    <w:rsid w:val="00117F01"/>
    <w:rsid w:val="00120A5D"/>
    <w:rsid w:val="00120B19"/>
    <w:rsid w:val="001211F9"/>
    <w:rsid w:val="0012138A"/>
    <w:rsid w:val="00122AF9"/>
    <w:rsid w:val="001236DB"/>
    <w:rsid w:val="00124028"/>
    <w:rsid w:val="00124235"/>
    <w:rsid w:val="001246AF"/>
    <w:rsid w:val="001248B5"/>
    <w:rsid w:val="001249F8"/>
    <w:rsid w:val="00124A80"/>
    <w:rsid w:val="00125C9C"/>
    <w:rsid w:val="00125F30"/>
    <w:rsid w:val="001277E1"/>
    <w:rsid w:val="001301CC"/>
    <w:rsid w:val="00130561"/>
    <w:rsid w:val="00130946"/>
    <w:rsid w:val="00131080"/>
    <w:rsid w:val="0013131B"/>
    <w:rsid w:val="00131AA9"/>
    <w:rsid w:val="00131AB6"/>
    <w:rsid w:val="00131D0D"/>
    <w:rsid w:val="0013226D"/>
    <w:rsid w:val="0013320B"/>
    <w:rsid w:val="00133C40"/>
    <w:rsid w:val="00134210"/>
    <w:rsid w:val="0013456A"/>
    <w:rsid w:val="00135CEF"/>
    <w:rsid w:val="00136787"/>
    <w:rsid w:val="001370B5"/>
    <w:rsid w:val="00137139"/>
    <w:rsid w:val="00137B1B"/>
    <w:rsid w:val="00140568"/>
    <w:rsid w:val="001406F1"/>
    <w:rsid w:val="00140FCD"/>
    <w:rsid w:val="001418F6"/>
    <w:rsid w:val="00141934"/>
    <w:rsid w:val="00143208"/>
    <w:rsid w:val="00143C72"/>
    <w:rsid w:val="0014511D"/>
    <w:rsid w:val="001454DF"/>
    <w:rsid w:val="00145C4D"/>
    <w:rsid w:val="00145F25"/>
    <w:rsid w:val="0014646E"/>
    <w:rsid w:val="0014686F"/>
    <w:rsid w:val="00146A5D"/>
    <w:rsid w:val="00146FE2"/>
    <w:rsid w:val="00147534"/>
    <w:rsid w:val="00147F0A"/>
    <w:rsid w:val="00147FCB"/>
    <w:rsid w:val="0015006E"/>
    <w:rsid w:val="0015043C"/>
    <w:rsid w:val="0015158E"/>
    <w:rsid w:val="001515C2"/>
    <w:rsid w:val="00151A5C"/>
    <w:rsid w:val="00152144"/>
    <w:rsid w:val="001521BF"/>
    <w:rsid w:val="001522F0"/>
    <w:rsid w:val="00152374"/>
    <w:rsid w:val="0015346F"/>
    <w:rsid w:val="001539DC"/>
    <w:rsid w:val="00154DFB"/>
    <w:rsid w:val="0015514A"/>
    <w:rsid w:val="00155D72"/>
    <w:rsid w:val="001561ED"/>
    <w:rsid w:val="00156BE8"/>
    <w:rsid w:val="00156E6C"/>
    <w:rsid w:val="0015711A"/>
    <w:rsid w:val="00160C31"/>
    <w:rsid w:val="00160C3A"/>
    <w:rsid w:val="00160CB0"/>
    <w:rsid w:val="00161306"/>
    <w:rsid w:val="00161774"/>
    <w:rsid w:val="001639B4"/>
    <w:rsid w:val="00164F6E"/>
    <w:rsid w:val="00165B65"/>
    <w:rsid w:val="001663F8"/>
    <w:rsid w:val="00166C64"/>
    <w:rsid w:val="001670E1"/>
    <w:rsid w:val="001677D4"/>
    <w:rsid w:val="00167C60"/>
    <w:rsid w:val="00170107"/>
    <w:rsid w:val="001705DD"/>
    <w:rsid w:val="001708A2"/>
    <w:rsid w:val="00170A01"/>
    <w:rsid w:val="00170EF1"/>
    <w:rsid w:val="00170FFC"/>
    <w:rsid w:val="00171EEF"/>
    <w:rsid w:val="0017249D"/>
    <w:rsid w:val="001725DC"/>
    <w:rsid w:val="0017293F"/>
    <w:rsid w:val="001735DD"/>
    <w:rsid w:val="00174292"/>
    <w:rsid w:val="0017471E"/>
    <w:rsid w:val="00174D82"/>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C52"/>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CEE"/>
    <w:rsid w:val="00192D3B"/>
    <w:rsid w:val="00192FB3"/>
    <w:rsid w:val="001936C6"/>
    <w:rsid w:val="00193817"/>
    <w:rsid w:val="00193F44"/>
    <w:rsid w:val="00194EF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4E1D"/>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5F9A"/>
    <w:rsid w:val="001B62C5"/>
    <w:rsid w:val="001B6735"/>
    <w:rsid w:val="001B7144"/>
    <w:rsid w:val="001B78E5"/>
    <w:rsid w:val="001B7B42"/>
    <w:rsid w:val="001C0207"/>
    <w:rsid w:val="001C0390"/>
    <w:rsid w:val="001C0640"/>
    <w:rsid w:val="001C066F"/>
    <w:rsid w:val="001C06E4"/>
    <w:rsid w:val="001C0DA5"/>
    <w:rsid w:val="001C1293"/>
    <w:rsid w:val="001C186E"/>
    <w:rsid w:val="001C1FBB"/>
    <w:rsid w:val="001C20ED"/>
    <w:rsid w:val="001C2207"/>
    <w:rsid w:val="001C264B"/>
    <w:rsid w:val="001C2908"/>
    <w:rsid w:val="001C3215"/>
    <w:rsid w:val="001C40D9"/>
    <w:rsid w:val="001C4D7F"/>
    <w:rsid w:val="001C508B"/>
    <w:rsid w:val="001C520D"/>
    <w:rsid w:val="001C53A3"/>
    <w:rsid w:val="001C5776"/>
    <w:rsid w:val="001C57B1"/>
    <w:rsid w:val="001C6472"/>
    <w:rsid w:val="001C6C89"/>
    <w:rsid w:val="001C749A"/>
    <w:rsid w:val="001D0863"/>
    <w:rsid w:val="001D0A15"/>
    <w:rsid w:val="001D0DC9"/>
    <w:rsid w:val="001D0F50"/>
    <w:rsid w:val="001D11CD"/>
    <w:rsid w:val="001D1423"/>
    <w:rsid w:val="001D18EE"/>
    <w:rsid w:val="001D29C7"/>
    <w:rsid w:val="001D3140"/>
    <w:rsid w:val="001D31F0"/>
    <w:rsid w:val="001D4425"/>
    <w:rsid w:val="001D470B"/>
    <w:rsid w:val="001D47C8"/>
    <w:rsid w:val="001D4E67"/>
    <w:rsid w:val="001D51E3"/>
    <w:rsid w:val="001D546C"/>
    <w:rsid w:val="001D5D3E"/>
    <w:rsid w:val="001D6026"/>
    <w:rsid w:val="001D6341"/>
    <w:rsid w:val="001D67A8"/>
    <w:rsid w:val="001D7532"/>
    <w:rsid w:val="001D7B87"/>
    <w:rsid w:val="001E021E"/>
    <w:rsid w:val="001E03C3"/>
    <w:rsid w:val="001E143C"/>
    <w:rsid w:val="001E156C"/>
    <w:rsid w:val="001E221F"/>
    <w:rsid w:val="001E2530"/>
    <w:rsid w:val="001E316D"/>
    <w:rsid w:val="001E394B"/>
    <w:rsid w:val="001E3C31"/>
    <w:rsid w:val="001E3E1F"/>
    <w:rsid w:val="001E3FCE"/>
    <w:rsid w:val="001E4134"/>
    <w:rsid w:val="001E4B2F"/>
    <w:rsid w:val="001E4C68"/>
    <w:rsid w:val="001E4DB4"/>
    <w:rsid w:val="001E4E87"/>
    <w:rsid w:val="001E570E"/>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5E63"/>
    <w:rsid w:val="001F6491"/>
    <w:rsid w:val="001F6807"/>
    <w:rsid w:val="001F7F7B"/>
    <w:rsid w:val="0020049E"/>
    <w:rsid w:val="00201B4A"/>
    <w:rsid w:val="00202075"/>
    <w:rsid w:val="00202E7B"/>
    <w:rsid w:val="00203474"/>
    <w:rsid w:val="00203AE3"/>
    <w:rsid w:val="00204D01"/>
    <w:rsid w:val="00204F2D"/>
    <w:rsid w:val="0020513E"/>
    <w:rsid w:val="00205577"/>
    <w:rsid w:val="00205D02"/>
    <w:rsid w:val="00205DE8"/>
    <w:rsid w:val="00205FA5"/>
    <w:rsid w:val="00206393"/>
    <w:rsid w:val="00206E70"/>
    <w:rsid w:val="002070EB"/>
    <w:rsid w:val="002079E2"/>
    <w:rsid w:val="00210399"/>
    <w:rsid w:val="00210B76"/>
    <w:rsid w:val="00210F3A"/>
    <w:rsid w:val="002129DA"/>
    <w:rsid w:val="002130A3"/>
    <w:rsid w:val="002130F8"/>
    <w:rsid w:val="002136E4"/>
    <w:rsid w:val="0021467E"/>
    <w:rsid w:val="00214942"/>
    <w:rsid w:val="00214A36"/>
    <w:rsid w:val="0021536D"/>
    <w:rsid w:val="00215625"/>
    <w:rsid w:val="00215679"/>
    <w:rsid w:val="002159FE"/>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102"/>
    <w:rsid w:val="0022643C"/>
    <w:rsid w:val="00226A78"/>
    <w:rsid w:val="0022707A"/>
    <w:rsid w:val="002275E5"/>
    <w:rsid w:val="00227EEF"/>
    <w:rsid w:val="00230A6E"/>
    <w:rsid w:val="00231AC4"/>
    <w:rsid w:val="00232827"/>
    <w:rsid w:val="00232E66"/>
    <w:rsid w:val="00233523"/>
    <w:rsid w:val="002338F0"/>
    <w:rsid w:val="00233934"/>
    <w:rsid w:val="00233A86"/>
    <w:rsid w:val="00233E2F"/>
    <w:rsid w:val="00234F5C"/>
    <w:rsid w:val="00235167"/>
    <w:rsid w:val="002365F9"/>
    <w:rsid w:val="00237261"/>
    <w:rsid w:val="0024022C"/>
    <w:rsid w:val="00240912"/>
    <w:rsid w:val="002409CB"/>
    <w:rsid w:val="00240C58"/>
    <w:rsid w:val="00241548"/>
    <w:rsid w:val="0024369E"/>
    <w:rsid w:val="00243F62"/>
    <w:rsid w:val="00244131"/>
    <w:rsid w:val="002444AB"/>
    <w:rsid w:val="00244CBB"/>
    <w:rsid w:val="002458F9"/>
    <w:rsid w:val="00245EF8"/>
    <w:rsid w:val="00246840"/>
    <w:rsid w:val="002476ED"/>
    <w:rsid w:val="00247B9E"/>
    <w:rsid w:val="00250378"/>
    <w:rsid w:val="00250BD9"/>
    <w:rsid w:val="002520C1"/>
    <w:rsid w:val="00252B87"/>
    <w:rsid w:val="00252ECC"/>
    <w:rsid w:val="0025308B"/>
    <w:rsid w:val="0025358C"/>
    <w:rsid w:val="00253DB2"/>
    <w:rsid w:val="00255177"/>
    <w:rsid w:val="002557FF"/>
    <w:rsid w:val="002600FF"/>
    <w:rsid w:val="0026036D"/>
    <w:rsid w:val="002606AE"/>
    <w:rsid w:val="00261AC4"/>
    <w:rsid w:val="00261C0E"/>
    <w:rsid w:val="00261D93"/>
    <w:rsid w:val="0026232A"/>
    <w:rsid w:val="002626DC"/>
    <w:rsid w:val="00262D1B"/>
    <w:rsid w:val="002634E8"/>
    <w:rsid w:val="002636DD"/>
    <w:rsid w:val="00263CD4"/>
    <w:rsid w:val="00264485"/>
    <w:rsid w:val="0026512D"/>
    <w:rsid w:val="00265BBC"/>
    <w:rsid w:val="00265BE4"/>
    <w:rsid w:val="00265D7D"/>
    <w:rsid w:val="00265DEC"/>
    <w:rsid w:val="00266956"/>
    <w:rsid w:val="0026732D"/>
    <w:rsid w:val="002673B6"/>
    <w:rsid w:val="002675F7"/>
    <w:rsid w:val="00270C3D"/>
    <w:rsid w:val="00270D64"/>
    <w:rsid w:val="002723E4"/>
    <w:rsid w:val="002725D0"/>
    <w:rsid w:val="00272BBF"/>
    <w:rsid w:val="00273767"/>
    <w:rsid w:val="002740B9"/>
    <w:rsid w:val="0027430B"/>
    <w:rsid w:val="0027521E"/>
    <w:rsid w:val="0027530E"/>
    <w:rsid w:val="00275735"/>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7F0"/>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AEB"/>
    <w:rsid w:val="002B7B1D"/>
    <w:rsid w:val="002C0527"/>
    <w:rsid w:val="002C079B"/>
    <w:rsid w:val="002C1012"/>
    <w:rsid w:val="002C1E67"/>
    <w:rsid w:val="002C2C33"/>
    <w:rsid w:val="002C385F"/>
    <w:rsid w:val="002C3CFF"/>
    <w:rsid w:val="002C419B"/>
    <w:rsid w:val="002C4732"/>
    <w:rsid w:val="002C5318"/>
    <w:rsid w:val="002C7A3E"/>
    <w:rsid w:val="002D2DFD"/>
    <w:rsid w:val="002D4722"/>
    <w:rsid w:val="002D4B08"/>
    <w:rsid w:val="002D5225"/>
    <w:rsid w:val="002D5A1F"/>
    <w:rsid w:val="002D5FBF"/>
    <w:rsid w:val="002D6185"/>
    <w:rsid w:val="002D6B99"/>
    <w:rsid w:val="002D7FF7"/>
    <w:rsid w:val="002E0ECC"/>
    <w:rsid w:val="002E1CF5"/>
    <w:rsid w:val="002E20F8"/>
    <w:rsid w:val="002E2D65"/>
    <w:rsid w:val="002E378F"/>
    <w:rsid w:val="002E3B48"/>
    <w:rsid w:val="002E4005"/>
    <w:rsid w:val="002E42CE"/>
    <w:rsid w:val="002E59C4"/>
    <w:rsid w:val="002E5C4B"/>
    <w:rsid w:val="002E5EE7"/>
    <w:rsid w:val="002E6155"/>
    <w:rsid w:val="002E63D5"/>
    <w:rsid w:val="002E6473"/>
    <w:rsid w:val="002E6A1F"/>
    <w:rsid w:val="002E791D"/>
    <w:rsid w:val="002E7EF0"/>
    <w:rsid w:val="002F07FB"/>
    <w:rsid w:val="002F0C6B"/>
    <w:rsid w:val="002F0CD2"/>
    <w:rsid w:val="002F0DE8"/>
    <w:rsid w:val="002F12A0"/>
    <w:rsid w:val="002F1778"/>
    <w:rsid w:val="002F2397"/>
    <w:rsid w:val="002F2D47"/>
    <w:rsid w:val="002F2FED"/>
    <w:rsid w:val="002F3065"/>
    <w:rsid w:val="002F321E"/>
    <w:rsid w:val="002F36CF"/>
    <w:rsid w:val="002F39A0"/>
    <w:rsid w:val="002F5B33"/>
    <w:rsid w:val="002F5F15"/>
    <w:rsid w:val="002F6FAE"/>
    <w:rsid w:val="002F71CA"/>
    <w:rsid w:val="002F7CD9"/>
    <w:rsid w:val="00300BF6"/>
    <w:rsid w:val="003010E1"/>
    <w:rsid w:val="00302630"/>
    <w:rsid w:val="00302692"/>
    <w:rsid w:val="00302A13"/>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6BC"/>
    <w:rsid w:val="0031080C"/>
    <w:rsid w:val="003108ED"/>
    <w:rsid w:val="00310CD3"/>
    <w:rsid w:val="00311D75"/>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0A4"/>
    <w:rsid w:val="00321329"/>
    <w:rsid w:val="00321CC5"/>
    <w:rsid w:val="00322F66"/>
    <w:rsid w:val="00323AD5"/>
    <w:rsid w:val="00323B0C"/>
    <w:rsid w:val="00323B4E"/>
    <w:rsid w:val="00324159"/>
    <w:rsid w:val="0032458F"/>
    <w:rsid w:val="003249A7"/>
    <w:rsid w:val="00324CFA"/>
    <w:rsid w:val="00324FE9"/>
    <w:rsid w:val="00325E88"/>
    <w:rsid w:val="00326EEB"/>
    <w:rsid w:val="003301BC"/>
    <w:rsid w:val="00331104"/>
    <w:rsid w:val="00332046"/>
    <w:rsid w:val="003321C0"/>
    <w:rsid w:val="00332DC2"/>
    <w:rsid w:val="00333640"/>
    <w:rsid w:val="0033385A"/>
    <w:rsid w:val="0033445E"/>
    <w:rsid w:val="00334FDF"/>
    <w:rsid w:val="0033509B"/>
    <w:rsid w:val="0033556F"/>
    <w:rsid w:val="00335999"/>
    <w:rsid w:val="00335A17"/>
    <w:rsid w:val="00335B24"/>
    <w:rsid w:val="00336322"/>
    <w:rsid w:val="003366C6"/>
    <w:rsid w:val="00336A9E"/>
    <w:rsid w:val="00340D05"/>
    <w:rsid w:val="003413B0"/>
    <w:rsid w:val="0034161E"/>
    <w:rsid w:val="00342449"/>
    <w:rsid w:val="003426E4"/>
    <w:rsid w:val="0034341B"/>
    <w:rsid w:val="0034400D"/>
    <w:rsid w:val="00344089"/>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6FF"/>
    <w:rsid w:val="00354877"/>
    <w:rsid w:val="00354EA6"/>
    <w:rsid w:val="00355474"/>
    <w:rsid w:val="0035569E"/>
    <w:rsid w:val="00356378"/>
    <w:rsid w:val="0035648A"/>
    <w:rsid w:val="00357E39"/>
    <w:rsid w:val="00360557"/>
    <w:rsid w:val="00360AF9"/>
    <w:rsid w:val="003618EB"/>
    <w:rsid w:val="00362EE3"/>
    <w:rsid w:val="00363174"/>
    <w:rsid w:val="003638CA"/>
    <w:rsid w:val="0036399C"/>
    <w:rsid w:val="003642F7"/>
    <w:rsid w:val="00364B3C"/>
    <w:rsid w:val="0036500E"/>
    <w:rsid w:val="003651ED"/>
    <w:rsid w:val="0036549E"/>
    <w:rsid w:val="0036591C"/>
    <w:rsid w:val="00365DF7"/>
    <w:rsid w:val="00365F7B"/>
    <w:rsid w:val="0036620A"/>
    <w:rsid w:val="00366A57"/>
    <w:rsid w:val="00367795"/>
    <w:rsid w:val="00367CAF"/>
    <w:rsid w:val="00370695"/>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3CB"/>
    <w:rsid w:val="00376DCC"/>
    <w:rsid w:val="00380006"/>
    <w:rsid w:val="00380268"/>
    <w:rsid w:val="00380476"/>
    <w:rsid w:val="00380D14"/>
    <w:rsid w:val="00381068"/>
    <w:rsid w:val="00381359"/>
    <w:rsid w:val="003819A0"/>
    <w:rsid w:val="00381CE0"/>
    <w:rsid w:val="0038213A"/>
    <w:rsid w:val="0038225F"/>
    <w:rsid w:val="003824C8"/>
    <w:rsid w:val="00382AE3"/>
    <w:rsid w:val="0038301C"/>
    <w:rsid w:val="00383E02"/>
    <w:rsid w:val="0038461A"/>
    <w:rsid w:val="00384662"/>
    <w:rsid w:val="00384833"/>
    <w:rsid w:val="0038487F"/>
    <w:rsid w:val="00384BD7"/>
    <w:rsid w:val="00385303"/>
    <w:rsid w:val="0038543F"/>
    <w:rsid w:val="003855D5"/>
    <w:rsid w:val="00385926"/>
    <w:rsid w:val="00385DFD"/>
    <w:rsid w:val="00386669"/>
    <w:rsid w:val="003868A0"/>
    <w:rsid w:val="00386FAE"/>
    <w:rsid w:val="00387062"/>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2812"/>
    <w:rsid w:val="003A3094"/>
    <w:rsid w:val="003A3466"/>
    <w:rsid w:val="003A4135"/>
    <w:rsid w:val="003A42B6"/>
    <w:rsid w:val="003A490E"/>
    <w:rsid w:val="003A4CF3"/>
    <w:rsid w:val="003A4F05"/>
    <w:rsid w:val="003A566F"/>
    <w:rsid w:val="003A57AA"/>
    <w:rsid w:val="003A6328"/>
    <w:rsid w:val="003A71B6"/>
    <w:rsid w:val="003B0788"/>
    <w:rsid w:val="003B083F"/>
    <w:rsid w:val="003B13E2"/>
    <w:rsid w:val="003B1D7E"/>
    <w:rsid w:val="003B2DF6"/>
    <w:rsid w:val="003B3243"/>
    <w:rsid w:val="003B3610"/>
    <w:rsid w:val="003B3A74"/>
    <w:rsid w:val="003B4214"/>
    <w:rsid w:val="003B4B09"/>
    <w:rsid w:val="003B4C4F"/>
    <w:rsid w:val="003B4E1B"/>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742"/>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D6D"/>
    <w:rsid w:val="003E7EBD"/>
    <w:rsid w:val="003F04A8"/>
    <w:rsid w:val="003F1F55"/>
    <w:rsid w:val="003F2554"/>
    <w:rsid w:val="003F259D"/>
    <w:rsid w:val="003F279B"/>
    <w:rsid w:val="003F279F"/>
    <w:rsid w:val="003F3767"/>
    <w:rsid w:val="003F3B09"/>
    <w:rsid w:val="003F3CEF"/>
    <w:rsid w:val="003F4FD8"/>
    <w:rsid w:val="003F51B2"/>
    <w:rsid w:val="003F587A"/>
    <w:rsid w:val="003F5AE4"/>
    <w:rsid w:val="003F5D54"/>
    <w:rsid w:val="003F61EB"/>
    <w:rsid w:val="003F648F"/>
    <w:rsid w:val="003F6D53"/>
    <w:rsid w:val="003F7800"/>
    <w:rsid w:val="00400401"/>
    <w:rsid w:val="004008A7"/>
    <w:rsid w:val="00400B7E"/>
    <w:rsid w:val="00401281"/>
    <w:rsid w:val="004019DC"/>
    <w:rsid w:val="00401DC1"/>
    <w:rsid w:val="00401DF0"/>
    <w:rsid w:val="00403727"/>
    <w:rsid w:val="00403A20"/>
    <w:rsid w:val="00403AC5"/>
    <w:rsid w:val="004046C1"/>
    <w:rsid w:val="00404C85"/>
    <w:rsid w:val="00406C91"/>
    <w:rsid w:val="00406E8D"/>
    <w:rsid w:val="00407322"/>
    <w:rsid w:val="00407658"/>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27473"/>
    <w:rsid w:val="004315D7"/>
    <w:rsid w:val="00432668"/>
    <w:rsid w:val="004327E2"/>
    <w:rsid w:val="00432AE8"/>
    <w:rsid w:val="004331BE"/>
    <w:rsid w:val="004333F4"/>
    <w:rsid w:val="00434641"/>
    <w:rsid w:val="00434AD8"/>
    <w:rsid w:val="00434F13"/>
    <w:rsid w:val="00434F4D"/>
    <w:rsid w:val="00435324"/>
    <w:rsid w:val="0043589E"/>
    <w:rsid w:val="00435A4F"/>
    <w:rsid w:val="00435A8C"/>
    <w:rsid w:val="00435AAF"/>
    <w:rsid w:val="00437828"/>
    <w:rsid w:val="0043796F"/>
    <w:rsid w:val="004406E0"/>
    <w:rsid w:val="00440A40"/>
    <w:rsid w:val="00440EAF"/>
    <w:rsid w:val="00441BBC"/>
    <w:rsid w:val="004427AA"/>
    <w:rsid w:val="00442BF2"/>
    <w:rsid w:val="004431C7"/>
    <w:rsid w:val="00443880"/>
    <w:rsid w:val="004439E4"/>
    <w:rsid w:val="00444B0A"/>
    <w:rsid w:val="00444B32"/>
    <w:rsid w:val="00445816"/>
    <w:rsid w:val="0044792B"/>
    <w:rsid w:val="004479AE"/>
    <w:rsid w:val="0045082F"/>
    <w:rsid w:val="004511FE"/>
    <w:rsid w:val="0045190F"/>
    <w:rsid w:val="00452064"/>
    <w:rsid w:val="004520E6"/>
    <w:rsid w:val="00452720"/>
    <w:rsid w:val="00452814"/>
    <w:rsid w:val="00453B72"/>
    <w:rsid w:val="00454041"/>
    <w:rsid w:val="004545F2"/>
    <w:rsid w:val="00454D23"/>
    <w:rsid w:val="004552B6"/>
    <w:rsid w:val="00455D86"/>
    <w:rsid w:val="004561D0"/>
    <w:rsid w:val="00456252"/>
    <w:rsid w:val="00456273"/>
    <w:rsid w:val="004567FE"/>
    <w:rsid w:val="00456993"/>
    <w:rsid w:val="00456CE3"/>
    <w:rsid w:val="004578E0"/>
    <w:rsid w:val="0046071D"/>
    <w:rsid w:val="00460D14"/>
    <w:rsid w:val="00461170"/>
    <w:rsid w:val="004623B9"/>
    <w:rsid w:val="004624C9"/>
    <w:rsid w:val="00463135"/>
    <w:rsid w:val="00463734"/>
    <w:rsid w:val="004638A7"/>
    <w:rsid w:val="00463966"/>
    <w:rsid w:val="00463E05"/>
    <w:rsid w:val="00463E94"/>
    <w:rsid w:val="00464BBD"/>
    <w:rsid w:val="00464F4F"/>
    <w:rsid w:val="00466100"/>
    <w:rsid w:val="0046713A"/>
    <w:rsid w:val="0046738A"/>
    <w:rsid w:val="00470226"/>
    <w:rsid w:val="004709CA"/>
    <w:rsid w:val="004711BC"/>
    <w:rsid w:val="00471429"/>
    <w:rsid w:val="00471E18"/>
    <w:rsid w:val="00472D4A"/>
    <w:rsid w:val="00473442"/>
    <w:rsid w:val="00473554"/>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13B"/>
    <w:rsid w:val="00486A26"/>
    <w:rsid w:val="00486FDE"/>
    <w:rsid w:val="00487E5D"/>
    <w:rsid w:val="00490C96"/>
    <w:rsid w:val="00491F6F"/>
    <w:rsid w:val="00492346"/>
    <w:rsid w:val="004926F8"/>
    <w:rsid w:val="00492D8D"/>
    <w:rsid w:val="004939D7"/>
    <w:rsid w:val="004949A5"/>
    <w:rsid w:val="00495268"/>
    <w:rsid w:val="00495619"/>
    <w:rsid w:val="004959A3"/>
    <w:rsid w:val="00495C25"/>
    <w:rsid w:val="0049617A"/>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45E9"/>
    <w:rsid w:val="004A564A"/>
    <w:rsid w:val="004A65DB"/>
    <w:rsid w:val="004A6C05"/>
    <w:rsid w:val="004B05BB"/>
    <w:rsid w:val="004B0892"/>
    <w:rsid w:val="004B0D02"/>
    <w:rsid w:val="004B135D"/>
    <w:rsid w:val="004B15D3"/>
    <w:rsid w:val="004B2A61"/>
    <w:rsid w:val="004B2BF2"/>
    <w:rsid w:val="004B2D66"/>
    <w:rsid w:val="004B4CD3"/>
    <w:rsid w:val="004B50A7"/>
    <w:rsid w:val="004B5EDB"/>
    <w:rsid w:val="004B5FD9"/>
    <w:rsid w:val="004B62A2"/>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C7F5C"/>
    <w:rsid w:val="004D0D6D"/>
    <w:rsid w:val="004D21B2"/>
    <w:rsid w:val="004D2362"/>
    <w:rsid w:val="004D29DB"/>
    <w:rsid w:val="004D2B43"/>
    <w:rsid w:val="004D2D98"/>
    <w:rsid w:val="004D390A"/>
    <w:rsid w:val="004D3E4E"/>
    <w:rsid w:val="004D4141"/>
    <w:rsid w:val="004D459A"/>
    <w:rsid w:val="004D5E79"/>
    <w:rsid w:val="004D6A2C"/>
    <w:rsid w:val="004D6F93"/>
    <w:rsid w:val="004D7445"/>
    <w:rsid w:val="004D77B1"/>
    <w:rsid w:val="004D77E9"/>
    <w:rsid w:val="004D7A2C"/>
    <w:rsid w:val="004D7E2B"/>
    <w:rsid w:val="004E00CE"/>
    <w:rsid w:val="004E0600"/>
    <w:rsid w:val="004E06FF"/>
    <w:rsid w:val="004E27AF"/>
    <w:rsid w:val="004E2C88"/>
    <w:rsid w:val="004E2E02"/>
    <w:rsid w:val="004E31A2"/>
    <w:rsid w:val="004E33E4"/>
    <w:rsid w:val="004E39E0"/>
    <w:rsid w:val="004E3DD6"/>
    <w:rsid w:val="004E4443"/>
    <w:rsid w:val="004E4520"/>
    <w:rsid w:val="004E4715"/>
    <w:rsid w:val="004E4733"/>
    <w:rsid w:val="004E4EE3"/>
    <w:rsid w:val="004E57D8"/>
    <w:rsid w:val="004E7D8D"/>
    <w:rsid w:val="004F0C8E"/>
    <w:rsid w:val="004F1301"/>
    <w:rsid w:val="004F1DA4"/>
    <w:rsid w:val="004F1F8E"/>
    <w:rsid w:val="004F254E"/>
    <w:rsid w:val="004F3121"/>
    <w:rsid w:val="004F344A"/>
    <w:rsid w:val="004F3706"/>
    <w:rsid w:val="004F3A4F"/>
    <w:rsid w:val="004F3C4D"/>
    <w:rsid w:val="004F3F4C"/>
    <w:rsid w:val="004F476A"/>
    <w:rsid w:val="004F4E46"/>
    <w:rsid w:val="004F50C0"/>
    <w:rsid w:val="004F5FE6"/>
    <w:rsid w:val="004F6469"/>
    <w:rsid w:val="004F661A"/>
    <w:rsid w:val="004F6B91"/>
    <w:rsid w:val="004F765E"/>
    <w:rsid w:val="004F7C29"/>
    <w:rsid w:val="00501285"/>
    <w:rsid w:val="005012C9"/>
    <w:rsid w:val="00501439"/>
    <w:rsid w:val="005014FF"/>
    <w:rsid w:val="005015D2"/>
    <w:rsid w:val="005016AB"/>
    <w:rsid w:val="0050199D"/>
    <w:rsid w:val="0050230D"/>
    <w:rsid w:val="00502BDF"/>
    <w:rsid w:val="00503C0B"/>
    <w:rsid w:val="005043D6"/>
    <w:rsid w:val="00504D69"/>
    <w:rsid w:val="00505394"/>
    <w:rsid w:val="005058B7"/>
    <w:rsid w:val="00505EB9"/>
    <w:rsid w:val="00505EC0"/>
    <w:rsid w:val="005064EF"/>
    <w:rsid w:val="00506525"/>
    <w:rsid w:val="00506865"/>
    <w:rsid w:val="00506D78"/>
    <w:rsid w:val="005072CB"/>
    <w:rsid w:val="005073D2"/>
    <w:rsid w:val="00507F4C"/>
    <w:rsid w:val="00510305"/>
    <w:rsid w:val="005103BA"/>
    <w:rsid w:val="0051119B"/>
    <w:rsid w:val="00511588"/>
    <w:rsid w:val="00511E12"/>
    <w:rsid w:val="005125A4"/>
    <w:rsid w:val="00512662"/>
    <w:rsid w:val="005131BD"/>
    <w:rsid w:val="00513A59"/>
    <w:rsid w:val="00513DCF"/>
    <w:rsid w:val="00514644"/>
    <w:rsid w:val="0051490E"/>
    <w:rsid w:val="00515EC9"/>
    <w:rsid w:val="00516412"/>
    <w:rsid w:val="005166B3"/>
    <w:rsid w:val="005166E9"/>
    <w:rsid w:val="00516CFC"/>
    <w:rsid w:val="00517A9B"/>
    <w:rsid w:val="00517DE3"/>
    <w:rsid w:val="00517FCB"/>
    <w:rsid w:val="005202DB"/>
    <w:rsid w:val="00520524"/>
    <w:rsid w:val="005206F6"/>
    <w:rsid w:val="0052096B"/>
    <w:rsid w:val="0052123B"/>
    <w:rsid w:val="0052130F"/>
    <w:rsid w:val="00521484"/>
    <w:rsid w:val="005214C7"/>
    <w:rsid w:val="00521719"/>
    <w:rsid w:val="005222FB"/>
    <w:rsid w:val="00522FA1"/>
    <w:rsid w:val="0052392E"/>
    <w:rsid w:val="00523BD3"/>
    <w:rsid w:val="00524FF8"/>
    <w:rsid w:val="00527B04"/>
    <w:rsid w:val="00527B81"/>
    <w:rsid w:val="00527C01"/>
    <w:rsid w:val="005305A0"/>
    <w:rsid w:val="00530C37"/>
    <w:rsid w:val="00531530"/>
    <w:rsid w:val="0053162F"/>
    <w:rsid w:val="00531F08"/>
    <w:rsid w:val="00531F0A"/>
    <w:rsid w:val="005327D4"/>
    <w:rsid w:val="00533F0C"/>
    <w:rsid w:val="00534FAB"/>
    <w:rsid w:val="005361ED"/>
    <w:rsid w:val="00540028"/>
    <w:rsid w:val="00540C48"/>
    <w:rsid w:val="00541359"/>
    <w:rsid w:val="00541546"/>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1B"/>
    <w:rsid w:val="00546BA9"/>
    <w:rsid w:val="00547557"/>
    <w:rsid w:val="005476AF"/>
    <w:rsid w:val="005476E4"/>
    <w:rsid w:val="00550362"/>
    <w:rsid w:val="005505A7"/>
    <w:rsid w:val="005513E4"/>
    <w:rsid w:val="00551477"/>
    <w:rsid w:val="00551DC9"/>
    <w:rsid w:val="005529C9"/>
    <w:rsid w:val="00553C68"/>
    <w:rsid w:val="005541F7"/>
    <w:rsid w:val="00554424"/>
    <w:rsid w:val="00554A2A"/>
    <w:rsid w:val="005555C2"/>
    <w:rsid w:val="0055588D"/>
    <w:rsid w:val="0055664E"/>
    <w:rsid w:val="00556CE8"/>
    <w:rsid w:val="00556EE0"/>
    <w:rsid w:val="0055702F"/>
    <w:rsid w:val="00557DBB"/>
    <w:rsid w:val="00560390"/>
    <w:rsid w:val="0056096D"/>
    <w:rsid w:val="00560BDD"/>
    <w:rsid w:val="00560C1E"/>
    <w:rsid w:val="00561703"/>
    <w:rsid w:val="0056185A"/>
    <w:rsid w:val="00561AD9"/>
    <w:rsid w:val="00561ECA"/>
    <w:rsid w:val="0056298E"/>
    <w:rsid w:val="00562E2A"/>
    <w:rsid w:val="00563F98"/>
    <w:rsid w:val="005673AA"/>
    <w:rsid w:val="00567644"/>
    <w:rsid w:val="00567C47"/>
    <w:rsid w:val="005705F4"/>
    <w:rsid w:val="00571AB0"/>
    <w:rsid w:val="0057273B"/>
    <w:rsid w:val="005736FF"/>
    <w:rsid w:val="00573E64"/>
    <w:rsid w:val="005747FA"/>
    <w:rsid w:val="005751AF"/>
    <w:rsid w:val="00575311"/>
    <w:rsid w:val="005754F4"/>
    <w:rsid w:val="00575B59"/>
    <w:rsid w:val="005775DF"/>
    <w:rsid w:val="00577604"/>
    <w:rsid w:val="00577C90"/>
    <w:rsid w:val="00577D10"/>
    <w:rsid w:val="0058066D"/>
    <w:rsid w:val="005808CC"/>
    <w:rsid w:val="00580AD5"/>
    <w:rsid w:val="00580B32"/>
    <w:rsid w:val="00581408"/>
    <w:rsid w:val="005816B3"/>
    <w:rsid w:val="00581CE4"/>
    <w:rsid w:val="0058277F"/>
    <w:rsid w:val="00582D23"/>
    <w:rsid w:val="00582D83"/>
    <w:rsid w:val="00584315"/>
    <w:rsid w:val="00584445"/>
    <w:rsid w:val="00584582"/>
    <w:rsid w:val="00584F5B"/>
    <w:rsid w:val="0058562C"/>
    <w:rsid w:val="00585BCC"/>
    <w:rsid w:val="00585DA0"/>
    <w:rsid w:val="0058695A"/>
    <w:rsid w:val="00586BE3"/>
    <w:rsid w:val="00586CDC"/>
    <w:rsid w:val="0058778D"/>
    <w:rsid w:val="00587E14"/>
    <w:rsid w:val="00591155"/>
    <w:rsid w:val="00591948"/>
    <w:rsid w:val="00591DA5"/>
    <w:rsid w:val="005921C8"/>
    <w:rsid w:val="00592E3C"/>
    <w:rsid w:val="005930E4"/>
    <w:rsid w:val="00594466"/>
    <w:rsid w:val="005948E2"/>
    <w:rsid w:val="00594BCE"/>
    <w:rsid w:val="00594E81"/>
    <w:rsid w:val="005975F3"/>
    <w:rsid w:val="00597791"/>
    <w:rsid w:val="005A1024"/>
    <w:rsid w:val="005A1239"/>
    <w:rsid w:val="005A1C4C"/>
    <w:rsid w:val="005A1E2E"/>
    <w:rsid w:val="005A240B"/>
    <w:rsid w:val="005A30EF"/>
    <w:rsid w:val="005A3244"/>
    <w:rsid w:val="005A3E40"/>
    <w:rsid w:val="005A5BF8"/>
    <w:rsid w:val="005A6550"/>
    <w:rsid w:val="005A67CC"/>
    <w:rsid w:val="005A7732"/>
    <w:rsid w:val="005A7899"/>
    <w:rsid w:val="005A7BA0"/>
    <w:rsid w:val="005B0C29"/>
    <w:rsid w:val="005B0E4A"/>
    <w:rsid w:val="005B1DBB"/>
    <w:rsid w:val="005B21F5"/>
    <w:rsid w:val="005B2319"/>
    <w:rsid w:val="005B2624"/>
    <w:rsid w:val="005B2ACC"/>
    <w:rsid w:val="005B3318"/>
    <w:rsid w:val="005B340D"/>
    <w:rsid w:val="005B3A7B"/>
    <w:rsid w:val="005B40CD"/>
    <w:rsid w:val="005B4267"/>
    <w:rsid w:val="005B44AF"/>
    <w:rsid w:val="005B465B"/>
    <w:rsid w:val="005B490A"/>
    <w:rsid w:val="005B5047"/>
    <w:rsid w:val="005B5217"/>
    <w:rsid w:val="005B5D7E"/>
    <w:rsid w:val="005B5DED"/>
    <w:rsid w:val="005B64DF"/>
    <w:rsid w:val="005B66F0"/>
    <w:rsid w:val="005B6DD1"/>
    <w:rsid w:val="005B7247"/>
    <w:rsid w:val="005B74E4"/>
    <w:rsid w:val="005B798F"/>
    <w:rsid w:val="005B79AF"/>
    <w:rsid w:val="005B7A3F"/>
    <w:rsid w:val="005B7C1F"/>
    <w:rsid w:val="005B7E35"/>
    <w:rsid w:val="005C0ACE"/>
    <w:rsid w:val="005C0C24"/>
    <w:rsid w:val="005C163B"/>
    <w:rsid w:val="005C1B88"/>
    <w:rsid w:val="005C1B97"/>
    <w:rsid w:val="005C1EBE"/>
    <w:rsid w:val="005C2D9C"/>
    <w:rsid w:val="005C32EB"/>
    <w:rsid w:val="005C39BD"/>
    <w:rsid w:val="005C3F84"/>
    <w:rsid w:val="005C51D9"/>
    <w:rsid w:val="005C5A21"/>
    <w:rsid w:val="005C60A1"/>
    <w:rsid w:val="005C7B66"/>
    <w:rsid w:val="005D08D1"/>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6ADC"/>
    <w:rsid w:val="005D705E"/>
    <w:rsid w:val="005D742B"/>
    <w:rsid w:val="005E0153"/>
    <w:rsid w:val="005E0406"/>
    <w:rsid w:val="005E0443"/>
    <w:rsid w:val="005E0578"/>
    <w:rsid w:val="005E08AC"/>
    <w:rsid w:val="005E1D60"/>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7763"/>
    <w:rsid w:val="005F01F8"/>
    <w:rsid w:val="005F0208"/>
    <w:rsid w:val="005F0555"/>
    <w:rsid w:val="005F0823"/>
    <w:rsid w:val="005F0890"/>
    <w:rsid w:val="005F117F"/>
    <w:rsid w:val="005F1BB5"/>
    <w:rsid w:val="005F2C38"/>
    <w:rsid w:val="005F392C"/>
    <w:rsid w:val="005F3B98"/>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794"/>
    <w:rsid w:val="00604993"/>
    <w:rsid w:val="00604997"/>
    <w:rsid w:val="0060553B"/>
    <w:rsid w:val="006066F8"/>
    <w:rsid w:val="00606F84"/>
    <w:rsid w:val="0060703A"/>
    <w:rsid w:val="0061001F"/>
    <w:rsid w:val="00610473"/>
    <w:rsid w:val="00610ACF"/>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1E1"/>
    <w:rsid w:val="006206AB"/>
    <w:rsid w:val="00621F03"/>
    <w:rsid w:val="00621F5D"/>
    <w:rsid w:val="00622AFD"/>
    <w:rsid w:val="00622CED"/>
    <w:rsid w:val="00624287"/>
    <w:rsid w:val="00624409"/>
    <w:rsid w:val="0062575C"/>
    <w:rsid w:val="00625D0B"/>
    <w:rsid w:val="00627BF1"/>
    <w:rsid w:val="00627FB2"/>
    <w:rsid w:val="006308C0"/>
    <w:rsid w:val="0063109C"/>
    <w:rsid w:val="006319DA"/>
    <w:rsid w:val="00631B11"/>
    <w:rsid w:val="006323F3"/>
    <w:rsid w:val="006325EA"/>
    <w:rsid w:val="00632834"/>
    <w:rsid w:val="00632CC0"/>
    <w:rsid w:val="006333D3"/>
    <w:rsid w:val="00633FA9"/>
    <w:rsid w:val="0063401C"/>
    <w:rsid w:val="006345AA"/>
    <w:rsid w:val="00634D8F"/>
    <w:rsid w:val="006351F3"/>
    <w:rsid w:val="00635488"/>
    <w:rsid w:val="00635DF9"/>
    <w:rsid w:val="006369CA"/>
    <w:rsid w:val="00636F6B"/>
    <w:rsid w:val="00637023"/>
    <w:rsid w:val="00637293"/>
    <w:rsid w:val="0064131B"/>
    <w:rsid w:val="0064205B"/>
    <w:rsid w:val="00642504"/>
    <w:rsid w:val="00642569"/>
    <w:rsid w:val="0064271F"/>
    <w:rsid w:val="00642896"/>
    <w:rsid w:val="00644114"/>
    <w:rsid w:val="006448CC"/>
    <w:rsid w:val="00644CD5"/>
    <w:rsid w:val="006455D3"/>
    <w:rsid w:val="00645BB7"/>
    <w:rsid w:val="00647012"/>
    <w:rsid w:val="00647840"/>
    <w:rsid w:val="00651D66"/>
    <w:rsid w:val="00652F9C"/>
    <w:rsid w:val="00654AEC"/>
    <w:rsid w:val="00654F20"/>
    <w:rsid w:val="006555F4"/>
    <w:rsid w:val="00655C15"/>
    <w:rsid w:val="00655D97"/>
    <w:rsid w:val="00655F5C"/>
    <w:rsid w:val="006563EC"/>
    <w:rsid w:val="006564EF"/>
    <w:rsid w:val="006566EA"/>
    <w:rsid w:val="00657233"/>
    <w:rsid w:val="006576DA"/>
    <w:rsid w:val="006608CF"/>
    <w:rsid w:val="00660F1E"/>
    <w:rsid w:val="00661489"/>
    <w:rsid w:val="0066171F"/>
    <w:rsid w:val="0066244A"/>
    <w:rsid w:val="006627C2"/>
    <w:rsid w:val="00662C7C"/>
    <w:rsid w:val="00663157"/>
    <w:rsid w:val="006634A1"/>
    <w:rsid w:val="00663BDF"/>
    <w:rsid w:val="00663CBD"/>
    <w:rsid w:val="00664130"/>
    <w:rsid w:val="00664535"/>
    <w:rsid w:val="00664DD2"/>
    <w:rsid w:val="00664EB6"/>
    <w:rsid w:val="00664F5B"/>
    <w:rsid w:val="006652DC"/>
    <w:rsid w:val="00665AE4"/>
    <w:rsid w:val="00665AE5"/>
    <w:rsid w:val="00665B5C"/>
    <w:rsid w:val="00665F2C"/>
    <w:rsid w:val="00666DD1"/>
    <w:rsid w:val="00666EE9"/>
    <w:rsid w:val="00670B59"/>
    <w:rsid w:val="006715CD"/>
    <w:rsid w:val="006719A8"/>
    <w:rsid w:val="00671C60"/>
    <w:rsid w:val="006720E5"/>
    <w:rsid w:val="00672A1D"/>
    <w:rsid w:val="00673223"/>
    <w:rsid w:val="0067371B"/>
    <w:rsid w:val="00674197"/>
    <w:rsid w:val="006742EC"/>
    <w:rsid w:val="00674751"/>
    <w:rsid w:val="00674B3E"/>
    <w:rsid w:val="0067517E"/>
    <w:rsid w:val="00675D9B"/>
    <w:rsid w:val="00676144"/>
    <w:rsid w:val="0067618A"/>
    <w:rsid w:val="00676A26"/>
    <w:rsid w:val="00676B2B"/>
    <w:rsid w:val="006807B1"/>
    <w:rsid w:val="00680814"/>
    <w:rsid w:val="0068096B"/>
    <w:rsid w:val="00680FE7"/>
    <w:rsid w:val="00682AA6"/>
    <w:rsid w:val="00682CE7"/>
    <w:rsid w:val="00682D11"/>
    <w:rsid w:val="00682D2D"/>
    <w:rsid w:val="00683E3C"/>
    <w:rsid w:val="00684930"/>
    <w:rsid w:val="00684B02"/>
    <w:rsid w:val="0068500B"/>
    <w:rsid w:val="0068515E"/>
    <w:rsid w:val="00685563"/>
    <w:rsid w:val="006858C8"/>
    <w:rsid w:val="006858C9"/>
    <w:rsid w:val="006862B7"/>
    <w:rsid w:val="0068649B"/>
    <w:rsid w:val="00686D54"/>
    <w:rsid w:val="00686F44"/>
    <w:rsid w:val="00686F4B"/>
    <w:rsid w:val="00687057"/>
    <w:rsid w:val="00687275"/>
    <w:rsid w:val="00690134"/>
    <w:rsid w:val="00690556"/>
    <w:rsid w:val="006906BA"/>
    <w:rsid w:val="0069071E"/>
    <w:rsid w:val="00691448"/>
    <w:rsid w:val="00691EEC"/>
    <w:rsid w:val="00691FCB"/>
    <w:rsid w:val="006927A4"/>
    <w:rsid w:val="006935EB"/>
    <w:rsid w:val="006954F3"/>
    <w:rsid w:val="00695DA1"/>
    <w:rsid w:val="00696EB2"/>
    <w:rsid w:val="00697643"/>
    <w:rsid w:val="006A1AAD"/>
    <w:rsid w:val="006A1BF5"/>
    <w:rsid w:val="006A1FF0"/>
    <w:rsid w:val="006A2FCE"/>
    <w:rsid w:val="006A2FEE"/>
    <w:rsid w:val="006A3237"/>
    <w:rsid w:val="006A426F"/>
    <w:rsid w:val="006A4644"/>
    <w:rsid w:val="006A46FC"/>
    <w:rsid w:val="006A4F88"/>
    <w:rsid w:val="006A5B43"/>
    <w:rsid w:val="006A5CED"/>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3672"/>
    <w:rsid w:val="006C367F"/>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550"/>
    <w:rsid w:val="006D4A01"/>
    <w:rsid w:val="006D4B57"/>
    <w:rsid w:val="006D5A9F"/>
    <w:rsid w:val="006D681E"/>
    <w:rsid w:val="006D6D8C"/>
    <w:rsid w:val="006D6FB2"/>
    <w:rsid w:val="006E0492"/>
    <w:rsid w:val="006E0A42"/>
    <w:rsid w:val="006E0C3C"/>
    <w:rsid w:val="006E1B89"/>
    <w:rsid w:val="006E1E0F"/>
    <w:rsid w:val="006E2AFD"/>
    <w:rsid w:val="006E37C2"/>
    <w:rsid w:val="006E3F9E"/>
    <w:rsid w:val="006E45FA"/>
    <w:rsid w:val="006E46CB"/>
    <w:rsid w:val="006E4CAE"/>
    <w:rsid w:val="006E540C"/>
    <w:rsid w:val="006E5AB6"/>
    <w:rsid w:val="006E5E40"/>
    <w:rsid w:val="006E5FDA"/>
    <w:rsid w:val="006E6163"/>
    <w:rsid w:val="006E65CF"/>
    <w:rsid w:val="006E770E"/>
    <w:rsid w:val="006E7B57"/>
    <w:rsid w:val="006E7C04"/>
    <w:rsid w:val="006F0487"/>
    <w:rsid w:val="006F06E2"/>
    <w:rsid w:val="006F0AFF"/>
    <w:rsid w:val="006F0C49"/>
    <w:rsid w:val="006F13B8"/>
    <w:rsid w:val="006F1EB0"/>
    <w:rsid w:val="006F1FE0"/>
    <w:rsid w:val="006F2910"/>
    <w:rsid w:val="006F2A62"/>
    <w:rsid w:val="006F2CF2"/>
    <w:rsid w:val="006F3B15"/>
    <w:rsid w:val="006F3EE3"/>
    <w:rsid w:val="006F43DE"/>
    <w:rsid w:val="006F4A4B"/>
    <w:rsid w:val="006F4B0A"/>
    <w:rsid w:val="006F553A"/>
    <w:rsid w:val="006F5E3F"/>
    <w:rsid w:val="006F686E"/>
    <w:rsid w:val="006F6878"/>
    <w:rsid w:val="006F7323"/>
    <w:rsid w:val="00700061"/>
    <w:rsid w:val="0070019B"/>
    <w:rsid w:val="007007A3"/>
    <w:rsid w:val="00700A43"/>
    <w:rsid w:val="00700D77"/>
    <w:rsid w:val="00701472"/>
    <w:rsid w:val="00701CF6"/>
    <w:rsid w:val="0070227A"/>
    <w:rsid w:val="007029E4"/>
    <w:rsid w:val="00703509"/>
    <w:rsid w:val="0070391C"/>
    <w:rsid w:val="00704177"/>
    <w:rsid w:val="00706EFF"/>
    <w:rsid w:val="00706F9A"/>
    <w:rsid w:val="0070706B"/>
    <w:rsid w:val="007075C2"/>
    <w:rsid w:val="007078DF"/>
    <w:rsid w:val="00707DAB"/>
    <w:rsid w:val="00707FBF"/>
    <w:rsid w:val="00710515"/>
    <w:rsid w:val="0071088A"/>
    <w:rsid w:val="00711365"/>
    <w:rsid w:val="00711595"/>
    <w:rsid w:val="00711BD0"/>
    <w:rsid w:val="00711DE6"/>
    <w:rsid w:val="007128B9"/>
    <w:rsid w:val="00712B19"/>
    <w:rsid w:val="00713564"/>
    <w:rsid w:val="007140CC"/>
    <w:rsid w:val="00714598"/>
    <w:rsid w:val="00714B07"/>
    <w:rsid w:val="00714DB8"/>
    <w:rsid w:val="0071512E"/>
    <w:rsid w:val="007152A9"/>
    <w:rsid w:val="00715D1C"/>
    <w:rsid w:val="007160EE"/>
    <w:rsid w:val="00716B4F"/>
    <w:rsid w:val="007176DC"/>
    <w:rsid w:val="00717920"/>
    <w:rsid w:val="00717AC1"/>
    <w:rsid w:val="00720007"/>
    <w:rsid w:val="00720440"/>
    <w:rsid w:val="00720445"/>
    <w:rsid w:val="007206EB"/>
    <w:rsid w:val="0072076B"/>
    <w:rsid w:val="00720E75"/>
    <w:rsid w:val="0072264B"/>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2AE8"/>
    <w:rsid w:val="0073555E"/>
    <w:rsid w:val="00736331"/>
    <w:rsid w:val="0073684F"/>
    <w:rsid w:val="007376BE"/>
    <w:rsid w:val="00740477"/>
    <w:rsid w:val="007404E2"/>
    <w:rsid w:val="00740AA5"/>
    <w:rsid w:val="00740D48"/>
    <w:rsid w:val="00740FB0"/>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2034"/>
    <w:rsid w:val="007547AC"/>
    <w:rsid w:val="00754B6C"/>
    <w:rsid w:val="00754C47"/>
    <w:rsid w:val="00754E8A"/>
    <w:rsid w:val="007552DD"/>
    <w:rsid w:val="00755498"/>
    <w:rsid w:val="00755996"/>
    <w:rsid w:val="0075627D"/>
    <w:rsid w:val="0075643D"/>
    <w:rsid w:val="00761C4F"/>
    <w:rsid w:val="00761E37"/>
    <w:rsid w:val="00761FF5"/>
    <w:rsid w:val="00762E16"/>
    <w:rsid w:val="00762EE8"/>
    <w:rsid w:val="00764942"/>
    <w:rsid w:val="00765C11"/>
    <w:rsid w:val="00765DD9"/>
    <w:rsid w:val="007664D7"/>
    <w:rsid w:val="007669F4"/>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105"/>
    <w:rsid w:val="00781B47"/>
    <w:rsid w:val="00781C01"/>
    <w:rsid w:val="00782240"/>
    <w:rsid w:val="00783051"/>
    <w:rsid w:val="00783A34"/>
    <w:rsid w:val="0078451D"/>
    <w:rsid w:val="00785333"/>
    <w:rsid w:val="00785756"/>
    <w:rsid w:val="00785ABF"/>
    <w:rsid w:val="00786417"/>
    <w:rsid w:val="00786865"/>
    <w:rsid w:val="0078691B"/>
    <w:rsid w:val="00786A7C"/>
    <w:rsid w:val="00786B6A"/>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3FF4"/>
    <w:rsid w:val="00794540"/>
    <w:rsid w:val="007948B6"/>
    <w:rsid w:val="00794D15"/>
    <w:rsid w:val="00795155"/>
    <w:rsid w:val="00795327"/>
    <w:rsid w:val="00795CE8"/>
    <w:rsid w:val="00796072"/>
    <w:rsid w:val="00797E2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AB0"/>
    <w:rsid w:val="007B5084"/>
    <w:rsid w:val="007B522C"/>
    <w:rsid w:val="007B5EE1"/>
    <w:rsid w:val="007B5F5D"/>
    <w:rsid w:val="007B66E4"/>
    <w:rsid w:val="007B708D"/>
    <w:rsid w:val="007B70CB"/>
    <w:rsid w:val="007C0DE3"/>
    <w:rsid w:val="007C0F00"/>
    <w:rsid w:val="007C2716"/>
    <w:rsid w:val="007C293B"/>
    <w:rsid w:val="007C2DE8"/>
    <w:rsid w:val="007C4977"/>
    <w:rsid w:val="007C4F2D"/>
    <w:rsid w:val="007C5D85"/>
    <w:rsid w:val="007C69F3"/>
    <w:rsid w:val="007C6BD3"/>
    <w:rsid w:val="007C6F3F"/>
    <w:rsid w:val="007C6FC9"/>
    <w:rsid w:val="007C72FD"/>
    <w:rsid w:val="007C784A"/>
    <w:rsid w:val="007C7CF1"/>
    <w:rsid w:val="007D0C67"/>
    <w:rsid w:val="007D3431"/>
    <w:rsid w:val="007D3A15"/>
    <w:rsid w:val="007D44FF"/>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2AC"/>
    <w:rsid w:val="007F13EA"/>
    <w:rsid w:val="007F2681"/>
    <w:rsid w:val="007F30E4"/>
    <w:rsid w:val="007F3E5E"/>
    <w:rsid w:val="007F4BF5"/>
    <w:rsid w:val="007F50E4"/>
    <w:rsid w:val="007F59FB"/>
    <w:rsid w:val="007F5B0B"/>
    <w:rsid w:val="007F60F7"/>
    <w:rsid w:val="007F6224"/>
    <w:rsid w:val="007F62D8"/>
    <w:rsid w:val="007F65A0"/>
    <w:rsid w:val="007F65EE"/>
    <w:rsid w:val="007F6997"/>
    <w:rsid w:val="007F6D72"/>
    <w:rsid w:val="007F6E3F"/>
    <w:rsid w:val="007F746F"/>
    <w:rsid w:val="008003F7"/>
    <w:rsid w:val="008005B2"/>
    <w:rsid w:val="008006A1"/>
    <w:rsid w:val="00800E26"/>
    <w:rsid w:val="008021CB"/>
    <w:rsid w:val="00802297"/>
    <w:rsid w:val="00803A46"/>
    <w:rsid w:val="00803BD9"/>
    <w:rsid w:val="00804795"/>
    <w:rsid w:val="008054E7"/>
    <w:rsid w:val="008078F5"/>
    <w:rsid w:val="0081016B"/>
    <w:rsid w:val="0081056B"/>
    <w:rsid w:val="00810A77"/>
    <w:rsid w:val="00810DB0"/>
    <w:rsid w:val="00811CE1"/>
    <w:rsid w:val="0081251D"/>
    <w:rsid w:val="00812E90"/>
    <w:rsid w:val="00812EB8"/>
    <w:rsid w:val="0081315F"/>
    <w:rsid w:val="0081378C"/>
    <w:rsid w:val="00813E3C"/>
    <w:rsid w:val="0081430C"/>
    <w:rsid w:val="00814523"/>
    <w:rsid w:val="00814ED3"/>
    <w:rsid w:val="008163C2"/>
    <w:rsid w:val="00817381"/>
    <w:rsid w:val="008178AD"/>
    <w:rsid w:val="00817F45"/>
    <w:rsid w:val="0082064C"/>
    <w:rsid w:val="008209AF"/>
    <w:rsid w:val="00820CBF"/>
    <w:rsid w:val="008212D6"/>
    <w:rsid w:val="008213CB"/>
    <w:rsid w:val="008227F6"/>
    <w:rsid w:val="00823E76"/>
    <w:rsid w:val="00824224"/>
    <w:rsid w:val="00824228"/>
    <w:rsid w:val="00825089"/>
    <w:rsid w:val="00825167"/>
    <w:rsid w:val="008252E0"/>
    <w:rsid w:val="00825490"/>
    <w:rsid w:val="00825DB0"/>
    <w:rsid w:val="00827262"/>
    <w:rsid w:val="00827343"/>
    <w:rsid w:val="0082756D"/>
    <w:rsid w:val="00830C46"/>
    <w:rsid w:val="00831586"/>
    <w:rsid w:val="00831927"/>
    <w:rsid w:val="00832677"/>
    <w:rsid w:val="00834083"/>
    <w:rsid w:val="0083435A"/>
    <w:rsid w:val="00834FDE"/>
    <w:rsid w:val="00836150"/>
    <w:rsid w:val="008366FA"/>
    <w:rsid w:val="00836C38"/>
    <w:rsid w:val="00837366"/>
    <w:rsid w:val="00837DB7"/>
    <w:rsid w:val="00837F23"/>
    <w:rsid w:val="00840B30"/>
    <w:rsid w:val="00840F49"/>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2F50"/>
    <w:rsid w:val="008530F0"/>
    <w:rsid w:val="00853A99"/>
    <w:rsid w:val="00853B32"/>
    <w:rsid w:val="008543B0"/>
    <w:rsid w:val="008549B7"/>
    <w:rsid w:val="00855223"/>
    <w:rsid w:val="008565A3"/>
    <w:rsid w:val="008567C4"/>
    <w:rsid w:val="00856AC4"/>
    <w:rsid w:val="00856F27"/>
    <w:rsid w:val="008600DD"/>
    <w:rsid w:val="008601F3"/>
    <w:rsid w:val="00860AAC"/>
    <w:rsid w:val="00861367"/>
    <w:rsid w:val="00861DF4"/>
    <w:rsid w:val="008629E3"/>
    <w:rsid w:val="00863035"/>
    <w:rsid w:val="00864290"/>
    <w:rsid w:val="00864675"/>
    <w:rsid w:val="00865289"/>
    <w:rsid w:val="0086539A"/>
    <w:rsid w:val="008654A5"/>
    <w:rsid w:val="0086565A"/>
    <w:rsid w:val="00865EAF"/>
    <w:rsid w:val="008667F9"/>
    <w:rsid w:val="00867028"/>
    <w:rsid w:val="00870435"/>
    <w:rsid w:val="00870482"/>
    <w:rsid w:val="008709B2"/>
    <w:rsid w:val="0087148E"/>
    <w:rsid w:val="0087181A"/>
    <w:rsid w:val="008718CE"/>
    <w:rsid w:val="00872A2E"/>
    <w:rsid w:val="00872EB0"/>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F43"/>
    <w:rsid w:val="00884147"/>
    <w:rsid w:val="00884584"/>
    <w:rsid w:val="00884698"/>
    <w:rsid w:val="008846CC"/>
    <w:rsid w:val="00885738"/>
    <w:rsid w:val="00885B2E"/>
    <w:rsid w:val="008865AF"/>
    <w:rsid w:val="008865D4"/>
    <w:rsid w:val="008868BD"/>
    <w:rsid w:val="00886956"/>
    <w:rsid w:val="008872FF"/>
    <w:rsid w:val="0088733C"/>
    <w:rsid w:val="00887D5E"/>
    <w:rsid w:val="00890288"/>
    <w:rsid w:val="00890ACF"/>
    <w:rsid w:val="00890C03"/>
    <w:rsid w:val="00890DF3"/>
    <w:rsid w:val="00891077"/>
    <w:rsid w:val="00891152"/>
    <w:rsid w:val="00891603"/>
    <w:rsid w:val="00891639"/>
    <w:rsid w:val="00891ABA"/>
    <w:rsid w:val="00891E32"/>
    <w:rsid w:val="00894283"/>
    <w:rsid w:val="00894ABA"/>
    <w:rsid w:val="00895518"/>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F53"/>
    <w:rsid w:val="008B0399"/>
    <w:rsid w:val="008B084E"/>
    <w:rsid w:val="008B0927"/>
    <w:rsid w:val="008B128D"/>
    <w:rsid w:val="008B1706"/>
    <w:rsid w:val="008B240D"/>
    <w:rsid w:val="008B2E64"/>
    <w:rsid w:val="008B37B5"/>
    <w:rsid w:val="008B39F1"/>
    <w:rsid w:val="008B471D"/>
    <w:rsid w:val="008B4885"/>
    <w:rsid w:val="008B48E1"/>
    <w:rsid w:val="008B4B00"/>
    <w:rsid w:val="008B5AE5"/>
    <w:rsid w:val="008B5F26"/>
    <w:rsid w:val="008B5FB8"/>
    <w:rsid w:val="008B6AD0"/>
    <w:rsid w:val="008B6F5D"/>
    <w:rsid w:val="008B78EC"/>
    <w:rsid w:val="008C01EC"/>
    <w:rsid w:val="008C0407"/>
    <w:rsid w:val="008C0435"/>
    <w:rsid w:val="008C07D4"/>
    <w:rsid w:val="008C21C8"/>
    <w:rsid w:val="008C2431"/>
    <w:rsid w:val="008C281E"/>
    <w:rsid w:val="008C2C2D"/>
    <w:rsid w:val="008C2F29"/>
    <w:rsid w:val="008C336A"/>
    <w:rsid w:val="008C3586"/>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18B7"/>
    <w:rsid w:val="008D1E83"/>
    <w:rsid w:val="008D3955"/>
    <w:rsid w:val="008D3D19"/>
    <w:rsid w:val="008D3D31"/>
    <w:rsid w:val="008D425D"/>
    <w:rsid w:val="008D5861"/>
    <w:rsid w:val="008D5ED6"/>
    <w:rsid w:val="008D6328"/>
    <w:rsid w:val="008D6826"/>
    <w:rsid w:val="008D69DA"/>
    <w:rsid w:val="008D6B72"/>
    <w:rsid w:val="008D6D85"/>
    <w:rsid w:val="008D6FF3"/>
    <w:rsid w:val="008D7290"/>
    <w:rsid w:val="008D792A"/>
    <w:rsid w:val="008E021C"/>
    <w:rsid w:val="008E0328"/>
    <w:rsid w:val="008E143A"/>
    <w:rsid w:val="008E14D4"/>
    <w:rsid w:val="008E259C"/>
    <w:rsid w:val="008E2B6C"/>
    <w:rsid w:val="008E3044"/>
    <w:rsid w:val="008E31F0"/>
    <w:rsid w:val="008E3C1B"/>
    <w:rsid w:val="008E5275"/>
    <w:rsid w:val="008E6310"/>
    <w:rsid w:val="008E6AF7"/>
    <w:rsid w:val="008E751A"/>
    <w:rsid w:val="008E78EC"/>
    <w:rsid w:val="008E7F63"/>
    <w:rsid w:val="008F128E"/>
    <w:rsid w:val="008F13B8"/>
    <w:rsid w:val="008F1626"/>
    <w:rsid w:val="008F1A35"/>
    <w:rsid w:val="008F1AFB"/>
    <w:rsid w:val="008F1BBE"/>
    <w:rsid w:val="008F21F4"/>
    <w:rsid w:val="008F25DB"/>
    <w:rsid w:val="008F2DF3"/>
    <w:rsid w:val="008F3FB1"/>
    <w:rsid w:val="008F4044"/>
    <w:rsid w:val="008F4556"/>
    <w:rsid w:val="008F46B0"/>
    <w:rsid w:val="008F5454"/>
    <w:rsid w:val="008F58A3"/>
    <w:rsid w:val="008F58C0"/>
    <w:rsid w:val="008F6506"/>
    <w:rsid w:val="008F6DCB"/>
    <w:rsid w:val="009000C5"/>
    <w:rsid w:val="009003D1"/>
    <w:rsid w:val="0090047A"/>
    <w:rsid w:val="009005BA"/>
    <w:rsid w:val="009005BE"/>
    <w:rsid w:val="00900804"/>
    <w:rsid w:val="00901F13"/>
    <w:rsid w:val="00902220"/>
    <w:rsid w:val="0090255B"/>
    <w:rsid w:val="00902C59"/>
    <w:rsid w:val="00902E05"/>
    <w:rsid w:val="00903A9A"/>
    <w:rsid w:val="009045A7"/>
    <w:rsid w:val="009046D2"/>
    <w:rsid w:val="009051B5"/>
    <w:rsid w:val="0090539E"/>
    <w:rsid w:val="009055D2"/>
    <w:rsid w:val="0090564E"/>
    <w:rsid w:val="00905A7D"/>
    <w:rsid w:val="00905B00"/>
    <w:rsid w:val="00907A42"/>
    <w:rsid w:val="00907BCA"/>
    <w:rsid w:val="009112C0"/>
    <w:rsid w:val="0091175B"/>
    <w:rsid w:val="009120C5"/>
    <w:rsid w:val="009126FC"/>
    <w:rsid w:val="009131D6"/>
    <w:rsid w:val="0091357B"/>
    <w:rsid w:val="009137AE"/>
    <w:rsid w:val="009139EB"/>
    <w:rsid w:val="009156AA"/>
    <w:rsid w:val="00915EC1"/>
    <w:rsid w:val="0091679F"/>
    <w:rsid w:val="00916FED"/>
    <w:rsid w:val="00920E25"/>
    <w:rsid w:val="00921377"/>
    <w:rsid w:val="00921F2A"/>
    <w:rsid w:val="009221B9"/>
    <w:rsid w:val="00922290"/>
    <w:rsid w:val="009225FD"/>
    <w:rsid w:val="0092260C"/>
    <w:rsid w:val="00922A97"/>
    <w:rsid w:val="00922DAC"/>
    <w:rsid w:val="009231EF"/>
    <w:rsid w:val="009238F5"/>
    <w:rsid w:val="00925726"/>
    <w:rsid w:val="00927532"/>
    <w:rsid w:val="00927786"/>
    <w:rsid w:val="00927DA4"/>
    <w:rsid w:val="0093064D"/>
    <w:rsid w:val="0093187A"/>
    <w:rsid w:val="00931ECA"/>
    <w:rsid w:val="009323AA"/>
    <w:rsid w:val="00932526"/>
    <w:rsid w:val="00932618"/>
    <w:rsid w:val="0093261A"/>
    <w:rsid w:val="00933173"/>
    <w:rsid w:val="00933320"/>
    <w:rsid w:val="0093361C"/>
    <w:rsid w:val="00933695"/>
    <w:rsid w:val="00933CC4"/>
    <w:rsid w:val="00934298"/>
    <w:rsid w:val="00935A61"/>
    <w:rsid w:val="00935AFB"/>
    <w:rsid w:val="0093610E"/>
    <w:rsid w:val="00936618"/>
    <w:rsid w:val="009371A8"/>
    <w:rsid w:val="009371C2"/>
    <w:rsid w:val="00937FEE"/>
    <w:rsid w:val="00940DB6"/>
    <w:rsid w:val="0094124A"/>
    <w:rsid w:val="009415E3"/>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35BC"/>
    <w:rsid w:val="00954A4F"/>
    <w:rsid w:val="00954AEA"/>
    <w:rsid w:val="00954B6A"/>
    <w:rsid w:val="00955D9C"/>
    <w:rsid w:val="00957C19"/>
    <w:rsid w:val="009607D1"/>
    <w:rsid w:val="00960C10"/>
    <w:rsid w:val="00960C59"/>
    <w:rsid w:val="00961EE7"/>
    <w:rsid w:val="00963B35"/>
    <w:rsid w:val="0096404E"/>
    <w:rsid w:val="009643D7"/>
    <w:rsid w:val="00964451"/>
    <w:rsid w:val="009647C4"/>
    <w:rsid w:val="00964802"/>
    <w:rsid w:val="0096562C"/>
    <w:rsid w:val="00965833"/>
    <w:rsid w:val="00966DD9"/>
    <w:rsid w:val="00967793"/>
    <w:rsid w:val="00967C74"/>
    <w:rsid w:val="00967CF2"/>
    <w:rsid w:val="00967DC6"/>
    <w:rsid w:val="00970450"/>
    <w:rsid w:val="00970E9F"/>
    <w:rsid w:val="0097135B"/>
    <w:rsid w:val="00971A05"/>
    <w:rsid w:val="00971EDF"/>
    <w:rsid w:val="00972F68"/>
    <w:rsid w:val="009738E8"/>
    <w:rsid w:val="00974287"/>
    <w:rsid w:val="00975AB0"/>
    <w:rsid w:val="00976684"/>
    <w:rsid w:val="009768EB"/>
    <w:rsid w:val="00976DCA"/>
    <w:rsid w:val="00977044"/>
    <w:rsid w:val="00977993"/>
    <w:rsid w:val="00977AE4"/>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816"/>
    <w:rsid w:val="00990F2A"/>
    <w:rsid w:val="00991020"/>
    <w:rsid w:val="00992A26"/>
    <w:rsid w:val="00992AEC"/>
    <w:rsid w:val="00993135"/>
    <w:rsid w:val="00993B34"/>
    <w:rsid w:val="00993B8D"/>
    <w:rsid w:val="00993F80"/>
    <w:rsid w:val="0099526A"/>
    <w:rsid w:val="009959E4"/>
    <w:rsid w:val="00996384"/>
    <w:rsid w:val="0099649F"/>
    <w:rsid w:val="00996A34"/>
    <w:rsid w:val="009976AB"/>
    <w:rsid w:val="00997727"/>
    <w:rsid w:val="009A0F3F"/>
    <w:rsid w:val="009A1518"/>
    <w:rsid w:val="009A15DC"/>
    <w:rsid w:val="009A17F3"/>
    <w:rsid w:val="009A1FED"/>
    <w:rsid w:val="009A2272"/>
    <w:rsid w:val="009A23E8"/>
    <w:rsid w:val="009A283F"/>
    <w:rsid w:val="009A2B11"/>
    <w:rsid w:val="009A2BCE"/>
    <w:rsid w:val="009A2CD7"/>
    <w:rsid w:val="009A2F92"/>
    <w:rsid w:val="009A3015"/>
    <w:rsid w:val="009A32FD"/>
    <w:rsid w:val="009A33AE"/>
    <w:rsid w:val="009A389B"/>
    <w:rsid w:val="009A488E"/>
    <w:rsid w:val="009A4FD8"/>
    <w:rsid w:val="009A5035"/>
    <w:rsid w:val="009A60B2"/>
    <w:rsid w:val="009A66C7"/>
    <w:rsid w:val="009A6861"/>
    <w:rsid w:val="009A6ABD"/>
    <w:rsid w:val="009B0643"/>
    <w:rsid w:val="009B0664"/>
    <w:rsid w:val="009B0704"/>
    <w:rsid w:val="009B11FE"/>
    <w:rsid w:val="009B1670"/>
    <w:rsid w:val="009B1837"/>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425"/>
    <w:rsid w:val="009B767D"/>
    <w:rsid w:val="009B7AAF"/>
    <w:rsid w:val="009B7CA3"/>
    <w:rsid w:val="009B7DFF"/>
    <w:rsid w:val="009C0A8A"/>
    <w:rsid w:val="009C16F3"/>
    <w:rsid w:val="009C1DF4"/>
    <w:rsid w:val="009C1F4C"/>
    <w:rsid w:val="009C209B"/>
    <w:rsid w:val="009C2542"/>
    <w:rsid w:val="009C4B39"/>
    <w:rsid w:val="009C5E41"/>
    <w:rsid w:val="009C5E92"/>
    <w:rsid w:val="009C5F4F"/>
    <w:rsid w:val="009C614A"/>
    <w:rsid w:val="009C693C"/>
    <w:rsid w:val="009C6CB9"/>
    <w:rsid w:val="009C6FFE"/>
    <w:rsid w:val="009C7281"/>
    <w:rsid w:val="009C7310"/>
    <w:rsid w:val="009C76DD"/>
    <w:rsid w:val="009C7D6E"/>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D75D2"/>
    <w:rsid w:val="009E000C"/>
    <w:rsid w:val="009E01B0"/>
    <w:rsid w:val="009E0462"/>
    <w:rsid w:val="009E069B"/>
    <w:rsid w:val="009E0C18"/>
    <w:rsid w:val="009E1141"/>
    <w:rsid w:val="009E1B17"/>
    <w:rsid w:val="009E20F0"/>
    <w:rsid w:val="009E237C"/>
    <w:rsid w:val="009E2B59"/>
    <w:rsid w:val="009E3F73"/>
    <w:rsid w:val="009E3FFD"/>
    <w:rsid w:val="009E4183"/>
    <w:rsid w:val="009E5878"/>
    <w:rsid w:val="009E63BE"/>
    <w:rsid w:val="009E79F8"/>
    <w:rsid w:val="009F108F"/>
    <w:rsid w:val="009F14D6"/>
    <w:rsid w:val="009F1BCD"/>
    <w:rsid w:val="009F2796"/>
    <w:rsid w:val="009F3275"/>
    <w:rsid w:val="009F32A4"/>
    <w:rsid w:val="009F3416"/>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1D61"/>
    <w:rsid w:val="00A0253A"/>
    <w:rsid w:val="00A02FD6"/>
    <w:rsid w:val="00A03192"/>
    <w:rsid w:val="00A03610"/>
    <w:rsid w:val="00A03C78"/>
    <w:rsid w:val="00A043F8"/>
    <w:rsid w:val="00A0451C"/>
    <w:rsid w:val="00A04690"/>
    <w:rsid w:val="00A04D99"/>
    <w:rsid w:val="00A05440"/>
    <w:rsid w:val="00A0595D"/>
    <w:rsid w:val="00A07155"/>
    <w:rsid w:val="00A07F9A"/>
    <w:rsid w:val="00A10CA3"/>
    <w:rsid w:val="00A11227"/>
    <w:rsid w:val="00A11579"/>
    <w:rsid w:val="00A11BEA"/>
    <w:rsid w:val="00A11D5A"/>
    <w:rsid w:val="00A125DA"/>
    <w:rsid w:val="00A129D6"/>
    <w:rsid w:val="00A131B0"/>
    <w:rsid w:val="00A13472"/>
    <w:rsid w:val="00A13792"/>
    <w:rsid w:val="00A13943"/>
    <w:rsid w:val="00A149D5"/>
    <w:rsid w:val="00A14D22"/>
    <w:rsid w:val="00A15B14"/>
    <w:rsid w:val="00A15B83"/>
    <w:rsid w:val="00A16C83"/>
    <w:rsid w:val="00A16CE4"/>
    <w:rsid w:val="00A16ED2"/>
    <w:rsid w:val="00A1744B"/>
    <w:rsid w:val="00A17864"/>
    <w:rsid w:val="00A17C99"/>
    <w:rsid w:val="00A17E8B"/>
    <w:rsid w:val="00A17F45"/>
    <w:rsid w:val="00A20206"/>
    <w:rsid w:val="00A2111E"/>
    <w:rsid w:val="00A21BF1"/>
    <w:rsid w:val="00A222FF"/>
    <w:rsid w:val="00A2281D"/>
    <w:rsid w:val="00A23078"/>
    <w:rsid w:val="00A2319B"/>
    <w:rsid w:val="00A238E3"/>
    <w:rsid w:val="00A248E8"/>
    <w:rsid w:val="00A2531C"/>
    <w:rsid w:val="00A258C2"/>
    <w:rsid w:val="00A25960"/>
    <w:rsid w:val="00A261D0"/>
    <w:rsid w:val="00A2624A"/>
    <w:rsid w:val="00A2635E"/>
    <w:rsid w:val="00A263E1"/>
    <w:rsid w:val="00A271CD"/>
    <w:rsid w:val="00A2776F"/>
    <w:rsid w:val="00A27E5E"/>
    <w:rsid w:val="00A301D0"/>
    <w:rsid w:val="00A30E69"/>
    <w:rsid w:val="00A3187C"/>
    <w:rsid w:val="00A322EC"/>
    <w:rsid w:val="00A32886"/>
    <w:rsid w:val="00A32F19"/>
    <w:rsid w:val="00A335E0"/>
    <w:rsid w:val="00A33D0D"/>
    <w:rsid w:val="00A353FF"/>
    <w:rsid w:val="00A35972"/>
    <w:rsid w:val="00A3631A"/>
    <w:rsid w:val="00A366ED"/>
    <w:rsid w:val="00A3692C"/>
    <w:rsid w:val="00A36E9A"/>
    <w:rsid w:val="00A3766D"/>
    <w:rsid w:val="00A4054E"/>
    <w:rsid w:val="00A413AD"/>
    <w:rsid w:val="00A41701"/>
    <w:rsid w:val="00A418E1"/>
    <w:rsid w:val="00A41E3F"/>
    <w:rsid w:val="00A421C4"/>
    <w:rsid w:val="00A42958"/>
    <w:rsid w:val="00A43F26"/>
    <w:rsid w:val="00A443D3"/>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20E5"/>
    <w:rsid w:val="00A52314"/>
    <w:rsid w:val="00A52FD2"/>
    <w:rsid w:val="00A5360F"/>
    <w:rsid w:val="00A53BE5"/>
    <w:rsid w:val="00A542A9"/>
    <w:rsid w:val="00A54938"/>
    <w:rsid w:val="00A54B34"/>
    <w:rsid w:val="00A55105"/>
    <w:rsid w:val="00A553A7"/>
    <w:rsid w:val="00A5543E"/>
    <w:rsid w:val="00A556FA"/>
    <w:rsid w:val="00A56BDA"/>
    <w:rsid w:val="00A56D65"/>
    <w:rsid w:val="00A57B01"/>
    <w:rsid w:val="00A57EF5"/>
    <w:rsid w:val="00A60B0B"/>
    <w:rsid w:val="00A60BC7"/>
    <w:rsid w:val="00A62612"/>
    <w:rsid w:val="00A62A36"/>
    <w:rsid w:val="00A62AF3"/>
    <w:rsid w:val="00A62BC4"/>
    <w:rsid w:val="00A62FAE"/>
    <w:rsid w:val="00A6358C"/>
    <w:rsid w:val="00A63BF3"/>
    <w:rsid w:val="00A63DF2"/>
    <w:rsid w:val="00A63E29"/>
    <w:rsid w:val="00A644AB"/>
    <w:rsid w:val="00A64635"/>
    <w:rsid w:val="00A64D41"/>
    <w:rsid w:val="00A64EA8"/>
    <w:rsid w:val="00A65639"/>
    <w:rsid w:val="00A656B3"/>
    <w:rsid w:val="00A65AD4"/>
    <w:rsid w:val="00A66C0E"/>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126"/>
    <w:rsid w:val="00A753D1"/>
    <w:rsid w:val="00A75759"/>
    <w:rsid w:val="00A76C04"/>
    <w:rsid w:val="00A8012C"/>
    <w:rsid w:val="00A806AE"/>
    <w:rsid w:val="00A80795"/>
    <w:rsid w:val="00A80811"/>
    <w:rsid w:val="00A80AFE"/>
    <w:rsid w:val="00A812D0"/>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C30"/>
    <w:rsid w:val="00A86DDE"/>
    <w:rsid w:val="00A87E23"/>
    <w:rsid w:val="00A91A3C"/>
    <w:rsid w:val="00A91B82"/>
    <w:rsid w:val="00A9252F"/>
    <w:rsid w:val="00A92EC3"/>
    <w:rsid w:val="00A946B0"/>
    <w:rsid w:val="00A94F7B"/>
    <w:rsid w:val="00A9568F"/>
    <w:rsid w:val="00A95888"/>
    <w:rsid w:val="00A96648"/>
    <w:rsid w:val="00AA0454"/>
    <w:rsid w:val="00AA22AB"/>
    <w:rsid w:val="00AA282C"/>
    <w:rsid w:val="00AA311B"/>
    <w:rsid w:val="00AA3361"/>
    <w:rsid w:val="00AA3C2F"/>
    <w:rsid w:val="00AA3D06"/>
    <w:rsid w:val="00AA45E1"/>
    <w:rsid w:val="00AA5386"/>
    <w:rsid w:val="00AA6DB3"/>
    <w:rsid w:val="00AA77A2"/>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BBB"/>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B99"/>
    <w:rsid w:val="00AC6E6A"/>
    <w:rsid w:val="00AC6EA9"/>
    <w:rsid w:val="00AC6F0C"/>
    <w:rsid w:val="00AC7CFF"/>
    <w:rsid w:val="00AD0B94"/>
    <w:rsid w:val="00AD12EC"/>
    <w:rsid w:val="00AD2CA8"/>
    <w:rsid w:val="00AD317C"/>
    <w:rsid w:val="00AD3354"/>
    <w:rsid w:val="00AD3F4B"/>
    <w:rsid w:val="00AD45CE"/>
    <w:rsid w:val="00AD66BF"/>
    <w:rsid w:val="00AD68B0"/>
    <w:rsid w:val="00AD6B02"/>
    <w:rsid w:val="00AD72FC"/>
    <w:rsid w:val="00AE1107"/>
    <w:rsid w:val="00AE1217"/>
    <w:rsid w:val="00AE191D"/>
    <w:rsid w:val="00AE1F15"/>
    <w:rsid w:val="00AE3B3E"/>
    <w:rsid w:val="00AE3E0B"/>
    <w:rsid w:val="00AE4A43"/>
    <w:rsid w:val="00AE4C77"/>
    <w:rsid w:val="00AE576C"/>
    <w:rsid w:val="00AE5CEF"/>
    <w:rsid w:val="00AE5E70"/>
    <w:rsid w:val="00AE79DF"/>
    <w:rsid w:val="00AE7C28"/>
    <w:rsid w:val="00AF056D"/>
    <w:rsid w:val="00AF059E"/>
    <w:rsid w:val="00AF0CDE"/>
    <w:rsid w:val="00AF2142"/>
    <w:rsid w:val="00AF2259"/>
    <w:rsid w:val="00AF2A80"/>
    <w:rsid w:val="00AF2D9E"/>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212"/>
    <w:rsid w:val="00B17442"/>
    <w:rsid w:val="00B174F7"/>
    <w:rsid w:val="00B17611"/>
    <w:rsid w:val="00B178E0"/>
    <w:rsid w:val="00B20568"/>
    <w:rsid w:val="00B20803"/>
    <w:rsid w:val="00B20D46"/>
    <w:rsid w:val="00B213E9"/>
    <w:rsid w:val="00B215E7"/>
    <w:rsid w:val="00B21A75"/>
    <w:rsid w:val="00B21CD6"/>
    <w:rsid w:val="00B21F3D"/>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30443"/>
    <w:rsid w:val="00B30E5C"/>
    <w:rsid w:val="00B311B8"/>
    <w:rsid w:val="00B313D9"/>
    <w:rsid w:val="00B31512"/>
    <w:rsid w:val="00B31558"/>
    <w:rsid w:val="00B316E1"/>
    <w:rsid w:val="00B31BBA"/>
    <w:rsid w:val="00B3255A"/>
    <w:rsid w:val="00B343CA"/>
    <w:rsid w:val="00B34F97"/>
    <w:rsid w:val="00B350E3"/>
    <w:rsid w:val="00B3539E"/>
    <w:rsid w:val="00B353FE"/>
    <w:rsid w:val="00B3542E"/>
    <w:rsid w:val="00B359BF"/>
    <w:rsid w:val="00B365B2"/>
    <w:rsid w:val="00B365D8"/>
    <w:rsid w:val="00B36B1D"/>
    <w:rsid w:val="00B36D0E"/>
    <w:rsid w:val="00B3755C"/>
    <w:rsid w:val="00B3780B"/>
    <w:rsid w:val="00B4039A"/>
    <w:rsid w:val="00B4040D"/>
    <w:rsid w:val="00B404AA"/>
    <w:rsid w:val="00B40746"/>
    <w:rsid w:val="00B41247"/>
    <w:rsid w:val="00B4186F"/>
    <w:rsid w:val="00B42381"/>
    <w:rsid w:val="00B42754"/>
    <w:rsid w:val="00B427DD"/>
    <w:rsid w:val="00B42E48"/>
    <w:rsid w:val="00B4399A"/>
    <w:rsid w:val="00B43BB5"/>
    <w:rsid w:val="00B440E7"/>
    <w:rsid w:val="00B45B27"/>
    <w:rsid w:val="00B4655F"/>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5647"/>
    <w:rsid w:val="00B662D4"/>
    <w:rsid w:val="00B671BE"/>
    <w:rsid w:val="00B671EB"/>
    <w:rsid w:val="00B67612"/>
    <w:rsid w:val="00B67724"/>
    <w:rsid w:val="00B67D8D"/>
    <w:rsid w:val="00B7050D"/>
    <w:rsid w:val="00B707F0"/>
    <w:rsid w:val="00B70996"/>
    <w:rsid w:val="00B70A4D"/>
    <w:rsid w:val="00B71243"/>
    <w:rsid w:val="00B715A3"/>
    <w:rsid w:val="00B71BA9"/>
    <w:rsid w:val="00B7235B"/>
    <w:rsid w:val="00B72394"/>
    <w:rsid w:val="00B728B3"/>
    <w:rsid w:val="00B72A6A"/>
    <w:rsid w:val="00B73389"/>
    <w:rsid w:val="00B73B5C"/>
    <w:rsid w:val="00B745EF"/>
    <w:rsid w:val="00B74996"/>
    <w:rsid w:val="00B74BED"/>
    <w:rsid w:val="00B7534B"/>
    <w:rsid w:val="00B76558"/>
    <w:rsid w:val="00B76996"/>
    <w:rsid w:val="00B8051B"/>
    <w:rsid w:val="00B80BFE"/>
    <w:rsid w:val="00B81DD9"/>
    <w:rsid w:val="00B82A0B"/>
    <w:rsid w:val="00B82AA2"/>
    <w:rsid w:val="00B830CC"/>
    <w:rsid w:val="00B832F6"/>
    <w:rsid w:val="00B842EF"/>
    <w:rsid w:val="00B849F6"/>
    <w:rsid w:val="00B84C44"/>
    <w:rsid w:val="00B853A1"/>
    <w:rsid w:val="00B85F3F"/>
    <w:rsid w:val="00B861C7"/>
    <w:rsid w:val="00B87315"/>
    <w:rsid w:val="00B873D4"/>
    <w:rsid w:val="00B87E5B"/>
    <w:rsid w:val="00B903BF"/>
    <w:rsid w:val="00B90A1B"/>
    <w:rsid w:val="00B91AF9"/>
    <w:rsid w:val="00B91C73"/>
    <w:rsid w:val="00B92321"/>
    <w:rsid w:val="00B92643"/>
    <w:rsid w:val="00B92B1C"/>
    <w:rsid w:val="00B92B9C"/>
    <w:rsid w:val="00B95E60"/>
    <w:rsid w:val="00B961C5"/>
    <w:rsid w:val="00B96421"/>
    <w:rsid w:val="00B96921"/>
    <w:rsid w:val="00B97193"/>
    <w:rsid w:val="00B971FB"/>
    <w:rsid w:val="00B9762F"/>
    <w:rsid w:val="00B978BC"/>
    <w:rsid w:val="00B97C45"/>
    <w:rsid w:val="00BA049C"/>
    <w:rsid w:val="00BA0DEA"/>
    <w:rsid w:val="00BA1064"/>
    <w:rsid w:val="00BA1623"/>
    <w:rsid w:val="00BA173F"/>
    <w:rsid w:val="00BA1D45"/>
    <w:rsid w:val="00BA2965"/>
    <w:rsid w:val="00BA2C5D"/>
    <w:rsid w:val="00BA3264"/>
    <w:rsid w:val="00BA3F1B"/>
    <w:rsid w:val="00BA467C"/>
    <w:rsid w:val="00BA4844"/>
    <w:rsid w:val="00BA5051"/>
    <w:rsid w:val="00BA5D4F"/>
    <w:rsid w:val="00BA6807"/>
    <w:rsid w:val="00BA76C6"/>
    <w:rsid w:val="00BB00FC"/>
    <w:rsid w:val="00BB086B"/>
    <w:rsid w:val="00BB15F8"/>
    <w:rsid w:val="00BB18D4"/>
    <w:rsid w:val="00BB2274"/>
    <w:rsid w:val="00BB3595"/>
    <w:rsid w:val="00BB3B60"/>
    <w:rsid w:val="00BB3E23"/>
    <w:rsid w:val="00BB48D1"/>
    <w:rsid w:val="00BB49D7"/>
    <w:rsid w:val="00BB4F5C"/>
    <w:rsid w:val="00BB53B0"/>
    <w:rsid w:val="00BB5809"/>
    <w:rsid w:val="00BB5A2B"/>
    <w:rsid w:val="00BB7007"/>
    <w:rsid w:val="00BB746E"/>
    <w:rsid w:val="00BB797A"/>
    <w:rsid w:val="00BC05AA"/>
    <w:rsid w:val="00BC07C7"/>
    <w:rsid w:val="00BC0A59"/>
    <w:rsid w:val="00BC0B92"/>
    <w:rsid w:val="00BC0BC8"/>
    <w:rsid w:val="00BC11A4"/>
    <w:rsid w:val="00BC151E"/>
    <w:rsid w:val="00BC1784"/>
    <w:rsid w:val="00BC1CD5"/>
    <w:rsid w:val="00BC1FA5"/>
    <w:rsid w:val="00BC3CEC"/>
    <w:rsid w:val="00BC4BBA"/>
    <w:rsid w:val="00BC4EE9"/>
    <w:rsid w:val="00BC4F71"/>
    <w:rsid w:val="00BC5A3B"/>
    <w:rsid w:val="00BC5E31"/>
    <w:rsid w:val="00BD03F4"/>
    <w:rsid w:val="00BD07EE"/>
    <w:rsid w:val="00BD0E8A"/>
    <w:rsid w:val="00BD0FAC"/>
    <w:rsid w:val="00BD1050"/>
    <w:rsid w:val="00BD2CF9"/>
    <w:rsid w:val="00BD2E18"/>
    <w:rsid w:val="00BD317F"/>
    <w:rsid w:val="00BD31AA"/>
    <w:rsid w:val="00BD3E77"/>
    <w:rsid w:val="00BD40F6"/>
    <w:rsid w:val="00BD422C"/>
    <w:rsid w:val="00BD4C64"/>
    <w:rsid w:val="00BD4CF1"/>
    <w:rsid w:val="00BD582C"/>
    <w:rsid w:val="00BD5A58"/>
    <w:rsid w:val="00BD6074"/>
    <w:rsid w:val="00BD64BD"/>
    <w:rsid w:val="00BD6568"/>
    <w:rsid w:val="00BD6709"/>
    <w:rsid w:val="00BD6E66"/>
    <w:rsid w:val="00BD7678"/>
    <w:rsid w:val="00BD7DC8"/>
    <w:rsid w:val="00BE0297"/>
    <w:rsid w:val="00BE0334"/>
    <w:rsid w:val="00BE043A"/>
    <w:rsid w:val="00BE05C8"/>
    <w:rsid w:val="00BE0EFA"/>
    <w:rsid w:val="00BE0F32"/>
    <w:rsid w:val="00BE12D7"/>
    <w:rsid w:val="00BE2053"/>
    <w:rsid w:val="00BE254D"/>
    <w:rsid w:val="00BE257C"/>
    <w:rsid w:val="00BE26E9"/>
    <w:rsid w:val="00BE2DB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BE"/>
    <w:rsid w:val="00BF60F9"/>
    <w:rsid w:val="00BF622A"/>
    <w:rsid w:val="00BF6693"/>
    <w:rsid w:val="00BF6AF7"/>
    <w:rsid w:val="00C01132"/>
    <w:rsid w:val="00C0144C"/>
    <w:rsid w:val="00C01970"/>
    <w:rsid w:val="00C01A9B"/>
    <w:rsid w:val="00C01AAB"/>
    <w:rsid w:val="00C0217D"/>
    <w:rsid w:val="00C02369"/>
    <w:rsid w:val="00C026E4"/>
    <w:rsid w:val="00C02A5E"/>
    <w:rsid w:val="00C02D8E"/>
    <w:rsid w:val="00C03412"/>
    <w:rsid w:val="00C03B95"/>
    <w:rsid w:val="00C03CC3"/>
    <w:rsid w:val="00C0459C"/>
    <w:rsid w:val="00C046B3"/>
    <w:rsid w:val="00C04838"/>
    <w:rsid w:val="00C048DA"/>
    <w:rsid w:val="00C048E1"/>
    <w:rsid w:val="00C0662C"/>
    <w:rsid w:val="00C067FD"/>
    <w:rsid w:val="00C06BB4"/>
    <w:rsid w:val="00C0730A"/>
    <w:rsid w:val="00C104D9"/>
    <w:rsid w:val="00C10706"/>
    <w:rsid w:val="00C10F3F"/>
    <w:rsid w:val="00C10F59"/>
    <w:rsid w:val="00C11DA8"/>
    <w:rsid w:val="00C120E4"/>
    <w:rsid w:val="00C12A8A"/>
    <w:rsid w:val="00C136B3"/>
    <w:rsid w:val="00C13AB1"/>
    <w:rsid w:val="00C14041"/>
    <w:rsid w:val="00C1415C"/>
    <w:rsid w:val="00C14580"/>
    <w:rsid w:val="00C14587"/>
    <w:rsid w:val="00C14B89"/>
    <w:rsid w:val="00C14EA9"/>
    <w:rsid w:val="00C157A9"/>
    <w:rsid w:val="00C1700D"/>
    <w:rsid w:val="00C17086"/>
    <w:rsid w:val="00C17371"/>
    <w:rsid w:val="00C177D0"/>
    <w:rsid w:val="00C17E84"/>
    <w:rsid w:val="00C207C0"/>
    <w:rsid w:val="00C20F8D"/>
    <w:rsid w:val="00C2131A"/>
    <w:rsid w:val="00C220A2"/>
    <w:rsid w:val="00C23382"/>
    <w:rsid w:val="00C23811"/>
    <w:rsid w:val="00C23CDC"/>
    <w:rsid w:val="00C24023"/>
    <w:rsid w:val="00C24A56"/>
    <w:rsid w:val="00C25064"/>
    <w:rsid w:val="00C266D8"/>
    <w:rsid w:val="00C26C69"/>
    <w:rsid w:val="00C2775B"/>
    <w:rsid w:val="00C3009D"/>
    <w:rsid w:val="00C30149"/>
    <w:rsid w:val="00C309C9"/>
    <w:rsid w:val="00C30D9C"/>
    <w:rsid w:val="00C31896"/>
    <w:rsid w:val="00C31AE3"/>
    <w:rsid w:val="00C33DBA"/>
    <w:rsid w:val="00C349A7"/>
    <w:rsid w:val="00C3511A"/>
    <w:rsid w:val="00C35B29"/>
    <w:rsid w:val="00C35F15"/>
    <w:rsid w:val="00C3650D"/>
    <w:rsid w:val="00C369C0"/>
    <w:rsid w:val="00C37A7C"/>
    <w:rsid w:val="00C40328"/>
    <w:rsid w:val="00C40B61"/>
    <w:rsid w:val="00C40F76"/>
    <w:rsid w:val="00C412D7"/>
    <w:rsid w:val="00C4204E"/>
    <w:rsid w:val="00C425F1"/>
    <w:rsid w:val="00C4276D"/>
    <w:rsid w:val="00C428BE"/>
    <w:rsid w:val="00C4323F"/>
    <w:rsid w:val="00C433B4"/>
    <w:rsid w:val="00C43814"/>
    <w:rsid w:val="00C43A2F"/>
    <w:rsid w:val="00C44348"/>
    <w:rsid w:val="00C45A54"/>
    <w:rsid w:val="00C45B86"/>
    <w:rsid w:val="00C45FDE"/>
    <w:rsid w:val="00C45FF0"/>
    <w:rsid w:val="00C462B2"/>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6BC"/>
    <w:rsid w:val="00C56776"/>
    <w:rsid w:val="00C56E17"/>
    <w:rsid w:val="00C57757"/>
    <w:rsid w:val="00C57A08"/>
    <w:rsid w:val="00C60A60"/>
    <w:rsid w:val="00C60EF2"/>
    <w:rsid w:val="00C6122C"/>
    <w:rsid w:val="00C61466"/>
    <w:rsid w:val="00C61A90"/>
    <w:rsid w:val="00C61D34"/>
    <w:rsid w:val="00C62EAE"/>
    <w:rsid w:val="00C63B40"/>
    <w:rsid w:val="00C64452"/>
    <w:rsid w:val="00C644EB"/>
    <w:rsid w:val="00C647B9"/>
    <w:rsid w:val="00C65281"/>
    <w:rsid w:val="00C656FE"/>
    <w:rsid w:val="00C6635C"/>
    <w:rsid w:val="00C66459"/>
    <w:rsid w:val="00C66AE2"/>
    <w:rsid w:val="00C66F96"/>
    <w:rsid w:val="00C67467"/>
    <w:rsid w:val="00C676A1"/>
    <w:rsid w:val="00C7029F"/>
    <w:rsid w:val="00C70BB7"/>
    <w:rsid w:val="00C710C8"/>
    <w:rsid w:val="00C718D9"/>
    <w:rsid w:val="00C7234E"/>
    <w:rsid w:val="00C7256F"/>
    <w:rsid w:val="00C72BA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919"/>
    <w:rsid w:val="00C81B97"/>
    <w:rsid w:val="00C81C9F"/>
    <w:rsid w:val="00C8222B"/>
    <w:rsid w:val="00C825CF"/>
    <w:rsid w:val="00C82F39"/>
    <w:rsid w:val="00C83EFB"/>
    <w:rsid w:val="00C83F76"/>
    <w:rsid w:val="00C851C3"/>
    <w:rsid w:val="00C85389"/>
    <w:rsid w:val="00C85A46"/>
    <w:rsid w:val="00C85D3E"/>
    <w:rsid w:val="00C86F7D"/>
    <w:rsid w:val="00C871B2"/>
    <w:rsid w:val="00C90971"/>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97A4B"/>
    <w:rsid w:val="00CA1A88"/>
    <w:rsid w:val="00CA2DAF"/>
    <w:rsid w:val="00CA2F0C"/>
    <w:rsid w:val="00CA39C2"/>
    <w:rsid w:val="00CA3DE3"/>
    <w:rsid w:val="00CA4382"/>
    <w:rsid w:val="00CA4482"/>
    <w:rsid w:val="00CA48B9"/>
    <w:rsid w:val="00CA4AF9"/>
    <w:rsid w:val="00CA4BC5"/>
    <w:rsid w:val="00CA4DAF"/>
    <w:rsid w:val="00CA5C27"/>
    <w:rsid w:val="00CA60AF"/>
    <w:rsid w:val="00CA6D9C"/>
    <w:rsid w:val="00CA7BAA"/>
    <w:rsid w:val="00CA7D10"/>
    <w:rsid w:val="00CB0162"/>
    <w:rsid w:val="00CB1A5F"/>
    <w:rsid w:val="00CB1B31"/>
    <w:rsid w:val="00CB203D"/>
    <w:rsid w:val="00CB24E6"/>
    <w:rsid w:val="00CB3197"/>
    <w:rsid w:val="00CB33D9"/>
    <w:rsid w:val="00CB37BB"/>
    <w:rsid w:val="00CB37FB"/>
    <w:rsid w:val="00CB3F82"/>
    <w:rsid w:val="00CB4599"/>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CE6"/>
    <w:rsid w:val="00CD4D8D"/>
    <w:rsid w:val="00CD5B02"/>
    <w:rsid w:val="00CD5FBC"/>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7B"/>
    <w:rsid w:val="00CE73DB"/>
    <w:rsid w:val="00CE7E82"/>
    <w:rsid w:val="00CF0A66"/>
    <w:rsid w:val="00CF0BE6"/>
    <w:rsid w:val="00CF0D66"/>
    <w:rsid w:val="00CF1694"/>
    <w:rsid w:val="00CF1D3A"/>
    <w:rsid w:val="00CF1D83"/>
    <w:rsid w:val="00CF275E"/>
    <w:rsid w:val="00CF2AEF"/>
    <w:rsid w:val="00CF3997"/>
    <w:rsid w:val="00CF3FA4"/>
    <w:rsid w:val="00CF46B7"/>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5DC"/>
    <w:rsid w:val="00D02725"/>
    <w:rsid w:val="00D036E0"/>
    <w:rsid w:val="00D037E7"/>
    <w:rsid w:val="00D03865"/>
    <w:rsid w:val="00D03A34"/>
    <w:rsid w:val="00D0413C"/>
    <w:rsid w:val="00D047FA"/>
    <w:rsid w:val="00D048D1"/>
    <w:rsid w:val="00D04EBA"/>
    <w:rsid w:val="00D06288"/>
    <w:rsid w:val="00D066EC"/>
    <w:rsid w:val="00D06CD3"/>
    <w:rsid w:val="00D06E47"/>
    <w:rsid w:val="00D06F41"/>
    <w:rsid w:val="00D072EF"/>
    <w:rsid w:val="00D07864"/>
    <w:rsid w:val="00D07D21"/>
    <w:rsid w:val="00D103E7"/>
    <w:rsid w:val="00D10FC3"/>
    <w:rsid w:val="00D111D6"/>
    <w:rsid w:val="00D11230"/>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539A"/>
    <w:rsid w:val="00D2547E"/>
    <w:rsid w:val="00D25E35"/>
    <w:rsid w:val="00D26011"/>
    <w:rsid w:val="00D266E9"/>
    <w:rsid w:val="00D26BE4"/>
    <w:rsid w:val="00D26C69"/>
    <w:rsid w:val="00D26F0F"/>
    <w:rsid w:val="00D27103"/>
    <w:rsid w:val="00D3053A"/>
    <w:rsid w:val="00D3149E"/>
    <w:rsid w:val="00D314B1"/>
    <w:rsid w:val="00D318BF"/>
    <w:rsid w:val="00D31DAD"/>
    <w:rsid w:val="00D320C9"/>
    <w:rsid w:val="00D3295B"/>
    <w:rsid w:val="00D33035"/>
    <w:rsid w:val="00D333E5"/>
    <w:rsid w:val="00D339EB"/>
    <w:rsid w:val="00D33D34"/>
    <w:rsid w:val="00D349FF"/>
    <w:rsid w:val="00D34C87"/>
    <w:rsid w:val="00D35159"/>
    <w:rsid w:val="00D3550D"/>
    <w:rsid w:val="00D35867"/>
    <w:rsid w:val="00D35D37"/>
    <w:rsid w:val="00D35E24"/>
    <w:rsid w:val="00D3629C"/>
    <w:rsid w:val="00D363C6"/>
    <w:rsid w:val="00D365E0"/>
    <w:rsid w:val="00D36638"/>
    <w:rsid w:val="00D37449"/>
    <w:rsid w:val="00D404BF"/>
    <w:rsid w:val="00D409DD"/>
    <w:rsid w:val="00D40DA1"/>
    <w:rsid w:val="00D41054"/>
    <w:rsid w:val="00D411BC"/>
    <w:rsid w:val="00D4142C"/>
    <w:rsid w:val="00D41B43"/>
    <w:rsid w:val="00D424BE"/>
    <w:rsid w:val="00D45E51"/>
    <w:rsid w:val="00D4717C"/>
    <w:rsid w:val="00D47C6A"/>
    <w:rsid w:val="00D50988"/>
    <w:rsid w:val="00D50B30"/>
    <w:rsid w:val="00D51074"/>
    <w:rsid w:val="00D511FF"/>
    <w:rsid w:val="00D5131F"/>
    <w:rsid w:val="00D51531"/>
    <w:rsid w:val="00D5190B"/>
    <w:rsid w:val="00D51FDA"/>
    <w:rsid w:val="00D5386E"/>
    <w:rsid w:val="00D53BD4"/>
    <w:rsid w:val="00D53C80"/>
    <w:rsid w:val="00D53E64"/>
    <w:rsid w:val="00D548D9"/>
    <w:rsid w:val="00D54E5A"/>
    <w:rsid w:val="00D5532C"/>
    <w:rsid w:val="00D55821"/>
    <w:rsid w:val="00D55C1D"/>
    <w:rsid w:val="00D55E7F"/>
    <w:rsid w:val="00D56228"/>
    <w:rsid w:val="00D562E5"/>
    <w:rsid w:val="00D567C7"/>
    <w:rsid w:val="00D574FA"/>
    <w:rsid w:val="00D600BA"/>
    <w:rsid w:val="00D6051A"/>
    <w:rsid w:val="00D6078D"/>
    <w:rsid w:val="00D620EC"/>
    <w:rsid w:val="00D62A1A"/>
    <w:rsid w:val="00D63319"/>
    <w:rsid w:val="00D63AC5"/>
    <w:rsid w:val="00D65422"/>
    <w:rsid w:val="00D660E6"/>
    <w:rsid w:val="00D66549"/>
    <w:rsid w:val="00D6674B"/>
    <w:rsid w:val="00D66B95"/>
    <w:rsid w:val="00D67E74"/>
    <w:rsid w:val="00D7007B"/>
    <w:rsid w:val="00D70230"/>
    <w:rsid w:val="00D702FF"/>
    <w:rsid w:val="00D705C4"/>
    <w:rsid w:val="00D70B1C"/>
    <w:rsid w:val="00D70B3E"/>
    <w:rsid w:val="00D70DF2"/>
    <w:rsid w:val="00D70ECD"/>
    <w:rsid w:val="00D719B9"/>
    <w:rsid w:val="00D71D03"/>
    <w:rsid w:val="00D7289A"/>
    <w:rsid w:val="00D72C28"/>
    <w:rsid w:val="00D7423B"/>
    <w:rsid w:val="00D744E1"/>
    <w:rsid w:val="00D74D3B"/>
    <w:rsid w:val="00D74D4F"/>
    <w:rsid w:val="00D7516C"/>
    <w:rsid w:val="00D75E6D"/>
    <w:rsid w:val="00D75FA5"/>
    <w:rsid w:val="00D76C53"/>
    <w:rsid w:val="00D82FA5"/>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2FBE"/>
    <w:rsid w:val="00D948D1"/>
    <w:rsid w:val="00D94D03"/>
    <w:rsid w:val="00D9567B"/>
    <w:rsid w:val="00D95EF2"/>
    <w:rsid w:val="00D9734A"/>
    <w:rsid w:val="00DA0836"/>
    <w:rsid w:val="00DA08B9"/>
    <w:rsid w:val="00DA0A1D"/>
    <w:rsid w:val="00DA1235"/>
    <w:rsid w:val="00DA1E96"/>
    <w:rsid w:val="00DA217B"/>
    <w:rsid w:val="00DA3388"/>
    <w:rsid w:val="00DA351D"/>
    <w:rsid w:val="00DA3706"/>
    <w:rsid w:val="00DA430B"/>
    <w:rsid w:val="00DA5063"/>
    <w:rsid w:val="00DA5437"/>
    <w:rsid w:val="00DA5A7B"/>
    <w:rsid w:val="00DA7533"/>
    <w:rsid w:val="00DA767D"/>
    <w:rsid w:val="00DA792E"/>
    <w:rsid w:val="00DB0546"/>
    <w:rsid w:val="00DB0CB1"/>
    <w:rsid w:val="00DB162A"/>
    <w:rsid w:val="00DB173D"/>
    <w:rsid w:val="00DB1FC3"/>
    <w:rsid w:val="00DB2252"/>
    <w:rsid w:val="00DB30F0"/>
    <w:rsid w:val="00DB3B32"/>
    <w:rsid w:val="00DB3EC4"/>
    <w:rsid w:val="00DB44C1"/>
    <w:rsid w:val="00DB4622"/>
    <w:rsid w:val="00DB47D2"/>
    <w:rsid w:val="00DB58CC"/>
    <w:rsid w:val="00DB7DE1"/>
    <w:rsid w:val="00DB7DE2"/>
    <w:rsid w:val="00DC099E"/>
    <w:rsid w:val="00DC0A39"/>
    <w:rsid w:val="00DC18E1"/>
    <w:rsid w:val="00DC259E"/>
    <w:rsid w:val="00DC26D6"/>
    <w:rsid w:val="00DC2796"/>
    <w:rsid w:val="00DC2E59"/>
    <w:rsid w:val="00DC2EB5"/>
    <w:rsid w:val="00DC3935"/>
    <w:rsid w:val="00DC492A"/>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5400"/>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9A9"/>
    <w:rsid w:val="00DE5FEA"/>
    <w:rsid w:val="00DE6C28"/>
    <w:rsid w:val="00DE6DC2"/>
    <w:rsid w:val="00DF0230"/>
    <w:rsid w:val="00DF05D0"/>
    <w:rsid w:val="00DF0738"/>
    <w:rsid w:val="00DF07A8"/>
    <w:rsid w:val="00DF0950"/>
    <w:rsid w:val="00DF0C53"/>
    <w:rsid w:val="00DF11BE"/>
    <w:rsid w:val="00DF15C8"/>
    <w:rsid w:val="00DF1B64"/>
    <w:rsid w:val="00DF1FBC"/>
    <w:rsid w:val="00DF28BF"/>
    <w:rsid w:val="00DF3DD2"/>
    <w:rsid w:val="00DF4013"/>
    <w:rsid w:val="00DF435F"/>
    <w:rsid w:val="00DF45A8"/>
    <w:rsid w:val="00DF48A0"/>
    <w:rsid w:val="00DF4C4D"/>
    <w:rsid w:val="00DF4CDA"/>
    <w:rsid w:val="00DF5531"/>
    <w:rsid w:val="00DF5994"/>
    <w:rsid w:val="00DF5A1D"/>
    <w:rsid w:val="00DF5B5E"/>
    <w:rsid w:val="00DF5F19"/>
    <w:rsid w:val="00DF674F"/>
    <w:rsid w:val="00DF6E35"/>
    <w:rsid w:val="00DF765E"/>
    <w:rsid w:val="00DF7853"/>
    <w:rsid w:val="00DF7B10"/>
    <w:rsid w:val="00DF7E20"/>
    <w:rsid w:val="00E005D0"/>
    <w:rsid w:val="00E00B40"/>
    <w:rsid w:val="00E017FA"/>
    <w:rsid w:val="00E01D8D"/>
    <w:rsid w:val="00E021A7"/>
    <w:rsid w:val="00E03EB5"/>
    <w:rsid w:val="00E04408"/>
    <w:rsid w:val="00E045AB"/>
    <w:rsid w:val="00E04741"/>
    <w:rsid w:val="00E05427"/>
    <w:rsid w:val="00E05E21"/>
    <w:rsid w:val="00E0767B"/>
    <w:rsid w:val="00E07D2C"/>
    <w:rsid w:val="00E112DD"/>
    <w:rsid w:val="00E11478"/>
    <w:rsid w:val="00E1163E"/>
    <w:rsid w:val="00E11721"/>
    <w:rsid w:val="00E11BD1"/>
    <w:rsid w:val="00E11C5D"/>
    <w:rsid w:val="00E11D9D"/>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4786"/>
    <w:rsid w:val="00E25490"/>
    <w:rsid w:val="00E255AE"/>
    <w:rsid w:val="00E261D8"/>
    <w:rsid w:val="00E27969"/>
    <w:rsid w:val="00E27B88"/>
    <w:rsid w:val="00E27C60"/>
    <w:rsid w:val="00E30CB5"/>
    <w:rsid w:val="00E30DA2"/>
    <w:rsid w:val="00E31FC7"/>
    <w:rsid w:val="00E31FD9"/>
    <w:rsid w:val="00E3293B"/>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3049"/>
    <w:rsid w:val="00E633B2"/>
    <w:rsid w:val="00E63D55"/>
    <w:rsid w:val="00E64772"/>
    <w:rsid w:val="00E647FB"/>
    <w:rsid w:val="00E64E24"/>
    <w:rsid w:val="00E64FAC"/>
    <w:rsid w:val="00E650F6"/>
    <w:rsid w:val="00E65979"/>
    <w:rsid w:val="00E65A11"/>
    <w:rsid w:val="00E66663"/>
    <w:rsid w:val="00E6686C"/>
    <w:rsid w:val="00E66E69"/>
    <w:rsid w:val="00E675FD"/>
    <w:rsid w:val="00E67A82"/>
    <w:rsid w:val="00E67D92"/>
    <w:rsid w:val="00E70450"/>
    <w:rsid w:val="00E70877"/>
    <w:rsid w:val="00E70906"/>
    <w:rsid w:val="00E70A05"/>
    <w:rsid w:val="00E70B62"/>
    <w:rsid w:val="00E70B64"/>
    <w:rsid w:val="00E70E33"/>
    <w:rsid w:val="00E721AB"/>
    <w:rsid w:val="00E72D1E"/>
    <w:rsid w:val="00E735E6"/>
    <w:rsid w:val="00E738A5"/>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253"/>
    <w:rsid w:val="00E81AE3"/>
    <w:rsid w:val="00E81C17"/>
    <w:rsid w:val="00E83241"/>
    <w:rsid w:val="00E8361D"/>
    <w:rsid w:val="00E844EE"/>
    <w:rsid w:val="00E853D5"/>
    <w:rsid w:val="00E858C4"/>
    <w:rsid w:val="00E862BB"/>
    <w:rsid w:val="00E863C4"/>
    <w:rsid w:val="00E8650C"/>
    <w:rsid w:val="00E86ACF"/>
    <w:rsid w:val="00E86BF7"/>
    <w:rsid w:val="00E8702D"/>
    <w:rsid w:val="00E905CD"/>
    <w:rsid w:val="00E90617"/>
    <w:rsid w:val="00E906B1"/>
    <w:rsid w:val="00E907D2"/>
    <w:rsid w:val="00E9099D"/>
    <w:rsid w:val="00E90B21"/>
    <w:rsid w:val="00E91030"/>
    <w:rsid w:val="00E9121B"/>
    <w:rsid w:val="00E91E18"/>
    <w:rsid w:val="00E9212C"/>
    <w:rsid w:val="00E926CD"/>
    <w:rsid w:val="00E92C52"/>
    <w:rsid w:val="00E93A0C"/>
    <w:rsid w:val="00E93A23"/>
    <w:rsid w:val="00E9452F"/>
    <w:rsid w:val="00E94BA8"/>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336"/>
    <w:rsid w:val="00EA545D"/>
    <w:rsid w:val="00EA5B14"/>
    <w:rsid w:val="00EA5D04"/>
    <w:rsid w:val="00EA67B0"/>
    <w:rsid w:val="00EA6ADD"/>
    <w:rsid w:val="00EA6E19"/>
    <w:rsid w:val="00EA7F02"/>
    <w:rsid w:val="00EA7F72"/>
    <w:rsid w:val="00EB0506"/>
    <w:rsid w:val="00EB12F6"/>
    <w:rsid w:val="00EB200E"/>
    <w:rsid w:val="00EB2172"/>
    <w:rsid w:val="00EB2BDB"/>
    <w:rsid w:val="00EB3A59"/>
    <w:rsid w:val="00EB3ECE"/>
    <w:rsid w:val="00EB42D0"/>
    <w:rsid w:val="00EB4551"/>
    <w:rsid w:val="00EB45D6"/>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70C4"/>
    <w:rsid w:val="00EC71A5"/>
    <w:rsid w:val="00EC724B"/>
    <w:rsid w:val="00EC7673"/>
    <w:rsid w:val="00ED04E0"/>
    <w:rsid w:val="00ED04E9"/>
    <w:rsid w:val="00ED08D9"/>
    <w:rsid w:val="00ED0F3E"/>
    <w:rsid w:val="00ED2A07"/>
    <w:rsid w:val="00ED2F42"/>
    <w:rsid w:val="00ED3640"/>
    <w:rsid w:val="00ED3CF3"/>
    <w:rsid w:val="00ED3D0C"/>
    <w:rsid w:val="00ED4922"/>
    <w:rsid w:val="00ED4B29"/>
    <w:rsid w:val="00ED5065"/>
    <w:rsid w:val="00ED5489"/>
    <w:rsid w:val="00ED570E"/>
    <w:rsid w:val="00ED58D4"/>
    <w:rsid w:val="00ED58D9"/>
    <w:rsid w:val="00ED5C8B"/>
    <w:rsid w:val="00ED74F5"/>
    <w:rsid w:val="00ED7A90"/>
    <w:rsid w:val="00EE081F"/>
    <w:rsid w:val="00EE0C47"/>
    <w:rsid w:val="00EE199E"/>
    <w:rsid w:val="00EE19F1"/>
    <w:rsid w:val="00EE1B00"/>
    <w:rsid w:val="00EE1D7C"/>
    <w:rsid w:val="00EE1EB7"/>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933"/>
    <w:rsid w:val="00EF1BE7"/>
    <w:rsid w:val="00EF1F1B"/>
    <w:rsid w:val="00EF1F80"/>
    <w:rsid w:val="00EF20D2"/>
    <w:rsid w:val="00EF20F9"/>
    <w:rsid w:val="00EF27FF"/>
    <w:rsid w:val="00EF2819"/>
    <w:rsid w:val="00EF307B"/>
    <w:rsid w:val="00EF30D2"/>
    <w:rsid w:val="00EF328F"/>
    <w:rsid w:val="00EF36AE"/>
    <w:rsid w:val="00EF37DF"/>
    <w:rsid w:val="00EF3FC8"/>
    <w:rsid w:val="00EF49BD"/>
    <w:rsid w:val="00EF5092"/>
    <w:rsid w:val="00EF524B"/>
    <w:rsid w:val="00EF54A6"/>
    <w:rsid w:val="00EF5755"/>
    <w:rsid w:val="00EF5924"/>
    <w:rsid w:val="00EF63FA"/>
    <w:rsid w:val="00EF68AD"/>
    <w:rsid w:val="00EF7132"/>
    <w:rsid w:val="00EF7315"/>
    <w:rsid w:val="00EF7D70"/>
    <w:rsid w:val="00F0090F"/>
    <w:rsid w:val="00F0093D"/>
    <w:rsid w:val="00F00C41"/>
    <w:rsid w:val="00F00C88"/>
    <w:rsid w:val="00F00E06"/>
    <w:rsid w:val="00F01053"/>
    <w:rsid w:val="00F017AD"/>
    <w:rsid w:val="00F01A26"/>
    <w:rsid w:val="00F01B08"/>
    <w:rsid w:val="00F033C5"/>
    <w:rsid w:val="00F03DF9"/>
    <w:rsid w:val="00F03F95"/>
    <w:rsid w:val="00F04A62"/>
    <w:rsid w:val="00F04BCD"/>
    <w:rsid w:val="00F05426"/>
    <w:rsid w:val="00F0570D"/>
    <w:rsid w:val="00F05B0B"/>
    <w:rsid w:val="00F05C6B"/>
    <w:rsid w:val="00F06274"/>
    <w:rsid w:val="00F068D6"/>
    <w:rsid w:val="00F0738F"/>
    <w:rsid w:val="00F10275"/>
    <w:rsid w:val="00F10417"/>
    <w:rsid w:val="00F1105C"/>
    <w:rsid w:val="00F119C9"/>
    <w:rsid w:val="00F11DEB"/>
    <w:rsid w:val="00F12A45"/>
    <w:rsid w:val="00F132A7"/>
    <w:rsid w:val="00F14708"/>
    <w:rsid w:val="00F14A55"/>
    <w:rsid w:val="00F14D28"/>
    <w:rsid w:val="00F14F2A"/>
    <w:rsid w:val="00F154F0"/>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52F9"/>
    <w:rsid w:val="00F25362"/>
    <w:rsid w:val="00F25791"/>
    <w:rsid w:val="00F259BE"/>
    <w:rsid w:val="00F266EE"/>
    <w:rsid w:val="00F277B7"/>
    <w:rsid w:val="00F30006"/>
    <w:rsid w:val="00F31894"/>
    <w:rsid w:val="00F31AFF"/>
    <w:rsid w:val="00F31CE1"/>
    <w:rsid w:val="00F32167"/>
    <w:rsid w:val="00F32536"/>
    <w:rsid w:val="00F32E6B"/>
    <w:rsid w:val="00F331DC"/>
    <w:rsid w:val="00F334C1"/>
    <w:rsid w:val="00F335CE"/>
    <w:rsid w:val="00F337D9"/>
    <w:rsid w:val="00F33886"/>
    <w:rsid w:val="00F33DD7"/>
    <w:rsid w:val="00F3412B"/>
    <w:rsid w:val="00F34D83"/>
    <w:rsid w:val="00F34F1F"/>
    <w:rsid w:val="00F35124"/>
    <w:rsid w:val="00F35321"/>
    <w:rsid w:val="00F35A59"/>
    <w:rsid w:val="00F35A66"/>
    <w:rsid w:val="00F35DE2"/>
    <w:rsid w:val="00F36912"/>
    <w:rsid w:val="00F36FFF"/>
    <w:rsid w:val="00F37110"/>
    <w:rsid w:val="00F372D4"/>
    <w:rsid w:val="00F37881"/>
    <w:rsid w:val="00F4027D"/>
    <w:rsid w:val="00F40536"/>
    <w:rsid w:val="00F409FA"/>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9B7"/>
    <w:rsid w:val="00F47A1B"/>
    <w:rsid w:val="00F47D07"/>
    <w:rsid w:val="00F51242"/>
    <w:rsid w:val="00F516F7"/>
    <w:rsid w:val="00F521A7"/>
    <w:rsid w:val="00F52C8C"/>
    <w:rsid w:val="00F52F24"/>
    <w:rsid w:val="00F52F94"/>
    <w:rsid w:val="00F5346E"/>
    <w:rsid w:val="00F53761"/>
    <w:rsid w:val="00F5408C"/>
    <w:rsid w:val="00F5440E"/>
    <w:rsid w:val="00F55681"/>
    <w:rsid w:val="00F56027"/>
    <w:rsid w:val="00F56866"/>
    <w:rsid w:val="00F56D7C"/>
    <w:rsid w:val="00F60AE3"/>
    <w:rsid w:val="00F6196F"/>
    <w:rsid w:val="00F61EF0"/>
    <w:rsid w:val="00F62B9B"/>
    <w:rsid w:val="00F62F2C"/>
    <w:rsid w:val="00F62FC3"/>
    <w:rsid w:val="00F63404"/>
    <w:rsid w:val="00F635DA"/>
    <w:rsid w:val="00F637C6"/>
    <w:rsid w:val="00F63A9D"/>
    <w:rsid w:val="00F63DE1"/>
    <w:rsid w:val="00F64E6D"/>
    <w:rsid w:val="00F6540D"/>
    <w:rsid w:val="00F6573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47B"/>
    <w:rsid w:val="00F73AED"/>
    <w:rsid w:val="00F73C37"/>
    <w:rsid w:val="00F74950"/>
    <w:rsid w:val="00F749D2"/>
    <w:rsid w:val="00F74AF1"/>
    <w:rsid w:val="00F7507B"/>
    <w:rsid w:val="00F7563C"/>
    <w:rsid w:val="00F773F5"/>
    <w:rsid w:val="00F77701"/>
    <w:rsid w:val="00F77721"/>
    <w:rsid w:val="00F7772C"/>
    <w:rsid w:val="00F77E1E"/>
    <w:rsid w:val="00F806AA"/>
    <w:rsid w:val="00F80AC5"/>
    <w:rsid w:val="00F80DE1"/>
    <w:rsid w:val="00F81113"/>
    <w:rsid w:val="00F81708"/>
    <w:rsid w:val="00F81B74"/>
    <w:rsid w:val="00F81F3A"/>
    <w:rsid w:val="00F82188"/>
    <w:rsid w:val="00F8226B"/>
    <w:rsid w:val="00F8226D"/>
    <w:rsid w:val="00F824CA"/>
    <w:rsid w:val="00F82BBC"/>
    <w:rsid w:val="00F843B9"/>
    <w:rsid w:val="00F8479D"/>
    <w:rsid w:val="00F84808"/>
    <w:rsid w:val="00F85282"/>
    <w:rsid w:val="00F85398"/>
    <w:rsid w:val="00F85714"/>
    <w:rsid w:val="00F85BBF"/>
    <w:rsid w:val="00F85EA0"/>
    <w:rsid w:val="00F85EAF"/>
    <w:rsid w:val="00F86291"/>
    <w:rsid w:val="00F8745C"/>
    <w:rsid w:val="00F8752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14BF"/>
    <w:rsid w:val="00FA2980"/>
    <w:rsid w:val="00FA3305"/>
    <w:rsid w:val="00FA37A4"/>
    <w:rsid w:val="00FA3CB2"/>
    <w:rsid w:val="00FA4F11"/>
    <w:rsid w:val="00FA5AD4"/>
    <w:rsid w:val="00FA727B"/>
    <w:rsid w:val="00FB04DE"/>
    <w:rsid w:val="00FB1A8A"/>
    <w:rsid w:val="00FB295A"/>
    <w:rsid w:val="00FB2E78"/>
    <w:rsid w:val="00FB31DA"/>
    <w:rsid w:val="00FB3225"/>
    <w:rsid w:val="00FB410A"/>
    <w:rsid w:val="00FB42CD"/>
    <w:rsid w:val="00FB447A"/>
    <w:rsid w:val="00FB46C9"/>
    <w:rsid w:val="00FB4E6E"/>
    <w:rsid w:val="00FB4E87"/>
    <w:rsid w:val="00FB5461"/>
    <w:rsid w:val="00FB5686"/>
    <w:rsid w:val="00FB5980"/>
    <w:rsid w:val="00FB5D5D"/>
    <w:rsid w:val="00FB5E7F"/>
    <w:rsid w:val="00FB676F"/>
    <w:rsid w:val="00FB6891"/>
    <w:rsid w:val="00FB6C89"/>
    <w:rsid w:val="00FB71A2"/>
    <w:rsid w:val="00FB7604"/>
    <w:rsid w:val="00FB7D61"/>
    <w:rsid w:val="00FC117B"/>
    <w:rsid w:val="00FC18B6"/>
    <w:rsid w:val="00FC21AA"/>
    <w:rsid w:val="00FC3CF8"/>
    <w:rsid w:val="00FC4651"/>
    <w:rsid w:val="00FC477D"/>
    <w:rsid w:val="00FC66AE"/>
    <w:rsid w:val="00FC6FD7"/>
    <w:rsid w:val="00FC7132"/>
    <w:rsid w:val="00FD1234"/>
    <w:rsid w:val="00FD3434"/>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DE8"/>
    <w:rsid w:val="00FE1FE2"/>
    <w:rsid w:val="00FE1FE4"/>
    <w:rsid w:val="00FE20A4"/>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3F"/>
    <w:rsid w:val="00FF0654"/>
    <w:rsid w:val="00FF1A77"/>
    <w:rsid w:val="00FF22B5"/>
    <w:rsid w:val="00FF2724"/>
    <w:rsid w:val="00FF27AE"/>
    <w:rsid w:val="00FF3103"/>
    <w:rsid w:val="00FF317A"/>
    <w:rsid w:val="00FF350A"/>
    <w:rsid w:val="00FF4267"/>
    <w:rsid w:val="00FF5A81"/>
    <w:rsid w:val="00FF69B5"/>
    <w:rsid w:val="00FF6D67"/>
    <w:rsid w:val="00FF6DC8"/>
    <w:rsid w:val="00FF7807"/>
    <w:rsid w:val="00FF78D4"/>
    <w:rsid w:val="00FF79CE"/>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356F7232-A819-44FB-87A3-88B78952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link w:val="Heading2Char"/>
    <w:qFormat/>
    <w:rsid w:val="006D4A01"/>
    <w:pPr>
      <w:keepNext/>
      <w:spacing w:line="480" w:lineRule="auto"/>
      <w:jc w:val="center"/>
      <w:outlineLvl w:val="1"/>
    </w:pPr>
    <w:rPr>
      <w:rFonts w:cs="Arial"/>
      <w:b/>
      <w:bCs/>
    </w:rPr>
  </w:style>
  <w:style w:type="paragraph" w:styleId="Heading3">
    <w:name w:val="heading 3"/>
    <w:basedOn w:val="Normal"/>
    <w:next w:val="Normal"/>
    <w:link w:val="Heading3Char"/>
    <w:uiPriority w:val="9"/>
    <w:semiHidden/>
    <w:unhideWhenUsed/>
    <w:qFormat/>
    <w:rsid w:val="00837DB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 w:type="character" w:styleId="Hyperlink">
    <w:name w:val="Hyperlink"/>
    <w:basedOn w:val="DefaultParagraphFont"/>
    <w:uiPriority w:val="99"/>
    <w:unhideWhenUsed/>
    <w:rsid w:val="00964451"/>
    <w:rPr>
      <w:color w:val="0000FF" w:themeColor="hyperlink"/>
      <w:u w:val="single"/>
    </w:rPr>
  </w:style>
  <w:style w:type="character" w:customStyle="1" w:styleId="Heading3Char">
    <w:name w:val="Heading 3 Char"/>
    <w:basedOn w:val="DefaultParagraphFont"/>
    <w:link w:val="Heading3"/>
    <w:uiPriority w:val="9"/>
    <w:semiHidden/>
    <w:rsid w:val="00837DB7"/>
    <w:rPr>
      <w:rFonts w:asciiTheme="majorHAnsi" w:eastAsiaTheme="majorEastAsia" w:hAnsiTheme="majorHAnsi" w:cstheme="majorBidi"/>
      <w:b/>
      <w:bCs/>
      <w:color w:val="4F81BD" w:themeColor="accent1"/>
      <w:sz w:val="22"/>
      <w:szCs w:val="24"/>
      <w:lang w:eastAsia="en-US"/>
    </w:rPr>
  </w:style>
  <w:style w:type="character" w:customStyle="1" w:styleId="Heading2Char">
    <w:name w:val="Heading 2 Char"/>
    <w:basedOn w:val="DefaultParagraphFont"/>
    <w:link w:val="Heading2"/>
    <w:rsid w:val="00DB1FC3"/>
    <w:rPr>
      <w:rFonts w:ascii="Arial" w:hAnsi="Arial" w:cs="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27826678">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 w:id="18877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0E49-69FB-46A8-87D6-45B39EA0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0</TotalTime>
  <Pages>1</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24877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Mokone</cp:lastModifiedBy>
  <cp:revision>3</cp:revision>
  <cp:lastPrinted>2022-07-24T18:51:00Z</cp:lastPrinted>
  <dcterms:created xsi:type="dcterms:W3CDTF">2022-10-17T07:25:00Z</dcterms:created>
  <dcterms:modified xsi:type="dcterms:W3CDTF">2022-10-17T07:25:00Z</dcterms:modified>
</cp:coreProperties>
</file>