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E3" w:rsidRPr="0071569D" w:rsidRDefault="00A06EE3" w:rsidP="00A06EE3">
      <w:pPr>
        <w:tabs>
          <w:tab w:val="left" w:pos="2342"/>
          <w:tab w:val="center" w:pos="4513"/>
        </w:tabs>
        <w:jc w:val="center"/>
        <w:outlineLvl w:val="0"/>
        <w:rPr>
          <w:b/>
          <w:noProof/>
          <w:u w:val="none"/>
          <w:lang w:val="en-ZA" w:eastAsia="en-ZA"/>
        </w:rPr>
      </w:pPr>
      <w:r w:rsidRPr="0071569D">
        <w:rPr>
          <w:b/>
          <w:noProof/>
          <w:u w:val="none"/>
          <w:lang w:val="en-ZA" w:eastAsia="en-ZA"/>
        </w:rPr>
        <w:t>REPUBLIC OF SOUTH AFRICA</w:t>
      </w:r>
    </w:p>
    <w:p w:rsidR="00A06EE3" w:rsidRPr="0071569D" w:rsidRDefault="00A06EE3" w:rsidP="00A06EE3">
      <w:pPr>
        <w:tabs>
          <w:tab w:val="left" w:pos="2342"/>
          <w:tab w:val="center" w:pos="4513"/>
        </w:tabs>
        <w:jc w:val="center"/>
        <w:outlineLvl w:val="0"/>
        <w:rPr>
          <w:b/>
          <w:noProof/>
          <w:u w:val="none"/>
          <w:lang w:val="en-ZA" w:eastAsia="en-ZA"/>
        </w:rPr>
      </w:pPr>
    </w:p>
    <w:p w:rsidR="00A06EE3" w:rsidRPr="0071569D" w:rsidRDefault="00A06EE3" w:rsidP="00A06EE3">
      <w:pPr>
        <w:tabs>
          <w:tab w:val="left" w:pos="2342"/>
          <w:tab w:val="center" w:pos="4513"/>
        </w:tabs>
        <w:jc w:val="center"/>
        <w:outlineLvl w:val="0"/>
        <w:rPr>
          <w:u w:val="none"/>
          <w:lang w:val="en-ZA"/>
        </w:rPr>
      </w:pPr>
      <w:r w:rsidRPr="0071569D">
        <w:rPr>
          <w:noProof/>
          <w:u w:val="none"/>
          <w:lang w:val="en-US" w:eastAsia="en-US"/>
        </w:rPr>
        <w:drawing>
          <wp:inline distT="0" distB="0" distL="0" distR="0" wp14:anchorId="5A0FBA73" wp14:editId="2870BA6D">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A06EE3" w:rsidRPr="0071569D" w:rsidRDefault="00A06EE3" w:rsidP="00A06EE3">
      <w:pPr>
        <w:jc w:val="center"/>
        <w:outlineLvl w:val="0"/>
        <w:rPr>
          <w:b/>
          <w:u w:val="none"/>
          <w:lang w:val="en-ZA"/>
        </w:rPr>
      </w:pPr>
    </w:p>
    <w:p w:rsidR="00A06EE3" w:rsidRPr="0071569D" w:rsidRDefault="00A06EE3" w:rsidP="00A06EE3">
      <w:pPr>
        <w:jc w:val="center"/>
        <w:outlineLvl w:val="0"/>
        <w:rPr>
          <w:b/>
          <w:u w:val="none"/>
          <w:lang w:val="en-ZA"/>
        </w:rPr>
      </w:pPr>
      <w:r w:rsidRPr="0071569D">
        <w:rPr>
          <w:b/>
          <w:u w:val="none"/>
          <w:lang w:val="en-ZA"/>
        </w:rPr>
        <w:t>IN THE HIGH COURT OF SOUTH AFRICA</w:t>
      </w:r>
    </w:p>
    <w:p w:rsidR="00A06EE3" w:rsidRPr="0071569D" w:rsidRDefault="00A06EE3" w:rsidP="00A06EE3">
      <w:pPr>
        <w:jc w:val="center"/>
        <w:outlineLvl w:val="0"/>
        <w:rPr>
          <w:b/>
          <w:u w:val="none"/>
          <w:lang w:val="en-ZA"/>
        </w:rPr>
      </w:pPr>
      <w:r w:rsidRPr="0071569D">
        <w:rPr>
          <w:b/>
          <w:u w:val="none"/>
          <w:lang w:val="en-ZA"/>
        </w:rPr>
        <w:t>GAUTENG DIVISION, JOHANNESBURG</w:t>
      </w:r>
    </w:p>
    <w:p w:rsidR="00A06EE3" w:rsidRPr="0071569D" w:rsidRDefault="00A06EE3" w:rsidP="00A06EE3">
      <w:pPr>
        <w:jc w:val="both"/>
        <w:rPr>
          <w:u w:val="none"/>
          <w:lang w:val="en-ZA"/>
        </w:rPr>
      </w:pPr>
    </w:p>
    <w:p w:rsidR="00A06EE3" w:rsidRPr="0071569D" w:rsidRDefault="00A06EE3" w:rsidP="00A06EE3">
      <w:pPr>
        <w:jc w:val="both"/>
        <w:rPr>
          <w:u w:val="none"/>
          <w:lang w:val="en-ZA"/>
        </w:rPr>
      </w:pPr>
    </w:p>
    <w:p w:rsidR="00A06EE3" w:rsidRPr="0071569D" w:rsidRDefault="00A06EE3" w:rsidP="00A06EE3">
      <w:pPr>
        <w:tabs>
          <w:tab w:val="right" w:pos="9029"/>
        </w:tabs>
        <w:jc w:val="both"/>
        <w:rPr>
          <w:bCs/>
          <w:u w:val="none"/>
          <w:lang w:val="en-ZA"/>
        </w:rPr>
      </w:pPr>
      <w:r w:rsidRPr="0071569D">
        <w:rPr>
          <w:u w:val="none"/>
          <w:lang w:val="en-ZA"/>
        </w:rPr>
        <w:tab/>
      </w:r>
      <w:r w:rsidRPr="0071569D">
        <w:rPr>
          <w:bCs/>
          <w:u w:val="none"/>
          <w:lang w:val="en-ZA"/>
        </w:rPr>
        <w:t>Case Number: 5068/2021</w:t>
      </w:r>
    </w:p>
    <w:p w:rsidR="00A06EE3" w:rsidRPr="0071569D" w:rsidRDefault="00A06EE3" w:rsidP="00A06EE3">
      <w:pPr>
        <w:tabs>
          <w:tab w:val="right" w:pos="9029"/>
        </w:tabs>
        <w:jc w:val="both"/>
        <w:rPr>
          <w:u w:val="none"/>
          <w:lang w:val="en-ZA"/>
        </w:rPr>
      </w:pPr>
      <w:r w:rsidRPr="0071569D">
        <w:rPr>
          <w:noProof/>
          <w:u w:val="none"/>
          <w:lang w:val="en-US" w:eastAsia="en-US"/>
        </w:rPr>
        <mc:AlternateContent>
          <mc:Choice Requires="wps">
            <w:drawing>
              <wp:anchor distT="0" distB="0" distL="114300" distR="114300" simplePos="0" relativeHeight="251661312" behindDoc="0" locked="0" layoutInCell="1" allowOverlap="1" wp14:anchorId="07ACA99D" wp14:editId="05F3A07D">
                <wp:simplePos x="0" y="0"/>
                <wp:positionH relativeFrom="margin">
                  <wp:align>left</wp:align>
                </wp:positionH>
                <wp:positionV relativeFrom="paragraph">
                  <wp:posOffset>23495</wp:posOffset>
                </wp:positionV>
                <wp:extent cx="33147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A06EE3" w:rsidRPr="0071569D" w:rsidRDefault="00A06EE3" w:rsidP="00A06EE3">
                            <w:pPr>
                              <w:jc w:val="center"/>
                              <w:rPr>
                                <w:rFonts w:ascii="Century Gothic" w:hAnsi="Century Gothic"/>
                                <w:b/>
                                <w:sz w:val="20"/>
                                <w:szCs w:val="20"/>
                                <w:u w:val="none"/>
                              </w:rPr>
                            </w:pPr>
                          </w:p>
                          <w:p w:rsidR="00A06EE3" w:rsidRPr="00C83E5B"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(1)</w:t>
                            </w:r>
                            <w:r w:rsidRPr="0071569D">
                              <w:rPr>
                                <w:rFonts w:ascii="Times New Roman" w:hAnsi="Times New Roman" w:cs="Times New Roman"/>
                                <w:sz w:val="20"/>
                                <w:szCs w:val="20"/>
                                <w:u w:val="none"/>
                              </w:rPr>
                              <w:tab/>
                            </w:r>
                            <w:r w:rsidR="00A06EE3" w:rsidRPr="00C83E5B">
                              <w:rPr>
                                <w:rFonts w:ascii="Times New Roman" w:hAnsi="Times New Roman" w:cs="Times New Roman"/>
                                <w:sz w:val="20"/>
                                <w:szCs w:val="20"/>
                                <w:u w:val="none"/>
                              </w:rPr>
                              <w:t>REPORTABLE: NO</w:t>
                            </w:r>
                          </w:p>
                          <w:p w:rsidR="00A06EE3" w:rsidRPr="00C83E5B"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(2)</w:t>
                            </w:r>
                            <w:r w:rsidRPr="0071569D">
                              <w:rPr>
                                <w:rFonts w:ascii="Times New Roman" w:hAnsi="Times New Roman" w:cs="Times New Roman"/>
                                <w:sz w:val="20"/>
                                <w:szCs w:val="20"/>
                                <w:u w:val="none"/>
                              </w:rPr>
                              <w:tab/>
                            </w:r>
                            <w:r w:rsidR="00A06EE3" w:rsidRPr="00C83E5B">
                              <w:rPr>
                                <w:rFonts w:ascii="Times New Roman" w:hAnsi="Times New Roman" w:cs="Times New Roman"/>
                                <w:sz w:val="20"/>
                                <w:szCs w:val="20"/>
                                <w:u w:val="none"/>
                              </w:rPr>
                              <w:t>OF INTEREST TO OTHER JUDGES: NO</w:t>
                            </w:r>
                          </w:p>
                          <w:p w:rsidR="00A06EE3" w:rsidRPr="0071569D"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(3)</w:t>
                            </w:r>
                            <w:r w:rsidRPr="0071569D">
                              <w:rPr>
                                <w:rFonts w:ascii="Times New Roman" w:hAnsi="Times New Roman" w:cs="Times New Roman"/>
                                <w:sz w:val="20"/>
                                <w:szCs w:val="20"/>
                                <w:u w:val="none"/>
                              </w:rPr>
                              <w:tab/>
                            </w:r>
                            <w:r w:rsidR="00A06EE3" w:rsidRPr="0071569D">
                              <w:rPr>
                                <w:rFonts w:ascii="Times New Roman" w:hAnsi="Times New Roman" w:cs="Times New Roman"/>
                                <w:sz w:val="20"/>
                                <w:szCs w:val="20"/>
                                <w:u w:val="none"/>
                              </w:rPr>
                              <w:t>REVISED: NO</w:t>
                            </w:r>
                          </w:p>
                          <w:p w:rsidR="00A06EE3" w:rsidRPr="0071569D" w:rsidRDefault="00A06EE3" w:rsidP="00A06EE3">
                            <w:pPr>
                              <w:rPr>
                                <w:rFonts w:ascii="Times New Roman" w:hAnsi="Times New Roman" w:cs="Times New Roman"/>
                                <w:b/>
                                <w:sz w:val="20"/>
                                <w:szCs w:val="20"/>
                                <w:u w:val="none"/>
                              </w:rPr>
                            </w:pPr>
                          </w:p>
                          <w:p w:rsidR="00A06EE3" w:rsidRPr="0071569D" w:rsidRDefault="00A06EE3" w:rsidP="00A06EE3">
                            <w:pPr>
                              <w:rPr>
                                <w:rFonts w:ascii="Times New Roman" w:hAnsi="Times New Roman" w:cs="Times New Roman"/>
                                <w:b/>
                                <w:sz w:val="20"/>
                                <w:szCs w:val="20"/>
                                <w:u w:val="none"/>
                              </w:rPr>
                            </w:pPr>
                            <w:r w:rsidRPr="0071569D">
                              <w:rPr>
                                <w:rFonts w:ascii="Times New Roman" w:hAnsi="Times New Roman" w:cs="Times New Roman"/>
                                <w:b/>
                                <w:sz w:val="20"/>
                                <w:szCs w:val="20"/>
                                <w:u w:val="none"/>
                              </w:rPr>
                              <w:t>______________</w:t>
                            </w:r>
                            <w:r w:rsidRPr="0071569D">
                              <w:rPr>
                                <w:rFonts w:ascii="Times New Roman" w:hAnsi="Times New Roman" w:cs="Times New Roman"/>
                                <w:b/>
                                <w:sz w:val="20"/>
                                <w:szCs w:val="20"/>
                                <w:u w:val="none"/>
                              </w:rPr>
                              <w:tab/>
                            </w:r>
                            <w:r w:rsidRPr="0071569D">
                              <w:rPr>
                                <w:rFonts w:ascii="Times New Roman" w:hAnsi="Times New Roman" w:cs="Times New Roman"/>
                                <w:b/>
                                <w:sz w:val="20"/>
                                <w:szCs w:val="20"/>
                                <w:u w:val="none"/>
                              </w:rPr>
                              <w:tab/>
                              <w:t>_________________________</w:t>
                            </w:r>
                          </w:p>
                          <w:p w:rsidR="00A06EE3" w:rsidRPr="0071569D" w:rsidRDefault="00A06EE3" w:rsidP="00A06EE3">
                            <w:pPr>
                              <w:rPr>
                                <w:rFonts w:ascii="Times New Roman" w:hAnsi="Times New Roman" w:cs="Times New Roman"/>
                                <w:sz w:val="20"/>
                                <w:szCs w:val="20"/>
                                <w:u w:val="none"/>
                              </w:rPr>
                            </w:pPr>
                            <w:r w:rsidRPr="0071569D">
                              <w:rPr>
                                <w:rFonts w:ascii="Times New Roman" w:hAnsi="Times New Roman" w:cs="Times New Roman"/>
                                <w:sz w:val="20"/>
                                <w:szCs w:val="20"/>
                                <w:u w:val="none"/>
                              </w:rPr>
                              <w:t>DATE</w:t>
                            </w:r>
                            <w:r w:rsidRPr="0071569D">
                              <w:rPr>
                                <w:rFonts w:ascii="Times New Roman" w:hAnsi="Times New Roman" w:cs="Times New Roman"/>
                                <w:sz w:val="20"/>
                                <w:szCs w:val="20"/>
                                <w:u w:val="none"/>
                              </w:rPr>
                              <w:tab/>
                            </w:r>
                            <w:r w:rsidRPr="0071569D">
                              <w:rPr>
                                <w:rFonts w:ascii="Times New Roman" w:hAnsi="Times New Roman" w:cs="Times New Roman"/>
                                <w:sz w:val="20"/>
                                <w:szCs w:val="20"/>
                                <w:u w:val="none"/>
                              </w:rPr>
                              <w:tab/>
                            </w:r>
                            <w:r w:rsidRPr="0071569D">
                              <w:rPr>
                                <w:rFonts w:ascii="Times New Roman" w:hAnsi="Times New Roman" w:cs="Times New Roman"/>
                                <w:sz w:val="20"/>
                                <w:szCs w:val="20"/>
                                <w:u w:val="none"/>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CA99D" id="_x0000_t202" coordsize="21600,21600" o:spt="202" path="m,l,21600r21600,l21600,xe">
                <v:stroke joinstyle="miter"/>
                <v:path gradientshapeok="t" o:connecttype="rect"/>
              </v:shapetype>
              <v:shape id="Text Box 3"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q5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9MMq5KQIAAFEEAAAOAAAAAAAAAAAAAAAAAC4CAABkcnMvZTJv&#10;RG9jLnhtbFBLAQItABQABgAIAAAAIQCR2ASs3QAAAAYBAAAPAAAAAAAAAAAAAAAAAIMEAABkcnMv&#10;ZG93bnJldi54bWxQSwUGAAAAAAQABADzAAAAjQUAAAAA&#10;">
                <v:textbox>
                  <w:txbxContent>
                    <w:p w:rsidR="00A06EE3" w:rsidRPr="0071569D" w:rsidRDefault="00A06EE3" w:rsidP="00A06EE3">
                      <w:pPr>
                        <w:jc w:val="center"/>
                        <w:rPr>
                          <w:rFonts w:ascii="Century Gothic" w:hAnsi="Century Gothic"/>
                          <w:b/>
                          <w:sz w:val="20"/>
                          <w:szCs w:val="20"/>
                          <w:u w:val="none"/>
                        </w:rPr>
                      </w:pPr>
                    </w:p>
                    <w:p w:rsidR="00A06EE3" w:rsidRPr="00C83E5B"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(1)</w:t>
                      </w:r>
                      <w:r w:rsidRPr="0071569D">
                        <w:rPr>
                          <w:rFonts w:ascii="Times New Roman" w:hAnsi="Times New Roman" w:cs="Times New Roman"/>
                          <w:sz w:val="20"/>
                          <w:szCs w:val="20"/>
                          <w:u w:val="none"/>
                        </w:rPr>
                        <w:tab/>
                      </w:r>
                      <w:r w:rsidR="00A06EE3" w:rsidRPr="00C83E5B">
                        <w:rPr>
                          <w:rFonts w:ascii="Times New Roman" w:hAnsi="Times New Roman" w:cs="Times New Roman"/>
                          <w:sz w:val="20"/>
                          <w:szCs w:val="20"/>
                          <w:u w:val="none"/>
                        </w:rPr>
                        <w:t>REPORTABLE: NO</w:t>
                      </w:r>
                    </w:p>
                    <w:p w:rsidR="00A06EE3" w:rsidRPr="00C83E5B"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(2)</w:t>
                      </w:r>
                      <w:r w:rsidRPr="0071569D">
                        <w:rPr>
                          <w:rFonts w:ascii="Times New Roman" w:hAnsi="Times New Roman" w:cs="Times New Roman"/>
                          <w:sz w:val="20"/>
                          <w:szCs w:val="20"/>
                          <w:u w:val="none"/>
                        </w:rPr>
                        <w:tab/>
                      </w:r>
                      <w:r w:rsidR="00A06EE3" w:rsidRPr="00C83E5B">
                        <w:rPr>
                          <w:rFonts w:ascii="Times New Roman" w:hAnsi="Times New Roman" w:cs="Times New Roman"/>
                          <w:sz w:val="20"/>
                          <w:szCs w:val="20"/>
                          <w:u w:val="none"/>
                        </w:rPr>
                        <w:t>OF INTEREST TO OTHER JUDGES: NO</w:t>
                      </w:r>
                    </w:p>
                    <w:p w:rsidR="00A06EE3" w:rsidRPr="0071569D" w:rsidRDefault="00C83E5B" w:rsidP="00C83E5B">
                      <w:pPr>
                        <w:ind w:left="540" w:hanging="360"/>
                        <w:rPr>
                          <w:rFonts w:ascii="Times New Roman" w:hAnsi="Times New Roman" w:cs="Times New Roman"/>
                          <w:sz w:val="20"/>
                          <w:szCs w:val="20"/>
                          <w:u w:val="none"/>
                        </w:rPr>
                      </w:pPr>
                      <w:r w:rsidRPr="0071569D">
                        <w:rPr>
                          <w:rFonts w:ascii="Times New Roman" w:hAnsi="Times New Roman" w:cs="Times New Roman"/>
                          <w:sz w:val="20"/>
                          <w:szCs w:val="20"/>
                          <w:u w:val="none"/>
                        </w:rPr>
                        <w:t>(3)</w:t>
                      </w:r>
                      <w:r w:rsidRPr="0071569D">
                        <w:rPr>
                          <w:rFonts w:ascii="Times New Roman" w:hAnsi="Times New Roman" w:cs="Times New Roman"/>
                          <w:sz w:val="20"/>
                          <w:szCs w:val="20"/>
                          <w:u w:val="none"/>
                        </w:rPr>
                        <w:tab/>
                      </w:r>
                      <w:r w:rsidR="00A06EE3" w:rsidRPr="0071569D">
                        <w:rPr>
                          <w:rFonts w:ascii="Times New Roman" w:hAnsi="Times New Roman" w:cs="Times New Roman"/>
                          <w:sz w:val="20"/>
                          <w:szCs w:val="20"/>
                          <w:u w:val="none"/>
                        </w:rPr>
                        <w:t>REVISED: NO</w:t>
                      </w:r>
                    </w:p>
                    <w:p w:rsidR="00A06EE3" w:rsidRPr="0071569D" w:rsidRDefault="00A06EE3" w:rsidP="00A06EE3">
                      <w:pPr>
                        <w:rPr>
                          <w:rFonts w:ascii="Times New Roman" w:hAnsi="Times New Roman" w:cs="Times New Roman"/>
                          <w:b/>
                          <w:sz w:val="20"/>
                          <w:szCs w:val="20"/>
                          <w:u w:val="none"/>
                        </w:rPr>
                      </w:pPr>
                    </w:p>
                    <w:p w:rsidR="00A06EE3" w:rsidRPr="0071569D" w:rsidRDefault="00A06EE3" w:rsidP="00A06EE3">
                      <w:pPr>
                        <w:rPr>
                          <w:rFonts w:ascii="Times New Roman" w:hAnsi="Times New Roman" w:cs="Times New Roman"/>
                          <w:b/>
                          <w:sz w:val="20"/>
                          <w:szCs w:val="20"/>
                          <w:u w:val="none"/>
                        </w:rPr>
                      </w:pPr>
                      <w:r w:rsidRPr="0071569D">
                        <w:rPr>
                          <w:rFonts w:ascii="Times New Roman" w:hAnsi="Times New Roman" w:cs="Times New Roman"/>
                          <w:b/>
                          <w:sz w:val="20"/>
                          <w:szCs w:val="20"/>
                          <w:u w:val="none"/>
                        </w:rPr>
                        <w:t>______________</w:t>
                      </w:r>
                      <w:r w:rsidRPr="0071569D">
                        <w:rPr>
                          <w:rFonts w:ascii="Times New Roman" w:hAnsi="Times New Roman" w:cs="Times New Roman"/>
                          <w:b/>
                          <w:sz w:val="20"/>
                          <w:szCs w:val="20"/>
                          <w:u w:val="none"/>
                        </w:rPr>
                        <w:tab/>
                      </w:r>
                      <w:r w:rsidRPr="0071569D">
                        <w:rPr>
                          <w:rFonts w:ascii="Times New Roman" w:hAnsi="Times New Roman" w:cs="Times New Roman"/>
                          <w:b/>
                          <w:sz w:val="20"/>
                          <w:szCs w:val="20"/>
                          <w:u w:val="none"/>
                        </w:rPr>
                        <w:tab/>
                        <w:t>_________________________</w:t>
                      </w:r>
                    </w:p>
                    <w:p w:rsidR="00A06EE3" w:rsidRPr="0071569D" w:rsidRDefault="00A06EE3" w:rsidP="00A06EE3">
                      <w:pPr>
                        <w:rPr>
                          <w:rFonts w:ascii="Times New Roman" w:hAnsi="Times New Roman" w:cs="Times New Roman"/>
                          <w:sz w:val="20"/>
                          <w:szCs w:val="20"/>
                          <w:u w:val="none"/>
                        </w:rPr>
                      </w:pPr>
                      <w:r w:rsidRPr="0071569D">
                        <w:rPr>
                          <w:rFonts w:ascii="Times New Roman" w:hAnsi="Times New Roman" w:cs="Times New Roman"/>
                          <w:sz w:val="20"/>
                          <w:szCs w:val="20"/>
                          <w:u w:val="none"/>
                        </w:rPr>
                        <w:t>DATE</w:t>
                      </w:r>
                      <w:r w:rsidRPr="0071569D">
                        <w:rPr>
                          <w:rFonts w:ascii="Times New Roman" w:hAnsi="Times New Roman" w:cs="Times New Roman"/>
                          <w:sz w:val="20"/>
                          <w:szCs w:val="20"/>
                          <w:u w:val="none"/>
                        </w:rPr>
                        <w:tab/>
                      </w:r>
                      <w:r w:rsidRPr="0071569D">
                        <w:rPr>
                          <w:rFonts w:ascii="Times New Roman" w:hAnsi="Times New Roman" w:cs="Times New Roman"/>
                          <w:sz w:val="20"/>
                          <w:szCs w:val="20"/>
                          <w:u w:val="none"/>
                        </w:rPr>
                        <w:tab/>
                      </w:r>
                      <w:r w:rsidRPr="0071569D">
                        <w:rPr>
                          <w:rFonts w:ascii="Times New Roman" w:hAnsi="Times New Roman" w:cs="Times New Roman"/>
                          <w:sz w:val="20"/>
                          <w:szCs w:val="20"/>
                          <w:u w:val="none"/>
                        </w:rPr>
                        <w:tab/>
                        <w:t>SIGNATURE</w:t>
                      </w:r>
                    </w:p>
                  </w:txbxContent>
                </v:textbox>
                <w10:wrap anchorx="margin"/>
              </v:shape>
            </w:pict>
          </mc:Fallback>
        </mc:AlternateContent>
      </w:r>
    </w:p>
    <w:p w:rsidR="00A06EE3" w:rsidRPr="0071569D" w:rsidRDefault="00A06EE3" w:rsidP="00A06EE3">
      <w:pPr>
        <w:tabs>
          <w:tab w:val="left" w:pos="8998"/>
        </w:tabs>
        <w:jc w:val="both"/>
        <w:rPr>
          <w:u w:val="none"/>
          <w:lang w:val="en-ZA"/>
        </w:rPr>
      </w:pPr>
    </w:p>
    <w:p w:rsidR="00A06EE3" w:rsidRPr="0071569D" w:rsidRDefault="00A06EE3" w:rsidP="00A06EE3">
      <w:pPr>
        <w:tabs>
          <w:tab w:val="left" w:pos="8998"/>
        </w:tabs>
        <w:jc w:val="both"/>
        <w:rPr>
          <w:u w:val="none"/>
          <w:lang w:val="en-ZA"/>
        </w:rPr>
      </w:pPr>
    </w:p>
    <w:p w:rsidR="00A06EE3" w:rsidRPr="0071569D" w:rsidRDefault="00A06EE3" w:rsidP="00A06EE3">
      <w:pPr>
        <w:tabs>
          <w:tab w:val="left" w:pos="8998"/>
        </w:tabs>
        <w:jc w:val="both"/>
        <w:rPr>
          <w:u w:val="none"/>
          <w:lang w:val="en-ZA"/>
        </w:rPr>
      </w:pPr>
      <w:r w:rsidRPr="0071569D">
        <w:rPr>
          <w:u w:val="none"/>
          <w:lang w:val="en-ZA"/>
        </w:rPr>
        <w:t>In the matter between:</w:t>
      </w:r>
    </w:p>
    <w:p w:rsidR="00A06EE3" w:rsidRPr="0071569D" w:rsidRDefault="00A06EE3" w:rsidP="00A06EE3">
      <w:pPr>
        <w:tabs>
          <w:tab w:val="right" w:pos="9029"/>
        </w:tabs>
        <w:jc w:val="both"/>
        <w:rPr>
          <w:u w:val="none"/>
          <w:lang w:val="en-ZA"/>
        </w:rPr>
      </w:pPr>
    </w:p>
    <w:p w:rsidR="00A06EE3" w:rsidRPr="0071569D" w:rsidRDefault="00A06EE3" w:rsidP="00A06EE3">
      <w:pPr>
        <w:tabs>
          <w:tab w:val="right" w:pos="9029"/>
        </w:tabs>
        <w:jc w:val="both"/>
        <w:rPr>
          <w:u w:val="none"/>
          <w:lang w:val="en-ZA"/>
        </w:rPr>
      </w:pP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b/>
          <w:u w:val="none"/>
          <w:lang w:val="en-ZA"/>
        </w:rPr>
      </w:pPr>
      <w:r w:rsidRPr="0071569D">
        <w:rPr>
          <w:b/>
          <w:u w:val="none"/>
          <w:lang w:val="en-ZA"/>
        </w:rPr>
        <w:t>In the matter between:</w:t>
      </w: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b/>
          <w:u w:val="none"/>
          <w:lang w:val="en-ZA"/>
        </w:rPr>
      </w:pPr>
    </w:p>
    <w:p w:rsidR="00A06EE3" w:rsidRPr="0071569D" w:rsidRDefault="00A06EE3" w:rsidP="00A06EE3">
      <w:pPr>
        <w:tabs>
          <w:tab w:val="right" w:pos="9029"/>
        </w:tabs>
        <w:contextualSpacing/>
        <w:jc w:val="both"/>
        <w:rPr>
          <w:u w:val="none"/>
          <w:lang w:val="en-ZA"/>
        </w:rPr>
      </w:pPr>
      <w:r w:rsidRPr="0071569D">
        <w:rPr>
          <w:b/>
          <w:u w:val="none"/>
        </w:rPr>
        <w:t>VAN DEVENTER AND VAN DEVENTER INCORPORATED</w:t>
      </w:r>
      <w:r w:rsidRPr="0071569D">
        <w:rPr>
          <w:b/>
          <w:u w:val="none"/>
          <w:lang w:val="en-ZA"/>
        </w:rPr>
        <w:tab/>
      </w:r>
      <w:r w:rsidRPr="0071569D">
        <w:rPr>
          <w:u w:val="none"/>
          <w:lang w:val="en-ZA"/>
        </w:rPr>
        <w:t>APPLICANT</w:t>
      </w:r>
    </w:p>
    <w:p w:rsidR="00A06EE3" w:rsidRPr="0071569D" w:rsidRDefault="00A06EE3" w:rsidP="00A06EE3">
      <w:pPr>
        <w:tabs>
          <w:tab w:val="right" w:pos="9029"/>
        </w:tabs>
        <w:contextualSpacing/>
        <w:jc w:val="both"/>
        <w:rPr>
          <w:u w:val="none"/>
          <w:lang w:val="en-ZA"/>
        </w:rPr>
      </w:pPr>
    </w:p>
    <w:p w:rsidR="00A06EE3" w:rsidRPr="0071569D" w:rsidRDefault="00A06EE3" w:rsidP="00A06EE3">
      <w:pPr>
        <w:tabs>
          <w:tab w:val="right" w:pos="9029"/>
        </w:tabs>
        <w:contextualSpacing/>
        <w:jc w:val="both"/>
        <w:rPr>
          <w:u w:val="none"/>
          <w:lang w:val="en-ZA"/>
        </w:rPr>
      </w:pPr>
      <w:r w:rsidRPr="0071569D">
        <w:rPr>
          <w:u w:val="none"/>
          <w:lang w:val="en-ZA"/>
        </w:rPr>
        <w:t>AND</w:t>
      </w:r>
    </w:p>
    <w:p w:rsidR="00A06EE3" w:rsidRPr="0071569D" w:rsidRDefault="00A06EE3" w:rsidP="00A06EE3">
      <w:pPr>
        <w:tabs>
          <w:tab w:val="right" w:pos="9029"/>
        </w:tabs>
        <w:contextualSpacing/>
        <w:jc w:val="both"/>
        <w:rPr>
          <w:u w:val="none"/>
          <w:lang w:val="en-ZA"/>
        </w:rPr>
      </w:pPr>
    </w:p>
    <w:p w:rsidR="00A06EE3" w:rsidRPr="0071569D" w:rsidRDefault="00A06EE3" w:rsidP="00A06EE3">
      <w:pPr>
        <w:tabs>
          <w:tab w:val="right" w:pos="9029"/>
        </w:tabs>
        <w:contextualSpacing/>
        <w:jc w:val="both"/>
        <w:rPr>
          <w:u w:val="none"/>
          <w:lang w:val="en-ZA"/>
        </w:rPr>
      </w:pPr>
      <w:r w:rsidRPr="0071569D">
        <w:rPr>
          <w:b/>
          <w:u w:val="none"/>
        </w:rPr>
        <w:t>VAN NIEKERK: JOHANNA CATHARINA</w:t>
      </w:r>
      <w:r w:rsidRPr="0071569D">
        <w:rPr>
          <w:u w:val="none"/>
          <w:lang w:val="en-ZA"/>
        </w:rPr>
        <w:tab/>
        <w:t>FIRST RESPONDENT</w:t>
      </w:r>
    </w:p>
    <w:p w:rsidR="00A06EE3" w:rsidRPr="0071569D" w:rsidRDefault="00A06EE3" w:rsidP="00A06EE3">
      <w:pPr>
        <w:contextualSpacing/>
        <w:jc w:val="both"/>
        <w:rPr>
          <w:u w:val="none"/>
          <w:lang w:val="en-ZA"/>
        </w:rPr>
      </w:pPr>
    </w:p>
    <w:p w:rsidR="00A06EE3" w:rsidRPr="0071569D" w:rsidRDefault="00A06EE3" w:rsidP="00A06EE3">
      <w:pPr>
        <w:tabs>
          <w:tab w:val="right" w:pos="9029"/>
        </w:tabs>
        <w:contextualSpacing/>
        <w:jc w:val="both"/>
        <w:rPr>
          <w:u w:val="none"/>
          <w:lang w:val="en-ZA"/>
        </w:rPr>
      </w:pPr>
      <w:r w:rsidRPr="0071569D">
        <w:rPr>
          <w:b/>
          <w:u w:val="none"/>
        </w:rPr>
        <w:t>ELS: MANDY MARGOUX</w:t>
      </w:r>
      <w:r w:rsidRPr="0071569D">
        <w:rPr>
          <w:u w:val="none"/>
          <w:lang w:val="en-ZA"/>
        </w:rPr>
        <w:tab/>
        <w:t>SECOND RESPONDENT</w:t>
      </w:r>
    </w:p>
    <w:p w:rsidR="00A06EE3" w:rsidRPr="0071569D" w:rsidRDefault="00A06EE3" w:rsidP="00A06EE3">
      <w:pPr>
        <w:tabs>
          <w:tab w:val="right" w:pos="9029"/>
        </w:tabs>
        <w:contextualSpacing/>
        <w:jc w:val="both"/>
        <w:rPr>
          <w:u w:val="none"/>
          <w:lang w:val="en-ZA"/>
        </w:rPr>
      </w:pPr>
    </w:p>
    <w:p w:rsidR="00A06EE3" w:rsidRPr="0071569D" w:rsidRDefault="00A06EE3" w:rsidP="00A06EE3">
      <w:pPr>
        <w:pBdr>
          <w:bottom w:val="single" w:sz="12" w:space="1" w:color="auto"/>
        </w:pBdr>
        <w:rPr>
          <w:b/>
          <w:u w:val="none"/>
          <w:lang w:val="en-ZA"/>
        </w:rPr>
      </w:pPr>
    </w:p>
    <w:p w:rsidR="00A06EE3" w:rsidRPr="0071569D" w:rsidRDefault="00A06EE3" w:rsidP="00A06EE3">
      <w:pPr>
        <w:ind w:left="1440" w:hanging="1440"/>
        <w:rPr>
          <w:b/>
          <w:u w:val="none"/>
        </w:rPr>
      </w:pPr>
    </w:p>
    <w:p w:rsidR="00A06EE3" w:rsidRPr="0071569D" w:rsidRDefault="00A06EE3" w:rsidP="00A06EE3">
      <w:pPr>
        <w:pBdr>
          <w:bottom w:val="single" w:sz="12" w:space="1" w:color="auto"/>
        </w:pBdr>
        <w:spacing w:after="240" w:line="480" w:lineRule="auto"/>
        <w:jc w:val="center"/>
        <w:rPr>
          <w:b/>
          <w:u w:val="none"/>
          <w:lang w:val="en-ZA"/>
        </w:rPr>
      </w:pPr>
      <w:r w:rsidRPr="0071569D">
        <w:rPr>
          <w:b/>
          <w:u w:val="none"/>
          <w:lang w:val="en-ZA"/>
        </w:rPr>
        <w:t>JUDGMENT</w:t>
      </w:r>
    </w:p>
    <w:p w:rsidR="00972885" w:rsidRDefault="00972885" w:rsidP="00972885">
      <w:pPr>
        <w:rPr>
          <w:b/>
          <w:u w:val="none"/>
        </w:rPr>
      </w:pPr>
      <w:r>
        <w:rPr>
          <w:b/>
          <w:u w:val="none"/>
        </w:rPr>
        <w:t>MUDAU,</w:t>
      </w:r>
      <w:r w:rsidRPr="00FC415D">
        <w:rPr>
          <w:b/>
          <w:u w:val="none"/>
        </w:rPr>
        <w:t xml:space="preserve"> J</w:t>
      </w:r>
      <w:r>
        <w:rPr>
          <w:b/>
          <w:u w:val="none"/>
        </w:rPr>
        <w:t>:</w:t>
      </w:r>
    </w:p>
    <w:p w:rsidR="00972885" w:rsidRDefault="00972885" w:rsidP="00972885">
      <w:pPr>
        <w:rPr>
          <w:u w:val="none"/>
        </w:rPr>
      </w:pP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[1]</w:t>
      </w:r>
      <w:r>
        <w:rPr>
          <w:rFonts w:ascii="Arial" w:hAnsi="Arial" w:cs="Arial"/>
          <w:color w:val="000000"/>
        </w:rPr>
        <w:tab/>
      </w:r>
      <w:r w:rsidR="002211ED" w:rsidRPr="00202804">
        <w:rPr>
          <w:rFonts w:ascii="Arial" w:hAnsi="Arial" w:cs="Arial"/>
          <w:color w:val="000000"/>
        </w:rPr>
        <w:t>This is an application in terms of section 21(1)(c) of the Superior Courts Act 10 of</w:t>
      </w:r>
      <w:r w:rsidR="002211ED">
        <w:rPr>
          <w:rFonts w:ascii="Arial" w:hAnsi="Arial" w:cs="Arial"/>
          <w:color w:val="000000"/>
        </w:rPr>
        <w:t xml:space="preserve"> 2013 ("the Act"), whereby the a</w:t>
      </w:r>
      <w:r w:rsidR="002211ED" w:rsidRPr="00202804">
        <w:rPr>
          <w:rFonts w:ascii="Arial" w:hAnsi="Arial" w:cs="Arial"/>
          <w:color w:val="000000"/>
        </w:rPr>
        <w:t>pplicant</w:t>
      </w:r>
      <w:r w:rsidR="002211ED">
        <w:rPr>
          <w:rFonts w:ascii="Arial" w:hAnsi="Arial" w:cs="Arial"/>
          <w:color w:val="000000"/>
        </w:rPr>
        <w:t xml:space="preserve"> (</w:t>
      </w:r>
      <w:r w:rsidR="006F7A33">
        <w:rPr>
          <w:rFonts w:ascii="Arial" w:hAnsi="Arial" w:cs="Arial"/>
          <w:color w:val="000000"/>
        </w:rPr>
        <w:t>c</w:t>
      </w:r>
      <w:r w:rsidR="002211ED" w:rsidRPr="00202804">
        <w:rPr>
          <w:rFonts w:ascii="Arial" w:hAnsi="Arial" w:cs="Arial"/>
          <w:color w:val="000000"/>
        </w:rPr>
        <w:t xml:space="preserve">onveyancing </w:t>
      </w:r>
      <w:r w:rsidR="006F7A33">
        <w:rPr>
          <w:rFonts w:ascii="Arial" w:hAnsi="Arial" w:cs="Arial"/>
          <w:color w:val="000000"/>
        </w:rPr>
        <w:t>a</w:t>
      </w:r>
      <w:r w:rsidR="002211ED" w:rsidRPr="00202804">
        <w:rPr>
          <w:rFonts w:ascii="Arial" w:hAnsi="Arial" w:cs="Arial"/>
          <w:color w:val="000000"/>
        </w:rPr>
        <w:t>ttorneys</w:t>
      </w:r>
      <w:r w:rsidR="002211ED">
        <w:rPr>
          <w:rFonts w:ascii="Arial" w:hAnsi="Arial" w:cs="Arial"/>
          <w:color w:val="000000"/>
        </w:rPr>
        <w:t>)</w:t>
      </w:r>
      <w:r w:rsidR="002211ED" w:rsidRPr="00202804">
        <w:rPr>
          <w:rFonts w:ascii="Arial" w:hAnsi="Arial" w:cs="Arial"/>
          <w:color w:val="000000"/>
        </w:rPr>
        <w:t xml:space="preserve"> seek a declaration of rights in the following terms:</w:t>
      </w:r>
    </w:p>
    <w:p w:rsidR="002211ED" w:rsidRPr="0071569D" w:rsidRDefault="002211ED" w:rsidP="0071569D">
      <w:pPr>
        <w:pStyle w:val="parafullout-6pt"/>
        <w:shd w:val="clear" w:color="auto" w:fill="FFFFFF"/>
        <w:spacing w:before="120" w:beforeAutospacing="0" w:after="0" w:afterAutospacing="0" w:line="480" w:lineRule="auto"/>
        <w:ind w:left="1440" w:hanging="750"/>
        <w:jc w:val="both"/>
        <w:rPr>
          <w:rFonts w:ascii="Arial" w:hAnsi="Arial" w:cs="Arial"/>
          <w:color w:val="000000"/>
          <w:sz w:val="22"/>
          <w:szCs w:val="22"/>
        </w:rPr>
      </w:pPr>
      <w:r w:rsidRPr="0071569D">
        <w:rPr>
          <w:rFonts w:ascii="Arial" w:hAnsi="Arial" w:cs="Arial"/>
          <w:color w:val="000000"/>
          <w:sz w:val="22"/>
          <w:szCs w:val="22"/>
        </w:rPr>
        <w:t>“1.1.</w:t>
      </w:r>
      <w:r w:rsidR="006F7A33">
        <w:rPr>
          <w:rFonts w:ascii="Arial" w:hAnsi="Arial" w:cs="Arial"/>
          <w:color w:val="000000"/>
          <w:sz w:val="22"/>
          <w:szCs w:val="22"/>
        </w:rPr>
        <w:tab/>
      </w:r>
      <w:r w:rsidRPr="0071569D">
        <w:rPr>
          <w:rFonts w:ascii="Arial" w:hAnsi="Arial" w:cs="Arial"/>
          <w:color w:val="000000"/>
          <w:sz w:val="22"/>
          <w:szCs w:val="22"/>
        </w:rPr>
        <w:t>That the agreement concluded was validly and lawfully cancelled as a result of the respondents’ breach in terms of clause 13 read with clauses 13.1 and 13.1.1;</w:t>
      </w:r>
    </w:p>
    <w:p w:rsidR="002211ED" w:rsidRPr="0071569D" w:rsidRDefault="002211ED" w:rsidP="0071569D">
      <w:pPr>
        <w:pStyle w:val="parafullout-6pt"/>
        <w:shd w:val="clear" w:color="auto" w:fill="FFFFFF"/>
        <w:spacing w:before="120" w:beforeAutospacing="0" w:after="0" w:afterAutospacing="0" w:line="480" w:lineRule="auto"/>
        <w:ind w:left="1440" w:hanging="750"/>
        <w:jc w:val="both"/>
        <w:rPr>
          <w:rFonts w:ascii="Arial" w:hAnsi="Arial" w:cs="Arial"/>
          <w:color w:val="000000"/>
          <w:sz w:val="22"/>
          <w:szCs w:val="22"/>
        </w:rPr>
      </w:pPr>
      <w:r w:rsidRPr="0071569D">
        <w:rPr>
          <w:rFonts w:ascii="Arial" w:hAnsi="Arial" w:cs="Arial"/>
          <w:color w:val="000000"/>
          <w:sz w:val="22"/>
          <w:szCs w:val="22"/>
        </w:rPr>
        <w:t>1.2.</w:t>
      </w:r>
      <w:r w:rsidR="006F7A33">
        <w:rPr>
          <w:rFonts w:ascii="Arial" w:hAnsi="Arial" w:cs="Arial"/>
          <w:color w:val="000000"/>
          <w:sz w:val="22"/>
          <w:szCs w:val="22"/>
        </w:rPr>
        <w:tab/>
      </w:r>
      <w:r w:rsidRPr="0071569D">
        <w:rPr>
          <w:rFonts w:ascii="Arial" w:hAnsi="Arial" w:cs="Arial"/>
          <w:color w:val="000000"/>
          <w:sz w:val="22"/>
          <w:szCs w:val="22"/>
        </w:rPr>
        <w:t>That clause 7.1 and clause 13.1 of the agreement are valid and enforceable between the Applicant and the Respondents;</w:t>
      </w:r>
    </w:p>
    <w:p w:rsidR="006F7A33" w:rsidRDefault="002211ED" w:rsidP="0071569D">
      <w:pPr>
        <w:pStyle w:val="parafullout-6pt"/>
        <w:shd w:val="clear" w:color="auto" w:fill="FFFFFF"/>
        <w:spacing w:before="120" w:beforeAutospacing="0" w:after="0" w:afterAutospacing="0" w:line="480" w:lineRule="auto"/>
        <w:ind w:left="1440" w:hanging="750"/>
        <w:jc w:val="both"/>
        <w:rPr>
          <w:rFonts w:ascii="Arial" w:hAnsi="Arial" w:cs="Arial"/>
          <w:color w:val="000000"/>
          <w:sz w:val="22"/>
          <w:szCs w:val="22"/>
        </w:rPr>
      </w:pPr>
      <w:r w:rsidRPr="0071569D">
        <w:rPr>
          <w:rFonts w:ascii="Arial" w:hAnsi="Arial" w:cs="Arial"/>
          <w:color w:val="000000"/>
          <w:sz w:val="22"/>
          <w:szCs w:val="22"/>
        </w:rPr>
        <w:t>1.3.</w:t>
      </w:r>
      <w:r w:rsidR="006F7A33">
        <w:rPr>
          <w:rFonts w:ascii="Arial" w:hAnsi="Arial" w:cs="Arial"/>
          <w:color w:val="000000"/>
          <w:sz w:val="22"/>
          <w:szCs w:val="22"/>
        </w:rPr>
        <w:tab/>
      </w:r>
      <w:r w:rsidRPr="0071569D">
        <w:rPr>
          <w:rFonts w:ascii="Arial" w:hAnsi="Arial" w:cs="Arial"/>
          <w:color w:val="000000"/>
          <w:sz w:val="22"/>
          <w:szCs w:val="22"/>
        </w:rPr>
        <w:t xml:space="preserve">That in terms of clause 7.1 of the agreement, the Respondents are duly liable, jointly and severally, for all expenses incidental to the registration of the property; and </w:t>
      </w:r>
    </w:p>
    <w:p w:rsidR="002211ED" w:rsidRPr="0071569D" w:rsidRDefault="002211ED" w:rsidP="0071569D">
      <w:pPr>
        <w:pStyle w:val="parafullout-6pt"/>
        <w:shd w:val="clear" w:color="auto" w:fill="FFFFFF"/>
        <w:spacing w:before="120" w:beforeAutospacing="0" w:after="0" w:afterAutospacing="0" w:line="480" w:lineRule="auto"/>
        <w:ind w:left="1440" w:hanging="750"/>
        <w:jc w:val="both"/>
        <w:rPr>
          <w:rFonts w:ascii="Arial" w:hAnsi="Arial" w:cs="Arial"/>
          <w:color w:val="000000"/>
          <w:sz w:val="22"/>
          <w:szCs w:val="22"/>
        </w:rPr>
      </w:pPr>
      <w:r w:rsidRPr="0071569D">
        <w:rPr>
          <w:rFonts w:ascii="Arial" w:hAnsi="Arial" w:cs="Arial"/>
          <w:color w:val="000000"/>
          <w:sz w:val="22"/>
          <w:szCs w:val="22"/>
        </w:rPr>
        <w:t>1.4.</w:t>
      </w:r>
      <w:r w:rsidR="006F7A33">
        <w:rPr>
          <w:rFonts w:ascii="Arial" w:hAnsi="Arial" w:cs="Arial"/>
          <w:color w:val="000000"/>
          <w:sz w:val="22"/>
          <w:szCs w:val="22"/>
        </w:rPr>
        <w:tab/>
      </w:r>
      <w:r w:rsidRPr="0071569D">
        <w:rPr>
          <w:rFonts w:ascii="Arial" w:hAnsi="Arial" w:cs="Arial"/>
          <w:color w:val="000000"/>
          <w:sz w:val="22"/>
          <w:szCs w:val="22"/>
        </w:rPr>
        <w:t>That in terms of clause 13.1 of the agreement, the Applicant is lawfully entitled to retain the wasted costs incurred in the rendering of conveyancing services to the Respondents</w:t>
      </w:r>
      <w:r w:rsidR="006F7A33">
        <w:rPr>
          <w:rFonts w:ascii="Arial" w:hAnsi="Arial" w:cs="Arial"/>
          <w:color w:val="000000"/>
          <w:sz w:val="22"/>
          <w:szCs w:val="22"/>
        </w:rPr>
        <w:t>.</w:t>
      </w:r>
      <w:r w:rsidRPr="0071569D">
        <w:rPr>
          <w:rFonts w:ascii="Arial" w:hAnsi="Arial" w:cs="Arial"/>
          <w:color w:val="000000"/>
          <w:sz w:val="22"/>
          <w:szCs w:val="22"/>
        </w:rPr>
        <w:t>”</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[2]</w:t>
      </w:r>
      <w:r>
        <w:rPr>
          <w:rFonts w:ascii="Arial" w:hAnsi="Arial" w:cs="Arial"/>
          <w:color w:val="000000"/>
        </w:rPr>
        <w:tab/>
      </w:r>
      <w:r w:rsidR="002211ED">
        <w:rPr>
          <w:rFonts w:ascii="Arial" w:hAnsi="Arial" w:cs="Arial"/>
          <w:color w:val="000000"/>
        </w:rPr>
        <w:t xml:space="preserve">The background facts are largely common cause. </w:t>
      </w:r>
      <w:r w:rsidR="002211ED" w:rsidRPr="00FB18E8">
        <w:rPr>
          <w:rFonts w:ascii="Arial" w:hAnsi="Arial" w:cs="Arial"/>
          <w:color w:val="000000"/>
        </w:rPr>
        <w:t>On 24 Ma</w:t>
      </w:r>
      <w:r w:rsidR="002211ED">
        <w:rPr>
          <w:rFonts w:ascii="Arial" w:hAnsi="Arial" w:cs="Arial"/>
          <w:color w:val="000000"/>
        </w:rPr>
        <w:t>y 2021 and at Vereeniging, the r</w:t>
      </w:r>
      <w:r w:rsidR="002211ED" w:rsidRPr="00FB18E8">
        <w:rPr>
          <w:rFonts w:ascii="Arial" w:hAnsi="Arial" w:cs="Arial"/>
          <w:color w:val="000000"/>
        </w:rPr>
        <w:t>espondents</w:t>
      </w:r>
      <w:r w:rsidR="000A0AA3">
        <w:rPr>
          <w:rFonts w:ascii="Arial" w:hAnsi="Arial" w:cs="Arial"/>
          <w:color w:val="000000"/>
        </w:rPr>
        <w:t>,</w:t>
      </w:r>
      <w:r w:rsidR="002211ED" w:rsidRPr="00FB18E8">
        <w:rPr>
          <w:rFonts w:ascii="Arial" w:hAnsi="Arial" w:cs="Arial"/>
          <w:color w:val="000000"/>
        </w:rPr>
        <w:t xml:space="preserve"> duly representing themselves</w:t>
      </w:r>
      <w:r w:rsidR="000A0AA3">
        <w:rPr>
          <w:rFonts w:ascii="Arial" w:hAnsi="Arial" w:cs="Arial"/>
          <w:color w:val="000000"/>
        </w:rPr>
        <w:t>,</w:t>
      </w:r>
      <w:r w:rsidR="002211ED" w:rsidRPr="00FB18E8">
        <w:rPr>
          <w:rFonts w:ascii="Arial" w:hAnsi="Arial" w:cs="Arial"/>
          <w:color w:val="000000"/>
        </w:rPr>
        <w:t xml:space="preserve"> made a w</w:t>
      </w:r>
      <w:r w:rsidR="002211ED">
        <w:rPr>
          <w:rFonts w:ascii="Arial" w:hAnsi="Arial" w:cs="Arial"/>
          <w:color w:val="000000"/>
        </w:rPr>
        <w:t>ritten offer to purchase ("the a</w:t>
      </w:r>
      <w:r w:rsidR="002211ED" w:rsidRPr="00FB18E8">
        <w:rPr>
          <w:rFonts w:ascii="Arial" w:hAnsi="Arial" w:cs="Arial"/>
          <w:color w:val="000000"/>
        </w:rPr>
        <w:t>greement”), in respect of a property known as 2</w:t>
      </w:r>
      <w:r w:rsidR="000A0AA3">
        <w:rPr>
          <w:rFonts w:ascii="Arial" w:hAnsi="Arial" w:cs="Arial"/>
          <w:color w:val="000000"/>
        </w:rPr>
        <w:t> </w:t>
      </w:r>
      <w:r w:rsidR="002211ED" w:rsidRPr="00FB18E8">
        <w:rPr>
          <w:rFonts w:ascii="Arial" w:hAnsi="Arial" w:cs="Arial"/>
          <w:color w:val="000000"/>
        </w:rPr>
        <w:t>Hamerkop Street, Three Rivers East, which offer was duly a</w:t>
      </w:r>
      <w:r w:rsidR="002211ED">
        <w:rPr>
          <w:rFonts w:ascii="Arial" w:hAnsi="Arial" w:cs="Arial"/>
          <w:color w:val="000000"/>
        </w:rPr>
        <w:t>ccepted and attested to by the s</w:t>
      </w:r>
      <w:r w:rsidR="002211ED" w:rsidRPr="00FB18E8">
        <w:rPr>
          <w:rFonts w:ascii="Arial" w:hAnsi="Arial" w:cs="Arial"/>
          <w:color w:val="000000"/>
        </w:rPr>
        <w:t>eller</w:t>
      </w:r>
      <w:r w:rsidR="002211ED">
        <w:rPr>
          <w:rFonts w:ascii="Arial" w:hAnsi="Arial" w:cs="Arial"/>
          <w:color w:val="000000"/>
        </w:rPr>
        <w:t>, a certain Mr Viljoen.</w:t>
      </w:r>
      <w:r w:rsidR="002211ED" w:rsidRPr="00202804">
        <w:rPr>
          <w:rFonts w:ascii="Arial" w:hAnsi="Arial" w:cs="Arial"/>
          <w:color w:val="000000"/>
        </w:rPr>
        <w:t xml:space="preserve"> The </w:t>
      </w:r>
      <w:r w:rsidR="002211ED">
        <w:rPr>
          <w:rFonts w:ascii="Arial" w:hAnsi="Arial" w:cs="Arial"/>
          <w:color w:val="000000"/>
        </w:rPr>
        <w:t xml:space="preserve">basis of this application </w:t>
      </w:r>
      <w:r w:rsidR="002211ED" w:rsidRPr="00202804">
        <w:rPr>
          <w:rFonts w:ascii="Arial" w:hAnsi="Arial" w:cs="Arial"/>
          <w:color w:val="000000"/>
        </w:rPr>
        <w:t xml:space="preserve">has its origin in </w:t>
      </w:r>
      <w:r w:rsidR="002211ED">
        <w:rPr>
          <w:rFonts w:ascii="Arial" w:hAnsi="Arial" w:cs="Arial"/>
          <w:color w:val="000000"/>
        </w:rPr>
        <w:t xml:space="preserve">the </w:t>
      </w:r>
      <w:r w:rsidR="002211ED" w:rsidRPr="00202804">
        <w:rPr>
          <w:rFonts w:ascii="Arial" w:hAnsi="Arial" w:cs="Arial"/>
          <w:color w:val="000000"/>
        </w:rPr>
        <w:t xml:space="preserve">agreement </w:t>
      </w:r>
      <w:r w:rsidR="002211ED">
        <w:rPr>
          <w:rFonts w:ascii="Arial" w:hAnsi="Arial" w:cs="Arial"/>
          <w:color w:val="000000"/>
        </w:rPr>
        <w:t>referred to above between Mr Viljoen and the respondents as joint p</w:t>
      </w:r>
      <w:r w:rsidR="002211ED" w:rsidRPr="00202804">
        <w:rPr>
          <w:rFonts w:ascii="Arial" w:hAnsi="Arial" w:cs="Arial"/>
          <w:color w:val="000000"/>
        </w:rPr>
        <w:t>urchasers.</w:t>
      </w:r>
      <w:r w:rsidR="002211ED">
        <w:rPr>
          <w:rFonts w:ascii="Arial" w:hAnsi="Arial" w:cs="Arial"/>
          <w:color w:val="000000"/>
        </w:rPr>
        <w:t xml:space="preserve"> Viljoen, on the applicant’s version, cancelled the agreement which the respondents dispute. Mr Viljoen has not been cited in this application.</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[3]</w:t>
      </w:r>
      <w:r>
        <w:rPr>
          <w:rFonts w:ascii="Arial" w:hAnsi="Arial" w:cs="Arial"/>
          <w:color w:val="000000"/>
        </w:rPr>
        <w:tab/>
      </w:r>
      <w:r w:rsidR="002211ED">
        <w:rPr>
          <w:rFonts w:ascii="Arial" w:hAnsi="Arial" w:cs="Arial"/>
          <w:color w:val="000000"/>
        </w:rPr>
        <w:t>I</w:t>
      </w:r>
      <w:r w:rsidR="002211ED" w:rsidRPr="00E328E7">
        <w:rPr>
          <w:rFonts w:ascii="Arial" w:hAnsi="Arial" w:cs="Arial"/>
          <w:color w:val="000000"/>
        </w:rPr>
        <w:t xml:space="preserve">n seeking relief from the agreement, </w:t>
      </w:r>
      <w:r w:rsidR="002211ED">
        <w:rPr>
          <w:rFonts w:ascii="Arial" w:hAnsi="Arial" w:cs="Arial"/>
          <w:color w:val="000000"/>
        </w:rPr>
        <w:t xml:space="preserve">the applicant contends </w:t>
      </w:r>
      <w:r w:rsidR="002211ED" w:rsidRPr="00E328E7">
        <w:rPr>
          <w:rFonts w:ascii="Arial" w:hAnsi="Arial" w:cs="Arial"/>
          <w:color w:val="000000"/>
        </w:rPr>
        <w:t>that the agreement was validly and lawfully cancelled</w:t>
      </w:r>
      <w:r w:rsidR="002211ED">
        <w:rPr>
          <w:rFonts w:ascii="Arial" w:hAnsi="Arial" w:cs="Arial"/>
          <w:color w:val="000000"/>
        </w:rPr>
        <w:t>.</w:t>
      </w:r>
      <w:r w:rsidR="002211ED" w:rsidRPr="00E328E7">
        <w:rPr>
          <w:rFonts w:ascii="Arial" w:hAnsi="Arial" w:cs="Arial"/>
          <w:color w:val="000000"/>
        </w:rPr>
        <w:t xml:space="preserve"> </w:t>
      </w:r>
      <w:r w:rsidR="002211ED">
        <w:rPr>
          <w:rFonts w:ascii="Arial" w:hAnsi="Arial" w:cs="Arial"/>
          <w:color w:val="000000"/>
        </w:rPr>
        <w:t xml:space="preserve">The applicant relies on </w:t>
      </w:r>
      <w:r w:rsidR="002211ED" w:rsidRPr="00E328E7">
        <w:rPr>
          <w:rFonts w:ascii="Arial" w:hAnsi="Arial" w:cs="Arial"/>
          <w:color w:val="000000"/>
        </w:rPr>
        <w:t>Clause 7 of the agreement</w:t>
      </w:r>
      <w:r w:rsidR="002211ED">
        <w:rPr>
          <w:rFonts w:ascii="Arial" w:hAnsi="Arial" w:cs="Arial"/>
          <w:color w:val="000000"/>
        </w:rPr>
        <w:t>,</w:t>
      </w:r>
      <w:r w:rsidR="002211ED" w:rsidRPr="00E328E7">
        <w:rPr>
          <w:rFonts w:ascii="Arial" w:hAnsi="Arial" w:cs="Arial"/>
          <w:color w:val="000000"/>
        </w:rPr>
        <w:t xml:space="preserve"> </w:t>
      </w:r>
      <w:r w:rsidR="002211ED">
        <w:rPr>
          <w:rFonts w:ascii="Arial" w:hAnsi="Arial" w:cs="Arial"/>
          <w:color w:val="000000"/>
        </w:rPr>
        <w:t>which</w:t>
      </w:r>
      <w:r w:rsidR="002211ED" w:rsidRPr="00E328E7">
        <w:rPr>
          <w:rFonts w:ascii="Arial" w:hAnsi="Arial" w:cs="Arial"/>
          <w:color w:val="000000"/>
        </w:rPr>
        <w:t xml:space="preserve"> specifically deals with the transfer costs relating to the immovable property, and</w:t>
      </w:r>
      <w:r w:rsidR="002211ED">
        <w:rPr>
          <w:rFonts w:ascii="Arial" w:hAnsi="Arial" w:cs="Arial"/>
          <w:color w:val="000000"/>
        </w:rPr>
        <w:t xml:space="preserve"> Clause</w:t>
      </w:r>
      <w:r w:rsidR="002211ED" w:rsidRPr="00E328E7">
        <w:rPr>
          <w:rFonts w:ascii="Arial" w:hAnsi="Arial" w:cs="Arial"/>
          <w:color w:val="000000"/>
        </w:rPr>
        <w:t xml:space="preserve"> 7.1. provides as follows:</w:t>
      </w:r>
    </w:p>
    <w:p w:rsidR="002211ED" w:rsidRPr="0071569D" w:rsidRDefault="002211ED" w:rsidP="004556DC">
      <w:pPr>
        <w:pStyle w:val="parafullout-6pt"/>
        <w:shd w:val="clear" w:color="auto" w:fill="FFFFFF"/>
        <w:spacing w:before="120" w:beforeAutospacing="0" w:after="0" w:afterAutospacing="0" w:line="480" w:lineRule="auto"/>
        <w:ind w:left="690"/>
        <w:jc w:val="both"/>
        <w:rPr>
          <w:rFonts w:ascii="Arial" w:hAnsi="Arial" w:cs="Arial"/>
          <w:color w:val="000000"/>
          <w:sz w:val="22"/>
          <w:szCs w:val="22"/>
        </w:rPr>
      </w:pPr>
      <w:r w:rsidRPr="0071569D">
        <w:rPr>
          <w:rFonts w:ascii="Arial" w:hAnsi="Arial" w:cs="Arial"/>
          <w:color w:val="000000"/>
          <w:sz w:val="22"/>
          <w:szCs w:val="22"/>
        </w:rPr>
        <w:t>“All costs of Transfer, including but limited to, Transfer Duty and the costs of registering any mortgage bonds which may be required, as well as survey and diagram fees if applicable, and any VAT payable on such costs, shall be paid by the Purchaser”.</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cs="Arial"/>
          <w:sz w:val="25"/>
          <w:szCs w:val="25"/>
        </w:rPr>
      </w:pPr>
      <w:r>
        <w:rPr>
          <w:rFonts w:ascii="Arial" w:hAnsi="Arial" w:cs="Arial"/>
        </w:rPr>
        <w:t>[4]</w:t>
      </w:r>
      <w:r>
        <w:rPr>
          <w:rFonts w:ascii="Arial" w:hAnsi="Arial" w:cs="Arial"/>
        </w:rPr>
        <w:tab/>
      </w:r>
      <w:r w:rsidR="002211ED">
        <w:rPr>
          <w:rFonts w:ascii="Arial" w:hAnsi="Arial" w:cs="Arial"/>
          <w:color w:val="000000"/>
        </w:rPr>
        <w:t>The r</w:t>
      </w:r>
      <w:r w:rsidR="002211ED" w:rsidRPr="00FB18E8">
        <w:rPr>
          <w:rFonts w:ascii="Arial" w:hAnsi="Arial" w:cs="Arial"/>
          <w:color w:val="000000"/>
        </w:rPr>
        <w:t xml:space="preserve">espondents </w:t>
      </w:r>
      <w:r w:rsidR="002211ED">
        <w:rPr>
          <w:rFonts w:ascii="Arial" w:hAnsi="Arial" w:cs="Arial"/>
          <w:color w:val="000000"/>
        </w:rPr>
        <w:t xml:space="preserve">in </w:t>
      </w:r>
      <w:r w:rsidR="002211ED" w:rsidRPr="00FB18E8">
        <w:rPr>
          <w:rFonts w:ascii="Arial" w:hAnsi="Arial" w:cs="Arial"/>
          <w:color w:val="000000"/>
        </w:rPr>
        <w:t>their opposing affidavit rais</w:t>
      </w:r>
      <w:r w:rsidR="002211ED">
        <w:rPr>
          <w:rFonts w:ascii="Arial" w:hAnsi="Arial" w:cs="Arial"/>
          <w:color w:val="000000"/>
        </w:rPr>
        <w:t xml:space="preserve">ed three points </w:t>
      </w:r>
      <w:r w:rsidR="002211ED" w:rsidRPr="0071569D">
        <w:rPr>
          <w:rFonts w:ascii="Arial" w:hAnsi="Arial" w:cs="Arial"/>
          <w:i/>
          <w:color w:val="000000"/>
        </w:rPr>
        <w:t>in limine</w:t>
      </w:r>
      <w:r w:rsidR="002211ED">
        <w:rPr>
          <w:rFonts w:ascii="Arial" w:hAnsi="Arial" w:cs="Arial"/>
          <w:color w:val="000000"/>
        </w:rPr>
        <w:t xml:space="preserve"> </w:t>
      </w:r>
      <w:r w:rsidR="002211ED" w:rsidRPr="00780155">
        <w:rPr>
          <w:rFonts w:ascii="Arial" w:hAnsi="Arial" w:cs="Arial"/>
          <w:color w:val="000000"/>
        </w:rPr>
        <w:t>being</w:t>
      </w:r>
      <w:r w:rsidR="002211ED">
        <w:t xml:space="preserve"> </w:t>
      </w:r>
      <w:r w:rsidR="002211ED" w:rsidRPr="00780155">
        <w:rPr>
          <w:rFonts w:ascii="Arial" w:hAnsi="Arial" w:cs="Arial"/>
          <w:i/>
          <w:color w:val="000000"/>
        </w:rPr>
        <w:t>locus standi</w:t>
      </w:r>
      <w:r w:rsidR="002211ED" w:rsidRPr="00780155">
        <w:rPr>
          <w:rFonts w:ascii="Arial" w:hAnsi="Arial" w:cs="Arial"/>
          <w:color w:val="000000"/>
        </w:rPr>
        <w:t>, jurisdiction and non-compliance with Uniform Rule 18(1)</w:t>
      </w:r>
      <w:r w:rsidR="002211ED">
        <w:rPr>
          <w:rFonts w:ascii="Arial" w:hAnsi="Arial" w:cs="Arial"/>
          <w:color w:val="000000"/>
        </w:rPr>
        <w:t xml:space="preserve">. The last point in limine was abandoned and accordingly requires no determination. Only </w:t>
      </w:r>
      <w:r w:rsidR="002211ED" w:rsidRPr="00ED3107">
        <w:rPr>
          <w:rFonts w:ascii="Arial" w:hAnsi="Arial" w:cs="Arial"/>
          <w:color w:val="000000"/>
        </w:rPr>
        <w:t xml:space="preserve">the first two points in limine </w:t>
      </w:r>
      <w:r w:rsidR="002211ED" w:rsidRPr="0071569D">
        <w:rPr>
          <w:rFonts w:ascii="Arial" w:hAnsi="Arial" w:cs="Arial"/>
        </w:rPr>
        <w:t>were persisted with.</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[5]</w:t>
      </w:r>
      <w:r>
        <w:rPr>
          <w:rFonts w:ascii="Arial" w:hAnsi="Arial" w:cs="Arial"/>
          <w:color w:val="000000"/>
        </w:rPr>
        <w:tab/>
      </w:r>
      <w:r w:rsidR="002211ED">
        <w:rPr>
          <w:rFonts w:ascii="Arial" w:hAnsi="Arial" w:cs="Arial"/>
          <w:color w:val="000000"/>
        </w:rPr>
        <w:t>First, the respondents contend that the a</w:t>
      </w:r>
      <w:r w:rsidR="002211ED" w:rsidRPr="00FB18E8">
        <w:rPr>
          <w:rFonts w:ascii="Arial" w:hAnsi="Arial" w:cs="Arial"/>
          <w:color w:val="000000"/>
        </w:rPr>
        <w:t>pplicant was not a party to the</w:t>
      </w:r>
      <w:r w:rsidR="002211ED">
        <w:rPr>
          <w:rFonts w:ascii="Arial" w:hAnsi="Arial" w:cs="Arial"/>
          <w:color w:val="000000"/>
        </w:rPr>
        <w:t xml:space="preserve"> </w:t>
      </w:r>
      <w:r w:rsidR="002211ED" w:rsidRPr="00FB18E8">
        <w:rPr>
          <w:rFonts w:ascii="Arial" w:hAnsi="Arial" w:cs="Arial"/>
          <w:color w:val="000000"/>
        </w:rPr>
        <w:t xml:space="preserve">offer to purchase agreement concluded between Viljoen ("the Seller"), </w:t>
      </w:r>
      <w:r w:rsidR="002211ED">
        <w:rPr>
          <w:rFonts w:ascii="Arial" w:hAnsi="Arial" w:cs="Arial"/>
          <w:color w:val="000000"/>
        </w:rPr>
        <w:t>and the respondents</w:t>
      </w:r>
      <w:r w:rsidR="002211ED" w:rsidRPr="00FB18E8">
        <w:rPr>
          <w:rFonts w:ascii="Arial" w:hAnsi="Arial" w:cs="Arial"/>
          <w:color w:val="000000"/>
        </w:rPr>
        <w:t>. The</w:t>
      </w:r>
      <w:r w:rsidR="002211ED">
        <w:rPr>
          <w:rFonts w:ascii="Arial" w:hAnsi="Arial" w:cs="Arial"/>
          <w:color w:val="000000"/>
        </w:rPr>
        <w:t xml:space="preserve"> respondents contend that the a</w:t>
      </w:r>
      <w:r w:rsidR="002211ED" w:rsidRPr="00FB18E8">
        <w:rPr>
          <w:rFonts w:ascii="Arial" w:hAnsi="Arial" w:cs="Arial"/>
          <w:color w:val="000000"/>
        </w:rPr>
        <w:t xml:space="preserve">pplicant does not have the required </w:t>
      </w:r>
      <w:r w:rsidR="002211ED" w:rsidRPr="00594CD1">
        <w:rPr>
          <w:rFonts w:ascii="Arial" w:hAnsi="Arial" w:cs="Arial"/>
          <w:i/>
          <w:color w:val="000000"/>
        </w:rPr>
        <w:t>locus standi</w:t>
      </w:r>
      <w:r w:rsidR="002211ED">
        <w:rPr>
          <w:rFonts w:ascii="Arial" w:hAnsi="Arial" w:cs="Arial"/>
          <w:color w:val="000000"/>
        </w:rPr>
        <w:t xml:space="preserve"> to launch this application.</w:t>
      </w:r>
    </w:p>
    <w:p w:rsidR="002211ED" w:rsidRPr="00202804"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sidRPr="00202804">
        <w:rPr>
          <w:rFonts w:ascii="Arial" w:hAnsi="Arial" w:cs="Arial"/>
          <w:color w:val="000000"/>
        </w:rPr>
        <w:t>[6]</w:t>
      </w:r>
      <w:r w:rsidRPr="00202804">
        <w:rPr>
          <w:rFonts w:ascii="Arial" w:hAnsi="Arial" w:cs="Arial"/>
          <w:color w:val="000000"/>
        </w:rPr>
        <w:tab/>
      </w:r>
      <w:r w:rsidR="004556DC">
        <w:rPr>
          <w:rFonts w:ascii="Arial" w:hAnsi="Arial" w:cs="Arial"/>
          <w:color w:val="000000"/>
        </w:rPr>
        <w:t>The r</w:t>
      </w:r>
      <w:r w:rsidR="002211ED" w:rsidRPr="00517427">
        <w:rPr>
          <w:rFonts w:ascii="Arial" w:hAnsi="Arial" w:cs="Arial"/>
          <w:color w:val="000000"/>
        </w:rPr>
        <w:t>espondents raised a</w:t>
      </w:r>
      <w:r w:rsidR="002211ED">
        <w:rPr>
          <w:rFonts w:ascii="Arial" w:hAnsi="Arial" w:cs="Arial"/>
          <w:color w:val="000000"/>
        </w:rPr>
        <w:t xml:space="preserve"> second</w:t>
      </w:r>
      <w:r w:rsidR="002211ED" w:rsidRPr="00517427">
        <w:rPr>
          <w:rFonts w:ascii="Arial" w:hAnsi="Arial" w:cs="Arial"/>
          <w:color w:val="000000"/>
        </w:rPr>
        <w:t xml:space="preserve"> point</w:t>
      </w:r>
      <w:r w:rsidR="002211ED">
        <w:rPr>
          <w:rFonts w:ascii="Arial" w:hAnsi="Arial" w:cs="Arial"/>
          <w:color w:val="000000"/>
        </w:rPr>
        <w:t xml:space="preserve"> </w:t>
      </w:r>
      <w:r w:rsidR="002211ED" w:rsidRPr="0071569D">
        <w:rPr>
          <w:rFonts w:ascii="Arial" w:hAnsi="Arial" w:cs="Arial"/>
          <w:i/>
          <w:color w:val="000000"/>
        </w:rPr>
        <w:t>in limine</w:t>
      </w:r>
      <w:r w:rsidR="002211ED" w:rsidRPr="00517427">
        <w:rPr>
          <w:rFonts w:ascii="Arial" w:hAnsi="Arial" w:cs="Arial"/>
          <w:color w:val="000000"/>
        </w:rPr>
        <w:t xml:space="preserve"> perta</w:t>
      </w:r>
      <w:r w:rsidR="002211ED">
        <w:rPr>
          <w:rFonts w:ascii="Arial" w:hAnsi="Arial" w:cs="Arial"/>
          <w:color w:val="000000"/>
        </w:rPr>
        <w:t>ining to the jurisdiction of this</w:t>
      </w:r>
      <w:r w:rsidR="002211ED" w:rsidRPr="00517427">
        <w:rPr>
          <w:rFonts w:ascii="Arial" w:hAnsi="Arial" w:cs="Arial"/>
          <w:color w:val="000000"/>
        </w:rPr>
        <w:t xml:space="preserve"> Court</w:t>
      </w:r>
      <w:r w:rsidR="002211ED">
        <w:rPr>
          <w:rFonts w:ascii="Arial" w:hAnsi="Arial" w:cs="Arial"/>
          <w:color w:val="000000"/>
        </w:rPr>
        <w:t>. I</w:t>
      </w:r>
      <w:r w:rsidR="002211ED" w:rsidRPr="00517427">
        <w:rPr>
          <w:rFonts w:ascii="Arial" w:hAnsi="Arial" w:cs="Arial"/>
          <w:color w:val="000000"/>
        </w:rPr>
        <w:t>n doing so</w:t>
      </w:r>
      <w:r w:rsidR="002211ED">
        <w:rPr>
          <w:rFonts w:ascii="Arial" w:hAnsi="Arial" w:cs="Arial"/>
          <w:color w:val="000000"/>
        </w:rPr>
        <w:t>,</w:t>
      </w:r>
      <w:r w:rsidR="002211ED" w:rsidRPr="00517427">
        <w:rPr>
          <w:rFonts w:ascii="Arial" w:hAnsi="Arial" w:cs="Arial"/>
          <w:color w:val="000000"/>
        </w:rPr>
        <w:t xml:space="preserve"> </w:t>
      </w:r>
      <w:r w:rsidR="002211ED">
        <w:rPr>
          <w:rFonts w:ascii="Arial" w:hAnsi="Arial" w:cs="Arial"/>
          <w:color w:val="000000"/>
        </w:rPr>
        <w:t xml:space="preserve">they </w:t>
      </w:r>
      <w:r w:rsidR="002211ED" w:rsidRPr="00517427">
        <w:rPr>
          <w:rFonts w:ascii="Arial" w:hAnsi="Arial" w:cs="Arial"/>
          <w:color w:val="000000"/>
        </w:rPr>
        <w:t xml:space="preserve">rely on the fact that they stipulated their </w:t>
      </w:r>
      <w:r w:rsidR="002211ED" w:rsidRPr="00594CD1">
        <w:rPr>
          <w:rFonts w:ascii="Arial" w:hAnsi="Arial" w:cs="Arial"/>
          <w:i/>
          <w:color w:val="000000"/>
        </w:rPr>
        <w:t>domicilium citandi et executandi</w:t>
      </w:r>
      <w:r w:rsidR="002211ED" w:rsidRPr="00517427">
        <w:rPr>
          <w:rFonts w:ascii="Arial" w:hAnsi="Arial" w:cs="Arial"/>
          <w:color w:val="000000"/>
        </w:rPr>
        <w:t xml:space="preserve"> as 1</w:t>
      </w:r>
      <w:r w:rsidR="004556DC">
        <w:rPr>
          <w:rFonts w:ascii="Arial" w:hAnsi="Arial" w:cs="Arial"/>
          <w:color w:val="000000"/>
        </w:rPr>
        <w:t>9 Gamtoos Street, Secunda. The r</w:t>
      </w:r>
      <w:r w:rsidR="002211ED" w:rsidRPr="00517427">
        <w:rPr>
          <w:rFonts w:ascii="Arial" w:hAnsi="Arial" w:cs="Arial"/>
          <w:color w:val="000000"/>
        </w:rPr>
        <w:t xml:space="preserve">espondents elaborate on </w:t>
      </w:r>
      <w:r w:rsidR="002211ED">
        <w:rPr>
          <w:rFonts w:ascii="Arial" w:hAnsi="Arial" w:cs="Arial"/>
          <w:color w:val="000000"/>
        </w:rPr>
        <w:t>this point by stating that the a</w:t>
      </w:r>
      <w:r w:rsidR="002211ED" w:rsidRPr="00517427">
        <w:rPr>
          <w:rFonts w:ascii="Arial" w:hAnsi="Arial" w:cs="Arial"/>
          <w:color w:val="000000"/>
        </w:rPr>
        <w:t xml:space="preserve">pplicant was not a party to the agreement and in terms of the </w:t>
      </w:r>
      <w:r w:rsidR="002211ED" w:rsidRPr="00594CD1">
        <w:rPr>
          <w:rFonts w:ascii="Arial" w:hAnsi="Arial" w:cs="Arial"/>
          <w:i/>
          <w:color w:val="000000"/>
        </w:rPr>
        <w:t>maxim actor sequitur forum rei</w:t>
      </w:r>
      <w:r w:rsidR="002211ED" w:rsidRPr="00517427">
        <w:rPr>
          <w:rFonts w:ascii="Arial" w:hAnsi="Arial" w:cs="Arial"/>
          <w:color w:val="000000"/>
        </w:rPr>
        <w:t>, the application ought to be launched in the</w:t>
      </w:r>
      <w:r w:rsidR="002211ED">
        <w:rPr>
          <w:rFonts w:ascii="Arial" w:hAnsi="Arial" w:cs="Arial"/>
          <w:color w:val="000000"/>
        </w:rPr>
        <w:t xml:space="preserve"> Mpumalanga</w:t>
      </w:r>
      <w:r w:rsidR="002211ED" w:rsidRPr="00517427">
        <w:rPr>
          <w:rFonts w:ascii="Arial" w:hAnsi="Arial" w:cs="Arial"/>
          <w:color w:val="000000"/>
        </w:rPr>
        <w:t xml:space="preserve"> High Court, Nelspruit.</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[7]</w:t>
      </w:r>
      <w:r>
        <w:rPr>
          <w:rFonts w:ascii="Arial" w:hAnsi="Arial" w:cs="Arial"/>
          <w:color w:val="000000"/>
        </w:rPr>
        <w:tab/>
      </w:r>
      <w:r w:rsidR="004556DC">
        <w:rPr>
          <w:rFonts w:ascii="Arial" w:hAnsi="Arial" w:cs="Arial"/>
          <w:color w:val="000000"/>
        </w:rPr>
        <w:t>The r</w:t>
      </w:r>
      <w:r w:rsidR="002211ED" w:rsidRPr="00202804">
        <w:rPr>
          <w:rFonts w:ascii="Arial" w:hAnsi="Arial" w:cs="Arial"/>
          <w:color w:val="000000"/>
        </w:rPr>
        <w:t>espondents argued that as</w:t>
      </w:r>
      <w:r w:rsidR="00ED3107">
        <w:rPr>
          <w:rFonts w:ascii="Arial" w:hAnsi="Arial" w:cs="Arial"/>
          <w:color w:val="000000"/>
        </w:rPr>
        <w:t xml:space="preserve"> </w:t>
      </w:r>
      <w:r w:rsidR="002211ED" w:rsidRPr="0071569D">
        <w:rPr>
          <w:rFonts w:ascii="Arial" w:hAnsi="Arial" w:cs="Arial"/>
          <w:iCs/>
          <w:color w:val="000000"/>
        </w:rPr>
        <w:t>per</w:t>
      </w:r>
      <w:r w:rsidR="00ED3107">
        <w:rPr>
          <w:rFonts w:ascii="Arial" w:hAnsi="Arial" w:cs="Arial"/>
          <w:color w:val="000000"/>
        </w:rPr>
        <w:t xml:space="preserve"> </w:t>
      </w:r>
      <w:r w:rsidR="002211ED" w:rsidRPr="00202804">
        <w:rPr>
          <w:rFonts w:ascii="Arial" w:hAnsi="Arial" w:cs="Arial"/>
          <w:color w:val="000000"/>
        </w:rPr>
        <w:t>the</w:t>
      </w:r>
      <w:r w:rsidR="002211ED">
        <w:rPr>
          <w:rFonts w:ascii="Arial" w:hAnsi="Arial" w:cs="Arial"/>
          <w:color w:val="000000"/>
        </w:rPr>
        <w:t xml:space="preserve"> agreement relied upon, the a</w:t>
      </w:r>
      <w:r w:rsidR="002211ED" w:rsidRPr="00202804">
        <w:rPr>
          <w:rFonts w:ascii="Arial" w:hAnsi="Arial" w:cs="Arial"/>
          <w:color w:val="000000"/>
        </w:rPr>
        <w:t>pplicant lacked</w:t>
      </w:r>
      <w:r w:rsidR="00ED3107">
        <w:rPr>
          <w:rFonts w:ascii="Arial" w:hAnsi="Arial" w:cs="Arial"/>
          <w:color w:val="000000"/>
        </w:rPr>
        <w:t xml:space="preserve"> </w:t>
      </w:r>
      <w:r w:rsidR="002211ED" w:rsidRPr="00202804">
        <w:rPr>
          <w:rFonts w:ascii="Arial" w:hAnsi="Arial" w:cs="Arial"/>
          <w:i/>
          <w:iCs/>
          <w:color w:val="000000"/>
        </w:rPr>
        <w:t>locus standi</w:t>
      </w:r>
      <w:r w:rsidR="00ED3107">
        <w:rPr>
          <w:rFonts w:ascii="Arial" w:hAnsi="Arial" w:cs="Arial"/>
          <w:i/>
          <w:iCs/>
          <w:color w:val="000000"/>
        </w:rPr>
        <w:t xml:space="preserve"> </w:t>
      </w:r>
      <w:r w:rsidR="002211ED" w:rsidRPr="00202804">
        <w:rPr>
          <w:rFonts w:ascii="Arial" w:hAnsi="Arial" w:cs="Arial"/>
          <w:color w:val="000000"/>
        </w:rPr>
        <w:t xml:space="preserve">to institute </w:t>
      </w:r>
      <w:r w:rsidR="002211ED">
        <w:rPr>
          <w:rFonts w:ascii="Arial" w:hAnsi="Arial" w:cs="Arial"/>
          <w:color w:val="000000"/>
        </w:rPr>
        <w:t xml:space="preserve">these </w:t>
      </w:r>
      <w:r w:rsidR="002211ED" w:rsidRPr="00202804">
        <w:rPr>
          <w:rFonts w:ascii="Arial" w:hAnsi="Arial" w:cs="Arial"/>
          <w:color w:val="000000"/>
        </w:rPr>
        <w:t xml:space="preserve">legal proceedings, as </w:t>
      </w:r>
      <w:r w:rsidR="002211ED">
        <w:rPr>
          <w:rFonts w:ascii="Arial" w:hAnsi="Arial" w:cs="Arial"/>
          <w:color w:val="000000"/>
        </w:rPr>
        <w:t>Mr Viljoen was</w:t>
      </w:r>
      <w:r w:rsidR="002211ED" w:rsidRPr="00202804">
        <w:rPr>
          <w:rFonts w:ascii="Arial" w:hAnsi="Arial" w:cs="Arial"/>
          <w:color w:val="000000"/>
        </w:rPr>
        <w:t xml:space="preserve"> not named as parties to these proceedings.</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[8]</w:t>
      </w:r>
      <w:r>
        <w:rPr>
          <w:rFonts w:ascii="Arial" w:hAnsi="Arial" w:cs="Arial"/>
          <w:color w:val="000000"/>
        </w:rPr>
        <w:tab/>
      </w:r>
      <w:r w:rsidR="002211ED">
        <w:rPr>
          <w:rFonts w:ascii="Arial" w:hAnsi="Arial" w:cs="Arial"/>
          <w:color w:val="000000"/>
        </w:rPr>
        <w:t xml:space="preserve">In argument regarding the first point </w:t>
      </w:r>
      <w:r w:rsidR="002211ED" w:rsidRPr="00594CD1">
        <w:rPr>
          <w:rFonts w:ascii="Arial" w:hAnsi="Arial" w:cs="Arial"/>
          <w:i/>
          <w:color w:val="000000"/>
        </w:rPr>
        <w:t>in limine</w:t>
      </w:r>
      <w:r w:rsidR="002211ED">
        <w:rPr>
          <w:rFonts w:ascii="Arial" w:hAnsi="Arial" w:cs="Arial"/>
          <w:color w:val="000000"/>
        </w:rPr>
        <w:t xml:space="preserve"> (</w:t>
      </w:r>
      <w:r w:rsidR="002211ED" w:rsidRPr="00594CD1">
        <w:rPr>
          <w:rFonts w:ascii="Arial" w:hAnsi="Arial" w:cs="Arial"/>
          <w:i/>
          <w:color w:val="000000"/>
        </w:rPr>
        <w:t>locus standi</w:t>
      </w:r>
      <w:r w:rsidR="002211ED">
        <w:rPr>
          <w:rFonts w:ascii="Arial" w:hAnsi="Arial" w:cs="Arial"/>
          <w:color w:val="000000"/>
        </w:rPr>
        <w:t>), the applicant sought a postponement of these proceedings from the bar which was strenuously opposed by the respondents. In essence</w:t>
      </w:r>
      <w:r w:rsidR="000520CE">
        <w:rPr>
          <w:rFonts w:ascii="Arial" w:hAnsi="Arial" w:cs="Arial"/>
          <w:color w:val="000000"/>
        </w:rPr>
        <w:t xml:space="preserve"> however</w:t>
      </w:r>
      <w:r w:rsidR="002211ED">
        <w:rPr>
          <w:rFonts w:ascii="Arial" w:hAnsi="Arial" w:cs="Arial"/>
          <w:color w:val="000000"/>
        </w:rPr>
        <w:t>, a</w:t>
      </w:r>
      <w:r w:rsidR="002211ED" w:rsidRPr="00236363">
        <w:rPr>
          <w:rFonts w:ascii="Arial" w:hAnsi="Arial" w:cs="Arial"/>
          <w:iCs/>
          <w:color w:val="000000"/>
        </w:rPr>
        <w:t>n applicant for a postponement seeks an indulgence</w:t>
      </w:r>
      <w:r w:rsidR="00B76E46">
        <w:rPr>
          <w:rFonts w:ascii="Arial" w:hAnsi="Arial" w:cs="Arial"/>
          <w:iCs/>
          <w:color w:val="000000"/>
        </w:rPr>
        <w:t>.</w:t>
      </w:r>
      <w:r w:rsidR="001D4C89">
        <w:rPr>
          <w:rStyle w:val="FootnoteReference"/>
          <w:rFonts w:ascii="Arial" w:hAnsi="Arial" w:cs="Arial"/>
          <w:iCs/>
          <w:color w:val="000000"/>
        </w:rPr>
        <w:footnoteReference w:id="1"/>
      </w:r>
      <w:r w:rsidR="00ED3107">
        <w:rPr>
          <w:rFonts w:ascii="Arial" w:hAnsi="Arial" w:cs="Arial"/>
          <w:iCs/>
          <w:color w:val="242121"/>
          <w:sz w:val="27"/>
          <w:szCs w:val="27"/>
          <w:shd w:val="clear" w:color="auto" w:fill="FFFFFF"/>
        </w:rPr>
        <w:t xml:space="preserve"> </w:t>
      </w:r>
      <w:r w:rsidR="002211ED" w:rsidRPr="00236363">
        <w:rPr>
          <w:rFonts w:ascii="Arial" w:hAnsi="Arial" w:cs="Arial"/>
          <w:color w:val="000000"/>
        </w:rPr>
        <w:t xml:space="preserve">The court has a discretion as to whether an application for a postponement should be granted or refused. </w:t>
      </w:r>
      <w:r w:rsidR="000520CE" w:rsidRPr="00236363">
        <w:rPr>
          <w:rFonts w:ascii="Arial" w:hAnsi="Arial" w:cs="Arial"/>
          <w:color w:val="000000"/>
        </w:rPr>
        <w:t>In consequence</w:t>
      </w:r>
      <w:r w:rsidR="002211ED" w:rsidRPr="00236363">
        <w:rPr>
          <w:rFonts w:ascii="Arial" w:hAnsi="Arial" w:cs="Arial"/>
          <w:color w:val="000000"/>
        </w:rPr>
        <w:t>, the court has a discretion</w:t>
      </w:r>
      <w:r w:rsidR="00ED3107">
        <w:rPr>
          <w:rFonts w:ascii="Arial" w:hAnsi="Arial" w:cs="Arial"/>
          <w:color w:val="000000"/>
        </w:rPr>
        <w:t>,</w:t>
      </w:r>
      <w:r w:rsidR="002211ED">
        <w:rPr>
          <w:rFonts w:ascii="Arial" w:hAnsi="Arial" w:cs="Arial"/>
          <w:color w:val="000000"/>
        </w:rPr>
        <w:t xml:space="preserve"> which </w:t>
      </w:r>
      <w:r w:rsidR="002211ED" w:rsidRPr="00236363">
        <w:rPr>
          <w:rFonts w:ascii="Arial" w:hAnsi="Arial" w:cs="Arial"/>
          <w:color w:val="000000"/>
        </w:rPr>
        <w:t>must be exercised in a judicial manner</w:t>
      </w:r>
      <w:r w:rsidR="00ED3107">
        <w:rPr>
          <w:rFonts w:ascii="Arial" w:hAnsi="Arial" w:cs="Arial"/>
          <w:color w:val="000000"/>
        </w:rPr>
        <w:t>,</w:t>
      </w:r>
      <w:r w:rsidR="002211ED" w:rsidRPr="00236363">
        <w:rPr>
          <w:rFonts w:ascii="Arial" w:hAnsi="Arial" w:cs="Arial"/>
          <w:color w:val="000000"/>
        </w:rPr>
        <w:t xml:space="preserve"> to refuse a postponement even when wasted costs are tendered or even when the parties have agreed to postpone the matter.</w:t>
      </w:r>
    </w:p>
    <w:p w:rsidR="002211ED" w:rsidRPr="00236363"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sidRPr="00236363">
        <w:rPr>
          <w:rFonts w:ascii="Arial" w:hAnsi="Arial" w:cs="Arial"/>
          <w:color w:val="000000"/>
        </w:rPr>
        <w:t>[9]</w:t>
      </w:r>
      <w:r w:rsidRPr="00236363">
        <w:rPr>
          <w:rFonts w:ascii="Arial" w:hAnsi="Arial" w:cs="Arial"/>
          <w:color w:val="000000"/>
        </w:rPr>
        <w:tab/>
      </w:r>
      <w:r w:rsidR="002211ED" w:rsidRPr="00236363">
        <w:rPr>
          <w:rFonts w:ascii="Arial" w:hAnsi="Arial" w:cs="Arial"/>
          <w:color w:val="000000"/>
        </w:rPr>
        <w:t>An application for a postponement must be made timeously, as soon as the circumstances which might justify such an application become known to the applicant, which the applicant in this instance failed to do.</w:t>
      </w:r>
      <w:r w:rsidR="002211ED">
        <w:rPr>
          <w:rFonts w:ascii="Arial" w:hAnsi="Arial" w:cs="Arial"/>
          <w:color w:val="000000"/>
        </w:rPr>
        <w:t xml:space="preserve"> The application for a postponement was not only without proper foundation, but was highly prejudicial to the respondents’ case, </w:t>
      </w:r>
      <w:r w:rsidR="00B76E46">
        <w:rPr>
          <w:rFonts w:ascii="Arial" w:hAnsi="Arial" w:cs="Arial"/>
          <w:color w:val="000000"/>
        </w:rPr>
        <w:t xml:space="preserve">and </w:t>
      </w:r>
      <w:r w:rsidR="002211ED">
        <w:rPr>
          <w:rFonts w:ascii="Arial" w:hAnsi="Arial" w:cs="Arial"/>
          <w:color w:val="000000"/>
        </w:rPr>
        <w:t>fell to be dismissed. It was quite obvious to me from the submission</w:t>
      </w:r>
      <w:r w:rsidR="001D4C89">
        <w:rPr>
          <w:rFonts w:ascii="Arial" w:hAnsi="Arial" w:cs="Arial"/>
          <w:color w:val="000000"/>
        </w:rPr>
        <w:t>s</w:t>
      </w:r>
      <w:r w:rsidR="002211ED">
        <w:rPr>
          <w:rFonts w:ascii="Arial" w:hAnsi="Arial" w:cs="Arial"/>
          <w:color w:val="000000"/>
        </w:rPr>
        <w:t xml:space="preserve"> by counsel on behalf of the applicant that the application for a postponement was sparked by the first point </w:t>
      </w:r>
      <w:r w:rsidR="002211ED" w:rsidRPr="0071569D">
        <w:rPr>
          <w:rFonts w:ascii="Arial" w:hAnsi="Arial" w:cs="Arial"/>
          <w:i/>
          <w:color w:val="000000"/>
        </w:rPr>
        <w:t>in limine</w:t>
      </w:r>
      <w:r w:rsidR="002211ED">
        <w:rPr>
          <w:rFonts w:ascii="Arial" w:hAnsi="Arial" w:cs="Arial"/>
          <w:color w:val="000000"/>
        </w:rPr>
        <w:t xml:space="preserve"> to which I return.</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[10]</w:t>
      </w:r>
      <w:r>
        <w:rPr>
          <w:rFonts w:ascii="Arial" w:hAnsi="Arial" w:cs="Arial"/>
          <w:color w:val="000000"/>
        </w:rPr>
        <w:tab/>
      </w:r>
      <w:r w:rsidR="002211ED" w:rsidRPr="00B502EA">
        <w:rPr>
          <w:rFonts w:ascii="Arial" w:hAnsi="Arial" w:cs="Arial"/>
          <w:color w:val="000000"/>
        </w:rPr>
        <w:t>It is trite tha</w:t>
      </w:r>
      <w:bookmarkStart w:id="0" w:name="_GoBack"/>
      <w:bookmarkEnd w:id="0"/>
      <w:r w:rsidR="002211ED" w:rsidRPr="00B502EA">
        <w:rPr>
          <w:rFonts w:ascii="Arial" w:hAnsi="Arial" w:cs="Arial"/>
          <w:color w:val="000000"/>
        </w:rPr>
        <w:t>t there is no rule of law that allows a court to confer </w:t>
      </w:r>
      <w:r w:rsidR="002211ED" w:rsidRPr="00594CD1">
        <w:rPr>
          <w:rFonts w:ascii="Arial" w:hAnsi="Arial" w:cs="Arial"/>
          <w:i/>
          <w:color w:val="000000"/>
        </w:rPr>
        <w:t>locus standi</w:t>
      </w:r>
      <w:r w:rsidR="002211ED" w:rsidRPr="00B502EA">
        <w:rPr>
          <w:rFonts w:ascii="Arial" w:hAnsi="Arial" w:cs="Arial"/>
          <w:color w:val="000000"/>
        </w:rPr>
        <w:t> upon a party who otherwise has none, on the ground of expediency or to obviate impractical and undesirable procedures</w:t>
      </w:r>
      <w:r w:rsidR="00B76E46">
        <w:rPr>
          <w:rFonts w:ascii="Arial" w:hAnsi="Arial" w:cs="Arial"/>
          <w:color w:val="000000"/>
        </w:rPr>
        <w:t>.</w:t>
      </w:r>
      <w:r w:rsidR="001D4C89">
        <w:rPr>
          <w:rStyle w:val="FootnoteReference"/>
          <w:rFonts w:ascii="Arial" w:hAnsi="Arial" w:cs="Arial"/>
          <w:color w:val="000000"/>
        </w:rPr>
        <w:footnoteReference w:id="2"/>
      </w:r>
      <w:r w:rsidR="002211ED" w:rsidRPr="00B502EA">
        <w:rPr>
          <w:rFonts w:ascii="Arial" w:hAnsi="Arial" w:cs="Arial"/>
          <w:color w:val="000000"/>
        </w:rPr>
        <w:t xml:space="preserve"> It is equally trite that, an agent generically has no </w:t>
      </w:r>
      <w:r w:rsidR="002211ED" w:rsidRPr="00594CD1">
        <w:rPr>
          <w:rFonts w:ascii="Arial" w:hAnsi="Arial" w:cs="Arial"/>
          <w:i/>
          <w:color w:val="000000"/>
        </w:rPr>
        <w:t>locus standi</w:t>
      </w:r>
      <w:r w:rsidR="002211ED" w:rsidRPr="00B502EA">
        <w:rPr>
          <w:rFonts w:ascii="Arial" w:hAnsi="Arial" w:cs="Arial"/>
          <w:color w:val="000000"/>
        </w:rPr>
        <w:t> to sue or be sued on the principal obligation between the principal and the other party</w:t>
      </w:r>
      <w:r w:rsidR="00B76E46">
        <w:rPr>
          <w:rFonts w:ascii="Arial" w:hAnsi="Arial" w:cs="Arial"/>
          <w:color w:val="000000"/>
        </w:rPr>
        <w:t>.</w:t>
      </w:r>
      <w:r w:rsidR="001D4C89">
        <w:rPr>
          <w:rStyle w:val="FootnoteReference"/>
          <w:rFonts w:ascii="Arial" w:hAnsi="Arial" w:cs="Arial"/>
          <w:color w:val="000000"/>
        </w:rPr>
        <w:footnoteReference w:id="3"/>
      </w:r>
      <w:r w:rsidR="002211ED" w:rsidRPr="00B502EA">
        <w:rPr>
          <w:rFonts w:ascii="Arial" w:hAnsi="Arial" w:cs="Arial"/>
          <w:color w:val="000000"/>
        </w:rPr>
        <w:t xml:space="preserve"> It is also trite that where an applicant sues in his capacity as an agent without his principal being a party to the litigation, it is essential that he establishes his </w:t>
      </w:r>
      <w:r w:rsidR="002211ED" w:rsidRPr="001D4C89">
        <w:rPr>
          <w:rFonts w:ascii="Arial" w:hAnsi="Arial" w:cs="Arial"/>
          <w:i/>
          <w:color w:val="000000"/>
        </w:rPr>
        <w:t>locus standi</w:t>
      </w:r>
      <w:r w:rsidR="002211ED" w:rsidRPr="00B502EA">
        <w:rPr>
          <w:rFonts w:ascii="Arial" w:hAnsi="Arial" w:cs="Arial"/>
          <w:color w:val="000000"/>
        </w:rPr>
        <w:t> in his founding affidavit.</w:t>
      </w:r>
    </w:p>
    <w:p w:rsidR="002211ED"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Pr>
          <w:rFonts w:ascii="Arial" w:hAnsi="Arial" w:cs="Arial"/>
          <w:color w:val="000000"/>
        </w:rPr>
        <w:t>[11]</w:t>
      </w:r>
      <w:r>
        <w:rPr>
          <w:rFonts w:ascii="Arial" w:hAnsi="Arial" w:cs="Arial"/>
          <w:color w:val="000000"/>
        </w:rPr>
        <w:tab/>
      </w:r>
      <w:r w:rsidR="002211ED" w:rsidRPr="00594CD1">
        <w:rPr>
          <w:rFonts w:ascii="Arial" w:hAnsi="Arial" w:cs="Arial"/>
          <w:color w:val="000000"/>
        </w:rPr>
        <w:t xml:space="preserve">It has by now become settled law that the joinder of a party is only required as a matter of necessity as opposed to a matter of </w:t>
      </w:r>
      <w:r w:rsidR="001D4C89" w:rsidRPr="00594CD1">
        <w:rPr>
          <w:rFonts w:ascii="Arial" w:hAnsi="Arial" w:cs="Arial"/>
          <w:color w:val="000000"/>
        </w:rPr>
        <w:t>convenience if</w:t>
      </w:r>
      <w:r w:rsidR="002211ED" w:rsidRPr="00594CD1">
        <w:rPr>
          <w:rFonts w:ascii="Arial" w:hAnsi="Arial" w:cs="Arial"/>
          <w:color w:val="000000"/>
        </w:rPr>
        <w:t xml:space="preserve"> that party has a direct and substantial interest which may be affected prejudicially by the judgment of the court in the proceedings</w:t>
      </w:r>
      <w:r w:rsidR="00B76E46">
        <w:rPr>
          <w:rFonts w:ascii="Arial" w:hAnsi="Arial" w:cs="Arial"/>
        </w:rPr>
        <w:t xml:space="preserve"> </w:t>
      </w:r>
      <w:r w:rsidR="002211ED" w:rsidRPr="00594CD1">
        <w:rPr>
          <w:rFonts w:ascii="Arial" w:hAnsi="Arial" w:cs="Arial"/>
          <w:color w:val="000000"/>
        </w:rPr>
        <w:t>concerned</w:t>
      </w:r>
      <w:r w:rsidR="00B76E46">
        <w:rPr>
          <w:rFonts w:ascii="Arial" w:hAnsi="Arial" w:cs="Arial"/>
          <w:color w:val="000000"/>
        </w:rPr>
        <w:t>.</w:t>
      </w:r>
      <w:r w:rsidR="001D4C89">
        <w:rPr>
          <w:rStyle w:val="FootnoteReference"/>
          <w:rFonts w:ascii="Arial" w:hAnsi="Arial" w:cs="Arial"/>
          <w:color w:val="000000"/>
        </w:rPr>
        <w:footnoteReference w:id="4"/>
      </w:r>
    </w:p>
    <w:p w:rsidR="002211ED" w:rsidRPr="002211ED" w:rsidRDefault="00C83E5B" w:rsidP="00C83E5B">
      <w:pPr>
        <w:pStyle w:val="11Level1par"/>
        <w:numPr>
          <w:ilvl w:val="0"/>
          <w:numId w:val="0"/>
        </w:numPr>
        <w:tabs>
          <w:tab w:val="clear" w:pos="709"/>
          <w:tab w:val="left" w:pos="690"/>
        </w:tabs>
        <w:spacing w:line="480" w:lineRule="auto"/>
        <w:ind w:left="690" w:hanging="690"/>
        <w:rPr>
          <w:b/>
          <w:bCs/>
          <w:u w:val="single"/>
        </w:rPr>
      </w:pPr>
      <w:r w:rsidRPr="002211ED">
        <w:rPr>
          <w:bCs/>
        </w:rPr>
        <w:t>[12]</w:t>
      </w:r>
      <w:r w:rsidRPr="002211ED">
        <w:rPr>
          <w:bCs/>
        </w:rPr>
        <w:tab/>
      </w:r>
      <w:r w:rsidR="002211ED" w:rsidRPr="00594CD1">
        <w:rPr>
          <w:color w:val="000000"/>
        </w:rPr>
        <w:t>The seller, Viljoen has a “direct and substantial interest” in the subject matter of the litigation</w:t>
      </w:r>
      <w:r w:rsidR="002211ED">
        <w:rPr>
          <w:color w:val="000000"/>
        </w:rPr>
        <w:t>,</w:t>
      </w:r>
      <w:r w:rsidR="002211ED" w:rsidRPr="00594CD1">
        <w:rPr>
          <w:color w:val="000000"/>
        </w:rPr>
        <w:t xml:space="preserve"> which may be affected prejudicially by the judgment of this court such that his non-citation would amount to non-joinder. As a conveyancer, without more, the applicant obviously has no </w:t>
      </w:r>
      <w:r w:rsidR="002211ED" w:rsidRPr="0071569D">
        <w:rPr>
          <w:i/>
          <w:color w:val="000000"/>
        </w:rPr>
        <w:t>locus standi</w:t>
      </w:r>
      <w:r w:rsidR="002211ED" w:rsidRPr="00594CD1">
        <w:rPr>
          <w:color w:val="000000"/>
        </w:rPr>
        <w:t> to sue or be sued on the principal obligation between the principal and any other party unless expressly mandated to do so.</w:t>
      </w:r>
      <w:r w:rsidR="002211ED">
        <w:rPr>
          <w:color w:val="000000"/>
        </w:rPr>
        <w:t xml:space="preserve"> </w:t>
      </w:r>
      <w:r w:rsidR="002211ED">
        <w:t>The mere fact that the applicant has an interest in any contingent litigation between the actual parties does not entitle it to standing in these proceedings.</w:t>
      </w:r>
      <w:r w:rsidR="002211ED" w:rsidRPr="002211ED">
        <w:rPr>
          <w:color w:val="000000"/>
        </w:rPr>
        <w:t xml:space="preserve"> In the result</w:t>
      </w:r>
      <w:r w:rsidR="00B76E46">
        <w:rPr>
          <w:color w:val="000000"/>
        </w:rPr>
        <w:t>,</w:t>
      </w:r>
      <w:r w:rsidR="002211ED" w:rsidRPr="002211ED">
        <w:rPr>
          <w:color w:val="000000"/>
        </w:rPr>
        <w:t xml:space="preserve"> I uphold the</w:t>
      </w:r>
      <w:r w:rsidR="00B76E46">
        <w:rPr>
          <w:color w:val="000000"/>
        </w:rPr>
        <w:t xml:space="preserve"> </w:t>
      </w:r>
      <w:r w:rsidR="002211ED" w:rsidRPr="002211ED">
        <w:rPr>
          <w:color w:val="000000"/>
        </w:rPr>
        <w:t>first point taken</w:t>
      </w:r>
      <w:r w:rsidR="00B76E46">
        <w:rPr>
          <w:color w:val="000000"/>
        </w:rPr>
        <w:t xml:space="preserve"> </w:t>
      </w:r>
      <w:r w:rsidR="002211ED" w:rsidRPr="0071569D">
        <w:rPr>
          <w:i/>
          <w:color w:val="000000"/>
        </w:rPr>
        <w:t>in limine</w:t>
      </w:r>
      <w:r w:rsidR="00B76E46">
        <w:rPr>
          <w:color w:val="000000"/>
        </w:rPr>
        <w:t xml:space="preserve"> </w:t>
      </w:r>
      <w:r w:rsidR="002211ED" w:rsidRPr="002211ED">
        <w:rPr>
          <w:color w:val="000000"/>
        </w:rPr>
        <w:t>on behalf of the respondents. It is unnecessary to rule on the second point in limine.</w:t>
      </w:r>
    </w:p>
    <w:p w:rsidR="002211ED" w:rsidRPr="0071569D" w:rsidRDefault="002211ED" w:rsidP="00BB30A9">
      <w:pPr>
        <w:pStyle w:val="parafullout-6pt"/>
        <w:shd w:val="clear" w:color="auto" w:fill="FFFFFF"/>
        <w:spacing w:before="120" w:beforeAutospacing="0" w:after="0" w:afterAutospacing="0" w:line="480" w:lineRule="auto"/>
        <w:jc w:val="both"/>
        <w:rPr>
          <w:rFonts w:ascii="Arial" w:hAnsi="Arial" w:cs="Arial"/>
          <w:b/>
          <w:color w:val="000000"/>
          <w:u w:val="single"/>
        </w:rPr>
      </w:pPr>
      <w:r w:rsidRPr="0071569D">
        <w:rPr>
          <w:rFonts w:ascii="Arial" w:hAnsi="Arial" w:cs="Arial"/>
          <w:b/>
          <w:color w:val="000000"/>
          <w:u w:val="single"/>
        </w:rPr>
        <w:t xml:space="preserve">Order </w:t>
      </w:r>
    </w:p>
    <w:p w:rsidR="002211ED" w:rsidRPr="00202804" w:rsidRDefault="00C83E5B" w:rsidP="00C83E5B">
      <w:pPr>
        <w:pStyle w:val="parafullout-6pt"/>
        <w:shd w:val="clear" w:color="auto" w:fill="FFFFFF"/>
        <w:tabs>
          <w:tab w:val="left" w:pos="690"/>
        </w:tabs>
        <w:spacing w:before="120" w:beforeAutospacing="0" w:after="0" w:afterAutospacing="0" w:line="480" w:lineRule="auto"/>
        <w:ind w:left="690" w:hanging="690"/>
        <w:jc w:val="both"/>
        <w:rPr>
          <w:rFonts w:ascii="Arial" w:hAnsi="Arial" w:cs="Arial"/>
          <w:color w:val="000000"/>
        </w:rPr>
      </w:pPr>
      <w:r w:rsidRPr="00202804">
        <w:rPr>
          <w:rFonts w:ascii="Arial" w:hAnsi="Arial" w:cs="Arial"/>
          <w:color w:val="000000"/>
        </w:rPr>
        <w:t>[13]</w:t>
      </w:r>
      <w:r w:rsidRPr="00202804">
        <w:rPr>
          <w:rFonts w:ascii="Arial" w:hAnsi="Arial" w:cs="Arial"/>
          <w:color w:val="000000"/>
        </w:rPr>
        <w:tab/>
      </w:r>
      <w:r w:rsidR="002211ED">
        <w:rPr>
          <w:rFonts w:ascii="Arial" w:hAnsi="Arial" w:cs="Arial"/>
          <w:color w:val="000000"/>
        </w:rPr>
        <w:t xml:space="preserve">The point in limine </w:t>
      </w:r>
      <w:r w:rsidR="002211ED" w:rsidRPr="00E87769">
        <w:rPr>
          <w:rFonts w:ascii="Arial" w:hAnsi="Arial" w:cs="Arial"/>
          <w:i/>
          <w:color w:val="000000"/>
        </w:rPr>
        <w:t>(locus standi)</w:t>
      </w:r>
      <w:r w:rsidR="002211ED">
        <w:rPr>
          <w:rFonts w:ascii="Arial" w:hAnsi="Arial" w:cs="Arial"/>
          <w:color w:val="000000"/>
        </w:rPr>
        <w:t xml:space="preserve"> is upheld with costs.</w:t>
      </w:r>
    </w:p>
    <w:p w:rsidR="002211ED" w:rsidRPr="00C83E5B" w:rsidRDefault="00C83E5B" w:rsidP="00C83E5B">
      <w:pPr>
        <w:tabs>
          <w:tab w:val="left" w:pos="1410"/>
        </w:tabs>
        <w:ind w:left="1410" w:hanging="720"/>
        <w:rPr>
          <w:color w:val="000000"/>
          <w:u w:val="none"/>
          <w:lang w:eastAsia="en-ZA"/>
        </w:rPr>
      </w:pPr>
      <w:r w:rsidRPr="002211ED">
        <w:rPr>
          <w:color w:val="000000"/>
          <w:u w:val="none"/>
          <w:lang w:eastAsia="en-ZA"/>
        </w:rPr>
        <w:t>13.1</w:t>
      </w:r>
      <w:r w:rsidRPr="002211ED">
        <w:rPr>
          <w:color w:val="000000"/>
          <w:u w:val="none"/>
          <w:lang w:eastAsia="en-ZA"/>
        </w:rPr>
        <w:tab/>
      </w:r>
      <w:r w:rsidR="002211ED" w:rsidRPr="00C83E5B">
        <w:rPr>
          <w:color w:val="000000"/>
          <w:u w:val="none"/>
          <w:lang w:eastAsia="en-ZA"/>
        </w:rPr>
        <w:t xml:space="preserve">Argument on the merits of the application is postponed </w:t>
      </w:r>
      <w:r w:rsidR="002211ED" w:rsidRPr="00C83E5B">
        <w:rPr>
          <w:i/>
          <w:color w:val="000000"/>
          <w:u w:val="none"/>
          <w:lang w:eastAsia="en-ZA"/>
        </w:rPr>
        <w:t>sine die</w:t>
      </w:r>
      <w:r w:rsidR="002211ED" w:rsidRPr="00C83E5B">
        <w:rPr>
          <w:color w:val="000000"/>
          <w:u w:val="none"/>
          <w:lang w:eastAsia="en-ZA"/>
        </w:rPr>
        <w:t>.</w:t>
      </w:r>
    </w:p>
    <w:p w:rsidR="002211ED" w:rsidRPr="002211ED" w:rsidRDefault="002211ED" w:rsidP="002211ED">
      <w:pPr>
        <w:pStyle w:val="ListParagraph"/>
        <w:spacing w:before="120" w:after="120" w:line="360" w:lineRule="auto"/>
        <w:ind w:left="690"/>
        <w:jc w:val="both"/>
        <w:rPr>
          <w:color w:val="000000"/>
          <w:u w:val="none"/>
          <w:shd w:val="clear" w:color="auto" w:fill="FFFFFF"/>
        </w:rPr>
      </w:pPr>
    </w:p>
    <w:p w:rsidR="00972885" w:rsidRPr="00560B76" w:rsidRDefault="00972885" w:rsidP="00972885">
      <w:pPr>
        <w:spacing w:after="120" w:line="360" w:lineRule="auto"/>
        <w:jc w:val="both"/>
        <w:rPr>
          <w:u w:val="none"/>
        </w:rPr>
      </w:pPr>
    </w:p>
    <w:p w:rsidR="00972885" w:rsidRDefault="00972885" w:rsidP="00972885">
      <w:pPr>
        <w:spacing w:line="360" w:lineRule="auto"/>
        <w:jc w:val="right"/>
        <w:rPr>
          <w:b/>
          <w:u w:val="none"/>
        </w:rPr>
      </w:pPr>
      <w:r>
        <w:rPr>
          <w:b/>
          <w:u w:val="none"/>
        </w:rPr>
        <w:t>________________</w:t>
      </w:r>
      <w:r w:rsidR="00B76E46">
        <w:rPr>
          <w:b/>
          <w:u w:val="none"/>
        </w:rPr>
        <w:t>______</w:t>
      </w:r>
    </w:p>
    <w:p w:rsidR="00972885" w:rsidRDefault="00972885" w:rsidP="00972885">
      <w:pPr>
        <w:spacing w:line="360" w:lineRule="auto"/>
        <w:jc w:val="right"/>
        <w:rPr>
          <w:b/>
          <w:u w:val="none"/>
        </w:rPr>
      </w:pPr>
      <w:r>
        <w:rPr>
          <w:b/>
          <w:u w:val="none"/>
        </w:rPr>
        <w:t>MUDAU J</w:t>
      </w:r>
    </w:p>
    <w:p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rsidR="00BB30A9" w:rsidRDefault="00BB30A9" w:rsidP="00972885">
      <w:pPr>
        <w:spacing w:line="480" w:lineRule="auto"/>
        <w:jc w:val="both"/>
        <w:rPr>
          <w:b/>
          <w:u w:val="none"/>
        </w:rPr>
      </w:pPr>
    </w:p>
    <w:p w:rsidR="00972885" w:rsidRPr="0071569D" w:rsidRDefault="00972885" w:rsidP="00972885">
      <w:pPr>
        <w:spacing w:line="480" w:lineRule="auto"/>
        <w:jc w:val="both"/>
        <w:rPr>
          <w:b/>
          <w:u w:val="none"/>
        </w:rPr>
      </w:pPr>
      <w:r w:rsidRPr="0071569D">
        <w:rPr>
          <w:b/>
          <w:u w:val="none"/>
        </w:rPr>
        <w:t>APPEARANCES</w:t>
      </w:r>
    </w:p>
    <w:p w:rsidR="00972885" w:rsidRDefault="002211ED" w:rsidP="007F2CD8">
      <w:pPr>
        <w:spacing w:line="480" w:lineRule="auto"/>
        <w:jc w:val="both"/>
        <w:rPr>
          <w:u w:val="none"/>
        </w:rPr>
      </w:pPr>
      <w:r>
        <w:rPr>
          <w:u w:val="none"/>
        </w:rPr>
        <w:t>For the applicant</w:t>
      </w:r>
      <w:r w:rsidR="00E46C4B">
        <w:rPr>
          <w:u w:val="none"/>
        </w:rPr>
        <w:t>:</w:t>
      </w:r>
      <w:r w:rsidR="00972885" w:rsidRPr="007169FE">
        <w:rPr>
          <w:u w:val="none"/>
        </w:rPr>
        <w:tab/>
      </w:r>
      <w:r w:rsidR="00972885" w:rsidRPr="007169FE">
        <w:rPr>
          <w:u w:val="none"/>
        </w:rPr>
        <w:tab/>
      </w:r>
      <w:r w:rsidR="00972885" w:rsidRPr="007169FE">
        <w:rPr>
          <w:u w:val="none"/>
        </w:rPr>
        <w:tab/>
      </w:r>
      <w:r w:rsidR="007F2CD8" w:rsidRPr="007F2CD8">
        <w:rPr>
          <w:u w:val="none"/>
        </w:rPr>
        <w:t>Adv</w:t>
      </w:r>
      <w:r w:rsidR="00AB5C7A">
        <w:rPr>
          <w:u w:val="none"/>
        </w:rPr>
        <w:t>.</w:t>
      </w:r>
      <w:r w:rsidR="007F2CD8" w:rsidRPr="007F2CD8">
        <w:rPr>
          <w:u w:val="none"/>
        </w:rPr>
        <w:t xml:space="preserve"> </w:t>
      </w:r>
      <w:r>
        <w:rPr>
          <w:u w:val="none"/>
        </w:rPr>
        <w:t>R De Leew</w:t>
      </w:r>
    </w:p>
    <w:p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2211ED">
        <w:rPr>
          <w:u w:val="none"/>
        </w:rPr>
        <w:t xml:space="preserve">Van </w:t>
      </w:r>
      <w:r w:rsidR="002211ED" w:rsidRPr="002211ED">
        <w:rPr>
          <w:u w:val="none"/>
        </w:rPr>
        <w:t xml:space="preserve">Deventer and </w:t>
      </w:r>
      <w:r w:rsidR="002211ED">
        <w:rPr>
          <w:u w:val="none"/>
        </w:rPr>
        <w:t>Van Deventer Inco</w:t>
      </w:r>
      <w:r w:rsidR="002211ED" w:rsidRPr="002211ED">
        <w:rPr>
          <w:u w:val="none"/>
        </w:rPr>
        <w:t>rporated</w:t>
      </w:r>
    </w:p>
    <w:p w:rsidR="00972885" w:rsidRDefault="00972885" w:rsidP="00972885">
      <w:pPr>
        <w:spacing w:line="480" w:lineRule="auto"/>
        <w:jc w:val="both"/>
        <w:rPr>
          <w:u w:val="none"/>
        </w:rPr>
      </w:pPr>
    </w:p>
    <w:p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4068BB" w:rsidRPr="004068BB">
        <w:rPr>
          <w:u w:val="none"/>
        </w:rPr>
        <w:t xml:space="preserve">Adv </w:t>
      </w:r>
      <w:r w:rsidR="002211ED">
        <w:rPr>
          <w:u w:val="none"/>
        </w:rPr>
        <w:t>W Coetzee</w:t>
      </w:r>
    </w:p>
    <w:p w:rsidR="004068BB" w:rsidRDefault="004068BB" w:rsidP="00972885">
      <w:pPr>
        <w:spacing w:line="480" w:lineRule="auto"/>
        <w:jc w:val="both"/>
        <w:rPr>
          <w:u w:val="none"/>
        </w:rPr>
      </w:pPr>
      <w:r>
        <w:rPr>
          <w:u w:val="none"/>
        </w:rPr>
        <w:t>Instructed by:</w:t>
      </w:r>
      <w:r>
        <w:rPr>
          <w:u w:val="none"/>
        </w:rPr>
        <w:tab/>
      </w:r>
      <w:r>
        <w:rPr>
          <w:u w:val="none"/>
        </w:rPr>
        <w:tab/>
      </w:r>
      <w:r>
        <w:rPr>
          <w:u w:val="none"/>
        </w:rPr>
        <w:tab/>
      </w:r>
      <w:r w:rsidR="002211ED">
        <w:rPr>
          <w:u w:val="none"/>
        </w:rPr>
        <w:t>Mcloughlin Porter Inc.</w:t>
      </w:r>
    </w:p>
    <w:p w:rsidR="00972885" w:rsidRDefault="00972885" w:rsidP="00972885">
      <w:pPr>
        <w:spacing w:line="480" w:lineRule="auto"/>
        <w:jc w:val="both"/>
        <w:rPr>
          <w:u w:val="none"/>
        </w:rPr>
      </w:pPr>
    </w:p>
    <w:p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Pr>
          <w:u w:val="none"/>
        </w:rPr>
        <w:tab/>
      </w:r>
      <w:r>
        <w:rPr>
          <w:u w:val="none"/>
        </w:rPr>
        <w:tab/>
      </w:r>
      <w:r w:rsidR="002211ED">
        <w:rPr>
          <w:u w:val="none"/>
        </w:rPr>
        <w:t xml:space="preserve">4 October </w:t>
      </w:r>
      <w:r>
        <w:rPr>
          <w:u w:val="none"/>
        </w:rPr>
        <w:t>2022</w:t>
      </w:r>
    </w:p>
    <w:p w:rsidR="002F15B7" w:rsidRDefault="00AB5C7A">
      <w:r w:rsidRPr="007169FE">
        <w:rPr>
          <w:u w:val="none"/>
        </w:rPr>
        <w:t>Date of Judgment:</w:t>
      </w:r>
      <w:r w:rsidRPr="007169FE">
        <w:rPr>
          <w:u w:val="none"/>
        </w:rPr>
        <w:tab/>
      </w:r>
      <w:r>
        <w:rPr>
          <w:u w:val="none"/>
        </w:rPr>
        <w:tab/>
      </w:r>
      <w:r>
        <w:rPr>
          <w:u w:val="none"/>
        </w:rPr>
        <w:tab/>
      </w:r>
      <w:r w:rsidR="002211ED">
        <w:rPr>
          <w:u w:val="none"/>
        </w:rPr>
        <w:t xml:space="preserve">10 October </w:t>
      </w:r>
      <w:r>
        <w:rPr>
          <w:u w:val="none"/>
        </w:rPr>
        <w:t>2022</w:t>
      </w:r>
    </w:p>
    <w:sectPr w:rsidR="002F15B7" w:rsidSect="000B37FD">
      <w:footerReference w:type="default" r:id="rId10"/>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A2" w:rsidRDefault="00D724A2" w:rsidP="00972885">
      <w:r>
        <w:separator/>
      </w:r>
    </w:p>
  </w:endnote>
  <w:endnote w:type="continuationSeparator" w:id="0">
    <w:p w:rsidR="00D724A2" w:rsidRDefault="00D724A2"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4B503D">
      <w:rPr>
        <w:noProof/>
        <w:u w:val="none"/>
      </w:rPr>
      <w:t>6</w:t>
    </w:r>
    <w:r w:rsidRPr="009C3009">
      <w:rPr>
        <w:noProof/>
        <w:u w:val="none"/>
      </w:rPr>
      <w:fldChar w:fldCharType="end"/>
    </w:r>
  </w:p>
  <w:p w:rsidR="00950FD7" w:rsidRDefault="0095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A2" w:rsidRDefault="00D724A2" w:rsidP="00972885">
      <w:r>
        <w:separator/>
      </w:r>
    </w:p>
  </w:footnote>
  <w:footnote w:type="continuationSeparator" w:id="0">
    <w:p w:rsidR="00D724A2" w:rsidRDefault="00D724A2" w:rsidP="00972885">
      <w:r>
        <w:continuationSeparator/>
      </w:r>
    </w:p>
  </w:footnote>
  <w:footnote w:id="1">
    <w:p w:rsidR="001D4C89" w:rsidRPr="001D4C89" w:rsidRDefault="001D4C89" w:rsidP="0071569D">
      <w:pPr>
        <w:pStyle w:val="FootnoteText"/>
        <w:jc w:val="both"/>
        <w:rPr>
          <w:u w:val="none"/>
        </w:rPr>
      </w:pPr>
      <w:r w:rsidRPr="001D4C89">
        <w:rPr>
          <w:rStyle w:val="FootnoteReference"/>
          <w:u w:val="none"/>
        </w:rPr>
        <w:footnoteRef/>
      </w:r>
      <w:r w:rsidRPr="001D4C89">
        <w:rPr>
          <w:u w:val="none"/>
        </w:rPr>
        <w:t xml:space="preserve"> </w:t>
      </w:r>
      <w:r w:rsidRPr="0071569D">
        <w:rPr>
          <w:i/>
          <w:color w:val="000000"/>
          <w:u w:val="none"/>
        </w:rPr>
        <w:t>National Police Service Union and Others v Minister of Safety and Security and Others</w:t>
      </w:r>
      <w:r w:rsidRPr="001D4C89">
        <w:rPr>
          <w:color w:val="000000"/>
          <w:u w:val="none"/>
        </w:rPr>
        <w:t xml:space="preserve"> 2000 (4) SA 1110 (CC</w:t>
      </w:r>
      <w:r>
        <w:rPr>
          <w:color w:val="000000"/>
          <w:u w:val="none"/>
        </w:rPr>
        <w:t>)</w:t>
      </w:r>
      <w:r w:rsidR="00BB30A9">
        <w:rPr>
          <w:color w:val="000000"/>
          <w:u w:val="none"/>
        </w:rPr>
        <w:t>.</w:t>
      </w:r>
    </w:p>
  </w:footnote>
  <w:footnote w:id="2">
    <w:p w:rsidR="001D4C89" w:rsidRPr="001D4C89" w:rsidRDefault="001D4C89" w:rsidP="0071569D">
      <w:pPr>
        <w:pStyle w:val="FootnoteText"/>
        <w:jc w:val="both"/>
        <w:rPr>
          <w:u w:val="none"/>
        </w:rPr>
      </w:pPr>
      <w:r w:rsidRPr="001D4C89">
        <w:rPr>
          <w:rStyle w:val="FootnoteReference"/>
          <w:u w:val="none"/>
        </w:rPr>
        <w:footnoteRef/>
      </w:r>
      <w:r w:rsidRPr="001D4C89">
        <w:rPr>
          <w:u w:val="none"/>
        </w:rPr>
        <w:t xml:space="preserve"> </w:t>
      </w:r>
      <w:r w:rsidR="00BB30A9">
        <w:rPr>
          <w:color w:val="000000"/>
          <w:u w:val="none"/>
        </w:rPr>
        <w:t>S</w:t>
      </w:r>
      <w:r w:rsidRPr="001D4C89">
        <w:rPr>
          <w:color w:val="000000"/>
          <w:u w:val="none"/>
        </w:rPr>
        <w:t xml:space="preserve">ee </w:t>
      </w:r>
      <w:r w:rsidRPr="0071569D">
        <w:rPr>
          <w:i/>
          <w:color w:val="000000"/>
          <w:u w:val="none"/>
        </w:rPr>
        <w:t>Gross</w:t>
      </w:r>
      <w:r w:rsidR="00941B9D">
        <w:rPr>
          <w:i/>
          <w:color w:val="000000"/>
          <w:u w:val="none"/>
        </w:rPr>
        <w:t xml:space="preserve"> and Others</w:t>
      </w:r>
      <w:r w:rsidRPr="0071569D">
        <w:rPr>
          <w:i/>
          <w:color w:val="000000"/>
          <w:u w:val="none"/>
        </w:rPr>
        <w:t xml:space="preserve"> v Penz</w:t>
      </w:r>
      <w:r w:rsidRPr="001D4C89">
        <w:rPr>
          <w:color w:val="000000"/>
          <w:u w:val="none"/>
        </w:rPr>
        <w:t> 1996 (4) SA 617 (A) at 632</w:t>
      </w:r>
      <w:r w:rsidR="00BB30A9">
        <w:rPr>
          <w:color w:val="000000"/>
          <w:u w:val="none"/>
        </w:rPr>
        <w:t>.</w:t>
      </w:r>
    </w:p>
  </w:footnote>
  <w:footnote w:id="3">
    <w:p w:rsidR="001D4C89" w:rsidRPr="001D4C89" w:rsidRDefault="001D4C89" w:rsidP="0071569D">
      <w:pPr>
        <w:pStyle w:val="FootnoteText"/>
        <w:jc w:val="both"/>
        <w:rPr>
          <w:u w:val="none"/>
        </w:rPr>
      </w:pPr>
      <w:r w:rsidRPr="001D4C89">
        <w:rPr>
          <w:rStyle w:val="FootnoteReference"/>
          <w:u w:val="none"/>
        </w:rPr>
        <w:footnoteRef/>
      </w:r>
      <w:r w:rsidRPr="001D4C89">
        <w:rPr>
          <w:u w:val="none"/>
        </w:rPr>
        <w:t xml:space="preserve"> </w:t>
      </w:r>
      <w:r w:rsidRPr="0071569D">
        <w:rPr>
          <w:i/>
          <w:color w:val="000000"/>
          <w:u w:val="none"/>
        </w:rPr>
        <w:t>Springfield</w:t>
      </w:r>
      <w:r w:rsidR="00941B9D">
        <w:rPr>
          <w:i/>
          <w:color w:val="000000"/>
          <w:u w:val="none"/>
        </w:rPr>
        <w:t xml:space="preserve"> Omnibus Service Durban CC</w:t>
      </w:r>
      <w:r w:rsidRPr="0071569D">
        <w:rPr>
          <w:i/>
          <w:color w:val="000000"/>
          <w:u w:val="none"/>
        </w:rPr>
        <w:t xml:space="preserve"> v Peter Maskell Auction</w:t>
      </w:r>
      <w:r w:rsidRPr="001D4C89">
        <w:rPr>
          <w:color w:val="000000"/>
          <w:u w:val="none"/>
        </w:rPr>
        <w:t xml:space="preserve"> </w:t>
      </w:r>
      <w:r w:rsidR="00941B9D" w:rsidRPr="0071569D">
        <w:rPr>
          <w:i/>
          <w:color w:val="000000"/>
          <w:u w:val="none"/>
        </w:rPr>
        <w:t>CC and Another</w:t>
      </w:r>
      <w:r w:rsidR="00941B9D">
        <w:rPr>
          <w:color w:val="000000"/>
          <w:u w:val="none"/>
        </w:rPr>
        <w:t xml:space="preserve"> </w:t>
      </w:r>
      <w:r w:rsidRPr="001D4C89">
        <w:rPr>
          <w:color w:val="000000"/>
          <w:u w:val="none"/>
        </w:rPr>
        <w:t>2006 (4) All SA 483</w:t>
      </w:r>
      <w:r w:rsidR="00941B9D">
        <w:rPr>
          <w:color w:val="000000"/>
          <w:u w:val="none"/>
        </w:rPr>
        <w:t xml:space="preserve"> </w:t>
      </w:r>
      <w:r w:rsidRPr="001D4C89">
        <w:rPr>
          <w:color w:val="000000"/>
          <w:u w:val="none"/>
        </w:rPr>
        <w:t>(N)</w:t>
      </w:r>
      <w:r w:rsidR="00BB30A9">
        <w:rPr>
          <w:color w:val="000000"/>
          <w:u w:val="none"/>
        </w:rPr>
        <w:t>.</w:t>
      </w:r>
    </w:p>
  </w:footnote>
  <w:footnote w:id="4">
    <w:p w:rsidR="001D4C89" w:rsidRPr="000520CE" w:rsidRDefault="001D4C89" w:rsidP="0071569D">
      <w:pPr>
        <w:pStyle w:val="FootnoteText"/>
        <w:jc w:val="both"/>
        <w:rPr>
          <w:u w:val="none"/>
        </w:rPr>
      </w:pPr>
      <w:r w:rsidRPr="001D4C89">
        <w:rPr>
          <w:rStyle w:val="FootnoteReference"/>
          <w:u w:val="none"/>
        </w:rPr>
        <w:footnoteRef/>
      </w:r>
      <w:r w:rsidRPr="001D4C89">
        <w:rPr>
          <w:u w:val="none"/>
        </w:rPr>
        <w:t xml:space="preserve"> </w:t>
      </w:r>
      <w:r w:rsidR="00BB30A9">
        <w:rPr>
          <w:color w:val="000000"/>
          <w:u w:val="none"/>
        </w:rPr>
        <w:t>S</w:t>
      </w:r>
      <w:r w:rsidRPr="001D4C89">
        <w:rPr>
          <w:color w:val="000000"/>
          <w:u w:val="none"/>
        </w:rPr>
        <w:t>ee</w:t>
      </w:r>
      <w:r w:rsidR="00BB30A9">
        <w:rPr>
          <w:color w:val="000000"/>
          <w:u w:val="none"/>
        </w:rPr>
        <w:t xml:space="preserve"> for</w:t>
      </w:r>
      <w:r w:rsidRPr="001D4C89">
        <w:rPr>
          <w:color w:val="000000"/>
          <w:u w:val="none"/>
        </w:rPr>
        <w:t xml:space="preserve"> </w:t>
      </w:r>
      <w:r w:rsidR="00BB30A9" w:rsidRPr="001D4C89">
        <w:rPr>
          <w:color w:val="000000"/>
          <w:u w:val="none"/>
        </w:rPr>
        <w:t>e.g.</w:t>
      </w:r>
      <w:r w:rsidRPr="001D4C89">
        <w:rPr>
          <w:color w:val="000000"/>
          <w:u w:val="none"/>
        </w:rPr>
        <w:t> </w:t>
      </w:r>
      <w:r w:rsidRPr="0071569D">
        <w:rPr>
          <w:i/>
          <w:color w:val="000000"/>
          <w:u w:val="none"/>
        </w:rPr>
        <w:t>Bowring NO v Vrededorp Properties CC and Another</w:t>
      </w:r>
      <w:r w:rsidRPr="001D4C89">
        <w:rPr>
          <w:color w:val="000000"/>
          <w:u w:val="none"/>
        </w:rPr>
        <w:t> </w:t>
      </w:r>
      <w:hyperlink r:id="rId1" w:tgtFrame="main" w:history="1">
        <w:r w:rsidRPr="001D4C89">
          <w:rPr>
            <w:color w:val="000000"/>
            <w:u w:val="none"/>
          </w:rPr>
          <w:t>2007 (5) SA 391 (SCA)</w:t>
        </w:r>
      </w:hyperlink>
      <w:r w:rsidRPr="001D4C89">
        <w:rPr>
          <w:color w:val="000000"/>
          <w:u w:val="none"/>
        </w:rPr>
        <w:t> para 21</w:t>
      </w:r>
      <w:r>
        <w:rPr>
          <w:color w:val="000000"/>
          <w:u w:val="none"/>
        </w:rPr>
        <w:t xml:space="preserve">; </w:t>
      </w:r>
      <w:r w:rsidR="000520CE" w:rsidRPr="0071569D">
        <w:rPr>
          <w:i/>
          <w:color w:val="000000"/>
          <w:u w:val="none"/>
        </w:rPr>
        <w:t xml:space="preserve">Judicial Service Commission </w:t>
      </w:r>
      <w:r w:rsidR="00941B9D">
        <w:rPr>
          <w:i/>
          <w:color w:val="000000"/>
          <w:u w:val="none"/>
        </w:rPr>
        <w:t>a</w:t>
      </w:r>
      <w:r w:rsidR="000520CE" w:rsidRPr="0071569D">
        <w:rPr>
          <w:i/>
          <w:color w:val="000000"/>
          <w:u w:val="none"/>
        </w:rPr>
        <w:t xml:space="preserve">nd Another </w:t>
      </w:r>
      <w:r w:rsidR="00BB30A9">
        <w:rPr>
          <w:i/>
          <w:color w:val="000000"/>
          <w:u w:val="none"/>
        </w:rPr>
        <w:t>v</w:t>
      </w:r>
      <w:r w:rsidR="000520CE" w:rsidRPr="0071569D">
        <w:rPr>
          <w:i/>
          <w:color w:val="000000"/>
          <w:u w:val="none"/>
        </w:rPr>
        <w:t xml:space="preserve"> Cape Bar Council </w:t>
      </w:r>
      <w:r w:rsidR="00941B9D">
        <w:rPr>
          <w:i/>
          <w:color w:val="000000"/>
          <w:u w:val="none"/>
        </w:rPr>
        <w:t>a</w:t>
      </w:r>
      <w:r w:rsidR="000520CE" w:rsidRPr="0071569D">
        <w:rPr>
          <w:i/>
          <w:color w:val="000000"/>
          <w:u w:val="none"/>
        </w:rPr>
        <w:t>nd Another</w:t>
      </w:r>
      <w:r w:rsidR="000520CE" w:rsidRPr="000520CE">
        <w:rPr>
          <w:color w:val="000000"/>
          <w:u w:val="none"/>
        </w:rPr>
        <w:t xml:space="preserve"> 2013 (1) S</w:t>
      </w:r>
      <w:r w:rsidR="00BB30A9">
        <w:rPr>
          <w:color w:val="000000"/>
          <w:u w:val="none"/>
        </w:rPr>
        <w:t>A</w:t>
      </w:r>
      <w:r w:rsidR="000520CE" w:rsidRPr="000520CE">
        <w:rPr>
          <w:color w:val="000000"/>
          <w:u w:val="none"/>
        </w:rPr>
        <w:t xml:space="preserve"> 170 (SCA</w:t>
      </w:r>
      <w:r w:rsidR="00BB30A9">
        <w:rPr>
          <w:color w:val="000000"/>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256"/>
    <w:multiLevelType w:val="multilevel"/>
    <w:tmpl w:val="28D28A12"/>
    <w:lvl w:ilvl="0">
      <w:start w:val="1"/>
      <w:numFmt w:val="decimal"/>
      <w:pStyle w:val="1MiddleMain"/>
      <w:lvlText w:val="%1"/>
      <w:lvlJc w:val="left"/>
      <w:pPr>
        <w:ind w:left="720" w:hanging="720"/>
      </w:pPr>
      <w:rPr>
        <w:rFonts w:hint="default"/>
        <w:b w:val="0"/>
        <w:bCs w:val="0"/>
      </w:rPr>
    </w:lvl>
    <w:lvl w:ilvl="1">
      <w:start w:val="1"/>
      <w:numFmt w:val="decimal"/>
      <w:pStyle w:val="11Level1par"/>
      <w:lvlText w:val="%1.%2"/>
      <w:lvlJc w:val="left"/>
      <w:pPr>
        <w:ind w:left="720" w:hanging="720"/>
      </w:pPr>
      <w:rPr>
        <w:b w:val="0"/>
        <w:bCs w:val="0"/>
        <w:i w:val="0"/>
        <w:iCs w:val="0"/>
      </w:rPr>
    </w:lvl>
    <w:lvl w:ilvl="2">
      <w:start w:val="1"/>
      <w:numFmt w:val="decimal"/>
      <w:pStyle w:val="123Level2par"/>
      <w:lvlText w:val="%1.%2.%3"/>
      <w:lvlJc w:val="left"/>
      <w:pPr>
        <w:ind w:left="720" w:hanging="720"/>
      </w:pPr>
      <w:rPr>
        <w:rFonts w:hint="default"/>
        <w:b w:val="0"/>
        <w:bCs w:val="0"/>
      </w:rPr>
    </w:lvl>
    <w:lvl w:ilvl="3">
      <w:start w:val="1"/>
      <w:numFmt w:val="decimal"/>
      <w:pStyle w:val="123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DDA102E"/>
    <w:multiLevelType w:val="hybridMultilevel"/>
    <w:tmpl w:val="7706ACB0"/>
    <w:lvl w:ilvl="0" w:tplc="3F54CB44">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nsid w:val="696F07BF"/>
    <w:multiLevelType w:val="multilevel"/>
    <w:tmpl w:val="E5E6329A"/>
    <w:lvl w:ilvl="0">
      <w:start w:val="1"/>
      <w:numFmt w:val="decimal"/>
      <w:lvlText w:val="[%1]"/>
      <w:lvlJc w:val="left"/>
      <w:pPr>
        <w:tabs>
          <w:tab w:val="num" w:pos="690"/>
        </w:tabs>
        <w:ind w:left="690" w:hanging="690"/>
      </w:pPr>
      <w:rPr>
        <w:rFonts w:ascii="Arial" w:hAnsi="Arial" w:cs="Arial" w:hint="default"/>
        <w:b w:val="0"/>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5C13"/>
    <w:rsid w:val="00006473"/>
    <w:rsid w:val="00013280"/>
    <w:rsid w:val="000139E0"/>
    <w:rsid w:val="00015A1D"/>
    <w:rsid w:val="00025103"/>
    <w:rsid w:val="00033A7A"/>
    <w:rsid w:val="00040252"/>
    <w:rsid w:val="00040BC6"/>
    <w:rsid w:val="0004104D"/>
    <w:rsid w:val="000438D4"/>
    <w:rsid w:val="00050245"/>
    <w:rsid w:val="000520CE"/>
    <w:rsid w:val="00056EBC"/>
    <w:rsid w:val="0006028C"/>
    <w:rsid w:val="00060E0E"/>
    <w:rsid w:val="00062F1C"/>
    <w:rsid w:val="00064EA8"/>
    <w:rsid w:val="00065807"/>
    <w:rsid w:val="0007043B"/>
    <w:rsid w:val="00071C24"/>
    <w:rsid w:val="00075BC1"/>
    <w:rsid w:val="00084C83"/>
    <w:rsid w:val="000A0AA3"/>
    <w:rsid w:val="000B15D1"/>
    <w:rsid w:val="000B17FD"/>
    <w:rsid w:val="000B1B1B"/>
    <w:rsid w:val="000B37FD"/>
    <w:rsid w:val="000B4065"/>
    <w:rsid w:val="000D3E53"/>
    <w:rsid w:val="000F33AB"/>
    <w:rsid w:val="000F52AC"/>
    <w:rsid w:val="00105735"/>
    <w:rsid w:val="001065D3"/>
    <w:rsid w:val="001237FC"/>
    <w:rsid w:val="00125B0B"/>
    <w:rsid w:val="00133C1C"/>
    <w:rsid w:val="0013726E"/>
    <w:rsid w:val="00151AAE"/>
    <w:rsid w:val="00155B5B"/>
    <w:rsid w:val="001563C2"/>
    <w:rsid w:val="00166666"/>
    <w:rsid w:val="00174C94"/>
    <w:rsid w:val="001752C4"/>
    <w:rsid w:val="00177254"/>
    <w:rsid w:val="001876E6"/>
    <w:rsid w:val="0019115F"/>
    <w:rsid w:val="00191E46"/>
    <w:rsid w:val="0019427C"/>
    <w:rsid w:val="00194AF9"/>
    <w:rsid w:val="001B3808"/>
    <w:rsid w:val="001C114E"/>
    <w:rsid w:val="001D4C89"/>
    <w:rsid w:val="001D5F31"/>
    <w:rsid w:val="001D7A2E"/>
    <w:rsid w:val="001E78FB"/>
    <w:rsid w:val="001F1729"/>
    <w:rsid w:val="00200A06"/>
    <w:rsid w:val="002211ED"/>
    <w:rsid w:val="00221778"/>
    <w:rsid w:val="00250361"/>
    <w:rsid w:val="002615AF"/>
    <w:rsid w:val="002665E7"/>
    <w:rsid w:val="00271C0D"/>
    <w:rsid w:val="00275675"/>
    <w:rsid w:val="00280E3C"/>
    <w:rsid w:val="00284F26"/>
    <w:rsid w:val="002939FC"/>
    <w:rsid w:val="00297060"/>
    <w:rsid w:val="002973D9"/>
    <w:rsid w:val="00297869"/>
    <w:rsid w:val="002A1772"/>
    <w:rsid w:val="002A296C"/>
    <w:rsid w:val="002B2470"/>
    <w:rsid w:val="002C0337"/>
    <w:rsid w:val="002C3876"/>
    <w:rsid w:val="002C5B2E"/>
    <w:rsid w:val="002D32D0"/>
    <w:rsid w:val="002D41AA"/>
    <w:rsid w:val="002F15B7"/>
    <w:rsid w:val="002F1F31"/>
    <w:rsid w:val="002F325B"/>
    <w:rsid w:val="0031746F"/>
    <w:rsid w:val="003249B7"/>
    <w:rsid w:val="00332284"/>
    <w:rsid w:val="003342E8"/>
    <w:rsid w:val="00336854"/>
    <w:rsid w:val="00337D04"/>
    <w:rsid w:val="00343D2E"/>
    <w:rsid w:val="00345B11"/>
    <w:rsid w:val="00352B4A"/>
    <w:rsid w:val="003646D2"/>
    <w:rsid w:val="00371F11"/>
    <w:rsid w:val="00377918"/>
    <w:rsid w:val="003A47E3"/>
    <w:rsid w:val="003B3091"/>
    <w:rsid w:val="003B5DD6"/>
    <w:rsid w:val="003C3A52"/>
    <w:rsid w:val="003D1B00"/>
    <w:rsid w:val="003E305A"/>
    <w:rsid w:val="003F3209"/>
    <w:rsid w:val="003F4827"/>
    <w:rsid w:val="003F5571"/>
    <w:rsid w:val="004068BB"/>
    <w:rsid w:val="00412E9F"/>
    <w:rsid w:val="004132A9"/>
    <w:rsid w:val="00416461"/>
    <w:rsid w:val="0042116E"/>
    <w:rsid w:val="00423C19"/>
    <w:rsid w:val="004447AA"/>
    <w:rsid w:val="00452390"/>
    <w:rsid w:val="00453644"/>
    <w:rsid w:val="0045365F"/>
    <w:rsid w:val="004554E7"/>
    <w:rsid w:val="004556DC"/>
    <w:rsid w:val="0046446A"/>
    <w:rsid w:val="00466B83"/>
    <w:rsid w:val="00475EB4"/>
    <w:rsid w:val="00482A5D"/>
    <w:rsid w:val="00485E21"/>
    <w:rsid w:val="00491579"/>
    <w:rsid w:val="004A0C86"/>
    <w:rsid w:val="004A7673"/>
    <w:rsid w:val="004B1C82"/>
    <w:rsid w:val="004B2FEC"/>
    <w:rsid w:val="004B477A"/>
    <w:rsid w:val="004B503D"/>
    <w:rsid w:val="004B618A"/>
    <w:rsid w:val="004C2A9F"/>
    <w:rsid w:val="004D0633"/>
    <w:rsid w:val="004D29A1"/>
    <w:rsid w:val="004E24F2"/>
    <w:rsid w:val="004E76E3"/>
    <w:rsid w:val="004F317A"/>
    <w:rsid w:val="0051045B"/>
    <w:rsid w:val="00513231"/>
    <w:rsid w:val="0052629A"/>
    <w:rsid w:val="00527823"/>
    <w:rsid w:val="005317BA"/>
    <w:rsid w:val="005355A8"/>
    <w:rsid w:val="005458AC"/>
    <w:rsid w:val="00551E22"/>
    <w:rsid w:val="00556A74"/>
    <w:rsid w:val="0055700B"/>
    <w:rsid w:val="005629E3"/>
    <w:rsid w:val="00564959"/>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55931"/>
    <w:rsid w:val="006561BA"/>
    <w:rsid w:val="00660D40"/>
    <w:rsid w:val="00666851"/>
    <w:rsid w:val="006769BD"/>
    <w:rsid w:val="00680C88"/>
    <w:rsid w:val="00683F75"/>
    <w:rsid w:val="00685C78"/>
    <w:rsid w:val="00686DFE"/>
    <w:rsid w:val="006873E8"/>
    <w:rsid w:val="006A315B"/>
    <w:rsid w:val="006D0272"/>
    <w:rsid w:val="006D4B46"/>
    <w:rsid w:val="006E3B2B"/>
    <w:rsid w:val="006F680B"/>
    <w:rsid w:val="006F7A33"/>
    <w:rsid w:val="0070213C"/>
    <w:rsid w:val="00703F88"/>
    <w:rsid w:val="00707E4D"/>
    <w:rsid w:val="0071569D"/>
    <w:rsid w:val="007326AF"/>
    <w:rsid w:val="00736A18"/>
    <w:rsid w:val="00736FB9"/>
    <w:rsid w:val="007516D8"/>
    <w:rsid w:val="0075747C"/>
    <w:rsid w:val="00760637"/>
    <w:rsid w:val="00760952"/>
    <w:rsid w:val="0076143F"/>
    <w:rsid w:val="007629EA"/>
    <w:rsid w:val="007874CA"/>
    <w:rsid w:val="00790222"/>
    <w:rsid w:val="0079472A"/>
    <w:rsid w:val="007C397F"/>
    <w:rsid w:val="007C49F2"/>
    <w:rsid w:val="007C5106"/>
    <w:rsid w:val="007C5B13"/>
    <w:rsid w:val="007C7128"/>
    <w:rsid w:val="007D3DB3"/>
    <w:rsid w:val="007D42FD"/>
    <w:rsid w:val="007E1887"/>
    <w:rsid w:val="007E37BB"/>
    <w:rsid w:val="007F2473"/>
    <w:rsid w:val="007F2CD8"/>
    <w:rsid w:val="00802CB7"/>
    <w:rsid w:val="00803E28"/>
    <w:rsid w:val="00805210"/>
    <w:rsid w:val="0081776B"/>
    <w:rsid w:val="008245CC"/>
    <w:rsid w:val="008672FF"/>
    <w:rsid w:val="00872C7D"/>
    <w:rsid w:val="008913D4"/>
    <w:rsid w:val="00895009"/>
    <w:rsid w:val="00896220"/>
    <w:rsid w:val="008A0517"/>
    <w:rsid w:val="008A0CA9"/>
    <w:rsid w:val="008A41B5"/>
    <w:rsid w:val="008A76BD"/>
    <w:rsid w:val="008B06AE"/>
    <w:rsid w:val="008B14B9"/>
    <w:rsid w:val="008B2A7A"/>
    <w:rsid w:val="008B2C05"/>
    <w:rsid w:val="008B72E4"/>
    <w:rsid w:val="008C1D3E"/>
    <w:rsid w:val="008C5BFD"/>
    <w:rsid w:val="008D2B7C"/>
    <w:rsid w:val="008E2DCA"/>
    <w:rsid w:val="008E34C1"/>
    <w:rsid w:val="009126C3"/>
    <w:rsid w:val="00914270"/>
    <w:rsid w:val="009233CE"/>
    <w:rsid w:val="00923F24"/>
    <w:rsid w:val="00932DD0"/>
    <w:rsid w:val="009347D4"/>
    <w:rsid w:val="00935BA9"/>
    <w:rsid w:val="00940FB0"/>
    <w:rsid w:val="00941B9D"/>
    <w:rsid w:val="00950A40"/>
    <w:rsid w:val="00950FD7"/>
    <w:rsid w:val="009544D0"/>
    <w:rsid w:val="00967CBF"/>
    <w:rsid w:val="00972885"/>
    <w:rsid w:val="00973A4D"/>
    <w:rsid w:val="0098325E"/>
    <w:rsid w:val="009923A9"/>
    <w:rsid w:val="00995270"/>
    <w:rsid w:val="009A1942"/>
    <w:rsid w:val="009C1436"/>
    <w:rsid w:val="009C2214"/>
    <w:rsid w:val="009C5B3E"/>
    <w:rsid w:val="009D5AF7"/>
    <w:rsid w:val="009D5B97"/>
    <w:rsid w:val="009E0D9B"/>
    <w:rsid w:val="009E2F8D"/>
    <w:rsid w:val="009F1A93"/>
    <w:rsid w:val="00A04219"/>
    <w:rsid w:val="00A049D1"/>
    <w:rsid w:val="00A05866"/>
    <w:rsid w:val="00A06EE3"/>
    <w:rsid w:val="00A151BD"/>
    <w:rsid w:val="00A308D2"/>
    <w:rsid w:val="00A310C0"/>
    <w:rsid w:val="00A36A32"/>
    <w:rsid w:val="00A50EC3"/>
    <w:rsid w:val="00A57F04"/>
    <w:rsid w:val="00A75ADC"/>
    <w:rsid w:val="00AA1C30"/>
    <w:rsid w:val="00AB5C7A"/>
    <w:rsid w:val="00AC42F7"/>
    <w:rsid w:val="00AC7D57"/>
    <w:rsid w:val="00AD2973"/>
    <w:rsid w:val="00AD461C"/>
    <w:rsid w:val="00AD676B"/>
    <w:rsid w:val="00AE7CAB"/>
    <w:rsid w:val="00B001FA"/>
    <w:rsid w:val="00B11FF8"/>
    <w:rsid w:val="00B12CCF"/>
    <w:rsid w:val="00B133FF"/>
    <w:rsid w:val="00B1389D"/>
    <w:rsid w:val="00B15C24"/>
    <w:rsid w:val="00B26670"/>
    <w:rsid w:val="00B359E1"/>
    <w:rsid w:val="00B40DCC"/>
    <w:rsid w:val="00B458A5"/>
    <w:rsid w:val="00B45D32"/>
    <w:rsid w:val="00B56AE1"/>
    <w:rsid w:val="00B60F27"/>
    <w:rsid w:val="00B65A1F"/>
    <w:rsid w:val="00B72702"/>
    <w:rsid w:val="00B75053"/>
    <w:rsid w:val="00B76E46"/>
    <w:rsid w:val="00B80634"/>
    <w:rsid w:val="00B95C37"/>
    <w:rsid w:val="00BA4FB5"/>
    <w:rsid w:val="00BA7F30"/>
    <w:rsid w:val="00BB30A9"/>
    <w:rsid w:val="00BC10F5"/>
    <w:rsid w:val="00BC21AF"/>
    <w:rsid w:val="00BC2380"/>
    <w:rsid w:val="00BD47DD"/>
    <w:rsid w:val="00BD680D"/>
    <w:rsid w:val="00BE12E7"/>
    <w:rsid w:val="00BE4164"/>
    <w:rsid w:val="00C05303"/>
    <w:rsid w:val="00C10D19"/>
    <w:rsid w:val="00C21B81"/>
    <w:rsid w:val="00C3599D"/>
    <w:rsid w:val="00C47768"/>
    <w:rsid w:val="00C53F84"/>
    <w:rsid w:val="00C563F0"/>
    <w:rsid w:val="00C6384F"/>
    <w:rsid w:val="00C651C6"/>
    <w:rsid w:val="00C66D51"/>
    <w:rsid w:val="00C77298"/>
    <w:rsid w:val="00C828E5"/>
    <w:rsid w:val="00C83B48"/>
    <w:rsid w:val="00C83E5B"/>
    <w:rsid w:val="00C869A2"/>
    <w:rsid w:val="00C877A3"/>
    <w:rsid w:val="00C911E4"/>
    <w:rsid w:val="00CA3C09"/>
    <w:rsid w:val="00CA74FD"/>
    <w:rsid w:val="00CB370B"/>
    <w:rsid w:val="00CB63B3"/>
    <w:rsid w:val="00CC3C09"/>
    <w:rsid w:val="00CC5EC2"/>
    <w:rsid w:val="00CC6599"/>
    <w:rsid w:val="00CD600D"/>
    <w:rsid w:val="00CE521F"/>
    <w:rsid w:val="00CF38BD"/>
    <w:rsid w:val="00D00D3B"/>
    <w:rsid w:val="00D144C3"/>
    <w:rsid w:val="00D157F4"/>
    <w:rsid w:val="00D215E1"/>
    <w:rsid w:val="00D24081"/>
    <w:rsid w:val="00D255B4"/>
    <w:rsid w:val="00D42C9D"/>
    <w:rsid w:val="00D43D1F"/>
    <w:rsid w:val="00D47DF3"/>
    <w:rsid w:val="00D663B5"/>
    <w:rsid w:val="00D724A2"/>
    <w:rsid w:val="00D72FCC"/>
    <w:rsid w:val="00D76E49"/>
    <w:rsid w:val="00D80F52"/>
    <w:rsid w:val="00D9296C"/>
    <w:rsid w:val="00DA7B00"/>
    <w:rsid w:val="00DB413C"/>
    <w:rsid w:val="00DB5720"/>
    <w:rsid w:val="00DC1600"/>
    <w:rsid w:val="00DD3454"/>
    <w:rsid w:val="00DD5CAF"/>
    <w:rsid w:val="00DD7191"/>
    <w:rsid w:val="00DE5E75"/>
    <w:rsid w:val="00DF0295"/>
    <w:rsid w:val="00DF0FDB"/>
    <w:rsid w:val="00E02F5D"/>
    <w:rsid w:val="00E058B8"/>
    <w:rsid w:val="00E07D93"/>
    <w:rsid w:val="00E13935"/>
    <w:rsid w:val="00E140A6"/>
    <w:rsid w:val="00E372C1"/>
    <w:rsid w:val="00E46C4B"/>
    <w:rsid w:val="00E47285"/>
    <w:rsid w:val="00E474D3"/>
    <w:rsid w:val="00E6057F"/>
    <w:rsid w:val="00E67600"/>
    <w:rsid w:val="00E7082C"/>
    <w:rsid w:val="00E71563"/>
    <w:rsid w:val="00E74369"/>
    <w:rsid w:val="00E81C16"/>
    <w:rsid w:val="00E900DD"/>
    <w:rsid w:val="00EA3BEB"/>
    <w:rsid w:val="00EA5E18"/>
    <w:rsid w:val="00EB3E31"/>
    <w:rsid w:val="00EC0B18"/>
    <w:rsid w:val="00EC5C65"/>
    <w:rsid w:val="00EC75A1"/>
    <w:rsid w:val="00ED21CB"/>
    <w:rsid w:val="00ED3107"/>
    <w:rsid w:val="00EE3042"/>
    <w:rsid w:val="00EE543F"/>
    <w:rsid w:val="00EE6932"/>
    <w:rsid w:val="00EF4158"/>
    <w:rsid w:val="00F00262"/>
    <w:rsid w:val="00F13CE2"/>
    <w:rsid w:val="00F16159"/>
    <w:rsid w:val="00F2234A"/>
    <w:rsid w:val="00F30224"/>
    <w:rsid w:val="00F35B53"/>
    <w:rsid w:val="00F36E31"/>
    <w:rsid w:val="00F42A14"/>
    <w:rsid w:val="00F45739"/>
    <w:rsid w:val="00F457AD"/>
    <w:rsid w:val="00F463FA"/>
    <w:rsid w:val="00F475E3"/>
    <w:rsid w:val="00F57EDB"/>
    <w:rsid w:val="00F65FA3"/>
    <w:rsid w:val="00F72368"/>
    <w:rsid w:val="00F8197D"/>
    <w:rsid w:val="00F85A06"/>
    <w:rsid w:val="00F906A9"/>
    <w:rsid w:val="00F92B55"/>
    <w:rsid w:val="00F9357B"/>
    <w:rsid w:val="00F976AA"/>
    <w:rsid w:val="00FA5FF3"/>
    <w:rsid w:val="00FA66DC"/>
    <w:rsid w:val="00FA6C2D"/>
    <w:rsid w:val="00FA790D"/>
    <w:rsid w:val="00FB1E25"/>
    <w:rsid w:val="00FB5EAC"/>
    <w:rsid w:val="00FC0A00"/>
    <w:rsid w:val="00FC4D4A"/>
    <w:rsid w:val="00FC6C86"/>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paragraph" w:customStyle="1" w:styleId="parafullout-6pt">
    <w:name w:val="parafullout-6pt"/>
    <w:basedOn w:val="Normal"/>
    <w:rsid w:val="002211ED"/>
    <w:pPr>
      <w:spacing w:before="100" w:beforeAutospacing="1" w:after="100" w:afterAutospacing="1"/>
    </w:pPr>
    <w:rPr>
      <w:rFonts w:ascii="Times New Roman" w:hAnsi="Times New Roman" w:cs="Times New Roman"/>
      <w:u w:val="none"/>
      <w:lang w:val="en-ZA" w:eastAsia="en-ZA"/>
    </w:rPr>
  </w:style>
  <w:style w:type="paragraph" w:customStyle="1" w:styleId="1MiddleMain">
    <w:name w:val="1 Middle Main"/>
    <w:basedOn w:val="ListParagraph"/>
    <w:qFormat/>
    <w:rsid w:val="002211ED"/>
    <w:pPr>
      <w:numPr>
        <w:numId w:val="4"/>
      </w:numPr>
      <w:spacing w:after="160" w:line="259" w:lineRule="auto"/>
      <w:jc w:val="center"/>
    </w:pPr>
    <w:rPr>
      <w:rFonts w:eastAsiaTheme="minorHAnsi"/>
      <w:u w:val="none"/>
      <w:lang w:eastAsia="en-US"/>
    </w:rPr>
  </w:style>
  <w:style w:type="paragraph" w:customStyle="1" w:styleId="11Level1par">
    <w:name w:val="1.1 Level 1 par"/>
    <w:basedOn w:val="ListParagraph"/>
    <w:link w:val="11Level1parChar"/>
    <w:qFormat/>
    <w:rsid w:val="002211ED"/>
    <w:pPr>
      <w:numPr>
        <w:ilvl w:val="1"/>
        <w:numId w:val="4"/>
      </w:numPr>
      <w:tabs>
        <w:tab w:val="left" w:pos="709"/>
      </w:tabs>
      <w:spacing w:after="160" w:line="259" w:lineRule="auto"/>
      <w:jc w:val="both"/>
    </w:pPr>
    <w:rPr>
      <w:rFonts w:eastAsiaTheme="minorHAnsi"/>
      <w:u w:val="none"/>
      <w:lang w:val="en-ZA" w:eastAsia="en-US"/>
    </w:rPr>
  </w:style>
  <w:style w:type="paragraph" w:customStyle="1" w:styleId="123Level2par">
    <w:name w:val="1.2.3 Level 2 par"/>
    <w:basedOn w:val="11Level1par"/>
    <w:qFormat/>
    <w:rsid w:val="002211ED"/>
    <w:pPr>
      <w:numPr>
        <w:ilvl w:val="2"/>
      </w:numPr>
      <w:tabs>
        <w:tab w:val="left" w:pos="1418"/>
        <w:tab w:val="num" w:pos="1980"/>
      </w:tabs>
      <w:spacing w:line="480" w:lineRule="auto"/>
      <w:ind w:left="1418" w:hanging="180"/>
    </w:pPr>
  </w:style>
  <w:style w:type="character" w:customStyle="1" w:styleId="11Level1parChar">
    <w:name w:val="1.1 Level 1 par Char"/>
    <w:basedOn w:val="DefaultParagraphFont"/>
    <w:link w:val="11Level1par"/>
    <w:rsid w:val="002211ED"/>
    <w:rPr>
      <w:rFonts w:ascii="Arial" w:hAnsi="Arial" w:cs="Arial"/>
      <w:sz w:val="24"/>
      <w:szCs w:val="24"/>
    </w:rPr>
  </w:style>
  <w:style w:type="paragraph" w:customStyle="1" w:styleId="1234">
    <w:name w:val="1.2.3.4"/>
    <w:basedOn w:val="123Level2par"/>
    <w:qFormat/>
    <w:rsid w:val="002211ED"/>
    <w:pPr>
      <w:numPr>
        <w:ilvl w:val="3"/>
      </w:numPr>
      <w:tabs>
        <w:tab w:val="left" w:pos="2410"/>
        <w:tab w:val="num" w:pos="2700"/>
      </w:tabs>
      <w:ind w:left="2410" w:hanging="992"/>
    </w:pPr>
  </w:style>
  <w:style w:type="paragraph" w:customStyle="1" w:styleId="SingleSpacing">
    <w:name w:val="Single Spacing"/>
    <w:basedOn w:val="Normal"/>
    <w:rsid w:val="002211ED"/>
    <w:pPr>
      <w:spacing w:line="274" w:lineRule="exact"/>
    </w:pPr>
    <w:rPr>
      <w:rFonts w:ascii="Courier New" w:hAnsi="Courier New" w:cs="Courier New"/>
      <w:sz w:val="22"/>
      <w:szCs w:val="20"/>
      <w:u w:val="none"/>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75391%27%5d&amp;xhitlist_md=target-id=0-0-0-32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CB01-CCCD-4E98-B116-B01CF736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Mokone</cp:lastModifiedBy>
  <cp:revision>3</cp:revision>
  <dcterms:created xsi:type="dcterms:W3CDTF">2022-10-17T07:34:00Z</dcterms:created>
  <dcterms:modified xsi:type="dcterms:W3CDTF">2022-10-17T07:35:00Z</dcterms:modified>
</cp:coreProperties>
</file>