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747" w:rsidRDefault="00010747" w:rsidP="00010747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D0704">
        <w:rPr>
          <w:rFonts w:ascii="Arial" w:hAnsi="Arial" w:cs="Arial"/>
          <w:sz w:val="24"/>
          <w:szCs w:val="24"/>
        </w:rPr>
        <w:tab/>
      </w:r>
      <w:r w:rsidRPr="009D0704"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11B7CE3E" wp14:editId="536FDA71">
            <wp:extent cx="1352550" cy="1352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747" w:rsidRPr="00010747" w:rsidRDefault="00010747" w:rsidP="00010747">
      <w:pPr>
        <w:pStyle w:val="Heading1"/>
        <w:widowControl w:val="0"/>
        <w:autoSpaceDE w:val="0"/>
        <w:autoSpaceDN w:val="0"/>
        <w:spacing w:line="480" w:lineRule="auto"/>
        <w:jc w:val="center"/>
        <w:rPr>
          <w:rFonts w:ascii="Arial" w:hAnsi="Arial" w:cs="Arial"/>
          <w:color w:val="auto"/>
          <w:szCs w:val="24"/>
        </w:rPr>
      </w:pPr>
      <w:r w:rsidRPr="00010747">
        <w:rPr>
          <w:rFonts w:ascii="Arial" w:hAnsi="Arial" w:cs="Arial"/>
          <w:color w:val="auto"/>
          <w:szCs w:val="24"/>
        </w:rPr>
        <w:t>IN THE HIGH COURT OF SOUTH AFRICA</w:t>
      </w:r>
    </w:p>
    <w:p w:rsidR="00010747" w:rsidRPr="002734FA" w:rsidRDefault="00010747" w:rsidP="00010747">
      <w:pPr>
        <w:pStyle w:val="Heading1"/>
        <w:widowControl w:val="0"/>
        <w:autoSpaceDE w:val="0"/>
        <w:autoSpaceDN w:val="0"/>
        <w:spacing w:line="480" w:lineRule="auto"/>
        <w:jc w:val="center"/>
        <w:rPr>
          <w:rFonts w:ascii="Arial" w:hAnsi="Arial" w:cs="Arial"/>
          <w:szCs w:val="24"/>
        </w:rPr>
      </w:pPr>
      <w:r w:rsidRPr="00010747">
        <w:rPr>
          <w:rFonts w:ascii="Arial" w:hAnsi="Arial" w:cs="Arial"/>
          <w:color w:val="auto"/>
          <w:szCs w:val="24"/>
        </w:rPr>
        <w:t>(GAUTENG DIVISION, JOHANNESBURG</w:t>
      </w:r>
      <w:r w:rsidRPr="009D0704">
        <w:rPr>
          <w:rFonts w:ascii="Arial" w:hAnsi="Arial" w:cs="Arial"/>
          <w:szCs w:val="24"/>
        </w:rPr>
        <w:t>)</w:t>
      </w:r>
    </w:p>
    <w:p w:rsidR="00010747" w:rsidRPr="009D0704" w:rsidRDefault="00010747" w:rsidP="00010747">
      <w:pPr>
        <w:spacing w:line="48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9D0704">
        <w:rPr>
          <w:rFonts w:ascii="Arial" w:hAnsi="Arial" w:cs="Arial"/>
          <w:b/>
          <w:bCs/>
          <w:sz w:val="24"/>
          <w:szCs w:val="24"/>
        </w:rPr>
        <w:t xml:space="preserve">Case No: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010747" w:rsidRPr="009D0704" w:rsidRDefault="00010747" w:rsidP="00010747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9D0704">
        <w:rPr>
          <w:rFonts w:ascii="Arial" w:hAnsi="Arial" w:cs="Arial"/>
          <w:sz w:val="16"/>
          <w:szCs w:val="16"/>
        </w:rPr>
        <w:t xml:space="preserve"> </w:t>
      </w: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38"/>
      </w:tblGrid>
      <w:tr w:rsidR="00010747" w:rsidRPr="009D0704" w:rsidTr="00CE3733">
        <w:trPr>
          <w:trHeight w:val="808"/>
        </w:trPr>
        <w:tc>
          <w:tcPr>
            <w:tcW w:w="3638" w:type="dxa"/>
          </w:tcPr>
          <w:p w:rsidR="00010747" w:rsidRPr="009D0704" w:rsidRDefault="00010747" w:rsidP="00CE373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0704">
              <w:rPr>
                <w:rFonts w:ascii="Arial" w:hAnsi="Arial" w:cs="Arial"/>
                <w:sz w:val="16"/>
                <w:szCs w:val="16"/>
              </w:rPr>
              <w:t xml:space="preserve">REPORTABLE: No </w:t>
            </w:r>
          </w:p>
          <w:p w:rsidR="00010747" w:rsidRPr="009D0704" w:rsidRDefault="00010747" w:rsidP="00CE373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0704">
              <w:rPr>
                <w:rFonts w:ascii="Arial" w:hAnsi="Arial" w:cs="Arial"/>
                <w:sz w:val="16"/>
                <w:szCs w:val="16"/>
              </w:rPr>
              <w:t xml:space="preserve">OF INTEREST TO OTHER JUDGES: No </w:t>
            </w:r>
          </w:p>
          <w:p w:rsidR="00010747" w:rsidRDefault="00010747" w:rsidP="00CE373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0704">
              <w:rPr>
                <w:rFonts w:ascii="Arial" w:hAnsi="Arial" w:cs="Arial"/>
                <w:sz w:val="16"/>
                <w:szCs w:val="16"/>
              </w:rPr>
              <w:t>REVISED</w:t>
            </w:r>
            <w:r>
              <w:rPr>
                <w:rFonts w:ascii="Arial" w:hAnsi="Arial" w:cs="Arial"/>
                <w:sz w:val="16"/>
                <w:szCs w:val="16"/>
              </w:rPr>
              <w:t>: NO</w:t>
            </w:r>
          </w:p>
          <w:p w:rsidR="00010747" w:rsidRDefault="00010747" w:rsidP="00CE373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10747" w:rsidRPr="009D0704" w:rsidRDefault="00010747" w:rsidP="00CE373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04 October  </w:t>
            </w:r>
            <w:r w:rsidRPr="009D0704">
              <w:rPr>
                <w:rFonts w:ascii="Arial" w:hAnsi="Arial" w:cs="Arial"/>
                <w:b/>
                <w:sz w:val="16"/>
                <w:szCs w:val="16"/>
              </w:rPr>
              <w:t xml:space="preserve">2022      </w:t>
            </w:r>
            <w:r>
              <w:rPr>
                <w:noProof/>
                <w:u w:val="single"/>
              </w:rPr>
              <w:t xml:space="preserve"> </w:t>
            </w:r>
            <w:r w:rsidRPr="009D0704">
              <w:rPr>
                <w:rFonts w:ascii="Arial" w:hAnsi="Arial" w:cs="Arial"/>
                <w:b/>
                <w:sz w:val="16"/>
                <w:szCs w:val="16"/>
              </w:rPr>
              <w:t xml:space="preserve"> ..</w:t>
            </w:r>
          </w:p>
        </w:tc>
      </w:tr>
    </w:tbl>
    <w:p w:rsidR="00010747" w:rsidRPr="009B3642" w:rsidRDefault="00010747" w:rsidP="00010747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9B3642">
        <w:rPr>
          <w:rFonts w:ascii="Arial" w:hAnsi="Arial" w:cs="Arial"/>
          <w:sz w:val="24"/>
          <w:szCs w:val="24"/>
        </w:rPr>
        <w:t xml:space="preserve">In the matter between: </w:t>
      </w:r>
    </w:p>
    <w:p w:rsidR="00010747" w:rsidRPr="009B3642" w:rsidRDefault="00010747" w:rsidP="00010747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010747" w:rsidRPr="009B3642" w:rsidRDefault="00010747" w:rsidP="00010747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9B3642">
        <w:rPr>
          <w:rFonts w:ascii="Arial" w:hAnsi="Arial" w:cs="Arial"/>
          <w:b/>
          <w:sz w:val="24"/>
          <w:szCs w:val="24"/>
        </w:rPr>
        <w:t>AFRIFORUM</w:t>
      </w:r>
      <w:r w:rsidRPr="009B3642">
        <w:rPr>
          <w:rFonts w:ascii="Arial" w:hAnsi="Arial" w:cs="Arial"/>
          <w:sz w:val="24"/>
          <w:szCs w:val="24"/>
        </w:rPr>
        <w:tab/>
      </w:r>
      <w:r w:rsidRPr="009B3642">
        <w:rPr>
          <w:rFonts w:ascii="Arial" w:hAnsi="Arial" w:cs="Arial"/>
          <w:sz w:val="24"/>
          <w:szCs w:val="24"/>
        </w:rPr>
        <w:tab/>
      </w:r>
      <w:r w:rsidRPr="009B3642">
        <w:rPr>
          <w:rFonts w:ascii="Arial" w:hAnsi="Arial" w:cs="Arial"/>
          <w:sz w:val="24"/>
          <w:szCs w:val="24"/>
        </w:rPr>
        <w:tab/>
      </w:r>
      <w:r w:rsidRPr="009B3642">
        <w:rPr>
          <w:rFonts w:ascii="Arial" w:hAnsi="Arial" w:cs="Arial"/>
          <w:sz w:val="24"/>
          <w:szCs w:val="24"/>
        </w:rPr>
        <w:tab/>
      </w:r>
      <w:r w:rsidRPr="009B3642">
        <w:rPr>
          <w:rFonts w:ascii="Arial" w:hAnsi="Arial" w:cs="Arial"/>
          <w:sz w:val="24"/>
          <w:szCs w:val="24"/>
        </w:rPr>
        <w:tab/>
      </w:r>
      <w:r w:rsidRPr="009B3642">
        <w:rPr>
          <w:rFonts w:ascii="Arial" w:hAnsi="Arial" w:cs="Arial"/>
          <w:sz w:val="24"/>
          <w:szCs w:val="24"/>
        </w:rPr>
        <w:tab/>
      </w:r>
      <w:r w:rsidRPr="009B3642">
        <w:rPr>
          <w:rFonts w:ascii="Arial" w:hAnsi="Arial" w:cs="Arial"/>
          <w:sz w:val="24"/>
          <w:szCs w:val="24"/>
        </w:rPr>
        <w:tab/>
      </w:r>
      <w:r w:rsidRPr="009B3642">
        <w:rPr>
          <w:rFonts w:ascii="Arial" w:hAnsi="Arial" w:cs="Arial"/>
          <w:sz w:val="24"/>
          <w:szCs w:val="24"/>
        </w:rPr>
        <w:tab/>
      </w:r>
      <w:r w:rsidRPr="009B3642">
        <w:rPr>
          <w:rFonts w:ascii="Arial" w:hAnsi="Arial" w:cs="Arial"/>
          <w:sz w:val="24"/>
          <w:szCs w:val="24"/>
        </w:rPr>
        <w:tab/>
        <w:t xml:space="preserve">   Complainant</w:t>
      </w:r>
    </w:p>
    <w:p w:rsidR="00010747" w:rsidRPr="009B3642" w:rsidRDefault="00010747" w:rsidP="00010747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9B3642">
        <w:rPr>
          <w:rFonts w:ascii="Arial" w:hAnsi="Arial" w:cs="Arial"/>
          <w:sz w:val="24"/>
          <w:szCs w:val="24"/>
        </w:rPr>
        <w:t xml:space="preserve">and </w:t>
      </w:r>
    </w:p>
    <w:p w:rsidR="00010747" w:rsidRPr="009B3642" w:rsidRDefault="00010747" w:rsidP="00010747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9B3642">
        <w:rPr>
          <w:rFonts w:ascii="Arial" w:hAnsi="Arial" w:cs="Arial"/>
          <w:b/>
          <w:sz w:val="24"/>
          <w:szCs w:val="24"/>
        </w:rPr>
        <w:t>ECONOMIC FREEDOM FIGHTERS</w:t>
      </w:r>
      <w:r w:rsidRPr="009B3642">
        <w:rPr>
          <w:rFonts w:ascii="Arial" w:hAnsi="Arial" w:cs="Arial"/>
          <w:sz w:val="24"/>
          <w:szCs w:val="24"/>
        </w:rPr>
        <w:tab/>
      </w:r>
      <w:r w:rsidRPr="009B3642">
        <w:rPr>
          <w:rFonts w:ascii="Arial" w:hAnsi="Arial" w:cs="Arial"/>
          <w:sz w:val="24"/>
          <w:szCs w:val="24"/>
        </w:rPr>
        <w:tab/>
      </w:r>
      <w:r w:rsidRPr="009B3642">
        <w:rPr>
          <w:rFonts w:ascii="Arial" w:hAnsi="Arial" w:cs="Arial"/>
          <w:sz w:val="24"/>
          <w:szCs w:val="24"/>
        </w:rPr>
        <w:tab/>
      </w:r>
      <w:r w:rsidRPr="009B3642">
        <w:rPr>
          <w:rFonts w:ascii="Arial" w:hAnsi="Arial" w:cs="Arial"/>
          <w:sz w:val="24"/>
          <w:szCs w:val="24"/>
        </w:rPr>
        <w:tab/>
      </w:r>
      <w:r w:rsidRPr="009B3642">
        <w:rPr>
          <w:rFonts w:ascii="Arial" w:hAnsi="Arial" w:cs="Arial"/>
          <w:sz w:val="24"/>
          <w:szCs w:val="24"/>
        </w:rPr>
        <w:tab/>
        <w:t xml:space="preserve"> 1</w:t>
      </w:r>
      <w:r w:rsidRPr="009B3642">
        <w:rPr>
          <w:rFonts w:ascii="Arial" w:hAnsi="Arial" w:cs="Arial"/>
          <w:sz w:val="24"/>
          <w:szCs w:val="24"/>
          <w:vertAlign w:val="superscript"/>
        </w:rPr>
        <w:t xml:space="preserve">st </w:t>
      </w:r>
      <w:r w:rsidRPr="009B3642">
        <w:rPr>
          <w:rFonts w:ascii="Arial" w:hAnsi="Arial" w:cs="Arial"/>
          <w:sz w:val="24"/>
          <w:szCs w:val="24"/>
        </w:rPr>
        <w:t>Respondent</w:t>
      </w:r>
    </w:p>
    <w:p w:rsidR="00010747" w:rsidRPr="009B3642" w:rsidRDefault="00010747" w:rsidP="00010747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9B3642">
        <w:rPr>
          <w:rFonts w:ascii="Arial" w:hAnsi="Arial" w:cs="Arial"/>
          <w:b/>
          <w:sz w:val="24"/>
          <w:szCs w:val="24"/>
        </w:rPr>
        <w:t>JULIUS SELLO MALEMA</w:t>
      </w:r>
      <w:r w:rsidRPr="009B3642">
        <w:rPr>
          <w:rFonts w:ascii="Arial" w:hAnsi="Arial" w:cs="Arial"/>
          <w:b/>
          <w:sz w:val="24"/>
          <w:szCs w:val="24"/>
        </w:rPr>
        <w:tab/>
      </w:r>
      <w:r w:rsidRPr="009B3642">
        <w:rPr>
          <w:rFonts w:ascii="Arial" w:hAnsi="Arial" w:cs="Arial"/>
          <w:sz w:val="24"/>
          <w:szCs w:val="24"/>
        </w:rPr>
        <w:tab/>
      </w:r>
      <w:r w:rsidRPr="009B3642">
        <w:rPr>
          <w:rFonts w:ascii="Arial" w:hAnsi="Arial" w:cs="Arial"/>
          <w:sz w:val="24"/>
          <w:szCs w:val="24"/>
        </w:rPr>
        <w:tab/>
      </w:r>
      <w:r w:rsidRPr="009B3642">
        <w:rPr>
          <w:rFonts w:ascii="Arial" w:hAnsi="Arial" w:cs="Arial"/>
          <w:sz w:val="24"/>
          <w:szCs w:val="24"/>
        </w:rPr>
        <w:tab/>
      </w:r>
      <w:r w:rsidRPr="009B3642">
        <w:rPr>
          <w:rFonts w:ascii="Arial" w:hAnsi="Arial" w:cs="Arial"/>
          <w:sz w:val="24"/>
          <w:szCs w:val="24"/>
        </w:rPr>
        <w:tab/>
      </w:r>
      <w:r w:rsidRPr="009B3642">
        <w:rPr>
          <w:rFonts w:ascii="Arial" w:hAnsi="Arial" w:cs="Arial"/>
          <w:sz w:val="24"/>
          <w:szCs w:val="24"/>
        </w:rPr>
        <w:tab/>
      </w:r>
      <w:r w:rsidRPr="009B3642">
        <w:rPr>
          <w:rFonts w:ascii="Arial" w:hAnsi="Arial" w:cs="Arial"/>
          <w:sz w:val="24"/>
          <w:szCs w:val="24"/>
        </w:rPr>
        <w:tab/>
        <w:t>2</w:t>
      </w:r>
      <w:r w:rsidRPr="009B3642">
        <w:rPr>
          <w:rFonts w:ascii="Arial" w:hAnsi="Arial" w:cs="Arial"/>
          <w:sz w:val="24"/>
          <w:szCs w:val="24"/>
          <w:vertAlign w:val="superscript"/>
        </w:rPr>
        <w:t>nd</w:t>
      </w:r>
      <w:r w:rsidRPr="009B3642">
        <w:rPr>
          <w:rFonts w:ascii="Arial" w:hAnsi="Arial" w:cs="Arial"/>
          <w:sz w:val="24"/>
          <w:szCs w:val="24"/>
        </w:rPr>
        <w:t xml:space="preserve"> Respondent</w:t>
      </w:r>
    </w:p>
    <w:p w:rsidR="00010747" w:rsidRPr="009B3642" w:rsidRDefault="00010747" w:rsidP="00010747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9B3642">
        <w:rPr>
          <w:rFonts w:ascii="Arial" w:hAnsi="Arial" w:cs="Arial"/>
          <w:b/>
          <w:sz w:val="24"/>
          <w:szCs w:val="24"/>
        </w:rPr>
        <w:t>MBUYISENI NDLOZI</w:t>
      </w:r>
      <w:r w:rsidRPr="009B3642">
        <w:rPr>
          <w:rFonts w:ascii="Arial" w:hAnsi="Arial" w:cs="Arial"/>
          <w:sz w:val="24"/>
          <w:szCs w:val="24"/>
        </w:rPr>
        <w:tab/>
      </w:r>
      <w:r w:rsidRPr="009B3642">
        <w:rPr>
          <w:rFonts w:ascii="Arial" w:hAnsi="Arial" w:cs="Arial"/>
          <w:sz w:val="24"/>
          <w:szCs w:val="24"/>
        </w:rPr>
        <w:tab/>
      </w:r>
      <w:r w:rsidRPr="009B3642">
        <w:rPr>
          <w:rFonts w:ascii="Arial" w:hAnsi="Arial" w:cs="Arial"/>
          <w:sz w:val="24"/>
          <w:szCs w:val="24"/>
        </w:rPr>
        <w:tab/>
      </w:r>
      <w:r w:rsidRPr="009B3642">
        <w:rPr>
          <w:rFonts w:ascii="Arial" w:hAnsi="Arial" w:cs="Arial"/>
          <w:sz w:val="24"/>
          <w:szCs w:val="24"/>
        </w:rPr>
        <w:tab/>
      </w:r>
      <w:r w:rsidRPr="009B3642">
        <w:rPr>
          <w:rFonts w:ascii="Arial" w:hAnsi="Arial" w:cs="Arial"/>
          <w:sz w:val="24"/>
          <w:szCs w:val="24"/>
        </w:rPr>
        <w:tab/>
      </w:r>
      <w:r w:rsidRPr="009B3642">
        <w:rPr>
          <w:rFonts w:ascii="Arial" w:hAnsi="Arial" w:cs="Arial"/>
          <w:sz w:val="24"/>
          <w:szCs w:val="24"/>
        </w:rPr>
        <w:tab/>
      </w:r>
      <w:r w:rsidRPr="009B3642">
        <w:rPr>
          <w:rFonts w:ascii="Arial" w:hAnsi="Arial" w:cs="Arial"/>
          <w:sz w:val="24"/>
          <w:szCs w:val="24"/>
        </w:rPr>
        <w:tab/>
        <w:t xml:space="preserve"> 3</w:t>
      </w:r>
      <w:r w:rsidRPr="009B3642">
        <w:rPr>
          <w:rFonts w:ascii="Arial" w:hAnsi="Arial" w:cs="Arial"/>
          <w:sz w:val="24"/>
          <w:szCs w:val="24"/>
          <w:vertAlign w:val="superscript"/>
        </w:rPr>
        <w:t>rd</w:t>
      </w:r>
      <w:r w:rsidRPr="009B3642">
        <w:rPr>
          <w:rFonts w:ascii="Arial" w:hAnsi="Arial" w:cs="Arial"/>
          <w:sz w:val="24"/>
          <w:szCs w:val="24"/>
        </w:rPr>
        <w:t xml:space="preserve"> Respondent</w:t>
      </w:r>
    </w:p>
    <w:p w:rsidR="00EA3DE2" w:rsidRPr="00EA3DE2" w:rsidRDefault="00EA3DE2" w:rsidP="00EA3DE2">
      <w:pPr>
        <w:spacing w:line="480" w:lineRule="auto"/>
        <w:ind w:left="1440" w:hanging="1440"/>
      </w:pPr>
      <w:r w:rsidRPr="00EA3DE2">
        <w:rPr>
          <w:rFonts w:ascii="Arial" w:hAnsi="Arial" w:cs="Arial"/>
          <w:b/>
        </w:rPr>
        <w:t xml:space="preserve">Delivered: </w:t>
      </w:r>
      <w:r w:rsidRPr="00EA3DE2">
        <w:rPr>
          <w:rFonts w:ascii="Arial" w:hAnsi="Arial" w:cs="Arial"/>
          <w:b/>
        </w:rPr>
        <w:tab/>
      </w:r>
      <w:r w:rsidRPr="00EA3DE2">
        <w:t>This judgment was handed down electronically by circulation to the parties' legal representatives by email, and uploaded on caselines electronic platform. The date for hand-down is deemed to be 04 Octber 2022.</w:t>
      </w:r>
    </w:p>
    <w:p w:rsidR="00010747" w:rsidRPr="009D0704" w:rsidRDefault="00010747" w:rsidP="00010747">
      <w:pPr>
        <w:widowControl w:val="0"/>
        <w:tabs>
          <w:tab w:val="left" w:pos="7088"/>
          <w:tab w:val="right" w:pos="9027"/>
          <w:tab w:val="right" w:pos="9072"/>
        </w:tabs>
        <w:spacing w:line="480" w:lineRule="auto"/>
        <w:rPr>
          <w:rFonts w:ascii="Arial" w:hAnsi="Arial" w:cs="Arial"/>
          <w:sz w:val="24"/>
          <w:szCs w:val="24"/>
          <w:u w:val="single"/>
          <w:lang w:val="en-GB"/>
        </w:rPr>
      </w:pPr>
      <w:r>
        <w:rPr>
          <w:rFonts w:ascii="Arial" w:hAnsi="Arial" w:cs="Arial"/>
          <w:sz w:val="24"/>
          <w:szCs w:val="24"/>
          <w:u w:val="single"/>
          <w:lang w:val="en-GB"/>
        </w:rPr>
        <w:t xml:space="preserve">  </w:t>
      </w:r>
      <w:r w:rsidRPr="009D0704">
        <w:rPr>
          <w:rFonts w:ascii="Arial" w:hAnsi="Arial" w:cs="Arial"/>
          <w:sz w:val="24"/>
          <w:szCs w:val="24"/>
          <w:u w:val="single"/>
          <w:lang w:val="en-GB"/>
        </w:rPr>
        <w:tab/>
      </w:r>
      <w:r w:rsidRPr="009D0704">
        <w:rPr>
          <w:rFonts w:ascii="Arial" w:hAnsi="Arial" w:cs="Arial"/>
          <w:sz w:val="24"/>
          <w:szCs w:val="24"/>
          <w:u w:val="single"/>
          <w:lang w:val="en-GB"/>
        </w:rPr>
        <w:tab/>
      </w:r>
    </w:p>
    <w:p w:rsidR="00010747" w:rsidRPr="009D0704" w:rsidRDefault="00010747" w:rsidP="00010747">
      <w:pPr>
        <w:spacing w:line="480" w:lineRule="auto"/>
        <w:rPr>
          <w:rFonts w:ascii="Arial" w:hAnsi="Arial" w:cs="Arial"/>
          <w:b/>
          <w:sz w:val="24"/>
          <w:szCs w:val="24"/>
          <w:lang w:val="en-GB"/>
        </w:rPr>
      </w:pPr>
      <w:r w:rsidRPr="009D0704">
        <w:rPr>
          <w:rFonts w:ascii="Arial" w:hAnsi="Arial" w:cs="Arial"/>
          <w:sz w:val="24"/>
          <w:szCs w:val="24"/>
          <w:lang w:val="en-GB"/>
        </w:rPr>
        <w:tab/>
      </w:r>
      <w:r w:rsidRPr="009D0704">
        <w:rPr>
          <w:rFonts w:ascii="Arial" w:hAnsi="Arial" w:cs="Arial"/>
          <w:sz w:val="24"/>
          <w:szCs w:val="24"/>
          <w:lang w:val="en-GB"/>
        </w:rPr>
        <w:tab/>
      </w:r>
      <w:r w:rsidRPr="009D0704">
        <w:rPr>
          <w:rFonts w:ascii="Arial" w:hAnsi="Arial" w:cs="Arial"/>
          <w:sz w:val="24"/>
          <w:szCs w:val="24"/>
          <w:lang w:val="en-GB"/>
        </w:rPr>
        <w:tab/>
      </w:r>
      <w:r w:rsidRPr="009D0704">
        <w:rPr>
          <w:rFonts w:ascii="Arial" w:hAnsi="Arial" w:cs="Arial"/>
          <w:sz w:val="24"/>
          <w:szCs w:val="24"/>
          <w:lang w:val="en-GB"/>
        </w:rPr>
        <w:tab/>
      </w:r>
      <w:r w:rsidRPr="009D0704">
        <w:rPr>
          <w:rFonts w:ascii="Arial" w:hAnsi="Arial" w:cs="Arial"/>
          <w:b/>
          <w:sz w:val="24"/>
          <w:szCs w:val="24"/>
          <w:lang w:val="en-GB"/>
        </w:rPr>
        <w:t xml:space="preserve">LEAVE TO APPEAL: JUDGEMENT </w:t>
      </w:r>
    </w:p>
    <w:p w:rsidR="00010747" w:rsidRPr="009D0704" w:rsidRDefault="00010747" w:rsidP="00010747">
      <w:pPr>
        <w:spacing w:line="480" w:lineRule="auto"/>
        <w:rPr>
          <w:rFonts w:ascii="Arial" w:hAnsi="Arial" w:cs="Arial"/>
          <w:sz w:val="24"/>
          <w:szCs w:val="24"/>
          <w:u w:val="single"/>
          <w:lang w:val="en-GB"/>
        </w:rPr>
      </w:pPr>
      <w:r w:rsidRPr="009D0704">
        <w:rPr>
          <w:rFonts w:ascii="Arial" w:hAnsi="Arial" w:cs="Arial"/>
          <w:sz w:val="24"/>
          <w:szCs w:val="24"/>
          <w:u w:val="single"/>
          <w:lang w:val="en-GB"/>
        </w:rPr>
        <w:tab/>
      </w:r>
      <w:r w:rsidRPr="009D0704">
        <w:rPr>
          <w:rFonts w:ascii="Arial" w:hAnsi="Arial" w:cs="Arial"/>
          <w:sz w:val="24"/>
          <w:szCs w:val="24"/>
          <w:u w:val="single"/>
          <w:lang w:val="en-GB"/>
        </w:rPr>
        <w:tab/>
      </w:r>
      <w:r w:rsidRPr="009D0704">
        <w:rPr>
          <w:rFonts w:ascii="Arial" w:hAnsi="Arial" w:cs="Arial"/>
          <w:sz w:val="24"/>
          <w:szCs w:val="24"/>
          <w:u w:val="single"/>
          <w:lang w:val="en-GB"/>
        </w:rPr>
        <w:tab/>
      </w:r>
      <w:r w:rsidRPr="009D0704">
        <w:rPr>
          <w:rFonts w:ascii="Arial" w:hAnsi="Arial" w:cs="Arial"/>
          <w:sz w:val="24"/>
          <w:szCs w:val="24"/>
          <w:u w:val="single"/>
          <w:lang w:val="en-GB"/>
        </w:rPr>
        <w:tab/>
      </w:r>
      <w:r w:rsidRPr="009D0704">
        <w:rPr>
          <w:rFonts w:ascii="Arial" w:hAnsi="Arial" w:cs="Arial"/>
          <w:sz w:val="24"/>
          <w:szCs w:val="24"/>
          <w:u w:val="single"/>
          <w:lang w:val="en-GB"/>
        </w:rPr>
        <w:tab/>
      </w:r>
      <w:r w:rsidRPr="009D0704">
        <w:rPr>
          <w:rFonts w:ascii="Arial" w:hAnsi="Arial" w:cs="Arial"/>
          <w:sz w:val="24"/>
          <w:szCs w:val="24"/>
          <w:u w:val="single"/>
          <w:lang w:val="en-GB"/>
        </w:rPr>
        <w:tab/>
      </w:r>
      <w:r w:rsidRPr="009D0704">
        <w:rPr>
          <w:rFonts w:ascii="Arial" w:hAnsi="Arial" w:cs="Arial"/>
          <w:sz w:val="24"/>
          <w:szCs w:val="24"/>
          <w:u w:val="single"/>
          <w:lang w:val="en-GB"/>
        </w:rPr>
        <w:tab/>
      </w:r>
      <w:r w:rsidRPr="009D0704">
        <w:rPr>
          <w:rFonts w:ascii="Arial" w:hAnsi="Arial" w:cs="Arial"/>
          <w:sz w:val="24"/>
          <w:szCs w:val="24"/>
          <w:u w:val="single"/>
          <w:lang w:val="en-GB"/>
        </w:rPr>
        <w:tab/>
      </w:r>
      <w:r w:rsidRPr="009D0704">
        <w:rPr>
          <w:rFonts w:ascii="Arial" w:hAnsi="Arial" w:cs="Arial"/>
          <w:sz w:val="24"/>
          <w:szCs w:val="24"/>
          <w:u w:val="single"/>
          <w:lang w:val="en-GB"/>
        </w:rPr>
        <w:tab/>
      </w:r>
      <w:r w:rsidRPr="009D0704">
        <w:rPr>
          <w:rFonts w:ascii="Arial" w:hAnsi="Arial" w:cs="Arial"/>
          <w:sz w:val="24"/>
          <w:szCs w:val="24"/>
          <w:u w:val="single"/>
          <w:lang w:val="en-GB"/>
        </w:rPr>
        <w:tab/>
      </w:r>
      <w:r w:rsidRPr="009D0704">
        <w:rPr>
          <w:rFonts w:ascii="Arial" w:hAnsi="Arial" w:cs="Arial"/>
          <w:sz w:val="24"/>
          <w:szCs w:val="24"/>
          <w:u w:val="single"/>
          <w:lang w:val="en-GB"/>
        </w:rPr>
        <w:tab/>
      </w:r>
      <w:r w:rsidRPr="009D0704">
        <w:rPr>
          <w:rFonts w:ascii="Arial" w:hAnsi="Arial" w:cs="Arial"/>
          <w:sz w:val="24"/>
          <w:szCs w:val="24"/>
          <w:u w:val="single"/>
          <w:lang w:val="en-GB"/>
        </w:rPr>
        <w:tab/>
      </w:r>
      <w:r>
        <w:rPr>
          <w:rFonts w:ascii="Arial" w:hAnsi="Arial" w:cs="Arial"/>
          <w:sz w:val="24"/>
          <w:szCs w:val="24"/>
          <w:u w:val="single"/>
          <w:lang w:val="en-GB"/>
        </w:rPr>
        <w:t>__</w:t>
      </w:r>
    </w:p>
    <w:p w:rsidR="00010747" w:rsidRPr="009D0704" w:rsidRDefault="00010747" w:rsidP="00010747">
      <w:pPr>
        <w:spacing w:line="480" w:lineRule="auto"/>
        <w:rPr>
          <w:rFonts w:ascii="Arial" w:hAnsi="Arial" w:cs="Arial"/>
          <w:b/>
          <w:sz w:val="24"/>
          <w:szCs w:val="24"/>
          <w:lang w:val="en-GB"/>
        </w:rPr>
      </w:pPr>
      <w:r w:rsidRPr="009D0704">
        <w:rPr>
          <w:rFonts w:ascii="Arial" w:hAnsi="Arial" w:cs="Arial"/>
          <w:b/>
          <w:sz w:val="24"/>
          <w:szCs w:val="24"/>
          <w:lang w:val="en-GB"/>
        </w:rPr>
        <w:t xml:space="preserve">Molahlehi J </w:t>
      </w:r>
    </w:p>
    <w:p w:rsidR="00010747" w:rsidRDefault="00010747" w:rsidP="00816E63">
      <w:pPr>
        <w:spacing w:after="0" w:line="480" w:lineRule="auto"/>
        <w:rPr>
          <w:rFonts w:ascii="Arial" w:hAnsi="Arial" w:cs="Arial"/>
          <w:color w:val="0E101A"/>
        </w:rPr>
      </w:pPr>
    </w:p>
    <w:p w:rsidR="00AB2D9A" w:rsidRPr="00AB2D9A" w:rsidRDefault="004E2AB4" w:rsidP="004E2AB4">
      <w:pPr>
        <w:pStyle w:val="NormalWeb"/>
        <w:spacing w:before="0" w:beforeAutospacing="0" w:after="0" w:afterAutospacing="0" w:line="480" w:lineRule="auto"/>
        <w:rPr>
          <w:rFonts w:ascii="Arial" w:hAnsi="Arial" w:cs="Arial"/>
          <w:color w:val="0E101A"/>
        </w:rPr>
      </w:pPr>
      <w:r w:rsidRPr="00AB2D9A">
        <w:rPr>
          <w:rFonts w:ascii="Arial" w:hAnsi="Arial" w:cs="Arial"/>
          <w:color w:val="0E101A"/>
        </w:rPr>
        <w:t>[1]</w:t>
      </w:r>
      <w:r w:rsidRPr="00AB2D9A">
        <w:rPr>
          <w:rFonts w:ascii="Arial" w:hAnsi="Arial" w:cs="Arial"/>
          <w:color w:val="0E101A"/>
        </w:rPr>
        <w:tab/>
      </w:r>
      <w:r w:rsidR="00AB2D9A" w:rsidRPr="00816E63">
        <w:rPr>
          <w:rFonts w:ascii="Arial" w:hAnsi="Arial" w:cs="Arial"/>
          <w:color w:val="0E101A"/>
        </w:rPr>
        <w:t>Following upon the complainant, by the applicant that the two songs, "Kill/Kiss the Boer" and "Biza a ma'firebrgate" sung by the respondents constitute hate speech and unfair discrimination in terms of sections 10 and 7 of the Promotion of Equality and Prevention of Unfair Discrimination Act, 2000 (Equality Act) this court made the following order on 25 August 2022:</w:t>
      </w:r>
    </w:p>
    <w:p w:rsidR="00AB2D9A" w:rsidRPr="004E2AB4" w:rsidRDefault="004E2AB4" w:rsidP="004E2AB4">
      <w:pPr>
        <w:spacing w:after="0" w:line="480" w:lineRule="auto"/>
        <w:ind w:left="1134" w:hanging="567"/>
        <w:rPr>
          <w:rFonts w:ascii="Arial" w:eastAsia="Times New Roman" w:hAnsi="Arial" w:cs="Arial"/>
          <w:color w:val="0E101A"/>
          <w:sz w:val="24"/>
          <w:szCs w:val="24"/>
          <w:lang w:eastAsia="en-ZA"/>
        </w:rPr>
      </w:pPr>
      <w:r w:rsidRPr="001C5FC5">
        <w:rPr>
          <w:rFonts w:ascii="Arial" w:eastAsia="Times New Roman" w:hAnsi="Arial" w:cs="Arial"/>
          <w:color w:val="0E101A"/>
          <w:sz w:val="24"/>
          <w:szCs w:val="24"/>
          <w:lang w:eastAsia="en-ZA"/>
        </w:rPr>
        <w:t>(</w:t>
      </w:r>
      <w:bookmarkStart w:id="0" w:name="_GoBack"/>
      <w:bookmarkEnd w:id="0"/>
      <w:r w:rsidRPr="001C5FC5">
        <w:rPr>
          <w:rFonts w:ascii="Arial" w:eastAsia="Times New Roman" w:hAnsi="Arial" w:cs="Arial"/>
          <w:color w:val="0E101A"/>
          <w:sz w:val="24"/>
          <w:szCs w:val="24"/>
          <w:lang w:eastAsia="en-ZA"/>
        </w:rPr>
        <w:t>1)</w:t>
      </w:r>
      <w:r w:rsidRPr="001C5FC5">
        <w:rPr>
          <w:rFonts w:ascii="Arial" w:eastAsia="Times New Roman" w:hAnsi="Arial" w:cs="Arial"/>
          <w:color w:val="0E101A"/>
          <w:sz w:val="24"/>
          <w:szCs w:val="24"/>
          <w:lang w:eastAsia="en-ZA"/>
        </w:rPr>
        <w:tab/>
      </w:r>
      <w:r w:rsidR="00AB2D9A" w:rsidRPr="004E2AB4">
        <w:rPr>
          <w:rFonts w:ascii="Arial" w:eastAsia="Times New Roman" w:hAnsi="Arial" w:cs="Arial"/>
          <w:color w:val="0E101A"/>
          <w:sz w:val="24"/>
          <w:szCs w:val="24"/>
          <w:lang w:eastAsia="en-ZA"/>
        </w:rPr>
        <w:t>The complaint that the first impugned song, "Kiss the Boer/ Kiss the farmer" constitutes hate speech, and unfair discrimination is dismissed.</w:t>
      </w:r>
    </w:p>
    <w:p w:rsidR="00AB2D9A" w:rsidRPr="004E2AB4" w:rsidRDefault="004E2AB4" w:rsidP="004E2AB4">
      <w:pPr>
        <w:spacing w:after="0" w:line="480" w:lineRule="auto"/>
        <w:ind w:left="1440" w:hanging="873"/>
        <w:rPr>
          <w:rFonts w:ascii="Arial" w:eastAsia="Times New Roman" w:hAnsi="Arial" w:cs="Arial"/>
          <w:color w:val="0E101A"/>
          <w:sz w:val="24"/>
          <w:szCs w:val="24"/>
          <w:lang w:eastAsia="en-ZA"/>
        </w:rPr>
      </w:pPr>
      <w:r w:rsidRPr="001C5FC5">
        <w:rPr>
          <w:rFonts w:ascii="Arial" w:eastAsia="Times New Roman" w:hAnsi="Arial" w:cs="Arial"/>
          <w:color w:val="0E101A"/>
          <w:sz w:val="24"/>
          <w:szCs w:val="24"/>
          <w:lang w:eastAsia="en-ZA"/>
        </w:rPr>
        <w:t>(2)</w:t>
      </w:r>
      <w:r w:rsidRPr="001C5FC5">
        <w:rPr>
          <w:rFonts w:ascii="Arial" w:eastAsia="Times New Roman" w:hAnsi="Arial" w:cs="Arial"/>
          <w:color w:val="0E101A"/>
          <w:sz w:val="24"/>
          <w:szCs w:val="24"/>
          <w:lang w:eastAsia="en-ZA"/>
        </w:rPr>
        <w:tab/>
      </w:r>
      <w:r w:rsidR="00AB2D9A" w:rsidRPr="004E2AB4">
        <w:rPr>
          <w:rFonts w:ascii="Arial" w:eastAsia="Times New Roman" w:hAnsi="Arial" w:cs="Arial"/>
          <w:color w:val="0E101A"/>
          <w:sz w:val="24"/>
          <w:szCs w:val="24"/>
          <w:lang w:eastAsia="en-ZA"/>
        </w:rPr>
        <w:t>The complaint that the second impugned song, "Bizan'ifire brigade" ("call the fire brigade"), constitutes hate speech and unfair discrimination is dismissed. </w:t>
      </w:r>
    </w:p>
    <w:p w:rsidR="00AB2D9A" w:rsidRPr="004E2AB4" w:rsidRDefault="004E2AB4" w:rsidP="004E2AB4">
      <w:pPr>
        <w:spacing w:after="0" w:line="480" w:lineRule="auto"/>
        <w:ind w:left="1440" w:hanging="731"/>
        <w:rPr>
          <w:rFonts w:ascii="Arial" w:eastAsia="Times New Roman" w:hAnsi="Arial" w:cs="Arial"/>
          <w:color w:val="0E101A"/>
          <w:sz w:val="24"/>
          <w:szCs w:val="24"/>
          <w:lang w:eastAsia="en-ZA"/>
        </w:rPr>
      </w:pPr>
      <w:r w:rsidRPr="001C5FC5">
        <w:rPr>
          <w:rFonts w:ascii="Arial" w:eastAsia="Times New Roman" w:hAnsi="Arial" w:cs="Arial"/>
          <w:color w:val="0E101A"/>
          <w:sz w:val="24"/>
          <w:szCs w:val="24"/>
          <w:lang w:eastAsia="en-ZA"/>
        </w:rPr>
        <w:t>(3)</w:t>
      </w:r>
      <w:r w:rsidRPr="001C5FC5">
        <w:rPr>
          <w:rFonts w:ascii="Arial" w:eastAsia="Times New Roman" w:hAnsi="Arial" w:cs="Arial"/>
          <w:color w:val="0E101A"/>
          <w:sz w:val="24"/>
          <w:szCs w:val="24"/>
          <w:lang w:eastAsia="en-ZA"/>
        </w:rPr>
        <w:tab/>
      </w:r>
      <w:r w:rsidR="00AB2D9A" w:rsidRPr="004E2AB4">
        <w:rPr>
          <w:rFonts w:ascii="Arial" w:eastAsia="Times New Roman" w:hAnsi="Arial" w:cs="Arial"/>
          <w:color w:val="0E101A"/>
          <w:sz w:val="24"/>
          <w:szCs w:val="24"/>
          <w:lang w:eastAsia="en-ZA"/>
        </w:rPr>
        <w:t>The Complainant is to pay the costs of the suit.</w:t>
      </w:r>
    </w:p>
    <w:p w:rsidR="00C044C1" w:rsidRPr="001C5FC5" w:rsidRDefault="00C044C1" w:rsidP="00C044C1">
      <w:pPr>
        <w:pStyle w:val="ListParagraph"/>
        <w:spacing w:after="0" w:line="480" w:lineRule="auto"/>
        <w:ind w:left="1440"/>
        <w:rPr>
          <w:rFonts w:ascii="Arial" w:eastAsia="Times New Roman" w:hAnsi="Arial" w:cs="Arial"/>
          <w:color w:val="0E101A"/>
          <w:sz w:val="24"/>
          <w:szCs w:val="24"/>
          <w:lang w:eastAsia="en-ZA"/>
        </w:rPr>
      </w:pPr>
    </w:p>
    <w:p w:rsidR="00C92E21" w:rsidRPr="004E2AB4" w:rsidRDefault="004E2AB4" w:rsidP="004E2AB4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1C5FC5">
        <w:rPr>
          <w:rFonts w:ascii="Arial" w:eastAsia="Times New Roman" w:hAnsi="Arial" w:cs="Arial"/>
          <w:sz w:val="24"/>
          <w:szCs w:val="24"/>
          <w:lang w:eastAsia="en-ZA"/>
        </w:rPr>
        <w:t>[2]</w:t>
      </w:r>
      <w:r w:rsidRPr="001C5FC5">
        <w:rPr>
          <w:rFonts w:ascii="Arial" w:eastAsia="Times New Roman" w:hAnsi="Arial" w:cs="Arial"/>
          <w:sz w:val="24"/>
          <w:szCs w:val="24"/>
          <w:lang w:eastAsia="en-ZA"/>
        </w:rPr>
        <w:tab/>
      </w:r>
      <w:r w:rsidR="00C92E21" w:rsidRPr="004E2AB4">
        <w:rPr>
          <w:rFonts w:ascii="Arial" w:eastAsia="Times New Roman" w:hAnsi="Arial" w:cs="Arial"/>
          <w:color w:val="0E101A"/>
          <w:sz w:val="24"/>
          <w:szCs w:val="24"/>
          <w:lang w:eastAsia="en-ZA"/>
        </w:rPr>
        <w:t xml:space="preserve">Before dealing with the merits of this </w:t>
      </w:r>
      <w:r w:rsidR="002E1B95" w:rsidRPr="004E2AB4">
        <w:rPr>
          <w:rFonts w:ascii="Arial" w:eastAsia="Times New Roman" w:hAnsi="Arial" w:cs="Arial"/>
          <w:color w:val="0E101A"/>
          <w:sz w:val="24"/>
          <w:szCs w:val="24"/>
          <w:lang w:eastAsia="en-ZA"/>
        </w:rPr>
        <w:t xml:space="preserve">application, I need to correct the </w:t>
      </w:r>
      <w:r w:rsidR="002E1B95" w:rsidRPr="004E2AB4">
        <w:rPr>
          <w:rFonts w:ascii="Arial" w:hAnsi="Arial" w:cs="Arial"/>
          <w:sz w:val="24"/>
          <w:szCs w:val="24"/>
        </w:rPr>
        <w:t xml:space="preserve">patent error that appears in paragraph [47] of the judgment whereby the word </w:t>
      </w:r>
      <w:r w:rsidR="002E1B95" w:rsidRPr="004E2AB4">
        <w:rPr>
          <w:rFonts w:ascii="Arial" w:hAnsi="Arial" w:cs="Arial"/>
          <w:b/>
          <w:sz w:val="24"/>
          <w:szCs w:val="24"/>
        </w:rPr>
        <w:t xml:space="preserve">“not” </w:t>
      </w:r>
      <w:r w:rsidR="00816E63" w:rsidRPr="004E2AB4">
        <w:rPr>
          <w:rFonts w:ascii="Arial" w:hAnsi="Arial" w:cs="Arial"/>
          <w:sz w:val="24"/>
          <w:szCs w:val="24"/>
        </w:rPr>
        <w:t xml:space="preserve">was </w:t>
      </w:r>
      <w:r w:rsidR="00EA3DE2" w:rsidRPr="004E2AB4">
        <w:rPr>
          <w:rFonts w:ascii="Arial" w:hAnsi="Arial" w:cs="Arial"/>
          <w:sz w:val="24"/>
          <w:szCs w:val="24"/>
        </w:rPr>
        <w:t xml:space="preserve">erroneously </w:t>
      </w:r>
      <w:r w:rsidR="00816E63" w:rsidRPr="004E2AB4">
        <w:rPr>
          <w:rFonts w:ascii="Arial" w:hAnsi="Arial" w:cs="Arial"/>
          <w:sz w:val="24"/>
          <w:szCs w:val="24"/>
        </w:rPr>
        <w:t>omitted from the second</w:t>
      </w:r>
      <w:r w:rsidR="002E1B95" w:rsidRPr="004E2AB4">
        <w:rPr>
          <w:rFonts w:ascii="Arial" w:hAnsi="Arial" w:cs="Arial"/>
          <w:sz w:val="24"/>
          <w:szCs w:val="24"/>
        </w:rPr>
        <w:t xml:space="preserve"> sentence.  </w:t>
      </w:r>
      <w:r w:rsidR="001C5FC5" w:rsidRPr="004E2AB4">
        <w:rPr>
          <w:rFonts w:ascii="Arial" w:hAnsi="Arial" w:cs="Arial"/>
          <w:sz w:val="24"/>
          <w:szCs w:val="24"/>
        </w:rPr>
        <w:t>The paragraph as varied</w:t>
      </w:r>
      <w:r w:rsidR="002E1B95" w:rsidRPr="004E2AB4">
        <w:rPr>
          <w:rFonts w:ascii="Arial" w:hAnsi="Arial" w:cs="Arial"/>
          <w:sz w:val="24"/>
          <w:szCs w:val="24"/>
        </w:rPr>
        <w:t xml:space="preserve"> now reads as follows: </w:t>
      </w:r>
    </w:p>
    <w:p w:rsidR="002E1B95" w:rsidRPr="00816E63" w:rsidRDefault="002E1B95" w:rsidP="00816E63">
      <w:pPr>
        <w:pStyle w:val="ListParagraph"/>
        <w:spacing w:after="0" w:line="480" w:lineRule="auto"/>
        <w:ind w:left="1440" w:hanging="873"/>
        <w:rPr>
          <w:rFonts w:ascii="Arial" w:eastAsia="Times New Roman" w:hAnsi="Arial" w:cs="Arial"/>
          <w:color w:val="FF0000"/>
          <w:lang w:eastAsia="en-ZA"/>
        </w:rPr>
      </w:pPr>
      <w:r w:rsidRPr="00816E63">
        <w:rPr>
          <w:rFonts w:ascii="Arial" w:hAnsi="Arial" w:cs="Arial"/>
        </w:rPr>
        <w:t>“</w:t>
      </w:r>
      <w:r w:rsidR="001C5FC5" w:rsidRPr="00816E63">
        <w:rPr>
          <w:rFonts w:ascii="Arial" w:hAnsi="Arial" w:cs="Arial"/>
        </w:rPr>
        <w:t xml:space="preserve">[47] </w:t>
      </w:r>
      <w:r w:rsidR="00816E63" w:rsidRPr="00816E63">
        <w:rPr>
          <w:rFonts w:ascii="Arial" w:hAnsi="Arial" w:cs="Arial"/>
        </w:rPr>
        <w:tab/>
      </w:r>
      <w:r w:rsidR="001C5FC5" w:rsidRPr="00816E63">
        <w:rPr>
          <w:rFonts w:ascii="Arial" w:hAnsi="Arial" w:cs="Arial"/>
        </w:rPr>
        <w:t xml:space="preserve">The highest qualification that Mr Roets holds is an LLM degree. This qualification does </w:t>
      </w:r>
      <w:r w:rsidR="001C5FC5" w:rsidRPr="00816E63">
        <w:rPr>
          <w:rFonts w:ascii="Arial" w:hAnsi="Arial" w:cs="Arial"/>
          <w:b/>
        </w:rPr>
        <w:t>not</w:t>
      </w:r>
      <w:r w:rsidR="001C5FC5" w:rsidRPr="00816E63">
        <w:rPr>
          <w:rFonts w:ascii="Arial" w:hAnsi="Arial" w:cs="Arial"/>
        </w:rPr>
        <w:t xml:space="preserve"> provide him with the necessary qualification to be an expert on the subject matter and more particularly on the statistical analysis, an issue that formed the core of Afriforum’s case.</w:t>
      </w:r>
      <w:r w:rsidR="00816E63">
        <w:rPr>
          <w:rFonts w:ascii="Arial" w:hAnsi="Arial" w:cs="Arial"/>
        </w:rPr>
        <w:t>”</w:t>
      </w:r>
    </w:p>
    <w:p w:rsidR="002E1B95" w:rsidRPr="00816E63" w:rsidRDefault="002E1B95" w:rsidP="002E1B95">
      <w:pPr>
        <w:pStyle w:val="ListParagraph"/>
        <w:spacing w:after="0" w:line="480" w:lineRule="auto"/>
        <w:rPr>
          <w:rFonts w:ascii="Arial" w:eastAsia="Times New Roman" w:hAnsi="Arial" w:cs="Arial"/>
          <w:color w:val="0E101A"/>
          <w:lang w:eastAsia="en-ZA"/>
        </w:rPr>
      </w:pPr>
    </w:p>
    <w:p w:rsidR="00AB2D9A" w:rsidRPr="004E2AB4" w:rsidRDefault="004E2AB4" w:rsidP="004E2AB4">
      <w:pPr>
        <w:spacing w:after="0" w:line="480" w:lineRule="auto"/>
        <w:rPr>
          <w:rFonts w:ascii="Arial" w:eastAsia="Times New Roman" w:hAnsi="Arial" w:cs="Arial"/>
          <w:color w:val="0E101A"/>
          <w:sz w:val="24"/>
          <w:szCs w:val="24"/>
          <w:lang w:eastAsia="en-ZA"/>
        </w:rPr>
      </w:pPr>
      <w:r w:rsidRPr="00816E63">
        <w:rPr>
          <w:rFonts w:ascii="Arial" w:eastAsia="Times New Roman" w:hAnsi="Arial" w:cs="Arial"/>
          <w:color w:val="0E101A"/>
          <w:sz w:val="24"/>
          <w:szCs w:val="24"/>
          <w:lang w:eastAsia="en-ZA"/>
        </w:rPr>
        <w:t>[3]</w:t>
      </w:r>
      <w:r w:rsidRPr="00816E63">
        <w:rPr>
          <w:rFonts w:ascii="Arial" w:eastAsia="Times New Roman" w:hAnsi="Arial" w:cs="Arial"/>
          <w:color w:val="0E101A"/>
          <w:sz w:val="24"/>
          <w:szCs w:val="24"/>
          <w:lang w:eastAsia="en-ZA"/>
        </w:rPr>
        <w:tab/>
      </w:r>
      <w:r w:rsidR="001C5FC5" w:rsidRPr="004E2AB4">
        <w:rPr>
          <w:rFonts w:ascii="Arial" w:eastAsia="Times New Roman" w:hAnsi="Arial" w:cs="Arial"/>
          <w:color w:val="0E101A"/>
          <w:sz w:val="24"/>
          <w:szCs w:val="24"/>
          <w:lang w:eastAsia="en-ZA"/>
        </w:rPr>
        <w:t xml:space="preserve"> I turn to the application for leave to appeal which is opposed by the respondents.  </w:t>
      </w:r>
      <w:r w:rsidR="00AB2D9A" w:rsidRPr="004E2AB4">
        <w:rPr>
          <w:rFonts w:ascii="Arial" w:eastAsia="Times New Roman" w:hAnsi="Arial" w:cs="Arial"/>
          <w:color w:val="0E101A"/>
          <w:sz w:val="24"/>
          <w:szCs w:val="24"/>
          <w:lang w:eastAsia="en-ZA"/>
        </w:rPr>
        <w:t>The applicant contends that the order was erroneously made and</w:t>
      </w:r>
      <w:r w:rsidR="00C516F6" w:rsidRPr="004E2AB4">
        <w:rPr>
          <w:rFonts w:ascii="Arial" w:eastAsia="Times New Roman" w:hAnsi="Arial" w:cs="Arial"/>
          <w:color w:val="0E101A"/>
          <w:sz w:val="24"/>
          <w:szCs w:val="24"/>
          <w:lang w:eastAsia="en-ZA"/>
        </w:rPr>
        <w:t xml:space="preserve"> is accordingly</w:t>
      </w:r>
      <w:r w:rsidR="00AB2D9A" w:rsidRPr="004E2AB4">
        <w:rPr>
          <w:rFonts w:ascii="Arial" w:eastAsia="Times New Roman" w:hAnsi="Arial" w:cs="Arial"/>
          <w:color w:val="0E101A"/>
          <w:sz w:val="24"/>
          <w:szCs w:val="24"/>
          <w:lang w:eastAsia="en-ZA"/>
        </w:rPr>
        <w:t xml:space="preserve"> seeking leave to appeal against the whole of the judgment and the above order. </w:t>
      </w:r>
    </w:p>
    <w:p w:rsidR="00C044C1" w:rsidRPr="001C5FC5" w:rsidRDefault="00C044C1" w:rsidP="00C044C1">
      <w:pPr>
        <w:pStyle w:val="ListParagraph"/>
        <w:spacing w:after="0" w:line="480" w:lineRule="auto"/>
        <w:rPr>
          <w:rFonts w:ascii="Arial" w:eastAsia="Times New Roman" w:hAnsi="Arial" w:cs="Arial"/>
          <w:color w:val="0E101A"/>
          <w:sz w:val="24"/>
          <w:szCs w:val="24"/>
          <w:lang w:eastAsia="en-ZA"/>
        </w:rPr>
      </w:pPr>
    </w:p>
    <w:p w:rsidR="00AB2D9A" w:rsidRPr="004E2AB4" w:rsidRDefault="004E2AB4" w:rsidP="004E2AB4">
      <w:pPr>
        <w:spacing w:after="0" w:line="480" w:lineRule="auto"/>
        <w:rPr>
          <w:rFonts w:ascii="Arial" w:eastAsia="Times New Roman" w:hAnsi="Arial" w:cs="Arial"/>
          <w:color w:val="0E101A"/>
          <w:sz w:val="24"/>
          <w:szCs w:val="24"/>
          <w:lang w:eastAsia="en-ZA"/>
        </w:rPr>
      </w:pPr>
      <w:r w:rsidRPr="001C5FC5">
        <w:rPr>
          <w:rFonts w:ascii="Arial" w:eastAsia="Times New Roman" w:hAnsi="Arial" w:cs="Arial"/>
          <w:color w:val="0E101A"/>
          <w:sz w:val="24"/>
          <w:szCs w:val="24"/>
          <w:lang w:eastAsia="en-ZA"/>
        </w:rPr>
        <w:t>[4]</w:t>
      </w:r>
      <w:r w:rsidRPr="001C5FC5">
        <w:rPr>
          <w:rFonts w:ascii="Arial" w:eastAsia="Times New Roman" w:hAnsi="Arial" w:cs="Arial"/>
          <w:color w:val="0E101A"/>
          <w:sz w:val="24"/>
          <w:szCs w:val="24"/>
          <w:lang w:eastAsia="en-ZA"/>
        </w:rPr>
        <w:tab/>
      </w:r>
      <w:r w:rsidR="00AB2D9A" w:rsidRPr="004E2AB4">
        <w:rPr>
          <w:rFonts w:ascii="Arial" w:eastAsia="Times New Roman" w:hAnsi="Arial" w:cs="Arial"/>
          <w:color w:val="0E101A"/>
          <w:sz w:val="24"/>
          <w:szCs w:val="24"/>
          <w:lang w:eastAsia="en-ZA"/>
        </w:rPr>
        <w:t>In its notice of leave to appeal, the applican</w:t>
      </w:r>
      <w:r w:rsidR="00CA7178" w:rsidRPr="004E2AB4">
        <w:rPr>
          <w:rFonts w:ascii="Arial" w:eastAsia="Times New Roman" w:hAnsi="Arial" w:cs="Arial"/>
          <w:color w:val="0E101A"/>
          <w:sz w:val="24"/>
          <w:szCs w:val="24"/>
          <w:lang w:eastAsia="en-ZA"/>
        </w:rPr>
        <w:t>t has raised several grounds of</w:t>
      </w:r>
      <w:r w:rsidR="00AB2D9A" w:rsidRPr="004E2AB4">
        <w:rPr>
          <w:rFonts w:ascii="Arial" w:eastAsia="Times New Roman" w:hAnsi="Arial" w:cs="Arial"/>
          <w:color w:val="0E101A"/>
          <w:sz w:val="24"/>
          <w:szCs w:val="24"/>
          <w:lang w:eastAsia="en-ZA"/>
        </w:rPr>
        <w:t xml:space="preserve"> appeal. The grounds of leave to appeal are detailed in the notice of leave to appeal</w:t>
      </w:r>
      <w:r w:rsidR="00816E63" w:rsidRPr="004E2AB4">
        <w:rPr>
          <w:rFonts w:ascii="Arial" w:eastAsia="Times New Roman" w:hAnsi="Arial" w:cs="Arial"/>
          <w:color w:val="0E101A"/>
          <w:sz w:val="24"/>
          <w:szCs w:val="24"/>
          <w:lang w:eastAsia="en-ZA"/>
        </w:rPr>
        <w:t>,</w:t>
      </w:r>
      <w:r w:rsidR="00AB2D9A" w:rsidRPr="004E2AB4">
        <w:rPr>
          <w:rFonts w:ascii="Arial" w:eastAsia="Times New Roman" w:hAnsi="Arial" w:cs="Arial"/>
          <w:color w:val="0E101A"/>
          <w:sz w:val="24"/>
          <w:szCs w:val="24"/>
          <w:lang w:eastAsia="en-ZA"/>
        </w:rPr>
        <w:t xml:space="preserve"> thus, there is no need to repeat the same in this judgment. </w:t>
      </w:r>
    </w:p>
    <w:p w:rsidR="00AB2D9A" w:rsidRPr="00AB2D9A" w:rsidRDefault="00AB2D9A" w:rsidP="00C044C1">
      <w:pPr>
        <w:spacing w:after="0" w:line="480" w:lineRule="auto"/>
        <w:ind w:firstLine="70"/>
        <w:rPr>
          <w:rFonts w:ascii="Arial" w:eastAsia="Times New Roman" w:hAnsi="Arial" w:cs="Arial"/>
          <w:color w:val="0E101A"/>
          <w:sz w:val="24"/>
          <w:szCs w:val="24"/>
          <w:lang w:eastAsia="en-ZA"/>
        </w:rPr>
      </w:pPr>
    </w:p>
    <w:p w:rsidR="00C516F6" w:rsidRPr="004E2AB4" w:rsidRDefault="004E2AB4" w:rsidP="004E2AB4">
      <w:pPr>
        <w:spacing w:after="0" w:line="480" w:lineRule="auto"/>
        <w:rPr>
          <w:rFonts w:ascii="Arial" w:eastAsia="Times New Roman" w:hAnsi="Arial" w:cs="Arial"/>
          <w:color w:val="0E101A"/>
          <w:sz w:val="24"/>
          <w:szCs w:val="24"/>
          <w:lang w:eastAsia="en-ZA"/>
        </w:rPr>
      </w:pPr>
      <w:r w:rsidRPr="001C5FC5">
        <w:rPr>
          <w:rFonts w:ascii="Arial" w:eastAsia="Times New Roman" w:hAnsi="Arial" w:cs="Arial"/>
          <w:color w:val="0E101A"/>
          <w:sz w:val="24"/>
          <w:szCs w:val="24"/>
          <w:lang w:eastAsia="en-ZA"/>
        </w:rPr>
        <w:t>[5]</w:t>
      </w:r>
      <w:r w:rsidRPr="001C5FC5">
        <w:rPr>
          <w:rFonts w:ascii="Arial" w:eastAsia="Times New Roman" w:hAnsi="Arial" w:cs="Arial"/>
          <w:color w:val="0E101A"/>
          <w:sz w:val="24"/>
          <w:szCs w:val="24"/>
          <w:lang w:eastAsia="en-ZA"/>
        </w:rPr>
        <w:tab/>
      </w:r>
      <w:r w:rsidR="00C516F6" w:rsidRPr="004E2AB4">
        <w:rPr>
          <w:rFonts w:ascii="Arial" w:eastAsia="Times New Roman" w:hAnsi="Arial" w:cs="Arial"/>
          <w:color w:val="0E101A"/>
          <w:sz w:val="24"/>
          <w:szCs w:val="24"/>
          <w:lang w:eastAsia="en-ZA"/>
        </w:rPr>
        <w:t>An application for leave to appeal is governed by Section 17(1) of the Superior Court Act 10 of 2013, which stipulates that:</w:t>
      </w:r>
    </w:p>
    <w:p w:rsidR="00C516F6" w:rsidRPr="00816E63" w:rsidRDefault="00C516F6" w:rsidP="00C516F6">
      <w:pPr>
        <w:spacing w:after="0" w:line="480" w:lineRule="auto"/>
        <w:ind w:left="1440" w:hanging="720"/>
        <w:rPr>
          <w:rFonts w:ascii="Arial" w:eastAsia="Times New Roman" w:hAnsi="Arial" w:cs="Arial"/>
          <w:color w:val="0E101A"/>
          <w:lang w:eastAsia="en-ZA"/>
        </w:rPr>
      </w:pPr>
      <w:r w:rsidRPr="00816E63">
        <w:rPr>
          <w:rFonts w:ascii="Arial" w:eastAsia="Times New Roman" w:hAnsi="Arial" w:cs="Arial"/>
          <w:color w:val="0E101A"/>
          <w:lang w:eastAsia="en-ZA"/>
        </w:rPr>
        <w:t>"(1)</w:t>
      </w:r>
      <w:r w:rsidRPr="00816E63">
        <w:rPr>
          <w:rFonts w:ascii="Arial" w:eastAsia="Times New Roman" w:hAnsi="Arial" w:cs="Arial"/>
          <w:color w:val="0E101A"/>
          <w:lang w:eastAsia="en-ZA"/>
        </w:rPr>
        <w:tab/>
        <w:t xml:space="preserve">Leave to appeal may only be given where the judge or judges concerned are of the opinion that- </w:t>
      </w:r>
    </w:p>
    <w:p w:rsidR="00C516F6" w:rsidRPr="004E2AB4" w:rsidRDefault="004E2AB4" w:rsidP="004E2AB4">
      <w:pPr>
        <w:spacing w:after="0" w:line="480" w:lineRule="auto"/>
        <w:ind w:left="2410" w:hanging="425"/>
        <w:rPr>
          <w:rFonts w:ascii="Arial" w:eastAsia="Times New Roman" w:hAnsi="Arial" w:cs="Arial"/>
          <w:color w:val="0E101A"/>
          <w:lang w:eastAsia="en-ZA"/>
        </w:rPr>
      </w:pPr>
      <w:r w:rsidRPr="00816E63">
        <w:rPr>
          <w:rFonts w:ascii="Arial" w:eastAsia="Times New Roman" w:hAnsi="Arial" w:cs="Arial"/>
          <w:color w:val="0E101A"/>
          <w:lang w:eastAsia="en-ZA"/>
        </w:rPr>
        <w:t>(a)</w:t>
      </w:r>
      <w:r w:rsidRPr="00816E63">
        <w:rPr>
          <w:rFonts w:ascii="Arial" w:eastAsia="Times New Roman" w:hAnsi="Arial" w:cs="Arial"/>
          <w:color w:val="0E101A"/>
          <w:lang w:eastAsia="en-ZA"/>
        </w:rPr>
        <w:tab/>
      </w:r>
      <w:r w:rsidR="00C516F6" w:rsidRPr="004E2AB4">
        <w:rPr>
          <w:rFonts w:ascii="Arial" w:eastAsia="Times New Roman" w:hAnsi="Arial" w:cs="Arial"/>
          <w:color w:val="0E101A"/>
          <w:lang w:eastAsia="en-ZA"/>
        </w:rPr>
        <w:t xml:space="preserve"> (i) </w:t>
      </w:r>
      <w:r w:rsidR="00C516F6" w:rsidRPr="004E2AB4">
        <w:rPr>
          <w:rFonts w:ascii="Arial" w:eastAsia="Times New Roman" w:hAnsi="Arial" w:cs="Arial"/>
          <w:color w:val="0E101A"/>
          <w:lang w:eastAsia="en-ZA"/>
        </w:rPr>
        <w:tab/>
        <w:t xml:space="preserve">the appeal would have a reasonable prospect of success; or </w:t>
      </w:r>
    </w:p>
    <w:p w:rsidR="00C516F6" w:rsidRPr="00816E63" w:rsidRDefault="00C516F6" w:rsidP="00C516F6">
      <w:pPr>
        <w:spacing w:after="0" w:line="480" w:lineRule="auto"/>
        <w:ind w:left="2880" w:hanging="328"/>
        <w:rPr>
          <w:rFonts w:ascii="Arial" w:eastAsia="Times New Roman" w:hAnsi="Arial" w:cs="Arial"/>
          <w:color w:val="0E101A"/>
          <w:lang w:eastAsia="en-ZA"/>
        </w:rPr>
      </w:pPr>
      <w:r w:rsidRPr="00816E63">
        <w:rPr>
          <w:rFonts w:ascii="Arial" w:eastAsia="Times New Roman" w:hAnsi="Arial" w:cs="Arial"/>
          <w:color w:val="0E101A"/>
          <w:lang w:eastAsia="en-ZA"/>
        </w:rPr>
        <w:t>(ii) there is some other compelling reason why the appeal should be heard, including conflicting judgments on the matter t1nder consideration;</w:t>
      </w:r>
    </w:p>
    <w:p w:rsidR="00C516F6" w:rsidRPr="00816E63" w:rsidRDefault="00C516F6" w:rsidP="00C516F6">
      <w:pPr>
        <w:spacing w:after="0" w:line="480" w:lineRule="auto"/>
        <w:ind w:left="2880" w:hanging="720"/>
        <w:rPr>
          <w:rFonts w:ascii="Arial" w:eastAsia="Times New Roman" w:hAnsi="Arial" w:cs="Arial"/>
          <w:color w:val="0E101A"/>
          <w:lang w:eastAsia="en-ZA"/>
        </w:rPr>
      </w:pPr>
      <w:r w:rsidRPr="00816E63">
        <w:rPr>
          <w:rFonts w:ascii="Arial" w:eastAsia="Times New Roman" w:hAnsi="Arial" w:cs="Arial"/>
          <w:color w:val="0E101A"/>
          <w:lang w:eastAsia="en-ZA"/>
        </w:rPr>
        <w:t xml:space="preserve"> (b) </w:t>
      </w:r>
      <w:r w:rsidRPr="00816E63">
        <w:rPr>
          <w:rFonts w:ascii="Arial" w:eastAsia="Times New Roman" w:hAnsi="Arial" w:cs="Arial"/>
          <w:color w:val="0E101A"/>
          <w:lang w:eastAsia="en-ZA"/>
        </w:rPr>
        <w:tab/>
        <w:t>the decision sought on appeal does not fall within the ambit of section 16 (2) (a); and (c) where the decision sought to be appealed does not dispose of all the issues in the case, the appeal would lead to a just and prompt resolution of the real issues between the parties."</w:t>
      </w:r>
    </w:p>
    <w:p w:rsidR="00C516F6" w:rsidRPr="00AB2D9A" w:rsidRDefault="00C516F6" w:rsidP="00C516F6">
      <w:pPr>
        <w:spacing w:after="0" w:line="480" w:lineRule="auto"/>
        <w:ind w:firstLine="70"/>
        <w:rPr>
          <w:rFonts w:ascii="Arial" w:eastAsia="Times New Roman" w:hAnsi="Arial" w:cs="Arial"/>
          <w:color w:val="0E101A"/>
          <w:lang w:eastAsia="en-ZA"/>
        </w:rPr>
      </w:pPr>
    </w:p>
    <w:p w:rsidR="00DB12B6" w:rsidRPr="004E2AB4" w:rsidRDefault="004E2AB4" w:rsidP="004E2AB4">
      <w:pPr>
        <w:spacing w:after="0" w:line="480" w:lineRule="auto"/>
        <w:rPr>
          <w:rFonts w:ascii="Arial" w:eastAsia="Times New Roman" w:hAnsi="Arial" w:cs="Arial"/>
          <w:color w:val="0E101A"/>
          <w:sz w:val="24"/>
          <w:szCs w:val="24"/>
          <w:lang w:eastAsia="en-ZA"/>
        </w:rPr>
      </w:pPr>
      <w:r w:rsidRPr="001C5FC5">
        <w:rPr>
          <w:rFonts w:ascii="Arial" w:eastAsia="Times New Roman" w:hAnsi="Arial" w:cs="Arial"/>
          <w:color w:val="0E101A"/>
          <w:sz w:val="24"/>
          <w:szCs w:val="24"/>
          <w:lang w:eastAsia="en-ZA"/>
        </w:rPr>
        <w:t>[6]</w:t>
      </w:r>
      <w:r w:rsidRPr="001C5FC5">
        <w:rPr>
          <w:rFonts w:ascii="Arial" w:eastAsia="Times New Roman" w:hAnsi="Arial" w:cs="Arial"/>
          <w:color w:val="0E101A"/>
          <w:sz w:val="24"/>
          <w:szCs w:val="24"/>
          <w:lang w:eastAsia="en-ZA"/>
        </w:rPr>
        <w:tab/>
      </w:r>
      <w:r w:rsidR="00AB2D9A" w:rsidRPr="004E2AB4">
        <w:rPr>
          <w:rFonts w:ascii="Arial" w:eastAsia="Times New Roman" w:hAnsi="Arial" w:cs="Arial"/>
          <w:color w:val="0E101A"/>
          <w:sz w:val="24"/>
          <w:szCs w:val="24"/>
          <w:lang w:eastAsia="en-ZA"/>
        </w:rPr>
        <w:t xml:space="preserve">The test for leave to appeal, as set out in </w:t>
      </w:r>
      <w:r w:rsidR="00C516F6" w:rsidRPr="004E2AB4">
        <w:rPr>
          <w:rFonts w:ascii="Arial" w:eastAsia="Times New Roman" w:hAnsi="Arial" w:cs="Arial"/>
          <w:color w:val="0E101A"/>
          <w:sz w:val="24"/>
          <w:szCs w:val="24"/>
          <w:lang w:eastAsia="en-ZA"/>
        </w:rPr>
        <w:t>the above section</w:t>
      </w:r>
      <w:r w:rsidR="00AB2D9A" w:rsidRPr="004E2AB4">
        <w:rPr>
          <w:rFonts w:ascii="Arial" w:eastAsia="Times New Roman" w:hAnsi="Arial" w:cs="Arial"/>
          <w:b/>
          <w:bCs/>
          <w:color w:val="0E101A"/>
          <w:sz w:val="24"/>
          <w:szCs w:val="24"/>
          <w:lang w:eastAsia="en-ZA"/>
        </w:rPr>
        <w:t> </w:t>
      </w:r>
      <w:r w:rsidR="00AB2D9A" w:rsidRPr="004E2AB4">
        <w:rPr>
          <w:rFonts w:ascii="Arial" w:eastAsia="Times New Roman" w:hAnsi="Arial" w:cs="Arial"/>
          <w:color w:val="0E101A"/>
          <w:sz w:val="24"/>
          <w:szCs w:val="24"/>
          <w:lang w:eastAsia="en-ZA"/>
        </w:rPr>
        <w:t xml:space="preserve">is now well known in our law. It is also well established that the test as envisaged in this section is more stringent or requires a higher </w:t>
      </w:r>
      <w:r w:rsidR="00DC1E2E" w:rsidRPr="004E2AB4">
        <w:rPr>
          <w:rFonts w:ascii="Arial" w:eastAsia="Times New Roman" w:hAnsi="Arial" w:cs="Arial"/>
          <w:color w:val="0E101A"/>
          <w:sz w:val="24"/>
          <w:szCs w:val="24"/>
          <w:lang w:eastAsia="en-ZA"/>
        </w:rPr>
        <w:t>s</w:t>
      </w:r>
      <w:r w:rsidR="00861323" w:rsidRPr="004E2AB4">
        <w:rPr>
          <w:rFonts w:ascii="Arial" w:eastAsia="Times New Roman" w:hAnsi="Arial" w:cs="Arial"/>
          <w:color w:val="0E101A"/>
          <w:sz w:val="24"/>
          <w:szCs w:val="24"/>
          <w:lang w:eastAsia="en-ZA"/>
        </w:rPr>
        <w:t>tandard than the previous test.</w:t>
      </w:r>
      <w:r w:rsidR="00DC1E2E" w:rsidRPr="001C5FC5">
        <w:rPr>
          <w:rStyle w:val="FootnoteReference"/>
          <w:rFonts w:ascii="Arial" w:eastAsia="Times New Roman" w:hAnsi="Arial" w:cs="Arial"/>
          <w:color w:val="0E101A"/>
          <w:sz w:val="24"/>
          <w:szCs w:val="24"/>
          <w:lang w:eastAsia="en-ZA"/>
        </w:rPr>
        <w:footnoteReference w:id="1"/>
      </w:r>
      <w:r w:rsidR="00AB2D9A" w:rsidRPr="004E2AB4">
        <w:rPr>
          <w:rFonts w:ascii="Arial" w:eastAsia="Times New Roman" w:hAnsi="Arial" w:cs="Arial"/>
          <w:color w:val="0E101A"/>
          <w:sz w:val="24"/>
          <w:szCs w:val="24"/>
          <w:lang w:eastAsia="en-ZA"/>
        </w:rPr>
        <w:t>  </w:t>
      </w:r>
      <w:r w:rsidR="00966A5E" w:rsidRPr="004E2AB4">
        <w:rPr>
          <w:rFonts w:ascii="Arial" w:eastAsia="Times New Roman" w:hAnsi="Arial" w:cs="Arial"/>
          <w:color w:val="0E101A"/>
          <w:sz w:val="24"/>
          <w:szCs w:val="24"/>
          <w:lang w:eastAsia="en-ZA"/>
        </w:rPr>
        <w:t xml:space="preserve">The approach which was adopted in the previous test of determining the possibility of another court holding a different view no longer applies.  </w:t>
      </w:r>
      <w:r w:rsidR="000A4EBB" w:rsidRPr="004E2AB4">
        <w:rPr>
          <w:rFonts w:ascii="Arial" w:eastAsia="Times New Roman" w:hAnsi="Arial" w:cs="Arial"/>
          <w:color w:val="0E101A"/>
          <w:sz w:val="24"/>
          <w:szCs w:val="24"/>
          <w:lang w:eastAsia="en-ZA"/>
        </w:rPr>
        <w:t>The correct threshold for leave to appeal is</w:t>
      </w:r>
      <w:r w:rsidR="00436B2A" w:rsidRPr="004E2AB4">
        <w:rPr>
          <w:rFonts w:ascii="Arial" w:eastAsia="Times New Roman" w:hAnsi="Arial" w:cs="Arial"/>
          <w:color w:val="0E101A"/>
          <w:sz w:val="24"/>
          <w:szCs w:val="24"/>
          <w:lang w:eastAsia="en-ZA"/>
        </w:rPr>
        <w:t xml:space="preserve"> now</w:t>
      </w:r>
      <w:r w:rsidR="000A4EBB" w:rsidRPr="004E2AB4">
        <w:rPr>
          <w:rFonts w:ascii="Arial" w:eastAsia="Times New Roman" w:hAnsi="Arial" w:cs="Arial"/>
          <w:color w:val="0E101A"/>
          <w:sz w:val="24"/>
          <w:szCs w:val="24"/>
          <w:lang w:eastAsia="en-ZA"/>
        </w:rPr>
        <w:t xml:space="preserve"> whether there are reasonable prospects of success on appeal to be determined on a rational basis.</w:t>
      </w:r>
      <w:r w:rsidR="000A4EBB" w:rsidRPr="001C5FC5">
        <w:rPr>
          <w:rStyle w:val="FootnoteReference"/>
          <w:rFonts w:ascii="Arial" w:eastAsia="Times New Roman" w:hAnsi="Arial" w:cs="Arial"/>
          <w:color w:val="0E101A"/>
          <w:sz w:val="24"/>
          <w:szCs w:val="24"/>
          <w:lang w:eastAsia="en-ZA"/>
        </w:rPr>
        <w:footnoteReference w:id="2"/>
      </w:r>
      <w:r w:rsidR="000A4EBB" w:rsidRPr="004E2AB4">
        <w:rPr>
          <w:rFonts w:ascii="Arial" w:eastAsia="Times New Roman" w:hAnsi="Arial" w:cs="Arial"/>
          <w:color w:val="0E101A"/>
          <w:sz w:val="24"/>
          <w:szCs w:val="24"/>
          <w:lang w:eastAsia="en-ZA"/>
        </w:rPr>
        <w:t xml:space="preserve"> </w:t>
      </w:r>
      <w:r w:rsidR="00214854" w:rsidRPr="004E2AB4">
        <w:rPr>
          <w:rFonts w:ascii="Arial" w:eastAsia="Times New Roman" w:hAnsi="Arial" w:cs="Arial"/>
          <w:color w:val="0E101A"/>
          <w:sz w:val="24"/>
          <w:szCs w:val="24"/>
          <w:lang w:eastAsia="en-ZA"/>
        </w:rPr>
        <w:t>Consideration should also be had to  whether</w:t>
      </w:r>
      <w:r w:rsidR="00AB2D9A" w:rsidRPr="004E2AB4">
        <w:rPr>
          <w:rFonts w:ascii="Arial" w:eastAsia="Times New Roman" w:hAnsi="Arial" w:cs="Arial"/>
          <w:color w:val="0E101A"/>
          <w:sz w:val="24"/>
          <w:szCs w:val="24"/>
          <w:lang w:eastAsia="en-ZA"/>
        </w:rPr>
        <w:t xml:space="preserve"> there are other compelling reason/s which would include other issues of public interest.</w:t>
      </w:r>
      <w:r w:rsidR="00360B66" w:rsidRPr="004E2AB4">
        <w:rPr>
          <w:rFonts w:ascii="Arial" w:eastAsia="Times New Roman" w:hAnsi="Arial" w:cs="Arial"/>
          <w:color w:val="0E101A"/>
          <w:sz w:val="24"/>
          <w:szCs w:val="24"/>
          <w:lang w:eastAsia="en-ZA"/>
        </w:rPr>
        <w:t xml:space="preserve"> </w:t>
      </w:r>
    </w:p>
    <w:p w:rsidR="00C044C1" w:rsidRPr="001C5FC5" w:rsidRDefault="00C044C1" w:rsidP="00C044C1">
      <w:pPr>
        <w:spacing w:after="0" w:line="480" w:lineRule="auto"/>
        <w:rPr>
          <w:rFonts w:ascii="Arial" w:eastAsia="Times New Roman" w:hAnsi="Arial" w:cs="Arial"/>
          <w:color w:val="0E101A"/>
          <w:sz w:val="24"/>
          <w:szCs w:val="24"/>
          <w:lang w:eastAsia="en-ZA"/>
        </w:rPr>
      </w:pPr>
    </w:p>
    <w:p w:rsidR="00AB2D9A" w:rsidRPr="004E2AB4" w:rsidRDefault="004E2AB4" w:rsidP="004E2AB4">
      <w:pPr>
        <w:spacing w:after="0" w:line="480" w:lineRule="auto"/>
        <w:rPr>
          <w:rFonts w:ascii="Arial" w:eastAsia="Times New Roman" w:hAnsi="Arial" w:cs="Arial"/>
          <w:color w:val="0E101A"/>
          <w:sz w:val="24"/>
          <w:szCs w:val="24"/>
          <w:lang w:eastAsia="en-ZA"/>
        </w:rPr>
      </w:pPr>
      <w:r w:rsidRPr="001C5FC5">
        <w:rPr>
          <w:rFonts w:ascii="Arial" w:eastAsia="Times New Roman" w:hAnsi="Arial" w:cs="Arial"/>
          <w:color w:val="0E101A"/>
          <w:sz w:val="24"/>
          <w:szCs w:val="24"/>
          <w:lang w:eastAsia="en-ZA"/>
        </w:rPr>
        <w:t>[7]</w:t>
      </w:r>
      <w:r w:rsidRPr="001C5FC5">
        <w:rPr>
          <w:rFonts w:ascii="Arial" w:eastAsia="Times New Roman" w:hAnsi="Arial" w:cs="Arial"/>
          <w:color w:val="0E101A"/>
          <w:sz w:val="24"/>
          <w:szCs w:val="24"/>
          <w:lang w:eastAsia="en-ZA"/>
        </w:rPr>
        <w:tab/>
      </w:r>
      <w:r w:rsidR="00AB2D9A" w:rsidRPr="004E2AB4">
        <w:rPr>
          <w:rFonts w:ascii="Arial" w:eastAsia="Times New Roman" w:hAnsi="Arial" w:cs="Arial"/>
          <w:color w:val="0E101A"/>
          <w:sz w:val="24"/>
          <w:szCs w:val="24"/>
          <w:lang w:eastAsia="en-ZA"/>
        </w:rPr>
        <w:t>In considering this application, I have had regard to the submissions made by both parties and, in particular, the contentious debates concerning the binding effect of Afriforum and Another v Malema and Others,</w:t>
      </w:r>
      <w:r w:rsidR="00DC1E2E" w:rsidRPr="001C5FC5">
        <w:rPr>
          <w:rStyle w:val="FootnoteReference"/>
          <w:rFonts w:ascii="Arial" w:eastAsia="Times New Roman" w:hAnsi="Arial" w:cs="Arial"/>
          <w:color w:val="0E101A"/>
          <w:sz w:val="24"/>
          <w:szCs w:val="24"/>
          <w:lang w:eastAsia="en-ZA"/>
        </w:rPr>
        <w:footnoteReference w:id="3"/>
      </w:r>
      <w:hyperlink w:anchor="_ftn2" w:tgtFrame="_blank" w:history="1"/>
      <w:r w:rsidR="00AB2D9A" w:rsidRPr="004E2AB4">
        <w:rPr>
          <w:rFonts w:ascii="Arial" w:eastAsia="Times New Roman" w:hAnsi="Arial" w:cs="Arial"/>
          <w:color w:val="0E101A"/>
          <w:sz w:val="24"/>
          <w:szCs w:val="24"/>
          <w:lang w:eastAsia="en-ZA"/>
        </w:rPr>
        <w:t> on this court and whether the test for determining harm was properly applied</w:t>
      </w:r>
      <w:r w:rsidR="00214854" w:rsidRPr="004E2AB4">
        <w:rPr>
          <w:rFonts w:ascii="Arial" w:eastAsia="Times New Roman" w:hAnsi="Arial" w:cs="Arial"/>
          <w:color w:val="0E101A"/>
          <w:sz w:val="24"/>
          <w:szCs w:val="24"/>
          <w:lang w:eastAsia="en-ZA"/>
        </w:rPr>
        <w:t xml:space="preserve"> including issues of public interest</w:t>
      </w:r>
      <w:r w:rsidR="00AB2D9A" w:rsidRPr="004E2AB4">
        <w:rPr>
          <w:rFonts w:ascii="Arial" w:eastAsia="Times New Roman" w:hAnsi="Arial" w:cs="Arial"/>
          <w:color w:val="0E101A"/>
          <w:sz w:val="24"/>
          <w:szCs w:val="24"/>
          <w:lang w:eastAsia="en-ZA"/>
        </w:rPr>
        <w:t>.</w:t>
      </w:r>
      <w:r w:rsidR="00214854" w:rsidRPr="004E2AB4">
        <w:rPr>
          <w:rFonts w:ascii="Arial" w:eastAsia="Times New Roman" w:hAnsi="Arial" w:cs="Arial"/>
          <w:color w:val="0E101A"/>
          <w:sz w:val="24"/>
          <w:szCs w:val="24"/>
          <w:lang w:eastAsia="en-ZA"/>
        </w:rPr>
        <w:t xml:space="preserve"> </w:t>
      </w:r>
      <w:r w:rsidR="00AB2D9A" w:rsidRPr="004E2AB4">
        <w:rPr>
          <w:rFonts w:ascii="Arial" w:eastAsia="Times New Roman" w:hAnsi="Arial" w:cs="Arial"/>
          <w:color w:val="0E101A"/>
          <w:sz w:val="24"/>
          <w:szCs w:val="24"/>
          <w:lang w:eastAsia="en-ZA"/>
        </w:rPr>
        <w:t> </w:t>
      </w:r>
    </w:p>
    <w:p w:rsidR="00AB2D9A" w:rsidRPr="00AB2D9A" w:rsidRDefault="00AB2D9A" w:rsidP="00C044C1">
      <w:pPr>
        <w:spacing w:after="0" w:line="480" w:lineRule="auto"/>
        <w:ind w:firstLine="70"/>
        <w:rPr>
          <w:rFonts w:ascii="Arial" w:eastAsia="Times New Roman" w:hAnsi="Arial" w:cs="Arial"/>
          <w:color w:val="0E101A"/>
          <w:sz w:val="24"/>
          <w:szCs w:val="24"/>
          <w:lang w:eastAsia="en-ZA"/>
        </w:rPr>
      </w:pPr>
    </w:p>
    <w:p w:rsidR="00AB2D9A" w:rsidRPr="004E2AB4" w:rsidRDefault="004E2AB4" w:rsidP="004E2AB4">
      <w:pPr>
        <w:spacing w:after="0" w:line="480" w:lineRule="auto"/>
        <w:rPr>
          <w:rFonts w:ascii="Arial" w:eastAsia="Times New Roman" w:hAnsi="Arial" w:cs="Arial"/>
          <w:color w:val="0E101A"/>
          <w:sz w:val="24"/>
          <w:szCs w:val="24"/>
          <w:lang w:eastAsia="en-ZA"/>
        </w:rPr>
      </w:pPr>
      <w:r w:rsidRPr="001C5FC5">
        <w:rPr>
          <w:rFonts w:ascii="Arial" w:eastAsia="Times New Roman" w:hAnsi="Arial" w:cs="Arial"/>
          <w:color w:val="0E101A"/>
          <w:sz w:val="24"/>
          <w:szCs w:val="24"/>
          <w:lang w:eastAsia="en-ZA"/>
        </w:rPr>
        <w:t>[8]</w:t>
      </w:r>
      <w:r w:rsidRPr="001C5FC5">
        <w:rPr>
          <w:rFonts w:ascii="Arial" w:eastAsia="Times New Roman" w:hAnsi="Arial" w:cs="Arial"/>
          <w:color w:val="0E101A"/>
          <w:sz w:val="24"/>
          <w:szCs w:val="24"/>
          <w:lang w:eastAsia="en-ZA"/>
        </w:rPr>
        <w:tab/>
      </w:r>
      <w:r w:rsidR="00AB2D9A" w:rsidRPr="004E2AB4">
        <w:rPr>
          <w:rFonts w:ascii="Arial" w:eastAsia="Times New Roman" w:hAnsi="Arial" w:cs="Arial"/>
          <w:color w:val="0E101A"/>
          <w:sz w:val="24"/>
          <w:szCs w:val="24"/>
          <w:lang w:eastAsia="en-ZA"/>
        </w:rPr>
        <w:t>Applying the test for leave to appeal as envisaged in section 17 of the Superior Cour</w:t>
      </w:r>
      <w:r w:rsidR="00214854" w:rsidRPr="004E2AB4">
        <w:rPr>
          <w:rFonts w:ascii="Arial" w:eastAsia="Times New Roman" w:hAnsi="Arial" w:cs="Arial"/>
          <w:color w:val="0E101A"/>
          <w:sz w:val="24"/>
          <w:szCs w:val="24"/>
          <w:lang w:eastAsia="en-ZA"/>
        </w:rPr>
        <w:t>t Act, I am satisfied that the applicant has made out a case that there are reasonable</w:t>
      </w:r>
      <w:r w:rsidR="00AB2D9A" w:rsidRPr="004E2AB4">
        <w:rPr>
          <w:rFonts w:ascii="Arial" w:eastAsia="Times New Roman" w:hAnsi="Arial" w:cs="Arial"/>
          <w:color w:val="0E101A"/>
          <w:sz w:val="24"/>
          <w:szCs w:val="24"/>
          <w:lang w:eastAsia="en-ZA"/>
        </w:rPr>
        <w:t xml:space="preserve"> prospects </w:t>
      </w:r>
      <w:r w:rsidR="00214854" w:rsidRPr="004E2AB4">
        <w:rPr>
          <w:rFonts w:ascii="Arial" w:eastAsia="Times New Roman" w:hAnsi="Arial" w:cs="Arial"/>
          <w:color w:val="0E101A"/>
          <w:sz w:val="24"/>
          <w:szCs w:val="24"/>
          <w:lang w:eastAsia="en-ZA"/>
        </w:rPr>
        <w:t xml:space="preserve">of success on appeal.  </w:t>
      </w:r>
      <w:r w:rsidR="001C5FC5" w:rsidRPr="004E2AB4">
        <w:rPr>
          <w:rFonts w:ascii="Arial" w:eastAsia="Times New Roman" w:hAnsi="Arial" w:cs="Arial"/>
          <w:color w:val="0E101A"/>
          <w:sz w:val="24"/>
          <w:szCs w:val="24"/>
          <w:lang w:eastAsia="en-ZA"/>
        </w:rPr>
        <w:t xml:space="preserve">This matter, in my view, has elements of public interest and thus leave </w:t>
      </w:r>
      <w:r w:rsidR="00CA7178" w:rsidRPr="004E2AB4">
        <w:rPr>
          <w:rFonts w:ascii="Arial" w:eastAsia="Times New Roman" w:hAnsi="Arial" w:cs="Arial"/>
          <w:color w:val="0E101A"/>
          <w:sz w:val="24"/>
          <w:szCs w:val="24"/>
          <w:lang w:eastAsia="en-ZA"/>
        </w:rPr>
        <w:t xml:space="preserve">to appal </w:t>
      </w:r>
      <w:r w:rsidR="001C5FC5" w:rsidRPr="004E2AB4">
        <w:rPr>
          <w:rFonts w:ascii="Arial" w:eastAsia="Times New Roman" w:hAnsi="Arial" w:cs="Arial"/>
          <w:color w:val="0E101A"/>
          <w:sz w:val="24"/>
          <w:szCs w:val="24"/>
          <w:lang w:eastAsia="en-ZA"/>
        </w:rPr>
        <w:t xml:space="preserve">deserve to be granted to the Supreme Court of Appeal. </w:t>
      </w:r>
    </w:p>
    <w:p w:rsidR="00214854" w:rsidRPr="00AB2D9A" w:rsidRDefault="00214854" w:rsidP="00214854">
      <w:pPr>
        <w:pStyle w:val="ListParagraph"/>
        <w:spacing w:after="0" w:line="480" w:lineRule="auto"/>
        <w:ind w:left="790"/>
        <w:rPr>
          <w:rFonts w:ascii="Arial" w:eastAsia="Times New Roman" w:hAnsi="Arial" w:cs="Arial"/>
          <w:color w:val="0E101A"/>
          <w:sz w:val="24"/>
          <w:szCs w:val="24"/>
          <w:lang w:eastAsia="en-ZA"/>
        </w:rPr>
      </w:pPr>
    </w:p>
    <w:p w:rsidR="00AB2D9A" w:rsidRPr="00816E63" w:rsidRDefault="00AB2D9A" w:rsidP="00816E63">
      <w:pPr>
        <w:spacing w:after="0" w:line="480" w:lineRule="auto"/>
        <w:rPr>
          <w:rFonts w:ascii="Arial" w:eastAsia="Times New Roman" w:hAnsi="Arial" w:cs="Arial"/>
          <w:b/>
          <w:color w:val="0E101A"/>
          <w:sz w:val="24"/>
          <w:szCs w:val="24"/>
          <w:lang w:eastAsia="en-ZA"/>
        </w:rPr>
      </w:pPr>
      <w:r w:rsidRPr="00816E63">
        <w:rPr>
          <w:rFonts w:ascii="Arial" w:eastAsia="Times New Roman" w:hAnsi="Arial" w:cs="Arial"/>
          <w:b/>
          <w:color w:val="0E101A"/>
          <w:sz w:val="24"/>
          <w:szCs w:val="24"/>
          <w:lang w:eastAsia="en-ZA"/>
        </w:rPr>
        <w:t>Order </w:t>
      </w:r>
    </w:p>
    <w:p w:rsidR="00AB2D9A" w:rsidRPr="004E2AB4" w:rsidRDefault="004E2AB4" w:rsidP="004E2AB4">
      <w:pPr>
        <w:spacing w:after="0" w:line="480" w:lineRule="auto"/>
        <w:rPr>
          <w:rFonts w:ascii="Arial" w:eastAsia="Times New Roman" w:hAnsi="Arial" w:cs="Arial"/>
          <w:color w:val="0E101A"/>
          <w:sz w:val="24"/>
          <w:szCs w:val="24"/>
          <w:lang w:eastAsia="en-ZA"/>
        </w:rPr>
      </w:pPr>
      <w:r w:rsidRPr="001C5FC5">
        <w:rPr>
          <w:rFonts w:ascii="Arial" w:eastAsia="Times New Roman" w:hAnsi="Arial" w:cs="Arial"/>
          <w:color w:val="0E101A"/>
          <w:sz w:val="24"/>
          <w:szCs w:val="24"/>
          <w:lang w:eastAsia="en-ZA"/>
        </w:rPr>
        <w:t>[9]</w:t>
      </w:r>
      <w:r w:rsidRPr="001C5FC5">
        <w:rPr>
          <w:rFonts w:ascii="Arial" w:eastAsia="Times New Roman" w:hAnsi="Arial" w:cs="Arial"/>
          <w:color w:val="0E101A"/>
          <w:sz w:val="24"/>
          <w:szCs w:val="24"/>
          <w:lang w:eastAsia="en-ZA"/>
        </w:rPr>
        <w:tab/>
      </w:r>
      <w:r w:rsidR="00AB2D9A" w:rsidRPr="004E2AB4">
        <w:rPr>
          <w:rFonts w:ascii="Arial" w:eastAsia="Times New Roman" w:hAnsi="Arial" w:cs="Arial"/>
          <w:color w:val="0E101A"/>
          <w:sz w:val="24"/>
          <w:szCs w:val="24"/>
          <w:lang w:eastAsia="en-ZA"/>
        </w:rPr>
        <w:t>In the circumstances, the following order is made: </w:t>
      </w:r>
    </w:p>
    <w:p w:rsidR="001C5FC5" w:rsidRPr="004E2AB4" w:rsidRDefault="004E2AB4" w:rsidP="004E2AB4">
      <w:pPr>
        <w:spacing w:after="0" w:line="480" w:lineRule="auto"/>
        <w:ind w:left="1134" w:hanging="283"/>
        <w:rPr>
          <w:rFonts w:ascii="Arial" w:eastAsia="Times New Roman" w:hAnsi="Arial" w:cs="Arial"/>
          <w:color w:val="0E101A"/>
          <w:sz w:val="24"/>
          <w:szCs w:val="24"/>
          <w:lang w:eastAsia="en-ZA"/>
        </w:rPr>
      </w:pPr>
      <w:r w:rsidRPr="001C5FC5">
        <w:rPr>
          <w:rFonts w:ascii="Arial" w:eastAsia="Times New Roman" w:hAnsi="Arial" w:cs="Arial"/>
          <w:color w:val="0E101A"/>
          <w:sz w:val="24"/>
          <w:szCs w:val="24"/>
          <w:lang w:eastAsia="en-ZA"/>
        </w:rPr>
        <w:t>1.</w:t>
      </w:r>
      <w:r w:rsidRPr="001C5FC5">
        <w:rPr>
          <w:rFonts w:ascii="Arial" w:eastAsia="Times New Roman" w:hAnsi="Arial" w:cs="Arial"/>
          <w:color w:val="0E101A"/>
          <w:sz w:val="24"/>
          <w:szCs w:val="24"/>
          <w:lang w:eastAsia="en-ZA"/>
        </w:rPr>
        <w:tab/>
      </w:r>
      <w:r w:rsidR="00AB2D9A" w:rsidRPr="004E2AB4">
        <w:rPr>
          <w:rFonts w:ascii="Arial" w:eastAsia="Times New Roman" w:hAnsi="Arial" w:cs="Arial"/>
          <w:color w:val="0E101A"/>
          <w:sz w:val="24"/>
          <w:szCs w:val="24"/>
          <w:lang w:eastAsia="en-ZA"/>
        </w:rPr>
        <w:t>The application to the Supreme Court of Appeal is granted. </w:t>
      </w:r>
    </w:p>
    <w:p w:rsidR="00AB2D9A" w:rsidRPr="004E2AB4" w:rsidRDefault="004E2AB4" w:rsidP="004E2AB4">
      <w:pPr>
        <w:spacing w:after="0" w:line="480" w:lineRule="auto"/>
        <w:ind w:left="1134" w:hanging="283"/>
        <w:rPr>
          <w:rFonts w:ascii="Arial" w:eastAsia="Times New Roman" w:hAnsi="Arial" w:cs="Arial"/>
          <w:color w:val="0E101A"/>
          <w:sz w:val="24"/>
          <w:szCs w:val="24"/>
          <w:lang w:eastAsia="en-ZA"/>
        </w:rPr>
      </w:pPr>
      <w:r w:rsidRPr="001C5FC5">
        <w:rPr>
          <w:rFonts w:ascii="Arial" w:eastAsia="Times New Roman" w:hAnsi="Arial" w:cs="Arial"/>
          <w:color w:val="0E101A"/>
          <w:sz w:val="24"/>
          <w:szCs w:val="24"/>
          <w:lang w:eastAsia="en-ZA"/>
        </w:rPr>
        <w:t>2.</w:t>
      </w:r>
      <w:r w:rsidRPr="001C5FC5">
        <w:rPr>
          <w:rFonts w:ascii="Arial" w:eastAsia="Times New Roman" w:hAnsi="Arial" w:cs="Arial"/>
          <w:color w:val="0E101A"/>
          <w:sz w:val="24"/>
          <w:szCs w:val="24"/>
          <w:lang w:eastAsia="en-ZA"/>
        </w:rPr>
        <w:tab/>
      </w:r>
      <w:r w:rsidR="00AB2D9A" w:rsidRPr="004E2AB4">
        <w:rPr>
          <w:rFonts w:ascii="Arial" w:eastAsia="Times New Roman" w:hAnsi="Arial" w:cs="Arial"/>
          <w:color w:val="0E101A"/>
          <w:sz w:val="24"/>
          <w:szCs w:val="24"/>
          <w:lang w:eastAsia="en-ZA"/>
        </w:rPr>
        <w:t>Costs to be costs in the appeal.  </w:t>
      </w:r>
    </w:p>
    <w:p w:rsidR="00961E23" w:rsidRDefault="00961E23" w:rsidP="00C044C1">
      <w:pPr>
        <w:spacing w:after="0" w:line="480" w:lineRule="auto"/>
        <w:ind w:firstLine="70"/>
      </w:pPr>
    </w:p>
    <w:p w:rsidR="00961E23" w:rsidRDefault="00961E23" w:rsidP="00961E23">
      <w:pPr>
        <w:spacing w:after="0" w:line="480" w:lineRule="auto"/>
        <w:ind w:left="5690" w:firstLine="7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61E23" w:rsidRDefault="00961E23" w:rsidP="00961E23">
      <w:pPr>
        <w:spacing w:after="0" w:line="480" w:lineRule="auto"/>
        <w:ind w:left="5690" w:firstLine="70"/>
      </w:pPr>
      <w:r>
        <w:t xml:space="preserve">E Molahlehi </w:t>
      </w:r>
    </w:p>
    <w:p w:rsidR="00961E23" w:rsidRPr="00961E23" w:rsidRDefault="00961E23" w:rsidP="00961E23">
      <w:pPr>
        <w:spacing w:after="0" w:line="480" w:lineRule="auto"/>
        <w:ind w:left="5690" w:firstLine="70"/>
        <w:rPr>
          <w:b/>
        </w:rPr>
      </w:pPr>
      <w:r>
        <w:t>JUDGE OF THE HIGH COURT OF</w:t>
      </w:r>
      <w:r w:rsidR="00EA3DE2">
        <w:t xml:space="preserve"> SOUTH AFRICA</w:t>
      </w:r>
      <w:r>
        <w:t xml:space="preserve">, GAUTENG DIVISION, JOHANESBURG.  </w:t>
      </w:r>
    </w:p>
    <w:p w:rsidR="00961E23" w:rsidRPr="00961E23" w:rsidRDefault="00961E23" w:rsidP="00961E23">
      <w:pPr>
        <w:spacing w:after="0" w:line="480" w:lineRule="auto"/>
        <w:rPr>
          <w:b/>
        </w:rPr>
      </w:pPr>
      <w:r w:rsidRPr="00961E23">
        <w:rPr>
          <w:b/>
        </w:rPr>
        <w:t>Representation:</w:t>
      </w:r>
    </w:p>
    <w:p w:rsidR="00AB2D9A" w:rsidRDefault="00961E23" w:rsidP="00C044C1">
      <w:pPr>
        <w:spacing w:after="0" w:line="480" w:lineRule="auto"/>
        <w:ind w:firstLine="70"/>
      </w:pPr>
      <w:r>
        <w:t xml:space="preserve">For the Complainant:  J Gauntlett SC </w:t>
      </w:r>
    </w:p>
    <w:p w:rsidR="00961E23" w:rsidRDefault="00961E23" w:rsidP="00961E23">
      <w:pPr>
        <w:spacing w:after="0" w:line="480" w:lineRule="auto"/>
      </w:pPr>
      <w:r>
        <w:t xml:space="preserve">Instructed by Hunters Spies Attorneys. </w:t>
      </w:r>
    </w:p>
    <w:p w:rsidR="00961E23" w:rsidRDefault="00961E23" w:rsidP="00961E23">
      <w:pPr>
        <w:spacing w:after="0" w:line="480" w:lineRule="auto"/>
      </w:pPr>
      <w:r>
        <w:t xml:space="preserve">For the Respondents: Ian Levit Attorneys. </w:t>
      </w:r>
    </w:p>
    <w:p w:rsidR="00961E23" w:rsidRDefault="00961E23" w:rsidP="00961E23">
      <w:pPr>
        <w:spacing w:after="0" w:line="480" w:lineRule="auto"/>
      </w:pPr>
      <w:r>
        <w:t xml:space="preserve">Date of hearing: </w:t>
      </w:r>
      <w:r w:rsidR="003316B0">
        <w:t>29 September 2022</w:t>
      </w:r>
    </w:p>
    <w:p w:rsidR="00961E23" w:rsidRPr="001C5FC5" w:rsidRDefault="00961E23" w:rsidP="00961E23">
      <w:pPr>
        <w:spacing w:after="0" w:line="480" w:lineRule="auto"/>
        <w:rPr>
          <w:rFonts w:ascii="Arial" w:eastAsia="Times New Roman" w:hAnsi="Arial" w:cs="Arial"/>
          <w:color w:val="0E101A"/>
          <w:sz w:val="24"/>
          <w:szCs w:val="24"/>
          <w:lang w:eastAsia="en-ZA"/>
        </w:rPr>
      </w:pPr>
      <w:r>
        <w:t>Delivered: 04 October 2022.</w:t>
      </w:r>
    </w:p>
    <w:p w:rsidR="00861323" w:rsidRPr="001C5FC5" w:rsidRDefault="00861323" w:rsidP="00C044C1">
      <w:pPr>
        <w:spacing w:after="0" w:line="480" w:lineRule="auto"/>
        <w:ind w:firstLine="70"/>
        <w:rPr>
          <w:rFonts w:ascii="Arial" w:eastAsia="Times New Roman" w:hAnsi="Arial" w:cs="Arial"/>
          <w:color w:val="0E101A"/>
          <w:sz w:val="24"/>
          <w:szCs w:val="24"/>
          <w:lang w:eastAsia="en-ZA"/>
        </w:rPr>
      </w:pPr>
    </w:p>
    <w:p w:rsidR="00861323" w:rsidRPr="00AB2D9A" w:rsidRDefault="00961E23" w:rsidP="00CA7178">
      <w:pPr>
        <w:spacing w:after="0" w:line="480" w:lineRule="auto"/>
        <w:ind w:firstLine="70"/>
        <w:rPr>
          <w:rFonts w:ascii="Arial" w:eastAsia="Times New Roman" w:hAnsi="Arial" w:cs="Arial"/>
          <w:color w:val="0E101A"/>
          <w:sz w:val="24"/>
          <w:szCs w:val="24"/>
          <w:lang w:eastAsia="en-ZA"/>
        </w:rPr>
      </w:pPr>
      <w:r>
        <w:rPr>
          <w:rFonts w:ascii="Arial" w:eastAsia="Times New Roman" w:hAnsi="Arial" w:cs="Arial"/>
          <w:color w:val="0E101A"/>
          <w:sz w:val="24"/>
          <w:szCs w:val="24"/>
          <w:lang w:eastAsia="en-ZA"/>
        </w:rPr>
        <w:t xml:space="preserve"> </w:t>
      </w:r>
    </w:p>
    <w:p w:rsidR="00AB2D9A" w:rsidRPr="00AB2D9A" w:rsidRDefault="00AB2D9A" w:rsidP="00C044C1">
      <w:pPr>
        <w:spacing w:after="0" w:line="480" w:lineRule="auto"/>
        <w:ind w:firstLine="70"/>
        <w:rPr>
          <w:rFonts w:ascii="Arial" w:eastAsia="Times New Roman" w:hAnsi="Arial" w:cs="Arial"/>
          <w:color w:val="0E101A"/>
          <w:sz w:val="24"/>
          <w:szCs w:val="24"/>
          <w:lang w:eastAsia="en-ZA"/>
        </w:rPr>
      </w:pPr>
    </w:p>
    <w:p w:rsidR="00AB2D9A" w:rsidRPr="00AB2D9A" w:rsidRDefault="00AB2D9A" w:rsidP="00DC1E2E">
      <w:pPr>
        <w:spacing w:after="0" w:line="480" w:lineRule="auto"/>
        <w:rPr>
          <w:rFonts w:ascii="Arial" w:eastAsia="Times New Roman" w:hAnsi="Arial" w:cs="Arial"/>
          <w:color w:val="0E101A"/>
          <w:sz w:val="24"/>
          <w:szCs w:val="24"/>
          <w:lang w:eastAsia="en-ZA"/>
        </w:rPr>
      </w:pPr>
    </w:p>
    <w:p w:rsidR="005628B6" w:rsidRPr="001C5FC5" w:rsidRDefault="005628B6" w:rsidP="00DC1E2E">
      <w:pPr>
        <w:pStyle w:val="NormalWeb"/>
        <w:spacing w:before="0" w:beforeAutospacing="0" w:after="0" w:afterAutospacing="0" w:line="480" w:lineRule="auto"/>
        <w:jc w:val="both"/>
        <w:rPr>
          <w:rFonts w:ascii="Arial" w:hAnsi="Arial" w:cs="Arial"/>
          <w:color w:val="0E101A"/>
        </w:rPr>
      </w:pPr>
    </w:p>
    <w:p w:rsidR="00214B41" w:rsidRPr="001C5FC5" w:rsidRDefault="00214B41" w:rsidP="00DC1E2E">
      <w:pPr>
        <w:spacing w:line="480" w:lineRule="auto"/>
        <w:rPr>
          <w:rFonts w:ascii="Arial" w:hAnsi="Arial" w:cs="Arial"/>
          <w:sz w:val="24"/>
          <w:szCs w:val="24"/>
        </w:rPr>
      </w:pPr>
    </w:p>
    <w:sectPr w:rsidR="00214B41" w:rsidRPr="001C5F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8FB" w:rsidRDefault="00C338FB" w:rsidP="0016645D">
      <w:pPr>
        <w:spacing w:after="0" w:line="240" w:lineRule="auto"/>
      </w:pPr>
      <w:r>
        <w:separator/>
      </w:r>
    </w:p>
  </w:endnote>
  <w:endnote w:type="continuationSeparator" w:id="0">
    <w:p w:rsidR="00C338FB" w:rsidRDefault="00C338FB" w:rsidP="00166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8FB" w:rsidRDefault="00C338FB" w:rsidP="0016645D">
      <w:pPr>
        <w:spacing w:after="0" w:line="240" w:lineRule="auto"/>
      </w:pPr>
      <w:r>
        <w:separator/>
      </w:r>
    </w:p>
  </w:footnote>
  <w:footnote w:type="continuationSeparator" w:id="0">
    <w:p w:rsidR="00C338FB" w:rsidRDefault="00C338FB" w:rsidP="0016645D">
      <w:pPr>
        <w:spacing w:after="0" w:line="240" w:lineRule="auto"/>
      </w:pPr>
      <w:r>
        <w:continuationSeparator/>
      </w:r>
    </w:p>
  </w:footnote>
  <w:footnote w:id="1">
    <w:p w:rsidR="00DC1E2E" w:rsidRPr="00DC1E2E" w:rsidRDefault="00DC1E2E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AB2D9A">
        <w:rPr>
          <w:rFonts w:ascii="Arial" w:eastAsia="Times New Roman" w:hAnsi="Arial" w:cs="Arial"/>
          <w:color w:val="0E101A"/>
          <w:sz w:val="24"/>
          <w:szCs w:val="24"/>
          <w:lang w:eastAsia="en-ZA"/>
        </w:rPr>
        <w:t>Mont Cheveaux Trust (IT2012/28) v Tina Goosen and 18 Others and the Acting National Director of Public Prosecutions and 3 Others v The Democratic Alliance, Case No. 19577/09 (24 June 2016).</w:t>
      </w:r>
    </w:p>
  </w:footnote>
  <w:footnote w:id="2">
    <w:p w:rsidR="000A4EBB" w:rsidRPr="000A4EBB" w:rsidRDefault="000A4EBB" w:rsidP="000A4EBB">
      <w:pPr>
        <w:spacing w:after="0" w:line="480" w:lineRule="auto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0A4EBB">
        <w:rPr>
          <w:rFonts w:ascii="Arial" w:eastAsia="Times New Roman" w:hAnsi="Arial" w:cs="Arial"/>
          <w:sz w:val="24"/>
          <w:szCs w:val="24"/>
          <w:lang w:eastAsia="en-ZA"/>
        </w:rPr>
        <w:t xml:space="preserve">Land and Agricultural Development Bank of South Africa and Another v Van den Berg and Others (1955/2016) [2021] ZAFSHC 285; [2022] 1 All SA 457 (FB) (8 November 2021). </w:t>
      </w:r>
    </w:p>
  </w:footnote>
  <w:footnote w:id="3">
    <w:p w:rsidR="00DC1E2E" w:rsidRPr="00DC1E2E" w:rsidRDefault="00DC1E2E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="000A4EBB">
        <w:rPr>
          <w:rFonts w:ascii="Arial" w:eastAsia="Times New Roman" w:hAnsi="Arial" w:cs="Arial"/>
          <w:color w:val="0E101A"/>
          <w:lang w:eastAsia="en-ZA"/>
        </w:rPr>
        <w:t xml:space="preserve">2011 (6) SA </w:t>
      </w:r>
      <w:r w:rsidRPr="00AB2D9A">
        <w:rPr>
          <w:rFonts w:ascii="Arial" w:eastAsia="Times New Roman" w:hAnsi="Arial" w:cs="Arial"/>
          <w:color w:val="0E101A"/>
          <w:lang w:eastAsia="en-ZA"/>
        </w:rPr>
        <w:t>240.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A3934"/>
    <w:multiLevelType w:val="hybridMultilevel"/>
    <w:tmpl w:val="36AA8B50"/>
    <w:lvl w:ilvl="0" w:tplc="5566C36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3586B2BA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E722C8A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56F17"/>
    <w:multiLevelType w:val="hybridMultilevel"/>
    <w:tmpl w:val="45B21BF8"/>
    <w:lvl w:ilvl="0" w:tplc="5566C36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D24FF"/>
    <w:multiLevelType w:val="hybridMultilevel"/>
    <w:tmpl w:val="2EA85F82"/>
    <w:lvl w:ilvl="0" w:tplc="2B56D5FE">
      <w:start w:val="1"/>
      <w:numFmt w:val="lowerLetter"/>
      <w:lvlText w:val="(%1)"/>
      <w:lvlJc w:val="left"/>
      <w:pPr>
        <w:ind w:left="32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960" w:hanging="360"/>
      </w:pPr>
    </w:lvl>
    <w:lvl w:ilvl="2" w:tplc="1C09001B" w:tentative="1">
      <w:start w:val="1"/>
      <w:numFmt w:val="lowerRoman"/>
      <w:lvlText w:val="%3."/>
      <w:lvlJc w:val="right"/>
      <w:pPr>
        <w:ind w:left="4680" w:hanging="180"/>
      </w:pPr>
    </w:lvl>
    <w:lvl w:ilvl="3" w:tplc="1C09000F" w:tentative="1">
      <w:start w:val="1"/>
      <w:numFmt w:val="decimal"/>
      <w:lvlText w:val="%4."/>
      <w:lvlJc w:val="left"/>
      <w:pPr>
        <w:ind w:left="5400" w:hanging="360"/>
      </w:pPr>
    </w:lvl>
    <w:lvl w:ilvl="4" w:tplc="1C090019" w:tentative="1">
      <w:start w:val="1"/>
      <w:numFmt w:val="lowerLetter"/>
      <w:lvlText w:val="%5."/>
      <w:lvlJc w:val="left"/>
      <w:pPr>
        <w:ind w:left="6120" w:hanging="360"/>
      </w:pPr>
    </w:lvl>
    <w:lvl w:ilvl="5" w:tplc="1C09001B" w:tentative="1">
      <w:start w:val="1"/>
      <w:numFmt w:val="lowerRoman"/>
      <w:lvlText w:val="%6."/>
      <w:lvlJc w:val="right"/>
      <w:pPr>
        <w:ind w:left="6840" w:hanging="180"/>
      </w:pPr>
    </w:lvl>
    <w:lvl w:ilvl="6" w:tplc="1C09000F" w:tentative="1">
      <w:start w:val="1"/>
      <w:numFmt w:val="decimal"/>
      <w:lvlText w:val="%7."/>
      <w:lvlJc w:val="left"/>
      <w:pPr>
        <w:ind w:left="7560" w:hanging="360"/>
      </w:pPr>
    </w:lvl>
    <w:lvl w:ilvl="7" w:tplc="1C090019" w:tentative="1">
      <w:start w:val="1"/>
      <w:numFmt w:val="lowerLetter"/>
      <w:lvlText w:val="%8."/>
      <w:lvlJc w:val="left"/>
      <w:pPr>
        <w:ind w:left="8280" w:hanging="360"/>
      </w:pPr>
    </w:lvl>
    <w:lvl w:ilvl="8" w:tplc="1C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CA9"/>
    <w:rsid w:val="00010747"/>
    <w:rsid w:val="000A4EBB"/>
    <w:rsid w:val="00154E44"/>
    <w:rsid w:val="0016645D"/>
    <w:rsid w:val="001A0CCF"/>
    <w:rsid w:val="001C3ECE"/>
    <w:rsid w:val="001C5FC5"/>
    <w:rsid w:val="00214854"/>
    <w:rsid w:val="00214B41"/>
    <w:rsid w:val="002E1B95"/>
    <w:rsid w:val="003316B0"/>
    <w:rsid w:val="00360B66"/>
    <w:rsid w:val="003D6365"/>
    <w:rsid w:val="00436B2A"/>
    <w:rsid w:val="004A12AB"/>
    <w:rsid w:val="004E2AB4"/>
    <w:rsid w:val="005628B6"/>
    <w:rsid w:val="00610E6B"/>
    <w:rsid w:val="0063029E"/>
    <w:rsid w:val="00695F7C"/>
    <w:rsid w:val="00774FEE"/>
    <w:rsid w:val="007E5191"/>
    <w:rsid w:val="00816E63"/>
    <w:rsid w:val="00861323"/>
    <w:rsid w:val="00885FBE"/>
    <w:rsid w:val="00887F36"/>
    <w:rsid w:val="008A74DB"/>
    <w:rsid w:val="008C4B5D"/>
    <w:rsid w:val="008D0CA9"/>
    <w:rsid w:val="008D3A1A"/>
    <w:rsid w:val="008E6565"/>
    <w:rsid w:val="00961E23"/>
    <w:rsid w:val="00966A5E"/>
    <w:rsid w:val="009C45EB"/>
    <w:rsid w:val="00AB2D9A"/>
    <w:rsid w:val="00B67935"/>
    <w:rsid w:val="00C044C1"/>
    <w:rsid w:val="00C338FB"/>
    <w:rsid w:val="00C516F6"/>
    <w:rsid w:val="00C92E21"/>
    <w:rsid w:val="00CA7178"/>
    <w:rsid w:val="00CF4CBB"/>
    <w:rsid w:val="00CF625F"/>
    <w:rsid w:val="00DB12B6"/>
    <w:rsid w:val="00DC1E2E"/>
    <w:rsid w:val="00EA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439232-A139-4AC5-8053-7250B75B0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07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0A4E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0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8D0CA9"/>
    <w:rPr>
      <w:b/>
      <w:bCs/>
    </w:rPr>
  </w:style>
  <w:style w:type="paragraph" w:styleId="ListParagraph">
    <w:name w:val="List Paragraph"/>
    <w:basedOn w:val="Normal"/>
    <w:uiPriority w:val="34"/>
    <w:qFormat/>
    <w:rsid w:val="008C4B5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6645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645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6645D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AB2D9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A4EBB"/>
    <w:rPr>
      <w:rFonts w:ascii="Times New Roman" w:eastAsia="Times New Roman" w:hAnsi="Times New Roman" w:cs="Times New Roman"/>
      <w:b/>
      <w:bCs/>
      <w:sz w:val="36"/>
      <w:szCs w:val="36"/>
      <w:lang w:eastAsia="en-ZA"/>
    </w:rPr>
  </w:style>
  <w:style w:type="character" w:customStyle="1" w:styleId="Heading1Char">
    <w:name w:val="Heading 1 Char"/>
    <w:basedOn w:val="DefaultParagraphFont"/>
    <w:link w:val="Heading1"/>
    <w:uiPriority w:val="9"/>
    <w:rsid w:val="0001074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9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553BD-BEED-4DD7-8970-DFE647BDB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Judge Edwin Molahlehi</dc:creator>
  <cp:keywords/>
  <dc:description/>
  <cp:lastModifiedBy>Mokone</cp:lastModifiedBy>
  <cp:revision>3</cp:revision>
  <dcterms:created xsi:type="dcterms:W3CDTF">2022-10-17T08:18:00Z</dcterms:created>
  <dcterms:modified xsi:type="dcterms:W3CDTF">2022-10-17T08:18:00Z</dcterms:modified>
</cp:coreProperties>
</file>