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E173" w14:textId="77777777" w:rsidR="00BD5A11" w:rsidRPr="00EB1027" w:rsidRDefault="00BD5A11" w:rsidP="00BD5A11">
      <w:pPr>
        <w:pStyle w:val="LegalTitle"/>
        <w:spacing w:after="0" w:line="360" w:lineRule="auto"/>
        <w:rPr>
          <w:rFonts w:cs="Arial"/>
          <w:u w:val="single"/>
        </w:rPr>
      </w:pPr>
      <w:r w:rsidRPr="00EB1027">
        <w:rPr>
          <w:rFonts w:cs="Arial"/>
          <w:noProof/>
          <w:lang w:val="en-US" w:eastAsia="en-US"/>
        </w:rPr>
        <w:drawing>
          <wp:inline distT="0" distB="0" distL="0" distR="0" wp14:anchorId="617FF5FF" wp14:editId="050D3479">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7777777" w:rsidR="00BD5A11" w:rsidRPr="00EB1027" w:rsidRDefault="00BD5A11" w:rsidP="00BD5A11">
      <w:pPr>
        <w:pStyle w:val="LegalTitle"/>
        <w:spacing w:after="120" w:line="360" w:lineRule="auto"/>
        <w:rPr>
          <w:rFonts w:cs="Arial"/>
          <w:u w:val="single"/>
        </w:rPr>
      </w:pPr>
      <w:r w:rsidRPr="00EB1027">
        <w:rPr>
          <w:rFonts w:cs="Arial"/>
          <w:u w:val="single"/>
        </w:rPr>
        <w:t>IN THE HIGH COURT OF SOUTH AFRICA</w:t>
      </w:r>
    </w:p>
    <w:p w14:paraId="1DFC4EED" w14:textId="1480D0B0" w:rsidR="007B3DB5" w:rsidRPr="00EB1027" w:rsidRDefault="00EB1027" w:rsidP="007B3DB5">
      <w:pPr>
        <w:pStyle w:val="LegalTitle"/>
        <w:spacing w:line="360" w:lineRule="auto"/>
        <w:rPr>
          <w:rFonts w:cs="Arial"/>
          <w:u w:val="single"/>
        </w:rPr>
      </w:pPr>
      <w:r w:rsidRPr="00EB1027">
        <w:rPr>
          <w:rFonts w:cs="Arial"/>
          <w:noProof/>
          <w:lang w:val="en-US" w:eastAsia="en-US"/>
        </w:rPr>
        <mc:AlternateContent>
          <mc:Choice Requires="wps">
            <w:drawing>
              <wp:anchor distT="0" distB="0" distL="114300" distR="114300" simplePos="0" relativeHeight="251659264" behindDoc="0" locked="0" layoutInCell="1" allowOverlap="1" wp14:anchorId="66A2AA98" wp14:editId="48F91C0B">
                <wp:simplePos x="0" y="0"/>
                <wp:positionH relativeFrom="column">
                  <wp:posOffset>-158115</wp:posOffset>
                </wp:positionH>
                <wp:positionV relativeFrom="paragraph">
                  <wp:posOffset>405765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014685DE" w:rsidR="00BD5A11" w:rsidRPr="0038792A" w:rsidRDefault="00376978" w:rsidP="00376978">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3C1E348B" w14:textId="71B3295B" w:rsidR="00BD5A11" w:rsidRPr="0038792A" w:rsidRDefault="00376978" w:rsidP="00376978">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1652632B" w:rsidR="00BD5A11" w:rsidRPr="0038792A" w:rsidRDefault="00376978" w:rsidP="00376978">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37072C9E" w:rsidR="00BD5A11" w:rsidRDefault="00BD5A11" w:rsidP="00BD5A11">
                            <w:pPr>
                              <w:rPr>
                                <w:sz w:val="28"/>
                                <w:szCs w:val="28"/>
                              </w:rPr>
                            </w:pPr>
                            <w:r w:rsidRPr="00BD5A11">
                              <w:rPr>
                                <w:b/>
                                <w:sz w:val="22"/>
                                <w:szCs w:val="22"/>
                              </w:rPr>
                              <w:t>Date:</w:t>
                            </w:r>
                            <w:r>
                              <w:rPr>
                                <w:sz w:val="22"/>
                                <w:szCs w:val="22"/>
                              </w:rPr>
                              <w:t xml:space="preserve"> </w:t>
                            </w:r>
                            <w:r w:rsidR="00EB1027">
                              <w:rPr>
                                <w:sz w:val="22"/>
                                <w:szCs w:val="22"/>
                              </w:rPr>
                              <w:t>13</w:t>
                            </w:r>
                            <w:r w:rsidR="0045222A">
                              <w:rPr>
                                <w:sz w:val="22"/>
                                <w:szCs w:val="22"/>
                              </w:rPr>
                              <w:t>/</w:t>
                            </w:r>
                            <w:r w:rsidR="00EB1027">
                              <w:rPr>
                                <w:sz w:val="22"/>
                                <w:szCs w:val="22"/>
                              </w:rPr>
                              <w:t>1</w:t>
                            </w:r>
                            <w:r w:rsidR="0045222A">
                              <w:rPr>
                                <w:sz w:val="22"/>
                                <w:szCs w:val="22"/>
                              </w:rPr>
                              <w:t>0</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2.45pt;margin-top:31.9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">
                <v:textbox>
                  <w:txbxContent>
                    <w:p w14:paraId="1EB2601E" w14:textId="014685DE" w:rsidR="00BD5A11" w:rsidRPr="0038792A" w:rsidRDefault="00376978" w:rsidP="00376978">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3C1E348B" w14:textId="71B3295B" w:rsidR="00BD5A11" w:rsidRPr="0038792A" w:rsidRDefault="00376978" w:rsidP="00376978">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1652632B" w:rsidR="00BD5A11" w:rsidRPr="0038792A" w:rsidRDefault="00376978" w:rsidP="00376978">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37072C9E" w:rsidR="00BD5A11" w:rsidRDefault="00BD5A11" w:rsidP="00BD5A11">
                      <w:pPr>
                        <w:rPr>
                          <w:sz w:val="28"/>
                          <w:szCs w:val="28"/>
                        </w:rPr>
                      </w:pPr>
                      <w:r w:rsidRPr="00BD5A11">
                        <w:rPr>
                          <w:b/>
                          <w:sz w:val="22"/>
                          <w:szCs w:val="22"/>
                        </w:rPr>
                        <w:t>Date:</w:t>
                      </w:r>
                      <w:r>
                        <w:rPr>
                          <w:sz w:val="22"/>
                          <w:szCs w:val="22"/>
                        </w:rPr>
                        <w:t xml:space="preserve"> </w:t>
                      </w:r>
                      <w:r w:rsidR="00EB1027">
                        <w:rPr>
                          <w:sz w:val="22"/>
                          <w:szCs w:val="22"/>
                        </w:rPr>
                        <w:t>13</w:t>
                      </w:r>
                      <w:r w:rsidR="0045222A">
                        <w:rPr>
                          <w:sz w:val="22"/>
                          <w:szCs w:val="22"/>
                        </w:rPr>
                        <w:t>/</w:t>
                      </w:r>
                      <w:r w:rsidR="00EB1027">
                        <w:rPr>
                          <w:sz w:val="22"/>
                          <w:szCs w:val="22"/>
                        </w:rPr>
                        <w:t>1</w:t>
                      </w:r>
                      <w:r w:rsidR="0045222A">
                        <w:rPr>
                          <w:sz w:val="22"/>
                          <w:szCs w:val="22"/>
                        </w:rPr>
                        <w:t>0</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EB1027">
        <w:rPr>
          <w:rFonts w:cs="Arial"/>
          <w:u w:val="single"/>
        </w:rPr>
        <w:t>GAUTENG LOCAL DIVISION, JOHANNES</w:t>
      </w:r>
      <w:bookmarkStart w:id="2" w:name="_Hlk94081611"/>
      <w:bookmarkEnd w:id="2"/>
      <w:r w:rsidR="007B3DB5" w:rsidRPr="00EB1027">
        <w:rPr>
          <w:rFonts w:cs="Arial"/>
          <w:u w:val="single"/>
        </w:rPr>
        <w:t>burg</w:t>
      </w:r>
    </w:p>
    <w:p w14:paraId="736CAC97" w14:textId="4D78E429" w:rsidR="007B3DB5" w:rsidRPr="00EB1027" w:rsidRDefault="007B3DB5" w:rsidP="007B3DB5">
      <w:pPr>
        <w:spacing w:after="0" w:line="240" w:lineRule="auto"/>
        <w:jc w:val="center"/>
        <w:rPr>
          <w:rFonts w:ascii="Arial" w:hAnsi="Arial" w:cs="Arial"/>
          <w:b/>
          <w:bCs/>
          <w:sz w:val="24"/>
          <w:szCs w:val="24"/>
        </w:rPr>
      </w:pPr>
    </w:p>
    <w:p w14:paraId="4F798B6A" w14:textId="6D33B7F5" w:rsidR="007B3DB5" w:rsidRPr="00EB1027" w:rsidRDefault="007B3DB5" w:rsidP="007B3DB5">
      <w:pPr>
        <w:spacing w:after="0" w:line="240" w:lineRule="auto"/>
        <w:jc w:val="center"/>
        <w:rPr>
          <w:rFonts w:ascii="Arial" w:hAnsi="Arial" w:cs="Arial"/>
          <w:b/>
          <w:bCs/>
          <w:sz w:val="24"/>
          <w:szCs w:val="24"/>
        </w:rPr>
      </w:pPr>
      <w:r w:rsidRPr="00EB1027">
        <w:rPr>
          <w:rFonts w:ascii="Arial" w:hAnsi="Arial" w:cs="Arial"/>
          <w:b/>
          <w:bCs/>
          <w:sz w:val="24"/>
          <w:szCs w:val="24"/>
        </w:rPr>
        <w:tab/>
      </w:r>
      <w:r w:rsidRPr="00EB1027">
        <w:rPr>
          <w:rFonts w:ascii="Arial" w:hAnsi="Arial" w:cs="Arial"/>
          <w:b/>
          <w:bCs/>
          <w:sz w:val="24"/>
          <w:szCs w:val="24"/>
        </w:rPr>
        <w:tab/>
      </w:r>
      <w:r w:rsidRPr="00EB1027">
        <w:rPr>
          <w:rFonts w:ascii="Arial" w:hAnsi="Arial" w:cs="Arial"/>
          <w:b/>
          <w:bCs/>
          <w:sz w:val="24"/>
          <w:szCs w:val="24"/>
        </w:rPr>
        <w:tab/>
      </w:r>
      <w:r w:rsidRPr="00EB1027">
        <w:rPr>
          <w:rFonts w:ascii="Arial" w:hAnsi="Arial" w:cs="Arial"/>
          <w:b/>
          <w:bCs/>
          <w:sz w:val="24"/>
          <w:szCs w:val="24"/>
        </w:rPr>
        <w:tab/>
      </w:r>
      <w:r w:rsidRPr="00EB1027">
        <w:rPr>
          <w:rFonts w:ascii="Arial" w:hAnsi="Arial" w:cs="Arial"/>
          <w:b/>
          <w:bCs/>
          <w:sz w:val="24"/>
          <w:szCs w:val="24"/>
        </w:rPr>
        <w:tab/>
      </w:r>
    </w:p>
    <w:p w14:paraId="637D07FF" w14:textId="2615B29B" w:rsidR="00980139" w:rsidRPr="00EB1027" w:rsidRDefault="007B3DB5" w:rsidP="00980139">
      <w:pPr>
        <w:spacing w:after="0" w:line="240" w:lineRule="auto"/>
        <w:jc w:val="right"/>
        <w:rPr>
          <w:rFonts w:ascii="Arial" w:hAnsi="Arial" w:cs="Arial"/>
          <w:b/>
          <w:bCs/>
          <w:sz w:val="24"/>
          <w:szCs w:val="24"/>
        </w:rPr>
      </w:pPr>
      <w:r w:rsidRPr="00EB1027">
        <w:rPr>
          <w:rFonts w:ascii="Arial" w:hAnsi="Arial" w:cs="Arial"/>
          <w:b/>
          <w:bCs/>
          <w:sz w:val="24"/>
          <w:szCs w:val="24"/>
        </w:rPr>
        <w:tab/>
      </w:r>
      <w:r w:rsidRPr="00EB1027">
        <w:rPr>
          <w:rFonts w:ascii="Arial" w:hAnsi="Arial" w:cs="Arial"/>
          <w:b/>
          <w:bCs/>
          <w:sz w:val="24"/>
          <w:szCs w:val="24"/>
        </w:rPr>
        <w:tab/>
      </w:r>
      <w:r w:rsidRPr="00EB1027">
        <w:rPr>
          <w:rFonts w:ascii="Arial" w:hAnsi="Arial" w:cs="Arial"/>
          <w:b/>
          <w:bCs/>
          <w:sz w:val="24"/>
          <w:szCs w:val="24"/>
        </w:rPr>
        <w:tab/>
      </w:r>
    </w:p>
    <w:p w14:paraId="1CE2BD77" w14:textId="2CD2B339" w:rsidR="00EB1027" w:rsidRPr="00EB1027" w:rsidRDefault="00EB1027" w:rsidP="00EB1027">
      <w:pPr>
        <w:spacing w:line="480" w:lineRule="auto"/>
        <w:jc w:val="right"/>
        <w:rPr>
          <w:rFonts w:ascii="Arial" w:hAnsi="Arial" w:cs="Arial"/>
          <w:b/>
          <w:sz w:val="24"/>
          <w:szCs w:val="24"/>
        </w:rPr>
      </w:pPr>
      <w:r w:rsidRPr="00EB1027">
        <w:rPr>
          <w:rFonts w:ascii="Arial" w:hAnsi="Arial" w:cs="Arial"/>
          <w:b/>
          <w:sz w:val="24"/>
          <w:szCs w:val="24"/>
        </w:rPr>
        <w:t>CASE No. 2021/6789</w:t>
      </w:r>
    </w:p>
    <w:p w14:paraId="418B5107" w14:textId="3625A72F" w:rsidR="00EB1027" w:rsidRPr="00EB1027" w:rsidRDefault="00EB1027" w:rsidP="00EB1027">
      <w:pPr>
        <w:spacing w:before="360" w:line="480" w:lineRule="auto"/>
        <w:rPr>
          <w:rFonts w:ascii="Arial" w:hAnsi="Arial" w:cs="Arial"/>
          <w:sz w:val="24"/>
          <w:szCs w:val="24"/>
        </w:rPr>
      </w:pPr>
      <w:r>
        <w:rPr>
          <w:rFonts w:ascii="Arial" w:hAnsi="Arial" w:cs="Arial"/>
          <w:sz w:val="24"/>
          <w:szCs w:val="24"/>
        </w:rPr>
        <w:t>I</w:t>
      </w:r>
      <w:r w:rsidRPr="00EB1027">
        <w:rPr>
          <w:rFonts w:ascii="Arial" w:hAnsi="Arial" w:cs="Arial"/>
          <w:sz w:val="24"/>
          <w:szCs w:val="24"/>
        </w:rPr>
        <w:t>n the leave to appeal application:</w:t>
      </w:r>
    </w:p>
    <w:p w14:paraId="18B0485F" w14:textId="4671E7E9" w:rsidR="00EB1027" w:rsidRPr="00EB1027" w:rsidRDefault="00EB1027" w:rsidP="00EB1027">
      <w:pPr>
        <w:spacing w:after="0"/>
        <w:rPr>
          <w:rFonts w:ascii="Arial" w:hAnsi="Arial" w:cs="Arial"/>
          <w:sz w:val="24"/>
          <w:szCs w:val="24"/>
        </w:rPr>
      </w:pPr>
      <w:r w:rsidRPr="00EB1027">
        <w:rPr>
          <w:rFonts w:ascii="Arial" w:hAnsi="Arial" w:cs="Arial"/>
          <w:b/>
          <w:sz w:val="24"/>
          <w:szCs w:val="24"/>
        </w:rPr>
        <w:t>DEVROG FAMILY TRUST</w:t>
      </w:r>
      <w:r w:rsidRPr="00EB1027">
        <w:rPr>
          <w:rFonts w:ascii="Arial" w:hAnsi="Arial" w:cs="Arial"/>
          <w:b/>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Pr>
          <w:rFonts w:ascii="Arial" w:hAnsi="Arial" w:cs="Arial"/>
          <w:sz w:val="24"/>
          <w:szCs w:val="24"/>
        </w:rPr>
        <w:t xml:space="preserve">        </w:t>
      </w:r>
      <w:r w:rsidRPr="00EB1027">
        <w:rPr>
          <w:rFonts w:ascii="Arial" w:hAnsi="Arial" w:cs="Arial"/>
          <w:sz w:val="24"/>
          <w:szCs w:val="24"/>
        </w:rPr>
        <w:t>Applicant/Respondent</w:t>
      </w:r>
    </w:p>
    <w:p w14:paraId="3DD51B49" w14:textId="77777777" w:rsidR="00EB1027" w:rsidRPr="00EB1027" w:rsidRDefault="00EB1027" w:rsidP="00EB1027">
      <w:pPr>
        <w:spacing w:after="0"/>
        <w:rPr>
          <w:rFonts w:ascii="Arial" w:hAnsi="Arial" w:cs="Arial"/>
          <w:sz w:val="24"/>
          <w:szCs w:val="24"/>
        </w:rPr>
      </w:pPr>
      <w:r w:rsidRPr="00EB1027">
        <w:rPr>
          <w:rFonts w:ascii="Arial" w:hAnsi="Arial" w:cs="Arial"/>
          <w:sz w:val="24"/>
          <w:szCs w:val="24"/>
        </w:rPr>
        <w:t>(Registration Number: IT 2383/87PMB0)</w:t>
      </w:r>
    </w:p>
    <w:p w14:paraId="04ED180F" w14:textId="77777777" w:rsidR="00EB1027" w:rsidRDefault="00EB1027" w:rsidP="00EB1027">
      <w:pPr>
        <w:spacing w:after="0"/>
        <w:rPr>
          <w:rFonts w:ascii="Arial" w:hAnsi="Arial" w:cs="Arial"/>
          <w:sz w:val="24"/>
          <w:szCs w:val="24"/>
        </w:rPr>
      </w:pPr>
    </w:p>
    <w:p w14:paraId="338490E5" w14:textId="0A4E9D16" w:rsidR="00EB1027" w:rsidRPr="00EB1027" w:rsidRDefault="00EB1027" w:rsidP="00EB1027">
      <w:pPr>
        <w:spacing w:line="480" w:lineRule="auto"/>
        <w:rPr>
          <w:rFonts w:ascii="Arial" w:hAnsi="Arial" w:cs="Arial"/>
          <w:sz w:val="24"/>
          <w:szCs w:val="24"/>
        </w:rPr>
      </w:pPr>
      <w:r w:rsidRPr="00EB1027">
        <w:rPr>
          <w:rFonts w:ascii="Arial" w:hAnsi="Arial" w:cs="Arial"/>
          <w:sz w:val="24"/>
          <w:szCs w:val="24"/>
        </w:rPr>
        <w:t>and</w:t>
      </w:r>
    </w:p>
    <w:p w14:paraId="7FB75EB4" w14:textId="1EC9DF17" w:rsidR="00EB1027" w:rsidRPr="00EB1027" w:rsidRDefault="00EB1027" w:rsidP="00EB1027">
      <w:pPr>
        <w:spacing w:after="0"/>
        <w:jc w:val="left"/>
        <w:rPr>
          <w:rFonts w:ascii="Arial" w:hAnsi="Arial" w:cs="Arial"/>
          <w:sz w:val="24"/>
          <w:szCs w:val="24"/>
        </w:rPr>
      </w:pPr>
      <w:r w:rsidRPr="00EB1027">
        <w:rPr>
          <w:rFonts w:ascii="Arial" w:hAnsi="Arial" w:cs="Arial"/>
          <w:b/>
          <w:sz w:val="24"/>
          <w:szCs w:val="24"/>
        </w:rPr>
        <w:t>FUTURE INDEFINITE INVESTMENTS 180 (PTY) LT</w:t>
      </w:r>
      <w:r>
        <w:rPr>
          <w:rFonts w:ascii="Arial" w:hAnsi="Arial" w:cs="Arial"/>
          <w:b/>
          <w:sz w:val="24"/>
          <w:szCs w:val="24"/>
        </w:rPr>
        <w:t xml:space="preserve">D       </w:t>
      </w:r>
      <w:r w:rsidRPr="00EB1027">
        <w:rPr>
          <w:rFonts w:ascii="Arial" w:hAnsi="Arial" w:cs="Arial"/>
          <w:sz w:val="24"/>
          <w:szCs w:val="24"/>
        </w:rPr>
        <w:t>Respondent/Applicant</w:t>
      </w:r>
    </w:p>
    <w:p w14:paraId="38B92477" w14:textId="77777777" w:rsidR="00EB1027" w:rsidRPr="00EB1027" w:rsidRDefault="00EB1027" w:rsidP="00EB1027">
      <w:pPr>
        <w:spacing w:after="0"/>
        <w:rPr>
          <w:rFonts w:ascii="Arial" w:hAnsi="Arial" w:cs="Arial"/>
          <w:sz w:val="24"/>
          <w:szCs w:val="24"/>
        </w:rPr>
      </w:pPr>
      <w:r w:rsidRPr="00EB1027">
        <w:rPr>
          <w:rFonts w:ascii="Arial" w:hAnsi="Arial" w:cs="Arial"/>
          <w:sz w:val="24"/>
          <w:szCs w:val="24"/>
        </w:rPr>
        <w:t>(Registration Number 2002/021851/07)</w:t>
      </w:r>
    </w:p>
    <w:p w14:paraId="2C346D4C" w14:textId="77777777" w:rsidR="00EB1027" w:rsidRDefault="00EB1027" w:rsidP="00EB1027">
      <w:pPr>
        <w:spacing w:after="0"/>
        <w:rPr>
          <w:rFonts w:ascii="Arial" w:hAnsi="Arial" w:cs="Arial"/>
          <w:sz w:val="24"/>
          <w:szCs w:val="24"/>
        </w:rPr>
      </w:pPr>
    </w:p>
    <w:p w14:paraId="31B8B37C" w14:textId="0DC5827C" w:rsidR="00EB1027" w:rsidRPr="00EB1027" w:rsidRDefault="00EB1027" w:rsidP="00EB1027">
      <w:pPr>
        <w:spacing w:line="480" w:lineRule="auto"/>
        <w:rPr>
          <w:rFonts w:ascii="Arial" w:hAnsi="Arial" w:cs="Arial"/>
          <w:sz w:val="24"/>
          <w:szCs w:val="24"/>
        </w:rPr>
      </w:pPr>
      <w:r>
        <w:rPr>
          <w:rFonts w:ascii="Arial" w:hAnsi="Arial" w:cs="Arial"/>
          <w:sz w:val="24"/>
          <w:szCs w:val="24"/>
        </w:rPr>
        <w:t>a</w:t>
      </w:r>
      <w:r w:rsidRPr="00EB1027">
        <w:rPr>
          <w:rFonts w:ascii="Arial" w:hAnsi="Arial" w:cs="Arial"/>
          <w:sz w:val="24"/>
          <w:szCs w:val="24"/>
        </w:rPr>
        <w:t>nd</w:t>
      </w:r>
    </w:p>
    <w:p w14:paraId="15CA761D" w14:textId="2FD8B330" w:rsidR="00EB1027" w:rsidRPr="00EB1027" w:rsidRDefault="00EB1027" w:rsidP="00EB1027">
      <w:pPr>
        <w:spacing w:line="480" w:lineRule="auto"/>
        <w:rPr>
          <w:rFonts w:ascii="Arial" w:hAnsi="Arial" w:cs="Arial"/>
          <w:sz w:val="24"/>
          <w:szCs w:val="24"/>
        </w:rPr>
      </w:pPr>
      <w:r w:rsidRPr="00EB1027">
        <w:rPr>
          <w:rFonts w:ascii="Arial" w:hAnsi="Arial" w:cs="Arial"/>
          <w:sz w:val="24"/>
          <w:szCs w:val="24"/>
        </w:rPr>
        <w:t xml:space="preserve">In the matter </w:t>
      </w:r>
      <w:r w:rsidR="00451463" w:rsidRPr="00EB1027">
        <w:rPr>
          <w:rFonts w:ascii="Arial" w:hAnsi="Arial" w:cs="Arial"/>
          <w:sz w:val="24"/>
          <w:szCs w:val="24"/>
        </w:rPr>
        <w:t>between: -</w:t>
      </w:r>
    </w:p>
    <w:p w14:paraId="1321F6C0" w14:textId="3BAEEF75" w:rsidR="00EB1027" w:rsidRPr="00EB1027" w:rsidRDefault="00EB1027" w:rsidP="00EB1027">
      <w:pPr>
        <w:spacing w:after="0"/>
        <w:rPr>
          <w:rFonts w:ascii="Arial" w:hAnsi="Arial" w:cs="Arial"/>
          <w:sz w:val="24"/>
          <w:szCs w:val="24"/>
        </w:rPr>
      </w:pPr>
      <w:r w:rsidRPr="00EB1027">
        <w:rPr>
          <w:rFonts w:ascii="Arial" w:hAnsi="Arial" w:cs="Arial"/>
          <w:b/>
          <w:sz w:val="24"/>
          <w:szCs w:val="24"/>
        </w:rPr>
        <w:t>DEVROG FAMILY TRUST</w:t>
      </w:r>
      <w:r w:rsidRPr="00EB1027">
        <w:rPr>
          <w:rFonts w:ascii="Arial" w:hAnsi="Arial" w:cs="Arial"/>
          <w:b/>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Pr>
          <w:rFonts w:ascii="Arial" w:hAnsi="Arial" w:cs="Arial"/>
          <w:sz w:val="24"/>
          <w:szCs w:val="24"/>
        </w:rPr>
        <w:t xml:space="preserve">          </w:t>
      </w:r>
      <w:r w:rsidRPr="00EB1027">
        <w:rPr>
          <w:rFonts w:ascii="Arial" w:hAnsi="Arial" w:cs="Arial"/>
          <w:sz w:val="24"/>
          <w:szCs w:val="24"/>
        </w:rPr>
        <w:t>First Applicant</w:t>
      </w:r>
    </w:p>
    <w:p w14:paraId="1903F0C7" w14:textId="77777777" w:rsidR="00EB1027" w:rsidRPr="00EB1027" w:rsidRDefault="00EB1027" w:rsidP="00EB1027">
      <w:pPr>
        <w:spacing w:after="0"/>
        <w:rPr>
          <w:rFonts w:ascii="Arial" w:hAnsi="Arial" w:cs="Arial"/>
          <w:sz w:val="24"/>
          <w:szCs w:val="24"/>
        </w:rPr>
      </w:pPr>
      <w:r w:rsidRPr="00EB1027">
        <w:rPr>
          <w:rFonts w:ascii="Arial" w:hAnsi="Arial" w:cs="Arial"/>
          <w:sz w:val="24"/>
          <w:szCs w:val="24"/>
        </w:rPr>
        <w:t>(Registration No. IT2383/87) (PMB)</w:t>
      </w:r>
    </w:p>
    <w:p w14:paraId="4738D1A4" w14:textId="5CF98293" w:rsidR="00EB1027" w:rsidRPr="00EB1027" w:rsidRDefault="00EB1027" w:rsidP="00EB1027">
      <w:pPr>
        <w:spacing w:before="240" w:after="0"/>
        <w:rPr>
          <w:rFonts w:ascii="Arial" w:hAnsi="Arial" w:cs="Arial"/>
          <w:sz w:val="24"/>
          <w:szCs w:val="24"/>
        </w:rPr>
      </w:pPr>
      <w:r w:rsidRPr="00EB1027">
        <w:rPr>
          <w:rFonts w:ascii="Arial" w:hAnsi="Arial" w:cs="Arial"/>
          <w:b/>
          <w:sz w:val="24"/>
          <w:szCs w:val="24"/>
        </w:rPr>
        <w:t xml:space="preserve">GOVINDSAMY CHETTY </w:t>
      </w:r>
      <w:r w:rsidR="00451463" w:rsidRPr="00EB1027">
        <w:rPr>
          <w:rFonts w:ascii="Arial" w:hAnsi="Arial" w:cs="Arial"/>
          <w:b/>
          <w:sz w:val="24"/>
          <w:szCs w:val="24"/>
        </w:rPr>
        <w:t>N. O</w:t>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Pr>
          <w:rFonts w:ascii="Arial" w:hAnsi="Arial" w:cs="Arial"/>
          <w:sz w:val="24"/>
          <w:szCs w:val="24"/>
        </w:rPr>
        <w:t xml:space="preserve">     </w:t>
      </w:r>
      <w:r w:rsidRPr="00EB1027">
        <w:rPr>
          <w:rFonts w:ascii="Arial" w:hAnsi="Arial" w:cs="Arial"/>
          <w:sz w:val="24"/>
          <w:szCs w:val="24"/>
        </w:rPr>
        <w:t>Second Applicant</w:t>
      </w:r>
    </w:p>
    <w:p w14:paraId="69CF6820" w14:textId="7FC17AB8" w:rsidR="00EB1027" w:rsidRPr="00EB1027" w:rsidRDefault="00EB1027" w:rsidP="00EB1027">
      <w:pPr>
        <w:spacing w:before="240" w:after="0"/>
        <w:rPr>
          <w:rFonts w:ascii="Arial" w:hAnsi="Arial" w:cs="Arial"/>
          <w:sz w:val="24"/>
          <w:szCs w:val="24"/>
        </w:rPr>
      </w:pPr>
      <w:r w:rsidRPr="00EB1027">
        <w:rPr>
          <w:rFonts w:ascii="Arial" w:hAnsi="Arial" w:cs="Arial"/>
          <w:b/>
          <w:sz w:val="24"/>
          <w:szCs w:val="24"/>
        </w:rPr>
        <w:t xml:space="preserve">ROGINI CHETTY </w:t>
      </w:r>
      <w:r w:rsidR="00451463" w:rsidRPr="00EB1027">
        <w:rPr>
          <w:rFonts w:ascii="Arial" w:hAnsi="Arial" w:cs="Arial"/>
          <w:b/>
          <w:sz w:val="24"/>
          <w:szCs w:val="24"/>
        </w:rPr>
        <w:t>N. O</w:t>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Pr>
          <w:rFonts w:ascii="Arial" w:hAnsi="Arial" w:cs="Arial"/>
          <w:sz w:val="24"/>
          <w:szCs w:val="24"/>
        </w:rPr>
        <w:t xml:space="preserve">         </w:t>
      </w:r>
      <w:r w:rsidRPr="00EB1027">
        <w:rPr>
          <w:rFonts w:ascii="Arial" w:hAnsi="Arial" w:cs="Arial"/>
          <w:sz w:val="24"/>
          <w:szCs w:val="24"/>
        </w:rPr>
        <w:t>Third Applicant</w:t>
      </w:r>
    </w:p>
    <w:p w14:paraId="5709A1F8" w14:textId="77777777" w:rsidR="00EB1027" w:rsidRDefault="00EB1027" w:rsidP="00EB1027">
      <w:pPr>
        <w:spacing w:after="0"/>
        <w:rPr>
          <w:rFonts w:ascii="Arial" w:hAnsi="Arial" w:cs="Arial"/>
          <w:sz w:val="24"/>
          <w:szCs w:val="24"/>
        </w:rPr>
      </w:pPr>
    </w:p>
    <w:p w14:paraId="54DA94E0" w14:textId="79993533" w:rsidR="00EB1027" w:rsidRPr="00EB1027" w:rsidRDefault="00EB1027" w:rsidP="00EB1027">
      <w:pPr>
        <w:spacing w:after="0"/>
        <w:rPr>
          <w:rFonts w:ascii="Arial" w:hAnsi="Arial" w:cs="Arial"/>
          <w:sz w:val="24"/>
          <w:szCs w:val="24"/>
        </w:rPr>
      </w:pPr>
      <w:r>
        <w:rPr>
          <w:rFonts w:ascii="Arial" w:hAnsi="Arial" w:cs="Arial"/>
          <w:sz w:val="24"/>
          <w:szCs w:val="24"/>
        </w:rPr>
        <w:lastRenderedPageBreak/>
        <w:t>a</w:t>
      </w:r>
      <w:r w:rsidRPr="00EB1027">
        <w:rPr>
          <w:rFonts w:ascii="Arial" w:hAnsi="Arial" w:cs="Arial"/>
          <w:sz w:val="24"/>
          <w:szCs w:val="24"/>
        </w:rPr>
        <w:t>nd</w:t>
      </w:r>
    </w:p>
    <w:p w14:paraId="19C82E01" w14:textId="77777777" w:rsidR="00EB1027" w:rsidRDefault="00EB1027" w:rsidP="00EB1027">
      <w:pPr>
        <w:spacing w:after="0"/>
        <w:rPr>
          <w:rFonts w:ascii="Arial" w:hAnsi="Arial" w:cs="Arial"/>
          <w:sz w:val="24"/>
          <w:szCs w:val="24"/>
        </w:rPr>
      </w:pPr>
    </w:p>
    <w:p w14:paraId="608E3BE0" w14:textId="2580125B" w:rsidR="00EB1027" w:rsidRPr="00EB1027" w:rsidRDefault="00EB1027" w:rsidP="00EB1027">
      <w:pPr>
        <w:spacing w:after="0"/>
        <w:rPr>
          <w:rFonts w:ascii="Arial" w:hAnsi="Arial" w:cs="Arial"/>
          <w:sz w:val="24"/>
          <w:szCs w:val="24"/>
        </w:rPr>
      </w:pPr>
      <w:r w:rsidRPr="00EB1027">
        <w:rPr>
          <w:rFonts w:ascii="Arial" w:hAnsi="Arial" w:cs="Arial"/>
          <w:b/>
          <w:sz w:val="24"/>
          <w:szCs w:val="24"/>
        </w:rPr>
        <w:t>FUTURE INDEFINITE INVESTMENTS 180 (PTY) LTD</w:t>
      </w:r>
      <w:r w:rsidRPr="00EB1027">
        <w:rPr>
          <w:rFonts w:ascii="Arial" w:hAnsi="Arial" w:cs="Arial"/>
          <w:sz w:val="24"/>
          <w:szCs w:val="24"/>
        </w:rPr>
        <w:tab/>
      </w:r>
      <w:r>
        <w:rPr>
          <w:rFonts w:ascii="Arial" w:hAnsi="Arial" w:cs="Arial"/>
          <w:sz w:val="24"/>
          <w:szCs w:val="24"/>
        </w:rPr>
        <w:t xml:space="preserve">     </w:t>
      </w:r>
      <w:r w:rsidRPr="00EB1027">
        <w:rPr>
          <w:rFonts w:ascii="Arial" w:hAnsi="Arial" w:cs="Arial"/>
          <w:sz w:val="24"/>
          <w:szCs w:val="24"/>
        </w:rPr>
        <w:t>First Respondent</w:t>
      </w:r>
    </w:p>
    <w:p w14:paraId="4B9BECCC" w14:textId="77777777" w:rsidR="00EB1027" w:rsidRPr="00EB1027" w:rsidRDefault="00EB1027" w:rsidP="00EB1027">
      <w:pPr>
        <w:spacing w:after="0"/>
        <w:rPr>
          <w:rFonts w:ascii="Arial" w:hAnsi="Arial" w:cs="Arial"/>
          <w:sz w:val="24"/>
          <w:szCs w:val="24"/>
        </w:rPr>
      </w:pPr>
      <w:r w:rsidRPr="00EB1027">
        <w:rPr>
          <w:rFonts w:ascii="Arial" w:hAnsi="Arial" w:cs="Arial"/>
          <w:sz w:val="24"/>
          <w:szCs w:val="24"/>
        </w:rPr>
        <w:t>(Registration Number 2002/021851/07)</w:t>
      </w:r>
    </w:p>
    <w:p w14:paraId="37D82195" w14:textId="4EF49864" w:rsidR="00EB1027" w:rsidRDefault="00EB1027" w:rsidP="00EB1027">
      <w:pPr>
        <w:spacing w:before="120" w:after="0"/>
        <w:rPr>
          <w:rFonts w:ascii="Arial" w:hAnsi="Arial" w:cs="Arial"/>
          <w:sz w:val="24"/>
          <w:szCs w:val="24"/>
        </w:rPr>
      </w:pPr>
      <w:r w:rsidRPr="00EB1027">
        <w:rPr>
          <w:rFonts w:ascii="Arial" w:hAnsi="Arial" w:cs="Arial"/>
          <w:b/>
          <w:sz w:val="24"/>
          <w:szCs w:val="24"/>
        </w:rPr>
        <w:t>HENKEL GREGORY INCORPORATED</w:t>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r>
      <w:r w:rsidRPr="00EB1027">
        <w:rPr>
          <w:rFonts w:ascii="Arial" w:hAnsi="Arial" w:cs="Arial"/>
          <w:sz w:val="24"/>
          <w:szCs w:val="24"/>
        </w:rPr>
        <w:tab/>
        <w:t>Second Respondent</w:t>
      </w:r>
    </w:p>
    <w:p w14:paraId="1AAE5B86" w14:textId="77777777" w:rsidR="00EB1027" w:rsidRPr="00EB1027" w:rsidRDefault="00EB1027" w:rsidP="00EB1027">
      <w:pPr>
        <w:spacing w:before="120" w:after="0"/>
        <w:rPr>
          <w:rFonts w:ascii="Arial" w:hAnsi="Arial" w:cs="Arial"/>
          <w:sz w:val="24"/>
          <w:szCs w:val="24"/>
        </w:rPr>
      </w:pPr>
    </w:p>
    <w:p w14:paraId="4BD5A3F7" w14:textId="77777777" w:rsidR="00EB1027" w:rsidRDefault="00EB1027" w:rsidP="00EB1027">
      <w:pPr>
        <w:pBdr>
          <w:top w:val="single" w:sz="12" w:space="1" w:color="auto"/>
          <w:bottom w:val="single" w:sz="12" w:space="1" w:color="auto"/>
        </w:pBdr>
        <w:spacing w:after="0" w:line="240" w:lineRule="auto"/>
        <w:rPr>
          <w:rFonts w:ascii="Arial" w:hAnsi="Arial" w:cs="Arial"/>
          <w:sz w:val="24"/>
          <w:szCs w:val="24"/>
        </w:rPr>
      </w:pPr>
    </w:p>
    <w:p w14:paraId="798D11F0" w14:textId="6ED368BC" w:rsidR="00EB1027" w:rsidRDefault="00EB1027" w:rsidP="00EB1027">
      <w:pPr>
        <w:pBdr>
          <w:top w:val="single" w:sz="12" w:space="1" w:color="auto"/>
          <w:bottom w:val="single" w:sz="12" w:space="1" w:color="auto"/>
        </w:pBdr>
        <w:spacing w:after="0" w:line="240" w:lineRule="auto"/>
        <w:jc w:val="center"/>
        <w:rPr>
          <w:rFonts w:ascii="Arial" w:hAnsi="Arial" w:cs="Arial"/>
          <w:b/>
          <w:bCs/>
          <w:sz w:val="24"/>
          <w:szCs w:val="24"/>
        </w:rPr>
      </w:pPr>
      <w:r w:rsidRPr="00EB1027">
        <w:rPr>
          <w:rFonts w:ascii="Arial" w:hAnsi="Arial" w:cs="Arial"/>
          <w:b/>
          <w:bCs/>
          <w:sz w:val="24"/>
          <w:szCs w:val="24"/>
        </w:rPr>
        <w:t>JUDGMENT</w:t>
      </w:r>
    </w:p>
    <w:p w14:paraId="447B12B4" w14:textId="77777777" w:rsidR="00EB1027" w:rsidRPr="00EB1027" w:rsidRDefault="00EB1027" w:rsidP="00EB1027">
      <w:pPr>
        <w:pBdr>
          <w:top w:val="single" w:sz="12" w:space="1" w:color="auto"/>
          <w:bottom w:val="single" w:sz="12" w:space="1" w:color="auto"/>
        </w:pBdr>
        <w:spacing w:after="0" w:line="240" w:lineRule="auto"/>
        <w:rPr>
          <w:rFonts w:ascii="Arial" w:hAnsi="Arial" w:cs="Arial"/>
          <w:b/>
          <w:bCs/>
          <w:sz w:val="24"/>
          <w:szCs w:val="24"/>
        </w:rPr>
      </w:pPr>
    </w:p>
    <w:p w14:paraId="4428526B" w14:textId="77777777" w:rsidR="00EB1027" w:rsidRDefault="00EB1027" w:rsidP="00EB1027">
      <w:pPr>
        <w:spacing w:line="480" w:lineRule="auto"/>
        <w:rPr>
          <w:rFonts w:ascii="Arial" w:hAnsi="Arial" w:cs="Arial"/>
          <w:b/>
          <w:bCs/>
          <w:sz w:val="24"/>
          <w:szCs w:val="24"/>
        </w:rPr>
      </w:pPr>
    </w:p>
    <w:p w14:paraId="33F628F6" w14:textId="3F65EC55" w:rsidR="00EB1027" w:rsidRPr="00EB1027" w:rsidRDefault="00EB1027" w:rsidP="00EB1027">
      <w:pPr>
        <w:spacing w:line="480" w:lineRule="auto"/>
        <w:rPr>
          <w:rFonts w:ascii="Arial" w:hAnsi="Arial" w:cs="Arial"/>
          <w:b/>
          <w:bCs/>
          <w:sz w:val="24"/>
          <w:szCs w:val="24"/>
        </w:rPr>
      </w:pPr>
      <w:r w:rsidRPr="00EB1027">
        <w:rPr>
          <w:rFonts w:ascii="Arial" w:hAnsi="Arial" w:cs="Arial"/>
          <w:b/>
          <w:bCs/>
          <w:sz w:val="24"/>
          <w:szCs w:val="24"/>
        </w:rPr>
        <w:t>MAHOMED AJ</w:t>
      </w:r>
    </w:p>
    <w:p w14:paraId="058E3A1D" w14:textId="77777777" w:rsidR="00EB1027" w:rsidRPr="00EB1027" w:rsidRDefault="00EB1027" w:rsidP="00EB1027">
      <w:pPr>
        <w:pStyle w:val="Heading1"/>
      </w:pPr>
      <w:r w:rsidRPr="00EB1027">
        <w:t>INTRODUCTION</w:t>
      </w:r>
    </w:p>
    <w:p w14:paraId="3C582EB8" w14:textId="64E73E6A" w:rsidR="00EB1027" w:rsidRPr="00EB1027" w:rsidRDefault="00376978" w:rsidP="00376978">
      <w:pPr>
        <w:pStyle w:val="ListLevel1"/>
        <w:numPr>
          <w:ilvl w:val="0"/>
          <w:numId w:val="0"/>
        </w:numPr>
        <w:tabs>
          <w:tab w:val="left" w:pos="851"/>
        </w:tabs>
        <w:ind w:left="851" w:hanging="851"/>
      </w:pPr>
      <w:r w:rsidRPr="00EB1027">
        <w:t>1.</w:t>
      </w:r>
      <w:r w:rsidRPr="00EB1027">
        <w:tab/>
      </w:r>
      <w:r w:rsidR="00EB1027" w:rsidRPr="00EB1027">
        <w:t>In my judgment of 28 April 2022, I ordered specific performance, for payment of the balance of the purchase price of immovable property, Future Indefinite Investments 180 (“F180”). The Devrog Family Trust, (‘DFT”) the applicants in this application, argued at the hearing that the agreement of purchase and sale of the immovable property was void ab initio, in that Govindsamy, a trustee, did not have the necessary written authority to bind the DFT when he signed the agreement.  No resolution was in place and there is no evidence before the court that the two trustees, Govindsamy Chetty and his wife Rogini, held a meeting and passed a resolution to purchase the property.</w:t>
      </w:r>
    </w:p>
    <w:p w14:paraId="1E052DED" w14:textId="77777777" w:rsidR="00EB1027" w:rsidRPr="00EB1027" w:rsidRDefault="00EB1027" w:rsidP="00EB1027">
      <w:pPr>
        <w:pStyle w:val="Heading1"/>
      </w:pPr>
      <w:r w:rsidRPr="00EB1027">
        <w:lastRenderedPageBreak/>
        <w:t>THE APPLICATION</w:t>
      </w:r>
    </w:p>
    <w:p w14:paraId="47BF91D9" w14:textId="67A5F650" w:rsidR="00EB1027" w:rsidRPr="00EB1027" w:rsidRDefault="00376978" w:rsidP="00376978">
      <w:pPr>
        <w:pStyle w:val="ListLevel1"/>
        <w:numPr>
          <w:ilvl w:val="0"/>
          <w:numId w:val="0"/>
        </w:numPr>
        <w:tabs>
          <w:tab w:val="left" w:pos="851"/>
        </w:tabs>
        <w:ind w:left="851" w:hanging="851"/>
      </w:pPr>
      <w:r w:rsidRPr="00EB1027">
        <w:t>2.</w:t>
      </w:r>
      <w:r w:rsidRPr="00EB1027">
        <w:tab/>
      </w:r>
      <w:r w:rsidR="00EB1027" w:rsidRPr="00EB1027">
        <w:t>Moodley SC, represented the applicants and submitted that the DFT applies in terms of s16 of the Superior Courts Act 10 of 2013, and that this court is to determine the application in terms of s17(1)(a).</w:t>
      </w:r>
    </w:p>
    <w:p w14:paraId="1B4B06E1" w14:textId="281FD11C" w:rsidR="00EB1027" w:rsidRPr="00EB1027" w:rsidRDefault="00376978" w:rsidP="00376978">
      <w:pPr>
        <w:pStyle w:val="ListLevel1"/>
        <w:numPr>
          <w:ilvl w:val="0"/>
          <w:numId w:val="0"/>
        </w:numPr>
        <w:tabs>
          <w:tab w:val="left" w:pos="851"/>
        </w:tabs>
        <w:ind w:left="851" w:hanging="851"/>
      </w:pPr>
      <w:r w:rsidRPr="00EB1027">
        <w:t>3.</w:t>
      </w:r>
      <w:r w:rsidRPr="00EB1027">
        <w:tab/>
      </w:r>
      <w:r w:rsidR="00EB1027" w:rsidRPr="00EB1027">
        <w:t xml:space="preserve">Counsel submitted that my judgment was based largely on the interpretation of the provisions of the deed of trust and that it is open for another court to apply a different interpretation and therefore the application ought to meet the higher threshold in the section which provides that “leave may be granted only where the appeal ‘would’ have a reasonable prospect of success.”   </w:t>
      </w:r>
    </w:p>
    <w:p w14:paraId="28539F6F" w14:textId="77777777" w:rsidR="00EB1027" w:rsidRPr="00EB1027" w:rsidRDefault="00EB1027" w:rsidP="00EB1027">
      <w:pPr>
        <w:pStyle w:val="Heading2"/>
      </w:pPr>
      <w:r w:rsidRPr="00EB1027">
        <w:t>No Written Resolution</w:t>
      </w:r>
    </w:p>
    <w:p w14:paraId="2B1839EB" w14:textId="790DF93F" w:rsidR="00EB1027" w:rsidRPr="00EB1027" w:rsidRDefault="00376978" w:rsidP="00376978">
      <w:pPr>
        <w:pStyle w:val="ListLevel1"/>
        <w:numPr>
          <w:ilvl w:val="0"/>
          <w:numId w:val="0"/>
        </w:numPr>
        <w:tabs>
          <w:tab w:val="left" w:pos="851"/>
        </w:tabs>
        <w:ind w:left="851" w:hanging="851"/>
      </w:pPr>
      <w:r w:rsidRPr="00EB1027">
        <w:t>4.</w:t>
      </w:r>
      <w:r w:rsidRPr="00EB1027">
        <w:tab/>
      </w:r>
      <w:r w:rsidR="00EB1027" w:rsidRPr="00EB1027">
        <w:t xml:space="preserve">It was submitted that the respondents herein relied on inferences that F180 drew.  Counsel submitted that F180 assumes there was a meeting between Govindsamy and Rogini, as trustees and therefore there was a resolution to enter into the agreement.  There is no evidence that a meeting was </w:t>
      </w:r>
      <w:r w:rsidR="00451463" w:rsidRPr="00EB1027">
        <w:t>held,</w:t>
      </w:r>
      <w:r w:rsidR="00EB1027" w:rsidRPr="00EB1027">
        <w:t xml:space="preserve"> and a resolution taken or that Govindsamy would have exercised his casting vote.</w:t>
      </w:r>
    </w:p>
    <w:p w14:paraId="5B72C8FB" w14:textId="1875C4DC" w:rsidR="00EB1027" w:rsidRPr="00EB1027" w:rsidRDefault="00376978" w:rsidP="00376978">
      <w:pPr>
        <w:pStyle w:val="ListLevel1"/>
        <w:numPr>
          <w:ilvl w:val="0"/>
          <w:numId w:val="0"/>
        </w:numPr>
        <w:tabs>
          <w:tab w:val="left" w:pos="851"/>
        </w:tabs>
        <w:ind w:left="851" w:hanging="851"/>
      </w:pPr>
      <w:r w:rsidRPr="00EB1027">
        <w:t>5.</w:t>
      </w:r>
      <w:r w:rsidRPr="00EB1027">
        <w:tab/>
      </w:r>
      <w:r w:rsidR="00EB1027" w:rsidRPr="00EB1027">
        <w:t xml:space="preserve">Moodley SC submitted that another court </w:t>
      </w:r>
      <w:r w:rsidR="00451463" w:rsidRPr="00EB1027">
        <w:t>would</w:t>
      </w:r>
      <w:r w:rsidR="00EB1027" w:rsidRPr="00EB1027">
        <w:t xml:space="preserve"> arrive at different finding when one has proper regard </w:t>
      </w:r>
      <w:r w:rsidR="00C50D68">
        <w:t>for</w:t>
      </w:r>
      <w:r w:rsidR="00EB1027" w:rsidRPr="00EB1027">
        <w:t xml:space="preserve"> the word</w:t>
      </w:r>
      <w:r w:rsidR="00C50D68">
        <w:t>s in</w:t>
      </w:r>
      <w:r w:rsidR="00EB1027" w:rsidRPr="00EB1027">
        <w:t xml:space="preserve"> clause 7.4</w:t>
      </w:r>
      <w:r w:rsidR="00C50D68">
        <w:t xml:space="preserve"> of the </w:t>
      </w:r>
      <w:r w:rsidR="00C50D68">
        <w:lastRenderedPageBreak/>
        <w:t>deed of trust</w:t>
      </w:r>
      <w:r w:rsidR="00EB1027" w:rsidRPr="00EB1027">
        <w:t xml:space="preserve">, which provides, </w:t>
      </w:r>
      <w:r w:rsidR="00451463" w:rsidRPr="00EB1027">
        <w:t>“</w:t>
      </w:r>
      <w:r w:rsidR="00451463" w:rsidRPr="00EB1027">
        <w:rPr>
          <w:i/>
          <w:iCs/>
        </w:rPr>
        <w:t>in</w:t>
      </w:r>
      <w:r w:rsidR="00EB1027" w:rsidRPr="00EB1027">
        <w:rPr>
          <w:i/>
          <w:iCs/>
        </w:rPr>
        <w:t xml:space="preserve"> the event of the trustees becoming “deadlocked” by an “equality of votes” on a matter of their decision, then that matter shall be decided by the casting vote of Govindsamy or his successor</w:t>
      </w:r>
      <w:r w:rsidR="00EB1027" w:rsidRPr="00EB1027">
        <w:t>.”    Counsel submitted that on an interpretation of that clause, another court will arrive at a different finding, in that before the casting vote by Govindsamy can be invoked there has to be a participation by the joint trustee, Rogini Chetty and only in a situation of deadlock would Govindsamy be able to exercise his casting vote.</w:t>
      </w:r>
    </w:p>
    <w:p w14:paraId="5D953281" w14:textId="4F30A6A4" w:rsidR="00EB1027" w:rsidRPr="00EB1027" w:rsidRDefault="00376978" w:rsidP="00376978">
      <w:pPr>
        <w:pStyle w:val="ListLevel1"/>
        <w:numPr>
          <w:ilvl w:val="0"/>
          <w:numId w:val="0"/>
        </w:numPr>
        <w:tabs>
          <w:tab w:val="left" w:pos="851"/>
        </w:tabs>
        <w:ind w:left="851" w:hanging="851"/>
      </w:pPr>
      <w:r w:rsidRPr="00EB1027">
        <w:t>6.</w:t>
      </w:r>
      <w:r w:rsidRPr="00EB1027">
        <w:tab/>
      </w:r>
      <w:r w:rsidR="00EB1027" w:rsidRPr="00EB1027">
        <w:t>The DVT attacks my judgment at 022-28 para 101, where I stated, “</w:t>
      </w:r>
      <w:r w:rsidR="00EB1027" w:rsidRPr="00EB1027">
        <w:rPr>
          <w:i/>
          <w:iCs/>
        </w:rPr>
        <w:t>the deed is clear Govindsamy holds the final authority in his casting vote, whether in a situation of a deadlock or otherwise.</w:t>
      </w:r>
      <w:r w:rsidR="00EB1027" w:rsidRPr="00EB1027">
        <w:rPr>
          <w:b/>
          <w:bCs/>
        </w:rPr>
        <w:t xml:space="preserve">  </w:t>
      </w:r>
      <w:r w:rsidR="00EB1027" w:rsidRPr="00EB1027">
        <w:t xml:space="preserve">Counsel submitted the “words or otherwise” are not in the deed and were imported by the court.  The casting vote can only be invoked where there is </w:t>
      </w:r>
      <w:r w:rsidR="00451463" w:rsidRPr="00EB1027">
        <w:t>deadlock,</w:t>
      </w:r>
      <w:r w:rsidR="00EB1027" w:rsidRPr="00EB1027">
        <w:t xml:space="preserve"> and it did not cater for any situation outside of a deadlock.  Another court on interpretation would differ from my judgment and there are reasonable prospects of success on this point.</w:t>
      </w:r>
    </w:p>
    <w:p w14:paraId="3FBF593A" w14:textId="0CBD2492" w:rsidR="00EB1027" w:rsidRPr="00EB1027" w:rsidRDefault="00376978" w:rsidP="00376978">
      <w:pPr>
        <w:pStyle w:val="ListLevel1"/>
        <w:numPr>
          <w:ilvl w:val="0"/>
          <w:numId w:val="0"/>
        </w:numPr>
        <w:tabs>
          <w:tab w:val="left" w:pos="851"/>
        </w:tabs>
        <w:ind w:left="851" w:hanging="851"/>
      </w:pPr>
      <w:r w:rsidRPr="00EB1027">
        <w:t>7.</w:t>
      </w:r>
      <w:r w:rsidRPr="00EB1027">
        <w:tab/>
      </w:r>
      <w:r w:rsidR="00EB1027" w:rsidRPr="00EB1027">
        <w:t>Moodley SC argued further, that one cannot simply invoke a casting vote to the exclusion of another trustee because it would make no sense.  Govindsamy could go out and bind the trust to the exclusion of the other joint trustee.  It would serve no purpose then to have another trustee.</w:t>
      </w:r>
    </w:p>
    <w:p w14:paraId="2ACEE229" w14:textId="0377246D" w:rsidR="00EB1027" w:rsidRPr="00EB1027" w:rsidRDefault="00376978" w:rsidP="00376978">
      <w:pPr>
        <w:pStyle w:val="ListLevel1"/>
        <w:numPr>
          <w:ilvl w:val="0"/>
          <w:numId w:val="0"/>
        </w:numPr>
        <w:tabs>
          <w:tab w:val="left" w:pos="851"/>
        </w:tabs>
        <w:ind w:left="851" w:hanging="851"/>
      </w:pPr>
      <w:r w:rsidRPr="00EB1027">
        <w:lastRenderedPageBreak/>
        <w:t>8.</w:t>
      </w:r>
      <w:r w:rsidRPr="00EB1027">
        <w:tab/>
      </w:r>
      <w:r w:rsidR="00EB1027" w:rsidRPr="00EB1027">
        <w:t>He referred to 7.3 of the deed and proffered that all trustees must participate in a vote. The decision would be taken by the majority.  F180’s argument is a patriarchal one, when Rogini could simply be ignored, she would have no purpose, which is incorrect. She has a purpose being included in the trust.</w:t>
      </w:r>
    </w:p>
    <w:p w14:paraId="5DC6FB6F" w14:textId="7AFAD2D5" w:rsidR="00EB1027" w:rsidRPr="00EB1027" w:rsidRDefault="00376978" w:rsidP="00376978">
      <w:pPr>
        <w:pStyle w:val="ListLevel1"/>
        <w:numPr>
          <w:ilvl w:val="0"/>
          <w:numId w:val="0"/>
        </w:numPr>
        <w:tabs>
          <w:tab w:val="left" w:pos="851"/>
        </w:tabs>
        <w:ind w:left="851" w:hanging="851"/>
      </w:pPr>
      <w:r w:rsidRPr="00EB1027">
        <w:t>9.</w:t>
      </w:r>
      <w:r w:rsidRPr="00EB1027">
        <w:tab/>
      </w:r>
      <w:r w:rsidR="00EB1027" w:rsidRPr="00EB1027">
        <w:t>By reference to the other clauses in the deed of trust, it clear that a written resolution must be in place to bind the trust.  F180 bears the onus to prove that a valid purchase and sale agreement was entered into.  They failed to prove that there was a written resolution.</w:t>
      </w:r>
    </w:p>
    <w:p w14:paraId="35A8C889" w14:textId="6E426586" w:rsidR="00EB1027" w:rsidRPr="00EB1027" w:rsidRDefault="00451463" w:rsidP="00EB1027">
      <w:pPr>
        <w:pStyle w:val="Heading2"/>
      </w:pPr>
      <w:r w:rsidRPr="00EB1027">
        <w:t>Alienation</w:t>
      </w:r>
      <w:r w:rsidR="00EB1027" w:rsidRPr="00EB1027">
        <w:t xml:space="preserve"> of Land – s 2(1) Act 68 of 1981</w:t>
      </w:r>
    </w:p>
    <w:p w14:paraId="2722093C" w14:textId="48297F06" w:rsidR="00EB1027" w:rsidRPr="00EB1027" w:rsidRDefault="00376978" w:rsidP="00376978">
      <w:pPr>
        <w:pStyle w:val="ListLevel1"/>
        <w:numPr>
          <w:ilvl w:val="0"/>
          <w:numId w:val="0"/>
        </w:numPr>
        <w:tabs>
          <w:tab w:val="left" w:pos="851"/>
        </w:tabs>
        <w:ind w:left="851" w:hanging="851"/>
      </w:pPr>
      <w:r w:rsidRPr="00EB1027">
        <w:t>10.</w:t>
      </w:r>
      <w:r w:rsidRPr="00EB1027">
        <w:tab/>
      </w:r>
      <w:r w:rsidR="00EB1027" w:rsidRPr="00EB1027">
        <w:t xml:space="preserve">F180 failed to comply with the provision of s 2(1) of the Alienation of Land Act 68 of </w:t>
      </w:r>
      <w:r w:rsidR="00451463" w:rsidRPr="00EB1027">
        <w:t>1981,</w:t>
      </w:r>
      <w:r w:rsidR="00EB1027" w:rsidRPr="00EB1027">
        <w:t xml:space="preserve"> which provides that all alienation of land must be authorised in writing.  There is no written authority that was given to Govindsamy Chetty, either my written resolution or any other written form by Rogini Chetty.  F180 failed to procure a resolution and therefore failed to comply with the peremptory provisions of the Alienation of Land Act.   The intention of this section is to ensure certainty and to avoid unnecessary litigation.  Counsel submitted that another court would find that the contract concluded was void ab initio, in that it did not comply with s 2(1) </w:t>
      </w:r>
      <w:r w:rsidR="00451463" w:rsidRPr="00EB1027">
        <w:t>of the</w:t>
      </w:r>
      <w:r w:rsidR="00EB1027" w:rsidRPr="00EB1027">
        <w:t xml:space="preserve"> Act,</w:t>
      </w:r>
    </w:p>
    <w:p w14:paraId="5FC917FD" w14:textId="1FCAF519" w:rsidR="00EB1027" w:rsidRPr="00EB1027" w:rsidRDefault="00376978" w:rsidP="00376978">
      <w:pPr>
        <w:pStyle w:val="ListLevel1"/>
        <w:numPr>
          <w:ilvl w:val="0"/>
          <w:numId w:val="0"/>
        </w:numPr>
        <w:tabs>
          <w:tab w:val="left" w:pos="851"/>
        </w:tabs>
        <w:ind w:left="851" w:hanging="851"/>
      </w:pPr>
      <w:r w:rsidRPr="00EB1027">
        <w:lastRenderedPageBreak/>
        <w:t>11.</w:t>
      </w:r>
      <w:r w:rsidRPr="00EB1027">
        <w:tab/>
      </w:r>
      <w:r w:rsidR="00EB1027" w:rsidRPr="00EB1027">
        <w:t>In my judgment</w:t>
      </w:r>
      <w:r w:rsidR="00EB1027" w:rsidRPr="00EB1027">
        <w:rPr>
          <w:rStyle w:val="FootnoteReference"/>
          <w:rFonts w:cs="Arial"/>
          <w:sz w:val="24"/>
          <w:szCs w:val="24"/>
        </w:rPr>
        <w:footnoteReference w:id="1"/>
      </w:r>
      <w:r w:rsidR="00EB1027" w:rsidRPr="00EB1027">
        <w:t xml:space="preserve"> I found that the necessary authority was in place, if one read the provisions of the trust deed, together with the letters of authority, noting that the deed was drafted when there were three trustees at th</w:t>
      </w:r>
      <w:r w:rsidR="007F2771">
        <w:t>at</w:t>
      </w:r>
      <w:r w:rsidR="00EB1027" w:rsidRPr="00EB1027">
        <w:t xml:space="preserve"> time, and the conduct of Govindsamy and his family members, in particular his son Mr Yolan Chetty, who was integrally involved in the negotiations to the conclusion of the purchase and sale agreement</w:t>
      </w:r>
      <w:r w:rsidR="007F2771">
        <w:t xml:space="preserve"> and the correspondences between the parties</w:t>
      </w:r>
      <w:r w:rsidR="00EB1027" w:rsidRPr="00EB1027">
        <w:t>.  In</w:t>
      </w:r>
      <w:r w:rsidR="007F2771">
        <w:t xml:space="preserve"> casu </w:t>
      </w:r>
      <w:r w:rsidR="00EB1027" w:rsidRPr="00EB1027">
        <w:t>th</w:t>
      </w:r>
      <w:r w:rsidR="007F2771">
        <w:t xml:space="preserve">e </w:t>
      </w:r>
      <w:r w:rsidR="00EB1027" w:rsidRPr="00EB1027">
        <w:t>context is important</w:t>
      </w:r>
      <w:r w:rsidR="007F2771">
        <w:t xml:space="preserve"> given that one of the trustees and another family member, not a trustee, were involved in the negotiations which led to the conclusion of  the agreement of sale. </w:t>
      </w:r>
      <w:r w:rsidR="00EB1027" w:rsidRPr="00EB1027">
        <w:t xml:space="preserve">  </w:t>
      </w:r>
    </w:p>
    <w:p w14:paraId="40AA32E8" w14:textId="2B84C6CA" w:rsidR="00EB1027" w:rsidRPr="00EB1027" w:rsidRDefault="00376978" w:rsidP="00376978">
      <w:pPr>
        <w:pStyle w:val="ListLevel1"/>
        <w:numPr>
          <w:ilvl w:val="0"/>
          <w:numId w:val="0"/>
        </w:numPr>
        <w:tabs>
          <w:tab w:val="left" w:pos="851"/>
        </w:tabs>
        <w:ind w:left="851" w:hanging="851"/>
      </w:pPr>
      <w:r w:rsidRPr="00EB1027">
        <w:t>12.</w:t>
      </w:r>
      <w:r w:rsidRPr="00EB1027">
        <w:tab/>
      </w:r>
      <w:r w:rsidR="00EB1027" w:rsidRPr="00EB1027">
        <w:t xml:space="preserve">At the hearing of this application, Mr Joseph of F180 submitted that his client relied on all the above factors and representations.  Counsel again referred the court to correspondence, dated 20 January 2021, signed by Govindsamy, which he submitted was </w:t>
      </w:r>
      <w:r w:rsidR="00451463" w:rsidRPr="00EB1027">
        <w:t>crucial, in</w:t>
      </w:r>
      <w:r w:rsidR="00EB1027" w:rsidRPr="00EB1027">
        <w:t xml:space="preserve"> that, for the most part in this letter, the reasons for cancellation was based on factors related to the economic conditions due to the pandemic.  He submitted that it is only in the last paragraph, that the DFT raised its issue on authority to bind the trust.  Counsel argued that that is telling, and when one considers the import of that paragraph, the authority is cl</w:t>
      </w:r>
      <w:r w:rsidR="007F2771">
        <w:t>e</w:t>
      </w:r>
      <w:r w:rsidR="00EB1027" w:rsidRPr="00EB1027">
        <w:t>ar.</w:t>
      </w:r>
    </w:p>
    <w:p w14:paraId="5C6FBAA2" w14:textId="130114B9" w:rsidR="00EB1027" w:rsidRPr="00EB1027" w:rsidRDefault="00376978" w:rsidP="00376978">
      <w:pPr>
        <w:pStyle w:val="ListLevel2"/>
        <w:numPr>
          <w:ilvl w:val="0"/>
          <w:numId w:val="0"/>
        </w:numPr>
        <w:tabs>
          <w:tab w:val="left" w:pos="1701"/>
        </w:tabs>
        <w:ind w:left="1702" w:hanging="851"/>
      </w:pPr>
      <w:r w:rsidRPr="00EB1027">
        <w:lastRenderedPageBreak/>
        <w:t>12.1.</w:t>
      </w:r>
      <w:r w:rsidRPr="00EB1027">
        <w:tab/>
      </w:r>
      <w:r w:rsidR="00EB1027" w:rsidRPr="00EB1027">
        <w:t>In the last paragraph Mr Govindsamy Chetty stated:</w:t>
      </w:r>
    </w:p>
    <w:p w14:paraId="4557B636" w14:textId="77777777" w:rsidR="00EB1027" w:rsidRPr="00EB1027" w:rsidRDefault="00EB1027" w:rsidP="00EB1027">
      <w:pPr>
        <w:pStyle w:val="MSQuote"/>
        <w:ind w:left="3005" w:hanging="1134"/>
      </w:pPr>
      <w:r w:rsidRPr="00EB1027">
        <w:tab/>
        <w:t>“13.</w:t>
      </w:r>
      <w:r w:rsidRPr="00EB1027">
        <w:tab/>
        <w:t xml:space="preserve">Finally, I point out that no resolution was obtained from the trustees of the Devrog Family Trust </w:t>
      </w:r>
      <w:r w:rsidRPr="00EB1027">
        <w:rPr>
          <w:u w:val="single"/>
        </w:rPr>
        <w:t>‘when the addendum”,</w:t>
      </w:r>
      <w:r w:rsidRPr="00EB1027">
        <w:t xml:space="preserve"> to the agreement was concluded and the agreement is also cancelled on that basis.” </w:t>
      </w:r>
      <w:r w:rsidRPr="00EB1027">
        <w:rPr>
          <w:rStyle w:val="FootnoteReference"/>
          <w:rFonts w:cs="Arial"/>
          <w:sz w:val="24"/>
          <w:szCs w:val="24"/>
        </w:rPr>
        <w:footnoteReference w:id="2"/>
      </w:r>
    </w:p>
    <w:p w14:paraId="50F61BE5" w14:textId="5481CF78" w:rsidR="00EB1027" w:rsidRPr="00EB1027" w:rsidRDefault="00376978" w:rsidP="00376978">
      <w:pPr>
        <w:pStyle w:val="ListLevel1"/>
        <w:numPr>
          <w:ilvl w:val="0"/>
          <w:numId w:val="0"/>
        </w:numPr>
        <w:tabs>
          <w:tab w:val="left" w:pos="851"/>
        </w:tabs>
        <w:ind w:left="851" w:hanging="851"/>
      </w:pPr>
      <w:r w:rsidRPr="00EB1027">
        <w:t>13.</w:t>
      </w:r>
      <w:r w:rsidRPr="00EB1027">
        <w:tab/>
      </w:r>
      <w:r w:rsidR="00EB1027" w:rsidRPr="00EB1027">
        <w:t>Mr Joseph persisted with his argument that that paragraph, was the only way that the DFT could avail itself of the finding in the Goldex case.</w:t>
      </w:r>
      <w:r w:rsidR="00EB1027" w:rsidRPr="00EB1027">
        <w:rPr>
          <w:rStyle w:val="FootnoteReference"/>
          <w:rFonts w:cs="Arial"/>
          <w:sz w:val="24"/>
          <w:szCs w:val="24"/>
        </w:rPr>
        <w:footnoteReference w:id="3"/>
      </w:r>
    </w:p>
    <w:p w14:paraId="39B87565" w14:textId="0FD51020" w:rsidR="007F1156" w:rsidRDefault="00376978" w:rsidP="00376978">
      <w:pPr>
        <w:pStyle w:val="ListLevel1"/>
        <w:numPr>
          <w:ilvl w:val="0"/>
          <w:numId w:val="0"/>
        </w:numPr>
        <w:tabs>
          <w:tab w:val="left" w:pos="851"/>
        </w:tabs>
        <w:ind w:left="851" w:hanging="851"/>
      </w:pPr>
      <w:r>
        <w:t>14.</w:t>
      </w:r>
      <w:r>
        <w:tab/>
      </w:r>
      <w:r w:rsidR="00EB1027" w:rsidRPr="00EB1027">
        <w:t xml:space="preserve">Mr Joseph, argued that it is clear Mr Chetty had the necessary authority </w:t>
      </w:r>
      <w:r w:rsidR="007F1156">
        <w:t xml:space="preserve">to conclude </w:t>
      </w:r>
      <w:r w:rsidR="00EB1027" w:rsidRPr="00EB1027">
        <w:t xml:space="preserve">the main agreement.  The addendum pertained only to the terms of payment for the balance of the purchase price. </w:t>
      </w:r>
    </w:p>
    <w:p w14:paraId="0C98F7B6" w14:textId="574BBE6C" w:rsidR="00EB1027" w:rsidRPr="00EB1027" w:rsidRDefault="00376978" w:rsidP="00376978">
      <w:pPr>
        <w:pStyle w:val="ListLevel2"/>
        <w:numPr>
          <w:ilvl w:val="0"/>
          <w:numId w:val="0"/>
        </w:numPr>
        <w:tabs>
          <w:tab w:val="left" w:pos="1701"/>
        </w:tabs>
        <w:ind w:left="1702" w:hanging="851"/>
      </w:pPr>
      <w:r w:rsidRPr="00EB1027">
        <w:t>14.1.</w:t>
      </w:r>
      <w:r w:rsidRPr="00EB1027">
        <w:tab/>
      </w:r>
      <w:r w:rsidR="00EB1027" w:rsidRPr="00EB1027">
        <w:t>Counsel proffered that any other interpretation, would lead one to conclude, that Govindsamy Chetty, on conclu</w:t>
      </w:r>
      <w:r w:rsidR="007F1156">
        <w:t xml:space="preserve">sion of </w:t>
      </w:r>
      <w:r w:rsidR="00EB1027" w:rsidRPr="00EB1027">
        <w:t>this agreement had perpetrated a fraud</w:t>
      </w:r>
      <w:r w:rsidR="007F1156">
        <w:t>,</w:t>
      </w:r>
      <w:r w:rsidR="00EB1027" w:rsidRPr="00EB1027">
        <w:t xml:space="preserve"> on the trust, on Rogini and on the F180. </w:t>
      </w:r>
    </w:p>
    <w:p w14:paraId="6363BA96" w14:textId="0EA1266C" w:rsidR="00EB1027" w:rsidRPr="00EB1027" w:rsidRDefault="00376978" w:rsidP="00376978">
      <w:pPr>
        <w:pStyle w:val="ListLevel1"/>
        <w:numPr>
          <w:ilvl w:val="0"/>
          <w:numId w:val="0"/>
        </w:numPr>
        <w:tabs>
          <w:tab w:val="left" w:pos="851"/>
        </w:tabs>
        <w:ind w:left="851" w:hanging="851"/>
      </w:pPr>
      <w:r w:rsidRPr="00EB1027">
        <w:t>15.</w:t>
      </w:r>
      <w:r w:rsidRPr="00EB1027">
        <w:tab/>
      </w:r>
      <w:r w:rsidR="00EB1027" w:rsidRPr="00EB1027">
        <w:t xml:space="preserve">Mr Joseph reminded the court that the DFT has stated that it has been involved in various businesses over many years.   Mr Chetty was an astute </w:t>
      </w:r>
      <w:r w:rsidR="00451463" w:rsidRPr="00EB1027">
        <w:t>businessman;</w:t>
      </w:r>
      <w:r w:rsidR="00EB1027" w:rsidRPr="00EB1027">
        <w:t xml:space="preserve"> he would have known the provisions of the deed </w:t>
      </w:r>
      <w:r w:rsidR="00EB1027" w:rsidRPr="00EB1027">
        <w:lastRenderedPageBreak/>
        <w:t xml:space="preserve">of trust and as Chairman of the Trust he would have known the import of holding a casting vote and only </w:t>
      </w:r>
      <w:r w:rsidR="007F1156">
        <w:t xml:space="preserve">one other </w:t>
      </w:r>
      <w:r w:rsidR="00EB1027" w:rsidRPr="00EB1027">
        <w:t xml:space="preserve">trustee.  Mr Joseph persisted with his argument that Govindsamy Chetty held two votes, sufficient to bind the trust, without Rogini, he agreed with the finding at paragraph 100 of </w:t>
      </w:r>
      <w:r w:rsidR="007F1156">
        <w:t xml:space="preserve">the </w:t>
      </w:r>
      <w:r w:rsidR="00EB1027" w:rsidRPr="00EB1027">
        <w:t>judgment.</w:t>
      </w:r>
    </w:p>
    <w:p w14:paraId="03F9F28C" w14:textId="77777777" w:rsidR="00EB1027" w:rsidRPr="00EB1027" w:rsidRDefault="00EB1027" w:rsidP="00EB1027">
      <w:pPr>
        <w:pStyle w:val="Heading2"/>
      </w:pPr>
      <w:r w:rsidRPr="00EB1027">
        <w:t>Cancellation – supervening impossibility of performance</w:t>
      </w:r>
    </w:p>
    <w:p w14:paraId="26DAA779" w14:textId="08F3DE3B" w:rsidR="00EB1027" w:rsidRPr="00EB1027" w:rsidRDefault="00376978" w:rsidP="00376978">
      <w:pPr>
        <w:pStyle w:val="ListLevel1"/>
        <w:numPr>
          <w:ilvl w:val="0"/>
          <w:numId w:val="0"/>
        </w:numPr>
        <w:tabs>
          <w:tab w:val="left" w:pos="851"/>
        </w:tabs>
        <w:ind w:left="851" w:hanging="851"/>
      </w:pPr>
      <w:r w:rsidRPr="00EB1027">
        <w:t>16.</w:t>
      </w:r>
      <w:r w:rsidRPr="00EB1027">
        <w:tab/>
      </w:r>
      <w:r w:rsidR="00EB1027" w:rsidRPr="00EB1027">
        <w:t xml:space="preserve">I found that the DFT did not lay a factual or legal basis </w:t>
      </w:r>
      <w:r w:rsidR="007F1156">
        <w:t xml:space="preserve">for </w:t>
      </w:r>
      <w:r w:rsidR="00EB1027" w:rsidRPr="00EB1027">
        <w:t>this defence.</w:t>
      </w:r>
      <w:r w:rsidR="00EB1027" w:rsidRPr="00EB1027">
        <w:tab/>
      </w:r>
    </w:p>
    <w:p w14:paraId="2D5792CB" w14:textId="4ECF7CCF" w:rsidR="00EB1027" w:rsidRPr="00EB1027" w:rsidRDefault="00376978" w:rsidP="00376978">
      <w:pPr>
        <w:pStyle w:val="ListLevel1"/>
        <w:numPr>
          <w:ilvl w:val="0"/>
          <w:numId w:val="0"/>
        </w:numPr>
        <w:tabs>
          <w:tab w:val="left" w:pos="851"/>
        </w:tabs>
        <w:ind w:left="851" w:hanging="851"/>
      </w:pPr>
      <w:r w:rsidRPr="00EB1027">
        <w:t>17.</w:t>
      </w:r>
      <w:r w:rsidRPr="00EB1027">
        <w:tab/>
      </w:r>
      <w:r w:rsidR="00EB1027" w:rsidRPr="00EB1027">
        <w:t>Moodley SC argued that the cancellation of the contract due to impossibility of performance arising from the challenges posed by the pandemic, is a very valid point</w:t>
      </w:r>
      <w:r w:rsidR="007F1156">
        <w:t xml:space="preserve">.  He submitted it is </w:t>
      </w:r>
      <w:r w:rsidR="00EB1027" w:rsidRPr="00EB1027">
        <w:t xml:space="preserve">“novel” and therefor open for another court to arrive at a different decision.  </w:t>
      </w:r>
    </w:p>
    <w:p w14:paraId="13A73450" w14:textId="2FC5B578" w:rsidR="00EB1027" w:rsidRPr="00EB1027" w:rsidRDefault="00376978" w:rsidP="00376978">
      <w:pPr>
        <w:pStyle w:val="ListLevel1"/>
        <w:numPr>
          <w:ilvl w:val="0"/>
          <w:numId w:val="0"/>
        </w:numPr>
        <w:tabs>
          <w:tab w:val="left" w:pos="851"/>
        </w:tabs>
        <w:ind w:left="851" w:hanging="851"/>
      </w:pPr>
      <w:r w:rsidRPr="00EB1027">
        <w:t>18.</w:t>
      </w:r>
      <w:r w:rsidRPr="00EB1027">
        <w:tab/>
      </w:r>
      <w:r w:rsidR="00EB1027" w:rsidRPr="00EB1027">
        <w:t>Mr Joseph submitted that the court has only the say so of the DFT, there was no substantiation of the defence, the DFT did very little to prove the impossibility.</w:t>
      </w:r>
    </w:p>
    <w:p w14:paraId="108EAE3E" w14:textId="77777777" w:rsidR="00EB1027" w:rsidRPr="00EB1027" w:rsidRDefault="00EB1027" w:rsidP="00EB1027">
      <w:pPr>
        <w:pStyle w:val="Heading2"/>
      </w:pPr>
      <w:r w:rsidRPr="00EB1027">
        <w:lastRenderedPageBreak/>
        <w:t>In Limine -non joinder</w:t>
      </w:r>
    </w:p>
    <w:p w14:paraId="4CBF3772" w14:textId="24D8E494" w:rsidR="00EB1027" w:rsidRPr="00EB1027" w:rsidRDefault="00376978" w:rsidP="00376978">
      <w:pPr>
        <w:pStyle w:val="ListLevel1"/>
        <w:numPr>
          <w:ilvl w:val="0"/>
          <w:numId w:val="0"/>
        </w:numPr>
        <w:tabs>
          <w:tab w:val="left" w:pos="851"/>
        </w:tabs>
        <w:ind w:left="851" w:hanging="851"/>
      </w:pPr>
      <w:r w:rsidRPr="00EB1027">
        <w:t>19.</w:t>
      </w:r>
      <w:r w:rsidRPr="00EB1027">
        <w:tab/>
      </w:r>
      <w:r w:rsidR="00EB1027" w:rsidRPr="00EB1027">
        <w:t xml:space="preserve">Moodley SC persisted with the DFT’s non joinder point, in limine and argued that the trust cannot act on its own it requires the assistance of the trustees to litigate.  They must be cited individually.  </w:t>
      </w:r>
    </w:p>
    <w:p w14:paraId="5EBEEFB9" w14:textId="4B1FFA7A" w:rsidR="00EB1027" w:rsidRPr="00EB1027" w:rsidRDefault="00376978" w:rsidP="00376978">
      <w:pPr>
        <w:pStyle w:val="ListLevel1"/>
        <w:numPr>
          <w:ilvl w:val="0"/>
          <w:numId w:val="0"/>
        </w:numPr>
        <w:tabs>
          <w:tab w:val="left" w:pos="851"/>
        </w:tabs>
        <w:ind w:left="851" w:hanging="851"/>
      </w:pPr>
      <w:r w:rsidRPr="00EB1027">
        <w:t>20.</w:t>
      </w:r>
      <w:r w:rsidRPr="00EB1027">
        <w:tab/>
      </w:r>
      <w:r w:rsidR="00EB1027">
        <w:t>I</w:t>
      </w:r>
      <w:r w:rsidR="00EB1027" w:rsidRPr="00EB1027">
        <w:t xml:space="preserve">n my judgment I found that given that the DFT addressed “issues on the papers </w:t>
      </w:r>
      <w:r w:rsidR="00EB1027" w:rsidRPr="00EB1027">
        <w:rPr>
          <w:u w:val="single"/>
        </w:rPr>
        <w:t>and sought relief</w:t>
      </w:r>
      <w:r w:rsidR="00EB1027" w:rsidRPr="00EB1027">
        <w:t>”, logically it accepted that all parties were properly before the court. [my emphasis].</w:t>
      </w:r>
    </w:p>
    <w:p w14:paraId="5DFF67D8" w14:textId="7485C693" w:rsidR="00EB1027" w:rsidRPr="00EB1027" w:rsidRDefault="00376978" w:rsidP="00376978">
      <w:pPr>
        <w:pStyle w:val="ListLevel2"/>
        <w:numPr>
          <w:ilvl w:val="0"/>
          <w:numId w:val="0"/>
        </w:numPr>
        <w:tabs>
          <w:tab w:val="left" w:pos="1701"/>
        </w:tabs>
        <w:ind w:left="1702" w:hanging="851"/>
      </w:pPr>
      <w:r w:rsidRPr="00EB1027">
        <w:t>20.1.</w:t>
      </w:r>
      <w:r w:rsidRPr="00EB1027">
        <w:tab/>
      </w:r>
      <w:r w:rsidR="00EB1027" w:rsidRPr="00EB1027">
        <w:tab/>
        <w:t>Counsel argued that it was obliged to plead over as it correctly did, a litigant cannot simply ignore the other points raised.</w:t>
      </w:r>
    </w:p>
    <w:p w14:paraId="2A3FA8EE" w14:textId="44B87C4F" w:rsidR="00EB1027" w:rsidRPr="00EB1027" w:rsidRDefault="00376978" w:rsidP="00376978">
      <w:pPr>
        <w:pStyle w:val="ListLevel2"/>
        <w:numPr>
          <w:ilvl w:val="0"/>
          <w:numId w:val="0"/>
        </w:numPr>
        <w:tabs>
          <w:tab w:val="left" w:pos="1701"/>
        </w:tabs>
        <w:ind w:left="1702" w:hanging="851"/>
      </w:pPr>
      <w:r w:rsidRPr="00EB1027">
        <w:t>20.2.</w:t>
      </w:r>
      <w:r w:rsidRPr="00EB1027">
        <w:tab/>
      </w:r>
      <w:r w:rsidR="00EB1027" w:rsidRPr="00EB1027">
        <w:tab/>
        <w:t>Mr Joseph conceded that the trustees were not individually cited in the “heading” to the papers, but each trustee was cited in the papers and the papers were served on each of the trustees.  To view this otherwise, would simply be a case of the proverbial, “form over substance.”</w:t>
      </w:r>
    </w:p>
    <w:p w14:paraId="674075AB" w14:textId="77777777" w:rsidR="00EB1027" w:rsidRPr="00EB1027" w:rsidRDefault="00EB1027" w:rsidP="00EB1027">
      <w:pPr>
        <w:pStyle w:val="Heading2"/>
      </w:pPr>
      <w:r w:rsidRPr="00EB1027">
        <w:t>In Limine- authority to act</w:t>
      </w:r>
    </w:p>
    <w:p w14:paraId="2EEF1EB4" w14:textId="7990D7EC" w:rsidR="00EB1027" w:rsidRPr="00EB1027" w:rsidRDefault="00376978" w:rsidP="00376978">
      <w:pPr>
        <w:pStyle w:val="ListLevel1"/>
        <w:numPr>
          <w:ilvl w:val="0"/>
          <w:numId w:val="0"/>
        </w:numPr>
        <w:tabs>
          <w:tab w:val="left" w:pos="851"/>
        </w:tabs>
        <w:ind w:left="851" w:hanging="851"/>
      </w:pPr>
      <w:r w:rsidRPr="00EB1027">
        <w:t>21.</w:t>
      </w:r>
      <w:r w:rsidRPr="00EB1027">
        <w:tab/>
      </w:r>
      <w:r w:rsidR="00EB1027" w:rsidRPr="00EB1027">
        <w:t xml:space="preserve">Moodley SC furthermore, argued that Mr Gottschalk’s authority was not confirmed upon institution of the proceedings.  He failed to state in his </w:t>
      </w:r>
      <w:r w:rsidR="00EB1027" w:rsidRPr="00EB1027">
        <w:lastRenderedPageBreak/>
        <w:t xml:space="preserve">affidavit that “he was duly authorised to depose on behalf of the respondents. </w:t>
      </w:r>
    </w:p>
    <w:p w14:paraId="2679A35A" w14:textId="013C18D2" w:rsidR="00EB1027" w:rsidRPr="00EB1027" w:rsidRDefault="00376978" w:rsidP="00376978">
      <w:pPr>
        <w:pStyle w:val="ListLevel2"/>
        <w:numPr>
          <w:ilvl w:val="0"/>
          <w:numId w:val="0"/>
        </w:numPr>
        <w:tabs>
          <w:tab w:val="left" w:pos="1701"/>
        </w:tabs>
        <w:ind w:left="1702" w:hanging="851"/>
      </w:pPr>
      <w:r w:rsidRPr="00EB1027">
        <w:t>21.1.</w:t>
      </w:r>
      <w:r w:rsidRPr="00EB1027">
        <w:tab/>
      </w:r>
      <w:r w:rsidR="00EB1027" w:rsidRPr="00EB1027">
        <w:t>Counsel argued further that the attorneys ignored a Rule 7</w:t>
      </w:r>
      <w:r w:rsidR="007F1156">
        <w:t>(1)</w:t>
      </w:r>
      <w:r w:rsidR="00EB1027" w:rsidRPr="00EB1027">
        <w:t xml:space="preserve"> notice and only later in its reply annexed what purported to be a resolution taken authorising him.  This does not cure the defect.  It is a defective resolution by F180.</w:t>
      </w:r>
    </w:p>
    <w:p w14:paraId="237C83DF" w14:textId="4147F984" w:rsidR="00EB1027" w:rsidRPr="00EB1027" w:rsidRDefault="00376978" w:rsidP="00376978">
      <w:pPr>
        <w:pStyle w:val="ListLevel1"/>
        <w:numPr>
          <w:ilvl w:val="0"/>
          <w:numId w:val="0"/>
        </w:numPr>
        <w:tabs>
          <w:tab w:val="left" w:pos="851"/>
        </w:tabs>
        <w:ind w:left="851" w:hanging="851"/>
      </w:pPr>
      <w:r w:rsidRPr="00EB1027">
        <w:t>22.</w:t>
      </w:r>
      <w:r w:rsidRPr="00EB1027">
        <w:tab/>
      </w:r>
      <w:r w:rsidR="00EB1027" w:rsidRPr="00EB1027">
        <w:t>Mr Joseph argued that the authority was implicit in the papers and the resolution was annexed to the replying affidavit, which must be seen as a reply to the R7(1) notice.</w:t>
      </w:r>
    </w:p>
    <w:p w14:paraId="7ADBC31F" w14:textId="3D42A886" w:rsidR="00EB1027" w:rsidRPr="00EB1027" w:rsidRDefault="00376978" w:rsidP="00376978">
      <w:pPr>
        <w:pStyle w:val="ListLevel1"/>
        <w:numPr>
          <w:ilvl w:val="0"/>
          <w:numId w:val="0"/>
        </w:numPr>
        <w:tabs>
          <w:tab w:val="left" w:pos="851"/>
        </w:tabs>
        <w:ind w:left="851" w:hanging="851"/>
      </w:pPr>
      <w:r w:rsidRPr="00EB1027">
        <w:t>23.</w:t>
      </w:r>
      <w:r w:rsidRPr="00EB1027">
        <w:tab/>
      </w:r>
      <w:r w:rsidR="00EB1027" w:rsidRPr="00EB1027">
        <w:t>I remain of the view that not much turns on this point, the authority was implicit in the founding papers and the DFT has continued to “engage” in the litigation.  The DFT could have resorted to the Rules earlier, if it was prejudiced.</w:t>
      </w:r>
    </w:p>
    <w:p w14:paraId="5BD9768B" w14:textId="0D241B94" w:rsidR="00EB1027" w:rsidRPr="00EB1027" w:rsidRDefault="00376978" w:rsidP="00376978">
      <w:pPr>
        <w:pStyle w:val="ListLevel1"/>
        <w:numPr>
          <w:ilvl w:val="0"/>
          <w:numId w:val="0"/>
        </w:numPr>
        <w:tabs>
          <w:tab w:val="left" w:pos="851"/>
        </w:tabs>
        <w:ind w:left="851" w:hanging="851"/>
      </w:pPr>
      <w:r w:rsidRPr="00EB1027">
        <w:t>24.</w:t>
      </w:r>
      <w:r w:rsidRPr="00EB1027">
        <w:tab/>
      </w:r>
      <w:r w:rsidR="00EB1027" w:rsidRPr="00EB1027">
        <w:t xml:space="preserve">I considered Moodley SC’s arguments based on “a matter for interpretation of the provisions of the deed of trust,” and </w:t>
      </w:r>
      <w:r w:rsidR="00245B85">
        <w:t xml:space="preserve">that the defence it relies on to cancel the agreement as being </w:t>
      </w:r>
      <w:r w:rsidR="00451463" w:rsidRPr="00EB1027">
        <w:t>“a</w:t>
      </w:r>
      <w:r w:rsidR="00EB1027" w:rsidRPr="00EB1027">
        <w:t xml:space="preserve"> novel point”</w:t>
      </w:r>
      <w:r w:rsidR="007F1156">
        <w:t xml:space="preserve">.  I think it in the interest of justice that the two issues be </w:t>
      </w:r>
      <w:r w:rsidR="00596C97">
        <w:t xml:space="preserve">further ventilated. </w:t>
      </w:r>
      <w:r w:rsidR="00EB1027" w:rsidRPr="00EB1027">
        <w:t xml:space="preserve">  </w:t>
      </w:r>
    </w:p>
    <w:p w14:paraId="40A59D1F" w14:textId="5138DA86" w:rsidR="00EB1027" w:rsidRPr="00EB1027" w:rsidRDefault="00376978" w:rsidP="00376978">
      <w:pPr>
        <w:pStyle w:val="ListLevel1"/>
        <w:numPr>
          <w:ilvl w:val="0"/>
          <w:numId w:val="0"/>
        </w:numPr>
        <w:tabs>
          <w:tab w:val="left" w:pos="851"/>
        </w:tabs>
        <w:ind w:left="851" w:hanging="851"/>
      </w:pPr>
      <w:r w:rsidRPr="00EB1027">
        <w:t>25.</w:t>
      </w:r>
      <w:r w:rsidRPr="00EB1027">
        <w:tab/>
      </w:r>
      <w:r w:rsidR="00EB1027" w:rsidRPr="00EB1027">
        <w:t>I grant this application for leave to appeal on the:</w:t>
      </w:r>
    </w:p>
    <w:p w14:paraId="2C8973F2" w14:textId="138E32A0" w:rsidR="00EB1027" w:rsidRPr="00EB1027" w:rsidRDefault="00376978" w:rsidP="00376978">
      <w:pPr>
        <w:pStyle w:val="ListLevel2"/>
        <w:numPr>
          <w:ilvl w:val="0"/>
          <w:numId w:val="0"/>
        </w:numPr>
        <w:tabs>
          <w:tab w:val="left" w:pos="1701"/>
        </w:tabs>
        <w:ind w:left="1702" w:hanging="851"/>
      </w:pPr>
      <w:r w:rsidRPr="00EB1027">
        <w:lastRenderedPageBreak/>
        <w:t>25.1.</w:t>
      </w:r>
      <w:r w:rsidRPr="00EB1027">
        <w:tab/>
      </w:r>
      <w:r w:rsidR="00EB1027" w:rsidRPr="00EB1027">
        <w:t xml:space="preserve">Issue of the written authority to bind the trust, </w:t>
      </w:r>
      <w:r w:rsidR="00596C97">
        <w:t xml:space="preserve">and </w:t>
      </w:r>
      <w:r w:rsidR="00EB1027" w:rsidRPr="00EB1027">
        <w:t>the</w:t>
      </w:r>
    </w:p>
    <w:p w14:paraId="3031E1E8" w14:textId="3175E991" w:rsidR="00EB1027" w:rsidRPr="00EB1027" w:rsidRDefault="00376978" w:rsidP="00376978">
      <w:pPr>
        <w:pStyle w:val="ListLevel2"/>
        <w:numPr>
          <w:ilvl w:val="0"/>
          <w:numId w:val="0"/>
        </w:numPr>
        <w:tabs>
          <w:tab w:val="left" w:pos="1701"/>
        </w:tabs>
        <w:ind w:left="1702" w:hanging="851"/>
      </w:pPr>
      <w:r w:rsidRPr="00EB1027">
        <w:t>25.2.</w:t>
      </w:r>
      <w:r w:rsidRPr="00EB1027">
        <w:tab/>
      </w:r>
      <w:r w:rsidR="00EB1027" w:rsidRPr="00EB1027">
        <w:tab/>
        <w:t xml:space="preserve">cancellation of the agreement based on the defence of a supervening impossibility of performance, due to the Covid 19 pandemic and its impact on </w:t>
      </w:r>
      <w:r w:rsidR="00451463" w:rsidRPr="00EB1027">
        <w:t xml:space="preserve">DFT’s </w:t>
      </w:r>
      <w:r w:rsidR="00596C97">
        <w:t xml:space="preserve">continued ability to do </w:t>
      </w:r>
      <w:r w:rsidR="00451463" w:rsidRPr="00EB1027">
        <w:t>business</w:t>
      </w:r>
      <w:r w:rsidR="00EB1027" w:rsidRPr="00EB1027">
        <w:t xml:space="preserve">. </w:t>
      </w:r>
    </w:p>
    <w:p w14:paraId="04B456B4" w14:textId="0F6952CE" w:rsidR="00EB1027" w:rsidRPr="00EB1027" w:rsidRDefault="00451463" w:rsidP="00EB1027">
      <w:pPr>
        <w:pStyle w:val="ListLevel1"/>
        <w:numPr>
          <w:ilvl w:val="0"/>
          <w:numId w:val="0"/>
        </w:numPr>
        <w:ind w:left="851" w:hanging="851"/>
      </w:pPr>
      <w:r w:rsidRPr="00EB1027">
        <w:t>Accordingly,</w:t>
      </w:r>
      <w:r w:rsidR="00EB1027" w:rsidRPr="00EB1027">
        <w:t xml:space="preserve"> I make the following order:</w:t>
      </w:r>
    </w:p>
    <w:p w14:paraId="156EED91" w14:textId="7838ADF1" w:rsidR="00EB1027" w:rsidRPr="00EB1027" w:rsidRDefault="00376978" w:rsidP="00376978">
      <w:pPr>
        <w:pStyle w:val="ListLevel1"/>
        <w:numPr>
          <w:ilvl w:val="0"/>
          <w:numId w:val="0"/>
        </w:numPr>
        <w:tabs>
          <w:tab w:val="left" w:pos="851"/>
        </w:tabs>
        <w:ind w:left="851" w:hanging="851"/>
      </w:pPr>
      <w:r w:rsidRPr="00EB1027">
        <w:t>1.</w:t>
      </w:r>
      <w:r w:rsidRPr="00EB1027">
        <w:tab/>
      </w:r>
      <w:r w:rsidR="00EB1027" w:rsidRPr="00EB1027">
        <w:t>Leave to appeal is granted to the Full Bench of the Gauteng Division, of the High Court, Johannesburg.</w:t>
      </w:r>
    </w:p>
    <w:p w14:paraId="5B9C93AA" w14:textId="79CE3E4B" w:rsidR="00EB1027" w:rsidRPr="00EB1027" w:rsidRDefault="00376978" w:rsidP="00376978">
      <w:pPr>
        <w:pStyle w:val="ListLevel1"/>
        <w:numPr>
          <w:ilvl w:val="0"/>
          <w:numId w:val="0"/>
        </w:numPr>
        <w:tabs>
          <w:tab w:val="left" w:pos="851"/>
        </w:tabs>
        <w:ind w:left="851" w:hanging="851"/>
      </w:pPr>
      <w:r w:rsidRPr="00EB1027">
        <w:t>2</w:t>
      </w:r>
      <w:bookmarkStart w:id="3" w:name="_GoBack"/>
      <w:bookmarkEnd w:id="3"/>
      <w:r w:rsidRPr="00EB1027">
        <w:t>.</w:t>
      </w:r>
      <w:r w:rsidRPr="00EB1027">
        <w:tab/>
      </w:r>
      <w:r w:rsidR="00EB1027" w:rsidRPr="00EB1027">
        <w:t>Costs are to be in the appeal.</w:t>
      </w:r>
    </w:p>
    <w:p w14:paraId="4632BDF7" w14:textId="11FCAB61" w:rsidR="0045222A" w:rsidRPr="00EB1027" w:rsidRDefault="0045222A" w:rsidP="0045222A">
      <w:pPr>
        <w:spacing w:line="480" w:lineRule="auto"/>
        <w:rPr>
          <w:rFonts w:ascii="Arial" w:hAnsi="Arial" w:cs="Arial"/>
          <w:sz w:val="24"/>
          <w:szCs w:val="24"/>
        </w:rPr>
      </w:pPr>
    </w:p>
    <w:p w14:paraId="23AE890B" w14:textId="77777777" w:rsidR="0045222A" w:rsidRPr="00EB1027" w:rsidRDefault="0045222A" w:rsidP="00252D88">
      <w:pPr>
        <w:spacing w:after="0" w:line="240" w:lineRule="auto"/>
        <w:rPr>
          <w:rFonts w:ascii="Arial" w:hAnsi="Arial" w:cs="Arial"/>
          <w:sz w:val="24"/>
          <w:szCs w:val="24"/>
        </w:rPr>
      </w:pPr>
      <w:r w:rsidRPr="00EB1027">
        <w:rPr>
          <w:rFonts w:ascii="Arial" w:hAnsi="Arial" w:cs="Arial"/>
          <w:sz w:val="24"/>
          <w:szCs w:val="24"/>
        </w:rPr>
        <w:t>__________</w:t>
      </w:r>
    </w:p>
    <w:p w14:paraId="79CC3C71" w14:textId="0B32A2A2" w:rsidR="0045222A" w:rsidRPr="00EB1027" w:rsidRDefault="0045222A" w:rsidP="00252D88">
      <w:pPr>
        <w:spacing w:after="0" w:line="240" w:lineRule="auto"/>
        <w:rPr>
          <w:rFonts w:ascii="Arial" w:hAnsi="Arial" w:cs="Arial"/>
          <w:b/>
          <w:bCs/>
          <w:sz w:val="24"/>
          <w:szCs w:val="24"/>
        </w:rPr>
      </w:pPr>
      <w:r w:rsidRPr="00EB1027">
        <w:rPr>
          <w:rFonts w:ascii="Arial" w:hAnsi="Arial" w:cs="Arial"/>
          <w:b/>
          <w:bCs/>
          <w:sz w:val="24"/>
          <w:szCs w:val="24"/>
        </w:rPr>
        <w:t>MAHOMED AJ</w:t>
      </w:r>
    </w:p>
    <w:p w14:paraId="14B36DE4" w14:textId="77777777" w:rsidR="00252D88" w:rsidRPr="00EB1027" w:rsidRDefault="00252D88" w:rsidP="00252D88">
      <w:pPr>
        <w:pStyle w:val="ListLevel1"/>
        <w:numPr>
          <w:ilvl w:val="0"/>
          <w:numId w:val="0"/>
        </w:numPr>
        <w:spacing w:after="0" w:line="240" w:lineRule="auto"/>
        <w:rPr>
          <w:rFonts w:cs="Arial"/>
          <w:sz w:val="24"/>
          <w:szCs w:val="24"/>
        </w:rPr>
      </w:pPr>
      <w:r w:rsidRPr="00EB1027">
        <w:rPr>
          <w:rFonts w:cs="Arial"/>
          <w:sz w:val="24"/>
          <w:szCs w:val="24"/>
        </w:rPr>
        <w:t>Acting Judge of the High Court</w:t>
      </w:r>
    </w:p>
    <w:p w14:paraId="428B7C06" w14:textId="77777777" w:rsidR="00252D88" w:rsidRPr="00EB1027" w:rsidRDefault="00252D88" w:rsidP="00252D88">
      <w:pPr>
        <w:pStyle w:val="ListLevel1"/>
        <w:numPr>
          <w:ilvl w:val="0"/>
          <w:numId w:val="0"/>
        </w:numPr>
        <w:spacing w:after="0" w:line="240" w:lineRule="auto"/>
        <w:rPr>
          <w:rFonts w:cs="Arial"/>
          <w:sz w:val="24"/>
          <w:szCs w:val="24"/>
        </w:rPr>
      </w:pPr>
    </w:p>
    <w:p w14:paraId="7C21D4DB" w14:textId="77777777" w:rsidR="00252D88" w:rsidRPr="00EB1027" w:rsidRDefault="00252D88" w:rsidP="00252D88">
      <w:pPr>
        <w:pStyle w:val="ListLevel1"/>
        <w:numPr>
          <w:ilvl w:val="0"/>
          <w:numId w:val="0"/>
        </w:numPr>
        <w:spacing w:after="0" w:line="240" w:lineRule="auto"/>
        <w:rPr>
          <w:rFonts w:cs="Arial"/>
          <w:sz w:val="24"/>
          <w:szCs w:val="24"/>
        </w:rPr>
      </w:pPr>
    </w:p>
    <w:p w14:paraId="38EFDE3B" w14:textId="196CA488" w:rsidR="00252D88" w:rsidRPr="00EB1027" w:rsidRDefault="00252D88" w:rsidP="00252D88">
      <w:pPr>
        <w:pStyle w:val="ListLevel1"/>
        <w:numPr>
          <w:ilvl w:val="0"/>
          <w:numId w:val="0"/>
        </w:numPr>
        <w:spacing w:after="0"/>
        <w:rPr>
          <w:rFonts w:cs="Arial"/>
          <w:sz w:val="24"/>
          <w:szCs w:val="24"/>
        </w:rPr>
      </w:pPr>
      <w:r w:rsidRPr="00EB1027">
        <w:rPr>
          <w:rFonts w:cs="Arial"/>
          <w:sz w:val="24"/>
          <w:szCs w:val="24"/>
        </w:rPr>
        <w:t xml:space="preserve">This judgment was prepared and authored by Acting Judge Mahomed. It is handed down electronically by circulation to the parties or their legal representatives by email and by uploading it to the electronic file of this matter on Caselines.  The date for hand-down is deemed to be </w:t>
      </w:r>
      <w:r w:rsidR="00D825A8">
        <w:rPr>
          <w:rFonts w:cs="Arial"/>
          <w:sz w:val="24"/>
          <w:szCs w:val="24"/>
        </w:rPr>
        <w:t>13 October</w:t>
      </w:r>
      <w:r w:rsidRPr="00EB1027">
        <w:rPr>
          <w:rFonts w:cs="Arial"/>
          <w:sz w:val="24"/>
          <w:szCs w:val="24"/>
        </w:rPr>
        <w:t xml:space="preserve"> 2022.</w:t>
      </w:r>
    </w:p>
    <w:p w14:paraId="3694B7A5" w14:textId="77777777" w:rsidR="00D825A8" w:rsidRDefault="00D825A8" w:rsidP="00D825A8">
      <w:pPr>
        <w:spacing w:line="480" w:lineRule="auto"/>
        <w:rPr>
          <w:rFonts w:ascii="Arial" w:hAnsi="Arial" w:cs="Arial"/>
          <w:sz w:val="24"/>
          <w:szCs w:val="24"/>
        </w:rPr>
      </w:pPr>
    </w:p>
    <w:p w14:paraId="6674B8CE" w14:textId="77777777" w:rsidR="00D825A8" w:rsidRDefault="00D825A8" w:rsidP="00D825A8">
      <w:pPr>
        <w:spacing w:line="480" w:lineRule="auto"/>
        <w:rPr>
          <w:rFonts w:ascii="Arial" w:hAnsi="Arial" w:cs="Arial"/>
          <w:sz w:val="24"/>
          <w:szCs w:val="24"/>
        </w:rPr>
      </w:pPr>
    </w:p>
    <w:p w14:paraId="43E5C514" w14:textId="77F0A848" w:rsidR="00D825A8" w:rsidRPr="00EB1027" w:rsidRDefault="00D825A8" w:rsidP="00D825A8">
      <w:pPr>
        <w:spacing w:line="480" w:lineRule="auto"/>
        <w:rPr>
          <w:rFonts w:ascii="Arial" w:hAnsi="Arial" w:cs="Arial"/>
          <w:sz w:val="24"/>
          <w:szCs w:val="24"/>
        </w:rPr>
      </w:pPr>
      <w:r w:rsidRPr="00EB1027">
        <w:rPr>
          <w:rFonts w:ascii="Arial" w:hAnsi="Arial" w:cs="Arial"/>
          <w:sz w:val="24"/>
          <w:szCs w:val="24"/>
        </w:rPr>
        <w:lastRenderedPageBreak/>
        <w:t>Date of hearing:</w:t>
      </w:r>
      <w:r w:rsidRPr="00EB1027">
        <w:rPr>
          <w:rFonts w:ascii="Arial" w:hAnsi="Arial" w:cs="Arial"/>
          <w:sz w:val="24"/>
          <w:szCs w:val="24"/>
        </w:rPr>
        <w:tab/>
        <w:t>31 August 2022</w:t>
      </w:r>
    </w:p>
    <w:p w14:paraId="60C66382" w14:textId="36856E3D" w:rsidR="00D825A8" w:rsidRPr="00EB1027" w:rsidRDefault="00D825A8" w:rsidP="00D825A8">
      <w:pPr>
        <w:spacing w:line="480" w:lineRule="auto"/>
        <w:rPr>
          <w:rFonts w:ascii="Arial" w:hAnsi="Arial" w:cs="Arial"/>
          <w:sz w:val="24"/>
          <w:szCs w:val="24"/>
        </w:rPr>
      </w:pPr>
      <w:r w:rsidRPr="00EB1027">
        <w:rPr>
          <w:rFonts w:ascii="Arial" w:hAnsi="Arial" w:cs="Arial"/>
          <w:sz w:val="24"/>
          <w:szCs w:val="24"/>
        </w:rPr>
        <w:t>Date of Delivery:</w:t>
      </w:r>
      <w:r w:rsidRPr="00EB1027">
        <w:rPr>
          <w:rFonts w:ascii="Arial" w:hAnsi="Arial" w:cs="Arial"/>
          <w:sz w:val="24"/>
          <w:szCs w:val="24"/>
        </w:rPr>
        <w:tab/>
        <w:t>1</w:t>
      </w:r>
      <w:r>
        <w:rPr>
          <w:rFonts w:ascii="Arial" w:hAnsi="Arial" w:cs="Arial"/>
          <w:sz w:val="24"/>
          <w:szCs w:val="24"/>
        </w:rPr>
        <w:t>3</w:t>
      </w:r>
      <w:r w:rsidRPr="00EB1027">
        <w:rPr>
          <w:rFonts w:ascii="Arial" w:hAnsi="Arial" w:cs="Arial"/>
          <w:sz w:val="24"/>
          <w:szCs w:val="24"/>
        </w:rPr>
        <w:t xml:space="preserve"> October 2022</w:t>
      </w:r>
    </w:p>
    <w:p w14:paraId="61BA5622" w14:textId="77777777" w:rsidR="00D825A8" w:rsidRDefault="00D825A8" w:rsidP="00D825A8">
      <w:pPr>
        <w:spacing w:line="480" w:lineRule="auto"/>
        <w:rPr>
          <w:rFonts w:ascii="Arial" w:hAnsi="Arial" w:cs="Arial"/>
          <w:b/>
          <w:bCs/>
          <w:sz w:val="24"/>
          <w:szCs w:val="24"/>
        </w:rPr>
      </w:pPr>
    </w:p>
    <w:p w14:paraId="35E46ADD" w14:textId="26E2B158" w:rsidR="00D825A8" w:rsidRPr="00EB1027" w:rsidRDefault="00D825A8" w:rsidP="00D825A8">
      <w:pPr>
        <w:spacing w:line="480" w:lineRule="auto"/>
        <w:rPr>
          <w:rFonts w:ascii="Arial" w:hAnsi="Arial" w:cs="Arial"/>
          <w:b/>
          <w:bCs/>
          <w:sz w:val="24"/>
          <w:szCs w:val="24"/>
        </w:rPr>
      </w:pPr>
      <w:r w:rsidRPr="00EB1027">
        <w:rPr>
          <w:rFonts w:ascii="Arial" w:hAnsi="Arial" w:cs="Arial"/>
          <w:b/>
          <w:bCs/>
          <w:sz w:val="24"/>
          <w:szCs w:val="24"/>
        </w:rPr>
        <w:t>Appearances:</w:t>
      </w:r>
    </w:p>
    <w:p w14:paraId="16E464B3" w14:textId="77777777" w:rsidR="00D825A8" w:rsidRPr="00EB1027" w:rsidRDefault="00D825A8" w:rsidP="00D825A8">
      <w:pPr>
        <w:spacing w:line="480" w:lineRule="auto"/>
        <w:rPr>
          <w:rFonts w:ascii="Arial" w:hAnsi="Arial" w:cs="Arial"/>
          <w:sz w:val="24"/>
          <w:szCs w:val="24"/>
        </w:rPr>
      </w:pPr>
      <w:r w:rsidRPr="00EB1027">
        <w:rPr>
          <w:rFonts w:ascii="Arial" w:hAnsi="Arial" w:cs="Arial"/>
          <w:b/>
          <w:bCs/>
          <w:sz w:val="24"/>
          <w:szCs w:val="24"/>
        </w:rPr>
        <w:t>For Applicant</w:t>
      </w:r>
      <w:r w:rsidRPr="00EB1027">
        <w:rPr>
          <w:rFonts w:ascii="Arial" w:hAnsi="Arial" w:cs="Arial"/>
          <w:sz w:val="24"/>
          <w:szCs w:val="24"/>
        </w:rPr>
        <w:t>:</w:t>
      </w:r>
      <w:r w:rsidRPr="00EB1027">
        <w:rPr>
          <w:rFonts w:ascii="Arial" w:hAnsi="Arial" w:cs="Arial"/>
          <w:sz w:val="24"/>
          <w:szCs w:val="24"/>
        </w:rPr>
        <w:tab/>
        <w:t>Moodley SC</w:t>
      </w:r>
    </w:p>
    <w:p w14:paraId="52F7D449" w14:textId="2682ECDD" w:rsidR="00D825A8" w:rsidRPr="00EB1027" w:rsidRDefault="00D825A8" w:rsidP="00D825A8">
      <w:pPr>
        <w:spacing w:line="480" w:lineRule="auto"/>
        <w:rPr>
          <w:rFonts w:ascii="Arial" w:hAnsi="Arial" w:cs="Arial"/>
          <w:sz w:val="24"/>
          <w:szCs w:val="24"/>
        </w:rPr>
      </w:pPr>
      <w:r w:rsidRPr="00EB1027">
        <w:rPr>
          <w:rFonts w:ascii="Arial" w:hAnsi="Arial" w:cs="Arial"/>
          <w:sz w:val="24"/>
          <w:szCs w:val="24"/>
        </w:rPr>
        <w:t>Cell</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EB1027">
        <w:rPr>
          <w:rFonts w:ascii="Arial" w:hAnsi="Arial" w:cs="Arial"/>
          <w:sz w:val="24"/>
          <w:szCs w:val="24"/>
        </w:rPr>
        <w:t>083 293 9781</w:t>
      </w:r>
    </w:p>
    <w:p w14:paraId="412B043C" w14:textId="1230CF63" w:rsidR="00D825A8" w:rsidRPr="00EB1027" w:rsidRDefault="00D825A8" w:rsidP="00D825A8">
      <w:pPr>
        <w:spacing w:line="480" w:lineRule="auto"/>
        <w:rPr>
          <w:rFonts w:ascii="Arial" w:hAnsi="Arial" w:cs="Arial"/>
          <w:sz w:val="24"/>
          <w:szCs w:val="24"/>
        </w:rPr>
      </w:pPr>
      <w:r w:rsidRPr="00EB1027">
        <w:rPr>
          <w:rFonts w:ascii="Arial" w:hAnsi="Arial" w:cs="Arial"/>
          <w:sz w:val="24"/>
          <w:szCs w:val="24"/>
        </w:rPr>
        <w:t>Instructed by:</w:t>
      </w:r>
      <w:r>
        <w:rPr>
          <w:rFonts w:ascii="Arial" w:hAnsi="Arial" w:cs="Arial"/>
          <w:sz w:val="24"/>
          <w:szCs w:val="24"/>
        </w:rPr>
        <w:tab/>
      </w:r>
      <w:r w:rsidRPr="00EB1027">
        <w:rPr>
          <w:rFonts w:ascii="Arial" w:hAnsi="Arial" w:cs="Arial"/>
          <w:sz w:val="24"/>
          <w:szCs w:val="24"/>
        </w:rPr>
        <w:t>Anand Pillay Inc</w:t>
      </w:r>
    </w:p>
    <w:p w14:paraId="2A4E474B" w14:textId="77777777" w:rsidR="00D825A8" w:rsidRPr="00EB1027" w:rsidRDefault="00D825A8" w:rsidP="00D825A8">
      <w:pPr>
        <w:spacing w:line="480" w:lineRule="auto"/>
        <w:rPr>
          <w:rFonts w:ascii="Arial" w:hAnsi="Arial" w:cs="Arial"/>
          <w:sz w:val="24"/>
          <w:szCs w:val="24"/>
        </w:rPr>
      </w:pPr>
      <w:r w:rsidRPr="00EB1027">
        <w:rPr>
          <w:rFonts w:ascii="Arial" w:hAnsi="Arial" w:cs="Arial"/>
          <w:sz w:val="24"/>
          <w:szCs w:val="24"/>
        </w:rPr>
        <w:t xml:space="preserve">Email: </w:t>
      </w:r>
      <w:hyperlink r:id="rId9" w:history="1">
        <w:r w:rsidRPr="00EB1027">
          <w:rPr>
            <w:rStyle w:val="Hyperlink"/>
            <w:rFonts w:ascii="Arial" w:hAnsi="Arial" w:cs="Arial"/>
            <w:sz w:val="24"/>
            <w:szCs w:val="24"/>
          </w:rPr>
          <w:t>Anandpillay@Telkomsa.Net/</w:t>
        </w:r>
      </w:hyperlink>
      <w:r w:rsidRPr="00EB1027">
        <w:rPr>
          <w:rFonts w:ascii="Arial" w:hAnsi="Arial" w:cs="Arial"/>
          <w:sz w:val="24"/>
          <w:szCs w:val="24"/>
        </w:rPr>
        <w:t xml:space="preserve"> </w:t>
      </w:r>
      <w:hyperlink r:id="rId10" w:history="1">
        <w:r w:rsidRPr="00EB1027">
          <w:rPr>
            <w:rStyle w:val="Hyperlink"/>
            <w:rFonts w:ascii="Arial" w:hAnsi="Arial" w:cs="Arial"/>
            <w:sz w:val="24"/>
            <w:szCs w:val="24"/>
          </w:rPr>
          <w:t>Admin@Anandpillay.co.za</w:t>
        </w:r>
      </w:hyperlink>
    </w:p>
    <w:p w14:paraId="1811C564" w14:textId="77777777" w:rsidR="00D825A8" w:rsidRPr="00EB1027" w:rsidRDefault="00D825A8" w:rsidP="00D825A8">
      <w:pPr>
        <w:spacing w:line="480" w:lineRule="auto"/>
        <w:rPr>
          <w:rFonts w:ascii="Arial" w:hAnsi="Arial" w:cs="Arial"/>
          <w:sz w:val="24"/>
          <w:szCs w:val="24"/>
        </w:rPr>
      </w:pPr>
    </w:p>
    <w:p w14:paraId="10DAE207" w14:textId="1841E794" w:rsidR="00D825A8" w:rsidRPr="00EB1027" w:rsidRDefault="00D825A8" w:rsidP="00D825A8">
      <w:pPr>
        <w:spacing w:line="480" w:lineRule="auto"/>
        <w:rPr>
          <w:rFonts w:ascii="Arial" w:hAnsi="Arial" w:cs="Arial"/>
          <w:sz w:val="24"/>
          <w:szCs w:val="24"/>
        </w:rPr>
      </w:pPr>
      <w:r w:rsidRPr="00D825A8">
        <w:rPr>
          <w:rFonts w:ascii="Arial" w:hAnsi="Arial" w:cs="Arial"/>
          <w:b/>
          <w:sz w:val="24"/>
          <w:szCs w:val="24"/>
        </w:rPr>
        <w:t xml:space="preserve">For </w:t>
      </w:r>
      <w:r w:rsidRPr="00EB1027">
        <w:rPr>
          <w:rFonts w:ascii="Arial" w:hAnsi="Arial" w:cs="Arial"/>
          <w:b/>
          <w:bCs/>
          <w:sz w:val="24"/>
          <w:szCs w:val="24"/>
        </w:rPr>
        <w:t>Respondent</w:t>
      </w:r>
      <w:r>
        <w:rPr>
          <w:rFonts w:ascii="Arial" w:hAnsi="Arial" w:cs="Arial"/>
          <w:b/>
          <w:bCs/>
          <w:sz w:val="24"/>
          <w:szCs w:val="24"/>
        </w:rPr>
        <w:t>:</w:t>
      </w:r>
      <w:r>
        <w:rPr>
          <w:rFonts w:ascii="Arial" w:hAnsi="Arial" w:cs="Arial"/>
          <w:b/>
          <w:bCs/>
          <w:sz w:val="24"/>
          <w:szCs w:val="24"/>
        </w:rPr>
        <w:tab/>
      </w:r>
      <w:r w:rsidRPr="00EB1027">
        <w:rPr>
          <w:rFonts w:ascii="Arial" w:hAnsi="Arial" w:cs="Arial"/>
          <w:sz w:val="24"/>
          <w:szCs w:val="24"/>
        </w:rPr>
        <w:t>Advocate B Joseph</w:t>
      </w:r>
    </w:p>
    <w:p w14:paraId="381DD885" w14:textId="31EE169F" w:rsidR="00D825A8" w:rsidRPr="00EB1027" w:rsidRDefault="00D825A8" w:rsidP="00D825A8">
      <w:pPr>
        <w:spacing w:line="480" w:lineRule="auto"/>
        <w:rPr>
          <w:rFonts w:ascii="Arial" w:hAnsi="Arial" w:cs="Arial"/>
          <w:sz w:val="24"/>
          <w:szCs w:val="24"/>
        </w:rPr>
      </w:pPr>
      <w:r w:rsidRPr="00EB1027">
        <w:rPr>
          <w:rFonts w:ascii="Arial" w:hAnsi="Arial" w:cs="Arial"/>
          <w:sz w:val="24"/>
          <w:szCs w:val="24"/>
        </w:rPr>
        <w:t>Cell</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EB1027">
        <w:rPr>
          <w:rFonts w:ascii="Arial" w:hAnsi="Arial" w:cs="Arial"/>
          <w:sz w:val="24"/>
          <w:szCs w:val="24"/>
        </w:rPr>
        <w:t xml:space="preserve"> 083 260 8818</w:t>
      </w:r>
    </w:p>
    <w:p w14:paraId="6C084613" w14:textId="15E6AD41" w:rsidR="00D825A8" w:rsidRPr="00EB1027" w:rsidRDefault="00D825A8" w:rsidP="00D825A8">
      <w:pPr>
        <w:spacing w:line="480" w:lineRule="auto"/>
        <w:rPr>
          <w:rFonts w:ascii="Arial" w:hAnsi="Arial" w:cs="Arial"/>
          <w:sz w:val="24"/>
          <w:szCs w:val="24"/>
        </w:rPr>
      </w:pPr>
      <w:r w:rsidRPr="00EB1027">
        <w:rPr>
          <w:rFonts w:ascii="Arial" w:hAnsi="Arial" w:cs="Arial"/>
          <w:sz w:val="24"/>
          <w:szCs w:val="24"/>
        </w:rPr>
        <w:t xml:space="preserve">Instructed by: </w:t>
      </w:r>
      <w:r>
        <w:rPr>
          <w:rFonts w:ascii="Arial" w:hAnsi="Arial" w:cs="Arial"/>
          <w:sz w:val="24"/>
          <w:szCs w:val="24"/>
        </w:rPr>
        <w:tab/>
      </w:r>
      <w:r w:rsidRPr="00EB1027">
        <w:rPr>
          <w:rFonts w:ascii="Arial" w:hAnsi="Arial" w:cs="Arial"/>
          <w:sz w:val="24"/>
          <w:szCs w:val="24"/>
        </w:rPr>
        <w:t>Henkel Gregory Inc</w:t>
      </w:r>
    </w:p>
    <w:p w14:paraId="147525FD" w14:textId="2C07EB5A" w:rsidR="00D825A8" w:rsidRDefault="00D825A8" w:rsidP="00D825A8">
      <w:pPr>
        <w:spacing w:line="480" w:lineRule="auto"/>
        <w:rPr>
          <w:rFonts w:ascii="Arial" w:hAnsi="Arial" w:cs="Arial"/>
          <w:sz w:val="24"/>
          <w:szCs w:val="24"/>
        </w:rPr>
      </w:pPr>
      <w:r w:rsidRPr="00EB1027">
        <w:rPr>
          <w:rFonts w:ascii="Arial" w:hAnsi="Arial" w:cs="Arial"/>
          <w:sz w:val="24"/>
          <w:szCs w:val="24"/>
        </w:rPr>
        <w:t xml:space="preserve">Email: </w:t>
      </w:r>
      <w:hyperlink r:id="rId11" w:history="1">
        <w:r w:rsidRPr="00924717">
          <w:rPr>
            <w:rStyle w:val="Hyperlink"/>
            <w:rFonts w:ascii="Arial" w:hAnsi="Arial" w:cs="Arial"/>
            <w:sz w:val="24"/>
            <w:szCs w:val="24"/>
          </w:rPr>
          <w:t>mike@hglaw.co.za/taylag@hglaw.co.za</w:t>
        </w:r>
      </w:hyperlink>
    </w:p>
    <w:sectPr w:rsidR="00D825A8" w:rsidSect="001F6793">
      <w:headerReference w:type="default" r:id="rId12"/>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A6EE" w14:textId="77777777" w:rsidR="0054694C" w:rsidRDefault="0054694C">
      <w:r>
        <w:separator/>
      </w:r>
    </w:p>
  </w:endnote>
  <w:endnote w:type="continuationSeparator" w:id="0">
    <w:p w14:paraId="0155A29A" w14:textId="77777777" w:rsidR="0054694C" w:rsidRDefault="0054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9829A" w14:textId="77777777" w:rsidR="0054694C" w:rsidRDefault="0054694C" w:rsidP="00B42A2F">
      <w:pPr>
        <w:spacing w:after="0" w:line="240" w:lineRule="auto"/>
      </w:pPr>
      <w:r>
        <w:separator/>
      </w:r>
    </w:p>
  </w:footnote>
  <w:footnote w:type="continuationSeparator" w:id="0">
    <w:p w14:paraId="13BC9F5F" w14:textId="77777777" w:rsidR="0054694C" w:rsidRDefault="0054694C">
      <w:r>
        <w:continuationSeparator/>
      </w:r>
    </w:p>
  </w:footnote>
  <w:footnote w:id="1">
    <w:p w14:paraId="0F0073D4" w14:textId="77777777" w:rsidR="00EB1027" w:rsidRDefault="00EB1027" w:rsidP="00EB1027">
      <w:pPr>
        <w:pStyle w:val="FootnoteText"/>
      </w:pPr>
      <w:r>
        <w:rPr>
          <w:rStyle w:val="FootnoteReference"/>
        </w:rPr>
        <w:footnoteRef/>
      </w:r>
      <w:r>
        <w:t xml:space="preserve"> Caselines 022-28 paragraph 100 read with para 14 at 022-7</w:t>
      </w:r>
    </w:p>
  </w:footnote>
  <w:footnote w:id="2">
    <w:p w14:paraId="1F6840D8" w14:textId="28FB619D" w:rsidR="00EB1027" w:rsidRDefault="00EB1027" w:rsidP="00EB1027">
      <w:pPr>
        <w:pStyle w:val="FootnoteText"/>
      </w:pPr>
      <w:r>
        <w:rPr>
          <w:rStyle w:val="FootnoteReference"/>
        </w:rPr>
        <w:footnoteRef/>
      </w:r>
      <w:r>
        <w:t xml:space="preserve"> </w:t>
      </w:r>
      <w:r>
        <w:tab/>
        <w:t>Caselines 022-53</w:t>
      </w:r>
    </w:p>
  </w:footnote>
  <w:footnote w:id="3">
    <w:p w14:paraId="7D8C541D" w14:textId="30311D2E" w:rsidR="00EB1027" w:rsidRDefault="00EB1027" w:rsidP="00EB1027">
      <w:pPr>
        <w:pStyle w:val="FootnoteText"/>
        <w:ind w:left="284" w:hanging="284"/>
      </w:pPr>
      <w:r>
        <w:rPr>
          <w:rStyle w:val="FootnoteReference"/>
        </w:rPr>
        <w:footnoteRef/>
      </w:r>
      <w:r>
        <w:t xml:space="preserve"> </w:t>
      </w:r>
      <w:r>
        <w:tab/>
        <w:t>(24218/2013) [2017] ZAGPJHC 305 (18 October 2017). (543/2018) [2019] ZASCA 105 (4 September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10CA04A7"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376978">
      <w:rPr>
        <w:rStyle w:val="PageNumber"/>
        <w:rFonts w:ascii="Arial" w:hAnsi="Arial" w:cs="Arial"/>
        <w:noProof/>
        <w:sz w:val="25"/>
        <w:szCs w:val="25"/>
      </w:rPr>
      <w:t>11</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E8A46E"/>
    <w:lvl w:ilvl="0">
      <w:start w:val="1"/>
      <w:numFmt w:val="decimal"/>
      <w:lvlText w:val="%1."/>
      <w:lvlJc w:val="left"/>
      <w:pPr>
        <w:tabs>
          <w:tab w:val="num" w:pos="1492"/>
        </w:tabs>
        <w:ind w:left="1492" w:hanging="360"/>
      </w:pPr>
    </w:lvl>
  </w:abstractNum>
  <w:abstractNum w:abstractNumId="1">
    <w:nsid w:val="FFFFFF7D"/>
    <w:multiLevelType w:val="singleLevel"/>
    <w:tmpl w:val="77BC0266"/>
    <w:lvl w:ilvl="0">
      <w:start w:val="1"/>
      <w:numFmt w:val="decimal"/>
      <w:lvlText w:val="%1."/>
      <w:lvlJc w:val="left"/>
      <w:pPr>
        <w:tabs>
          <w:tab w:val="num" w:pos="1209"/>
        </w:tabs>
        <w:ind w:left="1209" w:hanging="360"/>
      </w:pPr>
    </w:lvl>
  </w:abstractNum>
  <w:abstractNum w:abstractNumId="2">
    <w:nsid w:val="FFFFFF7E"/>
    <w:multiLevelType w:val="singleLevel"/>
    <w:tmpl w:val="50DA4A50"/>
    <w:lvl w:ilvl="0">
      <w:start w:val="1"/>
      <w:numFmt w:val="decimal"/>
      <w:lvlText w:val="%1."/>
      <w:lvlJc w:val="left"/>
      <w:pPr>
        <w:tabs>
          <w:tab w:val="num" w:pos="926"/>
        </w:tabs>
        <w:ind w:left="926" w:hanging="360"/>
      </w:pPr>
    </w:lvl>
  </w:abstractNum>
  <w:abstractNum w:abstractNumId="3">
    <w:nsid w:val="FFFFFF7F"/>
    <w:multiLevelType w:val="singleLevel"/>
    <w:tmpl w:val="564E56C0"/>
    <w:lvl w:ilvl="0">
      <w:start w:val="1"/>
      <w:numFmt w:val="decimal"/>
      <w:lvlText w:val="%1."/>
      <w:lvlJc w:val="left"/>
      <w:pPr>
        <w:tabs>
          <w:tab w:val="num" w:pos="643"/>
        </w:tabs>
        <w:ind w:left="643" w:hanging="360"/>
      </w:pPr>
    </w:lvl>
  </w:abstractNum>
  <w:abstractNum w:abstractNumId="4">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EEE75A"/>
    <w:lvl w:ilvl="0">
      <w:start w:val="1"/>
      <w:numFmt w:val="decimal"/>
      <w:lvlText w:val="%1."/>
      <w:lvlJc w:val="left"/>
      <w:pPr>
        <w:tabs>
          <w:tab w:val="num" w:pos="360"/>
        </w:tabs>
        <w:ind w:left="360" w:hanging="360"/>
      </w:pPr>
    </w:lvl>
  </w:abstractNum>
  <w:abstractNum w:abstractNumId="9">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4505CFA"/>
    <w:multiLevelType w:val="hybridMultilevel"/>
    <w:tmpl w:val="AD10DF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A32C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5C40DB"/>
    <w:multiLevelType w:val="hybridMultilevel"/>
    <w:tmpl w:val="45E4B1C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7">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B768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966ACE"/>
    <w:multiLevelType w:val="multilevel"/>
    <w:tmpl w:val="6DF0F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6F0163"/>
    <w:multiLevelType w:val="multilevel"/>
    <w:tmpl w:val="BE345AB8"/>
    <w:lvl w:ilvl="0">
      <w:start w:val="3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9474F3"/>
    <w:multiLevelType w:val="hybridMultilevel"/>
    <w:tmpl w:val="9CEE075A"/>
    <w:lvl w:ilvl="0" w:tplc="E33E58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21C1919"/>
    <w:multiLevelType w:val="hybridMultilevel"/>
    <w:tmpl w:val="87EE4258"/>
    <w:lvl w:ilvl="0" w:tplc="C848E854">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A42B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1E7DBC"/>
    <w:multiLevelType w:val="multilevel"/>
    <w:tmpl w:val="AC9EAD90"/>
    <w:lvl w:ilvl="0">
      <w:start w:val="33"/>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7">
    <w:nsid w:val="71A87A0B"/>
    <w:multiLevelType w:val="hybridMultilevel"/>
    <w:tmpl w:val="61A0BB34"/>
    <w:lvl w:ilvl="0" w:tplc="7D2ED7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6D1C86"/>
    <w:multiLevelType w:val="multilevel"/>
    <w:tmpl w:val="EA3CA2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78286F13"/>
    <w:multiLevelType w:val="multilevel"/>
    <w:tmpl w:val="90408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9"/>
  </w:num>
  <w:num w:numId="4">
    <w:abstractNumId w:val="17"/>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3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21"/>
  </w:num>
  <w:num w:numId="22">
    <w:abstractNumId w:val="21"/>
  </w:num>
  <w:num w:numId="23">
    <w:abstractNumId w:val="21"/>
  </w:num>
  <w:num w:numId="24">
    <w:abstractNumId w:val="21"/>
  </w:num>
  <w:num w:numId="25">
    <w:abstractNumId w:val="31"/>
  </w:num>
  <w:num w:numId="26">
    <w:abstractNumId w:val="21"/>
  </w:num>
  <w:num w:numId="27">
    <w:abstractNumId w:val="21"/>
  </w:num>
  <w:num w:numId="28">
    <w:abstractNumId w:val="11"/>
  </w:num>
  <w:num w:numId="29">
    <w:abstractNumId w:val="22"/>
  </w:num>
  <w:num w:numId="30">
    <w:abstractNumId w:val="30"/>
  </w:num>
  <w:num w:numId="31">
    <w:abstractNumId w:val="23"/>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8"/>
  </w:num>
  <w:num w:numId="36">
    <w:abstractNumId w:val="20"/>
  </w:num>
  <w:num w:numId="37">
    <w:abstractNumId w:val="26"/>
  </w:num>
  <w:num w:numId="38">
    <w:abstractNumId w:val="27"/>
  </w:num>
  <w:num w:numId="39">
    <w:abstractNumId w:val="25"/>
  </w:num>
  <w:num w:numId="40">
    <w:abstractNumId w:val="18"/>
  </w:num>
  <w:num w:numId="41">
    <w:abstractNumId w:val="14"/>
  </w:num>
  <w:num w:numId="42">
    <w:abstractNumId w:val="13"/>
  </w:num>
  <w:num w:numId="43">
    <w:abstractNumId w:val="15"/>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441BE"/>
    <w:rsid w:val="00046227"/>
    <w:rsid w:val="00064F5B"/>
    <w:rsid w:val="00066255"/>
    <w:rsid w:val="00067824"/>
    <w:rsid w:val="00076BDF"/>
    <w:rsid w:val="00080FB7"/>
    <w:rsid w:val="00081BE5"/>
    <w:rsid w:val="00092FE9"/>
    <w:rsid w:val="000C5FBC"/>
    <w:rsid w:val="000E1FD0"/>
    <w:rsid w:val="00103B17"/>
    <w:rsid w:val="0011358F"/>
    <w:rsid w:val="00142537"/>
    <w:rsid w:val="0014765C"/>
    <w:rsid w:val="001522B0"/>
    <w:rsid w:val="00157C9E"/>
    <w:rsid w:val="00171D00"/>
    <w:rsid w:val="00173D11"/>
    <w:rsid w:val="001A4B73"/>
    <w:rsid w:val="001B2387"/>
    <w:rsid w:val="001C327E"/>
    <w:rsid w:val="001C5E9C"/>
    <w:rsid w:val="001D1286"/>
    <w:rsid w:val="001E4A36"/>
    <w:rsid w:val="001F0D85"/>
    <w:rsid w:val="001F55DE"/>
    <w:rsid w:val="001F5AFF"/>
    <w:rsid w:val="001F6793"/>
    <w:rsid w:val="00200B29"/>
    <w:rsid w:val="00203E3E"/>
    <w:rsid w:val="00204B1F"/>
    <w:rsid w:val="00234CD3"/>
    <w:rsid w:val="00245352"/>
    <w:rsid w:val="00245B85"/>
    <w:rsid w:val="00252D88"/>
    <w:rsid w:val="0025601B"/>
    <w:rsid w:val="00257E97"/>
    <w:rsid w:val="00262035"/>
    <w:rsid w:val="00267551"/>
    <w:rsid w:val="002C52D0"/>
    <w:rsid w:val="002C6E15"/>
    <w:rsid w:val="002E4069"/>
    <w:rsid w:val="002F1EF0"/>
    <w:rsid w:val="002F3C22"/>
    <w:rsid w:val="00302280"/>
    <w:rsid w:val="00304027"/>
    <w:rsid w:val="00304323"/>
    <w:rsid w:val="00376978"/>
    <w:rsid w:val="00394560"/>
    <w:rsid w:val="003A4CA8"/>
    <w:rsid w:val="003A5334"/>
    <w:rsid w:val="003B155F"/>
    <w:rsid w:val="003E353F"/>
    <w:rsid w:val="003E7B53"/>
    <w:rsid w:val="003F078F"/>
    <w:rsid w:val="00405046"/>
    <w:rsid w:val="00405ECC"/>
    <w:rsid w:val="004137F2"/>
    <w:rsid w:val="00423CB0"/>
    <w:rsid w:val="0042410E"/>
    <w:rsid w:val="00451463"/>
    <w:rsid w:val="0045222A"/>
    <w:rsid w:val="00490977"/>
    <w:rsid w:val="004B5191"/>
    <w:rsid w:val="004B6D4A"/>
    <w:rsid w:val="004D0D37"/>
    <w:rsid w:val="004E07A7"/>
    <w:rsid w:val="004E37E5"/>
    <w:rsid w:val="004E6608"/>
    <w:rsid w:val="004F5C32"/>
    <w:rsid w:val="00501616"/>
    <w:rsid w:val="00532293"/>
    <w:rsid w:val="0054694C"/>
    <w:rsid w:val="00550532"/>
    <w:rsid w:val="005577D6"/>
    <w:rsid w:val="00560DAB"/>
    <w:rsid w:val="00585E16"/>
    <w:rsid w:val="00587C8C"/>
    <w:rsid w:val="00593E3F"/>
    <w:rsid w:val="00594841"/>
    <w:rsid w:val="00596C97"/>
    <w:rsid w:val="00596FA2"/>
    <w:rsid w:val="005B2B01"/>
    <w:rsid w:val="005B386A"/>
    <w:rsid w:val="005B40AF"/>
    <w:rsid w:val="005D6C4D"/>
    <w:rsid w:val="00613714"/>
    <w:rsid w:val="006451F6"/>
    <w:rsid w:val="00645B54"/>
    <w:rsid w:val="0065104A"/>
    <w:rsid w:val="006576AF"/>
    <w:rsid w:val="0066013C"/>
    <w:rsid w:val="0067260F"/>
    <w:rsid w:val="00675EF8"/>
    <w:rsid w:val="006842D7"/>
    <w:rsid w:val="0069151E"/>
    <w:rsid w:val="00692ED6"/>
    <w:rsid w:val="006940BA"/>
    <w:rsid w:val="006A0EDE"/>
    <w:rsid w:val="006A6DCE"/>
    <w:rsid w:val="006C2AE7"/>
    <w:rsid w:val="006C3E2C"/>
    <w:rsid w:val="006F061C"/>
    <w:rsid w:val="007032F1"/>
    <w:rsid w:val="007101BE"/>
    <w:rsid w:val="00712C5A"/>
    <w:rsid w:val="007168D6"/>
    <w:rsid w:val="00735B93"/>
    <w:rsid w:val="0075275C"/>
    <w:rsid w:val="00792F12"/>
    <w:rsid w:val="007938FD"/>
    <w:rsid w:val="007A5039"/>
    <w:rsid w:val="007B3DB5"/>
    <w:rsid w:val="007E7FAE"/>
    <w:rsid w:val="007F1156"/>
    <w:rsid w:val="007F2771"/>
    <w:rsid w:val="008208B5"/>
    <w:rsid w:val="0083545A"/>
    <w:rsid w:val="008612FA"/>
    <w:rsid w:val="008832D7"/>
    <w:rsid w:val="008851CD"/>
    <w:rsid w:val="008A0446"/>
    <w:rsid w:val="008F6698"/>
    <w:rsid w:val="0092610E"/>
    <w:rsid w:val="009769F2"/>
    <w:rsid w:val="00980139"/>
    <w:rsid w:val="0098104B"/>
    <w:rsid w:val="00981CC0"/>
    <w:rsid w:val="00984EE7"/>
    <w:rsid w:val="009B0F23"/>
    <w:rsid w:val="009C7773"/>
    <w:rsid w:val="009F640B"/>
    <w:rsid w:val="00A012C5"/>
    <w:rsid w:val="00A01A63"/>
    <w:rsid w:val="00A0233F"/>
    <w:rsid w:val="00A1177B"/>
    <w:rsid w:val="00A155EB"/>
    <w:rsid w:val="00A239FE"/>
    <w:rsid w:val="00A44620"/>
    <w:rsid w:val="00A73C54"/>
    <w:rsid w:val="00AC666D"/>
    <w:rsid w:val="00B00086"/>
    <w:rsid w:val="00B05014"/>
    <w:rsid w:val="00B20960"/>
    <w:rsid w:val="00B20BD4"/>
    <w:rsid w:val="00B234D9"/>
    <w:rsid w:val="00B2541D"/>
    <w:rsid w:val="00B263DE"/>
    <w:rsid w:val="00B42A2F"/>
    <w:rsid w:val="00B72E64"/>
    <w:rsid w:val="00BD5A11"/>
    <w:rsid w:val="00BD73EF"/>
    <w:rsid w:val="00BE0913"/>
    <w:rsid w:val="00C00F49"/>
    <w:rsid w:val="00C06DE6"/>
    <w:rsid w:val="00C10A6A"/>
    <w:rsid w:val="00C15506"/>
    <w:rsid w:val="00C216CD"/>
    <w:rsid w:val="00C22731"/>
    <w:rsid w:val="00C2519C"/>
    <w:rsid w:val="00C2718F"/>
    <w:rsid w:val="00C307C7"/>
    <w:rsid w:val="00C46EF1"/>
    <w:rsid w:val="00C50D68"/>
    <w:rsid w:val="00C61290"/>
    <w:rsid w:val="00C73C01"/>
    <w:rsid w:val="00C9115E"/>
    <w:rsid w:val="00CA68B7"/>
    <w:rsid w:val="00CF0140"/>
    <w:rsid w:val="00D825A8"/>
    <w:rsid w:val="00D82F93"/>
    <w:rsid w:val="00D91B37"/>
    <w:rsid w:val="00DB4B82"/>
    <w:rsid w:val="00DD201B"/>
    <w:rsid w:val="00DD2572"/>
    <w:rsid w:val="00DD7EC8"/>
    <w:rsid w:val="00E00582"/>
    <w:rsid w:val="00E0596D"/>
    <w:rsid w:val="00E14600"/>
    <w:rsid w:val="00E20795"/>
    <w:rsid w:val="00E21B69"/>
    <w:rsid w:val="00E25E6D"/>
    <w:rsid w:val="00E3094A"/>
    <w:rsid w:val="00E375BF"/>
    <w:rsid w:val="00E424E0"/>
    <w:rsid w:val="00E55C3E"/>
    <w:rsid w:val="00E91717"/>
    <w:rsid w:val="00E9228C"/>
    <w:rsid w:val="00E972A8"/>
    <w:rsid w:val="00EB1027"/>
    <w:rsid w:val="00EE72DA"/>
    <w:rsid w:val="00F147F9"/>
    <w:rsid w:val="00F53D9C"/>
    <w:rsid w:val="00F848AF"/>
    <w:rsid w:val="00F90D9E"/>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C73C01"/>
    <w:pPr>
      <w:tabs>
        <w:tab w:val="left" w:pos="284"/>
      </w:tabs>
    </w:pPr>
    <w:rPr>
      <w:rFonts w:ascii="Arial" w:hAnsi="Arial"/>
      <w:sz w:val="20"/>
      <w:szCs w:val="20"/>
    </w:rPr>
  </w:style>
  <w:style w:type="character" w:customStyle="1" w:styleId="FootnoteTextChar">
    <w:name w:val="Footnote Text Char"/>
    <w:link w:val="FootnoteText"/>
    <w:uiPriority w:val="99"/>
    <w:rsid w:val="00C73C01"/>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
    <w:name w:val="Unresolved Mention"/>
    <w:basedOn w:val="DefaultParagraphFont"/>
    <w:uiPriority w:val="99"/>
    <w:semiHidden/>
    <w:unhideWhenUsed/>
    <w:rsid w:val="00D8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hglaw.co.za/taylag@hglaw.co.za" TargetMode="External"/><Relationship Id="rId5" Type="http://schemas.openxmlformats.org/officeDocument/2006/relationships/webSettings" Target="webSettings.xml"/><Relationship Id="rId10" Type="http://schemas.openxmlformats.org/officeDocument/2006/relationships/hyperlink" Target="mailto:Admin@Anandpillay.co.za" TargetMode="External"/><Relationship Id="rId4" Type="http://schemas.openxmlformats.org/officeDocument/2006/relationships/settings" Target="settings.xml"/><Relationship Id="rId9" Type="http://schemas.openxmlformats.org/officeDocument/2006/relationships/hyperlink" Target="mailto:Anandpillay@Telkomsa.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8D09-CCDD-4540-89AB-609215ED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1</TotalTime>
  <Pages>12</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Mokone</cp:lastModifiedBy>
  <cp:revision>3</cp:revision>
  <cp:lastPrinted>2022-01-26T15:55:00Z</cp:lastPrinted>
  <dcterms:created xsi:type="dcterms:W3CDTF">2022-10-17T08:43:00Z</dcterms:created>
  <dcterms:modified xsi:type="dcterms:W3CDTF">2022-10-17T08:44:00Z</dcterms:modified>
</cp:coreProperties>
</file>