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4AF5" w14:textId="3F6B9A35" w:rsidR="00A148C1" w:rsidRPr="008A3778" w:rsidRDefault="00A148C1" w:rsidP="006D5807">
      <w:pPr>
        <w:pStyle w:val="BodyTextIndent"/>
        <w:tabs>
          <w:tab w:val="left" w:pos="1710"/>
        </w:tabs>
        <w:spacing w:line="360" w:lineRule="auto"/>
        <w:ind w:left="0" w:firstLine="1710"/>
        <w:rPr>
          <w:rFonts w:ascii="Helvetica" w:eastAsia="Times New Roman" w:hAnsi="Helvetica" w:cs="Helvetica"/>
          <w:b/>
          <w:bCs/>
          <w:noProof w:val="0"/>
          <w:sz w:val="22"/>
          <w:szCs w:val="22"/>
        </w:rPr>
      </w:pPr>
      <w:bookmarkStart w:id="0" w:name="_GoBack"/>
      <w:bookmarkEnd w:id="0"/>
      <w:r w:rsidRPr="008A3778">
        <w:rPr>
          <w:rFonts w:ascii="Helvetica" w:hAnsi="Helvetica" w:cs="Helvetica"/>
          <w:sz w:val="22"/>
          <w:szCs w:val="22"/>
          <w:lang w:val="en-ZA" w:eastAsia="en-ZA"/>
        </w:rPr>
        <w:drawing>
          <wp:anchor distT="0" distB="0" distL="114300" distR="114300" simplePos="0" relativeHeight="251657216" behindDoc="0" locked="0" layoutInCell="1" allowOverlap="1" wp14:anchorId="3F2C2614" wp14:editId="33C07DAF">
            <wp:simplePos x="0" y="0"/>
            <wp:positionH relativeFrom="column">
              <wp:posOffset>2068195</wp:posOffset>
            </wp:positionH>
            <wp:positionV relativeFrom="paragraph">
              <wp:posOffset>0</wp:posOffset>
            </wp:positionV>
            <wp:extent cx="115062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p>
    <w:p w14:paraId="7E7AB2F8" w14:textId="4B3D9DAC" w:rsidR="00A148C1" w:rsidRPr="008A3778" w:rsidRDefault="00A148C1" w:rsidP="006D5807">
      <w:pPr>
        <w:pStyle w:val="BodyTextIndent"/>
        <w:tabs>
          <w:tab w:val="left" w:pos="1710"/>
        </w:tabs>
        <w:spacing w:line="360" w:lineRule="auto"/>
        <w:ind w:left="0" w:firstLine="1710"/>
        <w:rPr>
          <w:rFonts w:ascii="Helvetica" w:eastAsia="Times New Roman" w:hAnsi="Helvetica" w:cs="Helvetica"/>
          <w:b/>
          <w:bCs/>
          <w:noProof w:val="0"/>
          <w:sz w:val="22"/>
          <w:szCs w:val="22"/>
        </w:rPr>
      </w:pPr>
    </w:p>
    <w:p w14:paraId="2C35B024" w14:textId="77777777" w:rsidR="00A148C1" w:rsidRPr="008A3778" w:rsidRDefault="00A148C1" w:rsidP="006D5807">
      <w:pPr>
        <w:pStyle w:val="BodyTextIndent"/>
        <w:tabs>
          <w:tab w:val="left" w:pos="1710"/>
        </w:tabs>
        <w:spacing w:line="360" w:lineRule="auto"/>
        <w:ind w:left="0" w:firstLine="1710"/>
        <w:rPr>
          <w:rFonts w:ascii="Helvetica" w:eastAsia="Times New Roman" w:hAnsi="Helvetica" w:cs="Helvetica"/>
          <w:b/>
          <w:bCs/>
          <w:noProof w:val="0"/>
          <w:sz w:val="22"/>
          <w:szCs w:val="22"/>
        </w:rPr>
      </w:pPr>
    </w:p>
    <w:p w14:paraId="4ECB42AA" w14:textId="77777777" w:rsidR="00A148C1" w:rsidRPr="008A3778" w:rsidRDefault="00A148C1" w:rsidP="006D5807">
      <w:pPr>
        <w:pStyle w:val="BodyTextIndent"/>
        <w:tabs>
          <w:tab w:val="left" w:pos="1710"/>
        </w:tabs>
        <w:spacing w:line="360" w:lineRule="auto"/>
        <w:ind w:left="0" w:firstLine="1710"/>
        <w:rPr>
          <w:rFonts w:ascii="Helvetica" w:eastAsia="Times New Roman" w:hAnsi="Helvetica" w:cs="Helvetica"/>
          <w:b/>
          <w:bCs/>
          <w:noProof w:val="0"/>
          <w:sz w:val="22"/>
          <w:szCs w:val="22"/>
        </w:rPr>
      </w:pPr>
    </w:p>
    <w:p w14:paraId="0E6E0CAE" w14:textId="22B32CD2" w:rsidR="0054256D" w:rsidRPr="008A3778" w:rsidRDefault="0054256D" w:rsidP="006D5807">
      <w:pPr>
        <w:pStyle w:val="BodyTextIndent"/>
        <w:tabs>
          <w:tab w:val="left" w:pos="1710"/>
        </w:tabs>
        <w:spacing w:after="0" w:line="360" w:lineRule="auto"/>
        <w:ind w:left="0" w:firstLine="0"/>
        <w:jc w:val="center"/>
        <w:rPr>
          <w:rFonts w:ascii="Helvetica" w:eastAsia="Times New Roman" w:hAnsi="Helvetica" w:cs="Helvetica"/>
          <w:b/>
          <w:bCs/>
          <w:noProof w:val="0"/>
          <w:sz w:val="22"/>
          <w:szCs w:val="22"/>
        </w:rPr>
      </w:pPr>
      <w:r w:rsidRPr="008A3778">
        <w:rPr>
          <w:rFonts w:ascii="Helvetica" w:eastAsia="Times New Roman" w:hAnsi="Helvetica" w:cs="Helvetica"/>
          <w:b/>
          <w:bCs/>
          <w:noProof w:val="0"/>
          <w:sz w:val="22"/>
          <w:szCs w:val="22"/>
        </w:rPr>
        <w:t>IN THE HIGH COURT OF SOUTH AFRICA</w:t>
      </w:r>
    </w:p>
    <w:p w14:paraId="4643F18A" w14:textId="39335598" w:rsidR="000748A8" w:rsidRPr="008A3778" w:rsidRDefault="0054256D" w:rsidP="006D5807">
      <w:pPr>
        <w:spacing w:after="0" w:line="480" w:lineRule="auto"/>
        <w:jc w:val="center"/>
        <w:rPr>
          <w:rFonts w:ascii="Helvetica" w:eastAsia="Times New Roman" w:hAnsi="Helvetica" w:cs="Helvetica"/>
          <w:b/>
          <w:bCs/>
          <w:lang w:val="en-GB" w:eastAsia="en-GB"/>
        </w:rPr>
      </w:pPr>
      <w:r w:rsidRPr="008A3778">
        <w:rPr>
          <w:rFonts w:ascii="Helvetica" w:eastAsia="Times New Roman" w:hAnsi="Helvetica" w:cs="Helvetica"/>
          <w:b/>
          <w:bCs/>
          <w:lang w:val="en-GB" w:eastAsia="en-GB"/>
        </w:rPr>
        <w:t>GAUTENG LOCAL DIVISION, JOHANNESBURG</w:t>
      </w:r>
    </w:p>
    <w:p w14:paraId="42A03222" w14:textId="7B303238" w:rsidR="00E5122F" w:rsidRPr="008A3778" w:rsidRDefault="00E5122F" w:rsidP="006D5807">
      <w:pPr>
        <w:spacing w:after="0" w:line="240" w:lineRule="auto"/>
        <w:ind w:left="936"/>
        <w:jc w:val="right"/>
        <w:rPr>
          <w:rFonts w:ascii="Helvetica" w:hAnsi="Helvetica" w:cs="Helvetica"/>
          <w:b/>
          <w:lang w:val="en-GB"/>
        </w:rPr>
      </w:pPr>
      <w:r w:rsidRPr="008A3778">
        <w:rPr>
          <w:rFonts w:ascii="Helvetica" w:hAnsi="Helvetica" w:cs="Helvetica"/>
          <w:b/>
          <w:lang w:val="en-GB"/>
        </w:rPr>
        <w:t xml:space="preserve">CASE NO: </w:t>
      </w:r>
      <w:r w:rsidR="006D1E4B" w:rsidRPr="008A3778">
        <w:rPr>
          <w:rFonts w:ascii="Helvetica" w:hAnsi="Helvetica" w:cs="Helvetica"/>
          <w:b/>
          <w:lang w:val="en-GB"/>
        </w:rPr>
        <w:t>A</w:t>
      </w:r>
      <w:r w:rsidR="00EC595D" w:rsidRPr="008A3778">
        <w:rPr>
          <w:rFonts w:ascii="Helvetica" w:hAnsi="Helvetica" w:cs="Helvetica"/>
          <w:b/>
          <w:lang w:val="en-GB"/>
        </w:rPr>
        <w:t>5067/2020</w:t>
      </w:r>
    </w:p>
    <w:p w14:paraId="1BC08815" w14:textId="48467E19" w:rsidR="007A2834" w:rsidRPr="008A3778" w:rsidRDefault="00EC595D" w:rsidP="006D5807">
      <w:pPr>
        <w:spacing w:after="0" w:line="240" w:lineRule="auto"/>
        <w:ind w:left="936"/>
        <w:jc w:val="right"/>
        <w:rPr>
          <w:rFonts w:ascii="Helvetica" w:hAnsi="Helvetica" w:cs="Helvetica"/>
          <w:b/>
          <w:lang w:val="en-GB"/>
        </w:rPr>
      </w:pPr>
      <w:r w:rsidRPr="008A3778">
        <w:rPr>
          <w:rFonts w:ascii="Helvetica" w:hAnsi="Helvetica" w:cs="Helvetica"/>
          <w:b/>
          <w:lang w:val="en-GB"/>
        </w:rPr>
        <w:t>COURT A QUO CASE NO</w:t>
      </w:r>
      <w:r w:rsidR="007A2834" w:rsidRPr="008A3778">
        <w:rPr>
          <w:rFonts w:ascii="Helvetica" w:hAnsi="Helvetica" w:cs="Helvetica"/>
          <w:b/>
          <w:lang w:val="en-GB"/>
        </w:rPr>
        <w:t xml:space="preserve">: </w:t>
      </w:r>
      <w:r w:rsidRPr="008A3778">
        <w:rPr>
          <w:rFonts w:ascii="Helvetica" w:hAnsi="Helvetica" w:cs="Helvetica"/>
          <w:b/>
          <w:lang w:val="en-GB"/>
        </w:rPr>
        <w:t>43327/2012</w:t>
      </w:r>
    </w:p>
    <w:p w14:paraId="2929384B" w14:textId="5E01D413" w:rsidR="0054256D" w:rsidRPr="008A3778" w:rsidRDefault="0054256D" w:rsidP="006D5807">
      <w:pPr>
        <w:spacing w:line="240" w:lineRule="auto"/>
        <w:ind w:left="6480"/>
        <w:jc w:val="center"/>
        <w:rPr>
          <w:rFonts w:ascii="Helvetica" w:hAnsi="Helvetica" w:cs="Helvetica"/>
          <w:b/>
          <w:lang w:val="en-GB"/>
        </w:rPr>
      </w:pPr>
      <w:r w:rsidRPr="008A3778">
        <w:rPr>
          <w:rFonts w:ascii="Helvetica" w:hAnsi="Helvetica" w:cs="Helvetica"/>
          <w:lang w:val="en-GB"/>
        </w:rPr>
        <w:tab/>
      </w:r>
      <w:r w:rsidRPr="008A3778">
        <w:rPr>
          <w:rFonts w:ascii="Helvetica" w:hAnsi="Helvetica" w:cs="Helvetica"/>
          <w:lang w:val="en-GB"/>
        </w:rPr>
        <w:tab/>
      </w:r>
      <w:r w:rsidR="00535C60" w:rsidRPr="008A3778">
        <w:rPr>
          <w:rFonts w:ascii="Helvetica" w:hAnsi="Helvetica" w:cs="Helvetica"/>
          <w:lang w:val="en-GB"/>
        </w:rPr>
        <w:t xml:space="preserve"> </w:t>
      </w:r>
      <w:r w:rsidRPr="008A3778">
        <w:rPr>
          <w:rFonts w:ascii="Helvetica" w:hAnsi="Helvetica" w:cs="Helvetica"/>
          <w:lang w:val="en-GB"/>
        </w:rPr>
        <w:t xml:space="preserve"> </w:t>
      </w:r>
    </w:p>
    <w:tbl>
      <w:tblPr>
        <w:tblStyle w:val="TableGrid"/>
        <w:tblW w:w="0" w:type="auto"/>
        <w:tblInd w:w="0" w:type="dxa"/>
        <w:tblLook w:val="04A0" w:firstRow="1" w:lastRow="0" w:firstColumn="1" w:lastColumn="0" w:noHBand="0" w:noVBand="1"/>
      </w:tblPr>
      <w:tblGrid>
        <w:gridCol w:w="5395"/>
      </w:tblGrid>
      <w:tr w:rsidR="0054256D" w:rsidRPr="008A3778" w14:paraId="61A94A75" w14:textId="77777777" w:rsidTr="00AC5589">
        <w:trPr>
          <w:trHeight w:val="2168"/>
        </w:trPr>
        <w:tc>
          <w:tcPr>
            <w:tcW w:w="5395" w:type="dxa"/>
          </w:tcPr>
          <w:p w14:paraId="2D615FF3" w14:textId="77777777" w:rsidR="0054256D" w:rsidRPr="008A3778" w:rsidRDefault="0054256D" w:rsidP="006D5807">
            <w:pPr>
              <w:tabs>
                <w:tab w:val="left" w:pos="5868"/>
              </w:tabs>
              <w:rPr>
                <w:rFonts w:ascii="Helvetica" w:eastAsia="Times New Roman" w:hAnsi="Helvetica" w:cs="Helvetica"/>
                <w:lang w:val="en-GB" w:eastAsia="en-GB"/>
              </w:rPr>
            </w:pPr>
          </w:p>
          <w:p w14:paraId="0BAACACB" w14:textId="77455696" w:rsidR="0054256D" w:rsidRPr="008A3778" w:rsidRDefault="0054256D" w:rsidP="006D5807">
            <w:pPr>
              <w:tabs>
                <w:tab w:val="left" w:pos="5868"/>
              </w:tabs>
              <w:ind w:left="420"/>
              <w:rPr>
                <w:rFonts w:ascii="Helvetica" w:eastAsia="Times New Roman" w:hAnsi="Helvetica" w:cs="Helvetica"/>
                <w:lang w:val="en-GB" w:eastAsia="en-GB"/>
              </w:rPr>
            </w:pPr>
            <w:r w:rsidRPr="008A3778">
              <w:rPr>
                <w:rFonts w:ascii="Helvetica" w:eastAsia="Times New Roman" w:hAnsi="Helvetica" w:cs="Helvetica"/>
                <w:lang w:val="en-GB" w:eastAsia="en-GB"/>
              </w:rPr>
              <w:t>1. Reportable:</w:t>
            </w:r>
            <w:r w:rsidR="00C23235" w:rsidRPr="008A3778">
              <w:rPr>
                <w:rFonts w:ascii="Helvetica" w:eastAsia="Times New Roman" w:hAnsi="Helvetica" w:cs="Helvetica"/>
                <w:lang w:val="en-GB" w:eastAsia="en-GB"/>
              </w:rPr>
              <w:t xml:space="preserve"> </w:t>
            </w:r>
            <w:r w:rsidRPr="008A3778">
              <w:rPr>
                <w:rFonts w:ascii="Helvetica" w:eastAsia="Times New Roman" w:hAnsi="Helvetica" w:cs="Helvetica"/>
                <w:lang w:val="en-GB" w:eastAsia="en-GB"/>
              </w:rPr>
              <w:t>No</w:t>
            </w:r>
          </w:p>
          <w:p w14:paraId="3232753C" w14:textId="1C28FA5E" w:rsidR="0054256D" w:rsidRPr="008A3778" w:rsidRDefault="0054256D" w:rsidP="006D5807">
            <w:pPr>
              <w:tabs>
                <w:tab w:val="left" w:pos="5868"/>
              </w:tabs>
              <w:ind w:left="420"/>
              <w:rPr>
                <w:rFonts w:ascii="Helvetica" w:eastAsia="Times New Roman" w:hAnsi="Helvetica" w:cs="Helvetica"/>
                <w:lang w:val="en-GB" w:eastAsia="en-GB"/>
              </w:rPr>
            </w:pPr>
            <w:r w:rsidRPr="008A3778">
              <w:rPr>
                <w:rFonts w:ascii="Helvetica" w:eastAsia="Times New Roman" w:hAnsi="Helvetica" w:cs="Helvetica"/>
                <w:lang w:val="en-GB" w:eastAsia="en-GB"/>
              </w:rPr>
              <w:t>2. Of interest to other judges: No</w:t>
            </w:r>
          </w:p>
          <w:p w14:paraId="64A72231" w14:textId="1B0D4451" w:rsidR="0054256D" w:rsidRPr="008A3778" w:rsidRDefault="0054256D" w:rsidP="006D5807">
            <w:pPr>
              <w:tabs>
                <w:tab w:val="left" w:pos="5868"/>
              </w:tabs>
              <w:spacing w:after="360"/>
              <w:ind w:left="418"/>
              <w:rPr>
                <w:rFonts w:ascii="Helvetica" w:eastAsia="Times New Roman" w:hAnsi="Helvetica" w:cs="Helvetica"/>
                <w:lang w:val="en-GB" w:eastAsia="en-GB"/>
              </w:rPr>
            </w:pPr>
            <w:r w:rsidRPr="008A3778">
              <w:rPr>
                <w:rFonts w:ascii="Helvetica" w:eastAsia="Times New Roman" w:hAnsi="Helvetica" w:cs="Helvetica"/>
                <w:lang w:val="en-GB" w:eastAsia="en-GB"/>
              </w:rPr>
              <w:t>3. Revised: Yes</w:t>
            </w:r>
            <w:r w:rsidR="00535C60" w:rsidRPr="008A3778">
              <w:rPr>
                <w:rFonts w:ascii="Helvetica" w:eastAsia="Times New Roman" w:hAnsi="Helvetica" w:cs="Helvetica"/>
                <w:lang w:val="en-GB" w:eastAsia="en-GB"/>
              </w:rPr>
              <w:t xml:space="preserve"> </w:t>
            </w:r>
          </w:p>
          <w:p w14:paraId="7AD7A1BE" w14:textId="77777777" w:rsidR="0054256D" w:rsidRPr="008A3778" w:rsidRDefault="0054256D" w:rsidP="006D5807">
            <w:pPr>
              <w:tabs>
                <w:tab w:val="left" w:pos="5868"/>
              </w:tabs>
              <w:ind w:left="936"/>
              <w:rPr>
                <w:rFonts w:ascii="Helvetica" w:eastAsia="Times New Roman" w:hAnsi="Helvetica" w:cs="Helvetica"/>
                <w:lang w:val="en-GB" w:eastAsia="en-GB"/>
              </w:rPr>
            </w:pPr>
            <w:r w:rsidRPr="008A3778">
              <w:rPr>
                <w:rFonts w:ascii="Helvetica" w:eastAsia="Times New Roman" w:hAnsi="Helvetica" w:cs="Helvetica"/>
                <w:lang w:val="en-GB" w:eastAsia="en-GB"/>
              </w:rPr>
              <w:t>____________________</w:t>
            </w:r>
          </w:p>
          <w:p w14:paraId="6C806371" w14:textId="31CD2470" w:rsidR="0054256D" w:rsidRPr="008A3778" w:rsidRDefault="00535C60" w:rsidP="006D5807">
            <w:pPr>
              <w:tabs>
                <w:tab w:val="left" w:pos="5868"/>
              </w:tabs>
              <w:rPr>
                <w:rFonts w:ascii="Helvetica" w:eastAsia="Times New Roman" w:hAnsi="Helvetica" w:cs="Helvetica"/>
                <w:lang w:val="en-GB" w:eastAsia="en-GB"/>
              </w:rPr>
            </w:pPr>
            <w:r w:rsidRPr="008A3778">
              <w:rPr>
                <w:rFonts w:ascii="Helvetica" w:eastAsia="Times New Roman" w:hAnsi="Helvetica" w:cs="Helvetica"/>
                <w:lang w:val="en-GB" w:eastAsia="en-GB"/>
              </w:rPr>
              <w:t xml:space="preserve">   </w:t>
            </w:r>
            <w:r w:rsidR="00C23235" w:rsidRPr="008A3778">
              <w:rPr>
                <w:rFonts w:ascii="Helvetica" w:eastAsia="Times New Roman" w:hAnsi="Helvetica" w:cs="Helvetica"/>
                <w:lang w:val="en-GB" w:eastAsia="en-GB"/>
              </w:rPr>
              <w:t xml:space="preserve"> </w:t>
            </w:r>
            <w:r w:rsidR="000E0B9F" w:rsidRPr="008A3778">
              <w:rPr>
                <w:rFonts w:ascii="Helvetica" w:eastAsia="Times New Roman" w:hAnsi="Helvetica" w:cs="Helvetica"/>
                <w:lang w:val="en-GB" w:eastAsia="en-GB"/>
              </w:rPr>
              <w:t xml:space="preserve">             </w:t>
            </w:r>
            <w:r w:rsidR="0054256D" w:rsidRPr="008A3778">
              <w:rPr>
                <w:rFonts w:ascii="Helvetica" w:eastAsia="Times New Roman" w:hAnsi="Helvetica" w:cs="Helvetica"/>
                <w:lang w:val="en-GB" w:eastAsia="en-GB"/>
              </w:rPr>
              <w:t>(Signature)</w:t>
            </w:r>
          </w:p>
          <w:p w14:paraId="3D64DE19" w14:textId="2DFB6463" w:rsidR="000700B4" w:rsidRPr="008A3778" w:rsidRDefault="00535C60" w:rsidP="006D5807">
            <w:pPr>
              <w:tabs>
                <w:tab w:val="left" w:pos="5868"/>
              </w:tabs>
              <w:rPr>
                <w:rFonts w:ascii="Helvetica" w:eastAsia="Times New Roman" w:hAnsi="Helvetica" w:cs="Helvetica"/>
                <w:lang w:val="en-GB" w:eastAsia="en-GB"/>
              </w:rPr>
            </w:pPr>
            <w:r w:rsidRPr="008A3778">
              <w:rPr>
                <w:rFonts w:ascii="Helvetica" w:eastAsia="Times New Roman" w:hAnsi="Helvetica" w:cs="Helvetica"/>
                <w:lang w:val="en-GB" w:eastAsia="en-GB"/>
              </w:rPr>
              <w:t xml:space="preserve">                 </w:t>
            </w:r>
            <w:r w:rsidR="00AC5589" w:rsidRPr="008A3778">
              <w:rPr>
                <w:rFonts w:ascii="Helvetica" w:eastAsia="Times New Roman" w:hAnsi="Helvetica" w:cs="Helvetica"/>
                <w:lang w:val="en-GB" w:eastAsia="en-GB"/>
              </w:rPr>
              <w:t>Date</w:t>
            </w:r>
            <w:r w:rsidR="006D1E4B" w:rsidRPr="008A3778">
              <w:rPr>
                <w:rFonts w:ascii="Helvetica" w:eastAsia="Times New Roman" w:hAnsi="Helvetica" w:cs="Helvetica"/>
                <w:lang w:val="en-GB" w:eastAsia="en-GB"/>
              </w:rPr>
              <w:t xml:space="preserve">: </w:t>
            </w:r>
            <w:r w:rsidR="002F43DC">
              <w:rPr>
                <w:rFonts w:ascii="Helvetica" w:eastAsia="Times New Roman" w:hAnsi="Helvetica" w:cs="Helvetica"/>
                <w:lang w:val="en-GB" w:eastAsia="en-GB"/>
              </w:rPr>
              <w:t>31/1</w:t>
            </w:r>
            <w:r w:rsidR="000700B4" w:rsidRPr="008A3778">
              <w:rPr>
                <w:rFonts w:ascii="Helvetica" w:eastAsia="Times New Roman" w:hAnsi="Helvetica" w:cs="Helvetica"/>
                <w:lang w:val="en-GB" w:eastAsia="en-GB"/>
              </w:rPr>
              <w:t>/202</w:t>
            </w:r>
            <w:r w:rsidR="008A3778" w:rsidRPr="008A3778">
              <w:rPr>
                <w:rFonts w:ascii="Helvetica" w:eastAsia="Times New Roman" w:hAnsi="Helvetica" w:cs="Helvetica"/>
                <w:lang w:val="en-GB" w:eastAsia="en-GB"/>
              </w:rPr>
              <w:t>2</w:t>
            </w:r>
            <w:r w:rsidRPr="008A3778">
              <w:rPr>
                <w:rFonts w:ascii="Helvetica" w:eastAsia="Times New Roman" w:hAnsi="Helvetica" w:cs="Helvetica"/>
                <w:lang w:val="en-GB" w:eastAsia="en-GB"/>
              </w:rPr>
              <w:t xml:space="preserve">      </w:t>
            </w:r>
            <w:r w:rsidR="000700B4" w:rsidRPr="008A3778">
              <w:rPr>
                <w:rFonts w:ascii="Helvetica" w:eastAsia="Times New Roman" w:hAnsi="Helvetica" w:cs="Helvetica"/>
                <w:lang w:val="en-GB" w:eastAsia="en-GB"/>
              </w:rPr>
              <w:t xml:space="preserve"> </w:t>
            </w:r>
          </w:p>
        </w:tc>
      </w:tr>
    </w:tbl>
    <w:p w14:paraId="5689C19D" w14:textId="799C60D7" w:rsidR="00A2062C" w:rsidRPr="008A3778" w:rsidRDefault="00A2062C" w:rsidP="006D5807">
      <w:pPr>
        <w:tabs>
          <w:tab w:val="left" w:pos="5868"/>
        </w:tabs>
        <w:spacing w:after="0" w:line="360" w:lineRule="auto"/>
        <w:jc w:val="both"/>
        <w:rPr>
          <w:rFonts w:ascii="Helvetica" w:eastAsia="Times New Roman" w:hAnsi="Helvetica" w:cs="Helvetica"/>
          <w:lang w:val="en-GB" w:eastAsia="en-GB"/>
        </w:rPr>
      </w:pPr>
    </w:p>
    <w:p w14:paraId="01D4D944" w14:textId="17507C00" w:rsidR="00717ACE" w:rsidRPr="008A3778" w:rsidRDefault="00A9533D" w:rsidP="006D5807">
      <w:pPr>
        <w:tabs>
          <w:tab w:val="left" w:pos="5868"/>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lang w:val="en-GB" w:eastAsia="en-GB"/>
        </w:rPr>
        <w:t xml:space="preserve">In the </w:t>
      </w:r>
      <w:r w:rsidR="007127F9" w:rsidRPr="008A3778">
        <w:rPr>
          <w:rFonts w:ascii="Helvetica" w:eastAsia="Times New Roman" w:hAnsi="Helvetica" w:cs="Helvetica"/>
          <w:lang w:val="en-GB" w:eastAsia="en-GB"/>
        </w:rPr>
        <w:t xml:space="preserve">appeal in the </w:t>
      </w:r>
      <w:r w:rsidRPr="008A3778">
        <w:rPr>
          <w:rFonts w:ascii="Helvetica" w:eastAsia="Times New Roman" w:hAnsi="Helvetica" w:cs="Helvetica"/>
          <w:lang w:val="en-GB" w:eastAsia="en-GB"/>
        </w:rPr>
        <w:t>matter between:</w:t>
      </w:r>
    </w:p>
    <w:p w14:paraId="70E4D2D7" w14:textId="16653F50" w:rsidR="00E5122F" w:rsidRPr="008A3778" w:rsidRDefault="00EC595D"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COLLATZ</w:t>
      </w:r>
      <w:r w:rsidRPr="008A3778">
        <w:rPr>
          <w:rFonts w:ascii="Helvetica" w:eastAsia="Times New Roman" w:hAnsi="Helvetica" w:cs="Helvetica"/>
          <w:b/>
          <w:bCs/>
          <w:lang w:val="en-GB" w:eastAsia="en-GB"/>
        </w:rPr>
        <w:t>; CHERYL-ANNE MARGUERITE</w:t>
      </w:r>
      <w:r w:rsidRPr="008A3778">
        <w:rPr>
          <w:rFonts w:ascii="Helvetica" w:eastAsia="Times New Roman" w:hAnsi="Helvetica" w:cs="Helvetica"/>
          <w:b/>
          <w:bCs/>
          <w:lang w:val="en-GB" w:eastAsia="en-GB"/>
        </w:rPr>
        <w:tab/>
        <w:t xml:space="preserve"> </w:t>
      </w:r>
      <w:r w:rsidRPr="008A3778">
        <w:rPr>
          <w:rFonts w:ascii="Helvetica" w:eastAsia="Times New Roman" w:hAnsi="Helvetica" w:cs="Helvetica"/>
          <w:lang w:val="en-GB" w:eastAsia="en-GB"/>
        </w:rPr>
        <w:t>First applicant</w:t>
      </w:r>
    </w:p>
    <w:p w14:paraId="04195062" w14:textId="01DEFF13" w:rsidR="00EC595D" w:rsidRPr="008A3778" w:rsidRDefault="00EC595D" w:rsidP="006D5807">
      <w:pPr>
        <w:tabs>
          <w:tab w:val="right" w:pos="9000"/>
        </w:tabs>
        <w:spacing w:after="0" w:line="240" w:lineRule="auto"/>
        <w:jc w:val="both"/>
        <w:rPr>
          <w:rFonts w:ascii="Helvetica" w:eastAsia="Times New Roman" w:hAnsi="Helvetica" w:cs="Helvetica"/>
          <w:b/>
          <w:bCs/>
          <w:lang w:val="en-GB" w:eastAsia="en-GB"/>
        </w:rPr>
      </w:pPr>
      <w:r w:rsidRPr="008A3778">
        <w:rPr>
          <w:rFonts w:ascii="Helvetica" w:eastAsia="Times New Roman" w:hAnsi="Helvetica" w:cs="Helvetica"/>
          <w:b/>
          <w:bCs/>
          <w:u w:val="single"/>
          <w:lang w:val="en-GB" w:eastAsia="en-GB"/>
        </w:rPr>
        <w:t>COLLATZ</w:t>
      </w:r>
      <w:r w:rsidRPr="008A3778">
        <w:rPr>
          <w:rFonts w:ascii="Helvetica" w:eastAsia="Times New Roman" w:hAnsi="Helvetica" w:cs="Helvetica"/>
          <w:b/>
          <w:bCs/>
          <w:lang w:val="en-GB" w:eastAsia="en-GB"/>
        </w:rPr>
        <w:t>; CHERYL-ANNE MARGUERITE N.O.</w:t>
      </w:r>
      <w:r w:rsidRPr="008A3778">
        <w:rPr>
          <w:rFonts w:ascii="Helvetica" w:eastAsia="Times New Roman" w:hAnsi="Helvetica" w:cs="Helvetica"/>
          <w:b/>
          <w:bCs/>
          <w:lang w:val="en-GB" w:eastAsia="en-GB"/>
        </w:rPr>
        <w:tab/>
      </w:r>
      <w:r w:rsidRPr="008A3778">
        <w:rPr>
          <w:rFonts w:ascii="Helvetica" w:eastAsia="Times New Roman" w:hAnsi="Helvetica" w:cs="Helvetica"/>
          <w:lang w:val="en-GB" w:eastAsia="en-GB"/>
        </w:rPr>
        <w:t>Second applicant</w:t>
      </w:r>
    </w:p>
    <w:p w14:paraId="4B9ABCC8" w14:textId="77777777" w:rsidR="00EC595D" w:rsidRPr="008A3778" w:rsidRDefault="00EC595D" w:rsidP="006D5807">
      <w:pPr>
        <w:tabs>
          <w:tab w:val="left" w:pos="5868"/>
        </w:tabs>
        <w:spacing w:after="0" w:line="240" w:lineRule="auto"/>
        <w:jc w:val="both"/>
        <w:rPr>
          <w:rFonts w:ascii="Helvetica" w:eastAsia="Times New Roman" w:hAnsi="Helvetica" w:cs="Helvetica"/>
          <w:bCs/>
          <w:lang w:val="en-GB" w:eastAsia="en-GB"/>
        </w:rPr>
      </w:pPr>
    </w:p>
    <w:p w14:paraId="72189BFA" w14:textId="6E54F07C" w:rsidR="00E5122F" w:rsidRPr="008A3778" w:rsidRDefault="00E5122F" w:rsidP="006D5807">
      <w:pPr>
        <w:tabs>
          <w:tab w:val="left" w:pos="5868"/>
        </w:tabs>
        <w:spacing w:after="0" w:line="240" w:lineRule="auto"/>
        <w:jc w:val="both"/>
        <w:rPr>
          <w:rFonts w:ascii="Helvetica" w:eastAsia="Times New Roman" w:hAnsi="Helvetica" w:cs="Helvetica"/>
          <w:bCs/>
          <w:lang w:val="en-GB" w:eastAsia="en-GB"/>
        </w:rPr>
      </w:pPr>
      <w:r w:rsidRPr="008A3778">
        <w:rPr>
          <w:rFonts w:ascii="Helvetica" w:eastAsia="Times New Roman" w:hAnsi="Helvetica" w:cs="Helvetica"/>
          <w:bCs/>
          <w:lang w:val="en-GB" w:eastAsia="en-GB"/>
        </w:rPr>
        <w:t>and</w:t>
      </w:r>
    </w:p>
    <w:p w14:paraId="33AAAE39" w14:textId="77777777" w:rsidR="00EC595D" w:rsidRPr="008A3778" w:rsidRDefault="00EC595D" w:rsidP="006D5807">
      <w:pPr>
        <w:tabs>
          <w:tab w:val="left" w:pos="5868"/>
        </w:tabs>
        <w:spacing w:after="0" w:line="240" w:lineRule="auto"/>
        <w:jc w:val="both"/>
        <w:rPr>
          <w:rFonts w:ascii="Helvetica" w:eastAsia="Times New Roman" w:hAnsi="Helvetica" w:cs="Helvetica"/>
          <w:b/>
          <w:bCs/>
          <w:lang w:val="en-GB" w:eastAsia="en-GB"/>
        </w:rPr>
      </w:pPr>
    </w:p>
    <w:p w14:paraId="38751B3C" w14:textId="7404CC5E" w:rsidR="00413F2A" w:rsidRPr="008A3778" w:rsidRDefault="00EC595D"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lang w:val="en-GB" w:eastAsia="en-GB"/>
        </w:rPr>
        <w:t>ALEXANDER FORBES FINANCIAL SERVICES (PTY) LTD</w:t>
      </w:r>
      <w:r w:rsidRPr="008A3778">
        <w:rPr>
          <w:rFonts w:ascii="Helvetica" w:eastAsia="Times New Roman" w:hAnsi="Helvetica" w:cs="Helvetica"/>
          <w:b/>
          <w:bCs/>
          <w:lang w:val="en-GB" w:eastAsia="en-GB"/>
        </w:rPr>
        <w:tab/>
      </w:r>
      <w:r w:rsidRPr="008A3778">
        <w:rPr>
          <w:rFonts w:ascii="Helvetica" w:eastAsia="Times New Roman" w:hAnsi="Helvetica" w:cs="Helvetica"/>
          <w:lang w:val="en-GB" w:eastAsia="en-GB"/>
        </w:rPr>
        <w:t>First respondent</w:t>
      </w:r>
    </w:p>
    <w:p w14:paraId="0517FFDC" w14:textId="09236DF2" w:rsidR="00EC595D" w:rsidRPr="008A3778" w:rsidRDefault="00EC595D"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lang w:val="en-GB" w:eastAsia="en-GB"/>
        </w:rPr>
        <w:t xml:space="preserve">THE </w:t>
      </w:r>
      <w:r w:rsidR="00BB0C87" w:rsidRPr="008A3778">
        <w:rPr>
          <w:rFonts w:ascii="Helvetica" w:eastAsia="Times New Roman" w:hAnsi="Helvetica" w:cs="Helvetica"/>
          <w:b/>
          <w:bCs/>
          <w:lang w:val="en-GB" w:eastAsia="en-GB"/>
        </w:rPr>
        <w:t>ANNUITY</w:t>
      </w:r>
      <w:r w:rsidRPr="008A3778">
        <w:rPr>
          <w:rFonts w:ascii="Helvetica" w:eastAsia="Times New Roman" w:hAnsi="Helvetica" w:cs="Helvetica"/>
          <w:b/>
          <w:bCs/>
          <w:lang w:val="en-GB" w:eastAsia="en-GB"/>
        </w:rPr>
        <w:t xml:space="preserve"> FUND</w:t>
      </w:r>
      <w:r w:rsidRPr="008A3778">
        <w:rPr>
          <w:rFonts w:ascii="Helvetica" w:eastAsia="Times New Roman" w:hAnsi="Helvetica" w:cs="Helvetica"/>
          <w:lang w:val="en-GB" w:eastAsia="en-GB"/>
        </w:rPr>
        <w:tab/>
        <w:t>Second respondent</w:t>
      </w:r>
    </w:p>
    <w:p w14:paraId="4BCDF806" w14:textId="6B6EAED3" w:rsidR="00EC595D" w:rsidRPr="008A3778" w:rsidRDefault="00EC595D"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COLLATZ</w:t>
      </w:r>
      <w:r w:rsidRPr="008A3778">
        <w:rPr>
          <w:rFonts w:ascii="Helvetica" w:eastAsia="Times New Roman" w:hAnsi="Helvetica" w:cs="Helvetica"/>
          <w:b/>
          <w:bCs/>
          <w:lang w:val="en-GB" w:eastAsia="en-GB"/>
        </w:rPr>
        <w:t xml:space="preserve">; ISABELLA </w:t>
      </w:r>
      <w:r w:rsidR="00BD278C" w:rsidRPr="008A3778">
        <w:rPr>
          <w:rFonts w:ascii="Helvetica" w:eastAsia="Times New Roman" w:hAnsi="Helvetica" w:cs="Helvetica"/>
          <w:b/>
          <w:bCs/>
          <w:lang w:val="en-GB" w:eastAsia="en-GB"/>
        </w:rPr>
        <w:t>HERMIENA</w:t>
      </w:r>
      <w:r w:rsidR="00BD278C" w:rsidRPr="008A3778">
        <w:rPr>
          <w:rFonts w:ascii="Helvetica" w:eastAsia="Times New Roman" w:hAnsi="Helvetica" w:cs="Helvetica"/>
          <w:b/>
          <w:bCs/>
          <w:lang w:val="en-GB" w:eastAsia="en-GB"/>
        </w:rPr>
        <w:tab/>
      </w:r>
      <w:r w:rsidR="00BD278C" w:rsidRPr="008A3778">
        <w:rPr>
          <w:rFonts w:ascii="Helvetica" w:eastAsia="Times New Roman" w:hAnsi="Helvetica" w:cs="Helvetica"/>
          <w:lang w:val="en-GB" w:eastAsia="en-GB"/>
        </w:rPr>
        <w:t>Third respondent</w:t>
      </w:r>
    </w:p>
    <w:p w14:paraId="6F86961C" w14:textId="2E88EB24" w:rsidR="00BD278C" w:rsidRPr="008A3778" w:rsidRDefault="00BD278C"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GOOSEN</w:t>
      </w:r>
      <w:r w:rsidRPr="008A3778">
        <w:rPr>
          <w:rFonts w:ascii="Helvetica" w:eastAsia="Times New Roman" w:hAnsi="Helvetica" w:cs="Helvetica"/>
          <w:b/>
          <w:bCs/>
          <w:lang w:val="en-GB" w:eastAsia="en-GB"/>
        </w:rPr>
        <w:t>; ALJA</w:t>
      </w:r>
      <w:r w:rsidRPr="008A3778">
        <w:rPr>
          <w:rFonts w:ascii="Helvetica" w:eastAsia="Times New Roman" w:hAnsi="Helvetica" w:cs="Helvetica"/>
          <w:b/>
          <w:bCs/>
          <w:lang w:val="en-GB" w:eastAsia="en-GB"/>
        </w:rPr>
        <w:tab/>
      </w:r>
      <w:r w:rsidRPr="008A3778">
        <w:rPr>
          <w:rFonts w:ascii="Helvetica" w:eastAsia="Times New Roman" w:hAnsi="Helvetica" w:cs="Helvetica"/>
          <w:lang w:val="en-GB" w:eastAsia="en-GB"/>
        </w:rPr>
        <w:t>Fourth respondent</w:t>
      </w:r>
    </w:p>
    <w:p w14:paraId="53D02A0B" w14:textId="6DBC4E61" w:rsidR="00BD278C" w:rsidRPr="008A3778" w:rsidRDefault="00BD278C"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COLLATZ</w:t>
      </w:r>
      <w:r w:rsidRPr="008A3778">
        <w:rPr>
          <w:rFonts w:ascii="Helvetica" w:eastAsia="Times New Roman" w:hAnsi="Helvetica" w:cs="Helvetica"/>
          <w:b/>
          <w:bCs/>
          <w:lang w:val="en-GB" w:eastAsia="en-GB"/>
        </w:rPr>
        <w:t>; JACOBUS HERCULES</w:t>
      </w:r>
      <w:r w:rsidRPr="008A3778">
        <w:rPr>
          <w:rFonts w:ascii="Helvetica" w:eastAsia="Times New Roman" w:hAnsi="Helvetica" w:cs="Helvetica"/>
          <w:lang w:val="en-GB" w:eastAsia="en-GB"/>
        </w:rPr>
        <w:tab/>
        <w:t>Fifth respondent</w:t>
      </w:r>
    </w:p>
    <w:p w14:paraId="57ADBF47" w14:textId="2EB7AEA5" w:rsidR="00BD278C" w:rsidRPr="008A3778" w:rsidRDefault="00BD278C" w:rsidP="006D5807">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HODGSON</w:t>
      </w:r>
      <w:r w:rsidRPr="008A3778">
        <w:rPr>
          <w:rFonts w:ascii="Helvetica" w:eastAsia="Times New Roman" w:hAnsi="Helvetica" w:cs="Helvetica"/>
          <w:b/>
          <w:bCs/>
          <w:lang w:val="en-GB" w:eastAsia="en-GB"/>
        </w:rPr>
        <w:t>; MICHAEL IAN</w:t>
      </w:r>
      <w:r w:rsidRPr="008A3778">
        <w:rPr>
          <w:rFonts w:ascii="Helvetica" w:eastAsia="Times New Roman" w:hAnsi="Helvetica" w:cs="Helvetica"/>
          <w:lang w:val="en-GB" w:eastAsia="en-GB"/>
        </w:rPr>
        <w:tab/>
        <w:t>Sixth respondent</w:t>
      </w:r>
    </w:p>
    <w:p w14:paraId="3CDD4FA9" w14:textId="79BEA7A6" w:rsidR="00BD278C" w:rsidRPr="008A3778" w:rsidRDefault="00BD278C" w:rsidP="00577343">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u w:val="single"/>
          <w:lang w:val="en-GB" w:eastAsia="en-GB"/>
        </w:rPr>
        <w:t>HODGSON</w:t>
      </w:r>
      <w:r w:rsidRPr="008A3778">
        <w:rPr>
          <w:rFonts w:ascii="Helvetica" w:eastAsia="Times New Roman" w:hAnsi="Helvetica" w:cs="Helvetica"/>
          <w:b/>
          <w:bCs/>
          <w:lang w:val="en-GB" w:eastAsia="en-GB"/>
        </w:rPr>
        <w:t>; SHANNON-LEIGH</w:t>
      </w:r>
      <w:r w:rsidRPr="008A3778">
        <w:rPr>
          <w:rFonts w:ascii="Helvetica" w:eastAsia="Times New Roman" w:hAnsi="Helvetica" w:cs="Helvetica"/>
          <w:lang w:val="en-GB" w:eastAsia="en-GB"/>
        </w:rPr>
        <w:tab/>
        <w:t>Seventh respondent</w:t>
      </w:r>
    </w:p>
    <w:p w14:paraId="4E4873C5" w14:textId="2C3B4B25" w:rsidR="00BD278C" w:rsidRPr="008A3778" w:rsidRDefault="00BD278C" w:rsidP="00577343">
      <w:pPr>
        <w:tabs>
          <w:tab w:val="right" w:pos="9000"/>
        </w:tabs>
        <w:spacing w:after="120" w:line="240" w:lineRule="auto"/>
        <w:jc w:val="both"/>
        <w:rPr>
          <w:rFonts w:ascii="Helvetica" w:eastAsia="Times New Roman" w:hAnsi="Helvetica" w:cs="Helvetica"/>
          <w:lang w:val="en-GB" w:eastAsia="en-GB"/>
        </w:rPr>
      </w:pPr>
      <w:r w:rsidRPr="008A3778">
        <w:rPr>
          <w:rFonts w:ascii="Helvetica" w:eastAsia="Times New Roman" w:hAnsi="Helvetica" w:cs="Helvetica"/>
          <w:b/>
          <w:bCs/>
          <w:lang w:val="en-GB" w:eastAsia="en-GB"/>
        </w:rPr>
        <w:t>THE PENSION FUNDS ADJUDICATOR</w:t>
      </w:r>
      <w:r w:rsidRPr="008A3778">
        <w:rPr>
          <w:rFonts w:ascii="Helvetica" w:eastAsia="Times New Roman" w:hAnsi="Helvetica" w:cs="Helvetica"/>
          <w:lang w:val="en-GB" w:eastAsia="en-GB"/>
        </w:rPr>
        <w:tab/>
        <w:t>Eighth respondent</w:t>
      </w:r>
    </w:p>
    <w:p w14:paraId="556ABBD6" w14:textId="2663CDEE" w:rsidR="00EC595D" w:rsidRPr="008A3778" w:rsidRDefault="00BD278C" w:rsidP="00577343">
      <w:pPr>
        <w:tabs>
          <w:tab w:val="right" w:pos="9000"/>
        </w:tabs>
        <w:spacing w:after="0" w:line="240" w:lineRule="auto"/>
        <w:jc w:val="both"/>
        <w:rPr>
          <w:rFonts w:ascii="Helvetica" w:eastAsia="Times New Roman" w:hAnsi="Helvetica" w:cs="Helvetica"/>
          <w:lang w:val="en-GB" w:eastAsia="en-GB"/>
        </w:rPr>
      </w:pPr>
      <w:r w:rsidRPr="008A3778">
        <w:rPr>
          <w:rFonts w:ascii="Helvetica" w:eastAsia="Times New Roman" w:hAnsi="Helvetica" w:cs="Helvetica"/>
          <w:b/>
          <w:bCs/>
          <w:lang w:val="en-GB" w:eastAsia="en-GB"/>
        </w:rPr>
        <w:t xml:space="preserve">JOHNSON </w:t>
      </w:r>
      <w:r w:rsidR="007C7279" w:rsidRPr="008A3778">
        <w:rPr>
          <w:rFonts w:ascii="Helvetica" w:eastAsia="Times New Roman" w:hAnsi="Helvetica" w:cs="Helvetica"/>
          <w:b/>
          <w:bCs/>
          <w:lang w:val="en-GB" w:eastAsia="en-GB"/>
        </w:rPr>
        <w:t>&amp;</w:t>
      </w:r>
      <w:r w:rsidRPr="008A3778">
        <w:rPr>
          <w:rFonts w:ascii="Helvetica" w:eastAsia="Times New Roman" w:hAnsi="Helvetica" w:cs="Helvetica"/>
          <w:b/>
          <w:bCs/>
          <w:lang w:val="en-GB" w:eastAsia="en-GB"/>
        </w:rPr>
        <w:t xml:space="preserve"> JOHNSON PROVIDENT FUND</w:t>
      </w:r>
      <w:r w:rsidRPr="008A3778">
        <w:rPr>
          <w:rFonts w:ascii="Helvetica" w:eastAsia="Times New Roman" w:hAnsi="Helvetica" w:cs="Helvetica"/>
          <w:lang w:val="en-GB" w:eastAsia="en-GB"/>
        </w:rPr>
        <w:tab/>
        <w:t>Ninth respondent</w:t>
      </w:r>
    </w:p>
    <w:p w14:paraId="5DDFE82B" w14:textId="5F61AE6D" w:rsidR="00AC5589" w:rsidRDefault="00AC5589" w:rsidP="008A3778">
      <w:pPr>
        <w:tabs>
          <w:tab w:val="right" w:pos="9000"/>
        </w:tabs>
        <w:spacing w:after="0" w:line="240" w:lineRule="auto"/>
        <w:jc w:val="both"/>
        <w:rPr>
          <w:rFonts w:ascii="Helvetica" w:eastAsia="Times New Roman" w:hAnsi="Helvetica" w:cs="Helvetica"/>
          <w:b/>
          <w:bCs/>
          <w:lang w:val="en-GB" w:eastAsia="en-GB"/>
        </w:rPr>
      </w:pPr>
    </w:p>
    <w:p w14:paraId="416D7506" w14:textId="1F2F3076" w:rsidR="00577343" w:rsidRDefault="00577343" w:rsidP="008A3778">
      <w:pPr>
        <w:tabs>
          <w:tab w:val="right" w:pos="9000"/>
        </w:tabs>
        <w:spacing w:after="0" w:line="240" w:lineRule="auto"/>
        <w:jc w:val="both"/>
        <w:rPr>
          <w:rFonts w:ascii="Helvetica" w:eastAsia="Times New Roman" w:hAnsi="Helvetica" w:cs="Helvetica"/>
          <w:b/>
          <w:bCs/>
          <w:lang w:val="en-GB" w:eastAsia="en-GB"/>
        </w:rPr>
      </w:pPr>
    </w:p>
    <w:p w14:paraId="7062EB11" w14:textId="77777777" w:rsidR="00577343" w:rsidRDefault="00577343" w:rsidP="008A3778">
      <w:pPr>
        <w:tabs>
          <w:tab w:val="right" w:pos="9000"/>
        </w:tabs>
        <w:spacing w:after="0" w:line="240" w:lineRule="auto"/>
        <w:jc w:val="both"/>
        <w:rPr>
          <w:rFonts w:ascii="Helvetica" w:eastAsia="Times New Roman" w:hAnsi="Helvetica" w:cs="Helvetica"/>
          <w:b/>
          <w:bCs/>
          <w:lang w:val="en-GB" w:eastAsia="en-GB"/>
        </w:rPr>
      </w:pPr>
    </w:p>
    <w:p w14:paraId="7EC71BD0" w14:textId="2C809FD9" w:rsidR="00577343" w:rsidRDefault="00577343" w:rsidP="001607DF">
      <w:pPr>
        <w:ind w:right="-69"/>
        <w:jc w:val="both"/>
        <w:rPr>
          <w:rFonts w:ascii="Helvetica" w:hAnsi="Helvetica" w:cs="Helvetica"/>
          <w:b/>
          <w:bCs/>
        </w:rPr>
      </w:pPr>
      <w:r w:rsidRPr="009113D9">
        <w:rPr>
          <w:rFonts w:ascii="Helvetica" w:hAnsi="Helvetica" w:cs="Helvetica"/>
          <w:b/>
          <w:bCs/>
        </w:rPr>
        <w:t xml:space="preserve">Appeal: The failure to provide security in the appeal as required by uniform rule 49(13) </w:t>
      </w:r>
      <w:r>
        <w:rPr>
          <w:rFonts w:ascii="Helvetica" w:hAnsi="Helvetica" w:cs="Helvetica"/>
          <w:b/>
          <w:bCs/>
        </w:rPr>
        <w:t>–</w:t>
      </w:r>
      <w:r w:rsidRPr="009113D9">
        <w:rPr>
          <w:rFonts w:ascii="Helvetica" w:hAnsi="Helvetica" w:cs="Helvetica"/>
          <w:b/>
          <w:bCs/>
        </w:rPr>
        <w:t xml:space="preserve"> </w:t>
      </w:r>
      <w:r>
        <w:rPr>
          <w:rFonts w:ascii="Helvetica" w:hAnsi="Helvetica" w:cs="Helvetica"/>
          <w:b/>
          <w:bCs/>
        </w:rPr>
        <w:t>C</w:t>
      </w:r>
      <w:r w:rsidRPr="009113D9">
        <w:rPr>
          <w:rFonts w:ascii="Helvetica" w:hAnsi="Helvetica" w:cs="Helvetica"/>
          <w:b/>
          <w:bCs/>
        </w:rPr>
        <w:t xml:space="preserve">onditional application for condonation for the lapsing of the appeal </w:t>
      </w:r>
      <w:r>
        <w:rPr>
          <w:rFonts w:ascii="Helvetica" w:hAnsi="Helvetica" w:cs="Helvetica"/>
          <w:b/>
          <w:bCs/>
        </w:rPr>
        <w:t>–</w:t>
      </w:r>
      <w:r w:rsidRPr="009113D9">
        <w:rPr>
          <w:rFonts w:ascii="Helvetica" w:hAnsi="Helvetica" w:cs="Helvetica"/>
          <w:b/>
          <w:bCs/>
        </w:rPr>
        <w:t xml:space="preserve"> Considerations </w:t>
      </w:r>
      <w:r w:rsidRPr="009113D9">
        <w:rPr>
          <w:rFonts w:ascii="Helvetica" w:hAnsi="Helvetica" w:cs="Helvetica"/>
          <w:b/>
          <w:bCs/>
        </w:rPr>
        <w:lastRenderedPageBreak/>
        <w:t>of interests of justice, fairness, and finality require that the appeal be determined on its merits.</w:t>
      </w:r>
    </w:p>
    <w:p w14:paraId="3C2F6997" w14:textId="3BCC8F7D" w:rsidR="00DA55E7" w:rsidRPr="009113D9" w:rsidRDefault="00722DDF" w:rsidP="001607DF">
      <w:pPr>
        <w:ind w:right="-69"/>
        <w:jc w:val="both"/>
        <w:rPr>
          <w:rFonts w:ascii="Helvetica" w:hAnsi="Helvetica" w:cs="Helvetica"/>
          <w:b/>
          <w:bCs/>
        </w:rPr>
      </w:pPr>
      <w:r>
        <w:rPr>
          <w:rFonts w:ascii="Helvetica" w:hAnsi="Helvetica" w:cs="Helvetica"/>
          <w:b/>
          <w:bCs/>
        </w:rPr>
        <w:t>Summary: A</w:t>
      </w:r>
      <w:r w:rsidR="00DA55E7" w:rsidRPr="009113D9">
        <w:rPr>
          <w:rFonts w:ascii="Helvetica" w:hAnsi="Helvetica" w:cs="Helvetica"/>
          <w:b/>
          <w:bCs/>
        </w:rPr>
        <w:t>ppeal against the High Court’s dismissal of an application under section 30P of the Pension Funds Act, 1956 (“the Act”)</w:t>
      </w:r>
      <w:r w:rsidR="00DA55E7">
        <w:rPr>
          <w:rFonts w:ascii="Helvetica" w:hAnsi="Helvetica" w:cs="Helvetica"/>
          <w:b/>
          <w:bCs/>
        </w:rPr>
        <w:t xml:space="preserve"> –</w:t>
      </w:r>
      <w:r w:rsidR="00DA55E7" w:rsidRPr="009113D9">
        <w:rPr>
          <w:rFonts w:ascii="Helvetica" w:hAnsi="Helvetica" w:cs="Helvetica"/>
          <w:b/>
          <w:bCs/>
        </w:rPr>
        <w:t xml:space="preserve"> </w:t>
      </w:r>
      <w:r w:rsidR="00DA55E7">
        <w:rPr>
          <w:rFonts w:ascii="Helvetica" w:hAnsi="Helvetica" w:cs="Helvetica"/>
          <w:b/>
          <w:bCs/>
        </w:rPr>
        <w:t xml:space="preserve">The </w:t>
      </w:r>
      <w:r w:rsidR="00DA55E7" w:rsidRPr="001C2E4D">
        <w:rPr>
          <w:rFonts w:ascii="Helvetica" w:hAnsi="Helvetica" w:cs="Helvetica"/>
          <w:b/>
          <w:bCs/>
          <w:i/>
          <w:iCs/>
        </w:rPr>
        <w:t>sui generis</w:t>
      </w:r>
      <w:r w:rsidR="00DA55E7">
        <w:rPr>
          <w:rFonts w:ascii="Helvetica" w:hAnsi="Helvetica" w:cs="Helvetica"/>
          <w:b/>
          <w:bCs/>
        </w:rPr>
        <w:t xml:space="preserve"> nature of a section 30P application </w:t>
      </w:r>
      <w:r w:rsidR="00100FD7">
        <w:rPr>
          <w:rFonts w:ascii="Helvetica" w:hAnsi="Helvetica" w:cs="Helvetica"/>
          <w:b/>
          <w:bCs/>
        </w:rPr>
        <w:t>–</w:t>
      </w:r>
      <w:r w:rsidR="00DA55E7">
        <w:rPr>
          <w:rFonts w:ascii="Helvetica" w:hAnsi="Helvetica" w:cs="Helvetica"/>
          <w:b/>
          <w:bCs/>
        </w:rPr>
        <w:t xml:space="preserve"> </w:t>
      </w:r>
      <w:r w:rsidR="00DA55E7" w:rsidRPr="009113D9">
        <w:rPr>
          <w:rFonts w:ascii="Helvetica" w:hAnsi="Helvetica" w:cs="Helvetica"/>
          <w:b/>
          <w:bCs/>
        </w:rPr>
        <w:t>The</w:t>
      </w:r>
      <w:r w:rsidR="00100FD7">
        <w:rPr>
          <w:rFonts w:ascii="Helvetica" w:hAnsi="Helvetica" w:cs="Helvetica"/>
          <w:b/>
          <w:bCs/>
        </w:rPr>
        <w:t xml:space="preserve"> </w:t>
      </w:r>
      <w:r w:rsidR="00DA55E7" w:rsidRPr="009113D9">
        <w:rPr>
          <w:rFonts w:ascii="Helvetica" w:hAnsi="Helvetica" w:cs="Helvetica"/>
          <w:b/>
          <w:bCs/>
        </w:rPr>
        <w:t>ambit, parameters, and constraints of a section 30P application – The complaint in issue in the section 30 P application must be</w:t>
      </w:r>
      <w:r w:rsidR="00DA55E7">
        <w:rPr>
          <w:rFonts w:ascii="Helvetica" w:hAnsi="Helvetica" w:cs="Helvetica"/>
          <w:b/>
          <w:bCs/>
        </w:rPr>
        <w:t>,</w:t>
      </w:r>
      <w:r w:rsidR="00DA55E7" w:rsidRPr="009113D9">
        <w:rPr>
          <w:rFonts w:ascii="Helvetica" w:hAnsi="Helvetica" w:cs="Helvetica"/>
          <w:b/>
          <w:bCs/>
        </w:rPr>
        <w:t xml:space="preserve"> at least, substantially</w:t>
      </w:r>
      <w:r w:rsidR="00DA55E7">
        <w:rPr>
          <w:rFonts w:ascii="Helvetica" w:hAnsi="Helvetica" w:cs="Helvetica"/>
          <w:b/>
          <w:bCs/>
        </w:rPr>
        <w:t xml:space="preserve"> </w:t>
      </w:r>
      <w:r w:rsidR="00DA55E7" w:rsidRPr="009113D9">
        <w:rPr>
          <w:rFonts w:ascii="Helvetica" w:hAnsi="Helvetica" w:cs="Helvetica"/>
          <w:b/>
          <w:bCs/>
        </w:rPr>
        <w:t>the same complaint as</w:t>
      </w:r>
      <w:r w:rsidR="00DA55E7">
        <w:rPr>
          <w:rFonts w:ascii="Helvetica" w:hAnsi="Helvetica" w:cs="Helvetica"/>
          <w:b/>
          <w:bCs/>
        </w:rPr>
        <w:t xml:space="preserve"> that </w:t>
      </w:r>
      <w:r w:rsidR="00DA55E7" w:rsidRPr="009113D9">
        <w:rPr>
          <w:rFonts w:ascii="Helvetica" w:hAnsi="Helvetica" w:cs="Helvetica"/>
          <w:b/>
          <w:bCs/>
        </w:rPr>
        <w:t xml:space="preserve">determined by the Adjudicator </w:t>
      </w:r>
      <w:r w:rsidR="00DA55E7">
        <w:rPr>
          <w:rFonts w:ascii="Helvetica" w:hAnsi="Helvetica" w:cs="Helvetica"/>
          <w:b/>
          <w:bCs/>
        </w:rPr>
        <w:t>–</w:t>
      </w:r>
      <w:r w:rsidR="00DA55E7" w:rsidRPr="009113D9">
        <w:rPr>
          <w:rFonts w:ascii="Helvetica" w:hAnsi="Helvetica" w:cs="Helvetica"/>
          <w:b/>
          <w:bCs/>
        </w:rPr>
        <w:t xml:space="preserve"> The</w:t>
      </w:r>
      <w:r w:rsidR="00DA55E7">
        <w:rPr>
          <w:rFonts w:ascii="Helvetica" w:hAnsi="Helvetica" w:cs="Helvetica"/>
          <w:b/>
          <w:bCs/>
        </w:rPr>
        <w:t xml:space="preserve"> social </w:t>
      </w:r>
      <w:r w:rsidR="00DA55E7" w:rsidRPr="009113D9">
        <w:rPr>
          <w:rFonts w:ascii="Helvetica" w:hAnsi="Helvetica" w:cs="Helvetica"/>
          <w:b/>
          <w:bCs/>
        </w:rPr>
        <w:t xml:space="preserve">import of section 30C of the Act – </w:t>
      </w:r>
      <w:r w:rsidR="00DA55E7">
        <w:rPr>
          <w:rFonts w:ascii="Helvetica" w:hAnsi="Helvetica" w:cs="Helvetica"/>
          <w:b/>
          <w:bCs/>
        </w:rPr>
        <w:t xml:space="preserve">The legislative supremacy afforded to section 30C - Section 30C trumps parties’ matrimonial regime, testator’s testamentary freedom, contractual provisions, and customary law – Whether the withdrawal benefit in issue accrued to the joint estate prior to the member’s death – The import of the rigors of the rule in </w:t>
      </w:r>
      <w:r w:rsidR="00DA55E7" w:rsidRPr="001017B7">
        <w:rPr>
          <w:rFonts w:ascii="Helvetica" w:hAnsi="Helvetica" w:cs="Helvetica"/>
          <w:b/>
          <w:bCs/>
        </w:rPr>
        <w:t>Plascon-Evans</w:t>
      </w:r>
      <w:r w:rsidR="00DA55E7">
        <w:rPr>
          <w:rFonts w:ascii="Helvetica" w:hAnsi="Helvetica" w:cs="Helvetica"/>
          <w:b/>
          <w:bCs/>
        </w:rPr>
        <w:t xml:space="preserve"> in a section 30P application.</w:t>
      </w:r>
    </w:p>
    <w:p w14:paraId="7545139D" w14:textId="176326BE" w:rsidR="00577343" w:rsidRDefault="00577343" w:rsidP="001607DF">
      <w:pPr>
        <w:tabs>
          <w:tab w:val="right" w:pos="9000"/>
        </w:tabs>
        <w:spacing w:after="0" w:line="240" w:lineRule="auto"/>
        <w:ind w:right="-69"/>
        <w:jc w:val="both"/>
        <w:rPr>
          <w:rFonts w:ascii="Helvetica" w:hAnsi="Helvetica" w:cs="Helvetica"/>
          <w:b/>
          <w:bCs/>
        </w:rPr>
      </w:pPr>
      <w:r>
        <w:rPr>
          <w:rFonts w:ascii="Helvetica" w:hAnsi="Helvetica" w:cs="Helvetica"/>
          <w:b/>
          <w:bCs/>
        </w:rPr>
        <w:t xml:space="preserve">Costs: Relevant considerations – The suitability of the </w:t>
      </w:r>
      <w:r w:rsidR="00855F1B">
        <w:rPr>
          <w:rFonts w:ascii="Helvetica" w:hAnsi="Helvetica" w:cs="Helvetica"/>
          <w:b/>
          <w:bCs/>
        </w:rPr>
        <w:t xml:space="preserve">personal costs order and punitive scale of such costs order by the </w:t>
      </w:r>
      <w:r>
        <w:rPr>
          <w:rFonts w:ascii="Helvetica" w:hAnsi="Helvetica" w:cs="Helvetica"/>
          <w:b/>
          <w:bCs/>
        </w:rPr>
        <w:t>High Court</w:t>
      </w:r>
      <w:r w:rsidR="00855F1B">
        <w:rPr>
          <w:rFonts w:ascii="Helvetica" w:hAnsi="Helvetica" w:cs="Helvetica"/>
          <w:b/>
          <w:bCs/>
        </w:rPr>
        <w:t xml:space="preserve"> and costs order</w:t>
      </w:r>
      <w:r>
        <w:rPr>
          <w:rFonts w:ascii="Helvetica" w:hAnsi="Helvetica" w:cs="Helvetica"/>
          <w:b/>
          <w:bCs/>
        </w:rPr>
        <w:t xml:space="preserve"> against the first appellant personally </w:t>
      </w:r>
      <w:r w:rsidR="00855F1B">
        <w:rPr>
          <w:rFonts w:ascii="Helvetica" w:hAnsi="Helvetica" w:cs="Helvetica"/>
          <w:b/>
          <w:bCs/>
        </w:rPr>
        <w:t xml:space="preserve">in the </w:t>
      </w:r>
      <w:r>
        <w:rPr>
          <w:rFonts w:ascii="Helvetica" w:hAnsi="Helvetica" w:cs="Helvetica"/>
          <w:b/>
          <w:bCs/>
        </w:rPr>
        <w:t>appeal</w:t>
      </w:r>
    </w:p>
    <w:p w14:paraId="75A4C381" w14:textId="77777777" w:rsidR="00577343" w:rsidRDefault="00577343" w:rsidP="00577343">
      <w:pPr>
        <w:tabs>
          <w:tab w:val="right" w:pos="9000"/>
        </w:tabs>
        <w:spacing w:after="0" w:line="240" w:lineRule="auto"/>
        <w:jc w:val="both"/>
        <w:rPr>
          <w:rFonts w:ascii="Helvetica" w:eastAsia="Times New Roman" w:hAnsi="Helvetica" w:cs="Helvetica"/>
          <w:b/>
          <w:bCs/>
          <w:lang w:val="en-GB" w:eastAsia="en-GB"/>
        </w:rPr>
      </w:pPr>
    </w:p>
    <w:p w14:paraId="21493BB0" w14:textId="77777777" w:rsidR="00577343" w:rsidRPr="008A3778" w:rsidRDefault="00577343" w:rsidP="008A3778">
      <w:pPr>
        <w:tabs>
          <w:tab w:val="right" w:pos="9000"/>
        </w:tabs>
        <w:spacing w:after="0" w:line="240" w:lineRule="auto"/>
        <w:jc w:val="both"/>
        <w:rPr>
          <w:rFonts w:ascii="Helvetica" w:eastAsia="Times New Roman" w:hAnsi="Helvetica" w:cs="Helvetica"/>
          <w:b/>
          <w:bCs/>
          <w:lang w:val="en-GB" w:eastAsia="en-GB"/>
        </w:rPr>
      </w:pPr>
    </w:p>
    <w:p w14:paraId="0499E2AE" w14:textId="25164313" w:rsidR="00AC3B39" w:rsidRPr="008A3778" w:rsidRDefault="00AC3B39" w:rsidP="008A3778">
      <w:pPr>
        <w:pBdr>
          <w:top w:val="single" w:sz="12" w:space="1" w:color="auto"/>
          <w:bottom w:val="single" w:sz="12" w:space="1" w:color="auto"/>
        </w:pBdr>
        <w:tabs>
          <w:tab w:val="left" w:pos="5868"/>
        </w:tabs>
        <w:spacing w:after="0" w:line="240" w:lineRule="auto"/>
        <w:jc w:val="both"/>
        <w:rPr>
          <w:rFonts w:ascii="Helvetica" w:eastAsia="Times New Roman" w:hAnsi="Helvetica" w:cs="Helvetica"/>
          <w:b/>
          <w:lang w:val="en-GB" w:eastAsia="en-GB"/>
        </w:rPr>
      </w:pPr>
    </w:p>
    <w:p w14:paraId="341F13AF" w14:textId="7F534FC2" w:rsidR="000700B4" w:rsidRPr="008A3778" w:rsidRDefault="00712941" w:rsidP="008A3778">
      <w:pPr>
        <w:pBdr>
          <w:top w:val="single" w:sz="12" w:space="1" w:color="auto"/>
          <w:bottom w:val="single" w:sz="12" w:space="1" w:color="auto"/>
        </w:pBdr>
        <w:tabs>
          <w:tab w:val="left" w:pos="5868"/>
        </w:tabs>
        <w:spacing w:after="0" w:line="240" w:lineRule="auto"/>
        <w:jc w:val="center"/>
        <w:rPr>
          <w:rFonts w:ascii="Helvetica" w:eastAsia="Times New Roman" w:hAnsi="Helvetica" w:cs="Helvetica"/>
          <w:b/>
          <w:lang w:val="en-GB" w:eastAsia="en-GB"/>
        </w:rPr>
      </w:pPr>
      <w:r w:rsidRPr="008A3778">
        <w:rPr>
          <w:rFonts w:ascii="Helvetica" w:eastAsia="Times New Roman" w:hAnsi="Helvetica" w:cs="Helvetica"/>
          <w:b/>
          <w:lang w:val="en-GB" w:eastAsia="en-GB"/>
        </w:rPr>
        <w:t>JUDG</w:t>
      </w:r>
      <w:r w:rsidR="00136D62">
        <w:rPr>
          <w:rFonts w:ascii="Helvetica" w:eastAsia="Times New Roman" w:hAnsi="Helvetica" w:cs="Helvetica"/>
          <w:b/>
          <w:lang w:val="en-GB" w:eastAsia="en-GB"/>
        </w:rPr>
        <w:t>E</w:t>
      </w:r>
      <w:r w:rsidRPr="008A3778">
        <w:rPr>
          <w:rFonts w:ascii="Helvetica" w:eastAsia="Times New Roman" w:hAnsi="Helvetica" w:cs="Helvetica"/>
          <w:b/>
          <w:lang w:val="en-GB" w:eastAsia="en-GB"/>
        </w:rPr>
        <w:t xml:space="preserve">MENT </w:t>
      </w:r>
      <w:r w:rsidR="005A62AF" w:rsidRPr="008A3778">
        <w:rPr>
          <w:rFonts w:ascii="Helvetica" w:eastAsia="Times New Roman" w:hAnsi="Helvetica" w:cs="Helvetica"/>
          <w:b/>
          <w:lang w:val="en-GB" w:eastAsia="en-GB"/>
        </w:rPr>
        <w:t>–</w:t>
      </w:r>
      <w:r w:rsidR="00052588" w:rsidRPr="008A3778">
        <w:rPr>
          <w:rFonts w:ascii="Helvetica" w:eastAsia="Times New Roman" w:hAnsi="Helvetica" w:cs="Helvetica"/>
          <w:b/>
          <w:lang w:val="en-GB" w:eastAsia="en-GB"/>
        </w:rPr>
        <w:t xml:space="preserve"> </w:t>
      </w:r>
      <w:r w:rsidR="005A62AF" w:rsidRPr="008A3778">
        <w:rPr>
          <w:rFonts w:ascii="Helvetica" w:eastAsia="Times New Roman" w:hAnsi="Helvetica" w:cs="Helvetica"/>
          <w:b/>
          <w:lang w:val="en-GB" w:eastAsia="en-GB"/>
        </w:rPr>
        <w:t>THE COURT</w:t>
      </w:r>
    </w:p>
    <w:p w14:paraId="3BC52A46" w14:textId="77777777" w:rsidR="00AC3B39" w:rsidRPr="008A3778" w:rsidRDefault="00AC3B39" w:rsidP="008A3778">
      <w:pPr>
        <w:pBdr>
          <w:top w:val="single" w:sz="12" w:space="1" w:color="auto"/>
          <w:bottom w:val="single" w:sz="12" w:space="1" w:color="auto"/>
        </w:pBdr>
        <w:tabs>
          <w:tab w:val="left" w:pos="5868"/>
        </w:tabs>
        <w:spacing w:after="0" w:line="240" w:lineRule="auto"/>
        <w:jc w:val="center"/>
        <w:rPr>
          <w:rFonts w:ascii="Helvetica" w:eastAsia="Times New Roman" w:hAnsi="Helvetica" w:cs="Helvetica"/>
          <w:b/>
          <w:lang w:val="en-GB" w:eastAsia="en-GB"/>
        </w:rPr>
      </w:pPr>
    </w:p>
    <w:p w14:paraId="3D81CACF" w14:textId="77777777" w:rsidR="00577343" w:rsidRDefault="00577343" w:rsidP="00577343">
      <w:pPr>
        <w:spacing w:after="0" w:line="240" w:lineRule="auto"/>
        <w:rPr>
          <w:rFonts w:ascii="Helvetica" w:eastAsia="Calibri" w:hAnsi="Helvetica" w:cs="Helvetica"/>
          <w:b/>
          <w:lang w:val="en-GB"/>
        </w:rPr>
      </w:pPr>
    </w:p>
    <w:p w14:paraId="5163A9E7" w14:textId="4CED0FBE" w:rsidR="0072556D" w:rsidRDefault="0072556D" w:rsidP="006D5807">
      <w:pPr>
        <w:spacing w:after="480" w:line="360" w:lineRule="auto"/>
        <w:rPr>
          <w:rFonts w:ascii="Helvetica" w:eastAsia="Calibri" w:hAnsi="Helvetica" w:cs="Helvetica"/>
          <w:b/>
          <w:lang w:val="en-GB"/>
        </w:rPr>
      </w:pPr>
      <w:r w:rsidRPr="008A3778">
        <w:rPr>
          <w:rFonts w:ascii="Helvetica" w:eastAsia="Calibri" w:hAnsi="Helvetica" w:cs="Helvetica"/>
          <w:b/>
          <w:lang w:val="en-GB"/>
        </w:rPr>
        <w:t>CORAM</w:t>
      </w:r>
      <w:r w:rsidR="00275527" w:rsidRPr="008A3778">
        <w:rPr>
          <w:rFonts w:ascii="Helvetica" w:eastAsia="Calibri" w:hAnsi="Helvetica" w:cs="Helvetica"/>
          <w:b/>
          <w:lang w:val="en-GB"/>
        </w:rPr>
        <w:t xml:space="preserve">: </w:t>
      </w:r>
      <w:r w:rsidR="00BD278C" w:rsidRPr="008A3778">
        <w:rPr>
          <w:rFonts w:ascii="Helvetica" w:eastAsia="Calibri" w:hAnsi="Helvetica" w:cs="Helvetica"/>
          <w:b/>
          <w:lang w:val="en-GB"/>
        </w:rPr>
        <w:t>SENYATSI</w:t>
      </w:r>
      <w:r w:rsidR="007A2834" w:rsidRPr="008A3778">
        <w:rPr>
          <w:rFonts w:ascii="Helvetica" w:eastAsia="Calibri" w:hAnsi="Helvetica" w:cs="Helvetica"/>
          <w:b/>
          <w:lang w:val="en-GB"/>
        </w:rPr>
        <w:t xml:space="preserve"> J</w:t>
      </w:r>
      <w:r w:rsidR="00BD278C" w:rsidRPr="008A3778">
        <w:rPr>
          <w:rFonts w:ascii="Helvetica" w:eastAsia="Calibri" w:hAnsi="Helvetica" w:cs="Helvetica"/>
          <w:b/>
          <w:lang w:val="en-GB"/>
        </w:rPr>
        <w:t>, M</w:t>
      </w:r>
      <w:r w:rsidR="00D11811">
        <w:rPr>
          <w:rFonts w:ascii="Helvetica" w:eastAsia="Calibri" w:hAnsi="Helvetica" w:cs="Helvetica"/>
          <w:b/>
          <w:lang w:val="en-GB"/>
        </w:rPr>
        <w:t>A</w:t>
      </w:r>
      <w:r w:rsidR="00BD278C" w:rsidRPr="008A3778">
        <w:rPr>
          <w:rFonts w:ascii="Helvetica" w:eastAsia="Calibri" w:hAnsi="Helvetica" w:cs="Helvetica"/>
          <w:b/>
          <w:lang w:val="en-GB"/>
        </w:rPr>
        <w:t>H</w:t>
      </w:r>
      <w:r w:rsidR="00D11811">
        <w:rPr>
          <w:rFonts w:ascii="Helvetica" w:eastAsia="Calibri" w:hAnsi="Helvetica" w:cs="Helvetica"/>
          <w:b/>
          <w:lang w:val="en-GB"/>
        </w:rPr>
        <w:t>O</w:t>
      </w:r>
      <w:r w:rsidR="00BD278C" w:rsidRPr="008A3778">
        <w:rPr>
          <w:rFonts w:ascii="Helvetica" w:eastAsia="Calibri" w:hAnsi="Helvetica" w:cs="Helvetica"/>
          <w:b/>
          <w:lang w:val="en-GB"/>
        </w:rPr>
        <w:t xml:space="preserve">MED AJ </w:t>
      </w:r>
      <w:r w:rsidR="00E34726" w:rsidRPr="008A3778">
        <w:rPr>
          <w:rFonts w:ascii="Helvetica" w:eastAsia="Calibri" w:hAnsi="Helvetica" w:cs="Helvetica"/>
          <w:b/>
          <w:lang w:val="en-GB"/>
        </w:rPr>
        <w:t>and AMM AJ</w:t>
      </w:r>
    </w:p>
    <w:p w14:paraId="0EBE3247" w14:textId="11D3F82A" w:rsidR="00CE6972" w:rsidRPr="008A3778" w:rsidRDefault="00011367" w:rsidP="008A3778">
      <w:pPr>
        <w:pStyle w:val="ListParagraph"/>
        <w:numPr>
          <w:ilvl w:val="0"/>
          <w:numId w:val="3"/>
        </w:numPr>
        <w:tabs>
          <w:tab w:val="left" w:pos="709"/>
        </w:tabs>
        <w:adjustRightInd w:val="0"/>
        <w:spacing w:after="480" w:line="360" w:lineRule="auto"/>
        <w:ind w:left="709" w:hanging="709"/>
        <w:contextualSpacing w:val="0"/>
        <w:jc w:val="both"/>
        <w:rPr>
          <w:rFonts w:ascii="Helvetica" w:hAnsi="Helvetica" w:cs="Helvetica"/>
          <w:b/>
          <w:bCs/>
          <w:lang w:val="en-GB"/>
        </w:rPr>
      </w:pPr>
      <w:bookmarkStart w:id="1" w:name="_Hlk82431292"/>
      <w:r w:rsidRPr="008A3778">
        <w:rPr>
          <w:rFonts w:ascii="Helvetica" w:hAnsi="Helvetica" w:cs="Helvetica"/>
          <w:b/>
          <w:bCs/>
          <w:lang w:val="en-GB"/>
        </w:rPr>
        <w:t>INTRODUCTION</w:t>
      </w:r>
    </w:p>
    <w:p w14:paraId="7983EE48" w14:textId="77777777" w:rsidR="003F62EA" w:rsidRPr="008A3778" w:rsidRDefault="007754C3"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On 26 September 2012, the Adjudicator</w:t>
      </w:r>
      <w:r w:rsidR="009363E0" w:rsidRPr="008A3778">
        <w:rPr>
          <w:rFonts w:ascii="Helvetica" w:eastAsia="HGMaruGothicMPRO" w:hAnsi="Helvetica" w:cs="Helvetica"/>
          <w:lang w:val="en-GB"/>
        </w:rPr>
        <w:t xml:space="preserve"> (the eighth respondent)</w:t>
      </w:r>
      <w:r w:rsidR="009B3EA6" w:rsidRPr="008A3778">
        <w:rPr>
          <w:rStyle w:val="FootnoteReference"/>
          <w:rFonts w:ascii="Helvetica" w:eastAsia="HGMaruGothicMPRO" w:hAnsi="Helvetica" w:cs="Helvetica"/>
          <w:lang w:val="en-GB"/>
        </w:rPr>
        <w:footnoteReference w:id="1"/>
      </w:r>
      <w:r w:rsidRPr="008A3778">
        <w:rPr>
          <w:rFonts w:ascii="Helvetica" w:eastAsia="HGMaruGothicMPRO" w:hAnsi="Helvetica" w:cs="Helvetica"/>
          <w:lang w:val="en-GB"/>
        </w:rPr>
        <w:t xml:space="preserve"> handed down </w:t>
      </w:r>
      <w:r w:rsidR="00AB57DD" w:rsidRPr="008A3778">
        <w:rPr>
          <w:rFonts w:ascii="Helvetica" w:eastAsia="HGMaruGothicMPRO" w:hAnsi="Helvetica" w:cs="Helvetica"/>
          <w:lang w:val="en-GB"/>
        </w:rPr>
        <w:t>a</w:t>
      </w:r>
      <w:r w:rsidRPr="008A3778">
        <w:rPr>
          <w:rFonts w:ascii="Helvetica" w:eastAsia="HGMaruGothicMPRO" w:hAnsi="Helvetica" w:cs="Helvetica"/>
          <w:lang w:val="en-GB"/>
        </w:rPr>
        <w:t xml:space="preserve"> determination in terms of section 30M of the Pension Funds Act</w:t>
      </w:r>
      <w:r w:rsidR="006D28D3" w:rsidRPr="008A3778">
        <w:rPr>
          <w:rFonts w:ascii="Helvetica" w:eastAsia="HGMaruGothicMPRO" w:hAnsi="Helvetica" w:cs="Helvetica"/>
          <w:lang w:val="en-GB"/>
        </w:rPr>
        <w:t>, 1956 (“the PFA”)</w:t>
      </w:r>
      <w:r w:rsidRPr="008A3778">
        <w:rPr>
          <w:rFonts w:ascii="Helvetica" w:eastAsia="HGMaruGothicMPRO" w:hAnsi="Helvetica" w:cs="Helvetica"/>
          <w:lang w:val="en-GB"/>
        </w:rPr>
        <w:t xml:space="preserve">. </w:t>
      </w:r>
      <w:r w:rsidR="00AB57DD" w:rsidRPr="008A3778">
        <w:rPr>
          <w:rFonts w:ascii="Helvetica" w:eastAsia="HGMaruGothicMPRO" w:hAnsi="Helvetica" w:cs="Helvetica"/>
          <w:lang w:val="en-GB"/>
        </w:rPr>
        <w:t>Her</w:t>
      </w:r>
      <w:r w:rsidRPr="008A3778">
        <w:rPr>
          <w:rFonts w:ascii="Helvetica" w:eastAsia="HGMaruGothicMPRO" w:hAnsi="Helvetica" w:cs="Helvetica"/>
          <w:lang w:val="en-GB"/>
        </w:rPr>
        <w:t xml:space="preserve"> determination</w:t>
      </w:r>
      <w:r w:rsidR="006D28D3" w:rsidRPr="008A3778">
        <w:rPr>
          <w:rFonts w:ascii="Helvetica" w:eastAsia="HGMaruGothicMPRO" w:hAnsi="Helvetica" w:cs="Helvetica"/>
          <w:lang w:val="en-GB"/>
        </w:rPr>
        <w:t xml:space="preserve"> pertained to a</w:t>
      </w:r>
      <w:r w:rsidRPr="008A3778">
        <w:rPr>
          <w:rFonts w:ascii="Helvetica" w:eastAsia="HGMaruGothicMPRO" w:hAnsi="Helvetica" w:cs="Helvetica"/>
          <w:lang w:val="en-GB"/>
        </w:rPr>
        <w:t xml:space="preserve"> complaint lodged</w:t>
      </w:r>
      <w:r w:rsidR="006D28D3" w:rsidRPr="008A3778">
        <w:rPr>
          <w:rFonts w:ascii="Helvetica" w:eastAsia="HGMaruGothicMPRO" w:hAnsi="Helvetica" w:cs="Helvetica"/>
          <w:lang w:val="en-GB"/>
        </w:rPr>
        <w:t xml:space="preserve"> by </w:t>
      </w:r>
      <w:r w:rsidR="009363E0" w:rsidRPr="008A3778">
        <w:rPr>
          <w:rFonts w:ascii="Helvetica" w:eastAsia="HGMaruGothicMPRO" w:hAnsi="Helvetica" w:cs="Helvetica"/>
          <w:lang w:val="en-GB"/>
        </w:rPr>
        <w:t>Ms. Collatz (</w:t>
      </w:r>
      <w:r w:rsidR="006D28D3" w:rsidRPr="008A3778">
        <w:rPr>
          <w:rFonts w:ascii="Helvetica" w:eastAsia="HGMaruGothicMPRO" w:hAnsi="Helvetica" w:cs="Helvetica"/>
          <w:lang w:val="en-GB"/>
        </w:rPr>
        <w:t>the first appellant</w:t>
      </w:r>
      <w:r w:rsidR="009363E0" w:rsidRPr="008A3778">
        <w:rPr>
          <w:rFonts w:ascii="Helvetica" w:eastAsia="HGMaruGothicMPRO" w:hAnsi="Helvetica" w:cs="Helvetica"/>
          <w:lang w:val="en-GB"/>
        </w:rPr>
        <w:t>)</w:t>
      </w:r>
      <w:r w:rsidR="006D28D3" w:rsidRPr="008A3778">
        <w:rPr>
          <w:rFonts w:ascii="Helvetica" w:eastAsia="HGMaruGothicMPRO" w:hAnsi="Helvetica" w:cs="Helvetica"/>
          <w:lang w:val="en-GB"/>
        </w:rPr>
        <w:t xml:space="preserve"> during </w:t>
      </w:r>
      <w:r w:rsidRPr="008A3778">
        <w:rPr>
          <w:rFonts w:ascii="Helvetica" w:eastAsia="HGMaruGothicMPRO" w:hAnsi="Helvetica" w:cs="Helvetica"/>
          <w:lang w:val="en-GB"/>
        </w:rPr>
        <w:t>November 2011</w:t>
      </w:r>
      <w:r w:rsidR="006D28D3" w:rsidRPr="008A3778">
        <w:rPr>
          <w:rFonts w:ascii="Helvetica" w:eastAsia="HGMaruGothicMPRO" w:hAnsi="Helvetica" w:cs="Helvetica"/>
          <w:lang w:val="en-GB"/>
        </w:rPr>
        <w:t xml:space="preserve">. </w:t>
      </w:r>
    </w:p>
    <w:p w14:paraId="3D3E7F07" w14:textId="7C3B529B" w:rsidR="006D28D3" w:rsidRPr="008A3778" w:rsidRDefault="006D28D3"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In her complaint</w:t>
      </w:r>
      <w:r w:rsidR="00F968D0">
        <w:rPr>
          <w:rFonts w:ascii="Helvetica" w:eastAsia="HGMaruGothicMPRO" w:hAnsi="Helvetica" w:cs="Helvetica"/>
          <w:lang w:val="en-GB"/>
        </w:rPr>
        <w:t xml:space="preserve"> to the Adjudicator</w:t>
      </w:r>
      <w:r w:rsidRPr="008A3778">
        <w:rPr>
          <w:rFonts w:ascii="Helvetica" w:eastAsia="HGMaruGothicMPRO" w:hAnsi="Helvetica" w:cs="Helvetica"/>
          <w:lang w:val="en-GB"/>
        </w:rPr>
        <w:t xml:space="preserve">, </w:t>
      </w:r>
      <w:bookmarkStart w:id="2" w:name="_Hlk90895302"/>
      <w:r w:rsidR="009363E0" w:rsidRPr="008A3778">
        <w:rPr>
          <w:rFonts w:ascii="Helvetica" w:eastAsia="HGMaruGothicMPRO" w:hAnsi="Helvetica" w:cs="Helvetica"/>
          <w:lang w:val="en-GB"/>
        </w:rPr>
        <w:t>Ms. Collatz</w:t>
      </w:r>
      <w:bookmarkEnd w:id="2"/>
      <w:r w:rsidR="009363E0" w:rsidRPr="008A3778">
        <w:rPr>
          <w:rFonts w:ascii="Helvetica" w:eastAsia="HGMaruGothicMPRO" w:hAnsi="Helvetica" w:cs="Helvetica"/>
          <w:lang w:val="en-GB"/>
        </w:rPr>
        <w:t xml:space="preserve">, </w:t>
      </w:r>
      <w:r w:rsidRPr="008A3778">
        <w:rPr>
          <w:rFonts w:ascii="Helvetica" w:eastAsia="HGMaruGothicMPRO" w:hAnsi="Helvetica" w:cs="Helvetica"/>
          <w:lang w:val="en-GB"/>
        </w:rPr>
        <w:t>sought to set aside the transfer</w:t>
      </w:r>
      <w:r w:rsidR="009363E0" w:rsidRPr="008A3778">
        <w:rPr>
          <w:rFonts w:ascii="Helvetica" w:eastAsia="HGMaruGothicMPRO" w:hAnsi="Helvetica" w:cs="Helvetica"/>
          <w:lang w:val="en-GB"/>
        </w:rPr>
        <w:t xml:space="preserve"> of </w:t>
      </w:r>
      <w:r w:rsidRPr="008A3778">
        <w:rPr>
          <w:rFonts w:ascii="Helvetica" w:eastAsia="HGMaruGothicMPRO" w:hAnsi="Helvetica" w:cs="Helvetica"/>
          <w:lang w:val="en-GB"/>
        </w:rPr>
        <w:t>her (late) husband’s provident fund withdrawal benefit</w:t>
      </w:r>
      <w:r w:rsidR="009363E0" w:rsidRPr="008A3778">
        <w:rPr>
          <w:rFonts w:ascii="Helvetica" w:eastAsia="HGMaruGothicMPRO" w:hAnsi="Helvetica" w:cs="Helvetica"/>
          <w:lang w:val="en-GB"/>
        </w:rPr>
        <w:t xml:space="preserve"> to </w:t>
      </w:r>
      <w:r w:rsidR="00BB0C87" w:rsidRPr="008A3778">
        <w:rPr>
          <w:rFonts w:ascii="Helvetica" w:eastAsia="HGMaruGothicMPRO" w:hAnsi="Helvetica" w:cs="Helvetica"/>
          <w:lang w:val="en-GB"/>
        </w:rPr>
        <w:t>an annuity</w:t>
      </w:r>
      <w:r w:rsidR="009363E0" w:rsidRPr="008A3778">
        <w:rPr>
          <w:rFonts w:ascii="Helvetica" w:eastAsia="HGMaruGothicMPRO" w:hAnsi="Helvetica" w:cs="Helvetica"/>
          <w:lang w:val="en-GB"/>
        </w:rPr>
        <w:t xml:space="preserve"> fund</w:t>
      </w:r>
      <w:r w:rsidR="00BB0C87" w:rsidRPr="008A3778">
        <w:rPr>
          <w:rFonts w:ascii="Helvetica" w:eastAsia="HGMaruGothicMPRO" w:hAnsi="Helvetica" w:cs="Helvetica"/>
          <w:lang w:val="en-GB"/>
        </w:rPr>
        <w:t xml:space="preserve"> of the second respondent</w:t>
      </w:r>
      <w:r w:rsidRPr="008A3778">
        <w:rPr>
          <w:rFonts w:ascii="Helvetica" w:eastAsia="HGMaruGothicMPRO" w:hAnsi="Helvetica" w:cs="Helvetica"/>
          <w:lang w:val="en-GB"/>
        </w:rPr>
        <w:t>.</w:t>
      </w:r>
      <w:r w:rsidR="009363E0" w:rsidRPr="008A3778">
        <w:rPr>
          <w:rFonts w:ascii="Helvetica" w:eastAsia="HGMaruGothicMPRO" w:hAnsi="Helvetica" w:cs="Helvetica"/>
          <w:lang w:val="en-GB"/>
        </w:rPr>
        <w:t xml:space="preserve"> </w:t>
      </w:r>
      <w:r w:rsidR="00AB57DD" w:rsidRPr="008A3778">
        <w:rPr>
          <w:rFonts w:ascii="Helvetica" w:eastAsia="HGMaruGothicMPRO" w:hAnsi="Helvetica" w:cs="Helvetica"/>
          <w:lang w:val="en-GB"/>
        </w:rPr>
        <w:t>Ms. Collatz complained</w:t>
      </w:r>
      <w:r w:rsidR="00E56E43" w:rsidRPr="008A3778">
        <w:rPr>
          <w:rFonts w:ascii="Helvetica" w:eastAsia="HGMaruGothicMPRO" w:hAnsi="Helvetica" w:cs="Helvetica"/>
          <w:lang w:val="en-GB"/>
        </w:rPr>
        <w:t>,</w:t>
      </w:r>
      <w:r w:rsidR="00BD443A" w:rsidRPr="008A3778">
        <w:rPr>
          <w:rFonts w:ascii="Helvetica" w:eastAsia="HGMaruGothicMPRO" w:hAnsi="Helvetica" w:cs="Helvetica"/>
          <w:lang w:val="en-GB"/>
        </w:rPr>
        <w:t xml:space="preserve"> </w:t>
      </w:r>
      <w:r w:rsidR="00023D47" w:rsidRPr="00023D47">
        <w:rPr>
          <w:rFonts w:ascii="Helvetica" w:eastAsia="HGMaruGothicMPRO" w:hAnsi="Helvetica" w:cs="Helvetica"/>
          <w:i/>
          <w:iCs/>
          <w:lang w:val="en-GB"/>
        </w:rPr>
        <w:t>inter-alia</w:t>
      </w:r>
      <w:r w:rsidR="00E56E43" w:rsidRPr="008A3778">
        <w:rPr>
          <w:rFonts w:ascii="Helvetica" w:eastAsia="HGMaruGothicMPRO" w:hAnsi="Helvetica" w:cs="Helvetica"/>
          <w:lang w:val="en-GB"/>
        </w:rPr>
        <w:t>,</w:t>
      </w:r>
      <w:r w:rsidR="00AB57DD" w:rsidRPr="008A3778">
        <w:rPr>
          <w:rFonts w:ascii="Helvetica" w:eastAsia="HGMaruGothicMPRO" w:hAnsi="Helvetica" w:cs="Helvetica"/>
          <w:lang w:val="en-GB"/>
        </w:rPr>
        <w:t xml:space="preserve"> that the withdrawal benefit formed part of her husband</w:t>
      </w:r>
      <w:r w:rsidR="008F5143">
        <w:rPr>
          <w:rFonts w:ascii="Helvetica" w:eastAsia="HGMaruGothicMPRO" w:hAnsi="Helvetica" w:cs="Helvetica"/>
          <w:lang w:val="en-GB"/>
        </w:rPr>
        <w:t>’s</w:t>
      </w:r>
      <w:r w:rsidR="00AB57DD" w:rsidRPr="008A3778">
        <w:rPr>
          <w:rFonts w:ascii="Helvetica" w:eastAsia="HGMaruGothicMPRO" w:hAnsi="Helvetica" w:cs="Helvetica"/>
          <w:lang w:val="en-GB"/>
        </w:rPr>
        <w:t xml:space="preserve"> and her </w:t>
      </w:r>
      <w:r w:rsidR="00E56E43" w:rsidRPr="008A3778">
        <w:rPr>
          <w:rFonts w:ascii="Helvetica" w:eastAsia="HGMaruGothicMPRO" w:hAnsi="Helvetica" w:cs="Helvetica"/>
          <w:lang w:val="en-GB"/>
        </w:rPr>
        <w:t>joint estate</w:t>
      </w:r>
      <w:r w:rsidR="00BD443A" w:rsidRPr="008A3778">
        <w:rPr>
          <w:rFonts w:ascii="Helvetica" w:eastAsia="HGMaruGothicMPRO" w:hAnsi="Helvetica" w:cs="Helvetica"/>
          <w:lang w:val="en-GB"/>
        </w:rPr>
        <w:t xml:space="preserve"> (they were married in community of property)</w:t>
      </w:r>
      <w:r w:rsidR="00BB0C87" w:rsidRPr="008A3778">
        <w:rPr>
          <w:rFonts w:ascii="Helvetica" w:eastAsia="HGMaruGothicMPRO" w:hAnsi="Helvetica" w:cs="Helvetica"/>
          <w:lang w:val="en-GB"/>
        </w:rPr>
        <w:t xml:space="preserve">, and </w:t>
      </w:r>
      <w:r w:rsidR="00BB0C87" w:rsidRPr="008A3778">
        <w:rPr>
          <w:rFonts w:ascii="Helvetica" w:eastAsia="HGMaruGothicMPRO" w:hAnsi="Helvetica" w:cs="Helvetica"/>
          <w:lang w:val="en-GB"/>
        </w:rPr>
        <w:lastRenderedPageBreak/>
        <w:t>as such, could not be dealt with without her consent</w:t>
      </w:r>
      <w:r w:rsidR="00E56E43" w:rsidRPr="008A3778">
        <w:rPr>
          <w:rFonts w:ascii="Helvetica" w:eastAsia="HGMaruGothicMPRO" w:hAnsi="Helvetica" w:cs="Helvetica"/>
          <w:lang w:val="en-GB"/>
        </w:rPr>
        <w:t xml:space="preserve">. </w:t>
      </w:r>
      <w:r w:rsidR="009363E0" w:rsidRPr="008A3778">
        <w:rPr>
          <w:rFonts w:ascii="Helvetica" w:eastAsia="HGMaruGothicMPRO" w:hAnsi="Helvetica" w:cs="Helvetica"/>
          <w:lang w:val="en-GB"/>
        </w:rPr>
        <w:t>T</w:t>
      </w:r>
      <w:r w:rsidRPr="008A3778">
        <w:rPr>
          <w:rFonts w:ascii="Helvetica" w:eastAsia="HGMaruGothicMPRO" w:hAnsi="Helvetica" w:cs="Helvetica"/>
          <w:lang w:val="en-GB"/>
        </w:rPr>
        <w:t xml:space="preserve">he Adjudicator dismissed </w:t>
      </w:r>
      <w:r w:rsidR="009363E0" w:rsidRPr="008A3778">
        <w:rPr>
          <w:rFonts w:ascii="Helvetica" w:eastAsia="HGMaruGothicMPRO" w:hAnsi="Helvetica" w:cs="Helvetica"/>
          <w:lang w:val="en-GB"/>
        </w:rPr>
        <w:t xml:space="preserve">Ms. Collatz’s </w:t>
      </w:r>
      <w:r w:rsidRPr="008A3778">
        <w:rPr>
          <w:rFonts w:ascii="Helvetica" w:eastAsia="HGMaruGothicMPRO" w:hAnsi="Helvetica" w:cs="Helvetica"/>
          <w:lang w:val="en-GB"/>
        </w:rPr>
        <w:t>complaint.</w:t>
      </w:r>
      <w:r w:rsidR="0018667A" w:rsidRPr="008A3778">
        <w:rPr>
          <w:rStyle w:val="FootnoteReference"/>
          <w:rFonts w:ascii="Helvetica" w:eastAsia="HGMaruGothicMPRO" w:hAnsi="Helvetica" w:cs="Helvetica"/>
          <w:lang w:val="en-GB"/>
        </w:rPr>
        <w:footnoteReference w:id="2"/>
      </w:r>
      <w:r w:rsidRPr="008A3778">
        <w:rPr>
          <w:rFonts w:ascii="Helvetica" w:eastAsia="HGMaruGothicMPRO" w:hAnsi="Helvetica" w:cs="Helvetica"/>
          <w:lang w:val="en-GB"/>
        </w:rPr>
        <w:t xml:space="preserve"> </w:t>
      </w:r>
    </w:p>
    <w:p w14:paraId="715F5EF9" w14:textId="6BE94C43" w:rsidR="006D28D3" w:rsidRPr="008A3778" w:rsidRDefault="006D28D3" w:rsidP="006D5807">
      <w:pPr>
        <w:numPr>
          <w:ilvl w:val="0"/>
          <w:numId w:val="1"/>
        </w:numPr>
        <w:tabs>
          <w:tab w:val="clear" w:pos="851"/>
          <w:tab w:val="num" w:pos="720"/>
        </w:tabs>
        <w:spacing w:after="240" w:line="360" w:lineRule="auto"/>
        <w:ind w:left="720" w:right="-144" w:hanging="720"/>
        <w:jc w:val="both"/>
        <w:rPr>
          <w:rFonts w:ascii="Helvetica" w:eastAsia="HGMaruGothicMPRO" w:hAnsi="Helvetica" w:cs="Helvetica"/>
          <w:lang w:val="en-GB"/>
        </w:rPr>
      </w:pPr>
      <w:r w:rsidRPr="008A3778">
        <w:rPr>
          <w:rFonts w:ascii="Helvetica" w:eastAsia="HGMaruGothicMPRO" w:hAnsi="Helvetica" w:cs="Helvetica"/>
          <w:lang w:val="en-GB"/>
        </w:rPr>
        <w:t>The appellants</w:t>
      </w:r>
      <w:r w:rsidR="009363E0" w:rsidRPr="008A3778">
        <w:rPr>
          <w:rFonts w:ascii="Helvetica" w:eastAsia="HGMaruGothicMPRO" w:hAnsi="Helvetica" w:cs="Helvetica"/>
          <w:lang w:val="en-GB"/>
        </w:rPr>
        <w:t xml:space="preserve">, as applicants </w:t>
      </w:r>
      <w:r w:rsidR="009363E0" w:rsidRPr="008A3778">
        <w:rPr>
          <w:rFonts w:ascii="Helvetica" w:eastAsia="HGMaruGothicMPRO" w:hAnsi="Helvetica" w:cs="Helvetica"/>
          <w:i/>
          <w:iCs/>
          <w:lang w:val="en-GB"/>
        </w:rPr>
        <w:t>a quo</w:t>
      </w:r>
      <w:r w:rsidR="009363E0" w:rsidRPr="008A3778">
        <w:rPr>
          <w:rFonts w:ascii="Helvetica" w:eastAsia="HGMaruGothicMPRO" w:hAnsi="Helvetica" w:cs="Helvetica"/>
          <w:lang w:val="en-GB"/>
        </w:rPr>
        <w:t xml:space="preserve">, </w:t>
      </w:r>
      <w:r w:rsidRPr="008A3778">
        <w:rPr>
          <w:rFonts w:ascii="Helvetica" w:eastAsia="HGMaruGothicMPRO" w:hAnsi="Helvetica" w:cs="Helvetica"/>
          <w:lang w:val="en-GB"/>
        </w:rPr>
        <w:t>then approached the High Court for relief.</w:t>
      </w:r>
      <w:r w:rsidR="009363E0" w:rsidRPr="008A3778">
        <w:rPr>
          <w:rFonts w:ascii="Helvetica" w:eastAsia="HGMaruGothicMPRO" w:hAnsi="Helvetica" w:cs="Helvetica"/>
          <w:lang w:val="en-GB"/>
        </w:rPr>
        <w:t xml:space="preserve"> They did so during November 2012.</w:t>
      </w:r>
      <w:r w:rsidRPr="008A3778">
        <w:rPr>
          <w:rFonts w:ascii="Helvetica" w:eastAsia="HGMaruGothicMPRO" w:hAnsi="Helvetica" w:cs="Helvetica"/>
          <w:lang w:val="en-GB"/>
        </w:rPr>
        <w:t xml:space="preserve"> </w:t>
      </w:r>
      <w:r w:rsidR="001A5699" w:rsidRPr="008A3778">
        <w:rPr>
          <w:rFonts w:ascii="Helvetica" w:eastAsia="HGMaruGothicMPRO" w:hAnsi="Helvetica" w:cs="Helvetica"/>
          <w:lang w:val="en-GB"/>
        </w:rPr>
        <w:t>W</w:t>
      </w:r>
      <w:r w:rsidR="00742602" w:rsidRPr="008A3778">
        <w:rPr>
          <w:rFonts w:ascii="Helvetica" w:eastAsia="HGMaruGothicMPRO" w:hAnsi="Helvetica" w:cs="Helvetica"/>
          <w:lang w:val="en-GB"/>
        </w:rPr>
        <w:t>hilst</w:t>
      </w:r>
      <w:r w:rsidR="00BD443A" w:rsidRPr="008A3778">
        <w:rPr>
          <w:rFonts w:ascii="Helvetica" w:eastAsia="HGMaruGothicMPRO" w:hAnsi="Helvetica" w:cs="Helvetica"/>
          <w:lang w:val="en-GB"/>
        </w:rPr>
        <w:t xml:space="preserve"> referencing </w:t>
      </w:r>
      <w:r w:rsidR="00742602" w:rsidRPr="008A3778">
        <w:rPr>
          <w:rFonts w:ascii="Helvetica" w:eastAsia="HGMaruGothicMPRO" w:hAnsi="Helvetica" w:cs="Helvetica"/>
          <w:lang w:val="en-GB"/>
        </w:rPr>
        <w:t>section 30P</w:t>
      </w:r>
      <w:r w:rsidR="0040419A" w:rsidRPr="008A3778">
        <w:rPr>
          <w:rStyle w:val="FootnoteReference"/>
          <w:rFonts w:ascii="Helvetica" w:eastAsia="HGMaruGothicMPRO" w:hAnsi="Helvetica" w:cs="Helvetica"/>
          <w:lang w:val="en-GB"/>
        </w:rPr>
        <w:footnoteReference w:id="3"/>
      </w:r>
      <w:r w:rsidR="00742602" w:rsidRPr="008A3778">
        <w:rPr>
          <w:rFonts w:ascii="Helvetica" w:eastAsia="HGMaruGothicMPRO" w:hAnsi="Helvetica" w:cs="Helvetica"/>
          <w:lang w:val="en-GB"/>
        </w:rPr>
        <w:t xml:space="preserve"> in the</w:t>
      </w:r>
      <w:r w:rsidR="001A5699" w:rsidRPr="008A3778">
        <w:rPr>
          <w:rFonts w:ascii="Helvetica" w:eastAsia="HGMaruGothicMPRO" w:hAnsi="Helvetica" w:cs="Helvetica"/>
          <w:lang w:val="en-GB"/>
        </w:rPr>
        <w:t>ir</w:t>
      </w:r>
      <w:r w:rsidR="00742602" w:rsidRPr="008A3778">
        <w:rPr>
          <w:rFonts w:ascii="Helvetica" w:eastAsia="HGMaruGothicMPRO" w:hAnsi="Helvetica" w:cs="Helvetica"/>
          <w:lang w:val="en-GB"/>
        </w:rPr>
        <w:t xml:space="preserve"> founding affidavit</w:t>
      </w:r>
      <w:r w:rsidRPr="008A3778">
        <w:rPr>
          <w:rFonts w:ascii="Helvetica" w:eastAsia="HGMaruGothicMPRO" w:hAnsi="Helvetica" w:cs="Helvetica"/>
          <w:lang w:val="en-GB"/>
        </w:rPr>
        <w:t>, the</w:t>
      </w:r>
      <w:r w:rsidR="001A5699" w:rsidRPr="008A3778">
        <w:rPr>
          <w:rFonts w:ascii="Helvetica" w:eastAsia="HGMaruGothicMPRO" w:hAnsi="Helvetica" w:cs="Helvetica"/>
          <w:lang w:val="en-GB"/>
        </w:rPr>
        <w:t>y initially did not seek</w:t>
      </w:r>
      <w:r w:rsidR="00F968D0">
        <w:rPr>
          <w:rFonts w:ascii="Helvetica" w:eastAsia="HGMaruGothicMPRO" w:hAnsi="Helvetica" w:cs="Helvetica"/>
          <w:lang w:val="en-GB"/>
        </w:rPr>
        <w:t xml:space="preserve"> or identify</w:t>
      </w:r>
      <w:r w:rsidR="001A5699" w:rsidRPr="008A3778">
        <w:rPr>
          <w:rFonts w:ascii="Helvetica" w:eastAsia="HGMaruGothicMPRO" w:hAnsi="Helvetica" w:cs="Helvetica"/>
          <w:lang w:val="en-GB"/>
        </w:rPr>
        <w:t xml:space="preserve"> any relief in terms of section</w:t>
      </w:r>
      <w:r w:rsidR="00F968D0">
        <w:rPr>
          <w:rFonts w:ascii="Helvetica" w:eastAsia="HGMaruGothicMPRO" w:hAnsi="Helvetica" w:cs="Helvetica"/>
          <w:lang w:val="en-GB"/>
        </w:rPr>
        <w:t xml:space="preserve"> </w:t>
      </w:r>
      <w:r w:rsidR="001017B7">
        <w:rPr>
          <w:rFonts w:ascii="Helvetica" w:eastAsia="HGMaruGothicMPRO" w:hAnsi="Helvetica" w:cs="Helvetica"/>
          <w:lang w:val="en-GB"/>
        </w:rPr>
        <w:t xml:space="preserve">30P </w:t>
      </w:r>
      <w:r w:rsidR="00F968D0">
        <w:rPr>
          <w:rFonts w:ascii="Helvetica" w:eastAsia="HGMaruGothicMPRO" w:hAnsi="Helvetica" w:cs="Helvetica"/>
          <w:lang w:val="en-GB"/>
        </w:rPr>
        <w:t>in their notice of motion</w:t>
      </w:r>
      <w:r w:rsidR="00FC7A30" w:rsidRPr="008A3778">
        <w:rPr>
          <w:rFonts w:ascii="Helvetica" w:eastAsia="HGMaruGothicMPRO" w:hAnsi="Helvetica" w:cs="Helvetica"/>
          <w:lang w:val="en-GB"/>
        </w:rPr>
        <w:t>.</w:t>
      </w:r>
      <w:r w:rsidRPr="008A3778">
        <w:rPr>
          <w:rFonts w:ascii="Helvetica" w:eastAsia="HGMaruGothicMPRO" w:hAnsi="Helvetica" w:cs="Helvetica"/>
          <w:lang w:val="en-GB"/>
        </w:rPr>
        <w:t xml:space="preserve"> Section 30P reads: </w:t>
      </w:r>
    </w:p>
    <w:p w14:paraId="70C5F4C0" w14:textId="4BF97CFE" w:rsidR="006D28D3" w:rsidRPr="008A3778" w:rsidRDefault="006D28D3" w:rsidP="003D368F">
      <w:pPr>
        <w:pStyle w:val="ListParagraph"/>
        <w:shd w:val="clear" w:color="auto" w:fill="FFFFFF"/>
        <w:spacing w:after="120" w:line="240" w:lineRule="auto"/>
        <w:ind w:left="1843" w:right="498" w:hanging="677"/>
        <w:contextualSpacing w:val="0"/>
        <w:rPr>
          <w:rFonts w:ascii="Helvetica" w:eastAsia="Times New Roman" w:hAnsi="Helvetica" w:cs="Helvetica"/>
          <w:i/>
          <w:iCs/>
          <w:lang w:val="en-GB" w:eastAsia="en-ZA"/>
        </w:rPr>
      </w:pPr>
      <w:r w:rsidRPr="008A3778">
        <w:rPr>
          <w:rFonts w:ascii="Helvetica" w:eastAsia="Times New Roman" w:hAnsi="Helvetica" w:cs="Helvetica"/>
          <w:lang w:val="en-GB" w:eastAsia="en-ZA"/>
        </w:rPr>
        <w:t>“</w:t>
      </w:r>
      <w:r w:rsidRPr="008A3778">
        <w:rPr>
          <w:rFonts w:ascii="Helvetica" w:eastAsia="Times New Roman" w:hAnsi="Helvetica" w:cs="Helvetica"/>
          <w:b/>
          <w:bCs/>
          <w:i/>
          <w:iCs/>
          <w:lang w:val="en-GB" w:eastAsia="en-ZA"/>
        </w:rPr>
        <w:t>30P.</w:t>
      </w:r>
      <w:r w:rsidR="00F968D0">
        <w:rPr>
          <w:rFonts w:ascii="Helvetica" w:eastAsia="Times New Roman" w:hAnsi="Helvetica" w:cs="Helvetica"/>
          <w:b/>
          <w:bCs/>
          <w:i/>
          <w:iCs/>
          <w:lang w:val="en-GB" w:eastAsia="en-ZA"/>
        </w:rPr>
        <w:tab/>
      </w:r>
      <w:r w:rsidRPr="008A3778">
        <w:rPr>
          <w:rFonts w:ascii="Helvetica" w:eastAsia="Times New Roman" w:hAnsi="Helvetica" w:cs="Helvetica"/>
          <w:b/>
          <w:bCs/>
          <w:i/>
          <w:iCs/>
          <w:lang w:val="en-GB" w:eastAsia="en-ZA"/>
        </w:rPr>
        <w:t>Access to court</w:t>
      </w:r>
    </w:p>
    <w:p w14:paraId="754B4A8E" w14:textId="3C6F5C85" w:rsidR="006D28D3" w:rsidRPr="008A3778" w:rsidRDefault="006D28D3" w:rsidP="003D368F">
      <w:pPr>
        <w:pStyle w:val="ListParagraph"/>
        <w:numPr>
          <w:ilvl w:val="0"/>
          <w:numId w:val="31"/>
        </w:numPr>
        <w:shd w:val="clear" w:color="auto" w:fill="FFFFFF"/>
        <w:spacing w:before="120" w:after="480" w:line="240" w:lineRule="auto"/>
        <w:ind w:left="2410" w:right="498" w:hanging="567"/>
        <w:contextualSpacing w:val="0"/>
        <w:jc w:val="both"/>
        <w:rPr>
          <w:rFonts w:ascii="Helvetica" w:eastAsia="Times New Roman" w:hAnsi="Helvetica" w:cs="Helvetica"/>
          <w:lang w:val="en-GB" w:eastAsia="en-ZA"/>
        </w:rPr>
      </w:pPr>
      <w:r w:rsidRPr="008A3778">
        <w:rPr>
          <w:rFonts w:ascii="Helvetica" w:eastAsia="Times New Roman" w:hAnsi="Helvetica" w:cs="Helvetica"/>
          <w:i/>
          <w:iCs/>
          <w:lang w:val="en-GB" w:eastAsia="en-ZA"/>
        </w:rPr>
        <w:t xml:space="preserve">Any </w:t>
      </w:r>
      <w:bookmarkStart w:id="3" w:name="_Hlk90379020"/>
      <w:r w:rsidRPr="008A3778">
        <w:rPr>
          <w:rFonts w:ascii="Helvetica" w:eastAsia="Times New Roman" w:hAnsi="Helvetica" w:cs="Helvetica"/>
          <w:i/>
          <w:iCs/>
          <w:lang w:val="en-GB" w:eastAsia="en-ZA"/>
        </w:rPr>
        <w:t>party who feels aggrieved by a determination of the Adjudicator</w:t>
      </w:r>
      <w:bookmarkEnd w:id="3"/>
      <w:r w:rsidRPr="008A3778">
        <w:rPr>
          <w:rFonts w:ascii="Helvetica" w:eastAsia="Times New Roman" w:hAnsi="Helvetica" w:cs="Helvetica"/>
          <w:i/>
          <w:iCs/>
          <w:lang w:val="en-GB" w:eastAsia="en-ZA"/>
        </w:rPr>
        <w:t xml:space="preserve"> may, within six weeks after the date of the determination, apply to the division of the High Court which has jurisdiction, for relief, and shall at the same time give written notice of his or her intention so to apply to the other parties to the complaint</w:t>
      </w:r>
      <w:r w:rsidRPr="008A3778">
        <w:rPr>
          <w:rFonts w:ascii="Helvetica" w:eastAsia="Times New Roman" w:hAnsi="Helvetica" w:cs="Helvetica"/>
          <w:lang w:val="en-GB" w:eastAsia="en-ZA"/>
        </w:rPr>
        <w:t xml:space="preserve">.” </w:t>
      </w:r>
    </w:p>
    <w:p w14:paraId="40524F79" w14:textId="701F96E1" w:rsidR="003F62EA" w:rsidRPr="008A3778" w:rsidRDefault="00BD443A"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At what can only be described as the eleventh hour</w:t>
      </w:r>
      <w:r w:rsidR="00F968D0">
        <w:rPr>
          <w:rFonts w:ascii="Helvetica" w:eastAsia="HGMaruGothicMPRO" w:hAnsi="Helvetica" w:cs="Helvetica"/>
          <w:lang w:val="en-GB"/>
        </w:rPr>
        <w:t xml:space="preserve"> and then some eight years later</w:t>
      </w:r>
      <w:r w:rsidR="00FC7A30" w:rsidRPr="008A3778">
        <w:rPr>
          <w:rFonts w:ascii="Helvetica" w:eastAsia="HGMaruGothicMPRO" w:hAnsi="Helvetica" w:cs="Helvetica"/>
          <w:lang w:val="en-GB"/>
        </w:rPr>
        <w:t xml:space="preserve">, the appellants amended their notice of motion to seek relief in terms of section 30P. </w:t>
      </w:r>
      <w:r w:rsidR="003F62EA" w:rsidRPr="008A3778">
        <w:rPr>
          <w:rFonts w:ascii="Helvetica" w:eastAsia="HGMaruGothicMPRO" w:hAnsi="Helvetica" w:cs="Helvetica"/>
          <w:lang w:val="en-GB"/>
        </w:rPr>
        <w:t>More</w:t>
      </w:r>
      <w:r w:rsidR="00FC7A30" w:rsidRPr="008A3778">
        <w:rPr>
          <w:rFonts w:ascii="Helvetica" w:eastAsia="HGMaruGothicMPRO" w:hAnsi="Helvetica" w:cs="Helvetica"/>
          <w:lang w:val="en-GB"/>
        </w:rPr>
        <w:t xml:space="preserve"> specifically</w:t>
      </w:r>
      <w:r w:rsidR="003F62EA" w:rsidRPr="008A3778">
        <w:rPr>
          <w:rFonts w:ascii="Helvetica" w:eastAsia="HGMaruGothicMPRO" w:hAnsi="Helvetica" w:cs="Helvetica"/>
          <w:lang w:val="en-GB"/>
        </w:rPr>
        <w:t>, the appellants sought, in addition to other relief, an order “</w:t>
      </w:r>
      <w:r w:rsidR="003F62EA" w:rsidRPr="008A3778">
        <w:rPr>
          <w:rFonts w:ascii="Helvetica" w:eastAsia="HGMaruGothicMPRO" w:hAnsi="Helvetica" w:cs="Helvetica"/>
          <w:i/>
          <w:iCs/>
          <w:lang w:val="en-GB"/>
        </w:rPr>
        <w:t>reviewing and setting aside the Adjudicator’s determination made on 26 September 2012 in terms of section 30P of the Pension Funds Act</w:t>
      </w:r>
      <w:r w:rsidR="003F62EA" w:rsidRPr="008A3778">
        <w:rPr>
          <w:rFonts w:ascii="Helvetica" w:eastAsia="HGMaruGothicMPRO" w:hAnsi="Helvetica" w:cs="Helvetica"/>
          <w:lang w:val="en-GB"/>
        </w:rPr>
        <w:t xml:space="preserve">”. </w:t>
      </w:r>
    </w:p>
    <w:p w14:paraId="4EA927C3" w14:textId="6CD178A1" w:rsidR="004A3255" w:rsidRPr="008A3778" w:rsidRDefault="00715B82"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On 26 October 2020</w:t>
      </w:r>
      <w:r w:rsidR="009363E0" w:rsidRPr="008A3778">
        <w:rPr>
          <w:rFonts w:ascii="Helvetica" w:eastAsia="HGMaruGothicMPRO" w:hAnsi="Helvetica" w:cs="Helvetica"/>
          <w:lang w:val="en-GB"/>
        </w:rPr>
        <w:t>, the High Court dismissed the appellants’ section 30P application</w:t>
      </w:r>
      <w:r w:rsidRPr="008A3778">
        <w:rPr>
          <w:rFonts w:ascii="Helvetica" w:eastAsia="HGMaruGothicMPRO" w:hAnsi="Helvetica" w:cs="Helvetica"/>
          <w:lang w:val="en-GB"/>
        </w:rPr>
        <w:t>. I</w:t>
      </w:r>
      <w:r w:rsidR="009363E0" w:rsidRPr="008A3778">
        <w:rPr>
          <w:rFonts w:ascii="Helvetica" w:eastAsia="HGMaruGothicMPRO" w:hAnsi="Helvetica" w:cs="Helvetica"/>
          <w:lang w:val="en-GB"/>
        </w:rPr>
        <w:t>n so doing</w:t>
      </w:r>
      <w:r w:rsidRPr="008A3778">
        <w:rPr>
          <w:rFonts w:ascii="Helvetica" w:eastAsia="HGMaruGothicMPRO" w:hAnsi="Helvetica" w:cs="Helvetica"/>
          <w:lang w:val="en-GB"/>
        </w:rPr>
        <w:t xml:space="preserve">, the High Court </w:t>
      </w:r>
      <w:r w:rsidR="00AC5589" w:rsidRPr="008A3778">
        <w:rPr>
          <w:rFonts w:ascii="Helvetica" w:eastAsia="HGMaruGothicMPRO" w:hAnsi="Helvetica" w:cs="Helvetica"/>
          <w:lang w:val="en-GB"/>
        </w:rPr>
        <w:t xml:space="preserve">also </w:t>
      </w:r>
      <w:r w:rsidRPr="008A3778">
        <w:rPr>
          <w:rFonts w:ascii="Helvetica" w:eastAsia="HGMaruGothicMPRO" w:hAnsi="Helvetica" w:cs="Helvetica"/>
          <w:lang w:val="en-GB"/>
        </w:rPr>
        <w:t xml:space="preserve">granted </w:t>
      </w:r>
      <w:r w:rsidR="009363E0" w:rsidRPr="008A3778">
        <w:rPr>
          <w:rFonts w:ascii="Helvetica" w:eastAsia="HGMaruGothicMPRO" w:hAnsi="Helvetica" w:cs="Helvetica"/>
          <w:lang w:val="en-GB"/>
        </w:rPr>
        <w:t>a punitive attorney and client costs order against Ms</w:t>
      </w:r>
      <w:r w:rsidR="003C7641" w:rsidRPr="008A3778">
        <w:rPr>
          <w:rFonts w:ascii="Helvetica" w:eastAsia="HGMaruGothicMPRO" w:hAnsi="Helvetica" w:cs="Helvetica"/>
          <w:lang w:val="en-GB"/>
        </w:rPr>
        <w:t>.</w:t>
      </w:r>
      <w:r w:rsidR="009363E0" w:rsidRPr="008A3778">
        <w:rPr>
          <w:rFonts w:ascii="Helvetica" w:eastAsia="HGMaruGothicMPRO" w:hAnsi="Helvetica" w:cs="Helvetica"/>
          <w:lang w:val="en-GB"/>
        </w:rPr>
        <w:t xml:space="preserve"> </w:t>
      </w:r>
      <w:r w:rsidR="00AC5589" w:rsidRPr="008A3778">
        <w:rPr>
          <w:rFonts w:ascii="Helvetica" w:eastAsia="HGMaruGothicMPRO" w:hAnsi="Helvetica" w:cs="Helvetica"/>
          <w:lang w:val="en-GB"/>
        </w:rPr>
        <w:t>Collatz</w:t>
      </w:r>
      <w:r w:rsidR="009363E0" w:rsidRPr="008A3778">
        <w:rPr>
          <w:rFonts w:ascii="Helvetica" w:eastAsia="HGMaruGothicMPRO" w:hAnsi="Helvetica" w:cs="Helvetica"/>
          <w:lang w:val="en-GB"/>
        </w:rPr>
        <w:t xml:space="preserve"> personally</w:t>
      </w:r>
      <w:r w:rsidR="004A3255" w:rsidRPr="008A3778">
        <w:rPr>
          <w:rFonts w:ascii="Helvetica" w:eastAsia="HGMaruGothicMPRO" w:hAnsi="Helvetica" w:cs="Helvetica"/>
          <w:lang w:val="en-GB"/>
        </w:rPr>
        <w:t xml:space="preserve">. </w:t>
      </w:r>
    </w:p>
    <w:p w14:paraId="6A35A539" w14:textId="7794F0B3" w:rsidR="00832F28" w:rsidRPr="008A3778" w:rsidRDefault="00715B82"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This is an appeal</w:t>
      </w:r>
      <w:r w:rsidR="00FC7A30" w:rsidRPr="008A3778">
        <w:rPr>
          <w:rFonts w:ascii="Helvetica" w:eastAsia="HGMaruGothicMPRO" w:hAnsi="Helvetica" w:cs="Helvetica"/>
          <w:lang w:val="en-GB"/>
        </w:rPr>
        <w:t xml:space="preserve">, with the leave of the High Court, </w:t>
      </w:r>
      <w:r w:rsidRPr="008A3778">
        <w:rPr>
          <w:rFonts w:ascii="Helvetica" w:eastAsia="HGMaruGothicMPRO" w:hAnsi="Helvetica" w:cs="Helvetica"/>
          <w:lang w:val="en-GB"/>
        </w:rPr>
        <w:t xml:space="preserve">against </w:t>
      </w:r>
      <w:r w:rsidR="00BB0C87" w:rsidRPr="008A3778">
        <w:rPr>
          <w:rFonts w:ascii="Helvetica" w:eastAsia="HGMaruGothicMPRO" w:hAnsi="Helvetica" w:cs="Helvetica"/>
          <w:lang w:val="en-GB"/>
        </w:rPr>
        <w:t>the</w:t>
      </w:r>
      <w:r w:rsidRPr="008A3778">
        <w:rPr>
          <w:rFonts w:ascii="Helvetica" w:eastAsia="HGMaruGothicMPRO" w:hAnsi="Helvetica" w:cs="Helvetica"/>
          <w:lang w:val="en-GB"/>
        </w:rPr>
        <w:t xml:space="preserve"> orders of the High Court. As was the case in the section 30P application</w:t>
      </w:r>
      <w:r w:rsidR="00F968D0">
        <w:rPr>
          <w:rFonts w:ascii="Helvetica" w:eastAsia="HGMaruGothicMPRO" w:hAnsi="Helvetica" w:cs="Helvetica"/>
          <w:lang w:val="en-GB"/>
        </w:rPr>
        <w:t xml:space="preserve"> before the High Court</w:t>
      </w:r>
      <w:r w:rsidRPr="008A3778">
        <w:rPr>
          <w:rFonts w:ascii="Helvetica" w:eastAsia="HGMaruGothicMPRO" w:hAnsi="Helvetica" w:cs="Helvetica"/>
          <w:lang w:val="en-GB"/>
        </w:rPr>
        <w:t>, the</w:t>
      </w:r>
      <w:r w:rsidR="00832F28" w:rsidRPr="008A3778">
        <w:rPr>
          <w:rFonts w:ascii="Helvetica" w:eastAsia="HGMaruGothicMPRO" w:hAnsi="Helvetica" w:cs="Helvetica"/>
          <w:lang w:val="en-GB"/>
        </w:rPr>
        <w:t xml:space="preserve"> </w:t>
      </w:r>
      <w:r w:rsidR="003143C7" w:rsidRPr="008A3778">
        <w:rPr>
          <w:rFonts w:ascii="Helvetica" w:eastAsia="HGMaruGothicMPRO" w:hAnsi="Helvetica" w:cs="Helvetica"/>
          <w:lang w:val="en-GB"/>
        </w:rPr>
        <w:t>first and second respondents, the</w:t>
      </w:r>
      <w:r w:rsidR="00145C16" w:rsidRPr="008A3778">
        <w:rPr>
          <w:rFonts w:ascii="Helvetica" w:eastAsia="HGMaruGothicMPRO" w:hAnsi="Helvetica" w:cs="Helvetica"/>
          <w:lang w:val="en-GB"/>
        </w:rPr>
        <w:t xml:space="preserve"> third </w:t>
      </w:r>
      <w:r w:rsidR="003143C7" w:rsidRPr="008A3778">
        <w:rPr>
          <w:rFonts w:ascii="Helvetica" w:eastAsia="HGMaruGothicMPRO" w:hAnsi="Helvetica" w:cs="Helvetica"/>
          <w:lang w:val="en-GB"/>
        </w:rPr>
        <w:t>to</w:t>
      </w:r>
      <w:r w:rsidR="00145C16" w:rsidRPr="008A3778">
        <w:rPr>
          <w:rFonts w:ascii="Helvetica" w:eastAsia="HGMaruGothicMPRO" w:hAnsi="Helvetica" w:cs="Helvetica"/>
          <w:lang w:val="en-GB"/>
        </w:rPr>
        <w:t xml:space="preserve"> fifth </w:t>
      </w:r>
      <w:r w:rsidR="003143C7" w:rsidRPr="008A3778">
        <w:rPr>
          <w:rFonts w:ascii="Helvetica" w:eastAsia="HGMaruGothicMPRO" w:hAnsi="Helvetica" w:cs="Helvetica"/>
          <w:lang w:val="en-GB"/>
        </w:rPr>
        <w:t>respondents and the ninth respondent</w:t>
      </w:r>
      <w:r w:rsidRPr="008A3778">
        <w:rPr>
          <w:rFonts w:ascii="Helvetica" w:eastAsia="HGMaruGothicMPRO" w:hAnsi="Helvetica" w:cs="Helvetica"/>
          <w:lang w:val="en-GB"/>
        </w:rPr>
        <w:t xml:space="preserve"> oppose the appeal</w:t>
      </w:r>
      <w:r w:rsidR="00BB0C87" w:rsidRPr="008A3778">
        <w:rPr>
          <w:rFonts w:ascii="Helvetica" w:eastAsia="HGMaruGothicMPRO" w:hAnsi="Helvetica" w:cs="Helvetica"/>
          <w:lang w:val="en-GB"/>
        </w:rPr>
        <w:t>.</w:t>
      </w:r>
      <w:r w:rsidR="0062204B" w:rsidRPr="008A3778">
        <w:rPr>
          <w:rFonts w:ascii="Helvetica" w:eastAsia="HGMaruGothicMPRO" w:hAnsi="Helvetica" w:cs="Helvetica"/>
          <w:lang w:val="en-GB"/>
        </w:rPr>
        <w:t xml:space="preserve"> </w:t>
      </w:r>
      <w:r w:rsidR="00F65175" w:rsidRPr="008A3778">
        <w:rPr>
          <w:rFonts w:ascii="Helvetica" w:eastAsia="HGMaruGothicMPRO" w:hAnsi="Helvetica" w:cs="Helvetica"/>
          <w:lang w:val="en-GB"/>
        </w:rPr>
        <w:t>(</w:t>
      </w:r>
      <w:r w:rsidR="0062204B" w:rsidRPr="008A3778">
        <w:rPr>
          <w:rFonts w:ascii="Helvetica" w:eastAsia="HGMaruGothicMPRO" w:hAnsi="Helvetica" w:cs="Helvetica"/>
          <w:lang w:val="en-GB"/>
        </w:rPr>
        <w:t xml:space="preserve">I am unpersuaded by the ninth </w:t>
      </w:r>
      <w:r w:rsidR="00681251" w:rsidRPr="008A3778">
        <w:rPr>
          <w:rFonts w:ascii="Helvetica" w:eastAsia="HGMaruGothicMPRO" w:hAnsi="Helvetica" w:cs="Helvetica"/>
          <w:lang w:val="en-GB"/>
        </w:rPr>
        <w:t>respondent’s</w:t>
      </w:r>
      <w:r w:rsidR="0062204B" w:rsidRPr="008A3778">
        <w:rPr>
          <w:rFonts w:ascii="Helvetica" w:eastAsia="HGMaruGothicMPRO" w:hAnsi="Helvetica" w:cs="Helvetica"/>
          <w:lang w:val="en-GB"/>
        </w:rPr>
        <w:t xml:space="preserve"> </w:t>
      </w:r>
      <w:r w:rsidR="00681251" w:rsidRPr="008A3778">
        <w:rPr>
          <w:rFonts w:ascii="Helvetica" w:eastAsia="HGMaruGothicMPRO" w:hAnsi="Helvetica" w:cs="Helvetica"/>
          <w:lang w:val="en-GB"/>
        </w:rPr>
        <w:t>claimed</w:t>
      </w:r>
      <w:r w:rsidR="0062204B" w:rsidRPr="008A3778">
        <w:rPr>
          <w:rFonts w:ascii="Helvetica" w:eastAsia="HGMaruGothicMPRO" w:hAnsi="Helvetica" w:cs="Helvetica"/>
          <w:lang w:val="en-GB"/>
        </w:rPr>
        <w:t xml:space="preserve"> “</w:t>
      </w:r>
      <w:r w:rsidR="0062204B" w:rsidRPr="008A3778">
        <w:rPr>
          <w:rFonts w:ascii="Helvetica" w:eastAsia="HGMaruGothicMPRO" w:hAnsi="Helvetica" w:cs="Helvetica"/>
          <w:i/>
          <w:iCs/>
          <w:lang w:val="en-GB"/>
        </w:rPr>
        <w:t xml:space="preserve">neutral </w:t>
      </w:r>
      <w:r w:rsidR="00681251" w:rsidRPr="008A3778">
        <w:rPr>
          <w:rFonts w:ascii="Helvetica" w:eastAsia="HGMaruGothicMPRO" w:hAnsi="Helvetica" w:cs="Helvetica"/>
          <w:i/>
          <w:iCs/>
          <w:lang w:val="en-GB"/>
        </w:rPr>
        <w:t>position</w:t>
      </w:r>
      <w:r w:rsidR="00681251" w:rsidRPr="008A3778">
        <w:rPr>
          <w:rFonts w:ascii="Helvetica" w:eastAsia="HGMaruGothicMPRO" w:hAnsi="Helvetica" w:cs="Helvetica"/>
          <w:lang w:val="en-GB"/>
        </w:rPr>
        <w:t>”</w:t>
      </w:r>
      <w:r w:rsidR="00F968D0">
        <w:rPr>
          <w:rFonts w:ascii="Helvetica" w:eastAsia="HGMaruGothicMPRO" w:hAnsi="Helvetica" w:cs="Helvetica"/>
          <w:lang w:val="en-GB"/>
        </w:rPr>
        <w:t xml:space="preserve"> in the litigation</w:t>
      </w:r>
      <w:r w:rsidR="00681251" w:rsidRPr="008A3778">
        <w:rPr>
          <w:rFonts w:ascii="Helvetica" w:eastAsia="HGMaruGothicMPRO" w:hAnsi="Helvetica" w:cs="Helvetica"/>
          <w:lang w:val="en-GB"/>
        </w:rPr>
        <w:t>.</w:t>
      </w:r>
      <w:r w:rsidR="00F65175" w:rsidRPr="008A3778">
        <w:rPr>
          <w:rFonts w:ascii="Helvetica" w:eastAsia="HGMaruGothicMPRO" w:hAnsi="Helvetica" w:cs="Helvetica"/>
          <w:lang w:val="en-GB"/>
        </w:rPr>
        <w:t>)</w:t>
      </w:r>
    </w:p>
    <w:p w14:paraId="7A396F12" w14:textId="6FEE1AE6" w:rsidR="00B705A9" w:rsidRPr="008A3778" w:rsidRDefault="00B705A9" w:rsidP="008A3778">
      <w:pPr>
        <w:pStyle w:val="ListParagraph"/>
        <w:numPr>
          <w:ilvl w:val="0"/>
          <w:numId w:val="3"/>
        </w:numPr>
        <w:tabs>
          <w:tab w:val="left" w:pos="709"/>
        </w:tabs>
        <w:adjustRightInd w:val="0"/>
        <w:spacing w:after="480" w:line="360" w:lineRule="auto"/>
        <w:ind w:left="709" w:hanging="709"/>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lastRenderedPageBreak/>
        <w:t>THE CONTEXT FOR THE DETERMINATION OF THIS APPEAL</w:t>
      </w:r>
    </w:p>
    <w:p w14:paraId="22822B4C" w14:textId="77777777" w:rsidR="003D368F" w:rsidRDefault="00E66039" w:rsidP="003D368F">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In their heads of argument, the appellants </w:t>
      </w:r>
      <w:r w:rsidR="00946B86" w:rsidRPr="008A3778">
        <w:rPr>
          <w:rFonts w:ascii="Helvetica" w:eastAsia="HGMaruGothicMPRO" w:hAnsi="Helvetica" w:cs="Helvetica"/>
          <w:lang w:val="en-GB"/>
        </w:rPr>
        <w:t xml:space="preserve">seek to </w:t>
      </w:r>
      <w:r w:rsidRPr="008A3778">
        <w:rPr>
          <w:rFonts w:ascii="Helvetica" w:eastAsia="HGMaruGothicMPRO" w:hAnsi="Helvetica" w:cs="Helvetica"/>
          <w:lang w:val="en-GB"/>
        </w:rPr>
        <w:t xml:space="preserve">infuse this appeal with noble </w:t>
      </w:r>
      <w:r w:rsidR="00D42C89" w:rsidRPr="008A3778">
        <w:rPr>
          <w:rFonts w:ascii="Helvetica" w:eastAsia="HGMaruGothicMPRO" w:hAnsi="Helvetica" w:cs="Helvetica"/>
          <w:lang w:val="en-GB"/>
        </w:rPr>
        <w:t xml:space="preserve">and laudable </w:t>
      </w:r>
      <w:r w:rsidRPr="008A3778">
        <w:rPr>
          <w:rFonts w:ascii="Helvetica" w:eastAsia="HGMaruGothicMPRO" w:hAnsi="Helvetica" w:cs="Helvetica"/>
          <w:lang w:val="en-GB"/>
        </w:rPr>
        <w:t>considerations of “</w:t>
      </w:r>
      <w:r w:rsidRPr="008A3778">
        <w:rPr>
          <w:rFonts w:ascii="Helvetica" w:eastAsia="HGMaruGothicMPRO" w:hAnsi="Helvetica" w:cs="Helvetica"/>
          <w:i/>
          <w:iCs/>
          <w:lang w:val="en-GB"/>
        </w:rPr>
        <w:t>matrimonial principles</w:t>
      </w:r>
      <w:r w:rsidRPr="008A3778">
        <w:rPr>
          <w:rFonts w:ascii="Helvetica" w:eastAsia="HGMaruGothicMPRO" w:hAnsi="Helvetica" w:cs="Helvetica"/>
          <w:lang w:val="en-GB"/>
        </w:rPr>
        <w:t xml:space="preserve">”, claims of gender bias, gender inequality and </w:t>
      </w:r>
      <w:r w:rsidR="00F65175" w:rsidRPr="008A3778">
        <w:rPr>
          <w:rFonts w:ascii="Helvetica" w:eastAsia="HGMaruGothicMPRO" w:hAnsi="Helvetica" w:cs="Helvetica"/>
          <w:lang w:val="en-GB"/>
        </w:rPr>
        <w:t>similar</w:t>
      </w:r>
      <w:r w:rsidR="00F968D0">
        <w:rPr>
          <w:rFonts w:ascii="Helvetica" w:eastAsia="HGMaruGothicMPRO" w:hAnsi="Helvetica" w:cs="Helvetica"/>
          <w:lang w:val="en-GB"/>
        </w:rPr>
        <w:t>-</w:t>
      </w:r>
      <w:r w:rsidR="00F65175" w:rsidRPr="008A3778">
        <w:rPr>
          <w:rFonts w:ascii="Helvetica" w:eastAsia="HGMaruGothicMPRO" w:hAnsi="Helvetica" w:cs="Helvetica"/>
          <w:lang w:val="en-GB"/>
        </w:rPr>
        <w:t>type</w:t>
      </w:r>
      <w:r w:rsidRPr="008A3778">
        <w:rPr>
          <w:rFonts w:ascii="Helvetica" w:eastAsia="HGMaruGothicMPRO" w:hAnsi="Helvetica" w:cs="Helvetica"/>
          <w:lang w:val="en-GB"/>
        </w:rPr>
        <w:t xml:space="preserve"> enticing arguments</w:t>
      </w:r>
      <w:r w:rsidR="00F968D0">
        <w:rPr>
          <w:rFonts w:ascii="Helvetica" w:eastAsia="HGMaruGothicMPRO" w:hAnsi="Helvetica" w:cs="Helvetica"/>
          <w:lang w:val="en-GB"/>
        </w:rPr>
        <w:t xml:space="preserve"> and submissions</w:t>
      </w:r>
      <w:r w:rsidRPr="008A3778">
        <w:rPr>
          <w:rFonts w:ascii="Helvetica" w:eastAsia="HGMaruGothicMPRO" w:hAnsi="Helvetica" w:cs="Helvetica"/>
          <w:lang w:val="en-GB"/>
        </w:rPr>
        <w:t xml:space="preserve"> about “</w:t>
      </w:r>
      <w:r w:rsidRPr="008A3778">
        <w:rPr>
          <w:rFonts w:ascii="Helvetica" w:eastAsia="HGMaruGothicMPRO" w:hAnsi="Helvetica" w:cs="Helvetica"/>
          <w:i/>
          <w:iCs/>
          <w:lang w:val="en-GB"/>
        </w:rPr>
        <w:t>v</w:t>
      </w:r>
      <w:r w:rsidR="00F968D0">
        <w:rPr>
          <w:rFonts w:ascii="Helvetica" w:eastAsia="HGMaruGothicMPRO" w:hAnsi="Helvetica" w:cs="Helvetica"/>
          <w:i/>
          <w:iCs/>
          <w:lang w:val="en-GB"/>
        </w:rPr>
        <w:t>u</w:t>
      </w:r>
      <w:r w:rsidRPr="008A3778">
        <w:rPr>
          <w:rFonts w:ascii="Helvetica" w:eastAsia="HGMaruGothicMPRO" w:hAnsi="Helvetica" w:cs="Helvetica"/>
          <w:i/>
          <w:iCs/>
          <w:lang w:val="en-GB"/>
        </w:rPr>
        <w:t>nerable woman</w:t>
      </w:r>
      <w:r w:rsidRPr="008A3778">
        <w:rPr>
          <w:rFonts w:ascii="Helvetica" w:eastAsia="HGMaruGothicMPRO" w:hAnsi="Helvetica" w:cs="Helvetica"/>
          <w:lang w:val="en-GB"/>
        </w:rPr>
        <w:t>” or “</w:t>
      </w:r>
      <w:r w:rsidRPr="008A3778">
        <w:rPr>
          <w:rFonts w:ascii="Helvetica" w:eastAsia="HGMaruGothicMPRO" w:hAnsi="Helvetica" w:cs="Helvetica"/>
          <w:i/>
          <w:iCs/>
          <w:lang w:val="en-GB"/>
        </w:rPr>
        <w:t>similarly situated woman</w:t>
      </w:r>
      <w:r w:rsidRPr="008A3778">
        <w:rPr>
          <w:rFonts w:ascii="Helvetica" w:eastAsia="HGMaruGothicMPRO" w:hAnsi="Helvetica" w:cs="Helvetica"/>
          <w:lang w:val="en-GB"/>
        </w:rPr>
        <w:t>” to the first appellant “w</w:t>
      </w:r>
      <w:r w:rsidRPr="008A3778">
        <w:rPr>
          <w:rFonts w:ascii="Helvetica" w:eastAsia="HGMaruGothicMPRO" w:hAnsi="Helvetica" w:cs="Helvetica"/>
          <w:i/>
          <w:iCs/>
          <w:lang w:val="en-GB"/>
        </w:rPr>
        <w:t>ho are deliberately deprived of the financial resources to which they are legally entitled</w:t>
      </w:r>
      <w:r w:rsidRPr="008A3778">
        <w:rPr>
          <w:rFonts w:ascii="Helvetica" w:eastAsia="HGMaruGothicMPRO" w:hAnsi="Helvetica" w:cs="Helvetica"/>
          <w:lang w:val="en-GB"/>
        </w:rPr>
        <w:t>”. To th</w:t>
      </w:r>
      <w:r w:rsidR="00F968D0">
        <w:rPr>
          <w:rFonts w:ascii="Helvetica" w:eastAsia="HGMaruGothicMPRO" w:hAnsi="Helvetica" w:cs="Helvetica"/>
          <w:lang w:val="en-GB"/>
        </w:rPr>
        <w:t>ese</w:t>
      </w:r>
      <w:r w:rsidRPr="008A3778">
        <w:rPr>
          <w:rFonts w:ascii="Helvetica" w:eastAsia="HGMaruGothicMPRO" w:hAnsi="Helvetica" w:cs="Helvetica"/>
          <w:lang w:val="en-GB"/>
        </w:rPr>
        <w:t xml:space="preserve"> end</w:t>
      </w:r>
      <w:r w:rsidR="00F968D0">
        <w:rPr>
          <w:rFonts w:ascii="Helvetica" w:eastAsia="HGMaruGothicMPRO" w:hAnsi="Helvetica" w:cs="Helvetica"/>
          <w:lang w:val="en-GB"/>
        </w:rPr>
        <w:t>s</w:t>
      </w:r>
      <w:r w:rsidRPr="008A3778">
        <w:rPr>
          <w:rFonts w:ascii="Helvetica" w:eastAsia="HGMaruGothicMPRO" w:hAnsi="Helvetica" w:cs="Helvetica"/>
          <w:lang w:val="en-GB"/>
        </w:rPr>
        <w:t xml:space="preserve">, the appellants argue that the appeal traverses: </w:t>
      </w:r>
    </w:p>
    <w:p w14:paraId="2C6C67FE" w14:textId="338222EA" w:rsidR="00E66039" w:rsidRPr="003D368F" w:rsidRDefault="00E66039" w:rsidP="003D368F">
      <w:pPr>
        <w:spacing w:after="360" w:line="240" w:lineRule="auto"/>
        <w:ind w:left="1440" w:right="498"/>
        <w:jc w:val="both"/>
        <w:rPr>
          <w:rFonts w:ascii="Helvetica" w:eastAsia="HGMaruGothicMPRO" w:hAnsi="Helvetica" w:cs="Helvetica"/>
          <w:lang w:val="en-GB"/>
        </w:rPr>
      </w:pPr>
      <w:r w:rsidRPr="003D368F">
        <w:rPr>
          <w:rFonts w:ascii="Helvetica" w:eastAsia="HGMaruGothicMPRO" w:hAnsi="Helvetica" w:cs="Helvetica"/>
          <w:lang w:val="en-GB"/>
        </w:rPr>
        <w:t>“…</w:t>
      </w:r>
      <w:r w:rsidR="00F968D0" w:rsidRPr="003D368F">
        <w:rPr>
          <w:rFonts w:ascii="Helvetica" w:eastAsia="HGMaruGothicMPRO" w:hAnsi="Helvetica" w:cs="Helvetica"/>
          <w:lang w:val="en-GB"/>
        </w:rPr>
        <w:t xml:space="preserve"> </w:t>
      </w:r>
      <w:r w:rsidRPr="003D368F">
        <w:rPr>
          <w:rFonts w:ascii="Helvetica" w:eastAsia="HGMaruGothicMPRO" w:hAnsi="Helvetica" w:cs="Helvetica"/>
          <w:i/>
          <w:iCs/>
          <w:lang w:val="en-GB"/>
        </w:rPr>
        <w:t xml:space="preserve">the intersection between Pension Fund law and the Matrimonial Property Act, No 88 of 1984. More </w:t>
      </w:r>
      <w:r w:rsidRPr="001017B7">
        <w:rPr>
          <w:rFonts w:ascii="Helvetica" w:eastAsia="Times New Roman" w:hAnsi="Helvetica" w:cs="Helvetica"/>
          <w:i/>
          <w:iCs/>
          <w:lang w:val="en-GB" w:eastAsia="en-ZA"/>
        </w:rPr>
        <w:t>specifically</w:t>
      </w:r>
      <w:r w:rsidRPr="003D368F">
        <w:rPr>
          <w:rFonts w:ascii="Helvetica" w:eastAsia="HGMaruGothicMPRO" w:hAnsi="Helvetica" w:cs="Helvetica"/>
          <w:i/>
          <w:iCs/>
          <w:lang w:val="en-GB"/>
        </w:rPr>
        <w:t>, as to whether under the facts of this case, the provisions of the Matrimonial Property Act ought to have been applied as opposed to section 37C of the Pension Fund Act</w:t>
      </w:r>
      <w:r w:rsidRPr="003D368F">
        <w:rPr>
          <w:rFonts w:ascii="Helvetica" w:eastAsia="HGMaruGothicMPRO" w:hAnsi="Helvetica" w:cs="Helvetica"/>
          <w:lang w:val="en-GB"/>
        </w:rPr>
        <w:t xml:space="preserve">”.  </w:t>
      </w:r>
    </w:p>
    <w:p w14:paraId="4D826A8F" w14:textId="309EFFEA" w:rsidR="00E66039" w:rsidRPr="008A3778" w:rsidRDefault="00B705A9" w:rsidP="006D5807">
      <w:pPr>
        <w:numPr>
          <w:ilvl w:val="0"/>
          <w:numId w:val="1"/>
        </w:numPr>
        <w:tabs>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Despite the above, t</w:t>
      </w:r>
      <w:r w:rsidR="00E66039" w:rsidRPr="008A3778">
        <w:rPr>
          <w:rFonts w:ascii="Helvetica" w:eastAsia="HGMaruGothicMPRO" w:hAnsi="Helvetica" w:cs="Helvetica"/>
          <w:lang w:val="en-GB"/>
        </w:rPr>
        <w:t>he appellants</w:t>
      </w:r>
      <w:r w:rsidR="00855675" w:rsidRPr="008A3778">
        <w:rPr>
          <w:rFonts w:ascii="Helvetica" w:eastAsia="HGMaruGothicMPRO" w:hAnsi="Helvetica" w:cs="Helvetica"/>
          <w:lang w:val="en-GB"/>
        </w:rPr>
        <w:t>, importantly,</w:t>
      </w:r>
      <w:r w:rsidR="00E66039" w:rsidRPr="008A3778">
        <w:rPr>
          <w:rFonts w:ascii="Helvetica" w:eastAsia="HGMaruGothicMPRO" w:hAnsi="Helvetica" w:cs="Helvetica"/>
          <w:lang w:val="en-GB"/>
        </w:rPr>
        <w:t xml:space="preserve"> have not, and do not raise, a constitutional challenge to section 37C</w:t>
      </w:r>
      <w:r w:rsidR="00F036D2" w:rsidRPr="008A3778">
        <w:rPr>
          <w:rFonts w:ascii="Helvetica" w:eastAsia="HGMaruGothicMPRO" w:hAnsi="Helvetica" w:cs="Helvetica"/>
          <w:lang w:val="en-GB"/>
        </w:rPr>
        <w:t>, or</w:t>
      </w:r>
      <w:r w:rsidR="00F968D0">
        <w:rPr>
          <w:rFonts w:ascii="Helvetica" w:eastAsia="HGMaruGothicMPRO" w:hAnsi="Helvetica" w:cs="Helvetica"/>
          <w:lang w:val="en-GB"/>
        </w:rPr>
        <w:t>,</w:t>
      </w:r>
      <w:r w:rsidR="00F036D2" w:rsidRPr="008A3778">
        <w:rPr>
          <w:rFonts w:ascii="Helvetica" w:eastAsia="HGMaruGothicMPRO" w:hAnsi="Helvetica" w:cs="Helvetica"/>
          <w:lang w:val="en-GB"/>
        </w:rPr>
        <w:t xml:space="preserve"> for that matter</w:t>
      </w:r>
      <w:r w:rsidR="00F968D0">
        <w:rPr>
          <w:rFonts w:ascii="Helvetica" w:eastAsia="HGMaruGothicMPRO" w:hAnsi="Helvetica" w:cs="Helvetica"/>
          <w:lang w:val="en-GB"/>
        </w:rPr>
        <w:t>,</w:t>
      </w:r>
      <w:r w:rsidR="00F036D2" w:rsidRPr="008A3778">
        <w:rPr>
          <w:rFonts w:ascii="Helvetica" w:eastAsia="HGMaruGothicMPRO" w:hAnsi="Helvetica" w:cs="Helvetica"/>
          <w:lang w:val="en-GB"/>
        </w:rPr>
        <w:t xml:space="preserve"> the </w:t>
      </w:r>
      <w:r w:rsidR="00CB7C5F" w:rsidRPr="008A3778">
        <w:rPr>
          <w:rFonts w:ascii="Helvetica" w:eastAsia="HGMaruGothicMPRO" w:hAnsi="Helvetica" w:cs="Helvetica"/>
          <w:lang w:val="en-GB"/>
        </w:rPr>
        <w:t>ninth respondent’s rules</w:t>
      </w:r>
      <w:r w:rsidR="00D45B46" w:rsidRPr="008A3778">
        <w:rPr>
          <w:rFonts w:ascii="Helvetica" w:eastAsia="HGMaruGothicMPRO" w:hAnsi="Helvetica" w:cs="Helvetica"/>
          <w:lang w:val="en-GB"/>
        </w:rPr>
        <w:t>.</w:t>
      </w:r>
      <w:r w:rsidR="00F968D0">
        <w:rPr>
          <w:rStyle w:val="FootnoteReference"/>
          <w:rFonts w:ascii="Helvetica" w:eastAsia="HGMaruGothicMPRO" w:hAnsi="Helvetica" w:cs="Helvetica"/>
          <w:lang w:val="en-GB"/>
        </w:rPr>
        <w:footnoteReference w:id="4"/>
      </w:r>
      <w:r w:rsidR="00954268" w:rsidRPr="008A3778">
        <w:rPr>
          <w:rFonts w:ascii="Helvetica" w:eastAsia="HGMaruGothicMPRO" w:hAnsi="Helvetica" w:cs="Helvetica"/>
          <w:lang w:val="en-GB"/>
        </w:rPr>
        <w:t xml:space="preserve"> </w:t>
      </w:r>
      <w:r w:rsidR="00B97A2F">
        <w:rPr>
          <w:rFonts w:ascii="Helvetica" w:eastAsia="HGMaruGothicMPRO" w:hAnsi="Helvetica" w:cs="Helvetica"/>
          <w:lang w:val="en-GB"/>
        </w:rPr>
        <w:t>Moreover, t</w:t>
      </w:r>
      <w:r w:rsidR="00954268" w:rsidRPr="008A3778">
        <w:rPr>
          <w:rFonts w:ascii="Helvetica" w:eastAsia="HGMaruGothicMPRO" w:hAnsi="Helvetica" w:cs="Helvetica"/>
          <w:lang w:val="en-GB"/>
        </w:rPr>
        <w:t xml:space="preserve">he </w:t>
      </w:r>
      <w:r w:rsidR="00946B86" w:rsidRPr="008A3778">
        <w:rPr>
          <w:rFonts w:ascii="Helvetica" w:eastAsia="HGMaruGothicMPRO" w:hAnsi="Helvetica" w:cs="Helvetica"/>
          <w:lang w:val="en-GB"/>
        </w:rPr>
        <w:t>third to fifth respondents expressly state, upfront, in the</w:t>
      </w:r>
      <w:r w:rsidR="00855675" w:rsidRPr="008A3778">
        <w:rPr>
          <w:rFonts w:ascii="Helvetica" w:eastAsia="HGMaruGothicMPRO" w:hAnsi="Helvetica" w:cs="Helvetica"/>
          <w:lang w:val="en-GB"/>
        </w:rPr>
        <w:t>ir</w:t>
      </w:r>
      <w:r w:rsidR="00946B86" w:rsidRPr="008A3778">
        <w:rPr>
          <w:rFonts w:ascii="Helvetica" w:eastAsia="HGMaruGothicMPRO" w:hAnsi="Helvetica" w:cs="Helvetica"/>
          <w:lang w:val="en-GB"/>
        </w:rPr>
        <w:t xml:space="preserve"> heads of argument that there is no</w:t>
      </w:r>
      <w:r w:rsidR="00954268" w:rsidRPr="008A3778">
        <w:rPr>
          <w:rFonts w:ascii="Helvetica" w:eastAsia="HGMaruGothicMPRO" w:hAnsi="Helvetica" w:cs="Helvetica"/>
          <w:lang w:val="en-GB"/>
        </w:rPr>
        <w:t xml:space="preserve"> constitutional challenge</w:t>
      </w:r>
      <w:r w:rsidR="00214342" w:rsidRPr="008A3778">
        <w:rPr>
          <w:rFonts w:ascii="Helvetica" w:eastAsia="HGMaruGothicMPRO" w:hAnsi="Helvetica" w:cs="Helvetica"/>
          <w:lang w:val="en-GB"/>
        </w:rPr>
        <w:t xml:space="preserve"> in issue in </w:t>
      </w:r>
      <w:r w:rsidR="00946B86" w:rsidRPr="008A3778">
        <w:rPr>
          <w:rFonts w:ascii="Helvetica" w:eastAsia="HGMaruGothicMPRO" w:hAnsi="Helvetica" w:cs="Helvetica"/>
          <w:lang w:val="en-GB"/>
        </w:rPr>
        <w:t>this</w:t>
      </w:r>
      <w:r w:rsidR="00214342" w:rsidRPr="008A3778">
        <w:rPr>
          <w:rFonts w:ascii="Helvetica" w:eastAsia="HGMaruGothicMPRO" w:hAnsi="Helvetica" w:cs="Helvetica"/>
          <w:lang w:val="en-GB"/>
        </w:rPr>
        <w:t xml:space="preserve"> appeal</w:t>
      </w:r>
      <w:r w:rsidR="00946B86" w:rsidRPr="008A3778">
        <w:rPr>
          <w:rFonts w:ascii="Helvetica" w:eastAsia="HGMaruGothicMPRO" w:hAnsi="Helvetica" w:cs="Helvetica"/>
          <w:lang w:val="en-GB"/>
        </w:rPr>
        <w:t>.</w:t>
      </w:r>
      <w:r w:rsidR="00CF0180" w:rsidRPr="008A3778">
        <w:rPr>
          <w:rFonts w:ascii="Helvetica" w:eastAsia="HGMaruGothicMPRO" w:hAnsi="Helvetica" w:cs="Helvetica"/>
          <w:lang w:val="en-GB"/>
        </w:rPr>
        <w:t xml:space="preserve"> </w:t>
      </w:r>
      <w:r w:rsidR="00855675" w:rsidRPr="008A3778">
        <w:rPr>
          <w:rFonts w:ascii="Helvetica" w:eastAsia="HGMaruGothicMPRO" w:hAnsi="Helvetica" w:cs="Helvetica"/>
          <w:lang w:val="en-GB"/>
        </w:rPr>
        <w:t>This did not invoke a response from the appellants. Furthermore, s</w:t>
      </w:r>
      <w:r w:rsidR="00946B86" w:rsidRPr="008A3778">
        <w:rPr>
          <w:rFonts w:ascii="Helvetica" w:eastAsia="HGMaruGothicMPRO" w:hAnsi="Helvetica" w:cs="Helvetica"/>
          <w:lang w:val="en-GB"/>
        </w:rPr>
        <w:t>enior counsel for the appellants, when asked</w:t>
      </w:r>
      <w:r w:rsidR="00855675" w:rsidRPr="008A3778">
        <w:rPr>
          <w:rFonts w:ascii="Helvetica" w:eastAsia="HGMaruGothicMPRO" w:hAnsi="Helvetica" w:cs="Helvetica"/>
          <w:lang w:val="en-GB"/>
        </w:rPr>
        <w:t xml:space="preserve"> during argument in this appeal, confirmed </w:t>
      </w:r>
      <w:r w:rsidR="00946B86" w:rsidRPr="008A3778">
        <w:rPr>
          <w:rFonts w:ascii="Helvetica" w:eastAsia="HGMaruGothicMPRO" w:hAnsi="Helvetica" w:cs="Helvetica"/>
          <w:lang w:val="en-GB"/>
        </w:rPr>
        <w:t xml:space="preserve">that there was no such challenge. </w:t>
      </w:r>
      <w:r w:rsidR="00B97A2F">
        <w:rPr>
          <w:rFonts w:ascii="Helvetica" w:eastAsia="HGMaruGothicMPRO" w:hAnsi="Helvetica" w:cs="Helvetica"/>
          <w:lang w:val="en-GB"/>
        </w:rPr>
        <w:t>Entrenching the aforesaid position</w:t>
      </w:r>
      <w:r w:rsidR="00F036D2" w:rsidRPr="008A3778">
        <w:rPr>
          <w:rFonts w:ascii="Helvetica" w:eastAsia="HGMaruGothicMPRO" w:hAnsi="Helvetica" w:cs="Helvetica"/>
          <w:lang w:val="en-GB"/>
        </w:rPr>
        <w:t>, no argument in this regard was advanced in the appeal</w:t>
      </w:r>
      <w:r w:rsidR="00CB7C5F" w:rsidRPr="008A3778">
        <w:rPr>
          <w:rFonts w:ascii="Helvetica" w:eastAsia="HGMaruGothicMPRO" w:hAnsi="Helvetica" w:cs="Helvetica"/>
          <w:lang w:val="en-GB"/>
        </w:rPr>
        <w:t xml:space="preserve">. </w:t>
      </w:r>
    </w:p>
    <w:p w14:paraId="6470B4A0" w14:textId="37284016" w:rsidR="00B705A9" w:rsidRPr="008A3778" w:rsidRDefault="00B705A9" w:rsidP="00B705A9">
      <w:pPr>
        <w:numPr>
          <w:ilvl w:val="0"/>
          <w:numId w:val="1"/>
        </w:numPr>
        <w:tabs>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such, there are no (constitutional) considerations of gender bias or gender equality in issue in this appeal. As I see them, the issues to be determined in this appeal are far plainer. This is in part because the appeal falls to be determined within the context of</w:t>
      </w:r>
      <w:r w:rsidR="00A77C4E">
        <w:rPr>
          <w:rFonts w:ascii="Helvetica" w:eastAsia="HGMaruGothicMPRO" w:hAnsi="Helvetica" w:cs="Helvetica"/>
          <w:lang w:val="en-GB"/>
        </w:rPr>
        <w:t>:</w:t>
      </w:r>
      <w:r w:rsidRPr="008A3778">
        <w:rPr>
          <w:rFonts w:ascii="Helvetica" w:eastAsia="HGMaruGothicMPRO" w:hAnsi="Helvetica" w:cs="Helvetica"/>
          <w:lang w:val="en-GB"/>
        </w:rPr>
        <w:t xml:space="preserve"> (i) the widely reported and widely discussed SCA decision in </w:t>
      </w:r>
      <w:r w:rsidRPr="008A3778">
        <w:rPr>
          <w:rFonts w:ascii="Helvetica" w:eastAsia="HGMaruGothicMPRO" w:hAnsi="Helvetica" w:cs="Helvetica"/>
          <w:b/>
          <w:bCs/>
          <w:lang w:val="en-GB"/>
        </w:rPr>
        <w:t xml:space="preserve">Meyer v Iscor Pension </w:t>
      </w:r>
      <w:r w:rsidRPr="008A3778">
        <w:rPr>
          <w:rFonts w:ascii="Helvetica" w:eastAsia="HGMaruGothicMPRO" w:hAnsi="Helvetica" w:cs="Helvetica"/>
          <w:b/>
          <w:bCs/>
          <w:lang w:val="en-GB"/>
        </w:rPr>
        <w:lastRenderedPageBreak/>
        <w:t>Fund</w:t>
      </w:r>
      <w:r w:rsidR="00F968D0" w:rsidRPr="00B97A2F">
        <w:rPr>
          <w:rFonts w:ascii="Helvetica" w:eastAsia="HGMaruGothicMPRO" w:hAnsi="Helvetica" w:cs="Helvetica"/>
          <w:lang w:val="en-GB"/>
        </w:rPr>
        <w:t>,</w:t>
      </w:r>
      <w:r w:rsidRPr="008A3778">
        <w:rPr>
          <w:rFonts w:ascii="Helvetica" w:eastAsia="HGMaruGothicMPRO" w:hAnsi="Helvetica" w:cs="Helvetica"/>
          <w:vertAlign w:val="superscript"/>
          <w:lang w:val="en-GB"/>
        </w:rPr>
        <w:footnoteReference w:id="5"/>
      </w:r>
      <w:r w:rsidR="00F65175" w:rsidRPr="008A3778">
        <w:rPr>
          <w:rFonts w:ascii="Helvetica" w:eastAsia="HGMaruGothicMPRO" w:hAnsi="Helvetica" w:cs="Helvetica"/>
          <w:b/>
          <w:bCs/>
          <w:lang w:val="en-GB"/>
        </w:rPr>
        <w:t xml:space="preserve"> </w:t>
      </w:r>
      <w:r w:rsidR="00F65175" w:rsidRPr="008A3778">
        <w:rPr>
          <w:rFonts w:ascii="Helvetica" w:eastAsia="HGMaruGothicMPRO" w:hAnsi="Helvetica" w:cs="Helvetica"/>
          <w:vertAlign w:val="superscript"/>
          <w:lang w:val="en-GB"/>
        </w:rPr>
        <w:footnoteReference w:id="6"/>
      </w:r>
      <w:r w:rsidRPr="008A3778">
        <w:rPr>
          <w:rFonts w:ascii="Helvetica" w:eastAsia="HGMaruGothicMPRO" w:hAnsi="Helvetica" w:cs="Helvetica"/>
          <w:lang w:val="en-GB"/>
        </w:rPr>
        <w:t xml:space="preserve"> (ii) the parameters of sections 30P, and (iii) the legislative supremacy afforded to section 37C. </w:t>
      </w:r>
      <w:r w:rsidR="00BD443A" w:rsidRPr="008A3778">
        <w:rPr>
          <w:rFonts w:ascii="Helvetica" w:eastAsia="HGMaruGothicMPRO" w:hAnsi="Helvetica" w:cs="Helvetica"/>
          <w:lang w:val="en-GB"/>
        </w:rPr>
        <w:t xml:space="preserve">The rule in </w:t>
      </w:r>
      <w:r w:rsidRPr="008A3778">
        <w:rPr>
          <w:rFonts w:ascii="Helvetica" w:eastAsia="HGMaruGothicMPRO" w:hAnsi="Helvetica" w:cs="Helvetica"/>
          <w:b/>
          <w:bCs/>
          <w:lang w:val="en-GB"/>
        </w:rPr>
        <w:t>Plascon-Evans</w:t>
      </w:r>
      <w:r w:rsidR="00BD443A" w:rsidRPr="008A3778">
        <w:rPr>
          <w:rStyle w:val="FootnoteReference"/>
          <w:rFonts w:ascii="Helvetica" w:eastAsia="HGMaruGothicMPRO" w:hAnsi="Helvetica" w:cs="Helvetica"/>
          <w:lang w:val="en-GB"/>
        </w:rPr>
        <w:footnoteReference w:id="7"/>
      </w:r>
      <w:r w:rsidR="00BD443A" w:rsidRPr="008A3778">
        <w:rPr>
          <w:rFonts w:ascii="Helvetica" w:eastAsia="HGMaruGothicMPRO" w:hAnsi="Helvetica" w:cs="Helvetica"/>
          <w:lang w:val="en-GB"/>
        </w:rPr>
        <w:t xml:space="preserve"> also features</w:t>
      </w:r>
      <w:r w:rsidR="001017B7">
        <w:rPr>
          <w:rFonts w:ascii="Helvetica" w:eastAsia="HGMaruGothicMPRO" w:hAnsi="Helvetica" w:cs="Helvetica"/>
          <w:lang w:val="en-GB"/>
        </w:rPr>
        <w:t xml:space="preserve"> prominently</w:t>
      </w:r>
      <w:r w:rsidR="00BD443A" w:rsidRPr="008A3778">
        <w:rPr>
          <w:rFonts w:ascii="Helvetica" w:eastAsia="HGMaruGothicMPRO" w:hAnsi="Helvetica" w:cs="Helvetica"/>
          <w:lang w:val="en-GB"/>
        </w:rPr>
        <w:t xml:space="preserve">. </w:t>
      </w:r>
    </w:p>
    <w:p w14:paraId="0B12A26B" w14:textId="2B59E6A8" w:rsidR="009B0901" w:rsidRPr="008A3778" w:rsidRDefault="00011367" w:rsidP="000123C4">
      <w:pPr>
        <w:pStyle w:val="ListParagraph"/>
        <w:numPr>
          <w:ilvl w:val="0"/>
          <w:numId w:val="3"/>
        </w:numPr>
        <w:tabs>
          <w:tab w:val="left" w:pos="709"/>
        </w:tabs>
        <w:adjustRightInd w:val="0"/>
        <w:spacing w:after="360" w:line="360" w:lineRule="auto"/>
        <w:ind w:left="709" w:right="-214" w:hanging="709"/>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 xml:space="preserve">THE </w:t>
      </w:r>
      <w:r w:rsidR="00691781" w:rsidRPr="008A3778">
        <w:rPr>
          <w:rFonts w:ascii="Helvetica" w:eastAsia="HGMaruGothicMPRO" w:hAnsi="Helvetica" w:cs="Helvetica"/>
          <w:b/>
          <w:bCs/>
          <w:lang w:val="en-GB"/>
        </w:rPr>
        <w:t xml:space="preserve">APPELLANTS’ </w:t>
      </w:r>
      <w:r w:rsidRPr="008A3778">
        <w:rPr>
          <w:rFonts w:ascii="Helvetica" w:eastAsia="HGMaruGothicMPRO" w:hAnsi="Helvetica" w:cs="Helvetica"/>
          <w:b/>
          <w:bCs/>
          <w:lang w:val="en-GB"/>
        </w:rPr>
        <w:t xml:space="preserve">CONDONATION </w:t>
      </w:r>
      <w:r w:rsidR="00691781" w:rsidRPr="008A3778">
        <w:rPr>
          <w:rFonts w:ascii="Helvetica" w:eastAsia="HGMaruGothicMPRO" w:hAnsi="Helvetica" w:cs="Helvetica"/>
          <w:b/>
          <w:bCs/>
          <w:lang w:val="en-GB"/>
        </w:rPr>
        <w:t xml:space="preserve">APPLICATION </w:t>
      </w:r>
      <w:r w:rsidRPr="008A3778">
        <w:rPr>
          <w:rFonts w:ascii="Helvetica" w:eastAsia="HGMaruGothicMPRO" w:hAnsi="Helvetica" w:cs="Helvetica"/>
          <w:b/>
          <w:bCs/>
          <w:lang w:val="en-GB"/>
        </w:rPr>
        <w:t xml:space="preserve">AND </w:t>
      </w:r>
      <w:r w:rsidR="00691781" w:rsidRPr="008A3778">
        <w:rPr>
          <w:rFonts w:ascii="Helvetica" w:eastAsia="HGMaruGothicMPRO" w:hAnsi="Helvetica" w:cs="Helvetica"/>
          <w:b/>
          <w:bCs/>
          <w:lang w:val="en-GB"/>
        </w:rPr>
        <w:t>THE</w:t>
      </w:r>
      <w:r w:rsidR="00762726" w:rsidRPr="008A3778">
        <w:rPr>
          <w:rFonts w:ascii="Helvetica" w:eastAsia="HGMaruGothicMPRO" w:hAnsi="Helvetica" w:cs="Helvetica"/>
          <w:b/>
          <w:bCs/>
          <w:lang w:val="en-GB"/>
        </w:rPr>
        <w:t>IR</w:t>
      </w:r>
      <w:r w:rsidR="00691781" w:rsidRPr="008A3778">
        <w:rPr>
          <w:rFonts w:ascii="Helvetica" w:eastAsia="HGMaruGothicMPRO" w:hAnsi="Helvetica" w:cs="Helvetica"/>
          <w:b/>
          <w:bCs/>
          <w:lang w:val="en-GB"/>
        </w:rPr>
        <w:t xml:space="preserve"> </w:t>
      </w:r>
      <w:r w:rsidR="00762726" w:rsidRPr="008A3778">
        <w:rPr>
          <w:rFonts w:ascii="Helvetica" w:eastAsia="HGMaruGothicMPRO" w:hAnsi="Helvetica" w:cs="Helvetica"/>
          <w:b/>
          <w:bCs/>
          <w:lang w:val="en-GB"/>
        </w:rPr>
        <w:t xml:space="preserve">FAILURE </w:t>
      </w:r>
      <w:r w:rsidR="00691781" w:rsidRPr="008A3778">
        <w:rPr>
          <w:rFonts w:ascii="Helvetica" w:eastAsia="HGMaruGothicMPRO" w:hAnsi="Helvetica" w:cs="Helvetica"/>
          <w:b/>
          <w:bCs/>
          <w:lang w:val="en-GB"/>
        </w:rPr>
        <w:t xml:space="preserve">TO PROVIDE </w:t>
      </w:r>
      <w:r w:rsidRPr="008A3778">
        <w:rPr>
          <w:rFonts w:ascii="Helvetica" w:eastAsia="HGMaruGothicMPRO" w:hAnsi="Helvetica" w:cs="Helvetica"/>
          <w:b/>
          <w:bCs/>
          <w:lang w:val="en-GB"/>
        </w:rPr>
        <w:t>SECURITY</w:t>
      </w:r>
      <w:r w:rsidR="00691781" w:rsidRPr="008A3778">
        <w:rPr>
          <w:rFonts w:ascii="Helvetica" w:eastAsia="HGMaruGothicMPRO" w:hAnsi="Helvetica" w:cs="Helvetica"/>
          <w:b/>
          <w:bCs/>
          <w:lang w:val="en-GB"/>
        </w:rPr>
        <w:t xml:space="preserve"> IN THE APPEAL</w:t>
      </w:r>
    </w:p>
    <w:p w14:paraId="032693EF" w14:textId="77777777" w:rsidR="006E3078" w:rsidRPr="008A3778" w:rsidRDefault="006E3078" w:rsidP="008A3778">
      <w:pPr>
        <w:pStyle w:val="ListParagraph"/>
        <w:numPr>
          <w:ilvl w:val="0"/>
          <w:numId w:val="11"/>
        </w:numPr>
        <w:spacing w:after="360" w:line="360" w:lineRule="auto"/>
        <w:ind w:left="709" w:right="-144" w:hanging="709"/>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Introduction</w:t>
      </w:r>
    </w:p>
    <w:p w14:paraId="501CBE5F" w14:textId="3B57141F" w:rsidR="003D453A" w:rsidRPr="008A3778" w:rsidRDefault="00B97A2F"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 xml:space="preserve">Before engaging </w:t>
      </w:r>
      <w:r w:rsidR="000123C4">
        <w:rPr>
          <w:rFonts w:ascii="Helvetica" w:eastAsia="HGMaruGothicMPRO" w:hAnsi="Helvetica" w:cs="Helvetica"/>
          <w:lang w:val="en-GB"/>
        </w:rPr>
        <w:t xml:space="preserve">in </w:t>
      </w:r>
      <w:r>
        <w:rPr>
          <w:rFonts w:ascii="Helvetica" w:eastAsia="HGMaruGothicMPRO" w:hAnsi="Helvetica" w:cs="Helvetica"/>
          <w:lang w:val="en-GB"/>
        </w:rPr>
        <w:t>the merits in their appeal; t</w:t>
      </w:r>
      <w:r w:rsidR="00DF5BEB" w:rsidRPr="008A3778">
        <w:rPr>
          <w:rFonts w:ascii="Helvetica" w:eastAsia="HGMaruGothicMPRO" w:hAnsi="Helvetica" w:cs="Helvetica"/>
          <w:lang w:val="en-GB"/>
        </w:rPr>
        <w:t>wo preliminary issues require determination.</w:t>
      </w:r>
      <w:r w:rsidR="00710B8C" w:rsidRPr="008A3778">
        <w:rPr>
          <w:rFonts w:ascii="Helvetica" w:eastAsia="HGMaruGothicMPRO" w:hAnsi="Helvetica" w:cs="Helvetica"/>
          <w:lang w:val="en-GB"/>
        </w:rPr>
        <w:t xml:space="preserve"> </w:t>
      </w:r>
      <w:r w:rsidR="00DF5BEB" w:rsidRPr="008A3778">
        <w:rPr>
          <w:rFonts w:ascii="Helvetica" w:eastAsia="HGMaruGothicMPRO" w:hAnsi="Helvetica" w:cs="Helvetica"/>
          <w:lang w:val="en-GB"/>
        </w:rPr>
        <w:t xml:space="preserve">First, </w:t>
      </w:r>
      <w:r w:rsidR="00CB78E6" w:rsidRPr="008A3778">
        <w:rPr>
          <w:rFonts w:ascii="Helvetica" w:eastAsia="HGMaruGothicMPRO" w:hAnsi="Helvetica" w:cs="Helvetica"/>
          <w:lang w:val="en-GB"/>
        </w:rPr>
        <w:t>t</w:t>
      </w:r>
      <w:r w:rsidR="00076276" w:rsidRPr="008A3778">
        <w:rPr>
          <w:rFonts w:ascii="Helvetica" w:eastAsia="HGMaruGothicMPRO" w:hAnsi="Helvetica" w:cs="Helvetica"/>
          <w:lang w:val="en-GB"/>
        </w:rPr>
        <w:t>he</w:t>
      </w:r>
      <w:r w:rsidR="00CB78E6" w:rsidRPr="008A3778">
        <w:rPr>
          <w:rFonts w:ascii="Helvetica" w:eastAsia="HGMaruGothicMPRO" w:hAnsi="Helvetica" w:cs="Helvetica"/>
          <w:lang w:val="en-GB"/>
        </w:rPr>
        <w:t xml:space="preserve"> </w:t>
      </w:r>
      <w:r w:rsidR="00515330" w:rsidRPr="008A3778">
        <w:rPr>
          <w:rFonts w:ascii="Helvetica" w:eastAsia="HGMaruGothicMPRO" w:hAnsi="Helvetica" w:cs="Helvetica"/>
          <w:lang w:val="en-GB"/>
        </w:rPr>
        <w:t>appellants</w:t>
      </w:r>
      <w:r w:rsidR="00DF5BEB" w:rsidRPr="008A3778">
        <w:rPr>
          <w:rFonts w:ascii="Helvetica" w:eastAsia="HGMaruGothicMPRO" w:hAnsi="Helvetica" w:cs="Helvetica"/>
          <w:lang w:val="en-GB"/>
        </w:rPr>
        <w:t xml:space="preserve"> </w:t>
      </w:r>
      <w:r w:rsidR="00F65175" w:rsidRPr="008A3778">
        <w:rPr>
          <w:rFonts w:ascii="Helvetica" w:eastAsia="HGMaruGothicMPRO" w:hAnsi="Helvetica" w:cs="Helvetica"/>
          <w:lang w:val="en-GB"/>
        </w:rPr>
        <w:t xml:space="preserve">conditionally </w:t>
      </w:r>
      <w:r w:rsidR="00DF5BEB" w:rsidRPr="008A3778">
        <w:rPr>
          <w:rFonts w:ascii="Helvetica" w:eastAsia="HGMaruGothicMPRO" w:hAnsi="Helvetica" w:cs="Helvetica"/>
          <w:lang w:val="en-GB"/>
        </w:rPr>
        <w:t xml:space="preserve">apply for </w:t>
      </w:r>
      <w:r w:rsidR="004D125A" w:rsidRPr="008A3778">
        <w:rPr>
          <w:rFonts w:ascii="Helvetica" w:eastAsia="HGMaruGothicMPRO" w:hAnsi="Helvetica" w:cs="Helvetica"/>
          <w:lang w:val="en-GB"/>
        </w:rPr>
        <w:t>condonation for their failure to comply with that prescribed in uniform rule 49(6)</w:t>
      </w:r>
      <w:r w:rsidR="00264EC9" w:rsidRPr="008A3778">
        <w:rPr>
          <w:rFonts w:ascii="Helvetica" w:eastAsia="HGMaruGothicMPRO" w:hAnsi="Helvetica" w:cs="Helvetica"/>
          <w:lang w:val="en-GB"/>
        </w:rPr>
        <w:t xml:space="preserve"> and</w:t>
      </w:r>
      <w:r w:rsidR="00DF5BEB" w:rsidRPr="008A3778">
        <w:rPr>
          <w:rFonts w:ascii="Helvetica" w:eastAsia="HGMaruGothicMPRO" w:hAnsi="Helvetica" w:cs="Helvetica"/>
          <w:lang w:val="en-GB"/>
        </w:rPr>
        <w:t>, and, as such,</w:t>
      </w:r>
      <w:r w:rsidR="00264EC9" w:rsidRPr="008A3778">
        <w:rPr>
          <w:rFonts w:ascii="Helvetica" w:eastAsia="HGMaruGothicMPRO" w:hAnsi="Helvetica" w:cs="Helvetica"/>
          <w:lang w:val="en-GB"/>
        </w:rPr>
        <w:t xml:space="preserve"> their late </w:t>
      </w:r>
      <w:r w:rsidR="009C1A89" w:rsidRPr="008A3778">
        <w:rPr>
          <w:rFonts w:ascii="Helvetica" w:eastAsia="HGMaruGothicMPRO" w:hAnsi="Helvetica" w:cs="Helvetica"/>
          <w:lang w:val="en-GB"/>
        </w:rPr>
        <w:t>prosecution</w:t>
      </w:r>
      <w:r w:rsidR="00264EC9" w:rsidRPr="008A3778">
        <w:rPr>
          <w:rFonts w:ascii="Helvetica" w:eastAsia="HGMaruGothicMPRO" w:hAnsi="Helvetica" w:cs="Helvetica"/>
          <w:lang w:val="en-GB"/>
        </w:rPr>
        <w:t xml:space="preserve"> of the</w:t>
      </w:r>
      <w:r w:rsidR="009C1A89" w:rsidRPr="008A3778">
        <w:rPr>
          <w:rFonts w:ascii="Helvetica" w:eastAsia="HGMaruGothicMPRO" w:hAnsi="Helvetica" w:cs="Helvetica"/>
          <w:lang w:val="en-GB"/>
        </w:rPr>
        <w:t>ir</w:t>
      </w:r>
      <w:r w:rsidR="00264EC9" w:rsidRPr="008A3778">
        <w:rPr>
          <w:rFonts w:ascii="Helvetica" w:eastAsia="HGMaruGothicMPRO" w:hAnsi="Helvetica" w:cs="Helvetica"/>
          <w:lang w:val="en-GB"/>
        </w:rPr>
        <w:t xml:space="preserve"> appeal</w:t>
      </w:r>
      <w:r w:rsidR="004D125A" w:rsidRPr="008A3778">
        <w:rPr>
          <w:rFonts w:ascii="Helvetica" w:eastAsia="HGMaruGothicMPRO" w:hAnsi="Helvetica" w:cs="Helvetica"/>
          <w:lang w:val="en-GB"/>
        </w:rPr>
        <w:t xml:space="preserve">. </w:t>
      </w:r>
      <w:r w:rsidR="00B36211" w:rsidRPr="008A3778">
        <w:rPr>
          <w:rFonts w:ascii="Helvetica" w:eastAsia="HGMaruGothicMPRO" w:hAnsi="Helvetica" w:cs="Helvetica"/>
          <w:lang w:val="en-GB"/>
        </w:rPr>
        <w:t xml:space="preserve">The condonation application seeks to reinstate the appeal. </w:t>
      </w:r>
      <w:r w:rsidR="00DF5BEB" w:rsidRPr="008A3778">
        <w:rPr>
          <w:rFonts w:ascii="Helvetica" w:eastAsia="HGMaruGothicMPRO" w:hAnsi="Helvetica" w:cs="Helvetica"/>
          <w:lang w:val="en-GB"/>
        </w:rPr>
        <w:t>Second</w:t>
      </w:r>
      <w:r w:rsidR="003D453A" w:rsidRPr="008A3778">
        <w:rPr>
          <w:rFonts w:ascii="Helvetica" w:eastAsia="HGMaruGothicMPRO" w:hAnsi="Helvetica" w:cs="Helvetica"/>
          <w:lang w:val="en-GB"/>
        </w:rPr>
        <w:t>, the</w:t>
      </w:r>
      <w:r w:rsidR="00515330" w:rsidRPr="008A3778">
        <w:rPr>
          <w:rFonts w:ascii="Helvetica" w:eastAsia="HGMaruGothicMPRO" w:hAnsi="Helvetica" w:cs="Helvetica"/>
          <w:lang w:val="en-GB"/>
        </w:rPr>
        <w:t>re is the issue of the</w:t>
      </w:r>
      <w:r w:rsidR="003D453A" w:rsidRPr="008A3778">
        <w:rPr>
          <w:rFonts w:ascii="Helvetica" w:eastAsia="HGMaruGothicMPRO" w:hAnsi="Helvetica" w:cs="Helvetica"/>
          <w:lang w:val="en-GB"/>
        </w:rPr>
        <w:t xml:space="preserve"> appellants’ failure to provide security in the appeal as required by uniform rule 49(13)(a).</w:t>
      </w:r>
      <w:r w:rsidR="00715B82"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Both</w:t>
      </w:r>
      <w:r w:rsidR="00B36211" w:rsidRPr="008A3778">
        <w:rPr>
          <w:rFonts w:ascii="Helvetica" w:eastAsia="HGMaruGothicMPRO" w:hAnsi="Helvetica" w:cs="Helvetica"/>
          <w:lang w:val="en-GB"/>
        </w:rPr>
        <w:t xml:space="preserve"> </w:t>
      </w:r>
      <w:r w:rsidR="00715B82" w:rsidRPr="008A3778">
        <w:rPr>
          <w:rFonts w:ascii="Helvetica" w:eastAsia="HGMaruGothicMPRO" w:hAnsi="Helvetica" w:cs="Helvetica"/>
          <w:lang w:val="en-GB"/>
        </w:rPr>
        <w:t>issues pertain, in some measure, to the question whether the appeal</w:t>
      </w:r>
      <w:r w:rsidR="00F65175" w:rsidRPr="008A3778">
        <w:rPr>
          <w:rFonts w:ascii="Helvetica" w:eastAsia="HGMaruGothicMPRO" w:hAnsi="Helvetica" w:cs="Helvetica"/>
          <w:lang w:val="en-GB"/>
        </w:rPr>
        <w:t xml:space="preserve">, at this juncture, </w:t>
      </w:r>
      <w:r w:rsidR="00715B82" w:rsidRPr="008A3778">
        <w:rPr>
          <w:rFonts w:ascii="Helvetica" w:eastAsia="HGMaruGothicMPRO" w:hAnsi="Helvetica" w:cs="Helvetica"/>
          <w:lang w:val="en-GB"/>
        </w:rPr>
        <w:t>can or ought to be determined on its merits.</w:t>
      </w:r>
    </w:p>
    <w:p w14:paraId="24DA42DD" w14:textId="165F6F77" w:rsidR="00F65175" w:rsidRPr="008A3778" w:rsidRDefault="00515330"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To</w:t>
      </w:r>
      <w:r w:rsidR="003C0B15" w:rsidRPr="008A3778">
        <w:rPr>
          <w:rFonts w:ascii="Helvetica" w:eastAsia="HGMaruGothicMPRO" w:hAnsi="Helvetica" w:cs="Helvetica"/>
          <w:lang w:val="en-GB"/>
        </w:rPr>
        <w:t xml:space="preserve"> </w:t>
      </w:r>
      <w:r w:rsidR="005D667C" w:rsidRPr="008A3778">
        <w:rPr>
          <w:rFonts w:ascii="Helvetica" w:eastAsia="HGMaruGothicMPRO" w:hAnsi="Helvetica" w:cs="Helvetica"/>
          <w:lang w:val="en-GB"/>
        </w:rPr>
        <w:t xml:space="preserve">contextualise and </w:t>
      </w:r>
      <w:r w:rsidR="003D453A" w:rsidRPr="008A3778">
        <w:rPr>
          <w:rFonts w:ascii="Helvetica" w:eastAsia="HGMaruGothicMPRO" w:hAnsi="Helvetica" w:cs="Helvetica"/>
          <w:lang w:val="en-GB"/>
        </w:rPr>
        <w:t>meaningfully deal with the appellants’ condonation application and the issue of the</w:t>
      </w:r>
      <w:r w:rsidR="00715B82" w:rsidRPr="008A3778">
        <w:rPr>
          <w:rFonts w:ascii="Helvetica" w:eastAsia="HGMaruGothicMPRO" w:hAnsi="Helvetica" w:cs="Helvetica"/>
          <w:lang w:val="en-GB"/>
        </w:rPr>
        <w:t>ir</w:t>
      </w:r>
      <w:r w:rsidR="003D453A" w:rsidRPr="008A3778">
        <w:rPr>
          <w:rFonts w:ascii="Helvetica" w:eastAsia="HGMaruGothicMPRO" w:hAnsi="Helvetica" w:cs="Helvetica"/>
          <w:lang w:val="en-GB"/>
        </w:rPr>
        <w:t xml:space="preserve"> </w:t>
      </w:r>
      <w:r w:rsidR="00B97A2F">
        <w:rPr>
          <w:rFonts w:ascii="Helvetica" w:eastAsia="HGMaruGothicMPRO" w:hAnsi="Helvetica" w:cs="Helvetica"/>
          <w:lang w:val="en-GB"/>
        </w:rPr>
        <w:t xml:space="preserve">failure to furnish </w:t>
      </w:r>
      <w:r w:rsidR="003D453A" w:rsidRPr="008A3778">
        <w:rPr>
          <w:rFonts w:ascii="Helvetica" w:eastAsia="HGMaruGothicMPRO" w:hAnsi="Helvetica" w:cs="Helvetica"/>
          <w:lang w:val="en-GB"/>
        </w:rPr>
        <w:t>security,</w:t>
      </w:r>
      <w:r w:rsidR="00465726" w:rsidRPr="008A3778">
        <w:rPr>
          <w:rFonts w:ascii="Helvetica" w:eastAsia="HGMaruGothicMPRO" w:hAnsi="Helvetica" w:cs="Helvetica"/>
          <w:lang w:val="en-GB"/>
        </w:rPr>
        <w:t xml:space="preserve"> regard must be</w:t>
      </w:r>
      <w:r w:rsidR="00A77C4E">
        <w:rPr>
          <w:rFonts w:ascii="Helvetica" w:eastAsia="HGMaruGothicMPRO" w:hAnsi="Helvetica" w:cs="Helvetica"/>
          <w:lang w:val="en-GB"/>
        </w:rPr>
        <w:t xml:space="preserve"> had to</w:t>
      </w:r>
      <w:r w:rsidR="00465726" w:rsidRPr="008A3778">
        <w:rPr>
          <w:rFonts w:ascii="Helvetica" w:eastAsia="HGMaruGothicMPRO" w:hAnsi="Helvetica" w:cs="Helvetica"/>
          <w:lang w:val="en-GB"/>
        </w:rPr>
        <w:t xml:space="preserve"> </w:t>
      </w:r>
      <w:r w:rsidR="00076276" w:rsidRPr="008A3778">
        <w:rPr>
          <w:rFonts w:ascii="Helvetica" w:eastAsia="HGMaruGothicMPRO" w:hAnsi="Helvetica" w:cs="Helvetica"/>
          <w:lang w:val="en-GB"/>
        </w:rPr>
        <w:t xml:space="preserve">the </w:t>
      </w:r>
      <w:r w:rsidR="00B97A2F">
        <w:rPr>
          <w:rFonts w:ascii="Helvetica" w:eastAsia="HGMaruGothicMPRO" w:hAnsi="Helvetica" w:cs="Helvetica"/>
          <w:lang w:val="en-GB"/>
        </w:rPr>
        <w:t xml:space="preserve">disquieting </w:t>
      </w:r>
      <w:r w:rsidR="00715B82" w:rsidRPr="008A3778">
        <w:rPr>
          <w:rFonts w:ascii="Helvetica" w:eastAsia="HGMaruGothicMPRO" w:hAnsi="Helvetica" w:cs="Helvetica"/>
          <w:lang w:val="en-GB"/>
        </w:rPr>
        <w:t xml:space="preserve">history </w:t>
      </w:r>
      <w:r w:rsidR="00B97A2F">
        <w:rPr>
          <w:rFonts w:ascii="Helvetica" w:eastAsia="HGMaruGothicMPRO" w:hAnsi="Helvetica" w:cs="Helvetica"/>
          <w:lang w:val="en-GB"/>
        </w:rPr>
        <w:t xml:space="preserve">that </w:t>
      </w:r>
      <w:r w:rsidR="00B36211" w:rsidRPr="008A3778">
        <w:rPr>
          <w:rFonts w:ascii="Helvetica" w:eastAsia="HGMaruGothicMPRO" w:hAnsi="Helvetica" w:cs="Helvetica"/>
          <w:lang w:val="en-GB"/>
        </w:rPr>
        <w:t>contaminates this matter</w:t>
      </w:r>
      <w:r w:rsidR="00745A35" w:rsidRPr="008A3778">
        <w:rPr>
          <w:rFonts w:ascii="Helvetica" w:eastAsia="HGMaruGothicMPRO" w:hAnsi="Helvetica" w:cs="Helvetica"/>
          <w:lang w:val="en-GB"/>
        </w:rPr>
        <w:t>. In dealing with this history</w:t>
      </w:r>
      <w:r w:rsidR="00715B82" w:rsidRPr="008A3778">
        <w:rPr>
          <w:rFonts w:ascii="Helvetica" w:eastAsia="HGMaruGothicMPRO" w:hAnsi="Helvetica" w:cs="Helvetica"/>
          <w:lang w:val="en-GB"/>
        </w:rPr>
        <w:t xml:space="preserve">, </w:t>
      </w:r>
      <w:r w:rsidR="00DF6EA8" w:rsidRPr="008A3778">
        <w:rPr>
          <w:rFonts w:ascii="Helvetica" w:eastAsia="HGMaruGothicMPRO" w:hAnsi="Helvetica" w:cs="Helvetica"/>
          <w:lang w:val="en-GB"/>
        </w:rPr>
        <w:t>I am</w:t>
      </w:r>
      <w:r w:rsidR="00AF1E5C" w:rsidRPr="008A3778">
        <w:rPr>
          <w:rFonts w:ascii="Helvetica" w:eastAsia="HGMaruGothicMPRO" w:hAnsi="Helvetica" w:cs="Helvetica"/>
          <w:lang w:val="en-GB"/>
        </w:rPr>
        <w:t xml:space="preserve"> mindful that</w:t>
      </w:r>
      <w:r w:rsidR="00DF6EA8" w:rsidRPr="008A3778">
        <w:rPr>
          <w:rFonts w:ascii="Helvetica" w:eastAsia="HGMaruGothicMPRO" w:hAnsi="Helvetica" w:cs="Helvetica"/>
          <w:lang w:val="en-GB"/>
        </w:rPr>
        <w:t xml:space="preserve"> </w:t>
      </w:r>
      <w:r w:rsidR="00AF1E5C" w:rsidRPr="008A3778">
        <w:rPr>
          <w:rFonts w:ascii="Helvetica" w:eastAsia="HGMaruGothicMPRO" w:hAnsi="Helvetica" w:cs="Helvetica"/>
          <w:lang w:val="en-GB"/>
        </w:rPr>
        <w:t>Ms</w:t>
      </w:r>
      <w:r w:rsidR="00B36211" w:rsidRPr="008A3778">
        <w:rPr>
          <w:rFonts w:ascii="Helvetica" w:eastAsia="HGMaruGothicMPRO" w:hAnsi="Helvetica" w:cs="Helvetica"/>
          <w:lang w:val="en-GB"/>
        </w:rPr>
        <w:t>.</w:t>
      </w:r>
      <w:r w:rsidR="00AF1E5C" w:rsidRPr="008A3778">
        <w:rPr>
          <w:rFonts w:ascii="Helvetica" w:eastAsia="HGMaruGothicMPRO" w:hAnsi="Helvetica" w:cs="Helvetica"/>
          <w:lang w:val="en-GB"/>
        </w:rPr>
        <w:t xml:space="preserve"> Collatz</w:t>
      </w:r>
      <w:r w:rsidR="007363FB" w:rsidRPr="008A3778">
        <w:rPr>
          <w:rFonts w:ascii="Helvetica" w:eastAsia="HGMaruGothicMPRO" w:hAnsi="Helvetica" w:cs="Helvetica"/>
          <w:lang w:val="en-GB"/>
        </w:rPr>
        <w:t xml:space="preserve"> </w:t>
      </w:r>
      <w:r w:rsidR="0010304E" w:rsidRPr="008A3778">
        <w:rPr>
          <w:rFonts w:ascii="Helvetica" w:eastAsia="HGMaruGothicMPRO" w:hAnsi="Helvetica" w:cs="Helvetica"/>
          <w:lang w:val="en-GB"/>
        </w:rPr>
        <w:t xml:space="preserve">is </w:t>
      </w:r>
      <w:r w:rsidR="0078760F" w:rsidRPr="008A3778">
        <w:rPr>
          <w:rFonts w:ascii="Helvetica" w:eastAsia="HGMaruGothicMPRO" w:hAnsi="Helvetica" w:cs="Helvetica"/>
          <w:lang w:val="en-GB"/>
        </w:rPr>
        <w:t>financially constrained and</w:t>
      </w:r>
      <w:r w:rsidR="0040155A" w:rsidRPr="008A3778">
        <w:rPr>
          <w:rFonts w:ascii="Helvetica" w:eastAsia="HGMaruGothicMPRO" w:hAnsi="Helvetica" w:cs="Helvetica"/>
          <w:lang w:val="en-GB"/>
        </w:rPr>
        <w:t>,</w:t>
      </w:r>
      <w:r w:rsidR="0078760F" w:rsidRPr="008A3778">
        <w:rPr>
          <w:rFonts w:ascii="Helvetica" w:eastAsia="HGMaruGothicMPRO" w:hAnsi="Helvetica" w:cs="Helvetica"/>
          <w:lang w:val="en-GB"/>
        </w:rPr>
        <w:t xml:space="preserve"> on occasions</w:t>
      </w:r>
      <w:r w:rsidR="0040155A" w:rsidRPr="008A3778">
        <w:rPr>
          <w:rFonts w:ascii="Helvetica" w:eastAsia="HGMaruGothicMPRO" w:hAnsi="Helvetica" w:cs="Helvetica"/>
          <w:lang w:val="en-GB"/>
        </w:rPr>
        <w:t>,</w:t>
      </w:r>
      <w:r w:rsidR="0078760F" w:rsidRPr="008A3778">
        <w:rPr>
          <w:rFonts w:ascii="Helvetica" w:eastAsia="HGMaruGothicMPRO" w:hAnsi="Helvetica" w:cs="Helvetica"/>
          <w:lang w:val="en-GB"/>
        </w:rPr>
        <w:t xml:space="preserve"> </w:t>
      </w:r>
      <w:r w:rsidR="00715B82" w:rsidRPr="008A3778">
        <w:rPr>
          <w:rFonts w:ascii="Helvetica" w:eastAsia="HGMaruGothicMPRO" w:hAnsi="Helvetica" w:cs="Helvetica"/>
          <w:lang w:val="en-GB"/>
        </w:rPr>
        <w:t xml:space="preserve">has been </w:t>
      </w:r>
      <w:r w:rsidR="00AF1E5C" w:rsidRPr="008A3778">
        <w:rPr>
          <w:rFonts w:ascii="Helvetica" w:eastAsia="HGMaruGothicMPRO" w:hAnsi="Helvetica" w:cs="Helvetica"/>
          <w:lang w:val="en-GB"/>
        </w:rPr>
        <w:t xml:space="preserve">legally </w:t>
      </w:r>
      <w:r w:rsidR="007363FB" w:rsidRPr="008A3778">
        <w:rPr>
          <w:rFonts w:ascii="Helvetica" w:eastAsia="HGMaruGothicMPRO" w:hAnsi="Helvetica" w:cs="Helvetica"/>
          <w:lang w:val="en-GB"/>
        </w:rPr>
        <w:t>un</w:t>
      </w:r>
      <w:r w:rsidR="00AF1E5C" w:rsidRPr="008A3778">
        <w:rPr>
          <w:rFonts w:ascii="Helvetica" w:eastAsia="HGMaruGothicMPRO" w:hAnsi="Helvetica" w:cs="Helvetica"/>
          <w:lang w:val="en-GB"/>
        </w:rPr>
        <w:t>represented</w:t>
      </w:r>
      <w:r w:rsidR="00946B86" w:rsidRPr="008A3778">
        <w:rPr>
          <w:rFonts w:ascii="Helvetica" w:eastAsia="HGMaruGothicMPRO" w:hAnsi="Helvetica" w:cs="Helvetica"/>
          <w:lang w:val="en-GB"/>
        </w:rPr>
        <w:t>, albeit the third to fifth respondents contest the true extent of her claims of being unrepresented and her accompanying disadvantages.</w:t>
      </w:r>
      <w:r w:rsidR="00C33E1B" w:rsidRPr="008A3778">
        <w:rPr>
          <w:rFonts w:ascii="Helvetica" w:eastAsia="HGMaruGothicMPRO" w:hAnsi="Helvetica" w:cs="Helvetica"/>
          <w:lang w:val="en-GB"/>
        </w:rPr>
        <w:t xml:space="preserve"> </w:t>
      </w:r>
    </w:p>
    <w:p w14:paraId="605E5A4C" w14:textId="03655F51" w:rsidR="001033C9" w:rsidRPr="008A3778" w:rsidRDefault="005D667C" w:rsidP="00F65175">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This history comprises</w:t>
      </w:r>
      <w:r w:rsidR="00435D75" w:rsidRPr="008A3778">
        <w:rPr>
          <w:rFonts w:ascii="Helvetica" w:eastAsia="HGMaruGothicMPRO" w:hAnsi="Helvetica" w:cs="Helvetica"/>
          <w:lang w:val="en-GB"/>
        </w:rPr>
        <w:t>: (i)</w:t>
      </w:r>
      <w:r w:rsidR="007822B9" w:rsidRPr="008A3778">
        <w:rPr>
          <w:rFonts w:ascii="Helvetica" w:eastAsia="HGMaruGothicMPRO" w:hAnsi="Helvetica" w:cs="Helvetica"/>
          <w:lang w:val="en-GB"/>
        </w:rPr>
        <w:t xml:space="preserve"> a diligent</w:t>
      </w:r>
      <w:r w:rsidR="001017B7">
        <w:rPr>
          <w:rFonts w:ascii="Helvetica" w:eastAsia="HGMaruGothicMPRO" w:hAnsi="Helvetica" w:cs="Helvetica"/>
          <w:lang w:val="en-GB"/>
        </w:rPr>
        <w:t xml:space="preserve"> </w:t>
      </w:r>
      <w:r w:rsidR="007822B9" w:rsidRPr="008A3778">
        <w:rPr>
          <w:rFonts w:ascii="Helvetica" w:eastAsia="HGMaruGothicMPRO" w:hAnsi="Helvetica" w:cs="Helvetica"/>
          <w:lang w:val="en-GB"/>
        </w:rPr>
        <w:t xml:space="preserve">disregard </w:t>
      </w:r>
      <w:r w:rsidR="00B36211" w:rsidRPr="008A3778">
        <w:rPr>
          <w:rFonts w:ascii="Helvetica" w:eastAsia="HGMaruGothicMPRO" w:hAnsi="Helvetica" w:cs="Helvetica"/>
          <w:lang w:val="en-GB"/>
        </w:rPr>
        <w:t>for</w:t>
      </w:r>
      <w:r w:rsidR="00524CFA" w:rsidRPr="008A3778">
        <w:rPr>
          <w:rFonts w:ascii="Helvetica" w:eastAsia="HGMaruGothicMPRO" w:hAnsi="Helvetica" w:cs="Helvetica"/>
          <w:lang w:val="en-GB"/>
        </w:rPr>
        <w:t xml:space="preserve"> the </w:t>
      </w:r>
      <w:r w:rsidR="007822B9" w:rsidRPr="008A3778">
        <w:rPr>
          <w:rFonts w:ascii="Helvetica" w:eastAsia="HGMaruGothicMPRO" w:hAnsi="Helvetica" w:cs="Helvetica"/>
          <w:lang w:val="en-GB"/>
        </w:rPr>
        <w:t>uniform rules of court</w:t>
      </w:r>
      <w:r w:rsidR="00435D75" w:rsidRPr="008A3778">
        <w:rPr>
          <w:rFonts w:ascii="Helvetica" w:eastAsia="HGMaruGothicMPRO" w:hAnsi="Helvetica" w:cs="Helvetica"/>
          <w:lang w:val="en-GB"/>
        </w:rPr>
        <w:t>,</w:t>
      </w:r>
      <w:r w:rsidR="00A72A50" w:rsidRPr="008A3778">
        <w:rPr>
          <w:rFonts w:ascii="Helvetica" w:eastAsia="HGMaruGothicMPRO" w:hAnsi="Helvetica" w:cs="Helvetica"/>
          <w:lang w:val="en-GB"/>
        </w:rPr>
        <w:t xml:space="preserve"> </w:t>
      </w:r>
      <w:r w:rsidR="00435D75" w:rsidRPr="008A3778">
        <w:rPr>
          <w:rFonts w:ascii="Helvetica" w:eastAsia="HGMaruGothicMPRO" w:hAnsi="Helvetica" w:cs="Helvetica"/>
          <w:lang w:val="en-GB"/>
        </w:rPr>
        <w:t>(ii) inexplicable and inordinate delays</w:t>
      </w:r>
      <w:r w:rsidR="005E2FAD" w:rsidRPr="008A3778">
        <w:rPr>
          <w:rFonts w:ascii="Helvetica" w:eastAsia="HGMaruGothicMPRO" w:hAnsi="Helvetica" w:cs="Helvetica"/>
          <w:lang w:val="en-GB"/>
        </w:rPr>
        <w:t xml:space="preserve"> </w:t>
      </w:r>
      <w:r w:rsidR="003A214B" w:rsidRPr="008A3778">
        <w:rPr>
          <w:rFonts w:ascii="Helvetica" w:eastAsia="HGMaruGothicMPRO" w:hAnsi="Helvetica" w:cs="Helvetica"/>
          <w:lang w:val="en-GB"/>
        </w:rPr>
        <w:t>resulting</w:t>
      </w:r>
      <w:r w:rsidR="001017B7">
        <w:rPr>
          <w:rFonts w:ascii="Helvetica" w:eastAsia="HGMaruGothicMPRO" w:hAnsi="Helvetica" w:cs="Helvetica"/>
          <w:lang w:val="en-GB"/>
        </w:rPr>
        <w:t xml:space="preserve"> </w:t>
      </w:r>
      <w:r w:rsidR="003A214B" w:rsidRPr="008A3778">
        <w:rPr>
          <w:rFonts w:ascii="Helvetica" w:eastAsia="HGMaruGothicMPRO" w:hAnsi="Helvetica" w:cs="Helvetica"/>
          <w:lang w:val="en-GB"/>
        </w:rPr>
        <w:t>in a slew of condonation applications</w:t>
      </w:r>
      <w:r w:rsidR="00435D75" w:rsidRPr="008A3778">
        <w:rPr>
          <w:rFonts w:ascii="Helvetica" w:eastAsia="HGMaruGothicMPRO" w:hAnsi="Helvetica" w:cs="Helvetica"/>
          <w:lang w:val="en-GB"/>
        </w:rPr>
        <w:t xml:space="preserve">, </w:t>
      </w:r>
      <w:r w:rsidR="00A72A50" w:rsidRPr="008A3778">
        <w:rPr>
          <w:rFonts w:ascii="Helvetica" w:eastAsia="HGMaruGothicMPRO" w:hAnsi="Helvetica" w:cs="Helvetica"/>
          <w:lang w:val="en-GB"/>
        </w:rPr>
        <w:t xml:space="preserve">and </w:t>
      </w:r>
      <w:r w:rsidR="00435D75" w:rsidRPr="008A3778">
        <w:rPr>
          <w:rFonts w:ascii="Helvetica" w:eastAsia="HGMaruGothicMPRO" w:hAnsi="Helvetica" w:cs="Helvetica"/>
          <w:lang w:val="en-GB"/>
        </w:rPr>
        <w:lastRenderedPageBreak/>
        <w:t xml:space="preserve">(iii) </w:t>
      </w:r>
      <w:r w:rsidR="001033C9" w:rsidRPr="008A3778">
        <w:rPr>
          <w:rFonts w:ascii="Helvetica" w:eastAsia="HGMaruGothicMPRO" w:hAnsi="Helvetica" w:cs="Helvetica"/>
          <w:lang w:val="en-GB"/>
        </w:rPr>
        <w:t xml:space="preserve">several </w:t>
      </w:r>
      <w:r w:rsidR="007822B9" w:rsidRPr="008A3778">
        <w:rPr>
          <w:rFonts w:ascii="Helvetica" w:eastAsia="HGMaruGothicMPRO" w:hAnsi="Helvetica" w:cs="Helvetica"/>
          <w:lang w:val="en-GB"/>
        </w:rPr>
        <w:t xml:space="preserve">other </w:t>
      </w:r>
      <w:r w:rsidR="000A20D7" w:rsidRPr="008A3778">
        <w:rPr>
          <w:rFonts w:ascii="Helvetica" w:eastAsia="HGMaruGothicMPRO" w:hAnsi="Helvetica" w:cs="Helvetica"/>
          <w:lang w:val="en-GB"/>
        </w:rPr>
        <w:t xml:space="preserve">equally </w:t>
      </w:r>
      <w:r w:rsidR="001033C9" w:rsidRPr="008A3778">
        <w:rPr>
          <w:rFonts w:ascii="Helvetica" w:eastAsia="HGMaruGothicMPRO" w:hAnsi="Helvetica" w:cs="Helvetica"/>
          <w:lang w:val="en-GB"/>
        </w:rPr>
        <w:t>unsatisfactory aspects.</w:t>
      </w:r>
      <w:r w:rsidRPr="008A3778">
        <w:rPr>
          <w:rFonts w:ascii="Helvetica" w:eastAsia="HGMaruGothicMPRO" w:hAnsi="Helvetica" w:cs="Helvetica"/>
          <w:lang w:val="en-GB"/>
        </w:rPr>
        <w:t xml:space="preserve"> </w:t>
      </w:r>
      <w:r w:rsidR="00F65175" w:rsidRPr="008A3778">
        <w:rPr>
          <w:rFonts w:ascii="Helvetica" w:eastAsia="HGMaruGothicMPRO" w:hAnsi="Helvetica" w:cs="Helvetica"/>
          <w:lang w:val="en-GB"/>
        </w:rPr>
        <w:t>B</w:t>
      </w:r>
      <w:r w:rsidR="00B36211" w:rsidRPr="008A3778">
        <w:rPr>
          <w:rFonts w:ascii="Helvetica" w:eastAsia="HGMaruGothicMPRO" w:hAnsi="Helvetica" w:cs="Helvetica"/>
          <w:lang w:val="en-GB"/>
        </w:rPr>
        <w:t>y way of example</w:t>
      </w:r>
      <w:r w:rsidRPr="008A3778">
        <w:rPr>
          <w:rFonts w:ascii="Helvetica" w:eastAsia="HGMaruGothicMPRO" w:hAnsi="Helvetica" w:cs="Helvetica"/>
          <w:lang w:val="en-GB"/>
        </w:rPr>
        <w:t xml:space="preserve">, </w:t>
      </w:r>
      <w:r w:rsidR="001017B7">
        <w:rPr>
          <w:rFonts w:ascii="Helvetica" w:eastAsia="HGMaruGothicMPRO" w:hAnsi="Helvetica" w:cs="Helvetica"/>
          <w:lang w:val="en-GB"/>
        </w:rPr>
        <w:t>features of this history include</w:t>
      </w:r>
      <w:r w:rsidR="001033C9" w:rsidRPr="008A3778">
        <w:rPr>
          <w:rFonts w:ascii="Helvetica" w:eastAsia="HGMaruGothicMPRO" w:hAnsi="Helvetica" w:cs="Helvetica"/>
          <w:lang w:val="en-GB"/>
        </w:rPr>
        <w:t>:</w:t>
      </w:r>
      <w:r w:rsidR="00A32B32" w:rsidRPr="008A3778">
        <w:rPr>
          <w:rFonts w:ascii="Helvetica" w:eastAsia="HGMaruGothicMPRO" w:hAnsi="Helvetica" w:cs="Helvetica"/>
          <w:lang w:val="en-GB"/>
        </w:rPr>
        <w:t xml:space="preserve"> </w:t>
      </w:r>
    </w:p>
    <w:p w14:paraId="4FABC29F" w14:textId="3458D1D7" w:rsidR="001033C9" w:rsidRPr="008A3778" w:rsidRDefault="00745A35"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For extended periods, t</w:t>
      </w:r>
      <w:r w:rsidR="00D47258" w:rsidRPr="008A3778">
        <w:rPr>
          <w:rFonts w:ascii="Helvetica" w:eastAsia="HGMaruGothicMPRO" w:hAnsi="Helvetica" w:cs="Helvetica"/>
          <w:lang w:val="en-GB"/>
        </w:rPr>
        <w:t xml:space="preserve">he appellants </w:t>
      </w:r>
      <w:r w:rsidR="000F3215" w:rsidRPr="008A3778">
        <w:rPr>
          <w:rFonts w:ascii="Helvetica" w:eastAsia="HGMaruGothicMPRO" w:hAnsi="Helvetica" w:cs="Helvetica"/>
          <w:lang w:val="en-GB"/>
        </w:rPr>
        <w:t>have adopted</w:t>
      </w:r>
      <w:r w:rsidRPr="008A3778">
        <w:rPr>
          <w:rFonts w:ascii="Helvetica" w:eastAsia="HGMaruGothicMPRO" w:hAnsi="Helvetica" w:cs="Helvetica"/>
          <w:lang w:val="en-GB"/>
        </w:rPr>
        <w:t xml:space="preserve"> a dilatory, if not </w:t>
      </w:r>
      <w:r w:rsidR="003F7876" w:rsidRPr="008A3778">
        <w:rPr>
          <w:rFonts w:ascii="Helvetica" w:eastAsia="HGMaruGothicMPRO" w:hAnsi="Helvetica" w:cs="Helvetica"/>
          <w:lang w:val="en-GB"/>
        </w:rPr>
        <w:t>insouciant</w:t>
      </w:r>
      <w:r w:rsidRPr="008A3778">
        <w:rPr>
          <w:rFonts w:ascii="Helvetica" w:eastAsia="HGMaruGothicMPRO" w:hAnsi="Helvetica" w:cs="Helvetica"/>
          <w:lang w:val="en-GB"/>
        </w:rPr>
        <w:t>,</w:t>
      </w:r>
      <w:r w:rsidR="003F7876" w:rsidRPr="008A3778">
        <w:rPr>
          <w:rFonts w:ascii="Helvetica" w:eastAsia="HGMaruGothicMPRO" w:hAnsi="Helvetica" w:cs="Helvetica"/>
          <w:lang w:val="en-GB"/>
        </w:rPr>
        <w:t xml:space="preserve"> approach to </w:t>
      </w:r>
      <w:bookmarkStart w:id="4" w:name="_Hlk89941114"/>
      <w:r w:rsidR="00D47258" w:rsidRPr="008A3778">
        <w:rPr>
          <w:rFonts w:ascii="Helvetica" w:eastAsia="HGMaruGothicMPRO" w:hAnsi="Helvetica" w:cs="Helvetica"/>
          <w:lang w:val="en-GB"/>
        </w:rPr>
        <w:t xml:space="preserve">prosecuting their </w:t>
      </w:r>
      <w:r w:rsidR="001033C9" w:rsidRPr="008A3778">
        <w:rPr>
          <w:rFonts w:ascii="Helvetica" w:eastAsia="HGMaruGothicMPRO" w:hAnsi="Helvetica" w:cs="Helvetica"/>
          <w:lang w:val="en-GB"/>
        </w:rPr>
        <w:t>section 30P application</w:t>
      </w:r>
      <w:bookmarkEnd w:id="4"/>
      <w:r w:rsidR="00F2100A" w:rsidRPr="008A3778">
        <w:rPr>
          <w:rFonts w:ascii="Helvetica" w:eastAsia="HGMaruGothicMPRO" w:hAnsi="Helvetica" w:cs="Helvetica"/>
          <w:lang w:val="en-GB"/>
        </w:rPr>
        <w:t>.</w:t>
      </w:r>
      <w:r w:rsidR="00D87460" w:rsidRPr="008A3778">
        <w:rPr>
          <w:rFonts w:ascii="Helvetica" w:eastAsia="HGMaruGothicMPRO" w:hAnsi="Helvetica" w:cs="Helvetica"/>
          <w:lang w:val="en-GB"/>
        </w:rPr>
        <w:t xml:space="preserve"> </w:t>
      </w:r>
      <w:r w:rsidR="00F2100A" w:rsidRPr="008A3778">
        <w:rPr>
          <w:rFonts w:ascii="Helvetica" w:eastAsia="HGMaruGothicMPRO" w:hAnsi="Helvetica" w:cs="Helvetica"/>
          <w:lang w:val="en-GB"/>
        </w:rPr>
        <w:t>The application was launch</w:t>
      </w:r>
      <w:r w:rsidR="0060661C">
        <w:rPr>
          <w:rFonts w:ascii="Helvetica" w:eastAsia="HGMaruGothicMPRO" w:hAnsi="Helvetica" w:cs="Helvetica"/>
          <w:lang w:val="en-GB"/>
        </w:rPr>
        <w:t>ed</w:t>
      </w:r>
      <w:r w:rsidR="00F2100A" w:rsidRPr="008A3778">
        <w:rPr>
          <w:rFonts w:ascii="Helvetica" w:eastAsia="HGMaruGothicMPRO" w:hAnsi="Helvetica" w:cs="Helvetica"/>
          <w:lang w:val="en-GB"/>
        </w:rPr>
        <w:t xml:space="preserve"> </w:t>
      </w:r>
      <w:r w:rsidR="000E15DF" w:rsidRPr="008A3778">
        <w:rPr>
          <w:rFonts w:ascii="Helvetica" w:eastAsia="HGMaruGothicMPRO" w:hAnsi="Helvetica" w:cs="Helvetica"/>
          <w:lang w:val="en-GB"/>
        </w:rPr>
        <w:t>during November 2012</w:t>
      </w:r>
      <w:r w:rsidR="000F3215" w:rsidRPr="008A3778">
        <w:rPr>
          <w:rFonts w:ascii="Helvetica" w:eastAsia="HGMaruGothicMPRO" w:hAnsi="Helvetica" w:cs="Helvetica"/>
          <w:lang w:val="en-GB"/>
        </w:rPr>
        <w:t>.</w:t>
      </w:r>
      <w:r w:rsidR="00B36211" w:rsidRPr="008A3778">
        <w:rPr>
          <w:rFonts w:ascii="Helvetica" w:eastAsia="HGMaruGothicMPRO" w:hAnsi="Helvetica" w:cs="Helvetica"/>
          <w:lang w:val="en-GB"/>
        </w:rPr>
        <w:t xml:space="preserve"> The application </w:t>
      </w:r>
      <w:r w:rsidRPr="008A3778">
        <w:rPr>
          <w:rFonts w:ascii="Helvetica" w:eastAsia="HGMaruGothicMPRO" w:hAnsi="Helvetica" w:cs="Helvetica"/>
          <w:lang w:val="en-GB"/>
        </w:rPr>
        <w:t xml:space="preserve">was </w:t>
      </w:r>
      <w:r w:rsidR="00AD2DB0" w:rsidRPr="008A3778">
        <w:rPr>
          <w:rFonts w:ascii="Helvetica" w:eastAsia="HGMaruGothicMPRO" w:hAnsi="Helvetica" w:cs="Helvetica"/>
          <w:lang w:val="en-GB"/>
        </w:rPr>
        <w:t xml:space="preserve">only </w:t>
      </w:r>
      <w:r w:rsidR="00F2100A" w:rsidRPr="008A3778">
        <w:rPr>
          <w:rFonts w:ascii="Helvetica" w:eastAsia="HGMaruGothicMPRO" w:hAnsi="Helvetica" w:cs="Helvetica"/>
          <w:lang w:val="en-GB"/>
        </w:rPr>
        <w:t xml:space="preserve">argued </w:t>
      </w:r>
      <w:r w:rsidR="00B36211" w:rsidRPr="008A3778">
        <w:rPr>
          <w:rFonts w:ascii="Helvetica" w:eastAsia="HGMaruGothicMPRO" w:hAnsi="Helvetica" w:cs="Helvetica"/>
          <w:lang w:val="en-GB"/>
        </w:rPr>
        <w:t xml:space="preserve">some eight years later, during </w:t>
      </w:r>
      <w:r w:rsidR="00AD2DB0" w:rsidRPr="008A3778">
        <w:rPr>
          <w:rFonts w:ascii="Helvetica" w:eastAsia="HGMaruGothicMPRO" w:hAnsi="Helvetica" w:cs="Helvetica"/>
          <w:lang w:val="en-GB"/>
        </w:rPr>
        <w:t>October 2020</w:t>
      </w:r>
      <w:r w:rsidRPr="008A3778">
        <w:rPr>
          <w:rFonts w:ascii="Helvetica" w:eastAsia="HGMaruGothicMPRO" w:hAnsi="Helvetica" w:cs="Helvetica"/>
          <w:lang w:val="en-GB"/>
        </w:rPr>
        <w:t xml:space="preserve">, and then only because </w:t>
      </w:r>
      <w:r w:rsidR="000F3215" w:rsidRPr="008A3778">
        <w:rPr>
          <w:rFonts w:ascii="Helvetica" w:eastAsia="HGMaruGothicMPRO" w:hAnsi="Helvetica" w:cs="Helvetica"/>
          <w:lang w:val="en-GB"/>
        </w:rPr>
        <w:t xml:space="preserve">the </w:t>
      </w:r>
      <w:r w:rsidR="00275344" w:rsidRPr="008A3778">
        <w:rPr>
          <w:rFonts w:ascii="Helvetica" w:eastAsia="HGMaruGothicMPRO" w:hAnsi="Helvetica" w:cs="Helvetica"/>
          <w:lang w:val="en-GB"/>
        </w:rPr>
        <w:t>first and second respondents’ attorneys</w:t>
      </w:r>
      <w:r w:rsidR="00B97A2F">
        <w:rPr>
          <w:rFonts w:ascii="Helvetica" w:eastAsia="HGMaruGothicMPRO" w:hAnsi="Helvetica" w:cs="Helvetica"/>
          <w:lang w:val="en-GB"/>
        </w:rPr>
        <w:t xml:space="preserve"> set the application down for hearing</w:t>
      </w:r>
      <w:r w:rsidR="00D43EC0" w:rsidRPr="008A3778">
        <w:rPr>
          <w:rFonts w:ascii="Helvetica" w:eastAsia="HGMaruGothicMPRO" w:hAnsi="Helvetica" w:cs="Helvetica"/>
          <w:lang w:val="en-GB"/>
        </w:rPr>
        <w:t>.</w:t>
      </w:r>
    </w:p>
    <w:p w14:paraId="3377803D" w14:textId="4A6B4DA5" w:rsidR="00295D7B" w:rsidRPr="008A3778" w:rsidRDefault="00CA2FCB"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w:t>
      </w:r>
      <w:r w:rsidR="00A01D40" w:rsidRPr="008A3778">
        <w:rPr>
          <w:rFonts w:ascii="Helvetica" w:eastAsia="HGMaruGothicMPRO" w:hAnsi="Helvetica" w:cs="Helvetica"/>
          <w:lang w:val="en-GB"/>
        </w:rPr>
        <w:t xml:space="preserve">appellants </w:t>
      </w:r>
      <w:r w:rsidR="000F3215" w:rsidRPr="008A3778">
        <w:rPr>
          <w:rFonts w:ascii="Helvetica" w:eastAsia="HGMaruGothicMPRO" w:hAnsi="Helvetica" w:cs="Helvetica"/>
          <w:lang w:val="en-GB"/>
        </w:rPr>
        <w:t xml:space="preserve">have additionally adopted a </w:t>
      </w:r>
      <w:r w:rsidR="00A01D40" w:rsidRPr="008A3778">
        <w:rPr>
          <w:rFonts w:ascii="Helvetica" w:eastAsia="HGMaruGothicMPRO" w:hAnsi="Helvetica" w:cs="Helvetica"/>
          <w:lang w:val="en-GB"/>
        </w:rPr>
        <w:t xml:space="preserve">Delphic approach </w:t>
      </w:r>
      <w:r w:rsidR="00DD528A" w:rsidRPr="008A3778">
        <w:rPr>
          <w:rFonts w:ascii="Helvetica" w:eastAsia="HGMaruGothicMPRO" w:hAnsi="Helvetica" w:cs="Helvetica"/>
          <w:lang w:val="en-GB"/>
        </w:rPr>
        <w:t xml:space="preserve">to the relief sought </w:t>
      </w:r>
      <w:r w:rsidR="00F65175" w:rsidRPr="008A3778">
        <w:rPr>
          <w:rFonts w:ascii="Helvetica" w:eastAsia="HGMaruGothicMPRO" w:hAnsi="Helvetica" w:cs="Helvetica"/>
          <w:lang w:val="en-GB"/>
        </w:rPr>
        <w:t xml:space="preserve">by them </w:t>
      </w:r>
      <w:r w:rsidR="00DD528A" w:rsidRPr="008A3778">
        <w:rPr>
          <w:rFonts w:ascii="Helvetica" w:eastAsia="HGMaruGothicMPRO" w:hAnsi="Helvetica" w:cs="Helvetica"/>
          <w:lang w:val="en-GB"/>
        </w:rPr>
        <w:t>in their application.</w:t>
      </w:r>
      <w:r w:rsidR="00FA2FD7" w:rsidRPr="008A3778">
        <w:rPr>
          <w:rFonts w:ascii="Helvetica" w:eastAsia="HGMaruGothicMPRO" w:hAnsi="Helvetica" w:cs="Helvetica"/>
          <w:lang w:val="en-GB"/>
        </w:rPr>
        <w:t xml:space="preserve"> Their notice of motion, and its ultimate form</w:t>
      </w:r>
      <w:r w:rsidR="00633561" w:rsidRPr="008A3778">
        <w:rPr>
          <w:rFonts w:ascii="Helvetica" w:eastAsia="HGMaruGothicMPRO" w:hAnsi="Helvetica" w:cs="Helvetica"/>
          <w:lang w:val="en-GB"/>
        </w:rPr>
        <w:t>,</w:t>
      </w:r>
      <w:r w:rsidR="00FA2FD7" w:rsidRPr="008A3778">
        <w:rPr>
          <w:rFonts w:ascii="Helvetica" w:eastAsia="HGMaruGothicMPRO" w:hAnsi="Helvetica" w:cs="Helvetica"/>
          <w:lang w:val="en-GB"/>
        </w:rPr>
        <w:t xml:space="preserve"> is the product of various amendments and attempted </w:t>
      </w:r>
      <w:r w:rsidR="00B36211" w:rsidRPr="008A3778">
        <w:rPr>
          <w:rFonts w:ascii="Helvetica" w:eastAsia="HGMaruGothicMPRO" w:hAnsi="Helvetica" w:cs="Helvetica"/>
          <w:lang w:val="en-GB"/>
        </w:rPr>
        <w:t xml:space="preserve">/ proposed </w:t>
      </w:r>
      <w:r w:rsidR="00FA2FD7" w:rsidRPr="008A3778">
        <w:rPr>
          <w:rFonts w:ascii="Helvetica" w:eastAsia="HGMaruGothicMPRO" w:hAnsi="Helvetica" w:cs="Helvetica"/>
          <w:lang w:val="en-GB"/>
        </w:rPr>
        <w:t>amendments</w:t>
      </w:r>
      <w:r w:rsidR="009F4E1F" w:rsidRPr="008A3778">
        <w:rPr>
          <w:rFonts w:ascii="Helvetica" w:eastAsia="HGMaruGothicMPRO" w:hAnsi="Helvetica" w:cs="Helvetica"/>
          <w:lang w:val="en-GB"/>
        </w:rPr>
        <w:t>;</w:t>
      </w:r>
      <w:r w:rsidR="00EA1525" w:rsidRPr="008A3778">
        <w:rPr>
          <w:rFonts w:ascii="Helvetica" w:eastAsia="HGMaruGothicMPRO" w:hAnsi="Helvetica" w:cs="Helvetica"/>
          <w:lang w:val="en-GB"/>
        </w:rPr>
        <w:t xml:space="preserve"> </w:t>
      </w:r>
      <w:r w:rsidR="009F4E1F" w:rsidRPr="008A3778">
        <w:rPr>
          <w:rFonts w:ascii="Helvetica" w:eastAsia="HGMaruGothicMPRO" w:hAnsi="Helvetica" w:cs="Helvetica"/>
          <w:lang w:val="en-GB"/>
        </w:rPr>
        <w:t>t</w:t>
      </w:r>
      <w:r w:rsidR="00EA1525" w:rsidRPr="008A3778">
        <w:rPr>
          <w:rFonts w:ascii="Helvetica" w:eastAsia="HGMaruGothicMPRO" w:hAnsi="Helvetica" w:cs="Helvetica"/>
          <w:lang w:val="en-GB"/>
        </w:rPr>
        <w:t>he scars</w:t>
      </w:r>
      <w:r w:rsidR="00745A35" w:rsidRPr="008A3778">
        <w:rPr>
          <w:rFonts w:ascii="Helvetica" w:eastAsia="HGMaruGothicMPRO" w:hAnsi="Helvetica" w:cs="Helvetica"/>
          <w:lang w:val="en-GB"/>
        </w:rPr>
        <w:t xml:space="preserve"> of which </w:t>
      </w:r>
      <w:r w:rsidR="00EA1525" w:rsidRPr="008A3778">
        <w:rPr>
          <w:rFonts w:ascii="Helvetica" w:eastAsia="HGMaruGothicMPRO" w:hAnsi="Helvetica" w:cs="Helvetica"/>
          <w:lang w:val="en-GB"/>
        </w:rPr>
        <w:t>remain</w:t>
      </w:r>
      <w:r w:rsidR="00745A35" w:rsidRPr="008A3778">
        <w:rPr>
          <w:rFonts w:ascii="Helvetica" w:eastAsia="HGMaruGothicMPRO" w:hAnsi="Helvetica" w:cs="Helvetica"/>
          <w:lang w:val="en-GB"/>
        </w:rPr>
        <w:t xml:space="preserve"> (particularly</w:t>
      </w:r>
      <w:r w:rsidR="00F65175" w:rsidRPr="008A3778">
        <w:rPr>
          <w:rFonts w:ascii="Helvetica" w:eastAsia="HGMaruGothicMPRO" w:hAnsi="Helvetica" w:cs="Helvetica"/>
          <w:lang w:val="en-GB"/>
        </w:rPr>
        <w:t xml:space="preserve"> when measured against the </w:t>
      </w:r>
      <w:r w:rsidR="00745A35" w:rsidRPr="008A3778">
        <w:rPr>
          <w:rFonts w:ascii="Helvetica" w:eastAsia="HGMaruGothicMPRO" w:hAnsi="Helvetica" w:cs="Helvetica"/>
          <w:lang w:val="en-GB"/>
        </w:rPr>
        <w:t xml:space="preserve">case </w:t>
      </w:r>
      <w:r w:rsidR="00C833C3" w:rsidRPr="008A3778">
        <w:rPr>
          <w:rFonts w:ascii="Helvetica" w:eastAsia="HGMaruGothicMPRO" w:hAnsi="Helvetica" w:cs="Helvetica"/>
          <w:lang w:val="en-GB"/>
        </w:rPr>
        <w:t xml:space="preserve">they initially sought to </w:t>
      </w:r>
      <w:r w:rsidR="00B97A2F">
        <w:rPr>
          <w:rFonts w:ascii="Helvetica" w:eastAsia="HGMaruGothicMPRO" w:hAnsi="Helvetica" w:cs="Helvetica"/>
          <w:lang w:val="en-GB"/>
        </w:rPr>
        <w:t>make</w:t>
      </w:r>
      <w:r w:rsidR="00C833C3" w:rsidRPr="008A3778">
        <w:rPr>
          <w:rFonts w:ascii="Helvetica" w:eastAsia="HGMaruGothicMPRO" w:hAnsi="Helvetica" w:cs="Helvetica"/>
          <w:lang w:val="en-GB"/>
        </w:rPr>
        <w:t xml:space="preserve"> </w:t>
      </w:r>
      <w:r w:rsidR="00745A35" w:rsidRPr="008A3778">
        <w:rPr>
          <w:rFonts w:ascii="Helvetica" w:eastAsia="HGMaruGothicMPRO" w:hAnsi="Helvetica" w:cs="Helvetica"/>
          <w:lang w:val="en-GB"/>
        </w:rPr>
        <w:t>in their founding affidavit)</w:t>
      </w:r>
      <w:r w:rsidR="000F3215" w:rsidRPr="008A3778">
        <w:rPr>
          <w:rFonts w:ascii="Helvetica" w:eastAsia="HGMaruGothicMPRO" w:hAnsi="Helvetica" w:cs="Helvetica"/>
          <w:lang w:val="en-GB"/>
        </w:rPr>
        <w:t>. In this regard:</w:t>
      </w:r>
    </w:p>
    <w:p w14:paraId="06D21870" w14:textId="79F829FD" w:rsidR="00295D7B" w:rsidRPr="008A3778" w:rsidRDefault="00670583"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The</w:t>
      </w:r>
      <w:r w:rsidR="000F3215" w:rsidRPr="008A3778">
        <w:rPr>
          <w:rFonts w:ascii="Helvetica" w:eastAsia="HGMaruGothicMPRO" w:hAnsi="Helvetica" w:cs="Helvetica"/>
          <w:lang w:val="en-GB"/>
        </w:rPr>
        <w:t xml:space="preserve"> appellants’</w:t>
      </w:r>
      <w:r w:rsidRPr="008A3778">
        <w:rPr>
          <w:rFonts w:ascii="Helvetica" w:eastAsia="HGMaruGothicMPRO" w:hAnsi="Helvetica" w:cs="Helvetica"/>
          <w:lang w:val="en-GB"/>
        </w:rPr>
        <w:t xml:space="preserve"> initial November 2012 </w:t>
      </w:r>
      <w:r w:rsidR="002A2F5E" w:rsidRPr="008A3778">
        <w:rPr>
          <w:rFonts w:ascii="Helvetica" w:eastAsia="HGMaruGothicMPRO" w:hAnsi="Helvetica" w:cs="Helvetica"/>
          <w:lang w:val="en-GB"/>
        </w:rPr>
        <w:t>notice of motion sought</w:t>
      </w:r>
      <w:r w:rsidR="00782244" w:rsidRPr="008A3778">
        <w:rPr>
          <w:rFonts w:ascii="Helvetica" w:eastAsia="HGMaruGothicMPRO" w:hAnsi="Helvetica" w:cs="Helvetica"/>
          <w:lang w:val="en-GB"/>
        </w:rPr>
        <w:t xml:space="preserve">, in the main, </w:t>
      </w:r>
      <w:r w:rsidR="002A2F5E" w:rsidRPr="008A3778">
        <w:rPr>
          <w:rFonts w:ascii="Helvetica" w:eastAsia="HGMaruGothicMPRO" w:hAnsi="Helvetica" w:cs="Helvetica"/>
          <w:lang w:val="en-GB"/>
        </w:rPr>
        <w:t>orde</w:t>
      </w:r>
      <w:r w:rsidRPr="008A3778">
        <w:rPr>
          <w:rFonts w:ascii="Helvetica" w:eastAsia="HGMaruGothicMPRO" w:hAnsi="Helvetica" w:cs="Helvetica"/>
          <w:lang w:val="en-GB"/>
        </w:rPr>
        <w:t>rs</w:t>
      </w:r>
      <w:r w:rsidR="0060661C">
        <w:rPr>
          <w:rFonts w:ascii="Helvetica" w:eastAsia="HGMaruGothicMPRO" w:hAnsi="Helvetica" w:cs="Helvetica"/>
          <w:lang w:val="en-GB"/>
        </w:rPr>
        <w:t>:</w:t>
      </w:r>
      <w:r w:rsidR="002A2F5E" w:rsidRPr="008A3778">
        <w:rPr>
          <w:rFonts w:ascii="Helvetica" w:eastAsia="HGMaruGothicMPRO" w:hAnsi="Helvetica" w:cs="Helvetica"/>
          <w:lang w:val="en-GB"/>
        </w:rPr>
        <w:t xml:space="preserve"> (i) setting aside the transfer of the </w:t>
      </w:r>
      <w:r w:rsidR="00185154" w:rsidRPr="008A3778">
        <w:rPr>
          <w:rFonts w:ascii="Helvetica" w:eastAsia="HGMaruGothicMPRO" w:hAnsi="Helvetica" w:cs="Helvetica"/>
          <w:lang w:val="en-GB"/>
        </w:rPr>
        <w:t>“</w:t>
      </w:r>
      <w:r w:rsidR="00185154" w:rsidRPr="008A3778">
        <w:rPr>
          <w:rFonts w:ascii="Helvetica" w:eastAsia="HGMaruGothicMPRO" w:hAnsi="Helvetica" w:cs="Helvetica"/>
          <w:i/>
          <w:iCs/>
          <w:lang w:val="en-GB"/>
        </w:rPr>
        <w:t xml:space="preserve">deceased </w:t>
      </w:r>
      <w:r w:rsidR="002A2F5E" w:rsidRPr="008A3778">
        <w:rPr>
          <w:rFonts w:ascii="Helvetica" w:eastAsia="HGMaruGothicMPRO" w:hAnsi="Helvetica" w:cs="Helvetica"/>
          <w:i/>
          <w:iCs/>
          <w:lang w:val="en-GB"/>
        </w:rPr>
        <w:t>benefits</w:t>
      </w:r>
      <w:r w:rsidR="00185154" w:rsidRPr="008A3778">
        <w:rPr>
          <w:rFonts w:ascii="Helvetica" w:eastAsia="HGMaruGothicMPRO" w:hAnsi="Helvetica" w:cs="Helvetica"/>
          <w:lang w:val="en-GB"/>
        </w:rPr>
        <w:t>”</w:t>
      </w:r>
      <w:r w:rsidR="002A2F5E" w:rsidRPr="008A3778">
        <w:rPr>
          <w:rFonts w:ascii="Helvetica" w:eastAsia="HGMaruGothicMPRO" w:hAnsi="Helvetica" w:cs="Helvetica"/>
          <w:lang w:val="en-GB"/>
        </w:rPr>
        <w:t xml:space="preserve"> to the second respondent, and (ii) </w:t>
      </w:r>
      <w:r w:rsidR="00BE56B3" w:rsidRPr="008A3778">
        <w:rPr>
          <w:rFonts w:ascii="Helvetica" w:eastAsia="HGMaruGothicMPRO" w:hAnsi="Helvetica" w:cs="Helvetica"/>
          <w:lang w:val="en-GB"/>
        </w:rPr>
        <w:t xml:space="preserve">directing </w:t>
      </w:r>
      <w:r w:rsidR="002A2F5E" w:rsidRPr="008A3778">
        <w:rPr>
          <w:rFonts w:ascii="Helvetica" w:eastAsia="HGMaruGothicMPRO" w:hAnsi="Helvetica" w:cs="Helvetica"/>
          <w:lang w:val="en-GB"/>
        </w:rPr>
        <w:t>the second respondent</w:t>
      </w:r>
      <w:r w:rsidR="000F3215" w:rsidRPr="008A3778">
        <w:rPr>
          <w:rFonts w:ascii="Helvetica" w:eastAsia="HGMaruGothicMPRO" w:hAnsi="Helvetica" w:cs="Helvetica"/>
          <w:lang w:val="en-GB"/>
        </w:rPr>
        <w:t xml:space="preserve"> to</w:t>
      </w:r>
      <w:r w:rsidR="002A2F5E" w:rsidRPr="008A3778">
        <w:rPr>
          <w:rFonts w:ascii="Helvetica" w:eastAsia="HGMaruGothicMPRO" w:hAnsi="Helvetica" w:cs="Helvetica"/>
          <w:lang w:val="en-GB"/>
        </w:rPr>
        <w:t xml:space="preserve"> </w:t>
      </w:r>
      <w:r w:rsidR="00613B3B" w:rsidRPr="008A3778">
        <w:rPr>
          <w:rFonts w:ascii="Helvetica" w:eastAsia="HGMaruGothicMPRO" w:hAnsi="Helvetica" w:cs="Helvetica"/>
          <w:lang w:val="en-GB"/>
        </w:rPr>
        <w:t>“</w:t>
      </w:r>
      <w:r w:rsidR="002A2F5E" w:rsidRPr="008A3778">
        <w:rPr>
          <w:rFonts w:ascii="Helvetica" w:eastAsia="HGMaruGothicMPRO" w:hAnsi="Helvetica" w:cs="Helvetica"/>
          <w:i/>
          <w:iCs/>
          <w:lang w:val="en-GB"/>
        </w:rPr>
        <w:t>pay</w:t>
      </w:r>
      <w:r w:rsidR="00326651" w:rsidRPr="008A3778">
        <w:rPr>
          <w:rFonts w:ascii="Helvetica" w:eastAsia="HGMaruGothicMPRO" w:hAnsi="Helvetica" w:cs="Helvetica"/>
          <w:i/>
          <w:iCs/>
          <w:lang w:val="en-GB"/>
        </w:rPr>
        <w:t xml:space="preserve"> half of the </w:t>
      </w:r>
      <w:r w:rsidR="00295D7B" w:rsidRPr="008A3778">
        <w:rPr>
          <w:rFonts w:ascii="Helvetica" w:eastAsia="HGMaruGothicMPRO" w:hAnsi="Helvetica" w:cs="Helvetica"/>
          <w:i/>
          <w:iCs/>
          <w:lang w:val="en-GB"/>
        </w:rPr>
        <w:t xml:space="preserve">proceeds of such </w:t>
      </w:r>
      <w:r w:rsidR="00BB0C87" w:rsidRPr="008A3778">
        <w:rPr>
          <w:rFonts w:ascii="Helvetica" w:eastAsia="HGMaruGothicMPRO" w:hAnsi="Helvetica" w:cs="Helvetica"/>
          <w:i/>
          <w:iCs/>
          <w:lang w:val="en-GB"/>
        </w:rPr>
        <w:t>Annuity</w:t>
      </w:r>
      <w:r w:rsidR="00295D7B" w:rsidRPr="008A3778">
        <w:rPr>
          <w:rFonts w:ascii="Helvetica" w:eastAsia="HGMaruGothicMPRO" w:hAnsi="Helvetica" w:cs="Helvetica"/>
          <w:lang w:val="en-GB"/>
        </w:rPr>
        <w:t xml:space="preserve">” </w:t>
      </w:r>
      <w:r w:rsidR="002A2F5E" w:rsidRPr="008A3778">
        <w:rPr>
          <w:rFonts w:ascii="Helvetica" w:eastAsia="HGMaruGothicMPRO" w:hAnsi="Helvetica" w:cs="Helvetica"/>
          <w:lang w:val="en-GB"/>
        </w:rPr>
        <w:t xml:space="preserve">to </w:t>
      </w:r>
      <w:r w:rsidR="004D13D1" w:rsidRPr="008A3778">
        <w:rPr>
          <w:rFonts w:ascii="Helvetica" w:eastAsia="HGMaruGothicMPRO" w:hAnsi="Helvetica" w:cs="Helvetica"/>
          <w:lang w:val="en-GB"/>
        </w:rPr>
        <w:t xml:space="preserve">each of </w:t>
      </w:r>
      <w:r w:rsidR="002A2F5E" w:rsidRPr="008A3778">
        <w:rPr>
          <w:rFonts w:ascii="Helvetica" w:eastAsia="HGMaruGothicMPRO" w:hAnsi="Helvetica" w:cs="Helvetica"/>
          <w:lang w:val="en-GB"/>
        </w:rPr>
        <w:t xml:space="preserve">the </w:t>
      </w:r>
      <w:r w:rsidR="00295D7B" w:rsidRPr="008A3778">
        <w:rPr>
          <w:rFonts w:ascii="Helvetica" w:eastAsia="HGMaruGothicMPRO" w:hAnsi="Helvetica" w:cs="Helvetica"/>
          <w:lang w:val="en-GB"/>
        </w:rPr>
        <w:t xml:space="preserve">appellants </w:t>
      </w:r>
      <w:r w:rsidR="00326651" w:rsidRPr="008A3778">
        <w:rPr>
          <w:rFonts w:ascii="Helvetica" w:eastAsia="HGMaruGothicMPRO" w:hAnsi="Helvetica" w:cs="Helvetica"/>
          <w:lang w:val="en-GB"/>
        </w:rPr>
        <w:t>respective</w:t>
      </w:r>
      <w:r w:rsidR="00295D7B" w:rsidRPr="008A3778">
        <w:rPr>
          <w:rFonts w:ascii="Helvetica" w:eastAsia="HGMaruGothicMPRO" w:hAnsi="Helvetica" w:cs="Helvetica"/>
          <w:lang w:val="en-GB"/>
        </w:rPr>
        <w:t>ly</w:t>
      </w:r>
      <w:r w:rsidR="002A2F5E" w:rsidRPr="008A3778">
        <w:rPr>
          <w:rFonts w:ascii="Helvetica" w:eastAsia="HGMaruGothicMPRO" w:hAnsi="Helvetica" w:cs="Helvetica"/>
          <w:lang w:val="en-GB"/>
        </w:rPr>
        <w:t>.</w:t>
      </w:r>
      <w:r w:rsidR="00F95FFE" w:rsidRPr="008A3778">
        <w:rPr>
          <w:rFonts w:ascii="Helvetica" w:eastAsia="HGMaruGothicMPRO" w:hAnsi="Helvetica" w:cs="Helvetica"/>
          <w:lang w:val="en-GB"/>
        </w:rPr>
        <w:t xml:space="preserve"> </w:t>
      </w:r>
    </w:p>
    <w:p w14:paraId="7BBA841E" w14:textId="118E8FB5" w:rsidR="00495E4A" w:rsidRPr="008A3778" w:rsidRDefault="00BB05B9"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During</w:t>
      </w:r>
      <w:r w:rsidR="005A0926" w:rsidRPr="008A3778">
        <w:rPr>
          <w:rFonts w:ascii="Helvetica" w:eastAsia="HGMaruGothicMPRO" w:hAnsi="Helvetica" w:cs="Helvetica"/>
          <w:lang w:val="en-GB"/>
        </w:rPr>
        <w:t xml:space="preserve"> </w:t>
      </w:r>
      <w:r w:rsidR="00171EA2" w:rsidRPr="008A3778">
        <w:rPr>
          <w:rFonts w:ascii="Helvetica" w:eastAsia="HGMaruGothicMPRO" w:hAnsi="Helvetica" w:cs="Helvetica"/>
          <w:lang w:val="en-GB"/>
        </w:rPr>
        <w:t xml:space="preserve">late </w:t>
      </w:r>
      <w:r w:rsidR="005A0926" w:rsidRPr="008A3778">
        <w:rPr>
          <w:rFonts w:ascii="Helvetica" w:eastAsia="HGMaruGothicMPRO" w:hAnsi="Helvetica" w:cs="Helvetica"/>
          <w:lang w:val="en-GB"/>
        </w:rPr>
        <w:t>November /</w:t>
      </w:r>
      <w:r w:rsidRPr="008A3778">
        <w:rPr>
          <w:rFonts w:ascii="Helvetica" w:eastAsia="HGMaruGothicMPRO" w:hAnsi="Helvetica" w:cs="Helvetica"/>
          <w:lang w:val="en-GB"/>
        </w:rPr>
        <w:t xml:space="preserve"> </w:t>
      </w:r>
      <w:r w:rsidR="005A0926" w:rsidRPr="008A3778">
        <w:rPr>
          <w:rFonts w:ascii="Helvetica" w:eastAsia="HGMaruGothicMPRO" w:hAnsi="Helvetica" w:cs="Helvetica"/>
          <w:lang w:val="en-GB"/>
        </w:rPr>
        <w:t>December</w:t>
      </w:r>
      <w:r w:rsidRPr="008A3778">
        <w:rPr>
          <w:rFonts w:ascii="Helvetica" w:eastAsia="HGMaruGothicMPRO" w:hAnsi="Helvetica" w:cs="Helvetica"/>
          <w:lang w:val="en-GB"/>
        </w:rPr>
        <w:t xml:space="preserve"> 2018</w:t>
      </w:r>
      <w:r w:rsidR="00056F9F" w:rsidRPr="008A3778">
        <w:rPr>
          <w:rFonts w:ascii="Helvetica" w:eastAsia="HGMaruGothicMPRO" w:hAnsi="Helvetica" w:cs="Helvetica"/>
          <w:lang w:val="en-GB"/>
        </w:rPr>
        <w:t xml:space="preserve"> (some six years later)</w:t>
      </w:r>
      <w:r w:rsidRPr="008A3778">
        <w:rPr>
          <w:rFonts w:ascii="Helvetica" w:eastAsia="HGMaruGothicMPRO" w:hAnsi="Helvetica" w:cs="Helvetica"/>
          <w:lang w:val="en-GB"/>
        </w:rPr>
        <w:t>, the appellants</w:t>
      </w:r>
      <w:r w:rsidR="00175948" w:rsidRPr="008A3778">
        <w:rPr>
          <w:rFonts w:ascii="Helvetica" w:eastAsia="HGMaruGothicMPRO" w:hAnsi="Helvetica" w:cs="Helvetica"/>
          <w:lang w:val="en-GB"/>
        </w:rPr>
        <w:t xml:space="preserve"> </w:t>
      </w:r>
      <w:r w:rsidR="007D6404" w:rsidRPr="008A3778">
        <w:rPr>
          <w:rFonts w:ascii="Helvetica" w:eastAsia="HGMaruGothicMPRO" w:hAnsi="Helvetica" w:cs="Helvetica"/>
          <w:lang w:val="en-GB"/>
        </w:rPr>
        <w:t>amended their notice of motion.</w:t>
      </w:r>
      <w:r w:rsidR="009F4E1F" w:rsidRPr="008A3778">
        <w:rPr>
          <w:rFonts w:ascii="Helvetica" w:eastAsia="HGMaruGothicMPRO" w:hAnsi="Helvetica" w:cs="Helvetica"/>
          <w:lang w:val="en-GB"/>
        </w:rPr>
        <w:t xml:space="preserve"> In so doing, they </w:t>
      </w:r>
      <w:r w:rsidR="007D6404" w:rsidRPr="008A3778">
        <w:rPr>
          <w:rFonts w:ascii="Helvetica" w:eastAsia="HGMaruGothicMPRO" w:hAnsi="Helvetica" w:cs="Helvetica"/>
          <w:lang w:val="en-GB"/>
        </w:rPr>
        <w:t xml:space="preserve">abandoned </w:t>
      </w:r>
      <w:r w:rsidRPr="008A3778">
        <w:rPr>
          <w:rFonts w:ascii="Helvetica" w:eastAsia="HGMaruGothicMPRO" w:hAnsi="Helvetica" w:cs="Helvetica"/>
          <w:lang w:val="en-GB"/>
        </w:rPr>
        <w:t xml:space="preserve">the </w:t>
      </w:r>
      <w:r w:rsidR="00F65175" w:rsidRPr="008A3778">
        <w:rPr>
          <w:rFonts w:ascii="Helvetica" w:eastAsia="HGMaruGothicMPRO" w:hAnsi="Helvetica" w:cs="Helvetica"/>
          <w:lang w:val="en-GB"/>
        </w:rPr>
        <w:t>payment</w:t>
      </w:r>
      <w:r w:rsidR="0093234B" w:rsidRPr="008A3778">
        <w:rPr>
          <w:rFonts w:ascii="Helvetica" w:eastAsia="HGMaruGothicMPRO" w:hAnsi="Helvetica" w:cs="Helvetica"/>
          <w:lang w:val="en-GB"/>
        </w:rPr>
        <w:t xml:space="preserve"> </w:t>
      </w:r>
      <w:r w:rsidRPr="008A3778">
        <w:rPr>
          <w:rFonts w:ascii="Helvetica" w:eastAsia="HGMaruGothicMPRO" w:hAnsi="Helvetica" w:cs="Helvetica"/>
          <w:lang w:val="en-GB"/>
        </w:rPr>
        <w:t>relief sought against the second respondent</w:t>
      </w:r>
      <w:r w:rsidR="007D6404" w:rsidRPr="008A3778">
        <w:rPr>
          <w:rFonts w:ascii="Helvetica" w:eastAsia="HGMaruGothicMPRO" w:hAnsi="Helvetica" w:cs="Helvetica"/>
          <w:lang w:val="en-GB"/>
        </w:rPr>
        <w:t>.</w:t>
      </w:r>
      <w:r w:rsidR="0093234B" w:rsidRPr="008A3778">
        <w:rPr>
          <w:rFonts w:ascii="Helvetica" w:eastAsia="HGMaruGothicMPRO" w:hAnsi="Helvetica" w:cs="Helvetica"/>
          <w:lang w:val="en-GB"/>
        </w:rPr>
        <w:t xml:space="preserve"> </w:t>
      </w:r>
      <w:r w:rsidR="000F3215" w:rsidRPr="008A3778">
        <w:rPr>
          <w:rFonts w:ascii="Helvetica" w:eastAsia="HGMaruGothicMPRO" w:hAnsi="Helvetica" w:cs="Helvetica"/>
          <w:lang w:val="en-GB"/>
        </w:rPr>
        <w:t xml:space="preserve">Moreover, </w:t>
      </w:r>
      <w:r w:rsidR="00F65175" w:rsidRPr="008A3778">
        <w:rPr>
          <w:rFonts w:ascii="Helvetica" w:eastAsia="HGMaruGothicMPRO" w:hAnsi="Helvetica" w:cs="Helvetica"/>
          <w:lang w:val="en-GB"/>
        </w:rPr>
        <w:t>t</w:t>
      </w:r>
      <w:r w:rsidR="0093234B" w:rsidRPr="008A3778">
        <w:rPr>
          <w:rFonts w:ascii="Helvetica" w:eastAsia="HGMaruGothicMPRO" w:hAnsi="Helvetica" w:cs="Helvetica"/>
          <w:lang w:val="en-GB"/>
        </w:rPr>
        <w:t xml:space="preserve">he second applicant </w:t>
      </w:r>
      <w:r w:rsidR="000F3215" w:rsidRPr="008A3778">
        <w:rPr>
          <w:rFonts w:ascii="Helvetica" w:eastAsia="HGMaruGothicMPRO" w:hAnsi="Helvetica" w:cs="Helvetica"/>
          <w:lang w:val="en-GB"/>
        </w:rPr>
        <w:t xml:space="preserve">alone </w:t>
      </w:r>
      <w:r w:rsidR="00171EA2" w:rsidRPr="008A3778">
        <w:rPr>
          <w:rFonts w:ascii="Helvetica" w:eastAsia="HGMaruGothicMPRO" w:hAnsi="Helvetica" w:cs="Helvetica"/>
          <w:lang w:val="en-GB"/>
        </w:rPr>
        <w:t xml:space="preserve">now </w:t>
      </w:r>
      <w:r w:rsidR="00747EE0" w:rsidRPr="008A3778">
        <w:rPr>
          <w:rFonts w:ascii="Helvetica" w:eastAsia="HGMaruGothicMPRO" w:hAnsi="Helvetica" w:cs="Helvetica"/>
          <w:lang w:val="en-GB"/>
        </w:rPr>
        <w:t>sought</w:t>
      </w:r>
      <w:r w:rsidR="00AF24F1" w:rsidRPr="008A3778">
        <w:rPr>
          <w:rFonts w:ascii="Helvetica" w:eastAsia="HGMaruGothicMPRO" w:hAnsi="Helvetica" w:cs="Helvetica"/>
          <w:lang w:val="en-GB"/>
        </w:rPr>
        <w:t xml:space="preserve"> a money judgement</w:t>
      </w:r>
      <w:r w:rsidR="0093234B" w:rsidRPr="008A3778">
        <w:rPr>
          <w:rFonts w:ascii="Helvetica" w:eastAsia="HGMaruGothicMPRO" w:hAnsi="Helvetica" w:cs="Helvetica"/>
          <w:lang w:val="en-GB"/>
        </w:rPr>
        <w:t>, albeit</w:t>
      </w:r>
      <w:r w:rsidR="005C2B8A" w:rsidRPr="008A3778">
        <w:rPr>
          <w:rFonts w:ascii="Helvetica" w:eastAsia="HGMaruGothicMPRO" w:hAnsi="Helvetica" w:cs="Helvetica"/>
          <w:lang w:val="en-GB"/>
        </w:rPr>
        <w:t xml:space="preserve"> against </w:t>
      </w:r>
      <w:r w:rsidR="00262FAF" w:rsidRPr="008A3778">
        <w:rPr>
          <w:rFonts w:ascii="Helvetica" w:eastAsia="HGMaruGothicMPRO" w:hAnsi="Helvetica" w:cs="Helvetica"/>
          <w:lang w:val="en-GB"/>
        </w:rPr>
        <w:t>“</w:t>
      </w:r>
      <w:r w:rsidR="005C2B8A" w:rsidRPr="008A3778">
        <w:rPr>
          <w:rFonts w:ascii="Helvetica" w:eastAsia="HGMaruGothicMPRO" w:hAnsi="Helvetica" w:cs="Helvetica"/>
          <w:i/>
          <w:iCs/>
          <w:lang w:val="en-GB"/>
        </w:rPr>
        <w:t xml:space="preserve">the </w:t>
      </w:r>
      <w:r w:rsidR="004A11FC" w:rsidRPr="008A3778">
        <w:rPr>
          <w:rFonts w:ascii="Helvetica" w:eastAsia="HGMaruGothicMPRO" w:hAnsi="Helvetica" w:cs="Helvetica"/>
          <w:i/>
          <w:iCs/>
          <w:lang w:val="en-GB"/>
        </w:rPr>
        <w:t>Ninth and</w:t>
      </w:r>
      <w:r w:rsidR="00F65175" w:rsidRPr="008A3778">
        <w:rPr>
          <w:rFonts w:ascii="Helvetica" w:eastAsia="HGMaruGothicMPRO" w:hAnsi="Helvetica" w:cs="Helvetica"/>
          <w:i/>
          <w:iCs/>
          <w:lang w:val="en-GB"/>
        </w:rPr>
        <w:t>/or</w:t>
      </w:r>
      <w:r w:rsidR="004A11FC" w:rsidRPr="008A3778">
        <w:rPr>
          <w:rFonts w:ascii="Helvetica" w:eastAsia="HGMaruGothicMPRO" w:hAnsi="Helvetica" w:cs="Helvetica"/>
          <w:i/>
          <w:iCs/>
          <w:lang w:val="en-GB"/>
        </w:rPr>
        <w:t xml:space="preserve"> First Respondent</w:t>
      </w:r>
      <w:r w:rsidR="005C2B8A" w:rsidRPr="008A3778">
        <w:rPr>
          <w:rFonts w:ascii="Helvetica" w:eastAsia="HGMaruGothicMPRO" w:hAnsi="Helvetica" w:cs="Helvetica"/>
          <w:i/>
          <w:iCs/>
          <w:lang w:val="en-GB"/>
        </w:rPr>
        <w:t xml:space="preserve"> </w:t>
      </w:r>
      <w:r w:rsidR="00DA61D9" w:rsidRPr="008A3778">
        <w:rPr>
          <w:rFonts w:ascii="Helvetica" w:eastAsia="HGMaruGothicMPRO" w:hAnsi="Helvetica" w:cs="Helvetica"/>
          <w:i/>
          <w:iCs/>
          <w:lang w:val="en-GB"/>
        </w:rPr>
        <w:t>jointly and severally</w:t>
      </w:r>
      <w:r w:rsidR="00DA61D9" w:rsidRPr="008A3778">
        <w:rPr>
          <w:rFonts w:ascii="Helvetica" w:eastAsia="HGMaruGothicMPRO" w:hAnsi="Helvetica" w:cs="Helvetica"/>
          <w:lang w:val="en-GB"/>
        </w:rPr>
        <w:t xml:space="preserve">”; the ninth respondent being </w:t>
      </w:r>
      <w:r w:rsidR="005C2B8A" w:rsidRPr="008A3778">
        <w:rPr>
          <w:rFonts w:ascii="Helvetica" w:eastAsia="HGMaruGothicMPRO" w:hAnsi="Helvetica" w:cs="Helvetica"/>
          <w:lang w:val="en-GB"/>
        </w:rPr>
        <w:t>joined as a</w:t>
      </w:r>
      <w:r w:rsidR="00DA61D9" w:rsidRPr="008A3778">
        <w:rPr>
          <w:rFonts w:ascii="Helvetica" w:eastAsia="HGMaruGothicMPRO" w:hAnsi="Helvetica" w:cs="Helvetica"/>
          <w:lang w:val="en-GB"/>
        </w:rPr>
        <w:t xml:space="preserve"> party </w:t>
      </w:r>
      <w:r w:rsidR="005C2B8A" w:rsidRPr="008A3778">
        <w:rPr>
          <w:rFonts w:ascii="Helvetica" w:eastAsia="HGMaruGothicMPRO" w:hAnsi="Helvetica" w:cs="Helvetica"/>
          <w:lang w:val="en-GB"/>
        </w:rPr>
        <w:t xml:space="preserve">in the </w:t>
      </w:r>
      <w:r w:rsidR="00CE3EF0" w:rsidRPr="008A3778">
        <w:rPr>
          <w:rFonts w:ascii="Helvetica" w:eastAsia="HGMaruGothicMPRO" w:hAnsi="Helvetica" w:cs="Helvetica"/>
          <w:lang w:val="en-GB"/>
        </w:rPr>
        <w:t xml:space="preserve">section 30P </w:t>
      </w:r>
      <w:r w:rsidR="005C2B8A" w:rsidRPr="008A3778">
        <w:rPr>
          <w:rFonts w:ascii="Helvetica" w:eastAsia="HGMaruGothicMPRO" w:hAnsi="Helvetica" w:cs="Helvetica"/>
          <w:lang w:val="en-GB"/>
        </w:rPr>
        <w:t>application in the intervening period.</w:t>
      </w:r>
      <w:r w:rsidR="0093234B" w:rsidRPr="008A3778">
        <w:rPr>
          <w:rFonts w:ascii="Helvetica" w:eastAsia="HGMaruGothicMPRO" w:hAnsi="Helvetica" w:cs="Helvetica"/>
          <w:lang w:val="en-GB"/>
        </w:rPr>
        <w:t xml:space="preserve"> The appellants’ </w:t>
      </w:r>
      <w:r w:rsidR="00CC767F" w:rsidRPr="008A3778">
        <w:rPr>
          <w:rFonts w:ascii="Helvetica" w:eastAsia="HGMaruGothicMPRO" w:hAnsi="Helvetica" w:cs="Helvetica"/>
          <w:lang w:val="en-GB"/>
        </w:rPr>
        <w:t xml:space="preserve">founding </w:t>
      </w:r>
      <w:r w:rsidR="00C63230" w:rsidRPr="008A3778">
        <w:rPr>
          <w:rFonts w:ascii="Helvetica" w:eastAsia="HGMaruGothicMPRO" w:hAnsi="Helvetica" w:cs="Helvetica"/>
          <w:lang w:val="en-GB"/>
        </w:rPr>
        <w:t>affidavit</w:t>
      </w:r>
      <w:r w:rsidR="00F65175" w:rsidRPr="008A3778">
        <w:rPr>
          <w:rFonts w:ascii="Helvetica" w:eastAsia="HGMaruGothicMPRO" w:hAnsi="Helvetica" w:cs="Helvetica"/>
          <w:lang w:val="en-GB"/>
        </w:rPr>
        <w:t>, as I read</w:t>
      </w:r>
      <w:r w:rsidR="00B97A2F">
        <w:rPr>
          <w:rFonts w:ascii="Helvetica" w:eastAsia="HGMaruGothicMPRO" w:hAnsi="Helvetica" w:cs="Helvetica"/>
          <w:lang w:val="en-GB"/>
        </w:rPr>
        <w:t xml:space="preserve"> it</w:t>
      </w:r>
      <w:r w:rsidR="00F65175" w:rsidRPr="008A3778">
        <w:rPr>
          <w:rFonts w:ascii="Helvetica" w:eastAsia="HGMaruGothicMPRO" w:hAnsi="Helvetica" w:cs="Helvetica"/>
          <w:lang w:val="en-GB"/>
        </w:rPr>
        <w:t>,</w:t>
      </w:r>
      <w:r w:rsidR="00C63230" w:rsidRPr="008A3778">
        <w:rPr>
          <w:rFonts w:ascii="Helvetica" w:eastAsia="HGMaruGothicMPRO" w:hAnsi="Helvetica" w:cs="Helvetica"/>
          <w:lang w:val="en-GB"/>
        </w:rPr>
        <w:t xml:space="preserve"> </w:t>
      </w:r>
      <w:r w:rsidR="005C2B8A" w:rsidRPr="008A3778">
        <w:rPr>
          <w:rFonts w:ascii="Helvetica" w:eastAsia="HGMaruGothicMPRO" w:hAnsi="Helvetica" w:cs="Helvetica"/>
          <w:lang w:val="en-GB"/>
        </w:rPr>
        <w:t>however</w:t>
      </w:r>
      <w:r w:rsidR="000F3215" w:rsidRPr="008A3778">
        <w:rPr>
          <w:rFonts w:ascii="Helvetica" w:eastAsia="HGMaruGothicMPRO" w:hAnsi="Helvetica" w:cs="Helvetica"/>
          <w:lang w:val="en-GB"/>
        </w:rPr>
        <w:t xml:space="preserve"> does </w:t>
      </w:r>
      <w:r w:rsidR="00C63230" w:rsidRPr="008A3778">
        <w:rPr>
          <w:rFonts w:ascii="Helvetica" w:eastAsia="HGMaruGothicMPRO" w:hAnsi="Helvetica" w:cs="Helvetica"/>
          <w:lang w:val="en-GB"/>
        </w:rPr>
        <w:t xml:space="preserve">not support </w:t>
      </w:r>
      <w:r w:rsidR="00CC407C" w:rsidRPr="008A3778">
        <w:rPr>
          <w:rFonts w:ascii="Helvetica" w:eastAsia="HGMaruGothicMPRO" w:hAnsi="Helvetica" w:cs="Helvetica"/>
          <w:lang w:val="en-GB"/>
        </w:rPr>
        <w:t xml:space="preserve">the altered </w:t>
      </w:r>
      <w:r w:rsidR="00C63230" w:rsidRPr="008A3778">
        <w:rPr>
          <w:rFonts w:ascii="Helvetica" w:eastAsia="HGMaruGothicMPRO" w:hAnsi="Helvetica" w:cs="Helvetica"/>
          <w:lang w:val="en-GB"/>
        </w:rPr>
        <w:t>relief</w:t>
      </w:r>
      <w:r w:rsidR="00CC407C" w:rsidRPr="008A3778">
        <w:rPr>
          <w:rFonts w:ascii="Helvetica" w:eastAsia="HGMaruGothicMPRO" w:hAnsi="Helvetica" w:cs="Helvetica"/>
          <w:lang w:val="en-GB"/>
        </w:rPr>
        <w:t xml:space="preserve"> sought in the </w:t>
      </w:r>
      <w:r w:rsidR="003A7867" w:rsidRPr="008A3778">
        <w:rPr>
          <w:rFonts w:ascii="Helvetica" w:eastAsia="HGMaruGothicMPRO" w:hAnsi="Helvetica" w:cs="Helvetica"/>
          <w:lang w:val="en-GB"/>
        </w:rPr>
        <w:t xml:space="preserve">amended </w:t>
      </w:r>
      <w:r w:rsidR="00CC407C" w:rsidRPr="008A3778">
        <w:rPr>
          <w:rFonts w:ascii="Helvetica" w:eastAsia="HGMaruGothicMPRO" w:hAnsi="Helvetica" w:cs="Helvetica"/>
          <w:lang w:val="en-GB"/>
        </w:rPr>
        <w:t>notice of motion</w:t>
      </w:r>
      <w:r w:rsidRPr="008A3778">
        <w:rPr>
          <w:rFonts w:ascii="Helvetica" w:eastAsia="HGMaruGothicMPRO" w:hAnsi="Helvetica" w:cs="Helvetica"/>
          <w:lang w:val="en-GB"/>
        </w:rPr>
        <w:t xml:space="preserve">. </w:t>
      </w:r>
    </w:p>
    <w:p w14:paraId="7890FEBF" w14:textId="630661B1" w:rsidR="00F65175" w:rsidRPr="008A3778" w:rsidRDefault="00A65A15"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The</w:t>
      </w:r>
      <w:r w:rsidR="00F65175" w:rsidRPr="008A3778">
        <w:rPr>
          <w:rFonts w:ascii="Helvetica" w:eastAsia="HGMaruGothicMPRO" w:hAnsi="Helvetica" w:cs="Helvetica"/>
          <w:lang w:val="en-GB"/>
        </w:rPr>
        <w:t>reafter, the</w:t>
      </w:r>
      <w:r w:rsidRPr="008A3778">
        <w:rPr>
          <w:rFonts w:ascii="Helvetica" w:eastAsia="HGMaruGothicMPRO" w:hAnsi="Helvetica" w:cs="Helvetica"/>
          <w:lang w:val="en-GB"/>
        </w:rPr>
        <w:t xml:space="preserve"> </w:t>
      </w:r>
      <w:r w:rsidR="002E48BB" w:rsidRPr="008A3778">
        <w:rPr>
          <w:rFonts w:ascii="Helvetica" w:eastAsia="HGMaruGothicMPRO" w:hAnsi="Helvetica" w:cs="Helvetica"/>
          <w:lang w:val="en-GB"/>
        </w:rPr>
        <w:t xml:space="preserve">section 30P </w:t>
      </w:r>
      <w:r w:rsidRPr="008A3778">
        <w:rPr>
          <w:rFonts w:ascii="Helvetica" w:eastAsia="HGMaruGothicMPRO" w:hAnsi="Helvetica" w:cs="Helvetica"/>
          <w:lang w:val="en-GB"/>
        </w:rPr>
        <w:t>application was enrolled</w:t>
      </w:r>
      <w:r w:rsidR="00B97A2F">
        <w:rPr>
          <w:rFonts w:ascii="Helvetica" w:eastAsia="HGMaruGothicMPRO" w:hAnsi="Helvetica" w:cs="Helvetica"/>
          <w:lang w:val="en-GB"/>
        </w:rPr>
        <w:t xml:space="preserve"> as already mentioned</w:t>
      </w:r>
      <w:r w:rsidR="00045668" w:rsidRPr="008A3778">
        <w:rPr>
          <w:rFonts w:ascii="Helvetica" w:eastAsia="HGMaruGothicMPRO" w:hAnsi="Helvetica" w:cs="Helvetica"/>
          <w:lang w:val="en-GB"/>
        </w:rPr>
        <w:t>, at the instance of the first and second respondents,</w:t>
      </w:r>
      <w:r w:rsidRPr="008A3778">
        <w:rPr>
          <w:rFonts w:ascii="Helvetica" w:eastAsia="HGMaruGothicMPRO" w:hAnsi="Helvetica" w:cs="Helvetica"/>
          <w:lang w:val="en-GB"/>
        </w:rPr>
        <w:t xml:space="preserve"> for hearing on</w:t>
      </w:r>
      <w:r w:rsidR="00865DB1" w:rsidRPr="008A3778">
        <w:rPr>
          <w:rFonts w:ascii="Helvetica" w:eastAsia="HGMaruGothicMPRO" w:hAnsi="Helvetica" w:cs="Helvetica"/>
          <w:lang w:val="en-GB"/>
        </w:rPr>
        <w:t xml:space="preserve"> 26 October </w:t>
      </w:r>
      <w:r w:rsidRPr="008A3778">
        <w:rPr>
          <w:rFonts w:ascii="Helvetica" w:eastAsia="HGMaruGothicMPRO" w:hAnsi="Helvetica" w:cs="Helvetica"/>
          <w:lang w:val="en-GB"/>
        </w:rPr>
        <w:t>2020.</w:t>
      </w:r>
      <w:r w:rsidR="002E48BB" w:rsidRPr="008A3778">
        <w:rPr>
          <w:rFonts w:ascii="Helvetica" w:eastAsia="HGMaruGothicMPRO" w:hAnsi="Helvetica" w:cs="Helvetica"/>
          <w:lang w:val="en-GB"/>
        </w:rPr>
        <w:t xml:space="preserve"> </w:t>
      </w:r>
      <w:r w:rsidR="00C63230" w:rsidRPr="008A3778">
        <w:rPr>
          <w:rFonts w:ascii="Helvetica" w:eastAsia="HGMaruGothicMPRO" w:hAnsi="Helvetica" w:cs="Helvetica"/>
          <w:lang w:val="en-GB"/>
        </w:rPr>
        <w:t xml:space="preserve">No doubt </w:t>
      </w:r>
      <w:r w:rsidR="00FD108D" w:rsidRPr="008A3778">
        <w:rPr>
          <w:rFonts w:ascii="Helvetica" w:eastAsia="HGMaruGothicMPRO" w:hAnsi="Helvetica" w:cs="Helvetica"/>
          <w:lang w:val="en-GB"/>
        </w:rPr>
        <w:t>whilst preparing for the</w:t>
      </w:r>
      <w:r w:rsidR="001017B7">
        <w:rPr>
          <w:rFonts w:ascii="Helvetica" w:eastAsia="HGMaruGothicMPRO" w:hAnsi="Helvetica" w:cs="Helvetica"/>
          <w:lang w:val="en-GB"/>
        </w:rPr>
        <w:t xml:space="preserve"> upcoming</w:t>
      </w:r>
      <w:r w:rsidR="00FD108D" w:rsidRPr="008A3778">
        <w:rPr>
          <w:rFonts w:ascii="Helvetica" w:eastAsia="HGMaruGothicMPRO" w:hAnsi="Helvetica" w:cs="Helvetica"/>
          <w:lang w:val="en-GB"/>
        </w:rPr>
        <w:t xml:space="preserve"> </w:t>
      </w:r>
      <w:r w:rsidR="00FD108D" w:rsidRPr="008A3778">
        <w:rPr>
          <w:rFonts w:ascii="Helvetica" w:eastAsia="HGMaruGothicMPRO" w:hAnsi="Helvetica" w:cs="Helvetica"/>
          <w:lang w:val="en-GB"/>
        </w:rPr>
        <w:lastRenderedPageBreak/>
        <w:t>hearing and</w:t>
      </w:r>
      <w:r w:rsidR="00B07EF6">
        <w:rPr>
          <w:rFonts w:ascii="Helvetica" w:eastAsia="HGMaruGothicMPRO" w:hAnsi="Helvetica" w:cs="Helvetica"/>
          <w:lang w:val="en-GB"/>
        </w:rPr>
        <w:t>,</w:t>
      </w:r>
      <w:r w:rsidR="00FD108D" w:rsidRPr="008A3778">
        <w:rPr>
          <w:rFonts w:ascii="Helvetica" w:eastAsia="HGMaruGothicMPRO" w:hAnsi="Helvetica" w:cs="Helvetica"/>
          <w:lang w:val="en-GB"/>
        </w:rPr>
        <w:t xml:space="preserve"> in so doing</w:t>
      </w:r>
      <w:r w:rsidR="00B07EF6">
        <w:rPr>
          <w:rFonts w:ascii="Helvetica" w:eastAsia="HGMaruGothicMPRO" w:hAnsi="Helvetica" w:cs="Helvetica"/>
          <w:lang w:val="en-GB"/>
        </w:rPr>
        <w:t>,</w:t>
      </w:r>
      <w:r w:rsidR="00FD108D" w:rsidRPr="008A3778">
        <w:rPr>
          <w:rFonts w:ascii="Helvetica" w:eastAsia="HGMaruGothicMPRO" w:hAnsi="Helvetica" w:cs="Helvetica"/>
          <w:lang w:val="en-GB"/>
        </w:rPr>
        <w:t xml:space="preserve"> </w:t>
      </w:r>
      <w:r w:rsidR="00C63230" w:rsidRPr="008A3778">
        <w:rPr>
          <w:rFonts w:ascii="Helvetica" w:eastAsia="HGMaruGothicMPRO" w:hAnsi="Helvetica" w:cs="Helvetica"/>
          <w:lang w:val="en-GB"/>
        </w:rPr>
        <w:t>realising</w:t>
      </w:r>
      <w:r w:rsidR="00E62AC1" w:rsidRPr="008A3778">
        <w:rPr>
          <w:rFonts w:ascii="Helvetica" w:eastAsia="HGMaruGothicMPRO" w:hAnsi="Helvetica" w:cs="Helvetica"/>
          <w:lang w:val="en-GB"/>
        </w:rPr>
        <w:t xml:space="preserve"> the aforesaid </w:t>
      </w:r>
      <w:r w:rsidR="00865DB1" w:rsidRPr="008A3778">
        <w:rPr>
          <w:rFonts w:ascii="Helvetica" w:eastAsia="HGMaruGothicMPRO" w:hAnsi="Helvetica" w:cs="Helvetica"/>
          <w:lang w:val="en-GB"/>
        </w:rPr>
        <w:t xml:space="preserve">and other </w:t>
      </w:r>
      <w:r w:rsidR="009F4E1F" w:rsidRPr="008A3778">
        <w:rPr>
          <w:rFonts w:ascii="Helvetica" w:eastAsia="HGMaruGothicMPRO" w:hAnsi="Helvetica" w:cs="Helvetica"/>
          <w:lang w:val="en-GB"/>
        </w:rPr>
        <w:t>Achilles</w:t>
      </w:r>
      <w:r w:rsidR="001B089C" w:rsidRPr="008A3778">
        <w:rPr>
          <w:rFonts w:ascii="Helvetica" w:eastAsia="HGMaruGothicMPRO" w:hAnsi="Helvetica" w:cs="Helvetica"/>
          <w:lang w:val="en-GB"/>
        </w:rPr>
        <w:t xml:space="preserve"> heel</w:t>
      </w:r>
      <w:r w:rsidR="00865DB1" w:rsidRPr="008A3778">
        <w:rPr>
          <w:rFonts w:ascii="Helvetica" w:eastAsia="HGMaruGothicMPRO" w:hAnsi="Helvetica" w:cs="Helvetica"/>
          <w:lang w:val="en-GB"/>
        </w:rPr>
        <w:t>s</w:t>
      </w:r>
      <w:r w:rsidR="001B089C" w:rsidRPr="008A3778">
        <w:rPr>
          <w:rFonts w:ascii="Helvetica" w:eastAsia="HGMaruGothicMPRO" w:hAnsi="Helvetica" w:cs="Helvetica"/>
          <w:lang w:val="en-GB"/>
        </w:rPr>
        <w:t xml:space="preserve"> </w:t>
      </w:r>
      <w:r w:rsidR="0079547F" w:rsidRPr="008A3778">
        <w:rPr>
          <w:rFonts w:ascii="Helvetica" w:eastAsia="HGMaruGothicMPRO" w:hAnsi="Helvetica" w:cs="Helvetica"/>
          <w:lang w:val="en-GB"/>
        </w:rPr>
        <w:t xml:space="preserve">in </w:t>
      </w:r>
      <w:r w:rsidR="00314819" w:rsidRPr="008A3778">
        <w:rPr>
          <w:rFonts w:ascii="Helvetica" w:eastAsia="HGMaruGothicMPRO" w:hAnsi="Helvetica" w:cs="Helvetica"/>
          <w:lang w:val="en-GB"/>
        </w:rPr>
        <w:t>their</w:t>
      </w:r>
      <w:r w:rsidR="0079547F" w:rsidRPr="008A3778">
        <w:rPr>
          <w:rFonts w:ascii="Helvetica" w:eastAsia="HGMaruGothicMPRO" w:hAnsi="Helvetica" w:cs="Helvetica"/>
          <w:lang w:val="en-GB"/>
        </w:rPr>
        <w:t xml:space="preserve"> case</w:t>
      </w:r>
      <w:r w:rsidR="00C63230" w:rsidRPr="008A3778">
        <w:rPr>
          <w:rFonts w:ascii="Helvetica" w:eastAsia="HGMaruGothicMPRO" w:hAnsi="Helvetica" w:cs="Helvetica"/>
          <w:lang w:val="en-GB"/>
        </w:rPr>
        <w:t>,</w:t>
      </w:r>
      <w:r w:rsidR="00E62C8A" w:rsidRPr="008A3778">
        <w:rPr>
          <w:rFonts w:ascii="Helvetica" w:eastAsia="HGMaruGothicMPRO" w:hAnsi="Helvetica" w:cs="Helvetica"/>
          <w:lang w:val="en-GB"/>
        </w:rPr>
        <w:t xml:space="preserve"> </w:t>
      </w:r>
      <w:r w:rsidR="007839E1" w:rsidRPr="008A3778">
        <w:rPr>
          <w:rFonts w:ascii="Helvetica" w:eastAsia="HGMaruGothicMPRO" w:hAnsi="Helvetica" w:cs="Helvetica"/>
          <w:lang w:val="en-GB"/>
        </w:rPr>
        <w:t>the appellants</w:t>
      </w:r>
      <w:r w:rsidR="00CE3EF0" w:rsidRPr="008A3778">
        <w:rPr>
          <w:rFonts w:ascii="Helvetica" w:eastAsia="HGMaruGothicMPRO" w:hAnsi="Helvetica" w:cs="Helvetica"/>
          <w:lang w:val="en-GB"/>
        </w:rPr>
        <w:t xml:space="preserve"> belatedly </w:t>
      </w:r>
      <w:r w:rsidR="007839E1" w:rsidRPr="008A3778">
        <w:rPr>
          <w:rFonts w:ascii="Helvetica" w:eastAsia="HGMaruGothicMPRO" w:hAnsi="Helvetica" w:cs="Helvetica"/>
          <w:lang w:val="en-GB"/>
        </w:rPr>
        <w:t xml:space="preserve">sought to </w:t>
      </w:r>
      <w:r w:rsidR="00CE3EF0" w:rsidRPr="008A3778">
        <w:rPr>
          <w:rFonts w:ascii="Helvetica" w:eastAsia="HGMaruGothicMPRO" w:hAnsi="Helvetica" w:cs="Helvetica"/>
          <w:lang w:val="en-GB"/>
        </w:rPr>
        <w:t xml:space="preserve">(further) </w:t>
      </w:r>
      <w:r w:rsidR="007839E1" w:rsidRPr="008A3778">
        <w:rPr>
          <w:rFonts w:ascii="Helvetica" w:eastAsia="HGMaruGothicMPRO" w:hAnsi="Helvetica" w:cs="Helvetica"/>
          <w:lang w:val="en-GB"/>
        </w:rPr>
        <w:t>amend their notice of motion</w:t>
      </w:r>
      <w:r w:rsidR="004D2501" w:rsidRPr="008A3778">
        <w:rPr>
          <w:rFonts w:ascii="Helvetica" w:eastAsia="HGMaruGothicMPRO" w:hAnsi="Helvetica" w:cs="Helvetica"/>
          <w:lang w:val="en-GB"/>
        </w:rPr>
        <w:t>.</w:t>
      </w:r>
      <w:r w:rsidR="00CB550D" w:rsidRPr="008A3778">
        <w:rPr>
          <w:rFonts w:ascii="Helvetica" w:eastAsia="HGMaruGothicMPRO" w:hAnsi="Helvetica" w:cs="Helvetica"/>
          <w:lang w:val="en-GB"/>
        </w:rPr>
        <w:t xml:space="preserve"> They sought to do so</w:t>
      </w:r>
      <w:r w:rsidR="00FB4DD5" w:rsidRPr="008A3778">
        <w:rPr>
          <w:rFonts w:ascii="Helvetica" w:eastAsia="HGMaruGothicMPRO" w:hAnsi="Helvetica" w:cs="Helvetica"/>
          <w:lang w:val="en-GB"/>
        </w:rPr>
        <w:t xml:space="preserve"> </w:t>
      </w:r>
      <w:r w:rsidR="004C673F" w:rsidRPr="008A3778">
        <w:rPr>
          <w:rFonts w:ascii="Helvetica" w:eastAsia="HGMaruGothicMPRO" w:hAnsi="Helvetica" w:cs="Helvetica"/>
          <w:lang w:val="en-GB"/>
        </w:rPr>
        <w:t xml:space="preserve">in terms of </w:t>
      </w:r>
      <w:r w:rsidR="0079547F" w:rsidRPr="008A3778">
        <w:rPr>
          <w:rFonts w:ascii="Helvetica" w:eastAsia="HGMaruGothicMPRO" w:hAnsi="Helvetica" w:cs="Helvetica"/>
          <w:lang w:val="en-GB"/>
        </w:rPr>
        <w:t xml:space="preserve">a </w:t>
      </w:r>
      <w:r w:rsidR="00314819" w:rsidRPr="008A3778">
        <w:rPr>
          <w:rFonts w:ascii="Helvetica" w:eastAsia="HGMaruGothicMPRO" w:hAnsi="Helvetica" w:cs="Helvetica"/>
          <w:lang w:val="en-GB"/>
        </w:rPr>
        <w:t>“</w:t>
      </w:r>
      <w:r w:rsidR="00314819" w:rsidRPr="008A3778">
        <w:rPr>
          <w:rFonts w:ascii="Helvetica" w:eastAsia="HGMaruGothicMPRO" w:hAnsi="Helvetica" w:cs="Helvetica"/>
          <w:i/>
          <w:iCs/>
          <w:lang w:val="en-GB"/>
        </w:rPr>
        <w:t>N</w:t>
      </w:r>
      <w:r w:rsidR="0079547F" w:rsidRPr="008A3778">
        <w:rPr>
          <w:rFonts w:ascii="Helvetica" w:eastAsia="HGMaruGothicMPRO" w:hAnsi="Helvetica" w:cs="Helvetica"/>
          <w:i/>
          <w:iCs/>
          <w:lang w:val="en-GB"/>
        </w:rPr>
        <w:t xml:space="preserve">otice </w:t>
      </w:r>
      <w:r w:rsidR="00314819" w:rsidRPr="008A3778">
        <w:rPr>
          <w:rFonts w:ascii="Helvetica" w:eastAsia="HGMaruGothicMPRO" w:hAnsi="Helvetica" w:cs="Helvetica"/>
          <w:i/>
          <w:iCs/>
          <w:lang w:val="en-GB"/>
        </w:rPr>
        <w:t xml:space="preserve">of Amendment of </w:t>
      </w:r>
      <w:r w:rsidR="00D07DAE" w:rsidRPr="008A3778">
        <w:rPr>
          <w:rFonts w:ascii="Helvetica" w:eastAsia="HGMaruGothicMPRO" w:hAnsi="Helvetica" w:cs="Helvetica"/>
          <w:i/>
          <w:iCs/>
          <w:lang w:val="en-GB"/>
        </w:rPr>
        <w:t xml:space="preserve">the </w:t>
      </w:r>
      <w:r w:rsidR="00314819" w:rsidRPr="008A3778">
        <w:rPr>
          <w:rFonts w:ascii="Helvetica" w:eastAsia="HGMaruGothicMPRO" w:hAnsi="Helvetica" w:cs="Helvetica"/>
          <w:i/>
          <w:iCs/>
          <w:lang w:val="en-GB"/>
        </w:rPr>
        <w:t>Motion</w:t>
      </w:r>
      <w:r w:rsidR="00314819" w:rsidRPr="008A3778">
        <w:rPr>
          <w:rFonts w:ascii="Helvetica" w:eastAsia="HGMaruGothicMPRO" w:hAnsi="Helvetica" w:cs="Helvetica"/>
          <w:lang w:val="en-GB"/>
        </w:rPr>
        <w:t xml:space="preserve">” </w:t>
      </w:r>
      <w:r w:rsidR="00C32D33" w:rsidRPr="008A3778">
        <w:rPr>
          <w:rFonts w:ascii="Helvetica" w:eastAsia="HGMaruGothicMPRO" w:hAnsi="Helvetica" w:cs="Helvetica"/>
          <w:lang w:val="en-GB"/>
        </w:rPr>
        <w:t xml:space="preserve">dated </w:t>
      </w:r>
      <w:bookmarkStart w:id="5" w:name="_Hlk91075619"/>
      <w:r w:rsidR="00C32D33" w:rsidRPr="008A3778">
        <w:rPr>
          <w:rFonts w:ascii="Helvetica" w:eastAsia="HGMaruGothicMPRO" w:hAnsi="Helvetica" w:cs="Helvetica"/>
          <w:lang w:val="en-GB"/>
        </w:rPr>
        <w:t>9 September 2020</w:t>
      </w:r>
      <w:bookmarkEnd w:id="5"/>
      <w:r w:rsidR="00C32D33" w:rsidRPr="008A3778">
        <w:rPr>
          <w:rFonts w:ascii="Helvetica" w:eastAsia="HGMaruGothicMPRO" w:hAnsi="Helvetica" w:cs="Helvetica"/>
          <w:lang w:val="en-GB"/>
        </w:rPr>
        <w:t xml:space="preserve">. </w:t>
      </w:r>
    </w:p>
    <w:p w14:paraId="5BDA6CB7" w14:textId="5A9E775F" w:rsidR="00C05349" w:rsidRPr="008A3778" w:rsidRDefault="00C32D33"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 xml:space="preserve">The proposed </w:t>
      </w:r>
      <w:r w:rsidR="00F65175" w:rsidRPr="008A3778">
        <w:rPr>
          <w:rFonts w:ascii="Helvetica" w:eastAsia="HGMaruGothicMPRO" w:hAnsi="Helvetica" w:cs="Helvetica"/>
          <w:lang w:val="en-GB"/>
        </w:rPr>
        <w:t xml:space="preserve">9 September 2020 </w:t>
      </w:r>
      <w:r w:rsidRPr="008A3778">
        <w:rPr>
          <w:rFonts w:ascii="Helvetica" w:eastAsia="HGMaruGothicMPRO" w:hAnsi="Helvetica" w:cs="Helvetica"/>
          <w:lang w:val="en-GB"/>
        </w:rPr>
        <w:t>amended notice of motion sought</w:t>
      </w:r>
      <w:r w:rsidR="0002293B" w:rsidRPr="008A3778">
        <w:rPr>
          <w:rFonts w:ascii="Helvetica" w:eastAsia="HGMaruGothicMPRO" w:hAnsi="Helvetica" w:cs="Helvetica"/>
          <w:lang w:val="en-GB"/>
        </w:rPr>
        <w:t>,</w:t>
      </w:r>
      <w:r w:rsidR="000F3215" w:rsidRPr="008A3778">
        <w:rPr>
          <w:rFonts w:ascii="Helvetica" w:eastAsia="HGMaruGothicMPRO" w:hAnsi="Helvetica" w:cs="Helvetica"/>
          <w:lang w:val="en-GB"/>
        </w:rPr>
        <w:t xml:space="preserve"> </w:t>
      </w:r>
      <w:r w:rsidR="00023D47" w:rsidRPr="00023D47">
        <w:rPr>
          <w:rFonts w:ascii="Helvetica" w:eastAsia="HGMaruGothicMPRO" w:hAnsi="Helvetica" w:cs="Helvetica"/>
          <w:i/>
          <w:iCs/>
          <w:lang w:val="en-GB"/>
        </w:rPr>
        <w:t>inter-alia</w:t>
      </w:r>
      <w:r w:rsidR="0002293B" w:rsidRPr="008A3778">
        <w:rPr>
          <w:rFonts w:ascii="Helvetica" w:eastAsia="HGMaruGothicMPRO" w:hAnsi="Helvetica" w:cs="Helvetica"/>
          <w:lang w:val="en-GB"/>
        </w:rPr>
        <w:t xml:space="preserve">, an order </w:t>
      </w:r>
      <w:r w:rsidR="00725F79" w:rsidRPr="008A3778">
        <w:rPr>
          <w:rFonts w:ascii="Helvetica" w:eastAsia="HGMaruGothicMPRO" w:hAnsi="Helvetica" w:cs="Helvetica"/>
          <w:lang w:val="en-GB"/>
        </w:rPr>
        <w:t>for the first time</w:t>
      </w:r>
      <w:r w:rsidR="005422C3" w:rsidRPr="008A3778">
        <w:rPr>
          <w:rFonts w:ascii="Helvetica" w:eastAsia="HGMaruGothicMPRO" w:hAnsi="Helvetica" w:cs="Helvetica"/>
          <w:lang w:val="en-GB"/>
        </w:rPr>
        <w:t xml:space="preserve"> </w:t>
      </w:r>
      <w:r w:rsidR="00385704" w:rsidRPr="008A3778">
        <w:rPr>
          <w:rFonts w:ascii="Helvetica" w:eastAsia="HGMaruGothicMPRO" w:hAnsi="Helvetica" w:cs="Helvetica"/>
          <w:lang w:val="en-GB"/>
        </w:rPr>
        <w:t>“</w:t>
      </w:r>
      <w:r w:rsidR="0002293B" w:rsidRPr="008A3778">
        <w:rPr>
          <w:rFonts w:ascii="Helvetica" w:eastAsia="HGMaruGothicMPRO" w:hAnsi="Helvetica" w:cs="Helvetica"/>
          <w:i/>
          <w:iCs/>
          <w:lang w:val="en-GB"/>
        </w:rPr>
        <w:t>reviewing and setting aside</w:t>
      </w:r>
      <w:r w:rsidR="00385704" w:rsidRPr="008A3778">
        <w:rPr>
          <w:rFonts w:ascii="Helvetica" w:eastAsia="HGMaruGothicMPRO" w:hAnsi="Helvetica" w:cs="Helvetica"/>
          <w:lang w:val="en-GB"/>
        </w:rPr>
        <w:t>”</w:t>
      </w:r>
      <w:r w:rsidR="0002293B" w:rsidRPr="008A3778">
        <w:rPr>
          <w:rFonts w:ascii="Helvetica" w:eastAsia="HGMaruGothicMPRO" w:hAnsi="Helvetica" w:cs="Helvetica"/>
          <w:lang w:val="en-GB"/>
        </w:rPr>
        <w:t xml:space="preserve"> the </w:t>
      </w:r>
      <w:r w:rsidR="003C5219">
        <w:rPr>
          <w:rFonts w:ascii="Helvetica" w:eastAsia="HGMaruGothicMPRO" w:hAnsi="Helvetica" w:cs="Helvetica"/>
          <w:lang w:val="en-GB"/>
        </w:rPr>
        <w:t>A</w:t>
      </w:r>
      <w:r w:rsidR="0002293B" w:rsidRPr="008A3778">
        <w:rPr>
          <w:rFonts w:ascii="Helvetica" w:eastAsia="HGMaruGothicMPRO" w:hAnsi="Helvetica" w:cs="Helvetica"/>
          <w:lang w:val="en-GB"/>
        </w:rPr>
        <w:t>djudicator’s determination</w:t>
      </w:r>
      <w:r w:rsidR="004F613C" w:rsidRPr="008A3778">
        <w:rPr>
          <w:rFonts w:ascii="Helvetica" w:eastAsia="HGMaruGothicMPRO" w:hAnsi="Helvetica" w:cs="Helvetica"/>
          <w:lang w:val="en-GB"/>
        </w:rPr>
        <w:t xml:space="preserve"> in terms of section 30P</w:t>
      </w:r>
      <w:r w:rsidR="0002293B" w:rsidRPr="008A3778">
        <w:rPr>
          <w:rFonts w:ascii="Helvetica" w:eastAsia="HGMaruGothicMPRO" w:hAnsi="Helvetica" w:cs="Helvetica"/>
          <w:lang w:val="en-GB"/>
        </w:rPr>
        <w:t xml:space="preserve">. The appellants also sought to </w:t>
      </w:r>
      <w:r w:rsidR="002C6A03" w:rsidRPr="008A3778">
        <w:rPr>
          <w:rFonts w:ascii="Helvetica" w:eastAsia="HGMaruGothicMPRO" w:hAnsi="Helvetica" w:cs="Helvetica"/>
          <w:lang w:val="en-GB"/>
        </w:rPr>
        <w:t>(</w:t>
      </w:r>
      <w:r w:rsidR="0002293B" w:rsidRPr="008A3778">
        <w:rPr>
          <w:rFonts w:ascii="Helvetica" w:eastAsia="HGMaruGothicMPRO" w:hAnsi="Helvetica" w:cs="Helvetica"/>
          <w:lang w:val="en-GB"/>
        </w:rPr>
        <w:t>re</w:t>
      </w:r>
      <w:r w:rsidR="002C6A03" w:rsidRPr="008A3778">
        <w:rPr>
          <w:rFonts w:ascii="Helvetica" w:eastAsia="HGMaruGothicMPRO" w:hAnsi="Helvetica" w:cs="Helvetica"/>
          <w:lang w:val="en-GB"/>
        </w:rPr>
        <w:t>)</w:t>
      </w:r>
      <w:r w:rsidR="0002293B" w:rsidRPr="008A3778">
        <w:rPr>
          <w:rFonts w:ascii="Helvetica" w:eastAsia="HGMaruGothicMPRO" w:hAnsi="Helvetica" w:cs="Helvetica"/>
          <w:lang w:val="en-GB"/>
        </w:rPr>
        <w:t xml:space="preserve">introduce </w:t>
      </w:r>
      <w:r w:rsidR="00045668" w:rsidRPr="008A3778">
        <w:rPr>
          <w:rFonts w:ascii="Helvetica" w:eastAsia="HGMaruGothicMPRO" w:hAnsi="Helvetica" w:cs="Helvetica"/>
          <w:lang w:val="en-GB"/>
        </w:rPr>
        <w:t xml:space="preserve">an order </w:t>
      </w:r>
      <w:r w:rsidR="00CC407C" w:rsidRPr="008A3778">
        <w:rPr>
          <w:rFonts w:ascii="Helvetica" w:eastAsia="HGMaruGothicMPRO" w:hAnsi="Helvetica" w:cs="Helvetica"/>
          <w:lang w:val="en-GB"/>
        </w:rPr>
        <w:t xml:space="preserve">for the granting of a </w:t>
      </w:r>
      <w:r w:rsidR="00D21AAE" w:rsidRPr="008A3778">
        <w:rPr>
          <w:rFonts w:ascii="Helvetica" w:eastAsia="HGMaruGothicMPRO" w:hAnsi="Helvetica" w:cs="Helvetica"/>
          <w:lang w:val="en-GB"/>
        </w:rPr>
        <w:t>money</w:t>
      </w:r>
      <w:r w:rsidR="00495E4A" w:rsidRPr="008A3778">
        <w:rPr>
          <w:rFonts w:ascii="Helvetica" w:eastAsia="HGMaruGothicMPRO" w:hAnsi="Helvetica" w:cs="Helvetica"/>
          <w:lang w:val="en-GB"/>
        </w:rPr>
        <w:t xml:space="preserve"> </w:t>
      </w:r>
      <w:r w:rsidR="00D21AAE" w:rsidRPr="008A3778">
        <w:rPr>
          <w:rFonts w:ascii="Helvetica" w:eastAsia="HGMaruGothicMPRO" w:hAnsi="Helvetica" w:cs="Helvetica"/>
          <w:lang w:val="en-GB"/>
        </w:rPr>
        <w:t>judgement</w:t>
      </w:r>
      <w:r w:rsidR="00385704" w:rsidRPr="008A3778">
        <w:rPr>
          <w:rFonts w:ascii="Helvetica" w:eastAsia="HGMaruGothicMPRO" w:hAnsi="Helvetica" w:cs="Helvetica"/>
          <w:lang w:val="en-GB"/>
        </w:rPr>
        <w:t xml:space="preserve"> against the second respondent</w:t>
      </w:r>
      <w:r w:rsidR="007839E1" w:rsidRPr="008A3778">
        <w:rPr>
          <w:rFonts w:ascii="Helvetica" w:eastAsia="HGMaruGothicMPRO" w:hAnsi="Helvetica" w:cs="Helvetica"/>
          <w:lang w:val="en-GB"/>
        </w:rPr>
        <w:t xml:space="preserve">. </w:t>
      </w:r>
      <w:r w:rsidR="00E62AC1" w:rsidRPr="008A3778">
        <w:rPr>
          <w:rFonts w:ascii="Helvetica" w:eastAsia="HGMaruGothicMPRO" w:hAnsi="Helvetica" w:cs="Helvetica"/>
          <w:lang w:val="en-GB"/>
        </w:rPr>
        <w:t>More specifically,</w:t>
      </w:r>
      <w:r w:rsidR="00F541FD" w:rsidRPr="008A3778">
        <w:rPr>
          <w:rFonts w:ascii="Helvetica" w:eastAsia="HGMaruGothicMPRO" w:hAnsi="Helvetica" w:cs="Helvetica"/>
          <w:lang w:val="en-GB"/>
        </w:rPr>
        <w:t xml:space="preserve"> the</w:t>
      </w:r>
      <w:r w:rsidR="00D102DD" w:rsidRPr="008A3778">
        <w:rPr>
          <w:rFonts w:ascii="Helvetica" w:eastAsia="HGMaruGothicMPRO" w:hAnsi="Helvetica" w:cs="Helvetica"/>
          <w:lang w:val="en-GB"/>
        </w:rPr>
        <w:t xml:space="preserve"> second appellant</w:t>
      </w:r>
      <w:r w:rsidR="00E60F47" w:rsidRPr="008A3778">
        <w:rPr>
          <w:rFonts w:ascii="Helvetica" w:eastAsia="HGMaruGothicMPRO" w:hAnsi="Helvetica" w:cs="Helvetica"/>
          <w:lang w:val="en-GB"/>
        </w:rPr>
        <w:t xml:space="preserve"> now sought a</w:t>
      </w:r>
      <w:r w:rsidR="00F541FD" w:rsidRPr="008A3778">
        <w:rPr>
          <w:rFonts w:ascii="Helvetica" w:eastAsia="HGMaruGothicMPRO" w:hAnsi="Helvetica" w:cs="Helvetica"/>
          <w:lang w:val="en-GB"/>
        </w:rPr>
        <w:t xml:space="preserve"> money judgement </w:t>
      </w:r>
      <w:r w:rsidR="00E60F47" w:rsidRPr="008A3778">
        <w:rPr>
          <w:rFonts w:ascii="Helvetica" w:eastAsia="HGMaruGothicMPRO" w:hAnsi="Helvetica" w:cs="Helvetica"/>
          <w:lang w:val="en-GB"/>
        </w:rPr>
        <w:t xml:space="preserve">against the </w:t>
      </w:r>
      <w:r w:rsidR="0073569A" w:rsidRPr="008A3778">
        <w:rPr>
          <w:rFonts w:ascii="Helvetica" w:eastAsia="HGMaruGothicMPRO" w:hAnsi="Helvetica" w:cs="Helvetica"/>
          <w:lang w:val="en-GB"/>
        </w:rPr>
        <w:t>“</w:t>
      </w:r>
      <w:r w:rsidR="0073569A" w:rsidRPr="008A3778">
        <w:rPr>
          <w:rFonts w:ascii="Helvetica" w:eastAsia="HGMaruGothicMPRO" w:hAnsi="Helvetica" w:cs="Helvetica"/>
          <w:i/>
          <w:iCs/>
          <w:lang w:val="en-GB"/>
        </w:rPr>
        <w:t>N</w:t>
      </w:r>
      <w:r w:rsidR="00E60F47" w:rsidRPr="008A3778">
        <w:rPr>
          <w:rFonts w:ascii="Helvetica" w:eastAsia="HGMaruGothicMPRO" w:hAnsi="Helvetica" w:cs="Helvetica"/>
          <w:i/>
          <w:iCs/>
          <w:lang w:val="en-GB"/>
        </w:rPr>
        <w:t xml:space="preserve">inth and/or the </w:t>
      </w:r>
      <w:r w:rsidR="0073569A" w:rsidRPr="008A3778">
        <w:rPr>
          <w:rFonts w:ascii="Helvetica" w:eastAsia="HGMaruGothicMPRO" w:hAnsi="Helvetica" w:cs="Helvetica"/>
          <w:i/>
          <w:iCs/>
          <w:lang w:val="en-GB"/>
        </w:rPr>
        <w:t>S</w:t>
      </w:r>
      <w:r w:rsidR="00E60F47" w:rsidRPr="008A3778">
        <w:rPr>
          <w:rFonts w:ascii="Helvetica" w:eastAsia="HGMaruGothicMPRO" w:hAnsi="Helvetica" w:cs="Helvetica"/>
          <w:i/>
          <w:iCs/>
          <w:lang w:val="en-GB"/>
        </w:rPr>
        <w:t>econd and/or the</w:t>
      </w:r>
      <w:r w:rsidR="0073569A" w:rsidRPr="008A3778">
        <w:rPr>
          <w:rFonts w:ascii="Helvetica" w:eastAsia="HGMaruGothicMPRO" w:hAnsi="Helvetica" w:cs="Helvetica"/>
          <w:i/>
          <w:iCs/>
          <w:lang w:val="en-GB"/>
        </w:rPr>
        <w:t xml:space="preserve"> </w:t>
      </w:r>
      <w:r w:rsidR="00C20472" w:rsidRPr="008A3778">
        <w:rPr>
          <w:rFonts w:ascii="Helvetica" w:eastAsia="HGMaruGothicMPRO" w:hAnsi="Helvetica" w:cs="Helvetica"/>
          <w:i/>
          <w:iCs/>
          <w:lang w:val="en-GB"/>
        </w:rPr>
        <w:t>Fi</w:t>
      </w:r>
      <w:r w:rsidR="0073569A" w:rsidRPr="008A3778">
        <w:rPr>
          <w:rFonts w:ascii="Helvetica" w:eastAsia="HGMaruGothicMPRO" w:hAnsi="Helvetica" w:cs="Helvetica"/>
          <w:i/>
          <w:iCs/>
          <w:lang w:val="en-GB"/>
        </w:rPr>
        <w:t xml:space="preserve">rst </w:t>
      </w:r>
      <w:r w:rsidR="00C20472" w:rsidRPr="008A3778">
        <w:rPr>
          <w:rFonts w:ascii="Helvetica" w:eastAsia="HGMaruGothicMPRO" w:hAnsi="Helvetica" w:cs="Helvetica"/>
          <w:i/>
          <w:iCs/>
          <w:lang w:val="en-GB"/>
        </w:rPr>
        <w:t>R</w:t>
      </w:r>
      <w:r w:rsidR="0073569A" w:rsidRPr="008A3778">
        <w:rPr>
          <w:rFonts w:ascii="Helvetica" w:eastAsia="HGMaruGothicMPRO" w:hAnsi="Helvetica" w:cs="Helvetica"/>
          <w:i/>
          <w:iCs/>
          <w:lang w:val="en-GB"/>
        </w:rPr>
        <w:t>espondent jointly and severally</w:t>
      </w:r>
      <w:r w:rsidR="0073569A" w:rsidRPr="008A3778">
        <w:rPr>
          <w:rFonts w:ascii="Helvetica" w:eastAsia="HGMaruGothicMPRO" w:hAnsi="Helvetica" w:cs="Helvetica"/>
          <w:lang w:val="en-GB"/>
        </w:rPr>
        <w:t>”</w:t>
      </w:r>
      <w:r w:rsidR="00385105" w:rsidRPr="008A3778">
        <w:rPr>
          <w:rFonts w:ascii="Helvetica" w:eastAsia="HGMaruGothicMPRO" w:hAnsi="Helvetica" w:cs="Helvetica"/>
          <w:lang w:val="en-GB"/>
        </w:rPr>
        <w:t>. The</w:t>
      </w:r>
      <w:r w:rsidR="003159DC" w:rsidRPr="008A3778">
        <w:rPr>
          <w:rFonts w:ascii="Helvetica" w:eastAsia="HGMaruGothicMPRO" w:hAnsi="Helvetica" w:cs="Helvetica"/>
          <w:lang w:val="en-GB"/>
        </w:rPr>
        <w:t>se</w:t>
      </w:r>
      <w:r w:rsidR="009B20A9" w:rsidRPr="008A3778">
        <w:rPr>
          <w:rFonts w:ascii="Helvetica" w:eastAsia="HGMaruGothicMPRO" w:hAnsi="Helvetica" w:cs="Helvetica"/>
          <w:lang w:val="en-GB"/>
        </w:rPr>
        <w:t xml:space="preserve"> </w:t>
      </w:r>
      <w:r w:rsidR="00745A35" w:rsidRPr="008A3778">
        <w:rPr>
          <w:rFonts w:ascii="Helvetica" w:eastAsia="HGMaruGothicMPRO" w:hAnsi="Helvetica" w:cs="Helvetica"/>
          <w:lang w:val="en-GB"/>
        </w:rPr>
        <w:t xml:space="preserve">belated </w:t>
      </w:r>
      <w:r w:rsidR="009B20A9" w:rsidRPr="008A3778">
        <w:rPr>
          <w:rFonts w:ascii="Helvetica" w:eastAsia="HGMaruGothicMPRO" w:hAnsi="Helvetica" w:cs="Helvetica"/>
          <w:lang w:val="en-GB"/>
        </w:rPr>
        <w:t xml:space="preserve">proposed </w:t>
      </w:r>
      <w:r w:rsidR="00385105" w:rsidRPr="008A3778">
        <w:rPr>
          <w:rFonts w:ascii="Helvetica" w:eastAsia="HGMaruGothicMPRO" w:hAnsi="Helvetica" w:cs="Helvetica"/>
          <w:lang w:val="en-GB"/>
        </w:rPr>
        <w:t>amendments</w:t>
      </w:r>
      <w:r w:rsidR="003159DC" w:rsidRPr="008A3778">
        <w:rPr>
          <w:rFonts w:ascii="Helvetica" w:eastAsia="HGMaruGothicMPRO" w:hAnsi="Helvetica" w:cs="Helvetica"/>
          <w:lang w:val="en-GB"/>
        </w:rPr>
        <w:t xml:space="preserve"> </w:t>
      </w:r>
      <w:r w:rsidR="00CD1AE0" w:rsidRPr="008A3778">
        <w:rPr>
          <w:rFonts w:ascii="Helvetica" w:eastAsia="HGMaruGothicMPRO" w:hAnsi="Helvetica" w:cs="Helvetica"/>
          <w:lang w:val="en-GB"/>
        </w:rPr>
        <w:t>triggered</w:t>
      </w:r>
      <w:r w:rsidR="003159DC"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objections</w:t>
      </w:r>
      <w:r w:rsidR="005200E9" w:rsidRPr="008A3778">
        <w:rPr>
          <w:rFonts w:ascii="Helvetica" w:eastAsia="HGMaruGothicMPRO" w:hAnsi="Helvetica" w:cs="Helvetica"/>
          <w:lang w:val="en-GB"/>
        </w:rPr>
        <w:t>.</w:t>
      </w:r>
      <w:r w:rsidR="00385105" w:rsidRPr="008A3778">
        <w:rPr>
          <w:rFonts w:ascii="Helvetica" w:eastAsia="HGMaruGothicMPRO" w:hAnsi="Helvetica" w:cs="Helvetica"/>
          <w:lang w:val="en-GB"/>
        </w:rPr>
        <w:t xml:space="preserve"> </w:t>
      </w:r>
    </w:p>
    <w:p w14:paraId="31E2A63B" w14:textId="14ACA57D" w:rsidR="00745A35" w:rsidRPr="008A3778" w:rsidRDefault="00BD443A"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 xml:space="preserve">Whilst </w:t>
      </w:r>
      <w:r w:rsidR="001301E0" w:rsidRPr="008A3778">
        <w:rPr>
          <w:rFonts w:ascii="Helvetica" w:eastAsia="HGMaruGothicMPRO" w:hAnsi="Helvetica" w:cs="Helvetica"/>
          <w:lang w:val="en-GB"/>
        </w:rPr>
        <w:t xml:space="preserve">the circumstances in which they did so </w:t>
      </w:r>
      <w:r w:rsidRPr="008A3778">
        <w:rPr>
          <w:rFonts w:ascii="Helvetica" w:eastAsia="HGMaruGothicMPRO" w:hAnsi="Helvetica" w:cs="Helvetica"/>
          <w:lang w:val="en-GB"/>
        </w:rPr>
        <w:t>is not immediately clear from the record</w:t>
      </w:r>
      <w:r w:rsidR="00A56270">
        <w:rPr>
          <w:rFonts w:ascii="Helvetica" w:eastAsia="HGMaruGothicMPRO" w:hAnsi="Helvetica" w:cs="Helvetica"/>
          <w:lang w:val="en-GB"/>
        </w:rPr>
        <w:t>,</w:t>
      </w:r>
      <w:r w:rsidRPr="008A3778">
        <w:rPr>
          <w:rStyle w:val="FootnoteReference"/>
          <w:rFonts w:ascii="Helvetica" w:eastAsia="HGMaruGothicMPRO" w:hAnsi="Helvetica" w:cs="Helvetica"/>
          <w:lang w:val="en-GB"/>
        </w:rPr>
        <w:footnoteReference w:id="8"/>
      </w:r>
      <w:r w:rsidR="00DE6DB1" w:rsidRPr="008A3778">
        <w:rPr>
          <w:rFonts w:ascii="Helvetica" w:eastAsia="HGMaruGothicMPRO" w:hAnsi="Helvetica" w:cs="Helvetica"/>
          <w:lang w:val="en-GB"/>
        </w:rPr>
        <w:t xml:space="preserve"> the appellants </w:t>
      </w:r>
      <w:r w:rsidRPr="008A3778">
        <w:rPr>
          <w:rFonts w:ascii="Helvetica" w:eastAsia="HGMaruGothicMPRO" w:hAnsi="Helvetica" w:cs="Helvetica"/>
          <w:lang w:val="en-GB"/>
        </w:rPr>
        <w:t xml:space="preserve">subsequently successfully </w:t>
      </w:r>
      <w:r w:rsidR="001C3AC4" w:rsidRPr="008A3778">
        <w:rPr>
          <w:rFonts w:ascii="Helvetica" w:eastAsia="HGMaruGothicMPRO" w:hAnsi="Helvetica" w:cs="Helvetica"/>
          <w:lang w:val="en-GB"/>
        </w:rPr>
        <w:t xml:space="preserve">amended </w:t>
      </w:r>
      <w:r w:rsidR="001301E0" w:rsidRPr="008A3778">
        <w:rPr>
          <w:rFonts w:ascii="Helvetica" w:eastAsia="HGMaruGothicMPRO" w:hAnsi="Helvetica" w:cs="Helvetica"/>
          <w:lang w:val="en-GB"/>
        </w:rPr>
        <w:t xml:space="preserve">their </w:t>
      </w:r>
      <w:r w:rsidR="001C3AC4" w:rsidRPr="008A3778">
        <w:rPr>
          <w:rFonts w:ascii="Helvetica" w:eastAsia="HGMaruGothicMPRO" w:hAnsi="Helvetica" w:cs="Helvetica"/>
          <w:lang w:val="en-GB"/>
        </w:rPr>
        <w:t>notice of motion</w:t>
      </w:r>
      <w:r w:rsidRPr="008A3778">
        <w:rPr>
          <w:rFonts w:ascii="Helvetica" w:eastAsia="HGMaruGothicMPRO" w:hAnsi="Helvetica" w:cs="Helvetica"/>
          <w:lang w:val="en-GB"/>
        </w:rPr>
        <w:t>, via an amendment</w:t>
      </w:r>
      <w:r w:rsidR="001C3AC4" w:rsidRPr="008A3778">
        <w:rPr>
          <w:rFonts w:ascii="Helvetica" w:eastAsia="HGMaruGothicMPRO" w:hAnsi="Helvetica" w:cs="Helvetica"/>
          <w:lang w:val="en-GB"/>
        </w:rPr>
        <w:t xml:space="preserve"> dated 30 September 2020. This is the notice of motion</w:t>
      </w:r>
      <w:r w:rsidR="00745A35" w:rsidRPr="008A3778">
        <w:rPr>
          <w:rFonts w:ascii="Helvetica" w:eastAsia="HGMaruGothicMPRO" w:hAnsi="Helvetica" w:cs="Helvetica"/>
          <w:lang w:val="en-GB"/>
        </w:rPr>
        <w:t>, and accompanying relief,</w:t>
      </w:r>
      <w:r w:rsidR="001C3AC4" w:rsidRPr="008A3778">
        <w:rPr>
          <w:rFonts w:ascii="Helvetica" w:eastAsia="HGMaruGothicMPRO" w:hAnsi="Helvetica" w:cs="Helvetica"/>
          <w:lang w:val="en-GB"/>
        </w:rPr>
        <w:t xml:space="preserve"> that</w:t>
      </w:r>
      <w:r w:rsidR="00045668"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served</w:t>
      </w:r>
      <w:r w:rsidR="001C3AC4" w:rsidRPr="008A3778">
        <w:rPr>
          <w:rFonts w:ascii="Helvetica" w:eastAsia="HGMaruGothicMPRO" w:hAnsi="Helvetica" w:cs="Helvetica"/>
          <w:lang w:val="en-GB"/>
        </w:rPr>
        <w:t xml:space="preserve"> before the High Court</w:t>
      </w:r>
      <w:r w:rsidR="00A47814" w:rsidRPr="008A3778">
        <w:rPr>
          <w:rFonts w:ascii="Helvetica" w:eastAsia="HGMaruGothicMPRO" w:hAnsi="Helvetica" w:cs="Helvetica"/>
          <w:lang w:val="en-GB"/>
        </w:rPr>
        <w:t xml:space="preserve">. </w:t>
      </w:r>
    </w:p>
    <w:p w14:paraId="3CA520A6" w14:textId="3E5570BF" w:rsidR="00DE6DB1" w:rsidRPr="008A3778" w:rsidRDefault="00904EF6"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t xml:space="preserve">In </w:t>
      </w:r>
      <w:r w:rsidR="00745A35" w:rsidRPr="008A3778">
        <w:rPr>
          <w:rFonts w:ascii="Helvetica" w:eastAsia="HGMaruGothicMPRO" w:hAnsi="Helvetica" w:cs="Helvetica"/>
          <w:lang w:val="en-GB"/>
        </w:rPr>
        <w:t xml:space="preserve">their 30 September 2020 </w:t>
      </w:r>
      <w:r w:rsidR="00247A6C" w:rsidRPr="008A3778">
        <w:rPr>
          <w:rFonts w:ascii="Helvetica" w:eastAsia="HGMaruGothicMPRO" w:hAnsi="Helvetica" w:cs="Helvetica"/>
          <w:lang w:val="en-GB"/>
        </w:rPr>
        <w:t>amended notice of motion, the appellants sought</w:t>
      </w:r>
      <w:r w:rsidR="00A56270">
        <w:rPr>
          <w:rFonts w:ascii="Helvetica" w:eastAsia="HGMaruGothicMPRO" w:hAnsi="Helvetica" w:cs="Helvetica"/>
          <w:lang w:val="en-GB"/>
        </w:rPr>
        <w:t>:</w:t>
      </w:r>
      <w:r w:rsidR="00247A6C" w:rsidRPr="008A3778">
        <w:rPr>
          <w:rFonts w:ascii="Helvetica" w:eastAsia="HGMaruGothicMPRO" w:hAnsi="Helvetica" w:cs="Helvetica"/>
          <w:lang w:val="en-GB"/>
        </w:rPr>
        <w:t xml:space="preserve"> (i)</w:t>
      </w:r>
      <w:r w:rsidR="004F613C" w:rsidRPr="008A3778">
        <w:rPr>
          <w:rFonts w:ascii="Helvetica" w:eastAsia="HGMaruGothicMPRO" w:hAnsi="Helvetica" w:cs="Helvetica"/>
          <w:lang w:val="en-GB"/>
        </w:rPr>
        <w:t xml:space="preserve"> </w:t>
      </w:r>
      <w:r w:rsidR="000102EF" w:rsidRPr="008A3778">
        <w:rPr>
          <w:rFonts w:ascii="Helvetica" w:eastAsia="HGMaruGothicMPRO" w:hAnsi="Helvetica" w:cs="Helvetica"/>
          <w:lang w:val="en-GB"/>
        </w:rPr>
        <w:t xml:space="preserve">an order </w:t>
      </w:r>
      <w:r w:rsidR="004F613C" w:rsidRPr="008A3778">
        <w:rPr>
          <w:rFonts w:ascii="Helvetica" w:eastAsia="HGMaruGothicMPRO" w:hAnsi="Helvetica" w:cs="Helvetica"/>
          <w:lang w:val="en-GB"/>
        </w:rPr>
        <w:t>reviewing and setting aside the Adjudicator’s determination</w:t>
      </w:r>
      <w:r w:rsidR="00247A6C" w:rsidRPr="008A3778">
        <w:rPr>
          <w:rFonts w:ascii="Helvetica" w:eastAsia="HGMaruGothicMPRO" w:hAnsi="Helvetica" w:cs="Helvetica"/>
          <w:lang w:val="en-GB"/>
        </w:rPr>
        <w:t xml:space="preserve"> </w:t>
      </w:r>
      <w:r w:rsidR="006B67A4" w:rsidRPr="008A3778">
        <w:rPr>
          <w:rFonts w:ascii="Helvetica" w:eastAsia="HGMaruGothicMPRO" w:hAnsi="Helvetica" w:cs="Helvetica"/>
          <w:lang w:val="en-GB"/>
        </w:rPr>
        <w:t>in terms of section 30P</w:t>
      </w:r>
      <w:r w:rsidR="006F3406" w:rsidRPr="008A3778">
        <w:rPr>
          <w:rFonts w:ascii="Helvetica" w:eastAsia="HGMaruGothicMPRO" w:hAnsi="Helvetica" w:cs="Helvetica"/>
          <w:lang w:val="en-GB"/>
        </w:rPr>
        <w:t xml:space="preserve">, (ii) a money judgement </w:t>
      </w:r>
      <w:r w:rsidR="00233F79" w:rsidRPr="008A3778">
        <w:rPr>
          <w:rFonts w:ascii="Helvetica" w:eastAsia="HGMaruGothicMPRO" w:hAnsi="Helvetica" w:cs="Helvetica"/>
          <w:lang w:val="en-GB"/>
        </w:rPr>
        <w:t xml:space="preserve">in favour of the second applicant </w:t>
      </w:r>
      <w:r w:rsidR="006F3406" w:rsidRPr="008A3778">
        <w:rPr>
          <w:rFonts w:ascii="Helvetica" w:eastAsia="HGMaruGothicMPRO" w:hAnsi="Helvetica" w:cs="Helvetica"/>
          <w:lang w:val="en-GB"/>
        </w:rPr>
        <w:t>against the “</w:t>
      </w:r>
      <w:r w:rsidR="006F3406" w:rsidRPr="008A3778">
        <w:rPr>
          <w:rFonts w:ascii="Helvetica" w:eastAsia="HGMaruGothicMPRO" w:hAnsi="Helvetica" w:cs="Helvetica"/>
          <w:i/>
          <w:iCs/>
          <w:lang w:val="en-GB"/>
        </w:rPr>
        <w:t xml:space="preserve">Ninth and/or the First Respondent jointly and </w:t>
      </w:r>
      <w:r w:rsidR="006F3406" w:rsidRPr="008A3778">
        <w:rPr>
          <w:rFonts w:ascii="Helvetica" w:eastAsia="HGMaruGothicMPRO" w:hAnsi="Helvetica" w:cs="Helvetica"/>
          <w:lang w:val="en-GB"/>
        </w:rPr>
        <w:t>severally”</w:t>
      </w:r>
      <w:r w:rsidR="000102EF" w:rsidRPr="008A3778">
        <w:rPr>
          <w:rFonts w:ascii="Helvetica" w:eastAsia="HGMaruGothicMPRO" w:hAnsi="Helvetica" w:cs="Helvetica"/>
          <w:lang w:val="en-GB"/>
        </w:rPr>
        <w:t>, and (iii)</w:t>
      </w:r>
      <w:r w:rsidR="007B435F" w:rsidRPr="008A3778">
        <w:rPr>
          <w:rFonts w:ascii="Helvetica" w:eastAsia="HGMaruGothicMPRO" w:hAnsi="Helvetica" w:cs="Helvetica"/>
          <w:lang w:val="en-GB"/>
        </w:rPr>
        <w:t xml:space="preserve"> a</w:t>
      </w:r>
      <w:r w:rsidR="00745A35" w:rsidRPr="008A3778">
        <w:rPr>
          <w:rFonts w:ascii="Helvetica" w:eastAsia="HGMaruGothicMPRO" w:hAnsi="Helvetica" w:cs="Helvetica"/>
          <w:lang w:val="en-GB"/>
        </w:rPr>
        <w:t>n</w:t>
      </w:r>
      <w:r w:rsidR="00DC14E9" w:rsidRPr="008A3778">
        <w:rPr>
          <w:rFonts w:ascii="Helvetica" w:eastAsia="HGMaruGothicMPRO" w:hAnsi="Helvetica" w:cs="Helvetica"/>
          <w:lang w:val="en-GB"/>
        </w:rPr>
        <w:t xml:space="preserve"> </w:t>
      </w:r>
      <w:r w:rsidR="007B435F" w:rsidRPr="008A3778">
        <w:rPr>
          <w:rFonts w:ascii="Helvetica" w:eastAsia="HGMaruGothicMPRO" w:hAnsi="Helvetica" w:cs="Helvetica"/>
          <w:lang w:val="en-GB"/>
        </w:rPr>
        <w:t xml:space="preserve">order </w:t>
      </w:r>
      <w:r w:rsidR="00F77C63" w:rsidRPr="008A3778">
        <w:rPr>
          <w:rFonts w:ascii="Helvetica" w:eastAsia="HGMaruGothicMPRO" w:hAnsi="Helvetica" w:cs="Helvetica"/>
          <w:lang w:val="en-GB"/>
        </w:rPr>
        <w:t xml:space="preserve">declaring </w:t>
      </w:r>
      <w:r w:rsidR="007B435F" w:rsidRPr="008A3778">
        <w:rPr>
          <w:rFonts w:ascii="Helvetica" w:eastAsia="HGMaruGothicMPRO" w:hAnsi="Helvetica" w:cs="Helvetica"/>
          <w:lang w:val="en-GB"/>
        </w:rPr>
        <w:t xml:space="preserve">that the </w:t>
      </w:r>
      <w:r w:rsidR="0075650A" w:rsidRPr="008A3778">
        <w:rPr>
          <w:rFonts w:ascii="Helvetica" w:eastAsia="HGMaruGothicMPRO" w:hAnsi="Helvetica" w:cs="Helvetica"/>
          <w:lang w:val="en-GB"/>
        </w:rPr>
        <w:t xml:space="preserve">amount of </w:t>
      </w:r>
      <w:r w:rsidR="008A1D1D" w:rsidRPr="008A3778">
        <w:rPr>
          <w:rFonts w:ascii="Helvetica" w:eastAsia="HGMaruGothicMPRO" w:hAnsi="Helvetica" w:cs="Helvetica"/>
          <w:lang w:val="en-GB"/>
        </w:rPr>
        <w:t>the</w:t>
      </w:r>
      <w:r w:rsidR="00AD6D3A" w:rsidRPr="008A3778">
        <w:rPr>
          <w:rFonts w:ascii="Helvetica" w:eastAsia="HGMaruGothicMPRO" w:hAnsi="Helvetica" w:cs="Helvetica"/>
          <w:lang w:val="en-GB"/>
        </w:rPr>
        <w:t xml:space="preserve"> </w:t>
      </w:r>
      <w:r w:rsidR="007B435F" w:rsidRPr="008A3778">
        <w:rPr>
          <w:rFonts w:ascii="Helvetica" w:eastAsia="HGMaruGothicMPRO" w:hAnsi="Helvetica" w:cs="Helvetica"/>
          <w:lang w:val="en-GB"/>
        </w:rPr>
        <w:t>“</w:t>
      </w:r>
      <w:r w:rsidR="007B435F" w:rsidRPr="008A3778">
        <w:rPr>
          <w:rFonts w:ascii="Helvetica" w:eastAsia="HGMaruGothicMPRO" w:hAnsi="Helvetica" w:cs="Helvetica"/>
          <w:i/>
          <w:iCs/>
          <w:lang w:val="en-GB"/>
        </w:rPr>
        <w:t>accrued benefits</w:t>
      </w:r>
      <w:r w:rsidR="007B435F" w:rsidRPr="008A3778">
        <w:rPr>
          <w:rFonts w:ascii="Helvetica" w:eastAsia="HGMaruGothicMPRO" w:hAnsi="Helvetica" w:cs="Helvetica"/>
          <w:lang w:val="en-GB"/>
        </w:rPr>
        <w:t>”</w:t>
      </w:r>
      <w:r w:rsidR="0075650A" w:rsidRPr="008A3778">
        <w:rPr>
          <w:rFonts w:ascii="Helvetica" w:eastAsia="HGMaruGothicMPRO" w:hAnsi="Helvetica" w:cs="Helvetica"/>
          <w:lang w:val="en-GB"/>
        </w:rPr>
        <w:t xml:space="preserve"> </w:t>
      </w:r>
      <w:r w:rsidR="008A1D1D" w:rsidRPr="008A3778">
        <w:rPr>
          <w:rFonts w:ascii="Helvetica" w:eastAsia="HGMaruGothicMPRO" w:hAnsi="Helvetica" w:cs="Helvetica"/>
          <w:lang w:val="en-GB"/>
        </w:rPr>
        <w:t xml:space="preserve">(being </w:t>
      </w:r>
      <w:r w:rsidR="000F3215" w:rsidRPr="008A3778">
        <w:rPr>
          <w:rFonts w:ascii="Helvetica" w:eastAsia="HGMaruGothicMPRO" w:hAnsi="Helvetica" w:cs="Helvetica"/>
          <w:lang w:val="en-GB"/>
        </w:rPr>
        <w:t>an</w:t>
      </w:r>
      <w:r w:rsidR="00151AA3" w:rsidRPr="008A3778">
        <w:rPr>
          <w:rFonts w:ascii="Helvetica" w:eastAsia="HGMaruGothicMPRO" w:hAnsi="Helvetica" w:cs="Helvetica"/>
          <w:lang w:val="en-GB"/>
        </w:rPr>
        <w:t xml:space="preserve"> amount </w:t>
      </w:r>
      <w:r w:rsidR="000F3215" w:rsidRPr="008A3778">
        <w:rPr>
          <w:rFonts w:ascii="Helvetica" w:eastAsia="HGMaruGothicMPRO" w:hAnsi="Helvetica" w:cs="Helvetica"/>
          <w:lang w:val="en-GB"/>
        </w:rPr>
        <w:t xml:space="preserve">of </w:t>
      </w:r>
      <w:r w:rsidR="008A1D1D" w:rsidRPr="008A3778">
        <w:rPr>
          <w:rFonts w:ascii="Helvetica" w:eastAsia="HGMaruGothicMPRO" w:hAnsi="Helvetica" w:cs="Helvetica"/>
          <w:lang w:val="en-GB"/>
        </w:rPr>
        <w:t>R</w:t>
      </w:r>
      <w:r w:rsidR="006D1892" w:rsidRPr="008A3778">
        <w:rPr>
          <w:rFonts w:ascii="Helvetica" w:eastAsia="HGMaruGothicMPRO" w:hAnsi="Helvetica" w:cs="Helvetica"/>
          <w:lang w:val="en-GB"/>
        </w:rPr>
        <w:t>9,955,4091.45</w:t>
      </w:r>
      <w:r w:rsidR="00151AA3" w:rsidRPr="008A3778">
        <w:rPr>
          <w:rFonts w:ascii="Helvetica" w:eastAsia="HGMaruGothicMPRO" w:hAnsi="Helvetica" w:cs="Helvetica"/>
          <w:lang w:val="en-GB"/>
        </w:rPr>
        <w:t xml:space="preserve">) </w:t>
      </w:r>
      <w:r w:rsidR="00DC14E9" w:rsidRPr="008A3778">
        <w:rPr>
          <w:rFonts w:ascii="Helvetica" w:eastAsia="HGMaruGothicMPRO" w:hAnsi="Helvetica" w:cs="Helvetica"/>
          <w:lang w:val="en-GB"/>
        </w:rPr>
        <w:t>is</w:t>
      </w:r>
      <w:r w:rsidR="00745A35" w:rsidRPr="008A3778">
        <w:rPr>
          <w:rFonts w:ascii="Helvetica" w:eastAsia="HGMaruGothicMPRO" w:hAnsi="Helvetica" w:cs="Helvetica"/>
          <w:lang w:val="en-GB"/>
        </w:rPr>
        <w:t>,</w:t>
      </w:r>
      <w:r w:rsidR="00DC14E9" w:rsidRPr="008A3778">
        <w:rPr>
          <w:rFonts w:ascii="Helvetica" w:eastAsia="HGMaruGothicMPRO" w:hAnsi="Helvetica" w:cs="Helvetica"/>
          <w:lang w:val="en-GB"/>
        </w:rPr>
        <w:t xml:space="preserve"> </w:t>
      </w:r>
      <w:r w:rsidR="00EB6A21" w:rsidRPr="008A3778">
        <w:rPr>
          <w:rFonts w:ascii="Helvetica" w:eastAsia="HGMaruGothicMPRO" w:hAnsi="Helvetica" w:cs="Helvetica"/>
          <w:lang w:val="en-GB"/>
        </w:rPr>
        <w:t>somewhat confusingly</w:t>
      </w:r>
      <w:r w:rsidR="00745A35" w:rsidRPr="008A3778">
        <w:rPr>
          <w:rFonts w:ascii="Helvetica" w:eastAsia="HGMaruGothicMPRO" w:hAnsi="Helvetica" w:cs="Helvetica"/>
          <w:lang w:val="en-GB"/>
        </w:rPr>
        <w:t>,</w:t>
      </w:r>
      <w:r w:rsidR="00EB6A21" w:rsidRPr="008A3778">
        <w:rPr>
          <w:rFonts w:ascii="Helvetica" w:eastAsia="HGMaruGothicMPRO" w:hAnsi="Helvetica" w:cs="Helvetica"/>
          <w:lang w:val="en-GB"/>
        </w:rPr>
        <w:t xml:space="preserve"> </w:t>
      </w:r>
      <w:r w:rsidR="00DC14E9" w:rsidRPr="008A3778">
        <w:rPr>
          <w:rFonts w:ascii="Helvetica" w:eastAsia="HGMaruGothicMPRO" w:hAnsi="Helvetica" w:cs="Helvetica"/>
          <w:lang w:val="en-GB"/>
        </w:rPr>
        <w:t>“</w:t>
      </w:r>
      <w:r w:rsidR="00DC14E9" w:rsidRPr="008A3778">
        <w:rPr>
          <w:rFonts w:ascii="Helvetica" w:eastAsia="HGMaruGothicMPRO" w:hAnsi="Helvetica" w:cs="Helvetica"/>
          <w:i/>
          <w:iCs/>
          <w:lang w:val="en-GB"/>
        </w:rPr>
        <w:t>an asset in the deceased estate of the late Edward Collatz and the joint estate of the said</w:t>
      </w:r>
      <w:r w:rsidR="00787A01" w:rsidRPr="008A3778">
        <w:rPr>
          <w:rFonts w:ascii="Helvetica" w:eastAsia="HGMaruGothicMPRO" w:hAnsi="Helvetica" w:cs="Helvetica"/>
          <w:i/>
          <w:iCs/>
          <w:lang w:val="en-GB"/>
        </w:rPr>
        <w:t xml:space="preserve"> Edward Collins and the First Applicant</w:t>
      </w:r>
      <w:r w:rsidR="00787A01" w:rsidRPr="008A3778">
        <w:rPr>
          <w:rFonts w:ascii="Helvetica" w:eastAsia="HGMaruGothicMPRO" w:hAnsi="Helvetica" w:cs="Helvetica"/>
          <w:lang w:val="en-GB"/>
        </w:rPr>
        <w:t>”.</w:t>
      </w:r>
      <w:r w:rsidR="000F3215" w:rsidRPr="008A3778">
        <w:rPr>
          <w:rFonts w:ascii="Helvetica" w:eastAsia="HGMaruGothicMPRO" w:hAnsi="Helvetica" w:cs="Helvetica"/>
          <w:lang w:val="en-GB"/>
        </w:rPr>
        <w:t xml:space="preserve"> </w:t>
      </w:r>
    </w:p>
    <w:p w14:paraId="28620FDE" w14:textId="58776A43" w:rsidR="001301E0" w:rsidRPr="008A3778" w:rsidRDefault="001301E0" w:rsidP="003A214B">
      <w:pPr>
        <w:numPr>
          <w:ilvl w:val="2"/>
          <w:numId w:val="1"/>
        </w:numPr>
        <w:tabs>
          <w:tab w:val="clear" w:pos="1701"/>
          <w:tab w:val="num" w:pos="2250"/>
        </w:tabs>
        <w:spacing w:after="360" w:line="360" w:lineRule="auto"/>
        <w:ind w:left="2250" w:right="-151" w:hanging="810"/>
        <w:jc w:val="both"/>
        <w:rPr>
          <w:rFonts w:ascii="Helvetica" w:eastAsia="HGMaruGothicMPRO" w:hAnsi="Helvetica" w:cs="Helvetica"/>
          <w:lang w:val="en-GB"/>
        </w:rPr>
      </w:pPr>
      <w:r w:rsidRPr="008A3778">
        <w:rPr>
          <w:rFonts w:ascii="Helvetica" w:eastAsia="HGMaruGothicMPRO" w:hAnsi="Helvetica" w:cs="Helvetica"/>
          <w:lang w:val="en-GB"/>
        </w:rPr>
        <w:lastRenderedPageBreak/>
        <w:t xml:space="preserve">These amendments to the notice of motion caused the first and second respondents and the ninth respondent to file supplementary affidavits. </w:t>
      </w:r>
    </w:p>
    <w:p w14:paraId="077BF416" w14:textId="278BA29C" w:rsidR="00745A35" w:rsidRPr="008A3778" w:rsidRDefault="009353F5" w:rsidP="003A214B">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Pr>
          <w:rFonts w:ascii="Helvetica" w:eastAsia="HGMaruGothicMPRO" w:hAnsi="Helvetica" w:cs="Helvetica"/>
          <w:lang w:val="en-GB"/>
        </w:rPr>
        <w:t xml:space="preserve">Separate to the various amendments to the notice of motion </w:t>
      </w:r>
      <w:r w:rsidR="000F3215" w:rsidRPr="008A3778">
        <w:rPr>
          <w:rFonts w:ascii="Helvetica" w:eastAsia="HGMaruGothicMPRO" w:hAnsi="Helvetica" w:cs="Helvetica"/>
          <w:lang w:val="en-GB"/>
        </w:rPr>
        <w:t>is t</w:t>
      </w:r>
      <w:r w:rsidR="00A72DF9" w:rsidRPr="008A3778">
        <w:rPr>
          <w:rFonts w:ascii="Helvetica" w:eastAsia="HGMaruGothicMPRO" w:hAnsi="Helvetica" w:cs="Helvetica"/>
          <w:lang w:val="en-GB"/>
        </w:rPr>
        <w:t>he</w:t>
      </w:r>
      <w:r w:rsidR="00604881" w:rsidRPr="008A3778">
        <w:rPr>
          <w:rFonts w:ascii="Helvetica" w:eastAsia="HGMaruGothicMPRO" w:hAnsi="Helvetica" w:cs="Helvetica"/>
          <w:lang w:val="en-GB"/>
        </w:rPr>
        <w:t xml:space="preserve"> appellants</w:t>
      </w:r>
      <w:r>
        <w:rPr>
          <w:rFonts w:ascii="Helvetica" w:eastAsia="HGMaruGothicMPRO" w:hAnsi="Helvetica" w:cs="Helvetica"/>
          <w:lang w:val="en-GB"/>
        </w:rPr>
        <w:t>’</w:t>
      </w:r>
      <w:r w:rsidR="00604881" w:rsidRPr="008A3778">
        <w:rPr>
          <w:rFonts w:ascii="Helvetica" w:eastAsia="HGMaruGothicMPRO" w:hAnsi="Helvetica" w:cs="Helvetica"/>
          <w:lang w:val="en-GB"/>
        </w:rPr>
        <w:t xml:space="preserve"> ever</w:t>
      </w:r>
      <w:r>
        <w:rPr>
          <w:rFonts w:ascii="Helvetica" w:eastAsia="HGMaruGothicMPRO" w:hAnsi="Helvetica" w:cs="Helvetica"/>
          <w:lang w:val="en-GB"/>
        </w:rPr>
        <w:t>-</w:t>
      </w:r>
      <w:r w:rsidR="00604881" w:rsidRPr="008A3778">
        <w:rPr>
          <w:rFonts w:ascii="Helvetica" w:eastAsia="HGMaruGothicMPRO" w:hAnsi="Helvetica" w:cs="Helvetica"/>
          <w:lang w:val="en-GB"/>
        </w:rPr>
        <w:t xml:space="preserve">evolving </w:t>
      </w:r>
      <w:r w:rsidR="00745A35" w:rsidRPr="008A3778">
        <w:rPr>
          <w:rFonts w:ascii="Helvetica" w:eastAsia="HGMaruGothicMPRO" w:hAnsi="Helvetica" w:cs="Helvetica"/>
          <w:lang w:val="en-GB"/>
        </w:rPr>
        <w:t xml:space="preserve">case. </w:t>
      </w:r>
      <w:r w:rsidR="00A242E6" w:rsidRPr="008A3778">
        <w:rPr>
          <w:rFonts w:ascii="Helvetica" w:eastAsia="HGMaruGothicMPRO" w:hAnsi="Helvetica" w:cs="Helvetica"/>
          <w:lang w:val="en-GB"/>
        </w:rPr>
        <w:t xml:space="preserve">An </w:t>
      </w:r>
      <w:r w:rsidR="004F3044" w:rsidRPr="008A3778">
        <w:rPr>
          <w:rFonts w:ascii="Helvetica" w:eastAsia="HGMaruGothicMPRO" w:hAnsi="Helvetica" w:cs="Helvetica"/>
          <w:lang w:val="en-GB"/>
        </w:rPr>
        <w:t>inordinate</w:t>
      </w:r>
      <w:r w:rsidR="00A242E6" w:rsidRPr="008A3778">
        <w:rPr>
          <w:rFonts w:ascii="Helvetica" w:eastAsia="HGMaruGothicMPRO" w:hAnsi="Helvetica" w:cs="Helvetica"/>
          <w:lang w:val="en-GB"/>
        </w:rPr>
        <w:t xml:space="preserve"> number of affidavits have been filed in this application.</w:t>
      </w:r>
      <w:r w:rsidR="00717B31" w:rsidRPr="008A3778">
        <w:rPr>
          <w:rStyle w:val="FootnoteReference"/>
          <w:rFonts w:ascii="Helvetica" w:eastAsia="HGMaruGothicMPRO" w:hAnsi="Helvetica" w:cs="Helvetica"/>
          <w:lang w:val="en-GB"/>
        </w:rPr>
        <w:footnoteReference w:id="9"/>
      </w:r>
      <w:r w:rsidR="00A242E6" w:rsidRPr="008A3778">
        <w:rPr>
          <w:rFonts w:ascii="Helvetica" w:eastAsia="HGMaruGothicMPRO" w:hAnsi="Helvetica" w:cs="Helvetica"/>
          <w:lang w:val="en-GB"/>
        </w:rPr>
        <w:t xml:space="preserve"> </w:t>
      </w:r>
      <w:r>
        <w:rPr>
          <w:rFonts w:ascii="Helvetica" w:eastAsia="HGMaruGothicMPRO" w:hAnsi="Helvetica" w:cs="Helvetica"/>
          <w:lang w:val="en-GB"/>
        </w:rPr>
        <w:t>T</w:t>
      </w:r>
      <w:r w:rsidR="007506E9" w:rsidRPr="008A3778">
        <w:rPr>
          <w:rFonts w:ascii="Helvetica" w:eastAsia="HGMaruGothicMPRO" w:hAnsi="Helvetica" w:cs="Helvetica"/>
          <w:lang w:val="en-GB"/>
        </w:rPr>
        <w:t xml:space="preserve">he </w:t>
      </w:r>
      <w:r w:rsidR="002E7369" w:rsidRPr="008A3778">
        <w:rPr>
          <w:rFonts w:ascii="Helvetica" w:eastAsia="HGMaruGothicMPRO" w:hAnsi="Helvetica" w:cs="Helvetica"/>
          <w:lang w:val="en-GB"/>
        </w:rPr>
        <w:t>appellants</w:t>
      </w:r>
      <w:r w:rsidR="00A242E6" w:rsidRPr="008A3778">
        <w:rPr>
          <w:rFonts w:ascii="Helvetica" w:eastAsia="HGMaruGothicMPRO" w:hAnsi="Helvetica" w:cs="Helvetica"/>
          <w:lang w:val="en-GB"/>
        </w:rPr>
        <w:t xml:space="preserve"> filed </w:t>
      </w:r>
      <w:r w:rsidR="00DF0E38" w:rsidRPr="008A3778">
        <w:rPr>
          <w:rFonts w:ascii="Helvetica" w:eastAsia="HGMaruGothicMPRO" w:hAnsi="Helvetica" w:cs="Helvetica"/>
          <w:lang w:val="en-GB"/>
        </w:rPr>
        <w:t xml:space="preserve">a first </w:t>
      </w:r>
      <w:r w:rsidR="00BA632C" w:rsidRPr="008A3778">
        <w:rPr>
          <w:rFonts w:ascii="Helvetica" w:eastAsia="HGMaruGothicMPRO" w:hAnsi="Helvetica" w:cs="Helvetica"/>
          <w:lang w:val="en-GB"/>
        </w:rPr>
        <w:t xml:space="preserve">supplementary founding affidavit </w:t>
      </w:r>
      <w:r w:rsidR="002E7369" w:rsidRPr="008A3778">
        <w:rPr>
          <w:rFonts w:ascii="Helvetica" w:eastAsia="HGMaruGothicMPRO" w:hAnsi="Helvetica" w:cs="Helvetica"/>
          <w:lang w:val="en-GB"/>
        </w:rPr>
        <w:t>during</w:t>
      </w:r>
      <w:r w:rsidR="00D10EC4" w:rsidRPr="008A3778">
        <w:rPr>
          <w:rFonts w:ascii="Helvetica" w:eastAsia="HGMaruGothicMPRO" w:hAnsi="Helvetica" w:cs="Helvetica"/>
          <w:lang w:val="en-GB"/>
        </w:rPr>
        <w:t xml:space="preserve"> March 2013 </w:t>
      </w:r>
      <w:r w:rsidR="00DF0E38" w:rsidRPr="008A3778">
        <w:rPr>
          <w:rFonts w:ascii="Helvetica" w:eastAsia="HGMaruGothicMPRO" w:hAnsi="Helvetica" w:cs="Helvetica"/>
          <w:lang w:val="en-GB"/>
        </w:rPr>
        <w:t xml:space="preserve">and </w:t>
      </w:r>
      <w:r w:rsidR="002E7369" w:rsidRPr="008A3778">
        <w:rPr>
          <w:rFonts w:ascii="Helvetica" w:eastAsia="HGMaruGothicMPRO" w:hAnsi="Helvetica" w:cs="Helvetica"/>
          <w:lang w:val="en-GB"/>
        </w:rPr>
        <w:t xml:space="preserve">a </w:t>
      </w:r>
      <w:r w:rsidR="00DF0E38" w:rsidRPr="008A3778">
        <w:rPr>
          <w:rFonts w:ascii="Helvetica" w:eastAsia="HGMaruGothicMPRO" w:hAnsi="Helvetica" w:cs="Helvetica"/>
          <w:lang w:val="en-GB"/>
        </w:rPr>
        <w:t xml:space="preserve">second </w:t>
      </w:r>
      <w:r w:rsidR="00731522" w:rsidRPr="008A3778">
        <w:rPr>
          <w:rFonts w:ascii="Helvetica" w:eastAsia="HGMaruGothicMPRO" w:hAnsi="Helvetica" w:cs="Helvetica"/>
          <w:lang w:val="en-GB"/>
        </w:rPr>
        <w:t xml:space="preserve">supplementary founding affidavit </w:t>
      </w:r>
      <w:bookmarkStart w:id="6" w:name="_Hlk89972154"/>
      <w:r w:rsidR="00731522" w:rsidRPr="008A3778">
        <w:rPr>
          <w:rFonts w:ascii="Helvetica" w:eastAsia="HGMaruGothicMPRO" w:hAnsi="Helvetica" w:cs="Helvetica"/>
          <w:lang w:val="en-GB"/>
        </w:rPr>
        <w:t>during July 2015</w:t>
      </w:r>
      <w:bookmarkEnd w:id="6"/>
      <w:r w:rsidR="00745A35" w:rsidRPr="008A3778">
        <w:rPr>
          <w:rFonts w:ascii="Helvetica" w:eastAsia="HGMaruGothicMPRO" w:hAnsi="Helvetica" w:cs="Helvetica"/>
          <w:lang w:val="en-GB"/>
        </w:rPr>
        <w:t>.</w:t>
      </w:r>
      <w:r w:rsidR="007506E9" w:rsidRPr="008A3778">
        <w:rPr>
          <w:rFonts w:ascii="Helvetica" w:eastAsia="HGMaruGothicMPRO" w:hAnsi="Helvetica" w:cs="Helvetica"/>
          <w:lang w:val="en-GB"/>
        </w:rPr>
        <w:t xml:space="preserve"> </w:t>
      </w:r>
      <w:r w:rsidR="00745A35" w:rsidRPr="008A3778">
        <w:rPr>
          <w:rFonts w:ascii="Helvetica" w:eastAsia="HGMaruGothicMPRO" w:hAnsi="Helvetica" w:cs="Helvetica"/>
          <w:lang w:val="en-GB"/>
        </w:rPr>
        <w:t xml:space="preserve">Their July 2015 </w:t>
      </w:r>
      <w:r w:rsidR="00F439CC" w:rsidRPr="008A3778">
        <w:rPr>
          <w:rFonts w:ascii="Helvetica" w:eastAsia="HGMaruGothicMPRO" w:hAnsi="Helvetica" w:cs="Helvetica"/>
          <w:lang w:val="en-GB"/>
        </w:rPr>
        <w:t xml:space="preserve">affidavit </w:t>
      </w:r>
      <w:r w:rsidR="00050CED" w:rsidRPr="008A3778">
        <w:rPr>
          <w:rFonts w:ascii="Helvetica" w:eastAsia="HGMaruGothicMPRO" w:hAnsi="Helvetica" w:cs="Helvetica"/>
          <w:lang w:val="en-GB"/>
        </w:rPr>
        <w:t>introduce</w:t>
      </w:r>
      <w:r w:rsidR="00F2370A" w:rsidRPr="008A3778">
        <w:rPr>
          <w:rFonts w:ascii="Helvetica" w:eastAsia="HGMaruGothicMPRO" w:hAnsi="Helvetica" w:cs="Helvetica"/>
          <w:lang w:val="en-GB"/>
        </w:rPr>
        <w:t>d</w:t>
      </w:r>
      <w:r w:rsidR="00050CED" w:rsidRPr="008A3778">
        <w:rPr>
          <w:rFonts w:ascii="Helvetica" w:eastAsia="HGMaruGothicMPRO" w:hAnsi="Helvetica" w:cs="Helvetica"/>
          <w:lang w:val="en-GB"/>
        </w:rPr>
        <w:t xml:space="preserve"> a </w:t>
      </w:r>
      <w:r w:rsidR="00F439CC" w:rsidRPr="008A3778">
        <w:rPr>
          <w:rFonts w:ascii="Helvetica" w:eastAsia="HGMaruGothicMPRO" w:hAnsi="Helvetica" w:cs="Helvetica"/>
          <w:lang w:val="en-GB"/>
        </w:rPr>
        <w:t xml:space="preserve">discrete but </w:t>
      </w:r>
      <w:r w:rsidR="00972F88" w:rsidRPr="008A3778">
        <w:rPr>
          <w:rFonts w:ascii="Helvetica" w:eastAsia="HGMaruGothicMPRO" w:hAnsi="Helvetica" w:cs="Helvetica"/>
          <w:lang w:val="en-GB"/>
        </w:rPr>
        <w:t xml:space="preserve">substantial new </w:t>
      </w:r>
      <w:r w:rsidR="00050CED" w:rsidRPr="008A3778">
        <w:rPr>
          <w:rFonts w:ascii="Helvetica" w:eastAsia="HGMaruGothicMPRO" w:hAnsi="Helvetica" w:cs="Helvetica"/>
          <w:lang w:val="en-GB"/>
        </w:rPr>
        <w:t>cause of action</w:t>
      </w:r>
      <w:r w:rsidR="00422244" w:rsidRPr="008A3778">
        <w:rPr>
          <w:rFonts w:ascii="Helvetica" w:eastAsia="HGMaruGothicMPRO" w:hAnsi="Helvetica" w:cs="Helvetica"/>
          <w:lang w:val="en-GB"/>
        </w:rPr>
        <w:t xml:space="preserve"> (claim) </w:t>
      </w:r>
      <w:r w:rsidR="00D053F4" w:rsidRPr="008A3778">
        <w:rPr>
          <w:rFonts w:ascii="Helvetica" w:eastAsia="HGMaruGothicMPRO" w:hAnsi="Helvetica" w:cs="Helvetica"/>
          <w:lang w:val="en-GB"/>
        </w:rPr>
        <w:t>asserting</w:t>
      </w:r>
      <w:r w:rsidR="00F076CC" w:rsidRPr="008A3778">
        <w:rPr>
          <w:rFonts w:ascii="Helvetica" w:eastAsia="HGMaruGothicMPRO" w:hAnsi="Helvetica" w:cs="Helvetica"/>
          <w:lang w:val="en-GB"/>
        </w:rPr>
        <w:t>, for the first time</w:t>
      </w:r>
      <w:r w:rsidR="00E40049" w:rsidRPr="008A3778">
        <w:rPr>
          <w:rFonts w:ascii="Helvetica" w:eastAsia="HGMaruGothicMPRO" w:hAnsi="Helvetica" w:cs="Helvetica"/>
          <w:lang w:val="en-GB"/>
        </w:rPr>
        <w:t>,</w:t>
      </w:r>
      <w:r w:rsidR="00D053F4" w:rsidRPr="008A3778">
        <w:rPr>
          <w:rFonts w:ascii="Helvetica" w:eastAsia="HGMaruGothicMPRO" w:hAnsi="Helvetica" w:cs="Helvetica"/>
          <w:lang w:val="en-GB"/>
        </w:rPr>
        <w:t xml:space="preserve"> that</w:t>
      </w:r>
      <w:r w:rsidR="00C45DEA" w:rsidRPr="008A3778">
        <w:rPr>
          <w:rFonts w:ascii="Helvetica" w:eastAsia="HGMaruGothicMPRO" w:hAnsi="Helvetica" w:cs="Helvetica"/>
          <w:lang w:val="en-GB"/>
        </w:rPr>
        <w:t xml:space="preserve"> </w:t>
      </w:r>
      <w:r w:rsidR="005824B3" w:rsidRPr="008A3778">
        <w:rPr>
          <w:rFonts w:ascii="Helvetica" w:eastAsia="HGMaruGothicMPRO" w:hAnsi="Helvetica" w:cs="Helvetica"/>
          <w:lang w:val="en-GB"/>
        </w:rPr>
        <w:t>Mr.</w:t>
      </w:r>
      <w:r w:rsidR="00C45DEA" w:rsidRPr="008A3778">
        <w:rPr>
          <w:rFonts w:ascii="Helvetica" w:eastAsia="HGMaruGothicMPRO" w:hAnsi="Helvetica" w:cs="Helvetica"/>
          <w:lang w:val="en-GB"/>
        </w:rPr>
        <w:t xml:space="preserve"> Collatz had signed </w:t>
      </w:r>
      <w:r w:rsidR="00C2153C" w:rsidRPr="008A3778">
        <w:rPr>
          <w:rFonts w:ascii="Helvetica" w:eastAsia="HGMaruGothicMPRO" w:hAnsi="Helvetica" w:cs="Helvetica"/>
          <w:lang w:val="en-GB"/>
        </w:rPr>
        <w:t xml:space="preserve">the </w:t>
      </w:r>
      <w:r w:rsidR="00F154E9" w:rsidRPr="008A3778">
        <w:rPr>
          <w:rFonts w:ascii="Helvetica" w:eastAsia="HGMaruGothicMPRO" w:hAnsi="Helvetica" w:cs="Helvetica"/>
          <w:lang w:val="en-GB"/>
        </w:rPr>
        <w:t xml:space="preserve">relevant </w:t>
      </w:r>
      <w:r w:rsidR="00C45DEA" w:rsidRPr="008A3778">
        <w:rPr>
          <w:rFonts w:ascii="Helvetica" w:eastAsia="HGMaruGothicMPRO" w:hAnsi="Helvetica" w:cs="Helvetica"/>
          <w:lang w:val="en-GB"/>
        </w:rPr>
        <w:t>authorisation</w:t>
      </w:r>
      <w:r w:rsidR="00C2153C" w:rsidRPr="008A3778">
        <w:rPr>
          <w:rFonts w:ascii="Helvetica" w:eastAsia="HGMaruGothicMPRO" w:hAnsi="Helvetica" w:cs="Helvetica"/>
          <w:lang w:val="en-GB"/>
        </w:rPr>
        <w:t xml:space="preserve"> </w:t>
      </w:r>
      <w:r w:rsidR="003C4345" w:rsidRPr="008A3778">
        <w:rPr>
          <w:rFonts w:ascii="Helvetica" w:eastAsia="HGMaruGothicMPRO" w:hAnsi="Helvetica" w:cs="Helvetica"/>
          <w:lang w:val="en-GB"/>
        </w:rPr>
        <w:t>form</w:t>
      </w:r>
      <w:r w:rsidR="00F154E9" w:rsidRPr="008A3778">
        <w:rPr>
          <w:rFonts w:ascii="Helvetica" w:eastAsia="HGMaruGothicMPRO" w:hAnsi="Helvetica" w:cs="Helvetica"/>
          <w:lang w:val="en-GB"/>
        </w:rPr>
        <w:t xml:space="preserve"> </w:t>
      </w:r>
      <w:r w:rsidR="00C2153C" w:rsidRPr="008A3778">
        <w:rPr>
          <w:rFonts w:ascii="Helvetica" w:eastAsia="HGMaruGothicMPRO" w:hAnsi="Helvetica" w:cs="Helvetica"/>
          <w:lang w:val="en-GB"/>
        </w:rPr>
        <w:t xml:space="preserve">at a time that he </w:t>
      </w:r>
      <w:r w:rsidR="00314989" w:rsidRPr="008A3778">
        <w:rPr>
          <w:rFonts w:ascii="Helvetica" w:eastAsia="HGMaruGothicMPRO" w:hAnsi="Helvetica" w:cs="Helvetica"/>
          <w:lang w:val="en-GB"/>
        </w:rPr>
        <w:t xml:space="preserve">was a patient </w:t>
      </w:r>
      <w:r w:rsidR="00C2153C" w:rsidRPr="008A3778">
        <w:rPr>
          <w:rFonts w:ascii="Helvetica" w:eastAsia="HGMaruGothicMPRO" w:hAnsi="Helvetica" w:cs="Helvetica"/>
          <w:lang w:val="en-GB"/>
        </w:rPr>
        <w:t xml:space="preserve">at the Denmar Psychiatric Hospital </w:t>
      </w:r>
      <w:r w:rsidR="003C4345" w:rsidRPr="008A3778">
        <w:rPr>
          <w:rFonts w:ascii="Helvetica" w:eastAsia="HGMaruGothicMPRO" w:hAnsi="Helvetica" w:cs="Helvetica"/>
          <w:lang w:val="en-GB"/>
        </w:rPr>
        <w:t>and that he did not have “</w:t>
      </w:r>
      <w:r w:rsidR="003C4345" w:rsidRPr="008A3778">
        <w:rPr>
          <w:rFonts w:ascii="Helvetica" w:eastAsia="HGMaruGothicMPRO" w:hAnsi="Helvetica" w:cs="Helvetica"/>
          <w:i/>
          <w:iCs/>
          <w:lang w:val="en-GB"/>
        </w:rPr>
        <w:t xml:space="preserve">the </w:t>
      </w:r>
      <w:r w:rsidR="001701A2" w:rsidRPr="008A3778">
        <w:rPr>
          <w:rFonts w:ascii="Helvetica" w:eastAsia="HGMaruGothicMPRO" w:hAnsi="Helvetica" w:cs="Helvetica"/>
          <w:i/>
          <w:iCs/>
          <w:lang w:val="en-GB"/>
        </w:rPr>
        <w:t xml:space="preserve">[mental] </w:t>
      </w:r>
      <w:r w:rsidR="003C4345" w:rsidRPr="008A3778">
        <w:rPr>
          <w:rFonts w:ascii="Helvetica" w:eastAsia="HGMaruGothicMPRO" w:hAnsi="Helvetica" w:cs="Helvetica"/>
          <w:i/>
          <w:iCs/>
          <w:lang w:val="en-GB"/>
        </w:rPr>
        <w:t>capacity to appreciate the significance of such ‘authorisation’</w:t>
      </w:r>
      <w:r w:rsidR="003C4345" w:rsidRPr="00D84CDC">
        <w:rPr>
          <w:rFonts w:ascii="Helvetica" w:eastAsia="HGMaruGothicMPRO" w:hAnsi="Helvetica" w:cs="Helvetica"/>
          <w:i/>
          <w:iCs/>
          <w:lang w:val="en-GB"/>
        </w:rPr>
        <w:t>”</w:t>
      </w:r>
      <w:r w:rsidR="003C4345" w:rsidRPr="008A3778">
        <w:rPr>
          <w:rFonts w:ascii="Helvetica" w:eastAsia="HGMaruGothicMPRO" w:hAnsi="Helvetica" w:cs="Helvetica"/>
          <w:lang w:val="en-GB"/>
        </w:rPr>
        <w:t>.</w:t>
      </w:r>
      <w:r w:rsidR="00050CED" w:rsidRPr="008A3778">
        <w:rPr>
          <w:rFonts w:ascii="Helvetica" w:eastAsia="HGMaruGothicMPRO" w:hAnsi="Helvetica" w:cs="Helvetica"/>
          <w:lang w:val="en-GB"/>
        </w:rPr>
        <w:t xml:space="preserve"> </w:t>
      </w:r>
    </w:p>
    <w:p w14:paraId="4F6732B7" w14:textId="32EA03BA" w:rsidR="00A72DF9" w:rsidRPr="008A3778" w:rsidRDefault="00B33E63"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The a</w:t>
      </w:r>
      <w:r w:rsidR="005824B3" w:rsidRPr="008A3778">
        <w:rPr>
          <w:rFonts w:ascii="Helvetica" w:eastAsia="HGMaruGothicMPRO" w:hAnsi="Helvetica" w:cs="Helvetica"/>
          <w:lang w:val="en-GB"/>
        </w:rPr>
        <w:t>uthorisation form</w:t>
      </w:r>
      <w:r w:rsidR="00D84CDC">
        <w:rPr>
          <w:rFonts w:ascii="Helvetica" w:eastAsia="HGMaruGothicMPRO" w:hAnsi="Helvetica" w:cs="Helvetica"/>
          <w:lang w:val="en-GB"/>
        </w:rPr>
        <w:t>,</w:t>
      </w:r>
      <w:r w:rsidR="009353F5" w:rsidRPr="008A3778">
        <w:rPr>
          <w:rStyle w:val="FootnoteReference"/>
          <w:rFonts w:ascii="Helvetica" w:eastAsia="HGMaruGothicMPRO" w:hAnsi="Helvetica" w:cs="Helvetica"/>
          <w:lang w:val="en-GB"/>
        </w:rPr>
        <w:footnoteReference w:id="10"/>
      </w:r>
      <w:r w:rsidR="004B099B" w:rsidRPr="008A3778">
        <w:rPr>
          <w:rFonts w:ascii="Helvetica" w:eastAsia="HGMaruGothicMPRO" w:hAnsi="Helvetica" w:cs="Helvetica"/>
          <w:lang w:val="en-GB"/>
        </w:rPr>
        <w:t xml:space="preserve"> being a requirement in terms of the ninth respondent’s</w:t>
      </w:r>
      <w:r w:rsidR="005824B3" w:rsidRPr="008A3778">
        <w:rPr>
          <w:rFonts w:ascii="Helvetica" w:eastAsia="HGMaruGothicMPRO" w:hAnsi="Helvetica" w:cs="Helvetica"/>
          <w:lang w:val="en-GB"/>
        </w:rPr>
        <w:t xml:space="preserve"> </w:t>
      </w:r>
      <w:r w:rsidR="004B099B" w:rsidRPr="008A3778">
        <w:rPr>
          <w:rFonts w:ascii="Helvetica" w:eastAsia="HGMaruGothicMPRO" w:hAnsi="Helvetica" w:cs="Helvetica"/>
          <w:lang w:val="en-GB"/>
        </w:rPr>
        <w:t>rule 7.2</w:t>
      </w:r>
      <w:r w:rsidR="00D62F76" w:rsidRPr="008A3778">
        <w:rPr>
          <w:rFonts w:ascii="Helvetica" w:eastAsia="HGMaruGothicMPRO" w:hAnsi="Helvetica" w:cs="Helvetica"/>
          <w:lang w:val="en-GB"/>
        </w:rPr>
        <w:t xml:space="preserve"> (discussed below), </w:t>
      </w:r>
      <w:r w:rsidR="005824B3" w:rsidRPr="008A3778">
        <w:rPr>
          <w:rFonts w:ascii="Helvetica" w:eastAsia="HGMaruGothicMPRO" w:hAnsi="Helvetica" w:cs="Helvetica"/>
          <w:lang w:val="en-GB"/>
        </w:rPr>
        <w:t>pertains to Mr. Collatz</w:t>
      </w:r>
      <w:r w:rsidRPr="008A3778">
        <w:rPr>
          <w:rFonts w:ascii="Helvetica" w:eastAsia="HGMaruGothicMPRO" w:hAnsi="Helvetica" w:cs="Helvetica"/>
          <w:lang w:val="en-GB"/>
        </w:rPr>
        <w:t xml:space="preserve"> exercising his election to transfer the</w:t>
      </w:r>
      <w:r w:rsidR="0020046E" w:rsidRPr="008A3778">
        <w:rPr>
          <w:rFonts w:ascii="Helvetica" w:eastAsia="HGMaruGothicMPRO" w:hAnsi="Helvetica" w:cs="Helvetica"/>
          <w:lang w:val="en-GB"/>
        </w:rPr>
        <w:t xml:space="preserve"> provident fund </w:t>
      </w:r>
      <w:r w:rsidR="00D62F76" w:rsidRPr="008A3778">
        <w:rPr>
          <w:rFonts w:ascii="Helvetica" w:eastAsia="HGMaruGothicMPRO" w:hAnsi="Helvetica" w:cs="Helvetica"/>
          <w:lang w:val="en-GB"/>
        </w:rPr>
        <w:t xml:space="preserve">(withdrawal) </w:t>
      </w:r>
      <w:r w:rsidR="0020046E" w:rsidRPr="008A3778">
        <w:rPr>
          <w:rFonts w:ascii="Helvetica" w:eastAsia="HGMaruGothicMPRO" w:hAnsi="Helvetica" w:cs="Helvetica"/>
          <w:lang w:val="en-GB"/>
        </w:rPr>
        <w:t xml:space="preserve">benefit </w:t>
      </w:r>
      <w:r w:rsidR="002D15FB" w:rsidRPr="008A3778">
        <w:rPr>
          <w:rFonts w:ascii="Helvetica" w:eastAsia="HGMaruGothicMPRO" w:hAnsi="Helvetica" w:cs="Helvetica"/>
          <w:lang w:val="en-GB"/>
        </w:rPr>
        <w:t xml:space="preserve">from the ninth respondent </w:t>
      </w:r>
      <w:r w:rsidR="0020046E" w:rsidRPr="008A3778">
        <w:rPr>
          <w:rFonts w:ascii="Helvetica" w:eastAsia="HGMaruGothicMPRO" w:hAnsi="Helvetica" w:cs="Helvetica"/>
          <w:lang w:val="en-GB"/>
        </w:rPr>
        <w:t xml:space="preserve">to </w:t>
      </w:r>
      <w:r w:rsidR="001301E0" w:rsidRPr="008A3778">
        <w:rPr>
          <w:rFonts w:ascii="Helvetica" w:eastAsia="HGMaruGothicMPRO" w:hAnsi="Helvetica" w:cs="Helvetica"/>
          <w:lang w:val="en-GB"/>
        </w:rPr>
        <w:t xml:space="preserve">an annuity fund with </w:t>
      </w:r>
      <w:r w:rsidR="0020046E" w:rsidRPr="008A3778">
        <w:rPr>
          <w:rFonts w:ascii="Helvetica" w:eastAsia="HGMaruGothicMPRO" w:hAnsi="Helvetica" w:cs="Helvetica"/>
          <w:lang w:val="en-GB"/>
        </w:rPr>
        <w:t xml:space="preserve">the second respondent. </w:t>
      </w:r>
      <w:r w:rsidR="003C4345" w:rsidRPr="008A3778">
        <w:rPr>
          <w:rFonts w:ascii="Helvetica" w:eastAsia="HGMaruGothicMPRO" w:hAnsi="Helvetica" w:cs="Helvetica"/>
          <w:lang w:val="en-GB"/>
        </w:rPr>
        <w:t xml:space="preserve">This </w:t>
      </w:r>
      <w:r w:rsidR="0020046E" w:rsidRPr="008A3778">
        <w:rPr>
          <w:rFonts w:ascii="Helvetica" w:eastAsia="HGMaruGothicMPRO" w:hAnsi="Helvetica" w:cs="Helvetica"/>
          <w:lang w:val="en-GB"/>
        </w:rPr>
        <w:t xml:space="preserve">second </w:t>
      </w:r>
      <w:r w:rsidR="009B2CB7" w:rsidRPr="008A3778">
        <w:rPr>
          <w:rFonts w:ascii="Helvetica" w:eastAsia="HGMaruGothicMPRO" w:hAnsi="Helvetica" w:cs="Helvetica"/>
          <w:lang w:val="en-GB"/>
        </w:rPr>
        <w:t>supplementary founding affidavit</w:t>
      </w:r>
      <w:r w:rsidR="00D62F76" w:rsidRPr="008A3778">
        <w:rPr>
          <w:rFonts w:ascii="Helvetica" w:eastAsia="HGMaruGothicMPRO" w:hAnsi="Helvetica" w:cs="Helvetica"/>
          <w:lang w:val="en-GB"/>
        </w:rPr>
        <w:t xml:space="preserve"> necessitated </w:t>
      </w:r>
      <w:r w:rsidR="00C149A2" w:rsidRPr="008A3778">
        <w:rPr>
          <w:rFonts w:ascii="Helvetica" w:eastAsia="HGMaruGothicMPRO" w:hAnsi="Helvetica" w:cs="Helvetica"/>
          <w:lang w:val="en-GB"/>
        </w:rPr>
        <w:t>the filing of supplementary answering affidavit</w:t>
      </w:r>
      <w:r w:rsidR="00050CED" w:rsidRPr="008A3778">
        <w:rPr>
          <w:rFonts w:ascii="Helvetica" w:eastAsia="HGMaruGothicMPRO" w:hAnsi="Helvetica" w:cs="Helvetica"/>
          <w:lang w:val="en-GB"/>
        </w:rPr>
        <w:t>s</w:t>
      </w:r>
      <w:r w:rsidR="00D43EC0" w:rsidRPr="008A3778">
        <w:rPr>
          <w:rFonts w:ascii="Helvetica" w:eastAsia="HGMaruGothicMPRO" w:hAnsi="Helvetica" w:cs="Helvetica"/>
          <w:lang w:val="en-GB"/>
        </w:rPr>
        <w:t xml:space="preserve">. </w:t>
      </w:r>
    </w:p>
    <w:p w14:paraId="6A176D02" w14:textId="569DD43B" w:rsidR="00455B30" w:rsidRPr="008A3778" w:rsidRDefault="00455B30"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Sandwiched between</w:t>
      </w:r>
      <w:r w:rsidR="00F41944" w:rsidRPr="008A3778">
        <w:rPr>
          <w:rFonts w:ascii="Helvetica" w:eastAsia="HGMaruGothicMPRO" w:hAnsi="Helvetica" w:cs="Helvetica"/>
          <w:lang w:val="en-GB"/>
        </w:rPr>
        <w:t xml:space="preserve"> these two </w:t>
      </w:r>
      <w:r w:rsidR="00416030" w:rsidRPr="008A3778">
        <w:rPr>
          <w:rFonts w:ascii="Helvetica" w:eastAsia="HGMaruGothicMPRO" w:hAnsi="Helvetica" w:cs="Helvetica"/>
          <w:lang w:val="en-GB"/>
        </w:rPr>
        <w:t xml:space="preserve">supplementary founding </w:t>
      </w:r>
      <w:r w:rsidR="00F41944" w:rsidRPr="008A3778">
        <w:rPr>
          <w:rFonts w:ascii="Helvetica" w:eastAsia="HGMaruGothicMPRO" w:hAnsi="Helvetica" w:cs="Helvetica"/>
          <w:lang w:val="en-GB"/>
        </w:rPr>
        <w:t xml:space="preserve">affidavits is the </w:t>
      </w:r>
      <w:r w:rsidR="00745A35" w:rsidRPr="008A3778">
        <w:rPr>
          <w:rFonts w:ascii="Helvetica" w:eastAsia="HGMaruGothicMPRO" w:hAnsi="Helvetica" w:cs="Helvetica"/>
          <w:lang w:val="en-GB"/>
        </w:rPr>
        <w:t>dispatch of a letter dated 30 May 2013.</w:t>
      </w:r>
      <w:r w:rsidR="00F154E9" w:rsidRPr="008A3778">
        <w:rPr>
          <w:rFonts w:ascii="Helvetica" w:eastAsia="HGMaruGothicMPRO" w:hAnsi="Helvetica" w:cs="Helvetica"/>
          <w:lang w:val="en-GB"/>
        </w:rPr>
        <w:t xml:space="preserve"> The letter communicates</w:t>
      </w:r>
      <w:r w:rsidR="00B7552B" w:rsidRPr="008A3778">
        <w:rPr>
          <w:rFonts w:ascii="Helvetica" w:eastAsia="HGMaruGothicMPRO" w:hAnsi="Helvetica" w:cs="Helvetica"/>
          <w:lang w:val="en-GB"/>
        </w:rPr>
        <w:t xml:space="preserve"> the appellants’ </w:t>
      </w:r>
      <w:r w:rsidR="00745A35" w:rsidRPr="008A3778">
        <w:rPr>
          <w:rFonts w:ascii="Helvetica" w:eastAsia="HGMaruGothicMPRO" w:hAnsi="Helvetica" w:cs="Helvetica"/>
          <w:lang w:val="en-GB"/>
        </w:rPr>
        <w:t xml:space="preserve">intention </w:t>
      </w:r>
      <w:r w:rsidR="00416030" w:rsidRPr="008A3778">
        <w:rPr>
          <w:rFonts w:ascii="Helvetica" w:eastAsia="HGMaruGothicMPRO" w:hAnsi="Helvetica" w:cs="Helvetica"/>
          <w:lang w:val="en-GB"/>
        </w:rPr>
        <w:t xml:space="preserve">to withdraw the </w:t>
      </w:r>
      <w:r w:rsidR="00745A35" w:rsidRPr="008A3778">
        <w:rPr>
          <w:rFonts w:ascii="Helvetica" w:eastAsia="HGMaruGothicMPRO" w:hAnsi="Helvetica" w:cs="Helvetica"/>
          <w:lang w:val="en-GB"/>
        </w:rPr>
        <w:t xml:space="preserve">section 30P </w:t>
      </w:r>
      <w:r w:rsidR="00416030" w:rsidRPr="008A3778">
        <w:rPr>
          <w:rFonts w:ascii="Helvetica" w:eastAsia="HGMaruGothicMPRO" w:hAnsi="Helvetica" w:cs="Helvetica"/>
          <w:lang w:val="en-GB"/>
        </w:rPr>
        <w:t>application</w:t>
      </w:r>
      <w:r w:rsidR="00745A35" w:rsidRPr="008A3778">
        <w:rPr>
          <w:rFonts w:ascii="Helvetica" w:eastAsia="HGMaruGothicMPRO" w:hAnsi="Helvetica" w:cs="Helvetica"/>
          <w:lang w:val="en-GB"/>
        </w:rPr>
        <w:t xml:space="preserve">, together with a request that each party pay their own costs. </w:t>
      </w:r>
      <w:r w:rsidR="0029725E" w:rsidRPr="008A3778">
        <w:rPr>
          <w:rFonts w:ascii="Helvetica" w:eastAsia="HGMaruGothicMPRO" w:hAnsi="Helvetica" w:cs="Helvetica"/>
          <w:lang w:val="en-GB"/>
        </w:rPr>
        <w:t>T</w:t>
      </w:r>
      <w:r w:rsidR="00793A93" w:rsidRPr="008A3778">
        <w:rPr>
          <w:rFonts w:ascii="Helvetica" w:eastAsia="HGMaruGothicMPRO" w:hAnsi="Helvetica" w:cs="Helvetica"/>
          <w:lang w:val="en-GB"/>
        </w:rPr>
        <w:t xml:space="preserve">he appellants </w:t>
      </w:r>
      <w:r w:rsidR="0029725E" w:rsidRPr="008A3778">
        <w:rPr>
          <w:rFonts w:ascii="Helvetica" w:eastAsia="HGMaruGothicMPRO" w:hAnsi="Helvetica" w:cs="Helvetica"/>
          <w:lang w:val="en-GB"/>
        </w:rPr>
        <w:t xml:space="preserve">further intimated that they </w:t>
      </w:r>
      <w:r w:rsidR="00793A93" w:rsidRPr="008A3778">
        <w:rPr>
          <w:rFonts w:ascii="Helvetica" w:eastAsia="HGMaruGothicMPRO" w:hAnsi="Helvetica" w:cs="Helvetica"/>
          <w:lang w:val="en-GB"/>
        </w:rPr>
        <w:t>would comply with the trustees’ section 37C allocations</w:t>
      </w:r>
      <w:r w:rsidR="00AB62FC" w:rsidRPr="008A3778">
        <w:rPr>
          <w:rFonts w:ascii="Helvetica" w:eastAsia="HGMaruGothicMPRO" w:hAnsi="Helvetica" w:cs="Helvetica"/>
          <w:lang w:val="en-GB"/>
        </w:rPr>
        <w:t xml:space="preserve">, </w:t>
      </w:r>
      <w:r w:rsidR="009353F5">
        <w:rPr>
          <w:rFonts w:ascii="Helvetica" w:eastAsia="HGMaruGothicMPRO" w:hAnsi="Helvetica" w:cs="Helvetica"/>
          <w:lang w:val="en-GB"/>
        </w:rPr>
        <w:t xml:space="preserve">provided that </w:t>
      </w:r>
      <w:r w:rsidR="00CB46AE" w:rsidRPr="008A3778">
        <w:rPr>
          <w:rFonts w:ascii="Helvetica" w:eastAsia="HGMaruGothicMPRO" w:hAnsi="Helvetica" w:cs="Helvetica"/>
          <w:lang w:val="en-GB"/>
        </w:rPr>
        <w:t>the first respondent would receive 15%</w:t>
      </w:r>
      <w:r w:rsidR="001301E0" w:rsidRPr="008A3778">
        <w:rPr>
          <w:rStyle w:val="FootnoteReference"/>
          <w:rFonts w:ascii="Helvetica" w:eastAsia="HGMaruGothicMPRO" w:hAnsi="Helvetica" w:cs="Helvetica"/>
          <w:lang w:val="en-GB"/>
        </w:rPr>
        <w:footnoteReference w:id="11"/>
      </w:r>
      <w:r w:rsidR="00CB46AE" w:rsidRPr="008A3778">
        <w:rPr>
          <w:rFonts w:ascii="Helvetica" w:eastAsia="HGMaruGothicMPRO" w:hAnsi="Helvetica" w:cs="Helvetica"/>
          <w:lang w:val="en-GB"/>
        </w:rPr>
        <w:t xml:space="preserve"> of the benefit.</w:t>
      </w:r>
      <w:r w:rsidR="00793A93" w:rsidRPr="008A3778">
        <w:rPr>
          <w:rFonts w:ascii="Helvetica" w:eastAsia="HGMaruGothicMPRO" w:hAnsi="Helvetica" w:cs="Helvetica"/>
          <w:lang w:val="en-GB"/>
        </w:rPr>
        <w:t xml:space="preserve"> </w:t>
      </w:r>
    </w:p>
    <w:p w14:paraId="1F22EBF0" w14:textId="06DEB725" w:rsidR="00A67084" w:rsidRPr="008A3778" w:rsidRDefault="009353F5" w:rsidP="006D5807">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Pr>
          <w:rFonts w:ascii="Helvetica" w:eastAsia="HGMaruGothicMPRO" w:hAnsi="Helvetica" w:cs="Helvetica"/>
          <w:lang w:val="en-GB"/>
        </w:rPr>
        <w:lastRenderedPageBreak/>
        <w:t xml:space="preserve">Another feature of </w:t>
      </w:r>
      <w:r w:rsidR="00B7552B" w:rsidRPr="008A3778">
        <w:rPr>
          <w:rFonts w:ascii="Helvetica" w:eastAsia="HGMaruGothicMPRO" w:hAnsi="Helvetica" w:cs="Helvetica"/>
          <w:lang w:val="en-GB"/>
        </w:rPr>
        <w:t xml:space="preserve">the </w:t>
      </w:r>
      <w:r>
        <w:rPr>
          <w:rFonts w:ascii="Helvetica" w:eastAsia="HGMaruGothicMPRO" w:hAnsi="Helvetica" w:cs="Helvetica"/>
          <w:lang w:val="en-GB"/>
        </w:rPr>
        <w:t xml:space="preserve">litigation </w:t>
      </w:r>
      <w:r w:rsidR="00B7552B" w:rsidRPr="008A3778">
        <w:rPr>
          <w:rFonts w:ascii="Helvetica" w:eastAsia="HGMaruGothicMPRO" w:hAnsi="Helvetica" w:cs="Helvetica"/>
          <w:lang w:val="en-GB"/>
        </w:rPr>
        <w:t xml:space="preserve">history is </w:t>
      </w:r>
      <w:r w:rsidR="00F439CC" w:rsidRPr="008A3778">
        <w:rPr>
          <w:rFonts w:ascii="Helvetica" w:eastAsia="HGMaruGothicMPRO" w:hAnsi="Helvetica" w:cs="Helvetica"/>
          <w:lang w:val="en-GB"/>
        </w:rPr>
        <w:t>the</w:t>
      </w:r>
      <w:r w:rsidR="00A72DF9" w:rsidRPr="008A3778">
        <w:rPr>
          <w:rFonts w:ascii="Helvetica" w:eastAsia="HGMaruGothicMPRO" w:hAnsi="Helvetica" w:cs="Helvetica"/>
          <w:lang w:val="en-GB"/>
        </w:rPr>
        <w:t xml:space="preserve"> </w:t>
      </w:r>
      <w:r w:rsidR="00F439CC" w:rsidRPr="008A3778">
        <w:rPr>
          <w:rFonts w:ascii="Helvetica" w:eastAsia="HGMaruGothicMPRO" w:hAnsi="Helvetica" w:cs="Helvetica"/>
          <w:lang w:val="en-GB"/>
        </w:rPr>
        <w:t xml:space="preserve">belated </w:t>
      </w:r>
      <w:r w:rsidR="00E365CC" w:rsidRPr="008A3778">
        <w:rPr>
          <w:rFonts w:ascii="Helvetica" w:eastAsia="HGMaruGothicMPRO" w:hAnsi="Helvetica" w:cs="Helvetica"/>
          <w:lang w:val="en-GB"/>
        </w:rPr>
        <w:t>joinder</w:t>
      </w:r>
      <w:r w:rsidR="005A1873" w:rsidRPr="008A3778">
        <w:rPr>
          <w:rFonts w:ascii="Helvetica" w:eastAsia="HGMaruGothicMPRO" w:hAnsi="Helvetica" w:cs="Helvetica"/>
          <w:lang w:val="en-GB"/>
        </w:rPr>
        <w:t xml:space="preserve"> </w:t>
      </w:r>
      <w:r w:rsidR="00E365CC" w:rsidRPr="008A3778">
        <w:rPr>
          <w:rFonts w:ascii="Helvetica" w:eastAsia="HGMaruGothicMPRO" w:hAnsi="Helvetica" w:cs="Helvetica"/>
          <w:lang w:val="en-GB"/>
        </w:rPr>
        <w:t xml:space="preserve">of a </w:t>
      </w:r>
      <w:r w:rsidR="00A72DF9" w:rsidRPr="008A3778">
        <w:rPr>
          <w:rFonts w:ascii="Helvetica" w:eastAsia="HGMaruGothicMPRO" w:hAnsi="Helvetica" w:cs="Helvetica"/>
          <w:lang w:val="en-GB"/>
        </w:rPr>
        <w:t xml:space="preserve">panoply of </w:t>
      </w:r>
      <w:r w:rsidR="00EB2B2E" w:rsidRPr="008A3778">
        <w:rPr>
          <w:rFonts w:ascii="Helvetica" w:eastAsia="HGMaruGothicMPRO" w:hAnsi="Helvetica" w:cs="Helvetica"/>
          <w:lang w:val="en-GB"/>
        </w:rPr>
        <w:t xml:space="preserve">materially </w:t>
      </w:r>
      <w:r w:rsidR="006A7863" w:rsidRPr="008A3778">
        <w:rPr>
          <w:rFonts w:ascii="Helvetica" w:eastAsia="HGMaruGothicMPRO" w:hAnsi="Helvetica" w:cs="Helvetica"/>
          <w:lang w:val="en-GB"/>
        </w:rPr>
        <w:t xml:space="preserve">interested and necessary </w:t>
      </w:r>
      <w:r w:rsidR="002B7EEE" w:rsidRPr="008A3778">
        <w:rPr>
          <w:rFonts w:ascii="Helvetica" w:eastAsia="HGMaruGothicMPRO" w:hAnsi="Helvetica" w:cs="Helvetica"/>
          <w:lang w:val="en-GB"/>
        </w:rPr>
        <w:t>r</w:t>
      </w:r>
      <w:r w:rsidR="00A72DF9" w:rsidRPr="008A3778">
        <w:rPr>
          <w:rFonts w:ascii="Helvetica" w:eastAsia="HGMaruGothicMPRO" w:hAnsi="Helvetica" w:cs="Helvetica"/>
          <w:lang w:val="en-GB"/>
        </w:rPr>
        <w:t>espondents in the section 30P application</w:t>
      </w:r>
      <w:r w:rsidR="00F439CC" w:rsidRPr="008A3778">
        <w:rPr>
          <w:rFonts w:ascii="Helvetica" w:eastAsia="HGMaruGothicMPRO" w:hAnsi="Helvetica" w:cs="Helvetica"/>
          <w:lang w:val="en-GB"/>
        </w:rPr>
        <w:t>.</w:t>
      </w:r>
      <w:r w:rsidR="005A1873" w:rsidRPr="008A3778">
        <w:rPr>
          <w:rFonts w:ascii="Helvetica" w:eastAsia="HGMaruGothicMPRO" w:hAnsi="Helvetica" w:cs="Helvetica"/>
          <w:lang w:val="en-GB"/>
        </w:rPr>
        <w:t xml:space="preserve"> Initially there were only two respondents cited in the section 30P application. </w:t>
      </w:r>
      <w:r w:rsidR="006A7863" w:rsidRPr="008A3778">
        <w:rPr>
          <w:rFonts w:ascii="Helvetica" w:eastAsia="HGMaruGothicMPRO" w:hAnsi="Helvetica" w:cs="Helvetica"/>
          <w:lang w:val="en-GB"/>
        </w:rPr>
        <w:t xml:space="preserve">The subsequently joined respondents include, </w:t>
      </w:r>
      <w:r w:rsidR="00023D47" w:rsidRPr="00023D47">
        <w:rPr>
          <w:rFonts w:ascii="Helvetica" w:eastAsia="HGMaruGothicMPRO" w:hAnsi="Helvetica" w:cs="Helvetica"/>
          <w:i/>
          <w:iCs/>
          <w:lang w:val="en-GB"/>
        </w:rPr>
        <w:t>inter-alia</w:t>
      </w:r>
      <w:r w:rsidR="006A7863" w:rsidRPr="008A3778">
        <w:rPr>
          <w:rFonts w:ascii="Helvetica" w:eastAsia="HGMaruGothicMPRO" w:hAnsi="Helvetica" w:cs="Helvetica"/>
          <w:lang w:val="en-GB"/>
        </w:rPr>
        <w:t>,</w:t>
      </w:r>
      <w:r>
        <w:rPr>
          <w:rFonts w:ascii="Helvetica" w:eastAsia="HGMaruGothicMPRO" w:hAnsi="Helvetica" w:cs="Helvetica"/>
          <w:lang w:val="en-GB"/>
        </w:rPr>
        <w:t xml:space="preserve"> the late</w:t>
      </w:r>
      <w:r w:rsidR="006A7863" w:rsidRPr="008A3778">
        <w:rPr>
          <w:rFonts w:ascii="Helvetica" w:eastAsia="HGMaruGothicMPRO" w:hAnsi="Helvetica" w:cs="Helvetica"/>
          <w:lang w:val="en-GB"/>
        </w:rPr>
        <w:t xml:space="preserve"> Mr</w:t>
      </w:r>
      <w:r w:rsidR="00FD108D" w:rsidRPr="008A3778">
        <w:rPr>
          <w:rFonts w:ascii="Helvetica" w:eastAsia="HGMaruGothicMPRO" w:hAnsi="Helvetica" w:cs="Helvetica"/>
          <w:lang w:val="en-GB"/>
        </w:rPr>
        <w:t>.</w:t>
      </w:r>
      <w:r w:rsidR="006A7863" w:rsidRPr="008A3778">
        <w:rPr>
          <w:rFonts w:ascii="Helvetica" w:eastAsia="HGMaruGothicMPRO" w:hAnsi="Helvetica" w:cs="Helvetica"/>
          <w:lang w:val="en-GB"/>
        </w:rPr>
        <w:t xml:space="preserve"> Collatz’s potential dependents and beneficiaries </w:t>
      </w:r>
      <w:r w:rsidR="005A1873" w:rsidRPr="008A3778">
        <w:rPr>
          <w:rFonts w:ascii="Helvetica" w:eastAsia="HGMaruGothicMPRO" w:hAnsi="Helvetica" w:cs="Helvetica"/>
          <w:lang w:val="en-GB"/>
        </w:rPr>
        <w:t xml:space="preserve">(the third to </w:t>
      </w:r>
      <w:r>
        <w:rPr>
          <w:rFonts w:ascii="Helvetica" w:eastAsia="HGMaruGothicMPRO" w:hAnsi="Helvetica" w:cs="Helvetica"/>
          <w:lang w:val="en-GB"/>
        </w:rPr>
        <w:t>seventh</w:t>
      </w:r>
      <w:r w:rsidR="005A1873" w:rsidRPr="008A3778">
        <w:rPr>
          <w:rFonts w:ascii="Helvetica" w:eastAsia="HGMaruGothicMPRO" w:hAnsi="Helvetica" w:cs="Helvetica"/>
          <w:lang w:val="en-GB"/>
        </w:rPr>
        <w:t xml:space="preserve"> respondents),</w:t>
      </w:r>
      <w:r>
        <w:rPr>
          <w:rFonts w:ascii="Helvetica" w:eastAsia="HGMaruGothicMPRO" w:hAnsi="Helvetica" w:cs="Helvetica"/>
          <w:lang w:val="en-GB"/>
        </w:rPr>
        <w:t xml:space="preserve"> the Adjudicator (as the eighth respondent)</w:t>
      </w:r>
      <w:r w:rsidR="005A1873" w:rsidRPr="008A3778">
        <w:rPr>
          <w:rFonts w:ascii="Helvetica" w:eastAsia="HGMaruGothicMPRO" w:hAnsi="Helvetica" w:cs="Helvetica"/>
          <w:lang w:val="en-GB"/>
        </w:rPr>
        <w:t xml:space="preserve"> </w:t>
      </w:r>
      <w:r w:rsidR="00B7552B" w:rsidRPr="008A3778">
        <w:rPr>
          <w:rFonts w:ascii="Helvetica" w:eastAsia="HGMaruGothicMPRO" w:hAnsi="Helvetica" w:cs="Helvetica"/>
          <w:lang w:val="en-GB"/>
        </w:rPr>
        <w:t>and</w:t>
      </w:r>
      <w:r w:rsidR="005A1873" w:rsidRPr="008A3778">
        <w:rPr>
          <w:rFonts w:ascii="Helvetica" w:eastAsia="HGMaruGothicMPRO" w:hAnsi="Helvetica" w:cs="Helvetica"/>
          <w:lang w:val="en-GB"/>
        </w:rPr>
        <w:t xml:space="preserve"> </w:t>
      </w:r>
      <w:r w:rsidR="006A7863" w:rsidRPr="008A3778">
        <w:rPr>
          <w:rFonts w:ascii="Helvetica" w:eastAsia="HGMaruGothicMPRO" w:hAnsi="Helvetica" w:cs="Helvetica"/>
          <w:lang w:val="en-GB"/>
        </w:rPr>
        <w:t>the</w:t>
      </w:r>
      <w:r w:rsidR="00E0402D" w:rsidRPr="008A3778">
        <w:rPr>
          <w:rFonts w:ascii="Helvetica" w:eastAsia="HGMaruGothicMPRO" w:hAnsi="Helvetica" w:cs="Helvetica"/>
          <w:lang w:val="en-GB"/>
        </w:rPr>
        <w:t xml:space="preserve"> </w:t>
      </w:r>
      <w:r w:rsidR="004C497E" w:rsidRPr="008A3778">
        <w:rPr>
          <w:rFonts w:ascii="Helvetica" w:eastAsia="HGMaruGothicMPRO" w:hAnsi="Helvetica" w:cs="Helvetica"/>
          <w:lang w:val="en-GB"/>
        </w:rPr>
        <w:t>John &amp; Johnson</w:t>
      </w:r>
      <w:r w:rsidR="00E0402D" w:rsidRPr="008A3778">
        <w:rPr>
          <w:rFonts w:ascii="Helvetica" w:eastAsia="HGMaruGothicMPRO" w:hAnsi="Helvetica" w:cs="Helvetica"/>
          <w:lang w:val="en-GB"/>
        </w:rPr>
        <w:t xml:space="preserve"> </w:t>
      </w:r>
      <w:r w:rsidR="004C497E" w:rsidRPr="008A3778">
        <w:rPr>
          <w:rFonts w:ascii="Helvetica" w:eastAsia="HGMaruGothicMPRO" w:hAnsi="Helvetica" w:cs="Helvetica"/>
          <w:lang w:val="en-GB"/>
        </w:rPr>
        <w:t>P</w:t>
      </w:r>
      <w:r w:rsidR="00E0402D" w:rsidRPr="008A3778">
        <w:rPr>
          <w:rFonts w:ascii="Helvetica" w:eastAsia="HGMaruGothicMPRO" w:hAnsi="Helvetica" w:cs="Helvetica"/>
          <w:lang w:val="en-GB"/>
        </w:rPr>
        <w:t xml:space="preserve">rovident </w:t>
      </w:r>
      <w:r w:rsidR="004C497E" w:rsidRPr="008A3778">
        <w:rPr>
          <w:rFonts w:ascii="Helvetica" w:eastAsia="HGMaruGothicMPRO" w:hAnsi="Helvetica" w:cs="Helvetica"/>
          <w:lang w:val="en-GB"/>
        </w:rPr>
        <w:t>F</w:t>
      </w:r>
      <w:r w:rsidR="00E0402D" w:rsidRPr="008A3778">
        <w:rPr>
          <w:rFonts w:ascii="Helvetica" w:eastAsia="HGMaruGothicMPRO" w:hAnsi="Helvetica" w:cs="Helvetica"/>
          <w:lang w:val="en-GB"/>
        </w:rPr>
        <w:t xml:space="preserve">und </w:t>
      </w:r>
      <w:r w:rsidR="00B7552B" w:rsidRPr="008A3778">
        <w:rPr>
          <w:rFonts w:ascii="Helvetica" w:eastAsia="HGMaruGothicMPRO" w:hAnsi="Helvetica" w:cs="Helvetica"/>
          <w:lang w:val="en-GB"/>
        </w:rPr>
        <w:t>(</w:t>
      </w:r>
      <w:r w:rsidR="00364509" w:rsidRPr="008A3778">
        <w:rPr>
          <w:rFonts w:ascii="Helvetica" w:eastAsia="HGMaruGothicMPRO" w:hAnsi="Helvetica" w:cs="Helvetica"/>
          <w:lang w:val="en-GB"/>
        </w:rPr>
        <w:t xml:space="preserve">as </w:t>
      </w:r>
      <w:r w:rsidR="001301E0" w:rsidRPr="008A3778">
        <w:rPr>
          <w:rFonts w:ascii="Helvetica" w:eastAsia="HGMaruGothicMPRO" w:hAnsi="Helvetica" w:cs="Helvetica"/>
          <w:lang w:val="en-GB"/>
        </w:rPr>
        <w:t>ninth</w:t>
      </w:r>
      <w:r w:rsidR="00364509" w:rsidRPr="008A3778">
        <w:rPr>
          <w:rFonts w:ascii="Helvetica" w:eastAsia="HGMaruGothicMPRO" w:hAnsi="Helvetica" w:cs="Helvetica"/>
          <w:lang w:val="en-GB"/>
        </w:rPr>
        <w:t xml:space="preserve"> respondent)</w:t>
      </w:r>
      <w:r w:rsidR="006A7863" w:rsidRPr="008A3778">
        <w:rPr>
          <w:rFonts w:ascii="Helvetica" w:eastAsia="HGMaruGothicMPRO" w:hAnsi="Helvetica" w:cs="Helvetica"/>
          <w:lang w:val="en-GB"/>
        </w:rPr>
        <w:t xml:space="preserve">. </w:t>
      </w:r>
    </w:p>
    <w:p w14:paraId="44E825B2" w14:textId="1F35ABDC" w:rsidR="00A67084" w:rsidRPr="008A3778" w:rsidRDefault="005A1873" w:rsidP="006D5807">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These </w:t>
      </w:r>
      <w:r w:rsidR="00EB2B2E" w:rsidRPr="008A3778">
        <w:rPr>
          <w:rFonts w:ascii="Helvetica" w:eastAsia="HGMaruGothicMPRO" w:hAnsi="Helvetica" w:cs="Helvetica"/>
          <w:lang w:val="en-GB"/>
        </w:rPr>
        <w:t>r</w:t>
      </w:r>
      <w:r w:rsidRPr="008A3778">
        <w:rPr>
          <w:rFonts w:ascii="Helvetica" w:eastAsia="HGMaruGothicMPRO" w:hAnsi="Helvetica" w:cs="Helvetica"/>
          <w:lang w:val="en-GB"/>
        </w:rPr>
        <w:t>espondents were joined in two tranches</w:t>
      </w:r>
      <w:r w:rsidR="00A67084" w:rsidRPr="008A3778">
        <w:rPr>
          <w:rFonts w:ascii="Helvetica" w:eastAsia="HGMaruGothicMPRO" w:hAnsi="Helvetica" w:cs="Helvetica"/>
          <w:lang w:val="en-GB"/>
        </w:rPr>
        <w:t xml:space="preserve"> (</w:t>
      </w:r>
      <w:r w:rsidR="00EC55A5" w:rsidRPr="008A3778">
        <w:rPr>
          <w:rFonts w:ascii="Helvetica" w:eastAsia="HGMaruGothicMPRO" w:hAnsi="Helvetica" w:cs="Helvetica"/>
          <w:lang w:val="en-GB"/>
        </w:rPr>
        <w:t>the second of which is dealt with separately below)</w:t>
      </w:r>
      <w:r w:rsidRPr="008A3778">
        <w:rPr>
          <w:rFonts w:ascii="Helvetica" w:eastAsia="HGMaruGothicMPRO" w:hAnsi="Helvetica" w:cs="Helvetica"/>
          <w:lang w:val="en-GB"/>
        </w:rPr>
        <w:t>.</w:t>
      </w:r>
      <w:r w:rsidR="00E0402D" w:rsidRPr="008A3778">
        <w:rPr>
          <w:rFonts w:ascii="Helvetica" w:eastAsia="HGMaruGothicMPRO" w:hAnsi="Helvetica" w:cs="Helvetica"/>
          <w:lang w:val="en-GB"/>
        </w:rPr>
        <w:t xml:space="preserve"> More specifically, t</w:t>
      </w:r>
      <w:r w:rsidRPr="008A3778">
        <w:rPr>
          <w:rFonts w:ascii="Helvetica" w:eastAsia="HGMaruGothicMPRO" w:hAnsi="Helvetica" w:cs="Helvetica"/>
          <w:lang w:val="en-GB"/>
        </w:rPr>
        <w:t>he third to eighth respondents</w:t>
      </w:r>
      <w:r w:rsidR="002B7EEE" w:rsidRPr="008A3778">
        <w:rPr>
          <w:rFonts w:ascii="Helvetica" w:eastAsia="HGMaruGothicMPRO" w:hAnsi="Helvetica" w:cs="Helvetica"/>
          <w:lang w:val="en-GB"/>
        </w:rPr>
        <w:t xml:space="preserve"> </w:t>
      </w:r>
      <w:r w:rsidR="006A7863" w:rsidRPr="008A3778">
        <w:rPr>
          <w:rFonts w:ascii="Helvetica" w:eastAsia="HGMaruGothicMPRO" w:hAnsi="Helvetica" w:cs="Helvetica"/>
          <w:lang w:val="en-GB"/>
        </w:rPr>
        <w:t xml:space="preserve">were joined </w:t>
      </w:r>
      <w:r w:rsidR="00E270EC" w:rsidRPr="008A3778">
        <w:rPr>
          <w:rFonts w:ascii="Helvetica" w:eastAsia="HGMaruGothicMPRO" w:hAnsi="Helvetica" w:cs="Helvetica"/>
          <w:lang w:val="en-GB"/>
        </w:rPr>
        <w:t xml:space="preserve">during </w:t>
      </w:r>
      <w:r w:rsidR="00EB2B2E" w:rsidRPr="008A3778">
        <w:rPr>
          <w:rFonts w:ascii="Helvetica" w:eastAsia="HGMaruGothicMPRO" w:hAnsi="Helvetica" w:cs="Helvetica"/>
          <w:lang w:val="en-GB"/>
        </w:rPr>
        <w:t xml:space="preserve">June </w:t>
      </w:r>
      <w:r w:rsidR="00E270EC" w:rsidRPr="008A3778">
        <w:rPr>
          <w:rFonts w:ascii="Helvetica" w:eastAsia="HGMaruGothicMPRO" w:hAnsi="Helvetica" w:cs="Helvetica"/>
          <w:lang w:val="en-GB"/>
        </w:rPr>
        <w:t>2016</w:t>
      </w:r>
      <w:r w:rsidR="00EB2B2E" w:rsidRPr="008A3778">
        <w:rPr>
          <w:rFonts w:ascii="Helvetica" w:eastAsia="HGMaruGothicMPRO" w:hAnsi="Helvetica" w:cs="Helvetica"/>
          <w:lang w:val="en-GB"/>
        </w:rPr>
        <w:t xml:space="preserve"> in terms of an order granted by Coetzee AJ.</w:t>
      </w:r>
      <w:r w:rsidR="00E270EC" w:rsidRPr="008A3778">
        <w:rPr>
          <w:rFonts w:ascii="Helvetica" w:eastAsia="HGMaruGothicMPRO" w:hAnsi="Helvetica" w:cs="Helvetica"/>
          <w:lang w:val="en-GB"/>
        </w:rPr>
        <w:t xml:space="preserve"> </w:t>
      </w:r>
      <w:r w:rsidR="00EB2B2E" w:rsidRPr="008A3778">
        <w:rPr>
          <w:rFonts w:ascii="Helvetica" w:eastAsia="HGMaruGothicMPRO" w:hAnsi="Helvetica" w:cs="Helvetica"/>
          <w:lang w:val="en-GB"/>
        </w:rPr>
        <w:t>The third to fifth respondents</w:t>
      </w:r>
      <w:r w:rsidR="002A0A4D" w:rsidRPr="008A3778">
        <w:rPr>
          <w:rFonts w:ascii="Helvetica" w:eastAsia="HGMaruGothicMPRO" w:hAnsi="Helvetica" w:cs="Helvetica"/>
          <w:lang w:val="en-GB"/>
        </w:rPr>
        <w:t>,</w:t>
      </w:r>
      <w:r w:rsidR="00EB2B2E" w:rsidRPr="008A3778">
        <w:rPr>
          <w:rFonts w:ascii="Helvetica" w:eastAsia="HGMaruGothicMPRO" w:hAnsi="Helvetica" w:cs="Helvetica"/>
          <w:lang w:val="en-GB"/>
        </w:rPr>
        <w:t xml:space="preserve"> </w:t>
      </w:r>
      <w:r w:rsidR="00D46198" w:rsidRPr="008A3778">
        <w:rPr>
          <w:rFonts w:ascii="Helvetica" w:eastAsia="HGMaruGothicMPRO" w:hAnsi="Helvetica" w:cs="Helvetica"/>
          <w:lang w:val="en-GB"/>
        </w:rPr>
        <w:t xml:space="preserve">thereafter </w:t>
      </w:r>
      <w:r w:rsidR="002A0A4D" w:rsidRPr="008A3778">
        <w:rPr>
          <w:rFonts w:ascii="Helvetica" w:eastAsia="HGMaruGothicMPRO" w:hAnsi="Helvetica" w:cs="Helvetica"/>
          <w:lang w:val="en-GB"/>
        </w:rPr>
        <w:t xml:space="preserve">and during September 2016, </w:t>
      </w:r>
      <w:r w:rsidR="00D46198" w:rsidRPr="008A3778">
        <w:rPr>
          <w:rFonts w:ascii="Helvetica" w:eastAsia="HGMaruGothicMPRO" w:hAnsi="Helvetica" w:cs="Helvetica"/>
          <w:lang w:val="en-GB"/>
        </w:rPr>
        <w:t xml:space="preserve">delivered their </w:t>
      </w:r>
      <w:r w:rsidR="00EB2B2E" w:rsidRPr="008A3778">
        <w:rPr>
          <w:rFonts w:ascii="Helvetica" w:eastAsia="HGMaruGothicMPRO" w:hAnsi="Helvetica" w:cs="Helvetica"/>
          <w:lang w:val="en-GB"/>
        </w:rPr>
        <w:t xml:space="preserve">answering affidavit.  </w:t>
      </w:r>
    </w:p>
    <w:p w14:paraId="77BC4849" w14:textId="2924B2E0" w:rsidR="00EC55A5" w:rsidRPr="008A3778" w:rsidRDefault="00EC55A5"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Presumably frustrated by the appellants</w:t>
      </w:r>
      <w:r w:rsidR="004B69B4">
        <w:rPr>
          <w:rFonts w:ascii="Helvetica" w:eastAsia="HGMaruGothicMPRO" w:hAnsi="Helvetica" w:cs="Helvetica"/>
          <w:lang w:val="en-GB"/>
        </w:rPr>
        <w:t>’</w:t>
      </w:r>
      <w:r w:rsidRPr="008A3778">
        <w:rPr>
          <w:rFonts w:ascii="Helvetica" w:eastAsia="HGMaruGothicMPRO" w:hAnsi="Helvetica" w:cs="Helvetica"/>
          <w:lang w:val="en-GB"/>
        </w:rPr>
        <w:t xml:space="preserve"> failure to prosecute their section 30P application</w:t>
      </w:r>
      <w:r w:rsidR="00753994" w:rsidRPr="008A3778">
        <w:rPr>
          <w:rFonts w:ascii="Helvetica" w:eastAsia="HGMaruGothicMPRO" w:hAnsi="Helvetica" w:cs="Helvetica"/>
          <w:lang w:val="en-GB"/>
        </w:rPr>
        <w:t xml:space="preserve"> </w:t>
      </w:r>
      <w:r w:rsidR="00B07EF6">
        <w:rPr>
          <w:rFonts w:ascii="Helvetica" w:eastAsia="HGMaruGothicMPRO" w:hAnsi="Helvetica" w:cs="Helvetica"/>
          <w:lang w:val="en-GB"/>
        </w:rPr>
        <w:t xml:space="preserve">– the </w:t>
      </w:r>
      <w:r w:rsidR="00753994" w:rsidRPr="008A3778">
        <w:rPr>
          <w:rFonts w:ascii="Helvetica" w:eastAsia="HGMaruGothicMPRO" w:hAnsi="Helvetica" w:cs="Helvetica"/>
          <w:lang w:val="en-GB"/>
        </w:rPr>
        <w:t xml:space="preserve">appellants had not </w:t>
      </w:r>
      <w:r w:rsidR="00C96C07" w:rsidRPr="008A3778">
        <w:rPr>
          <w:rFonts w:ascii="Helvetica" w:eastAsia="HGMaruGothicMPRO" w:hAnsi="Helvetica" w:cs="Helvetica"/>
          <w:lang w:val="en-GB"/>
        </w:rPr>
        <w:t xml:space="preserve">(yet) </w:t>
      </w:r>
      <w:r w:rsidR="00753994" w:rsidRPr="008A3778">
        <w:rPr>
          <w:rFonts w:ascii="Helvetica" w:eastAsia="HGMaruGothicMPRO" w:hAnsi="Helvetica" w:cs="Helvetica"/>
          <w:lang w:val="en-GB"/>
        </w:rPr>
        <w:t xml:space="preserve">filed a replying affidavit to the supplementary answering affidavit filed during September 2016 </w:t>
      </w:r>
      <w:r w:rsidR="00B07EF6">
        <w:rPr>
          <w:rFonts w:ascii="Helvetica" w:eastAsia="HGMaruGothicMPRO" w:hAnsi="Helvetica" w:cs="Helvetica"/>
          <w:lang w:val="en-GB"/>
        </w:rPr>
        <w:t>–</w:t>
      </w:r>
      <w:r w:rsidR="00753994" w:rsidRPr="008A3778">
        <w:rPr>
          <w:rFonts w:ascii="Helvetica" w:eastAsia="HGMaruGothicMPRO" w:hAnsi="Helvetica" w:cs="Helvetica"/>
          <w:lang w:val="en-GB"/>
        </w:rPr>
        <w:t xml:space="preserve"> </w:t>
      </w:r>
      <w:r w:rsidRPr="008A3778">
        <w:rPr>
          <w:rFonts w:ascii="Helvetica" w:eastAsia="HGMaruGothicMPRO" w:hAnsi="Helvetica" w:cs="Helvetica"/>
          <w:lang w:val="en-GB"/>
        </w:rPr>
        <w:t>the</w:t>
      </w:r>
      <w:r w:rsidR="00B07EF6">
        <w:rPr>
          <w:rFonts w:ascii="Helvetica" w:eastAsia="HGMaruGothicMPRO" w:hAnsi="Helvetica" w:cs="Helvetica"/>
          <w:lang w:val="en-GB"/>
        </w:rPr>
        <w:t xml:space="preserve"> </w:t>
      </w:r>
      <w:r w:rsidRPr="008A3778">
        <w:rPr>
          <w:rFonts w:ascii="Helvetica" w:eastAsia="HGMaruGothicMPRO" w:hAnsi="Helvetica" w:cs="Helvetica"/>
          <w:lang w:val="en-GB"/>
        </w:rPr>
        <w:t xml:space="preserve">first and second respondents set the </w:t>
      </w:r>
      <w:r w:rsidR="00753994" w:rsidRPr="008A3778">
        <w:rPr>
          <w:rFonts w:ascii="Helvetica" w:eastAsia="HGMaruGothicMPRO" w:hAnsi="Helvetica" w:cs="Helvetica"/>
          <w:lang w:val="en-GB"/>
        </w:rPr>
        <w:t xml:space="preserve">section 30P </w:t>
      </w:r>
      <w:r w:rsidRPr="008A3778">
        <w:rPr>
          <w:rFonts w:ascii="Helvetica" w:eastAsia="HGMaruGothicMPRO" w:hAnsi="Helvetica" w:cs="Helvetica"/>
          <w:lang w:val="en-GB"/>
        </w:rPr>
        <w:t xml:space="preserve">application down for hearing on 4 September 2017. </w:t>
      </w:r>
      <w:r w:rsidR="00753994" w:rsidRPr="008A3778">
        <w:rPr>
          <w:rFonts w:ascii="Helvetica" w:eastAsia="HGMaruGothicMPRO" w:hAnsi="Helvetica" w:cs="Helvetica"/>
          <w:lang w:val="en-GB"/>
        </w:rPr>
        <w:t xml:space="preserve">Still no replying affidavit was </w:t>
      </w:r>
      <w:r w:rsidR="001301E0" w:rsidRPr="008A3778">
        <w:rPr>
          <w:rFonts w:ascii="Helvetica" w:eastAsia="HGMaruGothicMPRO" w:hAnsi="Helvetica" w:cs="Helvetica"/>
          <w:lang w:val="en-GB"/>
        </w:rPr>
        <w:t xml:space="preserve">forthcoming. </w:t>
      </w:r>
    </w:p>
    <w:p w14:paraId="25EEEA28" w14:textId="21D22019" w:rsidR="00F31ACC" w:rsidRPr="008A3778" w:rsidRDefault="00F4777B"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All that </w:t>
      </w:r>
      <w:r w:rsidR="006C684B">
        <w:rPr>
          <w:rFonts w:ascii="Helvetica" w:eastAsia="HGMaruGothicMPRO" w:hAnsi="Helvetica" w:cs="Helvetica"/>
          <w:lang w:val="en-GB"/>
        </w:rPr>
        <w:t xml:space="preserve">appears to have </w:t>
      </w:r>
      <w:r w:rsidRPr="008A3778">
        <w:rPr>
          <w:rFonts w:ascii="Helvetica" w:eastAsia="HGMaruGothicMPRO" w:hAnsi="Helvetica" w:cs="Helvetica"/>
          <w:lang w:val="en-GB"/>
        </w:rPr>
        <w:t xml:space="preserve">occurred of any moment in the </w:t>
      </w:r>
      <w:r w:rsidR="00243A50" w:rsidRPr="008A3778">
        <w:rPr>
          <w:rFonts w:ascii="Helvetica" w:eastAsia="HGMaruGothicMPRO" w:hAnsi="Helvetica" w:cs="Helvetica"/>
          <w:lang w:val="en-GB"/>
        </w:rPr>
        <w:t>prosecution of the application on 4</w:t>
      </w:r>
      <w:r w:rsidR="002A0A4D" w:rsidRPr="008A3778">
        <w:rPr>
          <w:rFonts w:ascii="Helvetica" w:eastAsia="HGMaruGothicMPRO" w:hAnsi="Helvetica" w:cs="Helvetica"/>
          <w:lang w:val="en-GB"/>
        </w:rPr>
        <w:t> </w:t>
      </w:r>
      <w:r w:rsidR="00610A2D" w:rsidRPr="008A3778">
        <w:rPr>
          <w:rFonts w:ascii="Helvetica" w:eastAsia="HGMaruGothicMPRO" w:hAnsi="Helvetica" w:cs="Helvetica"/>
          <w:lang w:val="en-GB"/>
        </w:rPr>
        <w:t>September 2017</w:t>
      </w:r>
      <w:r w:rsidR="00243A50" w:rsidRPr="008A3778">
        <w:rPr>
          <w:rFonts w:ascii="Helvetica" w:eastAsia="HGMaruGothicMPRO" w:hAnsi="Helvetica" w:cs="Helvetica"/>
          <w:lang w:val="en-GB"/>
        </w:rPr>
        <w:t xml:space="preserve"> </w:t>
      </w:r>
      <w:r w:rsidR="006C684B">
        <w:rPr>
          <w:rFonts w:ascii="Helvetica" w:eastAsia="HGMaruGothicMPRO" w:hAnsi="Helvetica" w:cs="Helvetica"/>
          <w:lang w:val="en-GB"/>
        </w:rPr>
        <w:t>i</w:t>
      </w:r>
      <w:r w:rsidR="00243A50" w:rsidRPr="008A3778">
        <w:rPr>
          <w:rFonts w:ascii="Helvetica" w:eastAsia="HGMaruGothicMPRO" w:hAnsi="Helvetica" w:cs="Helvetica"/>
          <w:lang w:val="en-GB"/>
        </w:rPr>
        <w:t xml:space="preserve">s the High Court </w:t>
      </w:r>
      <w:r w:rsidR="001B0541" w:rsidRPr="008A3778">
        <w:rPr>
          <w:rFonts w:ascii="Helvetica" w:eastAsia="HGMaruGothicMPRO" w:hAnsi="Helvetica" w:cs="Helvetica"/>
          <w:i/>
          <w:iCs/>
          <w:lang w:val="en-GB"/>
        </w:rPr>
        <w:t>mero muto</w:t>
      </w:r>
      <w:r w:rsidR="001B0541" w:rsidRPr="008A3778">
        <w:rPr>
          <w:rFonts w:ascii="Helvetica" w:eastAsia="HGMaruGothicMPRO" w:hAnsi="Helvetica" w:cs="Helvetica"/>
          <w:lang w:val="en-GB"/>
        </w:rPr>
        <w:t xml:space="preserve"> </w:t>
      </w:r>
      <w:r w:rsidR="00243A50" w:rsidRPr="008A3778">
        <w:rPr>
          <w:rFonts w:ascii="Helvetica" w:eastAsia="HGMaruGothicMPRO" w:hAnsi="Helvetica" w:cs="Helvetica"/>
          <w:lang w:val="en-GB"/>
        </w:rPr>
        <w:t>order</w:t>
      </w:r>
      <w:r w:rsidR="002B2588">
        <w:rPr>
          <w:rFonts w:ascii="Helvetica" w:eastAsia="HGMaruGothicMPRO" w:hAnsi="Helvetica" w:cs="Helvetica"/>
          <w:lang w:val="en-GB"/>
        </w:rPr>
        <w:t>ing</w:t>
      </w:r>
      <w:r w:rsidR="00243A50" w:rsidRPr="008A3778">
        <w:rPr>
          <w:rFonts w:ascii="Helvetica" w:eastAsia="HGMaruGothicMPRO" w:hAnsi="Helvetica" w:cs="Helvetica"/>
          <w:lang w:val="en-GB"/>
        </w:rPr>
        <w:t xml:space="preserve"> the</w:t>
      </w:r>
      <w:r w:rsidR="009440B7" w:rsidRPr="008A3778">
        <w:rPr>
          <w:rFonts w:ascii="Helvetica" w:eastAsia="HGMaruGothicMPRO" w:hAnsi="Helvetica" w:cs="Helvetica"/>
          <w:lang w:val="en-GB"/>
        </w:rPr>
        <w:t xml:space="preserve"> </w:t>
      </w:r>
      <w:r w:rsidR="004F4A9D" w:rsidRPr="008A3778">
        <w:rPr>
          <w:rFonts w:ascii="Helvetica" w:eastAsia="HGMaruGothicMPRO" w:hAnsi="Helvetica" w:cs="Helvetica"/>
          <w:lang w:val="en-GB"/>
        </w:rPr>
        <w:t>ninth respondent</w:t>
      </w:r>
      <w:r w:rsidR="001B0541" w:rsidRPr="008A3778">
        <w:rPr>
          <w:rFonts w:ascii="Helvetica" w:eastAsia="HGMaruGothicMPRO" w:hAnsi="Helvetica" w:cs="Helvetica"/>
          <w:lang w:val="en-GB"/>
        </w:rPr>
        <w:t>’s</w:t>
      </w:r>
      <w:r w:rsidR="009440B7" w:rsidRPr="008A3778">
        <w:rPr>
          <w:rFonts w:ascii="Helvetica" w:eastAsia="HGMaruGothicMPRO" w:hAnsi="Helvetica" w:cs="Helvetica"/>
          <w:lang w:val="en-GB"/>
        </w:rPr>
        <w:t xml:space="preserve"> joinder</w:t>
      </w:r>
      <w:r w:rsidR="004F4A9D" w:rsidRPr="008A3778">
        <w:rPr>
          <w:rFonts w:ascii="Helvetica" w:eastAsia="HGMaruGothicMPRO" w:hAnsi="Helvetica" w:cs="Helvetica"/>
          <w:lang w:val="en-GB"/>
        </w:rPr>
        <w:t>;</w:t>
      </w:r>
      <w:r w:rsidR="00050D52" w:rsidRPr="008A3778">
        <w:rPr>
          <w:rFonts w:ascii="Helvetica" w:eastAsia="HGMaruGothicMPRO" w:hAnsi="Helvetica" w:cs="Helvetica"/>
          <w:lang w:val="en-GB"/>
        </w:rPr>
        <w:t xml:space="preserve"> </w:t>
      </w:r>
      <w:r w:rsidR="001B0541" w:rsidRPr="008A3778">
        <w:rPr>
          <w:rFonts w:ascii="Helvetica" w:eastAsia="HGMaruGothicMPRO" w:hAnsi="Helvetica" w:cs="Helvetica"/>
          <w:lang w:val="en-GB"/>
        </w:rPr>
        <w:t xml:space="preserve">albeit that </w:t>
      </w:r>
      <w:r w:rsidRPr="008A3778">
        <w:rPr>
          <w:rFonts w:ascii="Helvetica" w:eastAsia="HGMaruGothicMPRO" w:hAnsi="Helvetica" w:cs="Helvetica"/>
          <w:lang w:val="en-GB"/>
        </w:rPr>
        <w:t>this</w:t>
      </w:r>
      <w:r w:rsidR="00050D52" w:rsidRPr="008A3778">
        <w:rPr>
          <w:rFonts w:ascii="Helvetica" w:eastAsia="HGMaruGothicMPRO" w:hAnsi="Helvetica" w:cs="Helvetica"/>
          <w:lang w:val="en-GB"/>
        </w:rPr>
        <w:t xml:space="preserve"> order was</w:t>
      </w:r>
      <w:r w:rsidRPr="008A3778">
        <w:rPr>
          <w:rFonts w:ascii="Helvetica" w:eastAsia="HGMaruGothicMPRO" w:hAnsi="Helvetica" w:cs="Helvetica"/>
          <w:lang w:val="en-GB"/>
        </w:rPr>
        <w:t xml:space="preserve"> handed down </w:t>
      </w:r>
      <w:r w:rsidR="00050D52" w:rsidRPr="008A3778">
        <w:rPr>
          <w:rFonts w:ascii="Helvetica" w:eastAsia="HGMaruGothicMPRO" w:hAnsi="Helvetica" w:cs="Helvetica"/>
          <w:lang w:val="en-GB"/>
        </w:rPr>
        <w:t>during March 2018</w:t>
      </w:r>
      <w:r w:rsidR="00610A2D" w:rsidRPr="008A3778">
        <w:rPr>
          <w:rFonts w:ascii="Helvetica" w:eastAsia="HGMaruGothicMPRO" w:hAnsi="Helvetica" w:cs="Helvetica"/>
          <w:lang w:val="en-GB"/>
        </w:rPr>
        <w:t>.</w:t>
      </w:r>
      <w:r w:rsidR="002B49F6" w:rsidRPr="008A3778">
        <w:rPr>
          <w:rFonts w:ascii="Helvetica" w:eastAsia="HGMaruGothicMPRO" w:hAnsi="Helvetica" w:cs="Helvetica"/>
          <w:lang w:val="en-GB"/>
        </w:rPr>
        <w:t xml:space="preserve"> </w:t>
      </w:r>
      <w:r w:rsidR="001B0541" w:rsidRPr="008A3778">
        <w:rPr>
          <w:rFonts w:ascii="Helvetica" w:eastAsia="HGMaruGothicMPRO" w:hAnsi="Helvetica" w:cs="Helvetica"/>
          <w:lang w:val="en-GB"/>
        </w:rPr>
        <w:t xml:space="preserve">Once joined, the ninth respondent filed its answering affidavit during May 2018. </w:t>
      </w:r>
    </w:p>
    <w:p w14:paraId="52679D11" w14:textId="7FEF0A32" w:rsidR="008E2196" w:rsidRPr="008A3778" w:rsidRDefault="008E2196" w:rsidP="006D5807">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appellants </w:t>
      </w:r>
      <w:r w:rsidR="00F31ACC" w:rsidRPr="008A3778">
        <w:rPr>
          <w:rFonts w:ascii="Helvetica" w:eastAsia="HGMaruGothicMPRO" w:hAnsi="Helvetica" w:cs="Helvetica"/>
          <w:lang w:val="en-GB"/>
        </w:rPr>
        <w:t xml:space="preserve">thereafter again </w:t>
      </w:r>
      <w:r w:rsidR="004A0EE6" w:rsidRPr="008A3778">
        <w:rPr>
          <w:rFonts w:ascii="Helvetica" w:eastAsia="HGMaruGothicMPRO" w:hAnsi="Helvetica" w:cs="Helvetica"/>
          <w:lang w:val="en-GB"/>
        </w:rPr>
        <w:t xml:space="preserve">tarried; </w:t>
      </w:r>
      <w:r w:rsidR="00F311AC" w:rsidRPr="008A3778">
        <w:rPr>
          <w:rFonts w:ascii="Helvetica" w:eastAsia="HGMaruGothicMPRO" w:hAnsi="Helvetica" w:cs="Helvetica"/>
          <w:lang w:val="en-GB"/>
        </w:rPr>
        <w:t>waiting until</w:t>
      </w:r>
      <w:r w:rsidR="00992A94" w:rsidRPr="008A3778">
        <w:rPr>
          <w:rFonts w:ascii="Helvetica" w:eastAsia="HGMaruGothicMPRO" w:hAnsi="Helvetica" w:cs="Helvetica"/>
          <w:lang w:val="en-GB"/>
        </w:rPr>
        <w:t xml:space="preserve"> </w:t>
      </w:r>
      <w:r w:rsidR="00F311AC" w:rsidRPr="008A3778">
        <w:rPr>
          <w:rFonts w:ascii="Helvetica" w:eastAsia="HGMaruGothicMPRO" w:hAnsi="Helvetica" w:cs="Helvetica"/>
          <w:lang w:val="en-GB"/>
        </w:rPr>
        <w:t>November 2018 to file</w:t>
      </w:r>
      <w:r w:rsidR="00992A94" w:rsidRPr="008A3778">
        <w:rPr>
          <w:rFonts w:ascii="Helvetica" w:eastAsia="HGMaruGothicMPRO" w:hAnsi="Helvetica" w:cs="Helvetica"/>
          <w:lang w:val="en-GB"/>
        </w:rPr>
        <w:t xml:space="preserve"> their replying affidavit.</w:t>
      </w:r>
      <w:r w:rsidR="00135210" w:rsidRPr="008A3778">
        <w:rPr>
          <w:rFonts w:ascii="Helvetica" w:eastAsia="HGMaruGothicMPRO" w:hAnsi="Helvetica" w:cs="Helvetica"/>
          <w:lang w:val="en-GB"/>
        </w:rPr>
        <w:t xml:space="preserve"> When </w:t>
      </w:r>
      <w:r w:rsidR="002B2588">
        <w:rPr>
          <w:rFonts w:ascii="Helvetica" w:eastAsia="HGMaruGothicMPRO" w:hAnsi="Helvetica" w:cs="Helvetica"/>
          <w:lang w:val="en-GB"/>
        </w:rPr>
        <w:t xml:space="preserve">eventually </w:t>
      </w:r>
      <w:r w:rsidR="00135210" w:rsidRPr="008A3778">
        <w:rPr>
          <w:rFonts w:ascii="Helvetica" w:eastAsia="HGMaruGothicMPRO" w:hAnsi="Helvetica" w:cs="Helvetica"/>
          <w:lang w:val="en-GB"/>
        </w:rPr>
        <w:t>doing so</w:t>
      </w:r>
      <w:r w:rsidR="002B49F6" w:rsidRPr="008A3778">
        <w:rPr>
          <w:rFonts w:ascii="Helvetica" w:eastAsia="HGMaruGothicMPRO" w:hAnsi="Helvetica" w:cs="Helvetica"/>
          <w:lang w:val="en-GB"/>
        </w:rPr>
        <w:t>, they</w:t>
      </w:r>
      <w:r w:rsidR="00992A94" w:rsidRPr="008A3778">
        <w:rPr>
          <w:rFonts w:ascii="Helvetica" w:eastAsia="HGMaruGothicMPRO" w:hAnsi="Helvetica" w:cs="Helvetica"/>
          <w:lang w:val="en-GB"/>
        </w:rPr>
        <w:t xml:space="preserve"> </w:t>
      </w:r>
      <w:r w:rsidR="00F439CC" w:rsidRPr="008A3778">
        <w:rPr>
          <w:rFonts w:ascii="Helvetica" w:eastAsia="HGMaruGothicMPRO" w:hAnsi="Helvetica" w:cs="Helvetica"/>
          <w:lang w:val="en-GB"/>
        </w:rPr>
        <w:t>introduced</w:t>
      </w:r>
      <w:r w:rsidR="00012ABC">
        <w:rPr>
          <w:rFonts w:ascii="Helvetica" w:eastAsia="HGMaruGothicMPRO" w:hAnsi="Helvetica" w:cs="Helvetica"/>
          <w:lang w:val="en-GB"/>
        </w:rPr>
        <w:t xml:space="preserve"> </w:t>
      </w:r>
      <w:r w:rsidR="00B07EF6">
        <w:rPr>
          <w:rFonts w:ascii="Helvetica" w:eastAsia="HGMaruGothicMPRO" w:hAnsi="Helvetica" w:cs="Helvetica"/>
          <w:lang w:val="en-GB"/>
        </w:rPr>
        <w:t>substantial</w:t>
      </w:r>
      <w:r w:rsidR="00012ABC">
        <w:rPr>
          <w:rFonts w:ascii="Helvetica" w:eastAsia="HGMaruGothicMPRO" w:hAnsi="Helvetica" w:cs="Helvetica"/>
          <w:lang w:val="en-GB"/>
        </w:rPr>
        <w:t xml:space="preserve"> </w:t>
      </w:r>
      <w:r w:rsidRPr="008A3778">
        <w:rPr>
          <w:rFonts w:ascii="Helvetica" w:eastAsia="HGMaruGothicMPRO" w:hAnsi="Helvetica" w:cs="Helvetica"/>
          <w:lang w:val="en-GB"/>
        </w:rPr>
        <w:t xml:space="preserve">new matter </w:t>
      </w:r>
      <w:r w:rsidR="002B49F6" w:rsidRPr="008A3778">
        <w:rPr>
          <w:rFonts w:ascii="Helvetica" w:eastAsia="HGMaruGothicMPRO" w:hAnsi="Helvetica" w:cs="Helvetica"/>
          <w:lang w:val="en-GB"/>
        </w:rPr>
        <w:t>into</w:t>
      </w:r>
      <w:r w:rsidRPr="008A3778">
        <w:rPr>
          <w:rFonts w:ascii="Helvetica" w:eastAsia="HGMaruGothicMPRO" w:hAnsi="Helvetica" w:cs="Helvetica"/>
          <w:lang w:val="en-GB"/>
        </w:rPr>
        <w:t xml:space="preserve"> </w:t>
      </w:r>
      <w:r w:rsidR="00135210" w:rsidRPr="008A3778">
        <w:rPr>
          <w:rFonts w:ascii="Helvetica" w:eastAsia="HGMaruGothicMPRO" w:hAnsi="Helvetica" w:cs="Helvetica"/>
          <w:lang w:val="en-GB"/>
        </w:rPr>
        <w:t>the</w:t>
      </w:r>
      <w:r w:rsidRPr="008A3778">
        <w:rPr>
          <w:rFonts w:ascii="Helvetica" w:eastAsia="HGMaruGothicMPRO" w:hAnsi="Helvetica" w:cs="Helvetica"/>
          <w:lang w:val="en-GB"/>
        </w:rPr>
        <w:t xml:space="preserve"> 30P application.</w:t>
      </w:r>
      <w:r w:rsidR="006D3C9A" w:rsidRPr="008A3778">
        <w:rPr>
          <w:rFonts w:ascii="Helvetica" w:eastAsia="HGMaruGothicMPRO" w:hAnsi="Helvetica" w:cs="Helvetica"/>
          <w:lang w:val="en-GB"/>
        </w:rPr>
        <w:t xml:space="preserve"> </w:t>
      </w:r>
      <w:r w:rsidR="00610A2D" w:rsidRPr="008A3778">
        <w:rPr>
          <w:rFonts w:ascii="Helvetica" w:eastAsia="HGMaruGothicMPRO" w:hAnsi="Helvetica" w:cs="Helvetica"/>
          <w:lang w:val="en-GB"/>
        </w:rPr>
        <w:t xml:space="preserve">Albeit not stated in such express </w:t>
      </w:r>
      <w:r w:rsidR="00BF391A" w:rsidRPr="008A3778">
        <w:rPr>
          <w:rFonts w:ascii="Helvetica" w:eastAsia="HGMaruGothicMPRO" w:hAnsi="Helvetica" w:cs="Helvetica"/>
          <w:lang w:val="en-GB"/>
        </w:rPr>
        <w:t xml:space="preserve">or clear </w:t>
      </w:r>
      <w:r w:rsidR="00610A2D" w:rsidRPr="008A3778">
        <w:rPr>
          <w:rFonts w:ascii="Helvetica" w:eastAsia="HGMaruGothicMPRO" w:hAnsi="Helvetica" w:cs="Helvetica"/>
          <w:lang w:val="en-GB"/>
        </w:rPr>
        <w:t>terms</w:t>
      </w:r>
      <w:r w:rsidR="00135210" w:rsidRPr="008A3778">
        <w:rPr>
          <w:rFonts w:ascii="Helvetica" w:eastAsia="HGMaruGothicMPRO" w:hAnsi="Helvetica" w:cs="Helvetica"/>
          <w:lang w:val="en-GB"/>
        </w:rPr>
        <w:t xml:space="preserve"> in the replying affidavit</w:t>
      </w:r>
      <w:r w:rsidR="00610A2D" w:rsidRPr="008A3778">
        <w:rPr>
          <w:rFonts w:ascii="Helvetica" w:eastAsia="HGMaruGothicMPRO" w:hAnsi="Helvetica" w:cs="Helvetica"/>
          <w:lang w:val="en-GB"/>
        </w:rPr>
        <w:t>, t</w:t>
      </w:r>
      <w:r w:rsidR="006D3C9A" w:rsidRPr="008A3778">
        <w:rPr>
          <w:rFonts w:ascii="Helvetica" w:eastAsia="HGMaruGothicMPRO" w:hAnsi="Helvetica" w:cs="Helvetica"/>
          <w:lang w:val="en-GB"/>
        </w:rPr>
        <w:t>his new matter</w:t>
      </w:r>
      <w:r w:rsidR="00135210" w:rsidRPr="008A3778">
        <w:rPr>
          <w:rFonts w:ascii="Helvetica" w:eastAsia="HGMaruGothicMPRO" w:hAnsi="Helvetica" w:cs="Helvetica"/>
          <w:lang w:val="en-GB"/>
        </w:rPr>
        <w:t xml:space="preserve"> constitute</w:t>
      </w:r>
      <w:r w:rsidR="001301E0" w:rsidRPr="008A3778">
        <w:rPr>
          <w:rFonts w:ascii="Helvetica" w:eastAsia="HGMaruGothicMPRO" w:hAnsi="Helvetica" w:cs="Helvetica"/>
          <w:lang w:val="en-GB"/>
        </w:rPr>
        <w:t>s</w:t>
      </w:r>
      <w:r w:rsidR="00135210" w:rsidRPr="008A3778">
        <w:rPr>
          <w:rFonts w:ascii="Helvetica" w:eastAsia="HGMaruGothicMPRO" w:hAnsi="Helvetica" w:cs="Helvetica"/>
          <w:lang w:val="en-GB"/>
        </w:rPr>
        <w:t xml:space="preserve"> </w:t>
      </w:r>
      <w:r w:rsidR="00BE1618" w:rsidRPr="008A3778">
        <w:rPr>
          <w:rFonts w:ascii="Helvetica" w:eastAsia="HGMaruGothicMPRO" w:hAnsi="Helvetica" w:cs="Helvetica"/>
          <w:lang w:val="en-GB"/>
        </w:rPr>
        <w:t>an unclearly articulated</w:t>
      </w:r>
      <w:r w:rsidR="00610A2D" w:rsidRPr="008A3778">
        <w:rPr>
          <w:rFonts w:ascii="Helvetica" w:eastAsia="HGMaruGothicMPRO" w:hAnsi="Helvetica" w:cs="Helvetica"/>
          <w:lang w:val="en-GB"/>
        </w:rPr>
        <w:t xml:space="preserve"> </w:t>
      </w:r>
      <w:r w:rsidR="00BE1618" w:rsidRPr="008A3778">
        <w:rPr>
          <w:rFonts w:ascii="Helvetica" w:eastAsia="HGMaruGothicMPRO" w:hAnsi="Helvetica" w:cs="Helvetica"/>
          <w:lang w:val="en-GB"/>
        </w:rPr>
        <w:t xml:space="preserve">and unparticularised </w:t>
      </w:r>
      <w:r w:rsidR="006D3C9A" w:rsidRPr="008A3778">
        <w:rPr>
          <w:rFonts w:ascii="Helvetica" w:eastAsia="HGMaruGothicMPRO" w:hAnsi="Helvetica" w:cs="Helvetica"/>
          <w:lang w:val="en-GB"/>
        </w:rPr>
        <w:t>challenge</w:t>
      </w:r>
      <w:r w:rsidR="00610A2D" w:rsidRPr="008A3778">
        <w:rPr>
          <w:rFonts w:ascii="Helvetica" w:eastAsia="HGMaruGothicMPRO" w:hAnsi="Helvetica" w:cs="Helvetica"/>
          <w:lang w:val="en-GB"/>
        </w:rPr>
        <w:t xml:space="preserve"> </w:t>
      </w:r>
      <w:r w:rsidR="006D3C9A" w:rsidRPr="008A3778">
        <w:rPr>
          <w:rFonts w:ascii="Helvetica" w:eastAsia="HGMaruGothicMPRO" w:hAnsi="Helvetica" w:cs="Helvetica"/>
          <w:lang w:val="en-GB"/>
        </w:rPr>
        <w:t>to the</w:t>
      </w:r>
      <w:r w:rsidR="00610A2D" w:rsidRPr="008A3778">
        <w:rPr>
          <w:rFonts w:ascii="Helvetica" w:eastAsia="HGMaruGothicMPRO" w:hAnsi="Helvetica" w:cs="Helvetica"/>
          <w:lang w:val="en-GB"/>
        </w:rPr>
        <w:t xml:space="preserve"> veracity and authenticity of the</w:t>
      </w:r>
      <w:r w:rsidR="002B2588">
        <w:rPr>
          <w:rFonts w:ascii="Helvetica" w:eastAsia="HGMaruGothicMPRO" w:hAnsi="Helvetica" w:cs="Helvetica"/>
          <w:lang w:val="en-GB"/>
        </w:rPr>
        <w:t xml:space="preserve"> already mentioned</w:t>
      </w:r>
      <w:r w:rsidR="00610A2D" w:rsidRPr="008A3778">
        <w:rPr>
          <w:rFonts w:ascii="Helvetica" w:eastAsia="HGMaruGothicMPRO" w:hAnsi="Helvetica" w:cs="Helvetica"/>
          <w:lang w:val="en-GB"/>
        </w:rPr>
        <w:t xml:space="preserve"> authorisation form signed by </w:t>
      </w:r>
      <w:r w:rsidR="003C7641" w:rsidRPr="008A3778">
        <w:rPr>
          <w:rFonts w:ascii="Helvetica" w:eastAsia="HGMaruGothicMPRO" w:hAnsi="Helvetica" w:cs="Helvetica"/>
          <w:lang w:val="en-GB"/>
        </w:rPr>
        <w:t>Mr.</w:t>
      </w:r>
      <w:r w:rsidR="00EE4912" w:rsidRPr="008A3778">
        <w:rPr>
          <w:rFonts w:ascii="Helvetica" w:eastAsia="HGMaruGothicMPRO" w:hAnsi="Helvetica" w:cs="Helvetica"/>
          <w:lang w:val="en-GB"/>
        </w:rPr>
        <w:t xml:space="preserve"> Collatz. </w:t>
      </w:r>
    </w:p>
    <w:p w14:paraId="32B75FB0" w14:textId="1CE120B6" w:rsidR="00F439CC" w:rsidRPr="008A3778" w:rsidRDefault="00BE1618"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In due course</w:t>
      </w:r>
      <w:r w:rsidR="008D685C" w:rsidRPr="008A3778">
        <w:rPr>
          <w:rFonts w:ascii="Helvetica" w:eastAsia="HGMaruGothicMPRO" w:hAnsi="Helvetica" w:cs="Helvetica"/>
          <w:lang w:val="en-GB"/>
        </w:rPr>
        <w:t>,</w:t>
      </w:r>
      <w:r w:rsidRPr="008A3778">
        <w:rPr>
          <w:rFonts w:ascii="Helvetica" w:eastAsia="HGMaruGothicMPRO" w:hAnsi="Helvetica" w:cs="Helvetica"/>
          <w:lang w:val="en-GB"/>
        </w:rPr>
        <w:t xml:space="preserve"> and un</w:t>
      </w:r>
      <w:r w:rsidR="009C7C1F" w:rsidRPr="008A3778">
        <w:rPr>
          <w:rFonts w:ascii="Helvetica" w:eastAsia="HGMaruGothicMPRO" w:hAnsi="Helvetica" w:cs="Helvetica"/>
          <w:lang w:val="en-GB"/>
        </w:rPr>
        <w:t xml:space="preserve">surprisingly </w:t>
      </w:r>
      <w:r w:rsidR="00356FE1" w:rsidRPr="008A3778">
        <w:rPr>
          <w:rFonts w:ascii="Helvetica" w:eastAsia="HGMaruGothicMPRO" w:hAnsi="Helvetica" w:cs="Helvetica"/>
          <w:lang w:val="en-GB"/>
        </w:rPr>
        <w:t xml:space="preserve">labelled </w:t>
      </w:r>
      <w:r w:rsidR="00F076CC" w:rsidRPr="008A3778">
        <w:rPr>
          <w:rFonts w:ascii="Helvetica" w:eastAsia="HGMaruGothicMPRO" w:hAnsi="Helvetica" w:cs="Helvetica"/>
          <w:lang w:val="en-GB"/>
        </w:rPr>
        <w:t xml:space="preserve">by the High Court </w:t>
      </w:r>
      <w:r w:rsidR="00356FE1" w:rsidRPr="008A3778">
        <w:rPr>
          <w:rFonts w:ascii="Helvetica" w:eastAsia="HGMaruGothicMPRO" w:hAnsi="Helvetica" w:cs="Helvetica"/>
          <w:lang w:val="en-GB"/>
        </w:rPr>
        <w:t>as a “</w:t>
      </w:r>
      <w:r w:rsidR="00356FE1" w:rsidRPr="008A3778">
        <w:rPr>
          <w:rFonts w:ascii="Helvetica" w:eastAsia="HGMaruGothicMPRO" w:hAnsi="Helvetica" w:cs="Helvetica"/>
          <w:i/>
          <w:iCs/>
          <w:lang w:val="en-GB"/>
        </w:rPr>
        <w:t>breathtaking development</w:t>
      </w:r>
      <w:r w:rsidR="002366C0" w:rsidRPr="008A3778">
        <w:rPr>
          <w:rFonts w:ascii="Helvetica" w:eastAsia="HGMaruGothicMPRO" w:hAnsi="Helvetica" w:cs="Helvetica"/>
          <w:lang w:val="en-GB"/>
        </w:rPr>
        <w:t>”</w:t>
      </w:r>
      <w:r w:rsidR="009F233E" w:rsidRPr="008A3778">
        <w:rPr>
          <w:rFonts w:ascii="Helvetica" w:eastAsia="HGMaruGothicMPRO" w:hAnsi="Helvetica" w:cs="Helvetica"/>
          <w:lang w:val="en-GB"/>
        </w:rPr>
        <w:t xml:space="preserve"> in </w:t>
      </w:r>
      <w:r w:rsidR="00F076CC" w:rsidRPr="008A3778">
        <w:rPr>
          <w:rFonts w:ascii="Helvetica" w:eastAsia="HGMaruGothicMPRO" w:hAnsi="Helvetica" w:cs="Helvetica"/>
          <w:lang w:val="en-GB"/>
        </w:rPr>
        <w:t xml:space="preserve">its </w:t>
      </w:r>
      <w:r w:rsidR="009F233E" w:rsidRPr="008A3778">
        <w:rPr>
          <w:rFonts w:ascii="Helvetica" w:eastAsia="HGMaruGothicMPRO" w:hAnsi="Helvetica" w:cs="Helvetica"/>
          <w:lang w:val="en-GB"/>
        </w:rPr>
        <w:t>judgement</w:t>
      </w:r>
      <w:r w:rsidR="009C7C1F" w:rsidRPr="008A3778">
        <w:rPr>
          <w:rFonts w:ascii="Helvetica" w:eastAsia="HGMaruGothicMPRO" w:hAnsi="Helvetica" w:cs="Helvetica"/>
          <w:lang w:val="en-GB"/>
        </w:rPr>
        <w:t>,</w:t>
      </w:r>
      <w:r w:rsidR="005A1873" w:rsidRPr="008A3778">
        <w:rPr>
          <w:rFonts w:ascii="Helvetica" w:eastAsia="HGMaruGothicMPRO" w:hAnsi="Helvetica" w:cs="Helvetica"/>
          <w:lang w:val="en-GB"/>
        </w:rPr>
        <w:t xml:space="preserve"> </w:t>
      </w:r>
      <w:r w:rsidR="009C7C1F" w:rsidRPr="008A3778">
        <w:rPr>
          <w:rFonts w:ascii="Helvetica" w:eastAsia="HGMaruGothicMPRO" w:hAnsi="Helvetica" w:cs="Helvetica"/>
          <w:lang w:val="en-GB"/>
        </w:rPr>
        <w:t>t</w:t>
      </w:r>
      <w:r w:rsidR="00356FE1" w:rsidRPr="008A3778">
        <w:rPr>
          <w:rFonts w:ascii="Helvetica" w:eastAsia="HGMaruGothicMPRO" w:hAnsi="Helvetica" w:cs="Helvetica"/>
          <w:lang w:val="en-GB"/>
        </w:rPr>
        <w:t>he appellants</w:t>
      </w:r>
      <w:r w:rsidR="002A0126" w:rsidRPr="008A3778">
        <w:rPr>
          <w:rFonts w:ascii="Helvetica" w:eastAsia="HGMaruGothicMPRO" w:hAnsi="Helvetica" w:cs="Helvetica"/>
          <w:lang w:val="en-GB"/>
        </w:rPr>
        <w:t xml:space="preserve">’ </w:t>
      </w:r>
      <w:r w:rsidR="00356FE1" w:rsidRPr="008A3778">
        <w:rPr>
          <w:rFonts w:ascii="Helvetica" w:eastAsia="HGMaruGothicMPRO" w:hAnsi="Helvetica" w:cs="Helvetica"/>
          <w:lang w:val="en-GB"/>
        </w:rPr>
        <w:t xml:space="preserve">counsel </w:t>
      </w:r>
      <w:r w:rsidR="00171048" w:rsidRPr="008A3778">
        <w:rPr>
          <w:rFonts w:ascii="Helvetica" w:eastAsia="HGMaruGothicMPRO" w:hAnsi="Helvetica" w:cs="Helvetica"/>
          <w:lang w:val="en-GB"/>
        </w:rPr>
        <w:t xml:space="preserve">sought </w:t>
      </w:r>
      <w:r w:rsidR="00611CF0" w:rsidRPr="008A3778">
        <w:rPr>
          <w:rFonts w:ascii="Helvetica" w:eastAsia="HGMaruGothicMPRO" w:hAnsi="Helvetica" w:cs="Helvetica"/>
          <w:lang w:val="en-GB"/>
        </w:rPr>
        <w:t xml:space="preserve">during </w:t>
      </w:r>
      <w:r w:rsidR="008D685C" w:rsidRPr="008A3778">
        <w:rPr>
          <w:rFonts w:ascii="Helvetica" w:eastAsia="HGMaruGothicMPRO" w:hAnsi="Helvetica" w:cs="Helvetica"/>
          <w:lang w:val="en-GB"/>
        </w:rPr>
        <w:t xml:space="preserve">argument </w:t>
      </w:r>
      <w:r w:rsidR="00611CF0" w:rsidRPr="008A3778">
        <w:rPr>
          <w:rFonts w:ascii="Helvetica" w:eastAsia="HGMaruGothicMPRO" w:hAnsi="Helvetica" w:cs="Helvetica"/>
          <w:lang w:val="en-GB"/>
        </w:rPr>
        <w:lastRenderedPageBreak/>
        <w:t xml:space="preserve">to refer </w:t>
      </w:r>
      <w:r w:rsidR="001301E0" w:rsidRPr="008A3778">
        <w:rPr>
          <w:rFonts w:ascii="Helvetica" w:eastAsia="HGMaruGothicMPRO" w:hAnsi="Helvetica" w:cs="Helvetica"/>
          <w:lang w:val="en-GB"/>
        </w:rPr>
        <w:t>to</w:t>
      </w:r>
      <w:r w:rsidR="00611CF0" w:rsidRPr="008A3778">
        <w:rPr>
          <w:rFonts w:ascii="Helvetica" w:eastAsia="HGMaruGothicMPRO" w:hAnsi="Helvetica" w:cs="Helvetica"/>
          <w:lang w:val="en-GB"/>
        </w:rPr>
        <w:t xml:space="preserve"> </w:t>
      </w:r>
      <w:r w:rsidR="00171048" w:rsidRPr="008A3778">
        <w:rPr>
          <w:rFonts w:ascii="Helvetica" w:eastAsia="HGMaruGothicMPRO" w:hAnsi="Helvetica" w:cs="Helvetica"/>
          <w:lang w:val="en-GB"/>
        </w:rPr>
        <w:t>a previously undisclosed 2017 report of a handwriting expert</w:t>
      </w:r>
      <w:r w:rsidR="002A0126" w:rsidRPr="008A3778">
        <w:rPr>
          <w:rFonts w:ascii="Helvetica" w:eastAsia="HGMaruGothicMPRO" w:hAnsi="Helvetica" w:cs="Helvetica"/>
          <w:lang w:val="en-GB"/>
        </w:rPr>
        <w:t xml:space="preserve"> </w:t>
      </w:r>
      <w:r w:rsidR="00611CF0" w:rsidRPr="008A3778">
        <w:rPr>
          <w:rFonts w:ascii="Helvetica" w:eastAsia="HGMaruGothicMPRO" w:hAnsi="Helvetica" w:cs="Helvetica"/>
          <w:lang w:val="en-GB"/>
        </w:rPr>
        <w:t>dealing with the</w:t>
      </w:r>
      <w:r w:rsidR="004D3C7D" w:rsidRPr="008A3778">
        <w:rPr>
          <w:rFonts w:ascii="Helvetica" w:eastAsia="HGMaruGothicMPRO" w:hAnsi="Helvetica" w:cs="Helvetica"/>
          <w:lang w:val="en-GB"/>
        </w:rPr>
        <w:t xml:space="preserve"> authorisation form</w:t>
      </w:r>
      <w:r w:rsidR="002A0126" w:rsidRPr="008A3778">
        <w:rPr>
          <w:rFonts w:ascii="Helvetica" w:eastAsia="HGMaruGothicMPRO" w:hAnsi="Helvetica" w:cs="Helvetica"/>
          <w:lang w:val="en-GB"/>
        </w:rPr>
        <w:t>.</w:t>
      </w:r>
      <w:r w:rsidR="009C7C1F" w:rsidRPr="008A3778">
        <w:rPr>
          <w:rFonts w:ascii="Helvetica" w:eastAsia="HGMaruGothicMPRO" w:hAnsi="Helvetica" w:cs="Helvetica"/>
          <w:lang w:val="en-GB"/>
        </w:rPr>
        <w:t xml:space="preserve"> </w:t>
      </w:r>
      <w:r w:rsidR="00D91928" w:rsidRPr="008A3778">
        <w:rPr>
          <w:rFonts w:ascii="Helvetica" w:eastAsia="HGMaruGothicMPRO" w:hAnsi="Helvetica" w:cs="Helvetica"/>
          <w:lang w:val="en-GB"/>
        </w:rPr>
        <w:t xml:space="preserve">The </w:t>
      </w:r>
      <w:r w:rsidR="005A1873" w:rsidRPr="008A3778">
        <w:rPr>
          <w:rFonts w:ascii="Helvetica" w:eastAsia="HGMaruGothicMPRO" w:hAnsi="Helvetica" w:cs="Helvetica"/>
          <w:lang w:val="en-GB"/>
        </w:rPr>
        <w:t>Hi</w:t>
      </w:r>
      <w:r w:rsidR="00D91928" w:rsidRPr="008A3778">
        <w:rPr>
          <w:rFonts w:ascii="Helvetica" w:eastAsia="HGMaruGothicMPRO" w:hAnsi="Helvetica" w:cs="Helvetica"/>
          <w:lang w:val="en-GB"/>
        </w:rPr>
        <w:t>gh Court</w:t>
      </w:r>
      <w:r w:rsidR="004D3C7D" w:rsidRPr="008A3778">
        <w:rPr>
          <w:rFonts w:ascii="Helvetica" w:eastAsia="HGMaruGothicMPRO" w:hAnsi="Helvetica" w:cs="Helvetica"/>
          <w:lang w:val="en-GB"/>
        </w:rPr>
        <w:t>, pursuant to the respondent’s objections,</w:t>
      </w:r>
      <w:r w:rsidR="00F076CC" w:rsidRPr="008A3778">
        <w:rPr>
          <w:rFonts w:ascii="Helvetica" w:eastAsia="HGMaruGothicMPRO" w:hAnsi="Helvetica" w:cs="Helvetica"/>
          <w:lang w:val="en-GB"/>
        </w:rPr>
        <w:t xml:space="preserve"> refused the late introduction of </w:t>
      </w:r>
      <w:r w:rsidR="00D91928" w:rsidRPr="008A3778">
        <w:rPr>
          <w:rFonts w:ascii="Helvetica" w:eastAsia="HGMaruGothicMPRO" w:hAnsi="Helvetica" w:cs="Helvetica"/>
          <w:lang w:val="en-GB"/>
        </w:rPr>
        <w:t xml:space="preserve">the </w:t>
      </w:r>
      <w:r w:rsidR="00F076CC" w:rsidRPr="008A3778">
        <w:rPr>
          <w:rFonts w:ascii="Helvetica" w:eastAsia="HGMaruGothicMPRO" w:hAnsi="Helvetica" w:cs="Helvetica"/>
          <w:lang w:val="en-GB"/>
        </w:rPr>
        <w:t xml:space="preserve">expert </w:t>
      </w:r>
      <w:r w:rsidR="00D91928" w:rsidRPr="008A3778">
        <w:rPr>
          <w:rFonts w:ascii="Helvetica" w:eastAsia="HGMaruGothicMPRO" w:hAnsi="Helvetica" w:cs="Helvetica"/>
          <w:lang w:val="en-GB"/>
        </w:rPr>
        <w:t xml:space="preserve">report and its </w:t>
      </w:r>
      <w:r w:rsidR="005A1873" w:rsidRPr="008A3778">
        <w:rPr>
          <w:rFonts w:ascii="Helvetica" w:eastAsia="HGMaruGothicMPRO" w:hAnsi="Helvetica" w:cs="Helvetica"/>
          <w:lang w:val="en-GB"/>
        </w:rPr>
        <w:t xml:space="preserve">accompanying </w:t>
      </w:r>
      <w:r w:rsidR="00D91928" w:rsidRPr="008A3778">
        <w:rPr>
          <w:rFonts w:ascii="Helvetica" w:eastAsia="HGMaruGothicMPRO" w:hAnsi="Helvetica" w:cs="Helvetica"/>
          <w:lang w:val="en-GB"/>
        </w:rPr>
        <w:t>affidavit.</w:t>
      </w:r>
    </w:p>
    <w:p w14:paraId="308EE6DC" w14:textId="292C4BF4" w:rsidR="001301E0" w:rsidRPr="008A3778" w:rsidRDefault="00687500" w:rsidP="00803F2B">
      <w:pPr>
        <w:numPr>
          <w:ilvl w:val="0"/>
          <w:numId w:val="1"/>
        </w:numPr>
        <w:tabs>
          <w:tab w:val="clear" w:pos="851"/>
          <w:tab w:val="num" w:pos="720"/>
          <w:tab w:val="num" w:pos="216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aforesaid </w:t>
      </w:r>
      <w:r w:rsidR="00315DCD" w:rsidRPr="008A3778">
        <w:rPr>
          <w:rFonts w:ascii="Helvetica" w:eastAsia="HGMaruGothicMPRO" w:hAnsi="Helvetica" w:cs="Helvetica"/>
          <w:lang w:val="en-GB"/>
        </w:rPr>
        <w:t xml:space="preserve">is a </w:t>
      </w:r>
      <w:r w:rsidRPr="008A3778">
        <w:rPr>
          <w:rFonts w:ascii="Helvetica" w:eastAsia="HGMaruGothicMPRO" w:hAnsi="Helvetica" w:cs="Helvetica"/>
          <w:lang w:val="en-GB"/>
        </w:rPr>
        <w:t>retelling</w:t>
      </w:r>
      <w:r w:rsidR="00315DCD" w:rsidRPr="008A3778">
        <w:rPr>
          <w:rFonts w:ascii="Helvetica" w:eastAsia="HGMaruGothicMPRO" w:hAnsi="Helvetica" w:cs="Helvetica"/>
          <w:lang w:val="en-GB"/>
        </w:rPr>
        <w:t xml:space="preserve">, in part, </w:t>
      </w:r>
      <w:r w:rsidRPr="008A3778">
        <w:rPr>
          <w:rFonts w:ascii="Helvetica" w:eastAsia="HGMaruGothicMPRO" w:hAnsi="Helvetica" w:cs="Helvetica"/>
          <w:lang w:val="en-GB"/>
        </w:rPr>
        <w:t xml:space="preserve">of the history of the section 30P application. </w:t>
      </w:r>
      <w:r w:rsidR="002A0B28" w:rsidRPr="008A3778">
        <w:rPr>
          <w:rFonts w:ascii="Helvetica" w:eastAsia="HGMaruGothicMPRO" w:hAnsi="Helvetica" w:cs="Helvetica"/>
          <w:lang w:val="en-GB"/>
        </w:rPr>
        <w:t>This appeal</w:t>
      </w:r>
      <w:r w:rsidRPr="008A3778">
        <w:rPr>
          <w:rFonts w:ascii="Helvetica" w:eastAsia="HGMaruGothicMPRO" w:hAnsi="Helvetica" w:cs="Helvetica"/>
          <w:lang w:val="en-GB"/>
        </w:rPr>
        <w:t xml:space="preserve"> has </w:t>
      </w:r>
      <w:r w:rsidR="00604881" w:rsidRPr="008A3778">
        <w:rPr>
          <w:rFonts w:ascii="Helvetica" w:eastAsia="HGMaruGothicMPRO" w:hAnsi="Helvetica" w:cs="Helvetica"/>
          <w:lang w:val="en-GB"/>
        </w:rPr>
        <w:t>regrettably</w:t>
      </w:r>
      <w:r w:rsidRPr="008A3778">
        <w:rPr>
          <w:rFonts w:ascii="Helvetica" w:eastAsia="HGMaruGothicMPRO" w:hAnsi="Helvetica" w:cs="Helvetica"/>
          <w:lang w:val="en-GB"/>
        </w:rPr>
        <w:t xml:space="preserve"> suffered </w:t>
      </w:r>
      <w:r w:rsidR="001301E0" w:rsidRPr="008A3778">
        <w:rPr>
          <w:rFonts w:ascii="Helvetica" w:eastAsia="HGMaruGothicMPRO" w:hAnsi="Helvetica" w:cs="Helvetica"/>
          <w:lang w:val="en-GB"/>
        </w:rPr>
        <w:t xml:space="preserve">from </w:t>
      </w:r>
      <w:r w:rsidR="00F46888" w:rsidRPr="008A3778">
        <w:rPr>
          <w:rFonts w:ascii="Helvetica" w:eastAsia="HGMaruGothicMPRO" w:hAnsi="Helvetica" w:cs="Helvetica"/>
          <w:lang w:val="en-GB"/>
        </w:rPr>
        <w:t xml:space="preserve">similar type </w:t>
      </w:r>
      <w:r w:rsidR="00F076CC" w:rsidRPr="008A3778">
        <w:rPr>
          <w:rFonts w:ascii="Helvetica" w:eastAsia="HGMaruGothicMPRO" w:hAnsi="Helvetica" w:cs="Helvetica"/>
          <w:lang w:val="en-GB"/>
        </w:rPr>
        <w:t>insouciance</w:t>
      </w:r>
      <w:r w:rsidR="00F46888" w:rsidRPr="008A3778">
        <w:rPr>
          <w:rFonts w:ascii="Helvetica" w:eastAsia="HGMaruGothicMPRO" w:hAnsi="Helvetica" w:cs="Helvetica"/>
          <w:lang w:val="en-GB"/>
        </w:rPr>
        <w:t>. By way of example:</w:t>
      </w:r>
      <w:r w:rsidRPr="008A3778">
        <w:rPr>
          <w:rFonts w:ascii="Helvetica" w:eastAsia="HGMaruGothicMPRO" w:hAnsi="Helvetica" w:cs="Helvetica"/>
          <w:lang w:val="en-GB"/>
        </w:rPr>
        <w:t xml:space="preserve"> </w:t>
      </w:r>
    </w:p>
    <w:p w14:paraId="61CDC009" w14:textId="3D29F366" w:rsidR="001301E0" w:rsidRPr="008A3778" w:rsidRDefault="00687500" w:rsidP="00803F2B">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There is also the already mentioned application for condonation for the late prosecution of this appeal because of, </w:t>
      </w:r>
      <w:r w:rsidR="00023D47" w:rsidRPr="00023D47">
        <w:rPr>
          <w:rFonts w:ascii="Helvetica" w:eastAsia="HGMaruGothicMPRO" w:hAnsi="Helvetica" w:cs="Helvetica"/>
          <w:i/>
          <w:iCs/>
          <w:lang w:val="en-GB"/>
        </w:rPr>
        <w:t>inter-alia</w:t>
      </w:r>
      <w:r w:rsidRPr="008A3778">
        <w:rPr>
          <w:rFonts w:ascii="Helvetica" w:eastAsia="HGMaruGothicMPRO" w:hAnsi="Helvetica" w:cs="Helvetica"/>
          <w:lang w:val="en-GB"/>
        </w:rPr>
        <w:t xml:space="preserve">, the appellant’s delay in obtaining the transcript of the section 30P application. </w:t>
      </w:r>
    </w:p>
    <w:p w14:paraId="2E4BDFE6" w14:textId="236A9194" w:rsidR="00094B19" w:rsidRPr="008A3778" w:rsidRDefault="00446148" w:rsidP="00803F2B">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To this must be added the appellants’ inexplicable failure</w:t>
      </w:r>
      <w:r w:rsidR="00EF78F5" w:rsidRPr="008A3778">
        <w:rPr>
          <w:rFonts w:ascii="Helvetica" w:eastAsia="HGMaruGothicMPRO" w:hAnsi="Helvetica" w:cs="Helvetica"/>
          <w:lang w:val="en-GB"/>
        </w:rPr>
        <w:t xml:space="preserve"> to furnish security in the appeal</w:t>
      </w:r>
      <w:r w:rsidRPr="008A3778">
        <w:rPr>
          <w:rFonts w:ascii="Helvetica" w:eastAsia="HGMaruGothicMPRO" w:hAnsi="Helvetica" w:cs="Helvetica"/>
          <w:lang w:val="en-GB"/>
        </w:rPr>
        <w:t>, despite</w:t>
      </w:r>
      <w:r w:rsidR="00EF78F5" w:rsidRPr="008A3778">
        <w:rPr>
          <w:rFonts w:ascii="Helvetica" w:eastAsia="HGMaruGothicMPRO" w:hAnsi="Helvetica" w:cs="Helvetica"/>
          <w:lang w:val="en-GB"/>
        </w:rPr>
        <w:t xml:space="preserve"> its unchallenged and</w:t>
      </w:r>
      <w:r w:rsidR="00700239" w:rsidRPr="008A3778">
        <w:rPr>
          <w:rFonts w:ascii="Helvetica" w:eastAsia="HGMaruGothicMPRO" w:hAnsi="Helvetica" w:cs="Helvetica"/>
          <w:lang w:val="en-GB"/>
        </w:rPr>
        <w:t xml:space="preserve"> clear obligation to do so. </w:t>
      </w:r>
    </w:p>
    <w:p w14:paraId="7EEBAA40" w14:textId="3ED93826" w:rsidR="001301E0" w:rsidRPr="008A3778" w:rsidRDefault="00687500" w:rsidP="00803F2B">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The appellants</w:t>
      </w:r>
      <w:r w:rsidR="00D27E53" w:rsidRPr="008A3778">
        <w:rPr>
          <w:rFonts w:ascii="Helvetica" w:eastAsia="HGMaruGothicMPRO" w:hAnsi="Helvetica" w:cs="Helvetica"/>
          <w:lang w:val="en-GB"/>
        </w:rPr>
        <w:t xml:space="preserve"> also sought to introduce, </w:t>
      </w:r>
      <w:r w:rsidRPr="008A3778">
        <w:rPr>
          <w:rFonts w:ascii="Helvetica" w:eastAsia="HGMaruGothicMPRO" w:hAnsi="Helvetica" w:cs="Helvetica"/>
          <w:lang w:val="en-GB"/>
        </w:rPr>
        <w:t>into the appeal record</w:t>
      </w:r>
      <w:r w:rsidR="00D27E53" w:rsidRPr="008A3778">
        <w:rPr>
          <w:rFonts w:ascii="Helvetica" w:eastAsia="HGMaruGothicMPRO" w:hAnsi="Helvetica" w:cs="Helvetica"/>
          <w:lang w:val="en-GB"/>
        </w:rPr>
        <w:t>,</w:t>
      </w:r>
      <w:r w:rsidRPr="008A3778">
        <w:rPr>
          <w:rFonts w:ascii="Helvetica" w:eastAsia="HGMaruGothicMPRO" w:hAnsi="Helvetica" w:cs="Helvetica"/>
          <w:lang w:val="en-GB"/>
        </w:rPr>
        <w:t xml:space="preserve"> documents that did not serve before the</w:t>
      </w:r>
      <w:r w:rsidR="00D27E53" w:rsidRPr="008A3778">
        <w:rPr>
          <w:rFonts w:ascii="Helvetica" w:eastAsia="HGMaruGothicMPRO" w:hAnsi="Helvetica" w:cs="Helvetica"/>
          <w:lang w:val="en-GB"/>
        </w:rPr>
        <w:t xml:space="preserve"> High Court</w:t>
      </w:r>
      <w:r w:rsidRPr="008A3778">
        <w:rPr>
          <w:rFonts w:ascii="Helvetica" w:eastAsia="HGMaruGothicMPRO" w:hAnsi="Helvetica" w:cs="Helvetica"/>
          <w:lang w:val="en-GB"/>
        </w:rPr>
        <w:t>.</w:t>
      </w:r>
      <w:r w:rsidR="00D27E53" w:rsidRPr="008A3778">
        <w:rPr>
          <w:rFonts w:ascii="Helvetica" w:eastAsia="HGMaruGothicMPRO" w:hAnsi="Helvetica" w:cs="Helvetica"/>
          <w:lang w:val="en-GB"/>
        </w:rPr>
        <w:t xml:space="preserve"> </w:t>
      </w:r>
    </w:p>
    <w:p w14:paraId="274EC44D" w14:textId="2D4D05FE" w:rsidR="00687500" w:rsidRPr="008A3778" w:rsidRDefault="00687500" w:rsidP="00803F2B">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There is also the issue of </w:t>
      </w:r>
      <w:r w:rsidR="00D27E53" w:rsidRPr="008A3778">
        <w:rPr>
          <w:rFonts w:ascii="Helvetica" w:eastAsia="HGMaruGothicMPRO" w:hAnsi="Helvetica" w:cs="Helvetica"/>
          <w:lang w:val="en-GB"/>
        </w:rPr>
        <w:t xml:space="preserve">the </w:t>
      </w:r>
      <w:r w:rsidRPr="008A3778">
        <w:rPr>
          <w:rFonts w:ascii="Helvetica" w:eastAsia="HGMaruGothicMPRO" w:hAnsi="Helvetica" w:cs="Helvetica"/>
          <w:lang w:val="en-GB"/>
        </w:rPr>
        <w:t xml:space="preserve">clumsy and uncoordinated uploading, and unnecessary duplication, of documents onto CaseLines. Moreover, certain of these documents, being copies of copies of copies, are barely legible. </w:t>
      </w:r>
    </w:p>
    <w:p w14:paraId="24EED742" w14:textId="106723AB" w:rsidR="00F076CC" w:rsidRPr="008A3778" w:rsidRDefault="00F076CC" w:rsidP="00803F2B">
      <w:pPr>
        <w:numPr>
          <w:ilvl w:val="0"/>
          <w:numId w:val="1"/>
        </w:numPr>
        <w:tabs>
          <w:tab w:val="clear" w:pos="851"/>
          <w:tab w:val="num" w:pos="720"/>
          <w:tab w:val="num" w:pos="216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appellants</w:t>
      </w:r>
      <w:r w:rsidR="00D27E53" w:rsidRPr="008A3778">
        <w:rPr>
          <w:rFonts w:ascii="Helvetica" w:eastAsia="HGMaruGothicMPRO" w:hAnsi="Helvetica" w:cs="Helvetica"/>
          <w:lang w:val="en-GB"/>
        </w:rPr>
        <w:t xml:space="preserve"> additionally, in the appeal, </w:t>
      </w:r>
      <w:r w:rsidR="00B07EF6">
        <w:rPr>
          <w:rFonts w:ascii="Helvetica" w:eastAsia="HGMaruGothicMPRO" w:hAnsi="Helvetica" w:cs="Helvetica"/>
          <w:lang w:val="en-GB"/>
        </w:rPr>
        <w:t xml:space="preserve">adjust, reconfigure </w:t>
      </w:r>
      <w:r w:rsidR="00D27E53" w:rsidRPr="008A3778">
        <w:rPr>
          <w:rFonts w:ascii="Helvetica" w:eastAsia="HGMaruGothicMPRO" w:hAnsi="Helvetica" w:cs="Helvetica"/>
          <w:lang w:val="en-GB"/>
        </w:rPr>
        <w:t xml:space="preserve">and relaunch </w:t>
      </w:r>
      <w:r w:rsidRPr="008A3778">
        <w:rPr>
          <w:rFonts w:ascii="Helvetica" w:eastAsia="HGMaruGothicMPRO" w:hAnsi="Helvetica" w:cs="Helvetica"/>
          <w:lang w:val="en-GB"/>
        </w:rPr>
        <w:t>their challenge to the veracity and authenticity of the authorisation form</w:t>
      </w:r>
      <w:r w:rsidR="00D27E53" w:rsidRPr="008A3778">
        <w:rPr>
          <w:rFonts w:ascii="Helvetica" w:eastAsia="HGMaruGothicMPRO" w:hAnsi="Helvetica" w:cs="Helvetica"/>
          <w:lang w:val="en-GB"/>
        </w:rPr>
        <w:t xml:space="preserve">. </w:t>
      </w:r>
      <w:r w:rsidR="00094B19" w:rsidRPr="008A3778">
        <w:rPr>
          <w:rFonts w:ascii="Helvetica" w:eastAsia="HGMaruGothicMPRO" w:hAnsi="Helvetica" w:cs="Helvetica"/>
          <w:lang w:val="en-GB"/>
        </w:rPr>
        <w:t>Whereas they</w:t>
      </w:r>
      <w:r w:rsidR="00D27E53" w:rsidRPr="008A3778">
        <w:rPr>
          <w:rFonts w:ascii="Helvetica" w:eastAsia="HGMaruGothicMPRO" w:hAnsi="Helvetica" w:cs="Helvetica"/>
          <w:lang w:val="en-GB"/>
        </w:rPr>
        <w:t xml:space="preserve"> previously had attempted to rely on the</w:t>
      </w:r>
      <w:r w:rsidR="00D463ED">
        <w:rPr>
          <w:rFonts w:ascii="Helvetica" w:eastAsia="HGMaruGothicMPRO" w:hAnsi="Helvetica" w:cs="Helvetica"/>
          <w:lang w:val="en-GB"/>
        </w:rPr>
        <w:t xml:space="preserve"> aforesaid</w:t>
      </w:r>
      <w:r w:rsidR="00D27E53" w:rsidRPr="008A3778">
        <w:rPr>
          <w:rFonts w:ascii="Helvetica" w:eastAsia="HGMaruGothicMPRO" w:hAnsi="Helvetica" w:cs="Helvetica"/>
          <w:lang w:val="en-GB"/>
        </w:rPr>
        <w:t xml:space="preserve"> </w:t>
      </w:r>
      <w:r w:rsidR="00094B19" w:rsidRPr="008A3778">
        <w:rPr>
          <w:rFonts w:ascii="Helvetica" w:eastAsia="HGMaruGothicMPRO" w:hAnsi="Helvetica" w:cs="Helvetica"/>
          <w:lang w:val="en-GB"/>
        </w:rPr>
        <w:t xml:space="preserve">belated tendering of </w:t>
      </w:r>
      <w:r w:rsidR="00D463ED">
        <w:rPr>
          <w:rFonts w:ascii="Helvetica" w:eastAsia="HGMaruGothicMPRO" w:hAnsi="Helvetica" w:cs="Helvetica"/>
          <w:lang w:val="en-GB"/>
        </w:rPr>
        <w:t xml:space="preserve">expert </w:t>
      </w:r>
      <w:r w:rsidR="00D27E53" w:rsidRPr="008A3778">
        <w:rPr>
          <w:rFonts w:ascii="Helvetica" w:eastAsia="HGMaruGothicMPRO" w:hAnsi="Helvetica" w:cs="Helvetica"/>
          <w:lang w:val="en-GB"/>
        </w:rPr>
        <w:t xml:space="preserve">evidence, the appellants now claim </w:t>
      </w:r>
      <w:r w:rsidRPr="008A3778">
        <w:rPr>
          <w:rFonts w:ascii="Helvetica" w:eastAsia="HGMaruGothicMPRO" w:hAnsi="Helvetica" w:cs="Helvetica"/>
          <w:lang w:val="en-GB"/>
        </w:rPr>
        <w:t xml:space="preserve">that it is clear to the </w:t>
      </w:r>
      <w:r w:rsidR="00094B19" w:rsidRPr="008A3778">
        <w:rPr>
          <w:rFonts w:ascii="Helvetica" w:eastAsia="HGMaruGothicMPRO" w:hAnsi="Helvetica" w:cs="Helvetica"/>
          <w:lang w:val="en-GB"/>
        </w:rPr>
        <w:t>“</w:t>
      </w:r>
      <w:r w:rsidRPr="00D463ED">
        <w:rPr>
          <w:rFonts w:ascii="Helvetica" w:eastAsia="HGMaruGothicMPRO" w:hAnsi="Helvetica" w:cs="Helvetica"/>
          <w:i/>
          <w:iCs/>
          <w:lang w:val="en-GB"/>
        </w:rPr>
        <w:t>naked eye</w:t>
      </w:r>
      <w:r w:rsidR="00094B19" w:rsidRPr="008A3778">
        <w:rPr>
          <w:rFonts w:ascii="Helvetica" w:eastAsia="HGMaruGothicMPRO" w:hAnsi="Helvetica" w:cs="Helvetica"/>
          <w:lang w:val="en-GB"/>
        </w:rPr>
        <w:t>”</w:t>
      </w:r>
      <w:r w:rsidRPr="008A3778">
        <w:rPr>
          <w:rFonts w:ascii="Helvetica" w:eastAsia="HGMaruGothicMPRO" w:hAnsi="Helvetica" w:cs="Helvetica"/>
          <w:lang w:val="en-GB"/>
        </w:rPr>
        <w:t xml:space="preserve"> that</w:t>
      </w:r>
      <w:r w:rsidR="00D27E53" w:rsidRPr="008A3778">
        <w:rPr>
          <w:rFonts w:ascii="Helvetica" w:eastAsia="HGMaruGothicMPRO" w:hAnsi="Helvetica" w:cs="Helvetica"/>
          <w:lang w:val="en-GB"/>
        </w:rPr>
        <w:t xml:space="preserve"> the </w:t>
      </w:r>
      <w:r w:rsidR="00D463ED">
        <w:rPr>
          <w:rFonts w:ascii="Helvetica" w:eastAsia="HGMaruGothicMPRO" w:hAnsi="Helvetica" w:cs="Helvetica"/>
          <w:lang w:val="en-GB"/>
        </w:rPr>
        <w:t xml:space="preserve">authorisation </w:t>
      </w:r>
      <w:r w:rsidR="00D27E53" w:rsidRPr="008A3778">
        <w:rPr>
          <w:rFonts w:ascii="Helvetica" w:eastAsia="HGMaruGothicMPRO" w:hAnsi="Helvetica" w:cs="Helvetica"/>
          <w:lang w:val="en-GB"/>
        </w:rPr>
        <w:t xml:space="preserve">form has </w:t>
      </w:r>
      <w:r w:rsidRPr="008A3778">
        <w:rPr>
          <w:rFonts w:ascii="Helvetica" w:eastAsia="HGMaruGothicMPRO" w:hAnsi="Helvetica" w:cs="Helvetica"/>
          <w:lang w:val="en-GB"/>
        </w:rPr>
        <w:t>been tampered with</w:t>
      </w:r>
      <w:r w:rsidR="00D27E53" w:rsidRPr="008A3778">
        <w:rPr>
          <w:rFonts w:ascii="Helvetica" w:eastAsia="HGMaruGothicMPRO" w:hAnsi="Helvetica" w:cs="Helvetica"/>
          <w:lang w:val="en-GB"/>
        </w:rPr>
        <w:t xml:space="preserve">. Furthermore, it is </w:t>
      </w:r>
      <w:r w:rsidR="00D463ED">
        <w:rPr>
          <w:rFonts w:ascii="Helvetica" w:eastAsia="HGMaruGothicMPRO" w:hAnsi="Helvetica" w:cs="Helvetica"/>
          <w:lang w:val="en-GB"/>
        </w:rPr>
        <w:t xml:space="preserve">bravely </w:t>
      </w:r>
      <w:r w:rsidR="00D27E53" w:rsidRPr="008A3778">
        <w:rPr>
          <w:rFonts w:ascii="Helvetica" w:eastAsia="HGMaruGothicMPRO" w:hAnsi="Helvetica" w:cs="Helvetica"/>
          <w:lang w:val="en-GB"/>
        </w:rPr>
        <w:t xml:space="preserve">claimed in the appellants’ </w:t>
      </w:r>
      <w:r w:rsidRPr="008A3778">
        <w:rPr>
          <w:rFonts w:ascii="Helvetica" w:eastAsia="HGMaruGothicMPRO" w:hAnsi="Helvetica" w:cs="Helvetica"/>
          <w:lang w:val="en-GB"/>
        </w:rPr>
        <w:t>heads of argument</w:t>
      </w:r>
      <w:r w:rsidR="00D27E53" w:rsidRPr="008A3778">
        <w:rPr>
          <w:rFonts w:ascii="Helvetica" w:eastAsia="HGMaruGothicMPRO" w:hAnsi="Helvetica" w:cs="Helvetica"/>
          <w:lang w:val="en-GB"/>
        </w:rPr>
        <w:t>,</w:t>
      </w:r>
      <w:r w:rsidR="002A0126" w:rsidRPr="008A3778">
        <w:rPr>
          <w:rFonts w:ascii="Helvetica" w:eastAsia="HGMaruGothicMPRO" w:hAnsi="Helvetica" w:cs="Helvetica"/>
          <w:lang w:val="en-GB"/>
        </w:rPr>
        <w:t xml:space="preserve"> without any evidence</w:t>
      </w:r>
      <w:r w:rsidRPr="008A3778">
        <w:rPr>
          <w:rFonts w:ascii="Helvetica" w:eastAsia="HGMaruGothicMPRO" w:hAnsi="Helvetica" w:cs="Helvetica"/>
          <w:lang w:val="en-GB"/>
        </w:rPr>
        <w:t>, that: “</w:t>
      </w:r>
      <w:r w:rsidRPr="008A3778">
        <w:rPr>
          <w:rFonts w:ascii="Helvetica" w:eastAsia="HGMaruGothicMPRO" w:hAnsi="Helvetica" w:cs="Helvetica"/>
          <w:i/>
          <w:iCs/>
          <w:lang w:val="en-GB"/>
        </w:rPr>
        <w:t>The first respondent’s officials altered</w:t>
      </w:r>
      <w:r w:rsidR="002A0126" w:rsidRPr="008A3778">
        <w:rPr>
          <w:rFonts w:ascii="Helvetica" w:eastAsia="HGMaruGothicMPRO" w:hAnsi="Helvetica" w:cs="Helvetica"/>
          <w:i/>
          <w:iCs/>
          <w:lang w:val="en-GB"/>
        </w:rPr>
        <w:t xml:space="preserve"> and signed </w:t>
      </w:r>
      <w:r w:rsidRPr="008A3778">
        <w:rPr>
          <w:rFonts w:ascii="Helvetica" w:eastAsia="HGMaruGothicMPRO" w:hAnsi="Helvetica" w:cs="Helvetica"/>
          <w:i/>
          <w:iCs/>
          <w:lang w:val="en-GB"/>
        </w:rPr>
        <w:t xml:space="preserve">the questioned document </w:t>
      </w:r>
      <w:r w:rsidR="002A0126" w:rsidRPr="008A3778">
        <w:rPr>
          <w:rFonts w:ascii="Helvetica" w:eastAsia="HGMaruGothicMPRO" w:hAnsi="Helvetica" w:cs="Helvetica"/>
          <w:i/>
          <w:iCs/>
          <w:lang w:val="en-GB"/>
        </w:rPr>
        <w:t>in</w:t>
      </w:r>
      <w:r w:rsidRPr="008A3778">
        <w:rPr>
          <w:rFonts w:ascii="Helvetica" w:eastAsia="HGMaruGothicMPRO" w:hAnsi="Helvetica" w:cs="Helvetica"/>
          <w:i/>
          <w:iCs/>
          <w:lang w:val="en-GB"/>
        </w:rPr>
        <w:t xml:space="preserve"> the most important sections of the document</w:t>
      </w:r>
      <w:r w:rsidRPr="008A3778">
        <w:rPr>
          <w:rFonts w:ascii="Helvetica" w:eastAsia="HGMaruGothicMPRO" w:hAnsi="Helvetica" w:cs="Helvetica"/>
          <w:lang w:val="en-GB"/>
        </w:rPr>
        <w:t>.”</w:t>
      </w:r>
    </w:p>
    <w:p w14:paraId="412922A1" w14:textId="13F48F07" w:rsidR="00576D8E" w:rsidRPr="008A3778" w:rsidRDefault="00D27E53" w:rsidP="006D5807">
      <w:pPr>
        <w:numPr>
          <w:ilvl w:val="0"/>
          <w:numId w:val="1"/>
        </w:numPr>
        <w:tabs>
          <w:tab w:val="clear" w:pos="851"/>
          <w:tab w:val="num" w:pos="720"/>
          <w:tab w:val="num" w:pos="216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Having </w:t>
      </w:r>
      <w:r w:rsidR="00B451AC" w:rsidRPr="008A3778">
        <w:rPr>
          <w:rFonts w:ascii="Helvetica" w:eastAsia="HGMaruGothicMPRO" w:hAnsi="Helvetica" w:cs="Helvetica"/>
          <w:lang w:val="en-GB"/>
        </w:rPr>
        <w:t xml:space="preserve">set out and </w:t>
      </w:r>
      <w:r w:rsidRPr="008A3778">
        <w:rPr>
          <w:rFonts w:ascii="Helvetica" w:eastAsia="HGMaruGothicMPRO" w:hAnsi="Helvetica" w:cs="Helvetica"/>
          <w:lang w:val="en-GB"/>
        </w:rPr>
        <w:t>contextualised</w:t>
      </w:r>
      <w:r w:rsidR="00B451AC" w:rsidRPr="008A3778">
        <w:rPr>
          <w:rFonts w:ascii="Helvetica" w:eastAsia="HGMaruGothicMPRO" w:hAnsi="Helvetica" w:cs="Helvetica"/>
          <w:lang w:val="en-GB"/>
        </w:rPr>
        <w:t>, at least in part,</w:t>
      </w:r>
      <w:r w:rsidRPr="008A3778">
        <w:rPr>
          <w:rFonts w:ascii="Helvetica" w:eastAsia="HGMaruGothicMPRO" w:hAnsi="Helvetica" w:cs="Helvetica"/>
          <w:lang w:val="en-GB"/>
        </w:rPr>
        <w:t xml:space="preserve"> </w:t>
      </w:r>
      <w:r w:rsidR="00B451AC" w:rsidRPr="008A3778">
        <w:rPr>
          <w:rFonts w:ascii="Helvetica" w:eastAsia="HGMaruGothicMPRO" w:hAnsi="Helvetica" w:cs="Helvetica"/>
          <w:lang w:val="en-GB"/>
        </w:rPr>
        <w:t xml:space="preserve">the history of the matter, </w:t>
      </w:r>
      <w:r w:rsidR="00363B07" w:rsidRPr="008A3778">
        <w:rPr>
          <w:rFonts w:ascii="Helvetica" w:eastAsia="HGMaruGothicMPRO" w:hAnsi="Helvetica" w:cs="Helvetica"/>
          <w:lang w:val="en-GB"/>
        </w:rPr>
        <w:t>I now turn to consider the issues of the appellant</w:t>
      </w:r>
      <w:r w:rsidR="00803F2B">
        <w:rPr>
          <w:rFonts w:ascii="Helvetica" w:eastAsia="HGMaruGothicMPRO" w:hAnsi="Helvetica" w:cs="Helvetica"/>
          <w:lang w:val="en-GB"/>
        </w:rPr>
        <w:t>s</w:t>
      </w:r>
      <w:r w:rsidR="00363B07" w:rsidRPr="008A3778">
        <w:rPr>
          <w:rFonts w:ascii="Helvetica" w:eastAsia="HGMaruGothicMPRO" w:hAnsi="Helvetica" w:cs="Helvetica"/>
          <w:lang w:val="en-GB"/>
        </w:rPr>
        <w:t>’ failure to furnish security in the appeal, and the appellants</w:t>
      </w:r>
      <w:r w:rsidR="00803F2B">
        <w:rPr>
          <w:rFonts w:ascii="Helvetica" w:eastAsia="HGMaruGothicMPRO" w:hAnsi="Helvetica" w:cs="Helvetica"/>
          <w:lang w:val="en-GB"/>
        </w:rPr>
        <w:t>’</w:t>
      </w:r>
      <w:r w:rsidR="00363B07" w:rsidRPr="008A3778">
        <w:rPr>
          <w:rFonts w:ascii="Helvetica" w:eastAsia="HGMaruGothicMPRO" w:hAnsi="Helvetica" w:cs="Helvetica"/>
          <w:lang w:val="en-GB"/>
        </w:rPr>
        <w:t xml:space="preserve"> condonation application pertaining to the reinstatement of the appeal.</w:t>
      </w:r>
    </w:p>
    <w:p w14:paraId="6BFA1F75" w14:textId="3B36467C" w:rsidR="00011367" w:rsidRPr="008A3778" w:rsidRDefault="00011367" w:rsidP="006D5807">
      <w:pPr>
        <w:pStyle w:val="ListParagraph"/>
        <w:numPr>
          <w:ilvl w:val="0"/>
          <w:numId w:val="11"/>
        </w:numPr>
        <w:spacing w:after="360" w:line="360" w:lineRule="auto"/>
        <w:ind w:right="-151" w:hanging="720"/>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lastRenderedPageBreak/>
        <w:t>The appellants’ failure to furnish security in the appeal</w:t>
      </w:r>
    </w:p>
    <w:p w14:paraId="777800FF" w14:textId="63F95944" w:rsidR="00585BDB" w:rsidRPr="008A3778" w:rsidRDefault="00094B19" w:rsidP="00803F2B">
      <w:pPr>
        <w:numPr>
          <w:ilvl w:val="0"/>
          <w:numId w:val="1"/>
        </w:numPr>
        <w:tabs>
          <w:tab w:val="clear" w:pos="851"/>
          <w:tab w:val="num" w:pos="720"/>
          <w:tab w:val="num" w:pos="216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already indicated</w:t>
      </w:r>
      <w:r w:rsidR="00FB7F9A">
        <w:rPr>
          <w:rFonts w:ascii="Helvetica" w:eastAsia="HGMaruGothicMPRO" w:hAnsi="Helvetica" w:cs="Helvetica"/>
          <w:lang w:val="en-GB"/>
        </w:rPr>
        <w:t>,</w:t>
      </w:r>
      <w:r w:rsidRPr="008A3778">
        <w:rPr>
          <w:rFonts w:ascii="Helvetica" w:eastAsia="HGMaruGothicMPRO" w:hAnsi="Helvetica" w:cs="Helvetica"/>
          <w:lang w:val="en-GB"/>
        </w:rPr>
        <w:t xml:space="preserve"> the</w:t>
      </w:r>
      <w:r w:rsidR="00585BDB" w:rsidRPr="008A3778">
        <w:rPr>
          <w:rFonts w:ascii="Helvetica" w:eastAsia="HGMaruGothicMPRO" w:hAnsi="Helvetica" w:cs="Helvetica"/>
          <w:lang w:val="en-GB"/>
        </w:rPr>
        <w:t xml:space="preserve"> appellants </w:t>
      </w:r>
      <w:r w:rsidR="00B07EF6">
        <w:rPr>
          <w:rFonts w:ascii="Helvetica" w:eastAsia="HGMaruGothicMPRO" w:hAnsi="Helvetica" w:cs="Helvetica"/>
          <w:lang w:val="en-GB"/>
        </w:rPr>
        <w:t xml:space="preserve">have </w:t>
      </w:r>
      <w:r w:rsidRPr="008A3778">
        <w:rPr>
          <w:rFonts w:ascii="Helvetica" w:eastAsia="HGMaruGothicMPRO" w:hAnsi="Helvetica" w:cs="Helvetica"/>
          <w:lang w:val="en-GB"/>
        </w:rPr>
        <w:t>failed to furnish security for the costs of the appeal.</w:t>
      </w:r>
      <w:r w:rsidR="00585BDB" w:rsidRPr="008A3778">
        <w:rPr>
          <w:rFonts w:ascii="Helvetica" w:eastAsia="HGMaruGothicMPRO" w:hAnsi="Helvetica" w:cs="Helvetica"/>
          <w:lang w:val="en-GB"/>
        </w:rPr>
        <w:t xml:space="preserve"> </w:t>
      </w:r>
      <w:r w:rsidRPr="008A3778">
        <w:rPr>
          <w:rFonts w:ascii="Helvetica" w:eastAsia="HGMaruGothicMPRO" w:hAnsi="Helvetica" w:cs="Helvetica"/>
          <w:lang w:val="en-GB"/>
        </w:rPr>
        <w:t>The</w:t>
      </w:r>
      <w:r w:rsidR="00FB7F9A">
        <w:rPr>
          <w:rFonts w:ascii="Helvetica" w:eastAsia="HGMaruGothicMPRO" w:hAnsi="Helvetica" w:cs="Helvetica"/>
          <w:lang w:val="en-GB"/>
        </w:rPr>
        <w:t>y</w:t>
      </w:r>
      <w:r w:rsidRPr="008A3778">
        <w:rPr>
          <w:rFonts w:ascii="Helvetica" w:eastAsia="HGMaruGothicMPRO" w:hAnsi="Helvetica" w:cs="Helvetica"/>
          <w:lang w:val="en-GB"/>
        </w:rPr>
        <w:t xml:space="preserve"> are</w:t>
      </w:r>
      <w:r w:rsidR="00B07EF6">
        <w:rPr>
          <w:rFonts w:ascii="Helvetica" w:eastAsia="HGMaruGothicMPRO" w:hAnsi="Helvetica" w:cs="Helvetica"/>
          <w:lang w:val="en-GB"/>
        </w:rPr>
        <w:t>,</w:t>
      </w:r>
      <w:r w:rsidRPr="008A3778">
        <w:rPr>
          <w:rFonts w:ascii="Helvetica" w:eastAsia="HGMaruGothicMPRO" w:hAnsi="Helvetica" w:cs="Helvetica"/>
          <w:lang w:val="en-GB"/>
        </w:rPr>
        <w:t xml:space="preserve"> </w:t>
      </w:r>
      <w:r w:rsidR="00585BDB" w:rsidRPr="008A3778">
        <w:rPr>
          <w:rFonts w:ascii="Helvetica" w:eastAsia="HGMaruGothicMPRO" w:hAnsi="Helvetica" w:cs="Helvetica"/>
          <w:lang w:val="en-GB"/>
        </w:rPr>
        <w:t>and were</w:t>
      </w:r>
      <w:r w:rsidR="00B07EF6">
        <w:rPr>
          <w:rFonts w:ascii="Helvetica" w:eastAsia="HGMaruGothicMPRO" w:hAnsi="Helvetica" w:cs="Helvetica"/>
          <w:lang w:val="en-GB"/>
        </w:rPr>
        <w:t>,</w:t>
      </w:r>
      <w:r w:rsidR="00585BDB" w:rsidRPr="008A3778">
        <w:rPr>
          <w:rFonts w:ascii="Helvetica" w:eastAsia="HGMaruGothicMPRO" w:hAnsi="Helvetica" w:cs="Helvetica"/>
          <w:lang w:val="en-GB"/>
        </w:rPr>
        <w:t xml:space="preserve"> </w:t>
      </w:r>
      <w:r w:rsidRPr="008A3778">
        <w:rPr>
          <w:rFonts w:ascii="Helvetica" w:eastAsia="HGMaruGothicMPRO" w:hAnsi="Helvetica" w:cs="Helvetica"/>
          <w:lang w:val="en-GB"/>
        </w:rPr>
        <w:t>nevertheless obliged</w:t>
      </w:r>
      <w:r w:rsidR="0094237D">
        <w:rPr>
          <w:rFonts w:ascii="Helvetica" w:eastAsia="HGMaruGothicMPRO" w:hAnsi="Helvetica" w:cs="Helvetica"/>
          <w:lang w:val="en-GB"/>
        </w:rPr>
        <w:t xml:space="preserve"> to do so</w:t>
      </w:r>
      <w:r w:rsidR="00585BDB" w:rsidRPr="008A3778">
        <w:rPr>
          <w:rFonts w:ascii="Helvetica" w:eastAsia="HGMaruGothicMPRO" w:hAnsi="Helvetica" w:cs="Helvetica"/>
          <w:lang w:val="en-GB"/>
        </w:rPr>
        <w:t>. This is because</w:t>
      </w:r>
      <w:r w:rsidR="00FB7F9A">
        <w:rPr>
          <w:rFonts w:ascii="Helvetica" w:eastAsia="HGMaruGothicMPRO" w:hAnsi="Helvetica" w:cs="Helvetica"/>
          <w:lang w:val="en-GB"/>
        </w:rPr>
        <w:t>:</w:t>
      </w:r>
      <w:r w:rsidR="00585BDB" w:rsidRPr="008A3778">
        <w:rPr>
          <w:rFonts w:ascii="Helvetica" w:eastAsia="HGMaruGothicMPRO" w:hAnsi="Helvetica" w:cs="Helvetica"/>
          <w:lang w:val="en-GB"/>
        </w:rPr>
        <w:t xml:space="preserve"> </w:t>
      </w:r>
      <w:r w:rsidR="008D463B" w:rsidRPr="008A3778">
        <w:rPr>
          <w:rFonts w:ascii="Helvetica" w:eastAsia="HGMaruGothicMPRO" w:hAnsi="Helvetica" w:cs="Helvetica"/>
          <w:lang w:val="en-GB"/>
        </w:rPr>
        <w:t>(i) the</w:t>
      </w:r>
      <w:r w:rsidR="00D46A10" w:rsidRPr="008A3778">
        <w:rPr>
          <w:rFonts w:ascii="Helvetica" w:eastAsia="HGMaruGothicMPRO" w:hAnsi="Helvetica" w:cs="Helvetica"/>
          <w:lang w:val="en-GB"/>
        </w:rPr>
        <w:t xml:space="preserve"> respondents</w:t>
      </w:r>
      <w:r w:rsidR="008D463B" w:rsidRPr="008A3778">
        <w:rPr>
          <w:rFonts w:ascii="Helvetica" w:eastAsia="HGMaruGothicMPRO" w:hAnsi="Helvetica" w:cs="Helvetica"/>
          <w:lang w:val="en-GB"/>
        </w:rPr>
        <w:t xml:space="preserve"> have not </w:t>
      </w:r>
      <w:r w:rsidR="00D46A10" w:rsidRPr="008A3778">
        <w:rPr>
          <w:rFonts w:ascii="Helvetica" w:eastAsia="HGMaruGothicMPRO" w:hAnsi="Helvetica" w:cs="Helvetica"/>
          <w:lang w:val="en-GB"/>
        </w:rPr>
        <w:t>waive</w:t>
      </w:r>
      <w:r w:rsidR="008D463B" w:rsidRPr="008A3778">
        <w:rPr>
          <w:rFonts w:ascii="Helvetica" w:eastAsia="HGMaruGothicMPRO" w:hAnsi="Helvetica" w:cs="Helvetica"/>
          <w:lang w:val="en-GB"/>
        </w:rPr>
        <w:t>d</w:t>
      </w:r>
      <w:r w:rsidR="00D46A10" w:rsidRPr="008A3778">
        <w:rPr>
          <w:rFonts w:ascii="Helvetica" w:eastAsia="HGMaruGothicMPRO" w:hAnsi="Helvetica" w:cs="Helvetica"/>
          <w:lang w:val="en-GB"/>
        </w:rPr>
        <w:t xml:space="preserve"> their rights to security</w:t>
      </w:r>
      <w:r w:rsidR="008D463B" w:rsidRPr="008A3778">
        <w:rPr>
          <w:rFonts w:ascii="Helvetica" w:eastAsia="HGMaruGothicMPRO" w:hAnsi="Helvetica" w:cs="Helvetica"/>
          <w:lang w:val="en-GB"/>
        </w:rPr>
        <w:t>,</w:t>
      </w:r>
      <w:r w:rsidR="00D46A10" w:rsidRPr="008A3778">
        <w:rPr>
          <w:rFonts w:ascii="Helvetica" w:eastAsia="HGMaruGothicMPRO" w:hAnsi="Helvetica" w:cs="Helvetica"/>
          <w:lang w:val="en-GB"/>
        </w:rPr>
        <w:t xml:space="preserve"> and </w:t>
      </w:r>
      <w:r w:rsidR="008D463B" w:rsidRPr="008A3778">
        <w:rPr>
          <w:rFonts w:ascii="Helvetica" w:eastAsia="HGMaruGothicMPRO" w:hAnsi="Helvetica" w:cs="Helvetica"/>
          <w:lang w:val="en-GB"/>
        </w:rPr>
        <w:t xml:space="preserve">(ii) </w:t>
      </w:r>
      <w:r w:rsidR="00D46A10" w:rsidRPr="008A3778">
        <w:rPr>
          <w:rFonts w:ascii="Helvetica" w:eastAsia="HGMaruGothicMPRO" w:hAnsi="Helvetica" w:cs="Helvetica"/>
          <w:lang w:val="en-GB"/>
        </w:rPr>
        <w:t>the appellants did not make application to be released from their obligation to furnish security</w:t>
      </w:r>
      <w:r w:rsidR="00585BDB" w:rsidRPr="008A3778">
        <w:rPr>
          <w:rFonts w:ascii="Helvetica" w:eastAsia="HGMaruGothicMPRO" w:hAnsi="Helvetica" w:cs="Helvetica"/>
          <w:lang w:val="en-GB"/>
        </w:rPr>
        <w:t xml:space="preserve">. </w:t>
      </w:r>
    </w:p>
    <w:p w14:paraId="5DA1B83F" w14:textId="465EFD4A" w:rsidR="002E1969" w:rsidRPr="008A3778" w:rsidRDefault="00585BDB" w:rsidP="00585BDB">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I</w:t>
      </w:r>
      <w:r w:rsidR="00D46A10" w:rsidRPr="008A3778">
        <w:rPr>
          <w:rFonts w:ascii="Helvetica" w:eastAsia="HGMaruGothicMPRO" w:hAnsi="Helvetica" w:cs="Helvetica"/>
          <w:lang w:val="en-GB"/>
        </w:rPr>
        <w:t>n so doing</w:t>
      </w:r>
      <w:r w:rsidRPr="008A3778">
        <w:rPr>
          <w:rFonts w:ascii="Helvetica" w:eastAsia="HGMaruGothicMPRO" w:hAnsi="Helvetica" w:cs="Helvetica"/>
          <w:lang w:val="en-GB"/>
        </w:rPr>
        <w:t>, the appellants have failed to</w:t>
      </w:r>
      <w:r w:rsidR="00D46A10" w:rsidRPr="008A3778">
        <w:rPr>
          <w:rFonts w:ascii="Helvetica" w:eastAsia="HGMaruGothicMPRO" w:hAnsi="Helvetica" w:cs="Helvetica"/>
          <w:lang w:val="en-GB"/>
        </w:rPr>
        <w:t xml:space="preserve"> </w:t>
      </w:r>
      <w:r w:rsidR="0093676D" w:rsidRPr="008A3778">
        <w:rPr>
          <w:rFonts w:ascii="Helvetica" w:eastAsia="HGMaruGothicMPRO" w:hAnsi="Helvetica" w:cs="Helvetica"/>
          <w:lang w:val="en-GB"/>
        </w:rPr>
        <w:t>comply with uniform rule 49(13)</w:t>
      </w:r>
      <w:r w:rsidR="002F7B9F" w:rsidRPr="008A3778">
        <w:rPr>
          <w:rFonts w:ascii="Helvetica" w:eastAsia="HGMaruGothicMPRO" w:hAnsi="Helvetica" w:cs="Helvetica"/>
          <w:lang w:val="en-GB"/>
        </w:rPr>
        <w:t>(a)</w:t>
      </w:r>
      <w:r w:rsidR="00FB7F9A">
        <w:rPr>
          <w:rFonts w:ascii="Helvetica" w:eastAsia="HGMaruGothicMPRO" w:hAnsi="Helvetica" w:cs="Helvetica"/>
          <w:lang w:val="en-GB"/>
        </w:rPr>
        <w:t>.</w:t>
      </w:r>
      <w:r w:rsidR="002F7B9F" w:rsidRPr="008A3778">
        <w:rPr>
          <w:rStyle w:val="FootnoteReference"/>
          <w:rFonts w:ascii="Helvetica" w:eastAsia="HGMaruGothicMPRO" w:hAnsi="Helvetica" w:cs="Helvetica"/>
          <w:lang w:val="en-GB"/>
        </w:rPr>
        <w:footnoteReference w:id="12"/>
      </w:r>
      <w:r w:rsidR="00D46A10" w:rsidRPr="008A3778">
        <w:rPr>
          <w:rFonts w:ascii="Helvetica" w:eastAsia="HGMaruGothicMPRO" w:hAnsi="Helvetica" w:cs="Helvetica"/>
          <w:lang w:val="en-GB"/>
        </w:rPr>
        <w:t xml:space="preserve"> </w:t>
      </w:r>
      <w:r w:rsidR="002E1969" w:rsidRPr="008A3778">
        <w:rPr>
          <w:rFonts w:ascii="Helvetica" w:eastAsia="HGMaruGothicMPRO" w:hAnsi="Helvetica" w:cs="Helvetica"/>
          <w:lang w:val="en-GB"/>
        </w:rPr>
        <w:t>Compliance with uniform rule 49(13)(a) is peremptory. The rule obliges the appellant</w:t>
      </w:r>
      <w:r w:rsidR="004149BF">
        <w:rPr>
          <w:rFonts w:ascii="Helvetica" w:eastAsia="HGMaruGothicMPRO" w:hAnsi="Helvetica" w:cs="Helvetica"/>
          <w:lang w:val="en-GB"/>
        </w:rPr>
        <w:t>s</w:t>
      </w:r>
      <w:r w:rsidR="002E1969" w:rsidRPr="008A3778">
        <w:rPr>
          <w:rFonts w:ascii="Helvetica" w:eastAsia="HGMaruGothicMPRO" w:hAnsi="Helvetica" w:cs="Helvetica"/>
          <w:lang w:val="en-GB"/>
        </w:rPr>
        <w:t xml:space="preserve"> to give security and moreover they should have done so before the lodging of the appeal record.</w:t>
      </w:r>
      <w:r w:rsidR="002E1969" w:rsidRPr="008A3778">
        <w:rPr>
          <w:rStyle w:val="FootnoteReference"/>
          <w:rFonts w:ascii="Helvetica" w:eastAsia="HGMaruGothicMPRO" w:hAnsi="Helvetica" w:cs="Helvetica"/>
          <w:lang w:val="en-GB"/>
        </w:rPr>
        <w:footnoteReference w:id="13"/>
      </w:r>
      <w:r w:rsidR="002E1969" w:rsidRPr="008A3778">
        <w:rPr>
          <w:rFonts w:ascii="Helvetica" w:eastAsia="HGMaruGothicMPRO" w:hAnsi="Helvetica" w:cs="Helvetica"/>
          <w:lang w:val="en-GB"/>
        </w:rPr>
        <w:t xml:space="preserve"> </w:t>
      </w:r>
      <w:r w:rsidR="0094237D">
        <w:rPr>
          <w:rFonts w:ascii="Helvetica" w:eastAsia="HGMaruGothicMPRO" w:hAnsi="Helvetica" w:cs="Helvetica"/>
          <w:lang w:val="en-GB"/>
        </w:rPr>
        <w:t>The appellants moreover do not appear to seriously dispute their obligation to furnish security.</w:t>
      </w:r>
      <w:r w:rsidR="008D463B" w:rsidRPr="008A3778">
        <w:rPr>
          <w:rFonts w:ascii="Helvetica" w:eastAsia="HGMaruGothicMPRO" w:hAnsi="Helvetica" w:cs="Helvetica"/>
          <w:lang w:val="en-GB"/>
        </w:rPr>
        <w:t xml:space="preserve"> </w:t>
      </w:r>
    </w:p>
    <w:p w14:paraId="443044EC" w14:textId="73043E6E" w:rsidR="008D463B" w:rsidRPr="008A3778" w:rsidRDefault="0094237D" w:rsidP="00094B19">
      <w:pPr>
        <w:numPr>
          <w:ilvl w:val="0"/>
          <w:numId w:val="1"/>
        </w:numPr>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T</w:t>
      </w:r>
      <w:r w:rsidR="008D463B" w:rsidRPr="008A3778">
        <w:rPr>
          <w:rFonts w:ascii="Helvetica" w:eastAsia="HGMaruGothicMPRO" w:hAnsi="Helvetica" w:cs="Helvetica"/>
          <w:lang w:val="en-GB"/>
        </w:rPr>
        <w:t xml:space="preserve">he appellants’ indifference to their </w:t>
      </w:r>
      <w:r w:rsidR="002E1969" w:rsidRPr="008A3778">
        <w:rPr>
          <w:rFonts w:ascii="Helvetica" w:eastAsia="HGMaruGothicMPRO" w:hAnsi="Helvetica" w:cs="Helvetica"/>
          <w:lang w:val="en-GB"/>
        </w:rPr>
        <w:t xml:space="preserve">security </w:t>
      </w:r>
      <w:r w:rsidR="008D463B" w:rsidRPr="008A3778">
        <w:rPr>
          <w:rFonts w:ascii="Helvetica" w:eastAsia="HGMaruGothicMPRO" w:hAnsi="Helvetica" w:cs="Helvetica"/>
          <w:lang w:val="en-GB"/>
        </w:rPr>
        <w:t>obligations</w:t>
      </w:r>
      <w:r>
        <w:rPr>
          <w:rFonts w:ascii="Helvetica" w:eastAsia="HGMaruGothicMPRO" w:hAnsi="Helvetica" w:cs="Helvetica"/>
          <w:lang w:val="en-GB"/>
        </w:rPr>
        <w:t xml:space="preserve"> is troubling</w:t>
      </w:r>
      <w:r w:rsidR="002E1969" w:rsidRPr="008A3778">
        <w:rPr>
          <w:rFonts w:ascii="Helvetica" w:eastAsia="HGMaruGothicMPRO" w:hAnsi="Helvetica" w:cs="Helvetica"/>
          <w:lang w:val="en-GB"/>
        </w:rPr>
        <w:t>. Despite the issue of the appellants’ rule 49(13)(a) recalcitrance forming the subject mat</w:t>
      </w:r>
      <w:r w:rsidR="00094B19" w:rsidRPr="008A3778">
        <w:rPr>
          <w:rFonts w:ascii="Helvetica" w:eastAsia="HGMaruGothicMPRO" w:hAnsi="Helvetica" w:cs="Helvetica"/>
          <w:lang w:val="en-GB"/>
        </w:rPr>
        <w:t>ter</w:t>
      </w:r>
      <w:r w:rsidR="002E1969" w:rsidRPr="008A3778">
        <w:rPr>
          <w:rFonts w:ascii="Helvetica" w:eastAsia="HGMaruGothicMPRO" w:hAnsi="Helvetica" w:cs="Helvetica"/>
          <w:lang w:val="en-GB"/>
        </w:rPr>
        <w:t xml:space="preserve"> </w:t>
      </w:r>
      <w:r w:rsidR="00585BDB" w:rsidRPr="008A3778">
        <w:rPr>
          <w:rFonts w:ascii="Helvetica" w:eastAsia="HGMaruGothicMPRO" w:hAnsi="Helvetica" w:cs="Helvetica"/>
          <w:lang w:val="en-GB"/>
        </w:rPr>
        <w:t xml:space="preserve">of </w:t>
      </w:r>
      <w:r w:rsidR="002E1969" w:rsidRPr="008A3778">
        <w:rPr>
          <w:rFonts w:ascii="Helvetica" w:eastAsia="HGMaruGothicMPRO" w:hAnsi="Helvetica" w:cs="Helvetica"/>
          <w:lang w:val="en-GB"/>
        </w:rPr>
        <w:t xml:space="preserve">correspondence </w:t>
      </w:r>
      <w:r w:rsidR="00585BDB" w:rsidRPr="008A3778">
        <w:rPr>
          <w:rFonts w:ascii="Helvetica" w:eastAsia="HGMaruGothicMPRO" w:hAnsi="Helvetica" w:cs="Helvetica"/>
          <w:lang w:val="en-GB"/>
        </w:rPr>
        <w:t>between the</w:t>
      </w:r>
      <w:r w:rsidR="002E1969" w:rsidRPr="008A3778">
        <w:rPr>
          <w:rFonts w:ascii="Helvetica" w:eastAsia="HGMaruGothicMPRO" w:hAnsi="Helvetica" w:cs="Helvetica"/>
          <w:lang w:val="en-GB"/>
        </w:rPr>
        <w:t xml:space="preserve"> relevant attorneys, the appellants make no mention of the issue in their heads of argument. </w:t>
      </w:r>
      <w:r w:rsidR="00094B19" w:rsidRPr="008A3778">
        <w:rPr>
          <w:rFonts w:ascii="Helvetica" w:eastAsia="HGMaruGothicMPRO" w:hAnsi="Helvetica" w:cs="Helvetica"/>
          <w:lang w:val="en-GB"/>
        </w:rPr>
        <w:t>The appellants</w:t>
      </w:r>
      <w:r w:rsidR="008C25F5">
        <w:rPr>
          <w:rFonts w:ascii="Helvetica" w:eastAsia="HGMaruGothicMPRO" w:hAnsi="Helvetica" w:cs="Helvetica"/>
          <w:lang w:val="en-GB"/>
        </w:rPr>
        <w:t>’</w:t>
      </w:r>
      <w:r w:rsidR="00094B19" w:rsidRPr="008A3778">
        <w:rPr>
          <w:rFonts w:ascii="Helvetica" w:eastAsia="HGMaruGothicMPRO" w:hAnsi="Helvetica" w:cs="Helvetica"/>
          <w:lang w:val="en-GB"/>
        </w:rPr>
        <w:t xml:space="preserve"> head-in-the-sand </w:t>
      </w:r>
      <w:r w:rsidR="00585BDB" w:rsidRPr="008A3778">
        <w:rPr>
          <w:rFonts w:ascii="Helvetica" w:eastAsia="HGMaruGothicMPRO" w:hAnsi="Helvetica" w:cs="Helvetica"/>
          <w:lang w:val="en-GB"/>
        </w:rPr>
        <w:t>attitude to the</w:t>
      </w:r>
      <w:r>
        <w:rPr>
          <w:rFonts w:ascii="Helvetica" w:eastAsia="HGMaruGothicMPRO" w:hAnsi="Helvetica" w:cs="Helvetica"/>
          <w:lang w:val="en-GB"/>
        </w:rPr>
        <w:t>ir</w:t>
      </w:r>
      <w:r w:rsidR="00585BDB" w:rsidRPr="008A3778">
        <w:rPr>
          <w:rFonts w:ascii="Helvetica" w:eastAsia="HGMaruGothicMPRO" w:hAnsi="Helvetica" w:cs="Helvetica"/>
          <w:lang w:val="en-GB"/>
        </w:rPr>
        <w:t xml:space="preserve"> uncontested </w:t>
      </w:r>
      <w:r>
        <w:rPr>
          <w:rFonts w:ascii="Helvetica" w:eastAsia="HGMaruGothicMPRO" w:hAnsi="Helvetica" w:cs="Helvetica"/>
          <w:lang w:val="en-GB"/>
        </w:rPr>
        <w:t xml:space="preserve">security </w:t>
      </w:r>
      <w:r w:rsidR="00585BDB" w:rsidRPr="008A3778">
        <w:rPr>
          <w:rFonts w:ascii="Helvetica" w:eastAsia="HGMaruGothicMPRO" w:hAnsi="Helvetica" w:cs="Helvetica"/>
          <w:lang w:val="en-GB"/>
        </w:rPr>
        <w:t>obligation</w:t>
      </w:r>
      <w:r w:rsidR="00094B19" w:rsidRPr="008A3778">
        <w:rPr>
          <w:rFonts w:ascii="Helvetica" w:eastAsia="HGMaruGothicMPRO" w:hAnsi="Helvetica" w:cs="Helvetica"/>
          <w:lang w:val="en-GB"/>
        </w:rPr>
        <w:t xml:space="preserve"> is unsatisfactory. The respondents thus seek, as is their right</w:t>
      </w:r>
      <w:r w:rsidR="008C25F5">
        <w:rPr>
          <w:rFonts w:ascii="Helvetica" w:eastAsia="HGMaruGothicMPRO" w:hAnsi="Helvetica" w:cs="Helvetica"/>
          <w:lang w:val="en-GB"/>
        </w:rPr>
        <w:t>,</w:t>
      </w:r>
      <w:r w:rsidR="00094B19" w:rsidRPr="008A3778">
        <w:rPr>
          <w:rStyle w:val="FootnoteReference"/>
          <w:rFonts w:ascii="Helvetica" w:eastAsia="HGMaruGothicMPRO" w:hAnsi="Helvetica" w:cs="Helvetica"/>
          <w:lang w:val="en-GB"/>
        </w:rPr>
        <w:footnoteReference w:id="14"/>
      </w:r>
      <w:r w:rsidR="00094B19" w:rsidRPr="008A3778">
        <w:rPr>
          <w:rFonts w:ascii="Helvetica" w:eastAsia="HGMaruGothicMPRO" w:hAnsi="Helvetica" w:cs="Helvetica"/>
          <w:lang w:val="en-GB"/>
        </w:rPr>
        <w:t xml:space="preserve"> an order that the appeal be struck </w:t>
      </w:r>
      <w:r w:rsidR="00EA64A1">
        <w:rPr>
          <w:rFonts w:ascii="Helvetica" w:eastAsia="HGMaruGothicMPRO" w:hAnsi="Helvetica" w:cs="Helvetica"/>
          <w:lang w:val="en-GB"/>
        </w:rPr>
        <w:t>from</w:t>
      </w:r>
      <w:r w:rsidR="00094B19" w:rsidRPr="008A3778">
        <w:rPr>
          <w:rFonts w:ascii="Helvetica" w:eastAsia="HGMaruGothicMPRO" w:hAnsi="Helvetica" w:cs="Helvetica"/>
          <w:lang w:val="en-GB"/>
        </w:rPr>
        <w:t xml:space="preserve"> the roll with costs. </w:t>
      </w:r>
      <w:r w:rsidR="00D529CE" w:rsidRPr="008A3778">
        <w:rPr>
          <w:rFonts w:ascii="Helvetica" w:eastAsia="HGMaruGothicMPRO" w:hAnsi="Helvetica" w:cs="Helvetica"/>
          <w:lang w:val="en-GB"/>
        </w:rPr>
        <w:t xml:space="preserve">Whilst there is indubitable merit in </w:t>
      </w:r>
      <w:r w:rsidR="00094B19" w:rsidRPr="008A3778">
        <w:rPr>
          <w:rFonts w:ascii="Helvetica" w:eastAsia="HGMaruGothicMPRO" w:hAnsi="Helvetica" w:cs="Helvetica"/>
          <w:lang w:val="en-GB"/>
        </w:rPr>
        <w:t xml:space="preserve">respondents’ </w:t>
      </w:r>
      <w:r w:rsidR="00D529CE" w:rsidRPr="008A3778">
        <w:rPr>
          <w:rFonts w:ascii="Helvetica" w:eastAsia="HGMaruGothicMPRO" w:hAnsi="Helvetica" w:cs="Helvetica"/>
          <w:lang w:val="en-GB"/>
        </w:rPr>
        <w:t>position, I am reluctant to</w:t>
      </w:r>
      <w:r w:rsidR="00094B19" w:rsidRPr="008A3778">
        <w:rPr>
          <w:rFonts w:ascii="Helvetica" w:eastAsia="HGMaruGothicMPRO" w:hAnsi="Helvetica" w:cs="Helvetica"/>
          <w:lang w:val="en-GB"/>
        </w:rPr>
        <w:t xml:space="preserve"> strike the appeal </w:t>
      </w:r>
      <w:r w:rsidR="00EA64A1">
        <w:rPr>
          <w:rFonts w:ascii="Helvetica" w:eastAsia="HGMaruGothicMPRO" w:hAnsi="Helvetica" w:cs="Helvetica"/>
          <w:lang w:val="en-GB"/>
        </w:rPr>
        <w:t>from</w:t>
      </w:r>
      <w:r w:rsidR="00094B19" w:rsidRPr="008A3778">
        <w:rPr>
          <w:rFonts w:ascii="Helvetica" w:eastAsia="HGMaruGothicMPRO" w:hAnsi="Helvetica" w:cs="Helvetica"/>
          <w:lang w:val="en-GB"/>
        </w:rPr>
        <w:t xml:space="preserve"> the roll. </w:t>
      </w:r>
    </w:p>
    <w:p w14:paraId="03749A6B" w14:textId="4527E423" w:rsidR="00AE3BE3" w:rsidRPr="008A3778" w:rsidRDefault="00D529CE" w:rsidP="00094B19">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75358C" w:rsidRPr="008A3778">
        <w:rPr>
          <w:rFonts w:ascii="Helvetica" w:eastAsia="HGMaruGothicMPRO" w:hAnsi="Helvetica" w:cs="Helvetica"/>
          <w:lang w:val="en-GB"/>
        </w:rPr>
        <w:t xml:space="preserve">he striking </w:t>
      </w:r>
      <w:r w:rsidR="002E1969" w:rsidRPr="008A3778">
        <w:rPr>
          <w:rFonts w:ascii="Helvetica" w:eastAsia="HGMaruGothicMPRO" w:hAnsi="Helvetica" w:cs="Helvetica"/>
          <w:lang w:val="en-GB"/>
        </w:rPr>
        <w:t xml:space="preserve">of </w:t>
      </w:r>
      <w:r w:rsidR="0075358C" w:rsidRPr="008A3778">
        <w:rPr>
          <w:rFonts w:ascii="Helvetica" w:eastAsia="HGMaruGothicMPRO" w:hAnsi="Helvetica" w:cs="Helvetica"/>
          <w:lang w:val="en-GB"/>
        </w:rPr>
        <w:t>a</w:t>
      </w:r>
      <w:r w:rsidR="00461505" w:rsidRPr="008A3778">
        <w:rPr>
          <w:rFonts w:ascii="Helvetica" w:eastAsia="HGMaruGothicMPRO" w:hAnsi="Helvetica" w:cs="Helvetica"/>
          <w:lang w:val="en-GB"/>
        </w:rPr>
        <w:t xml:space="preserve">n </w:t>
      </w:r>
      <w:r w:rsidR="00036D96" w:rsidRPr="008A3778">
        <w:rPr>
          <w:rFonts w:ascii="Helvetica" w:eastAsia="HGMaruGothicMPRO" w:hAnsi="Helvetica" w:cs="Helvetica"/>
          <w:lang w:val="en-GB"/>
        </w:rPr>
        <w:t xml:space="preserve">appeal, let alone any matter, </w:t>
      </w:r>
      <w:r w:rsidR="00EA64A1">
        <w:rPr>
          <w:rFonts w:ascii="Helvetica" w:eastAsia="HGMaruGothicMPRO" w:hAnsi="Helvetica" w:cs="Helvetica"/>
          <w:lang w:val="en-GB"/>
        </w:rPr>
        <w:t>from</w:t>
      </w:r>
      <w:r w:rsidR="00C919A6" w:rsidRPr="008A3778">
        <w:rPr>
          <w:rFonts w:ascii="Helvetica" w:eastAsia="HGMaruGothicMPRO" w:hAnsi="Helvetica" w:cs="Helvetica"/>
          <w:lang w:val="en-GB"/>
        </w:rPr>
        <w:t xml:space="preserve"> </w:t>
      </w:r>
      <w:r w:rsidR="0075358C" w:rsidRPr="008A3778">
        <w:rPr>
          <w:rFonts w:ascii="Helvetica" w:eastAsia="HGMaruGothicMPRO" w:hAnsi="Helvetica" w:cs="Helvetica"/>
          <w:lang w:val="en-GB"/>
        </w:rPr>
        <w:t xml:space="preserve">the </w:t>
      </w:r>
      <w:r w:rsidR="00353A05" w:rsidRPr="008A3778">
        <w:rPr>
          <w:rFonts w:ascii="Helvetica" w:eastAsia="HGMaruGothicMPRO" w:hAnsi="Helvetica" w:cs="Helvetica"/>
          <w:lang w:val="en-GB"/>
        </w:rPr>
        <w:t xml:space="preserve">relevant </w:t>
      </w:r>
      <w:r w:rsidR="0075358C" w:rsidRPr="008A3778">
        <w:rPr>
          <w:rFonts w:ascii="Helvetica" w:eastAsia="HGMaruGothicMPRO" w:hAnsi="Helvetica" w:cs="Helvetica"/>
          <w:lang w:val="en-GB"/>
        </w:rPr>
        <w:t>roll</w:t>
      </w:r>
      <w:r w:rsidR="00934E90">
        <w:rPr>
          <w:rFonts w:ascii="Helvetica" w:eastAsia="HGMaruGothicMPRO" w:hAnsi="Helvetica" w:cs="Helvetica"/>
          <w:lang w:val="en-GB"/>
        </w:rPr>
        <w:t>:</w:t>
      </w:r>
      <w:r w:rsidR="00FB4820"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(i) </w:t>
      </w:r>
      <w:r w:rsidR="00FB4820" w:rsidRPr="008A3778">
        <w:rPr>
          <w:rFonts w:ascii="Helvetica" w:eastAsia="HGMaruGothicMPRO" w:hAnsi="Helvetica" w:cs="Helvetica"/>
          <w:lang w:val="en-GB"/>
        </w:rPr>
        <w:t xml:space="preserve">does not constitute a determination of </w:t>
      </w:r>
      <w:r w:rsidR="00F510D2" w:rsidRPr="008A3778">
        <w:rPr>
          <w:rFonts w:ascii="Helvetica" w:eastAsia="HGMaruGothicMPRO" w:hAnsi="Helvetica" w:cs="Helvetica"/>
          <w:lang w:val="en-GB"/>
        </w:rPr>
        <w:t>the merits of the</w:t>
      </w:r>
      <w:r w:rsidRPr="008A3778">
        <w:rPr>
          <w:rFonts w:ascii="Helvetica" w:eastAsia="HGMaruGothicMPRO" w:hAnsi="Helvetica" w:cs="Helvetica"/>
          <w:lang w:val="en-GB"/>
        </w:rPr>
        <w:t xml:space="preserve"> matter</w:t>
      </w:r>
      <w:r w:rsidR="008E2196" w:rsidRPr="008A3778">
        <w:rPr>
          <w:rFonts w:ascii="Helvetica" w:eastAsia="HGMaruGothicMPRO" w:hAnsi="Helvetica" w:cs="Helvetica"/>
          <w:lang w:val="en-GB"/>
        </w:rPr>
        <w:t>,</w:t>
      </w:r>
      <w:r w:rsidR="003765B6" w:rsidRPr="008A3778">
        <w:rPr>
          <w:rFonts w:ascii="Helvetica" w:eastAsia="HGMaruGothicMPRO" w:hAnsi="Helvetica" w:cs="Helvetica"/>
          <w:vertAlign w:val="superscript"/>
          <w:lang w:val="en-GB"/>
        </w:rPr>
        <w:footnoteReference w:id="15"/>
      </w:r>
      <w:r w:rsidR="00F510D2" w:rsidRPr="008A3778">
        <w:rPr>
          <w:rFonts w:ascii="Helvetica" w:eastAsia="HGMaruGothicMPRO" w:hAnsi="Helvetica" w:cs="Helvetica"/>
          <w:lang w:val="en-GB"/>
        </w:rPr>
        <w:t xml:space="preserve"> </w:t>
      </w:r>
      <w:r w:rsidR="008E2196" w:rsidRPr="008A3778">
        <w:rPr>
          <w:rFonts w:ascii="Helvetica" w:eastAsia="HGMaruGothicMPRO" w:hAnsi="Helvetica" w:cs="Helvetica"/>
          <w:lang w:val="en-GB"/>
        </w:rPr>
        <w:t>and</w:t>
      </w:r>
      <w:r w:rsidR="00116192" w:rsidRPr="008A3778">
        <w:rPr>
          <w:rFonts w:ascii="Helvetica" w:eastAsia="HGMaruGothicMPRO" w:hAnsi="Helvetica" w:cs="Helvetica"/>
          <w:lang w:val="en-GB"/>
        </w:rPr>
        <w:t xml:space="preserve"> </w:t>
      </w:r>
      <w:r w:rsidR="00353A05" w:rsidRPr="008A3778">
        <w:rPr>
          <w:rFonts w:ascii="Helvetica" w:eastAsia="HGMaruGothicMPRO" w:hAnsi="Helvetica" w:cs="Helvetica"/>
          <w:lang w:val="en-GB"/>
        </w:rPr>
        <w:t>(ii)</w:t>
      </w:r>
      <w:r w:rsidR="00116192"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does not </w:t>
      </w:r>
      <w:r w:rsidR="00116192" w:rsidRPr="008A3778">
        <w:rPr>
          <w:rFonts w:ascii="Helvetica" w:eastAsia="HGMaruGothicMPRO" w:hAnsi="Helvetica" w:cs="Helvetica"/>
          <w:lang w:val="en-GB"/>
        </w:rPr>
        <w:t xml:space="preserve">have the effect </w:t>
      </w:r>
      <w:r w:rsidR="00116192" w:rsidRPr="008A3778">
        <w:rPr>
          <w:rFonts w:ascii="Helvetica" w:eastAsia="HGMaruGothicMPRO" w:hAnsi="Helvetica" w:cs="Helvetica"/>
          <w:lang w:val="en-GB"/>
        </w:rPr>
        <w:lastRenderedPageBreak/>
        <w:t xml:space="preserve">of </w:t>
      </w:r>
      <w:r w:rsidR="00116192" w:rsidRPr="008A3778">
        <w:rPr>
          <w:rFonts w:ascii="Helvetica" w:eastAsia="HGMaruGothicMPRO" w:hAnsi="Helvetica" w:cs="Helvetica"/>
          <w:i/>
          <w:iCs/>
          <w:lang w:val="en-GB"/>
        </w:rPr>
        <w:t>res judicata</w:t>
      </w:r>
      <w:r w:rsidR="00116192" w:rsidRPr="008A3778">
        <w:rPr>
          <w:rFonts w:ascii="Helvetica" w:eastAsia="HGMaruGothicMPRO" w:hAnsi="Helvetica" w:cs="Helvetica"/>
          <w:lang w:val="en-GB"/>
        </w:rPr>
        <w:t>.</w:t>
      </w:r>
      <w:r w:rsidR="00116192" w:rsidRPr="008A3778">
        <w:rPr>
          <w:rStyle w:val="FootnoteReference"/>
          <w:rFonts w:ascii="Helvetica" w:eastAsia="HGMaruGothicMPRO" w:hAnsi="Helvetica" w:cs="Helvetica"/>
          <w:lang w:val="en-GB"/>
        </w:rPr>
        <w:footnoteReference w:id="16"/>
      </w:r>
      <w:r w:rsidR="00580916" w:rsidRPr="008A3778">
        <w:rPr>
          <w:rFonts w:ascii="Helvetica" w:eastAsia="HGMaruGothicMPRO" w:hAnsi="Helvetica" w:cs="Helvetica"/>
          <w:lang w:val="en-GB"/>
        </w:rPr>
        <w:t xml:space="preserve"> Rather</w:t>
      </w:r>
      <w:r w:rsidR="008E2196" w:rsidRPr="008A3778">
        <w:rPr>
          <w:rFonts w:ascii="Helvetica" w:eastAsia="HGMaruGothicMPRO" w:hAnsi="Helvetica" w:cs="Helvetica"/>
          <w:lang w:val="en-GB"/>
        </w:rPr>
        <w:t>,</w:t>
      </w:r>
      <w:r w:rsidR="00937A44" w:rsidRPr="008A3778">
        <w:rPr>
          <w:rFonts w:ascii="Helvetica" w:eastAsia="HGMaruGothicMPRO" w:hAnsi="Helvetica" w:cs="Helvetica"/>
          <w:lang w:val="en-GB"/>
        </w:rPr>
        <w:t xml:space="preserve"> </w:t>
      </w:r>
      <w:r w:rsidR="008E2196" w:rsidRPr="008A3778">
        <w:rPr>
          <w:rFonts w:ascii="Helvetica" w:eastAsia="HGMaruGothicMPRO" w:hAnsi="Helvetica" w:cs="Helvetica"/>
          <w:lang w:val="en-GB"/>
        </w:rPr>
        <w:t xml:space="preserve">the effect of </w:t>
      </w:r>
      <w:r w:rsidR="00937A44" w:rsidRPr="008A3778">
        <w:rPr>
          <w:rFonts w:ascii="Helvetica" w:eastAsia="HGMaruGothicMPRO" w:hAnsi="Helvetica" w:cs="Helvetica"/>
          <w:lang w:val="en-GB"/>
        </w:rPr>
        <w:t xml:space="preserve">an order striking an appeal from the court roll is twofold. First, the appeal </w:t>
      </w:r>
      <w:r w:rsidR="00DE1454" w:rsidRPr="008A3778">
        <w:rPr>
          <w:rFonts w:ascii="Helvetica" w:eastAsia="HGMaruGothicMPRO" w:hAnsi="Helvetica" w:cs="Helvetica"/>
          <w:lang w:val="en-GB"/>
        </w:rPr>
        <w:t>is discontinued and</w:t>
      </w:r>
      <w:r w:rsidR="006E6DBD" w:rsidRPr="008A3778">
        <w:rPr>
          <w:rFonts w:ascii="Helvetica" w:eastAsia="HGMaruGothicMPRO" w:hAnsi="Helvetica" w:cs="Helvetica"/>
          <w:lang w:val="en-GB"/>
        </w:rPr>
        <w:t>,</w:t>
      </w:r>
      <w:r w:rsidR="00DE1454" w:rsidRPr="008A3778">
        <w:rPr>
          <w:rFonts w:ascii="Helvetica" w:eastAsia="HGMaruGothicMPRO" w:hAnsi="Helvetica" w:cs="Helvetica"/>
          <w:lang w:val="en-GB"/>
        </w:rPr>
        <w:t xml:space="preserve"> as such</w:t>
      </w:r>
      <w:r w:rsidR="006E6DBD" w:rsidRPr="008A3778">
        <w:rPr>
          <w:rFonts w:ascii="Helvetica" w:eastAsia="HGMaruGothicMPRO" w:hAnsi="Helvetica" w:cs="Helvetica"/>
          <w:lang w:val="en-GB"/>
        </w:rPr>
        <w:t>,</w:t>
      </w:r>
      <w:r w:rsidR="00DE1454" w:rsidRPr="008A3778">
        <w:rPr>
          <w:rFonts w:ascii="Helvetica" w:eastAsia="HGMaruGothicMPRO" w:hAnsi="Helvetica" w:cs="Helvetica"/>
          <w:lang w:val="en-GB"/>
        </w:rPr>
        <w:t xml:space="preserve"> </w:t>
      </w:r>
      <w:r w:rsidR="00937A44" w:rsidRPr="008A3778">
        <w:rPr>
          <w:rFonts w:ascii="Helvetica" w:eastAsia="HGMaruGothicMPRO" w:hAnsi="Helvetica" w:cs="Helvetica"/>
          <w:lang w:val="en-GB"/>
        </w:rPr>
        <w:t>lapses</w:t>
      </w:r>
      <w:r w:rsidR="008E2196" w:rsidRPr="008A3778">
        <w:rPr>
          <w:rFonts w:ascii="Helvetica" w:eastAsia="HGMaruGothicMPRO" w:hAnsi="Helvetica" w:cs="Helvetica"/>
          <w:lang w:val="en-GB"/>
        </w:rPr>
        <w:t>.</w:t>
      </w:r>
      <w:r w:rsidR="00937A44" w:rsidRPr="008A3778">
        <w:rPr>
          <w:rFonts w:ascii="Helvetica" w:eastAsia="HGMaruGothicMPRO" w:hAnsi="Helvetica" w:cs="Helvetica"/>
          <w:lang w:val="en-GB"/>
        </w:rPr>
        <w:t xml:space="preserve"> </w:t>
      </w:r>
      <w:r w:rsidR="008E2196" w:rsidRPr="008A3778">
        <w:rPr>
          <w:rFonts w:ascii="Helvetica" w:eastAsia="HGMaruGothicMPRO" w:hAnsi="Helvetica" w:cs="Helvetica"/>
          <w:lang w:val="en-GB"/>
        </w:rPr>
        <w:t>S</w:t>
      </w:r>
      <w:r w:rsidR="00937A44" w:rsidRPr="008A3778">
        <w:rPr>
          <w:rFonts w:ascii="Helvetica" w:eastAsia="HGMaruGothicMPRO" w:hAnsi="Helvetica" w:cs="Helvetica"/>
          <w:lang w:val="en-GB"/>
        </w:rPr>
        <w:t>econd, the</w:t>
      </w:r>
      <w:r w:rsidR="009C3F34" w:rsidRPr="008A3778">
        <w:rPr>
          <w:rFonts w:ascii="Helvetica" w:eastAsia="HGMaruGothicMPRO" w:hAnsi="Helvetica" w:cs="Helvetica"/>
          <w:lang w:val="en-GB"/>
        </w:rPr>
        <w:t xml:space="preserve"> operation of the order </w:t>
      </w:r>
      <w:r w:rsidR="00DE1454" w:rsidRPr="008A3778">
        <w:rPr>
          <w:rFonts w:ascii="Helvetica" w:eastAsia="HGMaruGothicMPRO" w:hAnsi="Helvetica" w:cs="Helvetica"/>
          <w:lang w:val="en-GB"/>
        </w:rPr>
        <w:t xml:space="preserve">appealed </w:t>
      </w:r>
      <w:r w:rsidR="009C3F34" w:rsidRPr="008A3778">
        <w:rPr>
          <w:rFonts w:ascii="Helvetica" w:eastAsia="HGMaruGothicMPRO" w:hAnsi="Helvetica" w:cs="Helvetica"/>
          <w:lang w:val="en-GB"/>
        </w:rPr>
        <w:t>against is no longer suspended</w:t>
      </w:r>
      <w:r w:rsidR="00EB74C2" w:rsidRPr="008A3778">
        <w:rPr>
          <w:rFonts w:ascii="Helvetica" w:eastAsia="HGMaruGothicMPRO" w:hAnsi="Helvetica" w:cs="Helvetica"/>
          <w:lang w:val="en-GB"/>
        </w:rPr>
        <w:t>.</w:t>
      </w:r>
      <w:r w:rsidR="008850A3" w:rsidRPr="008A3778">
        <w:rPr>
          <w:rStyle w:val="FootnoteReference"/>
          <w:rFonts w:ascii="Helvetica" w:eastAsia="HGMaruGothicMPRO" w:hAnsi="Helvetica" w:cs="Helvetica"/>
          <w:lang w:val="en-GB"/>
        </w:rPr>
        <w:footnoteReference w:id="17"/>
      </w:r>
      <w:r w:rsidR="003D25B8" w:rsidRPr="008A3778">
        <w:rPr>
          <w:rFonts w:ascii="Helvetica" w:eastAsia="HGMaruGothicMPRO" w:hAnsi="Helvetica" w:cs="Helvetica"/>
          <w:lang w:val="en-GB"/>
        </w:rPr>
        <w:t xml:space="preserve"> That said,</w:t>
      </w:r>
      <w:r w:rsidR="00EB74C2" w:rsidRPr="008A3778">
        <w:rPr>
          <w:rFonts w:ascii="Helvetica" w:eastAsia="HGMaruGothicMPRO" w:hAnsi="Helvetica" w:cs="Helvetica"/>
          <w:lang w:val="en-GB"/>
        </w:rPr>
        <w:t xml:space="preserve"> an appeal that has lapsed can be resurrected </w:t>
      </w:r>
      <w:r w:rsidR="00B07EF6">
        <w:rPr>
          <w:rFonts w:ascii="Helvetica" w:eastAsia="HGMaruGothicMPRO" w:hAnsi="Helvetica" w:cs="Helvetica"/>
          <w:lang w:val="en-GB"/>
        </w:rPr>
        <w:t>via</w:t>
      </w:r>
      <w:r w:rsidR="00EB74C2" w:rsidRPr="008A3778">
        <w:rPr>
          <w:rFonts w:ascii="Helvetica" w:eastAsia="HGMaruGothicMPRO" w:hAnsi="Helvetica" w:cs="Helvetica"/>
          <w:lang w:val="en-GB"/>
        </w:rPr>
        <w:t xml:space="preserve"> a</w:t>
      </w:r>
      <w:r w:rsidR="00270754" w:rsidRPr="008A3778">
        <w:rPr>
          <w:rFonts w:ascii="Helvetica" w:eastAsia="HGMaruGothicMPRO" w:hAnsi="Helvetica" w:cs="Helvetica"/>
          <w:lang w:val="en-GB"/>
        </w:rPr>
        <w:t xml:space="preserve"> successful</w:t>
      </w:r>
      <w:r w:rsidR="00EB74C2" w:rsidRPr="008A3778">
        <w:rPr>
          <w:rFonts w:ascii="Helvetica" w:eastAsia="HGMaruGothicMPRO" w:hAnsi="Helvetica" w:cs="Helvetica"/>
          <w:lang w:val="en-GB"/>
        </w:rPr>
        <w:t xml:space="preserve"> application for </w:t>
      </w:r>
      <w:r w:rsidR="00C70763" w:rsidRPr="008A3778">
        <w:rPr>
          <w:rFonts w:ascii="Helvetica" w:eastAsia="HGMaruGothicMPRO" w:hAnsi="Helvetica" w:cs="Helvetica"/>
          <w:lang w:val="en-GB"/>
        </w:rPr>
        <w:t xml:space="preserve">condonation and </w:t>
      </w:r>
      <w:r w:rsidR="00EB74C2" w:rsidRPr="008A3778">
        <w:rPr>
          <w:rFonts w:ascii="Helvetica" w:eastAsia="HGMaruGothicMPRO" w:hAnsi="Helvetica" w:cs="Helvetica"/>
          <w:lang w:val="en-GB"/>
        </w:rPr>
        <w:t>re-enrolment</w:t>
      </w:r>
      <w:r w:rsidR="0025313A" w:rsidRPr="008A3778">
        <w:rPr>
          <w:rFonts w:ascii="Helvetica" w:eastAsia="HGMaruGothicMPRO" w:hAnsi="Helvetica" w:cs="Helvetica"/>
          <w:lang w:val="en-GB"/>
        </w:rPr>
        <w:t xml:space="preserve">. The court hearing the appeal will, in the normal course, </w:t>
      </w:r>
      <w:r w:rsidR="003D25B8" w:rsidRPr="008A3778">
        <w:rPr>
          <w:rFonts w:ascii="Helvetica" w:eastAsia="HGMaruGothicMPRO" w:hAnsi="Helvetica" w:cs="Helvetica"/>
          <w:lang w:val="en-GB"/>
        </w:rPr>
        <w:t>adjudicate and determine t</w:t>
      </w:r>
      <w:r w:rsidR="0025313A" w:rsidRPr="008A3778">
        <w:rPr>
          <w:rFonts w:ascii="Helvetica" w:eastAsia="HGMaruGothicMPRO" w:hAnsi="Helvetica" w:cs="Helvetica"/>
          <w:lang w:val="en-GB"/>
        </w:rPr>
        <w:t xml:space="preserve">he </w:t>
      </w:r>
      <w:r w:rsidR="00C70763" w:rsidRPr="008A3778">
        <w:rPr>
          <w:rFonts w:ascii="Helvetica" w:eastAsia="HGMaruGothicMPRO" w:hAnsi="Helvetica" w:cs="Helvetica"/>
          <w:lang w:val="en-GB"/>
        </w:rPr>
        <w:t xml:space="preserve">condonation and </w:t>
      </w:r>
      <w:r w:rsidR="0025313A" w:rsidRPr="008A3778">
        <w:rPr>
          <w:rFonts w:ascii="Helvetica" w:eastAsia="HGMaruGothicMPRO" w:hAnsi="Helvetica" w:cs="Helvetica"/>
          <w:lang w:val="en-GB"/>
        </w:rPr>
        <w:t>re-enrolment</w:t>
      </w:r>
      <w:r w:rsidR="00EB74C2" w:rsidRPr="008A3778">
        <w:rPr>
          <w:rFonts w:ascii="Helvetica" w:eastAsia="HGMaruGothicMPRO" w:hAnsi="Helvetica" w:cs="Helvetica"/>
          <w:lang w:val="en-GB"/>
        </w:rPr>
        <w:t xml:space="preserve"> </w:t>
      </w:r>
      <w:r w:rsidR="00BB66C7" w:rsidRPr="008A3778">
        <w:rPr>
          <w:rFonts w:ascii="Helvetica" w:eastAsia="HGMaruGothicMPRO" w:hAnsi="Helvetica" w:cs="Helvetica"/>
          <w:lang w:val="en-GB"/>
        </w:rPr>
        <w:t>application</w:t>
      </w:r>
      <w:r w:rsidR="003D25B8" w:rsidRPr="008A3778">
        <w:rPr>
          <w:rFonts w:ascii="Helvetica" w:eastAsia="HGMaruGothicMPRO" w:hAnsi="Helvetica" w:cs="Helvetica"/>
          <w:lang w:val="en-GB"/>
        </w:rPr>
        <w:t>.</w:t>
      </w:r>
      <w:r w:rsidR="002C2E30" w:rsidRPr="008A3778">
        <w:rPr>
          <w:rFonts w:ascii="Helvetica" w:eastAsia="HGMaruGothicMPRO" w:hAnsi="Helvetica" w:cs="Helvetica"/>
          <w:vertAlign w:val="superscript"/>
          <w:lang w:val="en-GB"/>
        </w:rPr>
        <w:footnoteReference w:id="18"/>
      </w:r>
      <w:r w:rsidR="003D25B8" w:rsidRPr="008A3778">
        <w:rPr>
          <w:rFonts w:ascii="Helvetica" w:eastAsia="HGMaruGothicMPRO" w:hAnsi="Helvetica" w:cs="Helvetica"/>
          <w:lang w:val="en-GB"/>
        </w:rPr>
        <w:t xml:space="preserve"> </w:t>
      </w:r>
    </w:p>
    <w:p w14:paraId="27A9B8F8" w14:textId="77777777" w:rsidR="00B07EF6" w:rsidRDefault="003251FC" w:rsidP="009E1370">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w:t>
      </w:r>
      <w:r w:rsidR="003D25B8" w:rsidRPr="008A3778">
        <w:rPr>
          <w:rFonts w:ascii="Helvetica" w:eastAsia="HGMaruGothicMPRO" w:hAnsi="Helvetica" w:cs="Helvetica"/>
          <w:lang w:val="en-GB"/>
        </w:rPr>
        <w:t xml:space="preserve">s such, </w:t>
      </w:r>
      <w:r w:rsidR="00623D6C">
        <w:rPr>
          <w:rFonts w:ascii="Helvetica" w:eastAsia="HGMaruGothicMPRO" w:hAnsi="Helvetica" w:cs="Helvetica"/>
          <w:lang w:val="en-GB"/>
        </w:rPr>
        <w:t>if</w:t>
      </w:r>
      <w:r w:rsidR="00270754" w:rsidRPr="008A3778">
        <w:rPr>
          <w:rFonts w:ascii="Helvetica" w:eastAsia="HGMaruGothicMPRO" w:hAnsi="Helvetica" w:cs="Helvetica"/>
          <w:lang w:val="en-GB"/>
        </w:rPr>
        <w:t xml:space="preserve"> this </w:t>
      </w:r>
      <w:r w:rsidRPr="008A3778">
        <w:rPr>
          <w:rFonts w:ascii="Helvetica" w:eastAsia="HGMaruGothicMPRO" w:hAnsi="Helvetica" w:cs="Helvetica"/>
          <w:lang w:val="en-GB"/>
        </w:rPr>
        <w:t xml:space="preserve">appeal were to be struck </w:t>
      </w:r>
      <w:r w:rsidR="00EA64A1">
        <w:rPr>
          <w:rFonts w:ascii="Helvetica" w:eastAsia="HGMaruGothicMPRO" w:hAnsi="Helvetica" w:cs="Helvetica"/>
          <w:lang w:val="en-GB"/>
        </w:rPr>
        <w:t xml:space="preserve">from </w:t>
      </w:r>
      <w:r w:rsidRPr="008A3778">
        <w:rPr>
          <w:rFonts w:ascii="Helvetica" w:eastAsia="HGMaruGothicMPRO" w:hAnsi="Helvetica" w:cs="Helvetica"/>
          <w:lang w:val="en-GB"/>
        </w:rPr>
        <w:t>the roll, the appellants can nevertheless</w:t>
      </w:r>
      <w:r w:rsidR="00270754" w:rsidRPr="008A3778">
        <w:rPr>
          <w:rFonts w:ascii="Helvetica" w:eastAsia="HGMaruGothicMPRO" w:hAnsi="Helvetica" w:cs="Helvetica"/>
          <w:lang w:val="en-GB"/>
        </w:rPr>
        <w:t xml:space="preserve"> seek to </w:t>
      </w:r>
      <w:r w:rsidRPr="008A3778">
        <w:rPr>
          <w:rFonts w:ascii="Helvetica" w:eastAsia="HGMaruGothicMPRO" w:hAnsi="Helvetica" w:cs="Helvetica"/>
          <w:lang w:val="en-GB"/>
        </w:rPr>
        <w:t>resurrect the</w:t>
      </w:r>
      <w:r w:rsidR="00270754" w:rsidRPr="008A3778">
        <w:rPr>
          <w:rFonts w:ascii="Helvetica" w:eastAsia="HGMaruGothicMPRO" w:hAnsi="Helvetica" w:cs="Helvetica"/>
          <w:lang w:val="en-GB"/>
        </w:rPr>
        <w:t>ir</w:t>
      </w:r>
      <w:r w:rsidRPr="008A3778">
        <w:rPr>
          <w:rFonts w:ascii="Helvetica" w:eastAsia="HGMaruGothicMPRO" w:hAnsi="Helvetica" w:cs="Helvetica"/>
          <w:lang w:val="en-GB"/>
        </w:rPr>
        <w:t xml:space="preserve"> appeal. </w:t>
      </w:r>
      <w:r w:rsidR="00AE3BE3" w:rsidRPr="008A3778">
        <w:rPr>
          <w:rFonts w:ascii="Helvetica" w:eastAsia="HGMaruGothicMPRO" w:hAnsi="Helvetica" w:cs="Helvetica"/>
          <w:lang w:val="en-GB"/>
        </w:rPr>
        <w:t>G</w:t>
      </w:r>
      <w:r w:rsidR="00187789" w:rsidRPr="008A3778">
        <w:rPr>
          <w:rFonts w:ascii="Helvetica" w:eastAsia="HGMaruGothicMPRO" w:hAnsi="Helvetica" w:cs="Helvetica"/>
          <w:lang w:val="en-GB"/>
        </w:rPr>
        <w:t>iven their historical conduct</w:t>
      </w:r>
      <w:r w:rsidR="00186A1F" w:rsidRPr="008A3778">
        <w:rPr>
          <w:rFonts w:ascii="Helvetica" w:eastAsia="HGMaruGothicMPRO" w:hAnsi="Helvetica" w:cs="Helvetica"/>
          <w:lang w:val="en-GB"/>
        </w:rPr>
        <w:t>, the</w:t>
      </w:r>
      <w:r w:rsidR="00187789" w:rsidRPr="008A3778">
        <w:rPr>
          <w:rFonts w:ascii="Helvetica" w:eastAsia="HGMaruGothicMPRO" w:hAnsi="Helvetica" w:cs="Helvetica"/>
          <w:lang w:val="en-GB"/>
        </w:rPr>
        <w:t>re is a real</w:t>
      </w:r>
      <w:r w:rsidR="00186A1F" w:rsidRPr="008A3778">
        <w:rPr>
          <w:rFonts w:ascii="Helvetica" w:eastAsia="HGMaruGothicMPRO" w:hAnsi="Helvetica" w:cs="Helvetica"/>
          <w:lang w:val="en-GB"/>
        </w:rPr>
        <w:t xml:space="preserve"> </w:t>
      </w:r>
      <w:r w:rsidR="00AE3BE3" w:rsidRPr="008A3778">
        <w:rPr>
          <w:rFonts w:ascii="Helvetica" w:eastAsia="HGMaruGothicMPRO" w:hAnsi="Helvetica" w:cs="Helvetica"/>
          <w:lang w:val="en-GB"/>
        </w:rPr>
        <w:t xml:space="preserve">and genuine </w:t>
      </w:r>
      <w:r w:rsidR="00186A1F" w:rsidRPr="008A3778">
        <w:rPr>
          <w:rFonts w:ascii="Helvetica" w:eastAsia="HGMaruGothicMPRO" w:hAnsi="Helvetica" w:cs="Helvetica"/>
          <w:lang w:val="en-GB"/>
        </w:rPr>
        <w:t xml:space="preserve">prospect </w:t>
      </w:r>
      <w:r w:rsidR="00187789" w:rsidRPr="008A3778">
        <w:rPr>
          <w:rFonts w:ascii="Helvetica" w:eastAsia="HGMaruGothicMPRO" w:hAnsi="Helvetica" w:cs="Helvetica"/>
          <w:lang w:val="en-GB"/>
        </w:rPr>
        <w:t>that</w:t>
      </w:r>
      <w:r w:rsidR="00186A1F" w:rsidRPr="008A3778">
        <w:rPr>
          <w:rFonts w:ascii="Helvetica" w:eastAsia="HGMaruGothicMPRO" w:hAnsi="Helvetica" w:cs="Helvetica"/>
          <w:lang w:val="en-GB"/>
        </w:rPr>
        <w:t xml:space="preserve"> the appellants</w:t>
      </w:r>
      <w:r w:rsidR="00A55092" w:rsidRPr="008A3778">
        <w:rPr>
          <w:rFonts w:ascii="Helvetica" w:eastAsia="HGMaruGothicMPRO" w:hAnsi="Helvetica" w:cs="Helvetica"/>
          <w:lang w:val="en-GB"/>
        </w:rPr>
        <w:t xml:space="preserve"> will </w:t>
      </w:r>
      <w:r w:rsidR="00BB0C87" w:rsidRPr="008A3778">
        <w:rPr>
          <w:rFonts w:ascii="Helvetica" w:eastAsia="HGMaruGothicMPRO" w:hAnsi="Helvetica" w:cs="Helvetica"/>
          <w:lang w:val="en-GB"/>
        </w:rPr>
        <w:t>make</w:t>
      </w:r>
      <w:r w:rsidR="00DA1EB0" w:rsidRPr="008A3778">
        <w:rPr>
          <w:rFonts w:ascii="Helvetica" w:eastAsia="HGMaruGothicMPRO" w:hAnsi="Helvetica" w:cs="Helvetica"/>
          <w:lang w:val="en-GB"/>
        </w:rPr>
        <w:t xml:space="preserve"> </w:t>
      </w:r>
      <w:r w:rsidR="00270754" w:rsidRPr="008A3778">
        <w:rPr>
          <w:rFonts w:ascii="Helvetica" w:eastAsia="HGMaruGothicMPRO" w:hAnsi="Helvetica" w:cs="Helvetica"/>
          <w:lang w:val="en-GB"/>
        </w:rPr>
        <w:t xml:space="preserve">such </w:t>
      </w:r>
      <w:r w:rsidR="00187789" w:rsidRPr="008A3778">
        <w:rPr>
          <w:rFonts w:ascii="Helvetica" w:eastAsia="HGMaruGothicMPRO" w:hAnsi="Helvetica" w:cs="Helvetica"/>
          <w:lang w:val="en-GB"/>
        </w:rPr>
        <w:t>application</w:t>
      </w:r>
      <w:r w:rsidR="00862159" w:rsidRPr="008A3778">
        <w:rPr>
          <w:rFonts w:ascii="Helvetica" w:eastAsia="HGMaruGothicMPRO" w:hAnsi="Helvetica" w:cs="Helvetica"/>
          <w:lang w:val="en-GB"/>
        </w:rPr>
        <w:t>. This would</w:t>
      </w:r>
      <w:r w:rsidR="00ED75F4" w:rsidRPr="008A3778">
        <w:rPr>
          <w:rFonts w:ascii="Helvetica" w:eastAsia="HGMaruGothicMPRO" w:hAnsi="Helvetica" w:cs="Helvetica"/>
          <w:lang w:val="en-GB"/>
        </w:rPr>
        <w:t xml:space="preserve"> bring about </w:t>
      </w:r>
      <w:r w:rsidR="00EA7687" w:rsidRPr="008A3778">
        <w:rPr>
          <w:rFonts w:ascii="Helvetica" w:eastAsia="HGMaruGothicMPRO" w:hAnsi="Helvetica" w:cs="Helvetica"/>
          <w:lang w:val="en-GB"/>
        </w:rPr>
        <w:t xml:space="preserve">even </w:t>
      </w:r>
      <w:r w:rsidR="001A3BD1" w:rsidRPr="008A3778">
        <w:rPr>
          <w:rFonts w:ascii="Helvetica" w:eastAsia="HGMaruGothicMPRO" w:hAnsi="Helvetica" w:cs="Helvetica"/>
          <w:lang w:val="en-GB"/>
        </w:rPr>
        <w:t>further delays</w:t>
      </w:r>
      <w:r w:rsidR="00ED75F4" w:rsidRPr="008A3778">
        <w:rPr>
          <w:rFonts w:ascii="Helvetica" w:eastAsia="HGMaruGothicMPRO" w:hAnsi="Helvetica" w:cs="Helvetica"/>
          <w:lang w:val="en-GB"/>
        </w:rPr>
        <w:t xml:space="preserve">; all the while </w:t>
      </w:r>
      <w:r w:rsidR="003D3EB8" w:rsidRPr="008A3778">
        <w:rPr>
          <w:rFonts w:ascii="Helvetica" w:eastAsia="HGMaruGothicMPRO" w:hAnsi="Helvetica" w:cs="Helvetica"/>
          <w:lang w:val="en-GB"/>
        </w:rPr>
        <w:t xml:space="preserve">leaving </w:t>
      </w:r>
      <w:r w:rsidR="00A55092" w:rsidRPr="008A3778">
        <w:rPr>
          <w:rFonts w:ascii="Helvetica" w:eastAsia="HGMaruGothicMPRO" w:hAnsi="Helvetica" w:cs="Helvetica"/>
          <w:lang w:val="en-GB"/>
        </w:rPr>
        <w:t>the disputes between the parties unresolved</w:t>
      </w:r>
      <w:r w:rsidR="00187789" w:rsidRPr="008A3778">
        <w:rPr>
          <w:rFonts w:ascii="Helvetica" w:eastAsia="HGMaruGothicMPRO" w:hAnsi="Helvetica" w:cs="Helvetica"/>
          <w:lang w:val="en-GB"/>
        </w:rPr>
        <w:t xml:space="preserve">. </w:t>
      </w:r>
      <w:r w:rsidR="00094B19" w:rsidRPr="00623D6C">
        <w:rPr>
          <w:rFonts w:ascii="Helvetica" w:eastAsia="HGMaruGothicMPRO" w:hAnsi="Helvetica" w:cs="Helvetica"/>
          <w:lang w:val="en-GB"/>
        </w:rPr>
        <w:t>The interests of justice</w:t>
      </w:r>
      <w:r w:rsidR="00582C55" w:rsidRPr="00623D6C">
        <w:rPr>
          <w:rFonts w:ascii="Helvetica" w:eastAsia="HGMaruGothicMPRO" w:hAnsi="Helvetica" w:cs="Helvetica"/>
          <w:lang w:val="en-GB"/>
        </w:rPr>
        <w:t>, fairness</w:t>
      </w:r>
      <w:r w:rsidR="009E1370">
        <w:rPr>
          <w:rFonts w:ascii="Helvetica" w:eastAsia="HGMaruGothicMPRO" w:hAnsi="Helvetica" w:cs="Helvetica"/>
          <w:lang w:val="en-GB"/>
        </w:rPr>
        <w:t>,</w:t>
      </w:r>
      <w:r w:rsidR="00B25C21" w:rsidRPr="008A3778">
        <w:rPr>
          <w:rStyle w:val="FootnoteReference"/>
          <w:rFonts w:ascii="Helvetica" w:eastAsia="HGMaruGothicMPRO" w:hAnsi="Helvetica" w:cs="Helvetica"/>
          <w:lang w:val="en-GB"/>
        </w:rPr>
        <w:footnoteReference w:id="19"/>
      </w:r>
      <w:r w:rsidR="00220EF2" w:rsidRPr="00623D6C">
        <w:rPr>
          <w:rFonts w:ascii="Helvetica" w:eastAsia="HGMaruGothicMPRO" w:hAnsi="Helvetica" w:cs="Helvetica"/>
          <w:lang w:val="en-GB"/>
        </w:rPr>
        <w:t xml:space="preserve"> and f</w:t>
      </w:r>
      <w:r w:rsidR="00AE3BE3" w:rsidRPr="00623D6C">
        <w:rPr>
          <w:rFonts w:ascii="Helvetica" w:eastAsia="HGMaruGothicMPRO" w:hAnsi="Helvetica" w:cs="Helvetica"/>
          <w:lang w:val="en-GB"/>
        </w:rPr>
        <w:t>inality</w:t>
      </w:r>
      <w:r w:rsidR="005826E6" w:rsidRPr="00623D6C">
        <w:rPr>
          <w:rFonts w:ascii="Helvetica" w:eastAsia="HGMaruGothicMPRO" w:hAnsi="Helvetica" w:cs="Helvetica"/>
          <w:lang w:val="en-GB"/>
        </w:rPr>
        <w:t xml:space="preserve"> are </w:t>
      </w:r>
      <w:r w:rsidR="00220EF2" w:rsidRPr="00623D6C">
        <w:rPr>
          <w:rFonts w:ascii="Helvetica" w:eastAsia="HGMaruGothicMPRO" w:hAnsi="Helvetica" w:cs="Helvetica"/>
          <w:lang w:val="en-GB"/>
        </w:rPr>
        <w:t xml:space="preserve">the </w:t>
      </w:r>
      <w:r w:rsidR="00290984" w:rsidRPr="00623D6C">
        <w:rPr>
          <w:rFonts w:ascii="Helvetica" w:eastAsia="HGMaruGothicMPRO" w:hAnsi="Helvetica" w:cs="Helvetica"/>
          <w:lang w:val="en-GB"/>
        </w:rPr>
        <w:t xml:space="preserve">constellation of </w:t>
      </w:r>
      <w:r w:rsidR="00220EF2" w:rsidRPr="00623D6C">
        <w:rPr>
          <w:rFonts w:ascii="Helvetica" w:eastAsia="HGMaruGothicMPRO" w:hAnsi="Helvetica" w:cs="Helvetica"/>
          <w:lang w:val="en-GB"/>
        </w:rPr>
        <w:t>lodestars in litigation</w:t>
      </w:r>
      <w:r w:rsidR="00AE3BE3" w:rsidRPr="00623D6C">
        <w:rPr>
          <w:rFonts w:ascii="Helvetica" w:eastAsia="HGMaruGothicMPRO" w:hAnsi="Helvetica" w:cs="Helvetica"/>
          <w:lang w:val="en-GB"/>
        </w:rPr>
        <w:t>.</w:t>
      </w:r>
      <w:r w:rsidR="00862159" w:rsidRPr="00623D6C">
        <w:rPr>
          <w:rFonts w:ascii="Helvetica" w:eastAsia="HGMaruGothicMPRO" w:hAnsi="Helvetica" w:cs="Helvetica"/>
          <w:lang w:val="en-GB"/>
        </w:rPr>
        <w:t xml:space="preserve"> </w:t>
      </w:r>
    </w:p>
    <w:p w14:paraId="0D7F04B1" w14:textId="2667EDE8" w:rsidR="00461505" w:rsidRPr="00FB7F9A" w:rsidRDefault="00623D6C" w:rsidP="009E1370">
      <w:pPr>
        <w:numPr>
          <w:ilvl w:val="0"/>
          <w:numId w:val="1"/>
        </w:numPr>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In addition to the already mentioned litigation history</w:t>
      </w:r>
      <w:r w:rsidR="00007F2F">
        <w:rPr>
          <w:rFonts w:ascii="Helvetica" w:eastAsia="HGMaruGothicMPRO" w:hAnsi="Helvetica" w:cs="Helvetica"/>
          <w:lang w:val="en-GB"/>
        </w:rPr>
        <w:t xml:space="preserve"> involving </w:t>
      </w:r>
      <w:r w:rsidR="00007F2F" w:rsidRPr="00136D62">
        <w:rPr>
          <w:rFonts w:ascii="Helvetica" w:eastAsia="HGMaruGothicMPRO" w:hAnsi="Helvetica" w:cs="Helvetica"/>
          <w:lang w:val="en-GB"/>
        </w:rPr>
        <w:t>prodigious procedural omissions, missteps,</w:t>
      </w:r>
      <w:r w:rsidR="00007F2F" w:rsidRPr="00E076D2">
        <w:rPr>
          <w:rFonts w:ascii="Helvetica" w:eastAsia="HGMaruGothicMPRO" w:hAnsi="Helvetica" w:cs="Helvetica"/>
          <w:lang w:val="en-GB"/>
        </w:rPr>
        <w:t xml:space="preserve"> and other defects</w:t>
      </w:r>
      <w:r w:rsidR="00B07EF6">
        <w:rPr>
          <w:rFonts w:ascii="Helvetica" w:eastAsia="HGMaruGothicMPRO" w:hAnsi="Helvetica" w:cs="Helvetica"/>
          <w:lang w:val="en-GB"/>
        </w:rPr>
        <w:t>, t</w:t>
      </w:r>
      <w:r w:rsidR="00862159" w:rsidRPr="00623D6C">
        <w:rPr>
          <w:rFonts w:ascii="Helvetica" w:eastAsia="HGMaruGothicMPRO" w:hAnsi="Helvetica" w:cs="Helvetica"/>
          <w:lang w:val="en-GB"/>
        </w:rPr>
        <w:t>h</w:t>
      </w:r>
      <w:r w:rsidR="00290984" w:rsidRPr="00623D6C">
        <w:rPr>
          <w:rFonts w:ascii="Helvetica" w:eastAsia="HGMaruGothicMPRO" w:hAnsi="Helvetica" w:cs="Helvetica"/>
          <w:lang w:val="en-GB"/>
        </w:rPr>
        <w:t>e</w:t>
      </w:r>
      <w:r w:rsidR="00862159" w:rsidRPr="00623D6C">
        <w:rPr>
          <w:rFonts w:ascii="Helvetica" w:eastAsia="HGMaruGothicMPRO" w:hAnsi="Helvetica" w:cs="Helvetica"/>
          <w:lang w:val="en-GB"/>
        </w:rPr>
        <w:t xml:space="preserve"> need for finality</w:t>
      </w:r>
      <w:r w:rsidR="00290984" w:rsidRPr="00623D6C">
        <w:rPr>
          <w:rFonts w:ascii="Helvetica" w:eastAsia="HGMaruGothicMPRO" w:hAnsi="Helvetica" w:cs="Helvetica"/>
          <w:lang w:val="en-GB"/>
        </w:rPr>
        <w:t xml:space="preserve"> </w:t>
      </w:r>
      <w:r w:rsidR="00AD28EA" w:rsidRPr="00623D6C">
        <w:rPr>
          <w:rFonts w:ascii="Helvetica" w:eastAsia="HGMaruGothicMPRO" w:hAnsi="Helvetica" w:cs="Helvetica"/>
          <w:lang w:val="en-GB"/>
        </w:rPr>
        <w:t>in</w:t>
      </w:r>
      <w:r w:rsidR="00290984" w:rsidRPr="00623D6C">
        <w:rPr>
          <w:rFonts w:ascii="Helvetica" w:eastAsia="HGMaruGothicMPRO" w:hAnsi="Helvetica" w:cs="Helvetica"/>
          <w:lang w:val="en-GB"/>
        </w:rPr>
        <w:t xml:space="preserve"> this appeal</w:t>
      </w:r>
      <w:r w:rsidR="00EE5E31" w:rsidRPr="00623D6C">
        <w:rPr>
          <w:rFonts w:ascii="Helvetica" w:eastAsia="HGMaruGothicMPRO" w:hAnsi="Helvetica" w:cs="Helvetica"/>
          <w:lang w:val="en-GB"/>
        </w:rPr>
        <w:t xml:space="preserve"> </w:t>
      </w:r>
      <w:r w:rsidR="00437994" w:rsidRPr="00623D6C">
        <w:rPr>
          <w:rFonts w:ascii="Helvetica" w:eastAsia="HGMaruGothicMPRO" w:hAnsi="Helvetica" w:cs="Helvetica"/>
          <w:lang w:val="en-GB"/>
        </w:rPr>
        <w:t>must</w:t>
      </w:r>
      <w:r w:rsidR="00E301DE" w:rsidRPr="00623D6C">
        <w:rPr>
          <w:rFonts w:ascii="Helvetica" w:eastAsia="HGMaruGothicMPRO" w:hAnsi="Helvetica" w:cs="Helvetica"/>
          <w:lang w:val="en-GB"/>
        </w:rPr>
        <w:t xml:space="preserve"> </w:t>
      </w:r>
      <w:r>
        <w:rPr>
          <w:rFonts w:ascii="Helvetica" w:eastAsia="HGMaruGothicMPRO" w:hAnsi="Helvetica" w:cs="Helvetica"/>
          <w:lang w:val="en-GB"/>
        </w:rPr>
        <w:t xml:space="preserve">also be </w:t>
      </w:r>
      <w:r w:rsidR="00E301DE" w:rsidRPr="00623D6C">
        <w:rPr>
          <w:rFonts w:ascii="Helvetica" w:eastAsia="HGMaruGothicMPRO" w:hAnsi="Helvetica" w:cs="Helvetica"/>
          <w:lang w:val="en-GB"/>
        </w:rPr>
        <w:t xml:space="preserve">considered </w:t>
      </w:r>
      <w:r w:rsidR="00EE5E31" w:rsidRPr="00623D6C">
        <w:rPr>
          <w:rFonts w:ascii="Helvetica" w:eastAsia="HGMaruGothicMPRO" w:hAnsi="Helvetica" w:cs="Helvetica"/>
          <w:lang w:val="en-GB"/>
        </w:rPr>
        <w:t>within the context of</w:t>
      </w:r>
      <w:r w:rsidR="001C2EFC">
        <w:rPr>
          <w:rFonts w:ascii="Helvetica" w:eastAsia="HGMaruGothicMPRO" w:hAnsi="Helvetica" w:cs="Helvetica"/>
          <w:lang w:val="en-GB"/>
        </w:rPr>
        <w:t>:</w:t>
      </w:r>
      <w:r w:rsidR="00EE5E31" w:rsidRPr="00623D6C">
        <w:rPr>
          <w:rFonts w:ascii="Helvetica" w:eastAsia="HGMaruGothicMPRO" w:hAnsi="Helvetica" w:cs="Helvetica"/>
          <w:lang w:val="en-GB"/>
        </w:rPr>
        <w:t xml:space="preserve"> </w:t>
      </w:r>
      <w:r w:rsidR="00092D2B" w:rsidRPr="00623D6C">
        <w:rPr>
          <w:rFonts w:ascii="Helvetica" w:eastAsia="HGMaruGothicMPRO" w:hAnsi="Helvetica" w:cs="Helvetica"/>
          <w:lang w:val="en-GB"/>
        </w:rPr>
        <w:t xml:space="preserve">(i) </w:t>
      </w:r>
      <w:r w:rsidR="004625BC" w:rsidRPr="00623D6C">
        <w:rPr>
          <w:rFonts w:ascii="Helvetica" w:eastAsia="HGMaruGothicMPRO" w:hAnsi="Helvetica" w:cs="Helvetica"/>
          <w:lang w:val="en-GB"/>
        </w:rPr>
        <w:t>the disputed transfer in issue</w:t>
      </w:r>
      <w:r w:rsidR="00AD28EA" w:rsidRPr="00623D6C">
        <w:rPr>
          <w:rFonts w:ascii="Helvetica" w:eastAsia="HGMaruGothicMPRO" w:hAnsi="Helvetica" w:cs="Helvetica"/>
          <w:lang w:val="en-GB"/>
        </w:rPr>
        <w:t xml:space="preserve"> taking place </w:t>
      </w:r>
      <w:r w:rsidR="004625BC" w:rsidRPr="00623D6C">
        <w:rPr>
          <w:rFonts w:ascii="Helvetica" w:eastAsia="HGMaruGothicMPRO" w:hAnsi="Helvetica" w:cs="Helvetica"/>
          <w:lang w:val="en-GB"/>
        </w:rPr>
        <w:t xml:space="preserve">during 2008, </w:t>
      </w:r>
      <w:r w:rsidR="009E1370">
        <w:rPr>
          <w:rFonts w:ascii="Helvetica" w:eastAsia="HGMaruGothicMPRO" w:hAnsi="Helvetica" w:cs="Helvetica"/>
          <w:lang w:val="en-GB"/>
        </w:rPr>
        <w:t xml:space="preserve">(ii) </w:t>
      </w:r>
      <w:r w:rsidR="00092D2B" w:rsidRPr="00623D6C">
        <w:rPr>
          <w:rFonts w:ascii="Helvetica" w:eastAsia="HGMaruGothicMPRO" w:hAnsi="Helvetica" w:cs="Helvetica"/>
          <w:lang w:val="en-GB"/>
        </w:rPr>
        <w:t>Mr. Collatz</w:t>
      </w:r>
      <w:r w:rsidR="00E301DE" w:rsidRPr="00623D6C">
        <w:rPr>
          <w:rFonts w:ascii="Helvetica" w:eastAsia="HGMaruGothicMPRO" w:hAnsi="Helvetica" w:cs="Helvetica"/>
          <w:lang w:val="en-GB"/>
        </w:rPr>
        <w:t xml:space="preserve"> passing </w:t>
      </w:r>
      <w:r w:rsidR="00092D2B" w:rsidRPr="00623D6C">
        <w:rPr>
          <w:rFonts w:ascii="Helvetica" w:eastAsia="HGMaruGothicMPRO" w:hAnsi="Helvetica" w:cs="Helvetica"/>
          <w:lang w:val="en-GB"/>
        </w:rPr>
        <w:t xml:space="preserve">away </w:t>
      </w:r>
      <w:r w:rsidR="00EF4E49" w:rsidRPr="00623D6C">
        <w:rPr>
          <w:rFonts w:ascii="Helvetica" w:eastAsia="HGMaruGothicMPRO" w:hAnsi="Helvetica" w:cs="Helvetica"/>
          <w:lang w:val="en-GB"/>
        </w:rPr>
        <w:t>on 9</w:t>
      </w:r>
      <w:r w:rsidR="00C001B2" w:rsidRPr="00623D6C">
        <w:rPr>
          <w:rFonts w:ascii="Helvetica" w:eastAsia="HGMaruGothicMPRO" w:hAnsi="Helvetica" w:cs="Helvetica"/>
          <w:lang w:val="en-GB"/>
        </w:rPr>
        <w:t xml:space="preserve"> </w:t>
      </w:r>
      <w:r w:rsidR="004143ED" w:rsidRPr="00623D6C">
        <w:rPr>
          <w:rFonts w:ascii="Helvetica" w:eastAsia="HGMaruGothicMPRO" w:hAnsi="Helvetica" w:cs="Helvetica"/>
          <w:lang w:val="en-GB"/>
        </w:rPr>
        <w:t>June 2010</w:t>
      </w:r>
      <w:r w:rsidR="00092D2B" w:rsidRPr="00623D6C">
        <w:rPr>
          <w:rFonts w:ascii="Helvetica" w:eastAsia="HGMaruGothicMPRO" w:hAnsi="Helvetica" w:cs="Helvetica"/>
          <w:lang w:val="en-GB"/>
        </w:rPr>
        <w:t>, (ii</w:t>
      </w:r>
      <w:r w:rsidR="009E1370">
        <w:rPr>
          <w:rFonts w:ascii="Helvetica" w:eastAsia="HGMaruGothicMPRO" w:hAnsi="Helvetica" w:cs="Helvetica"/>
          <w:lang w:val="en-GB"/>
        </w:rPr>
        <w:t>i</w:t>
      </w:r>
      <w:r w:rsidR="00092D2B" w:rsidRPr="00623D6C">
        <w:rPr>
          <w:rFonts w:ascii="Helvetica" w:eastAsia="HGMaruGothicMPRO" w:hAnsi="Helvetica" w:cs="Helvetica"/>
          <w:lang w:val="en-GB"/>
        </w:rPr>
        <w:t xml:space="preserve">) the </w:t>
      </w:r>
      <w:r w:rsidR="00EE5E31" w:rsidRPr="00623D6C">
        <w:rPr>
          <w:rFonts w:ascii="Helvetica" w:eastAsia="HGMaruGothicMPRO" w:hAnsi="Helvetica" w:cs="Helvetica"/>
          <w:lang w:val="en-GB"/>
        </w:rPr>
        <w:t xml:space="preserve">complaint </w:t>
      </w:r>
      <w:r w:rsidR="00E301DE" w:rsidRPr="00623D6C">
        <w:rPr>
          <w:rFonts w:ascii="Helvetica" w:eastAsia="HGMaruGothicMPRO" w:hAnsi="Helvetica" w:cs="Helvetica"/>
          <w:lang w:val="en-GB"/>
        </w:rPr>
        <w:t xml:space="preserve">being </w:t>
      </w:r>
      <w:r w:rsidR="00092D2B" w:rsidRPr="00623D6C">
        <w:rPr>
          <w:rFonts w:ascii="Helvetica" w:eastAsia="HGMaruGothicMPRO" w:hAnsi="Helvetica" w:cs="Helvetica"/>
          <w:lang w:val="en-GB"/>
        </w:rPr>
        <w:t xml:space="preserve">lodged </w:t>
      </w:r>
      <w:r w:rsidR="004625BC" w:rsidRPr="00623D6C">
        <w:rPr>
          <w:rFonts w:ascii="Helvetica" w:eastAsia="HGMaruGothicMPRO" w:hAnsi="Helvetica" w:cs="Helvetica"/>
          <w:lang w:val="en-GB"/>
        </w:rPr>
        <w:t xml:space="preserve">with the Adjudicator </w:t>
      </w:r>
      <w:r w:rsidR="00437994" w:rsidRPr="00623D6C">
        <w:rPr>
          <w:rFonts w:ascii="Helvetica" w:eastAsia="HGMaruGothicMPRO" w:hAnsi="Helvetica" w:cs="Helvetica"/>
          <w:lang w:val="en-GB"/>
        </w:rPr>
        <w:t>during</w:t>
      </w:r>
      <w:r w:rsidR="00092D2B" w:rsidRPr="00623D6C">
        <w:rPr>
          <w:rFonts w:ascii="Helvetica" w:eastAsia="HGMaruGothicMPRO" w:hAnsi="Helvetica" w:cs="Helvetica"/>
          <w:lang w:val="en-GB"/>
        </w:rPr>
        <w:t xml:space="preserve"> November 2011, </w:t>
      </w:r>
      <w:r w:rsidR="00315DCD" w:rsidRPr="00623D6C">
        <w:rPr>
          <w:rFonts w:ascii="Helvetica" w:eastAsia="HGMaruGothicMPRO" w:hAnsi="Helvetica" w:cs="Helvetica"/>
          <w:lang w:val="en-GB"/>
        </w:rPr>
        <w:t xml:space="preserve">and </w:t>
      </w:r>
      <w:r w:rsidR="00C001B2" w:rsidRPr="00623D6C">
        <w:rPr>
          <w:rFonts w:ascii="Helvetica" w:eastAsia="HGMaruGothicMPRO" w:hAnsi="Helvetica" w:cs="Helvetica"/>
          <w:lang w:val="en-GB"/>
        </w:rPr>
        <w:t>(i</w:t>
      </w:r>
      <w:r w:rsidR="009E1370">
        <w:rPr>
          <w:rFonts w:ascii="Helvetica" w:eastAsia="HGMaruGothicMPRO" w:hAnsi="Helvetica" w:cs="Helvetica"/>
          <w:lang w:val="en-GB"/>
        </w:rPr>
        <w:t>v</w:t>
      </w:r>
      <w:r w:rsidR="00C001B2" w:rsidRPr="00623D6C">
        <w:rPr>
          <w:rFonts w:ascii="Helvetica" w:eastAsia="HGMaruGothicMPRO" w:hAnsi="Helvetica" w:cs="Helvetica"/>
          <w:lang w:val="en-GB"/>
        </w:rPr>
        <w:t xml:space="preserve">) </w:t>
      </w:r>
      <w:r w:rsidR="00092D2B" w:rsidRPr="00623D6C">
        <w:rPr>
          <w:rFonts w:ascii="Helvetica" w:eastAsia="HGMaruGothicMPRO" w:hAnsi="Helvetica" w:cs="Helvetica"/>
          <w:lang w:val="en-GB"/>
        </w:rPr>
        <w:t>the section 30P application</w:t>
      </w:r>
      <w:r w:rsidR="00E301DE" w:rsidRPr="009E1370">
        <w:rPr>
          <w:rFonts w:ascii="Helvetica" w:eastAsia="HGMaruGothicMPRO" w:hAnsi="Helvetica" w:cs="Helvetica"/>
          <w:lang w:val="en-GB"/>
        </w:rPr>
        <w:t xml:space="preserve"> being </w:t>
      </w:r>
      <w:r w:rsidR="00437994" w:rsidRPr="009E1370">
        <w:rPr>
          <w:rFonts w:ascii="Helvetica" w:eastAsia="HGMaruGothicMPRO" w:hAnsi="Helvetica" w:cs="Helvetica"/>
          <w:lang w:val="en-GB"/>
        </w:rPr>
        <w:t>launched</w:t>
      </w:r>
      <w:r w:rsidR="00092D2B" w:rsidRPr="009E1370">
        <w:rPr>
          <w:rFonts w:ascii="Helvetica" w:eastAsia="HGMaruGothicMPRO" w:hAnsi="Helvetica" w:cs="Helvetica"/>
          <w:lang w:val="en-GB"/>
        </w:rPr>
        <w:t xml:space="preserve"> </w:t>
      </w:r>
      <w:r w:rsidR="00C001B2" w:rsidRPr="009E1370">
        <w:rPr>
          <w:rFonts w:ascii="Helvetica" w:eastAsia="HGMaruGothicMPRO" w:hAnsi="Helvetica" w:cs="Helvetica"/>
          <w:lang w:val="en-GB"/>
        </w:rPr>
        <w:t>during November 2012</w:t>
      </w:r>
      <w:r w:rsidR="00E301DE" w:rsidRPr="009E1370">
        <w:rPr>
          <w:rFonts w:ascii="Helvetica" w:eastAsia="HGMaruGothicMPRO" w:hAnsi="Helvetica" w:cs="Helvetica"/>
          <w:lang w:val="en-GB"/>
        </w:rPr>
        <w:t>.</w:t>
      </w:r>
      <w:r w:rsidR="009E1370">
        <w:rPr>
          <w:rFonts w:ascii="Helvetica" w:eastAsia="HGMaruGothicMPRO" w:hAnsi="Helvetica" w:cs="Helvetica"/>
          <w:lang w:val="en-GB"/>
        </w:rPr>
        <w:t xml:space="preserve"> </w:t>
      </w:r>
      <w:r w:rsidR="00007F2F">
        <w:rPr>
          <w:rFonts w:ascii="Helvetica" w:eastAsia="HGMaruGothicMPRO" w:hAnsi="Helvetica" w:cs="Helvetica"/>
          <w:lang w:val="en-GB"/>
        </w:rPr>
        <w:t xml:space="preserve">In summary, </w:t>
      </w:r>
      <w:r w:rsidR="009E1370" w:rsidRPr="002F0254">
        <w:rPr>
          <w:rFonts w:ascii="Helvetica" w:eastAsia="HGMaruGothicMPRO" w:hAnsi="Helvetica" w:cs="Helvetica"/>
          <w:lang w:val="en-GB"/>
        </w:rPr>
        <w:t>this litigation pertains to issues which arose some 13 years ago.</w:t>
      </w:r>
      <w:r w:rsidR="00E301DE" w:rsidRPr="009E1370">
        <w:rPr>
          <w:rFonts w:ascii="Helvetica" w:eastAsia="HGMaruGothicMPRO" w:hAnsi="Helvetica" w:cs="Helvetica"/>
          <w:lang w:val="en-GB"/>
        </w:rPr>
        <w:t xml:space="preserve"> </w:t>
      </w:r>
    </w:p>
    <w:p w14:paraId="76A9E692" w14:textId="221C0287" w:rsidR="00E301DE" w:rsidRPr="008A3778" w:rsidRDefault="00461505"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Whilst</w:t>
      </w:r>
      <w:r w:rsidR="0032189B" w:rsidRPr="008A3778">
        <w:rPr>
          <w:rFonts w:ascii="Helvetica" w:eastAsia="HGMaruGothicMPRO" w:hAnsi="Helvetica" w:cs="Helvetica"/>
          <w:lang w:val="en-GB"/>
        </w:rPr>
        <w:t>, as already indicated,</w:t>
      </w:r>
      <w:r w:rsidRPr="008A3778">
        <w:rPr>
          <w:rFonts w:ascii="Helvetica" w:eastAsia="HGMaruGothicMPRO" w:hAnsi="Helvetica" w:cs="Helvetica"/>
          <w:lang w:val="en-GB"/>
        </w:rPr>
        <w:t xml:space="preserve"> </w:t>
      </w:r>
      <w:r w:rsidR="00036D96" w:rsidRPr="008A3778">
        <w:rPr>
          <w:rFonts w:ascii="Helvetica" w:eastAsia="HGMaruGothicMPRO" w:hAnsi="Helvetica" w:cs="Helvetica"/>
          <w:lang w:val="en-GB"/>
        </w:rPr>
        <w:t xml:space="preserve">uniform rule 49(13)(a) is peremptory </w:t>
      </w:r>
      <w:r w:rsidR="0032189B" w:rsidRPr="008A3778">
        <w:rPr>
          <w:rFonts w:ascii="Helvetica" w:eastAsia="HGMaruGothicMPRO" w:hAnsi="Helvetica" w:cs="Helvetica"/>
          <w:lang w:val="en-GB"/>
        </w:rPr>
        <w:t>in</w:t>
      </w:r>
      <w:r w:rsidR="00036D96" w:rsidRPr="008A3778">
        <w:rPr>
          <w:rFonts w:ascii="Helvetica" w:eastAsia="HGMaruGothicMPRO" w:hAnsi="Helvetica" w:cs="Helvetica"/>
          <w:lang w:val="en-GB"/>
        </w:rPr>
        <w:t xml:space="preserve"> its terms</w:t>
      </w:r>
      <w:r w:rsidR="0032189B" w:rsidRPr="008A3778">
        <w:rPr>
          <w:rFonts w:ascii="Helvetica" w:eastAsia="HGMaruGothicMPRO" w:hAnsi="Helvetica" w:cs="Helvetica"/>
          <w:lang w:val="en-GB"/>
        </w:rPr>
        <w:t xml:space="preserve">, </w:t>
      </w:r>
      <w:r w:rsidR="00C22461" w:rsidRPr="008A3778">
        <w:rPr>
          <w:rFonts w:ascii="Helvetica" w:eastAsia="HGMaruGothicMPRO" w:hAnsi="Helvetica" w:cs="Helvetica"/>
          <w:lang w:val="en-GB"/>
        </w:rPr>
        <w:t xml:space="preserve">it is </w:t>
      </w:r>
      <w:r w:rsidR="00E05048" w:rsidRPr="008A3778">
        <w:rPr>
          <w:rFonts w:ascii="Helvetica" w:eastAsia="HGMaruGothicMPRO" w:hAnsi="Helvetica" w:cs="Helvetica"/>
          <w:lang w:val="en-GB"/>
        </w:rPr>
        <w:t>nevertheless</w:t>
      </w:r>
      <w:r w:rsidR="00C919A6" w:rsidRPr="008A3778">
        <w:rPr>
          <w:rFonts w:ascii="Helvetica" w:eastAsia="HGMaruGothicMPRO" w:hAnsi="Helvetica" w:cs="Helvetica"/>
          <w:lang w:val="en-GB"/>
        </w:rPr>
        <w:t xml:space="preserve"> necessary </w:t>
      </w:r>
      <w:r w:rsidR="00C22461" w:rsidRPr="008A3778">
        <w:rPr>
          <w:rFonts w:ascii="Helvetica" w:eastAsia="HGMaruGothicMPRO" w:hAnsi="Helvetica" w:cs="Helvetica"/>
          <w:lang w:val="en-GB"/>
        </w:rPr>
        <w:t xml:space="preserve">that </w:t>
      </w:r>
      <w:r w:rsidR="000708B9" w:rsidRPr="008A3778">
        <w:rPr>
          <w:rFonts w:ascii="Helvetica" w:eastAsia="HGMaruGothicMPRO" w:hAnsi="Helvetica" w:cs="Helvetica"/>
          <w:lang w:val="en-GB"/>
        </w:rPr>
        <w:t>the uniform rules are not immutable</w:t>
      </w:r>
      <w:r w:rsidR="0035677E" w:rsidRPr="008A3778">
        <w:rPr>
          <w:rFonts w:ascii="Helvetica" w:eastAsia="HGMaruGothicMPRO" w:hAnsi="Helvetica" w:cs="Helvetica"/>
          <w:lang w:val="en-GB"/>
        </w:rPr>
        <w:t>, nor inflexible</w:t>
      </w:r>
      <w:r w:rsidR="000708B9" w:rsidRPr="008A3778">
        <w:rPr>
          <w:rFonts w:ascii="Helvetica" w:eastAsia="HGMaruGothicMPRO" w:hAnsi="Helvetica" w:cs="Helvetica"/>
          <w:lang w:val="en-GB"/>
        </w:rPr>
        <w:t>.</w:t>
      </w:r>
      <w:r w:rsidR="00F3381F" w:rsidRPr="008A3778">
        <w:rPr>
          <w:rFonts w:ascii="Helvetica" w:eastAsia="HGMaruGothicMPRO" w:hAnsi="Helvetica" w:cs="Helvetica"/>
          <w:lang w:val="en-GB"/>
        </w:rPr>
        <w:t xml:space="preserve"> Without in any way diluting the </w:t>
      </w:r>
      <w:r w:rsidR="00094B19" w:rsidRPr="008A3778">
        <w:rPr>
          <w:rFonts w:ascii="Helvetica" w:eastAsia="HGMaruGothicMPRO" w:hAnsi="Helvetica" w:cs="Helvetica"/>
          <w:lang w:val="en-GB"/>
        </w:rPr>
        <w:t xml:space="preserve">obviously beneficial </w:t>
      </w:r>
      <w:r w:rsidR="00F3381F" w:rsidRPr="008A3778">
        <w:rPr>
          <w:rFonts w:ascii="Helvetica" w:eastAsia="HGMaruGothicMPRO" w:hAnsi="Helvetica" w:cs="Helvetica"/>
          <w:lang w:val="en-GB"/>
        </w:rPr>
        <w:t>function</w:t>
      </w:r>
      <w:r w:rsidR="00CC2745" w:rsidRPr="008A3778">
        <w:rPr>
          <w:rFonts w:ascii="Helvetica" w:eastAsia="HGMaruGothicMPRO" w:hAnsi="Helvetica" w:cs="Helvetica"/>
          <w:lang w:val="en-GB"/>
        </w:rPr>
        <w:t>, purpose</w:t>
      </w:r>
      <w:r w:rsidR="00F3381F" w:rsidRPr="008A3778">
        <w:rPr>
          <w:rFonts w:ascii="Helvetica" w:eastAsia="HGMaruGothicMPRO" w:hAnsi="Helvetica" w:cs="Helvetica"/>
          <w:lang w:val="en-GB"/>
        </w:rPr>
        <w:t xml:space="preserve"> and import of the</w:t>
      </w:r>
      <w:r w:rsidR="00F61058" w:rsidRPr="008A3778">
        <w:rPr>
          <w:rFonts w:ascii="Helvetica" w:eastAsia="HGMaruGothicMPRO" w:hAnsi="Helvetica" w:cs="Helvetica"/>
          <w:lang w:val="en-GB"/>
        </w:rPr>
        <w:t xml:space="preserve"> uniform </w:t>
      </w:r>
      <w:r w:rsidR="00F61058" w:rsidRPr="008A3778">
        <w:rPr>
          <w:rFonts w:ascii="Helvetica" w:eastAsia="HGMaruGothicMPRO" w:hAnsi="Helvetica" w:cs="Helvetica"/>
          <w:lang w:val="en-GB"/>
        </w:rPr>
        <w:lastRenderedPageBreak/>
        <w:t xml:space="preserve">rules of </w:t>
      </w:r>
      <w:r w:rsidR="00A808B1" w:rsidRPr="008A3778">
        <w:rPr>
          <w:rFonts w:ascii="Helvetica" w:eastAsia="HGMaruGothicMPRO" w:hAnsi="Helvetica" w:cs="Helvetica"/>
          <w:lang w:val="en-GB"/>
        </w:rPr>
        <w:t>c</w:t>
      </w:r>
      <w:r w:rsidR="00F61058" w:rsidRPr="008A3778">
        <w:rPr>
          <w:rFonts w:ascii="Helvetica" w:eastAsia="HGMaruGothicMPRO" w:hAnsi="Helvetica" w:cs="Helvetica"/>
          <w:lang w:val="en-GB"/>
        </w:rPr>
        <w:t>ourt,</w:t>
      </w:r>
      <w:r w:rsidR="000708B9" w:rsidRPr="008A3778">
        <w:rPr>
          <w:rFonts w:ascii="Helvetica" w:eastAsia="HGMaruGothicMPRO" w:hAnsi="Helvetica" w:cs="Helvetica"/>
          <w:lang w:val="en-GB"/>
        </w:rPr>
        <w:t xml:space="preserve"> </w:t>
      </w:r>
      <w:r w:rsidR="00F61058" w:rsidRPr="008A3778">
        <w:rPr>
          <w:rFonts w:ascii="Helvetica" w:eastAsia="HGMaruGothicMPRO" w:hAnsi="Helvetica" w:cs="Helvetica"/>
          <w:lang w:val="en-GB"/>
        </w:rPr>
        <w:t>t</w:t>
      </w:r>
      <w:r w:rsidR="00DA52AB" w:rsidRPr="008A3778">
        <w:rPr>
          <w:rFonts w:ascii="Helvetica" w:eastAsia="HGMaruGothicMPRO" w:hAnsi="Helvetica" w:cs="Helvetica"/>
          <w:lang w:val="en-GB"/>
        </w:rPr>
        <w:t>he constitutional and common law jurisdiction</w:t>
      </w:r>
      <w:r w:rsidR="00A808B1" w:rsidRPr="008A3778">
        <w:rPr>
          <w:rFonts w:ascii="Helvetica" w:eastAsia="HGMaruGothicMPRO" w:hAnsi="Helvetica" w:cs="Helvetica"/>
          <w:lang w:val="en-GB"/>
        </w:rPr>
        <w:t>s</w:t>
      </w:r>
      <w:r w:rsidR="00DA52AB" w:rsidRPr="008A3778">
        <w:rPr>
          <w:rFonts w:ascii="Helvetica" w:eastAsia="HGMaruGothicMPRO" w:hAnsi="Helvetica" w:cs="Helvetica"/>
          <w:lang w:val="en-GB"/>
        </w:rPr>
        <w:t xml:space="preserve"> of our </w:t>
      </w:r>
      <w:r w:rsidR="00A808B1" w:rsidRPr="008A3778">
        <w:rPr>
          <w:rFonts w:ascii="Helvetica" w:eastAsia="HGMaruGothicMPRO" w:hAnsi="Helvetica" w:cs="Helvetica"/>
          <w:lang w:val="en-GB"/>
        </w:rPr>
        <w:t>s</w:t>
      </w:r>
      <w:r w:rsidR="00DA52AB" w:rsidRPr="008A3778">
        <w:rPr>
          <w:rFonts w:ascii="Helvetica" w:eastAsia="HGMaruGothicMPRO" w:hAnsi="Helvetica" w:cs="Helvetica"/>
          <w:lang w:val="en-GB"/>
        </w:rPr>
        <w:t xml:space="preserve">uperior </w:t>
      </w:r>
      <w:r w:rsidR="00A808B1" w:rsidRPr="008A3778">
        <w:rPr>
          <w:rFonts w:ascii="Helvetica" w:eastAsia="HGMaruGothicMPRO" w:hAnsi="Helvetica" w:cs="Helvetica"/>
          <w:lang w:val="en-GB"/>
        </w:rPr>
        <w:t>c</w:t>
      </w:r>
      <w:r w:rsidR="00DA52AB" w:rsidRPr="008A3778">
        <w:rPr>
          <w:rFonts w:ascii="Helvetica" w:eastAsia="HGMaruGothicMPRO" w:hAnsi="Helvetica" w:cs="Helvetica"/>
          <w:lang w:val="en-GB"/>
        </w:rPr>
        <w:t>ourts</w:t>
      </w:r>
      <w:r w:rsidR="004B03F5" w:rsidRPr="008A3778">
        <w:rPr>
          <w:rStyle w:val="FootnoteReference"/>
          <w:rFonts w:ascii="Helvetica" w:eastAsia="HGMaruGothicMPRO" w:hAnsi="Helvetica" w:cs="Helvetica"/>
          <w:lang w:val="en-GB"/>
        </w:rPr>
        <w:footnoteReference w:id="20"/>
      </w:r>
      <w:r w:rsidR="00CC2745" w:rsidRPr="008A3778">
        <w:rPr>
          <w:rFonts w:ascii="Helvetica" w:eastAsia="HGMaruGothicMPRO" w:hAnsi="Helvetica" w:cs="Helvetica"/>
          <w:lang w:val="en-GB"/>
        </w:rPr>
        <w:t xml:space="preserve"> provide for</w:t>
      </w:r>
      <w:r w:rsidR="00DA52AB" w:rsidRPr="008A3778">
        <w:rPr>
          <w:rFonts w:ascii="Helvetica" w:eastAsia="HGMaruGothicMPRO" w:hAnsi="Helvetica" w:cs="Helvetica"/>
          <w:lang w:val="en-GB"/>
        </w:rPr>
        <w:t xml:space="preserve"> self-governance in respect of </w:t>
      </w:r>
      <w:r w:rsidR="002C01E7" w:rsidRPr="008A3778">
        <w:rPr>
          <w:rFonts w:ascii="Helvetica" w:eastAsia="HGMaruGothicMPRO" w:hAnsi="Helvetica" w:cs="Helvetica"/>
          <w:lang w:val="en-GB"/>
        </w:rPr>
        <w:t xml:space="preserve">their </w:t>
      </w:r>
      <w:r w:rsidR="00CC2745" w:rsidRPr="008A3778">
        <w:rPr>
          <w:rFonts w:ascii="Helvetica" w:eastAsia="HGMaruGothicMPRO" w:hAnsi="Helvetica" w:cs="Helvetica"/>
          <w:lang w:val="en-GB"/>
        </w:rPr>
        <w:t xml:space="preserve">own </w:t>
      </w:r>
      <w:r w:rsidR="00DA52AB" w:rsidRPr="008A3778">
        <w:rPr>
          <w:rFonts w:ascii="Helvetica" w:eastAsia="HGMaruGothicMPRO" w:hAnsi="Helvetica" w:cs="Helvetica"/>
          <w:lang w:val="en-GB"/>
        </w:rPr>
        <w:t>procedures and processes.</w:t>
      </w:r>
      <w:r w:rsidR="0037171A" w:rsidRPr="008A3778">
        <w:rPr>
          <w:rStyle w:val="FootnoteReference"/>
          <w:rFonts w:ascii="Helvetica" w:eastAsia="HGMaruGothicMPRO" w:hAnsi="Helvetica" w:cs="Helvetica"/>
          <w:lang w:val="en-GB"/>
        </w:rPr>
        <w:footnoteReference w:id="21"/>
      </w:r>
      <w:r w:rsidR="00DA52AB" w:rsidRPr="008A3778">
        <w:rPr>
          <w:rFonts w:ascii="Helvetica" w:eastAsia="HGMaruGothicMPRO" w:hAnsi="Helvetica" w:cs="Helvetica"/>
          <w:lang w:val="en-GB"/>
        </w:rPr>
        <w:t xml:space="preserve"> </w:t>
      </w:r>
    </w:p>
    <w:p w14:paraId="2F70A6B8" w14:textId="5A21287A" w:rsidR="00225AFC" w:rsidRPr="008A3778" w:rsidRDefault="00F61058"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such, t</w:t>
      </w:r>
      <w:r w:rsidR="003018C7" w:rsidRPr="008A3778">
        <w:rPr>
          <w:rFonts w:ascii="Helvetica" w:eastAsia="HGMaruGothicMPRO" w:hAnsi="Helvetica" w:cs="Helvetica"/>
          <w:lang w:val="en-GB"/>
        </w:rPr>
        <w:t>he rules are meant for the court, not the court for the rules.</w:t>
      </w:r>
      <w:r w:rsidR="00E864D7" w:rsidRPr="008A3778">
        <w:rPr>
          <w:rFonts w:ascii="Helvetica" w:eastAsia="HGMaruGothicMPRO" w:hAnsi="Helvetica" w:cs="Helvetica"/>
          <w:lang w:val="en-GB"/>
        </w:rPr>
        <w:t xml:space="preserve"> The Constitutional Court</w:t>
      </w:r>
      <w:r w:rsidR="000C7807" w:rsidRPr="008A3778">
        <w:rPr>
          <w:rFonts w:ascii="Helvetica" w:eastAsia="HGMaruGothicMPRO" w:hAnsi="Helvetica" w:cs="Helvetica"/>
          <w:lang w:val="en-GB"/>
        </w:rPr>
        <w:t xml:space="preserve"> has </w:t>
      </w:r>
      <w:r w:rsidR="002511E0" w:rsidRPr="008A3778">
        <w:rPr>
          <w:rFonts w:ascii="Helvetica" w:eastAsia="HGMaruGothicMPRO" w:hAnsi="Helvetica" w:cs="Helvetica"/>
          <w:lang w:val="en-GB"/>
        </w:rPr>
        <w:t>unequivocally affirmed this</w:t>
      </w:r>
      <w:r w:rsidR="00225AFC" w:rsidRPr="008A3778">
        <w:rPr>
          <w:rFonts w:ascii="Helvetica" w:eastAsia="HGMaruGothicMPRO" w:hAnsi="Helvetica" w:cs="Helvetica"/>
          <w:lang w:val="en-GB"/>
        </w:rPr>
        <w:t xml:space="preserve"> position</w:t>
      </w:r>
      <w:r w:rsidR="00094B19" w:rsidRPr="008A3778">
        <w:rPr>
          <w:rFonts w:ascii="Helvetica" w:eastAsia="HGMaruGothicMPRO" w:hAnsi="Helvetica" w:cs="Helvetica"/>
          <w:lang w:val="en-GB"/>
        </w:rPr>
        <w:t>. It did so</w:t>
      </w:r>
      <w:r w:rsidR="00225AFC" w:rsidRPr="008A3778">
        <w:rPr>
          <w:rFonts w:ascii="Helvetica" w:eastAsia="HGMaruGothicMPRO" w:hAnsi="Helvetica" w:cs="Helvetica"/>
          <w:lang w:val="en-GB"/>
        </w:rPr>
        <w:t xml:space="preserve"> </w:t>
      </w:r>
      <w:r w:rsidR="002511E0" w:rsidRPr="008A3778">
        <w:rPr>
          <w:rFonts w:ascii="Helvetica" w:eastAsia="HGMaruGothicMPRO" w:hAnsi="Helvetica" w:cs="Helvetica"/>
          <w:lang w:val="en-GB"/>
        </w:rPr>
        <w:t xml:space="preserve">in </w:t>
      </w:r>
      <w:r w:rsidR="00225AFC" w:rsidRPr="008A3778">
        <w:rPr>
          <w:rFonts w:ascii="Helvetica" w:eastAsia="HGMaruGothicMPRO" w:hAnsi="Helvetica" w:cs="Helvetica"/>
          <w:b/>
          <w:bCs/>
          <w:lang w:val="en-GB"/>
        </w:rPr>
        <w:t xml:space="preserve">PFE International Inc (BVI) and </w:t>
      </w:r>
      <w:r w:rsidR="003C7641" w:rsidRPr="008A3778">
        <w:rPr>
          <w:rFonts w:ascii="Helvetica" w:eastAsia="HGMaruGothicMPRO" w:hAnsi="Helvetica" w:cs="Helvetica"/>
          <w:b/>
          <w:bCs/>
          <w:lang w:val="en-GB"/>
        </w:rPr>
        <w:t>others</w:t>
      </w:r>
      <w:r w:rsidR="00225AFC" w:rsidRPr="008A3778">
        <w:rPr>
          <w:rFonts w:ascii="Helvetica" w:eastAsia="HGMaruGothicMPRO" w:hAnsi="Helvetica" w:cs="Helvetica"/>
          <w:b/>
          <w:bCs/>
          <w:lang w:val="en-GB"/>
        </w:rPr>
        <w:t xml:space="preserve"> v Industrial Development Corporation of South Africa Ltd</w:t>
      </w:r>
      <w:r w:rsidR="00B4352E" w:rsidRPr="008A3778">
        <w:rPr>
          <w:rStyle w:val="FootnoteReference"/>
          <w:rFonts w:ascii="Helvetica" w:eastAsia="HGMaruGothicMPRO" w:hAnsi="Helvetica" w:cs="Helvetica"/>
          <w:lang w:val="en-GB"/>
        </w:rPr>
        <w:footnoteReference w:id="22"/>
      </w:r>
      <w:r w:rsidR="00665D35" w:rsidRPr="008A3778">
        <w:rPr>
          <w:rFonts w:ascii="Helvetica" w:eastAsia="HGMaruGothicMPRO" w:hAnsi="Helvetica" w:cs="Helvetica"/>
          <w:lang w:val="en-GB"/>
        </w:rPr>
        <w:t xml:space="preserve"> when</w:t>
      </w:r>
      <w:r w:rsidR="002333D0" w:rsidRPr="008A3778">
        <w:rPr>
          <w:rFonts w:ascii="Helvetica" w:eastAsia="HGMaruGothicMPRO" w:hAnsi="Helvetica" w:cs="Helvetica"/>
          <w:lang w:val="en-GB"/>
        </w:rPr>
        <w:t xml:space="preserve"> stating, within the context of section 173 of the Constitution, the following</w:t>
      </w:r>
      <w:r w:rsidR="00665D35" w:rsidRPr="008A3778">
        <w:rPr>
          <w:rFonts w:ascii="Helvetica" w:eastAsia="HGMaruGothicMPRO" w:hAnsi="Helvetica" w:cs="Helvetica"/>
          <w:lang w:val="en-GB"/>
        </w:rPr>
        <w:t>:</w:t>
      </w:r>
    </w:p>
    <w:p w14:paraId="5222BD37" w14:textId="2F700167" w:rsidR="00E864D7" w:rsidRPr="008A3778" w:rsidRDefault="00665D35" w:rsidP="003D368F">
      <w:pPr>
        <w:spacing w:after="360" w:line="240" w:lineRule="auto"/>
        <w:ind w:left="2160" w:right="498" w:hanging="720"/>
        <w:jc w:val="both"/>
        <w:rPr>
          <w:rFonts w:ascii="Helvetica" w:eastAsia="Times New Roman" w:hAnsi="Helvetica" w:cs="Helvetica"/>
          <w:color w:val="242121"/>
          <w:lang w:val="en-GB"/>
        </w:rPr>
      </w:pPr>
      <w:r w:rsidRPr="008A3778">
        <w:rPr>
          <w:rFonts w:ascii="Helvetica" w:hAnsi="Helvetica" w:cs="Helvetica"/>
          <w:color w:val="242121"/>
          <w:lang w:val="en-GB"/>
        </w:rPr>
        <w:t>“</w:t>
      </w:r>
      <w:r w:rsidRPr="008A3778">
        <w:rPr>
          <w:rFonts w:ascii="Helvetica" w:hAnsi="Helvetica" w:cs="Helvetica"/>
          <w:i/>
          <w:iCs/>
          <w:color w:val="242121"/>
          <w:lang w:val="en-GB"/>
        </w:rPr>
        <w:t>30.</w:t>
      </w:r>
      <w:r w:rsidR="00F8502A">
        <w:rPr>
          <w:rFonts w:ascii="Helvetica" w:hAnsi="Helvetica" w:cs="Helvetica"/>
          <w:i/>
          <w:iCs/>
          <w:color w:val="242121"/>
          <w:lang w:val="en-GB"/>
        </w:rPr>
        <w:tab/>
      </w:r>
      <w:r w:rsidRPr="008A3778">
        <w:rPr>
          <w:rFonts w:ascii="Helvetica" w:hAnsi="Helvetica" w:cs="Helvetica"/>
          <w:i/>
          <w:iCs/>
          <w:color w:val="242121"/>
          <w:lang w:val="en-GB"/>
        </w:rPr>
        <w:t xml:space="preserve">Since the rules are made for courts to facilitate the adjudication of cases, the superior </w:t>
      </w:r>
      <w:r w:rsidRPr="008A3778">
        <w:rPr>
          <w:rFonts w:ascii="Helvetica" w:eastAsia="HGMaruGothicMPRO" w:hAnsi="Helvetica" w:cs="Helvetica"/>
          <w:i/>
          <w:iCs/>
          <w:lang w:val="en-GB"/>
        </w:rPr>
        <w:t>courts</w:t>
      </w:r>
      <w:r w:rsidRPr="008A3778">
        <w:rPr>
          <w:rFonts w:ascii="Helvetica" w:hAnsi="Helvetica" w:cs="Helvetica"/>
          <w:i/>
          <w:iCs/>
          <w:color w:val="242121"/>
          <w:lang w:val="en-GB"/>
        </w:rPr>
        <w:t xml:space="preserve"> enjoy the power to regulate their processes, taking into account the interests of justice.</w:t>
      </w:r>
      <w:bookmarkStart w:id="7" w:name="sdfootnote16anc"/>
      <w:r w:rsidRPr="008A3778">
        <w:rPr>
          <w:rFonts w:ascii="Helvetica" w:hAnsi="Helvetica" w:cs="Helvetica"/>
          <w:i/>
          <w:iCs/>
          <w:color w:val="242121"/>
          <w:vertAlign w:val="superscript"/>
          <w:lang w:val="en-GB"/>
        </w:rPr>
        <w:fldChar w:fldCharType="begin"/>
      </w:r>
      <w:r w:rsidRPr="008A3778">
        <w:rPr>
          <w:rFonts w:ascii="Helvetica" w:hAnsi="Helvetica" w:cs="Helvetica"/>
          <w:i/>
          <w:iCs/>
          <w:color w:val="242121"/>
          <w:vertAlign w:val="superscript"/>
          <w:lang w:val="en-GB"/>
        </w:rPr>
        <w:instrText xml:space="preserve"> HYPERLINK "http://www.saflii.org/za/cases/ZACC/2012/33.html" \l "sdfootnote16sym" </w:instrText>
      </w:r>
      <w:r w:rsidRPr="008A3778">
        <w:rPr>
          <w:rFonts w:ascii="Helvetica" w:hAnsi="Helvetica" w:cs="Helvetica"/>
          <w:i/>
          <w:iCs/>
          <w:color w:val="242121"/>
          <w:vertAlign w:val="superscript"/>
          <w:lang w:val="en-GB"/>
        </w:rPr>
        <w:fldChar w:fldCharType="end"/>
      </w:r>
      <w:bookmarkEnd w:id="7"/>
      <w:r w:rsidR="002333D0" w:rsidRPr="008A3778">
        <w:rPr>
          <w:rFonts w:ascii="Helvetica" w:hAnsi="Helvetica" w:cs="Helvetica"/>
          <w:i/>
          <w:iCs/>
          <w:color w:val="242121"/>
          <w:vertAlign w:val="superscript"/>
          <w:lang w:val="en-GB"/>
        </w:rPr>
        <w:t xml:space="preserve"> </w:t>
      </w:r>
      <w:r w:rsidRPr="008A3778">
        <w:rPr>
          <w:rFonts w:ascii="Helvetica" w:hAnsi="Helvetica" w:cs="Helvetica"/>
          <w:i/>
          <w:iCs/>
          <w:color w:val="242121"/>
          <w:lang w:val="en-GB"/>
        </w:rPr>
        <w:t>It is this power that makes every superior court the master of its own process. It enables a superior court to lay down a process to be followed in particular cases, even if that process deviates from what its rules prescribe. Consistent with that power, this Court may in the interests of justice depart from its own rules</w:t>
      </w:r>
      <w:r w:rsidRPr="008A3778">
        <w:rPr>
          <w:rFonts w:ascii="Helvetica" w:hAnsi="Helvetica" w:cs="Helvetica"/>
          <w:color w:val="242121"/>
          <w:lang w:val="en-GB"/>
        </w:rPr>
        <w:t>.”</w:t>
      </w:r>
    </w:p>
    <w:p w14:paraId="7DE406D5" w14:textId="378BBF9D" w:rsidR="006E7E82" w:rsidRPr="008A3778" w:rsidRDefault="006E7E82" w:rsidP="006E7E82">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All things considered</w:t>
      </w:r>
      <w:r w:rsidR="009E1370">
        <w:rPr>
          <w:rFonts w:ascii="Helvetica" w:eastAsia="HGMaruGothicMPRO" w:hAnsi="Helvetica" w:cs="Helvetica"/>
          <w:lang w:val="en-GB"/>
        </w:rPr>
        <w:t>,</w:t>
      </w:r>
      <w:r w:rsidRPr="008A3778">
        <w:rPr>
          <w:rFonts w:ascii="Helvetica" w:eastAsia="HGMaruGothicMPRO" w:hAnsi="Helvetica" w:cs="Helvetica"/>
          <w:lang w:val="en-GB"/>
        </w:rPr>
        <w:t xml:space="preserve"> </w:t>
      </w:r>
      <w:r w:rsidR="00EA64A1">
        <w:rPr>
          <w:rFonts w:ascii="Helvetica" w:eastAsia="HGMaruGothicMPRO" w:hAnsi="Helvetica" w:cs="Helvetica"/>
          <w:lang w:val="en-GB"/>
        </w:rPr>
        <w:t xml:space="preserve">I am not prepared to strike the appeal from the roll. To do so </w:t>
      </w:r>
      <w:r w:rsidRPr="008A3778">
        <w:rPr>
          <w:rFonts w:ascii="Helvetica" w:eastAsia="HGMaruGothicMPRO" w:hAnsi="Helvetica" w:cs="Helvetica"/>
          <w:lang w:val="en-GB"/>
        </w:rPr>
        <w:t>would not be in the interests of justice, and will in all probability not provide finality. It would moreover render an unsatisfactory outcome particularly for the respondents, and the</w:t>
      </w:r>
      <w:r w:rsidR="000027F2">
        <w:rPr>
          <w:rFonts w:ascii="Helvetica" w:eastAsia="HGMaruGothicMPRO" w:hAnsi="Helvetica" w:cs="Helvetica"/>
          <w:lang w:val="en-GB"/>
        </w:rPr>
        <w:t xml:space="preserve"> section 37C</w:t>
      </w:r>
      <w:r w:rsidRPr="008A3778">
        <w:rPr>
          <w:rFonts w:ascii="Helvetica" w:eastAsia="HGMaruGothicMPRO" w:hAnsi="Helvetica" w:cs="Helvetica"/>
          <w:lang w:val="en-GB"/>
        </w:rPr>
        <w:t xml:space="preserve"> beneficiaries of the deceased’s estate. The third respondent is, for example, </w:t>
      </w:r>
      <w:r w:rsidR="00A83F51">
        <w:rPr>
          <w:rFonts w:ascii="Helvetica" w:eastAsia="HGMaruGothicMPRO" w:hAnsi="Helvetica" w:cs="Helvetica"/>
          <w:lang w:val="en-GB"/>
        </w:rPr>
        <w:t xml:space="preserve">said </w:t>
      </w:r>
      <w:r w:rsidRPr="008A3778">
        <w:rPr>
          <w:rFonts w:ascii="Helvetica" w:eastAsia="HGMaruGothicMPRO" w:hAnsi="Helvetica" w:cs="Helvetica"/>
          <w:lang w:val="en-GB"/>
        </w:rPr>
        <w:t>to be 75 years old. The administration of Mr.</w:t>
      </w:r>
      <w:r w:rsidR="00ED36FE"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Collatz’s estate awaits finalization. </w:t>
      </w:r>
      <w:r w:rsidR="00A83F51">
        <w:rPr>
          <w:rFonts w:ascii="Helvetica" w:eastAsia="HGMaruGothicMPRO" w:hAnsi="Helvetica" w:cs="Helvetica"/>
          <w:lang w:val="en-GB"/>
        </w:rPr>
        <w:t xml:space="preserve">The relevant </w:t>
      </w:r>
      <w:r w:rsidRPr="008A3778">
        <w:rPr>
          <w:rFonts w:ascii="Helvetica" w:eastAsia="HGMaruGothicMPRO" w:hAnsi="Helvetica" w:cs="Helvetica"/>
          <w:lang w:val="en-GB"/>
        </w:rPr>
        <w:t>heirs, beneficiaries, and section 37C dependents, including the first appellant, have waited long enough.</w:t>
      </w:r>
      <w:r w:rsidR="000027F2">
        <w:rPr>
          <w:rFonts w:ascii="Helvetica" w:eastAsia="HGMaruGothicMPRO" w:hAnsi="Helvetica" w:cs="Helvetica"/>
          <w:lang w:val="en-GB"/>
        </w:rPr>
        <w:t xml:space="preserve"> </w:t>
      </w:r>
      <w:r w:rsidR="00A83F51">
        <w:rPr>
          <w:rFonts w:ascii="Helvetica" w:eastAsia="HGMaruGothicMPRO" w:hAnsi="Helvetica" w:cs="Helvetica"/>
          <w:lang w:val="en-GB"/>
        </w:rPr>
        <w:t xml:space="preserve">It is unfair to expect them to wait any longer. They </w:t>
      </w:r>
      <w:r w:rsidR="000027F2" w:rsidRPr="008A3778">
        <w:rPr>
          <w:rFonts w:ascii="Helvetica" w:eastAsia="HGMaruGothicMPRO" w:hAnsi="Helvetica" w:cs="Helvetica"/>
          <w:lang w:val="en-GB"/>
        </w:rPr>
        <w:t>are entitled to finality, one way or another, in this litigation.</w:t>
      </w:r>
    </w:p>
    <w:p w14:paraId="4918FBD7" w14:textId="1AC51322" w:rsidR="008F448D" w:rsidRPr="008A3778" w:rsidRDefault="006E7E82"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In coming to the aforesaid conclusion, </w:t>
      </w:r>
      <w:r w:rsidR="00E301DE" w:rsidRPr="008A3778">
        <w:rPr>
          <w:rFonts w:ascii="Helvetica" w:eastAsia="HGMaruGothicMPRO" w:hAnsi="Helvetica" w:cs="Helvetica"/>
          <w:lang w:val="en-GB"/>
        </w:rPr>
        <w:t xml:space="preserve">I am also </w:t>
      </w:r>
      <w:r w:rsidR="00625D21" w:rsidRPr="008A3778">
        <w:rPr>
          <w:rFonts w:ascii="Helvetica" w:eastAsia="HGMaruGothicMPRO" w:hAnsi="Helvetica" w:cs="Helvetica"/>
          <w:lang w:val="en-GB"/>
        </w:rPr>
        <w:t>mindful of the sentiments expressed by</w:t>
      </w:r>
      <w:r w:rsidR="00625D21" w:rsidRPr="008A3778">
        <w:rPr>
          <w:rFonts w:ascii="Helvetica" w:hAnsi="Helvetica" w:cs="Helvetica"/>
          <w:color w:val="242121"/>
          <w:shd w:val="clear" w:color="auto" w:fill="FFFFFF"/>
          <w:lang w:val="en-GB"/>
        </w:rPr>
        <w:t xml:space="preserve"> </w:t>
      </w:r>
      <w:r w:rsidR="00FF67BE" w:rsidRPr="008A3778">
        <w:rPr>
          <w:rFonts w:ascii="Helvetica" w:hAnsi="Helvetica" w:cs="Helvetica"/>
          <w:color w:val="242121"/>
          <w:shd w:val="clear" w:color="auto" w:fill="FFFFFF"/>
          <w:lang w:val="en-GB"/>
        </w:rPr>
        <w:t>Ngalwana AJ</w:t>
      </w:r>
      <w:r w:rsidR="006E6DBD" w:rsidRPr="008A3778">
        <w:rPr>
          <w:rFonts w:ascii="Helvetica" w:hAnsi="Helvetica" w:cs="Helvetica"/>
          <w:color w:val="242121"/>
          <w:shd w:val="clear" w:color="auto" w:fill="FFFFFF"/>
          <w:lang w:val="en-GB"/>
        </w:rPr>
        <w:t xml:space="preserve"> in </w:t>
      </w:r>
      <w:r w:rsidR="00C70763" w:rsidRPr="008A3778">
        <w:rPr>
          <w:rFonts w:ascii="Helvetica" w:hAnsi="Helvetica" w:cs="Helvetica"/>
          <w:b/>
          <w:bCs/>
          <w:color w:val="242121"/>
          <w:shd w:val="clear" w:color="auto" w:fill="FFFFFF"/>
          <w:lang w:val="en-GB"/>
        </w:rPr>
        <w:t xml:space="preserve">Commissioner: </w:t>
      </w:r>
      <w:r w:rsidR="001D3DAF" w:rsidRPr="008A3778">
        <w:rPr>
          <w:rFonts w:ascii="Helvetica" w:hAnsi="Helvetica" w:cs="Helvetica"/>
          <w:b/>
          <w:bCs/>
          <w:color w:val="242121"/>
          <w:shd w:val="clear" w:color="auto" w:fill="FFFFFF"/>
          <w:lang w:val="en-GB"/>
        </w:rPr>
        <w:t>CIPC</w:t>
      </w:r>
      <w:r w:rsidR="00C70763" w:rsidRPr="008A3778">
        <w:rPr>
          <w:rFonts w:ascii="Helvetica" w:hAnsi="Helvetica" w:cs="Helvetica"/>
          <w:b/>
          <w:bCs/>
          <w:color w:val="242121"/>
          <w:shd w:val="clear" w:color="auto" w:fill="FFFFFF"/>
          <w:lang w:val="en-GB"/>
        </w:rPr>
        <w:t xml:space="preserve"> v Independent Music Performance Rights </w:t>
      </w:r>
      <w:r w:rsidR="00C70763" w:rsidRPr="008A3778">
        <w:rPr>
          <w:rFonts w:ascii="Helvetica" w:hAnsi="Helvetica" w:cs="Helvetica"/>
          <w:b/>
          <w:bCs/>
          <w:color w:val="242121"/>
          <w:shd w:val="clear" w:color="auto" w:fill="FFFFFF"/>
          <w:lang w:val="en-GB"/>
        </w:rPr>
        <w:lastRenderedPageBreak/>
        <w:t>Assoc</w:t>
      </w:r>
      <w:r w:rsidR="001D3DAF" w:rsidRPr="008A3778">
        <w:rPr>
          <w:rFonts w:ascii="Helvetica" w:hAnsi="Helvetica" w:cs="Helvetica"/>
          <w:b/>
          <w:bCs/>
          <w:color w:val="242121"/>
          <w:shd w:val="clear" w:color="auto" w:fill="FFFFFF"/>
          <w:lang w:val="en-GB"/>
        </w:rPr>
        <w:t>iation</w:t>
      </w:r>
      <w:r w:rsidR="006E6DBD" w:rsidRPr="008A3778">
        <w:rPr>
          <w:rStyle w:val="FootnoteReference"/>
          <w:rFonts w:ascii="Helvetica" w:hAnsi="Helvetica" w:cs="Helvetica"/>
          <w:color w:val="242121"/>
          <w:shd w:val="clear" w:color="auto" w:fill="FFFFFF"/>
          <w:lang w:val="en-GB"/>
        </w:rPr>
        <w:footnoteReference w:id="23"/>
      </w:r>
      <w:r w:rsidR="003C2E1E" w:rsidRPr="008A3778">
        <w:rPr>
          <w:rFonts w:ascii="Helvetica" w:eastAsia="HGMaruGothicMPRO" w:hAnsi="Helvetica" w:cs="Helvetica"/>
          <w:lang w:val="en-GB"/>
        </w:rPr>
        <w:t xml:space="preserve"> </w:t>
      </w:r>
      <w:r w:rsidR="00625D21" w:rsidRPr="008A3778">
        <w:rPr>
          <w:rFonts w:ascii="Helvetica" w:eastAsia="HGMaruGothicMPRO" w:hAnsi="Helvetica" w:cs="Helvetica"/>
          <w:lang w:val="en-GB"/>
        </w:rPr>
        <w:t>whe</w:t>
      </w:r>
      <w:r w:rsidR="00C70763" w:rsidRPr="008A3778">
        <w:rPr>
          <w:rFonts w:ascii="Helvetica" w:eastAsia="HGMaruGothicMPRO" w:hAnsi="Helvetica" w:cs="Helvetica"/>
          <w:lang w:val="en-GB"/>
        </w:rPr>
        <w:t xml:space="preserve">re </w:t>
      </w:r>
      <w:r w:rsidR="003C2E1E" w:rsidRPr="008A3778">
        <w:rPr>
          <w:rFonts w:ascii="Helvetica" w:eastAsia="HGMaruGothicMPRO" w:hAnsi="Helvetica" w:cs="Helvetica"/>
          <w:lang w:val="en-GB"/>
        </w:rPr>
        <w:t>he states</w:t>
      </w:r>
      <w:r w:rsidR="00C70763" w:rsidRPr="008A3778">
        <w:rPr>
          <w:rFonts w:ascii="Helvetica" w:eastAsia="HGMaruGothicMPRO" w:hAnsi="Helvetica" w:cs="Helvetica"/>
          <w:lang w:val="en-GB"/>
        </w:rPr>
        <w:t xml:space="preserve">: </w:t>
      </w:r>
      <w:r w:rsidR="00625D21" w:rsidRPr="008A3778">
        <w:rPr>
          <w:rFonts w:ascii="Helvetica" w:eastAsia="HGMaruGothicMPRO" w:hAnsi="Helvetica" w:cs="Helvetica"/>
          <w:lang w:val="en-GB"/>
        </w:rPr>
        <w:t>“</w:t>
      </w:r>
      <w:r w:rsidR="00625D21" w:rsidRPr="008A3778">
        <w:rPr>
          <w:rFonts w:ascii="Helvetica" w:eastAsia="HGMaruGothicMPRO" w:hAnsi="Helvetica" w:cs="Helvetica"/>
          <w:i/>
          <w:iCs/>
          <w:lang w:val="en-GB"/>
        </w:rPr>
        <w:t>Far more efficacious for a court to render judgment that resolves a dispute between litigants,</w:t>
      </w:r>
      <w:r w:rsidR="00A31A83" w:rsidRPr="008A3778">
        <w:rPr>
          <w:rFonts w:ascii="Helvetica" w:eastAsia="HGMaruGothicMPRO" w:hAnsi="Helvetica" w:cs="Helvetica"/>
          <w:i/>
          <w:iCs/>
          <w:lang w:val="en-GB"/>
        </w:rPr>
        <w:t xml:space="preserve"> …</w:t>
      </w:r>
      <w:r w:rsidR="00A31A83" w:rsidRPr="008A3778">
        <w:rPr>
          <w:rFonts w:ascii="Helvetica" w:eastAsia="HGMaruGothicMPRO" w:hAnsi="Helvetica" w:cs="Helvetica"/>
          <w:lang w:val="en-GB"/>
        </w:rPr>
        <w:t xml:space="preserve">”. </w:t>
      </w:r>
    </w:p>
    <w:p w14:paraId="0E1AE490" w14:textId="7C1E92ED" w:rsidR="006E7E82" w:rsidRPr="008A3778" w:rsidRDefault="006E7E82"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Additionally, whatever financial prejudice the appellants</w:t>
      </w:r>
      <w:r w:rsidR="00A030F7" w:rsidRPr="008A3778">
        <w:rPr>
          <w:rFonts w:ascii="Helvetica" w:eastAsia="HGMaruGothicMPRO" w:hAnsi="Helvetica" w:cs="Helvetica"/>
          <w:lang w:val="en-GB"/>
        </w:rPr>
        <w:t xml:space="preserve"> may suffer, or potentially suffer, because of the appellants</w:t>
      </w:r>
      <w:r w:rsidR="003C61B4">
        <w:rPr>
          <w:rFonts w:ascii="Helvetica" w:eastAsia="HGMaruGothicMPRO" w:hAnsi="Helvetica" w:cs="Helvetica"/>
          <w:lang w:val="en-GB"/>
        </w:rPr>
        <w:t>’</w:t>
      </w:r>
      <w:r w:rsidR="00A030F7" w:rsidRPr="008A3778">
        <w:rPr>
          <w:rFonts w:ascii="Helvetica" w:eastAsia="HGMaruGothicMPRO" w:hAnsi="Helvetica" w:cs="Helvetica"/>
          <w:lang w:val="en-GB"/>
        </w:rPr>
        <w:t xml:space="preserve"> failure to furnish security has already been incurred or suffered. I say so because the respondents have prepared on all aspects for this appeal, filed heads of argument dealing with the merits of the appeal, and have incurred the costs of counsel to argue the appeal. It would truly be a pyrrhic victory for the respondents if the appeal were to be struck </w:t>
      </w:r>
      <w:r w:rsidR="003C61B4">
        <w:rPr>
          <w:rFonts w:ascii="Helvetica" w:eastAsia="HGMaruGothicMPRO" w:hAnsi="Helvetica" w:cs="Helvetica"/>
          <w:lang w:val="en-GB"/>
        </w:rPr>
        <w:t xml:space="preserve">from </w:t>
      </w:r>
      <w:r w:rsidR="00A030F7" w:rsidRPr="008A3778">
        <w:rPr>
          <w:rFonts w:ascii="Helvetica" w:eastAsia="HGMaruGothicMPRO" w:hAnsi="Helvetica" w:cs="Helvetica"/>
          <w:lang w:val="en-GB"/>
        </w:rPr>
        <w:t xml:space="preserve">the roll, </w:t>
      </w:r>
      <w:r w:rsidR="005A681F" w:rsidRPr="008A3778">
        <w:rPr>
          <w:rFonts w:ascii="Helvetica" w:eastAsia="HGMaruGothicMPRO" w:hAnsi="Helvetica" w:cs="Helvetica"/>
          <w:lang w:val="en-GB"/>
        </w:rPr>
        <w:t>despite the</w:t>
      </w:r>
      <w:r w:rsidR="00CA5114" w:rsidRPr="008A3778">
        <w:rPr>
          <w:rFonts w:ascii="Helvetica" w:eastAsia="HGMaruGothicMPRO" w:hAnsi="Helvetica" w:cs="Helvetica"/>
          <w:lang w:val="en-GB"/>
        </w:rPr>
        <w:t>ir already</w:t>
      </w:r>
      <w:r w:rsidR="005A681F" w:rsidRPr="008A3778">
        <w:rPr>
          <w:rFonts w:ascii="Helvetica" w:eastAsia="HGMaruGothicMPRO" w:hAnsi="Helvetica" w:cs="Helvetica"/>
          <w:lang w:val="en-GB"/>
        </w:rPr>
        <w:t xml:space="preserve"> incurring such co</w:t>
      </w:r>
      <w:r w:rsidR="00CA5114" w:rsidRPr="008A3778">
        <w:rPr>
          <w:rFonts w:ascii="Helvetica" w:eastAsia="HGMaruGothicMPRO" w:hAnsi="Helvetica" w:cs="Helvetica"/>
          <w:lang w:val="en-GB"/>
        </w:rPr>
        <w:t>sts</w:t>
      </w:r>
      <w:r w:rsidR="005A681F" w:rsidRPr="008A3778">
        <w:rPr>
          <w:rFonts w:ascii="Helvetica" w:eastAsia="HGMaruGothicMPRO" w:hAnsi="Helvetica" w:cs="Helvetica"/>
          <w:lang w:val="en-GB"/>
        </w:rPr>
        <w:t xml:space="preserve"> and </w:t>
      </w:r>
      <w:r w:rsidR="00A030F7" w:rsidRPr="008A3778">
        <w:rPr>
          <w:rFonts w:ascii="Helvetica" w:eastAsia="HGMaruGothicMPRO" w:hAnsi="Helvetica" w:cs="Helvetica"/>
          <w:lang w:val="en-GB"/>
        </w:rPr>
        <w:t xml:space="preserve">without the merits </w:t>
      </w:r>
      <w:r w:rsidR="00CA5114" w:rsidRPr="008A3778">
        <w:rPr>
          <w:rFonts w:ascii="Helvetica" w:eastAsia="HGMaruGothicMPRO" w:hAnsi="Helvetica" w:cs="Helvetica"/>
          <w:lang w:val="en-GB"/>
        </w:rPr>
        <w:t xml:space="preserve">of the appeal </w:t>
      </w:r>
      <w:r w:rsidR="00A030F7" w:rsidRPr="008A3778">
        <w:rPr>
          <w:rFonts w:ascii="Helvetica" w:eastAsia="HGMaruGothicMPRO" w:hAnsi="Helvetica" w:cs="Helvetica"/>
          <w:lang w:val="en-GB"/>
        </w:rPr>
        <w:t xml:space="preserve">being determined. </w:t>
      </w:r>
    </w:p>
    <w:p w14:paraId="714ADE2B" w14:textId="243CE887" w:rsidR="00076276" w:rsidRPr="008A3778" w:rsidRDefault="00076276" w:rsidP="006D5807">
      <w:pPr>
        <w:pStyle w:val="ListParagraph"/>
        <w:numPr>
          <w:ilvl w:val="0"/>
          <w:numId w:val="11"/>
        </w:numPr>
        <w:spacing w:after="360" w:line="360" w:lineRule="auto"/>
        <w:ind w:right="-151" w:hanging="720"/>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 xml:space="preserve">The </w:t>
      </w:r>
      <w:r w:rsidR="002700AB" w:rsidRPr="008A3778">
        <w:rPr>
          <w:rFonts w:ascii="Helvetica" w:eastAsia="HGMaruGothicMPRO" w:hAnsi="Helvetica" w:cs="Helvetica"/>
          <w:b/>
          <w:bCs/>
          <w:lang w:val="en-GB"/>
        </w:rPr>
        <w:t xml:space="preserve">appellants’ conditional </w:t>
      </w:r>
      <w:r w:rsidRPr="008A3778">
        <w:rPr>
          <w:rFonts w:ascii="Helvetica" w:eastAsia="HGMaruGothicMPRO" w:hAnsi="Helvetica" w:cs="Helvetica"/>
          <w:b/>
          <w:bCs/>
          <w:lang w:val="en-GB"/>
        </w:rPr>
        <w:t xml:space="preserve">condonation application </w:t>
      </w:r>
    </w:p>
    <w:p w14:paraId="25D6D799" w14:textId="77777777" w:rsidR="006E7E82" w:rsidRPr="008A3778" w:rsidRDefault="00076276"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foreshadowed above, the appellants</w:t>
      </w:r>
      <w:r w:rsidR="00011367" w:rsidRPr="008A3778">
        <w:rPr>
          <w:rFonts w:ascii="Helvetica" w:eastAsia="HGMaruGothicMPRO" w:hAnsi="Helvetica" w:cs="Helvetica"/>
          <w:lang w:val="en-GB"/>
        </w:rPr>
        <w:t xml:space="preserve"> </w:t>
      </w:r>
      <w:r w:rsidR="009F483C" w:rsidRPr="008A3778">
        <w:rPr>
          <w:rFonts w:ascii="Helvetica" w:eastAsia="HGMaruGothicMPRO" w:hAnsi="Helvetica" w:cs="Helvetica"/>
          <w:lang w:val="en-GB"/>
        </w:rPr>
        <w:t xml:space="preserve">also </w:t>
      </w:r>
      <w:r w:rsidR="00011367" w:rsidRPr="008A3778">
        <w:rPr>
          <w:rFonts w:ascii="Helvetica" w:eastAsia="HGMaruGothicMPRO" w:hAnsi="Helvetica" w:cs="Helvetica"/>
          <w:lang w:val="en-GB"/>
        </w:rPr>
        <w:t>seek co</w:t>
      </w:r>
      <w:r w:rsidRPr="008A3778">
        <w:rPr>
          <w:rFonts w:ascii="Helvetica" w:eastAsia="HGMaruGothicMPRO" w:hAnsi="Helvetica" w:cs="Helvetica"/>
          <w:lang w:val="en-GB"/>
        </w:rPr>
        <w:t>ndonation</w:t>
      </w:r>
      <w:r w:rsidR="00F65175" w:rsidRPr="008A3778">
        <w:rPr>
          <w:rFonts w:ascii="Helvetica" w:eastAsia="HGMaruGothicMPRO" w:hAnsi="Helvetica" w:cs="Helvetica"/>
          <w:lang w:val="en-GB"/>
        </w:rPr>
        <w:t xml:space="preserve">, </w:t>
      </w:r>
      <w:r w:rsidR="006E7E82" w:rsidRPr="008A3778">
        <w:rPr>
          <w:rFonts w:ascii="Helvetica" w:eastAsia="HGMaruGothicMPRO" w:hAnsi="Helvetica" w:cs="Helvetica"/>
          <w:lang w:val="en-GB"/>
        </w:rPr>
        <w:t xml:space="preserve">on a </w:t>
      </w:r>
      <w:r w:rsidR="00F65175" w:rsidRPr="008A3778">
        <w:rPr>
          <w:rFonts w:ascii="Helvetica" w:eastAsia="HGMaruGothicMPRO" w:hAnsi="Helvetica" w:cs="Helvetica"/>
          <w:lang w:val="en-GB"/>
        </w:rPr>
        <w:t>conditional basis,</w:t>
      </w:r>
      <w:r w:rsidR="009F40D9" w:rsidRPr="008A3778">
        <w:rPr>
          <w:rFonts w:ascii="Helvetica" w:eastAsia="HGMaruGothicMPRO" w:hAnsi="Helvetica" w:cs="Helvetica"/>
          <w:lang w:val="en-GB"/>
        </w:rPr>
        <w:t xml:space="preserve"> for the delayed prosecution,</w:t>
      </w:r>
      <w:r w:rsidRPr="008A3778">
        <w:rPr>
          <w:rFonts w:ascii="Helvetica" w:eastAsia="HGMaruGothicMPRO" w:hAnsi="Helvetica" w:cs="Helvetica"/>
          <w:lang w:val="en-GB"/>
        </w:rPr>
        <w:t xml:space="preserve"> </w:t>
      </w:r>
      <w:r w:rsidR="009F40D9" w:rsidRPr="008A3778">
        <w:rPr>
          <w:rFonts w:ascii="Helvetica" w:eastAsia="HGMaruGothicMPRO" w:hAnsi="Helvetica" w:cs="Helvetica"/>
          <w:lang w:val="en-GB"/>
        </w:rPr>
        <w:t xml:space="preserve">and the </w:t>
      </w:r>
      <w:r w:rsidRPr="008A3778">
        <w:rPr>
          <w:rFonts w:ascii="Helvetica" w:eastAsia="HGMaruGothicMPRO" w:hAnsi="Helvetica" w:cs="Helvetica"/>
          <w:lang w:val="en-GB"/>
        </w:rPr>
        <w:t>reinstatement</w:t>
      </w:r>
      <w:r w:rsidR="00D6275E" w:rsidRPr="008A3778">
        <w:rPr>
          <w:rFonts w:ascii="Helvetica" w:eastAsia="HGMaruGothicMPRO" w:hAnsi="Helvetica" w:cs="Helvetica"/>
          <w:lang w:val="en-GB"/>
        </w:rPr>
        <w:t>,</w:t>
      </w:r>
      <w:r w:rsidRPr="008A3778">
        <w:rPr>
          <w:rFonts w:ascii="Helvetica" w:eastAsia="HGMaruGothicMPRO" w:hAnsi="Helvetica" w:cs="Helvetica"/>
          <w:lang w:val="en-GB"/>
        </w:rPr>
        <w:t xml:space="preserve"> of the</w:t>
      </w:r>
      <w:r w:rsidR="006E7E82" w:rsidRPr="008A3778">
        <w:rPr>
          <w:rFonts w:ascii="Helvetica" w:eastAsia="HGMaruGothicMPRO" w:hAnsi="Helvetica" w:cs="Helvetica"/>
          <w:lang w:val="en-GB"/>
        </w:rPr>
        <w:t>ir</w:t>
      </w:r>
      <w:r w:rsidRPr="008A3778">
        <w:rPr>
          <w:rFonts w:ascii="Helvetica" w:eastAsia="HGMaruGothicMPRO" w:hAnsi="Helvetica" w:cs="Helvetica"/>
          <w:lang w:val="en-GB"/>
        </w:rPr>
        <w:t xml:space="preserve"> appeal. </w:t>
      </w:r>
      <w:r w:rsidR="00F65175" w:rsidRPr="008A3778">
        <w:rPr>
          <w:rFonts w:ascii="Helvetica" w:eastAsia="HGMaruGothicMPRO" w:hAnsi="Helvetica" w:cs="Helvetica"/>
          <w:lang w:val="en-GB"/>
        </w:rPr>
        <w:t xml:space="preserve">At the heart of the condonation application is </w:t>
      </w:r>
      <w:r w:rsidR="006E7E82" w:rsidRPr="008A3778">
        <w:rPr>
          <w:rFonts w:ascii="Helvetica" w:eastAsia="HGMaruGothicMPRO" w:hAnsi="Helvetica" w:cs="Helvetica"/>
          <w:lang w:val="en-GB"/>
        </w:rPr>
        <w:t xml:space="preserve">stated to be </w:t>
      </w:r>
      <w:r w:rsidR="00F65175" w:rsidRPr="008A3778">
        <w:rPr>
          <w:rFonts w:ascii="Helvetica" w:eastAsia="HGMaruGothicMPRO" w:hAnsi="Helvetica" w:cs="Helvetica"/>
          <w:lang w:val="en-GB"/>
        </w:rPr>
        <w:t>their delay in obtaining a typed court order and the “</w:t>
      </w:r>
      <w:r w:rsidR="00F65175" w:rsidRPr="008A3778">
        <w:rPr>
          <w:rFonts w:ascii="Helvetica" w:eastAsia="HGMaruGothicMPRO" w:hAnsi="Helvetica" w:cs="Helvetica"/>
          <w:i/>
          <w:iCs/>
          <w:lang w:val="en-GB"/>
        </w:rPr>
        <w:t>recordings in this matter</w:t>
      </w:r>
      <w:r w:rsidR="00F65175" w:rsidRPr="008A3778">
        <w:rPr>
          <w:rFonts w:ascii="Helvetica" w:eastAsia="HGMaruGothicMPRO" w:hAnsi="Helvetica" w:cs="Helvetica"/>
          <w:lang w:val="en-GB"/>
        </w:rPr>
        <w:t xml:space="preserve">”. </w:t>
      </w:r>
    </w:p>
    <w:p w14:paraId="6039FC19" w14:textId="6AEFFD33" w:rsidR="00076276" w:rsidRPr="008A3778" w:rsidRDefault="00FB6BD0" w:rsidP="006E7E82">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076276" w:rsidRPr="008A3778">
        <w:rPr>
          <w:rFonts w:ascii="Helvetica" w:eastAsia="HGMaruGothicMPRO" w:hAnsi="Helvetica" w:cs="Helvetica"/>
          <w:lang w:val="en-GB"/>
        </w:rPr>
        <w:t>he</w:t>
      </w:r>
      <w:r w:rsidR="009F40D9" w:rsidRPr="008A3778">
        <w:rPr>
          <w:rFonts w:ascii="Helvetica" w:eastAsia="HGMaruGothicMPRO" w:hAnsi="Helvetica" w:cs="Helvetica"/>
          <w:lang w:val="en-GB"/>
        </w:rPr>
        <w:t>ir</w:t>
      </w:r>
      <w:r w:rsidR="006E7E82" w:rsidRPr="008A3778">
        <w:rPr>
          <w:rFonts w:ascii="Helvetica" w:eastAsia="HGMaruGothicMPRO" w:hAnsi="Helvetica" w:cs="Helvetica"/>
          <w:lang w:val="en-GB"/>
        </w:rPr>
        <w:t xml:space="preserve"> application is however only </w:t>
      </w:r>
      <w:r w:rsidR="00F65175" w:rsidRPr="008A3778">
        <w:rPr>
          <w:rFonts w:ascii="Helvetica" w:eastAsia="HGMaruGothicMPRO" w:hAnsi="Helvetica" w:cs="Helvetica"/>
          <w:lang w:val="en-GB"/>
        </w:rPr>
        <w:t>conditional</w:t>
      </w:r>
      <w:r w:rsidR="008A593D">
        <w:rPr>
          <w:rFonts w:ascii="Helvetica" w:eastAsia="HGMaruGothicMPRO" w:hAnsi="Helvetica" w:cs="Helvetica"/>
          <w:lang w:val="en-GB"/>
        </w:rPr>
        <w:t>ly</w:t>
      </w:r>
      <w:r w:rsidR="006E7E82" w:rsidRPr="008A3778">
        <w:rPr>
          <w:rFonts w:ascii="Helvetica" w:eastAsia="HGMaruGothicMPRO" w:hAnsi="Helvetica" w:cs="Helvetica"/>
          <w:lang w:val="en-GB"/>
        </w:rPr>
        <w:t xml:space="preserve"> pursued</w:t>
      </w:r>
      <w:r w:rsidR="00220061">
        <w:rPr>
          <w:rFonts w:ascii="Helvetica" w:eastAsia="HGMaruGothicMPRO" w:hAnsi="Helvetica" w:cs="Helvetica"/>
          <w:lang w:val="en-GB"/>
        </w:rPr>
        <w:t>;</w:t>
      </w:r>
      <w:r w:rsidR="006E7E82" w:rsidRPr="008A3778">
        <w:rPr>
          <w:rFonts w:ascii="Helvetica" w:eastAsia="HGMaruGothicMPRO" w:hAnsi="Helvetica" w:cs="Helvetica"/>
          <w:lang w:val="en-GB"/>
        </w:rPr>
        <w:t xml:space="preserve"> namely</w:t>
      </w:r>
      <w:r w:rsidR="003C61B4">
        <w:rPr>
          <w:rFonts w:ascii="Helvetica" w:eastAsia="HGMaruGothicMPRO" w:hAnsi="Helvetica" w:cs="Helvetica"/>
          <w:lang w:val="en-GB"/>
        </w:rPr>
        <w:t xml:space="preserve"> it is only pursued</w:t>
      </w:r>
      <w:r w:rsidR="006E7E82"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if, </w:t>
      </w:r>
      <w:r w:rsidR="00023D47" w:rsidRPr="00023D47">
        <w:rPr>
          <w:rFonts w:ascii="Helvetica" w:eastAsia="HGMaruGothicMPRO" w:hAnsi="Helvetica" w:cs="Helvetica"/>
          <w:i/>
          <w:iCs/>
          <w:lang w:val="en-GB"/>
        </w:rPr>
        <w:t>inter-alia</w:t>
      </w:r>
      <w:r w:rsidRPr="008A3778">
        <w:rPr>
          <w:rFonts w:ascii="Helvetica" w:eastAsia="HGMaruGothicMPRO" w:hAnsi="Helvetica" w:cs="Helvetica"/>
          <w:lang w:val="en-GB"/>
        </w:rPr>
        <w:t xml:space="preserve">, </w:t>
      </w:r>
      <w:r w:rsidR="00183422" w:rsidRPr="008A3778">
        <w:rPr>
          <w:rFonts w:ascii="Helvetica" w:eastAsia="HGMaruGothicMPRO" w:hAnsi="Helvetica" w:cs="Helvetica"/>
          <w:lang w:val="en-GB"/>
        </w:rPr>
        <w:t xml:space="preserve">the respondents </w:t>
      </w:r>
      <w:r w:rsidR="003C61B4">
        <w:rPr>
          <w:rFonts w:ascii="Helvetica" w:eastAsia="HGMaruGothicMPRO" w:hAnsi="Helvetica" w:cs="Helvetica"/>
          <w:lang w:val="en-GB"/>
        </w:rPr>
        <w:t xml:space="preserve">seek to </w:t>
      </w:r>
      <w:r w:rsidR="00183422" w:rsidRPr="008A3778">
        <w:rPr>
          <w:rFonts w:ascii="Helvetica" w:eastAsia="HGMaruGothicMPRO" w:hAnsi="Helvetica" w:cs="Helvetica"/>
          <w:lang w:val="en-GB"/>
        </w:rPr>
        <w:t>argue that the prescribed uniform rule</w:t>
      </w:r>
      <w:r w:rsidRPr="008A3778">
        <w:rPr>
          <w:rFonts w:ascii="Helvetica" w:eastAsia="HGMaruGothicMPRO" w:hAnsi="Helvetica" w:cs="Helvetica"/>
          <w:lang w:val="en-GB"/>
        </w:rPr>
        <w:t xml:space="preserve"> </w:t>
      </w:r>
      <w:r w:rsidR="00183422" w:rsidRPr="008A3778">
        <w:rPr>
          <w:rFonts w:ascii="Helvetica" w:eastAsia="HGMaruGothicMPRO" w:hAnsi="Helvetica" w:cs="Helvetica"/>
          <w:lang w:val="en-GB"/>
        </w:rPr>
        <w:t xml:space="preserve">49(6) </w:t>
      </w:r>
      <w:r w:rsidRPr="008A3778">
        <w:rPr>
          <w:rFonts w:ascii="Helvetica" w:eastAsia="HGMaruGothicMPRO" w:hAnsi="Helvetica" w:cs="Helvetica"/>
          <w:lang w:val="en-GB"/>
        </w:rPr>
        <w:t>periods</w:t>
      </w:r>
      <w:r w:rsidR="009F483C" w:rsidRPr="008A3778">
        <w:rPr>
          <w:rFonts w:ascii="Helvetica" w:eastAsia="HGMaruGothicMPRO" w:hAnsi="Helvetica" w:cs="Helvetica"/>
          <w:lang w:val="en-GB"/>
        </w:rPr>
        <w:t xml:space="preserve"> have </w:t>
      </w:r>
      <w:r w:rsidRPr="008A3778">
        <w:rPr>
          <w:rFonts w:ascii="Helvetica" w:eastAsia="HGMaruGothicMPRO" w:hAnsi="Helvetica" w:cs="Helvetica"/>
          <w:lang w:val="en-GB"/>
        </w:rPr>
        <w:t>not been complied with</w:t>
      </w:r>
      <w:r w:rsidR="00076276" w:rsidRPr="008A3778">
        <w:rPr>
          <w:rFonts w:ascii="Helvetica" w:eastAsia="HGMaruGothicMPRO" w:hAnsi="Helvetica" w:cs="Helvetica"/>
          <w:lang w:val="en-GB"/>
        </w:rPr>
        <w:t xml:space="preserve"> and</w:t>
      </w:r>
      <w:r w:rsidR="00220061">
        <w:rPr>
          <w:rFonts w:ascii="Helvetica" w:eastAsia="HGMaruGothicMPRO" w:hAnsi="Helvetica" w:cs="Helvetica"/>
          <w:lang w:val="en-GB"/>
        </w:rPr>
        <w:t>,</w:t>
      </w:r>
      <w:r w:rsidRPr="008A3778">
        <w:rPr>
          <w:rFonts w:ascii="Helvetica" w:eastAsia="HGMaruGothicMPRO" w:hAnsi="Helvetica" w:cs="Helvetica"/>
          <w:lang w:val="en-GB"/>
        </w:rPr>
        <w:t xml:space="preserve"> moreover</w:t>
      </w:r>
      <w:r w:rsidR="00220061">
        <w:rPr>
          <w:rFonts w:ascii="Helvetica" w:eastAsia="HGMaruGothicMPRO" w:hAnsi="Helvetica" w:cs="Helvetica"/>
          <w:lang w:val="en-GB"/>
        </w:rPr>
        <w:t>,</w:t>
      </w:r>
      <w:r w:rsidRPr="008A3778">
        <w:rPr>
          <w:rFonts w:ascii="Helvetica" w:eastAsia="HGMaruGothicMPRO" w:hAnsi="Helvetica" w:cs="Helvetica"/>
          <w:lang w:val="en-GB"/>
        </w:rPr>
        <w:t xml:space="preserve"> </w:t>
      </w:r>
      <w:r w:rsidR="00076276" w:rsidRPr="008A3778">
        <w:rPr>
          <w:rFonts w:ascii="Helvetica" w:eastAsia="HGMaruGothicMPRO" w:hAnsi="Helvetica" w:cs="Helvetica"/>
          <w:lang w:val="en-GB"/>
        </w:rPr>
        <w:t>only if it is found that the appeal has lapse</w:t>
      </w:r>
      <w:r w:rsidR="002700AB" w:rsidRPr="008A3778">
        <w:rPr>
          <w:rFonts w:ascii="Helvetica" w:eastAsia="HGMaruGothicMPRO" w:hAnsi="Helvetica" w:cs="Helvetica"/>
          <w:lang w:val="en-GB"/>
        </w:rPr>
        <w:t>d</w:t>
      </w:r>
      <w:r w:rsidR="003C61B4">
        <w:rPr>
          <w:rFonts w:ascii="Helvetica" w:eastAsia="HGMaruGothicMPRO" w:hAnsi="Helvetica" w:cs="Helvetica"/>
          <w:lang w:val="en-GB"/>
        </w:rPr>
        <w:t>.</w:t>
      </w:r>
      <w:r w:rsidR="00076276" w:rsidRPr="008A3778">
        <w:rPr>
          <w:rFonts w:ascii="Helvetica" w:eastAsia="HGMaruGothicMPRO" w:hAnsi="Helvetica" w:cs="Helvetica"/>
          <w:lang w:val="en-GB"/>
        </w:rPr>
        <w:t xml:space="preserve"> </w:t>
      </w:r>
      <w:r w:rsidR="0006613C" w:rsidRPr="008A3778">
        <w:rPr>
          <w:rFonts w:ascii="Helvetica" w:eastAsia="HGMaruGothicMPRO" w:hAnsi="Helvetica" w:cs="Helvetica"/>
          <w:lang w:val="en-GB"/>
        </w:rPr>
        <w:t>The appellants</w:t>
      </w:r>
      <w:r w:rsidR="00252506" w:rsidRPr="008A3778">
        <w:rPr>
          <w:rFonts w:ascii="Helvetica" w:eastAsia="HGMaruGothicMPRO" w:hAnsi="Helvetica" w:cs="Helvetica"/>
          <w:lang w:val="en-GB"/>
        </w:rPr>
        <w:t>’</w:t>
      </w:r>
      <w:r w:rsidR="0006613C" w:rsidRPr="008A3778">
        <w:rPr>
          <w:rFonts w:ascii="Helvetica" w:eastAsia="HGMaruGothicMPRO" w:hAnsi="Helvetica" w:cs="Helvetica"/>
          <w:lang w:val="en-GB"/>
        </w:rPr>
        <w:t xml:space="preserve"> </w:t>
      </w:r>
      <w:r w:rsidR="00DD1826" w:rsidRPr="008A3778">
        <w:rPr>
          <w:rFonts w:ascii="Helvetica" w:eastAsia="HGMaruGothicMPRO" w:hAnsi="Helvetica" w:cs="Helvetica"/>
          <w:lang w:val="en-GB"/>
        </w:rPr>
        <w:t xml:space="preserve">conditional and </w:t>
      </w:r>
      <w:r w:rsidR="0006613C" w:rsidRPr="008A3778">
        <w:rPr>
          <w:rFonts w:ascii="Helvetica" w:eastAsia="HGMaruGothicMPRO" w:hAnsi="Helvetica" w:cs="Helvetica"/>
          <w:lang w:val="en-GB"/>
        </w:rPr>
        <w:t>coy</w:t>
      </w:r>
      <w:r w:rsidR="00381246" w:rsidRPr="008A3778">
        <w:rPr>
          <w:rFonts w:ascii="Helvetica" w:eastAsia="HGMaruGothicMPRO" w:hAnsi="Helvetica" w:cs="Helvetica"/>
          <w:lang w:val="en-GB"/>
        </w:rPr>
        <w:t xml:space="preserve"> stance on whether t</w:t>
      </w:r>
      <w:r w:rsidR="00C73C72" w:rsidRPr="008A3778">
        <w:rPr>
          <w:rFonts w:ascii="Helvetica" w:eastAsia="HGMaruGothicMPRO" w:hAnsi="Helvetica" w:cs="Helvetica"/>
          <w:lang w:val="en-GB"/>
        </w:rPr>
        <w:t>heir</w:t>
      </w:r>
      <w:r w:rsidR="00381246" w:rsidRPr="008A3778">
        <w:rPr>
          <w:rFonts w:ascii="Helvetica" w:eastAsia="HGMaruGothicMPRO" w:hAnsi="Helvetica" w:cs="Helvetica"/>
          <w:lang w:val="en-GB"/>
        </w:rPr>
        <w:t xml:space="preserve"> appeal has lapsed is unsatisfactory</w:t>
      </w:r>
      <w:r w:rsidR="000B0ED4" w:rsidRPr="008A3778">
        <w:rPr>
          <w:rFonts w:ascii="Helvetica" w:eastAsia="HGMaruGothicMPRO" w:hAnsi="Helvetica" w:cs="Helvetica"/>
          <w:lang w:val="en-GB"/>
        </w:rPr>
        <w:t>;</w:t>
      </w:r>
      <w:r w:rsidR="00381246" w:rsidRPr="008A3778">
        <w:rPr>
          <w:rFonts w:ascii="Helvetica" w:eastAsia="HGMaruGothicMPRO" w:hAnsi="Helvetica" w:cs="Helvetica"/>
          <w:lang w:val="en-GB"/>
        </w:rPr>
        <w:t xml:space="preserve"> particularly </w:t>
      </w:r>
      <w:r w:rsidR="000B0ED4" w:rsidRPr="008A3778">
        <w:rPr>
          <w:rFonts w:ascii="Helvetica" w:eastAsia="HGMaruGothicMPRO" w:hAnsi="Helvetica" w:cs="Helvetica"/>
          <w:lang w:val="en-GB"/>
        </w:rPr>
        <w:t>because</w:t>
      </w:r>
      <w:r w:rsidR="00381246" w:rsidRPr="008A3778">
        <w:rPr>
          <w:rFonts w:ascii="Helvetica" w:eastAsia="HGMaruGothicMPRO" w:hAnsi="Helvetica" w:cs="Helvetica"/>
          <w:lang w:val="en-GB"/>
        </w:rPr>
        <w:t xml:space="preserve"> </w:t>
      </w:r>
      <w:r w:rsidR="00381246" w:rsidRPr="008A3778">
        <w:rPr>
          <w:rFonts w:ascii="Helvetica" w:eastAsia="HGMaruGothicMPRO" w:hAnsi="Helvetica" w:cs="Helvetica"/>
          <w:i/>
          <w:iCs/>
          <w:lang w:val="en-GB"/>
        </w:rPr>
        <w:t>bona fides</w:t>
      </w:r>
      <w:r w:rsidR="00381246" w:rsidRPr="008A3778">
        <w:rPr>
          <w:rFonts w:ascii="Helvetica" w:eastAsia="HGMaruGothicMPRO" w:hAnsi="Helvetica" w:cs="Helvetica"/>
          <w:lang w:val="en-GB"/>
        </w:rPr>
        <w:t xml:space="preserve"> </w:t>
      </w:r>
      <w:r w:rsidR="000B0ED4" w:rsidRPr="008A3778">
        <w:rPr>
          <w:rFonts w:ascii="Helvetica" w:eastAsia="HGMaruGothicMPRO" w:hAnsi="Helvetica" w:cs="Helvetica"/>
          <w:lang w:val="en-GB"/>
        </w:rPr>
        <w:t>is</w:t>
      </w:r>
      <w:r w:rsidR="00D207CF" w:rsidRPr="008A3778">
        <w:rPr>
          <w:rFonts w:ascii="Helvetica" w:eastAsia="HGMaruGothicMPRO" w:hAnsi="Helvetica" w:cs="Helvetica"/>
          <w:lang w:val="en-GB"/>
        </w:rPr>
        <w:t xml:space="preserve"> </w:t>
      </w:r>
      <w:r w:rsidR="002D6D7B" w:rsidRPr="008A3778">
        <w:rPr>
          <w:rFonts w:ascii="Helvetica" w:eastAsia="HGMaruGothicMPRO" w:hAnsi="Helvetica" w:cs="Helvetica"/>
          <w:lang w:val="en-GB"/>
        </w:rPr>
        <w:t>one of</w:t>
      </w:r>
      <w:r w:rsidR="00252506" w:rsidRPr="008A3778">
        <w:rPr>
          <w:rFonts w:ascii="Helvetica" w:eastAsia="HGMaruGothicMPRO" w:hAnsi="Helvetica" w:cs="Helvetica"/>
          <w:lang w:val="en-GB"/>
        </w:rPr>
        <w:t xml:space="preserve"> </w:t>
      </w:r>
      <w:r w:rsidR="00F13E4E" w:rsidRPr="008A3778">
        <w:rPr>
          <w:rFonts w:ascii="Helvetica" w:eastAsia="HGMaruGothicMPRO" w:hAnsi="Helvetica" w:cs="Helvetica"/>
          <w:lang w:val="en-GB"/>
        </w:rPr>
        <w:t xml:space="preserve">the </w:t>
      </w:r>
      <w:r w:rsidR="009F40D9" w:rsidRPr="008A3778">
        <w:rPr>
          <w:rFonts w:ascii="Helvetica" w:eastAsia="HGMaruGothicMPRO" w:hAnsi="Helvetica" w:cs="Helvetica"/>
          <w:lang w:val="en-GB"/>
        </w:rPr>
        <w:t>guiding</w:t>
      </w:r>
      <w:r w:rsidR="006E7E82" w:rsidRPr="008A3778">
        <w:rPr>
          <w:rFonts w:ascii="Helvetica" w:eastAsia="HGMaruGothicMPRO" w:hAnsi="Helvetica" w:cs="Helvetica"/>
          <w:lang w:val="en-GB"/>
        </w:rPr>
        <w:t xml:space="preserve"> considerations </w:t>
      </w:r>
      <w:r w:rsidR="00D207CF" w:rsidRPr="008A3778">
        <w:rPr>
          <w:rFonts w:ascii="Helvetica" w:eastAsia="HGMaruGothicMPRO" w:hAnsi="Helvetica" w:cs="Helvetica"/>
          <w:lang w:val="en-GB"/>
        </w:rPr>
        <w:t>in</w:t>
      </w:r>
      <w:r w:rsidR="00252506" w:rsidRPr="008A3778">
        <w:rPr>
          <w:rFonts w:ascii="Helvetica" w:eastAsia="HGMaruGothicMPRO" w:hAnsi="Helvetica" w:cs="Helvetica"/>
          <w:lang w:val="en-GB"/>
        </w:rPr>
        <w:t xml:space="preserve"> assessing the existence of </w:t>
      </w:r>
      <w:r w:rsidR="006702E2" w:rsidRPr="008A3778">
        <w:rPr>
          <w:rFonts w:ascii="Helvetica" w:eastAsia="HGMaruGothicMPRO" w:hAnsi="Helvetica" w:cs="Helvetica"/>
          <w:lang w:val="en-GB"/>
        </w:rPr>
        <w:t>“</w:t>
      </w:r>
      <w:r w:rsidR="00252506" w:rsidRPr="008A3778">
        <w:rPr>
          <w:rFonts w:ascii="Helvetica" w:eastAsia="HGMaruGothicMPRO" w:hAnsi="Helvetica" w:cs="Helvetica"/>
          <w:i/>
          <w:iCs/>
          <w:lang w:val="en-GB"/>
        </w:rPr>
        <w:t>good cause</w:t>
      </w:r>
      <w:r w:rsidR="006702E2" w:rsidRPr="008A3778">
        <w:rPr>
          <w:rFonts w:ascii="Helvetica" w:eastAsia="HGMaruGothicMPRO" w:hAnsi="Helvetica" w:cs="Helvetica"/>
          <w:lang w:val="en-GB"/>
        </w:rPr>
        <w:t>”</w:t>
      </w:r>
      <w:r w:rsidR="000B0ED4" w:rsidRPr="008A3778">
        <w:rPr>
          <w:rFonts w:ascii="Helvetica" w:eastAsia="HGMaruGothicMPRO" w:hAnsi="Helvetica" w:cs="Helvetica"/>
          <w:lang w:val="en-GB"/>
        </w:rPr>
        <w:t xml:space="preserve"> </w:t>
      </w:r>
      <w:r w:rsidR="004B6470" w:rsidRPr="008A3778">
        <w:rPr>
          <w:rFonts w:ascii="Helvetica" w:eastAsia="HGMaruGothicMPRO" w:hAnsi="Helvetica" w:cs="Helvetica"/>
          <w:lang w:val="en-GB"/>
        </w:rPr>
        <w:t>or “</w:t>
      </w:r>
      <w:r w:rsidR="004B6470" w:rsidRPr="008A3778">
        <w:rPr>
          <w:rFonts w:ascii="Helvetica" w:eastAsia="HGMaruGothicMPRO" w:hAnsi="Helvetica" w:cs="Helvetica"/>
          <w:i/>
          <w:iCs/>
          <w:lang w:val="en-GB"/>
        </w:rPr>
        <w:t>sufficient cause</w:t>
      </w:r>
      <w:r w:rsidR="004B6470" w:rsidRPr="008A3778">
        <w:rPr>
          <w:rFonts w:ascii="Helvetica" w:eastAsia="HGMaruGothicMPRO" w:hAnsi="Helvetica" w:cs="Helvetica"/>
          <w:lang w:val="en-GB"/>
        </w:rPr>
        <w:t>”</w:t>
      </w:r>
      <w:r w:rsidR="00BB0C87" w:rsidRPr="008A3778">
        <w:rPr>
          <w:rFonts w:ascii="Helvetica" w:eastAsia="HGMaruGothicMPRO" w:hAnsi="Helvetica" w:cs="Helvetica"/>
          <w:lang w:val="en-GB"/>
        </w:rPr>
        <w:t xml:space="preserve"> and</w:t>
      </w:r>
      <w:r w:rsidR="00C4218C" w:rsidRPr="008A3778">
        <w:rPr>
          <w:rFonts w:ascii="Helvetica" w:eastAsia="HGMaruGothicMPRO" w:hAnsi="Helvetica" w:cs="Helvetica"/>
          <w:lang w:val="en-GB"/>
        </w:rPr>
        <w:t>, as such</w:t>
      </w:r>
      <w:r w:rsidR="00BB0C87" w:rsidRPr="008A3778">
        <w:rPr>
          <w:rFonts w:ascii="Helvetica" w:eastAsia="HGMaruGothicMPRO" w:hAnsi="Helvetica" w:cs="Helvetica"/>
          <w:lang w:val="en-GB"/>
        </w:rPr>
        <w:t>,</w:t>
      </w:r>
      <w:r w:rsidR="00F13E4E" w:rsidRPr="008A3778">
        <w:rPr>
          <w:rFonts w:ascii="Helvetica" w:eastAsia="HGMaruGothicMPRO" w:hAnsi="Helvetica" w:cs="Helvetica"/>
          <w:lang w:val="en-GB"/>
        </w:rPr>
        <w:t xml:space="preserve"> in assessing</w:t>
      </w:r>
      <w:r w:rsidR="00C4218C" w:rsidRPr="008A3778">
        <w:rPr>
          <w:rFonts w:ascii="Helvetica" w:eastAsia="HGMaruGothicMPRO" w:hAnsi="Helvetica" w:cs="Helvetica"/>
          <w:lang w:val="en-GB"/>
        </w:rPr>
        <w:t xml:space="preserve"> </w:t>
      </w:r>
      <w:r w:rsidR="004D3335" w:rsidRPr="008A3778">
        <w:rPr>
          <w:rFonts w:ascii="Helvetica" w:eastAsia="HGMaruGothicMPRO" w:hAnsi="Helvetica" w:cs="Helvetica"/>
          <w:lang w:val="en-GB"/>
        </w:rPr>
        <w:t xml:space="preserve">the conduct and </w:t>
      </w:r>
      <w:r w:rsidR="00C4218C" w:rsidRPr="008A3778">
        <w:rPr>
          <w:rFonts w:ascii="Helvetica" w:eastAsia="HGMaruGothicMPRO" w:hAnsi="Helvetica" w:cs="Helvetica"/>
          <w:lang w:val="en-GB"/>
        </w:rPr>
        <w:t>motives</w:t>
      </w:r>
      <w:r w:rsidR="004D3335" w:rsidRPr="008A3778">
        <w:rPr>
          <w:rFonts w:ascii="Helvetica" w:eastAsia="HGMaruGothicMPRO" w:hAnsi="Helvetica" w:cs="Helvetica"/>
          <w:lang w:val="en-GB"/>
        </w:rPr>
        <w:t xml:space="preserve"> of the party seeking the </w:t>
      </w:r>
      <w:r w:rsidR="000B0ED4" w:rsidRPr="008A3778">
        <w:rPr>
          <w:rFonts w:ascii="Helvetica" w:eastAsia="HGMaruGothicMPRO" w:hAnsi="Helvetica" w:cs="Helvetica"/>
          <w:lang w:val="en-GB"/>
        </w:rPr>
        <w:t>indulgence</w:t>
      </w:r>
      <w:r w:rsidR="00D207CF" w:rsidRPr="008A3778">
        <w:rPr>
          <w:rFonts w:ascii="Helvetica" w:eastAsia="HGMaruGothicMPRO" w:hAnsi="Helvetica" w:cs="Helvetica"/>
          <w:lang w:val="en-GB"/>
        </w:rPr>
        <w:t>.</w:t>
      </w:r>
      <w:r w:rsidR="000B0ED4" w:rsidRPr="008A3778">
        <w:rPr>
          <w:rStyle w:val="FootnoteReference"/>
          <w:rFonts w:ascii="Helvetica" w:eastAsia="HGMaruGothicMPRO" w:hAnsi="Helvetica" w:cs="Helvetica"/>
          <w:lang w:val="en-GB"/>
        </w:rPr>
        <w:footnoteReference w:id="24"/>
      </w:r>
      <w:r w:rsidR="000B0ED4" w:rsidRPr="008A3778">
        <w:rPr>
          <w:rFonts w:ascii="Helvetica" w:eastAsia="HGMaruGothicMPRO" w:hAnsi="Helvetica" w:cs="Helvetica"/>
          <w:lang w:val="en-GB"/>
        </w:rPr>
        <w:t xml:space="preserve"> </w:t>
      </w:r>
      <w:r w:rsidR="00D207CF" w:rsidRPr="008A3778">
        <w:rPr>
          <w:rFonts w:ascii="Helvetica" w:eastAsia="HGMaruGothicMPRO" w:hAnsi="Helvetica" w:cs="Helvetica"/>
          <w:lang w:val="en-GB"/>
        </w:rPr>
        <w:t xml:space="preserve"> </w:t>
      </w:r>
    </w:p>
    <w:p w14:paraId="2B893B40" w14:textId="1AA5DE35" w:rsidR="00076276" w:rsidRPr="008A3778" w:rsidRDefault="00321D8B"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respondents, for their part</w:t>
      </w:r>
      <w:r w:rsidR="006E7E82" w:rsidRPr="008A3778">
        <w:rPr>
          <w:rFonts w:ascii="Helvetica" w:eastAsia="HGMaruGothicMPRO" w:hAnsi="Helvetica" w:cs="Helvetica"/>
          <w:lang w:val="en-GB"/>
        </w:rPr>
        <w:t xml:space="preserve"> and correctly</w:t>
      </w:r>
      <w:r w:rsidRPr="008A3778">
        <w:rPr>
          <w:rFonts w:ascii="Helvetica" w:eastAsia="HGMaruGothicMPRO" w:hAnsi="Helvetica" w:cs="Helvetica"/>
          <w:lang w:val="en-GB"/>
        </w:rPr>
        <w:t>,</w:t>
      </w:r>
      <w:r w:rsidR="00FC3C2D" w:rsidRPr="008A3778">
        <w:rPr>
          <w:rFonts w:ascii="Helvetica" w:eastAsia="HGMaruGothicMPRO" w:hAnsi="Helvetica" w:cs="Helvetica"/>
          <w:lang w:val="en-GB"/>
        </w:rPr>
        <w:t xml:space="preserve"> contend </w:t>
      </w:r>
      <w:r w:rsidRPr="008A3778">
        <w:rPr>
          <w:rFonts w:ascii="Helvetica" w:eastAsia="HGMaruGothicMPRO" w:hAnsi="Helvetica" w:cs="Helvetica"/>
          <w:lang w:val="en-GB"/>
        </w:rPr>
        <w:t xml:space="preserve">that the appeal has lapsed. </w:t>
      </w:r>
      <w:r w:rsidR="00FC3C2D" w:rsidRPr="008A3778">
        <w:rPr>
          <w:rFonts w:ascii="Helvetica" w:eastAsia="HGMaruGothicMPRO" w:hAnsi="Helvetica" w:cs="Helvetica"/>
          <w:lang w:val="en-GB"/>
        </w:rPr>
        <w:t>The</w:t>
      </w:r>
      <w:r w:rsidR="002700AB" w:rsidRPr="008A3778">
        <w:rPr>
          <w:rFonts w:ascii="Helvetica" w:eastAsia="HGMaruGothicMPRO" w:hAnsi="Helvetica" w:cs="Helvetica"/>
          <w:lang w:val="en-GB"/>
        </w:rPr>
        <w:t xml:space="preserve"> appellants’ condonation application is vigorously opposed. </w:t>
      </w:r>
      <w:r w:rsidR="006E7E82" w:rsidRPr="008A3778">
        <w:rPr>
          <w:rFonts w:ascii="Helvetica" w:eastAsia="HGMaruGothicMPRO" w:hAnsi="Helvetica" w:cs="Helvetica"/>
          <w:lang w:val="en-GB"/>
        </w:rPr>
        <w:t>A</w:t>
      </w:r>
      <w:r w:rsidR="00076276" w:rsidRPr="008A3778">
        <w:rPr>
          <w:rFonts w:ascii="Helvetica" w:eastAsia="HGMaruGothicMPRO" w:hAnsi="Helvetica" w:cs="Helvetica"/>
          <w:lang w:val="en-GB"/>
        </w:rPr>
        <w:t>nswering affidavits</w:t>
      </w:r>
      <w:r w:rsidR="002F1BA6" w:rsidRPr="008A3778">
        <w:rPr>
          <w:rFonts w:ascii="Helvetica" w:eastAsia="HGMaruGothicMPRO" w:hAnsi="Helvetica" w:cs="Helvetica"/>
          <w:lang w:val="en-GB"/>
        </w:rPr>
        <w:t xml:space="preserve"> have been filed</w:t>
      </w:r>
      <w:r w:rsidR="00076276" w:rsidRPr="008A3778">
        <w:rPr>
          <w:rFonts w:ascii="Helvetica" w:eastAsia="HGMaruGothicMPRO" w:hAnsi="Helvetica" w:cs="Helvetica"/>
          <w:lang w:val="en-GB"/>
        </w:rPr>
        <w:t xml:space="preserve">. These </w:t>
      </w:r>
      <w:r w:rsidR="000F51D2" w:rsidRPr="008A3778">
        <w:rPr>
          <w:rFonts w:ascii="Helvetica" w:eastAsia="HGMaruGothicMPRO" w:hAnsi="Helvetica" w:cs="Helvetica"/>
          <w:lang w:val="en-GB"/>
        </w:rPr>
        <w:t xml:space="preserve">answering </w:t>
      </w:r>
      <w:r w:rsidR="00076276" w:rsidRPr="008A3778">
        <w:rPr>
          <w:rFonts w:ascii="Helvetica" w:eastAsia="HGMaruGothicMPRO" w:hAnsi="Helvetica" w:cs="Helvetica"/>
          <w:lang w:val="en-GB"/>
        </w:rPr>
        <w:t xml:space="preserve">affidavits </w:t>
      </w:r>
      <w:r w:rsidR="002F1BA6" w:rsidRPr="008A3778">
        <w:rPr>
          <w:rFonts w:ascii="Helvetica" w:eastAsia="HGMaruGothicMPRO" w:hAnsi="Helvetica" w:cs="Helvetica"/>
          <w:lang w:val="en-GB"/>
        </w:rPr>
        <w:t xml:space="preserve">have </w:t>
      </w:r>
      <w:r w:rsidR="00076276" w:rsidRPr="008A3778">
        <w:rPr>
          <w:rFonts w:ascii="Helvetica" w:eastAsia="HGMaruGothicMPRO" w:hAnsi="Helvetica" w:cs="Helvetica"/>
          <w:lang w:val="en-GB"/>
        </w:rPr>
        <w:t>elicited a</w:t>
      </w:r>
      <w:r w:rsidR="00E414B8" w:rsidRPr="008A3778">
        <w:rPr>
          <w:rFonts w:ascii="Helvetica" w:eastAsia="HGMaruGothicMPRO" w:hAnsi="Helvetica" w:cs="Helvetica"/>
          <w:lang w:val="en-GB"/>
        </w:rPr>
        <w:t>n unnecessarily long</w:t>
      </w:r>
      <w:r w:rsidR="002700AB" w:rsidRPr="008A3778">
        <w:rPr>
          <w:rFonts w:ascii="Helvetica" w:eastAsia="HGMaruGothicMPRO" w:hAnsi="Helvetica" w:cs="Helvetica"/>
          <w:lang w:val="en-GB"/>
        </w:rPr>
        <w:t xml:space="preserve"> replying </w:t>
      </w:r>
      <w:r w:rsidR="002700AB" w:rsidRPr="008A3778">
        <w:rPr>
          <w:rFonts w:ascii="Helvetica" w:eastAsia="HGMaruGothicMPRO" w:hAnsi="Helvetica" w:cs="Helvetica"/>
          <w:lang w:val="en-GB"/>
        </w:rPr>
        <w:lastRenderedPageBreak/>
        <w:t>affidavit</w:t>
      </w:r>
      <w:r w:rsidR="00076276" w:rsidRPr="008A3778">
        <w:rPr>
          <w:rFonts w:ascii="Helvetica" w:eastAsia="HGMaruGothicMPRO" w:hAnsi="Helvetica" w:cs="Helvetica"/>
          <w:lang w:val="en-GB"/>
        </w:rPr>
        <w:t>. In filing such a replying affidavit, the appellants eschew Scholtz JA’s declaration of war “</w:t>
      </w:r>
      <w:r w:rsidR="00076276" w:rsidRPr="008A3778">
        <w:rPr>
          <w:rFonts w:ascii="Helvetica" w:eastAsia="HGMaruGothicMPRO" w:hAnsi="Helvetica" w:cs="Helvetica"/>
          <w:i/>
          <w:iCs/>
          <w:lang w:val="en-GB"/>
        </w:rPr>
        <w:t>on unnecessarily prolix replying affidavits and upon those who inflate them</w:t>
      </w:r>
      <w:r w:rsidR="00076276" w:rsidRPr="008A3778">
        <w:rPr>
          <w:rFonts w:ascii="Helvetica" w:eastAsia="HGMaruGothicMPRO" w:hAnsi="Helvetica" w:cs="Helvetica"/>
          <w:lang w:val="en-GB"/>
        </w:rPr>
        <w:t>”.</w:t>
      </w:r>
      <w:r w:rsidR="00076276" w:rsidRPr="008A3778">
        <w:rPr>
          <w:rFonts w:ascii="Helvetica" w:eastAsia="HGMaruGothicMPRO" w:hAnsi="Helvetica" w:cs="Helvetica"/>
          <w:vertAlign w:val="superscript"/>
          <w:lang w:val="en-GB"/>
        </w:rPr>
        <w:footnoteReference w:id="25"/>
      </w:r>
      <w:r w:rsidR="002F1BA6" w:rsidRPr="008A3778">
        <w:rPr>
          <w:rFonts w:ascii="Helvetica" w:eastAsia="HGMaruGothicMPRO" w:hAnsi="Helvetica" w:cs="Helvetica"/>
          <w:lang w:val="en-GB"/>
        </w:rPr>
        <w:t xml:space="preserve"> The appellants similarly </w:t>
      </w:r>
      <w:r w:rsidR="00076276" w:rsidRPr="008A3778">
        <w:rPr>
          <w:rFonts w:ascii="Helvetica" w:eastAsia="HGMaruGothicMPRO" w:hAnsi="Helvetica" w:cs="Helvetica"/>
          <w:lang w:val="en-GB"/>
        </w:rPr>
        <w:t>ignore Harms ADP</w:t>
      </w:r>
      <w:r w:rsidR="002F1BA6" w:rsidRPr="008A3778">
        <w:rPr>
          <w:rFonts w:ascii="Helvetica" w:eastAsia="HGMaruGothicMPRO" w:hAnsi="Helvetica" w:cs="Helvetica"/>
          <w:lang w:val="en-GB"/>
        </w:rPr>
        <w:t>'s</w:t>
      </w:r>
      <w:r w:rsidR="00076276" w:rsidRPr="008A3778">
        <w:rPr>
          <w:rFonts w:ascii="Helvetica" w:eastAsia="HGMaruGothicMPRO" w:hAnsi="Helvetica" w:cs="Helvetica"/>
          <w:lang w:val="en-GB"/>
        </w:rPr>
        <w:t xml:space="preserve"> (as he then was) echoing of Scholtz JA’s sentiments, albeit in more vociferous tones, in </w:t>
      </w:r>
      <w:r w:rsidR="00076276" w:rsidRPr="008A3778">
        <w:rPr>
          <w:rFonts w:ascii="Helvetica" w:eastAsia="HGMaruGothicMPRO" w:hAnsi="Helvetica" w:cs="Helvetica"/>
          <w:b/>
          <w:bCs/>
          <w:lang w:val="en-GB"/>
        </w:rPr>
        <w:t>Van Zyl and Others v Government of the Republic of South Africa and Others</w:t>
      </w:r>
      <w:r w:rsidR="00076276" w:rsidRPr="008A3778">
        <w:rPr>
          <w:rFonts w:ascii="Helvetica" w:eastAsia="HGMaruGothicMPRO" w:hAnsi="Helvetica" w:cs="Helvetica"/>
          <w:lang w:val="en-GB"/>
        </w:rPr>
        <w:t>.</w:t>
      </w:r>
      <w:r w:rsidR="00076276" w:rsidRPr="008A3778">
        <w:rPr>
          <w:rFonts w:ascii="Helvetica" w:eastAsia="HGMaruGothicMPRO" w:hAnsi="Helvetica" w:cs="Helvetica"/>
          <w:vertAlign w:val="superscript"/>
          <w:lang w:val="en-GB"/>
        </w:rPr>
        <w:footnoteReference w:id="26"/>
      </w:r>
    </w:p>
    <w:p w14:paraId="3FC43D91" w14:textId="696C051E" w:rsidR="006B0175" w:rsidRPr="008A3778" w:rsidRDefault="002F1BA6" w:rsidP="006E7E82">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inordinate length of the replying affidavit is </w:t>
      </w:r>
      <w:r w:rsidR="000F51D2" w:rsidRPr="008A3778">
        <w:rPr>
          <w:rFonts w:ascii="Helvetica" w:eastAsia="HGMaruGothicMPRO" w:hAnsi="Helvetica" w:cs="Helvetica"/>
          <w:lang w:val="en-GB"/>
        </w:rPr>
        <w:t xml:space="preserve">however </w:t>
      </w:r>
      <w:r w:rsidRPr="008A3778">
        <w:rPr>
          <w:rFonts w:ascii="Helvetica" w:eastAsia="HGMaruGothicMPRO" w:hAnsi="Helvetica" w:cs="Helvetica"/>
          <w:lang w:val="en-GB"/>
        </w:rPr>
        <w:t xml:space="preserve">but one of </w:t>
      </w:r>
      <w:r w:rsidR="00076276" w:rsidRPr="008A3778">
        <w:rPr>
          <w:rFonts w:ascii="Helvetica" w:eastAsia="HGMaruGothicMPRO" w:hAnsi="Helvetica" w:cs="Helvetica"/>
          <w:lang w:val="en-GB"/>
        </w:rPr>
        <w:t>various unsatisfactory aspects in the condonation application</w:t>
      </w:r>
      <w:r w:rsidR="00E414B8" w:rsidRPr="008A3778">
        <w:rPr>
          <w:rFonts w:ascii="Helvetica" w:eastAsia="HGMaruGothicMPRO" w:hAnsi="Helvetica" w:cs="Helvetica"/>
          <w:lang w:val="en-GB"/>
        </w:rPr>
        <w:t>;</w:t>
      </w:r>
      <w:r w:rsidR="006F2471"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regard </w:t>
      </w:r>
      <w:r w:rsidR="00E414B8" w:rsidRPr="008A3778">
        <w:rPr>
          <w:rFonts w:ascii="Helvetica" w:eastAsia="HGMaruGothicMPRO" w:hAnsi="Helvetica" w:cs="Helvetica"/>
          <w:lang w:val="en-GB"/>
        </w:rPr>
        <w:t xml:space="preserve">being had </w:t>
      </w:r>
      <w:r w:rsidRPr="008A3778">
        <w:rPr>
          <w:rFonts w:ascii="Helvetica" w:eastAsia="HGMaruGothicMPRO" w:hAnsi="Helvetica" w:cs="Helvetica"/>
          <w:lang w:val="en-GB"/>
        </w:rPr>
        <w:t xml:space="preserve">to that stated in the </w:t>
      </w:r>
      <w:r w:rsidR="00E414B8" w:rsidRPr="008A3778">
        <w:rPr>
          <w:rFonts w:ascii="Helvetica" w:eastAsia="HGMaruGothicMPRO" w:hAnsi="Helvetica" w:cs="Helvetica"/>
          <w:lang w:val="en-GB"/>
        </w:rPr>
        <w:t xml:space="preserve">respondents’ </w:t>
      </w:r>
      <w:r w:rsidRPr="008A3778">
        <w:rPr>
          <w:rFonts w:ascii="Helvetica" w:eastAsia="HGMaruGothicMPRO" w:hAnsi="Helvetica" w:cs="Helvetica"/>
          <w:lang w:val="en-GB"/>
        </w:rPr>
        <w:t>answering affidavits</w:t>
      </w:r>
      <w:r w:rsidR="006F2471" w:rsidRPr="008A3778">
        <w:rPr>
          <w:rFonts w:ascii="Helvetica" w:eastAsia="HGMaruGothicMPRO" w:hAnsi="Helvetica" w:cs="Helvetica"/>
          <w:lang w:val="en-GB"/>
        </w:rPr>
        <w:t xml:space="preserve"> and </w:t>
      </w:r>
      <w:r w:rsidR="00E414B8" w:rsidRPr="008A3778">
        <w:rPr>
          <w:rFonts w:ascii="Helvetica" w:eastAsia="HGMaruGothicMPRO" w:hAnsi="Helvetica" w:cs="Helvetica"/>
          <w:lang w:val="en-GB"/>
        </w:rPr>
        <w:t>heads of argument</w:t>
      </w:r>
      <w:r w:rsidR="006E7E82" w:rsidRPr="008A3778">
        <w:rPr>
          <w:rFonts w:ascii="Helvetica" w:eastAsia="HGMaruGothicMPRO" w:hAnsi="Helvetica" w:cs="Helvetica"/>
          <w:lang w:val="en-GB"/>
        </w:rPr>
        <w:t>,</w:t>
      </w:r>
      <w:r w:rsidR="00E414B8" w:rsidRPr="008A3778">
        <w:rPr>
          <w:rFonts w:ascii="Helvetica" w:eastAsia="HGMaruGothicMPRO" w:hAnsi="Helvetica" w:cs="Helvetica"/>
          <w:lang w:val="en-GB"/>
        </w:rPr>
        <w:t xml:space="preserve"> and </w:t>
      </w:r>
      <w:r w:rsidR="006F2471" w:rsidRPr="008A3778">
        <w:rPr>
          <w:rFonts w:ascii="Helvetica" w:eastAsia="HGMaruGothicMPRO" w:hAnsi="Helvetica" w:cs="Helvetica"/>
          <w:lang w:val="en-GB"/>
        </w:rPr>
        <w:t>the</w:t>
      </w:r>
      <w:r w:rsidR="0026126D" w:rsidRPr="008A3778">
        <w:rPr>
          <w:rFonts w:ascii="Helvetica" w:eastAsia="HGMaruGothicMPRO" w:hAnsi="Helvetica" w:cs="Helvetica"/>
          <w:lang w:val="en-GB"/>
        </w:rPr>
        <w:t xml:space="preserve"> attacks mounted therein on the merits of the condonation application</w:t>
      </w:r>
      <w:r w:rsidR="006E7E82" w:rsidRPr="008A3778">
        <w:rPr>
          <w:rFonts w:ascii="Helvetica" w:eastAsia="HGMaruGothicMPRO" w:hAnsi="Helvetica" w:cs="Helvetica"/>
          <w:lang w:val="en-GB"/>
        </w:rPr>
        <w:t xml:space="preserve">. </w:t>
      </w:r>
      <w:r w:rsidR="009D7D61" w:rsidRPr="008A3778">
        <w:rPr>
          <w:rFonts w:ascii="Helvetica" w:eastAsia="HGMaruGothicMPRO" w:hAnsi="Helvetica" w:cs="Helvetica"/>
          <w:lang w:val="en-GB"/>
        </w:rPr>
        <w:t xml:space="preserve">Moreover, as </w:t>
      </w:r>
      <w:r w:rsidR="006B0175" w:rsidRPr="008A3778">
        <w:rPr>
          <w:rFonts w:ascii="Helvetica" w:eastAsia="HGMaruGothicMPRO" w:hAnsi="Helvetica" w:cs="Helvetica"/>
          <w:lang w:val="en-GB"/>
        </w:rPr>
        <w:t>correctly submitted on behalf of the third to fifth respondents</w:t>
      </w:r>
      <w:r w:rsidR="009D7D61" w:rsidRPr="008A3778">
        <w:rPr>
          <w:rFonts w:ascii="Helvetica" w:eastAsia="HGMaruGothicMPRO" w:hAnsi="Helvetica" w:cs="Helvetica"/>
          <w:lang w:val="en-GB"/>
        </w:rPr>
        <w:t>, the appellants</w:t>
      </w:r>
      <w:r w:rsidR="00667733">
        <w:rPr>
          <w:rFonts w:ascii="Helvetica" w:eastAsia="HGMaruGothicMPRO" w:hAnsi="Helvetica" w:cs="Helvetica"/>
          <w:lang w:val="en-GB"/>
        </w:rPr>
        <w:t>’</w:t>
      </w:r>
      <w:r w:rsidR="009D7D61" w:rsidRPr="008A3778">
        <w:rPr>
          <w:rFonts w:ascii="Helvetica" w:eastAsia="HGMaruGothicMPRO" w:hAnsi="Helvetica" w:cs="Helvetica"/>
          <w:lang w:val="en-GB"/>
        </w:rPr>
        <w:t xml:space="preserve"> delay</w:t>
      </w:r>
      <w:r w:rsidR="001E5058" w:rsidRPr="008A3778">
        <w:rPr>
          <w:rFonts w:ascii="Helvetica" w:eastAsia="HGMaruGothicMPRO" w:hAnsi="Helvetica" w:cs="Helvetica"/>
          <w:lang w:val="en-GB"/>
        </w:rPr>
        <w:t>, and as such their conditional application,</w:t>
      </w:r>
      <w:r w:rsidR="009D7D61" w:rsidRPr="008A3778">
        <w:rPr>
          <w:rFonts w:ascii="Helvetica" w:eastAsia="HGMaruGothicMPRO" w:hAnsi="Helvetica" w:cs="Helvetica"/>
          <w:lang w:val="en-GB"/>
        </w:rPr>
        <w:t xml:space="preserve"> must be viewed</w:t>
      </w:r>
      <w:r w:rsidR="00BB0C87" w:rsidRPr="008A3778">
        <w:rPr>
          <w:rFonts w:ascii="Helvetica" w:eastAsia="HGMaruGothicMPRO" w:hAnsi="Helvetica" w:cs="Helvetica"/>
          <w:lang w:val="en-GB"/>
        </w:rPr>
        <w:t xml:space="preserve"> holistically</w:t>
      </w:r>
      <w:r w:rsidR="001E5058" w:rsidRPr="008A3778">
        <w:rPr>
          <w:rFonts w:ascii="Helvetica" w:eastAsia="HGMaruGothicMPRO" w:hAnsi="Helvetica" w:cs="Helvetica"/>
          <w:lang w:val="en-GB"/>
        </w:rPr>
        <w:t>.</w:t>
      </w:r>
      <w:r w:rsidR="009D7D61" w:rsidRPr="008A3778">
        <w:rPr>
          <w:rFonts w:ascii="Helvetica" w:eastAsia="HGMaruGothicMPRO" w:hAnsi="Helvetica" w:cs="Helvetica"/>
          <w:lang w:val="en-GB"/>
        </w:rPr>
        <w:t xml:space="preserve"> </w:t>
      </w:r>
      <w:r w:rsidR="001E5058" w:rsidRPr="008A3778">
        <w:rPr>
          <w:rFonts w:ascii="Helvetica" w:eastAsia="HGMaruGothicMPRO" w:hAnsi="Helvetica" w:cs="Helvetica"/>
          <w:lang w:val="en-GB"/>
        </w:rPr>
        <w:t>I have already dealt</w:t>
      </w:r>
      <w:r w:rsidR="00667733">
        <w:rPr>
          <w:rFonts w:ascii="Helvetica" w:eastAsia="HGMaruGothicMPRO" w:hAnsi="Helvetica" w:cs="Helvetica"/>
          <w:lang w:val="en-GB"/>
        </w:rPr>
        <w:t xml:space="preserve"> with the</w:t>
      </w:r>
      <w:r w:rsidR="004922DC" w:rsidRPr="008A3778">
        <w:rPr>
          <w:rFonts w:ascii="Helvetica" w:eastAsia="HGMaruGothicMPRO" w:hAnsi="Helvetica" w:cs="Helvetica"/>
          <w:lang w:val="en-GB"/>
        </w:rPr>
        <w:t xml:space="preserve"> issue of delay</w:t>
      </w:r>
      <w:r w:rsidR="003D4FA7" w:rsidRPr="008A3778">
        <w:rPr>
          <w:rFonts w:ascii="Helvetica" w:eastAsia="HGMaruGothicMPRO" w:hAnsi="Helvetica" w:cs="Helvetica"/>
          <w:lang w:val="en-GB"/>
        </w:rPr>
        <w:t xml:space="preserve"> and the history of the matter. I refer to that stated above</w:t>
      </w:r>
      <w:r w:rsidR="009D7D61" w:rsidRPr="008A3778">
        <w:rPr>
          <w:rFonts w:ascii="Helvetica" w:eastAsia="HGMaruGothicMPRO" w:hAnsi="Helvetica" w:cs="Helvetica"/>
          <w:lang w:val="en-GB"/>
        </w:rPr>
        <w:t xml:space="preserve">. </w:t>
      </w:r>
    </w:p>
    <w:p w14:paraId="4BF5CB5E" w14:textId="5030C41C" w:rsidR="002F1BA6" w:rsidRPr="008A3778" w:rsidRDefault="000C7CD2"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There is also</w:t>
      </w:r>
      <w:r w:rsidR="006E7E82" w:rsidRPr="008A3778">
        <w:rPr>
          <w:rFonts w:ascii="Helvetica" w:eastAsia="HGMaruGothicMPRO" w:hAnsi="Helvetica" w:cs="Helvetica"/>
          <w:lang w:val="en-GB"/>
        </w:rPr>
        <w:t xml:space="preserve"> sound </w:t>
      </w:r>
      <w:r w:rsidRPr="008A3778">
        <w:rPr>
          <w:rFonts w:ascii="Helvetica" w:eastAsia="HGMaruGothicMPRO" w:hAnsi="Helvetica" w:cs="Helvetica"/>
          <w:lang w:val="en-GB"/>
        </w:rPr>
        <w:t xml:space="preserve">merit in the </w:t>
      </w:r>
      <w:r w:rsidR="006B0175" w:rsidRPr="008A3778">
        <w:rPr>
          <w:rFonts w:ascii="Helvetica" w:eastAsia="HGMaruGothicMPRO" w:hAnsi="Helvetica" w:cs="Helvetica"/>
          <w:lang w:val="en-GB"/>
        </w:rPr>
        <w:t xml:space="preserve">first and second </w:t>
      </w:r>
      <w:r w:rsidRPr="008A3778">
        <w:rPr>
          <w:rFonts w:ascii="Helvetica" w:eastAsia="HGMaruGothicMPRO" w:hAnsi="Helvetica" w:cs="Helvetica"/>
          <w:lang w:val="en-GB"/>
        </w:rPr>
        <w:t>respondents</w:t>
      </w:r>
      <w:r w:rsidR="006B0175" w:rsidRPr="008A3778">
        <w:rPr>
          <w:rFonts w:ascii="Helvetica" w:eastAsia="HGMaruGothicMPRO" w:hAnsi="Helvetica" w:cs="Helvetica"/>
          <w:lang w:val="en-GB"/>
        </w:rPr>
        <w:t>’</w:t>
      </w:r>
      <w:r w:rsidRPr="008A3778">
        <w:rPr>
          <w:rFonts w:ascii="Helvetica" w:eastAsia="HGMaruGothicMPRO" w:hAnsi="Helvetica" w:cs="Helvetica"/>
          <w:lang w:val="en-GB"/>
        </w:rPr>
        <w:t xml:space="preserve"> reliance</w:t>
      </w:r>
      <w:r w:rsidR="006E7E82" w:rsidRPr="008A3778">
        <w:rPr>
          <w:rFonts w:ascii="Helvetica" w:eastAsia="HGMaruGothicMPRO" w:hAnsi="Helvetica" w:cs="Helvetica"/>
          <w:lang w:val="en-GB"/>
        </w:rPr>
        <w:t xml:space="preserve"> on </w:t>
      </w:r>
      <w:r w:rsidRPr="008A3778">
        <w:rPr>
          <w:rFonts w:ascii="Helvetica" w:eastAsia="HGMaruGothicMPRO" w:hAnsi="Helvetica" w:cs="Helvetica"/>
          <w:lang w:val="en-GB"/>
        </w:rPr>
        <w:t xml:space="preserve">the decisions in </w:t>
      </w:r>
      <w:r w:rsidRPr="0087071E">
        <w:rPr>
          <w:rFonts w:ascii="Helvetica" w:eastAsia="HGMaruGothicMPRO" w:hAnsi="Helvetica" w:cs="Helvetica"/>
          <w:b/>
          <w:bCs/>
          <w:lang w:val="en-GB"/>
        </w:rPr>
        <w:t>Corlett</w:t>
      </w:r>
      <w:r w:rsidRPr="008A3778">
        <w:rPr>
          <w:rFonts w:ascii="Helvetica" w:eastAsia="HGMaruGothicMPRO" w:hAnsi="Helvetica" w:cs="Helvetica"/>
          <w:lang w:val="en-GB"/>
        </w:rPr>
        <w:t xml:space="preserve"> </w:t>
      </w:r>
      <w:r w:rsidRPr="008A3778">
        <w:rPr>
          <w:rFonts w:ascii="Helvetica" w:eastAsia="HGMaruGothicMPRO" w:hAnsi="Helvetica" w:cs="Helvetica"/>
          <w:b/>
          <w:bCs/>
          <w:lang w:val="en-GB"/>
        </w:rPr>
        <w:t>Drive Estate v Bolan</w:t>
      </w:r>
      <w:r w:rsidR="00506A20" w:rsidRPr="008A3778">
        <w:rPr>
          <w:rFonts w:ascii="Helvetica" w:eastAsia="HGMaruGothicMPRO" w:hAnsi="Helvetica" w:cs="Helvetica"/>
          <w:b/>
          <w:bCs/>
          <w:lang w:val="en-GB"/>
        </w:rPr>
        <w:t>d</w:t>
      </w:r>
      <w:r w:rsidRPr="008A3778">
        <w:rPr>
          <w:rFonts w:ascii="Helvetica" w:eastAsia="HGMaruGothicMPRO" w:hAnsi="Helvetica" w:cs="Helvetica"/>
          <w:b/>
          <w:bCs/>
          <w:lang w:val="en-GB"/>
        </w:rPr>
        <w:t xml:space="preserve"> Bank Ltd and Another</w:t>
      </w:r>
      <w:r w:rsidRPr="008A3778">
        <w:rPr>
          <w:rStyle w:val="FootnoteReference"/>
          <w:rFonts w:ascii="Helvetica" w:eastAsia="HGMaruGothicMPRO" w:hAnsi="Helvetica" w:cs="Helvetica"/>
          <w:lang w:val="en-GB"/>
        </w:rPr>
        <w:footnoteReference w:id="27"/>
      </w:r>
      <w:r w:rsidRPr="008A3778">
        <w:rPr>
          <w:rFonts w:ascii="Helvetica" w:eastAsia="HGMaruGothicMPRO" w:hAnsi="Helvetica" w:cs="Helvetica"/>
          <w:lang w:val="en-GB"/>
        </w:rPr>
        <w:t xml:space="preserve"> </w:t>
      </w:r>
      <w:r w:rsidR="00506A20" w:rsidRPr="008A3778">
        <w:rPr>
          <w:rFonts w:ascii="Helvetica" w:eastAsia="HGMaruGothicMPRO" w:hAnsi="Helvetica" w:cs="Helvetica"/>
          <w:lang w:val="en-GB"/>
        </w:rPr>
        <w:t xml:space="preserve">and </w:t>
      </w:r>
      <w:r w:rsidR="00506A20" w:rsidRPr="008A3778">
        <w:rPr>
          <w:rFonts w:ascii="Helvetica" w:eastAsia="HGMaruGothicMPRO" w:hAnsi="Helvetica" w:cs="Helvetica"/>
          <w:b/>
          <w:bCs/>
          <w:lang w:val="en-GB"/>
        </w:rPr>
        <w:t xml:space="preserve">LTA Construction Ltd v </w:t>
      </w:r>
      <w:r w:rsidR="00E51F1A" w:rsidRPr="008A3778">
        <w:rPr>
          <w:rFonts w:ascii="Helvetica" w:eastAsia="HGMaruGothicMPRO" w:hAnsi="Helvetica" w:cs="Helvetica"/>
          <w:b/>
          <w:bCs/>
          <w:lang w:val="en-GB"/>
        </w:rPr>
        <w:t>Minister of Public Works and Land Affairs</w:t>
      </w:r>
      <w:r w:rsidR="00E51F1A" w:rsidRPr="008A3778">
        <w:rPr>
          <w:rFonts w:ascii="Helvetica" w:eastAsia="HGMaruGothicMPRO" w:hAnsi="Helvetica" w:cs="Helvetica"/>
          <w:lang w:val="en-GB"/>
        </w:rPr>
        <w:t>.</w:t>
      </w:r>
      <w:r w:rsidR="00E51F1A" w:rsidRPr="0087071E">
        <w:rPr>
          <w:rStyle w:val="FootnoteReference"/>
          <w:rFonts w:ascii="Helvetica" w:eastAsia="HGMaruGothicMPRO" w:hAnsi="Helvetica" w:cs="Helvetica"/>
          <w:lang w:val="en-GB"/>
        </w:rPr>
        <w:footnoteReference w:id="28"/>
      </w:r>
      <w:r w:rsidR="00E51F1A" w:rsidRPr="008A3778">
        <w:rPr>
          <w:rFonts w:ascii="Helvetica" w:eastAsia="HGMaruGothicMPRO" w:hAnsi="Helvetica" w:cs="Helvetica"/>
          <w:lang w:val="en-GB"/>
        </w:rPr>
        <w:t xml:space="preserve"> </w:t>
      </w:r>
      <w:r w:rsidR="00833ED5" w:rsidRPr="008A3778">
        <w:rPr>
          <w:rFonts w:ascii="Helvetica" w:eastAsia="HGMaruGothicMPRO" w:hAnsi="Helvetica" w:cs="Helvetica"/>
          <w:lang w:val="en-GB"/>
        </w:rPr>
        <w:t xml:space="preserve">These decisions make it clear that the reinstatement of an appeal is not </w:t>
      </w:r>
      <w:r w:rsidR="006E7E82" w:rsidRPr="008A3778">
        <w:rPr>
          <w:rFonts w:ascii="Helvetica" w:eastAsia="HGMaruGothicMPRO" w:hAnsi="Helvetica" w:cs="Helvetica"/>
          <w:lang w:val="en-GB"/>
        </w:rPr>
        <w:t xml:space="preserve">simply </w:t>
      </w:r>
      <w:r w:rsidR="00833ED5" w:rsidRPr="008A3778">
        <w:rPr>
          <w:rFonts w:ascii="Helvetica" w:eastAsia="HGMaruGothicMPRO" w:hAnsi="Helvetica" w:cs="Helvetica"/>
          <w:lang w:val="en-GB"/>
        </w:rPr>
        <w:t>there for the asking.</w:t>
      </w:r>
    </w:p>
    <w:p w14:paraId="5189EB76" w14:textId="3986B078" w:rsidR="00844D46" w:rsidRPr="008A3778" w:rsidRDefault="006E7E82"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Whilst I find </w:t>
      </w:r>
      <w:r w:rsidR="0006613C" w:rsidRPr="008A3778">
        <w:rPr>
          <w:rFonts w:ascii="Helvetica" w:eastAsia="HGMaruGothicMPRO" w:hAnsi="Helvetica" w:cs="Helvetica"/>
          <w:lang w:val="en-GB"/>
        </w:rPr>
        <w:t>that the appeal has lapsed</w:t>
      </w:r>
      <w:r w:rsidRPr="008A3778">
        <w:rPr>
          <w:rFonts w:ascii="Helvetica" w:eastAsia="HGMaruGothicMPRO" w:hAnsi="Helvetica" w:cs="Helvetica"/>
          <w:lang w:val="en-GB"/>
        </w:rPr>
        <w:t xml:space="preserve"> and that the condonation application is unsatisfactory </w:t>
      </w:r>
      <w:r w:rsidR="00220061">
        <w:rPr>
          <w:rFonts w:ascii="Helvetica" w:eastAsia="HGMaruGothicMPRO" w:hAnsi="Helvetica" w:cs="Helvetica"/>
          <w:lang w:val="en-GB"/>
        </w:rPr>
        <w:t xml:space="preserve">in certain respects </w:t>
      </w:r>
      <w:r w:rsidRPr="008A3778">
        <w:rPr>
          <w:rFonts w:ascii="Helvetica" w:eastAsia="HGMaruGothicMPRO" w:hAnsi="Helvetica" w:cs="Helvetica"/>
          <w:lang w:val="en-GB"/>
        </w:rPr>
        <w:t>and respect, I,</w:t>
      </w:r>
      <w:r w:rsidR="004922DC" w:rsidRPr="008A3778">
        <w:rPr>
          <w:rFonts w:ascii="Helvetica" w:eastAsia="HGMaruGothicMPRO" w:hAnsi="Helvetica" w:cs="Helvetica"/>
          <w:lang w:val="en-GB"/>
        </w:rPr>
        <w:t xml:space="preserve"> </w:t>
      </w:r>
      <w:r w:rsidRPr="008A3778">
        <w:rPr>
          <w:rFonts w:ascii="Helvetica" w:eastAsia="HGMaruGothicMPRO" w:hAnsi="Helvetica" w:cs="Helvetica"/>
          <w:lang w:val="en-GB"/>
        </w:rPr>
        <w:t>n</w:t>
      </w:r>
      <w:r w:rsidR="00076276" w:rsidRPr="008A3778">
        <w:rPr>
          <w:rFonts w:ascii="Helvetica" w:eastAsia="HGMaruGothicMPRO" w:hAnsi="Helvetica" w:cs="Helvetica"/>
          <w:lang w:val="en-GB"/>
        </w:rPr>
        <w:t>evertheless</w:t>
      </w:r>
      <w:r w:rsidR="00183C98">
        <w:rPr>
          <w:rFonts w:ascii="Helvetica" w:eastAsia="HGMaruGothicMPRO" w:hAnsi="Helvetica" w:cs="Helvetica"/>
          <w:lang w:val="en-GB"/>
        </w:rPr>
        <w:t xml:space="preserve"> find myself compelled to</w:t>
      </w:r>
      <w:r w:rsidR="000F51D2" w:rsidRPr="008A3778">
        <w:rPr>
          <w:rFonts w:ascii="Helvetica" w:eastAsia="HGMaruGothicMPRO" w:hAnsi="Helvetica" w:cs="Helvetica"/>
          <w:lang w:val="en-GB"/>
        </w:rPr>
        <w:t xml:space="preserve"> adopt the same approach</w:t>
      </w:r>
      <w:r w:rsidR="004922DC" w:rsidRPr="008A3778">
        <w:rPr>
          <w:rFonts w:ascii="Helvetica" w:eastAsia="HGMaruGothicMPRO" w:hAnsi="Helvetica" w:cs="Helvetica"/>
          <w:lang w:val="en-GB"/>
        </w:rPr>
        <w:t>,</w:t>
      </w:r>
      <w:r w:rsidR="000F51D2"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position,</w:t>
      </w:r>
      <w:r w:rsidR="000F51D2" w:rsidRPr="008A3778">
        <w:rPr>
          <w:rFonts w:ascii="Helvetica" w:eastAsia="HGMaruGothicMPRO" w:hAnsi="Helvetica" w:cs="Helvetica"/>
          <w:lang w:val="en-GB"/>
        </w:rPr>
        <w:t xml:space="preserve"> </w:t>
      </w:r>
      <w:r w:rsidR="003A662F" w:rsidRPr="008A3778">
        <w:rPr>
          <w:rFonts w:ascii="Helvetica" w:eastAsia="HGMaruGothicMPRO" w:hAnsi="Helvetica" w:cs="Helvetica"/>
          <w:lang w:val="en-GB"/>
        </w:rPr>
        <w:t xml:space="preserve">and considerations </w:t>
      </w:r>
      <w:r w:rsidR="000F51D2" w:rsidRPr="008A3778">
        <w:rPr>
          <w:rFonts w:ascii="Helvetica" w:eastAsia="HGMaruGothicMPRO" w:hAnsi="Helvetica" w:cs="Helvetica"/>
          <w:lang w:val="en-GB"/>
        </w:rPr>
        <w:t>as</w:t>
      </w:r>
      <w:r w:rsidR="003A662F" w:rsidRPr="008A3778">
        <w:rPr>
          <w:rFonts w:ascii="Helvetica" w:eastAsia="HGMaruGothicMPRO" w:hAnsi="Helvetica" w:cs="Helvetica"/>
          <w:lang w:val="en-GB"/>
        </w:rPr>
        <w:t xml:space="preserve"> those stated </w:t>
      </w:r>
      <w:r w:rsidR="000F51D2" w:rsidRPr="008A3778">
        <w:rPr>
          <w:rFonts w:ascii="Helvetica" w:eastAsia="HGMaruGothicMPRO" w:hAnsi="Helvetica" w:cs="Helvetica"/>
          <w:lang w:val="en-GB"/>
        </w:rPr>
        <w:t>above</w:t>
      </w:r>
      <w:r w:rsidRPr="008A3778">
        <w:rPr>
          <w:rFonts w:ascii="Helvetica" w:eastAsia="HGMaruGothicMPRO" w:hAnsi="Helvetica" w:cs="Helvetica"/>
          <w:lang w:val="en-GB"/>
        </w:rPr>
        <w:t xml:space="preserve"> when dealing with </w:t>
      </w:r>
      <w:r w:rsidR="000F51D2" w:rsidRPr="008A3778">
        <w:rPr>
          <w:rFonts w:ascii="Helvetica" w:eastAsia="HGMaruGothicMPRO" w:hAnsi="Helvetica" w:cs="Helvetica"/>
          <w:lang w:val="en-GB"/>
        </w:rPr>
        <w:t xml:space="preserve">the issue of </w:t>
      </w:r>
      <w:r w:rsidR="003A662F" w:rsidRPr="008A3778">
        <w:rPr>
          <w:rFonts w:ascii="Helvetica" w:eastAsia="HGMaruGothicMPRO" w:hAnsi="Helvetica" w:cs="Helvetica"/>
          <w:lang w:val="en-GB"/>
        </w:rPr>
        <w:t>the outstanding security in the appeal. To these</w:t>
      </w:r>
      <w:r w:rsidR="002B0FB3">
        <w:rPr>
          <w:rFonts w:ascii="Helvetica" w:eastAsia="HGMaruGothicMPRO" w:hAnsi="Helvetica" w:cs="Helvetica"/>
          <w:lang w:val="en-GB"/>
        </w:rPr>
        <w:t>,</w:t>
      </w:r>
      <w:r w:rsidR="0058205A" w:rsidRPr="008A3778">
        <w:rPr>
          <w:rFonts w:ascii="Helvetica" w:eastAsia="HGMaruGothicMPRO" w:hAnsi="Helvetica" w:cs="Helvetica"/>
          <w:lang w:val="en-GB"/>
        </w:rPr>
        <w:t xml:space="preserve"> I must add </w:t>
      </w:r>
      <w:r w:rsidR="00076276" w:rsidRPr="008A3778">
        <w:rPr>
          <w:rFonts w:ascii="Helvetica" w:eastAsia="HGMaruGothicMPRO" w:hAnsi="Helvetica" w:cs="Helvetica"/>
          <w:lang w:val="en-GB"/>
        </w:rPr>
        <w:t>the importance of the case to the parties</w:t>
      </w:r>
      <w:r w:rsidR="004922DC" w:rsidRPr="008A3778">
        <w:rPr>
          <w:rFonts w:ascii="Helvetica" w:eastAsia="HGMaruGothicMPRO" w:hAnsi="Helvetica" w:cs="Helvetica"/>
          <w:lang w:val="en-GB"/>
        </w:rPr>
        <w:t xml:space="preserve">. </w:t>
      </w:r>
    </w:p>
    <w:p w14:paraId="7CC497FB" w14:textId="46F32E0A" w:rsidR="00844D46" w:rsidRPr="008A3778" w:rsidRDefault="00844D46" w:rsidP="006D5807">
      <w:pPr>
        <w:pStyle w:val="ListParagraph"/>
        <w:numPr>
          <w:ilvl w:val="0"/>
          <w:numId w:val="11"/>
        </w:numPr>
        <w:spacing w:after="360" w:line="360" w:lineRule="auto"/>
        <w:ind w:right="-151" w:hanging="720"/>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Conclusionary findings</w:t>
      </w:r>
      <w:r w:rsidR="00A030F7" w:rsidRPr="008A3778">
        <w:rPr>
          <w:rFonts w:ascii="Helvetica" w:eastAsia="HGMaruGothicMPRO" w:hAnsi="Helvetica" w:cs="Helvetica"/>
          <w:b/>
          <w:bCs/>
          <w:lang w:val="en-GB"/>
        </w:rPr>
        <w:t xml:space="preserve"> on these preliminary issues</w:t>
      </w:r>
    </w:p>
    <w:p w14:paraId="6B9AA99E" w14:textId="455D19F1" w:rsidR="0087071E" w:rsidRDefault="006E7E82" w:rsidP="00A030F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lastRenderedPageBreak/>
        <w:t>All things considered, t</w:t>
      </w:r>
      <w:r w:rsidR="00367143" w:rsidRPr="008A3778">
        <w:rPr>
          <w:rFonts w:ascii="Helvetica" w:eastAsia="HGMaruGothicMPRO" w:hAnsi="Helvetica" w:cs="Helvetica"/>
          <w:lang w:val="en-GB"/>
        </w:rPr>
        <w:t>he interests of justice</w:t>
      </w:r>
      <w:r w:rsidR="00A030F7" w:rsidRPr="008A3778">
        <w:rPr>
          <w:rFonts w:ascii="Helvetica" w:eastAsia="HGMaruGothicMPRO" w:hAnsi="Helvetica" w:cs="Helvetica"/>
          <w:lang w:val="en-GB"/>
        </w:rPr>
        <w:t>, fairness and finality</w:t>
      </w:r>
      <w:r w:rsidR="004922DC" w:rsidRPr="008A3778">
        <w:rPr>
          <w:rFonts w:ascii="Helvetica" w:eastAsia="HGMaruGothicMPRO" w:hAnsi="Helvetica" w:cs="Helvetica"/>
          <w:lang w:val="en-GB"/>
        </w:rPr>
        <w:t xml:space="preserve"> </w:t>
      </w:r>
      <w:r w:rsidR="00076276" w:rsidRPr="008A3778">
        <w:rPr>
          <w:rFonts w:ascii="Helvetica" w:eastAsia="HGMaruGothicMPRO" w:hAnsi="Helvetica" w:cs="Helvetica"/>
          <w:lang w:val="en-GB"/>
        </w:rPr>
        <w:t>necessitates that the appeal be heard</w:t>
      </w:r>
      <w:r w:rsidR="00367143" w:rsidRPr="008A3778">
        <w:rPr>
          <w:rFonts w:ascii="Helvetica" w:eastAsia="HGMaruGothicMPRO" w:hAnsi="Helvetica" w:cs="Helvetica"/>
          <w:lang w:val="en-GB"/>
        </w:rPr>
        <w:t xml:space="preserve">, </w:t>
      </w:r>
      <w:r w:rsidR="00076276" w:rsidRPr="008A3778">
        <w:rPr>
          <w:rFonts w:ascii="Helvetica" w:eastAsia="HGMaruGothicMPRO" w:hAnsi="Helvetica" w:cs="Helvetica"/>
          <w:lang w:val="en-GB"/>
        </w:rPr>
        <w:t>determined</w:t>
      </w:r>
      <w:r w:rsidR="000F51D2" w:rsidRPr="008A3778">
        <w:rPr>
          <w:rFonts w:ascii="Helvetica" w:eastAsia="HGMaruGothicMPRO" w:hAnsi="Helvetica" w:cs="Helvetica"/>
          <w:lang w:val="en-GB"/>
        </w:rPr>
        <w:t xml:space="preserve"> </w:t>
      </w:r>
      <w:r w:rsidR="00844D46" w:rsidRPr="008A3778">
        <w:rPr>
          <w:rFonts w:ascii="Helvetica" w:eastAsia="HGMaruGothicMPRO" w:hAnsi="Helvetica" w:cs="Helvetica"/>
          <w:lang w:val="en-GB"/>
        </w:rPr>
        <w:t>and dispos</w:t>
      </w:r>
      <w:r w:rsidR="005F70D5">
        <w:rPr>
          <w:rFonts w:ascii="Helvetica" w:eastAsia="HGMaruGothicMPRO" w:hAnsi="Helvetica" w:cs="Helvetica"/>
          <w:lang w:val="en-GB"/>
        </w:rPr>
        <w:t>ed</w:t>
      </w:r>
      <w:r w:rsidR="00844D46" w:rsidRPr="008A3778">
        <w:rPr>
          <w:rFonts w:ascii="Helvetica" w:eastAsia="HGMaruGothicMPRO" w:hAnsi="Helvetica" w:cs="Helvetica"/>
          <w:lang w:val="en-GB"/>
        </w:rPr>
        <w:t xml:space="preserve"> of </w:t>
      </w:r>
      <w:r w:rsidR="000F51D2" w:rsidRPr="008A3778">
        <w:rPr>
          <w:rFonts w:ascii="Helvetica" w:eastAsia="HGMaruGothicMPRO" w:hAnsi="Helvetica" w:cs="Helvetica"/>
          <w:lang w:val="en-GB"/>
        </w:rPr>
        <w:t>on its merits</w:t>
      </w:r>
      <w:r w:rsidR="003D4FA7" w:rsidRPr="008A3778">
        <w:rPr>
          <w:rFonts w:ascii="Helvetica" w:eastAsia="HGMaruGothicMPRO" w:hAnsi="Helvetica" w:cs="Helvetica"/>
          <w:lang w:val="en-GB"/>
        </w:rPr>
        <w:t>, and I intend to do so.</w:t>
      </w:r>
      <w:r w:rsidR="00844D46" w:rsidRPr="008A3778">
        <w:rPr>
          <w:rFonts w:ascii="Helvetica" w:eastAsia="HGMaruGothicMPRO" w:hAnsi="Helvetica" w:cs="Helvetica"/>
          <w:lang w:val="en-GB"/>
        </w:rPr>
        <w:t xml:space="preserve"> </w:t>
      </w:r>
      <w:r w:rsidRPr="008A3778">
        <w:rPr>
          <w:rFonts w:ascii="Helvetica" w:eastAsia="HGMaruGothicMPRO" w:hAnsi="Helvetica" w:cs="Helvetica"/>
          <w:lang w:val="en-GB"/>
        </w:rPr>
        <w:t>I</w:t>
      </w:r>
      <w:r w:rsidR="005F70D5">
        <w:rPr>
          <w:rFonts w:ascii="Helvetica" w:eastAsia="HGMaruGothicMPRO" w:hAnsi="Helvetica" w:cs="Helvetica"/>
          <w:lang w:val="en-GB"/>
        </w:rPr>
        <w:t xml:space="preserve"> a</w:t>
      </w:r>
      <w:r w:rsidRPr="008A3778">
        <w:rPr>
          <w:rFonts w:ascii="Helvetica" w:eastAsia="HGMaruGothicMPRO" w:hAnsi="Helvetica" w:cs="Helvetica"/>
          <w:lang w:val="en-GB"/>
        </w:rPr>
        <w:t>m not prepared to kick the can down the road.</w:t>
      </w:r>
      <w:r w:rsidR="00A030F7" w:rsidRPr="008A3778">
        <w:rPr>
          <w:rFonts w:ascii="Helvetica" w:eastAsia="HGMaruGothicMPRO" w:hAnsi="Helvetica" w:cs="Helvetica"/>
          <w:lang w:val="en-GB"/>
        </w:rPr>
        <w:t xml:space="preserve"> </w:t>
      </w:r>
    </w:p>
    <w:p w14:paraId="4AB2DCDE" w14:textId="2B863A69" w:rsidR="00076276" w:rsidRPr="008A3778" w:rsidRDefault="00844D46" w:rsidP="00A030F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Accordingly, </w:t>
      </w:r>
      <w:r w:rsidR="006E7E82" w:rsidRPr="008A3778">
        <w:rPr>
          <w:rFonts w:ascii="Helvetica" w:eastAsia="HGMaruGothicMPRO" w:hAnsi="Helvetica" w:cs="Helvetica"/>
          <w:lang w:val="en-GB"/>
        </w:rPr>
        <w:t>I</w:t>
      </w:r>
      <w:r w:rsidR="005F70D5">
        <w:rPr>
          <w:rFonts w:ascii="Helvetica" w:eastAsia="HGMaruGothicMPRO" w:hAnsi="Helvetica" w:cs="Helvetica"/>
          <w:lang w:val="en-GB"/>
        </w:rPr>
        <w:t xml:space="preserve"> a</w:t>
      </w:r>
      <w:r w:rsidR="006E7E82" w:rsidRPr="008A3778">
        <w:rPr>
          <w:rFonts w:ascii="Helvetica" w:eastAsia="HGMaruGothicMPRO" w:hAnsi="Helvetica" w:cs="Helvetica"/>
          <w:lang w:val="en-GB"/>
        </w:rPr>
        <w:t xml:space="preserve">m prepared to grant </w:t>
      </w:r>
      <w:r w:rsidRPr="008A3778">
        <w:rPr>
          <w:rFonts w:ascii="Helvetica" w:eastAsia="HGMaruGothicMPRO" w:hAnsi="Helvetica" w:cs="Helvetica"/>
          <w:lang w:val="en-GB"/>
        </w:rPr>
        <w:t>the condonation sought by the</w:t>
      </w:r>
      <w:r w:rsidR="006E7E82" w:rsidRPr="008A3778">
        <w:rPr>
          <w:rFonts w:ascii="Helvetica" w:eastAsia="HGMaruGothicMPRO" w:hAnsi="Helvetica" w:cs="Helvetica"/>
          <w:lang w:val="en-GB"/>
        </w:rPr>
        <w:t xml:space="preserve"> appellants. W</w:t>
      </w:r>
      <w:r w:rsidR="00367143" w:rsidRPr="008A3778">
        <w:rPr>
          <w:rFonts w:ascii="Helvetica" w:eastAsia="HGMaruGothicMPRO" w:hAnsi="Helvetica" w:cs="Helvetica"/>
          <w:lang w:val="en-GB"/>
        </w:rPr>
        <w:t xml:space="preserve">hile the appellants do not ask </w:t>
      </w:r>
      <w:r w:rsidR="00047755" w:rsidRPr="008A3778">
        <w:rPr>
          <w:rFonts w:ascii="Helvetica" w:eastAsia="HGMaruGothicMPRO" w:hAnsi="Helvetica" w:cs="Helvetica"/>
          <w:lang w:val="en-GB"/>
        </w:rPr>
        <w:t xml:space="preserve">for condonation </w:t>
      </w:r>
      <w:r w:rsidR="00367143" w:rsidRPr="008A3778">
        <w:rPr>
          <w:rFonts w:ascii="Helvetica" w:eastAsia="HGMaruGothicMPRO" w:hAnsi="Helvetica" w:cs="Helvetica"/>
          <w:lang w:val="en-GB"/>
        </w:rPr>
        <w:t>therefore,</w:t>
      </w:r>
      <w:r w:rsidR="006E7E82" w:rsidRPr="008A3778">
        <w:rPr>
          <w:rFonts w:ascii="Helvetica" w:eastAsia="HGMaruGothicMPRO" w:hAnsi="Helvetica" w:cs="Helvetica"/>
          <w:lang w:val="en-GB"/>
        </w:rPr>
        <w:t xml:space="preserve"> I am also prepared to </w:t>
      </w:r>
      <w:r w:rsidR="00A030F7" w:rsidRPr="008A3778">
        <w:rPr>
          <w:rFonts w:ascii="Helvetica" w:eastAsia="HGMaruGothicMPRO" w:hAnsi="Helvetica" w:cs="Helvetica"/>
          <w:lang w:val="en-GB"/>
        </w:rPr>
        <w:t>overl</w:t>
      </w:r>
      <w:r w:rsidR="00D402D6" w:rsidRPr="008A3778">
        <w:rPr>
          <w:rFonts w:ascii="Helvetica" w:eastAsia="HGMaruGothicMPRO" w:hAnsi="Helvetica" w:cs="Helvetica"/>
          <w:lang w:val="en-GB"/>
        </w:rPr>
        <w:t>o</w:t>
      </w:r>
      <w:r w:rsidR="00A030F7" w:rsidRPr="008A3778">
        <w:rPr>
          <w:rFonts w:ascii="Helvetica" w:eastAsia="HGMaruGothicMPRO" w:hAnsi="Helvetica" w:cs="Helvetica"/>
          <w:lang w:val="en-GB"/>
        </w:rPr>
        <w:t>ok</w:t>
      </w:r>
      <w:r w:rsidR="002B0FB3">
        <w:rPr>
          <w:rFonts w:ascii="Helvetica" w:eastAsia="HGMaruGothicMPRO" w:hAnsi="Helvetica" w:cs="Helvetica"/>
          <w:lang w:val="en-GB"/>
        </w:rPr>
        <w:t>, for purposes of this appeal,</w:t>
      </w:r>
      <w:r w:rsidR="006E7E82" w:rsidRPr="008A3778">
        <w:rPr>
          <w:rFonts w:ascii="Helvetica" w:eastAsia="HGMaruGothicMPRO" w:hAnsi="Helvetica" w:cs="Helvetica"/>
          <w:lang w:val="en-GB"/>
        </w:rPr>
        <w:t xml:space="preserve"> </w:t>
      </w:r>
      <w:r w:rsidR="00367143" w:rsidRPr="008A3778">
        <w:rPr>
          <w:rFonts w:ascii="Helvetica" w:eastAsia="HGMaruGothicMPRO" w:hAnsi="Helvetica" w:cs="Helvetica"/>
          <w:lang w:val="en-GB"/>
        </w:rPr>
        <w:t>their failure to furnish security in the appeal</w:t>
      </w:r>
      <w:r w:rsidR="00315DCD" w:rsidRPr="008A3778">
        <w:rPr>
          <w:rFonts w:ascii="Helvetica" w:eastAsia="HGMaruGothicMPRO" w:hAnsi="Helvetica" w:cs="Helvetica"/>
          <w:lang w:val="en-GB"/>
        </w:rPr>
        <w:t xml:space="preserve"> (see </w:t>
      </w:r>
      <w:r w:rsidR="00315DCD" w:rsidRPr="008A3778">
        <w:rPr>
          <w:rFonts w:ascii="Helvetica" w:eastAsia="HGMaruGothicMPRO" w:hAnsi="Helvetica" w:cs="Helvetica"/>
          <w:b/>
          <w:bCs/>
          <w:lang w:val="en-GB"/>
        </w:rPr>
        <w:t>PFE International</w:t>
      </w:r>
      <w:r w:rsidR="00315DCD" w:rsidRPr="008A3778">
        <w:rPr>
          <w:rStyle w:val="FootnoteReference"/>
          <w:rFonts w:ascii="Helvetica" w:eastAsia="HGMaruGothicMPRO" w:hAnsi="Helvetica" w:cs="Helvetica"/>
          <w:lang w:val="en-GB"/>
        </w:rPr>
        <w:footnoteReference w:id="29"/>
      </w:r>
      <w:r w:rsidR="00315DCD" w:rsidRPr="008A3778">
        <w:rPr>
          <w:rFonts w:ascii="Helvetica" w:eastAsia="HGMaruGothicMPRO" w:hAnsi="Helvetica" w:cs="Helvetica"/>
          <w:lang w:val="en-GB"/>
        </w:rPr>
        <w:t>)</w:t>
      </w:r>
      <w:r w:rsidRPr="008A3778">
        <w:rPr>
          <w:rFonts w:ascii="Helvetica" w:eastAsia="HGMaruGothicMPRO" w:hAnsi="Helvetica" w:cs="Helvetica"/>
          <w:lang w:val="en-GB"/>
        </w:rPr>
        <w:t>.</w:t>
      </w:r>
      <w:r w:rsidR="003D4FA7" w:rsidRPr="008A3778">
        <w:rPr>
          <w:rFonts w:ascii="Helvetica" w:eastAsia="HGMaruGothicMPRO" w:hAnsi="Helvetica" w:cs="Helvetica"/>
          <w:lang w:val="en-GB"/>
        </w:rPr>
        <w:t xml:space="preserve"> </w:t>
      </w:r>
      <w:r w:rsidR="00367143" w:rsidRPr="008A3778">
        <w:rPr>
          <w:rFonts w:ascii="Helvetica" w:eastAsia="HGMaruGothicMPRO" w:hAnsi="Helvetica" w:cs="Helvetica"/>
          <w:lang w:val="en-GB"/>
        </w:rPr>
        <w:t>T</w:t>
      </w:r>
      <w:r w:rsidR="003D4FA7" w:rsidRPr="008A3778">
        <w:rPr>
          <w:rFonts w:ascii="Helvetica" w:eastAsia="HGMaruGothicMPRO" w:hAnsi="Helvetica" w:cs="Helvetica"/>
          <w:lang w:val="en-GB"/>
        </w:rPr>
        <w:t>he cost consequences</w:t>
      </w:r>
      <w:r w:rsidRPr="008A3778">
        <w:rPr>
          <w:rFonts w:ascii="Helvetica" w:eastAsia="HGMaruGothicMPRO" w:hAnsi="Helvetica" w:cs="Helvetica"/>
          <w:lang w:val="en-GB"/>
        </w:rPr>
        <w:t xml:space="preserve"> of the </w:t>
      </w:r>
      <w:r w:rsidR="00367143" w:rsidRPr="008A3778">
        <w:rPr>
          <w:rFonts w:ascii="Helvetica" w:eastAsia="HGMaruGothicMPRO" w:hAnsi="Helvetica" w:cs="Helvetica"/>
          <w:lang w:val="en-GB"/>
        </w:rPr>
        <w:t xml:space="preserve">issue of the appellants’ outstanding security and the appellants’ </w:t>
      </w:r>
      <w:r w:rsidRPr="008A3778">
        <w:rPr>
          <w:rFonts w:ascii="Helvetica" w:eastAsia="HGMaruGothicMPRO" w:hAnsi="Helvetica" w:cs="Helvetica"/>
          <w:lang w:val="en-GB"/>
        </w:rPr>
        <w:t>condonation application</w:t>
      </w:r>
      <w:r w:rsidR="00076276" w:rsidRPr="008A3778">
        <w:rPr>
          <w:rFonts w:ascii="Helvetica" w:eastAsia="HGMaruGothicMPRO" w:hAnsi="Helvetica" w:cs="Helvetica"/>
          <w:lang w:val="en-GB"/>
        </w:rPr>
        <w:t xml:space="preserve"> </w:t>
      </w:r>
      <w:r w:rsidR="00367143" w:rsidRPr="008A3778">
        <w:rPr>
          <w:rFonts w:ascii="Helvetica" w:eastAsia="HGMaruGothicMPRO" w:hAnsi="Helvetica" w:cs="Helvetica"/>
          <w:lang w:val="en-GB"/>
        </w:rPr>
        <w:t xml:space="preserve">are dealt with </w:t>
      </w:r>
      <w:r w:rsidRPr="008A3778">
        <w:rPr>
          <w:rFonts w:ascii="Helvetica" w:eastAsia="HGMaruGothicMPRO" w:hAnsi="Helvetica" w:cs="Helvetica"/>
          <w:lang w:val="en-GB"/>
        </w:rPr>
        <w:t>at the end of this judgement.</w:t>
      </w:r>
      <w:r w:rsidR="00F61ACA" w:rsidRPr="008A3778">
        <w:rPr>
          <w:rFonts w:ascii="Helvetica" w:eastAsia="HGMaruGothicMPRO" w:hAnsi="Helvetica" w:cs="Helvetica"/>
          <w:lang w:val="en-GB"/>
        </w:rPr>
        <w:t xml:space="preserve"> </w:t>
      </w:r>
    </w:p>
    <w:p w14:paraId="15112B1A" w14:textId="0D099DA8" w:rsidR="001033C9" w:rsidRPr="008A3778" w:rsidRDefault="00011367" w:rsidP="008A3778">
      <w:pPr>
        <w:pStyle w:val="ListParagraph"/>
        <w:numPr>
          <w:ilvl w:val="0"/>
          <w:numId w:val="3"/>
        </w:numPr>
        <w:tabs>
          <w:tab w:val="left" w:pos="709"/>
        </w:tabs>
        <w:adjustRightInd w:val="0"/>
        <w:spacing w:after="480" w:line="360" w:lineRule="auto"/>
        <w:ind w:left="709" w:hanging="709"/>
        <w:contextualSpacing w:val="0"/>
        <w:jc w:val="both"/>
        <w:rPr>
          <w:rFonts w:ascii="Helvetica" w:hAnsi="Helvetica" w:cs="Helvetica"/>
          <w:b/>
          <w:bCs/>
          <w:lang w:val="en-GB"/>
        </w:rPr>
      </w:pPr>
      <w:r w:rsidRPr="008A3778">
        <w:rPr>
          <w:rFonts w:ascii="Helvetica" w:hAnsi="Helvetica" w:cs="Helvetica"/>
          <w:b/>
          <w:bCs/>
          <w:lang w:val="en-GB"/>
        </w:rPr>
        <w:t xml:space="preserve">THE RELEVANT CONTEXT, BACKGROUND AND </w:t>
      </w:r>
      <w:r w:rsidRPr="00A95494">
        <w:rPr>
          <w:rFonts w:ascii="Helvetica" w:hAnsi="Helvetica" w:cs="Helvetica"/>
          <w:b/>
          <w:bCs/>
          <w:i/>
          <w:iCs/>
          <w:lang w:val="en-GB"/>
        </w:rPr>
        <w:t>DRAMATIS PERSONAE</w:t>
      </w:r>
      <w:r w:rsidRPr="008A3778">
        <w:rPr>
          <w:rFonts w:ascii="Helvetica" w:hAnsi="Helvetica" w:cs="Helvetica"/>
          <w:b/>
          <w:bCs/>
          <w:lang w:val="en-GB"/>
        </w:rPr>
        <w:t xml:space="preserve"> </w:t>
      </w:r>
    </w:p>
    <w:p w14:paraId="54A51F6F" w14:textId="35A73547" w:rsidR="00047755" w:rsidRPr="008A3778" w:rsidRDefault="00047755" w:rsidP="00047755">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Turning now to an evaluation of the merits of the appeal, the relevant context, background and </w:t>
      </w:r>
      <w:r w:rsidRPr="00A95494">
        <w:rPr>
          <w:rFonts w:ascii="Helvetica" w:eastAsia="HGMaruGothicMPRO" w:hAnsi="Helvetica" w:cs="Helvetica"/>
          <w:i/>
          <w:iCs/>
          <w:lang w:val="en-GB"/>
        </w:rPr>
        <w:t>dramatis persona</w:t>
      </w:r>
      <w:r w:rsidR="00F9272B" w:rsidRPr="00A95494">
        <w:rPr>
          <w:rFonts w:ascii="Helvetica" w:eastAsia="HGMaruGothicMPRO" w:hAnsi="Helvetica" w:cs="Helvetica"/>
          <w:i/>
          <w:iCs/>
          <w:lang w:val="en-GB"/>
        </w:rPr>
        <w:t>e</w:t>
      </w:r>
      <w:r w:rsidRPr="008A3778">
        <w:rPr>
          <w:rFonts w:ascii="Helvetica" w:eastAsia="HGMaruGothicMPRO" w:hAnsi="Helvetica" w:cs="Helvetica"/>
          <w:lang w:val="en-GB"/>
        </w:rPr>
        <w:t xml:space="preserve"> must be</w:t>
      </w:r>
      <w:r w:rsidR="00394450">
        <w:rPr>
          <w:rFonts w:ascii="Helvetica" w:eastAsia="HGMaruGothicMPRO" w:hAnsi="Helvetica" w:cs="Helvetica"/>
          <w:lang w:val="en-GB"/>
        </w:rPr>
        <w:t xml:space="preserve"> first</w:t>
      </w:r>
      <w:r w:rsidRPr="008A3778">
        <w:rPr>
          <w:rFonts w:ascii="Helvetica" w:eastAsia="HGMaruGothicMPRO" w:hAnsi="Helvetica" w:cs="Helvetica"/>
          <w:lang w:val="en-GB"/>
        </w:rPr>
        <w:t xml:space="preserve"> identified and traversed. I then deal with the legal considerations applicable to the section 30P application. I then discuss the parties’ submissions and arguments </w:t>
      </w:r>
      <w:r w:rsidR="00394450">
        <w:rPr>
          <w:rFonts w:ascii="Helvetica" w:eastAsia="HGMaruGothicMPRO" w:hAnsi="Helvetica" w:cs="Helvetica"/>
          <w:lang w:val="en-GB"/>
        </w:rPr>
        <w:t xml:space="preserve">on </w:t>
      </w:r>
      <w:r w:rsidRPr="008A3778">
        <w:rPr>
          <w:rFonts w:ascii="Helvetica" w:eastAsia="HGMaruGothicMPRO" w:hAnsi="Helvetica" w:cs="Helvetica"/>
          <w:lang w:val="en-GB"/>
        </w:rPr>
        <w:t>the merits of the appeal.</w:t>
      </w:r>
      <w:r w:rsidR="00394450">
        <w:rPr>
          <w:rStyle w:val="FootnoteReference"/>
          <w:rFonts w:ascii="Helvetica" w:eastAsia="HGMaruGothicMPRO" w:hAnsi="Helvetica" w:cs="Helvetica"/>
          <w:lang w:val="en-GB"/>
        </w:rPr>
        <w:footnoteReference w:id="30"/>
      </w:r>
    </w:p>
    <w:p w14:paraId="46548BAB" w14:textId="653446E8" w:rsidR="00B722D5" w:rsidRPr="008A3778" w:rsidRDefault="00ED6CBA"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Ms</w:t>
      </w:r>
      <w:r w:rsidR="003870FB" w:rsidRPr="008A3778">
        <w:rPr>
          <w:rFonts w:ascii="Helvetica" w:eastAsia="HGMaruGothicMPRO" w:hAnsi="Helvetica" w:cs="Helvetica"/>
          <w:lang w:val="en-GB"/>
        </w:rPr>
        <w:t>.</w:t>
      </w:r>
      <w:r w:rsidRPr="008A3778">
        <w:rPr>
          <w:rFonts w:ascii="Helvetica" w:eastAsia="HGMaruGothicMPRO" w:hAnsi="Helvetica" w:cs="Helvetica"/>
          <w:lang w:val="en-GB"/>
        </w:rPr>
        <w:t xml:space="preserve"> </w:t>
      </w:r>
      <w:r w:rsidR="00974E4F" w:rsidRPr="008A3778">
        <w:rPr>
          <w:rFonts w:ascii="Helvetica" w:eastAsia="HGMaruGothicMPRO" w:hAnsi="Helvetica" w:cs="Helvetica"/>
          <w:lang w:val="en-GB"/>
        </w:rPr>
        <w:t>Collatz</w:t>
      </w:r>
      <w:r w:rsidR="0044085A" w:rsidRPr="008A3778">
        <w:rPr>
          <w:rFonts w:ascii="Helvetica" w:eastAsia="HGMaruGothicMPRO" w:hAnsi="Helvetica" w:cs="Helvetica"/>
          <w:lang w:val="en-GB"/>
        </w:rPr>
        <w:t xml:space="preserve"> </w:t>
      </w:r>
      <w:r w:rsidRPr="008A3778">
        <w:rPr>
          <w:rFonts w:ascii="Helvetica" w:eastAsia="HGMaruGothicMPRO" w:hAnsi="Helvetica" w:cs="Helvetica"/>
          <w:lang w:val="en-GB"/>
        </w:rPr>
        <w:t>is the widow of her late husband</w:t>
      </w:r>
      <w:r w:rsidR="00AD5E71" w:rsidRPr="008A3778">
        <w:rPr>
          <w:rFonts w:ascii="Helvetica" w:eastAsia="HGMaruGothicMPRO" w:hAnsi="Helvetica" w:cs="Helvetica"/>
          <w:lang w:val="en-GB"/>
        </w:rPr>
        <w:t>,</w:t>
      </w:r>
      <w:r w:rsidRPr="008A3778">
        <w:rPr>
          <w:rFonts w:ascii="Helvetica" w:eastAsia="HGMaruGothicMPRO" w:hAnsi="Helvetica" w:cs="Helvetica"/>
          <w:lang w:val="en-GB"/>
        </w:rPr>
        <w:t xml:space="preserve"> Mr</w:t>
      </w:r>
      <w:r w:rsidR="003870FB" w:rsidRPr="008A3778">
        <w:rPr>
          <w:rFonts w:ascii="Helvetica" w:eastAsia="HGMaruGothicMPRO" w:hAnsi="Helvetica" w:cs="Helvetica"/>
          <w:lang w:val="en-GB"/>
        </w:rPr>
        <w:t>.</w:t>
      </w:r>
      <w:r w:rsidRPr="008A3778">
        <w:rPr>
          <w:rFonts w:ascii="Helvetica" w:eastAsia="HGMaruGothicMPRO" w:hAnsi="Helvetica" w:cs="Helvetica"/>
          <w:lang w:val="en-GB"/>
        </w:rPr>
        <w:t xml:space="preserve"> Collatz. They were married </w:t>
      </w:r>
      <w:r w:rsidR="00974E4F" w:rsidRPr="008A3778">
        <w:rPr>
          <w:rFonts w:ascii="Helvetica" w:eastAsia="HGMaruGothicMPRO" w:hAnsi="Helvetica" w:cs="Helvetica"/>
          <w:lang w:val="en-GB"/>
        </w:rPr>
        <w:t xml:space="preserve">in community of property </w:t>
      </w:r>
      <w:r w:rsidRPr="008A3778">
        <w:rPr>
          <w:rFonts w:ascii="Helvetica" w:eastAsia="HGMaruGothicMPRO" w:hAnsi="Helvetica" w:cs="Helvetica"/>
          <w:lang w:val="en-GB"/>
        </w:rPr>
        <w:t>on 3 December 1994.</w:t>
      </w:r>
      <w:r w:rsidR="00CA3DD4">
        <w:rPr>
          <w:rFonts w:ascii="Helvetica" w:eastAsia="HGMaruGothicMPRO" w:hAnsi="Helvetica" w:cs="Helvetica"/>
          <w:lang w:val="en-GB"/>
        </w:rPr>
        <w:t xml:space="preserve"> The marriage had however run its course with a divorce summons being issued during 2008. On the face of it, the patrimonial consequences of their then impending divorce were heavily contested.</w:t>
      </w:r>
      <w:r w:rsidRPr="008A3778">
        <w:rPr>
          <w:rFonts w:ascii="Helvetica" w:eastAsia="HGMaruGothicMPRO" w:hAnsi="Helvetica" w:cs="Helvetica"/>
          <w:lang w:val="en-GB"/>
        </w:rPr>
        <w:t xml:space="preserve"> </w:t>
      </w:r>
      <w:r w:rsidR="00214126" w:rsidRPr="008A3778">
        <w:rPr>
          <w:rFonts w:ascii="Helvetica" w:eastAsia="HGMaruGothicMPRO" w:hAnsi="Helvetica" w:cs="Helvetica"/>
          <w:lang w:val="en-GB"/>
        </w:rPr>
        <w:t>Mr</w:t>
      </w:r>
      <w:r w:rsidR="003870FB" w:rsidRPr="008A3778">
        <w:rPr>
          <w:rFonts w:ascii="Helvetica" w:eastAsia="HGMaruGothicMPRO" w:hAnsi="Helvetica" w:cs="Helvetica"/>
          <w:lang w:val="en-GB"/>
        </w:rPr>
        <w:t>.</w:t>
      </w:r>
      <w:r w:rsidR="00214126" w:rsidRPr="008A3778">
        <w:rPr>
          <w:rFonts w:ascii="Helvetica" w:eastAsia="HGMaruGothicMPRO" w:hAnsi="Helvetica" w:cs="Helvetica"/>
          <w:lang w:val="en-GB"/>
        </w:rPr>
        <w:t xml:space="preserve"> Collatz passed away early in June 2010. He passed away approximately three months before the </w:t>
      </w:r>
      <w:r w:rsidR="00E056F3" w:rsidRPr="008A3778">
        <w:rPr>
          <w:rFonts w:ascii="Helvetica" w:eastAsia="HGMaruGothicMPRO" w:hAnsi="Helvetica" w:cs="Helvetica"/>
          <w:lang w:val="en-GB"/>
        </w:rPr>
        <w:t>trial date in their</w:t>
      </w:r>
      <w:r w:rsidR="00283A17">
        <w:rPr>
          <w:rFonts w:ascii="Helvetica" w:eastAsia="HGMaruGothicMPRO" w:hAnsi="Helvetica" w:cs="Helvetica"/>
          <w:lang w:val="en-GB"/>
        </w:rPr>
        <w:t xml:space="preserve"> </w:t>
      </w:r>
      <w:r w:rsidR="00214126" w:rsidRPr="008A3778">
        <w:rPr>
          <w:rFonts w:ascii="Helvetica" w:eastAsia="HGMaruGothicMPRO" w:hAnsi="Helvetica" w:cs="Helvetica"/>
          <w:lang w:val="en-GB"/>
        </w:rPr>
        <w:t xml:space="preserve">divorce action. </w:t>
      </w:r>
      <w:r w:rsidR="009920C5" w:rsidRPr="008A3778">
        <w:rPr>
          <w:rFonts w:ascii="Helvetica" w:eastAsia="HGMaruGothicMPRO" w:hAnsi="Helvetica" w:cs="Helvetica"/>
          <w:lang w:val="en-GB"/>
        </w:rPr>
        <w:t>Despite not being a beneficiary under his will</w:t>
      </w:r>
      <w:r w:rsidR="00812EDF">
        <w:rPr>
          <w:rFonts w:ascii="Helvetica" w:eastAsia="HGMaruGothicMPRO" w:hAnsi="Helvetica" w:cs="Helvetica"/>
          <w:lang w:val="en-GB"/>
        </w:rPr>
        <w:t xml:space="preserve"> and </w:t>
      </w:r>
      <w:r w:rsidR="002B0FB3">
        <w:rPr>
          <w:rFonts w:ascii="Helvetica" w:eastAsia="HGMaruGothicMPRO" w:hAnsi="Helvetica" w:cs="Helvetica"/>
          <w:lang w:val="en-GB"/>
        </w:rPr>
        <w:t xml:space="preserve">the fact of </w:t>
      </w:r>
      <w:r w:rsidR="00812EDF">
        <w:rPr>
          <w:rFonts w:ascii="Helvetica" w:eastAsia="HGMaruGothicMPRO" w:hAnsi="Helvetica" w:cs="Helvetica"/>
          <w:lang w:val="en-GB"/>
        </w:rPr>
        <w:t>their then impending divorce</w:t>
      </w:r>
      <w:r w:rsidR="009920C5" w:rsidRPr="008A3778">
        <w:rPr>
          <w:rFonts w:ascii="Helvetica" w:eastAsia="HGMaruGothicMPRO" w:hAnsi="Helvetica" w:cs="Helvetica"/>
          <w:lang w:val="en-GB"/>
        </w:rPr>
        <w:t xml:space="preserve">, </w:t>
      </w:r>
      <w:r w:rsidR="004B044E" w:rsidRPr="008A3778">
        <w:rPr>
          <w:rFonts w:ascii="Helvetica" w:eastAsia="HGMaruGothicMPRO" w:hAnsi="Helvetica" w:cs="Helvetica"/>
          <w:lang w:val="en-GB"/>
        </w:rPr>
        <w:t>Ms.</w:t>
      </w:r>
      <w:r w:rsidR="00B70A85" w:rsidRPr="008A3778">
        <w:rPr>
          <w:rFonts w:ascii="Helvetica" w:eastAsia="HGMaruGothicMPRO" w:hAnsi="Helvetica" w:cs="Helvetica"/>
          <w:lang w:val="en-GB"/>
        </w:rPr>
        <w:t xml:space="preserve"> Collatz </w:t>
      </w:r>
      <w:r w:rsidR="00EC78E8" w:rsidRPr="008A3778">
        <w:rPr>
          <w:rFonts w:ascii="Helvetica" w:eastAsia="HGMaruGothicMPRO" w:hAnsi="Helvetica" w:cs="Helvetica"/>
          <w:lang w:val="en-GB"/>
        </w:rPr>
        <w:t xml:space="preserve">is the appointed executrix </w:t>
      </w:r>
      <w:r w:rsidR="009920C5" w:rsidRPr="008A3778">
        <w:rPr>
          <w:rFonts w:ascii="Helvetica" w:eastAsia="HGMaruGothicMPRO" w:hAnsi="Helvetica" w:cs="Helvetica"/>
          <w:lang w:val="en-GB"/>
        </w:rPr>
        <w:t>of</w:t>
      </w:r>
      <w:r w:rsidR="00EC78E8" w:rsidRPr="008A3778">
        <w:rPr>
          <w:rFonts w:ascii="Helvetica" w:eastAsia="HGMaruGothicMPRO" w:hAnsi="Helvetica" w:cs="Helvetica"/>
          <w:lang w:val="en-GB"/>
        </w:rPr>
        <w:t xml:space="preserve"> </w:t>
      </w:r>
      <w:r w:rsidR="004B044E" w:rsidRPr="008A3778">
        <w:rPr>
          <w:rFonts w:ascii="Helvetica" w:eastAsia="HGMaruGothicMPRO" w:hAnsi="Helvetica" w:cs="Helvetica"/>
          <w:lang w:val="en-GB"/>
        </w:rPr>
        <w:t>Mr.</w:t>
      </w:r>
      <w:r w:rsidR="00EC78E8" w:rsidRPr="008A3778">
        <w:rPr>
          <w:rFonts w:ascii="Helvetica" w:eastAsia="HGMaruGothicMPRO" w:hAnsi="Helvetica" w:cs="Helvetica"/>
          <w:lang w:val="en-GB"/>
        </w:rPr>
        <w:t xml:space="preserve"> Collatz’s </w:t>
      </w:r>
      <w:r w:rsidR="009920C5" w:rsidRPr="008A3778">
        <w:rPr>
          <w:rFonts w:ascii="Helvetica" w:eastAsia="HGMaruGothicMPRO" w:hAnsi="Helvetica" w:cs="Helvetica"/>
          <w:lang w:val="en-GB"/>
        </w:rPr>
        <w:t xml:space="preserve">deceased estate. </w:t>
      </w:r>
      <w:r w:rsidR="004B044E" w:rsidRPr="008A3778">
        <w:rPr>
          <w:rFonts w:ascii="Helvetica" w:eastAsia="HGMaruGothicMPRO" w:hAnsi="Helvetica" w:cs="Helvetica"/>
          <w:lang w:val="en-GB"/>
        </w:rPr>
        <w:t>Ms.</w:t>
      </w:r>
      <w:r w:rsidR="00B722D5" w:rsidRPr="008A3778">
        <w:rPr>
          <w:rFonts w:ascii="Helvetica" w:eastAsia="HGMaruGothicMPRO" w:hAnsi="Helvetica" w:cs="Helvetica"/>
          <w:lang w:val="en-GB"/>
        </w:rPr>
        <w:t xml:space="preserve"> Collatz thus wears two hats in this litigation. </w:t>
      </w:r>
      <w:r w:rsidR="00A837A5" w:rsidRPr="008A3778">
        <w:rPr>
          <w:rFonts w:ascii="Helvetica" w:eastAsia="HGMaruGothicMPRO" w:hAnsi="Helvetica" w:cs="Helvetica"/>
          <w:lang w:val="en-GB"/>
        </w:rPr>
        <w:t xml:space="preserve">In her personal capacity, </w:t>
      </w:r>
      <w:r w:rsidR="00B722D5" w:rsidRPr="008A3778">
        <w:rPr>
          <w:rFonts w:ascii="Helvetica" w:eastAsia="HGMaruGothicMPRO" w:hAnsi="Helvetica" w:cs="Helvetica"/>
          <w:lang w:val="en-GB"/>
        </w:rPr>
        <w:t>she is the first appellant (</w:t>
      </w:r>
      <w:r w:rsidR="00A837A5" w:rsidRPr="008A3778">
        <w:rPr>
          <w:rFonts w:ascii="Helvetica" w:eastAsia="HGMaruGothicMPRO" w:hAnsi="Helvetica" w:cs="Helvetica"/>
          <w:lang w:val="en-GB"/>
        </w:rPr>
        <w:t>first applicant before the High Court). In her representative capacity</w:t>
      </w:r>
      <w:r w:rsidR="004B044E" w:rsidRPr="008A3778">
        <w:rPr>
          <w:rFonts w:ascii="Helvetica" w:eastAsia="HGMaruGothicMPRO" w:hAnsi="Helvetica" w:cs="Helvetica"/>
          <w:lang w:val="en-GB"/>
        </w:rPr>
        <w:t>,</w:t>
      </w:r>
      <w:r w:rsidR="00A837A5" w:rsidRPr="008A3778">
        <w:rPr>
          <w:rFonts w:ascii="Helvetica" w:eastAsia="HGMaruGothicMPRO" w:hAnsi="Helvetica" w:cs="Helvetica"/>
          <w:lang w:val="en-GB"/>
        </w:rPr>
        <w:t xml:space="preserve"> as the executrix of her husband’s deceased estate, she is the second appellant (second applicant before the High Court).</w:t>
      </w:r>
    </w:p>
    <w:p w14:paraId="3FF1B026" w14:textId="6ED03015" w:rsidR="00AB24A4" w:rsidRPr="008A3778" w:rsidRDefault="00E927A6"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lastRenderedPageBreak/>
        <w:t xml:space="preserve">The third respondent was previously married to Mr. Collatz. </w:t>
      </w:r>
      <w:r w:rsidR="00A753EF" w:rsidRPr="008A3778">
        <w:rPr>
          <w:rFonts w:ascii="Helvetica" w:eastAsia="HGMaruGothicMPRO" w:hAnsi="Helvetica" w:cs="Helvetica"/>
          <w:lang w:val="en-GB"/>
        </w:rPr>
        <w:t xml:space="preserve">The fourth and fifth respondents </w:t>
      </w:r>
      <w:r w:rsidR="009A2B7A" w:rsidRPr="008A3778">
        <w:rPr>
          <w:rFonts w:ascii="Helvetica" w:eastAsia="HGMaruGothicMPRO" w:hAnsi="Helvetica" w:cs="Helvetica"/>
          <w:lang w:val="en-GB"/>
        </w:rPr>
        <w:t>are</w:t>
      </w:r>
      <w:r w:rsidR="00A753EF" w:rsidRPr="008A3778">
        <w:rPr>
          <w:rFonts w:ascii="Helvetica" w:eastAsia="HGMaruGothicMPRO" w:hAnsi="Helvetica" w:cs="Helvetica"/>
          <w:lang w:val="en-GB"/>
        </w:rPr>
        <w:t xml:space="preserve"> the surviving children of the</w:t>
      </w:r>
      <w:r w:rsidR="00BC41F0">
        <w:rPr>
          <w:rFonts w:ascii="Helvetica" w:eastAsia="HGMaruGothicMPRO" w:hAnsi="Helvetica" w:cs="Helvetica"/>
          <w:lang w:val="en-GB"/>
        </w:rPr>
        <w:t>ir</w:t>
      </w:r>
      <w:r w:rsidR="00A753EF" w:rsidRPr="008A3778">
        <w:rPr>
          <w:rFonts w:ascii="Helvetica" w:eastAsia="HGMaruGothicMPRO" w:hAnsi="Helvetica" w:cs="Helvetica"/>
          <w:lang w:val="en-GB"/>
        </w:rPr>
        <w:t xml:space="preserve"> marriage. </w:t>
      </w:r>
      <w:r w:rsidR="005D71BA" w:rsidRPr="008A3778">
        <w:rPr>
          <w:rFonts w:ascii="Helvetica" w:eastAsia="HGMaruGothicMPRO" w:hAnsi="Helvetica" w:cs="Helvetica"/>
          <w:lang w:val="en-GB"/>
        </w:rPr>
        <w:t>As I understand matters, t</w:t>
      </w:r>
      <w:r w:rsidR="00E47D8E" w:rsidRPr="008A3778">
        <w:rPr>
          <w:rFonts w:ascii="Helvetica" w:eastAsia="HGMaruGothicMPRO" w:hAnsi="Helvetica" w:cs="Helvetica"/>
          <w:lang w:val="en-GB"/>
        </w:rPr>
        <w:t>he</w:t>
      </w:r>
      <w:r w:rsidR="00087173" w:rsidRPr="008A3778">
        <w:rPr>
          <w:rFonts w:ascii="Helvetica" w:eastAsia="HGMaruGothicMPRO" w:hAnsi="Helvetica" w:cs="Helvetica"/>
          <w:lang w:val="en-GB"/>
        </w:rPr>
        <w:t xml:space="preserve"> second respondent</w:t>
      </w:r>
      <w:r w:rsidR="00BC41F0">
        <w:rPr>
          <w:rFonts w:ascii="Helvetica" w:eastAsia="HGMaruGothicMPRO" w:hAnsi="Helvetica" w:cs="Helvetica"/>
          <w:lang w:val="en-GB"/>
        </w:rPr>
        <w:t xml:space="preserve"> (as the relevant section 37C trustees)</w:t>
      </w:r>
      <w:r w:rsidR="00087173" w:rsidRPr="008A3778">
        <w:rPr>
          <w:rFonts w:ascii="Helvetica" w:eastAsia="HGMaruGothicMPRO" w:hAnsi="Helvetica" w:cs="Helvetica"/>
          <w:lang w:val="en-GB"/>
        </w:rPr>
        <w:t xml:space="preserve"> has determined that they, </w:t>
      </w:r>
      <w:r w:rsidR="00B20AD0" w:rsidRPr="008A3778">
        <w:rPr>
          <w:rFonts w:ascii="Helvetica" w:eastAsia="HGMaruGothicMPRO" w:hAnsi="Helvetica" w:cs="Helvetica"/>
          <w:lang w:val="en-GB"/>
        </w:rPr>
        <w:t>together with Ms</w:t>
      </w:r>
      <w:r w:rsidR="004B044E" w:rsidRPr="008A3778">
        <w:rPr>
          <w:rFonts w:ascii="Helvetica" w:eastAsia="HGMaruGothicMPRO" w:hAnsi="Helvetica" w:cs="Helvetica"/>
          <w:lang w:val="en-GB"/>
        </w:rPr>
        <w:t>.</w:t>
      </w:r>
      <w:r w:rsidR="00B20AD0" w:rsidRPr="008A3778">
        <w:rPr>
          <w:rFonts w:ascii="Helvetica" w:eastAsia="HGMaruGothicMPRO" w:hAnsi="Helvetica" w:cs="Helvetica"/>
          <w:lang w:val="en-GB"/>
        </w:rPr>
        <w:t xml:space="preserve"> Collatz,</w:t>
      </w:r>
      <w:r w:rsidR="00E47D8E" w:rsidRPr="008A3778">
        <w:rPr>
          <w:rFonts w:ascii="Helvetica" w:eastAsia="HGMaruGothicMPRO" w:hAnsi="Helvetica" w:cs="Helvetica"/>
          <w:lang w:val="en-GB"/>
        </w:rPr>
        <w:t xml:space="preserve"> are section </w:t>
      </w:r>
      <w:bookmarkStart w:id="8" w:name="_Hlk91077076"/>
      <w:r w:rsidR="00E47D8E" w:rsidRPr="008A3778">
        <w:rPr>
          <w:rFonts w:ascii="Helvetica" w:eastAsia="HGMaruGothicMPRO" w:hAnsi="Helvetica" w:cs="Helvetica"/>
          <w:lang w:val="en-GB"/>
        </w:rPr>
        <w:t xml:space="preserve">37C </w:t>
      </w:r>
      <w:bookmarkEnd w:id="8"/>
      <w:r w:rsidR="00E47D8E" w:rsidRPr="008A3778">
        <w:rPr>
          <w:rFonts w:ascii="Helvetica" w:eastAsia="HGMaruGothicMPRO" w:hAnsi="Helvetica" w:cs="Helvetica"/>
          <w:lang w:val="en-GB"/>
        </w:rPr>
        <w:t>dependents of the late Mr</w:t>
      </w:r>
      <w:r w:rsidR="004B044E" w:rsidRPr="008A3778">
        <w:rPr>
          <w:rFonts w:ascii="Helvetica" w:eastAsia="HGMaruGothicMPRO" w:hAnsi="Helvetica" w:cs="Helvetica"/>
          <w:lang w:val="en-GB"/>
        </w:rPr>
        <w:t>.</w:t>
      </w:r>
      <w:r w:rsidR="00E47D8E" w:rsidRPr="008A3778">
        <w:rPr>
          <w:rFonts w:ascii="Helvetica" w:eastAsia="HGMaruGothicMPRO" w:hAnsi="Helvetica" w:cs="Helvetica"/>
          <w:lang w:val="en-GB"/>
        </w:rPr>
        <w:t xml:space="preserve"> Collatz</w:t>
      </w:r>
      <w:r w:rsidR="00A230D7" w:rsidRPr="008A3778">
        <w:rPr>
          <w:rFonts w:ascii="Helvetica" w:eastAsia="HGMaruGothicMPRO" w:hAnsi="Helvetica" w:cs="Helvetica"/>
          <w:lang w:val="en-GB"/>
        </w:rPr>
        <w:t xml:space="preserve"> for purposes of the </w:t>
      </w:r>
      <w:r w:rsidR="00A030F7" w:rsidRPr="008A3778">
        <w:rPr>
          <w:rFonts w:ascii="Helvetica" w:eastAsia="HGMaruGothicMPRO" w:hAnsi="Helvetica" w:cs="Helvetica"/>
          <w:lang w:val="en-GB"/>
        </w:rPr>
        <w:t xml:space="preserve">section 37C </w:t>
      </w:r>
      <w:r w:rsidR="00A230D7" w:rsidRPr="008A3778">
        <w:rPr>
          <w:rFonts w:ascii="Helvetica" w:eastAsia="HGMaruGothicMPRO" w:hAnsi="Helvetica" w:cs="Helvetica"/>
          <w:lang w:val="en-GB"/>
        </w:rPr>
        <w:t>distribution in issue</w:t>
      </w:r>
      <w:r w:rsidR="00E47D8E" w:rsidRPr="008A3778">
        <w:rPr>
          <w:rFonts w:ascii="Helvetica" w:eastAsia="HGMaruGothicMPRO" w:hAnsi="Helvetica" w:cs="Helvetica"/>
          <w:lang w:val="en-GB"/>
        </w:rPr>
        <w:t>.</w:t>
      </w:r>
    </w:p>
    <w:p w14:paraId="56E61ED7" w14:textId="2B62A5D1" w:rsidR="007754C3" w:rsidRPr="008A3778" w:rsidRDefault="007754C3"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sixth respondent is M</w:t>
      </w:r>
      <w:r w:rsidR="003C7641" w:rsidRPr="008A3778">
        <w:rPr>
          <w:rFonts w:ascii="Helvetica" w:eastAsia="HGMaruGothicMPRO" w:hAnsi="Helvetica" w:cs="Helvetica"/>
          <w:lang w:val="en-GB"/>
        </w:rPr>
        <w:t>s.</w:t>
      </w:r>
      <w:r w:rsidRPr="008A3778">
        <w:rPr>
          <w:rFonts w:ascii="Helvetica" w:eastAsia="HGMaruGothicMPRO" w:hAnsi="Helvetica" w:cs="Helvetica"/>
          <w:lang w:val="en-GB"/>
        </w:rPr>
        <w:t xml:space="preserve"> Collatz’s son (the </w:t>
      </w:r>
      <w:r w:rsidR="00AC5589" w:rsidRPr="008A3778">
        <w:rPr>
          <w:rFonts w:ascii="Helvetica" w:eastAsia="HGMaruGothicMPRO" w:hAnsi="Helvetica" w:cs="Helvetica"/>
          <w:lang w:val="en-GB"/>
        </w:rPr>
        <w:t>stepson</w:t>
      </w:r>
      <w:r w:rsidRPr="008A3778">
        <w:rPr>
          <w:rFonts w:ascii="Helvetica" w:eastAsia="HGMaruGothicMPRO" w:hAnsi="Helvetica" w:cs="Helvetica"/>
          <w:lang w:val="en-GB"/>
        </w:rPr>
        <w:t xml:space="preserve"> of Mr</w:t>
      </w:r>
      <w:r w:rsidR="003C7641" w:rsidRPr="008A3778">
        <w:rPr>
          <w:rFonts w:ascii="Helvetica" w:eastAsia="HGMaruGothicMPRO" w:hAnsi="Helvetica" w:cs="Helvetica"/>
          <w:lang w:val="en-GB"/>
        </w:rPr>
        <w:t>.</w:t>
      </w:r>
      <w:r w:rsidRPr="008A3778">
        <w:rPr>
          <w:rFonts w:ascii="Helvetica" w:eastAsia="HGMaruGothicMPRO" w:hAnsi="Helvetica" w:cs="Helvetica"/>
          <w:lang w:val="en-GB"/>
        </w:rPr>
        <w:t xml:space="preserve"> </w:t>
      </w:r>
      <w:r w:rsidR="00AC5589" w:rsidRPr="008A3778">
        <w:rPr>
          <w:rFonts w:ascii="Helvetica" w:eastAsia="HGMaruGothicMPRO" w:hAnsi="Helvetica" w:cs="Helvetica"/>
          <w:lang w:val="en-GB"/>
        </w:rPr>
        <w:t>Collatz</w:t>
      </w:r>
      <w:r w:rsidRPr="008A3778">
        <w:rPr>
          <w:rFonts w:ascii="Helvetica" w:eastAsia="HGMaruGothicMPRO" w:hAnsi="Helvetica" w:cs="Helvetica"/>
          <w:lang w:val="en-GB"/>
        </w:rPr>
        <w:t>). The seventh respondent is Mr. Collatz</w:t>
      </w:r>
      <w:r w:rsidR="0067408E">
        <w:rPr>
          <w:rFonts w:ascii="Helvetica" w:eastAsia="HGMaruGothicMPRO" w:hAnsi="Helvetica" w:cs="Helvetica"/>
          <w:lang w:val="en-GB"/>
        </w:rPr>
        <w:t>’s</w:t>
      </w:r>
      <w:r w:rsidRPr="008A3778">
        <w:rPr>
          <w:rFonts w:ascii="Helvetica" w:eastAsia="HGMaruGothicMPRO" w:hAnsi="Helvetica" w:cs="Helvetica"/>
          <w:lang w:val="en-GB"/>
        </w:rPr>
        <w:t xml:space="preserve"> daughter, and “the stepdaughter” of the third respondent. Despite their joinder</w:t>
      </w:r>
      <w:r w:rsidR="00A01165" w:rsidRPr="008A3778">
        <w:rPr>
          <w:rFonts w:ascii="Helvetica" w:eastAsia="HGMaruGothicMPRO" w:hAnsi="Helvetica" w:cs="Helvetica"/>
          <w:lang w:val="en-GB"/>
        </w:rPr>
        <w:t xml:space="preserve"> and providing</w:t>
      </w:r>
      <w:r w:rsidR="007007FF" w:rsidRPr="008A3778">
        <w:rPr>
          <w:rFonts w:ascii="Helvetica" w:eastAsia="HGMaruGothicMPRO" w:hAnsi="Helvetica" w:cs="Helvetica"/>
          <w:lang w:val="en-GB"/>
        </w:rPr>
        <w:t xml:space="preserve"> confirmatory affidavit</w:t>
      </w:r>
      <w:r w:rsidR="002D61C6" w:rsidRPr="008A3778">
        <w:rPr>
          <w:rFonts w:ascii="Helvetica" w:eastAsia="HGMaruGothicMPRO" w:hAnsi="Helvetica" w:cs="Helvetica"/>
          <w:lang w:val="en-GB"/>
        </w:rPr>
        <w:t>s</w:t>
      </w:r>
      <w:r w:rsidR="007007FF" w:rsidRPr="008A3778">
        <w:rPr>
          <w:rFonts w:ascii="Helvetica" w:eastAsia="HGMaruGothicMPRO" w:hAnsi="Helvetica" w:cs="Helvetica"/>
          <w:lang w:val="en-GB"/>
        </w:rPr>
        <w:t xml:space="preserve"> </w:t>
      </w:r>
      <w:r w:rsidR="002D61C6" w:rsidRPr="008A3778">
        <w:rPr>
          <w:rFonts w:ascii="Helvetica" w:eastAsia="HGMaruGothicMPRO" w:hAnsi="Helvetica" w:cs="Helvetica"/>
          <w:lang w:val="en-GB"/>
        </w:rPr>
        <w:t>to the appellants</w:t>
      </w:r>
      <w:r w:rsidR="00CA3C32" w:rsidRPr="008A3778">
        <w:rPr>
          <w:rFonts w:ascii="Helvetica" w:eastAsia="HGMaruGothicMPRO" w:hAnsi="Helvetica" w:cs="Helvetica"/>
          <w:lang w:val="en-GB"/>
        </w:rPr>
        <w:t>’</w:t>
      </w:r>
      <w:r w:rsidR="002D61C6" w:rsidRPr="008A3778">
        <w:rPr>
          <w:rFonts w:ascii="Helvetica" w:eastAsia="HGMaruGothicMPRO" w:hAnsi="Helvetica" w:cs="Helvetica"/>
          <w:lang w:val="en-GB"/>
        </w:rPr>
        <w:t xml:space="preserve"> replying affidavit </w:t>
      </w:r>
      <w:r w:rsidR="007007FF" w:rsidRPr="008A3778">
        <w:rPr>
          <w:rFonts w:ascii="Helvetica" w:eastAsia="HGMaruGothicMPRO" w:hAnsi="Helvetica" w:cs="Helvetica"/>
          <w:lang w:val="en-GB"/>
        </w:rPr>
        <w:t xml:space="preserve">stating that </w:t>
      </w:r>
      <w:r w:rsidR="005B0475" w:rsidRPr="008A3778">
        <w:rPr>
          <w:rFonts w:ascii="Helvetica" w:eastAsia="HGMaruGothicMPRO" w:hAnsi="Helvetica" w:cs="Helvetica"/>
          <w:lang w:val="en-GB"/>
        </w:rPr>
        <w:t xml:space="preserve">they will </w:t>
      </w:r>
      <w:r w:rsidR="004B044E" w:rsidRPr="008A3778">
        <w:rPr>
          <w:rFonts w:ascii="Helvetica" w:eastAsia="HGMaruGothicMPRO" w:hAnsi="Helvetica" w:cs="Helvetica"/>
          <w:lang w:val="en-GB"/>
        </w:rPr>
        <w:t>abide by</w:t>
      </w:r>
      <w:r w:rsidR="005B0475" w:rsidRPr="008A3778">
        <w:rPr>
          <w:rFonts w:ascii="Helvetica" w:eastAsia="HGMaruGothicMPRO" w:hAnsi="Helvetica" w:cs="Helvetica"/>
          <w:lang w:val="en-GB"/>
        </w:rPr>
        <w:t xml:space="preserve"> the decision of the court, </w:t>
      </w:r>
      <w:r w:rsidR="004B044E" w:rsidRPr="008A3778">
        <w:rPr>
          <w:rFonts w:ascii="Helvetica" w:eastAsia="HGMaruGothicMPRO" w:hAnsi="Helvetica" w:cs="Helvetica"/>
          <w:lang w:val="en-GB"/>
        </w:rPr>
        <w:t>the sixth and seventh respondents</w:t>
      </w:r>
      <w:r w:rsidR="007007FF" w:rsidRPr="008A3778">
        <w:rPr>
          <w:rFonts w:ascii="Helvetica" w:eastAsia="HGMaruGothicMPRO" w:hAnsi="Helvetica" w:cs="Helvetica"/>
          <w:lang w:val="en-GB"/>
        </w:rPr>
        <w:t xml:space="preserve"> </w:t>
      </w:r>
      <w:r w:rsidR="00A030F7" w:rsidRPr="008A3778">
        <w:rPr>
          <w:rFonts w:ascii="Helvetica" w:eastAsia="HGMaruGothicMPRO" w:hAnsi="Helvetica" w:cs="Helvetica"/>
          <w:lang w:val="en-GB"/>
        </w:rPr>
        <w:t xml:space="preserve">nevertheless </w:t>
      </w:r>
      <w:r w:rsidR="004B044E" w:rsidRPr="008A3778">
        <w:rPr>
          <w:rFonts w:ascii="Helvetica" w:eastAsia="HGMaruGothicMPRO" w:hAnsi="Helvetica" w:cs="Helvetica"/>
          <w:lang w:val="en-GB"/>
        </w:rPr>
        <w:t>state</w:t>
      </w:r>
      <w:r w:rsidR="00A030F7" w:rsidRPr="008A3778">
        <w:rPr>
          <w:rFonts w:ascii="Helvetica" w:eastAsia="HGMaruGothicMPRO" w:hAnsi="Helvetica" w:cs="Helvetica"/>
          <w:lang w:val="en-GB"/>
        </w:rPr>
        <w:t xml:space="preserve"> - without providing any real reasons therefore and in respect of which they would have personal knowledge -</w:t>
      </w:r>
      <w:r w:rsidR="004B044E" w:rsidRPr="008A3778">
        <w:rPr>
          <w:rFonts w:ascii="Helvetica" w:eastAsia="HGMaruGothicMPRO" w:hAnsi="Helvetica" w:cs="Helvetica"/>
          <w:lang w:val="en-GB"/>
        </w:rPr>
        <w:t xml:space="preserve"> that they </w:t>
      </w:r>
      <w:r w:rsidR="007007FF" w:rsidRPr="008A3778">
        <w:rPr>
          <w:rFonts w:ascii="Helvetica" w:eastAsia="HGMaruGothicMPRO" w:hAnsi="Helvetica" w:cs="Helvetica"/>
          <w:lang w:val="en-GB"/>
        </w:rPr>
        <w:t>“</w:t>
      </w:r>
      <w:r w:rsidR="007007FF" w:rsidRPr="008A3778">
        <w:rPr>
          <w:rFonts w:ascii="Helvetica" w:eastAsia="HGMaruGothicMPRO" w:hAnsi="Helvetica" w:cs="Helvetica"/>
          <w:i/>
          <w:iCs/>
          <w:lang w:val="en-GB"/>
        </w:rPr>
        <w:t>do not support the findings of the Eighth Respondent in this matter</w:t>
      </w:r>
      <w:r w:rsidR="007007FF" w:rsidRPr="008A3778">
        <w:rPr>
          <w:rFonts w:ascii="Helvetica" w:eastAsia="HGMaruGothicMPRO" w:hAnsi="Helvetica" w:cs="Helvetica"/>
          <w:lang w:val="en-GB"/>
        </w:rPr>
        <w:t>”</w:t>
      </w:r>
      <w:r w:rsidR="004B044E" w:rsidRPr="008A3778">
        <w:rPr>
          <w:rFonts w:ascii="Helvetica" w:eastAsia="HGMaruGothicMPRO" w:hAnsi="Helvetica" w:cs="Helvetica"/>
          <w:lang w:val="en-GB"/>
        </w:rPr>
        <w:t>.</w:t>
      </w:r>
      <w:r w:rsidRPr="008A3778">
        <w:rPr>
          <w:rFonts w:ascii="Helvetica" w:eastAsia="HGMaruGothicMPRO" w:hAnsi="Helvetica" w:cs="Helvetica"/>
          <w:lang w:val="en-GB"/>
        </w:rPr>
        <w:t xml:space="preserve"> </w:t>
      </w:r>
      <w:r w:rsidR="004B044E" w:rsidRPr="008A3778">
        <w:rPr>
          <w:rFonts w:ascii="Helvetica" w:eastAsia="HGMaruGothicMPRO" w:hAnsi="Helvetica" w:cs="Helvetica"/>
          <w:lang w:val="en-GB"/>
        </w:rPr>
        <w:t>T</w:t>
      </w:r>
      <w:r w:rsidRPr="008A3778">
        <w:rPr>
          <w:rFonts w:ascii="Helvetica" w:eastAsia="HGMaruGothicMPRO" w:hAnsi="Helvetica" w:cs="Helvetica"/>
          <w:lang w:val="en-GB"/>
        </w:rPr>
        <w:t xml:space="preserve">he sixth and seventh respondents did not </w:t>
      </w:r>
      <w:r w:rsidR="004B044E" w:rsidRPr="008A3778">
        <w:rPr>
          <w:rFonts w:ascii="Helvetica" w:eastAsia="HGMaruGothicMPRO" w:hAnsi="Helvetica" w:cs="Helvetica"/>
          <w:lang w:val="en-GB"/>
        </w:rPr>
        <w:t xml:space="preserve">otherwise </w:t>
      </w:r>
      <w:r w:rsidRPr="008A3778">
        <w:rPr>
          <w:rFonts w:ascii="Helvetica" w:eastAsia="HGMaruGothicMPRO" w:hAnsi="Helvetica" w:cs="Helvetica"/>
          <w:lang w:val="en-GB"/>
        </w:rPr>
        <w:t>participate in the section 30P application</w:t>
      </w:r>
      <w:r w:rsidR="00CA3C32" w:rsidRPr="008A3778">
        <w:rPr>
          <w:rFonts w:ascii="Helvetica" w:eastAsia="HGMaruGothicMPRO" w:hAnsi="Helvetica" w:cs="Helvetica"/>
          <w:lang w:val="en-GB"/>
        </w:rPr>
        <w:t>.</w:t>
      </w:r>
      <w:r w:rsidR="00A01165" w:rsidRPr="008A3778">
        <w:rPr>
          <w:rFonts w:ascii="Helvetica" w:eastAsia="HGMaruGothicMPRO" w:hAnsi="Helvetica" w:cs="Helvetica"/>
          <w:lang w:val="en-GB"/>
        </w:rPr>
        <w:t xml:space="preserve"> </w:t>
      </w:r>
      <w:r w:rsidR="00CA3C32" w:rsidRPr="008A3778">
        <w:rPr>
          <w:rFonts w:ascii="Helvetica" w:eastAsia="HGMaruGothicMPRO" w:hAnsi="Helvetica" w:cs="Helvetica"/>
          <w:lang w:val="en-GB"/>
        </w:rPr>
        <w:t>T</w:t>
      </w:r>
      <w:r w:rsidR="00A01165" w:rsidRPr="008A3778">
        <w:rPr>
          <w:rFonts w:ascii="Helvetica" w:eastAsia="HGMaruGothicMPRO" w:hAnsi="Helvetica" w:cs="Helvetica"/>
          <w:lang w:val="en-GB"/>
        </w:rPr>
        <w:t xml:space="preserve">hey do not participate </w:t>
      </w:r>
      <w:r w:rsidRPr="008A3778">
        <w:rPr>
          <w:rFonts w:ascii="Helvetica" w:eastAsia="HGMaruGothicMPRO" w:hAnsi="Helvetica" w:cs="Helvetica"/>
          <w:lang w:val="en-GB"/>
        </w:rPr>
        <w:t xml:space="preserve">in this appeal. </w:t>
      </w:r>
    </w:p>
    <w:p w14:paraId="13829A26" w14:textId="548750C4" w:rsidR="00F6258D" w:rsidRPr="008A3778" w:rsidRDefault="00214126"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Whilst he was still alive</w:t>
      </w:r>
      <w:r w:rsidR="005A1DD4" w:rsidRPr="008A3778">
        <w:rPr>
          <w:rFonts w:ascii="Helvetica" w:eastAsia="HGMaruGothicMPRO" w:hAnsi="Helvetica" w:cs="Helvetica"/>
          <w:lang w:val="en-GB"/>
        </w:rPr>
        <w:t>,</w:t>
      </w:r>
      <w:r w:rsidRPr="008A3778">
        <w:rPr>
          <w:rFonts w:ascii="Helvetica" w:eastAsia="HGMaruGothicMPRO" w:hAnsi="Helvetica" w:cs="Helvetica"/>
          <w:lang w:val="en-GB"/>
        </w:rPr>
        <w:t xml:space="preserve"> and p</w:t>
      </w:r>
      <w:r w:rsidR="007849A6" w:rsidRPr="008A3778">
        <w:rPr>
          <w:rFonts w:ascii="Helvetica" w:eastAsia="HGMaruGothicMPRO" w:hAnsi="Helvetica" w:cs="Helvetica"/>
          <w:lang w:val="en-GB"/>
        </w:rPr>
        <w:t>rior to his retirement</w:t>
      </w:r>
      <w:r w:rsidR="00AE49E5">
        <w:rPr>
          <w:rFonts w:ascii="Helvetica" w:eastAsia="HGMaruGothicMPRO" w:hAnsi="Helvetica" w:cs="Helvetica"/>
          <w:lang w:val="en-GB"/>
        </w:rPr>
        <w:t>,</w:t>
      </w:r>
      <w:r w:rsidR="00522AD2" w:rsidRPr="008A3778">
        <w:rPr>
          <w:rStyle w:val="FootnoteReference"/>
          <w:rFonts w:ascii="Helvetica" w:eastAsia="HGMaruGothicMPRO" w:hAnsi="Helvetica" w:cs="Helvetica"/>
          <w:lang w:val="en-GB"/>
        </w:rPr>
        <w:footnoteReference w:id="31"/>
      </w:r>
      <w:r w:rsidR="007849A6" w:rsidRPr="008A3778">
        <w:rPr>
          <w:rFonts w:ascii="Helvetica" w:eastAsia="HGMaruGothicMPRO" w:hAnsi="Helvetica" w:cs="Helvetica"/>
          <w:lang w:val="en-GB"/>
        </w:rPr>
        <w:t xml:space="preserve"> Mr</w:t>
      </w:r>
      <w:r w:rsidR="00F6258D" w:rsidRPr="008A3778">
        <w:rPr>
          <w:rFonts w:ascii="Helvetica" w:eastAsia="HGMaruGothicMPRO" w:hAnsi="Helvetica" w:cs="Helvetica"/>
          <w:lang w:val="en-GB"/>
        </w:rPr>
        <w:t>.</w:t>
      </w:r>
      <w:r w:rsidR="007849A6" w:rsidRPr="008A3778">
        <w:rPr>
          <w:rFonts w:ascii="Helvetica" w:eastAsia="HGMaruGothicMPRO" w:hAnsi="Helvetica" w:cs="Helvetica"/>
          <w:lang w:val="en-GB"/>
        </w:rPr>
        <w:t xml:space="preserve"> Collatz was </w:t>
      </w:r>
      <w:r w:rsidR="006651BF" w:rsidRPr="008A3778">
        <w:rPr>
          <w:rFonts w:ascii="Helvetica" w:eastAsia="HGMaruGothicMPRO" w:hAnsi="Helvetica" w:cs="Helvetica"/>
          <w:lang w:val="en-GB"/>
        </w:rPr>
        <w:t xml:space="preserve">an </w:t>
      </w:r>
      <w:r w:rsidR="007849A6" w:rsidRPr="008A3778">
        <w:rPr>
          <w:rFonts w:ascii="Helvetica" w:eastAsia="HGMaruGothicMPRO" w:hAnsi="Helvetica" w:cs="Helvetica"/>
          <w:lang w:val="en-GB"/>
        </w:rPr>
        <w:t>employe</w:t>
      </w:r>
      <w:r w:rsidR="006651BF" w:rsidRPr="008A3778">
        <w:rPr>
          <w:rFonts w:ascii="Helvetica" w:eastAsia="HGMaruGothicMPRO" w:hAnsi="Helvetica" w:cs="Helvetica"/>
          <w:lang w:val="en-GB"/>
        </w:rPr>
        <w:t>e</w:t>
      </w:r>
      <w:r w:rsidR="007849A6" w:rsidRPr="008A3778">
        <w:rPr>
          <w:rFonts w:ascii="Helvetica" w:eastAsia="HGMaruGothicMPRO" w:hAnsi="Helvetica" w:cs="Helvetica"/>
          <w:lang w:val="en-GB"/>
        </w:rPr>
        <w:t xml:space="preserve"> </w:t>
      </w:r>
      <w:r w:rsidR="004B044E" w:rsidRPr="008A3778">
        <w:rPr>
          <w:rFonts w:ascii="Helvetica" w:eastAsia="HGMaruGothicMPRO" w:hAnsi="Helvetica" w:cs="Helvetica"/>
          <w:lang w:val="en-GB"/>
        </w:rPr>
        <w:t xml:space="preserve">and the CEO </w:t>
      </w:r>
      <w:r w:rsidR="007849A6" w:rsidRPr="008A3778">
        <w:rPr>
          <w:rFonts w:ascii="Helvetica" w:eastAsia="HGMaruGothicMPRO" w:hAnsi="Helvetica" w:cs="Helvetica"/>
          <w:lang w:val="en-GB"/>
        </w:rPr>
        <w:t>of Johnson &amp; Johnson Medical (Pty) Ltd.</w:t>
      </w:r>
      <w:r w:rsidR="009A39BB" w:rsidRPr="008A3778">
        <w:rPr>
          <w:rFonts w:ascii="Helvetica" w:eastAsia="HGMaruGothicMPRO" w:hAnsi="Helvetica" w:cs="Helvetica"/>
          <w:lang w:val="en-GB"/>
        </w:rPr>
        <w:t xml:space="preserve"> He had been employed </w:t>
      </w:r>
      <w:r w:rsidR="004B044E" w:rsidRPr="008A3778">
        <w:rPr>
          <w:rFonts w:ascii="Helvetica" w:eastAsia="HGMaruGothicMPRO" w:hAnsi="Helvetica" w:cs="Helvetica"/>
          <w:lang w:val="en-GB"/>
        </w:rPr>
        <w:t>by</w:t>
      </w:r>
      <w:r w:rsidR="009A39BB" w:rsidRPr="008A3778">
        <w:rPr>
          <w:rFonts w:ascii="Helvetica" w:eastAsia="HGMaruGothicMPRO" w:hAnsi="Helvetica" w:cs="Helvetica"/>
          <w:lang w:val="en-GB"/>
        </w:rPr>
        <w:t xml:space="preserve"> the company since 1980.</w:t>
      </w:r>
      <w:r w:rsidR="007849A6" w:rsidRPr="008A3778">
        <w:rPr>
          <w:rFonts w:ascii="Helvetica" w:eastAsia="HGMaruGothicMPRO" w:hAnsi="Helvetica" w:cs="Helvetica"/>
          <w:lang w:val="en-GB"/>
        </w:rPr>
        <w:t xml:space="preserve"> </w:t>
      </w:r>
      <w:r w:rsidR="00974E4F" w:rsidRPr="008A3778">
        <w:rPr>
          <w:rFonts w:ascii="Helvetica" w:eastAsia="HGMaruGothicMPRO" w:hAnsi="Helvetica" w:cs="Helvetica"/>
          <w:lang w:val="en-GB"/>
        </w:rPr>
        <w:t>Mr</w:t>
      </w:r>
      <w:r w:rsidR="00F6258D" w:rsidRPr="008A3778">
        <w:rPr>
          <w:rFonts w:ascii="Helvetica" w:eastAsia="HGMaruGothicMPRO" w:hAnsi="Helvetica" w:cs="Helvetica"/>
          <w:lang w:val="en-GB"/>
        </w:rPr>
        <w:t>.</w:t>
      </w:r>
      <w:r w:rsidR="00974E4F" w:rsidRPr="008A3778">
        <w:rPr>
          <w:rFonts w:ascii="Helvetica" w:eastAsia="HGMaruGothicMPRO" w:hAnsi="Helvetica" w:cs="Helvetica"/>
          <w:lang w:val="en-GB"/>
        </w:rPr>
        <w:t xml:space="preserve"> Collatz, whilst alive, was </w:t>
      </w:r>
      <w:r w:rsidR="007849A6" w:rsidRPr="008A3778">
        <w:rPr>
          <w:rFonts w:ascii="Helvetica" w:eastAsia="HGMaruGothicMPRO" w:hAnsi="Helvetica" w:cs="Helvetica"/>
          <w:lang w:val="en-GB"/>
        </w:rPr>
        <w:t xml:space="preserve">furthermore </w:t>
      </w:r>
      <w:r w:rsidR="00974E4F" w:rsidRPr="008A3778">
        <w:rPr>
          <w:rFonts w:ascii="Helvetica" w:eastAsia="HGMaruGothicMPRO" w:hAnsi="Helvetica" w:cs="Helvetica"/>
          <w:lang w:val="en-GB"/>
        </w:rPr>
        <w:t xml:space="preserve">a member of the ninth respondent, being his </w:t>
      </w:r>
      <w:r w:rsidR="007849A6" w:rsidRPr="008A3778">
        <w:rPr>
          <w:rFonts w:ascii="Helvetica" w:eastAsia="HGMaruGothicMPRO" w:hAnsi="Helvetica" w:cs="Helvetica"/>
          <w:lang w:val="en-GB"/>
        </w:rPr>
        <w:t xml:space="preserve">(former) </w:t>
      </w:r>
      <w:r w:rsidR="00974E4F" w:rsidRPr="008A3778">
        <w:rPr>
          <w:rFonts w:ascii="Helvetica" w:eastAsia="HGMaruGothicMPRO" w:hAnsi="Helvetica" w:cs="Helvetica"/>
          <w:lang w:val="en-GB"/>
        </w:rPr>
        <w:t xml:space="preserve">employer’s provident fund. The first respondent administered the provident fund. </w:t>
      </w:r>
    </w:p>
    <w:p w14:paraId="31F5427D" w14:textId="53FB8BEC" w:rsidR="00974E4F" w:rsidRPr="008A3778" w:rsidRDefault="0051486B"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On the termination of his employment</w:t>
      </w:r>
      <w:r w:rsidR="003C753A" w:rsidRPr="008A3778">
        <w:rPr>
          <w:rFonts w:ascii="Helvetica" w:eastAsia="HGMaruGothicMPRO" w:hAnsi="Helvetica" w:cs="Helvetica"/>
          <w:lang w:val="en-GB"/>
        </w:rPr>
        <w:t>, and as a result thereof, Mr</w:t>
      </w:r>
      <w:r w:rsidR="00F6258D" w:rsidRPr="008A3778">
        <w:rPr>
          <w:rFonts w:ascii="Helvetica" w:eastAsia="HGMaruGothicMPRO" w:hAnsi="Helvetica" w:cs="Helvetica"/>
          <w:lang w:val="en-GB"/>
        </w:rPr>
        <w:t>.</w:t>
      </w:r>
      <w:r w:rsidR="003C753A" w:rsidRPr="008A3778">
        <w:rPr>
          <w:rFonts w:ascii="Helvetica" w:eastAsia="HGMaruGothicMPRO" w:hAnsi="Helvetica" w:cs="Helvetica"/>
          <w:lang w:val="en-GB"/>
        </w:rPr>
        <w:t xml:space="preserve"> Collatz ceased to be a member of the ninth respondent</w:t>
      </w:r>
      <w:r w:rsidR="00D84D1D" w:rsidRPr="008A3778">
        <w:rPr>
          <w:rFonts w:ascii="Helvetica" w:eastAsia="HGMaruGothicMPRO" w:hAnsi="Helvetica" w:cs="Helvetica"/>
          <w:lang w:val="en-GB"/>
        </w:rPr>
        <w:t>, and as such became entitled to a withdrawal benefit.</w:t>
      </w:r>
      <w:r w:rsidR="004024D1" w:rsidRPr="008A3778">
        <w:rPr>
          <w:rFonts w:ascii="Helvetica" w:eastAsia="HGMaruGothicMPRO" w:hAnsi="Helvetica" w:cs="Helvetica"/>
          <w:lang w:val="en-GB"/>
        </w:rPr>
        <w:t xml:space="preserve"> In this regard, Mr</w:t>
      </w:r>
      <w:r w:rsidR="00F6258D" w:rsidRPr="008A3778">
        <w:rPr>
          <w:rFonts w:ascii="Helvetica" w:eastAsia="HGMaruGothicMPRO" w:hAnsi="Helvetica" w:cs="Helvetica"/>
          <w:lang w:val="en-GB"/>
        </w:rPr>
        <w:t>.</w:t>
      </w:r>
      <w:r w:rsidR="004024D1" w:rsidRPr="008A3778">
        <w:rPr>
          <w:rFonts w:ascii="Helvetica" w:eastAsia="HGMaruGothicMPRO" w:hAnsi="Helvetica" w:cs="Helvetica"/>
          <w:lang w:val="en-GB"/>
        </w:rPr>
        <w:t xml:space="preserve"> Collatz</w:t>
      </w:r>
      <w:r w:rsidR="00D84D1D" w:rsidRPr="008A3778">
        <w:rPr>
          <w:rFonts w:ascii="Helvetica" w:eastAsia="HGMaruGothicMPRO" w:hAnsi="Helvetica" w:cs="Helvetica"/>
          <w:lang w:val="en-GB"/>
        </w:rPr>
        <w:t xml:space="preserve"> </w:t>
      </w:r>
      <w:r w:rsidR="00BB0C87" w:rsidRPr="008A3778">
        <w:rPr>
          <w:rFonts w:ascii="Helvetica" w:eastAsia="HGMaruGothicMPRO" w:hAnsi="Helvetica" w:cs="Helvetica"/>
          <w:lang w:val="en-GB"/>
        </w:rPr>
        <w:t>had</w:t>
      </w:r>
      <w:r w:rsidR="00D84D1D" w:rsidRPr="008A3778">
        <w:rPr>
          <w:rFonts w:ascii="Helvetica" w:eastAsia="HGMaruGothicMPRO" w:hAnsi="Helvetica" w:cs="Helvetica"/>
          <w:lang w:val="en-GB"/>
        </w:rPr>
        <w:t xml:space="preserve"> an election to either receive a cash payment or transfer </w:t>
      </w:r>
      <w:r w:rsidR="004024D1" w:rsidRPr="008A3778">
        <w:rPr>
          <w:rFonts w:ascii="Helvetica" w:eastAsia="HGMaruGothicMPRO" w:hAnsi="Helvetica" w:cs="Helvetica"/>
          <w:lang w:val="en-GB"/>
        </w:rPr>
        <w:t>such</w:t>
      </w:r>
      <w:r w:rsidR="00D84D1D" w:rsidRPr="008A3778">
        <w:rPr>
          <w:rFonts w:ascii="Helvetica" w:eastAsia="HGMaruGothicMPRO" w:hAnsi="Helvetica" w:cs="Helvetica"/>
          <w:lang w:val="en-GB"/>
        </w:rPr>
        <w:t xml:space="preserve"> benefit to a pension fund of his choice</w:t>
      </w:r>
      <w:r w:rsidR="004024D1" w:rsidRPr="008A3778">
        <w:rPr>
          <w:rFonts w:ascii="Helvetica" w:eastAsia="HGMaruGothicMPRO" w:hAnsi="Helvetica" w:cs="Helvetica"/>
          <w:lang w:val="en-GB"/>
        </w:rPr>
        <w:t xml:space="preserve"> in terms of the ninth respondent’s rules. </w:t>
      </w:r>
    </w:p>
    <w:p w14:paraId="3F733654" w14:textId="746B9363" w:rsidR="00F5070A" w:rsidRPr="008A3778" w:rsidRDefault="00EB51AD"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During </w:t>
      </w:r>
      <w:r w:rsidR="005D3E4C" w:rsidRPr="008A3778">
        <w:rPr>
          <w:rFonts w:ascii="Helvetica" w:eastAsia="HGMaruGothicMPRO" w:hAnsi="Helvetica" w:cs="Helvetica"/>
          <w:lang w:val="en-GB"/>
        </w:rPr>
        <w:t xml:space="preserve">March </w:t>
      </w:r>
      <w:r w:rsidRPr="008A3778">
        <w:rPr>
          <w:rFonts w:ascii="Helvetica" w:eastAsia="HGMaruGothicMPRO" w:hAnsi="Helvetica" w:cs="Helvetica"/>
          <w:lang w:val="en-GB"/>
        </w:rPr>
        <w:t>2008</w:t>
      </w:r>
      <w:r w:rsidR="00861906" w:rsidRPr="008A3778">
        <w:rPr>
          <w:rFonts w:ascii="Helvetica" w:eastAsia="HGMaruGothicMPRO" w:hAnsi="Helvetica" w:cs="Helvetica"/>
          <w:lang w:val="en-GB"/>
        </w:rPr>
        <w:t xml:space="preserve">, </w:t>
      </w:r>
      <w:r w:rsidR="002B10AD" w:rsidRPr="008A3778">
        <w:rPr>
          <w:rFonts w:ascii="Helvetica" w:eastAsia="HGMaruGothicMPRO" w:hAnsi="Helvetica" w:cs="Helvetica"/>
          <w:lang w:val="en-GB"/>
        </w:rPr>
        <w:t>Mr</w:t>
      </w:r>
      <w:r w:rsidR="008E5DC9" w:rsidRPr="008A3778">
        <w:rPr>
          <w:rFonts w:ascii="Helvetica" w:eastAsia="HGMaruGothicMPRO" w:hAnsi="Helvetica" w:cs="Helvetica"/>
          <w:lang w:val="en-GB"/>
        </w:rPr>
        <w:t>.</w:t>
      </w:r>
      <w:r w:rsidR="002B10AD" w:rsidRPr="008A3778">
        <w:rPr>
          <w:rFonts w:ascii="Helvetica" w:eastAsia="HGMaruGothicMPRO" w:hAnsi="Helvetica" w:cs="Helvetica"/>
          <w:lang w:val="en-GB"/>
        </w:rPr>
        <w:t xml:space="preserve"> Collatz</w:t>
      </w:r>
      <w:r w:rsidR="00B92AC2" w:rsidRPr="008A3778">
        <w:rPr>
          <w:rFonts w:ascii="Helvetica" w:eastAsia="HGMaruGothicMPRO" w:hAnsi="Helvetica" w:cs="Helvetica"/>
          <w:lang w:val="en-GB"/>
        </w:rPr>
        <w:t xml:space="preserve"> </w:t>
      </w:r>
      <w:r w:rsidR="00585BDB" w:rsidRPr="008A3778">
        <w:rPr>
          <w:rFonts w:ascii="Helvetica" w:eastAsia="HGMaruGothicMPRO" w:hAnsi="Helvetica" w:cs="Helvetica"/>
          <w:lang w:val="en-GB"/>
        </w:rPr>
        <w:t>redeemed</w:t>
      </w:r>
      <w:r w:rsidR="00951945" w:rsidRPr="008A3778">
        <w:rPr>
          <w:rFonts w:ascii="Helvetica" w:eastAsia="HGMaruGothicMPRO" w:hAnsi="Helvetica" w:cs="Helvetica"/>
          <w:lang w:val="en-GB"/>
        </w:rPr>
        <w:t>, as a lump sum,</w:t>
      </w:r>
      <w:r w:rsidR="002B10AD" w:rsidRPr="008A3778">
        <w:rPr>
          <w:rFonts w:ascii="Helvetica" w:eastAsia="HGMaruGothicMPRO" w:hAnsi="Helvetica" w:cs="Helvetica"/>
          <w:lang w:val="en-GB"/>
        </w:rPr>
        <w:t xml:space="preserve"> his</w:t>
      </w:r>
      <w:r w:rsidR="00BF6CC0" w:rsidRPr="008A3778">
        <w:rPr>
          <w:rFonts w:ascii="Helvetica" w:eastAsia="HGMaruGothicMPRO" w:hAnsi="Helvetica" w:cs="Helvetica"/>
          <w:lang w:val="en-GB"/>
        </w:rPr>
        <w:t xml:space="preserve"> withdrawal </w:t>
      </w:r>
      <w:r w:rsidR="005A1DD4" w:rsidRPr="008A3778">
        <w:rPr>
          <w:rFonts w:ascii="Helvetica" w:eastAsia="HGMaruGothicMPRO" w:hAnsi="Helvetica" w:cs="Helvetica"/>
          <w:lang w:val="en-GB"/>
        </w:rPr>
        <w:t>benefit</w:t>
      </w:r>
      <w:r w:rsidR="001C3E7B" w:rsidRPr="008A3778">
        <w:rPr>
          <w:rFonts w:ascii="Helvetica" w:eastAsia="HGMaruGothicMPRO" w:hAnsi="Helvetica" w:cs="Helvetica"/>
          <w:lang w:val="en-GB"/>
        </w:rPr>
        <w:t>;</w:t>
      </w:r>
      <w:r w:rsidR="00BF6CC0" w:rsidRPr="008A3778">
        <w:rPr>
          <w:rFonts w:ascii="Helvetica" w:eastAsia="HGMaruGothicMPRO" w:hAnsi="Helvetica" w:cs="Helvetica"/>
          <w:lang w:val="en-GB"/>
        </w:rPr>
        <w:t xml:space="preserve"> the value thereof being </w:t>
      </w:r>
      <w:r w:rsidR="00315DCD" w:rsidRPr="008A3778">
        <w:rPr>
          <w:rFonts w:ascii="Helvetica" w:eastAsia="HGMaruGothicMPRO" w:hAnsi="Helvetica" w:cs="Helvetica"/>
          <w:lang w:val="en-GB"/>
        </w:rPr>
        <w:t>in an amount of some R10,000,000.00</w:t>
      </w:r>
      <w:r w:rsidR="009A39BB" w:rsidRPr="008A3778">
        <w:rPr>
          <w:rFonts w:ascii="Helvetica" w:eastAsia="HGMaruGothicMPRO" w:hAnsi="Helvetica" w:cs="Helvetica"/>
          <w:lang w:val="en-GB"/>
        </w:rPr>
        <w:t>.</w:t>
      </w:r>
      <w:r w:rsidR="00951945" w:rsidRPr="008A3778">
        <w:rPr>
          <w:rStyle w:val="FootnoteReference"/>
          <w:rFonts w:ascii="Helvetica" w:eastAsia="HGMaruGothicMPRO" w:hAnsi="Helvetica" w:cs="Helvetica"/>
          <w:lang w:val="en-GB"/>
        </w:rPr>
        <w:footnoteReference w:id="32"/>
      </w:r>
      <w:r w:rsidR="002D689A" w:rsidRPr="008A3778">
        <w:rPr>
          <w:rFonts w:ascii="Helvetica" w:eastAsia="HGMaruGothicMPRO" w:hAnsi="Helvetica" w:cs="Helvetica"/>
          <w:lang w:val="en-GB"/>
        </w:rPr>
        <w:t xml:space="preserve"> </w:t>
      </w:r>
      <w:r w:rsidR="00E3564F" w:rsidRPr="008A3778">
        <w:rPr>
          <w:rFonts w:ascii="Helvetica" w:eastAsia="HGMaruGothicMPRO" w:hAnsi="Helvetica" w:cs="Helvetica"/>
          <w:lang w:val="en-GB"/>
        </w:rPr>
        <w:t>Initially, t</w:t>
      </w:r>
      <w:r w:rsidR="00FE118E" w:rsidRPr="008A3778">
        <w:rPr>
          <w:rFonts w:ascii="Helvetica" w:eastAsia="HGMaruGothicMPRO" w:hAnsi="Helvetica" w:cs="Helvetica"/>
          <w:lang w:val="en-GB"/>
        </w:rPr>
        <w:t>he</w:t>
      </w:r>
      <w:r w:rsidR="00BF6CC0" w:rsidRPr="008A3778">
        <w:rPr>
          <w:rFonts w:ascii="Helvetica" w:eastAsia="HGMaruGothicMPRO" w:hAnsi="Helvetica" w:cs="Helvetica"/>
          <w:lang w:val="en-GB"/>
        </w:rPr>
        <w:t xml:space="preserve"> withdrawal </w:t>
      </w:r>
      <w:r w:rsidR="00BF6CC0" w:rsidRPr="008A3778">
        <w:rPr>
          <w:rFonts w:ascii="Helvetica" w:eastAsia="HGMaruGothicMPRO" w:hAnsi="Helvetica" w:cs="Helvetica"/>
          <w:lang w:val="en-GB"/>
        </w:rPr>
        <w:lastRenderedPageBreak/>
        <w:t>benefit was</w:t>
      </w:r>
      <w:r w:rsidR="00C51AC8" w:rsidRPr="008A3778">
        <w:rPr>
          <w:rFonts w:ascii="Helvetica" w:eastAsia="HGMaruGothicMPRO" w:hAnsi="Helvetica" w:cs="Helvetica"/>
          <w:lang w:val="en-GB"/>
        </w:rPr>
        <w:t xml:space="preserve"> placed </w:t>
      </w:r>
      <w:r w:rsidR="00FE118E" w:rsidRPr="008A3778">
        <w:rPr>
          <w:rFonts w:ascii="Helvetica" w:eastAsia="HGMaruGothicMPRO" w:hAnsi="Helvetica" w:cs="Helvetica"/>
          <w:lang w:val="en-GB"/>
        </w:rPr>
        <w:t>in</w:t>
      </w:r>
      <w:r w:rsidR="00585BDB" w:rsidRPr="008A3778">
        <w:rPr>
          <w:rFonts w:ascii="Helvetica" w:eastAsia="HGMaruGothicMPRO" w:hAnsi="Helvetica" w:cs="Helvetica"/>
          <w:lang w:val="en-GB"/>
        </w:rPr>
        <w:t>to</w:t>
      </w:r>
      <w:r w:rsidR="00FE118E" w:rsidRPr="008A3778">
        <w:rPr>
          <w:rFonts w:ascii="Helvetica" w:eastAsia="HGMaruGothicMPRO" w:hAnsi="Helvetica" w:cs="Helvetica"/>
          <w:lang w:val="en-GB"/>
        </w:rPr>
        <w:t xml:space="preserve"> a money market account</w:t>
      </w:r>
      <w:r w:rsidR="008E5DC9" w:rsidRPr="008A3778">
        <w:rPr>
          <w:rFonts w:ascii="Helvetica" w:eastAsia="HGMaruGothicMPRO" w:hAnsi="Helvetica" w:cs="Helvetica"/>
          <w:lang w:val="en-GB"/>
        </w:rPr>
        <w:t xml:space="preserve">. </w:t>
      </w:r>
      <w:r w:rsidR="00315DCD" w:rsidRPr="008A3778">
        <w:rPr>
          <w:rFonts w:ascii="Helvetica" w:eastAsia="HGMaruGothicMPRO" w:hAnsi="Helvetica" w:cs="Helvetica"/>
          <w:lang w:val="en-GB"/>
        </w:rPr>
        <w:t>In this regard, a</w:t>
      </w:r>
      <w:r w:rsidR="008E5DC9" w:rsidRPr="008A3778">
        <w:rPr>
          <w:rFonts w:ascii="Helvetica" w:eastAsia="HGMaruGothicMPRO" w:hAnsi="Helvetica" w:cs="Helvetica"/>
          <w:lang w:val="en-GB"/>
        </w:rPr>
        <w:t xml:space="preserve"> dispute exists</w:t>
      </w:r>
      <w:r w:rsidR="00A030F7" w:rsidRPr="008A3778">
        <w:rPr>
          <w:rFonts w:ascii="Helvetica" w:eastAsia="HGMaruGothicMPRO" w:hAnsi="Helvetica" w:cs="Helvetica"/>
          <w:lang w:val="en-GB"/>
        </w:rPr>
        <w:t xml:space="preserve"> in the application</w:t>
      </w:r>
      <w:r w:rsidR="008E5DC9" w:rsidRPr="008A3778">
        <w:rPr>
          <w:rFonts w:ascii="Helvetica" w:eastAsia="HGMaruGothicMPRO" w:hAnsi="Helvetica" w:cs="Helvetica"/>
          <w:lang w:val="en-GB"/>
        </w:rPr>
        <w:t xml:space="preserve"> </w:t>
      </w:r>
      <w:r w:rsidR="00047755" w:rsidRPr="008A3778">
        <w:rPr>
          <w:rFonts w:ascii="Helvetica" w:eastAsia="HGMaruGothicMPRO" w:hAnsi="Helvetica" w:cs="Helvetica"/>
          <w:lang w:val="en-GB"/>
        </w:rPr>
        <w:t xml:space="preserve">regarding: </w:t>
      </w:r>
      <w:r w:rsidR="00F5070A" w:rsidRPr="008A3778">
        <w:rPr>
          <w:rFonts w:ascii="Helvetica" w:eastAsia="HGMaruGothicMPRO" w:hAnsi="Helvetica" w:cs="Helvetica"/>
          <w:lang w:val="en-GB"/>
        </w:rPr>
        <w:t xml:space="preserve">(i) </w:t>
      </w:r>
      <w:r w:rsidR="008E5DC9" w:rsidRPr="008A3778">
        <w:rPr>
          <w:rFonts w:ascii="Helvetica" w:eastAsia="HGMaruGothicMPRO" w:hAnsi="Helvetica" w:cs="Helvetica"/>
          <w:lang w:val="en-GB"/>
        </w:rPr>
        <w:t>who was the</w:t>
      </w:r>
      <w:r w:rsidR="00F95181" w:rsidRPr="008A3778">
        <w:rPr>
          <w:rFonts w:ascii="Helvetica" w:eastAsia="HGMaruGothicMPRO" w:hAnsi="Helvetica" w:cs="Helvetica"/>
          <w:lang w:val="en-GB"/>
        </w:rPr>
        <w:t xml:space="preserve"> </w:t>
      </w:r>
      <w:r w:rsidR="004F4EDE">
        <w:rPr>
          <w:rFonts w:ascii="Helvetica" w:eastAsia="HGMaruGothicMPRO" w:hAnsi="Helvetica" w:cs="Helvetica"/>
          <w:lang w:val="en-GB"/>
        </w:rPr>
        <w:t xml:space="preserve">money </w:t>
      </w:r>
      <w:r w:rsidR="00F95181" w:rsidRPr="008A3778">
        <w:rPr>
          <w:rFonts w:ascii="Helvetica" w:eastAsia="HGMaruGothicMPRO" w:hAnsi="Helvetica" w:cs="Helvetica"/>
          <w:lang w:val="en-GB"/>
        </w:rPr>
        <w:t xml:space="preserve">market </w:t>
      </w:r>
      <w:r w:rsidR="008E5DC9" w:rsidRPr="008A3778">
        <w:rPr>
          <w:rFonts w:ascii="Helvetica" w:eastAsia="HGMaruGothicMPRO" w:hAnsi="Helvetica" w:cs="Helvetica"/>
          <w:lang w:val="en-GB"/>
        </w:rPr>
        <w:t>account holder</w:t>
      </w:r>
      <w:r w:rsidR="00315DCD" w:rsidRPr="008A3778">
        <w:rPr>
          <w:rFonts w:ascii="Helvetica" w:eastAsia="HGMaruGothicMPRO" w:hAnsi="Helvetica" w:cs="Helvetica"/>
          <w:lang w:val="en-GB"/>
        </w:rPr>
        <w:t>,</w:t>
      </w:r>
      <w:r w:rsidR="00F5070A" w:rsidRPr="008A3778">
        <w:rPr>
          <w:rFonts w:ascii="Helvetica" w:eastAsia="HGMaruGothicMPRO" w:hAnsi="Helvetica" w:cs="Helvetica"/>
          <w:lang w:val="en-GB"/>
        </w:rPr>
        <w:t xml:space="preserve"> and (ii) whether, at th</w:t>
      </w:r>
      <w:r w:rsidR="003720EE">
        <w:rPr>
          <w:rFonts w:ascii="Helvetica" w:eastAsia="HGMaruGothicMPRO" w:hAnsi="Helvetica" w:cs="Helvetica"/>
          <w:lang w:val="en-GB"/>
        </w:rPr>
        <w:t>at</w:t>
      </w:r>
      <w:r w:rsidR="00F5070A" w:rsidRPr="008A3778">
        <w:rPr>
          <w:rFonts w:ascii="Helvetica" w:eastAsia="HGMaruGothicMPRO" w:hAnsi="Helvetica" w:cs="Helvetica"/>
          <w:lang w:val="en-GB"/>
        </w:rPr>
        <w:t xml:space="preserve"> time and because of th</w:t>
      </w:r>
      <w:r w:rsidR="003720EE">
        <w:rPr>
          <w:rFonts w:ascii="Helvetica" w:eastAsia="HGMaruGothicMPRO" w:hAnsi="Helvetica" w:cs="Helvetica"/>
          <w:lang w:val="en-GB"/>
        </w:rPr>
        <w:t>at</w:t>
      </w:r>
      <w:r w:rsidR="00F5070A" w:rsidRPr="008A3778">
        <w:rPr>
          <w:rFonts w:ascii="Helvetica" w:eastAsia="HGMaruGothicMPRO" w:hAnsi="Helvetica" w:cs="Helvetica"/>
          <w:lang w:val="en-GB"/>
        </w:rPr>
        <w:t xml:space="preserve"> event, the benefit accrued to the joint estate</w:t>
      </w:r>
      <w:r w:rsidR="008E5DC9" w:rsidRPr="008A3778">
        <w:rPr>
          <w:rFonts w:ascii="Helvetica" w:eastAsia="HGMaruGothicMPRO" w:hAnsi="Helvetica" w:cs="Helvetica"/>
          <w:lang w:val="en-GB"/>
        </w:rPr>
        <w:t xml:space="preserve">. </w:t>
      </w:r>
    </w:p>
    <w:p w14:paraId="44E22F67" w14:textId="21912EE4" w:rsidR="00585BDB" w:rsidRPr="008A3778" w:rsidRDefault="00585BDB" w:rsidP="00585BDB">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Ms. Collatz asserts that the funds represented by the withdrawal benefit remained the only asset of any substance in Mr. Collatz’s and her joint estate. As such and within the context of their contested divorce action and her accompanying fears that Mr. Collatz was dissipating assets, Ms. Collatz claims that during late July / August 2008,</w:t>
      </w:r>
      <w:r w:rsidR="002B0FB3">
        <w:rPr>
          <w:rFonts w:ascii="Helvetica" w:eastAsia="HGMaruGothicMPRO" w:hAnsi="Helvetica" w:cs="Helvetica"/>
          <w:lang w:val="en-GB"/>
        </w:rPr>
        <w:t xml:space="preserve"> she,</w:t>
      </w:r>
      <w:r w:rsidRPr="008A3778">
        <w:rPr>
          <w:rFonts w:ascii="Helvetica" w:eastAsia="HGMaruGothicMPRO" w:hAnsi="Helvetica" w:cs="Helvetica"/>
          <w:lang w:val="en-GB"/>
        </w:rPr>
        <w:t xml:space="preserve"> Mr. Collatz, </w:t>
      </w:r>
      <w:r w:rsidR="002B0FB3">
        <w:rPr>
          <w:rFonts w:ascii="Helvetica" w:eastAsia="HGMaruGothicMPRO" w:hAnsi="Helvetica" w:cs="Helvetica"/>
          <w:lang w:val="en-GB"/>
        </w:rPr>
        <w:t xml:space="preserve">and </w:t>
      </w:r>
      <w:r w:rsidRPr="008A3778">
        <w:rPr>
          <w:rFonts w:ascii="Helvetica" w:eastAsia="HGMaruGothicMPRO" w:hAnsi="Helvetica" w:cs="Helvetica"/>
          <w:lang w:val="en-GB"/>
        </w:rPr>
        <w:t xml:space="preserve">one Mr. Bakos (claimed by </w:t>
      </w:r>
      <w:r w:rsidR="003720EE">
        <w:rPr>
          <w:rFonts w:ascii="Helvetica" w:eastAsia="HGMaruGothicMPRO" w:hAnsi="Helvetica" w:cs="Helvetica"/>
          <w:lang w:val="en-GB"/>
        </w:rPr>
        <w:t xml:space="preserve">Ms. Collatz </w:t>
      </w:r>
      <w:r w:rsidRPr="008A3778">
        <w:rPr>
          <w:rFonts w:ascii="Helvetica" w:eastAsia="HGMaruGothicMPRO" w:hAnsi="Helvetica" w:cs="Helvetica"/>
          <w:lang w:val="en-GB"/>
        </w:rPr>
        <w:t xml:space="preserve">to have represented the first respondent, albeit employed by </w:t>
      </w:r>
      <w:r w:rsidR="002B0FB3">
        <w:rPr>
          <w:rFonts w:ascii="Helvetica" w:eastAsia="HGMaruGothicMPRO" w:hAnsi="Helvetica" w:cs="Helvetica"/>
          <w:lang w:val="en-GB"/>
        </w:rPr>
        <w:t xml:space="preserve">a </w:t>
      </w:r>
      <w:r w:rsidRPr="008A3778">
        <w:rPr>
          <w:rFonts w:ascii="Helvetica" w:eastAsia="HGMaruGothicMPRO" w:hAnsi="Helvetica" w:cs="Helvetica"/>
          <w:lang w:val="en-GB"/>
        </w:rPr>
        <w:t>separate entity</w:t>
      </w:r>
      <w:r w:rsidR="002B0FB3">
        <w:rPr>
          <w:rFonts w:ascii="Helvetica" w:eastAsia="HGMaruGothicMPRO" w:hAnsi="Helvetica" w:cs="Helvetica"/>
          <w:lang w:val="en-GB"/>
        </w:rPr>
        <w:t xml:space="preserve"> and who is not cited as a party in the litigation</w:t>
      </w:r>
      <w:r w:rsidRPr="008A3778">
        <w:rPr>
          <w:rFonts w:ascii="Helvetica" w:eastAsia="HGMaruGothicMPRO" w:hAnsi="Helvetica" w:cs="Helvetica"/>
          <w:lang w:val="en-GB"/>
        </w:rPr>
        <w:t xml:space="preserve">), reached an agreement. The terms of the agreement </w:t>
      </w:r>
      <w:r w:rsidR="003720EE">
        <w:rPr>
          <w:rFonts w:ascii="Helvetica" w:eastAsia="HGMaruGothicMPRO" w:hAnsi="Helvetica" w:cs="Helvetica"/>
          <w:lang w:val="en-GB"/>
        </w:rPr>
        <w:t xml:space="preserve">is said </w:t>
      </w:r>
      <w:r w:rsidRPr="008A3778">
        <w:rPr>
          <w:rFonts w:ascii="Helvetica" w:eastAsia="HGMaruGothicMPRO" w:hAnsi="Helvetica" w:cs="Helvetica"/>
          <w:lang w:val="en-GB"/>
        </w:rPr>
        <w:t>to be to the effect that the cash proceeds of the withdrawal benefit</w:t>
      </w:r>
      <w:r w:rsidR="00625EE3">
        <w:rPr>
          <w:rFonts w:ascii="Helvetica" w:eastAsia="HGMaruGothicMPRO" w:hAnsi="Helvetica" w:cs="Helvetica"/>
          <w:lang w:val="en-GB"/>
        </w:rPr>
        <w:t>:</w:t>
      </w:r>
      <w:r w:rsidRPr="008A3778">
        <w:rPr>
          <w:rFonts w:ascii="Helvetica" w:eastAsia="HGMaruGothicMPRO" w:hAnsi="Helvetica" w:cs="Helvetica"/>
          <w:lang w:val="en-GB"/>
        </w:rPr>
        <w:t xml:space="preserve"> (i) would be transferred to and held in a “</w:t>
      </w:r>
      <w:r w:rsidRPr="008A3778">
        <w:rPr>
          <w:rFonts w:ascii="Helvetica" w:eastAsia="HGMaruGothicMPRO" w:hAnsi="Helvetica" w:cs="Helvetica"/>
          <w:i/>
          <w:iCs/>
          <w:lang w:val="en-GB"/>
        </w:rPr>
        <w:t>preservation fund</w:t>
      </w:r>
      <w:r w:rsidRPr="008A3778">
        <w:rPr>
          <w:rFonts w:ascii="Helvetica" w:eastAsia="HGMaruGothicMPRO" w:hAnsi="Helvetica" w:cs="Helvetica"/>
          <w:lang w:val="en-GB"/>
        </w:rPr>
        <w:t xml:space="preserve">”, and (ii) could not be accessed and/or dealt with by either of the Collatzs pending the outcome or settlement of their divorce action. </w:t>
      </w:r>
    </w:p>
    <w:p w14:paraId="0CAE9B74" w14:textId="43723B4E" w:rsidR="00214126" w:rsidRPr="008A3778" w:rsidRDefault="00585BDB"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D</w:t>
      </w:r>
      <w:r w:rsidR="00591FC4" w:rsidRPr="008A3778">
        <w:rPr>
          <w:rFonts w:ascii="Helvetica" w:eastAsia="HGMaruGothicMPRO" w:hAnsi="Helvetica" w:cs="Helvetica"/>
          <w:lang w:val="en-GB"/>
        </w:rPr>
        <w:t>uring</w:t>
      </w:r>
      <w:r w:rsidR="009975F1" w:rsidRPr="008A3778">
        <w:rPr>
          <w:rFonts w:ascii="Helvetica" w:eastAsia="HGMaruGothicMPRO" w:hAnsi="Helvetica" w:cs="Helvetica"/>
          <w:lang w:val="en-GB"/>
        </w:rPr>
        <w:t xml:space="preserve"> October 2008</w:t>
      </w:r>
      <w:r w:rsidR="009B61E0" w:rsidRPr="008A3778">
        <w:rPr>
          <w:rFonts w:ascii="Helvetica" w:eastAsia="HGMaruGothicMPRO" w:hAnsi="Helvetica" w:cs="Helvetica"/>
          <w:lang w:val="en-GB"/>
        </w:rPr>
        <w:t>,</w:t>
      </w:r>
      <w:r w:rsidR="009975F1" w:rsidRPr="008A3778">
        <w:rPr>
          <w:rFonts w:ascii="Helvetica" w:eastAsia="HGMaruGothicMPRO" w:hAnsi="Helvetica" w:cs="Helvetica"/>
          <w:lang w:val="en-GB"/>
        </w:rPr>
        <w:t xml:space="preserve"> </w:t>
      </w:r>
      <w:r w:rsidR="00591FC4" w:rsidRPr="008A3778">
        <w:rPr>
          <w:rFonts w:ascii="Helvetica" w:eastAsia="HGMaruGothicMPRO" w:hAnsi="Helvetica" w:cs="Helvetica"/>
          <w:lang w:val="en-GB"/>
        </w:rPr>
        <w:t>t</w:t>
      </w:r>
      <w:r w:rsidR="00951945" w:rsidRPr="008A3778">
        <w:rPr>
          <w:rFonts w:ascii="Helvetica" w:eastAsia="HGMaruGothicMPRO" w:hAnsi="Helvetica" w:cs="Helvetica"/>
          <w:lang w:val="en-GB"/>
        </w:rPr>
        <w:t>he</w:t>
      </w:r>
      <w:r w:rsidR="009B61E0" w:rsidRPr="008A3778">
        <w:rPr>
          <w:rFonts w:ascii="Helvetica" w:eastAsia="HGMaruGothicMPRO" w:hAnsi="Helvetica" w:cs="Helvetica"/>
          <w:lang w:val="en-GB"/>
        </w:rPr>
        <w:t xml:space="preserve"> withdrawal benefit was </w:t>
      </w:r>
      <w:r w:rsidR="00E3564F" w:rsidRPr="008A3778">
        <w:rPr>
          <w:rFonts w:ascii="Helvetica" w:eastAsia="HGMaruGothicMPRO" w:hAnsi="Helvetica" w:cs="Helvetica"/>
          <w:lang w:val="en-GB"/>
        </w:rPr>
        <w:t>transferred to</w:t>
      </w:r>
      <w:r w:rsidR="004A32D6" w:rsidRPr="008A3778">
        <w:rPr>
          <w:rFonts w:ascii="Helvetica" w:eastAsia="HGMaruGothicMPRO" w:hAnsi="Helvetica" w:cs="Helvetica"/>
          <w:lang w:val="en-GB"/>
        </w:rPr>
        <w:t xml:space="preserve"> </w:t>
      </w:r>
      <w:r w:rsidR="00285DF9" w:rsidRPr="008A3778">
        <w:rPr>
          <w:rFonts w:ascii="Helvetica" w:eastAsia="HGMaruGothicMPRO" w:hAnsi="Helvetica" w:cs="Helvetica"/>
          <w:lang w:val="en-GB"/>
        </w:rPr>
        <w:t>a</w:t>
      </w:r>
      <w:r w:rsidR="00A030F7" w:rsidRPr="008A3778">
        <w:rPr>
          <w:rFonts w:ascii="Helvetica" w:eastAsia="HGMaruGothicMPRO" w:hAnsi="Helvetica" w:cs="Helvetica"/>
          <w:lang w:val="en-GB"/>
        </w:rPr>
        <w:t xml:space="preserve"> (retirement)</w:t>
      </w:r>
      <w:r w:rsidR="00285DF9" w:rsidRPr="008A3778">
        <w:rPr>
          <w:rFonts w:ascii="Helvetica" w:eastAsia="HGMaruGothicMPRO" w:hAnsi="Helvetica" w:cs="Helvetica"/>
          <w:lang w:val="en-GB"/>
        </w:rPr>
        <w:t xml:space="preserve"> </w:t>
      </w:r>
      <w:r w:rsidR="00BB0C87" w:rsidRPr="008A3778">
        <w:rPr>
          <w:rFonts w:ascii="Helvetica" w:eastAsia="HGMaruGothicMPRO" w:hAnsi="Helvetica" w:cs="Helvetica"/>
          <w:lang w:val="en-GB"/>
        </w:rPr>
        <w:t>annuity</w:t>
      </w:r>
      <w:r w:rsidR="00285DF9" w:rsidRPr="008A3778">
        <w:rPr>
          <w:rFonts w:ascii="Helvetica" w:eastAsia="HGMaruGothicMPRO" w:hAnsi="Helvetica" w:cs="Helvetica"/>
          <w:lang w:val="en-GB"/>
        </w:rPr>
        <w:t xml:space="preserve"> fund </w:t>
      </w:r>
      <w:r w:rsidR="00BB0B20" w:rsidRPr="008A3778">
        <w:rPr>
          <w:rFonts w:ascii="Helvetica" w:eastAsia="HGMaruGothicMPRO" w:hAnsi="Helvetica" w:cs="Helvetica"/>
          <w:lang w:val="en-GB"/>
        </w:rPr>
        <w:t>with the second</w:t>
      </w:r>
      <w:r w:rsidR="005A0559" w:rsidRPr="008A3778">
        <w:rPr>
          <w:rFonts w:ascii="Helvetica" w:eastAsia="HGMaruGothicMPRO" w:hAnsi="Helvetica" w:cs="Helvetica"/>
          <w:lang w:val="en-GB"/>
        </w:rPr>
        <w:t xml:space="preserve"> respondent</w:t>
      </w:r>
      <w:r w:rsidR="00EB5DE5" w:rsidRPr="008A3778">
        <w:rPr>
          <w:rFonts w:ascii="Helvetica" w:eastAsia="HGMaruGothicMPRO" w:hAnsi="Helvetica" w:cs="Helvetica"/>
          <w:lang w:val="en-GB"/>
        </w:rPr>
        <w:t xml:space="preserve"> and invested </w:t>
      </w:r>
      <w:r w:rsidR="00687B3C" w:rsidRPr="008A3778">
        <w:rPr>
          <w:rFonts w:ascii="Helvetica" w:eastAsia="HGMaruGothicMPRO" w:hAnsi="Helvetica" w:cs="Helvetica"/>
          <w:lang w:val="en-GB"/>
        </w:rPr>
        <w:t xml:space="preserve">as </w:t>
      </w:r>
      <w:r w:rsidR="00EB5DE5" w:rsidRPr="008A3778">
        <w:rPr>
          <w:rFonts w:ascii="Helvetica" w:eastAsia="HGMaruGothicMPRO" w:hAnsi="Helvetica" w:cs="Helvetica"/>
          <w:lang w:val="en-GB"/>
        </w:rPr>
        <w:t xml:space="preserve">such by </w:t>
      </w:r>
      <w:r w:rsidR="003C7641" w:rsidRPr="008A3778">
        <w:rPr>
          <w:rFonts w:ascii="Helvetica" w:eastAsia="HGMaruGothicMPRO" w:hAnsi="Helvetica" w:cs="Helvetica"/>
          <w:lang w:val="en-GB"/>
        </w:rPr>
        <w:t>Mr.</w:t>
      </w:r>
      <w:r w:rsidR="00EB5DE5" w:rsidRPr="008A3778">
        <w:rPr>
          <w:rFonts w:ascii="Helvetica" w:eastAsia="HGMaruGothicMPRO" w:hAnsi="Helvetica" w:cs="Helvetica"/>
          <w:lang w:val="en-GB"/>
        </w:rPr>
        <w:t xml:space="preserve"> Collatz </w:t>
      </w:r>
      <w:r w:rsidR="009012CE" w:rsidRPr="008A3778">
        <w:rPr>
          <w:rFonts w:ascii="Helvetica" w:eastAsia="HGMaruGothicMPRO" w:hAnsi="Helvetica" w:cs="Helvetica"/>
          <w:lang w:val="en-GB"/>
        </w:rPr>
        <w:t>“</w:t>
      </w:r>
      <w:r w:rsidR="009012CE" w:rsidRPr="008A3778">
        <w:rPr>
          <w:rFonts w:ascii="Helvetica" w:eastAsia="HGMaruGothicMPRO" w:hAnsi="Helvetica" w:cs="Helvetica"/>
          <w:i/>
          <w:iCs/>
          <w:lang w:val="en-GB"/>
        </w:rPr>
        <w:t>as his ‘own funds’ in his ‘own name’</w:t>
      </w:r>
      <w:r w:rsidR="009012CE" w:rsidRPr="008A3778">
        <w:rPr>
          <w:rFonts w:ascii="Helvetica" w:eastAsia="HGMaruGothicMPRO" w:hAnsi="Helvetica" w:cs="Helvetica"/>
          <w:lang w:val="en-GB"/>
        </w:rPr>
        <w:t>”</w:t>
      </w:r>
      <w:r w:rsidR="00BB0B20" w:rsidRPr="008A3778">
        <w:rPr>
          <w:rFonts w:ascii="Helvetica" w:eastAsia="HGMaruGothicMPRO" w:hAnsi="Helvetica" w:cs="Helvetica"/>
          <w:lang w:val="en-GB"/>
        </w:rPr>
        <w:t xml:space="preserve"> (using the words of </w:t>
      </w:r>
      <w:r w:rsidR="003720EE">
        <w:rPr>
          <w:rFonts w:ascii="Helvetica" w:eastAsia="HGMaruGothicMPRO" w:hAnsi="Helvetica" w:cs="Helvetica"/>
          <w:lang w:val="en-GB"/>
        </w:rPr>
        <w:t>Ms. Collatz</w:t>
      </w:r>
      <w:r w:rsidR="00BB0B20" w:rsidRPr="008A3778">
        <w:rPr>
          <w:rFonts w:ascii="Helvetica" w:eastAsia="HGMaruGothicMPRO" w:hAnsi="Helvetica" w:cs="Helvetica"/>
          <w:lang w:val="en-GB"/>
        </w:rPr>
        <w:t xml:space="preserve">, albeit that she contends </w:t>
      </w:r>
      <w:r w:rsidR="00A030F7" w:rsidRPr="008A3778">
        <w:rPr>
          <w:rFonts w:ascii="Helvetica" w:eastAsia="HGMaruGothicMPRO" w:hAnsi="Helvetica" w:cs="Helvetica"/>
          <w:lang w:val="en-GB"/>
        </w:rPr>
        <w:t xml:space="preserve">this is </w:t>
      </w:r>
      <w:r w:rsidR="00BB0B20" w:rsidRPr="008A3778">
        <w:rPr>
          <w:rFonts w:ascii="Helvetica" w:eastAsia="HGMaruGothicMPRO" w:hAnsi="Helvetica" w:cs="Helvetica"/>
          <w:lang w:val="en-GB"/>
        </w:rPr>
        <w:t>wrongly so)</w:t>
      </w:r>
      <w:r w:rsidR="005A0559"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Ms. Collatz asserts that she did not consent to this transfer. </w:t>
      </w:r>
    </w:p>
    <w:p w14:paraId="4FE8B5A7" w14:textId="77777777" w:rsidR="003720EE" w:rsidRDefault="00214126"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As already mentioned, </w:t>
      </w:r>
      <w:bookmarkStart w:id="9" w:name="_Hlk89943484"/>
      <w:r w:rsidRPr="008A3778">
        <w:rPr>
          <w:rFonts w:ascii="Helvetica" w:eastAsia="HGMaruGothicMPRO" w:hAnsi="Helvetica" w:cs="Helvetica"/>
          <w:lang w:val="en-GB"/>
        </w:rPr>
        <w:t>Mr</w:t>
      </w:r>
      <w:r w:rsidR="00F95181" w:rsidRPr="008A3778">
        <w:rPr>
          <w:rFonts w:ascii="Helvetica" w:eastAsia="HGMaruGothicMPRO" w:hAnsi="Helvetica" w:cs="Helvetica"/>
          <w:lang w:val="en-GB"/>
        </w:rPr>
        <w:t>.</w:t>
      </w:r>
      <w:r w:rsidRPr="008A3778">
        <w:rPr>
          <w:rFonts w:ascii="Helvetica" w:eastAsia="HGMaruGothicMPRO" w:hAnsi="Helvetica" w:cs="Helvetica"/>
          <w:lang w:val="en-GB"/>
        </w:rPr>
        <w:t xml:space="preserve"> </w:t>
      </w:r>
      <w:bookmarkStart w:id="10" w:name="_Hlk88374326"/>
      <w:r w:rsidRPr="008A3778">
        <w:rPr>
          <w:rFonts w:ascii="Helvetica" w:eastAsia="HGMaruGothicMPRO" w:hAnsi="Helvetica" w:cs="Helvetica"/>
          <w:lang w:val="en-GB"/>
        </w:rPr>
        <w:t xml:space="preserve">Collatz </w:t>
      </w:r>
      <w:bookmarkEnd w:id="9"/>
      <w:bookmarkEnd w:id="10"/>
      <w:r w:rsidRPr="008A3778">
        <w:rPr>
          <w:rFonts w:ascii="Helvetica" w:eastAsia="HGMaruGothicMPRO" w:hAnsi="Helvetica" w:cs="Helvetica"/>
          <w:lang w:val="en-GB"/>
        </w:rPr>
        <w:t xml:space="preserve">passed away </w:t>
      </w:r>
      <w:r w:rsidR="003720EE">
        <w:rPr>
          <w:rFonts w:ascii="Helvetica" w:eastAsia="HGMaruGothicMPRO" w:hAnsi="Helvetica" w:cs="Helvetica"/>
          <w:lang w:val="en-GB"/>
        </w:rPr>
        <w:t xml:space="preserve">in </w:t>
      </w:r>
      <w:r w:rsidRPr="008A3778">
        <w:rPr>
          <w:rFonts w:ascii="Helvetica" w:eastAsia="HGMaruGothicMPRO" w:hAnsi="Helvetica" w:cs="Helvetica"/>
          <w:lang w:val="en-GB"/>
        </w:rPr>
        <w:t>June 2010</w:t>
      </w:r>
      <w:r w:rsidR="003F7140" w:rsidRPr="008A3778">
        <w:rPr>
          <w:rFonts w:ascii="Helvetica" w:eastAsia="HGMaruGothicMPRO" w:hAnsi="Helvetica" w:cs="Helvetica"/>
          <w:lang w:val="en-GB"/>
        </w:rPr>
        <w:t xml:space="preserve">. </w:t>
      </w:r>
      <w:r w:rsidR="00A27E38" w:rsidRPr="008A3778">
        <w:rPr>
          <w:rFonts w:ascii="Helvetica" w:eastAsia="HGMaruGothicMPRO" w:hAnsi="Helvetica" w:cs="Helvetica"/>
          <w:lang w:val="en-GB"/>
        </w:rPr>
        <w:t xml:space="preserve">Consequently, </w:t>
      </w:r>
      <w:r w:rsidR="00FC2A2C" w:rsidRPr="008A3778">
        <w:rPr>
          <w:rFonts w:ascii="Helvetica" w:eastAsia="HGMaruGothicMPRO" w:hAnsi="Helvetica" w:cs="Helvetica"/>
          <w:lang w:val="en-GB"/>
        </w:rPr>
        <w:t>M</w:t>
      </w:r>
      <w:r w:rsidR="00F95181" w:rsidRPr="008A3778">
        <w:rPr>
          <w:rFonts w:ascii="Helvetica" w:eastAsia="HGMaruGothicMPRO" w:hAnsi="Helvetica" w:cs="Helvetica"/>
          <w:lang w:val="en-GB"/>
        </w:rPr>
        <w:t>s.</w:t>
      </w:r>
      <w:r w:rsidR="00FC2A2C" w:rsidRPr="008A3778">
        <w:rPr>
          <w:rFonts w:ascii="Helvetica" w:eastAsia="HGMaruGothicMPRO" w:hAnsi="Helvetica" w:cs="Helvetica"/>
          <w:lang w:val="en-GB"/>
        </w:rPr>
        <w:t xml:space="preserve"> Collatz contends in her</w:t>
      </w:r>
      <w:r w:rsidR="00E07051" w:rsidRPr="008A3778">
        <w:rPr>
          <w:rFonts w:ascii="Helvetica" w:eastAsia="HGMaruGothicMPRO" w:hAnsi="Helvetica" w:cs="Helvetica"/>
          <w:lang w:val="en-GB"/>
        </w:rPr>
        <w:t xml:space="preserve"> founding </w:t>
      </w:r>
      <w:r w:rsidR="00FC2A2C" w:rsidRPr="008A3778">
        <w:rPr>
          <w:rFonts w:ascii="Helvetica" w:eastAsia="HGMaruGothicMPRO" w:hAnsi="Helvetica" w:cs="Helvetica"/>
          <w:lang w:val="en-GB"/>
        </w:rPr>
        <w:t xml:space="preserve">affidavit </w:t>
      </w:r>
      <w:r w:rsidR="00730C09" w:rsidRPr="008A3778">
        <w:rPr>
          <w:rFonts w:ascii="Helvetica" w:eastAsia="HGMaruGothicMPRO" w:hAnsi="Helvetica" w:cs="Helvetica"/>
          <w:lang w:val="en-GB"/>
        </w:rPr>
        <w:t xml:space="preserve">in the section 30P application </w:t>
      </w:r>
      <w:r w:rsidR="00E07051" w:rsidRPr="008A3778">
        <w:rPr>
          <w:rFonts w:ascii="Helvetica" w:eastAsia="HGMaruGothicMPRO" w:hAnsi="Helvetica" w:cs="Helvetica"/>
          <w:lang w:val="en-GB"/>
        </w:rPr>
        <w:t xml:space="preserve">that </w:t>
      </w:r>
      <w:r w:rsidR="00730C09" w:rsidRPr="008A3778">
        <w:rPr>
          <w:rFonts w:ascii="Helvetica" w:eastAsia="HGMaruGothicMPRO" w:hAnsi="Helvetica" w:cs="Helvetica"/>
          <w:lang w:val="en-GB"/>
        </w:rPr>
        <w:t xml:space="preserve">the </w:t>
      </w:r>
      <w:r w:rsidR="000D6BA3" w:rsidRPr="008A3778">
        <w:rPr>
          <w:rFonts w:ascii="Helvetica" w:eastAsia="HGMaruGothicMPRO" w:hAnsi="Helvetica" w:cs="Helvetica"/>
          <w:lang w:val="en-GB"/>
        </w:rPr>
        <w:t>withdrawal benefit</w:t>
      </w:r>
      <w:r w:rsidR="00F62139" w:rsidRPr="008A3778">
        <w:rPr>
          <w:rFonts w:ascii="Helvetica" w:eastAsia="HGMaruGothicMPRO" w:hAnsi="Helvetica" w:cs="Helvetica"/>
          <w:lang w:val="en-GB"/>
        </w:rPr>
        <w:t>, on her late husband’s retirement,</w:t>
      </w:r>
      <w:r w:rsidR="00730C09" w:rsidRPr="008A3778">
        <w:rPr>
          <w:rFonts w:ascii="Helvetica" w:eastAsia="HGMaruGothicMPRO" w:hAnsi="Helvetica" w:cs="Helvetica"/>
          <w:lang w:val="en-GB"/>
        </w:rPr>
        <w:t xml:space="preserve"> accrued to the</w:t>
      </w:r>
      <w:r w:rsidR="00850305" w:rsidRPr="008A3778">
        <w:rPr>
          <w:rFonts w:ascii="Helvetica" w:eastAsia="HGMaruGothicMPRO" w:hAnsi="Helvetica" w:cs="Helvetica"/>
          <w:lang w:val="en-GB"/>
        </w:rPr>
        <w:t>ir</w:t>
      </w:r>
      <w:r w:rsidR="00730C09" w:rsidRPr="008A3778">
        <w:rPr>
          <w:rFonts w:ascii="Helvetica" w:eastAsia="HGMaruGothicMPRO" w:hAnsi="Helvetica" w:cs="Helvetica"/>
          <w:lang w:val="en-GB"/>
        </w:rPr>
        <w:t xml:space="preserve"> joint estate and that </w:t>
      </w:r>
      <w:r w:rsidR="00850305" w:rsidRPr="008A3778">
        <w:rPr>
          <w:rFonts w:ascii="Helvetica" w:eastAsia="HGMaruGothicMPRO" w:hAnsi="Helvetica" w:cs="Helvetica"/>
          <w:lang w:val="en-GB"/>
        </w:rPr>
        <w:t xml:space="preserve">she </w:t>
      </w:r>
      <w:r w:rsidR="00007EEB" w:rsidRPr="008A3778">
        <w:rPr>
          <w:rFonts w:ascii="Helvetica" w:eastAsia="HGMaruGothicMPRO" w:hAnsi="Helvetica" w:cs="Helvetica"/>
          <w:lang w:val="en-GB"/>
        </w:rPr>
        <w:t>ha</w:t>
      </w:r>
      <w:r w:rsidR="00E07051" w:rsidRPr="008A3778">
        <w:rPr>
          <w:rFonts w:ascii="Helvetica" w:eastAsia="HGMaruGothicMPRO" w:hAnsi="Helvetica" w:cs="Helvetica"/>
          <w:lang w:val="en-GB"/>
        </w:rPr>
        <w:t>s</w:t>
      </w:r>
      <w:r w:rsidR="00007EEB" w:rsidRPr="008A3778">
        <w:rPr>
          <w:rFonts w:ascii="Helvetica" w:eastAsia="HGMaruGothicMPRO" w:hAnsi="Helvetica" w:cs="Helvetica"/>
          <w:lang w:val="en-GB"/>
        </w:rPr>
        <w:t xml:space="preserve"> </w:t>
      </w:r>
      <w:r w:rsidR="000D6BA3" w:rsidRPr="008A3778">
        <w:rPr>
          <w:rFonts w:ascii="Helvetica" w:eastAsia="HGMaruGothicMPRO" w:hAnsi="Helvetica" w:cs="Helvetica"/>
          <w:lang w:val="en-GB"/>
        </w:rPr>
        <w:t xml:space="preserve">a </w:t>
      </w:r>
      <w:r w:rsidR="00007EEB" w:rsidRPr="008A3778">
        <w:rPr>
          <w:rFonts w:ascii="Helvetica" w:eastAsia="HGMaruGothicMPRO" w:hAnsi="Helvetica" w:cs="Helvetica"/>
          <w:lang w:val="en-GB"/>
        </w:rPr>
        <w:t>claim</w:t>
      </w:r>
      <w:r w:rsidR="00E07051" w:rsidRPr="008A3778">
        <w:rPr>
          <w:rFonts w:ascii="Helvetica" w:eastAsia="HGMaruGothicMPRO" w:hAnsi="Helvetica" w:cs="Helvetica"/>
          <w:lang w:val="en-GB"/>
        </w:rPr>
        <w:t xml:space="preserve"> to </w:t>
      </w:r>
      <w:r w:rsidR="00FA7B21" w:rsidRPr="008A3778">
        <w:rPr>
          <w:rFonts w:ascii="Helvetica" w:eastAsia="HGMaruGothicMPRO" w:hAnsi="Helvetica" w:cs="Helvetica"/>
          <w:lang w:val="en-GB"/>
        </w:rPr>
        <w:t xml:space="preserve">a half-share of </w:t>
      </w:r>
      <w:r w:rsidR="00E07051" w:rsidRPr="008A3778">
        <w:rPr>
          <w:rFonts w:ascii="Helvetica" w:eastAsia="HGMaruGothicMPRO" w:hAnsi="Helvetica" w:cs="Helvetica"/>
          <w:lang w:val="en-GB"/>
        </w:rPr>
        <w:t>such proceeds</w:t>
      </w:r>
      <w:r w:rsidR="00850305" w:rsidRPr="008A3778">
        <w:rPr>
          <w:rFonts w:ascii="Helvetica" w:eastAsia="HGMaruGothicMPRO" w:hAnsi="Helvetica" w:cs="Helvetica"/>
          <w:lang w:val="en-GB"/>
        </w:rPr>
        <w:t>.</w:t>
      </w:r>
      <w:r w:rsidR="00E07051" w:rsidRPr="008A3778">
        <w:rPr>
          <w:rFonts w:ascii="Helvetica" w:eastAsia="HGMaruGothicMPRO" w:hAnsi="Helvetica" w:cs="Helvetica"/>
          <w:lang w:val="en-GB"/>
        </w:rPr>
        <w:t xml:space="preserve"> </w:t>
      </w:r>
    </w:p>
    <w:p w14:paraId="47F6F36A" w14:textId="32B4BB94" w:rsidR="005A1337" w:rsidRPr="00561502" w:rsidRDefault="00B64886" w:rsidP="003720EE">
      <w:pPr>
        <w:numPr>
          <w:ilvl w:val="0"/>
          <w:numId w:val="1"/>
        </w:numPr>
        <w:spacing w:after="360" w:line="360" w:lineRule="auto"/>
        <w:ind w:left="720" w:right="-151" w:hanging="720"/>
        <w:jc w:val="both"/>
        <w:rPr>
          <w:rFonts w:ascii="Helvetica" w:eastAsia="HGMaruGothicMPRO" w:hAnsi="Helvetica" w:cs="Helvetica"/>
          <w:lang w:val="en-GB"/>
        </w:rPr>
      </w:pPr>
      <w:r w:rsidRPr="003720EE">
        <w:rPr>
          <w:rFonts w:ascii="Helvetica" w:eastAsia="HGMaruGothicMPRO" w:hAnsi="Helvetica" w:cs="Helvetica"/>
          <w:lang w:val="en-GB"/>
        </w:rPr>
        <w:t xml:space="preserve">Her claims </w:t>
      </w:r>
      <w:r w:rsidR="00D70060" w:rsidRPr="003720EE">
        <w:rPr>
          <w:rFonts w:ascii="Helvetica" w:eastAsia="HGMaruGothicMPRO" w:hAnsi="Helvetica" w:cs="Helvetica"/>
          <w:lang w:val="en-GB"/>
        </w:rPr>
        <w:t xml:space="preserve">and approaches in this regard </w:t>
      </w:r>
      <w:r w:rsidRPr="003720EE">
        <w:rPr>
          <w:rFonts w:ascii="Helvetica" w:eastAsia="HGMaruGothicMPRO" w:hAnsi="Helvetica" w:cs="Helvetica"/>
          <w:lang w:val="en-GB"/>
        </w:rPr>
        <w:t>we</w:t>
      </w:r>
      <w:r w:rsidR="009A7AE9" w:rsidRPr="003720EE">
        <w:rPr>
          <w:rFonts w:ascii="Helvetica" w:eastAsia="HGMaruGothicMPRO" w:hAnsi="Helvetica" w:cs="Helvetica"/>
          <w:lang w:val="en-GB"/>
        </w:rPr>
        <w:t>re</w:t>
      </w:r>
      <w:r w:rsidR="00D70060" w:rsidRPr="003720EE">
        <w:rPr>
          <w:rFonts w:ascii="Helvetica" w:eastAsia="HGMaruGothicMPRO" w:hAnsi="Helvetica" w:cs="Helvetica"/>
          <w:lang w:val="en-GB"/>
        </w:rPr>
        <w:t xml:space="preserve"> rebuffed</w:t>
      </w:r>
      <w:r w:rsidR="003720EE" w:rsidRPr="003720EE">
        <w:rPr>
          <w:rFonts w:ascii="Helvetica" w:eastAsia="HGMaruGothicMPRO" w:hAnsi="Helvetica" w:cs="Helvetica"/>
          <w:lang w:val="en-GB"/>
        </w:rPr>
        <w:t xml:space="preserve"> such that </w:t>
      </w:r>
      <w:r w:rsidR="003720EE">
        <w:rPr>
          <w:rFonts w:ascii="Helvetica" w:eastAsia="HGMaruGothicMPRO" w:hAnsi="Helvetica" w:cs="Helvetica"/>
          <w:lang w:val="en-GB"/>
        </w:rPr>
        <w:t>d</w:t>
      </w:r>
      <w:r w:rsidR="00DD6FD0" w:rsidRPr="003720EE">
        <w:rPr>
          <w:rFonts w:ascii="Helvetica" w:eastAsia="HGMaruGothicMPRO" w:hAnsi="Helvetica" w:cs="Helvetica"/>
          <w:lang w:val="en-GB"/>
        </w:rPr>
        <w:t xml:space="preserve">uring </w:t>
      </w:r>
      <w:r w:rsidR="00A2608B" w:rsidRPr="003720EE">
        <w:rPr>
          <w:rFonts w:ascii="Helvetica" w:eastAsia="HGMaruGothicMPRO" w:hAnsi="Helvetica" w:cs="Helvetica"/>
          <w:lang w:val="en-GB"/>
        </w:rPr>
        <w:t xml:space="preserve">late </w:t>
      </w:r>
      <w:r w:rsidR="00DD6FD0" w:rsidRPr="003720EE">
        <w:rPr>
          <w:rFonts w:ascii="Helvetica" w:eastAsia="HGMaruGothicMPRO" w:hAnsi="Helvetica" w:cs="Helvetica"/>
          <w:lang w:val="en-GB"/>
        </w:rPr>
        <w:t>November 2011</w:t>
      </w:r>
      <w:r w:rsidR="009D4ED7" w:rsidRPr="008443D6">
        <w:rPr>
          <w:rFonts w:ascii="Helvetica" w:eastAsia="HGMaruGothicMPRO" w:hAnsi="Helvetica" w:cs="Helvetica"/>
          <w:lang w:val="en-GB"/>
        </w:rPr>
        <w:t xml:space="preserve"> and in the circumstances set out above</w:t>
      </w:r>
      <w:r w:rsidR="00DD6FD0" w:rsidRPr="008443D6">
        <w:rPr>
          <w:rFonts w:ascii="Helvetica" w:eastAsia="HGMaruGothicMPRO" w:hAnsi="Helvetica" w:cs="Helvetica"/>
          <w:lang w:val="en-GB"/>
        </w:rPr>
        <w:t>, the first appellant (in her personal</w:t>
      </w:r>
      <w:r w:rsidR="00DD6FD0" w:rsidRPr="00CD776B">
        <w:rPr>
          <w:rFonts w:ascii="Helvetica" w:hAnsi="Helvetica" w:cs="Helvetica"/>
          <w:lang w:val="en-GB"/>
        </w:rPr>
        <w:t xml:space="preserve"> capacity) submitted a </w:t>
      </w:r>
      <w:r w:rsidR="0082783C" w:rsidRPr="000F527A">
        <w:rPr>
          <w:rFonts w:ascii="Helvetica" w:hAnsi="Helvetica" w:cs="Helvetica"/>
          <w:lang w:val="en-GB"/>
        </w:rPr>
        <w:t>lengthy</w:t>
      </w:r>
      <w:r w:rsidR="00585BDB" w:rsidRPr="006F7494">
        <w:rPr>
          <w:rFonts w:ascii="Helvetica" w:hAnsi="Helvetica" w:cs="Helvetica"/>
          <w:lang w:val="en-GB"/>
        </w:rPr>
        <w:t xml:space="preserve">, and at times needlessly repetitive and </w:t>
      </w:r>
      <w:r w:rsidR="00047755" w:rsidRPr="00023D47">
        <w:rPr>
          <w:rFonts w:ascii="Helvetica" w:hAnsi="Helvetica" w:cs="Helvetica"/>
          <w:lang w:val="en-GB"/>
        </w:rPr>
        <w:t>often</w:t>
      </w:r>
      <w:r w:rsidR="000B3EBF" w:rsidRPr="003D368F">
        <w:rPr>
          <w:rFonts w:ascii="Helvetica" w:hAnsi="Helvetica" w:cs="Helvetica"/>
          <w:lang w:val="en-GB"/>
        </w:rPr>
        <w:t xml:space="preserve"> </w:t>
      </w:r>
      <w:r w:rsidR="00585BDB" w:rsidRPr="003D368F">
        <w:rPr>
          <w:rFonts w:ascii="Helvetica" w:hAnsi="Helvetica" w:cs="Helvetica"/>
          <w:lang w:val="en-GB"/>
        </w:rPr>
        <w:t>difficult to read,</w:t>
      </w:r>
      <w:r w:rsidR="00A2608B" w:rsidRPr="00084462">
        <w:rPr>
          <w:rFonts w:ascii="Helvetica" w:hAnsi="Helvetica" w:cs="Helvetica"/>
          <w:lang w:val="en-GB"/>
        </w:rPr>
        <w:t xml:space="preserve"> </w:t>
      </w:r>
      <w:r w:rsidR="0082783C" w:rsidRPr="00084462">
        <w:rPr>
          <w:rFonts w:ascii="Helvetica" w:hAnsi="Helvetica" w:cs="Helvetica"/>
          <w:lang w:val="en-GB"/>
        </w:rPr>
        <w:t xml:space="preserve">written </w:t>
      </w:r>
      <w:r w:rsidR="00DD6FD0" w:rsidRPr="00084462">
        <w:rPr>
          <w:rFonts w:ascii="Helvetica" w:hAnsi="Helvetica" w:cs="Helvetica"/>
          <w:lang w:val="en-GB"/>
        </w:rPr>
        <w:t>complaint to the Adjudicator</w:t>
      </w:r>
      <w:r w:rsidR="009D4ED7" w:rsidRPr="00084462">
        <w:rPr>
          <w:rFonts w:ascii="Helvetica" w:hAnsi="Helvetica" w:cs="Helvetica"/>
          <w:lang w:val="en-GB"/>
        </w:rPr>
        <w:t>.</w:t>
      </w:r>
      <w:r w:rsidR="00DD6FD0" w:rsidRPr="003720EE">
        <w:rPr>
          <w:rFonts w:ascii="Helvetica" w:hAnsi="Helvetica" w:cs="Helvetica"/>
          <w:lang w:val="en-GB"/>
        </w:rPr>
        <w:t xml:space="preserve"> </w:t>
      </w:r>
      <w:r w:rsidR="00585BDB" w:rsidRPr="003720EE">
        <w:rPr>
          <w:rFonts w:ascii="Helvetica" w:hAnsi="Helvetica" w:cs="Helvetica"/>
          <w:lang w:val="en-GB"/>
        </w:rPr>
        <w:t>Therein</w:t>
      </w:r>
      <w:r w:rsidR="000B0EC0" w:rsidRPr="003720EE">
        <w:rPr>
          <w:rFonts w:ascii="Helvetica" w:eastAsia="HGMaruGothicMPRO" w:hAnsi="Helvetica" w:cs="Helvetica"/>
          <w:lang w:val="en-GB"/>
        </w:rPr>
        <w:t xml:space="preserve">, </w:t>
      </w:r>
      <w:r w:rsidR="00BE17C0" w:rsidRPr="003720EE">
        <w:rPr>
          <w:rFonts w:ascii="Helvetica" w:eastAsia="HGMaruGothicMPRO" w:hAnsi="Helvetica" w:cs="Helvetica"/>
          <w:lang w:val="en-GB"/>
        </w:rPr>
        <w:t>the first appellant</w:t>
      </w:r>
      <w:r w:rsidR="00214BE4" w:rsidRPr="003720EE">
        <w:rPr>
          <w:rFonts w:ascii="Helvetica" w:eastAsia="HGMaruGothicMPRO" w:hAnsi="Helvetica" w:cs="Helvetica"/>
          <w:lang w:val="en-GB"/>
        </w:rPr>
        <w:t xml:space="preserve"> sought</w:t>
      </w:r>
      <w:r w:rsidR="0082783C" w:rsidRPr="003720EE">
        <w:rPr>
          <w:rFonts w:ascii="Helvetica" w:eastAsia="HGMaruGothicMPRO" w:hAnsi="Helvetica" w:cs="Helvetica"/>
          <w:lang w:val="en-GB"/>
        </w:rPr>
        <w:t xml:space="preserve"> </w:t>
      </w:r>
      <w:r w:rsidR="00F874AF" w:rsidRPr="003720EE">
        <w:rPr>
          <w:rFonts w:ascii="Helvetica" w:eastAsia="HGMaruGothicMPRO" w:hAnsi="Helvetica" w:cs="Helvetica"/>
          <w:lang w:val="en-GB"/>
        </w:rPr>
        <w:t xml:space="preserve">that the Adjudicator </w:t>
      </w:r>
      <w:r w:rsidR="00214BE4" w:rsidRPr="003720EE">
        <w:rPr>
          <w:rFonts w:ascii="Helvetica" w:eastAsia="HGMaruGothicMPRO" w:hAnsi="Helvetica" w:cs="Helvetica"/>
          <w:lang w:val="en-GB"/>
        </w:rPr>
        <w:t>“</w:t>
      </w:r>
      <w:r w:rsidR="00D70312" w:rsidRPr="003720EE">
        <w:rPr>
          <w:rFonts w:ascii="Helvetica" w:eastAsia="HGMaruGothicMPRO" w:hAnsi="Helvetica" w:cs="Helvetica"/>
          <w:i/>
          <w:iCs/>
          <w:lang w:val="en-GB"/>
        </w:rPr>
        <w:t>redress</w:t>
      </w:r>
      <w:r w:rsidR="00214BE4" w:rsidRPr="003720EE">
        <w:rPr>
          <w:rFonts w:ascii="Helvetica" w:eastAsia="HGMaruGothicMPRO" w:hAnsi="Helvetica" w:cs="Helvetica"/>
          <w:lang w:val="en-GB"/>
        </w:rPr>
        <w:t xml:space="preserve">” </w:t>
      </w:r>
      <w:r w:rsidR="00D70312" w:rsidRPr="003720EE">
        <w:rPr>
          <w:rFonts w:ascii="Helvetica" w:eastAsia="HGMaruGothicMPRO" w:hAnsi="Helvetica" w:cs="Helvetica"/>
          <w:lang w:val="en-GB"/>
        </w:rPr>
        <w:t>the following “</w:t>
      </w:r>
      <w:r w:rsidR="00D70312" w:rsidRPr="003720EE">
        <w:rPr>
          <w:rFonts w:ascii="Helvetica" w:eastAsia="HGMaruGothicMPRO" w:hAnsi="Helvetica" w:cs="Helvetica"/>
          <w:i/>
          <w:iCs/>
          <w:lang w:val="en-GB"/>
        </w:rPr>
        <w:t>wrongs</w:t>
      </w:r>
      <w:r w:rsidR="00D70060" w:rsidRPr="00561502">
        <w:rPr>
          <w:rFonts w:ascii="Helvetica" w:eastAsia="HGMaruGothicMPRO" w:hAnsi="Helvetica" w:cs="Helvetica"/>
          <w:lang w:val="en-GB"/>
        </w:rPr>
        <w:t>:</w:t>
      </w:r>
    </w:p>
    <w:p w14:paraId="08CCAE40" w14:textId="5C149579" w:rsidR="00214BE4" w:rsidRPr="008A3778" w:rsidRDefault="00D70312" w:rsidP="003A214B">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lastRenderedPageBreak/>
        <w:t>the</w:t>
      </w:r>
      <w:r w:rsidR="000D09CA" w:rsidRPr="008A3778">
        <w:rPr>
          <w:rFonts w:ascii="Helvetica" w:eastAsia="HGMaruGothicMPRO" w:hAnsi="Helvetica" w:cs="Helvetica"/>
          <w:lang w:val="en-GB"/>
        </w:rPr>
        <w:t xml:space="preserve"> aforesaid transfer of the</w:t>
      </w:r>
      <w:r w:rsidR="00D70060" w:rsidRPr="008A3778">
        <w:rPr>
          <w:rFonts w:ascii="Helvetica" w:eastAsia="HGMaruGothicMPRO" w:hAnsi="Helvetica" w:cs="Helvetica"/>
          <w:lang w:val="en-GB"/>
        </w:rPr>
        <w:t xml:space="preserve"> provident fund withdrawal benefit </w:t>
      </w:r>
      <w:r w:rsidR="000D09CA" w:rsidRPr="008A3778">
        <w:rPr>
          <w:rFonts w:ascii="Helvetica" w:eastAsia="HGMaruGothicMPRO" w:hAnsi="Helvetica" w:cs="Helvetica"/>
          <w:lang w:val="en-GB"/>
        </w:rPr>
        <w:t xml:space="preserve">to the </w:t>
      </w:r>
      <w:r w:rsidR="00BB0C87" w:rsidRPr="008A3778">
        <w:rPr>
          <w:rFonts w:ascii="Helvetica" w:eastAsia="HGMaruGothicMPRO" w:hAnsi="Helvetica" w:cs="Helvetica"/>
          <w:lang w:val="en-GB"/>
        </w:rPr>
        <w:t>annuity</w:t>
      </w:r>
      <w:r w:rsidR="000D09CA" w:rsidRPr="008A3778">
        <w:rPr>
          <w:rFonts w:ascii="Helvetica" w:eastAsia="HGMaruGothicMPRO" w:hAnsi="Helvetica" w:cs="Helvetica"/>
          <w:lang w:val="en-GB"/>
        </w:rPr>
        <w:t xml:space="preserve"> fund; </w:t>
      </w:r>
    </w:p>
    <w:p w14:paraId="6011DE5B" w14:textId="1670AC97" w:rsidR="000D09CA" w:rsidRPr="008A3778" w:rsidRDefault="00AA7427" w:rsidP="003A214B">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eastAsia="HGMaruGothicMPRO" w:hAnsi="Helvetica" w:cs="Helvetica"/>
          <w:lang w:val="en-GB"/>
        </w:rPr>
        <w:t>the</w:t>
      </w:r>
      <w:r w:rsidR="00902822" w:rsidRPr="008A3778">
        <w:rPr>
          <w:rFonts w:ascii="Helvetica" w:hAnsi="Helvetica" w:cs="Helvetica"/>
          <w:lang w:val="en-GB"/>
        </w:rPr>
        <w:t xml:space="preserve"> </w:t>
      </w:r>
      <w:r w:rsidR="0044213A" w:rsidRPr="008A3778">
        <w:rPr>
          <w:rFonts w:ascii="Helvetica" w:hAnsi="Helvetica" w:cs="Helvetica"/>
          <w:lang w:val="en-GB"/>
        </w:rPr>
        <w:t xml:space="preserve">alleged </w:t>
      </w:r>
      <w:r w:rsidR="00902822" w:rsidRPr="008A3778">
        <w:rPr>
          <w:rFonts w:ascii="Helvetica" w:hAnsi="Helvetica" w:cs="Helvetica"/>
          <w:lang w:val="en-GB"/>
        </w:rPr>
        <w:t xml:space="preserve">change in the status </w:t>
      </w:r>
      <w:r w:rsidR="00B320A0" w:rsidRPr="008A3778">
        <w:rPr>
          <w:rFonts w:ascii="Helvetica" w:hAnsi="Helvetica" w:cs="Helvetica"/>
          <w:lang w:val="en-GB"/>
        </w:rPr>
        <w:t>/ label</w:t>
      </w:r>
      <w:r w:rsidR="00D70060" w:rsidRPr="008A3778">
        <w:rPr>
          <w:rFonts w:ascii="Helvetica" w:hAnsi="Helvetica" w:cs="Helvetica"/>
          <w:lang w:val="en-GB"/>
        </w:rPr>
        <w:t>,</w:t>
      </w:r>
      <w:r w:rsidR="00226DCD" w:rsidRPr="008A3778">
        <w:rPr>
          <w:rFonts w:ascii="Helvetica" w:hAnsi="Helvetica" w:cs="Helvetica"/>
          <w:lang w:val="en-GB"/>
        </w:rPr>
        <w:t xml:space="preserve"> attaching to </w:t>
      </w:r>
      <w:bookmarkStart w:id="11" w:name="_Hlk90989044"/>
      <w:r w:rsidR="00902822" w:rsidRPr="008A3778">
        <w:rPr>
          <w:rFonts w:ascii="Helvetica" w:hAnsi="Helvetica" w:cs="Helvetica"/>
          <w:lang w:val="en-GB"/>
        </w:rPr>
        <w:t>Mr</w:t>
      </w:r>
      <w:r w:rsidR="005B7B15" w:rsidRPr="008A3778">
        <w:rPr>
          <w:rFonts w:ascii="Helvetica" w:hAnsi="Helvetica" w:cs="Helvetica"/>
          <w:lang w:val="en-GB"/>
        </w:rPr>
        <w:t>.</w:t>
      </w:r>
      <w:r w:rsidR="00902822" w:rsidRPr="008A3778">
        <w:rPr>
          <w:rFonts w:ascii="Helvetica" w:hAnsi="Helvetica" w:cs="Helvetica"/>
          <w:lang w:val="en-GB"/>
        </w:rPr>
        <w:t xml:space="preserve"> Collatz</w:t>
      </w:r>
      <w:bookmarkEnd w:id="11"/>
      <w:r w:rsidR="00902822" w:rsidRPr="008A3778">
        <w:rPr>
          <w:rFonts w:ascii="Helvetica" w:hAnsi="Helvetica" w:cs="Helvetica"/>
          <w:lang w:val="en-GB"/>
        </w:rPr>
        <w:t xml:space="preserve">’s </w:t>
      </w:r>
      <w:r w:rsidR="000305DB" w:rsidRPr="008A3778">
        <w:rPr>
          <w:rFonts w:ascii="Helvetica" w:hAnsi="Helvetica" w:cs="Helvetica"/>
          <w:lang w:val="en-GB"/>
        </w:rPr>
        <w:t>exit</w:t>
      </w:r>
      <w:r w:rsidR="004E1AA8" w:rsidRPr="008A3778">
        <w:rPr>
          <w:rFonts w:ascii="Helvetica" w:hAnsi="Helvetica" w:cs="Helvetica"/>
          <w:lang w:val="en-GB"/>
        </w:rPr>
        <w:t xml:space="preserve"> from his previous employer</w:t>
      </w:r>
      <w:r w:rsidR="00BD0496">
        <w:rPr>
          <w:rFonts w:ascii="Helvetica" w:hAnsi="Helvetica" w:cs="Helvetica"/>
          <w:lang w:val="en-GB"/>
        </w:rPr>
        <w:t xml:space="preserve">, </w:t>
      </w:r>
      <w:r w:rsidR="00BD0496" w:rsidRPr="008A3778">
        <w:rPr>
          <w:rFonts w:ascii="Helvetica" w:hAnsi="Helvetica" w:cs="Helvetica"/>
          <w:lang w:val="en-GB"/>
        </w:rPr>
        <w:t>from “</w:t>
      </w:r>
      <w:r w:rsidR="00BD0496" w:rsidRPr="00FC7E4E">
        <w:rPr>
          <w:rFonts w:ascii="Helvetica" w:hAnsi="Helvetica" w:cs="Helvetica"/>
          <w:i/>
          <w:iCs/>
          <w:lang w:val="en-GB"/>
        </w:rPr>
        <w:t>retirement</w:t>
      </w:r>
      <w:r w:rsidR="00BD0496" w:rsidRPr="008A3778">
        <w:rPr>
          <w:rFonts w:ascii="Helvetica" w:hAnsi="Helvetica" w:cs="Helvetica"/>
          <w:lang w:val="en-GB"/>
        </w:rPr>
        <w:t>” to “</w:t>
      </w:r>
      <w:r w:rsidR="00BD0496" w:rsidRPr="00FC7E4E">
        <w:rPr>
          <w:rFonts w:ascii="Helvetica" w:hAnsi="Helvetica" w:cs="Helvetica"/>
          <w:i/>
          <w:iCs/>
          <w:lang w:val="en-GB"/>
        </w:rPr>
        <w:t>retrenchment</w:t>
      </w:r>
      <w:r w:rsidR="00BD0496" w:rsidRPr="008A3778">
        <w:rPr>
          <w:rFonts w:ascii="Helvetica" w:hAnsi="Helvetica" w:cs="Helvetica"/>
          <w:lang w:val="en-GB"/>
        </w:rPr>
        <w:t>”</w:t>
      </w:r>
      <w:r w:rsidR="00C319A4" w:rsidRPr="008A3778">
        <w:rPr>
          <w:rFonts w:ascii="Helvetica" w:hAnsi="Helvetica" w:cs="Helvetica"/>
          <w:lang w:val="en-GB"/>
        </w:rPr>
        <w:t xml:space="preserve">; and </w:t>
      </w:r>
    </w:p>
    <w:p w14:paraId="2CCDDA86" w14:textId="086E862B" w:rsidR="00C319A4" w:rsidRPr="008A3778" w:rsidRDefault="0044213A" w:rsidP="003A214B">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hAnsi="Helvetica" w:cs="Helvetica"/>
          <w:lang w:val="en-GB"/>
        </w:rPr>
        <w:t xml:space="preserve">the </w:t>
      </w:r>
      <w:r w:rsidRPr="008A3778">
        <w:rPr>
          <w:rFonts w:ascii="Helvetica" w:eastAsia="HGMaruGothicMPRO" w:hAnsi="Helvetica" w:cs="Helvetica"/>
          <w:lang w:val="en-GB"/>
        </w:rPr>
        <w:t>alleged</w:t>
      </w:r>
      <w:r w:rsidRPr="008A3778">
        <w:rPr>
          <w:rFonts w:ascii="Helvetica" w:hAnsi="Helvetica" w:cs="Helvetica"/>
          <w:lang w:val="en-GB"/>
        </w:rPr>
        <w:t xml:space="preserve"> breach of the July / August 2008</w:t>
      </w:r>
      <w:r w:rsidR="00BC4E1E" w:rsidRPr="008A3778">
        <w:rPr>
          <w:rFonts w:ascii="Helvetica" w:hAnsi="Helvetica" w:cs="Helvetica"/>
          <w:lang w:val="en-GB"/>
        </w:rPr>
        <w:t xml:space="preserve"> preservation agreement</w:t>
      </w:r>
      <w:r w:rsidR="0083223F" w:rsidRPr="008A3778">
        <w:rPr>
          <w:rFonts w:ascii="Helvetica" w:hAnsi="Helvetica" w:cs="Helvetica"/>
          <w:lang w:val="en-GB"/>
        </w:rPr>
        <w:t xml:space="preserve"> (namely that the </w:t>
      </w:r>
      <w:r w:rsidR="00BD50B9" w:rsidRPr="008A3778">
        <w:rPr>
          <w:rFonts w:ascii="Helvetica" w:hAnsi="Helvetica" w:cs="Helvetica"/>
          <w:lang w:val="en-GB"/>
        </w:rPr>
        <w:t>cash proceeds were not preserved for purposes of the pending divorce proceedings)</w:t>
      </w:r>
      <w:r w:rsidR="00BC4E1E" w:rsidRPr="008A3778">
        <w:rPr>
          <w:rFonts w:ascii="Helvetica" w:hAnsi="Helvetica" w:cs="Helvetica"/>
          <w:lang w:val="en-GB"/>
        </w:rPr>
        <w:t xml:space="preserve">. </w:t>
      </w:r>
    </w:p>
    <w:p w14:paraId="5A13196F" w14:textId="77777777" w:rsidR="00BD0496" w:rsidRDefault="00020096" w:rsidP="003A214B">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It is within the above context that the “</w:t>
      </w:r>
      <w:r w:rsidRPr="008A3778">
        <w:rPr>
          <w:rFonts w:ascii="Helvetica" w:hAnsi="Helvetica" w:cs="Helvetica"/>
          <w:i/>
          <w:iCs/>
          <w:lang w:val="en-GB"/>
        </w:rPr>
        <w:t>complaint</w:t>
      </w:r>
      <w:r w:rsidRPr="008A3778">
        <w:rPr>
          <w:rFonts w:ascii="Helvetica" w:hAnsi="Helvetica" w:cs="Helvetica"/>
          <w:lang w:val="en-GB"/>
        </w:rPr>
        <w:t xml:space="preserve">” to the Adjudicator </w:t>
      </w:r>
      <w:r w:rsidR="00EB71E0" w:rsidRPr="008A3778">
        <w:rPr>
          <w:rFonts w:ascii="Helvetica" w:hAnsi="Helvetica" w:cs="Helvetica"/>
          <w:lang w:val="en-GB"/>
        </w:rPr>
        <w:t>falls to</w:t>
      </w:r>
      <w:r w:rsidRPr="008A3778">
        <w:rPr>
          <w:rFonts w:ascii="Helvetica" w:hAnsi="Helvetica" w:cs="Helvetica"/>
          <w:lang w:val="en-GB"/>
        </w:rPr>
        <w:t xml:space="preserve"> be identified and classified. </w:t>
      </w:r>
      <w:r w:rsidR="00D70060" w:rsidRPr="008A3778">
        <w:rPr>
          <w:rFonts w:ascii="Helvetica" w:hAnsi="Helvetica" w:cs="Helvetica"/>
          <w:lang w:val="en-GB"/>
        </w:rPr>
        <w:t xml:space="preserve">For the reasons expanded upon below, </w:t>
      </w:r>
      <w:r w:rsidR="00D70060" w:rsidRPr="008A3778">
        <w:rPr>
          <w:rFonts w:ascii="Helvetica" w:eastAsia="HGMaruGothicMPRO" w:hAnsi="Helvetica" w:cs="Helvetica"/>
          <w:lang w:val="en-GB"/>
        </w:rPr>
        <w:t>t</w:t>
      </w:r>
      <w:r w:rsidRPr="008A3778">
        <w:rPr>
          <w:rFonts w:ascii="Helvetica" w:eastAsia="HGMaruGothicMPRO" w:hAnsi="Helvetica" w:cs="Helvetica"/>
          <w:lang w:val="en-GB"/>
        </w:rPr>
        <w:t>he</w:t>
      </w:r>
      <w:r w:rsidRPr="008A3778">
        <w:rPr>
          <w:rFonts w:ascii="Helvetica" w:hAnsi="Helvetica" w:cs="Helvetica"/>
          <w:lang w:val="en-GB"/>
        </w:rPr>
        <w:t xml:space="preserve"> importance </w:t>
      </w:r>
      <w:r w:rsidR="00D70060" w:rsidRPr="008A3778">
        <w:rPr>
          <w:rFonts w:ascii="Helvetica" w:hAnsi="Helvetica" w:cs="Helvetica"/>
          <w:lang w:val="en-GB"/>
        </w:rPr>
        <w:t xml:space="preserve">of </w:t>
      </w:r>
      <w:r w:rsidRPr="008A3778">
        <w:rPr>
          <w:rFonts w:ascii="Helvetica" w:hAnsi="Helvetica" w:cs="Helvetica"/>
          <w:lang w:val="en-GB"/>
        </w:rPr>
        <w:t>identifying and classifying the “</w:t>
      </w:r>
      <w:r w:rsidRPr="008A3778">
        <w:rPr>
          <w:rFonts w:ascii="Helvetica" w:hAnsi="Helvetica" w:cs="Helvetica"/>
          <w:i/>
          <w:iCs/>
          <w:lang w:val="en-GB"/>
        </w:rPr>
        <w:t>complaint</w:t>
      </w:r>
      <w:r w:rsidRPr="008A3778">
        <w:rPr>
          <w:rFonts w:ascii="Helvetica" w:hAnsi="Helvetica" w:cs="Helvetica"/>
          <w:lang w:val="en-GB"/>
        </w:rPr>
        <w:t xml:space="preserve">” that served before the Adjudicator is paramount within the context of </w:t>
      </w:r>
      <w:r w:rsidR="00D70060" w:rsidRPr="008A3778">
        <w:rPr>
          <w:rFonts w:ascii="Helvetica" w:hAnsi="Helvetica" w:cs="Helvetica"/>
          <w:lang w:val="en-GB"/>
        </w:rPr>
        <w:t>a</w:t>
      </w:r>
      <w:r w:rsidRPr="008A3778">
        <w:rPr>
          <w:rFonts w:ascii="Helvetica" w:hAnsi="Helvetica" w:cs="Helvetica"/>
          <w:lang w:val="en-GB"/>
        </w:rPr>
        <w:t xml:space="preserve"> </w:t>
      </w:r>
      <w:r w:rsidR="00D70060" w:rsidRPr="008A3778">
        <w:rPr>
          <w:rFonts w:ascii="Helvetica" w:hAnsi="Helvetica" w:cs="Helvetica"/>
          <w:lang w:val="en-GB"/>
        </w:rPr>
        <w:t xml:space="preserve">section 30P </w:t>
      </w:r>
      <w:r w:rsidRPr="008A3778">
        <w:rPr>
          <w:rFonts w:ascii="Helvetica" w:hAnsi="Helvetica" w:cs="Helvetica"/>
          <w:lang w:val="en-GB"/>
        </w:rPr>
        <w:t>application</w:t>
      </w:r>
      <w:r w:rsidR="001F28C1" w:rsidRPr="008A3778">
        <w:rPr>
          <w:rFonts w:ascii="Helvetica" w:hAnsi="Helvetica" w:cs="Helvetica"/>
          <w:lang w:val="en-GB"/>
        </w:rPr>
        <w:t>, and this appeal</w:t>
      </w:r>
      <w:r w:rsidRPr="008A3778">
        <w:rPr>
          <w:rFonts w:ascii="Helvetica" w:hAnsi="Helvetica" w:cs="Helvetica"/>
          <w:lang w:val="en-GB"/>
        </w:rPr>
        <w:t xml:space="preserve">. </w:t>
      </w:r>
    </w:p>
    <w:p w14:paraId="1B216F07" w14:textId="7B99E5D5" w:rsidR="00020096" w:rsidRPr="008A3778" w:rsidRDefault="0019159D" w:rsidP="003A214B">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The complaint thus </w:t>
      </w:r>
      <w:r w:rsidR="00AA72CA" w:rsidRPr="008A3778">
        <w:rPr>
          <w:rFonts w:ascii="Helvetica" w:hAnsi="Helvetica" w:cs="Helvetica"/>
          <w:lang w:val="en-GB"/>
        </w:rPr>
        <w:t xml:space="preserve">submitted to the Adjudicator is </w:t>
      </w:r>
      <w:r w:rsidR="007334C7" w:rsidRPr="008A3778">
        <w:rPr>
          <w:rFonts w:ascii="Helvetica" w:hAnsi="Helvetica" w:cs="Helvetica"/>
          <w:lang w:val="en-GB"/>
        </w:rPr>
        <w:t xml:space="preserve">that the </w:t>
      </w:r>
      <w:r w:rsidR="00DC61D0" w:rsidRPr="008A3778">
        <w:rPr>
          <w:rFonts w:ascii="Helvetica" w:hAnsi="Helvetica" w:cs="Helvetica"/>
          <w:lang w:val="en-GB"/>
        </w:rPr>
        <w:t xml:space="preserve">provident fund </w:t>
      </w:r>
      <w:r w:rsidR="007334C7" w:rsidRPr="008A3778">
        <w:rPr>
          <w:rFonts w:ascii="Helvetica" w:hAnsi="Helvetica" w:cs="Helvetica"/>
          <w:lang w:val="en-GB"/>
        </w:rPr>
        <w:t>withdrawal benefit, constituting</w:t>
      </w:r>
      <w:r w:rsidR="005B7B15" w:rsidRPr="008A3778">
        <w:rPr>
          <w:rFonts w:ascii="Helvetica" w:hAnsi="Helvetica" w:cs="Helvetica"/>
          <w:lang w:val="en-GB"/>
        </w:rPr>
        <w:t xml:space="preserve"> an </w:t>
      </w:r>
      <w:r w:rsidR="00AE6BE1" w:rsidRPr="008A3778">
        <w:rPr>
          <w:rFonts w:ascii="Helvetica" w:hAnsi="Helvetica" w:cs="Helvetica"/>
          <w:lang w:val="en-GB"/>
        </w:rPr>
        <w:t xml:space="preserve">accrued </w:t>
      </w:r>
      <w:r w:rsidR="005B7B15" w:rsidRPr="008A3778">
        <w:rPr>
          <w:rFonts w:ascii="Helvetica" w:hAnsi="Helvetica" w:cs="Helvetica"/>
          <w:lang w:val="en-GB"/>
        </w:rPr>
        <w:t>asset of the joint estate</w:t>
      </w:r>
      <w:r w:rsidR="00C65617" w:rsidRPr="008A3778">
        <w:rPr>
          <w:rFonts w:ascii="Helvetica" w:hAnsi="Helvetica" w:cs="Helvetica"/>
          <w:lang w:val="en-GB"/>
        </w:rPr>
        <w:t xml:space="preserve"> </w:t>
      </w:r>
      <w:r w:rsidR="007C1803" w:rsidRPr="008A3778">
        <w:rPr>
          <w:rFonts w:ascii="Helvetica" w:hAnsi="Helvetica" w:cs="Helvetica"/>
          <w:lang w:val="en-GB"/>
        </w:rPr>
        <w:t>of their marriage in community of property</w:t>
      </w:r>
      <w:r w:rsidR="005B7B15" w:rsidRPr="008A3778">
        <w:rPr>
          <w:rFonts w:ascii="Helvetica" w:hAnsi="Helvetica" w:cs="Helvetica"/>
          <w:lang w:val="en-GB"/>
        </w:rPr>
        <w:t>,</w:t>
      </w:r>
      <w:r w:rsidR="00874709" w:rsidRPr="008A3778">
        <w:rPr>
          <w:rFonts w:ascii="Helvetica" w:hAnsi="Helvetica" w:cs="Helvetica"/>
          <w:lang w:val="en-GB"/>
        </w:rPr>
        <w:t xml:space="preserve"> was</w:t>
      </w:r>
      <w:r w:rsidR="00DC61D0" w:rsidRPr="008A3778">
        <w:rPr>
          <w:rFonts w:ascii="Helvetica" w:hAnsi="Helvetica" w:cs="Helvetica"/>
          <w:lang w:val="en-GB"/>
        </w:rPr>
        <w:t xml:space="preserve"> -</w:t>
      </w:r>
      <w:r w:rsidR="00874709" w:rsidRPr="008A3778">
        <w:rPr>
          <w:rFonts w:ascii="Helvetica" w:hAnsi="Helvetica" w:cs="Helvetica"/>
          <w:lang w:val="en-GB"/>
        </w:rPr>
        <w:t xml:space="preserve"> in the absence of Ms</w:t>
      </w:r>
      <w:r w:rsidR="003C7641" w:rsidRPr="008A3778">
        <w:rPr>
          <w:rFonts w:ascii="Helvetica" w:hAnsi="Helvetica" w:cs="Helvetica"/>
          <w:lang w:val="en-GB"/>
        </w:rPr>
        <w:t>.</w:t>
      </w:r>
      <w:r w:rsidR="00874709" w:rsidRPr="008A3778">
        <w:rPr>
          <w:rFonts w:ascii="Helvetica" w:hAnsi="Helvetica" w:cs="Helvetica"/>
          <w:lang w:val="en-GB"/>
        </w:rPr>
        <w:t xml:space="preserve"> Collatz’s </w:t>
      </w:r>
      <w:r w:rsidR="00EB71E0" w:rsidRPr="008A3778">
        <w:rPr>
          <w:rFonts w:ascii="Helvetica" w:hAnsi="Helvetica" w:cs="Helvetica"/>
          <w:lang w:val="en-GB"/>
        </w:rPr>
        <w:t xml:space="preserve">consent </w:t>
      </w:r>
      <w:r w:rsidR="00874709" w:rsidRPr="008A3778">
        <w:rPr>
          <w:rFonts w:ascii="Helvetica" w:hAnsi="Helvetica" w:cs="Helvetica"/>
          <w:lang w:val="en-GB"/>
        </w:rPr>
        <w:t>and in breach of the preservation agreement</w:t>
      </w:r>
      <w:r w:rsidR="00DC61D0" w:rsidRPr="008A3778">
        <w:rPr>
          <w:rFonts w:ascii="Helvetica" w:hAnsi="Helvetica" w:cs="Helvetica"/>
          <w:lang w:val="en-GB"/>
        </w:rPr>
        <w:t xml:space="preserve"> - </w:t>
      </w:r>
      <w:r w:rsidR="00874709" w:rsidRPr="008A3778">
        <w:rPr>
          <w:rFonts w:ascii="Helvetica" w:hAnsi="Helvetica" w:cs="Helvetica"/>
          <w:lang w:val="en-GB"/>
        </w:rPr>
        <w:t xml:space="preserve">wrongly transferred to the </w:t>
      </w:r>
      <w:r w:rsidR="00BB0C87" w:rsidRPr="008A3778">
        <w:rPr>
          <w:rFonts w:ascii="Helvetica" w:hAnsi="Helvetica" w:cs="Helvetica"/>
          <w:lang w:val="en-GB"/>
        </w:rPr>
        <w:t>annuity</w:t>
      </w:r>
      <w:r w:rsidR="00874709" w:rsidRPr="008A3778">
        <w:rPr>
          <w:rFonts w:ascii="Helvetica" w:hAnsi="Helvetica" w:cs="Helvetica"/>
          <w:lang w:val="en-GB"/>
        </w:rPr>
        <w:t xml:space="preserve"> fund</w:t>
      </w:r>
      <w:r w:rsidR="00EB71E0" w:rsidRPr="008A3778">
        <w:rPr>
          <w:rFonts w:ascii="Helvetica" w:hAnsi="Helvetica" w:cs="Helvetica"/>
          <w:lang w:val="en-GB"/>
        </w:rPr>
        <w:t>, and,</w:t>
      </w:r>
      <w:r w:rsidR="00D70060" w:rsidRPr="008A3778">
        <w:rPr>
          <w:rFonts w:ascii="Helvetica" w:hAnsi="Helvetica" w:cs="Helvetica"/>
          <w:lang w:val="en-GB"/>
        </w:rPr>
        <w:t xml:space="preserve"> as a corollary thereof</w:t>
      </w:r>
      <w:r w:rsidR="00EB71E0" w:rsidRPr="008A3778">
        <w:rPr>
          <w:rFonts w:ascii="Helvetica" w:hAnsi="Helvetica" w:cs="Helvetica"/>
          <w:lang w:val="en-GB"/>
        </w:rPr>
        <w:t xml:space="preserve">, </w:t>
      </w:r>
      <w:r w:rsidR="00D70060" w:rsidRPr="008A3778">
        <w:rPr>
          <w:rFonts w:ascii="Helvetica" w:hAnsi="Helvetica" w:cs="Helvetica"/>
          <w:lang w:val="en-GB"/>
        </w:rPr>
        <w:t xml:space="preserve">that </w:t>
      </w:r>
      <w:r w:rsidR="00EB71E0" w:rsidRPr="008A3778">
        <w:rPr>
          <w:rFonts w:ascii="Helvetica" w:hAnsi="Helvetica" w:cs="Helvetica"/>
          <w:lang w:val="en-GB"/>
        </w:rPr>
        <w:t>the withdrawal benefit</w:t>
      </w:r>
      <w:r w:rsidR="00D70060" w:rsidRPr="008A3778">
        <w:rPr>
          <w:rFonts w:ascii="Helvetica" w:hAnsi="Helvetica" w:cs="Helvetica"/>
          <w:lang w:val="en-GB"/>
        </w:rPr>
        <w:t xml:space="preserve"> does not fall to be dealt with </w:t>
      </w:r>
      <w:r w:rsidR="00EB71E0" w:rsidRPr="008A3778">
        <w:rPr>
          <w:rFonts w:ascii="Helvetica" w:hAnsi="Helvetica" w:cs="Helvetica"/>
          <w:lang w:val="en-GB"/>
        </w:rPr>
        <w:t xml:space="preserve">in terms of section 37C. </w:t>
      </w:r>
    </w:p>
    <w:p w14:paraId="23BAF28E" w14:textId="4CAD71D4" w:rsidR="00BC4E1E" w:rsidRPr="008A3778" w:rsidRDefault="00482FB6"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eastAsia="HGMaruGothicMPRO" w:hAnsi="Helvetica" w:cs="Helvetica"/>
          <w:lang w:val="en-GB"/>
        </w:rPr>
        <w:t>Moreover</w:t>
      </w:r>
      <w:r w:rsidR="00020096" w:rsidRPr="008A3778">
        <w:rPr>
          <w:rFonts w:ascii="Helvetica" w:eastAsia="HGMaruGothicMPRO" w:hAnsi="Helvetica" w:cs="Helvetica"/>
          <w:lang w:val="en-GB"/>
        </w:rPr>
        <w:t xml:space="preserve">, </w:t>
      </w:r>
      <w:r w:rsidR="00C011D4" w:rsidRPr="008A3778">
        <w:rPr>
          <w:rFonts w:ascii="Helvetica" w:eastAsia="HGMaruGothicMPRO" w:hAnsi="Helvetica" w:cs="Helvetica"/>
          <w:lang w:val="en-GB"/>
        </w:rPr>
        <w:t>having identified the “</w:t>
      </w:r>
      <w:r w:rsidR="00C011D4" w:rsidRPr="008A3778">
        <w:rPr>
          <w:rFonts w:ascii="Helvetica" w:eastAsia="HGMaruGothicMPRO" w:hAnsi="Helvetica" w:cs="Helvetica"/>
          <w:i/>
          <w:iCs/>
          <w:lang w:val="en-GB"/>
        </w:rPr>
        <w:t>wrongs</w:t>
      </w:r>
      <w:r w:rsidR="00C011D4" w:rsidRPr="008A3778">
        <w:rPr>
          <w:rFonts w:ascii="Helvetica" w:eastAsia="HGMaruGothicMPRO" w:hAnsi="Helvetica" w:cs="Helvetica"/>
          <w:lang w:val="en-GB"/>
        </w:rPr>
        <w:t>”</w:t>
      </w:r>
      <w:r w:rsidR="00020096" w:rsidRPr="008A3778">
        <w:rPr>
          <w:rFonts w:ascii="Helvetica" w:eastAsia="HGMaruGothicMPRO" w:hAnsi="Helvetica" w:cs="Helvetica"/>
          <w:lang w:val="en-GB"/>
        </w:rPr>
        <w:t xml:space="preserve"> </w:t>
      </w:r>
      <w:r w:rsidR="00020096" w:rsidRPr="008A3778">
        <w:rPr>
          <w:rFonts w:ascii="Helvetica" w:hAnsi="Helvetica" w:cs="Helvetica"/>
          <w:lang w:val="en-GB"/>
        </w:rPr>
        <w:t>that inform her complaint to the Adjudicator,</w:t>
      </w:r>
      <w:r w:rsidRPr="008A3778">
        <w:rPr>
          <w:rFonts w:ascii="Helvetica" w:hAnsi="Helvetica" w:cs="Helvetica"/>
          <w:lang w:val="en-GB"/>
        </w:rPr>
        <w:t xml:space="preserve"> the </w:t>
      </w:r>
      <w:r w:rsidR="00360D4F">
        <w:rPr>
          <w:rFonts w:ascii="Helvetica" w:hAnsi="Helvetica" w:cs="Helvetica"/>
          <w:lang w:val="en-GB"/>
        </w:rPr>
        <w:t xml:space="preserve">Ms. Collatz asked the Adjudicator for </w:t>
      </w:r>
      <w:r w:rsidR="00A064AC" w:rsidRPr="008A3778">
        <w:rPr>
          <w:rFonts w:ascii="Helvetica" w:hAnsi="Helvetica" w:cs="Helvetica"/>
          <w:lang w:val="en-GB"/>
        </w:rPr>
        <w:t>the following central “</w:t>
      </w:r>
      <w:r w:rsidR="00A064AC" w:rsidRPr="008A3778">
        <w:rPr>
          <w:rFonts w:ascii="Helvetica" w:hAnsi="Helvetica" w:cs="Helvetica"/>
          <w:i/>
          <w:iCs/>
          <w:lang w:val="en-GB"/>
        </w:rPr>
        <w:t>desired outcome</w:t>
      </w:r>
      <w:r w:rsidR="00CA71F4" w:rsidRPr="008A3778">
        <w:rPr>
          <w:rFonts w:ascii="Helvetica" w:hAnsi="Helvetica" w:cs="Helvetica"/>
          <w:i/>
          <w:iCs/>
          <w:lang w:val="en-GB"/>
        </w:rPr>
        <w:t> </w:t>
      </w:r>
      <w:r w:rsidR="00A064AC" w:rsidRPr="008A3778">
        <w:rPr>
          <w:rFonts w:ascii="Helvetica" w:hAnsi="Helvetica" w:cs="Helvetica"/>
          <w:i/>
          <w:iCs/>
          <w:lang w:val="en-GB"/>
        </w:rPr>
        <w:t>/</w:t>
      </w:r>
      <w:r w:rsidR="00CA71F4" w:rsidRPr="008A3778">
        <w:rPr>
          <w:rFonts w:ascii="Helvetica" w:hAnsi="Helvetica" w:cs="Helvetica"/>
          <w:i/>
          <w:iCs/>
          <w:lang w:val="en-GB"/>
        </w:rPr>
        <w:t> </w:t>
      </w:r>
      <w:r w:rsidR="00A064AC" w:rsidRPr="008A3778">
        <w:rPr>
          <w:rFonts w:ascii="Helvetica" w:hAnsi="Helvetica" w:cs="Helvetica"/>
          <w:i/>
          <w:iCs/>
          <w:lang w:val="en-GB"/>
        </w:rPr>
        <w:t>relief</w:t>
      </w:r>
      <w:r w:rsidR="00A064AC" w:rsidRPr="008A3778">
        <w:rPr>
          <w:rFonts w:ascii="Helvetica" w:hAnsi="Helvetica" w:cs="Helvetica"/>
          <w:lang w:val="en-GB"/>
        </w:rPr>
        <w:t xml:space="preserve">” in her complaint: </w:t>
      </w:r>
    </w:p>
    <w:p w14:paraId="519CA9AC" w14:textId="34F4B825" w:rsidR="00A064AC" w:rsidRPr="008A3778" w:rsidRDefault="00A064AC" w:rsidP="003D368F">
      <w:pPr>
        <w:spacing w:after="360" w:line="240" w:lineRule="auto"/>
        <w:ind w:left="2160" w:right="498" w:hanging="720"/>
        <w:jc w:val="both"/>
        <w:rPr>
          <w:rFonts w:ascii="Helvetica" w:hAnsi="Helvetica" w:cs="Helvetica"/>
          <w:lang w:val="en-GB"/>
        </w:rPr>
      </w:pPr>
      <w:r w:rsidRPr="008A3778">
        <w:rPr>
          <w:rFonts w:ascii="Helvetica" w:hAnsi="Helvetica" w:cs="Helvetica"/>
          <w:lang w:val="en-GB"/>
        </w:rPr>
        <w:t>“</w:t>
      </w:r>
      <w:r w:rsidR="00CA71F4" w:rsidRPr="008A3778">
        <w:rPr>
          <w:rFonts w:ascii="Helvetica" w:hAnsi="Helvetica" w:cs="Helvetica"/>
          <w:lang w:val="en-GB"/>
        </w:rPr>
        <w:t>●</w:t>
      </w:r>
      <w:r w:rsidR="00CA71F4" w:rsidRPr="008A3778">
        <w:rPr>
          <w:rFonts w:ascii="Helvetica" w:hAnsi="Helvetica" w:cs="Helvetica"/>
          <w:lang w:val="en-GB"/>
        </w:rPr>
        <w:tab/>
      </w:r>
      <w:r w:rsidR="0021776E" w:rsidRPr="008A3778">
        <w:rPr>
          <w:rFonts w:ascii="Helvetica" w:hAnsi="Helvetica" w:cs="Helvetica"/>
          <w:i/>
          <w:iCs/>
          <w:lang w:val="en-GB"/>
        </w:rPr>
        <w:t>T</w:t>
      </w:r>
      <w:r w:rsidR="000B404E" w:rsidRPr="008A3778">
        <w:rPr>
          <w:rFonts w:ascii="Helvetica" w:hAnsi="Helvetica" w:cs="Helvetica"/>
          <w:i/>
          <w:iCs/>
          <w:lang w:val="en-GB"/>
        </w:rPr>
        <w:t xml:space="preserve">he entire transaction whereby the funds were placed in the “new” </w:t>
      </w:r>
      <w:r w:rsidR="00BB0C87" w:rsidRPr="008A3778">
        <w:rPr>
          <w:rFonts w:ascii="Helvetica" w:hAnsi="Helvetica" w:cs="Helvetica"/>
          <w:i/>
          <w:iCs/>
          <w:lang w:val="en-GB"/>
        </w:rPr>
        <w:t>annuity</w:t>
      </w:r>
      <w:r w:rsidR="000B404E" w:rsidRPr="008A3778">
        <w:rPr>
          <w:rFonts w:ascii="Helvetica" w:hAnsi="Helvetica" w:cs="Helvetica"/>
          <w:i/>
          <w:iCs/>
          <w:lang w:val="en-GB"/>
        </w:rPr>
        <w:t xml:space="preserve"> fund must be </w:t>
      </w:r>
      <w:r w:rsidR="000B404E" w:rsidRPr="003D368F">
        <w:rPr>
          <w:rFonts w:ascii="Helvetica" w:eastAsia="HGMaruGothicMPRO" w:hAnsi="Helvetica" w:cs="Helvetica"/>
          <w:i/>
          <w:iCs/>
          <w:lang w:val="en-GB"/>
        </w:rPr>
        <w:t>set</w:t>
      </w:r>
      <w:r w:rsidR="000B404E" w:rsidRPr="008A3778">
        <w:rPr>
          <w:rFonts w:ascii="Helvetica" w:hAnsi="Helvetica" w:cs="Helvetica"/>
          <w:i/>
          <w:iCs/>
          <w:lang w:val="en-GB"/>
        </w:rPr>
        <w:t xml:space="preserve"> aside and the entire proceeds released from the provisions of section 37(</w:t>
      </w:r>
      <w:r w:rsidR="009E083A" w:rsidRPr="008A3778">
        <w:rPr>
          <w:rFonts w:ascii="Helvetica" w:hAnsi="Helvetica" w:cs="Helvetica"/>
          <w:i/>
          <w:iCs/>
          <w:lang w:val="en-GB"/>
        </w:rPr>
        <w:t>C</w:t>
      </w:r>
      <w:r w:rsidR="000B404E" w:rsidRPr="008A3778">
        <w:rPr>
          <w:rFonts w:ascii="Helvetica" w:hAnsi="Helvetica" w:cs="Helvetica"/>
          <w:i/>
          <w:iCs/>
          <w:lang w:val="en-GB"/>
        </w:rPr>
        <w:t xml:space="preserve">) </w:t>
      </w:r>
      <w:r w:rsidR="009E083A" w:rsidRPr="008A3778">
        <w:rPr>
          <w:rFonts w:ascii="Helvetica" w:hAnsi="Helvetica" w:cs="Helvetica"/>
          <w:i/>
          <w:iCs/>
          <w:lang w:val="en-GB"/>
        </w:rPr>
        <w:t>[sic]</w:t>
      </w:r>
      <w:r w:rsidR="00360D4F">
        <w:rPr>
          <w:rFonts w:ascii="Helvetica" w:hAnsi="Helvetica" w:cs="Helvetica"/>
          <w:i/>
          <w:iCs/>
          <w:lang w:val="en-GB"/>
        </w:rPr>
        <w:t xml:space="preserve"> </w:t>
      </w:r>
      <w:r w:rsidR="000B404E" w:rsidRPr="008A3778">
        <w:rPr>
          <w:rFonts w:ascii="Helvetica" w:hAnsi="Helvetica" w:cs="Helvetica"/>
          <w:i/>
          <w:iCs/>
          <w:lang w:val="en-GB"/>
        </w:rPr>
        <w:t>of the Pension Act [sic</w:t>
      </w:r>
      <w:r w:rsidR="0021776E" w:rsidRPr="008A3778">
        <w:rPr>
          <w:rFonts w:ascii="Helvetica" w:hAnsi="Helvetica" w:cs="Helvetica"/>
          <w:i/>
          <w:iCs/>
          <w:lang w:val="en-GB"/>
        </w:rPr>
        <w:t>]</w:t>
      </w:r>
      <w:r w:rsidR="009E083A" w:rsidRPr="008A3778">
        <w:rPr>
          <w:rFonts w:ascii="Helvetica" w:hAnsi="Helvetica" w:cs="Helvetica"/>
          <w:lang w:val="en-GB"/>
        </w:rPr>
        <w:t>.</w:t>
      </w:r>
      <w:r w:rsidR="009E083A" w:rsidRPr="008A3778">
        <w:rPr>
          <w:rStyle w:val="FootnoteReference"/>
          <w:rFonts w:ascii="Helvetica" w:hAnsi="Helvetica" w:cs="Helvetica"/>
          <w:lang w:val="en-GB"/>
        </w:rPr>
        <w:footnoteReference w:id="33"/>
      </w:r>
      <w:r w:rsidR="008E7303" w:rsidRPr="008A3778">
        <w:rPr>
          <w:rFonts w:ascii="Helvetica" w:hAnsi="Helvetica" w:cs="Helvetica"/>
          <w:lang w:val="en-GB"/>
        </w:rPr>
        <w:t xml:space="preserve"> </w:t>
      </w:r>
    </w:p>
    <w:p w14:paraId="4088783A" w14:textId="41CC5E6A" w:rsidR="008637A2" w:rsidRPr="008A3778" w:rsidRDefault="00CA71F4" w:rsidP="003D368F">
      <w:pPr>
        <w:spacing w:after="360" w:line="240" w:lineRule="auto"/>
        <w:ind w:left="2160" w:right="498" w:hanging="720"/>
        <w:jc w:val="both"/>
        <w:rPr>
          <w:rFonts w:ascii="Helvetica" w:hAnsi="Helvetica" w:cs="Helvetica"/>
          <w:lang w:val="en-GB"/>
        </w:rPr>
      </w:pPr>
      <w:r w:rsidRPr="008A3778">
        <w:rPr>
          <w:rFonts w:ascii="Helvetica" w:hAnsi="Helvetica" w:cs="Helvetica"/>
          <w:lang w:val="en-GB"/>
        </w:rPr>
        <w:t>●</w:t>
      </w:r>
      <w:r w:rsidRPr="008A3778">
        <w:rPr>
          <w:rFonts w:ascii="Helvetica" w:hAnsi="Helvetica" w:cs="Helvetica"/>
          <w:lang w:val="en-GB"/>
        </w:rPr>
        <w:tab/>
      </w:r>
      <w:r w:rsidRPr="008A3778">
        <w:rPr>
          <w:rFonts w:ascii="Helvetica" w:hAnsi="Helvetica" w:cs="Helvetica"/>
          <w:i/>
          <w:iCs/>
          <w:lang w:val="en-GB"/>
        </w:rPr>
        <w:t>I must be paid out to enable me to examine the investment options most suited to me</w:t>
      </w:r>
      <w:r w:rsidRPr="008A3778">
        <w:rPr>
          <w:rFonts w:ascii="Helvetica" w:hAnsi="Helvetica" w:cs="Helvetica"/>
          <w:lang w:val="en-GB"/>
        </w:rPr>
        <w:t>.”</w:t>
      </w:r>
    </w:p>
    <w:p w14:paraId="0C6582CE" w14:textId="01AE0400" w:rsidR="00AC34EB" w:rsidRPr="008A3778" w:rsidRDefault="00FC7537"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On 26 September 2012 and after having received responses and submissions from the relevant respondents and </w:t>
      </w:r>
      <w:r w:rsidR="00360D4F">
        <w:rPr>
          <w:rFonts w:ascii="Helvetica" w:hAnsi="Helvetica" w:cs="Helvetica"/>
          <w:lang w:val="en-GB"/>
        </w:rPr>
        <w:t xml:space="preserve">Ms. Collatz’s </w:t>
      </w:r>
      <w:r w:rsidRPr="008A3778">
        <w:rPr>
          <w:rFonts w:ascii="Helvetica" w:hAnsi="Helvetica" w:cs="Helvetica"/>
          <w:lang w:val="en-GB"/>
        </w:rPr>
        <w:t xml:space="preserve">further submissions, the Adjudicator </w:t>
      </w:r>
      <w:r w:rsidR="00E667E0" w:rsidRPr="008A3778">
        <w:rPr>
          <w:rFonts w:ascii="Helvetica" w:hAnsi="Helvetica" w:cs="Helvetica"/>
          <w:lang w:val="en-GB"/>
        </w:rPr>
        <w:t xml:space="preserve">provided </w:t>
      </w:r>
      <w:r w:rsidR="001F422F" w:rsidRPr="008A3778">
        <w:rPr>
          <w:rFonts w:ascii="Helvetica" w:hAnsi="Helvetica" w:cs="Helvetica"/>
          <w:lang w:val="en-GB"/>
        </w:rPr>
        <w:lastRenderedPageBreak/>
        <w:t>her</w:t>
      </w:r>
      <w:r w:rsidR="00AC34EB" w:rsidRPr="008A3778">
        <w:rPr>
          <w:rFonts w:ascii="Helvetica" w:hAnsi="Helvetica" w:cs="Helvetica"/>
          <w:lang w:val="en-GB"/>
        </w:rPr>
        <w:t xml:space="preserve"> section 30M</w:t>
      </w:r>
      <w:r w:rsidR="00D67FD5" w:rsidRPr="008A3778">
        <w:rPr>
          <w:rStyle w:val="FootnoteReference"/>
          <w:rFonts w:ascii="Helvetica" w:hAnsi="Helvetica" w:cs="Helvetica"/>
          <w:lang w:val="en-GB"/>
        </w:rPr>
        <w:footnoteReference w:id="34"/>
      </w:r>
      <w:r w:rsidR="00AC34EB" w:rsidRPr="008A3778">
        <w:rPr>
          <w:rFonts w:ascii="Helvetica" w:hAnsi="Helvetica" w:cs="Helvetica"/>
          <w:lang w:val="en-GB"/>
        </w:rPr>
        <w:t xml:space="preserve"> determination</w:t>
      </w:r>
      <w:r w:rsidR="00E667E0" w:rsidRPr="008A3778">
        <w:rPr>
          <w:rFonts w:ascii="Helvetica" w:hAnsi="Helvetica" w:cs="Helvetica"/>
          <w:lang w:val="en-GB"/>
        </w:rPr>
        <w:t xml:space="preserve"> in respect </w:t>
      </w:r>
      <w:r w:rsidR="00E667E0" w:rsidRPr="008A3778">
        <w:rPr>
          <w:rFonts w:ascii="Helvetica" w:eastAsia="HGMaruGothicMPRO" w:hAnsi="Helvetica" w:cs="Helvetica"/>
          <w:lang w:val="en-GB"/>
        </w:rPr>
        <w:t>of</w:t>
      </w:r>
      <w:r w:rsidR="00E667E0" w:rsidRPr="008A3778">
        <w:rPr>
          <w:rFonts w:ascii="Helvetica" w:hAnsi="Helvetica" w:cs="Helvetica"/>
          <w:lang w:val="en-GB"/>
        </w:rPr>
        <w:t xml:space="preserve"> the complaint.</w:t>
      </w:r>
      <w:r w:rsidR="00C122E3" w:rsidRPr="008A3778">
        <w:rPr>
          <w:rFonts w:ascii="Helvetica" w:hAnsi="Helvetica" w:cs="Helvetica"/>
          <w:lang w:val="en-GB"/>
        </w:rPr>
        <w:t xml:space="preserve"> </w:t>
      </w:r>
      <w:r w:rsidR="006C4A62" w:rsidRPr="008A3778">
        <w:rPr>
          <w:rFonts w:ascii="Helvetica" w:hAnsi="Helvetica" w:cs="Helvetica"/>
          <w:lang w:val="en-GB"/>
        </w:rPr>
        <w:t>The Adjudicator determined that “</w:t>
      </w:r>
      <w:r w:rsidR="006C4A62" w:rsidRPr="008A3778">
        <w:rPr>
          <w:rFonts w:ascii="Helvetica" w:hAnsi="Helvetica" w:cs="Helvetica"/>
          <w:i/>
          <w:iCs/>
          <w:lang w:val="en-GB"/>
        </w:rPr>
        <w:t>the complaint cannot succeed and is dismissed</w:t>
      </w:r>
      <w:r w:rsidR="006C4A62" w:rsidRPr="008A3778">
        <w:rPr>
          <w:rFonts w:ascii="Helvetica" w:hAnsi="Helvetica" w:cs="Helvetica"/>
          <w:lang w:val="en-GB"/>
        </w:rPr>
        <w:t>”.</w:t>
      </w:r>
      <w:r w:rsidR="00E11959" w:rsidRPr="008A3778">
        <w:rPr>
          <w:rFonts w:ascii="Helvetica" w:hAnsi="Helvetica" w:cs="Helvetica"/>
          <w:lang w:val="en-GB"/>
        </w:rPr>
        <w:t xml:space="preserve"> </w:t>
      </w:r>
    </w:p>
    <w:p w14:paraId="35EEA85F" w14:textId="10CEE632" w:rsidR="00644139" w:rsidRPr="008A3778" w:rsidRDefault="003C5860" w:rsidP="00585BDB">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Because of that which informs an application in terms of section 30P, </w:t>
      </w:r>
      <w:r w:rsidR="0069169B" w:rsidRPr="008A3778">
        <w:rPr>
          <w:rFonts w:ascii="Helvetica" w:hAnsi="Helvetica" w:cs="Helvetica"/>
          <w:lang w:val="en-GB"/>
        </w:rPr>
        <w:t>particularly within the factual context and matrix of this appeal</w:t>
      </w:r>
      <w:r w:rsidR="00D70060" w:rsidRPr="008A3778">
        <w:rPr>
          <w:rFonts w:ascii="Helvetica" w:hAnsi="Helvetica" w:cs="Helvetica"/>
          <w:lang w:val="en-GB"/>
        </w:rPr>
        <w:t xml:space="preserve"> (as discussed below)</w:t>
      </w:r>
      <w:r w:rsidR="0069169B" w:rsidRPr="008A3778">
        <w:rPr>
          <w:rFonts w:ascii="Helvetica" w:hAnsi="Helvetica" w:cs="Helvetica"/>
          <w:lang w:val="en-GB"/>
        </w:rPr>
        <w:t xml:space="preserve">, </w:t>
      </w:r>
      <w:r w:rsidR="007C1803" w:rsidRPr="008A3778">
        <w:rPr>
          <w:rFonts w:ascii="Helvetica" w:hAnsi="Helvetica" w:cs="Helvetica"/>
          <w:lang w:val="en-GB"/>
        </w:rPr>
        <w:t>I</w:t>
      </w:r>
      <w:r w:rsidR="0069169B" w:rsidRPr="008A3778">
        <w:rPr>
          <w:rFonts w:ascii="Helvetica" w:hAnsi="Helvetica" w:cs="Helvetica"/>
          <w:lang w:val="en-GB"/>
        </w:rPr>
        <w:t xml:space="preserve"> do not intend to traverse the reasons for the </w:t>
      </w:r>
      <w:r w:rsidR="000704D4" w:rsidRPr="008A3778">
        <w:rPr>
          <w:rFonts w:ascii="Helvetica" w:hAnsi="Helvetica" w:cs="Helvetica"/>
          <w:lang w:val="en-GB"/>
        </w:rPr>
        <w:t>A</w:t>
      </w:r>
      <w:r w:rsidR="0069169B" w:rsidRPr="008A3778">
        <w:rPr>
          <w:rFonts w:ascii="Helvetica" w:hAnsi="Helvetica" w:cs="Helvetica"/>
          <w:lang w:val="en-GB"/>
        </w:rPr>
        <w:t>djudicator’s determination</w:t>
      </w:r>
      <w:r w:rsidR="000704D4" w:rsidRPr="008A3778">
        <w:rPr>
          <w:rFonts w:ascii="Helvetica" w:hAnsi="Helvetica" w:cs="Helvetica"/>
          <w:lang w:val="en-GB"/>
        </w:rPr>
        <w:t>. The</w:t>
      </w:r>
      <w:r w:rsidR="001C75A5" w:rsidRPr="008A3778">
        <w:rPr>
          <w:rFonts w:ascii="Helvetica" w:hAnsi="Helvetica" w:cs="Helvetica"/>
          <w:lang w:val="en-GB"/>
        </w:rPr>
        <w:t xml:space="preserve"> Adjudicator’s </w:t>
      </w:r>
      <w:r w:rsidR="000704D4" w:rsidRPr="008A3778">
        <w:rPr>
          <w:rFonts w:ascii="Helvetica" w:hAnsi="Helvetica" w:cs="Helvetica"/>
          <w:lang w:val="en-GB"/>
        </w:rPr>
        <w:t xml:space="preserve">reasons are, in any event, </w:t>
      </w:r>
      <w:r w:rsidR="00D70060" w:rsidRPr="008A3778">
        <w:rPr>
          <w:rFonts w:ascii="Helvetica" w:hAnsi="Helvetica" w:cs="Helvetica"/>
          <w:lang w:val="en-GB"/>
        </w:rPr>
        <w:t xml:space="preserve">adequately </w:t>
      </w:r>
      <w:r w:rsidR="00BB0C87" w:rsidRPr="008A3778">
        <w:rPr>
          <w:rFonts w:ascii="Helvetica" w:hAnsi="Helvetica" w:cs="Helvetica"/>
          <w:lang w:val="en-GB"/>
        </w:rPr>
        <w:t>traversed</w:t>
      </w:r>
      <w:r w:rsidR="000704D4" w:rsidRPr="008A3778">
        <w:rPr>
          <w:rFonts w:ascii="Helvetica" w:hAnsi="Helvetica" w:cs="Helvetica"/>
          <w:lang w:val="en-GB"/>
        </w:rPr>
        <w:t xml:space="preserve"> in the judgement of the High Court</w:t>
      </w:r>
      <w:r w:rsidR="00585BDB" w:rsidRPr="008A3778">
        <w:rPr>
          <w:rFonts w:ascii="Helvetica" w:hAnsi="Helvetica" w:cs="Helvetica"/>
          <w:lang w:val="en-GB"/>
        </w:rPr>
        <w:t>, and to all intents and purposes they become</w:t>
      </w:r>
      <w:r w:rsidR="001620B5" w:rsidRPr="008A3778">
        <w:rPr>
          <w:rFonts w:ascii="Helvetica" w:hAnsi="Helvetica" w:cs="Helvetica"/>
          <w:lang w:val="en-GB"/>
        </w:rPr>
        <w:t xml:space="preserve"> largely</w:t>
      </w:r>
      <w:r w:rsidR="00585BDB" w:rsidRPr="008A3778">
        <w:rPr>
          <w:rFonts w:ascii="Helvetica" w:hAnsi="Helvetica" w:cs="Helvetica"/>
          <w:lang w:val="en-GB"/>
        </w:rPr>
        <w:t xml:space="preserve"> irrelevant</w:t>
      </w:r>
      <w:r w:rsidR="001620B5" w:rsidRPr="008A3778">
        <w:rPr>
          <w:rFonts w:ascii="Helvetica" w:hAnsi="Helvetica" w:cs="Helvetica"/>
          <w:lang w:val="en-GB"/>
        </w:rPr>
        <w:t>,</w:t>
      </w:r>
      <w:r w:rsidR="00E867CA" w:rsidRPr="008A3778">
        <w:rPr>
          <w:rFonts w:ascii="Helvetica" w:hAnsi="Helvetica" w:cs="Helvetica"/>
          <w:lang w:val="en-GB"/>
        </w:rPr>
        <w:t xml:space="preserve"> or of </w:t>
      </w:r>
      <w:r w:rsidR="00367357" w:rsidRPr="008A3778">
        <w:rPr>
          <w:rFonts w:ascii="Helvetica" w:hAnsi="Helvetica" w:cs="Helvetica"/>
          <w:lang w:val="en-GB"/>
        </w:rPr>
        <w:t>archiva</w:t>
      </w:r>
      <w:r w:rsidR="001620B5" w:rsidRPr="008A3778">
        <w:rPr>
          <w:rFonts w:ascii="Helvetica" w:hAnsi="Helvetica" w:cs="Helvetica"/>
          <w:lang w:val="en-GB"/>
        </w:rPr>
        <w:t>l interest only,</w:t>
      </w:r>
      <w:r w:rsidR="00585BDB" w:rsidRPr="008A3778">
        <w:rPr>
          <w:rFonts w:ascii="Helvetica" w:hAnsi="Helvetica" w:cs="Helvetica"/>
          <w:lang w:val="en-GB"/>
        </w:rPr>
        <w:t xml:space="preserve"> within the context of a High Court’s below</w:t>
      </w:r>
      <w:r w:rsidR="005A3373">
        <w:rPr>
          <w:rFonts w:ascii="Helvetica" w:hAnsi="Helvetica" w:cs="Helvetica"/>
          <w:lang w:val="en-GB"/>
        </w:rPr>
        <w:t>-</w:t>
      </w:r>
      <w:r w:rsidR="00585BDB" w:rsidRPr="008A3778">
        <w:rPr>
          <w:rFonts w:ascii="Helvetica" w:hAnsi="Helvetica" w:cs="Helvetica"/>
          <w:lang w:val="en-GB"/>
        </w:rPr>
        <w:t xml:space="preserve">mentioned functions, powers, and jurisdiction in a section 30P application. </w:t>
      </w:r>
    </w:p>
    <w:p w14:paraId="4374FA03" w14:textId="644B0BB5" w:rsidR="008524EB" w:rsidRPr="008A3778" w:rsidRDefault="00A15F08" w:rsidP="008A3778">
      <w:pPr>
        <w:pStyle w:val="ListParagraph"/>
        <w:numPr>
          <w:ilvl w:val="0"/>
          <w:numId w:val="3"/>
        </w:numPr>
        <w:tabs>
          <w:tab w:val="left" w:pos="709"/>
        </w:tabs>
        <w:adjustRightInd w:val="0"/>
        <w:spacing w:after="360" w:line="360" w:lineRule="auto"/>
        <w:ind w:left="709" w:hanging="709"/>
        <w:contextualSpacing w:val="0"/>
        <w:jc w:val="both"/>
        <w:rPr>
          <w:rFonts w:ascii="Helvetica" w:hAnsi="Helvetica" w:cs="Helvetica"/>
          <w:b/>
          <w:bCs/>
          <w:lang w:val="en-GB"/>
        </w:rPr>
      </w:pPr>
      <w:r w:rsidRPr="008A3778">
        <w:rPr>
          <w:rFonts w:ascii="Helvetica" w:hAnsi="Helvetica" w:cs="Helvetica"/>
          <w:b/>
          <w:bCs/>
          <w:lang w:val="en-GB"/>
        </w:rPr>
        <w:t xml:space="preserve">THE PENSIONS FUNDS ACT: </w:t>
      </w:r>
      <w:r w:rsidR="008524EB" w:rsidRPr="008A3778">
        <w:rPr>
          <w:rFonts w:ascii="Helvetica" w:hAnsi="Helvetica" w:cs="Helvetica"/>
          <w:b/>
          <w:bCs/>
          <w:lang w:val="en-GB"/>
        </w:rPr>
        <w:t>THE LEGISLATIVE CONTEXT</w:t>
      </w:r>
    </w:p>
    <w:p w14:paraId="0BFAE4B9" w14:textId="79A33B97" w:rsidR="00A15F08" w:rsidRPr="008A3778" w:rsidRDefault="00A15F08" w:rsidP="008A3778">
      <w:pPr>
        <w:pStyle w:val="ListParagraph"/>
        <w:numPr>
          <w:ilvl w:val="0"/>
          <w:numId w:val="17"/>
        </w:numPr>
        <w:tabs>
          <w:tab w:val="left" w:pos="720"/>
        </w:tabs>
        <w:adjustRightInd w:val="0"/>
        <w:spacing w:after="360"/>
        <w:ind w:hanging="720"/>
        <w:contextualSpacing w:val="0"/>
        <w:rPr>
          <w:rFonts w:ascii="Helvetica" w:hAnsi="Helvetica" w:cs="Helvetica"/>
          <w:b/>
          <w:bCs/>
          <w:lang w:val="en-GB"/>
        </w:rPr>
      </w:pPr>
      <w:r w:rsidRPr="008A3778">
        <w:rPr>
          <w:rFonts w:ascii="Helvetica" w:hAnsi="Helvetica" w:cs="Helvetica"/>
          <w:b/>
          <w:bCs/>
          <w:lang w:val="en-GB"/>
        </w:rPr>
        <w:t>Introduction</w:t>
      </w:r>
    </w:p>
    <w:p w14:paraId="63880481" w14:textId="6790839D" w:rsidR="00A15F08" w:rsidRPr="008A3778" w:rsidRDefault="00A15F08"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Before dealing </w:t>
      </w:r>
      <w:r w:rsidR="00D70060" w:rsidRPr="008A3778">
        <w:rPr>
          <w:rFonts w:ascii="Helvetica" w:hAnsi="Helvetica" w:cs="Helvetica"/>
          <w:lang w:val="en-GB"/>
        </w:rPr>
        <w:t>(</w:t>
      </w:r>
      <w:r w:rsidRPr="008A3778">
        <w:rPr>
          <w:rFonts w:ascii="Helvetica" w:hAnsi="Helvetica" w:cs="Helvetica"/>
          <w:lang w:val="en-GB"/>
        </w:rPr>
        <w:t>further</w:t>
      </w:r>
      <w:r w:rsidR="00D70060" w:rsidRPr="008A3778">
        <w:rPr>
          <w:rFonts w:ascii="Helvetica" w:hAnsi="Helvetica" w:cs="Helvetica"/>
          <w:lang w:val="en-GB"/>
        </w:rPr>
        <w:t>)</w:t>
      </w:r>
      <w:r w:rsidRPr="008A3778">
        <w:rPr>
          <w:rFonts w:ascii="Helvetica" w:hAnsi="Helvetica" w:cs="Helvetica"/>
          <w:lang w:val="en-GB"/>
        </w:rPr>
        <w:t xml:space="preserve"> with the </w:t>
      </w:r>
      <w:r w:rsidR="00D0270D">
        <w:rPr>
          <w:rFonts w:ascii="Helvetica" w:hAnsi="Helvetica" w:cs="Helvetica"/>
          <w:lang w:val="en-GB"/>
        </w:rPr>
        <w:t xml:space="preserve">merits of </w:t>
      </w:r>
      <w:r w:rsidRPr="008A3778">
        <w:rPr>
          <w:rFonts w:ascii="Helvetica" w:hAnsi="Helvetica" w:cs="Helvetica"/>
          <w:lang w:val="en-GB"/>
        </w:rPr>
        <w:t>th</w:t>
      </w:r>
      <w:r w:rsidR="007C1803" w:rsidRPr="008A3778">
        <w:rPr>
          <w:rFonts w:ascii="Helvetica" w:hAnsi="Helvetica" w:cs="Helvetica"/>
          <w:lang w:val="en-GB"/>
        </w:rPr>
        <w:t>is</w:t>
      </w:r>
      <w:r w:rsidRPr="008A3778">
        <w:rPr>
          <w:rFonts w:ascii="Helvetica" w:hAnsi="Helvetica" w:cs="Helvetica"/>
          <w:lang w:val="en-GB"/>
        </w:rPr>
        <w:t xml:space="preserve"> appeal, it is </w:t>
      </w:r>
      <w:r w:rsidR="00D70060" w:rsidRPr="008A3778">
        <w:rPr>
          <w:rFonts w:ascii="Helvetica" w:hAnsi="Helvetica" w:cs="Helvetica"/>
          <w:lang w:val="en-GB"/>
        </w:rPr>
        <w:t xml:space="preserve">first </w:t>
      </w:r>
      <w:r w:rsidRPr="008A3778">
        <w:rPr>
          <w:rFonts w:ascii="Helvetica" w:hAnsi="Helvetica" w:cs="Helvetica"/>
          <w:lang w:val="en-GB"/>
        </w:rPr>
        <w:t xml:space="preserve">necessary </w:t>
      </w:r>
      <w:r w:rsidR="00D70060" w:rsidRPr="008A3778">
        <w:rPr>
          <w:rFonts w:ascii="Helvetica" w:hAnsi="Helvetica" w:cs="Helvetica"/>
          <w:lang w:val="en-GB"/>
        </w:rPr>
        <w:t xml:space="preserve">for me </w:t>
      </w:r>
      <w:r w:rsidRPr="008A3778">
        <w:rPr>
          <w:rFonts w:ascii="Helvetica" w:hAnsi="Helvetica" w:cs="Helvetica"/>
          <w:lang w:val="en-GB"/>
        </w:rPr>
        <w:t>to set out the relevant legislative context.</w:t>
      </w:r>
      <w:r w:rsidR="00031A2E" w:rsidRPr="008A3778">
        <w:rPr>
          <w:rFonts w:ascii="Helvetica" w:hAnsi="Helvetica" w:cs="Helvetica"/>
          <w:lang w:val="en-GB"/>
        </w:rPr>
        <w:t xml:space="preserve"> In this regard, particular attention is to be paid to</w:t>
      </w:r>
      <w:r w:rsidR="0008462A" w:rsidRPr="008A3778">
        <w:rPr>
          <w:rFonts w:ascii="Helvetica" w:hAnsi="Helvetica" w:cs="Helvetica"/>
          <w:lang w:val="en-GB"/>
        </w:rPr>
        <w:t xml:space="preserve">, </w:t>
      </w:r>
      <w:r w:rsidR="00023D47" w:rsidRPr="00023D47">
        <w:rPr>
          <w:rFonts w:ascii="Helvetica" w:hAnsi="Helvetica" w:cs="Helvetica"/>
          <w:i/>
          <w:iCs/>
          <w:lang w:val="en-GB"/>
        </w:rPr>
        <w:t>inter-alia</w:t>
      </w:r>
      <w:r w:rsidR="0008462A" w:rsidRPr="008A3778">
        <w:rPr>
          <w:rFonts w:ascii="Helvetica" w:hAnsi="Helvetica" w:cs="Helvetica"/>
          <w:lang w:val="en-GB"/>
        </w:rPr>
        <w:t>,</w:t>
      </w:r>
      <w:r w:rsidR="00031A2E" w:rsidRPr="008A3778">
        <w:rPr>
          <w:rFonts w:ascii="Helvetica" w:hAnsi="Helvetica" w:cs="Helvetica"/>
          <w:lang w:val="en-GB"/>
        </w:rPr>
        <w:t xml:space="preserve"> section</w:t>
      </w:r>
      <w:r w:rsidR="0008462A" w:rsidRPr="008A3778">
        <w:rPr>
          <w:rFonts w:ascii="Helvetica" w:hAnsi="Helvetica" w:cs="Helvetica"/>
          <w:lang w:val="en-GB"/>
        </w:rPr>
        <w:t xml:space="preserve">s </w:t>
      </w:r>
      <w:r w:rsidR="00031A2E" w:rsidRPr="008A3778">
        <w:rPr>
          <w:rFonts w:ascii="Helvetica" w:hAnsi="Helvetica" w:cs="Helvetica"/>
          <w:lang w:val="en-GB"/>
        </w:rPr>
        <w:t>30P</w:t>
      </w:r>
      <w:r w:rsidR="00B566C2" w:rsidRPr="008A3778">
        <w:rPr>
          <w:rFonts w:ascii="Helvetica" w:hAnsi="Helvetica" w:cs="Helvetica"/>
          <w:lang w:val="en-GB"/>
        </w:rPr>
        <w:t xml:space="preserve"> and 37C</w:t>
      </w:r>
      <w:r w:rsidR="00780834" w:rsidRPr="008A3778">
        <w:rPr>
          <w:rFonts w:ascii="Helvetica" w:hAnsi="Helvetica" w:cs="Helvetica"/>
          <w:lang w:val="en-GB"/>
        </w:rPr>
        <w:t xml:space="preserve"> </w:t>
      </w:r>
      <w:r w:rsidR="00CA5D47" w:rsidRPr="008A3778">
        <w:rPr>
          <w:rFonts w:ascii="Helvetica" w:hAnsi="Helvetica" w:cs="Helvetica"/>
          <w:lang w:val="en-GB"/>
        </w:rPr>
        <w:t>of the Pension Funds Act</w:t>
      </w:r>
      <w:r w:rsidR="00780834" w:rsidRPr="008A3778">
        <w:rPr>
          <w:rFonts w:ascii="Helvetica" w:hAnsi="Helvetica" w:cs="Helvetica"/>
          <w:lang w:val="en-GB"/>
        </w:rPr>
        <w:t xml:space="preserve">. </w:t>
      </w:r>
    </w:p>
    <w:p w14:paraId="223386E8" w14:textId="199C57DA" w:rsidR="00A15F08" w:rsidRPr="008A3778" w:rsidRDefault="003A7011" w:rsidP="008A3778">
      <w:pPr>
        <w:pStyle w:val="ListParagraph"/>
        <w:numPr>
          <w:ilvl w:val="0"/>
          <w:numId w:val="17"/>
        </w:numPr>
        <w:tabs>
          <w:tab w:val="left" w:pos="720"/>
        </w:tabs>
        <w:adjustRightInd w:val="0"/>
        <w:spacing w:after="360"/>
        <w:ind w:hanging="720"/>
        <w:contextualSpacing w:val="0"/>
        <w:rPr>
          <w:rFonts w:ascii="Helvetica" w:hAnsi="Helvetica" w:cs="Helvetica"/>
          <w:b/>
          <w:lang w:val="en-GB"/>
        </w:rPr>
      </w:pPr>
      <w:r w:rsidRPr="008A3778">
        <w:rPr>
          <w:rFonts w:ascii="Helvetica" w:hAnsi="Helvetica" w:cs="Helvetica"/>
          <w:b/>
          <w:bCs/>
          <w:lang w:val="en-GB"/>
        </w:rPr>
        <w:t>S</w:t>
      </w:r>
      <w:r w:rsidR="00E07277" w:rsidRPr="008A3778">
        <w:rPr>
          <w:rFonts w:ascii="Helvetica" w:hAnsi="Helvetica" w:cs="Helvetica"/>
          <w:b/>
          <w:bCs/>
          <w:lang w:val="en-GB"/>
        </w:rPr>
        <w:t>ection</w:t>
      </w:r>
      <w:r w:rsidR="00E07277" w:rsidRPr="008A3778">
        <w:rPr>
          <w:rFonts w:ascii="Helvetica" w:hAnsi="Helvetica" w:cs="Helvetica"/>
          <w:b/>
          <w:lang w:val="en-GB"/>
        </w:rPr>
        <w:t xml:space="preserve"> 1</w:t>
      </w:r>
      <w:r w:rsidRPr="008A3778">
        <w:rPr>
          <w:rFonts w:ascii="Helvetica" w:hAnsi="Helvetica" w:cs="Helvetica"/>
          <w:b/>
          <w:lang w:val="en-GB"/>
        </w:rPr>
        <w:t>(1)</w:t>
      </w:r>
      <w:r w:rsidR="00CA5D47" w:rsidRPr="008A3778">
        <w:rPr>
          <w:rFonts w:ascii="Helvetica" w:hAnsi="Helvetica" w:cs="Helvetica"/>
          <w:b/>
          <w:lang w:val="en-GB"/>
        </w:rPr>
        <w:t xml:space="preserve"> definitions</w:t>
      </w:r>
      <w:r w:rsidRPr="008A3778">
        <w:rPr>
          <w:rFonts w:ascii="Helvetica" w:hAnsi="Helvetica" w:cs="Helvetica"/>
          <w:b/>
          <w:lang w:val="en-GB"/>
        </w:rPr>
        <w:t xml:space="preserve">: </w:t>
      </w:r>
      <w:r w:rsidR="00A850EB" w:rsidRPr="008A3778">
        <w:rPr>
          <w:rFonts w:ascii="Helvetica" w:hAnsi="Helvetica" w:cs="Helvetica"/>
          <w:b/>
          <w:lang w:val="en-GB"/>
        </w:rPr>
        <w:t xml:space="preserve">“complainant” and </w:t>
      </w:r>
      <w:r w:rsidRPr="008A3778">
        <w:rPr>
          <w:rFonts w:ascii="Helvetica" w:hAnsi="Helvetica" w:cs="Helvetica"/>
          <w:b/>
          <w:lang w:val="en-GB"/>
        </w:rPr>
        <w:t>“complaint”</w:t>
      </w:r>
    </w:p>
    <w:p w14:paraId="36E78963" w14:textId="6D6564EB" w:rsidR="00CA5D47" w:rsidRPr="008A3778" w:rsidRDefault="00CA5D47" w:rsidP="008A3778">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Section 1(1)</w:t>
      </w:r>
      <w:r w:rsidR="00A850EB" w:rsidRPr="008A3778">
        <w:rPr>
          <w:rFonts w:ascii="Helvetica" w:hAnsi="Helvetica" w:cs="Helvetica"/>
          <w:lang w:val="en-GB"/>
        </w:rPr>
        <w:t xml:space="preserve"> defines “</w:t>
      </w:r>
      <w:r w:rsidR="00A850EB" w:rsidRPr="008A3778">
        <w:rPr>
          <w:rFonts w:ascii="Helvetica" w:hAnsi="Helvetica" w:cs="Helvetica"/>
          <w:i/>
          <w:iCs/>
          <w:lang w:val="en-GB"/>
        </w:rPr>
        <w:t>complainant</w:t>
      </w:r>
      <w:r w:rsidR="00A850EB" w:rsidRPr="008A3778">
        <w:rPr>
          <w:rFonts w:ascii="Helvetica" w:hAnsi="Helvetica" w:cs="Helvetica"/>
          <w:lang w:val="en-GB"/>
        </w:rPr>
        <w:t xml:space="preserve">” </w:t>
      </w:r>
      <w:r w:rsidRPr="008A3778">
        <w:rPr>
          <w:rFonts w:ascii="Helvetica" w:hAnsi="Helvetica" w:cs="Helvetica"/>
          <w:lang w:val="en-GB"/>
        </w:rPr>
        <w:t xml:space="preserve">to include members and former members of a fund, beneficiaries and former beneficiaries of a fund, employers who participate in a fund, a board of a fund or a member of a board or any interested person. </w:t>
      </w:r>
    </w:p>
    <w:p w14:paraId="29EA2654" w14:textId="6F17820E" w:rsidR="00CA5D47" w:rsidRPr="008A3778" w:rsidRDefault="00CA5D47" w:rsidP="008A3778">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color w:val="000000"/>
          <w:lang w:val="en-GB"/>
        </w:rPr>
        <w:t xml:space="preserve">The </w:t>
      </w:r>
      <w:r w:rsidRPr="008A3778">
        <w:rPr>
          <w:rFonts w:ascii="Helvetica" w:hAnsi="Helvetica" w:cs="Helvetica"/>
          <w:lang w:val="en-GB"/>
        </w:rPr>
        <w:t>definition</w:t>
      </w:r>
      <w:r w:rsidRPr="008A3778">
        <w:rPr>
          <w:rFonts w:ascii="Helvetica" w:hAnsi="Helvetica" w:cs="Helvetica"/>
          <w:color w:val="000000"/>
          <w:lang w:val="en-GB"/>
        </w:rPr>
        <w:t xml:space="preserve"> of a </w:t>
      </w:r>
      <w:r w:rsidR="00A850EB" w:rsidRPr="008A3778">
        <w:rPr>
          <w:rFonts w:ascii="Helvetica" w:hAnsi="Helvetica" w:cs="Helvetica"/>
          <w:color w:val="000000"/>
          <w:lang w:val="en-GB"/>
        </w:rPr>
        <w:t>“</w:t>
      </w:r>
      <w:r w:rsidRPr="008A3778">
        <w:rPr>
          <w:rFonts w:ascii="Helvetica" w:hAnsi="Helvetica" w:cs="Helvetica"/>
          <w:i/>
          <w:iCs/>
          <w:lang w:val="en-GB"/>
        </w:rPr>
        <w:t>complaint</w:t>
      </w:r>
      <w:r w:rsidR="00A850EB" w:rsidRPr="008A3778">
        <w:rPr>
          <w:rFonts w:ascii="Helvetica" w:hAnsi="Helvetica" w:cs="Helvetica"/>
          <w:lang w:val="en-GB"/>
        </w:rPr>
        <w:t>”</w:t>
      </w:r>
      <w:r w:rsidRPr="008A3778">
        <w:rPr>
          <w:rFonts w:ascii="Helvetica" w:hAnsi="Helvetica" w:cs="Helvetica"/>
          <w:color w:val="000000"/>
          <w:lang w:val="en-GB"/>
        </w:rPr>
        <w:t xml:space="preserve"> </w:t>
      </w:r>
      <w:r w:rsidR="00A850EB" w:rsidRPr="008A3778">
        <w:rPr>
          <w:rFonts w:ascii="Helvetica" w:hAnsi="Helvetica" w:cs="Helvetica"/>
          <w:color w:val="000000"/>
          <w:lang w:val="en-GB"/>
        </w:rPr>
        <w:t xml:space="preserve">in the section </w:t>
      </w:r>
      <w:r w:rsidRPr="008A3778">
        <w:rPr>
          <w:rFonts w:ascii="Helvetica" w:hAnsi="Helvetica" w:cs="Helvetica"/>
          <w:color w:val="000000"/>
          <w:lang w:val="en-GB"/>
        </w:rPr>
        <w:t xml:space="preserve">is equally important. It </w:t>
      </w:r>
      <w:r w:rsidR="00A850EB" w:rsidRPr="008A3778">
        <w:rPr>
          <w:rFonts w:ascii="Helvetica" w:hAnsi="Helvetica" w:cs="Helvetica"/>
          <w:color w:val="000000"/>
          <w:lang w:val="en-GB"/>
        </w:rPr>
        <w:t>is defined to mean</w:t>
      </w:r>
      <w:r w:rsidRPr="008A3778">
        <w:rPr>
          <w:rFonts w:ascii="Helvetica" w:hAnsi="Helvetica" w:cs="Helvetica"/>
          <w:color w:val="000000"/>
          <w:lang w:val="en-GB"/>
        </w:rPr>
        <w:t>:</w:t>
      </w:r>
    </w:p>
    <w:p w14:paraId="57126671" w14:textId="55BB04AD" w:rsidR="00CA5D47" w:rsidRPr="008A3778" w:rsidRDefault="00F939F4" w:rsidP="003D368F">
      <w:pPr>
        <w:shd w:val="clear" w:color="auto" w:fill="FFFFFF"/>
        <w:tabs>
          <w:tab w:val="left" w:pos="1080"/>
        </w:tabs>
        <w:spacing w:before="144" w:after="288" w:line="240" w:lineRule="auto"/>
        <w:ind w:left="1080" w:right="498"/>
        <w:jc w:val="both"/>
        <w:rPr>
          <w:rFonts w:ascii="Helvetica" w:hAnsi="Helvetica" w:cs="Helvetica"/>
          <w:i/>
          <w:iCs/>
          <w:color w:val="242121"/>
          <w:lang w:val="en-GB"/>
        </w:rPr>
      </w:pPr>
      <w:r w:rsidRPr="008A3778">
        <w:rPr>
          <w:rFonts w:ascii="Helvetica" w:hAnsi="Helvetica" w:cs="Helvetica"/>
          <w:lang w:val="en-GB"/>
        </w:rPr>
        <w:t>“</w:t>
      </w:r>
      <w:r w:rsidR="00CA5D47" w:rsidRPr="008A3778">
        <w:rPr>
          <w:rFonts w:ascii="Helvetica" w:hAnsi="Helvetica" w:cs="Helvetica"/>
          <w:i/>
          <w:iCs/>
          <w:color w:val="000000"/>
          <w:lang w:val="en-GB"/>
        </w:rPr>
        <w:t xml:space="preserve">A </w:t>
      </w:r>
      <w:r w:rsidR="00CA5D47" w:rsidRPr="008A3778">
        <w:rPr>
          <w:rFonts w:ascii="Helvetica" w:hAnsi="Helvetica" w:cs="Helvetica"/>
          <w:i/>
          <w:iCs/>
          <w:lang w:val="en-GB"/>
        </w:rPr>
        <w:t>complaint</w:t>
      </w:r>
      <w:r w:rsidR="00CA5D47" w:rsidRPr="008A3778">
        <w:rPr>
          <w:rFonts w:ascii="Helvetica" w:hAnsi="Helvetica" w:cs="Helvetica"/>
          <w:i/>
          <w:iCs/>
          <w:color w:val="000000"/>
          <w:lang w:val="en-GB"/>
        </w:rPr>
        <w:t xml:space="preserve"> of a complainant relating to the administration of a fund, the investment of its funds or the interpretation and application of its rules, and alleging</w:t>
      </w:r>
      <w:r w:rsidR="00585BDB" w:rsidRPr="008A3778">
        <w:rPr>
          <w:rFonts w:ascii="Helvetica" w:hAnsi="Helvetica" w:cs="Helvetica"/>
          <w:i/>
          <w:iCs/>
          <w:color w:val="000000"/>
          <w:lang w:val="en-GB"/>
        </w:rPr>
        <w:t>-</w:t>
      </w:r>
    </w:p>
    <w:p w14:paraId="6F25A6D7" w14:textId="7071A8CD" w:rsidR="00CA5D47" w:rsidRPr="008A3778" w:rsidRDefault="00CA5D47" w:rsidP="003D368F">
      <w:pPr>
        <w:pStyle w:val="NormalWeb"/>
        <w:shd w:val="clear" w:color="auto" w:fill="FFFFFF"/>
        <w:spacing w:before="144" w:beforeAutospacing="0" w:after="0" w:afterAutospacing="0"/>
        <w:ind w:left="1620" w:right="498" w:hanging="540"/>
        <w:jc w:val="both"/>
        <w:rPr>
          <w:rFonts w:ascii="Helvetica" w:hAnsi="Helvetica" w:cs="Helvetica"/>
          <w:i/>
          <w:iCs/>
          <w:color w:val="242121"/>
          <w:sz w:val="22"/>
          <w:szCs w:val="22"/>
          <w:lang w:val="en-GB"/>
        </w:rPr>
      </w:pPr>
      <w:r w:rsidRPr="008A3778">
        <w:rPr>
          <w:rFonts w:ascii="Helvetica" w:hAnsi="Helvetica" w:cs="Helvetica"/>
          <w:i/>
          <w:iCs/>
          <w:color w:val="000000"/>
          <w:sz w:val="22"/>
          <w:szCs w:val="22"/>
          <w:lang w:val="en-GB"/>
        </w:rPr>
        <w:lastRenderedPageBreak/>
        <w:t>(a)</w:t>
      </w:r>
      <w:r w:rsidR="00100C60" w:rsidRPr="008A3778">
        <w:rPr>
          <w:rFonts w:ascii="Helvetica" w:hAnsi="Helvetica" w:cs="Helvetica"/>
          <w:i/>
          <w:iCs/>
          <w:color w:val="000000"/>
          <w:sz w:val="22"/>
          <w:szCs w:val="22"/>
          <w:lang w:val="en-GB"/>
        </w:rPr>
        <w:tab/>
      </w:r>
      <w:r w:rsidRPr="008A3778">
        <w:rPr>
          <w:rFonts w:ascii="Helvetica" w:hAnsi="Helvetica" w:cs="Helvetica"/>
          <w:i/>
          <w:iCs/>
          <w:color w:val="000000"/>
          <w:sz w:val="22"/>
          <w:szCs w:val="22"/>
          <w:lang w:val="en-GB"/>
        </w:rPr>
        <w:t>that a decision of the fund or any person purportedly taken in terms of the rules was in excess of the powers of that fund or person, or an improper exercise of its powers;</w:t>
      </w:r>
    </w:p>
    <w:p w14:paraId="127E796C" w14:textId="730A43A3" w:rsidR="00CA5D47" w:rsidRPr="008A3778" w:rsidRDefault="00CA5D47" w:rsidP="003D368F">
      <w:pPr>
        <w:pStyle w:val="NormalWeb"/>
        <w:shd w:val="clear" w:color="auto" w:fill="FFFFFF"/>
        <w:spacing w:before="144" w:beforeAutospacing="0" w:after="0" w:afterAutospacing="0"/>
        <w:ind w:left="1620" w:right="498" w:hanging="540"/>
        <w:jc w:val="both"/>
        <w:rPr>
          <w:rFonts w:ascii="Helvetica" w:hAnsi="Helvetica" w:cs="Helvetica"/>
          <w:i/>
          <w:iCs/>
          <w:color w:val="242121"/>
          <w:sz w:val="22"/>
          <w:szCs w:val="22"/>
          <w:lang w:val="en-GB"/>
        </w:rPr>
      </w:pPr>
      <w:r w:rsidRPr="008A3778">
        <w:rPr>
          <w:rFonts w:ascii="Helvetica" w:hAnsi="Helvetica" w:cs="Helvetica"/>
          <w:i/>
          <w:iCs/>
          <w:color w:val="000000"/>
          <w:sz w:val="22"/>
          <w:szCs w:val="22"/>
          <w:lang w:val="en-GB"/>
        </w:rPr>
        <w:t>(b)</w:t>
      </w:r>
      <w:r w:rsidR="00100C60" w:rsidRPr="008A3778">
        <w:rPr>
          <w:rFonts w:ascii="Helvetica" w:hAnsi="Helvetica" w:cs="Helvetica"/>
          <w:i/>
          <w:iCs/>
          <w:color w:val="000000"/>
          <w:sz w:val="22"/>
          <w:szCs w:val="22"/>
          <w:lang w:val="en-GB"/>
        </w:rPr>
        <w:tab/>
      </w:r>
      <w:r w:rsidRPr="008A3778">
        <w:rPr>
          <w:rFonts w:ascii="Helvetica" w:hAnsi="Helvetica" w:cs="Helvetica"/>
          <w:i/>
          <w:iCs/>
          <w:color w:val="000000"/>
          <w:sz w:val="22"/>
          <w:szCs w:val="22"/>
          <w:lang w:val="en-GB"/>
        </w:rPr>
        <w:t>that the complainant has sustained or may sustain prejudice in consequence of the maladministration of the fund by the fund or any person, whether by act or omission;</w:t>
      </w:r>
    </w:p>
    <w:p w14:paraId="1904ECB1" w14:textId="42B19E0E" w:rsidR="00CA5D47" w:rsidRPr="008A3778" w:rsidRDefault="00CA5D47" w:rsidP="003D368F">
      <w:pPr>
        <w:pStyle w:val="NormalWeb"/>
        <w:shd w:val="clear" w:color="auto" w:fill="FFFFFF"/>
        <w:spacing w:before="144" w:beforeAutospacing="0" w:after="0" w:afterAutospacing="0"/>
        <w:ind w:left="1620" w:right="498" w:hanging="540"/>
        <w:jc w:val="both"/>
        <w:rPr>
          <w:rFonts w:ascii="Helvetica" w:hAnsi="Helvetica" w:cs="Helvetica"/>
          <w:i/>
          <w:iCs/>
          <w:color w:val="242121"/>
          <w:sz w:val="22"/>
          <w:szCs w:val="22"/>
          <w:lang w:val="en-GB"/>
        </w:rPr>
      </w:pPr>
      <w:r w:rsidRPr="008A3778">
        <w:rPr>
          <w:rFonts w:ascii="Helvetica" w:hAnsi="Helvetica" w:cs="Helvetica"/>
          <w:i/>
          <w:iCs/>
          <w:color w:val="000000"/>
          <w:sz w:val="22"/>
          <w:szCs w:val="22"/>
          <w:lang w:val="en-GB"/>
        </w:rPr>
        <w:t>(c)</w:t>
      </w:r>
      <w:r w:rsidR="00BA4925" w:rsidRPr="008A3778">
        <w:rPr>
          <w:rFonts w:ascii="Helvetica" w:hAnsi="Helvetica" w:cs="Helvetica"/>
          <w:i/>
          <w:iCs/>
          <w:color w:val="000000"/>
          <w:sz w:val="22"/>
          <w:szCs w:val="22"/>
          <w:lang w:val="en-GB"/>
        </w:rPr>
        <w:tab/>
      </w:r>
      <w:r w:rsidRPr="008A3778">
        <w:rPr>
          <w:rFonts w:ascii="Helvetica" w:hAnsi="Helvetica" w:cs="Helvetica"/>
          <w:i/>
          <w:iCs/>
          <w:color w:val="000000"/>
          <w:sz w:val="22"/>
          <w:szCs w:val="22"/>
          <w:lang w:val="en-GB"/>
        </w:rPr>
        <w:t>that a dispute of fact or law has arisen in relation to a fund between the fund or any person and the complainant; or</w:t>
      </w:r>
    </w:p>
    <w:p w14:paraId="6CF90E93" w14:textId="3834B30C" w:rsidR="00CA5D47" w:rsidRPr="008A3778" w:rsidRDefault="00CA5D47" w:rsidP="003D368F">
      <w:pPr>
        <w:pStyle w:val="NormalWeb"/>
        <w:shd w:val="clear" w:color="auto" w:fill="FFFFFF"/>
        <w:spacing w:before="144" w:beforeAutospacing="0" w:after="0" w:afterAutospacing="0"/>
        <w:ind w:left="1620" w:right="498" w:hanging="540"/>
        <w:jc w:val="both"/>
        <w:rPr>
          <w:rFonts w:ascii="Helvetica" w:hAnsi="Helvetica" w:cs="Helvetica"/>
          <w:color w:val="242121"/>
          <w:sz w:val="22"/>
          <w:szCs w:val="22"/>
          <w:lang w:val="en-GB"/>
        </w:rPr>
      </w:pPr>
      <w:r w:rsidRPr="008A3778">
        <w:rPr>
          <w:rFonts w:ascii="Helvetica" w:hAnsi="Helvetica" w:cs="Helvetica"/>
          <w:i/>
          <w:iCs/>
          <w:color w:val="000000"/>
          <w:sz w:val="22"/>
          <w:szCs w:val="22"/>
          <w:lang w:val="en-GB"/>
        </w:rPr>
        <w:t>(d)</w:t>
      </w:r>
      <w:r w:rsidR="00BA4925" w:rsidRPr="008A3778">
        <w:rPr>
          <w:rFonts w:ascii="Helvetica" w:hAnsi="Helvetica" w:cs="Helvetica"/>
          <w:i/>
          <w:iCs/>
          <w:color w:val="000000"/>
          <w:sz w:val="22"/>
          <w:szCs w:val="22"/>
          <w:lang w:val="en-GB"/>
        </w:rPr>
        <w:tab/>
      </w:r>
      <w:r w:rsidRPr="008A3778">
        <w:rPr>
          <w:rFonts w:ascii="Helvetica" w:hAnsi="Helvetica" w:cs="Helvetica"/>
          <w:i/>
          <w:iCs/>
          <w:color w:val="000000"/>
          <w:sz w:val="22"/>
          <w:szCs w:val="22"/>
          <w:lang w:val="en-GB"/>
        </w:rPr>
        <w:t>that an employer who participates in a fund has not fulfilled its duties in terms of the rules of the fund</w:t>
      </w:r>
      <w:r w:rsidRPr="008A3778">
        <w:rPr>
          <w:rFonts w:ascii="Helvetica" w:hAnsi="Helvetica" w:cs="Helvetica"/>
          <w:color w:val="000000"/>
          <w:sz w:val="22"/>
          <w:szCs w:val="22"/>
          <w:lang w:val="en-GB"/>
        </w:rPr>
        <w:t>;</w:t>
      </w:r>
    </w:p>
    <w:p w14:paraId="29B11A29" w14:textId="6947C8BA" w:rsidR="00CA5D47" w:rsidRPr="008A3778" w:rsidRDefault="00CA5D47" w:rsidP="003D368F">
      <w:pPr>
        <w:pStyle w:val="NormalWeb"/>
        <w:shd w:val="clear" w:color="auto" w:fill="FFFFFF"/>
        <w:spacing w:before="144" w:beforeAutospacing="0" w:after="480" w:afterAutospacing="0"/>
        <w:ind w:left="1080" w:right="498"/>
        <w:jc w:val="both"/>
        <w:rPr>
          <w:rFonts w:ascii="Helvetica" w:hAnsi="Helvetica" w:cs="Helvetica"/>
          <w:color w:val="000000"/>
          <w:sz w:val="22"/>
          <w:szCs w:val="22"/>
          <w:lang w:val="en-GB"/>
        </w:rPr>
      </w:pPr>
      <w:r w:rsidRPr="008A3778">
        <w:rPr>
          <w:rFonts w:ascii="Helvetica" w:hAnsi="Helvetica" w:cs="Helvetica"/>
          <w:i/>
          <w:iCs/>
          <w:color w:val="000000"/>
          <w:sz w:val="22"/>
          <w:szCs w:val="22"/>
          <w:lang w:val="en-GB"/>
        </w:rPr>
        <w:t>but shall not include a complaint which does not relate to a specific complainant</w:t>
      </w:r>
      <w:r w:rsidRPr="008A3778">
        <w:rPr>
          <w:rFonts w:ascii="Helvetica" w:hAnsi="Helvetica" w:cs="Helvetica"/>
          <w:color w:val="000000"/>
          <w:sz w:val="22"/>
          <w:szCs w:val="22"/>
          <w:lang w:val="en-GB"/>
        </w:rPr>
        <w:t>.</w:t>
      </w:r>
      <w:r w:rsidR="00BA4925" w:rsidRPr="008A3778">
        <w:rPr>
          <w:rFonts w:ascii="Helvetica" w:hAnsi="Helvetica" w:cs="Helvetica"/>
          <w:color w:val="000000"/>
          <w:sz w:val="22"/>
          <w:szCs w:val="22"/>
          <w:lang w:val="en-GB"/>
        </w:rPr>
        <w:t>”</w:t>
      </w:r>
    </w:p>
    <w:p w14:paraId="2F881B86" w14:textId="5D48B22E" w:rsidR="00FC17CF" w:rsidRPr="008A3778" w:rsidRDefault="007F67A6" w:rsidP="008A3778">
      <w:pPr>
        <w:pStyle w:val="ListParagraph"/>
        <w:numPr>
          <w:ilvl w:val="0"/>
          <w:numId w:val="17"/>
        </w:numPr>
        <w:tabs>
          <w:tab w:val="left" w:pos="720"/>
        </w:tabs>
        <w:adjustRightInd w:val="0"/>
        <w:spacing w:after="480"/>
        <w:ind w:hanging="720"/>
        <w:contextualSpacing w:val="0"/>
        <w:rPr>
          <w:rFonts w:ascii="Helvetica" w:hAnsi="Helvetica" w:cs="Helvetica"/>
          <w:b/>
          <w:bCs/>
          <w:lang w:val="en-GB"/>
        </w:rPr>
      </w:pPr>
      <w:r w:rsidRPr="008A3778">
        <w:rPr>
          <w:rFonts w:ascii="Helvetica" w:hAnsi="Helvetica" w:cs="Helvetica"/>
          <w:b/>
          <w:bCs/>
          <w:lang w:val="en-GB"/>
        </w:rPr>
        <w:t xml:space="preserve">A section 30P </w:t>
      </w:r>
      <w:r w:rsidRPr="008A3778">
        <w:rPr>
          <w:rFonts w:ascii="Helvetica" w:hAnsi="Helvetica" w:cs="Helvetica"/>
          <w:b/>
          <w:lang w:val="en-GB"/>
        </w:rPr>
        <w:t>application</w:t>
      </w:r>
      <w:r w:rsidRPr="008A3778">
        <w:rPr>
          <w:rFonts w:ascii="Helvetica" w:hAnsi="Helvetica" w:cs="Helvetica"/>
          <w:b/>
          <w:bCs/>
          <w:lang w:val="en-GB"/>
        </w:rPr>
        <w:t>: The</w:t>
      </w:r>
      <w:r w:rsidR="00FC17CF" w:rsidRPr="008A3778">
        <w:rPr>
          <w:rFonts w:ascii="Helvetica" w:hAnsi="Helvetica" w:cs="Helvetica"/>
          <w:b/>
          <w:bCs/>
          <w:lang w:val="en-GB"/>
        </w:rPr>
        <w:t xml:space="preserve"> </w:t>
      </w:r>
      <w:r w:rsidRPr="008A3778">
        <w:rPr>
          <w:rFonts w:ascii="Helvetica" w:hAnsi="Helvetica" w:cs="Helvetica"/>
          <w:b/>
          <w:bCs/>
          <w:lang w:val="en-GB"/>
        </w:rPr>
        <w:t xml:space="preserve">parameters and ambit of a </w:t>
      </w:r>
      <w:r w:rsidR="005546BB" w:rsidRPr="008A3778">
        <w:rPr>
          <w:rFonts w:ascii="Helvetica" w:hAnsi="Helvetica" w:cs="Helvetica"/>
          <w:b/>
          <w:bCs/>
          <w:lang w:val="en-GB"/>
        </w:rPr>
        <w:t>court’s powers</w:t>
      </w:r>
      <w:r w:rsidRPr="008A3778">
        <w:rPr>
          <w:rFonts w:ascii="Helvetica" w:hAnsi="Helvetica" w:cs="Helvetica"/>
          <w:b/>
          <w:bCs/>
          <w:lang w:val="en-GB"/>
        </w:rPr>
        <w:t xml:space="preserve"> </w:t>
      </w:r>
    </w:p>
    <w:p w14:paraId="351BA11C" w14:textId="59C096ED" w:rsidR="00CC4DA1" w:rsidRPr="008A3778" w:rsidRDefault="0071721B"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The</w:t>
      </w:r>
      <w:r w:rsidR="00E20F09" w:rsidRPr="008A3778">
        <w:rPr>
          <w:rFonts w:ascii="Helvetica" w:hAnsi="Helvetica" w:cs="Helvetica"/>
          <w:lang w:val="en-GB"/>
        </w:rPr>
        <w:t>re appears to be little disagreement between the parties, at least on a primary level,</w:t>
      </w:r>
      <w:r w:rsidR="007F67A6" w:rsidRPr="008A3778">
        <w:rPr>
          <w:rFonts w:ascii="Helvetica" w:hAnsi="Helvetica" w:cs="Helvetica"/>
          <w:lang w:val="en-GB"/>
        </w:rPr>
        <w:t xml:space="preserve"> </w:t>
      </w:r>
      <w:r w:rsidR="002B0FB3">
        <w:rPr>
          <w:rFonts w:ascii="Helvetica" w:hAnsi="Helvetica" w:cs="Helvetica"/>
          <w:lang w:val="en-GB"/>
        </w:rPr>
        <w:t>on</w:t>
      </w:r>
      <w:r w:rsidR="007F67A6" w:rsidRPr="008A3778">
        <w:rPr>
          <w:rFonts w:ascii="Helvetica" w:hAnsi="Helvetica" w:cs="Helvetica"/>
          <w:lang w:val="en-GB"/>
        </w:rPr>
        <w:t xml:space="preserve"> </w:t>
      </w:r>
      <w:r w:rsidR="00E20F09" w:rsidRPr="008A3778">
        <w:rPr>
          <w:rFonts w:ascii="Helvetica" w:hAnsi="Helvetica" w:cs="Helvetica"/>
          <w:lang w:val="en-GB"/>
        </w:rPr>
        <w:t>the</w:t>
      </w:r>
      <w:r w:rsidRPr="008A3778">
        <w:rPr>
          <w:rFonts w:ascii="Helvetica" w:hAnsi="Helvetica" w:cs="Helvetica"/>
          <w:lang w:val="en-GB"/>
        </w:rPr>
        <w:t xml:space="preserve"> approach to be adopted by a </w:t>
      </w:r>
      <w:r w:rsidR="00E20F09" w:rsidRPr="008A3778">
        <w:rPr>
          <w:rFonts w:ascii="Helvetica" w:hAnsi="Helvetica" w:cs="Helvetica"/>
          <w:lang w:val="en-GB"/>
        </w:rPr>
        <w:t>c</w:t>
      </w:r>
      <w:r w:rsidRPr="008A3778">
        <w:rPr>
          <w:rFonts w:ascii="Helvetica" w:hAnsi="Helvetica" w:cs="Helvetica"/>
          <w:lang w:val="en-GB"/>
        </w:rPr>
        <w:t>ourt</w:t>
      </w:r>
      <w:r w:rsidR="00E20F09" w:rsidRPr="008A3778">
        <w:rPr>
          <w:rFonts w:ascii="Helvetica" w:hAnsi="Helvetica" w:cs="Helvetica"/>
          <w:lang w:val="en-GB"/>
        </w:rPr>
        <w:t xml:space="preserve"> when </w:t>
      </w:r>
      <w:r w:rsidRPr="008A3778">
        <w:rPr>
          <w:rFonts w:ascii="Helvetica" w:hAnsi="Helvetica" w:cs="Helvetica"/>
          <w:lang w:val="en-GB"/>
        </w:rPr>
        <w:t>considering a section 30P application</w:t>
      </w:r>
      <w:r w:rsidR="00B67BD9" w:rsidRPr="008A3778">
        <w:rPr>
          <w:rFonts w:ascii="Helvetica" w:hAnsi="Helvetica" w:cs="Helvetica"/>
          <w:lang w:val="en-GB"/>
        </w:rPr>
        <w:t xml:space="preserve">. </w:t>
      </w:r>
      <w:r w:rsidR="00E20F09" w:rsidRPr="008A3778">
        <w:rPr>
          <w:rFonts w:ascii="Helvetica" w:hAnsi="Helvetica" w:cs="Helvetica"/>
          <w:lang w:val="en-GB"/>
        </w:rPr>
        <w:t xml:space="preserve"> </w:t>
      </w:r>
    </w:p>
    <w:p w14:paraId="609A0350" w14:textId="77777777" w:rsidR="00386CFE" w:rsidRPr="008A3778" w:rsidRDefault="00386CFE"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 xml:space="preserve">The appellants, in their heads of argument, summarise the section 30P legal position as follows: </w:t>
      </w:r>
    </w:p>
    <w:p w14:paraId="0F7E1026" w14:textId="77777777" w:rsidR="00386CFE" w:rsidRPr="008A3778" w:rsidRDefault="00386CFE" w:rsidP="003D368F">
      <w:pPr>
        <w:shd w:val="clear" w:color="auto" w:fill="FFFFFF"/>
        <w:spacing w:after="480" w:line="240" w:lineRule="auto"/>
        <w:ind w:left="1080" w:right="498"/>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w:t>
      </w:r>
      <w:r w:rsidRPr="008A3778">
        <w:rPr>
          <w:rFonts w:ascii="Helvetica" w:eastAsia="Times New Roman" w:hAnsi="Helvetica" w:cs="Helvetica"/>
          <w:i/>
          <w:color w:val="242121"/>
          <w:lang w:val="en-GB" w:eastAsia="en-ZA" w:bidi="he-IL"/>
        </w:rPr>
        <w:t>The division of the High Court may consider the merits of the complaint made to the adjudicator under section 30A(3) and on which the adjudicator’s determination was based and may make any order it deems fit</w:t>
      </w:r>
      <w:r w:rsidRPr="008A3778">
        <w:rPr>
          <w:rFonts w:ascii="Helvetica" w:eastAsia="Times New Roman" w:hAnsi="Helvetica" w:cs="Helvetica"/>
          <w:iCs/>
          <w:color w:val="242121"/>
          <w:lang w:val="en-GB" w:eastAsia="en-ZA" w:bidi="he-IL"/>
        </w:rPr>
        <w:t>.”</w:t>
      </w:r>
    </w:p>
    <w:p w14:paraId="723E2D7C" w14:textId="4F2CF32B" w:rsidR="00386CFE" w:rsidRPr="008A3778" w:rsidRDefault="00386CFE"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 xml:space="preserve">An equally useful summary of the </w:t>
      </w:r>
      <w:r w:rsidR="007F67A6" w:rsidRPr="008A3778">
        <w:rPr>
          <w:rFonts w:ascii="Helvetica" w:eastAsia="Times New Roman" w:hAnsi="Helvetica" w:cs="Helvetica"/>
          <w:iCs/>
          <w:color w:val="242121"/>
          <w:lang w:val="en-GB" w:eastAsia="en-ZA" w:bidi="he-IL"/>
        </w:rPr>
        <w:t xml:space="preserve">section 30P </w:t>
      </w:r>
      <w:r w:rsidRPr="008A3778">
        <w:rPr>
          <w:rFonts w:ascii="Helvetica" w:eastAsia="Times New Roman" w:hAnsi="Helvetica" w:cs="Helvetica"/>
          <w:iCs/>
          <w:color w:val="242121"/>
          <w:lang w:val="en-GB" w:eastAsia="en-ZA" w:bidi="he-IL"/>
        </w:rPr>
        <w:t xml:space="preserve">legal position is contained in the </w:t>
      </w:r>
      <w:r w:rsidR="007F67A6" w:rsidRPr="008A3778">
        <w:rPr>
          <w:rFonts w:ascii="Helvetica" w:eastAsia="Times New Roman" w:hAnsi="Helvetica" w:cs="Helvetica"/>
          <w:iCs/>
          <w:color w:val="242121"/>
          <w:lang w:val="en-GB" w:eastAsia="en-ZA" w:bidi="he-IL"/>
        </w:rPr>
        <w:t xml:space="preserve">first and second respondents’ </w:t>
      </w:r>
      <w:r w:rsidRPr="008A3778">
        <w:rPr>
          <w:rFonts w:ascii="Helvetica" w:eastAsia="Times New Roman" w:hAnsi="Helvetica" w:cs="Helvetica"/>
          <w:iCs/>
          <w:color w:val="242121"/>
          <w:lang w:val="en-GB" w:eastAsia="en-ZA" w:bidi="he-IL"/>
        </w:rPr>
        <w:t>heads of argument. Therein</w:t>
      </w:r>
      <w:r w:rsidR="007F67A6" w:rsidRPr="008A3778">
        <w:rPr>
          <w:rFonts w:ascii="Helvetica" w:eastAsia="Times New Roman" w:hAnsi="Helvetica" w:cs="Helvetica"/>
          <w:iCs/>
          <w:color w:val="242121"/>
          <w:lang w:val="en-GB" w:eastAsia="en-ZA" w:bidi="he-IL"/>
        </w:rPr>
        <w:t>,</w:t>
      </w:r>
      <w:r w:rsidRPr="008A3778">
        <w:rPr>
          <w:rFonts w:ascii="Helvetica" w:eastAsia="Times New Roman" w:hAnsi="Helvetica" w:cs="Helvetica"/>
          <w:iCs/>
          <w:color w:val="242121"/>
          <w:lang w:val="en-GB" w:eastAsia="en-ZA" w:bidi="he-IL"/>
        </w:rPr>
        <w:t xml:space="preserve"> they state: </w:t>
      </w:r>
    </w:p>
    <w:p w14:paraId="5663EA47" w14:textId="0EF67CFC" w:rsidR="00386CFE" w:rsidRPr="008A3778" w:rsidRDefault="00386CFE" w:rsidP="003D368F">
      <w:pPr>
        <w:shd w:val="clear" w:color="auto" w:fill="FFFFFF"/>
        <w:spacing w:after="480" w:line="240" w:lineRule="auto"/>
        <w:ind w:left="1080" w:right="498"/>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w:t>
      </w:r>
      <w:r w:rsidRPr="008A3778">
        <w:rPr>
          <w:rFonts w:ascii="Helvetica" w:eastAsia="Times New Roman" w:hAnsi="Helvetica" w:cs="Helvetica"/>
          <w:i/>
          <w:color w:val="242121"/>
          <w:lang w:val="en-GB" w:eastAsia="en-ZA" w:bidi="he-IL"/>
        </w:rPr>
        <w:t xml:space="preserve">An application in terms of section 30P of the PFA is strictly speaking neither an appeal nor a review. It is a </w:t>
      </w:r>
      <w:r w:rsidRPr="003D368F">
        <w:rPr>
          <w:rFonts w:ascii="Helvetica" w:eastAsia="Times New Roman" w:hAnsi="Helvetica" w:cs="Helvetica"/>
          <w:iCs/>
          <w:color w:val="242121"/>
          <w:lang w:val="en-GB" w:eastAsia="en-ZA" w:bidi="he-IL"/>
        </w:rPr>
        <w:t>sui</w:t>
      </w:r>
      <w:r w:rsidRPr="008A3778">
        <w:rPr>
          <w:rFonts w:ascii="Helvetica" w:eastAsia="Times New Roman" w:hAnsi="Helvetica" w:cs="Helvetica"/>
          <w:i/>
          <w:color w:val="242121"/>
          <w:lang w:val="en-GB" w:eastAsia="en-ZA" w:bidi="he-IL"/>
        </w:rPr>
        <w:t xml:space="preserve"> generis application in which a High Court exercises original jurisdiction and reconsiders </w:t>
      </w:r>
      <w:r w:rsidRPr="008A3778">
        <w:rPr>
          <w:rFonts w:ascii="Helvetica" w:eastAsia="Times New Roman" w:hAnsi="Helvetica" w:cs="Helvetica"/>
          <w:b/>
          <w:bCs/>
          <w:i/>
          <w:color w:val="242121"/>
          <w:lang w:val="en-GB" w:eastAsia="en-ZA" w:bidi="he-IL"/>
        </w:rPr>
        <w:t>the merits of the complaint</w:t>
      </w:r>
      <w:r w:rsidRPr="008A3778">
        <w:rPr>
          <w:rFonts w:ascii="Helvetica" w:eastAsia="Times New Roman" w:hAnsi="Helvetica" w:cs="Helvetica"/>
          <w:i/>
          <w:color w:val="242121"/>
          <w:lang w:val="en-GB" w:eastAsia="en-ZA" w:bidi="he-IL"/>
        </w:rPr>
        <w:t xml:space="preserve"> that was lodged with the Pension Funds Adjudicator in terms of section 30A(1) of the PFA</w:t>
      </w:r>
      <w:r w:rsidRPr="008A3778">
        <w:rPr>
          <w:rFonts w:ascii="Helvetica" w:eastAsia="Times New Roman" w:hAnsi="Helvetica" w:cs="Helvetica"/>
          <w:iCs/>
          <w:color w:val="242121"/>
          <w:lang w:val="en-GB" w:eastAsia="en-ZA" w:bidi="he-IL"/>
        </w:rPr>
        <w:t>.”</w:t>
      </w:r>
      <w:r w:rsidR="00D126B7" w:rsidRPr="008A3778">
        <w:rPr>
          <w:rStyle w:val="FootnoteReference"/>
          <w:rFonts w:ascii="Helvetica" w:eastAsia="Times New Roman" w:hAnsi="Helvetica" w:cs="Helvetica"/>
          <w:iCs/>
          <w:color w:val="242121"/>
          <w:lang w:val="en-GB" w:eastAsia="en-ZA" w:bidi="he-IL"/>
        </w:rPr>
        <w:footnoteReference w:id="35"/>
      </w:r>
    </w:p>
    <w:p w14:paraId="02797DDB" w14:textId="72680F87" w:rsidR="0008739A" w:rsidRPr="008A3778" w:rsidRDefault="00386CFE" w:rsidP="0008739A">
      <w:pPr>
        <w:numPr>
          <w:ilvl w:val="0"/>
          <w:numId w:val="1"/>
        </w:numPr>
        <w:spacing w:after="360" w:line="360" w:lineRule="auto"/>
        <w:ind w:left="720" w:right="-151" w:hanging="720"/>
        <w:jc w:val="both"/>
        <w:rPr>
          <w:rFonts w:ascii="Helvetica" w:eastAsia="Times New Roman" w:hAnsi="Helvetica" w:cs="Helvetica"/>
          <w:b/>
          <w:bCs/>
          <w:color w:val="000000"/>
          <w:kern w:val="36"/>
          <w:lang w:val="en-GB" w:eastAsia="en-ZA"/>
        </w:rPr>
      </w:pPr>
      <w:r w:rsidRPr="008A3778">
        <w:rPr>
          <w:rFonts w:ascii="Helvetica" w:hAnsi="Helvetica" w:cs="Helvetica"/>
          <w:lang w:val="en-GB"/>
        </w:rPr>
        <w:t xml:space="preserve">The </w:t>
      </w:r>
      <w:r w:rsidR="001E4B28" w:rsidRPr="008A3778">
        <w:rPr>
          <w:rFonts w:ascii="Helvetica" w:hAnsi="Helvetica" w:cs="Helvetica"/>
          <w:lang w:val="en-GB"/>
        </w:rPr>
        <w:t xml:space="preserve">parties’ </w:t>
      </w:r>
      <w:r w:rsidRPr="008A3778">
        <w:rPr>
          <w:rFonts w:ascii="Helvetica" w:hAnsi="Helvetica" w:cs="Helvetica"/>
          <w:lang w:val="en-GB"/>
        </w:rPr>
        <w:t xml:space="preserve">aforesaid </w:t>
      </w:r>
      <w:r w:rsidR="00D126B7" w:rsidRPr="008A3778">
        <w:rPr>
          <w:rFonts w:ascii="Helvetica" w:hAnsi="Helvetica" w:cs="Helvetica"/>
          <w:lang w:val="en-GB"/>
        </w:rPr>
        <w:t>common position</w:t>
      </w:r>
      <w:r w:rsidR="00396D16">
        <w:rPr>
          <w:rFonts w:ascii="Helvetica" w:hAnsi="Helvetica" w:cs="Helvetica"/>
          <w:lang w:val="en-GB"/>
        </w:rPr>
        <w:t xml:space="preserve"> is</w:t>
      </w:r>
      <w:r w:rsidR="00470003" w:rsidRPr="008A3778">
        <w:rPr>
          <w:rFonts w:ascii="Helvetica" w:hAnsi="Helvetica" w:cs="Helvetica"/>
          <w:lang w:val="en-GB"/>
        </w:rPr>
        <w:t xml:space="preserve"> </w:t>
      </w:r>
      <w:r w:rsidR="000059A1" w:rsidRPr="008A3778">
        <w:rPr>
          <w:rFonts w:ascii="Helvetica" w:hAnsi="Helvetica" w:cs="Helvetica"/>
          <w:lang w:val="en-GB"/>
        </w:rPr>
        <w:t xml:space="preserve">no doubt </w:t>
      </w:r>
      <w:r w:rsidR="00470003" w:rsidRPr="008A3778">
        <w:rPr>
          <w:rFonts w:ascii="Helvetica" w:hAnsi="Helvetica" w:cs="Helvetica"/>
          <w:lang w:val="en-GB"/>
        </w:rPr>
        <w:t xml:space="preserve">attributable to </w:t>
      </w:r>
      <w:r w:rsidR="0071721B" w:rsidRPr="008A3778">
        <w:rPr>
          <w:rFonts w:ascii="Helvetica" w:hAnsi="Helvetica" w:cs="Helvetica"/>
          <w:lang w:val="en-GB"/>
        </w:rPr>
        <w:t xml:space="preserve">the </w:t>
      </w:r>
      <w:r w:rsidR="00470003" w:rsidRPr="008A3778">
        <w:rPr>
          <w:rFonts w:ascii="Helvetica" w:hAnsi="Helvetica" w:cs="Helvetica"/>
          <w:lang w:val="en-GB"/>
        </w:rPr>
        <w:t xml:space="preserve">numerous </w:t>
      </w:r>
      <w:r w:rsidR="00210AC1" w:rsidRPr="008A3778">
        <w:rPr>
          <w:rFonts w:ascii="Helvetica" w:hAnsi="Helvetica" w:cs="Helvetica"/>
          <w:lang w:val="en-GB"/>
        </w:rPr>
        <w:t xml:space="preserve">authoritative </w:t>
      </w:r>
      <w:r w:rsidR="00470003" w:rsidRPr="008A3778">
        <w:rPr>
          <w:rFonts w:ascii="Helvetica" w:hAnsi="Helvetica" w:cs="Helvetica"/>
          <w:lang w:val="en-GB"/>
        </w:rPr>
        <w:t>judg</w:t>
      </w:r>
      <w:r w:rsidR="00136D62">
        <w:rPr>
          <w:rFonts w:ascii="Helvetica" w:hAnsi="Helvetica" w:cs="Helvetica"/>
          <w:lang w:val="en-GB"/>
        </w:rPr>
        <w:t>e</w:t>
      </w:r>
      <w:r w:rsidR="00470003" w:rsidRPr="008A3778">
        <w:rPr>
          <w:rFonts w:ascii="Helvetica" w:hAnsi="Helvetica" w:cs="Helvetica"/>
          <w:lang w:val="en-GB"/>
        </w:rPr>
        <w:t xml:space="preserve">ments </w:t>
      </w:r>
      <w:r w:rsidR="0008739A" w:rsidRPr="008A3778">
        <w:rPr>
          <w:rFonts w:ascii="Helvetica" w:hAnsi="Helvetica" w:cs="Helvetica"/>
          <w:lang w:val="en-GB"/>
        </w:rPr>
        <w:t>dealing</w:t>
      </w:r>
      <w:r w:rsidR="00470003" w:rsidRPr="008A3778">
        <w:rPr>
          <w:rFonts w:ascii="Helvetica" w:hAnsi="Helvetica" w:cs="Helvetica"/>
          <w:lang w:val="en-GB"/>
        </w:rPr>
        <w:t xml:space="preserve"> </w:t>
      </w:r>
      <w:r w:rsidR="00D54204" w:rsidRPr="008A3778">
        <w:rPr>
          <w:rFonts w:ascii="Helvetica" w:hAnsi="Helvetica" w:cs="Helvetica"/>
          <w:lang w:val="en-GB"/>
        </w:rPr>
        <w:t xml:space="preserve">with </w:t>
      </w:r>
      <w:r w:rsidR="00470003" w:rsidRPr="008A3778">
        <w:rPr>
          <w:rFonts w:ascii="Helvetica" w:hAnsi="Helvetica" w:cs="Helvetica"/>
          <w:lang w:val="en-GB"/>
        </w:rPr>
        <w:t>section 30P</w:t>
      </w:r>
      <w:r w:rsidR="000059A1" w:rsidRPr="008A3778">
        <w:rPr>
          <w:rFonts w:ascii="Helvetica" w:hAnsi="Helvetica" w:cs="Helvetica"/>
          <w:lang w:val="en-GB"/>
        </w:rPr>
        <w:t>,</w:t>
      </w:r>
      <w:r w:rsidR="00470003" w:rsidRPr="008A3778">
        <w:rPr>
          <w:rFonts w:ascii="Helvetica" w:hAnsi="Helvetica" w:cs="Helvetica"/>
          <w:lang w:val="en-GB"/>
        </w:rPr>
        <w:t xml:space="preserve"> and a </w:t>
      </w:r>
      <w:r w:rsidR="00E20F09" w:rsidRPr="008A3778">
        <w:rPr>
          <w:rFonts w:ascii="Helvetica" w:hAnsi="Helvetica" w:cs="Helvetica"/>
          <w:lang w:val="en-GB"/>
        </w:rPr>
        <w:t>section 30P application</w:t>
      </w:r>
      <w:r w:rsidR="0071721B" w:rsidRPr="008A3778">
        <w:rPr>
          <w:rFonts w:ascii="Helvetica" w:hAnsi="Helvetica" w:cs="Helvetica"/>
          <w:lang w:val="en-GB"/>
        </w:rPr>
        <w:t>.</w:t>
      </w:r>
      <w:r w:rsidR="00B03AAA" w:rsidRPr="008A3778">
        <w:rPr>
          <w:rFonts w:ascii="Helvetica" w:eastAsia="Times New Roman" w:hAnsi="Helvetica" w:cs="Helvetica"/>
          <w:color w:val="000000"/>
          <w:kern w:val="36"/>
          <w:lang w:val="en-GB" w:eastAsia="en-ZA"/>
        </w:rPr>
        <w:t xml:space="preserve"> For </w:t>
      </w:r>
      <w:r w:rsidR="00B03AAA" w:rsidRPr="008A3778">
        <w:rPr>
          <w:rFonts w:ascii="Helvetica" w:eastAsia="Times New Roman" w:hAnsi="Helvetica" w:cs="Helvetica"/>
          <w:color w:val="000000"/>
          <w:kern w:val="36"/>
          <w:lang w:val="en-GB" w:eastAsia="en-ZA"/>
        </w:rPr>
        <w:lastRenderedPageBreak/>
        <w:t>example</w:t>
      </w:r>
      <w:r w:rsidR="00B03AAA" w:rsidRPr="008A3778">
        <w:rPr>
          <w:rFonts w:ascii="Helvetica" w:hAnsi="Helvetica" w:cs="Helvetica"/>
          <w:lang w:val="en-GB"/>
        </w:rPr>
        <w:t xml:space="preserve">, </w:t>
      </w:r>
      <w:r w:rsidR="0008739A" w:rsidRPr="008A3778">
        <w:rPr>
          <w:rFonts w:ascii="Helvetica" w:hAnsi="Helvetica" w:cs="Helvetica"/>
          <w:lang w:val="en-GB"/>
        </w:rPr>
        <w:t>Thring</w:t>
      </w:r>
      <w:r w:rsidR="0008739A" w:rsidRPr="008A3778">
        <w:rPr>
          <w:rFonts w:ascii="Helvetica" w:eastAsia="Times New Roman" w:hAnsi="Helvetica" w:cs="Helvetica"/>
          <w:color w:val="000000"/>
          <w:kern w:val="36"/>
          <w:lang w:val="en-GB" w:eastAsia="en-ZA"/>
        </w:rPr>
        <w:t xml:space="preserve"> J. in</w:t>
      </w:r>
      <w:r w:rsidR="0008739A" w:rsidRPr="008A3778">
        <w:rPr>
          <w:rFonts w:ascii="Helvetica" w:eastAsia="Times New Roman" w:hAnsi="Helvetica" w:cs="Helvetica"/>
          <w:b/>
          <w:bCs/>
          <w:color w:val="000000"/>
          <w:kern w:val="36"/>
          <w:lang w:val="en-GB" w:eastAsia="en-ZA"/>
        </w:rPr>
        <w:t xml:space="preserve"> De Beers Pension Fund v Pension Fund Adjudicator and Another</w:t>
      </w:r>
      <w:r w:rsidR="0008739A" w:rsidRPr="00E303D3">
        <w:rPr>
          <w:rStyle w:val="FootnoteReference"/>
          <w:rFonts w:ascii="Helvetica" w:eastAsia="Times New Roman" w:hAnsi="Helvetica" w:cs="Helvetica"/>
          <w:color w:val="000000"/>
          <w:kern w:val="36"/>
          <w:lang w:val="en-GB" w:eastAsia="en-ZA"/>
        </w:rPr>
        <w:footnoteReference w:id="36"/>
      </w:r>
      <w:r w:rsidR="0008739A" w:rsidRPr="008A3778">
        <w:rPr>
          <w:rFonts w:ascii="Helvetica" w:eastAsia="Times New Roman" w:hAnsi="Helvetica" w:cs="Helvetica"/>
          <w:color w:val="000000"/>
          <w:kern w:val="36"/>
          <w:lang w:val="en-GB" w:eastAsia="en-ZA"/>
        </w:rPr>
        <w:t xml:space="preserve"> held that:</w:t>
      </w:r>
    </w:p>
    <w:p w14:paraId="09DDDEE7" w14:textId="77777777" w:rsidR="0008739A" w:rsidRPr="008A3778" w:rsidRDefault="0008739A" w:rsidP="003D368F">
      <w:pPr>
        <w:shd w:val="clear" w:color="auto" w:fill="FFFFFF"/>
        <w:spacing w:after="480" w:line="240" w:lineRule="auto"/>
        <w:ind w:left="1080" w:right="498"/>
        <w:jc w:val="both"/>
        <w:rPr>
          <w:rFonts w:ascii="Helvetica" w:eastAsia="Times New Roman" w:hAnsi="Helvetica" w:cs="Helvetica"/>
          <w:i/>
          <w:iCs/>
          <w:color w:val="000000"/>
          <w:kern w:val="36"/>
          <w:lang w:val="en-GB" w:eastAsia="en-ZA"/>
        </w:rPr>
      </w:pPr>
      <w:r w:rsidRPr="008A3778">
        <w:rPr>
          <w:rFonts w:ascii="Helvetica" w:eastAsia="Times New Roman" w:hAnsi="Helvetica" w:cs="Helvetica"/>
          <w:color w:val="000000"/>
          <w:kern w:val="36"/>
          <w:lang w:val="en-GB" w:eastAsia="en-ZA"/>
        </w:rPr>
        <w:t>“</w:t>
      </w:r>
      <w:r w:rsidRPr="008A3778">
        <w:rPr>
          <w:rFonts w:ascii="Helvetica" w:eastAsia="Times New Roman" w:hAnsi="Helvetica" w:cs="Helvetica"/>
          <w:i/>
          <w:iCs/>
          <w:color w:val="000000"/>
          <w:kern w:val="36"/>
          <w:lang w:val="en-GB" w:eastAsia="en-ZA"/>
        </w:rPr>
        <w:t xml:space="preserve">An </w:t>
      </w:r>
      <w:r w:rsidRPr="008A3778">
        <w:rPr>
          <w:rFonts w:ascii="Helvetica" w:eastAsia="Times New Roman" w:hAnsi="Helvetica" w:cs="Helvetica"/>
          <w:i/>
          <w:iCs/>
          <w:color w:val="242121"/>
          <w:lang w:val="en-GB" w:eastAsia="en-ZA" w:bidi="he-IL"/>
        </w:rPr>
        <w:t>application</w:t>
      </w:r>
      <w:r w:rsidRPr="008A3778">
        <w:rPr>
          <w:rFonts w:ascii="Helvetica" w:eastAsia="Times New Roman" w:hAnsi="Helvetica" w:cs="Helvetica"/>
          <w:i/>
          <w:iCs/>
          <w:color w:val="000000"/>
          <w:kern w:val="36"/>
          <w:lang w:val="en-GB" w:eastAsia="en-ZA"/>
        </w:rPr>
        <w:t xml:space="preserve"> under section 30P of the Act is sui generis: it entails the exercise by this Court, in addition to its inherent powers of review, of jurisdiction analogous to original jurisdiction. … In exercising such original jurisdiction, this Court may, in terms of the section:</w:t>
      </w:r>
    </w:p>
    <w:p w14:paraId="1FBCFB12" w14:textId="77777777" w:rsidR="0008739A" w:rsidRPr="008A3778" w:rsidRDefault="0008739A" w:rsidP="0008739A">
      <w:pPr>
        <w:shd w:val="clear" w:color="auto" w:fill="FFFFFF"/>
        <w:spacing w:after="120" w:line="240" w:lineRule="auto"/>
        <w:ind w:left="1080"/>
        <w:jc w:val="both"/>
        <w:rPr>
          <w:rFonts w:ascii="Helvetica" w:eastAsia="Times New Roman" w:hAnsi="Helvetica" w:cs="Helvetica"/>
          <w:i/>
          <w:iCs/>
          <w:color w:val="000000"/>
          <w:kern w:val="36"/>
          <w:lang w:val="en-GB" w:eastAsia="en-ZA"/>
        </w:rPr>
      </w:pPr>
      <w:r w:rsidRPr="008A3778">
        <w:rPr>
          <w:rFonts w:ascii="Helvetica" w:eastAsia="Times New Roman" w:hAnsi="Helvetica" w:cs="Helvetica"/>
          <w:i/>
          <w:iCs/>
          <w:color w:val="000000"/>
          <w:kern w:val="36"/>
          <w:lang w:val="en-GB" w:eastAsia="en-ZA"/>
        </w:rPr>
        <w:t>(a) consider the merits of the complaint in question;</w:t>
      </w:r>
    </w:p>
    <w:p w14:paraId="2FF8A005" w14:textId="77777777" w:rsidR="0008739A" w:rsidRPr="008A3778" w:rsidRDefault="0008739A" w:rsidP="0008739A">
      <w:pPr>
        <w:shd w:val="clear" w:color="auto" w:fill="FFFFFF"/>
        <w:spacing w:after="120" w:line="240" w:lineRule="auto"/>
        <w:ind w:left="1080"/>
        <w:jc w:val="both"/>
        <w:rPr>
          <w:rFonts w:ascii="Helvetica" w:eastAsia="Times New Roman" w:hAnsi="Helvetica" w:cs="Helvetica"/>
          <w:i/>
          <w:iCs/>
          <w:color w:val="000000"/>
          <w:kern w:val="36"/>
          <w:lang w:val="en-GB" w:eastAsia="en-ZA"/>
        </w:rPr>
      </w:pPr>
      <w:r w:rsidRPr="008A3778">
        <w:rPr>
          <w:rFonts w:ascii="Helvetica" w:eastAsia="Times New Roman" w:hAnsi="Helvetica" w:cs="Helvetica"/>
          <w:i/>
          <w:iCs/>
          <w:color w:val="000000"/>
          <w:kern w:val="36"/>
          <w:lang w:val="en-GB" w:eastAsia="en-ZA"/>
        </w:rPr>
        <w:t>(b) itself take evidence; and</w:t>
      </w:r>
    </w:p>
    <w:p w14:paraId="701FBD23" w14:textId="77777777" w:rsidR="0008739A" w:rsidRPr="008A3778" w:rsidRDefault="0008739A" w:rsidP="0008739A">
      <w:pPr>
        <w:shd w:val="clear" w:color="auto" w:fill="FFFFFF"/>
        <w:spacing w:after="480" w:line="240" w:lineRule="auto"/>
        <w:ind w:left="1080"/>
        <w:jc w:val="both"/>
        <w:rPr>
          <w:rFonts w:ascii="Helvetica" w:eastAsia="Times New Roman" w:hAnsi="Helvetica" w:cs="Helvetica"/>
          <w:color w:val="000000"/>
          <w:kern w:val="36"/>
          <w:lang w:val="en-GB" w:eastAsia="en-ZA"/>
        </w:rPr>
      </w:pPr>
      <w:r w:rsidRPr="008A3778">
        <w:rPr>
          <w:rFonts w:ascii="Helvetica" w:eastAsia="Times New Roman" w:hAnsi="Helvetica" w:cs="Helvetica"/>
          <w:i/>
          <w:iCs/>
          <w:color w:val="000000"/>
          <w:kern w:val="36"/>
          <w:lang w:val="en-GB" w:eastAsia="en-ZA"/>
        </w:rPr>
        <w:t>(c) make any order it deems fit</w:t>
      </w:r>
      <w:r w:rsidRPr="008A3778">
        <w:rPr>
          <w:rFonts w:ascii="Helvetica" w:eastAsia="Times New Roman" w:hAnsi="Helvetica" w:cs="Helvetica"/>
          <w:color w:val="000000"/>
          <w:kern w:val="36"/>
          <w:lang w:val="en-GB" w:eastAsia="en-ZA"/>
        </w:rPr>
        <w:t>.”</w:t>
      </w:r>
      <w:r w:rsidRPr="008A3778">
        <w:rPr>
          <w:rStyle w:val="FootnoteReference"/>
          <w:rFonts w:ascii="Helvetica" w:eastAsia="Times New Roman" w:hAnsi="Helvetica" w:cs="Helvetica"/>
          <w:color w:val="000000"/>
          <w:kern w:val="36"/>
          <w:lang w:val="en-GB" w:eastAsia="en-ZA"/>
        </w:rPr>
        <w:footnoteReference w:id="37"/>
      </w:r>
    </w:p>
    <w:p w14:paraId="6C87ADCB" w14:textId="1589FD9C" w:rsidR="00B03AAA" w:rsidRPr="008A3778" w:rsidRDefault="0008739A" w:rsidP="00D70060">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I</w:t>
      </w:r>
      <w:r w:rsidR="00B03AAA" w:rsidRPr="008A3778">
        <w:rPr>
          <w:rFonts w:ascii="Helvetica" w:hAnsi="Helvetica" w:cs="Helvetica"/>
          <w:lang w:val="en-GB"/>
        </w:rPr>
        <w:t xml:space="preserve">n </w:t>
      </w:r>
      <w:r w:rsidR="00B03AAA" w:rsidRPr="008A3778">
        <w:rPr>
          <w:rFonts w:ascii="Helvetica" w:hAnsi="Helvetica" w:cs="Helvetica"/>
          <w:b/>
          <w:bCs/>
          <w:lang w:val="en-GB"/>
        </w:rPr>
        <w:t>Cape Town Municipality v South African Local Authorities Pension Fund and Another</w:t>
      </w:r>
      <w:r w:rsidR="00B03AAA" w:rsidRPr="00E303D3">
        <w:rPr>
          <w:rStyle w:val="FootnoteReference"/>
          <w:rFonts w:ascii="Helvetica" w:hAnsi="Helvetica" w:cs="Helvetica"/>
          <w:lang w:val="en-GB"/>
        </w:rPr>
        <w:footnoteReference w:id="38"/>
      </w:r>
      <w:r w:rsidR="00B03AAA" w:rsidRPr="008A3778">
        <w:rPr>
          <w:rFonts w:ascii="Helvetica" w:hAnsi="Helvetica" w:cs="Helvetica"/>
          <w:lang w:val="en-GB"/>
        </w:rPr>
        <w:t xml:space="preserve"> the SCA states the following:</w:t>
      </w:r>
    </w:p>
    <w:p w14:paraId="2C234925" w14:textId="4E3822D7" w:rsidR="00B03AAA" w:rsidRPr="008A3778" w:rsidRDefault="00B03AAA" w:rsidP="003D368F">
      <w:pPr>
        <w:shd w:val="clear" w:color="auto" w:fill="FFFFFF"/>
        <w:spacing w:after="480" w:line="240" w:lineRule="auto"/>
        <w:ind w:left="1080" w:right="498"/>
        <w:jc w:val="both"/>
        <w:rPr>
          <w:rFonts w:ascii="Helvetica" w:hAnsi="Helvetica" w:cs="Helvetica"/>
          <w:lang w:val="en-GB"/>
        </w:rPr>
      </w:pPr>
      <w:r w:rsidRPr="008A3778">
        <w:rPr>
          <w:rFonts w:ascii="Helvetica" w:hAnsi="Helvetica" w:cs="Helvetica"/>
          <w:lang w:val="en-GB"/>
        </w:rPr>
        <w:t>“</w:t>
      </w:r>
      <w:r w:rsidRPr="008A3778">
        <w:rPr>
          <w:rFonts w:ascii="Helvetica" w:hAnsi="Helvetica" w:cs="Helvetica"/>
          <w:i/>
          <w:lang w:val="en-GB"/>
        </w:rPr>
        <w:t>T</w:t>
      </w:r>
      <w:r w:rsidRPr="008A3778">
        <w:rPr>
          <w:rFonts w:ascii="Helvetica" w:hAnsi="Helvetica" w:cs="Helvetica"/>
          <w:i/>
          <w:iCs/>
          <w:lang w:val="en-GB"/>
        </w:rPr>
        <w:t xml:space="preserve">his is </w:t>
      </w:r>
      <w:r w:rsidRPr="008A3778">
        <w:rPr>
          <w:rFonts w:ascii="Helvetica" w:eastAsia="Times New Roman" w:hAnsi="Helvetica" w:cs="Helvetica"/>
          <w:i/>
          <w:iCs/>
          <w:color w:val="242121"/>
          <w:lang w:val="en-GB" w:eastAsia="en-ZA" w:bidi="he-IL"/>
        </w:rPr>
        <w:t>illustrated</w:t>
      </w:r>
      <w:r w:rsidRPr="008A3778">
        <w:rPr>
          <w:rFonts w:ascii="Helvetica" w:hAnsi="Helvetica" w:cs="Helvetica"/>
          <w:i/>
          <w:iCs/>
          <w:lang w:val="en-GB"/>
        </w:rPr>
        <w:t xml:space="preserve"> by</w:t>
      </w:r>
      <w:r w:rsidR="0008739A" w:rsidRPr="008A3778">
        <w:rPr>
          <w:rFonts w:ascii="Helvetica" w:hAnsi="Helvetica" w:cs="Helvetica"/>
          <w:i/>
          <w:iCs/>
          <w:color w:val="000000"/>
          <w:shd w:val="clear" w:color="auto" w:fill="FFFFFF"/>
          <w:lang w:val="en-GB"/>
        </w:rPr>
        <w:t xml:space="preserve"> </w:t>
      </w:r>
      <w:r w:rsidRPr="008A3778">
        <w:rPr>
          <w:rFonts w:ascii="Helvetica" w:hAnsi="Helvetica" w:cs="Helvetica"/>
          <w:i/>
          <w:iCs/>
          <w:color w:val="000000"/>
          <w:shd w:val="clear" w:color="auto" w:fill="FFFFFF"/>
          <w:lang w:val="en-GB"/>
        </w:rPr>
        <w:t>s</w:t>
      </w:r>
      <w:r w:rsidR="0008739A" w:rsidRPr="008A3778">
        <w:rPr>
          <w:rFonts w:ascii="Helvetica" w:hAnsi="Helvetica" w:cs="Helvetica"/>
          <w:i/>
          <w:iCs/>
          <w:color w:val="000000"/>
          <w:shd w:val="clear" w:color="auto" w:fill="FFFFFF"/>
          <w:lang w:val="en-GB"/>
        </w:rPr>
        <w:t> </w:t>
      </w:r>
      <w:r w:rsidRPr="008A3778">
        <w:rPr>
          <w:rFonts w:ascii="Helvetica" w:hAnsi="Helvetica" w:cs="Helvetica"/>
          <w:i/>
          <w:iCs/>
          <w:color w:val="000000"/>
          <w:shd w:val="clear" w:color="auto" w:fill="FFFFFF"/>
          <w:lang w:val="en-GB"/>
        </w:rPr>
        <w:t>30P of the Act which provides that any party who is aggrieved by determination of the Adjudicator may apply to the division of the high court. The high court will then consider the merits of the complaint and my make any order it deems fit. Under s</w:t>
      </w:r>
      <w:r w:rsidR="0008739A" w:rsidRPr="008A3778">
        <w:rPr>
          <w:rFonts w:ascii="Helvetica" w:hAnsi="Helvetica" w:cs="Helvetica"/>
          <w:i/>
          <w:iCs/>
          <w:color w:val="000000"/>
          <w:shd w:val="clear" w:color="auto" w:fill="FFFFFF"/>
          <w:lang w:val="en-GB"/>
        </w:rPr>
        <w:t> </w:t>
      </w:r>
      <w:r w:rsidRPr="008A3778">
        <w:rPr>
          <w:rFonts w:ascii="Helvetica" w:hAnsi="Helvetica" w:cs="Helvetica"/>
          <w:i/>
          <w:iCs/>
          <w:color w:val="000000"/>
          <w:shd w:val="clear" w:color="auto" w:fill="FFFFFF"/>
          <w:lang w:val="en-GB"/>
        </w:rPr>
        <w:t>30P(3) the high court can then decide whether sufficient evidence has been adduced on which a decision can be made</w:t>
      </w:r>
      <w:r w:rsidRPr="008A3778">
        <w:rPr>
          <w:rFonts w:ascii="Helvetica" w:hAnsi="Helvetica" w:cs="Helvetica"/>
          <w:color w:val="000000"/>
          <w:shd w:val="clear" w:color="auto" w:fill="FFFFFF"/>
          <w:lang w:val="en-GB"/>
        </w:rPr>
        <w:t>.</w:t>
      </w:r>
      <w:r w:rsidRPr="008A3778">
        <w:rPr>
          <w:rFonts w:ascii="Helvetica" w:hAnsi="Helvetica" w:cs="Helvetica"/>
          <w:shd w:val="clear" w:color="auto" w:fill="FFFFFF"/>
          <w:lang w:val="en-GB"/>
        </w:rPr>
        <w:t xml:space="preserve">” </w:t>
      </w:r>
    </w:p>
    <w:p w14:paraId="1AC3CDCE" w14:textId="17A27AF7" w:rsidR="004425CA" w:rsidRPr="008A3778" w:rsidRDefault="00D96187" w:rsidP="006D5807">
      <w:pPr>
        <w:numPr>
          <w:ilvl w:val="0"/>
          <w:numId w:val="1"/>
        </w:numPr>
        <w:spacing w:after="360" w:line="360" w:lineRule="auto"/>
        <w:ind w:left="720" w:right="-151" w:hanging="720"/>
        <w:jc w:val="both"/>
        <w:rPr>
          <w:rFonts w:ascii="Helvetica" w:eastAsia="Times New Roman" w:hAnsi="Helvetica" w:cs="Helvetica"/>
          <w:b/>
          <w:bCs/>
          <w:color w:val="000000"/>
          <w:kern w:val="36"/>
          <w:lang w:val="en-GB" w:eastAsia="en-ZA"/>
        </w:rPr>
      </w:pPr>
      <w:r w:rsidRPr="008A3778">
        <w:rPr>
          <w:rFonts w:ascii="Helvetica" w:hAnsi="Helvetica" w:cs="Helvetica"/>
          <w:lang w:val="en-GB"/>
        </w:rPr>
        <w:t xml:space="preserve">Of particular </w:t>
      </w:r>
      <w:r w:rsidR="00B03AAA" w:rsidRPr="008A3778">
        <w:rPr>
          <w:rFonts w:ascii="Helvetica" w:hAnsi="Helvetica" w:cs="Helvetica"/>
          <w:lang w:val="en-GB"/>
        </w:rPr>
        <w:t>importance for</w:t>
      </w:r>
      <w:r w:rsidR="004126FB" w:rsidRPr="008A3778">
        <w:rPr>
          <w:rFonts w:ascii="Helvetica" w:hAnsi="Helvetica" w:cs="Helvetica"/>
          <w:lang w:val="en-GB"/>
        </w:rPr>
        <w:t xml:space="preserve"> purposes of this appeal </w:t>
      </w:r>
      <w:r w:rsidR="00B03AAA" w:rsidRPr="008A3778">
        <w:rPr>
          <w:rFonts w:ascii="Helvetica" w:hAnsi="Helvetica" w:cs="Helvetica"/>
          <w:lang w:val="en-GB"/>
        </w:rPr>
        <w:t>-</w:t>
      </w:r>
      <w:r w:rsidR="000359E7" w:rsidRPr="008A3778">
        <w:rPr>
          <w:rFonts w:ascii="Helvetica" w:hAnsi="Helvetica" w:cs="Helvetica"/>
          <w:lang w:val="en-GB"/>
        </w:rPr>
        <w:t xml:space="preserve"> for </w:t>
      </w:r>
      <w:r w:rsidR="00BE09ED" w:rsidRPr="008A3778">
        <w:rPr>
          <w:rFonts w:ascii="Helvetica" w:hAnsi="Helvetica" w:cs="Helvetica"/>
          <w:lang w:val="en-GB"/>
        </w:rPr>
        <w:t>several reasons</w:t>
      </w:r>
      <w:r w:rsidR="000359E7" w:rsidRPr="008A3778">
        <w:rPr>
          <w:rFonts w:ascii="Helvetica" w:hAnsi="Helvetica" w:cs="Helvetica"/>
          <w:lang w:val="en-GB"/>
        </w:rPr>
        <w:t xml:space="preserve"> and on various levels</w:t>
      </w:r>
      <w:r w:rsidR="00B03AAA" w:rsidRPr="008A3778">
        <w:rPr>
          <w:rFonts w:ascii="Helvetica" w:hAnsi="Helvetica" w:cs="Helvetica"/>
          <w:lang w:val="en-GB"/>
        </w:rPr>
        <w:t xml:space="preserve"> -</w:t>
      </w:r>
      <w:r w:rsidR="000359E7" w:rsidRPr="008A3778">
        <w:rPr>
          <w:rFonts w:ascii="Helvetica" w:hAnsi="Helvetica" w:cs="Helvetica"/>
          <w:lang w:val="en-GB"/>
        </w:rPr>
        <w:t xml:space="preserve"> </w:t>
      </w:r>
      <w:r w:rsidRPr="008A3778">
        <w:rPr>
          <w:rFonts w:ascii="Helvetica" w:hAnsi="Helvetica" w:cs="Helvetica"/>
          <w:lang w:val="en-GB"/>
        </w:rPr>
        <w:t xml:space="preserve">is the decision of the SCA in </w:t>
      </w:r>
      <w:r w:rsidR="006C760D" w:rsidRPr="008A3778">
        <w:rPr>
          <w:rFonts w:ascii="Helvetica" w:eastAsia="Times New Roman" w:hAnsi="Helvetica" w:cs="Helvetica"/>
          <w:b/>
          <w:bCs/>
          <w:color w:val="000000"/>
          <w:kern w:val="36"/>
          <w:lang w:val="en-GB" w:eastAsia="en-ZA"/>
        </w:rPr>
        <w:t>Meyer v Iscor Pension Fund</w:t>
      </w:r>
      <w:r w:rsidR="00AE0586" w:rsidRPr="008A3778">
        <w:rPr>
          <w:rFonts w:ascii="Helvetica" w:eastAsia="Times New Roman" w:hAnsi="Helvetica" w:cs="Helvetica"/>
          <w:color w:val="000000"/>
          <w:kern w:val="36"/>
          <w:lang w:val="en-GB" w:eastAsia="en-ZA"/>
        </w:rPr>
        <w:t>.</w:t>
      </w:r>
      <w:r w:rsidR="006C760D" w:rsidRPr="008A3778">
        <w:rPr>
          <w:rStyle w:val="FootnoteReference"/>
          <w:rFonts w:ascii="Helvetica" w:eastAsia="Times New Roman" w:hAnsi="Helvetica" w:cs="Helvetica"/>
          <w:color w:val="000000"/>
          <w:kern w:val="36"/>
          <w:lang w:val="en-GB" w:eastAsia="en-ZA"/>
        </w:rPr>
        <w:footnoteReference w:id="39"/>
      </w:r>
      <w:r w:rsidR="00AE0586" w:rsidRPr="008A3778">
        <w:rPr>
          <w:rFonts w:ascii="Helvetica" w:eastAsia="Times New Roman" w:hAnsi="Helvetica" w:cs="Helvetica"/>
          <w:color w:val="000000"/>
          <w:kern w:val="36"/>
          <w:lang w:val="en-GB" w:eastAsia="en-ZA"/>
        </w:rPr>
        <w:t xml:space="preserve"> </w:t>
      </w:r>
      <w:r w:rsidR="0008739A" w:rsidRPr="008A3778">
        <w:rPr>
          <w:rFonts w:ascii="Helvetica" w:eastAsia="Times New Roman" w:hAnsi="Helvetica" w:cs="Helvetica"/>
          <w:color w:val="000000"/>
          <w:kern w:val="36"/>
          <w:lang w:val="en-GB" w:eastAsia="en-ZA"/>
        </w:rPr>
        <w:t xml:space="preserve">All of the parties in this appeal </w:t>
      </w:r>
      <w:r w:rsidR="00AE0586" w:rsidRPr="008A3778">
        <w:rPr>
          <w:rFonts w:ascii="Helvetica" w:eastAsia="Times New Roman" w:hAnsi="Helvetica" w:cs="Helvetica"/>
          <w:color w:val="000000"/>
          <w:kern w:val="36"/>
          <w:lang w:val="en-GB" w:eastAsia="en-ZA"/>
        </w:rPr>
        <w:t xml:space="preserve">reference and </w:t>
      </w:r>
      <w:r w:rsidR="00D54204" w:rsidRPr="008A3778">
        <w:rPr>
          <w:rFonts w:ascii="Helvetica" w:eastAsia="Times New Roman" w:hAnsi="Helvetica" w:cs="Helvetica"/>
          <w:color w:val="000000"/>
          <w:kern w:val="36"/>
          <w:lang w:val="en-GB" w:eastAsia="en-ZA"/>
        </w:rPr>
        <w:t xml:space="preserve">rely </w:t>
      </w:r>
      <w:r w:rsidR="00AE0586" w:rsidRPr="008A3778">
        <w:rPr>
          <w:rFonts w:ascii="Helvetica" w:eastAsia="Times New Roman" w:hAnsi="Helvetica" w:cs="Helvetica"/>
          <w:color w:val="000000"/>
          <w:kern w:val="36"/>
          <w:lang w:val="en-GB" w:eastAsia="en-ZA"/>
        </w:rPr>
        <w:t xml:space="preserve">upon </w:t>
      </w:r>
      <w:r w:rsidR="0008739A" w:rsidRPr="008A3778">
        <w:rPr>
          <w:rFonts w:ascii="Helvetica" w:eastAsia="Times New Roman" w:hAnsi="Helvetica" w:cs="Helvetica"/>
          <w:color w:val="000000"/>
          <w:kern w:val="36"/>
          <w:lang w:val="en-GB" w:eastAsia="en-ZA"/>
        </w:rPr>
        <w:t>this decision</w:t>
      </w:r>
      <w:r w:rsidR="00D54204" w:rsidRPr="008A3778">
        <w:rPr>
          <w:rFonts w:ascii="Helvetica" w:eastAsia="Times New Roman" w:hAnsi="Helvetica" w:cs="Helvetica"/>
          <w:color w:val="000000"/>
          <w:kern w:val="36"/>
          <w:lang w:val="en-GB" w:eastAsia="en-ZA"/>
        </w:rPr>
        <w:t xml:space="preserve">; </w:t>
      </w:r>
      <w:r w:rsidR="00585BDB" w:rsidRPr="008A3778">
        <w:rPr>
          <w:rFonts w:ascii="Helvetica" w:eastAsia="Times New Roman" w:hAnsi="Helvetica" w:cs="Helvetica"/>
          <w:color w:val="000000"/>
          <w:kern w:val="36"/>
          <w:lang w:val="en-GB" w:eastAsia="en-ZA"/>
        </w:rPr>
        <w:t xml:space="preserve">albeit </w:t>
      </w:r>
      <w:r w:rsidR="00210AC1" w:rsidRPr="008A3778">
        <w:rPr>
          <w:rFonts w:ascii="Helvetica" w:eastAsia="Times New Roman" w:hAnsi="Helvetica" w:cs="Helvetica"/>
          <w:color w:val="000000"/>
          <w:kern w:val="36"/>
          <w:lang w:val="en-GB" w:eastAsia="en-ZA"/>
        </w:rPr>
        <w:t xml:space="preserve">the appellants do so with a </w:t>
      </w:r>
      <w:r w:rsidR="00585BDB" w:rsidRPr="008A3778">
        <w:rPr>
          <w:rFonts w:ascii="Helvetica" w:eastAsia="Times New Roman" w:hAnsi="Helvetica" w:cs="Helvetica"/>
          <w:color w:val="000000"/>
          <w:kern w:val="36"/>
          <w:lang w:val="en-GB" w:eastAsia="en-ZA"/>
        </w:rPr>
        <w:t>different gloss</w:t>
      </w:r>
      <w:r w:rsidR="002D4A36" w:rsidRPr="008A3778">
        <w:rPr>
          <w:rFonts w:ascii="Helvetica" w:eastAsia="Times New Roman" w:hAnsi="Helvetica" w:cs="Helvetica"/>
          <w:color w:val="000000"/>
          <w:kern w:val="36"/>
          <w:lang w:val="en-GB" w:eastAsia="en-ZA"/>
        </w:rPr>
        <w:t xml:space="preserve"> </w:t>
      </w:r>
      <w:r w:rsidR="00210AC1" w:rsidRPr="008A3778">
        <w:rPr>
          <w:rFonts w:ascii="Helvetica" w:eastAsia="Times New Roman" w:hAnsi="Helvetica" w:cs="Helvetica"/>
          <w:color w:val="000000"/>
          <w:kern w:val="36"/>
          <w:lang w:val="en-GB" w:eastAsia="en-ZA"/>
        </w:rPr>
        <w:t>-</w:t>
      </w:r>
      <w:r w:rsidR="00E303D3">
        <w:rPr>
          <w:rFonts w:ascii="Helvetica" w:eastAsia="Times New Roman" w:hAnsi="Helvetica" w:cs="Helvetica"/>
          <w:color w:val="000000"/>
          <w:kern w:val="36"/>
          <w:lang w:val="en-GB" w:eastAsia="en-ZA"/>
        </w:rPr>
        <w:t xml:space="preserve"> </w:t>
      </w:r>
      <w:r w:rsidR="002D4A36" w:rsidRPr="008A3778">
        <w:rPr>
          <w:rFonts w:ascii="Helvetica" w:eastAsia="Times New Roman" w:hAnsi="Helvetica" w:cs="Helvetica"/>
          <w:color w:val="000000"/>
          <w:kern w:val="36"/>
          <w:lang w:val="en-GB" w:eastAsia="en-ZA"/>
        </w:rPr>
        <w:t>notwithstanding its lack of ambiguity.</w:t>
      </w:r>
      <w:r w:rsidR="00585BDB" w:rsidRPr="008A3778">
        <w:rPr>
          <w:rFonts w:ascii="Helvetica" w:eastAsia="Times New Roman" w:hAnsi="Helvetica" w:cs="Helvetica"/>
          <w:color w:val="000000"/>
          <w:kern w:val="36"/>
          <w:lang w:val="en-GB" w:eastAsia="en-ZA"/>
        </w:rPr>
        <w:t xml:space="preserve"> </w:t>
      </w:r>
      <w:r w:rsidR="00AE0586" w:rsidRPr="008A3778">
        <w:rPr>
          <w:rFonts w:ascii="Helvetica" w:eastAsia="Times New Roman" w:hAnsi="Helvetica" w:cs="Helvetica"/>
          <w:color w:val="000000"/>
          <w:kern w:val="36"/>
          <w:lang w:val="en-GB" w:eastAsia="en-ZA"/>
        </w:rPr>
        <w:t xml:space="preserve"> </w:t>
      </w:r>
    </w:p>
    <w:p w14:paraId="7531E914" w14:textId="30A18135" w:rsidR="006C760D" w:rsidRPr="008A3778" w:rsidRDefault="00AE0586" w:rsidP="006D5807">
      <w:pPr>
        <w:numPr>
          <w:ilvl w:val="0"/>
          <w:numId w:val="1"/>
        </w:numPr>
        <w:spacing w:after="360" w:line="360" w:lineRule="auto"/>
        <w:ind w:left="720" w:right="-151" w:hanging="720"/>
        <w:jc w:val="both"/>
        <w:rPr>
          <w:rFonts w:ascii="Helvetica" w:eastAsia="Times New Roman" w:hAnsi="Helvetica" w:cs="Helvetica"/>
          <w:b/>
          <w:bCs/>
          <w:color w:val="000000"/>
          <w:kern w:val="36"/>
          <w:lang w:val="en-GB" w:eastAsia="en-ZA"/>
        </w:rPr>
      </w:pPr>
      <w:r w:rsidRPr="008A3778">
        <w:rPr>
          <w:rFonts w:ascii="Helvetica" w:eastAsia="Times New Roman" w:hAnsi="Helvetica" w:cs="Helvetica"/>
          <w:color w:val="000000"/>
          <w:kern w:val="36"/>
          <w:lang w:val="en-GB" w:eastAsia="en-ZA"/>
        </w:rPr>
        <w:t>Paragraph</w:t>
      </w:r>
      <w:r w:rsidR="000359E7" w:rsidRPr="008A3778">
        <w:rPr>
          <w:rFonts w:ascii="Helvetica" w:hAnsi="Helvetica" w:cs="Helvetica"/>
          <w:color w:val="000000" w:themeColor="text1"/>
          <w:lang w:val="en-GB"/>
        </w:rPr>
        <w:t xml:space="preserve"> [8]</w:t>
      </w:r>
      <w:r w:rsidRPr="008A3778">
        <w:rPr>
          <w:rFonts w:ascii="Helvetica" w:hAnsi="Helvetica" w:cs="Helvetica"/>
          <w:color w:val="000000" w:themeColor="text1"/>
          <w:lang w:val="en-GB"/>
        </w:rPr>
        <w:t xml:space="preserve"> of the</w:t>
      </w:r>
      <w:r w:rsidR="004425CA" w:rsidRPr="008A3778">
        <w:rPr>
          <w:rFonts w:ascii="Helvetica" w:hAnsi="Helvetica" w:cs="Helvetica"/>
          <w:color w:val="000000" w:themeColor="text1"/>
          <w:lang w:val="en-GB"/>
        </w:rPr>
        <w:t xml:space="preserve"> decision in</w:t>
      </w:r>
      <w:r w:rsidRPr="008A3778">
        <w:rPr>
          <w:rFonts w:ascii="Helvetica" w:hAnsi="Helvetica" w:cs="Helvetica"/>
          <w:color w:val="000000" w:themeColor="text1"/>
          <w:lang w:val="en-GB"/>
        </w:rPr>
        <w:t xml:space="preserve"> </w:t>
      </w:r>
      <w:bookmarkStart w:id="12" w:name="_Hlk91063110"/>
      <w:r w:rsidRPr="008A3778">
        <w:rPr>
          <w:rFonts w:ascii="Helvetica" w:hAnsi="Helvetica" w:cs="Helvetica"/>
          <w:b/>
          <w:bCs/>
          <w:color w:val="000000" w:themeColor="text1"/>
          <w:lang w:val="en-GB"/>
        </w:rPr>
        <w:t>Meyer v Iscor Pension Fund</w:t>
      </w:r>
      <w:r w:rsidRPr="008A3778">
        <w:rPr>
          <w:rFonts w:ascii="Helvetica" w:hAnsi="Helvetica" w:cs="Helvetica"/>
          <w:color w:val="000000" w:themeColor="text1"/>
          <w:lang w:val="en-GB"/>
        </w:rPr>
        <w:t xml:space="preserve"> </w:t>
      </w:r>
      <w:bookmarkEnd w:id="12"/>
      <w:r w:rsidRPr="008A3778">
        <w:rPr>
          <w:rFonts w:ascii="Helvetica" w:hAnsi="Helvetica" w:cs="Helvetica"/>
          <w:color w:val="000000" w:themeColor="text1"/>
          <w:lang w:val="en-GB"/>
        </w:rPr>
        <w:t>explains as follows</w:t>
      </w:r>
      <w:r w:rsidR="004126FB" w:rsidRPr="008A3778">
        <w:rPr>
          <w:rFonts w:ascii="Helvetica" w:eastAsia="Times New Roman" w:hAnsi="Helvetica" w:cs="Helvetica"/>
          <w:color w:val="000000"/>
          <w:kern w:val="36"/>
          <w:lang w:val="en-GB" w:eastAsia="en-ZA"/>
        </w:rPr>
        <w:t>:</w:t>
      </w:r>
      <w:r w:rsidR="004126FB" w:rsidRPr="008A3778">
        <w:rPr>
          <w:rFonts w:ascii="Helvetica" w:eastAsia="Times New Roman" w:hAnsi="Helvetica" w:cs="Helvetica"/>
          <w:b/>
          <w:bCs/>
          <w:color w:val="000000"/>
          <w:kern w:val="36"/>
          <w:lang w:val="en-GB" w:eastAsia="en-ZA"/>
        </w:rPr>
        <w:t xml:space="preserve"> </w:t>
      </w:r>
    </w:p>
    <w:p w14:paraId="10D69204" w14:textId="5E0EA9E0" w:rsidR="00C23B74" w:rsidRPr="008A3778" w:rsidRDefault="000359E7" w:rsidP="003D368F">
      <w:pPr>
        <w:shd w:val="clear" w:color="auto" w:fill="FFFFFF"/>
        <w:spacing w:after="480" w:line="240" w:lineRule="auto"/>
        <w:ind w:left="1080" w:right="498"/>
        <w:jc w:val="both"/>
        <w:rPr>
          <w:rFonts w:ascii="Helvetica" w:eastAsia="Times New Roman" w:hAnsi="Helvetica" w:cs="Helvetica"/>
          <w:i/>
          <w:iCs/>
          <w:color w:val="242121"/>
          <w:lang w:val="en-GB" w:eastAsia="en-ZA" w:bidi="he-IL"/>
        </w:rPr>
      </w:pPr>
      <w:r w:rsidRPr="008A3778">
        <w:rPr>
          <w:rFonts w:ascii="Helvetica" w:eastAsia="Times New Roman" w:hAnsi="Helvetica" w:cs="Helvetica"/>
          <w:color w:val="242121"/>
          <w:lang w:val="en-GB" w:eastAsia="en-ZA" w:bidi="he-IL"/>
        </w:rPr>
        <w:t>“</w:t>
      </w:r>
      <w:r w:rsidR="004126FB" w:rsidRPr="008A3778">
        <w:rPr>
          <w:rFonts w:ascii="Helvetica" w:eastAsia="Times New Roman" w:hAnsi="Helvetica" w:cs="Helvetica"/>
          <w:i/>
          <w:iCs/>
          <w:color w:val="242121"/>
          <w:lang w:val="en-GB" w:eastAsia="en-ZA" w:bidi="he-IL"/>
        </w:rPr>
        <w:t xml:space="preserve">From the wording of s 30P(2) it is clear that the appeal to the High Court contemplated is an appeal in the wide sense. The High Court is therefore not limited to a decision whether the Adjudicator’s determination was right or wrong. Neither is it confined to the evidence or the grounds upon which the Adjudicator’s determination was based. The Court can consider the matter </w:t>
      </w:r>
      <w:r w:rsidR="004126FB" w:rsidRPr="008A3778">
        <w:rPr>
          <w:rFonts w:ascii="Helvetica" w:eastAsia="Times New Roman" w:hAnsi="Helvetica" w:cs="Helvetica"/>
          <w:i/>
          <w:iCs/>
          <w:color w:val="242121"/>
          <w:lang w:val="en-GB" w:eastAsia="en-ZA" w:bidi="he-IL"/>
        </w:rPr>
        <w:lastRenderedPageBreak/>
        <w:t>afresh and make any order it deems fit. At the same time, however, the High Court’s jurisdiction is limited by s 30P(2) to a consideration of ‘the merits of the complaint in question’. The dispute submitted to the High Court for adjudication must therefore still be a ‘complaint’ as defined. Moreover, it must be substantially the same ‘complaint’ as the one determined by the Adjudicator. Since it is an appeal, it follows that where, for example, a dispute of fact on the papers is approached in accordance with the guidelines formulated by Corbett JA in</w:t>
      </w:r>
      <w:r w:rsidR="001E4B28" w:rsidRPr="008A3778">
        <w:rPr>
          <w:rFonts w:ascii="Helvetica" w:eastAsia="Times New Roman" w:hAnsi="Helvetica" w:cs="Helvetica"/>
          <w:i/>
          <w:iCs/>
          <w:color w:val="242121"/>
          <w:lang w:val="en-GB" w:eastAsia="en-ZA" w:bidi="he-IL"/>
        </w:rPr>
        <w:t xml:space="preserve"> </w:t>
      </w:r>
      <w:bookmarkStart w:id="13" w:name="_Hlk90649045"/>
      <w:r w:rsidR="004126FB" w:rsidRPr="008A3778">
        <w:rPr>
          <w:rFonts w:ascii="Helvetica" w:eastAsia="Times New Roman" w:hAnsi="Helvetica" w:cs="Helvetica"/>
          <w:i/>
          <w:iCs/>
          <w:color w:val="242121"/>
          <w:lang w:val="en-GB" w:eastAsia="en-ZA" w:bidi="he-IL"/>
        </w:rPr>
        <w:t xml:space="preserve">Plascon Evans </w:t>
      </w:r>
      <w:bookmarkEnd w:id="13"/>
      <w:r w:rsidR="004126FB" w:rsidRPr="008A3778">
        <w:rPr>
          <w:rFonts w:ascii="Helvetica" w:eastAsia="Times New Roman" w:hAnsi="Helvetica" w:cs="Helvetica"/>
          <w:i/>
          <w:iCs/>
          <w:color w:val="242121"/>
          <w:lang w:val="en-GB" w:eastAsia="en-ZA" w:bidi="he-IL"/>
        </w:rPr>
        <w:t>Paints Ltd v Van Riebeeck Paints (Pty) Ltd</w:t>
      </w:r>
      <w:r w:rsidRPr="008A3778">
        <w:rPr>
          <w:rFonts w:ascii="Helvetica" w:eastAsia="Times New Roman" w:hAnsi="Helvetica" w:cs="Helvetica"/>
          <w:i/>
          <w:iCs/>
          <w:color w:val="242121"/>
          <w:lang w:val="en-GB" w:eastAsia="en-ZA" w:bidi="he-IL"/>
        </w:rPr>
        <w:t xml:space="preserve"> … </w:t>
      </w:r>
      <w:hyperlink r:id="rId13" w:tooltip="View LawCiteRecord" w:history="1">
        <w:r w:rsidR="004126FB" w:rsidRPr="008A3778">
          <w:rPr>
            <w:rFonts w:ascii="Helvetica" w:eastAsia="Times New Roman" w:hAnsi="Helvetica" w:cs="Helvetica"/>
            <w:i/>
            <w:iCs/>
            <w:color w:val="242121"/>
            <w:lang w:val="en-GB" w:eastAsia="en-ZA" w:bidi="he-IL"/>
          </w:rPr>
          <w:t>1984 (3) SA 623</w:t>
        </w:r>
      </w:hyperlink>
      <w:r w:rsidRPr="008A3778">
        <w:rPr>
          <w:rFonts w:ascii="Helvetica" w:eastAsia="Times New Roman" w:hAnsi="Helvetica" w:cs="Helvetica"/>
          <w:i/>
          <w:iCs/>
          <w:color w:val="242121"/>
          <w:lang w:val="en-GB" w:eastAsia="en-ZA" w:bidi="he-IL"/>
        </w:rPr>
        <w:t xml:space="preserve"> </w:t>
      </w:r>
      <w:r w:rsidR="004126FB" w:rsidRPr="008A3778">
        <w:rPr>
          <w:rFonts w:ascii="Helvetica" w:eastAsia="Times New Roman" w:hAnsi="Helvetica" w:cs="Helvetica"/>
          <w:i/>
          <w:iCs/>
          <w:color w:val="242121"/>
          <w:lang w:val="en-GB" w:eastAsia="en-ZA" w:bidi="he-IL"/>
        </w:rPr>
        <w:t>(A) 634E-635D, the complainant should be regarded as the ‘applicant’ throughout, despite the fact that it is the other side who is formally the applicant to set the Adjudicator’s determination aside. In case of a ‘genuine dispute of fact’ on the papers as contemplated in</w:t>
      </w:r>
      <w:r w:rsidR="00752D08" w:rsidRPr="008A3778">
        <w:rPr>
          <w:rFonts w:ascii="Helvetica" w:eastAsia="Times New Roman" w:hAnsi="Helvetica" w:cs="Helvetica"/>
          <w:i/>
          <w:iCs/>
          <w:color w:val="242121"/>
          <w:lang w:val="en-GB" w:eastAsia="en-ZA" w:bidi="he-IL"/>
        </w:rPr>
        <w:t xml:space="preserve"> </w:t>
      </w:r>
      <w:r w:rsidR="004126FB" w:rsidRPr="008A3778">
        <w:rPr>
          <w:rFonts w:ascii="Helvetica" w:eastAsia="Times New Roman" w:hAnsi="Helvetica" w:cs="Helvetica"/>
          <w:i/>
          <w:iCs/>
          <w:color w:val="242121"/>
          <w:lang w:val="en-GB" w:eastAsia="en-ZA" w:bidi="he-IL"/>
        </w:rPr>
        <w:t>Plascon Evans,</w:t>
      </w:r>
      <w:r w:rsidR="00752D08" w:rsidRPr="008A3778">
        <w:rPr>
          <w:rFonts w:ascii="Helvetica" w:eastAsia="Times New Roman" w:hAnsi="Helvetica" w:cs="Helvetica"/>
          <w:i/>
          <w:iCs/>
          <w:color w:val="242121"/>
          <w:lang w:val="en-GB" w:eastAsia="en-ZA" w:bidi="he-IL"/>
        </w:rPr>
        <w:t xml:space="preserve"> </w:t>
      </w:r>
      <w:r w:rsidR="004126FB" w:rsidRPr="008A3778">
        <w:rPr>
          <w:rFonts w:ascii="Helvetica" w:eastAsia="Times New Roman" w:hAnsi="Helvetica" w:cs="Helvetica"/>
          <w:i/>
          <w:iCs/>
          <w:color w:val="242121"/>
          <w:lang w:val="en-GB" w:eastAsia="en-ZA" w:bidi="he-IL"/>
        </w:rPr>
        <w:t>the matter must therefore, in essence, be decided on the version presented by the other side unless that version can, in the words of Corbett JA, be described as ‘so far-fetched and clearly untenable that the court is justified in rejecting [it] merely on the papers’.</w:t>
      </w:r>
    </w:p>
    <w:p w14:paraId="0C7C75A8" w14:textId="204E0A73" w:rsidR="002D4A36" w:rsidRPr="008A3778" w:rsidRDefault="005125EA"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 xml:space="preserve">As such, despite it being a </w:t>
      </w:r>
      <w:r w:rsidRPr="008A3778">
        <w:rPr>
          <w:rFonts w:ascii="Helvetica" w:eastAsia="Times New Roman" w:hAnsi="Helvetica" w:cs="Helvetica"/>
          <w:i/>
          <w:iCs/>
          <w:color w:val="242121"/>
          <w:lang w:val="en-GB" w:eastAsia="en-ZA" w:bidi="he-IL"/>
        </w:rPr>
        <w:t>sui generis</w:t>
      </w:r>
      <w:r w:rsidRPr="008A3778">
        <w:rPr>
          <w:rFonts w:ascii="Helvetica" w:eastAsia="Times New Roman" w:hAnsi="Helvetica" w:cs="Helvetica"/>
          <w:color w:val="242121"/>
          <w:lang w:val="en-GB" w:eastAsia="en-ZA" w:bidi="he-IL"/>
        </w:rPr>
        <w:t xml:space="preserve"> application,</w:t>
      </w:r>
      <w:r w:rsidRPr="008A3778">
        <w:rPr>
          <w:rFonts w:ascii="Helvetica" w:eastAsia="Times New Roman" w:hAnsi="Helvetica" w:cs="Helvetica"/>
          <w:iCs/>
          <w:color w:val="242121"/>
          <w:lang w:val="en-GB" w:eastAsia="en-ZA" w:bidi="he-IL"/>
        </w:rPr>
        <w:t xml:space="preserve"> there are nevertheless </w:t>
      </w:r>
      <w:r w:rsidR="001E4B28" w:rsidRPr="008A3778">
        <w:rPr>
          <w:rFonts w:ascii="Helvetica" w:eastAsia="Times New Roman" w:hAnsi="Helvetica" w:cs="Helvetica"/>
          <w:iCs/>
          <w:color w:val="242121"/>
          <w:lang w:val="en-GB" w:eastAsia="en-ZA" w:bidi="he-IL"/>
        </w:rPr>
        <w:t>constraints</w:t>
      </w:r>
      <w:r w:rsidRPr="008A3778">
        <w:rPr>
          <w:rFonts w:ascii="Helvetica" w:eastAsia="Times New Roman" w:hAnsi="Helvetica" w:cs="Helvetica"/>
          <w:iCs/>
          <w:color w:val="242121"/>
          <w:lang w:val="en-GB" w:eastAsia="en-ZA" w:bidi="he-IL"/>
        </w:rPr>
        <w:t xml:space="preserve"> and parameters</w:t>
      </w:r>
      <w:r w:rsidR="001E4B28" w:rsidRPr="008A3778">
        <w:rPr>
          <w:rFonts w:ascii="Helvetica" w:eastAsia="Times New Roman" w:hAnsi="Helvetica" w:cs="Helvetica"/>
          <w:iCs/>
          <w:color w:val="242121"/>
          <w:lang w:val="en-GB" w:eastAsia="en-ZA" w:bidi="he-IL"/>
        </w:rPr>
        <w:t xml:space="preserve"> to a section 30P </w:t>
      </w:r>
      <w:r w:rsidR="00147E4D" w:rsidRPr="008A3778">
        <w:rPr>
          <w:rFonts w:ascii="Helvetica" w:eastAsia="Times New Roman" w:hAnsi="Helvetica" w:cs="Helvetica"/>
          <w:iCs/>
          <w:color w:val="242121"/>
          <w:lang w:val="en-GB" w:eastAsia="en-ZA" w:bidi="he-IL"/>
        </w:rPr>
        <w:t>application. These include</w:t>
      </w:r>
      <w:r w:rsidR="00F43D71" w:rsidRPr="008A3778">
        <w:rPr>
          <w:rFonts w:ascii="Helvetica" w:eastAsia="Times New Roman" w:hAnsi="Helvetica" w:cs="Helvetica"/>
          <w:iCs/>
          <w:color w:val="242121"/>
          <w:lang w:val="en-GB" w:eastAsia="en-ZA" w:bidi="he-IL"/>
        </w:rPr>
        <w:t xml:space="preserve">, </w:t>
      </w:r>
      <w:r w:rsidR="00023D47" w:rsidRPr="00023D47">
        <w:rPr>
          <w:rFonts w:ascii="Helvetica" w:eastAsia="Times New Roman" w:hAnsi="Helvetica" w:cs="Helvetica"/>
          <w:i/>
          <w:color w:val="242121"/>
          <w:lang w:val="en-GB" w:eastAsia="en-ZA" w:bidi="he-IL"/>
        </w:rPr>
        <w:t>inter-alia</w:t>
      </w:r>
      <w:r w:rsidR="00F43D71" w:rsidRPr="008A3778">
        <w:rPr>
          <w:rFonts w:ascii="Helvetica" w:eastAsia="Times New Roman" w:hAnsi="Helvetica" w:cs="Helvetica"/>
          <w:iCs/>
          <w:color w:val="242121"/>
          <w:lang w:val="en-GB" w:eastAsia="en-ZA" w:bidi="he-IL"/>
        </w:rPr>
        <w:t>,</w:t>
      </w:r>
      <w:r w:rsidR="00147E4D" w:rsidRPr="008A3778">
        <w:rPr>
          <w:rFonts w:ascii="Helvetica" w:eastAsia="Times New Roman" w:hAnsi="Helvetica" w:cs="Helvetica"/>
          <w:iCs/>
          <w:color w:val="242121"/>
          <w:lang w:val="en-GB" w:eastAsia="en-ZA" w:bidi="he-IL"/>
        </w:rPr>
        <w:t xml:space="preserve"> the complaint </w:t>
      </w:r>
      <w:r w:rsidR="00922F37" w:rsidRPr="008A3778">
        <w:rPr>
          <w:rFonts w:ascii="Helvetica" w:eastAsia="Times New Roman" w:hAnsi="Helvetica" w:cs="Helvetica"/>
          <w:iCs/>
          <w:color w:val="242121"/>
          <w:lang w:val="en-GB" w:eastAsia="en-ZA" w:bidi="he-IL"/>
        </w:rPr>
        <w:t xml:space="preserve">in </w:t>
      </w:r>
      <w:r w:rsidR="00F85707" w:rsidRPr="008A3778">
        <w:rPr>
          <w:rFonts w:ascii="Helvetica" w:eastAsia="Times New Roman" w:hAnsi="Helvetica" w:cs="Helvetica"/>
          <w:iCs/>
          <w:color w:val="242121"/>
          <w:lang w:val="en-GB" w:eastAsia="en-ZA" w:bidi="he-IL"/>
        </w:rPr>
        <w:t xml:space="preserve">issue in </w:t>
      </w:r>
      <w:r w:rsidR="00922F37" w:rsidRPr="008A3778">
        <w:rPr>
          <w:rFonts w:ascii="Helvetica" w:eastAsia="Times New Roman" w:hAnsi="Helvetica" w:cs="Helvetica"/>
          <w:iCs/>
          <w:color w:val="242121"/>
          <w:lang w:val="en-GB" w:eastAsia="en-ZA" w:bidi="he-IL"/>
        </w:rPr>
        <w:t xml:space="preserve">the </w:t>
      </w:r>
      <w:r w:rsidR="00F43D71" w:rsidRPr="008A3778">
        <w:rPr>
          <w:rFonts w:ascii="Helvetica" w:eastAsia="Times New Roman" w:hAnsi="Helvetica" w:cs="Helvetica"/>
          <w:iCs/>
          <w:color w:val="242121"/>
          <w:lang w:val="en-GB" w:eastAsia="en-ZA" w:bidi="he-IL"/>
        </w:rPr>
        <w:t>section 30P application must be</w:t>
      </w:r>
      <w:r w:rsidR="0008739A" w:rsidRPr="008A3778">
        <w:rPr>
          <w:rFonts w:ascii="Helvetica" w:eastAsia="Times New Roman" w:hAnsi="Helvetica" w:cs="Helvetica"/>
          <w:iCs/>
          <w:color w:val="242121"/>
          <w:lang w:val="en-GB" w:eastAsia="en-ZA" w:bidi="he-IL"/>
        </w:rPr>
        <w:t>, at least,</w:t>
      </w:r>
      <w:r w:rsidR="00F43D71" w:rsidRPr="008A3778">
        <w:rPr>
          <w:rFonts w:ascii="Helvetica" w:eastAsia="Times New Roman" w:hAnsi="Helvetica" w:cs="Helvetica"/>
          <w:iCs/>
          <w:color w:val="242121"/>
          <w:lang w:val="en-GB" w:eastAsia="en-ZA" w:bidi="he-IL"/>
        </w:rPr>
        <w:t xml:space="preserve"> </w:t>
      </w:r>
      <w:r w:rsidR="00147E4D" w:rsidRPr="008A3778">
        <w:rPr>
          <w:rFonts w:ascii="Helvetica" w:eastAsia="Times New Roman" w:hAnsi="Helvetica" w:cs="Helvetica"/>
          <w:iCs/>
          <w:color w:val="242121"/>
          <w:lang w:val="en-GB" w:eastAsia="en-ZA" w:bidi="he-IL"/>
        </w:rPr>
        <w:t>substantially the same “</w:t>
      </w:r>
      <w:r w:rsidR="00147E4D" w:rsidRPr="008A3778">
        <w:rPr>
          <w:rFonts w:ascii="Helvetica" w:eastAsia="Times New Roman" w:hAnsi="Helvetica" w:cs="Helvetica"/>
          <w:i/>
          <w:color w:val="242121"/>
          <w:lang w:val="en-GB" w:eastAsia="en-ZA" w:bidi="he-IL"/>
        </w:rPr>
        <w:t>complaint</w:t>
      </w:r>
      <w:r w:rsidR="00576326" w:rsidRPr="008A3778">
        <w:rPr>
          <w:rFonts w:ascii="Helvetica" w:eastAsia="Times New Roman" w:hAnsi="Helvetica" w:cs="Helvetica"/>
          <w:iCs/>
          <w:color w:val="242121"/>
          <w:lang w:val="en-GB" w:eastAsia="en-ZA" w:bidi="he-IL"/>
        </w:rPr>
        <w:t>”</w:t>
      </w:r>
      <w:r w:rsidR="00147E4D" w:rsidRPr="008A3778">
        <w:rPr>
          <w:rFonts w:ascii="Helvetica" w:eastAsia="Times New Roman" w:hAnsi="Helvetica" w:cs="Helvetica"/>
          <w:iCs/>
          <w:color w:val="242121"/>
          <w:lang w:val="en-GB" w:eastAsia="en-ZA" w:bidi="he-IL"/>
        </w:rPr>
        <w:t xml:space="preserve"> as the one determined by the Adjudicator</w:t>
      </w:r>
      <w:r w:rsidR="009E4474" w:rsidRPr="008A3778">
        <w:rPr>
          <w:rFonts w:ascii="Helvetica" w:eastAsia="Times New Roman" w:hAnsi="Helvetica" w:cs="Helvetica"/>
          <w:iCs/>
          <w:color w:val="242121"/>
          <w:lang w:val="en-GB" w:eastAsia="en-ZA" w:bidi="he-IL"/>
        </w:rPr>
        <w:t>.</w:t>
      </w:r>
      <w:r w:rsidR="00C834B7" w:rsidRPr="008A3778">
        <w:rPr>
          <w:rStyle w:val="FootnoteReference"/>
          <w:rFonts w:ascii="Helvetica" w:eastAsia="Times New Roman" w:hAnsi="Helvetica" w:cs="Helvetica"/>
          <w:iCs/>
          <w:color w:val="242121"/>
          <w:lang w:val="en-GB" w:eastAsia="en-ZA" w:bidi="he-IL"/>
        </w:rPr>
        <w:footnoteReference w:id="40"/>
      </w:r>
      <w:r w:rsidR="00C834B7" w:rsidRPr="008A3778">
        <w:rPr>
          <w:rFonts w:ascii="Helvetica" w:eastAsia="Times New Roman" w:hAnsi="Helvetica" w:cs="Helvetica"/>
          <w:iCs/>
          <w:color w:val="242121"/>
          <w:lang w:val="en-GB" w:eastAsia="en-ZA" w:bidi="he-IL"/>
        </w:rPr>
        <w:t xml:space="preserve"> </w:t>
      </w:r>
      <w:r w:rsidR="00F85707" w:rsidRPr="008A3778">
        <w:rPr>
          <w:rFonts w:ascii="Helvetica" w:eastAsia="Times New Roman" w:hAnsi="Helvetica" w:cs="Helvetica"/>
          <w:iCs/>
          <w:color w:val="242121"/>
          <w:lang w:val="en-GB" w:eastAsia="en-ZA" w:bidi="he-IL"/>
        </w:rPr>
        <w:t>A</w:t>
      </w:r>
      <w:r w:rsidR="00D54141" w:rsidRPr="008A3778">
        <w:rPr>
          <w:rFonts w:ascii="Helvetica" w:eastAsia="Times New Roman" w:hAnsi="Helvetica" w:cs="Helvetica"/>
          <w:iCs/>
          <w:color w:val="242121"/>
          <w:lang w:val="en-GB" w:eastAsia="en-ZA" w:bidi="he-IL"/>
        </w:rPr>
        <w:t xml:space="preserve"> High Court</w:t>
      </w:r>
      <w:r w:rsidR="0008739A" w:rsidRPr="008A3778">
        <w:rPr>
          <w:rFonts w:ascii="Helvetica" w:eastAsia="Times New Roman" w:hAnsi="Helvetica" w:cs="Helvetica"/>
          <w:iCs/>
          <w:color w:val="242121"/>
          <w:lang w:val="en-GB" w:eastAsia="en-ZA" w:bidi="he-IL"/>
        </w:rPr>
        <w:t>, determining a section 30P application,</w:t>
      </w:r>
      <w:r w:rsidR="00D54141" w:rsidRPr="008A3778">
        <w:rPr>
          <w:rFonts w:ascii="Helvetica" w:eastAsia="Times New Roman" w:hAnsi="Helvetica" w:cs="Helvetica"/>
          <w:iCs/>
          <w:color w:val="242121"/>
          <w:lang w:val="en-GB" w:eastAsia="en-ZA" w:bidi="he-IL"/>
        </w:rPr>
        <w:t xml:space="preserve"> can </w:t>
      </w:r>
      <w:r w:rsidR="00F85707" w:rsidRPr="008A3778">
        <w:rPr>
          <w:rFonts w:ascii="Helvetica" w:eastAsia="Times New Roman" w:hAnsi="Helvetica" w:cs="Helvetica"/>
          <w:iCs/>
          <w:color w:val="242121"/>
          <w:lang w:val="en-GB" w:eastAsia="en-ZA" w:bidi="he-IL"/>
        </w:rPr>
        <w:t xml:space="preserve">therefore </w:t>
      </w:r>
      <w:r w:rsidR="00D54141" w:rsidRPr="008A3778">
        <w:rPr>
          <w:rFonts w:ascii="Helvetica" w:eastAsia="Times New Roman" w:hAnsi="Helvetica" w:cs="Helvetica"/>
          <w:iCs/>
          <w:color w:val="242121"/>
          <w:lang w:val="en-GB" w:eastAsia="en-ZA" w:bidi="he-IL"/>
        </w:rPr>
        <w:t xml:space="preserve">only </w:t>
      </w:r>
      <w:r w:rsidR="00D543FD" w:rsidRPr="008A3778">
        <w:rPr>
          <w:rFonts w:ascii="Helvetica" w:eastAsia="Times New Roman" w:hAnsi="Helvetica" w:cs="Helvetica"/>
          <w:iCs/>
          <w:color w:val="242121"/>
          <w:lang w:val="en-GB" w:eastAsia="en-ZA" w:bidi="he-IL"/>
        </w:rPr>
        <w:t>consider</w:t>
      </w:r>
      <w:r w:rsidR="009E4474" w:rsidRPr="008A3778">
        <w:rPr>
          <w:rFonts w:ascii="Helvetica" w:eastAsia="Times New Roman" w:hAnsi="Helvetica" w:cs="Helvetica"/>
          <w:iCs/>
          <w:color w:val="242121"/>
          <w:lang w:val="en-GB" w:eastAsia="en-ZA" w:bidi="he-IL"/>
        </w:rPr>
        <w:t xml:space="preserve"> those </w:t>
      </w:r>
      <w:r w:rsidR="0008739A" w:rsidRPr="008A3778">
        <w:rPr>
          <w:rFonts w:ascii="Helvetica" w:eastAsia="Times New Roman" w:hAnsi="Helvetica" w:cs="Helvetica"/>
          <w:iCs/>
          <w:color w:val="242121"/>
          <w:lang w:val="en-GB" w:eastAsia="en-ZA" w:bidi="he-IL"/>
        </w:rPr>
        <w:t>complaints</w:t>
      </w:r>
      <w:r w:rsidR="009E4474" w:rsidRPr="008A3778">
        <w:rPr>
          <w:rFonts w:ascii="Helvetica" w:eastAsia="Times New Roman" w:hAnsi="Helvetica" w:cs="Helvetica"/>
          <w:iCs/>
          <w:color w:val="242121"/>
          <w:lang w:val="en-GB" w:eastAsia="en-ZA" w:bidi="he-IL"/>
        </w:rPr>
        <w:t xml:space="preserve"> placed before the Adjudicator</w:t>
      </w:r>
      <w:r w:rsidR="00D543FD" w:rsidRPr="008A3778">
        <w:rPr>
          <w:rFonts w:ascii="Helvetica" w:eastAsia="Times New Roman" w:hAnsi="Helvetica" w:cs="Helvetica"/>
          <w:iCs/>
          <w:color w:val="242121"/>
          <w:lang w:val="en-GB" w:eastAsia="en-ZA" w:bidi="he-IL"/>
        </w:rPr>
        <w:t>.</w:t>
      </w:r>
      <w:r w:rsidR="00BC08CC" w:rsidRPr="008A3778">
        <w:rPr>
          <w:rFonts w:ascii="Helvetica" w:eastAsia="Times New Roman" w:hAnsi="Helvetica" w:cs="Helvetica"/>
          <w:iCs/>
          <w:color w:val="242121"/>
          <w:lang w:val="en-GB" w:eastAsia="en-ZA" w:bidi="he-IL"/>
        </w:rPr>
        <w:t xml:space="preserve"> </w:t>
      </w:r>
      <w:r w:rsidR="00195F91" w:rsidRPr="008A3778">
        <w:rPr>
          <w:rFonts w:ascii="Helvetica" w:eastAsia="Times New Roman" w:hAnsi="Helvetica" w:cs="Helvetica"/>
          <w:iCs/>
          <w:color w:val="242121"/>
          <w:lang w:val="en-GB" w:eastAsia="en-ZA" w:bidi="he-IL"/>
        </w:rPr>
        <w:t>A section 30</w:t>
      </w:r>
      <w:r w:rsidR="00531ECA" w:rsidRPr="008A3778">
        <w:rPr>
          <w:rFonts w:ascii="Helvetica" w:eastAsia="Times New Roman" w:hAnsi="Helvetica" w:cs="Helvetica"/>
          <w:iCs/>
          <w:color w:val="242121"/>
          <w:lang w:val="en-GB" w:eastAsia="en-ZA" w:bidi="he-IL"/>
        </w:rPr>
        <w:t>P</w:t>
      </w:r>
      <w:r w:rsidR="00195F91" w:rsidRPr="008A3778">
        <w:rPr>
          <w:rFonts w:ascii="Helvetica" w:eastAsia="Times New Roman" w:hAnsi="Helvetica" w:cs="Helvetica"/>
          <w:iCs/>
          <w:color w:val="242121"/>
          <w:lang w:val="en-GB" w:eastAsia="en-ZA" w:bidi="he-IL"/>
        </w:rPr>
        <w:t xml:space="preserve"> applicant</w:t>
      </w:r>
      <w:r w:rsidR="00D543FD" w:rsidRPr="008A3778">
        <w:rPr>
          <w:rFonts w:ascii="Helvetica" w:eastAsia="Times New Roman" w:hAnsi="Helvetica" w:cs="Helvetica"/>
          <w:iCs/>
          <w:color w:val="242121"/>
          <w:lang w:val="en-GB" w:eastAsia="en-ZA" w:bidi="he-IL"/>
        </w:rPr>
        <w:t xml:space="preserve"> </w:t>
      </w:r>
      <w:r w:rsidR="00195F91" w:rsidRPr="008A3778">
        <w:rPr>
          <w:rFonts w:ascii="Helvetica" w:eastAsia="Times New Roman" w:hAnsi="Helvetica" w:cs="Helvetica"/>
          <w:iCs/>
          <w:color w:val="242121"/>
          <w:lang w:val="en-GB" w:eastAsia="en-ZA" w:bidi="he-IL"/>
        </w:rPr>
        <w:t>is therefore not entitled to raise</w:t>
      </w:r>
      <w:r w:rsidR="00494E78" w:rsidRPr="008A3778">
        <w:rPr>
          <w:rFonts w:ascii="Helvetica" w:eastAsia="Times New Roman" w:hAnsi="Helvetica" w:cs="Helvetica"/>
          <w:iCs/>
          <w:color w:val="242121"/>
          <w:lang w:val="en-GB" w:eastAsia="en-ZA" w:bidi="he-IL"/>
        </w:rPr>
        <w:t>,</w:t>
      </w:r>
      <w:r w:rsidR="00195F91" w:rsidRPr="008A3778">
        <w:rPr>
          <w:rFonts w:ascii="Helvetica" w:eastAsia="Times New Roman" w:hAnsi="Helvetica" w:cs="Helvetica"/>
          <w:iCs/>
          <w:color w:val="242121"/>
          <w:lang w:val="en-GB" w:eastAsia="en-ZA" w:bidi="he-IL"/>
        </w:rPr>
        <w:t xml:space="preserve"> </w:t>
      </w:r>
      <w:r w:rsidR="00494E78" w:rsidRPr="008A3778">
        <w:rPr>
          <w:rFonts w:ascii="Helvetica" w:eastAsia="Times New Roman" w:hAnsi="Helvetica" w:cs="Helvetica"/>
          <w:iCs/>
          <w:color w:val="242121"/>
          <w:lang w:val="en-GB" w:eastAsia="en-ZA" w:bidi="he-IL"/>
        </w:rPr>
        <w:t xml:space="preserve">for the first time, new issues in the </w:t>
      </w:r>
      <w:r w:rsidR="00F85707" w:rsidRPr="008A3778">
        <w:rPr>
          <w:rFonts w:ascii="Helvetica" w:eastAsia="Times New Roman" w:hAnsi="Helvetica" w:cs="Helvetica"/>
          <w:iCs/>
          <w:color w:val="242121"/>
          <w:lang w:val="en-GB" w:eastAsia="en-ZA" w:bidi="he-IL"/>
        </w:rPr>
        <w:t xml:space="preserve">section 30P </w:t>
      </w:r>
      <w:r w:rsidR="00494E78" w:rsidRPr="008A3778">
        <w:rPr>
          <w:rFonts w:ascii="Helvetica" w:eastAsia="Times New Roman" w:hAnsi="Helvetica" w:cs="Helvetica"/>
          <w:iCs/>
          <w:color w:val="242121"/>
          <w:lang w:val="en-GB" w:eastAsia="en-ZA" w:bidi="he-IL"/>
        </w:rPr>
        <w:t>application</w:t>
      </w:r>
      <w:r w:rsidR="00BB0B20" w:rsidRPr="008A3778">
        <w:rPr>
          <w:rFonts w:ascii="Helvetica" w:eastAsia="Times New Roman" w:hAnsi="Helvetica" w:cs="Helvetica"/>
          <w:iCs/>
          <w:color w:val="242121"/>
          <w:lang w:val="en-GB" w:eastAsia="en-ZA" w:bidi="he-IL"/>
        </w:rPr>
        <w:t xml:space="preserve"> </w:t>
      </w:r>
      <w:r w:rsidR="0008739A" w:rsidRPr="008A3778">
        <w:rPr>
          <w:rFonts w:ascii="Helvetica" w:eastAsia="Times New Roman" w:hAnsi="Helvetica" w:cs="Helvetica"/>
          <w:iCs/>
          <w:color w:val="242121"/>
          <w:lang w:val="en-GB" w:eastAsia="en-ZA" w:bidi="he-IL"/>
        </w:rPr>
        <w:t>(</w:t>
      </w:r>
      <w:r w:rsidR="00BB0B20" w:rsidRPr="008A3778">
        <w:rPr>
          <w:rFonts w:ascii="Helvetica" w:eastAsia="Times New Roman" w:hAnsi="Helvetica" w:cs="Helvetica"/>
          <w:iCs/>
          <w:color w:val="242121"/>
          <w:lang w:val="en-GB" w:eastAsia="en-ZA" w:bidi="he-IL"/>
        </w:rPr>
        <w:t>i.e.,</w:t>
      </w:r>
      <w:r w:rsidR="00494E78" w:rsidRPr="008A3778">
        <w:rPr>
          <w:rFonts w:ascii="Helvetica" w:eastAsia="Times New Roman" w:hAnsi="Helvetica" w:cs="Helvetica"/>
          <w:iCs/>
          <w:color w:val="242121"/>
          <w:lang w:val="en-GB" w:eastAsia="en-ZA" w:bidi="he-IL"/>
        </w:rPr>
        <w:t xml:space="preserve"> issues</w:t>
      </w:r>
      <w:r w:rsidR="00805621" w:rsidRPr="008A3778">
        <w:rPr>
          <w:rFonts w:ascii="Helvetica" w:eastAsia="Times New Roman" w:hAnsi="Helvetica" w:cs="Helvetica"/>
          <w:iCs/>
          <w:color w:val="242121"/>
          <w:lang w:val="en-GB" w:eastAsia="en-ZA" w:bidi="he-IL"/>
        </w:rPr>
        <w:t xml:space="preserve"> not raised before or considered by the Adjudicator</w:t>
      </w:r>
      <w:r w:rsidR="0008739A" w:rsidRPr="008A3778">
        <w:rPr>
          <w:rFonts w:ascii="Helvetica" w:eastAsia="Times New Roman" w:hAnsi="Helvetica" w:cs="Helvetica"/>
          <w:iCs/>
          <w:color w:val="242121"/>
          <w:lang w:val="en-GB" w:eastAsia="en-ZA" w:bidi="he-IL"/>
        </w:rPr>
        <w:t>)</w:t>
      </w:r>
      <w:r w:rsidR="008A3778">
        <w:rPr>
          <w:rFonts w:ascii="Helvetica" w:eastAsia="Times New Roman" w:hAnsi="Helvetica" w:cs="Helvetica"/>
          <w:iCs/>
          <w:color w:val="242121"/>
          <w:lang w:val="en-GB" w:eastAsia="en-ZA" w:bidi="he-IL"/>
        </w:rPr>
        <w:t>.</w:t>
      </w:r>
      <w:r w:rsidR="00C834B7" w:rsidRPr="008A3778">
        <w:rPr>
          <w:rStyle w:val="FootnoteReference"/>
          <w:rFonts w:ascii="Helvetica" w:eastAsia="Times New Roman" w:hAnsi="Helvetica" w:cs="Helvetica"/>
          <w:iCs/>
          <w:color w:val="242121"/>
          <w:lang w:val="en-GB" w:eastAsia="en-ZA" w:bidi="he-IL"/>
        </w:rPr>
        <w:footnoteReference w:id="41"/>
      </w:r>
      <w:r w:rsidR="00494E78" w:rsidRPr="008A3778">
        <w:rPr>
          <w:rFonts w:ascii="Helvetica" w:eastAsia="Times New Roman" w:hAnsi="Helvetica" w:cs="Helvetica"/>
          <w:iCs/>
          <w:color w:val="242121"/>
          <w:lang w:val="en-GB" w:eastAsia="en-ZA" w:bidi="he-IL"/>
        </w:rPr>
        <w:t xml:space="preserve"> </w:t>
      </w:r>
    </w:p>
    <w:p w14:paraId="14D4118B" w14:textId="2D80E5CB" w:rsidR="003A214B" w:rsidRPr="008A3778" w:rsidRDefault="003A214B"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As counsel for the ninth respondent succinctly</w:t>
      </w:r>
      <w:r w:rsidR="000403A9">
        <w:rPr>
          <w:rFonts w:ascii="Helvetica" w:eastAsia="Times New Roman" w:hAnsi="Helvetica" w:cs="Helvetica"/>
          <w:iCs/>
          <w:color w:val="242121"/>
          <w:lang w:val="en-GB" w:eastAsia="en-ZA" w:bidi="he-IL"/>
        </w:rPr>
        <w:t>,</w:t>
      </w:r>
      <w:r w:rsidR="0008739A" w:rsidRPr="008A3778">
        <w:rPr>
          <w:rFonts w:ascii="Helvetica" w:eastAsia="Times New Roman" w:hAnsi="Helvetica" w:cs="Helvetica"/>
          <w:iCs/>
          <w:color w:val="242121"/>
          <w:lang w:val="en-GB" w:eastAsia="en-ZA" w:bidi="he-IL"/>
        </w:rPr>
        <w:t xml:space="preserve"> yet eloquently</w:t>
      </w:r>
      <w:r w:rsidR="000403A9">
        <w:rPr>
          <w:rFonts w:ascii="Helvetica" w:eastAsia="Times New Roman" w:hAnsi="Helvetica" w:cs="Helvetica"/>
          <w:iCs/>
          <w:color w:val="242121"/>
          <w:lang w:val="en-GB" w:eastAsia="en-ZA" w:bidi="he-IL"/>
        </w:rPr>
        <w:t>,</w:t>
      </w:r>
      <w:r w:rsidR="0008739A" w:rsidRPr="008A3778">
        <w:rPr>
          <w:rFonts w:ascii="Helvetica" w:eastAsia="Times New Roman" w:hAnsi="Helvetica" w:cs="Helvetica"/>
          <w:iCs/>
          <w:color w:val="242121"/>
          <w:lang w:val="en-GB" w:eastAsia="en-ZA" w:bidi="he-IL"/>
        </w:rPr>
        <w:t xml:space="preserve"> </w:t>
      </w:r>
      <w:r w:rsidRPr="008A3778">
        <w:rPr>
          <w:rFonts w:ascii="Helvetica" w:eastAsia="Times New Roman" w:hAnsi="Helvetica" w:cs="Helvetica"/>
          <w:iCs/>
          <w:color w:val="242121"/>
          <w:lang w:val="en-GB" w:eastAsia="en-ZA" w:bidi="he-IL"/>
        </w:rPr>
        <w:t>states</w:t>
      </w:r>
      <w:r w:rsidR="002D4A36" w:rsidRPr="008A3778">
        <w:rPr>
          <w:rFonts w:ascii="Helvetica" w:eastAsia="Times New Roman" w:hAnsi="Helvetica" w:cs="Helvetica"/>
          <w:iCs/>
          <w:color w:val="242121"/>
          <w:lang w:val="en-GB" w:eastAsia="en-ZA" w:bidi="he-IL"/>
        </w:rPr>
        <w:t xml:space="preserve"> in </w:t>
      </w:r>
      <w:r w:rsidR="00FF45BE">
        <w:rPr>
          <w:rFonts w:ascii="Helvetica" w:eastAsia="Times New Roman" w:hAnsi="Helvetica" w:cs="Helvetica"/>
          <w:iCs/>
          <w:color w:val="242121"/>
          <w:lang w:val="en-GB" w:eastAsia="en-ZA" w:bidi="he-IL"/>
        </w:rPr>
        <w:t xml:space="preserve">her </w:t>
      </w:r>
      <w:r w:rsidR="002D4A36" w:rsidRPr="008A3778">
        <w:rPr>
          <w:rFonts w:ascii="Helvetica" w:eastAsia="Times New Roman" w:hAnsi="Helvetica" w:cs="Helvetica"/>
          <w:iCs/>
          <w:color w:val="242121"/>
          <w:lang w:val="en-GB" w:eastAsia="en-ZA" w:bidi="he-IL"/>
        </w:rPr>
        <w:t>heads of argument</w:t>
      </w:r>
      <w:r w:rsidRPr="008A3778">
        <w:rPr>
          <w:rFonts w:ascii="Helvetica" w:eastAsia="Times New Roman" w:hAnsi="Helvetica" w:cs="Helvetica"/>
          <w:iCs/>
          <w:color w:val="242121"/>
          <w:lang w:val="en-GB" w:eastAsia="en-ZA" w:bidi="he-IL"/>
        </w:rPr>
        <w:t>: “</w:t>
      </w:r>
      <w:r w:rsidRPr="008A3778">
        <w:rPr>
          <w:rFonts w:ascii="Helvetica" w:eastAsia="Times New Roman" w:hAnsi="Helvetica" w:cs="Helvetica"/>
          <w:i/>
          <w:color w:val="242121"/>
          <w:lang w:val="en-GB" w:eastAsia="en-ZA" w:bidi="he-IL"/>
        </w:rPr>
        <w:t>Simply put, unless the cause of action has gone through the proverbial ‘gate’ of the Adjudicator’s determination, it cannot be considered in section 30P proceedings - any other conclusion would rendered meaningless the provisions of section 30P of the PFA</w:t>
      </w:r>
      <w:r w:rsidRPr="008A3778">
        <w:rPr>
          <w:rFonts w:ascii="Helvetica" w:eastAsia="Times New Roman" w:hAnsi="Helvetica" w:cs="Helvetica"/>
          <w:iCs/>
          <w:color w:val="242121"/>
          <w:lang w:val="en-GB" w:eastAsia="en-ZA" w:bidi="he-IL"/>
        </w:rPr>
        <w:t xml:space="preserve">.” </w:t>
      </w:r>
    </w:p>
    <w:p w14:paraId="094C8027" w14:textId="6A359C87" w:rsidR="00975E02" w:rsidRDefault="00975E02"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Pr>
          <w:rFonts w:ascii="Helvetica" w:eastAsia="Times New Roman" w:hAnsi="Helvetica" w:cs="Helvetica"/>
          <w:iCs/>
          <w:color w:val="242121"/>
          <w:lang w:val="en-GB" w:eastAsia="en-ZA" w:bidi="he-IL"/>
        </w:rPr>
        <w:t>A summary of the above is then that while a High Court can “</w:t>
      </w:r>
      <w:r w:rsidRPr="00EC3408">
        <w:rPr>
          <w:rFonts w:ascii="Helvetica" w:eastAsia="Times New Roman" w:hAnsi="Helvetica" w:cs="Helvetica"/>
          <w:i/>
          <w:color w:val="242121"/>
          <w:lang w:val="en-GB" w:eastAsia="en-ZA" w:bidi="he-IL"/>
        </w:rPr>
        <w:t>consider the matter afresh</w:t>
      </w:r>
      <w:r>
        <w:rPr>
          <w:rFonts w:ascii="Helvetica" w:eastAsia="Times New Roman" w:hAnsi="Helvetica" w:cs="Helvetica"/>
          <w:iCs/>
          <w:color w:val="242121"/>
          <w:lang w:val="en-GB" w:eastAsia="en-ZA" w:bidi="he-IL"/>
        </w:rPr>
        <w:t>”,</w:t>
      </w:r>
      <w:r w:rsidR="008443D6">
        <w:rPr>
          <w:rStyle w:val="FootnoteReference"/>
          <w:rFonts w:ascii="Helvetica" w:eastAsia="Times New Roman" w:hAnsi="Helvetica" w:cs="Helvetica"/>
          <w:iCs/>
          <w:color w:val="242121"/>
          <w:lang w:val="en-GB" w:eastAsia="en-ZA" w:bidi="he-IL"/>
        </w:rPr>
        <w:footnoteReference w:id="42"/>
      </w:r>
      <w:r>
        <w:rPr>
          <w:rFonts w:ascii="Helvetica" w:eastAsia="Times New Roman" w:hAnsi="Helvetica" w:cs="Helvetica"/>
          <w:iCs/>
          <w:color w:val="242121"/>
          <w:lang w:val="en-GB" w:eastAsia="en-ZA" w:bidi="he-IL"/>
        </w:rPr>
        <w:t xml:space="preserve"> and “</w:t>
      </w:r>
      <w:r w:rsidRPr="00EC3408">
        <w:rPr>
          <w:rFonts w:ascii="Helvetica" w:eastAsia="Times New Roman" w:hAnsi="Helvetica" w:cs="Helvetica"/>
          <w:i/>
          <w:color w:val="242121"/>
          <w:lang w:val="en-GB" w:eastAsia="en-ZA" w:bidi="he-IL"/>
        </w:rPr>
        <w:t>itself take evidence</w:t>
      </w:r>
      <w:r>
        <w:rPr>
          <w:rFonts w:ascii="Helvetica" w:eastAsia="Times New Roman" w:hAnsi="Helvetica" w:cs="Helvetica"/>
          <w:iCs/>
          <w:color w:val="242121"/>
          <w:lang w:val="en-GB" w:eastAsia="en-ZA" w:bidi="he-IL"/>
        </w:rPr>
        <w:t>” and “</w:t>
      </w:r>
      <w:r w:rsidRPr="00EC3408">
        <w:rPr>
          <w:rFonts w:ascii="Helvetica" w:eastAsia="Times New Roman" w:hAnsi="Helvetica" w:cs="Helvetica"/>
          <w:i/>
          <w:color w:val="242121"/>
          <w:lang w:val="en-GB" w:eastAsia="en-ZA" w:bidi="he-IL"/>
        </w:rPr>
        <w:t>make any order it deems fit</w:t>
      </w:r>
      <w:r>
        <w:rPr>
          <w:rFonts w:ascii="Helvetica" w:eastAsia="Times New Roman" w:hAnsi="Helvetica" w:cs="Helvetica"/>
          <w:iCs/>
          <w:color w:val="242121"/>
          <w:lang w:val="en-GB" w:eastAsia="en-ZA" w:bidi="he-IL"/>
        </w:rPr>
        <w:t>”;</w:t>
      </w:r>
      <w:r w:rsidR="008443D6">
        <w:rPr>
          <w:rStyle w:val="FootnoteReference"/>
          <w:rFonts w:ascii="Helvetica" w:eastAsia="Times New Roman" w:hAnsi="Helvetica" w:cs="Helvetica"/>
          <w:iCs/>
          <w:color w:val="242121"/>
          <w:lang w:val="en-GB" w:eastAsia="en-ZA" w:bidi="he-IL"/>
        </w:rPr>
        <w:footnoteReference w:id="43"/>
      </w:r>
      <w:r>
        <w:rPr>
          <w:rFonts w:ascii="Helvetica" w:eastAsia="Times New Roman" w:hAnsi="Helvetica" w:cs="Helvetica"/>
          <w:iCs/>
          <w:color w:val="242121"/>
          <w:lang w:val="en-GB" w:eastAsia="en-ZA" w:bidi="he-IL"/>
        </w:rPr>
        <w:t xml:space="preserve"> it may only do </w:t>
      </w:r>
      <w:r>
        <w:rPr>
          <w:rFonts w:ascii="Helvetica" w:eastAsia="Times New Roman" w:hAnsi="Helvetica" w:cs="Helvetica"/>
          <w:iCs/>
          <w:color w:val="242121"/>
          <w:lang w:val="en-GB" w:eastAsia="en-ZA" w:bidi="he-IL"/>
        </w:rPr>
        <w:lastRenderedPageBreak/>
        <w:t xml:space="preserve">so within, and is constrained by, the parameters and ambit of, substantially at least, the same complaints as that submitted to and determined by the Adjudicator. </w:t>
      </w:r>
    </w:p>
    <w:p w14:paraId="048F129F" w14:textId="40071175" w:rsidR="00A455EA" w:rsidRPr="008A3778" w:rsidRDefault="003A214B" w:rsidP="006D5807">
      <w:pPr>
        <w:numPr>
          <w:ilvl w:val="0"/>
          <w:numId w:val="1"/>
        </w:numPr>
        <w:spacing w:after="360" w:line="360" w:lineRule="auto"/>
        <w:ind w:left="720" w:right="-151" w:hanging="720"/>
        <w:jc w:val="both"/>
        <w:rPr>
          <w:rFonts w:ascii="Helvetica" w:eastAsia="Times New Roman" w:hAnsi="Helvetica" w:cs="Helvetica"/>
          <w:iCs/>
          <w:color w:val="242121"/>
          <w:lang w:val="en-GB" w:eastAsia="en-ZA" w:bidi="he-IL"/>
        </w:rPr>
      </w:pPr>
      <w:r w:rsidRPr="008A3778">
        <w:rPr>
          <w:rFonts w:ascii="Helvetica" w:eastAsia="Times New Roman" w:hAnsi="Helvetica" w:cs="Helvetica"/>
          <w:iCs/>
          <w:color w:val="242121"/>
          <w:lang w:val="en-GB" w:eastAsia="en-ZA" w:bidi="he-IL"/>
        </w:rPr>
        <w:t>An additional feature of the decision in</w:t>
      </w:r>
      <w:r w:rsidRPr="008A3778">
        <w:rPr>
          <w:rFonts w:ascii="Helvetica" w:hAnsi="Helvetica" w:cs="Helvetica"/>
          <w:b/>
          <w:bCs/>
          <w:color w:val="000000" w:themeColor="text1"/>
          <w:lang w:val="en-GB"/>
        </w:rPr>
        <w:t xml:space="preserve"> </w:t>
      </w:r>
      <w:r w:rsidRPr="008A3778">
        <w:rPr>
          <w:rFonts w:ascii="Helvetica" w:eastAsia="Times New Roman" w:hAnsi="Helvetica" w:cs="Helvetica"/>
          <w:b/>
          <w:bCs/>
          <w:iCs/>
          <w:color w:val="242121"/>
          <w:lang w:val="en-GB" w:eastAsia="en-ZA" w:bidi="he-IL"/>
        </w:rPr>
        <w:t>Meyer v Iscor Pension Fund</w:t>
      </w:r>
      <w:r w:rsidR="00D543FD" w:rsidRPr="008A3778">
        <w:rPr>
          <w:rFonts w:ascii="Helvetica" w:eastAsia="Times New Roman" w:hAnsi="Helvetica" w:cs="Helvetica"/>
          <w:iCs/>
          <w:color w:val="242121"/>
          <w:lang w:val="en-GB" w:eastAsia="en-ZA" w:bidi="he-IL"/>
        </w:rPr>
        <w:t>,</w:t>
      </w:r>
      <w:r w:rsidR="00621D1E" w:rsidRPr="008A3778">
        <w:rPr>
          <w:rFonts w:ascii="Helvetica" w:eastAsia="Times New Roman" w:hAnsi="Helvetica" w:cs="Helvetica"/>
          <w:iCs/>
          <w:color w:val="242121"/>
          <w:lang w:val="en-GB" w:eastAsia="en-ZA" w:bidi="he-IL"/>
        </w:rPr>
        <w:t xml:space="preserve"> </w:t>
      </w:r>
      <w:r w:rsidRPr="008A3778">
        <w:rPr>
          <w:rFonts w:ascii="Helvetica" w:eastAsia="Times New Roman" w:hAnsi="Helvetica" w:cs="Helvetica"/>
          <w:iCs/>
          <w:color w:val="242121"/>
          <w:lang w:val="en-GB" w:eastAsia="en-ZA" w:bidi="he-IL"/>
        </w:rPr>
        <w:t>is that a</w:t>
      </w:r>
      <w:r w:rsidR="00531ECA" w:rsidRPr="008A3778">
        <w:rPr>
          <w:rFonts w:ascii="Helvetica" w:eastAsia="Times New Roman" w:hAnsi="Helvetica" w:cs="Helvetica"/>
          <w:iCs/>
          <w:color w:val="242121"/>
          <w:lang w:val="en-GB" w:eastAsia="en-ZA" w:bidi="he-IL"/>
        </w:rPr>
        <w:t xml:space="preserve"> complainant</w:t>
      </w:r>
      <w:r w:rsidR="00621D1E" w:rsidRPr="008A3778">
        <w:rPr>
          <w:rFonts w:ascii="Helvetica" w:eastAsia="Times New Roman" w:hAnsi="Helvetica" w:cs="Helvetica"/>
          <w:iCs/>
          <w:color w:val="242121"/>
          <w:lang w:val="en-GB" w:eastAsia="en-ZA" w:bidi="he-IL"/>
        </w:rPr>
        <w:t xml:space="preserve"> </w:t>
      </w:r>
      <w:r w:rsidR="00187A42" w:rsidRPr="008A3778">
        <w:rPr>
          <w:rFonts w:ascii="Helvetica" w:eastAsia="Times New Roman" w:hAnsi="Helvetica" w:cs="Helvetica"/>
          <w:iCs/>
          <w:color w:val="242121"/>
          <w:lang w:val="en-GB" w:eastAsia="en-ZA" w:bidi="he-IL"/>
        </w:rPr>
        <w:t>potentia</w:t>
      </w:r>
      <w:r w:rsidR="00277C90" w:rsidRPr="008A3778">
        <w:rPr>
          <w:rFonts w:ascii="Helvetica" w:eastAsia="Times New Roman" w:hAnsi="Helvetica" w:cs="Helvetica"/>
          <w:iCs/>
          <w:color w:val="242121"/>
          <w:lang w:val="en-GB" w:eastAsia="en-ZA" w:bidi="he-IL"/>
        </w:rPr>
        <w:t>l</w:t>
      </w:r>
      <w:r w:rsidR="00621D1E" w:rsidRPr="008A3778">
        <w:rPr>
          <w:rFonts w:ascii="Helvetica" w:eastAsia="Times New Roman" w:hAnsi="Helvetica" w:cs="Helvetica"/>
          <w:iCs/>
          <w:color w:val="242121"/>
          <w:lang w:val="en-GB" w:eastAsia="en-ZA" w:bidi="he-IL"/>
        </w:rPr>
        <w:t>ly</w:t>
      </w:r>
      <w:r w:rsidR="00187A42" w:rsidRPr="008A3778">
        <w:rPr>
          <w:rFonts w:ascii="Helvetica" w:eastAsia="Times New Roman" w:hAnsi="Helvetica" w:cs="Helvetica"/>
          <w:iCs/>
          <w:color w:val="242121"/>
          <w:lang w:val="en-GB" w:eastAsia="en-ZA" w:bidi="he-IL"/>
        </w:rPr>
        <w:t xml:space="preserve"> fac</w:t>
      </w:r>
      <w:r w:rsidR="00277C90" w:rsidRPr="008A3778">
        <w:rPr>
          <w:rFonts w:ascii="Helvetica" w:eastAsia="Times New Roman" w:hAnsi="Helvetica" w:cs="Helvetica"/>
          <w:iCs/>
          <w:color w:val="242121"/>
          <w:lang w:val="en-GB" w:eastAsia="en-ZA" w:bidi="he-IL"/>
        </w:rPr>
        <w:t>es</w:t>
      </w:r>
      <w:r w:rsidR="00187A42" w:rsidRPr="008A3778">
        <w:rPr>
          <w:rFonts w:ascii="Helvetica" w:eastAsia="Times New Roman" w:hAnsi="Helvetica" w:cs="Helvetica"/>
          <w:iCs/>
          <w:color w:val="242121"/>
          <w:lang w:val="en-GB" w:eastAsia="en-ZA" w:bidi="he-IL"/>
        </w:rPr>
        <w:t xml:space="preserve">, and </w:t>
      </w:r>
      <w:r w:rsidR="00277C90" w:rsidRPr="008A3778">
        <w:rPr>
          <w:rFonts w:ascii="Helvetica" w:eastAsia="Times New Roman" w:hAnsi="Helvetica" w:cs="Helvetica"/>
          <w:iCs/>
          <w:color w:val="242121"/>
          <w:lang w:val="en-GB" w:eastAsia="en-ZA" w:bidi="he-IL"/>
        </w:rPr>
        <w:t xml:space="preserve">may </w:t>
      </w:r>
      <w:r w:rsidR="00187A42" w:rsidRPr="008A3778">
        <w:rPr>
          <w:rFonts w:ascii="Helvetica" w:eastAsia="Times New Roman" w:hAnsi="Helvetica" w:cs="Helvetica"/>
          <w:iCs/>
          <w:color w:val="242121"/>
          <w:lang w:val="en-GB" w:eastAsia="en-ZA" w:bidi="he-IL"/>
        </w:rPr>
        <w:t xml:space="preserve">need to overcome, the rigours of </w:t>
      </w:r>
      <w:r w:rsidR="00187A42" w:rsidRPr="008A3778">
        <w:rPr>
          <w:rFonts w:ascii="Helvetica" w:eastAsia="Times New Roman" w:hAnsi="Helvetica" w:cs="Helvetica"/>
          <w:b/>
          <w:bCs/>
          <w:color w:val="242121"/>
          <w:lang w:val="en-GB" w:eastAsia="en-ZA" w:bidi="he-IL"/>
        </w:rPr>
        <w:t>Plascon</w:t>
      </w:r>
      <w:r w:rsidR="00531ECA" w:rsidRPr="008A3778">
        <w:rPr>
          <w:rFonts w:ascii="Helvetica" w:eastAsia="Times New Roman" w:hAnsi="Helvetica" w:cs="Helvetica"/>
          <w:b/>
          <w:bCs/>
          <w:color w:val="242121"/>
          <w:lang w:val="en-GB" w:eastAsia="en-ZA" w:bidi="he-IL"/>
        </w:rPr>
        <w:t>-</w:t>
      </w:r>
      <w:r w:rsidR="00187A42" w:rsidRPr="008A3778">
        <w:rPr>
          <w:rFonts w:ascii="Helvetica" w:eastAsia="Times New Roman" w:hAnsi="Helvetica" w:cs="Helvetica"/>
          <w:b/>
          <w:bCs/>
          <w:color w:val="242121"/>
          <w:lang w:val="en-GB" w:eastAsia="en-ZA" w:bidi="he-IL"/>
        </w:rPr>
        <w:t>Evans</w:t>
      </w:r>
      <w:r w:rsidR="00585B31" w:rsidRPr="000403A9">
        <w:rPr>
          <w:rStyle w:val="FootnoteReference"/>
          <w:rFonts w:ascii="Helvetica" w:eastAsia="Times New Roman" w:hAnsi="Helvetica" w:cs="Helvetica"/>
          <w:color w:val="242121"/>
          <w:lang w:val="en-GB" w:eastAsia="en-ZA" w:bidi="he-IL"/>
        </w:rPr>
        <w:footnoteReference w:id="44"/>
      </w:r>
      <w:r w:rsidR="00BF7B11" w:rsidRPr="008A3778">
        <w:rPr>
          <w:rFonts w:ascii="Helvetica" w:eastAsia="Times New Roman" w:hAnsi="Helvetica" w:cs="Helvetica"/>
          <w:color w:val="242121"/>
          <w:lang w:val="en-GB" w:eastAsia="en-ZA" w:bidi="he-IL"/>
        </w:rPr>
        <w:t xml:space="preserve"> should genuine </w:t>
      </w:r>
      <w:r w:rsidR="00531ECA" w:rsidRPr="008A3778">
        <w:rPr>
          <w:rFonts w:ascii="Helvetica" w:eastAsia="Times New Roman" w:hAnsi="Helvetica" w:cs="Helvetica"/>
          <w:color w:val="242121"/>
          <w:lang w:val="en-GB" w:eastAsia="en-ZA" w:bidi="he-IL"/>
        </w:rPr>
        <w:t>disputes of fact</w:t>
      </w:r>
      <w:r w:rsidR="00BF7B11" w:rsidRPr="008A3778">
        <w:rPr>
          <w:rFonts w:ascii="Helvetica" w:eastAsia="Times New Roman" w:hAnsi="Helvetica" w:cs="Helvetica"/>
          <w:color w:val="242121"/>
          <w:lang w:val="en-GB" w:eastAsia="en-ZA" w:bidi="he-IL"/>
        </w:rPr>
        <w:t xml:space="preserve"> arise </w:t>
      </w:r>
      <w:r w:rsidR="00531ECA" w:rsidRPr="008A3778">
        <w:rPr>
          <w:rFonts w:ascii="Helvetica" w:eastAsia="Times New Roman" w:hAnsi="Helvetica" w:cs="Helvetica"/>
          <w:color w:val="242121"/>
          <w:lang w:val="en-GB" w:eastAsia="en-ZA" w:bidi="he-IL"/>
        </w:rPr>
        <w:t xml:space="preserve">in </w:t>
      </w:r>
      <w:r w:rsidR="00621D1E" w:rsidRPr="008A3778">
        <w:rPr>
          <w:rFonts w:ascii="Helvetica" w:eastAsia="Times New Roman" w:hAnsi="Helvetica" w:cs="Helvetica"/>
          <w:color w:val="242121"/>
          <w:lang w:val="en-GB" w:eastAsia="en-ZA" w:bidi="he-IL"/>
        </w:rPr>
        <w:t>a section 30P</w:t>
      </w:r>
      <w:r w:rsidR="00531ECA" w:rsidRPr="008A3778">
        <w:rPr>
          <w:rFonts w:ascii="Helvetica" w:eastAsia="Times New Roman" w:hAnsi="Helvetica" w:cs="Helvetica"/>
          <w:color w:val="242121"/>
          <w:lang w:val="en-GB" w:eastAsia="en-ZA" w:bidi="he-IL"/>
        </w:rPr>
        <w:t xml:space="preserve"> application</w:t>
      </w:r>
      <w:r w:rsidR="00621D1E" w:rsidRPr="008A3778">
        <w:rPr>
          <w:rFonts w:ascii="Helvetica" w:eastAsia="Times New Roman" w:hAnsi="Helvetica" w:cs="Helvetica"/>
          <w:color w:val="242121"/>
          <w:lang w:val="en-GB" w:eastAsia="en-ZA" w:bidi="he-IL"/>
        </w:rPr>
        <w:t>.</w:t>
      </w:r>
      <w:r w:rsidR="00585B31" w:rsidRPr="008A3778">
        <w:rPr>
          <w:rStyle w:val="FootnoteReference"/>
          <w:rFonts w:ascii="Helvetica" w:eastAsia="Times New Roman" w:hAnsi="Helvetica" w:cs="Helvetica"/>
          <w:color w:val="242121"/>
          <w:lang w:val="en-GB" w:eastAsia="en-ZA" w:bidi="he-IL"/>
        </w:rPr>
        <w:footnoteReference w:id="45"/>
      </w:r>
      <w:r w:rsidR="00621D1E" w:rsidRPr="008A3778">
        <w:rPr>
          <w:rFonts w:ascii="Helvetica" w:eastAsia="Times New Roman" w:hAnsi="Helvetica" w:cs="Helvetica"/>
          <w:color w:val="242121"/>
          <w:lang w:val="en-GB" w:eastAsia="en-ZA" w:bidi="he-IL"/>
        </w:rPr>
        <w:t xml:space="preserve"> </w:t>
      </w:r>
    </w:p>
    <w:p w14:paraId="56BC650A" w14:textId="77777777" w:rsidR="00B566C2" w:rsidRPr="008A3778" w:rsidRDefault="00B566C2" w:rsidP="006D5807">
      <w:pPr>
        <w:pStyle w:val="ListParagraph"/>
        <w:numPr>
          <w:ilvl w:val="0"/>
          <w:numId w:val="17"/>
        </w:numPr>
        <w:tabs>
          <w:tab w:val="left" w:pos="720"/>
        </w:tabs>
        <w:adjustRightInd w:val="0"/>
        <w:spacing w:after="480"/>
        <w:ind w:hanging="810"/>
        <w:contextualSpacing w:val="0"/>
        <w:rPr>
          <w:rFonts w:ascii="Helvetica" w:hAnsi="Helvetica" w:cs="Helvetica"/>
          <w:b/>
          <w:bCs/>
          <w:lang w:val="en-GB"/>
        </w:rPr>
      </w:pPr>
      <w:r w:rsidRPr="008A3778">
        <w:rPr>
          <w:rFonts w:ascii="Helvetica" w:hAnsi="Helvetica" w:cs="Helvetica"/>
          <w:b/>
          <w:bCs/>
          <w:lang w:val="en-GB"/>
        </w:rPr>
        <w:t>Section 37C of the Pension Funds Act</w:t>
      </w:r>
    </w:p>
    <w:p w14:paraId="147D053B" w14:textId="77777777" w:rsidR="00B566C2" w:rsidRPr="008A3778" w:rsidRDefault="00B566C2"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Section 37C legislates the disposition of pension benefits upon the death of a member. </w:t>
      </w:r>
    </w:p>
    <w:p w14:paraId="1B3E5EAF" w14:textId="6D419B84" w:rsidR="00B566C2" w:rsidRPr="008A3778" w:rsidRDefault="00B566C2"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As such, section 37C governs the distributions of payment of lumpsum benefits payable on the death of a member of a pension fund, provident fund, provident preservation fund and </w:t>
      </w:r>
      <w:r w:rsidR="00BB0C87" w:rsidRPr="008A3778">
        <w:rPr>
          <w:rFonts w:ascii="Helvetica" w:hAnsi="Helvetica" w:cs="Helvetica"/>
          <w:lang w:val="en-GB"/>
        </w:rPr>
        <w:t>annuity</w:t>
      </w:r>
      <w:r w:rsidRPr="008A3778">
        <w:rPr>
          <w:rFonts w:ascii="Helvetica" w:hAnsi="Helvetica" w:cs="Helvetica"/>
          <w:lang w:val="en-GB"/>
        </w:rPr>
        <w:t xml:space="preserve"> fund. The section 37C accordingly regulates the distribution and payment of lump sum benefits payable on the death of the member. These benefits (i.e., any amount payable to a member or beneficiary in terms of the rules of the fund) are colloquially known as “</w:t>
      </w:r>
      <w:r w:rsidRPr="008A3778">
        <w:rPr>
          <w:rFonts w:ascii="Helvetica" w:hAnsi="Helvetica" w:cs="Helvetica"/>
          <w:i/>
          <w:iCs/>
          <w:lang w:val="en-GB"/>
        </w:rPr>
        <w:t>death benefits</w:t>
      </w:r>
      <w:r w:rsidRPr="008A3778">
        <w:rPr>
          <w:rFonts w:ascii="Helvetica" w:hAnsi="Helvetica" w:cs="Helvetica"/>
          <w:lang w:val="en-GB"/>
        </w:rPr>
        <w:t xml:space="preserve">”. The section’s legislative objective </w:t>
      </w:r>
      <w:r w:rsidR="0008739A" w:rsidRPr="008A3778">
        <w:rPr>
          <w:rFonts w:ascii="Helvetica" w:hAnsi="Helvetica" w:cs="Helvetica"/>
          <w:lang w:val="en-GB"/>
        </w:rPr>
        <w:t xml:space="preserve">is laudable and ameliorative; namely, </w:t>
      </w:r>
      <w:r w:rsidRPr="008A3778">
        <w:rPr>
          <w:rFonts w:ascii="Helvetica" w:hAnsi="Helvetica" w:cs="Helvetica"/>
          <w:lang w:val="en-GB"/>
        </w:rPr>
        <w:t xml:space="preserve">to ensure that </w:t>
      </w:r>
      <w:r w:rsidR="0008739A" w:rsidRPr="008A3778">
        <w:rPr>
          <w:rFonts w:ascii="Helvetica" w:hAnsi="Helvetica" w:cs="Helvetica"/>
          <w:lang w:val="en-GB"/>
        </w:rPr>
        <w:t xml:space="preserve">deceased member’s </w:t>
      </w:r>
      <w:r w:rsidRPr="008A3778">
        <w:rPr>
          <w:rFonts w:ascii="Helvetica" w:hAnsi="Helvetica" w:cs="Helvetica"/>
          <w:lang w:val="en-GB"/>
        </w:rPr>
        <w:t xml:space="preserve">dependents are </w:t>
      </w:r>
      <w:r w:rsidR="002D4A36" w:rsidRPr="008A3778">
        <w:rPr>
          <w:rFonts w:ascii="Helvetica" w:hAnsi="Helvetica" w:cs="Helvetica"/>
          <w:lang w:val="en-GB"/>
        </w:rPr>
        <w:t>not rendered</w:t>
      </w:r>
      <w:r w:rsidRPr="008A3778">
        <w:rPr>
          <w:rFonts w:ascii="Helvetica" w:hAnsi="Helvetica" w:cs="Helvetica"/>
          <w:lang w:val="en-GB"/>
        </w:rPr>
        <w:t xml:space="preserve"> destitute </w:t>
      </w:r>
      <w:r w:rsidR="0008739A" w:rsidRPr="008A3778">
        <w:rPr>
          <w:rFonts w:ascii="Helvetica" w:hAnsi="Helvetica" w:cs="Helvetica"/>
          <w:lang w:val="en-GB"/>
        </w:rPr>
        <w:t xml:space="preserve">by </w:t>
      </w:r>
      <w:r w:rsidR="007329F7">
        <w:rPr>
          <w:rFonts w:ascii="Helvetica" w:hAnsi="Helvetica" w:cs="Helvetica"/>
          <w:lang w:val="en-GB"/>
        </w:rPr>
        <w:t xml:space="preserve">the member’s </w:t>
      </w:r>
      <w:r w:rsidR="0008739A" w:rsidRPr="008A3778">
        <w:rPr>
          <w:rFonts w:ascii="Helvetica" w:hAnsi="Helvetica" w:cs="Helvetica"/>
          <w:lang w:val="en-GB"/>
        </w:rPr>
        <w:t xml:space="preserve">death. Section 37C </w:t>
      </w:r>
      <w:r w:rsidR="002D4A36" w:rsidRPr="008A3778">
        <w:rPr>
          <w:rFonts w:ascii="Helvetica" w:hAnsi="Helvetica" w:cs="Helvetica"/>
          <w:lang w:val="en-GB"/>
        </w:rPr>
        <w:t xml:space="preserve">thus </w:t>
      </w:r>
      <w:r w:rsidR="0008739A" w:rsidRPr="008A3778">
        <w:rPr>
          <w:rFonts w:ascii="Helvetica" w:hAnsi="Helvetica" w:cs="Helvetica"/>
          <w:lang w:val="en-GB"/>
        </w:rPr>
        <w:t xml:space="preserve">seeks to </w:t>
      </w:r>
      <w:r w:rsidR="007329F7">
        <w:rPr>
          <w:rFonts w:ascii="Helvetica" w:hAnsi="Helvetica" w:cs="Helvetica"/>
          <w:lang w:val="en-GB"/>
        </w:rPr>
        <w:t xml:space="preserve">legislatively </w:t>
      </w:r>
      <w:r w:rsidR="0008739A" w:rsidRPr="008A3778">
        <w:rPr>
          <w:rFonts w:ascii="Helvetica" w:hAnsi="Helvetica" w:cs="Helvetica"/>
          <w:lang w:val="en-GB"/>
        </w:rPr>
        <w:t xml:space="preserve">ensure that </w:t>
      </w:r>
      <w:r w:rsidR="006D223A">
        <w:rPr>
          <w:rFonts w:ascii="Helvetica" w:hAnsi="Helvetica" w:cs="Helvetica"/>
          <w:lang w:val="en-GB"/>
        </w:rPr>
        <w:t xml:space="preserve">the </w:t>
      </w:r>
      <w:r w:rsidR="0008739A" w:rsidRPr="008A3778">
        <w:rPr>
          <w:rFonts w:ascii="Helvetica" w:hAnsi="Helvetica" w:cs="Helvetica"/>
          <w:lang w:val="en-GB"/>
        </w:rPr>
        <w:t xml:space="preserve">deceased member’s dependents </w:t>
      </w:r>
      <w:r w:rsidR="00BB0C87" w:rsidRPr="008A3778">
        <w:rPr>
          <w:rFonts w:ascii="Helvetica" w:hAnsi="Helvetica" w:cs="Helvetica"/>
          <w:lang w:val="en-GB"/>
        </w:rPr>
        <w:t>receive</w:t>
      </w:r>
      <w:r w:rsidRPr="008A3778">
        <w:rPr>
          <w:rFonts w:ascii="Helvetica" w:hAnsi="Helvetica" w:cs="Helvetica"/>
          <w:lang w:val="en-GB"/>
        </w:rPr>
        <w:t xml:space="preserve"> adequate support; irrespective of whether the deceased was legally</w:t>
      </w:r>
      <w:r w:rsidR="0008739A" w:rsidRPr="008A3778">
        <w:rPr>
          <w:rFonts w:ascii="Helvetica" w:hAnsi="Helvetica" w:cs="Helvetica"/>
          <w:lang w:val="en-GB"/>
        </w:rPr>
        <w:t xml:space="preserve"> obliged </w:t>
      </w:r>
      <w:r w:rsidRPr="008A3778">
        <w:rPr>
          <w:rFonts w:ascii="Helvetica" w:hAnsi="Helvetica" w:cs="Helvetica"/>
          <w:lang w:val="en-GB"/>
        </w:rPr>
        <w:t xml:space="preserve">to maintain them. </w:t>
      </w:r>
    </w:p>
    <w:p w14:paraId="42C32688" w14:textId="4FE28B2A" w:rsidR="00B566C2" w:rsidRPr="008A3778" w:rsidRDefault="00B566C2"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Critically, the wording of section 37C(1) commences with the following: “</w:t>
      </w:r>
      <w:r w:rsidRPr="008A3778">
        <w:rPr>
          <w:rFonts w:ascii="Helvetica" w:hAnsi="Helvetica" w:cs="Helvetica"/>
          <w:i/>
          <w:iCs/>
          <w:lang w:val="en-GB"/>
        </w:rPr>
        <w:t>Notwithstanding anything to the contrary contained in any law or in the rules of a registered fund, …</w:t>
      </w:r>
      <w:r w:rsidRPr="008A3778">
        <w:rPr>
          <w:rFonts w:ascii="Helvetica" w:hAnsi="Helvetica" w:cs="Helvetica"/>
          <w:lang w:val="en-GB"/>
        </w:rPr>
        <w:t xml:space="preserve">”. This </w:t>
      </w:r>
      <w:r w:rsidR="007329F7">
        <w:rPr>
          <w:rFonts w:ascii="Helvetica" w:hAnsi="Helvetica" w:cs="Helvetica"/>
          <w:lang w:val="en-GB"/>
        </w:rPr>
        <w:t xml:space="preserve">unambiguous </w:t>
      </w:r>
      <w:r w:rsidRPr="008A3778">
        <w:rPr>
          <w:rFonts w:ascii="Helvetica" w:hAnsi="Helvetica" w:cs="Helvetica"/>
          <w:lang w:val="en-GB"/>
        </w:rPr>
        <w:t xml:space="preserve">introduction to section 37C, properly construed, means that the provisions of section 37C overrule any contrary statute, law, or rule </w:t>
      </w:r>
      <w:r w:rsidR="007329F7">
        <w:rPr>
          <w:rFonts w:ascii="Helvetica" w:hAnsi="Helvetica" w:cs="Helvetica"/>
          <w:lang w:val="en-GB"/>
        </w:rPr>
        <w:t xml:space="preserve">(fund or otherwise) </w:t>
      </w:r>
      <w:r w:rsidRPr="008A3778">
        <w:rPr>
          <w:rFonts w:ascii="Helvetica" w:hAnsi="Helvetica" w:cs="Helvetica"/>
          <w:lang w:val="en-GB"/>
        </w:rPr>
        <w:lastRenderedPageBreak/>
        <w:t>which deals with death benefits.</w:t>
      </w:r>
      <w:r w:rsidRPr="008A3778">
        <w:rPr>
          <w:rStyle w:val="FootnoteReference"/>
          <w:rFonts w:ascii="Helvetica" w:hAnsi="Helvetica" w:cs="Helvetica"/>
          <w:lang w:val="en-GB"/>
        </w:rPr>
        <w:footnoteReference w:id="46"/>
      </w:r>
      <w:r w:rsidRPr="008A3778">
        <w:rPr>
          <w:rFonts w:ascii="Helvetica" w:hAnsi="Helvetica" w:cs="Helvetica"/>
          <w:lang w:val="en-GB"/>
        </w:rPr>
        <w:t xml:space="preserve"> Accordingly, to the extent that any statute, law, or rule contradicts the provisions of the section, they are trumped by section 37C. </w:t>
      </w:r>
    </w:p>
    <w:p w14:paraId="53AA09C5" w14:textId="498319B0" w:rsidR="00B566C2" w:rsidRPr="008A3778" w:rsidRDefault="00B566C2"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In </w:t>
      </w:r>
      <w:r w:rsidRPr="008A3778">
        <w:rPr>
          <w:rFonts w:ascii="Helvetica" w:hAnsi="Helvetica" w:cs="Helvetica"/>
          <w:b/>
          <w:bCs/>
          <w:lang w:val="en-GB"/>
        </w:rPr>
        <w:t>Kaplan and Another NNO v Professional and Executive Retirement Fund &amp; Another</w:t>
      </w:r>
      <w:r w:rsidR="008A3778">
        <w:rPr>
          <w:rFonts w:ascii="Helvetica" w:hAnsi="Helvetica" w:cs="Helvetica"/>
          <w:lang w:val="en-GB"/>
        </w:rPr>
        <w:t>,</w:t>
      </w:r>
      <w:r w:rsidRPr="008A3778">
        <w:rPr>
          <w:rStyle w:val="FootnoteReference"/>
          <w:rFonts w:ascii="Helvetica" w:hAnsi="Helvetica" w:cs="Helvetica"/>
          <w:lang w:val="en-GB"/>
        </w:rPr>
        <w:footnoteReference w:id="47"/>
      </w:r>
      <w:r w:rsidRPr="008A3778">
        <w:rPr>
          <w:rFonts w:ascii="Helvetica" w:hAnsi="Helvetica" w:cs="Helvetica"/>
          <w:b/>
          <w:bCs/>
          <w:lang w:val="en-GB"/>
        </w:rPr>
        <w:t xml:space="preserve"> </w:t>
      </w:r>
      <w:r w:rsidRPr="008A3778">
        <w:rPr>
          <w:rFonts w:ascii="Helvetica" w:hAnsi="Helvetica" w:cs="Helvetica"/>
          <w:lang w:val="en-GB"/>
        </w:rPr>
        <w:t xml:space="preserve">the SCA interpreted section 37C(1) to require that death benefits must be disposed of according to the subsections statutory scheme. More specifically: </w:t>
      </w:r>
    </w:p>
    <w:p w14:paraId="3D45A6A7" w14:textId="77777777" w:rsidR="00B566C2" w:rsidRPr="008A3778" w:rsidRDefault="00B566C2" w:rsidP="003D368F">
      <w:pPr>
        <w:shd w:val="clear" w:color="auto" w:fill="FFFFFF"/>
        <w:spacing w:after="480" w:line="240" w:lineRule="auto"/>
        <w:ind w:left="1080" w:right="498"/>
        <w:jc w:val="both"/>
        <w:rPr>
          <w:rFonts w:ascii="Helvetica" w:hAnsi="Helvetica" w:cs="Helvetica"/>
          <w:lang w:val="en-GB"/>
        </w:rPr>
      </w:pPr>
      <w:r w:rsidRPr="008A3778">
        <w:rPr>
          <w:rFonts w:ascii="Helvetica" w:hAnsi="Helvetica" w:cs="Helvetica"/>
          <w:lang w:val="en-GB"/>
        </w:rPr>
        <w:t>"</w:t>
      </w:r>
      <w:r w:rsidRPr="008A3778">
        <w:rPr>
          <w:rFonts w:ascii="Helvetica" w:hAnsi="Helvetica" w:cs="Helvetica"/>
          <w:i/>
          <w:iCs/>
          <w:lang w:val="en-GB"/>
        </w:rPr>
        <w:t xml:space="preserve">The plain meaning of the subsection is this. All benefits payable in respect of a deceased member, </w:t>
      </w:r>
      <w:r w:rsidRPr="008A3778">
        <w:rPr>
          <w:rFonts w:ascii="Helvetica" w:eastAsia="HGMaruGothicMPRO" w:hAnsi="Helvetica" w:cs="Helvetica"/>
          <w:i/>
          <w:iCs/>
          <w:lang w:val="en-GB"/>
        </w:rPr>
        <w:t>whether</w:t>
      </w:r>
      <w:r w:rsidRPr="008A3778">
        <w:rPr>
          <w:rFonts w:ascii="Helvetica" w:hAnsi="Helvetica" w:cs="Helvetica"/>
          <w:i/>
          <w:iCs/>
          <w:lang w:val="en-GB"/>
        </w:rPr>
        <w:t xml:space="preserve"> subject to a nomination or not, must be dealt with in terms of one or other of the quoted subparagraphs. In other words none fall into the estate save in the </w:t>
      </w:r>
      <w:r w:rsidRPr="003D368F">
        <w:rPr>
          <w:rFonts w:ascii="Helvetica" w:eastAsia="Times New Roman" w:hAnsi="Helvetica" w:cs="Helvetica"/>
          <w:i/>
          <w:iCs/>
          <w:color w:val="242121"/>
          <w:lang w:val="en-GB" w:eastAsia="en-ZA" w:bidi="he-IL"/>
        </w:rPr>
        <w:t>circumstances</w:t>
      </w:r>
      <w:r w:rsidRPr="008A3778">
        <w:rPr>
          <w:rFonts w:ascii="Helvetica" w:hAnsi="Helvetica" w:cs="Helvetica"/>
          <w:i/>
          <w:iCs/>
          <w:lang w:val="en-GB"/>
        </w:rPr>
        <w:t xml:space="preserve"> stated in subparas (b) and (c). In addition, these nominations having been made in terms of the rules, and the rules requiring the benefits to go to the nominated beneficiaries, the trustees' case is inextricably linked to the rules. However, as the phrase '(n)otwithstanding anything to the contrary ... contained in the rules' makes unmistakably clear, it matters not in the present situation what the rules say - the benefits must be disposed of according to the subsection's statutory scheme</w:t>
      </w:r>
      <w:r w:rsidRPr="008A3778">
        <w:rPr>
          <w:rFonts w:ascii="Helvetica" w:hAnsi="Helvetica" w:cs="Helvetica"/>
          <w:lang w:val="en-GB"/>
        </w:rPr>
        <w:t>."</w:t>
      </w:r>
    </w:p>
    <w:p w14:paraId="5037EEF7" w14:textId="73343F63" w:rsidR="00B566C2" w:rsidRPr="008A3778" w:rsidRDefault="008C59C4" w:rsidP="006D5807">
      <w:pPr>
        <w:numPr>
          <w:ilvl w:val="0"/>
          <w:numId w:val="1"/>
        </w:numPr>
        <w:spacing w:after="360" w:line="360" w:lineRule="auto"/>
        <w:ind w:left="720" w:right="-151" w:hanging="720"/>
        <w:jc w:val="both"/>
        <w:rPr>
          <w:rFonts w:ascii="Helvetica" w:hAnsi="Helvetica" w:cs="Helvetica"/>
          <w:lang w:val="en-GB"/>
        </w:rPr>
      </w:pPr>
      <w:r>
        <w:rPr>
          <w:rFonts w:ascii="Helvetica" w:hAnsi="Helvetica" w:cs="Helvetica"/>
          <w:lang w:val="en-GB"/>
        </w:rPr>
        <w:t>S</w:t>
      </w:r>
      <w:r w:rsidR="00B566C2" w:rsidRPr="008A3778">
        <w:rPr>
          <w:rFonts w:ascii="Helvetica" w:hAnsi="Helvetica" w:cs="Helvetica"/>
          <w:lang w:val="en-GB"/>
        </w:rPr>
        <w:t>ection 37C</w:t>
      </w:r>
      <w:r>
        <w:rPr>
          <w:rFonts w:ascii="Helvetica" w:hAnsi="Helvetica" w:cs="Helvetica"/>
          <w:lang w:val="en-GB"/>
        </w:rPr>
        <w:t xml:space="preserve">’s </w:t>
      </w:r>
      <w:r w:rsidRPr="008A3778">
        <w:rPr>
          <w:rFonts w:ascii="Helvetica" w:hAnsi="Helvetica" w:cs="Helvetica"/>
          <w:lang w:val="en-GB"/>
        </w:rPr>
        <w:t xml:space="preserve">legislative purpose, intention and interpretation </w:t>
      </w:r>
      <w:r w:rsidR="00B566C2" w:rsidRPr="008A3778">
        <w:rPr>
          <w:rFonts w:ascii="Helvetica" w:hAnsi="Helvetica" w:cs="Helvetica"/>
          <w:lang w:val="en-GB"/>
        </w:rPr>
        <w:t xml:space="preserve">is confirmed in </w:t>
      </w:r>
      <w:r w:rsidR="00B566C2" w:rsidRPr="008A3778">
        <w:rPr>
          <w:rFonts w:ascii="Helvetica" w:hAnsi="Helvetica" w:cs="Helvetica"/>
          <w:b/>
          <w:bCs/>
          <w:lang w:val="en-GB"/>
        </w:rPr>
        <w:t>Mashazi v African Products Retirement Benefit Provident Fund and Another</w:t>
      </w:r>
      <w:r w:rsidR="008A3778" w:rsidRPr="008A3778">
        <w:rPr>
          <w:rFonts w:ascii="Helvetica" w:hAnsi="Helvetica" w:cs="Helvetica"/>
          <w:lang w:val="en-GB"/>
        </w:rPr>
        <w:t>.</w:t>
      </w:r>
      <w:r w:rsidR="00B566C2" w:rsidRPr="008A3778">
        <w:rPr>
          <w:rStyle w:val="FootnoteReference"/>
          <w:rFonts w:ascii="Helvetica" w:hAnsi="Helvetica" w:cs="Helvetica"/>
          <w:lang w:val="en-GB"/>
        </w:rPr>
        <w:footnoteReference w:id="48"/>
      </w:r>
      <w:r w:rsidR="002D4A36" w:rsidRPr="008A3778">
        <w:rPr>
          <w:rFonts w:ascii="Helvetica" w:hAnsi="Helvetica" w:cs="Helvetica"/>
          <w:lang w:val="en-GB"/>
        </w:rPr>
        <w:t xml:space="preserve"> T</w:t>
      </w:r>
      <w:r w:rsidR="00B566C2" w:rsidRPr="008A3778">
        <w:rPr>
          <w:rFonts w:ascii="Helvetica" w:hAnsi="Helvetica" w:cs="Helvetica"/>
          <w:lang w:val="en-GB"/>
        </w:rPr>
        <w:t>herein</w:t>
      </w:r>
      <w:r w:rsidR="002D4A36" w:rsidRPr="008A3778">
        <w:rPr>
          <w:rFonts w:ascii="Helvetica" w:hAnsi="Helvetica" w:cs="Helvetica"/>
          <w:lang w:val="en-GB"/>
        </w:rPr>
        <w:t>,</w:t>
      </w:r>
      <w:r w:rsidR="00B566C2" w:rsidRPr="008A3778">
        <w:rPr>
          <w:rFonts w:ascii="Helvetica" w:hAnsi="Helvetica" w:cs="Helvetica"/>
          <w:lang w:val="en-GB"/>
        </w:rPr>
        <w:t xml:space="preserve"> the following </w:t>
      </w:r>
      <w:r w:rsidR="002D4A36" w:rsidRPr="008A3778">
        <w:rPr>
          <w:rFonts w:ascii="Helvetica" w:hAnsi="Helvetica" w:cs="Helvetica"/>
          <w:lang w:val="en-GB"/>
        </w:rPr>
        <w:t xml:space="preserve">is </w:t>
      </w:r>
      <w:r w:rsidR="00B566C2" w:rsidRPr="008A3778">
        <w:rPr>
          <w:rFonts w:ascii="Helvetica" w:hAnsi="Helvetica" w:cs="Helvetica"/>
          <w:lang w:val="en-GB"/>
        </w:rPr>
        <w:t xml:space="preserve">stated: </w:t>
      </w:r>
    </w:p>
    <w:p w14:paraId="0CD765C8" w14:textId="77777777" w:rsidR="00B566C2" w:rsidRPr="008A3778" w:rsidRDefault="00B566C2" w:rsidP="003D368F">
      <w:pPr>
        <w:shd w:val="clear" w:color="auto" w:fill="FFFFFF"/>
        <w:spacing w:after="480" w:line="240" w:lineRule="auto"/>
        <w:ind w:left="1080" w:right="498"/>
        <w:jc w:val="both"/>
        <w:rPr>
          <w:rFonts w:ascii="Helvetica" w:hAnsi="Helvetica" w:cs="Helvetica"/>
          <w:lang w:val="en-GB"/>
        </w:rPr>
      </w:pPr>
      <w:r w:rsidRPr="008A3778">
        <w:rPr>
          <w:rFonts w:ascii="Helvetica" w:hAnsi="Helvetica" w:cs="Helvetica"/>
          <w:lang w:val="en-GB"/>
        </w:rPr>
        <w:t>“</w:t>
      </w:r>
      <w:r w:rsidRPr="008A3778">
        <w:rPr>
          <w:rFonts w:ascii="Helvetica" w:hAnsi="Helvetica" w:cs="Helvetica"/>
          <w:i/>
          <w:iCs/>
          <w:lang w:val="en-GB"/>
        </w:rPr>
        <w:t xml:space="preserve">Section 37C of the Act was intended to serve a social function. It was enacted to protect dependency, even over the clear wishes of the deceased. This section specifically restricts freedom of testation in order that no dependents are left without support. </w:t>
      </w:r>
      <w:r w:rsidRPr="003D368F">
        <w:rPr>
          <w:rFonts w:ascii="Helvetica" w:eastAsia="Times New Roman" w:hAnsi="Helvetica" w:cs="Helvetica"/>
          <w:i/>
          <w:iCs/>
          <w:color w:val="242121"/>
          <w:lang w:val="en-GB" w:eastAsia="en-ZA" w:bidi="he-IL"/>
        </w:rPr>
        <w:t>Section</w:t>
      </w:r>
      <w:r w:rsidRPr="008A3778">
        <w:rPr>
          <w:rFonts w:ascii="Helvetica" w:hAnsi="Helvetica" w:cs="Helvetica"/>
          <w:i/>
          <w:iCs/>
          <w:lang w:val="en-GB"/>
        </w:rPr>
        <w:t xml:space="preserve"> 37C(1) specifically excludes the benefits from the assets in the estate of a member. Section 37C enjoins the trustees of the pension fund to exercise an equitable discretion, taking into account a number of factors. The fund is expressly not bound by a will, nor is it bound by the nomination form. The contents of the nomination form are there merely as a guide to the trustees in the exercise of their discretion</w:t>
      </w:r>
      <w:r w:rsidRPr="008A3778">
        <w:rPr>
          <w:rFonts w:ascii="Helvetica" w:hAnsi="Helvetica" w:cs="Helvetica"/>
          <w:lang w:val="en-GB"/>
        </w:rPr>
        <w:t>.”</w:t>
      </w:r>
    </w:p>
    <w:p w14:paraId="3E685A49" w14:textId="62860838" w:rsidR="00B566C2" w:rsidRPr="008A3778" w:rsidRDefault="00B566C2" w:rsidP="006D5807">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Given its legislative objective, section 37C places a duty on the fund’s trustees to allocate and pay the death benefit in a manner deemed to be fair and equitable. As such, the right and responsibility of allocating death benefits resides with the trustees of </w:t>
      </w:r>
      <w:r w:rsidRPr="008A3778">
        <w:rPr>
          <w:rFonts w:ascii="Helvetica" w:hAnsi="Helvetica" w:cs="Helvetica"/>
          <w:lang w:val="en-GB"/>
        </w:rPr>
        <w:lastRenderedPageBreak/>
        <w:t>relevant fund, not with the member.</w:t>
      </w:r>
      <w:r w:rsidRPr="008A3778">
        <w:rPr>
          <w:rFonts w:ascii="Helvetica" w:hAnsi="Helvetica" w:cs="Helvetica"/>
          <w:vertAlign w:val="superscript"/>
          <w:lang w:val="en-GB"/>
        </w:rPr>
        <w:footnoteReference w:id="49"/>
      </w:r>
      <w:r w:rsidRPr="008A3778">
        <w:rPr>
          <w:rFonts w:ascii="Helvetica" w:hAnsi="Helvetica" w:cs="Helvetica"/>
          <w:color w:val="000000"/>
          <w:shd w:val="clear" w:color="auto" w:fill="FCFCFC"/>
          <w:lang w:val="en-GB"/>
        </w:rPr>
        <w:t xml:space="preserve"> </w:t>
      </w:r>
      <w:r w:rsidRPr="008A3778">
        <w:rPr>
          <w:rFonts w:ascii="Helvetica" w:hAnsi="Helvetica" w:cs="Helvetica"/>
          <w:lang w:val="en-GB"/>
        </w:rPr>
        <w:t>As such, the trustees must</w:t>
      </w:r>
      <w:r w:rsidR="007433FE">
        <w:rPr>
          <w:rFonts w:ascii="Helvetica" w:hAnsi="Helvetica" w:cs="Helvetica"/>
          <w:lang w:val="en-GB"/>
        </w:rPr>
        <w:t>:</w:t>
      </w:r>
      <w:r w:rsidRPr="008A3778">
        <w:rPr>
          <w:rFonts w:ascii="Helvetica" w:hAnsi="Helvetica" w:cs="Helvetica"/>
          <w:lang w:val="en-GB"/>
        </w:rPr>
        <w:t xml:space="preserve"> (i) identify the deceased member’s dependents and nominees, (ii) effect an equitable distribution of the death benefits amongst them, considering relevant factors</w:t>
      </w:r>
      <w:r w:rsidR="007433FE">
        <w:rPr>
          <w:rFonts w:ascii="Helvetica" w:hAnsi="Helvetica" w:cs="Helvetica"/>
          <w:lang w:val="en-GB"/>
        </w:rPr>
        <w:t>,</w:t>
      </w:r>
      <w:r w:rsidRPr="008A3778">
        <w:rPr>
          <w:rStyle w:val="FootnoteReference"/>
          <w:rFonts w:ascii="Helvetica" w:hAnsi="Helvetica" w:cs="Helvetica"/>
          <w:lang w:val="en-GB"/>
        </w:rPr>
        <w:footnoteReference w:id="50"/>
      </w:r>
      <w:r w:rsidRPr="008A3778">
        <w:rPr>
          <w:rFonts w:ascii="Helvetica" w:hAnsi="Helvetica" w:cs="Helvetica"/>
          <w:lang w:val="en-GB"/>
        </w:rPr>
        <w:t xml:space="preserve"> and (iii) select an appropriate mode of payment of the benefits.</w:t>
      </w:r>
      <w:r w:rsidRPr="008A3778">
        <w:rPr>
          <w:rStyle w:val="FootnoteReference"/>
          <w:rFonts w:ascii="Helvetica" w:hAnsi="Helvetica" w:cs="Helvetica"/>
          <w:lang w:val="en-GB"/>
        </w:rPr>
        <w:footnoteReference w:id="51"/>
      </w:r>
    </w:p>
    <w:p w14:paraId="1D724B6D" w14:textId="77777777" w:rsidR="00D73E71" w:rsidRPr="008A3778" w:rsidRDefault="00D73E71" w:rsidP="00D73E71">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The impact, length, and breadth of the section 37C’s legislative supremacy is wide-ranging. By way of example:</w:t>
      </w:r>
    </w:p>
    <w:p w14:paraId="44C44620" w14:textId="77777777" w:rsidR="00D73E71" w:rsidRPr="008A3778" w:rsidRDefault="00D73E71" w:rsidP="00D73E71">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hAnsi="Helvetica" w:cs="Helvetica"/>
          <w:lang w:val="en-GB"/>
        </w:rPr>
        <w:t xml:space="preserve">A death benefit is not subject to the marital property regime of the deceased member; it </w:t>
      </w:r>
      <w:r>
        <w:rPr>
          <w:rFonts w:ascii="Helvetica" w:hAnsi="Helvetica" w:cs="Helvetica"/>
          <w:lang w:val="en-GB"/>
        </w:rPr>
        <w:t>being</w:t>
      </w:r>
      <w:r w:rsidRPr="008A3778">
        <w:rPr>
          <w:rFonts w:ascii="Helvetica" w:hAnsi="Helvetica" w:cs="Helvetica"/>
          <w:lang w:val="en-GB"/>
        </w:rPr>
        <w:t xml:space="preserve"> irrelevant whether the parties were married in or out community of property. In </w:t>
      </w:r>
      <w:r w:rsidRPr="008A3778">
        <w:rPr>
          <w:rFonts w:ascii="Helvetica" w:hAnsi="Helvetica" w:cs="Helvetica"/>
          <w:b/>
          <w:bCs/>
          <w:lang w:val="en-GB"/>
        </w:rPr>
        <w:t>Makume v Cape Joint Retirement Fund</w:t>
      </w:r>
      <w:r>
        <w:rPr>
          <w:rFonts w:ascii="Helvetica" w:hAnsi="Helvetica" w:cs="Helvetica"/>
          <w:lang w:val="en-GB"/>
        </w:rPr>
        <w:t>,</w:t>
      </w:r>
      <w:r w:rsidRPr="008A3778">
        <w:rPr>
          <w:rFonts w:ascii="Helvetica" w:hAnsi="Helvetica" w:cs="Helvetica"/>
          <w:vertAlign w:val="superscript"/>
          <w:lang w:val="en-GB"/>
        </w:rPr>
        <w:footnoteReference w:id="52"/>
      </w:r>
      <w:r w:rsidRPr="008A3778">
        <w:rPr>
          <w:rFonts w:ascii="Helvetica" w:hAnsi="Helvetica" w:cs="Helvetica"/>
          <w:b/>
          <w:bCs/>
          <w:lang w:val="en-GB"/>
        </w:rPr>
        <w:t xml:space="preserve"> </w:t>
      </w:r>
      <w:r w:rsidRPr="008A3778">
        <w:rPr>
          <w:rFonts w:ascii="Helvetica" w:hAnsi="Helvetica" w:cs="Helvetica"/>
          <w:lang w:val="en-GB"/>
        </w:rPr>
        <w:t>it was held</w:t>
      </w:r>
      <w:r w:rsidRPr="008A3778">
        <w:rPr>
          <w:rFonts w:ascii="Helvetica" w:hAnsi="Helvetica" w:cs="Helvetica"/>
          <w:b/>
          <w:bCs/>
          <w:lang w:val="en-GB"/>
        </w:rPr>
        <w:t xml:space="preserve"> </w:t>
      </w:r>
      <w:r w:rsidRPr="008A3778">
        <w:rPr>
          <w:rFonts w:ascii="Helvetica" w:hAnsi="Helvetica" w:cs="Helvetica"/>
          <w:lang w:val="en-GB"/>
        </w:rPr>
        <w:t>that the benefit must be distributed in terms of section 37C</w:t>
      </w:r>
      <w:r>
        <w:rPr>
          <w:rFonts w:ascii="Helvetica" w:hAnsi="Helvetica" w:cs="Helvetica"/>
          <w:lang w:val="en-GB"/>
        </w:rPr>
        <w:t>. I</w:t>
      </w:r>
      <w:r w:rsidRPr="008A3778">
        <w:rPr>
          <w:rFonts w:ascii="Helvetica" w:hAnsi="Helvetica" w:cs="Helvetica"/>
          <w:lang w:val="en-GB"/>
        </w:rPr>
        <w:t>n so doing, the court rejected the applicant’s claim that she was entitled to 50</w:t>
      </w:r>
      <w:r>
        <w:rPr>
          <w:rFonts w:ascii="Helvetica" w:hAnsi="Helvetica" w:cs="Helvetica"/>
          <w:lang w:val="en-GB"/>
        </w:rPr>
        <w:t>%</w:t>
      </w:r>
      <w:r w:rsidRPr="008A3778">
        <w:rPr>
          <w:rFonts w:ascii="Helvetica" w:hAnsi="Helvetica" w:cs="Helvetica"/>
          <w:lang w:val="en-GB"/>
        </w:rPr>
        <w:t xml:space="preserve"> of the benefit simply because she was married in community of property to the deceased. </w:t>
      </w:r>
      <w:r>
        <w:rPr>
          <w:rFonts w:ascii="Helvetica" w:hAnsi="Helvetica" w:cs="Helvetica"/>
          <w:lang w:val="en-GB"/>
        </w:rPr>
        <w:t>A</w:t>
      </w:r>
      <w:r w:rsidRPr="008A3778">
        <w:rPr>
          <w:rFonts w:ascii="Helvetica" w:hAnsi="Helvetica" w:cs="Helvetica"/>
          <w:lang w:val="en-GB"/>
        </w:rPr>
        <w:t xml:space="preserve">n identical argument in </w:t>
      </w:r>
      <w:r w:rsidRPr="008A3778">
        <w:rPr>
          <w:rFonts w:ascii="Helvetica" w:hAnsi="Helvetica" w:cs="Helvetica"/>
          <w:b/>
          <w:bCs/>
          <w:lang w:val="en-GB"/>
        </w:rPr>
        <w:t>Letsoalo and Others v Lukhaimane NO and Others</w:t>
      </w:r>
      <w:r w:rsidRPr="008A3778">
        <w:rPr>
          <w:rStyle w:val="FootnoteReference"/>
          <w:rFonts w:ascii="Helvetica" w:hAnsi="Helvetica" w:cs="Helvetica"/>
          <w:lang w:val="en-GB"/>
        </w:rPr>
        <w:footnoteReference w:id="53"/>
      </w:r>
      <w:r>
        <w:rPr>
          <w:rFonts w:ascii="Helvetica" w:hAnsi="Helvetica" w:cs="Helvetica"/>
          <w:lang w:val="en-GB"/>
        </w:rPr>
        <w:t xml:space="preserve"> was similarly rejected.</w:t>
      </w:r>
      <w:r w:rsidRPr="008A3778">
        <w:rPr>
          <w:rFonts w:ascii="Helvetica" w:hAnsi="Helvetica" w:cs="Helvetica"/>
          <w:lang w:val="en-GB"/>
        </w:rPr>
        <w:t xml:space="preserve"> Section 37C likewise trumps the provisions of the Matrimonial Property Act.</w:t>
      </w:r>
    </w:p>
    <w:p w14:paraId="38C315F0" w14:textId="77777777" w:rsidR="00D73E71" w:rsidRPr="008A3778" w:rsidRDefault="00D73E71" w:rsidP="00D73E71">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hAnsi="Helvetica" w:cs="Helvetica"/>
          <w:lang w:val="en-GB"/>
        </w:rPr>
        <w:t xml:space="preserve">Section 37C’s supremacy also operates within the context of the limitation the section imposes on the testamentary freedom of the member. </w:t>
      </w:r>
      <w:r>
        <w:rPr>
          <w:rFonts w:ascii="Helvetica" w:hAnsi="Helvetica" w:cs="Helvetica"/>
          <w:lang w:val="en-GB"/>
        </w:rPr>
        <w:t>As foreshadowed above, t</w:t>
      </w:r>
      <w:r w:rsidRPr="008A3778">
        <w:rPr>
          <w:rFonts w:ascii="Helvetica" w:hAnsi="Helvetica" w:cs="Helvetica"/>
          <w:lang w:val="en-GB"/>
        </w:rPr>
        <w:t>he section removes the ability of a fund’s member to dispose of his death benefits as he or she wishes, and as he or she would ordinarily be able to do with other estate assets.</w:t>
      </w:r>
      <w:r>
        <w:rPr>
          <w:rStyle w:val="FootnoteReference"/>
          <w:rFonts w:ascii="Helvetica" w:hAnsi="Helvetica" w:cs="Helvetica"/>
          <w:lang w:val="en-GB"/>
        </w:rPr>
        <w:footnoteReference w:id="54"/>
      </w:r>
      <w:r w:rsidRPr="008A3778">
        <w:rPr>
          <w:rFonts w:ascii="Helvetica" w:hAnsi="Helvetica" w:cs="Helvetica"/>
          <w:lang w:val="en-GB"/>
        </w:rPr>
        <w:t xml:space="preserve"> As such, even though a member may conclude a testamentary will, or a beneficiary nomination, these ordinarily serve as no more than a guide. As such, the benefits do not form part of the assets of a deceased </w:t>
      </w:r>
      <w:r w:rsidRPr="008A3778">
        <w:rPr>
          <w:rFonts w:ascii="Helvetica" w:hAnsi="Helvetica" w:cs="Helvetica"/>
          <w:lang w:val="en-GB"/>
        </w:rPr>
        <w:lastRenderedPageBreak/>
        <w:t>member’s estate</w:t>
      </w:r>
      <w:r>
        <w:rPr>
          <w:rFonts w:ascii="Helvetica" w:hAnsi="Helvetica" w:cs="Helvetica"/>
          <w:lang w:val="en-GB"/>
        </w:rPr>
        <w:t>,</w:t>
      </w:r>
      <w:r w:rsidRPr="008A3778">
        <w:rPr>
          <w:rStyle w:val="FootnoteReference"/>
          <w:rFonts w:ascii="Helvetica" w:hAnsi="Helvetica" w:cs="Helvetica"/>
          <w:lang w:val="en-GB"/>
        </w:rPr>
        <w:footnoteReference w:id="55"/>
      </w:r>
      <w:r w:rsidRPr="008A3778">
        <w:rPr>
          <w:rFonts w:ascii="Helvetica" w:hAnsi="Helvetica" w:cs="Helvetica"/>
          <w:lang w:val="en-GB"/>
        </w:rPr>
        <w:t xml:space="preserve"> except for in the limited circumstances listed in sub-para</w:t>
      </w:r>
      <w:r>
        <w:rPr>
          <w:rFonts w:ascii="Helvetica" w:hAnsi="Helvetica" w:cs="Helvetica"/>
          <w:lang w:val="en-GB"/>
        </w:rPr>
        <w:t>graph</w:t>
      </w:r>
      <w:r w:rsidRPr="008A3778">
        <w:rPr>
          <w:rFonts w:ascii="Helvetica" w:hAnsi="Helvetica" w:cs="Helvetica"/>
          <w:lang w:val="en-GB"/>
        </w:rPr>
        <w:t>s (b) and (c) of section 37C (neither of which apply in the present instance). Simply put, the member’s testamentary intentions, as expressed in his or her will or beneficiary nomination form, do not override the provisions of Section 37C.</w:t>
      </w:r>
    </w:p>
    <w:p w14:paraId="2F2D69A3" w14:textId="77777777" w:rsidR="00D73E71" w:rsidRPr="008A3778" w:rsidRDefault="00D73E71" w:rsidP="00D73E71">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hAnsi="Helvetica" w:cs="Helvetica"/>
          <w:lang w:val="en-GB"/>
        </w:rPr>
        <w:t>Furthermore, section 37C’s legislative supremacy includes its precedence over customary law.</w:t>
      </w:r>
      <w:r w:rsidRPr="008A3778">
        <w:rPr>
          <w:rStyle w:val="FootnoteReference"/>
          <w:rFonts w:ascii="Helvetica" w:hAnsi="Helvetica" w:cs="Helvetica"/>
          <w:lang w:val="en-GB"/>
        </w:rPr>
        <w:footnoteReference w:id="56"/>
      </w:r>
      <w:r w:rsidRPr="008A3778">
        <w:rPr>
          <w:rFonts w:ascii="Helvetica" w:hAnsi="Helvetica" w:cs="Helvetica"/>
          <w:lang w:val="en-GB"/>
        </w:rPr>
        <w:t xml:space="preserve"> </w:t>
      </w:r>
    </w:p>
    <w:p w14:paraId="7C3A56B2" w14:textId="77777777" w:rsidR="00D73E71" w:rsidRPr="008A3778" w:rsidRDefault="00D73E71" w:rsidP="00D73E71">
      <w:pPr>
        <w:numPr>
          <w:ilvl w:val="1"/>
          <w:numId w:val="1"/>
        </w:numPr>
        <w:tabs>
          <w:tab w:val="clear" w:pos="851"/>
          <w:tab w:val="num" w:pos="1440"/>
        </w:tabs>
        <w:spacing w:after="360" w:line="360" w:lineRule="auto"/>
        <w:ind w:left="1440" w:right="-151" w:hanging="720"/>
        <w:jc w:val="both"/>
        <w:rPr>
          <w:rFonts w:ascii="Helvetica" w:hAnsi="Helvetica" w:cs="Helvetica"/>
          <w:lang w:val="en-GB"/>
        </w:rPr>
      </w:pPr>
      <w:r w:rsidRPr="008A3778">
        <w:rPr>
          <w:rFonts w:ascii="Helvetica" w:hAnsi="Helvetica" w:cs="Helvetica"/>
          <w:lang w:val="en-GB"/>
        </w:rPr>
        <w:t>This legislative supremacy also trumps the fact, terms and conditions of a settlement agreement reached between the deceased’s beneficiaries regarding the distribution of the death benefit</w:t>
      </w:r>
      <w:r>
        <w:rPr>
          <w:rFonts w:ascii="Helvetica" w:hAnsi="Helvetica" w:cs="Helvetica"/>
          <w:lang w:val="en-GB"/>
        </w:rPr>
        <w:t>.</w:t>
      </w:r>
      <w:r w:rsidRPr="008A3778">
        <w:rPr>
          <w:rStyle w:val="FootnoteReference"/>
          <w:rFonts w:ascii="Helvetica" w:hAnsi="Helvetica" w:cs="Helvetica"/>
          <w:lang w:val="en-GB"/>
        </w:rPr>
        <w:footnoteReference w:id="57"/>
      </w:r>
    </w:p>
    <w:p w14:paraId="445C77F0" w14:textId="57D313E1" w:rsidR="00B566C2" w:rsidRPr="008A3778" w:rsidRDefault="00B566C2" w:rsidP="00863048">
      <w:pPr>
        <w:numPr>
          <w:ilvl w:val="0"/>
          <w:numId w:val="1"/>
        </w:numPr>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In summary, </w:t>
      </w:r>
      <w:r w:rsidR="00863048" w:rsidRPr="008A3778">
        <w:rPr>
          <w:rFonts w:ascii="Helvetica" w:hAnsi="Helvetica" w:cs="Helvetica"/>
          <w:lang w:val="en-GB"/>
        </w:rPr>
        <w:t>the</w:t>
      </w:r>
      <w:r w:rsidRPr="008A3778">
        <w:rPr>
          <w:rFonts w:ascii="Helvetica" w:hAnsi="Helvetica" w:cs="Helvetica"/>
          <w:lang w:val="en-GB"/>
        </w:rPr>
        <w:t xml:space="preserve"> legislature has prioritised section 37C by making the section applicable to any distribution of a death benefit regardless of any</w:t>
      </w:r>
      <w:r w:rsidR="00B537EA">
        <w:rPr>
          <w:rFonts w:ascii="Helvetica" w:hAnsi="Helvetica" w:cs="Helvetica"/>
          <w:lang w:val="en-GB"/>
        </w:rPr>
        <w:t xml:space="preserve">, </w:t>
      </w:r>
      <w:r w:rsidR="00023D47" w:rsidRPr="00023D47">
        <w:rPr>
          <w:rFonts w:ascii="Helvetica" w:hAnsi="Helvetica" w:cs="Helvetica"/>
          <w:i/>
          <w:iCs/>
          <w:lang w:val="en-GB"/>
        </w:rPr>
        <w:t>inter-alia</w:t>
      </w:r>
      <w:r w:rsidR="00B537EA">
        <w:rPr>
          <w:rFonts w:ascii="Helvetica" w:hAnsi="Helvetica" w:cs="Helvetica"/>
          <w:lang w:val="en-GB"/>
        </w:rPr>
        <w:t>,</w:t>
      </w:r>
      <w:r w:rsidRPr="008A3778">
        <w:rPr>
          <w:rFonts w:ascii="Helvetica" w:hAnsi="Helvetica" w:cs="Helvetica"/>
          <w:lang w:val="en-GB"/>
        </w:rPr>
        <w:t xml:space="preserve"> other law, or the rules of the </w:t>
      </w:r>
      <w:r w:rsidR="00863048" w:rsidRPr="008A3778">
        <w:rPr>
          <w:rFonts w:ascii="Helvetica" w:hAnsi="Helvetica" w:cs="Helvetica"/>
          <w:lang w:val="en-GB"/>
        </w:rPr>
        <w:t xml:space="preserve">relevant </w:t>
      </w:r>
      <w:r w:rsidRPr="008A3778">
        <w:rPr>
          <w:rFonts w:ascii="Helvetica" w:hAnsi="Helvetica" w:cs="Helvetica"/>
          <w:lang w:val="en-GB"/>
        </w:rPr>
        <w:t>fund. The impact and consequences of section 37C on the appellants’ case should already appear to be obvious</w:t>
      </w:r>
      <w:r w:rsidR="00B537EA">
        <w:rPr>
          <w:rFonts w:ascii="Helvetica" w:hAnsi="Helvetica" w:cs="Helvetica"/>
          <w:lang w:val="en-GB"/>
        </w:rPr>
        <w:t>; particularly because there is no constitutional challenge to section 37C</w:t>
      </w:r>
      <w:r w:rsidRPr="008A3778">
        <w:rPr>
          <w:rFonts w:ascii="Helvetica" w:hAnsi="Helvetica" w:cs="Helvetica"/>
          <w:lang w:val="en-GB"/>
        </w:rPr>
        <w:t xml:space="preserve">. </w:t>
      </w:r>
    </w:p>
    <w:p w14:paraId="27044A6B" w14:textId="3EF98FDC" w:rsidR="003D34D0" w:rsidRPr="008A3778" w:rsidRDefault="00D046E1" w:rsidP="008A3778">
      <w:pPr>
        <w:pStyle w:val="ListParagraph"/>
        <w:numPr>
          <w:ilvl w:val="0"/>
          <w:numId w:val="3"/>
        </w:numPr>
        <w:tabs>
          <w:tab w:val="left" w:pos="709"/>
        </w:tabs>
        <w:adjustRightInd w:val="0"/>
        <w:spacing w:after="480" w:line="360" w:lineRule="auto"/>
        <w:ind w:left="709" w:hanging="709"/>
        <w:contextualSpacing w:val="0"/>
        <w:jc w:val="both"/>
        <w:rPr>
          <w:rFonts w:ascii="Helvetica" w:hAnsi="Helvetica" w:cs="Helvetica"/>
          <w:b/>
          <w:bCs/>
          <w:lang w:val="en-GB"/>
        </w:rPr>
      </w:pPr>
      <w:r w:rsidRPr="008A3778">
        <w:rPr>
          <w:rFonts w:ascii="Helvetica" w:hAnsi="Helvetica" w:cs="Helvetica"/>
          <w:b/>
          <w:bCs/>
          <w:lang w:val="en-GB"/>
        </w:rPr>
        <w:t>THE HIGH COURT’S DISMISSAL OF THE SECTION 30P APPLICATION</w:t>
      </w:r>
    </w:p>
    <w:p w14:paraId="7C366E65" w14:textId="27566E00" w:rsidR="006D5B72" w:rsidRPr="008A3778" w:rsidRDefault="003D34D0"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w:t>
      </w:r>
      <w:r w:rsidR="009D4B5B" w:rsidRPr="008A3778">
        <w:rPr>
          <w:rFonts w:ascii="Helvetica" w:eastAsia="HGMaruGothicMPRO" w:hAnsi="Helvetica" w:cs="Helvetica"/>
          <w:lang w:val="en-GB"/>
        </w:rPr>
        <w:t xml:space="preserve">slow </w:t>
      </w:r>
      <w:r w:rsidR="000704D4" w:rsidRPr="008A3778">
        <w:rPr>
          <w:rFonts w:ascii="Helvetica" w:eastAsia="HGMaruGothicMPRO" w:hAnsi="Helvetica" w:cs="Helvetica"/>
          <w:lang w:val="en-GB"/>
        </w:rPr>
        <w:t>train of eve</w:t>
      </w:r>
      <w:r w:rsidR="002D4A36" w:rsidRPr="008A3778">
        <w:rPr>
          <w:rFonts w:ascii="Helvetica" w:eastAsia="HGMaruGothicMPRO" w:hAnsi="Helvetica" w:cs="Helvetica"/>
          <w:lang w:val="en-GB"/>
        </w:rPr>
        <w:t>nts</w:t>
      </w:r>
      <w:r w:rsidR="00863048" w:rsidRPr="008A3778">
        <w:rPr>
          <w:rFonts w:ascii="Helvetica" w:eastAsia="HGMaruGothicMPRO" w:hAnsi="Helvetica" w:cs="Helvetica"/>
          <w:lang w:val="en-GB"/>
        </w:rPr>
        <w:t xml:space="preserve"> enumerat</w:t>
      </w:r>
      <w:r w:rsidR="009D1145">
        <w:rPr>
          <w:rFonts w:ascii="Helvetica" w:eastAsia="HGMaruGothicMPRO" w:hAnsi="Helvetica" w:cs="Helvetica"/>
          <w:lang w:val="en-GB"/>
        </w:rPr>
        <w:t>ed</w:t>
      </w:r>
      <w:r w:rsidR="00863048" w:rsidRPr="008A3778">
        <w:rPr>
          <w:rFonts w:ascii="Helvetica" w:eastAsia="HGMaruGothicMPRO" w:hAnsi="Helvetica" w:cs="Helvetica"/>
          <w:lang w:val="en-GB"/>
        </w:rPr>
        <w:t xml:space="preserve"> </w:t>
      </w:r>
      <w:r w:rsidR="002D4A36" w:rsidRPr="008A3778">
        <w:rPr>
          <w:rFonts w:ascii="Helvetica" w:eastAsia="HGMaruGothicMPRO" w:hAnsi="Helvetica" w:cs="Helvetica"/>
          <w:lang w:val="en-GB"/>
        </w:rPr>
        <w:t>un</w:t>
      </w:r>
      <w:r w:rsidR="006D5B72" w:rsidRPr="008A3778">
        <w:rPr>
          <w:rFonts w:ascii="Helvetica" w:eastAsia="HGMaruGothicMPRO" w:hAnsi="Helvetica" w:cs="Helvetica"/>
          <w:lang w:val="en-GB"/>
        </w:rPr>
        <w:t>der</w:t>
      </w:r>
      <w:r w:rsidR="006C71DE" w:rsidRPr="008A3778">
        <w:rPr>
          <w:rFonts w:ascii="Helvetica" w:eastAsia="HGMaruGothicMPRO" w:hAnsi="Helvetica" w:cs="Helvetica"/>
          <w:lang w:val="en-GB"/>
        </w:rPr>
        <w:t xml:space="preserve"> topic </w:t>
      </w:r>
      <w:r w:rsidR="006D5B72" w:rsidRPr="008A3778">
        <w:rPr>
          <w:rFonts w:ascii="Helvetica" w:eastAsia="HGMaruGothicMPRO" w:hAnsi="Helvetica" w:cs="Helvetica"/>
          <w:lang w:val="en-GB"/>
        </w:rPr>
        <w:t xml:space="preserve">heading </w:t>
      </w:r>
      <w:r w:rsidR="000177C2" w:rsidRPr="008A3778">
        <w:rPr>
          <w:rFonts w:ascii="Helvetica" w:eastAsia="HGMaruGothicMPRO" w:hAnsi="Helvetica" w:cs="Helvetica"/>
          <w:lang w:val="en-GB"/>
        </w:rPr>
        <w:t>C</w:t>
      </w:r>
      <w:r w:rsidR="006C71DE" w:rsidRPr="008A3778">
        <w:rPr>
          <w:rFonts w:ascii="Helvetica" w:eastAsia="HGMaruGothicMPRO" w:hAnsi="Helvetica" w:cs="Helvetica"/>
          <w:lang w:val="en-GB"/>
        </w:rPr>
        <w:t xml:space="preserve"> above </w:t>
      </w:r>
      <w:r w:rsidR="00486413" w:rsidRPr="008A3778">
        <w:rPr>
          <w:rFonts w:ascii="Helvetica" w:eastAsia="HGMaruGothicMPRO" w:hAnsi="Helvetica" w:cs="Helvetica"/>
          <w:lang w:val="en-GB"/>
        </w:rPr>
        <w:t xml:space="preserve">brings </w:t>
      </w:r>
      <w:r w:rsidR="009D1145">
        <w:rPr>
          <w:rFonts w:ascii="Helvetica" w:eastAsia="HGMaruGothicMPRO" w:hAnsi="Helvetica" w:cs="Helvetica"/>
          <w:lang w:val="en-GB"/>
        </w:rPr>
        <w:t>me</w:t>
      </w:r>
      <w:r w:rsidR="00486413" w:rsidRPr="008A3778">
        <w:rPr>
          <w:rFonts w:ascii="Helvetica" w:eastAsia="HGMaruGothicMPRO" w:hAnsi="Helvetica" w:cs="Helvetica"/>
          <w:lang w:val="en-GB"/>
        </w:rPr>
        <w:t xml:space="preserve"> to the</w:t>
      </w:r>
      <w:r w:rsidR="000704D4" w:rsidRPr="008A3778">
        <w:rPr>
          <w:rFonts w:ascii="Helvetica" w:eastAsia="HGMaruGothicMPRO" w:hAnsi="Helvetica" w:cs="Helvetica"/>
          <w:lang w:val="en-GB"/>
        </w:rPr>
        <w:t xml:space="preserve"> </w:t>
      </w:r>
      <w:r w:rsidR="00486413" w:rsidRPr="008A3778">
        <w:rPr>
          <w:rFonts w:ascii="Helvetica" w:eastAsia="HGMaruGothicMPRO" w:hAnsi="Helvetica" w:cs="Helvetica"/>
          <w:lang w:val="en-GB"/>
        </w:rPr>
        <w:t>section 30P application</w:t>
      </w:r>
      <w:r w:rsidR="006D5B72" w:rsidRPr="008A3778">
        <w:rPr>
          <w:rFonts w:ascii="Helvetica" w:eastAsia="HGMaruGothicMPRO" w:hAnsi="Helvetica" w:cs="Helvetica"/>
          <w:lang w:val="en-GB"/>
        </w:rPr>
        <w:t xml:space="preserve"> that served before the High Court</w:t>
      </w:r>
      <w:r w:rsidR="00486413" w:rsidRPr="008A3778">
        <w:rPr>
          <w:rFonts w:ascii="Helvetica" w:eastAsia="HGMaruGothicMPRO" w:hAnsi="Helvetica" w:cs="Helvetica"/>
          <w:lang w:val="en-GB"/>
        </w:rPr>
        <w:t>.</w:t>
      </w:r>
      <w:r w:rsidR="001C29D3" w:rsidRPr="008A3778">
        <w:rPr>
          <w:rFonts w:ascii="Helvetica" w:eastAsia="HGMaruGothicMPRO" w:hAnsi="Helvetica" w:cs="Helvetica"/>
          <w:lang w:val="en-GB"/>
        </w:rPr>
        <w:t xml:space="preserve"> </w:t>
      </w:r>
    </w:p>
    <w:p w14:paraId="31FA3314" w14:textId="7E39347E" w:rsidR="002D4A36" w:rsidRPr="008A3778" w:rsidRDefault="00863048" w:rsidP="00863048">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As already mentioned, </w:t>
      </w:r>
      <w:r w:rsidR="003C7641" w:rsidRPr="008A3778">
        <w:rPr>
          <w:rFonts w:ascii="Helvetica" w:eastAsia="HGMaruGothicMPRO" w:hAnsi="Helvetica" w:cs="Helvetica"/>
          <w:lang w:val="en-GB"/>
        </w:rPr>
        <w:t>Ms</w:t>
      </w:r>
      <w:r w:rsidR="001C29D3" w:rsidRPr="008A3778">
        <w:rPr>
          <w:rFonts w:ascii="Helvetica" w:eastAsia="HGMaruGothicMPRO" w:hAnsi="Helvetica" w:cs="Helvetica"/>
          <w:lang w:val="en-GB"/>
        </w:rPr>
        <w:t>.</w:t>
      </w:r>
      <w:r w:rsidR="00987011" w:rsidRPr="008A3778">
        <w:rPr>
          <w:rFonts w:ascii="Helvetica" w:eastAsia="HGMaruGothicMPRO" w:hAnsi="Helvetica" w:cs="Helvetica"/>
          <w:lang w:val="en-GB"/>
        </w:rPr>
        <w:t xml:space="preserve"> Collatz </w:t>
      </w:r>
      <w:r w:rsidR="001C29D3" w:rsidRPr="008A3778">
        <w:rPr>
          <w:rFonts w:ascii="Helvetica" w:eastAsia="HGMaruGothicMPRO" w:hAnsi="Helvetica" w:cs="Helvetica"/>
          <w:lang w:val="en-GB"/>
        </w:rPr>
        <w:t xml:space="preserve">wore two </w:t>
      </w:r>
      <w:r w:rsidR="00465220">
        <w:rPr>
          <w:rFonts w:ascii="Helvetica" w:eastAsia="HGMaruGothicMPRO" w:hAnsi="Helvetica" w:cs="Helvetica"/>
          <w:lang w:val="en-GB"/>
        </w:rPr>
        <w:t xml:space="preserve">different </w:t>
      </w:r>
      <w:r w:rsidR="001C29D3" w:rsidRPr="008A3778">
        <w:rPr>
          <w:rFonts w:ascii="Helvetica" w:eastAsia="HGMaruGothicMPRO" w:hAnsi="Helvetica" w:cs="Helvetica"/>
          <w:lang w:val="en-GB"/>
        </w:rPr>
        <w:t xml:space="preserve">hats </w:t>
      </w:r>
      <w:r w:rsidR="00CB3261" w:rsidRPr="008A3778">
        <w:rPr>
          <w:rFonts w:ascii="Helvetica" w:eastAsia="HGMaruGothicMPRO" w:hAnsi="Helvetica" w:cs="Helvetica"/>
          <w:lang w:val="en-GB"/>
        </w:rPr>
        <w:t xml:space="preserve">in the application. </w:t>
      </w:r>
      <w:r w:rsidR="001C29D3" w:rsidRPr="008A3778">
        <w:rPr>
          <w:rFonts w:ascii="Helvetica" w:eastAsia="HGMaruGothicMPRO" w:hAnsi="Helvetica" w:cs="Helvetica"/>
          <w:lang w:val="en-GB"/>
        </w:rPr>
        <w:t>A</w:t>
      </w:r>
      <w:r w:rsidR="004103BA" w:rsidRPr="008A3778">
        <w:rPr>
          <w:rFonts w:ascii="Helvetica" w:eastAsia="HGMaruGothicMPRO" w:hAnsi="Helvetica" w:cs="Helvetica"/>
          <w:lang w:val="en-GB"/>
        </w:rPr>
        <w:t>s the first applicant</w:t>
      </w:r>
      <w:r w:rsidR="001C29D3" w:rsidRPr="008A3778">
        <w:rPr>
          <w:rFonts w:ascii="Helvetica" w:eastAsia="HGMaruGothicMPRO" w:hAnsi="Helvetica" w:cs="Helvetica"/>
          <w:lang w:val="en-GB"/>
        </w:rPr>
        <w:t xml:space="preserve">, she proceeded in her personal capacity. As the </w:t>
      </w:r>
      <w:r w:rsidR="00486413" w:rsidRPr="008A3778">
        <w:rPr>
          <w:rFonts w:ascii="Helvetica" w:eastAsia="HGMaruGothicMPRO" w:hAnsi="Helvetica" w:cs="Helvetica"/>
          <w:lang w:val="en-GB"/>
        </w:rPr>
        <w:t>second applicant,</w:t>
      </w:r>
      <w:r w:rsidR="001C29D3" w:rsidRPr="008A3778">
        <w:rPr>
          <w:rFonts w:ascii="Helvetica" w:eastAsia="HGMaruGothicMPRO" w:hAnsi="Helvetica" w:cs="Helvetica"/>
          <w:lang w:val="en-GB"/>
        </w:rPr>
        <w:t xml:space="preserve"> she </w:t>
      </w:r>
      <w:r w:rsidR="001C29D3" w:rsidRPr="008A3778">
        <w:rPr>
          <w:rFonts w:ascii="Helvetica" w:eastAsia="HGMaruGothicMPRO" w:hAnsi="Helvetica" w:cs="Helvetica"/>
          <w:lang w:val="en-GB"/>
        </w:rPr>
        <w:lastRenderedPageBreak/>
        <w:t xml:space="preserve">proceeded in her </w:t>
      </w:r>
      <w:r w:rsidR="00987011" w:rsidRPr="008A3778">
        <w:rPr>
          <w:rFonts w:ascii="Helvetica" w:eastAsia="HGMaruGothicMPRO" w:hAnsi="Helvetica" w:cs="Helvetica"/>
          <w:lang w:val="en-GB"/>
        </w:rPr>
        <w:t>representative capacity as the executrix of the deceased estate of her late husband</w:t>
      </w:r>
      <w:r w:rsidR="00486413" w:rsidRPr="008A3778">
        <w:rPr>
          <w:rFonts w:ascii="Helvetica" w:eastAsia="HGMaruGothicMPRO" w:hAnsi="Helvetica" w:cs="Helvetica"/>
          <w:lang w:val="en-GB"/>
        </w:rPr>
        <w:t xml:space="preserve">. </w:t>
      </w:r>
      <w:r w:rsidRPr="008A3778">
        <w:rPr>
          <w:rFonts w:ascii="Helvetica" w:eastAsia="HGMaruGothicMPRO" w:hAnsi="Helvetica" w:cs="Helvetica"/>
          <w:lang w:val="en-GB"/>
        </w:rPr>
        <w:t>I mention this issue again because, as I</w:t>
      </w:r>
      <w:r w:rsidR="000704D4" w:rsidRPr="008A3778">
        <w:rPr>
          <w:rFonts w:ascii="Helvetica" w:eastAsia="HGMaruGothicMPRO" w:hAnsi="Helvetica" w:cs="Helvetica"/>
          <w:lang w:val="en-GB"/>
        </w:rPr>
        <w:t xml:space="preserve"> read the complaint</w:t>
      </w:r>
      <w:r w:rsidR="00CF0F57" w:rsidRPr="008A3778">
        <w:rPr>
          <w:rFonts w:ascii="Helvetica" w:eastAsia="HGMaruGothicMPRO" w:hAnsi="Helvetica" w:cs="Helvetica"/>
          <w:lang w:val="en-GB"/>
        </w:rPr>
        <w:t xml:space="preserve"> to the Adjudicator</w:t>
      </w:r>
      <w:r w:rsidR="000704D4"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Ms</w:t>
      </w:r>
      <w:r w:rsidR="00486413" w:rsidRPr="008A3778">
        <w:rPr>
          <w:rFonts w:ascii="Helvetica" w:eastAsia="HGMaruGothicMPRO" w:hAnsi="Helvetica" w:cs="Helvetica"/>
          <w:lang w:val="en-GB"/>
        </w:rPr>
        <w:t xml:space="preserve">. Collatz </w:t>
      </w:r>
      <w:r w:rsidR="00E23B04" w:rsidRPr="008A3778">
        <w:rPr>
          <w:rFonts w:ascii="Helvetica" w:eastAsia="HGMaruGothicMPRO" w:hAnsi="Helvetica" w:cs="Helvetica"/>
          <w:lang w:val="en-GB"/>
        </w:rPr>
        <w:t>pursued her complaint in her personal capacity</w:t>
      </w:r>
      <w:r w:rsidR="006D5B72" w:rsidRPr="008A3778">
        <w:rPr>
          <w:rFonts w:ascii="Helvetica" w:eastAsia="HGMaruGothicMPRO" w:hAnsi="Helvetica" w:cs="Helvetica"/>
          <w:lang w:val="en-GB"/>
        </w:rPr>
        <w:t xml:space="preserve"> only</w:t>
      </w:r>
      <w:r w:rsidR="00E23B04" w:rsidRPr="008A3778">
        <w:rPr>
          <w:rFonts w:ascii="Helvetica" w:eastAsia="HGMaruGothicMPRO" w:hAnsi="Helvetica" w:cs="Helvetica"/>
          <w:lang w:val="en-GB"/>
        </w:rPr>
        <w:t>. She d</w:t>
      </w:r>
      <w:r w:rsidR="00987011" w:rsidRPr="008A3778">
        <w:rPr>
          <w:rFonts w:ascii="Helvetica" w:eastAsia="HGMaruGothicMPRO" w:hAnsi="Helvetica" w:cs="Helvetica"/>
          <w:lang w:val="en-GB"/>
        </w:rPr>
        <w:t>id not</w:t>
      </w:r>
      <w:r w:rsidR="00486413" w:rsidRPr="008A3778">
        <w:rPr>
          <w:rFonts w:ascii="Helvetica" w:eastAsia="HGMaruGothicMPRO" w:hAnsi="Helvetica" w:cs="Helvetica"/>
          <w:lang w:val="en-GB"/>
        </w:rPr>
        <w:t xml:space="preserve"> pursue her </w:t>
      </w:r>
      <w:r w:rsidR="00987011" w:rsidRPr="008A3778">
        <w:rPr>
          <w:rFonts w:ascii="Helvetica" w:eastAsia="HGMaruGothicMPRO" w:hAnsi="Helvetica" w:cs="Helvetica"/>
          <w:lang w:val="en-GB"/>
        </w:rPr>
        <w:t xml:space="preserve">complaint </w:t>
      </w:r>
      <w:r w:rsidR="00486413" w:rsidRPr="008A3778">
        <w:rPr>
          <w:rFonts w:ascii="Helvetica" w:eastAsia="HGMaruGothicMPRO" w:hAnsi="Helvetica" w:cs="Helvetica"/>
          <w:lang w:val="en-GB"/>
        </w:rPr>
        <w:t xml:space="preserve">in </w:t>
      </w:r>
      <w:r w:rsidR="00C0150B" w:rsidRPr="008A3778">
        <w:rPr>
          <w:rFonts w:ascii="Helvetica" w:eastAsia="HGMaruGothicMPRO" w:hAnsi="Helvetica" w:cs="Helvetica"/>
          <w:lang w:val="en-GB"/>
        </w:rPr>
        <w:t>her</w:t>
      </w:r>
      <w:r w:rsidR="00486413" w:rsidRPr="008A3778">
        <w:rPr>
          <w:rFonts w:ascii="Helvetica" w:eastAsia="HGMaruGothicMPRO" w:hAnsi="Helvetica" w:cs="Helvetica"/>
          <w:lang w:val="en-GB"/>
        </w:rPr>
        <w:t xml:space="preserve"> representative capacity</w:t>
      </w:r>
      <w:r w:rsidRPr="008A3778">
        <w:rPr>
          <w:rFonts w:ascii="Helvetica" w:eastAsia="HGMaruGothicMPRO" w:hAnsi="Helvetica" w:cs="Helvetica"/>
          <w:lang w:val="en-GB"/>
        </w:rPr>
        <w:t xml:space="preserve">. </w:t>
      </w:r>
    </w:p>
    <w:p w14:paraId="57075F3F" w14:textId="4AF6364B" w:rsidR="00987011" w:rsidRPr="008A3778" w:rsidRDefault="00863048" w:rsidP="00863048">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w:t>
      </w:r>
      <w:r w:rsidR="00C27CD9" w:rsidRPr="008A3778">
        <w:rPr>
          <w:rFonts w:ascii="Helvetica" w:eastAsia="HGMaruGothicMPRO" w:hAnsi="Helvetica" w:cs="Helvetica"/>
          <w:lang w:val="en-GB"/>
        </w:rPr>
        <w:t>s, such</w:t>
      </w:r>
      <w:r w:rsidRPr="008A3778">
        <w:rPr>
          <w:rFonts w:ascii="Helvetica" w:eastAsia="HGMaruGothicMPRO" w:hAnsi="Helvetica" w:cs="Helvetica"/>
          <w:lang w:val="en-GB"/>
        </w:rPr>
        <w:t xml:space="preserve"> </w:t>
      </w:r>
      <w:r w:rsidR="002D4A36" w:rsidRPr="008A3778">
        <w:rPr>
          <w:rFonts w:ascii="Helvetica" w:eastAsia="HGMaruGothicMPRO" w:hAnsi="Helvetica" w:cs="Helvetica"/>
          <w:lang w:val="en-GB"/>
        </w:rPr>
        <w:t>Ms. Collatz</w:t>
      </w:r>
      <w:r w:rsidRPr="008A3778">
        <w:rPr>
          <w:rFonts w:ascii="Helvetica" w:eastAsia="HGMaruGothicMPRO" w:hAnsi="Helvetica" w:cs="Helvetica"/>
          <w:lang w:val="en-GB"/>
        </w:rPr>
        <w:t xml:space="preserve"> was not</w:t>
      </w:r>
      <w:r w:rsidR="00C27CD9" w:rsidRPr="008A3778">
        <w:rPr>
          <w:rFonts w:ascii="Helvetica" w:eastAsia="HGMaruGothicMPRO" w:hAnsi="Helvetica" w:cs="Helvetica"/>
          <w:lang w:val="en-GB"/>
        </w:rPr>
        <w:t>, in her representative capacity</w:t>
      </w:r>
      <w:r w:rsidR="002D4A36" w:rsidRPr="008A3778">
        <w:rPr>
          <w:rFonts w:ascii="Helvetica" w:eastAsia="HGMaruGothicMPRO" w:hAnsi="Helvetica" w:cs="Helvetica"/>
          <w:lang w:val="en-GB"/>
        </w:rPr>
        <w:t xml:space="preserve"> as executrix</w:t>
      </w:r>
      <w:r w:rsidR="00C27CD9"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a party to </w:t>
      </w:r>
      <w:r w:rsidR="00C27CD9" w:rsidRPr="008A3778">
        <w:rPr>
          <w:rFonts w:ascii="Helvetica" w:eastAsia="HGMaruGothicMPRO" w:hAnsi="Helvetica" w:cs="Helvetica"/>
          <w:lang w:val="en-GB"/>
        </w:rPr>
        <w:t xml:space="preserve">the complaint. Nevertheless, </w:t>
      </w:r>
      <w:r w:rsidR="00FA5840" w:rsidRPr="008A3778">
        <w:rPr>
          <w:rFonts w:ascii="Helvetica" w:eastAsia="HGMaruGothicMPRO" w:hAnsi="Helvetica" w:cs="Helvetica"/>
          <w:lang w:val="en-GB"/>
        </w:rPr>
        <w:t>she proceed</w:t>
      </w:r>
      <w:r w:rsidR="00C27CD9" w:rsidRPr="008A3778">
        <w:rPr>
          <w:rFonts w:ascii="Helvetica" w:eastAsia="HGMaruGothicMPRO" w:hAnsi="Helvetica" w:cs="Helvetica"/>
          <w:lang w:val="en-GB"/>
        </w:rPr>
        <w:t>ed</w:t>
      </w:r>
      <w:r w:rsidR="00FA5840" w:rsidRPr="008A3778">
        <w:rPr>
          <w:rFonts w:ascii="Helvetica" w:eastAsia="HGMaruGothicMPRO" w:hAnsi="Helvetica" w:cs="Helvetica"/>
          <w:lang w:val="en-GB"/>
        </w:rPr>
        <w:t xml:space="preserve"> in both capacities in the section 30P application.</w:t>
      </w:r>
      <w:r w:rsidR="00A954AB" w:rsidRPr="008A3778">
        <w:rPr>
          <w:rFonts w:ascii="Helvetica" w:eastAsia="HGMaruGothicMPRO" w:hAnsi="Helvetica" w:cs="Helvetica"/>
          <w:lang w:val="en-GB"/>
        </w:rPr>
        <w:t xml:space="preserve"> </w:t>
      </w:r>
      <w:r w:rsidR="00BA5A38" w:rsidRPr="008A3778">
        <w:rPr>
          <w:rFonts w:ascii="Helvetica" w:eastAsia="HGMaruGothicMPRO" w:hAnsi="Helvetica" w:cs="Helvetica"/>
          <w:lang w:val="en-GB"/>
        </w:rPr>
        <w:t>Only the third to fifth respondents</w:t>
      </w:r>
      <w:r w:rsidR="00A954AB" w:rsidRPr="008A3778">
        <w:rPr>
          <w:rFonts w:ascii="Helvetica" w:eastAsia="HGMaruGothicMPRO" w:hAnsi="Helvetica" w:cs="Helvetica"/>
          <w:lang w:val="en-GB"/>
        </w:rPr>
        <w:t xml:space="preserve"> </w:t>
      </w:r>
      <w:r w:rsidR="00BA5A38" w:rsidRPr="008A3778">
        <w:rPr>
          <w:rFonts w:ascii="Helvetica" w:eastAsia="HGMaruGothicMPRO" w:hAnsi="Helvetica" w:cs="Helvetica"/>
          <w:lang w:val="en-GB"/>
        </w:rPr>
        <w:t>identify</w:t>
      </w:r>
      <w:r w:rsidR="00C62DCA" w:rsidRPr="008A3778">
        <w:rPr>
          <w:rFonts w:ascii="Helvetica" w:eastAsia="HGMaruGothicMPRO" w:hAnsi="Helvetica" w:cs="Helvetica"/>
          <w:lang w:val="en-GB"/>
        </w:rPr>
        <w:t xml:space="preserve"> with this</w:t>
      </w:r>
      <w:r w:rsidR="00E63E07" w:rsidRPr="008A3778">
        <w:rPr>
          <w:rFonts w:ascii="Helvetica" w:eastAsia="HGMaruGothicMPRO" w:hAnsi="Helvetica" w:cs="Helvetica"/>
          <w:lang w:val="en-GB"/>
        </w:rPr>
        <w:t xml:space="preserve"> anomaly</w:t>
      </w:r>
      <w:r w:rsidR="007D4E0B" w:rsidRPr="008A3778">
        <w:rPr>
          <w:rFonts w:ascii="Helvetica" w:eastAsia="HGMaruGothicMPRO" w:hAnsi="Helvetica" w:cs="Helvetica"/>
          <w:lang w:val="en-GB"/>
        </w:rPr>
        <w:t>.</w:t>
      </w:r>
      <w:r w:rsidR="00F63B44" w:rsidRPr="008A3778">
        <w:rPr>
          <w:rFonts w:ascii="Helvetica" w:eastAsia="HGMaruGothicMPRO" w:hAnsi="Helvetica" w:cs="Helvetica"/>
          <w:lang w:val="en-GB"/>
        </w:rPr>
        <w:t xml:space="preserve"> This</w:t>
      </w:r>
      <w:r w:rsidR="006C71DE" w:rsidRPr="008A3778">
        <w:rPr>
          <w:rFonts w:ascii="Helvetica" w:eastAsia="HGMaruGothicMPRO" w:hAnsi="Helvetica" w:cs="Helvetica"/>
          <w:lang w:val="en-GB"/>
        </w:rPr>
        <w:t xml:space="preserve"> however </w:t>
      </w:r>
      <w:r w:rsidR="009359DD" w:rsidRPr="008A3778">
        <w:rPr>
          <w:rFonts w:ascii="Helvetica" w:eastAsia="HGMaruGothicMPRO" w:hAnsi="Helvetica" w:cs="Helvetica"/>
          <w:lang w:val="en-GB"/>
        </w:rPr>
        <w:t>begs the question</w:t>
      </w:r>
      <w:r w:rsidR="006C71DE" w:rsidRPr="008A3778">
        <w:rPr>
          <w:rFonts w:ascii="Helvetica" w:eastAsia="HGMaruGothicMPRO" w:hAnsi="Helvetica" w:cs="Helvetica"/>
          <w:lang w:val="en-GB"/>
        </w:rPr>
        <w:t>s</w:t>
      </w:r>
      <w:r w:rsidR="00362E78" w:rsidRPr="008A3778">
        <w:rPr>
          <w:rFonts w:ascii="Helvetica" w:eastAsia="HGMaruGothicMPRO" w:hAnsi="Helvetica" w:cs="Helvetica"/>
          <w:lang w:val="en-GB"/>
        </w:rPr>
        <w:t>:</w:t>
      </w:r>
      <w:r w:rsidR="009359DD" w:rsidRPr="008A3778">
        <w:rPr>
          <w:rFonts w:ascii="Helvetica" w:eastAsia="HGMaruGothicMPRO" w:hAnsi="Helvetica" w:cs="Helvetica"/>
          <w:lang w:val="en-GB"/>
        </w:rPr>
        <w:t xml:space="preserve"> </w:t>
      </w:r>
      <w:r w:rsidR="00362E78" w:rsidRPr="008A3778">
        <w:rPr>
          <w:rFonts w:ascii="Helvetica" w:eastAsia="HGMaruGothicMPRO" w:hAnsi="Helvetica" w:cs="Helvetica"/>
          <w:lang w:val="en-GB"/>
        </w:rPr>
        <w:t>(i) Is</w:t>
      </w:r>
      <w:r w:rsidR="009359DD" w:rsidRPr="008A3778">
        <w:rPr>
          <w:rFonts w:ascii="Helvetica" w:eastAsia="HGMaruGothicMPRO" w:hAnsi="Helvetica" w:cs="Helvetica"/>
          <w:lang w:val="en-GB"/>
        </w:rPr>
        <w:t xml:space="preserve"> the second</w:t>
      </w:r>
      <w:r w:rsidR="006C71DE" w:rsidRPr="008A3778">
        <w:rPr>
          <w:rFonts w:ascii="Helvetica" w:eastAsia="HGMaruGothicMPRO" w:hAnsi="Helvetica" w:cs="Helvetica"/>
          <w:lang w:val="en-GB"/>
        </w:rPr>
        <w:t xml:space="preserve"> appellant</w:t>
      </w:r>
      <w:r w:rsidR="009359DD" w:rsidRPr="008A3778">
        <w:rPr>
          <w:rFonts w:ascii="Helvetica" w:eastAsia="HGMaruGothicMPRO" w:hAnsi="Helvetica" w:cs="Helvetica"/>
          <w:lang w:val="en-GB"/>
        </w:rPr>
        <w:t>, in her representative capacity as the</w:t>
      </w:r>
      <w:r w:rsidR="006C71DE" w:rsidRPr="008A3778">
        <w:rPr>
          <w:rFonts w:ascii="Helvetica" w:eastAsia="HGMaruGothicMPRO" w:hAnsi="Helvetica" w:cs="Helvetica"/>
          <w:lang w:val="en-GB"/>
        </w:rPr>
        <w:t xml:space="preserve"> executor </w:t>
      </w:r>
      <w:r w:rsidR="009359DD" w:rsidRPr="008A3778">
        <w:rPr>
          <w:rFonts w:ascii="Helvetica" w:eastAsia="HGMaruGothicMPRO" w:hAnsi="Helvetica" w:cs="Helvetica"/>
          <w:lang w:val="en-GB"/>
        </w:rPr>
        <w:t>of her late husband’s deceased estate</w:t>
      </w:r>
      <w:r w:rsidR="00E63E07" w:rsidRPr="008A3778">
        <w:rPr>
          <w:rFonts w:ascii="Helvetica" w:eastAsia="HGMaruGothicMPRO" w:hAnsi="Helvetica" w:cs="Helvetica"/>
          <w:lang w:val="en-GB"/>
        </w:rPr>
        <w:t>,</w:t>
      </w:r>
      <w:r w:rsidR="009359DD" w:rsidRPr="008A3778">
        <w:rPr>
          <w:rFonts w:ascii="Helvetica" w:eastAsia="HGMaruGothicMPRO" w:hAnsi="Helvetica" w:cs="Helvetica"/>
          <w:lang w:val="en-GB"/>
        </w:rPr>
        <w:t xml:space="preserve"> a </w:t>
      </w:r>
      <w:r w:rsidR="007D4E0B" w:rsidRPr="008A3778">
        <w:rPr>
          <w:rFonts w:ascii="Helvetica" w:eastAsia="HGMaruGothicMPRO" w:hAnsi="Helvetica" w:cs="Helvetica"/>
          <w:lang w:val="en-GB"/>
        </w:rPr>
        <w:t>“</w:t>
      </w:r>
      <w:r w:rsidR="009359DD" w:rsidRPr="008A3778">
        <w:rPr>
          <w:rFonts w:ascii="Helvetica" w:eastAsia="HGMaruGothicMPRO" w:hAnsi="Helvetica" w:cs="Helvetica"/>
          <w:i/>
          <w:iCs/>
          <w:lang w:val="en-GB"/>
        </w:rPr>
        <w:t xml:space="preserve">party </w:t>
      </w:r>
      <w:r w:rsidR="007D4E0B" w:rsidRPr="008A3778">
        <w:rPr>
          <w:rFonts w:ascii="Helvetica" w:eastAsia="HGMaruGothicMPRO" w:hAnsi="Helvetica" w:cs="Helvetica"/>
          <w:i/>
          <w:iCs/>
          <w:lang w:val="en-GB"/>
        </w:rPr>
        <w:t>… aggrieved</w:t>
      </w:r>
      <w:r w:rsidR="009359DD" w:rsidRPr="008A3778">
        <w:rPr>
          <w:rFonts w:ascii="Helvetica" w:eastAsia="HGMaruGothicMPRO" w:hAnsi="Helvetica" w:cs="Helvetica"/>
          <w:i/>
          <w:iCs/>
          <w:lang w:val="en-GB"/>
        </w:rPr>
        <w:t xml:space="preserve"> by a determination of the Adjudicator</w:t>
      </w:r>
      <w:r w:rsidR="007D4E0B" w:rsidRPr="008A3778">
        <w:rPr>
          <w:rFonts w:ascii="Helvetica" w:eastAsia="HGMaruGothicMPRO" w:hAnsi="Helvetica" w:cs="Helvetica"/>
          <w:lang w:val="en-GB"/>
        </w:rPr>
        <w:t>” as contemplated by section 30P</w:t>
      </w:r>
      <w:r w:rsidR="006400ED" w:rsidRPr="008A3778">
        <w:rPr>
          <w:rFonts w:ascii="Helvetica" w:eastAsia="HGMaruGothicMPRO" w:hAnsi="Helvetica" w:cs="Helvetica"/>
          <w:lang w:val="en-GB"/>
        </w:rPr>
        <w:t xml:space="preserve">, </w:t>
      </w:r>
      <w:r w:rsidR="006C71DE" w:rsidRPr="008A3778">
        <w:rPr>
          <w:rFonts w:ascii="Helvetica" w:eastAsia="HGMaruGothicMPRO" w:hAnsi="Helvetica" w:cs="Helvetica"/>
          <w:lang w:val="en-GB"/>
        </w:rPr>
        <w:t xml:space="preserve">and, if not, </w:t>
      </w:r>
      <w:r w:rsidR="006400ED" w:rsidRPr="008A3778">
        <w:rPr>
          <w:rFonts w:ascii="Helvetica" w:eastAsia="HGMaruGothicMPRO" w:hAnsi="Helvetica" w:cs="Helvetica"/>
          <w:lang w:val="en-GB"/>
        </w:rPr>
        <w:t xml:space="preserve">(ii) </w:t>
      </w:r>
      <w:r w:rsidR="006C71DE" w:rsidRPr="008A3778">
        <w:rPr>
          <w:rFonts w:ascii="Helvetica" w:eastAsia="HGMaruGothicMPRO" w:hAnsi="Helvetica" w:cs="Helvetica"/>
          <w:lang w:val="en-GB"/>
        </w:rPr>
        <w:t xml:space="preserve">what is the second appellant’s </w:t>
      </w:r>
      <w:r w:rsidR="006C71DE" w:rsidRPr="008A3778">
        <w:rPr>
          <w:rFonts w:ascii="Helvetica" w:eastAsia="HGMaruGothicMPRO" w:hAnsi="Helvetica" w:cs="Helvetica"/>
          <w:i/>
          <w:iCs/>
          <w:lang w:val="en-GB"/>
        </w:rPr>
        <w:t xml:space="preserve">locus standi </w:t>
      </w:r>
      <w:r w:rsidR="006400ED" w:rsidRPr="008A3778">
        <w:rPr>
          <w:rFonts w:ascii="Helvetica" w:eastAsia="HGMaruGothicMPRO" w:hAnsi="Helvetica" w:cs="Helvetica"/>
          <w:lang w:val="en-GB"/>
        </w:rPr>
        <w:t xml:space="preserve">in </w:t>
      </w:r>
      <w:r w:rsidR="000704D4" w:rsidRPr="008A3778">
        <w:rPr>
          <w:rFonts w:ascii="Helvetica" w:eastAsia="HGMaruGothicMPRO" w:hAnsi="Helvetica" w:cs="Helvetica"/>
          <w:lang w:val="en-GB"/>
        </w:rPr>
        <w:t xml:space="preserve">the </w:t>
      </w:r>
      <w:r w:rsidR="00362E78" w:rsidRPr="008A3778">
        <w:rPr>
          <w:rFonts w:ascii="Helvetica" w:eastAsia="HGMaruGothicMPRO" w:hAnsi="Helvetica" w:cs="Helvetica"/>
          <w:lang w:val="en-GB"/>
        </w:rPr>
        <w:t xml:space="preserve">section 30P </w:t>
      </w:r>
      <w:r w:rsidR="000704D4" w:rsidRPr="008A3778">
        <w:rPr>
          <w:rFonts w:ascii="Helvetica" w:eastAsia="HGMaruGothicMPRO" w:hAnsi="Helvetica" w:cs="Helvetica"/>
          <w:lang w:val="en-GB"/>
        </w:rPr>
        <w:t>application</w:t>
      </w:r>
      <w:r w:rsidR="008F15B9" w:rsidRPr="008A3778">
        <w:rPr>
          <w:rFonts w:ascii="Helvetica" w:eastAsia="HGMaruGothicMPRO" w:hAnsi="Helvetica" w:cs="Helvetica"/>
          <w:lang w:val="en-GB"/>
        </w:rPr>
        <w:t xml:space="preserve"> within the context of the first appellant’s complaint to the Adjudicator</w:t>
      </w:r>
      <w:r w:rsidR="006C71DE" w:rsidRPr="008A3778">
        <w:rPr>
          <w:rFonts w:ascii="Helvetica" w:eastAsia="HGMaruGothicMPRO" w:hAnsi="Helvetica" w:cs="Helvetica"/>
          <w:lang w:val="en-GB"/>
        </w:rPr>
        <w:t>?</w:t>
      </w:r>
      <w:r w:rsidR="008F15B9" w:rsidRPr="008A3778">
        <w:rPr>
          <w:rFonts w:ascii="Helvetica" w:eastAsia="HGMaruGothicMPRO" w:hAnsi="Helvetica" w:cs="Helvetica"/>
          <w:lang w:val="en-GB"/>
        </w:rPr>
        <w:t xml:space="preserve"> I do not believe that the question is satisfactor</w:t>
      </w:r>
      <w:r w:rsidR="00974946">
        <w:rPr>
          <w:rFonts w:ascii="Helvetica" w:eastAsia="HGMaruGothicMPRO" w:hAnsi="Helvetica" w:cs="Helvetica"/>
          <w:lang w:val="en-GB"/>
        </w:rPr>
        <w:t>il</w:t>
      </w:r>
      <w:r w:rsidR="008F15B9" w:rsidRPr="008A3778">
        <w:rPr>
          <w:rFonts w:ascii="Helvetica" w:eastAsia="HGMaruGothicMPRO" w:hAnsi="Helvetica" w:cs="Helvetica"/>
          <w:lang w:val="en-GB"/>
        </w:rPr>
        <w:t xml:space="preserve">y </w:t>
      </w:r>
      <w:r w:rsidRPr="008A3778">
        <w:rPr>
          <w:rFonts w:ascii="Helvetica" w:eastAsia="HGMaruGothicMPRO" w:hAnsi="Helvetica" w:cs="Helvetica"/>
          <w:lang w:val="en-GB"/>
        </w:rPr>
        <w:t xml:space="preserve">traversed in the appellants’ </w:t>
      </w:r>
      <w:r w:rsidR="002D4A36" w:rsidRPr="008A3778">
        <w:rPr>
          <w:rFonts w:ascii="Helvetica" w:eastAsia="HGMaruGothicMPRO" w:hAnsi="Helvetica" w:cs="Helvetica"/>
          <w:lang w:val="en-GB"/>
        </w:rPr>
        <w:t xml:space="preserve">various </w:t>
      </w:r>
      <w:r w:rsidRPr="008A3778">
        <w:rPr>
          <w:rFonts w:ascii="Helvetica" w:eastAsia="HGMaruGothicMPRO" w:hAnsi="Helvetica" w:cs="Helvetica"/>
          <w:lang w:val="en-GB"/>
        </w:rPr>
        <w:t>affidavit</w:t>
      </w:r>
      <w:r w:rsidR="002D4A36" w:rsidRPr="008A3778">
        <w:rPr>
          <w:rFonts w:ascii="Helvetica" w:eastAsia="HGMaruGothicMPRO" w:hAnsi="Helvetica" w:cs="Helvetica"/>
          <w:lang w:val="en-GB"/>
        </w:rPr>
        <w:t>s</w:t>
      </w:r>
      <w:r w:rsidRPr="008A3778">
        <w:rPr>
          <w:rFonts w:ascii="Helvetica" w:eastAsia="HGMaruGothicMPRO" w:hAnsi="Helvetica" w:cs="Helvetica"/>
          <w:lang w:val="en-GB"/>
        </w:rPr>
        <w:t xml:space="preserve"> or a</w:t>
      </w:r>
      <w:r w:rsidR="008F15B9" w:rsidRPr="008A3778">
        <w:rPr>
          <w:rFonts w:ascii="Helvetica" w:eastAsia="HGMaruGothicMPRO" w:hAnsi="Helvetica" w:cs="Helvetica"/>
          <w:lang w:val="en-GB"/>
        </w:rPr>
        <w:t xml:space="preserve">nswered </w:t>
      </w:r>
      <w:r w:rsidR="002D4A36" w:rsidRPr="008A3778">
        <w:rPr>
          <w:rFonts w:ascii="Helvetica" w:eastAsia="HGMaruGothicMPRO" w:hAnsi="Helvetica" w:cs="Helvetica"/>
          <w:lang w:val="en-GB"/>
        </w:rPr>
        <w:t>through</w:t>
      </w:r>
      <w:r w:rsidR="008F15B9" w:rsidRPr="008A3778">
        <w:rPr>
          <w:rFonts w:ascii="Helvetica" w:eastAsia="HGMaruGothicMPRO" w:hAnsi="Helvetica" w:cs="Helvetica"/>
          <w:lang w:val="en-GB"/>
        </w:rPr>
        <w:t xml:space="preserve"> the various amendments to the app</w:t>
      </w:r>
      <w:r w:rsidR="0092794D">
        <w:rPr>
          <w:rFonts w:ascii="Helvetica" w:eastAsia="HGMaruGothicMPRO" w:hAnsi="Helvetica" w:cs="Helvetica"/>
          <w:lang w:val="en-GB"/>
        </w:rPr>
        <w:t>ellant</w:t>
      </w:r>
      <w:r w:rsidR="008F15B9" w:rsidRPr="008A3778">
        <w:rPr>
          <w:rFonts w:ascii="Helvetica" w:eastAsia="HGMaruGothicMPRO" w:hAnsi="Helvetica" w:cs="Helvetica"/>
          <w:lang w:val="en-GB"/>
        </w:rPr>
        <w:t>’s notice of motion.</w:t>
      </w:r>
    </w:p>
    <w:p w14:paraId="3CAA2CE1" w14:textId="331B447B" w:rsidR="0087377B" w:rsidRPr="008A3778" w:rsidRDefault="00D72FAF"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already mentioned, the appellants failed in their section 30P application.</w:t>
      </w:r>
      <w:r w:rsidR="0087377B" w:rsidRPr="008A3778">
        <w:rPr>
          <w:rFonts w:ascii="Helvetica" w:eastAsia="HGMaruGothicMPRO" w:hAnsi="Helvetica" w:cs="Helvetica"/>
          <w:lang w:val="en-GB"/>
        </w:rPr>
        <w:t xml:space="preserve"> </w:t>
      </w:r>
      <w:r w:rsidR="00D35E15" w:rsidRPr="008A3778">
        <w:rPr>
          <w:rFonts w:ascii="Helvetica" w:eastAsia="HGMaruGothicMPRO" w:hAnsi="Helvetica" w:cs="Helvetica"/>
          <w:lang w:val="en-GB"/>
        </w:rPr>
        <w:t>Moreover,</w:t>
      </w:r>
      <w:r w:rsidR="0087377B" w:rsidRPr="008A3778">
        <w:rPr>
          <w:rFonts w:ascii="Helvetica" w:eastAsia="HGMaruGothicMPRO" w:hAnsi="Helvetica" w:cs="Helvetica"/>
          <w:lang w:val="en-GB"/>
        </w:rPr>
        <w:t xml:space="preserve"> in addition to</w:t>
      </w:r>
      <w:r w:rsidR="00E63E07" w:rsidRPr="008A3778">
        <w:rPr>
          <w:rFonts w:ascii="Helvetica" w:eastAsia="HGMaruGothicMPRO" w:hAnsi="Helvetica" w:cs="Helvetica"/>
          <w:lang w:val="en-GB"/>
        </w:rPr>
        <w:t xml:space="preserve"> dismissing the application</w:t>
      </w:r>
      <w:r w:rsidR="0087377B" w:rsidRPr="008A3778">
        <w:rPr>
          <w:rFonts w:ascii="Helvetica" w:eastAsia="HGMaruGothicMPRO" w:hAnsi="Helvetica" w:cs="Helvetica"/>
          <w:lang w:val="en-GB"/>
        </w:rPr>
        <w:t>, the High Court granted a punitive costs order against the first</w:t>
      </w:r>
      <w:r w:rsidR="00E63E07" w:rsidRPr="008A3778">
        <w:rPr>
          <w:rFonts w:ascii="Helvetica" w:eastAsia="HGMaruGothicMPRO" w:hAnsi="Helvetica" w:cs="Helvetica"/>
          <w:lang w:val="en-GB"/>
        </w:rPr>
        <w:t xml:space="preserve"> appellant</w:t>
      </w:r>
      <w:r w:rsidR="0087377B" w:rsidRPr="008A3778">
        <w:rPr>
          <w:rFonts w:ascii="Helvetica" w:eastAsia="HGMaruGothicMPRO" w:hAnsi="Helvetica" w:cs="Helvetica"/>
          <w:lang w:val="en-GB"/>
        </w:rPr>
        <w:t xml:space="preserve">. </w:t>
      </w:r>
      <w:r w:rsidR="00C37A57" w:rsidRPr="008A3778">
        <w:rPr>
          <w:rFonts w:ascii="Helvetica" w:eastAsia="HGMaruGothicMPRO" w:hAnsi="Helvetica" w:cs="Helvetica"/>
          <w:lang w:val="en-GB"/>
        </w:rPr>
        <w:t xml:space="preserve">The heart of the High </w:t>
      </w:r>
      <w:r w:rsidR="006C71DE" w:rsidRPr="008A3778">
        <w:rPr>
          <w:rFonts w:ascii="Helvetica" w:eastAsia="HGMaruGothicMPRO" w:hAnsi="Helvetica" w:cs="Helvetica"/>
          <w:lang w:val="en-GB"/>
        </w:rPr>
        <w:t>Court’s</w:t>
      </w:r>
      <w:r w:rsidR="00C37A57" w:rsidRPr="008A3778">
        <w:rPr>
          <w:rFonts w:ascii="Helvetica" w:eastAsia="HGMaruGothicMPRO" w:hAnsi="Helvetica" w:cs="Helvetica"/>
          <w:lang w:val="en-GB"/>
        </w:rPr>
        <w:t xml:space="preserve"> reason</w:t>
      </w:r>
      <w:r w:rsidR="008D1754" w:rsidRPr="008A3778">
        <w:rPr>
          <w:rFonts w:ascii="Helvetica" w:eastAsia="HGMaruGothicMPRO" w:hAnsi="Helvetica" w:cs="Helvetica"/>
          <w:lang w:val="en-GB"/>
        </w:rPr>
        <w:t xml:space="preserve">s for dismissing the application </w:t>
      </w:r>
      <w:r w:rsidR="0092794D">
        <w:rPr>
          <w:rFonts w:ascii="Helvetica" w:eastAsia="HGMaruGothicMPRO" w:hAnsi="Helvetica" w:cs="Helvetica"/>
          <w:lang w:val="en-GB"/>
        </w:rPr>
        <w:t>is</w:t>
      </w:r>
      <w:r w:rsidR="008D1754" w:rsidRPr="008A3778">
        <w:rPr>
          <w:rFonts w:ascii="Helvetica" w:eastAsia="HGMaruGothicMPRO" w:hAnsi="Helvetica" w:cs="Helvetica"/>
          <w:lang w:val="en-GB"/>
        </w:rPr>
        <w:t xml:space="preserve"> </w:t>
      </w:r>
      <w:r w:rsidR="00863048" w:rsidRPr="008A3778">
        <w:rPr>
          <w:rFonts w:ascii="Helvetica" w:eastAsia="HGMaruGothicMPRO" w:hAnsi="Helvetica" w:cs="Helvetica"/>
          <w:lang w:val="en-GB"/>
        </w:rPr>
        <w:t>stated pithily</w:t>
      </w:r>
      <w:r w:rsidR="00FF45BE">
        <w:rPr>
          <w:rFonts w:ascii="Helvetica" w:eastAsia="HGMaruGothicMPRO" w:hAnsi="Helvetica" w:cs="Helvetica"/>
          <w:lang w:val="en-GB"/>
        </w:rPr>
        <w:t xml:space="preserve"> </w:t>
      </w:r>
      <w:r w:rsidR="008D1754" w:rsidRPr="008A3778">
        <w:rPr>
          <w:rFonts w:ascii="Helvetica" w:eastAsia="HGMaruGothicMPRO" w:hAnsi="Helvetica" w:cs="Helvetica"/>
          <w:lang w:val="en-GB"/>
        </w:rPr>
        <w:t>in paragraph [24] of its judgement</w:t>
      </w:r>
      <w:r w:rsidR="002B1621" w:rsidRPr="008A3778">
        <w:rPr>
          <w:rFonts w:ascii="Helvetica" w:eastAsia="HGMaruGothicMPRO" w:hAnsi="Helvetica" w:cs="Helvetica"/>
          <w:lang w:val="en-GB"/>
        </w:rPr>
        <w:t>. It reads:</w:t>
      </w:r>
      <w:r w:rsidR="008D1754" w:rsidRPr="008A3778">
        <w:rPr>
          <w:rFonts w:ascii="Helvetica" w:eastAsia="HGMaruGothicMPRO" w:hAnsi="Helvetica" w:cs="Helvetica"/>
          <w:lang w:val="en-GB"/>
        </w:rPr>
        <w:t xml:space="preserve"> </w:t>
      </w:r>
    </w:p>
    <w:p w14:paraId="5198480C" w14:textId="07F5721F" w:rsidR="008D1754" w:rsidRPr="008A3778" w:rsidRDefault="008D1754" w:rsidP="003D368F">
      <w:pPr>
        <w:shd w:val="clear" w:color="auto" w:fill="FFFFFF"/>
        <w:spacing w:after="480" w:line="240" w:lineRule="auto"/>
        <w:ind w:left="1843" w:right="498" w:hanging="763"/>
        <w:jc w:val="both"/>
        <w:rPr>
          <w:rFonts w:ascii="Helvetica" w:eastAsia="HGMaruGothicMPRO" w:hAnsi="Helvetica" w:cs="Helvetica"/>
          <w:lang w:val="en-GB"/>
        </w:rPr>
      </w:pPr>
      <w:r w:rsidRPr="008A3778">
        <w:rPr>
          <w:rFonts w:ascii="Helvetica" w:eastAsia="HGMaruGothicMPRO" w:hAnsi="Helvetica" w:cs="Helvetica"/>
          <w:lang w:val="en-GB"/>
        </w:rPr>
        <w:t>“</w:t>
      </w:r>
      <w:r w:rsidR="002B1621" w:rsidRPr="008A3778">
        <w:rPr>
          <w:rFonts w:ascii="Helvetica" w:eastAsia="HGMaruGothicMPRO" w:hAnsi="Helvetica" w:cs="Helvetica"/>
          <w:i/>
          <w:iCs/>
          <w:lang w:val="en-GB"/>
        </w:rPr>
        <w:t>[24]</w:t>
      </w:r>
      <w:r w:rsidR="008A3778">
        <w:rPr>
          <w:rFonts w:ascii="Helvetica" w:eastAsia="HGMaruGothicMPRO" w:hAnsi="Helvetica" w:cs="Helvetica"/>
          <w:i/>
          <w:iCs/>
          <w:lang w:val="en-GB"/>
        </w:rPr>
        <w:tab/>
      </w:r>
      <w:r w:rsidR="002B1621" w:rsidRPr="008A3778">
        <w:rPr>
          <w:rFonts w:ascii="Helvetica" w:eastAsia="HGMaruGothicMPRO" w:hAnsi="Helvetica" w:cs="Helvetica"/>
          <w:i/>
          <w:iCs/>
          <w:lang w:val="en-GB"/>
        </w:rPr>
        <w:t>I</w:t>
      </w:r>
      <w:r w:rsidR="00E57823" w:rsidRPr="008A3778">
        <w:rPr>
          <w:rFonts w:ascii="Helvetica" w:eastAsia="HGMaruGothicMPRO" w:hAnsi="Helvetica" w:cs="Helvetica"/>
          <w:i/>
          <w:iCs/>
          <w:lang w:val="en-GB"/>
        </w:rPr>
        <w:t>n my view, it is not necessary to canvass the many defences raised by the respondent</w:t>
      </w:r>
      <w:r w:rsidR="002B1621" w:rsidRPr="008A3778">
        <w:rPr>
          <w:rFonts w:ascii="Helvetica" w:eastAsia="HGMaruGothicMPRO" w:hAnsi="Helvetica" w:cs="Helvetica"/>
          <w:i/>
          <w:iCs/>
          <w:lang w:val="en-GB"/>
        </w:rPr>
        <w:t>s</w:t>
      </w:r>
      <w:r w:rsidR="00E57823" w:rsidRPr="008A3778">
        <w:rPr>
          <w:rFonts w:ascii="Helvetica" w:eastAsia="HGMaruGothicMPRO" w:hAnsi="Helvetica" w:cs="Helvetica"/>
          <w:i/>
          <w:iCs/>
          <w:lang w:val="en-GB"/>
        </w:rPr>
        <w:t xml:space="preserve"> beyond my reference to Ms. Collatz’s section 37C difficulty </w:t>
      </w:r>
      <w:r w:rsidR="00D046E1" w:rsidRPr="008A3778">
        <w:rPr>
          <w:rFonts w:ascii="Helvetica" w:eastAsia="HGMaruGothicMPRO" w:hAnsi="Helvetica" w:cs="Helvetica"/>
          <w:i/>
          <w:iCs/>
          <w:lang w:val="en-GB"/>
        </w:rPr>
        <w:t>and</w:t>
      </w:r>
      <w:r w:rsidR="00E57823" w:rsidRPr="008A3778">
        <w:rPr>
          <w:rFonts w:ascii="Helvetica" w:eastAsia="HGMaruGothicMPRO" w:hAnsi="Helvetica" w:cs="Helvetica"/>
          <w:i/>
          <w:iCs/>
          <w:lang w:val="en-GB"/>
        </w:rPr>
        <w:t xml:space="preserve"> the lack of evidence put forward by Ms</w:t>
      </w:r>
      <w:r w:rsidR="003C7641" w:rsidRPr="008A3778">
        <w:rPr>
          <w:rFonts w:ascii="Helvetica" w:eastAsia="HGMaruGothicMPRO" w:hAnsi="Helvetica" w:cs="Helvetica"/>
          <w:i/>
          <w:iCs/>
          <w:lang w:val="en-GB"/>
        </w:rPr>
        <w:t>.</w:t>
      </w:r>
      <w:r w:rsidR="00E57823" w:rsidRPr="008A3778">
        <w:rPr>
          <w:rFonts w:ascii="Helvetica" w:eastAsia="HGMaruGothicMPRO" w:hAnsi="Helvetica" w:cs="Helvetica"/>
          <w:i/>
          <w:iCs/>
          <w:lang w:val="en-GB"/>
        </w:rPr>
        <w:t xml:space="preserve"> Collatz </w:t>
      </w:r>
      <w:r w:rsidR="002B1621" w:rsidRPr="008A3778">
        <w:rPr>
          <w:rFonts w:ascii="Helvetica" w:eastAsia="HGMaruGothicMPRO" w:hAnsi="Helvetica" w:cs="Helvetica"/>
          <w:i/>
          <w:iCs/>
          <w:lang w:val="en-GB"/>
        </w:rPr>
        <w:t>o</w:t>
      </w:r>
      <w:r w:rsidR="00D046E1" w:rsidRPr="008A3778">
        <w:rPr>
          <w:rFonts w:ascii="Helvetica" w:eastAsia="HGMaruGothicMPRO" w:hAnsi="Helvetica" w:cs="Helvetica"/>
          <w:i/>
          <w:iCs/>
          <w:lang w:val="en-GB"/>
        </w:rPr>
        <w:t>n</w:t>
      </w:r>
      <w:r w:rsidR="002B1621" w:rsidRPr="008A3778">
        <w:rPr>
          <w:rFonts w:ascii="Helvetica" w:eastAsia="HGMaruGothicMPRO" w:hAnsi="Helvetica" w:cs="Helvetica"/>
          <w:i/>
          <w:iCs/>
          <w:lang w:val="en-GB"/>
        </w:rPr>
        <w:t xml:space="preserve"> the mental health problem </w:t>
      </w:r>
      <w:r w:rsidR="00D046E1" w:rsidRPr="008A3778">
        <w:rPr>
          <w:rFonts w:ascii="Helvetica" w:eastAsia="HGMaruGothicMPRO" w:hAnsi="Helvetica" w:cs="Helvetica"/>
          <w:i/>
          <w:iCs/>
          <w:lang w:val="en-GB"/>
        </w:rPr>
        <w:t>[of Mr</w:t>
      </w:r>
      <w:r w:rsidR="003C7641" w:rsidRPr="008A3778">
        <w:rPr>
          <w:rFonts w:ascii="Helvetica" w:eastAsia="HGMaruGothicMPRO" w:hAnsi="Helvetica" w:cs="Helvetica"/>
          <w:i/>
          <w:iCs/>
          <w:lang w:val="en-GB"/>
        </w:rPr>
        <w:t>.</w:t>
      </w:r>
      <w:r w:rsidR="00D046E1" w:rsidRPr="008A3778">
        <w:rPr>
          <w:rFonts w:ascii="Helvetica" w:eastAsia="HGMaruGothicMPRO" w:hAnsi="Helvetica" w:cs="Helvetica"/>
          <w:i/>
          <w:iCs/>
          <w:lang w:val="en-GB"/>
        </w:rPr>
        <w:t xml:space="preserve"> Collatz] </w:t>
      </w:r>
      <w:r w:rsidR="002B1621" w:rsidRPr="008A3778">
        <w:rPr>
          <w:rFonts w:ascii="Helvetica" w:eastAsia="HGMaruGothicMPRO" w:hAnsi="Helvetica" w:cs="Helvetica"/>
          <w:i/>
          <w:iCs/>
          <w:lang w:val="en-GB"/>
        </w:rPr>
        <w:t xml:space="preserve">read with the serious dispute of facts in relation thereto. The introduction of substantial new allegations in reply and in supplementary affidavit is fatal to the application, especially one which </w:t>
      </w:r>
      <w:r w:rsidR="002B1621" w:rsidRPr="008A3778">
        <w:rPr>
          <w:rFonts w:ascii="Helvetica" w:hAnsi="Helvetica" w:cs="Helvetica"/>
          <w:i/>
          <w:iCs/>
          <w:color w:val="242121"/>
          <w:lang w:val="en-GB"/>
        </w:rPr>
        <w:t>was</w:t>
      </w:r>
      <w:r w:rsidR="002B1621" w:rsidRPr="008A3778">
        <w:rPr>
          <w:rFonts w:ascii="Helvetica" w:eastAsia="HGMaruGothicMPRO" w:hAnsi="Helvetica" w:cs="Helvetica"/>
          <w:i/>
          <w:iCs/>
          <w:lang w:val="en-GB"/>
        </w:rPr>
        <w:t xml:space="preserve"> dragged slowly over eight years and which has been accompanied by substantial amendments</w:t>
      </w:r>
      <w:r w:rsidR="002B1621" w:rsidRPr="008A3778">
        <w:rPr>
          <w:rFonts w:ascii="Helvetica" w:eastAsia="HGMaruGothicMPRO" w:hAnsi="Helvetica" w:cs="Helvetica"/>
          <w:lang w:val="en-GB"/>
        </w:rPr>
        <w:t>.”</w:t>
      </w:r>
    </w:p>
    <w:p w14:paraId="616608E6" w14:textId="187F987D" w:rsidR="006400ED" w:rsidRPr="008A3778" w:rsidRDefault="006400ED" w:rsidP="006D5807">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traversed below, the appellants</w:t>
      </w:r>
      <w:r w:rsidR="00713D9C" w:rsidRPr="008A3778">
        <w:rPr>
          <w:rFonts w:ascii="Helvetica" w:eastAsia="HGMaruGothicMPRO" w:hAnsi="Helvetica" w:cs="Helvetica"/>
          <w:lang w:val="en-GB"/>
        </w:rPr>
        <w:t xml:space="preserve"> argue that the High Court treated this application as an ordinary appeal as opposed to a</w:t>
      </w:r>
      <w:r w:rsidR="00BE0E65" w:rsidRPr="008A3778">
        <w:rPr>
          <w:rFonts w:ascii="Helvetica" w:eastAsia="HGMaruGothicMPRO" w:hAnsi="Helvetica" w:cs="Helvetica"/>
          <w:lang w:val="en-GB"/>
        </w:rPr>
        <w:t xml:space="preserve"> </w:t>
      </w:r>
      <w:r w:rsidR="00BE0E65" w:rsidRPr="008A3778">
        <w:rPr>
          <w:rFonts w:ascii="Helvetica" w:eastAsia="HGMaruGothicMPRO" w:hAnsi="Helvetica" w:cs="Helvetica"/>
          <w:i/>
          <w:iCs/>
          <w:lang w:val="en-GB"/>
        </w:rPr>
        <w:t>sui generis</w:t>
      </w:r>
      <w:r w:rsidR="00713D9C" w:rsidRPr="008A3778">
        <w:rPr>
          <w:rFonts w:ascii="Helvetica" w:eastAsia="HGMaruGothicMPRO" w:hAnsi="Helvetica" w:cs="Helvetica"/>
          <w:lang w:val="en-GB"/>
        </w:rPr>
        <w:t xml:space="preserve"> application, with all its accoutrements, brought in terms of section 30P. </w:t>
      </w:r>
      <w:r w:rsidR="00DE1B1B" w:rsidRPr="008A3778">
        <w:rPr>
          <w:rFonts w:ascii="Helvetica" w:eastAsia="HGMaruGothicMPRO" w:hAnsi="Helvetica" w:cs="Helvetica"/>
          <w:lang w:val="en-GB"/>
        </w:rPr>
        <w:t>The appellants</w:t>
      </w:r>
      <w:r w:rsidR="00FB71E6" w:rsidRPr="008A3778">
        <w:rPr>
          <w:rFonts w:ascii="Helvetica" w:eastAsia="HGMaruGothicMPRO" w:hAnsi="Helvetica" w:cs="Helvetica"/>
          <w:lang w:val="en-GB"/>
        </w:rPr>
        <w:t xml:space="preserve"> however, for the reasons traversed below, exaggerate </w:t>
      </w:r>
      <w:r w:rsidR="002D4A36" w:rsidRPr="008A3778">
        <w:rPr>
          <w:rFonts w:ascii="Helvetica" w:eastAsia="HGMaruGothicMPRO" w:hAnsi="Helvetica" w:cs="Helvetica"/>
          <w:lang w:val="en-GB"/>
        </w:rPr>
        <w:t xml:space="preserve">the scope of </w:t>
      </w:r>
      <w:r w:rsidR="00FB71E6" w:rsidRPr="008A3778">
        <w:rPr>
          <w:rFonts w:ascii="Helvetica" w:eastAsia="HGMaruGothicMPRO" w:hAnsi="Helvetica" w:cs="Helvetica"/>
          <w:lang w:val="en-GB"/>
        </w:rPr>
        <w:t>that permissible within the context of a section 30P application</w:t>
      </w:r>
      <w:r w:rsidR="002576B1" w:rsidRPr="008A3778">
        <w:rPr>
          <w:rFonts w:ascii="Helvetica" w:eastAsia="HGMaruGothicMPRO" w:hAnsi="Helvetica" w:cs="Helvetica"/>
          <w:lang w:val="en-GB"/>
        </w:rPr>
        <w:t>.</w:t>
      </w:r>
      <w:r w:rsidR="00863048" w:rsidRPr="008A3778">
        <w:rPr>
          <w:rFonts w:ascii="Helvetica" w:eastAsia="HGMaruGothicMPRO" w:hAnsi="Helvetica" w:cs="Helvetica"/>
          <w:lang w:val="en-GB"/>
        </w:rPr>
        <w:t xml:space="preserve"> Moreover, the specific circumstances in which the appellants criticise the High Court for failing to deal with the rule 30P as a </w:t>
      </w:r>
      <w:r w:rsidR="00863048" w:rsidRPr="008A3778">
        <w:rPr>
          <w:rFonts w:ascii="Helvetica" w:eastAsia="HGMaruGothicMPRO" w:hAnsi="Helvetica" w:cs="Helvetica"/>
          <w:i/>
          <w:iCs/>
          <w:lang w:val="en-GB"/>
        </w:rPr>
        <w:t xml:space="preserve">sui generis </w:t>
      </w:r>
      <w:r w:rsidR="00863048" w:rsidRPr="008A3778">
        <w:rPr>
          <w:rFonts w:ascii="Helvetica" w:eastAsia="HGMaruGothicMPRO" w:hAnsi="Helvetica" w:cs="Helvetica"/>
          <w:lang w:val="en-GB"/>
        </w:rPr>
        <w:t xml:space="preserve">application do not assist </w:t>
      </w:r>
      <w:r w:rsidR="00863048" w:rsidRPr="008A3778">
        <w:rPr>
          <w:rFonts w:ascii="Helvetica" w:eastAsia="HGMaruGothicMPRO" w:hAnsi="Helvetica" w:cs="Helvetica"/>
          <w:lang w:val="en-GB"/>
        </w:rPr>
        <w:lastRenderedPageBreak/>
        <w:t xml:space="preserve">them, because such circumstances </w:t>
      </w:r>
      <w:r w:rsidR="002D4A36" w:rsidRPr="008A3778">
        <w:rPr>
          <w:rFonts w:ascii="Helvetica" w:eastAsia="HGMaruGothicMPRO" w:hAnsi="Helvetica" w:cs="Helvetica"/>
          <w:lang w:val="en-GB"/>
        </w:rPr>
        <w:t xml:space="preserve">relied upon </w:t>
      </w:r>
      <w:r w:rsidR="00863048" w:rsidRPr="008A3778">
        <w:rPr>
          <w:rFonts w:ascii="Helvetica" w:eastAsia="HGMaruGothicMPRO" w:hAnsi="Helvetica" w:cs="Helvetica"/>
          <w:lang w:val="en-GB"/>
        </w:rPr>
        <w:t>fall beyond the ambit of the section 30P application that served before the High Court.</w:t>
      </w:r>
      <w:r w:rsidR="00C65632">
        <w:rPr>
          <w:rFonts w:ascii="Helvetica" w:eastAsia="HGMaruGothicMPRO" w:hAnsi="Helvetica" w:cs="Helvetica"/>
          <w:lang w:val="en-GB"/>
        </w:rPr>
        <w:t xml:space="preserve"> As such, I believe the appellants’ criticism of the High Court is unwarranted.</w:t>
      </w:r>
    </w:p>
    <w:p w14:paraId="7C2E46DC" w14:textId="39B4A508" w:rsidR="00D046E1" w:rsidRPr="008A3778" w:rsidRDefault="00D046E1" w:rsidP="008A3778">
      <w:pPr>
        <w:pStyle w:val="ListParagraph"/>
        <w:numPr>
          <w:ilvl w:val="0"/>
          <w:numId w:val="3"/>
        </w:numPr>
        <w:tabs>
          <w:tab w:val="left" w:pos="709"/>
        </w:tabs>
        <w:adjustRightInd w:val="0"/>
        <w:spacing w:after="360" w:line="360" w:lineRule="auto"/>
        <w:ind w:left="709" w:hanging="709"/>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 xml:space="preserve">THE </w:t>
      </w:r>
      <w:r w:rsidR="009F3597" w:rsidRPr="008A3778">
        <w:rPr>
          <w:rFonts w:ascii="Helvetica" w:eastAsia="HGMaruGothicMPRO" w:hAnsi="Helvetica" w:cs="Helvetica"/>
          <w:b/>
          <w:bCs/>
          <w:lang w:val="en-GB"/>
        </w:rPr>
        <w:t xml:space="preserve">PARTIES’ </w:t>
      </w:r>
      <w:r w:rsidR="00200366" w:rsidRPr="008A3778">
        <w:rPr>
          <w:rFonts w:ascii="Helvetica" w:hAnsi="Helvetica" w:cs="Helvetica"/>
          <w:b/>
          <w:bCs/>
          <w:lang w:val="en-GB"/>
        </w:rPr>
        <w:t>SUBMISSIONS AND ARGUMENTS</w:t>
      </w:r>
      <w:r w:rsidRPr="008A3778">
        <w:rPr>
          <w:rFonts w:ascii="Helvetica" w:eastAsia="HGMaruGothicMPRO" w:hAnsi="Helvetica" w:cs="Helvetica"/>
          <w:b/>
          <w:bCs/>
          <w:lang w:val="en-GB"/>
        </w:rPr>
        <w:t xml:space="preserve"> ON APPEAL </w:t>
      </w:r>
    </w:p>
    <w:p w14:paraId="6DECBC79" w14:textId="22C8664F" w:rsidR="008A3A33" w:rsidRPr="008A3778" w:rsidRDefault="008A3A33" w:rsidP="002D4A36">
      <w:pPr>
        <w:pStyle w:val="ListParagraph"/>
        <w:numPr>
          <w:ilvl w:val="0"/>
          <w:numId w:val="24"/>
        </w:numPr>
        <w:spacing w:after="360" w:line="360" w:lineRule="auto"/>
        <w:ind w:right="-151" w:hanging="720"/>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The case for the appellants</w:t>
      </w:r>
    </w:p>
    <w:p w14:paraId="35BD9035" w14:textId="3AABDA91" w:rsidR="000704D4" w:rsidRPr="008A3778" w:rsidRDefault="00554E15" w:rsidP="002D4A36">
      <w:pPr>
        <w:numPr>
          <w:ilvl w:val="0"/>
          <w:numId w:val="1"/>
        </w:numPr>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gravamen</w:t>
      </w:r>
      <w:r w:rsidR="00981053" w:rsidRPr="008A3778">
        <w:rPr>
          <w:rStyle w:val="FootnoteReference"/>
          <w:rFonts w:ascii="Helvetica" w:eastAsia="HGMaruGothicMPRO" w:hAnsi="Helvetica" w:cs="Helvetica"/>
          <w:lang w:val="en-GB"/>
        </w:rPr>
        <w:footnoteReference w:id="58"/>
      </w:r>
      <w:r w:rsidRPr="008A3778">
        <w:rPr>
          <w:rFonts w:ascii="Helvetica" w:eastAsia="HGMaruGothicMPRO" w:hAnsi="Helvetica" w:cs="Helvetica"/>
          <w:lang w:val="en-GB"/>
        </w:rPr>
        <w:t xml:space="preserve"> of the appellants</w:t>
      </w:r>
      <w:r w:rsidR="00D72FAF" w:rsidRPr="008A3778">
        <w:rPr>
          <w:rFonts w:ascii="Helvetica" w:eastAsia="HGMaruGothicMPRO" w:hAnsi="Helvetica" w:cs="Helvetica"/>
          <w:lang w:val="en-GB"/>
        </w:rPr>
        <w:t xml:space="preserve">’ submissions in </w:t>
      </w:r>
      <w:r w:rsidR="00EC0473" w:rsidRPr="008A3778">
        <w:rPr>
          <w:rFonts w:ascii="Helvetica" w:eastAsia="HGMaruGothicMPRO" w:hAnsi="Helvetica" w:cs="Helvetica"/>
          <w:lang w:val="en-GB"/>
        </w:rPr>
        <w:t>this</w:t>
      </w:r>
      <w:r w:rsidR="00D72FAF" w:rsidRPr="008A3778">
        <w:rPr>
          <w:rFonts w:ascii="Helvetica" w:eastAsia="HGMaruGothicMPRO" w:hAnsi="Helvetica" w:cs="Helvetica"/>
          <w:lang w:val="en-GB"/>
        </w:rPr>
        <w:t xml:space="preserve"> appeal</w:t>
      </w:r>
      <w:r w:rsidR="00981053" w:rsidRPr="008A3778">
        <w:rPr>
          <w:rFonts w:ascii="Helvetica" w:eastAsia="HGMaruGothicMPRO" w:hAnsi="Helvetica" w:cs="Helvetica"/>
          <w:lang w:val="en-GB"/>
        </w:rPr>
        <w:t xml:space="preserve"> </w:t>
      </w:r>
      <w:r w:rsidR="00EC0473" w:rsidRPr="008A3778">
        <w:rPr>
          <w:rFonts w:ascii="Helvetica" w:eastAsia="HGMaruGothicMPRO" w:hAnsi="Helvetica" w:cs="Helvetica"/>
          <w:lang w:val="en-GB"/>
        </w:rPr>
        <w:t>are</w:t>
      </w:r>
      <w:r w:rsidR="00981053" w:rsidRPr="008A3778">
        <w:rPr>
          <w:rFonts w:ascii="Helvetica" w:eastAsia="HGMaruGothicMPRO" w:hAnsi="Helvetica" w:cs="Helvetica"/>
          <w:lang w:val="en-GB"/>
        </w:rPr>
        <w:t xml:space="preserve"> the following</w:t>
      </w:r>
      <w:r w:rsidR="00EC0473" w:rsidRPr="008A3778">
        <w:rPr>
          <w:rFonts w:ascii="Helvetica" w:eastAsia="HGMaruGothicMPRO" w:hAnsi="Helvetica" w:cs="Helvetica"/>
          <w:lang w:val="en-GB"/>
        </w:rPr>
        <w:t>:</w:t>
      </w:r>
    </w:p>
    <w:p w14:paraId="18A37CF7" w14:textId="51A43C4A" w:rsidR="00EC0473" w:rsidRPr="008A3778" w:rsidRDefault="00B61DB4"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CA5457" w:rsidRPr="008A3778">
        <w:rPr>
          <w:rFonts w:ascii="Helvetica" w:eastAsia="HGMaruGothicMPRO" w:hAnsi="Helvetica" w:cs="Helvetica"/>
          <w:lang w:val="en-GB"/>
        </w:rPr>
        <w:t>he first appellant is entitled to half of the assets that constitute the joint estate; after the deceased</w:t>
      </w:r>
      <w:r w:rsidR="00806671" w:rsidRPr="008A3778">
        <w:rPr>
          <w:rFonts w:ascii="Helvetica" w:eastAsia="HGMaruGothicMPRO" w:hAnsi="Helvetica" w:cs="Helvetica"/>
          <w:lang w:val="en-GB"/>
        </w:rPr>
        <w:t>’s</w:t>
      </w:r>
      <w:r w:rsidR="00CA5457" w:rsidRPr="008A3778">
        <w:rPr>
          <w:rFonts w:ascii="Helvetica" w:eastAsia="HGMaruGothicMPRO" w:hAnsi="Helvetica" w:cs="Helvetica"/>
          <w:lang w:val="en-GB"/>
        </w:rPr>
        <w:t xml:space="preserve"> legal obligations and liabilities have been discharged, including any accrued retirement benefits</w:t>
      </w:r>
      <w:r w:rsidRPr="008A3778">
        <w:rPr>
          <w:rFonts w:ascii="Helvetica" w:eastAsia="HGMaruGothicMPRO" w:hAnsi="Helvetica" w:cs="Helvetica"/>
          <w:lang w:val="en-GB"/>
        </w:rPr>
        <w:t>.</w:t>
      </w:r>
      <w:r w:rsidR="005D24E8" w:rsidRPr="008A3778">
        <w:rPr>
          <w:rFonts w:ascii="Helvetica" w:eastAsia="HGMaruGothicMPRO" w:hAnsi="Helvetica" w:cs="Helvetica"/>
          <w:lang w:val="en-GB"/>
        </w:rPr>
        <w:t xml:space="preserve"> </w:t>
      </w:r>
    </w:p>
    <w:p w14:paraId="52035B76" w14:textId="03704876" w:rsidR="005D24E8" w:rsidRPr="008A3778" w:rsidRDefault="00B61DB4"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C</w:t>
      </w:r>
      <w:r w:rsidR="0070409D" w:rsidRPr="008A3778">
        <w:rPr>
          <w:rFonts w:ascii="Helvetica" w:eastAsia="HGMaruGothicMPRO" w:hAnsi="Helvetica" w:cs="Helvetica"/>
          <w:lang w:val="en-GB"/>
        </w:rPr>
        <w:t>ertain “</w:t>
      </w:r>
      <w:r w:rsidR="003B633D" w:rsidRPr="008A3778">
        <w:rPr>
          <w:rFonts w:ascii="Helvetica" w:eastAsia="HGMaruGothicMPRO" w:hAnsi="Helvetica" w:cs="Helvetica"/>
          <w:i/>
          <w:iCs/>
          <w:lang w:val="en-GB"/>
        </w:rPr>
        <w:t xml:space="preserve">material </w:t>
      </w:r>
      <w:r w:rsidR="0070409D" w:rsidRPr="008A3778">
        <w:rPr>
          <w:rFonts w:ascii="Helvetica" w:eastAsia="HGMaruGothicMPRO" w:hAnsi="Helvetica" w:cs="Helvetica"/>
          <w:i/>
          <w:iCs/>
          <w:lang w:val="en-GB"/>
        </w:rPr>
        <w:t>facts</w:t>
      </w:r>
      <w:r w:rsidR="0070409D" w:rsidRPr="008A3778">
        <w:rPr>
          <w:rFonts w:ascii="Helvetica" w:eastAsia="HGMaruGothicMPRO" w:hAnsi="Helvetica" w:cs="Helvetica"/>
          <w:lang w:val="en-GB"/>
        </w:rPr>
        <w:t>”</w:t>
      </w:r>
      <w:r w:rsidR="003B633D" w:rsidRPr="008A3778">
        <w:rPr>
          <w:rFonts w:ascii="Helvetica" w:eastAsia="HGMaruGothicMPRO" w:hAnsi="Helvetica" w:cs="Helvetica"/>
          <w:lang w:val="en-GB"/>
        </w:rPr>
        <w:t xml:space="preserve"> were not (made) available </w:t>
      </w:r>
      <w:r w:rsidR="00687855" w:rsidRPr="008A3778">
        <w:rPr>
          <w:rFonts w:ascii="Helvetica" w:eastAsia="HGMaruGothicMPRO" w:hAnsi="Helvetica" w:cs="Helvetica"/>
          <w:lang w:val="en-GB"/>
        </w:rPr>
        <w:t xml:space="preserve">/ disclosed </w:t>
      </w:r>
      <w:r w:rsidR="003B633D" w:rsidRPr="008A3778">
        <w:rPr>
          <w:rFonts w:ascii="Helvetica" w:eastAsia="HGMaruGothicMPRO" w:hAnsi="Helvetica" w:cs="Helvetica"/>
          <w:lang w:val="en-GB"/>
        </w:rPr>
        <w:t xml:space="preserve">to the </w:t>
      </w:r>
      <w:r w:rsidR="00687855" w:rsidRPr="008A3778">
        <w:rPr>
          <w:rFonts w:ascii="Helvetica" w:eastAsia="HGMaruGothicMPRO" w:hAnsi="Helvetica" w:cs="Helvetica"/>
          <w:lang w:val="en-GB"/>
        </w:rPr>
        <w:t>A</w:t>
      </w:r>
      <w:r w:rsidR="003B633D" w:rsidRPr="008A3778">
        <w:rPr>
          <w:rFonts w:ascii="Helvetica" w:eastAsia="HGMaruGothicMPRO" w:hAnsi="Helvetica" w:cs="Helvetica"/>
          <w:lang w:val="en-GB"/>
        </w:rPr>
        <w:t xml:space="preserve">djudicator </w:t>
      </w:r>
      <w:r w:rsidR="00687855" w:rsidRPr="008A3778">
        <w:rPr>
          <w:rFonts w:ascii="Helvetica" w:eastAsia="HGMaruGothicMPRO" w:hAnsi="Helvetica" w:cs="Helvetica"/>
          <w:lang w:val="en-GB"/>
        </w:rPr>
        <w:t xml:space="preserve">by the first, second and ninth respondents </w:t>
      </w:r>
      <w:r w:rsidR="003B633D" w:rsidRPr="008A3778">
        <w:rPr>
          <w:rFonts w:ascii="Helvetica" w:eastAsia="HGMaruGothicMPRO" w:hAnsi="Helvetica" w:cs="Helvetica"/>
          <w:lang w:val="en-GB"/>
        </w:rPr>
        <w:t>when she made her determination</w:t>
      </w:r>
      <w:r w:rsidR="00687855" w:rsidRPr="008A3778">
        <w:rPr>
          <w:rFonts w:ascii="Helvetica" w:eastAsia="HGMaruGothicMPRO" w:hAnsi="Helvetica" w:cs="Helvetica"/>
          <w:lang w:val="en-GB"/>
        </w:rPr>
        <w:t xml:space="preserve"> and as such the Adjudicator “</w:t>
      </w:r>
      <w:r w:rsidR="00687855" w:rsidRPr="008A3778">
        <w:rPr>
          <w:rFonts w:ascii="Helvetica" w:eastAsia="HGMaruGothicMPRO" w:hAnsi="Helvetica" w:cs="Helvetica"/>
          <w:i/>
          <w:iCs/>
          <w:lang w:val="en-GB"/>
        </w:rPr>
        <w:t>was prevented from handing down a proper outcome</w:t>
      </w:r>
      <w:r w:rsidR="00687855" w:rsidRPr="008A3778">
        <w:rPr>
          <w:rFonts w:ascii="Helvetica" w:eastAsia="HGMaruGothicMPRO" w:hAnsi="Helvetica" w:cs="Helvetica"/>
          <w:lang w:val="en-GB"/>
        </w:rPr>
        <w:t>”</w:t>
      </w:r>
      <w:r w:rsidRPr="008A3778">
        <w:rPr>
          <w:rFonts w:ascii="Helvetica" w:eastAsia="HGMaruGothicMPRO" w:hAnsi="Helvetica" w:cs="Helvetica"/>
          <w:lang w:val="en-GB"/>
        </w:rPr>
        <w:t>.</w:t>
      </w:r>
      <w:r w:rsidR="00687855" w:rsidRPr="008A3778">
        <w:rPr>
          <w:rFonts w:ascii="Helvetica" w:eastAsia="HGMaruGothicMPRO" w:hAnsi="Helvetica" w:cs="Helvetica"/>
          <w:lang w:val="en-GB"/>
        </w:rPr>
        <w:t xml:space="preserve"> </w:t>
      </w:r>
    </w:p>
    <w:p w14:paraId="4A9958A0" w14:textId="5E8A2394" w:rsidR="00687855" w:rsidRPr="008A3778" w:rsidRDefault="00B61DB4"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A50BA9" w:rsidRPr="008A3778">
        <w:rPr>
          <w:rFonts w:ascii="Helvetica" w:eastAsia="HGMaruGothicMPRO" w:hAnsi="Helvetica" w:cs="Helvetica"/>
          <w:lang w:val="en-GB"/>
        </w:rPr>
        <w:t xml:space="preserve">he </w:t>
      </w:r>
      <w:r w:rsidR="00B42188" w:rsidRPr="008A3778">
        <w:rPr>
          <w:rFonts w:ascii="Helvetica" w:eastAsia="HGMaruGothicMPRO" w:hAnsi="Helvetica" w:cs="Helvetica"/>
          <w:lang w:val="en-GB"/>
        </w:rPr>
        <w:t>A</w:t>
      </w:r>
      <w:r w:rsidR="00A50BA9" w:rsidRPr="008A3778">
        <w:rPr>
          <w:rFonts w:ascii="Helvetica" w:eastAsia="HGMaruGothicMPRO" w:hAnsi="Helvetica" w:cs="Helvetica"/>
          <w:lang w:val="en-GB"/>
        </w:rPr>
        <w:t>djudicator relied on “</w:t>
      </w:r>
      <w:r w:rsidR="00A50BA9" w:rsidRPr="008A3778">
        <w:rPr>
          <w:rFonts w:ascii="Helvetica" w:eastAsia="HGMaruGothicMPRO" w:hAnsi="Helvetica" w:cs="Helvetica"/>
          <w:i/>
          <w:iCs/>
          <w:lang w:val="en-GB"/>
        </w:rPr>
        <w:t>inherent hearsay allegations and contradictions</w:t>
      </w:r>
      <w:r w:rsidR="00A50BA9" w:rsidRPr="008A3778">
        <w:rPr>
          <w:rFonts w:ascii="Helvetica" w:eastAsia="HGMaruGothicMPRO" w:hAnsi="Helvetica" w:cs="Helvetica"/>
          <w:lang w:val="en-GB"/>
        </w:rPr>
        <w:t xml:space="preserve">” </w:t>
      </w:r>
      <w:r w:rsidR="00A70D1B" w:rsidRPr="008A3778">
        <w:rPr>
          <w:rFonts w:ascii="Helvetica" w:eastAsia="HGMaruGothicMPRO" w:hAnsi="Helvetica" w:cs="Helvetica"/>
          <w:lang w:val="en-GB"/>
        </w:rPr>
        <w:t>from the respondents</w:t>
      </w:r>
      <w:r w:rsidRPr="008A3778">
        <w:rPr>
          <w:rFonts w:ascii="Helvetica" w:eastAsia="HGMaruGothicMPRO" w:hAnsi="Helvetica" w:cs="Helvetica"/>
          <w:lang w:val="en-GB"/>
        </w:rPr>
        <w:t xml:space="preserve">. </w:t>
      </w:r>
      <w:r w:rsidR="00A70D1B" w:rsidRPr="008A3778">
        <w:rPr>
          <w:rFonts w:ascii="Helvetica" w:eastAsia="HGMaruGothicMPRO" w:hAnsi="Helvetica" w:cs="Helvetica"/>
          <w:lang w:val="en-GB"/>
        </w:rPr>
        <w:t xml:space="preserve"> </w:t>
      </w:r>
    </w:p>
    <w:p w14:paraId="74A357E6" w14:textId="64D1ACAA" w:rsidR="00EB5A50" w:rsidRPr="008A3778" w:rsidRDefault="00842941"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EB5A50" w:rsidRPr="008A3778">
        <w:rPr>
          <w:rFonts w:ascii="Helvetica" w:eastAsia="HGMaruGothicMPRO" w:hAnsi="Helvetica" w:cs="Helvetica"/>
          <w:lang w:val="en-GB"/>
        </w:rPr>
        <w:t xml:space="preserve">he Adjudicator </w:t>
      </w:r>
      <w:r w:rsidR="00F53989" w:rsidRPr="008A3778">
        <w:rPr>
          <w:rFonts w:ascii="Helvetica" w:eastAsia="HGMaruGothicMPRO" w:hAnsi="Helvetica" w:cs="Helvetica"/>
          <w:lang w:val="en-GB"/>
        </w:rPr>
        <w:t>“</w:t>
      </w:r>
      <w:r w:rsidR="00F53989" w:rsidRPr="008A3778">
        <w:rPr>
          <w:rFonts w:ascii="Helvetica" w:eastAsia="HGMaruGothicMPRO" w:hAnsi="Helvetica" w:cs="Helvetica"/>
          <w:i/>
          <w:iCs/>
          <w:lang w:val="en-GB"/>
        </w:rPr>
        <w:t>followed a wrong path</w:t>
      </w:r>
      <w:r w:rsidR="00F53989" w:rsidRPr="008A3778">
        <w:rPr>
          <w:rFonts w:ascii="Helvetica" w:eastAsia="HGMaruGothicMPRO" w:hAnsi="Helvetica" w:cs="Helvetica"/>
          <w:lang w:val="en-GB"/>
        </w:rPr>
        <w:t>” in determining</w:t>
      </w:r>
      <w:r w:rsidR="00CE39CC" w:rsidRPr="008A3778">
        <w:rPr>
          <w:rFonts w:ascii="Helvetica" w:eastAsia="HGMaruGothicMPRO" w:hAnsi="Helvetica" w:cs="Helvetica"/>
          <w:lang w:val="en-GB"/>
        </w:rPr>
        <w:t xml:space="preserve"> the complaint on the basis of section 37C of the Pension Fund Act and</w:t>
      </w:r>
      <w:r w:rsidR="00597EE3" w:rsidRPr="008A3778">
        <w:rPr>
          <w:rFonts w:ascii="Helvetica" w:eastAsia="HGMaruGothicMPRO" w:hAnsi="Helvetica" w:cs="Helvetica"/>
          <w:lang w:val="en-GB"/>
        </w:rPr>
        <w:t xml:space="preserve">, in so doing, failed </w:t>
      </w:r>
      <w:r w:rsidR="0085341B" w:rsidRPr="008A3778">
        <w:rPr>
          <w:rFonts w:ascii="Helvetica" w:eastAsia="HGMaruGothicMPRO" w:hAnsi="Helvetica" w:cs="Helvetica"/>
          <w:lang w:val="en-GB"/>
        </w:rPr>
        <w:t xml:space="preserve">to </w:t>
      </w:r>
      <w:r w:rsidR="00597EE3" w:rsidRPr="008A3778">
        <w:rPr>
          <w:rFonts w:ascii="Helvetica" w:eastAsia="HGMaruGothicMPRO" w:hAnsi="Helvetica" w:cs="Helvetica"/>
          <w:lang w:val="en-GB"/>
        </w:rPr>
        <w:t>apply “</w:t>
      </w:r>
      <w:r w:rsidR="00CE39CC" w:rsidRPr="008A3778">
        <w:rPr>
          <w:rFonts w:ascii="Helvetica" w:eastAsia="HGMaruGothicMPRO" w:hAnsi="Helvetica" w:cs="Helvetica"/>
          <w:i/>
          <w:iCs/>
          <w:lang w:val="en-GB"/>
        </w:rPr>
        <w:t>matrimonial principles</w:t>
      </w:r>
      <w:r w:rsidR="00CE39CC" w:rsidRPr="008A3778">
        <w:rPr>
          <w:rFonts w:ascii="Helvetica" w:eastAsia="HGMaruGothicMPRO" w:hAnsi="Helvetica" w:cs="Helvetica"/>
          <w:lang w:val="en-GB"/>
        </w:rPr>
        <w:t>”</w:t>
      </w:r>
      <w:r w:rsidR="00B7606E" w:rsidRPr="008A3778">
        <w:rPr>
          <w:rFonts w:ascii="Helvetica" w:eastAsia="HGMaruGothicMPRO" w:hAnsi="Helvetica" w:cs="Helvetica"/>
          <w:lang w:val="en-GB"/>
        </w:rPr>
        <w:t>.</w:t>
      </w:r>
      <w:r w:rsidR="00DC0B39" w:rsidRPr="008A3778">
        <w:rPr>
          <w:rFonts w:ascii="Helvetica" w:eastAsia="HGMaruGothicMPRO" w:hAnsi="Helvetica" w:cs="Helvetica"/>
          <w:lang w:val="en-GB"/>
        </w:rPr>
        <w:t xml:space="preserve"> </w:t>
      </w:r>
      <w:r w:rsidR="00B7606E" w:rsidRPr="008A3778">
        <w:rPr>
          <w:rFonts w:ascii="Helvetica" w:eastAsia="HGMaruGothicMPRO" w:hAnsi="Helvetica" w:cs="Helvetica"/>
          <w:lang w:val="en-GB"/>
        </w:rPr>
        <w:t>M</w:t>
      </w:r>
      <w:r w:rsidR="00DC0B39" w:rsidRPr="008A3778">
        <w:rPr>
          <w:rFonts w:ascii="Helvetica" w:eastAsia="HGMaruGothicMPRO" w:hAnsi="Helvetica" w:cs="Helvetica"/>
          <w:lang w:val="en-GB"/>
        </w:rPr>
        <w:t>ore particularly</w:t>
      </w:r>
      <w:r w:rsidR="00B7606E" w:rsidRPr="008A3778">
        <w:rPr>
          <w:rFonts w:ascii="Helvetica" w:eastAsia="HGMaruGothicMPRO" w:hAnsi="Helvetica" w:cs="Helvetica"/>
          <w:lang w:val="en-GB"/>
        </w:rPr>
        <w:t>,</w:t>
      </w:r>
      <w:r w:rsidR="00DC0B39" w:rsidRPr="008A3778">
        <w:rPr>
          <w:rFonts w:ascii="Helvetica" w:eastAsia="HGMaruGothicMPRO" w:hAnsi="Helvetica" w:cs="Helvetica"/>
          <w:lang w:val="en-GB"/>
        </w:rPr>
        <w:t xml:space="preserve"> because </w:t>
      </w:r>
      <w:r w:rsidR="003C7641" w:rsidRPr="008A3778">
        <w:rPr>
          <w:rFonts w:ascii="Helvetica" w:eastAsia="HGMaruGothicMPRO" w:hAnsi="Helvetica" w:cs="Helvetica"/>
          <w:lang w:val="en-GB"/>
        </w:rPr>
        <w:t xml:space="preserve">Mr. </w:t>
      </w:r>
      <w:r w:rsidR="00DC0B39" w:rsidRPr="008A3778">
        <w:rPr>
          <w:rFonts w:ascii="Helvetica" w:eastAsia="HGMaruGothicMPRO" w:hAnsi="Helvetica" w:cs="Helvetica"/>
          <w:lang w:val="en-GB"/>
        </w:rPr>
        <w:t xml:space="preserve">and </w:t>
      </w:r>
      <w:r w:rsidR="003C7641" w:rsidRPr="008A3778">
        <w:rPr>
          <w:rFonts w:ascii="Helvetica" w:eastAsia="HGMaruGothicMPRO" w:hAnsi="Helvetica" w:cs="Helvetica"/>
          <w:lang w:val="en-GB"/>
        </w:rPr>
        <w:t>Ms.</w:t>
      </w:r>
      <w:r w:rsidR="00DC0B39" w:rsidRPr="008A3778">
        <w:rPr>
          <w:rFonts w:ascii="Helvetica" w:eastAsia="HGMaruGothicMPRO" w:hAnsi="Helvetica" w:cs="Helvetica"/>
          <w:lang w:val="en-GB"/>
        </w:rPr>
        <w:t xml:space="preserve"> Collatz </w:t>
      </w:r>
      <w:r w:rsidR="00A62471" w:rsidRPr="008A3778">
        <w:rPr>
          <w:rFonts w:ascii="Helvetica" w:eastAsia="HGMaruGothicMPRO" w:hAnsi="Helvetica" w:cs="Helvetica"/>
          <w:lang w:val="en-GB"/>
        </w:rPr>
        <w:t xml:space="preserve">were married in community of property, </w:t>
      </w:r>
      <w:r w:rsidR="00B7606E" w:rsidRPr="008A3778">
        <w:rPr>
          <w:rFonts w:ascii="Helvetica" w:eastAsia="HGMaruGothicMPRO" w:hAnsi="Helvetica" w:cs="Helvetica"/>
          <w:lang w:val="en-GB"/>
        </w:rPr>
        <w:t xml:space="preserve">section 15(2)(c) </w:t>
      </w:r>
      <w:r w:rsidR="00A62471" w:rsidRPr="008A3778">
        <w:rPr>
          <w:rFonts w:ascii="Helvetica" w:eastAsia="HGMaruGothicMPRO" w:hAnsi="Helvetica" w:cs="Helvetica"/>
          <w:lang w:val="en-GB"/>
        </w:rPr>
        <w:t>of the Matrimonial Property Act, 1984 applies</w:t>
      </w:r>
      <w:r w:rsidR="006B0DC9" w:rsidRPr="008A3778">
        <w:rPr>
          <w:rFonts w:ascii="Helvetica" w:eastAsia="HGMaruGothicMPRO" w:hAnsi="Helvetica" w:cs="Helvetica"/>
          <w:lang w:val="en-GB"/>
        </w:rPr>
        <w:t xml:space="preserve"> (presumably in preference to section 37C of the </w:t>
      </w:r>
      <w:r w:rsidR="00F31D9D" w:rsidRPr="008A3778">
        <w:rPr>
          <w:rFonts w:ascii="Helvetica" w:eastAsia="HGMaruGothicMPRO" w:hAnsi="Helvetica" w:cs="Helvetica"/>
          <w:lang w:val="en-GB"/>
        </w:rPr>
        <w:t>PFA)</w:t>
      </w:r>
      <w:r w:rsidR="00A62471" w:rsidRPr="008A3778">
        <w:rPr>
          <w:rFonts w:ascii="Helvetica" w:eastAsia="HGMaruGothicMPRO" w:hAnsi="Helvetica" w:cs="Helvetica"/>
          <w:lang w:val="en-GB"/>
        </w:rPr>
        <w:t>.</w:t>
      </w:r>
      <w:r w:rsidR="00DC0B39" w:rsidRPr="008A3778">
        <w:rPr>
          <w:rFonts w:ascii="Helvetica" w:eastAsia="HGMaruGothicMPRO" w:hAnsi="Helvetica" w:cs="Helvetica"/>
          <w:lang w:val="en-GB"/>
        </w:rPr>
        <w:t xml:space="preserve"> </w:t>
      </w:r>
    </w:p>
    <w:p w14:paraId="591243D9" w14:textId="7D0D315F" w:rsidR="00511D17" w:rsidRPr="008A3778" w:rsidRDefault="00D311B8"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w:t>
      </w:r>
      <w:r w:rsidR="00A70D1B" w:rsidRPr="008A3778">
        <w:rPr>
          <w:rFonts w:ascii="Helvetica" w:eastAsia="HGMaruGothicMPRO" w:hAnsi="Helvetica" w:cs="Helvetica"/>
          <w:lang w:val="en-GB"/>
        </w:rPr>
        <w:t>he High Court adopted</w:t>
      </w:r>
      <w:r w:rsidR="00F31D9D" w:rsidRPr="008A3778">
        <w:rPr>
          <w:rFonts w:ascii="Helvetica" w:eastAsia="HGMaruGothicMPRO" w:hAnsi="Helvetica" w:cs="Helvetica"/>
          <w:lang w:val="en-GB"/>
        </w:rPr>
        <w:t xml:space="preserve">, </w:t>
      </w:r>
      <w:r w:rsidR="00115EA4" w:rsidRPr="008A3778">
        <w:rPr>
          <w:rFonts w:ascii="Helvetica" w:eastAsia="HGMaruGothicMPRO" w:hAnsi="Helvetica" w:cs="Helvetica"/>
          <w:lang w:val="en-GB"/>
        </w:rPr>
        <w:t>as foreshadowed above,</w:t>
      </w:r>
      <w:r w:rsidR="00A70D1B" w:rsidRPr="008A3778">
        <w:rPr>
          <w:rFonts w:ascii="Helvetica" w:eastAsia="HGMaruGothicMPRO" w:hAnsi="Helvetica" w:cs="Helvetica"/>
          <w:lang w:val="en-GB"/>
        </w:rPr>
        <w:t xml:space="preserve"> an “</w:t>
      </w:r>
      <w:r w:rsidR="00A70D1B" w:rsidRPr="008A3778">
        <w:rPr>
          <w:rFonts w:ascii="Helvetica" w:eastAsia="HGMaruGothicMPRO" w:hAnsi="Helvetica" w:cs="Helvetica"/>
          <w:i/>
          <w:iCs/>
          <w:lang w:val="en-GB"/>
        </w:rPr>
        <w:t>incorrect approach</w:t>
      </w:r>
      <w:r w:rsidR="00A70D1B" w:rsidRPr="008A3778">
        <w:rPr>
          <w:rFonts w:ascii="Helvetica" w:eastAsia="HGMaruGothicMPRO" w:hAnsi="Helvetica" w:cs="Helvetica"/>
          <w:lang w:val="en-GB"/>
        </w:rPr>
        <w:t>” to the section</w:t>
      </w:r>
      <w:r w:rsidR="00C53FB0" w:rsidRPr="008A3778">
        <w:rPr>
          <w:rFonts w:ascii="Helvetica" w:eastAsia="HGMaruGothicMPRO" w:hAnsi="Helvetica" w:cs="Helvetica"/>
          <w:lang w:val="en-GB"/>
        </w:rPr>
        <w:t xml:space="preserve"> 30P application</w:t>
      </w:r>
      <w:r w:rsidRPr="008A3778">
        <w:rPr>
          <w:rFonts w:ascii="Helvetica" w:eastAsia="HGMaruGothicMPRO" w:hAnsi="Helvetica" w:cs="Helvetica"/>
          <w:lang w:val="en-GB"/>
        </w:rPr>
        <w:t xml:space="preserve">. It did so by </w:t>
      </w:r>
      <w:r w:rsidR="00C53FB0" w:rsidRPr="008A3778">
        <w:rPr>
          <w:rFonts w:ascii="Helvetica" w:eastAsia="HGMaruGothicMPRO" w:hAnsi="Helvetica" w:cs="Helvetica"/>
          <w:lang w:val="en-GB"/>
        </w:rPr>
        <w:t>(i) treating the application as an “</w:t>
      </w:r>
      <w:r w:rsidR="00C53FB0" w:rsidRPr="008A3778">
        <w:rPr>
          <w:rFonts w:ascii="Helvetica" w:eastAsia="HGMaruGothicMPRO" w:hAnsi="Helvetica" w:cs="Helvetica"/>
          <w:i/>
          <w:iCs/>
          <w:lang w:val="en-GB"/>
        </w:rPr>
        <w:t xml:space="preserve">ordinary </w:t>
      </w:r>
      <w:r w:rsidR="00C53FB0" w:rsidRPr="008A3778">
        <w:rPr>
          <w:rFonts w:ascii="Helvetica" w:eastAsia="HGMaruGothicMPRO" w:hAnsi="Helvetica" w:cs="Helvetica"/>
          <w:i/>
          <w:iCs/>
          <w:lang w:val="en-GB"/>
        </w:rPr>
        <w:lastRenderedPageBreak/>
        <w:t>appeal</w:t>
      </w:r>
      <w:r w:rsidR="00C53FB0" w:rsidRPr="008A3778">
        <w:rPr>
          <w:rFonts w:ascii="Helvetica" w:eastAsia="HGMaruGothicMPRO" w:hAnsi="Helvetica" w:cs="Helvetica"/>
          <w:lang w:val="en-GB"/>
        </w:rPr>
        <w:t xml:space="preserve">”, (ii) failing to have regard to section 30P, and </w:t>
      </w:r>
      <w:r w:rsidR="00115EA4" w:rsidRPr="008A3778">
        <w:rPr>
          <w:rFonts w:ascii="Helvetica" w:eastAsia="HGMaruGothicMPRO" w:hAnsi="Helvetica" w:cs="Helvetica"/>
          <w:lang w:val="en-GB"/>
        </w:rPr>
        <w:t xml:space="preserve">(iii) </w:t>
      </w:r>
      <w:r w:rsidRPr="008A3778">
        <w:rPr>
          <w:rFonts w:ascii="Helvetica" w:eastAsia="HGMaruGothicMPRO" w:hAnsi="Helvetica" w:cs="Helvetica"/>
          <w:lang w:val="en-GB"/>
        </w:rPr>
        <w:t>consequently</w:t>
      </w:r>
      <w:r w:rsidR="00115EA4" w:rsidRPr="008A3778">
        <w:rPr>
          <w:rFonts w:ascii="Helvetica" w:eastAsia="HGMaruGothicMPRO" w:hAnsi="Helvetica" w:cs="Helvetica"/>
          <w:lang w:val="en-GB"/>
        </w:rPr>
        <w:t>,</w:t>
      </w:r>
      <w:r w:rsidRPr="008A3778">
        <w:rPr>
          <w:rFonts w:ascii="Helvetica" w:eastAsia="HGMaruGothicMPRO" w:hAnsi="Helvetica" w:cs="Helvetica"/>
          <w:lang w:val="en-GB"/>
        </w:rPr>
        <w:t xml:space="preserve"> </w:t>
      </w:r>
      <w:r w:rsidR="0015739D" w:rsidRPr="008A3778">
        <w:rPr>
          <w:rFonts w:ascii="Helvetica" w:eastAsia="HGMaruGothicMPRO" w:hAnsi="Helvetica" w:cs="Helvetica"/>
          <w:lang w:val="en-GB"/>
        </w:rPr>
        <w:t xml:space="preserve">failing to appreciate that </w:t>
      </w:r>
      <w:r w:rsidR="00B42188" w:rsidRPr="008A3778">
        <w:rPr>
          <w:rFonts w:ascii="Helvetica" w:eastAsia="HGMaruGothicMPRO" w:hAnsi="Helvetica" w:cs="Helvetica"/>
          <w:lang w:val="en-GB"/>
        </w:rPr>
        <w:t>a</w:t>
      </w:r>
      <w:r w:rsidR="0015739D" w:rsidRPr="008A3778">
        <w:rPr>
          <w:rFonts w:ascii="Helvetica" w:eastAsia="HGMaruGothicMPRO" w:hAnsi="Helvetica" w:cs="Helvetica"/>
          <w:lang w:val="en-GB"/>
        </w:rPr>
        <w:t xml:space="preserve"> section 30P application</w:t>
      </w:r>
      <w:r w:rsidR="004550FD" w:rsidRPr="008A3778">
        <w:rPr>
          <w:rFonts w:ascii="Helvetica" w:eastAsia="HGMaruGothicMPRO" w:hAnsi="Helvetica" w:cs="Helvetica"/>
          <w:lang w:val="en-GB"/>
        </w:rPr>
        <w:t xml:space="preserve"> is </w:t>
      </w:r>
      <w:r w:rsidR="004550FD" w:rsidRPr="008A3778">
        <w:rPr>
          <w:rFonts w:ascii="Helvetica" w:eastAsia="HGMaruGothicMPRO" w:hAnsi="Helvetica" w:cs="Helvetica"/>
          <w:i/>
          <w:iCs/>
          <w:lang w:val="en-GB"/>
        </w:rPr>
        <w:t>sui generis</w:t>
      </w:r>
      <w:r w:rsidR="00511D17" w:rsidRPr="008A3778">
        <w:rPr>
          <w:rFonts w:ascii="Helvetica" w:eastAsia="HGMaruGothicMPRO" w:hAnsi="Helvetica" w:cs="Helvetica"/>
          <w:i/>
          <w:iCs/>
          <w:lang w:val="en-GB"/>
        </w:rPr>
        <w:t xml:space="preserve">. </w:t>
      </w:r>
    </w:p>
    <w:p w14:paraId="08B36D25" w14:textId="7E2BFABA" w:rsidR="00A70D1B" w:rsidRPr="008A3778" w:rsidRDefault="00511D17" w:rsidP="006D5807">
      <w:pPr>
        <w:numPr>
          <w:ilvl w:val="1"/>
          <w:numId w:val="1"/>
        </w:numPr>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Because it is </w:t>
      </w:r>
      <w:r w:rsidRPr="008A3778">
        <w:rPr>
          <w:rFonts w:ascii="Helvetica" w:eastAsia="HGMaruGothicMPRO" w:hAnsi="Helvetica" w:cs="Helvetica"/>
          <w:i/>
          <w:iCs/>
          <w:lang w:val="en-GB"/>
        </w:rPr>
        <w:t>sui generis</w:t>
      </w:r>
      <w:r w:rsidRPr="008A3778">
        <w:rPr>
          <w:rFonts w:ascii="Helvetica" w:eastAsia="HGMaruGothicMPRO" w:hAnsi="Helvetica" w:cs="Helvetica"/>
          <w:lang w:val="en-GB"/>
        </w:rPr>
        <w:t xml:space="preserve"> application, the</w:t>
      </w:r>
      <w:r w:rsidR="00B42188" w:rsidRPr="008A3778">
        <w:rPr>
          <w:rFonts w:ascii="Helvetica" w:eastAsia="HGMaruGothicMPRO" w:hAnsi="Helvetica" w:cs="Helvetica"/>
          <w:lang w:val="en-GB"/>
        </w:rPr>
        <w:t xml:space="preserve"> High Court </w:t>
      </w:r>
      <w:r w:rsidR="00ED2AA5" w:rsidRPr="008A3778">
        <w:rPr>
          <w:rFonts w:ascii="Helvetica" w:eastAsia="HGMaruGothicMPRO" w:hAnsi="Helvetica" w:cs="Helvetica"/>
          <w:lang w:val="en-GB"/>
        </w:rPr>
        <w:t>should have considered</w:t>
      </w:r>
      <w:r w:rsidR="00ED2AA5" w:rsidRPr="008A3778">
        <w:rPr>
          <w:rFonts w:ascii="Helvetica" w:eastAsia="HGMaruGothicMPRO" w:hAnsi="Helvetica" w:cs="Helvetica"/>
          <w:i/>
          <w:iCs/>
          <w:lang w:val="en-GB"/>
        </w:rPr>
        <w:t xml:space="preserve"> </w:t>
      </w:r>
      <w:r w:rsidR="00B42188" w:rsidRPr="008A3778">
        <w:rPr>
          <w:rFonts w:ascii="Helvetica" w:eastAsia="HGMaruGothicMPRO" w:hAnsi="Helvetica" w:cs="Helvetica"/>
          <w:lang w:val="en-GB"/>
        </w:rPr>
        <w:t>“</w:t>
      </w:r>
      <w:r w:rsidR="00B42188" w:rsidRPr="008A3778">
        <w:rPr>
          <w:rFonts w:ascii="Helvetica" w:eastAsia="HGMaruGothicMPRO" w:hAnsi="Helvetica" w:cs="Helvetica"/>
          <w:i/>
          <w:iCs/>
          <w:lang w:val="en-GB"/>
        </w:rPr>
        <w:t>the matter fresh and not restrict</w:t>
      </w:r>
      <w:r w:rsidR="00ED2AA5" w:rsidRPr="008A3778">
        <w:rPr>
          <w:rFonts w:ascii="Helvetica" w:eastAsia="HGMaruGothicMPRO" w:hAnsi="Helvetica" w:cs="Helvetica"/>
          <w:i/>
          <w:iCs/>
          <w:lang w:val="en-GB"/>
        </w:rPr>
        <w:t>[ed]</w:t>
      </w:r>
      <w:r w:rsidR="00B42188" w:rsidRPr="008A3778">
        <w:rPr>
          <w:rFonts w:ascii="Helvetica" w:eastAsia="HGMaruGothicMPRO" w:hAnsi="Helvetica" w:cs="Helvetica"/>
          <w:i/>
          <w:iCs/>
          <w:lang w:val="en-GB"/>
        </w:rPr>
        <w:t xml:space="preserve"> itself to the record of the adjudicator’s proceeding</w:t>
      </w:r>
      <w:r w:rsidR="00147F9C" w:rsidRPr="008A3778">
        <w:rPr>
          <w:rFonts w:ascii="Helvetica" w:eastAsia="HGMaruGothicMPRO" w:hAnsi="Helvetica" w:cs="Helvetica"/>
          <w:i/>
          <w:iCs/>
          <w:lang w:val="en-GB"/>
        </w:rPr>
        <w:t>s</w:t>
      </w:r>
      <w:r w:rsidR="00B42188" w:rsidRPr="008A3778">
        <w:rPr>
          <w:rFonts w:ascii="Helvetica" w:eastAsia="HGMaruGothicMPRO" w:hAnsi="Helvetica" w:cs="Helvetica"/>
          <w:lang w:val="en-GB"/>
        </w:rPr>
        <w:t>”</w:t>
      </w:r>
      <w:r w:rsidR="001E6FC2" w:rsidRPr="008A3778">
        <w:rPr>
          <w:rFonts w:ascii="Helvetica" w:eastAsia="HGMaruGothicMPRO" w:hAnsi="Helvetica" w:cs="Helvetica"/>
          <w:lang w:val="en-GB"/>
        </w:rPr>
        <w:t>. The High Court moreover had “</w:t>
      </w:r>
      <w:r w:rsidR="001E6FC2" w:rsidRPr="008A3778">
        <w:rPr>
          <w:rFonts w:ascii="Helvetica" w:eastAsia="HGMaruGothicMPRO" w:hAnsi="Helvetica" w:cs="Helvetica"/>
          <w:i/>
          <w:iCs/>
          <w:lang w:val="en-GB"/>
        </w:rPr>
        <w:t>powers to accept evidence it deems necessary to make a judgement</w:t>
      </w:r>
      <w:r w:rsidR="001E6FC2" w:rsidRPr="008A3778">
        <w:rPr>
          <w:rFonts w:ascii="Helvetica" w:eastAsia="HGMaruGothicMPRO" w:hAnsi="Helvetica" w:cs="Helvetica"/>
          <w:lang w:val="en-GB"/>
        </w:rPr>
        <w:t>”</w:t>
      </w:r>
      <w:r w:rsidR="00ED2AA5" w:rsidRPr="008A3778">
        <w:rPr>
          <w:rFonts w:ascii="Helvetica" w:eastAsia="HGMaruGothicMPRO" w:hAnsi="Helvetica" w:cs="Helvetica"/>
          <w:lang w:val="en-GB"/>
        </w:rPr>
        <w:t xml:space="preserve">. </w:t>
      </w:r>
    </w:p>
    <w:p w14:paraId="0B30A3D6" w14:textId="1401BDF0" w:rsidR="00B61DB4" w:rsidRPr="008A3778" w:rsidRDefault="00627004"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Flowing from the above, the appellants pursue</w:t>
      </w:r>
      <w:r w:rsidR="0085341B" w:rsidRPr="008A3778">
        <w:rPr>
          <w:rFonts w:ascii="Helvetica" w:eastAsia="HGMaruGothicMPRO" w:hAnsi="Helvetica" w:cs="Helvetica"/>
          <w:lang w:val="en-GB"/>
        </w:rPr>
        <w:t xml:space="preserve"> </w:t>
      </w:r>
      <w:r w:rsidR="002D4A36" w:rsidRPr="008A3778">
        <w:rPr>
          <w:rFonts w:ascii="Helvetica" w:eastAsia="HGMaruGothicMPRO" w:hAnsi="Helvetica" w:cs="Helvetica"/>
          <w:lang w:val="en-GB"/>
        </w:rPr>
        <w:t>essentially</w:t>
      </w:r>
      <w:r w:rsidR="0085341B" w:rsidRPr="008A3778">
        <w:rPr>
          <w:rFonts w:ascii="Helvetica" w:eastAsia="HGMaruGothicMPRO" w:hAnsi="Helvetica" w:cs="Helvetica"/>
          <w:lang w:val="en-GB"/>
        </w:rPr>
        <w:t xml:space="preserve"> </w:t>
      </w:r>
      <w:r w:rsidR="002D4A36" w:rsidRPr="008A3778">
        <w:rPr>
          <w:rFonts w:ascii="Helvetica" w:eastAsia="HGMaruGothicMPRO" w:hAnsi="Helvetica" w:cs="Helvetica"/>
          <w:lang w:val="en-GB"/>
        </w:rPr>
        <w:t xml:space="preserve">three </w:t>
      </w:r>
      <w:r w:rsidR="0085341B" w:rsidRPr="008A3778">
        <w:rPr>
          <w:rFonts w:ascii="Helvetica" w:eastAsia="HGMaruGothicMPRO" w:hAnsi="Helvetica" w:cs="Helvetica"/>
          <w:lang w:val="en-GB"/>
        </w:rPr>
        <w:t>central arguments</w:t>
      </w:r>
      <w:r w:rsidR="004C1A6A" w:rsidRPr="008A3778">
        <w:rPr>
          <w:rFonts w:ascii="Helvetica" w:eastAsia="HGMaruGothicMPRO" w:hAnsi="Helvetica" w:cs="Helvetica"/>
          <w:lang w:val="en-GB"/>
        </w:rPr>
        <w:t xml:space="preserve"> on appeal</w:t>
      </w:r>
      <w:r w:rsidR="00BF44AF" w:rsidRPr="008A3778">
        <w:rPr>
          <w:rFonts w:ascii="Helvetica" w:eastAsia="HGMaruGothicMPRO" w:hAnsi="Helvetica" w:cs="Helvetica"/>
          <w:lang w:val="en-GB"/>
        </w:rPr>
        <w:t>. These are listed</w:t>
      </w:r>
      <w:r w:rsidR="003B591F" w:rsidRPr="008A3778">
        <w:rPr>
          <w:rFonts w:ascii="Helvetica" w:eastAsia="HGMaruGothicMPRO" w:hAnsi="Helvetica" w:cs="Helvetica"/>
          <w:lang w:val="en-GB"/>
        </w:rPr>
        <w:t>, in the appellants heads of argument,</w:t>
      </w:r>
      <w:r w:rsidR="00BF44AF" w:rsidRPr="008A3778">
        <w:rPr>
          <w:rFonts w:ascii="Helvetica" w:eastAsia="HGMaruGothicMPRO" w:hAnsi="Helvetica" w:cs="Helvetica"/>
          <w:lang w:val="en-GB"/>
        </w:rPr>
        <w:t xml:space="preserve"> as the “</w:t>
      </w:r>
      <w:r w:rsidR="00BF44AF" w:rsidRPr="008A3778">
        <w:rPr>
          <w:rFonts w:ascii="Helvetica" w:eastAsia="HGMaruGothicMPRO" w:hAnsi="Helvetica" w:cs="Helvetica"/>
          <w:i/>
          <w:iCs/>
          <w:lang w:val="en-GB"/>
        </w:rPr>
        <w:t>main issues</w:t>
      </w:r>
      <w:r w:rsidR="00BF44AF" w:rsidRPr="008A3778">
        <w:rPr>
          <w:rFonts w:ascii="Helvetica" w:eastAsia="HGMaruGothicMPRO" w:hAnsi="Helvetica" w:cs="Helvetica"/>
          <w:lang w:val="en-GB"/>
        </w:rPr>
        <w:t>”</w:t>
      </w:r>
      <w:r w:rsidR="004C1A6A" w:rsidRPr="008A3778">
        <w:rPr>
          <w:rFonts w:ascii="Helvetica" w:eastAsia="HGMaruGothicMPRO" w:hAnsi="Helvetica" w:cs="Helvetica"/>
          <w:lang w:val="en-GB"/>
        </w:rPr>
        <w:t xml:space="preserve"> arising </w:t>
      </w:r>
      <w:r w:rsidR="009974DE" w:rsidRPr="008A3778">
        <w:rPr>
          <w:rFonts w:ascii="Helvetica" w:eastAsia="HGMaruGothicMPRO" w:hAnsi="Helvetica" w:cs="Helvetica"/>
          <w:lang w:val="en-GB"/>
        </w:rPr>
        <w:t>“</w:t>
      </w:r>
      <w:r w:rsidR="009974DE" w:rsidRPr="008A3778">
        <w:rPr>
          <w:rFonts w:ascii="Helvetica" w:eastAsia="HGMaruGothicMPRO" w:hAnsi="Helvetica" w:cs="Helvetica"/>
          <w:i/>
          <w:iCs/>
          <w:lang w:val="en-GB"/>
        </w:rPr>
        <w:t>from the appellants’ founding affidavit</w:t>
      </w:r>
      <w:r w:rsidR="009974DE" w:rsidRPr="008A3778">
        <w:rPr>
          <w:rFonts w:ascii="Helvetica" w:eastAsia="HGMaruGothicMPRO" w:hAnsi="Helvetica" w:cs="Helvetica"/>
          <w:lang w:val="en-GB"/>
        </w:rPr>
        <w:t xml:space="preserve">”. </w:t>
      </w:r>
      <w:r w:rsidR="002D4A36" w:rsidRPr="008A3778">
        <w:rPr>
          <w:rFonts w:ascii="Helvetica" w:eastAsia="HGMaruGothicMPRO" w:hAnsi="Helvetica" w:cs="Helvetica"/>
          <w:lang w:val="en-GB"/>
        </w:rPr>
        <w:t>List</w:t>
      </w:r>
      <w:r w:rsidR="00C65632">
        <w:rPr>
          <w:rFonts w:ascii="Helvetica" w:eastAsia="HGMaruGothicMPRO" w:hAnsi="Helvetica" w:cs="Helvetica"/>
          <w:lang w:val="en-GB"/>
        </w:rPr>
        <w:t>ed</w:t>
      </w:r>
      <w:r w:rsidR="002D4A36" w:rsidRPr="008A3778">
        <w:rPr>
          <w:rFonts w:ascii="Helvetica" w:eastAsia="HGMaruGothicMPRO" w:hAnsi="Helvetica" w:cs="Helvetica"/>
          <w:lang w:val="en-GB"/>
        </w:rPr>
        <w:t xml:space="preserve"> under the u</w:t>
      </w:r>
      <w:r w:rsidR="00B368AF" w:rsidRPr="008A3778">
        <w:rPr>
          <w:rFonts w:ascii="Helvetica" w:eastAsia="HGMaruGothicMPRO" w:hAnsi="Helvetica" w:cs="Helvetica"/>
          <w:lang w:val="en-GB"/>
        </w:rPr>
        <w:t>nder the</w:t>
      </w:r>
      <w:r w:rsidR="004D68F0">
        <w:rPr>
          <w:rFonts w:ascii="Helvetica" w:eastAsia="HGMaruGothicMPRO" w:hAnsi="Helvetica" w:cs="Helvetica"/>
          <w:lang w:val="en-GB"/>
        </w:rPr>
        <w:t xml:space="preserve"> </w:t>
      </w:r>
      <w:r w:rsidR="00B368AF" w:rsidRPr="008A3778">
        <w:rPr>
          <w:rFonts w:ascii="Helvetica" w:eastAsia="HGMaruGothicMPRO" w:hAnsi="Helvetica" w:cs="Helvetica"/>
          <w:lang w:val="en-GB"/>
        </w:rPr>
        <w:t>rubric that the High Court should have set aside the Adjudicator’s determination, they are the following:</w:t>
      </w:r>
    </w:p>
    <w:p w14:paraId="1749730F" w14:textId="03B2F5A2" w:rsidR="00EF7E31" w:rsidRPr="008A3778" w:rsidRDefault="00EF7E31" w:rsidP="003A214B">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late Mr. Collatz </w:t>
      </w:r>
      <w:r w:rsidR="00763166" w:rsidRPr="008A3778">
        <w:rPr>
          <w:rFonts w:ascii="Helvetica" w:eastAsia="HGMaruGothicMPRO" w:hAnsi="Helvetica" w:cs="Helvetica"/>
          <w:lang w:val="en-GB"/>
        </w:rPr>
        <w:t>did not “</w:t>
      </w:r>
      <w:r w:rsidR="00763166" w:rsidRPr="008A3778">
        <w:rPr>
          <w:rFonts w:ascii="Helvetica" w:eastAsia="HGMaruGothicMPRO" w:hAnsi="Helvetica" w:cs="Helvetica"/>
          <w:i/>
          <w:iCs/>
          <w:lang w:val="en-GB"/>
        </w:rPr>
        <w:t>authorise the first respondent or ninth respondent to re-invest his retirement benefit with the second respondent</w:t>
      </w:r>
      <w:r w:rsidR="00763166" w:rsidRPr="008A3778">
        <w:rPr>
          <w:rFonts w:ascii="Helvetica" w:eastAsia="HGMaruGothicMPRO" w:hAnsi="Helvetica" w:cs="Helvetica"/>
          <w:lang w:val="en-GB"/>
        </w:rPr>
        <w:t>”</w:t>
      </w:r>
      <w:r w:rsidR="00B368AF" w:rsidRPr="008A3778">
        <w:rPr>
          <w:rFonts w:ascii="Helvetica" w:eastAsia="HGMaruGothicMPRO" w:hAnsi="Helvetica" w:cs="Helvetica"/>
          <w:lang w:val="en-GB"/>
        </w:rPr>
        <w:t xml:space="preserve"> </w:t>
      </w:r>
      <w:r w:rsidR="00BF1715">
        <w:rPr>
          <w:rFonts w:ascii="Helvetica" w:eastAsia="HGMaruGothicMPRO" w:hAnsi="Helvetica" w:cs="Helvetica"/>
          <w:lang w:val="en-GB"/>
        </w:rPr>
        <w:t>–</w:t>
      </w:r>
      <w:r w:rsidR="00B368AF" w:rsidRPr="008A3778">
        <w:rPr>
          <w:rFonts w:ascii="Helvetica" w:eastAsia="HGMaruGothicMPRO" w:hAnsi="Helvetica" w:cs="Helvetica"/>
          <w:lang w:val="en-GB"/>
        </w:rPr>
        <w:t xml:space="preserve"> here</w:t>
      </w:r>
      <w:r w:rsidR="00BF1715">
        <w:rPr>
          <w:rFonts w:ascii="Helvetica" w:eastAsia="HGMaruGothicMPRO" w:hAnsi="Helvetica" w:cs="Helvetica"/>
          <w:lang w:val="en-GB"/>
        </w:rPr>
        <w:t xml:space="preserve"> </w:t>
      </w:r>
      <w:r w:rsidR="00B368AF" w:rsidRPr="008A3778">
        <w:rPr>
          <w:rFonts w:ascii="Helvetica" w:eastAsia="HGMaruGothicMPRO" w:hAnsi="Helvetica" w:cs="Helvetica"/>
          <w:lang w:val="en-GB"/>
        </w:rPr>
        <w:t xml:space="preserve">the High Court is criticised for failing to receive further expert evidence said to demonstrate that the authorisation form </w:t>
      </w:r>
      <w:r w:rsidR="002D4A36" w:rsidRPr="008A3778">
        <w:rPr>
          <w:rFonts w:ascii="Helvetica" w:eastAsia="HGMaruGothicMPRO" w:hAnsi="Helvetica" w:cs="Helvetica"/>
          <w:lang w:val="en-GB"/>
        </w:rPr>
        <w:t>had been</w:t>
      </w:r>
      <w:r w:rsidR="00B368AF" w:rsidRPr="008A3778">
        <w:rPr>
          <w:rFonts w:ascii="Helvetica" w:eastAsia="HGMaruGothicMPRO" w:hAnsi="Helvetica" w:cs="Helvetica"/>
          <w:lang w:val="en-GB"/>
        </w:rPr>
        <w:t xml:space="preserve"> tampered with</w:t>
      </w:r>
      <w:r w:rsidR="00763166" w:rsidRPr="008A3778">
        <w:rPr>
          <w:rFonts w:ascii="Helvetica" w:eastAsia="HGMaruGothicMPRO" w:hAnsi="Helvetica" w:cs="Helvetica"/>
          <w:lang w:val="en-GB"/>
        </w:rPr>
        <w:t xml:space="preserve">; </w:t>
      </w:r>
    </w:p>
    <w:p w14:paraId="0A14F421" w14:textId="7BBCE0C6" w:rsidR="00763166" w:rsidRPr="008A3778" w:rsidRDefault="00B368AF" w:rsidP="003A214B">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within the context of section 15(2)(c) of the MPA, </w:t>
      </w:r>
      <w:r w:rsidR="00A84EA3" w:rsidRPr="008A3778">
        <w:rPr>
          <w:rFonts w:ascii="Helvetica" w:eastAsia="HGMaruGothicMPRO" w:hAnsi="Helvetica" w:cs="Helvetica"/>
          <w:lang w:val="en-GB"/>
        </w:rPr>
        <w:t>the late Mr. Collatz required</w:t>
      </w:r>
      <w:r w:rsidR="00AB6AEA" w:rsidRPr="008A3778">
        <w:rPr>
          <w:rFonts w:ascii="Helvetica" w:eastAsia="HGMaruGothicMPRO" w:hAnsi="Helvetica" w:cs="Helvetica"/>
          <w:lang w:val="en-GB"/>
        </w:rPr>
        <w:t>, but did not obtain,</w:t>
      </w:r>
      <w:r w:rsidR="00A84EA3"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Ms</w:t>
      </w:r>
      <w:r w:rsidR="00A84EA3" w:rsidRPr="008A3778">
        <w:rPr>
          <w:rFonts w:ascii="Helvetica" w:eastAsia="HGMaruGothicMPRO" w:hAnsi="Helvetica" w:cs="Helvetica"/>
          <w:lang w:val="en-GB"/>
        </w:rPr>
        <w:t xml:space="preserve"> Collatz’s consent before he re-invested his</w:t>
      </w:r>
      <w:r w:rsidRPr="008A3778">
        <w:rPr>
          <w:rFonts w:ascii="Helvetica" w:eastAsia="HGMaruGothicMPRO" w:hAnsi="Helvetica" w:cs="Helvetica"/>
          <w:lang w:val="en-GB"/>
        </w:rPr>
        <w:t xml:space="preserve"> withdrawal </w:t>
      </w:r>
      <w:r w:rsidR="00F33403" w:rsidRPr="008A3778">
        <w:rPr>
          <w:rFonts w:ascii="Helvetica" w:eastAsia="HGMaruGothicMPRO" w:hAnsi="Helvetica" w:cs="Helvetica"/>
          <w:lang w:val="en-GB"/>
        </w:rPr>
        <w:t xml:space="preserve">benefit with the </w:t>
      </w:r>
      <w:r w:rsidR="00AB6AEA" w:rsidRPr="008A3778">
        <w:rPr>
          <w:rFonts w:ascii="Helvetica" w:eastAsia="HGMaruGothicMPRO" w:hAnsi="Helvetica" w:cs="Helvetica"/>
          <w:lang w:val="en-GB"/>
        </w:rPr>
        <w:t>second respondent</w:t>
      </w:r>
      <w:r w:rsidR="003B591F" w:rsidRPr="008A3778">
        <w:rPr>
          <w:rFonts w:ascii="Helvetica" w:eastAsia="HGMaruGothicMPRO" w:hAnsi="Helvetica" w:cs="Helvetica"/>
          <w:lang w:val="en-GB"/>
        </w:rPr>
        <w:t>;</w:t>
      </w:r>
      <w:r w:rsidR="00AB6AEA" w:rsidRPr="008A3778">
        <w:rPr>
          <w:rFonts w:ascii="Helvetica" w:eastAsia="HGMaruGothicMPRO" w:hAnsi="Helvetica" w:cs="Helvetica"/>
          <w:lang w:val="en-GB"/>
        </w:rPr>
        <w:t xml:space="preserve"> </w:t>
      </w:r>
      <w:r w:rsidR="003B591F" w:rsidRPr="008A3778">
        <w:rPr>
          <w:rFonts w:ascii="Helvetica" w:eastAsia="HGMaruGothicMPRO" w:hAnsi="Helvetica" w:cs="Helvetica"/>
          <w:lang w:val="en-GB"/>
        </w:rPr>
        <w:t>and</w:t>
      </w:r>
    </w:p>
    <w:p w14:paraId="396CF525" w14:textId="50359A51" w:rsidR="003B591F" w:rsidRPr="008A3778" w:rsidRDefault="006B2984" w:rsidP="002D4A36">
      <w:pPr>
        <w:numPr>
          <w:ilvl w:val="1"/>
          <w:numId w:val="1"/>
        </w:numPr>
        <w:tabs>
          <w:tab w:val="clear" w:pos="851"/>
          <w:tab w:val="num" w:pos="1440"/>
        </w:tabs>
        <w:spacing w:after="360" w:line="360" w:lineRule="auto"/>
        <w:ind w:left="1440" w:right="-151" w:hanging="720"/>
        <w:jc w:val="both"/>
        <w:rPr>
          <w:rFonts w:ascii="Helvetica" w:eastAsia="HGMaruGothicMPRO" w:hAnsi="Helvetica" w:cs="Helvetica"/>
          <w:lang w:val="en-GB"/>
        </w:rPr>
      </w:pPr>
      <w:r w:rsidRPr="008A3778">
        <w:rPr>
          <w:rFonts w:ascii="Helvetica" w:eastAsia="HGMaruGothicMPRO" w:hAnsi="Helvetica" w:cs="Helvetica"/>
          <w:lang w:val="en-GB"/>
        </w:rPr>
        <w:t>the High Court</w:t>
      </w:r>
      <w:r w:rsidR="00E30702" w:rsidRPr="008A3778">
        <w:rPr>
          <w:rFonts w:ascii="Helvetica" w:eastAsia="HGMaruGothicMPRO" w:hAnsi="Helvetica" w:cs="Helvetica"/>
          <w:lang w:val="en-GB"/>
        </w:rPr>
        <w:t xml:space="preserve"> failed to apply its mind to the question of whether </w:t>
      </w:r>
      <w:r w:rsidRPr="008A3778">
        <w:rPr>
          <w:rFonts w:ascii="Helvetica" w:eastAsia="HGMaruGothicMPRO" w:hAnsi="Helvetica" w:cs="Helvetica"/>
          <w:lang w:val="en-GB"/>
        </w:rPr>
        <w:t>the deceased retire</w:t>
      </w:r>
      <w:r w:rsidR="00E30702" w:rsidRPr="008A3778">
        <w:rPr>
          <w:rFonts w:ascii="Helvetica" w:eastAsia="HGMaruGothicMPRO" w:hAnsi="Helvetica" w:cs="Helvetica"/>
          <w:lang w:val="en-GB"/>
        </w:rPr>
        <w:t>d</w:t>
      </w:r>
      <w:r w:rsidRPr="008A3778">
        <w:rPr>
          <w:rFonts w:ascii="Helvetica" w:eastAsia="HGMaruGothicMPRO" w:hAnsi="Helvetica" w:cs="Helvetica"/>
          <w:lang w:val="en-GB"/>
        </w:rPr>
        <w:t xml:space="preserve"> or was retrenched?</w:t>
      </w:r>
    </w:p>
    <w:p w14:paraId="099E5B15" w14:textId="2339095E" w:rsidR="005D4193" w:rsidRPr="008A3778" w:rsidRDefault="00B368AF"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Qualifying </w:t>
      </w:r>
      <w:r w:rsidR="007A1A2A" w:rsidRPr="008A3778">
        <w:rPr>
          <w:rFonts w:ascii="Helvetica" w:eastAsia="HGMaruGothicMPRO" w:hAnsi="Helvetica" w:cs="Helvetica"/>
          <w:lang w:val="en-GB"/>
        </w:rPr>
        <w:t>all the above is the respondent</w:t>
      </w:r>
      <w:r w:rsidR="00A80899">
        <w:rPr>
          <w:rFonts w:ascii="Helvetica" w:eastAsia="HGMaruGothicMPRO" w:hAnsi="Helvetica" w:cs="Helvetica"/>
          <w:lang w:val="en-GB"/>
        </w:rPr>
        <w:t>s</w:t>
      </w:r>
      <w:r w:rsidR="007A1A2A" w:rsidRPr="008A3778">
        <w:rPr>
          <w:rFonts w:ascii="Helvetica" w:eastAsia="HGMaruGothicMPRO" w:hAnsi="Helvetica" w:cs="Helvetica"/>
          <w:lang w:val="en-GB"/>
        </w:rPr>
        <w:t>’ contention</w:t>
      </w:r>
      <w:r w:rsidRPr="008A3778">
        <w:rPr>
          <w:rFonts w:ascii="Helvetica" w:eastAsia="HGMaruGothicMPRO" w:hAnsi="Helvetica" w:cs="Helvetica"/>
          <w:lang w:val="en-GB"/>
        </w:rPr>
        <w:t>, in their heads of argument,</w:t>
      </w:r>
      <w:r w:rsidR="007A1A2A" w:rsidRPr="008A3778">
        <w:rPr>
          <w:rFonts w:ascii="Helvetica" w:eastAsia="HGMaruGothicMPRO" w:hAnsi="Helvetica" w:cs="Helvetica"/>
          <w:lang w:val="en-GB"/>
        </w:rPr>
        <w:t xml:space="preserve"> that this appeal “</w:t>
      </w:r>
      <w:r w:rsidR="007A1A2A" w:rsidRPr="008A3778">
        <w:rPr>
          <w:rFonts w:ascii="Helvetica" w:eastAsia="HGMaruGothicMPRO" w:hAnsi="Helvetica" w:cs="Helvetica"/>
          <w:i/>
          <w:iCs/>
          <w:lang w:val="en-GB"/>
        </w:rPr>
        <w:t>rises and falls</w:t>
      </w:r>
      <w:r w:rsidR="007A1A2A" w:rsidRPr="008A3778">
        <w:rPr>
          <w:rFonts w:ascii="Helvetica" w:eastAsia="HGMaruGothicMPRO" w:hAnsi="Helvetica" w:cs="Helvetica"/>
          <w:lang w:val="en-GB"/>
        </w:rPr>
        <w:t>” on the “</w:t>
      </w:r>
      <w:r w:rsidR="007A1A2A" w:rsidRPr="008A3778">
        <w:rPr>
          <w:rFonts w:ascii="Helvetica" w:eastAsia="HGMaruGothicMPRO" w:hAnsi="Helvetica" w:cs="Helvetica"/>
          <w:i/>
          <w:iCs/>
          <w:lang w:val="en-GB"/>
        </w:rPr>
        <w:t>purported authorisation form</w:t>
      </w:r>
      <w:r w:rsidR="007A1A2A" w:rsidRPr="008A3778">
        <w:rPr>
          <w:rFonts w:ascii="Helvetica" w:eastAsia="HGMaruGothicMPRO" w:hAnsi="Helvetica" w:cs="Helvetica"/>
          <w:lang w:val="en-GB"/>
        </w:rPr>
        <w:t xml:space="preserve">”. </w:t>
      </w:r>
    </w:p>
    <w:p w14:paraId="2751FA43" w14:textId="604E1CA6" w:rsidR="005045B1" w:rsidRPr="008A3778" w:rsidRDefault="004F0421"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However, b</w:t>
      </w:r>
      <w:r w:rsidR="00335011" w:rsidRPr="008A3778">
        <w:rPr>
          <w:rFonts w:ascii="Helvetica" w:eastAsia="HGMaruGothicMPRO" w:hAnsi="Helvetica" w:cs="Helvetica"/>
          <w:lang w:val="en-GB"/>
        </w:rPr>
        <w:t>efore dealing with the authorisation form</w:t>
      </w:r>
      <w:r w:rsidR="002D4A36" w:rsidRPr="008A3778">
        <w:rPr>
          <w:rFonts w:ascii="Helvetica" w:eastAsia="HGMaruGothicMPRO" w:hAnsi="Helvetica" w:cs="Helvetica"/>
          <w:lang w:val="en-GB"/>
        </w:rPr>
        <w:t xml:space="preserve"> - the fate of which, so the appellants contend, is determinative of this appeal -</w:t>
      </w:r>
      <w:r w:rsidR="00335011" w:rsidRPr="008A3778">
        <w:rPr>
          <w:rFonts w:ascii="Helvetica" w:eastAsia="HGMaruGothicMPRO" w:hAnsi="Helvetica" w:cs="Helvetica"/>
          <w:lang w:val="en-GB"/>
        </w:rPr>
        <w:t xml:space="preserve"> I </w:t>
      </w:r>
      <w:r w:rsidR="002D4A36" w:rsidRPr="008A3778">
        <w:rPr>
          <w:rFonts w:ascii="Helvetica" w:eastAsia="HGMaruGothicMPRO" w:hAnsi="Helvetica" w:cs="Helvetica"/>
          <w:lang w:val="en-GB"/>
        </w:rPr>
        <w:t xml:space="preserve">nevertheless must </w:t>
      </w:r>
      <w:r w:rsidR="00335011" w:rsidRPr="008A3778">
        <w:rPr>
          <w:rFonts w:ascii="Helvetica" w:eastAsia="HGMaruGothicMPRO" w:hAnsi="Helvetica" w:cs="Helvetica"/>
          <w:lang w:val="en-GB"/>
        </w:rPr>
        <w:t>first deal</w:t>
      </w:r>
      <w:r w:rsidR="000B253D" w:rsidRPr="008A3778">
        <w:rPr>
          <w:rFonts w:ascii="Helvetica" w:eastAsia="HGMaruGothicMPRO" w:hAnsi="Helvetica" w:cs="Helvetica"/>
          <w:lang w:val="en-GB"/>
        </w:rPr>
        <w:t xml:space="preserve"> with the question of whether the withdrawal benefit accrued to the joint estate, </w:t>
      </w:r>
      <w:r w:rsidR="005045B1" w:rsidRPr="008A3778">
        <w:rPr>
          <w:rFonts w:ascii="Helvetica" w:eastAsia="HGMaruGothicMPRO" w:hAnsi="Helvetica" w:cs="Helvetica"/>
          <w:lang w:val="en-GB"/>
        </w:rPr>
        <w:t xml:space="preserve">and the accompanying argument by the appellants that Ms. Collatz’s consent was required to deal therewith. </w:t>
      </w:r>
      <w:r w:rsidR="00D96556" w:rsidRPr="008A3778">
        <w:rPr>
          <w:rFonts w:ascii="Helvetica" w:eastAsia="HGMaruGothicMPRO" w:hAnsi="Helvetica" w:cs="Helvetica"/>
          <w:lang w:val="en-GB"/>
        </w:rPr>
        <w:t>I thereafter deal with the impact, if any,</w:t>
      </w:r>
      <w:r w:rsidR="007E20BC" w:rsidRPr="008A3778">
        <w:rPr>
          <w:rFonts w:ascii="Helvetica" w:eastAsia="HGMaruGothicMPRO" w:hAnsi="Helvetica" w:cs="Helvetica"/>
          <w:lang w:val="en-GB"/>
        </w:rPr>
        <w:t xml:space="preserve"> of the preservation agreement</w:t>
      </w:r>
      <w:r w:rsidR="00B368AF" w:rsidRPr="008A3778">
        <w:rPr>
          <w:rFonts w:ascii="Helvetica" w:eastAsia="HGMaruGothicMPRO" w:hAnsi="Helvetica" w:cs="Helvetica"/>
          <w:lang w:val="en-GB"/>
        </w:rPr>
        <w:t xml:space="preserve"> (to the extent that </w:t>
      </w:r>
      <w:r w:rsidR="00B368AF" w:rsidRPr="008A3778">
        <w:rPr>
          <w:rFonts w:ascii="Helvetica" w:eastAsia="HGMaruGothicMPRO" w:hAnsi="Helvetica" w:cs="Helvetica"/>
          <w:lang w:val="en-GB"/>
        </w:rPr>
        <w:lastRenderedPageBreak/>
        <w:t>it still warrant</w:t>
      </w:r>
      <w:r w:rsidR="002D4A36" w:rsidRPr="008A3778">
        <w:rPr>
          <w:rFonts w:ascii="Helvetica" w:eastAsia="HGMaruGothicMPRO" w:hAnsi="Helvetica" w:cs="Helvetica"/>
          <w:lang w:val="en-GB"/>
        </w:rPr>
        <w:t>s</w:t>
      </w:r>
      <w:r w:rsidR="00B368AF" w:rsidRPr="008A3778">
        <w:rPr>
          <w:rFonts w:ascii="Helvetica" w:eastAsia="HGMaruGothicMPRO" w:hAnsi="Helvetica" w:cs="Helvetica"/>
          <w:lang w:val="en-GB"/>
        </w:rPr>
        <w:t xml:space="preserve"> attention</w:t>
      </w:r>
      <w:r w:rsidR="002D4A36" w:rsidRPr="008A3778">
        <w:rPr>
          <w:rFonts w:ascii="Helvetica" w:eastAsia="HGMaruGothicMPRO" w:hAnsi="Helvetica" w:cs="Helvetica"/>
          <w:lang w:val="en-GB"/>
        </w:rPr>
        <w:t xml:space="preserve"> given that it was not seriously pressed in the appeal</w:t>
      </w:r>
      <w:r w:rsidR="00B368AF" w:rsidRPr="008A3778">
        <w:rPr>
          <w:rFonts w:ascii="Helvetica" w:eastAsia="HGMaruGothicMPRO" w:hAnsi="Helvetica" w:cs="Helvetica"/>
          <w:lang w:val="en-GB"/>
        </w:rPr>
        <w:t>)</w:t>
      </w:r>
      <w:r w:rsidR="007E20BC" w:rsidRPr="008A3778">
        <w:rPr>
          <w:rFonts w:ascii="Helvetica" w:eastAsia="HGMaruGothicMPRO" w:hAnsi="Helvetica" w:cs="Helvetica"/>
          <w:lang w:val="en-GB"/>
        </w:rPr>
        <w:t>.</w:t>
      </w:r>
      <w:r w:rsidR="00684457" w:rsidRPr="008A3778">
        <w:rPr>
          <w:rFonts w:ascii="Helvetica" w:eastAsia="HGMaruGothicMPRO" w:hAnsi="Helvetica" w:cs="Helvetica"/>
          <w:lang w:val="en-GB"/>
        </w:rPr>
        <w:t xml:space="preserve"> Consideration</w:t>
      </w:r>
      <w:r w:rsidR="00B368AF" w:rsidRPr="008A3778">
        <w:rPr>
          <w:rFonts w:ascii="Helvetica" w:eastAsia="HGMaruGothicMPRO" w:hAnsi="Helvetica" w:cs="Helvetica"/>
          <w:lang w:val="en-GB"/>
        </w:rPr>
        <w:t xml:space="preserve"> thereafter is</w:t>
      </w:r>
      <w:r w:rsidR="00684457" w:rsidRPr="008A3778">
        <w:rPr>
          <w:rFonts w:ascii="Helvetica" w:eastAsia="HGMaruGothicMPRO" w:hAnsi="Helvetica" w:cs="Helvetica"/>
          <w:lang w:val="en-GB"/>
        </w:rPr>
        <w:t xml:space="preserve"> given to the question</w:t>
      </w:r>
      <w:r w:rsidR="00AC0185" w:rsidRPr="008A3778">
        <w:rPr>
          <w:rFonts w:ascii="Helvetica" w:eastAsia="HGMaruGothicMPRO" w:hAnsi="Helvetica" w:cs="Helvetica"/>
          <w:lang w:val="en-GB"/>
        </w:rPr>
        <w:t xml:space="preserve">, and impact, if any, of whether Mr. Collatz retired or was retrenched. </w:t>
      </w:r>
    </w:p>
    <w:p w14:paraId="0D72B1CA" w14:textId="62E7A555" w:rsidR="004F0421" w:rsidRPr="008A3778" w:rsidRDefault="004F0421" w:rsidP="006D5807">
      <w:pPr>
        <w:pStyle w:val="ListParagraph"/>
        <w:numPr>
          <w:ilvl w:val="0"/>
          <w:numId w:val="24"/>
        </w:numPr>
        <w:spacing w:after="360" w:line="360" w:lineRule="auto"/>
        <w:ind w:right="-151" w:hanging="720"/>
        <w:contextualSpacing w:val="0"/>
        <w:jc w:val="both"/>
        <w:rPr>
          <w:rFonts w:ascii="Helvetica" w:eastAsia="HGMaruGothicMPRO" w:hAnsi="Helvetica" w:cs="Helvetica"/>
          <w:b/>
          <w:bCs/>
          <w:lang w:val="en-GB"/>
        </w:rPr>
      </w:pPr>
      <w:r w:rsidRPr="008A3778">
        <w:rPr>
          <w:rFonts w:ascii="Helvetica" w:eastAsia="HGMaruGothicMPRO" w:hAnsi="Helvetica" w:cs="Helvetica"/>
          <w:b/>
          <w:bCs/>
          <w:lang w:val="en-GB"/>
        </w:rPr>
        <w:t xml:space="preserve">Did the withdrawal benefit accrue to their joint estate? </w:t>
      </w:r>
    </w:p>
    <w:p w14:paraId="0BBC1DBB" w14:textId="6CC4DE11" w:rsidR="004F0421" w:rsidRPr="008A3778" w:rsidRDefault="00314665"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appellants argue that </w:t>
      </w:r>
      <w:r w:rsidR="00DD5B9F" w:rsidRPr="008A3778">
        <w:rPr>
          <w:rFonts w:ascii="Helvetica" w:eastAsia="HGMaruGothicMPRO" w:hAnsi="Helvetica" w:cs="Helvetica"/>
          <w:lang w:val="en-GB"/>
        </w:rPr>
        <w:t>because of</w:t>
      </w:r>
      <w:r w:rsidRPr="008A3778">
        <w:rPr>
          <w:rFonts w:ascii="Helvetica" w:eastAsia="HGMaruGothicMPRO" w:hAnsi="Helvetica" w:cs="Helvetica"/>
          <w:lang w:val="en-GB"/>
        </w:rPr>
        <w:t xml:space="preserve"> their marriage in community of property,</w:t>
      </w:r>
      <w:r w:rsidR="00F80F03" w:rsidRPr="008A3778">
        <w:rPr>
          <w:rFonts w:ascii="Helvetica" w:eastAsia="HGMaruGothicMPRO" w:hAnsi="Helvetica" w:cs="Helvetica"/>
          <w:lang w:val="en-GB"/>
        </w:rPr>
        <w:t xml:space="preserve"> </w:t>
      </w:r>
      <w:r w:rsidR="003C7641" w:rsidRPr="008A3778">
        <w:rPr>
          <w:rFonts w:ascii="Helvetica" w:eastAsia="HGMaruGothicMPRO" w:hAnsi="Helvetica" w:cs="Helvetica"/>
          <w:lang w:val="en-GB"/>
        </w:rPr>
        <w:t>Mr.</w:t>
      </w:r>
      <w:r w:rsidR="00F80F03" w:rsidRPr="008A3778">
        <w:rPr>
          <w:rFonts w:ascii="Helvetica" w:eastAsia="HGMaruGothicMPRO" w:hAnsi="Helvetica" w:cs="Helvetica"/>
          <w:lang w:val="en-GB"/>
        </w:rPr>
        <w:t xml:space="preserve"> Collatz’s </w:t>
      </w:r>
      <w:r w:rsidR="00DD5B9F" w:rsidRPr="008A3778">
        <w:rPr>
          <w:rFonts w:ascii="Helvetica" w:eastAsia="HGMaruGothicMPRO" w:hAnsi="Helvetica" w:cs="Helvetica"/>
          <w:lang w:val="en-GB"/>
        </w:rPr>
        <w:t xml:space="preserve">provident fund </w:t>
      </w:r>
      <w:r w:rsidR="00F80F03" w:rsidRPr="008A3778">
        <w:rPr>
          <w:rFonts w:ascii="Helvetica" w:eastAsia="HGMaruGothicMPRO" w:hAnsi="Helvetica" w:cs="Helvetica"/>
          <w:lang w:val="en-GB"/>
        </w:rPr>
        <w:t>withdrawal benefit formed part of</w:t>
      </w:r>
      <w:r w:rsidR="00DD5B9F" w:rsidRPr="008A3778">
        <w:rPr>
          <w:rFonts w:ascii="Helvetica" w:eastAsia="HGMaruGothicMPRO" w:hAnsi="Helvetica" w:cs="Helvetica"/>
          <w:lang w:val="en-GB"/>
        </w:rPr>
        <w:t xml:space="preserve"> Mr. and Ms. Collatz’s joint estate.</w:t>
      </w:r>
      <w:r w:rsidR="00B51EFC" w:rsidRPr="008A3778">
        <w:rPr>
          <w:rFonts w:ascii="Helvetica" w:eastAsia="HGMaruGothicMPRO" w:hAnsi="Helvetica" w:cs="Helvetica"/>
          <w:lang w:val="en-GB"/>
        </w:rPr>
        <w:t xml:space="preserve"> </w:t>
      </w:r>
    </w:p>
    <w:p w14:paraId="2B26694A" w14:textId="40D54A64" w:rsidR="0075210E" w:rsidRPr="008A3778" w:rsidRDefault="00B51EFC"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In support of th</w:t>
      </w:r>
      <w:r w:rsidR="004F0421" w:rsidRPr="008A3778">
        <w:rPr>
          <w:rFonts w:ascii="Helvetica" w:eastAsia="HGMaruGothicMPRO" w:hAnsi="Helvetica" w:cs="Helvetica"/>
          <w:lang w:val="en-GB"/>
        </w:rPr>
        <w:t xml:space="preserve">is </w:t>
      </w:r>
      <w:r w:rsidRPr="008A3778">
        <w:rPr>
          <w:rFonts w:ascii="Helvetica" w:eastAsia="HGMaruGothicMPRO" w:hAnsi="Helvetica" w:cs="Helvetica"/>
          <w:lang w:val="en-GB"/>
        </w:rPr>
        <w:t xml:space="preserve">argument, the appellants rely on the decision in </w:t>
      </w:r>
      <w:r w:rsidRPr="008A3778">
        <w:rPr>
          <w:rFonts w:ascii="Helvetica" w:eastAsia="HGMaruGothicMPRO" w:hAnsi="Helvetica" w:cs="Helvetica"/>
          <w:b/>
          <w:bCs/>
          <w:lang w:val="en-GB"/>
        </w:rPr>
        <w:t>De Kock v Jacobson</w:t>
      </w:r>
      <w:r w:rsidR="002D4A36" w:rsidRPr="008A3778">
        <w:rPr>
          <w:rFonts w:ascii="Helvetica" w:eastAsia="HGMaruGothicMPRO" w:hAnsi="Helvetica" w:cs="Helvetica"/>
          <w:lang w:val="en-GB"/>
        </w:rPr>
        <w:t>.</w:t>
      </w:r>
      <w:r w:rsidR="003F504F" w:rsidRPr="008A3778">
        <w:rPr>
          <w:rStyle w:val="FootnoteReference"/>
          <w:rFonts w:ascii="Helvetica" w:eastAsia="HGMaruGothicMPRO" w:hAnsi="Helvetica" w:cs="Helvetica"/>
          <w:lang w:val="en-GB"/>
        </w:rPr>
        <w:footnoteReference w:id="59"/>
      </w:r>
      <w:r w:rsidR="00507AC4" w:rsidRPr="008A3778">
        <w:rPr>
          <w:rFonts w:ascii="Helvetica" w:eastAsia="HGMaruGothicMPRO" w:hAnsi="Helvetica" w:cs="Helvetica"/>
          <w:b/>
          <w:bCs/>
          <w:lang w:val="en-GB"/>
        </w:rPr>
        <w:t xml:space="preserve"> </w:t>
      </w:r>
      <w:r w:rsidR="002D4A36" w:rsidRPr="008A3778">
        <w:rPr>
          <w:rFonts w:ascii="Helvetica" w:eastAsia="HGMaruGothicMPRO" w:hAnsi="Helvetica" w:cs="Helvetica"/>
          <w:lang w:val="en-GB"/>
        </w:rPr>
        <w:t>T</w:t>
      </w:r>
      <w:r w:rsidR="00507AC4" w:rsidRPr="008A3778">
        <w:rPr>
          <w:rFonts w:ascii="Helvetica" w:eastAsia="HGMaruGothicMPRO" w:hAnsi="Helvetica" w:cs="Helvetica"/>
          <w:lang w:val="en-GB"/>
        </w:rPr>
        <w:t>herein it is held that there is “</w:t>
      </w:r>
      <w:r w:rsidR="00507AC4" w:rsidRPr="008A3778">
        <w:rPr>
          <w:rFonts w:ascii="Helvetica" w:eastAsia="HGMaruGothicMPRO" w:hAnsi="Helvetica" w:cs="Helvetica"/>
          <w:i/>
          <w:iCs/>
          <w:lang w:val="en-GB"/>
        </w:rPr>
        <w:t>no reason in principle why the accrued right to the pension should not form part of the community of property existing between the parties prior to divorce</w:t>
      </w:r>
      <w:r w:rsidR="004003B5" w:rsidRPr="008A3778">
        <w:rPr>
          <w:rFonts w:ascii="Helvetica" w:eastAsia="HGMaruGothicMPRO" w:hAnsi="Helvetica" w:cs="Helvetica"/>
          <w:lang w:val="en-GB"/>
        </w:rPr>
        <w:t>”</w:t>
      </w:r>
      <w:r w:rsidR="003F504F" w:rsidRPr="008A3778">
        <w:rPr>
          <w:rFonts w:ascii="Helvetica" w:eastAsia="HGMaruGothicMPRO" w:hAnsi="Helvetica" w:cs="Helvetica"/>
          <w:lang w:val="en-GB"/>
        </w:rPr>
        <w:t>.</w:t>
      </w:r>
      <w:r w:rsidR="00E2684E" w:rsidRPr="008A3778">
        <w:rPr>
          <w:rFonts w:ascii="Helvetica" w:eastAsia="HGMaruGothicMPRO" w:hAnsi="Helvetica" w:cs="Helvetica"/>
          <w:lang w:val="en-GB"/>
        </w:rPr>
        <w:t xml:space="preserve"> </w:t>
      </w:r>
      <w:r w:rsidR="00531D1C" w:rsidRPr="008A3778">
        <w:rPr>
          <w:rFonts w:ascii="Helvetica" w:eastAsia="HGMaruGothicMPRO" w:hAnsi="Helvetica" w:cs="Helvetica"/>
          <w:lang w:val="en-GB"/>
        </w:rPr>
        <w:t xml:space="preserve">The decision </w:t>
      </w:r>
      <w:r w:rsidR="002D4A36" w:rsidRPr="008A3778">
        <w:rPr>
          <w:rFonts w:ascii="Helvetica" w:eastAsia="HGMaruGothicMPRO" w:hAnsi="Helvetica" w:cs="Helvetica"/>
          <w:lang w:val="en-GB"/>
        </w:rPr>
        <w:t xml:space="preserve">however </w:t>
      </w:r>
      <w:r w:rsidR="00531D1C" w:rsidRPr="008A3778">
        <w:rPr>
          <w:rFonts w:ascii="Helvetica" w:eastAsia="HGMaruGothicMPRO" w:hAnsi="Helvetica" w:cs="Helvetica"/>
          <w:lang w:val="en-GB"/>
        </w:rPr>
        <w:t xml:space="preserve">does not assist the appellants. </w:t>
      </w:r>
      <w:r w:rsidR="002D4A36" w:rsidRPr="008A3778">
        <w:rPr>
          <w:rFonts w:ascii="Helvetica" w:eastAsia="HGMaruGothicMPRO" w:hAnsi="Helvetica" w:cs="Helvetica"/>
          <w:lang w:val="en-GB"/>
        </w:rPr>
        <w:t xml:space="preserve">In </w:t>
      </w:r>
      <w:r w:rsidR="002D4A36" w:rsidRPr="008A3778">
        <w:rPr>
          <w:rFonts w:ascii="Helvetica" w:eastAsia="HGMaruGothicMPRO" w:hAnsi="Helvetica" w:cs="Helvetica"/>
          <w:b/>
          <w:bCs/>
          <w:lang w:val="en-GB"/>
        </w:rPr>
        <w:t>De Kock v Jacobson</w:t>
      </w:r>
      <w:r w:rsidR="002D4A36" w:rsidRPr="008A3778">
        <w:rPr>
          <w:rFonts w:ascii="Helvetica" w:eastAsia="HGMaruGothicMPRO" w:hAnsi="Helvetica" w:cs="Helvetica"/>
          <w:lang w:val="en-GB"/>
        </w:rPr>
        <w:t>,</w:t>
      </w:r>
      <w:r w:rsidR="00531D1C" w:rsidRPr="008A3778">
        <w:rPr>
          <w:rFonts w:ascii="Helvetica" w:eastAsia="HGMaruGothicMPRO" w:hAnsi="Helvetica" w:cs="Helvetica"/>
          <w:lang w:val="en-GB"/>
        </w:rPr>
        <w:t xml:space="preserve"> t</w:t>
      </w:r>
      <w:r w:rsidR="00763F04" w:rsidRPr="008A3778">
        <w:rPr>
          <w:rFonts w:ascii="Helvetica" w:eastAsia="HGMaruGothicMPRO" w:hAnsi="Helvetica" w:cs="Helvetica"/>
          <w:lang w:val="en-GB"/>
        </w:rPr>
        <w:t>he court</w:t>
      </w:r>
      <w:r w:rsidR="0003031E" w:rsidRPr="008A3778">
        <w:rPr>
          <w:rFonts w:ascii="Helvetica" w:eastAsia="HGMaruGothicMPRO" w:hAnsi="Helvetica" w:cs="Helvetica"/>
          <w:lang w:val="en-GB"/>
        </w:rPr>
        <w:t xml:space="preserve"> was required </w:t>
      </w:r>
      <w:r w:rsidR="00763F04" w:rsidRPr="008A3778">
        <w:rPr>
          <w:rFonts w:ascii="Helvetica" w:eastAsia="HGMaruGothicMPRO" w:hAnsi="Helvetica" w:cs="Helvetica"/>
          <w:lang w:val="en-GB"/>
        </w:rPr>
        <w:t>to determine</w:t>
      </w:r>
      <w:r w:rsidR="00763F04" w:rsidRPr="008A3778">
        <w:rPr>
          <w:rFonts w:ascii="Helvetica" w:hAnsi="Helvetica" w:cs="Helvetica"/>
          <w:color w:val="535353"/>
          <w:shd w:val="clear" w:color="auto" w:fill="F5F5F5"/>
          <w:lang w:val="en-GB"/>
        </w:rPr>
        <w:t xml:space="preserve"> </w:t>
      </w:r>
      <w:r w:rsidR="00763F04" w:rsidRPr="008A3778">
        <w:rPr>
          <w:rFonts w:ascii="Helvetica" w:eastAsia="HGMaruGothicMPRO" w:hAnsi="Helvetica" w:cs="Helvetica"/>
          <w:lang w:val="en-GB"/>
        </w:rPr>
        <w:t xml:space="preserve">whether a </w:t>
      </w:r>
      <w:r w:rsidR="00D775A3" w:rsidRPr="008A3778">
        <w:rPr>
          <w:rFonts w:ascii="Helvetica" w:eastAsia="HGMaruGothicMPRO" w:hAnsi="Helvetica" w:cs="Helvetica"/>
          <w:lang w:val="en-GB"/>
        </w:rPr>
        <w:t>pension interest</w:t>
      </w:r>
      <w:r w:rsidR="000C7792" w:rsidRPr="008A3778">
        <w:rPr>
          <w:rFonts w:ascii="Helvetica" w:eastAsia="HGMaruGothicMPRO" w:hAnsi="Helvetica" w:cs="Helvetica"/>
          <w:lang w:val="en-GB"/>
        </w:rPr>
        <w:t xml:space="preserve"> - </w:t>
      </w:r>
      <w:r w:rsidR="00D775A3" w:rsidRPr="008A3778">
        <w:rPr>
          <w:rFonts w:ascii="Helvetica" w:eastAsia="HGMaruGothicMPRO" w:hAnsi="Helvetica" w:cs="Helvetica"/>
          <w:lang w:val="en-GB"/>
        </w:rPr>
        <w:t>having been converted upon retirement into a right to a pension</w:t>
      </w:r>
      <w:r w:rsidR="0003031E" w:rsidRPr="008A3778">
        <w:rPr>
          <w:rFonts w:ascii="Helvetica" w:eastAsia="Times New Roman" w:hAnsi="Helvetica" w:cs="Helvetica"/>
          <w:iCs/>
          <w:lang w:val="en-GB" w:eastAsia="en-GB"/>
        </w:rPr>
        <w:t xml:space="preserve"> </w:t>
      </w:r>
      <w:r w:rsidR="0003031E" w:rsidRPr="008A3778">
        <w:rPr>
          <w:rFonts w:ascii="Helvetica" w:eastAsia="Times New Roman" w:hAnsi="Helvetica" w:cs="Helvetica"/>
          <w:lang w:val="en-GB" w:eastAsia="en-GB"/>
        </w:rPr>
        <w:t>that the husband was receiving</w:t>
      </w:r>
      <w:r w:rsidR="001E45C0" w:rsidRPr="008A3778">
        <w:rPr>
          <w:rFonts w:ascii="Helvetica" w:eastAsia="Times New Roman" w:hAnsi="Helvetica" w:cs="Helvetica"/>
          <w:lang w:val="en-GB" w:eastAsia="en-GB"/>
        </w:rPr>
        <w:t xml:space="preserve"> -</w:t>
      </w:r>
      <w:r w:rsidR="0003031E" w:rsidRPr="008A3778">
        <w:rPr>
          <w:rFonts w:ascii="Helvetica" w:eastAsia="Times New Roman" w:hAnsi="Helvetica" w:cs="Helvetica"/>
          <w:lang w:val="en-GB" w:eastAsia="en-GB"/>
        </w:rPr>
        <w:t xml:space="preserve"> was an asset in the joint estate of a couple married in community of property</w:t>
      </w:r>
      <w:r w:rsidR="00D25ED2" w:rsidRPr="008A3778">
        <w:rPr>
          <w:rFonts w:ascii="Helvetica" w:eastAsia="HGMaruGothicMPRO" w:hAnsi="Helvetica" w:cs="Helvetica"/>
          <w:lang w:val="en-GB"/>
        </w:rPr>
        <w:t>.</w:t>
      </w:r>
      <w:r w:rsidR="00A57295" w:rsidRPr="008A3778">
        <w:rPr>
          <w:rFonts w:ascii="Helvetica" w:eastAsia="HGMaruGothicMPRO" w:hAnsi="Helvetica" w:cs="Helvetica"/>
          <w:lang w:val="en-GB"/>
        </w:rPr>
        <w:t xml:space="preserve"> More specifically, the court was required to determine whether </w:t>
      </w:r>
      <w:r w:rsidR="002D4A36" w:rsidRPr="008A3778">
        <w:rPr>
          <w:rFonts w:ascii="Helvetica" w:eastAsia="HGMaruGothicMPRO" w:hAnsi="Helvetica" w:cs="Helvetica"/>
          <w:lang w:val="en-GB"/>
        </w:rPr>
        <w:t xml:space="preserve">an </w:t>
      </w:r>
      <w:r w:rsidR="00A57295" w:rsidRPr="008A3778">
        <w:rPr>
          <w:rFonts w:ascii="Helvetica" w:eastAsia="HGMaruGothicMPRO" w:hAnsi="Helvetica" w:cs="Helvetica"/>
          <w:lang w:val="en-GB"/>
        </w:rPr>
        <w:t xml:space="preserve">accrued </w:t>
      </w:r>
      <w:r w:rsidR="001E45C0" w:rsidRPr="008A3778">
        <w:rPr>
          <w:rFonts w:ascii="Helvetica" w:eastAsia="HGMaruGothicMPRO" w:hAnsi="Helvetica" w:cs="Helvetica"/>
          <w:lang w:val="en-GB"/>
        </w:rPr>
        <w:t xml:space="preserve">pension right </w:t>
      </w:r>
      <w:r w:rsidR="00A57295" w:rsidRPr="008A3778">
        <w:rPr>
          <w:rFonts w:ascii="Helvetica" w:eastAsia="HGMaruGothicMPRO" w:hAnsi="Helvetica" w:cs="Helvetica"/>
          <w:lang w:val="en-GB"/>
        </w:rPr>
        <w:t xml:space="preserve">was a pension interest in terms of the Divorce Act, 1979. </w:t>
      </w:r>
      <w:r w:rsidR="006366D1" w:rsidRPr="008A3778">
        <w:rPr>
          <w:rFonts w:ascii="Helvetica" w:eastAsia="HGMaruGothicMPRO" w:hAnsi="Helvetica" w:cs="Helvetica"/>
          <w:lang w:val="en-GB"/>
        </w:rPr>
        <w:t>The court</w:t>
      </w:r>
      <w:r w:rsidR="00C65632">
        <w:rPr>
          <w:rFonts w:ascii="Helvetica" w:eastAsia="HGMaruGothicMPRO" w:hAnsi="Helvetica" w:cs="Helvetica"/>
          <w:lang w:val="en-GB"/>
        </w:rPr>
        <w:t xml:space="preserve"> in </w:t>
      </w:r>
      <w:r w:rsidR="00C65632">
        <w:rPr>
          <w:rFonts w:ascii="Helvetica" w:eastAsia="HGMaruGothicMPRO" w:hAnsi="Helvetica" w:cs="Helvetica"/>
          <w:b/>
          <w:bCs/>
          <w:lang w:val="en-GB"/>
        </w:rPr>
        <w:t>De Kock v Jacobson</w:t>
      </w:r>
      <w:r w:rsidR="006366D1" w:rsidRPr="008A3778">
        <w:rPr>
          <w:rFonts w:ascii="Helvetica" w:eastAsia="HGMaruGothicMPRO" w:hAnsi="Helvetica" w:cs="Helvetica"/>
          <w:lang w:val="en-GB"/>
        </w:rPr>
        <w:t xml:space="preserve"> however</w:t>
      </w:r>
      <w:r w:rsidR="00CC47FF" w:rsidRPr="008A3778">
        <w:rPr>
          <w:rFonts w:ascii="Helvetica" w:eastAsia="HGMaruGothicMPRO" w:hAnsi="Helvetica" w:cs="Helvetica"/>
          <w:lang w:val="en-GB"/>
        </w:rPr>
        <w:t xml:space="preserve">, as it specifically notes in </w:t>
      </w:r>
      <w:r w:rsidR="00C65632">
        <w:rPr>
          <w:rFonts w:ascii="Helvetica" w:eastAsia="HGMaruGothicMPRO" w:hAnsi="Helvetica" w:cs="Helvetica"/>
          <w:lang w:val="en-GB"/>
        </w:rPr>
        <w:t>its</w:t>
      </w:r>
      <w:r w:rsidR="00CC47FF" w:rsidRPr="008A3778">
        <w:rPr>
          <w:rFonts w:ascii="Helvetica" w:eastAsia="HGMaruGothicMPRO" w:hAnsi="Helvetica" w:cs="Helvetica"/>
          <w:lang w:val="en-GB"/>
        </w:rPr>
        <w:t xml:space="preserve"> judgement,</w:t>
      </w:r>
      <w:r w:rsidR="006366D1" w:rsidRPr="008A3778">
        <w:rPr>
          <w:rFonts w:ascii="Helvetica" w:eastAsia="HGMaruGothicMPRO" w:hAnsi="Helvetica" w:cs="Helvetica"/>
          <w:lang w:val="en-GB"/>
        </w:rPr>
        <w:t xml:space="preserve"> was not required to concern itself</w:t>
      </w:r>
      <w:r w:rsidR="006366D1" w:rsidRPr="008A3778">
        <w:rPr>
          <w:rFonts w:ascii="Helvetica" w:hAnsi="Helvetica" w:cs="Helvetica"/>
          <w:color w:val="2C3E50"/>
          <w:shd w:val="clear" w:color="auto" w:fill="FFFFFF"/>
          <w:lang w:val="en-GB"/>
        </w:rPr>
        <w:t xml:space="preserve"> </w:t>
      </w:r>
      <w:r w:rsidR="006366D1" w:rsidRPr="008A3778">
        <w:rPr>
          <w:rFonts w:ascii="Helvetica" w:eastAsia="HGMaruGothicMPRO" w:hAnsi="Helvetica" w:cs="Helvetica"/>
          <w:lang w:val="en-GB"/>
        </w:rPr>
        <w:t>with the position before the pension interest became due.</w:t>
      </w:r>
      <w:r w:rsidR="00F90EB1" w:rsidRPr="008A3778">
        <w:rPr>
          <w:rFonts w:ascii="Helvetica" w:eastAsia="HGMaruGothicMPRO" w:hAnsi="Helvetica" w:cs="Helvetica"/>
          <w:lang w:val="en-GB"/>
        </w:rPr>
        <w:t xml:space="preserve"> Accordingly</w:t>
      </w:r>
      <w:r w:rsidR="00CD5410" w:rsidRPr="008A3778">
        <w:rPr>
          <w:rFonts w:ascii="Helvetica" w:eastAsia="HGMaruGothicMPRO" w:hAnsi="Helvetica" w:cs="Helvetica"/>
          <w:lang w:val="en-GB"/>
        </w:rPr>
        <w:t>,</w:t>
      </w:r>
      <w:r w:rsidR="005D42D7" w:rsidRPr="008A3778">
        <w:rPr>
          <w:rFonts w:ascii="Helvetica" w:eastAsia="HGMaruGothicMPRO" w:hAnsi="Helvetica" w:cs="Helvetica"/>
          <w:lang w:val="en-GB"/>
        </w:rPr>
        <w:t xml:space="preserve"> the decision</w:t>
      </w:r>
      <w:r w:rsidR="003B2321" w:rsidRPr="008A3778">
        <w:rPr>
          <w:rFonts w:ascii="Helvetica" w:eastAsia="HGMaruGothicMPRO" w:hAnsi="Helvetica" w:cs="Helvetica"/>
          <w:lang w:val="en-GB"/>
        </w:rPr>
        <w:t xml:space="preserve"> in </w:t>
      </w:r>
      <w:r w:rsidR="003B2321" w:rsidRPr="008A3778">
        <w:rPr>
          <w:rFonts w:ascii="Helvetica" w:eastAsia="HGMaruGothicMPRO" w:hAnsi="Helvetica" w:cs="Helvetica"/>
          <w:b/>
          <w:bCs/>
          <w:lang w:val="en-GB"/>
        </w:rPr>
        <w:t>De Kock v Jacobson</w:t>
      </w:r>
      <w:r w:rsidR="005D42D7" w:rsidRPr="008A3778">
        <w:rPr>
          <w:rFonts w:ascii="Helvetica" w:eastAsia="HGMaruGothicMPRO" w:hAnsi="Helvetica" w:cs="Helvetica"/>
          <w:lang w:val="en-GB"/>
        </w:rPr>
        <w:t xml:space="preserve"> is distinguishable because</w:t>
      </w:r>
      <w:r w:rsidR="005D42D7" w:rsidRPr="008A3778">
        <w:rPr>
          <w:rFonts w:ascii="Helvetica" w:hAnsi="Helvetica" w:cs="Helvetica"/>
          <w:color w:val="2C3E50"/>
          <w:shd w:val="clear" w:color="auto" w:fill="FFFFFF"/>
          <w:lang w:val="en-GB"/>
        </w:rPr>
        <w:t xml:space="preserve"> </w:t>
      </w:r>
      <w:r w:rsidR="005D42D7" w:rsidRPr="008A3778">
        <w:rPr>
          <w:rFonts w:ascii="Helvetica" w:eastAsia="HGMaruGothicMPRO" w:hAnsi="Helvetica" w:cs="Helvetica"/>
          <w:lang w:val="en-GB"/>
        </w:rPr>
        <w:t>the applicant there was a member of the Sasol pension fund prior to his retirement and he ceased being such a member upon his retirement</w:t>
      </w:r>
      <w:r w:rsidR="00B85718" w:rsidRPr="008A3778">
        <w:rPr>
          <w:rFonts w:ascii="Helvetica" w:eastAsia="Times New Roman" w:hAnsi="Helvetica" w:cs="Helvetica"/>
          <w:lang w:val="en-GB" w:eastAsia="en-GB"/>
        </w:rPr>
        <w:t xml:space="preserve"> and his pension interest was converted </w:t>
      </w:r>
      <w:r w:rsidR="00C65632">
        <w:rPr>
          <w:rFonts w:ascii="Helvetica" w:eastAsia="Times New Roman" w:hAnsi="Helvetica" w:cs="Helvetica"/>
          <w:lang w:val="en-GB" w:eastAsia="en-GB"/>
        </w:rPr>
        <w:t xml:space="preserve">to </w:t>
      </w:r>
      <w:r w:rsidR="00B85718" w:rsidRPr="008A3778">
        <w:rPr>
          <w:rFonts w:ascii="Helvetica" w:eastAsia="Times New Roman" w:hAnsi="Helvetica" w:cs="Helvetica"/>
          <w:lang w:val="en-GB" w:eastAsia="en-GB"/>
        </w:rPr>
        <w:t>a pension</w:t>
      </w:r>
      <w:r w:rsidR="008F6DE2" w:rsidRPr="008A3778">
        <w:rPr>
          <w:rFonts w:ascii="Helvetica" w:eastAsia="HGMaruGothicMPRO" w:hAnsi="Helvetica" w:cs="Helvetica"/>
          <w:lang w:val="en-GB"/>
        </w:rPr>
        <w:t xml:space="preserve"> which he was receiving at the time.</w:t>
      </w:r>
      <w:r w:rsidR="005D42D7" w:rsidRPr="008A3778">
        <w:rPr>
          <w:rFonts w:ascii="Helvetica" w:eastAsia="HGMaruGothicMPRO" w:hAnsi="Helvetica" w:cs="Helvetica"/>
          <w:lang w:val="en-GB"/>
        </w:rPr>
        <w:t xml:space="preserve"> In the present instance, as detailed below, the time at which Mr. Collatz </w:t>
      </w:r>
      <w:r w:rsidR="003B2321" w:rsidRPr="008A3778">
        <w:rPr>
          <w:rFonts w:ascii="Helvetica" w:eastAsia="HGMaruGothicMPRO" w:hAnsi="Helvetica" w:cs="Helvetica"/>
          <w:lang w:val="en-GB"/>
        </w:rPr>
        <w:t xml:space="preserve">ceased being a member of the ninth respondent’s provident fund is paramount. </w:t>
      </w:r>
      <w:r w:rsidR="00946A7B" w:rsidRPr="008A3778">
        <w:rPr>
          <w:rFonts w:ascii="Helvetica" w:eastAsia="HGMaruGothicMPRO" w:hAnsi="Helvetica" w:cs="Helvetica"/>
          <w:lang w:val="en-GB"/>
        </w:rPr>
        <w:t xml:space="preserve">Mr. Collatz only ceased being a member </w:t>
      </w:r>
      <w:r w:rsidR="00C65632">
        <w:rPr>
          <w:rFonts w:ascii="Helvetica" w:eastAsia="HGMaruGothicMPRO" w:hAnsi="Helvetica" w:cs="Helvetica"/>
          <w:lang w:val="en-GB"/>
        </w:rPr>
        <w:t>on</w:t>
      </w:r>
      <w:r w:rsidR="00946A7B" w:rsidRPr="008A3778">
        <w:rPr>
          <w:rFonts w:ascii="Helvetica" w:eastAsia="HGMaruGothicMPRO" w:hAnsi="Helvetica" w:cs="Helvetica"/>
          <w:lang w:val="en-GB"/>
        </w:rPr>
        <w:t xml:space="preserve"> the</w:t>
      </w:r>
      <w:r w:rsidR="00C65632">
        <w:rPr>
          <w:rFonts w:ascii="Helvetica" w:eastAsia="HGMaruGothicMPRO" w:hAnsi="Helvetica" w:cs="Helvetica"/>
          <w:lang w:val="en-GB"/>
        </w:rPr>
        <w:t xml:space="preserve"> transfer of the</w:t>
      </w:r>
      <w:r w:rsidR="00946A7B" w:rsidRPr="008A3778">
        <w:rPr>
          <w:rFonts w:ascii="Helvetica" w:eastAsia="HGMaruGothicMPRO" w:hAnsi="Helvetica" w:cs="Helvetica"/>
          <w:lang w:val="en-GB"/>
        </w:rPr>
        <w:t xml:space="preserve"> withdrawal benefit to the annuity fund. </w:t>
      </w:r>
      <w:r w:rsidR="003B2321" w:rsidRPr="008A3778">
        <w:rPr>
          <w:rFonts w:ascii="Helvetica" w:eastAsia="HGMaruGothicMPRO" w:hAnsi="Helvetica" w:cs="Helvetica"/>
          <w:lang w:val="en-GB"/>
        </w:rPr>
        <w:t xml:space="preserve"> </w:t>
      </w:r>
    </w:p>
    <w:p w14:paraId="7C13E6CC" w14:textId="133EDEBF" w:rsidR="003024BE" w:rsidRPr="008A3778" w:rsidRDefault="00A57295"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decision</w:t>
      </w:r>
      <w:r w:rsidR="000659B0" w:rsidRPr="008A3778">
        <w:rPr>
          <w:rFonts w:ascii="Helvetica" w:eastAsia="HGMaruGothicMPRO" w:hAnsi="Helvetica" w:cs="Helvetica"/>
          <w:lang w:val="en-GB"/>
        </w:rPr>
        <w:t xml:space="preserve"> in </w:t>
      </w:r>
      <w:r w:rsidR="000659B0" w:rsidRPr="008A3778">
        <w:rPr>
          <w:rFonts w:ascii="Helvetica" w:eastAsia="HGMaruGothicMPRO" w:hAnsi="Helvetica" w:cs="Helvetica"/>
          <w:b/>
          <w:bCs/>
          <w:lang w:val="en-GB"/>
        </w:rPr>
        <w:t>De Kock v Jacobson</w:t>
      </w:r>
      <w:r w:rsidRPr="008A3778">
        <w:rPr>
          <w:rFonts w:ascii="Helvetica" w:eastAsia="HGMaruGothicMPRO" w:hAnsi="Helvetica" w:cs="Helvetica"/>
          <w:lang w:val="en-GB"/>
        </w:rPr>
        <w:t xml:space="preserve"> is</w:t>
      </w:r>
      <w:r w:rsidR="00F54FA9" w:rsidRPr="008A3778">
        <w:rPr>
          <w:rFonts w:ascii="Helvetica" w:eastAsia="HGMaruGothicMPRO" w:hAnsi="Helvetica" w:cs="Helvetica"/>
          <w:lang w:val="en-GB"/>
        </w:rPr>
        <w:t xml:space="preserve"> furthermore </w:t>
      </w:r>
      <w:r w:rsidRPr="008A3778">
        <w:rPr>
          <w:rFonts w:ascii="Helvetica" w:eastAsia="HGMaruGothicMPRO" w:hAnsi="Helvetica" w:cs="Helvetica"/>
          <w:lang w:val="en-GB"/>
        </w:rPr>
        <w:t>distinguishable because</w:t>
      </w:r>
      <w:r w:rsidR="00F54FA9" w:rsidRPr="008A3778">
        <w:rPr>
          <w:rFonts w:ascii="Helvetica" w:eastAsia="HGMaruGothicMPRO" w:hAnsi="Helvetica" w:cs="Helvetica"/>
          <w:lang w:val="en-GB"/>
        </w:rPr>
        <w:t xml:space="preserve"> the court</w:t>
      </w:r>
      <w:r w:rsidR="00D86CF1" w:rsidRPr="008A3778">
        <w:rPr>
          <w:rFonts w:ascii="Helvetica" w:eastAsia="HGMaruGothicMPRO" w:hAnsi="Helvetica" w:cs="Helvetica"/>
          <w:lang w:val="en-GB"/>
        </w:rPr>
        <w:t>’</w:t>
      </w:r>
      <w:r w:rsidR="00F54FA9" w:rsidRPr="008A3778">
        <w:rPr>
          <w:rFonts w:ascii="Helvetica" w:eastAsia="HGMaruGothicMPRO" w:hAnsi="Helvetica" w:cs="Helvetica"/>
          <w:lang w:val="en-GB"/>
        </w:rPr>
        <w:t>s</w:t>
      </w:r>
      <w:r w:rsidR="005164BB" w:rsidRPr="008A3778">
        <w:rPr>
          <w:rFonts w:ascii="Helvetica" w:eastAsia="HGMaruGothicMPRO" w:hAnsi="Helvetica" w:cs="Helvetica"/>
          <w:lang w:val="en-GB"/>
        </w:rPr>
        <w:t xml:space="preserve"> determination</w:t>
      </w:r>
      <w:r w:rsidR="00F90EB1" w:rsidRPr="008A3778">
        <w:rPr>
          <w:rFonts w:ascii="Helvetica" w:eastAsia="HGMaruGothicMPRO" w:hAnsi="Helvetica" w:cs="Helvetica"/>
          <w:lang w:val="en-GB"/>
        </w:rPr>
        <w:t xml:space="preserve"> is</w:t>
      </w:r>
      <w:r w:rsidR="005164BB" w:rsidRPr="008A3778">
        <w:rPr>
          <w:rFonts w:ascii="Helvetica" w:eastAsia="HGMaruGothicMPRO" w:hAnsi="Helvetica" w:cs="Helvetica"/>
          <w:lang w:val="en-GB"/>
        </w:rPr>
        <w:t xml:space="preserve"> </w:t>
      </w:r>
      <w:r w:rsidR="00F90EB1" w:rsidRPr="008A3778">
        <w:rPr>
          <w:rFonts w:ascii="Helvetica" w:eastAsia="HGMaruGothicMPRO" w:hAnsi="Helvetica" w:cs="Helvetica"/>
          <w:lang w:val="en-GB"/>
        </w:rPr>
        <w:t xml:space="preserve">made </w:t>
      </w:r>
      <w:r w:rsidR="00F54FA9" w:rsidRPr="008A3778">
        <w:rPr>
          <w:rFonts w:ascii="Helvetica" w:eastAsia="HGMaruGothicMPRO" w:hAnsi="Helvetica" w:cs="Helvetica"/>
          <w:lang w:val="en-GB"/>
        </w:rPr>
        <w:t xml:space="preserve">within the ambit and context of the Divorce Act, 1979. </w:t>
      </w:r>
      <w:r w:rsidR="00555949" w:rsidRPr="008A3778">
        <w:rPr>
          <w:rFonts w:ascii="Helvetica" w:eastAsia="HGMaruGothicMPRO" w:hAnsi="Helvetica" w:cs="Helvetica"/>
          <w:lang w:val="en-GB"/>
        </w:rPr>
        <w:t xml:space="preserve">The court was concerned with the patrimonial </w:t>
      </w:r>
      <w:r w:rsidR="003C7641" w:rsidRPr="008A3778">
        <w:rPr>
          <w:rFonts w:ascii="Helvetica" w:eastAsia="HGMaruGothicMPRO" w:hAnsi="Helvetica" w:cs="Helvetica"/>
          <w:lang w:val="en-GB"/>
        </w:rPr>
        <w:t>consequences</w:t>
      </w:r>
      <w:r w:rsidR="00F90EB1" w:rsidRPr="008A3778">
        <w:rPr>
          <w:rFonts w:ascii="Helvetica" w:eastAsia="HGMaruGothicMPRO" w:hAnsi="Helvetica" w:cs="Helvetica"/>
          <w:lang w:val="en-GB"/>
        </w:rPr>
        <w:t>,</w:t>
      </w:r>
      <w:r w:rsidR="003C7641" w:rsidRPr="008A3778">
        <w:rPr>
          <w:rFonts w:ascii="Helvetica" w:eastAsia="HGMaruGothicMPRO" w:hAnsi="Helvetica" w:cs="Helvetica"/>
          <w:lang w:val="en-GB"/>
        </w:rPr>
        <w:t xml:space="preserve"> and</w:t>
      </w:r>
      <w:r w:rsidR="0093095F" w:rsidRPr="008A3778">
        <w:rPr>
          <w:rFonts w:ascii="Helvetica" w:eastAsia="HGMaruGothicMPRO" w:hAnsi="Helvetica" w:cs="Helvetica"/>
          <w:lang w:val="en-GB"/>
        </w:rPr>
        <w:t xml:space="preserve"> </w:t>
      </w:r>
      <w:r w:rsidR="00FF45BE">
        <w:rPr>
          <w:rFonts w:ascii="Helvetica" w:eastAsia="HGMaruGothicMPRO" w:hAnsi="Helvetica" w:cs="Helvetica"/>
          <w:lang w:val="en-GB"/>
        </w:rPr>
        <w:t xml:space="preserve">division </w:t>
      </w:r>
      <w:r w:rsidR="0093095F" w:rsidRPr="008A3778">
        <w:rPr>
          <w:rFonts w:ascii="Helvetica" w:eastAsia="HGMaruGothicMPRO" w:hAnsi="Helvetica" w:cs="Helvetica"/>
          <w:lang w:val="en-GB"/>
        </w:rPr>
        <w:t xml:space="preserve">of </w:t>
      </w:r>
      <w:r w:rsidR="00E7199F" w:rsidRPr="008A3778">
        <w:rPr>
          <w:rFonts w:ascii="Helvetica" w:eastAsia="HGMaruGothicMPRO" w:hAnsi="Helvetica" w:cs="Helvetica"/>
          <w:lang w:val="en-GB"/>
        </w:rPr>
        <w:t xml:space="preserve">assets </w:t>
      </w:r>
      <w:r w:rsidR="00C65632">
        <w:rPr>
          <w:rFonts w:ascii="Helvetica" w:eastAsia="HGMaruGothicMPRO" w:hAnsi="Helvetica" w:cs="Helvetica"/>
          <w:lang w:val="en-GB"/>
        </w:rPr>
        <w:t xml:space="preserve">between </w:t>
      </w:r>
      <w:r w:rsidR="00C65632">
        <w:rPr>
          <w:rFonts w:ascii="Helvetica" w:eastAsia="HGMaruGothicMPRO" w:hAnsi="Helvetica" w:cs="Helvetica"/>
          <w:lang w:val="en-GB"/>
        </w:rPr>
        <w:lastRenderedPageBreak/>
        <w:t xml:space="preserve">divorcing </w:t>
      </w:r>
      <w:r w:rsidR="00E7199F" w:rsidRPr="008A3778">
        <w:rPr>
          <w:rFonts w:ascii="Helvetica" w:eastAsia="HGMaruGothicMPRO" w:hAnsi="Helvetica" w:cs="Helvetica"/>
          <w:lang w:val="en-GB"/>
        </w:rPr>
        <w:t>spouses.</w:t>
      </w:r>
      <w:r w:rsidR="00555949" w:rsidRPr="008A3778">
        <w:rPr>
          <w:rFonts w:ascii="Helvetica" w:eastAsia="HGMaruGothicMPRO" w:hAnsi="Helvetica" w:cs="Helvetica"/>
          <w:lang w:val="en-GB"/>
        </w:rPr>
        <w:t xml:space="preserve"> </w:t>
      </w:r>
      <w:r w:rsidR="00F54FA9" w:rsidRPr="008A3778">
        <w:rPr>
          <w:rFonts w:ascii="Helvetica" w:eastAsia="HGMaruGothicMPRO" w:hAnsi="Helvetica" w:cs="Helvetica"/>
          <w:lang w:val="en-GB"/>
        </w:rPr>
        <w:t>Mr. and Ms. Collatz</w:t>
      </w:r>
      <w:r w:rsidR="00717A37">
        <w:rPr>
          <w:rFonts w:ascii="Helvetica" w:eastAsia="HGMaruGothicMPRO" w:hAnsi="Helvetica" w:cs="Helvetica"/>
          <w:lang w:val="en-GB"/>
        </w:rPr>
        <w:t>’</w:t>
      </w:r>
      <w:r w:rsidR="000659B0" w:rsidRPr="008A3778">
        <w:rPr>
          <w:rFonts w:ascii="Helvetica" w:eastAsia="HGMaruGothicMPRO" w:hAnsi="Helvetica" w:cs="Helvetica"/>
          <w:lang w:val="en-GB"/>
        </w:rPr>
        <w:t>s</w:t>
      </w:r>
      <w:r w:rsidR="002D0F8C" w:rsidRPr="008A3778">
        <w:rPr>
          <w:rFonts w:ascii="Helvetica" w:eastAsia="HGMaruGothicMPRO" w:hAnsi="Helvetica" w:cs="Helvetica"/>
          <w:lang w:val="en-GB"/>
        </w:rPr>
        <w:t xml:space="preserve"> marriage</w:t>
      </w:r>
      <w:r w:rsidR="00E7199F" w:rsidRPr="008A3778">
        <w:rPr>
          <w:rFonts w:ascii="Helvetica" w:eastAsia="HGMaruGothicMPRO" w:hAnsi="Helvetica" w:cs="Helvetica"/>
          <w:lang w:val="en-GB"/>
        </w:rPr>
        <w:t xml:space="preserve"> however</w:t>
      </w:r>
      <w:r w:rsidR="002D0F8C" w:rsidRPr="008A3778">
        <w:rPr>
          <w:rFonts w:ascii="Helvetica" w:eastAsia="HGMaruGothicMPRO" w:hAnsi="Helvetica" w:cs="Helvetica"/>
          <w:lang w:val="en-GB"/>
        </w:rPr>
        <w:t xml:space="preserve"> terminated, not because of divorce, but because of Mr. Collatz</w:t>
      </w:r>
      <w:r w:rsidR="0075210E" w:rsidRPr="008A3778">
        <w:rPr>
          <w:rFonts w:ascii="Helvetica" w:eastAsia="HGMaruGothicMPRO" w:hAnsi="Helvetica" w:cs="Helvetica"/>
          <w:lang w:val="en-GB"/>
        </w:rPr>
        <w:t>’s</w:t>
      </w:r>
      <w:r w:rsidR="002D0F8C" w:rsidRPr="008A3778">
        <w:rPr>
          <w:rFonts w:ascii="Helvetica" w:eastAsia="HGMaruGothicMPRO" w:hAnsi="Helvetica" w:cs="Helvetica"/>
          <w:lang w:val="en-GB"/>
        </w:rPr>
        <w:t xml:space="preserve"> death. </w:t>
      </w:r>
    </w:p>
    <w:p w14:paraId="0A20EC16" w14:textId="52E73B3C" w:rsidR="006A3763" w:rsidRPr="008A3778" w:rsidRDefault="000D6B71"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w:t>
      </w:r>
      <w:r w:rsidR="00C40D4D">
        <w:rPr>
          <w:rFonts w:ascii="Helvetica" w:eastAsia="HGMaruGothicMPRO" w:hAnsi="Helvetica" w:cs="Helvetica"/>
          <w:lang w:val="en-GB"/>
        </w:rPr>
        <w:t>appellants</w:t>
      </w:r>
      <w:r w:rsidRPr="008A3778">
        <w:rPr>
          <w:rFonts w:ascii="Helvetica" w:eastAsia="HGMaruGothicMPRO" w:hAnsi="Helvetica" w:cs="Helvetica"/>
          <w:lang w:val="en-GB"/>
        </w:rPr>
        <w:t xml:space="preserve">’ reliance upon </w:t>
      </w:r>
      <w:r w:rsidR="005054BD" w:rsidRPr="008A3778">
        <w:rPr>
          <w:rFonts w:ascii="Helvetica" w:eastAsia="HGMaruGothicMPRO" w:hAnsi="Helvetica" w:cs="Helvetica"/>
          <w:lang w:val="en-GB"/>
        </w:rPr>
        <w:t xml:space="preserve">the decision in </w:t>
      </w:r>
      <w:r w:rsidR="006A3763" w:rsidRPr="008A3778">
        <w:rPr>
          <w:rFonts w:ascii="Helvetica" w:eastAsia="HGMaruGothicMPRO" w:hAnsi="Helvetica" w:cs="Helvetica"/>
          <w:b/>
          <w:bCs/>
          <w:lang w:val="en-GB"/>
        </w:rPr>
        <w:t>Commissioner for Inland Revenue v Nolan's Estate</w:t>
      </w:r>
      <w:r w:rsidR="005054BD" w:rsidRPr="008A3778">
        <w:rPr>
          <w:rStyle w:val="FootnoteReference"/>
          <w:rFonts w:ascii="Helvetica" w:eastAsia="HGMaruGothicMPRO" w:hAnsi="Helvetica" w:cs="Helvetica"/>
          <w:lang w:val="en-GB"/>
        </w:rPr>
        <w:footnoteReference w:id="60"/>
      </w:r>
      <w:r w:rsidR="006A3763" w:rsidRPr="008A3778">
        <w:rPr>
          <w:rFonts w:ascii="Helvetica" w:eastAsia="HGMaruGothicMPRO" w:hAnsi="Helvetica" w:cs="Helvetica"/>
          <w:lang w:val="en-GB"/>
        </w:rPr>
        <w:t xml:space="preserve"> </w:t>
      </w:r>
      <w:r w:rsidR="005054BD" w:rsidRPr="008A3778">
        <w:rPr>
          <w:rFonts w:ascii="Helvetica" w:eastAsia="HGMaruGothicMPRO" w:hAnsi="Helvetica" w:cs="Helvetica"/>
          <w:lang w:val="en-GB"/>
        </w:rPr>
        <w:t xml:space="preserve">is equally misplaced. </w:t>
      </w:r>
      <w:r w:rsidR="004D7D85" w:rsidRPr="008A3778">
        <w:rPr>
          <w:rFonts w:ascii="Helvetica" w:eastAsia="HGMaruGothicMPRO" w:hAnsi="Helvetica" w:cs="Helvetica"/>
          <w:lang w:val="en-GB"/>
        </w:rPr>
        <w:t>This decision is distinguishable</w:t>
      </w:r>
      <w:r w:rsidR="008A3FEE" w:rsidRPr="008A3778">
        <w:rPr>
          <w:rFonts w:ascii="Helvetica" w:eastAsia="HGMaruGothicMPRO" w:hAnsi="Helvetica" w:cs="Helvetica"/>
          <w:lang w:val="en-GB"/>
        </w:rPr>
        <w:t xml:space="preserve"> on its facts and the applicable legislation</w:t>
      </w:r>
      <w:r w:rsidR="004D7D85" w:rsidRPr="008A3778">
        <w:rPr>
          <w:rFonts w:ascii="Helvetica" w:eastAsia="HGMaruGothicMPRO" w:hAnsi="Helvetica" w:cs="Helvetica"/>
          <w:lang w:val="en-GB"/>
        </w:rPr>
        <w:t xml:space="preserve">. </w:t>
      </w:r>
      <w:r w:rsidR="00F90EB1" w:rsidRPr="008A3778">
        <w:rPr>
          <w:rFonts w:ascii="Helvetica" w:eastAsia="HGMaruGothicMPRO" w:hAnsi="Helvetica" w:cs="Helvetica"/>
          <w:lang w:val="en-GB"/>
        </w:rPr>
        <w:t xml:space="preserve">Here the </w:t>
      </w:r>
      <w:r w:rsidR="0061343A" w:rsidRPr="008A3778">
        <w:rPr>
          <w:rFonts w:ascii="Helvetica" w:eastAsia="HGMaruGothicMPRO" w:hAnsi="Helvetica" w:cs="Helvetica"/>
          <w:lang w:val="en-GB"/>
        </w:rPr>
        <w:t>court concerned itself</w:t>
      </w:r>
      <w:r w:rsidR="00544833" w:rsidRPr="008A3778">
        <w:rPr>
          <w:rFonts w:ascii="Helvetica" w:hAnsi="Helvetica" w:cs="Helvetica"/>
          <w:color w:val="2C3E50"/>
          <w:shd w:val="clear" w:color="auto" w:fill="FFFFFF"/>
          <w:lang w:val="en-GB"/>
        </w:rPr>
        <w:t xml:space="preserve"> </w:t>
      </w:r>
      <w:r w:rsidR="00544833" w:rsidRPr="008A3778">
        <w:rPr>
          <w:rFonts w:ascii="Helvetica" w:eastAsia="HGMaruGothicMPRO" w:hAnsi="Helvetica" w:cs="Helvetica"/>
          <w:lang w:val="en-GB"/>
        </w:rPr>
        <w:t xml:space="preserve">with </w:t>
      </w:r>
      <w:r w:rsidR="0043368C" w:rsidRPr="008A3778">
        <w:rPr>
          <w:rFonts w:ascii="Helvetica" w:eastAsia="HGMaruGothicMPRO" w:hAnsi="Helvetica" w:cs="Helvetica"/>
          <w:lang w:val="en-GB"/>
        </w:rPr>
        <w:t xml:space="preserve">the fate of an annuity enjoyed jointly </w:t>
      </w:r>
      <w:r w:rsidR="004D7D85" w:rsidRPr="008A3778">
        <w:rPr>
          <w:rFonts w:ascii="Helvetica" w:eastAsia="HGMaruGothicMPRO" w:hAnsi="Helvetica" w:cs="Helvetica"/>
          <w:lang w:val="en-GB"/>
        </w:rPr>
        <w:t xml:space="preserve">during his lifetime </w:t>
      </w:r>
      <w:r w:rsidR="0043368C" w:rsidRPr="008A3778">
        <w:rPr>
          <w:rFonts w:ascii="Helvetica" w:eastAsia="HGMaruGothicMPRO" w:hAnsi="Helvetica" w:cs="Helvetica"/>
          <w:lang w:val="en-GB"/>
        </w:rPr>
        <w:t>by the deceased and his wife</w:t>
      </w:r>
      <w:r w:rsidR="004F290D" w:rsidRPr="008A3778">
        <w:rPr>
          <w:rFonts w:ascii="Helvetica" w:eastAsia="HGMaruGothicMPRO" w:hAnsi="Helvetica" w:cs="Helvetica"/>
          <w:lang w:val="en-GB"/>
        </w:rPr>
        <w:t>,</w:t>
      </w:r>
      <w:r w:rsidR="0043368C" w:rsidRPr="008A3778">
        <w:rPr>
          <w:rFonts w:ascii="Helvetica" w:eastAsia="HGMaruGothicMPRO" w:hAnsi="Helvetica" w:cs="Helvetica"/>
          <w:lang w:val="en-GB"/>
        </w:rPr>
        <w:t xml:space="preserve"> </w:t>
      </w:r>
      <w:r w:rsidR="004F290D" w:rsidRPr="008A3778">
        <w:rPr>
          <w:rFonts w:ascii="Helvetica" w:eastAsia="HGMaruGothicMPRO" w:hAnsi="Helvetica" w:cs="Helvetica"/>
          <w:lang w:val="en-GB"/>
        </w:rPr>
        <w:t>who</w:t>
      </w:r>
      <w:r w:rsidR="00F90EB1" w:rsidRPr="008A3778">
        <w:rPr>
          <w:rFonts w:ascii="Helvetica" w:eastAsia="HGMaruGothicMPRO" w:hAnsi="Helvetica" w:cs="Helvetica"/>
          <w:lang w:val="en-GB"/>
        </w:rPr>
        <w:t xml:space="preserve"> </w:t>
      </w:r>
      <w:r w:rsidR="004F290D" w:rsidRPr="008A3778">
        <w:rPr>
          <w:rFonts w:ascii="Helvetica" w:eastAsia="HGMaruGothicMPRO" w:hAnsi="Helvetica" w:cs="Helvetica"/>
          <w:lang w:val="en-GB"/>
        </w:rPr>
        <w:t xml:space="preserve">were married in community of property, </w:t>
      </w:r>
      <w:r w:rsidR="0043368C" w:rsidRPr="008A3778">
        <w:rPr>
          <w:rFonts w:ascii="Helvetica" w:eastAsia="HGMaruGothicMPRO" w:hAnsi="Helvetica" w:cs="Helvetica"/>
          <w:lang w:val="en-GB"/>
        </w:rPr>
        <w:t>and enjoyed</w:t>
      </w:r>
      <w:r w:rsidR="004F290D" w:rsidRPr="008A3778">
        <w:rPr>
          <w:rFonts w:ascii="Helvetica" w:eastAsia="HGMaruGothicMPRO" w:hAnsi="Helvetica" w:cs="Helvetica"/>
          <w:lang w:val="en-GB"/>
        </w:rPr>
        <w:t xml:space="preserve"> by her</w:t>
      </w:r>
      <w:r w:rsidR="0043368C" w:rsidRPr="008A3778">
        <w:rPr>
          <w:rFonts w:ascii="Helvetica" w:eastAsia="HGMaruGothicMPRO" w:hAnsi="Helvetica" w:cs="Helvetica"/>
          <w:lang w:val="en-GB"/>
        </w:rPr>
        <w:t xml:space="preserve"> after his death</w:t>
      </w:r>
      <w:r w:rsidR="004F290D" w:rsidRPr="008A3778">
        <w:rPr>
          <w:rFonts w:ascii="Helvetica" w:eastAsia="HGMaruGothicMPRO" w:hAnsi="Helvetica" w:cs="Helvetica"/>
          <w:lang w:val="en-GB"/>
        </w:rPr>
        <w:t xml:space="preserve">. </w:t>
      </w:r>
      <w:r w:rsidR="008A3FEE" w:rsidRPr="008A3778">
        <w:rPr>
          <w:rFonts w:ascii="Helvetica" w:eastAsia="HGMaruGothicMPRO" w:hAnsi="Helvetica" w:cs="Helvetica"/>
          <w:lang w:val="en-GB"/>
        </w:rPr>
        <w:t>The annuity which commenced on the deceased retirement</w:t>
      </w:r>
      <w:r w:rsidR="004E7819">
        <w:rPr>
          <w:rFonts w:ascii="Helvetica" w:eastAsia="HGMaruGothicMPRO" w:hAnsi="Helvetica" w:cs="Helvetica"/>
          <w:lang w:val="en-GB"/>
        </w:rPr>
        <w:t>,</w:t>
      </w:r>
      <w:r w:rsidR="008A3FEE" w:rsidRPr="008A3778">
        <w:rPr>
          <w:rFonts w:ascii="Helvetica" w:eastAsia="HGMaruGothicMPRO" w:hAnsi="Helvetica" w:cs="Helvetica"/>
          <w:lang w:val="en-GB"/>
        </w:rPr>
        <w:t xml:space="preserve"> and would continue after his death</w:t>
      </w:r>
      <w:r w:rsidR="004E7819">
        <w:rPr>
          <w:rFonts w:ascii="Helvetica" w:eastAsia="HGMaruGothicMPRO" w:hAnsi="Helvetica" w:cs="Helvetica"/>
          <w:lang w:val="en-GB"/>
        </w:rPr>
        <w:t>,</w:t>
      </w:r>
      <w:r w:rsidR="008A3FEE" w:rsidRPr="008A3778">
        <w:rPr>
          <w:rFonts w:ascii="Helvetica" w:eastAsia="HGMaruGothicMPRO" w:hAnsi="Helvetica" w:cs="Helvetica"/>
          <w:lang w:val="en-GB"/>
        </w:rPr>
        <w:t xml:space="preserve"> was referred to as a “</w:t>
      </w:r>
      <w:r w:rsidR="008A3FEE" w:rsidRPr="008A3778">
        <w:rPr>
          <w:rFonts w:ascii="Helvetica" w:eastAsia="HGMaruGothicMPRO" w:hAnsi="Helvetica" w:cs="Helvetica"/>
          <w:i/>
          <w:iCs/>
          <w:lang w:val="en-GB"/>
        </w:rPr>
        <w:t>joint and survivorship annuity</w:t>
      </w:r>
      <w:r w:rsidR="008A3FEE" w:rsidRPr="008A3778">
        <w:rPr>
          <w:rFonts w:ascii="Helvetica" w:eastAsia="HGMaruGothicMPRO" w:hAnsi="Helvetica" w:cs="Helvetica"/>
          <w:lang w:val="en-GB"/>
        </w:rPr>
        <w:t xml:space="preserve">”. </w:t>
      </w:r>
      <w:r w:rsidR="004D7D85" w:rsidRPr="008A3778">
        <w:rPr>
          <w:rFonts w:ascii="Helvetica" w:eastAsia="HGMaruGothicMPRO" w:hAnsi="Helvetica" w:cs="Helvetica"/>
          <w:lang w:val="en-GB"/>
        </w:rPr>
        <w:t>The court was asked to determine</w:t>
      </w:r>
      <w:r w:rsidR="00803F04" w:rsidRPr="008A3778">
        <w:rPr>
          <w:rFonts w:ascii="Helvetica" w:eastAsia="HGMaruGothicMPRO" w:hAnsi="Helvetica" w:cs="Helvetica"/>
          <w:lang w:val="en-GB"/>
        </w:rPr>
        <w:t>, within the context of the Estate Duty Act, 1955, whether</w:t>
      </w:r>
      <w:r w:rsidR="004D7D85" w:rsidRPr="008A3778">
        <w:rPr>
          <w:rFonts w:ascii="Helvetica" w:eastAsia="HGMaruGothicMPRO" w:hAnsi="Helvetica" w:cs="Helvetica"/>
          <w:lang w:val="en-GB"/>
        </w:rPr>
        <w:t xml:space="preserve"> </w:t>
      </w:r>
      <w:r w:rsidR="00193542" w:rsidRPr="008A3778">
        <w:rPr>
          <w:rFonts w:ascii="Helvetica" w:eastAsia="HGMaruGothicMPRO" w:hAnsi="Helvetica" w:cs="Helvetica"/>
          <w:lang w:val="en-GB"/>
        </w:rPr>
        <w:t xml:space="preserve">the deceased's share of the annuity which accrued to the </w:t>
      </w:r>
      <w:r w:rsidR="00183071" w:rsidRPr="008A3778">
        <w:rPr>
          <w:rFonts w:ascii="Helvetica" w:eastAsia="HGMaruGothicMPRO" w:hAnsi="Helvetica" w:cs="Helvetica"/>
          <w:lang w:val="en-GB"/>
        </w:rPr>
        <w:t xml:space="preserve">deceased’s </w:t>
      </w:r>
      <w:r w:rsidR="00193542" w:rsidRPr="008A3778">
        <w:rPr>
          <w:rFonts w:ascii="Helvetica" w:eastAsia="HGMaruGothicMPRO" w:hAnsi="Helvetica" w:cs="Helvetica"/>
          <w:lang w:val="en-GB"/>
        </w:rPr>
        <w:t>wife was property</w:t>
      </w:r>
      <w:r w:rsidR="00507233" w:rsidRPr="008A3778">
        <w:rPr>
          <w:rFonts w:ascii="Helvetica" w:eastAsia="HGMaruGothicMPRO" w:hAnsi="Helvetica" w:cs="Helvetica"/>
          <w:lang w:val="en-GB"/>
        </w:rPr>
        <w:t xml:space="preserve"> under section 3(2)(b) of the Estate Duty Act</w:t>
      </w:r>
      <w:r w:rsidR="00183071" w:rsidRPr="008A3778">
        <w:rPr>
          <w:rFonts w:ascii="Helvetica" w:eastAsia="HGMaruGothicMPRO" w:hAnsi="Helvetica" w:cs="Helvetica"/>
          <w:lang w:val="en-GB"/>
        </w:rPr>
        <w:t xml:space="preserve">, or if the full capitalised value of the benefits accruing to </w:t>
      </w:r>
      <w:r w:rsidR="004E7819">
        <w:rPr>
          <w:rFonts w:ascii="Helvetica" w:eastAsia="HGMaruGothicMPRO" w:hAnsi="Helvetica" w:cs="Helvetica"/>
          <w:lang w:val="en-GB"/>
        </w:rPr>
        <w:t xml:space="preserve">the deceased’s </w:t>
      </w:r>
      <w:r w:rsidR="00183071" w:rsidRPr="008A3778">
        <w:rPr>
          <w:rFonts w:ascii="Helvetica" w:eastAsia="HGMaruGothicMPRO" w:hAnsi="Helvetica" w:cs="Helvetica"/>
          <w:lang w:val="en-GB"/>
        </w:rPr>
        <w:t xml:space="preserve">wife constituted the proceeds of the policy of insurance </w:t>
      </w:r>
      <w:r w:rsidR="00CF1AA6" w:rsidRPr="008A3778">
        <w:rPr>
          <w:rFonts w:ascii="Helvetica" w:eastAsia="HGMaruGothicMPRO" w:hAnsi="Helvetica" w:cs="Helvetica"/>
          <w:lang w:val="en-GB"/>
        </w:rPr>
        <w:t xml:space="preserve">on the </w:t>
      </w:r>
      <w:r w:rsidR="00183071" w:rsidRPr="008A3778">
        <w:rPr>
          <w:rFonts w:ascii="Helvetica" w:eastAsia="HGMaruGothicMPRO" w:hAnsi="Helvetica" w:cs="Helvetica"/>
          <w:lang w:val="en-GB"/>
        </w:rPr>
        <w:t>life of the deceased and fell under section 3(3)(a) of that Act.</w:t>
      </w:r>
      <w:r w:rsidR="00400416" w:rsidRPr="008A3778">
        <w:rPr>
          <w:rFonts w:ascii="Helvetica" w:eastAsia="HGMaruGothicMPRO" w:hAnsi="Helvetica" w:cs="Helvetica"/>
          <w:lang w:val="en-GB"/>
        </w:rPr>
        <w:t xml:space="preserve"> </w:t>
      </w:r>
      <w:r w:rsidR="009E5A25" w:rsidRPr="008A3778">
        <w:rPr>
          <w:rFonts w:ascii="Helvetica" w:eastAsia="HGMaruGothicMPRO" w:hAnsi="Helvetica" w:cs="Helvetica"/>
          <w:lang w:val="en-GB"/>
        </w:rPr>
        <w:t>The deceased retired on 1 February</w:t>
      </w:r>
      <w:r w:rsidR="00E024C7" w:rsidRPr="008A3778">
        <w:rPr>
          <w:rFonts w:ascii="Helvetica" w:eastAsia="HGMaruGothicMPRO" w:hAnsi="Helvetica" w:cs="Helvetica"/>
          <w:lang w:val="en-GB"/>
        </w:rPr>
        <w:t xml:space="preserve"> </w:t>
      </w:r>
      <w:r w:rsidR="009E5A25" w:rsidRPr="008A3778">
        <w:rPr>
          <w:rFonts w:ascii="Helvetica" w:eastAsia="HGMaruGothicMPRO" w:hAnsi="Helvetica" w:cs="Helvetica"/>
          <w:lang w:val="en-GB"/>
        </w:rPr>
        <w:t>1958, and he and his wife, by virtue of their marriage in community, became entitled to receive the</w:t>
      </w:r>
      <w:r w:rsidR="00F90EB1" w:rsidRPr="008A3778">
        <w:rPr>
          <w:rFonts w:ascii="Helvetica" w:eastAsia="HGMaruGothicMPRO" w:hAnsi="Helvetica" w:cs="Helvetica"/>
          <w:lang w:val="en-GB"/>
        </w:rPr>
        <w:t xml:space="preserve"> </w:t>
      </w:r>
      <w:r w:rsidR="009E5A25" w:rsidRPr="008A3778">
        <w:rPr>
          <w:rFonts w:ascii="Helvetica" w:eastAsia="HGMaruGothicMPRO" w:hAnsi="Helvetica" w:cs="Helvetica"/>
          <w:lang w:val="en-GB"/>
        </w:rPr>
        <w:t>joint annuity</w:t>
      </w:r>
      <w:r w:rsidR="00E024C7" w:rsidRPr="008A3778">
        <w:rPr>
          <w:rFonts w:ascii="Helvetica" w:eastAsia="HGMaruGothicMPRO" w:hAnsi="Helvetica" w:cs="Helvetica"/>
          <w:lang w:val="en-GB"/>
        </w:rPr>
        <w:t>. I</w:t>
      </w:r>
      <w:r w:rsidR="00400416" w:rsidRPr="008A3778">
        <w:rPr>
          <w:rFonts w:ascii="Helvetica" w:eastAsia="HGMaruGothicMPRO" w:hAnsi="Helvetica" w:cs="Helvetica"/>
          <w:lang w:val="en-GB"/>
        </w:rPr>
        <w:t xml:space="preserve">t was </w:t>
      </w:r>
      <w:r w:rsidR="00E024C7" w:rsidRPr="008A3778">
        <w:rPr>
          <w:rFonts w:ascii="Helvetica" w:eastAsia="HGMaruGothicMPRO" w:hAnsi="Helvetica" w:cs="Helvetica"/>
          <w:lang w:val="en-GB"/>
        </w:rPr>
        <w:t xml:space="preserve">therefore </w:t>
      </w:r>
      <w:r w:rsidR="00400416" w:rsidRPr="008A3778">
        <w:rPr>
          <w:rFonts w:ascii="Helvetica" w:eastAsia="HGMaruGothicMPRO" w:hAnsi="Helvetica" w:cs="Helvetica"/>
          <w:lang w:val="en-GB"/>
        </w:rPr>
        <w:t>held</w:t>
      </w:r>
      <w:r w:rsidR="00844F58" w:rsidRPr="008A3778">
        <w:rPr>
          <w:rFonts w:ascii="Helvetica" w:eastAsia="HGMaruGothicMPRO" w:hAnsi="Helvetica" w:cs="Helvetica"/>
          <w:lang w:val="en-GB"/>
        </w:rPr>
        <w:t>,</w:t>
      </w:r>
      <w:r w:rsidR="00400416" w:rsidRPr="008A3778">
        <w:rPr>
          <w:rFonts w:ascii="Helvetica" w:eastAsia="HGMaruGothicMPRO" w:hAnsi="Helvetica" w:cs="Helvetica"/>
          <w:lang w:val="en-GB"/>
        </w:rPr>
        <w:t xml:space="preserve"> </w:t>
      </w:r>
      <w:r w:rsidR="00E024C7" w:rsidRPr="008A3778">
        <w:rPr>
          <w:rFonts w:ascii="Helvetica" w:eastAsia="HGMaruGothicMPRO" w:hAnsi="Helvetica" w:cs="Helvetica"/>
          <w:lang w:val="en-GB"/>
        </w:rPr>
        <w:t>on</w:t>
      </w:r>
      <w:r w:rsidR="00400416" w:rsidRPr="008A3778">
        <w:rPr>
          <w:rFonts w:ascii="Helvetica" w:eastAsia="HGMaruGothicMPRO" w:hAnsi="Helvetica" w:cs="Helvetica"/>
          <w:lang w:val="en-GB"/>
        </w:rPr>
        <w:t xml:space="preserve"> the facts of </w:t>
      </w:r>
      <w:r w:rsidR="00844F58" w:rsidRPr="008A3778">
        <w:rPr>
          <w:rFonts w:ascii="Helvetica" w:eastAsia="HGMaruGothicMPRO" w:hAnsi="Helvetica" w:cs="Helvetica"/>
          <w:lang w:val="en-GB"/>
        </w:rPr>
        <w:t>the</w:t>
      </w:r>
      <w:r w:rsidR="00400416" w:rsidRPr="008A3778">
        <w:rPr>
          <w:rFonts w:ascii="Helvetica" w:eastAsia="HGMaruGothicMPRO" w:hAnsi="Helvetica" w:cs="Helvetica"/>
          <w:lang w:val="en-GB"/>
        </w:rPr>
        <w:t xml:space="preserve"> case</w:t>
      </w:r>
      <w:r w:rsidR="00844F58" w:rsidRPr="008A3778">
        <w:rPr>
          <w:rFonts w:ascii="Helvetica" w:eastAsia="HGMaruGothicMPRO" w:hAnsi="Helvetica" w:cs="Helvetica"/>
          <w:lang w:val="en-GB"/>
        </w:rPr>
        <w:t>,</w:t>
      </w:r>
      <w:r w:rsidR="0069600A" w:rsidRPr="008A3778">
        <w:rPr>
          <w:rFonts w:ascii="Helvetica" w:eastAsia="HGMaruGothicMPRO" w:hAnsi="Helvetica" w:cs="Helvetica"/>
          <w:lang w:val="en-GB"/>
        </w:rPr>
        <w:t xml:space="preserve"> that the annuity enjoyed jointly by the deceased and his wife during his lifetime, and enjoyed </w:t>
      </w:r>
      <w:r w:rsidR="00844F58" w:rsidRPr="008A3778">
        <w:rPr>
          <w:rFonts w:ascii="Helvetica" w:eastAsia="HGMaruGothicMPRO" w:hAnsi="Helvetica" w:cs="Helvetica"/>
          <w:lang w:val="en-GB"/>
        </w:rPr>
        <w:t xml:space="preserve">by her </w:t>
      </w:r>
      <w:r w:rsidR="0069600A" w:rsidRPr="008A3778">
        <w:rPr>
          <w:rFonts w:ascii="Helvetica" w:eastAsia="HGMaruGothicMPRO" w:hAnsi="Helvetica" w:cs="Helvetica"/>
          <w:lang w:val="en-GB"/>
        </w:rPr>
        <w:t>after his death, came into existence on his retirement and not on his death and could not be defined in terms of section 3(3)(a) of the Estate Duty Act as an amount due and recoverable under a policy of insurance.</w:t>
      </w:r>
    </w:p>
    <w:p w14:paraId="7EF45C3D" w14:textId="2947D1F9" w:rsidR="00296F25" w:rsidRPr="008A3778" w:rsidRDefault="00232010" w:rsidP="003A214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decision in </w:t>
      </w:r>
      <w:r w:rsidRPr="008A3778">
        <w:rPr>
          <w:rFonts w:ascii="Helvetica" w:eastAsia="HGMaruGothicMPRO" w:hAnsi="Helvetica" w:cs="Helvetica"/>
          <w:b/>
          <w:bCs/>
          <w:lang w:val="en-GB"/>
        </w:rPr>
        <w:t>Clark</w:t>
      </w:r>
      <w:r w:rsidR="00F90EB1" w:rsidRPr="008A3778">
        <w:rPr>
          <w:rFonts w:ascii="Helvetica" w:eastAsia="HGMaruGothicMPRO" w:hAnsi="Helvetica" w:cs="Helvetica"/>
          <w:b/>
          <w:bCs/>
          <w:lang w:val="en-GB"/>
        </w:rPr>
        <w:t xml:space="preserve"> </w:t>
      </w:r>
      <w:r w:rsidRPr="008A3778">
        <w:rPr>
          <w:rFonts w:ascii="Helvetica" w:eastAsia="HGMaruGothicMPRO" w:hAnsi="Helvetica" w:cs="Helvetica"/>
          <w:b/>
          <w:bCs/>
          <w:lang w:val="en-GB"/>
        </w:rPr>
        <w:t>v</w:t>
      </w:r>
      <w:r w:rsidR="00F90EB1" w:rsidRPr="008A3778">
        <w:rPr>
          <w:rFonts w:ascii="Helvetica" w:eastAsia="HGMaruGothicMPRO" w:hAnsi="Helvetica" w:cs="Helvetica"/>
          <w:b/>
          <w:bCs/>
          <w:lang w:val="en-GB"/>
        </w:rPr>
        <w:t xml:space="preserve"> </w:t>
      </w:r>
      <w:r w:rsidRPr="008A3778">
        <w:rPr>
          <w:rFonts w:ascii="Helvetica" w:eastAsia="HGMaruGothicMPRO" w:hAnsi="Helvetica" w:cs="Helvetica"/>
          <w:b/>
          <w:bCs/>
          <w:lang w:val="en-GB"/>
        </w:rPr>
        <w:t>Clark</w:t>
      </w:r>
      <w:r w:rsidR="008A3778">
        <w:rPr>
          <w:rFonts w:ascii="Helvetica" w:eastAsia="HGMaruGothicMPRO" w:hAnsi="Helvetica" w:cs="Helvetica"/>
          <w:lang w:val="en-GB"/>
        </w:rPr>
        <w:t>,</w:t>
      </w:r>
      <w:r w:rsidRPr="008A3778">
        <w:rPr>
          <w:rStyle w:val="FootnoteReference"/>
          <w:rFonts w:ascii="Helvetica" w:eastAsia="HGMaruGothicMPRO" w:hAnsi="Helvetica" w:cs="Helvetica"/>
          <w:lang w:val="en-GB"/>
        </w:rPr>
        <w:footnoteReference w:id="61"/>
      </w:r>
      <w:r w:rsidR="003024BE" w:rsidRPr="008A3778">
        <w:rPr>
          <w:rFonts w:ascii="Helvetica" w:eastAsia="HGMaruGothicMPRO" w:hAnsi="Helvetica" w:cs="Helvetica"/>
          <w:lang w:val="en-GB"/>
        </w:rPr>
        <w:t xml:space="preserve"> </w:t>
      </w:r>
      <w:r w:rsidR="008C3631" w:rsidRPr="008A3778">
        <w:rPr>
          <w:rFonts w:ascii="Helvetica" w:eastAsia="HGMaruGothicMPRO" w:hAnsi="Helvetica" w:cs="Helvetica"/>
          <w:lang w:val="en-GB"/>
        </w:rPr>
        <w:t xml:space="preserve">a matter decided </w:t>
      </w:r>
      <w:r w:rsidR="00061281" w:rsidRPr="008A3778">
        <w:rPr>
          <w:rFonts w:ascii="Helvetica" w:eastAsia="HGMaruGothicMPRO" w:hAnsi="Helvetica" w:cs="Helvetica"/>
          <w:lang w:val="en-GB"/>
        </w:rPr>
        <w:t xml:space="preserve">at </w:t>
      </w:r>
      <w:r w:rsidR="008C3631" w:rsidRPr="008A3778">
        <w:rPr>
          <w:rFonts w:ascii="Helvetica" w:eastAsia="HGMaruGothicMPRO" w:hAnsi="Helvetica" w:cs="Helvetica"/>
          <w:lang w:val="en-GB"/>
        </w:rPr>
        <w:t>exception</w:t>
      </w:r>
      <w:r w:rsidR="00061281" w:rsidRPr="008A3778">
        <w:rPr>
          <w:rFonts w:ascii="Helvetica" w:eastAsia="HGMaruGothicMPRO" w:hAnsi="Helvetica" w:cs="Helvetica"/>
          <w:lang w:val="en-GB"/>
        </w:rPr>
        <w:t xml:space="preserve"> stage</w:t>
      </w:r>
      <w:r w:rsidR="008C3631" w:rsidRPr="008A3778">
        <w:rPr>
          <w:rFonts w:ascii="Helvetica" w:eastAsia="HGMaruGothicMPRO" w:hAnsi="Helvetica" w:cs="Helvetica"/>
          <w:lang w:val="en-GB"/>
        </w:rPr>
        <w:t>,</w:t>
      </w:r>
      <w:r w:rsidR="003024BE" w:rsidRPr="008A3778">
        <w:rPr>
          <w:rFonts w:ascii="Helvetica" w:eastAsia="HGMaruGothicMPRO" w:hAnsi="Helvetica" w:cs="Helvetica"/>
          <w:lang w:val="en-GB"/>
        </w:rPr>
        <w:t xml:space="preserve"> similarly does not assist the appellants.</w:t>
      </w:r>
      <w:r w:rsidR="00296F25" w:rsidRPr="008A3778">
        <w:rPr>
          <w:rFonts w:ascii="Helvetica" w:eastAsia="HGMaruGothicMPRO" w:hAnsi="Helvetica" w:cs="Helvetica"/>
          <w:lang w:val="en-GB"/>
        </w:rPr>
        <w:t xml:space="preserve"> </w:t>
      </w:r>
      <w:r w:rsidR="00061281" w:rsidRPr="008A3778">
        <w:rPr>
          <w:rFonts w:ascii="Helvetica" w:eastAsia="HGMaruGothicMPRO" w:hAnsi="Helvetica" w:cs="Helvetica"/>
          <w:lang w:val="en-GB"/>
        </w:rPr>
        <w:t>In fact, I find the appellants</w:t>
      </w:r>
      <w:r w:rsidR="00C92CE0">
        <w:rPr>
          <w:rFonts w:ascii="Helvetica" w:eastAsia="HGMaruGothicMPRO" w:hAnsi="Helvetica" w:cs="Helvetica"/>
          <w:lang w:val="en-GB"/>
        </w:rPr>
        <w:t>’</w:t>
      </w:r>
      <w:r w:rsidR="00061281" w:rsidRPr="008A3778">
        <w:rPr>
          <w:rFonts w:ascii="Helvetica" w:eastAsia="HGMaruGothicMPRO" w:hAnsi="Helvetica" w:cs="Helvetica"/>
          <w:lang w:val="en-GB"/>
        </w:rPr>
        <w:t xml:space="preserve"> reliance on this decision puzzling. </w:t>
      </w:r>
      <w:r w:rsidR="00296F25" w:rsidRPr="008A3778">
        <w:rPr>
          <w:rFonts w:ascii="Helvetica" w:eastAsia="HGMaruGothicMPRO" w:hAnsi="Helvetica" w:cs="Helvetica"/>
          <w:lang w:val="en-GB"/>
        </w:rPr>
        <w:t>Here the</w:t>
      </w:r>
      <w:r w:rsidR="00F90EB1" w:rsidRPr="008A3778">
        <w:rPr>
          <w:rFonts w:ascii="Helvetica" w:eastAsia="HGMaruGothicMPRO" w:hAnsi="Helvetica" w:cs="Helvetica"/>
          <w:lang w:val="en-GB"/>
        </w:rPr>
        <w:t xml:space="preserve"> spouses</w:t>
      </w:r>
      <w:r w:rsidR="0022009D" w:rsidRPr="008A3778">
        <w:rPr>
          <w:rFonts w:ascii="Helvetica" w:eastAsia="HGMaruGothicMPRO" w:hAnsi="Helvetica" w:cs="Helvetica"/>
          <w:lang w:val="en-GB"/>
        </w:rPr>
        <w:t xml:space="preserve">’ </w:t>
      </w:r>
      <w:r w:rsidR="00061281" w:rsidRPr="008A3778">
        <w:rPr>
          <w:rFonts w:ascii="Helvetica" w:eastAsia="HGMaruGothicMPRO" w:hAnsi="Helvetica" w:cs="Helvetica"/>
          <w:lang w:val="en-GB"/>
        </w:rPr>
        <w:t xml:space="preserve">in community of property </w:t>
      </w:r>
      <w:r w:rsidR="00296F25" w:rsidRPr="008A3778">
        <w:rPr>
          <w:rFonts w:ascii="Helvetica" w:eastAsia="HGMaruGothicMPRO" w:hAnsi="Helvetica" w:cs="Helvetica"/>
          <w:lang w:val="en-GB"/>
        </w:rPr>
        <w:t xml:space="preserve">marriage </w:t>
      </w:r>
      <w:r w:rsidR="008B4790" w:rsidRPr="008A3778">
        <w:rPr>
          <w:rFonts w:ascii="Helvetica" w:eastAsia="HGMaruGothicMPRO" w:hAnsi="Helvetica" w:cs="Helvetica"/>
          <w:lang w:val="en-GB"/>
        </w:rPr>
        <w:t xml:space="preserve">was terminated by an order of divorce. </w:t>
      </w:r>
      <w:r w:rsidR="004F2100" w:rsidRPr="008A3778">
        <w:rPr>
          <w:rFonts w:ascii="Helvetica" w:eastAsia="HGMaruGothicMPRO" w:hAnsi="Helvetica" w:cs="Helvetica"/>
          <w:lang w:val="en-GB"/>
        </w:rPr>
        <w:t xml:space="preserve">I refer to that just mentioned in this regard. Furthermore, </w:t>
      </w:r>
      <w:r w:rsidR="0022009D" w:rsidRPr="008A3778">
        <w:rPr>
          <w:rFonts w:ascii="Helvetica" w:eastAsia="HGMaruGothicMPRO" w:hAnsi="Helvetica" w:cs="Helvetica"/>
          <w:lang w:val="en-GB"/>
        </w:rPr>
        <w:t xml:space="preserve">the </w:t>
      </w:r>
      <w:r w:rsidR="00FE3C82" w:rsidRPr="008A3778">
        <w:rPr>
          <w:rFonts w:ascii="Helvetica" w:eastAsia="HGMaruGothicMPRO" w:hAnsi="Helvetica" w:cs="Helvetica"/>
          <w:lang w:val="en-GB"/>
        </w:rPr>
        <w:t>court declined to determine the exception</w:t>
      </w:r>
      <w:r w:rsidR="000F2D0A" w:rsidRPr="008A3778">
        <w:rPr>
          <w:rFonts w:ascii="Helvetica" w:hAnsi="Helvetica" w:cs="Helvetica"/>
          <w:shd w:val="clear" w:color="auto" w:fill="FFFFFF"/>
          <w:lang w:val="en-GB"/>
        </w:rPr>
        <w:t xml:space="preserve"> - argued within the context of an interpretation of </w:t>
      </w:r>
      <w:r w:rsidR="004E7819">
        <w:rPr>
          <w:rFonts w:ascii="Helvetica" w:hAnsi="Helvetica" w:cs="Helvetica"/>
          <w:shd w:val="clear" w:color="auto" w:fill="FFFFFF"/>
          <w:lang w:val="en-GB"/>
        </w:rPr>
        <w:t xml:space="preserve">Statutory Pensions Protection </w:t>
      </w:r>
      <w:r w:rsidR="000F2D0A" w:rsidRPr="008A3778">
        <w:rPr>
          <w:rFonts w:ascii="Helvetica" w:hAnsi="Helvetica" w:cs="Helvetica"/>
          <w:shd w:val="clear" w:color="auto" w:fill="FFFFFF"/>
          <w:lang w:val="en-GB"/>
        </w:rPr>
        <w:t>Act</w:t>
      </w:r>
      <w:r w:rsidR="004E7819">
        <w:rPr>
          <w:rFonts w:ascii="Helvetica" w:hAnsi="Helvetica" w:cs="Helvetica"/>
          <w:shd w:val="clear" w:color="auto" w:fill="FFFFFF"/>
          <w:lang w:val="en-GB"/>
        </w:rPr>
        <w:t>,</w:t>
      </w:r>
      <w:r w:rsidR="000F2D0A" w:rsidRPr="008A3778">
        <w:rPr>
          <w:rFonts w:ascii="Helvetica" w:hAnsi="Helvetica" w:cs="Helvetica"/>
          <w:shd w:val="clear" w:color="auto" w:fill="FFFFFF"/>
          <w:lang w:val="en-GB"/>
        </w:rPr>
        <w:t xml:space="preserve"> 1923 </w:t>
      </w:r>
      <w:r w:rsidR="004E7819">
        <w:rPr>
          <w:rFonts w:ascii="Helvetica" w:hAnsi="Helvetica" w:cs="Helvetica"/>
          <w:shd w:val="clear" w:color="auto" w:fill="FFFFFF"/>
          <w:lang w:val="en-GB"/>
        </w:rPr>
        <w:t>–</w:t>
      </w:r>
      <w:r w:rsidR="000F2D0A" w:rsidRPr="008A3778">
        <w:rPr>
          <w:rFonts w:ascii="Helvetica" w:hAnsi="Helvetica" w:cs="Helvetica"/>
          <w:shd w:val="clear" w:color="auto" w:fill="FFFFFF"/>
          <w:lang w:val="en-GB"/>
        </w:rPr>
        <w:t xml:space="preserve"> </w:t>
      </w:r>
      <w:r w:rsidR="004E7819">
        <w:rPr>
          <w:rFonts w:ascii="Helvetica" w:hAnsi="Helvetica" w:cs="Helvetica"/>
          <w:shd w:val="clear" w:color="auto" w:fill="FFFFFF"/>
          <w:lang w:val="en-GB"/>
        </w:rPr>
        <w:t xml:space="preserve">finding </w:t>
      </w:r>
      <w:r w:rsidR="00FE3C82" w:rsidRPr="008A3778">
        <w:rPr>
          <w:rFonts w:ascii="Helvetica" w:eastAsia="HGMaruGothicMPRO" w:hAnsi="Helvetica" w:cs="Helvetica"/>
          <w:lang w:val="en-GB"/>
        </w:rPr>
        <w:t xml:space="preserve">that it would be better </w:t>
      </w:r>
      <w:r w:rsidR="004F2100" w:rsidRPr="008A3778">
        <w:rPr>
          <w:rFonts w:ascii="Helvetica" w:eastAsia="HGMaruGothicMPRO" w:hAnsi="Helvetica" w:cs="Helvetica"/>
          <w:lang w:val="en-GB"/>
        </w:rPr>
        <w:t xml:space="preserve">to </w:t>
      </w:r>
      <w:r w:rsidR="00FE3C82" w:rsidRPr="008A3778">
        <w:rPr>
          <w:rFonts w:ascii="Helvetica" w:eastAsia="HGMaruGothicMPRO" w:hAnsi="Helvetica" w:cs="Helvetica"/>
          <w:lang w:val="en-GB"/>
        </w:rPr>
        <w:t xml:space="preserve">wait until all the relevant facts </w:t>
      </w:r>
      <w:r w:rsidR="004F2100" w:rsidRPr="008A3778">
        <w:rPr>
          <w:rFonts w:ascii="Helvetica" w:eastAsia="HGMaruGothicMPRO" w:hAnsi="Helvetica" w:cs="Helvetica"/>
          <w:lang w:val="en-GB"/>
        </w:rPr>
        <w:t>were</w:t>
      </w:r>
      <w:r w:rsidR="00FE3C82" w:rsidRPr="008A3778">
        <w:rPr>
          <w:rFonts w:ascii="Helvetica" w:eastAsia="HGMaruGothicMPRO" w:hAnsi="Helvetica" w:cs="Helvetica"/>
          <w:lang w:val="en-GB"/>
        </w:rPr>
        <w:t xml:space="preserve"> properly before the Court at the trial.</w:t>
      </w:r>
    </w:p>
    <w:p w14:paraId="524512D1" w14:textId="74BD4D35" w:rsidR="005164BB" w:rsidRPr="008A3778" w:rsidRDefault="00F90EB1" w:rsidP="003A214B">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eastAsia="HGMaruGothicMPRO" w:hAnsi="Helvetica" w:cs="Helvetica"/>
          <w:lang w:val="en-GB"/>
        </w:rPr>
        <w:lastRenderedPageBreak/>
        <w:t>T</w:t>
      </w:r>
      <w:r w:rsidR="00907C3E" w:rsidRPr="008A3778">
        <w:rPr>
          <w:rFonts w:ascii="Helvetica" w:eastAsia="HGMaruGothicMPRO" w:hAnsi="Helvetica" w:cs="Helvetica"/>
          <w:lang w:val="en-GB"/>
        </w:rPr>
        <w:t xml:space="preserve">he SCA decision in </w:t>
      </w:r>
      <w:r w:rsidR="00907C3E" w:rsidRPr="008A3778">
        <w:rPr>
          <w:rFonts w:ascii="Helvetica" w:eastAsia="HGMaruGothicMPRO" w:hAnsi="Helvetica" w:cs="Helvetica"/>
          <w:b/>
          <w:bCs/>
          <w:lang w:val="en-GB"/>
        </w:rPr>
        <w:t>CM v EM</w:t>
      </w:r>
      <w:r w:rsidR="004E7819">
        <w:rPr>
          <w:rFonts w:ascii="Helvetica" w:eastAsia="HGMaruGothicMPRO" w:hAnsi="Helvetica" w:cs="Helvetica"/>
          <w:lang w:val="en-GB"/>
        </w:rPr>
        <w:t>,</w:t>
      </w:r>
      <w:r w:rsidR="004976E9" w:rsidRPr="008A3778">
        <w:rPr>
          <w:rStyle w:val="FootnoteReference"/>
          <w:rFonts w:ascii="Helvetica" w:eastAsia="HGMaruGothicMPRO" w:hAnsi="Helvetica" w:cs="Helvetica"/>
          <w:lang w:val="en-GB"/>
        </w:rPr>
        <w:footnoteReference w:id="62"/>
      </w:r>
      <w:r w:rsidR="00907C3E" w:rsidRPr="008A3778">
        <w:rPr>
          <w:rFonts w:ascii="Helvetica" w:eastAsia="HGMaruGothicMPRO" w:hAnsi="Helvetica" w:cs="Helvetica"/>
          <w:lang w:val="en-GB"/>
        </w:rPr>
        <w:t xml:space="preserve"> </w:t>
      </w:r>
      <w:r w:rsidR="004E7819">
        <w:rPr>
          <w:rFonts w:ascii="Helvetica" w:eastAsia="HGMaruGothicMPRO" w:hAnsi="Helvetica" w:cs="Helvetica"/>
          <w:lang w:val="en-GB"/>
        </w:rPr>
        <w:t xml:space="preserve">also </w:t>
      </w:r>
      <w:r w:rsidRPr="008A3778">
        <w:rPr>
          <w:rFonts w:ascii="Helvetica" w:eastAsia="HGMaruGothicMPRO" w:hAnsi="Helvetica" w:cs="Helvetica"/>
          <w:lang w:val="en-GB"/>
        </w:rPr>
        <w:t>relied upon by the appellants</w:t>
      </w:r>
      <w:r w:rsidR="004E7819">
        <w:rPr>
          <w:rFonts w:ascii="Helvetica" w:eastAsia="HGMaruGothicMPRO" w:hAnsi="Helvetica" w:cs="Helvetica"/>
          <w:lang w:val="en-GB"/>
        </w:rPr>
        <w:t>,</w:t>
      </w:r>
      <w:r w:rsidRPr="008A3778">
        <w:rPr>
          <w:rFonts w:ascii="Helvetica" w:eastAsia="HGMaruGothicMPRO" w:hAnsi="Helvetica" w:cs="Helvetica"/>
          <w:lang w:val="en-GB"/>
        </w:rPr>
        <w:t xml:space="preserve"> </w:t>
      </w:r>
      <w:r w:rsidR="006A4BCA" w:rsidRPr="008A3778">
        <w:rPr>
          <w:rFonts w:ascii="Helvetica" w:eastAsia="HGMaruGothicMPRO" w:hAnsi="Helvetica" w:cs="Helvetica"/>
          <w:lang w:val="en-GB"/>
        </w:rPr>
        <w:t xml:space="preserve">is </w:t>
      </w:r>
      <w:r w:rsidRPr="008A3778">
        <w:rPr>
          <w:rFonts w:ascii="Helvetica" w:eastAsia="HGMaruGothicMPRO" w:hAnsi="Helvetica" w:cs="Helvetica"/>
          <w:lang w:val="en-GB"/>
        </w:rPr>
        <w:t xml:space="preserve">likewise </w:t>
      </w:r>
      <w:r w:rsidR="004E7819">
        <w:rPr>
          <w:rFonts w:ascii="Helvetica" w:eastAsia="HGMaruGothicMPRO" w:hAnsi="Helvetica" w:cs="Helvetica"/>
          <w:lang w:val="en-GB"/>
        </w:rPr>
        <w:t>similarly</w:t>
      </w:r>
      <w:r w:rsidR="004B7743" w:rsidRPr="008A3778">
        <w:rPr>
          <w:rFonts w:ascii="Helvetica" w:eastAsia="HGMaruGothicMPRO" w:hAnsi="Helvetica" w:cs="Helvetica"/>
          <w:lang w:val="en-GB"/>
        </w:rPr>
        <w:t xml:space="preserve"> </w:t>
      </w:r>
      <w:r w:rsidR="006A4BCA" w:rsidRPr="008A3778">
        <w:rPr>
          <w:rFonts w:ascii="Helvetica" w:eastAsia="HGMaruGothicMPRO" w:hAnsi="Helvetica" w:cs="Helvetica"/>
          <w:lang w:val="en-GB"/>
        </w:rPr>
        <w:t xml:space="preserve">distinguishable. </w:t>
      </w:r>
      <w:r w:rsidR="00FC348E" w:rsidRPr="008A3778">
        <w:rPr>
          <w:rFonts w:ascii="Helvetica" w:eastAsia="HGMaruGothicMPRO" w:hAnsi="Helvetica" w:cs="Helvetica"/>
          <w:lang w:val="en-GB"/>
        </w:rPr>
        <w:t xml:space="preserve">This much is apparent from the following: </w:t>
      </w:r>
      <w:r w:rsidR="006A4BCA" w:rsidRPr="008A3778">
        <w:rPr>
          <w:rFonts w:ascii="Helvetica" w:eastAsia="HGMaruGothicMPRO" w:hAnsi="Helvetica" w:cs="Helvetica"/>
          <w:lang w:val="en-GB"/>
        </w:rPr>
        <w:t xml:space="preserve">The decision </w:t>
      </w:r>
      <w:r w:rsidR="005164BB" w:rsidRPr="008A3778">
        <w:rPr>
          <w:rFonts w:ascii="Helvetica" w:eastAsia="HGMaruGothicMPRO" w:hAnsi="Helvetica" w:cs="Helvetica"/>
          <w:lang w:val="en-GB"/>
        </w:rPr>
        <w:t xml:space="preserve">was determined within the context of a </w:t>
      </w:r>
      <w:r w:rsidR="008C211C" w:rsidRPr="008A3778">
        <w:rPr>
          <w:rFonts w:ascii="Helvetica" w:eastAsia="HGMaruGothicMPRO" w:hAnsi="Helvetica" w:cs="Helvetica"/>
          <w:lang w:val="en-GB"/>
        </w:rPr>
        <w:t xml:space="preserve">pending </w:t>
      </w:r>
      <w:r w:rsidR="005164BB" w:rsidRPr="008A3778">
        <w:rPr>
          <w:rFonts w:ascii="Helvetica" w:eastAsia="HGMaruGothicMPRO" w:hAnsi="Helvetica" w:cs="Helvetica"/>
          <w:lang w:val="en-GB"/>
        </w:rPr>
        <w:t>divorce action. The</w:t>
      </w:r>
      <w:r w:rsidR="004B7743" w:rsidRPr="008A3778">
        <w:rPr>
          <w:rFonts w:ascii="Helvetica" w:eastAsia="HGMaruGothicMPRO" w:hAnsi="Helvetica" w:cs="Helvetica"/>
          <w:lang w:val="en-GB"/>
        </w:rPr>
        <w:t xml:space="preserve"> divorcing </w:t>
      </w:r>
      <w:r w:rsidR="006A4BCA" w:rsidRPr="008A3778">
        <w:rPr>
          <w:rFonts w:ascii="Helvetica" w:eastAsia="HGMaruGothicMPRO" w:hAnsi="Helvetica" w:cs="Helvetica"/>
          <w:lang w:val="en-GB"/>
        </w:rPr>
        <w:t>parties</w:t>
      </w:r>
      <w:r w:rsidR="005164BB" w:rsidRPr="008A3778">
        <w:rPr>
          <w:rFonts w:ascii="Helvetica" w:eastAsia="HGMaruGothicMPRO" w:hAnsi="Helvetica" w:cs="Helvetica"/>
          <w:lang w:val="en-GB"/>
        </w:rPr>
        <w:t xml:space="preserve"> were married to each other </w:t>
      </w:r>
      <w:r w:rsidR="006A4BCA" w:rsidRPr="008A3778">
        <w:rPr>
          <w:rFonts w:ascii="Helvetica" w:eastAsia="HGMaruGothicMPRO" w:hAnsi="Helvetica" w:cs="Helvetica"/>
          <w:lang w:val="en-GB"/>
        </w:rPr>
        <w:t>out of community of property</w:t>
      </w:r>
      <w:r w:rsidR="008C211C" w:rsidRPr="008A3778">
        <w:rPr>
          <w:rFonts w:ascii="Helvetica" w:eastAsia="HGMaruGothicMPRO" w:hAnsi="Helvetica" w:cs="Helvetica"/>
          <w:lang w:val="en-GB"/>
        </w:rPr>
        <w:t xml:space="preserve">, </w:t>
      </w:r>
      <w:r w:rsidR="006A4BCA" w:rsidRPr="008A3778">
        <w:rPr>
          <w:rFonts w:ascii="Helvetica" w:eastAsia="HGMaruGothicMPRO" w:hAnsi="Helvetica" w:cs="Helvetica"/>
          <w:lang w:val="en-GB"/>
        </w:rPr>
        <w:t xml:space="preserve">subject to the accrual system. </w:t>
      </w:r>
      <w:r w:rsidR="00CF4468" w:rsidRPr="008A3778">
        <w:rPr>
          <w:rFonts w:ascii="Helvetica" w:eastAsia="HGMaruGothicMPRO" w:hAnsi="Helvetica" w:cs="Helvetica"/>
          <w:lang w:val="en-GB"/>
        </w:rPr>
        <w:t>The issue</w:t>
      </w:r>
      <w:r w:rsidR="00391558" w:rsidRPr="008A3778">
        <w:rPr>
          <w:rFonts w:ascii="Helvetica" w:eastAsia="HGMaruGothicMPRO" w:hAnsi="Helvetica" w:cs="Helvetica"/>
          <w:lang w:val="en-GB"/>
        </w:rPr>
        <w:t xml:space="preserve"> </w:t>
      </w:r>
      <w:r w:rsidR="00CF4468" w:rsidRPr="008A3778">
        <w:rPr>
          <w:rFonts w:ascii="Helvetica" w:eastAsia="HGMaruGothicMPRO" w:hAnsi="Helvetica" w:cs="Helvetica"/>
          <w:lang w:val="en-GB"/>
        </w:rPr>
        <w:t>to be determined, as a</w:t>
      </w:r>
      <w:r w:rsidR="00705B0A" w:rsidRPr="008A3778">
        <w:rPr>
          <w:rFonts w:ascii="Helvetica" w:eastAsia="HGMaruGothicMPRO" w:hAnsi="Helvetica" w:cs="Helvetica"/>
          <w:lang w:val="en-GB"/>
        </w:rPr>
        <w:t xml:space="preserve">n </w:t>
      </w:r>
      <w:r w:rsidR="00DF1538" w:rsidRPr="008A3778">
        <w:rPr>
          <w:rFonts w:ascii="Helvetica" w:eastAsia="HGMaruGothicMPRO" w:hAnsi="Helvetica" w:cs="Helvetica"/>
          <w:lang w:val="en-GB"/>
        </w:rPr>
        <w:t>ill-defined</w:t>
      </w:r>
      <w:r w:rsidR="00CF4468" w:rsidRPr="008A3778">
        <w:rPr>
          <w:rFonts w:ascii="Helvetica" w:eastAsia="HGMaruGothicMPRO" w:hAnsi="Helvetica" w:cs="Helvetica"/>
          <w:lang w:val="en-GB"/>
        </w:rPr>
        <w:t xml:space="preserve"> separate</w:t>
      </w:r>
      <w:r w:rsidR="00391558" w:rsidRPr="008A3778">
        <w:rPr>
          <w:rFonts w:ascii="Helvetica" w:eastAsia="HGMaruGothicMPRO" w:hAnsi="Helvetica" w:cs="Helvetica"/>
          <w:lang w:val="en-GB"/>
        </w:rPr>
        <w:t>d</w:t>
      </w:r>
      <w:r w:rsidR="00CF4468" w:rsidRPr="008A3778">
        <w:rPr>
          <w:rFonts w:ascii="Helvetica" w:eastAsia="HGMaruGothicMPRO" w:hAnsi="Helvetica" w:cs="Helvetica"/>
          <w:lang w:val="en-GB"/>
        </w:rPr>
        <w:t xml:space="preserve"> issue, was whether</w:t>
      </w:r>
      <w:r w:rsidR="00112D5F" w:rsidRPr="008A3778">
        <w:rPr>
          <w:rFonts w:ascii="Helvetica" w:eastAsia="HGMaruGothicMPRO" w:hAnsi="Helvetica" w:cs="Helvetica"/>
          <w:lang w:val="en-GB"/>
        </w:rPr>
        <w:t xml:space="preserve"> </w:t>
      </w:r>
      <w:r w:rsidR="00391558" w:rsidRPr="008A3778">
        <w:rPr>
          <w:rFonts w:ascii="Helvetica" w:eastAsia="HGMaruGothicMPRO" w:hAnsi="Helvetica" w:cs="Helvetica"/>
          <w:lang w:val="en-GB"/>
        </w:rPr>
        <w:t xml:space="preserve">certain </w:t>
      </w:r>
      <w:r w:rsidR="009A6025" w:rsidRPr="008A3778">
        <w:rPr>
          <w:rFonts w:ascii="Helvetica" w:eastAsia="HGMaruGothicMPRO" w:hAnsi="Helvetica" w:cs="Helvetica"/>
          <w:lang w:val="en-GB"/>
        </w:rPr>
        <w:t>“</w:t>
      </w:r>
      <w:r w:rsidR="00112D5F" w:rsidRPr="008A3778">
        <w:rPr>
          <w:rFonts w:ascii="Helvetica" w:eastAsia="HGMaruGothicMPRO" w:hAnsi="Helvetica" w:cs="Helvetica"/>
          <w:i/>
          <w:iCs/>
          <w:lang w:val="en-GB"/>
        </w:rPr>
        <w:t>living annuities</w:t>
      </w:r>
      <w:r w:rsidR="009A6025" w:rsidRPr="008A3778">
        <w:rPr>
          <w:rFonts w:ascii="Helvetica" w:eastAsia="HGMaruGothicMPRO" w:hAnsi="Helvetica" w:cs="Helvetica"/>
          <w:lang w:val="en-GB"/>
        </w:rPr>
        <w:t>”, as defined in terms of section 1 of the Income Tax Act,</w:t>
      </w:r>
      <w:r w:rsidR="00112D5F" w:rsidRPr="008A3778">
        <w:rPr>
          <w:rFonts w:ascii="Helvetica" w:eastAsia="HGMaruGothicMPRO" w:hAnsi="Helvetica" w:cs="Helvetica"/>
          <w:lang w:val="en-GB"/>
        </w:rPr>
        <w:t xml:space="preserve"> </w:t>
      </w:r>
      <w:r w:rsidR="00335B0A" w:rsidRPr="008A3778">
        <w:rPr>
          <w:rFonts w:ascii="Helvetica" w:eastAsia="HGMaruGothicMPRO" w:hAnsi="Helvetica" w:cs="Helvetica"/>
          <w:lang w:val="en-GB"/>
        </w:rPr>
        <w:t xml:space="preserve">1962, </w:t>
      </w:r>
      <w:r w:rsidR="00112D5F" w:rsidRPr="008A3778">
        <w:rPr>
          <w:rFonts w:ascii="Helvetica" w:eastAsia="HGMaruGothicMPRO" w:hAnsi="Helvetica" w:cs="Helvetica"/>
          <w:lang w:val="en-GB"/>
        </w:rPr>
        <w:t>comprised</w:t>
      </w:r>
      <w:r w:rsidR="00112D5F" w:rsidRPr="008A3778">
        <w:rPr>
          <w:rFonts w:ascii="Helvetica" w:hAnsi="Helvetica" w:cs="Helvetica"/>
          <w:color w:val="242121"/>
          <w:shd w:val="clear" w:color="auto" w:fill="FFFFFF"/>
          <w:lang w:val="en-GB"/>
        </w:rPr>
        <w:t xml:space="preserve"> </w:t>
      </w:r>
      <w:r w:rsidR="00112D5F" w:rsidRPr="008A3778">
        <w:rPr>
          <w:rFonts w:ascii="Helvetica" w:eastAsia="HGMaruGothicMPRO" w:hAnsi="Helvetica" w:cs="Helvetica"/>
          <w:lang w:val="en-GB"/>
        </w:rPr>
        <w:t>a pensionable interest as defined in the Divorce Act, 1979</w:t>
      </w:r>
      <w:r w:rsidR="003451B7" w:rsidRPr="008A3778">
        <w:rPr>
          <w:rFonts w:ascii="Helvetica" w:eastAsia="HGMaruGothicMPRO" w:hAnsi="Helvetica" w:cs="Helvetica"/>
          <w:lang w:val="en-GB"/>
        </w:rPr>
        <w:t xml:space="preserve">, and as such susceptible to an accrual </w:t>
      </w:r>
      <w:r w:rsidR="004B7743" w:rsidRPr="008A3778">
        <w:rPr>
          <w:rFonts w:ascii="Helvetica" w:eastAsia="HGMaruGothicMPRO" w:hAnsi="Helvetica" w:cs="Helvetica"/>
          <w:lang w:val="en-GB"/>
        </w:rPr>
        <w:t>claim</w:t>
      </w:r>
      <w:r w:rsidR="00112D5F" w:rsidRPr="008A3778">
        <w:rPr>
          <w:rFonts w:ascii="Helvetica" w:eastAsia="HGMaruGothicMPRO" w:hAnsi="Helvetica" w:cs="Helvetica"/>
          <w:lang w:val="en-GB"/>
        </w:rPr>
        <w:t xml:space="preserve">. </w:t>
      </w:r>
      <w:r w:rsidR="004E7819">
        <w:rPr>
          <w:rFonts w:ascii="Helvetica" w:eastAsia="HGMaruGothicMPRO" w:hAnsi="Helvetica" w:cs="Helvetica"/>
          <w:lang w:val="en-GB"/>
        </w:rPr>
        <w:t>Accordingly, no further regard needs to be had to this decision.</w:t>
      </w:r>
    </w:p>
    <w:p w14:paraId="6F71EDB9" w14:textId="5B6016EB" w:rsidR="00544524" w:rsidRPr="008A3778" w:rsidRDefault="00236B33" w:rsidP="003A214B">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Furthermore, </w:t>
      </w:r>
      <w:r w:rsidR="00D37B41" w:rsidRPr="008A3778">
        <w:rPr>
          <w:rFonts w:ascii="Helvetica" w:hAnsi="Helvetica" w:cs="Helvetica"/>
          <w:lang w:val="en-GB"/>
        </w:rPr>
        <w:t xml:space="preserve">understandably </w:t>
      </w:r>
      <w:r w:rsidRPr="008A3778">
        <w:rPr>
          <w:rFonts w:ascii="Helvetica" w:hAnsi="Helvetica" w:cs="Helvetica"/>
          <w:lang w:val="en-GB"/>
        </w:rPr>
        <w:t>none of the aforesaid decisions consider</w:t>
      </w:r>
      <w:r w:rsidR="00754D99" w:rsidRPr="008A3778">
        <w:rPr>
          <w:rFonts w:ascii="Helvetica" w:hAnsi="Helvetica" w:cs="Helvetica"/>
          <w:lang w:val="en-GB"/>
        </w:rPr>
        <w:t xml:space="preserve"> or traverse </w:t>
      </w:r>
      <w:r w:rsidRPr="008A3778">
        <w:rPr>
          <w:rFonts w:ascii="Helvetica" w:hAnsi="Helvetica" w:cs="Helvetica"/>
          <w:lang w:val="en-GB"/>
        </w:rPr>
        <w:t>the impact of section 37C</w:t>
      </w:r>
      <w:r w:rsidR="008B6F28" w:rsidRPr="008A3778">
        <w:rPr>
          <w:rFonts w:ascii="Helvetica" w:hAnsi="Helvetica" w:cs="Helvetica"/>
          <w:lang w:val="en-GB"/>
        </w:rPr>
        <w:t>, within the context of section 13</w:t>
      </w:r>
      <w:r w:rsidR="00F90EB1" w:rsidRPr="008A3778">
        <w:rPr>
          <w:rFonts w:ascii="Helvetica" w:hAnsi="Helvetica" w:cs="Helvetica"/>
          <w:lang w:val="en-GB"/>
        </w:rPr>
        <w:t xml:space="preserve"> of the PFA (discussed below)</w:t>
      </w:r>
      <w:r w:rsidR="008B6F28" w:rsidRPr="008A3778">
        <w:rPr>
          <w:rFonts w:ascii="Helvetica" w:hAnsi="Helvetica" w:cs="Helvetica"/>
          <w:lang w:val="en-GB"/>
        </w:rPr>
        <w:t xml:space="preserve"> and the ninth respondent’s rules. </w:t>
      </w:r>
      <w:r w:rsidR="00EB4304" w:rsidRPr="008A3778">
        <w:rPr>
          <w:rFonts w:ascii="Helvetica" w:hAnsi="Helvetica" w:cs="Helvetica"/>
          <w:lang w:val="en-GB"/>
        </w:rPr>
        <w:t>I have</w:t>
      </w:r>
      <w:r w:rsidR="00754D99" w:rsidRPr="008A3778">
        <w:rPr>
          <w:rFonts w:ascii="Helvetica" w:hAnsi="Helvetica" w:cs="Helvetica"/>
          <w:lang w:val="en-GB"/>
        </w:rPr>
        <w:t xml:space="preserve"> already </w:t>
      </w:r>
      <w:r w:rsidR="00EB4304" w:rsidRPr="008A3778">
        <w:rPr>
          <w:rFonts w:ascii="Helvetica" w:hAnsi="Helvetica" w:cs="Helvetica"/>
          <w:lang w:val="en-GB"/>
        </w:rPr>
        <w:t xml:space="preserve">dealt with the legislative supremacy afforded to section 37C. </w:t>
      </w:r>
      <w:r w:rsidR="00A77629" w:rsidRPr="008A3778">
        <w:rPr>
          <w:rFonts w:ascii="Helvetica" w:hAnsi="Helvetica" w:cs="Helvetica"/>
          <w:lang w:val="en-GB"/>
        </w:rPr>
        <w:t xml:space="preserve">As such, the High Court cannot be </w:t>
      </w:r>
      <w:r w:rsidR="00544524" w:rsidRPr="008A3778">
        <w:rPr>
          <w:rFonts w:ascii="Helvetica" w:hAnsi="Helvetica" w:cs="Helvetica"/>
          <w:lang w:val="en-GB"/>
        </w:rPr>
        <w:t>criticised</w:t>
      </w:r>
      <w:r w:rsidR="00754D99" w:rsidRPr="008A3778">
        <w:rPr>
          <w:rFonts w:ascii="Helvetica" w:hAnsi="Helvetica" w:cs="Helvetica"/>
          <w:lang w:val="en-GB"/>
        </w:rPr>
        <w:t>,</w:t>
      </w:r>
      <w:r w:rsidR="00D03D32" w:rsidRPr="008A3778">
        <w:rPr>
          <w:rFonts w:ascii="Helvetica" w:hAnsi="Helvetica" w:cs="Helvetica"/>
          <w:lang w:val="en-GB"/>
        </w:rPr>
        <w:t xml:space="preserve"> as the appellants seek to do,</w:t>
      </w:r>
      <w:r w:rsidR="00754D99" w:rsidRPr="008A3778">
        <w:rPr>
          <w:rFonts w:ascii="Helvetica" w:hAnsi="Helvetica" w:cs="Helvetica"/>
          <w:lang w:val="en-GB"/>
        </w:rPr>
        <w:t xml:space="preserve"> for disposing of </w:t>
      </w:r>
      <w:r w:rsidR="00544524" w:rsidRPr="008A3778">
        <w:rPr>
          <w:rFonts w:ascii="Helvetica" w:hAnsi="Helvetica" w:cs="Helvetica"/>
          <w:lang w:val="en-GB"/>
        </w:rPr>
        <w:t xml:space="preserve">the section 30P application </w:t>
      </w:r>
      <w:r w:rsidR="00D03D32" w:rsidRPr="008A3778">
        <w:rPr>
          <w:rFonts w:ascii="Helvetica" w:hAnsi="Helvetica" w:cs="Helvetica"/>
          <w:lang w:val="en-GB"/>
        </w:rPr>
        <w:t>in terms of</w:t>
      </w:r>
      <w:r w:rsidR="00754D99" w:rsidRPr="008A3778">
        <w:rPr>
          <w:rFonts w:ascii="Helvetica" w:hAnsi="Helvetica" w:cs="Helvetica"/>
          <w:lang w:val="en-GB"/>
        </w:rPr>
        <w:t xml:space="preserve">, </w:t>
      </w:r>
      <w:r w:rsidR="00023D47" w:rsidRPr="00023D47">
        <w:rPr>
          <w:rFonts w:ascii="Helvetica" w:hAnsi="Helvetica" w:cs="Helvetica"/>
          <w:i/>
          <w:iCs/>
          <w:lang w:val="en-GB"/>
        </w:rPr>
        <w:t>inter-alia</w:t>
      </w:r>
      <w:r w:rsidR="00754D99" w:rsidRPr="008A3778">
        <w:rPr>
          <w:rFonts w:ascii="Helvetica" w:hAnsi="Helvetica" w:cs="Helvetica"/>
          <w:lang w:val="en-GB"/>
        </w:rPr>
        <w:t>,</w:t>
      </w:r>
      <w:r w:rsidR="00544524" w:rsidRPr="008A3778">
        <w:rPr>
          <w:rFonts w:ascii="Helvetica" w:hAnsi="Helvetica" w:cs="Helvetica"/>
          <w:lang w:val="en-GB"/>
        </w:rPr>
        <w:t xml:space="preserve"> section</w:t>
      </w:r>
      <w:r w:rsidR="00754D99" w:rsidRPr="008A3778">
        <w:rPr>
          <w:rFonts w:ascii="Helvetica" w:hAnsi="Helvetica" w:cs="Helvetica"/>
          <w:lang w:val="en-GB"/>
        </w:rPr>
        <w:t xml:space="preserve"> 37C. </w:t>
      </w:r>
    </w:p>
    <w:p w14:paraId="416E7964" w14:textId="2D7B6980" w:rsidR="00200366" w:rsidRPr="008A3778" w:rsidRDefault="00200366"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Likewise, the </w:t>
      </w:r>
      <w:r w:rsidRPr="008A3778">
        <w:rPr>
          <w:rFonts w:ascii="Helvetica" w:eastAsia="HGMaruGothicMPRO" w:hAnsi="Helvetica" w:cs="Helvetica"/>
          <w:lang w:val="en-GB"/>
        </w:rPr>
        <w:t>appellants</w:t>
      </w:r>
      <w:r w:rsidRPr="008A3778">
        <w:rPr>
          <w:rFonts w:ascii="Helvetica" w:eastAsia="Calibri" w:hAnsi="Helvetica" w:cs="Helvetica"/>
          <w:lang w:val="en-GB"/>
        </w:rPr>
        <w:t xml:space="preserve"> are also unable to find any comfort in the Divorce Act, 1979. The Divorce </w:t>
      </w:r>
      <w:r w:rsidRPr="008A3778">
        <w:rPr>
          <w:rFonts w:ascii="Helvetica" w:hAnsi="Helvetica" w:cs="Helvetica"/>
          <w:lang w:val="en-GB"/>
        </w:rPr>
        <w:t>Act</w:t>
      </w:r>
      <w:r w:rsidRPr="008A3778">
        <w:rPr>
          <w:rFonts w:ascii="Helvetica" w:eastAsia="Calibri" w:hAnsi="Helvetica" w:cs="Helvetica"/>
          <w:lang w:val="en-GB"/>
        </w:rPr>
        <w:t xml:space="preserve"> simply does not apply. This is because, as already mentioned, Mr </w:t>
      </w:r>
      <w:r w:rsidR="003C7641" w:rsidRPr="008A3778">
        <w:rPr>
          <w:rFonts w:ascii="Helvetica" w:eastAsia="Calibri" w:hAnsi="Helvetica" w:cs="Helvetica"/>
          <w:lang w:val="en-GB"/>
        </w:rPr>
        <w:t>Collatz</w:t>
      </w:r>
      <w:r w:rsidRPr="008A3778">
        <w:rPr>
          <w:rFonts w:ascii="Helvetica" w:eastAsia="Calibri" w:hAnsi="Helvetica" w:cs="Helvetica"/>
          <w:lang w:val="en-GB"/>
        </w:rPr>
        <w:t xml:space="preserve"> pass</w:t>
      </w:r>
      <w:r w:rsidR="00F65C1F">
        <w:rPr>
          <w:rFonts w:ascii="Helvetica" w:eastAsia="Calibri" w:hAnsi="Helvetica" w:cs="Helvetica"/>
          <w:lang w:val="en-GB"/>
        </w:rPr>
        <w:t>ed</w:t>
      </w:r>
      <w:r w:rsidRPr="008A3778">
        <w:rPr>
          <w:rFonts w:ascii="Helvetica" w:eastAsia="Calibri" w:hAnsi="Helvetica" w:cs="Helvetica"/>
          <w:lang w:val="en-GB"/>
        </w:rPr>
        <w:t xml:space="preserve"> away before the finalisation of their divorce. As such, their marriage terminated as a result of his passing and not as a result of </w:t>
      </w:r>
      <w:r w:rsidR="00F65C1F">
        <w:rPr>
          <w:rFonts w:ascii="Helvetica" w:eastAsia="Calibri" w:hAnsi="Helvetica" w:cs="Helvetica"/>
          <w:lang w:val="en-GB"/>
        </w:rPr>
        <w:t>a</w:t>
      </w:r>
      <w:r w:rsidRPr="008A3778">
        <w:rPr>
          <w:rFonts w:ascii="Helvetica" w:eastAsia="Calibri" w:hAnsi="Helvetica" w:cs="Helvetica"/>
          <w:lang w:val="en-GB"/>
        </w:rPr>
        <w:t xml:space="preserve"> divorce. </w:t>
      </w:r>
    </w:p>
    <w:p w14:paraId="4CEF2E33" w14:textId="39F6774D" w:rsidR="000F1305" w:rsidRPr="008A3778" w:rsidRDefault="000F1305" w:rsidP="006D580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In broad terms, the respondents</w:t>
      </w:r>
      <w:r w:rsidR="00074554" w:rsidRPr="008A3778">
        <w:rPr>
          <w:rFonts w:ascii="Helvetica" w:hAnsi="Helvetica" w:cs="Helvetica"/>
          <w:lang w:val="en-GB"/>
        </w:rPr>
        <w:t xml:space="preserve"> </w:t>
      </w:r>
      <w:r w:rsidRPr="008A3778">
        <w:rPr>
          <w:rFonts w:ascii="Helvetica" w:hAnsi="Helvetica" w:cs="Helvetica"/>
          <w:lang w:val="en-GB"/>
        </w:rPr>
        <w:t>oppose</w:t>
      </w:r>
      <w:r w:rsidR="00F65C1F">
        <w:rPr>
          <w:rFonts w:ascii="Helvetica" w:hAnsi="Helvetica" w:cs="Helvetica"/>
          <w:lang w:val="en-GB"/>
        </w:rPr>
        <w:t>d</w:t>
      </w:r>
      <w:r w:rsidRPr="008A3778">
        <w:rPr>
          <w:rFonts w:ascii="Helvetica" w:hAnsi="Helvetica" w:cs="Helvetica"/>
          <w:lang w:val="en-GB"/>
        </w:rPr>
        <w:t xml:space="preserve"> the </w:t>
      </w:r>
      <w:r w:rsidR="00074554" w:rsidRPr="008A3778">
        <w:rPr>
          <w:rFonts w:ascii="Helvetica" w:hAnsi="Helvetica" w:cs="Helvetica"/>
          <w:lang w:val="en-GB"/>
        </w:rPr>
        <w:t xml:space="preserve">section 30P </w:t>
      </w:r>
      <w:r w:rsidRPr="008A3778">
        <w:rPr>
          <w:rFonts w:ascii="Helvetica" w:hAnsi="Helvetica" w:cs="Helvetica"/>
          <w:lang w:val="en-GB"/>
        </w:rPr>
        <w:t>application</w:t>
      </w:r>
      <w:r w:rsidR="00F65C1F">
        <w:rPr>
          <w:rFonts w:ascii="Helvetica" w:hAnsi="Helvetica" w:cs="Helvetica"/>
          <w:lang w:val="en-GB"/>
        </w:rPr>
        <w:t>, and this appeal,</w:t>
      </w:r>
      <w:r w:rsidRPr="008A3778">
        <w:rPr>
          <w:rFonts w:ascii="Helvetica" w:hAnsi="Helvetica" w:cs="Helvetica"/>
          <w:lang w:val="en-GB"/>
        </w:rPr>
        <w:t xml:space="preserve"> on the basis that </w:t>
      </w:r>
      <w:r w:rsidR="00006B2C" w:rsidRPr="008A3778">
        <w:rPr>
          <w:rFonts w:ascii="Helvetica" w:hAnsi="Helvetica" w:cs="Helvetica"/>
          <w:lang w:val="en-GB"/>
        </w:rPr>
        <w:t xml:space="preserve">the </w:t>
      </w:r>
      <w:r w:rsidR="00F90EB1" w:rsidRPr="008A3778">
        <w:rPr>
          <w:rFonts w:ascii="Helvetica" w:hAnsi="Helvetica" w:cs="Helvetica"/>
          <w:lang w:val="en-GB"/>
        </w:rPr>
        <w:t xml:space="preserve">withdrawal </w:t>
      </w:r>
      <w:r w:rsidR="00006B2C" w:rsidRPr="008A3778">
        <w:rPr>
          <w:rFonts w:ascii="Helvetica" w:hAnsi="Helvetica" w:cs="Helvetica"/>
          <w:lang w:val="en-GB"/>
        </w:rPr>
        <w:t>benefit never formed part</w:t>
      </w:r>
      <w:r w:rsidR="00F90EB1" w:rsidRPr="008A3778">
        <w:rPr>
          <w:rFonts w:ascii="Helvetica" w:hAnsi="Helvetica" w:cs="Helvetica"/>
          <w:lang w:val="en-GB"/>
        </w:rPr>
        <w:t xml:space="preserve"> of, and did not accrue to,</w:t>
      </w:r>
      <w:r w:rsidR="00006B2C" w:rsidRPr="008A3778">
        <w:rPr>
          <w:rFonts w:ascii="Helvetica" w:hAnsi="Helvetica" w:cs="Helvetica"/>
          <w:lang w:val="en-GB"/>
        </w:rPr>
        <w:t xml:space="preserve"> the joint estate</w:t>
      </w:r>
      <w:r w:rsidR="00F90EB1" w:rsidRPr="008A3778">
        <w:rPr>
          <w:rFonts w:ascii="Helvetica" w:hAnsi="Helvetica" w:cs="Helvetica"/>
          <w:lang w:val="en-GB"/>
        </w:rPr>
        <w:t>. As such,</w:t>
      </w:r>
      <w:r w:rsidR="00006B2C" w:rsidRPr="008A3778">
        <w:rPr>
          <w:rFonts w:ascii="Helvetica" w:hAnsi="Helvetica" w:cs="Helvetica"/>
          <w:lang w:val="en-GB"/>
        </w:rPr>
        <w:t xml:space="preserve"> </w:t>
      </w:r>
      <w:r w:rsidRPr="008A3778">
        <w:rPr>
          <w:rFonts w:ascii="Helvetica" w:hAnsi="Helvetica" w:cs="Helvetica"/>
          <w:lang w:val="en-GB"/>
        </w:rPr>
        <w:t xml:space="preserve">Mr. Collatz was able to deal with the withdrawal benefit as he </w:t>
      </w:r>
      <w:r w:rsidRPr="008A3778">
        <w:rPr>
          <w:rFonts w:ascii="Helvetica" w:eastAsia="HGMaruGothicMPRO" w:hAnsi="Helvetica" w:cs="Helvetica"/>
          <w:lang w:val="en-GB"/>
        </w:rPr>
        <w:t>pleased</w:t>
      </w:r>
      <w:r w:rsidR="00490B61" w:rsidRPr="008A3778">
        <w:rPr>
          <w:rFonts w:ascii="Helvetica" w:eastAsia="HGMaruGothicMPRO" w:hAnsi="Helvetica" w:cs="Helvetica"/>
          <w:lang w:val="en-GB"/>
        </w:rPr>
        <w:t xml:space="preserve"> given, </w:t>
      </w:r>
      <w:r w:rsidR="00023D47" w:rsidRPr="00023D47">
        <w:rPr>
          <w:rFonts w:ascii="Helvetica" w:eastAsia="HGMaruGothicMPRO" w:hAnsi="Helvetica" w:cs="Helvetica"/>
          <w:i/>
          <w:iCs/>
          <w:lang w:val="en-GB"/>
        </w:rPr>
        <w:t>inter-alia</w:t>
      </w:r>
      <w:r w:rsidR="00490B61" w:rsidRPr="008A3778">
        <w:rPr>
          <w:rFonts w:ascii="Helvetica" w:eastAsia="HGMaruGothicMPRO" w:hAnsi="Helvetica" w:cs="Helvetica"/>
          <w:lang w:val="en-GB"/>
        </w:rPr>
        <w:t>, the ninth respondent’s rules</w:t>
      </w:r>
      <w:r w:rsidRPr="008A3778">
        <w:rPr>
          <w:rFonts w:ascii="Helvetica" w:hAnsi="Helvetica" w:cs="Helvetica"/>
          <w:lang w:val="en-GB"/>
        </w:rPr>
        <w:t xml:space="preserve"> </w:t>
      </w:r>
      <w:r w:rsidRPr="008A3778">
        <w:rPr>
          <w:rFonts w:ascii="Helvetica" w:eastAsia="HGMaruGothicMPRO" w:hAnsi="Helvetica" w:cs="Helvetica"/>
          <w:lang w:val="en-GB"/>
        </w:rPr>
        <w:t>and</w:t>
      </w:r>
      <w:r w:rsidRPr="008A3778">
        <w:rPr>
          <w:rFonts w:ascii="Helvetica" w:hAnsi="Helvetica" w:cs="Helvetica"/>
          <w:lang w:val="en-GB"/>
        </w:rPr>
        <w:t xml:space="preserve">, in so doing, </w:t>
      </w:r>
      <w:r w:rsidR="003C7641" w:rsidRPr="008A3778">
        <w:rPr>
          <w:rFonts w:ascii="Helvetica" w:hAnsi="Helvetica" w:cs="Helvetica"/>
          <w:lang w:val="en-GB"/>
        </w:rPr>
        <w:t>Mr.</w:t>
      </w:r>
      <w:r w:rsidRPr="008A3778">
        <w:rPr>
          <w:rFonts w:ascii="Helvetica" w:hAnsi="Helvetica" w:cs="Helvetica"/>
          <w:lang w:val="en-GB"/>
        </w:rPr>
        <w:t xml:space="preserve"> Bakos</w:t>
      </w:r>
      <w:r w:rsidR="00F90EB1" w:rsidRPr="008A3778">
        <w:rPr>
          <w:rFonts w:ascii="Helvetica" w:hAnsi="Helvetica" w:cs="Helvetica"/>
          <w:lang w:val="en-GB"/>
        </w:rPr>
        <w:t xml:space="preserve"> was instructed</w:t>
      </w:r>
      <w:r w:rsidRPr="008A3778">
        <w:rPr>
          <w:rFonts w:ascii="Helvetica" w:hAnsi="Helvetica" w:cs="Helvetica"/>
          <w:lang w:val="en-GB"/>
        </w:rPr>
        <w:t xml:space="preserve"> to place the funds in </w:t>
      </w:r>
      <w:r w:rsidR="00490B61" w:rsidRPr="008A3778">
        <w:rPr>
          <w:rFonts w:ascii="Helvetica" w:hAnsi="Helvetica" w:cs="Helvetica"/>
          <w:lang w:val="en-GB"/>
        </w:rPr>
        <w:t>a</w:t>
      </w:r>
      <w:r w:rsidR="00F90EB1" w:rsidRPr="008A3778">
        <w:rPr>
          <w:rFonts w:ascii="Helvetica" w:hAnsi="Helvetica" w:cs="Helvetica"/>
          <w:lang w:val="en-GB"/>
        </w:rPr>
        <w:t>n</w:t>
      </w:r>
      <w:r w:rsidR="00490B61" w:rsidRPr="008A3778">
        <w:rPr>
          <w:rFonts w:ascii="Helvetica" w:hAnsi="Helvetica" w:cs="Helvetica"/>
          <w:lang w:val="en-GB"/>
        </w:rPr>
        <w:t xml:space="preserve"> </w:t>
      </w:r>
      <w:r w:rsidR="00BB0C87" w:rsidRPr="008A3778">
        <w:rPr>
          <w:rFonts w:ascii="Helvetica" w:eastAsia="Calibri" w:hAnsi="Helvetica" w:cs="Helvetica"/>
          <w:lang w:val="en-GB"/>
        </w:rPr>
        <w:t>annuity</w:t>
      </w:r>
      <w:r w:rsidR="00490B61" w:rsidRPr="008A3778">
        <w:rPr>
          <w:rFonts w:ascii="Helvetica" w:hAnsi="Helvetica" w:cs="Helvetica"/>
          <w:lang w:val="en-GB"/>
        </w:rPr>
        <w:t xml:space="preserve"> (</w:t>
      </w:r>
      <w:r w:rsidRPr="008A3778">
        <w:rPr>
          <w:rFonts w:ascii="Helvetica" w:hAnsi="Helvetica" w:cs="Helvetica"/>
          <w:lang w:val="en-GB"/>
        </w:rPr>
        <w:t>fund</w:t>
      </w:r>
      <w:r w:rsidR="00490B61" w:rsidRPr="008A3778">
        <w:rPr>
          <w:rFonts w:ascii="Helvetica" w:hAnsi="Helvetica" w:cs="Helvetica"/>
          <w:lang w:val="en-GB"/>
        </w:rPr>
        <w:t>)</w:t>
      </w:r>
      <w:r w:rsidRPr="008A3778">
        <w:rPr>
          <w:rFonts w:ascii="Helvetica" w:hAnsi="Helvetica" w:cs="Helvetica"/>
          <w:lang w:val="en-GB"/>
        </w:rPr>
        <w:t xml:space="preserve"> investment vehicle of </w:t>
      </w:r>
      <w:r w:rsidR="00F90EB1" w:rsidRPr="008A3778">
        <w:rPr>
          <w:rFonts w:ascii="Helvetica" w:hAnsi="Helvetica" w:cs="Helvetica"/>
          <w:lang w:val="en-GB"/>
        </w:rPr>
        <w:t>Mr. Collatz’s</w:t>
      </w:r>
      <w:r w:rsidRPr="008A3778">
        <w:rPr>
          <w:rFonts w:ascii="Helvetica" w:hAnsi="Helvetica" w:cs="Helvetica"/>
          <w:lang w:val="en-GB"/>
        </w:rPr>
        <w:t xml:space="preserve"> choice, being the second respondent’s </w:t>
      </w:r>
      <w:r w:rsidR="00BB0C87" w:rsidRPr="008A3778">
        <w:rPr>
          <w:rFonts w:ascii="Helvetica" w:hAnsi="Helvetica" w:cs="Helvetica"/>
          <w:lang w:val="en-GB"/>
        </w:rPr>
        <w:t>annuity</w:t>
      </w:r>
      <w:r w:rsidRPr="008A3778">
        <w:rPr>
          <w:rFonts w:ascii="Helvetica" w:hAnsi="Helvetica" w:cs="Helvetica"/>
          <w:lang w:val="en-GB"/>
        </w:rPr>
        <w:t xml:space="preserve"> fund. </w:t>
      </w:r>
    </w:p>
    <w:p w14:paraId="1C07E11E" w14:textId="77777777" w:rsidR="00F65C1F" w:rsidRPr="00F65C1F" w:rsidRDefault="00F65C1F"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Pr>
          <w:rFonts w:ascii="Helvetica" w:eastAsia="HGMaruGothicMPRO" w:hAnsi="Helvetica" w:cs="Helvetica"/>
          <w:lang w:val="en-GB"/>
        </w:rPr>
        <w:t xml:space="preserve">Regard is also to be had to </w:t>
      </w:r>
      <w:r w:rsidR="00924480" w:rsidRPr="008A3778">
        <w:rPr>
          <w:rFonts w:ascii="Helvetica" w:eastAsia="HGMaruGothicMPRO" w:hAnsi="Helvetica" w:cs="Helvetica"/>
          <w:lang w:val="en-GB"/>
        </w:rPr>
        <w:t>the binding nature of the ninth respondent</w:t>
      </w:r>
      <w:r w:rsidR="00B87A73" w:rsidRPr="008A3778">
        <w:rPr>
          <w:rFonts w:ascii="Helvetica" w:eastAsia="HGMaruGothicMPRO" w:hAnsi="Helvetica" w:cs="Helvetica"/>
          <w:lang w:val="en-GB"/>
        </w:rPr>
        <w:t xml:space="preserve">’s rules </w:t>
      </w:r>
      <w:r w:rsidR="00924480" w:rsidRPr="008A3778">
        <w:rPr>
          <w:rFonts w:ascii="Helvetica" w:eastAsia="HGMaruGothicMPRO" w:hAnsi="Helvetica" w:cs="Helvetica"/>
          <w:lang w:val="en-GB"/>
        </w:rPr>
        <w:t>within the context of section 13 of the PFA</w:t>
      </w:r>
      <w:r w:rsidR="00D37B41" w:rsidRPr="008A3778">
        <w:rPr>
          <w:rFonts w:ascii="Helvetica" w:eastAsia="HGMaruGothicMPRO" w:hAnsi="Helvetica" w:cs="Helvetica"/>
          <w:lang w:val="en-GB"/>
        </w:rPr>
        <w:t>;</w:t>
      </w:r>
      <w:r w:rsidR="00924480" w:rsidRPr="008A3778">
        <w:rPr>
          <w:rFonts w:ascii="Helvetica" w:eastAsia="HGMaruGothicMPRO" w:hAnsi="Helvetica" w:cs="Helvetica"/>
          <w:vertAlign w:val="superscript"/>
          <w:lang w:val="en-GB"/>
        </w:rPr>
        <w:footnoteReference w:id="63"/>
      </w:r>
      <w:r w:rsidR="00074554" w:rsidRPr="008A3778">
        <w:rPr>
          <w:rFonts w:ascii="Helvetica" w:eastAsia="HGMaruGothicMPRO" w:hAnsi="Helvetica" w:cs="Helvetica"/>
          <w:lang w:val="en-GB"/>
        </w:rPr>
        <w:t xml:space="preserve"> </w:t>
      </w:r>
      <w:r w:rsidR="00D37B41" w:rsidRPr="008A3778">
        <w:rPr>
          <w:rFonts w:ascii="Helvetica" w:eastAsia="HGMaruGothicMPRO" w:hAnsi="Helvetica" w:cs="Helvetica"/>
          <w:lang w:val="en-GB"/>
        </w:rPr>
        <w:t>s</w:t>
      </w:r>
      <w:r w:rsidR="00074554" w:rsidRPr="008A3778">
        <w:rPr>
          <w:rFonts w:ascii="Helvetica" w:eastAsia="HGMaruGothicMPRO" w:hAnsi="Helvetica" w:cs="Helvetica"/>
          <w:lang w:val="en-GB"/>
        </w:rPr>
        <w:t>pecific regard</w:t>
      </w:r>
      <w:r w:rsidR="00D37B41" w:rsidRPr="008A3778">
        <w:rPr>
          <w:rFonts w:ascii="Helvetica" w:eastAsia="HGMaruGothicMPRO" w:hAnsi="Helvetica" w:cs="Helvetica"/>
          <w:lang w:val="en-GB"/>
        </w:rPr>
        <w:t xml:space="preserve"> </w:t>
      </w:r>
      <w:r>
        <w:rPr>
          <w:rFonts w:ascii="Helvetica" w:eastAsia="HGMaruGothicMPRO" w:hAnsi="Helvetica" w:cs="Helvetica"/>
          <w:lang w:val="en-GB"/>
        </w:rPr>
        <w:t xml:space="preserve">however </w:t>
      </w:r>
      <w:r w:rsidR="00D37B41" w:rsidRPr="008A3778">
        <w:rPr>
          <w:rFonts w:ascii="Helvetica" w:eastAsia="HGMaruGothicMPRO" w:hAnsi="Helvetica" w:cs="Helvetica"/>
          <w:lang w:val="en-GB"/>
        </w:rPr>
        <w:t xml:space="preserve">being had to </w:t>
      </w:r>
      <w:r w:rsidR="00B87A73" w:rsidRPr="008A3778">
        <w:rPr>
          <w:rFonts w:ascii="Helvetica" w:eastAsia="HGMaruGothicMPRO" w:hAnsi="Helvetica" w:cs="Helvetica"/>
          <w:lang w:val="en-GB"/>
        </w:rPr>
        <w:t xml:space="preserve">the ninth </w:t>
      </w:r>
      <w:r w:rsidR="00B87A73" w:rsidRPr="008A3778">
        <w:rPr>
          <w:rFonts w:ascii="Helvetica" w:eastAsia="HGMaruGothicMPRO" w:hAnsi="Helvetica" w:cs="Helvetica"/>
          <w:lang w:val="en-GB"/>
        </w:rPr>
        <w:lastRenderedPageBreak/>
        <w:t xml:space="preserve">respondent’s </w:t>
      </w:r>
      <w:r w:rsidR="00924480" w:rsidRPr="008A3778">
        <w:rPr>
          <w:rFonts w:ascii="Helvetica" w:eastAsia="HGMaruGothicMPRO" w:hAnsi="Helvetica" w:cs="Helvetica"/>
          <w:lang w:val="en-GB"/>
        </w:rPr>
        <w:t>rule 7.2.2</w:t>
      </w:r>
      <w:r w:rsidR="00D37B41" w:rsidRPr="008A3778">
        <w:rPr>
          <w:rFonts w:ascii="Helvetica" w:eastAsia="HGMaruGothicMPRO" w:hAnsi="Helvetica" w:cs="Helvetica"/>
          <w:lang w:val="en-GB"/>
        </w:rPr>
        <w:t>. It</w:t>
      </w:r>
      <w:r w:rsidR="00924480" w:rsidRPr="008A3778">
        <w:rPr>
          <w:rFonts w:ascii="Helvetica" w:eastAsia="HGMaruGothicMPRO" w:hAnsi="Helvetica" w:cs="Helvetica"/>
          <w:lang w:val="en-GB"/>
        </w:rPr>
        <w:t xml:space="preserve"> provides that a member may, instead of receiving a benefit entirely in cash, transfer all or part of the benefit to an approved </w:t>
      </w:r>
      <w:r w:rsidR="00BB0C87" w:rsidRPr="008A3778">
        <w:rPr>
          <w:rFonts w:ascii="Helvetica" w:eastAsia="HGMaruGothicMPRO" w:hAnsi="Helvetica" w:cs="Helvetica"/>
          <w:lang w:val="en-GB"/>
        </w:rPr>
        <w:t>annuity</w:t>
      </w:r>
      <w:r w:rsidR="00924480" w:rsidRPr="008A3778">
        <w:rPr>
          <w:rFonts w:ascii="Helvetica" w:eastAsia="HGMaruGothicMPRO" w:hAnsi="Helvetica" w:cs="Helvetica"/>
          <w:lang w:val="en-GB"/>
        </w:rPr>
        <w:t xml:space="preserve"> fund.</w:t>
      </w:r>
      <w:r w:rsidR="00B87A73" w:rsidRPr="008A3778">
        <w:rPr>
          <w:rFonts w:ascii="Helvetica" w:eastAsia="HGMaruGothicMPRO" w:hAnsi="Helvetica" w:cs="Helvetica"/>
          <w:lang w:val="en-GB"/>
        </w:rPr>
        <w:t xml:space="preserve"> </w:t>
      </w:r>
      <w:r w:rsidR="00074554" w:rsidRPr="008A3778">
        <w:rPr>
          <w:rFonts w:ascii="Helvetica" w:eastAsia="HGMaruGothicMPRO" w:hAnsi="Helvetica" w:cs="Helvetica"/>
          <w:lang w:val="en-GB"/>
        </w:rPr>
        <w:t>The</w:t>
      </w:r>
      <w:r w:rsidR="00B87A73" w:rsidRPr="008A3778">
        <w:rPr>
          <w:rFonts w:ascii="Helvetica" w:eastAsia="HGMaruGothicMPRO" w:hAnsi="Helvetica" w:cs="Helvetica"/>
          <w:lang w:val="en-GB"/>
        </w:rPr>
        <w:t xml:space="preserve"> respondents argue that this </w:t>
      </w:r>
      <w:r w:rsidR="00924480" w:rsidRPr="008A3778">
        <w:rPr>
          <w:rFonts w:ascii="Helvetica" w:eastAsia="HGMaruGothicMPRO" w:hAnsi="Helvetica" w:cs="Helvetica"/>
          <w:lang w:val="en-GB"/>
        </w:rPr>
        <w:t xml:space="preserve">is what Mr. Collatz did. </w:t>
      </w:r>
      <w:r w:rsidR="00B151AA" w:rsidRPr="008A3778">
        <w:rPr>
          <w:rFonts w:ascii="Helvetica" w:eastAsia="HGMaruGothicMPRO" w:hAnsi="Helvetica" w:cs="Helvetica"/>
          <w:lang w:val="en-GB"/>
        </w:rPr>
        <w:t xml:space="preserve">The funds representing the withdrawal benefit were, </w:t>
      </w:r>
      <w:r w:rsidR="00CF7A2E" w:rsidRPr="008A3778">
        <w:rPr>
          <w:rFonts w:ascii="Helvetica" w:eastAsia="HGMaruGothicMPRO" w:hAnsi="Helvetica" w:cs="Helvetica"/>
          <w:lang w:val="en-GB"/>
        </w:rPr>
        <w:t xml:space="preserve">pursuant to his instruction, </w:t>
      </w:r>
      <w:r w:rsidR="00B151AA" w:rsidRPr="008A3778">
        <w:rPr>
          <w:rFonts w:ascii="Helvetica" w:eastAsia="HGMaruGothicMPRO" w:hAnsi="Helvetica" w:cs="Helvetica"/>
          <w:lang w:val="en-GB"/>
        </w:rPr>
        <w:t xml:space="preserve">transferred to an annuity fund investment with the second respondent. </w:t>
      </w:r>
      <w:r w:rsidR="005C2646" w:rsidRPr="008A3778">
        <w:rPr>
          <w:rFonts w:ascii="Helvetica" w:eastAsia="HGMaruGothicMPRO" w:hAnsi="Helvetica" w:cs="Helvetica"/>
          <w:lang w:val="en-GB"/>
        </w:rPr>
        <w:t>Moreover, the ninth respondent’s rule 7.2.2</w:t>
      </w:r>
      <w:r w:rsidR="00F90EB1" w:rsidRPr="008A3778">
        <w:rPr>
          <w:rFonts w:ascii="Helvetica" w:eastAsia="HGMaruGothicMPRO" w:hAnsi="Helvetica" w:cs="Helvetica"/>
          <w:lang w:val="en-GB"/>
        </w:rPr>
        <w:t xml:space="preserve"> e</w:t>
      </w:r>
      <w:r w:rsidR="005C2646" w:rsidRPr="008A3778">
        <w:rPr>
          <w:rFonts w:ascii="Helvetica" w:eastAsia="HGMaruGothicMPRO" w:hAnsi="Helvetica" w:cs="Helvetica"/>
          <w:lang w:val="en-GB"/>
        </w:rPr>
        <w:t xml:space="preserve">ntitled Mr Collatz to transfer the withdrawal benefit to another fund, in this instance </w:t>
      </w:r>
      <w:r w:rsidR="00F90EB1" w:rsidRPr="008A3778">
        <w:rPr>
          <w:rFonts w:ascii="Helvetica" w:eastAsia="HGMaruGothicMPRO" w:hAnsi="Helvetica" w:cs="Helvetica"/>
          <w:lang w:val="en-GB"/>
        </w:rPr>
        <w:t>the</w:t>
      </w:r>
      <w:r w:rsidR="005C2646" w:rsidRPr="008A3778">
        <w:rPr>
          <w:rFonts w:ascii="Helvetica" w:eastAsia="HGMaruGothicMPRO" w:hAnsi="Helvetica" w:cs="Helvetica"/>
          <w:lang w:val="en-GB"/>
        </w:rPr>
        <w:t xml:space="preserve"> </w:t>
      </w:r>
      <w:r w:rsidR="00BB0C87" w:rsidRPr="008A3778">
        <w:rPr>
          <w:rFonts w:ascii="Helvetica" w:eastAsia="HGMaruGothicMPRO" w:hAnsi="Helvetica" w:cs="Helvetica"/>
          <w:lang w:val="en-GB"/>
        </w:rPr>
        <w:t>annuity</w:t>
      </w:r>
      <w:r w:rsidR="005C2646" w:rsidRPr="008A3778">
        <w:rPr>
          <w:rFonts w:ascii="Helvetica" w:eastAsia="HGMaruGothicMPRO" w:hAnsi="Helvetica" w:cs="Helvetica"/>
          <w:lang w:val="en-GB"/>
        </w:rPr>
        <w:t xml:space="preserve"> fund, without it having accrued to him. </w:t>
      </w:r>
    </w:p>
    <w:p w14:paraId="56FBD308" w14:textId="19CBFCD5" w:rsidR="009878E5" w:rsidRPr="008A3778" w:rsidRDefault="00CF7A2E"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HGMaruGothicMPRO" w:hAnsi="Helvetica" w:cs="Helvetica"/>
          <w:lang w:val="en-GB"/>
        </w:rPr>
        <w:t xml:space="preserve">The first and second respondents further argue that </w:t>
      </w:r>
      <w:r w:rsidRPr="008A3778">
        <w:rPr>
          <w:rFonts w:ascii="Helvetica" w:eastAsia="Calibri" w:hAnsi="Helvetica" w:cs="Helvetica"/>
          <w:lang w:val="en-GB"/>
        </w:rPr>
        <w:t>Mr</w:t>
      </w:r>
      <w:r w:rsidR="003C7641" w:rsidRPr="008A3778">
        <w:rPr>
          <w:rFonts w:ascii="Helvetica" w:eastAsia="Calibri" w:hAnsi="Helvetica" w:cs="Helvetica"/>
          <w:lang w:val="en-GB"/>
        </w:rPr>
        <w:t>.</w:t>
      </w:r>
      <w:r w:rsidRPr="008A3778">
        <w:rPr>
          <w:rFonts w:ascii="Helvetica" w:eastAsia="Calibri" w:hAnsi="Helvetica" w:cs="Helvetica"/>
          <w:lang w:val="en-GB"/>
        </w:rPr>
        <w:t xml:space="preserve"> Collatz’s intervening </w:t>
      </w:r>
      <w:r w:rsidRPr="008A3778">
        <w:rPr>
          <w:rFonts w:ascii="Helvetica" w:eastAsia="HGMaruGothicMPRO" w:hAnsi="Helvetica" w:cs="Helvetica"/>
          <w:lang w:val="en-GB"/>
        </w:rPr>
        <w:t>death triggered section 37C, and with it the consequences already dealt with in this judgement, including the benefits</w:t>
      </w:r>
      <w:r w:rsidR="0051584F" w:rsidRPr="008A3778">
        <w:rPr>
          <w:rFonts w:ascii="Helvetica" w:eastAsia="HGMaruGothicMPRO" w:hAnsi="Helvetica" w:cs="Helvetica"/>
          <w:lang w:val="en-GB"/>
        </w:rPr>
        <w:t xml:space="preserve"> being specifically excluded </w:t>
      </w:r>
      <w:r w:rsidR="00006B2C" w:rsidRPr="008A3778">
        <w:rPr>
          <w:rFonts w:ascii="Helvetica" w:eastAsia="HGMaruGothicMPRO" w:hAnsi="Helvetica" w:cs="Helvetica"/>
          <w:lang w:val="en-GB"/>
        </w:rPr>
        <w:t>as</w:t>
      </w:r>
      <w:r w:rsidRPr="008A3778">
        <w:rPr>
          <w:rFonts w:ascii="Helvetica" w:eastAsia="HGMaruGothicMPRO" w:hAnsi="Helvetica" w:cs="Helvetica"/>
          <w:lang w:val="en-GB"/>
        </w:rPr>
        <w:t xml:space="preserve"> assets in the </w:t>
      </w:r>
      <w:r w:rsidR="0051584F" w:rsidRPr="008A3778">
        <w:rPr>
          <w:rFonts w:ascii="Helvetica" w:eastAsia="HGMaruGothicMPRO" w:hAnsi="Helvetica" w:cs="Helvetica"/>
          <w:lang w:val="en-GB"/>
        </w:rPr>
        <w:t xml:space="preserve">deceased </w:t>
      </w:r>
      <w:r w:rsidRPr="008A3778">
        <w:rPr>
          <w:rFonts w:ascii="Helvetica" w:eastAsia="HGMaruGothicMPRO" w:hAnsi="Helvetica" w:cs="Helvetica"/>
          <w:lang w:val="en-GB"/>
        </w:rPr>
        <w:t xml:space="preserve">estate of </w:t>
      </w:r>
      <w:r w:rsidR="003C7641" w:rsidRPr="008A3778">
        <w:rPr>
          <w:rFonts w:ascii="Helvetica" w:eastAsia="HGMaruGothicMPRO" w:hAnsi="Helvetica" w:cs="Helvetica"/>
          <w:lang w:val="en-GB"/>
        </w:rPr>
        <w:t>Mr.</w:t>
      </w:r>
      <w:r w:rsidRPr="008A3778">
        <w:rPr>
          <w:rFonts w:ascii="Helvetica" w:eastAsia="HGMaruGothicMPRO" w:hAnsi="Helvetica" w:cs="Helvetica"/>
          <w:lang w:val="en-GB"/>
        </w:rPr>
        <w:t xml:space="preserve"> Collatz</w:t>
      </w:r>
      <w:r w:rsidR="002C697E" w:rsidRPr="008A3778">
        <w:rPr>
          <w:rFonts w:ascii="Helvetica" w:eastAsia="HGMaruGothicMPRO" w:hAnsi="Helvetica" w:cs="Helvetica"/>
          <w:lang w:val="en-GB"/>
        </w:rPr>
        <w:t>, or the joint estate.</w:t>
      </w:r>
      <w:r w:rsidRPr="008A3778">
        <w:rPr>
          <w:rFonts w:ascii="Helvetica" w:eastAsia="HGMaruGothicMPRO" w:hAnsi="Helvetica" w:cs="Helvetica"/>
          <w:vertAlign w:val="superscript"/>
          <w:lang w:val="en-GB"/>
        </w:rPr>
        <w:footnoteReference w:id="64"/>
      </w:r>
      <w:r w:rsidR="002C697E" w:rsidRPr="008A3778">
        <w:rPr>
          <w:rFonts w:ascii="Helvetica" w:eastAsia="HGMaruGothicMPRO" w:hAnsi="Helvetica" w:cs="Helvetica"/>
          <w:vertAlign w:val="superscript"/>
          <w:lang w:val="en-GB"/>
        </w:rPr>
        <w:t xml:space="preserve"> </w:t>
      </w:r>
      <w:r w:rsidR="009878E5" w:rsidRPr="008A3778">
        <w:rPr>
          <w:rFonts w:ascii="Helvetica" w:eastAsia="Calibri" w:hAnsi="Helvetica" w:cs="Helvetica"/>
          <w:lang w:val="en-GB"/>
        </w:rPr>
        <w:t xml:space="preserve">They further argue that because the second respondent has complied with its section 37C obligations, the funds represented by </w:t>
      </w:r>
      <w:r w:rsidR="00F65C1F">
        <w:rPr>
          <w:rFonts w:ascii="Helvetica" w:eastAsia="Calibri" w:hAnsi="Helvetica" w:cs="Helvetica"/>
          <w:lang w:val="en-GB"/>
        </w:rPr>
        <w:t xml:space="preserve">the </w:t>
      </w:r>
      <w:r w:rsidR="009878E5" w:rsidRPr="008A3778">
        <w:rPr>
          <w:rFonts w:ascii="Helvetica" w:eastAsia="Calibri" w:hAnsi="Helvetica" w:cs="Helvetica"/>
          <w:lang w:val="en-GB"/>
        </w:rPr>
        <w:t xml:space="preserve">benefits must be distributed </w:t>
      </w:r>
      <w:r w:rsidR="00F90EB1" w:rsidRPr="008A3778">
        <w:rPr>
          <w:rFonts w:ascii="Helvetica" w:eastAsia="Calibri" w:hAnsi="Helvetica" w:cs="Helvetica"/>
          <w:lang w:val="en-GB"/>
        </w:rPr>
        <w:t xml:space="preserve">in terms of </w:t>
      </w:r>
      <w:r w:rsidR="009878E5" w:rsidRPr="008A3778">
        <w:rPr>
          <w:rFonts w:ascii="Helvetica" w:eastAsia="Calibri" w:hAnsi="Helvetica" w:cs="Helvetica"/>
          <w:lang w:val="en-GB"/>
        </w:rPr>
        <w:t>such determination</w:t>
      </w:r>
      <w:r w:rsidR="00F90EB1" w:rsidRPr="008A3778">
        <w:rPr>
          <w:rFonts w:ascii="Helvetica" w:eastAsia="Calibri" w:hAnsi="Helvetica" w:cs="Helvetica"/>
          <w:lang w:val="en-GB"/>
        </w:rPr>
        <w:t xml:space="preserve"> and allocation</w:t>
      </w:r>
      <w:r w:rsidR="009878E5" w:rsidRPr="008A3778">
        <w:rPr>
          <w:rFonts w:ascii="Helvetica" w:eastAsia="Calibri" w:hAnsi="Helvetica" w:cs="Helvetica"/>
          <w:lang w:val="en-GB"/>
        </w:rPr>
        <w:t xml:space="preserve">. </w:t>
      </w:r>
    </w:p>
    <w:p w14:paraId="528DE97E" w14:textId="6180FC5A" w:rsidR="00FD2A5A" w:rsidRPr="008A3778" w:rsidRDefault="00F90EB1"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w:t>
      </w:r>
      <w:r w:rsidR="00F16E60" w:rsidRPr="008A3778">
        <w:rPr>
          <w:rFonts w:ascii="Helvetica" w:eastAsia="Calibri" w:hAnsi="Helvetica" w:cs="Helvetica"/>
          <w:lang w:val="en-GB"/>
        </w:rPr>
        <w:t>he ninth respondent</w:t>
      </w:r>
      <w:r w:rsidRPr="008A3778">
        <w:rPr>
          <w:rFonts w:ascii="Helvetica" w:eastAsia="Calibri" w:hAnsi="Helvetica" w:cs="Helvetica"/>
          <w:lang w:val="en-GB"/>
        </w:rPr>
        <w:t xml:space="preserve"> </w:t>
      </w:r>
      <w:r w:rsidR="00F16E60" w:rsidRPr="008A3778">
        <w:rPr>
          <w:rFonts w:ascii="Helvetica" w:eastAsia="Calibri" w:hAnsi="Helvetica" w:cs="Helvetica"/>
          <w:lang w:val="en-GB"/>
        </w:rPr>
        <w:t>denies that the withdrawal benefit became an asset of the joint estate on 31 August 2017 (being the date upon which Mr Collatz’s employment terminated).</w:t>
      </w:r>
      <w:r w:rsidR="00FD2A5A" w:rsidRPr="008A3778">
        <w:rPr>
          <w:rFonts w:ascii="Helvetica" w:eastAsia="Calibri" w:hAnsi="Helvetica" w:cs="Helvetica"/>
          <w:lang w:val="en-GB"/>
        </w:rPr>
        <w:t xml:space="preserve"> It says this is so because the </w:t>
      </w:r>
      <w:r w:rsidR="00F16E60" w:rsidRPr="008A3778">
        <w:rPr>
          <w:rFonts w:ascii="Helvetica" w:eastAsia="Calibri" w:hAnsi="Helvetica" w:cs="Helvetica"/>
          <w:lang w:val="en-GB"/>
        </w:rPr>
        <w:t>definition of “</w:t>
      </w:r>
      <w:r w:rsidR="00F16E60" w:rsidRPr="008A3778">
        <w:rPr>
          <w:rFonts w:ascii="Helvetica" w:eastAsia="Calibri" w:hAnsi="Helvetica" w:cs="Helvetica"/>
          <w:i/>
          <w:iCs/>
          <w:lang w:val="en-GB"/>
        </w:rPr>
        <w:t>member</w:t>
      </w:r>
      <w:r w:rsidR="00F16E60" w:rsidRPr="008A3778">
        <w:rPr>
          <w:rFonts w:ascii="Helvetica" w:eastAsia="Calibri" w:hAnsi="Helvetica" w:cs="Helvetica"/>
          <w:lang w:val="en-GB"/>
        </w:rPr>
        <w:t xml:space="preserve">” in the PFA states that a person remains a member of a fund until the member has been paid out the benefit in terms of the fund’s rules, and no longer has any claim against the fund. The ninth respondent’s rule 7.2.3 additionally provides that a member will no longer have a claim on </w:t>
      </w:r>
      <w:r w:rsidR="00FD2A5A" w:rsidRPr="008A3778">
        <w:rPr>
          <w:rFonts w:ascii="Helvetica" w:eastAsia="Calibri" w:hAnsi="Helvetica" w:cs="Helvetica"/>
          <w:lang w:val="en-GB"/>
        </w:rPr>
        <w:t xml:space="preserve">its </w:t>
      </w:r>
      <w:r w:rsidR="00F16E60" w:rsidRPr="008A3778">
        <w:rPr>
          <w:rFonts w:ascii="Helvetica" w:eastAsia="Calibri" w:hAnsi="Helvetica" w:cs="Helvetica"/>
          <w:lang w:val="en-GB"/>
        </w:rPr>
        <w:t xml:space="preserve">fund once the benefit has been paid to the member as a lump sum or transferred in terms of rule 7.2.2. The ninth respondent </w:t>
      </w:r>
      <w:r w:rsidR="00FD2A5A" w:rsidRPr="008A3778">
        <w:rPr>
          <w:rFonts w:ascii="Helvetica" w:eastAsia="Calibri" w:hAnsi="Helvetica" w:cs="Helvetica"/>
          <w:lang w:val="en-GB"/>
        </w:rPr>
        <w:t xml:space="preserve">therefore </w:t>
      </w:r>
      <w:r w:rsidR="00F16E60" w:rsidRPr="008A3778">
        <w:rPr>
          <w:rFonts w:ascii="Helvetica" w:eastAsia="Calibri" w:hAnsi="Helvetica" w:cs="Helvetica"/>
          <w:lang w:val="en-GB"/>
        </w:rPr>
        <w:t xml:space="preserve">asserts that the transfer from the provident fund to the </w:t>
      </w:r>
      <w:r w:rsidR="00BB0C87" w:rsidRPr="008A3778">
        <w:rPr>
          <w:rFonts w:ascii="Helvetica" w:eastAsia="Calibri" w:hAnsi="Helvetica" w:cs="Helvetica"/>
          <w:lang w:val="en-GB"/>
        </w:rPr>
        <w:t>annuity</w:t>
      </w:r>
      <w:r w:rsidR="00F16E60" w:rsidRPr="008A3778">
        <w:rPr>
          <w:rFonts w:ascii="Helvetica" w:eastAsia="Calibri" w:hAnsi="Helvetica" w:cs="Helvetica"/>
          <w:lang w:val="en-GB"/>
        </w:rPr>
        <w:t xml:space="preserve"> fund constituted a simple modality of payment of Mr. Collatz’s (the member’s) benefit pursuant to rule 7.2.2 of the</w:t>
      </w:r>
      <w:r w:rsidR="003C7641" w:rsidRPr="008A3778">
        <w:rPr>
          <w:rFonts w:ascii="Helvetica" w:eastAsia="Calibri" w:hAnsi="Helvetica" w:cs="Helvetica"/>
          <w:lang w:val="en-GB"/>
        </w:rPr>
        <w:t xml:space="preserve"> ninth respondent’s </w:t>
      </w:r>
      <w:r w:rsidR="00F16E60" w:rsidRPr="008A3778">
        <w:rPr>
          <w:rFonts w:ascii="Helvetica" w:eastAsia="Calibri" w:hAnsi="Helvetica" w:cs="Helvetica"/>
          <w:lang w:val="en-GB"/>
        </w:rPr>
        <w:t xml:space="preserve">rules; something over which </w:t>
      </w:r>
      <w:r w:rsidR="003C7641" w:rsidRPr="008A3778">
        <w:rPr>
          <w:rFonts w:ascii="Helvetica" w:eastAsia="Calibri" w:hAnsi="Helvetica" w:cs="Helvetica"/>
          <w:lang w:val="en-GB"/>
        </w:rPr>
        <w:t>Ms</w:t>
      </w:r>
      <w:r w:rsidR="00F16E60" w:rsidRPr="008A3778">
        <w:rPr>
          <w:rFonts w:ascii="Helvetica" w:eastAsia="Calibri" w:hAnsi="Helvetica" w:cs="Helvetica"/>
          <w:lang w:val="en-GB"/>
        </w:rPr>
        <w:t xml:space="preserve"> Collatz had no say or influence in terms of the ninth respondent’s rules. </w:t>
      </w:r>
    </w:p>
    <w:p w14:paraId="1A91676C" w14:textId="6DC59B4F" w:rsidR="00FD2A5A" w:rsidRPr="008A3778" w:rsidRDefault="00F16E60"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As such, until the withdrawal benefit was paid to Mr Collatz,</w:t>
      </w:r>
      <w:r w:rsidR="00F90EB1" w:rsidRPr="008A3778">
        <w:rPr>
          <w:rFonts w:ascii="Helvetica" w:eastAsia="Calibri" w:hAnsi="Helvetica" w:cs="Helvetica"/>
          <w:lang w:val="en-GB"/>
        </w:rPr>
        <w:t xml:space="preserve"> the ninth respondent</w:t>
      </w:r>
      <w:r w:rsidR="00424FD6">
        <w:rPr>
          <w:rFonts w:ascii="Helvetica" w:eastAsia="Calibri" w:hAnsi="Helvetica" w:cs="Helvetica"/>
          <w:lang w:val="en-GB"/>
        </w:rPr>
        <w:t>’s</w:t>
      </w:r>
      <w:r w:rsidR="00F90EB1" w:rsidRPr="008A3778">
        <w:rPr>
          <w:rFonts w:ascii="Helvetica" w:eastAsia="Calibri" w:hAnsi="Helvetica" w:cs="Helvetica"/>
          <w:lang w:val="en-GB"/>
        </w:rPr>
        <w:t xml:space="preserve"> position is that it </w:t>
      </w:r>
      <w:r w:rsidRPr="008A3778">
        <w:rPr>
          <w:rFonts w:ascii="Helvetica" w:eastAsia="Calibri" w:hAnsi="Helvetica" w:cs="Helvetica"/>
          <w:lang w:val="en-GB"/>
        </w:rPr>
        <w:t>did not accrue to or form part of the joint estate.</w:t>
      </w:r>
      <w:r w:rsidR="00F90EB1" w:rsidRPr="008A3778">
        <w:rPr>
          <w:rFonts w:ascii="Helvetica" w:eastAsia="Calibri" w:hAnsi="Helvetica" w:cs="Helvetica"/>
          <w:lang w:val="en-GB"/>
        </w:rPr>
        <w:t xml:space="preserve"> Likewise, </w:t>
      </w:r>
      <w:r w:rsidRPr="008A3778">
        <w:rPr>
          <w:rFonts w:ascii="Helvetica" w:eastAsia="Calibri" w:hAnsi="Helvetica" w:cs="Helvetica"/>
          <w:lang w:val="en-GB"/>
        </w:rPr>
        <w:t>section 5(2)</w:t>
      </w:r>
      <w:r w:rsidRPr="008A3778">
        <w:rPr>
          <w:rFonts w:ascii="Helvetica" w:eastAsia="Calibri" w:hAnsi="Helvetica" w:cs="Helvetica"/>
          <w:vertAlign w:val="superscript"/>
          <w:lang w:val="en-GB"/>
        </w:rPr>
        <w:t xml:space="preserve"> </w:t>
      </w:r>
      <w:r w:rsidRPr="008A3778">
        <w:rPr>
          <w:rFonts w:ascii="Helvetica" w:eastAsia="Calibri" w:hAnsi="Helvetica" w:cs="Helvetica"/>
          <w:lang w:val="en-GB"/>
        </w:rPr>
        <w:lastRenderedPageBreak/>
        <w:t xml:space="preserve">of the </w:t>
      </w:r>
      <w:r w:rsidR="00F90EB1" w:rsidRPr="008A3778">
        <w:rPr>
          <w:rFonts w:ascii="Helvetica" w:eastAsia="Calibri" w:hAnsi="Helvetica" w:cs="Helvetica"/>
          <w:lang w:val="en-GB"/>
        </w:rPr>
        <w:t>PFA</w:t>
      </w:r>
      <w:r w:rsidRPr="008A3778">
        <w:rPr>
          <w:rFonts w:ascii="Helvetica" w:eastAsia="Calibri" w:hAnsi="Helvetica" w:cs="Helvetica"/>
          <w:lang w:val="en-GB"/>
        </w:rPr>
        <w:t xml:space="preserve"> provides that until such time</w:t>
      </w:r>
      <w:r w:rsidR="0054485C">
        <w:rPr>
          <w:rFonts w:ascii="Helvetica" w:eastAsia="Calibri" w:hAnsi="Helvetica" w:cs="Helvetica"/>
          <w:lang w:val="en-GB"/>
        </w:rPr>
        <w:t>,</w:t>
      </w:r>
      <w:r w:rsidR="00FF45BE">
        <w:rPr>
          <w:rFonts w:ascii="Helvetica" w:eastAsia="Calibri" w:hAnsi="Helvetica" w:cs="Helvetica"/>
          <w:lang w:val="en-GB"/>
        </w:rPr>
        <w:t xml:space="preserve"> </w:t>
      </w:r>
      <w:r w:rsidRPr="008A3778">
        <w:rPr>
          <w:rFonts w:ascii="Helvetica" w:eastAsia="Calibri" w:hAnsi="Helvetica" w:cs="Helvetica"/>
          <w:lang w:val="en-GB"/>
        </w:rPr>
        <w:t xml:space="preserve">the withdrawal benefit was an asset of the provident fund and belonged to the fund. </w:t>
      </w:r>
    </w:p>
    <w:p w14:paraId="0450378D" w14:textId="73AE1AF2" w:rsidR="00F16E60" w:rsidRPr="008A3778" w:rsidRDefault="00F16E60"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On the issue of initially placing Mr Collatz’s withdrawal benefit into a money market account, the ninth respondent states that this </w:t>
      </w:r>
      <w:r w:rsidR="00F90EB1" w:rsidRPr="008A3778">
        <w:rPr>
          <w:rFonts w:ascii="Helvetica" w:eastAsia="Calibri" w:hAnsi="Helvetica" w:cs="Helvetica"/>
          <w:lang w:val="en-GB"/>
        </w:rPr>
        <w:t xml:space="preserve">money market account was held in the name of the ninth respondent and that </w:t>
      </w:r>
      <w:r w:rsidRPr="008A3778">
        <w:rPr>
          <w:rFonts w:ascii="Helvetica" w:eastAsia="Calibri" w:hAnsi="Helvetica" w:cs="Helvetica"/>
          <w:lang w:val="en-GB"/>
        </w:rPr>
        <w:t xml:space="preserve">happens routinely </w:t>
      </w:r>
      <w:r w:rsidR="00424FD6">
        <w:rPr>
          <w:rFonts w:ascii="Helvetica" w:eastAsia="Calibri" w:hAnsi="Helvetica" w:cs="Helvetica"/>
          <w:lang w:val="en-GB"/>
        </w:rPr>
        <w:t xml:space="preserve">when </w:t>
      </w:r>
      <w:r w:rsidR="00F90EB1" w:rsidRPr="008A3778">
        <w:rPr>
          <w:rFonts w:ascii="Helvetica" w:eastAsia="Calibri" w:hAnsi="Helvetica" w:cs="Helvetica"/>
          <w:lang w:val="en-GB"/>
        </w:rPr>
        <w:t xml:space="preserve">it is </w:t>
      </w:r>
      <w:r w:rsidRPr="008A3778">
        <w:rPr>
          <w:rFonts w:ascii="Helvetica" w:eastAsia="Calibri" w:hAnsi="Helvetica" w:cs="Helvetica"/>
          <w:lang w:val="en-GB"/>
        </w:rPr>
        <w:t>notified of the termination of a member’s employment</w:t>
      </w:r>
      <w:r w:rsidR="00F90EB1" w:rsidRPr="008A3778">
        <w:rPr>
          <w:rFonts w:ascii="Helvetica" w:eastAsia="Calibri" w:hAnsi="Helvetica" w:cs="Helvetica"/>
          <w:lang w:val="en-GB"/>
        </w:rPr>
        <w:t>. This happens in</w:t>
      </w:r>
      <w:r w:rsidRPr="008A3778">
        <w:rPr>
          <w:rFonts w:ascii="Helvetica" w:eastAsia="Calibri" w:hAnsi="Helvetica" w:cs="Helvetica"/>
          <w:lang w:val="en-GB"/>
        </w:rPr>
        <w:t xml:space="preserve"> order to insulate the withdrawal benefit from potentially adverse market exposure and in the interests of the fund’s financial stability. This is stated to be an industry wide practice. </w:t>
      </w:r>
    </w:p>
    <w:p w14:paraId="146FC0DE" w14:textId="794CBC68" w:rsidR="00F16E60" w:rsidRPr="008A3778" w:rsidRDefault="00F16E60" w:rsidP="006D580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ninth respondent therefore argues that the withdrawal benefit, despite being held in a money market account, remained an asset of the ninth respondent until it was transferred (onwards) in accordance with Mr Collatz’s election and instructions. (A </w:t>
      </w:r>
      <w:r w:rsidRPr="008A3778">
        <w:rPr>
          <w:rFonts w:ascii="Helvetica" w:eastAsia="Calibri" w:hAnsi="Helvetica" w:cs="Helvetica"/>
          <w:i/>
          <w:iCs/>
          <w:lang w:val="en-GB"/>
        </w:rPr>
        <w:t xml:space="preserve">status quo </w:t>
      </w:r>
      <w:r w:rsidRPr="008A3778">
        <w:rPr>
          <w:rFonts w:ascii="Helvetica" w:eastAsia="Calibri" w:hAnsi="Helvetica" w:cs="Helvetica"/>
          <w:lang w:val="en-GB"/>
        </w:rPr>
        <w:t>also advanced on behalf of the first and second respondents.) As such, the withdrawal benefit was not “</w:t>
      </w:r>
      <w:r w:rsidRPr="008A3778">
        <w:rPr>
          <w:rFonts w:ascii="Helvetica" w:eastAsia="Calibri" w:hAnsi="Helvetica" w:cs="Helvetica"/>
          <w:i/>
          <w:iCs/>
          <w:lang w:val="en-GB"/>
        </w:rPr>
        <w:t>paid out</w:t>
      </w:r>
      <w:r w:rsidRPr="008A3778">
        <w:rPr>
          <w:rFonts w:ascii="Helvetica" w:eastAsia="Calibri" w:hAnsi="Helvetica" w:cs="Helvetica"/>
          <w:lang w:val="en-GB"/>
        </w:rPr>
        <w:t>” when placed in the money market account. The withdrawal benefit was only “</w:t>
      </w:r>
      <w:r w:rsidRPr="008A3778">
        <w:rPr>
          <w:rFonts w:ascii="Helvetica" w:eastAsia="Calibri" w:hAnsi="Helvetica" w:cs="Helvetica"/>
          <w:i/>
          <w:iCs/>
          <w:lang w:val="en-GB"/>
        </w:rPr>
        <w:t>paid out</w:t>
      </w:r>
      <w:r w:rsidRPr="008A3778">
        <w:rPr>
          <w:rFonts w:ascii="Helvetica" w:eastAsia="Calibri" w:hAnsi="Helvetica" w:cs="Helvetica"/>
          <w:lang w:val="en-GB"/>
        </w:rPr>
        <w:t xml:space="preserve">” when it was transferred to the </w:t>
      </w:r>
      <w:r w:rsidR="00BB0C87" w:rsidRPr="008A3778">
        <w:rPr>
          <w:rFonts w:ascii="Helvetica" w:eastAsia="Calibri" w:hAnsi="Helvetica" w:cs="Helvetica"/>
          <w:lang w:val="en-GB"/>
        </w:rPr>
        <w:t>annuity</w:t>
      </w:r>
      <w:r w:rsidRPr="008A3778">
        <w:rPr>
          <w:rFonts w:ascii="Helvetica" w:eastAsia="Calibri" w:hAnsi="Helvetica" w:cs="Helvetica"/>
          <w:lang w:val="en-GB"/>
        </w:rPr>
        <w:t xml:space="preserve"> fund, albeit then in terms of the ninth respondent’s rule 7.2.2. As such, the ninth respondent den</w:t>
      </w:r>
      <w:r w:rsidR="001F51DB">
        <w:rPr>
          <w:rFonts w:ascii="Helvetica" w:eastAsia="Calibri" w:hAnsi="Helvetica" w:cs="Helvetica"/>
          <w:lang w:val="en-GB"/>
        </w:rPr>
        <w:t>ies</w:t>
      </w:r>
      <w:r w:rsidRPr="008A3778">
        <w:rPr>
          <w:rFonts w:ascii="Helvetica" w:eastAsia="Calibri" w:hAnsi="Helvetica" w:cs="Helvetica"/>
          <w:lang w:val="en-GB"/>
        </w:rPr>
        <w:t xml:space="preserve"> the appellant</w:t>
      </w:r>
      <w:r w:rsidR="001F51DB">
        <w:rPr>
          <w:rFonts w:ascii="Helvetica" w:eastAsia="Calibri" w:hAnsi="Helvetica" w:cs="Helvetica"/>
          <w:lang w:val="en-GB"/>
        </w:rPr>
        <w:t>s</w:t>
      </w:r>
      <w:r w:rsidRPr="008A3778">
        <w:rPr>
          <w:rFonts w:ascii="Helvetica" w:eastAsia="Calibri" w:hAnsi="Helvetica" w:cs="Helvetica"/>
          <w:lang w:val="en-GB"/>
        </w:rPr>
        <w:t>’ assertion that the “</w:t>
      </w:r>
      <w:r w:rsidRPr="008A3778">
        <w:rPr>
          <w:rFonts w:ascii="Helvetica" w:eastAsia="Calibri" w:hAnsi="Helvetica" w:cs="Helvetica"/>
          <w:i/>
          <w:iCs/>
          <w:lang w:val="en-GB"/>
        </w:rPr>
        <w:t>proceeds of the Johnson and Johnson Pension Fund were at that stage invested in cash with Alexander Forbes Financial Services</w:t>
      </w:r>
      <w:r w:rsidRPr="008A3778">
        <w:rPr>
          <w:rFonts w:ascii="Helvetica" w:eastAsia="Calibri" w:hAnsi="Helvetica" w:cs="Helvetica"/>
          <w:lang w:val="en-GB"/>
        </w:rPr>
        <w:t xml:space="preserve">”. </w:t>
      </w:r>
    </w:p>
    <w:p w14:paraId="314604C2" w14:textId="5B19060A" w:rsidR="002C697E" w:rsidRPr="008A3778" w:rsidRDefault="002C697E" w:rsidP="006D5807">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I </w:t>
      </w:r>
      <w:r w:rsidR="009878E5" w:rsidRPr="008A3778">
        <w:rPr>
          <w:rFonts w:ascii="Helvetica" w:eastAsia="HGMaruGothicMPRO" w:hAnsi="Helvetica" w:cs="Helvetica"/>
          <w:lang w:val="en-GB"/>
        </w:rPr>
        <w:t>agree</w:t>
      </w:r>
      <w:r w:rsidR="00200366" w:rsidRPr="008A3778">
        <w:rPr>
          <w:rFonts w:ascii="Helvetica" w:eastAsia="HGMaruGothicMPRO" w:hAnsi="Helvetica" w:cs="Helvetica"/>
          <w:lang w:val="en-GB"/>
        </w:rPr>
        <w:t xml:space="preserve"> with</w:t>
      </w:r>
      <w:r w:rsidR="00D518EE">
        <w:rPr>
          <w:rFonts w:ascii="Helvetica" w:eastAsia="HGMaruGothicMPRO" w:hAnsi="Helvetica" w:cs="Helvetica"/>
          <w:lang w:val="en-GB"/>
        </w:rPr>
        <w:t xml:space="preserve"> the respective</w:t>
      </w:r>
      <w:r w:rsidR="00230030" w:rsidRPr="008A3778">
        <w:rPr>
          <w:rFonts w:ascii="Helvetica" w:eastAsia="HGMaruGothicMPRO" w:hAnsi="Helvetica" w:cs="Helvetica"/>
          <w:lang w:val="en-GB"/>
        </w:rPr>
        <w:t xml:space="preserve"> respondent</w:t>
      </w:r>
      <w:r w:rsidR="00F16E60" w:rsidRPr="008A3778">
        <w:rPr>
          <w:rFonts w:ascii="Helvetica" w:eastAsia="HGMaruGothicMPRO" w:hAnsi="Helvetica" w:cs="Helvetica"/>
          <w:lang w:val="en-GB"/>
        </w:rPr>
        <w:t>s</w:t>
      </w:r>
      <w:r w:rsidR="006D5807" w:rsidRPr="008A3778">
        <w:rPr>
          <w:rFonts w:ascii="Helvetica" w:eastAsia="HGMaruGothicMPRO" w:hAnsi="Helvetica" w:cs="Helvetica"/>
          <w:lang w:val="en-GB"/>
        </w:rPr>
        <w:t>’</w:t>
      </w:r>
      <w:r w:rsidR="00230030" w:rsidRPr="008A3778">
        <w:rPr>
          <w:rFonts w:ascii="Helvetica" w:eastAsia="HGMaruGothicMPRO" w:hAnsi="Helvetica" w:cs="Helvetica"/>
          <w:lang w:val="en-GB"/>
        </w:rPr>
        <w:t xml:space="preserve"> aforesaid reasoning. </w:t>
      </w:r>
      <w:r w:rsidR="00C113B2" w:rsidRPr="008A3778">
        <w:rPr>
          <w:rFonts w:ascii="Helvetica" w:eastAsia="Calibri" w:hAnsi="Helvetica" w:cs="Helvetica"/>
          <w:lang w:val="en-GB"/>
        </w:rPr>
        <w:t xml:space="preserve">Mr. Collatz’s </w:t>
      </w:r>
      <w:r w:rsidR="00C83021" w:rsidRPr="008A3778">
        <w:rPr>
          <w:rFonts w:ascii="Helvetica" w:eastAsia="Calibri" w:hAnsi="Helvetica" w:cs="Helvetica"/>
          <w:lang w:val="en-GB"/>
        </w:rPr>
        <w:t xml:space="preserve">benefit, </w:t>
      </w:r>
      <w:r w:rsidR="00C113B2" w:rsidRPr="008A3778">
        <w:rPr>
          <w:rFonts w:ascii="Helvetica" w:eastAsia="Calibri" w:hAnsi="Helvetica" w:cs="Helvetica"/>
          <w:lang w:val="en-GB"/>
        </w:rPr>
        <w:t>at all material times</w:t>
      </w:r>
      <w:r w:rsidR="00C83021" w:rsidRPr="008A3778">
        <w:rPr>
          <w:rFonts w:ascii="Helvetica" w:eastAsia="Calibri" w:hAnsi="Helvetica" w:cs="Helvetica"/>
          <w:lang w:val="en-GB"/>
        </w:rPr>
        <w:t>,</w:t>
      </w:r>
      <w:r w:rsidR="00C113B2" w:rsidRPr="008A3778">
        <w:rPr>
          <w:rFonts w:ascii="Helvetica" w:eastAsia="Calibri" w:hAnsi="Helvetica" w:cs="Helvetica"/>
          <w:lang w:val="en-GB"/>
        </w:rPr>
        <w:t xml:space="preserve"> did not form part of the joint estate</w:t>
      </w:r>
      <w:r w:rsidR="00384B29" w:rsidRPr="008A3778">
        <w:rPr>
          <w:rFonts w:ascii="Helvetica" w:eastAsia="Calibri" w:hAnsi="Helvetica" w:cs="Helvetica"/>
          <w:lang w:val="en-GB"/>
        </w:rPr>
        <w:t>. Instead, i</w:t>
      </w:r>
      <w:r w:rsidR="00322AB4" w:rsidRPr="008A3778">
        <w:rPr>
          <w:rFonts w:ascii="Helvetica" w:eastAsia="Calibri" w:hAnsi="Helvetica" w:cs="Helvetica"/>
          <w:lang w:val="en-GB"/>
        </w:rPr>
        <w:t>t belonged to the ninth respondent</w:t>
      </w:r>
      <w:r w:rsidR="007161C5" w:rsidRPr="008A3778">
        <w:rPr>
          <w:rFonts w:ascii="Helvetica" w:eastAsia="Calibri" w:hAnsi="Helvetica" w:cs="Helvetica"/>
          <w:lang w:val="en-GB"/>
        </w:rPr>
        <w:t xml:space="preserve"> until it was transferred to the annuity fund</w:t>
      </w:r>
      <w:r w:rsidR="00384B29" w:rsidRPr="008A3778">
        <w:rPr>
          <w:rFonts w:ascii="Helvetica" w:eastAsia="Calibri" w:hAnsi="Helvetica" w:cs="Helvetica"/>
          <w:lang w:val="en-GB"/>
        </w:rPr>
        <w:t>.</w:t>
      </w:r>
      <w:r w:rsidR="007161C5" w:rsidRPr="008A3778">
        <w:rPr>
          <w:rFonts w:ascii="Helvetica" w:eastAsia="Calibri" w:hAnsi="Helvetica" w:cs="Helvetica"/>
          <w:lang w:val="en-GB"/>
        </w:rPr>
        <w:t xml:space="preserve"> </w:t>
      </w:r>
      <w:r w:rsidR="00384B29" w:rsidRPr="008A3778">
        <w:rPr>
          <w:rFonts w:ascii="Helvetica" w:eastAsia="Calibri" w:hAnsi="Helvetica" w:cs="Helvetica"/>
          <w:lang w:val="en-GB"/>
        </w:rPr>
        <w:t>O</w:t>
      </w:r>
      <w:r w:rsidR="007161C5" w:rsidRPr="008A3778">
        <w:rPr>
          <w:rFonts w:ascii="Helvetica" w:eastAsia="Calibri" w:hAnsi="Helvetica" w:cs="Helvetica"/>
          <w:lang w:val="en-GB"/>
        </w:rPr>
        <w:t>n receipt</w:t>
      </w:r>
      <w:r w:rsidR="00FD2D7D" w:rsidRPr="008A3778">
        <w:rPr>
          <w:rFonts w:ascii="Helvetica" w:eastAsia="Calibri" w:hAnsi="Helvetica" w:cs="Helvetica"/>
          <w:lang w:val="en-GB"/>
        </w:rPr>
        <w:t xml:space="preserve"> by the annuity fund, </w:t>
      </w:r>
      <w:r w:rsidR="00F90EB1" w:rsidRPr="008A3778">
        <w:rPr>
          <w:rFonts w:ascii="Helvetica" w:eastAsia="Calibri" w:hAnsi="Helvetica" w:cs="Helvetica"/>
          <w:lang w:val="en-GB"/>
        </w:rPr>
        <w:t>it</w:t>
      </w:r>
      <w:r w:rsidR="00C83021" w:rsidRPr="008A3778">
        <w:rPr>
          <w:rFonts w:ascii="Helvetica" w:eastAsia="Calibri" w:hAnsi="Helvetica" w:cs="Helvetica"/>
          <w:lang w:val="en-GB"/>
        </w:rPr>
        <w:t xml:space="preserve"> </w:t>
      </w:r>
      <w:r w:rsidR="00FD2D7D" w:rsidRPr="008A3778">
        <w:rPr>
          <w:rFonts w:ascii="Helvetica" w:eastAsia="Calibri" w:hAnsi="Helvetica" w:cs="Helvetica"/>
          <w:lang w:val="en-GB"/>
        </w:rPr>
        <w:t>became subject to the rules of</w:t>
      </w:r>
      <w:r w:rsidR="00F90EB1" w:rsidRPr="008A3778">
        <w:rPr>
          <w:rFonts w:ascii="Helvetica" w:eastAsia="Calibri" w:hAnsi="Helvetica" w:cs="Helvetica"/>
          <w:lang w:val="en-GB"/>
        </w:rPr>
        <w:t xml:space="preserve"> that </w:t>
      </w:r>
      <w:r w:rsidR="00FD2D7D" w:rsidRPr="008A3778">
        <w:rPr>
          <w:rFonts w:ascii="Helvetica" w:eastAsia="Calibri" w:hAnsi="Helvetica" w:cs="Helvetica"/>
          <w:lang w:val="en-GB"/>
        </w:rPr>
        <w:t>fund</w:t>
      </w:r>
      <w:r w:rsidR="00C83021" w:rsidRPr="008A3778">
        <w:rPr>
          <w:rFonts w:ascii="Helvetica" w:eastAsia="Calibri" w:hAnsi="Helvetica" w:cs="Helvetica"/>
          <w:lang w:val="en-GB"/>
        </w:rPr>
        <w:t>.</w:t>
      </w:r>
      <w:r w:rsidR="00FD2D7D" w:rsidRPr="008A3778">
        <w:rPr>
          <w:rStyle w:val="FootnoteReference"/>
          <w:rFonts w:ascii="Helvetica" w:eastAsia="Calibri" w:hAnsi="Helvetica" w:cs="Helvetica"/>
          <w:lang w:val="en-GB"/>
        </w:rPr>
        <w:footnoteReference w:id="65"/>
      </w:r>
      <w:r w:rsidR="00C83021" w:rsidRPr="008A3778">
        <w:rPr>
          <w:rFonts w:ascii="Helvetica" w:eastAsia="Calibri" w:hAnsi="Helvetica" w:cs="Helvetica"/>
          <w:lang w:val="en-GB"/>
        </w:rPr>
        <w:t xml:space="preserve"> </w:t>
      </w:r>
      <w:r w:rsidR="00DE62EF" w:rsidRPr="008A3778">
        <w:rPr>
          <w:rFonts w:ascii="Helvetica" w:eastAsia="Calibri" w:hAnsi="Helvetica" w:cs="Helvetica"/>
          <w:lang w:val="en-GB"/>
        </w:rPr>
        <w:t xml:space="preserve">However, at all times </w:t>
      </w:r>
      <w:r w:rsidR="00384B29" w:rsidRPr="008A3778">
        <w:rPr>
          <w:rFonts w:ascii="Helvetica" w:eastAsia="Calibri" w:hAnsi="Helvetica" w:cs="Helvetica"/>
          <w:lang w:val="en-GB"/>
        </w:rPr>
        <w:t xml:space="preserve">the benefit remained subject to the PFA. </w:t>
      </w:r>
      <w:r w:rsidR="00C83021" w:rsidRPr="008A3778">
        <w:rPr>
          <w:rFonts w:ascii="Helvetica" w:eastAsia="Calibri" w:hAnsi="Helvetica" w:cs="Helvetica"/>
          <w:lang w:val="en-GB"/>
        </w:rPr>
        <w:t>I have</w:t>
      </w:r>
      <w:bookmarkStart w:id="14" w:name="KVWin_undostart"/>
      <w:r w:rsidR="00C83021" w:rsidRPr="008A3778">
        <w:rPr>
          <w:rFonts w:ascii="Helvetica" w:eastAsia="Calibri" w:hAnsi="Helvetica" w:cs="Helvetica"/>
          <w:lang w:val="en-GB"/>
        </w:rPr>
        <w:t xml:space="preserve"> already dealt with the</w:t>
      </w:r>
      <w:bookmarkEnd w:id="14"/>
      <w:r w:rsidR="00C83021" w:rsidRPr="008A3778">
        <w:rPr>
          <w:rFonts w:ascii="Helvetica" w:eastAsia="Calibri" w:hAnsi="Helvetica" w:cs="Helvetica"/>
          <w:lang w:val="en-GB"/>
        </w:rPr>
        <w:t xml:space="preserve"> section 37C’s legislative supremacy. </w:t>
      </w:r>
      <w:r w:rsidR="00C83021" w:rsidRPr="008A3778">
        <w:rPr>
          <w:rFonts w:ascii="Helvetica" w:eastAsia="HGMaruGothicMPRO" w:hAnsi="Helvetica" w:cs="Helvetica"/>
          <w:lang w:val="en-GB"/>
        </w:rPr>
        <w:t xml:space="preserve">As such, </w:t>
      </w:r>
      <w:r w:rsidR="00C83021" w:rsidRPr="008A3778">
        <w:rPr>
          <w:rFonts w:ascii="Helvetica" w:eastAsia="Calibri" w:hAnsi="Helvetica" w:cs="Helvetica"/>
          <w:lang w:val="en-GB"/>
        </w:rPr>
        <w:t>Mr. and Ms. Collatz</w:t>
      </w:r>
      <w:r w:rsidR="00F90EB1" w:rsidRPr="008A3778">
        <w:rPr>
          <w:rFonts w:ascii="Helvetica" w:eastAsia="Calibri" w:hAnsi="Helvetica" w:cs="Helvetica"/>
          <w:lang w:val="en-GB"/>
        </w:rPr>
        <w:t xml:space="preserve"> being </w:t>
      </w:r>
      <w:r w:rsidR="00C83021" w:rsidRPr="008A3778">
        <w:rPr>
          <w:rFonts w:ascii="Helvetica" w:eastAsia="Calibri" w:hAnsi="Helvetica" w:cs="Helvetica"/>
          <w:lang w:val="en-GB"/>
        </w:rPr>
        <w:t xml:space="preserve">married in community of property is of no moment or consequence (see </w:t>
      </w:r>
      <w:r w:rsidR="00C83021" w:rsidRPr="008A3778">
        <w:rPr>
          <w:rFonts w:ascii="Helvetica" w:eastAsia="Calibri" w:hAnsi="Helvetica" w:cs="Helvetica"/>
          <w:b/>
          <w:bCs/>
          <w:lang w:val="en-GB"/>
        </w:rPr>
        <w:t>Makume v Cape Joint Retirement Fund</w:t>
      </w:r>
      <w:r w:rsidR="00C83021" w:rsidRPr="008A3778">
        <w:rPr>
          <w:rFonts w:ascii="Helvetica" w:eastAsia="Calibri" w:hAnsi="Helvetica" w:cs="Helvetica"/>
          <w:vertAlign w:val="superscript"/>
          <w:lang w:val="en-GB"/>
        </w:rPr>
        <w:footnoteReference w:id="66"/>
      </w:r>
      <w:r w:rsidR="00C83021" w:rsidRPr="008A3778">
        <w:rPr>
          <w:rFonts w:ascii="Helvetica" w:eastAsia="Calibri" w:hAnsi="Helvetica" w:cs="Helvetica"/>
          <w:lang w:val="en-GB"/>
        </w:rPr>
        <w:t xml:space="preserve"> and </w:t>
      </w:r>
      <w:r w:rsidR="00C83021" w:rsidRPr="008A3778">
        <w:rPr>
          <w:rFonts w:ascii="Helvetica" w:eastAsia="Calibri" w:hAnsi="Helvetica" w:cs="Helvetica"/>
          <w:b/>
          <w:bCs/>
          <w:lang w:val="en-GB"/>
        </w:rPr>
        <w:t>Letsoalo and Others v Lukhaimane NO and Others</w:t>
      </w:r>
      <w:r w:rsidR="00C83021" w:rsidRPr="008A3778">
        <w:rPr>
          <w:rFonts w:ascii="Helvetica" w:eastAsia="Calibri" w:hAnsi="Helvetica" w:cs="Helvetica"/>
          <w:vertAlign w:val="superscript"/>
          <w:lang w:val="en-GB"/>
        </w:rPr>
        <w:footnoteReference w:id="67"/>
      </w:r>
      <w:r w:rsidR="00C83021" w:rsidRPr="008A3778">
        <w:rPr>
          <w:rFonts w:ascii="Helvetica" w:eastAsia="Calibri" w:hAnsi="Helvetica" w:cs="Helvetica"/>
          <w:lang w:val="en-GB"/>
        </w:rPr>
        <w:t xml:space="preserve">). </w:t>
      </w:r>
      <w:r w:rsidR="003664FE" w:rsidRPr="008A3778">
        <w:rPr>
          <w:rFonts w:ascii="Helvetica" w:eastAsia="Calibri" w:hAnsi="Helvetica" w:cs="Helvetica"/>
          <w:lang w:val="en-GB"/>
        </w:rPr>
        <w:t>Because the benefit did not accrue</w:t>
      </w:r>
      <w:r w:rsidR="001F51DB">
        <w:rPr>
          <w:rFonts w:ascii="Helvetica" w:eastAsia="Calibri" w:hAnsi="Helvetica" w:cs="Helvetica"/>
          <w:lang w:val="en-GB"/>
        </w:rPr>
        <w:t xml:space="preserve"> to</w:t>
      </w:r>
      <w:r w:rsidR="003664FE" w:rsidRPr="008A3778">
        <w:rPr>
          <w:rFonts w:ascii="Helvetica" w:eastAsia="Calibri" w:hAnsi="Helvetica" w:cs="Helvetica"/>
          <w:lang w:val="en-GB"/>
        </w:rPr>
        <w:t xml:space="preserve"> the joint estate and because she had no undivided share </w:t>
      </w:r>
      <w:r w:rsidR="00756E35" w:rsidRPr="008A3778">
        <w:rPr>
          <w:rFonts w:ascii="Helvetica" w:eastAsia="Calibri" w:hAnsi="Helvetica" w:cs="Helvetica"/>
          <w:lang w:val="en-GB"/>
        </w:rPr>
        <w:t xml:space="preserve">or </w:t>
      </w:r>
      <w:r w:rsidR="003664FE" w:rsidRPr="008A3778">
        <w:rPr>
          <w:rFonts w:ascii="Helvetica" w:eastAsia="Calibri" w:hAnsi="Helvetica" w:cs="Helvetica"/>
          <w:lang w:val="en-GB"/>
        </w:rPr>
        <w:t>co-own</w:t>
      </w:r>
      <w:r w:rsidR="00756E35" w:rsidRPr="008A3778">
        <w:rPr>
          <w:rFonts w:ascii="Helvetica" w:eastAsia="Calibri" w:hAnsi="Helvetica" w:cs="Helvetica"/>
          <w:lang w:val="en-GB"/>
        </w:rPr>
        <w:t>ed</w:t>
      </w:r>
      <w:r w:rsidR="003664FE" w:rsidRPr="008A3778">
        <w:rPr>
          <w:rFonts w:ascii="Helvetica" w:eastAsia="Calibri" w:hAnsi="Helvetica" w:cs="Helvetica"/>
          <w:lang w:val="en-GB"/>
        </w:rPr>
        <w:t xml:space="preserve"> interest</w:t>
      </w:r>
      <w:r w:rsidR="00756E35" w:rsidRPr="008A3778">
        <w:rPr>
          <w:rFonts w:ascii="Helvetica" w:eastAsia="Calibri" w:hAnsi="Helvetica" w:cs="Helvetica"/>
          <w:lang w:val="en-GB"/>
        </w:rPr>
        <w:t xml:space="preserve"> therein</w:t>
      </w:r>
      <w:r w:rsidR="003664FE" w:rsidRPr="008A3778">
        <w:rPr>
          <w:rFonts w:ascii="Helvetica" w:eastAsia="Calibri" w:hAnsi="Helvetica" w:cs="Helvetica"/>
          <w:lang w:val="en-GB"/>
        </w:rPr>
        <w:t xml:space="preserve">, it </w:t>
      </w:r>
      <w:r w:rsidR="003664FE" w:rsidRPr="008A3778">
        <w:rPr>
          <w:rFonts w:ascii="Helvetica" w:eastAsia="Calibri" w:hAnsi="Helvetica" w:cs="Helvetica"/>
          <w:lang w:val="en-GB"/>
        </w:rPr>
        <w:lastRenderedPageBreak/>
        <w:t xml:space="preserve">cannot be said, as the appellants claim, that Ms. Collatz </w:t>
      </w:r>
      <w:r w:rsidR="00756E35" w:rsidRPr="008A3778">
        <w:rPr>
          <w:rFonts w:ascii="Helvetica" w:eastAsia="Calibri" w:hAnsi="Helvetica" w:cs="Helvetica"/>
          <w:lang w:val="en-GB"/>
        </w:rPr>
        <w:t xml:space="preserve">was </w:t>
      </w:r>
      <w:r w:rsidR="003664FE" w:rsidRPr="008A3778">
        <w:rPr>
          <w:rFonts w:ascii="Helvetica" w:eastAsia="Calibri" w:hAnsi="Helvetica" w:cs="Helvetica"/>
          <w:lang w:val="en-GB"/>
        </w:rPr>
        <w:t>“</w:t>
      </w:r>
      <w:r w:rsidR="003664FE" w:rsidRPr="008A3778">
        <w:rPr>
          <w:rFonts w:ascii="Helvetica" w:eastAsia="Calibri" w:hAnsi="Helvetica" w:cs="Helvetica"/>
          <w:i/>
          <w:iCs/>
          <w:lang w:val="en-GB"/>
        </w:rPr>
        <w:t>unlawfully stripped</w:t>
      </w:r>
      <w:r w:rsidR="003664FE" w:rsidRPr="008A3778">
        <w:rPr>
          <w:rFonts w:ascii="Helvetica" w:eastAsia="Calibri" w:hAnsi="Helvetica" w:cs="Helvetica"/>
          <w:lang w:val="en-GB"/>
        </w:rPr>
        <w:t>” of</w:t>
      </w:r>
      <w:r w:rsidR="005F1423">
        <w:rPr>
          <w:rFonts w:ascii="Helvetica" w:eastAsia="Calibri" w:hAnsi="Helvetica" w:cs="Helvetica"/>
          <w:lang w:val="en-GB"/>
        </w:rPr>
        <w:t xml:space="preserve"> </w:t>
      </w:r>
      <w:r w:rsidR="003664FE" w:rsidRPr="008A3778">
        <w:rPr>
          <w:rFonts w:ascii="Helvetica" w:eastAsia="Calibri" w:hAnsi="Helvetica" w:cs="Helvetica"/>
          <w:lang w:val="en-GB"/>
        </w:rPr>
        <w:t xml:space="preserve">her right to be a party to the investment decision. </w:t>
      </w:r>
    </w:p>
    <w:p w14:paraId="7D9DFFCB" w14:textId="5D20705D" w:rsidR="00763D8C" w:rsidRPr="008A3778" w:rsidRDefault="00763D8C" w:rsidP="00EB392B">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In the </w:t>
      </w:r>
      <w:r w:rsidRPr="008A3778">
        <w:rPr>
          <w:rFonts w:ascii="Helvetica" w:eastAsia="Calibri" w:hAnsi="Helvetica" w:cs="Helvetica"/>
          <w:lang w:val="en-GB"/>
        </w:rPr>
        <w:t>result</w:t>
      </w:r>
      <w:r w:rsidRPr="008A3778">
        <w:rPr>
          <w:rFonts w:ascii="Helvetica" w:eastAsia="HGMaruGothicMPRO" w:hAnsi="Helvetica" w:cs="Helvetica"/>
          <w:lang w:val="en-GB"/>
        </w:rPr>
        <w:t>, I find that the withdrawal benefit did not accrue to the joint estate</w:t>
      </w:r>
      <w:r w:rsidR="00D26F9C" w:rsidRPr="008A3778">
        <w:rPr>
          <w:rFonts w:ascii="Helvetica" w:eastAsia="HGMaruGothicMPRO" w:hAnsi="Helvetica" w:cs="Helvetica"/>
          <w:lang w:val="en-GB"/>
        </w:rPr>
        <w:t>, and more particularly that</w:t>
      </w:r>
      <w:r w:rsidRPr="008A3778">
        <w:rPr>
          <w:rFonts w:ascii="Helvetica" w:eastAsia="HGMaruGothicMPRO" w:hAnsi="Helvetica" w:cs="Helvetica"/>
          <w:lang w:val="en-GB"/>
        </w:rPr>
        <w:t xml:space="preserve"> </w:t>
      </w:r>
      <w:r w:rsidR="00D26F9C" w:rsidRPr="008A3778">
        <w:rPr>
          <w:rFonts w:ascii="Helvetica" w:eastAsia="HGMaruGothicMPRO" w:hAnsi="Helvetica" w:cs="Helvetica"/>
          <w:lang w:val="en-GB"/>
        </w:rPr>
        <w:t>t</w:t>
      </w:r>
      <w:r w:rsidR="00EB392B" w:rsidRPr="008A3778">
        <w:rPr>
          <w:rFonts w:ascii="Helvetica" w:eastAsia="HGMaruGothicMPRO" w:hAnsi="Helvetica" w:cs="Helvetica"/>
          <w:lang w:val="en-GB"/>
        </w:rPr>
        <w:t>he withdrawal benefit</w:t>
      </w:r>
      <w:r w:rsidR="00D26F9C" w:rsidRPr="008A3778">
        <w:rPr>
          <w:rFonts w:ascii="Helvetica" w:eastAsia="HGMaruGothicMPRO" w:hAnsi="Helvetica" w:cs="Helvetica"/>
          <w:lang w:val="en-GB"/>
        </w:rPr>
        <w:t xml:space="preserve">, </w:t>
      </w:r>
      <w:r w:rsidR="007B116E" w:rsidRPr="008A3778">
        <w:rPr>
          <w:rFonts w:ascii="Helvetica" w:eastAsia="HGMaruGothicMPRO" w:hAnsi="Helvetica" w:cs="Helvetica"/>
          <w:lang w:val="en-GB"/>
        </w:rPr>
        <w:t>in whatever its form,</w:t>
      </w:r>
      <w:r w:rsidR="00EB392B" w:rsidRPr="008A3778">
        <w:rPr>
          <w:rFonts w:ascii="Helvetica" w:eastAsia="HGMaruGothicMPRO" w:hAnsi="Helvetica" w:cs="Helvetica"/>
          <w:lang w:val="en-GB"/>
        </w:rPr>
        <w:t xml:space="preserve"> did not accrue to the joint estate at any time prior to M</w:t>
      </w:r>
      <w:r w:rsidR="001F51DB">
        <w:rPr>
          <w:rFonts w:ascii="Helvetica" w:eastAsia="HGMaruGothicMPRO" w:hAnsi="Helvetica" w:cs="Helvetica"/>
          <w:lang w:val="en-GB"/>
        </w:rPr>
        <w:t>r</w:t>
      </w:r>
      <w:r w:rsidR="00EB392B" w:rsidRPr="008A3778">
        <w:rPr>
          <w:rFonts w:ascii="Helvetica" w:eastAsia="HGMaruGothicMPRO" w:hAnsi="Helvetica" w:cs="Helvetica"/>
          <w:lang w:val="en-GB"/>
        </w:rPr>
        <w:t>. Collatz</w:t>
      </w:r>
      <w:r w:rsidR="001F51DB">
        <w:rPr>
          <w:rFonts w:ascii="Helvetica" w:eastAsia="HGMaruGothicMPRO" w:hAnsi="Helvetica" w:cs="Helvetica"/>
          <w:lang w:val="en-GB"/>
        </w:rPr>
        <w:t>’s</w:t>
      </w:r>
      <w:r w:rsidR="00EB392B" w:rsidRPr="008A3778">
        <w:rPr>
          <w:rFonts w:ascii="Helvetica" w:eastAsia="HGMaruGothicMPRO" w:hAnsi="Helvetica" w:cs="Helvetica"/>
          <w:lang w:val="en-GB"/>
        </w:rPr>
        <w:t xml:space="preserve"> death. </w:t>
      </w:r>
      <w:r w:rsidRPr="008A3778">
        <w:rPr>
          <w:rFonts w:ascii="Helvetica" w:eastAsia="HGMaruGothicMPRO" w:hAnsi="Helvetica" w:cs="Helvetica"/>
          <w:lang w:val="en-GB"/>
        </w:rPr>
        <w:t>For this reason alone</w:t>
      </w:r>
      <w:r w:rsidR="00EB392B" w:rsidRPr="008A3778">
        <w:rPr>
          <w:rFonts w:ascii="Helvetica" w:eastAsia="HGMaruGothicMPRO" w:hAnsi="Helvetica" w:cs="Helvetica"/>
          <w:lang w:val="en-GB"/>
        </w:rPr>
        <w:t>,</w:t>
      </w:r>
      <w:r w:rsidRPr="008A3778">
        <w:rPr>
          <w:rFonts w:ascii="Helvetica" w:eastAsia="HGMaruGothicMPRO" w:hAnsi="Helvetica" w:cs="Helvetica"/>
          <w:lang w:val="en-GB"/>
        </w:rPr>
        <w:t xml:space="preserve"> section 15(2)(c) of the MPA</w:t>
      </w:r>
      <w:r w:rsidR="00A11643" w:rsidRPr="008A3778">
        <w:rPr>
          <w:rFonts w:ascii="Helvetica" w:eastAsia="HGMaruGothicMPRO" w:hAnsi="Helvetica" w:cs="Helvetica"/>
          <w:lang w:val="en-GB"/>
        </w:rPr>
        <w:t xml:space="preserve"> cannot apply</w:t>
      </w:r>
      <w:r w:rsidRPr="008A3778">
        <w:rPr>
          <w:rFonts w:ascii="Helvetica" w:eastAsia="HGMaruGothicMPRO" w:hAnsi="Helvetica" w:cs="Helvetica"/>
          <w:lang w:val="en-GB"/>
        </w:rPr>
        <w:t>.</w:t>
      </w:r>
      <w:r w:rsidR="00607D64" w:rsidRPr="008A3778">
        <w:rPr>
          <w:rFonts w:ascii="Helvetica" w:eastAsia="HGMaruGothicMPRO" w:hAnsi="Helvetica" w:cs="Helvetica"/>
          <w:lang w:val="en-GB"/>
        </w:rPr>
        <w:t xml:space="preserve"> Additionally</w:t>
      </w:r>
      <w:r w:rsidR="007B116E" w:rsidRPr="008A3778">
        <w:rPr>
          <w:rFonts w:ascii="Helvetica" w:eastAsia="HGMaruGothicMPRO" w:hAnsi="Helvetica" w:cs="Helvetica"/>
          <w:lang w:val="en-GB"/>
        </w:rPr>
        <w:t xml:space="preserve">, even </w:t>
      </w:r>
      <w:r w:rsidR="00756E35" w:rsidRPr="008A3778">
        <w:rPr>
          <w:rFonts w:ascii="Helvetica" w:eastAsia="HGMaruGothicMPRO" w:hAnsi="Helvetica" w:cs="Helvetica"/>
          <w:lang w:val="en-GB"/>
        </w:rPr>
        <w:t>if</w:t>
      </w:r>
      <w:r w:rsidR="007B116E" w:rsidRPr="008A3778">
        <w:rPr>
          <w:rFonts w:ascii="Helvetica" w:eastAsia="HGMaruGothicMPRO" w:hAnsi="Helvetica" w:cs="Helvetica"/>
          <w:lang w:val="en-GB"/>
        </w:rPr>
        <w:t xml:space="preserve"> the MPA </w:t>
      </w:r>
      <w:r w:rsidR="00756E35" w:rsidRPr="008A3778">
        <w:rPr>
          <w:rFonts w:ascii="Helvetica" w:eastAsia="HGMaruGothicMPRO" w:hAnsi="Helvetica" w:cs="Helvetica"/>
          <w:lang w:val="en-GB"/>
        </w:rPr>
        <w:t>did</w:t>
      </w:r>
      <w:r w:rsidR="007B116E" w:rsidRPr="008A3778">
        <w:rPr>
          <w:rFonts w:ascii="Helvetica" w:eastAsia="HGMaruGothicMPRO" w:hAnsi="Helvetica" w:cs="Helvetica"/>
          <w:lang w:val="en-GB"/>
        </w:rPr>
        <w:t xml:space="preserve"> apply</w:t>
      </w:r>
      <w:r w:rsidRPr="008A3778">
        <w:rPr>
          <w:rFonts w:ascii="Helvetica" w:eastAsia="HGMaruGothicMPRO" w:hAnsi="Helvetica" w:cs="Helvetica"/>
          <w:lang w:val="en-GB"/>
        </w:rPr>
        <w:t xml:space="preserve">, for </w:t>
      </w:r>
      <w:r w:rsidR="00607D64" w:rsidRPr="008A3778">
        <w:rPr>
          <w:rFonts w:ascii="Helvetica" w:eastAsia="HGMaruGothicMPRO" w:hAnsi="Helvetica" w:cs="Helvetica"/>
          <w:lang w:val="en-GB"/>
        </w:rPr>
        <w:t xml:space="preserve">the </w:t>
      </w:r>
      <w:r w:rsidRPr="008A3778">
        <w:rPr>
          <w:rFonts w:ascii="Helvetica" w:eastAsia="HGMaruGothicMPRO" w:hAnsi="Helvetica" w:cs="Helvetica"/>
          <w:lang w:val="en-GB"/>
        </w:rPr>
        <w:t xml:space="preserve">reasons already mentioned and because </w:t>
      </w:r>
      <w:r w:rsidR="007B116E" w:rsidRPr="008A3778">
        <w:rPr>
          <w:rFonts w:ascii="Helvetica" w:eastAsia="HGMaruGothicMPRO" w:hAnsi="Helvetica" w:cs="Helvetica"/>
          <w:lang w:val="en-GB"/>
        </w:rPr>
        <w:t xml:space="preserve">of </w:t>
      </w:r>
      <w:r w:rsidRPr="008A3778">
        <w:rPr>
          <w:rFonts w:ascii="Helvetica" w:eastAsia="HGMaruGothicMPRO" w:hAnsi="Helvetica" w:cs="Helvetica"/>
          <w:lang w:val="en-GB"/>
        </w:rPr>
        <w:t>section 37C, the provisions of the MPA, including section 15(2)(c)</w:t>
      </w:r>
      <w:r w:rsidR="00A11643" w:rsidRPr="008A3778">
        <w:rPr>
          <w:rFonts w:ascii="Helvetica" w:eastAsia="HGMaruGothicMPRO" w:hAnsi="Helvetica" w:cs="Helvetica"/>
          <w:lang w:val="en-GB"/>
        </w:rPr>
        <w:t xml:space="preserve">, </w:t>
      </w:r>
      <w:r w:rsidRPr="008A3778">
        <w:rPr>
          <w:rFonts w:ascii="Helvetica" w:eastAsia="HGMaruGothicMPRO" w:hAnsi="Helvetica" w:cs="Helvetica"/>
          <w:lang w:val="en-GB"/>
        </w:rPr>
        <w:t>are trumped by</w:t>
      </w:r>
      <w:r w:rsidR="00A11643" w:rsidRPr="008A3778">
        <w:rPr>
          <w:rFonts w:ascii="Helvetica" w:eastAsia="HGMaruGothicMPRO" w:hAnsi="Helvetica" w:cs="Helvetica"/>
          <w:lang w:val="en-GB"/>
        </w:rPr>
        <w:t xml:space="preserve"> </w:t>
      </w:r>
      <w:r w:rsidRPr="008A3778">
        <w:rPr>
          <w:rFonts w:ascii="Helvetica" w:eastAsia="HGMaruGothicMPRO" w:hAnsi="Helvetica" w:cs="Helvetica"/>
          <w:lang w:val="en-GB"/>
        </w:rPr>
        <w:t xml:space="preserve">section 37C. </w:t>
      </w:r>
      <w:r w:rsidR="00860F8E">
        <w:rPr>
          <w:rFonts w:ascii="Helvetica" w:eastAsia="HGMaruGothicMPRO" w:hAnsi="Helvetica" w:cs="Helvetica"/>
          <w:lang w:val="en-GB"/>
        </w:rPr>
        <w:t>For these reasons</w:t>
      </w:r>
      <w:r w:rsidR="001C5F89" w:rsidRPr="008A3778">
        <w:rPr>
          <w:rFonts w:ascii="Helvetica" w:eastAsia="HGMaruGothicMPRO" w:hAnsi="Helvetica" w:cs="Helvetica"/>
          <w:lang w:val="en-GB"/>
        </w:rPr>
        <w:t>, Ms. Collatz</w:t>
      </w:r>
      <w:r w:rsidR="001F51DB">
        <w:rPr>
          <w:rFonts w:ascii="Helvetica" w:eastAsia="HGMaruGothicMPRO" w:hAnsi="Helvetica" w:cs="Helvetica"/>
          <w:lang w:val="en-GB"/>
        </w:rPr>
        <w:t>’s</w:t>
      </w:r>
      <w:r w:rsidR="001C5F89" w:rsidRPr="008A3778">
        <w:rPr>
          <w:rFonts w:ascii="Helvetica" w:eastAsia="HGMaruGothicMPRO" w:hAnsi="Helvetica" w:cs="Helvetica"/>
          <w:lang w:val="en-GB"/>
        </w:rPr>
        <w:t xml:space="preserve"> consent for the transfer of the benefit to the annuity fund was not required. </w:t>
      </w:r>
    </w:p>
    <w:p w14:paraId="02D28D24" w14:textId="24C8A87F" w:rsidR="009E10CD" w:rsidRPr="008A3778" w:rsidRDefault="009E10CD" w:rsidP="00607D64">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HGMaruGothicMPRO" w:hAnsi="Helvetica" w:cs="Helvetica"/>
          <w:lang w:val="en-GB"/>
        </w:rPr>
        <w:t xml:space="preserve">There is </w:t>
      </w:r>
      <w:r w:rsidR="00756E35" w:rsidRPr="008A3778">
        <w:rPr>
          <w:rFonts w:ascii="Helvetica" w:eastAsia="HGMaruGothicMPRO" w:hAnsi="Helvetica" w:cs="Helvetica"/>
          <w:lang w:val="en-GB"/>
        </w:rPr>
        <w:t xml:space="preserve">also </w:t>
      </w:r>
      <w:r w:rsidRPr="008A3778">
        <w:rPr>
          <w:rFonts w:ascii="Helvetica" w:eastAsia="HGMaruGothicMPRO" w:hAnsi="Helvetica" w:cs="Helvetica"/>
          <w:lang w:val="en-GB"/>
        </w:rPr>
        <w:t>separately merit in the argument advanced on behalf of certain of the respondents that</w:t>
      </w:r>
      <w:r w:rsidRPr="008A3778">
        <w:rPr>
          <w:rFonts w:ascii="Helvetica" w:eastAsia="Calibri" w:hAnsi="Helvetica" w:cs="Helvetica"/>
          <w:lang w:val="en-GB"/>
        </w:rPr>
        <w:t xml:space="preserve"> that spousal consent was, in any event, not required for the payment of the </w:t>
      </w:r>
      <w:r w:rsidRPr="008A3778">
        <w:rPr>
          <w:rFonts w:ascii="Helvetica" w:eastAsia="HGMaruGothicMPRO" w:hAnsi="Helvetica" w:cs="Helvetica"/>
          <w:lang w:val="en-GB"/>
        </w:rPr>
        <w:t>benefit</w:t>
      </w:r>
      <w:r w:rsidRPr="008A3778">
        <w:rPr>
          <w:rFonts w:ascii="Helvetica" w:eastAsia="Calibri" w:hAnsi="Helvetica" w:cs="Helvetica"/>
          <w:lang w:val="en-GB"/>
        </w:rPr>
        <w:t xml:space="preserve"> to the </w:t>
      </w:r>
      <w:r w:rsidR="00BB0C87" w:rsidRPr="008A3778">
        <w:rPr>
          <w:rFonts w:ascii="Helvetica" w:eastAsia="Calibri" w:hAnsi="Helvetica" w:cs="Helvetica"/>
          <w:lang w:val="en-GB"/>
        </w:rPr>
        <w:t>annuity</w:t>
      </w:r>
      <w:r w:rsidRPr="008A3778">
        <w:rPr>
          <w:rFonts w:ascii="Helvetica" w:eastAsia="Calibri" w:hAnsi="Helvetica" w:cs="Helvetica"/>
          <w:lang w:val="en-GB"/>
        </w:rPr>
        <w:t xml:space="preserve"> fund because the mode of payment is a “</w:t>
      </w:r>
      <w:r w:rsidRPr="008A3778">
        <w:rPr>
          <w:rFonts w:ascii="Helvetica" w:eastAsia="Calibri" w:hAnsi="Helvetica" w:cs="Helvetica"/>
          <w:i/>
          <w:iCs/>
          <w:lang w:val="en-GB"/>
        </w:rPr>
        <w:t>juristic act</w:t>
      </w:r>
      <w:r w:rsidRPr="008A3778">
        <w:rPr>
          <w:rFonts w:ascii="Helvetica" w:eastAsia="Calibri" w:hAnsi="Helvetica" w:cs="Helvetica"/>
          <w:lang w:val="en-GB"/>
        </w:rPr>
        <w:t>” not mention</w:t>
      </w:r>
      <w:r w:rsidR="00C156A7" w:rsidRPr="008A3778">
        <w:rPr>
          <w:rFonts w:ascii="Helvetica" w:eastAsia="Calibri" w:hAnsi="Helvetica" w:cs="Helvetica"/>
          <w:lang w:val="en-GB"/>
        </w:rPr>
        <w:t>ed in</w:t>
      </w:r>
      <w:r w:rsidRPr="008A3778">
        <w:rPr>
          <w:rFonts w:ascii="Helvetica" w:eastAsia="Calibri" w:hAnsi="Helvetica" w:cs="Helvetica"/>
          <w:lang w:val="en-GB"/>
        </w:rPr>
        <w:t xml:space="preserve"> sections 15(2), (3) and (7) of the </w:t>
      </w:r>
      <w:r w:rsidR="00C156A7" w:rsidRPr="008A3778">
        <w:rPr>
          <w:rFonts w:ascii="Helvetica" w:eastAsia="Calibri" w:hAnsi="Helvetica" w:cs="Helvetica"/>
          <w:lang w:val="en-GB"/>
        </w:rPr>
        <w:t>MPA</w:t>
      </w:r>
      <w:r w:rsidRPr="008A3778">
        <w:rPr>
          <w:rFonts w:ascii="Helvetica" w:eastAsia="Calibri" w:hAnsi="Helvetica" w:cs="Helvetica"/>
          <w:lang w:val="en-GB"/>
        </w:rPr>
        <w:t xml:space="preserve">. </w:t>
      </w:r>
      <w:r w:rsidR="00257BA0" w:rsidRPr="008A3778">
        <w:rPr>
          <w:rFonts w:ascii="Helvetica" w:eastAsia="Calibri" w:hAnsi="Helvetica" w:cs="Helvetica"/>
          <w:lang w:val="en-GB"/>
        </w:rPr>
        <w:t>So too</w:t>
      </w:r>
      <w:r w:rsidR="00860F8E">
        <w:rPr>
          <w:rFonts w:ascii="Helvetica" w:eastAsia="Calibri" w:hAnsi="Helvetica" w:cs="Helvetica"/>
          <w:lang w:val="en-GB"/>
        </w:rPr>
        <w:t>,</w:t>
      </w:r>
      <w:r w:rsidR="00257BA0" w:rsidRPr="008A3778">
        <w:rPr>
          <w:rFonts w:ascii="Helvetica" w:eastAsia="Calibri" w:hAnsi="Helvetica" w:cs="Helvetica"/>
          <w:lang w:val="en-GB"/>
        </w:rPr>
        <w:t xml:space="preserve"> is the</w:t>
      </w:r>
      <w:r w:rsidR="00756E35" w:rsidRPr="008A3778">
        <w:rPr>
          <w:rFonts w:ascii="Helvetica" w:eastAsia="Calibri" w:hAnsi="Helvetica" w:cs="Helvetica"/>
          <w:lang w:val="en-GB"/>
        </w:rPr>
        <w:t>re</w:t>
      </w:r>
      <w:r w:rsidR="00257BA0" w:rsidRPr="008A3778">
        <w:rPr>
          <w:rFonts w:ascii="Helvetica" w:eastAsia="Calibri" w:hAnsi="Helvetica" w:cs="Helvetica"/>
          <w:lang w:val="en-GB"/>
        </w:rPr>
        <w:t xml:space="preserve"> merit in the</w:t>
      </w:r>
      <w:r w:rsidR="00FA04CE" w:rsidRPr="008A3778">
        <w:rPr>
          <w:rFonts w:ascii="Helvetica" w:eastAsia="Calibri" w:hAnsi="Helvetica" w:cs="Helvetica"/>
          <w:lang w:val="en-GB"/>
        </w:rPr>
        <w:t xml:space="preserve"> ninth respondent’s argument that even if the benefit formed part of the joint estate prior to the transfer to the annuity fund, </w:t>
      </w:r>
      <w:r w:rsidR="00742C60" w:rsidRPr="008A3778">
        <w:rPr>
          <w:rFonts w:ascii="Helvetica" w:eastAsia="Calibri" w:hAnsi="Helvetica" w:cs="Helvetica"/>
          <w:lang w:val="en-GB"/>
        </w:rPr>
        <w:t>section 15(2)(c) of the MPA would not apply because the instruction to transfer t</w:t>
      </w:r>
      <w:r w:rsidR="001C5F89" w:rsidRPr="008A3778">
        <w:rPr>
          <w:rFonts w:ascii="Helvetica" w:eastAsia="Calibri" w:hAnsi="Helvetica" w:cs="Helvetica"/>
          <w:lang w:val="en-GB"/>
        </w:rPr>
        <w:t>he benefit di</w:t>
      </w:r>
      <w:r w:rsidR="00742C60" w:rsidRPr="008A3778">
        <w:rPr>
          <w:rFonts w:ascii="Helvetica" w:eastAsia="Calibri" w:hAnsi="Helvetica" w:cs="Helvetica"/>
          <w:lang w:val="en-GB"/>
        </w:rPr>
        <w:t xml:space="preserve">d not constitute an alienation, </w:t>
      </w:r>
      <w:r w:rsidR="003C7641" w:rsidRPr="008A3778">
        <w:rPr>
          <w:rFonts w:ascii="Helvetica" w:eastAsia="Calibri" w:hAnsi="Helvetica" w:cs="Helvetica"/>
          <w:lang w:val="en-GB"/>
        </w:rPr>
        <w:t>pledge,</w:t>
      </w:r>
      <w:r w:rsidR="00742C60" w:rsidRPr="008A3778">
        <w:rPr>
          <w:rFonts w:ascii="Helvetica" w:eastAsia="Calibri" w:hAnsi="Helvetica" w:cs="Helvetica"/>
          <w:lang w:val="en-GB"/>
        </w:rPr>
        <w:t xml:space="preserve"> or a cession</w:t>
      </w:r>
      <w:r w:rsidR="00756E35" w:rsidRPr="008A3778">
        <w:rPr>
          <w:rFonts w:ascii="Helvetica" w:eastAsia="Calibri" w:hAnsi="Helvetica" w:cs="Helvetica"/>
          <w:lang w:val="en-GB"/>
        </w:rPr>
        <w:t xml:space="preserve"> - </w:t>
      </w:r>
      <w:r w:rsidR="001C5F89" w:rsidRPr="008A3778">
        <w:rPr>
          <w:rFonts w:ascii="Helvetica" w:eastAsia="Calibri" w:hAnsi="Helvetica" w:cs="Helvetica"/>
          <w:lang w:val="en-GB"/>
        </w:rPr>
        <w:t xml:space="preserve">as contemplated by section 15(2)(c) of the MPA. </w:t>
      </w:r>
    </w:p>
    <w:p w14:paraId="62875466" w14:textId="016F4C4B" w:rsidR="00DE35CF" w:rsidRPr="008A3778" w:rsidRDefault="004F37C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HGMaruGothicMPRO" w:hAnsi="Helvetica" w:cs="Helvetica"/>
          <w:lang w:val="en-GB"/>
        </w:rPr>
        <w:t xml:space="preserve">That said, having </w:t>
      </w:r>
      <w:r w:rsidR="00A11643" w:rsidRPr="008A3778">
        <w:rPr>
          <w:rFonts w:ascii="Helvetica" w:eastAsia="HGMaruGothicMPRO" w:hAnsi="Helvetica" w:cs="Helvetica"/>
          <w:lang w:val="en-GB"/>
        </w:rPr>
        <w:t xml:space="preserve">just </w:t>
      </w:r>
      <w:r w:rsidR="00B021CE" w:rsidRPr="008A3778">
        <w:rPr>
          <w:rFonts w:ascii="Helvetica" w:eastAsia="HGMaruGothicMPRO" w:hAnsi="Helvetica" w:cs="Helvetica"/>
          <w:lang w:val="en-GB"/>
        </w:rPr>
        <w:t xml:space="preserve">mentioned </w:t>
      </w:r>
      <w:bookmarkStart w:id="15" w:name="_Hlk91001266"/>
      <w:r w:rsidR="00B021CE" w:rsidRPr="008A3778">
        <w:rPr>
          <w:rFonts w:ascii="Helvetica" w:eastAsia="HGMaruGothicMPRO" w:hAnsi="Helvetica" w:cs="Helvetica"/>
          <w:lang w:val="en-GB"/>
        </w:rPr>
        <w:t>section 15(2)(c) of the MPA</w:t>
      </w:r>
      <w:bookmarkEnd w:id="15"/>
      <w:r w:rsidR="003F1BA6" w:rsidRPr="008A3778">
        <w:rPr>
          <w:rFonts w:ascii="Helvetica" w:eastAsia="HGMaruGothicMPRO" w:hAnsi="Helvetica" w:cs="Helvetica"/>
          <w:lang w:val="en-GB"/>
        </w:rPr>
        <w:t xml:space="preserve">, I must </w:t>
      </w:r>
      <w:r w:rsidR="00A11643" w:rsidRPr="008A3778">
        <w:rPr>
          <w:rFonts w:ascii="Helvetica" w:eastAsia="HGMaruGothicMPRO" w:hAnsi="Helvetica" w:cs="Helvetica"/>
          <w:lang w:val="en-GB"/>
        </w:rPr>
        <w:t>also</w:t>
      </w:r>
      <w:r w:rsidRPr="008A3778">
        <w:rPr>
          <w:rFonts w:ascii="Helvetica" w:eastAsia="HGMaruGothicMPRO" w:hAnsi="Helvetica" w:cs="Helvetica"/>
          <w:lang w:val="en-GB"/>
        </w:rPr>
        <w:t xml:space="preserve"> deal with </w:t>
      </w:r>
      <w:r w:rsidR="003F1BA6" w:rsidRPr="008A3778">
        <w:rPr>
          <w:rFonts w:ascii="Helvetica" w:eastAsia="HGMaruGothicMPRO" w:hAnsi="Helvetica" w:cs="Helvetica"/>
          <w:lang w:val="en-GB"/>
        </w:rPr>
        <w:t xml:space="preserve">the </w:t>
      </w:r>
      <w:r w:rsidR="003F1BA6" w:rsidRPr="008A3778">
        <w:rPr>
          <w:rFonts w:ascii="Helvetica" w:eastAsia="Calibri" w:hAnsi="Helvetica" w:cs="Helvetica"/>
          <w:lang w:val="en-GB"/>
        </w:rPr>
        <w:t>argument</w:t>
      </w:r>
      <w:r w:rsidR="003F1BA6" w:rsidRPr="008A3778">
        <w:rPr>
          <w:rFonts w:ascii="Helvetica" w:eastAsia="HGMaruGothicMPRO" w:hAnsi="Helvetica" w:cs="Helvetica"/>
          <w:lang w:val="en-GB"/>
        </w:rPr>
        <w:t xml:space="preserve"> </w:t>
      </w:r>
      <w:r w:rsidR="00B021CE" w:rsidRPr="008A3778">
        <w:rPr>
          <w:rFonts w:ascii="Helvetica" w:eastAsia="HGMaruGothicMPRO" w:hAnsi="Helvetica" w:cs="Helvetica"/>
          <w:lang w:val="en-GB"/>
        </w:rPr>
        <w:t xml:space="preserve">advanced on behalf of </w:t>
      </w:r>
      <w:r w:rsidR="003F1BA6" w:rsidRPr="008A3778">
        <w:rPr>
          <w:rFonts w:ascii="Helvetica" w:eastAsia="Calibri" w:hAnsi="Helvetica" w:cs="Helvetica"/>
          <w:lang w:val="en-GB"/>
        </w:rPr>
        <w:t>the third to fifth respondents</w:t>
      </w:r>
      <w:r w:rsidR="002B2481" w:rsidRPr="008A3778">
        <w:rPr>
          <w:rFonts w:ascii="Helvetica" w:eastAsia="Calibri" w:hAnsi="Helvetica" w:cs="Helvetica"/>
          <w:lang w:val="en-GB"/>
        </w:rPr>
        <w:t xml:space="preserve"> regarding </w:t>
      </w:r>
      <w:r w:rsidR="003F1BA6" w:rsidRPr="008A3778">
        <w:rPr>
          <w:rFonts w:ascii="Helvetica" w:eastAsia="Calibri" w:hAnsi="Helvetica" w:cs="Helvetica"/>
          <w:lang w:val="en-GB"/>
        </w:rPr>
        <w:t>what they label as the “</w:t>
      </w:r>
      <w:r w:rsidR="003F1BA6" w:rsidRPr="008A3778">
        <w:rPr>
          <w:rFonts w:ascii="Helvetica" w:eastAsia="HGMaruGothicMPRO" w:hAnsi="Helvetica" w:cs="Helvetica"/>
          <w:lang w:val="en-GB"/>
        </w:rPr>
        <w:t>evolution</w:t>
      </w:r>
      <w:r w:rsidR="003F1BA6" w:rsidRPr="008A3778">
        <w:rPr>
          <w:rFonts w:ascii="Helvetica" w:eastAsia="Calibri" w:hAnsi="Helvetica" w:cs="Helvetica"/>
          <w:i/>
          <w:iCs/>
          <w:lang w:val="en-GB"/>
        </w:rPr>
        <w:t xml:space="preserve"> of the Appellant’s case</w:t>
      </w:r>
      <w:r w:rsidR="003F1BA6" w:rsidRPr="008A3778">
        <w:rPr>
          <w:rFonts w:ascii="Helvetica" w:eastAsia="Calibri" w:hAnsi="Helvetica" w:cs="Helvetica"/>
          <w:lang w:val="en-GB"/>
        </w:rPr>
        <w:t xml:space="preserve">” from the </w:t>
      </w:r>
      <w:r w:rsidR="003F1BA6" w:rsidRPr="008A3778">
        <w:rPr>
          <w:rFonts w:ascii="Helvetica" w:eastAsia="HGMaruGothicMPRO" w:hAnsi="Helvetica" w:cs="Helvetica"/>
          <w:lang w:val="en-GB"/>
        </w:rPr>
        <w:t>complaint</w:t>
      </w:r>
      <w:r w:rsidR="003F1BA6" w:rsidRPr="008A3778">
        <w:rPr>
          <w:rFonts w:ascii="Helvetica" w:eastAsia="Calibri" w:hAnsi="Helvetica" w:cs="Helvetica"/>
          <w:lang w:val="en-GB"/>
        </w:rPr>
        <w:t xml:space="preserve"> to the Adjudicator</w:t>
      </w:r>
      <w:r w:rsidR="00DE35CF" w:rsidRPr="008A3778">
        <w:rPr>
          <w:rFonts w:ascii="Helvetica" w:eastAsia="Calibri" w:hAnsi="Helvetica" w:cs="Helvetica"/>
          <w:lang w:val="en-GB"/>
        </w:rPr>
        <w:t xml:space="preserve">, </w:t>
      </w:r>
      <w:r w:rsidR="003F1BA6" w:rsidRPr="008A3778">
        <w:rPr>
          <w:rFonts w:ascii="Helvetica" w:eastAsia="Calibri" w:hAnsi="Helvetica" w:cs="Helvetica"/>
          <w:lang w:val="en-GB"/>
        </w:rPr>
        <w:t>through the various affidavits filed on behalf of the appellants</w:t>
      </w:r>
      <w:r w:rsidR="001F51DB">
        <w:rPr>
          <w:rFonts w:ascii="Helvetica" w:eastAsia="Calibri" w:hAnsi="Helvetica" w:cs="Helvetica"/>
          <w:lang w:val="en-GB"/>
        </w:rPr>
        <w:t>’</w:t>
      </w:r>
      <w:r w:rsidR="003F1BA6" w:rsidRPr="008A3778">
        <w:rPr>
          <w:rFonts w:ascii="Helvetica" w:eastAsia="Calibri" w:hAnsi="Helvetica" w:cs="Helvetica"/>
          <w:lang w:val="en-GB"/>
        </w:rPr>
        <w:t xml:space="preserve"> amendments to their notice of motion and subsequently in this appeal. </w:t>
      </w:r>
      <w:r w:rsidR="00505BC0" w:rsidRPr="008A3778">
        <w:rPr>
          <w:rFonts w:ascii="Helvetica" w:eastAsia="Calibri" w:hAnsi="Helvetica" w:cs="Helvetica"/>
          <w:lang w:val="en-GB"/>
        </w:rPr>
        <w:t>I do so because they argue that there is a separate (further) reason</w:t>
      </w:r>
      <w:r w:rsidR="00505BC0" w:rsidRPr="008A3778">
        <w:rPr>
          <w:rFonts w:ascii="Helvetica" w:eastAsia="HGMaruGothicMPRO" w:hAnsi="Helvetica" w:cs="Helvetica"/>
          <w:lang w:val="en-GB"/>
        </w:rPr>
        <w:t xml:space="preserve"> </w:t>
      </w:r>
      <w:r w:rsidR="006227BC">
        <w:rPr>
          <w:rFonts w:ascii="Helvetica" w:eastAsia="HGMaruGothicMPRO" w:hAnsi="Helvetica" w:cs="Helvetica"/>
          <w:lang w:val="en-GB"/>
        </w:rPr>
        <w:t xml:space="preserve">why </w:t>
      </w:r>
      <w:r w:rsidR="00505BC0" w:rsidRPr="008A3778">
        <w:rPr>
          <w:rFonts w:ascii="Helvetica" w:eastAsia="Calibri" w:hAnsi="Helvetica" w:cs="Helvetica"/>
          <w:lang w:val="en-GB"/>
        </w:rPr>
        <w:t>section 15(2)(c) of the MPA cannot not apply.</w:t>
      </w:r>
    </w:p>
    <w:p w14:paraId="0FDB44DD" w14:textId="4E42DD2B" w:rsidR="00B021CE" w:rsidRPr="008A3778" w:rsidRDefault="00B021C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In the</w:t>
      </w:r>
      <w:r w:rsidR="00DE35CF" w:rsidRPr="008A3778">
        <w:rPr>
          <w:rFonts w:ascii="Helvetica" w:eastAsia="Calibri" w:hAnsi="Helvetica" w:cs="Helvetica"/>
          <w:lang w:val="en-GB"/>
        </w:rPr>
        <w:t xml:space="preserve"> above regard, t</w:t>
      </w:r>
      <w:r w:rsidR="003F1BA6" w:rsidRPr="008A3778">
        <w:rPr>
          <w:rFonts w:ascii="Helvetica" w:eastAsia="Calibri" w:hAnsi="Helvetica" w:cs="Helvetica"/>
          <w:lang w:val="en-GB"/>
        </w:rPr>
        <w:t xml:space="preserve">he </w:t>
      </w:r>
      <w:r w:rsidR="001C5F89" w:rsidRPr="008A3778">
        <w:rPr>
          <w:rFonts w:ascii="Helvetica" w:eastAsia="Calibri" w:hAnsi="Helvetica" w:cs="Helvetica"/>
          <w:lang w:val="en-GB"/>
        </w:rPr>
        <w:t>g</w:t>
      </w:r>
      <w:r w:rsidR="00DE35CF" w:rsidRPr="008A3778">
        <w:rPr>
          <w:rFonts w:ascii="Helvetica" w:eastAsia="Calibri" w:hAnsi="Helvetica" w:cs="Helvetica"/>
          <w:lang w:val="en-GB"/>
        </w:rPr>
        <w:t xml:space="preserve">enesis of the </w:t>
      </w:r>
      <w:r w:rsidR="003F1BA6" w:rsidRPr="008A3778">
        <w:rPr>
          <w:rFonts w:ascii="Helvetica" w:eastAsia="Calibri" w:hAnsi="Helvetica" w:cs="Helvetica"/>
          <w:lang w:val="en-GB"/>
        </w:rPr>
        <w:t>appellants</w:t>
      </w:r>
      <w:r w:rsidR="00DE35CF" w:rsidRPr="008A3778">
        <w:rPr>
          <w:rFonts w:ascii="Helvetica" w:eastAsia="Calibri" w:hAnsi="Helvetica" w:cs="Helvetica"/>
          <w:lang w:val="en-GB"/>
        </w:rPr>
        <w:t>’</w:t>
      </w:r>
      <w:r w:rsidR="003F1BA6" w:rsidRPr="008A3778">
        <w:rPr>
          <w:rFonts w:ascii="Helvetica" w:eastAsia="Calibri" w:hAnsi="Helvetica" w:cs="Helvetica"/>
          <w:lang w:val="en-GB"/>
        </w:rPr>
        <w:t xml:space="preserve"> case</w:t>
      </w:r>
      <w:r w:rsidR="00DE35CF" w:rsidRPr="008A3778">
        <w:rPr>
          <w:rFonts w:ascii="Helvetica" w:eastAsia="Calibri" w:hAnsi="Helvetica" w:cs="Helvetica"/>
          <w:lang w:val="en-GB"/>
        </w:rPr>
        <w:t xml:space="preserve"> is that </w:t>
      </w:r>
      <w:r w:rsidR="003F1BA6" w:rsidRPr="008A3778">
        <w:rPr>
          <w:rFonts w:ascii="Helvetica" w:eastAsia="Calibri" w:hAnsi="Helvetica" w:cs="Helvetica"/>
          <w:lang w:val="en-GB"/>
        </w:rPr>
        <w:t>Mr</w:t>
      </w:r>
      <w:r w:rsidR="005D3341">
        <w:rPr>
          <w:rFonts w:ascii="Helvetica" w:eastAsia="Calibri" w:hAnsi="Helvetica" w:cs="Helvetica"/>
          <w:lang w:val="en-GB"/>
        </w:rPr>
        <w:t>.</w:t>
      </w:r>
      <w:r w:rsidR="003F1BA6" w:rsidRPr="008A3778">
        <w:rPr>
          <w:rFonts w:ascii="Helvetica" w:eastAsia="Calibri" w:hAnsi="Helvetica" w:cs="Helvetica"/>
          <w:lang w:val="en-GB"/>
        </w:rPr>
        <w:t xml:space="preserve"> and </w:t>
      </w:r>
      <w:r w:rsidR="003C7641" w:rsidRPr="008A3778">
        <w:rPr>
          <w:rFonts w:ascii="Helvetica" w:eastAsia="Calibri" w:hAnsi="Helvetica" w:cs="Helvetica"/>
          <w:lang w:val="en-GB"/>
        </w:rPr>
        <w:t>Ms</w:t>
      </w:r>
      <w:r w:rsidR="005D3341">
        <w:rPr>
          <w:rFonts w:ascii="Helvetica" w:eastAsia="Calibri" w:hAnsi="Helvetica" w:cs="Helvetica"/>
          <w:lang w:val="en-GB"/>
        </w:rPr>
        <w:t>.</w:t>
      </w:r>
      <w:r w:rsidR="003F1BA6" w:rsidRPr="008A3778">
        <w:rPr>
          <w:rFonts w:ascii="Helvetica" w:eastAsia="Calibri" w:hAnsi="Helvetica" w:cs="Helvetica"/>
          <w:lang w:val="en-GB"/>
        </w:rPr>
        <w:t xml:space="preserve"> Collatz</w:t>
      </w:r>
      <w:r w:rsidR="00DE35CF" w:rsidRPr="008A3778">
        <w:rPr>
          <w:rFonts w:ascii="Helvetica" w:eastAsia="Calibri" w:hAnsi="Helvetica" w:cs="Helvetica"/>
          <w:lang w:val="en-GB"/>
        </w:rPr>
        <w:t xml:space="preserve"> were </w:t>
      </w:r>
      <w:r w:rsidR="003F1BA6" w:rsidRPr="008A3778">
        <w:rPr>
          <w:rFonts w:ascii="Helvetica" w:eastAsia="Calibri" w:hAnsi="Helvetica" w:cs="Helvetica"/>
          <w:lang w:val="en-GB"/>
        </w:rPr>
        <w:t xml:space="preserve">married in community of </w:t>
      </w:r>
      <w:r w:rsidRPr="008A3778">
        <w:rPr>
          <w:rFonts w:ascii="Helvetica" w:eastAsia="Calibri" w:hAnsi="Helvetica" w:cs="Helvetica"/>
          <w:lang w:val="en-GB"/>
        </w:rPr>
        <w:t>property</w:t>
      </w:r>
      <w:r w:rsidR="00200366" w:rsidRPr="008A3778">
        <w:rPr>
          <w:rFonts w:ascii="Helvetica" w:eastAsia="Calibri" w:hAnsi="Helvetica" w:cs="Helvetica"/>
          <w:lang w:val="en-GB"/>
        </w:rPr>
        <w:t xml:space="preserve">, </w:t>
      </w:r>
      <w:r w:rsidRPr="008A3778">
        <w:rPr>
          <w:rFonts w:ascii="Helvetica" w:eastAsia="Calibri" w:hAnsi="Helvetica" w:cs="Helvetica"/>
          <w:lang w:val="en-GB"/>
        </w:rPr>
        <w:t xml:space="preserve">an accompanying </w:t>
      </w:r>
      <w:r w:rsidR="003F1BA6" w:rsidRPr="008A3778">
        <w:rPr>
          <w:rFonts w:ascii="Helvetica" w:eastAsia="Calibri" w:hAnsi="Helvetica" w:cs="Helvetica"/>
          <w:lang w:val="en-GB"/>
        </w:rPr>
        <w:t>claim that the withdrawal benefit accrued to the joint estate, and a</w:t>
      </w:r>
      <w:r w:rsidRPr="008A3778">
        <w:rPr>
          <w:rFonts w:ascii="Helvetica" w:eastAsia="Calibri" w:hAnsi="Helvetica" w:cs="Helvetica"/>
          <w:lang w:val="en-GB"/>
        </w:rPr>
        <w:t>n alleged</w:t>
      </w:r>
      <w:r w:rsidR="003F1BA6" w:rsidRPr="008A3778">
        <w:rPr>
          <w:rFonts w:ascii="Helvetica" w:eastAsia="Calibri" w:hAnsi="Helvetica" w:cs="Helvetica"/>
          <w:lang w:val="en-GB"/>
        </w:rPr>
        <w:t xml:space="preserve"> breach of the preservation agreement.</w:t>
      </w:r>
      <w:r w:rsidR="00DE35CF" w:rsidRPr="008A3778">
        <w:rPr>
          <w:rFonts w:ascii="Helvetica" w:eastAsia="Calibri" w:hAnsi="Helvetica" w:cs="Helvetica"/>
          <w:lang w:val="en-GB"/>
        </w:rPr>
        <w:t xml:space="preserve"> (</w:t>
      </w:r>
      <w:r w:rsidRPr="008A3778">
        <w:rPr>
          <w:rFonts w:ascii="Helvetica" w:eastAsia="Calibri" w:hAnsi="Helvetica" w:cs="Helvetica"/>
          <w:lang w:val="en-GB"/>
        </w:rPr>
        <w:t>I return to the preservation agreement shortly</w:t>
      </w:r>
      <w:r w:rsidR="005D3341">
        <w:rPr>
          <w:rFonts w:ascii="Helvetica" w:eastAsia="Calibri" w:hAnsi="Helvetica" w:cs="Helvetica"/>
          <w:lang w:val="en-GB"/>
        </w:rPr>
        <w:t>.</w:t>
      </w:r>
      <w:r w:rsidRPr="008A3778">
        <w:rPr>
          <w:rFonts w:ascii="Helvetica" w:eastAsia="Calibri" w:hAnsi="Helvetica" w:cs="Helvetica"/>
          <w:lang w:val="en-GB"/>
        </w:rPr>
        <w:t xml:space="preserve">) </w:t>
      </w:r>
    </w:p>
    <w:p w14:paraId="7D1CCAE4" w14:textId="549F51A5" w:rsidR="00505BC0" w:rsidRPr="008A3778" w:rsidRDefault="00B021C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As the third to fifth respondents correctly point out, the </w:t>
      </w:r>
      <w:r w:rsidR="003F1BA6" w:rsidRPr="008A3778">
        <w:rPr>
          <w:rFonts w:ascii="Helvetica" w:eastAsia="Calibri" w:hAnsi="Helvetica" w:cs="Helvetica"/>
          <w:lang w:val="en-GB"/>
        </w:rPr>
        <w:t xml:space="preserve">appellants did not rely on section 15(2)(c) of the </w:t>
      </w:r>
      <w:r w:rsidRPr="008A3778">
        <w:rPr>
          <w:rFonts w:ascii="Helvetica" w:eastAsia="Calibri" w:hAnsi="Helvetica" w:cs="Helvetica"/>
          <w:lang w:val="en-GB"/>
        </w:rPr>
        <w:t>MPA</w:t>
      </w:r>
      <w:r w:rsidR="003F1BA6" w:rsidRPr="008A3778">
        <w:rPr>
          <w:rFonts w:ascii="Helvetica" w:eastAsia="Calibri" w:hAnsi="Helvetica" w:cs="Helvetica"/>
          <w:lang w:val="en-GB"/>
        </w:rPr>
        <w:t xml:space="preserve"> in any one of their three founding affidavits (i.e., the founding </w:t>
      </w:r>
      <w:r w:rsidR="003F1BA6" w:rsidRPr="008A3778">
        <w:rPr>
          <w:rFonts w:ascii="Helvetica" w:eastAsia="Calibri" w:hAnsi="Helvetica" w:cs="Helvetica"/>
          <w:lang w:val="en-GB"/>
        </w:rPr>
        <w:lastRenderedPageBreak/>
        <w:t>affidavit and their two supplementary founding affidavits). Yet, the appellants</w:t>
      </w:r>
      <w:r w:rsidR="00B6035A" w:rsidRPr="008A3778">
        <w:rPr>
          <w:rFonts w:ascii="Helvetica" w:eastAsia="Calibri" w:hAnsi="Helvetica" w:cs="Helvetica"/>
          <w:lang w:val="en-GB"/>
        </w:rPr>
        <w:t xml:space="preserve"> subsequently mention</w:t>
      </w:r>
      <w:r w:rsidR="003F1BA6" w:rsidRPr="008A3778">
        <w:rPr>
          <w:rFonts w:ascii="Helvetica" w:eastAsia="Calibri" w:hAnsi="Helvetica" w:cs="Helvetica"/>
          <w:lang w:val="en-GB"/>
        </w:rPr>
        <w:t xml:space="preserve">, </w:t>
      </w:r>
      <w:r w:rsidR="00023D47" w:rsidRPr="00023D47">
        <w:rPr>
          <w:rFonts w:ascii="Helvetica" w:eastAsia="Calibri" w:hAnsi="Helvetica" w:cs="Helvetica"/>
          <w:i/>
          <w:iCs/>
          <w:lang w:val="en-GB"/>
        </w:rPr>
        <w:t>inter-alia</w:t>
      </w:r>
      <w:r w:rsidR="003F1BA6" w:rsidRPr="008A3778">
        <w:rPr>
          <w:rFonts w:ascii="Helvetica" w:eastAsia="Calibri" w:hAnsi="Helvetica" w:cs="Helvetica"/>
          <w:lang w:val="en-GB"/>
        </w:rPr>
        <w:t xml:space="preserve">, that section 15(2)(c) of the MPA required the first appellant’s consent to reinvest the accrued benefit because it is an investment. </w:t>
      </w:r>
    </w:p>
    <w:p w14:paraId="35C14544" w14:textId="2B4BA770" w:rsidR="00200366" w:rsidRPr="008A3778" w:rsidRDefault="00200366"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third to fifth respondents</w:t>
      </w:r>
      <w:r w:rsidR="00505BC0" w:rsidRPr="008A3778">
        <w:rPr>
          <w:rFonts w:ascii="Helvetica" w:eastAsia="Calibri" w:hAnsi="Helvetica" w:cs="Helvetica"/>
          <w:lang w:val="en-GB"/>
        </w:rPr>
        <w:t xml:space="preserve"> then proceed to </w:t>
      </w:r>
      <w:r w:rsidR="003F1BA6" w:rsidRPr="008A3778">
        <w:rPr>
          <w:rFonts w:ascii="Helvetica" w:eastAsia="Calibri" w:hAnsi="Helvetica" w:cs="Helvetica"/>
          <w:lang w:val="en-GB"/>
        </w:rPr>
        <w:t xml:space="preserve">argue, relying on the above quoted dictum in </w:t>
      </w:r>
      <w:r w:rsidR="003F1BA6" w:rsidRPr="008A3778">
        <w:rPr>
          <w:rFonts w:ascii="Helvetica" w:eastAsia="Calibri" w:hAnsi="Helvetica" w:cs="Helvetica"/>
          <w:b/>
          <w:bCs/>
          <w:lang w:val="en-GB"/>
        </w:rPr>
        <w:t>Meyer v Iscor</w:t>
      </w:r>
      <w:r w:rsidR="004F37CE" w:rsidRPr="008A3778">
        <w:rPr>
          <w:rFonts w:ascii="Helvetica" w:eastAsia="Calibri" w:hAnsi="Helvetica" w:cs="Helvetica"/>
          <w:b/>
          <w:bCs/>
          <w:lang w:val="en-GB"/>
        </w:rPr>
        <w:t xml:space="preserve"> Pension Fund</w:t>
      </w:r>
      <w:r w:rsidR="003F1BA6" w:rsidRPr="008A3778">
        <w:rPr>
          <w:rFonts w:ascii="Helvetica" w:eastAsia="Calibri" w:hAnsi="Helvetica" w:cs="Helvetica"/>
          <w:vertAlign w:val="superscript"/>
          <w:lang w:val="en-GB"/>
        </w:rPr>
        <w:footnoteReference w:id="68"/>
      </w:r>
      <w:r w:rsidR="003F1BA6" w:rsidRPr="008A3778">
        <w:rPr>
          <w:rFonts w:ascii="Helvetica" w:eastAsia="Calibri" w:hAnsi="Helvetica" w:cs="Helvetica"/>
          <w:lang w:val="en-GB"/>
        </w:rPr>
        <w:t xml:space="preserve"> and the decision in </w:t>
      </w:r>
      <w:r w:rsidR="003F1BA6" w:rsidRPr="008A3778">
        <w:rPr>
          <w:rFonts w:ascii="Helvetica" w:eastAsia="Calibri" w:hAnsi="Helvetica" w:cs="Helvetica"/>
          <w:b/>
          <w:bCs/>
          <w:lang w:val="en-GB"/>
        </w:rPr>
        <w:t>Van Niekerk v FundsAtWork Umbrella Provident Fund</w:t>
      </w:r>
      <w:r w:rsidR="008A3778">
        <w:rPr>
          <w:rFonts w:ascii="Helvetica" w:eastAsia="Calibri" w:hAnsi="Helvetica" w:cs="Helvetica"/>
          <w:lang w:val="en-GB"/>
        </w:rPr>
        <w:t>,</w:t>
      </w:r>
      <w:r w:rsidR="003F1BA6" w:rsidRPr="008A3778">
        <w:rPr>
          <w:rFonts w:ascii="Helvetica" w:eastAsia="Calibri" w:hAnsi="Helvetica" w:cs="Helvetica"/>
          <w:vertAlign w:val="superscript"/>
          <w:lang w:val="en-GB"/>
        </w:rPr>
        <w:footnoteReference w:id="69"/>
      </w:r>
      <w:r w:rsidR="003F1BA6" w:rsidRPr="008A3778">
        <w:rPr>
          <w:rFonts w:ascii="Helvetica" w:eastAsia="Calibri" w:hAnsi="Helvetica" w:cs="Helvetica"/>
          <w:b/>
          <w:bCs/>
          <w:lang w:val="en-GB"/>
        </w:rPr>
        <w:t xml:space="preserve"> </w:t>
      </w:r>
      <w:r w:rsidR="003F1BA6" w:rsidRPr="008A3778">
        <w:rPr>
          <w:rFonts w:ascii="Helvetica" w:eastAsia="Calibri" w:hAnsi="Helvetica" w:cs="Helvetica"/>
          <w:lang w:val="en-GB"/>
        </w:rPr>
        <w:t xml:space="preserve">that </w:t>
      </w:r>
      <w:r w:rsidR="008A3A33" w:rsidRPr="008A3778">
        <w:rPr>
          <w:rFonts w:ascii="Helvetica" w:eastAsia="Calibri" w:hAnsi="Helvetica" w:cs="Helvetica"/>
          <w:lang w:val="en-GB"/>
        </w:rPr>
        <w:t>as</w:t>
      </w:r>
      <w:r w:rsidR="003F1BA6" w:rsidRPr="008A3778">
        <w:rPr>
          <w:rFonts w:ascii="Helvetica" w:eastAsia="Calibri" w:hAnsi="Helvetica" w:cs="Helvetica"/>
          <w:lang w:val="en-GB"/>
        </w:rPr>
        <w:t xml:space="preserve"> the appellants did not </w:t>
      </w:r>
      <w:r w:rsidR="00F61353" w:rsidRPr="008A3778">
        <w:rPr>
          <w:rFonts w:ascii="Helvetica" w:eastAsia="Calibri" w:hAnsi="Helvetica" w:cs="Helvetica"/>
          <w:lang w:val="en-GB"/>
        </w:rPr>
        <w:t xml:space="preserve">raise </w:t>
      </w:r>
      <w:r w:rsidR="003F1BA6" w:rsidRPr="008A3778">
        <w:rPr>
          <w:rFonts w:ascii="Helvetica" w:eastAsia="Calibri" w:hAnsi="Helvetica" w:cs="Helvetica"/>
          <w:lang w:val="en-GB"/>
        </w:rPr>
        <w:t xml:space="preserve">a section 15(2)(c) complaint to the </w:t>
      </w:r>
      <w:r w:rsidR="005D3341">
        <w:rPr>
          <w:rFonts w:ascii="Helvetica" w:eastAsia="Calibri" w:hAnsi="Helvetica" w:cs="Helvetica"/>
          <w:lang w:val="en-GB"/>
        </w:rPr>
        <w:t>A</w:t>
      </w:r>
      <w:r w:rsidR="003F1BA6" w:rsidRPr="008A3778">
        <w:rPr>
          <w:rFonts w:ascii="Helvetica" w:eastAsia="Calibri" w:hAnsi="Helvetica" w:cs="Helvetica"/>
          <w:lang w:val="en-GB"/>
        </w:rPr>
        <w:t xml:space="preserve">djudicator, it cannot subsequently feature in the section 30P application. </w:t>
      </w:r>
      <w:r w:rsidR="00F61353" w:rsidRPr="008A3778">
        <w:rPr>
          <w:rFonts w:ascii="Helvetica" w:eastAsia="Calibri" w:hAnsi="Helvetica" w:cs="Helvetica"/>
          <w:lang w:val="en-GB"/>
        </w:rPr>
        <w:t xml:space="preserve">I refer to the “complaint” to the </w:t>
      </w:r>
      <w:r w:rsidR="005D3341">
        <w:rPr>
          <w:rFonts w:ascii="Helvetica" w:eastAsia="Calibri" w:hAnsi="Helvetica" w:cs="Helvetica"/>
          <w:lang w:val="en-GB"/>
        </w:rPr>
        <w:t>A</w:t>
      </w:r>
      <w:r w:rsidR="00F61353" w:rsidRPr="008A3778">
        <w:rPr>
          <w:rFonts w:ascii="Helvetica" w:eastAsia="Calibri" w:hAnsi="Helvetica" w:cs="Helvetica"/>
          <w:lang w:val="en-GB"/>
        </w:rPr>
        <w:t xml:space="preserve">djudicator </w:t>
      </w:r>
      <w:r w:rsidR="00903F2F">
        <w:rPr>
          <w:rFonts w:ascii="Helvetica" w:eastAsia="Calibri" w:hAnsi="Helvetica" w:cs="Helvetica"/>
          <w:lang w:val="en-GB"/>
        </w:rPr>
        <w:t>as</w:t>
      </w:r>
      <w:r w:rsidR="00F61353" w:rsidRPr="008A3778">
        <w:rPr>
          <w:rFonts w:ascii="Helvetica" w:eastAsia="Calibri" w:hAnsi="Helvetica" w:cs="Helvetica"/>
          <w:lang w:val="en-GB"/>
        </w:rPr>
        <w:t xml:space="preserve"> identified above.</w:t>
      </w:r>
    </w:p>
    <w:p w14:paraId="0AD65675" w14:textId="4E2ED50A" w:rsidR="00505BC0" w:rsidRPr="008A3778" w:rsidRDefault="00505BC0"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 however</w:t>
      </w:r>
      <w:r w:rsidR="00607D64" w:rsidRPr="008A3778">
        <w:rPr>
          <w:rFonts w:ascii="Helvetica" w:eastAsia="Calibri" w:hAnsi="Helvetica" w:cs="Helvetica"/>
          <w:lang w:val="en-GB"/>
        </w:rPr>
        <w:t xml:space="preserve"> must</w:t>
      </w:r>
      <w:r w:rsidRPr="008A3778">
        <w:rPr>
          <w:rFonts w:ascii="Helvetica" w:eastAsia="Calibri" w:hAnsi="Helvetica" w:cs="Helvetica"/>
          <w:lang w:val="en-GB"/>
        </w:rPr>
        <w:t xml:space="preserve"> disagree with the</w:t>
      </w:r>
      <w:r w:rsidR="004F37CE" w:rsidRPr="008A3778">
        <w:rPr>
          <w:rFonts w:ascii="Helvetica" w:eastAsia="Calibri" w:hAnsi="Helvetica" w:cs="Helvetica"/>
          <w:lang w:val="en-GB"/>
        </w:rPr>
        <w:t xml:space="preserve"> third </w:t>
      </w:r>
      <w:r w:rsidRPr="008A3778">
        <w:rPr>
          <w:rFonts w:ascii="Helvetica" w:eastAsia="Calibri" w:hAnsi="Helvetica" w:cs="Helvetica"/>
          <w:lang w:val="en-GB"/>
        </w:rPr>
        <w:t>to</w:t>
      </w:r>
      <w:r w:rsidR="004F37CE" w:rsidRPr="008A3778">
        <w:rPr>
          <w:rFonts w:ascii="Helvetica" w:eastAsia="Calibri" w:hAnsi="Helvetica" w:cs="Helvetica"/>
          <w:lang w:val="en-GB"/>
        </w:rPr>
        <w:t xml:space="preserve"> fifth </w:t>
      </w:r>
      <w:r w:rsidRPr="008A3778">
        <w:rPr>
          <w:rFonts w:ascii="Helvetica" w:eastAsia="Calibri" w:hAnsi="Helvetica" w:cs="Helvetica"/>
          <w:lang w:val="en-GB"/>
        </w:rPr>
        <w:t>respondents on this score.</w:t>
      </w:r>
      <w:r w:rsidR="004F37CE" w:rsidRPr="008A3778">
        <w:rPr>
          <w:rFonts w:ascii="Helvetica" w:eastAsia="Calibri" w:hAnsi="Helvetica" w:cs="Helvetica"/>
          <w:lang w:val="en-GB"/>
        </w:rPr>
        <w:t xml:space="preserve"> The decision in </w:t>
      </w:r>
      <w:r w:rsidR="004F37CE" w:rsidRPr="008A3778">
        <w:rPr>
          <w:rFonts w:ascii="Helvetica" w:eastAsia="Calibri" w:hAnsi="Helvetica" w:cs="Helvetica"/>
          <w:b/>
          <w:bCs/>
          <w:lang w:val="en-GB"/>
        </w:rPr>
        <w:t>Meyer v Iscor Pension Fund</w:t>
      </w:r>
      <w:r w:rsidR="004F37CE" w:rsidRPr="008A3778">
        <w:rPr>
          <w:rFonts w:ascii="Helvetica" w:eastAsia="Calibri" w:hAnsi="Helvetica" w:cs="Helvetica"/>
          <w:lang w:val="en-GB"/>
        </w:rPr>
        <w:t xml:space="preserve"> holds that: </w:t>
      </w:r>
      <w:r w:rsidR="004F37CE" w:rsidRPr="008A3778">
        <w:rPr>
          <w:rFonts w:ascii="Helvetica" w:eastAsia="Calibri" w:hAnsi="Helvetica" w:cs="Helvetica"/>
          <w:i/>
          <w:iCs/>
          <w:lang w:val="en-GB"/>
        </w:rPr>
        <w:t>“…  the High Court’s jurisdiction is limited by s 30P(2) to a consideration of ‘the merits of the complaint in question’. The dispute submitted to the High Court for adjudication must therefore still be a ‘complaint’ as defined. Moreover, it must be substantially the same ‘complaint’ as the one determined by the Adjudicator</w:t>
      </w:r>
      <w:r w:rsidR="004F37CE" w:rsidRPr="008A3778">
        <w:rPr>
          <w:rFonts w:ascii="Helvetica" w:eastAsia="Calibri" w:hAnsi="Helvetica" w:cs="Helvetica"/>
          <w:lang w:val="en-GB"/>
        </w:rPr>
        <w:t>”</w:t>
      </w:r>
      <w:r w:rsidR="00F449D6" w:rsidRPr="008A3778">
        <w:rPr>
          <w:rFonts w:ascii="Helvetica" w:eastAsia="Calibri" w:hAnsi="Helvetica" w:cs="Helvetica"/>
          <w:lang w:val="en-GB"/>
        </w:rPr>
        <w:t>.</w:t>
      </w:r>
    </w:p>
    <w:p w14:paraId="67033F7A" w14:textId="478060D1" w:rsidR="00D326C2" w:rsidRPr="008A3778" w:rsidRDefault="004F37C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Given the</w:t>
      </w:r>
      <w:r w:rsidR="00D326C2" w:rsidRPr="008A3778">
        <w:rPr>
          <w:rFonts w:ascii="Helvetica" w:eastAsia="Calibri" w:hAnsi="Helvetica" w:cs="Helvetica"/>
          <w:lang w:val="en-GB"/>
        </w:rPr>
        <w:t xml:space="preserve"> nature and content of the </w:t>
      </w:r>
      <w:r w:rsidR="0095026B" w:rsidRPr="008A3778">
        <w:rPr>
          <w:rFonts w:ascii="Helvetica" w:eastAsia="Calibri" w:hAnsi="Helvetica" w:cs="Helvetica"/>
          <w:lang w:val="en-GB"/>
        </w:rPr>
        <w:t>first appellant</w:t>
      </w:r>
      <w:r w:rsidR="004669C4">
        <w:rPr>
          <w:rFonts w:ascii="Helvetica" w:eastAsia="Calibri" w:hAnsi="Helvetica" w:cs="Helvetica"/>
          <w:lang w:val="en-GB"/>
        </w:rPr>
        <w:t>’s</w:t>
      </w:r>
      <w:r w:rsidR="0095026B" w:rsidRPr="008A3778">
        <w:rPr>
          <w:rFonts w:ascii="Helvetica" w:eastAsia="Calibri" w:hAnsi="Helvetica" w:cs="Helvetica"/>
          <w:lang w:val="en-GB"/>
        </w:rPr>
        <w:t xml:space="preserve"> </w:t>
      </w:r>
      <w:r w:rsidR="00D326C2" w:rsidRPr="008A3778">
        <w:rPr>
          <w:rFonts w:ascii="Helvetica" w:eastAsia="Calibri" w:hAnsi="Helvetica" w:cs="Helvetica"/>
          <w:lang w:val="en-GB"/>
        </w:rPr>
        <w:t xml:space="preserve">complaint to the </w:t>
      </w:r>
      <w:r w:rsidR="004669C4">
        <w:rPr>
          <w:rFonts w:ascii="Helvetica" w:eastAsia="Calibri" w:hAnsi="Helvetica" w:cs="Helvetica"/>
          <w:lang w:val="en-GB"/>
        </w:rPr>
        <w:t>A</w:t>
      </w:r>
      <w:r w:rsidR="00D326C2" w:rsidRPr="008A3778">
        <w:rPr>
          <w:rFonts w:ascii="Helvetica" w:eastAsia="Calibri" w:hAnsi="Helvetica" w:cs="Helvetica"/>
          <w:lang w:val="en-GB"/>
        </w:rPr>
        <w:t xml:space="preserve">djudicator, as identified above, the issue of </w:t>
      </w:r>
      <w:r w:rsidR="0095026B" w:rsidRPr="008A3778">
        <w:rPr>
          <w:rFonts w:ascii="Helvetica" w:eastAsia="Calibri" w:hAnsi="Helvetica" w:cs="Helvetica"/>
          <w:lang w:val="en-GB"/>
        </w:rPr>
        <w:t xml:space="preserve">the absence of </w:t>
      </w:r>
      <w:r w:rsidR="00D326C2" w:rsidRPr="008A3778">
        <w:rPr>
          <w:rFonts w:ascii="Helvetica" w:eastAsia="Calibri" w:hAnsi="Helvetica" w:cs="Helvetica"/>
          <w:lang w:val="en-GB"/>
        </w:rPr>
        <w:t xml:space="preserve">Ms. Collatz’s </w:t>
      </w:r>
      <w:r w:rsidR="003370D7" w:rsidRPr="008A3778">
        <w:rPr>
          <w:rFonts w:ascii="Helvetica" w:eastAsia="Calibri" w:hAnsi="Helvetica" w:cs="Helvetica"/>
          <w:lang w:val="en-GB"/>
        </w:rPr>
        <w:t xml:space="preserve">consent within the context of the parties being married in community of property forms an indelible component thereof. Section 15(2)(c) of the </w:t>
      </w:r>
      <w:r w:rsidR="00CD1164" w:rsidRPr="008A3778">
        <w:rPr>
          <w:rFonts w:ascii="Helvetica" w:eastAsia="Calibri" w:hAnsi="Helvetica" w:cs="Helvetica"/>
          <w:lang w:val="en-GB"/>
        </w:rPr>
        <w:t>MPA provides, in summary, that a spouse in a marriage in community of property shall not without the written consent of the other spouse</w:t>
      </w:r>
      <w:r w:rsidR="0095026B" w:rsidRPr="008A3778">
        <w:rPr>
          <w:rFonts w:ascii="Helvetica" w:eastAsia="Calibri" w:hAnsi="Helvetica" w:cs="Helvetica"/>
          <w:lang w:val="en-GB"/>
        </w:rPr>
        <w:t xml:space="preserve"> alienate any “</w:t>
      </w:r>
      <w:r w:rsidR="001B5608" w:rsidRPr="008A3778">
        <w:rPr>
          <w:rFonts w:ascii="Helvetica" w:eastAsia="Calibri" w:hAnsi="Helvetica" w:cs="Helvetica"/>
          <w:lang w:val="en-GB"/>
        </w:rPr>
        <w:t xml:space="preserve">… </w:t>
      </w:r>
      <w:r w:rsidR="0095026B" w:rsidRPr="008A3778">
        <w:rPr>
          <w:rFonts w:ascii="Helvetica" w:eastAsia="Calibri" w:hAnsi="Helvetica" w:cs="Helvetica"/>
          <w:i/>
          <w:iCs/>
          <w:lang w:val="en-GB"/>
        </w:rPr>
        <w:t xml:space="preserve">investments by </w:t>
      </w:r>
      <w:r w:rsidR="00607D64" w:rsidRPr="008A3778">
        <w:rPr>
          <w:rFonts w:ascii="Helvetica" w:eastAsia="Calibri" w:hAnsi="Helvetica" w:cs="Helvetica"/>
          <w:i/>
          <w:iCs/>
          <w:lang w:val="en-GB"/>
        </w:rPr>
        <w:t>or on</w:t>
      </w:r>
      <w:r w:rsidR="0095026B" w:rsidRPr="008A3778">
        <w:rPr>
          <w:rFonts w:ascii="Helvetica" w:eastAsia="Calibri" w:hAnsi="Helvetica" w:cs="Helvetica"/>
          <w:i/>
          <w:iCs/>
          <w:lang w:val="en-GB"/>
        </w:rPr>
        <w:t xml:space="preserve"> behalf the other spouse in the financial institution, forming part of the joint estate</w:t>
      </w:r>
      <w:r w:rsidR="0095026B" w:rsidRPr="008A3778">
        <w:rPr>
          <w:rFonts w:ascii="Helvetica" w:eastAsia="Calibri" w:hAnsi="Helvetica" w:cs="Helvetica"/>
          <w:lang w:val="en-GB"/>
        </w:rPr>
        <w:t xml:space="preserve">”. Whilst there is no specific </w:t>
      </w:r>
      <w:r w:rsidR="002E4340" w:rsidRPr="008A3778">
        <w:rPr>
          <w:rFonts w:ascii="Helvetica" w:eastAsia="Calibri" w:hAnsi="Helvetica" w:cs="Helvetica"/>
          <w:lang w:val="en-GB"/>
        </w:rPr>
        <w:t>earlier mention of section 15(2)(c) of the MPA</w:t>
      </w:r>
      <w:r w:rsidR="00756E35" w:rsidRPr="008A3778">
        <w:rPr>
          <w:rFonts w:ascii="Helvetica" w:eastAsia="Calibri" w:hAnsi="Helvetica" w:cs="Helvetica"/>
          <w:lang w:val="en-GB"/>
        </w:rPr>
        <w:t xml:space="preserve"> by the appellants</w:t>
      </w:r>
      <w:r w:rsidR="002E4340" w:rsidRPr="008A3778">
        <w:rPr>
          <w:rFonts w:ascii="Helvetica" w:eastAsia="Calibri" w:hAnsi="Helvetica" w:cs="Helvetica"/>
          <w:lang w:val="en-GB"/>
        </w:rPr>
        <w:t xml:space="preserve">, I am </w:t>
      </w:r>
      <w:r w:rsidR="00504355" w:rsidRPr="008A3778">
        <w:rPr>
          <w:rFonts w:ascii="Helvetica" w:eastAsia="Calibri" w:hAnsi="Helvetica" w:cs="Helvetica"/>
          <w:lang w:val="en-GB"/>
        </w:rPr>
        <w:t xml:space="preserve">nevertheless </w:t>
      </w:r>
      <w:r w:rsidR="002E4340" w:rsidRPr="008A3778">
        <w:rPr>
          <w:rFonts w:ascii="Helvetica" w:eastAsia="Calibri" w:hAnsi="Helvetica" w:cs="Helvetica"/>
          <w:lang w:val="en-GB"/>
        </w:rPr>
        <w:t>of the view that the section 15(2)(c) complaint</w:t>
      </w:r>
      <w:r w:rsidR="00F449D6" w:rsidRPr="008A3778">
        <w:rPr>
          <w:rFonts w:ascii="Helvetica" w:eastAsia="Calibri" w:hAnsi="Helvetica" w:cs="Helvetica"/>
          <w:lang w:val="en-GB"/>
        </w:rPr>
        <w:t xml:space="preserve">, </w:t>
      </w:r>
      <w:r w:rsidR="00504355" w:rsidRPr="008A3778">
        <w:rPr>
          <w:rFonts w:ascii="Helvetica" w:eastAsia="Calibri" w:hAnsi="Helvetica" w:cs="Helvetica"/>
          <w:lang w:val="en-GB"/>
        </w:rPr>
        <w:t>given</w:t>
      </w:r>
      <w:r w:rsidR="00756E35" w:rsidRPr="008A3778">
        <w:rPr>
          <w:rFonts w:ascii="Helvetica" w:eastAsia="Calibri" w:hAnsi="Helvetica" w:cs="Helvetica"/>
          <w:lang w:val="en-GB"/>
        </w:rPr>
        <w:t xml:space="preserve"> the content of the consent complaint</w:t>
      </w:r>
      <w:r w:rsidR="00903F2F">
        <w:rPr>
          <w:rFonts w:ascii="Helvetica" w:eastAsia="Calibri" w:hAnsi="Helvetica" w:cs="Helvetica"/>
          <w:lang w:val="en-GB"/>
        </w:rPr>
        <w:t xml:space="preserve"> </w:t>
      </w:r>
      <w:r w:rsidR="00756E35" w:rsidRPr="008A3778">
        <w:rPr>
          <w:rFonts w:ascii="Helvetica" w:eastAsia="Calibri" w:hAnsi="Helvetica" w:cs="Helvetica"/>
          <w:lang w:val="en-GB"/>
        </w:rPr>
        <w:t>to the Adjudicator</w:t>
      </w:r>
      <w:r w:rsidR="00F449D6" w:rsidRPr="008A3778">
        <w:rPr>
          <w:rFonts w:ascii="Helvetica" w:eastAsia="Calibri" w:hAnsi="Helvetica" w:cs="Helvetica"/>
          <w:lang w:val="en-GB"/>
        </w:rPr>
        <w:t xml:space="preserve">, is, as required in </w:t>
      </w:r>
      <w:r w:rsidR="00F449D6" w:rsidRPr="008A3778">
        <w:rPr>
          <w:rFonts w:ascii="Helvetica" w:eastAsia="Calibri" w:hAnsi="Helvetica" w:cs="Helvetica"/>
          <w:b/>
          <w:bCs/>
          <w:lang w:val="en-GB"/>
        </w:rPr>
        <w:t>Meyer v Iscor Pension Fund</w:t>
      </w:r>
      <w:r w:rsidR="00504355" w:rsidRPr="008A3778">
        <w:rPr>
          <w:rFonts w:ascii="Helvetica" w:eastAsia="Calibri" w:hAnsi="Helvetica" w:cs="Helvetica"/>
          <w:lang w:val="en-GB"/>
        </w:rPr>
        <w:t>,</w:t>
      </w:r>
      <w:r w:rsidR="00F449D6" w:rsidRPr="008A3778">
        <w:rPr>
          <w:rFonts w:ascii="Helvetica" w:eastAsia="Calibri" w:hAnsi="Helvetica" w:cs="Helvetica"/>
          <w:lang w:val="en-GB"/>
        </w:rPr>
        <w:t xml:space="preserve"> “</w:t>
      </w:r>
      <w:r w:rsidR="00F449D6" w:rsidRPr="008A3778">
        <w:rPr>
          <w:rFonts w:ascii="Helvetica" w:eastAsia="Calibri" w:hAnsi="Helvetica" w:cs="Helvetica"/>
          <w:i/>
          <w:iCs/>
          <w:lang w:val="en-GB"/>
        </w:rPr>
        <w:t>substantially the same ‘complaint’ as the one determined by the Adjudicator</w:t>
      </w:r>
      <w:r w:rsidR="00F449D6" w:rsidRPr="008A3778">
        <w:rPr>
          <w:rFonts w:ascii="Helvetica" w:eastAsia="Calibri" w:hAnsi="Helvetica" w:cs="Helvetica"/>
          <w:lang w:val="en-GB"/>
        </w:rPr>
        <w:t xml:space="preserve">”. </w:t>
      </w:r>
    </w:p>
    <w:p w14:paraId="33D6E634" w14:textId="3B0E2078" w:rsidR="00F449D6" w:rsidRPr="008A3778" w:rsidRDefault="00F449D6"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Nevertheless,</w:t>
      </w:r>
      <w:r w:rsidR="00812224" w:rsidRPr="008A3778">
        <w:rPr>
          <w:rFonts w:ascii="Helvetica" w:eastAsia="Calibri" w:hAnsi="Helvetica" w:cs="Helvetica"/>
          <w:lang w:val="en-GB"/>
        </w:rPr>
        <w:t xml:space="preserve"> this specific complaint of the </w:t>
      </w:r>
      <w:r w:rsidRPr="008A3778">
        <w:rPr>
          <w:rFonts w:ascii="Helvetica" w:eastAsia="Calibri" w:hAnsi="Helvetica" w:cs="Helvetica"/>
          <w:lang w:val="en-GB"/>
        </w:rPr>
        <w:t xml:space="preserve">appellants, </w:t>
      </w:r>
      <w:r w:rsidR="00812224" w:rsidRPr="008A3778">
        <w:rPr>
          <w:rFonts w:ascii="Helvetica" w:eastAsia="Calibri" w:hAnsi="Helvetica" w:cs="Helvetica"/>
          <w:lang w:val="en-GB"/>
        </w:rPr>
        <w:t>whether it</w:t>
      </w:r>
      <w:r w:rsidR="00A841CF">
        <w:rPr>
          <w:rFonts w:ascii="Helvetica" w:eastAsia="Calibri" w:hAnsi="Helvetica" w:cs="Helvetica"/>
          <w:lang w:val="en-GB"/>
        </w:rPr>
        <w:t xml:space="preserve"> i</w:t>
      </w:r>
      <w:r w:rsidR="00812224" w:rsidRPr="008A3778">
        <w:rPr>
          <w:rFonts w:ascii="Helvetica" w:eastAsia="Calibri" w:hAnsi="Helvetica" w:cs="Helvetica"/>
          <w:lang w:val="en-GB"/>
        </w:rPr>
        <w:t xml:space="preserve">s labelled as a </w:t>
      </w:r>
      <w:r w:rsidRPr="008A3778">
        <w:rPr>
          <w:rFonts w:ascii="Helvetica" w:eastAsia="Calibri" w:hAnsi="Helvetica" w:cs="Helvetica"/>
          <w:lang w:val="en-GB"/>
        </w:rPr>
        <w:t>section 15(2)(c)</w:t>
      </w:r>
      <w:r w:rsidR="00812224" w:rsidRPr="008A3778">
        <w:rPr>
          <w:rFonts w:ascii="Helvetica" w:eastAsia="Calibri" w:hAnsi="Helvetica" w:cs="Helvetica"/>
          <w:lang w:val="en-GB"/>
        </w:rPr>
        <w:t xml:space="preserve"> </w:t>
      </w:r>
      <w:r w:rsidR="00FA0C03" w:rsidRPr="008A3778">
        <w:rPr>
          <w:rFonts w:ascii="Helvetica" w:eastAsia="Calibri" w:hAnsi="Helvetica" w:cs="Helvetica"/>
          <w:lang w:val="en-GB"/>
        </w:rPr>
        <w:t xml:space="preserve">complaint </w:t>
      </w:r>
      <w:r w:rsidR="00812224" w:rsidRPr="008A3778">
        <w:rPr>
          <w:rFonts w:ascii="Helvetica" w:eastAsia="Calibri" w:hAnsi="Helvetica" w:cs="Helvetica"/>
          <w:lang w:val="en-GB"/>
        </w:rPr>
        <w:t>or</w:t>
      </w:r>
      <w:r w:rsidR="00FA0C03" w:rsidRPr="008A3778">
        <w:rPr>
          <w:rFonts w:ascii="Helvetica" w:eastAsia="Calibri" w:hAnsi="Helvetica" w:cs="Helvetica"/>
          <w:lang w:val="en-GB"/>
        </w:rPr>
        <w:t xml:space="preserve"> otherwise</w:t>
      </w:r>
      <w:r w:rsidR="00812224" w:rsidRPr="008A3778">
        <w:rPr>
          <w:rFonts w:ascii="Helvetica" w:eastAsia="Calibri" w:hAnsi="Helvetica" w:cs="Helvetica"/>
          <w:lang w:val="en-GB"/>
        </w:rPr>
        <w:t>, must however fail for the reasons already mentioned</w:t>
      </w:r>
      <w:r w:rsidR="00FA0C03" w:rsidRPr="008A3778">
        <w:rPr>
          <w:rFonts w:ascii="Helvetica" w:eastAsia="Calibri" w:hAnsi="Helvetica" w:cs="Helvetica"/>
          <w:lang w:val="en-GB"/>
        </w:rPr>
        <w:t xml:space="preserve">. </w:t>
      </w:r>
      <w:r w:rsidR="00CB2865" w:rsidRPr="008A3778">
        <w:rPr>
          <w:rFonts w:ascii="Helvetica" w:eastAsia="Calibri" w:hAnsi="Helvetica" w:cs="Helvetica"/>
          <w:lang w:val="en-GB"/>
        </w:rPr>
        <w:lastRenderedPageBreak/>
        <w:t xml:space="preserve">The withdrawal benefit did not form an asset in the joint estate and as such, Ms. Collatz’s consent was not required for the transfer to the </w:t>
      </w:r>
      <w:r w:rsidR="00BB0C87" w:rsidRPr="008A3778">
        <w:rPr>
          <w:rFonts w:ascii="Helvetica" w:eastAsia="Calibri" w:hAnsi="Helvetica" w:cs="Helvetica"/>
          <w:lang w:val="en-GB"/>
        </w:rPr>
        <w:t>annuity</w:t>
      </w:r>
      <w:r w:rsidR="00CB2865" w:rsidRPr="008A3778">
        <w:rPr>
          <w:rFonts w:ascii="Helvetica" w:eastAsia="Calibri" w:hAnsi="Helvetica" w:cs="Helvetica"/>
          <w:lang w:val="en-GB"/>
        </w:rPr>
        <w:t xml:space="preserve"> fund.</w:t>
      </w:r>
    </w:p>
    <w:p w14:paraId="672B541E" w14:textId="1AD70D7F" w:rsidR="008A3A33" w:rsidRPr="008A3778" w:rsidRDefault="008A3A33" w:rsidP="006D5807">
      <w:pPr>
        <w:pStyle w:val="ListParagraph"/>
        <w:numPr>
          <w:ilvl w:val="0"/>
          <w:numId w:val="24"/>
        </w:numPr>
        <w:spacing w:after="360" w:line="360" w:lineRule="auto"/>
        <w:ind w:right="-151" w:hanging="720"/>
        <w:contextualSpacing w:val="0"/>
        <w:jc w:val="both"/>
        <w:rPr>
          <w:rFonts w:ascii="Helvetica" w:eastAsia="Calibri" w:hAnsi="Helvetica" w:cs="Helvetica"/>
          <w:b/>
          <w:bCs/>
          <w:lang w:val="en-GB"/>
        </w:rPr>
      </w:pPr>
      <w:r w:rsidRPr="008A3778">
        <w:rPr>
          <w:rFonts w:ascii="Helvetica" w:eastAsia="Calibri" w:hAnsi="Helvetica" w:cs="Helvetica"/>
          <w:b/>
          <w:bCs/>
          <w:lang w:val="en-GB"/>
        </w:rPr>
        <w:t xml:space="preserve">The </w:t>
      </w:r>
      <w:r w:rsidR="003A214B" w:rsidRPr="008A3778">
        <w:rPr>
          <w:rFonts w:ascii="Helvetica" w:eastAsia="Calibri" w:hAnsi="Helvetica" w:cs="Helvetica"/>
          <w:b/>
          <w:bCs/>
          <w:lang w:val="en-GB"/>
        </w:rPr>
        <w:t xml:space="preserve">fact and import of </w:t>
      </w:r>
      <w:r w:rsidRPr="008A3778">
        <w:rPr>
          <w:rFonts w:ascii="Helvetica" w:eastAsia="Calibri" w:hAnsi="Helvetica" w:cs="Helvetica"/>
          <w:b/>
          <w:bCs/>
          <w:lang w:val="en-GB"/>
        </w:rPr>
        <w:t>preservation agreement</w:t>
      </w:r>
      <w:r w:rsidR="008E2167" w:rsidRPr="008A3778">
        <w:rPr>
          <w:rFonts w:ascii="Helvetica" w:eastAsia="Calibri" w:hAnsi="Helvetica" w:cs="Helvetica"/>
          <w:b/>
          <w:bCs/>
          <w:lang w:val="en-GB"/>
        </w:rPr>
        <w:t xml:space="preserve"> </w:t>
      </w:r>
    </w:p>
    <w:p w14:paraId="04000176" w14:textId="77777777" w:rsidR="00D16FC1" w:rsidRPr="008A3778" w:rsidRDefault="008A3A33" w:rsidP="00D16FC1">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preservation agreement equally provides no refuge for the appellants. This is for a variety of reasons. </w:t>
      </w:r>
      <w:r w:rsidR="00D16FC1" w:rsidRPr="008A3778">
        <w:rPr>
          <w:rFonts w:ascii="Helvetica" w:eastAsia="Calibri" w:hAnsi="Helvetica" w:cs="Helvetica"/>
          <w:lang w:val="en-GB"/>
        </w:rPr>
        <w:t xml:space="preserve">I deal with the preservation agreement as a matter of caution for the reasons already mentioned. </w:t>
      </w:r>
    </w:p>
    <w:p w14:paraId="336118A3" w14:textId="13B90A93" w:rsidR="00CB2865" w:rsidRPr="008A3778" w:rsidRDefault="008A3A33"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first and second respondents dispute the contents of the agreement within the context of that known to the parties at the time regarding </w:t>
      </w:r>
      <w:r w:rsidR="009B2A02" w:rsidRPr="008A3778">
        <w:rPr>
          <w:rFonts w:ascii="Helvetica" w:eastAsia="Calibri" w:hAnsi="Helvetica" w:cs="Helvetica"/>
          <w:lang w:val="en-GB"/>
        </w:rPr>
        <w:t xml:space="preserve">the accompanying </w:t>
      </w:r>
      <w:r w:rsidRPr="008A3778">
        <w:rPr>
          <w:rFonts w:ascii="Helvetica" w:eastAsia="Calibri" w:hAnsi="Helvetica" w:cs="Helvetica"/>
          <w:lang w:val="en-GB"/>
        </w:rPr>
        <w:t>taxation implications</w:t>
      </w:r>
      <w:r w:rsidR="009B2A02" w:rsidRPr="008A3778">
        <w:rPr>
          <w:rFonts w:ascii="Helvetica" w:eastAsia="Calibri" w:hAnsi="Helvetica" w:cs="Helvetica"/>
          <w:lang w:val="en-GB"/>
        </w:rPr>
        <w:t>. These, so the first and second respondents conten</w:t>
      </w:r>
      <w:r w:rsidR="000A000B">
        <w:rPr>
          <w:rFonts w:ascii="Helvetica" w:eastAsia="Calibri" w:hAnsi="Helvetica" w:cs="Helvetica"/>
          <w:lang w:val="en-GB"/>
        </w:rPr>
        <w:t>d,</w:t>
      </w:r>
      <w:r w:rsidR="009B2A02" w:rsidRPr="008A3778">
        <w:rPr>
          <w:rFonts w:ascii="Helvetica" w:eastAsia="Calibri" w:hAnsi="Helvetica" w:cs="Helvetica"/>
          <w:lang w:val="en-GB"/>
        </w:rPr>
        <w:t xml:space="preserve"> rendered </w:t>
      </w:r>
      <w:r w:rsidRPr="008A3778">
        <w:rPr>
          <w:rFonts w:ascii="Helvetica" w:eastAsia="Calibri" w:hAnsi="Helvetica" w:cs="Helvetica"/>
          <w:lang w:val="en-GB"/>
        </w:rPr>
        <w:t>a transfer to a preservation fund impossible and because the agreement precluded encashment, the only feasible an</w:t>
      </w:r>
      <w:r w:rsidR="009B2A02" w:rsidRPr="008A3778">
        <w:rPr>
          <w:rFonts w:ascii="Helvetica" w:eastAsia="Calibri" w:hAnsi="Helvetica" w:cs="Helvetica"/>
          <w:lang w:val="en-GB"/>
        </w:rPr>
        <w:t>d</w:t>
      </w:r>
      <w:r w:rsidRPr="008A3778">
        <w:rPr>
          <w:rFonts w:ascii="Helvetica" w:eastAsia="Calibri" w:hAnsi="Helvetica" w:cs="Helvetica"/>
          <w:lang w:val="en-GB"/>
        </w:rPr>
        <w:t xml:space="preserve"> available option was a transfer to the </w:t>
      </w:r>
      <w:r w:rsidR="00BB0C87" w:rsidRPr="008A3778">
        <w:rPr>
          <w:rFonts w:ascii="Helvetica" w:eastAsia="Calibri" w:hAnsi="Helvetica" w:cs="Helvetica"/>
          <w:lang w:val="en-GB"/>
        </w:rPr>
        <w:t>annuity</w:t>
      </w:r>
      <w:r w:rsidRPr="008A3778">
        <w:rPr>
          <w:rFonts w:ascii="Helvetica" w:eastAsia="Calibri" w:hAnsi="Helvetica" w:cs="Helvetica"/>
          <w:lang w:val="en-GB"/>
        </w:rPr>
        <w:t xml:space="preserve"> fund. As such, the funds were preserved, </w:t>
      </w:r>
      <w:r w:rsidR="009B2A02" w:rsidRPr="008A3778">
        <w:rPr>
          <w:rFonts w:ascii="Helvetica" w:eastAsia="Calibri" w:hAnsi="Helvetica" w:cs="Helvetica"/>
          <w:lang w:val="en-GB"/>
        </w:rPr>
        <w:t>i.e.,</w:t>
      </w:r>
      <w:r w:rsidRPr="008A3778">
        <w:rPr>
          <w:rFonts w:ascii="Helvetica" w:eastAsia="Calibri" w:hAnsi="Helvetica" w:cs="Helvetica"/>
          <w:lang w:val="en-GB"/>
        </w:rPr>
        <w:t xml:space="preserve"> not paid out in cash</w:t>
      </w:r>
      <w:r w:rsidR="009B2A02" w:rsidRPr="008A3778">
        <w:rPr>
          <w:rFonts w:ascii="Helvetica" w:eastAsia="Calibri" w:hAnsi="Helvetica" w:cs="Helvetica"/>
          <w:lang w:val="en-GB"/>
        </w:rPr>
        <w:t>,</w:t>
      </w:r>
      <w:r w:rsidRPr="008A3778">
        <w:rPr>
          <w:rFonts w:ascii="Helvetica" w:eastAsia="Calibri" w:hAnsi="Helvetica" w:cs="Helvetica"/>
          <w:lang w:val="en-GB"/>
        </w:rPr>
        <w:t xml:space="preserve"> pending the finalisation of Mr</w:t>
      </w:r>
      <w:r w:rsidR="00AC4114">
        <w:rPr>
          <w:rFonts w:ascii="Helvetica" w:eastAsia="Calibri" w:hAnsi="Helvetica" w:cs="Helvetica"/>
          <w:lang w:val="en-GB"/>
        </w:rPr>
        <w:t>.</w:t>
      </w:r>
      <w:r w:rsidRPr="008A3778">
        <w:rPr>
          <w:rFonts w:ascii="Helvetica" w:eastAsia="Calibri" w:hAnsi="Helvetica" w:cs="Helvetica"/>
          <w:lang w:val="en-GB"/>
        </w:rPr>
        <w:t xml:space="preserve"> and Ms. Collatz’s divorce. They additionally state that at no stage were any “</w:t>
      </w:r>
      <w:r w:rsidRPr="00D16FC1">
        <w:rPr>
          <w:rFonts w:ascii="Helvetica" w:eastAsia="Calibri" w:hAnsi="Helvetica" w:cs="Helvetica"/>
          <w:i/>
          <w:iCs/>
          <w:lang w:val="en-GB"/>
        </w:rPr>
        <w:t>cash funds</w:t>
      </w:r>
      <w:r w:rsidRPr="008A3778">
        <w:rPr>
          <w:rFonts w:ascii="Helvetica" w:eastAsia="Calibri" w:hAnsi="Helvetica" w:cs="Helvetica"/>
          <w:lang w:val="en-GB"/>
        </w:rPr>
        <w:t xml:space="preserve">” relevant to the proceedings held by the second respondent. </w:t>
      </w:r>
    </w:p>
    <w:p w14:paraId="23FB4128" w14:textId="2774E278" w:rsidR="009B2A02" w:rsidRPr="008A3778" w:rsidRDefault="009B2A02"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ninth respondent</w:t>
      </w:r>
      <w:r w:rsidR="00AC4114">
        <w:rPr>
          <w:rFonts w:ascii="Helvetica" w:eastAsia="Calibri" w:hAnsi="Helvetica" w:cs="Helvetica"/>
          <w:lang w:val="en-GB"/>
        </w:rPr>
        <w:t>’s</w:t>
      </w:r>
      <w:r w:rsidRPr="008A3778">
        <w:rPr>
          <w:rFonts w:ascii="Helvetica" w:eastAsia="Calibri" w:hAnsi="Helvetica" w:cs="Helvetica"/>
          <w:lang w:val="en-GB"/>
        </w:rPr>
        <w:t xml:space="preserve"> approach is that it </w:t>
      </w:r>
      <w:r w:rsidR="00AC4114">
        <w:rPr>
          <w:rFonts w:ascii="Helvetica" w:eastAsia="Calibri" w:hAnsi="Helvetica" w:cs="Helvetica"/>
          <w:lang w:val="en-GB"/>
        </w:rPr>
        <w:t xml:space="preserve">is </w:t>
      </w:r>
      <w:r w:rsidRPr="008A3778">
        <w:rPr>
          <w:rFonts w:ascii="Helvetica" w:eastAsia="Calibri" w:hAnsi="Helvetica" w:cs="Helvetica"/>
          <w:lang w:val="en-GB"/>
        </w:rPr>
        <w:t>a “</w:t>
      </w:r>
      <w:r w:rsidRPr="008A3778">
        <w:rPr>
          <w:rFonts w:ascii="Helvetica" w:eastAsia="Calibri" w:hAnsi="Helvetica" w:cs="Helvetica"/>
          <w:i/>
          <w:iCs/>
          <w:lang w:val="en-GB"/>
        </w:rPr>
        <w:t>stranger</w:t>
      </w:r>
      <w:r w:rsidRPr="008A3778">
        <w:rPr>
          <w:rFonts w:ascii="Helvetica" w:eastAsia="Calibri" w:hAnsi="Helvetica" w:cs="Helvetica"/>
          <w:lang w:val="en-GB"/>
        </w:rPr>
        <w:t xml:space="preserve">” to the preservation agreement, and that it did not and could not have had any knowledge thereof because the first respondent, as </w:t>
      </w:r>
      <w:r w:rsidR="00D16FC1">
        <w:rPr>
          <w:rFonts w:ascii="Helvetica" w:eastAsia="Calibri" w:hAnsi="Helvetica" w:cs="Helvetica"/>
          <w:lang w:val="en-GB"/>
        </w:rPr>
        <w:t>its</w:t>
      </w:r>
      <w:r w:rsidRPr="008A3778">
        <w:rPr>
          <w:rFonts w:ascii="Helvetica" w:eastAsia="Calibri" w:hAnsi="Helvetica" w:cs="Helvetica"/>
          <w:lang w:val="en-GB"/>
        </w:rPr>
        <w:t xml:space="preserve"> provident fund administrator, was responsible for administering the fund in terms of the ninth respondent’s rules. The ninth respondent states that these rules, which include rule 7.2., are not in dispute, and that rule 7.2 does not require or provide that in instruction by, or the consent of, the non-member’s spouse is required when withdrawing benefits. As such, the ninth respondent argues that any agreement between spouses cannot be relied upon to</w:t>
      </w:r>
      <w:r w:rsidR="00AC4114">
        <w:rPr>
          <w:rFonts w:ascii="Helvetica" w:eastAsia="Calibri" w:hAnsi="Helvetica" w:cs="Helvetica"/>
          <w:lang w:val="en-GB"/>
        </w:rPr>
        <w:t>:</w:t>
      </w:r>
      <w:r w:rsidRPr="008A3778">
        <w:rPr>
          <w:rFonts w:ascii="Helvetica" w:eastAsia="Calibri" w:hAnsi="Helvetica" w:cs="Helvetica"/>
          <w:lang w:val="en-GB"/>
        </w:rPr>
        <w:t xml:space="preserve"> </w:t>
      </w:r>
      <w:r w:rsidR="0010723E" w:rsidRPr="008A3778">
        <w:rPr>
          <w:rFonts w:ascii="Helvetica" w:eastAsia="Calibri" w:hAnsi="Helvetica" w:cs="Helvetica"/>
          <w:lang w:val="en-GB"/>
        </w:rPr>
        <w:t xml:space="preserve">(i) </w:t>
      </w:r>
      <w:r w:rsidRPr="008A3778">
        <w:rPr>
          <w:rFonts w:ascii="Helvetica" w:eastAsia="Calibri" w:hAnsi="Helvetica" w:cs="Helvetica"/>
          <w:lang w:val="en-GB"/>
        </w:rPr>
        <w:t>place any obligation on the ninth respondent</w:t>
      </w:r>
      <w:r w:rsidR="0010723E" w:rsidRPr="008A3778">
        <w:rPr>
          <w:rFonts w:ascii="Helvetica" w:eastAsia="Calibri" w:hAnsi="Helvetica" w:cs="Helvetica"/>
          <w:lang w:val="en-GB"/>
        </w:rPr>
        <w:t>,</w:t>
      </w:r>
      <w:r w:rsidRPr="008A3778">
        <w:rPr>
          <w:rFonts w:ascii="Helvetica" w:eastAsia="Calibri" w:hAnsi="Helvetica" w:cs="Helvetica"/>
          <w:lang w:val="en-GB"/>
        </w:rPr>
        <w:t xml:space="preserve"> or </w:t>
      </w:r>
      <w:r w:rsidR="0010723E" w:rsidRPr="008A3778">
        <w:rPr>
          <w:rFonts w:ascii="Helvetica" w:eastAsia="Calibri" w:hAnsi="Helvetica" w:cs="Helvetica"/>
          <w:lang w:val="en-GB"/>
        </w:rPr>
        <w:t xml:space="preserve">(ii) </w:t>
      </w:r>
      <w:r w:rsidRPr="008A3778">
        <w:rPr>
          <w:rFonts w:ascii="Helvetica" w:eastAsia="Calibri" w:hAnsi="Helvetica" w:cs="Helvetica"/>
          <w:lang w:val="en-GB"/>
        </w:rPr>
        <w:t xml:space="preserve">operate to amend its rules. </w:t>
      </w:r>
    </w:p>
    <w:p w14:paraId="68FEC088" w14:textId="7EAFD93E" w:rsidR="00640E5C" w:rsidRPr="008A3778" w:rsidRDefault="008A3A33" w:rsidP="00756E35">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w:t>
      </w:r>
      <w:r w:rsidR="00CB2865" w:rsidRPr="008A3778">
        <w:rPr>
          <w:rFonts w:ascii="Helvetica" w:eastAsia="Calibri" w:hAnsi="Helvetica" w:cs="Helvetica"/>
          <w:lang w:val="en-GB"/>
        </w:rPr>
        <w:t>first</w:t>
      </w:r>
      <w:r w:rsidR="009B2A02" w:rsidRPr="008A3778">
        <w:rPr>
          <w:rFonts w:ascii="Helvetica" w:eastAsia="Calibri" w:hAnsi="Helvetica" w:cs="Helvetica"/>
          <w:lang w:val="en-GB"/>
        </w:rPr>
        <w:t xml:space="preserve"> and </w:t>
      </w:r>
      <w:r w:rsidRPr="008A3778">
        <w:rPr>
          <w:rFonts w:ascii="Helvetica" w:eastAsia="Calibri" w:hAnsi="Helvetica" w:cs="Helvetica"/>
          <w:lang w:val="en-GB"/>
        </w:rPr>
        <w:t xml:space="preserve">second </w:t>
      </w:r>
      <w:r w:rsidR="009B2A02" w:rsidRPr="008A3778">
        <w:rPr>
          <w:rFonts w:ascii="Helvetica" w:eastAsia="Calibri" w:hAnsi="Helvetica" w:cs="Helvetica"/>
          <w:lang w:val="en-GB"/>
        </w:rPr>
        <w:t xml:space="preserve">respondents, together with the ninth respondent, </w:t>
      </w:r>
      <w:r w:rsidRPr="008A3778">
        <w:rPr>
          <w:rFonts w:ascii="Helvetica" w:eastAsia="Calibri" w:hAnsi="Helvetica" w:cs="Helvetica"/>
          <w:lang w:val="en-GB"/>
        </w:rPr>
        <w:t>are furthermore at pains to point out that they</w:t>
      </w:r>
      <w:r w:rsidR="009B2A02" w:rsidRPr="008A3778">
        <w:rPr>
          <w:rFonts w:ascii="Helvetica" w:eastAsia="Calibri" w:hAnsi="Helvetica" w:cs="Helvetica"/>
          <w:lang w:val="en-GB"/>
        </w:rPr>
        <w:t xml:space="preserve"> are </w:t>
      </w:r>
      <w:r w:rsidRPr="008A3778">
        <w:rPr>
          <w:rFonts w:ascii="Helvetica" w:eastAsia="Calibri" w:hAnsi="Helvetica" w:cs="Helvetica"/>
          <w:lang w:val="en-GB"/>
        </w:rPr>
        <w:t>not parties to</w:t>
      </w:r>
      <w:r w:rsidR="009B2A02" w:rsidRPr="008A3778">
        <w:rPr>
          <w:rFonts w:ascii="Helvetica" w:eastAsia="Calibri" w:hAnsi="Helvetica" w:cs="Helvetica"/>
          <w:lang w:val="en-GB"/>
        </w:rPr>
        <w:t xml:space="preserve"> the preservation </w:t>
      </w:r>
      <w:r w:rsidRPr="008A3778">
        <w:rPr>
          <w:rFonts w:ascii="Helvetica" w:eastAsia="Calibri" w:hAnsi="Helvetica" w:cs="Helvetica"/>
          <w:lang w:val="en-GB"/>
        </w:rPr>
        <w:t xml:space="preserve">agreement, and as such are not bound thereby. </w:t>
      </w:r>
      <w:r w:rsidR="001E0924" w:rsidRPr="008A3778">
        <w:rPr>
          <w:rFonts w:ascii="Helvetica" w:eastAsia="Calibri" w:hAnsi="Helvetica" w:cs="Helvetica"/>
          <w:lang w:val="en-GB"/>
        </w:rPr>
        <w:t xml:space="preserve">The relevant respondents </w:t>
      </w:r>
      <w:r w:rsidR="00756E35" w:rsidRPr="008A3778">
        <w:rPr>
          <w:rFonts w:ascii="Helvetica" w:eastAsia="Calibri" w:hAnsi="Helvetica" w:cs="Helvetica"/>
          <w:lang w:val="en-GB"/>
        </w:rPr>
        <w:t xml:space="preserve">further </w:t>
      </w:r>
      <w:r w:rsidR="001E0924" w:rsidRPr="008A3778">
        <w:rPr>
          <w:rFonts w:ascii="Helvetica" w:eastAsia="Calibri" w:hAnsi="Helvetica" w:cs="Helvetica"/>
          <w:lang w:val="en-GB"/>
        </w:rPr>
        <w:t>assert that Mr</w:t>
      </w:r>
      <w:r w:rsidR="00AC4114">
        <w:rPr>
          <w:rFonts w:ascii="Helvetica" w:eastAsia="Calibri" w:hAnsi="Helvetica" w:cs="Helvetica"/>
          <w:lang w:val="en-GB"/>
        </w:rPr>
        <w:t>.</w:t>
      </w:r>
      <w:r w:rsidR="001E0924" w:rsidRPr="008A3778">
        <w:rPr>
          <w:rFonts w:ascii="Helvetica" w:eastAsia="Calibri" w:hAnsi="Helvetica" w:cs="Helvetica"/>
          <w:lang w:val="en-GB"/>
        </w:rPr>
        <w:t xml:space="preserve"> Bakos was employed by an entity other than </w:t>
      </w:r>
      <w:r w:rsidR="0010723E" w:rsidRPr="008A3778">
        <w:rPr>
          <w:rFonts w:ascii="Helvetica" w:eastAsia="Calibri" w:hAnsi="Helvetica" w:cs="Helvetica"/>
          <w:lang w:val="en-GB"/>
        </w:rPr>
        <w:t>the fund’s</w:t>
      </w:r>
      <w:r w:rsidR="001E0924" w:rsidRPr="008A3778">
        <w:rPr>
          <w:rFonts w:ascii="Helvetica" w:eastAsia="Calibri" w:hAnsi="Helvetica" w:cs="Helvetica"/>
          <w:lang w:val="en-GB"/>
        </w:rPr>
        <w:t xml:space="preserve"> administrator (who was the first respondent) and that he had nothing to do with the ninth respondent. </w:t>
      </w:r>
      <w:r w:rsidR="00640E5C" w:rsidRPr="008A3778">
        <w:rPr>
          <w:rFonts w:ascii="Helvetica" w:eastAsia="Calibri" w:hAnsi="Helvetica" w:cs="Helvetica"/>
          <w:lang w:val="en-GB"/>
        </w:rPr>
        <w:t xml:space="preserve">The ninth respondent moreover </w:t>
      </w:r>
      <w:r w:rsidR="00640E5C" w:rsidRPr="008A3778">
        <w:rPr>
          <w:rFonts w:ascii="Helvetica" w:eastAsia="Calibri" w:hAnsi="Helvetica" w:cs="Helvetica"/>
          <w:lang w:val="en-GB"/>
        </w:rPr>
        <w:lastRenderedPageBreak/>
        <w:t>states that it would never have provided Ms</w:t>
      </w:r>
      <w:r w:rsidR="00AC4114">
        <w:rPr>
          <w:rFonts w:ascii="Helvetica" w:eastAsia="Calibri" w:hAnsi="Helvetica" w:cs="Helvetica"/>
          <w:lang w:val="en-GB"/>
        </w:rPr>
        <w:t>.</w:t>
      </w:r>
      <w:r w:rsidR="00640E5C" w:rsidRPr="008A3778">
        <w:rPr>
          <w:rFonts w:ascii="Helvetica" w:eastAsia="Calibri" w:hAnsi="Helvetica" w:cs="Helvetica"/>
          <w:lang w:val="en-GB"/>
        </w:rPr>
        <w:t xml:space="preserve"> Collatz with the impression that Mr</w:t>
      </w:r>
      <w:r w:rsidR="00AC4114">
        <w:rPr>
          <w:rFonts w:ascii="Helvetica" w:eastAsia="Calibri" w:hAnsi="Helvetica" w:cs="Helvetica"/>
          <w:lang w:val="en-GB"/>
        </w:rPr>
        <w:t>.</w:t>
      </w:r>
      <w:r w:rsidR="00640E5C" w:rsidRPr="008A3778">
        <w:rPr>
          <w:rFonts w:ascii="Helvetica" w:eastAsia="Calibri" w:hAnsi="Helvetica" w:cs="Helvetica"/>
          <w:lang w:val="en-GB"/>
        </w:rPr>
        <w:t xml:space="preserve"> Bakos was a representative of either the ninth respondent, or its administrator.  </w:t>
      </w:r>
    </w:p>
    <w:p w14:paraId="1B992217" w14:textId="0CB4713E" w:rsidR="00A50FD0" w:rsidRPr="008A3778" w:rsidRDefault="0010723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w:t>
      </w:r>
      <w:r w:rsidR="00756E35" w:rsidRPr="008A3778">
        <w:rPr>
          <w:rFonts w:ascii="Helvetica" w:eastAsia="Calibri" w:hAnsi="Helvetica" w:cs="Helvetica"/>
          <w:lang w:val="en-GB"/>
        </w:rPr>
        <w:t xml:space="preserve">aforesaid </w:t>
      </w:r>
      <w:r w:rsidRPr="008A3778">
        <w:rPr>
          <w:rFonts w:ascii="Helvetica" w:eastAsia="Calibri" w:hAnsi="Helvetica" w:cs="Helvetica"/>
          <w:lang w:val="en-GB"/>
        </w:rPr>
        <w:t>positions adopted by the first</w:t>
      </w:r>
      <w:r w:rsidR="00756E35" w:rsidRPr="008A3778">
        <w:rPr>
          <w:rFonts w:ascii="Helvetica" w:eastAsia="Calibri" w:hAnsi="Helvetica" w:cs="Helvetica"/>
          <w:lang w:val="en-GB"/>
        </w:rPr>
        <w:t xml:space="preserve">, </w:t>
      </w:r>
      <w:r w:rsidRPr="008A3778">
        <w:rPr>
          <w:rFonts w:ascii="Helvetica" w:eastAsia="Calibri" w:hAnsi="Helvetica" w:cs="Helvetica"/>
          <w:lang w:val="en-GB"/>
        </w:rPr>
        <w:t>second and ninth respondent</w:t>
      </w:r>
      <w:r w:rsidR="00756E35" w:rsidRPr="008A3778">
        <w:rPr>
          <w:rFonts w:ascii="Helvetica" w:eastAsia="Calibri" w:hAnsi="Helvetica" w:cs="Helvetica"/>
          <w:lang w:val="en-GB"/>
        </w:rPr>
        <w:t>s</w:t>
      </w:r>
      <w:r w:rsidRPr="008A3778">
        <w:rPr>
          <w:rFonts w:ascii="Helvetica" w:eastAsia="Calibri" w:hAnsi="Helvetica" w:cs="Helvetica"/>
          <w:lang w:val="en-GB"/>
        </w:rPr>
        <w:t xml:space="preserve"> </w:t>
      </w:r>
      <w:r w:rsidR="00940757" w:rsidRPr="008A3778">
        <w:rPr>
          <w:rFonts w:ascii="Helvetica" w:eastAsia="Calibri" w:hAnsi="Helvetica" w:cs="Helvetica"/>
          <w:lang w:val="en-GB"/>
        </w:rPr>
        <w:t xml:space="preserve">demonstrate the </w:t>
      </w:r>
      <w:r w:rsidR="00756E35" w:rsidRPr="008A3778">
        <w:rPr>
          <w:rFonts w:ascii="Helvetica" w:eastAsia="Calibri" w:hAnsi="Helvetica" w:cs="Helvetica"/>
          <w:lang w:val="en-GB"/>
        </w:rPr>
        <w:t xml:space="preserve">presence of </w:t>
      </w:r>
      <w:r w:rsidR="00940757" w:rsidRPr="008A3778">
        <w:rPr>
          <w:rFonts w:ascii="Helvetica" w:eastAsia="Calibri" w:hAnsi="Helvetica" w:cs="Helvetica"/>
          <w:lang w:val="en-GB"/>
        </w:rPr>
        <w:t xml:space="preserve">material </w:t>
      </w:r>
      <w:r w:rsidR="00756E35" w:rsidRPr="008A3778">
        <w:rPr>
          <w:rFonts w:ascii="Helvetica" w:eastAsia="Calibri" w:hAnsi="Helvetica" w:cs="Helvetica"/>
          <w:lang w:val="en-GB"/>
        </w:rPr>
        <w:t xml:space="preserve">genuine </w:t>
      </w:r>
      <w:r w:rsidR="00940757" w:rsidRPr="008A3778">
        <w:rPr>
          <w:rFonts w:ascii="Helvetica" w:eastAsia="Calibri" w:hAnsi="Helvetica" w:cs="Helvetica"/>
          <w:lang w:val="en-GB"/>
        </w:rPr>
        <w:t>disputes of fact</w:t>
      </w:r>
      <w:r w:rsidR="00D16FC1">
        <w:rPr>
          <w:rFonts w:ascii="Helvetica" w:eastAsia="Calibri" w:hAnsi="Helvetica" w:cs="Helvetica"/>
          <w:lang w:val="en-GB"/>
        </w:rPr>
        <w:t>.</w:t>
      </w:r>
      <w:r w:rsidR="00940757" w:rsidRPr="008A3778">
        <w:rPr>
          <w:rFonts w:ascii="Helvetica" w:eastAsia="Calibri" w:hAnsi="Helvetica" w:cs="Helvetica"/>
          <w:lang w:val="en-GB"/>
        </w:rPr>
        <w:t xml:space="preserve"> These </w:t>
      </w:r>
      <w:r w:rsidR="00715F3E" w:rsidRPr="008A3778">
        <w:rPr>
          <w:rFonts w:ascii="Helvetica" w:eastAsia="Calibri" w:hAnsi="Helvetica" w:cs="Helvetica"/>
          <w:lang w:val="en-GB"/>
        </w:rPr>
        <w:t xml:space="preserve">genuine </w:t>
      </w:r>
      <w:r w:rsidR="00A50FD0" w:rsidRPr="008A3778">
        <w:rPr>
          <w:rFonts w:ascii="Helvetica" w:eastAsia="Calibri" w:hAnsi="Helvetica" w:cs="Helvetica"/>
          <w:lang w:val="en-GB"/>
        </w:rPr>
        <w:t>dispute</w:t>
      </w:r>
      <w:r w:rsidR="00715F3E" w:rsidRPr="008A3778">
        <w:rPr>
          <w:rFonts w:ascii="Helvetica" w:eastAsia="Calibri" w:hAnsi="Helvetica" w:cs="Helvetica"/>
          <w:lang w:val="en-GB"/>
        </w:rPr>
        <w:t>s</w:t>
      </w:r>
      <w:r w:rsidR="00940757" w:rsidRPr="008A3778">
        <w:rPr>
          <w:rFonts w:ascii="Helvetica" w:eastAsia="Calibri" w:hAnsi="Helvetica" w:cs="Helvetica"/>
          <w:lang w:val="en-GB"/>
        </w:rPr>
        <w:t xml:space="preserve"> pertain, </w:t>
      </w:r>
      <w:r w:rsidR="00023D47" w:rsidRPr="00023D47">
        <w:rPr>
          <w:rFonts w:ascii="Helvetica" w:eastAsia="Calibri" w:hAnsi="Helvetica" w:cs="Helvetica"/>
          <w:i/>
          <w:iCs/>
          <w:lang w:val="en-GB"/>
        </w:rPr>
        <w:t>inter-alia</w:t>
      </w:r>
      <w:r w:rsidR="00940757" w:rsidRPr="008A3778">
        <w:rPr>
          <w:rFonts w:ascii="Helvetica" w:eastAsia="Calibri" w:hAnsi="Helvetica" w:cs="Helvetica"/>
          <w:lang w:val="en-GB"/>
        </w:rPr>
        <w:t xml:space="preserve">, to </w:t>
      </w:r>
      <w:r w:rsidR="00A50FD0" w:rsidRPr="008A3778">
        <w:rPr>
          <w:rFonts w:ascii="Helvetica" w:eastAsia="Calibri" w:hAnsi="Helvetica" w:cs="Helvetica"/>
          <w:lang w:val="en-GB"/>
        </w:rPr>
        <w:t xml:space="preserve">the </w:t>
      </w:r>
      <w:r w:rsidR="00715F3E" w:rsidRPr="008A3778">
        <w:rPr>
          <w:rFonts w:ascii="Helvetica" w:eastAsia="Calibri" w:hAnsi="Helvetica" w:cs="Helvetica"/>
          <w:lang w:val="en-GB"/>
        </w:rPr>
        <w:t>fact, enforceability</w:t>
      </w:r>
      <w:r w:rsidR="00940757" w:rsidRPr="008A3778">
        <w:rPr>
          <w:rFonts w:ascii="Helvetica" w:eastAsia="Calibri" w:hAnsi="Helvetica" w:cs="Helvetica"/>
          <w:lang w:val="en-GB"/>
        </w:rPr>
        <w:t>,</w:t>
      </w:r>
      <w:r w:rsidR="00715F3E" w:rsidRPr="008A3778">
        <w:rPr>
          <w:rFonts w:ascii="Helvetica" w:eastAsia="Calibri" w:hAnsi="Helvetica" w:cs="Helvetica"/>
          <w:lang w:val="en-GB"/>
        </w:rPr>
        <w:t xml:space="preserve"> </w:t>
      </w:r>
      <w:r w:rsidR="00A50FD0" w:rsidRPr="008A3778">
        <w:rPr>
          <w:rFonts w:ascii="Helvetica" w:eastAsia="Calibri" w:hAnsi="Helvetica" w:cs="Helvetica"/>
          <w:lang w:val="en-GB"/>
        </w:rPr>
        <w:t>nature</w:t>
      </w:r>
      <w:r w:rsidR="00940757" w:rsidRPr="008A3778">
        <w:rPr>
          <w:rFonts w:ascii="Helvetica" w:eastAsia="Calibri" w:hAnsi="Helvetica" w:cs="Helvetica"/>
          <w:lang w:val="en-GB"/>
        </w:rPr>
        <w:t>,</w:t>
      </w:r>
      <w:r w:rsidR="00A50FD0" w:rsidRPr="008A3778">
        <w:rPr>
          <w:rFonts w:ascii="Helvetica" w:eastAsia="Calibri" w:hAnsi="Helvetica" w:cs="Helvetica"/>
          <w:lang w:val="en-GB"/>
        </w:rPr>
        <w:t xml:space="preserve"> and content of the preservation agreement and whether or not there was, at any time, “</w:t>
      </w:r>
      <w:r w:rsidR="00A50FD0" w:rsidRPr="008A3778">
        <w:rPr>
          <w:rFonts w:ascii="Helvetica" w:eastAsia="Calibri" w:hAnsi="Helvetica" w:cs="Helvetica"/>
          <w:i/>
          <w:iCs/>
          <w:lang w:val="en-GB"/>
        </w:rPr>
        <w:t>cash funds</w:t>
      </w:r>
      <w:r w:rsidR="00A50FD0" w:rsidRPr="008A3778">
        <w:rPr>
          <w:rFonts w:ascii="Helvetica" w:eastAsia="Calibri" w:hAnsi="Helvetica" w:cs="Helvetica"/>
          <w:lang w:val="en-GB"/>
        </w:rPr>
        <w:t>” relevant to the proceedings held by the second respondent</w:t>
      </w:r>
      <w:r w:rsidR="00940757" w:rsidRPr="008A3778">
        <w:rPr>
          <w:rFonts w:ascii="Helvetica" w:eastAsia="Calibri" w:hAnsi="Helvetica" w:cs="Helvetica"/>
          <w:lang w:val="en-GB"/>
        </w:rPr>
        <w:t>. As such,</w:t>
      </w:r>
      <w:r w:rsidR="00A50FD0" w:rsidRPr="008A3778">
        <w:rPr>
          <w:rFonts w:ascii="Helvetica" w:eastAsia="Calibri" w:hAnsi="Helvetica" w:cs="Helvetica"/>
          <w:lang w:val="en-GB"/>
        </w:rPr>
        <w:t xml:space="preserve"> the </w:t>
      </w:r>
      <w:r w:rsidR="00D16FC1">
        <w:rPr>
          <w:rFonts w:ascii="Helvetica" w:eastAsia="Calibri" w:hAnsi="Helvetica" w:cs="Helvetica"/>
          <w:lang w:val="en-GB"/>
        </w:rPr>
        <w:t xml:space="preserve">rigours of the </w:t>
      </w:r>
      <w:r w:rsidR="00A50FD0" w:rsidRPr="008A3778">
        <w:rPr>
          <w:rFonts w:ascii="Helvetica" w:eastAsia="Calibri" w:hAnsi="Helvetica" w:cs="Helvetica"/>
          <w:b/>
          <w:bCs/>
          <w:lang w:val="en-GB"/>
        </w:rPr>
        <w:t>Plascon-Evans</w:t>
      </w:r>
      <w:r w:rsidR="00A50FD0" w:rsidRPr="008A3778">
        <w:rPr>
          <w:rFonts w:ascii="Helvetica" w:eastAsia="Calibri" w:hAnsi="Helvetica" w:cs="Helvetica"/>
          <w:lang w:val="en-GB"/>
        </w:rPr>
        <w:t xml:space="preserve"> requires that the respondents’ versions be preferred.</w:t>
      </w:r>
    </w:p>
    <w:p w14:paraId="098782AF" w14:textId="67B85074" w:rsidR="00715F3E" w:rsidRPr="008A3778" w:rsidRDefault="008A1676"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In any event for the reasons already mentioned, the preservation agreement</w:t>
      </w:r>
      <w:r w:rsidR="00940757" w:rsidRPr="008A3778">
        <w:rPr>
          <w:rFonts w:ascii="Helvetica" w:eastAsia="Calibri" w:hAnsi="Helvetica" w:cs="Helvetica"/>
          <w:lang w:val="en-GB"/>
        </w:rPr>
        <w:t xml:space="preserve">, </w:t>
      </w:r>
      <w:r w:rsidR="00C85BCA" w:rsidRPr="008A3778">
        <w:rPr>
          <w:rFonts w:ascii="Helvetica" w:eastAsia="Calibri" w:hAnsi="Helvetica" w:cs="Helvetica"/>
          <w:lang w:val="en-GB"/>
        </w:rPr>
        <w:t>even if concluded in the terms asserted by the appellants,</w:t>
      </w:r>
      <w:r w:rsidRPr="008A3778">
        <w:rPr>
          <w:rFonts w:ascii="Helvetica" w:eastAsia="Calibri" w:hAnsi="Helvetica" w:cs="Helvetica"/>
          <w:lang w:val="en-GB"/>
        </w:rPr>
        <w:t xml:space="preserve"> could not, and cannot, trump section 37C.  </w:t>
      </w:r>
    </w:p>
    <w:p w14:paraId="6F9D1F83" w14:textId="5E773187" w:rsidR="001E0924" w:rsidRPr="008A3778" w:rsidRDefault="00715F3E" w:rsidP="003A214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In summary</w:t>
      </w:r>
      <w:r w:rsidR="008A1676" w:rsidRPr="008A3778">
        <w:rPr>
          <w:rFonts w:ascii="Helvetica" w:eastAsia="Calibri" w:hAnsi="Helvetica" w:cs="Helvetica"/>
          <w:lang w:val="en-GB"/>
        </w:rPr>
        <w:t>, the preservation agreement is</w:t>
      </w:r>
      <w:r w:rsidR="001E0924" w:rsidRPr="008A3778">
        <w:rPr>
          <w:rFonts w:ascii="Helvetica" w:eastAsia="Calibri" w:hAnsi="Helvetica" w:cs="Helvetica"/>
          <w:lang w:val="en-GB"/>
        </w:rPr>
        <w:t xml:space="preserve"> </w:t>
      </w:r>
      <w:r w:rsidR="001C7C2F" w:rsidRPr="008A3778">
        <w:rPr>
          <w:rFonts w:ascii="Helvetica" w:eastAsia="Calibri" w:hAnsi="Helvetica" w:cs="Helvetica"/>
          <w:lang w:val="en-GB"/>
        </w:rPr>
        <w:t xml:space="preserve">therefore </w:t>
      </w:r>
      <w:r w:rsidR="001E0924" w:rsidRPr="008A3778">
        <w:rPr>
          <w:rFonts w:ascii="Helvetica" w:eastAsia="Calibri" w:hAnsi="Helvetica" w:cs="Helvetica"/>
          <w:lang w:val="en-GB"/>
        </w:rPr>
        <w:t>not the panacea that the appellants want it to be.</w:t>
      </w:r>
    </w:p>
    <w:p w14:paraId="32F6B504" w14:textId="709770E4" w:rsidR="001E0924" w:rsidRPr="008A3778" w:rsidRDefault="001E0924" w:rsidP="007008C1">
      <w:pPr>
        <w:pStyle w:val="ListParagraph"/>
        <w:numPr>
          <w:ilvl w:val="0"/>
          <w:numId w:val="24"/>
        </w:numPr>
        <w:spacing w:after="360" w:line="360" w:lineRule="auto"/>
        <w:ind w:right="-151" w:hanging="720"/>
        <w:contextualSpacing w:val="0"/>
        <w:rPr>
          <w:rFonts w:ascii="Helvetica" w:eastAsia="Calibri" w:hAnsi="Helvetica" w:cs="Helvetica"/>
          <w:b/>
          <w:bCs/>
          <w:lang w:val="en-GB"/>
        </w:rPr>
      </w:pPr>
      <w:r w:rsidRPr="008A3778">
        <w:rPr>
          <w:rFonts w:ascii="Helvetica" w:eastAsia="Calibri" w:hAnsi="Helvetica" w:cs="Helvetica"/>
          <w:b/>
          <w:bCs/>
          <w:lang w:val="en-GB"/>
        </w:rPr>
        <w:t>The new complaints</w:t>
      </w:r>
      <w:r w:rsidR="007008C1" w:rsidRPr="008A3778">
        <w:rPr>
          <w:rFonts w:ascii="Helvetica" w:eastAsia="HGMaruGothicMPRO" w:hAnsi="Helvetica" w:cs="Helvetica"/>
          <w:b/>
          <w:bCs/>
          <w:lang w:val="en-GB"/>
        </w:rPr>
        <w:t xml:space="preserve">: the </w:t>
      </w:r>
      <w:r w:rsidR="00741A77" w:rsidRPr="008A3778">
        <w:rPr>
          <w:rFonts w:ascii="Helvetica" w:eastAsia="HGMaruGothicMPRO" w:hAnsi="Helvetica" w:cs="Helvetica"/>
          <w:b/>
          <w:bCs/>
          <w:lang w:val="en-GB"/>
        </w:rPr>
        <w:t>appellants</w:t>
      </w:r>
      <w:r w:rsidR="00E13C9E">
        <w:rPr>
          <w:rFonts w:ascii="Helvetica" w:eastAsia="HGMaruGothicMPRO" w:hAnsi="Helvetica" w:cs="Helvetica"/>
          <w:b/>
          <w:bCs/>
          <w:lang w:val="en-GB"/>
        </w:rPr>
        <w:t>’</w:t>
      </w:r>
      <w:r w:rsidR="00741A77" w:rsidRPr="008A3778">
        <w:rPr>
          <w:rFonts w:ascii="Helvetica" w:eastAsia="HGMaruGothicMPRO" w:hAnsi="Helvetica" w:cs="Helvetica"/>
          <w:b/>
          <w:bCs/>
          <w:lang w:val="en-GB"/>
        </w:rPr>
        <w:t xml:space="preserve"> challenges to </w:t>
      </w:r>
      <w:r w:rsidR="00E13C9E">
        <w:rPr>
          <w:rFonts w:ascii="Helvetica" w:eastAsia="HGMaruGothicMPRO" w:hAnsi="Helvetica" w:cs="Helvetica"/>
          <w:b/>
          <w:bCs/>
          <w:lang w:val="en-GB"/>
        </w:rPr>
        <w:t xml:space="preserve">the </w:t>
      </w:r>
      <w:r w:rsidR="007008C1" w:rsidRPr="008A3778">
        <w:rPr>
          <w:rFonts w:ascii="Helvetica" w:eastAsia="HGMaruGothicMPRO" w:hAnsi="Helvetica" w:cs="Helvetica"/>
          <w:b/>
          <w:bCs/>
          <w:lang w:val="en-GB"/>
        </w:rPr>
        <w:t>enforceability, veracity</w:t>
      </w:r>
      <w:r w:rsidR="00741A77" w:rsidRPr="008A3778">
        <w:rPr>
          <w:rFonts w:ascii="Helvetica" w:eastAsia="HGMaruGothicMPRO" w:hAnsi="Helvetica" w:cs="Helvetica"/>
          <w:b/>
          <w:bCs/>
          <w:lang w:val="en-GB"/>
        </w:rPr>
        <w:t>,</w:t>
      </w:r>
      <w:r w:rsidR="007008C1" w:rsidRPr="008A3778">
        <w:rPr>
          <w:rFonts w:ascii="Helvetica" w:eastAsia="HGMaruGothicMPRO" w:hAnsi="Helvetica" w:cs="Helvetica"/>
          <w:b/>
          <w:bCs/>
          <w:lang w:val="en-GB"/>
        </w:rPr>
        <w:t xml:space="preserve"> and authenticity of the authorisation form</w:t>
      </w:r>
    </w:p>
    <w:p w14:paraId="1F6B8C79" w14:textId="77777777" w:rsidR="003D368F" w:rsidRDefault="002E0FD1" w:rsidP="003D368F">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 now turn to deal</w:t>
      </w:r>
      <w:r w:rsidR="003733CF" w:rsidRPr="008A3778">
        <w:rPr>
          <w:rFonts w:ascii="Helvetica" w:eastAsia="Calibri" w:hAnsi="Helvetica" w:cs="Helvetica"/>
          <w:lang w:val="en-GB"/>
        </w:rPr>
        <w:t xml:space="preserve"> with the</w:t>
      </w:r>
      <w:r w:rsidR="00324B92" w:rsidRPr="008A3778">
        <w:rPr>
          <w:rFonts w:ascii="Helvetica" w:eastAsia="Calibri" w:hAnsi="Helvetica" w:cs="Helvetica"/>
          <w:lang w:val="en-GB"/>
        </w:rPr>
        <w:t xml:space="preserve"> </w:t>
      </w:r>
      <w:r w:rsidR="00836E18" w:rsidRPr="008A3778">
        <w:rPr>
          <w:rFonts w:ascii="Helvetica" w:eastAsia="Calibri" w:hAnsi="Helvetica" w:cs="Helvetica"/>
          <w:lang w:val="en-GB"/>
        </w:rPr>
        <w:t xml:space="preserve">(new) </w:t>
      </w:r>
      <w:r w:rsidR="003733CF" w:rsidRPr="008A3778">
        <w:rPr>
          <w:rFonts w:ascii="Helvetica" w:eastAsia="Calibri" w:hAnsi="Helvetica" w:cs="Helvetica"/>
          <w:lang w:val="en-GB"/>
        </w:rPr>
        <w:t xml:space="preserve">complaints </w:t>
      </w:r>
      <w:r w:rsidR="00C238A2" w:rsidRPr="008A3778">
        <w:rPr>
          <w:rFonts w:ascii="Helvetica" w:eastAsia="Calibri" w:hAnsi="Helvetica" w:cs="Helvetica"/>
          <w:lang w:val="en-GB"/>
        </w:rPr>
        <w:t xml:space="preserve">belatedly introduced and advanced </w:t>
      </w:r>
      <w:r w:rsidR="003733CF" w:rsidRPr="008A3778">
        <w:rPr>
          <w:rFonts w:ascii="Helvetica" w:eastAsia="Calibri" w:hAnsi="Helvetica" w:cs="Helvetica"/>
          <w:lang w:val="en-GB"/>
        </w:rPr>
        <w:t xml:space="preserve">by the appellants. </w:t>
      </w:r>
      <w:r w:rsidR="008E2167" w:rsidRPr="008A3778">
        <w:rPr>
          <w:rFonts w:ascii="Helvetica" w:eastAsia="Calibri" w:hAnsi="Helvetica" w:cs="Helvetica"/>
          <w:lang w:val="en-GB"/>
        </w:rPr>
        <w:t xml:space="preserve">I do so </w:t>
      </w:r>
      <w:r w:rsidR="00756E35" w:rsidRPr="008A3778">
        <w:rPr>
          <w:rFonts w:ascii="Helvetica" w:eastAsia="Calibri" w:hAnsi="Helvetica" w:cs="Helvetica"/>
          <w:lang w:val="en-GB"/>
        </w:rPr>
        <w:t xml:space="preserve">specifically </w:t>
      </w:r>
      <w:r w:rsidR="008E2167" w:rsidRPr="008A3778">
        <w:rPr>
          <w:rFonts w:ascii="Helvetica" w:eastAsia="Calibri" w:hAnsi="Helvetica" w:cs="Helvetica"/>
          <w:lang w:val="en-GB"/>
        </w:rPr>
        <w:t>within the context of the appellants</w:t>
      </w:r>
      <w:r w:rsidR="00756E35" w:rsidRPr="008A3778">
        <w:rPr>
          <w:rFonts w:ascii="Helvetica" w:eastAsia="Calibri" w:hAnsi="Helvetica" w:cs="Helvetica"/>
          <w:lang w:val="en-GB"/>
        </w:rPr>
        <w:t>’</w:t>
      </w:r>
      <w:r w:rsidR="008E2167" w:rsidRPr="008A3778">
        <w:rPr>
          <w:rFonts w:ascii="Helvetica" w:eastAsia="Calibri" w:hAnsi="Helvetica" w:cs="Helvetica"/>
          <w:lang w:val="en-GB"/>
        </w:rPr>
        <w:t xml:space="preserve"> argument that: </w:t>
      </w:r>
    </w:p>
    <w:p w14:paraId="7AFE4748" w14:textId="42DFD141" w:rsidR="00756E35" w:rsidRPr="003D368F" w:rsidRDefault="00756E35" w:rsidP="003D368F">
      <w:pPr>
        <w:spacing w:after="360" w:line="240" w:lineRule="auto"/>
        <w:ind w:left="1440" w:right="498"/>
        <w:jc w:val="both"/>
        <w:rPr>
          <w:rFonts w:ascii="Helvetica" w:eastAsia="Calibri" w:hAnsi="Helvetica" w:cs="Helvetica"/>
          <w:lang w:val="en-GB"/>
        </w:rPr>
      </w:pPr>
      <w:r w:rsidRPr="003D368F">
        <w:rPr>
          <w:rFonts w:ascii="Helvetica" w:eastAsia="Calibri" w:hAnsi="Helvetica" w:cs="Helvetica"/>
          <w:lang w:val="en-GB"/>
        </w:rPr>
        <w:t>“</w:t>
      </w:r>
      <w:r w:rsidRPr="003D368F">
        <w:rPr>
          <w:rFonts w:ascii="Helvetica" w:eastAsia="Calibri" w:hAnsi="Helvetica" w:cs="Helvetica"/>
          <w:i/>
          <w:iCs/>
          <w:lang w:val="en-GB"/>
        </w:rPr>
        <w:t xml:space="preserve">[T]he </w:t>
      </w:r>
      <w:r w:rsidRPr="003D368F">
        <w:rPr>
          <w:rFonts w:ascii="Helvetica" w:eastAsia="HGMaruGothicMPRO" w:hAnsi="Helvetica" w:cs="Helvetica"/>
          <w:i/>
          <w:iCs/>
          <w:lang w:val="en-GB"/>
        </w:rPr>
        <w:t>court</w:t>
      </w:r>
      <w:r w:rsidRPr="003D368F">
        <w:rPr>
          <w:rFonts w:ascii="Helvetica" w:eastAsia="Calibri" w:hAnsi="Helvetica" w:cs="Helvetica"/>
          <w:i/>
          <w:iCs/>
          <w:lang w:val="en-GB"/>
        </w:rPr>
        <w:t xml:space="preserve"> a quo failed to appreciate, in line with established precedent from the Supreme Court of Appeal, that the appellants’ appeal </w:t>
      </w:r>
      <w:r w:rsidRPr="003D368F">
        <w:rPr>
          <w:rFonts w:ascii="Helvetica" w:eastAsia="HGMaruGothicMPRO" w:hAnsi="Helvetica" w:cs="Helvetica"/>
          <w:i/>
          <w:iCs/>
          <w:lang w:val="en-GB"/>
        </w:rPr>
        <w:t>was</w:t>
      </w:r>
      <w:r w:rsidRPr="003D368F">
        <w:rPr>
          <w:rFonts w:ascii="Helvetica" w:eastAsia="Calibri" w:hAnsi="Helvetica" w:cs="Helvetica"/>
          <w:i/>
          <w:iCs/>
          <w:lang w:val="en-GB"/>
        </w:rPr>
        <w:t xml:space="preserve"> sui generis, making it is an appeal in the wide sense which required the court to consider the matter fresh and not restrict itself to the record of the adjudicator’s proceedings</w:t>
      </w:r>
      <w:r w:rsidRPr="003D368F">
        <w:rPr>
          <w:rFonts w:ascii="Helvetica" w:eastAsia="Calibri" w:hAnsi="Helvetica" w:cs="Helvetica"/>
          <w:lang w:val="en-GB"/>
        </w:rPr>
        <w:t>.”</w:t>
      </w:r>
    </w:p>
    <w:p w14:paraId="1D979942" w14:textId="306E6EBE" w:rsidR="00836E18" w:rsidRPr="008A3778" w:rsidRDefault="00E13C9E" w:rsidP="0005056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Pr>
          <w:rFonts w:ascii="Helvetica" w:eastAsia="HGMaruGothicMPRO" w:hAnsi="Helvetica" w:cs="Helvetica"/>
          <w:lang w:val="en-GB"/>
        </w:rPr>
        <w:t>Given that</w:t>
      </w:r>
      <w:r w:rsidR="00314FBB">
        <w:rPr>
          <w:rFonts w:ascii="Helvetica" w:eastAsia="HGMaruGothicMPRO" w:hAnsi="Helvetica" w:cs="Helvetica"/>
          <w:lang w:val="en-GB"/>
        </w:rPr>
        <w:t xml:space="preserve"> </w:t>
      </w:r>
      <w:r>
        <w:rPr>
          <w:rFonts w:ascii="Helvetica" w:eastAsia="HGMaruGothicMPRO" w:hAnsi="Helvetica" w:cs="Helvetica"/>
          <w:lang w:val="en-GB"/>
        </w:rPr>
        <w:t xml:space="preserve">already traversed in this regard in this judgement, </w:t>
      </w:r>
      <w:r w:rsidR="00836E18" w:rsidRPr="008A3778">
        <w:rPr>
          <w:rFonts w:ascii="Helvetica" w:eastAsia="HGMaruGothicMPRO" w:hAnsi="Helvetica" w:cs="Helvetica"/>
          <w:lang w:val="en-GB"/>
        </w:rPr>
        <w:t xml:space="preserve">for the appellants to succeed on this score, it is trite that the complaint pursued before the Adjudicator must be the same complaint </w:t>
      </w:r>
      <w:r>
        <w:rPr>
          <w:rFonts w:ascii="Helvetica" w:eastAsia="HGMaruGothicMPRO" w:hAnsi="Helvetica" w:cs="Helvetica"/>
          <w:lang w:val="en-GB"/>
        </w:rPr>
        <w:t xml:space="preserve">(or substantially the same complaint) </w:t>
      </w:r>
      <w:r w:rsidR="00836E18" w:rsidRPr="008A3778">
        <w:rPr>
          <w:rFonts w:ascii="Helvetica" w:eastAsia="HGMaruGothicMPRO" w:hAnsi="Helvetica" w:cs="Helvetica"/>
          <w:lang w:val="en-GB"/>
        </w:rPr>
        <w:t>raised and in issue in the section 30P application.</w:t>
      </w:r>
      <w:r w:rsidR="00836E18" w:rsidRPr="008A3778">
        <w:rPr>
          <w:rFonts w:ascii="Helvetica" w:eastAsia="Calibri" w:hAnsi="Helvetica" w:cs="Helvetica"/>
          <w:lang w:val="en-GB"/>
        </w:rPr>
        <w:t xml:space="preserve"> </w:t>
      </w:r>
      <w:r w:rsidR="00836E18" w:rsidRPr="008A3778">
        <w:rPr>
          <w:rFonts w:ascii="Helvetica" w:eastAsia="HGMaruGothicMPRO" w:hAnsi="Helvetica" w:cs="Helvetica"/>
          <w:lang w:val="en-GB"/>
        </w:rPr>
        <w:t>This is no doubt why the appellants assert, in their heads of argument and in referencing the decision in</w:t>
      </w:r>
      <w:r w:rsidR="00836E18" w:rsidRPr="008A3778">
        <w:rPr>
          <w:rFonts w:ascii="Helvetica" w:eastAsia="Times New Roman" w:hAnsi="Helvetica" w:cs="Helvetica"/>
          <w:b/>
          <w:bCs/>
          <w:color w:val="000000"/>
          <w:kern w:val="36"/>
          <w:lang w:val="en-GB" w:eastAsia="en-ZA"/>
        </w:rPr>
        <w:t xml:space="preserve"> </w:t>
      </w:r>
      <w:r w:rsidR="00836E18" w:rsidRPr="008A3778">
        <w:rPr>
          <w:rFonts w:ascii="Helvetica" w:eastAsia="HGMaruGothicMPRO" w:hAnsi="Helvetica" w:cs="Helvetica"/>
          <w:b/>
          <w:bCs/>
          <w:lang w:val="en-GB"/>
        </w:rPr>
        <w:t>Meyer v Iscor Pension Fund</w:t>
      </w:r>
      <w:r w:rsidR="00836E18" w:rsidRPr="008A3778">
        <w:rPr>
          <w:rFonts w:ascii="Helvetica" w:eastAsia="HGMaruGothicMPRO" w:hAnsi="Helvetica" w:cs="Helvetica"/>
          <w:lang w:val="en-GB"/>
        </w:rPr>
        <w:t>, that: “</w:t>
      </w:r>
      <w:r w:rsidR="00836E18" w:rsidRPr="008A3778">
        <w:rPr>
          <w:rFonts w:ascii="Helvetica" w:eastAsia="HGMaruGothicMPRO" w:hAnsi="Helvetica" w:cs="Helvetica"/>
          <w:i/>
          <w:iCs/>
          <w:lang w:val="en-GB"/>
        </w:rPr>
        <w:t>The</w:t>
      </w:r>
      <w:r w:rsidR="00836E18" w:rsidRPr="008A3778">
        <w:rPr>
          <w:rFonts w:ascii="Helvetica" w:eastAsia="HGMaruGothicMPRO" w:hAnsi="Helvetica" w:cs="Helvetica"/>
          <w:lang w:val="en-GB"/>
        </w:rPr>
        <w:t xml:space="preserve"> </w:t>
      </w:r>
      <w:r w:rsidR="00836E18" w:rsidRPr="008A3778">
        <w:rPr>
          <w:rFonts w:ascii="Helvetica" w:eastAsia="HGMaruGothicMPRO" w:hAnsi="Helvetica" w:cs="Helvetica"/>
          <w:i/>
          <w:iCs/>
          <w:lang w:val="en-GB"/>
        </w:rPr>
        <w:t>merits of the appellants’ complaint are exactly the same as the complaint provided to the adjudicator</w:t>
      </w:r>
      <w:r w:rsidR="00836E18" w:rsidRPr="008A3778">
        <w:rPr>
          <w:rFonts w:ascii="Helvetica" w:eastAsia="HGMaruGothicMPRO" w:hAnsi="Helvetica" w:cs="Helvetica"/>
          <w:lang w:val="en-GB"/>
        </w:rPr>
        <w:t>”.</w:t>
      </w:r>
    </w:p>
    <w:p w14:paraId="7046B0FB" w14:textId="0F9F176B" w:rsidR="00E839D0" w:rsidRPr="008A3778" w:rsidRDefault="00E839D0" w:rsidP="00E839D0">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lastRenderedPageBreak/>
        <w:t xml:space="preserve">That said, while the appellants correctly state that section 30P permits a court to admit further (new) evidence within the context of a section 30P application being </w:t>
      </w:r>
      <w:r w:rsidRPr="008A3778">
        <w:rPr>
          <w:rFonts w:ascii="Helvetica" w:eastAsia="Calibri" w:hAnsi="Helvetica" w:cs="Helvetica"/>
          <w:i/>
          <w:iCs/>
          <w:lang w:val="en-GB"/>
        </w:rPr>
        <w:t>sui generis</w:t>
      </w:r>
      <w:r w:rsidRPr="008A3778">
        <w:rPr>
          <w:rFonts w:ascii="Helvetica" w:eastAsia="Calibri" w:hAnsi="Helvetica" w:cs="Helvetica"/>
          <w:lang w:val="en-GB"/>
        </w:rPr>
        <w:t>, they appear to overlook that this further (new) evidence must be relevant</w:t>
      </w:r>
      <w:r w:rsidR="00E13C9E">
        <w:rPr>
          <w:rFonts w:ascii="Helvetica" w:eastAsia="Calibri" w:hAnsi="Helvetica" w:cs="Helvetica"/>
          <w:lang w:val="en-GB"/>
        </w:rPr>
        <w:t xml:space="preserve"> and admissible</w:t>
      </w:r>
      <w:r w:rsidRPr="008A3778">
        <w:rPr>
          <w:rFonts w:ascii="Helvetica" w:eastAsia="Calibri" w:hAnsi="Helvetica" w:cs="Helvetica"/>
          <w:lang w:val="en-GB"/>
        </w:rPr>
        <w:t xml:space="preserve"> and comprise evidence pe</w:t>
      </w:r>
      <w:r w:rsidR="005B5A82">
        <w:rPr>
          <w:rFonts w:ascii="Helvetica" w:eastAsia="Calibri" w:hAnsi="Helvetica" w:cs="Helvetica"/>
          <w:lang w:val="en-GB"/>
        </w:rPr>
        <w:t>rti</w:t>
      </w:r>
      <w:r w:rsidRPr="008A3778">
        <w:rPr>
          <w:rFonts w:ascii="Helvetica" w:eastAsia="Calibri" w:hAnsi="Helvetica" w:cs="Helvetica"/>
          <w:lang w:val="en-GB"/>
        </w:rPr>
        <w:t xml:space="preserve">nent to the merits of the complaint before the Adjudicator, and not evidence relating to a new cause of action or irrelevant to such complaint. </w:t>
      </w:r>
      <w:r w:rsidR="00E13C9E">
        <w:rPr>
          <w:rFonts w:ascii="Helvetica" w:eastAsia="Calibri" w:hAnsi="Helvetica" w:cs="Helvetica"/>
          <w:lang w:val="en-GB"/>
        </w:rPr>
        <w:t xml:space="preserve">As such, any High Court reconsideration of the matter is, as already mentioned, </w:t>
      </w:r>
      <w:r w:rsidR="001E23C8">
        <w:rPr>
          <w:rFonts w:ascii="Helvetica" w:eastAsia="Calibri" w:hAnsi="Helvetica" w:cs="Helvetica"/>
          <w:lang w:val="en-GB"/>
        </w:rPr>
        <w:t>unavoidably bound by the parameters and ambit of the complaint.</w:t>
      </w:r>
    </w:p>
    <w:p w14:paraId="56727493" w14:textId="2E2CDAEE" w:rsidR="00050567" w:rsidRPr="008A3778" w:rsidRDefault="00836E18" w:rsidP="0005056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I pause to </w:t>
      </w:r>
      <w:r w:rsidR="005E3EB9">
        <w:rPr>
          <w:rFonts w:ascii="Helvetica" w:eastAsia="Calibri" w:hAnsi="Helvetica" w:cs="Helvetica"/>
          <w:lang w:val="en-GB"/>
        </w:rPr>
        <w:t xml:space="preserve">emphasise </w:t>
      </w:r>
      <w:r w:rsidRPr="008A3778">
        <w:rPr>
          <w:rFonts w:ascii="Helvetica" w:eastAsia="Calibri" w:hAnsi="Helvetica" w:cs="Helvetica"/>
          <w:lang w:val="en-GB"/>
        </w:rPr>
        <w:t>that t</w:t>
      </w:r>
      <w:r w:rsidR="00050567" w:rsidRPr="008A3778">
        <w:rPr>
          <w:rFonts w:ascii="Helvetica" w:eastAsia="Calibri" w:hAnsi="Helvetica" w:cs="Helvetica"/>
          <w:lang w:val="en-GB"/>
        </w:rPr>
        <w:t xml:space="preserve">he further </w:t>
      </w:r>
      <w:r w:rsidR="003664FE" w:rsidRPr="008A3778">
        <w:rPr>
          <w:rFonts w:ascii="Helvetica" w:eastAsia="Calibri" w:hAnsi="Helvetica" w:cs="Helvetica"/>
          <w:lang w:val="en-GB"/>
        </w:rPr>
        <w:t xml:space="preserve">(new) </w:t>
      </w:r>
      <w:r w:rsidR="00050567" w:rsidRPr="008A3778">
        <w:rPr>
          <w:rFonts w:ascii="Helvetica" w:eastAsia="Calibri" w:hAnsi="Helvetica" w:cs="Helvetica"/>
          <w:lang w:val="en-GB"/>
        </w:rPr>
        <w:t xml:space="preserve">evidence must </w:t>
      </w:r>
      <w:r w:rsidR="003664FE" w:rsidRPr="008A3778">
        <w:rPr>
          <w:rFonts w:ascii="Helvetica" w:eastAsia="Calibri" w:hAnsi="Helvetica" w:cs="Helvetica"/>
          <w:lang w:val="en-GB"/>
        </w:rPr>
        <w:t xml:space="preserve">obviously </w:t>
      </w:r>
      <w:r w:rsidR="00050567" w:rsidRPr="008A3778">
        <w:rPr>
          <w:rFonts w:ascii="Helvetica" w:eastAsia="Calibri" w:hAnsi="Helvetica" w:cs="Helvetica"/>
          <w:lang w:val="en-GB"/>
        </w:rPr>
        <w:t>also be admissible</w:t>
      </w:r>
      <w:r w:rsidR="00E839D0" w:rsidRPr="008A3778">
        <w:rPr>
          <w:rFonts w:ascii="Helvetica" w:eastAsia="Calibri" w:hAnsi="Helvetica" w:cs="Helvetica"/>
          <w:lang w:val="en-GB"/>
        </w:rPr>
        <w:t xml:space="preserve"> evidence</w:t>
      </w:r>
      <w:r w:rsidR="005E3EB9">
        <w:rPr>
          <w:rFonts w:ascii="Helvetica" w:eastAsia="Calibri" w:hAnsi="Helvetica" w:cs="Helvetica"/>
          <w:lang w:val="en-GB"/>
        </w:rPr>
        <w:t xml:space="preserve"> (i.e., procedurally admissible and admissible in terms of the rules and Law of Evidence)</w:t>
      </w:r>
      <w:r w:rsidRPr="008A3778">
        <w:rPr>
          <w:rFonts w:ascii="Helvetica" w:eastAsia="Calibri" w:hAnsi="Helvetica" w:cs="Helvetica"/>
          <w:lang w:val="en-GB"/>
        </w:rPr>
        <w:t xml:space="preserve">. </w:t>
      </w:r>
      <w:r w:rsidR="00050567" w:rsidRPr="008A3778">
        <w:rPr>
          <w:rFonts w:ascii="Helvetica" w:eastAsia="Calibri" w:hAnsi="Helvetica" w:cs="Helvetica"/>
          <w:lang w:val="en-GB"/>
        </w:rPr>
        <w:t xml:space="preserve">Furthermore, the test in </w:t>
      </w:r>
      <w:r w:rsidR="00050567" w:rsidRPr="008A3778">
        <w:rPr>
          <w:rFonts w:ascii="Helvetica" w:eastAsia="Calibri" w:hAnsi="Helvetica" w:cs="Helvetica"/>
          <w:b/>
          <w:bCs/>
          <w:lang w:val="en-GB"/>
        </w:rPr>
        <w:t>Plascon-Evans</w:t>
      </w:r>
      <w:r w:rsidR="00050567" w:rsidRPr="008A3778">
        <w:rPr>
          <w:rFonts w:ascii="Helvetica" w:eastAsia="Calibri" w:hAnsi="Helvetica" w:cs="Helvetica"/>
          <w:lang w:val="en-GB"/>
        </w:rPr>
        <w:t xml:space="preserve"> continues to apply and </w:t>
      </w:r>
      <w:r w:rsidRPr="008A3778">
        <w:rPr>
          <w:rFonts w:ascii="Helvetica" w:eastAsia="Calibri" w:hAnsi="Helvetica" w:cs="Helvetica"/>
          <w:lang w:val="en-GB"/>
        </w:rPr>
        <w:t xml:space="preserve">so too </w:t>
      </w:r>
      <w:r w:rsidR="00050567" w:rsidRPr="008A3778">
        <w:rPr>
          <w:rFonts w:ascii="Helvetica" w:eastAsia="Calibri" w:hAnsi="Helvetica" w:cs="Helvetica"/>
          <w:lang w:val="en-GB"/>
        </w:rPr>
        <w:t>the uniform rules of court</w:t>
      </w:r>
      <w:r w:rsidRPr="008A3778">
        <w:rPr>
          <w:rFonts w:ascii="Helvetica" w:eastAsia="Calibri" w:hAnsi="Helvetica" w:cs="Helvetica"/>
          <w:lang w:val="en-GB"/>
        </w:rPr>
        <w:t>. Otherwise stated, section 30P does not permit the opening of an evidential or procedural Pandora’s box.</w:t>
      </w:r>
    </w:p>
    <w:p w14:paraId="342666F7" w14:textId="569DB8D6" w:rsidR="003A2766" w:rsidRPr="008A3778" w:rsidRDefault="00836E18"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Calibri" w:hAnsi="Helvetica" w:cs="Helvetica"/>
          <w:lang w:val="en-GB"/>
        </w:rPr>
        <w:t>The appellants</w:t>
      </w:r>
      <w:r w:rsidR="00556019">
        <w:rPr>
          <w:rFonts w:ascii="Helvetica" w:eastAsia="Calibri" w:hAnsi="Helvetica" w:cs="Helvetica"/>
          <w:lang w:val="en-GB"/>
        </w:rPr>
        <w:t>’</w:t>
      </w:r>
      <w:r w:rsidRPr="008A3778">
        <w:rPr>
          <w:rFonts w:ascii="Helvetica" w:eastAsia="Calibri" w:hAnsi="Helvetica" w:cs="Helvetica"/>
          <w:lang w:val="en-GB"/>
        </w:rPr>
        <w:t xml:space="preserve"> aforesaid submission regarding the complaints being “</w:t>
      </w:r>
      <w:r w:rsidRPr="008A3778">
        <w:rPr>
          <w:rFonts w:ascii="Helvetica" w:eastAsia="Calibri" w:hAnsi="Helvetica" w:cs="Helvetica"/>
          <w:i/>
          <w:iCs/>
          <w:lang w:val="en-GB"/>
        </w:rPr>
        <w:t>exactly the same</w:t>
      </w:r>
      <w:r w:rsidRPr="008A3778">
        <w:rPr>
          <w:rFonts w:ascii="Helvetica" w:eastAsia="Calibri" w:hAnsi="Helvetica" w:cs="Helvetica"/>
          <w:lang w:val="en-GB"/>
        </w:rPr>
        <w:t>” is however incorrect</w:t>
      </w:r>
      <w:r w:rsidR="00E839D0" w:rsidRPr="008A3778">
        <w:rPr>
          <w:rFonts w:ascii="Helvetica" w:eastAsia="Calibri" w:hAnsi="Helvetica" w:cs="Helvetica"/>
          <w:lang w:val="en-GB"/>
        </w:rPr>
        <w:t xml:space="preserve"> within the context of the (new) complaints</w:t>
      </w:r>
      <w:r w:rsidRPr="008A3778">
        <w:rPr>
          <w:rFonts w:ascii="Helvetica" w:eastAsia="Calibri" w:hAnsi="Helvetica" w:cs="Helvetica"/>
          <w:lang w:val="en-GB"/>
        </w:rPr>
        <w:t xml:space="preserve">. </w:t>
      </w:r>
      <w:r w:rsidR="008A0139" w:rsidRPr="008A3778">
        <w:rPr>
          <w:rFonts w:ascii="Helvetica" w:eastAsia="Calibri" w:hAnsi="Helvetica" w:cs="Helvetica"/>
          <w:lang w:val="en-GB"/>
        </w:rPr>
        <w:t xml:space="preserve">The </w:t>
      </w:r>
      <w:r w:rsidR="00050567" w:rsidRPr="008A3778">
        <w:rPr>
          <w:rFonts w:ascii="Helvetica" w:eastAsia="Calibri" w:hAnsi="Helvetica" w:cs="Helvetica"/>
          <w:lang w:val="en-GB"/>
        </w:rPr>
        <w:t xml:space="preserve">appellants’ </w:t>
      </w:r>
      <w:r w:rsidR="008A0139" w:rsidRPr="008A3778">
        <w:rPr>
          <w:rFonts w:ascii="Helvetica" w:eastAsia="Calibri" w:hAnsi="Helvetica" w:cs="Helvetica"/>
          <w:lang w:val="en-GB"/>
        </w:rPr>
        <w:t>challenges to Mr</w:t>
      </w:r>
      <w:r w:rsidR="00556019">
        <w:rPr>
          <w:rFonts w:ascii="Helvetica" w:eastAsia="Calibri" w:hAnsi="Helvetica" w:cs="Helvetica"/>
          <w:lang w:val="en-GB"/>
        </w:rPr>
        <w:t>.</w:t>
      </w:r>
      <w:r w:rsidR="008A0139" w:rsidRPr="008A3778">
        <w:rPr>
          <w:rFonts w:ascii="Helvetica" w:eastAsia="Calibri" w:hAnsi="Helvetica" w:cs="Helvetica"/>
          <w:lang w:val="en-GB"/>
        </w:rPr>
        <w:t xml:space="preserve"> Collatz’s mental capacity and the authorisation form did not feature in the complaint to the Adjudicator. </w:t>
      </w:r>
      <w:r w:rsidR="003A2766" w:rsidRPr="008A3778">
        <w:rPr>
          <w:rFonts w:ascii="Helvetica" w:eastAsia="HGMaruGothicMPRO" w:hAnsi="Helvetica" w:cs="Helvetica"/>
          <w:lang w:val="en-GB"/>
        </w:rPr>
        <w:t xml:space="preserve">These (new) complaints arose after the Adjudicator published her determination. They appear for the first time in the section 30P application. </w:t>
      </w:r>
    </w:p>
    <w:p w14:paraId="110DBD91" w14:textId="768E2DD8" w:rsidR="003A2766" w:rsidRPr="008A3778" w:rsidRDefault="003A2766"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 xml:space="preserve">The appellants’ challenge to Mr. Collatz’s mental health arose for the first time in the appellants’ second supplementary affidavit </w:t>
      </w:r>
      <w:r w:rsidR="00D67375">
        <w:rPr>
          <w:rFonts w:ascii="Helvetica" w:eastAsia="HGMaruGothicMPRO" w:hAnsi="Helvetica" w:cs="Helvetica"/>
          <w:lang w:val="en-GB"/>
        </w:rPr>
        <w:t xml:space="preserve">in the section 30P application </w:t>
      </w:r>
      <w:r w:rsidRPr="008A3778">
        <w:rPr>
          <w:rFonts w:ascii="Helvetica" w:eastAsia="HGMaruGothicMPRO" w:hAnsi="Helvetica" w:cs="Helvetica"/>
          <w:lang w:val="en-GB"/>
        </w:rPr>
        <w:t xml:space="preserve">delivered during July 2015; being some four years after the first </w:t>
      </w:r>
      <w:r w:rsidR="00C40D4D">
        <w:rPr>
          <w:rFonts w:ascii="Helvetica" w:eastAsia="HGMaruGothicMPRO" w:hAnsi="Helvetica" w:cs="Helvetica"/>
          <w:lang w:val="en-GB"/>
        </w:rPr>
        <w:t>appellant</w:t>
      </w:r>
      <w:r w:rsidRPr="008A3778">
        <w:rPr>
          <w:rFonts w:ascii="Helvetica" w:eastAsia="HGMaruGothicMPRO" w:hAnsi="Helvetica" w:cs="Helvetica"/>
          <w:lang w:val="en-GB"/>
        </w:rPr>
        <w:t xml:space="preserve"> lodged her complaint with the Adjudicator. The challenge to the authenticity and veracity of the authorisation form </w:t>
      </w:r>
      <w:r w:rsidR="00556019">
        <w:rPr>
          <w:rFonts w:ascii="Helvetica" w:eastAsia="HGMaruGothicMPRO" w:hAnsi="Helvetica" w:cs="Helvetica"/>
          <w:lang w:val="en-GB"/>
        </w:rPr>
        <w:t>a</w:t>
      </w:r>
      <w:r w:rsidRPr="008A3778">
        <w:rPr>
          <w:rFonts w:ascii="Helvetica" w:eastAsia="HGMaruGothicMPRO" w:hAnsi="Helvetica" w:cs="Helvetica"/>
          <w:lang w:val="en-GB"/>
        </w:rPr>
        <w:t xml:space="preserve">rose a further three years thereafter and for the first time, at best for them, late in 2018 and then in the appellants’ replying affidavit; </w:t>
      </w:r>
      <w:r w:rsidR="00F03BED">
        <w:rPr>
          <w:rFonts w:ascii="Helvetica" w:eastAsia="HGMaruGothicMPRO" w:hAnsi="Helvetica" w:cs="Helvetica"/>
          <w:lang w:val="en-GB"/>
        </w:rPr>
        <w:t xml:space="preserve">but </w:t>
      </w:r>
      <w:r w:rsidRPr="008A3778">
        <w:rPr>
          <w:rFonts w:ascii="Helvetica" w:eastAsia="HGMaruGothicMPRO" w:hAnsi="Helvetica" w:cs="Helvetica"/>
          <w:lang w:val="en-GB"/>
        </w:rPr>
        <w:t xml:space="preserve">even then it is </w:t>
      </w:r>
      <w:r w:rsidR="00F03BED">
        <w:rPr>
          <w:rFonts w:ascii="Helvetica" w:eastAsia="HGMaruGothicMPRO" w:hAnsi="Helvetica" w:cs="Helvetica"/>
          <w:lang w:val="en-GB"/>
        </w:rPr>
        <w:t xml:space="preserve">unsatisfactorily </w:t>
      </w:r>
      <w:r w:rsidRPr="008A3778">
        <w:rPr>
          <w:rFonts w:ascii="Helvetica" w:eastAsia="HGMaruGothicMPRO" w:hAnsi="Helvetica" w:cs="Helvetica"/>
          <w:lang w:val="en-GB"/>
        </w:rPr>
        <w:t xml:space="preserve">only vaguely </w:t>
      </w:r>
      <w:r w:rsidR="00E839D0" w:rsidRPr="008A3778">
        <w:rPr>
          <w:rFonts w:ascii="Helvetica" w:eastAsia="HGMaruGothicMPRO" w:hAnsi="Helvetica" w:cs="Helvetica"/>
          <w:lang w:val="en-GB"/>
        </w:rPr>
        <w:t xml:space="preserve">and opaquely </w:t>
      </w:r>
      <w:r w:rsidRPr="008A3778">
        <w:rPr>
          <w:rFonts w:ascii="Helvetica" w:eastAsia="HGMaruGothicMPRO" w:hAnsi="Helvetica" w:cs="Helvetica"/>
          <w:lang w:val="en-GB"/>
        </w:rPr>
        <w:t xml:space="preserve">asserted. </w:t>
      </w:r>
    </w:p>
    <w:p w14:paraId="776EE034" w14:textId="36B246D8" w:rsidR="003A2766" w:rsidRPr="008A3778" w:rsidRDefault="00145467"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 xml:space="preserve">By way of example, </w:t>
      </w:r>
      <w:r w:rsidR="003A2766" w:rsidRPr="008A3778">
        <w:rPr>
          <w:rFonts w:ascii="Helvetica" w:eastAsia="HGMaruGothicMPRO" w:hAnsi="Helvetica" w:cs="Helvetica"/>
          <w:lang w:val="en-GB"/>
        </w:rPr>
        <w:t>the appellants contend in their replying affidavit</w:t>
      </w:r>
      <w:r w:rsidR="00E839D0" w:rsidRPr="008A3778">
        <w:rPr>
          <w:rFonts w:ascii="Helvetica" w:eastAsia="HGMaruGothicMPRO" w:hAnsi="Helvetica" w:cs="Helvetica"/>
          <w:lang w:val="en-GB"/>
        </w:rPr>
        <w:t>, without any specificity or particularity,</w:t>
      </w:r>
      <w:r w:rsidR="003A2766" w:rsidRPr="008A3778">
        <w:rPr>
          <w:rFonts w:ascii="Helvetica" w:eastAsia="HGMaruGothicMPRO" w:hAnsi="Helvetica" w:cs="Helvetica"/>
          <w:lang w:val="en-GB"/>
        </w:rPr>
        <w:t xml:space="preserve"> that during 2013 and 2014, the first </w:t>
      </w:r>
      <w:r w:rsidR="008F0F69">
        <w:rPr>
          <w:rFonts w:ascii="Helvetica" w:eastAsia="HGMaruGothicMPRO" w:hAnsi="Helvetica" w:cs="Helvetica"/>
          <w:lang w:val="en-GB"/>
        </w:rPr>
        <w:t>appellant</w:t>
      </w:r>
      <w:r w:rsidR="003A2766" w:rsidRPr="008A3778">
        <w:rPr>
          <w:rFonts w:ascii="Helvetica" w:eastAsia="HGMaruGothicMPRO" w:hAnsi="Helvetica" w:cs="Helvetica"/>
          <w:lang w:val="en-GB"/>
        </w:rPr>
        <w:t xml:space="preserve"> engaged with the first and second respondents on, </w:t>
      </w:r>
      <w:r w:rsidR="00023D47" w:rsidRPr="00023D47">
        <w:rPr>
          <w:rFonts w:ascii="Helvetica" w:eastAsia="HGMaruGothicMPRO" w:hAnsi="Helvetica" w:cs="Helvetica"/>
          <w:i/>
          <w:iCs/>
          <w:lang w:val="en-GB"/>
        </w:rPr>
        <w:t>inter-alia</w:t>
      </w:r>
      <w:r w:rsidR="003A2766" w:rsidRPr="008A3778">
        <w:rPr>
          <w:rFonts w:ascii="Helvetica" w:eastAsia="HGMaruGothicMPRO" w:hAnsi="Helvetica" w:cs="Helvetica"/>
          <w:lang w:val="en-GB"/>
        </w:rPr>
        <w:t>, “</w:t>
      </w:r>
      <w:r w:rsidR="003A2766" w:rsidRPr="008A3778">
        <w:rPr>
          <w:rFonts w:ascii="Helvetica" w:eastAsia="HGMaruGothicMPRO" w:hAnsi="Helvetica" w:cs="Helvetica"/>
          <w:i/>
          <w:iCs/>
          <w:lang w:val="en-GB"/>
        </w:rPr>
        <w:t xml:space="preserve">the authenticity of the Questioned retirement investment form, in particular, the form was completed by more than one </w:t>
      </w:r>
      <w:r w:rsidR="003A2766" w:rsidRPr="008A3778">
        <w:rPr>
          <w:rFonts w:ascii="Helvetica" w:eastAsia="HGMaruGothicMPRO" w:hAnsi="Helvetica" w:cs="Helvetica"/>
          <w:i/>
          <w:iCs/>
          <w:lang w:val="en-GB"/>
        </w:rPr>
        <w:lastRenderedPageBreak/>
        <w:t>person, there are many changes and alterations in the document and the signatures in [sic] of the pages of the form was insert by someone other [Mr Collatz]</w:t>
      </w:r>
      <w:r w:rsidR="003A2766" w:rsidRPr="008A3778">
        <w:rPr>
          <w:rFonts w:ascii="Helvetica" w:eastAsia="HGMaruGothicMPRO" w:hAnsi="Helvetica" w:cs="Helvetica"/>
          <w:lang w:val="en-GB"/>
        </w:rPr>
        <w:t xml:space="preserve">. </w:t>
      </w:r>
    </w:p>
    <w:p w14:paraId="739C2133" w14:textId="6F6896BC" w:rsidR="003A2766" w:rsidRPr="008A3778" w:rsidRDefault="003A2766"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The appellants proceed to allege, in their replying affidavit, that they deal “</w:t>
      </w:r>
      <w:r w:rsidRPr="008A3778">
        <w:rPr>
          <w:rFonts w:ascii="Helvetica" w:eastAsia="HGMaruGothicMPRO" w:hAnsi="Helvetica" w:cs="Helvetica"/>
          <w:i/>
          <w:iCs/>
          <w:lang w:val="en-GB"/>
        </w:rPr>
        <w:t>with the signature of the document, the Questioned retirement investment form allegedly signed by</w:t>
      </w:r>
      <w:r w:rsidRPr="008A3778">
        <w:rPr>
          <w:rFonts w:ascii="Helvetica" w:eastAsia="HGMaruGothicMPRO" w:hAnsi="Helvetica" w:cs="Helvetica"/>
          <w:lang w:val="en-GB"/>
        </w:rPr>
        <w:t xml:space="preserve"> </w:t>
      </w:r>
      <w:r w:rsidRPr="008A3778">
        <w:rPr>
          <w:rFonts w:ascii="Helvetica" w:eastAsia="HGMaruGothicMPRO" w:hAnsi="Helvetica" w:cs="Helvetica"/>
          <w:i/>
          <w:iCs/>
          <w:lang w:val="en-GB"/>
        </w:rPr>
        <w:t>[Mr Collatz] whilst he was undergoing mental health treatment”</w:t>
      </w:r>
      <w:r w:rsidRPr="008A3778">
        <w:rPr>
          <w:rFonts w:ascii="Helvetica" w:eastAsia="HGMaruGothicMPRO" w:hAnsi="Helvetica" w:cs="Helvetica"/>
          <w:iCs/>
          <w:lang w:val="en-GB"/>
        </w:rPr>
        <w:t xml:space="preserve"> in their “</w:t>
      </w:r>
      <w:r w:rsidRPr="008A3778">
        <w:rPr>
          <w:rFonts w:ascii="Helvetica" w:eastAsia="HGMaruGothicMPRO" w:hAnsi="Helvetica" w:cs="Helvetica"/>
          <w:i/>
          <w:lang w:val="en-GB"/>
        </w:rPr>
        <w:t>supplementary affidavit</w:t>
      </w:r>
      <w:r w:rsidRPr="008A3778">
        <w:rPr>
          <w:rFonts w:ascii="Helvetica" w:eastAsia="HGMaruGothicMPRO" w:hAnsi="Helvetica" w:cs="Helvetica"/>
          <w:iCs/>
          <w:lang w:val="en-GB"/>
        </w:rPr>
        <w:t xml:space="preserve">” delivered on 31 July 2015; being a reference to the second supplementary (founding) affidavit. </w:t>
      </w:r>
    </w:p>
    <w:p w14:paraId="47B29A89" w14:textId="43952073" w:rsidR="003A2766" w:rsidRPr="008A3778" w:rsidRDefault="003A2766"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iCs/>
          <w:lang w:val="en-GB"/>
        </w:rPr>
        <w:t xml:space="preserve">However, even if this statement in their replying affidavit is benignly read, it is only partially correct. I say so because the thrust of their second supplementary (founding) affidavit is, as already mentioned, a challenge to </w:t>
      </w:r>
      <w:r w:rsidRPr="008A3778">
        <w:rPr>
          <w:rFonts w:ascii="Helvetica" w:eastAsia="HGMaruGothicMPRO" w:hAnsi="Helvetica" w:cs="Helvetica"/>
          <w:lang w:val="en-GB"/>
        </w:rPr>
        <w:t>Mr Collatz’s mental capacity when signing the authorisation form</w:t>
      </w:r>
      <w:r w:rsidR="00F03BED">
        <w:rPr>
          <w:rFonts w:ascii="Helvetica" w:eastAsia="HGMaruGothicMPRO" w:hAnsi="Helvetica" w:cs="Helvetica"/>
          <w:lang w:val="en-GB"/>
        </w:rPr>
        <w:t>, and not a challenge to authenticity of the form or his or other</w:t>
      </w:r>
      <w:r w:rsidR="0064269A">
        <w:rPr>
          <w:rFonts w:ascii="Helvetica" w:eastAsia="HGMaruGothicMPRO" w:hAnsi="Helvetica" w:cs="Helvetica"/>
          <w:lang w:val="en-GB"/>
        </w:rPr>
        <w:t>s</w:t>
      </w:r>
      <w:r w:rsidR="00F03BED">
        <w:rPr>
          <w:rFonts w:ascii="Helvetica" w:eastAsia="HGMaruGothicMPRO" w:hAnsi="Helvetica" w:cs="Helvetica"/>
          <w:lang w:val="en-GB"/>
        </w:rPr>
        <w:t>’ signatures thereon</w:t>
      </w:r>
      <w:r w:rsidRPr="008A3778">
        <w:rPr>
          <w:rFonts w:ascii="Helvetica" w:eastAsia="HGMaruGothicMPRO" w:hAnsi="Helvetica" w:cs="Helvetica"/>
          <w:lang w:val="en-GB"/>
        </w:rPr>
        <w:t xml:space="preserve">. </w:t>
      </w:r>
    </w:p>
    <w:p w14:paraId="29DF6119" w14:textId="3A86809F" w:rsidR="003A2766" w:rsidRPr="008A3778" w:rsidRDefault="00706F78"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As such, a</w:t>
      </w:r>
      <w:r w:rsidR="003A2766" w:rsidRPr="008A3778">
        <w:rPr>
          <w:rFonts w:ascii="Helvetica" w:eastAsia="HGMaruGothicMPRO" w:hAnsi="Helvetica" w:cs="Helvetica"/>
          <w:lang w:val="en-GB"/>
        </w:rPr>
        <w:t xml:space="preserve">s I read and understand </w:t>
      </w:r>
      <w:r w:rsidR="003A2766" w:rsidRPr="008A3778">
        <w:rPr>
          <w:rFonts w:ascii="Helvetica" w:eastAsia="HGMaruGothicMPRO" w:hAnsi="Helvetica" w:cs="Helvetica"/>
          <w:iCs/>
          <w:lang w:val="en-GB"/>
        </w:rPr>
        <w:t>their second supplementary (founding) affidavit,</w:t>
      </w:r>
      <w:r w:rsidR="003A2766" w:rsidRPr="008A3778">
        <w:rPr>
          <w:rFonts w:ascii="Helvetica" w:eastAsia="HGMaruGothicMPRO" w:hAnsi="Helvetica" w:cs="Helvetica"/>
          <w:lang w:val="en-GB"/>
        </w:rPr>
        <w:t xml:space="preserve"> and its </w:t>
      </w:r>
      <w:r w:rsidR="003A2766" w:rsidRPr="008A3778">
        <w:rPr>
          <w:rFonts w:ascii="Helvetica" w:eastAsia="HGMaruGothicMPRO" w:hAnsi="Helvetica" w:cs="Helvetica"/>
          <w:iCs/>
          <w:lang w:val="en-GB"/>
        </w:rPr>
        <w:t>annexures</w:t>
      </w:r>
      <w:r w:rsidR="003A2766" w:rsidRPr="008A3778">
        <w:rPr>
          <w:rFonts w:ascii="Helvetica" w:eastAsia="HGMaruGothicMPRO" w:hAnsi="Helvetica" w:cs="Helvetica"/>
          <w:lang w:val="en-GB"/>
        </w:rPr>
        <w:t>, they do not question the veracity or authenticity of Mr Collatz’s signature on the documents, but rather his mental capacity at the time of his doing so - more specifically his ability to appreciate the nature and consequence of the documents he signed. Accordingly, they contended</w:t>
      </w:r>
      <w:r w:rsidR="003A2766" w:rsidRPr="008A3778">
        <w:rPr>
          <w:rFonts w:ascii="Helvetica" w:eastAsia="HGMaruGothicMPRO" w:hAnsi="Helvetica" w:cs="Helvetica"/>
          <w:iCs/>
          <w:lang w:val="en-GB"/>
        </w:rPr>
        <w:t xml:space="preserve"> in their second supplementary (founding) affidavit</w:t>
      </w:r>
      <w:r w:rsidR="003A2766" w:rsidRPr="008A3778">
        <w:rPr>
          <w:rFonts w:ascii="Helvetica" w:eastAsia="HGMaruGothicMPRO" w:hAnsi="Helvetica" w:cs="Helvetica"/>
          <w:lang w:val="en-GB"/>
        </w:rPr>
        <w:t xml:space="preserve"> that Mr Collatz’s capacity to perform juristic</w:t>
      </w:r>
      <w:r w:rsidR="003E3C8E">
        <w:rPr>
          <w:rFonts w:ascii="Helvetica" w:eastAsia="HGMaruGothicMPRO" w:hAnsi="Helvetica" w:cs="Helvetica"/>
          <w:lang w:val="en-GB"/>
        </w:rPr>
        <w:t xml:space="preserve"> </w:t>
      </w:r>
      <w:r w:rsidR="0046175E">
        <w:rPr>
          <w:rFonts w:ascii="Helvetica" w:eastAsia="HGMaruGothicMPRO" w:hAnsi="Helvetica" w:cs="Helvetica"/>
          <w:lang w:val="en-GB"/>
        </w:rPr>
        <w:t xml:space="preserve">acts </w:t>
      </w:r>
      <w:r w:rsidR="003A2766" w:rsidRPr="008A3778">
        <w:rPr>
          <w:rFonts w:ascii="Helvetica" w:eastAsia="HGMaruGothicMPRO" w:hAnsi="Helvetica" w:cs="Helvetica"/>
          <w:lang w:val="en-GB"/>
        </w:rPr>
        <w:t xml:space="preserve">was impaired at the time. </w:t>
      </w:r>
    </w:p>
    <w:p w14:paraId="799CC210" w14:textId="1F359915" w:rsidR="003A2766" w:rsidRPr="008A3778" w:rsidRDefault="003A2766"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I am fortified in my reading and understanding of the second supplementary (founding) affidavit because in a letter addressed on their behalf to the Adjudicator, an annexure to that affidavit, the specific allegation is made that “</w:t>
      </w:r>
      <w:r w:rsidRPr="008A3778">
        <w:rPr>
          <w:rFonts w:ascii="Helvetica" w:eastAsia="HGMaruGothicMPRO" w:hAnsi="Helvetica" w:cs="Helvetica"/>
          <w:i/>
          <w:iCs/>
          <w:lang w:val="en-GB"/>
        </w:rPr>
        <w:t>the Alexander Forbes Group</w:t>
      </w:r>
      <w:r w:rsidRPr="008A3778">
        <w:rPr>
          <w:rFonts w:ascii="Helvetica" w:eastAsia="HGMaruGothicMPRO" w:hAnsi="Helvetica" w:cs="Helvetica"/>
          <w:lang w:val="en-GB"/>
        </w:rPr>
        <w:t>” had not disclosed “</w:t>
      </w:r>
      <w:r w:rsidRPr="008A3778">
        <w:rPr>
          <w:rFonts w:ascii="Helvetica" w:eastAsia="HGMaruGothicMPRO" w:hAnsi="Helvetica" w:cs="Helvetica"/>
          <w:i/>
          <w:iCs/>
          <w:lang w:val="en-GB"/>
        </w:rPr>
        <w:t>that the ‘application had been signed by the deceased in the Psychiatric hospital</w:t>
      </w:r>
      <w:r w:rsidRPr="008A3778">
        <w:rPr>
          <w:rFonts w:ascii="Helvetica" w:eastAsia="HGMaruGothicMPRO" w:hAnsi="Helvetica" w:cs="Helvetica"/>
          <w:lang w:val="en-GB"/>
        </w:rPr>
        <w:t>”. Furthermore,</w:t>
      </w:r>
      <w:r w:rsidRPr="008A3778">
        <w:rPr>
          <w:rFonts w:ascii="Helvetica" w:eastAsia="HGMaruGothicMPRO" w:hAnsi="Helvetica" w:cs="Helvetica"/>
          <w:iCs/>
          <w:lang w:val="en-GB"/>
        </w:rPr>
        <w:t xml:space="preserve"> their second supplementary (founding) affidavit concludes by asserting that the application “</w:t>
      </w:r>
      <w:r w:rsidRPr="008A3778">
        <w:rPr>
          <w:rFonts w:ascii="Helvetica" w:eastAsia="HGMaruGothicMPRO" w:hAnsi="Helvetica" w:cs="Helvetica"/>
          <w:i/>
          <w:lang w:val="en-GB"/>
        </w:rPr>
        <w:t>was invalid in that deceased lacked the requisite capacity to make that application or authorise the trans</w:t>
      </w:r>
      <w:r w:rsidRPr="00C948FF">
        <w:rPr>
          <w:rFonts w:ascii="Helvetica" w:eastAsia="HGMaruGothicMPRO" w:hAnsi="Helvetica" w:cs="Helvetica"/>
          <w:i/>
          <w:lang w:val="en-GB"/>
        </w:rPr>
        <w:t>fer</w:t>
      </w:r>
      <w:r w:rsidRPr="008A3778">
        <w:rPr>
          <w:rFonts w:ascii="Helvetica" w:eastAsia="HGMaruGothicMPRO" w:hAnsi="Helvetica" w:cs="Helvetica"/>
          <w:iCs/>
          <w:lang w:val="en-GB"/>
        </w:rPr>
        <w:t>” (emphasi</w:t>
      </w:r>
      <w:r w:rsidR="00E839D0" w:rsidRPr="008A3778">
        <w:rPr>
          <w:rFonts w:ascii="Helvetica" w:eastAsia="HGMaruGothicMPRO" w:hAnsi="Helvetica" w:cs="Helvetica"/>
          <w:iCs/>
          <w:lang w:val="en-GB"/>
        </w:rPr>
        <w:t>s</w:t>
      </w:r>
      <w:r w:rsidRPr="008A3778">
        <w:rPr>
          <w:rFonts w:ascii="Helvetica" w:eastAsia="HGMaruGothicMPRO" w:hAnsi="Helvetica" w:cs="Helvetica"/>
          <w:iCs/>
          <w:lang w:val="en-GB"/>
        </w:rPr>
        <w:t xml:space="preserve">ing their challenge </w:t>
      </w:r>
      <w:r w:rsidR="00E839D0" w:rsidRPr="008A3778">
        <w:rPr>
          <w:rFonts w:ascii="Helvetica" w:eastAsia="HGMaruGothicMPRO" w:hAnsi="Helvetica" w:cs="Helvetica"/>
          <w:iCs/>
          <w:lang w:val="en-GB"/>
        </w:rPr>
        <w:t>is targeted at Mr. Collatz’s</w:t>
      </w:r>
      <w:r w:rsidRPr="008A3778">
        <w:rPr>
          <w:rFonts w:ascii="Helvetica" w:eastAsia="HGMaruGothicMPRO" w:hAnsi="Helvetica" w:cs="Helvetica"/>
          <w:iCs/>
          <w:lang w:val="en-GB"/>
        </w:rPr>
        <w:t xml:space="preserve"> mental capacity</w:t>
      </w:r>
      <w:r w:rsidR="00706F78">
        <w:rPr>
          <w:rFonts w:ascii="Helvetica" w:eastAsia="HGMaruGothicMPRO" w:hAnsi="Helvetica" w:cs="Helvetica"/>
          <w:iCs/>
          <w:lang w:val="en-GB"/>
        </w:rPr>
        <w:t xml:space="preserve"> alone</w:t>
      </w:r>
      <w:r w:rsidRPr="008A3778">
        <w:rPr>
          <w:rFonts w:ascii="Helvetica" w:eastAsia="HGMaruGothicMPRO" w:hAnsi="Helvetica" w:cs="Helvetica"/>
          <w:iCs/>
          <w:lang w:val="en-GB"/>
        </w:rPr>
        <w:t xml:space="preserve">). </w:t>
      </w:r>
    </w:p>
    <w:p w14:paraId="50E67223" w14:textId="00157645" w:rsidR="003A2766" w:rsidRPr="008A3778" w:rsidRDefault="00706F78"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Pr>
          <w:rFonts w:ascii="Helvetica" w:eastAsia="Calibri" w:hAnsi="Helvetica" w:cs="Helvetica"/>
          <w:lang w:val="en-GB"/>
        </w:rPr>
        <w:t>Be that as it may, t</w:t>
      </w:r>
      <w:r w:rsidR="008A0139" w:rsidRPr="008A3778">
        <w:rPr>
          <w:rFonts w:ascii="Helvetica" w:eastAsia="Calibri" w:hAnsi="Helvetica" w:cs="Helvetica"/>
          <w:lang w:val="en-GB"/>
        </w:rPr>
        <w:t xml:space="preserve">hese </w:t>
      </w:r>
      <w:r w:rsidR="00E839D0" w:rsidRPr="008A3778">
        <w:rPr>
          <w:rFonts w:ascii="Helvetica" w:eastAsia="Calibri" w:hAnsi="Helvetica" w:cs="Helvetica"/>
          <w:lang w:val="en-GB"/>
        </w:rPr>
        <w:t>complaints (</w:t>
      </w:r>
      <w:r w:rsidR="008A0139" w:rsidRPr="008A3778">
        <w:rPr>
          <w:rFonts w:ascii="Helvetica" w:eastAsia="Calibri" w:hAnsi="Helvetica" w:cs="Helvetica"/>
          <w:lang w:val="en-GB"/>
        </w:rPr>
        <w:t>challenges</w:t>
      </w:r>
      <w:r w:rsidR="00E839D0" w:rsidRPr="008A3778">
        <w:rPr>
          <w:rFonts w:ascii="Helvetica" w:eastAsia="Calibri" w:hAnsi="Helvetica" w:cs="Helvetica"/>
          <w:lang w:val="en-GB"/>
        </w:rPr>
        <w:t>)</w:t>
      </w:r>
      <w:r w:rsidR="008A0139" w:rsidRPr="008A3778">
        <w:rPr>
          <w:rFonts w:ascii="Helvetica" w:eastAsia="Calibri" w:hAnsi="Helvetica" w:cs="Helvetica"/>
          <w:lang w:val="en-GB"/>
        </w:rPr>
        <w:t xml:space="preserve"> </w:t>
      </w:r>
      <w:r w:rsidR="00050567" w:rsidRPr="008A3778">
        <w:rPr>
          <w:rFonts w:ascii="Helvetica" w:eastAsia="Calibri" w:hAnsi="Helvetica" w:cs="Helvetica"/>
          <w:lang w:val="en-GB"/>
        </w:rPr>
        <w:t xml:space="preserve">indubitably </w:t>
      </w:r>
      <w:r w:rsidR="008A0139" w:rsidRPr="008A3778">
        <w:rPr>
          <w:rFonts w:ascii="Helvetica" w:eastAsia="Calibri" w:hAnsi="Helvetica" w:cs="Helvetica"/>
          <w:lang w:val="en-GB"/>
        </w:rPr>
        <w:t>constitute new complaints which</w:t>
      </w:r>
      <w:r w:rsidR="00050567" w:rsidRPr="008A3778">
        <w:rPr>
          <w:rFonts w:ascii="Helvetica" w:eastAsia="Calibri" w:hAnsi="Helvetica" w:cs="Helvetica"/>
          <w:lang w:val="en-GB"/>
        </w:rPr>
        <w:t xml:space="preserve"> were not placed before, or considered by, </w:t>
      </w:r>
      <w:r w:rsidR="008A0139" w:rsidRPr="008A3778">
        <w:rPr>
          <w:rFonts w:ascii="Helvetica" w:eastAsia="Calibri" w:hAnsi="Helvetica" w:cs="Helvetica"/>
          <w:lang w:val="en-GB"/>
        </w:rPr>
        <w:t xml:space="preserve">the Adjudicator. </w:t>
      </w:r>
      <w:r w:rsidR="003A2766" w:rsidRPr="008A3778">
        <w:rPr>
          <w:rFonts w:ascii="Helvetica" w:eastAsia="HGMaruGothicMPRO" w:hAnsi="Helvetica" w:cs="Helvetica"/>
          <w:lang w:val="en-GB"/>
        </w:rPr>
        <w:t xml:space="preserve">These new complaints are materially and fundamentally different from the complaints placed before the </w:t>
      </w:r>
      <w:r w:rsidR="003A2766" w:rsidRPr="008A3778">
        <w:rPr>
          <w:rFonts w:ascii="Helvetica" w:eastAsia="HGMaruGothicMPRO" w:hAnsi="Helvetica" w:cs="Helvetica"/>
          <w:lang w:val="en-GB"/>
        </w:rPr>
        <w:lastRenderedPageBreak/>
        <w:t xml:space="preserve">Adjudicator during November 2011. </w:t>
      </w:r>
      <w:r w:rsidR="008A0139" w:rsidRPr="008A3778">
        <w:rPr>
          <w:rFonts w:ascii="Helvetica" w:eastAsia="Calibri" w:hAnsi="Helvetica" w:cs="Helvetica"/>
          <w:lang w:val="en-GB"/>
        </w:rPr>
        <w:t>They</w:t>
      </w:r>
      <w:r w:rsidR="003A2766" w:rsidRPr="008A3778">
        <w:rPr>
          <w:rFonts w:ascii="Helvetica" w:eastAsia="Calibri" w:hAnsi="Helvetica" w:cs="Helvetica"/>
          <w:lang w:val="en-GB"/>
        </w:rPr>
        <w:t xml:space="preserve"> </w:t>
      </w:r>
      <w:r w:rsidR="008A0139" w:rsidRPr="008A3778">
        <w:rPr>
          <w:rFonts w:ascii="Helvetica" w:eastAsia="Calibri" w:hAnsi="Helvetica" w:cs="Helvetica"/>
          <w:lang w:val="en-GB"/>
        </w:rPr>
        <w:t>comprise</w:t>
      </w:r>
      <w:r w:rsidR="00050567" w:rsidRPr="008A3778">
        <w:rPr>
          <w:rFonts w:ascii="Helvetica" w:eastAsia="Calibri" w:hAnsi="Helvetica" w:cs="Helvetica"/>
          <w:lang w:val="en-GB"/>
        </w:rPr>
        <w:t>, separately and cumulatively,</w:t>
      </w:r>
      <w:r w:rsidR="008A0139" w:rsidRPr="008A3778">
        <w:rPr>
          <w:rFonts w:ascii="Helvetica" w:eastAsia="Calibri" w:hAnsi="Helvetica" w:cs="Helvetica"/>
          <w:lang w:val="en-GB"/>
        </w:rPr>
        <w:t xml:space="preserve"> a completely new case, and </w:t>
      </w:r>
      <w:r>
        <w:rPr>
          <w:rFonts w:ascii="Helvetica" w:eastAsia="Calibri" w:hAnsi="Helvetica" w:cs="Helvetica"/>
          <w:lang w:val="en-GB"/>
        </w:rPr>
        <w:t xml:space="preserve">are not substantially the same complaint as that referred to and determined by the Adjudicator. These complaints </w:t>
      </w:r>
      <w:r w:rsidR="002F6736" w:rsidRPr="008A3778">
        <w:rPr>
          <w:rFonts w:ascii="Helvetica" w:eastAsia="Calibri" w:hAnsi="Helvetica" w:cs="Helvetica"/>
          <w:lang w:val="en-GB"/>
        </w:rPr>
        <w:t>therefore can</w:t>
      </w:r>
      <w:r w:rsidR="008A0139" w:rsidRPr="008A3778">
        <w:rPr>
          <w:rFonts w:ascii="Helvetica" w:eastAsia="Calibri" w:hAnsi="Helvetica" w:cs="Helvetica"/>
          <w:lang w:val="en-GB"/>
        </w:rPr>
        <w:t>not form part of the section 30P application.</w:t>
      </w:r>
      <w:r w:rsidR="00050567" w:rsidRPr="008A3778">
        <w:rPr>
          <w:rFonts w:ascii="Helvetica" w:eastAsia="Calibri" w:hAnsi="Helvetica" w:cs="Helvetica"/>
          <w:lang w:val="en-GB"/>
        </w:rPr>
        <w:t xml:space="preserve"> </w:t>
      </w:r>
    </w:p>
    <w:p w14:paraId="648EE9C5" w14:textId="2CA667CB" w:rsidR="0046175E" w:rsidRPr="0046175E" w:rsidRDefault="0050109E" w:rsidP="00E839D0">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Pr>
          <w:rFonts w:ascii="Helvetica" w:eastAsia="HGMaruGothicMPRO" w:hAnsi="Helvetica" w:cs="Helvetica"/>
          <w:lang w:val="en-GB"/>
        </w:rPr>
        <w:t xml:space="preserve">There is also the unexplained anomaly or disconnect in these complaints, as pointed out by the High Court in paragraph 17 of its judgement, and which centres on Mr. Collatz being mentally able (capax) in late July 2008 to conclude the preservation agreement </w:t>
      </w:r>
      <w:r w:rsidR="0054485C">
        <w:rPr>
          <w:rFonts w:ascii="Helvetica" w:eastAsia="HGMaruGothicMPRO" w:hAnsi="Helvetica" w:cs="Helvetica"/>
          <w:lang w:val="en-GB"/>
        </w:rPr>
        <w:t xml:space="preserve">when </w:t>
      </w:r>
      <w:r>
        <w:rPr>
          <w:rFonts w:ascii="Helvetica" w:eastAsia="HGMaruGothicMPRO" w:hAnsi="Helvetica" w:cs="Helvetica"/>
          <w:lang w:val="en-GB"/>
        </w:rPr>
        <w:t>measured against his alleged subsequent incapacity during late September 2008 when electing to transfer the withdrawal benefit to the annuity.</w:t>
      </w:r>
      <w:r w:rsidR="000228B9">
        <w:rPr>
          <w:rFonts w:ascii="Helvetica" w:eastAsia="HGMaruGothicMPRO" w:hAnsi="Helvetica" w:cs="Helvetica"/>
          <w:lang w:val="en-GB"/>
        </w:rPr>
        <w:t xml:space="preserve"> This sudden change in his capacity, over a matter of weeks, is unexplained.</w:t>
      </w:r>
    </w:p>
    <w:p w14:paraId="3F1F01ED" w14:textId="70EA38B8" w:rsidR="00E839D0" w:rsidRPr="000F527A" w:rsidRDefault="005D4193" w:rsidP="00E839D0">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Calibri" w:hAnsi="Helvetica" w:cs="Helvetica"/>
          <w:lang w:val="en-GB"/>
        </w:rPr>
        <w:t>I cannot therefor</w:t>
      </w:r>
      <w:r w:rsidR="00C948FF">
        <w:rPr>
          <w:rFonts w:ascii="Helvetica" w:eastAsia="Calibri" w:hAnsi="Helvetica" w:cs="Helvetica"/>
          <w:lang w:val="en-GB"/>
        </w:rPr>
        <w:t>e</w:t>
      </w:r>
      <w:r w:rsidRPr="008A3778">
        <w:rPr>
          <w:rFonts w:ascii="Helvetica" w:eastAsia="Calibri" w:hAnsi="Helvetica" w:cs="Helvetica"/>
          <w:lang w:val="en-GB"/>
        </w:rPr>
        <w:t xml:space="preserve"> agree that the High Court, as submitted on behalf of the appellants, was obliged to</w:t>
      </w:r>
      <w:r w:rsidR="00C948FF">
        <w:rPr>
          <w:rFonts w:ascii="Helvetica" w:eastAsia="Calibri" w:hAnsi="Helvetica" w:cs="Helvetica"/>
          <w:lang w:val="en-GB"/>
        </w:rPr>
        <w:t>:</w:t>
      </w:r>
      <w:r w:rsidRPr="008A3778">
        <w:rPr>
          <w:rFonts w:ascii="Helvetica" w:eastAsia="Calibri" w:hAnsi="Helvetica" w:cs="Helvetica"/>
          <w:lang w:val="en-GB"/>
        </w:rPr>
        <w:t xml:space="preserve"> </w:t>
      </w:r>
      <w:r w:rsidR="001C5F89" w:rsidRPr="008A3778">
        <w:rPr>
          <w:rFonts w:ascii="Helvetica" w:eastAsia="Calibri" w:hAnsi="Helvetica" w:cs="Helvetica"/>
          <w:lang w:val="en-GB"/>
        </w:rPr>
        <w:t xml:space="preserve">(i) weigh the medical evidence presented by the appellants, or (ii) </w:t>
      </w:r>
      <w:r w:rsidRPr="008A3778">
        <w:rPr>
          <w:rFonts w:ascii="Helvetica" w:eastAsia="Calibri" w:hAnsi="Helvetica" w:cs="Helvetica"/>
          <w:lang w:val="en-GB"/>
        </w:rPr>
        <w:t>accept into evidence the expert evidence that they contend demonstrates that the deceased did not authorise a reinvestment of his withdrawal benefit. Similarly, I am unable to agree with the appellants</w:t>
      </w:r>
      <w:r w:rsidR="00C948FF">
        <w:rPr>
          <w:rFonts w:ascii="Helvetica" w:eastAsia="Calibri" w:hAnsi="Helvetica" w:cs="Helvetica"/>
          <w:lang w:val="en-GB"/>
        </w:rPr>
        <w:t>’</w:t>
      </w:r>
      <w:r w:rsidRPr="008A3778">
        <w:rPr>
          <w:rFonts w:ascii="Helvetica" w:eastAsia="Calibri" w:hAnsi="Helvetica" w:cs="Helvetica"/>
          <w:lang w:val="en-GB"/>
        </w:rPr>
        <w:t xml:space="preserve"> contention that the High Court </w:t>
      </w:r>
      <w:r w:rsidR="001C5F89" w:rsidRPr="008A3778">
        <w:rPr>
          <w:rFonts w:ascii="Helvetica" w:eastAsia="Calibri" w:hAnsi="Helvetica" w:cs="Helvetica"/>
          <w:lang w:val="en-GB"/>
        </w:rPr>
        <w:t xml:space="preserve">must be </w:t>
      </w:r>
      <w:r w:rsidRPr="008A3778">
        <w:rPr>
          <w:rFonts w:ascii="Helvetica" w:eastAsia="Calibri" w:hAnsi="Helvetica" w:cs="Helvetica"/>
          <w:lang w:val="en-GB"/>
        </w:rPr>
        <w:t xml:space="preserve">criticised for failing to </w:t>
      </w:r>
      <w:r w:rsidRPr="000F527A">
        <w:rPr>
          <w:rFonts w:ascii="Helvetica" w:eastAsia="Calibri" w:hAnsi="Helvetica" w:cs="Helvetica"/>
          <w:lang w:val="en-GB"/>
        </w:rPr>
        <w:t>apply its mind on</w:t>
      </w:r>
      <w:r w:rsidR="000F527A">
        <w:rPr>
          <w:rFonts w:ascii="Helvetica" w:eastAsia="Calibri" w:hAnsi="Helvetica" w:cs="Helvetica"/>
          <w:lang w:val="en-GB"/>
        </w:rPr>
        <w:t xml:space="preserve"> the issue of the</w:t>
      </w:r>
      <w:r w:rsidRPr="000F527A">
        <w:rPr>
          <w:rFonts w:ascii="Helvetica" w:eastAsia="Calibri" w:hAnsi="Helvetica" w:cs="Helvetica"/>
          <w:lang w:val="en-GB"/>
        </w:rPr>
        <w:t xml:space="preserve"> questioned authorisation form. </w:t>
      </w:r>
    </w:p>
    <w:p w14:paraId="673271D5" w14:textId="0813DE15" w:rsidR="000F527A" w:rsidRPr="000F527A" w:rsidRDefault="00474E3F"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Calibri" w:hAnsi="Helvetica" w:cs="Helvetica"/>
          <w:lang w:val="en-GB"/>
        </w:rPr>
        <w:t>Given that permissible in terms of section 30P, it</w:t>
      </w:r>
      <w:r w:rsidR="000F527A">
        <w:rPr>
          <w:rFonts w:ascii="Helvetica" w:eastAsia="Calibri" w:hAnsi="Helvetica" w:cs="Helvetica"/>
          <w:lang w:val="en-GB"/>
        </w:rPr>
        <w:t xml:space="preserve"> simply</w:t>
      </w:r>
      <w:r w:rsidRPr="008A3778">
        <w:rPr>
          <w:rFonts w:ascii="Helvetica" w:eastAsia="Calibri" w:hAnsi="Helvetica" w:cs="Helvetica"/>
          <w:lang w:val="en-GB"/>
        </w:rPr>
        <w:t xml:space="preserve"> did not behove the High Court, as </w:t>
      </w:r>
      <w:r w:rsidR="001C5F89" w:rsidRPr="008A3778">
        <w:rPr>
          <w:rFonts w:ascii="Helvetica" w:eastAsia="Calibri" w:hAnsi="Helvetica" w:cs="Helvetica"/>
          <w:lang w:val="en-GB"/>
        </w:rPr>
        <w:t>claimed</w:t>
      </w:r>
      <w:r w:rsidRPr="008A3778">
        <w:rPr>
          <w:rFonts w:ascii="Helvetica" w:eastAsia="Calibri" w:hAnsi="Helvetica" w:cs="Helvetica"/>
          <w:lang w:val="en-GB"/>
        </w:rPr>
        <w:t xml:space="preserve"> by the appellants,</w:t>
      </w:r>
      <w:r w:rsidR="001C5F89" w:rsidRPr="008A3778">
        <w:rPr>
          <w:rFonts w:ascii="Helvetica" w:eastAsia="Calibri" w:hAnsi="Helvetica" w:cs="Helvetica"/>
          <w:lang w:val="en-GB"/>
        </w:rPr>
        <w:t xml:space="preserve"> to “</w:t>
      </w:r>
      <w:r w:rsidR="001C5F89" w:rsidRPr="008A3778">
        <w:rPr>
          <w:rFonts w:ascii="Helvetica" w:eastAsia="Calibri" w:hAnsi="Helvetica" w:cs="Helvetica"/>
          <w:i/>
          <w:iCs/>
          <w:lang w:val="en-GB"/>
        </w:rPr>
        <w:t>consider the medical expert evidence</w:t>
      </w:r>
      <w:r w:rsidR="001C5F89" w:rsidRPr="008A3778">
        <w:rPr>
          <w:rFonts w:ascii="Helvetica" w:eastAsia="Calibri" w:hAnsi="Helvetica" w:cs="Helvetica"/>
          <w:lang w:val="en-GB"/>
        </w:rPr>
        <w:t>” or</w:t>
      </w:r>
      <w:r w:rsidRPr="008A3778">
        <w:rPr>
          <w:rFonts w:ascii="Helvetica" w:eastAsia="Calibri" w:hAnsi="Helvetica" w:cs="Helvetica"/>
          <w:lang w:val="en-GB"/>
        </w:rPr>
        <w:t xml:space="preserve"> “</w:t>
      </w:r>
      <w:r w:rsidRPr="008A3778">
        <w:rPr>
          <w:rFonts w:ascii="Helvetica" w:eastAsia="Calibri" w:hAnsi="Helvetica" w:cs="Helvetica"/>
          <w:i/>
          <w:iCs/>
          <w:lang w:val="en-GB"/>
        </w:rPr>
        <w:t>scrutinise the nitty-grittyness</w:t>
      </w:r>
      <w:r w:rsidRPr="008A3778">
        <w:rPr>
          <w:rFonts w:ascii="Helvetica" w:eastAsia="Calibri" w:hAnsi="Helvetica" w:cs="Helvetica"/>
          <w:lang w:val="en-GB"/>
        </w:rPr>
        <w:t xml:space="preserve">” of the authorisation form. </w:t>
      </w:r>
    </w:p>
    <w:p w14:paraId="1DA348AD" w14:textId="1A77F1F7" w:rsidR="005D4193" w:rsidRPr="008A3778" w:rsidRDefault="003A2766" w:rsidP="003A2766">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Calibri" w:hAnsi="Helvetica" w:cs="Helvetica"/>
          <w:lang w:val="en-GB"/>
        </w:rPr>
        <w:t xml:space="preserve">As such, </w:t>
      </w:r>
      <w:r w:rsidRPr="008A3778">
        <w:rPr>
          <w:rFonts w:ascii="Helvetica" w:eastAsia="HGMaruGothicMPRO" w:hAnsi="Helvetica" w:cs="Helvetica"/>
          <w:lang w:val="en-GB"/>
        </w:rPr>
        <w:t xml:space="preserve">the High Court cannot be criticised for not considering these new complaints because they are extraneous to the complaint </w:t>
      </w:r>
      <w:r w:rsidR="00E839D0" w:rsidRPr="008A3778">
        <w:rPr>
          <w:rFonts w:ascii="Helvetica" w:eastAsia="HGMaruGothicMPRO" w:hAnsi="Helvetica" w:cs="Helvetica"/>
          <w:lang w:val="en-GB"/>
        </w:rPr>
        <w:t xml:space="preserve">before and </w:t>
      </w:r>
      <w:r w:rsidRPr="008A3778">
        <w:rPr>
          <w:rFonts w:ascii="Helvetica" w:eastAsia="HGMaruGothicMPRO" w:hAnsi="Helvetica" w:cs="Helvetica"/>
          <w:lang w:val="en-GB"/>
        </w:rPr>
        <w:t>determined by the Adjudicator.</w:t>
      </w:r>
      <w:r w:rsidR="008A3778">
        <w:rPr>
          <w:rFonts w:ascii="Helvetica" w:eastAsia="HGMaruGothicMPRO" w:hAnsi="Helvetica" w:cs="Helvetica"/>
          <w:lang w:val="en-GB"/>
        </w:rPr>
        <w:t xml:space="preserve"> </w:t>
      </w:r>
      <w:r w:rsidR="00474E3F" w:rsidRPr="008A3778">
        <w:rPr>
          <w:rFonts w:ascii="Helvetica" w:eastAsia="Calibri" w:hAnsi="Helvetica" w:cs="Helvetica"/>
          <w:lang w:val="en-GB"/>
        </w:rPr>
        <w:t>The High Court did not have any discretion to do so</w:t>
      </w:r>
      <w:r w:rsidR="001C5F89" w:rsidRPr="008A3778">
        <w:rPr>
          <w:rFonts w:ascii="Helvetica" w:eastAsia="Calibri" w:hAnsi="Helvetica" w:cs="Helvetica"/>
          <w:lang w:val="en-GB"/>
        </w:rPr>
        <w:t xml:space="preserve">, and it would have been incompetent for the High Court to do so. </w:t>
      </w:r>
      <w:r w:rsidR="00E839D0" w:rsidRPr="008A3778">
        <w:rPr>
          <w:rFonts w:ascii="Helvetica" w:eastAsia="Calibri" w:hAnsi="Helvetica" w:cs="Helvetica"/>
          <w:lang w:val="en-GB"/>
        </w:rPr>
        <w:t xml:space="preserve">On the contrary, the High Court - in disallowing the introduction </w:t>
      </w:r>
      <w:r w:rsidR="00445F74">
        <w:rPr>
          <w:rFonts w:ascii="Helvetica" w:eastAsia="Calibri" w:hAnsi="Helvetica" w:cs="Helvetica"/>
          <w:lang w:val="en-GB"/>
        </w:rPr>
        <w:t xml:space="preserve">of </w:t>
      </w:r>
      <w:r w:rsidR="00E839D0" w:rsidRPr="008A3778">
        <w:rPr>
          <w:rFonts w:ascii="Helvetica" w:eastAsia="Calibri" w:hAnsi="Helvetica" w:cs="Helvetica"/>
          <w:lang w:val="en-GB"/>
        </w:rPr>
        <w:t>th</w:t>
      </w:r>
      <w:r w:rsidR="000F527A">
        <w:rPr>
          <w:rFonts w:ascii="Helvetica" w:eastAsia="Calibri" w:hAnsi="Helvetica" w:cs="Helvetica"/>
          <w:lang w:val="en-GB"/>
        </w:rPr>
        <w:t>ese</w:t>
      </w:r>
      <w:r w:rsidR="00E839D0" w:rsidRPr="008A3778">
        <w:rPr>
          <w:rFonts w:ascii="Helvetica" w:eastAsia="Calibri" w:hAnsi="Helvetica" w:cs="Helvetica"/>
          <w:lang w:val="en-GB"/>
        </w:rPr>
        <w:t xml:space="preserve"> complaint(s) and the accompanying evidence - ensured that the application did not move beyond the parameters</w:t>
      </w:r>
      <w:r w:rsidR="000F527A">
        <w:rPr>
          <w:rFonts w:ascii="Helvetica" w:eastAsia="Calibri" w:hAnsi="Helvetica" w:cs="Helvetica"/>
          <w:lang w:val="en-GB"/>
        </w:rPr>
        <w:t xml:space="preserve"> (</w:t>
      </w:r>
      <w:r w:rsidR="00E839D0" w:rsidRPr="008A3778">
        <w:rPr>
          <w:rFonts w:ascii="Helvetica" w:eastAsia="Calibri" w:hAnsi="Helvetica" w:cs="Helvetica"/>
          <w:lang w:val="en-GB"/>
        </w:rPr>
        <w:t>complaint- and evidence-wise</w:t>
      </w:r>
      <w:r w:rsidR="000F527A">
        <w:rPr>
          <w:rFonts w:ascii="Helvetica" w:eastAsia="Calibri" w:hAnsi="Helvetica" w:cs="Helvetica"/>
          <w:lang w:val="en-GB"/>
        </w:rPr>
        <w:t>)</w:t>
      </w:r>
      <w:r w:rsidR="00E839D0" w:rsidRPr="008A3778">
        <w:rPr>
          <w:rFonts w:ascii="Helvetica" w:eastAsia="Calibri" w:hAnsi="Helvetica" w:cs="Helvetica"/>
          <w:lang w:val="en-GB"/>
        </w:rPr>
        <w:t xml:space="preserve"> set by section 30P.</w:t>
      </w:r>
    </w:p>
    <w:p w14:paraId="5B11F766" w14:textId="04766C04" w:rsidR="00474E3F" w:rsidRPr="008A3778" w:rsidRDefault="00474E3F" w:rsidP="008A013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lastRenderedPageBreak/>
        <w:t>Given the above, the appellants</w:t>
      </w:r>
      <w:r w:rsidR="00445F74">
        <w:rPr>
          <w:rFonts w:ascii="Helvetica" w:eastAsia="Calibri" w:hAnsi="Helvetica" w:cs="Helvetica"/>
          <w:lang w:val="en-GB"/>
        </w:rPr>
        <w:t>’</w:t>
      </w:r>
      <w:r w:rsidRPr="008A3778">
        <w:rPr>
          <w:rFonts w:ascii="Helvetica" w:eastAsia="Calibri" w:hAnsi="Helvetica" w:cs="Helvetica"/>
          <w:lang w:val="en-GB"/>
        </w:rPr>
        <w:t xml:space="preserve"> reliance on the Constitutional Court decision in </w:t>
      </w:r>
      <w:r w:rsidRPr="008A3778">
        <w:rPr>
          <w:rFonts w:ascii="Helvetica" w:eastAsia="Calibri" w:hAnsi="Helvetica" w:cs="Helvetica"/>
          <w:b/>
          <w:bCs/>
          <w:lang w:val="en-GB"/>
        </w:rPr>
        <w:t>Department of Transport and others v Tasima (Pty) Limited</w:t>
      </w:r>
      <w:r w:rsidRPr="008A3778">
        <w:rPr>
          <w:rStyle w:val="FootnoteReference"/>
          <w:rFonts w:ascii="Helvetica" w:eastAsia="Calibri" w:hAnsi="Helvetica" w:cs="Helvetica"/>
          <w:lang w:val="en-GB"/>
        </w:rPr>
        <w:footnoteReference w:id="70"/>
      </w:r>
      <w:r w:rsidRPr="008A3778">
        <w:rPr>
          <w:rFonts w:ascii="Helvetica" w:eastAsia="Calibri" w:hAnsi="Helvetica" w:cs="Helvetica"/>
          <w:lang w:val="en-GB"/>
        </w:rPr>
        <w:t xml:space="preserve"> is advanced in a factual </w:t>
      </w:r>
      <w:r w:rsidR="00E839D0" w:rsidRPr="008A3778">
        <w:rPr>
          <w:rFonts w:ascii="Helvetica" w:eastAsia="Calibri" w:hAnsi="Helvetica" w:cs="Helvetica"/>
          <w:lang w:val="en-GB"/>
        </w:rPr>
        <w:t xml:space="preserve">and jurisdictional </w:t>
      </w:r>
      <w:r w:rsidRPr="008A3778">
        <w:rPr>
          <w:rFonts w:ascii="Helvetica" w:eastAsia="Calibri" w:hAnsi="Helvetica" w:cs="Helvetica"/>
          <w:lang w:val="en-GB"/>
        </w:rPr>
        <w:t>vacuum</w:t>
      </w:r>
      <w:r w:rsidR="00E839D0" w:rsidRPr="008A3778">
        <w:rPr>
          <w:rFonts w:ascii="Helvetica" w:eastAsia="Calibri" w:hAnsi="Helvetica" w:cs="Helvetica"/>
          <w:lang w:val="en-GB"/>
        </w:rPr>
        <w:t>;</w:t>
      </w:r>
      <w:r w:rsidRPr="008A3778">
        <w:rPr>
          <w:rFonts w:ascii="Helvetica" w:eastAsia="Calibri" w:hAnsi="Helvetica" w:cs="Helvetica"/>
          <w:lang w:val="en-GB"/>
        </w:rPr>
        <w:t xml:space="preserve"> directly attributable to the operation of section 30P and the jurisdictional and evidential limits imposed thereby on the High Court. As such, the decision does not assist the appellants. </w:t>
      </w:r>
    </w:p>
    <w:p w14:paraId="65209A35" w14:textId="4D249406" w:rsidR="003A2766" w:rsidRPr="008A3778" w:rsidRDefault="002F6736" w:rsidP="00AD1AAB">
      <w:pPr>
        <w:numPr>
          <w:ilvl w:val="0"/>
          <w:numId w:val="1"/>
        </w:numPr>
        <w:tabs>
          <w:tab w:val="clear" w:pos="851"/>
          <w:tab w:val="num" w:pos="720"/>
        </w:tabs>
        <w:spacing w:after="360" w:line="360" w:lineRule="auto"/>
        <w:ind w:left="720" w:right="-151" w:hanging="720"/>
        <w:jc w:val="both"/>
        <w:rPr>
          <w:rFonts w:ascii="Helvetica" w:eastAsia="Yu Mincho" w:hAnsi="Helvetica" w:cs="Helvetica"/>
          <w:lang w:val="en-GB"/>
        </w:rPr>
      </w:pPr>
      <w:r w:rsidRPr="008A3778">
        <w:rPr>
          <w:rFonts w:ascii="Helvetica" w:eastAsia="Calibri" w:hAnsi="Helvetica" w:cs="Helvetica"/>
          <w:lang w:val="en-GB"/>
        </w:rPr>
        <w:t>Furthermore</w:t>
      </w:r>
      <w:r w:rsidR="00741A77" w:rsidRPr="008A3778">
        <w:rPr>
          <w:rFonts w:ascii="Helvetica" w:eastAsia="Calibri" w:hAnsi="Helvetica" w:cs="Helvetica"/>
          <w:lang w:val="en-GB"/>
        </w:rPr>
        <w:t xml:space="preserve">, even if </w:t>
      </w:r>
      <w:r w:rsidR="00CD3E9F" w:rsidRPr="008A3778">
        <w:rPr>
          <w:rFonts w:ascii="Helvetica" w:eastAsia="Calibri" w:hAnsi="Helvetica" w:cs="Helvetica"/>
          <w:lang w:val="en-GB"/>
        </w:rPr>
        <w:t>the High Court</w:t>
      </w:r>
      <w:r w:rsidR="00741A77" w:rsidRPr="008A3778">
        <w:rPr>
          <w:rFonts w:ascii="Helvetica" w:eastAsia="Calibri" w:hAnsi="Helvetica" w:cs="Helvetica"/>
          <w:lang w:val="en-GB"/>
        </w:rPr>
        <w:t>,</w:t>
      </w:r>
      <w:r w:rsidR="00CD3E9F" w:rsidRPr="008A3778">
        <w:rPr>
          <w:rFonts w:ascii="Helvetica" w:eastAsia="Calibri" w:hAnsi="Helvetica" w:cs="Helvetica"/>
          <w:lang w:val="en-GB"/>
        </w:rPr>
        <w:t xml:space="preserve"> was at large or even obliged to </w:t>
      </w:r>
      <w:r w:rsidR="00741A77" w:rsidRPr="008A3778">
        <w:rPr>
          <w:rFonts w:ascii="Helvetica" w:eastAsia="Calibri" w:hAnsi="Helvetica" w:cs="Helvetica"/>
          <w:lang w:val="en-GB"/>
        </w:rPr>
        <w:t xml:space="preserve">entertain </w:t>
      </w:r>
      <w:r w:rsidR="00CD3E9F" w:rsidRPr="008A3778">
        <w:rPr>
          <w:rFonts w:ascii="Helvetica" w:eastAsia="Calibri" w:hAnsi="Helvetica" w:cs="Helvetica"/>
          <w:lang w:val="en-GB"/>
        </w:rPr>
        <w:t xml:space="preserve">these new complaints </w:t>
      </w:r>
      <w:r w:rsidR="00741A77" w:rsidRPr="008A3778">
        <w:rPr>
          <w:rFonts w:ascii="Helvetica" w:eastAsia="Calibri" w:hAnsi="Helvetica" w:cs="Helvetica"/>
          <w:lang w:val="en-GB"/>
        </w:rPr>
        <w:t>within the context of the section 30P application,</w:t>
      </w:r>
      <w:r w:rsidR="00CD3E9F" w:rsidRPr="008A3778">
        <w:rPr>
          <w:rFonts w:ascii="Helvetica" w:eastAsia="Calibri" w:hAnsi="Helvetica" w:cs="Helvetica"/>
          <w:lang w:val="en-GB"/>
        </w:rPr>
        <w:t xml:space="preserve"> it would have struggled to do so because the</w:t>
      </w:r>
      <w:r w:rsidR="00E839D0" w:rsidRPr="008A3778">
        <w:rPr>
          <w:rFonts w:ascii="Helvetica" w:eastAsia="Calibri" w:hAnsi="Helvetica" w:cs="Helvetica"/>
          <w:lang w:val="en-GB"/>
        </w:rPr>
        <w:t>se complaints</w:t>
      </w:r>
      <w:r w:rsidR="00CD3E9F" w:rsidRPr="008A3778">
        <w:rPr>
          <w:rFonts w:ascii="Helvetica" w:eastAsia="Calibri" w:hAnsi="Helvetica" w:cs="Helvetica"/>
          <w:lang w:val="en-GB"/>
        </w:rPr>
        <w:t xml:space="preserve"> </w:t>
      </w:r>
      <w:r w:rsidR="00741A77" w:rsidRPr="008A3778">
        <w:rPr>
          <w:rFonts w:ascii="Helvetica" w:eastAsia="Calibri" w:hAnsi="Helvetica" w:cs="Helvetica"/>
          <w:lang w:val="en-GB"/>
        </w:rPr>
        <w:t xml:space="preserve">are riddled with various material foreseeable disputes of fact. </w:t>
      </w:r>
      <w:r w:rsidR="003A2766" w:rsidRPr="008A3778">
        <w:rPr>
          <w:rFonts w:ascii="Helvetica" w:eastAsia="HGMaruGothicMPRO" w:hAnsi="Helvetica" w:cs="Helvetica"/>
          <w:lang w:val="en-GB"/>
        </w:rPr>
        <w:t xml:space="preserve">The very </w:t>
      </w:r>
      <w:r w:rsidR="003A2766" w:rsidRPr="008A3778">
        <w:rPr>
          <w:rFonts w:ascii="Helvetica" w:eastAsia="Calibri" w:hAnsi="Helvetica" w:cs="Helvetica"/>
          <w:lang w:val="en-GB"/>
        </w:rPr>
        <w:t>nature</w:t>
      </w:r>
      <w:r w:rsidR="003A2766" w:rsidRPr="008A3778">
        <w:rPr>
          <w:rFonts w:ascii="Helvetica" w:eastAsia="HGMaruGothicMPRO" w:hAnsi="Helvetica" w:cs="Helvetica"/>
          <w:lang w:val="en-GB"/>
        </w:rPr>
        <w:t xml:space="preserve"> of the appellants’ contentions and complaints regarding</w:t>
      </w:r>
      <w:r w:rsidR="00F875FD">
        <w:rPr>
          <w:rFonts w:ascii="Helvetica" w:eastAsia="HGMaruGothicMPRO" w:hAnsi="Helvetica" w:cs="Helvetica"/>
          <w:lang w:val="en-GB"/>
        </w:rPr>
        <w:t>:</w:t>
      </w:r>
      <w:r w:rsidR="003A2766" w:rsidRPr="008A3778">
        <w:rPr>
          <w:rFonts w:ascii="Helvetica" w:eastAsia="HGMaruGothicMPRO" w:hAnsi="Helvetica" w:cs="Helvetica"/>
          <w:lang w:val="en-GB"/>
        </w:rPr>
        <w:t xml:space="preserve"> (i) the mental capacity of Mr Collatz, and (ii) the authenticity and veracity of the authorisation form demonstrates the unavoidable expectation</w:t>
      </w:r>
      <w:r w:rsidR="005F3475">
        <w:rPr>
          <w:rFonts w:ascii="Helvetica" w:eastAsia="HGMaruGothicMPRO" w:hAnsi="Helvetica" w:cs="Helvetica"/>
          <w:lang w:val="en-GB"/>
        </w:rPr>
        <w:t>,</w:t>
      </w:r>
      <w:r w:rsidR="003A2766" w:rsidRPr="008A3778">
        <w:rPr>
          <w:rFonts w:ascii="Helvetica" w:eastAsia="HGMaruGothicMPRO" w:hAnsi="Helvetica" w:cs="Helvetica"/>
          <w:lang w:val="en-GB"/>
        </w:rPr>
        <w:t xml:space="preserve"> and existence of serious disputes of fact, and with it the rigours of the </w:t>
      </w:r>
      <w:r w:rsidR="003A2766" w:rsidRPr="008A3778">
        <w:rPr>
          <w:rFonts w:ascii="Helvetica" w:eastAsia="HGMaruGothicMPRO" w:hAnsi="Helvetica" w:cs="Helvetica"/>
          <w:b/>
          <w:bCs/>
          <w:lang w:val="en-GB"/>
        </w:rPr>
        <w:t>Plascon-Evans</w:t>
      </w:r>
      <w:r w:rsidR="005F3475">
        <w:rPr>
          <w:rFonts w:ascii="Helvetica" w:eastAsia="HGMaruGothicMPRO" w:hAnsi="Helvetica" w:cs="Helvetica"/>
          <w:b/>
          <w:bCs/>
          <w:lang w:val="en-GB"/>
        </w:rPr>
        <w:t xml:space="preserve"> </w:t>
      </w:r>
      <w:r w:rsidR="005F3475">
        <w:rPr>
          <w:rFonts w:ascii="Helvetica" w:eastAsia="HGMaruGothicMPRO" w:hAnsi="Helvetica" w:cs="Helvetica"/>
          <w:lang w:val="en-GB"/>
        </w:rPr>
        <w:t>rule</w:t>
      </w:r>
      <w:r w:rsidR="003A2766" w:rsidRPr="008A3778">
        <w:rPr>
          <w:rFonts w:ascii="Helvetica" w:eastAsia="HGMaruGothicMPRO" w:hAnsi="Helvetica" w:cs="Helvetica"/>
          <w:lang w:val="en-GB"/>
        </w:rPr>
        <w:t xml:space="preserve">. </w:t>
      </w:r>
    </w:p>
    <w:p w14:paraId="11B8AF47" w14:textId="77777777" w:rsidR="00AD1AAB" w:rsidRPr="008A3778" w:rsidRDefault="00AD1AAB" w:rsidP="00AD1AAB">
      <w:pPr>
        <w:numPr>
          <w:ilvl w:val="0"/>
          <w:numId w:val="1"/>
        </w:numPr>
        <w:tabs>
          <w:tab w:val="clear" w:pos="851"/>
          <w:tab w:val="num" w:pos="720"/>
        </w:tabs>
        <w:spacing w:after="360" w:line="360" w:lineRule="auto"/>
        <w:ind w:left="720" w:right="-151" w:hanging="720"/>
        <w:jc w:val="both"/>
        <w:rPr>
          <w:rFonts w:ascii="Helvetica" w:eastAsia="Yu Mincho" w:hAnsi="Helvetica" w:cs="Helvetica"/>
          <w:lang w:val="en-GB"/>
        </w:rPr>
      </w:pPr>
      <w:r w:rsidRPr="008A3778">
        <w:rPr>
          <w:rFonts w:ascii="Helvetica" w:eastAsia="HGMaruGothicMPRO" w:hAnsi="Helvetica" w:cs="Helvetica"/>
          <w:lang w:val="en-GB"/>
        </w:rPr>
        <w:t xml:space="preserve">As quoted above, the SCA specifically held in </w:t>
      </w:r>
      <w:r w:rsidRPr="008A3778">
        <w:rPr>
          <w:rFonts w:ascii="Helvetica" w:eastAsia="HGMaruGothicMPRO" w:hAnsi="Helvetica" w:cs="Helvetica"/>
          <w:b/>
          <w:bCs/>
          <w:lang w:val="en-GB"/>
        </w:rPr>
        <w:t>Meyer v Iscor Pension Fund</w:t>
      </w:r>
      <w:r w:rsidRPr="008A3778">
        <w:rPr>
          <w:rFonts w:ascii="Helvetica" w:eastAsia="HGMaruGothicMPRO" w:hAnsi="Helvetica" w:cs="Helvetica"/>
          <w:lang w:val="en-GB"/>
        </w:rPr>
        <w:t xml:space="preserve"> that the rule in</w:t>
      </w:r>
      <w:r w:rsidRPr="008A3778">
        <w:rPr>
          <w:rFonts w:ascii="Helvetica" w:eastAsia="HGMaruGothicMPRO" w:hAnsi="Helvetica" w:cs="Helvetica"/>
          <w:b/>
          <w:bCs/>
          <w:lang w:val="en-GB"/>
        </w:rPr>
        <w:t xml:space="preserve"> Plascon-Evans</w:t>
      </w:r>
      <w:r w:rsidRPr="008A3778">
        <w:rPr>
          <w:rFonts w:ascii="Helvetica" w:eastAsia="HGMaruGothicMPRO" w:hAnsi="Helvetica" w:cs="Helvetica"/>
          <w:lang w:val="en-GB"/>
        </w:rPr>
        <w:t xml:space="preserve"> applies to section 30P applications and wherein the complainant is to be regarded as the applicant. Moreover, whilst the onus in respect of an alleged fraud (in this instance a fraudulent authorisation form) remains an ordinary civil onus, fraud is not easily inferred.</w:t>
      </w:r>
      <w:r w:rsidRPr="008A3778">
        <w:rPr>
          <w:rStyle w:val="FootnoteReference"/>
          <w:rFonts w:ascii="Helvetica" w:eastAsia="HGMaruGothicMPRO" w:hAnsi="Helvetica" w:cs="Helvetica"/>
          <w:lang w:val="en-GB"/>
        </w:rPr>
        <w:footnoteReference w:id="71"/>
      </w:r>
      <w:r w:rsidRPr="008A3778">
        <w:rPr>
          <w:rFonts w:ascii="Helvetica" w:eastAsia="HGMaruGothicMPRO" w:hAnsi="Helvetica" w:cs="Helvetica"/>
          <w:lang w:val="en-GB"/>
        </w:rPr>
        <w:t xml:space="preserve"> This is why it is trite that a party wishing to rely on fraud must not only allege the existence of the fraud but must also prove it clearly and distinctly.</w:t>
      </w:r>
      <w:r w:rsidRPr="008A3778">
        <w:rPr>
          <w:rStyle w:val="FootnoteReference"/>
          <w:rFonts w:ascii="Helvetica" w:eastAsia="HGMaruGothicMPRO" w:hAnsi="Helvetica" w:cs="Helvetica"/>
          <w:lang w:val="en-GB"/>
        </w:rPr>
        <w:footnoteReference w:id="72"/>
      </w:r>
      <w:r w:rsidRPr="008A3778">
        <w:rPr>
          <w:rFonts w:ascii="Helvetica" w:eastAsia="HGMaruGothicMPRO" w:hAnsi="Helvetica" w:cs="Helvetica"/>
          <w:lang w:val="en-GB"/>
        </w:rPr>
        <w:t xml:space="preserve"> </w:t>
      </w:r>
    </w:p>
    <w:p w14:paraId="2CD8800F" w14:textId="77777777" w:rsidR="005F3475" w:rsidRDefault="005F3475" w:rsidP="00741A7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Pr>
          <w:rFonts w:ascii="Helvetica" w:eastAsia="Calibri" w:hAnsi="Helvetica" w:cs="Helvetica"/>
          <w:lang w:val="en-GB"/>
        </w:rPr>
        <w:t xml:space="preserve">The appellants’ aforesaid difficulties are compounded in circumstances where </w:t>
      </w:r>
      <w:r w:rsidR="00640E5C" w:rsidRPr="008A3778">
        <w:rPr>
          <w:rFonts w:ascii="Helvetica" w:eastAsia="Calibri" w:hAnsi="Helvetica" w:cs="Helvetica"/>
          <w:lang w:val="en-GB"/>
        </w:rPr>
        <w:t>the</w:t>
      </w:r>
      <w:r w:rsidR="00BD0FD5" w:rsidRPr="008A3778">
        <w:rPr>
          <w:rFonts w:ascii="Helvetica" w:eastAsia="Calibri" w:hAnsi="Helvetica" w:cs="Helvetica"/>
          <w:lang w:val="en-GB"/>
        </w:rPr>
        <w:t xml:space="preserve"> first</w:t>
      </w:r>
      <w:r w:rsidR="00CD3E9F" w:rsidRPr="008A3778">
        <w:rPr>
          <w:rFonts w:ascii="Helvetica" w:eastAsia="Calibri" w:hAnsi="Helvetica" w:cs="Helvetica"/>
          <w:lang w:val="en-GB"/>
        </w:rPr>
        <w:t xml:space="preserve"> and second </w:t>
      </w:r>
      <w:r w:rsidR="00640E5C" w:rsidRPr="008A3778">
        <w:rPr>
          <w:rFonts w:ascii="Helvetica" w:eastAsia="Calibri" w:hAnsi="Helvetica" w:cs="Helvetica"/>
          <w:lang w:val="en-GB"/>
        </w:rPr>
        <w:t>respondents</w:t>
      </w:r>
      <w:r>
        <w:rPr>
          <w:rFonts w:ascii="Helvetica" w:eastAsia="Calibri" w:hAnsi="Helvetica" w:cs="Helvetica"/>
          <w:lang w:val="en-GB"/>
        </w:rPr>
        <w:t xml:space="preserve"> meaningfully and issuably</w:t>
      </w:r>
      <w:r w:rsidR="00640E5C" w:rsidRPr="008A3778">
        <w:rPr>
          <w:rFonts w:ascii="Helvetica" w:eastAsia="Calibri" w:hAnsi="Helvetica" w:cs="Helvetica"/>
          <w:lang w:val="en-GB"/>
        </w:rPr>
        <w:t xml:space="preserve"> deny that Mr</w:t>
      </w:r>
      <w:r w:rsidR="00B201CD">
        <w:rPr>
          <w:rFonts w:ascii="Helvetica" w:eastAsia="Calibri" w:hAnsi="Helvetica" w:cs="Helvetica"/>
          <w:lang w:val="en-GB"/>
        </w:rPr>
        <w:t>.</w:t>
      </w:r>
      <w:r w:rsidR="00640E5C" w:rsidRPr="008A3778">
        <w:rPr>
          <w:rFonts w:ascii="Helvetica" w:eastAsia="Calibri" w:hAnsi="Helvetica" w:cs="Helvetica"/>
          <w:lang w:val="en-GB"/>
        </w:rPr>
        <w:t xml:space="preserve"> Collatz, at the time when electing to transfer the withdrawal benefit to the second respondent, suffered from any psychiatric or mental condition rendering him incapable of making decisions or attending to his own affairs. </w:t>
      </w:r>
      <w:r>
        <w:rPr>
          <w:rFonts w:ascii="Helvetica" w:eastAsia="Calibri" w:hAnsi="Helvetica" w:cs="Helvetica"/>
          <w:lang w:val="en-GB"/>
        </w:rPr>
        <w:t>(</w:t>
      </w:r>
      <w:r w:rsidR="00BD0FD5" w:rsidRPr="008A3778">
        <w:rPr>
          <w:rFonts w:ascii="Helvetica" w:eastAsia="Calibri" w:hAnsi="Helvetica" w:cs="Helvetica"/>
          <w:lang w:val="en-GB"/>
        </w:rPr>
        <w:t xml:space="preserve">The ninth respondent states that it cannot assist on the issue of </w:t>
      </w:r>
      <w:bookmarkStart w:id="16" w:name="_Hlk90739974"/>
      <w:r w:rsidR="00BD0FD5" w:rsidRPr="008A3778">
        <w:rPr>
          <w:rFonts w:ascii="Helvetica" w:eastAsia="Calibri" w:hAnsi="Helvetica" w:cs="Helvetica"/>
          <w:lang w:val="en-GB"/>
        </w:rPr>
        <w:t>Mr</w:t>
      </w:r>
      <w:r w:rsidR="00B201CD">
        <w:rPr>
          <w:rFonts w:ascii="Helvetica" w:eastAsia="Calibri" w:hAnsi="Helvetica" w:cs="Helvetica"/>
          <w:lang w:val="en-GB"/>
        </w:rPr>
        <w:t>.</w:t>
      </w:r>
      <w:r w:rsidR="00BD0FD5" w:rsidRPr="008A3778">
        <w:rPr>
          <w:rFonts w:ascii="Helvetica" w:eastAsia="Calibri" w:hAnsi="Helvetica" w:cs="Helvetica"/>
          <w:lang w:val="en-GB"/>
        </w:rPr>
        <w:t xml:space="preserve"> Collatz</w:t>
      </w:r>
      <w:bookmarkEnd w:id="16"/>
      <w:r w:rsidR="00BD0FD5" w:rsidRPr="008A3778">
        <w:rPr>
          <w:rFonts w:ascii="Helvetica" w:eastAsia="Calibri" w:hAnsi="Helvetica" w:cs="Helvetica"/>
          <w:lang w:val="en-GB"/>
        </w:rPr>
        <w:t>’s mental capacity because it has no knowledge thereof.</w:t>
      </w:r>
      <w:r>
        <w:rPr>
          <w:rFonts w:ascii="Helvetica" w:eastAsia="Calibri" w:hAnsi="Helvetica" w:cs="Helvetica"/>
          <w:lang w:val="en-GB"/>
        </w:rPr>
        <w:t>)</w:t>
      </w:r>
      <w:r w:rsidR="00BD0FD5" w:rsidRPr="008A3778">
        <w:rPr>
          <w:rFonts w:ascii="Helvetica" w:eastAsia="Calibri" w:hAnsi="Helvetica" w:cs="Helvetica"/>
          <w:lang w:val="en-GB"/>
        </w:rPr>
        <w:t xml:space="preserve"> </w:t>
      </w:r>
    </w:p>
    <w:p w14:paraId="3C9425E5" w14:textId="4916A660" w:rsidR="00E839D0" w:rsidRPr="008A3778" w:rsidRDefault="00BD0FD5" w:rsidP="00741A7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Importantly, however, t</w:t>
      </w:r>
      <w:r w:rsidR="005E24B4" w:rsidRPr="008A3778">
        <w:rPr>
          <w:rFonts w:ascii="Helvetica" w:eastAsia="Calibri" w:hAnsi="Helvetica" w:cs="Helvetica"/>
          <w:lang w:val="en-GB"/>
        </w:rPr>
        <w:t>he third to fifth respondents</w:t>
      </w:r>
      <w:r w:rsidR="00455451" w:rsidRPr="008A3778">
        <w:rPr>
          <w:rFonts w:ascii="Helvetica" w:eastAsia="Calibri" w:hAnsi="Helvetica" w:cs="Helvetica"/>
          <w:lang w:val="en-GB"/>
        </w:rPr>
        <w:t xml:space="preserve">’ reference and rely on an affidavit filed by Mr. Collatz’s sister. She is a witness to the authorisation form. She states in her </w:t>
      </w:r>
      <w:r w:rsidR="00455451" w:rsidRPr="008A3778">
        <w:rPr>
          <w:rFonts w:ascii="Helvetica" w:eastAsia="Calibri" w:hAnsi="Helvetica" w:cs="Helvetica"/>
          <w:lang w:val="en-GB"/>
        </w:rPr>
        <w:lastRenderedPageBreak/>
        <w:t xml:space="preserve">affidavit that her brother drank excessively after the tragic death of his son, and the </w:t>
      </w:r>
      <w:r w:rsidR="005F3475">
        <w:rPr>
          <w:rFonts w:ascii="Helvetica" w:eastAsia="Calibri" w:hAnsi="Helvetica" w:cs="Helvetica"/>
          <w:lang w:val="en-GB"/>
        </w:rPr>
        <w:t xml:space="preserve">accompanying </w:t>
      </w:r>
      <w:r w:rsidR="00455451" w:rsidRPr="008A3778">
        <w:rPr>
          <w:rFonts w:ascii="Helvetica" w:eastAsia="Calibri" w:hAnsi="Helvetica" w:cs="Helvetica"/>
          <w:lang w:val="en-GB"/>
        </w:rPr>
        <w:t>specific circumstances leading to his admission to Denmar for alcohol abuse and emotional depression. She states that he was not admitted because of any mental incapacity and that his “</w:t>
      </w:r>
      <w:r w:rsidR="00455451" w:rsidRPr="009469CF">
        <w:rPr>
          <w:rFonts w:ascii="Helvetica" w:eastAsia="Calibri" w:hAnsi="Helvetica" w:cs="Helvetica"/>
          <w:i/>
          <w:iCs/>
          <w:lang w:val="en-GB"/>
        </w:rPr>
        <w:t>mental capacity was never a concern</w:t>
      </w:r>
      <w:r w:rsidR="00455451" w:rsidRPr="008A3778">
        <w:rPr>
          <w:rFonts w:ascii="Helvetica" w:eastAsia="Calibri" w:hAnsi="Helvetica" w:cs="Helvetica"/>
          <w:lang w:val="en-GB"/>
        </w:rPr>
        <w:t>”. She further states that the deceased completed and signed the nomination forms in her presence, which she witnessed. She adds that at the time of his doing so, “</w:t>
      </w:r>
      <w:r w:rsidR="00455451" w:rsidRPr="008A3778">
        <w:rPr>
          <w:rFonts w:ascii="Helvetica" w:eastAsia="Calibri" w:hAnsi="Helvetica" w:cs="Helvetica"/>
          <w:i/>
          <w:iCs/>
          <w:lang w:val="en-GB"/>
        </w:rPr>
        <w:t>nothing was out of place</w:t>
      </w:r>
      <w:r w:rsidR="00455451" w:rsidRPr="008A3778">
        <w:rPr>
          <w:rFonts w:ascii="Helvetica" w:eastAsia="Calibri" w:hAnsi="Helvetica" w:cs="Helvetica"/>
          <w:lang w:val="en-GB"/>
        </w:rPr>
        <w:t>” with him, he “</w:t>
      </w:r>
      <w:r w:rsidR="00455451" w:rsidRPr="008A3778">
        <w:rPr>
          <w:rFonts w:ascii="Helvetica" w:eastAsia="Calibri" w:hAnsi="Helvetica" w:cs="Helvetica"/>
          <w:i/>
          <w:iCs/>
          <w:lang w:val="en-GB"/>
        </w:rPr>
        <w:t>looked like the person [she] had known [her] entire life</w:t>
      </w:r>
      <w:r w:rsidR="00455451" w:rsidRPr="008A3778">
        <w:rPr>
          <w:rFonts w:ascii="Helvetica" w:eastAsia="Calibri" w:hAnsi="Helvetica" w:cs="Helvetica"/>
          <w:lang w:val="en-GB"/>
        </w:rPr>
        <w:t>”, “</w:t>
      </w:r>
      <w:r w:rsidR="00455451" w:rsidRPr="008A3778">
        <w:rPr>
          <w:rFonts w:ascii="Helvetica" w:eastAsia="Calibri" w:hAnsi="Helvetica" w:cs="Helvetica"/>
          <w:i/>
          <w:iCs/>
          <w:lang w:val="en-GB"/>
        </w:rPr>
        <w:t>his character was intact</w:t>
      </w:r>
      <w:r w:rsidR="00455451" w:rsidRPr="008A3778">
        <w:rPr>
          <w:rFonts w:ascii="Helvetica" w:eastAsia="Calibri" w:hAnsi="Helvetica" w:cs="Helvetica"/>
          <w:lang w:val="en-GB"/>
        </w:rPr>
        <w:t>” and that she never suspected that he was “</w:t>
      </w:r>
      <w:r w:rsidR="00455451" w:rsidRPr="008A3778">
        <w:rPr>
          <w:rFonts w:ascii="Helvetica" w:eastAsia="Calibri" w:hAnsi="Helvetica" w:cs="Helvetica"/>
          <w:i/>
          <w:iCs/>
          <w:lang w:val="en-GB"/>
        </w:rPr>
        <w:t>mentally incapable of understanding the documents or appreciating the nature of the transaction</w:t>
      </w:r>
      <w:r w:rsidR="00455451" w:rsidRPr="008A3778">
        <w:rPr>
          <w:rFonts w:ascii="Helvetica" w:eastAsia="Calibri" w:hAnsi="Helvetica" w:cs="Helvetica"/>
          <w:lang w:val="en-GB"/>
        </w:rPr>
        <w:t>”. Mr</w:t>
      </w:r>
      <w:r w:rsidR="00B201CD">
        <w:rPr>
          <w:rFonts w:ascii="Helvetica" w:eastAsia="Calibri" w:hAnsi="Helvetica" w:cs="Helvetica"/>
          <w:lang w:val="en-GB"/>
        </w:rPr>
        <w:t>.</w:t>
      </w:r>
      <w:r w:rsidR="00455451" w:rsidRPr="008A3778">
        <w:rPr>
          <w:rFonts w:ascii="Helvetica" w:eastAsia="Calibri" w:hAnsi="Helvetica" w:cs="Helvetica"/>
          <w:lang w:val="en-GB"/>
        </w:rPr>
        <w:t xml:space="preserve"> Collatz had also informed her that he had discussed the contents of the forms and the type of the investment with Mr</w:t>
      </w:r>
      <w:r w:rsidR="009A7E6C">
        <w:rPr>
          <w:rFonts w:ascii="Helvetica" w:eastAsia="Calibri" w:hAnsi="Helvetica" w:cs="Helvetica"/>
          <w:lang w:val="en-GB"/>
        </w:rPr>
        <w:t>.</w:t>
      </w:r>
      <w:r w:rsidR="00455451" w:rsidRPr="008A3778">
        <w:rPr>
          <w:rFonts w:ascii="Helvetica" w:eastAsia="Calibri" w:hAnsi="Helvetica" w:cs="Helvetica"/>
          <w:lang w:val="en-GB"/>
        </w:rPr>
        <w:t xml:space="preserve"> Bakos. </w:t>
      </w:r>
    </w:p>
    <w:p w14:paraId="50E942D9" w14:textId="0C21E39C" w:rsidR="00455451" w:rsidRPr="008A3778" w:rsidRDefault="00AA23BF" w:rsidP="00741A7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appellants </w:t>
      </w:r>
      <w:r w:rsidR="009469CF">
        <w:rPr>
          <w:rFonts w:ascii="Helvetica" w:eastAsia="Calibri" w:hAnsi="Helvetica" w:cs="Helvetica"/>
          <w:lang w:val="en-GB"/>
        </w:rPr>
        <w:t xml:space="preserve">seek </w:t>
      </w:r>
      <w:r w:rsidRPr="008A3778">
        <w:rPr>
          <w:rFonts w:ascii="Helvetica" w:eastAsia="Calibri" w:hAnsi="Helvetica" w:cs="Helvetica"/>
          <w:lang w:val="en-GB"/>
        </w:rPr>
        <w:t xml:space="preserve">to impeach Mr. Collatz </w:t>
      </w:r>
      <w:r w:rsidR="00E839D0" w:rsidRPr="008A3778">
        <w:rPr>
          <w:rFonts w:ascii="Helvetica" w:eastAsia="Calibri" w:hAnsi="Helvetica" w:cs="Helvetica"/>
          <w:lang w:val="en-GB"/>
        </w:rPr>
        <w:t>sister</w:t>
      </w:r>
      <w:r w:rsidR="004C153F" w:rsidRPr="008A3778">
        <w:rPr>
          <w:rFonts w:ascii="Helvetica" w:eastAsia="Calibri" w:hAnsi="Helvetica" w:cs="Helvetica"/>
          <w:lang w:val="en-GB"/>
        </w:rPr>
        <w:t>’</w:t>
      </w:r>
      <w:r w:rsidR="00E839D0" w:rsidRPr="008A3778">
        <w:rPr>
          <w:rFonts w:ascii="Helvetica" w:eastAsia="Calibri" w:hAnsi="Helvetica" w:cs="Helvetica"/>
          <w:lang w:val="en-GB"/>
        </w:rPr>
        <w:t>s evidence by</w:t>
      </w:r>
      <w:r w:rsidR="004C153F" w:rsidRPr="008A3778">
        <w:rPr>
          <w:rFonts w:ascii="Helvetica" w:eastAsia="Calibri" w:hAnsi="Helvetica" w:cs="Helvetica"/>
          <w:lang w:val="en-GB"/>
        </w:rPr>
        <w:t xml:space="preserve"> attempting to implicate </w:t>
      </w:r>
      <w:r w:rsidR="00E839D0" w:rsidRPr="008A3778">
        <w:rPr>
          <w:rFonts w:ascii="Helvetica" w:eastAsia="Calibri" w:hAnsi="Helvetica" w:cs="Helvetica"/>
          <w:lang w:val="en-GB"/>
        </w:rPr>
        <w:t xml:space="preserve">her in </w:t>
      </w:r>
      <w:r w:rsidR="004C153F" w:rsidRPr="008A3778">
        <w:rPr>
          <w:rFonts w:ascii="Helvetica" w:eastAsia="Calibri" w:hAnsi="Helvetica" w:cs="Helvetica"/>
          <w:lang w:val="en-GB"/>
        </w:rPr>
        <w:t xml:space="preserve">an alleged </w:t>
      </w:r>
      <w:r w:rsidR="00E839D0" w:rsidRPr="008A3778">
        <w:rPr>
          <w:rFonts w:ascii="Helvetica" w:eastAsia="Calibri" w:hAnsi="Helvetica" w:cs="Helvetica"/>
          <w:lang w:val="en-GB"/>
        </w:rPr>
        <w:t xml:space="preserve">odious </w:t>
      </w:r>
      <w:r w:rsidR="004C153F" w:rsidRPr="008A3778">
        <w:rPr>
          <w:rFonts w:ascii="Helvetica" w:eastAsia="Calibri" w:hAnsi="Helvetica" w:cs="Helvetica"/>
          <w:lang w:val="en-GB"/>
        </w:rPr>
        <w:t xml:space="preserve">conspiracy pertaining to </w:t>
      </w:r>
      <w:r w:rsidR="00E839D0" w:rsidRPr="008A3778">
        <w:rPr>
          <w:rFonts w:ascii="Helvetica" w:eastAsia="Calibri" w:hAnsi="Helvetica" w:cs="Helvetica"/>
          <w:lang w:val="en-GB"/>
        </w:rPr>
        <w:t xml:space="preserve">the authorisation form. This endeavour by the appellants </w:t>
      </w:r>
      <w:r w:rsidR="00D905BC" w:rsidRPr="008A3778">
        <w:rPr>
          <w:rFonts w:ascii="Helvetica" w:eastAsia="Calibri" w:hAnsi="Helvetica" w:cs="Helvetica"/>
          <w:lang w:val="en-GB"/>
        </w:rPr>
        <w:t>is</w:t>
      </w:r>
      <w:r w:rsidRPr="008A3778">
        <w:rPr>
          <w:rFonts w:ascii="Helvetica" w:eastAsia="Calibri" w:hAnsi="Helvetica" w:cs="Helvetica"/>
          <w:lang w:val="en-GB"/>
        </w:rPr>
        <w:t xml:space="preserve"> </w:t>
      </w:r>
      <w:r w:rsidR="00E839D0" w:rsidRPr="008A3778">
        <w:rPr>
          <w:rFonts w:ascii="Helvetica" w:eastAsia="Calibri" w:hAnsi="Helvetica" w:cs="Helvetica"/>
          <w:lang w:val="en-GB"/>
        </w:rPr>
        <w:t xml:space="preserve">evidentially unsupported and </w:t>
      </w:r>
      <w:r w:rsidRPr="008A3778">
        <w:rPr>
          <w:rFonts w:ascii="Helvetica" w:eastAsia="Calibri" w:hAnsi="Helvetica" w:cs="Helvetica"/>
          <w:lang w:val="en-GB"/>
        </w:rPr>
        <w:t>unsustainable</w:t>
      </w:r>
      <w:r w:rsidR="006219B0" w:rsidRPr="008A3778">
        <w:rPr>
          <w:rFonts w:ascii="Helvetica" w:eastAsia="Calibri" w:hAnsi="Helvetica" w:cs="Helvetica"/>
          <w:lang w:val="en-GB"/>
        </w:rPr>
        <w:t xml:space="preserve">, if </w:t>
      </w:r>
      <w:r w:rsidR="009469CF">
        <w:rPr>
          <w:rFonts w:ascii="Helvetica" w:eastAsia="Calibri" w:hAnsi="Helvetica" w:cs="Helvetica"/>
          <w:lang w:val="en-GB"/>
        </w:rPr>
        <w:t xml:space="preserve">not </w:t>
      </w:r>
      <w:r w:rsidR="00E839D0" w:rsidRPr="008A3778">
        <w:rPr>
          <w:rFonts w:ascii="Helvetica" w:eastAsia="Calibri" w:hAnsi="Helvetica" w:cs="Helvetica"/>
          <w:lang w:val="en-GB"/>
        </w:rPr>
        <w:t>mischievous</w:t>
      </w:r>
      <w:r w:rsidR="004C153F" w:rsidRPr="008A3778">
        <w:rPr>
          <w:rFonts w:ascii="Helvetica" w:eastAsia="Calibri" w:hAnsi="Helvetica" w:cs="Helvetica"/>
          <w:lang w:val="en-GB"/>
        </w:rPr>
        <w:t xml:space="preserve">; </w:t>
      </w:r>
      <w:r w:rsidR="00E839D0" w:rsidRPr="008A3778">
        <w:rPr>
          <w:rFonts w:ascii="Helvetica" w:eastAsia="Calibri" w:hAnsi="Helvetica" w:cs="Helvetica"/>
          <w:lang w:val="en-GB"/>
        </w:rPr>
        <w:t>and nothing further needs to be mentioned</w:t>
      </w:r>
      <w:r w:rsidR="004C153F" w:rsidRPr="008A3778">
        <w:rPr>
          <w:rFonts w:ascii="Helvetica" w:eastAsia="Calibri" w:hAnsi="Helvetica" w:cs="Helvetica"/>
          <w:lang w:val="en-GB"/>
        </w:rPr>
        <w:t xml:space="preserve"> in this regard</w:t>
      </w:r>
      <w:r w:rsidR="006219B0" w:rsidRPr="008A3778">
        <w:rPr>
          <w:rFonts w:ascii="Helvetica" w:eastAsia="Calibri" w:hAnsi="Helvetica" w:cs="Helvetica"/>
          <w:lang w:val="en-GB"/>
        </w:rPr>
        <w:t xml:space="preserve">. </w:t>
      </w:r>
    </w:p>
    <w:p w14:paraId="7A138708" w14:textId="21EDDBE8" w:rsidR="00E839D0" w:rsidRPr="008A3778" w:rsidRDefault="00E839D0" w:rsidP="00E839D0">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In its answering affidavit before the High Court, the ninth respondent’s position on the appellants’ belated “</w:t>
      </w:r>
      <w:r w:rsidRPr="008A3778">
        <w:rPr>
          <w:rFonts w:ascii="Helvetica" w:eastAsia="Calibri" w:hAnsi="Helvetica" w:cs="Helvetica"/>
          <w:i/>
          <w:iCs/>
          <w:lang w:val="en-GB"/>
        </w:rPr>
        <w:t>new cause of action</w:t>
      </w:r>
      <w:r w:rsidRPr="008A3778">
        <w:rPr>
          <w:rFonts w:ascii="Helvetica" w:eastAsia="Calibri" w:hAnsi="Helvetica" w:cs="Helvetica"/>
          <w:lang w:val="en-GB"/>
        </w:rPr>
        <w:t>” (at that stage the incapacity complaint) is that “</w:t>
      </w:r>
      <w:r w:rsidRPr="008A3778">
        <w:rPr>
          <w:rFonts w:ascii="Helvetica" w:eastAsia="Calibri" w:hAnsi="Helvetica" w:cs="Helvetica"/>
          <w:i/>
          <w:iCs/>
          <w:lang w:val="en-GB"/>
        </w:rPr>
        <w:t>this matter should be determined once and for all, not the least in order to enable the final de-registration and winding up of the J&amp;J Fund</w:t>
      </w:r>
      <w:r w:rsidRPr="008A3778">
        <w:rPr>
          <w:rFonts w:ascii="Helvetica" w:eastAsia="Calibri" w:hAnsi="Helvetica" w:cs="Helvetica"/>
          <w:lang w:val="en-GB"/>
        </w:rPr>
        <w:t xml:space="preserve">”. </w:t>
      </w:r>
      <w:r w:rsidR="004C153F" w:rsidRPr="008A3778">
        <w:rPr>
          <w:rFonts w:ascii="Helvetica" w:eastAsia="Calibri" w:hAnsi="Helvetica" w:cs="Helvetica"/>
          <w:lang w:val="en-GB"/>
        </w:rPr>
        <w:t>The position adopted by the ninth respondent in this regard, fortifies my already expressed view, regarding the need for finality in this litigation.</w:t>
      </w:r>
    </w:p>
    <w:p w14:paraId="5A304646" w14:textId="2A505255" w:rsidR="00E839D0" w:rsidRPr="008A3778" w:rsidRDefault="00E839D0" w:rsidP="00E839D0">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On the issue of the challenge to the authorisation form, the ninth respondent states as follows: (i) the ninth respondent would not be involved in the administrative task of receiving</w:t>
      </w:r>
      <w:r w:rsidR="007A38F5">
        <w:rPr>
          <w:rFonts w:ascii="Helvetica" w:eastAsia="Calibri" w:hAnsi="Helvetica" w:cs="Helvetica"/>
          <w:lang w:val="en-GB"/>
        </w:rPr>
        <w:t xml:space="preserve"> or</w:t>
      </w:r>
      <w:r w:rsidRPr="008A3778">
        <w:rPr>
          <w:rFonts w:ascii="Helvetica" w:eastAsia="Calibri" w:hAnsi="Helvetica" w:cs="Helvetica"/>
          <w:lang w:val="en-GB"/>
        </w:rPr>
        <w:t xml:space="preserve"> the processing </w:t>
      </w:r>
      <w:r w:rsidR="00B21743">
        <w:rPr>
          <w:rFonts w:ascii="Helvetica" w:eastAsia="Calibri" w:hAnsi="Helvetica" w:cs="Helvetica"/>
          <w:lang w:val="en-GB"/>
        </w:rPr>
        <w:t xml:space="preserve">of </w:t>
      </w:r>
      <w:r w:rsidR="007A38F5">
        <w:rPr>
          <w:rFonts w:ascii="Helvetica" w:eastAsia="Calibri" w:hAnsi="Helvetica" w:cs="Helvetica"/>
          <w:lang w:val="en-GB"/>
        </w:rPr>
        <w:t xml:space="preserve">the </w:t>
      </w:r>
      <w:r w:rsidRPr="008A3778">
        <w:rPr>
          <w:rFonts w:ascii="Helvetica" w:eastAsia="Calibri" w:hAnsi="Helvetica" w:cs="Helvetica"/>
          <w:lang w:val="en-GB"/>
        </w:rPr>
        <w:t>instruction represented by the authorisation form, (ii) the first respondent, as it</w:t>
      </w:r>
      <w:r w:rsidR="00AB134B">
        <w:rPr>
          <w:rFonts w:ascii="Helvetica" w:eastAsia="Calibri" w:hAnsi="Helvetica" w:cs="Helvetica"/>
          <w:lang w:val="en-GB"/>
        </w:rPr>
        <w:t>s</w:t>
      </w:r>
      <w:r w:rsidRPr="008A3778">
        <w:rPr>
          <w:rFonts w:ascii="Helvetica" w:eastAsia="Calibri" w:hAnsi="Helvetica" w:cs="Helvetica"/>
          <w:lang w:val="en-GB"/>
        </w:rPr>
        <w:t xml:space="preserve"> nominated administrator, would receive and implement the instruction, and in so doing acted correctly, and (iii) if Mr</w:t>
      </w:r>
      <w:r w:rsidR="00B21743">
        <w:rPr>
          <w:rFonts w:ascii="Helvetica" w:eastAsia="Calibri" w:hAnsi="Helvetica" w:cs="Helvetica"/>
          <w:lang w:val="en-GB"/>
        </w:rPr>
        <w:t>.</w:t>
      </w:r>
      <w:r w:rsidRPr="008A3778">
        <w:rPr>
          <w:rFonts w:ascii="Helvetica" w:eastAsia="Calibri" w:hAnsi="Helvetica" w:cs="Helvetica"/>
          <w:lang w:val="en-GB"/>
        </w:rPr>
        <w:t xml:space="preserve"> Collatz did indeed lack capacity at the relevant time, the ninth respondent knew nothing of this but that the withdrawal benefit must revert to the ninth respondent, together with interest, in order for it to be dealt with in accordance with its rules, which will result ultimately in the ninth respondent’s payment of the withdrawal benefit, less any tax payable, as a lump sum into the estate of Mr</w:t>
      </w:r>
      <w:r w:rsidR="006C6FD9">
        <w:rPr>
          <w:rFonts w:ascii="Helvetica" w:eastAsia="Calibri" w:hAnsi="Helvetica" w:cs="Helvetica"/>
          <w:lang w:val="en-GB"/>
        </w:rPr>
        <w:t>.</w:t>
      </w:r>
      <w:r w:rsidRPr="008A3778">
        <w:rPr>
          <w:rFonts w:ascii="Helvetica" w:eastAsia="Calibri" w:hAnsi="Helvetica" w:cs="Helvetica"/>
          <w:lang w:val="en-GB"/>
        </w:rPr>
        <w:t xml:space="preserve"> Collatz. </w:t>
      </w:r>
    </w:p>
    <w:p w14:paraId="7CEF1D08" w14:textId="5344BB2E" w:rsidR="00AD1AAB" w:rsidRPr="008A3778" w:rsidRDefault="00AD1AAB" w:rsidP="00AD1AAB">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lastRenderedPageBreak/>
        <w:t xml:space="preserve">Within the above context, the High Court also cannot be criticised for finding, as it </w:t>
      </w:r>
      <w:r w:rsidR="007A38F5">
        <w:rPr>
          <w:rFonts w:ascii="Helvetica" w:hAnsi="Helvetica" w:cs="Helvetica"/>
          <w:lang w:val="en-GB"/>
        </w:rPr>
        <w:t>is</w:t>
      </w:r>
      <w:r w:rsidRPr="008A3778">
        <w:rPr>
          <w:rFonts w:ascii="Helvetica" w:hAnsi="Helvetica" w:cs="Helvetica"/>
          <w:lang w:val="en-GB"/>
        </w:rPr>
        <w:t xml:space="preserve">, regarding </w:t>
      </w:r>
      <w:r w:rsidRPr="008A3778">
        <w:rPr>
          <w:rFonts w:ascii="Helvetica" w:eastAsia="Calibri" w:hAnsi="Helvetica" w:cs="Helvetica"/>
          <w:lang w:val="en-GB"/>
        </w:rPr>
        <w:t>the</w:t>
      </w:r>
      <w:r w:rsidRPr="008A3778">
        <w:rPr>
          <w:rFonts w:ascii="Helvetica" w:hAnsi="Helvetica" w:cs="Helvetica"/>
          <w:lang w:val="en-GB"/>
        </w:rPr>
        <w:t xml:space="preserve"> lack of evidence proffered in respect of the Mr. Collatz’s claimed mental health problems and the accompanying existence of the serious dispute of facts in relation thereto. Whilst not expressly stating so, the High Court clearly had regard to the rule in </w:t>
      </w:r>
      <w:r w:rsidRPr="008A3778">
        <w:rPr>
          <w:rFonts w:ascii="Helvetica" w:hAnsi="Helvetica" w:cs="Helvetica"/>
          <w:b/>
          <w:bCs/>
          <w:lang w:val="en-GB"/>
        </w:rPr>
        <w:t>Plascon-Evans</w:t>
      </w:r>
      <w:r w:rsidRPr="008A3778">
        <w:rPr>
          <w:rFonts w:ascii="Helvetica" w:hAnsi="Helvetica" w:cs="Helvetica"/>
          <w:lang w:val="en-GB"/>
        </w:rPr>
        <w:t xml:space="preserve">. </w:t>
      </w:r>
    </w:p>
    <w:p w14:paraId="58DD6BCA" w14:textId="797A4D79" w:rsidR="00455451" w:rsidRPr="008A3778" w:rsidRDefault="00AD1AAB" w:rsidP="002F6736">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Furthermore</w:t>
      </w:r>
      <w:r w:rsidR="00455451" w:rsidRPr="008A3778">
        <w:rPr>
          <w:rFonts w:ascii="Helvetica" w:eastAsia="Calibri" w:hAnsi="Helvetica" w:cs="Helvetica"/>
          <w:lang w:val="en-GB"/>
        </w:rPr>
        <w:t>, even if the High Court was enjoined to consider afresh, within the context of the section 30P application, the challenges to</w:t>
      </w:r>
      <w:r w:rsidR="006C6FD9">
        <w:rPr>
          <w:rFonts w:ascii="Helvetica" w:eastAsia="Calibri" w:hAnsi="Helvetica" w:cs="Helvetica"/>
          <w:lang w:val="en-GB"/>
        </w:rPr>
        <w:t>:</w:t>
      </w:r>
      <w:r w:rsidR="00455451" w:rsidRPr="008A3778">
        <w:rPr>
          <w:rFonts w:ascii="Helvetica" w:eastAsia="Calibri" w:hAnsi="Helvetica" w:cs="Helvetica"/>
          <w:lang w:val="en-GB"/>
        </w:rPr>
        <w:t xml:space="preserve"> </w:t>
      </w:r>
      <w:r w:rsidR="00DE3833" w:rsidRPr="008A3778">
        <w:rPr>
          <w:rFonts w:ascii="Helvetica" w:eastAsia="Calibri" w:hAnsi="Helvetica" w:cs="Helvetica"/>
          <w:lang w:val="en-GB"/>
        </w:rPr>
        <w:t xml:space="preserve">(i) </w:t>
      </w:r>
      <w:r w:rsidR="00455451" w:rsidRPr="008A3778">
        <w:rPr>
          <w:rFonts w:ascii="Helvetica" w:eastAsia="Calibri" w:hAnsi="Helvetica" w:cs="Helvetica"/>
          <w:lang w:val="en-GB"/>
        </w:rPr>
        <w:t>Mr</w:t>
      </w:r>
      <w:r w:rsidR="006C6FD9">
        <w:rPr>
          <w:rFonts w:ascii="Helvetica" w:eastAsia="Calibri" w:hAnsi="Helvetica" w:cs="Helvetica"/>
          <w:lang w:val="en-GB"/>
        </w:rPr>
        <w:t>.</w:t>
      </w:r>
      <w:r w:rsidR="00455451" w:rsidRPr="008A3778">
        <w:rPr>
          <w:rFonts w:ascii="Helvetica" w:eastAsia="Calibri" w:hAnsi="Helvetica" w:cs="Helvetica"/>
          <w:lang w:val="en-GB"/>
        </w:rPr>
        <w:t xml:space="preserve"> Collatz’s mental capacity</w:t>
      </w:r>
      <w:r w:rsidR="00DE3833" w:rsidRPr="008A3778">
        <w:rPr>
          <w:rFonts w:ascii="Helvetica" w:eastAsia="Calibri" w:hAnsi="Helvetica" w:cs="Helvetica"/>
          <w:lang w:val="en-GB"/>
        </w:rPr>
        <w:t>,</w:t>
      </w:r>
      <w:r w:rsidR="00455451" w:rsidRPr="008A3778">
        <w:rPr>
          <w:rFonts w:ascii="Helvetica" w:eastAsia="Calibri" w:hAnsi="Helvetica" w:cs="Helvetica"/>
          <w:lang w:val="en-GB"/>
        </w:rPr>
        <w:t xml:space="preserve"> and </w:t>
      </w:r>
      <w:r w:rsidR="00DE3833" w:rsidRPr="008A3778">
        <w:rPr>
          <w:rFonts w:ascii="Helvetica" w:eastAsia="Calibri" w:hAnsi="Helvetica" w:cs="Helvetica"/>
          <w:lang w:val="en-GB"/>
        </w:rPr>
        <w:t xml:space="preserve">(ii) </w:t>
      </w:r>
      <w:r w:rsidR="00455451" w:rsidRPr="008A3778">
        <w:rPr>
          <w:rFonts w:ascii="Helvetica" w:eastAsia="Calibri" w:hAnsi="Helvetica" w:cs="Helvetica"/>
          <w:lang w:val="en-GB"/>
        </w:rPr>
        <w:t>the authenticity and veracity of nomination form</w:t>
      </w:r>
      <w:r w:rsidR="001C5F89" w:rsidRPr="008A3778">
        <w:rPr>
          <w:rFonts w:ascii="Helvetica" w:eastAsia="Calibri" w:hAnsi="Helvetica" w:cs="Helvetica"/>
          <w:lang w:val="en-GB"/>
        </w:rPr>
        <w:t xml:space="preserve"> (which it was</w:t>
      </w:r>
      <w:r w:rsidR="006C6FD9">
        <w:rPr>
          <w:rFonts w:ascii="Helvetica" w:eastAsia="Calibri" w:hAnsi="Helvetica" w:cs="Helvetica"/>
          <w:lang w:val="en-GB"/>
        </w:rPr>
        <w:t xml:space="preserve"> </w:t>
      </w:r>
      <w:r w:rsidR="001C5F89" w:rsidRPr="008A3778">
        <w:rPr>
          <w:rFonts w:ascii="Helvetica" w:eastAsia="Calibri" w:hAnsi="Helvetica" w:cs="Helvetica"/>
          <w:lang w:val="en-GB"/>
        </w:rPr>
        <w:t>n</w:t>
      </w:r>
      <w:r w:rsidR="006C6FD9">
        <w:rPr>
          <w:rFonts w:ascii="Helvetica" w:eastAsia="Calibri" w:hAnsi="Helvetica" w:cs="Helvetica"/>
          <w:lang w:val="en-GB"/>
        </w:rPr>
        <w:t>o</w:t>
      </w:r>
      <w:r w:rsidR="001C5F89" w:rsidRPr="008A3778">
        <w:rPr>
          <w:rFonts w:ascii="Helvetica" w:eastAsia="Calibri" w:hAnsi="Helvetica" w:cs="Helvetica"/>
          <w:lang w:val="en-GB"/>
        </w:rPr>
        <w:t xml:space="preserve">t), and in so doing have regard, </w:t>
      </w:r>
      <w:r w:rsidR="00023D47" w:rsidRPr="00023D47">
        <w:rPr>
          <w:rFonts w:ascii="Helvetica" w:eastAsia="Calibri" w:hAnsi="Helvetica" w:cs="Helvetica"/>
          <w:i/>
          <w:iCs/>
          <w:lang w:val="en-GB"/>
        </w:rPr>
        <w:t>inter-alia</w:t>
      </w:r>
      <w:r w:rsidR="001C5F89" w:rsidRPr="008A3778">
        <w:rPr>
          <w:rFonts w:ascii="Helvetica" w:eastAsia="Calibri" w:hAnsi="Helvetica" w:cs="Helvetica"/>
          <w:lang w:val="en-GB"/>
        </w:rPr>
        <w:t>, to the expert handwriting report</w:t>
      </w:r>
      <w:r w:rsidR="00455451" w:rsidRPr="008A3778">
        <w:rPr>
          <w:rFonts w:ascii="Helvetica" w:eastAsia="Calibri" w:hAnsi="Helvetica" w:cs="Helvetica"/>
          <w:lang w:val="en-GB"/>
        </w:rPr>
        <w:t xml:space="preserve">, the appellants would </w:t>
      </w:r>
      <w:r w:rsidR="001C5F89" w:rsidRPr="008A3778">
        <w:rPr>
          <w:rFonts w:ascii="Helvetica" w:eastAsia="Calibri" w:hAnsi="Helvetica" w:cs="Helvetica"/>
          <w:lang w:val="en-GB"/>
        </w:rPr>
        <w:t xml:space="preserve">in any event </w:t>
      </w:r>
      <w:r w:rsidR="00455451" w:rsidRPr="008A3778">
        <w:rPr>
          <w:rFonts w:ascii="Helvetica" w:eastAsia="Calibri" w:hAnsi="Helvetica" w:cs="Helvetica"/>
          <w:lang w:val="en-GB"/>
        </w:rPr>
        <w:t xml:space="preserve">not have overcome the </w:t>
      </w:r>
      <w:r w:rsidR="001C5F89" w:rsidRPr="008A3778">
        <w:rPr>
          <w:rFonts w:ascii="Helvetica" w:eastAsia="Calibri" w:hAnsi="Helvetica" w:cs="Helvetica"/>
          <w:lang w:val="en-GB"/>
        </w:rPr>
        <w:t>hurdle presented by the rule in</w:t>
      </w:r>
      <w:r w:rsidR="001C5F89" w:rsidRPr="008A3778">
        <w:rPr>
          <w:rFonts w:ascii="Helvetica" w:eastAsia="Calibri" w:hAnsi="Helvetica" w:cs="Helvetica"/>
          <w:b/>
          <w:bCs/>
          <w:lang w:val="en-GB"/>
        </w:rPr>
        <w:t xml:space="preserve"> </w:t>
      </w:r>
      <w:r w:rsidR="00455451" w:rsidRPr="008A3778">
        <w:rPr>
          <w:rFonts w:ascii="Helvetica" w:eastAsia="Calibri" w:hAnsi="Helvetica" w:cs="Helvetica"/>
          <w:b/>
          <w:bCs/>
          <w:lang w:val="en-GB"/>
        </w:rPr>
        <w:t>Plascon-Evans</w:t>
      </w:r>
      <w:r w:rsidR="00455451" w:rsidRPr="008A3778">
        <w:rPr>
          <w:rFonts w:ascii="Helvetica" w:eastAsia="Calibri" w:hAnsi="Helvetica" w:cs="Helvetica"/>
          <w:lang w:val="en-GB"/>
        </w:rPr>
        <w:t xml:space="preserve">. </w:t>
      </w:r>
      <w:r w:rsidR="001C5F89" w:rsidRPr="008A3778">
        <w:rPr>
          <w:rFonts w:ascii="Helvetica" w:eastAsia="Calibri" w:hAnsi="Helvetica" w:cs="Helvetica"/>
          <w:lang w:val="en-GB"/>
        </w:rPr>
        <w:t>The appellants would have thus failed to satisfy the High Court that there had been, as they contend, “</w:t>
      </w:r>
      <w:r w:rsidR="001C5F89" w:rsidRPr="008A3778">
        <w:rPr>
          <w:rFonts w:ascii="Helvetica" w:eastAsia="Calibri" w:hAnsi="Helvetica" w:cs="Helvetica"/>
          <w:i/>
          <w:iCs/>
          <w:lang w:val="en-GB"/>
        </w:rPr>
        <w:t>a clear violation of the law that would result in serious injustice</w:t>
      </w:r>
      <w:r w:rsidR="001C5F89" w:rsidRPr="008A3778">
        <w:rPr>
          <w:rFonts w:ascii="Helvetica" w:eastAsia="Calibri" w:hAnsi="Helvetica" w:cs="Helvetica"/>
          <w:lang w:val="en-GB"/>
        </w:rPr>
        <w:t xml:space="preserve">”. </w:t>
      </w:r>
      <w:r w:rsidR="00455451" w:rsidRPr="008A3778">
        <w:rPr>
          <w:rFonts w:ascii="Helvetica" w:eastAsia="Calibri" w:hAnsi="Helvetica" w:cs="Helvetica"/>
          <w:lang w:val="en-GB"/>
        </w:rPr>
        <w:t xml:space="preserve">This much is patent from the above quoted paragraph 24 of the High court’s judgement. </w:t>
      </w:r>
    </w:p>
    <w:p w14:paraId="2AF1013D" w14:textId="19C38BA2" w:rsidR="005E24B4" w:rsidRPr="008A3778" w:rsidRDefault="003D54B0" w:rsidP="003B423B">
      <w:pPr>
        <w:pStyle w:val="ListParagraph"/>
        <w:numPr>
          <w:ilvl w:val="0"/>
          <w:numId w:val="24"/>
        </w:numPr>
        <w:spacing w:after="360" w:line="360" w:lineRule="auto"/>
        <w:ind w:right="-151" w:hanging="720"/>
        <w:contextualSpacing w:val="0"/>
        <w:rPr>
          <w:rFonts w:ascii="Helvetica" w:eastAsia="Calibri" w:hAnsi="Helvetica" w:cs="Helvetica"/>
          <w:b/>
          <w:bCs/>
          <w:lang w:val="en-GB"/>
        </w:rPr>
      </w:pPr>
      <w:r w:rsidRPr="008A3778">
        <w:rPr>
          <w:rFonts w:ascii="Helvetica" w:eastAsia="Calibri" w:hAnsi="Helvetica" w:cs="Helvetica"/>
          <w:b/>
          <w:bCs/>
          <w:lang w:val="en-GB"/>
        </w:rPr>
        <w:t>Did Mr Collatz retire</w:t>
      </w:r>
      <w:r w:rsidR="00AD6518" w:rsidRPr="008A3778">
        <w:rPr>
          <w:rFonts w:ascii="Helvetica" w:eastAsia="Calibri" w:hAnsi="Helvetica" w:cs="Helvetica"/>
          <w:b/>
          <w:bCs/>
          <w:lang w:val="en-GB"/>
        </w:rPr>
        <w:t>,</w:t>
      </w:r>
      <w:r w:rsidRPr="008A3778">
        <w:rPr>
          <w:rFonts w:ascii="Helvetica" w:eastAsia="Calibri" w:hAnsi="Helvetica" w:cs="Helvetica"/>
          <w:b/>
          <w:bCs/>
          <w:lang w:val="en-GB"/>
        </w:rPr>
        <w:t xml:space="preserve"> or was he retrenched</w:t>
      </w:r>
      <w:r w:rsidR="00B2436E" w:rsidRPr="008A3778">
        <w:rPr>
          <w:rFonts w:ascii="Helvetica" w:eastAsia="Calibri" w:hAnsi="Helvetica" w:cs="Helvetica"/>
          <w:b/>
          <w:bCs/>
          <w:lang w:val="en-GB"/>
        </w:rPr>
        <w:t>,</w:t>
      </w:r>
      <w:r w:rsidRPr="008A3778">
        <w:rPr>
          <w:rFonts w:ascii="Helvetica" w:eastAsia="Calibri" w:hAnsi="Helvetica" w:cs="Helvetica"/>
          <w:b/>
          <w:bCs/>
          <w:lang w:val="en-GB"/>
        </w:rPr>
        <w:t xml:space="preserve"> and is the answer relevant? </w:t>
      </w:r>
    </w:p>
    <w:p w14:paraId="72327069" w14:textId="3EBA255D" w:rsidR="002A1543" w:rsidRPr="008A3778" w:rsidRDefault="008C46DD" w:rsidP="002A1543">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issue of whether Mr</w:t>
      </w:r>
      <w:r w:rsidR="00823627">
        <w:rPr>
          <w:rFonts w:ascii="Helvetica" w:eastAsia="Calibri" w:hAnsi="Helvetica" w:cs="Helvetica"/>
          <w:lang w:val="en-GB"/>
        </w:rPr>
        <w:t>.</w:t>
      </w:r>
      <w:r w:rsidRPr="008A3778">
        <w:rPr>
          <w:rFonts w:ascii="Helvetica" w:eastAsia="Calibri" w:hAnsi="Helvetica" w:cs="Helvetica"/>
          <w:lang w:val="en-GB"/>
        </w:rPr>
        <w:t xml:space="preserve"> </w:t>
      </w:r>
      <w:r w:rsidR="003870FB" w:rsidRPr="008A3778">
        <w:rPr>
          <w:rFonts w:ascii="Helvetica" w:eastAsia="Calibri" w:hAnsi="Helvetica" w:cs="Helvetica"/>
          <w:lang w:val="en-GB"/>
        </w:rPr>
        <w:t>Collatz</w:t>
      </w:r>
      <w:r w:rsidRPr="008A3778">
        <w:rPr>
          <w:rFonts w:ascii="Helvetica" w:eastAsia="Calibri" w:hAnsi="Helvetica" w:cs="Helvetica"/>
          <w:lang w:val="en-GB"/>
        </w:rPr>
        <w:t xml:space="preserve"> was retired or retrenched features prominently</w:t>
      </w:r>
      <w:r w:rsidR="003B423B" w:rsidRPr="008A3778">
        <w:rPr>
          <w:rFonts w:ascii="Helvetica" w:eastAsia="Calibri" w:hAnsi="Helvetica" w:cs="Helvetica"/>
          <w:lang w:val="en-GB"/>
        </w:rPr>
        <w:t xml:space="preserve">, </w:t>
      </w:r>
      <w:r w:rsidR="00EA36F9" w:rsidRPr="008A3778">
        <w:rPr>
          <w:rFonts w:ascii="Helvetica" w:eastAsia="Calibri" w:hAnsi="Helvetica" w:cs="Helvetica"/>
          <w:lang w:val="en-GB"/>
        </w:rPr>
        <w:t>and so too the specific label to be attached to his employment exit event. These issues are heavily contested</w:t>
      </w:r>
      <w:r w:rsidR="004C153F" w:rsidRPr="008A3778">
        <w:rPr>
          <w:rFonts w:ascii="Helvetica" w:eastAsia="Calibri" w:hAnsi="Helvetica" w:cs="Helvetica"/>
          <w:lang w:val="en-GB"/>
        </w:rPr>
        <w:t xml:space="preserve"> in the section 30P application</w:t>
      </w:r>
      <w:r w:rsidRPr="008A3778">
        <w:rPr>
          <w:rFonts w:ascii="Helvetica" w:eastAsia="Calibri" w:hAnsi="Helvetica" w:cs="Helvetica"/>
          <w:lang w:val="en-GB"/>
        </w:rPr>
        <w:t xml:space="preserve">. </w:t>
      </w:r>
    </w:p>
    <w:p w14:paraId="08E79520" w14:textId="2D894065" w:rsidR="00777AA3" w:rsidRPr="008A3778" w:rsidRDefault="008C46DD" w:rsidP="002A1543">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The appellants argue that because </w:t>
      </w:r>
      <w:r w:rsidR="002A1543" w:rsidRPr="008A3778">
        <w:rPr>
          <w:rFonts w:ascii="Helvetica" w:eastAsia="Calibri" w:hAnsi="Helvetica" w:cs="Helvetica"/>
          <w:lang w:val="en-GB"/>
        </w:rPr>
        <w:t xml:space="preserve">Mr. Collatz </w:t>
      </w:r>
      <w:r w:rsidRPr="008A3778">
        <w:rPr>
          <w:rFonts w:ascii="Helvetica" w:eastAsia="Calibri" w:hAnsi="Helvetica" w:cs="Helvetica"/>
          <w:lang w:val="en-GB"/>
        </w:rPr>
        <w:t>retired, the ninth respondent’s rule 5 applies</w:t>
      </w:r>
      <w:r w:rsidR="00AA2F0F" w:rsidRPr="008A3778">
        <w:rPr>
          <w:rFonts w:ascii="Helvetica" w:eastAsia="Calibri" w:hAnsi="Helvetica" w:cs="Helvetica"/>
          <w:lang w:val="en-GB"/>
        </w:rPr>
        <w:t>,</w:t>
      </w:r>
      <w:r w:rsidRPr="008A3778">
        <w:rPr>
          <w:rFonts w:ascii="Helvetica" w:eastAsia="Calibri" w:hAnsi="Helvetica" w:cs="Helvetica"/>
          <w:lang w:val="en-GB"/>
        </w:rPr>
        <w:t xml:space="preserve"> not its rule 7. Because rule 5 applies, the appellants argue that the withdrawal benefit accrued to Mr</w:t>
      </w:r>
      <w:r w:rsidR="004C153F" w:rsidRPr="008A3778">
        <w:rPr>
          <w:rFonts w:ascii="Helvetica" w:eastAsia="Calibri" w:hAnsi="Helvetica" w:cs="Helvetica"/>
          <w:lang w:val="en-GB"/>
        </w:rPr>
        <w:t>.</w:t>
      </w:r>
      <w:r w:rsidRPr="008A3778">
        <w:rPr>
          <w:rFonts w:ascii="Helvetica" w:eastAsia="Calibri" w:hAnsi="Helvetica" w:cs="Helvetica"/>
          <w:lang w:val="en-GB"/>
        </w:rPr>
        <w:t xml:space="preserve"> </w:t>
      </w:r>
      <w:r w:rsidR="003870FB" w:rsidRPr="008A3778">
        <w:rPr>
          <w:rFonts w:ascii="Helvetica" w:eastAsia="Calibri" w:hAnsi="Helvetica" w:cs="Helvetica"/>
          <w:lang w:val="en-GB"/>
        </w:rPr>
        <w:t>Collatz</w:t>
      </w:r>
      <w:r w:rsidRPr="008A3778">
        <w:rPr>
          <w:rFonts w:ascii="Helvetica" w:eastAsia="Calibri" w:hAnsi="Helvetica" w:cs="Helvetica"/>
          <w:lang w:val="en-GB"/>
        </w:rPr>
        <w:t xml:space="preserve"> on his retirement and, as such, it formed part of the joint estate. Rule 7 regulates the position if a member exits the services of the</w:t>
      </w:r>
      <w:r w:rsidR="00F12843" w:rsidRPr="008A3778">
        <w:rPr>
          <w:rFonts w:ascii="Helvetica" w:eastAsia="Calibri" w:hAnsi="Helvetica" w:cs="Helvetica"/>
          <w:lang w:val="en-GB"/>
        </w:rPr>
        <w:t>ir</w:t>
      </w:r>
      <w:r w:rsidRPr="008A3778">
        <w:rPr>
          <w:rFonts w:ascii="Helvetica" w:eastAsia="Calibri" w:hAnsi="Helvetica" w:cs="Helvetica"/>
          <w:lang w:val="en-GB"/>
        </w:rPr>
        <w:t xml:space="preserve"> employer before “</w:t>
      </w:r>
      <w:r w:rsidRPr="008A3778">
        <w:rPr>
          <w:rFonts w:ascii="Helvetica" w:eastAsia="Calibri" w:hAnsi="Helvetica" w:cs="Helvetica"/>
          <w:i/>
          <w:iCs/>
          <w:lang w:val="en-GB"/>
        </w:rPr>
        <w:t>Normal Retirement Date</w:t>
      </w:r>
      <w:r w:rsidRPr="008A3778">
        <w:rPr>
          <w:rFonts w:ascii="Helvetica" w:eastAsia="Calibri" w:hAnsi="Helvetica" w:cs="Helvetica"/>
          <w:lang w:val="en-GB"/>
        </w:rPr>
        <w:t>”. As mentioned elsewhere, rule 7.2.2 entitles and enables Mr</w:t>
      </w:r>
      <w:r w:rsidR="004C153F" w:rsidRPr="008A3778">
        <w:rPr>
          <w:rFonts w:ascii="Helvetica" w:eastAsia="Calibri" w:hAnsi="Helvetica" w:cs="Helvetica"/>
          <w:lang w:val="en-GB"/>
        </w:rPr>
        <w:t xml:space="preserve">. </w:t>
      </w:r>
      <w:r w:rsidR="003870FB" w:rsidRPr="008A3778">
        <w:rPr>
          <w:rFonts w:ascii="Helvetica" w:eastAsia="Calibri" w:hAnsi="Helvetica" w:cs="Helvetica"/>
          <w:lang w:val="en-GB"/>
        </w:rPr>
        <w:t>Collatz</w:t>
      </w:r>
      <w:r w:rsidRPr="008A3778">
        <w:rPr>
          <w:rFonts w:ascii="Helvetica" w:eastAsia="Calibri" w:hAnsi="Helvetica" w:cs="Helvetica"/>
          <w:lang w:val="en-GB"/>
        </w:rPr>
        <w:t xml:space="preserve"> to transfer the withdrawal benefit to the </w:t>
      </w:r>
      <w:r w:rsidR="00BB0C87" w:rsidRPr="008A3778">
        <w:rPr>
          <w:rFonts w:ascii="Helvetica" w:eastAsia="Calibri" w:hAnsi="Helvetica" w:cs="Helvetica"/>
          <w:lang w:val="en-GB"/>
        </w:rPr>
        <w:t>annuity</w:t>
      </w:r>
      <w:r w:rsidRPr="008A3778">
        <w:rPr>
          <w:rFonts w:ascii="Helvetica" w:eastAsia="Calibri" w:hAnsi="Helvetica" w:cs="Helvetica"/>
          <w:lang w:val="en-GB"/>
        </w:rPr>
        <w:t xml:space="preserve"> fund without it having accrued to him. </w:t>
      </w:r>
    </w:p>
    <w:p w14:paraId="27CB0CEE" w14:textId="2B1BDAA4" w:rsidR="001E4627" w:rsidRPr="008A3778" w:rsidRDefault="00777AA3" w:rsidP="001E462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first and second respondents join issue with the appellants</w:t>
      </w:r>
      <w:r w:rsidR="00CA3644" w:rsidRPr="008A3778">
        <w:rPr>
          <w:rFonts w:ascii="Helvetica" w:eastAsia="Calibri" w:hAnsi="Helvetica" w:cs="Helvetica"/>
          <w:lang w:val="en-GB"/>
        </w:rPr>
        <w:t xml:space="preserve">. Their </w:t>
      </w:r>
      <w:r w:rsidRPr="008A3778">
        <w:rPr>
          <w:rFonts w:ascii="Helvetica" w:eastAsia="Calibri" w:hAnsi="Helvetica" w:cs="Helvetica"/>
          <w:lang w:val="en-GB"/>
        </w:rPr>
        <w:t>factually supported account</w:t>
      </w:r>
      <w:r w:rsidR="004C153F" w:rsidRPr="008A3778">
        <w:rPr>
          <w:rFonts w:ascii="Helvetica" w:eastAsia="Calibri" w:hAnsi="Helvetica" w:cs="Helvetica"/>
          <w:lang w:val="en-GB"/>
        </w:rPr>
        <w:t xml:space="preserve"> </w:t>
      </w:r>
      <w:r w:rsidR="00AC76FB">
        <w:rPr>
          <w:rFonts w:ascii="Helvetica" w:eastAsia="Calibri" w:hAnsi="Helvetica" w:cs="Helvetica"/>
          <w:lang w:val="en-GB"/>
        </w:rPr>
        <w:t>–</w:t>
      </w:r>
      <w:r w:rsidRPr="008A3778">
        <w:rPr>
          <w:rFonts w:ascii="Helvetica" w:eastAsia="Calibri" w:hAnsi="Helvetica" w:cs="Helvetica"/>
          <w:lang w:val="en-GB"/>
        </w:rPr>
        <w:t xml:space="preserve"> including</w:t>
      </w:r>
      <w:r w:rsidR="00AC76FB">
        <w:rPr>
          <w:rFonts w:ascii="Helvetica" w:eastAsia="Calibri" w:hAnsi="Helvetica" w:cs="Helvetica"/>
          <w:lang w:val="en-GB"/>
        </w:rPr>
        <w:t xml:space="preserve"> </w:t>
      </w:r>
      <w:r w:rsidRPr="008A3778">
        <w:rPr>
          <w:rFonts w:ascii="Helvetica" w:eastAsia="Calibri" w:hAnsi="Helvetica" w:cs="Helvetica"/>
          <w:lang w:val="en-GB"/>
        </w:rPr>
        <w:t>references to documents produced by the appellants and</w:t>
      </w:r>
      <w:r w:rsidR="00CA3644" w:rsidRPr="008A3778">
        <w:rPr>
          <w:rFonts w:ascii="Helvetica" w:eastAsia="Calibri" w:hAnsi="Helvetica" w:cs="Helvetica"/>
          <w:lang w:val="en-GB"/>
        </w:rPr>
        <w:t xml:space="preserve"> correspondence from </w:t>
      </w:r>
      <w:r w:rsidRPr="008A3778">
        <w:rPr>
          <w:rFonts w:ascii="Helvetica" w:eastAsia="Calibri" w:hAnsi="Helvetica" w:cs="Helvetica"/>
          <w:lang w:val="en-GB"/>
        </w:rPr>
        <w:t>the first</w:t>
      </w:r>
      <w:r w:rsidR="00CA3644" w:rsidRPr="008A3778">
        <w:rPr>
          <w:rFonts w:ascii="Helvetica" w:eastAsia="Calibri" w:hAnsi="Helvetica" w:cs="Helvetica"/>
          <w:lang w:val="en-GB"/>
        </w:rPr>
        <w:t xml:space="preserve"> appellant’s </w:t>
      </w:r>
      <w:r w:rsidRPr="008A3778">
        <w:rPr>
          <w:rFonts w:ascii="Helvetica" w:eastAsia="Calibri" w:hAnsi="Helvetica" w:cs="Helvetica"/>
          <w:lang w:val="en-GB"/>
        </w:rPr>
        <w:t>then attorney</w:t>
      </w:r>
      <w:r w:rsidR="004C153F" w:rsidRPr="008A3778">
        <w:rPr>
          <w:rFonts w:ascii="Helvetica" w:eastAsia="Calibri" w:hAnsi="Helvetica" w:cs="Helvetica"/>
          <w:lang w:val="en-GB"/>
        </w:rPr>
        <w:t xml:space="preserve"> -</w:t>
      </w:r>
      <w:r w:rsidRPr="008A3778">
        <w:rPr>
          <w:rFonts w:ascii="Helvetica" w:eastAsia="Calibri" w:hAnsi="Helvetica" w:cs="Helvetica"/>
          <w:lang w:val="en-GB"/>
        </w:rPr>
        <w:t xml:space="preserve"> culminates in the</w:t>
      </w:r>
      <w:r w:rsidR="00CA3644" w:rsidRPr="008A3778">
        <w:rPr>
          <w:rFonts w:ascii="Helvetica" w:eastAsia="Calibri" w:hAnsi="Helvetica" w:cs="Helvetica"/>
          <w:lang w:val="en-GB"/>
        </w:rPr>
        <w:t>ir</w:t>
      </w:r>
      <w:r w:rsidRPr="008A3778">
        <w:rPr>
          <w:rFonts w:ascii="Helvetica" w:eastAsia="Calibri" w:hAnsi="Helvetica" w:cs="Helvetica"/>
          <w:lang w:val="en-GB"/>
        </w:rPr>
        <w:t xml:space="preserve"> conclusion that “</w:t>
      </w:r>
      <w:r w:rsidRPr="008A3778">
        <w:rPr>
          <w:rFonts w:ascii="Helvetica" w:eastAsia="Calibri" w:hAnsi="Helvetica" w:cs="Helvetica"/>
          <w:i/>
          <w:iCs/>
          <w:lang w:val="en-GB"/>
        </w:rPr>
        <w:t>the funds never left the Ninth’s Respondent’s account and at all times remain</w:t>
      </w:r>
      <w:r w:rsidR="00072071">
        <w:rPr>
          <w:rFonts w:ascii="Helvetica" w:eastAsia="Calibri" w:hAnsi="Helvetica" w:cs="Helvetica"/>
          <w:i/>
          <w:iCs/>
          <w:lang w:val="en-GB"/>
        </w:rPr>
        <w:t>ed</w:t>
      </w:r>
      <w:r w:rsidRPr="008A3778">
        <w:rPr>
          <w:rFonts w:ascii="Helvetica" w:eastAsia="Calibri" w:hAnsi="Helvetica" w:cs="Helvetica"/>
          <w:i/>
          <w:iCs/>
          <w:lang w:val="en-GB"/>
        </w:rPr>
        <w:t xml:space="preserve"> with the Ninth Respondent until such time as it was paid over to the Second Respondent, </w:t>
      </w:r>
      <w:r w:rsidRPr="008A3778">
        <w:rPr>
          <w:rFonts w:ascii="Helvetica" w:eastAsia="Calibri" w:hAnsi="Helvetica" w:cs="Helvetica"/>
          <w:i/>
          <w:iCs/>
          <w:lang w:val="en-GB"/>
        </w:rPr>
        <w:lastRenderedPageBreak/>
        <w:t>following Mr Collatz’s election, on or about 1 October 2008</w:t>
      </w:r>
      <w:r w:rsidRPr="008A3778">
        <w:rPr>
          <w:rFonts w:ascii="Helvetica" w:eastAsia="Calibri" w:hAnsi="Helvetica" w:cs="Helvetica"/>
          <w:lang w:val="en-GB"/>
        </w:rPr>
        <w:t xml:space="preserve">”. </w:t>
      </w:r>
      <w:r w:rsidR="004C153F" w:rsidRPr="008A3778">
        <w:rPr>
          <w:rFonts w:ascii="Helvetica" w:eastAsia="Calibri" w:hAnsi="Helvetica" w:cs="Helvetica"/>
          <w:lang w:val="en-GB"/>
        </w:rPr>
        <w:t>As already mentioned, t</w:t>
      </w:r>
      <w:r w:rsidRPr="008A3778">
        <w:rPr>
          <w:rFonts w:ascii="Helvetica" w:eastAsia="Calibri" w:hAnsi="Helvetica" w:cs="Helvetica"/>
          <w:lang w:val="en-GB"/>
        </w:rPr>
        <w:t xml:space="preserve">he ninth respondent’s account, </w:t>
      </w:r>
      <w:r w:rsidR="001E4627" w:rsidRPr="008A3778">
        <w:rPr>
          <w:rFonts w:ascii="Helvetica" w:eastAsia="Calibri" w:hAnsi="Helvetica" w:cs="Helvetica"/>
          <w:lang w:val="en-GB"/>
        </w:rPr>
        <w:t xml:space="preserve">which </w:t>
      </w:r>
      <w:r w:rsidR="004C153F" w:rsidRPr="008A3778">
        <w:rPr>
          <w:rFonts w:ascii="Helvetica" w:eastAsia="Calibri" w:hAnsi="Helvetica" w:cs="Helvetica"/>
          <w:lang w:val="en-GB"/>
        </w:rPr>
        <w:t>is</w:t>
      </w:r>
      <w:r w:rsidR="001E4627" w:rsidRPr="008A3778">
        <w:rPr>
          <w:rFonts w:ascii="Helvetica" w:eastAsia="Calibri" w:hAnsi="Helvetica" w:cs="Helvetica"/>
          <w:lang w:val="en-GB"/>
        </w:rPr>
        <w:t xml:space="preserve"> </w:t>
      </w:r>
      <w:r w:rsidRPr="008A3778">
        <w:rPr>
          <w:rFonts w:ascii="Helvetica" w:eastAsia="Calibri" w:hAnsi="Helvetica" w:cs="Helvetica"/>
          <w:lang w:val="en-GB"/>
        </w:rPr>
        <w:t>not unsustainably disputed, is that the withdrawal benefit (factually and legally) remained its asset until Mr</w:t>
      </w:r>
      <w:r w:rsidR="00823627">
        <w:rPr>
          <w:rFonts w:ascii="Helvetica" w:eastAsia="Calibri" w:hAnsi="Helvetica" w:cs="Helvetica"/>
          <w:lang w:val="en-GB"/>
        </w:rPr>
        <w:t>.</w:t>
      </w:r>
      <w:r w:rsidRPr="008A3778">
        <w:rPr>
          <w:rFonts w:ascii="Helvetica" w:eastAsia="Calibri" w:hAnsi="Helvetica" w:cs="Helvetica"/>
          <w:lang w:val="en-GB"/>
        </w:rPr>
        <w:t xml:space="preserve"> Collatz exercised his rule 7.2 election</w:t>
      </w:r>
      <w:r w:rsidR="00072071">
        <w:rPr>
          <w:rFonts w:ascii="Helvetica" w:eastAsia="Calibri" w:hAnsi="Helvetica" w:cs="Helvetica"/>
          <w:lang w:val="en-GB"/>
        </w:rPr>
        <w:t>, and this election was implemented</w:t>
      </w:r>
      <w:r w:rsidRPr="008A3778">
        <w:rPr>
          <w:rFonts w:ascii="Helvetica" w:eastAsia="Calibri" w:hAnsi="Helvetica" w:cs="Helvetica"/>
          <w:lang w:val="en-GB"/>
        </w:rPr>
        <w:t xml:space="preserve">. </w:t>
      </w:r>
    </w:p>
    <w:p w14:paraId="1B33CD07" w14:textId="5413EB9F" w:rsidR="001E4627" w:rsidRPr="008A3778" w:rsidRDefault="001E4627" w:rsidP="001E4627">
      <w:pPr>
        <w:numPr>
          <w:ilvl w:val="0"/>
          <w:numId w:val="1"/>
        </w:numPr>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A further difficulty for the appellants is that it is clear, and not seriously or genuinely in dispute, that Mr</w:t>
      </w:r>
      <w:r w:rsidR="00EC3037">
        <w:rPr>
          <w:rFonts w:ascii="Helvetica" w:eastAsia="Calibri" w:hAnsi="Helvetica" w:cs="Helvetica"/>
          <w:lang w:val="en-GB"/>
        </w:rPr>
        <w:t>.</w:t>
      </w:r>
      <w:r w:rsidRPr="008A3778">
        <w:rPr>
          <w:rFonts w:ascii="Helvetica" w:eastAsia="Calibri" w:hAnsi="Helvetica" w:cs="Helvetica"/>
          <w:lang w:val="en-GB"/>
        </w:rPr>
        <w:t xml:space="preserve"> Collatz and his previous employer elected and agreed to treat his exit event as a retrenchment. The fact that this may have been motivated for taxation reasons is irrelevant for purposes of </w:t>
      </w:r>
      <w:r w:rsidR="005557F8" w:rsidRPr="008A3778">
        <w:rPr>
          <w:rFonts w:ascii="Helvetica" w:eastAsia="Calibri" w:hAnsi="Helvetica" w:cs="Helvetica"/>
          <w:lang w:val="en-GB"/>
        </w:rPr>
        <w:t xml:space="preserve">the section 30P application, and as such </w:t>
      </w:r>
      <w:r w:rsidRPr="008A3778">
        <w:rPr>
          <w:rFonts w:ascii="Helvetica" w:eastAsia="Calibri" w:hAnsi="Helvetica" w:cs="Helvetica"/>
          <w:lang w:val="en-GB"/>
        </w:rPr>
        <w:t xml:space="preserve">this appeal. It is </w:t>
      </w:r>
      <w:r w:rsidR="003664FE" w:rsidRPr="008A3778">
        <w:rPr>
          <w:rFonts w:ascii="Helvetica" w:eastAsia="Calibri" w:hAnsi="Helvetica" w:cs="Helvetica"/>
          <w:lang w:val="en-GB"/>
        </w:rPr>
        <w:t xml:space="preserve">also </w:t>
      </w:r>
      <w:r w:rsidRPr="008A3778">
        <w:rPr>
          <w:rFonts w:ascii="Helvetica" w:eastAsia="Calibri" w:hAnsi="Helvetica" w:cs="Helvetica"/>
          <w:lang w:val="en-GB"/>
        </w:rPr>
        <w:t xml:space="preserve">not disputed that </w:t>
      </w:r>
      <w:r w:rsidR="005557F8" w:rsidRPr="008A3778">
        <w:rPr>
          <w:rFonts w:ascii="Helvetica" w:eastAsia="Calibri" w:hAnsi="Helvetica" w:cs="Helvetica"/>
          <w:lang w:val="en-GB"/>
        </w:rPr>
        <w:t xml:space="preserve">when exiting, </w:t>
      </w:r>
      <w:r w:rsidRPr="008A3778">
        <w:rPr>
          <w:rFonts w:ascii="Helvetica" w:eastAsia="Calibri" w:hAnsi="Helvetica" w:cs="Helvetica"/>
          <w:lang w:val="en-GB"/>
        </w:rPr>
        <w:t>Mr</w:t>
      </w:r>
      <w:r w:rsidR="00EC3037">
        <w:rPr>
          <w:rFonts w:ascii="Helvetica" w:eastAsia="Calibri" w:hAnsi="Helvetica" w:cs="Helvetica"/>
          <w:lang w:val="en-GB"/>
        </w:rPr>
        <w:t>.</w:t>
      </w:r>
      <w:r w:rsidRPr="008A3778">
        <w:rPr>
          <w:rFonts w:ascii="Helvetica" w:eastAsia="Calibri" w:hAnsi="Helvetica" w:cs="Helvetica"/>
          <w:lang w:val="en-GB"/>
        </w:rPr>
        <w:t xml:space="preserve"> Collatz had not yet reached the mandatory retirement age of 65. Given the contractual relationship between Mr</w:t>
      </w:r>
      <w:r w:rsidR="00EC3037">
        <w:rPr>
          <w:rFonts w:ascii="Helvetica" w:eastAsia="Calibri" w:hAnsi="Helvetica" w:cs="Helvetica"/>
          <w:lang w:val="en-GB"/>
        </w:rPr>
        <w:t>.</w:t>
      </w:r>
      <w:r w:rsidRPr="008A3778">
        <w:rPr>
          <w:rFonts w:ascii="Helvetica" w:eastAsia="Calibri" w:hAnsi="Helvetica" w:cs="Helvetica"/>
          <w:lang w:val="en-GB"/>
        </w:rPr>
        <w:t xml:space="preserve"> Collatz and his previous employer,</w:t>
      </w:r>
      <w:r w:rsidR="005557F8" w:rsidRPr="008A3778">
        <w:rPr>
          <w:rFonts w:ascii="Helvetica" w:eastAsia="Calibri" w:hAnsi="Helvetica" w:cs="Helvetica"/>
          <w:lang w:val="en-GB"/>
        </w:rPr>
        <w:t xml:space="preserve"> it was open for them to </w:t>
      </w:r>
      <w:r w:rsidRPr="008A3778">
        <w:rPr>
          <w:rFonts w:ascii="Helvetica" w:eastAsia="Calibri" w:hAnsi="Helvetica" w:cs="Helvetica"/>
          <w:lang w:val="en-GB"/>
        </w:rPr>
        <w:t xml:space="preserve">agree on the exit event and </w:t>
      </w:r>
      <w:r w:rsidR="005557F8" w:rsidRPr="008A3778">
        <w:rPr>
          <w:rFonts w:ascii="Helvetica" w:eastAsia="Calibri" w:hAnsi="Helvetica" w:cs="Helvetica"/>
          <w:lang w:val="en-GB"/>
        </w:rPr>
        <w:t xml:space="preserve">the specific </w:t>
      </w:r>
      <w:r w:rsidRPr="008A3778">
        <w:rPr>
          <w:rFonts w:ascii="Helvetica" w:eastAsia="Calibri" w:hAnsi="Helvetica" w:cs="Helvetica"/>
          <w:lang w:val="en-GB"/>
        </w:rPr>
        <w:t>label</w:t>
      </w:r>
      <w:r w:rsidR="005557F8" w:rsidRPr="008A3778">
        <w:rPr>
          <w:rFonts w:ascii="Helvetica" w:eastAsia="Calibri" w:hAnsi="Helvetica" w:cs="Helvetica"/>
          <w:lang w:val="en-GB"/>
        </w:rPr>
        <w:t xml:space="preserve"> to be attached to </w:t>
      </w:r>
      <w:r w:rsidRPr="008A3778">
        <w:rPr>
          <w:rFonts w:ascii="Helvetica" w:eastAsia="Calibri" w:hAnsi="Helvetica" w:cs="Helvetica"/>
          <w:lang w:val="en-GB"/>
        </w:rPr>
        <w:t>the termination of</w:t>
      </w:r>
      <w:r w:rsidR="005557F8" w:rsidRPr="008A3778">
        <w:rPr>
          <w:rFonts w:ascii="Helvetica" w:eastAsia="Calibri" w:hAnsi="Helvetica" w:cs="Helvetica"/>
          <w:lang w:val="en-GB"/>
        </w:rPr>
        <w:t xml:space="preserve"> their </w:t>
      </w:r>
      <w:r w:rsidRPr="008A3778">
        <w:rPr>
          <w:rFonts w:ascii="Helvetica" w:eastAsia="Calibri" w:hAnsi="Helvetica" w:cs="Helvetica"/>
          <w:lang w:val="en-GB"/>
        </w:rPr>
        <w:t xml:space="preserve">relationship. </w:t>
      </w:r>
    </w:p>
    <w:p w14:paraId="2863A266" w14:textId="5C85DF02" w:rsidR="003664FE" w:rsidRPr="008A3778" w:rsidRDefault="003664FE" w:rsidP="003664FE">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appellants</w:t>
      </w:r>
      <w:r w:rsidR="004C153F" w:rsidRPr="008A3778">
        <w:rPr>
          <w:rFonts w:ascii="Helvetica" w:eastAsia="Calibri" w:hAnsi="Helvetica" w:cs="Helvetica"/>
          <w:lang w:val="en-GB"/>
        </w:rPr>
        <w:t>,</w:t>
      </w:r>
      <w:r w:rsidRPr="008A3778">
        <w:rPr>
          <w:rFonts w:ascii="Helvetica" w:eastAsia="Calibri" w:hAnsi="Helvetica" w:cs="Helvetica"/>
          <w:lang w:val="en-GB"/>
        </w:rPr>
        <w:t xml:space="preserve"> however</w:t>
      </w:r>
      <w:r w:rsidR="004C153F" w:rsidRPr="008A3778">
        <w:rPr>
          <w:rFonts w:ascii="Helvetica" w:eastAsia="Calibri" w:hAnsi="Helvetica" w:cs="Helvetica"/>
          <w:lang w:val="en-GB"/>
        </w:rPr>
        <w:t>,</w:t>
      </w:r>
      <w:r w:rsidRPr="008A3778">
        <w:rPr>
          <w:rFonts w:ascii="Helvetica" w:eastAsia="Calibri" w:hAnsi="Helvetica" w:cs="Helvetica"/>
          <w:lang w:val="en-GB"/>
        </w:rPr>
        <w:t xml:space="preserve"> argue that it is trite that a factual exit event from employment which enables a member of a retirement fund to exit the fund cannot be changed or negotiated once it has occurred. The appellants however provide no authority to support this “trite” position. The submission, in any event, ignores that notwithstanding the categorisation of </w:t>
      </w:r>
      <w:r w:rsidR="004C153F" w:rsidRPr="008A3778">
        <w:rPr>
          <w:rFonts w:ascii="Helvetica" w:eastAsia="Calibri" w:hAnsi="Helvetica" w:cs="Helvetica"/>
          <w:lang w:val="en-GB"/>
        </w:rPr>
        <w:t xml:space="preserve">an </w:t>
      </w:r>
      <w:r w:rsidRPr="008A3778">
        <w:rPr>
          <w:rFonts w:ascii="Helvetica" w:eastAsia="Calibri" w:hAnsi="Helvetica" w:cs="Helvetica"/>
          <w:lang w:val="en-GB"/>
        </w:rPr>
        <w:t xml:space="preserve">exit event, the appellant remained, at all material times, a member of the ninth respondent. </w:t>
      </w:r>
    </w:p>
    <w:p w14:paraId="7BB2CD36" w14:textId="5E2CDAB3" w:rsidR="009D7FCD" w:rsidRPr="008A3778" w:rsidRDefault="009D7FCD" w:rsidP="005D0423">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Considering the above, I do not believe that the appellants</w:t>
      </w:r>
      <w:r w:rsidR="008A10B4" w:rsidRPr="008A3778">
        <w:rPr>
          <w:rFonts w:ascii="Helvetica" w:eastAsia="Calibri" w:hAnsi="Helvetica" w:cs="Helvetica"/>
          <w:lang w:val="en-GB"/>
        </w:rPr>
        <w:t xml:space="preserve"> have</w:t>
      </w:r>
      <w:r w:rsidRPr="008A3778">
        <w:rPr>
          <w:rFonts w:ascii="Helvetica" w:eastAsia="Calibri" w:hAnsi="Helvetica" w:cs="Helvetica"/>
          <w:lang w:val="en-GB"/>
        </w:rPr>
        <w:t xml:space="preserve"> successfully discharged their onus </w:t>
      </w:r>
      <w:r w:rsidR="008A10B4" w:rsidRPr="008A3778">
        <w:rPr>
          <w:rFonts w:ascii="Helvetica" w:eastAsia="Calibri" w:hAnsi="Helvetica" w:cs="Helvetica"/>
          <w:lang w:val="en-GB"/>
        </w:rPr>
        <w:t>of</w:t>
      </w:r>
      <w:r w:rsidRPr="008A3778">
        <w:rPr>
          <w:rFonts w:ascii="Helvetica" w:eastAsia="Calibri" w:hAnsi="Helvetica" w:cs="Helvetica"/>
          <w:lang w:val="en-GB"/>
        </w:rPr>
        <w:t xml:space="preserve"> establishing that Mr Collatz’s exit event</w:t>
      </w:r>
      <w:r w:rsidR="008A10B4" w:rsidRPr="008A3778">
        <w:rPr>
          <w:rFonts w:ascii="Helvetica" w:eastAsia="Calibri" w:hAnsi="Helvetica" w:cs="Helvetica"/>
          <w:lang w:val="en-GB"/>
        </w:rPr>
        <w:t>, for purposes of the section 30P application, f</w:t>
      </w:r>
      <w:r w:rsidR="003664FE" w:rsidRPr="008A3778">
        <w:rPr>
          <w:rFonts w:ascii="Helvetica" w:eastAsia="Calibri" w:hAnsi="Helvetica" w:cs="Helvetica"/>
          <w:lang w:val="en-GB"/>
        </w:rPr>
        <w:t>a</w:t>
      </w:r>
      <w:r w:rsidR="008A10B4" w:rsidRPr="008A3778">
        <w:rPr>
          <w:rFonts w:ascii="Helvetica" w:eastAsia="Calibri" w:hAnsi="Helvetica" w:cs="Helvetica"/>
          <w:lang w:val="en-GB"/>
        </w:rPr>
        <w:t>ll</w:t>
      </w:r>
      <w:r w:rsidR="003664FE" w:rsidRPr="008A3778">
        <w:rPr>
          <w:rFonts w:ascii="Helvetica" w:eastAsia="Calibri" w:hAnsi="Helvetica" w:cs="Helvetica"/>
          <w:lang w:val="en-GB"/>
        </w:rPr>
        <w:t>s</w:t>
      </w:r>
      <w:r w:rsidR="008A10B4" w:rsidRPr="008A3778">
        <w:rPr>
          <w:rFonts w:ascii="Helvetica" w:eastAsia="Calibri" w:hAnsi="Helvetica" w:cs="Helvetica"/>
          <w:lang w:val="en-GB"/>
        </w:rPr>
        <w:t xml:space="preserve"> to be </w:t>
      </w:r>
      <w:r w:rsidR="003664FE" w:rsidRPr="008A3778">
        <w:rPr>
          <w:rFonts w:ascii="Helvetica" w:eastAsia="Calibri" w:hAnsi="Helvetica" w:cs="Helvetica"/>
          <w:lang w:val="en-GB"/>
        </w:rPr>
        <w:t xml:space="preserve">regarded and </w:t>
      </w:r>
      <w:r w:rsidR="008A10B4" w:rsidRPr="008A3778">
        <w:rPr>
          <w:rFonts w:ascii="Helvetica" w:eastAsia="Calibri" w:hAnsi="Helvetica" w:cs="Helvetica"/>
          <w:lang w:val="en-GB"/>
        </w:rPr>
        <w:t>treated as a retirement, as opposed to a retrenchment.</w:t>
      </w:r>
    </w:p>
    <w:p w14:paraId="1E4430E1" w14:textId="088158AA" w:rsidR="00A94E55" w:rsidRPr="008A3778" w:rsidRDefault="008A10B4" w:rsidP="005D0423">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Even if I</w:t>
      </w:r>
      <w:r w:rsidR="003664FE" w:rsidRPr="008A3778">
        <w:rPr>
          <w:rFonts w:ascii="Helvetica" w:eastAsia="Calibri" w:hAnsi="Helvetica" w:cs="Helvetica"/>
          <w:lang w:val="en-GB"/>
        </w:rPr>
        <w:t xml:space="preserve"> a</w:t>
      </w:r>
      <w:r w:rsidRPr="008A3778">
        <w:rPr>
          <w:rFonts w:ascii="Helvetica" w:eastAsia="Calibri" w:hAnsi="Helvetica" w:cs="Helvetica"/>
          <w:lang w:val="en-GB"/>
        </w:rPr>
        <w:t>m wrong in the above regard</w:t>
      </w:r>
      <w:r w:rsidR="003664FE" w:rsidRPr="008A3778">
        <w:rPr>
          <w:rFonts w:ascii="Helvetica" w:eastAsia="Calibri" w:hAnsi="Helvetica" w:cs="Helvetica"/>
          <w:lang w:val="en-GB"/>
        </w:rPr>
        <w:t>s</w:t>
      </w:r>
      <w:r w:rsidRPr="008A3778">
        <w:rPr>
          <w:rFonts w:ascii="Helvetica" w:eastAsia="Calibri" w:hAnsi="Helvetica" w:cs="Helvetica"/>
          <w:lang w:val="en-GB"/>
        </w:rPr>
        <w:t>,</w:t>
      </w:r>
      <w:r w:rsidR="009D7FCD" w:rsidRPr="008A3778">
        <w:rPr>
          <w:rFonts w:ascii="Helvetica" w:eastAsia="Calibri" w:hAnsi="Helvetica" w:cs="Helvetica"/>
          <w:lang w:val="en-GB"/>
        </w:rPr>
        <w:t xml:space="preserve"> </w:t>
      </w:r>
      <w:r w:rsidR="00A94E55" w:rsidRPr="008A3778">
        <w:rPr>
          <w:rFonts w:ascii="Helvetica" w:eastAsia="Calibri" w:hAnsi="Helvetica" w:cs="Helvetica"/>
          <w:lang w:val="en-GB"/>
        </w:rPr>
        <w:t xml:space="preserve">two additional considerations </w:t>
      </w:r>
      <w:r w:rsidR="003664FE" w:rsidRPr="008A3778">
        <w:rPr>
          <w:rFonts w:ascii="Helvetica" w:eastAsia="Calibri" w:hAnsi="Helvetica" w:cs="Helvetica"/>
          <w:lang w:val="en-GB"/>
        </w:rPr>
        <w:t>militate</w:t>
      </w:r>
      <w:r w:rsidR="00A94E55" w:rsidRPr="008A3778">
        <w:rPr>
          <w:rFonts w:ascii="Helvetica" w:eastAsia="Calibri" w:hAnsi="Helvetica" w:cs="Helvetica"/>
          <w:lang w:val="en-GB"/>
        </w:rPr>
        <w:t xml:space="preserve"> against the appellants</w:t>
      </w:r>
      <w:r w:rsidR="003664FE" w:rsidRPr="008A3778">
        <w:rPr>
          <w:rFonts w:ascii="Helvetica" w:eastAsia="Calibri" w:hAnsi="Helvetica" w:cs="Helvetica"/>
          <w:lang w:val="en-GB"/>
        </w:rPr>
        <w:t xml:space="preserve"> in this appeal</w:t>
      </w:r>
      <w:r w:rsidR="00A94E55" w:rsidRPr="008A3778">
        <w:rPr>
          <w:rFonts w:ascii="Helvetica" w:eastAsia="Calibri" w:hAnsi="Helvetica" w:cs="Helvetica"/>
          <w:lang w:val="en-GB"/>
        </w:rPr>
        <w:t>. They are:</w:t>
      </w:r>
    </w:p>
    <w:p w14:paraId="013AF677" w14:textId="309E31C2" w:rsidR="005D0423" w:rsidRPr="008A3778" w:rsidRDefault="00A94E55" w:rsidP="00A94E55">
      <w:pPr>
        <w:numPr>
          <w:ilvl w:val="1"/>
          <w:numId w:val="1"/>
        </w:numPr>
        <w:tabs>
          <w:tab w:val="clear" w:pos="851"/>
          <w:tab w:val="num" w:pos="1440"/>
        </w:tabs>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First, a</w:t>
      </w:r>
      <w:r w:rsidR="005D0423" w:rsidRPr="008A3778">
        <w:rPr>
          <w:rFonts w:ascii="Helvetica" w:eastAsia="Calibri" w:hAnsi="Helvetica" w:cs="Helvetica"/>
          <w:lang w:val="en-GB"/>
        </w:rPr>
        <w:t>ll of the above demonstrates</w:t>
      </w:r>
      <w:r w:rsidRPr="008A3778">
        <w:rPr>
          <w:rFonts w:ascii="Helvetica" w:eastAsia="Calibri" w:hAnsi="Helvetica" w:cs="Helvetica"/>
          <w:lang w:val="en-GB"/>
        </w:rPr>
        <w:t>, at worst for the respondents,</w:t>
      </w:r>
      <w:r w:rsidR="005D0423" w:rsidRPr="008A3778">
        <w:rPr>
          <w:rFonts w:ascii="Helvetica" w:eastAsia="Calibri" w:hAnsi="Helvetica" w:cs="Helvetica"/>
          <w:lang w:val="en-GB"/>
        </w:rPr>
        <w:t xml:space="preserve"> that there are several</w:t>
      </w:r>
      <w:r w:rsidR="008C46DD" w:rsidRPr="008A3778">
        <w:rPr>
          <w:rFonts w:ascii="Helvetica" w:eastAsia="Calibri" w:hAnsi="Helvetica" w:cs="Helvetica"/>
          <w:lang w:val="en-GB"/>
        </w:rPr>
        <w:t xml:space="preserve"> material factual dispute</w:t>
      </w:r>
      <w:r w:rsidR="005D0423" w:rsidRPr="008A3778">
        <w:rPr>
          <w:rFonts w:ascii="Helvetica" w:eastAsia="Calibri" w:hAnsi="Helvetica" w:cs="Helvetica"/>
          <w:lang w:val="en-GB"/>
        </w:rPr>
        <w:t xml:space="preserve">s on the issue of </w:t>
      </w:r>
      <w:r w:rsidR="008C46DD" w:rsidRPr="008A3778">
        <w:rPr>
          <w:rFonts w:ascii="Helvetica" w:eastAsia="Calibri" w:hAnsi="Helvetica" w:cs="Helvetica"/>
          <w:lang w:val="en-GB"/>
        </w:rPr>
        <w:t xml:space="preserve">the Mr </w:t>
      </w:r>
      <w:r w:rsidR="003870FB" w:rsidRPr="008A3778">
        <w:rPr>
          <w:rFonts w:ascii="Helvetica" w:eastAsia="Calibri" w:hAnsi="Helvetica" w:cs="Helvetica"/>
          <w:lang w:val="en-GB"/>
        </w:rPr>
        <w:t>Collatz</w:t>
      </w:r>
      <w:r w:rsidR="008C46DD" w:rsidRPr="008A3778">
        <w:rPr>
          <w:rFonts w:ascii="Helvetica" w:eastAsia="Calibri" w:hAnsi="Helvetica" w:cs="Helvetica"/>
          <w:lang w:val="en-GB"/>
        </w:rPr>
        <w:t>’s exit event</w:t>
      </w:r>
      <w:r w:rsidR="005D0423" w:rsidRPr="008A3778">
        <w:rPr>
          <w:rFonts w:ascii="Helvetica" w:eastAsia="Calibri" w:hAnsi="Helvetica" w:cs="Helvetica"/>
          <w:lang w:val="en-GB"/>
        </w:rPr>
        <w:t>. These factual disputes</w:t>
      </w:r>
      <w:r w:rsidR="00072071">
        <w:rPr>
          <w:rFonts w:ascii="Helvetica" w:eastAsia="Calibri" w:hAnsi="Helvetica" w:cs="Helvetica"/>
          <w:lang w:val="en-GB"/>
        </w:rPr>
        <w:t>, once again,</w:t>
      </w:r>
      <w:r w:rsidR="005D0423" w:rsidRPr="008A3778">
        <w:rPr>
          <w:rFonts w:ascii="Helvetica" w:eastAsia="Calibri" w:hAnsi="Helvetica" w:cs="Helvetica"/>
          <w:lang w:val="en-GB"/>
        </w:rPr>
        <w:t xml:space="preserve"> bring with them</w:t>
      </w:r>
      <w:r w:rsidR="008C46DD" w:rsidRPr="008A3778">
        <w:rPr>
          <w:rFonts w:ascii="Helvetica" w:eastAsia="Calibri" w:hAnsi="Helvetica" w:cs="Helvetica"/>
          <w:lang w:val="en-GB"/>
        </w:rPr>
        <w:t xml:space="preserve"> the rigours</w:t>
      </w:r>
      <w:r w:rsidR="005D0423" w:rsidRPr="008A3778">
        <w:rPr>
          <w:rFonts w:ascii="Helvetica" w:eastAsia="Calibri" w:hAnsi="Helvetica" w:cs="Helvetica"/>
          <w:lang w:val="en-GB"/>
        </w:rPr>
        <w:t>,</w:t>
      </w:r>
      <w:r w:rsidR="008C46DD" w:rsidRPr="008A3778">
        <w:rPr>
          <w:rFonts w:ascii="Helvetica" w:eastAsia="Calibri" w:hAnsi="Helvetica" w:cs="Helvetica"/>
          <w:lang w:val="en-GB"/>
        </w:rPr>
        <w:t xml:space="preserve"> and consequences for the appellants</w:t>
      </w:r>
      <w:r w:rsidR="005D0423" w:rsidRPr="008A3778">
        <w:rPr>
          <w:rFonts w:ascii="Helvetica" w:eastAsia="Calibri" w:hAnsi="Helvetica" w:cs="Helvetica"/>
          <w:lang w:val="en-GB"/>
        </w:rPr>
        <w:t>,</w:t>
      </w:r>
      <w:r w:rsidR="008C46DD" w:rsidRPr="008A3778">
        <w:rPr>
          <w:rFonts w:ascii="Helvetica" w:eastAsia="Calibri" w:hAnsi="Helvetica" w:cs="Helvetica"/>
          <w:lang w:val="en-GB"/>
        </w:rPr>
        <w:t xml:space="preserve"> of the </w:t>
      </w:r>
      <w:r w:rsidR="00777AA3" w:rsidRPr="008A3778">
        <w:rPr>
          <w:rFonts w:ascii="Helvetica" w:eastAsia="Calibri" w:hAnsi="Helvetica" w:cs="Helvetica"/>
          <w:lang w:val="en-GB"/>
        </w:rPr>
        <w:t>rule</w:t>
      </w:r>
      <w:r w:rsidR="008C46DD" w:rsidRPr="008A3778">
        <w:rPr>
          <w:rFonts w:ascii="Helvetica" w:eastAsia="Calibri" w:hAnsi="Helvetica" w:cs="Helvetica"/>
          <w:lang w:val="en-GB"/>
        </w:rPr>
        <w:t xml:space="preserve"> in </w:t>
      </w:r>
      <w:r w:rsidR="008C46DD" w:rsidRPr="008A3778">
        <w:rPr>
          <w:rFonts w:ascii="Helvetica" w:eastAsia="Calibri" w:hAnsi="Helvetica" w:cs="Helvetica"/>
          <w:b/>
          <w:bCs/>
          <w:lang w:val="en-GB"/>
        </w:rPr>
        <w:t>Plascon-Evans</w:t>
      </w:r>
      <w:r w:rsidR="005D0423" w:rsidRPr="008A3778">
        <w:rPr>
          <w:rFonts w:ascii="Helvetica" w:eastAsia="Calibri" w:hAnsi="Helvetica" w:cs="Helvetica"/>
          <w:lang w:val="en-GB"/>
        </w:rPr>
        <w:t xml:space="preserve">. Preferring then, as I must, the first and second respondents and ninth respondent’s accounts of </w:t>
      </w:r>
      <w:r w:rsidR="005D0423" w:rsidRPr="008A3778">
        <w:rPr>
          <w:rFonts w:ascii="Helvetica" w:eastAsia="Calibri" w:hAnsi="Helvetica" w:cs="Helvetica"/>
          <w:lang w:val="en-GB"/>
        </w:rPr>
        <w:lastRenderedPageBreak/>
        <w:t>the disputed events, I find that</w:t>
      </w:r>
      <w:r w:rsidR="00877BEF">
        <w:rPr>
          <w:rFonts w:ascii="Helvetica" w:eastAsia="Calibri" w:hAnsi="Helvetica" w:cs="Helvetica"/>
          <w:lang w:val="en-GB"/>
        </w:rPr>
        <w:t>:</w:t>
      </w:r>
      <w:r w:rsidR="005D0423" w:rsidRPr="008A3778">
        <w:rPr>
          <w:rFonts w:ascii="Helvetica" w:eastAsia="Calibri" w:hAnsi="Helvetica" w:cs="Helvetica"/>
          <w:lang w:val="en-GB"/>
        </w:rPr>
        <w:t xml:space="preserve"> (i) the withdrawal benefit, pursuant to being paid into the money market account, did not divest from the ninth respondent at any time prior to its transfer to the </w:t>
      </w:r>
      <w:r w:rsidR="00BB0C87" w:rsidRPr="008A3778">
        <w:rPr>
          <w:rFonts w:ascii="Helvetica" w:eastAsia="Calibri" w:hAnsi="Helvetica" w:cs="Helvetica"/>
          <w:lang w:val="en-GB"/>
        </w:rPr>
        <w:t>annuity</w:t>
      </w:r>
      <w:r w:rsidR="005D0423" w:rsidRPr="008A3778">
        <w:rPr>
          <w:rFonts w:ascii="Helvetica" w:eastAsia="Calibri" w:hAnsi="Helvetica" w:cs="Helvetica"/>
          <w:lang w:val="en-GB"/>
        </w:rPr>
        <w:t xml:space="preserve"> fund</w:t>
      </w:r>
      <w:r w:rsidR="00B10BB0">
        <w:rPr>
          <w:rFonts w:ascii="Helvetica" w:eastAsia="Calibri" w:hAnsi="Helvetica" w:cs="Helvetica"/>
          <w:lang w:val="en-GB"/>
        </w:rPr>
        <w:t>,</w:t>
      </w:r>
      <w:r w:rsidR="005D0423" w:rsidRPr="008A3778">
        <w:rPr>
          <w:rFonts w:ascii="Helvetica" w:eastAsia="Calibri" w:hAnsi="Helvetica" w:cs="Helvetica"/>
          <w:lang w:val="en-GB"/>
        </w:rPr>
        <w:t xml:space="preserve"> and (ii) the withdrawal benefit did not accrue to the joint estate. </w:t>
      </w:r>
    </w:p>
    <w:p w14:paraId="77EF0003" w14:textId="0B9103BA" w:rsidR="008C46DD" w:rsidRPr="008A3778" w:rsidRDefault="00A94E55" w:rsidP="00A94E55">
      <w:pPr>
        <w:numPr>
          <w:ilvl w:val="1"/>
          <w:numId w:val="1"/>
        </w:numPr>
        <w:tabs>
          <w:tab w:val="clear" w:pos="851"/>
          <w:tab w:val="num" w:pos="1440"/>
        </w:tabs>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Second</w:t>
      </w:r>
      <w:r w:rsidR="008C46DD" w:rsidRPr="008A3778">
        <w:rPr>
          <w:rFonts w:ascii="Helvetica" w:eastAsia="Calibri" w:hAnsi="Helvetica" w:cs="Helvetica"/>
          <w:lang w:val="en-GB"/>
        </w:rPr>
        <w:t>, there is merit in the third to fifth respondents’ argument that even if the ninth respondent’s rule 5 did apply, such does not mean that the withdrawal benefit automatically accrue</w:t>
      </w:r>
      <w:r w:rsidRPr="008A3778">
        <w:rPr>
          <w:rFonts w:ascii="Helvetica" w:eastAsia="Calibri" w:hAnsi="Helvetica" w:cs="Helvetica"/>
          <w:lang w:val="en-GB"/>
        </w:rPr>
        <w:t>d</w:t>
      </w:r>
      <w:r w:rsidR="008C46DD" w:rsidRPr="008A3778">
        <w:rPr>
          <w:rFonts w:ascii="Helvetica" w:eastAsia="Calibri" w:hAnsi="Helvetica" w:cs="Helvetica"/>
          <w:lang w:val="en-GB"/>
        </w:rPr>
        <w:t xml:space="preserve"> to </w:t>
      </w:r>
      <w:r w:rsidRPr="008A3778">
        <w:rPr>
          <w:rFonts w:ascii="Helvetica" w:eastAsia="Calibri" w:hAnsi="Helvetica" w:cs="Helvetica"/>
          <w:lang w:val="en-GB"/>
        </w:rPr>
        <w:t>Mr</w:t>
      </w:r>
      <w:r w:rsidR="00B10BB0">
        <w:rPr>
          <w:rFonts w:ascii="Helvetica" w:eastAsia="Calibri" w:hAnsi="Helvetica" w:cs="Helvetica"/>
          <w:lang w:val="en-GB"/>
        </w:rPr>
        <w:t>.</w:t>
      </w:r>
      <w:r w:rsidRPr="008A3778">
        <w:rPr>
          <w:rFonts w:ascii="Helvetica" w:eastAsia="Calibri" w:hAnsi="Helvetica" w:cs="Helvetica"/>
          <w:lang w:val="en-GB"/>
        </w:rPr>
        <w:t xml:space="preserve"> C</w:t>
      </w:r>
      <w:r w:rsidR="00642FF1" w:rsidRPr="008A3778">
        <w:rPr>
          <w:rFonts w:ascii="Helvetica" w:eastAsia="Calibri" w:hAnsi="Helvetica" w:cs="Helvetica"/>
          <w:lang w:val="en-GB"/>
        </w:rPr>
        <w:t>ollatz</w:t>
      </w:r>
      <w:r w:rsidR="008C46DD" w:rsidRPr="008A3778">
        <w:rPr>
          <w:rFonts w:ascii="Helvetica" w:eastAsia="Calibri" w:hAnsi="Helvetica" w:cs="Helvetica"/>
          <w:lang w:val="en-GB"/>
        </w:rPr>
        <w:t xml:space="preserve">, because </w:t>
      </w:r>
      <w:r w:rsidR="00642FF1" w:rsidRPr="008A3778">
        <w:rPr>
          <w:rFonts w:ascii="Helvetica" w:eastAsia="Calibri" w:hAnsi="Helvetica" w:cs="Helvetica"/>
          <w:lang w:val="en-GB"/>
        </w:rPr>
        <w:t>Mr</w:t>
      </w:r>
      <w:r w:rsidR="00B10BB0">
        <w:rPr>
          <w:rFonts w:ascii="Helvetica" w:eastAsia="Calibri" w:hAnsi="Helvetica" w:cs="Helvetica"/>
          <w:lang w:val="en-GB"/>
        </w:rPr>
        <w:t>.</w:t>
      </w:r>
      <w:r w:rsidR="00642FF1" w:rsidRPr="008A3778">
        <w:rPr>
          <w:rFonts w:ascii="Helvetica" w:eastAsia="Calibri" w:hAnsi="Helvetica" w:cs="Helvetica"/>
          <w:lang w:val="en-GB"/>
        </w:rPr>
        <w:t xml:space="preserve"> Collatz, as</w:t>
      </w:r>
      <w:r w:rsidR="008C46DD" w:rsidRPr="008A3778">
        <w:rPr>
          <w:rFonts w:ascii="Helvetica" w:eastAsia="Calibri" w:hAnsi="Helvetica" w:cs="Helvetica"/>
          <w:lang w:val="en-GB"/>
        </w:rPr>
        <w:t xml:space="preserve"> </w:t>
      </w:r>
      <w:r w:rsidR="00642FF1" w:rsidRPr="008A3778">
        <w:rPr>
          <w:rFonts w:ascii="Helvetica" w:eastAsia="Calibri" w:hAnsi="Helvetica" w:cs="Helvetica"/>
          <w:lang w:val="en-GB"/>
        </w:rPr>
        <w:t xml:space="preserve">a </w:t>
      </w:r>
      <w:r w:rsidR="008C46DD" w:rsidRPr="008A3778">
        <w:rPr>
          <w:rFonts w:ascii="Helvetica" w:eastAsia="Calibri" w:hAnsi="Helvetica" w:cs="Helvetica"/>
          <w:lang w:val="en-GB"/>
        </w:rPr>
        <w:t>member</w:t>
      </w:r>
      <w:r w:rsidR="00642FF1" w:rsidRPr="008A3778">
        <w:rPr>
          <w:rFonts w:ascii="Helvetica" w:eastAsia="Calibri" w:hAnsi="Helvetica" w:cs="Helvetica"/>
          <w:lang w:val="en-GB"/>
        </w:rPr>
        <w:t xml:space="preserve"> of the ninth respondent, was </w:t>
      </w:r>
      <w:r w:rsidR="008C46DD" w:rsidRPr="008A3778">
        <w:rPr>
          <w:rFonts w:ascii="Helvetica" w:eastAsia="Calibri" w:hAnsi="Helvetica" w:cs="Helvetica"/>
          <w:lang w:val="en-GB"/>
        </w:rPr>
        <w:t>still armed with an election to commute some or all of the withdrawal benefit, otherwise the benefit is transferred directly to the annuity. The appellants do not conten</w:t>
      </w:r>
      <w:r w:rsidR="00B10BB0">
        <w:rPr>
          <w:rFonts w:ascii="Helvetica" w:eastAsia="Calibri" w:hAnsi="Helvetica" w:cs="Helvetica"/>
          <w:lang w:val="en-GB"/>
        </w:rPr>
        <w:t>d</w:t>
      </w:r>
      <w:r w:rsidR="008C46DD" w:rsidRPr="008A3778">
        <w:rPr>
          <w:rFonts w:ascii="Helvetica" w:eastAsia="Calibri" w:hAnsi="Helvetica" w:cs="Helvetica"/>
          <w:lang w:val="en-GB"/>
        </w:rPr>
        <w:t xml:space="preserve"> that Mr</w:t>
      </w:r>
      <w:r w:rsidR="00B10BB0">
        <w:rPr>
          <w:rFonts w:ascii="Helvetica" w:eastAsia="Calibri" w:hAnsi="Helvetica" w:cs="Helvetica"/>
          <w:lang w:val="en-GB"/>
        </w:rPr>
        <w:t>.</w:t>
      </w:r>
      <w:r w:rsidR="008C46DD" w:rsidRPr="008A3778">
        <w:rPr>
          <w:rFonts w:ascii="Helvetica" w:eastAsia="Calibri" w:hAnsi="Helvetica" w:cs="Helvetica"/>
          <w:lang w:val="en-GB"/>
        </w:rPr>
        <w:t xml:space="preserve"> Collatz commuted the whole of the benefit.</w:t>
      </w:r>
    </w:p>
    <w:p w14:paraId="14F2BBAF" w14:textId="6E966904" w:rsidR="00B2436E" w:rsidRPr="008A3778" w:rsidRDefault="00ED0916" w:rsidP="00072071">
      <w:pPr>
        <w:pStyle w:val="ListParagraph"/>
        <w:numPr>
          <w:ilvl w:val="0"/>
          <w:numId w:val="24"/>
        </w:numPr>
        <w:spacing w:after="360" w:line="360" w:lineRule="auto"/>
        <w:ind w:right="-151" w:hanging="720"/>
        <w:contextualSpacing w:val="0"/>
        <w:jc w:val="both"/>
        <w:rPr>
          <w:rFonts w:ascii="Helvetica" w:eastAsia="Calibri" w:hAnsi="Helvetica" w:cs="Helvetica"/>
          <w:b/>
          <w:bCs/>
          <w:lang w:val="en-GB"/>
        </w:rPr>
      </w:pPr>
      <w:r w:rsidRPr="008A3778">
        <w:rPr>
          <w:rFonts w:ascii="Helvetica" w:eastAsia="Calibri" w:hAnsi="Helvetica" w:cs="Helvetica"/>
          <w:b/>
          <w:bCs/>
          <w:lang w:val="en-GB"/>
        </w:rPr>
        <w:t xml:space="preserve">Have the </w:t>
      </w:r>
      <w:r w:rsidR="00AD6518" w:rsidRPr="008A3778">
        <w:rPr>
          <w:rFonts w:ascii="Helvetica" w:eastAsia="Calibri" w:hAnsi="Helvetica" w:cs="Helvetica"/>
          <w:b/>
          <w:bCs/>
          <w:lang w:val="en-GB"/>
        </w:rPr>
        <w:t xml:space="preserve">alleged </w:t>
      </w:r>
      <w:r w:rsidRPr="008A3778">
        <w:rPr>
          <w:rFonts w:ascii="Helvetica" w:eastAsia="Calibri" w:hAnsi="Helvetica" w:cs="Helvetica"/>
          <w:b/>
          <w:bCs/>
          <w:lang w:val="en-GB"/>
        </w:rPr>
        <w:t xml:space="preserve">debts pursued by the second appellant </w:t>
      </w:r>
      <w:r w:rsidR="008A269F" w:rsidRPr="008A3778">
        <w:rPr>
          <w:rFonts w:ascii="Helvetica" w:eastAsia="Calibri" w:hAnsi="Helvetica" w:cs="Helvetica"/>
          <w:b/>
          <w:bCs/>
          <w:lang w:val="en-GB"/>
        </w:rPr>
        <w:t xml:space="preserve">against the first and ninth respondents prescribed? </w:t>
      </w:r>
    </w:p>
    <w:p w14:paraId="2333C6DC" w14:textId="3A2D1128" w:rsidR="00D80C19" w:rsidRPr="008A3778" w:rsidRDefault="00D80C19"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 refer to that stated above regarding the various iterations</w:t>
      </w:r>
      <w:r w:rsidR="009C6FE1" w:rsidRPr="008A3778">
        <w:rPr>
          <w:rFonts w:ascii="Helvetica" w:eastAsia="Calibri" w:hAnsi="Helvetica" w:cs="Helvetica"/>
          <w:lang w:val="en-GB"/>
        </w:rPr>
        <w:t xml:space="preserve"> of the appellants</w:t>
      </w:r>
      <w:r w:rsidR="00B10BB0">
        <w:rPr>
          <w:rFonts w:ascii="Helvetica" w:eastAsia="Calibri" w:hAnsi="Helvetica" w:cs="Helvetica"/>
          <w:lang w:val="en-GB"/>
        </w:rPr>
        <w:t>’</w:t>
      </w:r>
      <w:r w:rsidR="009C6FE1" w:rsidRPr="008A3778">
        <w:rPr>
          <w:rFonts w:ascii="Helvetica" w:eastAsia="Calibri" w:hAnsi="Helvetica" w:cs="Helvetica"/>
          <w:lang w:val="en-GB"/>
        </w:rPr>
        <w:t xml:space="preserve"> notice of motion in their section 30P application. </w:t>
      </w:r>
    </w:p>
    <w:p w14:paraId="78DE5A2E" w14:textId="21A92E04" w:rsidR="00EF2A51" w:rsidRPr="008A3778" w:rsidRDefault="00072071"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Pr>
          <w:rFonts w:ascii="Helvetica" w:eastAsia="Calibri" w:hAnsi="Helvetica" w:cs="Helvetica"/>
          <w:lang w:val="en-GB"/>
        </w:rPr>
        <w:t>B</w:t>
      </w:r>
      <w:r w:rsidR="00225BFB" w:rsidRPr="008A3778">
        <w:rPr>
          <w:rFonts w:ascii="Helvetica" w:eastAsia="Calibri" w:hAnsi="Helvetica" w:cs="Helvetica"/>
          <w:lang w:val="en-GB"/>
        </w:rPr>
        <w:t>enignly read</w:t>
      </w:r>
      <w:r w:rsidR="002F20DD" w:rsidRPr="008A3778">
        <w:rPr>
          <w:rFonts w:ascii="Helvetica" w:eastAsia="Calibri" w:hAnsi="Helvetica" w:cs="Helvetica"/>
          <w:lang w:val="en-GB"/>
        </w:rPr>
        <w:t>, the</w:t>
      </w:r>
      <w:r w:rsidR="00B10BB0">
        <w:rPr>
          <w:rFonts w:ascii="Helvetica" w:eastAsia="Calibri" w:hAnsi="Helvetica" w:cs="Helvetica"/>
          <w:lang w:val="en-GB"/>
        </w:rPr>
        <w:t>i</w:t>
      </w:r>
      <w:r w:rsidR="002F20DD" w:rsidRPr="008A3778">
        <w:rPr>
          <w:rFonts w:ascii="Helvetica" w:eastAsia="Calibri" w:hAnsi="Helvetica" w:cs="Helvetica"/>
          <w:lang w:val="en-GB"/>
        </w:rPr>
        <w:t xml:space="preserve">r initial </w:t>
      </w:r>
      <w:r w:rsidR="00EA6EDA" w:rsidRPr="008A3778">
        <w:rPr>
          <w:rFonts w:ascii="Helvetica" w:eastAsia="Calibri" w:hAnsi="Helvetica" w:cs="Helvetica"/>
          <w:lang w:val="en-GB"/>
        </w:rPr>
        <w:t xml:space="preserve">2012 </w:t>
      </w:r>
      <w:r w:rsidR="002F20DD" w:rsidRPr="008A3778">
        <w:rPr>
          <w:rFonts w:ascii="Helvetica" w:eastAsia="Calibri" w:hAnsi="Helvetica" w:cs="Helvetica"/>
          <w:lang w:val="en-GB"/>
        </w:rPr>
        <w:t>notice of motion sought orders requiring the second respondent to make payment of the withdrawal benefit process</w:t>
      </w:r>
      <w:r w:rsidR="00EA6EDA" w:rsidRPr="008A3778">
        <w:rPr>
          <w:rFonts w:ascii="Helvetica" w:eastAsia="Calibri" w:hAnsi="Helvetica" w:cs="Helvetica"/>
          <w:lang w:val="en-GB"/>
        </w:rPr>
        <w:t xml:space="preserve">. </w:t>
      </w:r>
      <w:r w:rsidR="0073191B" w:rsidRPr="008A3778">
        <w:rPr>
          <w:rFonts w:ascii="Helvetica" w:eastAsia="Calibri" w:hAnsi="Helvetica" w:cs="Helvetica"/>
          <w:lang w:val="en-GB"/>
        </w:rPr>
        <w:t xml:space="preserve">This notice of motion </w:t>
      </w:r>
      <w:r w:rsidR="00505FFB" w:rsidRPr="008A3778">
        <w:rPr>
          <w:rFonts w:ascii="Helvetica" w:eastAsia="Calibri" w:hAnsi="Helvetica" w:cs="Helvetica"/>
          <w:lang w:val="en-GB"/>
        </w:rPr>
        <w:t xml:space="preserve">did not seek such an order against the first respondent. </w:t>
      </w:r>
      <w:r w:rsidR="00EA6EDA" w:rsidRPr="008A3778">
        <w:rPr>
          <w:rFonts w:ascii="Helvetica" w:eastAsia="Calibri" w:hAnsi="Helvetica" w:cs="Helvetica"/>
          <w:lang w:val="en-GB"/>
        </w:rPr>
        <w:t xml:space="preserve">The </w:t>
      </w:r>
      <w:r w:rsidR="00505FFB" w:rsidRPr="008A3778">
        <w:rPr>
          <w:rFonts w:ascii="Helvetica" w:eastAsia="Calibri" w:hAnsi="Helvetica" w:cs="Helvetica"/>
          <w:lang w:val="en-GB"/>
        </w:rPr>
        <w:t xml:space="preserve">appellants’ </w:t>
      </w:r>
      <w:r w:rsidR="00EA6EDA" w:rsidRPr="008A3778">
        <w:rPr>
          <w:rFonts w:ascii="Helvetica" w:eastAsia="Calibri" w:hAnsi="Helvetica" w:cs="Helvetica"/>
          <w:lang w:val="en-GB"/>
        </w:rPr>
        <w:t>2018 amended notice of motion</w:t>
      </w:r>
      <w:r w:rsidR="000A29C5" w:rsidRPr="008A3778">
        <w:rPr>
          <w:rFonts w:ascii="Helvetica" w:eastAsia="Calibri" w:hAnsi="Helvetica" w:cs="Helvetica"/>
          <w:lang w:val="en-GB"/>
        </w:rPr>
        <w:t xml:space="preserve"> did not seek </w:t>
      </w:r>
      <w:r w:rsidR="00EF2A51" w:rsidRPr="008A3778">
        <w:rPr>
          <w:rFonts w:ascii="Helvetica" w:eastAsia="Calibri" w:hAnsi="Helvetica" w:cs="Helvetica"/>
          <w:lang w:val="en-GB"/>
        </w:rPr>
        <w:t xml:space="preserve">a payment from the second respondent but rather </w:t>
      </w:r>
      <w:r w:rsidR="000A29C5" w:rsidRPr="008A3778">
        <w:rPr>
          <w:rFonts w:ascii="Helvetica" w:eastAsia="Calibri" w:hAnsi="Helvetica" w:cs="Helvetica"/>
          <w:lang w:val="en-GB"/>
        </w:rPr>
        <w:t>sought</w:t>
      </w:r>
      <w:r w:rsidR="005D43B3" w:rsidRPr="008A3778">
        <w:rPr>
          <w:rFonts w:ascii="Helvetica" w:eastAsia="Calibri" w:hAnsi="Helvetica" w:cs="Helvetica"/>
          <w:lang w:val="en-GB"/>
        </w:rPr>
        <w:t>, for the first time,</w:t>
      </w:r>
      <w:r w:rsidR="000A29C5" w:rsidRPr="008A3778">
        <w:rPr>
          <w:rFonts w:ascii="Helvetica" w:eastAsia="Calibri" w:hAnsi="Helvetica" w:cs="Helvetica"/>
          <w:lang w:val="en-GB"/>
        </w:rPr>
        <w:t xml:space="preserve"> a money judgement against the first </w:t>
      </w:r>
      <w:r w:rsidR="005D43B3" w:rsidRPr="008A3778">
        <w:rPr>
          <w:rFonts w:ascii="Helvetica" w:eastAsia="Calibri" w:hAnsi="Helvetica" w:cs="Helvetica"/>
          <w:lang w:val="en-GB"/>
        </w:rPr>
        <w:t xml:space="preserve">and/or ninth </w:t>
      </w:r>
      <w:r w:rsidR="000A29C5" w:rsidRPr="008A3778">
        <w:rPr>
          <w:rFonts w:ascii="Helvetica" w:eastAsia="Calibri" w:hAnsi="Helvetica" w:cs="Helvetica"/>
          <w:lang w:val="en-GB"/>
        </w:rPr>
        <w:t>respondent</w:t>
      </w:r>
      <w:r w:rsidR="005D43B3" w:rsidRPr="008A3778">
        <w:rPr>
          <w:rFonts w:ascii="Helvetica" w:eastAsia="Calibri" w:hAnsi="Helvetica" w:cs="Helvetica"/>
          <w:lang w:val="en-GB"/>
        </w:rPr>
        <w:t>(s)</w:t>
      </w:r>
      <w:r w:rsidR="000A29C5" w:rsidRPr="008A3778">
        <w:rPr>
          <w:rFonts w:ascii="Helvetica" w:eastAsia="Calibri" w:hAnsi="Helvetica" w:cs="Helvetica"/>
          <w:lang w:val="en-GB"/>
        </w:rPr>
        <w:t xml:space="preserve">. </w:t>
      </w:r>
    </w:p>
    <w:p w14:paraId="55140917" w14:textId="77777777" w:rsidR="004C153F" w:rsidRPr="008A3778" w:rsidRDefault="00EF2A51" w:rsidP="00727D0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With the above chronology in mind, it is not in dispute that the contested</w:t>
      </w:r>
      <w:r w:rsidR="005C5857" w:rsidRPr="008A3778">
        <w:rPr>
          <w:rFonts w:ascii="Helvetica" w:eastAsia="Calibri" w:hAnsi="Helvetica" w:cs="Helvetica"/>
          <w:lang w:val="en-GB"/>
        </w:rPr>
        <w:t xml:space="preserve"> transfer to the second respondent (payment) of the withdrawal benefit to the second respondent took place during October 2008. </w:t>
      </w:r>
    </w:p>
    <w:p w14:paraId="0A68325F" w14:textId="18B91DB4" w:rsidR="00FB4742" w:rsidRPr="008A3778" w:rsidRDefault="000555F1" w:rsidP="00727D0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w:t>
      </w:r>
      <w:r w:rsidR="004C153F" w:rsidRPr="008A3778">
        <w:rPr>
          <w:rFonts w:ascii="Helvetica" w:eastAsia="Calibri" w:hAnsi="Helvetica" w:cs="Helvetica"/>
          <w:lang w:val="en-GB"/>
        </w:rPr>
        <w:t xml:space="preserve"> first and second respondents</w:t>
      </w:r>
      <w:r w:rsidRPr="008A3778">
        <w:rPr>
          <w:rFonts w:ascii="Helvetica" w:eastAsia="Calibri" w:hAnsi="Helvetica" w:cs="Helvetica"/>
          <w:lang w:val="en-GB"/>
        </w:rPr>
        <w:t xml:space="preserve"> </w:t>
      </w:r>
      <w:r w:rsidR="004F6B8A" w:rsidRPr="008A3778">
        <w:rPr>
          <w:rFonts w:ascii="Helvetica" w:eastAsia="Calibri" w:hAnsi="Helvetica" w:cs="Helvetica"/>
          <w:lang w:val="en-GB"/>
        </w:rPr>
        <w:t>argue</w:t>
      </w:r>
      <w:r w:rsidR="004C153F" w:rsidRPr="008A3778">
        <w:rPr>
          <w:rFonts w:ascii="Helvetica" w:eastAsia="Calibri" w:hAnsi="Helvetica" w:cs="Helvetica"/>
          <w:lang w:val="en-GB"/>
        </w:rPr>
        <w:t xml:space="preserve"> that</w:t>
      </w:r>
      <w:r w:rsidR="004F6B8A" w:rsidRPr="008A3778">
        <w:rPr>
          <w:rFonts w:ascii="Helvetica" w:eastAsia="Calibri" w:hAnsi="Helvetica" w:cs="Helvetica"/>
          <w:lang w:val="en-GB"/>
        </w:rPr>
        <w:t>, on the appellants</w:t>
      </w:r>
      <w:r w:rsidR="00B10BB0">
        <w:rPr>
          <w:rFonts w:ascii="Helvetica" w:eastAsia="Calibri" w:hAnsi="Helvetica" w:cs="Helvetica"/>
          <w:lang w:val="en-GB"/>
        </w:rPr>
        <w:t>’</w:t>
      </w:r>
      <w:r w:rsidR="004F6B8A" w:rsidRPr="008A3778">
        <w:rPr>
          <w:rFonts w:ascii="Helvetica" w:eastAsia="Calibri" w:hAnsi="Helvetica" w:cs="Helvetica"/>
          <w:lang w:val="en-GB"/>
        </w:rPr>
        <w:t xml:space="preserve"> own version, the payment of R</w:t>
      </w:r>
      <w:r w:rsidR="009614A0" w:rsidRPr="008A3778">
        <w:rPr>
          <w:rFonts w:ascii="Helvetica" w:eastAsia="Calibri" w:hAnsi="Helvetica" w:cs="Helvetica"/>
          <w:lang w:val="en-GB"/>
        </w:rPr>
        <w:t>9,955,941.45 accrued on 5 March 2008, as is apparent from paragraph 4.1 of the appellants</w:t>
      </w:r>
      <w:r w:rsidR="00B10BB0">
        <w:rPr>
          <w:rFonts w:ascii="Helvetica" w:eastAsia="Calibri" w:hAnsi="Helvetica" w:cs="Helvetica"/>
          <w:lang w:val="en-GB"/>
        </w:rPr>
        <w:t>’</w:t>
      </w:r>
      <w:r w:rsidR="009614A0" w:rsidRPr="008A3778">
        <w:rPr>
          <w:rFonts w:ascii="Helvetica" w:eastAsia="Calibri" w:hAnsi="Helvetica" w:cs="Helvetica"/>
          <w:lang w:val="en-GB"/>
        </w:rPr>
        <w:t xml:space="preserve"> amended notice of motion</w:t>
      </w:r>
      <w:r w:rsidR="00F40924" w:rsidRPr="008A3778">
        <w:rPr>
          <w:rFonts w:ascii="Helvetica" w:eastAsia="Calibri" w:hAnsi="Helvetica" w:cs="Helvetica"/>
          <w:lang w:val="en-GB"/>
        </w:rPr>
        <w:t>.</w:t>
      </w:r>
      <w:r w:rsidR="009614A0" w:rsidRPr="008A3778">
        <w:rPr>
          <w:rFonts w:ascii="Helvetica" w:eastAsia="Calibri" w:hAnsi="Helvetica" w:cs="Helvetica"/>
          <w:lang w:val="en-GB"/>
        </w:rPr>
        <w:t xml:space="preserve"> </w:t>
      </w:r>
      <w:r w:rsidR="00105D24" w:rsidRPr="008A3778">
        <w:rPr>
          <w:rFonts w:ascii="Helvetica" w:eastAsia="Calibri" w:hAnsi="Helvetica" w:cs="Helvetica"/>
          <w:lang w:val="en-GB"/>
        </w:rPr>
        <w:t xml:space="preserve">The first and second respondents </w:t>
      </w:r>
      <w:r w:rsidR="00B2050B" w:rsidRPr="008A3778">
        <w:rPr>
          <w:rFonts w:ascii="Helvetica" w:eastAsia="Calibri" w:hAnsi="Helvetica" w:cs="Helvetica"/>
          <w:lang w:val="en-GB"/>
        </w:rPr>
        <w:lastRenderedPageBreak/>
        <w:t>therefore</w:t>
      </w:r>
      <w:r w:rsidR="006939A9" w:rsidRPr="008A3778">
        <w:rPr>
          <w:rFonts w:ascii="Helvetica" w:eastAsia="Calibri" w:hAnsi="Helvetica" w:cs="Helvetica"/>
          <w:lang w:val="en-GB"/>
        </w:rPr>
        <w:t xml:space="preserve"> </w:t>
      </w:r>
      <w:r w:rsidR="00105D24" w:rsidRPr="008A3778">
        <w:rPr>
          <w:rFonts w:ascii="Helvetica" w:eastAsia="Calibri" w:hAnsi="Helvetica" w:cs="Helvetica"/>
          <w:lang w:val="en-GB"/>
        </w:rPr>
        <w:t xml:space="preserve">argue that any </w:t>
      </w:r>
      <w:r w:rsidR="007F6A70" w:rsidRPr="008A3778">
        <w:rPr>
          <w:rFonts w:ascii="Helvetica" w:eastAsia="Calibri" w:hAnsi="Helvetica" w:cs="Helvetica"/>
          <w:lang w:val="en-GB"/>
        </w:rPr>
        <w:t xml:space="preserve">case or </w:t>
      </w:r>
      <w:r w:rsidR="00105D24" w:rsidRPr="008A3778">
        <w:rPr>
          <w:rFonts w:ascii="Helvetica" w:eastAsia="Calibri" w:hAnsi="Helvetica" w:cs="Helvetica"/>
          <w:lang w:val="en-GB"/>
        </w:rPr>
        <w:t xml:space="preserve">claim advanced </w:t>
      </w:r>
      <w:r w:rsidR="00D10CF2" w:rsidRPr="008A3778">
        <w:rPr>
          <w:rFonts w:ascii="Helvetica" w:eastAsia="Calibri" w:hAnsi="Helvetica" w:cs="Helvetica"/>
          <w:lang w:val="en-GB"/>
        </w:rPr>
        <w:t>(more proper</w:t>
      </w:r>
      <w:r w:rsidR="00B2050B" w:rsidRPr="008A3778">
        <w:rPr>
          <w:rFonts w:ascii="Helvetica" w:eastAsia="Calibri" w:hAnsi="Helvetica" w:cs="Helvetica"/>
          <w:lang w:val="en-GB"/>
        </w:rPr>
        <w:t>l</w:t>
      </w:r>
      <w:r w:rsidR="00D10CF2" w:rsidRPr="008A3778">
        <w:rPr>
          <w:rFonts w:ascii="Helvetica" w:eastAsia="Calibri" w:hAnsi="Helvetica" w:cs="Helvetica"/>
          <w:lang w:val="en-GB"/>
        </w:rPr>
        <w:t>y a “debt” sought to be enforced or recovered</w:t>
      </w:r>
      <w:r w:rsidR="00D10CF2" w:rsidRPr="008A3778">
        <w:rPr>
          <w:rStyle w:val="FootnoteReference"/>
          <w:rFonts w:ascii="Helvetica" w:eastAsia="Calibri" w:hAnsi="Helvetica" w:cs="Helvetica"/>
          <w:lang w:val="en-GB"/>
        </w:rPr>
        <w:footnoteReference w:id="73"/>
      </w:r>
      <w:r w:rsidR="00D10CF2" w:rsidRPr="008A3778">
        <w:rPr>
          <w:rFonts w:ascii="Helvetica" w:eastAsia="Calibri" w:hAnsi="Helvetica" w:cs="Helvetica"/>
          <w:lang w:val="en-GB"/>
        </w:rPr>
        <w:t xml:space="preserve">) </w:t>
      </w:r>
      <w:r w:rsidR="00105D24" w:rsidRPr="008A3778">
        <w:rPr>
          <w:rFonts w:ascii="Helvetica" w:eastAsia="Calibri" w:hAnsi="Helvetica" w:cs="Helvetica"/>
          <w:lang w:val="en-GB"/>
        </w:rPr>
        <w:t>against</w:t>
      </w:r>
      <w:r w:rsidR="0073191B" w:rsidRPr="008A3778">
        <w:rPr>
          <w:rFonts w:ascii="Helvetica" w:eastAsia="Calibri" w:hAnsi="Helvetica" w:cs="Helvetica"/>
          <w:lang w:val="en-GB"/>
        </w:rPr>
        <w:t xml:space="preserve"> the first respondent prescribed in 2011.</w:t>
      </w:r>
      <w:r w:rsidR="002B70CD" w:rsidRPr="008A3778">
        <w:rPr>
          <w:rFonts w:ascii="Helvetica" w:eastAsia="Calibri" w:hAnsi="Helvetica" w:cs="Helvetica"/>
          <w:lang w:val="en-GB"/>
        </w:rPr>
        <w:t xml:space="preserve"> </w:t>
      </w:r>
    </w:p>
    <w:p w14:paraId="7197F672" w14:textId="5AFBD241" w:rsidR="00FC427B" w:rsidRPr="008A3778" w:rsidRDefault="00FE0296" w:rsidP="00727D0B">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The first and second respondents squarely raise</w:t>
      </w:r>
      <w:r w:rsidR="008E6C24" w:rsidRPr="008A3778">
        <w:rPr>
          <w:rFonts w:ascii="Helvetica" w:eastAsia="Calibri" w:hAnsi="Helvetica" w:cs="Helvetica"/>
          <w:lang w:val="en-GB"/>
        </w:rPr>
        <w:t xml:space="preserve"> the issue of the prescription </w:t>
      </w:r>
      <w:r w:rsidR="00AD6518" w:rsidRPr="008A3778">
        <w:rPr>
          <w:rFonts w:ascii="Helvetica" w:eastAsia="Calibri" w:hAnsi="Helvetica" w:cs="Helvetica"/>
          <w:lang w:val="en-GB"/>
        </w:rPr>
        <w:t xml:space="preserve">in </w:t>
      </w:r>
      <w:r w:rsidR="004C153F" w:rsidRPr="008A3778">
        <w:rPr>
          <w:rFonts w:ascii="Helvetica" w:eastAsia="Calibri" w:hAnsi="Helvetica" w:cs="Helvetica"/>
          <w:lang w:val="en-GB"/>
        </w:rPr>
        <w:t>their</w:t>
      </w:r>
      <w:r w:rsidR="008E6C24" w:rsidRPr="008A3778">
        <w:rPr>
          <w:rFonts w:ascii="Helvetica" w:eastAsia="Calibri" w:hAnsi="Helvetica" w:cs="Helvetica"/>
          <w:lang w:val="en-GB"/>
        </w:rPr>
        <w:t xml:space="preserve"> </w:t>
      </w:r>
      <w:r w:rsidR="00A412AC" w:rsidRPr="008A3778">
        <w:rPr>
          <w:rFonts w:ascii="Helvetica" w:eastAsia="Calibri" w:hAnsi="Helvetica" w:cs="Helvetica"/>
          <w:lang w:val="en-GB"/>
        </w:rPr>
        <w:t>August 2019</w:t>
      </w:r>
      <w:r w:rsidR="008E6C24" w:rsidRPr="008A3778">
        <w:rPr>
          <w:rFonts w:ascii="Helvetica" w:eastAsia="Calibri" w:hAnsi="Helvetica" w:cs="Helvetica"/>
          <w:lang w:val="en-GB"/>
        </w:rPr>
        <w:t xml:space="preserve"> affidavit</w:t>
      </w:r>
      <w:r w:rsidR="004C153F" w:rsidRPr="008A3778">
        <w:rPr>
          <w:rFonts w:ascii="Helvetica" w:eastAsia="Calibri" w:hAnsi="Helvetica" w:cs="Helvetica"/>
          <w:lang w:val="en-GB"/>
        </w:rPr>
        <w:t xml:space="preserve">; </w:t>
      </w:r>
      <w:r w:rsidR="008E6C24" w:rsidRPr="008A3778">
        <w:rPr>
          <w:rFonts w:ascii="Helvetica" w:eastAsia="Calibri" w:hAnsi="Helvetica" w:cs="Helvetica"/>
          <w:lang w:val="en-GB"/>
        </w:rPr>
        <w:t>filed in response to the appellants</w:t>
      </w:r>
      <w:r w:rsidR="004C153F" w:rsidRPr="008A3778">
        <w:rPr>
          <w:rFonts w:ascii="Helvetica" w:eastAsia="Calibri" w:hAnsi="Helvetica" w:cs="Helvetica"/>
          <w:lang w:val="en-GB"/>
        </w:rPr>
        <w:t>’</w:t>
      </w:r>
      <w:r w:rsidR="008E6C24" w:rsidRPr="008A3778">
        <w:rPr>
          <w:rFonts w:ascii="Helvetica" w:eastAsia="Calibri" w:hAnsi="Helvetica" w:cs="Helvetica"/>
          <w:lang w:val="en-GB"/>
        </w:rPr>
        <w:t xml:space="preserve"> </w:t>
      </w:r>
      <w:r w:rsidR="00A412AC" w:rsidRPr="008A3778">
        <w:rPr>
          <w:rFonts w:ascii="Helvetica" w:eastAsia="Calibri" w:hAnsi="Helvetica" w:cs="Helvetica"/>
          <w:lang w:val="en-GB"/>
        </w:rPr>
        <w:t>(then</w:t>
      </w:r>
      <w:r w:rsidR="009F3597" w:rsidRPr="008A3778">
        <w:rPr>
          <w:rFonts w:ascii="Helvetica" w:eastAsia="Calibri" w:hAnsi="Helvetica" w:cs="Helvetica"/>
          <w:lang w:val="en-GB"/>
        </w:rPr>
        <w:t xml:space="preserve"> 2018</w:t>
      </w:r>
      <w:r w:rsidR="00A412AC" w:rsidRPr="008A3778">
        <w:rPr>
          <w:rFonts w:ascii="Helvetica" w:eastAsia="Calibri" w:hAnsi="Helvetica" w:cs="Helvetica"/>
          <w:lang w:val="en-GB"/>
        </w:rPr>
        <w:t xml:space="preserve">) </w:t>
      </w:r>
      <w:r w:rsidR="008E6C24" w:rsidRPr="008A3778">
        <w:rPr>
          <w:rFonts w:ascii="Helvetica" w:eastAsia="Calibri" w:hAnsi="Helvetica" w:cs="Helvetica"/>
          <w:lang w:val="en-GB"/>
        </w:rPr>
        <w:t>amendment to their notice of motion</w:t>
      </w:r>
      <w:r w:rsidR="00A412AC" w:rsidRPr="008A3778">
        <w:rPr>
          <w:rFonts w:ascii="Helvetica" w:eastAsia="Calibri" w:hAnsi="Helvetica" w:cs="Helvetica"/>
          <w:lang w:val="en-GB"/>
        </w:rPr>
        <w:t xml:space="preserve">. </w:t>
      </w:r>
      <w:r w:rsidR="00C3360D" w:rsidRPr="008A3778">
        <w:rPr>
          <w:rFonts w:ascii="Helvetica" w:eastAsia="Calibri" w:hAnsi="Helvetica" w:cs="Helvetica"/>
          <w:lang w:val="en-GB"/>
        </w:rPr>
        <w:t>In a further affidavit filed by the ninth respondent,</w:t>
      </w:r>
      <w:r w:rsidR="00700909" w:rsidRPr="008A3778">
        <w:rPr>
          <w:rFonts w:ascii="Helvetica" w:eastAsia="Calibri" w:hAnsi="Helvetica" w:cs="Helvetica"/>
          <w:lang w:val="en-GB"/>
        </w:rPr>
        <w:t xml:space="preserve"> it simply raises the issue of prescription, </w:t>
      </w:r>
      <w:r w:rsidR="00FD00A6" w:rsidRPr="008A3778">
        <w:rPr>
          <w:rFonts w:ascii="Helvetica" w:eastAsia="Calibri" w:hAnsi="Helvetica" w:cs="Helvetica"/>
          <w:lang w:val="en-GB"/>
        </w:rPr>
        <w:t>but therein claim</w:t>
      </w:r>
      <w:r w:rsidR="004C153F" w:rsidRPr="008A3778">
        <w:rPr>
          <w:rFonts w:ascii="Helvetica" w:eastAsia="Calibri" w:hAnsi="Helvetica" w:cs="Helvetica"/>
          <w:lang w:val="en-GB"/>
        </w:rPr>
        <w:t>s</w:t>
      </w:r>
      <w:r w:rsidR="00FD00A6" w:rsidRPr="008A3778">
        <w:rPr>
          <w:rFonts w:ascii="Helvetica" w:eastAsia="Calibri" w:hAnsi="Helvetica" w:cs="Helvetica"/>
          <w:lang w:val="en-GB"/>
        </w:rPr>
        <w:t xml:space="preserve"> that the debt</w:t>
      </w:r>
      <w:r w:rsidR="00C3682C" w:rsidRPr="008A3778">
        <w:rPr>
          <w:rFonts w:ascii="Helvetica" w:eastAsia="Calibri" w:hAnsi="Helvetica" w:cs="Helvetica"/>
          <w:lang w:val="en-GB"/>
        </w:rPr>
        <w:t xml:space="preserve"> pursued</w:t>
      </w:r>
      <w:r w:rsidR="00B52A59" w:rsidRPr="008A3778">
        <w:rPr>
          <w:rFonts w:ascii="Helvetica" w:eastAsia="Calibri" w:hAnsi="Helvetica" w:cs="Helvetica"/>
          <w:lang w:val="en-GB"/>
        </w:rPr>
        <w:t xml:space="preserve"> by the second </w:t>
      </w:r>
      <w:r w:rsidR="00813534">
        <w:rPr>
          <w:rFonts w:ascii="Helvetica" w:eastAsia="Calibri" w:hAnsi="Helvetica" w:cs="Helvetica"/>
          <w:lang w:val="en-GB"/>
        </w:rPr>
        <w:t>appellant</w:t>
      </w:r>
      <w:r w:rsidR="00B52A59" w:rsidRPr="008A3778">
        <w:rPr>
          <w:rFonts w:ascii="Helvetica" w:eastAsia="Calibri" w:hAnsi="Helvetica" w:cs="Helvetica"/>
          <w:lang w:val="en-GB"/>
        </w:rPr>
        <w:t xml:space="preserve"> against the ninth respondent</w:t>
      </w:r>
      <w:r w:rsidR="00C96B9C" w:rsidRPr="008A3778">
        <w:rPr>
          <w:rFonts w:ascii="Helvetica" w:eastAsia="Calibri" w:hAnsi="Helvetica" w:cs="Helvetica"/>
          <w:lang w:val="en-GB"/>
        </w:rPr>
        <w:t xml:space="preserve"> </w:t>
      </w:r>
      <w:r w:rsidR="004C153F" w:rsidRPr="008A3778">
        <w:rPr>
          <w:rFonts w:ascii="Helvetica" w:eastAsia="Calibri" w:hAnsi="Helvetica" w:cs="Helvetica"/>
          <w:lang w:val="en-GB"/>
        </w:rPr>
        <w:t xml:space="preserve">- </w:t>
      </w:r>
      <w:r w:rsidR="00C96B9C" w:rsidRPr="008A3778">
        <w:rPr>
          <w:rFonts w:ascii="Helvetica" w:eastAsia="Calibri" w:hAnsi="Helvetica" w:cs="Helvetica"/>
          <w:lang w:val="en-GB"/>
        </w:rPr>
        <w:t xml:space="preserve">pursuant to the </w:t>
      </w:r>
      <w:r w:rsidR="008B0C3D" w:rsidRPr="008A3778">
        <w:rPr>
          <w:rFonts w:ascii="Helvetica" w:eastAsia="Calibri" w:hAnsi="Helvetica" w:cs="Helvetica"/>
          <w:lang w:val="en-GB"/>
        </w:rPr>
        <w:t xml:space="preserve">2018 amendment to the appellants notice of motion </w:t>
      </w:r>
      <w:r w:rsidR="004C153F" w:rsidRPr="008A3778">
        <w:rPr>
          <w:rFonts w:ascii="Helvetica" w:eastAsia="Calibri" w:hAnsi="Helvetica" w:cs="Helvetica"/>
          <w:lang w:val="en-GB"/>
        </w:rPr>
        <w:t xml:space="preserve">– has </w:t>
      </w:r>
      <w:r w:rsidR="008B0C3D" w:rsidRPr="008A3778">
        <w:rPr>
          <w:rFonts w:ascii="Helvetica" w:eastAsia="Calibri" w:hAnsi="Helvetica" w:cs="Helvetica"/>
          <w:lang w:val="en-GB"/>
        </w:rPr>
        <w:t>prescribed</w:t>
      </w:r>
      <w:r w:rsidR="00C96B9C" w:rsidRPr="008A3778">
        <w:rPr>
          <w:rFonts w:ascii="Helvetica" w:eastAsia="Calibri" w:hAnsi="Helvetica" w:cs="Helvetica"/>
          <w:lang w:val="en-GB"/>
        </w:rPr>
        <w:t>,</w:t>
      </w:r>
      <w:r w:rsidR="008B0C3D" w:rsidRPr="008A3778">
        <w:rPr>
          <w:rFonts w:ascii="Helvetica" w:eastAsia="Calibri" w:hAnsi="Helvetica" w:cs="Helvetica"/>
          <w:lang w:val="en-GB"/>
        </w:rPr>
        <w:t xml:space="preserve"> albeit the ninth respondent asserts that the claim would have prescribed, at the very latest, by November 2015, being a date three years after the first </w:t>
      </w:r>
      <w:r w:rsidR="007631BE">
        <w:rPr>
          <w:rFonts w:ascii="Helvetica" w:eastAsia="Calibri" w:hAnsi="Helvetica" w:cs="Helvetica"/>
          <w:lang w:val="en-GB"/>
        </w:rPr>
        <w:t>appellant</w:t>
      </w:r>
      <w:r w:rsidR="008B0C3D" w:rsidRPr="008A3778">
        <w:rPr>
          <w:rFonts w:ascii="Helvetica" w:eastAsia="Calibri" w:hAnsi="Helvetica" w:cs="Helvetica"/>
          <w:lang w:val="en-GB"/>
        </w:rPr>
        <w:t xml:space="preserve"> lodged her complaint with the </w:t>
      </w:r>
      <w:r w:rsidR="00F211F5" w:rsidRPr="008A3778">
        <w:rPr>
          <w:rFonts w:ascii="Helvetica" w:eastAsia="Calibri" w:hAnsi="Helvetica" w:cs="Helvetica"/>
          <w:lang w:val="en-GB"/>
        </w:rPr>
        <w:t>A</w:t>
      </w:r>
      <w:r w:rsidR="008B0C3D" w:rsidRPr="008A3778">
        <w:rPr>
          <w:rFonts w:ascii="Helvetica" w:eastAsia="Calibri" w:hAnsi="Helvetica" w:cs="Helvetica"/>
          <w:lang w:val="en-GB"/>
        </w:rPr>
        <w:t>djudicator</w:t>
      </w:r>
      <w:r w:rsidR="00F211F5" w:rsidRPr="008A3778">
        <w:rPr>
          <w:rFonts w:ascii="Helvetica" w:eastAsia="Calibri" w:hAnsi="Helvetica" w:cs="Helvetica"/>
          <w:lang w:val="en-GB"/>
        </w:rPr>
        <w:t>.</w:t>
      </w:r>
      <w:r w:rsidR="006F7494">
        <w:rPr>
          <w:rFonts w:ascii="Helvetica" w:eastAsia="Calibri" w:hAnsi="Helvetica" w:cs="Helvetica"/>
          <w:lang w:val="en-GB"/>
        </w:rPr>
        <w:t xml:space="preserve"> All things considered, prescription is correctly and issuably raised in the section 30P application of </w:t>
      </w:r>
      <w:r w:rsidR="006F7494">
        <w:rPr>
          <w:rFonts w:ascii="Helvetica" w:eastAsia="Calibri" w:hAnsi="Helvetica" w:cs="Helvetica"/>
          <w:b/>
          <w:bCs/>
          <w:lang w:val="en-GB"/>
        </w:rPr>
        <w:t>Gericke v Sack</w:t>
      </w:r>
      <w:r w:rsidR="006F7494">
        <w:rPr>
          <w:rFonts w:ascii="Helvetica" w:eastAsia="Calibri" w:hAnsi="Helvetica" w:cs="Helvetica"/>
          <w:lang w:val="en-GB"/>
        </w:rPr>
        <w:t>.</w:t>
      </w:r>
      <w:r w:rsidR="006F7494">
        <w:rPr>
          <w:rStyle w:val="FootnoteReference"/>
          <w:rFonts w:ascii="Helvetica" w:eastAsia="Calibri" w:hAnsi="Helvetica" w:cs="Helvetica"/>
          <w:lang w:val="en-GB"/>
        </w:rPr>
        <w:footnoteReference w:id="74"/>
      </w:r>
    </w:p>
    <w:p w14:paraId="27E0239E" w14:textId="2EEF303F" w:rsidR="005C5857" w:rsidRPr="008A3778" w:rsidRDefault="001A7208"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It is trite that the running of prescription commences once a creditor has acquired the right to claim a debt.</w:t>
      </w:r>
      <w:r w:rsidR="003714B5" w:rsidRPr="008A3778">
        <w:rPr>
          <w:rStyle w:val="FootnoteReference"/>
          <w:rFonts w:ascii="Helvetica" w:eastAsia="Calibri" w:hAnsi="Helvetica" w:cs="Helvetica"/>
          <w:lang w:val="en-GB"/>
        </w:rPr>
        <w:footnoteReference w:id="75"/>
      </w:r>
      <w:r w:rsidRPr="008A3778">
        <w:rPr>
          <w:rFonts w:ascii="Helvetica" w:eastAsia="Calibri" w:hAnsi="Helvetica" w:cs="Helvetica"/>
          <w:lang w:val="en-GB"/>
        </w:rPr>
        <w:t xml:space="preserve"> </w:t>
      </w:r>
      <w:r w:rsidR="00B24420" w:rsidRPr="008A3778">
        <w:rPr>
          <w:rFonts w:ascii="Helvetica" w:eastAsia="Calibri" w:hAnsi="Helvetica" w:cs="Helvetica"/>
          <w:lang w:val="en-GB"/>
        </w:rPr>
        <w:t xml:space="preserve">The SCA in </w:t>
      </w:r>
      <w:r w:rsidR="00B24420" w:rsidRPr="008A3778">
        <w:rPr>
          <w:rFonts w:ascii="Helvetica" w:eastAsia="Calibri" w:hAnsi="Helvetica" w:cs="Helvetica"/>
          <w:b/>
          <w:bCs/>
          <w:lang w:val="en-GB"/>
        </w:rPr>
        <w:t>The Master v IL Back &amp; Co Ltd &amp; others</w:t>
      </w:r>
      <w:r w:rsidR="00B24420" w:rsidRPr="008A3778">
        <w:rPr>
          <w:rStyle w:val="FootnoteReference"/>
          <w:rFonts w:ascii="Helvetica" w:eastAsia="Calibri" w:hAnsi="Helvetica" w:cs="Helvetica"/>
          <w:lang w:val="en-GB"/>
        </w:rPr>
        <w:footnoteReference w:id="76"/>
      </w:r>
      <w:r w:rsidR="00B24420" w:rsidRPr="008A3778">
        <w:rPr>
          <w:rFonts w:ascii="Helvetica" w:eastAsia="Calibri" w:hAnsi="Helvetica" w:cs="Helvetica"/>
          <w:lang w:val="en-GB"/>
        </w:rPr>
        <w:t xml:space="preserve"> held that a creditor cannot by its own conduct – namely action or inaction – postpone the commencement of prescription.</w:t>
      </w:r>
    </w:p>
    <w:p w14:paraId="59EA9B89" w14:textId="2DB7F8CB" w:rsidR="00F211F5" w:rsidRPr="008A3778" w:rsidRDefault="00960B20"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Pr>
          <w:rFonts w:ascii="Helvetica" w:eastAsia="Calibri" w:hAnsi="Helvetica" w:cs="Helvetica"/>
          <w:lang w:val="en-GB"/>
        </w:rPr>
        <w:t>Notwithstanding all of the aforesaid, t</w:t>
      </w:r>
      <w:r w:rsidR="00371BA5" w:rsidRPr="008A3778">
        <w:rPr>
          <w:rFonts w:ascii="Helvetica" w:eastAsia="Calibri" w:hAnsi="Helvetica" w:cs="Helvetica"/>
          <w:lang w:val="en-GB"/>
        </w:rPr>
        <w:t>he appellants</w:t>
      </w:r>
      <w:r w:rsidR="00B341D3" w:rsidRPr="008A3778">
        <w:rPr>
          <w:rFonts w:ascii="Helvetica" w:eastAsia="Calibri" w:hAnsi="Helvetica" w:cs="Helvetica"/>
          <w:lang w:val="en-GB"/>
        </w:rPr>
        <w:t xml:space="preserve"> failed to </w:t>
      </w:r>
      <w:r w:rsidR="00371BA5" w:rsidRPr="008A3778">
        <w:rPr>
          <w:rFonts w:ascii="Helvetica" w:eastAsia="Calibri" w:hAnsi="Helvetica" w:cs="Helvetica"/>
          <w:lang w:val="en-GB"/>
        </w:rPr>
        <w:t>deal issuably or sustainability in their</w:t>
      </w:r>
      <w:r w:rsidR="00213D84" w:rsidRPr="008A3778">
        <w:rPr>
          <w:rFonts w:ascii="Helvetica" w:eastAsia="Calibri" w:hAnsi="Helvetica" w:cs="Helvetica"/>
          <w:lang w:val="en-GB"/>
        </w:rPr>
        <w:t xml:space="preserve"> (or a subsequently filed</w:t>
      </w:r>
      <w:r w:rsidR="00FE0296" w:rsidRPr="008A3778">
        <w:rPr>
          <w:rFonts w:ascii="Helvetica" w:eastAsia="Calibri" w:hAnsi="Helvetica" w:cs="Helvetica"/>
          <w:lang w:val="en-GB"/>
        </w:rPr>
        <w:t>)</w:t>
      </w:r>
      <w:r w:rsidR="00371BA5" w:rsidRPr="008A3778">
        <w:rPr>
          <w:rFonts w:ascii="Helvetica" w:eastAsia="Calibri" w:hAnsi="Helvetica" w:cs="Helvetica"/>
          <w:lang w:val="en-GB"/>
        </w:rPr>
        <w:t xml:space="preserve"> replying </w:t>
      </w:r>
      <w:r w:rsidR="004C153F" w:rsidRPr="008A3778">
        <w:rPr>
          <w:rFonts w:ascii="Helvetica" w:eastAsia="Calibri" w:hAnsi="Helvetica" w:cs="Helvetica"/>
          <w:lang w:val="en-GB"/>
        </w:rPr>
        <w:t xml:space="preserve">or further </w:t>
      </w:r>
      <w:r w:rsidR="00371BA5" w:rsidRPr="008A3778">
        <w:rPr>
          <w:rFonts w:ascii="Helvetica" w:eastAsia="Calibri" w:hAnsi="Helvetica" w:cs="Helvetica"/>
          <w:lang w:val="en-GB"/>
        </w:rPr>
        <w:t xml:space="preserve">affidavit with the issue of prescription. There is </w:t>
      </w:r>
      <w:r w:rsidR="00FE0296" w:rsidRPr="008A3778">
        <w:rPr>
          <w:rFonts w:ascii="Helvetica" w:eastAsia="Calibri" w:hAnsi="Helvetica" w:cs="Helvetica"/>
          <w:lang w:val="en-GB"/>
        </w:rPr>
        <w:t xml:space="preserve">therefore </w:t>
      </w:r>
      <w:r w:rsidR="00371BA5" w:rsidRPr="008A3778">
        <w:rPr>
          <w:rFonts w:ascii="Helvetica" w:eastAsia="Calibri" w:hAnsi="Helvetica" w:cs="Helvetica"/>
          <w:lang w:val="en-GB"/>
        </w:rPr>
        <w:t>no sustainable case made out by the appellants as to</w:t>
      </w:r>
      <w:r w:rsidR="003F37B7" w:rsidRPr="008A3778">
        <w:rPr>
          <w:rFonts w:ascii="Helvetica" w:eastAsia="Calibri" w:hAnsi="Helvetica" w:cs="Helvetica"/>
          <w:lang w:val="en-GB"/>
        </w:rPr>
        <w:t xml:space="preserve"> why the debt sought to be pursued against the first respondent ha</w:t>
      </w:r>
      <w:r w:rsidR="00FC75BA">
        <w:rPr>
          <w:rFonts w:ascii="Helvetica" w:eastAsia="Calibri" w:hAnsi="Helvetica" w:cs="Helvetica"/>
          <w:lang w:val="en-GB"/>
        </w:rPr>
        <w:t>s</w:t>
      </w:r>
      <w:r w:rsidR="003F37B7" w:rsidRPr="008A3778">
        <w:rPr>
          <w:rFonts w:ascii="Helvetica" w:eastAsia="Calibri" w:hAnsi="Helvetica" w:cs="Helvetica"/>
          <w:lang w:val="en-GB"/>
        </w:rPr>
        <w:t xml:space="preserve"> not prescribed, such </w:t>
      </w:r>
      <w:r w:rsidR="001C3147" w:rsidRPr="008A3778">
        <w:rPr>
          <w:rFonts w:ascii="Helvetica" w:eastAsia="Calibri" w:hAnsi="Helvetica" w:cs="Helvetica"/>
          <w:lang w:val="en-GB"/>
        </w:rPr>
        <w:t xml:space="preserve">as incapacity, </w:t>
      </w:r>
      <w:r w:rsidR="003F37B7" w:rsidRPr="008A3778">
        <w:rPr>
          <w:rFonts w:ascii="Helvetica" w:eastAsia="Calibri" w:hAnsi="Helvetica" w:cs="Helvetica"/>
          <w:lang w:val="en-GB"/>
        </w:rPr>
        <w:t>the suspension or interruption of the running of prescription.</w:t>
      </w:r>
      <w:r w:rsidR="00F40924" w:rsidRPr="008A3778">
        <w:rPr>
          <w:rFonts w:ascii="Helvetica" w:eastAsia="Calibri" w:hAnsi="Helvetica" w:cs="Helvetica"/>
          <w:lang w:val="en-GB"/>
        </w:rPr>
        <w:t xml:space="preserve"> </w:t>
      </w:r>
    </w:p>
    <w:p w14:paraId="291ABE19" w14:textId="5E67CFFE" w:rsidR="001A1A3F" w:rsidRPr="008A3778" w:rsidRDefault="00F40924"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Additionally</w:t>
      </w:r>
      <w:r w:rsidR="00F211F5" w:rsidRPr="008A3778">
        <w:rPr>
          <w:rFonts w:ascii="Helvetica" w:eastAsia="Calibri" w:hAnsi="Helvetica" w:cs="Helvetica"/>
          <w:lang w:val="en-GB"/>
        </w:rPr>
        <w:t>, it</w:t>
      </w:r>
      <w:r w:rsidRPr="008A3778">
        <w:rPr>
          <w:rFonts w:ascii="Helvetica" w:eastAsia="Calibri" w:hAnsi="Helvetica" w:cs="Helvetica"/>
          <w:lang w:val="en-GB"/>
        </w:rPr>
        <w:t xml:space="preserve"> matters not whether prescription commenced to run when the payment of R9,955,941.45 accrued, </w:t>
      </w:r>
      <w:r w:rsidR="008C2F8D" w:rsidRPr="008A3778">
        <w:rPr>
          <w:rFonts w:ascii="Helvetica" w:eastAsia="Calibri" w:hAnsi="Helvetica" w:cs="Helvetica"/>
          <w:lang w:val="en-GB"/>
        </w:rPr>
        <w:t>as the appellants contend,</w:t>
      </w:r>
      <w:r w:rsidRPr="008A3778">
        <w:rPr>
          <w:rFonts w:ascii="Helvetica" w:eastAsia="Calibri" w:hAnsi="Helvetica" w:cs="Helvetica"/>
          <w:lang w:val="en-GB"/>
        </w:rPr>
        <w:t xml:space="preserve"> on 5 March 2008</w:t>
      </w:r>
      <w:r w:rsidR="008C2F8D" w:rsidRPr="008A3778">
        <w:rPr>
          <w:rFonts w:ascii="Helvetica" w:eastAsia="Calibri" w:hAnsi="Helvetica" w:cs="Helvetica"/>
          <w:lang w:val="en-GB"/>
        </w:rPr>
        <w:t>, or when the actual transfer took place during October 2008</w:t>
      </w:r>
      <w:r w:rsidR="00F211F5" w:rsidRPr="008A3778">
        <w:rPr>
          <w:rFonts w:ascii="Helvetica" w:eastAsia="Calibri" w:hAnsi="Helvetica" w:cs="Helvetica"/>
          <w:lang w:val="en-GB"/>
        </w:rPr>
        <w:t>, or if</w:t>
      </w:r>
      <w:r w:rsidR="00406A07" w:rsidRPr="008A3778">
        <w:rPr>
          <w:rFonts w:ascii="Helvetica" w:eastAsia="Calibri" w:hAnsi="Helvetica" w:cs="Helvetica"/>
          <w:lang w:val="en-GB"/>
        </w:rPr>
        <w:t xml:space="preserve"> the debt had prescribed, at the very </w:t>
      </w:r>
      <w:r w:rsidR="00406A07" w:rsidRPr="008A3778">
        <w:rPr>
          <w:rFonts w:ascii="Helvetica" w:eastAsia="Calibri" w:hAnsi="Helvetica" w:cs="Helvetica"/>
          <w:lang w:val="en-GB"/>
        </w:rPr>
        <w:lastRenderedPageBreak/>
        <w:t>latest, by November 2015</w:t>
      </w:r>
      <w:r w:rsidR="008C2F8D" w:rsidRPr="008A3778">
        <w:rPr>
          <w:rFonts w:ascii="Helvetica" w:eastAsia="Calibri" w:hAnsi="Helvetica" w:cs="Helvetica"/>
          <w:lang w:val="en-GB"/>
        </w:rPr>
        <w:t>.</w:t>
      </w:r>
      <w:r w:rsidR="0058528B" w:rsidRPr="008A3778">
        <w:rPr>
          <w:rFonts w:ascii="Helvetica" w:eastAsia="Calibri" w:hAnsi="Helvetica" w:cs="Helvetica"/>
          <w:lang w:val="en-GB"/>
        </w:rPr>
        <w:t xml:space="preserve"> The importance of </w:t>
      </w:r>
      <w:r w:rsidR="00406A07" w:rsidRPr="008A3778">
        <w:rPr>
          <w:rFonts w:ascii="Helvetica" w:eastAsia="Calibri" w:hAnsi="Helvetica" w:cs="Helvetica"/>
          <w:lang w:val="en-GB"/>
        </w:rPr>
        <w:t>a</w:t>
      </w:r>
      <w:r w:rsidR="0058528B" w:rsidRPr="008A3778">
        <w:rPr>
          <w:rFonts w:ascii="Helvetica" w:eastAsia="Calibri" w:hAnsi="Helvetica" w:cs="Helvetica"/>
          <w:lang w:val="en-GB"/>
        </w:rPr>
        <w:t xml:space="preserve"> </w:t>
      </w:r>
      <w:r w:rsidR="004C153F" w:rsidRPr="008A3778">
        <w:rPr>
          <w:rFonts w:ascii="Helvetica" w:eastAsia="Calibri" w:hAnsi="Helvetica" w:cs="Helvetica"/>
          <w:lang w:val="en-GB"/>
        </w:rPr>
        <w:t xml:space="preserve">2011 / </w:t>
      </w:r>
      <w:r w:rsidR="00406A07" w:rsidRPr="008A3778">
        <w:rPr>
          <w:rFonts w:ascii="Helvetica" w:eastAsia="Calibri" w:hAnsi="Helvetica" w:cs="Helvetica"/>
          <w:lang w:val="en-GB"/>
        </w:rPr>
        <w:t xml:space="preserve">2015 </w:t>
      </w:r>
      <w:r w:rsidR="004C153F" w:rsidRPr="008A3778">
        <w:rPr>
          <w:rFonts w:ascii="Helvetica" w:eastAsia="Calibri" w:hAnsi="Helvetica" w:cs="Helvetica"/>
          <w:lang w:val="en-GB"/>
        </w:rPr>
        <w:t xml:space="preserve">prescription </w:t>
      </w:r>
      <w:r w:rsidR="00406A07" w:rsidRPr="008A3778">
        <w:rPr>
          <w:rFonts w:ascii="Helvetica" w:eastAsia="Calibri" w:hAnsi="Helvetica" w:cs="Helvetica"/>
          <w:lang w:val="en-GB"/>
        </w:rPr>
        <w:t>date</w:t>
      </w:r>
      <w:r w:rsidR="0058528B" w:rsidRPr="008A3778">
        <w:rPr>
          <w:rFonts w:ascii="Helvetica" w:eastAsia="Calibri" w:hAnsi="Helvetica" w:cs="Helvetica"/>
          <w:lang w:val="en-GB"/>
        </w:rPr>
        <w:t xml:space="preserve"> fades in </w:t>
      </w:r>
      <w:r w:rsidR="00960B20">
        <w:rPr>
          <w:rFonts w:ascii="Helvetica" w:eastAsia="Calibri" w:hAnsi="Helvetica" w:cs="Helvetica"/>
          <w:lang w:val="en-GB"/>
        </w:rPr>
        <w:t xml:space="preserve">any of its </w:t>
      </w:r>
      <w:r w:rsidR="0058528B" w:rsidRPr="008A3778">
        <w:rPr>
          <w:rFonts w:ascii="Helvetica" w:eastAsia="Calibri" w:hAnsi="Helvetica" w:cs="Helvetica"/>
          <w:lang w:val="en-GB"/>
        </w:rPr>
        <w:t>significance because</w:t>
      </w:r>
      <w:r w:rsidR="00816F94" w:rsidRPr="008A3778">
        <w:rPr>
          <w:rFonts w:ascii="Helvetica" w:eastAsia="Calibri" w:hAnsi="Helvetica" w:cs="Helvetica"/>
          <w:lang w:val="en-GB"/>
        </w:rPr>
        <w:t xml:space="preserve"> the appellants only</w:t>
      </w:r>
      <w:r w:rsidR="00A23044" w:rsidRPr="008A3778">
        <w:rPr>
          <w:rFonts w:ascii="Helvetica" w:eastAsia="Calibri" w:hAnsi="Helvetica" w:cs="Helvetica"/>
          <w:lang w:val="en-GB"/>
        </w:rPr>
        <w:t xml:space="preserve"> sought to recover the debt represented by such payment</w:t>
      </w:r>
      <w:r w:rsidR="00FC75BA">
        <w:rPr>
          <w:rFonts w:ascii="Helvetica" w:eastAsia="Calibri" w:hAnsi="Helvetica" w:cs="Helvetica"/>
          <w:lang w:val="en-GB"/>
        </w:rPr>
        <w:t xml:space="preserve"> </w:t>
      </w:r>
      <w:r w:rsidR="00A23044" w:rsidRPr="008A3778">
        <w:rPr>
          <w:rFonts w:ascii="Helvetica" w:eastAsia="Calibri" w:hAnsi="Helvetica" w:cs="Helvetica"/>
          <w:lang w:val="en-GB"/>
        </w:rPr>
        <w:t>/</w:t>
      </w:r>
      <w:r w:rsidR="00FC75BA">
        <w:rPr>
          <w:rFonts w:ascii="Helvetica" w:eastAsia="Calibri" w:hAnsi="Helvetica" w:cs="Helvetica"/>
          <w:lang w:val="en-GB"/>
        </w:rPr>
        <w:t xml:space="preserve"> </w:t>
      </w:r>
      <w:r w:rsidR="00A23044" w:rsidRPr="008A3778">
        <w:rPr>
          <w:rFonts w:ascii="Helvetica" w:eastAsia="Calibri" w:hAnsi="Helvetica" w:cs="Helvetica"/>
          <w:lang w:val="en-GB"/>
        </w:rPr>
        <w:t xml:space="preserve">transfer more than </w:t>
      </w:r>
      <w:r w:rsidR="00FC75BA">
        <w:rPr>
          <w:rFonts w:ascii="Helvetica" w:eastAsia="Calibri" w:hAnsi="Helvetica" w:cs="Helvetica"/>
          <w:lang w:val="en-GB"/>
        </w:rPr>
        <w:t>ten</w:t>
      </w:r>
      <w:r w:rsidR="00A23044" w:rsidRPr="008A3778">
        <w:rPr>
          <w:rFonts w:ascii="Helvetica" w:eastAsia="Calibri" w:hAnsi="Helvetica" w:cs="Helvetica"/>
          <w:lang w:val="en-GB"/>
        </w:rPr>
        <w:t xml:space="preserve"> years later, during 2018</w:t>
      </w:r>
      <w:r w:rsidR="00DE37B7" w:rsidRPr="008A3778">
        <w:rPr>
          <w:rFonts w:ascii="Helvetica" w:eastAsia="Calibri" w:hAnsi="Helvetica" w:cs="Helvetica"/>
          <w:lang w:val="en-GB"/>
        </w:rPr>
        <w:t xml:space="preserve"> if regard is had to </w:t>
      </w:r>
      <w:r w:rsidR="00960B20">
        <w:rPr>
          <w:rFonts w:ascii="Helvetica" w:eastAsia="Calibri" w:hAnsi="Helvetica" w:cs="Helvetica"/>
          <w:lang w:val="en-GB"/>
        </w:rPr>
        <w:t>the</w:t>
      </w:r>
      <w:r w:rsidR="00DE37B7" w:rsidRPr="008A3778">
        <w:rPr>
          <w:rFonts w:ascii="Helvetica" w:eastAsia="Calibri" w:hAnsi="Helvetica" w:cs="Helvetica"/>
          <w:lang w:val="en-GB"/>
        </w:rPr>
        <w:t xml:space="preserve"> </w:t>
      </w:r>
      <w:r w:rsidR="00DE37B7" w:rsidRPr="00991B65">
        <w:rPr>
          <w:rFonts w:ascii="Helvetica" w:eastAsia="Calibri" w:hAnsi="Helvetica" w:cs="Helvetica"/>
          <w:lang w:val="en-GB"/>
        </w:rPr>
        <w:t>2008</w:t>
      </w:r>
      <w:r w:rsidR="00991B65">
        <w:rPr>
          <w:rFonts w:ascii="Helvetica" w:eastAsia="Calibri" w:hAnsi="Helvetica" w:cs="Helvetica"/>
          <w:lang w:val="en-GB"/>
        </w:rPr>
        <w:t xml:space="preserve"> transfer</w:t>
      </w:r>
      <w:r w:rsidR="00DE37B7" w:rsidRPr="008A3778">
        <w:rPr>
          <w:rFonts w:ascii="Helvetica" w:eastAsia="Calibri" w:hAnsi="Helvetica" w:cs="Helvetica"/>
          <w:lang w:val="en-GB"/>
        </w:rPr>
        <w:t>), or more than six years after the submission of the complaint to the Adjudicator</w:t>
      </w:r>
      <w:r w:rsidR="004C153F" w:rsidRPr="008A3778">
        <w:rPr>
          <w:rFonts w:ascii="Helvetica" w:eastAsia="Calibri" w:hAnsi="Helvetica" w:cs="Helvetica"/>
          <w:lang w:val="en-GB"/>
        </w:rPr>
        <w:t>, and some three years after 2015</w:t>
      </w:r>
      <w:r w:rsidR="00A23044" w:rsidRPr="008A3778">
        <w:rPr>
          <w:rFonts w:ascii="Helvetica" w:eastAsia="Calibri" w:hAnsi="Helvetica" w:cs="Helvetica"/>
          <w:lang w:val="en-GB"/>
        </w:rPr>
        <w:t>.</w:t>
      </w:r>
      <w:r w:rsidR="00ED0916" w:rsidRPr="008A3778">
        <w:rPr>
          <w:rFonts w:ascii="Helvetica" w:eastAsia="Calibri" w:hAnsi="Helvetica" w:cs="Helvetica"/>
          <w:lang w:val="en-GB"/>
        </w:rPr>
        <w:t xml:space="preserve"> </w:t>
      </w:r>
    </w:p>
    <w:p w14:paraId="06D417FE" w14:textId="709BED86" w:rsidR="004C153F" w:rsidRPr="008A3778" w:rsidRDefault="00BB0BE0"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All things considered</w:t>
      </w:r>
      <w:r w:rsidR="001C3147" w:rsidRPr="008A3778">
        <w:rPr>
          <w:rFonts w:ascii="Helvetica" w:eastAsia="Calibri" w:hAnsi="Helvetica" w:cs="Helvetica"/>
          <w:lang w:val="en-GB"/>
        </w:rPr>
        <w:t xml:space="preserve"> </w:t>
      </w:r>
      <w:r w:rsidR="008A269F" w:rsidRPr="008A3778">
        <w:rPr>
          <w:rFonts w:ascii="Helvetica" w:eastAsia="Calibri" w:hAnsi="Helvetica" w:cs="Helvetica"/>
          <w:lang w:val="en-GB"/>
        </w:rPr>
        <w:t>and</w:t>
      </w:r>
      <w:r w:rsidR="00ED0916" w:rsidRPr="008A3778">
        <w:rPr>
          <w:rFonts w:ascii="Helvetica" w:eastAsia="Calibri" w:hAnsi="Helvetica" w:cs="Helvetica"/>
          <w:lang w:val="en-GB"/>
        </w:rPr>
        <w:t xml:space="preserve"> ignoring for present purposes </w:t>
      </w:r>
      <w:r w:rsidR="008A269F" w:rsidRPr="008A3778">
        <w:rPr>
          <w:rFonts w:ascii="Helvetica" w:eastAsia="Calibri" w:hAnsi="Helvetica" w:cs="Helvetica"/>
          <w:lang w:val="en-GB"/>
        </w:rPr>
        <w:t>all</w:t>
      </w:r>
      <w:r w:rsidR="001C3147" w:rsidRPr="008A3778">
        <w:rPr>
          <w:rFonts w:ascii="Helvetica" w:eastAsia="Calibri" w:hAnsi="Helvetica" w:cs="Helvetica"/>
          <w:lang w:val="en-GB"/>
        </w:rPr>
        <w:t xml:space="preserve"> of the appellants</w:t>
      </w:r>
      <w:r w:rsidR="00813534">
        <w:rPr>
          <w:rFonts w:ascii="Helvetica" w:eastAsia="Calibri" w:hAnsi="Helvetica" w:cs="Helvetica"/>
          <w:lang w:val="en-GB"/>
        </w:rPr>
        <w:t>’</w:t>
      </w:r>
      <w:r w:rsidR="001C3147" w:rsidRPr="008A3778">
        <w:rPr>
          <w:rFonts w:ascii="Helvetica" w:eastAsia="Calibri" w:hAnsi="Helvetica" w:cs="Helvetica"/>
          <w:lang w:val="en-GB"/>
        </w:rPr>
        <w:t xml:space="preserve"> other difficulties in this appeal</w:t>
      </w:r>
      <w:r w:rsidRPr="008A3778">
        <w:rPr>
          <w:rFonts w:ascii="Helvetica" w:eastAsia="Calibri" w:hAnsi="Helvetica" w:cs="Helvetica"/>
          <w:lang w:val="en-GB"/>
        </w:rPr>
        <w:t xml:space="preserve">, I cannot help but </w:t>
      </w:r>
      <w:r w:rsidR="001C3147" w:rsidRPr="008A3778">
        <w:rPr>
          <w:rFonts w:ascii="Helvetica" w:eastAsia="Calibri" w:hAnsi="Helvetica" w:cs="Helvetica"/>
          <w:lang w:val="en-GB"/>
        </w:rPr>
        <w:t>conclude</w:t>
      </w:r>
      <w:r w:rsidRPr="008A3778">
        <w:rPr>
          <w:rFonts w:ascii="Helvetica" w:eastAsia="Calibri" w:hAnsi="Helvetica" w:cs="Helvetica"/>
          <w:lang w:val="en-GB"/>
        </w:rPr>
        <w:t xml:space="preserve"> that the debt pursued by the second app</w:t>
      </w:r>
      <w:r w:rsidR="00813534">
        <w:rPr>
          <w:rFonts w:ascii="Helvetica" w:eastAsia="Calibri" w:hAnsi="Helvetica" w:cs="Helvetica"/>
          <w:lang w:val="en-GB"/>
        </w:rPr>
        <w:t>ellant</w:t>
      </w:r>
      <w:r w:rsidR="003A214B" w:rsidRPr="008A3778">
        <w:rPr>
          <w:rFonts w:ascii="Helvetica" w:eastAsia="Calibri" w:hAnsi="Helvetica" w:cs="Helvetica"/>
          <w:lang w:val="en-GB"/>
        </w:rPr>
        <w:t xml:space="preserve"> </w:t>
      </w:r>
      <w:r w:rsidR="004C153F" w:rsidRPr="008A3778">
        <w:rPr>
          <w:rFonts w:ascii="Helvetica" w:eastAsia="Calibri" w:hAnsi="Helvetica" w:cs="Helvetica"/>
          <w:lang w:val="en-GB"/>
        </w:rPr>
        <w:t xml:space="preserve">against the </w:t>
      </w:r>
      <w:r w:rsidR="003A214B" w:rsidRPr="008A3778">
        <w:rPr>
          <w:rFonts w:ascii="Helvetica" w:eastAsia="Calibri" w:hAnsi="Helvetica" w:cs="Helvetica"/>
          <w:lang w:val="en-GB"/>
        </w:rPr>
        <w:t>first respondent, and possibly</w:t>
      </w:r>
      <w:r w:rsidRPr="008A3778">
        <w:rPr>
          <w:rFonts w:ascii="Helvetica" w:eastAsia="Calibri" w:hAnsi="Helvetica" w:cs="Helvetica"/>
          <w:lang w:val="en-GB"/>
        </w:rPr>
        <w:t xml:space="preserve"> </w:t>
      </w:r>
      <w:r w:rsidR="004C153F" w:rsidRPr="008A3778">
        <w:rPr>
          <w:rFonts w:ascii="Helvetica" w:eastAsia="Calibri" w:hAnsi="Helvetica" w:cs="Helvetica"/>
          <w:lang w:val="en-GB"/>
        </w:rPr>
        <w:t>also the</w:t>
      </w:r>
      <w:r w:rsidR="003A214B" w:rsidRPr="008A3778">
        <w:rPr>
          <w:rFonts w:ascii="Helvetica" w:eastAsia="Calibri" w:hAnsi="Helvetica" w:cs="Helvetica"/>
          <w:lang w:val="en-GB"/>
        </w:rPr>
        <w:t xml:space="preserve"> ninth respondent, </w:t>
      </w:r>
      <w:r w:rsidRPr="008A3778">
        <w:rPr>
          <w:rFonts w:ascii="Helvetica" w:eastAsia="Calibri" w:hAnsi="Helvetica" w:cs="Helvetica"/>
          <w:lang w:val="en-GB"/>
        </w:rPr>
        <w:t>h</w:t>
      </w:r>
      <w:r w:rsidR="00ED0916" w:rsidRPr="008A3778">
        <w:rPr>
          <w:rFonts w:ascii="Helvetica" w:eastAsia="Calibri" w:hAnsi="Helvetica" w:cs="Helvetica"/>
          <w:lang w:val="en-GB"/>
        </w:rPr>
        <w:t>a</w:t>
      </w:r>
      <w:r w:rsidRPr="008A3778">
        <w:rPr>
          <w:rFonts w:ascii="Helvetica" w:eastAsia="Calibri" w:hAnsi="Helvetica" w:cs="Helvetica"/>
          <w:lang w:val="en-GB"/>
        </w:rPr>
        <w:t>s prescribed</w:t>
      </w:r>
      <w:r w:rsidR="001C3147" w:rsidRPr="008A3778">
        <w:rPr>
          <w:rFonts w:ascii="Helvetica" w:eastAsia="Calibri" w:hAnsi="Helvetica" w:cs="Helvetica"/>
          <w:lang w:val="en-GB"/>
        </w:rPr>
        <w:t>.</w:t>
      </w:r>
      <w:r w:rsidR="003A214B" w:rsidRPr="008A3778">
        <w:rPr>
          <w:rFonts w:ascii="Helvetica" w:eastAsia="Calibri" w:hAnsi="Helvetica" w:cs="Helvetica"/>
          <w:lang w:val="en-GB"/>
        </w:rPr>
        <w:t xml:space="preserve"> </w:t>
      </w:r>
    </w:p>
    <w:p w14:paraId="1EE7E7E2" w14:textId="35A3F022" w:rsidR="00B341D3" w:rsidRPr="008A3778" w:rsidRDefault="003A214B" w:rsidP="00D80C19">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I qualify the </w:t>
      </w:r>
      <w:r w:rsidR="004C153F" w:rsidRPr="008A3778">
        <w:rPr>
          <w:rFonts w:ascii="Helvetica" w:eastAsia="Calibri" w:hAnsi="Helvetica" w:cs="Helvetica"/>
          <w:lang w:val="en-GB"/>
        </w:rPr>
        <w:t xml:space="preserve">aforesaid </w:t>
      </w:r>
      <w:r w:rsidRPr="008A3778">
        <w:rPr>
          <w:rFonts w:ascii="Helvetica" w:eastAsia="Calibri" w:hAnsi="Helvetica" w:cs="Helvetica"/>
          <w:lang w:val="en-GB"/>
        </w:rPr>
        <w:t xml:space="preserve">position in respect of the ninth respondent because the issue of prescription is not pressed in </w:t>
      </w:r>
      <w:r w:rsidR="0069073C">
        <w:rPr>
          <w:rFonts w:ascii="Helvetica" w:eastAsia="Calibri" w:hAnsi="Helvetica" w:cs="Helvetica"/>
          <w:lang w:val="en-GB"/>
        </w:rPr>
        <w:t>the</w:t>
      </w:r>
      <w:r w:rsidRPr="008A3778">
        <w:rPr>
          <w:rFonts w:ascii="Helvetica" w:eastAsia="Calibri" w:hAnsi="Helvetica" w:cs="Helvetica"/>
          <w:lang w:val="en-GB"/>
        </w:rPr>
        <w:t xml:space="preserve"> heads of argument filed on behalf of the ninth respondent. Instead, the attitude and position of the ninth respondent in the section 30P application and in </w:t>
      </w:r>
      <w:r w:rsidR="004C153F" w:rsidRPr="008A3778">
        <w:rPr>
          <w:rFonts w:ascii="Helvetica" w:eastAsia="Calibri" w:hAnsi="Helvetica" w:cs="Helvetica"/>
          <w:lang w:val="en-GB"/>
        </w:rPr>
        <w:t>this</w:t>
      </w:r>
      <w:r w:rsidRPr="008A3778">
        <w:rPr>
          <w:rFonts w:ascii="Helvetica" w:eastAsia="Calibri" w:hAnsi="Helvetica" w:cs="Helvetica"/>
          <w:lang w:val="en-GB"/>
        </w:rPr>
        <w:t xml:space="preserve"> appeal </w:t>
      </w:r>
      <w:r w:rsidR="004C153F" w:rsidRPr="008A3778">
        <w:rPr>
          <w:rFonts w:ascii="Helvetica" w:eastAsia="Calibri" w:hAnsi="Helvetica" w:cs="Helvetica"/>
          <w:lang w:val="en-GB"/>
        </w:rPr>
        <w:t>is</w:t>
      </w:r>
      <w:r w:rsidRPr="008A3778">
        <w:rPr>
          <w:rFonts w:ascii="Helvetica" w:eastAsia="Calibri" w:hAnsi="Helvetica" w:cs="Helvetica"/>
          <w:lang w:val="en-GB"/>
        </w:rPr>
        <w:t xml:space="preserve"> that</w:t>
      </w:r>
      <w:r w:rsidR="00D91924">
        <w:rPr>
          <w:rFonts w:ascii="Helvetica" w:eastAsia="Calibri" w:hAnsi="Helvetica" w:cs="Helvetica"/>
          <w:lang w:val="en-GB"/>
        </w:rPr>
        <w:t>:</w:t>
      </w:r>
      <w:r w:rsidRPr="008A3778">
        <w:rPr>
          <w:rFonts w:ascii="Helvetica" w:eastAsia="Calibri" w:hAnsi="Helvetica" w:cs="Helvetica"/>
          <w:lang w:val="en-GB"/>
        </w:rPr>
        <w:t xml:space="preserve"> (i) it did not oppose the relief sought by Ms</w:t>
      </w:r>
      <w:r w:rsidR="00D91924">
        <w:rPr>
          <w:rFonts w:ascii="Helvetica" w:eastAsia="Calibri" w:hAnsi="Helvetica" w:cs="Helvetica"/>
          <w:lang w:val="en-GB"/>
        </w:rPr>
        <w:t>.</w:t>
      </w:r>
      <w:r w:rsidRPr="008A3778">
        <w:rPr>
          <w:rFonts w:ascii="Helvetica" w:eastAsia="Calibri" w:hAnsi="Helvetica" w:cs="Helvetica"/>
          <w:lang w:val="en-GB"/>
        </w:rPr>
        <w:t xml:space="preserve"> Collatz in the application, (ii) it occupies a “</w:t>
      </w:r>
      <w:r w:rsidRPr="008A3778">
        <w:rPr>
          <w:rFonts w:ascii="Helvetica" w:eastAsia="Calibri" w:hAnsi="Helvetica" w:cs="Helvetica"/>
          <w:i/>
          <w:iCs/>
          <w:lang w:val="en-GB"/>
        </w:rPr>
        <w:t>neutral position</w:t>
      </w:r>
      <w:r w:rsidRPr="008A3778">
        <w:rPr>
          <w:rFonts w:ascii="Helvetica" w:eastAsia="Calibri" w:hAnsi="Helvetica" w:cs="Helvetica"/>
          <w:lang w:val="en-GB"/>
        </w:rPr>
        <w:t xml:space="preserve">” akin to an amicus, and (iii) the relief sought by the appellants against the ninth respondent is incompetent, cannot be competently granted and would be impossible to give effect to. </w:t>
      </w:r>
      <w:r w:rsidR="0069073C">
        <w:rPr>
          <w:rFonts w:ascii="Helvetica" w:eastAsia="Calibri" w:hAnsi="Helvetica" w:cs="Helvetica"/>
          <w:lang w:val="en-GB"/>
        </w:rPr>
        <w:t>(I have however expressed my view on the ninth respondent’s claimed neutral position.)</w:t>
      </w:r>
    </w:p>
    <w:p w14:paraId="12D8A03D" w14:textId="53E154C1" w:rsidR="009F3597" w:rsidRPr="008A3778" w:rsidRDefault="009F3597" w:rsidP="009F3597">
      <w:pPr>
        <w:spacing w:after="360" w:line="360" w:lineRule="auto"/>
        <w:ind w:right="-151"/>
        <w:jc w:val="both"/>
        <w:rPr>
          <w:rFonts w:ascii="Helvetica" w:eastAsia="Calibri" w:hAnsi="Helvetica" w:cs="Helvetica"/>
          <w:b/>
          <w:bCs/>
          <w:lang w:val="en-GB"/>
        </w:rPr>
      </w:pPr>
      <w:r w:rsidRPr="008A3778">
        <w:rPr>
          <w:rFonts w:ascii="Helvetica" w:eastAsia="Calibri" w:hAnsi="Helvetica" w:cs="Helvetica"/>
          <w:b/>
          <w:bCs/>
          <w:lang w:val="en-GB"/>
        </w:rPr>
        <w:t>G</w:t>
      </w:r>
      <w:r w:rsidR="008A3778">
        <w:rPr>
          <w:rFonts w:ascii="Helvetica" w:eastAsia="Calibri" w:hAnsi="Helvetica" w:cs="Helvetica"/>
          <w:b/>
          <w:bCs/>
          <w:lang w:val="en-GB"/>
        </w:rPr>
        <w:t>.</w:t>
      </w:r>
      <w:r w:rsidRPr="008A3778">
        <w:rPr>
          <w:rFonts w:ascii="Helvetica" w:eastAsia="Calibri" w:hAnsi="Helvetica" w:cs="Helvetica"/>
          <w:b/>
          <w:bCs/>
          <w:lang w:val="en-GB"/>
        </w:rPr>
        <w:tab/>
        <w:t>CONCLUSION ON THE MERITS OF THE APPEAL</w:t>
      </w:r>
    </w:p>
    <w:p w14:paraId="1C41B5AB" w14:textId="7A78F930" w:rsidR="005D4193" w:rsidRPr="008A3778" w:rsidRDefault="005D4193" w:rsidP="002A1543">
      <w:pPr>
        <w:numPr>
          <w:ilvl w:val="0"/>
          <w:numId w:val="1"/>
        </w:numPr>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 xml:space="preserve">For the above reasons, separately and cumulatively, I am unable to agree with the </w:t>
      </w:r>
      <w:r w:rsidR="004C153F" w:rsidRPr="008A3778">
        <w:rPr>
          <w:rFonts w:ascii="Helvetica" w:eastAsia="Calibri" w:hAnsi="Helvetica" w:cs="Helvetica"/>
          <w:lang w:val="en-GB"/>
        </w:rPr>
        <w:t xml:space="preserve">appellants’ </w:t>
      </w:r>
      <w:r w:rsidRPr="008A3778">
        <w:rPr>
          <w:rFonts w:ascii="Helvetica" w:eastAsia="Calibri" w:hAnsi="Helvetica" w:cs="Helvetica"/>
          <w:lang w:val="en-GB"/>
        </w:rPr>
        <w:t>submission that they ha</w:t>
      </w:r>
      <w:r w:rsidR="004C153F" w:rsidRPr="008A3778">
        <w:rPr>
          <w:rFonts w:ascii="Helvetica" w:eastAsia="Calibri" w:hAnsi="Helvetica" w:cs="Helvetica"/>
          <w:lang w:val="en-GB"/>
        </w:rPr>
        <w:t>ve</w:t>
      </w:r>
      <w:r w:rsidRPr="008A3778">
        <w:rPr>
          <w:rFonts w:ascii="Helvetica" w:eastAsia="Calibri" w:hAnsi="Helvetica" w:cs="Helvetica"/>
          <w:lang w:val="en-GB"/>
        </w:rPr>
        <w:t xml:space="preserve"> made</w:t>
      </w:r>
      <w:r w:rsidR="004C153F" w:rsidRPr="008A3778">
        <w:rPr>
          <w:rFonts w:ascii="Helvetica" w:eastAsia="Calibri" w:hAnsi="Helvetica" w:cs="Helvetica"/>
          <w:lang w:val="en-GB"/>
        </w:rPr>
        <w:t xml:space="preserve"> out</w:t>
      </w:r>
      <w:r w:rsidRPr="008A3778">
        <w:rPr>
          <w:rFonts w:ascii="Helvetica" w:eastAsia="Calibri" w:hAnsi="Helvetica" w:cs="Helvetica"/>
          <w:lang w:val="en-GB"/>
        </w:rPr>
        <w:t xml:space="preserve"> a case for</w:t>
      </w:r>
      <w:r w:rsidR="007911F4">
        <w:rPr>
          <w:rFonts w:ascii="Helvetica" w:eastAsia="Calibri" w:hAnsi="Helvetica" w:cs="Helvetica"/>
          <w:lang w:val="en-GB"/>
        </w:rPr>
        <w:t>: (i)</w:t>
      </w:r>
      <w:r w:rsidRPr="008A3778">
        <w:rPr>
          <w:rFonts w:ascii="Helvetica" w:eastAsia="Calibri" w:hAnsi="Helvetica" w:cs="Helvetica"/>
          <w:lang w:val="en-GB"/>
        </w:rPr>
        <w:t xml:space="preserve"> the setting aside of the </w:t>
      </w:r>
      <w:r w:rsidR="0070010C">
        <w:rPr>
          <w:rFonts w:ascii="Helvetica" w:eastAsia="Calibri" w:hAnsi="Helvetica" w:cs="Helvetica"/>
          <w:lang w:val="en-GB"/>
        </w:rPr>
        <w:t>A</w:t>
      </w:r>
      <w:r w:rsidRPr="008A3778">
        <w:rPr>
          <w:rFonts w:ascii="Helvetica" w:eastAsia="Calibri" w:hAnsi="Helvetica" w:cs="Helvetica"/>
          <w:lang w:val="en-GB"/>
        </w:rPr>
        <w:t>djudicator’s determination in the founding affidavit and</w:t>
      </w:r>
      <w:r w:rsidR="00F149CD" w:rsidRPr="008A3778">
        <w:rPr>
          <w:rFonts w:ascii="Helvetica" w:eastAsia="Calibri" w:hAnsi="Helvetica" w:cs="Helvetica"/>
          <w:lang w:val="en-GB"/>
        </w:rPr>
        <w:t>,</w:t>
      </w:r>
      <w:r w:rsidRPr="008A3778">
        <w:rPr>
          <w:rFonts w:ascii="Helvetica" w:eastAsia="Calibri" w:hAnsi="Helvetica" w:cs="Helvetica"/>
          <w:lang w:val="en-GB"/>
        </w:rPr>
        <w:t xml:space="preserve"> </w:t>
      </w:r>
      <w:r w:rsidR="004C153F" w:rsidRPr="008A3778">
        <w:rPr>
          <w:rFonts w:ascii="Helvetica" w:eastAsia="Calibri" w:hAnsi="Helvetica" w:cs="Helvetica"/>
          <w:lang w:val="en-GB"/>
        </w:rPr>
        <w:t>moreover</w:t>
      </w:r>
      <w:r w:rsidR="00F149CD" w:rsidRPr="008A3778">
        <w:rPr>
          <w:rFonts w:ascii="Helvetica" w:eastAsia="Calibri" w:hAnsi="Helvetica" w:cs="Helvetica"/>
          <w:lang w:val="en-GB"/>
        </w:rPr>
        <w:t>,</w:t>
      </w:r>
      <w:r w:rsidR="004C153F" w:rsidRPr="008A3778">
        <w:rPr>
          <w:rFonts w:ascii="Helvetica" w:eastAsia="Calibri" w:hAnsi="Helvetica" w:cs="Helvetica"/>
          <w:lang w:val="en-GB"/>
        </w:rPr>
        <w:t xml:space="preserve"> </w:t>
      </w:r>
      <w:r w:rsidR="007911F4">
        <w:rPr>
          <w:rFonts w:ascii="Helvetica" w:eastAsia="Calibri" w:hAnsi="Helvetica" w:cs="Helvetica"/>
          <w:lang w:val="en-GB"/>
        </w:rPr>
        <w:t xml:space="preserve">(ii) </w:t>
      </w:r>
      <w:r w:rsidRPr="008A3778">
        <w:rPr>
          <w:rFonts w:ascii="Helvetica" w:eastAsia="Calibri" w:hAnsi="Helvetica" w:cs="Helvetica"/>
          <w:lang w:val="en-GB"/>
        </w:rPr>
        <w:t xml:space="preserve">that the relief to which they claim to be entitled </w:t>
      </w:r>
      <w:r w:rsidR="00F149CD" w:rsidRPr="008A3778">
        <w:rPr>
          <w:rFonts w:ascii="Helvetica" w:eastAsia="Calibri" w:hAnsi="Helvetica" w:cs="Helvetica"/>
          <w:lang w:val="en-GB"/>
        </w:rPr>
        <w:t>is</w:t>
      </w:r>
      <w:r w:rsidRPr="008A3778">
        <w:rPr>
          <w:rFonts w:ascii="Helvetica" w:eastAsia="Calibri" w:hAnsi="Helvetica" w:cs="Helvetica"/>
          <w:lang w:val="en-GB"/>
        </w:rPr>
        <w:t xml:space="preserve"> adequately crystallised in the amended notice of motion. </w:t>
      </w:r>
    </w:p>
    <w:p w14:paraId="690AEA58" w14:textId="7F668314" w:rsidR="00A013DB" w:rsidRPr="008A3778" w:rsidRDefault="00A013DB" w:rsidP="00A013DB">
      <w:pPr>
        <w:numPr>
          <w:ilvl w:val="0"/>
          <w:numId w:val="1"/>
        </w:numPr>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t>I am also unable to find that the appellants</w:t>
      </w:r>
      <w:r w:rsidR="00095F7A">
        <w:rPr>
          <w:rFonts w:ascii="Helvetica" w:eastAsia="Calibri" w:hAnsi="Helvetica" w:cs="Helvetica"/>
          <w:lang w:val="en-GB"/>
        </w:rPr>
        <w:t>’</w:t>
      </w:r>
      <w:r w:rsidRPr="008A3778">
        <w:rPr>
          <w:rFonts w:ascii="Helvetica" w:eastAsia="Calibri" w:hAnsi="Helvetica" w:cs="Helvetica"/>
          <w:lang w:val="en-GB"/>
        </w:rPr>
        <w:t xml:space="preserve"> affidavits make out an identifiable and sustainable case (cause of action) against the first or the ninth respondents for the payment of R 9,955,941.45, or for any of the other relief sought by them</w:t>
      </w:r>
      <w:r w:rsidR="00F149CD" w:rsidRPr="008A3778">
        <w:rPr>
          <w:rFonts w:ascii="Helvetica" w:eastAsia="Calibri" w:hAnsi="Helvetica" w:cs="Helvetica"/>
          <w:lang w:val="en-GB"/>
        </w:rPr>
        <w:t xml:space="preserve"> in the amended notice of motion in their section 30P application</w:t>
      </w:r>
      <w:r w:rsidRPr="008A3778">
        <w:rPr>
          <w:rFonts w:ascii="Helvetica" w:eastAsia="Calibri" w:hAnsi="Helvetica" w:cs="Helvetica"/>
          <w:lang w:val="en-GB"/>
        </w:rPr>
        <w:t xml:space="preserve">. </w:t>
      </w:r>
    </w:p>
    <w:p w14:paraId="17238DEB" w14:textId="05DE585B" w:rsidR="00585BDB" w:rsidRPr="008A3778" w:rsidRDefault="00A013DB" w:rsidP="00585BDB">
      <w:pPr>
        <w:numPr>
          <w:ilvl w:val="0"/>
          <w:numId w:val="1"/>
        </w:numPr>
        <w:spacing w:after="360" w:line="360" w:lineRule="auto"/>
        <w:ind w:left="720" w:right="-151" w:hanging="720"/>
        <w:jc w:val="both"/>
        <w:rPr>
          <w:rFonts w:ascii="Helvetica" w:eastAsia="Calibri" w:hAnsi="Helvetica" w:cs="Helvetica"/>
          <w:lang w:val="en-GB"/>
        </w:rPr>
      </w:pPr>
      <w:r w:rsidRPr="008A3778">
        <w:rPr>
          <w:rFonts w:ascii="Helvetica" w:eastAsia="Calibri" w:hAnsi="Helvetica" w:cs="Helvetica"/>
          <w:lang w:val="en-GB"/>
        </w:rPr>
        <w:lastRenderedPageBreak/>
        <w:t>I am also unpersuaded that the High Court erred in the respects alleged by the appellants. In any event, it is trite</w:t>
      </w:r>
      <w:r w:rsidR="00585BDB" w:rsidRPr="008A3778">
        <w:rPr>
          <w:rFonts w:ascii="Helvetica" w:eastAsia="Calibri" w:hAnsi="Helvetica" w:cs="Helvetica"/>
          <w:lang w:val="en-GB"/>
        </w:rPr>
        <w:t xml:space="preserve">, as held by the SCA in </w:t>
      </w:r>
      <w:r w:rsidR="00585BDB" w:rsidRPr="008A3778">
        <w:rPr>
          <w:rFonts w:ascii="Helvetica" w:eastAsia="Calibri" w:hAnsi="Helvetica" w:cs="Helvetica"/>
          <w:b/>
          <w:bCs/>
          <w:lang w:val="en-GB"/>
        </w:rPr>
        <w:t>Absa Bank Limited v Mkhize</w:t>
      </w:r>
      <w:r w:rsidR="00095F7A">
        <w:rPr>
          <w:rFonts w:ascii="Helvetica" w:eastAsia="Calibri" w:hAnsi="Helvetica" w:cs="Helvetica"/>
          <w:lang w:val="en-GB"/>
        </w:rPr>
        <w:t>,</w:t>
      </w:r>
      <w:r w:rsidR="00585BDB" w:rsidRPr="00095F7A">
        <w:rPr>
          <w:rStyle w:val="FootnoteReference"/>
          <w:rFonts w:ascii="Helvetica" w:eastAsia="Calibri" w:hAnsi="Helvetica" w:cs="Helvetica"/>
          <w:lang w:val="en-GB"/>
        </w:rPr>
        <w:footnoteReference w:id="77"/>
      </w:r>
      <w:r w:rsidR="00585BDB" w:rsidRPr="008A3778">
        <w:rPr>
          <w:rFonts w:ascii="Helvetica" w:eastAsia="Calibri" w:hAnsi="Helvetica" w:cs="Helvetica"/>
          <w:lang w:val="en-GB"/>
        </w:rPr>
        <w:t xml:space="preserve"> </w:t>
      </w:r>
      <w:r w:rsidRPr="008A3778">
        <w:rPr>
          <w:rFonts w:ascii="Helvetica" w:eastAsia="Calibri" w:hAnsi="Helvetica" w:cs="Helvetica"/>
          <w:lang w:val="en-GB"/>
        </w:rPr>
        <w:t>that an appeal lies against the orders granted and not against the reasons for the orders.</w:t>
      </w:r>
      <w:r w:rsidR="00585BDB" w:rsidRPr="008A3778">
        <w:rPr>
          <w:rFonts w:ascii="Helvetica" w:eastAsia="Calibri" w:hAnsi="Helvetica" w:cs="Helvetica"/>
          <w:lang w:val="en-GB"/>
        </w:rPr>
        <w:t xml:space="preserve"> This “</w:t>
      </w:r>
      <w:r w:rsidR="00585BDB" w:rsidRPr="008A3778">
        <w:rPr>
          <w:rFonts w:ascii="Helvetica" w:eastAsia="Calibri" w:hAnsi="Helvetica" w:cs="Helvetica"/>
          <w:i/>
          <w:iCs/>
          <w:lang w:val="en-GB"/>
        </w:rPr>
        <w:t>sound principle</w:t>
      </w:r>
      <w:r w:rsidR="00585BDB" w:rsidRPr="008A3778">
        <w:rPr>
          <w:rFonts w:ascii="Helvetica" w:eastAsia="Calibri" w:hAnsi="Helvetica" w:cs="Helvetica"/>
          <w:lang w:val="en-GB"/>
        </w:rPr>
        <w:t xml:space="preserve">” </w:t>
      </w:r>
      <w:r w:rsidR="00FC2846">
        <w:rPr>
          <w:rFonts w:ascii="Helvetica" w:eastAsia="Calibri" w:hAnsi="Helvetica" w:cs="Helvetica"/>
          <w:lang w:val="en-GB"/>
        </w:rPr>
        <w:t>is</w:t>
      </w:r>
      <w:r w:rsidR="00585BDB" w:rsidRPr="008A3778">
        <w:rPr>
          <w:rFonts w:ascii="Helvetica" w:eastAsia="Calibri" w:hAnsi="Helvetica" w:cs="Helvetica"/>
          <w:lang w:val="en-GB"/>
        </w:rPr>
        <w:t xml:space="preserve"> confirmed in numerous other decisions.</w:t>
      </w:r>
      <w:r w:rsidR="00585BDB" w:rsidRPr="008A3778">
        <w:rPr>
          <w:rStyle w:val="FootnoteReference"/>
          <w:rFonts w:ascii="Helvetica" w:eastAsia="Calibri" w:hAnsi="Helvetica" w:cs="Helvetica"/>
          <w:lang w:val="en-GB"/>
        </w:rPr>
        <w:footnoteReference w:id="78"/>
      </w:r>
      <w:r w:rsidR="00585BDB" w:rsidRPr="008A3778">
        <w:rPr>
          <w:rFonts w:ascii="Helvetica" w:eastAsia="Calibri" w:hAnsi="Helvetica" w:cs="Helvetica"/>
          <w:lang w:val="en-GB"/>
        </w:rPr>
        <w:t xml:space="preserve"> </w:t>
      </w:r>
    </w:p>
    <w:p w14:paraId="5BA5334E" w14:textId="3F857BD3" w:rsidR="00F149CD" w:rsidRPr="008A3778" w:rsidRDefault="00F149CD" w:rsidP="00F149CD">
      <w:pPr>
        <w:numPr>
          <w:ilvl w:val="0"/>
          <w:numId w:val="1"/>
        </w:numPr>
        <w:tabs>
          <w:tab w:val="clear" w:pos="851"/>
          <w:tab w:val="num" w:pos="720"/>
        </w:tabs>
        <w:spacing w:after="360" w:line="360" w:lineRule="auto"/>
        <w:ind w:left="720" w:right="-151" w:hanging="720"/>
        <w:jc w:val="both"/>
        <w:rPr>
          <w:rFonts w:ascii="Helvetica" w:eastAsia="HGMaruGothicMPRO" w:hAnsi="Helvetica" w:cs="Helvetica"/>
          <w:lang w:val="en-GB"/>
        </w:rPr>
      </w:pPr>
      <w:r w:rsidRPr="008A3778">
        <w:rPr>
          <w:rFonts w:ascii="Helvetica" w:eastAsia="HGMaruGothicMPRO" w:hAnsi="Helvetica" w:cs="Helvetica"/>
          <w:lang w:val="en-GB"/>
        </w:rPr>
        <w:t>As the ninth respondent correctly argues</w:t>
      </w:r>
      <w:r w:rsidR="00095F7A">
        <w:rPr>
          <w:rFonts w:ascii="Helvetica" w:eastAsia="HGMaruGothicMPRO" w:hAnsi="Helvetica" w:cs="Helvetica"/>
          <w:lang w:val="en-GB"/>
        </w:rPr>
        <w:t>,</w:t>
      </w:r>
      <w:r w:rsidRPr="008A3778">
        <w:rPr>
          <w:rFonts w:ascii="Helvetica" w:eastAsia="HGMaruGothicMPRO" w:hAnsi="Helvetica" w:cs="Helvetica"/>
          <w:lang w:val="en-GB"/>
        </w:rPr>
        <w:t xml:space="preserve"> Ms. Collatz is not disadvantaged through the application of section 37C, the section is as beneficial to her as it is to Mr. Collatz’s other dependents. </w:t>
      </w:r>
    </w:p>
    <w:p w14:paraId="6751B67C" w14:textId="52EE00BD" w:rsidR="008C46DD" w:rsidRPr="008A3778" w:rsidRDefault="00FC2846" w:rsidP="002A1543">
      <w:pPr>
        <w:numPr>
          <w:ilvl w:val="0"/>
          <w:numId w:val="1"/>
        </w:numPr>
        <w:spacing w:after="360" w:line="360" w:lineRule="auto"/>
        <w:ind w:left="720" w:right="-151" w:hanging="720"/>
        <w:jc w:val="both"/>
        <w:rPr>
          <w:rFonts w:ascii="Helvetica" w:eastAsia="Calibri" w:hAnsi="Helvetica" w:cs="Helvetica"/>
          <w:lang w:val="en-GB"/>
        </w:rPr>
      </w:pPr>
      <w:r>
        <w:rPr>
          <w:rFonts w:ascii="Helvetica" w:eastAsia="Calibri" w:hAnsi="Helvetica" w:cs="Helvetica"/>
          <w:lang w:val="en-GB"/>
        </w:rPr>
        <w:t>Consequently</w:t>
      </w:r>
      <w:r w:rsidR="005D4193" w:rsidRPr="008A3778">
        <w:rPr>
          <w:rFonts w:ascii="Helvetica" w:eastAsia="Calibri" w:hAnsi="Helvetica" w:cs="Helvetica"/>
          <w:lang w:val="en-GB"/>
        </w:rPr>
        <w:t xml:space="preserve">, </w:t>
      </w:r>
      <w:r w:rsidR="008C46DD" w:rsidRPr="008A3778">
        <w:rPr>
          <w:rFonts w:ascii="Helvetica" w:eastAsia="Calibri" w:hAnsi="Helvetica" w:cs="Helvetica"/>
          <w:lang w:val="en-GB"/>
        </w:rPr>
        <w:t>the appellants must fail in their appeal</w:t>
      </w:r>
      <w:r w:rsidR="009F3597" w:rsidRPr="008A3778">
        <w:rPr>
          <w:rFonts w:ascii="Helvetica" w:eastAsia="Calibri" w:hAnsi="Helvetica" w:cs="Helvetica"/>
          <w:lang w:val="en-GB"/>
        </w:rPr>
        <w:t xml:space="preserve"> </w:t>
      </w:r>
      <w:r w:rsidR="00652C85" w:rsidRPr="008A3778">
        <w:rPr>
          <w:rFonts w:ascii="Helvetica" w:eastAsia="Calibri" w:hAnsi="Helvetica" w:cs="Helvetica"/>
          <w:lang w:val="en-GB"/>
        </w:rPr>
        <w:t>and the</w:t>
      </w:r>
      <w:r>
        <w:rPr>
          <w:rFonts w:ascii="Helvetica" w:eastAsia="Calibri" w:hAnsi="Helvetica" w:cs="Helvetica"/>
          <w:lang w:val="en-GB"/>
        </w:rPr>
        <w:t>ir</w:t>
      </w:r>
      <w:r w:rsidR="00652C85" w:rsidRPr="008A3778">
        <w:rPr>
          <w:rFonts w:ascii="Helvetica" w:eastAsia="Calibri" w:hAnsi="Helvetica" w:cs="Helvetica"/>
          <w:lang w:val="en-GB"/>
        </w:rPr>
        <w:t xml:space="preserve"> appeal </w:t>
      </w:r>
      <w:r w:rsidR="003A214B" w:rsidRPr="008A3778">
        <w:rPr>
          <w:rFonts w:ascii="Helvetica" w:eastAsia="Calibri" w:hAnsi="Helvetica" w:cs="Helvetica"/>
          <w:lang w:val="en-GB"/>
        </w:rPr>
        <w:t xml:space="preserve">thus </w:t>
      </w:r>
      <w:r w:rsidR="00652C85" w:rsidRPr="008A3778">
        <w:rPr>
          <w:rFonts w:ascii="Helvetica" w:eastAsia="Calibri" w:hAnsi="Helvetica" w:cs="Helvetica"/>
          <w:lang w:val="en-GB"/>
        </w:rPr>
        <w:t>falls to be dismissed.</w:t>
      </w:r>
      <w:r w:rsidR="008C46DD" w:rsidRPr="008A3778">
        <w:rPr>
          <w:rFonts w:ascii="Helvetica" w:eastAsia="Calibri" w:hAnsi="Helvetica" w:cs="Helvetica"/>
          <w:lang w:val="en-GB"/>
        </w:rPr>
        <w:t xml:space="preserve"> </w:t>
      </w:r>
    </w:p>
    <w:p w14:paraId="26E07E02" w14:textId="30232A1D" w:rsidR="008C46DD" w:rsidRPr="008A3778" w:rsidRDefault="008C46DD" w:rsidP="00BB0C87">
      <w:pPr>
        <w:numPr>
          <w:ilvl w:val="0"/>
          <w:numId w:val="1"/>
        </w:numPr>
        <w:tabs>
          <w:tab w:val="clear" w:pos="851"/>
          <w:tab w:val="num" w:pos="720"/>
        </w:tabs>
        <w:spacing w:after="360" w:line="360" w:lineRule="auto"/>
        <w:ind w:left="720" w:right="-151" w:hanging="720"/>
        <w:jc w:val="both"/>
        <w:rPr>
          <w:rFonts w:ascii="Helvetica" w:eastAsia="Calibri" w:hAnsi="Helvetica" w:cs="Helvetica"/>
          <w:lang w:val="en-GB"/>
        </w:rPr>
      </w:pPr>
      <w:r w:rsidRPr="008A3778">
        <w:rPr>
          <w:rFonts w:ascii="Helvetica" w:eastAsia="HGMaruGothicMPRO" w:hAnsi="Helvetica" w:cs="Helvetica"/>
          <w:lang w:val="en-GB"/>
        </w:rPr>
        <w:t>Because</w:t>
      </w:r>
      <w:r w:rsidRPr="008A3778">
        <w:rPr>
          <w:rFonts w:ascii="Helvetica" w:eastAsia="Calibri" w:hAnsi="Helvetica" w:cs="Helvetica"/>
          <w:lang w:val="en-GB"/>
        </w:rPr>
        <w:t xml:space="preserve"> of the conclusions that </w:t>
      </w:r>
      <w:r w:rsidR="00B0653F" w:rsidRPr="008A3778">
        <w:rPr>
          <w:rFonts w:ascii="Helvetica" w:eastAsia="Calibri" w:hAnsi="Helvetica" w:cs="Helvetica"/>
          <w:lang w:val="en-GB"/>
        </w:rPr>
        <w:t xml:space="preserve">I </w:t>
      </w:r>
      <w:r w:rsidRPr="008A3778">
        <w:rPr>
          <w:rFonts w:ascii="Helvetica" w:eastAsia="Calibri" w:hAnsi="Helvetica" w:cs="Helvetica"/>
          <w:lang w:val="en-GB"/>
        </w:rPr>
        <w:t>come to in this appeal</w:t>
      </w:r>
      <w:r w:rsidR="005C21EE" w:rsidRPr="008A3778">
        <w:rPr>
          <w:rFonts w:ascii="Helvetica" w:eastAsia="Calibri" w:hAnsi="Helvetica" w:cs="Helvetica"/>
          <w:lang w:val="en-GB"/>
        </w:rPr>
        <w:t xml:space="preserve"> </w:t>
      </w:r>
      <w:r w:rsidR="00B0653F" w:rsidRPr="008A3778">
        <w:rPr>
          <w:rFonts w:ascii="Helvetica" w:eastAsia="Calibri" w:hAnsi="Helvetica" w:cs="Helvetica"/>
          <w:lang w:val="en-GB"/>
        </w:rPr>
        <w:t>and</w:t>
      </w:r>
      <w:r w:rsidR="005C21EE" w:rsidRPr="008A3778">
        <w:rPr>
          <w:rFonts w:ascii="Helvetica" w:eastAsia="Calibri" w:hAnsi="Helvetica" w:cs="Helvetica"/>
          <w:lang w:val="en-GB"/>
        </w:rPr>
        <w:t xml:space="preserve"> </w:t>
      </w:r>
      <w:r w:rsidR="00652C85" w:rsidRPr="008A3778">
        <w:rPr>
          <w:rFonts w:ascii="Helvetica" w:eastAsia="Calibri" w:hAnsi="Helvetica" w:cs="Helvetica"/>
          <w:lang w:val="en-GB"/>
        </w:rPr>
        <w:t xml:space="preserve">the </w:t>
      </w:r>
      <w:r w:rsidR="00095F7A">
        <w:rPr>
          <w:rFonts w:ascii="Helvetica" w:eastAsia="Calibri" w:hAnsi="Helvetica" w:cs="Helvetica"/>
          <w:lang w:val="en-GB"/>
        </w:rPr>
        <w:t>ac</w:t>
      </w:r>
      <w:r w:rsidR="00652C85" w:rsidRPr="008A3778">
        <w:rPr>
          <w:rFonts w:ascii="Helvetica" w:eastAsia="Calibri" w:hAnsi="Helvetica" w:cs="Helvetica"/>
          <w:lang w:val="en-GB"/>
        </w:rPr>
        <w:t>company</w:t>
      </w:r>
      <w:r w:rsidR="00095F7A">
        <w:rPr>
          <w:rFonts w:ascii="Helvetica" w:eastAsia="Calibri" w:hAnsi="Helvetica" w:cs="Helvetica"/>
          <w:lang w:val="en-GB"/>
        </w:rPr>
        <w:t>ing</w:t>
      </w:r>
      <w:r w:rsidR="005C21EE" w:rsidRPr="008A3778">
        <w:rPr>
          <w:rFonts w:ascii="Helvetica" w:eastAsia="Calibri" w:hAnsi="Helvetica" w:cs="Helvetica"/>
          <w:lang w:val="en-GB"/>
        </w:rPr>
        <w:t xml:space="preserve"> dismissal</w:t>
      </w:r>
      <w:r w:rsidRPr="008A3778">
        <w:rPr>
          <w:rFonts w:ascii="Helvetica" w:eastAsia="Calibri" w:hAnsi="Helvetica" w:cs="Helvetica"/>
          <w:lang w:val="en-GB"/>
        </w:rPr>
        <w:t xml:space="preserve">, </w:t>
      </w:r>
      <w:r w:rsidR="0096076F" w:rsidRPr="008A3778">
        <w:rPr>
          <w:rFonts w:ascii="Helvetica" w:eastAsia="Calibri" w:hAnsi="Helvetica" w:cs="Helvetica"/>
          <w:lang w:val="en-GB"/>
        </w:rPr>
        <w:t xml:space="preserve">it is </w:t>
      </w:r>
      <w:r w:rsidR="003F0A55" w:rsidRPr="008A3778">
        <w:rPr>
          <w:rFonts w:ascii="Helvetica" w:eastAsia="Calibri" w:hAnsi="Helvetica" w:cs="Helvetica"/>
          <w:lang w:val="en-GB"/>
        </w:rPr>
        <w:t xml:space="preserve">unnecessary for me to specifically </w:t>
      </w:r>
      <w:r w:rsidRPr="008A3778">
        <w:rPr>
          <w:rFonts w:ascii="Helvetica" w:eastAsia="Calibri" w:hAnsi="Helvetica" w:cs="Helvetica"/>
          <w:lang w:val="en-GB"/>
        </w:rPr>
        <w:t>consider</w:t>
      </w:r>
      <w:r w:rsidR="001922EC" w:rsidRPr="008A3778">
        <w:rPr>
          <w:rFonts w:ascii="Helvetica" w:eastAsia="Calibri" w:hAnsi="Helvetica" w:cs="Helvetica"/>
          <w:lang w:val="en-GB"/>
        </w:rPr>
        <w:t xml:space="preserve"> and deal with, </w:t>
      </w:r>
      <w:r w:rsidR="00023D47" w:rsidRPr="00023D47">
        <w:rPr>
          <w:rFonts w:ascii="Helvetica" w:eastAsia="Calibri" w:hAnsi="Helvetica" w:cs="Helvetica"/>
          <w:i/>
          <w:iCs/>
          <w:lang w:val="en-GB"/>
        </w:rPr>
        <w:t>inter-alia</w:t>
      </w:r>
      <w:r w:rsidR="001922EC" w:rsidRPr="008A3778">
        <w:rPr>
          <w:rFonts w:ascii="Helvetica" w:eastAsia="Calibri" w:hAnsi="Helvetica" w:cs="Helvetica"/>
          <w:lang w:val="en-GB"/>
        </w:rPr>
        <w:t>,</w:t>
      </w:r>
      <w:r w:rsidR="003F0A55" w:rsidRPr="008A3778">
        <w:rPr>
          <w:rFonts w:ascii="Helvetica" w:eastAsia="Calibri" w:hAnsi="Helvetica" w:cs="Helvetica"/>
          <w:lang w:val="en-GB"/>
        </w:rPr>
        <w:t xml:space="preserve"> the following</w:t>
      </w:r>
      <w:r w:rsidRPr="008A3778">
        <w:rPr>
          <w:rFonts w:ascii="Helvetica" w:eastAsia="Calibri" w:hAnsi="Helvetica" w:cs="Helvetica"/>
          <w:lang w:val="en-GB"/>
        </w:rPr>
        <w:t>:</w:t>
      </w:r>
    </w:p>
    <w:p w14:paraId="0D4EE394" w14:textId="61193870" w:rsidR="008C46DD" w:rsidRPr="008A3778" w:rsidRDefault="008C46DD" w:rsidP="00BB0C87">
      <w:pPr>
        <w:numPr>
          <w:ilvl w:val="1"/>
          <w:numId w:val="1"/>
        </w:numPr>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the appellants</w:t>
      </w:r>
      <w:r w:rsidR="00652C85" w:rsidRPr="008A3778">
        <w:rPr>
          <w:rFonts w:ascii="Helvetica" w:eastAsia="Calibri" w:hAnsi="Helvetica" w:cs="Helvetica"/>
          <w:lang w:val="en-GB"/>
        </w:rPr>
        <w:t>’</w:t>
      </w:r>
      <w:r w:rsidRPr="008A3778">
        <w:rPr>
          <w:rFonts w:ascii="Helvetica" w:eastAsia="Calibri" w:hAnsi="Helvetica" w:cs="Helvetica"/>
          <w:lang w:val="en-GB"/>
        </w:rPr>
        <w:t xml:space="preserve"> abandonment</w:t>
      </w:r>
      <w:r w:rsidR="003F0A55" w:rsidRPr="008A3778">
        <w:rPr>
          <w:rFonts w:ascii="Helvetica" w:eastAsia="Calibri" w:hAnsi="Helvetica" w:cs="Helvetica"/>
          <w:lang w:val="en-GB"/>
        </w:rPr>
        <w:t xml:space="preserve">, </w:t>
      </w:r>
      <w:r w:rsidR="00F149CD" w:rsidRPr="008A3778">
        <w:rPr>
          <w:rFonts w:ascii="Helvetica" w:eastAsia="Calibri" w:hAnsi="Helvetica" w:cs="Helvetica"/>
          <w:lang w:val="en-GB"/>
        </w:rPr>
        <w:t xml:space="preserve">and </w:t>
      </w:r>
      <w:r w:rsidR="003F0A55" w:rsidRPr="008A3778">
        <w:rPr>
          <w:rFonts w:ascii="Helvetica" w:eastAsia="Calibri" w:hAnsi="Helvetica" w:cs="Helvetica"/>
          <w:lang w:val="en-GB"/>
        </w:rPr>
        <w:t>the consequences thereof,</w:t>
      </w:r>
      <w:r w:rsidRPr="008A3778">
        <w:rPr>
          <w:rFonts w:ascii="Helvetica" w:eastAsia="Calibri" w:hAnsi="Helvetica" w:cs="Helvetica"/>
          <w:lang w:val="en-GB"/>
        </w:rPr>
        <w:t xml:space="preserve"> of the relief initially sought by them against the second respondent, within the context of their accompanying failure to tender the second respondent</w:t>
      </w:r>
      <w:r w:rsidR="00095F7A">
        <w:rPr>
          <w:rFonts w:ascii="Helvetica" w:eastAsia="Calibri" w:hAnsi="Helvetica" w:cs="Helvetica"/>
          <w:lang w:val="en-GB"/>
        </w:rPr>
        <w:t>’</w:t>
      </w:r>
      <w:r w:rsidRPr="008A3778">
        <w:rPr>
          <w:rFonts w:ascii="Helvetica" w:eastAsia="Calibri" w:hAnsi="Helvetica" w:cs="Helvetica"/>
          <w:lang w:val="en-GB"/>
        </w:rPr>
        <w:t xml:space="preserve">s costs; </w:t>
      </w:r>
    </w:p>
    <w:p w14:paraId="359C63A7" w14:textId="533A585A" w:rsidR="0096076F" w:rsidRPr="008A3778" w:rsidRDefault="0096076F" w:rsidP="00BB0C87">
      <w:pPr>
        <w:numPr>
          <w:ilvl w:val="1"/>
          <w:numId w:val="1"/>
        </w:numPr>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the first and second respondents</w:t>
      </w:r>
      <w:r w:rsidR="001922EC" w:rsidRPr="008A3778">
        <w:rPr>
          <w:rFonts w:ascii="Helvetica" w:eastAsia="Calibri" w:hAnsi="Helvetica" w:cs="Helvetica"/>
          <w:lang w:val="en-GB"/>
        </w:rPr>
        <w:t>’</w:t>
      </w:r>
      <w:r w:rsidRPr="008A3778">
        <w:rPr>
          <w:rFonts w:ascii="Helvetica" w:eastAsia="Calibri" w:hAnsi="Helvetica" w:cs="Helvetica"/>
          <w:lang w:val="en-GB"/>
        </w:rPr>
        <w:t xml:space="preserve"> argument </w:t>
      </w:r>
      <w:r w:rsidR="005371D3">
        <w:rPr>
          <w:rFonts w:ascii="Helvetica" w:eastAsia="Calibri" w:hAnsi="Helvetica" w:cs="Helvetica"/>
          <w:lang w:val="en-GB"/>
        </w:rPr>
        <w:t xml:space="preserve">and </w:t>
      </w:r>
      <w:r w:rsidRPr="008A3778">
        <w:rPr>
          <w:rFonts w:ascii="Helvetica" w:eastAsia="Calibri" w:hAnsi="Helvetica" w:cs="Helvetica"/>
          <w:lang w:val="en-GB"/>
        </w:rPr>
        <w:t xml:space="preserve">the challenges </w:t>
      </w:r>
      <w:bookmarkStart w:id="17" w:name="_Hlk90739433"/>
      <w:r w:rsidR="00F149CD" w:rsidRPr="008A3778">
        <w:rPr>
          <w:rFonts w:ascii="Helvetica" w:eastAsia="Calibri" w:hAnsi="Helvetica" w:cs="Helvetica"/>
          <w:lang w:val="en-GB"/>
        </w:rPr>
        <w:t xml:space="preserve">to </w:t>
      </w:r>
      <w:r w:rsidRPr="008A3778">
        <w:rPr>
          <w:rFonts w:ascii="Helvetica" w:eastAsia="Calibri" w:hAnsi="Helvetica" w:cs="Helvetica"/>
          <w:lang w:val="en-GB"/>
        </w:rPr>
        <w:t>Mr</w:t>
      </w:r>
      <w:r w:rsidR="00454141">
        <w:rPr>
          <w:rFonts w:ascii="Helvetica" w:eastAsia="Calibri" w:hAnsi="Helvetica" w:cs="Helvetica"/>
          <w:lang w:val="en-GB"/>
        </w:rPr>
        <w:t>.</w:t>
      </w:r>
      <w:r w:rsidRPr="008A3778">
        <w:rPr>
          <w:rFonts w:ascii="Helvetica" w:eastAsia="Calibri" w:hAnsi="Helvetica" w:cs="Helvetica"/>
          <w:lang w:val="en-GB"/>
        </w:rPr>
        <w:t xml:space="preserve"> Collatz’s mental capacity </w:t>
      </w:r>
      <w:bookmarkEnd w:id="17"/>
      <w:r w:rsidRPr="008A3778">
        <w:rPr>
          <w:rFonts w:ascii="Helvetica" w:eastAsia="Calibri" w:hAnsi="Helvetica" w:cs="Helvetica"/>
          <w:lang w:val="en-GB"/>
        </w:rPr>
        <w:t>falls beyond the definition of a “</w:t>
      </w:r>
      <w:r w:rsidRPr="008A3778">
        <w:rPr>
          <w:rFonts w:ascii="Helvetica" w:eastAsia="Calibri" w:hAnsi="Helvetica" w:cs="Helvetica"/>
          <w:i/>
          <w:iCs/>
          <w:lang w:val="en-GB"/>
        </w:rPr>
        <w:t>complaint</w:t>
      </w:r>
      <w:r w:rsidRPr="008A3778">
        <w:rPr>
          <w:rFonts w:ascii="Helvetica" w:eastAsia="Calibri" w:hAnsi="Helvetica" w:cs="Helvetica"/>
          <w:lang w:val="en-GB"/>
        </w:rPr>
        <w:t>” and therefore cannot form the subject matter of a section 30P complaint, and by extension the section 30P application</w:t>
      </w:r>
      <w:r w:rsidR="00F149CD" w:rsidRPr="008A3778">
        <w:rPr>
          <w:rFonts w:ascii="Helvetica" w:eastAsia="Calibri" w:hAnsi="Helvetica" w:cs="Helvetica"/>
          <w:lang w:val="en-GB"/>
        </w:rPr>
        <w:t>;</w:t>
      </w:r>
    </w:p>
    <w:p w14:paraId="1A37B37D" w14:textId="7A997212" w:rsidR="00E9769B" w:rsidRPr="008A3778" w:rsidRDefault="00E9769B" w:rsidP="00BB0C87">
      <w:pPr>
        <w:numPr>
          <w:ilvl w:val="1"/>
          <w:numId w:val="1"/>
        </w:numPr>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the first and second respondents’ argument that the appellants “</w:t>
      </w:r>
      <w:r w:rsidRPr="008A3778">
        <w:rPr>
          <w:rFonts w:ascii="Helvetica" w:eastAsia="Calibri" w:hAnsi="Helvetica" w:cs="Helvetica"/>
          <w:i/>
          <w:iCs/>
          <w:lang w:val="en-GB"/>
        </w:rPr>
        <w:t>new cause of action</w:t>
      </w:r>
      <w:r w:rsidRPr="008A3778">
        <w:rPr>
          <w:rFonts w:ascii="Helvetica" w:eastAsia="Calibri" w:hAnsi="Helvetica" w:cs="Helvetica"/>
          <w:lang w:val="en-GB"/>
        </w:rPr>
        <w:t xml:space="preserve">” </w:t>
      </w:r>
      <w:r w:rsidR="00F149CD" w:rsidRPr="008A3778">
        <w:rPr>
          <w:rFonts w:ascii="Helvetica" w:eastAsia="Calibri" w:hAnsi="Helvetica" w:cs="Helvetica"/>
          <w:lang w:val="en-GB"/>
        </w:rPr>
        <w:t xml:space="preserve">(a reference to the new complaints) </w:t>
      </w:r>
      <w:r w:rsidRPr="008A3778">
        <w:rPr>
          <w:rFonts w:ascii="Helvetica" w:eastAsia="Calibri" w:hAnsi="Helvetica" w:cs="Helvetica"/>
          <w:lang w:val="en-GB"/>
        </w:rPr>
        <w:t>is “</w:t>
      </w:r>
      <w:r w:rsidRPr="008A3778">
        <w:rPr>
          <w:rFonts w:ascii="Helvetica" w:eastAsia="Calibri" w:hAnsi="Helvetica" w:cs="Helvetica"/>
          <w:i/>
          <w:iCs/>
          <w:lang w:val="en-GB"/>
        </w:rPr>
        <w:t xml:space="preserve">time barred in terms of the provisions of the [Pension Funds Act] and the </w:t>
      </w:r>
      <w:r w:rsidRPr="005371D3">
        <w:rPr>
          <w:rFonts w:ascii="Helvetica" w:eastAsia="Calibri" w:hAnsi="Helvetica" w:cs="Helvetica"/>
          <w:i/>
          <w:iCs/>
          <w:lang w:val="en-GB"/>
        </w:rPr>
        <w:t>Prescription</w:t>
      </w:r>
      <w:r w:rsidRPr="008A3778">
        <w:rPr>
          <w:rFonts w:ascii="Helvetica" w:eastAsia="Calibri" w:hAnsi="Helvetica" w:cs="Helvetica"/>
          <w:i/>
          <w:iCs/>
          <w:lang w:val="en-GB"/>
        </w:rPr>
        <w:t xml:space="preserve"> Act</w:t>
      </w:r>
      <w:r w:rsidRPr="008A3778">
        <w:rPr>
          <w:rFonts w:ascii="Helvetica" w:eastAsia="Calibri" w:hAnsi="Helvetica" w:cs="Helvetica"/>
          <w:lang w:val="en-GB"/>
        </w:rPr>
        <w:t>”</w:t>
      </w:r>
      <w:r w:rsidR="00F149CD" w:rsidRPr="008A3778">
        <w:rPr>
          <w:rFonts w:ascii="Helvetica" w:eastAsia="Calibri" w:hAnsi="Helvetica" w:cs="Helvetica"/>
          <w:lang w:val="en-GB"/>
        </w:rPr>
        <w:t>;</w:t>
      </w:r>
    </w:p>
    <w:p w14:paraId="267D57DE" w14:textId="1A17E34D" w:rsidR="008C46DD" w:rsidRPr="008A3778" w:rsidRDefault="008C46DD" w:rsidP="00BB0C87">
      <w:pPr>
        <w:numPr>
          <w:ilvl w:val="1"/>
          <w:numId w:val="1"/>
        </w:numPr>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 xml:space="preserve">the first and second respondents’ contention regarding the non-citation of </w:t>
      </w:r>
      <w:r w:rsidR="00CD73FF">
        <w:rPr>
          <w:rFonts w:ascii="Helvetica" w:eastAsia="Calibri" w:hAnsi="Helvetica" w:cs="Helvetica"/>
          <w:lang w:val="en-GB"/>
        </w:rPr>
        <w:t xml:space="preserve">Mr. </w:t>
      </w:r>
      <w:r w:rsidRPr="008A3778">
        <w:rPr>
          <w:rFonts w:ascii="Helvetica" w:eastAsia="Calibri" w:hAnsi="Helvetica" w:cs="Helvetica"/>
          <w:lang w:val="en-GB"/>
        </w:rPr>
        <w:t>Bakos and his employer</w:t>
      </w:r>
      <w:r w:rsidR="00CD73FF">
        <w:rPr>
          <w:rFonts w:ascii="Helvetica" w:eastAsia="Calibri" w:hAnsi="Helvetica" w:cs="Helvetica"/>
          <w:lang w:val="en-GB"/>
        </w:rPr>
        <w:t>,</w:t>
      </w:r>
      <w:r w:rsidRPr="008A3778">
        <w:rPr>
          <w:rFonts w:ascii="Helvetica" w:eastAsia="Calibri" w:hAnsi="Helvetica" w:cs="Helvetica"/>
          <w:lang w:val="en-GB"/>
        </w:rPr>
        <w:t xml:space="preserve"> Alexander Forbes Financial Planning Consultants (Pty) </w:t>
      </w:r>
      <w:r w:rsidRPr="008A3778">
        <w:rPr>
          <w:rFonts w:ascii="Helvetica" w:eastAsia="Calibri" w:hAnsi="Helvetica" w:cs="Helvetica"/>
          <w:lang w:val="en-GB"/>
        </w:rPr>
        <w:lastRenderedPageBreak/>
        <w:t xml:space="preserve">Ltd - notwithstanding </w:t>
      </w:r>
      <w:r w:rsidR="00FC0709">
        <w:rPr>
          <w:rFonts w:ascii="Helvetica" w:eastAsia="Calibri" w:hAnsi="Helvetica" w:cs="Helvetica"/>
          <w:lang w:val="en-GB"/>
        </w:rPr>
        <w:t>th</w:t>
      </w:r>
      <w:r w:rsidRPr="008A3778">
        <w:rPr>
          <w:rFonts w:ascii="Helvetica" w:eastAsia="Calibri" w:hAnsi="Helvetica" w:cs="Helvetica"/>
          <w:lang w:val="en-GB"/>
        </w:rPr>
        <w:t xml:space="preserve">at this point </w:t>
      </w:r>
      <w:r w:rsidR="003F0A55" w:rsidRPr="008A3778">
        <w:rPr>
          <w:rFonts w:ascii="Helvetica" w:eastAsia="Calibri" w:hAnsi="Helvetica" w:cs="Helvetica"/>
          <w:lang w:val="en-GB"/>
        </w:rPr>
        <w:t>was</w:t>
      </w:r>
      <w:r w:rsidRPr="008A3778">
        <w:rPr>
          <w:rFonts w:ascii="Helvetica" w:eastAsia="Calibri" w:hAnsi="Helvetica" w:cs="Helvetica"/>
          <w:lang w:val="en-GB"/>
        </w:rPr>
        <w:t xml:space="preserve"> not </w:t>
      </w:r>
      <w:r w:rsidR="003F0A55" w:rsidRPr="008A3778">
        <w:rPr>
          <w:rFonts w:ascii="Helvetica" w:eastAsia="Calibri" w:hAnsi="Helvetica" w:cs="Helvetica"/>
          <w:lang w:val="en-GB"/>
        </w:rPr>
        <w:t>seriously</w:t>
      </w:r>
      <w:r w:rsidR="00FC0709">
        <w:rPr>
          <w:rFonts w:ascii="Helvetica" w:eastAsia="Calibri" w:hAnsi="Helvetica" w:cs="Helvetica"/>
          <w:lang w:val="en-GB"/>
        </w:rPr>
        <w:t>,</w:t>
      </w:r>
      <w:r w:rsidR="003F0A55" w:rsidRPr="008A3778">
        <w:rPr>
          <w:rFonts w:ascii="Helvetica" w:eastAsia="Calibri" w:hAnsi="Helvetica" w:cs="Helvetica"/>
          <w:lang w:val="en-GB"/>
        </w:rPr>
        <w:t xml:space="preserve"> if at all, </w:t>
      </w:r>
      <w:r w:rsidRPr="008A3778">
        <w:rPr>
          <w:rFonts w:ascii="Helvetica" w:eastAsia="Calibri" w:hAnsi="Helvetica" w:cs="Helvetica"/>
          <w:lang w:val="en-GB"/>
        </w:rPr>
        <w:t>addressed or pressed in this appeal</w:t>
      </w:r>
      <w:r w:rsidR="003F0A55" w:rsidRPr="008A3778">
        <w:rPr>
          <w:rFonts w:ascii="Helvetica" w:eastAsia="Calibri" w:hAnsi="Helvetica" w:cs="Helvetica"/>
          <w:lang w:val="en-GB"/>
        </w:rPr>
        <w:t xml:space="preserve">, </w:t>
      </w:r>
      <w:r w:rsidRPr="008A3778">
        <w:rPr>
          <w:rFonts w:ascii="Helvetica" w:eastAsia="Calibri" w:hAnsi="Helvetica" w:cs="Helvetica"/>
          <w:lang w:val="en-GB"/>
        </w:rPr>
        <w:t xml:space="preserve">an appeal court nevertheless can </w:t>
      </w:r>
      <w:r w:rsidRPr="008A3778">
        <w:rPr>
          <w:rFonts w:ascii="Helvetica" w:eastAsia="Calibri" w:hAnsi="Helvetica" w:cs="Helvetica"/>
          <w:i/>
          <w:iCs/>
          <w:lang w:val="en-GB"/>
        </w:rPr>
        <w:t>mero muto</w:t>
      </w:r>
      <w:r w:rsidRPr="008A3778">
        <w:rPr>
          <w:rFonts w:ascii="Helvetica" w:eastAsia="Calibri" w:hAnsi="Helvetica" w:cs="Helvetica"/>
          <w:lang w:val="en-GB"/>
        </w:rPr>
        <w:t xml:space="preserve"> raise the issue of non-joinder;</w:t>
      </w:r>
      <w:r w:rsidRPr="008A3778">
        <w:rPr>
          <w:rFonts w:ascii="Helvetica" w:eastAsia="Calibri" w:hAnsi="Helvetica" w:cs="Helvetica"/>
          <w:vertAlign w:val="superscript"/>
          <w:lang w:val="en-GB"/>
        </w:rPr>
        <w:footnoteReference w:id="79"/>
      </w:r>
      <w:r w:rsidR="00F149CD" w:rsidRPr="008A3778">
        <w:rPr>
          <w:rFonts w:ascii="Helvetica" w:eastAsia="Calibri" w:hAnsi="Helvetica" w:cs="Helvetica"/>
          <w:lang w:val="en-GB"/>
        </w:rPr>
        <w:t xml:space="preserve"> and </w:t>
      </w:r>
    </w:p>
    <w:p w14:paraId="31A0B4D8" w14:textId="6DD8B934" w:rsidR="008C46DD" w:rsidRPr="008A3778" w:rsidRDefault="008C46DD" w:rsidP="00BB0C87">
      <w:pPr>
        <w:numPr>
          <w:ilvl w:val="1"/>
          <w:numId w:val="1"/>
        </w:numPr>
        <w:spacing w:after="360" w:line="360" w:lineRule="auto"/>
        <w:ind w:left="1440" w:right="-151" w:hanging="720"/>
        <w:jc w:val="both"/>
        <w:rPr>
          <w:rFonts w:ascii="Helvetica" w:eastAsia="Calibri" w:hAnsi="Helvetica" w:cs="Helvetica"/>
          <w:lang w:val="en-GB"/>
        </w:rPr>
      </w:pPr>
      <w:r w:rsidRPr="008A3778">
        <w:rPr>
          <w:rFonts w:ascii="Helvetica" w:eastAsia="Calibri" w:hAnsi="Helvetica" w:cs="Helvetica"/>
          <w:lang w:val="en-GB"/>
        </w:rPr>
        <w:t xml:space="preserve">the substantial taxation </w:t>
      </w:r>
      <w:r w:rsidR="00F149CD" w:rsidRPr="008A3778">
        <w:rPr>
          <w:rFonts w:ascii="Helvetica" w:eastAsia="Calibri" w:hAnsi="Helvetica" w:cs="Helvetica"/>
          <w:lang w:val="en-GB"/>
        </w:rPr>
        <w:t xml:space="preserve">and interest </w:t>
      </w:r>
      <w:r w:rsidRPr="008A3778">
        <w:rPr>
          <w:rFonts w:ascii="Helvetica" w:eastAsia="Calibri" w:hAnsi="Helvetica" w:cs="Helvetica"/>
          <w:lang w:val="en-GB"/>
        </w:rPr>
        <w:t>implications</w:t>
      </w:r>
      <w:r w:rsidR="001922EC" w:rsidRPr="008A3778">
        <w:rPr>
          <w:rFonts w:ascii="Helvetica" w:eastAsia="Calibri" w:hAnsi="Helvetica" w:cs="Helvetica"/>
          <w:lang w:val="en-GB"/>
        </w:rPr>
        <w:t xml:space="preserve"> and consequences</w:t>
      </w:r>
      <w:r w:rsidRPr="008A3778">
        <w:rPr>
          <w:rFonts w:ascii="Helvetica" w:eastAsia="Calibri" w:hAnsi="Helvetica" w:cs="Helvetica"/>
          <w:lang w:val="en-GB"/>
        </w:rPr>
        <w:t xml:space="preserve">, within the context of the relief sought by the appellants in their amended notice of motion, accompanying any order for the (re)payment of the amount of R 9,955,941.45. </w:t>
      </w:r>
    </w:p>
    <w:p w14:paraId="72B8C34B" w14:textId="19B9AE59" w:rsidR="008F49DA" w:rsidRPr="008A3778" w:rsidRDefault="007D7247" w:rsidP="008A3778">
      <w:pPr>
        <w:pStyle w:val="ListParagraph"/>
        <w:numPr>
          <w:ilvl w:val="0"/>
          <w:numId w:val="3"/>
        </w:numPr>
        <w:tabs>
          <w:tab w:val="left" w:pos="709"/>
        </w:tabs>
        <w:adjustRightInd w:val="0"/>
        <w:spacing w:after="480" w:line="360" w:lineRule="auto"/>
        <w:ind w:left="709" w:hanging="709"/>
        <w:contextualSpacing w:val="0"/>
        <w:jc w:val="both"/>
        <w:rPr>
          <w:rFonts w:ascii="Helvetica" w:hAnsi="Helvetica" w:cs="Helvetica"/>
          <w:lang w:val="en-GB"/>
        </w:rPr>
      </w:pPr>
      <w:r w:rsidRPr="008A3778">
        <w:rPr>
          <w:rFonts w:ascii="Helvetica" w:hAnsi="Helvetica" w:cs="Helvetica"/>
          <w:b/>
          <w:bCs/>
          <w:lang w:val="en-GB"/>
        </w:rPr>
        <w:t xml:space="preserve">THE ISSUE OF </w:t>
      </w:r>
      <w:r w:rsidR="000A7ECD" w:rsidRPr="008A3778">
        <w:rPr>
          <w:rFonts w:ascii="Helvetica" w:hAnsi="Helvetica" w:cs="Helvetica"/>
          <w:b/>
          <w:bCs/>
          <w:lang w:val="en-GB"/>
        </w:rPr>
        <w:t>COSTS</w:t>
      </w:r>
      <w:r w:rsidR="000A7ECD" w:rsidRPr="008A3778">
        <w:rPr>
          <w:rFonts w:ascii="Helvetica" w:eastAsia="Calibri" w:hAnsi="Helvetica" w:cs="Helvetica"/>
          <w:b/>
          <w:lang w:val="en-GB"/>
        </w:rPr>
        <w:t xml:space="preserve"> </w:t>
      </w:r>
    </w:p>
    <w:p w14:paraId="5E4826D5" w14:textId="5A90C935" w:rsidR="00E06E3B" w:rsidRPr="008A3778" w:rsidRDefault="00E06E3B"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The High Court ordered that the first appellant personally pay the costs of the section 30P application and, moreover,</w:t>
      </w:r>
      <w:r w:rsidR="007D7247" w:rsidRPr="008A3778">
        <w:rPr>
          <w:rFonts w:ascii="Helvetica" w:hAnsi="Helvetica" w:cs="Helvetica"/>
          <w:lang w:val="en-GB"/>
        </w:rPr>
        <w:t xml:space="preserve"> it ordered</w:t>
      </w:r>
      <w:r w:rsidRPr="008A3778">
        <w:rPr>
          <w:rFonts w:ascii="Helvetica" w:hAnsi="Helvetica" w:cs="Helvetica"/>
          <w:lang w:val="en-GB"/>
        </w:rPr>
        <w:t xml:space="preserve"> that such be paid on the punitive scale with the accompanying terms thereof relating to the employment of two counsel and senior counsel.</w:t>
      </w:r>
    </w:p>
    <w:p w14:paraId="7A8A9AF9" w14:textId="2582CE6B" w:rsidR="0085432C" w:rsidRPr="008A3778" w:rsidRDefault="000A7ECD"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It is a trite that a court considering a </w:t>
      </w:r>
      <w:r w:rsidR="007D7247" w:rsidRPr="008A3778">
        <w:rPr>
          <w:rFonts w:ascii="Helvetica" w:hAnsi="Helvetica" w:cs="Helvetica"/>
          <w:lang w:val="en-GB"/>
        </w:rPr>
        <w:t xml:space="preserve">costs </w:t>
      </w:r>
      <w:r w:rsidRPr="008A3778">
        <w:rPr>
          <w:rFonts w:ascii="Helvetica" w:hAnsi="Helvetica" w:cs="Helvetica"/>
          <w:lang w:val="en-GB"/>
        </w:rPr>
        <w:t>order exercises a discretion.</w:t>
      </w:r>
      <w:r w:rsidRPr="008A3778">
        <w:rPr>
          <w:rStyle w:val="FootnoteReference"/>
          <w:rFonts w:ascii="Helvetica" w:hAnsi="Helvetica" w:cs="Helvetica"/>
          <w:lang w:val="en-GB"/>
        </w:rPr>
        <w:footnoteReference w:id="80"/>
      </w:r>
      <w:r w:rsidRPr="008A3778">
        <w:rPr>
          <w:rFonts w:ascii="Helvetica" w:hAnsi="Helvetica" w:cs="Helvetica"/>
          <w:lang w:val="en-GB"/>
        </w:rPr>
        <w:t xml:space="preserve"> </w:t>
      </w:r>
      <w:r w:rsidR="00E06E3B" w:rsidRPr="008A3778">
        <w:rPr>
          <w:rFonts w:ascii="Helvetica" w:hAnsi="Helvetica" w:cs="Helvetica"/>
          <w:lang w:val="en-GB"/>
        </w:rPr>
        <w:t xml:space="preserve">Smalberger JA in </w:t>
      </w:r>
      <w:r w:rsidR="00E06E3B" w:rsidRPr="008A3778">
        <w:rPr>
          <w:rFonts w:ascii="Helvetica" w:hAnsi="Helvetica" w:cs="Helvetica"/>
          <w:b/>
          <w:bCs/>
          <w:lang w:val="en-GB"/>
        </w:rPr>
        <w:t>Intercontinental Exports (Pty) Ltd v Fowles</w:t>
      </w:r>
      <w:r w:rsidR="00E06E3B" w:rsidRPr="008A3778">
        <w:rPr>
          <w:rStyle w:val="FootnoteReference"/>
          <w:rFonts w:ascii="Helvetica" w:hAnsi="Helvetica" w:cs="Helvetica"/>
          <w:lang w:val="en-GB"/>
        </w:rPr>
        <w:footnoteReference w:id="81"/>
      </w:r>
      <w:r w:rsidR="00E06E3B" w:rsidRPr="008A3778">
        <w:rPr>
          <w:rFonts w:ascii="Helvetica" w:hAnsi="Helvetica" w:cs="Helvetica"/>
          <w:lang w:val="en-GB"/>
        </w:rPr>
        <w:t xml:space="preserve"> says the following regarding this discretion: </w:t>
      </w:r>
    </w:p>
    <w:p w14:paraId="736B57FC" w14:textId="5EBB59E0" w:rsidR="00E06E3B" w:rsidRPr="008A3778" w:rsidRDefault="00E06E3B" w:rsidP="003D368F">
      <w:pPr>
        <w:pStyle w:val="ListParagraph"/>
        <w:shd w:val="clear" w:color="auto" w:fill="FFFFFF"/>
        <w:spacing w:before="120" w:after="480" w:line="240" w:lineRule="auto"/>
        <w:ind w:left="1166" w:right="498"/>
        <w:contextualSpacing w:val="0"/>
        <w:jc w:val="both"/>
        <w:rPr>
          <w:rFonts w:ascii="Helvetica" w:hAnsi="Helvetica" w:cs="Helvetica"/>
          <w:lang w:val="en-GB"/>
        </w:rPr>
      </w:pPr>
      <w:r w:rsidRPr="008A3778">
        <w:rPr>
          <w:rFonts w:ascii="Helvetica" w:hAnsi="Helvetica" w:cs="Helvetica"/>
          <w:lang w:val="en-GB"/>
        </w:rPr>
        <w:t>“</w:t>
      </w:r>
      <w:r w:rsidRPr="008A3778">
        <w:rPr>
          <w:rFonts w:ascii="Helvetica" w:eastAsia="Times New Roman" w:hAnsi="Helvetica" w:cs="Helvetica"/>
          <w:i/>
          <w:iCs/>
          <w:lang w:val="en-GB" w:eastAsia="en-ZA"/>
        </w:rPr>
        <w:t>The court’s discretion is a wide, unfettered and equitable one. It is a facet of the court’s control over the proceedings before it. It is to be exercised judicially with due regard to all relevant consideration. These would include the nature of the litigation being conducted before it and the conduct before it and the conduct of the parties (or their representatives). A court may wish, in certain circumstances, to deprive a party of costs, or a portion thereof, or order lesser costs than it might otherwise have done as a mark of its displeasure at such party’s conduct in relation to the litigation</w:t>
      </w:r>
      <w:r w:rsidRPr="008A3778">
        <w:rPr>
          <w:rFonts w:ascii="Helvetica" w:hAnsi="Helvetica" w:cs="Helvetica"/>
          <w:lang w:val="en-GB"/>
        </w:rPr>
        <w:t>.”</w:t>
      </w:r>
    </w:p>
    <w:p w14:paraId="08BADE84" w14:textId="77777777" w:rsidR="00FC0709" w:rsidRDefault="00D1711A"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There is nothing to suggest that the High Court did not exercise its discretion judicially or for a finding, in this appeal, that the personal punitive costs order was unwarranted</w:t>
      </w:r>
      <w:r w:rsidR="002A1B20">
        <w:rPr>
          <w:rFonts w:ascii="Helvetica" w:hAnsi="Helvetica" w:cs="Helvetica"/>
          <w:lang w:val="en-GB"/>
        </w:rPr>
        <w:t>.</w:t>
      </w:r>
      <w:r w:rsidRPr="008A3778">
        <w:rPr>
          <w:rStyle w:val="FootnoteReference"/>
          <w:rFonts w:ascii="Helvetica" w:hAnsi="Helvetica" w:cs="Helvetica"/>
          <w:lang w:val="en-GB"/>
        </w:rPr>
        <w:footnoteReference w:id="82"/>
      </w:r>
      <w:r w:rsidRPr="008A3778">
        <w:rPr>
          <w:rFonts w:ascii="Helvetica" w:hAnsi="Helvetica" w:cs="Helvetica"/>
          <w:lang w:val="en-GB"/>
        </w:rPr>
        <w:t xml:space="preserve"> </w:t>
      </w:r>
      <w:r w:rsidR="0085432C" w:rsidRPr="008A3778">
        <w:rPr>
          <w:rFonts w:ascii="Helvetica" w:hAnsi="Helvetica" w:cs="Helvetica"/>
          <w:lang w:val="en-GB"/>
        </w:rPr>
        <w:t>T</w:t>
      </w:r>
      <w:r w:rsidR="000A7ECD" w:rsidRPr="008A3778">
        <w:rPr>
          <w:rFonts w:ascii="Helvetica" w:hAnsi="Helvetica" w:cs="Helvetica"/>
          <w:lang w:val="en-GB"/>
        </w:rPr>
        <w:t>he High Court specifically addressed, in paragraph [26] of its judgement, the question of costs</w:t>
      </w:r>
      <w:r w:rsidR="0085432C" w:rsidRPr="008A3778">
        <w:rPr>
          <w:rFonts w:ascii="Helvetica" w:hAnsi="Helvetica" w:cs="Helvetica"/>
          <w:lang w:val="en-GB"/>
        </w:rPr>
        <w:t xml:space="preserve"> and the circumstances that accompanied</w:t>
      </w:r>
      <w:r w:rsidR="007D7247" w:rsidRPr="008A3778">
        <w:rPr>
          <w:rFonts w:ascii="Helvetica" w:hAnsi="Helvetica" w:cs="Helvetica"/>
          <w:lang w:val="en-GB"/>
        </w:rPr>
        <w:t xml:space="preserve"> a consideration of a punitive </w:t>
      </w:r>
      <w:r w:rsidR="0085432C" w:rsidRPr="008A3778">
        <w:rPr>
          <w:rFonts w:ascii="Helvetica" w:hAnsi="Helvetica" w:cs="Helvetica"/>
          <w:lang w:val="en-GB"/>
        </w:rPr>
        <w:t xml:space="preserve">costs </w:t>
      </w:r>
      <w:r w:rsidR="0085432C" w:rsidRPr="008A3778">
        <w:rPr>
          <w:rFonts w:ascii="Helvetica" w:hAnsi="Helvetica" w:cs="Helvetica"/>
          <w:lang w:val="en-GB"/>
        </w:rPr>
        <w:lastRenderedPageBreak/>
        <w:t>order (within the context of “</w:t>
      </w:r>
      <w:r w:rsidR="0085432C" w:rsidRPr="008A3778">
        <w:rPr>
          <w:rFonts w:ascii="Helvetica" w:hAnsi="Helvetica" w:cs="Helvetica"/>
          <w:i/>
          <w:iCs/>
          <w:lang w:val="en-GB"/>
        </w:rPr>
        <w:t>this case</w:t>
      </w:r>
      <w:r w:rsidR="0085432C" w:rsidRPr="008A3778">
        <w:rPr>
          <w:rFonts w:ascii="Helvetica" w:hAnsi="Helvetica" w:cs="Helvetica"/>
          <w:lang w:val="en-GB"/>
        </w:rPr>
        <w:t>”)</w:t>
      </w:r>
      <w:r w:rsidR="000A7ECD" w:rsidRPr="008A3778">
        <w:rPr>
          <w:rFonts w:ascii="Helvetica" w:hAnsi="Helvetica" w:cs="Helvetica"/>
          <w:lang w:val="en-GB"/>
        </w:rPr>
        <w:t xml:space="preserve">. </w:t>
      </w:r>
      <w:r w:rsidR="00E06E3B" w:rsidRPr="008A3778">
        <w:rPr>
          <w:rFonts w:ascii="Helvetica" w:hAnsi="Helvetica" w:cs="Helvetica"/>
          <w:lang w:val="en-GB"/>
        </w:rPr>
        <w:t xml:space="preserve">It is apparent from the High Court’s judgement that </w:t>
      </w:r>
      <w:r w:rsidR="00FC0709">
        <w:rPr>
          <w:rFonts w:ascii="Helvetica" w:hAnsi="Helvetica" w:cs="Helvetica"/>
          <w:lang w:val="en-GB"/>
        </w:rPr>
        <w:t>it</w:t>
      </w:r>
      <w:r w:rsidR="00E06E3B" w:rsidRPr="008A3778">
        <w:rPr>
          <w:rFonts w:ascii="Helvetica" w:hAnsi="Helvetica" w:cs="Helvetica"/>
          <w:lang w:val="en-GB"/>
        </w:rPr>
        <w:t xml:space="preserve"> engaged with the appellants’ senior counsel on the issue of the punitive scale of costs.</w:t>
      </w:r>
      <w:r w:rsidR="00E06E3B" w:rsidRPr="008A3778">
        <w:rPr>
          <w:rStyle w:val="FootnoteReference"/>
          <w:rFonts w:ascii="Helvetica" w:hAnsi="Helvetica" w:cs="Helvetica"/>
          <w:lang w:val="en-GB"/>
        </w:rPr>
        <w:footnoteReference w:id="83"/>
      </w:r>
      <w:r w:rsidR="00E06E3B" w:rsidRPr="008A3778">
        <w:rPr>
          <w:rFonts w:ascii="Helvetica" w:hAnsi="Helvetica" w:cs="Helvetica"/>
          <w:lang w:val="en-GB"/>
        </w:rPr>
        <w:t xml:space="preserve"> The </w:t>
      </w:r>
      <w:r w:rsidR="008F15B9" w:rsidRPr="008A3778">
        <w:rPr>
          <w:rFonts w:ascii="Helvetica" w:hAnsi="Helvetica" w:cs="Helvetica"/>
          <w:lang w:val="en-GB"/>
        </w:rPr>
        <w:t>appellants do not suggest, let alone argue,</w:t>
      </w:r>
      <w:r w:rsidR="00E06E3B" w:rsidRPr="008A3778">
        <w:rPr>
          <w:rFonts w:ascii="Helvetica" w:hAnsi="Helvetica" w:cs="Helvetica"/>
          <w:lang w:val="en-GB"/>
        </w:rPr>
        <w:t xml:space="preserve"> </w:t>
      </w:r>
      <w:r w:rsidR="008F15B9" w:rsidRPr="008A3778">
        <w:rPr>
          <w:rFonts w:ascii="Helvetica" w:hAnsi="Helvetica" w:cs="Helvetica"/>
          <w:lang w:val="en-GB"/>
        </w:rPr>
        <w:t xml:space="preserve">the contrary </w:t>
      </w:r>
      <w:r w:rsidR="00E06E3B" w:rsidRPr="008A3778">
        <w:rPr>
          <w:rFonts w:ascii="Helvetica" w:hAnsi="Helvetica" w:cs="Helvetica"/>
          <w:lang w:val="en-GB"/>
        </w:rPr>
        <w:t>in this appeal.</w:t>
      </w:r>
      <w:r w:rsidRPr="008A3778">
        <w:rPr>
          <w:rFonts w:ascii="Helvetica" w:hAnsi="Helvetica" w:cs="Helvetica"/>
          <w:lang w:val="en-GB"/>
        </w:rPr>
        <w:t xml:space="preserve"> </w:t>
      </w:r>
    </w:p>
    <w:p w14:paraId="347FF042" w14:textId="237F6785" w:rsidR="000A7ECD" w:rsidRPr="008A3778" w:rsidRDefault="000A7ECD"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I am </w:t>
      </w:r>
      <w:r w:rsidR="00FC0709">
        <w:rPr>
          <w:rFonts w:ascii="Helvetica" w:hAnsi="Helvetica" w:cs="Helvetica"/>
          <w:lang w:val="en-GB"/>
        </w:rPr>
        <w:t xml:space="preserve">thus </w:t>
      </w:r>
      <w:r w:rsidRPr="008A3778">
        <w:rPr>
          <w:rFonts w:ascii="Helvetica" w:hAnsi="Helvetica" w:cs="Helvetica"/>
          <w:lang w:val="en-GB"/>
        </w:rPr>
        <w:t xml:space="preserve">unable to find any basis to interfere </w:t>
      </w:r>
      <w:r w:rsidR="00E06E3B" w:rsidRPr="008A3778">
        <w:rPr>
          <w:rFonts w:ascii="Helvetica" w:hAnsi="Helvetica" w:cs="Helvetica"/>
          <w:lang w:val="en-GB"/>
        </w:rPr>
        <w:t xml:space="preserve">with the High </w:t>
      </w:r>
      <w:r w:rsidR="002D49B4" w:rsidRPr="008A3778">
        <w:rPr>
          <w:rFonts w:ascii="Helvetica" w:hAnsi="Helvetica" w:cs="Helvetica"/>
          <w:lang w:val="en-GB"/>
        </w:rPr>
        <w:t>Court’s</w:t>
      </w:r>
      <w:r w:rsidR="00E06E3B" w:rsidRPr="008A3778">
        <w:rPr>
          <w:rFonts w:ascii="Helvetica" w:hAnsi="Helvetica" w:cs="Helvetica"/>
          <w:lang w:val="en-GB"/>
        </w:rPr>
        <w:t xml:space="preserve"> costs</w:t>
      </w:r>
      <w:r w:rsidR="00D1711A" w:rsidRPr="008A3778">
        <w:rPr>
          <w:rFonts w:ascii="Helvetica" w:hAnsi="Helvetica" w:cs="Helvetica"/>
          <w:lang w:val="en-GB"/>
        </w:rPr>
        <w:t xml:space="preserve"> order</w:t>
      </w:r>
      <w:r w:rsidR="00E06E3B" w:rsidRPr="008A3778">
        <w:rPr>
          <w:rFonts w:ascii="Helvetica" w:hAnsi="Helvetica" w:cs="Helvetica"/>
          <w:lang w:val="en-GB"/>
        </w:rPr>
        <w:t xml:space="preserve">. </w:t>
      </w:r>
      <w:r w:rsidR="002D49B4" w:rsidRPr="008A3778">
        <w:rPr>
          <w:rFonts w:ascii="Helvetica" w:hAnsi="Helvetica" w:cs="Helvetica"/>
          <w:lang w:val="en-GB"/>
        </w:rPr>
        <w:t>Rather, I am of the view that the High Court’s punitive costs order is warranted given the appellants’ conduct and delays in the history of the section 30P application.</w:t>
      </w:r>
    </w:p>
    <w:p w14:paraId="74BF54EF" w14:textId="124DDC1D" w:rsidR="007D7247" w:rsidRPr="008A3778" w:rsidRDefault="008F15B9"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As to the costs of th</w:t>
      </w:r>
      <w:r w:rsidR="00D1711A" w:rsidRPr="008A3778">
        <w:rPr>
          <w:rFonts w:ascii="Helvetica" w:hAnsi="Helvetica" w:cs="Helvetica"/>
          <w:lang w:val="en-GB"/>
        </w:rPr>
        <w:t>is</w:t>
      </w:r>
      <w:r w:rsidRPr="008A3778">
        <w:rPr>
          <w:rFonts w:ascii="Helvetica" w:hAnsi="Helvetica" w:cs="Helvetica"/>
          <w:lang w:val="en-GB"/>
        </w:rPr>
        <w:t xml:space="preserve"> appeal,</w:t>
      </w:r>
      <w:r w:rsidR="00EE3914" w:rsidRPr="008A3778">
        <w:rPr>
          <w:rFonts w:ascii="Helvetica" w:hAnsi="Helvetica" w:cs="Helvetica"/>
          <w:lang w:val="en-GB"/>
        </w:rPr>
        <w:t xml:space="preserve"> I have already expressed my concerns</w:t>
      </w:r>
      <w:r w:rsidRPr="008A3778">
        <w:rPr>
          <w:rFonts w:ascii="Helvetica" w:hAnsi="Helvetica" w:cs="Helvetica"/>
          <w:lang w:val="en-GB"/>
        </w:rPr>
        <w:t xml:space="preserve"> </w:t>
      </w:r>
      <w:r w:rsidR="00EE3914" w:rsidRPr="008A3778">
        <w:rPr>
          <w:rFonts w:ascii="Helvetica" w:hAnsi="Helvetica" w:cs="Helvetica"/>
          <w:lang w:val="en-GB"/>
        </w:rPr>
        <w:t xml:space="preserve">regarding the second appellant’s </w:t>
      </w:r>
      <w:r w:rsidR="00EE3914" w:rsidRPr="008A3778">
        <w:rPr>
          <w:rFonts w:ascii="Helvetica" w:hAnsi="Helvetica" w:cs="Helvetica"/>
          <w:i/>
          <w:iCs/>
          <w:lang w:val="en-GB"/>
        </w:rPr>
        <w:t xml:space="preserve">locus standi </w:t>
      </w:r>
      <w:r w:rsidR="00EE3914" w:rsidRPr="008A3778">
        <w:rPr>
          <w:rFonts w:ascii="Helvetica" w:hAnsi="Helvetica" w:cs="Helvetica"/>
          <w:lang w:val="en-GB"/>
        </w:rPr>
        <w:t>in the section 30P application within</w:t>
      </w:r>
      <w:r w:rsidR="00FC0709">
        <w:rPr>
          <w:rFonts w:ascii="Helvetica" w:hAnsi="Helvetica" w:cs="Helvetica"/>
          <w:lang w:val="en-GB"/>
        </w:rPr>
        <w:t xml:space="preserve">, </w:t>
      </w:r>
      <w:r w:rsidR="00023D47" w:rsidRPr="00023D47">
        <w:rPr>
          <w:rFonts w:ascii="Helvetica" w:hAnsi="Helvetica" w:cs="Helvetica"/>
          <w:i/>
          <w:iCs/>
          <w:lang w:val="en-GB"/>
        </w:rPr>
        <w:t>inter-alia</w:t>
      </w:r>
      <w:r w:rsidR="00FC0709">
        <w:rPr>
          <w:rFonts w:ascii="Helvetica" w:hAnsi="Helvetica" w:cs="Helvetica"/>
          <w:lang w:val="en-GB"/>
        </w:rPr>
        <w:t>,</w:t>
      </w:r>
      <w:r w:rsidR="00EE3914" w:rsidRPr="008A3778">
        <w:rPr>
          <w:rFonts w:ascii="Helvetica" w:hAnsi="Helvetica" w:cs="Helvetica"/>
          <w:lang w:val="en-GB"/>
        </w:rPr>
        <w:t xml:space="preserve"> the context of the first appellant’s complaint to the Adjudicator. I need not finally determine this</w:t>
      </w:r>
      <w:r w:rsidR="007D7247" w:rsidRPr="008A3778">
        <w:rPr>
          <w:rFonts w:ascii="Helvetica" w:hAnsi="Helvetica" w:cs="Helvetica"/>
          <w:lang w:val="en-GB"/>
        </w:rPr>
        <w:t xml:space="preserve"> question </w:t>
      </w:r>
      <w:r w:rsidR="00EE3914" w:rsidRPr="008A3778">
        <w:rPr>
          <w:rFonts w:ascii="Helvetica" w:hAnsi="Helvetica" w:cs="Helvetica"/>
          <w:lang w:val="en-GB"/>
        </w:rPr>
        <w:t>because I</w:t>
      </w:r>
      <w:r w:rsidR="00D1711A" w:rsidRPr="008A3778">
        <w:rPr>
          <w:rFonts w:ascii="Helvetica" w:hAnsi="Helvetica" w:cs="Helvetica"/>
          <w:lang w:val="en-GB"/>
        </w:rPr>
        <w:t xml:space="preserve">, </w:t>
      </w:r>
      <w:r w:rsidR="007D7247" w:rsidRPr="008A3778">
        <w:rPr>
          <w:rFonts w:ascii="Helvetica" w:hAnsi="Helvetica" w:cs="Helvetica"/>
          <w:lang w:val="en-GB"/>
        </w:rPr>
        <w:t>in any event</w:t>
      </w:r>
      <w:r w:rsidR="00D1711A" w:rsidRPr="008A3778">
        <w:rPr>
          <w:rFonts w:ascii="Helvetica" w:hAnsi="Helvetica" w:cs="Helvetica"/>
          <w:lang w:val="en-GB"/>
        </w:rPr>
        <w:t>,</w:t>
      </w:r>
      <w:r w:rsidR="007D7247" w:rsidRPr="008A3778">
        <w:rPr>
          <w:rFonts w:ascii="Helvetica" w:hAnsi="Helvetica" w:cs="Helvetica"/>
          <w:lang w:val="en-GB"/>
        </w:rPr>
        <w:t xml:space="preserve"> </w:t>
      </w:r>
      <w:r w:rsidRPr="008A3778">
        <w:rPr>
          <w:rFonts w:ascii="Helvetica" w:hAnsi="Helvetica" w:cs="Helvetica"/>
          <w:lang w:val="en-GB"/>
        </w:rPr>
        <w:t>agree with the sentiments of the High Court</w:t>
      </w:r>
      <w:r w:rsidR="00EE3914" w:rsidRPr="008A3778">
        <w:rPr>
          <w:rFonts w:ascii="Helvetica" w:hAnsi="Helvetica" w:cs="Helvetica"/>
          <w:lang w:val="en-GB"/>
        </w:rPr>
        <w:t xml:space="preserve">, albeit within the context of this appeal, </w:t>
      </w:r>
      <w:r w:rsidRPr="008A3778">
        <w:rPr>
          <w:rFonts w:ascii="Helvetica" w:hAnsi="Helvetica" w:cs="Helvetica"/>
          <w:lang w:val="en-GB"/>
        </w:rPr>
        <w:t xml:space="preserve">that </w:t>
      </w:r>
      <w:r w:rsidR="003C7641" w:rsidRPr="008A3778">
        <w:rPr>
          <w:rFonts w:ascii="Helvetica" w:hAnsi="Helvetica" w:cs="Helvetica"/>
          <w:lang w:val="en-GB"/>
        </w:rPr>
        <w:t>Ms</w:t>
      </w:r>
      <w:r w:rsidR="00F149CD" w:rsidRPr="008A3778">
        <w:rPr>
          <w:rFonts w:ascii="Helvetica" w:hAnsi="Helvetica" w:cs="Helvetica"/>
          <w:lang w:val="en-GB"/>
        </w:rPr>
        <w:t>.</w:t>
      </w:r>
      <w:r w:rsidRPr="008A3778">
        <w:rPr>
          <w:rFonts w:ascii="Helvetica" w:hAnsi="Helvetica" w:cs="Helvetica"/>
          <w:lang w:val="en-GB"/>
        </w:rPr>
        <w:t xml:space="preserve"> </w:t>
      </w:r>
      <w:r w:rsidR="003870FB" w:rsidRPr="008A3778">
        <w:rPr>
          <w:rFonts w:ascii="Helvetica" w:hAnsi="Helvetica" w:cs="Helvetica"/>
          <w:lang w:val="en-GB"/>
        </w:rPr>
        <w:t>Collatz</w:t>
      </w:r>
      <w:r w:rsidRPr="008A3778">
        <w:rPr>
          <w:rFonts w:ascii="Helvetica" w:hAnsi="Helvetica" w:cs="Helvetica"/>
          <w:lang w:val="en-GB"/>
        </w:rPr>
        <w:t xml:space="preserve"> has litigated, in her capacity as the executor, at the expense of the beneficiaries of </w:t>
      </w:r>
      <w:r w:rsidR="003C7641" w:rsidRPr="008A3778">
        <w:rPr>
          <w:rFonts w:ascii="Helvetica" w:hAnsi="Helvetica" w:cs="Helvetica"/>
          <w:lang w:val="en-GB"/>
        </w:rPr>
        <w:t>Mr.</w:t>
      </w:r>
      <w:r w:rsidRPr="008A3778">
        <w:rPr>
          <w:rFonts w:ascii="Helvetica" w:hAnsi="Helvetica" w:cs="Helvetica"/>
          <w:lang w:val="en-GB"/>
        </w:rPr>
        <w:t xml:space="preserve"> </w:t>
      </w:r>
      <w:r w:rsidR="003870FB" w:rsidRPr="008A3778">
        <w:rPr>
          <w:rFonts w:ascii="Helvetica" w:hAnsi="Helvetica" w:cs="Helvetica"/>
          <w:lang w:val="en-GB"/>
        </w:rPr>
        <w:t>Collatz</w:t>
      </w:r>
      <w:r w:rsidRPr="008A3778">
        <w:rPr>
          <w:rFonts w:ascii="Helvetica" w:hAnsi="Helvetica" w:cs="Helvetica"/>
          <w:lang w:val="en-GB"/>
        </w:rPr>
        <w:t xml:space="preserve">’s deceased estate, and potentially to their </w:t>
      </w:r>
      <w:r w:rsidR="00EE3914" w:rsidRPr="008A3778">
        <w:rPr>
          <w:rFonts w:ascii="Helvetica" w:hAnsi="Helvetica" w:cs="Helvetica"/>
          <w:lang w:val="en-GB"/>
        </w:rPr>
        <w:t xml:space="preserve">and her own </w:t>
      </w:r>
      <w:r w:rsidRPr="008A3778">
        <w:rPr>
          <w:rFonts w:ascii="Helvetica" w:hAnsi="Helvetica" w:cs="Helvetica"/>
          <w:lang w:val="en-GB"/>
        </w:rPr>
        <w:t>prejudice.</w:t>
      </w:r>
      <w:r w:rsidR="00EE3914" w:rsidRPr="008A3778">
        <w:rPr>
          <w:rFonts w:ascii="Helvetica" w:hAnsi="Helvetica" w:cs="Helvetica"/>
          <w:lang w:val="en-GB"/>
        </w:rPr>
        <w:t xml:space="preserve"> </w:t>
      </w:r>
    </w:p>
    <w:p w14:paraId="2A6AD45F" w14:textId="333C29EA" w:rsidR="00FD4248" w:rsidRPr="008A3778" w:rsidRDefault="00EE3914"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When </w:t>
      </w:r>
      <w:r w:rsidR="007D7247" w:rsidRPr="008A3778">
        <w:rPr>
          <w:rFonts w:ascii="Helvetica" w:hAnsi="Helvetica" w:cs="Helvetica"/>
          <w:lang w:val="en-GB"/>
        </w:rPr>
        <w:t xml:space="preserve">submitting her complaint to the </w:t>
      </w:r>
      <w:r w:rsidR="008D1351">
        <w:rPr>
          <w:rFonts w:ascii="Helvetica" w:hAnsi="Helvetica" w:cs="Helvetica"/>
          <w:lang w:val="en-GB"/>
        </w:rPr>
        <w:t>A</w:t>
      </w:r>
      <w:r w:rsidR="007D7247" w:rsidRPr="008A3778">
        <w:rPr>
          <w:rFonts w:ascii="Helvetica" w:hAnsi="Helvetica" w:cs="Helvetica"/>
          <w:lang w:val="en-GB"/>
        </w:rPr>
        <w:t xml:space="preserve">djudicator and </w:t>
      </w:r>
      <w:r w:rsidR="00F149CD" w:rsidRPr="008A3778">
        <w:rPr>
          <w:rFonts w:ascii="Helvetica" w:hAnsi="Helvetica" w:cs="Helvetica"/>
          <w:lang w:val="en-GB"/>
        </w:rPr>
        <w:t>in</w:t>
      </w:r>
      <w:r w:rsidR="007D7247" w:rsidRPr="008A3778">
        <w:rPr>
          <w:rFonts w:ascii="Helvetica" w:hAnsi="Helvetica" w:cs="Helvetica"/>
          <w:lang w:val="en-GB"/>
        </w:rPr>
        <w:t xml:space="preserve"> </w:t>
      </w:r>
      <w:r w:rsidRPr="008A3778">
        <w:rPr>
          <w:rFonts w:ascii="Helvetica" w:hAnsi="Helvetica" w:cs="Helvetica"/>
          <w:lang w:val="en-GB"/>
        </w:rPr>
        <w:t>bringing the</w:t>
      </w:r>
      <w:r w:rsidR="00D54428" w:rsidRPr="008A3778">
        <w:rPr>
          <w:rFonts w:ascii="Helvetica" w:hAnsi="Helvetica" w:cs="Helvetica"/>
          <w:lang w:val="en-GB"/>
        </w:rPr>
        <w:t xml:space="preserve"> </w:t>
      </w:r>
      <w:r w:rsidRPr="008A3778">
        <w:rPr>
          <w:rFonts w:ascii="Helvetica" w:hAnsi="Helvetica" w:cs="Helvetica"/>
          <w:lang w:val="en-GB"/>
        </w:rPr>
        <w:t xml:space="preserve">section 30P application, is difficult to find that </w:t>
      </w:r>
      <w:r w:rsidR="003C7641" w:rsidRPr="008A3778">
        <w:rPr>
          <w:rFonts w:ascii="Helvetica" w:hAnsi="Helvetica" w:cs="Helvetica"/>
          <w:lang w:val="en-GB"/>
        </w:rPr>
        <w:t>Ms</w:t>
      </w:r>
      <w:r w:rsidR="00F149CD" w:rsidRPr="008A3778">
        <w:rPr>
          <w:rFonts w:ascii="Helvetica" w:hAnsi="Helvetica" w:cs="Helvetica"/>
          <w:lang w:val="en-GB"/>
        </w:rPr>
        <w:t>.</w:t>
      </w:r>
      <w:r w:rsidRPr="008A3778">
        <w:rPr>
          <w:rFonts w:ascii="Helvetica" w:hAnsi="Helvetica" w:cs="Helvetica"/>
          <w:lang w:val="en-GB"/>
        </w:rPr>
        <w:t xml:space="preserve"> </w:t>
      </w:r>
      <w:r w:rsidR="003870FB" w:rsidRPr="008A3778">
        <w:rPr>
          <w:rFonts w:ascii="Helvetica" w:hAnsi="Helvetica" w:cs="Helvetica"/>
          <w:lang w:val="en-GB"/>
        </w:rPr>
        <w:t>Collatz</w:t>
      </w:r>
      <w:r w:rsidRPr="008A3778">
        <w:rPr>
          <w:rFonts w:ascii="Helvetica" w:hAnsi="Helvetica" w:cs="Helvetica"/>
          <w:lang w:val="en-GB"/>
        </w:rPr>
        <w:t xml:space="preserve"> did so for reasons other than her </w:t>
      </w:r>
      <w:r w:rsidR="00D1711A" w:rsidRPr="008A3778">
        <w:rPr>
          <w:rFonts w:ascii="Helvetica" w:hAnsi="Helvetica" w:cs="Helvetica"/>
          <w:lang w:val="en-GB"/>
        </w:rPr>
        <w:t>own</w:t>
      </w:r>
      <w:r w:rsidR="00FC0709">
        <w:rPr>
          <w:rFonts w:ascii="Helvetica" w:hAnsi="Helvetica" w:cs="Helvetica"/>
          <w:lang w:val="en-GB"/>
        </w:rPr>
        <w:t>;</w:t>
      </w:r>
      <w:r w:rsidRPr="008A3778">
        <w:rPr>
          <w:rFonts w:ascii="Helvetica" w:hAnsi="Helvetica" w:cs="Helvetica"/>
          <w:lang w:val="en-GB"/>
        </w:rPr>
        <w:t xml:space="preserve"> which </w:t>
      </w:r>
      <w:r w:rsidR="007D7247" w:rsidRPr="008A3778">
        <w:rPr>
          <w:rFonts w:ascii="Helvetica" w:hAnsi="Helvetica" w:cs="Helvetica"/>
          <w:lang w:val="en-GB"/>
        </w:rPr>
        <w:t>reasons</w:t>
      </w:r>
      <w:r w:rsidRPr="008A3778">
        <w:rPr>
          <w:rFonts w:ascii="Helvetica" w:hAnsi="Helvetica" w:cs="Helvetica"/>
          <w:lang w:val="en-GB"/>
        </w:rPr>
        <w:t xml:space="preserve"> </w:t>
      </w:r>
      <w:r w:rsidR="007D7247" w:rsidRPr="008A3778">
        <w:rPr>
          <w:rFonts w:ascii="Helvetica" w:hAnsi="Helvetica" w:cs="Helvetica"/>
          <w:lang w:val="en-GB"/>
        </w:rPr>
        <w:t xml:space="preserve">trumped the </w:t>
      </w:r>
      <w:r w:rsidRPr="008A3778">
        <w:rPr>
          <w:rFonts w:ascii="Helvetica" w:hAnsi="Helvetica" w:cs="Helvetica"/>
          <w:lang w:val="en-GB"/>
        </w:rPr>
        <w:t xml:space="preserve">interests of </w:t>
      </w:r>
      <w:r w:rsidR="003C7641" w:rsidRPr="008A3778">
        <w:rPr>
          <w:rFonts w:ascii="Helvetica" w:hAnsi="Helvetica" w:cs="Helvetica"/>
          <w:lang w:val="en-GB"/>
        </w:rPr>
        <w:t>Mr.</w:t>
      </w:r>
      <w:r w:rsidRPr="008A3778">
        <w:rPr>
          <w:rFonts w:ascii="Helvetica" w:hAnsi="Helvetica" w:cs="Helvetica"/>
          <w:lang w:val="en-GB"/>
        </w:rPr>
        <w:t xml:space="preserve"> </w:t>
      </w:r>
      <w:r w:rsidR="003870FB" w:rsidRPr="008A3778">
        <w:rPr>
          <w:rFonts w:ascii="Helvetica" w:hAnsi="Helvetica" w:cs="Helvetica"/>
          <w:lang w:val="en-GB"/>
        </w:rPr>
        <w:t>Collatz</w:t>
      </w:r>
      <w:r w:rsidRPr="008A3778">
        <w:rPr>
          <w:rFonts w:ascii="Helvetica" w:hAnsi="Helvetica" w:cs="Helvetica"/>
          <w:lang w:val="en-GB"/>
        </w:rPr>
        <w:t>’s deceased estate</w:t>
      </w:r>
      <w:r w:rsidR="007D7247" w:rsidRPr="008A3778">
        <w:rPr>
          <w:rFonts w:ascii="Helvetica" w:hAnsi="Helvetica" w:cs="Helvetica"/>
          <w:lang w:val="en-GB"/>
        </w:rPr>
        <w:t>,</w:t>
      </w:r>
      <w:r w:rsidRPr="008A3778">
        <w:rPr>
          <w:rFonts w:ascii="Helvetica" w:hAnsi="Helvetica" w:cs="Helvetica"/>
          <w:lang w:val="en-GB"/>
        </w:rPr>
        <w:t xml:space="preserve"> its </w:t>
      </w:r>
      <w:r w:rsidR="003C7641" w:rsidRPr="008A3778">
        <w:rPr>
          <w:rFonts w:ascii="Helvetica" w:hAnsi="Helvetica" w:cs="Helvetica"/>
          <w:lang w:val="en-GB"/>
        </w:rPr>
        <w:t>beneficiaries,</w:t>
      </w:r>
      <w:r w:rsidR="007D7247" w:rsidRPr="008A3778">
        <w:rPr>
          <w:rFonts w:ascii="Helvetica" w:hAnsi="Helvetica" w:cs="Helvetica"/>
          <w:lang w:val="en-GB"/>
        </w:rPr>
        <w:t xml:space="preserve"> and his section 37C dependents</w:t>
      </w:r>
      <w:r w:rsidRPr="008A3778">
        <w:rPr>
          <w:rFonts w:ascii="Helvetica" w:hAnsi="Helvetica" w:cs="Helvetica"/>
          <w:lang w:val="en-GB"/>
        </w:rPr>
        <w:t xml:space="preserve">. </w:t>
      </w:r>
    </w:p>
    <w:p w14:paraId="43DDFDF2" w14:textId="799F59B6" w:rsidR="007D7247" w:rsidRPr="008A3778" w:rsidRDefault="007D7247"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Ms</w:t>
      </w:r>
      <w:r w:rsidR="00FD4248" w:rsidRPr="008A3778">
        <w:rPr>
          <w:rFonts w:ascii="Helvetica" w:hAnsi="Helvetica" w:cs="Helvetica"/>
          <w:lang w:val="en-GB"/>
        </w:rPr>
        <w:t>.</w:t>
      </w:r>
      <w:r w:rsidRPr="008A3778">
        <w:rPr>
          <w:rFonts w:ascii="Helvetica" w:hAnsi="Helvetica" w:cs="Helvetica"/>
          <w:lang w:val="en-GB"/>
        </w:rPr>
        <w:t xml:space="preserve"> </w:t>
      </w:r>
      <w:bookmarkStart w:id="18" w:name="_Hlk90988857"/>
      <w:r w:rsidR="003870FB" w:rsidRPr="008A3778">
        <w:rPr>
          <w:rFonts w:ascii="Helvetica" w:hAnsi="Helvetica" w:cs="Helvetica"/>
          <w:lang w:val="en-GB"/>
        </w:rPr>
        <w:t>Collatz</w:t>
      </w:r>
      <w:r w:rsidRPr="008A3778">
        <w:rPr>
          <w:rFonts w:ascii="Helvetica" w:hAnsi="Helvetica" w:cs="Helvetica"/>
          <w:lang w:val="en-GB"/>
        </w:rPr>
        <w:t xml:space="preserve">’s self-interest </w:t>
      </w:r>
      <w:bookmarkEnd w:id="18"/>
      <w:r w:rsidRPr="008A3778">
        <w:rPr>
          <w:rFonts w:ascii="Helvetica" w:hAnsi="Helvetica" w:cs="Helvetica"/>
          <w:lang w:val="en-GB"/>
        </w:rPr>
        <w:t>is best expressed in her own words, and in the form of the “</w:t>
      </w:r>
      <w:r w:rsidRPr="008A3778">
        <w:rPr>
          <w:rFonts w:ascii="Helvetica" w:hAnsi="Helvetica" w:cs="Helvetica"/>
          <w:i/>
          <w:iCs/>
          <w:lang w:val="en-GB"/>
        </w:rPr>
        <w:t>relief</w:t>
      </w:r>
      <w:r w:rsidRPr="008A3778">
        <w:rPr>
          <w:rFonts w:ascii="Helvetica" w:hAnsi="Helvetica" w:cs="Helvetica"/>
          <w:lang w:val="en-GB"/>
        </w:rPr>
        <w:t>” she sought from the Adjudicator</w:t>
      </w:r>
      <w:r w:rsidR="00D1711A" w:rsidRPr="008A3778">
        <w:rPr>
          <w:rFonts w:ascii="Helvetica" w:hAnsi="Helvetica" w:cs="Helvetica"/>
          <w:lang w:val="en-GB"/>
        </w:rPr>
        <w:t xml:space="preserve"> in her complaint</w:t>
      </w:r>
      <w:r w:rsidRPr="008A3778">
        <w:rPr>
          <w:rFonts w:ascii="Helvetica" w:hAnsi="Helvetica" w:cs="Helvetica"/>
          <w:lang w:val="en-GB"/>
        </w:rPr>
        <w:t>.</w:t>
      </w:r>
      <w:r w:rsidR="00D1711A" w:rsidRPr="008A3778">
        <w:rPr>
          <w:rFonts w:ascii="Helvetica" w:hAnsi="Helvetica" w:cs="Helvetica"/>
          <w:lang w:val="en-GB"/>
        </w:rPr>
        <w:t xml:space="preserve"> Therein, she </w:t>
      </w:r>
      <w:r w:rsidRPr="008A3778">
        <w:rPr>
          <w:rFonts w:ascii="Helvetica" w:hAnsi="Helvetica" w:cs="Helvetica"/>
          <w:lang w:val="en-GB"/>
        </w:rPr>
        <w:t xml:space="preserve">states, </w:t>
      </w:r>
      <w:r w:rsidR="00023D47" w:rsidRPr="00023D47">
        <w:rPr>
          <w:rFonts w:ascii="Helvetica" w:hAnsi="Helvetica" w:cs="Helvetica"/>
          <w:i/>
          <w:iCs/>
          <w:lang w:val="en-GB"/>
        </w:rPr>
        <w:t>inter-alia</w:t>
      </w:r>
      <w:r w:rsidRPr="008A3778">
        <w:rPr>
          <w:rFonts w:ascii="Helvetica" w:hAnsi="Helvetica" w:cs="Helvetica"/>
          <w:lang w:val="en-GB"/>
        </w:rPr>
        <w:t>, the following: “</w:t>
      </w:r>
      <w:r w:rsidRPr="008A3778">
        <w:rPr>
          <w:rFonts w:ascii="Helvetica" w:hAnsi="Helvetica" w:cs="Helvetica"/>
          <w:i/>
          <w:iCs/>
          <w:lang w:val="en-GB"/>
        </w:rPr>
        <w:t>I must be paid out to enable me to examine the investment options most suited to me</w:t>
      </w:r>
      <w:r w:rsidRPr="008A3778">
        <w:rPr>
          <w:rFonts w:ascii="Helvetica" w:hAnsi="Helvetica" w:cs="Helvetica"/>
          <w:lang w:val="en-GB"/>
        </w:rPr>
        <w:t>”.</w:t>
      </w:r>
      <w:r w:rsidR="00FD4248" w:rsidRPr="008A3778">
        <w:rPr>
          <w:rFonts w:ascii="Helvetica" w:hAnsi="Helvetica" w:cs="Helvetica"/>
          <w:lang w:val="en-GB"/>
        </w:rPr>
        <w:t xml:space="preserve"> Her self-interest </w:t>
      </w:r>
      <w:r w:rsidR="00AF415C" w:rsidRPr="008A3778">
        <w:rPr>
          <w:rFonts w:ascii="Helvetica" w:hAnsi="Helvetica" w:cs="Helvetica"/>
          <w:lang w:val="en-GB"/>
        </w:rPr>
        <w:t>in</w:t>
      </w:r>
      <w:r w:rsidR="00A43737" w:rsidRPr="008A3778">
        <w:rPr>
          <w:rFonts w:ascii="Helvetica" w:hAnsi="Helvetica" w:cs="Helvetica"/>
          <w:lang w:val="en-GB"/>
        </w:rPr>
        <w:t xml:space="preserve"> pursuing </w:t>
      </w:r>
      <w:r w:rsidR="00F149CD" w:rsidRPr="008A3778">
        <w:rPr>
          <w:rFonts w:ascii="Helvetica" w:hAnsi="Helvetica" w:cs="Helvetica"/>
          <w:lang w:val="en-GB"/>
        </w:rPr>
        <w:t xml:space="preserve">the </w:t>
      </w:r>
      <w:r w:rsidR="00AF415C" w:rsidRPr="008A3778">
        <w:rPr>
          <w:rFonts w:ascii="Helvetica" w:hAnsi="Helvetica" w:cs="Helvetica"/>
          <w:lang w:val="en-GB"/>
        </w:rPr>
        <w:t>litigation</w:t>
      </w:r>
      <w:r w:rsidR="00A43737" w:rsidRPr="008A3778">
        <w:rPr>
          <w:rFonts w:ascii="Helvetica" w:hAnsi="Helvetica" w:cs="Helvetica"/>
          <w:lang w:val="en-GB"/>
        </w:rPr>
        <w:t>, and in due course this appeal</w:t>
      </w:r>
      <w:r w:rsidR="00FD4248" w:rsidRPr="008A3778">
        <w:rPr>
          <w:rFonts w:ascii="Helvetica" w:hAnsi="Helvetica" w:cs="Helvetica"/>
          <w:lang w:val="en-GB"/>
        </w:rPr>
        <w:t>,</w:t>
      </w:r>
      <w:r w:rsidR="00AF415C" w:rsidRPr="008A3778">
        <w:rPr>
          <w:rFonts w:ascii="Helvetica" w:hAnsi="Helvetica" w:cs="Helvetica"/>
          <w:lang w:val="en-GB"/>
        </w:rPr>
        <w:t xml:space="preserve"> is </w:t>
      </w:r>
      <w:r w:rsidR="00FD4248" w:rsidRPr="008A3778">
        <w:rPr>
          <w:rFonts w:ascii="Helvetica" w:hAnsi="Helvetica" w:cs="Helvetica"/>
          <w:lang w:val="en-GB"/>
        </w:rPr>
        <w:t>entrenched</w:t>
      </w:r>
      <w:r w:rsidR="00AF415C" w:rsidRPr="008A3778">
        <w:rPr>
          <w:rFonts w:ascii="Helvetica" w:hAnsi="Helvetica" w:cs="Helvetica"/>
          <w:lang w:val="en-GB"/>
        </w:rPr>
        <w:t xml:space="preserve"> in the </w:t>
      </w:r>
      <w:r w:rsidR="003F0ABC" w:rsidRPr="008A3778">
        <w:rPr>
          <w:rFonts w:ascii="Helvetica" w:hAnsi="Helvetica" w:cs="Helvetica"/>
          <w:lang w:val="en-GB"/>
        </w:rPr>
        <w:t>appellants</w:t>
      </w:r>
      <w:r w:rsidR="00AE3EE0">
        <w:rPr>
          <w:rFonts w:ascii="Helvetica" w:hAnsi="Helvetica" w:cs="Helvetica"/>
          <w:lang w:val="en-GB"/>
        </w:rPr>
        <w:t>’</w:t>
      </w:r>
      <w:r w:rsidR="003F0ABC" w:rsidRPr="008A3778">
        <w:rPr>
          <w:rFonts w:ascii="Helvetica" w:hAnsi="Helvetica" w:cs="Helvetica"/>
          <w:lang w:val="en-GB"/>
        </w:rPr>
        <w:t xml:space="preserve"> heads of argument</w:t>
      </w:r>
      <w:r w:rsidR="00F149CD" w:rsidRPr="008A3778">
        <w:rPr>
          <w:rFonts w:ascii="Helvetica" w:hAnsi="Helvetica" w:cs="Helvetica"/>
          <w:lang w:val="en-GB"/>
        </w:rPr>
        <w:t>.</w:t>
      </w:r>
      <w:r w:rsidR="003F0ABC" w:rsidRPr="008A3778">
        <w:rPr>
          <w:rFonts w:ascii="Helvetica" w:hAnsi="Helvetica" w:cs="Helvetica"/>
          <w:lang w:val="en-GB"/>
        </w:rPr>
        <w:t xml:space="preserve"> </w:t>
      </w:r>
      <w:r w:rsidR="00F149CD" w:rsidRPr="008A3778">
        <w:rPr>
          <w:rFonts w:ascii="Helvetica" w:hAnsi="Helvetica" w:cs="Helvetica"/>
          <w:lang w:val="en-GB"/>
        </w:rPr>
        <w:t>T</w:t>
      </w:r>
      <w:r w:rsidR="00D54428" w:rsidRPr="008A3778">
        <w:rPr>
          <w:rFonts w:ascii="Helvetica" w:hAnsi="Helvetica" w:cs="Helvetica"/>
          <w:lang w:val="en-GB"/>
        </w:rPr>
        <w:t>here</w:t>
      </w:r>
      <w:r w:rsidR="00FD4248" w:rsidRPr="008A3778">
        <w:rPr>
          <w:rFonts w:ascii="Helvetica" w:hAnsi="Helvetica" w:cs="Helvetica"/>
          <w:lang w:val="en-GB"/>
        </w:rPr>
        <w:t>in</w:t>
      </w:r>
      <w:r w:rsidR="00D54428" w:rsidRPr="008A3778">
        <w:rPr>
          <w:rFonts w:ascii="Helvetica" w:hAnsi="Helvetica" w:cs="Helvetica"/>
          <w:lang w:val="en-GB"/>
        </w:rPr>
        <w:t xml:space="preserve"> the following is stated: </w:t>
      </w:r>
    </w:p>
    <w:p w14:paraId="6D6BFC34" w14:textId="28E136EE" w:rsidR="00D54428" w:rsidRPr="008A3778" w:rsidRDefault="00D54428" w:rsidP="003D368F">
      <w:pPr>
        <w:pStyle w:val="ListParagraph"/>
        <w:shd w:val="clear" w:color="auto" w:fill="FFFFFF"/>
        <w:spacing w:before="120" w:after="480" w:line="240" w:lineRule="auto"/>
        <w:ind w:left="1166" w:right="498"/>
        <w:contextualSpacing w:val="0"/>
        <w:jc w:val="both"/>
        <w:rPr>
          <w:rFonts w:ascii="Helvetica" w:hAnsi="Helvetica" w:cs="Helvetica"/>
          <w:lang w:val="en-GB"/>
        </w:rPr>
      </w:pPr>
      <w:r w:rsidRPr="008A3778">
        <w:rPr>
          <w:rFonts w:ascii="Helvetica" w:hAnsi="Helvetica" w:cs="Helvetica"/>
          <w:lang w:val="en-GB"/>
        </w:rPr>
        <w:t>“</w:t>
      </w:r>
      <w:r w:rsidR="00A43737" w:rsidRPr="008A3778">
        <w:rPr>
          <w:rFonts w:ascii="Helvetica" w:hAnsi="Helvetica" w:cs="Helvetica"/>
          <w:i/>
          <w:iCs/>
          <w:lang w:val="en-GB"/>
        </w:rPr>
        <w:t>T</w:t>
      </w:r>
      <w:r w:rsidRPr="008A3778">
        <w:rPr>
          <w:rFonts w:ascii="Helvetica" w:hAnsi="Helvetica" w:cs="Helvetica"/>
          <w:i/>
          <w:iCs/>
          <w:lang w:val="en-GB"/>
        </w:rPr>
        <w:t>he appellant is entitled to half of the assets that constitute the parties’ joint estate;</w:t>
      </w:r>
      <w:r w:rsidR="00A43737" w:rsidRPr="008A3778">
        <w:rPr>
          <w:rFonts w:ascii="Helvetica" w:hAnsi="Helvetica" w:cs="Helvetica"/>
          <w:i/>
          <w:iCs/>
          <w:lang w:val="en-GB"/>
        </w:rPr>
        <w:t xml:space="preserve"> after the deceased’s legal obligations and liabilities have been discharged</w:t>
      </w:r>
      <w:r w:rsidR="00A43737" w:rsidRPr="008A3778">
        <w:rPr>
          <w:rFonts w:ascii="Helvetica" w:hAnsi="Helvetica" w:cs="Helvetica"/>
          <w:lang w:val="en-GB"/>
        </w:rPr>
        <w:t>.”</w:t>
      </w:r>
    </w:p>
    <w:p w14:paraId="6288A6DD" w14:textId="4131B9D4" w:rsidR="00D1711A" w:rsidRPr="008A3778" w:rsidRDefault="00D1711A"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lastRenderedPageBreak/>
        <w:t xml:space="preserve">When making application for condonation, the appellants sought an indulgence because their appeal had lapsed. Notwithstanding the specific circumstances in which </w:t>
      </w:r>
      <w:r w:rsidR="002D49B4" w:rsidRPr="008A3778">
        <w:rPr>
          <w:rFonts w:ascii="Helvetica" w:hAnsi="Helvetica" w:cs="Helvetica"/>
          <w:lang w:val="en-GB"/>
        </w:rPr>
        <w:t xml:space="preserve">such </w:t>
      </w:r>
      <w:r w:rsidRPr="008A3778">
        <w:rPr>
          <w:rFonts w:ascii="Helvetica" w:hAnsi="Helvetica" w:cs="Helvetica"/>
          <w:lang w:val="en-GB"/>
        </w:rPr>
        <w:t>condonation has been granted, the opposition to the condonation application</w:t>
      </w:r>
      <w:r w:rsidR="002D49B4" w:rsidRPr="008A3778">
        <w:rPr>
          <w:rFonts w:ascii="Helvetica" w:hAnsi="Helvetica" w:cs="Helvetica"/>
          <w:lang w:val="en-GB"/>
        </w:rPr>
        <w:t>,</w:t>
      </w:r>
      <w:r w:rsidRPr="008A3778">
        <w:rPr>
          <w:rFonts w:ascii="Helvetica" w:hAnsi="Helvetica" w:cs="Helvetica"/>
          <w:lang w:val="en-GB"/>
        </w:rPr>
        <w:t xml:space="preserve"> </w:t>
      </w:r>
      <w:r w:rsidR="002D49B4" w:rsidRPr="008A3778">
        <w:rPr>
          <w:rFonts w:ascii="Helvetica" w:hAnsi="Helvetica" w:cs="Helvetica"/>
          <w:lang w:val="en-GB"/>
        </w:rPr>
        <w:t xml:space="preserve">albeit unsuccessful, </w:t>
      </w:r>
      <w:r w:rsidRPr="008A3778">
        <w:rPr>
          <w:rFonts w:ascii="Helvetica" w:hAnsi="Helvetica" w:cs="Helvetica"/>
          <w:lang w:val="en-GB"/>
        </w:rPr>
        <w:t xml:space="preserve">was not unreasonable. </w:t>
      </w:r>
      <w:r w:rsidR="00F149CD" w:rsidRPr="008A3778">
        <w:rPr>
          <w:rFonts w:ascii="Helvetica" w:hAnsi="Helvetica" w:cs="Helvetica"/>
          <w:lang w:val="en-GB"/>
        </w:rPr>
        <w:t>There are obviously cost consequences accompanying the condonation application. The respondents should not be liable for these costs</w:t>
      </w:r>
      <w:r w:rsidR="00FC0709">
        <w:rPr>
          <w:rFonts w:ascii="Helvetica" w:hAnsi="Helvetica" w:cs="Helvetica"/>
          <w:lang w:val="en-GB"/>
        </w:rPr>
        <w:t>, neither Mr. Collatz’s deceased estate</w:t>
      </w:r>
      <w:r w:rsidR="00F149CD" w:rsidRPr="008A3778">
        <w:rPr>
          <w:rFonts w:ascii="Helvetica" w:hAnsi="Helvetica" w:cs="Helvetica"/>
          <w:lang w:val="en-GB"/>
        </w:rPr>
        <w:t>.</w:t>
      </w:r>
      <w:r w:rsidRPr="008A3778">
        <w:rPr>
          <w:rFonts w:ascii="Helvetica" w:hAnsi="Helvetica" w:cs="Helvetica"/>
          <w:lang w:val="en-GB"/>
        </w:rPr>
        <w:t xml:space="preserve"> </w:t>
      </w:r>
    </w:p>
    <w:p w14:paraId="50FFA919" w14:textId="27FFAD22" w:rsidR="00D1711A" w:rsidRPr="008A3778" w:rsidRDefault="00D1711A"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 xml:space="preserve">To the extent that the respondents have incurred additional costs in respect of the appellants’ failure to comply with uniform rule 49(13), I can see no reason why they should be burdened with these costs. This is particularly so in circumstances were the appellants’ </w:t>
      </w:r>
      <w:r w:rsidR="000F69DD">
        <w:rPr>
          <w:rFonts w:ascii="Helvetica" w:hAnsi="Helvetica" w:cs="Helvetica"/>
          <w:lang w:val="en-GB"/>
        </w:rPr>
        <w:t xml:space="preserve">scorn and </w:t>
      </w:r>
      <w:r w:rsidRPr="008A3778">
        <w:rPr>
          <w:rFonts w:ascii="Helvetica" w:hAnsi="Helvetica" w:cs="Helvetica"/>
          <w:lang w:val="en-GB"/>
        </w:rPr>
        <w:t xml:space="preserve">cavalier approach to their </w:t>
      </w:r>
      <w:r w:rsidR="000F69DD">
        <w:rPr>
          <w:rFonts w:ascii="Helvetica" w:hAnsi="Helvetica" w:cs="Helvetica"/>
          <w:lang w:val="en-GB"/>
        </w:rPr>
        <w:t xml:space="preserve">security obligations </w:t>
      </w:r>
      <w:r w:rsidRPr="008A3778">
        <w:rPr>
          <w:rFonts w:ascii="Helvetica" w:hAnsi="Helvetica" w:cs="Helvetica"/>
          <w:lang w:val="en-GB"/>
        </w:rPr>
        <w:t xml:space="preserve">is lamentable. I make this order only as a matter of caution and only </w:t>
      </w:r>
      <w:r w:rsidR="002D49B4" w:rsidRPr="008A3778">
        <w:rPr>
          <w:rFonts w:ascii="Helvetica" w:hAnsi="Helvetica" w:cs="Helvetica"/>
          <w:lang w:val="en-GB"/>
        </w:rPr>
        <w:t>if</w:t>
      </w:r>
      <w:r w:rsidRPr="008A3778">
        <w:rPr>
          <w:rFonts w:ascii="Helvetica" w:hAnsi="Helvetica" w:cs="Helvetica"/>
          <w:lang w:val="en-GB"/>
        </w:rPr>
        <w:t xml:space="preserve"> these costs may, for whatever reason, not ordinarily </w:t>
      </w:r>
      <w:r w:rsidR="002D49B4" w:rsidRPr="008A3778">
        <w:rPr>
          <w:rFonts w:ascii="Helvetica" w:hAnsi="Helvetica" w:cs="Helvetica"/>
          <w:lang w:val="en-GB"/>
        </w:rPr>
        <w:t xml:space="preserve">be taxable and </w:t>
      </w:r>
      <w:r w:rsidRPr="008A3778">
        <w:rPr>
          <w:rFonts w:ascii="Helvetica" w:hAnsi="Helvetica" w:cs="Helvetica"/>
          <w:lang w:val="en-GB"/>
        </w:rPr>
        <w:t>recoverable in the taxation of the costs of the appeal</w:t>
      </w:r>
      <w:r w:rsidRPr="008A3778">
        <w:rPr>
          <w:rFonts w:ascii="Helvetica" w:hAnsi="Helvetica" w:cs="Helvetica"/>
          <w:bCs/>
          <w:lang w:val="en-GB"/>
        </w:rPr>
        <w:t>.</w:t>
      </w:r>
    </w:p>
    <w:p w14:paraId="4BA3A970" w14:textId="5BE3D038" w:rsidR="008F15B9" w:rsidRPr="008A3778" w:rsidRDefault="003C7641" w:rsidP="00BB0C87">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Finally,</w:t>
      </w:r>
      <w:r w:rsidR="00517709" w:rsidRPr="008A3778">
        <w:rPr>
          <w:rFonts w:ascii="Helvetica" w:hAnsi="Helvetica" w:cs="Helvetica"/>
          <w:lang w:val="en-GB"/>
        </w:rPr>
        <w:t xml:space="preserve"> for</w:t>
      </w:r>
      <w:r w:rsidR="002D49B4" w:rsidRPr="008A3778">
        <w:rPr>
          <w:rFonts w:ascii="Helvetica" w:hAnsi="Helvetica" w:cs="Helvetica"/>
          <w:lang w:val="en-GB"/>
        </w:rPr>
        <w:t xml:space="preserve"> the reasons already mentioned, </w:t>
      </w:r>
      <w:r w:rsidR="007D7247" w:rsidRPr="008A3778">
        <w:rPr>
          <w:rFonts w:ascii="Helvetica" w:hAnsi="Helvetica" w:cs="Helvetica"/>
          <w:lang w:val="en-GB"/>
        </w:rPr>
        <w:t xml:space="preserve">I do not believe it is appropriate to burden </w:t>
      </w:r>
      <w:r w:rsidRPr="008A3778">
        <w:rPr>
          <w:rFonts w:ascii="Helvetica" w:hAnsi="Helvetica" w:cs="Helvetica"/>
          <w:lang w:val="en-GB"/>
        </w:rPr>
        <w:t>Mr.</w:t>
      </w:r>
      <w:r w:rsidR="007D7247" w:rsidRPr="008A3778">
        <w:rPr>
          <w:rFonts w:ascii="Helvetica" w:hAnsi="Helvetica" w:cs="Helvetica"/>
          <w:lang w:val="en-GB"/>
        </w:rPr>
        <w:t xml:space="preserve"> </w:t>
      </w:r>
      <w:r w:rsidR="003870FB" w:rsidRPr="008A3778">
        <w:rPr>
          <w:rFonts w:ascii="Helvetica" w:hAnsi="Helvetica" w:cs="Helvetica"/>
          <w:lang w:val="en-GB"/>
        </w:rPr>
        <w:t>Collatz</w:t>
      </w:r>
      <w:r w:rsidR="007D7247" w:rsidRPr="008A3778">
        <w:rPr>
          <w:rFonts w:ascii="Helvetica" w:hAnsi="Helvetica" w:cs="Helvetica"/>
          <w:lang w:val="en-GB"/>
        </w:rPr>
        <w:t>’s deceased estate with a costs order in this appeal</w:t>
      </w:r>
      <w:r w:rsidR="00517709" w:rsidRPr="008A3778">
        <w:rPr>
          <w:rFonts w:ascii="Helvetica" w:hAnsi="Helvetica" w:cs="Helvetica"/>
          <w:lang w:val="en-GB"/>
        </w:rPr>
        <w:t>. T</w:t>
      </w:r>
      <w:r w:rsidR="00D1711A" w:rsidRPr="008A3778">
        <w:rPr>
          <w:rFonts w:ascii="Helvetica" w:hAnsi="Helvetica" w:cs="Helvetica"/>
          <w:lang w:val="en-GB"/>
        </w:rPr>
        <w:t xml:space="preserve">hese costs </w:t>
      </w:r>
      <w:r w:rsidR="000F69DD">
        <w:rPr>
          <w:rFonts w:ascii="Helvetica" w:hAnsi="Helvetica" w:cs="Helvetica"/>
          <w:lang w:val="en-GB"/>
        </w:rPr>
        <w:t>must</w:t>
      </w:r>
      <w:r w:rsidR="00517709" w:rsidRPr="008A3778">
        <w:rPr>
          <w:rFonts w:ascii="Helvetica" w:hAnsi="Helvetica" w:cs="Helvetica"/>
          <w:lang w:val="en-GB"/>
        </w:rPr>
        <w:t xml:space="preserve"> instead </w:t>
      </w:r>
      <w:r w:rsidR="00D1711A" w:rsidRPr="008A3778">
        <w:rPr>
          <w:rFonts w:ascii="Helvetica" w:hAnsi="Helvetica" w:cs="Helvetica"/>
          <w:lang w:val="en-GB"/>
        </w:rPr>
        <w:t>be borne by Ms</w:t>
      </w:r>
      <w:r w:rsidR="005C0370">
        <w:rPr>
          <w:rFonts w:ascii="Helvetica" w:hAnsi="Helvetica" w:cs="Helvetica"/>
          <w:lang w:val="en-GB"/>
        </w:rPr>
        <w:t>.</w:t>
      </w:r>
      <w:r w:rsidR="00D1711A" w:rsidRPr="008A3778">
        <w:rPr>
          <w:rFonts w:ascii="Helvetica" w:hAnsi="Helvetica" w:cs="Helvetica"/>
          <w:lang w:val="en-GB"/>
        </w:rPr>
        <w:t xml:space="preserve"> </w:t>
      </w:r>
      <w:r w:rsidR="003870FB" w:rsidRPr="008A3778">
        <w:rPr>
          <w:rFonts w:ascii="Helvetica" w:hAnsi="Helvetica" w:cs="Helvetica"/>
          <w:lang w:val="en-GB"/>
        </w:rPr>
        <w:t>Collatz</w:t>
      </w:r>
      <w:r w:rsidR="00D1711A" w:rsidRPr="008A3778">
        <w:rPr>
          <w:rFonts w:ascii="Helvetica" w:hAnsi="Helvetica" w:cs="Helvetica"/>
          <w:lang w:val="en-GB"/>
        </w:rPr>
        <w:t xml:space="preserve"> personally. </w:t>
      </w:r>
    </w:p>
    <w:bookmarkEnd w:id="1"/>
    <w:p w14:paraId="751D2B81" w14:textId="01126CFE" w:rsidR="00712941" w:rsidRPr="008A3778" w:rsidRDefault="00C014E0" w:rsidP="008A3778">
      <w:pPr>
        <w:pStyle w:val="ListParagraph"/>
        <w:numPr>
          <w:ilvl w:val="0"/>
          <w:numId w:val="3"/>
        </w:numPr>
        <w:tabs>
          <w:tab w:val="left" w:pos="709"/>
        </w:tabs>
        <w:adjustRightInd w:val="0"/>
        <w:spacing w:after="480" w:line="360" w:lineRule="auto"/>
        <w:ind w:left="709" w:hanging="709"/>
        <w:contextualSpacing w:val="0"/>
        <w:jc w:val="both"/>
        <w:rPr>
          <w:rFonts w:ascii="Helvetica" w:hAnsi="Helvetica" w:cs="Helvetica"/>
          <w:lang w:val="en-GB"/>
        </w:rPr>
      </w:pPr>
      <w:r w:rsidRPr="008A3778">
        <w:rPr>
          <w:rFonts w:ascii="Helvetica" w:eastAsia="Calibri" w:hAnsi="Helvetica" w:cs="Helvetica"/>
          <w:b/>
          <w:lang w:val="en-GB"/>
        </w:rPr>
        <w:t>ORDER</w:t>
      </w:r>
    </w:p>
    <w:p w14:paraId="15B73F8A" w14:textId="2250F94D" w:rsidR="00BD278C" w:rsidRPr="008A3778" w:rsidRDefault="007D7247" w:rsidP="00F149CD">
      <w:pPr>
        <w:numPr>
          <w:ilvl w:val="0"/>
          <w:numId w:val="1"/>
        </w:numPr>
        <w:tabs>
          <w:tab w:val="clear" w:pos="851"/>
          <w:tab w:val="num" w:pos="720"/>
        </w:tabs>
        <w:spacing w:after="360" w:line="360" w:lineRule="auto"/>
        <w:ind w:left="720" w:right="-151" w:hanging="720"/>
        <w:jc w:val="both"/>
        <w:rPr>
          <w:rFonts w:ascii="Helvetica" w:hAnsi="Helvetica" w:cs="Helvetica"/>
          <w:lang w:val="en-GB"/>
        </w:rPr>
      </w:pPr>
      <w:r w:rsidRPr="008A3778">
        <w:rPr>
          <w:rFonts w:ascii="Helvetica" w:hAnsi="Helvetica" w:cs="Helvetica"/>
          <w:lang w:val="en-GB"/>
        </w:rPr>
        <w:t>For the several reasons set out above, the appellants must fail</w:t>
      </w:r>
      <w:r w:rsidR="000F69DD">
        <w:rPr>
          <w:rFonts w:ascii="Helvetica" w:hAnsi="Helvetica" w:cs="Helvetica"/>
          <w:lang w:val="en-GB"/>
        </w:rPr>
        <w:t>, on all scores,</w:t>
      </w:r>
      <w:r w:rsidRPr="008A3778">
        <w:rPr>
          <w:rFonts w:ascii="Helvetica" w:hAnsi="Helvetica" w:cs="Helvetica"/>
          <w:lang w:val="en-GB"/>
        </w:rPr>
        <w:t xml:space="preserve"> in their appeal.</w:t>
      </w:r>
      <w:r w:rsidR="00F149CD" w:rsidRPr="008A3778">
        <w:rPr>
          <w:rFonts w:ascii="Helvetica" w:hAnsi="Helvetica" w:cs="Helvetica"/>
          <w:lang w:val="en-GB"/>
        </w:rPr>
        <w:t xml:space="preserve"> </w:t>
      </w:r>
      <w:r w:rsidR="00D402D6" w:rsidRPr="008A3778">
        <w:rPr>
          <w:rFonts w:ascii="Helvetica" w:hAnsi="Helvetica" w:cs="Helvetica"/>
          <w:lang w:val="en-GB"/>
        </w:rPr>
        <w:t>Accordingly</w:t>
      </w:r>
      <w:r w:rsidR="004906DC" w:rsidRPr="008A3778">
        <w:rPr>
          <w:rFonts w:ascii="Helvetica" w:hAnsi="Helvetica" w:cs="Helvetica"/>
          <w:lang w:val="en-GB"/>
        </w:rPr>
        <w:t>, the following order</w:t>
      </w:r>
      <w:r w:rsidR="00EE3914" w:rsidRPr="008A3778">
        <w:rPr>
          <w:rFonts w:ascii="Helvetica" w:hAnsi="Helvetica" w:cs="Helvetica"/>
          <w:lang w:val="en-GB"/>
        </w:rPr>
        <w:t>s</w:t>
      </w:r>
      <w:r w:rsidR="004906DC" w:rsidRPr="008A3778">
        <w:rPr>
          <w:rFonts w:ascii="Helvetica" w:hAnsi="Helvetica" w:cs="Helvetica"/>
          <w:lang w:val="en-GB"/>
        </w:rPr>
        <w:t xml:space="preserve"> </w:t>
      </w:r>
      <w:r w:rsidR="00EE3914" w:rsidRPr="008A3778">
        <w:rPr>
          <w:rFonts w:ascii="Helvetica" w:hAnsi="Helvetica" w:cs="Helvetica"/>
          <w:lang w:val="en-GB"/>
        </w:rPr>
        <w:t>are</w:t>
      </w:r>
      <w:r w:rsidR="004906DC" w:rsidRPr="008A3778">
        <w:rPr>
          <w:rFonts w:ascii="Helvetica" w:hAnsi="Helvetica" w:cs="Helvetica"/>
          <w:lang w:val="en-GB"/>
        </w:rPr>
        <w:t xml:space="preserve"> made</w:t>
      </w:r>
      <w:r w:rsidR="00EE3914" w:rsidRPr="008A3778">
        <w:rPr>
          <w:rFonts w:ascii="Helvetica" w:hAnsi="Helvetica" w:cs="Helvetica"/>
          <w:lang w:val="en-GB"/>
        </w:rPr>
        <w:t>:</w:t>
      </w:r>
      <w:r w:rsidR="004906DC" w:rsidRPr="008A3778">
        <w:rPr>
          <w:rFonts w:ascii="Helvetica" w:hAnsi="Helvetica" w:cs="Helvetica"/>
          <w:lang w:val="en-GB"/>
        </w:rPr>
        <w:t xml:space="preserve"> </w:t>
      </w:r>
    </w:p>
    <w:p w14:paraId="40AF361F" w14:textId="2F330189" w:rsidR="00BD278C" w:rsidRPr="008A3778" w:rsidRDefault="00CD62F2" w:rsidP="008A3778">
      <w:pPr>
        <w:numPr>
          <w:ilvl w:val="0"/>
          <w:numId w:val="2"/>
        </w:numPr>
        <w:tabs>
          <w:tab w:val="clear" w:pos="851"/>
          <w:tab w:val="left" w:pos="1276"/>
          <w:tab w:val="num" w:pos="2340"/>
        </w:tabs>
        <w:spacing w:after="360" w:line="360" w:lineRule="auto"/>
        <w:ind w:left="1276" w:right="-151" w:hanging="567"/>
        <w:jc w:val="both"/>
        <w:rPr>
          <w:rFonts w:ascii="Helvetica" w:hAnsi="Helvetica" w:cs="Helvetica"/>
          <w:bCs/>
          <w:lang w:val="en-GB"/>
        </w:rPr>
      </w:pPr>
      <w:r w:rsidRPr="008A3778">
        <w:rPr>
          <w:rFonts w:ascii="Helvetica" w:hAnsi="Helvetica" w:cs="Helvetica"/>
          <w:bCs/>
          <w:lang w:val="en-GB"/>
        </w:rPr>
        <w:t>The appellants’ application for condonation for the late prosecution of the appeal</w:t>
      </w:r>
      <w:r w:rsidR="00EE3914" w:rsidRPr="008A3778">
        <w:rPr>
          <w:rFonts w:ascii="Helvetica" w:hAnsi="Helvetica" w:cs="Helvetica"/>
          <w:bCs/>
          <w:lang w:val="en-GB"/>
        </w:rPr>
        <w:t>, and its reinstatement,</w:t>
      </w:r>
      <w:r w:rsidRPr="008A3778">
        <w:rPr>
          <w:rFonts w:ascii="Helvetica" w:hAnsi="Helvetica" w:cs="Helvetica"/>
          <w:bCs/>
          <w:lang w:val="en-GB"/>
        </w:rPr>
        <w:t xml:space="preserve"> is granted</w:t>
      </w:r>
      <w:r w:rsidR="00CD4509" w:rsidRPr="008A3778">
        <w:rPr>
          <w:rFonts w:ascii="Helvetica" w:hAnsi="Helvetica" w:cs="Helvetica"/>
          <w:bCs/>
          <w:lang w:val="en-GB"/>
        </w:rPr>
        <w:t xml:space="preserve">. The first appellant </w:t>
      </w:r>
      <w:r w:rsidR="00D1711A" w:rsidRPr="008A3778">
        <w:rPr>
          <w:rFonts w:ascii="Helvetica" w:hAnsi="Helvetica" w:cs="Helvetica"/>
          <w:bCs/>
          <w:lang w:val="en-GB"/>
        </w:rPr>
        <w:t xml:space="preserve">personally </w:t>
      </w:r>
      <w:r w:rsidR="00CD4509" w:rsidRPr="008A3778">
        <w:rPr>
          <w:rFonts w:ascii="Helvetica" w:hAnsi="Helvetica" w:cs="Helvetica"/>
          <w:bCs/>
          <w:lang w:val="en-GB"/>
        </w:rPr>
        <w:t>is to pay the costs of the condonation application</w:t>
      </w:r>
      <w:r w:rsidR="00EE3914" w:rsidRPr="008A3778">
        <w:rPr>
          <w:rFonts w:ascii="Helvetica" w:hAnsi="Helvetica" w:cs="Helvetica"/>
          <w:bCs/>
          <w:lang w:val="en-GB"/>
        </w:rPr>
        <w:t xml:space="preserve">. </w:t>
      </w:r>
    </w:p>
    <w:p w14:paraId="54917249" w14:textId="3650AD36" w:rsidR="00A80864" w:rsidRPr="008A3778" w:rsidRDefault="00BF3284" w:rsidP="008A3778">
      <w:pPr>
        <w:numPr>
          <w:ilvl w:val="0"/>
          <w:numId w:val="2"/>
        </w:numPr>
        <w:tabs>
          <w:tab w:val="clear" w:pos="851"/>
          <w:tab w:val="left" w:pos="1276"/>
          <w:tab w:val="num" w:pos="2340"/>
        </w:tabs>
        <w:spacing w:after="360" w:line="360" w:lineRule="auto"/>
        <w:ind w:left="1276" w:right="-151" w:hanging="567"/>
        <w:jc w:val="both"/>
        <w:rPr>
          <w:rFonts w:ascii="Helvetica" w:hAnsi="Helvetica" w:cs="Helvetica"/>
          <w:bCs/>
          <w:lang w:val="en-GB"/>
        </w:rPr>
      </w:pPr>
      <w:r w:rsidRPr="008A3778">
        <w:rPr>
          <w:rFonts w:ascii="Helvetica" w:hAnsi="Helvetica" w:cs="Helvetica"/>
          <w:bCs/>
          <w:lang w:val="en-GB"/>
        </w:rPr>
        <w:t>The appeal is dismissed with costs</w:t>
      </w:r>
      <w:r w:rsidR="00F149CD" w:rsidRPr="008A3778">
        <w:rPr>
          <w:rFonts w:ascii="Helvetica" w:hAnsi="Helvetica" w:cs="Helvetica"/>
          <w:bCs/>
          <w:lang w:val="en-GB"/>
        </w:rPr>
        <w:t>, which costs are</w:t>
      </w:r>
      <w:r w:rsidR="00D1711A" w:rsidRPr="008A3778">
        <w:rPr>
          <w:rFonts w:ascii="Helvetica" w:hAnsi="Helvetica" w:cs="Helvetica"/>
          <w:bCs/>
          <w:lang w:val="en-GB"/>
        </w:rPr>
        <w:t xml:space="preserve"> to be paid by the first appellant personally</w:t>
      </w:r>
      <w:r w:rsidR="00F149CD" w:rsidRPr="008A3778">
        <w:rPr>
          <w:rFonts w:ascii="Helvetica" w:hAnsi="Helvetica" w:cs="Helvetica"/>
          <w:bCs/>
          <w:lang w:val="en-GB"/>
        </w:rPr>
        <w:t xml:space="preserve">. </w:t>
      </w:r>
      <w:r w:rsidR="008F15B9" w:rsidRPr="008A3778">
        <w:rPr>
          <w:rFonts w:ascii="Helvetica" w:hAnsi="Helvetica" w:cs="Helvetica"/>
          <w:bCs/>
          <w:lang w:val="en-GB"/>
        </w:rPr>
        <w:t xml:space="preserve"> </w:t>
      </w:r>
    </w:p>
    <w:p w14:paraId="0FA0DE83" w14:textId="77777777" w:rsidR="00F149CD" w:rsidRPr="008A3778" w:rsidRDefault="00EE3914" w:rsidP="008A3778">
      <w:pPr>
        <w:numPr>
          <w:ilvl w:val="0"/>
          <w:numId w:val="2"/>
        </w:numPr>
        <w:tabs>
          <w:tab w:val="clear" w:pos="851"/>
          <w:tab w:val="left" w:pos="1276"/>
          <w:tab w:val="num" w:pos="2340"/>
        </w:tabs>
        <w:spacing w:after="360" w:line="360" w:lineRule="auto"/>
        <w:ind w:left="1276" w:right="-151" w:hanging="567"/>
        <w:jc w:val="both"/>
        <w:rPr>
          <w:rFonts w:ascii="Helvetica" w:hAnsi="Helvetica" w:cs="Helvetica"/>
          <w:bCs/>
          <w:lang w:val="en-GB"/>
        </w:rPr>
      </w:pPr>
      <w:r w:rsidRPr="008A3778">
        <w:rPr>
          <w:rFonts w:ascii="Helvetica" w:hAnsi="Helvetica" w:cs="Helvetica"/>
          <w:bCs/>
          <w:lang w:val="en-GB"/>
        </w:rPr>
        <w:t>The costs orders in paragraphs 1 and 2 above are to include the costs of two counsel, where so employed.</w:t>
      </w:r>
      <w:r w:rsidR="00F149CD" w:rsidRPr="008A3778">
        <w:rPr>
          <w:rFonts w:ascii="Helvetica" w:hAnsi="Helvetica" w:cs="Helvetica"/>
          <w:bCs/>
          <w:lang w:val="en-GB"/>
        </w:rPr>
        <w:t xml:space="preserve"> </w:t>
      </w:r>
    </w:p>
    <w:p w14:paraId="419245F4" w14:textId="58B158FC" w:rsidR="003A214B" w:rsidRPr="008A3778" w:rsidRDefault="00F149CD" w:rsidP="008A3778">
      <w:pPr>
        <w:numPr>
          <w:ilvl w:val="0"/>
          <w:numId w:val="2"/>
        </w:numPr>
        <w:tabs>
          <w:tab w:val="clear" w:pos="851"/>
          <w:tab w:val="left" w:pos="1276"/>
          <w:tab w:val="num" w:pos="2340"/>
        </w:tabs>
        <w:spacing w:after="360" w:line="360" w:lineRule="auto"/>
        <w:ind w:left="1276" w:right="-151" w:hanging="567"/>
        <w:jc w:val="both"/>
        <w:rPr>
          <w:rFonts w:ascii="Helvetica" w:hAnsi="Helvetica" w:cs="Helvetica"/>
          <w:bCs/>
          <w:lang w:val="en-GB"/>
        </w:rPr>
      </w:pPr>
      <w:r w:rsidRPr="008A3778">
        <w:rPr>
          <w:rFonts w:ascii="Helvetica" w:hAnsi="Helvetica" w:cs="Helvetica"/>
          <w:bCs/>
          <w:lang w:val="en-GB"/>
        </w:rPr>
        <w:lastRenderedPageBreak/>
        <w:t>The costs order in paragraph 2 above furthermore includes those or any (additional) costs incurred by the respondents attributable to the issue of the appellants’ failure to comply with uniform rule 49(13).</w:t>
      </w:r>
    </w:p>
    <w:p w14:paraId="7B9CDC42" w14:textId="62391A7E" w:rsidR="00EE3914" w:rsidRPr="008A3778" w:rsidRDefault="00EE3914" w:rsidP="00F149CD">
      <w:pPr>
        <w:tabs>
          <w:tab w:val="left" w:pos="1620"/>
        </w:tabs>
        <w:spacing w:after="0" w:line="360" w:lineRule="auto"/>
        <w:ind w:left="1620" w:right="-144"/>
        <w:jc w:val="both"/>
        <w:rPr>
          <w:rFonts w:ascii="Helvetica" w:hAnsi="Helvetica" w:cs="Helvetica"/>
          <w:bCs/>
          <w:lang w:val="en-GB"/>
        </w:rPr>
      </w:pPr>
    </w:p>
    <w:p w14:paraId="529CBE30" w14:textId="77777777" w:rsidR="00F149CD" w:rsidRPr="008A3778" w:rsidRDefault="00F149CD" w:rsidP="003A214B">
      <w:pPr>
        <w:tabs>
          <w:tab w:val="left" w:pos="1620"/>
        </w:tabs>
        <w:spacing w:after="0" w:line="360" w:lineRule="auto"/>
        <w:ind w:left="1627" w:right="-144"/>
        <w:jc w:val="both"/>
        <w:rPr>
          <w:rFonts w:ascii="Helvetica" w:hAnsi="Helvetica" w:cs="Helvetica"/>
          <w:bCs/>
          <w:lang w:val="en-GB"/>
        </w:rPr>
      </w:pPr>
    </w:p>
    <w:p w14:paraId="28F65457" w14:textId="566219F2" w:rsidR="00652C85" w:rsidRPr="008A3778" w:rsidRDefault="00652C85" w:rsidP="00652C85">
      <w:pPr>
        <w:tabs>
          <w:tab w:val="left" w:pos="6480"/>
        </w:tabs>
        <w:spacing w:after="0" w:line="240" w:lineRule="auto"/>
        <w:rPr>
          <w:rFonts w:ascii="Helvetica" w:eastAsia="Calibri" w:hAnsi="Helvetica" w:cs="Helvetica"/>
          <w:b/>
          <w:lang w:val="en-GB"/>
        </w:rPr>
      </w:pPr>
      <w:r w:rsidRPr="008A3778">
        <w:rPr>
          <w:rFonts w:ascii="Helvetica" w:eastAsia="Calibri" w:hAnsi="Helvetica" w:cs="Helvetica"/>
          <w:b/>
          <w:lang w:val="en-GB"/>
        </w:rPr>
        <w:t>____________________________</w:t>
      </w:r>
      <w:r w:rsidR="000F69DD">
        <w:rPr>
          <w:rFonts w:ascii="Helvetica" w:eastAsia="Calibri" w:hAnsi="Helvetica" w:cs="Helvetica"/>
          <w:b/>
          <w:lang w:val="en-GB"/>
        </w:rPr>
        <w:t>__________</w:t>
      </w:r>
    </w:p>
    <w:p w14:paraId="0D0E65F3" w14:textId="77777777" w:rsidR="00652C85" w:rsidRPr="008A3778" w:rsidRDefault="00652C85" w:rsidP="00652C85">
      <w:pPr>
        <w:tabs>
          <w:tab w:val="left" w:pos="6480"/>
        </w:tabs>
        <w:spacing w:after="0" w:line="240" w:lineRule="auto"/>
        <w:rPr>
          <w:rFonts w:ascii="Helvetica" w:eastAsia="Calibri" w:hAnsi="Helvetica" w:cs="Helvetica"/>
          <w:b/>
          <w:lang w:val="en-GB"/>
        </w:rPr>
      </w:pPr>
      <w:r w:rsidRPr="008A3778">
        <w:rPr>
          <w:rFonts w:ascii="Helvetica" w:eastAsia="Calibri" w:hAnsi="Helvetica" w:cs="Helvetica"/>
          <w:b/>
          <w:lang w:val="en-GB"/>
        </w:rPr>
        <w:t>AMM AJ</w:t>
      </w:r>
    </w:p>
    <w:p w14:paraId="0CE8A191" w14:textId="77777777" w:rsidR="00652C85" w:rsidRPr="008A3778" w:rsidRDefault="00652C85" w:rsidP="00652C85">
      <w:pPr>
        <w:tabs>
          <w:tab w:val="left" w:pos="5490"/>
        </w:tabs>
        <w:spacing w:after="0" w:line="240" w:lineRule="auto"/>
        <w:jc w:val="both"/>
        <w:rPr>
          <w:rFonts w:ascii="Helvetica" w:eastAsia="Calibri" w:hAnsi="Helvetica" w:cs="Helvetica"/>
          <w:bCs/>
          <w:lang w:val="en-GB"/>
        </w:rPr>
      </w:pPr>
      <w:r w:rsidRPr="008A3778">
        <w:rPr>
          <w:rFonts w:ascii="Helvetica" w:eastAsia="Calibri" w:hAnsi="Helvetica" w:cs="Helvetica"/>
          <w:bCs/>
          <w:lang w:val="en-GB"/>
        </w:rPr>
        <w:t>Acting Judge of The High Court of South Africa,</w:t>
      </w:r>
    </w:p>
    <w:p w14:paraId="7C69D4AB" w14:textId="6F219EA1" w:rsidR="00652C85" w:rsidRPr="008A3778" w:rsidRDefault="00652C85" w:rsidP="00652C85">
      <w:pPr>
        <w:tabs>
          <w:tab w:val="left" w:pos="5490"/>
        </w:tabs>
        <w:spacing w:after="0" w:line="240" w:lineRule="auto"/>
        <w:jc w:val="both"/>
        <w:rPr>
          <w:rFonts w:ascii="Helvetica" w:eastAsia="Calibri" w:hAnsi="Helvetica" w:cs="Helvetica"/>
          <w:bCs/>
          <w:lang w:val="en-GB"/>
        </w:rPr>
      </w:pPr>
      <w:r w:rsidRPr="008A3778">
        <w:rPr>
          <w:rFonts w:ascii="Helvetica" w:eastAsia="Calibri" w:hAnsi="Helvetica" w:cs="Helvetica"/>
          <w:bCs/>
          <w:lang w:val="en-GB"/>
        </w:rPr>
        <w:t>Gauteng Local Division</w:t>
      </w:r>
    </w:p>
    <w:p w14:paraId="7608F07D" w14:textId="77777777" w:rsidR="00652C85" w:rsidRPr="008A3778" w:rsidRDefault="00652C85" w:rsidP="00652C85">
      <w:pPr>
        <w:tabs>
          <w:tab w:val="left" w:pos="5490"/>
        </w:tabs>
        <w:spacing w:after="0" w:line="240" w:lineRule="auto"/>
        <w:jc w:val="both"/>
        <w:rPr>
          <w:rFonts w:ascii="Helvetica" w:eastAsia="Calibri" w:hAnsi="Helvetica" w:cs="Helvetica"/>
          <w:bCs/>
          <w:lang w:val="en-GB"/>
        </w:rPr>
      </w:pPr>
    </w:p>
    <w:p w14:paraId="64475975" w14:textId="274855D5" w:rsidR="00EE3914" w:rsidRPr="008A3778" w:rsidRDefault="00652C85" w:rsidP="00652C85">
      <w:pPr>
        <w:spacing w:after="360" w:line="360" w:lineRule="auto"/>
        <w:ind w:left="1620" w:right="-151" w:firstLine="3870"/>
        <w:jc w:val="both"/>
        <w:rPr>
          <w:rFonts w:ascii="Helvetica" w:hAnsi="Helvetica" w:cs="Helvetica"/>
          <w:bCs/>
          <w:lang w:val="en-GB"/>
        </w:rPr>
      </w:pPr>
      <w:bookmarkStart w:id="19" w:name="_Hlk91061542"/>
      <w:r w:rsidRPr="008A3778">
        <w:rPr>
          <w:rFonts w:ascii="Helvetica" w:hAnsi="Helvetica" w:cs="Helvetica"/>
          <w:bCs/>
          <w:lang w:val="en-GB"/>
        </w:rPr>
        <w:t xml:space="preserve">I concur: </w:t>
      </w:r>
    </w:p>
    <w:bookmarkEnd w:id="19"/>
    <w:p w14:paraId="30F15D0C" w14:textId="511F353C" w:rsidR="007A119F" w:rsidRPr="008A3778" w:rsidRDefault="007A119F" w:rsidP="006D5807">
      <w:pPr>
        <w:tabs>
          <w:tab w:val="left" w:pos="6480"/>
        </w:tabs>
        <w:spacing w:after="0" w:line="240" w:lineRule="auto"/>
        <w:ind w:left="6480" w:hanging="990"/>
        <w:rPr>
          <w:rFonts w:ascii="Helvetica" w:eastAsia="Calibri" w:hAnsi="Helvetica" w:cs="Helvetica"/>
          <w:b/>
          <w:lang w:val="en-GB"/>
        </w:rPr>
      </w:pPr>
      <w:r w:rsidRPr="008A3778">
        <w:rPr>
          <w:rFonts w:ascii="Helvetica" w:eastAsia="Calibri" w:hAnsi="Helvetica" w:cs="Helvetica"/>
          <w:b/>
          <w:lang w:val="en-GB"/>
        </w:rPr>
        <w:t>_________________</w:t>
      </w:r>
      <w:r w:rsidR="00BB7BB1" w:rsidRPr="008A3778">
        <w:rPr>
          <w:rFonts w:ascii="Helvetica" w:eastAsia="Calibri" w:hAnsi="Helvetica" w:cs="Helvetica"/>
          <w:b/>
          <w:lang w:val="en-GB"/>
        </w:rPr>
        <w:t>___</w:t>
      </w:r>
      <w:r w:rsidRPr="008A3778">
        <w:rPr>
          <w:rFonts w:ascii="Helvetica" w:eastAsia="Calibri" w:hAnsi="Helvetica" w:cs="Helvetica"/>
          <w:b/>
          <w:lang w:val="en-GB"/>
        </w:rPr>
        <w:t>__</w:t>
      </w:r>
      <w:r w:rsidR="00BB7BB1" w:rsidRPr="008A3778">
        <w:rPr>
          <w:rFonts w:ascii="Helvetica" w:eastAsia="Calibri" w:hAnsi="Helvetica" w:cs="Helvetica"/>
          <w:b/>
          <w:lang w:val="en-GB"/>
        </w:rPr>
        <w:t>______</w:t>
      </w:r>
    </w:p>
    <w:p w14:paraId="01448919" w14:textId="1EA22D3E" w:rsidR="00B967A9" w:rsidRPr="008A3778" w:rsidRDefault="00BD278C" w:rsidP="006D5807">
      <w:pPr>
        <w:tabs>
          <w:tab w:val="left" w:pos="5490"/>
        </w:tabs>
        <w:spacing w:after="0" w:line="240" w:lineRule="auto"/>
        <w:ind w:left="5580" w:hanging="90"/>
        <w:rPr>
          <w:rFonts w:ascii="Helvetica" w:eastAsia="Calibri" w:hAnsi="Helvetica" w:cs="Helvetica"/>
          <w:b/>
          <w:lang w:val="en-GB"/>
        </w:rPr>
      </w:pPr>
      <w:r w:rsidRPr="008A3778">
        <w:rPr>
          <w:rFonts w:ascii="Helvetica" w:eastAsia="Calibri" w:hAnsi="Helvetica" w:cs="Helvetica"/>
          <w:b/>
          <w:lang w:val="en-GB"/>
        </w:rPr>
        <w:t>SENYATSI</w:t>
      </w:r>
      <w:r w:rsidR="007A2834" w:rsidRPr="008A3778">
        <w:rPr>
          <w:rFonts w:ascii="Helvetica" w:eastAsia="Calibri" w:hAnsi="Helvetica" w:cs="Helvetica"/>
          <w:b/>
          <w:lang w:val="en-GB"/>
        </w:rPr>
        <w:t xml:space="preserve"> </w:t>
      </w:r>
      <w:r w:rsidR="00DF7425" w:rsidRPr="008A3778">
        <w:rPr>
          <w:rFonts w:ascii="Helvetica" w:eastAsia="Calibri" w:hAnsi="Helvetica" w:cs="Helvetica"/>
          <w:b/>
          <w:lang w:val="en-GB"/>
        </w:rPr>
        <w:t>J</w:t>
      </w:r>
    </w:p>
    <w:p w14:paraId="12FB374C" w14:textId="4C3B29F1" w:rsidR="006454A8" w:rsidRPr="008A3778" w:rsidRDefault="00CA0485" w:rsidP="003A214B">
      <w:pPr>
        <w:tabs>
          <w:tab w:val="left" w:pos="5490"/>
        </w:tabs>
        <w:spacing w:after="0" w:line="240" w:lineRule="auto"/>
        <w:ind w:left="5490"/>
        <w:rPr>
          <w:rFonts w:ascii="Helvetica" w:eastAsia="Calibri" w:hAnsi="Helvetica" w:cs="Helvetica"/>
          <w:lang w:val="en-GB"/>
        </w:rPr>
      </w:pPr>
      <w:r w:rsidRPr="008A3778">
        <w:rPr>
          <w:rFonts w:ascii="Helvetica" w:eastAsia="Calibri" w:hAnsi="Helvetica" w:cs="Helvetica"/>
          <w:lang w:val="en-GB"/>
        </w:rPr>
        <w:t xml:space="preserve">Judge of The High Court </w:t>
      </w:r>
      <w:r w:rsidR="00C16EB5" w:rsidRPr="008A3778">
        <w:rPr>
          <w:rFonts w:ascii="Helvetica" w:eastAsia="Calibri" w:hAnsi="Helvetica" w:cs="Helvetica"/>
          <w:lang w:val="en-GB"/>
        </w:rPr>
        <w:t>of</w:t>
      </w:r>
      <w:r w:rsidRPr="008A3778">
        <w:rPr>
          <w:rFonts w:ascii="Helvetica" w:eastAsia="Calibri" w:hAnsi="Helvetica" w:cs="Helvetica"/>
          <w:lang w:val="en-GB"/>
        </w:rPr>
        <w:t xml:space="preserve"> South Africa, Gauteng Local Division</w:t>
      </w:r>
      <w:r w:rsidR="00EE3914" w:rsidRPr="008A3778">
        <w:rPr>
          <w:rFonts w:ascii="Helvetica" w:eastAsia="Calibri" w:hAnsi="Helvetica" w:cs="Helvetica"/>
          <w:lang w:val="en-GB"/>
        </w:rPr>
        <w:t xml:space="preserve"> </w:t>
      </w:r>
    </w:p>
    <w:p w14:paraId="685676BB" w14:textId="28F7C28B" w:rsidR="00652C85" w:rsidRPr="008A3778" w:rsidRDefault="00652C85" w:rsidP="006D5807">
      <w:pPr>
        <w:tabs>
          <w:tab w:val="left" w:pos="5490"/>
        </w:tabs>
        <w:spacing w:after="0" w:line="240" w:lineRule="auto"/>
        <w:ind w:left="5580" w:hanging="90"/>
        <w:rPr>
          <w:rFonts w:ascii="Helvetica" w:eastAsia="Calibri" w:hAnsi="Helvetica" w:cs="Helvetica"/>
          <w:b/>
          <w:lang w:val="en-GB"/>
        </w:rPr>
      </w:pPr>
    </w:p>
    <w:p w14:paraId="43EF0C16" w14:textId="77777777" w:rsidR="003A214B" w:rsidRPr="008A3778" w:rsidRDefault="003A214B" w:rsidP="006D5807">
      <w:pPr>
        <w:tabs>
          <w:tab w:val="left" w:pos="5490"/>
        </w:tabs>
        <w:spacing w:after="0" w:line="240" w:lineRule="auto"/>
        <w:ind w:left="5580" w:hanging="90"/>
        <w:rPr>
          <w:rFonts w:ascii="Helvetica" w:eastAsia="Calibri" w:hAnsi="Helvetica" w:cs="Helvetica"/>
          <w:b/>
          <w:lang w:val="en-GB"/>
        </w:rPr>
      </w:pPr>
    </w:p>
    <w:p w14:paraId="0B10C784" w14:textId="2EFFDE16" w:rsidR="00C16EB5" w:rsidRPr="008A3778" w:rsidRDefault="00652C85" w:rsidP="003A214B">
      <w:pPr>
        <w:spacing w:after="360" w:line="360" w:lineRule="auto"/>
        <w:ind w:left="1620" w:right="-151" w:firstLine="3870"/>
        <w:jc w:val="both"/>
        <w:rPr>
          <w:rFonts w:ascii="Helvetica" w:hAnsi="Helvetica" w:cs="Helvetica"/>
          <w:bCs/>
          <w:lang w:val="en-GB"/>
        </w:rPr>
      </w:pPr>
      <w:r w:rsidRPr="008A3778">
        <w:rPr>
          <w:rFonts w:ascii="Helvetica" w:hAnsi="Helvetica" w:cs="Helvetica"/>
          <w:bCs/>
          <w:lang w:val="en-GB"/>
        </w:rPr>
        <w:t xml:space="preserve">I concur: </w:t>
      </w:r>
    </w:p>
    <w:p w14:paraId="5411CAC1" w14:textId="354A1D22" w:rsidR="00BD278C" w:rsidRPr="008A3778" w:rsidRDefault="00BD278C" w:rsidP="006D5807">
      <w:pPr>
        <w:tabs>
          <w:tab w:val="left" w:pos="6480"/>
        </w:tabs>
        <w:spacing w:after="0" w:line="240" w:lineRule="auto"/>
        <w:ind w:left="6480" w:hanging="990"/>
        <w:rPr>
          <w:rFonts w:ascii="Helvetica" w:eastAsia="Calibri" w:hAnsi="Helvetica" w:cs="Helvetica"/>
          <w:b/>
          <w:lang w:val="en-GB"/>
        </w:rPr>
      </w:pPr>
      <w:r w:rsidRPr="008A3778">
        <w:rPr>
          <w:rFonts w:ascii="Helvetica" w:eastAsia="Calibri" w:hAnsi="Helvetica" w:cs="Helvetica"/>
          <w:b/>
          <w:lang w:val="en-GB"/>
        </w:rPr>
        <w:t>____________________________</w:t>
      </w:r>
    </w:p>
    <w:p w14:paraId="6BB819E3" w14:textId="35E37CD5" w:rsidR="00BD278C" w:rsidRPr="008A3778" w:rsidRDefault="00BD278C" w:rsidP="006D5807">
      <w:pPr>
        <w:tabs>
          <w:tab w:val="left" w:pos="6480"/>
        </w:tabs>
        <w:spacing w:after="0" w:line="240" w:lineRule="auto"/>
        <w:ind w:left="6480" w:hanging="990"/>
        <w:rPr>
          <w:rFonts w:ascii="Helvetica" w:eastAsia="Calibri" w:hAnsi="Helvetica" w:cs="Helvetica"/>
          <w:b/>
          <w:lang w:val="en-GB"/>
        </w:rPr>
      </w:pPr>
      <w:r w:rsidRPr="008A3778">
        <w:rPr>
          <w:rFonts w:ascii="Helvetica" w:eastAsia="Calibri" w:hAnsi="Helvetica" w:cs="Helvetica"/>
          <w:b/>
          <w:lang w:val="en-GB"/>
        </w:rPr>
        <w:t>M</w:t>
      </w:r>
      <w:r w:rsidR="00D11811">
        <w:rPr>
          <w:rFonts w:ascii="Helvetica" w:eastAsia="Calibri" w:hAnsi="Helvetica" w:cs="Helvetica"/>
          <w:b/>
          <w:lang w:val="en-GB"/>
        </w:rPr>
        <w:t>A</w:t>
      </w:r>
      <w:r w:rsidRPr="008A3778">
        <w:rPr>
          <w:rFonts w:ascii="Helvetica" w:eastAsia="Calibri" w:hAnsi="Helvetica" w:cs="Helvetica"/>
          <w:b/>
          <w:lang w:val="en-GB"/>
        </w:rPr>
        <w:t>H</w:t>
      </w:r>
      <w:r w:rsidR="00D11811">
        <w:rPr>
          <w:rFonts w:ascii="Helvetica" w:eastAsia="Calibri" w:hAnsi="Helvetica" w:cs="Helvetica"/>
          <w:b/>
          <w:lang w:val="en-GB"/>
        </w:rPr>
        <w:t>O</w:t>
      </w:r>
      <w:r w:rsidRPr="008A3778">
        <w:rPr>
          <w:rFonts w:ascii="Helvetica" w:eastAsia="Calibri" w:hAnsi="Helvetica" w:cs="Helvetica"/>
          <w:b/>
          <w:lang w:val="en-GB"/>
        </w:rPr>
        <w:t>MED AJ</w:t>
      </w:r>
    </w:p>
    <w:p w14:paraId="078352F2" w14:textId="62AB9676" w:rsidR="00BD278C" w:rsidRPr="008A3778" w:rsidRDefault="00BD278C" w:rsidP="006D5807">
      <w:pPr>
        <w:tabs>
          <w:tab w:val="left" w:pos="5490"/>
        </w:tabs>
        <w:spacing w:after="0" w:line="240" w:lineRule="auto"/>
        <w:ind w:left="5490"/>
        <w:rPr>
          <w:rFonts w:ascii="Helvetica" w:eastAsia="Calibri" w:hAnsi="Helvetica" w:cs="Helvetica"/>
          <w:b/>
          <w:lang w:val="en-GB"/>
        </w:rPr>
      </w:pPr>
      <w:r w:rsidRPr="008A3778">
        <w:rPr>
          <w:rFonts w:ascii="Helvetica" w:eastAsia="Calibri" w:hAnsi="Helvetica" w:cs="Helvetica"/>
          <w:bCs/>
          <w:lang w:val="en-GB"/>
        </w:rPr>
        <w:t xml:space="preserve">Acting Judge of The High Court of </w:t>
      </w:r>
      <w:r w:rsidRPr="008A3778">
        <w:rPr>
          <w:rFonts w:ascii="Helvetica" w:eastAsia="Calibri" w:hAnsi="Helvetica" w:cs="Helvetica"/>
          <w:lang w:val="en-GB"/>
        </w:rPr>
        <w:t>South</w:t>
      </w:r>
      <w:r w:rsidRPr="008A3778">
        <w:rPr>
          <w:rFonts w:ascii="Helvetica" w:eastAsia="Calibri" w:hAnsi="Helvetica" w:cs="Helvetica"/>
          <w:bCs/>
          <w:lang w:val="en-GB"/>
        </w:rPr>
        <w:t xml:space="preserve"> Africa, Gauteng Local Division</w:t>
      </w:r>
    </w:p>
    <w:p w14:paraId="087D1AFF" w14:textId="42814E8D" w:rsidR="003F3CE5" w:rsidRPr="008A3778" w:rsidRDefault="003F3CE5" w:rsidP="006D5807">
      <w:pPr>
        <w:tabs>
          <w:tab w:val="left" w:pos="6480"/>
        </w:tabs>
        <w:spacing w:after="0" w:line="240" w:lineRule="auto"/>
        <w:ind w:left="6480"/>
        <w:rPr>
          <w:rFonts w:ascii="Helvetica" w:eastAsia="Calibri" w:hAnsi="Helvetica" w:cs="Helvetica"/>
          <w:b/>
          <w:lang w:val="en-GB"/>
        </w:rPr>
      </w:pPr>
    </w:p>
    <w:p w14:paraId="75AF4D9D" w14:textId="77777777" w:rsidR="003F3CE5" w:rsidRPr="008A3778" w:rsidRDefault="003F3CE5" w:rsidP="006D5807">
      <w:pPr>
        <w:tabs>
          <w:tab w:val="left" w:pos="6480"/>
        </w:tabs>
        <w:spacing w:after="0" w:line="240" w:lineRule="auto"/>
        <w:ind w:left="6480"/>
        <w:rPr>
          <w:rFonts w:ascii="Helvetica" w:eastAsia="Calibri" w:hAnsi="Helvetica" w:cs="Helvetica"/>
          <w:b/>
          <w:lang w:val="en-GB"/>
        </w:rPr>
      </w:pPr>
    </w:p>
    <w:p w14:paraId="54E8BB69" w14:textId="7F6A9910" w:rsidR="007A119F" w:rsidRPr="008A3778" w:rsidRDefault="007A119F" w:rsidP="006D5807">
      <w:pPr>
        <w:tabs>
          <w:tab w:val="left" w:pos="6480"/>
        </w:tabs>
        <w:spacing w:after="0" w:line="240" w:lineRule="auto"/>
        <w:ind w:left="6480"/>
        <w:rPr>
          <w:rFonts w:ascii="Helvetica" w:eastAsia="Calibri" w:hAnsi="Helvetica" w:cs="Helvetica"/>
          <w:b/>
          <w:lang w:val="en-GB"/>
        </w:rPr>
      </w:pPr>
    </w:p>
    <w:p w14:paraId="5C4C511C" w14:textId="78636AD7" w:rsidR="00052588" w:rsidRPr="008A3778" w:rsidRDefault="00052588" w:rsidP="006D5807">
      <w:pPr>
        <w:spacing w:after="0" w:line="240" w:lineRule="auto"/>
        <w:rPr>
          <w:rFonts w:ascii="Helvetica" w:eastAsia="Calibri" w:hAnsi="Helvetica" w:cs="Helvetica"/>
          <w:b/>
          <w:lang w:val="en-GB"/>
        </w:rPr>
      </w:pPr>
    </w:p>
    <w:p w14:paraId="268846F5" w14:textId="420802F0" w:rsidR="003A2D42" w:rsidRPr="008A3778" w:rsidRDefault="003A2D42" w:rsidP="006D5807">
      <w:pPr>
        <w:spacing w:after="0" w:line="240" w:lineRule="auto"/>
        <w:ind w:left="4320"/>
        <w:rPr>
          <w:rFonts w:ascii="Helvetica" w:eastAsia="Calibri" w:hAnsi="Helvetica" w:cs="Helvetica"/>
          <w:b/>
          <w:lang w:val="en-GB"/>
        </w:rPr>
      </w:pPr>
    </w:p>
    <w:p w14:paraId="57282FFB" w14:textId="564A2A7D" w:rsidR="005C62A9" w:rsidRPr="008A3778" w:rsidRDefault="005C62A9" w:rsidP="006D5807">
      <w:pPr>
        <w:spacing w:after="0" w:line="240" w:lineRule="auto"/>
        <w:jc w:val="both"/>
        <w:rPr>
          <w:rFonts w:ascii="Helvetica" w:eastAsia="Calibri" w:hAnsi="Helvetica" w:cs="Helvetica"/>
          <w:b/>
          <w:lang w:val="en-GB"/>
        </w:rPr>
      </w:pPr>
      <w:r w:rsidRPr="008A3778">
        <w:rPr>
          <w:rFonts w:ascii="Helvetica" w:eastAsia="Calibri" w:hAnsi="Helvetica" w:cs="Helvetica"/>
          <w:b/>
          <w:lang w:val="en-GB"/>
        </w:rPr>
        <w:t>VIRTUALLY HEARD</w:t>
      </w:r>
      <w:r w:rsidR="003A214B" w:rsidRPr="008A3778">
        <w:rPr>
          <w:rFonts w:ascii="Helvetica" w:eastAsia="Calibri" w:hAnsi="Helvetica" w:cs="Helvetica"/>
          <w:b/>
          <w:lang w:val="en-GB"/>
        </w:rPr>
        <w:t xml:space="preserve"> &amp; ARGUED</w:t>
      </w:r>
      <w:r w:rsidRPr="008A3778">
        <w:rPr>
          <w:rFonts w:ascii="Helvetica" w:eastAsia="Calibri" w:hAnsi="Helvetica" w:cs="Helvetica"/>
          <w:bCs/>
          <w:lang w:val="en-GB"/>
        </w:rPr>
        <w:t>:</w:t>
      </w:r>
      <w:r w:rsidR="00C16EB5" w:rsidRPr="008A3778">
        <w:rPr>
          <w:rFonts w:ascii="Helvetica" w:eastAsia="Calibri" w:hAnsi="Helvetica" w:cs="Helvetica"/>
          <w:bCs/>
          <w:lang w:val="en-GB"/>
        </w:rPr>
        <w:t xml:space="preserve"> </w:t>
      </w:r>
      <w:r w:rsidRPr="008A3778">
        <w:rPr>
          <w:rFonts w:ascii="Helvetica" w:eastAsia="Calibri" w:hAnsi="Helvetica" w:cs="Helvetica"/>
          <w:bCs/>
          <w:lang w:val="en-GB"/>
        </w:rPr>
        <w:t>-</w:t>
      </w:r>
      <w:r w:rsidRPr="008A3778">
        <w:rPr>
          <w:rFonts w:ascii="Helvetica" w:eastAsia="Calibri" w:hAnsi="Helvetica" w:cs="Helvetica"/>
          <w:b/>
          <w:lang w:val="en-GB"/>
        </w:rPr>
        <w:tab/>
      </w:r>
      <w:r w:rsidRPr="008A3778">
        <w:rPr>
          <w:rFonts w:ascii="Helvetica" w:eastAsia="Calibri" w:hAnsi="Helvetica" w:cs="Helvetica"/>
          <w:b/>
          <w:lang w:val="en-GB"/>
        </w:rPr>
        <w:tab/>
        <w:t>30 August 2021</w:t>
      </w:r>
    </w:p>
    <w:p w14:paraId="2AC204CA" w14:textId="77777777" w:rsidR="00A22BB7" w:rsidRPr="008A3778" w:rsidRDefault="00A22BB7" w:rsidP="006D5807">
      <w:pPr>
        <w:spacing w:after="0" w:line="240" w:lineRule="auto"/>
        <w:jc w:val="both"/>
        <w:rPr>
          <w:rFonts w:ascii="Helvetica" w:eastAsia="Calibri" w:hAnsi="Helvetica" w:cs="Helvetica"/>
          <w:bCs/>
          <w:lang w:val="en-GB"/>
        </w:rPr>
      </w:pPr>
    </w:p>
    <w:p w14:paraId="56183B59" w14:textId="7D09FF73" w:rsidR="00652C85" w:rsidRPr="008A3778" w:rsidRDefault="00A22BB7" w:rsidP="006D5807">
      <w:pPr>
        <w:spacing w:after="0" w:line="276" w:lineRule="auto"/>
        <w:jc w:val="both"/>
        <w:rPr>
          <w:rFonts w:ascii="Helvetica" w:hAnsi="Helvetica" w:cs="Helvetica"/>
          <w:lang w:val="en-GB"/>
        </w:rPr>
      </w:pPr>
      <w:r w:rsidRPr="008A3778">
        <w:rPr>
          <w:rFonts w:ascii="Helvetica" w:eastAsia="Calibri" w:hAnsi="Helvetica" w:cs="Helvetica"/>
          <w:b/>
          <w:lang w:val="en-GB"/>
        </w:rPr>
        <w:t>JUDG</w:t>
      </w:r>
      <w:r w:rsidR="00136D62">
        <w:rPr>
          <w:rFonts w:ascii="Helvetica" w:eastAsia="Calibri" w:hAnsi="Helvetica" w:cs="Helvetica"/>
          <w:b/>
          <w:lang w:val="en-GB"/>
        </w:rPr>
        <w:t>E</w:t>
      </w:r>
      <w:r w:rsidRPr="008A3778">
        <w:rPr>
          <w:rFonts w:ascii="Helvetica" w:eastAsia="Calibri" w:hAnsi="Helvetica" w:cs="Helvetica"/>
          <w:b/>
          <w:lang w:val="en-GB"/>
        </w:rPr>
        <w:t xml:space="preserve">MENT </w:t>
      </w:r>
      <w:r w:rsidR="002C459A" w:rsidRPr="008A3778">
        <w:rPr>
          <w:rFonts w:ascii="Helvetica" w:eastAsia="Calibri" w:hAnsi="Helvetica" w:cs="Helvetica"/>
          <w:b/>
          <w:lang w:val="en-GB"/>
        </w:rPr>
        <w:t xml:space="preserve">ELECTRONICALLY </w:t>
      </w:r>
      <w:r w:rsidR="00B967A9" w:rsidRPr="008A3778">
        <w:rPr>
          <w:rFonts w:ascii="Helvetica" w:eastAsia="Calibri" w:hAnsi="Helvetica" w:cs="Helvetica"/>
          <w:b/>
          <w:lang w:val="en-GB"/>
        </w:rPr>
        <w:t>DELIVERED</w:t>
      </w:r>
      <w:r w:rsidR="00056CAC" w:rsidRPr="008A3778">
        <w:rPr>
          <w:rFonts w:ascii="Helvetica" w:eastAsia="Calibri" w:hAnsi="Helvetica" w:cs="Helvetica"/>
          <w:bCs/>
          <w:lang w:val="en-GB"/>
        </w:rPr>
        <w:t>:</w:t>
      </w:r>
      <w:r w:rsidR="00C16EB5" w:rsidRPr="008A3778">
        <w:rPr>
          <w:rFonts w:ascii="Helvetica" w:eastAsia="Calibri" w:hAnsi="Helvetica" w:cs="Helvetica"/>
          <w:bCs/>
          <w:lang w:val="en-GB"/>
        </w:rPr>
        <w:t xml:space="preserve"> </w:t>
      </w:r>
      <w:r w:rsidR="006454A8" w:rsidRPr="008A3778">
        <w:rPr>
          <w:rFonts w:ascii="Helvetica" w:hAnsi="Helvetica" w:cs="Helvetica"/>
          <w:lang w:val="en-GB"/>
        </w:rPr>
        <w:t>- This judg</w:t>
      </w:r>
      <w:r w:rsidR="00136D62">
        <w:rPr>
          <w:rFonts w:ascii="Helvetica" w:hAnsi="Helvetica" w:cs="Helvetica"/>
          <w:lang w:val="en-GB"/>
        </w:rPr>
        <w:t>e</w:t>
      </w:r>
      <w:r w:rsidR="006454A8" w:rsidRPr="008A3778">
        <w:rPr>
          <w:rFonts w:ascii="Helvetica" w:hAnsi="Helvetica" w:cs="Helvetica"/>
          <w:lang w:val="en-GB"/>
        </w:rPr>
        <w:t>ment was handed down electronically by circulation to the parties’ legal representatives by email.</w:t>
      </w:r>
      <w:r w:rsidR="000F69DD">
        <w:rPr>
          <w:rFonts w:ascii="Helvetica" w:hAnsi="Helvetica" w:cs="Helvetica"/>
          <w:lang w:val="en-GB"/>
        </w:rPr>
        <w:t xml:space="preserve"> It will also be uploaded onto CaseLines.</w:t>
      </w:r>
      <w:r w:rsidR="006454A8" w:rsidRPr="008A3778">
        <w:rPr>
          <w:rFonts w:ascii="Helvetica" w:hAnsi="Helvetica" w:cs="Helvetica"/>
          <w:lang w:val="en-GB"/>
        </w:rPr>
        <w:t xml:space="preserve"> </w:t>
      </w:r>
    </w:p>
    <w:p w14:paraId="125527EA" w14:textId="77777777" w:rsidR="00652C85" w:rsidRPr="008A3778" w:rsidRDefault="00652C85" w:rsidP="006D5807">
      <w:pPr>
        <w:spacing w:after="0" w:line="276" w:lineRule="auto"/>
        <w:jc w:val="both"/>
        <w:rPr>
          <w:rFonts w:ascii="Helvetica" w:hAnsi="Helvetica" w:cs="Helvetica"/>
          <w:lang w:val="en-GB"/>
        </w:rPr>
      </w:pPr>
    </w:p>
    <w:p w14:paraId="35D81886" w14:textId="57BD963D" w:rsidR="00652C85" w:rsidRPr="008A3778" w:rsidRDefault="006454A8" w:rsidP="006D5807">
      <w:pPr>
        <w:spacing w:after="0" w:line="276" w:lineRule="auto"/>
        <w:jc w:val="both"/>
        <w:rPr>
          <w:rFonts w:ascii="Helvetica" w:hAnsi="Helvetica" w:cs="Helvetica"/>
          <w:lang w:val="en-GB"/>
        </w:rPr>
      </w:pPr>
      <w:r w:rsidRPr="008A3778">
        <w:rPr>
          <w:rFonts w:ascii="Helvetica" w:hAnsi="Helvetica" w:cs="Helvetica"/>
          <w:lang w:val="en-GB"/>
        </w:rPr>
        <w:t xml:space="preserve">The date and time for </w:t>
      </w:r>
      <w:r w:rsidR="00A22BB7" w:rsidRPr="008A3778">
        <w:rPr>
          <w:rFonts w:ascii="Helvetica" w:hAnsi="Helvetica" w:cs="Helvetica"/>
          <w:lang w:val="en-GB"/>
        </w:rPr>
        <w:t xml:space="preserve">the </w:t>
      </w:r>
      <w:r w:rsidRPr="008A3778">
        <w:rPr>
          <w:rFonts w:ascii="Helvetica" w:hAnsi="Helvetica" w:cs="Helvetica"/>
          <w:lang w:val="en-GB"/>
        </w:rPr>
        <w:t>hand</w:t>
      </w:r>
      <w:r w:rsidR="00A22BB7" w:rsidRPr="008A3778">
        <w:rPr>
          <w:rFonts w:ascii="Helvetica" w:hAnsi="Helvetica" w:cs="Helvetica"/>
          <w:lang w:val="en-GB"/>
        </w:rPr>
        <w:t>ing</w:t>
      </w:r>
      <w:r w:rsidRPr="008A3778">
        <w:rPr>
          <w:rFonts w:ascii="Helvetica" w:hAnsi="Helvetica" w:cs="Helvetica"/>
          <w:lang w:val="en-GB"/>
        </w:rPr>
        <w:t xml:space="preserve">-down </w:t>
      </w:r>
      <w:r w:rsidR="00A22BB7" w:rsidRPr="008A3778">
        <w:rPr>
          <w:rFonts w:ascii="Helvetica" w:hAnsi="Helvetica" w:cs="Helvetica"/>
          <w:lang w:val="en-GB"/>
        </w:rPr>
        <w:t>of this judg</w:t>
      </w:r>
      <w:r w:rsidR="00136D62">
        <w:rPr>
          <w:rFonts w:ascii="Helvetica" w:hAnsi="Helvetica" w:cs="Helvetica"/>
          <w:lang w:val="en-GB"/>
        </w:rPr>
        <w:t>e</w:t>
      </w:r>
      <w:r w:rsidR="00A22BB7" w:rsidRPr="008A3778">
        <w:rPr>
          <w:rFonts w:ascii="Helvetica" w:hAnsi="Helvetica" w:cs="Helvetica"/>
          <w:lang w:val="en-GB"/>
        </w:rPr>
        <w:t xml:space="preserve">ment </w:t>
      </w:r>
      <w:r w:rsidRPr="008A3778">
        <w:rPr>
          <w:rFonts w:ascii="Helvetica" w:hAnsi="Helvetica" w:cs="Helvetica"/>
          <w:lang w:val="en-GB"/>
        </w:rPr>
        <w:t>is deemed to be</w:t>
      </w:r>
      <w:r w:rsidR="00652C85" w:rsidRPr="008A3778">
        <w:rPr>
          <w:rFonts w:ascii="Helvetica" w:hAnsi="Helvetica" w:cs="Helvetica"/>
          <w:lang w:val="en-GB"/>
        </w:rPr>
        <w:t>:</w:t>
      </w:r>
      <w:r w:rsidRPr="008A3778">
        <w:rPr>
          <w:rFonts w:ascii="Helvetica" w:hAnsi="Helvetica" w:cs="Helvetica"/>
          <w:lang w:val="en-GB"/>
        </w:rPr>
        <w:t xml:space="preserve"> </w:t>
      </w:r>
    </w:p>
    <w:p w14:paraId="72207CD1" w14:textId="17F614F2" w:rsidR="003E6C77" w:rsidRPr="008A3778" w:rsidRDefault="006454A8" w:rsidP="006D5807">
      <w:pPr>
        <w:spacing w:after="0" w:line="276" w:lineRule="auto"/>
        <w:jc w:val="both"/>
        <w:rPr>
          <w:rFonts w:ascii="Helvetica" w:eastAsia="Calibri" w:hAnsi="Helvetica" w:cs="Helvetica"/>
          <w:bCs/>
          <w:lang w:val="en-GB"/>
        </w:rPr>
      </w:pPr>
      <w:r w:rsidRPr="008A3778">
        <w:rPr>
          <w:rFonts w:ascii="Helvetica" w:hAnsi="Helvetica" w:cs="Helvetica"/>
          <w:b/>
          <w:bCs/>
          <w:lang w:val="en-GB"/>
        </w:rPr>
        <w:t xml:space="preserve">10h00 </w:t>
      </w:r>
      <w:r w:rsidRPr="008A3778">
        <w:rPr>
          <w:rFonts w:ascii="Helvetica" w:hAnsi="Helvetica" w:cs="Helvetica"/>
          <w:lang w:val="en-GB"/>
        </w:rPr>
        <w:t xml:space="preserve">on </w:t>
      </w:r>
      <w:r w:rsidR="005E4D6B" w:rsidRPr="005E4D6B">
        <w:rPr>
          <w:rFonts w:ascii="Helvetica" w:hAnsi="Helvetica" w:cs="Helvetica"/>
          <w:b/>
          <w:bCs/>
          <w:lang w:val="en-GB"/>
        </w:rPr>
        <w:t xml:space="preserve">10 </w:t>
      </w:r>
      <w:r w:rsidR="008A103E">
        <w:rPr>
          <w:rFonts w:ascii="Helvetica" w:eastAsia="Calibri" w:hAnsi="Helvetica" w:cs="Helvetica"/>
          <w:b/>
          <w:lang w:val="en-GB"/>
        </w:rPr>
        <w:t>FEBRUARY</w:t>
      </w:r>
      <w:r w:rsidR="00E779A4" w:rsidRPr="008A3778">
        <w:rPr>
          <w:rFonts w:ascii="Helvetica" w:eastAsia="Calibri" w:hAnsi="Helvetica" w:cs="Helvetica"/>
          <w:b/>
          <w:lang w:val="en-GB"/>
        </w:rPr>
        <w:t xml:space="preserve"> </w:t>
      </w:r>
      <w:r w:rsidR="00C27BB4" w:rsidRPr="008A3778">
        <w:rPr>
          <w:rFonts w:ascii="Helvetica" w:eastAsia="Calibri" w:hAnsi="Helvetica" w:cs="Helvetica"/>
          <w:b/>
          <w:lang w:val="en-GB"/>
        </w:rPr>
        <w:t>202</w:t>
      </w:r>
      <w:r w:rsidR="008A3778">
        <w:rPr>
          <w:rFonts w:ascii="Helvetica" w:eastAsia="Calibri" w:hAnsi="Helvetica" w:cs="Helvetica"/>
          <w:b/>
          <w:lang w:val="en-GB"/>
        </w:rPr>
        <w:t>2</w:t>
      </w:r>
      <w:r w:rsidRPr="008A3778">
        <w:rPr>
          <w:rFonts w:ascii="Helvetica" w:eastAsia="Calibri" w:hAnsi="Helvetica" w:cs="Helvetica"/>
          <w:bCs/>
          <w:lang w:val="en-GB"/>
        </w:rPr>
        <w:t xml:space="preserve">. </w:t>
      </w:r>
    </w:p>
    <w:p w14:paraId="49AD3E6D" w14:textId="77777777" w:rsidR="006454A8" w:rsidRPr="008A3778" w:rsidRDefault="006454A8" w:rsidP="006D5807">
      <w:pPr>
        <w:spacing w:after="0" w:line="240" w:lineRule="auto"/>
        <w:jc w:val="both"/>
        <w:rPr>
          <w:rFonts w:ascii="Helvetica" w:eastAsia="Calibri" w:hAnsi="Helvetica" w:cs="Helvetica"/>
          <w:bCs/>
          <w:lang w:val="en-GB"/>
        </w:rPr>
      </w:pPr>
    </w:p>
    <w:p w14:paraId="34AC844C" w14:textId="595C39B0" w:rsidR="00DF7425" w:rsidRPr="008A3778" w:rsidRDefault="00DF7425" w:rsidP="006D5807">
      <w:pPr>
        <w:spacing w:after="0" w:line="240" w:lineRule="auto"/>
        <w:rPr>
          <w:rFonts w:ascii="Helvetica" w:eastAsia="Calibri" w:hAnsi="Helvetica" w:cs="Helvetica"/>
          <w:bCs/>
          <w:lang w:val="en-GB"/>
        </w:rPr>
      </w:pPr>
    </w:p>
    <w:p w14:paraId="72B26619" w14:textId="75D259FD" w:rsidR="005C62A9" w:rsidRPr="008A3778" w:rsidRDefault="005C62A9"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APPEARANCES:</w:t>
      </w:r>
    </w:p>
    <w:p w14:paraId="21D322DE" w14:textId="77777777" w:rsidR="005C62A9" w:rsidRPr="008A3778" w:rsidRDefault="005C62A9" w:rsidP="006D5807">
      <w:pPr>
        <w:spacing w:after="0" w:line="240" w:lineRule="auto"/>
        <w:rPr>
          <w:rFonts w:ascii="Helvetica" w:eastAsia="Calibri" w:hAnsi="Helvetica" w:cs="Helvetica"/>
          <w:bCs/>
          <w:lang w:val="en-GB"/>
        </w:rPr>
      </w:pPr>
    </w:p>
    <w:p w14:paraId="64C2014D" w14:textId="63E1F42C" w:rsidR="005C62A9" w:rsidRPr="008A3778" w:rsidRDefault="005C62A9"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Appellants:</w:t>
      </w:r>
      <w:r w:rsidRPr="008A3778">
        <w:rPr>
          <w:rFonts w:ascii="Helvetica" w:eastAsia="Calibri" w:hAnsi="Helvetica" w:cs="Helvetica"/>
          <w:bCs/>
          <w:lang w:val="en-GB"/>
        </w:rPr>
        <w:tab/>
      </w:r>
      <w:r w:rsidRPr="008A3778">
        <w:rPr>
          <w:rFonts w:ascii="Helvetica" w:eastAsia="Calibri" w:hAnsi="Helvetica" w:cs="Helvetica"/>
          <w:bCs/>
          <w:lang w:val="en-GB"/>
        </w:rPr>
        <w:tab/>
      </w:r>
      <w:r w:rsidR="00525111" w:rsidRPr="008A3778">
        <w:rPr>
          <w:rFonts w:ascii="Helvetica" w:eastAsia="Calibri" w:hAnsi="Helvetica" w:cs="Helvetica"/>
          <w:bCs/>
          <w:lang w:val="en-GB"/>
        </w:rPr>
        <w:tab/>
      </w:r>
      <w:r w:rsidRPr="008A3778">
        <w:rPr>
          <w:rFonts w:ascii="Helvetica" w:eastAsia="Calibri" w:hAnsi="Helvetica" w:cs="Helvetica"/>
          <w:bCs/>
          <w:lang w:val="en-GB"/>
        </w:rPr>
        <w:t>Adv M Mpshe SC</w:t>
      </w:r>
    </w:p>
    <w:p w14:paraId="69CF43B7" w14:textId="2BEFE4CE" w:rsidR="005C62A9" w:rsidRPr="008A3778" w:rsidRDefault="005C62A9"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4" w:history="1">
        <w:r w:rsidRPr="008A3778">
          <w:rPr>
            <w:rStyle w:val="Hyperlink"/>
            <w:rFonts w:ascii="Helvetica" w:eastAsia="Calibri" w:hAnsi="Helvetica" w:cs="Helvetica"/>
            <w:bCs/>
            <w:color w:val="auto"/>
            <w:lang w:val="en-GB"/>
          </w:rPr>
          <w:t>mokotedimpshe56@gmail.com</w:t>
        </w:r>
      </w:hyperlink>
    </w:p>
    <w:p w14:paraId="0D2435E8" w14:textId="7F8FFEF9" w:rsidR="005C62A9" w:rsidRPr="008A3778" w:rsidRDefault="005C62A9"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lastRenderedPageBreak/>
        <w:tab/>
      </w:r>
      <w:r w:rsidRPr="008A3778">
        <w:rPr>
          <w:rFonts w:ascii="Helvetica" w:eastAsia="Calibri" w:hAnsi="Helvetica" w:cs="Helvetica"/>
          <w:bCs/>
          <w:lang w:val="en-GB"/>
        </w:rPr>
        <w:tab/>
      </w:r>
      <w:r w:rsidRPr="008A3778">
        <w:rPr>
          <w:rFonts w:ascii="Helvetica" w:eastAsia="Calibri" w:hAnsi="Helvetica" w:cs="Helvetica"/>
          <w:bCs/>
          <w:lang w:val="en-GB"/>
        </w:rPr>
        <w:tab/>
        <w:t>&amp;</w:t>
      </w:r>
    </w:p>
    <w:p w14:paraId="52358F64" w14:textId="6060BBBF" w:rsidR="005C62A9" w:rsidRPr="008A3778" w:rsidRDefault="005C62A9"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Adv N Mahlako</w:t>
      </w:r>
    </w:p>
    <w:p w14:paraId="7A0F752F" w14:textId="214BDEC8" w:rsidR="005C62A9" w:rsidRPr="008A3778" w:rsidRDefault="005C62A9"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5" w:history="1">
        <w:r w:rsidR="001C24AF" w:rsidRPr="008A3778">
          <w:rPr>
            <w:rStyle w:val="Hyperlink"/>
            <w:rFonts w:ascii="Helvetica" w:eastAsia="Calibri" w:hAnsi="Helvetica" w:cs="Helvetica"/>
            <w:bCs/>
            <w:color w:val="auto"/>
            <w:lang w:val="en-GB"/>
          </w:rPr>
          <w:t>neo.mahlako1@gmail.com</w:t>
        </w:r>
      </w:hyperlink>
      <w:r w:rsidRPr="008A3778">
        <w:rPr>
          <w:rFonts w:ascii="Helvetica" w:eastAsia="Calibri" w:hAnsi="Helvetica" w:cs="Helvetica"/>
          <w:bCs/>
          <w:lang w:val="en-GB"/>
        </w:rPr>
        <w:t xml:space="preserve"> </w:t>
      </w:r>
    </w:p>
    <w:p w14:paraId="55EC2645" w14:textId="10FDE143" w:rsidR="005C62A9" w:rsidRPr="008A3778" w:rsidRDefault="005C62A9"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 xml:space="preserve">Instructed by: </w:t>
      </w:r>
      <w:r w:rsidR="00102777" w:rsidRPr="008A3778">
        <w:rPr>
          <w:rFonts w:ascii="Helvetica" w:eastAsia="Calibri" w:hAnsi="Helvetica" w:cs="Helvetica"/>
          <w:bCs/>
          <w:lang w:val="en-GB"/>
        </w:rPr>
        <w:t>Rambevha Morobane Attorneys</w:t>
      </w:r>
    </w:p>
    <w:p w14:paraId="76B77C89" w14:textId="22AA64FB" w:rsidR="00102777" w:rsidRPr="008A3778" w:rsidRDefault="00102777"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(012) 346 3494</w:t>
      </w:r>
    </w:p>
    <w:p w14:paraId="7DF0BF41" w14:textId="5982D1F8" w:rsidR="00102777" w:rsidRPr="008A3778" w:rsidRDefault="00102777"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6" w:history="1">
        <w:r w:rsidRPr="008A3778">
          <w:rPr>
            <w:rStyle w:val="Hyperlink"/>
            <w:rFonts w:ascii="Helvetica" w:eastAsia="Calibri" w:hAnsi="Helvetica" w:cs="Helvetica"/>
            <w:bCs/>
            <w:color w:val="auto"/>
            <w:lang w:val="en-GB"/>
          </w:rPr>
          <w:t>clement@ramorattorneys.co.za</w:t>
        </w:r>
      </w:hyperlink>
    </w:p>
    <w:p w14:paraId="4B3C90F4" w14:textId="05F0DEC9" w:rsidR="005C62A9" w:rsidRPr="008A3778" w:rsidRDefault="00102777" w:rsidP="006D5807">
      <w:pPr>
        <w:spacing w:after="0" w:line="240" w:lineRule="auto"/>
        <w:ind w:left="720"/>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p>
    <w:p w14:paraId="72746D9C" w14:textId="77777777" w:rsidR="00102777" w:rsidRPr="008A3778" w:rsidRDefault="00102777" w:rsidP="006D5807">
      <w:pPr>
        <w:spacing w:after="0" w:line="240" w:lineRule="auto"/>
        <w:rPr>
          <w:rFonts w:ascii="Helvetica" w:eastAsia="Calibri" w:hAnsi="Helvetica" w:cs="Helvetica"/>
          <w:bCs/>
          <w:lang w:val="en-GB"/>
        </w:rPr>
      </w:pPr>
    </w:p>
    <w:p w14:paraId="7C80E02A" w14:textId="049F6864" w:rsidR="005C62A9" w:rsidRPr="008A3778" w:rsidRDefault="005C62A9"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First &amp; second respondents:</w:t>
      </w:r>
      <w:r w:rsidRPr="008A3778">
        <w:rPr>
          <w:rFonts w:ascii="Helvetica" w:eastAsia="Calibri" w:hAnsi="Helvetica" w:cs="Helvetica"/>
          <w:bCs/>
          <w:lang w:val="en-GB"/>
        </w:rPr>
        <w:tab/>
      </w:r>
      <w:r w:rsidR="001C24AF" w:rsidRPr="008A3778">
        <w:rPr>
          <w:rFonts w:ascii="Helvetica" w:eastAsia="Calibri" w:hAnsi="Helvetica" w:cs="Helvetica"/>
          <w:bCs/>
          <w:lang w:val="en-GB"/>
        </w:rPr>
        <w:t>Adv S Khumalo SC</w:t>
      </w:r>
    </w:p>
    <w:p w14:paraId="466DCFE6" w14:textId="1DB247E5"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7" w:history="1">
        <w:r w:rsidRPr="008A3778">
          <w:rPr>
            <w:rStyle w:val="Hyperlink"/>
            <w:rFonts w:ascii="Helvetica" w:eastAsia="Calibri" w:hAnsi="Helvetica" w:cs="Helvetica"/>
            <w:bCs/>
            <w:color w:val="auto"/>
            <w:lang w:val="en-GB"/>
          </w:rPr>
          <w:t>sandilekh78@yahoo.co.za</w:t>
        </w:r>
      </w:hyperlink>
    </w:p>
    <w:p w14:paraId="17B93FCF" w14:textId="088BC159"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&amp;</w:t>
      </w:r>
    </w:p>
    <w:p w14:paraId="74853737" w14:textId="2F23F9B4"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Adv L Bedhesi</w:t>
      </w:r>
    </w:p>
    <w:p w14:paraId="122F3B0C" w14:textId="74C071D3"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8" w:history="1">
        <w:r w:rsidRPr="008A3778">
          <w:rPr>
            <w:rStyle w:val="Hyperlink"/>
            <w:rFonts w:ascii="Helvetica" w:eastAsia="Calibri" w:hAnsi="Helvetica" w:cs="Helvetica"/>
            <w:bCs/>
            <w:color w:val="auto"/>
            <w:lang w:val="en-GB"/>
          </w:rPr>
          <w:t>counsel@bedhesi.com</w:t>
        </w:r>
      </w:hyperlink>
    </w:p>
    <w:p w14:paraId="437D4665" w14:textId="64891B39"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 xml:space="preserve">Instructed by: </w:t>
      </w:r>
      <w:r w:rsidR="00102777" w:rsidRPr="008A3778">
        <w:rPr>
          <w:rFonts w:ascii="Helvetica" w:eastAsia="Calibri" w:hAnsi="Helvetica" w:cs="Helvetica"/>
          <w:bCs/>
          <w:lang w:val="en-GB"/>
        </w:rPr>
        <w:t>Bowman Gilfillan Inc.</w:t>
      </w:r>
    </w:p>
    <w:p w14:paraId="7AE6509D" w14:textId="2E2F8F50"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(011) 669 9000</w:t>
      </w:r>
    </w:p>
    <w:p w14:paraId="7199C27B" w14:textId="2359B87C"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19" w:history="1">
        <w:r w:rsidRPr="008A3778">
          <w:rPr>
            <w:rStyle w:val="Hyperlink"/>
            <w:rFonts w:ascii="Helvetica" w:eastAsia="Calibri" w:hAnsi="Helvetica" w:cs="Helvetica"/>
            <w:bCs/>
            <w:color w:val="auto"/>
            <w:lang w:val="en-GB"/>
          </w:rPr>
          <w:t>Mxolisi.ngubane@bowmanslaw.com</w:t>
        </w:r>
      </w:hyperlink>
      <w:r w:rsidRPr="008A3778">
        <w:rPr>
          <w:rFonts w:ascii="Helvetica" w:eastAsia="Calibri" w:hAnsi="Helvetica" w:cs="Helvetica"/>
          <w:bCs/>
          <w:lang w:val="en-GB"/>
        </w:rPr>
        <w:t xml:space="preserve"> </w:t>
      </w:r>
    </w:p>
    <w:p w14:paraId="616EF88B" w14:textId="7941D325" w:rsidR="001C24AF" w:rsidRPr="008A3778" w:rsidRDefault="001C24AF" w:rsidP="006D5807">
      <w:pPr>
        <w:spacing w:after="0" w:line="240" w:lineRule="auto"/>
        <w:rPr>
          <w:rFonts w:ascii="Helvetica" w:eastAsia="Calibri" w:hAnsi="Helvetica" w:cs="Helvetica"/>
          <w:bCs/>
          <w:lang w:val="en-GB"/>
        </w:rPr>
      </w:pPr>
    </w:p>
    <w:p w14:paraId="030372A4" w14:textId="77777777" w:rsidR="00102777" w:rsidRPr="008A3778" w:rsidRDefault="00102777" w:rsidP="006D5807">
      <w:pPr>
        <w:spacing w:after="0" w:line="240" w:lineRule="auto"/>
        <w:rPr>
          <w:rFonts w:ascii="Helvetica" w:eastAsia="Calibri" w:hAnsi="Helvetica" w:cs="Helvetica"/>
          <w:bCs/>
          <w:lang w:val="en-GB"/>
        </w:rPr>
      </w:pPr>
    </w:p>
    <w:p w14:paraId="6D4E2CCC" w14:textId="779DFD18"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Third to fifth respondents:</w:t>
      </w:r>
      <w:r w:rsidRPr="008A3778">
        <w:rPr>
          <w:rFonts w:ascii="Helvetica" w:eastAsia="Calibri" w:hAnsi="Helvetica" w:cs="Helvetica"/>
          <w:bCs/>
          <w:lang w:val="en-GB"/>
        </w:rPr>
        <w:tab/>
        <w:t>Adv S Vivian SC</w:t>
      </w:r>
    </w:p>
    <w:p w14:paraId="63C59AB7" w14:textId="76AE5FC4"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20" w:history="1">
        <w:r w:rsidRPr="008A3778">
          <w:rPr>
            <w:rStyle w:val="Hyperlink"/>
            <w:rFonts w:ascii="Helvetica" w:eastAsia="Calibri" w:hAnsi="Helvetica" w:cs="Helvetica"/>
            <w:bCs/>
            <w:color w:val="auto"/>
            <w:lang w:val="en-GB"/>
          </w:rPr>
          <w:t>mail@viviansc.co.za</w:t>
        </w:r>
      </w:hyperlink>
      <w:r w:rsidRPr="008A3778">
        <w:rPr>
          <w:rFonts w:ascii="Helvetica" w:eastAsia="Calibri" w:hAnsi="Helvetica" w:cs="Helvetica"/>
          <w:bCs/>
          <w:lang w:val="en-GB"/>
        </w:rPr>
        <w:t xml:space="preserve"> </w:t>
      </w:r>
    </w:p>
    <w:p w14:paraId="732504EE" w14:textId="5DFE772C"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 xml:space="preserve">Instructed by: </w:t>
      </w:r>
      <w:r w:rsidR="00102777" w:rsidRPr="008A3778">
        <w:rPr>
          <w:rFonts w:ascii="Helvetica" w:eastAsia="Calibri" w:hAnsi="Helvetica" w:cs="Helvetica"/>
          <w:bCs/>
          <w:lang w:val="en-GB"/>
        </w:rPr>
        <w:t>Giuseppe Fizzotti Attorneys</w:t>
      </w:r>
    </w:p>
    <w:p w14:paraId="062EC1E2" w14:textId="1C8CE030"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(011) 622 5530</w:t>
      </w:r>
    </w:p>
    <w:p w14:paraId="63814CEE" w14:textId="609E831F"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21" w:history="1">
        <w:r w:rsidRPr="008A3778">
          <w:rPr>
            <w:rStyle w:val="Hyperlink"/>
            <w:rFonts w:ascii="Helvetica" w:eastAsia="Calibri" w:hAnsi="Helvetica" w:cs="Helvetica"/>
            <w:bCs/>
            <w:color w:val="auto"/>
            <w:lang w:val="en-GB"/>
          </w:rPr>
          <w:t>fizzys@iafrica.com</w:t>
        </w:r>
      </w:hyperlink>
      <w:r w:rsidRPr="008A3778">
        <w:rPr>
          <w:rFonts w:ascii="Helvetica" w:eastAsia="Calibri" w:hAnsi="Helvetica" w:cs="Helvetica"/>
          <w:bCs/>
          <w:lang w:val="en-GB"/>
        </w:rPr>
        <w:t xml:space="preserve"> </w:t>
      </w:r>
    </w:p>
    <w:p w14:paraId="2B46A793" w14:textId="50976EB8" w:rsidR="001C24AF" w:rsidRPr="008A3778" w:rsidRDefault="001C24AF" w:rsidP="006D5807">
      <w:pPr>
        <w:spacing w:after="0" w:line="240" w:lineRule="auto"/>
        <w:rPr>
          <w:rFonts w:ascii="Helvetica" w:eastAsia="Calibri" w:hAnsi="Helvetica" w:cs="Helvetica"/>
          <w:bCs/>
          <w:lang w:val="en-GB"/>
        </w:rPr>
      </w:pPr>
    </w:p>
    <w:p w14:paraId="757B4958" w14:textId="77777777" w:rsidR="00102777" w:rsidRPr="008A3778" w:rsidRDefault="00102777" w:rsidP="006D5807">
      <w:pPr>
        <w:spacing w:after="0" w:line="240" w:lineRule="auto"/>
        <w:rPr>
          <w:rFonts w:ascii="Helvetica" w:eastAsia="Calibri" w:hAnsi="Helvetica" w:cs="Helvetica"/>
          <w:bCs/>
          <w:lang w:val="en-GB"/>
        </w:rPr>
      </w:pPr>
    </w:p>
    <w:p w14:paraId="5C7F6B26" w14:textId="3651A6DD"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Ninth respondent:</w:t>
      </w:r>
      <w:r w:rsidRPr="008A3778">
        <w:rPr>
          <w:rFonts w:ascii="Helvetica" w:eastAsia="Calibri" w:hAnsi="Helvetica" w:cs="Helvetica"/>
          <w:bCs/>
          <w:lang w:val="en-GB"/>
        </w:rPr>
        <w:tab/>
      </w:r>
      <w:r w:rsidRPr="008A3778">
        <w:rPr>
          <w:rFonts w:ascii="Helvetica" w:eastAsia="Calibri" w:hAnsi="Helvetica" w:cs="Helvetica"/>
          <w:bCs/>
          <w:lang w:val="en-GB"/>
        </w:rPr>
        <w:tab/>
        <w:t>Adv A Milovanovic-Bitter</w:t>
      </w:r>
    </w:p>
    <w:p w14:paraId="6E53461D" w14:textId="39EC08DA"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22" w:history="1">
        <w:r w:rsidRPr="008A3778">
          <w:rPr>
            <w:rStyle w:val="Hyperlink"/>
            <w:rFonts w:ascii="Helvetica" w:eastAsia="Calibri" w:hAnsi="Helvetica" w:cs="Helvetica"/>
            <w:bCs/>
            <w:color w:val="auto"/>
            <w:lang w:val="en-GB"/>
          </w:rPr>
          <w:t>anam@counsel.co.za</w:t>
        </w:r>
      </w:hyperlink>
    </w:p>
    <w:p w14:paraId="53E96518" w14:textId="4ABEB3A0" w:rsidR="001C24AF" w:rsidRPr="008A3778" w:rsidRDefault="001C24AF"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Instructed by: Fasken</w:t>
      </w:r>
      <w:r w:rsidR="00102777" w:rsidRPr="008A3778">
        <w:rPr>
          <w:rFonts w:ascii="Helvetica" w:eastAsia="Calibri" w:hAnsi="Helvetica" w:cs="Helvetica"/>
          <w:bCs/>
          <w:lang w:val="en-GB"/>
        </w:rPr>
        <w:t xml:space="preserve"> Attorneys</w:t>
      </w:r>
    </w:p>
    <w:p w14:paraId="55D62341" w14:textId="7815187A"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t>(011) 586 6017</w:t>
      </w:r>
    </w:p>
    <w:p w14:paraId="5C58E745" w14:textId="102B3847" w:rsidR="00102777" w:rsidRPr="008A3778" w:rsidRDefault="00102777" w:rsidP="006D5807">
      <w:pPr>
        <w:spacing w:after="0" w:line="240" w:lineRule="auto"/>
        <w:rPr>
          <w:rFonts w:ascii="Helvetica" w:eastAsia="Calibri" w:hAnsi="Helvetica" w:cs="Helvetica"/>
          <w:bCs/>
          <w:lang w:val="en-GB"/>
        </w:rPr>
      </w:pP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r w:rsidRPr="008A3778">
        <w:rPr>
          <w:rFonts w:ascii="Helvetica" w:eastAsia="Calibri" w:hAnsi="Helvetica" w:cs="Helvetica"/>
          <w:bCs/>
          <w:lang w:val="en-GB"/>
        </w:rPr>
        <w:tab/>
      </w:r>
      <w:hyperlink r:id="rId23" w:history="1">
        <w:r w:rsidRPr="008A3778">
          <w:rPr>
            <w:rStyle w:val="Hyperlink"/>
            <w:rFonts w:ascii="Helvetica" w:eastAsia="Calibri" w:hAnsi="Helvetica" w:cs="Helvetica"/>
            <w:bCs/>
            <w:color w:val="auto"/>
            <w:lang w:val="en-GB"/>
          </w:rPr>
          <w:t>ncarman@fasken.com</w:t>
        </w:r>
      </w:hyperlink>
    </w:p>
    <w:p w14:paraId="63A56A4A" w14:textId="77777777" w:rsidR="00102777" w:rsidRPr="008A3778" w:rsidRDefault="00102777" w:rsidP="006D5807">
      <w:pPr>
        <w:spacing w:after="0" w:line="240" w:lineRule="auto"/>
        <w:rPr>
          <w:rFonts w:ascii="Helvetica" w:eastAsia="Calibri" w:hAnsi="Helvetica" w:cs="Helvetica"/>
          <w:bCs/>
          <w:lang w:val="en-GB"/>
        </w:rPr>
      </w:pPr>
    </w:p>
    <w:p w14:paraId="258638B4" w14:textId="77777777" w:rsidR="003A214B" w:rsidRPr="008A3778" w:rsidRDefault="003A214B">
      <w:pPr>
        <w:spacing w:after="0" w:line="240" w:lineRule="auto"/>
        <w:rPr>
          <w:rFonts w:ascii="Helvetica" w:eastAsia="Calibri" w:hAnsi="Helvetica" w:cs="Helvetica"/>
          <w:bCs/>
          <w:lang w:val="en-GB"/>
        </w:rPr>
      </w:pPr>
    </w:p>
    <w:p w14:paraId="125BDA7C" w14:textId="77777777" w:rsidR="008A3778" w:rsidRPr="008A3778" w:rsidRDefault="008A3778">
      <w:pPr>
        <w:spacing w:after="0" w:line="240" w:lineRule="auto"/>
        <w:rPr>
          <w:rFonts w:ascii="Helvetica" w:eastAsia="Calibri" w:hAnsi="Helvetica" w:cs="Helvetica"/>
          <w:bCs/>
          <w:lang w:val="en-GB"/>
        </w:rPr>
      </w:pPr>
    </w:p>
    <w:sectPr w:rsidR="008A3778" w:rsidRPr="008A3778" w:rsidSect="000F527A">
      <w:headerReference w:type="default" r:id="rId24"/>
      <w:pgSz w:w="12240" w:h="15840"/>
      <w:pgMar w:top="1168" w:right="1797"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7A44" w14:textId="77777777" w:rsidR="0031425D" w:rsidRDefault="0031425D" w:rsidP="0054256D">
      <w:pPr>
        <w:spacing w:after="0" w:line="240" w:lineRule="auto"/>
      </w:pPr>
      <w:r>
        <w:separator/>
      </w:r>
    </w:p>
  </w:endnote>
  <w:endnote w:type="continuationSeparator" w:id="0">
    <w:p w14:paraId="58AF5894" w14:textId="77777777" w:rsidR="0031425D" w:rsidRDefault="0031425D" w:rsidP="0054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7DFE" w14:textId="77777777" w:rsidR="0031425D" w:rsidRDefault="0031425D" w:rsidP="0054256D">
      <w:pPr>
        <w:spacing w:after="0" w:line="240" w:lineRule="auto"/>
      </w:pPr>
      <w:r>
        <w:separator/>
      </w:r>
    </w:p>
  </w:footnote>
  <w:footnote w:type="continuationSeparator" w:id="0">
    <w:p w14:paraId="2F71ECAF" w14:textId="77777777" w:rsidR="0031425D" w:rsidRDefault="0031425D" w:rsidP="0054256D">
      <w:pPr>
        <w:spacing w:after="0" w:line="240" w:lineRule="auto"/>
      </w:pPr>
      <w:r>
        <w:continuationSeparator/>
      </w:r>
    </w:p>
  </w:footnote>
  <w:footnote w:id="1">
    <w:p w14:paraId="53B49B57" w14:textId="5C7D803E"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I.e., the Pension Fund Adjudicator, being the "Adjudicator" as defined in section 1 of </w:t>
      </w:r>
      <w:r w:rsidRPr="002E4026">
        <w:rPr>
          <w:rFonts w:ascii="Helvetica" w:hAnsi="Helvetica" w:cs="Helvetica"/>
          <w:lang w:val="en-US"/>
        </w:rPr>
        <w:t xml:space="preserve">the </w:t>
      </w:r>
      <w:r w:rsidRPr="002E4026">
        <w:rPr>
          <w:rFonts w:ascii="Helvetica" w:hAnsi="Helvetica" w:cs="Helvetica"/>
        </w:rPr>
        <w:t>Pensions</w:t>
      </w:r>
      <w:r w:rsidRPr="002E4026">
        <w:rPr>
          <w:rFonts w:ascii="Helvetica" w:hAnsi="Helvetica" w:cs="Helvetica"/>
          <w:lang w:val="en-US"/>
        </w:rPr>
        <w:t xml:space="preserve"> Funds Act, 1956.</w:t>
      </w:r>
    </w:p>
  </w:footnote>
  <w:footnote w:id="2">
    <w:p w14:paraId="058BF42F" w14:textId="55ADB2D3"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Section 30O deems the Adjudicator's determination to be a civil judgement of the court of law. </w:t>
      </w:r>
    </w:p>
  </w:footnote>
  <w:footnote w:id="3">
    <w:p w14:paraId="6871FFB0" w14:textId="184A0DDD"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References to sections of legislation in this judgment are references to sections in the Pension Funds Act, 1956; unless otherwise specifically stated, indicated or apparent from the context.</w:t>
      </w:r>
    </w:p>
  </w:footnote>
  <w:footnote w:id="4">
    <w:p w14:paraId="08B512CB" w14:textId="19D99231" w:rsidR="001017B7" w:rsidRPr="002E4026" w:rsidRDefault="001017B7" w:rsidP="00B97A2F">
      <w:pPr>
        <w:pStyle w:val="FootnoteText"/>
        <w:ind w:left="426" w:hanging="426"/>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t>The ninth respondent is the relevant Provident Fund.</w:t>
      </w:r>
    </w:p>
  </w:footnote>
  <w:footnote w:id="5">
    <w:p w14:paraId="279F482C" w14:textId="74AA3320"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[2003] All </w:t>
      </w:r>
      <w:r w:rsidRPr="002E4026">
        <w:rPr>
          <w:rFonts w:ascii="Helvetica" w:hAnsi="Helvetica" w:cs="Helvetica"/>
        </w:rPr>
        <w:t>SA</w:t>
      </w:r>
      <w:r w:rsidRPr="002E4026">
        <w:rPr>
          <w:rFonts w:ascii="Helvetica" w:hAnsi="Helvetica" w:cs="Helvetica"/>
          <w:lang w:val="en-US"/>
        </w:rPr>
        <w:t xml:space="preserve"> 40 (SCA), </w:t>
      </w:r>
      <w:r w:rsidRPr="002E4026">
        <w:rPr>
          <w:rFonts w:ascii="Helvetica" w:hAnsi="Helvetica" w:cs="Helvetica"/>
        </w:rPr>
        <w:t>(2003) 24 ILJ 338 (SCA),</w:t>
      </w:r>
      <w:r w:rsidRPr="002E4026">
        <w:rPr>
          <w:rFonts w:ascii="Helvetica" w:hAnsi="Helvetica" w:cs="Helvetica"/>
          <w:shd w:val="clear" w:color="auto" w:fill="FFFFFF"/>
        </w:rPr>
        <w:t xml:space="preserve"> </w:t>
      </w:r>
      <w:r w:rsidRPr="002E4026">
        <w:rPr>
          <w:rFonts w:ascii="Helvetica" w:hAnsi="Helvetica" w:cs="Helvetica"/>
        </w:rPr>
        <w:t>2003 (3) BPLR 4427 (SCA).</w:t>
      </w:r>
    </w:p>
  </w:footnote>
  <w:footnote w:id="6">
    <w:p w14:paraId="2BA8FE98" w14:textId="694D3AE7"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i/>
          <w:iCs/>
        </w:rPr>
        <w:t>inter-alia</w:t>
      </w:r>
      <w:r w:rsidRPr="002E4026">
        <w:rPr>
          <w:rFonts w:ascii="Helvetica" w:hAnsi="Helvetica" w:cs="Helvetica"/>
        </w:rPr>
        <w:t xml:space="preserve"> the following: </w:t>
      </w:r>
    </w:p>
    <w:p w14:paraId="0D3BDF0B" w14:textId="77777777" w:rsidR="001017B7" w:rsidRPr="002E4026" w:rsidRDefault="0031425D" w:rsidP="008A3778">
      <w:pPr>
        <w:pStyle w:val="FootnoteText"/>
        <w:numPr>
          <w:ilvl w:val="0"/>
          <w:numId w:val="7"/>
        </w:numPr>
        <w:ind w:left="709" w:right="-72" w:hanging="283"/>
        <w:jc w:val="both"/>
        <w:rPr>
          <w:rFonts w:ascii="Helvetica" w:hAnsi="Helvetica" w:cs="Helvetica"/>
        </w:rPr>
      </w:pPr>
      <w:hyperlink r:id="rId1" w:history="1">
        <w:r w:rsidR="001017B7" w:rsidRPr="002E4026">
          <w:rPr>
            <w:rStyle w:val="Hyperlink1"/>
            <w:rFonts w:ascii="Helvetica" w:hAnsi="Helvetica" w:cs="Helvetica"/>
            <w:color w:val="auto"/>
          </w:rPr>
          <w:t>http://www.pensionlawyers.co.za/wp-content/uploads/2018/10/PensionTrusteesObligationsSouthAfrica.pdf</w:t>
        </w:r>
      </w:hyperlink>
      <w:r w:rsidR="001017B7" w:rsidRPr="002E4026">
        <w:rPr>
          <w:rFonts w:ascii="Helvetica" w:hAnsi="Helvetica" w:cs="Helvetica"/>
        </w:rPr>
        <w:t>,</w:t>
      </w:r>
    </w:p>
    <w:p w14:paraId="4CE869F5" w14:textId="77777777" w:rsidR="001017B7" w:rsidRPr="002E4026" w:rsidRDefault="0031425D" w:rsidP="008A3778">
      <w:pPr>
        <w:pStyle w:val="FootnoteText"/>
        <w:numPr>
          <w:ilvl w:val="0"/>
          <w:numId w:val="7"/>
        </w:numPr>
        <w:ind w:left="709" w:right="-72" w:hanging="283"/>
        <w:jc w:val="both"/>
        <w:rPr>
          <w:rFonts w:ascii="Helvetica" w:hAnsi="Helvetica" w:cs="Helvetica"/>
          <w:lang w:val="en-US"/>
        </w:rPr>
      </w:pPr>
      <w:hyperlink r:id="rId2" w:history="1">
        <w:r w:rsidR="001017B7" w:rsidRPr="002E4026">
          <w:rPr>
            <w:rStyle w:val="Hyperlink1"/>
            <w:rFonts w:ascii="Helvetica" w:hAnsi="Helvetica" w:cs="Helvetica"/>
            <w:color w:val="auto"/>
          </w:rPr>
          <w:t>https://www.derebus.org.za/the-correct-route-to-follow-when-dealing-with-pension-fund-adjudicators-determinations/</w:t>
        </w:r>
      </w:hyperlink>
    </w:p>
    <w:p w14:paraId="0B35C85B" w14:textId="77777777" w:rsidR="001017B7" w:rsidRPr="002E4026" w:rsidRDefault="0031425D" w:rsidP="008A3778">
      <w:pPr>
        <w:pStyle w:val="FootnoteText"/>
        <w:numPr>
          <w:ilvl w:val="0"/>
          <w:numId w:val="7"/>
        </w:numPr>
        <w:ind w:left="426" w:right="-72" w:firstLine="0"/>
        <w:jc w:val="both"/>
        <w:rPr>
          <w:rFonts w:ascii="Helvetica" w:hAnsi="Helvetica" w:cs="Helvetica"/>
          <w:lang w:val="en-US"/>
        </w:rPr>
      </w:pPr>
      <w:hyperlink r:id="rId3" w:history="1">
        <w:r w:rsidR="001017B7" w:rsidRPr="002E4026">
          <w:rPr>
            <w:rStyle w:val="Hyperlink1"/>
            <w:rFonts w:ascii="Helvetica" w:hAnsi="Helvetica" w:cs="Helvetica"/>
            <w:color w:val="auto"/>
          </w:rPr>
          <w:t>http://www.scielo.org.za/scielo.php?script=sci_arttext&amp;pid=S2077-49072016000100005</w:t>
        </w:r>
      </w:hyperlink>
    </w:p>
  </w:footnote>
  <w:footnote w:id="7">
    <w:p w14:paraId="1BF404F1" w14:textId="31E56BF7"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Plascon Evans Paints Ltd v Van Riebeeck Paints (Pty) Ltd</w:t>
      </w:r>
      <w:r w:rsidRPr="002E4026">
        <w:rPr>
          <w:rFonts w:ascii="Helvetica" w:hAnsi="Helvetica" w:cs="Helvetica"/>
          <w:lang w:val="en-US"/>
        </w:rPr>
        <w:t xml:space="preserve"> </w:t>
      </w:r>
      <w:hyperlink r:id="rId4" w:tooltip="View LawCiteRecord" w:history="1">
        <w:r w:rsidRPr="002E4026">
          <w:rPr>
            <w:rStyle w:val="Hyperlink"/>
            <w:rFonts w:ascii="Helvetica" w:hAnsi="Helvetica" w:cs="Helvetica"/>
            <w:color w:val="auto"/>
            <w:u w:val="none"/>
            <w:lang w:val="en-US"/>
          </w:rPr>
          <w:t>1984 (3) SA 623</w:t>
        </w:r>
      </w:hyperlink>
      <w:r w:rsidRPr="002E4026">
        <w:rPr>
          <w:rFonts w:ascii="Helvetica" w:hAnsi="Helvetica" w:cs="Helvetica"/>
          <w:lang w:val="en-US"/>
        </w:rPr>
        <w:t xml:space="preserve"> (A) 634E-635D.</w:t>
      </w:r>
    </w:p>
  </w:footnote>
  <w:footnote w:id="8">
    <w:p w14:paraId="7487035B" w14:textId="04302BD2"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The notice of appeal states that “</w:t>
      </w:r>
      <w:r w:rsidRPr="002E4026">
        <w:rPr>
          <w:rFonts w:ascii="Helvetica" w:hAnsi="Helvetica" w:cs="Helvetica"/>
          <w:i/>
          <w:iCs/>
        </w:rPr>
        <w:t>all of the objecting respondents withdrew their objection as a result of the negotiations between the parties</w:t>
      </w:r>
      <w:r w:rsidRPr="002E4026">
        <w:rPr>
          <w:rFonts w:ascii="Helvetica" w:hAnsi="Helvetica" w:cs="Helvetica"/>
        </w:rPr>
        <w:t>”, while the heads of argument of certain of the respondents appear to suggest otherwise.</w:t>
      </w:r>
    </w:p>
  </w:footnote>
  <w:footnote w:id="9">
    <w:p w14:paraId="137825FF" w14:textId="379C12BF"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b/>
          <w:bCs/>
          <w:lang w:val="en-US"/>
        </w:rPr>
        <w:t>Sealed Africa (Pty) Ltd v Kelly 2006 (3) SA 65 (W)</w:t>
      </w:r>
      <w:r w:rsidRPr="002E4026">
        <w:rPr>
          <w:rFonts w:ascii="Helvetica" w:hAnsi="Helvetica" w:cs="Helvetica"/>
          <w:lang w:val="en-US"/>
        </w:rPr>
        <w:t xml:space="preserve"> and </w:t>
      </w:r>
      <w:r w:rsidRPr="002E4026">
        <w:rPr>
          <w:rFonts w:ascii="Helvetica" w:hAnsi="Helvetica" w:cs="Helvetica"/>
          <w:b/>
          <w:bCs/>
          <w:lang w:val="en-US"/>
        </w:rPr>
        <w:t>Union Finance Holdings Ltd vs I S Mirk Office Machines II (Pty) Ltd &amp; Another</w:t>
      </w:r>
      <w:r w:rsidRPr="002E4026">
        <w:rPr>
          <w:rFonts w:ascii="Helvetica" w:hAnsi="Helvetica" w:cs="Helvetica"/>
          <w:lang w:val="en-US"/>
        </w:rPr>
        <w:t> </w:t>
      </w:r>
      <w:hyperlink r:id="rId5" w:tooltip="View LawCiteRecord" w:history="1">
        <w:r w:rsidRPr="002E4026">
          <w:rPr>
            <w:rStyle w:val="Hyperlink"/>
            <w:rFonts w:ascii="Helvetica" w:hAnsi="Helvetica" w:cs="Helvetica"/>
            <w:color w:val="auto"/>
            <w:u w:val="none"/>
            <w:lang w:val="en-US"/>
          </w:rPr>
          <w:t>2001 (4) SA 842</w:t>
        </w:r>
      </w:hyperlink>
      <w:r w:rsidRPr="002E4026">
        <w:rPr>
          <w:rFonts w:ascii="Helvetica" w:hAnsi="Helvetica" w:cs="Helvetica"/>
          <w:lang w:val="en-US"/>
        </w:rPr>
        <w:t> (W) which hold, within the context of uniform rule 6(50(e), that in the absence of leave being granted by the Court for the filing of further affidavits, parties are not entitled to simply, by their own arrangement, file as many affidavits as they wish.</w:t>
      </w:r>
    </w:p>
  </w:footnote>
  <w:footnote w:id="10">
    <w:p w14:paraId="3E088FCA" w14:textId="77777777" w:rsidR="001017B7" w:rsidRPr="002E4026" w:rsidRDefault="001017B7" w:rsidP="009353F5">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This document has various nomenclature in </w:t>
      </w:r>
      <w:r w:rsidRPr="002E4026">
        <w:rPr>
          <w:rFonts w:ascii="Helvetica" w:hAnsi="Helvetica" w:cs="Helvetica"/>
          <w:lang w:val="en-US"/>
        </w:rPr>
        <w:t>the appeal record and heads of argument. By way of example, it is also referred to as the “</w:t>
      </w:r>
      <w:r w:rsidRPr="002E4026">
        <w:rPr>
          <w:rFonts w:ascii="Helvetica" w:hAnsi="Helvetica" w:cs="Helvetica"/>
          <w:i/>
          <w:iCs/>
          <w:lang w:val="en-US"/>
        </w:rPr>
        <w:t>transfer form</w:t>
      </w:r>
      <w:r w:rsidRPr="002E4026">
        <w:rPr>
          <w:rFonts w:ascii="Helvetica" w:hAnsi="Helvetica" w:cs="Helvetica"/>
          <w:lang w:val="en-US"/>
        </w:rPr>
        <w:t xml:space="preserve">”. </w:t>
      </w:r>
    </w:p>
  </w:footnote>
  <w:footnote w:id="11">
    <w:p w14:paraId="6F3ADE4E" w14:textId="41B09B3D" w:rsidR="001017B7" w:rsidRPr="002E4026" w:rsidRDefault="001017B7" w:rsidP="008A3778">
      <w:pPr>
        <w:pStyle w:val="FootnoteText"/>
        <w:tabs>
          <w:tab w:val="left" w:pos="72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The heads of argument for the ninth respondent however states that the 37C distribution provides for 65% of the death benefit going to Ms. Collatz, amounting to R15,925,000.00 before tax. </w:t>
      </w:r>
    </w:p>
  </w:footnote>
  <w:footnote w:id="12">
    <w:p w14:paraId="1078C5FC" w14:textId="3275BC95"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Uniform rule </w:t>
      </w:r>
      <w:r w:rsidRPr="002E4026">
        <w:rPr>
          <w:rFonts w:ascii="Helvetica" w:hAnsi="Helvetica" w:cs="Helvetica"/>
          <w:lang w:val="en-US"/>
        </w:rPr>
        <w:t xml:space="preserve">(13) (a) provides: </w:t>
      </w:r>
    </w:p>
    <w:p w14:paraId="2795B141" w14:textId="07E376D0" w:rsidR="001017B7" w:rsidRPr="002E4026" w:rsidRDefault="001017B7" w:rsidP="008A3778">
      <w:pPr>
        <w:pStyle w:val="FootnoteText"/>
        <w:ind w:left="720" w:right="-72" w:firstLine="0"/>
        <w:jc w:val="both"/>
        <w:rPr>
          <w:rFonts w:ascii="Helvetica" w:hAnsi="Helvetica" w:cs="Helvetica"/>
          <w:lang w:val="en-US"/>
        </w:rPr>
      </w:pPr>
      <w:r w:rsidRPr="002E4026">
        <w:rPr>
          <w:rFonts w:ascii="Helvetica" w:hAnsi="Helvetica" w:cs="Helvetica"/>
          <w:lang w:val="en-US"/>
        </w:rPr>
        <w:t>“</w:t>
      </w:r>
      <w:r w:rsidRPr="002E4026">
        <w:rPr>
          <w:rFonts w:ascii="Helvetica" w:hAnsi="Helvetica" w:cs="Helvetica"/>
          <w:i/>
          <w:iCs/>
          <w:lang w:val="en-US"/>
        </w:rPr>
        <w:t>Unless the respondent waives his or her right to security or the court in granting leave to appeal or subsequently on application to it, has released the appellant wholly or partially from that obligation, the appellant shall, before lodging copies of the record on appeal with the registrar, enter into good and sufficient security for the respondent's costs of appeal</w:t>
      </w:r>
      <w:r w:rsidRPr="002E4026">
        <w:rPr>
          <w:rFonts w:ascii="Helvetica" w:hAnsi="Helvetica" w:cs="Helvetica"/>
          <w:lang w:val="en-US"/>
        </w:rPr>
        <w:t>.”</w:t>
      </w:r>
    </w:p>
  </w:footnote>
  <w:footnote w:id="13">
    <w:p w14:paraId="2A447AA8" w14:textId="69D05FF7"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rPr>
        <w:t>TR Eagle Air (Pty) Ltd and Another v Thompson</w:t>
      </w:r>
      <w:r w:rsidRPr="002E4026">
        <w:rPr>
          <w:rFonts w:ascii="Helvetica" w:hAnsi="Helvetica" w:cs="Helvetica"/>
        </w:rPr>
        <w:t xml:space="preserve"> [2020] ZAGPPHC 801 at para [18] </w:t>
      </w:r>
      <w:hyperlink r:id="rId6" w:anchor=":~:text=%5B18%5D%20Rule%2049%20(13,is%20filed%20with%20the%20Registrar" w:history="1">
        <w:r w:rsidRPr="002E4026">
          <w:rPr>
            <w:rStyle w:val="Hyperlink"/>
            <w:rFonts w:ascii="Helvetica" w:hAnsi="Helvetica" w:cs="Helvetica"/>
            <w:color w:val="auto"/>
            <w:u w:val="none"/>
          </w:rPr>
          <w:t>http://www.saflii.org/za/cases/ZAGPPHC/2020/801.html#:~:text=%5B18%5D%20Rule%2049%20(13,is%20filed%20with%20the%20Registrar</w:t>
        </w:r>
      </w:hyperlink>
      <w:r w:rsidRPr="002E4026">
        <w:rPr>
          <w:rFonts w:ascii="Helvetica" w:hAnsi="Helvetica" w:cs="Helvetica"/>
        </w:rPr>
        <w:t xml:space="preserve"> </w:t>
      </w:r>
    </w:p>
  </w:footnote>
  <w:footnote w:id="14">
    <w:p w14:paraId="5057DEF0" w14:textId="797A28D9"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i/>
          <w:iCs/>
          <w:lang w:val="en-US"/>
        </w:rPr>
        <w:t>Ibid</w:t>
      </w:r>
      <w:r w:rsidRPr="002E4026">
        <w:rPr>
          <w:rFonts w:ascii="Helvetica" w:hAnsi="Helvetica" w:cs="Helvetica"/>
        </w:rPr>
        <w:t xml:space="preserve"> at 141C-D and </w:t>
      </w:r>
      <w:r w:rsidRPr="002E4026">
        <w:rPr>
          <w:rFonts w:ascii="Helvetica" w:hAnsi="Helvetica" w:cs="Helvetica"/>
          <w:i/>
          <w:iCs/>
        </w:rPr>
        <w:t>cf</w:t>
      </w:r>
      <w:r w:rsidRPr="002E4026">
        <w:rPr>
          <w:rFonts w:ascii="Helvetica" w:hAnsi="Helvetica" w:cs="Helvetica"/>
        </w:rPr>
        <w:t xml:space="preserve"> </w:t>
      </w:r>
      <w:r w:rsidRPr="002E4026">
        <w:rPr>
          <w:rFonts w:ascii="Helvetica" w:hAnsi="Helvetica" w:cs="Helvetica"/>
          <w:b/>
          <w:bCs/>
        </w:rPr>
        <w:t xml:space="preserve">Boland Konstruksie Maatskappy (Edms) Bpk v Petlen Properties </w:t>
      </w:r>
      <w:r w:rsidRPr="002E4026">
        <w:rPr>
          <w:rFonts w:ascii="Helvetica" w:hAnsi="Helvetica" w:cs="Helvetica"/>
          <w:b/>
          <w:bCs/>
          <w:lang w:val="en-US"/>
        </w:rPr>
        <w:t>(Edms) Bpk</w:t>
      </w:r>
      <w:r w:rsidRPr="002E4026">
        <w:rPr>
          <w:rFonts w:ascii="Helvetica" w:hAnsi="Helvetica" w:cs="Helvetica"/>
          <w:lang w:val="en-US"/>
        </w:rPr>
        <w:t xml:space="preserve"> 1974 (4) SA 291 (C).</w:t>
      </w:r>
    </w:p>
  </w:footnote>
  <w:footnote w:id="15">
    <w:p w14:paraId="3498E50D" w14:textId="7580A73B"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rPr>
        <w:t>Jojwana v Regional Court Magistrate and Another</w:t>
      </w:r>
      <w:r w:rsidRPr="002E4026">
        <w:rPr>
          <w:rFonts w:ascii="Helvetica" w:hAnsi="Helvetica" w:cs="Helvetica"/>
        </w:rPr>
        <w:t xml:space="preserve"> 2019 (6) SA 524 (ECM) at para [10]. </w:t>
      </w:r>
      <w:r w:rsidRPr="002E4026">
        <w:rPr>
          <w:rFonts w:ascii="Helvetica" w:hAnsi="Helvetica" w:cs="Helvetica"/>
          <w:b/>
          <w:bCs/>
        </w:rPr>
        <w:t xml:space="preserve">Jojwana </w:t>
      </w:r>
      <w:r w:rsidRPr="002E4026">
        <w:rPr>
          <w:rFonts w:ascii="Helvetica" w:hAnsi="Helvetica" w:cs="Helvetica"/>
        </w:rPr>
        <w:t xml:space="preserve">also correctly contextualises and distinguishes the decisions in </w:t>
      </w:r>
      <w:r w:rsidRPr="002E4026">
        <w:rPr>
          <w:rFonts w:ascii="Helvetica" w:hAnsi="Helvetica" w:cs="Helvetica"/>
          <w:b/>
          <w:bCs/>
          <w:lang w:val="en-US"/>
        </w:rPr>
        <w:t>Zuma v Democratic Alliance and Others</w:t>
      </w:r>
      <w:r w:rsidRPr="002E4026">
        <w:rPr>
          <w:rFonts w:ascii="Helvetica" w:hAnsi="Helvetica" w:cs="Helvetica"/>
          <w:lang w:val="en-US"/>
        </w:rPr>
        <w:t xml:space="preserve"> </w:t>
      </w:r>
      <w:hyperlink r:id="rId7" w:tooltip="View LawCiteRecord" w:history="1">
        <w:r w:rsidRPr="002E4026">
          <w:rPr>
            <w:rStyle w:val="Hyperlink"/>
            <w:rFonts w:ascii="Helvetica" w:hAnsi="Helvetica" w:cs="Helvetica"/>
            <w:color w:val="auto"/>
            <w:u w:val="none"/>
            <w:lang w:val="en-US"/>
          </w:rPr>
          <w:t>2018 (1) SA 200</w:t>
        </w:r>
      </w:hyperlink>
      <w:r w:rsidRPr="002E4026">
        <w:rPr>
          <w:rFonts w:ascii="Helvetica" w:hAnsi="Helvetica" w:cs="Helvetica"/>
          <w:lang w:val="en-US"/>
        </w:rPr>
        <w:t xml:space="preserve"> (SCA) and </w:t>
      </w:r>
      <w:r w:rsidRPr="002E4026">
        <w:rPr>
          <w:rFonts w:ascii="Helvetica" w:hAnsi="Helvetica" w:cs="Helvetica"/>
          <w:b/>
          <w:bCs/>
          <w:lang w:val="en-US"/>
        </w:rPr>
        <w:t>Thint Holdings (Southern Africa) (Pty) Ltd v National Director of Public Prosecutions; Zuma v NDPP</w:t>
      </w:r>
      <w:r w:rsidRPr="002E4026">
        <w:rPr>
          <w:rFonts w:ascii="Helvetica" w:hAnsi="Helvetica" w:cs="Helvetica"/>
          <w:lang w:val="en-US"/>
        </w:rPr>
        <w:t xml:space="preserve"> </w:t>
      </w:r>
      <w:hyperlink r:id="rId8" w:tooltip="View LawCiteRecord" w:history="1">
        <w:r w:rsidRPr="002E4026">
          <w:rPr>
            <w:rStyle w:val="Hyperlink"/>
            <w:rFonts w:ascii="Helvetica" w:hAnsi="Helvetica" w:cs="Helvetica"/>
            <w:color w:val="auto"/>
            <w:u w:val="none"/>
            <w:lang w:val="en-US"/>
          </w:rPr>
          <w:t>2009 (1) SA 141</w:t>
        </w:r>
      </w:hyperlink>
      <w:r w:rsidRPr="002E4026">
        <w:rPr>
          <w:rFonts w:ascii="Helvetica" w:hAnsi="Helvetica" w:cs="Helvetica"/>
          <w:lang w:val="en-US"/>
        </w:rPr>
        <w:t xml:space="preserve"> (CC). The court in </w:t>
      </w:r>
      <w:r w:rsidRPr="002E4026">
        <w:rPr>
          <w:rFonts w:ascii="Helvetica" w:hAnsi="Helvetica" w:cs="Helvetica"/>
          <w:b/>
          <w:bCs/>
          <w:lang w:val="en-US"/>
        </w:rPr>
        <w:t>Jojwana</w:t>
      </w:r>
      <w:r w:rsidRPr="002E4026">
        <w:rPr>
          <w:rFonts w:ascii="Helvetica" w:hAnsi="Helvetica" w:cs="Helvetica"/>
          <w:lang w:val="en-US"/>
        </w:rPr>
        <w:t xml:space="preserve"> held that these cases do not lay down a general rule that if a matter is struck from the roll, it is thereby terminated and may not be re-enrolled.</w:t>
      </w:r>
    </w:p>
  </w:footnote>
  <w:footnote w:id="16">
    <w:p w14:paraId="40CEDB6B" w14:textId="5E7DF415"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 xml:space="preserve">Jojwana </w:t>
      </w:r>
      <w:r w:rsidRPr="002E4026">
        <w:rPr>
          <w:rFonts w:ascii="Helvetica" w:hAnsi="Helvetica" w:cs="Helvetica"/>
          <w:i/>
          <w:iCs/>
          <w:lang w:val="en-US"/>
        </w:rPr>
        <w:t xml:space="preserve">supra </w:t>
      </w:r>
      <w:r w:rsidRPr="002E4026">
        <w:rPr>
          <w:rFonts w:ascii="Helvetica" w:hAnsi="Helvetica" w:cs="Helvetica"/>
          <w:lang w:val="en-US"/>
        </w:rPr>
        <w:t>at para [13].</w:t>
      </w:r>
    </w:p>
  </w:footnote>
  <w:footnote w:id="17">
    <w:p w14:paraId="24DF0789" w14:textId="046BC542"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 xml:space="preserve">Jojwana </w:t>
      </w:r>
      <w:r w:rsidRPr="002E4026">
        <w:rPr>
          <w:rFonts w:ascii="Helvetica" w:hAnsi="Helvetica" w:cs="Helvetica"/>
          <w:i/>
          <w:iCs/>
          <w:lang w:val="en-US"/>
        </w:rPr>
        <w:t xml:space="preserve">supra </w:t>
      </w:r>
      <w:r w:rsidRPr="002E4026">
        <w:rPr>
          <w:rFonts w:ascii="Helvetica" w:hAnsi="Helvetica" w:cs="Helvetica"/>
        </w:rPr>
        <w:t>at para [10]</w:t>
      </w:r>
      <w:r w:rsidRPr="002E4026">
        <w:rPr>
          <w:rFonts w:ascii="Helvetica" w:hAnsi="Helvetica" w:cs="Helvetica"/>
          <w:lang w:val="en-US"/>
        </w:rPr>
        <w:t xml:space="preserve"> referencing, </w:t>
      </w:r>
      <w:r w:rsidRPr="002E4026">
        <w:rPr>
          <w:rFonts w:ascii="Helvetica" w:hAnsi="Helvetica" w:cs="Helvetica"/>
          <w:i/>
          <w:iCs/>
          <w:lang w:val="en-US"/>
        </w:rPr>
        <w:t>inter-alia</w:t>
      </w:r>
      <w:r w:rsidRPr="002E4026">
        <w:rPr>
          <w:rFonts w:ascii="Helvetica" w:hAnsi="Helvetica" w:cs="Helvetica"/>
          <w:lang w:val="en-US"/>
        </w:rPr>
        <w:t xml:space="preserve">, </w:t>
      </w:r>
      <w:r w:rsidRPr="002E4026">
        <w:rPr>
          <w:rFonts w:ascii="Helvetica" w:hAnsi="Helvetica" w:cs="Helvetica"/>
          <w:b/>
          <w:bCs/>
          <w:lang w:val="en-US"/>
        </w:rPr>
        <w:t>Skhosana v Roos t/a Roos se Oord</w:t>
      </w:r>
      <w:r w:rsidRPr="002E4026">
        <w:rPr>
          <w:rFonts w:ascii="Helvetica" w:hAnsi="Helvetica" w:cs="Helvetica"/>
          <w:lang w:val="en-US"/>
        </w:rPr>
        <w:t xml:space="preserve"> </w:t>
      </w:r>
      <w:hyperlink r:id="rId9" w:tooltip="View LawCiteRecord" w:history="1">
        <w:r w:rsidRPr="002E4026">
          <w:rPr>
            <w:rStyle w:val="Hyperlink"/>
            <w:rFonts w:ascii="Helvetica" w:hAnsi="Helvetica" w:cs="Helvetica"/>
            <w:color w:val="auto"/>
            <w:u w:val="none"/>
            <w:lang w:val="en-US"/>
          </w:rPr>
          <w:t>2000 (4) SA 561</w:t>
        </w:r>
      </w:hyperlink>
      <w:r w:rsidRPr="002E4026">
        <w:rPr>
          <w:rFonts w:ascii="Helvetica" w:hAnsi="Helvetica" w:cs="Helvetica"/>
          <w:lang w:val="en-US"/>
        </w:rPr>
        <w:t xml:space="preserve"> (LCC) at para [19] and </w:t>
      </w:r>
      <w:r w:rsidRPr="002E4026">
        <w:rPr>
          <w:rFonts w:ascii="Helvetica" w:hAnsi="Helvetica" w:cs="Helvetica"/>
          <w:b/>
          <w:bCs/>
          <w:lang w:val="en-US"/>
        </w:rPr>
        <w:t>Goldman v Stern</w:t>
      </w:r>
      <w:r w:rsidRPr="002E4026">
        <w:rPr>
          <w:rFonts w:ascii="Helvetica" w:hAnsi="Helvetica" w:cs="Helvetica"/>
          <w:lang w:val="en-US"/>
        </w:rPr>
        <w:t xml:space="preserve"> </w:t>
      </w:r>
      <w:hyperlink r:id="rId10" w:tooltip="View LawCiteRecord" w:history="1">
        <w:r w:rsidRPr="002E4026">
          <w:rPr>
            <w:rStyle w:val="Hyperlink"/>
            <w:rFonts w:ascii="Helvetica" w:hAnsi="Helvetica" w:cs="Helvetica"/>
            <w:color w:val="auto"/>
            <w:u w:val="none"/>
            <w:lang w:val="en-US"/>
          </w:rPr>
          <w:t>1931 TPD 261</w:t>
        </w:r>
      </w:hyperlink>
      <w:r w:rsidRPr="002E4026">
        <w:rPr>
          <w:rFonts w:ascii="Helvetica" w:hAnsi="Helvetica" w:cs="Helvetica"/>
          <w:lang w:val="en-US"/>
        </w:rPr>
        <w:t xml:space="preserve"> at 264.</w:t>
      </w:r>
    </w:p>
  </w:footnote>
  <w:footnote w:id="18">
    <w:p w14:paraId="07C48B7E" w14:textId="55EF8BCA" w:rsidR="001017B7" w:rsidRPr="002E4026" w:rsidRDefault="001017B7" w:rsidP="008A3778">
      <w:pPr>
        <w:pStyle w:val="FootnoteText"/>
        <w:tabs>
          <w:tab w:val="left" w:pos="0"/>
        </w:tabs>
        <w:ind w:left="426" w:right="-72" w:hanging="426"/>
        <w:jc w:val="both"/>
        <w:rPr>
          <w:rFonts w:ascii="Helvetica" w:eastAsia="Times New Roman" w:hAnsi="Helvetica" w:cs="Helvetica"/>
          <w:lang w:eastAsia="en-Z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w:t>
      </w:r>
      <w:r w:rsidRPr="002E4026">
        <w:rPr>
          <w:rFonts w:ascii="Helvetica" w:hAnsi="Helvetica" w:cs="Helvetica"/>
          <w:b/>
          <w:bCs/>
          <w:shd w:val="clear" w:color="auto" w:fill="FFFFFF"/>
        </w:rPr>
        <w:t>Herf v Germani</w:t>
      </w:r>
      <w:r w:rsidRPr="002E4026">
        <w:rPr>
          <w:rFonts w:ascii="Helvetica" w:hAnsi="Helvetica" w:cs="Helvetica"/>
          <w:shd w:val="clear" w:color="auto" w:fill="FFFFFF"/>
        </w:rPr>
        <w:t xml:space="preserve"> 1978 (1) SA 440 (T) </w:t>
      </w:r>
      <w:r w:rsidRPr="002E4026">
        <w:rPr>
          <w:rFonts w:ascii="Helvetica" w:hAnsi="Helvetica" w:cs="Helvetica"/>
          <w:shd w:val="clear" w:color="auto" w:fill="FFFFFF"/>
          <w:lang w:val="en-US"/>
        </w:rPr>
        <w:t>at 449C-G</w:t>
      </w:r>
      <w:r w:rsidRPr="002E4026">
        <w:rPr>
          <w:rFonts w:ascii="Helvetica" w:hAnsi="Helvetica" w:cs="Helvetica"/>
          <w:lang w:val="en-US"/>
        </w:rPr>
        <w:t xml:space="preserve">; </w:t>
      </w:r>
      <w:r w:rsidRPr="002E4026">
        <w:rPr>
          <w:rFonts w:ascii="Helvetica" w:eastAsia="Calibri" w:hAnsi="Helvetica" w:cs="Helvetica"/>
          <w:b/>
          <w:bCs/>
          <w:iCs/>
          <w:lang w:val="en-US"/>
        </w:rPr>
        <w:t>Aymac CC v Widgerow</w:t>
      </w:r>
      <w:r w:rsidRPr="002E4026">
        <w:rPr>
          <w:rFonts w:ascii="Helvetica" w:eastAsia="Calibri" w:hAnsi="Helvetica" w:cs="Helvetica"/>
          <w:i/>
          <w:lang w:val="en-US"/>
        </w:rPr>
        <w:t xml:space="preserve"> </w:t>
      </w:r>
      <w:r w:rsidRPr="002E4026">
        <w:rPr>
          <w:rFonts w:ascii="Helvetica" w:eastAsia="Calibri" w:hAnsi="Helvetica" w:cs="Helvetica"/>
          <w:lang w:val="en-US"/>
        </w:rPr>
        <w:t>2009 (6) SA 433 (W) at 440H–441I</w:t>
      </w:r>
      <w:r w:rsidRPr="002E4026">
        <w:rPr>
          <w:rFonts w:ascii="Helvetica" w:eastAsia="Calibri" w:hAnsi="Helvetica" w:cs="Helvetica"/>
        </w:rPr>
        <w:t>,</w:t>
      </w:r>
      <w:r w:rsidRPr="002E4026">
        <w:rPr>
          <w:rFonts w:ascii="Helvetica" w:eastAsia="Calibri" w:hAnsi="Helvetica" w:cs="Helvetica"/>
          <w:lang w:val="en-US"/>
        </w:rPr>
        <w:t xml:space="preserve"> </w:t>
      </w:r>
      <w:r w:rsidRPr="002E4026">
        <w:rPr>
          <w:rFonts w:ascii="Helvetica" w:eastAsia="Calibri" w:hAnsi="Helvetica" w:cs="Helvetica"/>
          <w:b/>
          <w:bCs/>
          <w:iCs/>
          <w:lang w:val="en-US"/>
        </w:rPr>
        <w:t xml:space="preserve">Panayiotou v Shoprite Checkers (Pty) Ltd and Others </w:t>
      </w:r>
      <w:r w:rsidRPr="002E4026">
        <w:rPr>
          <w:rFonts w:ascii="Helvetica" w:eastAsia="Calibri" w:hAnsi="Helvetica" w:cs="Helvetica"/>
          <w:lang w:val="en-US"/>
        </w:rPr>
        <w:t>2016 (3) SA 110 (GJ) at para</w:t>
      </w:r>
      <w:r w:rsidRPr="002E4026">
        <w:rPr>
          <w:rFonts w:ascii="Helvetica" w:eastAsia="Calibri" w:hAnsi="Helvetica" w:cs="Helvetica"/>
        </w:rPr>
        <w:t xml:space="preserve"> [</w:t>
      </w:r>
      <w:r w:rsidRPr="002E4026">
        <w:rPr>
          <w:rFonts w:ascii="Helvetica" w:eastAsia="Calibri" w:hAnsi="Helvetica" w:cs="Helvetica"/>
          <w:lang w:val="en-US"/>
        </w:rPr>
        <w:t>13</w:t>
      </w:r>
      <w:r w:rsidRPr="002E4026">
        <w:rPr>
          <w:rFonts w:ascii="Helvetica" w:eastAsia="Calibri" w:hAnsi="Helvetica" w:cs="Helvetica"/>
        </w:rPr>
        <w:t xml:space="preserve">] and </w:t>
      </w:r>
      <w:r w:rsidRPr="002E4026">
        <w:rPr>
          <w:rFonts w:ascii="Helvetica" w:eastAsia="Calibri" w:hAnsi="Helvetica" w:cs="Helvetica"/>
          <w:b/>
          <w:bCs/>
        </w:rPr>
        <w:t>Strouthos v Shear 2003 (4) SA 137 (T) at 140H</w:t>
      </w:r>
      <w:r w:rsidRPr="002E4026">
        <w:rPr>
          <w:rFonts w:ascii="Helvetica" w:eastAsia="Calibri" w:hAnsi="Helvetica" w:cs="Helvetica"/>
        </w:rPr>
        <w:t>.</w:t>
      </w:r>
      <w:r w:rsidRPr="002E4026">
        <w:rPr>
          <w:rFonts w:ascii="Helvetica" w:eastAsia="Calibri" w:hAnsi="Helvetica" w:cs="Helvetica"/>
          <w:lang w:val="en-US"/>
        </w:rPr>
        <w:t xml:space="preserve"> </w:t>
      </w:r>
    </w:p>
  </w:footnote>
  <w:footnote w:id="19">
    <w:p w14:paraId="015747DA" w14:textId="0B917018"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section 35 of our Constitution. </w:t>
      </w:r>
    </w:p>
  </w:footnote>
  <w:footnote w:id="20">
    <w:p w14:paraId="0851C21C" w14:textId="65860509" w:rsidR="001017B7" w:rsidRPr="002E4026" w:rsidRDefault="001017B7" w:rsidP="008A3778">
      <w:pPr>
        <w:pStyle w:val="FootnoteText"/>
        <w:tabs>
          <w:tab w:val="left" w:pos="0"/>
        </w:tabs>
        <w:ind w:left="426" w:right="-72" w:hanging="426"/>
        <w:jc w:val="both"/>
        <w:rPr>
          <w:rFonts w:ascii="Helvetica" w:hAnsi="Helvetica" w:cs="Helvetica"/>
          <w:b/>
          <w:bC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Section 1 of Superior Courts Act, 2013</w:t>
      </w:r>
      <w:r w:rsidRPr="002E4026">
        <w:rPr>
          <w:rFonts w:ascii="Helvetica" w:hAnsi="Helvetica" w:cs="Helvetica"/>
          <w:b/>
          <w:bCs/>
        </w:rPr>
        <w:t xml:space="preserve"> </w:t>
      </w:r>
      <w:r w:rsidRPr="002E4026">
        <w:rPr>
          <w:rFonts w:ascii="Helvetica" w:hAnsi="Helvetica" w:cs="Helvetica"/>
        </w:rPr>
        <w:t xml:space="preserve">defines </w:t>
      </w:r>
      <w:r w:rsidRPr="002E4026">
        <w:rPr>
          <w:rFonts w:ascii="Helvetica" w:hAnsi="Helvetica" w:cs="Helvetica"/>
          <w:lang w:val="en-US"/>
        </w:rPr>
        <w:t>“</w:t>
      </w:r>
      <w:r w:rsidRPr="002E4026">
        <w:rPr>
          <w:rFonts w:ascii="Helvetica" w:hAnsi="Helvetica" w:cs="Helvetica"/>
          <w:i/>
          <w:iCs/>
          <w:lang w:val="en-US"/>
        </w:rPr>
        <w:t>Superior Court</w:t>
      </w:r>
      <w:r w:rsidRPr="002E4026">
        <w:rPr>
          <w:rFonts w:ascii="Helvetica" w:hAnsi="Helvetica" w:cs="Helvetica"/>
          <w:lang w:val="en-US"/>
        </w:rPr>
        <w:t>” as meaning “</w:t>
      </w:r>
      <w:r w:rsidRPr="002E4026">
        <w:rPr>
          <w:rFonts w:ascii="Helvetica" w:hAnsi="Helvetica" w:cs="Helvetica"/>
          <w:i/>
          <w:iCs/>
          <w:lang w:val="en-US"/>
        </w:rPr>
        <w:t>the Constitutional Court, the Supreme Court of Appeal, the High Court and any court of a status similar to the High Court</w:t>
      </w:r>
      <w:r w:rsidRPr="002E4026">
        <w:rPr>
          <w:rFonts w:ascii="Helvetica" w:hAnsi="Helvetica" w:cs="Helvetica"/>
          <w:lang w:val="en-US"/>
        </w:rPr>
        <w:t xml:space="preserve">”. </w:t>
      </w:r>
    </w:p>
  </w:footnote>
  <w:footnote w:id="21">
    <w:p w14:paraId="06462A63" w14:textId="4E72F6D7"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section 173 of our Constitution and </w:t>
      </w:r>
      <w:r w:rsidRPr="002E4026">
        <w:rPr>
          <w:rFonts w:ascii="Helvetica" w:hAnsi="Helvetica" w:cs="Helvetica"/>
          <w:i/>
          <w:iCs/>
          <w:lang w:val="en-US"/>
        </w:rPr>
        <w:t>inter-alia</w:t>
      </w:r>
      <w:r w:rsidRPr="002E4026">
        <w:rPr>
          <w:rFonts w:ascii="Helvetica" w:hAnsi="Helvetica" w:cs="Helvetica"/>
          <w:lang w:val="en-US"/>
        </w:rPr>
        <w:t xml:space="preserve"> Schreiner JA in </w:t>
      </w:r>
      <w:r w:rsidRPr="002E4026">
        <w:rPr>
          <w:rFonts w:ascii="Helvetica" w:hAnsi="Helvetica" w:cs="Helvetica"/>
          <w:b/>
          <w:bCs/>
          <w:lang w:val="en-US"/>
        </w:rPr>
        <w:t>Trans-African Insurance Co. Ltd v Maluleka</w:t>
      </w:r>
      <w:r w:rsidRPr="002E4026">
        <w:rPr>
          <w:rFonts w:ascii="Helvetica" w:hAnsi="Helvetica" w:cs="Helvetica"/>
          <w:lang w:val="en-US"/>
        </w:rPr>
        <w:t xml:space="preserve"> 1956 (2) SA 273 (A).  </w:t>
      </w:r>
    </w:p>
  </w:footnote>
  <w:footnote w:id="22">
    <w:p w14:paraId="3D446F1F" w14:textId="48929736" w:rsidR="001017B7" w:rsidRPr="002E4026" w:rsidRDefault="001017B7" w:rsidP="008A3778">
      <w:pPr>
        <w:pStyle w:val="FootnoteText"/>
        <w:tabs>
          <w:tab w:val="left" w:pos="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2013</w:t>
      </w:r>
      <w:r w:rsidRPr="002E4026">
        <w:rPr>
          <w:rFonts w:ascii="Helvetica" w:hAnsi="Helvetica" w:cs="Helvetica"/>
        </w:rPr>
        <w:t xml:space="preserve"> (1) SA 1 (CC) at para [30].</w:t>
      </w:r>
    </w:p>
  </w:footnote>
  <w:footnote w:id="23">
    <w:p w14:paraId="466050C4" w14:textId="3ABFBDFF" w:rsidR="001017B7" w:rsidRPr="002E4026" w:rsidRDefault="001017B7" w:rsidP="008A3778">
      <w:pPr>
        <w:pStyle w:val="FootnoteText"/>
        <w:tabs>
          <w:tab w:val="left" w:pos="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Commissioner</w:t>
      </w:r>
      <w:r w:rsidRPr="002E4026">
        <w:rPr>
          <w:rFonts w:ascii="Helvetica" w:hAnsi="Helvetica" w:cs="Helvetica"/>
          <w:b/>
          <w:bCs/>
        </w:rPr>
        <w:t>: Companies &amp; Intellectual Property Commission v Independent Music Performance Rights Assoc and Another</w:t>
      </w:r>
      <w:r w:rsidRPr="002E4026">
        <w:rPr>
          <w:rFonts w:ascii="Helvetica" w:hAnsi="Helvetica" w:cs="Helvetica"/>
        </w:rPr>
        <w:t xml:space="preserve"> (37475/2020) [2020] ZAGPPHC 668 (23 November 2020) at para [1].</w:t>
      </w:r>
    </w:p>
    <w:p w14:paraId="4F774737" w14:textId="78075879" w:rsidR="001017B7" w:rsidRPr="002E4026" w:rsidRDefault="001017B7" w:rsidP="008A3778">
      <w:pPr>
        <w:pStyle w:val="FootnoteText"/>
        <w:ind w:left="426" w:right="-72" w:hanging="426"/>
        <w:jc w:val="both"/>
        <w:rPr>
          <w:rFonts w:ascii="Helvetica" w:hAnsi="Helvetica" w:cs="Helvetica"/>
          <w:lang w:val="en-US"/>
        </w:rPr>
      </w:pPr>
    </w:p>
  </w:footnote>
  <w:footnote w:id="24">
    <w:p w14:paraId="3A76DAA6" w14:textId="2F7E2B7D" w:rsidR="001017B7" w:rsidRPr="002E4026" w:rsidRDefault="001017B7" w:rsidP="008A3778">
      <w:pPr>
        <w:pStyle w:val="FootnoteText"/>
        <w:ind w:left="426" w:right="-72" w:hanging="426"/>
        <w:jc w:val="both"/>
        <w:rPr>
          <w:rFonts w:ascii="Helvetica" w:eastAsia="Times New Roman" w:hAnsi="Helvetica" w:cs="Helvetica"/>
          <w:lang w:val="en-GB" w:eastAsia="en-GB"/>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w:t>
      </w:r>
      <w:r w:rsidRPr="002E4026">
        <w:rPr>
          <w:rFonts w:ascii="Helvetica" w:hAnsi="Helvetica" w:cs="Helvetica"/>
          <w:i/>
          <w:iCs/>
          <w:lang w:val="en-US"/>
        </w:rPr>
        <w:t>inter-alia</w:t>
      </w:r>
      <w:r w:rsidRPr="002E4026">
        <w:rPr>
          <w:rFonts w:ascii="Helvetica" w:hAnsi="Helvetica" w:cs="Helvetica"/>
          <w:lang w:val="en-US"/>
        </w:rPr>
        <w:t xml:space="preserve">, </w:t>
      </w:r>
      <w:r w:rsidRPr="002E4026">
        <w:rPr>
          <w:rFonts w:ascii="Helvetica" w:hAnsi="Helvetica" w:cs="Helvetica"/>
          <w:b/>
          <w:bCs/>
          <w:lang w:val="en-US"/>
        </w:rPr>
        <w:t>Siber v Ozen Wholesalers (Pty) Ltd</w:t>
      </w:r>
      <w:r w:rsidRPr="002E4026">
        <w:rPr>
          <w:rFonts w:ascii="Helvetica" w:hAnsi="Helvetica" w:cs="Helvetica"/>
          <w:lang w:val="en-US"/>
        </w:rPr>
        <w:t xml:space="preserve"> </w:t>
      </w:r>
      <w:hyperlink r:id="rId11" w:tooltip="View LawCiteRecord" w:history="1">
        <w:r w:rsidRPr="002E4026">
          <w:rPr>
            <w:rStyle w:val="Hyperlink"/>
            <w:rFonts w:ascii="Helvetica" w:hAnsi="Helvetica" w:cs="Helvetica"/>
            <w:color w:val="auto"/>
            <w:u w:val="none"/>
            <w:lang w:val="en-US"/>
          </w:rPr>
          <w:t>1954 2 SA 345</w:t>
        </w:r>
      </w:hyperlink>
      <w:r w:rsidRPr="002E4026">
        <w:rPr>
          <w:rFonts w:ascii="Helvetica" w:hAnsi="Helvetica" w:cs="Helvetica"/>
          <w:lang w:val="en-US"/>
        </w:rPr>
        <w:t xml:space="preserve"> (A) at 353A and </w:t>
      </w:r>
      <w:r w:rsidRPr="002E4026">
        <w:rPr>
          <w:rFonts w:ascii="Helvetica" w:hAnsi="Helvetica" w:cs="Helvetica"/>
          <w:b/>
          <w:bCs/>
          <w:lang w:val="en-US"/>
        </w:rPr>
        <w:t>Smith NO v Brummer NO and Another</w:t>
      </w:r>
      <w:r w:rsidRPr="002E4026">
        <w:rPr>
          <w:rFonts w:ascii="Helvetica" w:hAnsi="Helvetica" w:cs="Helvetica"/>
          <w:lang w:val="en-US"/>
        </w:rPr>
        <w:t xml:space="preserve"> </w:t>
      </w:r>
      <w:hyperlink r:id="rId12" w:tooltip="View LawCiteRecord" w:history="1">
        <w:r w:rsidRPr="002E4026">
          <w:rPr>
            <w:rStyle w:val="Hyperlink"/>
            <w:rFonts w:ascii="Helvetica" w:hAnsi="Helvetica" w:cs="Helvetica"/>
            <w:color w:val="auto"/>
            <w:u w:val="none"/>
            <w:lang w:val="en-US"/>
          </w:rPr>
          <w:t>1954 3 SA 352</w:t>
        </w:r>
      </w:hyperlink>
      <w:r w:rsidRPr="002E4026">
        <w:rPr>
          <w:rFonts w:ascii="Helvetica" w:hAnsi="Helvetica" w:cs="Helvetica"/>
          <w:lang w:val="en-US"/>
        </w:rPr>
        <w:t xml:space="preserve"> at 358A and </w:t>
      </w:r>
      <w:r w:rsidRPr="002E4026">
        <w:rPr>
          <w:rFonts w:ascii="Helvetica" w:hAnsi="Helvetica" w:cs="Helvetica"/>
          <w:i/>
          <w:iCs/>
        </w:rPr>
        <w:t>cf.</w:t>
      </w:r>
      <w:r w:rsidRPr="002E4026">
        <w:rPr>
          <w:rFonts w:ascii="Helvetica" w:hAnsi="Helvetica" w:cs="Helvetica"/>
        </w:rPr>
        <w:t xml:space="preserve"> </w:t>
      </w:r>
      <w:r w:rsidRPr="002E4026">
        <w:rPr>
          <w:rFonts w:ascii="Helvetica" w:eastAsia="Times New Roman" w:hAnsi="Helvetica" w:cs="Helvetica"/>
          <w:b/>
          <w:bCs/>
          <w:lang w:val="en-GB" w:eastAsia="en-GB"/>
        </w:rPr>
        <w:t>Madinda v Minister of Safety and Security</w:t>
      </w:r>
      <w:r w:rsidRPr="002E4026">
        <w:rPr>
          <w:rFonts w:ascii="Helvetica" w:hAnsi="Helvetica" w:cs="Helvetica"/>
          <w:lang w:val="en-US"/>
        </w:rPr>
        <w:t xml:space="preserve"> </w:t>
      </w:r>
      <w:hyperlink r:id="rId13" w:tooltip="View LawCiteRecord" w:history="1">
        <w:r w:rsidRPr="002E4026">
          <w:rPr>
            <w:rFonts w:ascii="Helvetica" w:eastAsia="Times New Roman" w:hAnsi="Helvetica" w:cs="Helvetica"/>
            <w:lang w:val="en-GB" w:eastAsia="en-GB"/>
          </w:rPr>
          <w:t>2008 (4) SA 312</w:t>
        </w:r>
      </w:hyperlink>
      <w:r w:rsidRPr="002E4026">
        <w:rPr>
          <w:rFonts w:ascii="Helvetica" w:eastAsia="Times New Roman" w:hAnsi="Helvetica" w:cs="Helvetica"/>
          <w:lang w:val="en-GB" w:eastAsia="en-GB"/>
        </w:rPr>
        <w:t xml:space="preserve"> (SCA) at 320H-J.</w:t>
      </w:r>
    </w:p>
  </w:footnote>
  <w:footnote w:id="25">
    <w:p w14:paraId="4AD00997" w14:textId="68D131DC"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Times New Roman" w:hAnsi="Helvetica" w:cs="Helvetica"/>
          <w:b/>
          <w:bCs/>
          <w:iCs/>
          <w:lang w:val="en-GB" w:eastAsia="en-GB"/>
        </w:rPr>
        <w:t>Minister of Environmental Affairs and Tourism v Bato Star Fishing (Pty) Ltd</w:t>
      </w:r>
      <w:r w:rsidRPr="002E4026">
        <w:rPr>
          <w:rFonts w:ascii="Helvetica" w:eastAsia="Times New Roman" w:hAnsi="Helvetica" w:cs="Helvetica"/>
          <w:lang w:val="en-GB" w:eastAsia="en-GB"/>
        </w:rPr>
        <w:t xml:space="preserve"> 2003 (6) SA 407 (SCA) at 439G-H.</w:t>
      </w:r>
    </w:p>
  </w:footnote>
  <w:footnote w:id="26">
    <w:p w14:paraId="2A0CB0A3" w14:textId="1311D83A"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2008 (3) SA 294 (SCA) in para 46.</w:t>
      </w:r>
    </w:p>
  </w:footnote>
  <w:footnote w:id="27">
    <w:p w14:paraId="2CD95C36" w14:textId="2EA0EB62"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1978 (4) SA 420 (C) at 425F.</w:t>
      </w:r>
    </w:p>
  </w:footnote>
  <w:footnote w:id="28">
    <w:p w14:paraId="74F883D2" w14:textId="6E72DEEC"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Style w:val="FootnoteReference"/>
          <w:rFonts w:ascii="Helvetica" w:hAnsi="Helvetica" w:cs="Helvetica"/>
        </w:rPr>
        <w:t xml:space="preserve"> </w:t>
      </w:r>
      <w:r w:rsidRPr="002E4026">
        <w:rPr>
          <w:rFonts w:ascii="Helvetica" w:hAnsi="Helvetica" w:cs="Helvetica"/>
        </w:rPr>
        <w:tab/>
      </w:r>
      <w:r w:rsidRPr="002E4026">
        <w:rPr>
          <w:rFonts w:ascii="Helvetica" w:hAnsi="Helvetica" w:cs="Helvetica"/>
          <w:lang w:val="en-US"/>
        </w:rPr>
        <w:t>1994 (1) S</w:t>
      </w:r>
      <w:r w:rsidRPr="002E4026">
        <w:rPr>
          <w:rFonts w:ascii="Helvetica" w:hAnsi="Helvetica" w:cs="Helvetica"/>
        </w:rPr>
        <w:t>A 153 (A) at 157F.</w:t>
      </w:r>
    </w:p>
  </w:footnote>
  <w:footnote w:id="29">
    <w:p w14:paraId="2350F41B" w14:textId="5008F28E" w:rsidR="001017B7" w:rsidRPr="002E4026" w:rsidRDefault="001017B7" w:rsidP="008A3778">
      <w:pPr>
        <w:spacing w:after="0" w:line="240" w:lineRule="auto"/>
        <w:ind w:left="426" w:right="-72" w:hanging="426"/>
        <w:jc w:val="both"/>
        <w:rPr>
          <w:rFonts w:ascii="Helvetica" w:hAnsi="Helvetica" w:cs="Helvetica"/>
          <w:sz w:val="20"/>
          <w:szCs w:val="20"/>
        </w:rPr>
      </w:pPr>
      <w:r w:rsidRPr="002E4026">
        <w:rPr>
          <w:rStyle w:val="FootnoteReference"/>
          <w:rFonts w:ascii="Helvetica" w:hAnsi="Helvetica" w:cs="Helvetica"/>
          <w:sz w:val="20"/>
          <w:szCs w:val="20"/>
        </w:rPr>
        <w:footnoteRef/>
      </w:r>
      <w:r w:rsidRPr="002E4026">
        <w:rPr>
          <w:rFonts w:ascii="Helvetica" w:hAnsi="Helvetica" w:cs="Helvetica"/>
          <w:sz w:val="20"/>
          <w:szCs w:val="20"/>
        </w:rPr>
        <w:t xml:space="preserve"> </w:t>
      </w:r>
      <w:r w:rsidRPr="002E4026">
        <w:rPr>
          <w:rFonts w:ascii="Helvetica" w:hAnsi="Helvetica" w:cs="Helvetica"/>
          <w:sz w:val="20"/>
          <w:szCs w:val="20"/>
        </w:rPr>
        <w:tab/>
      </w:r>
      <w:r w:rsidRPr="002E4026">
        <w:rPr>
          <w:rFonts w:ascii="Helvetica" w:eastAsia="HGMaruGothicMPRO" w:hAnsi="Helvetica" w:cs="Helvetica"/>
          <w:i/>
          <w:iCs/>
          <w:sz w:val="20"/>
          <w:szCs w:val="20"/>
        </w:rPr>
        <w:t>Supra.</w:t>
      </w:r>
    </w:p>
  </w:footnote>
  <w:footnote w:id="30">
    <w:p w14:paraId="6AB3C5AC" w14:textId="35398C0E" w:rsidR="001017B7" w:rsidRPr="002E4026" w:rsidRDefault="001017B7" w:rsidP="00394450">
      <w:pPr>
        <w:pStyle w:val="FootnoteText"/>
        <w:ind w:left="426" w:right="-69"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t>Whilst certain of the parties’ arguments and contentions may not specifically be traversed in this judgement, they have nevertheless been thoroughly considered and do not impact upon the outcome and result of this appeal.</w:t>
      </w:r>
    </w:p>
  </w:footnote>
  <w:footnote w:id="31">
    <w:p w14:paraId="14BA46B2" w14:textId="1F39969A"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A dispute exists in the section 30P application, arising even as early in in the founding papers, as to whether</w:t>
      </w:r>
      <w:r w:rsidRPr="002E4026">
        <w:rPr>
          <w:rFonts w:ascii="Helvetica" w:eastAsia="HGMaruGothicMPRO" w:hAnsi="Helvetica" w:cs="Helvetica"/>
          <w:lang w:val="en-US"/>
        </w:rPr>
        <w:t xml:space="preserve"> </w:t>
      </w:r>
      <w:r w:rsidRPr="002E4026">
        <w:rPr>
          <w:rFonts w:ascii="Helvetica" w:hAnsi="Helvetica" w:cs="Helvetica"/>
          <w:lang w:val="en-US"/>
        </w:rPr>
        <w:t xml:space="preserve">Mr. Collatz had retired or had been retrenched. This is not the only factual dispute that contaminates the section 30P application and that this appeal. I return to this dispute later in this judgement. </w:t>
      </w:r>
    </w:p>
  </w:footnote>
  <w:footnote w:id="32">
    <w:p w14:paraId="7FCCA127" w14:textId="0AC51BFC"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These two amounts are listed in the affidavits filed in the application,</w:t>
      </w:r>
      <w:r w:rsidRPr="002E4026">
        <w:rPr>
          <w:rFonts w:ascii="Helvetica" w:eastAsia="HGMaruGothicMPRO" w:hAnsi="Helvetica" w:cs="Helvetica"/>
        </w:rPr>
        <w:t xml:space="preserve"> being R10,283,631.16 and R10,308,989.34</w:t>
      </w:r>
      <w:r w:rsidRPr="002E4026">
        <w:rPr>
          <w:rFonts w:ascii="Helvetica" w:hAnsi="Helvetica" w:cs="Helvetica"/>
        </w:rPr>
        <w:t>. T</w:t>
      </w:r>
      <w:r w:rsidRPr="002E4026">
        <w:rPr>
          <w:rFonts w:ascii="Helvetica" w:hAnsi="Helvetica" w:cs="Helvetica"/>
          <w:lang w:val="en-US"/>
        </w:rPr>
        <w:t xml:space="preserve">here is reference in the ninth respondent's answering affidavit, and in the appellants’ replying affidavit, to the deduction of an amount of R353,497.89 in settlement of a housing loan advanced to Mr. Collatz. The ninth respondent states that it had provided a guarantee for the loan. Nevertheless, there appears to be no dispute regarding the value of the contested withdrawal benefit for purposes of the section 30P application being an amount. </w:t>
      </w:r>
    </w:p>
  </w:footnote>
  <w:footnote w:id="33">
    <w:p w14:paraId="5FC50221" w14:textId="46CF40B4"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Presumably, the first appellant intended to refer to </w:t>
      </w:r>
      <w:r w:rsidRPr="002E4026">
        <w:rPr>
          <w:rFonts w:ascii="Helvetica" w:hAnsi="Helvetica" w:cs="Helvetica"/>
          <w:lang w:val="en-US"/>
        </w:rPr>
        <w:t xml:space="preserve">section 37C of the Pension Funds Act, 1956. </w:t>
      </w:r>
    </w:p>
  </w:footnote>
  <w:footnote w:id="34">
    <w:p w14:paraId="2B003AA2" w14:textId="17F22608" w:rsidR="001017B7" w:rsidRPr="002E4026" w:rsidRDefault="001017B7" w:rsidP="008A3778">
      <w:pPr>
        <w:pStyle w:val="FootnoteText"/>
        <w:tabs>
          <w:tab w:val="left" w:pos="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Section 30M of the Pension Funds Act, 1956 provides:</w:t>
      </w:r>
    </w:p>
    <w:p w14:paraId="722749FB" w14:textId="63E0123C" w:rsidR="001017B7" w:rsidRPr="002E4026" w:rsidRDefault="001017B7" w:rsidP="008A3778">
      <w:pPr>
        <w:pStyle w:val="FootnoteText"/>
        <w:ind w:left="426" w:right="-72" w:firstLine="294"/>
        <w:jc w:val="both"/>
        <w:rPr>
          <w:rFonts w:ascii="Helvetica" w:hAnsi="Helvetica" w:cs="Helvetica"/>
          <w:i/>
          <w:iCs/>
        </w:rPr>
      </w:pPr>
      <w:r w:rsidRPr="002E4026">
        <w:rPr>
          <w:rFonts w:ascii="Helvetica" w:hAnsi="Helvetica" w:cs="Helvetica"/>
        </w:rPr>
        <w:t>“</w:t>
      </w:r>
      <w:r w:rsidRPr="002E4026">
        <w:rPr>
          <w:rFonts w:ascii="Helvetica" w:hAnsi="Helvetica" w:cs="Helvetica"/>
          <w:i/>
          <w:iCs/>
        </w:rPr>
        <w:t>Statement by Adjudicator regarding determination</w:t>
      </w:r>
    </w:p>
    <w:p w14:paraId="684E0610" w14:textId="0B50D621" w:rsidR="001017B7" w:rsidRPr="002E4026" w:rsidRDefault="001017B7" w:rsidP="008A3778">
      <w:pPr>
        <w:pStyle w:val="FootnoteText"/>
        <w:ind w:left="720" w:right="-72" w:firstLine="0"/>
        <w:jc w:val="both"/>
        <w:rPr>
          <w:rFonts w:ascii="Helvetica" w:hAnsi="Helvetica" w:cs="Helvetica"/>
        </w:rPr>
      </w:pPr>
      <w:r w:rsidRPr="002E4026">
        <w:rPr>
          <w:rFonts w:ascii="Helvetica" w:hAnsi="Helvetica" w:cs="Helvetica"/>
          <w:i/>
          <w:iCs/>
        </w:rPr>
        <w:t>After the Adjudicator has completed an investigation, he or she shall send a statement containing his or her determination and the reasons therefor, signed by him or her, to all parties concerned as well as to the clerk or registrar of the court which would have had jurisdiction had the matter been heard by a court</w:t>
      </w:r>
      <w:r w:rsidRPr="002E4026">
        <w:rPr>
          <w:rFonts w:ascii="Helvetica" w:hAnsi="Helvetica" w:cs="Helvetica"/>
        </w:rPr>
        <w:t>.”</w:t>
      </w:r>
    </w:p>
    <w:p w14:paraId="4896E3D4" w14:textId="144B729A" w:rsidR="001017B7" w:rsidRPr="002E4026" w:rsidRDefault="001017B7" w:rsidP="008A3778">
      <w:pPr>
        <w:pStyle w:val="FootnoteText"/>
        <w:ind w:left="426" w:right="-72" w:hanging="426"/>
        <w:jc w:val="both"/>
        <w:rPr>
          <w:rFonts w:ascii="Helvetica" w:hAnsi="Helvetica" w:cs="Helvetica"/>
          <w:lang w:val="en-US"/>
        </w:rPr>
      </w:pPr>
    </w:p>
  </w:footnote>
  <w:footnote w:id="35">
    <w:p w14:paraId="24C99023" w14:textId="10CF2EFD" w:rsidR="001017B7" w:rsidRPr="002E4026" w:rsidRDefault="001017B7" w:rsidP="008A3778">
      <w:pPr>
        <w:pStyle w:val="FootnoteText"/>
        <w:tabs>
          <w:tab w:val="left" w:pos="0"/>
        </w:tabs>
        <w:ind w:left="426" w:right="-72" w:hanging="426"/>
        <w:jc w:val="both"/>
        <w:rPr>
          <w:rStyle w:val="Hyperlink"/>
          <w:rFonts w:ascii="Helvetica" w:hAnsi="Helvetica" w:cs="Helvetica"/>
          <w:color w:val="auto"/>
          <w:u w:val="none"/>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Style w:val="Hyperlink"/>
          <w:rFonts w:ascii="Helvetica" w:hAnsi="Helvetica" w:cs="Helvetica"/>
          <w:color w:val="auto"/>
          <w:u w:val="none"/>
          <w:lang w:val="en-US"/>
        </w:rPr>
        <w:t>The bolding is taken from their heads of argument.</w:t>
      </w:r>
    </w:p>
  </w:footnote>
  <w:footnote w:id="36">
    <w:p w14:paraId="1EF095D0" w14:textId="2EE0820E"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2003 2 All SA 239 (C) at 245.</w:t>
      </w:r>
    </w:p>
  </w:footnote>
  <w:footnote w:id="37">
    <w:p w14:paraId="0EAFFD1F" w14:textId="308017AA"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also </w:t>
      </w:r>
      <w:r w:rsidRPr="002E4026">
        <w:rPr>
          <w:rFonts w:ascii="Helvetica" w:hAnsi="Helvetica" w:cs="Helvetica"/>
          <w:b/>
          <w:bCs/>
        </w:rPr>
        <w:t>Iscor Pension Fund v Murphy NO and Another</w:t>
      </w:r>
      <w:r w:rsidRPr="002E4026">
        <w:rPr>
          <w:rFonts w:ascii="Helvetica" w:hAnsi="Helvetica" w:cs="Helvetica"/>
        </w:rPr>
        <w:t xml:space="preserve"> 2002 (2) SA 742 (T) and </w:t>
      </w:r>
      <w:r w:rsidRPr="002E4026">
        <w:rPr>
          <w:rFonts w:ascii="Helvetica" w:hAnsi="Helvetica" w:cs="Helvetica"/>
          <w:b/>
          <w:bCs/>
        </w:rPr>
        <w:t>Shell and BP South African Petroleum Refineries (Pty) Ltd v Murphy NO and Others</w:t>
      </w:r>
      <w:r w:rsidRPr="002E4026">
        <w:rPr>
          <w:rFonts w:ascii="Helvetica" w:hAnsi="Helvetica" w:cs="Helvetica"/>
        </w:rPr>
        <w:t xml:space="preserve"> [2000] 9 BPLR 953 (PFA) at 958I and 958E-F as referenced in </w:t>
      </w:r>
      <w:r w:rsidRPr="002E4026">
        <w:rPr>
          <w:rFonts w:ascii="Helvetica" w:hAnsi="Helvetica" w:cs="Helvetica"/>
          <w:b/>
          <w:bCs/>
        </w:rPr>
        <w:t xml:space="preserve">De Beers Pension Fund </w:t>
      </w:r>
      <w:r w:rsidRPr="002E4026">
        <w:rPr>
          <w:rFonts w:ascii="Helvetica" w:hAnsi="Helvetica" w:cs="Helvetica"/>
          <w:i/>
          <w:iCs/>
        </w:rPr>
        <w:t>ibid.</w:t>
      </w:r>
    </w:p>
  </w:footnote>
  <w:footnote w:id="38">
    <w:p w14:paraId="1FFC6198" w14:textId="40E641F6" w:rsidR="001017B7" w:rsidRPr="002E4026" w:rsidRDefault="001017B7" w:rsidP="008A3778">
      <w:pPr>
        <w:pStyle w:val="FootnoteText"/>
        <w:tabs>
          <w:tab w:val="left" w:pos="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2014 (2) SA 365 (SCA) at para [28] </w:t>
      </w:r>
    </w:p>
  </w:footnote>
  <w:footnote w:id="39">
    <w:p w14:paraId="01BB9B6A" w14:textId="1D1F0D10" w:rsidR="001017B7" w:rsidRPr="002E4026" w:rsidRDefault="001017B7" w:rsidP="008A3778">
      <w:pPr>
        <w:pStyle w:val="FootnoteText"/>
        <w:tabs>
          <w:tab w:val="left" w:pos="0"/>
        </w:tabs>
        <w:ind w:left="426" w:right="-72" w:hanging="426"/>
        <w:jc w:val="both"/>
        <w:rPr>
          <w:rFonts w:ascii="Helvetica" w:hAnsi="Helvetica" w:cs="Helvetica"/>
          <w:color w:val="000000" w:themeColor="text1"/>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2003 (2) SA 715 (SCA).</w:t>
      </w:r>
    </w:p>
  </w:footnote>
  <w:footnote w:id="40">
    <w:p w14:paraId="568C2B48" w14:textId="78AEA7ED"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 xml:space="preserve">Meyer v Iscor Pension Fund </w:t>
      </w:r>
      <w:r w:rsidRPr="002E4026">
        <w:rPr>
          <w:rFonts w:ascii="Helvetica" w:hAnsi="Helvetica" w:cs="Helvetica"/>
          <w:i/>
          <w:iCs/>
          <w:lang w:val="en-US"/>
        </w:rPr>
        <w:t>ibid.</w:t>
      </w:r>
    </w:p>
  </w:footnote>
  <w:footnote w:id="41">
    <w:p w14:paraId="363C5ECE" w14:textId="16F3EE4E"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Times New Roman" w:hAnsi="Helvetica" w:cs="Helvetica"/>
          <w:b/>
          <w:bCs/>
          <w:iCs/>
          <w:lang w:eastAsia="en-ZA" w:bidi="he-IL"/>
        </w:rPr>
        <w:t>V</w:t>
      </w:r>
      <w:r w:rsidRPr="002E4026">
        <w:rPr>
          <w:rFonts w:ascii="Helvetica" w:eastAsia="Times New Roman" w:hAnsi="Helvetica" w:cs="Helvetica"/>
          <w:b/>
          <w:bCs/>
          <w:iCs/>
          <w:lang w:val="en-US" w:eastAsia="en-ZA" w:bidi="he-IL"/>
        </w:rPr>
        <w:t>an Heerden</w:t>
      </w:r>
      <w:r w:rsidRPr="002E4026">
        <w:rPr>
          <w:rFonts w:ascii="Helvetica" w:eastAsia="Times New Roman" w:hAnsi="Helvetica" w:cs="Helvetica"/>
          <w:iCs/>
          <w:lang w:eastAsia="en-ZA" w:bidi="he-IL"/>
        </w:rPr>
        <w:t xml:space="preserve"> v </w:t>
      </w:r>
      <w:r w:rsidRPr="002E4026">
        <w:rPr>
          <w:rFonts w:ascii="Helvetica" w:eastAsia="Times New Roman" w:hAnsi="Helvetica" w:cs="Helvetica"/>
          <w:b/>
          <w:bCs/>
          <w:iCs/>
          <w:lang w:val="en-US" w:eastAsia="en-ZA" w:bidi="he-IL"/>
        </w:rPr>
        <w:t>Fundsatwork</w:t>
      </w:r>
      <w:r w:rsidRPr="002E4026">
        <w:rPr>
          <w:rFonts w:ascii="Helvetica" w:eastAsia="Times New Roman" w:hAnsi="Helvetica" w:cs="Helvetica"/>
          <w:iCs/>
          <w:lang w:eastAsia="en-ZA" w:bidi="he-IL"/>
        </w:rPr>
        <w:t xml:space="preserve"> </w:t>
      </w:r>
      <w:r w:rsidRPr="002E4026">
        <w:rPr>
          <w:rFonts w:ascii="Helvetica" w:eastAsia="Times New Roman" w:hAnsi="Helvetica" w:cs="Helvetica"/>
          <w:b/>
          <w:bCs/>
          <w:iCs/>
          <w:lang w:val="en-US" w:eastAsia="en-ZA" w:bidi="he-IL"/>
        </w:rPr>
        <w:t>Umbrella Provident Fund &amp; others</w:t>
      </w:r>
      <w:r w:rsidRPr="002E4026">
        <w:rPr>
          <w:rFonts w:ascii="Helvetica" w:hAnsi="Helvetica" w:cs="Helvetica"/>
        </w:rPr>
        <w:t xml:space="preserve"> Case no. </w:t>
      </w:r>
      <w:r w:rsidRPr="002E4026">
        <w:rPr>
          <w:rFonts w:ascii="Helvetica" w:hAnsi="Helvetica" w:cs="Helvetica"/>
          <w:lang w:val="en-US"/>
        </w:rPr>
        <w:t>94615/16</w:t>
      </w:r>
      <w:r w:rsidRPr="002E4026">
        <w:rPr>
          <w:rFonts w:ascii="Helvetica" w:hAnsi="Helvetica" w:cs="Helvetica"/>
        </w:rPr>
        <w:t xml:space="preserve"> para [18]</w:t>
      </w:r>
      <w:r w:rsidRPr="002E4026">
        <w:rPr>
          <w:rFonts w:ascii="Helvetica" w:hAnsi="Helvetica" w:cs="Helvetica"/>
          <w:lang w:val="en-US"/>
        </w:rPr>
        <w:t>, an unreported decision of Fourie J in the Gauteng Division (18 September 2018).</w:t>
      </w:r>
    </w:p>
  </w:footnote>
  <w:footnote w:id="42">
    <w:p w14:paraId="25C2DDE2" w14:textId="1F5A7117" w:rsidR="001017B7" w:rsidRPr="002E4026" w:rsidRDefault="001017B7" w:rsidP="00DD3505">
      <w:pPr>
        <w:pStyle w:val="FootnoteText"/>
        <w:ind w:left="426" w:hanging="426"/>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t xml:space="preserve">See </w:t>
      </w:r>
      <w:r w:rsidRPr="002E4026">
        <w:rPr>
          <w:rFonts w:ascii="Helvetica" w:hAnsi="Helvetica" w:cs="Helvetica"/>
          <w:b/>
          <w:bCs/>
          <w:lang w:val="en-US"/>
        </w:rPr>
        <w:t xml:space="preserve">Meyer v Iscor Pension Fund </w:t>
      </w:r>
      <w:r w:rsidRPr="002E4026">
        <w:rPr>
          <w:rFonts w:ascii="Helvetica" w:hAnsi="Helvetica" w:cs="Helvetica"/>
          <w:i/>
          <w:iCs/>
          <w:lang w:val="en-US"/>
        </w:rPr>
        <w:t>supra</w:t>
      </w:r>
      <w:r w:rsidRPr="002E4026">
        <w:rPr>
          <w:rFonts w:ascii="Helvetica" w:hAnsi="Helvetica" w:cs="Helvetica"/>
          <w:lang w:val="en-US"/>
        </w:rPr>
        <w:t>.</w:t>
      </w:r>
    </w:p>
  </w:footnote>
  <w:footnote w:id="43">
    <w:p w14:paraId="035D5AB3" w14:textId="350537FF" w:rsidR="001017B7" w:rsidRPr="002E4026" w:rsidRDefault="001017B7" w:rsidP="008443D6">
      <w:pPr>
        <w:pStyle w:val="FootnoteText"/>
        <w:ind w:left="426" w:hanging="426"/>
        <w:rPr>
          <w:rFonts w:ascii="Helvetica" w:hAnsi="Helvetica" w:cs="Helvetica"/>
          <w:i/>
          <w:iCs/>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t xml:space="preserve">See </w:t>
      </w:r>
      <w:r w:rsidRPr="002E4026">
        <w:rPr>
          <w:rFonts w:ascii="Helvetica" w:hAnsi="Helvetica" w:cs="Helvetica"/>
          <w:b/>
          <w:bCs/>
          <w:lang w:val="en-US"/>
        </w:rPr>
        <w:t xml:space="preserve">De Beers Pension Fund </w:t>
      </w:r>
      <w:r w:rsidRPr="002E4026">
        <w:rPr>
          <w:rFonts w:ascii="Helvetica" w:hAnsi="Helvetica" w:cs="Helvetica"/>
          <w:i/>
          <w:iCs/>
          <w:lang w:val="en-US"/>
        </w:rPr>
        <w:t>supra.</w:t>
      </w:r>
    </w:p>
  </w:footnote>
  <w:footnote w:id="44">
    <w:p w14:paraId="016E8D3A" w14:textId="78F36334"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Plascon-Evans Paints Ltd v Van Riebeeck Paints (Pty) Ltd</w:t>
      </w:r>
      <w:r w:rsidRPr="002E4026">
        <w:rPr>
          <w:rFonts w:ascii="Helvetica" w:hAnsi="Helvetica" w:cs="Helvetica"/>
          <w:lang w:val="en-US"/>
        </w:rPr>
        <w:t xml:space="preserve"> </w:t>
      </w:r>
      <w:hyperlink r:id="rId14" w:tooltip="View LawCiteRecord" w:history="1">
        <w:r w:rsidRPr="002E4026">
          <w:rPr>
            <w:rStyle w:val="Hyperlink"/>
            <w:rFonts w:ascii="Helvetica" w:hAnsi="Helvetica" w:cs="Helvetica"/>
            <w:color w:val="auto"/>
            <w:u w:val="none"/>
            <w:lang w:val="en-US"/>
          </w:rPr>
          <w:t>1984 (3) SA 623</w:t>
        </w:r>
      </w:hyperlink>
      <w:r w:rsidRPr="002E4026">
        <w:rPr>
          <w:rFonts w:ascii="Helvetica" w:hAnsi="Helvetica" w:cs="Helvetica"/>
          <w:lang w:val="en-US"/>
        </w:rPr>
        <w:t xml:space="preserve"> (A).</w:t>
      </w:r>
    </w:p>
  </w:footnote>
  <w:footnote w:id="45">
    <w:p w14:paraId="13751A35" w14:textId="2C31C4B8" w:rsidR="001017B7" w:rsidRPr="002E4026" w:rsidRDefault="001017B7" w:rsidP="008A3778">
      <w:pPr>
        <w:pStyle w:val="FootnoteText"/>
        <w:tabs>
          <w:tab w:val="left" w:pos="0"/>
        </w:tabs>
        <w:ind w:left="426" w:right="-72" w:hanging="426"/>
        <w:jc w:val="both"/>
        <w:rPr>
          <w:rFonts w:ascii="Helvetica" w:hAnsi="Helvetica" w:cs="Helvetica"/>
          <w:lang w:val="en-GB"/>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Times New Roman" w:hAnsi="Helvetica" w:cs="Helvetica"/>
          <w:b/>
          <w:bCs/>
          <w:lang w:val="en-GB"/>
        </w:rPr>
        <w:t>Plascon-Evans</w:t>
      </w:r>
      <w:r w:rsidRPr="002E4026">
        <w:rPr>
          <w:rFonts w:ascii="Helvetica" w:eastAsia="Times New Roman" w:hAnsi="Helvetica" w:cs="Helvetica"/>
          <w:lang w:val="en-GB"/>
        </w:rPr>
        <w:t xml:space="preserve"> </w:t>
      </w:r>
      <w:r w:rsidRPr="002E4026">
        <w:rPr>
          <w:rFonts w:ascii="Helvetica" w:hAnsi="Helvetica" w:cs="Helvetica"/>
          <w:lang w:val="en-US"/>
        </w:rPr>
        <w:t xml:space="preserve">is the </w:t>
      </w:r>
      <w:r w:rsidRPr="002E4026">
        <w:rPr>
          <w:rFonts w:ascii="Helvetica" w:hAnsi="Helvetica" w:cs="Helvetica"/>
          <w:i/>
          <w:iCs/>
          <w:lang w:val="en-US"/>
        </w:rPr>
        <w:t xml:space="preserve">locus classicus </w:t>
      </w:r>
      <w:r w:rsidRPr="002E4026">
        <w:rPr>
          <w:rFonts w:ascii="Helvetica" w:hAnsi="Helvetica" w:cs="Helvetica"/>
          <w:lang w:val="en-US"/>
        </w:rPr>
        <w:t xml:space="preserve">for the factual enquiry test before a final order can be made in motion proceedings. The rule in </w:t>
      </w:r>
      <w:r w:rsidRPr="002E4026">
        <w:rPr>
          <w:rFonts w:ascii="Helvetica" w:hAnsi="Helvetica" w:cs="Helvetica"/>
          <w:b/>
          <w:bCs/>
          <w:lang w:val="en-US"/>
        </w:rPr>
        <w:t>Plascon-Evans</w:t>
      </w:r>
      <w:r w:rsidRPr="002E4026">
        <w:rPr>
          <w:rFonts w:ascii="Helvetica" w:hAnsi="Helvetica" w:cs="Helvetica"/>
          <w:lang w:val="en-US"/>
        </w:rPr>
        <w:t xml:space="preserve"> stipulates that when factual disputes arise in an application (i.e., motion proceedings), the relief sought by the applicant can only be granted if the facts stated by the respondent, together with the admitted facts in the applicant's affidavits, justify the order and, where it is clear that facts, though not formally admitted, cannot be denied, they must be regarded as admitted. More plainly or colloquially cast, </w:t>
      </w:r>
      <w:r w:rsidRPr="002E4026">
        <w:rPr>
          <w:rFonts w:ascii="Helvetica" w:hAnsi="Helvetica" w:cs="Helvetica"/>
          <w:lang w:val="en-GB"/>
        </w:rPr>
        <w:t xml:space="preserve">the </w:t>
      </w:r>
      <w:r w:rsidRPr="002E4026">
        <w:rPr>
          <w:rFonts w:ascii="Helvetica" w:hAnsi="Helvetica" w:cs="Helvetica"/>
          <w:b/>
          <w:lang w:val="en-GB"/>
        </w:rPr>
        <w:t>Plascon-Evans</w:t>
      </w:r>
      <w:r w:rsidRPr="002E4026">
        <w:rPr>
          <w:rFonts w:ascii="Helvetica" w:hAnsi="Helvetica" w:cs="Helvetica"/>
          <w:bCs/>
          <w:lang w:val="en-GB"/>
        </w:rPr>
        <w:t xml:space="preserve">’ </w:t>
      </w:r>
      <w:r w:rsidRPr="002E4026">
        <w:rPr>
          <w:rFonts w:ascii="Helvetica" w:hAnsi="Helvetica" w:cs="Helvetica"/>
          <w:lang w:val="en-GB"/>
        </w:rPr>
        <w:t>rule calls on a court to adjudicate an application on the assumption that the respondent's version is to be preferred to the applicant’s as the correct account of the episode wherever the two may differ. In the result and within the context of that stated above in</w:t>
      </w:r>
      <w:r w:rsidRPr="002E4026">
        <w:rPr>
          <w:rFonts w:ascii="Helvetica" w:hAnsi="Helvetica" w:cs="Helvetica"/>
          <w:b/>
          <w:bCs/>
          <w:lang w:val="en-US"/>
        </w:rPr>
        <w:t xml:space="preserve"> Meyer v Iscor Pension Fund</w:t>
      </w:r>
      <w:r w:rsidRPr="002E4026">
        <w:rPr>
          <w:rFonts w:ascii="Helvetica" w:hAnsi="Helvetica" w:cs="Helvetica"/>
          <w:lang w:val="en-GB"/>
        </w:rPr>
        <w:t xml:space="preserve">, a section 30P application must be decided, where there are disputes of fact (as there are), on the facts put up by the respondent’s and where final relief is sought.   </w:t>
      </w:r>
    </w:p>
  </w:footnote>
  <w:footnote w:id="46">
    <w:p w14:paraId="2A720EBA" w14:textId="20BFE3A2"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w:t>
      </w:r>
      <w:r w:rsidRPr="002E4026">
        <w:rPr>
          <w:rFonts w:ascii="Helvetica" w:hAnsi="Helvetica" w:cs="Helvetica"/>
          <w:b/>
          <w:bCs/>
          <w:lang w:val="en-US"/>
        </w:rPr>
        <w:t xml:space="preserve">Baron &amp; Jester v Eastern </w:t>
      </w:r>
      <w:r w:rsidRPr="002E4026">
        <w:rPr>
          <w:rFonts w:ascii="Helvetica" w:hAnsi="Helvetica" w:cs="Helvetica"/>
          <w:b/>
          <w:bCs/>
        </w:rPr>
        <w:t>Metropolitan</w:t>
      </w:r>
      <w:r w:rsidRPr="002E4026">
        <w:rPr>
          <w:rFonts w:ascii="Helvetica" w:hAnsi="Helvetica" w:cs="Helvetica"/>
          <w:b/>
          <w:bCs/>
          <w:lang w:val="en-US"/>
        </w:rPr>
        <w:t xml:space="preserve"> Local Council</w:t>
      </w:r>
      <w:r w:rsidRPr="002E4026">
        <w:rPr>
          <w:rFonts w:ascii="Helvetica" w:hAnsi="Helvetica" w:cs="Helvetica"/>
          <w:lang w:val="en-US"/>
        </w:rPr>
        <w:t xml:space="preserve"> 2002 (2) SA 248 (W) at 257.</w:t>
      </w:r>
    </w:p>
  </w:footnote>
  <w:footnote w:id="47">
    <w:p w14:paraId="7A610D6E" w14:textId="135D139D" w:rsidR="001017B7" w:rsidRPr="002E4026" w:rsidRDefault="001017B7" w:rsidP="008A3778">
      <w:pPr>
        <w:pStyle w:val="FootnoteText"/>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1999 (3) SA 798 (SCA) at 803A-C.</w:t>
      </w:r>
    </w:p>
  </w:footnote>
  <w:footnote w:id="48">
    <w:p w14:paraId="20BCF807" w14:textId="60E3C8A9"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2003 (1) SA 629 (W) at 633.</w:t>
      </w:r>
    </w:p>
  </w:footnote>
  <w:footnote w:id="49">
    <w:p w14:paraId="0C83F7A4" w14:textId="2970F8F3"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See, </w:t>
      </w:r>
      <w:r w:rsidRPr="002E4026">
        <w:rPr>
          <w:rFonts w:ascii="Helvetica" w:hAnsi="Helvetica" w:cs="Helvetica"/>
          <w:i/>
          <w:iCs/>
        </w:rPr>
        <w:t>inter-alia</w:t>
      </w:r>
      <w:r w:rsidRPr="002E4026">
        <w:rPr>
          <w:rFonts w:ascii="Helvetica" w:hAnsi="Helvetica" w:cs="Helvetica"/>
          <w:lang w:val="en-US"/>
        </w:rPr>
        <w:t xml:space="preserve">, </w:t>
      </w:r>
      <w:r w:rsidRPr="002E4026">
        <w:rPr>
          <w:rFonts w:ascii="Helvetica" w:hAnsi="Helvetica" w:cs="Helvetica"/>
          <w:b/>
          <w:bCs/>
          <w:lang w:val="en-US"/>
        </w:rPr>
        <w:t xml:space="preserve">In Mashazi v African Products Retirement Benefit Provident Fund </w:t>
      </w:r>
      <w:r w:rsidRPr="002E4026">
        <w:rPr>
          <w:rFonts w:ascii="Helvetica" w:hAnsi="Helvetica" w:cs="Helvetica"/>
          <w:lang w:val="en-US"/>
        </w:rPr>
        <w:t>2003 (1) SA 629 (W).</w:t>
      </w:r>
    </w:p>
  </w:footnote>
  <w:footnote w:id="50">
    <w:p w14:paraId="3DC012EA" w14:textId="19CE7D34"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b/>
          <w:bCs/>
          <w:lang w:val="en-US"/>
        </w:rPr>
        <w:t>Sithole v IC Provident Fund &amp; Another 2002 [4] BPLR 430 PFA</w:t>
      </w:r>
      <w:r w:rsidRPr="002E4026">
        <w:rPr>
          <w:rFonts w:ascii="Helvetica" w:hAnsi="Helvetica" w:cs="Helvetica"/>
          <w:lang w:val="en-US"/>
        </w:rPr>
        <w:t xml:space="preserve"> at paras [24] to [25] where certain factors are listed, albeit this is not a closed list.</w:t>
      </w:r>
    </w:p>
  </w:footnote>
  <w:footnote w:id="51">
    <w:p w14:paraId="0CA267AA" w14:textId="518FE2A9"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Municipal Workers Retirement Fund v Mabula</w:t>
      </w:r>
      <w:r w:rsidRPr="002E4026">
        <w:rPr>
          <w:rFonts w:ascii="Helvetica" w:hAnsi="Helvetica" w:cs="Helvetica"/>
          <w:lang w:val="en-US"/>
        </w:rPr>
        <w:t xml:space="preserve"> 2017 JDR 2056 (GP) at para [9].</w:t>
      </w:r>
    </w:p>
  </w:footnote>
  <w:footnote w:id="52">
    <w:p w14:paraId="651CEB9D" w14:textId="77777777" w:rsidR="001017B7" w:rsidRPr="002E4026" w:rsidRDefault="001017B7" w:rsidP="00D73E71">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the High Court </w:t>
      </w:r>
      <w:r w:rsidRPr="002E4026">
        <w:rPr>
          <w:rFonts w:ascii="Helvetica" w:hAnsi="Helvetica" w:cs="Helvetica"/>
          <w:lang w:val="en-US"/>
        </w:rPr>
        <w:t>decision</w:t>
      </w:r>
      <w:r w:rsidRPr="002E4026">
        <w:rPr>
          <w:rFonts w:ascii="Helvetica" w:hAnsi="Helvetica" w:cs="Helvetica"/>
        </w:rPr>
        <w:t xml:space="preserve"> </w:t>
      </w:r>
      <w:r w:rsidRPr="002E4026">
        <w:rPr>
          <w:rFonts w:ascii="Helvetica" w:hAnsi="Helvetica" w:cs="Helvetica"/>
          <w:lang w:val="en-US"/>
        </w:rPr>
        <w:t>[2007] 2 BPLR 174 (C) at para [152].</w:t>
      </w:r>
    </w:p>
  </w:footnote>
  <w:footnote w:id="53">
    <w:p w14:paraId="2187D71B" w14:textId="77777777" w:rsidR="001017B7" w:rsidRPr="002E4026" w:rsidRDefault="001017B7" w:rsidP="00D73E71">
      <w:pPr>
        <w:pStyle w:val="FootnoteText"/>
        <w:tabs>
          <w:tab w:val="left" w:pos="0"/>
          <w:tab w:val="left" w:pos="27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w:t>
      </w:r>
      <w:r w:rsidRPr="002E4026">
        <w:rPr>
          <w:rFonts w:ascii="Helvetica" w:hAnsi="Helvetica" w:cs="Helvetica"/>
        </w:rPr>
        <w:tab/>
      </w:r>
      <w:r w:rsidRPr="002E4026">
        <w:rPr>
          <w:rFonts w:ascii="Helvetica" w:hAnsi="Helvetica" w:cs="Helvetica"/>
        </w:rPr>
        <w:tab/>
        <w:t xml:space="preserve">(48743/16) [2017] ZAGPPHC 1246 (13 December 2017) at para [18] </w:t>
      </w:r>
      <w:hyperlink r:id="rId15" w:history="1">
        <w:r w:rsidRPr="002E4026">
          <w:rPr>
            <w:rStyle w:val="Hyperlink"/>
            <w:rFonts w:ascii="Helvetica" w:hAnsi="Helvetica" w:cs="Helvetica"/>
            <w:color w:val="auto"/>
          </w:rPr>
          <w:t>http://www.saflii.org/za/cases/ZAGPPHC/2017/1246.html</w:t>
        </w:r>
      </w:hyperlink>
      <w:r w:rsidRPr="002E4026">
        <w:rPr>
          <w:rFonts w:ascii="Helvetica" w:hAnsi="Helvetica" w:cs="Helvetica"/>
        </w:rPr>
        <w:t>.</w:t>
      </w:r>
    </w:p>
  </w:footnote>
  <w:footnote w:id="54">
    <w:p w14:paraId="7353DDF4" w14:textId="77777777" w:rsidR="001017B7" w:rsidRPr="002E4026" w:rsidRDefault="001017B7" w:rsidP="0022276F">
      <w:pPr>
        <w:pStyle w:val="FootnoteText"/>
        <w:ind w:left="426" w:hanging="426"/>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r>
      <w:r w:rsidRPr="002E4026">
        <w:rPr>
          <w:rFonts w:ascii="Helvetica" w:hAnsi="Helvetica" w:cs="Helvetica"/>
          <w:b/>
          <w:bCs/>
          <w:lang w:val="en-US"/>
        </w:rPr>
        <w:t xml:space="preserve">Mashazi </w:t>
      </w:r>
      <w:r w:rsidRPr="002E4026">
        <w:rPr>
          <w:rFonts w:ascii="Helvetica" w:hAnsi="Helvetica" w:cs="Helvetica"/>
          <w:i/>
          <w:iCs/>
          <w:lang w:val="en-US"/>
        </w:rPr>
        <w:t>supra</w:t>
      </w:r>
      <w:r w:rsidRPr="002E4026">
        <w:rPr>
          <w:rFonts w:ascii="Helvetica" w:hAnsi="Helvetica" w:cs="Helvetica"/>
          <w:lang w:val="en-US"/>
        </w:rPr>
        <w:t>.</w:t>
      </w:r>
    </w:p>
  </w:footnote>
  <w:footnote w:id="55">
    <w:p w14:paraId="7376CDDA" w14:textId="77777777" w:rsidR="001017B7" w:rsidRPr="002E4026" w:rsidRDefault="001017B7" w:rsidP="00D73E71">
      <w:pPr>
        <w:pStyle w:val="FootnoteText"/>
        <w:tabs>
          <w:tab w:val="left" w:pos="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rPr>
        <w:t>Mbatha v Transport Sector Retirement Fund Mbatha v Transport Sector Retirement Fund and Another</w:t>
      </w:r>
      <w:r w:rsidRPr="002E4026">
        <w:rPr>
          <w:rFonts w:ascii="Helvetica" w:hAnsi="Helvetica" w:cs="Helvetica"/>
        </w:rPr>
        <w:t xml:space="preserve"> (0016223/19) [2020] ZAGPJHC 18 (19 February 2020), an unreported judgement of Meyer J</w:t>
      </w:r>
      <w:r w:rsidRPr="002E4026">
        <w:rPr>
          <w:rFonts w:ascii="Helvetica" w:hAnsi="Helvetica" w:cs="Helvetica"/>
          <w:lang w:val="en-US"/>
        </w:rPr>
        <w:t xml:space="preserve"> </w:t>
      </w:r>
      <w:r w:rsidRPr="002E4026">
        <w:rPr>
          <w:rFonts w:ascii="Helvetica" w:hAnsi="Helvetica" w:cs="Helvetica"/>
        </w:rPr>
        <w:t xml:space="preserve"> </w:t>
      </w:r>
      <w:hyperlink r:id="rId16" w:history="1">
        <w:r w:rsidRPr="002E4026">
          <w:rPr>
            <w:rStyle w:val="Hyperlink"/>
            <w:rFonts w:ascii="Helvetica" w:hAnsi="Helvetica" w:cs="Helvetica"/>
            <w:color w:val="auto"/>
            <w:u w:val="none"/>
            <w:lang w:val="en-US"/>
          </w:rPr>
          <w:t>http://www.saflii.org/za/cases/ZAGPJHC/2020/18.html</w:t>
        </w:r>
      </w:hyperlink>
      <w:r w:rsidRPr="002E4026">
        <w:rPr>
          <w:rStyle w:val="Hyperlink"/>
          <w:rFonts w:ascii="Helvetica" w:hAnsi="Helvetica" w:cs="Helvetica"/>
          <w:color w:val="auto"/>
          <w:u w:val="none"/>
          <w:lang w:val="en-US"/>
        </w:rPr>
        <w:t>.</w:t>
      </w:r>
      <w:r w:rsidRPr="002E4026">
        <w:rPr>
          <w:rFonts w:ascii="Helvetica" w:hAnsi="Helvetica" w:cs="Helvetica"/>
          <w:lang w:val="en-US"/>
        </w:rPr>
        <w:t xml:space="preserve"> </w:t>
      </w:r>
    </w:p>
  </w:footnote>
  <w:footnote w:id="56">
    <w:p w14:paraId="2FC419E9" w14:textId="77777777" w:rsidR="001017B7" w:rsidRPr="002E4026" w:rsidRDefault="001017B7" w:rsidP="00D73E71">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the Adjudicator's decision in </w:t>
      </w:r>
      <w:r w:rsidRPr="002E4026">
        <w:rPr>
          <w:rFonts w:ascii="Helvetica" w:hAnsi="Helvetica" w:cs="Helvetica"/>
          <w:b/>
          <w:bCs/>
          <w:lang w:val="en-US"/>
        </w:rPr>
        <w:t>Sithole v ICS Provident Fund</w:t>
      </w:r>
      <w:r w:rsidRPr="002E4026">
        <w:rPr>
          <w:rFonts w:ascii="Helvetica" w:hAnsi="Helvetica" w:cs="Helvetica"/>
          <w:lang w:val="en-US"/>
        </w:rPr>
        <w:t xml:space="preserve"> [2000] 4 BPLR 430 (PFA). The deceased member was survived by a spouse and three children. The adjudicator overturned the board’s decision to pay the benefit to the deceased's grandmother because, in terms of customary law, she was the head of the household. The grandmother was also the sole nominee. </w:t>
      </w:r>
    </w:p>
  </w:footnote>
  <w:footnote w:id="57">
    <w:p w14:paraId="1122C0E9" w14:textId="77777777" w:rsidR="001017B7" w:rsidRPr="002E4026" w:rsidRDefault="001017B7" w:rsidP="00D73E71">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The fact that the parties have entered into a settlement agreement confirming the distribution of the benefit does not override the legal duties imposed by section 37C. </w:t>
      </w:r>
      <w:r w:rsidRPr="002E4026">
        <w:rPr>
          <w:rFonts w:ascii="Helvetica" w:hAnsi="Helvetica" w:cs="Helvetica"/>
        </w:rPr>
        <w:t xml:space="preserve">See the Adjudicator's determinations in </w:t>
      </w:r>
      <w:r w:rsidRPr="002E4026">
        <w:rPr>
          <w:rFonts w:ascii="Helvetica" w:hAnsi="Helvetica" w:cs="Helvetica"/>
          <w:b/>
          <w:bCs/>
          <w:lang w:val="en-US"/>
        </w:rPr>
        <w:t>Matene v Noordberg Group Life Assurance Scheme (2)</w:t>
      </w:r>
      <w:r w:rsidRPr="002E4026">
        <w:rPr>
          <w:rFonts w:ascii="Helvetica" w:hAnsi="Helvetica" w:cs="Helvetica"/>
          <w:lang w:val="en-US"/>
        </w:rPr>
        <w:t xml:space="preserve"> [2001] 2 BPLR 4788 (PFA) and </w:t>
      </w:r>
      <w:r w:rsidRPr="002E4026">
        <w:rPr>
          <w:rFonts w:ascii="Helvetica" w:hAnsi="Helvetica" w:cs="Helvetica"/>
          <w:b/>
          <w:bCs/>
          <w:lang w:val="en-US"/>
        </w:rPr>
        <w:t>Brummer v CSIR Pension Fund and Another</w:t>
      </w:r>
      <w:r w:rsidRPr="002E4026">
        <w:rPr>
          <w:rFonts w:ascii="Helvetica" w:hAnsi="Helvetica" w:cs="Helvetica"/>
          <w:lang w:val="en-US"/>
        </w:rPr>
        <w:t xml:space="preserve"> (2005) 10 BPLR 797 (PFA). </w:t>
      </w:r>
    </w:p>
  </w:footnote>
  <w:footnote w:id="58">
    <w:p w14:paraId="5DFB879A" w14:textId="6E27D4DE"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Whilst I do </w:t>
      </w:r>
      <w:r w:rsidRPr="002E4026">
        <w:rPr>
          <w:rFonts w:ascii="Helvetica" w:hAnsi="Helvetica" w:cs="Helvetica"/>
        </w:rPr>
        <w:t>not</w:t>
      </w:r>
      <w:r w:rsidRPr="002E4026">
        <w:rPr>
          <w:rFonts w:ascii="Helvetica" w:hAnsi="Helvetica" w:cs="Helvetica"/>
          <w:lang w:val="en-US"/>
        </w:rPr>
        <w:t xml:space="preserve"> recount and traverse all the of appellants’ grounds of appeal, accompanying appeal submissions and appeal arguments in this judgement advanced on behalf of the appellants and the respondent's, I nevertheless have had due and full regard to, and considered, all of them in determining this appeal. </w:t>
      </w:r>
    </w:p>
  </w:footnote>
  <w:footnote w:id="59">
    <w:p w14:paraId="0B3A5A4C" w14:textId="686515CF"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1999 (4) SA 346 (W) at 349G-H.</w:t>
      </w:r>
    </w:p>
  </w:footnote>
  <w:footnote w:id="60">
    <w:p w14:paraId="3D5AC1EC" w14:textId="79CEEE02"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HGMaruGothicMPRO" w:hAnsi="Helvetica" w:cs="Helvetica"/>
        </w:rPr>
        <w:t>1962 (1) SA 785 (A) at 791C–E.</w:t>
      </w:r>
    </w:p>
  </w:footnote>
  <w:footnote w:id="61">
    <w:p w14:paraId="0BCEB3FD" w14:textId="128DB4D8"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1949 (3) SA 226 (D).</w:t>
      </w:r>
    </w:p>
  </w:footnote>
  <w:footnote w:id="62">
    <w:p w14:paraId="235E48A0" w14:textId="47A17E05" w:rsidR="001017B7" w:rsidRPr="002E4026" w:rsidRDefault="001017B7" w:rsidP="008A3778">
      <w:pPr>
        <w:pStyle w:val="FootnoteText"/>
        <w:tabs>
          <w:tab w:val="left" w:pos="72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2020 (5) SA 49 (SCA).</w:t>
      </w:r>
    </w:p>
  </w:footnote>
  <w:footnote w:id="63">
    <w:p w14:paraId="4B832302" w14:textId="196C5BD6" w:rsidR="001017B7" w:rsidRPr="002E4026" w:rsidRDefault="001017B7" w:rsidP="008A3778">
      <w:pPr>
        <w:pStyle w:val="FootnoteText"/>
        <w:tabs>
          <w:tab w:val="left" w:pos="720"/>
        </w:tabs>
        <w:ind w:left="426" w:right="-72" w:hanging="426"/>
        <w:jc w:val="both"/>
        <w:rPr>
          <w:rFonts w:ascii="Helvetica" w:hAnsi="Helvetica" w:cs="Helvetica"/>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Section 13 of the PFA reads: </w:t>
      </w:r>
    </w:p>
    <w:p w14:paraId="00E2EB95" w14:textId="3725A212" w:rsidR="001017B7" w:rsidRPr="002E4026" w:rsidRDefault="001017B7" w:rsidP="008A3778">
      <w:pPr>
        <w:pStyle w:val="FootnoteText"/>
        <w:ind w:left="1276" w:right="-72" w:hanging="556"/>
        <w:jc w:val="both"/>
        <w:rPr>
          <w:rFonts w:ascii="Helvetica" w:hAnsi="Helvetica" w:cs="Helvetica"/>
          <w:i/>
          <w:iCs/>
        </w:rPr>
      </w:pPr>
      <w:r w:rsidRPr="002E4026">
        <w:rPr>
          <w:rFonts w:ascii="Helvetica" w:hAnsi="Helvetica" w:cs="Helvetica"/>
        </w:rPr>
        <w:t>“</w:t>
      </w:r>
      <w:r w:rsidRPr="002E4026">
        <w:rPr>
          <w:rFonts w:ascii="Helvetica" w:hAnsi="Helvetica" w:cs="Helvetica"/>
          <w:i/>
          <w:iCs/>
        </w:rPr>
        <w:t>13.</w:t>
      </w:r>
      <w:r w:rsidRPr="002E4026">
        <w:rPr>
          <w:rFonts w:ascii="Helvetica" w:hAnsi="Helvetica" w:cs="Helvetica"/>
          <w:i/>
          <w:iCs/>
        </w:rPr>
        <w:tab/>
        <w:t xml:space="preserve">Binding force of rules </w:t>
      </w:r>
    </w:p>
    <w:p w14:paraId="1C745D2B" w14:textId="3345D6DA" w:rsidR="001017B7" w:rsidRPr="002E4026" w:rsidRDefault="001017B7" w:rsidP="008A3778">
      <w:pPr>
        <w:pStyle w:val="FootnoteText"/>
        <w:ind w:left="1276" w:right="-72" w:firstLine="0"/>
        <w:jc w:val="both"/>
        <w:rPr>
          <w:rFonts w:ascii="Helvetica" w:hAnsi="Helvetica" w:cs="Helvetica"/>
          <w:lang w:val="en-US"/>
        </w:rPr>
      </w:pPr>
      <w:r w:rsidRPr="002E4026">
        <w:rPr>
          <w:rFonts w:ascii="Helvetica" w:hAnsi="Helvetica" w:cs="Helvetica"/>
          <w:i/>
          <w:iCs/>
        </w:rPr>
        <w:t>Subject to the provisions of this Act, the rules of a registered fund shall be binding on the fund and the members, shareholders and officers thereof, and on any person who claims under the rules or whose claim is derived from a person so claiming</w:t>
      </w:r>
      <w:r w:rsidRPr="002E4026">
        <w:rPr>
          <w:rFonts w:ascii="Helvetica" w:hAnsi="Helvetica" w:cs="Helvetica"/>
        </w:rPr>
        <w:t>.”</w:t>
      </w:r>
    </w:p>
  </w:footnote>
  <w:footnote w:id="64">
    <w:p w14:paraId="6F9CB1D0" w14:textId="323C4293"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 xml:space="preserve">In </w:t>
      </w:r>
      <w:r w:rsidRPr="002E4026">
        <w:rPr>
          <w:rFonts w:ascii="Helvetica" w:hAnsi="Helvetica" w:cs="Helvetica"/>
          <w:b/>
          <w:bCs/>
          <w:lang w:val="en-US"/>
        </w:rPr>
        <w:t xml:space="preserve">Mashazi v African Products Retirement Benefit Provident Fund </w:t>
      </w:r>
      <w:r w:rsidRPr="002E4026">
        <w:rPr>
          <w:rFonts w:ascii="Helvetica" w:hAnsi="Helvetica" w:cs="Helvetica"/>
          <w:i/>
          <w:iCs/>
          <w:lang w:val="en-US"/>
        </w:rPr>
        <w:t>supra</w:t>
      </w:r>
      <w:r w:rsidRPr="002E4026">
        <w:rPr>
          <w:rFonts w:ascii="Helvetica" w:hAnsi="Helvetica" w:cs="Helvetica"/>
          <w:lang w:val="en-US"/>
        </w:rPr>
        <w:t xml:space="preserve"> at 633.</w:t>
      </w:r>
    </w:p>
  </w:footnote>
  <w:footnote w:id="65">
    <w:p w14:paraId="58B2D7A8" w14:textId="5ED89F49"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b/>
          <w:bCs/>
          <w:lang w:val="en-US"/>
        </w:rPr>
        <w:t>Tek Corporation Provident Fund v Lorentz</w:t>
      </w:r>
      <w:r w:rsidRPr="002E4026">
        <w:rPr>
          <w:rFonts w:ascii="Helvetica" w:hAnsi="Helvetica" w:cs="Helvetica"/>
          <w:lang w:val="en-US"/>
        </w:rPr>
        <w:t xml:space="preserve"> 1999 (4) SA 884 (SCA).</w:t>
      </w:r>
    </w:p>
  </w:footnote>
  <w:footnote w:id="66">
    <w:p w14:paraId="0CBCBF1E" w14:textId="3976CFA1"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i/>
          <w:iCs/>
        </w:rPr>
        <w:t>Supra</w:t>
      </w:r>
      <w:r w:rsidRPr="002E4026">
        <w:rPr>
          <w:rFonts w:ascii="Helvetica" w:hAnsi="Helvetica" w:cs="Helvetica"/>
        </w:rPr>
        <w:t xml:space="preserve">. </w:t>
      </w:r>
    </w:p>
  </w:footnote>
  <w:footnote w:id="67">
    <w:p w14:paraId="3FFCA5DC" w14:textId="2817669F"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i/>
          <w:iCs/>
        </w:rPr>
        <w:t>Supra</w:t>
      </w:r>
      <w:r w:rsidRPr="002E4026">
        <w:rPr>
          <w:rFonts w:ascii="Helvetica" w:hAnsi="Helvetica" w:cs="Helvetica"/>
        </w:rPr>
        <w:t>.</w:t>
      </w:r>
    </w:p>
  </w:footnote>
  <w:footnote w:id="68">
    <w:p w14:paraId="3002124A" w14:textId="44218C5D"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i/>
          <w:iCs/>
          <w:lang w:val="en-US"/>
        </w:rPr>
        <w:t>Supra.</w:t>
      </w:r>
    </w:p>
  </w:footnote>
  <w:footnote w:id="69">
    <w:p w14:paraId="5A846C69" w14:textId="5612AF71"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i/>
          <w:iCs/>
          <w:lang w:val="en-US"/>
        </w:rPr>
        <w:t>Supra.</w:t>
      </w:r>
    </w:p>
  </w:footnote>
  <w:footnote w:id="70">
    <w:p w14:paraId="2658F8EE" w14:textId="30A5112D"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Times New Roman" w:hAnsi="Helvetica" w:cs="Helvetica"/>
          <w:lang w:eastAsia="en-ZA"/>
        </w:rPr>
        <w:t>2017 (2) SA 622 (CC).</w:t>
      </w:r>
    </w:p>
  </w:footnote>
  <w:footnote w:id="71">
    <w:p w14:paraId="7528EA6A" w14:textId="63DEE6EC"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Gilbey Distillers &amp; Vintners (Pty) Ltd v Morris NO</w:t>
      </w:r>
      <w:r w:rsidRPr="002E4026">
        <w:rPr>
          <w:rFonts w:ascii="Helvetica" w:hAnsi="Helvetica" w:cs="Helvetica"/>
          <w:lang w:val="en-US"/>
        </w:rPr>
        <w:t xml:space="preserve"> 1990 (2) SA 217 (SE).</w:t>
      </w:r>
    </w:p>
  </w:footnote>
  <w:footnote w:id="72">
    <w:p w14:paraId="3DB5EA7B" w14:textId="794DCC8A"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Courtney-Clarke v Bassingthwaighte</w:t>
      </w:r>
      <w:r w:rsidRPr="002E4026">
        <w:rPr>
          <w:rFonts w:ascii="Helvetica" w:hAnsi="Helvetica" w:cs="Helvetica"/>
          <w:i/>
          <w:iCs/>
          <w:lang w:val="en-US"/>
        </w:rPr>
        <w:t xml:space="preserve"> </w:t>
      </w:r>
      <w:r w:rsidRPr="002E4026">
        <w:rPr>
          <w:rFonts w:ascii="Helvetica" w:hAnsi="Helvetica" w:cs="Helvetica"/>
          <w:lang w:val="en-US"/>
        </w:rPr>
        <w:t>1991 (1) SA 684 (Nm) at 689.</w:t>
      </w:r>
    </w:p>
  </w:footnote>
  <w:footnote w:id="73">
    <w:p w14:paraId="13F0D69B" w14:textId="38ACBE0C" w:rsidR="001017B7" w:rsidRPr="002E4026" w:rsidRDefault="001017B7" w:rsidP="008A3778">
      <w:pPr>
        <w:pStyle w:val="FootnoteText"/>
        <w:ind w:left="426" w:right="-72" w:hanging="426"/>
        <w:jc w:val="both"/>
        <w:rPr>
          <w:rFonts w:ascii="Helvetica" w:eastAsia="Calibri"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Calibri" w:hAnsi="Helvetica" w:cs="Helvetica"/>
          <w:lang w:val="en-US"/>
        </w:rPr>
        <w:t xml:space="preserve">In </w:t>
      </w:r>
      <w:r w:rsidRPr="002E4026">
        <w:rPr>
          <w:rFonts w:ascii="Helvetica" w:eastAsia="Calibri" w:hAnsi="Helvetica" w:cs="Helvetica"/>
          <w:b/>
          <w:bCs/>
          <w:lang w:val="en-US"/>
        </w:rPr>
        <w:t>Unilever Bestfoods Robertsons (Pty) Ltd v Soomai &amp; another</w:t>
      </w:r>
      <w:r w:rsidRPr="002E4026">
        <w:rPr>
          <w:rFonts w:ascii="Helvetica" w:eastAsia="Calibri" w:hAnsi="Helvetica" w:cs="Helvetica"/>
          <w:lang w:val="en-US"/>
        </w:rPr>
        <w:t xml:space="preserve"> 2007 (2) SA 347 (SCA) at 359F-H, Farlam JA succinctly put it as follows: “</w:t>
      </w:r>
      <w:r w:rsidRPr="002E4026">
        <w:rPr>
          <w:rFonts w:ascii="Helvetica" w:eastAsia="Calibri" w:hAnsi="Helvetica" w:cs="Helvetica"/>
          <w:i/>
          <w:iCs/>
          <w:lang w:val="en-US"/>
        </w:rPr>
        <w:t>What prescribes in terms of the Prescription Act . . . is a ‘debt’, that is to say, not a ‘cause of action’, but a ‘claim’</w:t>
      </w:r>
      <w:r w:rsidRPr="002E4026">
        <w:rPr>
          <w:rFonts w:ascii="Helvetica" w:eastAsia="Calibri" w:hAnsi="Helvetica" w:cs="Helvetica"/>
          <w:lang w:val="en-US"/>
        </w:rPr>
        <w:t>”.</w:t>
      </w:r>
    </w:p>
  </w:footnote>
  <w:footnote w:id="74">
    <w:p w14:paraId="09BDE281" w14:textId="6C6A02EE" w:rsidR="001017B7" w:rsidRPr="002E4026" w:rsidRDefault="001017B7" w:rsidP="006F7494">
      <w:pPr>
        <w:pStyle w:val="FootnoteText"/>
        <w:ind w:left="426" w:hanging="426"/>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lang w:val="en-US"/>
        </w:rPr>
        <w:t>1978 (1) SA 821 (A).</w:t>
      </w:r>
    </w:p>
  </w:footnote>
  <w:footnote w:id="75">
    <w:p w14:paraId="20FAA16D" w14:textId="44BA1DFE"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i/>
          <w:iCs/>
        </w:rPr>
        <w:t>inter-alia</w:t>
      </w:r>
      <w:r w:rsidRPr="002E4026">
        <w:rPr>
          <w:rFonts w:ascii="Helvetica" w:hAnsi="Helvetica" w:cs="Helvetica"/>
        </w:rPr>
        <w:t xml:space="preserve">, </w:t>
      </w:r>
      <w:r w:rsidRPr="002E4026">
        <w:rPr>
          <w:rFonts w:ascii="Helvetica" w:hAnsi="Helvetica" w:cs="Helvetica"/>
          <w:b/>
          <w:bCs/>
          <w:lang w:val="en-US"/>
        </w:rPr>
        <w:t>Truter &amp; another v Deysel</w:t>
      </w:r>
      <w:r w:rsidRPr="002E4026">
        <w:rPr>
          <w:rFonts w:ascii="Helvetica" w:hAnsi="Helvetica" w:cs="Helvetica"/>
          <w:lang w:val="en-US"/>
        </w:rPr>
        <w:t xml:space="preserve"> 2006 (4) SA 168 (SCA) at para [15] and </w:t>
      </w:r>
      <w:r w:rsidRPr="002E4026">
        <w:rPr>
          <w:rFonts w:ascii="Helvetica" w:hAnsi="Helvetica" w:cs="Helvetica"/>
          <w:b/>
          <w:bCs/>
          <w:lang w:val="en-US"/>
        </w:rPr>
        <w:t>Standard Bank of South Africa Ltd v Miracle Mile Investments 67 (Pty) Ltd &amp; another</w:t>
      </w:r>
      <w:r w:rsidRPr="002E4026">
        <w:rPr>
          <w:rFonts w:ascii="Helvetica" w:hAnsi="Helvetica" w:cs="Helvetica"/>
          <w:lang w:val="en-US"/>
        </w:rPr>
        <w:t xml:space="preserve"> 2017 (1) SA 185 (SCA) at para [24].</w:t>
      </w:r>
    </w:p>
  </w:footnote>
  <w:footnote w:id="76">
    <w:p w14:paraId="2C93E1EE" w14:textId="34D07099"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eastAsia="Calibri" w:hAnsi="Helvetica" w:cs="Helvetica"/>
          <w:lang w:val="en-US"/>
        </w:rPr>
        <w:t>1983 (1) SA 986 (A) at 1004A-1005H.</w:t>
      </w:r>
    </w:p>
  </w:footnote>
  <w:footnote w:id="77">
    <w:p w14:paraId="5578C4C0" w14:textId="2897493A"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2014 (5) SA 16 (SCA) at para [64].</w:t>
      </w:r>
    </w:p>
  </w:footnote>
  <w:footnote w:id="78">
    <w:p w14:paraId="4F23F461" w14:textId="398A3782"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See, for example,</w:t>
      </w:r>
      <w:r w:rsidRPr="002E4026">
        <w:rPr>
          <w:rFonts w:ascii="Helvetica" w:hAnsi="Helvetica" w:cs="Helvetica"/>
          <w:b/>
          <w:bCs/>
        </w:rPr>
        <w:t xml:space="preserve"> Neotel (Pty) Ltd v Telkom SA Soc Ltd and Others</w:t>
      </w:r>
      <w:r w:rsidRPr="002E4026">
        <w:rPr>
          <w:rFonts w:ascii="Helvetica" w:hAnsi="Helvetica" w:cs="Helvetica"/>
        </w:rPr>
        <w:t xml:space="preserve"> (605/2016) [2017] ZASCA 47 (31 March 2017).</w:t>
      </w:r>
    </w:p>
  </w:footnote>
  <w:footnote w:id="79">
    <w:p w14:paraId="117924A7" w14:textId="0A069B09" w:rsidR="001017B7" w:rsidRPr="002E4026" w:rsidRDefault="001017B7" w:rsidP="008A3778">
      <w:pPr>
        <w:pStyle w:val="FootnoteText"/>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the full bench decision in </w:t>
      </w:r>
      <w:r w:rsidRPr="002E4026">
        <w:rPr>
          <w:rFonts w:ascii="Helvetica" w:hAnsi="Helvetica" w:cs="Helvetica"/>
          <w:b/>
          <w:bCs/>
          <w:lang w:val="en-GB"/>
        </w:rPr>
        <w:t xml:space="preserve">Rosebank Mall (Pty) Ltd </w:t>
      </w:r>
      <w:r w:rsidRPr="002E4026">
        <w:rPr>
          <w:rFonts w:ascii="Helvetica" w:hAnsi="Helvetica" w:cs="Helvetica"/>
          <w:b/>
          <w:bCs/>
          <w:lang w:val="en-US"/>
        </w:rPr>
        <w:t>and Another v Cradock Heights (Pty) Ltd</w:t>
      </w:r>
      <w:r w:rsidRPr="002E4026">
        <w:rPr>
          <w:rFonts w:ascii="Helvetica" w:hAnsi="Helvetica" w:cs="Helvetica"/>
          <w:lang w:val="en-US"/>
        </w:rPr>
        <w:t xml:space="preserve"> 2004 (2) SA 353 (W).</w:t>
      </w:r>
    </w:p>
  </w:footnote>
  <w:footnote w:id="80">
    <w:p w14:paraId="31409BE5" w14:textId="2DC36D5F"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r>
      <w:r w:rsidRPr="002E4026">
        <w:rPr>
          <w:rFonts w:ascii="Helvetica" w:hAnsi="Helvetica" w:cs="Helvetica"/>
          <w:b/>
          <w:bCs/>
          <w:lang w:val="en-US"/>
        </w:rPr>
        <w:t>Koekemoer v Parity Insurance Company Ltd &amp; another</w:t>
      </w:r>
      <w:r w:rsidRPr="002E4026">
        <w:rPr>
          <w:rFonts w:ascii="Helvetica" w:hAnsi="Helvetica" w:cs="Helvetica"/>
          <w:lang w:val="en-US"/>
        </w:rPr>
        <w:t xml:space="preserve"> 1964 (4) SA 138 (T) at 144F-145.</w:t>
      </w:r>
    </w:p>
  </w:footnote>
  <w:footnote w:id="81">
    <w:p w14:paraId="715AB966" w14:textId="3D47AF5A"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lang w:val="en-US"/>
        </w:rPr>
        <w:tab/>
        <w:t>1999 (2) SA 1045 (SCA at para [25].</w:t>
      </w:r>
    </w:p>
  </w:footnote>
  <w:footnote w:id="82">
    <w:p w14:paraId="03936D94" w14:textId="48BFF85C"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b/>
          <w:bCs/>
          <w:lang w:val="en-US"/>
        </w:rPr>
        <w:t>Nel v Waterberg Landbouwers v Ko-operatiewe Vereeniging</w:t>
      </w:r>
      <w:r w:rsidRPr="002E4026">
        <w:rPr>
          <w:rFonts w:ascii="Helvetica" w:hAnsi="Helvetica" w:cs="Helvetica"/>
          <w:lang w:val="en-US"/>
        </w:rPr>
        <w:t xml:space="preserve"> 1946 (1) AD 597 at 607.</w:t>
      </w:r>
    </w:p>
  </w:footnote>
  <w:footnote w:id="83">
    <w:p w14:paraId="652812B9" w14:textId="75B8AC89" w:rsidR="001017B7" w:rsidRPr="002E4026" w:rsidRDefault="001017B7" w:rsidP="008A3778">
      <w:pPr>
        <w:pStyle w:val="FootnoteText"/>
        <w:tabs>
          <w:tab w:val="left" w:pos="0"/>
        </w:tabs>
        <w:ind w:left="426" w:right="-72" w:hanging="426"/>
        <w:jc w:val="both"/>
        <w:rPr>
          <w:rFonts w:ascii="Helvetica" w:hAnsi="Helvetica" w:cs="Helvetica"/>
          <w:lang w:val="en-US"/>
        </w:rPr>
      </w:pPr>
      <w:r w:rsidRPr="002E4026">
        <w:rPr>
          <w:rStyle w:val="FootnoteReference"/>
          <w:rFonts w:ascii="Helvetica" w:hAnsi="Helvetica" w:cs="Helvetica"/>
        </w:rPr>
        <w:footnoteRef/>
      </w:r>
      <w:r w:rsidRPr="002E4026">
        <w:rPr>
          <w:rFonts w:ascii="Helvetica" w:hAnsi="Helvetica" w:cs="Helvetica"/>
        </w:rPr>
        <w:t xml:space="preserve"> </w:t>
      </w:r>
      <w:r w:rsidRPr="002E4026">
        <w:rPr>
          <w:rFonts w:ascii="Helvetica" w:hAnsi="Helvetica" w:cs="Helvetica"/>
        </w:rPr>
        <w:tab/>
        <w:t xml:space="preserve">See </w:t>
      </w:r>
      <w:r w:rsidRPr="002E4026">
        <w:rPr>
          <w:rFonts w:ascii="Helvetica" w:hAnsi="Helvetica" w:cs="Helvetica"/>
          <w:b/>
          <w:bCs/>
          <w:lang w:val="en-US"/>
        </w:rPr>
        <w:t>AA Alloy Foundry (Pty) Ltd v Titaco Projects (Pty) Ltd</w:t>
      </w:r>
      <w:r w:rsidRPr="002E4026">
        <w:rPr>
          <w:rFonts w:ascii="Helvetica" w:hAnsi="Helvetica" w:cs="Helvetica"/>
          <w:lang w:val="en-US"/>
        </w:rPr>
        <w:t xml:space="preserve"> (1) SA 639 (SCA) at 648 E-I and </w:t>
      </w:r>
      <w:r w:rsidRPr="002E4026">
        <w:rPr>
          <w:rFonts w:ascii="Helvetica" w:hAnsi="Helvetica" w:cs="Helvetica"/>
          <w:b/>
          <w:bCs/>
          <w:lang w:val="en-US"/>
        </w:rPr>
        <w:t>Thoroughbred Breeders Association v Price Waterhouse</w:t>
      </w:r>
      <w:r w:rsidRPr="002E4026">
        <w:rPr>
          <w:rFonts w:ascii="Helvetica" w:hAnsi="Helvetica" w:cs="Helvetica"/>
          <w:lang w:val="en-US"/>
        </w:rPr>
        <w:t xml:space="preserve"> 2001 (4) SA 551 (SCA) at 596 D-I.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22308"/>
      <w:docPartObj>
        <w:docPartGallery w:val="Page Numbers (Top of Page)"/>
        <w:docPartUnique/>
      </w:docPartObj>
    </w:sdtPr>
    <w:sdtEndPr>
      <w:rPr>
        <w:rFonts w:ascii="Helvetica" w:hAnsi="Helvetica" w:cs="Helvetica"/>
        <w:noProof/>
        <w:sz w:val="18"/>
        <w:szCs w:val="18"/>
      </w:rPr>
    </w:sdtEndPr>
    <w:sdtContent>
      <w:sdt>
        <w:sdtPr>
          <w:rPr>
            <w:sz w:val="18"/>
            <w:szCs w:val="18"/>
          </w:rPr>
          <w:id w:val="6466532"/>
          <w:docPartObj>
            <w:docPartGallery w:val="Page Numbers (Top of Page)"/>
            <w:docPartUnique/>
          </w:docPartObj>
        </w:sdtPr>
        <w:sdtEndPr/>
        <w:sdtContent>
          <w:p w14:paraId="3850B4E1" w14:textId="1F55B67D" w:rsidR="001017B7" w:rsidRPr="001C3B6B" w:rsidRDefault="001017B7" w:rsidP="00630655">
            <w:pPr>
              <w:pStyle w:val="Header"/>
              <w:ind w:right="-146"/>
              <w:jc w:val="right"/>
              <w:rPr>
                <w:sz w:val="18"/>
                <w:szCs w:val="18"/>
              </w:rPr>
            </w:pPr>
            <w:r w:rsidRPr="009146A7">
              <w:rPr>
                <w:rFonts w:ascii="Helvetica" w:hAnsi="Helvetica"/>
                <w:sz w:val="20"/>
                <w:szCs w:val="20"/>
              </w:rPr>
              <w:fldChar w:fldCharType="begin"/>
            </w:r>
            <w:r w:rsidRPr="009146A7">
              <w:rPr>
                <w:rFonts w:ascii="Helvetica" w:hAnsi="Helvetica"/>
                <w:sz w:val="20"/>
                <w:szCs w:val="20"/>
              </w:rPr>
              <w:instrText xml:space="preserve"> PAGE   \* MERGEFORMAT </w:instrText>
            </w:r>
            <w:r w:rsidRPr="009146A7">
              <w:rPr>
                <w:rFonts w:ascii="Helvetica" w:hAnsi="Helvetica"/>
                <w:sz w:val="20"/>
                <w:szCs w:val="20"/>
              </w:rPr>
              <w:fldChar w:fldCharType="separate"/>
            </w:r>
            <w:r w:rsidR="001A2CE0">
              <w:rPr>
                <w:rFonts w:ascii="Helvetica" w:hAnsi="Helvetica"/>
                <w:noProof/>
                <w:sz w:val="20"/>
                <w:szCs w:val="20"/>
              </w:rPr>
              <w:t>20</w:t>
            </w:r>
            <w:r w:rsidRPr="009146A7">
              <w:rPr>
                <w:rFonts w:ascii="Helvetica" w:hAnsi="Helvetica"/>
                <w:sz w:val="20"/>
                <w:szCs w:val="20"/>
              </w:rPr>
              <w:fldChar w:fldCharType="end"/>
            </w:r>
          </w:p>
        </w:sdtContent>
      </w:sdt>
      <w:p w14:paraId="50805CA8" w14:textId="0B37F090" w:rsidR="001017B7" w:rsidRDefault="001017B7" w:rsidP="00630655">
        <w:pPr>
          <w:pStyle w:val="Header"/>
          <w:tabs>
            <w:tab w:val="clear" w:pos="9026"/>
          </w:tabs>
          <w:ind w:right="-72"/>
          <w:jc w:val="right"/>
          <w:rPr>
            <w:rFonts w:ascii="Helvetica" w:hAnsi="Helvetica" w:cs="Helvetica"/>
            <w:noProof/>
            <w:sz w:val="18"/>
            <w:szCs w:val="18"/>
          </w:rPr>
        </w:pPr>
      </w:p>
      <w:p w14:paraId="786FC56A" w14:textId="3974CA44" w:rsidR="001017B7" w:rsidRPr="00193B92" w:rsidRDefault="0031425D" w:rsidP="00193B92">
        <w:pPr>
          <w:pStyle w:val="Header"/>
          <w:tabs>
            <w:tab w:val="clear" w:pos="9026"/>
          </w:tabs>
          <w:ind w:right="-72"/>
          <w:jc w:val="right"/>
          <w:rPr>
            <w:rFonts w:ascii="Helvetica" w:hAnsi="Helvetica" w:cs="Helvetica"/>
            <w:sz w:val="18"/>
            <w:szCs w:val="18"/>
          </w:rPr>
        </w:pPr>
      </w:p>
    </w:sdtContent>
  </w:sdt>
  <w:p w14:paraId="2BF561F9" w14:textId="77777777" w:rsidR="001017B7" w:rsidRPr="00CC2CE7" w:rsidRDefault="001017B7">
    <w:pPr>
      <w:pStyle w:val="Header"/>
      <w:rPr>
        <w:rFonts w:ascii="Helvetica" w:hAnsi="Helvetica" w:cs="Helvetic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B44"/>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B0211"/>
    <w:multiLevelType w:val="multilevel"/>
    <w:tmpl w:val="E80E1B2A"/>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310895"/>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30456"/>
    <w:multiLevelType w:val="hybridMultilevel"/>
    <w:tmpl w:val="6D248222"/>
    <w:lvl w:ilvl="0" w:tplc="66462B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B44995"/>
    <w:multiLevelType w:val="hybridMultilevel"/>
    <w:tmpl w:val="58EE0D00"/>
    <w:lvl w:ilvl="0" w:tplc="2F1A61C2">
      <w:start w:val="1"/>
      <w:numFmt w:val="lowerRoman"/>
      <w:lvlText w:val="(%1)"/>
      <w:lvlJc w:val="left"/>
      <w:pPr>
        <w:ind w:left="1987" w:hanging="720"/>
      </w:pPr>
      <w:rPr>
        <w:rFonts w:hint="default"/>
        <w:i w:val="0"/>
        <w:iCs/>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15:restartNumberingAfterBreak="0">
    <w:nsid w:val="11ED651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02146D"/>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1D1366"/>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3D236D"/>
    <w:multiLevelType w:val="hybridMultilevel"/>
    <w:tmpl w:val="7A2C8F68"/>
    <w:lvl w:ilvl="0" w:tplc="9DA090E0">
      <w:start w:val="1"/>
      <w:numFmt w:val="decimal"/>
      <w:lvlText w:val="(%1)"/>
      <w:lvlJc w:val="left"/>
      <w:pPr>
        <w:ind w:left="3342" w:hanging="360"/>
      </w:pPr>
      <w:rPr>
        <w:rFonts w:hint="default"/>
        <w:i/>
      </w:rPr>
    </w:lvl>
    <w:lvl w:ilvl="1" w:tplc="08090019" w:tentative="1">
      <w:start w:val="1"/>
      <w:numFmt w:val="lowerLetter"/>
      <w:lvlText w:val="%2."/>
      <w:lvlJc w:val="left"/>
      <w:pPr>
        <w:ind w:left="4062" w:hanging="360"/>
      </w:pPr>
    </w:lvl>
    <w:lvl w:ilvl="2" w:tplc="0809001B" w:tentative="1">
      <w:start w:val="1"/>
      <w:numFmt w:val="lowerRoman"/>
      <w:lvlText w:val="%3."/>
      <w:lvlJc w:val="right"/>
      <w:pPr>
        <w:ind w:left="4782" w:hanging="180"/>
      </w:pPr>
    </w:lvl>
    <w:lvl w:ilvl="3" w:tplc="0809000F" w:tentative="1">
      <w:start w:val="1"/>
      <w:numFmt w:val="decimal"/>
      <w:lvlText w:val="%4."/>
      <w:lvlJc w:val="left"/>
      <w:pPr>
        <w:ind w:left="5502" w:hanging="360"/>
      </w:pPr>
    </w:lvl>
    <w:lvl w:ilvl="4" w:tplc="08090019" w:tentative="1">
      <w:start w:val="1"/>
      <w:numFmt w:val="lowerLetter"/>
      <w:lvlText w:val="%5."/>
      <w:lvlJc w:val="left"/>
      <w:pPr>
        <w:ind w:left="6222" w:hanging="360"/>
      </w:pPr>
    </w:lvl>
    <w:lvl w:ilvl="5" w:tplc="0809001B" w:tentative="1">
      <w:start w:val="1"/>
      <w:numFmt w:val="lowerRoman"/>
      <w:lvlText w:val="%6."/>
      <w:lvlJc w:val="right"/>
      <w:pPr>
        <w:ind w:left="6942" w:hanging="180"/>
      </w:pPr>
    </w:lvl>
    <w:lvl w:ilvl="6" w:tplc="0809000F" w:tentative="1">
      <w:start w:val="1"/>
      <w:numFmt w:val="decimal"/>
      <w:lvlText w:val="%7."/>
      <w:lvlJc w:val="left"/>
      <w:pPr>
        <w:ind w:left="7662" w:hanging="360"/>
      </w:pPr>
    </w:lvl>
    <w:lvl w:ilvl="7" w:tplc="08090019" w:tentative="1">
      <w:start w:val="1"/>
      <w:numFmt w:val="lowerLetter"/>
      <w:lvlText w:val="%8."/>
      <w:lvlJc w:val="left"/>
      <w:pPr>
        <w:ind w:left="8382" w:hanging="360"/>
      </w:pPr>
    </w:lvl>
    <w:lvl w:ilvl="8" w:tplc="0809001B" w:tentative="1">
      <w:start w:val="1"/>
      <w:numFmt w:val="lowerRoman"/>
      <w:lvlText w:val="%9."/>
      <w:lvlJc w:val="right"/>
      <w:pPr>
        <w:ind w:left="9102" w:hanging="180"/>
      </w:pPr>
    </w:lvl>
  </w:abstractNum>
  <w:abstractNum w:abstractNumId="9" w15:restartNumberingAfterBreak="0">
    <w:nsid w:val="18426151"/>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EC4768"/>
    <w:multiLevelType w:val="hybridMultilevel"/>
    <w:tmpl w:val="21400E84"/>
    <w:lvl w:ilvl="0" w:tplc="78C23A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DB67BC"/>
    <w:multiLevelType w:val="hybridMultilevel"/>
    <w:tmpl w:val="E5826244"/>
    <w:lvl w:ilvl="0" w:tplc="90FA4D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CF1772E"/>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ED4CA0"/>
    <w:multiLevelType w:val="multilevel"/>
    <w:tmpl w:val="A5E6111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80B05"/>
    <w:multiLevelType w:val="hybridMultilevel"/>
    <w:tmpl w:val="6D248222"/>
    <w:lvl w:ilvl="0" w:tplc="66462B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7B09DD"/>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473C65"/>
    <w:multiLevelType w:val="hybridMultilevel"/>
    <w:tmpl w:val="50ECCB82"/>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A74DB3"/>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6B2621"/>
    <w:multiLevelType w:val="hybridMultilevel"/>
    <w:tmpl w:val="524E0200"/>
    <w:lvl w:ilvl="0" w:tplc="03868ACE">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A326F"/>
    <w:multiLevelType w:val="multilevel"/>
    <w:tmpl w:val="14403E34"/>
    <w:lvl w:ilvl="0">
      <w:start w:val="1"/>
      <w:numFmt w:val="decimal"/>
      <w:lvlText w:val="%1."/>
      <w:lvlJc w:val="left"/>
      <w:pPr>
        <w:tabs>
          <w:tab w:val="num" w:pos="851"/>
        </w:tabs>
        <w:ind w:left="851" w:hanging="851"/>
      </w:pPr>
      <w:rPr>
        <w:rFonts w:ascii="Helvetica" w:hAnsi="Helvetica" w:cs="Helvetica" w:hint="default"/>
        <w:b w:val="0"/>
        <w:i w:val="0"/>
        <w:caps w:val="0"/>
        <w:strike w:val="0"/>
        <w:dstrike w:val="0"/>
        <w:vanish w:val="0"/>
        <w:color w:val="auto"/>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F916DE"/>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0F6C21"/>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DD672F"/>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1F4568"/>
    <w:multiLevelType w:val="multilevel"/>
    <w:tmpl w:val="9A7AB9B8"/>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24C6EC9"/>
    <w:multiLevelType w:val="hybridMultilevel"/>
    <w:tmpl w:val="18920370"/>
    <w:lvl w:ilvl="0" w:tplc="2130B49C">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926B7"/>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6102A5"/>
    <w:multiLevelType w:val="hybridMultilevel"/>
    <w:tmpl w:val="93849522"/>
    <w:lvl w:ilvl="0" w:tplc="05D4DD80">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C46DB"/>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DE40D9"/>
    <w:multiLevelType w:val="multilevel"/>
    <w:tmpl w:val="621E6EE4"/>
    <w:lvl w:ilvl="0">
      <w:start w:val="1"/>
      <w:numFmt w:val="decimal"/>
      <w:lvlText w:val="%1."/>
      <w:lvlJc w:val="left"/>
      <w:pPr>
        <w:tabs>
          <w:tab w:val="num" w:pos="851"/>
        </w:tabs>
        <w:ind w:left="851" w:hanging="851"/>
      </w:pPr>
      <w:rPr>
        <w:rFonts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C6035B"/>
    <w:multiLevelType w:val="multilevel"/>
    <w:tmpl w:val="2CC4C0B4"/>
    <w:lvl w:ilvl="0">
      <w:start w:val="1"/>
      <w:numFmt w:val="decimal"/>
      <w:lvlText w:val="%1."/>
      <w:lvlJc w:val="left"/>
      <w:pPr>
        <w:tabs>
          <w:tab w:val="num" w:pos="851"/>
        </w:tabs>
        <w:ind w:left="851" w:hanging="851"/>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0"/>
        <w:szCs w:val="20"/>
      </w:rPr>
    </w:lvl>
    <w:lvl w:ilvl="2">
      <w:start w:val="1"/>
      <w:numFmt w:val="decimal"/>
      <w:lvlText w:val="%1.%2.%3."/>
      <w:lvlJc w:val="left"/>
      <w:pPr>
        <w:tabs>
          <w:tab w:val="num" w:pos="1701"/>
        </w:tabs>
        <w:ind w:left="2552" w:hanging="851"/>
      </w:pPr>
      <w:rPr>
        <w:rFonts w:hint="default"/>
        <w:b w:val="0"/>
        <w:i w:val="0"/>
        <w:sz w:val="20"/>
        <w:szCs w:val="20"/>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19534D"/>
    <w:multiLevelType w:val="multilevel"/>
    <w:tmpl w:val="9E0E2258"/>
    <w:lvl w:ilvl="0">
      <w:start w:val="1"/>
      <w:numFmt w:val="decimal"/>
      <w:lvlText w:val="%1."/>
      <w:lvlJc w:val="left"/>
      <w:pPr>
        <w:tabs>
          <w:tab w:val="num" w:pos="851"/>
        </w:tabs>
        <w:ind w:left="851" w:hanging="851"/>
      </w:pPr>
      <w:rPr>
        <w:rFonts w:hint="default"/>
        <w:b w:val="0"/>
        <w:i w:val="0"/>
        <w:caps w:val="0"/>
        <w:strike w:val="0"/>
        <w:dstrike w:val="0"/>
        <w:vanish w:val="0"/>
        <w:color w:val="auto"/>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701" w:hanging="850"/>
      </w:pPr>
      <w:rPr>
        <w:rFonts w:hint="default"/>
        <w:b w:val="0"/>
        <w:i w:val="0"/>
        <w:sz w:val="21"/>
        <w:szCs w:val="21"/>
      </w:rPr>
    </w:lvl>
    <w:lvl w:ilvl="2">
      <w:start w:val="1"/>
      <w:numFmt w:val="decimal"/>
      <w:lvlText w:val="%1.%2.%3."/>
      <w:lvlJc w:val="left"/>
      <w:pPr>
        <w:tabs>
          <w:tab w:val="num" w:pos="1701"/>
        </w:tabs>
        <w:ind w:left="2552" w:hanging="851"/>
      </w:pPr>
      <w:rPr>
        <w:rFonts w:hint="default"/>
        <w:b w:val="0"/>
        <w:i w:val="0"/>
        <w:sz w:val="21"/>
        <w:szCs w:val="21"/>
      </w:rPr>
    </w:lvl>
    <w:lvl w:ilvl="3">
      <w:start w:val="1"/>
      <w:numFmt w:val="decimal"/>
      <w:lvlText w:val="%1.%2.%3.%4."/>
      <w:lvlJc w:val="left"/>
      <w:pPr>
        <w:ind w:left="3402" w:hanging="850"/>
      </w:pPr>
      <w:rPr>
        <w:rFonts w:hint="default"/>
        <w:b w:val="0"/>
        <w:i w:val="0"/>
        <w:sz w:val="21"/>
        <w:szCs w:val="21"/>
      </w:rPr>
    </w:lvl>
    <w:lvl w:ilvl="4">
      <w:start w:val="1"/>
      <w:numFmt w:val="decimal"/>
      <w:lvlText w:val="%1.%2.%3.%4.%5."/>
      <w:lvlJc w:val="left"/>
      <w:pPr>
        <w:ind w:left="2232" w:hanging="792"/>
      </w:pPr>
      <w:rPr>
        <w:rFonts w:hint="default"/>
        <w:b w:val="0"/>
        <w:i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0"/>
  </w:num>
  <w:num w:numId="3">
    <w:abstractNumId w:val="26"/>
  </w:num>
  <w:num w:numId="4">
    <w:abstractNumId w:val="24"/>
  </w:num>
  <w:num w:numId="5">
    <w:abstractNumId w:val="4"/>
  </w:num>
  <w:num w:numId="6">
    <w:abstractNumId w:val="15"/>
  </w:num>
  <w:num w:numId="7">
    <w:abstractNumId w:val="16"/>
  </w:num>
  <w:num w:numId="8">
    <w:abstractNumId w:val="22"/>
  </w:num>
  <w:num w:numId="9">
    <w:abstractNumId w:val="5"/>
  </w:num>
  <w:num w:numId="10">
    <w:abstractNumId w:val="13"/>
  </w:num>
  <w:num w:numId="11">
    <w:abstractNumId w:val="18"/>
  </w:num>
  <w:num w:numId="12">
    <w:abstractNumId w:val="6"/>
  </w:num>
  <w:num w:numId="13">
    <w:abstractNumId w:val="27"/>
  </w:num>
  <w:num w:numId="14">
    <w:abstractNumId w:val="28"/>
  </w:num>
  <w:num w:numId="15">
    <w:abstractNumId w:val="21"/>
  </w:num>
  <w:num w:numId="16">
    <w:abstractNumId w:val="10"/>
  </w:num>
  <w:num w:numId="17">
    <w:abstractNumId w:val="11"/>
  </w:num>
  <w:num w:numId="18">
    <w:abstractNumId w:val="25"/>
  </w:num>
  <w:num w:numId="19">
    <w:abstractNumId w:val="7"/>
  </w:num>
  <w:num w:numId="20">
    <w:abstractNumId w:val="1"/>
  </w:num>
  <w:num w:numId="21">
    <w:abstractNumId w:val="0"/>
  </w:num>
  <w:num w:numId="22">
    <w:abstractNumId w:val="9"/>
  </w:num>
  <w:num w:numId="23">
    <w:abstractNumId w:val="12"/>
  </w:num>
  <w:num w:numId="24">
    <w:abstractNumId w:val="14"/>
  </w:num>
  <w:num w:numId="25">
    <w:abstractNumId w:val="29"/>
  </w:num>
  <w:num w:numId="26">
    <w:abstractNumId w:val="17"/>
  </w:num>
  <w:num w:numId="27">
    <w:abstractNumId w:val="20"/>
  </w:num>
  <w:num w:numId="28">
    <w:abstractNumId w:val="3"/>
  </w:num>
  <w:num w:numId="29">
    <w:abstractNumId w:val="2"/>
  </w:num>
  <w:num w:numId="30">
    <w:abstractNumId w:val="23"/>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29936B-DBC0-4EA0-B968-967003B73096}"/>
    <w:docVar w:name="dgnword-eventsink" w:val="2503830160304"/>
    <w:docVar w:name="dgnword-lastRevisionsView" w:val="0"/>
  </w:docVars>
  <w:rsids>
    <w:rsidRoot w:val="00D715A9"/>
    <w:rsid w:val="00000875"/>
    <w:rsid w:val="00000D5C"/>
    <w:rsid w:val="000027F2"/>
    <w:rsid w:val="000036A0"/>
    <w:rsid w:val="00003F32"/>
    <w:rsid w:val="00004B9F"/>
    <w:rsid w:val="000058E5"/>
    <w:rsid w:val="000059A1"/>
    <w:rsid w:val="00005DF3"/>
    <w:rsid w:val="000066AE"/>
    <w:rsid w:val="00006B2C"/>
    <w:rsid w:val="0000721D"/>
    <w:rsid w:val="00007C4B"/>
    <w:rsid w:val="00007EEB"/>
    <w:rsid w:val="00007F2F"/>
    <w:rsid w:val="000102EF"/>
    <w:rsid w:val="00011367"/>
    <w:rsid w:val="000113D2"/>
    <w:rsid w:val="00011A00"/>
    <w:rsid w:val="00011D38"/>
    <w:rsid w:val="000122BD"/>
    <w:rsid w:val="000123C4"/>
    <w:rsid w:val="00012ABC"/>
    <w:rsid w:val="000134D1"/>
    <w:rsid w:val="00015D47"/>
    <w:rsid w:val="0001652F"/>
    <w:rsid w:val="0001771B"/>
    <w:rsid w:val="000177C2"/>
    <w:rsid w:val="00017AB2"/>
    <w:rsid w:val="00017F7C"/>
    <w:rsid w:val="00020096"/>
    <w:rsid w:val="00021DBC"/>
    <w:rsid w:val="0002214B"/>
    <w:rsid w:val="000228B9"/>
    <w:rsid w:val="0002293B"/>
    <w:rsid w:val="000232D3"/>
    <w:rsid w:val="00023893"/>
    <w:rsid w:val="00023D47"/>
    <w:rsid w:val="000263C9"/>
    <w:rsid w:val="000267F3"/>
    <w:rsid w:val="00026B5F"/>
    <w:rsid w:val="00027D08"/>
    <w:rsid w:val="0003031E"/>
    <w:rsid w:val="0003032E"/>
    <w:rsid w:val="000305DB"/>
    <w:rsid w:val="00030A09"/>
    <w:rsid w:val="00030EAD"/>
    <w:rsid w:val="00031A2E"/>
    <w:rsid w:val="00031BBE"/>
    <w:rsid w:val="00033A1A"/>
    <w:rsid w:val="0003411D"/>
    <w:rsid w:val="0003471D"/>
    <w:rsid w:val="00034785"/>
    <w:rsid w:val="00034DFD"/>
    <w:rsid w:val="000359E7"/>
    <w:rsid w:val="0003682B"/>
    <w:rsid w:val="00036D96"/>
    <w:rsid w:val="00037023"/>
    <w:rsid w:val="0003749D"/>
    <w:rsid w:val="000374D8"/>
    <w:rsid w:val="000401F7"/>
    <w:rsid w:val="000403A9"/>
    <w:rsid w:val="000404EF"/>
    <w:rsid w:val="000408F8"/>
    <w:rsid w:val="00040C81"/>
    <w:rsid w:val="0004272F"/>
    <w:rsid w:val="00042D7C"/>
    <w:rsid w:val="00042EEF"/>
    <w:rsid w:val="00043EAA"/>
    <w:rsid w:val="00045668"/>
    <w:rsid w:val="00045A93"/>
    <w:rsid w:val="000473EE"/>
    <w:rsid w:val="00047755"/>
    <w:rsid w:val="00050567"/>
    <w:rsid w:val="00050CED"/>
    <w:rsid w:val="00050D52"/>
    <w:rsid w:val="00050E26"/>
    <w:rsid w:val="00050F95"/>
    <w:rsid w:val="00051992"/>
    <w:rsid w:val="00052588"/>
    <w:rsid w:val="000529EC"/>
    <w:rsid w:val="000532EC"/>
    <w:rsid w:val="000536F6"/>
    <w:rsid w:val="00053964"/>
    <w:rsid w:val="000539E4"/>
    <w:rsid w:val="00054339"/>
    <w:rsid w:val="0005441C"/>
    <w:rsid w:val="00054B94"/>
    <w:rsid w:val="00054D00"/>
    <w:rsid w:val="00054E79"/>
    <w:rsid w:val="000555F1"/>
    <w:rsid w:val="00055CCF"/>
    <w:rsid w:val="000567AE"/>
    <w:rsid w:val="00056CAC"/>
    <w:rsid w:val="00056F9F"/>
    <w:rsid w:val="00057C3A"/>
    <w:rsid w:val="00061281"/>
    <w:rsid w:val="00062272"/>
    <w:rsid w:val="0006265B"/>
    <w:rsid w:val="00062660"/>
    <w:rsid w:val="00062C85"/>
    <w:rsid w:val="00065567"/>
    <w:rsid w:val="000659B0"/>
    <w:rsid w:val="0006613C"/>
    <w:rsid w:val="000662E5"/>
    <w:rsid w:val="00066F78"/>
    <w:rsid w:val="0006701F"/>
    <w:rsid w:val="00067790"/>
    <w:rsid w:val="00070026"/>
    <w:rsid w:val="000700B4"/>
    <w:rsid w:val="000704D4"/>
    <w:rsid w:val="000708B9"/>
    <w:rsid w:val="00072071"/>
    <w:rsid w:val="00072CBA"/>
    <w:rsid w:val="0007309F"/>
    <w:rsid w:val="000730F1"/>
    <w:rsid w:val="00073735"/>
    <w:rsid w:val="0007420F"/>
    <w:rsid w:val="00074554"/>
    <w:rsid w:val="000748A8"/>
    <w:rsid w:val="00074E98"/>
    <w:rsid w:val="00076276"/>
    <w:rsid w:val="00076FF5"/>
    <w:rsid w:val="000800A6"/>
    <w:rsid w:val="00080569"/>
    <w:rsid w:val="00080758"/>
    <w:rsid w:val="0008095D"/>
    <w:rsid w:val="00080C40"/>
    <w:rsid w:val="000814F5"/>
    <w:rsid w:val="00081872"/>
    <w:rsid w:val="00081A8E"/>
    <w:rsid w:val="00081D58"/>
    <w:rsid w:val="00082C25"/>
    <w:rsid w:val="00083675"/>
    <w:rsid w:val="000839C5"/>
    <w:rsid w:val="00084462"/>
    <w:rsid w:val="0008462A"/>
    <w:rsid w:val="00085B9D"/>
    <w:rsid w:val="00086239"/>
    <w:rsid w:val="00086B2A"/>
    <w:rsid w:val="00087173"/>
    <w:rsid w:val="0008739A"/>
    <w:rsid w:val="00087600"/>
    <w:rsid w:val="00087CF5"/>
    <w:rsid w:val="00092D2B"/>
    <w:rsid w:val="00093333"/>
    <w:rsid w:val="00093AFF"/>
    <w:rsid w:val="00094B19"/>
    <w:rsid w:val="000950A1"/>
    <w:rsid w:val="00095440"/>
    <w:rsid w:val="00095CD2"/>
    <w:rsid w:val="00095F7A"/>
    <w:rsid w:val="00097414"/>
    <w:rsid w:val="000A000B"/>
    <w:rsid w:val="000A03A2"/>
    <w:rsid w:val="000A1129"/>
    <w:rsid w:val="000A120D"/>
    <w:rsid w:val="000A1D3A"/>
    <w:rsid w:val="000A20D7"/>
    <w:rsid w:val="000A29C5"/>
    <w:rsid w:val="000A3023"/>
    <w:rsid w:val="000A31C2"/>
    <w:rsid w:val="000A3D60"/>
    <w:rsid w:val="000A5579"/>
    <w:rsid w:val="000A5BAB"/>
    <w:rsid w:val="000A6C1D"/>
    <w:rsid w:val="000A7ECD"/>
    <w:rsid w:val="000B0B44"/>
    <w:rsid w:val="000B0EC0"/>
    <w:rsid w:val="000B0ED4"/>
    <w:rsid w:val="000B18AB"/>
    <w:rsid w:val="000B19D9"/>
    <w:rsid w:val="000B253D"/>
    <w:rsid w:val="000B2FCE"/>
    <w:rsid w:val="000B3EBF"/>
    <w:rsid w:val="000B404E"/>
    <w:rsid w:val="000B41A2"/>
    <w:rsid w:val="000B5149"/>
    <w:rsid w:val="000B5213"/>
    <w:rsid w:val="000B7810"/>
    <w:rsid w:val="000C1EE6"/>
    <w:rsid w:val="000C2456"/>
    <w:rsid w:val="000C28F2"/>
    <w:rsid w:val="000C2C27"/>
    <w:rsid w:val="000C4675"/>
    <w:rsid w:val="000C4755"/>
    <w:rsid w:val="000C4F5F"/>
    <w:rsid w:val="000C512D"/>
    <w:rsid w:val="000C51CE"/>
    <w:rsid w:val="000C56B1"/>
    <w:rsid w:val="000C58C7"/>
    <w:rsid w:val="000C5C03"/>
    <w:rsid w:val="000C5C6E"/>
    <w:rsid w:val="000C7792"/>
    <w:rsid w:val="000C7807"/>
    <w:rsid w:val="000C7CD2"/>
    <w:rsid w:val="000C7D1F"/>
    <w:rsid w:val="000D003A"/>
    <w:rsid w:val="000D0137"/>
    <w:rsid w:val="000D09CA"/>
    <w:rsid w:val="000D1049"/>
    <w:rsid w:val="000D1345"/>
    <w:rsid w:val="000D22AE"/>
    <w:rsid w:val="000D317C"/>
    <w:rsid w:val="000D337F"/>
    <w:rsid w:val="000D4B80"/>
    <w:rsid w:val="000D4E20"/>
    <w:rsid w:val="000D5E53"/>
    <w:rsid w:val="000D627F"/>
    <w:rsid w:val="000D6377"/>
    <w:rsid w:val="000D6B71"/>
    <w:rsid w:val="000D6BA3"/>
    <w:rsid w:val="000E0B9F"/>
    <w:rsid w:val="000E0FE8"/>
    <w:rsid w:val="000E10A6"/>
    <w:rsid w:val="000E15DF"/>
    <w:rsid w:val="000E1AC8"/>
    <w:rsid w:val="000E1DE1"/>
    <w:rsid w:val="000E2278"/>
    <w:rsid w:val="000E329C"/>
    <w:rsid w:val="000E333D"/>
    <w:rsid w:val="000E3E9B"/>
    <w:rsid w:val="000E5C44"/>
    <w:rsid w:val="000E6549"/>
    <w:rsid w:val="000E7316"/>
    <w:rsid w:val="000F035A"/>
    <w:rsid w:val="000F05D6"/>
    <w:rsid w:val="000F0D9B"/>
    <w:rsid w:val="000F10E3"/>
    <w:rsid w:val="000F1305"/>
    <w:rsid w:val="000F23DB"/>
    <w:rsid w:val="000F2D0A"/>
    <w:rsid w:val="000F318F"/>
    <w:rsid w:val="000F3215"/>
    <w:rsid w:val="000F33C0"/>
    <w:rsid w:val="000F3F73"/>
    <w:rsid w:val="000F51D2"/>
    <w:rsid w:val="000F5227"/>
    <w:rsid w:val="000F527A"/>
    <w:rsid w:val="000F5676"/>
    <w:rsid w:val="000F57FC"/>
    <w:rsid w:val="000F5B92"/>
    <w:rsid w:val="000F5C2F"/>
    <w:rsid w:val="000F5C77"/>
    <w:rsid w:val="000F689B"/>
    <w:rsid w:val="000F6987"/>
    <w:rsid w:val="000F69DD"/>
    <w:rsid w:val="000F734D"/>
    <w:rsid w:val="000F7AC9"/>
    <w:rsid w:val="000F7CFD"/>
    <w:rsid w:val="000F7EBC"/>
    <w:rsid w:val="001000E8"/>
    <w:rsid w:val="00100C41"/>
    <w:rsid w:val="00100C60"/>
    <w:rsid w:val="00100FD7"/>
    <w:rsid w:val="001017B7"/>
    <w:rsid w:val="00101841"/>
    <w:rsid w:val="00102777"/>
    <w:rsid w:val="00102947"/>
    <w:rsid w:val="0010296D"/>
    <w:rsid w:val="00102D3C"/>
    <w:rsid w:val="00102FC0"/>
    <w:rsid w:val="0010304E"/>
    <w:rsid w:val="001033C9"/>
    <w:rsid w:val="00103A68"/>
    <w:rsid w:val="00103B1C"/>
    <w:rsid w:val="00105D24"/>
    <w:rsid w:val="00107101"/>
    <w:rsid w:val="0010723E"/>
    <w:rsid w:val="00107C60"/>
    <w:rsid w:val="001101BA"/>
    <w:rsid w:val="00110E9B"/>
    <w:rsid w:val="00111468"/>
    <w:rsid w:val="00111DFA"/>
    <w:rsid w:val="00112A5D"/>
    <w:rsid w:val="00112AC6"/>
    <w:rsid w:val="00112D5F"/>
    <w:rsid w:val="001147E6"/>
    <w:rsid w:val="00114901"/>
    <w:rsid w:val="001151B6"/>
    <w:rsid w:val="00115EA4"/>
    <w:rsid w:val="001160C8"/>
    <w:rsid w:val="00116192"/>
    <w:rsid w:val="001165A9"/>
    <w:rsid w:val="0011689B"/>
    <w:rsid w:val="0011763C"/>
    <w:rsid w:val="001178CB"/>
    <w:rsid w:val="00120258"/>
    <w:rsid w:val="00120A95"/>
    <w:rsid w:val="00122D5D"/>
    <w:rsid w:val="00122FE0"/>
    <w:rsid w:val="00123696"/>
    <w:rsid w:val="00125BB8"/>
    <w:rsid w:val="0012684B"/>
    <w:rsid w:val="00126A6F"/>
    <w:rsid w:val="00127D35"/>
    <w:rsid w:val="001301E0"/>
    <w:rsid w:val="00130FC4"/>
    <w:rsid w:val="00131F01"/>
    <w:rsid w:val="00132255"/>
    <w:rsid w:val="00132298"/>
    <w:rsid w:val="001322FD"/>
    <w:rsid w:val="00135210"/>
    <w:rsid w:val="00135852"/>
    <w:rsid w:val="001363E2"/>
    <w:rsid w:val="00136D62"/>
    <w:rsid w:val="001379C8"/>
    <w:rsid w:val="0014109B"/>
    <w:rsid w:val="00141E2E"/>
    <w:rsid w:val="0014453B"/>
    <w:rsid w:val="00145467"/>
    <w:rsid w:val="001456E7"/>
    <w:rsid w:val="00145C16"/>
    <w:rsid w:val="0014682F"/>
    <w:rsid w:val="0014689D"/>
    <w:rsid w:val="00146C99"/>
    <w:rsid w:val="00147042"/>
    <w:rsid w:val="00147E4D"/>
    <w:rsid w:val="00147F9C"/>
    <w:rsid w:val="00150560"/>
    <w:rsid w:val="00150F26"/>
    <w:rsid w:val="00151AA3"/>
    <w:rsid w:val="001526CA"/>
    <w:rsid w:val="00154256"/>
    <w:rsid w:val="0015462D"/>
    <w:rsid w:val="001549E3"/>
    <w:rsid w:val="00155BC9"/>
    <w:rsid w:val="00155E01"/>
    <w:rsid w:val="00155EA9"/>
    <w:rsid w:val="00156B06"/>
    <w:rsid w:val="0015739D"/>
    <w:rsid w:val="001576DD"/>
    <w:rsid w:val="00157700"/>
    <w:rsid w:val="001607DF"/>
    <w:rsid w:val="00160D93"/>
    <w:rsid w:val="0016124B"/>
    <w:rsid w:val="001620B5"/>
    <w:rsid w:val="00162A8D"/>
    <w:rsid w:val="00163ADA"/>
    <w:rsid w:val="001641F4"/>
    <w:rsid w:val="00164540"/>
    <w:rsid w:val="0016502D"/>
    <w:rsid w:val="001661C8"/>
    <w:rsid w:val="001665E9"/>
    <w:rsid w:val="00167106"/>
    <w:rsid w:val="00167121"/>
    <w:rsid w:val="001701A2"/>
    <w:rsid w:val="00170556"/>
    <w:rsid w:val="00171048"/>
    <w:rsid w:val="00171BB0"/>
    <w:rsid w:val="00171CAD"/>
    <w:rsid w:val="00171EA2"/>
    <w:rsid w:val="00172CE7"/>
    <w:rsid w:val="00175948"/>
    <w:rsid w:val="00175E4E"/>
    <w:rsid w:val="00176494"/>
    <w:rsid w:val="001767D2"/>
    <w:rsid w:val="001772A5"/>
    <w:rsid w:val="00177F9A"/>
    <w:rsid w:val="001800E6"/>
    <w:rsid w:val="00183071"/>
    <w:rsid w:val="00183422"/>
    <w:rsid w:val="00183524"/>
    <w:rsid w:val="00183585"/>
    <w:rsid w:val="00183C98"/>
    <w:rsid w:val="00183E72"/>
    <w:rsid w:val="00184C56"/>
    <w:rsid w:val="00185154"/>
    <w:rsid w:val="00185269"/>
    <w:rsid w:val="001857CB"/>
    <w:rsid w:val="0018667A"/>
    <w:rsid w:val="00186982"/>
    <w:rsid w:val="00186A1F"/>
    <w:rsid w:val="001873A2"/>
    <w:rsid w:val="0018753C"/>
    <w:rsid w:val="00187789"/>
    <w:rsid w:val="00187A42"/>
    <w:rsid w:val="0019012F"/>
    <w:rsid w:val="0019070A"/>
    <w:rsid w:val="0019097A"/>
    <w:rsid w:val="0019159D"/>
    <w:rsid w:val="001922EC"/>
    <w:rsid w:val="0019251D"/>
    <w:rsid w:val="001933B5"/>
    <w:rsid w:val="00193542"/>
    <w:rsid w:val="00193B92"/>
    <w:rsid w:val="0019412C"/>
    <w:rsid w:val="00194596"/>
    <w:rsid w:val="00195F91"/>
    <w:rsid w:val="00195FBD"/>
    <w:rsid w:val="001964FB"/>
    <w:rsid w:val="00196B1F"/>
    <w:rsid w:val="00196FB8"/>
    <w:rsid w:val="00197D36"/>
    <w:rsid w:val="001A0D9D"/>
    <w:rsid w:val="001A0E19"/>
    <w:rsid w:val="001A14EC"/>
    <w:rsid w:val="001A1A3F"/>
    <w:rsid w:val="001A1B5B"/>
    <w:rsid w:val="001A1E30"/>
    <w:rsid w:val="001A23B1"/>
    <w:rsid w:val="001A27F4"/>
    <w:rsid w:val="001A2988"/>
    <w:rsid w:val="001A2CE0"/>
    <w:rsid w:val="001A2CE2"/>
    <w:rsid w:val="001A3BD1"/>
    <w:rsid w:val="001A43CC"/>
    <w:rsid w:val="001A5478"/>
    <w:rsid w:val="001A5699"/>
    <w:rsid w:val="001A5CC4"/>
    <w:rsid w:val="001A6707"/>
    <w:rsid w:val="001A7208"/>
    <w:rsid w:val="001A732E"/>
    <w:rsid w:val="001B0541"/>
    <w:rsid w:val="001B089C"/>
    <w:rsid w:val="001B0E3B"/>
    <w:rsid w:val="001B1835"/>
    <w:rsid w:val="001B1F2E"/>
    <w:rsid w:val="001B222C"/>
    <w:rsid w:val="001B27C2"/>
    <w:rsid w:val="001B2901"/>
    <w:rsid w:val="001B341B"/>
    <w:rsid w:val="001B4E0C"/>
    <w:rsid w:val="001B5044"/>
    <w:rsid w:val="001B5608"/>
    <w:rsid w:val="001B604D"/>
    <w:rsid w:val="001C0068"/>
    <w:rsid w:val="001C1122"/>
    <w:rsid w:val="001C1141"/>
    <w:rsid w:val="001C1782"/>
    <w:rsid w:val="001C24AF"/>
    <w:rsid w:val="001C29D3"/>
    <w:rsid w:val="001C2EFC"/>
    <w:rsid w:val="001C3147"/>
    <w:rsid w:val="001C3461"/>
    <w:rsid w:val="001C3607"/>
    <w:rsid w:val="001C3AC4"/>
    <w:rsid w:val="001C3B48"/>
    <w:rsid w:val="001C3E7B"/>
    <w:rsid w:val="001C438D"/>
    <w:rsid w:val="001C501D"/>
    <w:rsid w:val="001C5F89"/>
    <w:rsid w:val="001C61BC"/>
    <w:rsid w:val="001C67C0"/>
    <w:rsid w:val="001C686C"/>
    <w:rsid w:val="001C75A5"/>
    <w:rsid w:val="001C7C2F"/>
    <w:rsid w:val="001D02A8"/>
    <w:rsid w:val="001D0905"/>
    <w:rsid w:val="001D0B49"/>
    <w:rsid w:val="001D0E43"/>
    <w:rsid w:val="001D2187"/>
    <w:rsid w:val="001D3234"/>
    <w:rsid w:val="001D3DAF"/>
    <w:rsid w:val="001D4B07"/>
    <w:rsid w:val="001D5914"/>
    <w:rsid w:val="001D5DF8"/>
    <w:rsid w:val="001D6034"/>
    <w:rsid w:val="001D6CB3"/>
    <w:rsid w:val="001D79C0"/>
    <w:rsid w:val="001D7C7A"/>
    <w:rsid w:val="001E006B"/>
    <w:rsid w:val="001E0924"/>
    <w:rsid w:val="001E15E1"/>
    <w:rsid w:val="001E23C8"/>
    <w:rsid w:val="001E2495"/>
    <w:rsid w:val="001E418C"/>
    <w:rsid w:val="001E45C0"/>
    <w:rsid w:val="001E4627"/>
    <w:rsid w:val="001E4B28"/>
    <w:rsid w:val="001E4FE0"/>
    <w:rsid w:val="001E5058"/>
    <w:rsid w:val="001E5202"/>
    <w:rsid w:val="001E5A32"/>
    <w:rsid w:val="001E5ACF"/>
    <w:rsid w:val="001E5AF7"/>
    <w:rsid w:val="001E649C"/>
    <w:rsid w:val="001E6FC2"/>
    <w:rsid w:val="001E7DD7"/>
    <w:rsid w:val="001F0155"/>
    <w:rsid w:val="001F01D0"/>
    <w:rsid w:val="001F0249"/>
    <w:rsid w:val="001F046C"/>
    <w:rsid w:val="001F0D71"/>
    <w:rsid w:val="001F1E84"/>
    <w:rsid w:val="001F25D9"/>
    <w:rsid w:val="001F28C1"/>
    <w:rsid w:val="001F2E24"/>
    <w:rsid w:val="001F422F"/>
    <w:rsid w:val="001F5157"/>
    <w:rsid w:val="001F51DB"/>
    <w:rsid w:val="001F589D"/>
    <w:rsid w:val="001F60D7"/>
    <w:rsid w:val="001F60FC"/>
    <w:rsid w:val="001F653D"/>
    <w:rsid w:val="001F6552"/>
    <w:rsid w:val="001F6617"/>
    <w:rsid w:val="001F757A"/>
    <w:rsid w:val="00200366"/>
    <w:rsid w:val="0020046E"/>
    <w:rsid w:val="0020074E"/>
    <w:rsid w:val="00200E93"/>
    <w:rsid w:val="00200EAC"/>
    <w:rsid w:val="00201B54"/>
    <w:rsid w:val="00203EF5"/>
    <w:rsid w:val="0020532D"/>
    <w:rsid w:val="00206E56"/>
    <w:rsid w:val="002100C8"/>
    <w:rsid w:val="00210AC1"/>
    <w:rsid w:val="002116F9"/>
    <w:rsid w:val="00211DCD"/>
    <w:rsid w:val="00211ED3"/>
    <w:rsid w:val="00213560"/>
    <w:rsid w:val="0021370F"/>
    <w:rsid w:val="00213D30"/>
    <w:rsid w:val="00213D84"/>
    <w:rsid w:val="00214126"/>
    <w:rsid w:val="00214342"/>
    <w:rsid w:val="00214640"/>
    <w:rsid w:val="00214BE4"/>
    <w:rsid w:val="00214C12"/>
    <w:rsid w:val="00215042"/>
    <w:rsid w:val="00215AFC"/>
    <w:rsid w:val="002167E9"/>
    <w:rsid w:val="0021776E"/>
    <w:rsid w:val="00220061"/>
    <w:rsid w:val="0022009D"/>
    <w:rsid w:val="002207C7"/>
    <w:rsid w:val="00220EF2"/>
    <w:rsid w:val="00221992"/>
    <w:rsid w:val="0022276F"/>
    <w:rsid w:val="0022371D"/>
    <w:rsid w:val="00223E7F"/>
    <w:rsid w:val="002245EF"/>
    <w:rsid w:val="00225085"/>
    <w:rsid w:val="00225393"/>
    <w:rsid w:val="00225463"/>
    <w:rsid w:val="002258F7"/>
    <w:rsid w:val="00225AFC"/>
    <w:rsid w:val="00225BFB"/>
    <w:rsid w:val="00226B4E"/>
    <w:rsid w:val="00226C3E"/>
    <w:rsid w:val="00226DCD"/>
    <w:rsid w:val="00226DE2"/>
    <w:rsid w:val="002271BA"/>
    <w:rsid w:val="00227F41"/>
    <w:rsid w:val="00230030"/>
    <w:rsid w:val="00230CE2"/>
    <w:rsid w:val="00231428"/>
    <w:rsid w:val="0023193C"/>
    <w:rsid w:val="00231B73"/>
    <w:rsid w:val="00232010"/>
    <w:rsid w:val="002333D0"/>
    <w:rsid w:val="00233913"/>
    <w:rsid w:val="00233E7A"/>
    <w:rsid w:val="00233F30"/>
    <w:rsid w:val="00233F79"/>
    <w:rsid w:val="0023462F"/>
    <w:rsid w:val="002366C0"/>
    <w:rsid w:val="00236B33"/>
    <w:rsid w:val="00237472"/>
    <w:rsid w:val="00237F1D"/>
    <w:rsid w:val="00240BC1"/>
    <w:rsid w:val="0024148F"/>
    <w:rsid w:val="00241694"/>
    <w:rsid w:val="002417C1"/>
    <w:rsid w:val="0024264E"/>
    <w:rsid w:val="00242F45"/>
    <w:rsid w:val="00243429"/>
    <w:rsid w:val="00243A50"/>
    <w:rsid w:val="00243BC7"/>
    <w:rsid w:val="00243E0E"/>
    <w:rsid w:val="00244E27"/>
    <w:rsid w:val="002460C4"/>
    <w:rsid w:val="0024645E"/>
    <w:rsid w:val="002467CA"/>
    <w:rsid w:val="00246CAC"/>
    <w:rsid w:val="00247A6C"/>
    <w:rsid w:val="00247C1E"/>
    <w:rsid w:val="002504E2"/>
    <w:rsid w:val="00250D9F"/>
    <w:rsid w:val="00250DD4"/>
    <w:rsid w:val="002511E0"/>
    <w:rsid w:val="0025125D"/>
    <w:rsid w:val="002514D0"/>
    <w:rsid w:val="00251998"/>
    <w:rsid w:val="00252506"/>
    <w:rsid w:val="00252A8F"/>
    <w:rsid w:val="0025313A"/>
    <w:rsid w:val="00253483"/>
    <w:rsid w:val="00254380"/>
    <w:rsid w:val="0025560A"/>
    <w:rsid w:val="0025565F"/>
    <w:rsid w:val="002563C8"/>
    <w:rsid w:val="002576B1"/>
    <w:rsid w:val="00257BA0"/>
    <w:rsid w:val="00260C84"/>
    <w:rsid w:val="0026126D"/>
    <w:rsid w:val="00261386"/>
    <w:rsid w:val="00261ED2"/>
    <w:rsid w:val="00262616"/>
    <w:rsid w:val="00262C40"/>
    <w:rsid w:val="00262FAF"/>
    <w:rsid w:val="0026316D"/>
    <w:rsid w:val="00264EC9"/>
    <w:rsid w:val="00264F25"/>
    <w:rsid w:val="002664F7"/>
    <w:rsid w:val="00267043"/>
    <w:rsid w:val="002675E6"/>
    <w:rsid w:val="00267D1D"/>
    <w:rsid w:val="002700AB"/>
    <w:rsid w:val="002701B7"/>
    <w:rsid w:val="00270754"/>
    <w:rsid w:val="00271340"/>
    <w:rsid w:val="0027270B"/>
    <w:rsid w:val="00272EC2"/>
    <w:rsid w:val="00273348"/>
    <w:rsid w:val="00274BFC"/>
    <w:rsid w:val="00275344"/>
    <w:rsid w:val="00275527"/>
    <w:rsid w:val="00276117"/>
    <w:rsid w:val="0027634D"/>
    <w:rsid w:val="0027665F"/>
    <w:rsid w:val="00277696"/>
    <w:rsid w:val="00277C90"/>
    <w:rsid w:val="0028003D"/>
    <w:rsid w:val="002800D3"/>
    <w:rsid w:val="002803EF"/>
    <w:rsid w:val="00280A4C"/>
    <w:rsid w:val="00283A17"/>
    <w:rsid w:val="0028502C"/>
    <w:rsid w:val="002855D1"/>
    <w:rsid w:val="00285A05"/>
    <w:rsid w:val="00285DF9"/>
    <w:rsid w:val="00287383"/>
    <w:rsid w:val="002900B1"/>
    <w:rsid w:val="00290984"/>
    <w:rsid w:val="00290DDA"/>
    <w:rsid w:val="0029348A"/>
    <w:rsid w:val="00293CE5"/>
    <w:rsid w:val="00294299"/>
    <w:rsid w:val="0029472F"/>
    <w:rsid w:val="002948EE"/>
    <w:rsid w:val="00295D7B"/>
    <w:rsid w:val="00295FA3"/>
    <w:rsid w:val="00296E43"/>
    <w:rsid w:val="00296E84"/>
    <w:rsid w:val="00296F25"/>
    <w:rsid w:val="0029725E"/>
    <w:rsid w:val="00297AC8"/>
    <w:rsid w:val="002A00D2"/>
    <w:rsid w:val="002A0126"/>
    <w:rsid w:val="002A041C"/>
    <w:rsid w:val="002A0A4D"/>
    <w:rsid w:val="002A0B28"/>
    <w:rsid w:val="002A1259"/>
    <w:rsid w:val="002A1543"/>
    <w:rsid w:val="002A1921"/>
    <w:rsid w:val="002A1B20"/>
    <w:rsid w:val="002A1D03"/>
    <w:rsid w:val="002A1E90"/>
    <w:rsid w:val="002A228A"/>
    <w:rsid w:val="002A235B"/>
    <w:rsid w:val="002A29AD"/>
    <w:rsid w:val="002A2F5E"/>
    <w:rsid w:val="002A36A5"/>
    <w:rsid w:val="002A36F1"/>
    <w:rsid w:val="002A3973"/>
    <w:rsid w:val="002A7A5F"/>
    <w:rsid w:val="002A7D67"/>
    <w:rsid w:val="002B0FB3"/>
    <w:rsid w:val="002B10AD"/>
    <w:rsid w:val="002B11D3"/>
    <w:rsid w:val="002B1207"/>
    <w:rsid w:val="002B1621"/>
    <w:rsid w:val="002B2481"/>
    <w:rsid w:val="002B2588"/>
    <w:rsid w:val="002B296A"/>
    <w:rsid w:val="002B325F"/>
    <w:rsid w:val="002B3F64"/>
    <w:rsid w:val="002B40EB"/>
    <w:rsid w:val="002B41B2"/>
    <w:rsid w:val="002B49F6"/>
    <w:rsid w:val="002B52C2"/>
    <w:rsid w:val="002B5356"/>
    <w:rsid w:val="002B618E"/>
    <w:rsid w:val="002B63E0"/>
    <w:rsid w:val="002B6ADB"/>
    <w:rsid w:val="002B70CD"/>
    <w:rsid w:val="002B72DE"/>
    <w:rsid w:val="002B7446"/>
    <w:rsid w:val="002B7EEE"/>
    <w:rsid w:val="002C01E7"/>
    <w:rsid w:val="002C2024"/>
    <w:rsid w:val="002C27A7"/>
    <w:rsid w:val="002C2BB0"/>
    <w:rsid w:val="002C2E30"/>
    <w:rsid w:val="002C3328"/>
    <w:rsid w:val="002C3347"/>
    <w:rsid w:val="002C459A"/>
    <w:rsid w:val="002C4EE2"/>
    <w:rsid w:val="002C5A50"/>
    <w:rsid w:val="002C697E"/>
    <w:rsid w:val="002C6A03"/>
    <w:rsid w:val="002D0F8C"/>
    <w:rsid w:val="002D15FB"/>
    <w:rsid w:val="002D1920"/>
    <w:rsid w:val="002D2734"/>
    <w:rsid w:val="002D2B47"/>
    <w:rsid w:val="002D2FF7"/>
    <w:rsid w:val="002D3A18"/>
    <w:rsid w:val="002D3EB5"/>
    <w:rsid w:val="002D49B4"/>
    <w:rsid w:val="002D4A36"/>
    <w:rsid w:val="002D5185"/>
    <w:rsid w:val="002D59F4"/>
    <w:rsid w:val="002D61C6"/>
    <w:rsid w:val="002D6584"/>
    <w:rsid w:val="002D689A"/>
    <w:rsid w:val="002D69F2"/>
    <w:rsid w:val="002D6D7B"/>
    <w:rsid w:val="002E0FD1"/>
    <w:rsid w:val="002E1969"/>
    <w:rsid w:val="002E2281"/>
    <w:rsid w:val="002E2647"/>
    <w:rsid w:val="002E2F6E"/>
    <w:rsid w:val="002E3D09"/>
    <w:rsid w:val="002E401E"/>
    <w:rsid w:val="002E4026"/>
    <w:rsid w:val="002E4340"/>
    <w:rsid w:val="002E48BB"/>
    <w:rsid w:val="002E53BE"/>
    <w:rsid w:val="002E54B3"/>
    <w:rsid w:val="002E57A9"/>
    <w:rsid w:val="002E57DB"/>
    <w:rsid w:val="002E7369"/>
    <w:rsid w:val="002E7AA0"/>
    <w:rsid w:val="002E7DC4"/>
    <w:rsid w:val="002F15D9"/>
    <w:rsid w:val="002F1BA6"/>
    <w:rsid w:val="002F20DD"/>
    <w:rsid w:val="002F26DE"/>
    <w:rsid w:val="002F2BEA"/>
    <w:rsid w:val="002F34E7"/>
    <w:rsid w:val="002F43DC"/>
    <w:rsid w:val="002F5FEF"/>
    <w:rsid w:val="002F6736"/>
    <w:rsid w:val="002F68FA"/>
    <w:rsid w:val="002F6B52"/>
    <w:rsid w:val="002F7B9F"/>
    <w:rsid w:val="00300723"/>
    <w:rsid w:val="00300D8E"/>
    <w:rsid w:val="003018C7"/>
    <w:rsid w:val="00301C0B"/>
    <w:rsid w:val="003022B1"/>
    <w:rsid w:val="003024BE"/>
    <w:rsid w:val="00303BD1"/>
    <w:rsid w:val="003041B4"/>
    <w:rsid w:val="0030625A"/>
    <w:rsid w:val="003066A2"/>
    <w:rsid w:val="003066EA"/>
    <w:rsid w:val="00306AF9"/>
    <w:rsid w:val="00307222"/>
    <w:rsid w:val="003103F1"/>
    <w:rsid w:val="00310490"/>
    <w:rsid w:val="00311558"/>
    <w:rsid w:val="00311611"/>
    <w:rsid w:val="00313C98"/>
    <w:rsid w:val="0031425D"/>
    <w:rsid w:val="003143C7"/>
    <w:rsid w:val="00314665"/>
    <w:rsid w:val="00314819"/>
    <w:rsid w:val="00314989"/>
    <w:rsid w:val="00314FBB"/>
    <w:rsid w:val="00315164"/>
    <w:rsid w:val="00315858"/>
    <w:rsid w:val="003159DC"/>
    <w:rsid w:val="00315B65"/>
    <w:rsid w:val="00315DCD"/>
    <w:rsid w:val="00316D2E"/>
    <w:rsid w:val="00316E7E"/>
    <w:rsid w:val="003173CB"/>
    <w:rsid w:val="00321545"/>
    <w:rsid w:val="00321706"/>
    <w:rsid w:val="0032189B"/>
    <w:rsid w:val="00321A26"/>
    <w:rsid w:val="00321D8B"/>
    <w:rsid w:val="00322AB4"/>
    <w:rsid w:val="003234B9"/>
    <w:rsid w:val="00324315"/>
    <w:rsid w:val="00324579"/>
    <w:rsid w:val="00324B92"/>
    <w:rsid w:val="00324EE9"/>
    <w:rsid w:val="003251FC"/>
    <w:rsid w:val="0032576B"/>
    <w:rsid w:val="00326651"/>
    <w:rsid w:val="003268DB"/>
    <w:rsid w:val="00326B83"/>
    <w:rsid w:val="003303C8"/>
    <w:rsid w:val="00333E48"/>
    <w:rsid w:val="00333E9B"/>
    <w:rsid w:val="003349B9"/>
    <w:rsid w:val="00334E6E"/>
    <w:rsid w:val="00335011"/>
    <w:rsid w:val="00335B0A"/>
    <w:rsid w:val="00335C53"/>
    <w:rsid w:val="003370D7"/>
    <w:rsid w:val="0033783F"/>
    <w:rsid w:val="003378C3"/>
    <w:rsid w:val="00337CE1"/>
    <w:rsid w:val="00340134"/>
    <w:rsid w:val="00340967"/>
    <w:rsid w:val="00340B2C"/>
    <w:rsid w:val="003416B7"/>
    <w:rsid w:val="00341B4A"/>
    <w:rsid w:val="00341E65"/>
    <w:rsid w:val="00342C04"/>
    <w:rsid w:val="003436C8"/>
    <w:rsid w:val="003443FC"/>
    <w:rsid w:val="003451B7"/>
    <w:rsid w:val="00345855"/>
    <w:rsid w:val="00345A56"/>
    <w:rsid w:val="00347259"/>
    <w:rsid w:val="0034797F"/>
    <w:rsid w:val="0035134F"/>
    <w:rsid w:val="0035142D"/>
    <w:rsid w:val="003528B9"/>
    <w:rsid w:val="00352B19"/>
    <w:rsid w:val="00353A05"/>
    <w:rsid w:val="003540FF"/>
    <w:rsid w:val="003547D5"/>
    <w:rsid w:val="003553DD"/>
    <w:rsid w:val="0035544F"/>
    <w:rsid w:val="003559FF"/>
    <w:rsid w:val="0035677E"/>
    <w:rsid w:val="00356FE1"/>
    <w:rsid w:val="003570C8"/>
    <w:rsid w:val="003572E6"/>
    <w:rsid w:val="00360B9F"/>
    <w:rsid w:val="00360D4F"/>
    <w:rsid w:val="00361487"/>
    <w:rsid w:val="00361A3E"/>
    <w:rsid w:val="00361B76"/>
    <w:rsid w:val="00361E72"/>
    <w:rsid w:val="00361E99"/>
    <w:rsid w:val="0036208E"/>
    <w:rsid w:val="00362E78"/>
    <w:rsid w:val="00363A0F"/>
    <w:rsid w:val="00363B07"/>
    <w:rsid w:val="003640FC"/>
    <w:rsid w:val="00364295"/>
    <w:rsid w:val="00364509"/>
    <w:rsid w:val="0036492C"/>
    <w:rsid w:val="00365378"/>
    <w:rsid w:val="00365E98"/>
    <w:rsid w:val="0036605C"/>
    <w:rsid w:val="00366121"/>
    <w:rsid w:val="003664FE"/>
    <w:rsid w:val="00367143"/>
    <w:rsid w:val="00367357"/>
    <w:rsid w:val="00367A12"/>
    <w:rsid w:val="003714B5"/>
    <w:rsid w:val="0037171A"/>
    <w:rsid w:val="00371BA5"/>
    <w:rsid w:val="003720EE"/>
    <w:rsid w:val="0037247F"/>
    <w:rsid w:val="003733CF"/>
    <w:rsid w:val="003734E2"/>
    <w:rsid w:val="00373975"/>
    <w:rsid w:val="00373F17"/>
    <w:rsid w:val="0037480D"/>
    <w:rsid w:val="00375078"/>
    <w:rsid w:val="0037543F"/>
    <w:rsid w:val="003765B6"/>
    <w:rsid w:val="00376638"/>
    <w:rsid w:val="00376E50"/>
    <w:rsid w:val="00377C9B"/>
    <w:rsid w:val="00381246"/>
    <w:rsid w:val="00381414"/>
    <w:rsid w:val="00381BB1"/>
    <w:rsid w:val="00381C12"/>
    <w:rsid w:val="00382588"/>
    <w:rsid w:val="0038299A"/>
    <w:rsid w:val="003831AE"/>
    <w:rsid w:val="0038388F"/>
    <w:rsid w:val="0038398E"/>
    <w:rsid w:val="0038427D"/>
    <w:rsid w:val="00384B29"/>
    <w:rsid w:val="00385105"/>
    <w:rsid w:val="00385704"/>
    <w:rsid w:val="00385966"/>
    <w:rsid w:val="00385A8D"/>
    <w:rsid w:val="00386A0E"/>
    <w:rsid w:val="00386CFE"/>
    <w:rsid w:val="003870FB"/>
    <w:rsid w:val="00390A81"/>
    <w:rsid w:val="003913F4"/>
    <w:rsid w:val="00391558"/>
    <w:rsid w:val="003917D0"/>
    <w:rsid w:val="00392AC5"/>
    <w:rsid w:val="003941C5"/>
    <w:rsid w:val="00394450"/>
    <w:rsid w:val="0039465A"/>
    <w:rsid w:val="00395569"/>
    <w:rsid w:val="003957B3"/>
    <w:rsid w:val="00395A28"/>
    <w:rsid w:val="00395C6E"/>
    <w:rsid w:val="00396D16"/>
    <w:rsid w:val="00396E99"/>
    <w:rsid w:val="0039700D"/>
    <w:rsid w:val="003970C4"/>
    <w:rsid w:val="0039782F"/>
    <w:rsid w:val="00397E33"/>
    <w:rsid w:val="003A16E1"/>
    <w:rsid w:val="003A214B"/>
    <w:rsid w:val="003A2766"/>
    <w:rsid w:val="003A2D42"/>
    <w:rsid w:val="003A402F"/>
    <w:rsid w:val="003A467E"/>
    <w:rsid w:val="003A4824"/>
    <w:rsid w:val="003A52FC"/>
    <w:rsid w:val="003A5649"/>
    <w:rsid w:val="003A59B2"/>
    <w:rsid w:val="003A662F"/>
    <w:rsid w:val="003A6FF7"/>
    <w:rsid w:val="003A7011"/>
    <w:rsid w:val="003A7867"/>
    <w:rsid w:val="003B0B5A"/>
    <w:rsid w:val="003B0DFB"/>
    <w:rsid w:val="003B212E"/>
    <w:rsid w:val="003B2321"/>
    <w:rsid w:val="003B24DC"/>
    <w:rsid w:val="003B4012"/>
    <w:rsid w:val="003B423B"/>
    <w:rsid w:val="003B591F"/>
    <w:rsid w:val="003B633D"/>
    <w:rsid w:val="003B682E"/>
    <w:rsid w:val="003B6CCF"/>
    <w:rsid w:val="003B6F2A"/>
    <w:rsid w:val="003B6F87"/>
    <w:rsid w:val="003B71FB"/>
    <w:rsid w:val="003B72F5"/>
    <w:rsid w:val="003B7BD2"/>
    <w:rsid w:val="003C0988"/>
    <w:rsid w:val="003C0B15"/>
    <w:rsid w:val="003C0C33"/>
    <w:rsid w:val="003C1157"/>
    <w:rsid w:val="003C1E6A"/>
    <w:rsid w:val="003C2156"/>
    <w:rsid w:val="003C26C1"/>
    <w:rsid w:val="003C2E1E"/>
    <w:rsid w:val="003C33F9"/>
    <w:rsid w:val="003C36D5"/>
    <w:rsid w:val="003C3D49"/>
    <w:rsid w:val="003C4345"/>
    <w:rsid w:val="003C4C29"/>
    <w:rsid w:val="003C5219"/>
    <w:rsid w:val="003C5860"/>
    <w:rsid w:val="003C598D"/>
    <w:rsid w:val="003C5A7E"/>
    <w:rsid w:val="003C61B4"/>
    <w:rsid w:val="003C753A"/>
    <w:rsid w:val="003C7641"/>
    <w:rsid w:val="003D1BCB"/>
    <w:rsid w:val="003D1EC8"/>
    <w:rsid w:val="003D25B8"/>
    <w:rsid w:val="003D2F96"/>
    <w:rsid w:val="003D2FF4"/>
    <w:rsid w:val="003D34D0"/>
    <w:rsid w:val="003D368F"/>
    <w:rsid w:val="003D3EB8"/>
    <w:rsid w:val="003D453A"/>
    <w:rsid w:val="003D4FA7"/>
    <w:rsid w:val="003D53B9"/>
    <w:rsid w:val="003D54B0"/>
    <w:rsid w:val="003D5C4D"/>
    <w:rsid w:val="003D68D9"/>
    <w:rsid w:val="003D6C4F"/>
    <w:rsid w:val="003D703F"/>
    <w:rsid w:val="003D7763"/>
    <w:rsid w:val="003E025F"/>
    <w:rsid w:val="003E0CCC"/>
    <w:rsid w:val="003E3225"/>
    <w:rsid w:val="003E394E"/>
    <w:rsid w:val="003E395E"/>
    <w:rsid w:val="003E3A79"/>
    <w:rsid w:val="003E3C8E"/>
    <w:rsid w:val="003E3EA5"/>
    <w:rsid w:val="003E468F"/>
    <w:rsid w:val="003E4CDA"/>
    <w:rsid w:val="003E553D"/>
    <w:rsid w:val="003E6412"/>
    <w:rsid w:val="003E6674"/>
    <w:rsid w:val="003E6C77"/>
    <w:rsid w:val="003E7B2D"/>
    <w:rsid w:val="003E7BA4"/>
    <w:rsid w:val="003F0A55"/>
    <w:rsid w:val="003F0ABC"/>
    <w:rsid w:val="003F1A6A"/>
    <w:rsid w:val="003F1BA6"/>
    <w:rsid w:val="003F2932"/>
    <w:rsid w:val="003F2FCE"/>
    <w:rsid w:val="003F37B7"/>
    <w:rsid w:val="003F3A99"/>
    <w:rsid w:val="003F3CE5"/>
    <w:rsid w:val="003F504F"/>
    <w:rsid w:val="003F62EA"/>
    <w:rsid w:val="003F7140"/>
    <w:rsid w:val="003F7876"/>
    <w:rsid w:val="003F7B6D"/>
    <w:rsid w:val="004003B5"/>
    <w:rsid w:val="00400416"/>
    <w:rsid w:val="00400D3D"/>
    <w:rsid w:val="0040155A"/>
    <w:rsid w:val="0040172D"/>
    <w:rsid w:val="00402497"/>
    <w:rsid w:val="004024D1"/>
    <w:rsid w:val="00402A0F"/>
    <w:rsid w:val="00402BC7"/>
    <w:rsid w:val="00402D32"/>
    <w:rsid w:val="00403BA6"/>
    <w:rsid w:val="00403F11"/>
    <w:rsid w:val="0040419A"/>
    <w:rsid w:val="004046EB"/>
    <w:rsid w:val="00404ECF"/>
    <w:rsid w:val="00405C67"/>
    <w:rsid w:val="00406A07"/>
    <w:rsid w:val="00407AE8"/>
    <w:rsid w:val="004100F3"/>
    <w:rsid w:val="004103BA"/>
    <w:rsid w:val="00410B1B"/>
    <w:rsid w:val="00410B50"/>
    <w:rsid w:val="0041228F"/>
    <w:rsid w:val="004126FB"/>
    <w:rsid w:val="00412A7E"/>
    <w:rsid w:val="00412CAC"/>
    <w:rsid w:val="004137D2"/>
    <w:rsid w:val="00413CD5"/>
    <w:rsid w:val="00413F2A"/>
    <w:rsid w:val="004143ED"/>
    <w:rsid w:val="00414448"/>
    <w:rsid w:val="004149BF"/>
    <w:rsid w:val="0041505B"/>
    <w:rsid w:val="00415944"/>
    <w:rsid w:val="00416030"/>
    <w:rsid w:val="0041631D"/>
    <w:rsid w:val="00416860"/>
    <w:rsid w:val="0041723A"/>
    <w:rsid w:val="0041756A"/>
    <w:rsid w:val="00417E0F"/>
    <w:rsid w:val="00420313"/>
    <w:rsid w:val="00421128"/>
    <w:rsid w:val="004220DE"/>
    <w:rsid w:val="00422244"/>
    <w:rsid w:val="004225EA"/>
    <w:rsid w:val="00422F2C"/>
    <w:rsid w:val="00423A06"/>
    <w:rsid w:val="00424990"/>
    <w:rsid w:val="00424DD1"/>
    <w:rsid w:val="00424FD6"/>
    <w:rsid w:val="00427778"/>
    <w:rsid w:val="00430EBD"/>
    <w:rsid w:val="0043130A"/>
    <w:rsid w:val="004314B0"/>
    <w:rsid w:val="004314BB"/>
    <w:rsid w:val="00431527"/>
    <w:rsid w:val="004316EB"/>
    <w:rsid w:val="0043202B"/>
    <w:rsid w:val="00432D8F"/>
    <w:rsid w:val="0043368C"/>
    <w:rsid w:val="00433C49"/>
    <w:rsid w:val="00435279"/>
    <w:rsid w:val="00435D75"/>
    <w:rsid w:val="0043619C"/>
    <w:rsid w:val="00437410"/>
    <w:rsid w:val="00437994"/>
    <w:rsid w:val="0044085A"/>
    <w:rsid w:val="00440E31"/>
    <w:rsid w:val="0044213A"/>
    <w:rsid w:val="0044250F"/>
    <w:rsid w:val="004425CA"/>
    <w:rsid w:val="00442705"/>
    <w:rsid w:val="0044365C"/>
    <w:rsid w:val="00443FEA"/>
    <w:rsid w:val="00445D1B"/>
    <w:rsid w:val="00445F74"/>
    <w:rsid w:val="00446148"/>
    <w:rsid w:val="00446DB8"/>
    <w:rsid w:val="00450001"/>
    <w:rsid w:val="00450251"/>
    <w:rsid w:val="00450643"/>
    <w:rsid w:val="004518BC"/>
    <w:rsid w:val="004518CD"/>
    <w:rsid w:val="00451FE0"/>
    <w:rsid w:val="00452432"/>
    <w:rsid w:val="0045273B"/>
    <w:rsid w:val="00452796"/>
    <w:rsid w:val="00454141"/>
    <w:rsid w:val="004550FD"/>
    <w:rsid w:val="00455451"/>
    <w:rsid w:val="00455B30"/>
    <w:rsid w:val="00460085"/>
    <w:rsid w:val="00460183"/>
    <w:rsid w:val="00460697"/>
    <w:rsid w:val="00461046"/>
    <w:rsid w:val="00461290"/>
    <w:rsid w:val="0046129C"/>
    <w:rsid w:val="00461505"/>
    <w:rsid w:val="0046175E"/>
    <w:rsid w:val="00461F2F"/>
    <w:rsid w:val="004625BC"/>
    <w:rsid w:val="00462A47"/>
    <w:rsid w:val="0046342B"/>
    <w:rsid w:val="00465220"/>
    <w:rsid w:val="004654E2"/>
    <w:rsid w:val="00465726"/>
    <w:rsid w:val="00465C04"/>
    <w:rsid w:val="004666AA"/>
    <w:rsid w:val="004669C4"/>
    <w:rsid w:val="00466E3C"/>
    <w:rsid w:val="00467234"/>
    <w:rsid w:val="00467B86"/>
    <w:rsid w:val="00470003"/>
    <w:rsid w:val="004714E5"/>
    <w:rsid w:val="0047237E"/>
    <w:rsid w:val="00474103"/>
    <w:rsid w:val="0047444B"/>
    <w:rsid w:val="00474E3F"/>
    <w:rsid w:val="00474F58"/>
    <w:rsid w:val="0047557B"/>
    <w:rsid w:val="00475624"/>
    <w:rsid w:val="00480843"/>
    <w:rsid w:val="00481136"/>
    <w:rsid w:val="004813A6"/>
    <w:rsid w:val="00481445"/>
    <w:rsid w:val="00481A3B"/>
    <w:rsid w:val="0048220A"/>
    <w:rsid w:val="00482797"/>
    <w:rsid w:val="0048292B"/>
    <w:rsid w:val="00482D0B"/>
    <w:rsid w:val="00482FB6"/>
    <w:rsid w:val="00484079"/>
    <w:rsid w:val="00485FF7"/>
    <w:rsid w:val="00486413"/>
    <w:rsid w:val="00486543"/>
    <w:rsid w:val="00487996"/>
    <w:rsid w:val="004906DC"/>
    <w:rsid w:val="00490B61"/>
    <w:rsid w:val="00491F0F"/>
    <w:rsid w:val="004922DC"/>
    <w:rsid w:val="00492867"/>
    <w:rsid w:val="00492A43"/>
    <w:rsid w:val="004931B3"/>
    <w:rsid w:val="0049323F"/>
    <w:rsid w:val="00493F94"/>
    <w:rsid w:val="004941B0"/>
    <w:rsid w:val="00494279"/>
    <w:rsid w:val="00494E78"/>
    <w:rsid w:val="004958E6"/>
    <w:rsid w:val="00495E4A"/>
    <w:rsid w:val="0049661A"/>
    <w:rsid w:val="004976E9"/>
    <w:rsid w:val="004A0EE6"/>
    <w:rsid w:val="004A0F4A"/>
    <w:rsid w:val="004A1058"/>
    <w:rsid w:val="004A11FC"/>
    <w:rsid w:val="004A15FF"/>
    <w:rsid w:val="004A1A55"/>
    <w:rsid w:val="004A1A94"/>
    <w:rsid w:val="004A3255"/>
    <w:rsid w:val="004A32D6"/>
    <w:rsid w:val="004A652A"/>
    <w:rsid w:val="004A6D22"/>
    <w:rsid w:val="004B03F5"/>
    <w:rsid w:val="004B044E"/>
    <w:rsid w:val="004B0667"/>
    <w:rsid w:val="004B099B"/>
    <w:rsid w:val="004B1EF5"/>
    <w:rsid w:val="004B50F6"/>
    <w:rsid w:val="004B51B8"/>
    <w:rsid w:val="004B6470"/>
    <w:rsid w:val="004B69B4"/>
    <w:rsid w:val="004B6A0E"/>
    <w:rsid w:val="004B6A96"/>
    <w:rsid w:val="004B7743"/>
    <w:rsid w:val="004B776F"/>
    <w:rsid w:val="004B7D10"/>
    <w:rsid w:val="004C153F"/>
    <w:rsid w:val="004C1A6A"/>
    <w:rsid w:val="004C30C0"/>
    <w:rsid w:val="004C3294"/>
    <w:rsid w:val="004C381A"/>
    <w:rsid w:val="004C3BE4"/>
    <w:rsid w:val="004C404F"/>
    <w:rsid w:val="004C4084"/>
    <w:rsid w:val="004C4147"/>
    <w:rsid w:val="004C451E"/>
    <w:rsid w:val="004C497E"/>
    <w:rsid w:val="004C4BFD"/>
    <w:rsid w:val="004C5176"/>
    <w:rsid w:val="004C5ABF"/>
    <w:rsid w:val="004C6700"/>
    <w:rsid w:val="004C673F"/>
    <w:rsid w:val="004C6C94"/>
    <w:rsid w:val="004C75D2"/>
    <w:rsid w:val="004D00EA"/>
    <w:rsid w:val="004D0130"/>
    <w:rsid w:val="004D03F3"/>
    <w:rsid w:val="004D0BE8"/>
    <w:rsid w:val="004D125A"/>
    <w:rsid w:val="004D13C1"/>
    <w:rsid w:val="004D13D1"/>
    <w:rsid w:val="004D1762"/>
    <w:rsid w:val="004D2501"/>
    <w:rsid w:val="004D3335"/>
    <w:rsid w:val="004D364F"/>
    <w:rsid w:val="004D3C7D"/>
    <w:rsid w:val="004D42D0"/>
    <w:rsid w:val="004D50EC"/>
    <w:rsid w:val="004D68F0"/>
    <w:rsid w:val="004D7257"/>
    <w:rsid w:val="004D7D85"/>
    <w:rsid w:val="004E092F"/>
    <w:rsid w:val="004E1AA8"/>
    <w:rsid w:val="004E229C"/>
    <w:rsid w:val="004E5095"/>
    <w:rsid w:val="004E643D"/>
    <w:rsid w:val="004E6820"/>
    <w:rsid w:val="004E7121"/>
    <w:rsid w:val="004E76B4"/>
    <w:rsid w:val="004E7819"/>
    <w:rsid w:val="004E7A0F"/>
    <w:rsid w:val="004F0421"/>
    <w:rsid w:val="004F09CD"/>
    <w:rsid w:val="004F1278"/>
    <w:rsid w:val="004F1997"/>
    <w:rsid w:val="004F2100"/>
    <w:rsid w:val="004F22FD"/>
    <w:rsid w:val="004F265D"/>
    <w:rsid w:val="004F290D"/>
    <w:rsid w:val="004F3044"/>
    <w:rsid w:val="004F37CE"/>
    <w:rsid w:val="004F3B80"/>
    <w:rsid w:val="004F4A9D"/>
    <w:rsid w:val="004F4EDE"/>
    <w:rsid w:val="004F4F49"/>
    <w:rsid w:val="004F613C"/>
    <w:rsid w:val="004F6349"/>
    <w:rsid w:val="004F6B8A"/>
    <w:rsid w:val="004F6EA2"/>
    <w:rsid w:val="004F6EED"/>
    <w:rsid w:val="004F70A5"/>
    <w:rsid w:val="00500C95"/>
    <w:rsid w:val="00500FFA"/>
    <w:rsid w:val="0050109E"/>
    <w:rsid w:val="0050173C"/>
    <w:rsid w:val="0050210B"/>
    <w:rsid w:val="00502290"/>
    <w:rsid w:val="005026A6"/>
    <w:rsid w:val="00502D00"/>
    <w:rsid w:val="005034FE"/>
    <w:rsid w:val="00503519"/>
    <w:rsid w:val="0050359A"/>
    <w:rsid w:val="00504355"/>
    <w:rsid w:val="005045B1"/>
    <w:rsid w:val="00504A67"/>
    <w:rsid w:val="00504CEC"/>
    <w:rsid w:val="00504E93"/>
    <w:rsid w:val="005054BD"/>
    <w:rsid w:val="00505BC0"/>
    <w:rsid w:val="00505D0A"/>
    <w:rsid w:val="00505FFB"/>
    <w:rsid w:val="00506815"/>
    <w:rsid w:val="00506A20"/>
    <w:rsid w:val="00506E32"/>
    <w:rsid w:val="00507233"/>
    <w:rsid w:val="00507AC4"/>
    <w:rsid w:val="00507E45"/>
    <w:rsid w:val="00511289"/>
    <w:rsid w:val="00511D17"/>
    <w:rsid w:val="00512253"/>
    <w:rsid w:val="005125EA"/>
    <w:rsid w:val="0051486B"/>
    <w:rsid w:val="00515330"/>
    <w:rsid w:val="0051584F"/>
    <w:rsid w:val="0051591C"/>
    <w:rsid w:val="0051626E"/>
    <w:rsid w:val="005162AE"/>
    <w:rsid w:val="00516354"/>
    <w:rsid w:val="005164BB"/>
    <w:rsid w:val="005166B8"/>
    <w:rsid w:val="00516A33"/>
    <w:rsid w:val="00516DFD"/>
    <w:rsid w:val="005170C8"/>
    <w:rsid w:val="00517116"/>
    <w:rsid w:val="00517566"/>
    <w:rsid w:val="00517709"/>
    <w:rsid w:val="00517DC8"/>
    <w:rsid w:val="005200E9"/>
    <w:rsid w:val="00520CE5"/>
    <w:rsid w:val="00520D13"/>
    <w:rsid w:val="00520E89"/>
    <w:rsid w:val="00521092"/>
    <w:rsid w:val="005218E9"/>
    <w:rsid w:val="005229BF"/>
    <w:rsid w:val="00522AD2"/>
    <w:rsid w:val="00523173"/>
    <w:rsid w:val="00523779"/>
    <w:rsid w:val="00523845"/>
    <w:rsid w:val="005247AA"/>
    <w:rsid w:val="00524CFA"/>
    <w:rsid w:val="00525012"/>
    <w:rsid w:val="00525111"/>
    <w:rsid w:val="005257B1"/>
    <w:rsid w:val="005257C6"/>
    <w:rsid w:val="005260FE"/>
    <w:rsid w:val="00526670"/>
    <w:rsid w:val="00526687"/>
    <w:rsid w:val="00527274"/>
    <w:rsid w:val="00527A09"/>
    <w:rsid w:val="00527AE5"/>
    <w:rsid w:val="00530D6C"/>
    <w:rsid w:val="00531CA7"/>
    <w:rsid w:val="00531D1C"/>
    <w:rsid w:val="00531D68"/>
    <w:rsid w:val="00531EAD"/>
    <w:rsid w:val="00531ECA"/>
    <w:rsid w:val="00532B27"/>
    <w:rsid w:val="00532F01"/>
    <w:rsid w:val="00534653"/>
    <w:rsid w:val="00534CFC"/>
    <w:rsid w:val="00535C60"/>
    <w:rsid w:val="00535E51"/>
    <w:rsid w:val="00537124"/>
    <w:rsid w:val="005371D3"/>
    <w:rsid w:val="00540484"/>
    <w:rsid w:val="00540BDF"/>
    <w:rsid w:val="005412CF"/>
    <w:rsid w:val="005422C3"/>
    <w:rsid w:val="0054256D"/>
    <w:rsid w:val="005426E2"/>
    <w:rsid w:val="00542A10"/>
    <w:rsid w:val="00544524"/>
    <w:rsid w:val="0054470F"/>
    <w:rsid w:val="00544749"/>
    <w:rsid w:val="00544833"/>
    <w:rsid w:val="0054485C"/>
    <w:rsid w:val="005448FA"/>
    <w:rsid w:val="0054632C"/>
    <w:rsid w:val="005464C1"/>
    <w:rsid w:val="005467E8"/>
    <w:rsid w:val="00550E8E"/>
    <w:rsid w:val="0055102A"/>
    <w:rsid w:val="005533A8"/>
    <w:rsid w:val="005546BB"/>
    <w:rsid w:val="00554A6E"/>
    <w:rsid w:val="00554E15"/>
    <w:rsid w:val="00555245"/>
    <w:rsid w:val="00555499"/>
    <w:rsid w:val="005557B4"/>
    <w:rsid w:val="005557F8"/>
    <w:rsid w:val="00555949"/>
    <w:rsid w:val="00555F5D"/>
    <w:rsid w:val="00556019"/>
    <w:rsid w:val="0055607D"/>
    <w:rsid w:val="005562C6"/>
    <w:rsid w:val="00556FAA"/>
    <w:rsid w:val="005575BE"/>
    <w:rsid w:val="0056002A"/>
    <w:rsid w:val="00560871"/>
    <w:rsid w:val="00560D67"/>
    <w:rsid w:val="00561502"/>
    <w:rsid w:val="00563104"/>
    <w:rsid w:val="00563D6A"/>
    <w:rsid w:val="00564363"/>
    <w:rsid w:val="00564A49"/>
    <w:rsid w:val="00565049"/>
    <w:rsid w:val="00565402"/>
    <w:rsid w:val="005656AD"/>
    <w:rsid w:val="005657A8"/>
    <w:rsid w:val="0056604D"/>
    <w:rsid w:val="00567993"/>
    <w:rsid w:val="005679CE"/>
    <w:rsid w:val="00570AB4"/>
    <w:rsid w:val="00570BF7"/>
    <w:rsid w:val="00570F3C"/>
    <w:rsid w:val="00571A1A"/>
    <w:rsid w:val="0057351E"/>
    <w:rsid w:val="00576326"/>
    <w:rsid w:val="00576967"/>
    <w:rsid w:val="00576D8E"/>
    <w:rsid w:val="00577343"/>
    <w:rsid w:val="00577675"/>
    <w:rsid w:val="00580916"/>
    <w:rsid w:val="00580F9F"/>
    <w:rsid w:val="00581F4A"/>
    <w:rsid w:val="0058205A"/>
    <w:rsid w:val="00582486"/>
    <w:rsid w:val="005824B3"/>
    <w:rsid w:val="0058254F"/>
    <w:rsid w:val="005826E6"/>
    <w:rsid w:val="00582A38"/>
    <w:rsid w:val="00582C55"/>
    <w:rsid w:val="00583DC0"/>
    <w:rsid w:val="00584097"/>
    <w:rsid w:val="005841EC"/>
    <w:rsid w:val="0058465B"/>
    <w:rsid w:val="00584F74"/>
    <w:rsid w:val="0058528B"/>
    <w:rsid w:val="005852CD"/>
    <w:rsid w:val="00585B31"/>
    <w:rsid w:val="00585BDB"/>
    <w:rsid w:val="00585C2E"/>
    <w:rsid w:val="00585F58"/>
    <w:rsid w:val="005879D1"/>
    <w:rsid w:val="00587FE0"/>
    <w:rsid w:val="005906DB"/>
    <w:rsid w:val="005911EB"/>
    <w:rsid w:val="00591FC4"/>
    <w:rsid w:val="005933BC"/>
    <w:rsid w:val="0059522A"/>
    <w:rsid w:val="00595626"/>
    <w:rsid w:val="00595831"/>
    <w:rsid w:val="00597EE3"/>
    <w:rsid w:val="005A0559"/>
    <w:rsid w:val="005A0926"/>
    <w:rsid w:val="005A1337"/>
    <w:rsid w:val="005A1873"/>
    <w:rsid w:val="005A1DD4"/>
    <w:rsid w:val="005A22EB"/>
    <w:rsid w:val="005A236A"/>
    <w:rsid w:val="005A262E"/>
    <w:rsid w:val="005A312C"/>
    <w:rsid w:val="005A3373"/>
    <w:rsid w:val="005A3507"/>
    <w:rsid w:val="005A4865"/>
    <w:rsid w:val="005A5450"/>
    <w:rsid w:val="005A5804"/>
    <w:rsid w:val="005A62AF"/>
    <w:rsid w:val="005A681F"/>
    <w:rsid w:val="005A7728"/>
    <w:rsid w:val="005A79B7"/>
    <w:rsid w:val="005B0475"/>
    <w:rsid w:val="005B0EBE"/>
    <w:rsid w:val="005B0F0C"/>
    <w:rsid w:val="005B2B97"/>
    <w:rsid w:val="005B3548"/>
    <w:rsid w:val="005B38CE"/>
    <w:rsid w:val="005B5A82"/>
    <w:rsid w:val="005B633D"/>
    <w:rsid w:val="005B6509"/>
    <w:rsid w:val="005B65AA"/>
    <w:rsid w:val="005B7B15"/>
    <w:rsid w:val="005C0370"/>
    <w:rsid w:val="005C21EE"/>
    <w:rsid w:val="005C2646"/>
    <w:rsid w:val="005C26A7"/>
    <w:rsid w:val="005C29DA"/>
    <w:rsid w:val="005C2B8A"/>
    <w:rsid w:val="005C342E"/>
    <w:rsid w:val="005C4205"/>
    <w:rsid w:val="005C436F"/>
    <w:rsid w:val="005C437A"/>
    <w:rsid w:val="005C5477"/>
    <w:rsid w:val="005C5857"/>
    <w:rsid w:val="005C62A9"/>
    <w:rsid w:val="005C68A2"/>
    <w:rsid w:val="005D0423"/>
    <w:rsid w:val="005D1416"/>
    <w:rsid w:val="005D1CDC"/>
    <w:rsid w:val="005D212C"/>
    <w:rsid w:val="005D24E8"/>
    <w:rsid w:val="005D3341"/>
    <w:rsid w:val="005D3D52"/>
    <w:rsid w:val="005D3E4C"/>
    <w:rsid w:val="005D4193"/>
    <w:rsid w:val="005D42D7"/>
    <w:rsid w:val="005D43B3"/>
    <w:rsid w:val="005D667C"/>
    <w:rsid w:val="005D71BA"/>
    <w:rsid w:val="005E017A"/>
    <w:rsid w:val="005E08FA"/>
    <w:rsid w:val="005E0A28"/>
    <w:rsid w:val="005E1B01"/>
    <w:rsid w:val="005E24B4"/>
    <w:rsid w:val="005E2FAD"/>
    <w:rsid w:val="005E39A1"/>
    <w:rsid w:val="005E3EB9"/>
    <w:rsid w:val="005E4D6B"/>
    <w:rsid w:val="005E507B"/>
    <w:rsid w:val="005E5169"/>
    <w:rsid w:val="005E59B2"/>
    <w:rsid w:val="005E5B8B"/>
    <w:rsid w:val="005E603D"/>
    <w:rsid w:val="005E6054"/>
    <w:rsid w:val="005E7F43"/>
    <w:rsid w:val="005F0E0E"/>
    <w:rsid w:val="005F1423"/>
    <w:rsid w:val="005F3475"/>
    <w:rsid w:val="005F4479"/>
    <w:rsid w:val="005F5C7E"/>
    <w:rsid w:val="005F613B"/>
    <w:rsid w:val="005F70D5"/>
    <w:rsid w:val="005F70F1"/>
    <w:rsid w:val="0060097E"/>
    <w:rsid w:val="0060101E"/>
    <w:rsid w:val="00601702"/>
    <w:rsid w:val="006019D4"/>
    <w:rsid w:val="006028A6"/>
    <w:rsid w:val="00602B71"/>
    <w:rsid w:val="006030F9"/>
    <w:rsid w:val="00604113"/>
    <w:rsid w:val="00604881"/>
    <w:rsid w:val="0060661C"/>
    <w:rsid w:val="00607350"/>
    <w:rsid w:val="00607747"/>
    <w:rsid w:val="00607D64"/>
    <w:rsid w:val="006100EE"/>
    <w:rsid w:val="0061045C"/>
    <w:rsid w:val="006107A5"/>
    <w:rsid w:val="00610A2D"/>
    <w:rsid w:val="00611183"/>
    <w:rsid w:val="0061192F"/>
    <w:rsid w:val="00611CF0"/>
    <w:rsid w:val="0061343A"/>
    <w:rsid w:val="00613B3B"/>
    <w:rsid w:val="0061486E"/>
    <w:rsid w:val="00616971"/>
    <w:rsid w:val="0062044E"/>
    <w:rsid w:val="00620C7B"/>
    <w:rsid w:val="00620DB3"/>
    <w:rsid w:val="006213BB"/>
    <w:rsid w:val="006219B0"/>
    <w:rsid w:val="00621D1E"/>
    <w:rsid w:val="0062204B"/>
    <w:rsid w:val="006227BC"/>
    <w:rsid w:val="00622DCD"/>
    <w:rsid w:val="00623D6C"/>
    <w:rsid w:val="0062596A"/>
    <w:rsid w:val="00625D21"/>
    <w:rsid w:val="00625DCD"/>
    <w:rsid w:val="00625EE3"/>
    <w:rsid w:val="00627004"/>
    <w:rsid w:val="006273A6"/>
    <w:rsid w:val="00627BBE"/>
    <w:rsid w:val="0063019D"/>
    <w:rsid w:val="00630655"/>
    <w:rsid w:val="006308CB"/>
    <w:rsid w:val="00630AEB"/>
    <w:rsid w:val="00630E9C"/>
    <w:rsid w:val="006331AA"/>
    <w:rsid w:val="00633561"/>
    <w:rsid w:val="00633F36"/>
    <w:rsid w:val="006343BA"/>
    <w:rsid w:val="006351D0"/>
    <w:rsid w:val="006359D6"/>
    <w:rsid w:val="00635CD8"/>
    <w:rsid w:val="0063618B"/>
    <w:rsid w:val="00636589"/>
    <w:rsid w:val="006366D1"/>
    <w:rsid w:val="00637408"/>
    <w:rsid w:val="0063771E"/>
    <w:rsid w:val="006400ED"/>
    <w:rsid w:val="00640E5C"/>
    <w:rsid w:val="006414B5"/>
    <w:rsid w:val="0064269A"/>
    <w:rsid w:val="00642FF1"/>
    <w:rsid w:val="00643B6F"/>
    <w:rsid w:val="00644139"/>
    <w:rsid w:val="006445E4"/>
    <w:rsid w:val="006454A8"/>
    <w:rsid w:val="006463F5"/>
    <w:rsid w:val="00647FFC"/>
    <w:rsid w:val="00651524"/>
    <w:rsid w:val="00651993"/>
    <w:rsid w:val="00651F75"/>
    <w:rsid w:val="00652265"/>
    <w:rsid w:val="00652A1F"/>
    <w:rsid w:val="00652C85"/>
    <w:rsid w:val="006531C0"/>
    <w:rsid w:val="00654068"/>
    <w:rsid w:val="00654768"/>
    <w:rsid w:val="0065481E"/>
    <w:rsid w:val="00654EEA"/>
    <w:rsid w:val="00654F8E"/>
    <w:rsid w:val="006567AC"/>
    <w:rsid w:val="00657F09"/>
    <w:rsid w:val="006601F2"/>
    <w:rsid w:val="00660E75"/>
    <w:rsid w:val="00661B3B"/>
    <w:rsid w:val="00662078"/>
    <w:rsid w:val="006643B7"/>
    <w:rsid w:val="006649D7"/>
    <w:rsid w:val="00664F49"/>
    <w:rsid w:val="006651BF"/>
    <w:rsid w:val="006657F8"/>
    <w:rsid w:val="00665D35"/>
    <w:rsid w:val="0066613D"/>
    <w:rsid w:val="006666FA"/>
    <w:rsid w:val="00666CE7"/>
    <w:rsid w:val="00666EB6"/>
    <w:rsid w:val="006676D3"/>
    <w:rsid w:val="00667733"/>
    <w:rsid w:val="00667C20"/>
    <w:rsid w:val="006702E2"/>
    <w:rsid w:val="00670583"/>
    <w:rsid w:val="00670CDA"/>
    <w:rsid w:val="0067145E"/>
    <w:rsid w:val="006714CC"/>
    <w:rsid w:val="00671769"/>
    <w:rsid w:val="00672221"/>
    <w:rsid w:val="0067360B"/>
    <w:rsid w:val="0067408E"/>
    <w:rsid w:val="00674BB1"/>
    <w:rsid w:val="00674F17"/>
    <w:rsid w:val="00674F84"/>
    <w:rsid w:val="00675DB9"/>
    <w:rsid w:val="00676227"/>
    <w:rsid w:val="0067622F"/>
    <w:rsid w:val="006773E6"/>
    <w:rsid w:val="00677DA0"/>
    <w:rsid w:val="0068027F"/>
    <w:rsid w:val="00680324"/>
    <w:rsid w:val="0068088D"/>
    <w:rsid w:val="00681251"/>
    <w:rsid w:val="006823D7"/>
    <w:rsid w:val="0068302E"/>
    <w:rsid w:val="006832E1"/>
    <w:rsid w:val="00683879"/>
    <w:rsid w:val="00684457"/>
    <w:rsid w:val="00684B1B"/>
    <w:rsid w:val="00685832"/>
    <w:rsid w:val="00685CB9"/>
    <w:rsid w:val="00687500"/>
    <w:rsid w:val="00687855"/>
    <w:rsid w:val="00687B3C"/>
    <w:rsid w:val="006900E9"/>
    <w:rsid w:val="0069073C"/>
    <w:rsid w:val="0069094F"/>
    <w:rsid w:val="00690B6D"/>
    <w:rsid w:val="0069169B"/>
    <w:rsid w:val="00691781"/>
    <w:rsid w:val="006921A2"/>
    <w:rsid w:val="00692529"/>
    <w:rsid w:val="006939A9"/>
    <w:rsid w:val="0069413D"/>
    <w:rsid w:val="0069427C"/>
    <w:rsid w:val="00694E6A"/>
    <w:rsid w:val="0069600A"/>
    <w:rsid w:val="0069780A"/>
    <w:rsid w:val="006A16F3"/>
    <w:rsid w:val="006A23F9"/>
    <w:rsid w:val="006A3123"/>
    <w:rsid w:val="006A3763"/>
    <w:rsid w:val="006A4BCA"/>
    <w:rsid w:val="006A504D"/>
    <w:rsid w:val="006A5E3F"/>
    <w:rsid w:val="006A5F41"/>
    <w:rsid w:val="006A6270"/>
    <w:rsid w:val="006A6B3E"/>
    <w:rsid w:val="006A751B"/>
    <w:rsid w:val="006A7863"/>
    <w:rsid w:val="006A7F10"/>
    <w:rsid w:val="006B0175"/>
    <w:rsid w:val="006B017A"/>
    <w:rsid w:val="006B04C5"/>
    <w:rsid w:val="006B0DC9"/>
    <w:rsid w:val="006B145F"/>
    <w:rsid w:val="006B1631"/>
    <w:rsid w:val="006B1C50"/>
    <w:rsid w:val="006B2984"/>
    <w:rsid w:val="006B39C4"/>
    <w:rsid w:val="006B4176"/>
    <w:rsid w:val="006B4F1F"/>
    <w:rsid w:val="006B54B6"/>
    <w:rsid w:val="006B67A4"/>
    <w:rsid w:val="006B6AC8"/>
    <w:rsid w:val="006B7456"/>
    <w:rsid w:val="006B7837"/>
    <w:rsid w:val="006C014D"/>
    <w:rsid w:val="006C1CCC"/>
    <w:rsid w:val="006C2DB4"/>
    <w:rsid w:val="006C4726"/>
    <w:rsid w:val="006C4A62"/>
    <w:rsid w:val="006C5165"/>
    <w:rsid w:val="006C53E4"/>
    <w:rsid w:val="006C684B"/>
    <w:rsid w:val="006C6FD9"/>
    <w:rsid w:val="006C71DE"/>
    <w:rsid w:val="006C760D"/>
    <w:rsid w:val="006C7822"/>
    <w:rsid w:val="006D1892"/>
    <w:rsid w:val="006D1D4D"/>
    <w:rsid w:val="006D1E4B"/>
    <w:rsid w:val="006D223A"/>
    <w:rsid w:val="006D240D"/>
    <w:rsid w:val="006D28D3"/>
    <w:rsid w:val="006D36BE"/>
    <w:rsid w:val="006D3C9A"/>
    <w:rsid w:val="006D4951"/>
    <w:rsid w:val="006D4FEF"/>
    <w:rsid w:val="006D5807"/>
    <w:rsid w:val="006D5B72"/>
    <w:rsid w:val="006D67F1"/>
    <w:rsid w:val="006D72D3"/>
    <w:rsid w:val="006D7469"/>
    <w:rsid w:val="006D773D"/>
    <w:rsid w:val="006E0433"/>
    <w:rsid w:val="006E225A"/>
    <w:rsid w:val="006E3078"/>
    <w:rsid w:val="006E4918"/>
    <w:rsid w:val="006E6290"/>
    <w:rsid w:val="006E67CC"/>
    <w:rsid w:val="006E6B3C"/>
    <w:rsid w:val="006E6DBD"/>
    <w:rsid w:val="006E70CB"/>
    <w:rsid w:val="006E71F2"/>
    <w:rsid w:val="006E7E82"/>
    <w:rsid w:val="006F16E6"/>
    <w:rsid w:val="006F23E6"/>
    <w:rsid w:val="006F2471"/>
    <w:rsid w:val="006F2528"/>
    <w:rsid w:val="006F29B7"/>
    <w:rsid w:val="006F3311"/>
    <w:rsid w:val="006F33F4"/>
    <w:rsid w:val="006F3406"/>
    <w:rsid w:val="006F3F80"/>
    <w:rsid w:val="006F4B90"/>
    <w:rsid w:val="006F51CB"/>
    <w:rsid w:val="006F5DCD"/>
    <w:rsid w:val="006F68BB"/>
    <w:rsid w:val="006F7494"/>
    <w:rsid w:val="006F754C"/>
    <w:rsid w:val="006F791A"/>
    <w:rsid w:val="006F7AA0"/>
    <w:rsid w:val="006F7FE7"/>
    <w:rsid w:val="0070010C"/>
    <w:rsid w:val="00700239"/>
    <w:rsid w:val="007007FF"/>
    <w:rsid w:val="007008C1"/>
    <w:rsid w:val="00700909"/>
    <w:rsid w:val="00701C66"/>
    <w:rsid w:val="007021B2"/>
    <w:rsid w:val="00702660"/>
    <w:rsid w:val="007026B7"/>
    <w:rsid w:val="0070304E"/>
    <w:rsid w:val="007038CB"/>
    <w:rsid w:val="0070409D"/>
    <w:rsid w:val="00705175"/>
    <w:rsid w:val="00705183"/>
    <w:rsid w:val="00705928"/>
    <w:rsid w:val="00705B0A"/>
    <w:rsid w:val="00705E8C"/>
    <w:rsid w:val="007069D6"/>
    <w:rsid w:val="00706D16"/>
    <w:rsid w:val="00706F78"/>
    <w:rsid w:val="007078DB"/>
    <w:rsid w:val="00710B74"/>
    <w:rsid w:val="00710B8C"/>
    <w:rsid w:val="00710D62"/>
    <w:rsid w:val="007127F9"/>
    <w:rsid w:val="007128F6"/>
    <w:rsid w:val="00712941"/>
    <w:rsid w:val="007138DA"/>
    <w:rsid w:val="00713D9C"/>
    <w:rsid w:val="00714951"/>
    <w:rsid w:val="00715B82"/>
    <w:rsid w:val="00715F3E"/>
    <w:rsid w:val="007161C5"/>
    <w:rsid w:val="0071721B"/>
    <w:rsid w:val="007174D6"/>
    <w:rsid w:val="00717A37"/>
    <w:rsid w:val="00717ACE"/>
    <w:rsid w:val="00717B31"/>
    <w:rsid w:val="00717E30"/>
    <w:rsid w:val="007221C0"/>
    <w:rsid w:val="00722ADC"/>
    <w:rsid w:val="00722DDF"/>
    <w:rsid w:val="0072537B"/>
    <w:rsid w:val="0072556D"/>
    <w:rsid w:val="00725B0B"/>
    <w:rsid w:val="00725E48"/>
    <w:rsid w:val="00725F79"/>
    <w:rsid w:val="00727620"/>
    <w:rsid w:val="00727979"/>
    <w:rsid w:val="00727D0B"/>
    <w:rsid w:val="007302A7"/>
    <w:rsid w:val="00730800"/>
    <w:rsid w:val="00730C09"/>
    <w:rsid w:val="007311F8"/>
    <w:rsid w:val="00731522"/>
    <w:rsid w:val="0073191B"/>
    <w:rsid w:val="007323C6"/>
    <w:rsid w:val="00732945"/>
    <w:rsid w:val="007329F7"/>
    <w:rsid w:val="007334C7"/>
    <w:rsid w:val="007344A3"/>
    <w:rsid w:val="007347BF"/>
    <w:rsid w:val="0073569A"/>
    <w:rsid w:val="007356A3"/>
    <w:rsid w:val="00735D38"/>
    <w:rsid w:val="00735D64"/>
    <w:rsid w:val="007363A2"/>
    <w:rsid w:val="007363FB"/>
    <w:rsid w:val="00736EA7"/>
    <w:rsid w:val="007373A0"/>
    <w:rsid w:val="00740183"/>
    <w:rsid w:val="0074052A"/>
    <w:rsid w:val="00740E3E"/>
    <w:rsid w:val="007411BA"/>
    <w:rsid w:val="007411FA"/>
    <w:rsid w:val="007417AE"/>
    <w:rsid w:val="00741A77"/>
    <w:rsid w:val="00742602"/>
    <w:rsid w:val="00742765"/>
    <w:rsid w:val="00742C60"/>
    <w:rsid w:val="007431F1"/>
    <w:rsid w:val="007433FE"/>
    <w:rsid w:val="00743688"/>
    <w:rsid w:val="00743F53"/>
    <w:rsid w:val="00745A35"/>
    <w:rsid w:val="00745DFB"/>
    <w:rsid w:val="00745ED9"/>
    <w:rsid w:val="00746B34"/>
    <w:rsid w:val="00746F0D"/>
    <w:rsid w:val="00747B96"/>
    <w:rsid w:val="00747EE0"/>
    <w:rsid w:val="007500A2"/>
    <w:rsid w:val="007506E9"/>
    <w:rsid w:val="00751072"/>
    <w:rsid w:val="007515D1"/>
    <w:rsid w:val="0075210E"/>
    <w:rsid w:val="00752D08"/>
    <w:rsid w:val="0075304C"/>
    <w:rsid w:val="0075358C"/>
    <w:rsid w:val="007535C5"/>
    <w:rsid w:val="00753994"/>
    <w:rsid w:val="00753C15"/>
    <w:rsid w:val="00753EA3"/>
    <w:rsid w:val="00754A6C"/>
    <w:rsid w:val="00754AE0"/>
    <w:rsid w:val="00754D99"/>
    <w:rsid w:val="00755D30"/>
    <w:rsid w:val="0075650A"/>
    <w:rsid w:val="00756B91"/>
    <w:rsid w:val="00756E35"/>
    <w:rsid w:val="00757261"/>
    <w:rsid w:val="00760055"/>
    <w:rsid w:val="007603E4"/>
    <w:rsid w:val="007603F9"/>
    <w:rsid w:val="0076206B"/>
    <w:rsid w:val="00762726"/>
    <w:rsid w:val="00762818"/>
    <w:rsid w:val="00762D09"/>
    <w:rsid w:val="00763166"/>
    <w:rsid w:val="007631BE"/>
    <w:rsid w:val="00763201"/>
    <w:rsid w:val="00763BCF"/>
    <w:rsid w:val="00763D8C"/>
    <w:rsid w:val="00763E58"/>
    <w:rsid w:val="00763F04"/>
    <w:rsid w:val="00764D3E"/>
    <w:rsid w:val="00764DD1"/>
    <w:rsid w:val="00765799"/>
    <w:rsid w:val="00765AD0"/>
    <w:rsid w:val="00765D9D"/>
    <w:rsid w:val="00766149"/>
    <w:rsid w:val="0076663C"/>
    <w:rsid w:val="00766A0E"/>
    <w:rsid w:val="00767AE0"/>
    <w:rsid w:val="00771DF3"/>
    <w:rsid w:val="0077382C"/>
    <w:rsid w:val="00773CAF"/>
    <w:rsid w:val="0077527B"/>
    <w:rsid w:val="007754C3"/>
    <w:rsid w:val="00775C40"/>
    <w:rsid w:val="00775D11"/>
    <w:rsid w:val="00777AA3"/>
    <w:rsid w:val="0078016C"/>
    <w:rsid w:val="007803EF"/>
    <w:rsid w:val="00780813"/>
    <w:rsid w:val="00780834"/>
    <w:rsid w:val="00780D48"/>
    <w:rsid w:val="007814D7"/>
    <w:rsid w:val="00782244"/>
    <w:rsid w:val="007822B9"/>
    <w:rsid w:val="0078236A"/>
    <w:rsid w:val="00782CE7"/>
    <w:rsid w:val="00783400"/>
    <w:rsid w:val="007839E1"/>
    <w:rsid w:val="007849A6"/>
    <w:rsid w:val="00785422"/>
    <w:rsid w:val="007862E5"/>
    <w:rsid w:val="007865DE"/>
    <w:rsid w:val="00786CC8"/>
    <w:rsid w:val="0078760F"/>
    <w:rsid w:val="007878E7"/>
    <w:rsid w:val="00787A01"/>
    <w:rsid w:val="0079025E"/>
    <w:rsid w:val="00790345"/>
    <w:rsid w:val="00790F46"/>
    <w:rsid w:val="007911F4"/>
    <w:rsid w:val="00792555"/>
    <w:rsid w:val="00792603"/>
    <w:rsid w:val="007930DB"/>
    <w:rsid w:val="007933EC"/>
    <w:rsid w:val="00793A93"/>
    <w:rsid w:val="007940F9"/>
    <w:rsid w:val="0079435C"/>
    <w:rsid w:val="007943C4"/>
    <w:rsid w:val="00794B35"/>
    <w:rsid w:val="0079547F"/>
    <w:rsid w:val="007954F8"/>
    <w:rsid w:val="0079565F"/>
    <w:rsid w:val="00797261"/>
    <w:rsid w:val="00797526"/>
    <w:rsid w:val="00797B08"/>
    <w:rsid w:val="007A0179"/>
    <w:rsid w:val="007A119F"/>
    <w:rsid w:val="007A1A2A"/>
    <w:rsid w:val="007A20B5"/>
    <w:rsid w:val="007A2834"/>
    <w:rsid w:val="007A35A7"/>
    <w:rsid w:val="007A38F5"/>
    <w:rsid w:val="007A3B66"/>
    <w:rsid w:val="007A3E34"/>
    <w:rsid w:val="007B112C"/>
    <w:rsid w:val="007B116E"/>
    <w:rsid w:val="007B1DCC"/>
    <w:rsid w:val="007B2250"/>
    <w:rsid w:val="007B2A08"/>
    <w:rsid w:val="007B3C74"/>
    <w:rsid w:val="007B435F"/>
    <w:rsid w:val="007B450A"/>
    <w:rsid w:val="007B5705"/>
    <w:rsid w:val="007B5855"/>
    <w:rsid w:val="007B60C2"/>
    <w:rsid w:val="007B64AF"/>
    <w:rsid w:val="007B6BA2"/>
    <w:rsid w:val="007C0163"/>
    <w:rsid w:val="007C04B0"/>
    <w:rsid w:val="007C0B71"/>
    <w:rsid w:val="007C1803"/>
    <w:rsid w:val="007C233F"/>
    <w:rsid w:val="007C5CB0"/>
    <w:rsid w:val="007C5E7F"/>
    <w:rsid w:val="007C6A7A"/>
    <w:rsid w:val="007C7279"/>
    <w:rsid w:val="007C7688"/>
    <w:rsid w:val="007C7E0F"/>
    <w:rsid w:val="007C7ED7"/>
    <w:rsid w:val="007D0056"/>
    <w:rsid w:val="007D00F8"/>
    <w:rsid w:val="007D1130"/>
    <w:rsid w:val="007D1A08"/>
    <w:rsid w:val="007D1B1E"/>
    <w:rsid w:val="007D305D"/>
    <w:rsid w:val="007D39AC"/>
    <w:rsid w:val="007D3DA3"/>
    <w:rsid w:val="007D4AF4"/>
    <w:rsid w:val="007D4E0B"/>
    <w:rsid w:val="007D4FB3"/>
    <w:rsid w:val="007D5EEE"/>
    <w:rsid w:val="007D6404"/>
    <w:rsid w:val="007D7247"/>
    <w:rsid w:val="007D7783"/>
    <w:rsid w:val="007E0F3B"/>
    <w:rsid w:val="007E1386"/>
    <w:rsid w:val="007E1579"/>
    <w:rsid w:val="007E1F85"/>
    <w:rsid w:val="007E20BC"/>
    <w:rsid w:val="007E2174"/>
    <w:rsid w:val="007E4436"/>
    <w:rsid w:val="007E45C5"/>
    <w:rsid w:val="007E4882"/>
    <w:rsid w:val="007E7A66"/>
    <w:rsid w:val="007F158B"/>
    <w:rsid w:val="007F1710"/>
    <w:rsid w:val="007F28A3"/>
    <w:rsid w:val="007F2991"/>
    <w:rsid w:val="007F2F93"/>
    <w:rsid w:val="007F41E6"/>
    <w:rsid w:val="007F57CB"/>
    <w:rsid w:val="007F67A6"/>
    <w:rsid w:val="007F6A70"/>
    <w:rsid w:val="00802027"/>
    <w:rsid w:val="008028D3"/>
    <w:rsid w:val="00803F04"/>
    <w:rsid w:val="00803F2B"/>
    <w:rsid w:val="0080414F"/>
    <w:rsid w:val="00804355"/>
    <w:rsid w:val="0080512C"/>
    <w:rsid w:val="00805621"/>
    <w:rsid w:val="00806395"/>
    <w:rsid w:val="00806671"/>
    <w:rsid w:val="00807630"/>
    <w:rsid w:val="00807BC2"/>
    <w:rsid w:val="0081033B"/>
    <w:rsid w:val="00812224"/>
    <w:rsid w:val="00812B51"/>
    <w:rsid w:val="00812EDF"/>
    <w:rsid w:val="00813534"/>
    <w:rsid w:val="00813BD4"/>
    <w:rsid w:val="00813CF5"/>
    <w:rsid w:val="00814130"/>
    <w:rsid w:val="00815101"/>
    <w:rsid w:val="00815AB8"/>
    <w:rsid w:val="00816DC3"/>
    <w:rsid w:val="00816F94"/>
    <w:rsid w:val="0081705C"/>
    <w:rsid w:val="00817928"/>
    <w:rsid w:val="008212AF"/>
    <w:rsid w:val="0082141C"/>
    <w:rsid w:val="00821589"/>
    <w:rsid w:val="00823627"/>
    <w:rsid w:val="00824F22"/>
    <w:rsid w:val="00825D6F"/>
    <w:rsid w:val="00826B09"/>
    <w:rsid w:val="00826C3B"/>
    <w:rsid w:val="0082783C"/>
    <w:rsid w:val="00830488"/>
    <w:rsid w:val="00831101"/>
    <w:rsid w:val="0083223F"/>
    <w:rsid w:val="0083255C"/>
    <w:rsid w:val="00832E3C"/>
    <w:rsid w:val="00832F28"/>
    <w:rsid w:val="008335C2"/>
    <w:rsid w:val="0083394D"/>
    <w:rsid w:val="00833ED5"/>
    <w:rsid w:val="00835312"/>
    <w:rsid w:val="00836857"/>
    <w:rsid w:val="00836E18"/>
    <w:rsid w:val="00837684"/>
    <w:rsid w:val="00840484"/>
    <w:rsid w:val="008405CA"/>
    <w:rsid w:val="00840E35"/>
    <w:rsid w:val="0084139F"/>
    <w:rsid w:val="00842122"/>
    <w:rsid w:val="00842941"/>
    <w:rsid w:val="00842E7C"/>
    <w:rsid w:val="008443D6"/>
    <w:rsid w:val="00844D46"/>
    <w:rsid w:val="00844F58"/>
    <w:rsid w:val="008459BB"/>
    <w:rsid w:val="00845BA2"/>
    <w:rsid w:val="008460F1"/>
    <w:rsid w:val="00846B76"/>
    <w:rsid w:val="00847368"/>
    <w:rsid w:val="00847387"/>
    <w:rsid w:val="00847C3E"/>
    <w:rsid w:val="00850305"/>
    <w:rsid w:val="008507A9"/>
    <w:rsid w:val="00851615"/>
    <w:rsid w:val="008519DE"/>
    <w:rsid w:val="0085201B"/>
    <w:rsid w:val="00852414"/>
    <w:rsid w:val="0085245D"/>
    <w:rsid w:val="008524EB"/>
    <w:rsid w:val="0085341B"/>
    <w:rsid w:val="00853BFF"/>
    <w:rsid w:val="0085432C"/>
    <w:rsid w:val="00854CBD"/>
    <w:rsid w:val="00855675"/>
    <w:rsid w:val="00855F1B"/>
    <w:rsid w:val="0085618B"/>
    <w:rsid w:val="00856655"/>
    <w:rsid w:val="00857990"/>
    <w:rsid w:val="00857BAD"/>
    <w:rsid w:val="00857F10"/>
    <w:rsid w:val="008605FC"/>
    <w:rsid w:val="00860F8E"/>
    <w:rsid w:val="00861906"/>
    <w:rsid w:val="00861DCC"/>
    <w:rsid w:val="00862159"/>
    <w:rsid w:val="00862E3D"/>
    <w:rsid w:val="00863048"/>
    <w:rsid w:val="0086314B"/>
    <w:rsid w:val="008632C7"/>
    <w:rsid w:val="008637A2"/>
    <w:rsid w:val="00863A5B"/>
    <w:rsid w:val="00863E90"/>
    <w:rsid w:val="00864D21"/>
    <w:rsid w:val="00865DB1"/>
    <w:rsid w:val="00866E0F"/>
    <w:rsid w:val="008701DC"/>
    <w:rsid w:val="008706AE"/>
    <w:rsid w:val="0087071E"/>
    <w:rsid w:val="00871623"/>
    <w:rsid w:val="00871C3E"/>
    <w:rsid w:val="0087245E"/>
    <w:rsid w:val="0087296D"/>
    <w:rsid w:val="00872BF8"/>
    <w:rsid w:val="0087355F"/>
    <w:rsid w:val="0087377B"/>
    <w:rsid w:val="008738A9"/>
    <w:rsid w:val="00874709"/>
    <w:rsid w:val="00874F2D"/>
    <w:rsid w:val="0087536D"/>
    <w:rsid w:val="00877833"/>
    <w:rsid w:val="00877BEF"/>
    <w:rsid w:val="00880134"/>
    <w:rsid w:val="008802DC"/>
    <w:rsid w:val="008804F2"/>
    <w:rsid w:val="00881B9B"/>
    <w:rsid w:val="00882949"/>
    <w:rsid w:val="00882A60"/>
    <w:rsid w:val="00883739"/>
    <w:rsid w:val="0088380B"/>
    <w:rsid w:val="00883E88"/>
    <w:rsid w:val="00885048"/>
    <w:rsid w:val="008850A3"/>
    <w:rsid w:val="00885322"/>
    <w:rsid w:val="00885A9F"/>
    <w:rsid w:val="008860BF"/>
    <w:rsid w:val="00886E3C"/>
    <w:rsid w:val="008877D3"/>
    <w:rsid w:val="00890C7A"/>
    <w:rsid w:val="00890F2B"/>
    <w:rsid w:val="0089138F"/>
    <w:rsid w:val="00891641"/>
    <w:rsid w:val="0089183A"/>
    <w:rsid w:val="00891C85"/>
    <w:rsid w:val="00891FA5"/>
    <w:rsid w:val="00892472"/>
    <w:rsid w:val="00892A59"/>
    <w:rsid w:val="0089387B"/>
    <w:rsid w:val="00894084"/>
    <w:rsid w:val="00894B20"/>
    <w:rsid w:val="00895BA6"/>
    <w:rsid w:val="008A0139"/>
    <w:rsid w:val="008A103E"/>
    <w:rsid w:val="008A10B4"/>
    <w:rsid w:val="008A13D1"/>
    <w:rsid w:val="008A15EF"/>
    <w:rsid w:val="008A1676"/>
    <w:rsid w:val="008A1985"/>
    <w:rsid w:val="008A1D1D"/>
    <w:rsid w:val="008A1D4D"/>
    <w:rsid w:val="008A1ED1"/>
    <w:rsid w:val="008A1F4B"/>
    <w:rsid w:val="008A231D"/>
    <w:rsid w:val="008A268D"/>
    <w:rsid w:val="008A269F"/>
    <w:rsid w:val="008A3778"/>
    <w:rsid w:val="008A396F"/>
    <w:rsid w:val="008A3A33"/>
    <w:rsid w:val="008A3B0E"/>
    <w:rsid w:val="008A3D7A"/>
    <w:rsid w:val="008A3FEE"/>
    <w:rsid w:val="008A4514"/>
    <w:rsid w:val="008A4F5E"/>
    <w:rsid w:val="008A5766"/>
    <w:rsid w:val="008A593D"/>
    <w:rsid w:val="008A6260"/>
    <w:rsid w:val="008A7124"/>
    <w:rsid w:val="008B0107"/>
    <w:rsid w:val="008B0C3D"/>
    <w:rsid w:val="008B4790"/>
    <w:rsid w:val="008B68DC"/>
    <w:rsid w:val="008B6F28"/>
    <w:rsid w:val="008B6FB9"/>
    <w:rsid w:val="008C129A"/>
    <w:rsid w:val="008C211C"/>
    <w:rsid w:val="008C25F5"/>
    <w:rsid w:val="008C2C3C"/>
    <w:rsid w:val="008C2F8D"/>
    <w:rsid w:val="008C3631"/>
    <w:rsid w:val="008C36B2"/>
    <w:rsid w:val="008C3890"/>
    <w:rsid w:val="008C3FFA"/>
    <w:rsid w:val="008C46DD"/>
    <w:rsid w:val="008C59C4"/>
    <w:rsid w:val="008C6523"/>
    <w:rsid w:val="008C691F"/>
    <w:rsid w:val="008C6F76"/>
    <w:rsid w:val="008C743D"/>
    <w:rsid w:val="008C7499"/>
    <w:rsid w:val="008C7E09"/>
    <w:rsid w:val="008D0A8D"/>
    <w:rsid w:val="008D134C"/>
    <w:rsid w:val="008D1351"/>
    <w:rsid w:val="008D174A"/>
    <w:rsid w:val="008D1754"/>
    <w:rsid w:val="008D190A"/>
    <w:rsid w:val="008D3773"/>
    <w:rsid w:val="008D463B"/>
    <w:rsid w:val="008D595B"/>
    <w:rsid w:val="008D5A7A"/>
    <w:rsid w:val="008D5D4E"/>
    <w:rsid w:val="008D685C"/>
    <w:rsid w:val="008E1D05"/>
    <w:rsid w:val="008E1FC0"/>
    <w:rsid w:val="008E2167"/>
    <w:rsid w:val="008E2196"/>
    <w:rsid w:val="008E3055"/>
    <w:rsid w:val="008E37D4"/>
    <w:rsid w:val="008E4057"/>
    <w:rsid w:val="008E4AA8"/>
    <w:rsid w:val="008E4C4F"/>
    <w:rsid w:val="008E5DC9"/>
    <w:rsid w:val="008E5EF2"/>
    <w:rsid w:val="008E62D4"/>
    <w:rsid w:val="008E646E"/>
    <w:rsid w:val="008E6C1B"/>
    <w:rsid w:val="008E6C24"/>
    <w:rsid w:val="008E7303"/>
    <w:rsid w:val="008E770D"/>
    <w:rsid w:val="008F02AC"/>
    <w:rsid w:val="008F09EB"/>
    <w:rsid w:val="008F0E9C"/>
    <w:rsid w:val="008F0F69"/>
    <w:rsid w:val="008F1146"/>
    <w:rsid w:val="008F15B9"/>
    <w:rsid w:val="008F1F44"/>
    <w:rsid w:val="008F2AEF"/>
    <w:rsid w:val="008F35E2"/>
    <w:rsid w:val="008F3991"/>
    <w:rsid w:val="008F3B3C"/>
    <w:rsid w:val="008F448D"/>
    <w:rsid w:val="008F49DA"/>
    <w:rsid w:val="008F4EF6"/>
    <w:rsid w:val="008F5143"/>
    <w:rsid w:val="008F55DA"/>
    <w:rsid w:val="008F5751"/>
    <w:rsid w:val="008F5915"/>
    <w:rsid w:val="008F59E8"/>
    <w:rsid w:val="008F6DE2"/>
    <w:rsid w:val="008F728A"/>
    <w:rsid w:val="008F750E"/>
    <w:rsid w:val="008F79E0"/>
    <w:rsid w:val="008F7FD3"/>
    <w:rsid w:val="00900A6B"/>
    <w:rsid w:val="00901200"/>
    <w:rsid w:val="009012CE"/>
    <w:rsid w:val="00901AA5"/>
    <w:rsid w:val="0090239A"/>
    <w:rsid w:val="00902580"/>
    <w:rsid w:val="0090268A"/>
    <w:rsid w:val="00902822"/>
    <w:rsid w:val="00903F2F"/>
    <w:rsid w:val="0090448E"/>
    <w:rsid w:val="00904EF6"/>
    <w:rsid w:val="00904F6B"/>
    <w:rsid w:val="00905B88"/>
    <w:rsid w:val="009066EA"/>
    <w:rsid w:val="009069E4"/>
    <w:rsid w:val="00906DE1"/>
    <w:rsid w:val="00907C3E"/>
    <w:rsid w:val="00910436"/>
    <w:rsid w:val="009119FA"/>
    <w:rsid w:val="00912B54"/>
    <w:rsid w:val="009132EB"/>
    <w:rsid w:val="0091372F"/>
    <w:rsid w:val="0091430E"/>
    <w:rsid w:val="009143A6"/>
    <w:rsid w:val="00915D5C"/>
    <w:rsid w:val="0091703A"/>
    <w:rsid w:val="00917555"/>
    <w:rsid w:val="0092046F"/>
    <w:rsid w:val="009207A5"/>
    <w:rsid w:val="00921342"/>
    <w:rsid w:val="00921A32"/>
    <w:rsid w:val="00921F3C"/>
    <w:rsid w:val="00922175"/>
    <w:rsid w:val="00922F37"/>
    <w:rsid w:val="009230F6"/>
    <w:rsid w:val="00924480"/>
    <w:rsid w:val="00925018"/>
    <w:rsid w:val="00926298"/>
    <w:rsid w:val="00926629"/>
    <w:rsid w:val="00926CB2"/>
    <w:rsid w:val="009273C8"/>
    <w:rsid w:val="0092794D"/>
    <w:rsid w:val="00927DD6"/>
    <w:rsid w:val="0093095F"/>
    <w:rsid w:val="00930C5C"/>
    <w:rsid w:val="00930D96"/>
    <w:rsid w:val="0093234B"/>
    <w:rsid w:val="0093243D"/>
    <w:rsid w:val="00932A73"/>
    <w:rsid w:val="00934E90"/>
    <w:rsid w:val="009350DA"/>
    <w:rsid w:val="00935160"/>
    <w:rsid w:val="009351DB"/>
    <w:rsid w:val="009353F5"/>
    <w:rsid w:val="009359DD"/>
    <w:rsid w:val="00935E4B"/>
    <w:rsid w:val="009363E0"/>
    <w:rsid w:val="0093676D"/>
    <w:rsid w:val="009373DA"/>
    <w:rsid w:val="00937A44"/>
    <w:rsid w:val="00940757"/>
    <w:rsid w:val="009409EE"/>
    <w:rsid w:val="00941753"/>
    <w:rsid w:val="009419A9"/>
    <w:rsid w:val="0094237D"/>
    <w:rsid w:val="00942DFC"/>
    <w:rsid w:val="00943926"/>
    <w:rsid w:val="00943AA8"/>
    <w:rsid w:val="00943B1B"/>
    <w:rsid w:val="009440B7"/>
    <w:rsid w:val="0094448B"/>
    <w:rsid w:val="00944EE3"/>
    <w:rsid w:val="00945D26"/>
    <w:rsid w:val="009469CF"/>
    <w:rsid w:val="00946A7B"/>
    <w:rsid w:val="00946B86"/>
    <w:rsid w:val="00947025"/>
    <w:rsid w:val="0095026B"/>
    <w:rsid w:val="00950887"/>
    <w:rsid w:val="00950905"/>
    <w:rsid w:val="00950B23"/>
    <w:rsid w:val="00951945"/>
    <w:rsid w:val="00951BFF"/>
    <w:rsid w:val="00951E1B"/>
    <w:rsid w:val="009525FD"/>
    <w:rsid w:val="0095360A"/>
    <w:rsid w:val="00953F23"/>
    <w:rsid w:val="00954268"/>
    <w:rsid w:val="00956D42"/>
    <w:rsid w:val="009605C3"/>
    <w:rsid w:val="0096076F"/>
    <w:rsid w:val="00960B20"/>
    <w:rsid w:val="009614A0"/>
    <w:rsid w:val="00961FC9"/>
    <w:rsid w:val="00962678"/>
    <w:rsid w:val="00962814"/>
    <w:rsid w:val="00962ACD"/>
    <w:rsid w:val="009637C4"/>
    <w:rsid w:val="00963EB6"/>
    <w:rsid w:val="00967E8F"/>
    <w:rsid w:val="009705AD"/>
    <w:rsid w:val="00970720"/>
    <w:rsid w:val="009711B5"/>
    <w:rsid w:val="00972DEA"/>
    <w:rsid w:val="00972E5A"/>
    <w:rsid w:val="00972F88"/>
    <w:rsid w:val="00973559"/>
    <w:rsid w:val="009738FB"/>
    <w:rsid w:val="009738FF"/>
    <w:rsid w:val="0097391A"/>
    <w:rsid w:val="00974946"/>
    <w:rsid w:val="00974CEC"/>
    <w:rsid w:val="00974E4F"/>
    <w:rsid w:val="00975242"/>
    <w:rsid w:val="00975360"/>
    <w:rsid w:val="0097541C"/>
    <w:rsid w:val="00975928"/>
    <w:rsid w:val="00975A58"/>
    <w:rsid w:val="00975E02"/>
    <w:rsid w:val="00976533"/>
    <w:rsid w:val="009772A1"/>
    <w:rsid w:val="00981053"/>
    <w:rsid w:val="00983119"/>
    <w:rsid w:val="00983D71"/>
    <w:rsid w:val="00985BE0"/>
    <w:rsid w:val="009860CC"/>
    <w:rsid w:val="00986BA9"/>
    <w:rsid w:val="00987011"/>
    <w:rsid w:val="009878E5"/>
    <w:rsid w:val="00990EF8"/>
    <w:rsid w:val="00990F36"/>
    <w:rsid w:val="00991243"/>
    <w:rsid w:val="00991B65"/>
    <w:rsid w:val="009920C5"/>
    <w:rsid w:val="0099263C"/>
    <w:rsid w:val="009926CC"/>
    <w:rsid w:val="00992A94"/>
    <w:rsid w:val="00993B4E"/>
    <w:rsid w:val="00994713"/>
    <w:rsid w:val="00995FD1"/>
    <w:rsid w:val="009961F2"/>
    <w:rsid w:val="009962AF"/>
    <w:rsid w:val="00996A8C"/>
    <w:rsid w:val="00996C10"/>
    <w:rsid w:val="009974DE"/>
    <w:rsid w:val="009975AD"/>
    <w:rsid w:val="009975F1"/>
    <w:rsid w:val="009977D2"/>
    <w:rsid w:val="009A0158"/>
    <w:rsid w:val="009A08AF"/>
    <w:rsid w:val="009A1197"/>
    <w:rsid w:val="009A1F39"/>
    <w:rsid w:val="009A27E6"/>
    <w:rsid w:val="009A287D"/>
    <w:rsid w:val="009A2B7A"/>
    <w:rsid w:val="009A331D"/>
    <w:rsid w:val="009A39BB"/>
    <w:rsid w:val="009A425A"/>
    <w:rsid w:val="009A6025"/>
    <w:rsid w:val="009A6924"/>
    <w:rsid w:val="009A7AE9"/>
    <w:rsid w:val="009A7E6C"/>
    <w:rsid w:val="009B03BC"/>
    <w:rsid w:val="009B0901"/>
    <w:rsid w:val="009B20A9"/>
    <w:rsid w:val="009B2A02"/>
    <w:rsid w:val="009B2BA5"/>
    <w:rsid w:val="009B2CB7"/>
    <w:rsid w:val="009B3946"/>
    <w:rsid w:val="009B3EA6"/>
    <w:rsid w:val="009B4552"/>
    <w:rsid w:val="009B4566"/>
    <w:rsid w:val="009B48C1"/>
    <w:rsid w:val="009B595A"/>
    <w:rsid w:val="009B61E0"/>
    <w:rsid w:val="009B65B8"/>
    <w:rsid w:val="009B7D17"/>
    <w:rsid w:val="009C0678"/>
    <w:rsid w:val="009C0949"/>
    <w:rsid w:val="009C0DA8"/>
    <w:rsid w:val="009C0DED"/>
    <w:rsid w:val="009C1017"/>
    <w:rsid w:val="009C1A89"/>
    <w:rsid w:val="009C203F"/>
    <w:rsid w:val="009C34F0"/>
    <w:rsid w:val="009C3541"/>
    <w:rsid w:val="009C3B2A"/>
    <w:rsid w:val="009C3F34"/>
    <w:rsid w:val="009C4A53"/>
    <w:rsid w:val="009C4D75"/>
    <w:rsid w:val="009C4FFD"/>
    <w:rsid w:val="009C63D4"/>
    <w:rsid w:val="009C681D"/>
    <w:rsid w:val="009C6A66"/>
    <w:rsid w:val="009C6FE1"/>
    <w:rsid w:val="009C7C1F"/>
    <w:rsid w:val="009C7D3E"/>
    <w:rsid w:val="009D0783"/>
    <w:rsid w:val="009D0CDE"/>
    <w:rsid w:val="009D1145"/>
    <w:rsid w:val="009D1728"/>
    <w:rsid w:val="009D4B5B"/>
    <w:rsid w:val="009D4ED7"/>
    <w:rsid w:val="009D6E83"/>
    <w:rsid w:val="009D7238"/>
    <w:rsid w:val="009D7D42"/>
    <w:rsid w:val="009D7D61"/>
    <w:rsid w:val="009D7FCD"/>
    <w:rsid w:val="009E075B"/>
    <w:rsid w:val="009E083A"/>
    <w:rsid w:val="009E0ECA"/>
    <w:rsid w:val="009E10CD"/>
    <w:rsid w:val="009E1370"/>
    <w:rsid w:val="009E1D3B"/>
    <w:rsid w:val="009E1EB4"/>
    <w:rsid w:val="009E2196"/>
    <w:rsid w:val="009E2C56"/>
    <w:rsid w:val="009E3A72"/>
    <w:rsid w:val="009E4474"/>
    <w:rsid w:val="009E4F9D"/>
    <w:rsid w:val="009E5417"/>
    <w:rsid w:val="009E54CD"/>
    <w:rsid w:val="009E5A25"/>
    <w:rsid w:val="009E7636"/>
    <w:rsid w:val="009F1327"/>
    <w:rsid w:val="009F233E"/>
    <w:rsid w:val="009F3597"/>
    <w:rsid w:val="009F3E9A"/>
    <w:rsid w:val="009F40D9"/>
    <w:rsid w:val="009F483C"/>
    <w:rsid w:val="009F4B9F"/>
    <w:rsid w:val="009F4E1F"/>
    <w:rsid w:val="009F606B"/>
    <w:rsid w:val="009F65C9"/>
    <w:rsid w:val="009F71BA"/>
    <w:rsid w:val="00A00C1F"/>
    <w:rsid w:val="00A01165"/>
    <w:rsid w:val="00A013DB"/>
    <w:rsid w:val="00A01D40"/>
    <w:rsid w:val="00A027B3"/>
    <w:rsid w:val="00A030F7"/>
    <w:rsid w:val="00A03472"/>
    <w:rsid w:val="00A04A90"/>
    <w:rsid w:val="00A04AC5"/>
    <w:rsid w:val="00A04D4B"/>
    <w:rsid w:val="00A05684"/>
    <w:rsid w:val="00A06086"/>
    <w:rsid w:val="00A064AC"/>
    <w:rsid w:val="00A07C5A"/>
    <w:rsid w:val="00A07DAB"/>
    <w:rsid w:val="00A07F05"/>
    <w:rsid w:val="00A10BF8"/>
    <w:rsid w:val="00A10E9E"/>
    <w:rsid w:val="00A11643"/>
    <w:rsid w:val="00A116CA"/>
    <w:rsid w:val="00A128DF"/>
    <w:rsid w:val="00A12915"/>
    <w:rsid w:val="00A13547"/>
    <w:rsid w:val="00A13825"/>
    <w:rsid w:val="00A14018"/>
    <w:rsid w:val="00A14252"/>
    <w:rsid w:val="00A148C1"/>
    <w:rsid w:val="00A14DAA"/>
    <w:rsid w:val="00A15F08"/>
    <w:rsid w:val="00A166BC"/>
    <w:rsid w:val="00A171D6"/>
    <w:rsid w:val="00A17C03"/>
    <w:rsid w:val="00A17D16"/>
    <w:rsid w:val="00A2062C"/>
    <w:rsid w:val="00A21088"/>
    <w:rsid w:val="00A21747"/>
    <w:rsid w:val="00A21CE1"/>
    <w:rsid w:val="00A22BB7"/>
    <w:rsid w:val="00A22C5E"/>
    <w:rsid w:val="00A22F2F"/>
    <w:rsid w:val="00A23044"/>
    <w:rsid w:val="00A230D7"/>
    <w:rsid w:val="00A23EAD"/>
    <w:rsid w:val="00A23EEC"/>
    <w:rsid w:val="00A24280"/>
    <w:rsid w:val="00A242E6"/>
    <w:rsid w:val="00A25A1D"/>
    <w:rsid w:val="00A26007"/>
    <w:rsid w:val="00A2608B"/>
    <w:rsid w:val="00A266FE"/>
    <w:rsid w:val="00A27DE5"/>
    <w:rsid w:val="00A27E38"/>
    <w:rsid w:val="00A309D7"/>
    <w:rsid w:val="00A30D52"/>
    <w:rsid w:val="00A318F0"/>
    <w:rsid w:val="00A31A83"/>
    <w:rsid w:val="00A327DB"/>
    <w:rsid w:val="00A32B32"/>
    <w:rsid w:val="00A32D98"/>
    <w:rsid w:val="00A33361"/>
    <w:rsid w:val="00A3436B"/>
    <w:rsid w:val="00A35C08"/>
    <w:rsid w:val="00A35D1E"/>
    <w:rsid w:val="00A36164"/>
    <w:rsid w:val="00A36A78"/>
    <w:rsid w:val="00A36F9C"/>
    <w:rsid w:val="00A37FF4"/>
    <w:rsid w:val="00A412AC"/>
    <w:rsid w:val="00A41976"/>
    <w:rsid w:val="00A421DA"/>
    <w:rsid w:val="00A42C2D"/>
    <w:rsid w:val="00A42FC5"/>
    <w:rsid w:val="00A4363F"/>
    <w:rsid w:val="00A43737"/>
    <w:rsid w:val="00A455EA"/>
    <w:rsid w:val="00A46173"/>
    <w:rsid w:val="00A4674C"/>
    <w:rsid w:val="00A474DF"/>
    <w:rsid w:val="00A47814"/>
    <w:rsid w:val="00A50BA9"/>
    <w:rsid w:val="00A50EB2"/>
    <w:rsid w:val="00A50FD0"/>
    <w:rsid w:val="00A52603"/>
    <w:rsid w:val="00A5294C"/>
    <w:rsid w:val="00A52B6D"/>
    <w:rsid w:val="00A52C54"/>
    <w:rsid w:val="00A53A8D"/>
    <w:rsid w:val="00A53EC9"/>
    <w:rsid w:val="00A54681"/>
    <w:rsid w:val="00A55092"/>
    <w:rsid w:val="00A553C7"/>
    <w:rsid w:val="00A55A00"/>
    <w:rsid w:val="00A56270"/>
    <w:rsid w:val="00A567B6"/>
    <w:rsid w:val="00A569A5"/>
    <w:rsid w:val="00A57118"/>
    <w:rsid w:val="00A57295"/>
    <w:rsid w:val="00A574A8"/>
    <w:rsid w:val="00A57DCE"/>
    <w:rsid w:val="00A60386"/>
    <w:rsid w:val="00A62471"/>
    <w:rsid w:val="00A626D2"/>
    <w:rsid w:val="00A62A6E"/>
    <w:rsid w:val="00A62CB8"/>
    <w:rsid w:val="00A630F6"/>
    <w:rsid w:val="00A63816"/>
    <w:rsid w:val="00A65A15"/>
    <w:rsid w:val="00A65B4E"/>
    <w:rsid w:val="00A67084"/>
    <w:rsid w:val="00A67454"/>
    <w:rsid w:val="00A67B5B"/>
    <w:rsid w:val="00A67F07"/>
    <w:rsid w:val="00A70D1B"/>
    <w:rsid w:val="00A70FD2"/>
    <w:rsid w:val="00A7105E"/>
    <w:rsid w:val="00A72771"/>
    <w:rsid w:val="00A72A50"/>
    <w:rsid w:val="00A72DF9"/>
    <w:rsid w:val="00A7336A"/>
    <w:rsid w:val="00A73E73"/>
    <w:rsid w:val="00A740EF"/>
    <w:rsid w:val="00A7417A"/>
    <w:rsid w:val="00A748BA"/>
    <w:rsid w:val="00A74E82"/>
    <w:rsid w:val="00A753EF"/>
    <w:rsid w:val="00A755E6"/>
    <w:rsid w:val="00A758D8"/>
    <w:rsid w:val="00A77629"/>
    <w:rsid w:val="00A776F7"/>
    <w:rsid w:val="00A779C0"/>
    <w:rsid w:val="00A77C4E"/>
    <w:rsid w:val="00A804CF"/>
    <w:rsid w:val="00A805FE"/>
    <w:rsid w:val="00A80864"/>
    <w:rsid w:val="00A80899"/>
    <w:rsid w:val="00A808B1"/>
    <w:rsid w:val="00A81984"/>
    <w:rsid w:val="00A81F69"/>
    <w:rsid w:val="00A82735"/>
    <w:rsid w:val="00A832FD"/>
    <w:rsid w:val="00A837A5"/>
    <w:rsid w:val="00A83976"/>
    <w:rsid w:val="00A83F51"/>
    <w:rsid w:val="00A841CF"/>
    <w:rsid w:val="00A84270"/>
    <w:rsid w:val="00A843D8"/>
    <w:rsid w:val="00A84EA3"/>
    <w:rsid w:val="00A850EB"/>
    <w:rsid w:val="00A861A8"/>
    <w:rsid w:val="00A86328"/>
    <w:rsid w:val="00A9217D"/>
    <w:rsid w:val="00A92A62"/>
    <w:rsid w:val="00A941A7"/>
    <w:rsid w:val="00A94E55"/>
    <w:rsid w:val="00A9533D"/>
    <w:rsid w:val="00A9537F"/>
    <w:rsid w:val="00A953C2"/>
    <w:rsid w:val="00A95494"/>
    <w:rsid w:val="00A954AB"/>
    <w:rsid w:val="00A96023"/>
    <w:rsid w:val="00A96BD1"/>
    <w:rsid w:val="00A96F30"/>
    <w:rsid w:val="00A9765F"/>
    <w:rsid w:val="00AA0126"/>
    <w:rsid w:val="00AA0802"/>
    <w:rsid w:val="00AA0FE2"/>
    <w:rsid w:val="00AA0FF0"/>
    <w:rsid w:val="00AA1261"/>
    <w:rsid w:val="00AA1F99"/>
    <w:rsid w:val="00AA23BF"/>
    <w:rsid w:val="00AA25F0"/>
    <w:rsid w:val="00AA2F0F"/>
    <w:rsid w:val="00AA3045"/>
    <w:rsid w:val="00AA30FC"/>
    <w:rsid w:val="00AA6658"/>
    <w:rsid w:val="00AA72CA"/>
    <w:rsid w:val="00AA7427"/>
    <w:rsid w:val="00AB134B"/>
    <w:rsid w:val="00AB1A9A"/>
    <w:rsid w:val="00AB1C1E"/>
    <w:rsid w:val="00AB24A4"/>
    <w:rsid w:val="00AB3B4F"/>
    <w:rsid w:val="00AB4520"/>
    <w:rsid w:val="00AB4BC8"/>
    <w:rsid w:val="00AB57DD"/>
    <w:rsid w:val="00AB62FC"/>
    <w:rsid w:val="00AB6AEA"/>
    <w:rsid w:val="00AC00FD"/>
    <w:rsid w:val="00AC0185"/>
    <w:rsid w:val="00AC172B"/>
    <w:rsid w:val="00AC30C7"/>
    <w:rsid w:val="00AC34EB"/>
    <w:rsid w:val="00AC3B39"/>
    <w:rsid w:val="00AC3E41"/>
    <w:rsid w:val="00AC4034"/>
    <w:rsid w:val="00AC4114"/>
    <w:rsid w:val="00AC4A4A"/>
    <w:rsid w:val="00AC5262"/>
    <w:rsid w:val="00AC5589"/>
    <w:rsid w:val="00AC66E3"/>
    <w:rsid w:val="00AC67F1"/>
    <w:rsid w:val="00AC7281"/>
    <w:rsid w:val="00AC76FB"/>
    <w:rsid w:val="00AD1488"/>
    <w:rsid w:val="00AD1989"/>
    <w:rsid w:val="00AD1AAB"/>
    <w:rsid w:val="00AD1BDC"/>
    <w:rsid w:val="00AD1EC1"/>
    <w:rsid w:val="00AD28EA"/>
    <w:rsid w:val="00AD2A6C"/>
    <w:rsid w:val="00AD2DB0"/>
    <w:rsid w:val="00AD5B59"/>
    <w:rsid w:val="00AD5C96"/>
    <w:rsid w:val="00AD5E71"/>
    <w:rsid w:val="00AD62AE"/>
    <w:rsid w:val="00AD6518"/>
    <w:rsid w:val="00AD65FA"/>
    <w:rsid w:val="00AD667C"/>
    <w:rsid w:val="00AD6D3A"/>
    <w:rsid w:val="00AE01E0"/>
    <w:rsid w:val="00AE0586"/>
    <w:rsid w:val="00AE0AFC"/>
    <w:rsid w:val="00AE0BBF"/>
    <w:rsid w:val="00AE1CBC"/>
    <w:rsid w:val="00AE3BE3"/>
    <w:rsid w:val="00AE3EE0"/>
    <w:rsid w:val="00AE4270"/>
    <w:rsid w:val="00AE4601"/>
    <w:rsid w:val="00AE49E5"/>
    <w:rsid w:val="00AE53DA"/>
    <w:rsid w:val="00AE6A32"/>
    <w:rsid w:val="00AE6BE1"/>
    <w:rsid w:val="00AF076D"/>
    <w:rsid w:val="00AF1BA1"/>
    <w:rsid w:val="00AF1E5C"/>
    <w:rsid w:val="00AF24F1"/>
    <w:rsid w:val="00AF2A63"/>
    <w:rsid w:val="00AF2C0E"/>
    <w:rsid w:val="00AF3AF9"/>
    <w:rsid w:val="00AF3CD4"/>
    <w:rsid w:val="00AF415C"/>
    <w:rsid w:val="00AF5DE2"/>
    <w:rsid w:val="00AF67F0"/>
    <w:rsid w:val="00AF7395"/>
    <w:rsid w:val="00AF7951"/>
    <w:rsid w:val="00AF79D5"/>
    <w:rsid w:val="00AF7A19"/>
    <w:rsid w:val="00AF7FEA"/>
    <w:rsid w:val="00B016A3"/>
    <w:rsid w:val="00B021CE"/>
    <w:rsid w:val="00B02BD9"/>
    <w:rsid w:val="00B02E10"/>
    <w:rsid w:val="00B03AAA"/>
    <w:rsid w:val="00B03D49"/>
    <w:rsid w:val="00B05EBA"/>
    <w:rsid w:val="00B0625E"/>
    <w:rsid w:val="00B0653F"/>
    <w:rsid w:val="00B07181"/>
    <w:rsid w:val="00B07EF6"/>
    <w:rsid w:val="00B10BB0"/>
    <w:rsid w:val="00B10E19"/>
    <w:rsid w:val="00B12381"/>
    <w:rsid w:val="00B12A77"/>
    <w:rsid w:val="00B134F7"/>
    <w:rsid w:val="00B13E82"/>
    <w:rsid w:val="00B147BB"/>
    <w:rsid w:val="00B151AA"/>
    <w:rsid w:val="00B1570B"/>
    <w:rsid w:val="00B171F8"/>
    <w:rsid w:val="00B201CD"/>
    <w:rsid w:val="00B2050B"/>
    <w:rsid w:val="00B20AD0"/>
    <w:rsid w:val="00B21299"/>
    <w:rsid w:val="00B213DB"/>
    <w:rsid w:val="00B214A0"/>
    <w:rsid w:val="00B21743"/>
    <w:rsid w:val="00B221AC"/>
    <w:rsid w:val="00B222A1"/>
    <w:rsid w:val="00B22AE2"/>
    <w:rsid w:val="00B22CB1"/>
    <w:rsid w:val="00B2436E"/>
    <w:rsid w:val="00B24420"/>
    <w:rsid w:val="00B2457C"/>
    <w:rsid w:val="00B2463E"/>
    <w:rsid w:val="00B249E0"/>
    <w:rsid w:val="00B25C21"/>
    <w:rsid w:val="00B26426"/>
    <w:rsid w:val="00B26A7C"/>
    <w:rsid w:val="00B26E9A"/>
    <w:rsid w:val="00B3068B"/>
    <w:rsid w:val="00B320A0"/>
    <w:rsid w:val="00B33353"/>
    <w:rsid w:val="00B33985"/>
    <w:rsid w:val="00B33A43"/>
    <w:rsid w:val="00B33B68"/>
    <w:rsid w:val="00B33E63"/>
    <w:rsid w:val="00B341D3"/>
    <w:rsid w:val="00B36211"/>
    <w:rsid w:val="00B368AF"/>
    <w:rsid w:val="00B37B94"/>
    <w:rsid w:val="00B40645"/>
    <w:rsid w:val="00B4078C"/>
    <w:rsid w:val="00B4199B"/>
    <w:rsid w:val="00B42188"/>
    <w:rsid w:val="00B4352E"/>
    <w:rsid w:val="00B439D3"/>
    <w:rsid w:val="00B44FB5"/>
    <w:rsid w:val="00B451AC"/>
    <w:rsid w:val="00B45B5A"/>
    <w:rsid w:val="00B46549"/>
    <w:rsid w:val="00B50D0F"/>
    <w:rsid w:val="00B51EFC"/>
    <w:rsid w:val="00B522EA"/>
    <w:rsid w:val="00B52A59"/>
    <w:rsid w:val="00B52C4C"/>
    <w:rsid w:val="00B537EA"/>
    <w:rsid w:val="00B55204"/>
    <w:rsid w:val="00B554AB"/>
    <w:rsid w:val="00B55E76"/>
    <w:rsid w:val="00B565EF"/>
    <w:rsid w:val="00B566C2"/>
    <w:rsid w:val="00B6035A"/>
    <w:rsid w:val="00B60740"/>
    <w:rsid w:val="00B61C82"/>
    <w:rsid w:val="00B61DB4"/>
    <w:rsid w:val="00B63AB1"/>
    <w:rsid w:val="00B64886"/>
    <w:rsid w:val="00B64C13"/>
    <w:rsid w:val="00B6644A"/>
    <w:rsid w:val="00B67BD9"/>
    <w:rsid w:val="00B705A9"/>
    <w:rsid w:val="00B70A85"/>
    <w:rsid w:val="00B71065"/>
    <w:rsid w:val="00B7150D"/>
    <w:rsid w:val="00B7212F"/>
    <w:rsid w:val="00B722D5"/>
    <w:rsid w:val="00B73931"/>
    <w:rsid w:val="00B73C1F"/>
    <w:rsid w:val="00B746F9"/>
    <w:rsid w:val="00B74923"/>
    <w:rsid w:val="00B74B6F"/>
    <w:rsid w:val="00B75235"/>
    <w:rsid w:val="00B7538C"/>
    <w:rsid w:val="00B7552B"/>
    <w:rsid w:val="00B75835"/>
    <w:rsid w:val="00B7606E"/>
    <w:rsid w:val="00B77F5D"/>
    <w:rsid w:val="00B80021"/>
    <w:rsid w:val="00B8051F"/>
    <w:rsid w:val="00B80E43"/>
    <w:rsid w:val="00B8166F"/>
    <w:rsid w:val="00B823F2"/>
    <w:rsid w:val="00B82744"/>
    <w:rsid w:val="00B82806"/>
    <w:rsid w:val="00B82E9B"/>
    <w:rsid w:val="00B8329E"/>
    <w:rsid w:val="00B8349F"/>
    <w:rsid w:val="00B839C5"/>
    <w:rsid w:val="00B8431E"/>
    <w:rsid w:val="00B85301"/>
    <w:rsid w:val="00B85342"/>
    <w:rsid w:val="00B85718"/>
    <w:rsid w:val="00B85C96"/>
    <w:rsid w:val="00B86883"/>
    <w:rsid w:val="00B86F9A"/>
    <w:rsid w:val="00B87349"/>
    <w:rsid w:val="00B87A73"/>
    <w:rsid w:val="00B903A7"/>
    <w:rsid w:val="00B90932"/>
    <w:rsid w:val="00B90BC4"/>
    <w:rsid w:val="00B914AD"/>
    <w:rsid w:val="00B91CAA"/>
    <w:rsid w:val="00B91DA1"/>
    <w:rsid w:val="00B92624"/>
    <w:rsid w:val="00B92AC2"/>
    <w:rsid w:val="00B936CD"/>
    <w:rsid w:val="00B94FBF"/>
    <w:rsid w:val="00B94FDB"/>
    <w:rsid w:val="00B95C77"/>
    <w:rsid w:val="00B967A9"/>
    <w:rsid w:val="00B974C6"/>
    <w:rsid w:val="00B97A2F"/>
    <w:rsid w:val="00BA04C0"/>
    <w:rsid w:val="00BA0BDB"/>
    <w:rsid w:val="00BA21F0"/>
    <w:rsid w:val="00BA2AAB"/>
    <w:rsid w:val="00BA4925"/>
    <w:rsid w:val="00BA4F3F"/>
    <w:rsid w:val="00BA5A38"/>
    <w:rsid w:val="00BA6284"/>
    <w:rsid w:val="00BA632C"/>
    <w:rsid w:val="00BA6AE3"/>
    <w:rsid w:val="00BA6BE2"/>
    <w:rsid w:val="00BA736B"/>
    <w:rsid w:val="00BA738D"/>
    <w:rsid w:val="00BA7651"/>
    <w:rsid w:val="00BB00FD"/>
    <w:rsid w:val="00BB05B9"/>
    <w:rsid w:val="00BB08D2"/>
    <w:rsid w:val="00BB0B20"/>
    <w:rsid w:val="00BB0BE0"/>
    <w:rsid w:val="00BB0C87"/>
    <w:rsid w:val="00BB3BA4"/>
    <w:rsid w:val="00BB3E86"/>
    <w:rsid w:val="00BB5405"/>
    <w:rsid w:val="00BB58B6"/>
    <w:rsid w:val="00BB66C7"/>
    <w:rsid w:val="00BB76E8"/>
    <w:rsid w:val="00BB7A13"/>
    <w:rsid w:val="00BB7BB1"/>
    <w:rsid w:val="00BC08CC"/>
    <w:rsid w:val="00BC1307"/>
    <w:rsid w:val="00BC133A"/>
    <w:rsid w:val="00BC324B"/>
    <w:rsid w:val="00BC4014"/>
    <w:rsid w:val="00BC402E"/>
    <w:rsid w:val="00BC41F0"/>
    <w:rsid w:val="00BC4D52"/>
    <w:rsid w:val="00BC4E1E"/>
    <w:rsid w:val="00BC50B5"/>
    <w:rsid w:val="00BC514B"/>
    <w:rsid w:val="00BC7B8A"/>
    <w:rsid w:val="00BD0496"/>
    <w:rsid w:val="00BD0AB6"/>
    <w:rsid w:val="00BD0AD5"/>
    <w:rsid w:val="00BD0FD5"/>
    <w:rsid w:val="00BD278C"/>
    <w:rsid w:val="00BD2AC6"/>
    <w:rsid w:val="00BD3159"/>
    <w:rsid w:val="00BD3E2F"/>
    <w:rsid w:val="00BD4086"/>
    <w:rsid w:val="00BD443A"/>
    <w:rsid w:val="00BD50B9"/>
    <w:rsid w:val="00BD6EF4"/>
    <w:rsid w:val="00BD7C5C"/>
    <w:rsid w:val="00BE009C"/>
    <w:rsid w:val="00BE00DE"/>
    <w:rsid w:val="00BE09ED"/>
    <w:rsid w:val="00BE0A5D"/>
    <w:rsid w:val="00BE0E65"/>
    <w:rsid w:val="00BE1543"/>
    <w:rsid w:val="00BE1618"/>
    <w:rsid w:val="00BE17C0"/>
    <w:rsid w:val="00BE1B0B"/>
    <w:rsid w:val="00BE3FBF"/>
    <w:rsid w:val="00BE4B05"/>
    <w:rsid w:val="00BE4E93"/>
    <w:rsid w:val="00BE56B3"/>
    <w:rsid w:val="00BE6892"/>
    <w:rsid w:val="00BE6C02"/>
    <w:rsid w:val="00BE725A"/>
    <w:rsid w:val="00BE781F"/>
    <w:rsid w:val="00BF009D"/>
    <w:rsid w:val="00BF029D"/>
    <w:rsid w:val="00BF1715"/>
    <w:rsid w:val="00BF1CEB"/>
    <w:rsid w:val="00BF306F"/>
    <w:rsid w:val="00BF3284"/>
    <w:rsid w:val="00BF391A"/>
    <w:rsid w:val="00BF3A6C"/>
    <w:rsid w:val="00BF44AF"/>
    <w:rsid w:val="00BF6CC0"/>
    <w:rsid w:val="00BF7250"/>
    <w:rsid w:val="00BF7651"/>
    <w:rsid w:val="00BF7B11"/>
    <w:rsid w:val="00C001B2"/>
    <w:rsid w:val="00C00BD6"/>
    <w:rsid w:val="00C011D4"/>
    <w:rsid w:val="00C014E0"/>
    <w:rsid w:val="00C0150B"/>
    <w:rsid w:val="00C01631"/>
    <w:rsid w:val="00C01951"/>
    <w:rsid w:val="00C0223C"/>
    <w:rsid w:val="00C02CDF"/>
    <w:rsid w:val="00C03231"/>
    <w:rsid w:val="00C034C4"/>
    <w:rsid w:val="00C05349"/>
    <w:rsid w:val="00C05DAE"/>
    <w:rsid w:val="00C060F5"/>
    <w:rsid w:val="00C06DCE"/>
    <w:rsid w:val="00C07FF4"/>
    <w:rsid w:val="00C11399"/>
    <w:rsid w:val="00C113B2"/>
    <w:rsid w:val="00C11FCA"/>
    <w:rsid w:val="00C122E3"/>
    <w:rsid w:val="00C130DC"/>
    <w:rsid w:val="00C13DD4"/>
    <w:rsid w:val="00C1400C"/>
    <w:rsid w:val="00C148EB"/>
    <w:rsid w:val="00C149A2"/>
    <w:rsid w:val="00C14E0F"/>
    <w:rsid w:val="00C14EE6"/>
    <w:rsid w:val="00C1502A"/>
    <w:rsid w:val="00C15564"/>
    <w:rsid w:val="00C155D9"/>
    <w:rsid w:val="00C156A7"/>
    <w:rsid w:val="00C16649"/>
    <w:rsid w:val="00C168E2"/>
    <w:rsid w:val="00C16EB5"/>
    <w:rsid w:val="00C17279"/>
    <w:rsid w:val="00C17DE5"/>
    <w:rsid w:val="00C202E7"/>
    <w:rsid w:val="00C20472"/>
    <w:rsid w:val="00C20A5A"/>
    <w:rsid w:val="00C21078"/>
    <w:rsid w:val="00C2153C"/>
    <w:rsid w:val="00C21956"/>
    <w:rsid w:val="00C22103"/>
    <w:rsid w:val="00C222FD"/>
    <w:rsid w:val="00C22461"/>
    <w:rsid w:val="00C23235"/>
    <w:rsid w:val="00C238A2"/>
    <w:rsid w:val="00C239D1"/>
    <w:rsid w:val="00C23B74"/>
    <w:rsid w:val="00C246F6"/>
    <w:rsid w:val="00C25DC5"/>
    <w:rsid w:val="00C26A00"/>
    <w:rsid w:val="00C27BB4"/>
    <w:rsid w:val="00C27CD9"/>
    <w:rsid w:val="00C27EC2"/>
    <w:rsid w:val="00C305F3"/>
    <w:rsid w:val="00C319A4"/>
    <w:rsid w:val="00C31E17"/>
    <w:rsid w:val="00C321B5"/>
    <w:rsid w:val="00C322AD"/>
    <w:rsid w:val="00C32D33"/>
    <w:rsid w:val="00C33325"/>
    <w:rsid w:val="00C3360D"/>
    <w:rsid w:val="00C33E1B"/>
    <w:rsid w:val="00C34B80"/>
    <w:rsid w:val="00C359A9"/>
    <w:rsid w:val="00C361FF"/>
    <w:rsid w:val="00C36377"/>
    <w:rsid w:val="00C36416"/>
    <w:rsid w:val="00C36426"/>
    <w:rsid w:val="00C3682C"/>
    <w:rsid w:val="00C3748C"/>
    <w:rsid w:val="00C37575"/>
    <w:rsid w:val="00C37A57"/>
    <w:rsid w:val="00C37CC2"/>
    <w:rsid w:val="00C40D4D"/>
    <w:rsid w:val="00C40DE6"/>
    <w:rsid w:val="00C4168D"/>
    <w:rsid w:val="00C4218C"/>
    <w:rsid w:val="00C42BCA"/>
    <w:rsid w:val="00C42D52"/>
    <w:rsid w:val="00C430C5"/>
    <w:rsid w:val="00C454C0"/>
    <w:rsid w:val="00C458C1"/>
    <w:rsid w:val="00C45DEA"/>
    <w:rsid w:val="00C460CE"/>
    <w:rsid w:val="00C4719B"/>
    <w:rsid w:val="00C47A4A"/>
    <w:rsid w:val="00C47F0A"/>
    <w:rsid w:val="00C50687"/>
    <w:rsid w:val="00C50E9F"/>
    <w:rsid w:val="00C5182C"/>
    <w:rsid w:val="00C5187A"/>
    <w:rsid w:val="00C51AC8"/>
    <w:rsid w:val="00C5362F"/>
    <w:rsid w:val="00C53FB0"/>
    <w:rsid w:val="00C550D9"/>
    <w:rsid w:val="00C57362"/>
    <w:rsid w:val="00C579EE"/>
    <w:rsid w:val="00C57D64"/>
    <w:rsid w:val="00C60057"/>
    <w:rsid w:val="00C617AC"/>
    <w:rsid w:val="00C619C6"/>
    <w:rsid w:val="00C622BF"/>
    <w:rsid w:val="00C62DCA"/>
    <w:rsid w:val="00C62E6E"/>
    <w:rsid w:val="00C63230"/>
    <w:rsid w:val="00C632E2"/>
    <w:rsid w:val="00C633C9"/>
    <w:rsid w:val="00C63B90"/>
    <w:rsid w:val="00C64561"/>
    <w:rsid w:val="00C645EA"/>
    <w:rsid w:val="00C65617"/>
    <w:rsid w:val="00C65632"/>
    <w:rsid w:val="00C65D3B"/>
    <w:rsid w:val="00C66729"/>
    <w:rsid w:val="00C67657"/>
    <w:rsid w:val="00C70763"/>
    <w:rsid w:val="00C71DFE"/>
    <w:rsid w:val="00C71FAD"/>
    <w:rsid w:val="00C72788"/>
    <w:rsid w:val="00C736F7"/>
    <w:rsid w:val="00C73C72"/>
    <w:rsid w:val="00C76859"/>
    <w:rsid w:val="00C770EA"/>
    <w:rsid w:val="00C772D2"/>
    <w:rsid w:val="00C77476"/>
    <w:rsid w:val="00C80B3C"/>
    <w:rsid w:val="00C8186C"/>
    <w:rsid w:val="00C8258D"/>
    <w:rsid w:val="00C82881"/>
    <w:rsid w:val="00C828A7"/>
    <w:rsid w:val="00C83021"/>
    <w:rsid w:val="00C830E7"/>
    <w:rsid w:val="00C833C3"/>
    <w:rsid w:val="00C833F7"/>
    <w:rsid w:val="00C834B7"/>
    <w:rsid w:val="00C83906"/>
    <w:rsid w:val="00C83FAD"/>
    <w:rsid w:val="00C83FCE"/>
    <w:rsid w:val="00C84085"/>
    <w:rsid w:val="00C8430A"/>
    <w:rsid w:val="00C85364"/>
    <w:rsid w:val="00C857CC"/>
    <w:rsid w:val="00C85BCA"/>
    <w:rsid w:val="00C85F7E"/>
    <w:rsid w:val="00C86378"/>
    <w:rsid w:val="00C9042D"/>
    <w:rsid w:val="00C90486"/>
    <w:rsid w:val="00C919A6"/>
    <w:rsid w:val="00C920F3"/>
    <w:rsid w:val="00C92428"/>
    <w:rsid w:val="00C92CE0"/>
    <w:rsid w:val="00C93E86"/>
    <w:rsid w:val="00C9424A"/>
    <w:rsid w:val="00C942E4"/>
    <w:rsid w:val="00C9464E"/>
    <w:rsid w:val="00C948FF"/>
    <w:rsid w:val="00C94B09"/>
    <w:rsid w:val="00C95279"/>
    <w:rsid w:val="00C967C8"/>
    <w:rsid w:val="00C96B9C"/>
    <w:rsid w:val="00C96C07"/>
    <w:rsid w:val="00C97C39"/>
    <w:rsid w:val="00CA0485"/>
    <w:rsid w:val="00CA063D"/>
    <w:rsid w:val="00CA091D"/>
    <w:rsid w:val="00CA166A"/>
    <w:rsid w:val="00CA2959"/>
    <w:rsid w:val="00CA2A90"/>
    <w:rsid w:val="00CA2FCB"/>
    <w:rsid w:val="00CA31C3"/>
    <w:rsid w:val="00CA3644"/>
    <w:rsid w:val="00CA3C32"/>
    <w:rsid w:val="00CA3C4E"/>
    <w:rsid w:val="00CA3D08"/>
    <w:rsid w:val="00CA3DD4"/>
    <w:rsid w:val="00CA3DD9"/>
    <w:rsid w:val="00CA4C28"/>
    <w:rsid w:val="00CA5114"/>
    <w:rsid w:val="00CA5401"/>
    <w:rsid w:val="00CA5457"/>
    <w:rsid w:val="00CA56AC"/>
    <w:rsid w:val="00CA57DC"/>
    <w:rsid w:val="00CA5BD9"/>
    <w:rsid w:val="00CA5D47"/>
    <w:rsid w:val="00CA6C2E"/>
    <w:rsid w:val="00CA71F4"/>
    <w:rsid w:val="00CA72C2"/>
    <w:rsid w:val="00CB1651"/>
    <w:rsid w:val="00CB17E5"/>
    <w:rsid w:val="00CB2865"/>
    <w:rsid w:val="00CB29C3"/>
    <w:rsid w:val="00CB3261"/>
    <w:rsid w:val="00CB46AE"/>
    <w:rsid w:val="00CB550D"/>
    <w:rsid w:val="00CB57BE"/>
    <w:rsid w:val="00CB636E"/>
    <w:rsid w:val="00CB7434"/>
    <w:rsid w:val="00CB78E6"/>
    <w:rsid w:val="00CB7C5F"/>
    <w:rsid w:val="00CB7D4F"/>
    <w:rsid w:val="00CC1A02"/>
    <w:rsid w:val="00CC2745"/>
    <w:rsid w:val="00CC2CE7"/>
    <w:rsid w:val="00CC407C"/>
    <w:rsid w:val="00CC40CD"/>
    <w:rsid w:val="00CC47FF"/>
    <w:rsid w:val="00CC4B57"/>
    <w:rsid w:val="00CC4DA1"/>
    <w:rsid w:val="00CC581D"/>
    <w:rsid w:val="00CC6156"/>
    <w:rsid w:val="00CC767F"/>
    <w:rsid w:val="00CD1164"/>
    <w:rsid w:val="00CD12D1"/>
    <w:rsid w:val="00CD17DF"/>
    <w:rsid w:val="00CD1AE0"/>
    <w:rsid w:val="00CD29AC"/>
    <w:rsid w:val="00CD3727"/>
    <w:rsid w:val="00CD3D4C"/>
    <w:rsid w:val="00CD3E2B"/>
    <w:rsid w:val="00CD3E9D"/>
    <w:rsid w:val="00CD3E9F"/>
    <w:rsid w:val="00CD3FFE"/>
    <w:rsid w:val="00CD4509"/>
    <w:rsid w:val="00CD4C64"/>
    <w:rsid w:val="00CD5410"/>
    <w:rsid w:val="00CD544B"/>
    <w:rsid w:val="00CD55C8"/>
    <w:rsid w:val="00CD62F2"/>
    <w:rsid w:val="00CD651C"/>
    <w:rsid w:val="00CD6C40"/>
    <w:rsid w:val="00CD709C"/>
    <w:rsid w:val="00CD70BC"/>
    <w:rsid w:val="00CD73FF"/>
    <w:rsid w:val="00CD776B"/>
    <w:rsid w:val="00CD7A85"/>
    <w:rsid w:val="00CE077C"/>
    <w:rsid w:val="00CE08A4"/>
    <w:rsid w:val="00CE0F75"/>
    <w:rsid w:val="00CE2200"/>
    <w:rsid w:val="00CE39CC"/>
    <w:rsid w:val="00CE3EF0"/>
    <w:rsid w:val="00CE429B"/>
    <w:rsid w:val="00CE4E10"/>
    <w:rsid w:val="00CE6972"/>
    <w:rsid w:val="00CE7904"/>
    <w:rsid w:val="00CE7B08"/>
    <w:rsid w:val="00CF0180"/>
    <w:rsid w:val="00CF07AE"/>
    <w:rsid w:val="00CF0F57"/>
    <w:rsid w:val="00CF1A69"/>
    <w:rsid w:val="00CF1AA6"/>
    <w:rsid w:val="00CF1B93"/>
    <w:rsid w:val="00CF37A0"/>
    <w:rsid w:val="00CF4467"/>
    <w:rsid w:val="00CF4468"/>
    <w:rsid w:val="00CF4DF5"/>
    <w:rsid w:val="00CF5DFB"/>
    <w:rsid w:val="00CF788D"/>
    <w:rsid w:val="00CF7A2E"/>
    <w:rsid w:val="00D01169"/>
    <w:rsid w:val="00D01C3D"/>
    <w:rsid w:val="00D02073"/>
    <w:rsid w:val="00D020A0"/>
    <w:rsid w:val="00D0270D"/>
    <w:rsid w:val="00D038DA"/>
    <w:rsid w:val="00D03D32"/>
    <w:rsid w:val="00D046E1"/>
    <w:rsid w:val="00D05071"/>
    <w:rsid w:val="00D05322"/>
    <w:rsid w:val="00D053F4"/>
    <w:rsid w:val="00D0609B"/>
    <w:rsid w:val="00D07DAE"/>
    <w:rsid w:val="00D102DD"/>
    <w:rsid w:val="00D10CF2"/>
    <w:rsid w:val="00D10EC4"/>
    <w:rsid w:val="00D11811"/>
    <w:rsid w:val="00D126B7"/>
    <w:rsid w:val="00D13531"/>
    <w:rsid w:val="00D13B2F"/>
    <w:rsid w:val="00D13C2E"/>
    <w:rsid w:val="00D13E59"/>
    <w:rsid w:val="00D1452D"/>
    <w:rsid w:val="00D14FB9"/>
    <w:rsid w:val="00D15AE3"/>
    <w:rsid w:val="00D16FC1"/>
    <w:rsid w:val="00D1711A"/>
    <w:rsid w:val="00D207CF"/>
    <w:rsid w:val="00D20FD9"/>
    <w:rsid w:val="00D21AAE"/>
    <w:rsid w:val="00D21AEA"/>
    <w:rsid w:val="00D22DBD"/>
    <w:rsid w:val="00D22E4E"/>
    <w:rsid w:val="00D245EF"/>
    <w:rsid w:val="00D2492B"/>
    <w:rsid w:val="00D25ED2"/>
    <w:rsid w:val="00D266FF"/>
    <w:rsid w:val="00D26F9C"/>
    <w:rsid w:val="00D2772E"/>
    <w:rsid w:val="00D27D33"/>
    <w:rsid w:val="00D27E53"/>
    <w:rsid w:val="00D307CE"/>
    <w:rsid w:val="00D30A88"/>
    <w:rsid w:val="00D311B8"/>
    <w:rsid w:val="00D31B4A"/>
    <w:rsid w:val="00D325A0"/>
    <w:rsid w:val="00D326C2"/>
    <w:rsid w:val="00D32FCE"/>
    <w:rsid w:val="00D339E8"/>
    <w:rsid w:val="00D34229"/>
    <w:rsid w:val="00D349FF"/>
    <w:rsid w:val="00D34B70"/>
    <w:rsid w:val="00D351FE"/>
    <w:rsid w:val="00D3572D"/>
    <w:rsid w:val="00D35E15"/>
    <w:rsid w:val="00D3616E"/>
    <w:rsid w:val="00D373E2"/>
    <w:rsid w:val="00D374A0"/>
    <w:rsid w:val="00D37854"/>
    <w:rsid w:val="00D37B41"/>
    <w:rsid w:val="00D402D6"/>
    <w:rsid w:val="00D409C5"/>
    <w:rsid w:val="00D40A76"/>
    <w:rsid w:val="00D4190A"/>
    <w:rsid w:val="00D42C89"/>
    <w:rsid w:val="00D436E0"/>
    <w:rsid w:val="00D43EC0"/>
    <w:rsid w:val="00D44F38"/>
    <w:rsid w:val="00D45055"/>
    <w:rsid w:val="00D45368"/>
    <w:rsid w:val="00D458AD"/>
    <w:rsid w:val="00D45B46"/>
    <w:rsid w:val="00D46198"/>
    <w:rsid w:val="00D463ED"/>
    <w:rsid w:val="00D46A10"/>
    <w:rsid w:val="00D47258"/>
    <w:rsid w:val="00D472CF"/>
    <w:rsid w:val="00D478A0"/>
    <w:rsid w:val="00D47E0C"/>
    <w:rsid w:val="00D500F4"/>
    <w:rsid w:val="00D50220"/>
    <w:rsid w:val="00D50B40"/>
    <w:rsid w:val="00D510A6"/>
    <w:rsid w:val="00D518EE"/>
    <w:rsid w:val="00D519C5"/>
    <w:rsid w:val="00D51DE7"/>
    <w:rsid w:val="00D529CE"/>
    <w:rsid w:val="00D53589"/>
    <w:rsid w:val="00D53708"/>
    <w:rsid w:val="00D539A7"/>
    <w:rsid w:val="00D53DFD"/>
    <w:rsid w:val="00D53FAD"/>
    <w:rsid w:val="00D54141"/>
    <w:rsid w:val="00D54204"/>
    <w:rsid w:val="00D543FD"/>
    <w:rsid w:val="00D54428"/>
    <w:rsid w:val="00D5585E"/>
    <w:rsid w:val="00D55D84"/>
    <w:rsid w:val="00D5672A"/>
    <w:rsid w:val="00D579FB"/>
    <w:rsid w:val="00D57CA2"/>
    <w:rsid w:val="00D610E6"/>
    <w:rsid w:val="00D623C2"/>
    <w:rsid w:val="00D6275E"/>
    <w:rsid w:val="00D62AB6"/>
    <w:rsid w:val="00D62C0D"/>
    <w:rsid w:val="00D62F76"/>
    <w:rsid w:val="00D63582"/>
    <w:rsid w:val="00D63C59"/>
    <w:rsid w:val="00D645DB"/>
    <w:rsid w:val="00D659C7"/>
    <w:rsid w:val="00D662EF"/>
    <w:rsid w:val="00D67375"/>
    <w:rsid w:val="00D67FD5"/>
    <w:rsid w:val="00D70060"/>
    <w:rsid w:val="00D70312"/>
    <w:rsid w:val="00D7054E"/>
    <w:rsid w:val="00D708CD"/>
    <w:rsid w:val="00D7147C"/>
    <w:rsid w:val="00D715A9"/>
    <w:rsid w:val="00D71B63"/>
    <w:rsid w:val="00D72FAF"/>
    <w:rsid w:val="00D73E71"/>
    <w:rsid w:val="00D75B93"/>
    <w:rsid w:val="00D7679E"/>
    <w:rsid w:val="00D76A14"/>
    <w:rsid w:val="00D76C72"/>
    <w:rsid w:val="00D772C8"/>
    <w:rsid w:val="00D775A3"/>
    <w:rsid w:val="00D80B94"/>
    <w:rsid w:val="00D80C19"/>
    <w:rsid w:val="00D8217E"/>
    <w:rsid w:val="00D835DC"/>
    <w:rsid w:val="00D837ED"/>
    <w:rsid w:val="00D839FC"/>
    <w:rsid w:val="00D84913"/>
    <w:rsid w:val="00D84CDC"/>
    <w:rsid w:val="00D84D1D"/>
    <w:rsid w:val="00D86CF1"/>
    <w:rsid w:val="00D86FD0"/>
    <w:rsid w:val="00D87460"/>
    <w:rsid w:val="00D87A3E"/>
    <w:rsid w:val="00D87D89"/>
    <w:rsid w:val="00D90244"/>
    <w:rsid w:val="00D905BC"/>
    <w:rsid w:val="00D90F76"/>
    <w:rsid w:val="00D91924"/>
    <w:rsid w:val="00D91928"/>
    <w:rsid w:val="00D9236F"/>
    <w:rsid w:val="00D934DD"/>
    <w:rsid w:val="00D93D74"/>
    <w:rsid w:val="00D93EFD"/>
    <w:rsid w:val="00D93F82"/>
    <w:rsid w:val="00D94F9B"/>
    <w:rsid w:val="00D95A25"/>
    <w:rsid w:val="00D96187"/>
    <w:rsid w:val="00D961E1"/>
    <w:rsid w:val="00D96556"/>
    <w:rsid w:val="00D97239"/>
    <w:rsid w:val="00DA1805"/>
    <w:rsid w:val="00DA1EB0"/>
    <w:rsid w:val="00DA2B1F"/>
    <w:rsid w:val="00DA3783"/>
    <w:rsid w:val="00DA3F0E"/>
    <w:rsid w:val="00DA52AB"/>
    <w:rsid w:val="00DA55E7"/>
    <w:rsid w:val="00DA6199"/>
    <w:rsid w:val="00DA61D9"/>
    <w:rsid w:val="00DA7F1D"/>
    <w:rsid w:val="00DB0A81"/>
    <w:rsid w:val="00DB2969"/>
    <w:rsid w:val="00DB298F"/>
    <w:rsid w:val="00DB45D5"/>
    <w:rsid w:val="00DB52B1"/>
    <w:rsid w:val="00DB56EE"/>
    <w:rsid w:val="00DB5A3C"/>
    <w:rsid w:val="00DB649A"/>
    <w:rsid w:val="00DB69CB"/>
    <w:rsid w:val="00DB6CD6"/>
    <w:rsid w:val="00DB777E"/>
    <w:rsid w:val="00DB77A9"/>
    <w:rsid w:val="00DC0B39"/>
    <w:rsid w:val="00DC14E9"/>
    <w:rsid w:val="00DC19B4"/>
    <w:rsid w:val="00DC3B64"/>
    <w:rsid w:val="00DC4AD1"/>
    <w:rsid w:val="00DC4DA9"/>
    <w:rsid w:val="00DC61D0"/>
    <w:rsid w:val="00DC6347"/>
    <w:rsid w:val="00DC69E3"/>
    <w:rsid w:val="00DC69EC"/>
    <w:rsid w:val="00DC6B6A"/>
    <w:rsid w:val="00DD1826"/>
    <w:rsid w:val="00DD18B9"/>
    <w:rsid w:val="00DD2647"/>
    <w:rsid w:val="00DD2D8E"/>
    <w:rsid w:val="00DD3505"/>
    <w:rsid w:val="00DD3564"/>
    <w:rsid w:val="00DD3FD6"/>
    <w:rsid w:val="00DD468D"/>
    <w:rsid w:val="00DD4CAC"/>
    <w:rsid w:val="00DD5057"/>
    <w:rsid w:val="00DD528A"/>
    <w:rsid w:val="00DD5513"/>
    <w:rsid w:val="00DD5B9F"/>
    <w:rsid w:val="00DD5F67"/>
    <w:rsid w:val="00DD6DF4"/>
    <w:rsid w:val="00DD6FD0"/>
    <w:rsid w:val="00DD759B"/>
    <w:rsid w:val="00DD7858"/>
    <w:rsid w:val="00DE0583"/>
    <w:rsid w:val="00DE12F3"/>
    <w:rsid w:val="00DE1454"/>
    <w:rsid w:val="00DE151B"/>
    <w:rsid w:val="00DE19EB"/>
    <w:rsid w:val="00DE1B1B"/>
    <w:rsid w:val="00DE281C"/>
    <w:rsid w:val="00DE3129"/>
    <w:rsid w:val="00DE3326"/>
    <w:rsid w:val="00DE35CF"/>
    <w:rsid w:val="00DE37B7"/>
    <w:rsid w:val="00DE3833"/>
    <w:rsid w:val="00DE56E8"/>
    <w:rsid w:val="00DE62EF"/>
    <w:rsid w:val="00DE6B56"/>
    <w:rsid w:val="00DE6DB1"/>
    <w:rsid w:val="00DE7DC2"/>
    <w:rsid w:val="00DF0BAC"/>
    <w:rsid w:val="00DF0E38"/>
    <w:rsid w:val="00DF1538"/>
    <w:rsid w:val="00DF24E7"/>
    <w:rsid w:val="00DF2969"/>
    <w:rsid w:val="00DF3D96"/>
    <w:rsid w:val="00DF41E2"/>
    <w:rsid w:val="00DF58DA"/>
    <w:rsid w:val="00DF5BEB"/>
    <w:rsid w:val="00DF5C36"/>
    <w:rsid w:val="00DF5CA4"/>
    <w:rsid w:val="00DF5F83"/>
    <w:rsid w:val="00DF60FA"/>
    <w:rsid w:val="00DF6EA8"/>
    <w:rsid w:val="00DF7425"/>
    <w:rsid w:val="00E008B4"/>
    <w:rsid w:val="00E01332"/>
    <w:rsid w:val="00E015C1"/>
    <w:rsid w:val="00E024C7"/>
    <w:rsid w:val="00E02656"/>
    <w:rsid w:val="00E03052"/>
    <w:rsid w:val="00E03601"/>
    <w:rsid w:val="00E0402D"/>
    <w:rsid w:val="00E05048"/>
    <w:rsid w:val="00E056F3"/>
    <w:rsid w:val="00E05E6D"/>
    <w:rsid w:val="00E062E6"/>
    <w:rsid w:val="00E06E3B"/>
    <w:rsid w:val="00E07051"/>
    <w:rsid w:val="00E07277"/>
    <w:rsid w:val="00E076D2"/>
    <w:rsid w:val="00E10033"/>
    <w:rsid w:val="00E10A52"/>
    <w:rsid w:val="00E111C0"/>
    <w:rsid w:val="00E11959"/>
    <w:rsid w:val="00E11AF0"/>
    <w:rsid w:val="00E12E37"/>
    <w:rsid w:val="00E13892"/>
    <w:rsid w:val="00E138D8"/>
    <w:rsid w:val="00E13B5C"/>
    <w:rsid w:val="00E13C9E"/>
    <w:rsid w:val="00E15088"/>
    <w:rsid w:val="00E15188"/>
    <w:rsid w:val="00E169A1"/>
    <w:rsid w:val="00E20C9B"/>
    <w:rsid w:val="00E20F09"/>
    <w:rsid w:val="00E2205E"/>
    <w:rsid w:val="00E2375D"/>
    <w:rsid w:val="00E23B04"/>
    <w:rsid w:val="00E247D6"/>
    <w:rsid w:val="00E26134"/>
    <w:rsid w:val="00E26361"/>
    <w:rsid w:val="00E2640B"/>
    <w:rsid w:val="00E2684E"/>
    <w:rsid w:val="00E270EC"/>
    <w:rsid w:val="00E2712D"/>
    <w:rsid w:val="00E27285"/>
    <w:rsid w:val="00E27982"/>
    <w:rsid w:val="00E27B2E"/>
    <w:rsid w:val="00E27BDC"/>
    <w:rsid w:val="00E300C1"/>
    <w:rsid w:val="00E301DE"/>
    <w:rsid w:val="00E303D3"/>
    <w:rsid w:val="00E30702"/>
    <w:rsid w:val="00E32332"/>
    <w:rsid w:val="00E3288C"/>
    <w:rsid w:val="00E34107"/>
    <w:rsid w:val="00E34726"/>
    <w:rsid w:val="00E3564F"/>
    <w:rsid w:val="00E35ED2"/>
    <w:rsid w:val="00E365CC"/>
    <w:rsid w:val="00E365DD"/>
    <w:rsid w:val="00E3780D"/>
    <w:rsid w:val="00E40049"/>
    <w:rsid w:val="00E404F5"/>
    <w:rsid w:val="00E405A9"/>
    <w:rsid w:val="00E414B8"/>
    <w:rsid w:val="00E4198F"/>
    <w:rsid w:val="00E421CD"/>
    <w:rsid w:val="00E42994"/>
    <w:rsid w:val="00E431DD"/>
    <w:rsid w:val="00E43326"/>
    <w:rsid w:val="00E44CBA"/>
    <w:rsid w:val="00E45107"/>
    <w:rsid w:val="00E452EB"/>
    <w:rsid w:val="00E4578B"/>
    <w:rsid w:val="00E46EE8"/>
    <w:rsid w:val="00E47D8E"/>
    <w:rsid w:val="00E47D9F"/>
    <w:rsid w:val="00E50D0B"/>
    <w:rsid w:val="00E5122F"/>
    <w:rsid w:val="00E51F1A"/>
    <w:rsid w:val="00E52213"/>
    <w:rsid w:val="00E5332A"/>
    <w:rsid w:val="00E5339E"/>
    <w:rsid w:val="00E53B08"/>
    <w:rsid w:val="00E5536C"/>
    <w:rsid w:val="00E5599E"/>
    <w:rsid w:val="00E56D26"/>
    <w:rsid w:val="00E56E43"/>
    <w:rsid w:val="00E576E6"/>
    <w:rsid w:val="00E57823"/>
    <w:rsid w:val="00E578AB"/>
    <w:rsid w:val="00E606DC"/>
    <w:rsid w:val="00E60EB9"/>
    <w:rsid w:val="00E60F47"/>
    <w:rsid w:val="00E627AD"/>
    <w:rsid w:val="00E62AC1"/>
    <w:rsid w:val="00E62C8A"/>
    <w:rsid w:val="00E63E07"/>
    <w:rsid w:val="00E64587"/>
    <w:rsid w:val="00E648D3"/>
    <w:rsid w:val="00E655AF"/>
    <w:rsid w:val="00E65EF2"/>
    <w:rsid w:val="00E66039"/>
    <w:rsid w:val="00E667E0"/>
    <w:rsid w:val="00E67A4B"/>
    <w:rsid w:val="00E67F83"/>
    <w:rsid w:val="00E71105"/>
    <w:rsid w:val="00E7199F"/>
    <w:rsid w:val="00E71EC6"/>
    <w:rsid w:val="00E73792"/>
    <w:rsid w:val="00E74A42"/>
    <w:rsid w:val="00E75DBD"/>
    <w:rsid w:val="00E76E2C"/>
    <w:rsid w:val="00E778A0"/>
    <w:rsid w:val="00E779A4"/>
    <w:rsid w:val="00E80B91"/>
    <w:rsid w:val="00E811F7"/>
    <w:rsid w:val="00E81A8A"/>
    <w:rsid w:val="00E81E38"/>
    <w:rsid w:val="00E8203D"/>
    <w:rsid w:val="00E839D0"/>
    <w:rsid w:val="00E84EE9"/>
    <w:rsid w:val="00E864D7"/>
    <w:rsid w:val="00E867CA"/>
    <w:rsid w:val="00E86905"/>
    <w:rsid w:val="00E86E58"/>
    <w:rsid w:val="00E87536"/>
    <w:rsid w:val="00E9181B"/>
    <w:rsid w:val="00E927A6"/>
    <w:rsid w:val="00E94658"/>
    <w:rsid w:val="00E95660"/>
    <w:rsid w:val="00E971CA"/>
    <w:rsid w:val="00E97495"/>
    <w:rsid w:val="00E9769B"/>
    <w:rsid w:val="00E97A20"/>
    <w:rsid w:val="00E97EC2"/>
    <w:rsid w:val="00E97FBB"/>
    <w:rsid w:val="00EA0BD6"/>
    <w:rsid w:val="00EA10AA"/>
    <w:rsid w:val="00EA1525"/>
    <w:rsid w:val="00EA35AB"/>
    <w:rsid w:val="00EA36F9"/>
    <w:rsid w:val="00EA546E"/>
    <w:rsid w:val="00EA55A8"/>
    <w:rsid w:val="00EA5889"/>
    <w:rsid w:val="00EA64A1"/>
    <w:rsid w:val="00EA6C08"/>
    <w:rsid w:val="00EA6EDA"/>
    <w:rsid w:val="00EA7687"/>
    <w:rsid w:val="00EA7C27"/>
    <w:rsid w:val="00EB0931"/>
    <w:rsid w:val="00EB0EF6"/>
    <w:rsid w:val="00EB0F14"/>
    <w:rsid w:val="00EB1C98"/>
    <w:rsid w:val="00EB1CB7"/>
    <w:rsid w:val="00EB2606"/>
    <w:rsid w:val="00EB2805"/>
    <w:rsid w:val="00EB2B2E"/>
    <w:rsid w:val="00EB3155"/>
    <w:rsid w:val="00EB392B"/>
    <w:rsid w:val="00EB3EFD"/>
    <w:rsid w:val="00EB3F56"/>
    <w:rsid w:val="00EB4304"/>
    <w:rsid w:val="00EB51AD"/>
    <w:rsid w:val="00EB5349"/>
    <w:rsid w:val="00EB5409"/>
    <w:rsid w:val="00EB5A50"/>
    <w:rsid w:val="00EB5DE5"/>
    <w:rsid w:val="00EB64A8"/>
    <w:rsid w:val="00EB6A21"/>
    <w:rsid w:val="00EB6E03"/>
    <w:rsid w:val="00EB6EE0"/>
    <w:rsid w:val="00EB71E0"/>
    <w:rsid w:val="00EB74C2"/>
    <w:rsid w:val="00EC0473"/>
    <w:rsid w:val="00EC26AC"/>
    <w:rsid w:val="00EC27A0"/>
    <w:rsid w:val="00EC3037"/>
    <w:rsid w:val="00EC3408"/>
    <w:rsid w:val="00EC35D4"/>
    <w:rsid w:val="00EC4807"/>
    <w:rsid w:val="00EC55A5"/>
    <w:rsid w:val="00EC595D"/>
    <w:rsid w:val="00EC5F26"/>
    <w:rsid w:val="00EC78E8"/>
    <w:rsid w:val="00ED0916"/>
    <w:rsid w:val="00ED269B"/>
    <w:rsid w:val="00ED2AA5"/>
    <w:rsid w:val="00ED338D"/>
    <w:rsid w:val="00ED36FE"/>
    <w:rsid w:val="00ED3D6E"/>
    <w:rsid w:val="00ED4B3A"/>
    <w:rsid w:val="00ED4DAD"/>
    <w:rsid w:val="00ED5DEF"/>
    <w:rsid w:val="00ED6672"/>
    <w:rsid w:val="00ED6CBA"/>
    <w:rsid w:val="00ED75F4"/>
    <w:rsid w:val="00EE103B"/>
    <w:rsid w:val="00EE27F5"/>
    <w:rsid w:val="00EE37D8"/>
    <w:rsid w:val="00EE37E6"/>
    <w:rsid w:val="00EE3914"/>
    <w:rsid w:val="00EE4912"/>
    <w:rsid w:val="00EE4921"/>
    <w:rsid w:val="00EE4980"/>
    <w:rsid w:val="00EE4BEA"/>
    <w:rsid w:val="00EE5A42"/>
    <w:rsid w:val="00EE5AD3"/>
    <w:rsid w:val="00EE5E31"/>
    <w:rsid w:val="00EE676A"/>
    <w:rsid w:val="00EE75DE"/>
    <w:rsid w:val="00EF043A"/>
    <w:rsid w:val="00EF04D3"/>
    <w:rsid w:val="00EF08C1"/>
    <w:rsid w:val="00EF1468"/>
    <w:rsid w:val="00EF2056"/>
    <w:rsid w:val="00EF22F9"/>
    <w:rsid w:val="00EF2386"/>
    <w:rsid w:val="00EF2A51"/>
    <w:rsid w:val="00EF3B64"/>
    <w:rsid w:val="00EF4E49"/>
    <w:rsid w:val="00EF5959"/>
    <w:rsid w:val="00EF7177"/>
    <w:rsid w:val="00EF724B"/>
    <w:rsid w:val="00EF78F5"/>
    <w:rsid w:val="00EF7E31"/>
    <w:rsid w:val="00EF7E56"/>
    <w:rsid w:val="00F00225"/>
    <w:rsid w:val="00F01139"/>
    <w:rsid w:val="00F02155"/>
    <w:rsid w:val="00F02DEE"/>
    <w:rsid w:val="00F03679"/>
    <w:rsid w:val="00F036D2"/>
    <w:rsid w:val="00F03BED"/>
    <w:rsid w:val="00F0427C"/>
    <w:rsid w:val="00F04390"/>
    <w:rsid w:val="00F05174"/>
    <w:rsid w:val="00F053FA"/>
    <w:rsid w:val="00F05D25"/>
    <w:rsid w:val="00F076CC"/>
    <w:rsid w:val="00F07EF0"/>
    <w:rsid w:val="00F07F44"/>
    <w:rsid w:val="00F07F59"/>
    <w:rsid w:val="00F10322"/>
    <w:rsid w:val="00F10944"/>
    <w:rsid w:val="00F10BEE"/>
    <w:rsid w:val="00F1172D"/>
    <w:rsid w:val="00F11EDF"/>
    <w:rsid w:val="00F1248D"/>
    <w:rsid w:val="00F12710"/>
    <w:rsid w:val="00F12843"/>
    <w:rsid w:val="00F13B16"/>
    <w:rsid w:val="00F13E4E"/>
    <w:rsid w:val="00F13F13"/>
    <w:rsid w:val="00F141DC"/>
    <w:rsid w:val="00F1430E"/>
    <w:rsid w:val="00F149CD"/>
    <w:rsid w:val="00F154E9"/>
    <w:rsid w:val="00F16657"/>
    <w:rsid w:val="00F169EF"/>
    <w:rsid w:val="00F16E60"/>
    <w:rsid w:val="00F17081"/>
    <w:rsid w:val="00F20E40"/>
    <w:rsid w:val="00F20EC2"/>
    <w:rsid w:val="00F2100A"/>
    <w:rsid w:val="00F210BA"/>
    <w:rsid w:val="00F21123"/>
    <w:rsid w:val="00F211AF"/>
    <w:rsid w:val="00F211F5"/>
    <w:rsid w:val="00F21C55"/>
    <w:rsid w:val="00F21FE8"/>
    <w:rsid w:val="00F2370A"/>
    <w:rsid w:val="00F239E2"/>
    <w:rsid w:val="00F24768"/>
    <w:rsid w:val="00F24A4C"/>
    <w:rsid w:val="00F24E0A"/>
    <w:rsid w:val="00F25EE8"/>
    <w:rsid w:val="00F3054C"/>
    <w:rsid w:val="00F305AF"/>
    <w:rsid w:val="00F30AFA"/>
    <w:rsid w:val="00F311AC"/>
    <w:rsid w:val="00F31758"/>
    <w:rsid w:val="00F31ACC"/>
    <w:rsid w:val="00F31D9D"/>
    <w:rsid w:val="00F33403"/>
    <w:rsid w:val="00F3381F"/>
    <w:rsid w:val="00F33F59"/>
    <w:rsid w:val="00F3438A"/>
    <w:rsid w:val="00F4017A"/>
    <w:rsid w:val="00F40924"/>
    <w:rsid w:val="00F41944"/>
    <w:rsid w:val="00F4211E"/>
    <w:rsid w:val="00F437B7"/>
    <w:rsid w:val="00F439CC"/>
    <w:rsid w:val="00F43D71"/>
    <w:rsid w:val="00F44236"/>
    <w:rsid w:val="00F449D6"/>
    <w:rsid w:val="00F44A1B"/>
    <w:rsid w:val="00F44AB1"/>
    <w:rsid w:val="00F46035"/>
    <w:rsid w:val="00F46888"/>
    <w:rsid w:val="00F4777B"/>
    <w:rsid w:val="00F479B7"/>
    <w:rsid w:val="00F5070A"/>
    <w:rsid w:val="00F507B2"/>
    <w:rsid w:val="00F510D2"/>
    <w:rsid w:val="00F51B28"/>
    <w:rsid w:val="00F51C07"/>
    <w:rsid w:val="00F530CD"/>
    <w:rsid w:val="00F53139"/>
    <w:rsid w:val="00F53989"/>
    <w:rsid w:val="00F541FD"/>
    <w:rsid w:val="00F5487C"/>
    <w:rsid w:val="00F54B6C"/>
    <w:rsid w:val="00F54FA9"/>
    <w:rsid w:val="00F55774"/>
    <w:rsid w:val="00F55C4B"/>
    <w:rsid w:val="00F56327"/>
    <w:rsid w:val="00F579AF"/>
    <w:rsid w:val="00F61058"/>
    <w:rsid w:val="00F61313"/>
    <w:rsid w:val="00F61353"/>
    <w:rsid w:val="00F61739"/>
    <w:rsid w:val="00F61ACA"/>
    <w:rsid w:val="00F62139"/>
    <w:rsid w:val="00F62466"/>
    <w:rsid w:val="00F6252A"/>
    <w:rsid w:val="00F6258D"/>
    <w:rsid w:val="00F63B44"/>
    <w:rsid w:val="00F64808"/>
    <w:rsid w:val="00F65175"/>
    <w:rsid w:val="00F65C1F"/>
    <w:rsid w:val="00F665D3"/>
    <w:rsid w:val="00F70A81"/>
    <w:rsid w:val="00F72531"/>
    <w:rsid w:val="00F74200"/>
    <w:rsid w:val="00F7426D"/>
    <w:rsid w:val="00F74674"/>
    <w:rsid w:val="00F74BA7"/>
    <w:rsid w:val="00F74F57"/>
    <w:rsid w:val="00F75701"/>
    <w:rsid w:val="00F76DCD"/>
    <w:rsid w:val="00F76E56"/>
    <w:rsid w:val="00F776FA"/>
    <w:rsid w:val="00F77C63"/>
    <w:rsid w:val="00F804E7"/>
    <w:rsid w:val="00F80CA6"/>
    <w:rsid w:val="00F80F03"/>
    <w:rsid w:val="00F83D43"/>
    <w:rsid w:val="00F83EEB"/>
    <w:rsid w:val="00F8414B"/>
    <w:rsid w:val="00F84BD4"/>
    <w:rsid w:val="00F8502A"/>
    <w:rsid w:val="00F853FE"/>
    <w:rsid w:val="00F85447"/>
    <w:rsid w:val="00F85707"/>
    <w:rsid w:val="00F85F68"/>
    <w:rsid w:val="00F86364"/>
    <w:rsid w:val="00F874AF"/>
    <w:rsid w:val="00F875FD"/>
    <w:rsid w:val="00F90EB1"/>
    <w:rsid w:val="00F91058"/>
    <w:rsid w:val="00F91FB9"/>
    <w:rsid w:val="00F9272B"/>
    <w:rsid w:val="00F939F4"/>
    <w:rsid w:val="00F93E7F"/>
    <w:rsid w:val="00F95181"/>
    <w:rsid w:val="00F95766"/>
    <w:rsid w:val="00F95FFE"/>
    <w:rsid w:val="00F968D0"/>
    <w:rsid w:val="00F97FBC"/>
    <w:rsid w:val="00FA04CE"/>
    <w:rsid w:val="00FA0C03"/>
    <w:rsid w:val="00FA0EC5"/>
    <w:rsid w:val="00FA0F13"/>
    <w:rsid w:val="00FA2113"/>
    <w:rsid w:val="00FA2A77"/>
    <w:rsid w:val="00FA2FD7"/>
    <w:rsid w:val="00FA4AA9"/>
    <w:rsid w:val="00FA5840"/>
    <w:rsid w:val="00FA5B1D"/>
    <w:rsid w:val="00FA6003"/>
    <w:rsid w:val="00FA6543"/>
    <w:rsid w:val="00FA6609"/>
    <w:rsid w:val="00FA6718"/>
    <w:rsid w:val="00FA6A92"/>
    <w:rsid w:val="00FA6B6F"/>
    <w:rsid w:val="00FA6C5A"/>
    <w:rsid w:val="00FA6C8E"/>
    <w:rsid w:val="00FA7B21"/>
    <w:rsid w:val="00FB07D7"/>
    <w:rsid w:val="00FB0870"/>
    <w:rsid w:val="00FB0AFF"/>
    <w:rsid w:val="00FB1A0E"/>
    <w:rsid w:val="00FB1D17"/>
    <w:rsid w:val="00FB274B"/>
    <w:rsid w:val="00FB3003"/>
    <w:rsid w:val="00FB304F"/>
    <w:rsid w:val="00FB4103"/>
    <w:rsid w:val="00FB4594"/>
    <w:rsid w:val="00FB463D"/>
    <w:rsid w:val="00FB4742"/>
    <w:rsid w:val="00FB4820"/>
    <w:rsid w:val="00FB4DD5"/>
    <w:rsid w:val="00FB6520"/>
    <w:rsid w:val="00FB6BD0"/>
    <w:rsid w:val="00FB7141"/>
    <w:rsid w:val="00FB71E6"/>
    <w:rsid w:val="00FB7F9A"/>
    <w:rsid w:val="00FC00C5"/>
    <w:rsid w:val="00FC0709"/>
    <w:rsid w:val="00FC17CF"/>
    <w:rsid w:val="00FC21DA"/>
    <w:rsid w:val="00FC2846"/>
    <w:rsid w:val="00FC2A2C"/>
    <w:rsid w:val="00FC348E"/>
    <w:rsid w:val="00FC3C2D"/>
    <w:rsid w:val="00FC427B"/>
    <w:rsid w:val="00FC466C"/>
    <w:rsid w:val="00FC4AA4"/>
    <w:rsid w:val="00FC4F31"/>
    <w:rsid w:val="00FC53E8"/>
    <w:rsid w:val="00FC567D"/>
    <w:rsid w:val="00FC6721"/>
    <w:rsid w:val="00FC6C6E"/>
    <w:rsid w:val="00FC6FB2"/>
    <w:rsid w:val="00FC7537"/>
    <w:rsid w:val="00FC75BA"/>
    <w:rsid w:val="00FC7A30"/>
    <w:rsid w:val="00FC7E4E"/>
    <w:rsid w:val="00FC7F76"/>
    <w:rsid w:val="00FD00A6"/>
    <w:rsid w:val="00FD108D"/>
    <w:rsid w:val="00FD22F9"/>
    <w:rsid w:val="00FD239F"/>
    <w:rsid w:val="00FD2A3D"/>
    <w:rsid w:val="00FD2A5A"/>
    <w:rsid w:val="00FD2D7D"/>
    <w:rsid w:val="00FD2E5F"/>
    <w:rsid w:val="00FD35B9"/>
    <w:rsid w:val="00FD3FDD"/>
    <w:rsid w:val="00FD4248"/>
    <w:rsid w:val="00FD4423"/>
    <w:rsid w:val="00FD6BCB"/>
    <w:rsid w:val="00FD6D4F"/>
    <w:rsid w:val="00FD742C"/>
    <w:rsid w:val="00FD757A"/>
    <w:rsid w:val="00FD7A82"/>
    <w:rsid w:val="00FD7D90"/>
    <w:rsid w:val="00FD7F1A"/>
    <w:rsid w:val="00FE0296"/>
    <w:rsid w:val="00FE118E"/>
    <w:rsid w:val="00FE1A38"/>
    <w:rsid w:val="00FE3940"/>
    <w:rsid w:val="00FE3C82"/>
    <w:rsid w:val="00FE58FD"/>
    <w:rsid w:val="00FF075E"/>
    <w:rsid w:val="00FF0E6D"/>
    <w:rsid w:val="00FF1F13"/>
    <w:rsid w:val="00FF2630"/>
    <w:rsid w:val="00FF30E0"/>
    <w:rsid w:val="00FF45BE"/>
    <w:rsid w:val="00FF651C"/>
    <w:rsid w:val="00FF663F"/>
    <w:rsid w:val="00FF67BE"/>
    <w:rsid w:val="00FF6917"/>
    <w:rsid w:val="00FF6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BA90"/>
  <w15:docId w15:val="{2DDB14EB-2C96-48CA-B05A-D97616B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4256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4256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4F7"/>
    <w:pPr>
      <w:spacing w:after="0" w:line="240" w:lineRule="auto"/>
    </w:pPr>
  </w:style>
  <w:style w:type="character" w:customStyle="1" w:styleId="Heading1Char">
    <w:name w:val="Heading 1 Char"/>
    <w:basedOn w:val="DefaultParagraphFont"/>
    <w:link w:val="Heading1"/>
    <w:uiPriority w:val="9"/>
    <w:rsid w:val="00B134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4F7"/>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54256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4256D"/>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54256D"/>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4256D"/>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rsid w:val="0054256D"/>
    <w:rPr>
      <w:rFonts w:ascii="Arial" w:hAnsi="Arial" w:cs="Arial"/>
      <w:noProof/>
      <w:sz w:val="24"/>
      <w:szCs w:val="24"/>
      <w:lang w:val="en-GB" w:eastAsia="en-GB"/>
    </w:rPr>
  </w:style>
  <w:style w:type="paragraph" w:styleId="Header">
    <w:name w:val="header"/>
    <w:basedOn w:val="Normal"/>
    <w:link w:val="HeaderChar"/>
    <w:uiPriority w:val="99"/>
    <w:unhideWhenUsed/>
    <w:rsid w:val="0054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56D"/>
  </w:style>
  <w:style w:type="paragraph" w:styleId="Footer">
    <w:name w:val="footer"/>
    <w:basedOn w:val="Normal"/>
    <w:link w:val="FooterChar"/>
    <w:uiPriority w:val="99"/>
    <w:unhideWhenUsed/>
    <w:rsid w:val="0054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56D"/>
  </w:style>
  <w:style w:type="paragraph" w:styleId="ListParagraph">
    <w:name w:val="List Paragraph"/>
    <w:basedOn w:val="Normal"/>
    <w:uiPriority w:val="34"/>
    <w:qFormat/>
    <w:rsid w:val="00A62A6E"/>
    <w:pPr>
      <w:ind w:left="720"/>
      <w:contextualSpacing/>
    </w:pPr>
  </w:style>
  <w:style w:type="paragraph" w:styleId="FootnoteText">
    <w:name w:val="footnote text"/>
    <w:basedOn w:val="Normal"/>
    <w:link w:val="FootnoteTextChar"/>
    <w:uiPriority w:val="99"/>
    <w:unhideWhenUsed/>
    <w:rsid w:val="00A9533D"/>
    <w:pPr>
      <w:spacing w:after="0" w:line="240" w:lineRule="auto"/>
      <w:ind w:left="1440" w:hanging="720"/>
    </w:pPr>
    <w:rPr>
      <w:sz w:val="20"/>
      <w:szCs w:val="20"/>
      <w:lang w:val="en-ZA"/>
    </w:rPr>
  </w:style>
  <w:style w:type="character" w:customStyle="1" w:styleId="FootnoteTextChar">
    <w:name w:val="Footnote Text Char"/>
    <w:basedOn w:val="DefaultParagraphFont"/>
    <w:link w:val="FootnoteText"/>
    <w:uiPriority w:val="99"/>
    <w:rsid w:val="00A9533D"/>
    <w:rPr>
      <w:sz w:val="20"/>
      <w:szCs w:val="20"/>
      <w:lang w:val="en-ZA"/>
    </w:rPr>
  </w:style>
  <w:style w:type="paragraph" w:styleId="EndnoteText">
    <w:name w:val="endnote text"/>
    <w:basedOn w:val="Normal"/>
    <w:link w:val="EndnoteTextChar"/>
    <w:uiPriority w:val="99"/>
    <w:semiHidden/>
    <w:unhideWhenUsed/>
    <w:rsid w:val="00A9533D"/>
    <w:pPr>
      <w:spacing w:after="0" w:line="240" w:lineRule="auto"/>
      <w:ind w:left="1440" w:hanging="720"/>
    </w:pPr>
    <w:rPr>
      <w:sz w:val="20"/>
      <w:szCs w:val="20"/>
      <w:lang w:val="en-ZA"/>
    </w:rPr>
  </w:style>
  <w:style w:type="character" w:customStyle="1" w:styleId="EndnoteTextChar">
    <w:name w:val="Endnote Text Char"/>
    <w:basedOn w:val="DefaultParagraphFont"/>
    <w:link w:val="EndnoteText"/>
    <w:uiPriority w:val="99"/>
    <w:semiHidden/>
    <w:rsid w:val="00A9533D"/>
    <w:rPr>
      <w:sz w:val="20"/>
      <w:szCs w:val="20"/>
      <w:lang w:val="en-ZA"/>
    </w:rPr>
  </w:style>
  <w:style w:type="character" w:styleId="FootnoteReference">
    <w:name w:val="footnote reference"/>
    <w:aliases w:val="Ref,de nota al pie,註腳內容,Footnote symbol,Style 12,(NECG) Footnote Reference,Footnote,Footnotes refss,Appel note de bas de page,Footnote Reference + Superscript,fr,Heading 6 Char1,do not use4 Char1"/>
    <w:basedOn w:val="DefaultParagraphFont"/>
    <w:uiPriority w:val="99"/>
    <w:unhideWhenUsed/>
    <w:qFormat/>
    <w:rsid w:val="00A9533D"/>
    <w:rPr>
      <w:vertAlign w:val="superscript"/>
    </w:rPr>
  </w:style>
  <w:style w:type="character" w:styleId="CommentReference">
    <w:name w:val="annotation reference"/>
    <w:basedOn w:val="DefaultParagraphFont"/>
    <w:uiPriority w:val="99"/>
    <w:semiHidden/>
    <w:unhideWhenUsed/>
    <w:rsid w:val="00523845"/>
    <w:rPr>
      <w:sz w:val="16"/>
      <w:szCs w:val="16"/>
    </w:rPr>
  </w:style>
  <w:style w:type="paragraph" w:styleId="CommentText">
    <w:name w:val="annotation text"/>
    <w:basedOn w:val="Normal"/>
    <w:link w:val="CommentTextChar"/>
    <w:uiPriority w:val="99"/>
    <w:semiHidden/>
    <w:unhideWhenUsed/>
    <w:rsid w:val="00523845"/>
    <w:pPr>
      <w:spacing w:line="240" w:lineRule="auto"/>
    </w:pPr>
    <w:rPr>
      <w:sz w:val="20"/>
      <w:szCs w:val="20"/>
    </w:rPr>
  </w:style>
  <w:style w:type="character" w:customStyle="1" w:styleId="CommentTextChar">
    <w:name w:val="Comment Text Char"/>
    <w:basedOn w:val="DefaultParagraphFont"/>
    <w:link w:val="CommentText"/>
    <w:uiPriority w:val="99"/>
    <w:semiHidden/>
    <w:rsid w:val="00523845"/>
    <w:rPr>
      <w:sz w:val="20"/>
      <w:szCs w:val="20"/>
    </w:rPr>
  </w:style>
  <w:style w:type="paragraph" w:styleId="CommentSubject">
    <w:name w:val="annotation subject"/>
    <w:basedOn w:val="CommentText"/>
    <w:next w:val="CommentText"/>
    <w:link w:val="CommentSubjectChar"/>
    <w:uiPriority w:val="99"/>
    <w:semiHidden/>
    <w:unhideWhenUsed/>
    <w:rsid w:val="00523845"/>
    <w:rPr>
      <w:b/>
      <w:bCs/>
    </w:rPr>
  </w:style>
  <w:style w:type="character" w:customStyle="1" w:styleId="CommentSubjectChar">
    <w:name w:val="Comment Subject Char"/>
    <w:basedOn w:val="CommentTextChar"/>
    <w:link w:val="CommentSubject"/>
    <w:uiPriority w:val="99"/>
    <w:semiHidden/>
    <w:rsid w:val="00523845"/>
    <w:rPr>
      <w:b/>
      <w:bCs/>
      <w:sz w:val="20"/>
      <w:szCs w:val="20"/>
    </w:rPr>
  </w:style>
  <w:style w:type="paragraph" w:styleId="BalloonText">
    <w:name w:val="Balloon Text"/>
    <w:basedOn w:val="Normal"/>
    <w:link w:val="BalloonTextChar"/>
    <w:uiPriority w:val="99"/>
    <w:semiHidden/>
    <w:unhideWhenUsed/>
    <w:rsid w:val="0052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845"/>
    <w:rPr>
      <w:rFonts w:ascii="Segoe UI" w:hAnsi="Segoe UI" w:cs="Segoe UI"/>
      <w:sz w:val="18"/>
      <w:szCs w:val="18"/>
    </w:rPr>
  </w:style>
  <w:style w:type="character" w:styleId="Hyperlink">
    <w:name w:val="Hyperlink"/>
    <w:basedOn w:val="DefaultParagraphFont"/>
    <w:uiPriority w:val="99"/>
    <w:unhideWhenUsed/>
    <w:rsid w:val="00290DDA"/>
    <w:rPr>
      <w:color w:val="0563C1" w:themeColor="hyperlink"/>
      <w:u w:val="single"/>
    </w:rPr>
  </w:style>
  <w:style w:type="paragraph" w:styleId="NormalWeb">
    <w:name w:val="Normal (Web)"/>
    <w:basedOn w:val="Normal"/>
    <w:uiPriority w:val="99"/>
    <w:unhideWhenUsed/>
    <w:rsid w:val="00527AE5"/>
    <w:pPr>
      <w:spacing w:before="100" w:beforeAutospacing="1" w:after="100" w:afterAutospacing="1" w:line="240" w:lineRule="auto"/>
    </w:pPr>
    <w:rPr>
      <w:rFonts w:ascii="Times New Roman" w:eastAsia="Times New Roman" w:hAnsi="Times New Roman" w:cs="Times New Roman"/>
      <w:sz w:val="24"/>
      <w:szCs w:val="24"/>
      <w:lang w:val="en-ZA" w:eastAsia="en-ZA" w:bidi="he-IL"/>
    </w:rPr>
  </w:style>
  <w:style w:type="character" w:customStyle="1" w:styleId="UnresolvedMention">
    <w:name w:val="Unresolved Mention"/>
    <w:basedOn w:val="DefaultParagraphFont"/>
    <w:uiPriority w:val="99"/>
    <w:semiHidden/>
    <w:unhideWhenUsed/>
    <w:rsid w:val="00DF7425"/>
    <w:rPr>
      <w:color w:val="605E5C"/>
      <w:shd w:val="clear" w:color="auto" w:fill="E1DFDD"/>
    </w:rPr>
  </w:style>
  <w:style w:type="character" w:styleId="FollowedHyperlink">
    <w:name w:val="FollowedHyperlink"/>
    <w:basedOn w:val="DefaultParagraphFont"/>
    <w:uiPriority w:val="99"/>
    <w:semiHidden/>
    <w:unhideWhenUsed/>
    <w:rsid w:val="00F91FB9"/>
    <w:rPr>
      <w:color w:val="954F72" w:themeColor="followedHyperlink"/>
      <w:u w:val="single"/>
    </w:rPr>
  </w:style>
  <w:style w:type="character" w:customStyle="1" w:styleId="Heading2Char">
    <w:name w:val="Heading 2 Char"/>
    <w:basedOn w:val="DefaultParagraphFont"/>
    <w:link w:val="Heading2"/>
    <w:uiPriority w:val="9"/>
    <w:rsid w:val="00C828A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E6972"/>
    <w:rPr>
      <w:i/>
      <w:iCs/>
    </w:rPr>
  </w:style>
  <w:style w:type="paragraph" w:customStyle="1" w:styleId="WerksmansStyle1">
    <w:name w:val="Werksmans_Style1"/>
    <w:basedOn w:val="Normal"/>
    <w:rsid w:val="00DD18B9"/>
    <w:pPr>
      <w:spacing w:after="0" w:line="480" w:lineRule="auto"/>
      <w:ind w:left="720" w:hanging="720"/>
      <w:jc w:val="both"/>
    </w:pPr>
    <w:rPr>
      <w:rFonts w:ascii="Arial" w:hAnsi="Arial" w:cs="Arial"/>
      <w:sz w:val="24"/>
      <w:szCs w:val="24"/>
      <w:lang w:val="en-GB"/>
    </w:rPr>
  </w:style>
  <w:style w:type="paragraph" w:customStyle="1" w:styleId="WerksmansStyle2">
    <w:name w:val="Werksmans_Style2"/>
    <w:basedOn w:val="Normal"/>
    <w:rsid w:val="00DD18B9"/>
    <w:pPr>
      <w:spacing w:after="0" w:line="480" w:lineRule="auto"/>
      <w:jc w:val="both"/>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0E329C"/>
    <w:rPr>
      <w:rFonts w:asciiTheme="majorHAnsi" w:eastAsiaTheme="majorEastAsia" w:hAnsiTheme="majorHAnsi" w:cstheme="majorBidi"/>
      <w:color w:val="1F3763" w:themeColor="accent1" w:themeShade="7F"/>
      <w:sz w:val="24"/>
      <w:szCs w:val="24"/>
    </w:rPr>
  </w:style>
  <w:style w:type="paragraph" w:customStyle="1" w:styleId="western">
    <w:name w:val="western"/>
    <w:basedOn w:val="Normal"/>
    <w:rsid w:val="001C61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F22FD"/>
    <w:pPr>
      <w:spacing w:after="0" w:line="240" w:lineRule="auto"/>
    </w:pPr>
  </w:style>
  <w:style w:type="character" w:styleId="PlaceholderText">
    <w:name w:val="Placeholder Text"/>
    <w:basedOn w:val="DefaultParagraphFont"/>
    <w:uiPriority w:val="99"/>
    <w:semiHidden/>
    <w:rsid w:val="00701C66"/>
    <w:rPr>
      <w:color w:val="808080"/>
    </w:rPr>
  </w:style>
  <w:style w:type="character" w:customStyle="1" w:styleId="Hyperlink1">
    <w:name w:val="Hyperlink1"/>
    <w:basedOn w:val="DefaultParagraphFont"/>
    <w:uiPriority w:val="99"/>
    <w:unhideWhenUsed/>
    <w:rsid w:val="00E660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925">
      <w:bodyDiv w:val="1"/>
      <w:marLeft w:val="0"/>
      <w:marRight w:val="0"/>
      <w:marTop w:val="0"/>
      <w:marBottom w:val="0"/>
      <w:divBdr>
        <w:top w:val="none" w:sz="0" w:space="0" w:color="auto"/>
        <w:left w:val="none" w:sz="0" w:space="0" w:color="auto"/>
        <w:bottom w:val="none" w:sz="0" w:space="0" w:color="auto"/>
        <w:right w:val="none" w:sz="0" w:space="0" w:color="auto"/>
      </w:divBdr>
    </w:div>
    <w:div w:id="73168759">
      <w:bodyDiv w:val="1"/>
      <w:marLeft w:val="0"/>
      <w:marRight w:val="0"/>
      <w:marTop w:val="0"/>
      <w:marBottom w:val="0"/>
      <w:divBdr>
        <w:top w:val="none" w:sz="0" w:space="0" w:color="auto"/>
        <w:left w:val="none" w:sz="0" w:space="0" w:color="auto"/>
        <w:bottom w:val="none" w:sz="0" w:space="0" w:color="auto"/>
        <w:right w:val="none" w:sz="0" w:space="0" w:color="auto"/>
      </w:divBdr>
    </w:div>
    <w:div w:id="85536966">
      <w:bodyDiv w:val="1"/>
      <w:marLeft w:val="0"/>
      <w:marRight w:val="0"/>
      <w:marTop w:val="0"/>
      <w:marBottom w:val="0"/>
      <w:divBdr>
        <w:top w:val="none" w:sz="0" w:space="0" w:color="auto"/>
        <w:left w:val="none" w:sz="0" w:space="0" w:color="auto"/>
        <w:bottom w:val="none" w:sz="0" w:space="0" w:color="auto"/>
        <w:right w:val="none" w:sz="0" w:space="0" w:color="auto"/>
      </w:divBdr>
    </w:div>
    <w:div w:id="193855707">
      <w:bodyDiv w:val="1"/>
      <w:marLeft w:val="0"/>
      <w:marRight w:val="0"/>
      <w:marTop w:val="0"/>
      <w:marBottom w:val="0"/>
      <w:divBdr>
        <w:top w:val="none" w:sz="0" w:space="0" w:color="auto"/>
        <w:left w:val="none" w:sz="0" w:space="0" w:color="auto"/>
        <w:bottom w:val="none" w:sz="0" w:space="0" w:color="auto"/>
        <w:right w:val="none" w:sz="0" w:space="0" w:color="auto"/>
      </w:divBdr>
    </w:div>
    <w:div w:id="198662756">
      <w:bodyDiv w:val="1"/>
      <w:marLeft w:val="0"/>
      <w:marRight w:val="0"/>
      <w:marTop w:val="0"/>
      <w:marBottom w:val="0"/>
      <w:divBdr>
        <w:top w:val="none" w:sz="0" w:space="0" w:color="auto"/>
        <w:left w:val="none" w:sz="0" w:space="0" w:color="auto"/>
        <w:bottom w:val="none" w:sz="0" w:space="0" w:color="auto"/>
        <w:right w:val="none" w:sz="0" w:space="0" w:color="auto"/>
      </w:divBdr>
    </w:div>
    <w:div w:id="270670991">
      <w:bodyDiv w:val="1"/>
      <w:marLeft w:val="0"/>
      <w:marRight w:val="0"/>
      <w:marTop w:val="0"/>
      <w:marBottom w:val="0"/>
      <w:divBdr>
        <w:top w:val="none" w:sz="0" w:space="0" w:color="auto"/>
        <w:left w:val="none" w:sz="0" w:space="0" w:color="auto"/>
        <w:bottom w:val="none" w:sz="0" w:space="0" w:color="auto"/>
        <w:right w:val="none" w:sz="0" w:space="0" w:color="auto"/>
      </w:divBdr>
    </w:div>
    <w:div w:id="338125269">
      <w:bodyDiv w:val="1"/>
      <w:marLeft w:val="0"/>
      <w:marRight w:val="0"/>
      <w:marTop w:val="0"/>
      <w:marBottom w:val="0"/>
      <w:divBdr>
        <w:top w:val="none" w:sz="0" w:space="0" w:color="auto"/>
        <w:left w:val="none" w:sz="0" w:space="0" w:color="auto"/>
        <w:bottom w:val="none" w:sz="0" w:space="0" w:color="auto"/>
        <w:right w:val="none" w:sz="0" w:space="0" w:color="auto"/>
      </w:divBdr>
    </w:div>
    <w:div w:id="338894470">
      <w:bodyDiv w:val="1"/>
      <w:marLeft w:val="0"/>
      <w:marRight w:val="0"/>
      <w:marTop w:val="0"/>
      <w:marBottom w:val="0"/>
      <w:divBdr>
        <w:top w:val="none" w:sz="0" w:space="0" w:color="auto"/>
        <w:left w:val="none" w:sz="0" w:space="0" w:color="auto"/>
        <w:bottom w:val="none" w:sz="0" w:space="0" w:color="auto"/>
        <w:right w:val="none" w:sz="0" w:space="0" w:color="auto"/>
      </w:divBdr>
    </w:div>
    <w:div w:id="377437888">
      <w:bodyDiv w:val="1"/>
      <w:marLeft w:val="0"/>
      <w:marRight w:val="0"/>
      <w:marTop w:val="0"/>
      <w:marBottom w:val="0"/>
      <w:divBdr>
        <w:top w:val="none" w:sz="0" w:space="0" w:color="auto"/>
        <w:left w:val="none" w:sz="0" w:space="0" w:color="auto"/>
        <w:bottom w:val="none" w:sz="0" w:space="0" w:color="auto"/>
        <w:right w:val="none" w:sz="0" w:space="0" w:color="auto"/>
      </w:divBdr>
    </w:div>
    <w:div w:id="391582258">
      <w:bodyDiv w:val="1"/>
      <w:marLeft w:val="0"/>
      <w:marRight w:val="0"/>
      <w:marTop w:val="0"/>
      <w:marBottom w:val="0"/>
      <w:divBdr>
        <w:top w:val="none" w:sz="0" w:space="0" w:color="auto"/>
        <w:left w:val="none" w:sz="0" w:space="0" w:color="auto"/>
        <w:bottom w:val="none" w:sz="0" w:space="0" w:color="auto"/>
        <w:right w:val="none" w:sz="0" w:space="0" w:color="auto"/>
      </w:divBdr>
    </w:div>
    <w:div w:id="497118400">
      <w:bodyDiv w:val="1"/>
      <w:marLeft w:val="0"/>
      <w:marRight w:val="0"/>
      <w:marTop w:val="0"/>
      <w:marBottom w:val="0"/>
      <w:divBdr>
        <w:top w:val="none" w:sz="0" w:space="0" w:color="auto"/>
        <w:left w:val="none" w:sz="0" w:space="0" w:color="auto"/>
        <w:bottom w:val="none" w:sz="0" w:space="0" w:color="auto"/>
        <w:right w:val="none" w:sz="0" w:space="0" w:color="auto"/>
      </w:divBdr>
    </w:div>
    <w:div w:id="524559835">
      <w:bodyDiv w:val="1"/>
      <w:marLeft w:val="0"/>
      <w:marRight w:val="0"/>
      <w:marTop w:val="0"/>
      <w:marBottom w:val="0"/>
      <w:divBdr>
        <w:top w:val="none" w:sz="0" w:space="0" w:color="auto"/>
        <w:left w:val="none" w:sz="0" w:space="0" w:color="auto"/>
        <w:bottom w:val="none" w:sz="0" w:space="0" w:color="auto"/>
        <w:right w:val="none" w:sz="0" w:space="0" w:color="auto"/>
      </w:divBdr>
    </w:div>
    <w:div w:id="545802164">
      <w:bodyDiv w:val="1"/>
      <w:marLeft w:val="0"/>
      <w:marRight w:val="0"/>
      <w:marTop w:val="0"/>
      <w:marBottom w:val="0"/>
      <w:divBdr>
        <w:top w:val="none" w:sz="0" w:space="0" w:color="auto"/>
        <w:left w:val="none" w:sz="0" w:space="0" w:color="auto"/>
        <w:bottom w:val="none" w:sz="0" w:space="0" w:color="auto"/>
        <w:right w:val="none" w:sz="0" w:space="0" w:color="auto"/>
      </w:divBdr>
    </w:div>
    <w:div w:id="586698434">
      <w:bodyDiv w:val="1"/>
      <w:marLeft w:val="0"/>
      <w:marRight w:val="0"/>
      <w:marTop w:val="0"/>
      <w:marBottom w:val="0"/>
      <w:divBdr>
        <w:top w:val="none" w:sz="0" w:space="0" w:color="auto"/>
        <w:left w:val="none" w:sz="0" w:space="0" w:color="auto"/>
        <w:bottom w:val="none" w:sz="0" w:space="0" w:color="auto"/>
        <w:right w:val="none" w:sz="0" w:space="0" w:color="auto"/>
      </w:divBdr>
    </w:div>
    <w:div w:id="598416251">
      <w:bodyDiv w:val="1"/>
      <w:marLeft w:val="0"/>
      <w:marRight w:val="0"/>
      <w:marTop w:val="0"/>
      <w:marBottom w:val="0"/>
      <w:divBdr>
        <w:top w:val="none" w:sz="0" w:space="0" w:color="auto"/>
        <w:left w:val="none" w:sz="0" w:space="0" w:color="auto"/>
        <w:bottom w:val="none" w:sz="0" w:space="0" w:color="auto"/>
        <w:right w:val="none" w:sz="0" w:space="0" w:color="auto"/>
      </w:divBdr>
    </w:div>
    <w:div w:id="598484017">
      <w:bodyDiv w:val="1"/>
      <w:marLeft w:val="0"/>
      <w:marRight w:val="0"/>
      <w:marTop w:val="0"/>
      <w:marBottom w:val="0"/>
      <w:divBdr>
        <w:top w:val="none" w:sz="0" w:space="0" w:color="auto"/>
        <w:left w:val="none" w:sz="0" w:space="0" w:color="auto"/>
        <w:bottom w:val="none" w:sz="0" w:space="0" w:color="auto"/>
        <w:right w:val="none" w:sz="0" w:space="0" w:color="auto"/>
      </w:divBdr>
    </w:div>
    <w:div w:id="637494962">
      <w:bodyDiv w:val="1"/>
      <w:marLeft w:val="0"/>
      <w:marRight w:val="0"/>
      <w:marTop w:val="0"/>
      <w:marBottom w:val="0"/>
      <w:divBdr>
        <w:top w:val="none" w:sz="0" w:space="0" w:color="auto"/>
        <w:left w:val="none" w:sz="0" w:space="0" w:color="auto"/>
        <w:bottom w:val="none" w:sz="0" w:space="0" w:color="auto"/>
        <w:right w:val="none" w:sz="0" w:space="0" w:color="auto"/>
      </w:divBdr>
    </w:div>
    <w:div w:id="672562194">
      <w:bodyDiv w:val="1"/>
      <w:marLeft w:val="0"/>
      <w:marRight w:val="0"/>
      <w:marTop w:val="0"/>
      <w:marBottom w:val="0"/>
      <w:divBdr>
        <w:top w:val="none" w:sz="0" w:space="0" w:color="auto"/>
        <w:left w:val="none" w:sz="0" w:space="0" w:color="auto"/>
        <w:bottom w:val="none" w:sz="0" w:space="0" w:color="auto"/>
        <w:right w:val="none" w:sz="0" w:space="0" w:color="auto"/>
      </w:divBdr>
    </w:div>
    <w:div w:id="697580617">
      <w:bodyDiv w:val="1"/>
      <w:marLeft w:val="0"/>
      <w:marRight w:val="0"/>
      <w:marTop w:val="0"/>
      <w:marBottom w:val="0"/>
      <w:divBdr>
        <w:top w:val="none" w:sz="0" w:space="0" w:color="auto"/>
        <w:left w:val="none" w:sz="0" w:space="0" w:color="auto"/>
        <w:bottom w:val="none" w:sz="0" w:space="0" w:color="auto"/>
        <w:right w:val="none" w:sz="0" w:space="0" w:color="auto"/>
      </w:divBdr>
    </w:div>
    <w:div w:id="711610086">
      <w:bodyDiv w:val="1"/>
      <w:marLeft w:val="0"/>
      <w:marRight w:val="0"/>
      <w:marTop w:val="0"/>
      <w:marBottom w:val="0"/>
      <w:divBdr>
        <w:top w:val="none" w:sz="0" w:space="0" w:color="auto"/>
        <w:left w:val="none" w:sz="0" w:space="0" w:color="auto"/>
        <w:bottom w:val="none" w:sz="0" w:space="0" w:color="auto"/>
        <w:right w:val="none" w:sz="0" w:space="0" w:color="auto"/>
      </w:divBdr>
    </w:div>
    <w:div w:id="773014102">
      <w:bodyDiv w:val="1"/>
      <w:marLeft w:val="0"/>
      <w:marRight w:val="0"/>
      <w:marTop w:val="0"/>
      <w:marBottom w:val="0"/>
      <w:divBdr>
        <w:top w:val="none" w:sz="0" w:space="0" w:color="auto"/>
        <w:left w:val="none" w:sz="0" w:space="0" w:color="auto"/>
        <w:bottom w:val="none" w:sz="0" w:space="0" w:color="auto"/>
        <w:right w:val="none" w:sz="0" w:space="0" w:color="auto"/>
      </w:divBdr>
    </w:div>
    <w:div w:id="797843011">
      <w:bodyDiv w:val="1"/>
      <w:marLeft w:val="0"/>
      <w:marRight w:val="0"/>
      <w:marTop w:val="0"/>
      <w:marBottom w:val="0"/>
      <w:divBdr>
        <w:top w:val="none" w:sz="0" w:space="0" w:color="auto"/>
        <w:left w:val="none" w:sz="0" w:space="0" w:color="auto"/>
        <w:bottom w:val="none" w:sz="0" w:space="0" w:color="auto"/>
        <w:right w:val="none" w:sz="0" w:space="0" w:color="auto"/>
      </w:divBdr>
    </w:div>
    <w:div w:id="802624792">
      <w:bodyDiv w:val="1"/>
      <w:marLeft w:val="0"/>
      <w:marRight w:val="0"/>
      <w:marTop w:val="0"/>
      <w:marBottom w:val="0"/>
      <w:divBdr>
        <w:top w:val="none" w:sz="0" w:space="0" w:color="auto"/>
        <w:left w:val="none" w:sz="0" w:space="0" w:color="auto"/>
        <w:bottom w:val="none" w:sz="0" w:space="0" w:color="auto"/>
        <w:right w:val="none" w:sz="0" w:space="0" w:color="auto"/>
      </w:divBdr>
    </w:div>
    <w:div w:id="835270362">
      <w:bodyDiv w:val="1"/>
      <w:marLeft w:val="0"/>
      <w:marRight w:val="0"/>
      <w:marTop w:val="0"/>
      <w:marBottom w:val="0"/>
      <w:divBdr>
        <w:top w:val="none" w:sz="0" w:space="0" w:color="auto"/>
        <w:left w:val="none" w:sz="0" w:space="0" w:color="auto"/>
        <w:bottom w:val="none" w:sz="0" w:space="0" w:color="auto"/>
        <w:right w:val="none" w:sz="0" w:space="0" w:color="auto"/>
      </w:divBdr>
    </w:div>
    <w:div w:id="851838305">
      <w:bodyDiv w:val="1"/>
      <w:marLeft w:val="0"/>
      <w:marRight w:val="0"/>
      <w:marTop w:val="0"/>
      <w:marBottom w:val="0"/>
      <w:divBdr>
        <w:top w:val="none" w:sz="0" w:space="0" w:color="auto"/>
        <w:left w:val="none" w:sz="0" w:space="0" w:color="auto"/>
        <w:bottom w:val="none" w:sz="0" w:space="0" w:color="auto"/>
        <w:right w:val="none" w:sz="0" w:space="0" w:color="auto"/>
      </w:divBdr>
      <w:divsChild>
        <w:div w:id="999431945">
          <w:marLeft w:val="0"/>
          <w:marRight w:val="75"/>
          <w:marTop w:val="0"/>
          <w:marBottom w:val="0"/>
          <w:divBdr>
            <w:top w:val="none" w:sz="0" w:space="0" w:color="auto"/>
            <w:left w:val="none" w:sz="0" w:space="0" w:color="auto"/>
            <w:bottom w:val="none" w:sz="0" w:space="0" w:color="auto"/>
            <w:right w:val="none" w:sz="0" w:space="0" w:color="auto"/>
          </w:divBdr>
        </w:div>
      </w:divsChild>
    </w:div>
    <w:div w:id="923302253">
      <w:bodyDiv w:val="1"/>
      <w:marLeft w:val="0"/>
      <w:marRight w:val="0"/>
      <w:marTop w:val="0"/>
      <w:marBottom w:val="0"/>
      <w:divBdr>
        <w:top w:val="none" w:sz="0" w:space="0" w:color="auto"/>
        <w:left w:val="none" w:sz="0" w:space="0" w:color="auto"/>
        <w:bottom w:val="none" w:sz="0" w:space="0" w:color="auto"/>
        <w:right w:val="none" w:sz="0" w:space="0" w:color="auto"/>
      </w:divBdr>
    </w:div>
    <w:div w:id="924147549">
      <w:bodyDiv w:val="1"/>
      <w:marLeft w:val="0"/>
      <w:marRight w:val="0"/>
      <w:marTop w:val="0"/>
      <w:marBottom w:val="0"/>
      <w:divBdr>
        <w:top w:val="none" w:sz="0" w:space="0" w:color="auto"/>
        <w:left w:val="none" w:sz="0" w:space="0" w:color="auto"/>
        <w:bottom w:val="none" w:sz="0" w:space="0" w:color="auto"/>
        <w:right w:val="none" w:sz="0" w:space="0" w:color="auto"/>
      </w:divBdr>
    </w:div>
    <w:div w:id="931279734">
      <w:bodyDiv w:val="1"/>
      <w:marLeft w:val="0"/>
      <w:marRight w:val="0"/>
      <w:marTop w:val="0"/>
      <w:marBottom w:val="0"/>
      <w:divBdr>
        <w:top w:val="none" w:sz="0" w:space="0" w:color="auto"/>
        <w:left w:val="none" w:sz="0" w:space="0" w:color="auto"/>
        <w:bottom w:val="none" w:sz="0" w:space="0" w:color="auto"/>
        <w:right w:val="none" w:sz="0" w:space="0" w:color="auto"/>
      </w:divBdr>
    </w:div>
    <w:div w:id="952401678">
      <w:bodyDiv w:val="1"/>
      <w:marLeft w:val="0"/>
      <w:marRight w:val="0"/>
      <w:marTop w:val="0"/>
      <w:marBottom w:val="0"/>
      <w:divBdr>
        <w:top w:val="none" w:sz="0" w:space="0" w:color="auto"/>
        <w:left w:val="none" w:sz="0" w:space="0" w:color="auto"/>
        <w:bottom w:val="none" w:sz="0" w:space="0" w:color="auto"/>
        <w:right w:val="none" w:sz="0" w:space="0" w:color="auto"/>
      </w:divBdr>
    </w:div>
    <w:div w:id="980424519">
      <w:bodyDiv w:val="1"/>
      <w:marLeft w:val="0"/>
      <w:marRight w:val="0"/>
      <w:marTop w:val="0"/>
      <w:marBottom w:val="0"/>
      <w:divBdr>
        <w:top w:val="none" w:sz="0" w:space="0" w:color="auto"/>
        <w:left w:val="none" w:sz="0" w:space="0" w:color="auto"/>
        <w:bottom w:val="none" w:sz="0" w:space="0" w:color="auto"/>
        <w:right w:val="none" w:sz="0" w:space="0" w:color="auto"/>
      </w:divBdr>
    </w:div>
    <w:div w:id="999961232">
      <w:bodyDiv w:val="1"/>
      <w:marLeft w:val="0"/>
      <w:marRight w:val="0"/>
      <w:marTop w:val="0"/>
      <w:marBottom w:val="0"/>
      <w:divBdr>
        <w:top w:val="none" w:sz="0" w:space="0" w:color="auto"/>
        <w:left w:val="none" w:sz="0" w:space="0" w:color="auto"/>
        <w:bottom w:val="none" w:sz="0" w:space="0" w:color="auto"/>
        <w:right w:val="none" w:sz="0" w:space="0" w:color="auto"/>
      </w:divBdr>
    </w:div>
    <w:div w:id="1019283031">
      <w:bodyDiv w:val="1"/>
      <w:marLeft w:val="0"/>
      <w:marRight w:val="0"/>
      <w:marTop w:val="0"/>
      <w:marBottom w:val="0"/>
      <w:divBdr>
        <w:top w:val="none" w:sz="0" w:space="0" w:color="auto"/>
        <w:left w:val="none" w:sz="0" w:space="0" w:color="auto"/>
        <w:bottom w:val="none" w:sz="0" w:space="0" w:color="auto"/>
        <w:right w:val="none" w:sz="0" w:space="0" w:color="auto"/>
      </w:divBdr>
    </w:div>
    <w:div w:id="1034231500">
      <w:bodyDiv w:val="1"/>
      <w:marLeft w:val="0"/>
      <w:marRight w:val="0"/>
      <w:marTop w:val="0"/>
      <w:marBottom w:val="0"/>
      <w:divBdr>
        <w:top w:val="none" w:sz="0" w:space="0" w:color="auto"/>
        <w:left w:val="none" w:sz="0" w:space="0" w:color="auto"/>
        <w:bottom w:val="none" w:sz="0" w:space="0" w:color="auto"/>
        <w:right w:val="none" w:sz="0" w:space="0" w:color="auto"/>
      </w:divBdr>
    </w:div>
    <w:div w:id="1127310504">
      <w:bodyDiv w:val="1"/>
      <w:marLeft w:val="0"/>
      <w:marRight w:val="0"/>
      <w:marTop w:val="0"/>
      <w:marBottom w:val="0"/>
      <w:divBdr>
        <w:top w:val="none" w:sz="0" w:space="0" w:color="auto"/>
        <w:left w:val="none" w:sz="0" w:space="0" w:color="auto"/>
        <w:bottom w:val="none" w:sz="0" w:space="0" w:color="auto"/>
        <w:right w:val="none" w:sz="0" w:space="0" w:color="auto"/>
      </w:divBdr>
    </w:div>
    <w:div w:id="1140804766">
      <w:bodyDiv w:val="1"/>
      <w:marLeft w:val="0"/>
      <w:marRight w:val="0"/>
      <w:marTop w:val="0"/>
      <w:marBottom w:val="0"/>
      <w:divBdr>
        <w:top w:val="none" w:sz="0" w:space="0" w:color="auto"/>
        <w:left w:val="none" w:sz="0" w:space="0" w:color="auto"/>
        <w:bottom w:val="none" w:sz="0" w:space="0" w:color="auto"/>
        <w:right w:val="none" w:sz="0" w:space="0" w:color="auto"/>
      </w:divBdr>
    </w:div>
    <w:div w:id="1150823388">
      <w:bodyDiv w:val="1"/>
      <w:marLeft w:val="0"/>
      <w:marRight w:val="0"/>
      <w:marTop w:val="0"/>
      <w:marBottom w:val="0"/>
      <w:divBdr>
        <w:top w:val="none" w:sz="0" w:space="0" w:color="auto"/>
        <w:left w:val="none" w:sz="0" w:space="0" w:color="auto"/>
        <w:bottom w:val="none" w:sz="0" w:space="0" w:color="auto"/>
        <w:right w:val="none" w:sz="0" w:space="0" w:color="auto"/>
      </w:divBdr>
    </w:div>
    <w:div w:id="1238397441">
      <w:bodyDiv w:val="1"/>
      <w:marLeft w:val="0"/>
      <w:marRight w:val="0"/>
      <w:marTop w:val="0"/>
      <w:marBottom w:val="0"/>
      <w:divBdr>
        <w:top w:val="none" w:sz="0" w:space="0" w:color="auto"/>
        <w:left w:val="none" w:sz="0" w:space="0" w:color="auto"/>
        <w:bottom w:val="none" w:sz="0" w:space="0" w:color="auto"/>
        <w:right w:val="none" w:sz="0" w:space="0" w:color="auto"/>
      </w:divBdr>
    </w:div>
    <w:div w:id="1244682894">
      <w:bodyDiv w:val="1"/>
      <w:marLeft w:val="0"/>
      <w:marRight w:val="0"/>
      <w:marTop w:val="0"/>
      <w:marBottom w:val="0"/>
      <w:divBdr>
        <w:top w:val="none" w:sz="0" w:space="0" w:color="auto"/>
        <w:left w:val="none" w:sz="0" w:space="0" w:color="auto"/>
        <w:bottom w:val="none" w:sz="0" w:space="0" w:color="auto"/>
        <w:right w:val="none" w:sz="0" w:space="0" w:color="auto"/>
      </w:divBdr>
    </w:div>
    <w:div w:id="1280600423">
      <w:bodyDiv w:val="1"/>
      <w:marLeft w:val="0"/>
      <w:marRight w:val="0"/>
      <w:marTop w:val="0"/>
      <w:marBottom w:val="0"/>
      <w:divBdr>
        <w:top w:val="none" w:sz="0" w:space="0" w:color="auto"/>
        <w:left w:val="none" w:sz="0" w:space="0" w:color="auto"/>
        <w:bottom w:val="none" w:sz="0" w:space="0" w:color="auto"/>
        <w:right w:val="none" w:sz="0" w:space="0" w:color="auto"/>
      </w:divBdr>
    </w:div>
    <w:div w:id="1281644440">
      <w:bodyDiv w:val="1"/>
      <w:marLeft w:val="0"/>
      <w:marRight w:val="0"/>
      <w:marTop w:val="0"/>
      <w:marBottom w:val="0"/>
      <w:divBdr>
        <w:top w:val="none" w:sz="0" w:space="0" w:color="auto"/>
        <w:left w:val="none" w:sz="0" w:space="0" w:color="auto"/>
        <w:bottom w:val="none" w:sz="0" w:space="0" w:color="auto"/>
        <w:right w:val="none" w:sz="0" w:space="0" w:color="auto"/>
      </w:divBdr>
    </w:div>
    <w:div w:id="1283028683">
      <w:bodyDiv w:val="1"/>
      <w:marLeft w:val="0"/>
      <w:marRight w:val="0"/>
      <w:marTop w:val="0"/>
      <w:marBottom w:val="0"/>
      <w:divBdr>
        <w:top w:val="none" w:sz="0" w:space="0" w:color="auto"/>
        <w:left w:val="none" w:sz="0" w:space="0" w:color="auto"/>
        <w:bottom w:val="none" w:sz="0" w:space="0" w:color="auto"/>
        <w:right w:val="none" w:sz="0" w:space="0" w:color="auto"/>
      </w:divBdr>
    </w:div>
    <w:div w:id="1323510471">
      <w:bodyDiv w:val="1"/>
      <w:marLeft w:val="0"/>
      <w:marRight w:val="0"/>
      <w:marTop w:val="0"/>
      <w:marBottom w:val="0"/>
      <w:divBdr>
        <w:top w:val="none" w:sz="0" w:space="0" w:color="auto"/>
        <w:left w:val="none" w:sz="0" w:space="0" w:color="auto"/>
        <w:bottom w:val="none" w:sz="0" w:space="0" w:color="auto"/>
        <w:right w:val="none" w:sz="0" w:space="0" w:color="auto"/>
      </w:divBdr>
    </w:div>
    <w:div w:id="1388143051">
      <w:bodyDiv w:val="1"/>
      <w:marLeft w:val="0"/>
      <w:marRight w:val="0"/>
      <w:marTop w:val="0"/>
      <w:marBottom w:val="0"/>
      <w:divBdr>
        <w:top w:val="none" w:sz="0" w:space="0" w:color="auto"/>
        <w:left w:val="none" w:sz="0" w:space="0" w:color="auto"/>
        <w:bottom w:val="none" w:sz="0" w:space="0" w:color="auto"/>
        <w:right w:val="none" w:sz="0" w:space="0" w:color="auto"/>
      </w:divBdr>
    </w:div>
    <w:div w:id="1405032034">
      <w:bodyDiv w:val="1"/>
      <w:marLeft w:val="0"/>
      <w:marRight w:val="0"/>
      <w:marTop w:val="0"/>
      <w:marBottom w:val="0"/>
      <w:divBdr>
        <w:top w:val="none" w:sz="0" w:space="0" w:color="auto"/>
        <w:left w:val="none" w:sz="0" w:space="0" w:color="auto"/>
        <w:bottom w:val="none" w:sz="0" w:space="0" w:color="auto"/>
        <w:right w:val="none" w:sz="0" w:space="0" w:color="auto"/>
      </w:divBdr>
    </w:div>
    <w:div w:id="1445071934">
      <w:bodyDiv w:val="1"/>
      <w:marLeft w:val="0"/>
      <w:marRight w:val="0"/>
      <w:marTop w:val="0"/>
      <w:marBottom w:val="0"/>
      <w:divBdr>
        <w:top w:val="none" w:sz="0" w:space="0" w:color="auto"/>
        <w:left w:val="none" w:sz="0" w:space="0" w:color="auto"/>
        <w:bottom w:val="none" w:sz="0" w:space="0" w:color="auto"/>
        <w:right w:val="none" w:sz="0" w:space="0" w:color="auto"/>
      </w:divBdr>
    </w:div>
    <w:div w:id="1653872167">
      <w:bodyDiv w:val="1"/>
      <w:marLeft w:val="0"/>
      <w:marRight w:val="0"/>
      <w:marTop w:val="0"/>
      <w:marBottom w:val="0"/>
      <w:divBdr>
        <w:top w:val="none" w:sz="0" w:space="0" w:color="auto"/>
        <w:left w:val="none" w:sz="0" w:space="0" w:color="auto"/>
        <w:bottom w:val="none" w:sz="0" w:space="0" w:color="auto"/>
        <w:right w:val="none" w:sz="0" w:space="0" w:color="auto"/>
      </w:divBdr>
    </w:div>
    <w:div w:id="1684815173">
      <w:bodyDiv w:val="1"/>
      <w:marLeft w:val="0"/>
      <w:marRight w:val="0"/>
      <w:marTop w:val="0"/>
      <w:marBottom w:val="0"/>
      <w:divBdr>
        <w:top w:val="none" w:sz="0" w:space="0" w:color="auto"/>
        <w:left w:val="none" w:sz="0" w:space="0" w:color="auto"/>
        <w:bottom w:val="none" w:sz="0" w:space="0" w:color="auto"/>
        <w:right w:val="none" w:sz="0" w:space="0" w:color="auto"/>
      </w:divBdr>
    </w:div>
    <w:div w:id="1733231250">
      <w:bodyDiv w:val="1"/>
      <w:marLeft w:val="0"/>
      <w:marRight w:val="0"/>
      <w:marTop w:val="0"/>
      <w:marBottom w:val="0"/>
      <w:divBdr>
        <w:top w:val="none" w:sz="0" w:space="0" w:color="auto"/>
        <w:left w:val="none" w:sz="0" w:space="0" w:color="auto"/>
        <w:bottom w:val="none" w:sz="0" w:space="0" w:color="auto"/>
        <w:right w:val="none" w:sz="0" w:space="0" w:color="auto"/>
      </w:divBdr>
    </w:div>
    <w:div w:id="1762409436">
      <w:bodyDiv w:val="1"/>
      <w:marLeft w:val="0"/>
      <w:marRight w:val="0"/>
      <w:marTop w:val="0"/>
      <w:marBottom w:val="0"/>
      <w:divBdr>
        <w:top w:val="none" w:sz="0" w:space="0" w:color="auto"/>
        <w:left w:val="none" w:sz="0" w:space="0" w:color="auto"/>
        <w:bottom w:val="none" w:sz="0" w:space="0" w:color="auto"/>
        <w:right w:val="none" w:sz="0" w:space="0" w:color="auto"/>
      </w:divBdr>
    </w:div>
    <w:div w:id="1800996388">
      <w:bodyDiv w:val="1"/>
      <w:marLeft w:val="0"/>
      <w:marRight w:val="0"/>
      <w:marTop w:val="0"/>
      <w:marBottom w:val="0"/>
      <w:divBdr>
        <w:top w:val="none" w:sz="0" w:space="0" w:color="auto"/>
        <w:left w:val="none" w:sz="0" w:space="0" w:color="auto"/>
        <w:bottom w:val="none" w:sz="0" w:space="0" w:color="auto"/>
        <w:right w:val="none" w:sz="0" w:space="0" w:color="auto"/>
      </w:divBdr>
    </w:div>
    <w:div w:id="1822497594">
      <w:bodyDiv w:val="1"/>
      <w:marLeft w:val="0"/>
      <w:marRight w:val="0"/>
      <w:marTop w:val="0"/>
      <w:marBottom w:val="0"/>
      <w:divBdr>
        <w:top w:val="none" w:sz="0" w:space="0" w:color="auto"/>
        <w:left w:val="none" w:sz="0" w:space="0" w:color="auto"/>
        <w:bottom w:val="none" w:sz="0" w:space="0" w:color="auto"/>
        <w:right w:val="none" w:sz="0" w:space="0" w:color="auto"/>
      </w:divBdr>
    </w:div>
    <w:div w:id="1845590302">
      <w:bodyDiv w:val="1"/>
      <w:marLeft w:val="0"/>
      <w:marRight w:val="0"/>
      <w:marTop w:val="0"/>
      <w:marBottom w:val="0"/>
      <w:divBdr>
        <w:top w:val="none" w:sz="0" w:space="0" w:color="auto"/>
        <w:left w:val="none" w:sz="0" w:space="0" w:color="auto"/>
        <w:bottom w:val="none" w:sz="0" w:space="0" w:color="auto"/>
        <w:right w:val="none" w:sz="0" w:space="0" w:color="auto"/>
      </w:divBdr>
    </w:div>
    <w:div w:id="1871457238">
      <w:bodyDiv w:val="1"/>
      <w:marLeft w:val="0"/>
      <w:marRight w:val="0"/>
      <w:marTop w:val="0"/>
      <w:marBottom w:val="0"/>
      <w:divBdr>
        <w:top w:val="none" w:sz="0" w:space="0" w:color="auto"/>
        <w:left w:val="none" w:sz="0" w:space="0" w:color="auto"/>
        <w:bottom w:val="none" w:sz="0" w:space="0" w:color="auto"/>
        <w:right w:val="none" w:sz="0" w:space="0" w:color="auto"/>
      </w:divBdr>
    </w:div>
    <w:div w:id="1915625827">
      <w:bodyDiv w:val="1"/>
      <w:marLeft w:val="0"/>
      <w:marRight w:val="0"/>
      <w:marTop w:val="0"/>
      <w:marBottom w:val="0"/>
      <w:divBdr>
        <w:top w:val="none" w:sz="0" w:space="0" w:color="auto"/>
        <w:left w:val="none" w:sz="0" w:space="0" w:color="auto"/>
        <w:bottom w:val="none" w:sz="0" w:space="0" w:color="auto"/>
        <w:right w:val="none" w:sz="0" w:space="0" w:color="auto"/>
      </w:divBdr>
    </w:div>
    <w:div w:id="1915892162">
      <w:bodyDiv w:val="1"/>
      <w:marLeft w:val="0"/>
      <w:marRight w:val="0"/>
      <w:marTop w:val="0"/>
      <w:marBottom w:val="0"/>
      <w:divBdr>
        <w:top w:val="none" w:sz="0" w:space="0" w:color="auto"/>
        <w:left w:val="none" w:sz="0" w:space="0" w:color="auto"/>
        <w:bottom w:val="none" w:sz="0" w:space="0" w:color="auto"/>
        <w:right w:val="none" w:sz="0" w:space="0" w:color="auto"/>
      </w:divBdr>
    </w:div>
    <w:div w:id="1939946518">
      <w:bodyDiv w:val="1"/>
      <w:marLeft w:val="0"/>
      <w:marRight w:val="0"/>
      <w:marTop w:val="0"/>
      <w:marBottom w:val="0"/>
      <w:divBdr>
        <w:top w:val="none" w:sz="0" w:space="0" w:color="auto"/>
        <w:left w:val="none" w:sz="0" w:space="0" w:color="auto"/>
        <w:bottom w:val="none" w:sz="0" w:space="0" w:color="auto"/>
        <w:right w:val="none" w:sz="0" w:space="0" w:color="auto"/>
      </w:divBdr>
    </w:div>
    <w:div w:id="1955137609">
      <w:bodyDiv w:val="1"/>
      <w:marLeft w:val="0"/>
      <w:marRight w:val="0"/>
      <w:marTop w:val="0"/>
      <w:marBottom w:val="0"/>
      <w:divBdr>
        <w:top w:val="none" w:sz="0" w:space="0" w:color="auto"/>
        <w:left w:val="none" w:sz="0" w:space="0" w:color="auto"/>
        <w:bottom w:val="none" w:sz="0" w:space="0" w:color="auto"/>
        <w:right w:val="none" w:sz="0" w:space="0" w:color="auto"/>
      </w:divBdr>
    </w:div>
    <w:div w:id="2014185168">
      <w:bodyDiv w:val="1"/>
      <w:marLeft w:val="0"/>
      <w:marRight w:val="0"/>
      <w:marTop w:val="0"/>
      <w:marBottom w:val="0"/>
      <w:divBdr>
        <w:top w:val="none" w:sz="0" w:space="0" w:color="auto"/>
        <w:left w:val="none" w:sz="0" w:space="0" w:color="auto"/>
        <w:bottom w:val="none" w:sz="0" w:space="0" w:color="auto"/>
        <w:right w:val="none" w:sz="0" w:space="0" w:color="auto"/>
      </w:divBdr>
    </w:div>
    <w:div w:id="2030176918">
      <w:bodyDiv w:val="1"/>
      <w:marLeft w:val="0"/>
      <w:marRight w:val="0"/>
      <w:marTop w:val="0"/>
      <w:marBottom w:val="0"/>
      <w:divBdr>
        <w:top w:val="none" w:sz="0" w:space="0" w:color="auto"/>
        <w:left w:val="none" w:sz="0" w:space="0" w:color="auto"/>
        <w:bottom w:val="none" w:sz="0" w:space="0" w:color="auto"/>
        <w:right w:val="none" w:sz="0" w:space="0" w:color="auto"/>
      </w:divBdr>
    </w:div>
    <w:div w:id="2049908319">
      <w:bodyDiv w:val="1"/>
      <w:marLeft w:val="0"/>
      <w:marRight w:val="0"/>
      <w:marTop w:val="0"/>
      <w:marBottom w:val="0"/>
      <w:divBdr>
        <w:top w:val="none" w:sz="0" w:space="0" w:color="auto"/>
        <w:left w:val="none" w:sz="0" w:space="0" w:color="auto"/>
        <w:bottom w:val="none" w:sz="0" w:space="0" w:color="auto"/>
        <w:right w:val="none" w:sz="0" w:space="0" w:color="auto"/>
      </w:divBdr>
    </w:div>
    <w:div w:id="2050228439">
      <w:bodyDiv w:val="1"/>
      <w:marLeft w:val="0"/>
      <w:marRight w:val="0"/>
      <w:marTop w:val="0"/>
      <w:marBottom w:val="0"/>
      <w:divBdr>
        <w:top w:val="none" w:sz="0" w:space="0" w:color="auto"/>
        <w:left w:val="none" w:sz="0" w:space="0" w:color="auto"/>
        <w:bottom w:val="none" w:sz="0" w:space="0" w:color="auto"/>
        <w:right w:val="none" w:sz="0" w:space="0" w:color="auto"/>
      </w:divBdr>
    </w:div>
    <w:div w:id="2053770250">
      <w:bodyDiv w:val="1"/>
      <w:marLeft w:val="0"/>
      <w:marRight w:val="0"/>
      <w:marTop w:val="0"/>
      <w:marBottom w:val="0"/>
      <w:divBdr>
        <w:top w:val="none" w:sz="0" w:space="0" w:color="auto"/>
        <w:left w:val="none" w:sz="0" w:space="0" w:color="auto"/>
        <w:bottom w:val="none" w:sz="0" w:space="0" w:color="auto"/>
        <w:right w:val="none" w:sz="0" w:space="0" w:color="auto"/>
      </w:divBdr>
    </w:div>
    <w:div w:id="2077629243">
      <w:bodyDiv w:val="1"/>
      <w:marLeft w:val="0"/>
      <w:marRight w:val="0"/>
      <w:marTop w:val="0"/>
      <w:marBottom w:val="0"/>
      <w:divBdr>
        <w:top w:val="none" w:sz="0" w:space="0" w:color="auto"/>
        <w:left w:val="none" w:sz="0" w:space="0" w:color="auto"/>
        <w:bottom w:val="none" w:sz="0" w:space="0" w:color="auto"/>
        <w:right w:val="none" w:sz="0" w:space="0" w:color="auto"/>
      </w:divBdr>
    </w:div>
    <w:div w:id="2095004189">
      <w:bodyDiv w:val="1"/>
      <w:marLeft w:val="0"/>
      <w:marRight w:val="0"/>
      <w:marTop w:val="0"/>
      <w:marBottom w:val="0"/>
      <w:divBdr>
        <w:top w:val="none" w:sz="0" w:space="0" w:color="auto"/>
        <w:left w:val="none" w:sz="0" w:space="0" w:color="auto"/>
        <w:bottom w:val="none" w:sz="0" w:space="0" w:color="auto"/>
        <w:right w:val="none" w:sz="0" w:space="0" w:color="auto"/>
      </w:divBdr>
    </w:div>
    <w:div w:id="21279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cgi-bin/LawCite?cit=1984%20%283%29%20SA%20623" TargetMode="External"/><Relationship Id="rId18" Type="http://schemas.openxmlformats.org/officeDocument/2006/relationships/hyperlink" Target="mailto:counsel@bedhes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izzys@iafrica.com"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sandilekh78@yahoo.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ement@ramorattorneys.co.za" TargetMode="External"/><Relationship Id="rId20" Type="http://schemas.openxmlformats.org/officeDocument/2006/relationships/hyperlink" Target="mailto:mail@viviansc.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o.mahlako1@gmail.com" TargetMode="External"/><Relationship Id="rId23" Type="http://schemas.openxmlformats.org/officeDocument/2006/relationships/hyperlink" Target="mailto:ncarman@fasken.com" TargetMode="External"/><Relationship Id="rId10" Type="http://schemas.openxmlformats.org/officeDocument/2006/relationships/endnotes" Target="endnotes.xml"/><Relationship Id="rId19" Type="http://schemas.openxmlformats.org/officeDocument/2006/relationships/hyperlink" Target="mailto:Mxolisi.ngubane@bowmansla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kotedimpshe56@gmail.com" TargetMode="External"/><Relationship Id="rId22" Type="http://schemas.openxmlformats.org/officeDocument/2006/relationships/hyperlink" Target="mailto:anam@counsel.co.z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09%20%281%29%20SA%20141" TargetMode="External"/><Relationship Id="rId13" Type="http://schemas.openxmlformats.org/officeDocument/2006/relationships/hyperlink" Target="http://www.saflii.org/cgi-bin/LawCite?cit=2008%20%284%29%20SA%20312" TargetMode="External"/><Relationship Id="rId3" Type="http://schemas.openxmlformats.org/officeDocument/2006/relationships/hyperlink" Target="http://www.scielo.org.za/scielo.php?script=sci_arttext&amp;pid=S2077-49072016000100005" TargetMode="External"/><Relationship Id="rId7" Type="http://schemas.openxmlformats.org/officeDocument/2006/relationships/hyperlink" Target="http://www.saflii.org/cgi-bin/LawCite?cit=2018%20%281%29%20SA%20200" TargetMode="External"/><Relationship Id="rId12" Type="http://schemas.openxmlformats.org/officeDocument/2006/relationships/hyperlink" Target="http://www.saflii.org/cgi-bin/LawCite?cit=1954%203%20SA%20352" TargetMode="External"/><Relationship Id="rId2" Type="http://schemas.openxmlformats.org/officeDocument/2006/relationships/hyperlink" Target="https://www.derebus.org.za/the-correct-route-to-follow-when-dealing-with-pension-fund-adjudicators-determinations/" TargetMode="External"/><Relationship Id="rId16" Type="http://schemas.openxmlformats.org/officeDocument/2006/relationships/hyperlink" Target="http://www.saflii.org/za/cases/ZAGPJHC/2020/18.html" TargetMode="External"/><Relationship Id="rId1" Type="http://schemas.openxmlformats.org/officeDocument/2006/relationships/hyperlink" Target="http://www.pensionlawyers.co.za/wp-content/uploads/2018/10/PensionTrusteesObligationsSouthAfrica.pdf" TargetMode="External"/><Relationship Id="rId6" Type="http://schemas.openxmlformats.org/officeDocument/2006/relationships/hyperlink" Target="http://www.saflii.org/za/cases/ZAGPPHC/2020/801.html" TargetMode="External"/><Relationship Id="rId11" Type="http://schemas.openxmlformats.org/officeDocument/2006/relationships/hyperlink" Target="http://www.saflii.org/cgi-bin/LawCite?cit=1954%202%20SA%20345" TargetMode="External"/><Relationship Id="rId5" Type="http://schemas.openxmlformats.org/officeDocument/2006/relationships/hyperlink" Target="https://www.saflii.org/cgi-bin/LawCite?cit=2001%20%284%29%20SA%20842" TargetMode="External"/><Relationship Id="rId15" Type="http://schemas.openxmlformats.org/officeDocument/2006/relationships/hyperlink" Target="http://www.saflii.org/za/cases/ZAGPPHC/2017/1246.html" TargetMode="External"/><Relationship Id="rId10" Type="http://schemas.openxmlformats.org/officeDocument/2006/relationships/hyperlink" Target="http://www.saflii.org/cgi-bin/LawCite?cit=1931%20TPD%20261" TargetMode="External"/><Relationship Id="rId4" Type="http://schemas.openxmlformats.org/officeDocument/2006/relationships/hyperlink" Target="http://www.saflii.org/cgi-bin/LawCite?cit=1984%20%283%29%20SA%20623" TargetMode="External"/><Relationship Id="rId9" Type="http://schemas.openxmlformats.org/officeDocument/2006/relationships/hyperlink" Target="http://www.saflii.org/cgi-bin/LawCite?cit=2000%20%284%29%20SA%20561" TargetMode="External"/><Relationship Id="rId14" Type="http://schemas.openxmlformats.org/officeDocument/2006/relationships/hyperlink" Target="http://www.saflii.org/cgi-bin/LawCite?cit=1984%20%283%29%20SA%2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0A61F678744448D9DFABCA833921E" ma:contentTypeVersion="14" ma:contentTypeDescription="Create a new document." ma:contentTypeScope="" ma:versionID="f22396425cf95b79781859c99635cdc3">
  <xsd:schema xmlns:xsd="http://www.w3.org/2001/XMLSchema" xmlns:xs="http://www.w3.org/2001/XMLSchema" xmlns:p="http://schemas.microsoft.com/office/2006/metadata/properties" xmlns:ns1="http://schemas.microsoft.com/sharepoint/v3" xmlns:ns3="c69129e2-687d-4787-9e82-b4f64f0e9b85" xmlns:ns4="c03e091b-9a15-4cba-8efa-a8c30363c886" targetNamespace="http://schemas.microsoft.com/office/2006/metadata/properties" ma:root="true" ma:fieldsID="ee81b7297bef63cb87965bae105dd0c8" ns1:_="" ns3:_="" ns4:_="">
    <xsd:import namespace="http://schemas.microsoft.com/sharepoint/v3"/>
    <xsd:import namespace="c69129e2-687d-4787-9e82-b4f64f0e9b85"/>
    <xsd:import namespace="c03e091b-9a15-4cba-8efa-a8c30363c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129e2-687d-4787-9e82-b4f64f0e9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e091b-9a15-4cba-8efa-a8c30363c8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D565-DAEA-4DC8-966F-8B7C1F5E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9129e2-687d-4787-9e82-b4f64f0e9b85"/>
    <ds:schemaRef ds:uri="c03e091b-9a15-4cba-8efa-a8c30363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992C0-A935-4D25-A8E2-F635436FA6A2}">
  <ds:schemaRefs>
    <ds:schemaRef ds:uri="http://schemas.microsoft.com/sharepoint/v3/contenttype/forms"/>
  </ds:schemaRefs>
</ds:datastoreItem>
</file>

<file path=customXml/itemProps3.xml><?xml version="1.0" encoding="utf-8"?>
<ds:datastoreItem xmlns:ds="http://schemas.openxmlformats.org/officeDocument/2006/customXml" ds:itemID="{6B97CF11-0898-4B5F-9180-A0655B8BD0E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A4F745-02B4-4298-93C3-CFDCDC2F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15751</Words>
  <Characters>89785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Entle Makinta</dc:creator>
  <cp:lastModifiedBy>Lazarus Rakgwale</cp:lastModifiedBy>
  <cp:revision>2</cp:revision>
  <cp:lastPrinted>2022-02-08T06:43:00Z</cp:lastPrinted>
  <dcterms:created xsi:type="dcterms:W3CDTF">2022-02-22T08:43:00Z</dcterms:created>
  <dcterms:modified xsi:type="dcterms:W3CDTF">2022-02-22T08:43:00Z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0x0101004210A61F678744448D9DFABCA833921E</vt:lpwstr>
  </property>
</Properties>
</file>