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94AAD" w14:textId="77777777" w:rsidR="007C47CD" w:rsidRPr="00DB2A06" w:rsidRDefault="007C47CD" w:rsidP="007C47CD">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85C5D48" w14:textId="77777777" w:rsidR="007C47CD" w:rsidRDefault="007C47CD" w:rsidP="0068653E">
      <w:pPr>
        <w:spacing w:line="360" w:lineRule="auto"/>
        <w:jc w:val="center"/>
        <w:rPr>
          <w:b/>
          <w:bCs/>
          <w:u w:val="single"/>
        </w:rPr>
      </w:pPr>
    </w:p>
    <w:p w14:paraId="6A7385B8" w14:textId="77777777" w:rsidR="007C47CD" w:rsidRDefault="007C47CD" w:rsidP="0068653E">
      <w:pPr>
        <w:spacing w:line="360" w:lineRule="auto"/>
        <w:jc w:val="center"/>
        <w:rPr>
          <w:b/>
          <w:bCs/>
          <w:u w:val="single"/>
        </w:rPr>
      </w:pPr>
    </w:p>
    <w:p w14:paraId="4C07DD00" w14:textId="5F8D3786" w:rsidR="00C27CFB" w:rsidRDefault="00651EBC" w:rsidP="0068653E">
      <w:pPr>
        <w:spacing w:line="360" w:lineRule="auto"/>
        <w:jc w:val="center"/>
        <w:rPr>
          <w:b/>
          <w:bCs/>
          <w:u w:val="single"/>
        </w:rPr>
      </w:pPr>
      <w:r>
        <w:rPr>
          <w:b/>
          <w:bCs/>
          <w:u w:val="single"/>
        </w:rPr>
        <w:t>REPUBLIC OF SOUTH AFRICA</w:t>
      </w:r>
    </w:p>
    <w:p w14:paraId="616A180D" w14:textId="27D9F3F2" w:rsidR="00651EBC" w:rsidRDefault="00651EBC" w:rsidP="0068653E">
      <w:pPr>
        <w:spacing w:line="360" w:lineRule="auto"/>
        <w:jc w:val="center"/>
        <w:rPr>
          <w:b/>
          <w:bCs/>
          <w:u w:val="single"/>
        </w:rPr>
      </w:pPr>
      <w:r w:rsidRPr="00AE4D3D">
        <w:rPr>
          <w:noProof/>
          <w:lang w:val="en-US"/>
        </w:rPr>
        <w:drawing>
          <wp:anchor distT="0" distB="0" distL="114300" distR="114300" simplePos="0" relativeHeight="251659264" behindDoc="0" locked="0" layoutInCell="1" allowOverlap="1" wp14:anchorId="00D95D56" wp14:editId="0AA6AB1A">
            <wp:simplePos x="0" y="0"/>
            <wp:positionH relativeFrom="column">
              <wp:posOffset>2137663</wp:posOffset>
            </wp:positionH>
            <wp:positionV relativeFrom="paragraph">
              <wp:posOffset>146685</wp:posOffset>
            </wp:positionV>
            <wp:extent cx="1506220" cy="1089025"/>
            <wp:effectExtent l="0" t="0" r="5080" b="3175"/>
            <wp:wrapThrough wrapText="bothSides">
              <wp:wrapPolygon edited="0">
                <wp:start x="0" y="0"/>
                <wp:lineTo x="0" y="21411"/>
                <wp:lineTo x="21491" y="21411"/>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1089025"/>
                    </a:xfrm>
                    <a:prstGeom prst="rect">
                      <a:avLst/>
                    </a:prstGeom>
                    <a:noFill/>
                  </pic:spPr>
                </pic:pic>
              </a:graphicData>
            </a:graphic>
            <wp14:sizeRelH relativeFrom="margin">
              <wp14:pctWidth>0</wp14:pctWidth>
            </wp14:sizeRelH>
            <wp14:sizeRelV relativeFrom="margin">
              <wp14:pctHeight>0</wp14:pctHeight>
            </wp14:sizeRelV>
          </wp:anchor>
        </w:drawing>
      </w:r>
    </w:p>
    <w:p w14:paraId="209B984A" w14:textId="48F987C2" w:rsidR="00651EBC" w:rsidRDefault="00651EBC" w:rsidP="0068653E">
      <w:pPr>
        <w:spacing w:line="360" w:lineRule="auto"/>
        <w:jc w:val="center"/>
        <w:rPr>
          <w:b/>
          <w:bCs/>
          <w:u w:val="single"/>
        </w:rPr>
      </w:pPr>
    </w:p>
    <w:p w14:paraId="3C3DAE70" w14:textId="77777777" w:rsidR="00C27CFB" w:rsidRDefault="00C27CFB" w:rsidP="0068653E">
      <w:pPr>
        <w:spacing w:line="360" w:lineRule="auto"/>
        <w:jc w:val="center"/>
        <w:rPr>
          <w:b/>
          <w:bCs/>
          <w:u w:val="single"/>
        </w:rPr>
      </w:pPr>
    </w:p>
    <w:p w14:paraId="04589343" w14:textId="438D2493" w:rsidR="00C27CFB" w:rsidRDefault="00C27CFB" w:rsidP="0068653E">
      <w:pPr>
        <w:spacing w:line="360" w:lineRule="auto"/>
        <w:jc w:val="center"/>
        <w:rPr>
          <w:b/>
          <w:bCs/>
          <w:u w:val="single"/>
        </w:rPr>
      </w:pPr>
    </w:p>
    <w:p w14:paraId="5960268F" w14:textId="58B41F01" w:rsidR="00C27CFB" w:rsidRDefault="00C27CFB" w:rsidP="0068653E">
      <w:pPr>
        <w:spacing w:line="360" w:lineRule="auto"/>
        <w:jc w:val="center"/>
        <w:rPr>
          <w:b/>
          <w:bCs/>
          <w:u w:val="single"/>
        </w:rPr>
      </w:pPr>
    </w:p>
    <w:p w14:paraId="11165F27" w14:textId="77777777" w:rsidR="00C27CFB" w:rsidRDefault="00C27CFB" w:rsidP="0068653E">
      <w:pPr>
        <w:spacing w:line="360" w:lineRule="auto"/>
        <w:jc w:val="center"/>
        <w:rPr>
          <w:b/>
          <w:bCs/>
          <w:u w:val="single"/>
        </w:rPr>
      </w:pPr>
    </w:p>
    <w:p w14:paraId="68B223FB" w14:textId="2559E2A5" w:rsidR="0068653E" w:rsidRPr="0068653E" w:rsidRDefault="0068653E" w:rsidP="0068653E">
      <w:pPr>
        <w:spacing w:line="360" w:lineRule="auto"/>
        <w:jc w:val="center"/>
        <w:rPr>
          <w:b/>
          <w:bCs/>
          <w:u w:val="single"/>
        </w:rPr>
      </w:pPr>
      <w:r w:rsidRPr="0068653E">
        <w:rPr>
          <w:b/>
          <w:bCs/>
          <w:u w:val="single"/>
        </w:rPr>
        <w:t>IN THE HIGH COURT OF SOUTH AFRICA</w:t>
      </w:r>
    </w:p>
    <w:p w14:paraId="151B54B0" w14:textId="2EFC8A68" w:rsidR="00346379" w:rsidRDefault="0068653E" w:rsidP="0068653E">
      <w:pPr>
        <w:spacing w:line="360" w:lineRule="auto"/>
        <w:jc w:val="center"/>
        <w:rPr>
          <w:b/>
          <w:bCs/>
          <w:u w:val="single"/>
        </w:rPr>
      </w:pPr>
      <w:r w:rsidRPr="0068653E">
        <w:rPr>
          <w:b/>
          <w:bCs/>
          <w:u w:val="single"/>
        </w:rPr>
        <w:t>GAUTENG DIVISION, JOHANNESBURG</w:t>
      </w:r>
    </w:p>
    <w:p w14:paraId="548CAB1E" w14:textId="60BAB40A" w:rsidR="00346379" w:rsidRPr="00FC24F4" w:rsidRDefault="00346379" w:rsidP="00CA55AF">
      <w:pPr>
        <w:rPr>
          <w:lang w:val="en-US"/>
        </w:rPr>
      </w:pPr>
    </w:p>
    <w:p w14:paraId="338D8D2B" w14:textId="5E3823BF" w:rsidR="00F67D61" w:rsidRDefault="00651EBC" w:rsidP="00B32840">
      <w:pPr>
        <w:jc w:val="right"/>
        <w:rPr>
          <w:b/>
          <w:bCs/>
        </w:rPr>
      </w:pPr>
      <w:r w:rsidRPr="003740DD">
        <w:rPr>
          <w:b/>
          <w:bCs/>
          <w:noProof/>
          <w:szCs w:val="22"/>
          <w:lang w:val="en-US"/>
        </w:rPr>
        <mc:AlternateContent>
          <mc:Choice Requires="wps">
            <w:drawing>
              <wp:anchor distT="0" distB="0" distL="114300" distR="114300" simplePos="0" relativeHeight="251661312" behindDoc="0" locked="0" layoutInCell="1" allowOverlap="1" wp14:anchorId="15B8549A" wp14:editId="1580D3F7">
                <wp:simplePos x="0" y="0"/>
                <wp:positionH relativeFrom="column">
                  <wp:posOffset>-215900</wp:posOffset>
                </wp:positionH>
                <wp:positionV relativeFrom="page">
                  <wp:posOffset>3978275</wp:posOffset>
                </wp:positionV>
                <wp:extent cx="3314700" cy="1841500"/>
                <wp:effectExtent l="0" t="0" r="19050" b="25400"/>
                <wp:wrapThrough wrapText="bothSides">
                  <wp:wrapPolygon edited="0">
                    <wp:start x="0" y="0"/>
                    <wp:lineTo x="0" y="21674"/>
                    <wp:lineTo x="21600" y="21674"/>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41500"/>
                        </a:xfrm>
                        <a:prstGeom prst="rect">
                          <a:avLst/>
                        </a:prstGeom>
                        <a:solidFill>
                          <a:srgbClr val="FFFFFF"/>
                        </a:solidFill>
                        <a:ln w="9525">
                          <a:solidFill>
                            <a:srgbClr val="000000"/>
                          </a:solidFill>
                          <a:miter lim="800000"/>
                          <a:headEnd/>
                          <a:tailEnd/>
                        </a:ln>
                      </wps:spPr>
                      <wps:txbx>
                        <w:txbxContent>
                          <w:p w14:paraId="7B35F882" w14:textId="77777777" w:rsidR="00C27CFB" w:rsidRPr="00913F95" w:rsidRDefault="00C27CFB" w:rsidP="00C27CFB">
                            <w:pPr>
                              <w:jc w:val="center"/>
                              <w:rPr>
                                <w:rFonts w:ascii="Century Gothic" w:hAnsi="Century Gothic"/>
                                <w:b/>
                                <w:sz w:val="20"/>
                                <w:szCs w:val="20"/>
                              </w:rPr>
                            </w:pPr>
                          </w:p>
                          <w:p w14:paraId="608B9095" w14:textId="4553FD24" w:rsidR="00C27CFB" w:rsidRDefault="00337B45" w:rsidP="00337B4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27CFB" w:rsidRPr="00913F95">
                              <w:rPr>
                                <w:rFonts w:ascii="Century Gothic" w:hAnsi="Century Gothic"/>
                                <w:sz w:val="20"/>
                                <w:szCs w:val="20"/>
                              </w:rPr>
                              <w:t xml:space="preserve">REPORTABLE: </w:t>
                            </w:r>
                            <w:r w:rsidR="00E070E4">
                              <w:rPr>
                                <w:rFonts w:ascii="Century Gothic" w:hAnsi="Century Gothic"/>
                                <w:b/>
                                <w:sz w:val="20"/>
                                <w:szCs w:val="20"/>
                              </w:rPr>
                              <w:t>YES</w:t>
                            </w:r>
                          </w:p>
                          <w:p w14:paraId="65368529" w14:textId="01D78D4A" w:rsidR="00C27CFB" w:rsidRPr="00913F95" w:rsidRDefault="00337B45" w:rsidP="00337B4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C27CFB">
                              <w:rPr>
                                <w:rFonts w:ascii="Century Gothic" w:hAnsi="Century Gothic"/>
                                <w:sz w:val="20"/>
                                <w:szCs w:val="20"/>
                              </w:rPr>
                              <w:t xml:space="preserve">OF INTEREST TO OTHER JUDGES: </w:t>
                            </w:r>
                            <w:r w:rsidR="00C27CFB" w:rsidRPr="003B7342">
                              <w:rPr>
                                <w:rFonts w:ascii="Century Gothic" w:hAnsi="Century Gothic"/>
                                <w:b/>
                                <w:sz w:val="20"/>
                                <w:szCs w:val="20"/>
                              </w:rPr>
                              <w:t>YES</w:t>
                            </w:r>
                          </w:p>
                          <w:p w14:paraId="779F5859" w14:textId="1C5B9E60" w:rsidR="00C27CFB" w:rsidRPr="00913F95" w:rsidRDefault="00337B45" w:rsidP="00337B4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C27CFB" w:rsidRPr="00913F95">
                              <w:rPr>
                                <w:rFonts w:ascii="Century Gothic" w:hAnsi="Century Gothic"/>
                                <w:sz w:val="20"/>
                                <w:szCs w:val="20"/>
                              </w:rPr>
                              <w:t>REVISED</w:t>
                            </w:r>
                            <w:r w:rsidR="00C27CFB">
                              <w:rPr>
                                <w:rFonts w:ascii="Century Gothic" w:hAnsi="Century Gothic"/>
                                <w:sz w:val="20"/>
                                <w:szCs w:val="20"/>
                              </w:rPr>
                              <w:t xml:space="preserve">: </w:t>
                            </w:r>
                            <w:r w:rsidR="00C27CFB" w:rsidRPr="003B7342">
                              <w:rPr>
                                <w:rFonts w:ascii="Century Gothic" w:hAnsi="Century Gothic"/>
                                <w:b/>
                                <w:sz w:val="20"/>
                                <w:szCs w:val="20"/>
                              </w:rPr>
                              <w:t>NO</w:t>
                            </w:r>
                          </w:p>
                          <w:p w14:paraId="370D4219" w14:textId="77777777" w:rsidR="00C27CFB" w:rsidRDefault="00C27CFB" w:rsidP="00C27CFB">
                            <w:pPr>
                              <w:rPr>
                                <w:rFonts w:ascii="Century Gothic" w:hAnsi="Century Gothic"/>
                                <w:b/>
                                <w:sz w:val="18"/>
                                <w:szCs w:val="18"/>
                              </w:rPr>
                            </w:pPr>
                          </w:p>
                          <w:p w14:paraId="12AD84FD" w14:textId="35777DCF" w:rsidR="00C27CFB" w:rsidRDefault="005573EB" w:rsidP="00C27CFB">
                            <w:pPr>
                              <w:rPr>
                                <w:noProof/>
                                <w:lang w:eastAsia="en-ZA"/>
                              </w:rPr>
                            </w:pPr>
                            <w:r>
                              <w:rPr>
                                <w:rFonts w:ascii="Century Gothic" w:hAnsi="Century Gothic"/>
                                <w:b/>
                                <w:sz w:val="18"/>
                                <w:szCs w:val="18"/>
                              </w:rPr>
                              <w:t xml:space="preserve">    13</w:t>
                            </w:r>
                            <w:r w:rsidR="00C27CFB">
                              <w:rPr>
                                <w:rFonts w:ascii="Century Gothic" w:hAnsi="Century Gothic"/>
                                <w:b/>
                                <w:sz w:val="18"/>
                                <w:szCs w:val="18"/>
                              </w:rPr>
                              <w:t>/10/2022</w:t>
                            </w:r>
                            <w:r w:rsidR="00C27CFB" w:rsidRPr="00084341">
                              <w:rPr>
                                <w:rFonts w:ascii="Century Gothic" w:hAnsi="Century Gothic"/>
                                <w:b/>
                                <w:sz w:val="18"/>
                                <w:szCs w:val="18"/>
                              </w:rPr>
                              <w:tab/>
                            </w:r>
                            <w:r w:rsidR="00C27CFB" w:rsidRPr="00084341">
                              <w:rPr>
                                <w:rFonts w:ascii="Century Gothic" w:hAnsi="Century Gothic"/>
                                <w:b/>
                                <w:sz w:val="18"/>
                                <w:szCs w:val="18"/>
                              </w:rPr>
                              <w:tab/>
                            </w:r>
                            <w:r w:rsidR="00C27CFB">
                              <w:rPr>
                                <w:rFonts w:ascii="Century Gothic" w:hAnsi="Century Gothic"/>
                                <w:b/>
                                <w:sz w:val="18"/>
                                <w:szCs w:val="18"/>
                              </w:rPr>
                              <w:t xml:space="preserve">      </w:t>
                            </w:r>
                          </w:p>
                          <w:p w14:paraId="4422432B" w14:textId="77777777" w:rsidR="00A538AA" w:rsidRDefault="00A538AA" w:rsidP="00C27CFB">
                            <w:pPr>
                              <w:rPr>
                                <w:rFonts w:ascii="Century Gothic" w:hAnsi="Century Gothic"/>
                                <w:b/>
                                <w:sz w:val="18"/>
                                <w:szCs w:val="18"/>
                              </w:rPr>
                            </w:pPr>
                          </w:p>
                          <w:p w14:paraId="25D39176" w14:textId="77777777" w:rsidR="00C27CFB" w:rsidRDefault="00C27CFB" w:rsidP="00C27CFB">
                            <w:pPr>
                              <w:rPr>
                                <w:rFonts w:ascii="Century Gothic" w:hAnsi="Century Gothic"/>
                                <w:b/>
                                <w:sz w:val="18"/>
                                <w:szCs w:val="18"/>
                              </w:rPr>
                            </w:pPr>
                            <w:r>
                              <w:rPr>
                                <w:rFonts w:ascii="Century Gothic" w:hAnsi="Century Gothic"/>
                                <w:b/>
                                <w:sz w:val="18"/>
                                <w:szCs w:val="18"/>
                              </w:rPr>
                              <w:t xml:space="preserve">         DATE                                    SIGNATURE</w:t>
                            </w:r>
                          </w:p>
                          <w:p w14:paraId="40803482" w14:textId="77777777" w:rsidR="00C27CFB" w:rsidRPr="00084341" w:rsidRDefault="00C27CFB" w:rsidP="00C27CFB">
                            <w:pPr>
                              <w:rPr>
                                <w:rFonts w:ascii="Century Gothic" w:hAnsi="Century Gothic"/>
                                <w:b/>
                                <w:sz w:val="18"/>
                                <w:szCs w:val="18"/>
                              </w:rPr>
                            </w:pPr>
                          </w:p>
                          <w:p w14:paraId="116B3480" w14:textId="77777777" w:rsidR="00C27CFB" w:rsidRPr="00084341" w:rsidRDefault="00C27CFB" w:rsidP="00C27CFB">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549A" id="_x0000_t202" coordsize="21600,21600" o:spt="202" path="m,l,21600r21600,l21600,xe">
                <v:stroke joinstyle="miter"/>
                <v:path gradientshapeok="t" o:connecttype="rect"/>
              </v:shapetype>
              <v:shape id="Text Box 3" o:spid="_x0000_s1026" type="#_x0000_t202" style="position:absolute;left:0;text-align:left;margin-left:-17pt;margin-top:313.25pt;width:261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XKQIAAFE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">
                <v:textbox>
                  <w:txbxContent>
                    <w:p w14:paraId="7B35F882" w14:textId="77777777" w:rsidR="00C27CFB" w:rsidRPr="00913F95" w:rsidRDefault="00C27CFB" w:rsidP="00C27CFB">
                      <w:pPr>
                        <w:jc w:val="center"/>
                        <w:rPr>
                          <w:rFonts w:ascii="Century Gothic" w:hAnsi="Century Gothic"/>
                          <w:b/>
                          <w:sz w:val="20"/>
                          <w:szCs w:val="20"/>
                        </w:rPr>
                      </w:pPr>
                    </w:p>
                    <w:p w14:paraId="608B9095" w14:textId="4553FD24" w:rsidR="00C27CFB" w:rsidRDefault="00337B45" w:rsidP="00337B4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27CFB" w:rsidRPr="00913F95">
                        <w:rPr>
                          <w:rFonts w:ascii="Century Gothic" w:hAnsi="Century Gothic"/>
                          <w:sz w:val="20"/>
                          <w:szCs w:val="20"/>
                        </w:rPr>
                        <w:t xml:space="preserve">REPORTABLE: </w:t>
                      </w:r>
                      <w:r w:rsidR="00E070E4">
                        <w:rPr>
                          <w:rFonts w:ascii="Century Gothic" w:hAnsi="Century Gothic"/>
                          <w:b/>
                          <w:sz w:val="20"/>
                          <w:szCs w:val="20"/>
                        </w:rPr>
                        <w:t>YES</w:t>
                      </w:r>
                    </w:p>
                    <w:p w14:paraId="65368529" w14:textId="01D78D4A" w:rsidR="00C27CFB" w:rsidRPr="00913F95" w:rsidRDefault="00337B45" w:rsidP="00337B4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C27CFB">
                        <w:rPr>
                          <w:rFonts w:ascii="Century Gothic" w:hAnsi="Century Gothic"/>
                          <w:sz w:val="20"/>
                          <w:szCs w:val="20"/>
                        </w:rPr>
                        <w:t xml:space="preserve">OF INTEREST TO OTHER JUDGES: </w:t>
                      </w:r>
                      <w:r w:rsidR="00C27CFB" w:rsidRPr="003B7342">
                        <w:rPr>
                          <w:rFonts w:ascii="Century Gothic" w:hAnsi="Century Gothic"/>
                          <w:b/>
                          <w:sz w:val="20"/>
                          <w:szCs w:val="20"/>
                        </w:rPr>
                        <w:t>YES</w:t>
                      </w:r>
                    </w:p>
                    <w:p w14:paraId="779F5859" w14:textId="1C5B9E60" w:rsidR="00C27CFB" w:rsidRPr="00913F95" w:rsidRDefault="00337B45" w:rsidP="00337B4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C27CFB" w:rsidRPr="00913F95">
                        <w:rPr>
                          <w:rFonts w:ascii="Century Gothic" w:hAnsi="Century Gothic"/>
                          <w:sz w:val="20"/>
                          <w:szCs w:val="20"/>
                        </w:rPr>
                        <w:t>REVISED</w:t>
                      </w:r>
                      <w:r w:rsidR="00C27CFB">
                        <w:rPr>
                          <w:rFonts w:ascii="Century Gothic" w:hAnsi="Century Gothic"/>
                          <w:sz w:val="20"/>
                          <w:szCs w:val="20"/>
                        </w:rPr>
                        <w:t xml:space="preserve">: </w:t>
                      </w:r>
                      <w:r w:rsidR="00C27CFB" w:rsidRPr="003B7342">
                        <w:rPr>
                          <w:rFonts w:ascii="Century Gothic" w:hAnsi="Century Gothic"/>
                          <w:b/>
                          <w:sz w:val="20"/>
                          <w:szCs w:val="20"/>
                        </w:rPr>
                        <w:t>NO</w:t>
                      </w:r>
                    </w:p>
                    <w:p w14:paraId="370D4219" w14:textId="77777777" w:rsidR="00C27CFB" w:rsidRDefault="00C27CFB" w:rsidP="00C27CFB">
                      <w:pPr>
                        <w:rPr>
                          <w:rFonts w:ascii="Century Gothic" w:hAnsi="Century Gothic"/>
                          <w:b/>
                          <w:sz w:val="18"/>
                          <w:szCs w:val="18"/>
                        </w:rPr>
                      </w:pPr>
                    </w:p>
                    <w:p w14:paraId="12AD84FD" w14:textId="35777DCF" w:rsidR="00C27CFB" w:rsidRDefault="005573EB" w:rsidP="00C27CFB">
                      <w:pPr>
                        <w:rPr>
                          <w:noProof/>
                          <w:lang w:eastAsia="en-ZA"/>
                        </w:rPr>
                      </w:pPr>
                      <w:r>
                        <w:rPr>
                          <w:rFonts w:ascii="Century Gothic" w:hAnsi="Century Gothic"/>
                          <w:b/>
                          <w:sz w:val="18"/>
                          <w:szCs w:val="18"/>
                        </w:rPr>
                        <w:t xml:space="preserve">    13</w:t>
                      </w:r>
                      <w:r w:rsidR="00C27CFB">
                        <w:rPr>
                          <w:rFonts w:ascii="Century Gothic" w:hAnsi="Century Gothic"/>
                          <w:b/>
                          <w:sz w:val="18"/>
                          <w:szCs w:val="18"/>
                        </w:rPr>
                        <w:t>/10/2022</w:t>
                      </w:r>
                      <w:r w:rsidR="00C27CFB" w:rsidRPr="00084341">
                        <w:rPr>
                          <w:rFonts w:ascii="Century Gothic" w:hAnsi="Century Gothic"/>
                          <w:b/>
                          <w:sz w:val="18"/>
                          <w:szCs w:val="18"/>
                        </w:rPr>
                        <w:tab/>
                      </w:r>
                      <w:r w:rsidR="00C27CFB" w:rsidRPr="00084341">
                        <w:rPr>
                          <w:rFonts w:ascii="Century Gothic" w:hAnsi="Century Gothic"/>
                          <w:b/>
                          <w:sz w:val="18"/>
                          <w:szCs w:val="18"/>
                        </w:rPr>
                        <w:tab/>
                      </w:r>
                      <w:r w:rsidR="00C27CFB">
                        <w:rPr>
                          <w:rFonts w:ascii="Century Gothic" w:hAnsi="Century Gothic"/>
                          <w:b/>
                          <w:sz w:val="18"/>
                          <w:szCs w:val="18"/>
                        </w:rPr>
                        <w:t xml:space="preserve">      </w:t>
                      </w:r>
                    </w:p>
                    <w:p w14:paraId="4422432B" w14:textId="77777777" w:rsidR="00A538AA" w:rsidRDefault="00A538AA" w:rsidP="00C27CFB">
                      <w:pPr>
                        <w:rPr>
                          <w:rFonts w:ascii="Century Gothic" w:hAnsi="Century Gothic"/>
                          <w:b/>
                          <w:sz w:val="18"/>
                          <w:szCs w:val="18"/>
                        </w:rPr>
                      </w:pPr>
                    </w:p>
                    <w:p w14:paraId="25D39176" w14:textId="77777777" w:rsidR="00C27CFB" w:rsidRDefault="00C27CFB" w:rsidP="00C27CFB">
                      <w:pPr>
                        <w:rPr>
                          <w:rFonts w:ascii="Century Gothic" w:hAnsi="Century Gothic"/>
                          <w:b/>
                          <w:sz w:val="18"/>
                          <w:szCs w:val="18"/>
                        </w:rPr>
                      </w:pPr>
                      <w:r>
                        <w:rPr>
                          <w:rFonts w:ascii="Century Gothic" w:hAnsi="Century Gothic"/>
                          <w:b/>
                          <w:sz w:val="18"/>
                          <w:szCs w:val="18"/>
                        </w:rPr>
                        <w:t xml:space="preserve">         DATE                                    SIGNATURE</w:t>
                      </w:r>
                    </w:p>
                    <w:p w14:paraId="40803482" w14:textId="77777777" w:rsidR="00C27CFB" w:rsidRPr="00084341" w:rsidRDefault="00C27CFB" w:rsidP="00C27CFB">
                      <w:pPr>
                        <w:rPr>
                          <w:rFonts w:ascii="Century Gothic" w:hAnsi="Century Gothic"/>
                          <w:b/>
                          <w:sz w:val="18"/>
                          <w:szCs w:val="18"/>
                        </w:rPr>
                      </w:pPr>
                    </w:p>
                    <w:p w14:paraId="116B3480" w14:textId="77777777" w:rsidR="00C27CFB" w:rsidRPr="00084341" w:rsidRDefault="00C27CFB" w:rsidP="00C27CFB">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v:textbox>
                <w10:wrap type="through" anchory="page"/>
              </v:shape>
            </w:pict>
          </mc:Fallback>
        </mc:AlternateContent>
      </w:r>
      <w:r w:rsidR="00F67D61" w:rsidRPr="00B32840">
        <w:rPr>
          <w:b/>
          <w:bCs/>
        </w:rPr>
        <w:t xml:space="preserve">CASE NO.: </w:t>
      </w:r>
      <w:r w:rsidR="00DC0D47">
        <w:rPr>
          <w:b/>
          <w:bCs/>
        </w:rPr>
        <w:t>09093/13</w:t>
      </w:r>
    </w:p>
    <w:p w14:paraId="183DDD9B" w14:textId="2A8DA9AA" w:rsidR="00C27CFB" w:rsidRDefault="00C27CFB" w:rsidP="00B32840">
      <w:pPr>
        <w:jc w:val="right"/>
        <w:rPr>
          <w:b/>
          <w:bCs/>
        </w:rPr>
      </w:pPr>
    </w:p>
    <w:p w14:paraId="6726C49F" w14:textId="63520FE1" w:rsidR="00C27CFB" w:rsidRDefault="00C27CFB" w:rsidP="00B32840">
      <w:pPr>
        <w:jc w:val="right"/>
        <w:rPr>
          <w:b/>
          <w:bCs/>
        </w:rPr>
      </w:pPr>
    </w:p>
    <w:p w14:paraId="4353CB14" w14:textId="3598B4CE" w:rsidR="00C27CFB" w:rsidRPr="00B32840" w:rsidRDefault="00C27CFB" w:rsidP="00651EBC">
      <w:pPr>
        <w:rPr>
          <w:b/>
          <w:bCs/>
          <w:lang w:val="en-GB"/>
        </w:rPr>
      </w:pPr>
    </w:p>
    <w:p w14:paraId="586D7A58" w14:textId="4E7090BF" w:rsidR="00F67D61" w:rsidRDefault="00F67D61" w:rsidP="00F67D61">
      <w:pPr>
        <w:tabs>
          <w:tab w:val="right" w:pos="8931"/>
        </w:tabs>
        <w:spacing w:line="360" w:lineRule="auto"/>
      </w:pPr>
    </w:p>
    <w:p w14:paraId="193D83DE" w14:textId="77777777" w:rsidR="00C27CFB" w:rsidRDefault="00C27CFB" w:rsidP="00F67D61">
      <w:pPr>
        <w:tabs>
          <w:tab w:val="right" w:pos="8931"/>
        </w:tabs>
        <w:spacing w:line="360" w:lineRule="auto"/>
      </w:pPr>
    </w:p>
    <w:p w14:paraId="497A238D" w14:textId="77777777" w:rsidR="00C27CFB" w:rsidRDefault="00C27CFB" w:rsidP="00F67D61">
      <w:pPr>
        <w:tabs>
          <w:tab w:val="right" w:pos="8931"/>
        </w:tabs>
        <w:spacing w:line="360" w:lineRule="auto"/>
      </w:pPr>
    </w:p>
    <w:p w14:paraId="7A5D6D61" w14:textId="77777777" w:rsidR="00C27CFB" w:rsidRDefault="00C27CFB" w:rsidP="00F67D61">
      <w:pPr>
        <w:tabs>
          <w:tab w:val="right" w:pos="8931"/>
        </w:tabs>
        <w:spacing w:line="360" w:lineRule="auto"/>
      </w:pPr>
    </w:p>
    <w:p w14:paraId="69902312" w14:textId="77777777" w:rsidR="00C27CFB" w:rsidRDefault="00C27CFB" w:rsidP="00F67D61">
      <w:pPr>
        <w:tabs>
          <w:tab w:val="right" w:pos="8931"/>
        </w:tabs>
        <w:spacing w:line="360" w:lineRule="auto"/>
      </w:pPr>
    </w:p>
    <w:p w14:paraId="2D906C98" w14:textId="77777777" w:rsidR="00C27CFB" w:rsidRDefault="00C27CFB" w:rsidP="00F67D61">
      <w:pPr>
        <w:tabs>
          <w:tab w:val="right" w:pos="8931"/>
        </w:tabs>
        <w:spacing w:line="360" w:lineRule="auto"/>
      </w:pPr>
    </w:p>
    <w:p w14:paraId="7AFB65FF" w14:textId="599E6B8A" w:rsidR="00F67D61" w:rsidRDefault="00F67D61" w:rsidP="00F67D61">
      <w:pPr>
        <w:tabs>
          <w:tab w:val="right" w:pos="8931"/>
        </w:tabs>
        <w:spacing w:line="360" w:lineRule="auto"/>
      </w:pPr>
      <w:r>
        <w:t xml:space="preserve">In the matter between: </w:t>
      </w:r>
    </w:p>
    <w:p w14:paraId="1984D449" w14:textId="77777777" w:rsidR="00F67D61" w:rsidRDefault="00F67D61" w:rsidP="00F67D61">
      <w:pPr>
        <w:tabs>
          <w:tab w:val="right" w:pos="8931"/>
        </w:tabs>
        <w:spacing w:line="360" w:lineRule="auto"/>
      </w:pPr>
    </w:p>
    <w:p w14:paraId="7A877882" w14:textId="77777777" w:rsidR="00DC0D47" w:rsidRDefault="00DC0D47" w:rsidP="00F67D61">
      <w:pPr>
        <w:tabs>
          <w:tab w:val="right" w:pos="8931"/>
        </w:tabs>
        <w:spacing w:line="240" w:lineRule="auto"/>
        <w:rPr>
          <w:b/>
          <w:spacing w:val="-3"/>
        </w:rPr>
      </w:pPr>
      <w:r>
        <w:rPr>
          <w:b/>
          <w:spacing w:val="-3"/>
        </w:rPr>
        <w:t>LOMBARD INSURANCE COMPANY LIMITED</w:t>
      </w:r>
    </w:p>
    <w:p w14:paraId="17D0B6AF" w14:textId="01A1BFEC" w:rsidR="00F67D61" w:rsidRDefault="00DC0D47" w:rsidP="00F67D61">
      <w:pPr>
        <w:tabs>
          <w:tab w:val="right" w:pos="8931"/>
        </w:tabs>
        <w:spacing w:line="240" w:lineRule="auto"/>
        <w:rPr>
          <w:b/>
          <w:spacing w:val="-3"/>
        </w:rPr>
      </w:pPr>
      <w:r>
        <w:rPr>
          <w:bCs/>
          <w:spacing w:val="-3"/>
        </w:rPr>
        <w:t>(Registration Number: 1990/001253/06)</w:t>
      </w:r>
      <w:r w:rsidR="00F67D61">
        <w:rPr>
          <w:b/>
          <w:spacing w:val="-3"/>
        </w:rPr>
        <w:tab/>
      </w:r>
      <w:r w:rsidR="00334206">
        <w:rPr>
          <w:bCs/>
          <w:spacing w:val="-3"/>
        </w:rPr>
        <w:t>Plaintiff</w:t>
      </w:r>
    </w:p>
    <w:p w14:paraId="54D9C9A8" w14:textId="77777777" w:rsidR="00F67D61" w:rsidRDefault="00F67D61" w:rsidP="00F67D61">
      <w:pPr>
        <w:tabs>
          <w:tab w:val="right" w:pos="8931"/>
        </w:tabs>
        <w:spacing w:line="360" w:lineRule="auto"/>
        <w:rPr>
          <w:bCs/>
          <w:spacing w:val="-3"/>
        </w:rPr>
      </w:pPr>
    </w:p>
    <w:p w14:paraId="421A2353" w14:textId="77777777" w:rsidR="00F67D61" w:rsidRDefault="00F67D61" w:rsidP="00F67D61">
      <w:pPr>
        <w:tabs>
          <w:tab w:val="right" w:pos="8931"/>
        </w:tabs>
        <w:spacing w:line="360" w:lineRule="auto"/>
        <w:rPr>
          <w:bCs/>
          <w:spacing w:val="-3"/>
        </w:rPr>
      </w:pPr>
      <w:r>
        <w:rPr>
          <w:bCs/>
          <w:spacing w:val="-3"/>
        </w:rPr>
        <w:t>and</w:t>
      </w:r>
    </w:p>
    <w:p w14:paraId="7FC9F333" w14:textId="77777777" w:rsidR="00F67D61" w:rsidRDefault="00F67D61" w:rsidP="00F67D61">
      <w:pPr>
        <w:tabs>
          <w:tab w:val="right" w:pos="8931"/>
        </w:tabs>
        <w:spacing w:line="360" w:lineRule="auto"/>
        <w:rPr>
          <w:bCs/>
          <w:spacing w:val="-3"/>
        </w:rPr>
      </w:pPr>
    </w:p>
    <w:p w14:paraId="27AAA207" w14:textId="77777777" w:rsidR="00DC0D47" w:rsidRDefault="00DC0D47" w:rsidP="00F67D61">
      <w:pPr>
        <w:tabs>
          <w:tab w:val="right" w:pos="8931"/>
        </w:tabs>
        <w:spacing w:line="240" w:lineRule="auto"/>
        <w:rPr>
          <w:b/>
          <w:spacing w:val="-3"/>
        </w:rPr>
      </w:pPr>
      <w:r>
        <w:rPr>
          <w:b/>
          <w:spacing w:val="-3"/>
        </w:rPr>
        <w:t>GORDON ANDREW McCRAE</w:t>
      </w:r>
    </w:p>
    <w:p w14:paraId="0183F9BF" w14:textId="2E494E70" w:rsidR="00F67D61" w:rsidRDefault="007C47CD" w:rsidP="00F67D61">
      <w:pPr>
        <w:tabs>
          <w:tab w:val="right" w:pos="8931"/>
        </w:tabs>
        <w:spacing w:line="240" w:lineRule="auto"/>
        <w:rPr>
          <w:bCs/>
          <w:spacing w:val="-3"/>
        </w:rPr>
      </w:pPr>
      <w:r>
        <w:rPr>
          <w:bCs/>
          <w:spacing w:val="-3"/>
        </w:rPr>
        <w:t>(Identity Number: […]</w:t>
      </w:r>
      <w:r w:rsidR="00DC0D47">
        <w:rPr>
          <w:bCs/>
          <w:spacing w:val="-3"/>
        </w:rPr>
        <w:t>)</w:t>
      </w:r>
      <w:bookmarkStart w:id="0" w:name="_GoBack"/>
      <w:bookmarkEnd w:id="0"/>
      <w:r w:rsidR="00F67D61">
        <w:rPr>
          <w:bCs/>
          <w:spacing w:val="-3"/>
        </w:rPr>
        <w:tab/>
      </w:r>
      <w:r w:rsidR="00334206">
        <w:rPr>
          <w:bCs/>
          <w:spacing w:val="-3"/>
        </w:rPr>
        <w:t>Defendant</w:t>
      </w:r>
    </w:p>
    <w:p w14:paraId="006BCB00" w14:textId="77777777" w:rsidR="007B154B" w:rsidRDefault="007B154B" w:rsidP="00F67D61">
      <w:pPr>
        <w:tabs>
          <w:tab w:val="right" w:pos="8931"/>
        </w:tabs>
        <w:spacing w:line="360" w:lineRule="auto"/>
        <w:rPr>
          <w:lang w:val="en-GB"/>
        </w:rPr>
      </w:pPr>
    </w:p>
    <w:p w14:paraId="4257636A" w14:textId="77777777" w:rsidR="0049440F" w:rsidRPr="001B1F9D" w:rsidRDefault="0049440F" w:rsidP="00F67D61">
      <w:pPr>
        <w:pBdr>
          <w:top w:val="single" w:sz="4" w:space="1" w:color="auto"/>
        </w:pBdr>
        <w:spacing w:line="240" w:lineRule="auto"/>
      </w:pPr>
    </w:p>
    <w:p w14:paraId="2D8DBDFD" w14:textId="7752E033" w:rsidR="0049440F" w:rsidRPr="003D1D1F" w:rsidRDefault="00334206" w:rsidP="00F67D61">
      <w:pPr>
        <w:spacing w:line="240" w:lineRule="auto"/>
        <w:jc w:val="center"/>
      </w:pPr>
      <w:r>
        <w:rPr>
          <w:b/>
        </w:rPr>
        <w:t>JUDGMENT</w:t>
      </w:r>
    </w:p>
    <w:p w14:paraId="31BE681B" w14:textId="77777777" w:rsidR="0049440F" w:rsidRPr="001B1F9D" w:rsidRDefault="0049440F" w:rsidP="00F67D61">
      <w:pPr>
        <w:pBdr>
          <w:bottom w:val="single" w:sz="4" w:space="1" w:color="auto"/>
        </w:pBdr>
        <w:spacing w:line="240" w:lineRule="auto"/>
      </w:pPr>
    </w:p>
    <w:p w14:paraId="70AC9B70" w14:textId="6CDF380A" w:rsidR="0049440F" w:rsidRDefault="0049440F" w:rsidP="0049440F"/>
    <w:p w14:paraId="4A75DC1B" w14:textId="3BED6F53" w:rsidR="00334206" w:rsidRDefault="00FC430C" w:rsidP="00870A5A">
      <w:pPr>
        <w:rPr>
          <w:b/>
          <w:bCs/>
        </w:rPr>
      </w:pPr>
      <w:r w:rsidRPr="00A737DA">
        <w:rPr>
          <w:b/>
          <w:bCs/>
        </w:rPr>
        <w:t>PULLINGER</w:t>
      </w:r>
      <w:r w:rsidR="009401CF">
        <w:rPr>
          <w:b/>
          <w:bCs/>
        </w:rPr>
        <w:t>,</w:t>
      </w:r>
      <w:r w:rsidRPr="00A737DA">
        <w:rPr>
          <w:b/>
          <w:bCs/>
        </w:rPr>
        <w:t xml:space="preserve"> AJ</w:t>
      </w:r>
    </w:p>
    <w:p w14:paraId="7AD23258" w14:textId="6CE2500E" w:rsidR="006B7254" w:rsidRDefault="006B7254" w:rsidP="00870A5A">
      <w:pPr>
        <w:rPr>
          <w:b/>
          <w:bCs/>
        </w:rPr>
      </w:pPr>
    </w:p>
    <w:p w14:paraId="41260D1E" w14:textId="3ECB0C50" w:rsidR="006B7254" w:rsidRPr="00946A2D" w:rsidRDefault="006B7254" w:rsidP="00870A5A">
      <w:r w:rsidRPr="008837F2">
        <w:t>(</w:t>
      </w:r>
      <w:r w:rsidRPr="008837F2">
        <w:rPr>
          <w:b/>
          <w:bCs/>
          <w:i/>
          <w:iCs/>
        </w:rPr>
        <w:t>Summary</w:t>
      </w:r>
      <w:r w:rsidRPr="008837F2">
        <w:rPr>
          <w:i/>
          <w:iCs/>
        </w:rPr>
        <w:t xml:space="preserve"> – </w:t>
      </w:r>
      <w:r w:rsidRPr="00946A2D">
        <w:rPr>
          <w:i/>
          <w:iCs/>
        </w:rPr>
        <w:t xml:space="preserve">actions designated “commercial” in terms of the Commercial Court Directive. </w:t>
      </w:r>
      <w:r w:rsidR="003C2AB3" w:rsidRPr="00946A2D">
        <w:rPr>
          <w:i/>
          <w:iCs/>
        </w:rPr>
        <w:t xml:space="preserve">The procedural steps stipulated in the Directive are couched in peremptory terms. </w:t>
      </w:r>
      <w:r w:rsidRPr="00946A2D">
        <w:rPr>
          <w:i/>
          <w:iCs/>
        </w:rPr>
        <w:t xml:space="preserve">Where parties choose the commercial track they are </w:t>
      </w:r>
      <w:r w:rsidR="009401CF" w:rsidRPr="00946A2D">
        <w:rPr>
          <w:i/>
          <w:iCs/>
        </w:rPr>
        <w:t>ordinarily</w:t>
      </w:r>
      <w:r w:rsidRPr="00946A2D">
        <w:rPr>
          <w:i/>
          <w:iCs/>
        </w:rPr>
        <w:t xml:space="preserve"> obliged to adhere to the procedure set out in the Directive. </w:t>
      </w:r>
      <w:r w:rsidR="00917069" w:rsidRPr="00946A2D">
        <w:rPr>
          <w:i/>
          <w:iCs/>
        </w:rPr>
        <w:t>C</w:t>
      </w:r>
      <w:r w:rsidRPr="00946A2D">
        <w:rPr>
          <w:i/>
          <w:iCs/>
        </w:rPr>
        <w:t>ases designated as commercial cases should be</w:t>
      </w:r>
      <w:r w:rsidR="009401CF" w:rsidRPr="00946A2D">
        <w:rPr>
          <w:i/>
          <w:iCs/>
        </w:rPr>
        <w:t xml:space="preserve"> disposed of expeditiously</w:t>
      </w:r>
      <w:r w:rsidR="00917069" w:rsidRPr="00946A2D">
        <w:rPr>
          <w:i/>
          <w:iCs/>
        </w:rPr>
        <w:t>,</w:t>
      </w:r>
      <w:r w:rsidR="009401CF" w:rsidRPr="00946A2D">
        <w:rPr>
          <w:i/>
          <w:iCs/>
        </w:rPr>
        <w:t xml:space="preserve"> in accordance with a clear timetable</w:t>
      </w:r>
      <w:r w:rsidR="00917069" w:rsidRPr="00946A2D">
        <w:rPr>
          <w:i/>
          <w:iCs/>
        </w:rPr>
        <w:t xml:space="preserve"> and the procedure stipulated in the Directive (unless a particular provision in the Directive is not applicable)</w:t>
      </w:r>
      <w:r w:rsidRPr="00946A2D">
        <w:rPr>
          <w:i/>
          <w:iCs/>
        </w:rPr>
        <w:t>)</w:t>
      </w:r>
      <w:r w:rsidR="00917069" w:rsidRPr="00946A2D">
        <w:t>.</w:t>
      </w:r>
    </w:p>
    <w:p w14:paraId="3480F92E" w14:textId="52E42AB5" w:rsidR="00124C92" w:rsidRDefault="00124C92" w:rsidP="00870A5A">
      <w:pPr>
        <w:rPr>
          <w:b/>
          <w:bCs/>
        </w:rPr>
      </w:pPr>
    </w:p>
    <w:p w14:paraId="16474928" w14:textId="2C96CC83" w:rsidR="00124C92" w:rsidRPr="00A737DA" w:rsidRDefault="00124C92" w:rsidP="00870A5A">
      <w:pPr>
        <w:rPr>
          <w:b/>
          <w:bCs/>
        </w:rPr>
      </w:pPr>
      <w:r>
        <w:rPr>
          <w:b/>
          <w:bCs/>
        </w:rPr>
        <w:t>Introduction</w:t>
      </w:r>
    </w:p>
    <w:p w14:paraId="179232D3" w14:textId="77777777" w:rsidR="00A54613" w:rsidRDefault="00A54613" w:rsidP="00870A5A"/>
    <w:p w14:paraId="136D7374" w14:textId="1775C6E3" w:rsidR="002952D8" w:rsidRDefault="00337B45" w:rsidP="00337B45">
      <w:pPr>
        <w:pStyle w:val="NUM1"/>
        <w:numPr>
          <w:ilvl w:val="0"/>
          <w:numId w:val="0"/>
        </w:numPr>
        <w:tabs>
          <w:tab w:val="left" w:pos="567"/>
        </w:tabs>
        <w:ind w:left="567" w:hanging="567"/>
      </w:pPr>
      <w:r>
        <w:rPr>
          <w:caps/>
        </w:rPr>
        <w:t>[1]</w:t>
      </w:r>
      <w:r>
        <w:rPr>
          <w:caps/>
        </w:rPr>
        <w:tab/>
      </w:r>
      <w:r w:rsidR="002952D8">
        <w:t>This matter c</w:t>
      </w:r>
      <w:r w:rsidR="00E070E4">
        <w:t>ame</w:t>
      </w:r>
      <w:r w:rsidR="002952D8">
        <w:t xml:space="preserve"> before me from the Commercial Court as a civil trial.</w:t>
      </w:r>
      <w:r w:rsidR="00D2296B">
        <w:t xml:space="preserve"> </w:t>
      </w:r>
    </w:p>
    <w:p w14:paraId="25BB5CC2" w14:textId="77777777" w:rsidR="002952D8" w:rsidRPr="002952D8" w:rsidRDefault="002952D8" w:rsidP="002952D8"/>
    <w:p w14:paraId="09C9C38F" w14:textId="2607E1FF" w:rsidR="002952D8" w:rsidRDefault="00337B45" w:rsidP="00337B45">
      <w:pPr>
        <w:pStyle w:val="NUM1"/>
        <w:numPr>
          <w:ilvl w:val="0"/>
          <w:numId w:val="0"/>
        </w:numPr>
        <w:tabs>
          <w:tab w:val="left" w:pos="567"/>
        </w:tabs>
        <w:ind w:left="567" w:hanging="567"/>
      </w:pPr>
      <w:r>
        <w:rPr>
          <w:caps/>
        </w:rPr>
        <w:t>[2]</w:t>
      </w:r>
      <w:r>
        <w:rPr>
          <w:caps/>
        </w:rPr>
        <w:tab/>
      </w:r>
      <w:r w:rsidR="002952D8">
        <w:t xml:space="preserve">On </w:t>
      </w:r>
      <w:r w:rsidR="008705F2">
        <w:t>19 November 2020</w:t>
      </w:r>
      <w:r w:rsidR="002952D8">
        <w:t>, the</w:t>
      </w:r>
      <w:r w:rsidR="00DD66DB">
        <w:t xml:space="preserve"> learned</w:t>
      </w:r>
      <w:r w:rsidR="002952D8">
        <w:t xml:space="preserve"> case management judge certified this matter as trial ready.</w:t>
      </w:r>
      <w:r w:rsidR="00F20E7A">
        <w:t xml:space="preserve"> </w:t>
      </w:r>
      <w:r w:rsidR="002952D8">
        <w:t xml:space="preserve"> But the matter was not r</w:t>
      </w:r>
      <w:r w:rsidR="009401CF">
        <w:t>ipe</w:t>
      </w:r>
      <w:r w:rsidR="002952D8">
        <w:t xml:space="preserve"> for trial.</w:t>
      </w:r>
      <w:r w:rsidR="008705F2">
        <w:t xml:space="preserve"> </w:t>
      </w:r>
    </w:p>
    <w:p w14:paraId="4FFA972A" w14:textId="77777777" w:rsidR="00BB0F90" w:rsidRPr="00BB0F90" w:rsidRDefault="00BB0F90" w:rsidP="00F20E7A">
      <w:pPr>
        <w:tabs>
          <w:tab w:val="num" w:pos="567"/>
        </w:tabs>
        <w:ind w:left="567" w:hanging="567"/>
      </w:pPr>
    </w:p>
    <w:p w14:paraId="379B0E71" w14:textId="6F6C3A5D" w:rsidR="00F67D61" w:rsidRDefault="00337B45" w:rsidP="00337B45">
      <w:pPr>
        <w:pStyle w:val="NUM1"/>
        <w:numPr>
          <w:ilvl w:val="0"/>
          <w:numId w:val="0"/>
        </w:numPr>
        <w:tabs>
          <w:tab w:val="left" w:pos="567"/>
        </w:tabs>
        <w:ind w:left="567" w:hanging="567"/>
      </w:pPr>
      <w:r>
        <w:rPr>
          <w:caps/>
        </w:rPr>
        <w:t>[3]</w:t>
      </w:r>
      <w:r>
        <w:rPr>
          <w:caps/>
        </w:rPr>
        <w:tab/>
      </w:r>
      <w:r w:rsidR="00AC38F4">
        <w:t xml:space="preserve">This judgment </w:t>
      </w:r>
      <w:r w:rsidR="00124C92">
        <w:t>is occasioned, therefore,</w:t>
      </w:r>
      <w:r w:rsidR="00AC38F4">
        <w:t xml:space="preserve"> </w:t>
      </w:r>
      <w:r w:rsidR="00124C92">
        <w:t>by</w:t>
      </w:r>
      <w:r w:rsidR="00AC38F4">
        <w:t xml:space="preserve"> a</w:t>
      </w:r>
      <w:r w:rsidR="009401CF">
        <w:t xml:space="preserve"> postponement</w:t>
      </w:r>
      <w:r w:rsidR="00AC38F4">
        <w:t xml:space="preserve"> application at the behest of the defendant. </w:t>
      </w:r>
      <w:r w:rsidR="00872944">
        <w:t xml:space="preserve"> </w:t>
      </w:r>
      <w:r w:rsidR="00AC38F4">
        <w:t>Succinctly stated, the defendant is not ready to proceed to trial, either on the action as a whole, or on the issue he raises in his special plea.</w:t>
      </w:r>
      <w:r w:rsidR="00D2296B">
        <w:t xml:space="preserve"> </w:t>
      </w:r>
    </w:p>
    <w:p w14:paraId="211C216E" w14:textId="77777777" w:rsidR="00B166CD" w:rsidRPr="00B166CD" w:rsidRDefault="00B166CD" w:rsidP="00F20E7A">
      <w:pPr>
        <w:tabs>
          <w:tab w:val="num" w:pos="567"/>
        </w:tabs>
        <w:ind w:left="567" w:hanging="567"/>
      </w:pPr>
    </w:p>
    <w:p w14:paraId="42172A37" w14:textId="0329A359" w:rsidR="00BB0F90" w:rsidRDefault="00337B45" w:rsidP="00337B45">
      <w:pPr>
        <w:pStyle w:val="NUM1"/>
        <w:numPr>
          <w:ilvl w:val="0"/>
          <w:numId w:val="0"/>
        </w:numPr>
        <w:tabs>
          <w:tab w:val="left" w:pos="567"/>
        </w:tabs>
        <w:ind w:left="567" w:hanging="567"/>
      </w:pPr>
      <w:r>
        <w:rPr>
          <w:caps/>
        </w:rPr>
        <w:lastRenderedPageBreak/>
        <w:t>[4]</w:t>
      </w:r>
      <w:r>
        <w:rPr>
          <w:caps/>
        </w:rPr>
        <w:tab/>
      </w:r>
      <w:r w:rsidR="00AC38F4">
        <w:t xml:space="preserve">The facts giving rise to the postponement application are not contentious. </w:t>
      </w:r>
    </w:p>
    <w:p w14:paraId="3B2208B7" w14:textId="77777777" w:rsidR="00BB0F90" w:rsidRPr="00BB0F90" w:rsidRDefault="00BB0F90" w:rsidP="00F20E7A">
      <w:pPr>
        <w:tabs>
          <w:tab w:val="num" w:pos="567"/>
        </w:tabs>
        <w:ind w:left="567" w:hanging="567"/>
      </w:pPr>
    </w:p>
    <w:p w14:paraId="284EABEC" w14:textId="707CE9FE" w:rsidR="00BB0F90" w:rsidRDefault="00337B45" w:rsidP="00337B45">
      <w:pPr>
        <w:pStyle w:val="NUM1"/>
        <w:numPr>
          <w:ilvl w:val="0"/>
          <w:numId w:val="0"/>
        </w:numPr>
        <w:tabs>
          <w:tab w:val="left" w:pos="567"/>
        </w:tabs>
        <w:ind w:left="567" w:hanging="567"/>
      </w:pPr>
      <w:r>
        <w:rPr>
          <w:caps/>
        </w:rPr>
        <w:t>[5]</w:t>
      </w:r>
      <w:r>
        <w:rPr>
          <w:caps/>
        </w:rPr>
        <w:tab/>
      </w:r>
      <w:r w:rsidR="00BB0F90">
        <w:t xml:space="preserve">On 26 April 2022, the plaintiff’s attorneys applied for the allocation of a trial date. </w:t>
      </w:r>
    </w:p>
    <w:p w14:paraId="71054BE5" w14:textId="77777777" w:rsidR="00BB0F90" w:rsidRPr="00BB0F90" w:rsidRDefault="00BB0F90" w:rsidP="00BB0F90"/>
    <w:p w14:paraId="619F2611" w14:textId="688FD21F" w:rsidR="00BB0F90" w:rsidRDefault="00337B45" w:rsidP="00337B45">
      <w:pPr>
        <w:pStyle w:val="NUM1"/>
        <w:numPr>
          <w:ilvl w:val="0"/>
          <w:numId w:val="0"/>
        </w:numPr>
        <w:tabs>
          <w:tab w:val="left" w:pos="567"/>
        </w:tabs>
        <w:ind w:left="567" w:hanging="567"/>
      </w:pPr>
      <w:r>
        <w:rPr>
          <w:caps/>
        </w:rPr>
        <w:t>[6]</w:t>
      </w:r>
      <w:r>
        <w:rPr>
          <w:caps/>
        </w:rPr>
        <w:tab/>
      </w:r>
      <w:r w:rsidR="00BB0F90">
        <w:t>The trial date of 3 October 2022 was allocated in or during the beginning of May</w:t>
      </w:r>
      <w:r w:rsidR="003607DD">
        <w:t> </w:t>
      </w:r>
      <w:r w:rsidR="00BB0F90">
        <w:t>2022</w:t>
      </w:r>
      <w:r w:rsidR="008C3557">
        <w:t>,</w:t>
      </w:r>
      <w:r w:rsidR="00BB0F90">
        <w:t xml:space="preserve"> and a notice of set down was delivered by the plaintiff’s attorneys on 5</w:t>
      </w:r>
      <w:r w:rsidR="008C3557">
        <w:t> </w:t>
      </w:r>
      <w:r w:rsidR="00BB0F90">
        <w:t>May 2022.</w:t>
      </w:r>
      <w:r w:rsidR="008C3557">
        <w:t xml:space="preserve"> </w:t>
      </w:r>
    </w:p>
    <w:p w14:paraId="674F2083" w14:textId="77777777" w:rsidR="00BB0F90" w:rsidRDefault="00BB0F90" w:rsidP="00872944">
      <w:pPr>
        <w:pStyle w:val="NUM1"/>
        <w:numPr>
          <w:ilvl w:val="0"/>
          <w:numId w:val="0"/>
        </w:numPr>
        <w:tabs>
          <w:tab w:val="num" w:pos="567"/>
        </w:tabs>
        <w:ind w:left="567" w:hanging="567"/>
      </w:pPr>
    </w:p>
    <w:p w14:paraId="70CCD75A" w14:textId="13BD8479" w:rsidR="008705F2" w:rsidRDefault="00337B45" w:rsidP="00337B45">
      <w:pPr>
        <w:pStyle w:val="NUM1"/>
        <w:numPr>
          <w:ilvl w:val="0"/>
          <w:numId w:val="0"/>
        </w:numPr>
        <w:tabs>
          <w:tab w:val="left" w:pos="567"/>
        </w:tabs>
        <w:ind w:left="567" w:hanging="567"/>
      </w:pPr>
      <w:r>
        <w:rPr>
          <w:caps/>
        </w:rPr>
        <w:t>[7]</w:t>
      </w:r>
      <w:r>
        <w:rPr>
          <w:caps/>
        </w:rPr>
        <w:tab/>
      </w:r>
      <w:r w:rsidR="00AC38F4">
        <w:t xml:space="preserve">At the beginning of July 2022, the defendant </w:t>
      </w:r>
      <w:r w:rsidR="00BB0F90">
        <w:t>appointed</w:t>
      </w:r>
      <w:r w:rsidR="00AC38F4">
        <w:t xml:space="preserve"> Messrs </w:t>
      </w:r>
      <w:r w:rsidR="00AC38F4" w:rsidRPr="00AC38F4">
        <w:t xml:space="preserve">Otto Krause </w:t>
      </w:r>
      <w:r w:rsidR="00AC38F4">
        <w:t xml:space="preserve">Inc </w:t>
      </w:r>
      <w:r w:rsidR="00BB0F90">
        <w:t>as his attorneys</w:t>
      </w:r>
      <w:r w:rsidR="00AC38F4">
        <w:t>.</w:t>
      </w:r>
      <w:r w:rsidR="00930C26">
        <w:t xml:space="preserve"> </w:t>
      </w:r>
      <w:r w:rsidR="00AC38F4">
        <w:t xml:space="preserve"> At the time of their appointment, the defendant provided </w:t>
      </w:r>
      <w:r w:rsidR="00AC38F4" w:rsidRPr="00AC38F4">
        <w:t xml:space="preserve">Otto Krause </w:t>
      </w:r>
      <w:r w:rsidR="00AC38F4">
        <w:t xml:space="preserve">Inc with such documents as he had in his possession. </w:t>
      </w:r>
    </w:p>
    <w:p w14:paraId="154D952C" w14:textId="77777777" w:rsidR="008705F2" w:rsidRPr="008705F2" w:rsidRDefault="008705F2" w:rsidP="008705F2"/>
    <w:p w14:paraId="651EB8F9" w14:textId="16BE0B20" w:rsidR="00870A5A" w:rsidRDefault="00337B45" w:rsidP="00337B45">
      <w:pPr>
        <w:pStyle w:val="NUM1"/>
        <w:numPr>
          <w:ilvl w:val="0"/>
          <w:numId w:val="0"/>
        </w:numPr>
        <w:tabs>
          <w:tab w:val="left" w:pos="567"/>
        </w:tabs>
        <w:ind w:left="567" w:hanging="567"/>
      </w:pPr>
      <w:r>
        <w:rPr>
          <w:caps/>
        </w:rPr>
        <w:t>[8]</w:t>
      </w:r>
      <w:r>
        <w:rPr>
          <w:caps/>
        </w:rPr>
        <w:tab/>
      </w:r>
      <w:r w:rsidR="00AC38F4">
        <w:t>By 18 July</w:t>
      </w:r>
      <w:r w:rsidR="008F2E6C">
        <w:t xml:space="preserve"> </w:t>
      </w:r>
      <w:r w:rsidR="00AC38F4">
        <w:t xml:space="preserve">2022, </w:t>
      </w:r>
      <w:r w:rsidR="00AC38F4" w:rsidRPr="00AC38F4">
        <w:t xml:space="preserve">Otto Krause </w:t>
      </w:r>
      <w:r w:rsidR="00AC38F4">
        <w:t xml:space="preserve">Inc found themselves in the position that they would not be ready to proceed with the trial in this action on 3 October 2022. </w:t>
      </w:r>
      <w:r w:rsidR="00930C26">
        <w:t xml:space="preserve"> </w:t>
      </w:r>
      <w:r w:rsidR="00AC38F4">
        <w:t>On that date, a letter was dispatched to the plaintiff's attorneys requesting that the action be postponed for the following reasons:</w:t>
      </w:r>
      <w:r w:rsidR="00930C26">
        <w:t xml:space="preserve"> </w:t>
      </w:r>
    </w:p>
    <w:p w14:paraId="3210E11F" w14:textId="73BC93D4" w:rsidR="00A54613" w:rsidRDefault="00A54613" w:rsidP="00A54613"/>
    <w:p w14:paraId="248033CA" w14:textId="4873D1A1" w:rsidR="00AC38F4" w:rsidRPr="008A0C37" w:rsidRDefault="008F113A" w:rsidP="00D2296B">
      <w:pPr>
        <w:tabs>
          <w:tab w:val="left" w:pos="1418"/>
        </w:tabs>
        <w:spacing w:line="360" w:lineRule="auto"/>
        <w:ind w:left="1418" w:hanging="851"/>
        <w:rPr>
          <w:sz w:val="20"/>
          <w:szCs w:val="20"/>
        </w:rPr>
      </w:pPr>
      <w:r>
        <w:rPr>
          <w:sz w:val="20"/>
          <w:szCs w:val="20"/>
        </w:rPr>
        <w:t>"</w:t>
      </w:r>
      <w:r w:rsidR="00AC38F4" w:rsidRPr="008A0C37">
        <w:rPr>
          <w:sz w:val="20"/>
          <w:szCs w:val="20"/>
        </w:rPr>
        <w:t>5.</w:t>
      </w:r>
      <w:r w:rsidR="00D2296B">
        <w:rPr>
          <w:sz w:val="20"/>
          <w:szCs w:val="20"/>
        </w:rPr>
        <w:t xml:space="preserve"> </w:t>
      </w:r>
      <w:r w:rsidR="00AC38F4" w:rsidRPr="008A0C37">
        <w:rPr>
          <w:sz w:val="20"/>
          <w:szCs w:val="20"/>
        </w:rPr>
        <w:tab/>
        <w:t xml:space="preserve">In short … we record that it is our understanding that the matter is set down for trial </w:t>
      </w:r>
      <w:r w:rsidR="00FB37E4" w:rsidRPr="008A0C37">
        <w:rPr>
          <w:sz w:val="20"/>
          <w:szCs w:val="20"/>
        </w:rPr>
        <w:t>for 4 October</w:t>
      </w:r>
      <w:r w:rsidR="00372578">
        <w:rPr>
          <w:sz w:val="20"/>
          <w:szCs w:val="20"/>
        </w:rPr>
        <w:t xml:space="preserve"> </w:t>
      </w:r>
      <w:r w:rsidR="00FB37E4" w:rsidRPr="008A0C37">
        <w:rPr>
          <w:sz w:val="20"/>
          <w:szCs w:val="20"/>
        </w:rPr>
        <w:t>2022, our client for a long period did not have the benefit of legal representation and that our client seeks postponement of the matter for the reasons as are more fully set out hereunder.</w:t>
      </w:r>
      <w:r w:rsidR="00D2296B">
        <w:rPr>
          <w:sz w:val="20"/>
          <w:szCs w:val="20"/>
        </w:rPr>
        <w:t xml:space="preserve"> </w:t>
      </w:r>
    </w:p>
    <w:p w14:paraId="20C6EAE5" w14:textId="0A2E0EEA" w:rsidR="00FB37E4" w:rsidRPr="008A0C37" w:rsidRDefault="00FB37E4" w:rsidP="00D2296B">
      <w:pPr>
        <w:tabs>
          <w:tab w:val="left" w:pos="1418"/>
        </w:tabs>
        <w:spacing w:line="360" w:lineRule="auto"/>
        <w:ind w:left="1418" w:hanging="851"/>
        <w:rPr>
          <w:sz w:val="20"/>
          <w:szCs w:val="20"/>
        </w:rPr>
      </w:pPr>
    </w:p>
    <w:p w14:paraId="23FED192" w14:textId="6A98B34A" w:rsidR="00FB37E4" w:rsidRPr="008A0C37" w:rsidRDefault="00FB37E4" w:rsidP="00D2296B">
      <w:pPr>
        <w:tabs>
          <w:tab w:val="left" w:pos="1418"/>
        </w:tabs>
        <w:spacing w:line="360" w:lineRule="auto"/>
        <w:ind w:left="1418" w:hanging="851"/>
        <w:rPr>
          <w:sz w:val="20"/>
          <w:szCs w:val="20"/>
        </w:rPr>
      </w:pPr>
      <w:r w:rsidRPr="008A0C37">
        <w:rPr>
          <w:sz w:val="20"/>
          <w:szCs w:val="20"/>
        </w:rPr>
        <w:t>6.</w:t>
      </w:r>
      <w:r w:rsidR="00D2296B">
        <w:rPr>
          <w:sz w:val="20"/>
          <w:szCs w:val="20"/>
        </w:rPr>
        <w:t xml:space="preserve"> </w:t>
      </w:r>
      <w:r w:rsidRPr="008A0C37">
        <w:rPr>
          <w:sz w:val="20"/>
          <w:szCs w:val="20"/>
        </w:rPr>
        <w:tab/>
        <w:t>Our clients [</w:t>
      </w:r>
      <w:r w:rsidRPr="008837F2">
        <w:rPr>
          <w:i/>
          <w:sz w:val="20"/>
          <w:szCs w:val="20"/>
        </w:rPr>
        <w:t>sic</w:t>
      </w:r>
      <w:r w:rsidRPr="008A0C37">
        <w:rPr>
          <w:sz w:val="20"/>
          <w:szCs w:val="20"/>
        </w:rPr>
        <w:t xml:space="preserve">] position remains at the basis of the suretyship that your client is attempting to enforce against him is for the contractual obligations contained in the surety document itself. </w:t>
      </w:r>
      <w:r w:rsidR="00D2296B">
        <w:rPr>
          <w:sz w:val="20"/>
          <w:szCs w:val="20"/>
        </w:rPr>
        <w:t xml:space="preserve"> </w:t>
      </w:r>
      <w:r w:rsidRPr="008A0C37">
        <w:rPr>
          <w:sz w:val="20"/>
          <w:szCs w:val="20"/>
        </w:rPr>
        <w:t>This our client contends is incorrect because the correct construct of a suretyship should rather be that any liability of our client under the suretyship should arise from the principal's debtors [</w:t>
      </w:r>
      <w:r w:rsidRPr="008837F2">
        <w:rPr>
          <w:i/>
          <w:sz w:val="20"/>
          <w:szCs w:val="20"/>
        </w:rPr>
        <w:t>sic</w:t>
      </w:r>
      <w:r w:rsidRPr="008A0C37">
        <w:rPr>
          <w:sz w:val="20"/>
          <w:szCs w:val="20"/>
        </w:rPr>
        <w:t>] breach of the contract.</w:t>
      </w:r>
      <w:r w:rsidR="00D2296B">
        <w:rPr>
          <w:sz w:val="20"/>
          <w:szCs w:val="20"/>
        </w:rPr>
        <w:t xml:space="preserve"> </w:t>
      </w:r>
    </w:p>
    <w:p w14:paraId="308350B2" w14:textId="38BB7DA1" w:rsidR="00FB37E4" w:rsidRPr="008A0C37" w:rsidRDefault="00FB37E4" w:rsidP="00D2296B">
      <w:pPr>
        <w:tabs>
          <w:tab w:val="left" w:pos="1418"/>
        </w:tabs>
        <w:spacing w:line="360" w:lineRule="auto"/>
        <w:ind w:left="1418" w:hanging="851"/>
        <w:rPr>
          <w:sz w:val="20"/>
          <w:szCs w:val="20"/>
        </w:rPr>
      </w:pPr>
    </w:p>
    <w:p w14:paraId="0BCF4F7A" w14:textId="0B377BE5" w:rsidR="00FB37E4" w:rsidRPr="008A0C37" w:rsidRDefault="00FB37E4" w:rsidP="00D2296B">
      <w:pPr>
        <w:tabs>
          <w:tab w:val="left" w:pos="1418"/>
        </w:tabs>
        <w:spacing w:line="360" w:lineRule="auto"/>
        <w:ind w:left="1418" w:hanging="851"/>
        <w:rPr>
          <w:sz w:val="20"/>
          <w:szCs w:val="20"/>
        </w:rPr>
      </w:pPr>
      <w:r w:rsidRPr="008A0C37">
        <w:rPr>
          <w:sz w:val="20"/>
          <w:szCs w:val="20"/>
        </w:rPr>
        <w:t>7.</w:t>
      </w:r>
      <w:r w:rsidR="00D2296B">
        <w:rPr>
          <w:sz w:val="20"/>
          <w:szCs w:val="20"/>
        </w:rPr>
        <w:t xml:space="preserve"> </w:t>
      </w:r>
      <w:r w:rsidRPr="008A0C37">
        <w:rPr>
          <w:sz w:val="20"/>
          <w:szCs w:val="20"/>
        </w:rPr>
        <w:tab/>
        <w:t xml:space="preserve">In this regard we would appreciate it if you would favourably consider this request for a postponement </w:t>
      </w:r>
      <w:r w:rsidRPr="008837F2">
        <w:rPr>
          <w:i/>
          <w:sz w:val="20"/>
          <w:szCs w:val="20"/>
        </w:rPr>
        <w:t>sine die</w:t>
      </w:r>
      <w:r w:rsidRPr="008A0C37">
        <w:rPr>
          <w:sz w:val="20"/>
          <w:szCs w:val="20"/>
        </w:rPr>
        <w:t xml:space="preserve"> and after careful consideration of the following:</w:t>
      </w:r>
      <w:r w:rsidR="00D2296B">
        <w:rPr>
          <w:sz w:val="20"/>
          <w:szCs w:val="20"/>
        </w:rPr>
        <w:t xml:space="preserve"> </w:t>
      </w:r>
    </w:p>
    <w:p w14:paraId="6E4435F4" w14:textId="49D6C21C" w:rsidR="00FB37E4" w:rsidRPr="008A0C37" w:rsidRDefault="00FB37E4" w:rsidP="008A0C37">
      <w:pPr>
        <w:tabs>
          <w:tab w:val="left" w:pos="1134"/>
          <w:tab w:val="left" w:pos="1985"/>
        </w:tabs>
        <w:spacing w:line="360" w:lineRule="auto"/>
        <w:ind w:left="1985" w:hanging="851"/>
        <w:rPr>
          <w:sz w:val="20"/>
          <w:szCs w:val="20"/>
        </w:rPr>
      </w:pPr>
    </w:p>
    <w:p w14:paraId="4EE17860" w14:textId="2A0E17A3" w:rsidR="00FB37E4" w:rsidRPr="008A0C37" w:rsidRDefault="00FB37E4" w:rsidP="00D2296B">
      <w:pPr>
        <w:tabs>
          <w:tab w:val="left" w:pos="2268"/>
        </w:tabs>
        <w:spacing w:line="360" w:lineRule="auto"/>
        <w:ind w:left="2268" w:hanging="850"/>
        <w:rPr>
          <w:sz w:val="20"/>
          <w:szCs w:val="20"/>
        </w:rPr>
      </w:pPr>
      <w:r w:rsidRPr="008A0C37">
        <w:rPr>
          <w:sz w:val="20"/>
          <w:szCs w:val="20"/>
        </w:rPr>
        <w:t>7.1</w:t>
      </w:r>
      <w:r w:rsidR="00D2296B">
        <w:rPr>
          <w:sz w:val="20"/>
          <w:szCs w:val="20"/>
        </w:rPr>
        <w:t xml:space="preserve"> </w:t>
      </w:r>
      <w:r w:rsidRPr="008A0C37">
        <w:rPr>
          <w:sz w:val="20"/>
          <w:szCs w:val="20"/>
        </w:rPr>
        <w:tab/>
        <w:t>during the hearing of the matter, a clear distinction was going to be drawn between:</w:t>
      </w:r>
    </w:p>
    <w:p w14:paraId="4C48FE72" w14:textId="27564238" w:rsidR="00FB37E4" w:rsidRPr="008A0C37" w:rsidRDefault="00FB37E4" w:rsidP="008A0C37">
      <w:pPr>
        <w:tabs>
          <w:tab w:val="left" w:pos="1134"/>
          <w:tab w:val="left" w:pos="1985"/>
          <w:tab w:val="left" w:pos="2835"/>
        </w:tabs>
        <w:spacing w:line="360" w:lineRule="auto"/>
        <w:ind w:left="2835" w:hanging="850"/>
        <w:rPr>
          <w:sz w:val="20"/>
          <w:szCs w:val="20"/>
        </w:rPr>
      </w:pPr>
    </w:p>
    <w:p w14:paraId="333719EA" w14:textId="49E2DC0A" w:rsidR="00FB37E4" w:rsidRPr="008A0C37" w:rsidRDefault="00FB37E4" w:rsidP="00D2296B">
      <w:pPr>
        <w:tabs>
          <w:tab w:val="left" w:pos="3119"/>
        </w:tabs>
        <w:spacing w:line="360" w:lineRule="auto"/>
        <w:ind w:left="3119" w:hanging="851"/>
        <w:rPr>
          <w:sz w:val="20"/>
          <w:szCs w:val="20"/>
        </w:rPr>
      </w:pPr>
      <w:r w:rsidRPr="008A0C37">
        <w:rPr>
          <w:sz w:val="20"/>
          <w:szCs w:val="20"/>
        </w:rPr>
        <w:t>7.1.1</w:t>
      </w:r>
      <w:r w:rsidR="00D2296B">
        <w:rPr>
          <w:sz w:val="20"/>
          <w:szCs w:val="20"/>
        </w:rPr>
        <w:t xml:space="preserve"> </w:t>
      </w:r>
      <w:r w:rsidRPr="008A0C37">
        <w:rPr>
          <w:sz w:val="20"/>
          <w:szCs w:val="20"/>
        </w:rPr>
        <w:tab/>
        <w:t>the obligation which arises from the principal debtor's breach of contract, that being the principal obligation that the surety document offers security for</w:t>
      </w:r>
      <w:r w:rsidR="00D2296B">
        <w:rPr>
          <w:sz w:val="20"/>
          <w:szCs w:val="20"/>
        </w:rPr>
        <w:t>;</w:t>
      </w:r>
      <w:r w:rsidRPr="008A0C37">
        <w:rPr>
          <w:sz w:val="20"/>
          <w:szCs w:val="20"/>
        </w:rPr>
        <w:t xml:space="preserve"> and</w:t>
      </w:r>
      <w:r w:rsidR="00D2296B">
        <w:rPr>
          <w:sz w:val="20"/>
          <w:szCs w:val="20"/>
        </w:rPr>
        <w:t xml:space="preserve"> </w:t>
      </w:r>
    </w:p>
    <w:p w14:paraId="34318987" w14:textId="6B75DB87" w:rsidR="009F29A7" w:rsidRPr="008A0C37" w:rsidRDefault="009F29A7" w:rsidP="00D2296B">
      <w:pPr>
        <w:tabs>
          <w:tab w:val="left" w:pos="3119"/>
        </w:tabs>
        <w:spacing w:line="360" w:lineRule="auto"/>
        <w:ind w:left="3119" w:hanging="851"/>
        <w:rPr>
          <w:sz w:val="20"/>
          <w:szCs w:val="20"/>
        </w:rPr>
      </w:pPr>
    </w:p>
    <w:p w14:paraId="2373C1EE" w14:textId="1F203C42" w:rsidR="009F29A7" w:rsidRPr="008A0C37" w:rsidRDefault="009F29A7" w:rsidP="00D2296B">
      <w:pPr>
        <w:tabs>
          <w:tab w:val="left" w:pos="3119"/>
        </w:tabs>
        <w:spacing w:line="360" w:lineRule="auto"/>
        <w:ind w:left="3119" w:hanging="851"/>
        <w:rPr>
          <w:sz w:val="20"/>
          <w:szCs w:val="20"/>
        </w:rPr>
      </w:pPr>
      <w:r w:rsidRPr="008A0C37">
        <w:rPr>
          <w:sz w:val="20"/>
          <w:szCs w:val="20"/>
        </w:rPr>
        <w:t>7.1.2</w:t>
      </w:r>
      <w:r w:rsidR="00D2296B">
        <w:rPr>
          <w:sz w:val="20"/>
          <w:szCs w:val="20"/>
        </w:rPr>
        <w:t xml:space="preserve"> </w:t>
      </w:r>
      <w:r w:rsidRPr="008A0C37">
        <w:rPr>
          <w:sz w:val="20"/>
          <w:szCs w:val="20"/>
        </w:rPr>
        <w:tab/>
        <w:t>the contractual debt itself</w:t>
      </w:r>
      <w:r w:rsidR="0048218C">
        <w:rPr>
          <w:sz w:val="20"/>
          <w:szCs w:val="20"/>
        </w:rPr>
        <w:t>,</w:t>
      </w:r>
      <w:r w:rsidRPr="008A0C37">
        <w:rPr>
          <w:sz w:val="20"/>
          <w:szCs w:val="20"/>
        </w:rPr>
        <w:t xml:space="preserve"> i.e. the surety document, which is in fact a secondary legal obligation, and attached to your clients' [</w:t>
      </w:r>
      <w:r w:rsidRPr="008837F2">
        <w:rPr>
          <w:i/>
          <w:sz w:val="20"/>
          <w:szCs w:val="20"/>
        </w:rPr>
        <w:t>sic</w:t>
      </w:r>
      <w:r w:rsidRPr="008A0C37">
        <w:rPr>
          <w:sz w:val="20"/>
          <w:szCs w:val="20"/>
        </w:rPr>
        <w:t xml:space="preserve">] particulars of claim as </w:t>
      </w:r>
      <w:r w:rsidR="008F113A">
        <w:rPr>
          <w:sz w:val="20"/>
          <w:szCs w:val="20"/>
        </w:rPr>
        <w:t>"</w:t>
      </w:r>
      <w:r w:rsidRPr="008A0C37">
        <w:rPr>
          <w:sz w:val="20"/>
          <w:szCs w:val="20"/>
        </w:rPr>
        <w:t>L5</w:t>
      </w:r>
      <w:r w:rsidR="008F113A">
        <w:rPr>
          <w:sz w:val="20"/>
          <w:szCs w:val="20"/>
        </w:rPr>
        <w:t>"</w:t>
      </w:r>
      <w:r w:rsidRPr="008A0C37">
        <w:rPr>
          <w:sz w:val="20"/>
          <w:szCs w:val="20"/>
        </w:rPr>
        <w:t>.</w:t>
      </w:r>
      <w:r w:rsidR="00D2296B">
        <w:rPr>
          <w:sz w:val="20"/>
          <w:szCs w:val="20"/>
        </w:rPr>
        <w:t xml:space="preserve"> </w:t>
      </w:r>
    </w:p>
    <w:p w14:paraId="25844DB5" w14:textId="77777777" w:rsidR="009F29A7" w:rsidRPr="008A0C37" w:rsidRDefault="009F29A7" w:rsidP="008A0C37">
      <w:pPr>
        <w:tabs>
          <w:tab w:val="left" w:pos="1134"/>
          <w:tab w:val="left" w:pos="1985"/>
          <w:tab w:val="left" w:pos="2835"/>
          <w:tab w:val="left" w:pos="3686"/>
        </w:tabs>
        <w:spacing w:line="360" w:lineRule="auto"/>
        <w:ind w:left="3686" w:hanging="851"/>
        <w:rPr>
          <w:sz w:val="20"/>
          <w:szCs w:val="20"/>
        </w:rPr>
      </w:pPr>
    </w:p>
    <w:p w14:paraId="51FAD888" w14:textId="4E393C9C" w:rsidR="009F29A7" w:rsidRPr="008A0C37" w:rsidRDefault="009F29A7" w:rsidP="00D2296B">
      <w:pPr>
        <w:tabs>
          <w:tab w:val="left" w:pos="1418"/>
        </w:tabs>
        <w:spacing w:line="360" w:lineRule="auto"/>
        <w:ind w:left="1418" w:hanging="851"/>
        <w:rPr>
          <w:sz w:val="20"/>
          <w:szCs w:val="20"/>
        </w:rPr>
      </w:pPr>
      <w:r w:rsidRPr="008A0C37">
        <w:rPr>
          <w:sz w:val="20"/>
          <w:szCs w:val="20"/>
        </w:rPr>
        <w:t>8.</w:t>
      </w:r>
      <w:r w:rsidRPr="008A0C37">
        <w:rPr>
          <w:sz w:val="20"/>
          <w:szCs w:val="20"/>
        </w:rPr>
        <w:tab/>
        <w:t>The matter in broad terms therefore clearly relates to a written contract of surety and the remedies available to a surety under such circumstances.</w:t>
      </w:r>
      <w:r w:rsidR="00D2296B">
        <w:rPr>
          <w:sz w:val="20"/>
          <w:szCs w:val="20"/>
        </w:rPr>
        <w:t xml:space="preserve"> </w:t>
      </w:r>
      <w:r w:rsidRPr="008A0C37">
        <w:rPr>
          <w:sz w:val="20"/>
          <w:szCs w:val="20"/>
        </w:rPr>
        <w:t xml:space="preserve"> In this regard it is trite that the obligation between a creditor and a surety is the same as that of the obligation between the creditor and the principal debtor.</w:t>
      </w:r>
      <w:r w:rsidR="00D2296B">
        <w:rPr>
          <w:sz w:val="20"/>
          <w:szCs w:val="20"/>
        </w:rPr>
        <w:t xml:space="preserve"> </w:t>
      </w:r>
    </w:p>
    <w:p w14:paraId="48434F45" w14:textId="5944F13E" w:rsidR="009F29A7" w:rsidRPr="008A0C37" w:rsidRDefault="009F29A7" w:rsidP="008A0C37">
      <w:pPr>
        <w:tabs>
          <w:tab w:val="left" w:pos="1134"/>
          <w:tab w:val="left" w:pos="1985"/>
        </w:tabs>
        <w:spacing w:line="360" w:lineRule="auto"/>
        <w:ind w:left="1985" w:hanging="851"/>
        <w:rPr>
          <w:sz w:val="20"/>
          <w:szCs w:val="20"/>
        </w:rPr>
      </w:pPr>
    </w:p>
    <w:p w14:paraId="44E7B5EF" w14:textId="5EE77FA1" w:rsidR="009F29A7" w:rsidRPr="008A0C37" w:rsidRDefault="009F29A7" w:rsidP="00DB3D5D">
      <w:pPr>
        <w:tabs>
          <w:tab w:val="left" w:pos="1418"/>
        </w:tabs>
        <w:spacing w:line="360" w:lineRule="auto"/>
        <w:ind w:left="1418" w:hanging="851"/>
        <w:rPr>
          <w:sz w:val="20"/>
          <w:szCs w:val="20"/>
        </w:rPr>
      </w:pPr>
      <w:r w:rsidRPr="008A0C37">
        <w:rPr>
          <w:sz w:val="20"/>
          <w:szCs w:val="20"/>
        </w:rPr>
        <w:t>9.</w:t>
      </w:r>
      <w:r w:rsidR="00D12EAC">
        <w:rPr>
          <w:sz w:val="20"/>
          <w:szCs w:val="20"/>
        </w:rPr>
        <w:t xml:space="preserve"> </w:t>
      </w:r>
      <w:r w:rsidRPr="008A0C37">
        <w:rPr>
          <w:sz w:val="20"/>
          <w:szCs w:val="20"/>
        </w:rPr>
        <w:tab/>
        <w:t>It has always been our client's contention that the contractual debt is contrived because of the historic certification that was merely repeated later to complete your clients [</w:t>
      </w:r>
      <w:r w:rsidRPr="008837F2">
        <w:rPr>
          <w:i/>
          <w:sz w:val="20"/>
          <w:szCs w:val="20"/>
        </w:rPr>
        <w:t>sic</w:t>
      </w:r>
      <w:r w:rsidRPr="008A0C37">
        <w:rPr>
          <w:sz w:val="20"/>
          <w:szCs w:val="20"/>
        </w:rPr>
        <w:t xml:space="preserve">] cause of action. </w:t>
      </w:r>
      <w:r w:rsidR="00DB3D5D">
        <w:rPr>
          <w:sz w:val="20"/>
          <w:szCs w:val="20"/>
        </w:rPr>
        <w:t xml:space="preserve"> </w:t>
      </w:r>
      <w:r w:rsidRPr="008A0C37">
        <w:rPr>
          <w:sz w:val="20"/>
          <w:szCs w:val="20"/>
        </w:rPr>
        <w:t>Our client remains steadfast on this point as well as the resulting prescription argument.</w:t>
      </w:r>
      <w:r w:rsidR="00DB3D5D">
        <w:rPr>
          <w:sz w:val="20"/>
          <w:szCs w:val="20"/>
        </w:rPr>
        <w:t xml:space="preserve"> </w:t>
      </w:r>
    </w:p>
    <w:p w14:paraId="6CF73CA0" w14:textId="63DDB6BE" w:rsidR="009F29A7" w:rsidRPr="008A0C37" w:rsidRDefault="009F29A7" w:rsidP="00DB3D5D">
      <w:pPr>
        <w:tabs>
          <w:tab w:val="left" w:pos="1418"/>
        </w:tabs>
        <w:spacing w:line="360" w:lineRule="auto"/>
        <w:ind w:left="1418" w:hanging="851"/>
        <w:rPr>
          <w:sz w:val="20"/>
          <w:szCs w:val="20"/>
        </w:rPr>
      </w:pPr>
    </w:p>
    <w:p w14:paraId="4BB87129" w14:textId="2454B83B" w:rsidR="009F29A7" w:rsidRPr="008A0C37" w:rsidRDefault="009F29A7" w:rsidP="00DB3D5D">
      <w:pPr>
        <w:tabs>
          <w:tab w:val="left" w:pos="1418"/>
        </w:tabs>
        <w:spacing w:line="360" w:lineRule="auto"/>
        <w:ind w:left="1418" w:hanging="851"/>
        <w:rPr>
          <w:sz w:val="20"/>
          <w:szCs w:val="20"/>
        </w:rPr>
      </w:pPr>
      <w:r w:rsidRPr="008A0C37">
        <w:rPr>
          <w:sz w:val="20"/>
          <w:szCs w:val="20"/>
        </w:rPr>
        <w:t>10.</w:t>
      </w:r>
      <w:r w:rsidR="00D12EAC">
        <w:rPr>
          <w:sz w:val="20"/>
          <w:szCs w:val="20"/>
        </w:rPr>
        <w:t xml:space="preserve"> </w:t>
      </w:r>
      <w:r w:rsidRPr="008A0C37">
        <w:rPr>
          <w:sz w:val="20"/>
          <w:szCs w:val="20"/>
        </w:rPr>
        <w:tab/>
        <w:t>Moreover, there was never any primary obligation between our respective clients or any performance obligation on our client.</w:t>
      </w:r>
      <w:r w:rsidR="00DB3D5D">
        <w:rPr>
          <w:sz w:val="20"/>
          <w:szCs w:val="20"/>
        </w:rPr>
        <w:t xml:space="preserve"> </w:t>
      </w:r>
      <w:r w:rsidRPr="008A0C37">
        <w:rPr>
          <w:sz w:val="20"/>
          <w:szCs w:val="20"/>
        </w:rPr>
        <w:t xml:space="preserve"> Therefore, our clients [</w:t>
      </w:r>
      <w:r w:rsidRPr="008837F2">
        <w:rPr>
          <w:i/>
          <w:sz w:val="20"/>
          <w:szCs w:val="20"/>
        </w:rPr>
        <w:t>sic</w:t>
      </w:r>
      <w:r w:rsidRPr="008A0C37">
        <w:rPr>
          <w:sz w:val="20"/>
          <w:szCs w:val="20"/>
        </w:rPr>
        <w:t>] position remains that any obligation that he may have towards your client is the result of the obligation which arises from the principal debtors [</w:t>
      </w:r>
      <w:r w:rsidRPr="008837F2">
        <w:rPr>
          <w:i/>
          <w:sz w:val="20"/>
          <w:szCs w:val="20"/>
        </w:rPr>
        <w:t>sic</w:t>
      </w:r>
      <w:r w:rsidRPr="008A0C37">
        <w:rPr>
          <w:sz w:val="20"/>
          <w:szCs w:val="20"/>
        </w:rPr>
        <w:t>] alleged breach of the contract, which necessitated the payments by your client as a result of the guarantees that it issued.</w:t>
      </w:r>
      <w:r w:rsidR="00DB3D5D">
        <w:rPr>
          <w:sz w:val="20"/>
          <w:szCs w:val="20"/>
        </w:rPr>
        <w:t xml:space="preserve"> </w:t>
      </w:r>
    </w:p>
    <w:p w14:paraId="5BCC2C93" w14:textId="42D6DCF1" w:rsidR="009F29A7" w:rsidRPr="008A0C37" w:rsidRDefault="009F29A7" w:rsidP="00DB3D5D">
      <w:pPr>
        <w:tabs>
          <w:tab w:val="left" w:pos="1418"/>
        </w:tabs>
        <w:spacing w:line="360" w:lineRule="auto"/>
        <w:ind w:left="1418" w:hanging="851"/>
        <w:rPr>
          <w:sz w:val="20"/>
          <w:szCs w:val="20"/>
        </w:rPr>
      </w:pPr>
    </w:p>
    <w:p w14:paraId="47E6E5B6" w14:textId="32B47489" w:rsidR="009F29A7" w:rsidRPr="008A0C37" w:rsidRDefault="009F29A7" w:rsidP="00DB3D5D">
      <w:pPr>
        <w:tabs>
          <w:tab w:val="left" w:pos="1418"/>
        </w:tabs>
        <w:spacing w:line="360" w:lineRule="auto"/>
        <w:ind w:left="1418" w:hanging="851"/>
        <w:rPr>
          <w:sz w:val="20"/>
          <w:szCs w:val="20"/>
        </w:rPr>
      </w:pPr>
      <w:r w:rsidRPr="008A0C37">
        <w:rPr>
          <w:sz w:val="20"/>
          <w:szCs w:val="20"/>
        </w:rPr>
        <w:t>11.</w:t>
      </w:r>
      <w:r w:rsidR="00D12EAC">
        <w:rPr>
          <w:sz w:val="20"/>
          <w:szCs w:val="20"/>
        </w:rPr>
        <w:t xml:space="preserve"> </w:t>
      </w:r>
      <w:r w:rsidRPr="008A0C37">
        <w:rPr>
          <w:sz w:val="20"/>
          <w:szCs w:val="20"/>
        </w:rPr>
        <w:tab/>
        <w:t>The furtherance of the matter on 4 October 2022 will consequently be dependant on a proper and full investigation of the principal debtors [</w:t>
      </w:r>
      <w:r w:rsidRPr="008837F2">
        <w:rPr>
          <w:i/>
          <w:sz w:val="20"/>
          <w:szCs w:val="20"/>
        </w:rPr>
        <w:t>sic</w:t>
      </w:r>
      <w:r w:rsidRPr="008A0C37">
        <w:rPr>
          <w:sz w:val="20"/>
          <w:szCs w:val="20"/>
        </w:rPr>
        <w:t xml:space="preserve">] alleged breach of contract (the primary obligation) and not the secondary contractual debt </w:t>
      </w:r>
      <w:r w:rsidR="0095329B" w:rsidRPr="008A0C37">
        <w:rPr>
          <w:sz w:val="20"/>
          <w:szCs w:val="20"/>
        </w:rPr>
        <w:t>itself, i.e. the surety document.</w:t>
      </w:r>
      <w:r w:rsidR="0048218C">
        <w:rPr>
          <w:sz w:val="20"/>
          <w:szCs w:val="20"/>
        </w:rPr>
        <w:t xml:space="preserve"> </w:t>
      </w:r>
    </w:p>
    <w:p w14:paraId="36272F61" w14:textId="18517269" w:rsidR="0095329B" w:rsidRPr="008A0C37" w:rsidRDefault="0095329B" w:rsidP="008A0C37">
      <w:pPr>
        <w:tabs>
          <w:tab w:val="left" w:pos="1134"/>
          <w:tab w:val="left" w:pos="1985"/>
        </w:tabs>
        <w:spacing w:line="360" w:lineRule="auto"/>
        <w:ind w:left="1985" w:hanging="851"/>
        <w:rPr>
          <w:sz w:val="20"/>
          <w:szCs w:val="20"/>
        </w:rPr>
      </w:pPr>
    </w:p>
    <w:p w14:paraId="079ED547" w14:textId="4FE78D53" w:rsidR="0095329B" w:rsidRPr="008A0C37" w:rsidRDefault="0095329B" w:rsidP="00F2046D">
      <w:pPr>
        <w:tabs>
          <w:tab w:val="left" w:pos="1418"/>
        </w:tabs>
        <w:spacing w:line="360" w:lineRule="auto"/>
        <w:ind w:left="1418" w:hanging="851"/>
        <w:rPr>
          <w:sz w:val="20"/>
          <w:szCs w:val="20"/>
        </w:rPr>
      </w:pPr>
      <w:r w:rsidRPr="008A0C37">
        <w:rPr>
          <w:sz w:val="20"/>
          <w:szCs w:val="20"/>
        </w:rPr>
        <w:t>12.</w:t>
      </w:r>
      <w:r w:rsidR="00D12EAC">
        <w:rPr>
          <w:sz w:val="20"/>
          <w:szCs w:val="20"/>
        </w:rPr>
        <w:t xml:space="preserve"> </w:t>
      </w:r>
      <w:r w:rsidRPr="008A0C37">
        <w:rPr>
          <w:sz w:val="20"/>
          <w:szCs w:val="20"/>
        </w:rPr>
        <w:tab/>
        <w:t>We respectfully submit that you will agree that if the surety document created a primary obligation, your client would for instance have the right to call on our client to fulfil the contract obligations of the primary debtor by for instance seeking specific performance of its obligations.</w:t>
      </w:r>
      <w:r w:rsidR="00F2046D">
        <w:rPr>
          <w:sz w:val="20"/>
          <w:szCs w:val="20"/>
        </w:rPr>
        <w:t xml:space="preserve"> </w:t>
      </w:r>
      <w:r w:rsidRPr="008A0C37">
        <w:rPr>
          <w:sz w:val="20"/>
          <w:szCs w:val="20"/>
        </w:rPr>
        <w:t xml:space="preserve"> Obviously, this is not your client's position in that it only seeks enforcement of the secondary obligation, i.e. the suretyship.</w:t>
      </w:r>
      <w:r w:rsidR="00F2046D">
        <w:rPr>
          <w:sz w:val="20"/>
          <w:szCs w:val="20"/>
        </w:rPr>
        <w:t xml:space="preserve"> </w:t>
      </w:r>
    </w:p>
    <w:p w14:paraId="3CB91CF6" w14:textId="2498CCF4" w:rsidR="0095329B" w:rsidRPr="008A0C37" w:rsidRDefault="0095329B" w:rsidP="00F2046D">
      <w:pPr>
        <w:tabs>
          <w:tab w:val="left" w:pos="1418"/>
        </w:tabs>
        <w:spacing w:line="360" w:lineRule="auto"/>
        <w:ind w:left="1418" w:hanging="851"/>
        <w:rPr>
          <w:sz w:val="20"/>
          <w:szCs w:val="20"/>
        </w:rPr>
      </w:pPr>
    </w:p>
    <w:p w14:paraId="14FB8057" w14:textId="1B443BFD" w:rsidR="0095329B" w:rsidRPr="008A0C37" w:rsidRDefault="0095329B" w:rsidP="00F2046D">
      <w:pPr>
        <w:tabs>
          <w:tab w:val="left" w:pos="1418"/>
        </w:tabs>
        <w:spacing w:line="360" w:lineRule="auto"/>
        <w:ind w:left="1418" w:hanging="851"/>
        <w:rPr>
          <w:sz w:val="20"/>
          <w:szCs w:val="20"/>
        </w:rPr>
      </w:pPr>
      <w:r w:rsidRPr="008A0C37">
        <w:rPr>
          <w:sz w:val="20"/>
          <w:szCs w:val="20"/>
        </w:rPr>
        <w:lastRenderedPageBreak/>
        <w:t>13.</w:t>
      </w:r>
      <w:r w:rsidR="00D12EAC">
        <w:rPr>
          <w:sz w:val="20"/>
          <w:szCs w:val="20"/>
        </w:rPr>
        <w:t xml:space="preserve"> </w:t>
      </w:r>
      <w:r w:rsidRPr="008A0C37">
        <w:rPr>
          <w:sz w:val="20"/>
          <w:szCs w:val="20"/>
        </w:rPr>
        <w:tab/>
        <w:t xml:space="preserve">It is further trite that a surety normally becomes enforceable as soon as the principal debtor is in default. </w:t>
      </w:r>
      <w:r w:rsidR="00C45467">
        <w:rPr>
          <w:sz w:val="20"/>
          <w:szCs w:val="20"/>
        </w:rPr>
        <w:t xml:space="preserve"> </w:t>
      </w:r>
      <w:r w:rsidRPr="008A0C37">
        <w:rPr>
          <w:sz w:val="20"/>
          <w:szCs w:val="20"/>
        </w:rPr>
        <w:t xml:space="preserve">Moreover, </w:t>
      </w:r>
      <w:r w:rsidRPr="008837F2">
        <w:rPr>
          <w:i/>
          <w:sz w:val="20"/>
          <w:szCs w:val="20"/>
        </w:rPr>
        <w:t>ex facie</w:t>
      </w:r>
      <w:r w:rsidRPr="008A0C37">
        <w:rPr>
          <w:sz w:val="20"/>
          <w:szCs w:val="20"/>
        </w:rPr>
        <w:t xml:space="preserve"> the document attached as </w:t>
      </w:r>
      <w:r w:rsidR="008F113A">
        <w:rPr>
          <w:sz w:val="20"/>
          <w:szCs w:val="20"/>
        </w:rPr>
        <w:t>"</w:t>
      </w:r>
      <w:r w:rsidRPr="008A0C37">
        <w:rPr>
          <w:sz w:val="20"/>
          <w:szCs w:val="20"/>
        </w:rPr>
        <w:t>L5</w:t>
      </w:r>
      <w:r w:rsidR="008F113A">
        <w:rPr>
          <w:sz w:val="20"/>
          <w:szCs w:val="20"/>
        </w:rPr>
        <w:t>"</w:t>
      </w:r>
      <w:r w:rsidRPr="008A0C37">
        <w:rPr>
          <w:sz w:val="20"/>
          <w:szCs w:val="20"/>
        </w:rPr>
        <w:t xml:space="preserve"> to the particulars of claim, it is alleged that our client found himself as co</w:t>
      </w:r>
      <w:r w:rsidRPr="008A0C37">
        <w:rPr>
          <w:sz w:val="20"/>
          <w:szCs w:val="20"/>
        </w:rPr>
        <w:noBreakHyphen/>
        <w:t xml:space="preserve">principal debtor jointly and severally with MDM. </w:t>
      </w:r>
      <w:r w:rsidR="00C45467">
        <w:rPr>
          <w:sz w:val="20"/>
          <w:szCs w:val="20"/>
        </w:rPr>
        <w:t xml:space="preserve"> </w:t>
      </w:r>
      <w:r w:rsidRPr="008A0C37">
        <w:rPr>
          <w:sz w:val="20"/>
          <w:szCs w:val="20"/>
        </w:rPr>
        <w:t>Consequently, any liability of our client becomes enforceable at the same time as MDM (the principal debtor) was in default.</w:t>
      </w:r>
      <w:r w:rsidR="00C45467">
        <w:rPr>
          <w:sz w:val="20"/>
          <w:szCs w:val="20"/>
        </w:rPr>
        <w:t xml:space="preserve"> </w:t>
      </w:r>
    </w:p>
    <w:p w14:paraId="7A805C76" w14:textId="29680C3C" w:rsidR="0095329B" w:rsidRPr="008A0C37" w:rsidRDefault="0095329B" w:rsidP="00F2046D">
      <w:pPr>
        <w:tabs>
          <w:tab w:val="left" w:pos="1418"/>
        </w:tabs>
        <w:spacing w:line="360" w:lineRule="auto"/>
        <w:ind w:left="1418" w:hanging="851"/>
        <w:rPr>
          <w:sz w:val="20"/>
          <w:szCs w:val="20"/>
        </w:rPr>
      </w:pPr>
    </w:p>
    <w:p w14:paraId="17AA2CE5" w14:textId="23BE274A" w:rsidR="0095329B" w:rsidRPr="008A0C37" w:rsidRDefault="0095329B" w:rsidP="00F2046D">
      <w:pPr>
        <w:tabs>
          <w:tab w:val="left" w:pos="1418"/>
        </w:tabs>
        <w:spacing w:line="360" w:lineRule="auto"/>
        <w:ind w:left="1418" w:hanging="851"/>
        <w:rPr>
          <w:sz w:val="20"/>
          <w:szCs w:val="20"/>
        </w:rPr>
      </w:pPr>
      <w:r w:rsidRPr="008A0C37">
        <w:rPr>
          <w:sz w:val="20"/>
          <w:szCs w:val="20"/>
        </w:rPr>
        <w:t>14.</w:t>
      </w:r>
      <w:r w:rsidR="00D12EAC">
        <w:rPr>
          <w:sz w:val="20"/>
          <w:szCs w:val="20"/>
        </w:rPr>
        <w:t xml:space="preserve"> </w:t>
      </w:r>
      <w:r w:rsidRPr="008A0C37">
        <w:rPr>
          <w:sz w:val="20"/>
          <w:szCs w:val="20"/>
        </w:rPr>
        <w:tab/>
        <w:t xml:space="preserve">There have now been numerous matters that commenced in the South Gauteng High Court (Johannesburg) that dealt at length with the questions of the alleged default of MDM in the Loulo Project in Mali. </w:t>
      </w:r>
      <w:r w:rsidR="00C45467">
        <w:rPr>
          <w:sz w:val="20"/>
          <w:szCs w:val="20"/>
        </w:rPr>
        <w:t xml:space="preserve"> </w:t>
      </w:r>
      <w:r w:rsidRPr="008A0C37">
        <w:rPr>
          <w:sz w:val="20"/>
          <w:szCs w:val="20"/>
        </w:rPr>
        <w:t xml:space="preserve">See for instance in this regard: </w:t>
      </w:r>
    </w:p>
    <w:p w14:paraId="1A7791DE" w14:textId="77777777" w:rsidR="006B5262" w:rsidRDefault="006B5262" w:rsidP="00E22979">
      <w:pPr>
        <w:tabs>
          <w:tab w:val="left" w:pos="2268"/>
          <w:tab w:val="left" w:pos="3969"/>
          <w:tab w:val="left" w:pos="5103"/>
          <w:tab w:val="left" w:pos="6237"/>
        </w:tabs>
        <w:spacing w:line="360" w:lineRule="auto"/>
        <w:ind w:left="2268" w:hanging="850"/>
        <w:rPr>
          <w:sz w:val="20"/>
          <w:szCs w:val="20"/>
        </w:rPr>
      </w:pPr>
    </w:p>
    <w:p w14:paraId="4533163B" w14:textId="5D04C146" w:rsidR="0095329B" w:rsidRPr="008A0C37" w:rsidRDefault="00AA5739" w:rsidP="00E22979">
      <w:pPr>
        <w:tabs>
          <w:tab w:val="left" w:pos="2268"/>
          <w:tab w:val="left" w:pos="3969"/>
          <w:tab w:val="left" w:pos="5103"/>
          <w:tab w:val="left" w:pos="6237"/>
        </w:tabs>
        <w:spacing w:line="360" w:lineRule="auto"/>
        <w:ind w:left="2268" w:hanging="850"/>
        <w:rPr>
          <w:sz w:val="20"/>
          <w:szCs w:val="20"/>
        </w:rPr>
      </w:pPr>
      <w:r w:rsidRPr="008A0C37">
        <w:rPr>
          <w:sz w:val="20"/>
          <w:szCs w:val="20"/>
        </w:rPr>
        <w:t>14.1.1</w:t>
      </w:r>
      <w:r w:rsidR="00D12EAC">
        <w:rPr>
          <w:sz w:val="20"/>
          <w:szCs w:val="20"/>
        </w:rPr>
        <w:t xml:space="preserve"> </w:t>
      </w:r>
      <w:r w:rsidRPr="008A0C37">
        <w:rPr>
          <w:sz w:val="20"/>
          <w:szCs w:val="20"/>
        </w:rPr>
        <w:tab/>
        <w:t xml:space="preserve">Case Number: </w:t>
      </w:r>
      <w:r w:rsidRPr="008A0C37">
        <w:rPr>
          <w:sz w:val="20"/>
          <w:szCs w:val="20"/>
        </w:rPr>
        <w:tab/>
        <w:t>2006</w:t>
      </w:r>
      <w:r w:rsidR="00762502">
        <w:rPr>
          <w:sz w:val="20"/>
          <w:szCs w:val="20"/>
        </w:rPr>
        <w:t xml:space="preserve"> </w:t>
      </w:r>
      <w:r w:rsidRPr="008A0C37">
        <w:rPr>
          <w:sz w:val="20"/>
          <w:szCs w:val="20"/>
        </w:rPr>
        <w:tab/>
        <w:t>06/3034</w:t>
      </w:r>
      <w:r w:rsidR="003507E2">
        <w:rPr>
          <w:sz w:val="20"/>
          <w:szCs w:val="20"/>
        </w:rPr>
        <w:t>;</w:t>
      </w:r>
      <w:r w:rsidR="00E22979">
        <w:rPr>
          <w:sz w:val="20"/>
          <w:szCs w:val="20"/>
        </w:rPr>
        <w:t xml:space="preserve"> </w:t>
      </w:r>
    </w:p>
    <w:p w14:paraId="7969C146" w14:textId="69288221" w:rsidR="00AA5739" w:rsidRPr="008A0C37" w:rsidRDefault="00AA5739" w:rsidP="00E22979">
      <w:pPr>
        <w:tabs>
          <w:tab w:val="left" w:pos="2268"/>
          <w:tab w:val="left" w:pos="3969"/>
          <w:tab w:val="left" w:pos="5103"/>
          <w:tab w:val="left" w:pos="6237"/>
        </w:tabs>
        <w:spacing w:line="360" w:lineRule="auto"/>
        <w:ind w:left="2268" w:hanging="850"/>
        <w:rPr>
          <w:sz w:val="20"/>
          <w:szCs w:val="20"/>
        </w:rPr>
      </w:pPr>
    </w:p>
    <w:p w14:paraId="521514D0" w14:textId="778D71DF" w:rsidR="00AA5739" w:rsidRPr="008A0C37" w:rsidRDefault="00AA5739" w:rsidP="00E22979">
      <w:pPr>
        <w:tabs>
          <w:tab w:val="left" w:pos="2268"/>
          <w:tab w:val="left" w:pos="3969"/>
          <w:tab w:val="left" w:pos="5103"/>
          <w:tab w:val="left" w:pos="6237"/>
        </w:tabs>
        <w:spacing w:line="360" w:lineRule="auto"/>
        <w:ind w:left="2268" w:hanging="850"/>
        <w:rPr>
          <w:sz w:val="20"/>
          <w:szCs w:val="20"/>
        </w:rPr>
      </w:pPr>
      <w:r w:rsidRPr="008A0C37">
        <w:rPr>
          <w:sz w:val="20"/>
          <w:szCs w:val="20"/>
        </w:rPr>
        <w:t>14.1.2</w:t>
      </w:r>
      <w:r w:rsidR="00D12EAC">
        <w:rPr>
          <w:sz w:val="20"/>
          <w:szCs w:val="20"/>
        </w:rPr>
        <w:t xml:space="preserve"> </w:t>
      </w:r>
      <w:r w:rsidRPr="008A0C37">
        <w:rPr>
          <w:sz w:val="20"/>
          <w:szCs w:val="20"/>
        </w:rPr>
        <w:tab/>
        <w:t>Case Number:</w:t>
      </w:r>
      <w:r w:rsidR="00FB4460">
        <w:rPr>
          <w:sz w:val="20"/>
          <w:szCs w:val="20"/>
        </w:rPr>
        <w:t xml:space="preserve"> </w:t>
      </w:r>
      <w:r w:rsidRPr="008A0C37">
        <w:rPr>
          <w:sz w:val="20"/>
          <w:szCs w:val="20"/>
        </w:rPr>
        <w:tab/>
        <w:t>2006</w:t>
      </w:r>
      <w:r w:rsidR="00762502">
        <w:rPr>
          <w:sz w:val="20"/>
          <w:szCs w:val="20"/>
        </w:rPr>
        <w:t xml:space="preserve"> </w:t>
      </w:r>
      <w:r w:rsidRPr="008A0C37">
        <w:rPr>
          <w:sz w:val="20"/>
          <w:szCs w:val="20"/>
        </w:rPr>
        <w:tab/>
        <w:t>06/6507</w:t>
      </w:r>
      <w:r w:rsidR="003507E2">
        <w:rPr>
          <w:sz w:val="20"/>
          <w:szCs w:val="20"/>
        </w:rPr>
        <w:t>;</w:t>
      </w:r>
      <w:r w:rsidR="00E22979">
        <w:rPr>
          <w:sz w:val="20"/>
          <w:szCs w:val="20"/>
        </w:rPr>
        <w:t xml:space="preserve"> </w:t>
      </w:r>
    </w:p>
    <w:p w14:paraId="3CA42EBE" w14:textId="01A213CE" w:rsidR="00AA5739" w:rsidRPr="008A0C37" w:rsidRDefault="00AA5739" w:rsidP="00E22979">
      <w:pPr>
        <w:tabs>
          <w:tab w:val="left" w:pos="2268"/>
          <w:tab w:val="left" w:pos="3969"/>
          <w:tab w:val="left" w:pos="5103"/>
          <w:tab w:val="left" w:pos="6237"/>
        </w:tabs>
        <w:spacing w:line="360" w:lineRule="auto"/>
        <w:ind w:left="2268" w:hanging="850"/>
        <w:rPr>
          <w:sz w:val="20"/>
          <w:szCs w:val="20"/>
        </w:rPr>
      </w:pPr>
    </w:p>
    <w:p w14:paraId="41DE8513" w14:textId="5A9510E4" w:rsidR="00AA5739" w:rsidRPr="008A0C37" w:rsidRDefault="00AA5739" w:rsidP="00E22979">
      <w:pPr>
        <w:tabs>
          <w:tab w:val="left" w:pos="2268"/>
          <w:tab w:val="left" w:pos="3969"/>
          <w:tab w:val="left" w:pos="5103"/>
          <w:tab w:val="left" w:pos="6237"/>
        </w:tabs>
        <w:spacing w:line="360" w:lineRule="auto"/>
        <w:ind w:left="2268" w:hanging="850"/>
        <w:rPr>
          <w:sz w:val="20"/>
          <w:szCs w:val="20"/>
        </w:rPr>
      </w:pPr>
      <w:r w:rsidRPr="008A0C37">
        <w:rPr>
          <w:sz w:val="20"/>
          <w:szCs w:val="20"/>
        </w:rPr>
        <w:t>14.1.3</w:t>
      </w:r>
      <w:r w:rsidR="00D12EAC">
        <w:rPr>
          <w:sz w:val="20"/>
          <w:szCs w:val="20"/>
        </w:rPr>
        <w:t xml:space="preserve"> </w:t>
      </w:r>
      <w:r w:rsidRPr="008A0C37">
        <w:rPr>
          <w:sz w:val="20"/>
          <w:szCs w:val="20"/>
        </w:rPr>
        <w:tab/>
        <w:t xml:space="preserve">Case Number: </w:t>
      </w:r>
      <w:r w:rsidRPr="008A0C37">
        <w:rPr>
          <w:sz w:val="20"/>
          <w:szCs w:val="20"/>
        </w:rPr>
        <w:tab/>
        <w:t>2008</w:t>
      </w:r>
      <w:r w:rsidR="00762502">
        <w:rPr>
          <w:sz w:val="20"/>
          <w:szCs w:val="20"/>
        </w:rPr>
        <w:t xml:space="preserve"> </w:t>
      </w:r>
      <w:r w:rsidRPr="008A0C37">
        <w:rPr>
          <w:sz w:val="20"/>
          <w:szCs w:val="20"/>
        </w:rPr>
        <w:tab/>
        <w:t>08/36671</w:t>
      </w:r>
      <w:r w:rsidR="003507E2">
        <w:rPr>
          <w:sz w:val="20"/>
          <w:szCs w:val="20"/>
        </w:rPr>
        <w:t>;</w:t>
      </w:r>
      <w:r w:rsidR="00E22979">
        <w:rPr>
          <w:sz w:val="20"/>
          <w:szCs w:val="20"/>
        </w:rPr>
        <w:t xml:space="preserve"> </w:t>
      </w:r>
    </w:p>
    <w:p w14:paraId="5E15C24E" w14:textId="03CC2380" w:rsidR="00AA5739" w:rsidRPr="008A0C37" w:rsidRDefault="00AA5739" w:rsidP="00E22979">
      <w:pPr>
        <w:tabs>
          <w:tab w:val="left" w:pos="2268"/>
          <w:tab w:val="left" w:pos="3969"/>
          <w:tab w:val="left" w:pos="5103"/>
          <w:tab w:val="left" w:pos="6237"/>
        </w:tabs>
        <w:spacing w:line="360" w:lineRule="auto"/>
        <w:ind w:left="2268" w:hanging="850"/>
        <w:rPr>
          <w:sz w:val="20"/>
          <w:szCs w:val="20"/>
        </w:rPr>
      </w:pPr>
    </w:p>
    <w:p w14:paraId="497A8DF6" w14:textId="23B5EBF9" w:rsidR="00AA5739" w:rsidRPr="008A0C37" w:rsidRDefault="00AA5739" w:rsidP="00E22979">
      <w:pPr>
        <w:tabs>
          <w:tab w:val="left" w:pos="2268"/>
          <w:tab w:val="left" w:pos="3969"/>
          <w:tab w:val="left" w:pos="5103"/>
          <w:tab w:val="left" w:pos="6237"/>
        </w:tabs>
        <w:spacing w:line="360" w:lineRule="auto"/>
        <w:ind w:left="2268" w:hanging="850"/>
        <w:rPr>
          <w:sz w:val="20"/>
          <w:szCs w:val="20"/>
        </w:rPr>
      </w:pPr>
      <w:r w:rsidRPr="008A0C37">
        <w:rPr>
          <w:sz w:val="20"/>
          <w:szCs w:val="20"/>
        </w:rPr>
        <w:t>14.1.4</w:t>
      </w:r>
      <w:r w:rsidR="00D12EAC">
        <w:rPr>
          <w:sz w:val="20"/>
          <w:szCs w:val="20"/>
        </w:rPr>
        <w:t xml:space="preserve"> </w:t>
      </w:r>
      <w:r w:rsidRPr="008A0C37">
        <w:rPr>
          <w:sz w:val="20"/>
          <w:szCs w:val="20"/>
        </w:rPr>
        <w:tab/>
        <w:t xml:space="preserve">Case Number: </w:t>
      </w:r>
      <w:r w:rsidRPr="008A0C37">
        <w:rPr>
          <w:sz w:val="20"/>
          <w:szCs w:val="20"/>
        </w:rPr>
        <w:tab/>
        <w:t>2011</w:t>
      </w:r>
      <w:r w:rsidR="00762502">
        <w:rPr>
          <w:sz w:val="20"/>
          <w:szCs w:val="20"/>
        </w:rPr>
        <w:t xml:space="preserve"> </w:t>
      </w:r>
      <w:r w:rsidRPr="008A0C37">
        <w:rPr>
          <w:sz w:val="20"/>
          <w:szCs w:val="20"/>
        </w:rPr>
        <w:tab/>
        <w:t>11/45553</w:t>
      </w:r>
      <w:r w:rsidR="003507E2">
        <w:rPr>
          <w:sz w:val="20"/>
          <w:szCs w:val="20"/>
        </w:rPr>
        <w:t>.</w:t>
      </w:r>
      <w:r w:rsidR="00E22979">
        <w:rPr>
          <w:sz w:val="20"/>
          <w:szCs w:val="20"/>
        </w:rPr>
        <w:t xml:space="preserve"> </w:t>
      </w:r>
    </w:p>
    <w:p w14:paraId="0D4B90E3" w14:textId="27020180" w:rsidR="00AA5739" w:rsidRPr="008A0C37" w:rsidRDefault="00AA5739" w:rsidP="008A0C37">
      <w:pPr>
        <w:tabs>
          <w:tab w:val="left" w:pos="1134"/>
          <w:tab w:val="left" w:pos="1985"/>
          <w:tab w:val="left" w:pos="2835"/>
          <w:tab w:val="left" w:pos="3686"/>
        </w:tabs>
        <w:spacing w:line="360" w:lineRule="auto"/>
        <w:ind w:left="2835" w:hanging="850"/>
        <w:rPr>
          <w:sz w:val="20"/>
          <w:szCs w:val="20"/>
        </w:rPr>
      </w:pPr>
    </w:p>
    <w:p w14:paraId="13004559" w14:textId="68AF0615" w:rsidR="00AA5739" w:rsidRPr="008A0C37" w:rsidRDefault="00AA5739" w:rsidP="00FB4460">
      <w:pPr>
        <w:tabs>
          <w:tab w:val="left" w:pos="1418"/>
        </w:tabs>
        <w:spacing w:line="360" w:lineRule="auto"/>
        <w:ind w:left="1418" w:hanging="851"/>
        <w:rPr>
          <w:sz w:val="20"/>
          <w:szCs w:val="20"/>
        </w:rPr>
      </w:pPr>
      <w:r w:rsidRPr="008A0C37">
        <w:rPr>
          <w:sz w:val="20"/>
          <w:szCs w:val="20"/>
        </w:rPr>
        <w:t>15.</w:t>
      </w:r>
      <w:r w:rsidR="00D12EAC">
        <w:rPr>
          <w:sz w:val="20"/>
          <w:szCs w:val="20"/>
        </w:rPr>
        <w:t xml:space="preserve"> </w:t>
      </w:r>
      <w:r w:rsidRPr="008A0C37">
        <w:rPr>
          <w:sz w:val="20"/>
          <w:szCs w:val="20"/>
        </w:rPr>
        <w:tab/>
        <w:t>None of these matters resulted in the final determination by the court on the date of the alleged default was or even whether MDM was ever in fact in default of its obligations.</w:t>
      </w:r>
      <w:r w:rsidR="00FB4460">
        <w:rPr>
          <w:sz w:val="20"/>
          <w:szCs w:val="20"/>
        </w:rPr>
        <w:t xml:space="preserve"> </w:t>
      </w:r>
    </w:p>
    <w:p w14:paraId="2E8A969C" w14:textId="15C09E4A" w:rsidR="00AA5739" w:rsidRPr="008A0C37" w:rsidRDefault="00AA5739" w:rsidP="00FB4460">
      <w:pPr>
        <w:tabs>
          <w:tab w:val="left" w:pos="1418"/>
        </w:tabs>
        <w:spacing w:line="360" w:lineRule="auto"/>
        <w:ind w:left="1418" w:hanging="851"/>
        <w:rPr>
          <w:sz w:val="20"/>
          <w:szCs w:val="20"/>
        </w:rPr>
      </w:pPr>
    </w:p>
    <w:p w14:paraId="19853887" w14:textId="1D8940E0" w:rsidR="00AA5739" w:rsidRPr="008A0C37" w:rsidRDefault="00AA5739" w:rsidP="00FB4460">
      <w:pPr>
        <w:tabs>
          <w:tab w:val="left" w:pos="1418"/>
        </w:tabs>
        <w:spacing w:line="360" w:lineRule="auto"/>
        <w:ind w:left="1418" w:hanging="851"/>
        <w:rPr>
          <w:sz w:val="20"/>
          <w:szCs w:val="20"/>
        </w:rPr>
      </w:pPr>
      <w:r w:rsidRPr="008A0C37">
        <w:rPr>
          <w:sz w:val="20"/>
          <w:szCs w:val="20"/>
        </w:rPr>
        <w:t>16.</w:t>
      </w:r>
      <w:r w:rsidR="00D12EAC">
        <w:rPr>
          <w:sz w:val="20"/>
          <w:szCs w:val="20"/>
        </w:rPr>
        <w:t xml:space="preserve"> </w:t>
      </w:r>
      <w:r w:rsidRPr="008A0C37">
        <w:rPr>
          <w:sz w:val="20"/>
          <w:szCs w:val="20"/>
        </w:rPr>
        <w:tab/>
        <w:t>We therefore respectfully submit that at the very least these cases point to the fact that the court hearing this matter will need to consider all the facts to determine the principal debtor [</w:t>
      </w:r>
      <w:r w:rsidRPr="008837F2">
        <w:rPr>
          <w:i/>
          <w:sz w:val="20"/>
          <w:szCs w:val="20"/>
        </w:rPr>
        <w:t>sic</w:t>
      </w:r>
      <w:r w:rsidRPr="008A0C37">
        <w:rPr>
          <w:sz w:val="20"/>
          <w:szCs w:val="20"/>
        </w:rPr>
        <w:t>] alleged default before it could ultimately decide on the obligation which arises from the principal debtor's breach of contract.</w:t>
      </w:r>
      <w:r w:rsidR="00FB4460">
        <w:rPr>
          <w:sz w:val="20"/>
          <w:szCs w:val="20"/>
        </w:rPr>
        <w:t xml:space="preserve"> </w:t>
      </w:r>
    </w:p>
    <w:p w14:paraId="02574DBC" w14:textId="3699AD7B" w:rsidR="00AA5739" w:rsidRPr="008A0C37" w:rsidRDefault="00AA5739" w:rsidP="00FB4460">
      <w:pPr>
        <w:tabs>
          <w:tab w:val="left" w:pos="1418"/>
        </w:tabs>
        <w:spacing w:line="360" w:lineRule="auto"/>
        <w:ind w:left="1418" w:hanging="851"/>
        <w:rPr>
          <w:sz w:val="20"/>
          <w:szCs w:val="20"/>
        </w:rPr>
      </w:pPr>
    </w:p>
    <w:p w14:paraId="40A1153C" w14:textId="0F9372EF" w:rsidR="00AA5739" w:rsidRDefault="00AA5739" w:rsidP="00FB4460">
      <w:pPr>
        <w:tabs>
          <w:tab w:val="left" w:pos="1418"/>
        </w:tabs>
        <w:spacing w:line="360" w:lineRule="auto"/>
        <w:ind w:left="1418" w:hanging="851"/>
        <w:rPr>
          <w:sz w:val="20"/>
          <w:szCs w:val="20"/>
        </w:rPr>
      </w:pPr>
      <w:r w:rsidRPr="008A0C37">
        <w:rPr>
          <w:sz w:val="20"/>
          <w:szCs w:val="20"/>
        </w:rPr>
        <w:t>17.</w:t>
      </w:r>
      <w:r w:rsidR="00D12EAC">
        <w:rPr>
          <w:sz w:val="20"/>
          <w:szCs w:val="20"/>
        </w:rPr>
        <w:t xml:space="preserve"> </w:t>
      </w:r>
      <w:r w:rsidRPr="008A0C37">
        <w:rPr>
          <w:sz w:val="20"/>
          <w:szCs w:val="20"/>
        </w:rPr>
        <w:tab/>
        <w:t xml:space="preserve">We speculate but imagine that this was one of the reasons why your client approached the court for separation of issues and in order to have the prescription issue and the question of default </w:t>
      </w:r>
      <w:r w:rsidR="008A0C37" w:rsidRPr="008A0C37">
        <w:rPr>
          <w:sz w:val="20"/>
          <w:szCs w:val="20"/>
        </w:rPr>
        <w:t xml:space="preserve">heard separately. </w:t>
      </w:r>
      <w:r w:rsidR="004C508E">
        <w:rPr>
          <w:sz w:val="20"/>
          <w:szCs w:val="20"/>
        </w:rPr>
        <w:t xml:space="preserve"> </w:t>
      </w:r>
      <w:r w:rsidR="008A0C37" w:rsidRPr="008A0C37">
        <w:rPr>
          <w:sz w:val="20"/>
          <w:szCs w:val="20"/>
        </w:rPr>
        <w:t xml:space="preserve">The ultimate failure of that application in the finding by Fischer J that </w:t>
      </w:r>
      <w:r w:rsidR="008F113A">
        <w:rPr>
          <w:sz w:val="20"/>
          <w:szCs w:val="20"/>
        </w:rPr>
        <w:t>"</w:t>
      </w:r>
      <w:r w:rsidR="0048218C">
        <w:rPr>
          <w:sz w:val="20"/>
          <w:szCs w:val="20"/>
        </w:rPr>
        <w:t> </w:t>
      </w:r>
      <w:r w:rsidR="008A0C37" w:rsidRPr="008A0C37">
        <w:rPr>
          <w:i/>
          <w:iCs/>
          <w:sz w:val="20"/>
          <w:szCs w:val="20"/>
        </w:rPr>
        <w:t>… a hearing</w:t>
      </w:r>
      <w:r w:rsidR="008A0C37">
        <w:rPr>
          <w:i/>
          <w:iCs/>
          <w:sz w:val="20"/>
          <w:szCs w:val="20"/>
        </w:rPr>
        <w:t xml:space="preserve"> of the entire factual complex will be beneficial if not necessary for a proper determination of the matter</w:t>
      </w:r>
      <w:r w:rsidR="008F113A">
        <w:rPr>
          <w:sz w:val="20"/>
          <w:szCs w:val="20"/>
        </w:rPr>
        <w:t>"</w:t>
      </w:r>
      <w:r w:rsidR="008A0C37">
        <w:rPr>
          <w:sz w:val="20"/>
          <w:szCs w:val="20"/>
        </w:rPr>
        <w:t xml:space="preserve">, supports our client's contention that a </w:t>
      </w:r>
      <w:r w:rsidR="008F113A">
        <w:rPr>
          <w:sz w:val="20"/>
          <w:szCs w:val="20"/>
        </w:rPr>
        <w:t>"</w:t>
      </w:r>
      <w:r w:rsidR="008A0C37">
        <w:rPr>
          <w:i/>
          <w:iCs/>
          <w:sz w:val="20"/>
          <w:szCs w:val="20"/>
        </w:rPr>
        <w:t>holistic ventilation</w:t>
      </w:r>
      <w:r w:rsidR="008F113A">
        <w:rPr>
          <w:sz w:val="20"/>
          <w:szCs w:val="20"/>
        </w:rPr>
        <w:t>"</w:t>
      </w:r>
      <w:r w:rsidR="008A0C37">
        <w:rPr>
          <w:sz w:val="20"/>
          <w:szCs w:val="20"/>
        </w:rPr>
        <w:t xml:space="preserve"> of all the issues is needed.</w:t>
      </w:r>
      <w:r w:rsidR="00FB4460">
        <w:rPr>
          <w:sz w:val="20"/>
          <w:szCs w:val="20"/>
        </w:rPr>
        <w:t xml:space="preserve"> </w:t>
      </w:r>
    </w:p>
    <w:p w14:paraId="23D74A7F" w14:textId="1551A243" w:rsidR="008A0C37" w:rsidRDefault="008A0C37" w:rsidP="008A0C37">
      <w:pPr>
        <w:tabs>
          <w:tab w:val="left" w:pos="1134"/>
          <w:tab w:val="left" w:pos="1985"/>
        </w:tabs>
        <w:spacing w:line="360" w:lineRule="auto"/>
        <w:ind w:left="1985" w:hanging="851"/>
        <w:rPr>
          <w:sz w:val="20"/>
          <w:szCs w:val="20"/>
        </w:rPr>
      </w:pPr>
    </w:p>
    <w:p w14:paraId="77CA99B0" w14:textId="6E6C4403" w:rsidR="008A0C37" w:rsidRDefault="008A0C37" w:rsidP="004C508E">
      <w:pPr>
        <w:tabs>
          <w:tab w:val="left" w:pos="1418"/>
        </w:tabs>
        <w:spacing w:line="360" w:lineRule="auto"/>
        <w:ind w:left="1418" w:hanging="851"/>
        <w:rPr>
          <w:sz w:val="20"/>
          <w:szCs w:val="20"/>
        </w:rPr>
      </w:pPr>
      <w:r>
        <w:rPr>
          <w:sz w:val="20"/>
          <w:szCs w:val="20"/>
        </w:rPr>
        <w:t>18.</w:t>
      </w:r>
      <w:r w:rsidR="00D12EAC">
        <w:rPr>
          <w:sz w:val="20"/>
          <w:szCs w:val="20"/>
        </w:rPr>
        <w:t xml:space="preserve"> </w:t>
      </w:r>
      <w:r>
        <w:rPr>
          <w:sz w:val="20"/>
          <w:szCs w:val="20"/>
        </w:rPr>
        <w:tab/>
        <w:t xml:space="preserve">In the current matter the alleged default of MDM will consequently play a central role in the final determination of the matter. </w:t>
      </w:r>
      <w:r w:rsidR="00951CA4">
        <w:rPr>
          <w:sz w:val="20"/>
          <w:szCs w:val="20"/>
        </w:rPr>
        <w:t xml:space="preserve"> </w:t>
      </w:r>
      <w:r>
        <w:rPr>
          <w:sz w:val="20"/>
          <w:szCs w:val="20"/>
        </w:rPr>
        <w:t>This is going to necessitate but not be limited to the leading of evidence on:</w:t>
      </w:r>
      <w:r w:rsidR="00FB4460">
        <w:rPr>
          <w:sz w:val="20"/>
          <w:szCs w:val="20"/>
        </w:rPr>
        <w:t xml:space="preserve"> </w:t>
      </w:r>
    </w:p>
    <w:p w14:paraId="0621FE72" w14:textId="0ABD4FC1" w:rsidR="008A0C37" w:rsidRDefault="008A0C37" w:rsidP="008A0C37">
      <w:pPr>
        <w:tabs>
          <w:tab w:val="left" w:pos="1134"/>
          <w:tab w:val="left" w:pos="1985"/>
        </w:tabs>
        <w:spacing w:line="360" w:lineRule="auto"/>
        <w:ind w:left="1985" w:hanging="851"/>
        <w:rPr>
          <w:sz w:val="20"/>
          <w:szCs w:val="20"/>
        </w:rPr>
      </w:pPr>
    </w:p>
    <w:p w14:paraId="1BA947F4" w14:textId="4A7A293D" w:rsidR="008A0C37" w:rsidRDefault="008A0C37" w:rsidP="002B044B">
      <w:pPr>
        <w:tabs>
          <w:tab w:val="left" w:pos="2268"/>
        </w:tabs>
        <w:spacing w:line="360" w:lineRule="auto"/>
        <w:ind w:left="2268" w:hanging="850"/>
        <w:rPr>
          <w:sz w:val="20"/>
          <w:szCs w:val="20"/>
        </w:rPr>
      </w:pPr>
      <w:r>
        <w:rPr>
          <w:sz w:val="20"/>
          <w:szCs w:val="20"/>
        </w:rPr>
        <w:t>18.1</w:t>
      </w:r>
      <w:r w:rsidR="00D12EAC">
        <w:rPr>
          <w:sz w:val="20"/>
          <w:szCs w:val="20"/>
        </w:rPr>
        <w:t xml:space="preserve"> </w:t>
      </w:r>
      <w:r>
        <w:rPr>
          <w:sz w:val="20"/>
          <w:szCs w:val="20"/>
        </w:rPr>
        <w:tab/>
        <w:t xml:space="preserve">the voluminous </w:t>
      </w:r>
      <w:r w:rsidRPr="008A0C37">
        <w:rPr>
          <w:sz w:val="20"/>
          <w:szCs w:val="20"/>
        </w:rPr>
        <w:t>Loulo Project in Mali</w:t>
      </w:r>
      <w:r>
        <w:rPr>
          <w:sz w:val="20"/>
          <w:szCs w:val="20"/>
        </w:rPr>
        <w:t xml:space="preserve"> contract;</w:t>
      </w:r>
      <w:r w:rsidR="00951CA4">
        <w:rPr>
          <w:sz w:val="20"/>
          <w:szCs w:val="20"/>
        </w:rPr>
        <w:t xml:space="preserve"> </w:t>
      </w:r>
    </w:p>
    <w:p w14:paraId="53E7A1F0" w14:textId="783C48C7" w:rsidR="008A0C37" w:rsidRDefault="008A0C37" w:rsidP="002B044B">
      <w:pPr>
        <w:tabs>
          <w:tab w:val="left" w:pos="2268"/>
        </w:tabs>
        <w:spacing w:line="360" w:lineRule="auto"/>
        <w:ind w:left="2268" w:hanging="850"/>
        <w:rPr>
          <w:sz w:val="20"/>
          <w:szCs w:val="20"/>
        </w:rPr>
      </w:pPr>
    </w:p>
    <w:p w14:paraId="3BC0FD45" w14:textId="4B8CF6A1" w:rsidR="008A0C37" w:rsidRDefault="008A0C37" w:rsidP="002B044B">
      <w:pPr>
        <w:tabs>
          <w:tab w:val="left" w:pos="2268"/>
        </w:tabs>
        <w:spacing w:line="360" w:lineRule="auto"/>
        <w:ind w:left="2268" w:hanging="850"/>
        <w:rPr>
          <w:sz w:val="20"/>
          <w:szCs w:val="20"/>
        </w:rPr>
      </w:pPr>
      <w:r>
        <w:rPr>
          <w:sz w:val="20"/>
          <w:szCs w:val="20"/>
        </w:rPr>
        <w:t>18.2</w:t>
      </w:r>
      <w:r w:rsidR="00D12EAC">
        <w:rPr>
          <w:sz w:val="20"/>
          <w:szCs w:val="20"/>
        </w:rPr>
        <w:t xml:space="preserve"> </w:t>
      </w:r>
      <w:r>
        <w:rPr>
          <w:sz w:val="20"/>
          <w:szCs w:val="20"/>
        </w:rPr>
        <w:tab/>
        <w:t>the certification by J Steel and his whole evidence in that regard;</w:t>
      </w:r>
      <w:r w:rsidR="00951CA4">
        <w:rPr>
          <w:sz w:val="20"/>
          <w:szCs w:val="20"/>
        </w:rPr>
        <w:t xml:space="preserve"> </w:t>
      </w:r>
    </w:p>
    <w:p w14:paraId="3A5A72A7" w14:textId="3AED4291" w:rsidR="008A0C37" w:rsidRDefault="008A0C37" w:rsidP="002B044B">
      <w:pPr>
        <w:tabs>
          <w:tab w:val="left" w:pos="2268"/>
        </w:tabs>
        <w:spacing w:line="360" w:lineRule="auto"/>
        <w:ind w:left="2268" w:hanging="850"/>
        <w:rPr>
          <w:sz w:val="20"/>
          <w:szCs w:val="20"/>
        </w:rPr>
      </w:pPr>
    </w:p>
    <w:p w14:paraId="3B1F7C9C" w14:textId="79DE66C9" w:rsidR="008A0C37" w:rsidRDefault="008A0C37" w:rsidP="002B044B">
      <w:pPr>
        <w:tabs>
          <w:tab w:val="left" w:pos="2268"/>
        </w:tabs>
        <w:spacing w:line="360" w:lineRule="auto"/>
        <w:ind w:left="2268" w:hanging="850"/>
        <w:rPr>
          <w:sz w:val="20"/>
          <w:szCs w:val="20"/>
        </w:rPr>
      </w:pPr>
      <w:r>
        <w:rPr>
          <w:sz w:val="20"/>
          <w:szCs w:val="20"/>
        </w:rPr>
        <w:t>18.3</w:t>
      </w:r>
      <w:r w:rsidR="00D12EAC">
        <w:rPr>
          <w:sz w:val="20"/>
          <w:szCs w:val="20"/>
        </w:rPr>
        <w:t xml:space="preserve"> </w:t>
      </w:r>
      <w:r>
        <w:rPr>
          <w:sz w:val="20"/>
          <w:szCs w:val="20"/>
        </w:rPr>
        <w:tab/>
        <w:t>the conclusion of the repayment agreement and the outcome thereof;</w:t>
      </w:r>
      <w:r w:rsidR="00951CA4">
        <w:rPr>
          <w:sz w:val="20"/>
          <w:szCs w:val="20"/>
        </w:rPr>
        <w:t xml:space="preserve"> </w:t>
      </w:r>
    </w:p>
    <w:p w14:paraId="2F5AA169" w14:textId="42EEFB62" w:rsidR="008A0C37" w:rsidRDefault="008A0C37" w:rsidP="002B044B">
      <w:pPr>
        <w:tabs>
          <w:tab w:val="left" w:pos="2268"/>
        </w:tabs>
        <w:spacing w:line="360" w:lineRule="auto"/>
        <w:ind w:left="2268" w:hanging="850"/>
        <w:rPr>
          <w:sz w:val="20"/>
          <w:szCs w:val="20"/>
        </w:rPr>
      </w:pPr>
    </w:p>
    <w:p w14:paraId="652EA7F4" w14:textId="641A273A" w:rsidR="008A0C37" w:rsidRDefault="008A0C37" w:rsidP="002B044B">
      <w:pPr>
        <w:tabs>
          <w:tab w:val="left" w:pos="2268"/>
        </w:tabs>
        <w:spacing w:line="360" w:lineRule="auto"/>
        <w:ind w:left="2268" w:hanging="850"/>
        <w:rPr>
          <w:sz w:val="20"/>
          <w:szCs w:val="20"/>
        </w:rPr>
      </w:pPr>
      <w:r>
        <w:rPr>
          <w:sz w:val="20"/>
          <w:szCs w:val="20"/>
        </w:rPr>
        <w:t>18.4</w:t>
      </w:r>
      <w:r w:rsidR="00D12EAC">
        <w:rPr>
          <w:sz w:val="20"/>
          <w:szCs w:val="20"/>
        </w:rPr>
        <w:t xml:space="preserve"> </w:t>
      </w:r>
      <w:r>
        <w:rPr>
          <w:sz w:val="20"/>
          <w:szCs w:val="20"/>
        </w:rPr>
        <w:tab/>
        <w:t>the oral evidence of Watson and his report;</w:t>
      </w:r>
      <w:r w:rsidR="00951CA4">
        <w:rPr>
          <w:sz w:val="20"/>
          <w:szCs w:val="20"/>
        </w:rPr>
        <w:t xml:space="preserve"> </w:t>
      </w:r>
    </w:p>
    <w:p w14:paraId="30F54D7B" w14:textId="4DAA3742" w:rsidR="008A0C37" w:rsidRDefault="008A0C37" w:rsidP="002B044B">
      <w:pPr>
        <w:tabs>
          <w:tab w:val="left" w:pos="2268"/>
        </w:tabs>
        <w:spacing w:line="360" w:lineRule="auto"/>
        <w:ind w:left="2268" w:hanging="850"/>
        <w:rPr>
          <w:sz w:val="20"/>
          <w:szCs w:val="20"/>
        </w:rPr>
      </w:pPr>
    </w:p>
    <w:p w14:paraId="1616B512" w14:textId="5A5FBFCC" w:rsidR="008A0C37" w:rsidRDefault="008A0C37" w:rsidP="002B044B">
      <w:pPr>
        <w:tabs>
          <w:tab w:val="left" w:pos="2268"/>
        </w:tabs>
        <w:spacing w:line="360" w:lineRule="auto"/>
        <w:ind w:left="2268" w:hanging="850"/>
        <w:rPr>
          <w:sz w:val="20"/>
          <w:szCs w:val="20"/>
        </w:rPr>
      </w:pPr>
      <w:r>
        <w:rPr>
          <w:sz w:val="20"/>
          <w:szCs w:val="20"/>
        </w:rPr>
        <w:t>18.5</w:t>
      </w:r>
      <w:r w:rsidR="00D12EAC">
        <w:rPr>
          <w:sz w:val="20"/>
          <w:szCs w:val="20"/>
        </w:rPr>
        <w:t xml:space="preserve"> </w:t>
      </w:r>
      <w:r>
        <w:rPr>
          <w:sz w:val="20"/>
          <w:szCs w:val="20"/>
        </w:rPr>
        <w:tab/>
        <w:t>the final L &amp; D accounts of the different companies and the evidence by the liquidators in that regard;</w:t>
      </w:r>
      <w:r w:rsidR="00951CA4">
        <w:rPr>
          <w:sz w:val="20"/>
          <w:szCs w:val="20"/>
        </w:rPr>
        <w:t xml:space="preserve"> </w:t>
      </w:r>
    </w:p>
    <w:p w14:paraId="62B861D5" w14:textId="568E0584" w:rsidR="008A0C37" w:rsidRDefault="008A0C37" w:rsidP="002B044B">
      <w:pPr>
        <w:tabs>
          <w:tab w:val="left" w:pos="2268"/>
        </w:tabs>
        <w:spacing w:line="360" w:lineRule="auto"/>
        <w:ind w:left="2268" w:hanging="850"/>
        <w:rPr>
          <w:sz w:val="20"/>
          <w:szCs w:val="20"/>
        </w:rPr>
      </w:pPr>
    </w:p>
    <w:p w14:paraId="21766A54" w14:textId="416AD0C4" w:rsidR="008A0C37" w:rsidRDefault="008A0C37" w:rsidP="002B044B">
      <w:pPr>
        <w:tabs>
          <w:tab w:val="left" w:pos="2268"/>
        </w:tabs>
        <w:spacing w:line="360" w:lineRule="auto"/>
        <w:ind w:left="2268" w:hanging="850"/>
        <w:rPr>
          <w:sz w:val="20"/>
          <w:szCs w:val="20"/>
        </w:rPr>
      </w:pPr>
      <w:r>
        <w:rPr>
          <w:sz w:val="20"/>
          <w:szCs w:val="20"/>
        </w:rPr>
        <w:t>18.6</w:t>
      </w:r>
      <w:r w:rsidR="00D12EAC">
        <w:rPr>
          <w:sz w:val="20"/>
          <w:szCs w:val="20"/>
        </w:rPr>
        <w:t xml:space="preserve"> </w:t>
      </w:r>
      <w:r>
        <w:rPr>
          <w:sz w:val="20"/>
          <w:szCs w:val="20"/>
        </w:rPr>
        <w:tab/>
        <w:t>payments made by Somil</w:t>
      </w:r>
      <w:r w:rsidR="00EA5524">
        <w:rPr>
          <w:sz w:val="20"/>
          <w:szCs w:val="20"/>
        </w:rPr>
        <w:t>i</w:t>
      </w:r>
      <w:r>
        <w:rPr>
          <w:sz w:val="20"/>
          <w:szCs w:val="20"/>
        </w:rPr>
        <w:t>o</w:t>
      </w:r>
      <w:r w:rsidR="00EA5524">
        <w:rPr>
          <w:sz w:val="20"/>
          <w:szCs w:val="20"/>
        </w:rPr>
        <w:t xml:space="preserve"> and by others to the liquidators …</w:t>
      </w:r>
      <w:r w:rsidR="008F113A">
        <w:rPr>
          <w:sz w:val="20"/>
          <w:szCs w:val="20"/>
        </w:rPr>
        <w:t>"</w:t>
      </w:r>
      <w:r w:rsidR="00D12EAC">
        <w:rPr>
          <w:sz w:val="20"/>
          <w:szCs w:val="20"/>
        </w:rPr>
        <w:t xml:space="preserve">. </w:t>
      </w:r>
    </w:p>
    <w:p w14:paraId="4D3D231C" w14:textId="1C4A836E" w:rsidR="008A0C37" w:rsidRDefault="008A0C37" w:rsidP="00EA5524"/>
    <w:p w14:paraId="68572C68" w14:textId="262FE702" w:rsidR="00DE45D3" w:rsidRDefault="00337B45" w:rsidP="00337B45">
      <w:pPr>
        <w:pStyle w:val="NUM1"/>
        <w:numPr>
          <w:ilvl w:val="0"/>
          <w:numId w:val="0"/>
        </w:numPr>
        <w:tabs>
          <w:tab w:val="left" w:pos="567"/>
        </w:tabs>
        <w:ind w:left="567" w:hanging="567"/>
      </w:pPr>
      <w:r>
        <w:rPr>
          <w:caps/>
        </w:rPr>
        <w:t>[9]</w:t>
      </w:r>
      <w:r>
        <w:rPr>
          <w:caps/>
        </w:rPr>
        <w:tab/>
      </w:r>
      <w:r w:rsidR="00DE45D3">
        <w:t xml:space="preserve">The contentions in this letter form the basis of the defendant's </w:t>
      </w:r>
      <w:r w:rsidR="00124C92">
        <w:t>allegations</w:t>
      </w:r>
      <w:r w:rsidR="00DE45D3">
        <w:t xml:space="preserve"> in his application for postponement. </w:t>
      </w:r>
      <w:r w:rsidR="00977D8A">
        <w:t xml:space="preserve"> </w:t>
      </w:r>
      <w:r w:rsidR="00B166CD">
        <w:t>I express no opinion on the correctness or otherwise of the legal submissions in Otto Krause Inc’s letter</w:t>
      </w:r>
      <w:r w:rsidR="00977D8A">
        <w:t>,</w:t>
      </w:r>
      <w:r w:rsidR="00B166CD">
        <w:t xml:space="preserve"> and no submissions in relation thereto were advanced in argument before me.</w:t>
      </w:r>
      <w:r w:rsidR="00977D8A">
        <w:t xml:space="preserve"> </w:t>
      </w:r>
    </w:p>
    <w:p w14:paraId="25DFE72A" w14:textId="5386AE69" w:rsidR="00B166CD" w:rsidRPr="00B166CD" w:rsidRDefault="00B166CD" w:rsidP="00B166CD"/>
    <w:p w14:paraId="1CEC5B8D" w14:textId="17795EA0" w:rsidR="00FC430C" w:rsidRDefault="00337B45" w:rsidP="00337B45">
      <w:pPr>
        <w:pStyle w:val="NUM1"/>
        <w:numPr>
          <w:ilvl w:val="0"/>
          <w:numId w:val="0"/>
        </w:numPr>
        <w:tabs>
          <w:tab w:val="left" w:pos="567"/>
        </w:tabs>
        <w:ind w:left="567" w:hanging="567"/>
      </w:pPr>
      <w:r>
        <w:rPr>
          <w:caps/>
        </w:rPr>
        <w:t>[10]</w:t>
      </w:r>
      <w:r>
        <w:rPr>
          <w:caps/>
        </w:rPr>
        <w:tab/>
      </w:r>
      <w:r w:rsidR="00DE45D3">
        <w:t>The approach taken by Otto Krause Inc</w:t>
      </w:r>
      <w:r w:rsidR="00CE14CB">
        <w:t xml:space="preserve"> on behalf of the defendant</w:t>
      </w:r>
      <w:r w:rsidR="00DE45D3">
        <w:t xml:space="preserve"> appears responsible and in accordance with the principles stated in </w:t>
      </w:r>
      <w:r w:rsidR="00DE45D3" w:rsidRPr="00DE45D3">
        <w:rPr>
          <w:b/>
          <w:bCs/>
        </w:rPr>
        <w:t>Myburgh Transport</w:t>
      </w:r>
      <w:r w:rsidR="00DE45D3">
        <w:t>.</w:t>
      </w:r>
      <w:r w:rsidR="00DE45D3">
        <w:rPr>
          <w:rStyle w:val="FootnoteReference"/>
        </w:rPr>
        <w:footnoteReference w:id="1"/>
      </w:r>
      <w:r w:rsidR="0048218C">
        <w:t xml:space="preserve"> </w:t>
      </w:r>
    </w:p>
    <w:p w14:paraId="36730C07" w14:textId="76A13C03" w:rsidR="00EA5524" w:rsidRDefault="00EA5524" w:rsidP="0048218C">
      <w:pPr>
        <w:tabs>
          <w:tab w:val="num" w:pos="567"/>
        </w:tabs>
        <w:ind w:left="567" w:hanging="567"/>
      </w:pPr>
    </w:p>
    <w:p w14:paraId="4DE8C16A" w14:textId="5A8E12F0" w:rsidR="005A2738" w:rsidRDefault="00337B45" w:rsidP="00337B45">
      <w:pPr>
        <w:pStyle w:val="NUM1"/>
        <w:numPr>
          <w:ilvl w:val="0"/>
          <w:numId w:val="0"/>
        </w:numPr>
        <w:tabs>
          <w:tab w:val="left" w:pos="567"/>
        </w:tabs>
        <w:ind w:left="567" w:hanging="567"/>
      </w:pPr>
      <w:r>
        <w:rPr>
          <w:caps/>
        </w:rPr>
        <w:t>[11]</w:t>
      </w:r>
      <w:r>
        <w:rPr>
          <w:caps/>
        </w:rPr>
        <w:tab/>
      </w:r>
      <w:r w:rsidR="00C27CFB">
        <w:t>The plaintiff declined the defendant’s request on 30 August 2022.  A further request that the trial be postponed by agreement was made on 8</w:t>
      </w:r>
      <w:r w:rsidR="0048218C">
        <w:t> </w:t>
      </w:r>
      <w:r w:rsidR="00C27CFB">
        <w:t>September 2022 and</w:t>
      </w:r>
      <w:r w:rsidR="0048218C">
        <w:t>,</w:t>
      </w:r>
      <w:r w:rsidR="00C27CFB">
        <w:t xml:space="preserve"> from</w:t>
      </w:r>
      <w:r w:rsidR="0048218C">
        <w:t xml:space="preserve"> </w:t>
      </w:r>
      <w:r w:rsidR="00E070E4">
        <w:t>what</w:t>
      </w:r>
      <w:r w:rsidR="00C27CFB">
        <w:t xml:space="preserve"> I am able to </w:t>
      </w:r>
      <w:r w:rsidR="00651EBC">
        <w:t>deduce</w:t>
      </w:r>
      <w:r w:rsidR="00C27CFB">
        <w:t>, declined on or about 1</w:t>
      </w:r>
      <w:r w:rsidR="005A2738">
        <w:t>2</w:t>
      </w:r>
      <w:r w:rsidR="0048218C">
        <w:t> </w:t>
      </w:r>
      <w:r w:rsidR="005A2738">
        <w:t xml:space="preserve">September 2022. </w:t>
      </w:r>
    </w:p>
    <w:p w14:paraId="387E4AB7" w14:textId="77777777" w:rsidR="005A2738" w:rsidRPr="005A2738" w:rsidRDefault="005A2738" w:rsidP="0048218C">
      <w:pPr>
        <w:tabs>
          <w:tab w:val="num" w:pos="567"/>
        </w:tabs>
        <w:ind w:left="567" w:hanging="567"/>
      </w:pPr>
    </w:p>
    <w:p w14:paraId="621F89A5" w14:textId="2FA7FC7D" w:rsidR="00C27CFB" w:rsidRDefault="00337B45" w:rsidP="00337B45">
      <w:pPr>
        <w:pStyle w:val="NUM1"/>
        <w:numPr>
          <w:ilvl w:val="0"/>
          <w:numId w:val="0"/>
        </w:numPr>
        <w:tabs>
          <w:tab w:val="left" w:pos="567"/>
        </w:tabs>
        <w:ind w:left="567" w:hanging="567"/>
      </w:pPr>
      <w:r>
        <w:rPr>
          <w:caps/>
        </w:rPr>
        <w:t>[12]</w:t>
      </w:r>
      <w:r>
        <w:rPr>
          <w:caps/>
        </w:rPr>
        <w:tab/>
      </w:r>
      <w:r w:rsidR="00C27CFB">
        <w:t>This</w:t>
      </w:r>
      <w:r w:rsidR="005A2738">
        <w:t>, very properly,</w:t>
      </w:r>
      <w:r w:rsidR="00C27CFB">
        <w:t xml:space="preserve"> occasioned a substantive application </w:t>
      </w:r>
      <w:r w:rsidR="005A2738">
        <w:t xml:space="preserve">launched </w:t>
      </w:r>
      <w:r w:rsidR="00C27CFB">
        <w:t xml:space="preserve">by the defendant on 21 September 2022. </w:t>
      </w:r>
    </w:p>
    <w:p w14:paraId="6F2773D0" w14:textId="77777777" w:rsidR="005A2738" w:rsidRPr="005A2738" w:rsidRDefault="005A2738" w:rsidP="005A2738"/>
    <w:p w14:paraId="22882645" w14:textId="27D84A52" w:rsidR="00EA5524" w:rsidRDefault="00337B45" w:rsidP="00337B45">
      <w:pPr>
        <w:pStyle w:val="NUM1"/>
        <w:numPr>
          <w:ilvl w:val="0"/>
          <w:numId w:val="0"/>
        </w:numPr>
        <w:tabs>
          <w:tab w:val="left" w:pos="567"/>
        </w:tabs>
        <w:ind w:left="567" w:hanging="567"/>
      </w:pPr>
      <w:r>
        <w:rPr>
          <w:caps/>
        </w:rPr>
        <w:lastRenderedPageBreak/>
        <w:t>[13]</w:t>
      </w:r>
      <w:r>
        <w:rPr>
          <w:caps/>
        </w:rPr>
        <w:tab/>
      </w:r>
      <w:r w:rsidR="00EA5524">
        <w:t xml:space="preserve">The plaintiff opposed the application for postponement on numerous cogent grounds. </w:t>
      </w:r>
      <w:r w:rsidR="0048218C">
        <w:t xml:space="preserve"> </w:t>
      </w:r>
      <w:r w:rsidR="00EA5524">
        <w:t>The most significant of which is that this postponement is the third postponement in the matter</w:t>
      </w:r>
      <w:r w:rsidR="00F8076F">
        <w:t>,</w:t>
      </w:r>
      <w:r w:rsidR="00EA5524">
        <w:t xml:space="preserve"> and that the defendant has been absolutely supine in preparing his defence over a very extended period of time.</w:t>
      </w:r>
      <w:r w:rsidR="00F8076F">
        <w:t xml:space="preserve"> </w:t>
      </w:r>
    </w:p>
    <w:p w14:paraId="0D622E20" w14:textId="0A9047D6" w:rsidR="00EA5524" w:rsidRDefault="00EA5524" w:rsidP="0048218C">
      <w:pPr>
        <w:tabs>
          <w:tab w:val="num" w:pos="567"/>
        </w:tabs>
        <w:ind w:left="567" w:hanging="567"/>
      </w:pPr>
    </w:p>
    <w:p w14:paraId="5C2097C9" w14:textId="52C69894" w:rsidR="00EA5524" w:rsidRDefault="00337B45" w:rsidP="00337B45">
      <w:pPr>
        <w:pStyle w:val="NUM1"/>
        <w:numPr>
          <w:ilvl w:val="0"/>
          <w:numId w:val="0"/>
        </w:numPr>
        <w:tabs>
          <w:tab w:val="left" w:pos="567"/>
        </w:tabs>
        <w:ind w:left="567" w:hanging="567"/>
      </w:pPr>
      <w:r>
        <w:rPr>
          <w:caps/>
        </w:rPr>
        <w:t>[14]</w:t>
      </w:r>
      <w:r>
        <w:rPr>
          <w:caps/>
        </w:rPr>
        <w:tab/>
      </w:r>
      <w:r w:rsidR="00EA5524">
        <w:t xml:space="preserve">The argument has merit. </w:t>
      </w:r>
      <w:r w:rsidR="00F8076F">
        <w:t xml:space="preserve"> </w:t>
      </w:r>
      <w:r w:rsidR="00EA5524">
        <w:t xml:space="preserve">The current version of the plea </w:t>
      </w:r>
      <w:r w:rsidR="00A71CF1">
        <w:t>is dated 29</w:t>
      </w:r>
      <w:r w:rsidR="00F8076F">
        <w:t> </w:t>
      </w:r>
      <w:r w:rsidR="00A71CF1">
        <w:t>August 2016</w:t>
      </w:r>
      <w:r w:rsidR="00EA5524">
        <w:t>.</w:t>
      </w:r>
      <w:r w:rsidR="00F8076F">
        <w:t xml:space="preserve"> </w:t>
      </w:r>
      <w:r w:rsidR="00EA5524">
        <w:t xml:space="preserve"> The plea is a comprehensive and well</w:t>
      </w:r>
      <w:r w:rsidR="00EA5524">
        <w:noBreakHyphen/>
        <w:t>drawn pleading that could only have been prepared with the assistance of the defendant and on his instruction.</w:t>
      </w:r>
      <w:r w:rsidR="00F8076F">
        <w:t xml:space="preserve"> </w:t>
      </w:r>
    </w:p>
    <w:p w14:paraId="248EC84E" w14:textId="14A729DC" w:rsidR="00EA5524" w:rsidRDefault="00EA5524" w:rsidP="0048218C">
      <w:pPr>
        <w:tabs>
          <w:tab w:val="num" w:pos="567"/>
        </w:tabs>
        <w:ind w:left="567" w:hanging="567"/>
      </w:pPr>
    </w:p>
    <w:p w14:paraId="51FD47AA" w14:textId="36D2DF20" w:rsidR="005A2738" w:rsidRDefault="00337B45" w:rsidP="00337B45">
      <w:pPr>
        <w:pStyle w:val="NUM1"/>
        <w:numPr>
          <w:ilvl w:val="0"/>
          <w:numId w:val="0"/>
        </w:numPr>
        <w:tabs>
          <w:tab w:val="left" w:pos="567"/>
        </w:tabs>
        <w:ind w:left="567" w:hanging="567"/>
      </w:pPr>
      <w:r>
        <w:rPr>
          <w:caps/>
        </w:rPr>
        <w:t>[15]</w:t>
      </w:r>
      <w:r>
        <w:rPr>
          <w:caps/>
        </w:rPr>
        <w:tab/>
      </w:r>
      <w:r w:rsidR="00631F9B">
        <w:t>F</w:t>
      </w:r>
      <w:r w:rsidR="00EA5524">
        <w:t xml:space="preserve">or reasons that </w:t>
      </w:r>
      <w:r w:rsidR="00631F9B">
        <w:t>are</w:t>
      </w:r>
      <w:r w:rsidR="00EA5524">
        <w:t xml:space="preserve"> opaque</w:t>
      </w:r>
      <w:r w:rsidR="00F8076F">
        <w:t>,</w:t>
      </w:r>
      <w:r w:rsidR="00EA5524">
        <w:t xml:space="preserve"> the attorneys of record then acting for the defendant withdrew</w:t>
      </w:r>
      <w:r w:rsidR="005369DD">
        <w:t xml:space="preserve"> and new attorneys were appointed at a very late stage</w:t>
      </w:r>
      <w:r w:rsidR="00EA5524">
        <w:t>.</w:t>
      </w:r>
      <w:r w:rsidR="004A7D8F">
        <w:t xml:space="preserve">  </w:t>
      </w:r>
    </w:p>
    <w:p w14:paraId="72C346DB" w14:textId="77777777" w:rsidR="00E070E4" w:rsidRDefault="00E070E4" w:rsidP="005A2738">
      <w:pPr>
        <w:rPr>
          <w:b/>
          <w:bCs/>
        </w:rPr>
      </w:pPr>
    </w:p>
    <w:p w14:paraId="7DE62E0B" w14:textId="2B90F2E7" w:rsidR="005A2738" w:rsidRPr="005A2738" w:rsidRDefault="005A2738" w:rsidP="005A2738">
      <w:pPr>
        <w:rPr>
          <w:b/>
          <w:bCs/>
        </w:rPr>
      </w:pPr>
      <w:r w:rsidRPr="005A2738">
        <w:rPr>
          <w:b/>
          <w:bCs/>
        </w:rPr>
        <w:t>Procedural background</w:t>
      </w:r>
    </w:p>
    <w:p w14:paraId="3AF89241" w14:textId="6D0F8E6B" w:rsidR="00EA5524" w:rsidRDefault="00EA5524" w:rsidP="00EA5524"/>
    <w:p w14:paraId="2A8A6797" w14:textId="6B0841D8" w:rsidR="00BD3396" w:rsidRDefault="00337B45" w:rsidP="00337B45">
      <w:pPr>
        <w:pStyle w:val="NUM1"/>
        <w:numPr>
          <w:ilvl w:val="0"/>
          <w:numId w:val="0"/>
        </w:numPr>
        <w:tabs>
          <w:tab w:val="left" w:pos="567"/>
        </w:tabs>
        <w:ind w:left="567" w:hanging="567"/>
      </w:pPr>
      <w:r>
        <w:rPr>
          <w:caps/>
        </w:rPr>
        <w:t>[16]</w:t>
      </w:r>
      <w:r>
        <w:rPr>
          <w:caps/>
        </w:rPr>
        <w:tab/>
      </w:r>
      <w:r w:rsidR="00BD3396">
        <w:t>This action commenced by way of combined summons on 13 March 2013.  On 17</w:t>
      </w:r>
      <w:r w:rsidR="00E45612">
        <w:t> </w:t>
      </w:r>
      <w:r w:rsidR="00BD3396">
        <w:t>April 2013</w:t>
      </w:r>
      <w:r w:rsidR="00E45612">
        <w:t>,</w:t>
      </w:r>
      <w:r w:rsidR="00BD3396">
        <w:t xml:space="preserve"> Messrs Wayne van Niekerk Inc</w:t>
      </w:r>
      <w:r w:rsidR="005369DD">
        <w:t>.</w:t>
      </w:r>
      <w:r w:rsidR="00BD3396">
        <w:t xml:space="preserve"> entered a notice of intention to defend on behalf of the defendant.  The plaintiff </w:t>
      </w:r>
      <w:r w:rsidR="00444B71">
        <w:t xml:space="preserve">then </w:t>
      </w:r>
      <w:r w:rsidR="00BD3396">
        <w:t xml:space="preserve">applied for summary judgment and the defendant delivered an affidavit opposing such summary relief.  As far as I am able to determine, the court granted the defendant leave to defend the action by agreement. </w:t>
      </w:r>
    </w:p>
    <w:p w14:paraId="49714561" w14:textId="77777777" w:rsidR="00BD3396" w:rsidRPr="00BD3396" w:rsidRDefault="00BD3396" w:rsidP="00E45612">
      <w:pPr>
        <w:tabs>
          <w:tab w:val="num" w:pos="567"/>
        </w:tabs>
        <w:ind w:left="567" w:hanging="567"/>
      </w:pPr>
    </w:p>
    <w:p w14:paraId="6A5C1DCD" w14:textId="47964600" w:rsidR="00BD3396" w:rsidRDefault="00337B45" w:rsidP="00337B45">
      <w:pPr>
        <w:pStyle w:val="NUM1"/>
        <w:numPr>
          <w:ilvl w:val="0"/>
          <w:numId w:val="0"/>
        </w:numPr>
        <w:tabs>
          <w:tab w:val="left" w:pos="567"/>
        </w:tabs>
        <w:ind w:left="567" w:hanging="567"/>
      </w:pPr>
      <w:r>
        <w:rPr>
          <w:caps/>
        </w:rPr>
        <w:t>[17]</w:t>
      </w:r>
      <w:r>
        <w:rPr>
          <w:caps/>
        </w:rPr>
        <w:tab/>
      </w:r>
      <w:r w:rsidR="00BD3396">
        <w:t>Thereafter, this matter appears to have meandered towards a trial</w:t>
      </w:r>
      <w:r w:rsidR="006A0653">
        <w:t xml:space="preserve"> on 19</w:t>
      </w:r>
      <w:r w:rsidR="0011600F">
        <w:t> </w:t>
      </w:r>
      <w:r w:rsidR="006A0653">
        <w:t xml:space="preserve">May 2015.  </w:t>
      </w:r>
      <w:r w:rsidR="002733DD">
        <w:t xml:space="preserve">The trial on 19 May 2015 was postponed by agreement because the defendant was not in possession of certain documents, apparently in the possession of his erstwhile attorney, Wayne van Niekerk, who had by then been </w:t>
      </w:r>
      <w:r w:rsidR="002733DD">
        <w:lastRenderedPageBreak/>
        <w:t xml:space="preserve">struck from the roll of attorneys. </w:t>
      </w:r>
      <w:r w:rsidR="00B41F6D">
        <w:t xml:space="preserve"> </w:t>
      </w:r>
      <w:r w:rsidR="00EB6A45">
        <w:t xml:space="preserve">Some correspondence was exchanged between Messrs Alexander Montano Attorneys, then acting for the defendant, and the plaintiff’s attorneys regarding various documents, before Messrs Schindlers Attorneys </w:t>
      </w:r>
      <w:r w:rsidR="00F15A20">
        <w:t>were appointed by the defendant</w:t>
      </w:r>
      <w:r w:rsidR="000145B9">
        <w:t>,</w:t>
      </w:r>
      <w:r w:rsidR="00EB6A45">
        <w:t xml:space="preserve"> and the trial again postponed so that a substantive amendment could be effected to the plea.  As recorded above, the current version of the plea delivered on behalf of the defendant by Schindlers </w:t>
      </w:r>
      <w:r w:rsidR="000145B9">
        <w:t xml:space="preserve">Attorneys </w:t>
      </w:r>
      <w:r w:rsidR="00EB6A45">
        <w:t>was delivered at the end of August 2016</w:t>
      </w:r>
      <w:r w:rsidR="00F15A20">
        <w:t xml:space="preserve">. </w:t>
      </w:r>
    </w:p>
    <w:p w14:paraId="6EDC6E1E" w14:textId="77777777" w:rsidR="003D269B" w:rsidRPr="003D269B" w:rsidRDefault="003D269B" w:rsidP="003D269B"/>
    <w:p w14:paraId="08D791AA" w14:textId="75834260" w:rsidR="00EA5524" w:rsidRDefault="00337B45" w:rsidP="00337B45">
      <w:pPr>
        <w:pStyle w:val="NUM1"/>
        <w:numPr>
          <w:ilvl w:val="0"/>
          <w:numId w:val="0"/>
        </w:numPr>
        <w:tabs>
          <w:tab w:val="left" w:pos="567"/>
        </w:tabs>
        <w:ind w:left="567" w:hanging="567"/>
      </w:pPr>
      <w:r>
        <w:rPr>
          <w:caps/>
        </w:rPr>
        <w:t>[18]</w:t>
      </w:r>
      <w:r>
        <w:rPr>
          <w:caps/>
        </w:rPr>
        <w:tab/>
      </w:r>
      <w:r w:rsidR="00EA5524">
        <w:t xml:space="preserve">In 2018, the plaintiff launched an application for a separation of issues in terms of Rule 33(4). </w:t>
      </w:r>
      <w:r w:rsidR="003629FF">
        <w:t xml:space="preserve"> </w:t>
      </w:r>
      <w:r w:rsidR="00EA5524">
        <w:t>The application for separation sought to separate the special plea and the issues in paragraphs 21, 22 and 2</w:t>
      </w:r>
      <w:r w:rsidR="00195BF5">
        <w:t>5</w:t>
      </w:r>
      <w:r w:rsidR="00EA5524">
        <w:t xml:space="preserve"> of the defendant's plea from the remainder of the issues in the action.</w:t>
      </w:r>
      <w:r w:rsidR="003629FF">
        <w:t xml:space="preserve"> </w:t>
      </w:r>
    </w:p>
    <w:p w14:paraId="7E93CDE8" w14:textId="074F4B6D" w:rsidR="00EA5524" w:rsidRDefault="00EA5524" w:rsidP="003629FF">
      <w:pPr>
        <w:tabs>
          <w:tab w:val="num" w:pos="567"/>
        </w:tabs>
        <w:ind w:left="567" w:hanging="567"/>
      </w:pPr>
    </w:p>
    <w:p w14:paraId="7BF9611D" w14:textId="1540E44E" w:rsidR="00197F05" w:rsidRDefault="00337B45" w:rsidP="00337B45">
      <w:pPr>
        <w:pStyle w:val="NUM1"/>
        <w:numPr>
          <w:ilvl w:val="0"/>
          <w:numId w:val="0"/>
        </w:numPr>
        <w:tabs>
          <w:tab w:val="left" w:pos="567"/>
        </w:tabs>
        <w:ind w:left="567" w:hanging="567"/>
      </w:pPr>
      <w:r>
        <w:rPr>
          <w:caps/>
        </w:rPr>
        <w:t>[19]</w:t>
      </w:r>
      <w:r>
        <w:rPr>
          <w:caps/>
        </w:rPr>
        <w:tab/>
      </w:r>
      <w:r w:rsidR="00EA5524">
        <w:t xml:space="preserve">This application was argued before Fischer J on </w:t>
      </w:r>
      <w:r w:rsidR="00195BF5">
        <w:t>31 July 2018</w:t>
      </w:r>
      <w:r w:rsidR="00EA5524">
        <w:t>.</w:t>
      </w:r>
      <w:r w:rsidR="003629FF">
        <w:t xml:space="preserve"> </w:t>
      </w:r>
      <w:r w:rsidR="00EA5524">
        <w:t xml:space="preserve"> </w:t>
      </w:r>
      <w:r w:rsidR="00197F05">
        <w:t xml:space="preserve">The defendant was unrepresented and opposed the application for separation of issues himself. </w:t>
      </w:r>
    </w:p>
    <w:p w14:paraId="558BA9DB" w14:textId="77777777" w:rsidR="00197F05" w:rsidRPr="00197F05" w:rsidRDefault="00197F05" w:rsidP="00197F05"/>
    <w:p w14:paraId="49B38012" w14:textId="2B812A4F" w:rsidR="00195BF5" w:rsidRDefault="00337B45" w:rsidP="00337B45">
      <w:pPr>
        <w:pStyle w:val="NUM1"/>
        <w:numPr>
          <w:ilvl w:val="0"/>
          <w:numId w:val="0"/>
        </w:numPr>
        <w:tabs>
          <w:tab w:val="left" w:pos="567"/>
        </w:tabs>
        <w:ind w:left="567" w:hanging="567"/>
      </w:pPr>
      <w:r>
        <w:rPr>
          <w:caps/>
        </w:rPr>
        <w:t>[20]</w:t>
      </w:r>
      <w:r>
        <w:rPr>
          <w:caps/>
        </w:rPr>
        <w:tab/>
      </w:r>
      <w:r w:rsidR="00EA5524">
        <w:t xml:space="preserve">On </w:t>
      </w:r>
      <w:r w:rsidR="00195BF5">
        <w:t>16 August 2018,</w:t>
      </w:r>
      <w:r w:rsidR="00EA5524">
        <w:t xml:space="preserve"> the learned judge dismissed the separation application</w:t>
      </w:r>
      <w:r w:rsidR="00195BF5">
        <w:t xml:space="preserve"> for </w:t>
      </w:r>
      <w:r w:rsidR="003629FF">
        <w:t xml:space="preserve">the </w:t>
      </w:r>
      <w:r w:rsidR="00195BF5">
        <w:t>reason that</w:t>
      </w:r>
      <w:r w:rsidR="003629FF">
        <w:t>:</w:t>
      </w:r>
      <w:r w:rsidR="00195BF5">
        <w:t xml:space="preserve"> </w:t>
      </w:r>
    </w:p>
    <w:p w14:paraId="3BBCA6A1" w14:textId="4F514A93" w:rsidR="00195BF5" w:rsidRDefault="00195BF5" w:rsidP="00195BF5"/>
    <w:p w14:paraId="7CA6CC4E" w14:textId="2E35908A" w:rsidR="00195BF5" w:rsidRPr="00195BF5" w:rsidRDefault="008F113A" w:rsidP="003629FF">
      <w:pPr>
        <w:tabs>
          <w:tab w:val="left" w:pos="1418"/>
        </w:tabs>
        <w:spacing w:line="360" w:lineRule="auto"/>
        <w:ind w:left="1418" w:hanging="851"/>
        <w:rPr>
          <w:sz w:val="20"/>
          <w:szCs w:val="20"/>
        </w:rPr>
      </w:pPr>
      <w:r>
        <w:rPr>
          <w:sz w:val="20"/>
          <w:szCs w:val="20"/>
        </w:rPr>
        <w:t>"</w:t>
      </w:r>
      <w:r w:rsidR="00195BF5" w:rsidRPr="00195BF5">
        <w:rPr>
          <w:sz w:val="20"/>
          <w:szCs w:val="20"/>
        </w:rPr>
        <w:t>[13]</w:t>
      </w:r>
      <w:r w:rsidR="003629FF">
        <w:rPr>
          <w:sz w:val="20"/>
          <w:szCs w:val="20"/>
        </w:rPr>
        <w:t xml:space="preserve"> </w:t>
      </w:r>
      <w:r w:rsidR="00195BF5">
        <w:rPr>
          <w:sz w:val="20"/>
          <w:szCs w:val="20"/>
        </w:rPr>
        <w:tab/>
        <w:t xml:space="preserve">It seems to me that a hearing of the entire factual complex will be beneficial if not necessary for a proper determination of the matter. </w:t>
      </w:r>
      <w:r w:rsidR="007710AA">
        <w:rPr>
          <w:sz w:val="20"/>
          <w:szCs w:val="20"/>
        </w:rPr>
        <w:t xml:space="preserve"> </w:t>
      </w:r>
      <w:r w:rsidR="00195BF5">
        <w:rPr>
          <w:sz w:val="20"/>
          <w:szCs w:val="20"/>
        </w:rPr>
        <w:t xml:space="preserve">The fact that the claim is based on a hierarchy of obligations which are part of a broader contractual context militates against the </w:t>
      </w:r>
      <w:r w:rsidR="00C42526">
        <w:rPr>
          <w:sz w:val="20"/>
          <w:szCs w:val="20"/>
        </w:rPr>
        <w:t xml:space="preserve">granting off the order sought.  I am not persuaded that a separation of the issues along the lines proposed by the plaintiff will necessarily be more convenient than a holistic hearing. </w:t>
      </w:r>
      <w:r w:rsidR="00381F6C">
        <w:rPr>
          <w:sz w:val="20"/>
          <w:szCs w:val="20"/>
        </w:rPr>
        <w:t xml:space="preserve"> </w:t>
      </w:r>
      <w:r w:rsidR="00C42526">
        <w:rPr>
          <w:sz w:val="20"/>
          <w:szCs w:val="20"/>
        </w:rPr>
        <w:t xml:space="preserve">Nor am I persuaded that a holistic ventilation of all issues will result on a significantly more protracted determination of the issues. </w:t>
      </w:r>
      <w:r w:rsidR="00381F6C">
        <w:rPr>
          <w:sz w:val="20"/>
          <w:szCs w:val="20"/>
        </w:rPr>
        <w:t xml:space="preserve"> </w:t>
      </w:r>
      <w:r w:rsidR="00C42526">
        <w:rPr>
          <w:sz w:val="20"/>
          <w:szCs w:val="20"/>
        </w:rPr>
        <w:t>In fact, it seems inevitable that an attempt to try the proposed issues separately will lead to a broader enquiry.</w:t>
      </w:r>
      <w:r>
        <w:rPr>
          <w:sz w:val="20"/>
          <w:szCs w:val="20"/>
        </w:rPr>
        <w:t>"</w:t>
      </w:r>
      <w:r w:rsidR="00381F6C">
        <w:rPr>
          <w:sz w:val="20"/>
          <w:szCs w:val="20"/>
        </w:rPr>
        <w:t xml:space="preserve"> </w:t>
      </w:r>
    </w:p>
    <w:p w14:paraId="4484160A" w14:textId="1A4E541A" w:rsidR="00EA5524" w:rsidRDefault="00EA5524" w:rsidP="008F113A"/>
    <w:p w14:paraId="49FD3473" w14:textId="29FB5F3B" w:rsidR="00EA5524" w:rsidRDefault="00337B45" w:rsidP="00337B45">
      <w:pPr>
        <w:pStyle w:val="NUM1"/>
        <w:numPr>
          <w:ilvl w:val="0"/>
          <w:numId w:val="0"/>
        </w:numPr>
        <w:tabs>
          <w:tab w:val="left" w:pos="567"/>
        </w:tabs>
        <w:ind w:left="567" w:hanging="567"/>
      </w:pPr>
      <w:r>
        <w:rPr>
          <w:caps/>
        </w:rPr>
        <w:t>[21]</w:t>
      </w:r>
      <w:r>
        <w:rPr>
          <w:caps/>
        </w:rPr>
        <w:tab/>
      </w:r>
      <w:r w:rsidR="00444B71">
        <w:t xml:space="preserve">In the hope that the special plea of prescription </w:t>
      </w:r>
      <w:r w:rsidR="006B5262">
        <w:t>could</w:t>
      </w:r>
      <w:r w:rsidR="00444B71">
        <w:t>, at least, be disposed of, I canvassed with Mr </w:t>
      </w:r>
      <w:r w:rsidR="00444B71" w:rsidRPr="00C42526">
        <w:t>Garvey</w:t>
      </w:r>
      <w:r w:rsidR="00444B71">
        <w:t xml:space="preserve">, for the defendant, the possibility of the trial proceeding solely on the question of prescription raised in the defendant's special plea. </w:t>
      </w:r>
      <w:r w:rsidR="00EA5524">
        <w:t>At face value, and as pointed out by Mr Daniels</w:t>
      </w:r>
      <w:r w:rsidR="00C42526">
        <w:t xml:space="preserve"> SC</w:t>
      </w:r>
      <w:r w:rsidR="00EA5524">
        <w:t>,</w:t>
      </w:r>
      <w:r w:rsidR="00C42526">
        <w:t xml:space="preserve"> for the plaintiff,</w:t>
      </w:r>
      <w:r w:rsidR="00EA5524">
        <w:t xml:space="preserve"> the formulation of the defendant's special plea is very narrow</w:t>
      </w:r>
      <w:r w:rsidR="00C42526">
        <w:t>.</w:t>
      </w:r>
      <w:r w:rsidR="00F33007">
        <w:t xml:space="preserve"> </w:t>
      </w:r>
      <w:r w:rsidR="00C42526">
        <w:t xml:space="preserve"> </w:t>
      </w:r>
      <w:r w:rsidR="00C42526" w:rsidRPr="00C42526">
        <w:rPr>
          <w:i/>
          <w:iCs/>
        </w:rPr>
        <w:t>P</w:t>
      </w:r>
      <w:r w:rsidR="00EA5524" w:rsidRPr="00EA5524">
        <w:rPr>
          <w:i/>
          <w:iCs/>
        </w:rPr>
        <w:t>rima facie</w:t>
      </w:r>
      <w:r w:rsidR="00EA5524">
        <w:t xml:space="preserve">, it requires the interpretation of a series of security agreements. </w:t>
      </w:r>
      <w:r w:rsidR="00F33007">
        <w:t xml:space="preserve"> </w:t>
      </w:r>
      <w:r w:rsidR="00EA5524">
        <w:t>There is no contention that any of the security agreements are not what they purport to be</w:t>
      </w:r>
      <w:r w:rsidR="00F33007">
        <w:t>,</w:t>
      </w:r>
      <w:r w:rsidR="00EA5524">
        <w:t xml:space="preserve"> or in any manner ambiguous.</w:t>
      </w:r>
      <w:r w:rsidR="00F33007">
        <w:t xml:space="preserve"> </w:t>
      </w:r>
      <w:r w:rsidR="00B45DDA">
        <w:t xml:space="preserve"> </w:t>
      </w:r>
    </w:p>
    <w:p w14:paraId="0DD53D7F" w14:textId="48A4DF4B" w:rsidR="00B45DDA" w:rsidRDefault="00B45DDA" w:rsidP="00B45DDA"/>
    <w:p w14:paraId="781715E3" w14:textId="1062664D" w:rsidR="00B45DDA" w:rsidRDefault="00337B45" w:rsidP="00337B45">
      <w:pPr>
        <w:pStyle w:val="NUM1"/>
        <w:numPr>
          <w:ilvl w:val="0"/>
          <w:numId w:val="0"/>
        </w:numPr>
        <w:tabs>
          <w:tab w:val="left" w:pos="567"/>
        </w:tabs>
        <w:ind w:left="567" w:hanging="567"/>
      </w:pPr>
      <w:r>
        <w:rPr>
          <w:caps/>
        </w:rPr>
        <w:t>[22]</w:t>
      </w:r>
      <w:r>
        <w:rPr>
          <w:caps/>
        </w:rPr>
        <w:tab/>
      </w:r>
      <w:r w:rsidR="00E90DFE">
        <w:t>Mr Garvey, having taken instructions, reiterated his client's position, being that substantial evidence would be required for the special plea to be determined.</w:t>
      </w:r>
      <w:r w:rsidR="00197F05">
        <w:t xml:space="preserve">  </w:t>
      </w:r>
    </w:p>
    <w:p w14:paraId="6982C39D" w14:textId="589748CF" w:rsidR="00E90DFE" w:rsidRDefault="00E90DFE" w:rsidP="00F33007">
      <w:pPr>
        <w:tabs>
          <w:tab w:val="num" w:pos="567"/>
        </w:tabs>
        <w:ind w:left="567" w:hanging="567"/>
      </w:pPr>
    </w:p>
    <w:p w14:paraId="3ED100D2" w14:textId="7CBD974D" w:rsidR="00E90DFE" w:rsidRDefault="00337B45" w:rsidP="00337B45">
      <w:pPr>
        <w:pStyle w:val="NUM1"/>
        <w:numPr>
          <w:ilvl w:val="0"/>
          <w:numId w:val="0"/>
        </w:numPr>
        <w:tabs>
          <w:tab w:val="left" w:pos="567"/>
        </w:tabs>
        <w:ind w:left="567" w:hanging="567"/>
      </w:pPr>
      <w:r>
        <w:rPr>
          <w:caps/>
        </w:rPr>
        <w:t>[23]</w:t>
      </w:r>
      <w:r>
        <w:rPr>
          <w:caps/>
        </w:rPr>
        <w:tab/>
      </w:r>
      <w:r w:rsidR="00A95FE9">
        <w:t>I have reservations whether any of th</w:t>
      </w:r>
      <w:r w:rsidR="00444B71">
        <w:t>e</w:t>
      </w:r>
      <w:r w:rsidR="00A95FE9">
        <w:t xml:space="preserve"> evidence</w:t>
      </w:r>
      <w:r w:rsidR="00444B71">
        <w:t xml:space="preserve"> required by the Defendant</w:t>
      </w:r>
      <w:r w:rsidR="00A95FE9">
        <w:t xml:space="preserve"> would be admissible</w:t>
      </w:r>
      <w:r w:rsidR="00444B71">
        <w:t xml:space="preserve"> at trial</w:t>
      </w:r>
      <w:r w:rsidR="00A95FE9">
        <w:t>.</w:t>
      </w:r>
      <w:r w:rsidR="00E90DFE">
        <w:t xml:space="preserve"> </w:t>
      </w:r>
      <w:r w:rsidR="007915E0">
        <w:t xml:space="preserve"> </w:t>
      </w:r>
      <w:r w:rsidR="00E90DFE">
        <w:t>The law relating to the admissibility of evidence of surrounding circumstances is now settled.</w:t>
      </w:r>
      <w:r w:rsidR="00CE14CB">
        <w:rPr>
          <w:rStyle w:val="FootnoteReference"/>
        </w:rPr>
        <w:footnoteReference w:id="2"/>
      </w:r>
      <w:r w:rsidR="00E90DFE">
        <w:t xml:space="preserve"> </w:t>
      </w:r>
      <w:r w:rsidR="007915E0">
        <w:t xml:space="preserve"> </w:t>
      </w:r>
      <w:r w:rsidR="00E90DFE">
        <w:t xml:space="preserve">Issues of admissibility are determined with regard </w:t>
      </w:r>
      <w:r w:rsidR="00444B71">
        <w:t xml:space="preserve">the relevance of the evidence </w:t>
      </w:r>
      <w:r w:rsidR="00E90DFE">
        <w:t>to the</w:t>
      </w:r>
      <w:r w:rsidR="00B8341E">
        <w:t xml:space="preserve"> issues on the</w:t>
      </w:r>
      <w:r w:rsidR="00E90DFE">
        <w:t xml:space="preserve"> pleadings</w:t>
      </w:r>
      <w:r w:rsidR="00CE14CB">
        <w:rPr>
          <w:rStyle w:val="FootnoteReference"/>
        </w:rPr>
        <w:footnoteReference w:id="3"/>
      </w:r>
      <w:r w:rsidR="00E90DFE">
        <w:t xml:space="preserve"> </w:t>
      </w:r>
      <w:r w:rsidR="00444B71">
        <w:t xml:space="preserve"> </w:t>
      </w:r>
      <w:r w:rsidR="00E90DFE">
        <w:t xml:space="preserve">for, if they are not relevant to the issues as formulated in the pleadings, the evidence is </w:t>
      </w:r>
      <w:r w:rsidR="00E90DFE" w:rsidRPr="00E90DFE">
        <w:rPr>
          <w:i/>
          <w:iCs/>
        </w:rPr>
        <w:t>ex lege</w:t>
      </w:r>
      <w:r w:rsidR="00E90DFE">
        <w:t xml:space="preserve"> inadmissible.</w:t>
      </w:r>
      <w:r w:rsidR="00CE14CB">
        <w:rPr>
          <w:rStyle w:val="FootnoteReference"/>
        </w:rPr>
        <w:footnoteReference w:id="4"/>
      </w:r>
      <w:r w:rsidR="00A95FE9">
        <w:t xml:space="preserve">  This is one of the reasons that I decided to reserve the question of costs</w:t>
      </w:r>
      <w:r w:rsidR="007915E0">
        <w:t>,</w:t>
      </w:r>
      <w:r w:rsidR="00A95FE9">
        <w:t xml:space="preserve"> and is something to which I shall return shortly.</w:t>
      </w:r>
      <w:r w:rsidR="007915E0">
        <w:t xml:space="preserve"> </w:t>
      </w:r>
    </w:p>
    <w:p w14:paraId="6B0844B9" w14:textId="37416E62" w:rsidR="00E90DFE" w:rsidRDefault="00E90DFE" w:rsidP="00E90DFE"/>
    <w:p w14:paraId="2ED59BE4" w14:textId="349CC1A5" w:rsidR="00043FF6" w:rsidRDefault="00337B45" w:rsidP="00337B45">
      <w:pPr>
        <w:pStyle w:val="NUM1"/>
        <w:numPr>
          <w:ilvl w:val="0"/>
          <w:numId w:val="0"/>
        </w:numPr>
        <w:tabs>
          <w:tab w:val="left" w:pos="567"/>
        </w:tabs>
        <w:ind w:left="567" w:hanging="567"/>
      </w:pPr>
      <w:r>
        <w:rPr>
          <w:caps/>
        </w:rPr>
        <w:lastRenderedPageBreak/>
        <w:t>[24]</w:t>
      </w:r>
      <w:r>
        <w:rPr>
          <w:caps/>
        </w:rPr>
        <w:tab/>
      </w:r>
      <w:r w:rsidR="00CE14CB">
        <w:t xml:space="preserve">Subsequent to the </w:t>
      </w:r>
      <w:r w:rsidR="00B92525">
        <w:t>plaintiff’s separation application failing, and on 5</w:t>
      </w:r>
      <w:r w:rsidR="00CE18AC">
        <w:t> </w:t>
      </w:r>
      <w:r w:rsidR="00B92525">
        <w:t xml:space="preserve">February 2019, the plaintiff applied for the designation of this matter as a </w:t>
      </w:r>
      <w:r w:rsidR="008F113A">
        <w:t>"</w:t>
      </w:r>
      <w:r w:rsidR="00B92525" w:rsidRPr="008837F2">
        <w:rPr>
          <w:i/>
        </w:rPr>
        <w:t>commercial</w:t>
      </w:r>
      <w:r w:rsidR="00B92525">
        <w:t xml:space="preserve"> </w:t>
      </w:r>
      <w:r w:rsidR="00B92525" w:rsidRPr="008837F2">
        <w:rPr>
          <w:i/>
        </w:rPr>
        <w:t>matter</w:t>
      </w:r>
      <w:r w:rsidR="008F113A">
        <w:t>"</w:t>
      </w:r>
      <w:r w:rsidR="00CE18AC">
        <w:t>,</w:t>
      </w:r>
      <w:r w:rsidR="00B92525">
        <w:t xml:space="preserve"> and that it be prosecuted in accordance with the Commercial Court Practice Directive of </w:t>
      </w:r>
      <w:r w:rsidR="0043066D">
        <w:t>3</w:t>
      </w:r>
      <w:r w:rsidR="00CE18AC">
        <w:t> </w:t>
      </w:r>
      <w:r w:rsidR="0043066D">
        <w:t>October 2018</w:t>
      </w:r>
      <w:r w:rsidR="00043FF6">
        <w:t xml:space="preserve"> (</w:t>
      </w:r>
      <w:r w:rsidR="008F113A">
        <w:t>"</w:t>
      </w:r>
      <w:r w:rsidR="00043FF6" w:rsidRPr="00444B71">
        <w:rPr>
          <w:b/>
          <w:iCs/>
        </w:rPr>
        <w:t>the Directive</w:t>
      </w:r>
      <w:r w:rsidR="008F113A">
        <w:t>"</w:t>
      </w:r>
      <w:r w:rsidR="00043FF6">
        <w:t xml:space="preserve">). </w:t>
      </w:r>
    </w:p>
    <w:p w14:paraId="10DF3C7D" w14:textId="77777777" w:rsidR="00043FF6" w:rsidRPr="00043FF6" w:rsidRDefault="00043FF6" w:rsidP="00043FF6"/>
    <w:p w14:paraId="7DAE274D" w14:textId="7D0B4681" w:rsidR="00AE5D4B" w:rsidRDefault="00337B45" w:rsidP="00337B45">
      <w:pPr>
        <w:pStyle w:val="NUM1"/>
        <w:numPr>
          <w:ilvl w:val="0"/>
          <w:numId w:val="0"/>
        </w:numPr>
        <w:tabs>
          <w:tab w:val="left" w:pos="567"/>
        </w:tabs>
        <w:ind w:left="567" w:hanging="567"/>
      </w:pPr>
      <w:r>
        <w:rPr>
          <w:caps/>
        </w:rPr>
        <w:t>[25]</w:t>
      </w:r>
      <w:r>
        <w:rPr>
          <w:caps/>
        </w:rPr>
        <w:tab/>
      </w:r>
      <w:r w:rsidR="00043FF6">
        <w:t>On 22 February 2019,</w:t>
      </w:r>
      <w:r w:rsidR="00B92525">
        <w:t xml:space="preserve"> </w:t>
      </w:r>
      <w:r w:rsidR="00E90DFE">
        <w:t>this action was certified as a commercial court</w:t>
      </w:r>
      <w:r w:rsidR="00AE5D4B">
        <w:t xml:space="preserve"> case and </w:t>
      </w:r>
      <w:r w:rsidR="00043FF6">
        <w:t xml:space="preserve">became </w:t>
      </w:r>
      <w:r w:rsidR="00AE5D4B">
        <w:t>subject to the</w:t>
      </w:r>
      <w:r w:rsidR="00043FF6">
        <w:t xml:space="preserve"> D</w:t>
      </w:r>
      <w:r w:rsidR="00AE5D4B">
        <w:t>irective</w:t>
      </w:r>
      <w:r w:rsidR="00043FF6">
        <w:t>.</w:t>
      </w:r>
      <w:r w:rsidR="00AE5D4B">
        <w:t xml:space="preserve"> </w:t>
      </w:r>
    </w:p>
    <w:p w14:paraId="64B1CC9A" w14:textId="77777777" w:rsidR="00F15A20" w:rsidRDefault="00F15A20" w:rsidP="00F21EC9"/>
    <w:p w14:paraId="0A67175A" w14:textId="36FEB6A6" w:rsidR="00F21EC9" w:rsidRPr="00F21EC9" w:rsidRDefault="00F21EC9" w:rsidP="008837F2">
      <w:pPr>
        <w:keepNext/>
        <w:rPr>
          <w:b/>
          <w:bCs/>
        </w:rPr>
      </w:pPr>
      <w:r w:rsidRPr="00F21EC9">
        <w:rPr>
          <w:b/>
          <w:bCs/>
        </w:rPr>
        <w:t>The Commercial Court Directive</w:t>
      </w:r>
    </w:p>
    <w:p w14:paraId="75B0AF2B" w14:textId="77777777" w:rsidR="00043FF6" w:rsidRPr="00043FF6" w:rsidRDefault="00043FF6" w:rsidP="008837F2">
      <w:pPr>
        <w:keepNext/>
      </w:pPr>
    </w:p>
    <w:p w14:paraId="309A4810" w14:textId="3C5752AB" w:rsidR="0043066D" w:rsidRDefault="00337B45" w:rsidP="00337B45">
      <w:pPr>
        <w:pStyle w:val="NUM1"/>
        <w:keepNext/>
        <w:numPr>
          <w:ilvl w:val="0"/>
          <w:numId w:val="0"/>
        </w:numPr>
        <w:tabs>
          <w:tab w:val="left" w:pos="567"/>
        </w:tabs>
        <w:ind w:left="567" w:hanging="567"/>
      </w:pPr>
      <w:r>
        <w:rPr>
          <w:caps/>
        </w:rPr>
        <w:t>[26]</w:t>
      </w:r>
      <w:r>
        <w:rPr>
          <w:caps/>
        </w:rPr>
        <w:tab/>
      </w:r>
      <w:r w:rsidR="0043066D">
        <w:t>The relevant portions of the Directive</w:t>
      </w:r>
      <w:r w:rsidR="00DC6402">
        <w:rPr>
          <w:rStyle w:val="FootnoteReference"/>
        </w:rPr>
        <w:footnoteReference w:id="5"/>
      </w:r>
      <w:r w:rsidR="0043066D">
        <w:t xml:space="preserve"> provide:</w:t>
      </w:r>
      <w:r w:rsidR="009771A2">
        <w:t xml:space="preserve"> </w:t>
      </w:r>
    </w:p>
    <w:p w14:paraId="41AFA2CA" w14:textId="640F4A9D" w:rsidR="008F113A" w:rsidRDefault="008F113A" w:rsidP="008F113A"/>
    <w:p w14:paraId="09189180" w14:textId="28A3D56B" w:rsidR="008F113A" w:rsidRDefault="008F113A" w:rsidP="008F113A">
      <w:pPr>
        <w:tabs>
          <w:tab w:val="left" w:pos="1134"/>
          <w:tab w:val="left" w:pos="1985"/>
          <w:tab w:val="left" w:pos="2835"/>
          <w:tab w:val="left" w:pos="3686"/>
        </w:tabs>
        <w:spacing w:line="360" w:lineRule="auto"/>
        <w:ind w:left="1985" w:hanging="851"/>
        <w:rPr>
          <w:sz w:val="20"/>
          <w:szCs w:val="20"/>
        </w:rPr>
      </w:pPr>
      <w:r w:rsidRPr="008F113A">
        <w:rPr>
          <w:sz w:val="20"/>
          <w:szCs w:val="20"/>
        </w:rPr>
        <w:t xml:space="preserve">"CHAPTER 3 – THE FIRST CASE MANAGEMENT CONFERENCE </w:t>
      </w:r>
    </w:p>
    <w:p w14:paraId="303F3493"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0E92957F" w14:textId="7A2BB8D9" w:rsidR="008F113A" w:rsidRPr="008F113A" w:rsidRDefault="008F113A" w:rsidP="004E5085">
      <w:pPr>
        <w:tabs>
          <w:tab w:val="left" w:pos="1985"/>
        </w:tabs>
        <w:spacing w:line="360" w:lineRule="auto"/>
        <w:ind w:left="1985" w:hanging="851"/>
        <w:rPr>
          <w:sz w:val="20"/>
          <w:szCs w:val="20"/>
        </w:rPr>
      </w:pPr>
      <w:r w:rsidRPr="008F113A">
        <w:rPr>
          <w:sz w:val="20"/>
          <w:szCs w:val="20"/>
        </w:rPr>
        <w:t>1.</w:t>
      </w:r>
      <w:r w:rsidR="004E5085">
        <w:rPr>
          <w:sz w:val="20"/>
          <w:szCs w:val="20"/>
        </w:rPr>
        <w:t xml:space="preserve"> </w:t>
      </w:r>
      <w:r w:rsidRPr="008F113A">
        <w:rPr>
          <w:sz w:val="20"/>
          <w:szCs w:val="20"/>
        </w:rPr>
        <w:tab/>
        <w:t>As soon as reasonably possible after the Commercial Court case is allocated to a Judge or two Judges, the first Case Management Conference must be held at a time and date determined by the Judge or two Judges allocated to the matter, on application by the plaintiff within 15 (fifteen) days of allocation.</w:t>
      </w:r>
      <w:r w:rsidR="004E5085">
        <w:rPr>
          <w:sz w:val="20"/>
          <w:szCs w:val="20"/>
        </w:rPr>
        <w:t xml:space="preserve"> </w:t>
      </w:r>
      <w:r w:rsidRPr="008F113A">
        <w:rPr>
          <w:sz w:val="20"/>
          <w:szCs w:val="20"/>
        </w:rPr>
        <w:t xml:space="preserve"> If the plaintiff fails to make an application as required any other party may apply for Case Management Conference. </w:t>
      </w:r>
    </w:p>
    <w:p w14:paraId="287DF33E"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02E95DA8" w14:textId="7A5F5996" w:rsidR="008F113A" w:rsidRDefault="008F113A" w:rsidP="004E5085">
      <w:pPr>
        <w:tabs>
          <w:tab w:val="left" w:pos="1985"/>
        </w:tabs>
        <w:spacing w:line="360" w:lineRule="auto"/>
        <w:ind w:left="1985" w:hanging="851"/>
        <w:rPr>
          <w:sz w:val="20"/>
          <w:szCs w:val="20"/>
        </w:rPr>
      </w:pPr>
      <w:r w:rsidRPr="008F113A">
        <w:rPr>
          <w:sz w:val="20"/>
          <w:szCs w:val="20"/>
        </w:rPr>
        <w:t>2.</w:t>
      </w:r>
      <w:r w:rsidR="004E5085">
        <w:rPr>
          <w:sz w:val="20"/>
          <w:szCs w:val="20"/>
        </w:rPr>
        <w:t xml:space="preserve"> </w:t>
      </w:r>
      <w:r w:rsidRPr="008F113A">
        <w:rPr>
          <w:sz w:val="20"/>
          <w:szCs w:val="20"/>
        </w:rPr>
        <w:tab/>
        <w:t xml:space="preserve">At the First Case Management Conference, the following general matters must be canvassed: </w:t>
      </w:r>
    </w:p>
    <w:p w14:paraId="7BB886DB"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4DBA9820" w14:textId="30DFD606" w:rsidR="008F113A" w:rsidRDefault="008F113A" w:rsidP="00997076">
      <w:pPr>
        <w:tabs>
          <w:tab w:val="left" w:pos="2835"/>
        </w:tabs>
        <w:spacing w:line="360" w:lineRule="auto"/>
        <w:ind w:left="2835" w:hanging="850"/>
        <w:rPr>
          <w:sz w:val="20"/>
          <w:szCs w:val="20"/>
        </w:rPr>
      </w:pPr>
      <w:r w:rsidRPr="008F113A">
        <w:rPr>
          <w:sz w:val="20"/>
          <w:szCs w:val="20"/>
        </w:rPr>
        <w:t xml:space="preserve">a)  </w:t>
      </w:r>
      <w:r>
        <w:rPr>
          <w:sz w:val="20"/>
          <w:szCs w:val="20"/>
        </w:rPr>
        <w:tab/>
      </w:r>
      <w:r w:rsidRPr="008F113A">
        <w:rPr>
          <w:sz w:val="20"/>
          <w:szCs w:val="20"/>
        </w:rPr>
        <w:t xml:space="preserve">A general sense of what the matter is about; </w:t>
      </w:r>
    </w:p>
    <w:p w14:paraId="162260CD"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0A6ACFE8" w14:textId="22040560" w:rsidR="008F113A" w:rsidRDefault="008F113A" w:rsidP="00997076">
      <w:pPr>
        <w:tabs>
          <w:tab w:val="left" w:pos="2835"/>
        </w:tabs>
        <w:spacing w:line="360" w:lineRule="auto"/>
        <w:ind w:left="2835" w:hanging="850"/>
        <w:rPr>
          <w:sz w:val="20"/>
          <w:szCs w:val="20"/>
        </w:rPr>
      </w:pPr>
      <w:r w:rsidRPr="008F113A">
        <w:rPr>
          <w:sz w:val="20"/>
          <w:szCs w:val="20"/>
        </w:rPr>
        <w:t xml:space="preserve">b)  </w:t>
      </w:r>
      <w:r>
        <w:rPr>
          <w:sz w:val="20"/>
          <w:szCs w:val="20"/>
        </w:rPr>
        <w:tab/>
      </w:r>
      <w:r w:rsidRPr="008F113A">
        <w:rPr>
          <w:sz w:val="20"/>
          <w:szCs w:val="20"/>
        </w:rPr>
        <w:t xml:space="preserve">What needs to be done to bring the matter to trial; </w:t>
      </w:r>
    </w:p>
    <w:p w14:paraId="354919DF"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3EB6BE50" w14:textId="0F4EFE6F" w:rsidR="008F113A" w:rsidRDefault="008F113A" w:rsidP="00997076">
      <w:pPr>
        <w:tabs>
          <w:tab w:val="left" w:pos="2835"/>
        </w:tabs>
        <w:spacing w:line="360" w:lineRule="auto"/>
        <w:ind w:left="2835" w:hanging="850"/>
        <w:rPr>
          <w:sz w:val="20"/>
          <w:szCs w:val="20"/>
        </w:rPr>
      </w:pPr>
      <w:r w:rsidRPr="008F113A">
        <w:rPr>
          <w:sz w:val="20"/>
          <w:szCs w:val="20"/>
        </w:rPr>
        <w:t xml:space="preserve">c)  </w:t>
      </w:r>
      <w:r>
        <w:rPr>
          <w:sz w:val="20"/>
          <w:szCs w:val="20"/>
        </w:rPr>
        <w:tab/>
      </w:r>
      <w:r w:rsidRPr="008F113A">
        <w:rPr>
          <w:sz w:val="20"/>
          <w:szCs w:val="20"/>
        </w:rPr>
        <w:t xml:space="preserve">A timetable for getting the matter expeditiously to trial; </w:t>
      </w:r>
    </w:p>
    <w:p w14:paraId="4E91AA7F"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03AFE466" w14:textId="64839188" w:rsidR="008F113A" w:rsidRDefault="008F113A" w:rsidP="00997076">
      <w:pPr>
        <w:tabs>
          <w:tab w:val="left" w:pos="2835"/>
        </w:tabs>
        <w:spacing w:line="360" w:lineRule="auto"/>
        <w:ind w:left="2835" w:hanging="850"/>
        <w:rPr>
          <w:sz w:val="20"/>
          <w:szCs w:val="20"/>
        </w:rPr>
      </w:pPr>
      <w:r w:rsidRPr="008F113A">
        <w:rPr>
          <w:sz w:val="20"/>
          <w:szCs w:val="20"/>
        </w:rPr>
        <w:lastRenderedPageBreak/>
        <w:t xml:space="preserve">d)  </w:t>
      </w:r>
      <w:r>
        <w:rPr>
          <w:sz w:val="20"/>
          <w:szCs w:val="20"/>
        </w:rPr>
        <w:tab/>
      </w:r>
      <w:r w:rsidRPr="008F113A">
        <w:rPr>
          <w:sz w:val="20"/>
          <w:szCs w:val="20"/>
        </w:rPr>
        <w:t xml:space="preserve">A potential trial date; </w:t>
      </w:r>
    </w:p>
    <w:p w14:paraId="4147286A"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0DD9CEA9" w14:textId="30F187AF" w:rsidR="008F113A" w:rsidRDefault="008F113A" w:rsidP="00997076">
      <w:pPr>
        <w:tabs>
          <w:tab w:val="left" w:pos="2835"/>
        </w:tabs>
        <w:spacing w:line="360" w:lineRule="auto"/>
        <w:ind w:left="2835" w:hanging="850"/>
        <w:rPr>
          <w:sz w:val="20"/>
          <w:szCs w:val="20"/>
        </w:rPr>
      </w:pPr>
      <w:r w:rsidRPr="008F113A">
        <w:rPr>
          <w:sz w:val="20"/>
          <w:szCs w:val="20"/>
        </w:rPr>
        <w:t xml:space="preserve">e)  </w:t>
      </w:r>
      <w:r>
        <w:rPr>
          <w:sz w:val="20"/>
          <w:szCs w:val="20"/>
        </w:rPr>
        <w:tab/>
      </w:r>
      <w:r w:rsidRPr="008F113A">
        <w:rPr>
          <w:sz w:val="20"/>
          <w:szCs w:val="20"/>
        </w:rPr>
        <w:t xml:space="preserve">The number of witnesses likely to be called, including expert witnesses; </w:t>
      </w:r>
    </w:p>
    <w:p w14:paraId="5C26217E"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77D9E64F" w14:textId="6B5530B1" w:rsidR="008F113A" w:rsidRDefault="008F113A" w:rsidP="00997076">
      <w:pPr>
        <w:tabs>
          <w:tab w:val="left" w:pos="2835"/>
        </w:tabs>
        <w:spacing w:line="360" w:lineRule="auto"/>
        <w:ind w:left="2835" w:hanging="850"/>
        <w:rPr>
          <w:sz w:val="20"/>
          <w:szCs w:val="20"/>
        </w:rPr>
      </w:pPr>
      <w:r w:rsidRPr="008F113A">
        <w:rPr>
          <w:sz w:val="20"/>
          <w:szCs w:val="20"/>
        </w:rPr>
        <w:t xml:space="preserve">f)  </w:t>
      </w:r>
      <w:r>
        <w:rPr>
          <w:sz w:val="20"/>
          <w:szCs w:val="20"/>
        </w:rPr>
        <w:tab/>
      </w:r>
      <w:r w:rsidRPr="008F113A">
        <w:rPr>
          <w:sz w:val="20"/>
          <w:szCs w:val="20"/>
        </w:rPr>
        <w:t xml:space="preserve">The probable length of the trial; </w:t>
      </w:r>
      <w:r w:rsidR="0018145B" w:rsidRPr="008F113A">
        <w:rPr>
          <w:sz w:val="20"/>
          <w:szCs w:val="20"/>
        </w:rPr>
        <w:t>and</w:t>
      </w:r>
      <w:r w:rsidR="0018145B">
        <w:rPr>
          <w:sz w:val="20"/>
          <w:szCs w:val="20"/>
        </w:rPr>
        <w:t xml:space="preserve"> </w:t>
      </w:r>
    </w:p>
    <w:p w14:paraId="4A8952E8"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33FCB930" w14:textId="13F6836E" w:rsidR="008F113A" w:rsidRDefault="008F113A" w:rsidP="00997076">
      <w:pPr>
        <w:tabs>
          <w:tab w:val="left" w:pos="2835"/>
        </w:tabs>
        <w:spacing w:line="360" w:lineRule="auto"/>
        <w:ind w:left="2835" w:hanging="850"/>
        <w:rPr>
          <w:sz w:val="20"/>
          <w:szCs w:val="20"/>
        </w:rPr>
      </w:pPr>
      <w:r w:rsidRPr="008F113A">
        <w:rPr>
          <w:sz w:val="20"/>
          <w:szCs w:val="20"/>
        </w:rPr>
        <w:t xml:space="preserve">g)  </w:t>
      </w:r>
      <w:r>
        <w:rPr>
          <w:sz w:val="20"/>
          <w:szCs w:val="20"/>
        </w:rPr>
        <w:tab/>
      </w:r>
      <w:r w:rsidRPr="008F113A">
        <w:rPr>
          <w:sz w:val="20"/>
          <w:szCs w:val="20"/>
        </w:rPr>
        <w:t>Creating an appropriate electronic means for communications and exchange and filing of documents</w:t>
      </w:r>
      <w:r>
        <w:rPr>
          <w:sz w:val="20"/>
          <w:szCs w:val="20"/>
        </w:rPr>
        <w:t>.</w:t>
      </w:r>
      <w:r w:rsidR="00997076">
        <w:rPr>
          <w:sz w:val="20"/>
          <w:szCs w:val="20"/>
        </w:rPr>
        <w:t xml:space="preserve"> </w:t>
      </w:r>
    </w:p>
    <w:p w14:paraId="6EB84997"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01593D95" w14:textId="718EB13A" w:rsidR="008F113A" w:rsidRDefault="008F113A" w:rsidP="00E055BC">
      <w:pPr>
        <w:tabs>
          <w:tab w:val="left" w:pos="1985"/>
        </w:tabs>
        <w:spacing w:line="360" w:lineRule="auto"/>
        <w:ind w:left="1985" w:hanging="851"/>
        <w:rPr>
          <w:sz w:val="20"/>
          <w:szCs w:val="20"/>
        </w:rPr>
      </w:pPr>
      <w:r w:rsidRPr="008F113A">
        <w:rPr>
          <w:sz w:val="20"/>
          <w:szCs w:val="20"/>
        </w:rPr>
        <w:t>3.</w:t>
      </w:r>
      <w:r w:rsidR="00BD7BE9">
        <w:rPr>
          <w:sz w:val="20"/>
          <w:szCs w:val="20"/>
        </w:rPr>
        <w:t xml:space="preserve"> </w:t>
      </w:r>
      <w:r w:rsidRPr="008F113A">
        <w:rPr>
          <w:sz w:val="20"/>
          <w:szCs w:val="20"/>
        </w:rPr>
        <w:tab/>
        <w:t xml:space="preserve">The Judge or the two Judges will then, absent agreement, determine the timetable to bring the matter to trial. </w:t>
      </w:r>
    </w:p>
    <w:p w14:paraId="640D49C7" w14:textId="77777777" w:rsidR="00A95FE9" w:rsidRPr="008F113A" w:rsidRDefault="00A95FE9" w:rsidP="008F113A">
      <w:pPr>
        <w:tabs>
          <w:tab w:val="left" w:pos="1134"/>
          <w:tab w:val="left" w:pos="1985"/>
          <w:tab w:val="left" w:pos="2835"/>
          <w:tab w:val="left" w:pos="3686"/>
        </w:tabs>
        <w:spacing w:line="360" w:lineRule="auto"/>
        <w:ind w:left="1985" w:hanging="851"/>
        <w:rPr>
          <w:sz w:val="20"/>
          <w:szCs w:val="20"/>
        </w:rPr>
      </w:pPr>
    </w:p>
    <w:p w14:paraId="579C3A1F" w14:textId="5777E0DE" w:rsidR="008F113A" w:rsidRDefault="008F113A" w:rsidP="008837F2">
      <w:pPr>
        <w:keepNext/>
        <w:tabs>
          <w:tab w:val="left" w:pos="1134"/>
          <w:tab w:val="left" w:pos="1985"/>
          <w:tab w:val="left" w:pos="2835"/>
          <w:tab w:val="left" w:pos="3686"/>
        </w:tabs>
        <w:spacing w:line="360" w:lineRule="auto"/>
        <w:ind w:left="1985" w:hanging="851"/>
        <w:rPr>
          <w:sz w:val="20"/>
          <w:szCs w:val="20"/>
        </w:rPr>
      </w:pPr>
      <w:r w:rsidRPr="008F113A">
        <w:rPr>
          <w:sz w:val="20"/>
          <w:szCs w:val="20"/>
        </w:rPr>
        <w:t xml:space="preserve">CHAPTER 4 – GETTING THE MATTER READY FOR TRIAL </w:t>
      </w:r>
    </w:p>
    <w:p w14:paraId="2CFA866E" w14:textId="77777777" w:rsidR="008F113A" w:rsidRPr="008F113A" w:rsidRDefault="008F113A" w:rsidP="008837F2">
      <w:pPr>
        <w:keepNext/>
        <w:tabs>
          <w:tab w:val="left" w:pos="1134"/>
          <w:tab w:val="left" w:pos="1985"/>
          <w:tab w:val="left" w:pos="2835"/>
          <w:tab w:val="left" w:pos="3686"/>
        </w:tabs>
        <w:spacing w:line="360" w:lineRule="auto"/>
        <w:ind w:left="1985" w:hanging="851"/>
        <w:rPr>
          <w:sz w:val="20"/>
          <w:szCs w:val="20"/>
        </w:rPr>
      </w:pPr>
    </w:p>
    <w:p w14:paraId="1F6E8B8F" w14:textId="5E95E89D" w:rsidR="008F113A" w:rsidRDefault="008F113A" w:rsidP="008837F2">
      <w:pPr>
        <w:keepNext/>
        <w:tabs>
          <w:tab w:val="left" w:pos="1985"/>
        </w:tabs>
        <w:spacing w:line="360" w:lineRule="auto"/>
        <w:ind w:left="1985" w:hanging="851"/>
        <w:rPr>
          <w:sz w:val="20"/>
          <w:szCs w:val="20"/>
        </w:rPr>
      </w:pPr>
      <w:r w:rsidRPr="008F113A">
        <w:rPr>
          <w:sz w:val="20"/>
          <w:szCs w:val="20"/>
        </w:rPr>
        <w:t xml:space="preserve">1. </w:t>
      </w:r>
      <w:r>
        <w:rPr>
          <w:sz w:val="20"/>
          <w:szCs w:val="20"/>
        </w:rPr>
        <w:tab/>
      </w:r>
      <w:r w:rsidRPr="008F113A">
        <w:rPr>
          <w:sz w:val="20"/>
          <w:szCs w:val="20"/>
        </w:rPr>
        <w:t>Matters heard in the Commercial Court will be dealt with in line with broad principles of fairness, efficiency and cost-effectiveness.</w:t>
      </w:r>
      <w:r w:rsidR="00E055BC">
        <w:rPr>
          <w:sz w:val="20"/>
          <w:szCs w:val="20"/>
        </w:rPr>
        <w:t xml:space="preserve"> </w:t>
      </w:r>
    </w:p>
    <w:p w14:paraId="23D2BE0D" w14:textId="77777777" w:rsidR="008F113A" w:rsidRPr="008F113A" w:rsidRDefault="008F113A" w:rsidP="008837F2">
      <w:pPr>
        <w:keepNext/>
        <w:tabs>
          <w:tab w:val="left" w:pos="1985"/>
        </w:tabs>
        <w:spacing w:line="360" w:lineRule="auto"/>
        <w:ind w:left="1985" w:hanging="851"/>
        <w:rPr>
          <w:sz w:val="20"/>
          <w:szCs w:val="20"/>
        </w:rPr>
      </w:pPr>
    </w:p>
    <w:p w14:paraId="6EECB926" w14:textId="0A31E94C" w:rsidR="008F113A" w:rsidRDefault="008F113A" w:rsidP="00E055BC">
      <w:pPr>
        <w:tabs>
          <w:tab w:val="left" w:pos="1985"/>
        </w:tabs>
        <w:spacing w:line="360" w:lineRule="auto"/>
        <w:ind w:left="1985" w:hanging="851"/>
        <w:rPr>
          <w:sz w:val="20"/>
          <w:szCs w:val="20"/>
        </w:rPr>
      </w:pPr>
      <w:r w:rsidRPr="008F113A">
        <w:rPr>
          <w:sz w:val="20"/>
          <w:szCs w:val="20"/>
        </w:rPr>
        <w:t>2.</w:t>
      </w:r>
      <w:r w:rsidR="00BD7BE9">
        <w:rPr>
          <w:sz w:val="20"/>
          <w:szCs w:val="20"/>
        </w:rPr>
        <w:t xml:space="preserve"> </w:t>
      </w:r>
      <w:r w:rsidRPr="008F113A">
        <w:rPr>
          <w:sz w:val="20"/>
          <w:szCs w:val="20"/>
        </w:rPr>
        <w:tab/>
        <w:t xml:space="preserve">The following steps will usually be of application, subject to the requirements of the particular case. </w:t>
      </w:r>
    </w:p>
    <w:p w14:paraId="15BF2714" w14:textId="77777777" w:rsidR="008F113A" w:rsidRPr="008F113A" w:rsidRDefault="008F113A" w:rsidP="00E055BC">
      <w:pPr>
        <w:tabs>
          <w:tab w:val="left" w:pos="1985"/>
        </w:tabs>
        <w:spacing w:line="360" w:lineRule="auto"/>
        <w:ind w:left="1985" w:hanging="851"/>
        <w:rPr>
          <w:sz w:val="20"/>
          <w:szCs w:val="20"/>
        </w:rPr>
      </w:pPr>
    </w:p>
    <w:p w14:paraId="0A87DC98" w14:textId="37CFB963" w:rsidR="008F113A" w:rsidRDefault="008F113A" w:rsidP="00E055BC">
      <w:pPr>
        <w:tabs>
          <w:tab w:val="left" w:pos="1985"/>
        </w:tabs>
        <w:spacing w:line="360" w:lineRule="auto"/>
        <w:ind w:left="1985" w:hanging="851"/>
        <w:rPr>
          <w:sz w:val="20"/>
          <w:szCs w:val="20"/>
        </w:rPr>
      </w:pPr>
      <w:r w:rsidRPr="008F113A">
        <w:rPr>
          <w:sz w:val="20"/>
          <w:szCs w:val="20"/>
        </w:rPr>
        <w:t>3.</w:t>
      </w:r>
      <w:r w:rsidR="00BD7BE9">
        <w:rPr>
          <w:sz w:val="20"/>
          <w:szCs w:val="20"/>
        </w:rPr>
        <w:t xml:space="preserve"> </w:t>
      </w:r>
      <w:r w:rsidRPr="008F113A">
        <w:rPr>
          <w:sz w:val="20"/>
          <w:szCs w:val="20"/>
        </w:rPr>
        <w:tab/>
        <w:t xml:space="preserve">The plaintiff, within the period specified by the Judge at the first Case Management Conference, must file a statement of the case containing the following: </w:t>
      </w:r>
    </w:p>
    <w:p w14:paraId="1479620A"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19267B61" w14:textId="3809B35D" w:rsidR="008F113A" w:rsidRDefault="008F113A" w:rsidP="003404C5">
      <w:pPr>
        <w:tabs>
          <w:tab w:val="left" w:pos="2835"/>
        </w:tabs>
        <w:spacing w:line="360" w:lineRule="auto"/>
        <w:ind w:left="2835" w:hanging="850"/>
        <w:rPr>
          <w:sz w:val="20"/>
          <w:szCs w:val="20"/>
        </w:rPr>
      </w:pPr>
      <w:r w:rsidRPr="008F113A">
        <w:rPr>
          <w:sz w:val="20"/>
          <w:szCs w:val="20"/>
        </w:rPr>
        <w:t>a)</w:t>
      </w:r>
      <w:r w:rsidR="00BD7BE9">
        <w:rPr>
          <w:sz w:val="20"/>
          <w:szCs w:val="20"/>
        </w:rPr>
        <w:t xml:space="preserve"> </w:t>
      </w:r>
      <w:r>
        <w:rPr>
          <w:sz w:val="20"/>
          <w:szCs w:val="20"/>
        </w:rPr>
        <w:tab/>
      </w:r>
      <w:r w:rsidRPr="008F113A">
        <w:rPr>
          <w:sz w:val="20"/>
          <w:szCs w:val="20"/>
        </w:rPr>
        <w:t>The plaintiff’s cause(s) of action and relief claimed;</w:t>
      </w:r>
      <w:r w:rsidR="00E055BC">
        <w:rPr>
          <w:sz w:val="20"/>
          <w:szCs w:val="20"/>
        </w:rPr>
        <w:t xml:space="preserve"> </w:t>
      </w:r>
    </w:p>
    <w:p w14:paraId="5405628A" w14:textId="77777777" w:rsidR="008F113A" w:rsidRPr="008F113A" w:rsidRDefault="008F113A" w:rsidP="003404C5">
      <w:pPr>
        <w:tabs>
          <w:tab w:val="left" w:pos="2835"/>
        </w:tabs>
        <w:spacing w:line="360" w:lineRule="auto"/>
        <w:ind w:left="2835" w:hanging="850"/>
        <w:rPr>
          <w:sz w:val="20"/>
          <w:szCs w:val="20"/>
        </w:rPr>
      </w:pPr>
    </w:p>
    <w:p w14:paraId="7457E8A4" w14:textId="503401F1" w:rsidR="008F113A" w:rsidRDefault="008F113A" w:rsidP="003404C5">
      <w:pPr>
        <w:tabs>
          <w:tab w:val="left" w:pos="2835"/>
        </w:tabs>
        <w:spacing w:line="360" w:lineRule="auto"/>
        <w:ind w:left="2835" w:hanging="850"/>
        <w:rPr>
          <w:sz w:val="20"/>
          <w:szCs w:val="20"/>
        </w:rPr>
      </w:pPr>
      <w:r w:rsidRPr="008F113A">
        <w:rPr>
          <w:sz w:val="20"/>
          <w:szCs w:val="20"/>
        </w:rPr>
        <w:t xml:space="preserve">b) </w:t>
      </w:r>
      <w:r>
        <w:rPr>
          <w:sz w:val="20"/>
          <w:szCs w:val="20"/>
        </w:rPr>
        <w:tab/>
      </w:r>
      <w:r w:rsidRPr="008F113A">
        <w:rPr>
          <w:sz w:val="20"/>
          <w:szCs w:val="20"/>
        </w:rPr>
        <w:t xml:space="preserve">The essential documents the plaintiff intends to rely on, and </w:t>
      </w:r>
    </w:p>
    <w:p w14:paraId="7EF88AE5" w14:textId="77777777" w:rsidR="008F113A" w:rsidRPr="008F113A" w:rsidRDefault="008F113A" w:rsidP="003404C5">
      <w:pPr>
        <w:tabs>
          <w:tab w:val="left" w:pos="2835"/>
        </w:tabs>
        <w:spacing w:line="360" w:lineRule="auto"/>
        <w:ind w:left="2835" w:hanging="850"/>
        <w:rPr>
          <w:sz w:val="20"/>
          <w:szCs w:val="20"/>
        </w:rPr>
      </w:pPr>
    </w:p>
    <w:p w14:paraId="6B84C274" w14:textId="3CEF0982" w:rsidR="008F113A" w:rsidRDefault="008F113A" w:rsidP="003404C5">
      <w:pPr>
        <w:tabs>
          <w:tab w:val="left" w:pos="2835"/>
        </w:tabs>
        <w:spacing w:line="360" w:lineRule="auto"/>
        <w:ind w:left="2835" w:hanging="850"/>
        <w:rPr>
          <w:sz w:val="20"/>
          <w:szCs w:val="20"/>
        </w:rPr>
      </w:pPr>
      <w:r w:rsidRPr="008F113A">
        <w:rPr>
          <w:sz w:val="20"/>
          <w:szCs w:val="20"/>
        </w:rPr>
        <w:t xml:space="preserve">c) </w:t>
      </w:r>
      <w:r>
        <w:rPr>
          <w:sz w:val="20"/>
          <w:szCs w:val="20"/>
        </w:rPr>
        <w:tab/>
      </w:r>
      <w:r w:rsidRPr="008F113A">
        <w:rPr>
          <w:sz w:val="20"/>
          <w:szCs w:val="20"/>
        </w:rPr>
        <w:t xml:space="preserve">A summary of the evidence the plaintiff intends to rely on. </w:t>
      </w:r>
    </w:p>
    <w:p w14:paraId="24FFCAF6"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5F24C51D" w14:textId="5A77B6BA" w:rsidR="008F113A" w:rsidRDefault="008F113A" w:rsidP="00E055BC">
      <w:pPr>
        <w:tabs>
          <w:tab w:val="left" w:pos="1985"/>
        </w:tabs>
        <w:spacing w:line="360" w:lineRule="auto"/>
        <w:ind w:left="1985" w:hanging="851"/>
        <w:rPr>
          <w:sz w:val="20"/>
          <w:szCs w:val="20"/>
        </w:rPr>
      </w:pPr>
      <w:r w:rsidRPr="008F113A">
        <w:rPr>
          <w:sz w:val="20"/>
          <w:szCs w:val="20"/>
        </w:rPr>
        <w:t>4.</w:t>
      </w:r>
      <w:r w:rsidR="00BD7BE9">
        <w:rPr>
          <w:sz w:val="20"/>
          <w:szCs w:val="20"/>
        </w:rPr>
        <w:t xml:space="preserve"> </w:t>
      </w:r>
      <w:r w:rsidRPr="008F113A">
        <w:rPr>
          <w:sz w:val="20"/>
          <w:szCs w:val="20"/>
        </w:rPr>
        <w:tab/>
        <w:t>The defendant, and third parties,</w:t>
      </w:r>
      <w:r w:rsidR="007F58C3">
        <w:rPr>
          <w:sz w:val="20"/>
          <w:szCs w:val="20"/>
        </w:rPr>
        <w:t xml:space="preserve"> </w:t>
      </w:r>
      <w:r w:rsidRPr="008F113A">
        <w:rPr>
          <w:sz w:val="20"/>
          <w:szCs w:val="20"/>
        </w:rPr>
        <w:t xml:space="preserve">if any, within the periods specified by the Judge or Judges at the first Case Management Conference must file a responsive statement of the case containing the following: </w:t>
      </w:r>
    </w:p>
    <w:p w14:paraId="72DF3621"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20AAD5CF" w14:textId="40B0D397" w:rsidR="008F113A" w:rsidRDefault="008F113A" w:rsidP="003404C5">
      <w:pPr>
        <w:tabs>
          <w:tab w:val="left" w:pos="2835"/>
        </w:tabs>
        <w:spacing w:line="360" w:lineRule="auto"/>
        <w:ind w:left="2835" w:hanging="850"/>
        <w:rPr>
          <w:sz w:val="20"/>
          <w:szCs w:val="20"/>
        </w:rPr>
      </w:pPr>
      <w:r w:rsidRPr="008F113A">
        <w:rPr>
          <w:sz w:val="20"/>
          <w:szCs w:val="20"/>
        </w:rPr>
        <w:t xml:space="preserve">a)  </w:t>
      </w:r>
      <w:r>
        <w:rPr>
          <w:sz w:val="20"/>
          <w:szCs w:val="20"/>
        </w:rPr>
        <w:tab/>
      </w:r>
      <w:r w:rsidRPr="008F113A">
        <w:rPr>
          <w:sz w:val="20"/>
          <w:szCs w:val="20"/>
        </w:rPr>
        <w:t xml:space="preserve">The defendant’s or third party’s defence(s) and any counterclaim relied upon; </w:t>
      </w:r>
    </w:p>
    <w:p w14:paraId="5AB21388" w14:textId="77777777" w:rsidR="008F113A" w:rsidRPr="008F113A" w:rsidRDefault="008F113A" w:rsidP="003404C5">
      <w:pPr>
        <w:tabs>
          <w:tab w:val="left" w:pos="2835"/>
        </w:tabs>
        <w:spacing w:line="360" w:lineRule="auto"/>
        <w:ind w:left="2835" w:hanging="850"/>
        <w:rPr>
          <w:sz w:val="20"/>
          <w:szCs w:val="20"/>
        </w:rPr>
      </w:pPr>
    </w:p>
    <w:p w14:paraId="54D92BBB" w14:textId="7CA433C6" w:rsidR="008F113A" w:rsidRDefault="008F113A" w:rsidP="003404C5">
      <w:pPr>
        <w:tabs>
          <w:tab w:val="left" w:pos="2835"/>
        </w:tabs>
        <w:spacing w:line="360" w:lineRule="auto"/>
        <w:ind w:left="2835" w:hanging="850"/>
        <w:rPr>
          <w:sz w:val="20"/>
          <w:szCs w:val="20"/>
        </w:rPr>
      </w:pPr>
      <w:r w:rsidRPr="008F113A">
        <w:rPr>
          <w:sz w:val="20"/>
          <w:szCs w:val="20"/>
        </w:rPr>
        <w:t xml:space="preserve">b)  </w:t>
      </w:r>
      <w:r>
        <w:rPr>
          <w:sz w:val="20"/>
          <w:szCs w:val="20"/>
        </w:rPr>
        <w:tab/>
      </w:r>
      <w:r w:rsidRPr="008F113A">
        <w:rPr>
          <w:sz w:val="20"/>
          <w:szCs w:val="20"/>
        </w:rPr>
        <w:t xml:space="preserve">The essential documents the defendant or third-party intend(s) to rely on; </w:t>
      </w:r>
    </w:p>
    <w:p w14:paraId="42633E4C" w14:textId="77777777" w:rsidR="008F113A" w:rsidRPr="008F113A" w:rsidRDefault="008F113A" w:rsidP="003404C5">
      <w:pPr>
        <w:tabs>
          <w:tab w:val="left" w:pos="2835"/>
        </w:tabs>
        <w:spacing w:line="360" w:lineRule="auto"/>
        <w:ind w:left="2835" w:hanging="850"/>
        <w:rPr>
          <w:sz w:val="20"/>
          <w:szCs w:val="20"/>
        </w:rPr>
      </w:pPr>
    </w:p>
    <w:p w14:paraId="2A6F945B" w14:textId="7459BDC0" w:rsidR="008F113A" w:rsidRDefault="008F113A" w:rsidP="003404C5">
      <w:pPr>
        <w:tabs>
          <w:tab w:val="left" w:pos="2835"/>
        </w:tabs>
        <w:spacing w:line="360" w:lineRule="auto"/>
        <w:ind w:left="2835" w:hanging="850"/>
        <w:rPr>
          <w:sz w:val="20"/>
          <w:szCs w:val="20"/>
        </w:rPr>
      </w:pPr>
      <w:r w:rsidRPr="008F113A">
        <w:rPr>
          <w:sz w:val="20"/>
          <w:szCs w:val="20"/>
        </w:rPr>
        <w:lastRenderedPageBreak/>
        <w:t xml:space="preserve">c)  </w:t>
      </w:r>
      <w:r>
        <w:rPr>
          <w:sz w:val="20"/>
          <w:szCs w:val="20"/>
        </w:rPr>
        <w:tab/>
      </w:r>
      <w:r w:rsidRPr="008F113A">
        <w:rPr>
          <w:sz w:val="20"/>
          <w:szCs w:val="20"/>
        </w:rPr>
        <w:t xml:space="preserve">A summary of the evidence the defendant or third-party intend(s)to rely on. </w:t>
      </w:r>
    </w:p>
    <w:p w14:paraId="31D16E47"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159B1E5C" w14:textId="394C9E43" w:rsidR="008F113A" w:rsidRPr="008F113A" w:rsidRDefault="008F113A" w:rsidP="00F71162">
      <w:pPr>
        <w:tabs>
          <w:tab w:val="left" w:pos="1985"/>
        </w:tabs>
        <w:spacing w:line="360" w:lineRule="auto"/>
        <w:ind w:left="1985" w:hanging="851"/>
        <w:rPr>
          <w:sz w:val="20"/>
          <w:szCs w:val="20"/>
        </w:rPr>
      </w:pPr>
      <w:r w:rsidRPr="008F113A">
        <w:rPr>
          <w:sz w:val="20"/>
          <w:szCs w:val="20"/>
        </w:rPr>
        <w:t>5.</w:t>
      </w:r>
      <w:r w:rsidR="00BD7BE9">
        <w:rPr>
          <w:sz w:val="20"/>
          <w:szCs w:val="20"/>
        </w:rPr>
        <w:t xml:space="preserve"> </w:t>
      </w:r>
      <w:r w:rsidRPr="008F113A">
        <w:rPr>
          <w:sz w:val="20"/>
          <w:szCs w:val="20"/>
        </w:rPr>
        <w:tab/>
        <w:t xml:space="preserve">Any party against whom a claim is made must similarly file a statement of defence. </w:t>
      </w:r>
    </w:p>
    <w:p w14:paraId="7AE864D8" w14:textId="77777777" w:rsidR="008F113A" w:rsidRPr="008F113A" w:rsidRDefault="008F113A" w:rsidP="00F71162">
      <w:pPr>
        <w:tabs>
          <w:tab w:val="left" w:pos="1985"/>
        </w:tabs>
        <w:spacing w:line="360" w:lineRule="auto"/>
        <w:ind w:left="1985" w:hanging="851"/>
        <w:rPr>
          <w:sz w:val="20"/>
          <w:szCs w:val="20"/>
        </w:rPr>
      </w:pPr>
    </w:p>
    <w:p w14:paraId="40719FDD" w14:textId="3B5A1F0B" w:rsidR="008F113A" w:rsidRDefault="008F113A" w:rsidP="00F71162">
      <w:pPr>
        <w:tabs>
          <w:tab w:val="left" w:pos="1985"/>
        </w:tabs>
        <w:spacing w:line="360" w:lineRule="auto"/>
        <w:ind w:left="1985" w:hanging="851"/>
        <w:rPr>
          <w:sz w:val="20"/>
          <w:szCs w:val="20"/>
        </w:rPr>
      </w:pPr>
      <w:r w:rsidRPr="008F113A">
        <w:rPr>
          <w:sz w:val="20"/>
          <w:szCs w:val="20"/>
        </w:rPr>
        <w:t>6.</w:t>
      </w:r>
      <w:r w:rsidR="00BD7BE9">
        <w:rPr>
          <w:sz w:val="20"/>
          <w:szCs w:val="20"/>
        </w:rPr>
        <w:t xml:space="preserve"> </w:t>
      </w:r>
      <w:r w:rsidRPr="008F113A">
        <w:rPr>
          <w:sz w:val="20"/>
          <w:szCs w:val="20"/>
        </w:rPr>
        <w:tab/>
        <w:t xml:space="preserve">No request for further particulars may be sought in the Commercial Court. </w:t>
      </w:r>
    </w:p>
    <w:p w14:paraId="0F904408" w14:textId="77777777" w:rsidR="00A95FE9" w:rsidRDefault="00A95FE9" w:rsidP="00757240">
      <w:pPr>
        <w:tabs>
          <w:tab w:val="left" w:pos="1134"/>
          <w:tab w:val="left" w:pos="1985"/>
          <w:tab w:val="left" w:pos="2835"/>
          <w:tab w:val="left" w:pos="3686"/>
        </w:tabs>
        <w:spacing w:line="360" w:lineRule="auto"/>
        <w:rPr>
          <w:sz w:val="20"/>
          <w:szCs w:val="20"/>
        </w:rPr>
      </w:pPr>
    </w:p>
    <w:p w14:paraId="620EC29E" w14:textId="2C8EACF7" w:rsidR="008F113A" w:rsidRDefault="008F113A" w:rsidP="008837F2">
      <w:pPr>
        <w:keepNext/>
        <w:tabs>
          <w:tab w:val="left" w:pos="1134"/>
          <w:tab w:val="left" w:pos="1985"/>
          <w:tab w:val="left" w:pos="2835"/>
          <w:tab w:val="left" w:pos="3686"/>
        </w:tabs>
        <w:spacing w:line="360" w:lineRule="auto"/>
        <w:ind w:left="1134"/>
        <w:rPr>
          <w:sz w:val="20"/>
          <w:szCs w:val="20"/>
        </w:rPr>
      </w:pPr>
      <w:r w:rsidRPr="008F113A">
        <w:rPr>
          <w:sz w:val="20"/>
          <w:szCs w:val="20"/>
        </w:rPr>
        <w:t xml:space="preserve">CHAPTER 5 – THE SECOND CASE MANAGEMENT CONFERENCE AND CONSEQUENTIAL STEPS </w:t>
      </w:r>
    </w:p>
    <w:p w14:paraId="13651DFD" w14:textId="77777777" w:rsidR="008F113A" w:rsidRPr="008F113A" w:rsidRDefault="008F113A" w:rsidP="008837F2">
      <w:pPr>
        <w:keepNext/>
        <w:tabs>
          <w:tab w:val="left" w:pos="1134"/>
          <w:tab w:val="left" w:pos="1985"/>
          <w:tab w:val="left" w:pos="2835"/>
          <w:tab w:val="left" w:pos="3686"/>
        </w:tabs>
        <w:spacing w:line="360" w:lineRule="auto"/>
        <w:ind w:left="1134"/>
        <w:rPr>
          <w:sz w:val="20"/>
          <w:szCs w:val="20"/>
        </w:rPr>
      </w:pPr>
    </w:p>
    <w:p w14:paraId="6B4CFF5D" w14:textId="1DBE656F" w:rsidR="008F113A" w:rsidRPr="008F113A" w:rsidRDefault="008F113A" w:rsidP="008837F2">
      <w:pPr>
        <w:keepNext/>
        <w:tabs>
          <w:tab w:val="left" w:pos="1985"/>
        </w:tabs>
        <w:spacing w:line="360" w:lineRule="auto"/>
        <w:ind w:left="1985" w:hanging="851"/>
        <w:rPr>
          <w:sz w:val="20"/>
          <w:szCs w:val="20"/>
        </w:rPr>
      </w:pPr>
      <w:r w:rsidRPr="008F113A">
        <w:rPr>
          <w:sz w:val="20"/>
          <w:szCs w:val="20"/>
        </w:rPr>
        <w:t>1.</w:t>
      </w:r>
      <w:r w:rsidR="00BD7BE9">
        <w:rPr>
          <w:sz w:val="20"/>
          <w:szCs w:val="20"/>
        </w:rPr>
        <w:t xml:space="preserve"> </w:t>
      </w:r>
      <w:r w:rsidRPr="008F113A">
        <w:rPr>
          <w:sz w:val="20"/>
          <w:szCs w:val="20"/>
        </w:rPr>
        <w:tab/>
        <w:t>A Second Case Management Conference must be held at which the parties will present either an agreed list of triable issues or, absent agreement, each party’s identification of the triable issues.</w:t>
      </w:r>
      <w:r w:rsidR="00F71162">
        <w:rPr>
          <w:sz w:val="20"/>
          <w:szCs w:val="20"/>
        </w:rPr>
        <w:t xml:space="preserve"> </w:t>
      </w:r>
      <w:r w:rsidRPr="008F113A">
        <w:rPr>
          <w:sz w:val="20"/>
          <w:szCs w:val="20"/>
        </w:rPr>
        <w:t xml:space="preserve"> All interlocutory issues will be dealt with at this conference or at any postponed date, including determination of the triable issues. </w:t>
      </w:r>
    </w:p>
    <w:p w14:paraId="03ED7612" w14:textId="77777777" w:rsidR="008F113A" w:rsidRPr="008F113A" w:rsidRDefault="008F113A" w:rsidP="00F71162">
      <w:pPr>
        <w:tabs>
          <w:tab w:val="left" w:pos="1985"/>
        </w:tabs>
        <w:spacing w:line="360" w:lineRule="auto"/>
        <w:ind w:left="1985" w:hanging="851"/>
        <w:rPr>
          <w:sz w:val="20"/>
          <w:szCs w:val="20"/>
        </w:rPr>
      </w:pPr>
    </w:p>
    <w:p w14:paraId="47D73794" w14:textId="372D0CB0" w:rsidR="008F113A" w:rsidRPr="008F113A" w:rsidRDefault="008F113A" w:rsidP="00F71162">
      <w:pPr>
        <w:tabs>
          <w:tab w:val="left" w:pos="1985"/>
        </w:tabs>
        <w:spacing w:line="360" w:lineRule="auto"/>
        <w:ind w:left="1985" w:hanging="851"/>
        <w:rPr>
          <w:sz w:val="20"/>
          <w:szCs w:val="20"/>
        </w:rPr>
      </w:pPr>
      <w:r w:rsidRPr="008F113A">
        <w:rPr>
          <w:sz w:val="20"/>
          <w:szCs w:val="20"/>
        </w:rPr>
        <w:t>2.</w:t>
      </w:r>
      <w:r w:rsidR="00BD7BE9">
        <w:rPr>
          <w:sz w:val="20"/>
          <w:szCs w:val="20"/>
        </w:rPr>
        <w:t xml:space="preserve"> </w:t>
      </w:r>
      <w:r w:rsidRPr="008F113A">
        <w:rPr>
          <w:sz w:val="20"/>
          <w:szCs w:val="20"/>
        </w:rPr>
        <w:tab/>
        <w:t xml:space="preserve">At this conference the dates for filing of full witness statements by the parties will be fixed, it being understood that the witness statements will constitute, save with the leave of the Judge or Judges, the evidence in chief of the particular witness. </w:t>
      </w:r>
    </w:p>
    <w:p w14:paraId="267BF498" w14:textId="77777777" w:rsidR="008F113A" w:rsidRPr="008F113A" w:rsidRDefault="008F113A" w:rsidP="00F71162">
      <w:pPr>
        <w:tabs>
          <w:tab w:val="left" w:pos="1985"/>
        </w:tabs>
        <w:spacing w:line="360" w:lineRule="auto"/>
        <w:ind w:left="1985" w:hanging="851"/>
        <w:rPr>
          <w:sz w:val="20"/>
          <w:szCs w:val="20"/>
        </w:rPr>
      </w:pPr>
    </w:p>
    <w:p w14:paraId="7C633E29" w14:textId="564C7E53" w:rsidR="008F113A" w:rsidRPr="008F113A" w:rsidRDefault="008F113A" w:rsidP="00F71162">
      <w:pPr>
        <w:tabs>
          <w:tab w:val="left" w:pos="1985"/>
        </w:tabs>
        <w:spacing w:line="360" w:lineRule="auto"/>
        <w:ind w:left="1985" w:hanging="851"/>
        <w:rPr>
          <w:sz w:val="20"/>
          <w:szCs w:val="20"/>
        </w:rPr>
      </w:pPr>
      <w:r w:rsidRPr="008F113A">
        <w:rPr>
          <w:sz w:val="20"/>
          <w:szCs w:val="20"/>
        </w:rPr>
        <w:t>3.</w:t>
      </w:r>
      <w:r w:rsidR="00BD7BE9">
        <w:rPr>
          <w:sz w:val="20"/>
          <w:szCs w:val="20"/>
        </w:rPr>
        <w:t xml:space="preserve"> </w:t>
      </w:r>
      <w:r w:rsidRPr="008F113A">
        <w:rPr>
          <w:sz w:val="20"/>
          <w:szCs w:val="20"/>
        </w:rPr>
        <w:tab/>
        <w:t xml:space="preserve">No general discovery is required in commercial court cases. </w:t>
      </w:r>
    </w:p>
    <w:p w14:paraId="0654AE06" w14:textId="77777777" w:rsidR="008F113A" w:rsidRPr="008F113A" w:rsidRDefault="008F113A" w:rsidP="00F71162">
      <w:pPr>
        <w:tabs>
          <w:tab w:val="left" w:pos="1985"/>
        </w:tabs>
        <w:spacing w:line="360" w:lineRule="auto"/>
        <w:ind w:left="1985" w:hanging="851"/>
        <w:rPr>
          <w:sz w:val="20"/>
          <w:szCs w:val="20"/>
        </w:rPr>
      </w:pPr>
    </w:p>
    <w:p w14:paraId="79A4CADB" w14:textId="63199087" w:rsidR="008F113A" w:rsidRDefault="008F113A" w:rsidP="00F71162">
      <w:pPr>
        <w:tabs>
          <w:tab w:val="left" w:pos="1985"/>
        </w:tabs>
        <w:spacing w:line="360" w:lineRule="auto"/>
        <w:ind w:left="1985" w:hanging="851"/>
        <w:rPr>
          <w:sz w:val="20"/>
          <w:szCs w:val="20"/>
        </w:rPr>
      </w:pPr>
      <w:r w:rsidRPr="008F113A">
        <w:rPr>
          <w:sz w:val="20"/>
          <w:szCs w:val="20"/>
        </w:rPr>
        <w:t>4.</w:t>
      </w:r>
      <w:r w:rsidR="00BD7BE9">
        <w:rPr>
          <w:sz w:val="20"/>
          <w:szCs w:val="20"/>
        </w:rPr>
        <w:t xml:space="preserve"> </w:t>
      </w:r>
      <w:r w:rsidRPr="008F113A">
        <w:rPr>
          <w:sz w:val="20"/>
          <w:szCs w:val="20"/>
        </w:rPr>
        <w:tab/>
        <w:t xml:space="preserve">At a second Case Management Conference, the Judge or Judges may allow for the targeted disclosure of documents. </w:t>
      </w:r>
      <w:r w:rsidR="00F71162">
        <w:rPr>
          <w:sz w:val="20"/>
          <w:szCs w:val="20"/>
        </w:rPr>
        <w:t xml:space="preserve"> </w:t>
      </w:r>
      <w:r w:rsidRPr="008F113A">
        <w:rPr>
          <w:sz w:val="20"/>
          <w:szCs w:val="20"/>
        </w:rPr>
        <w:t xml:space="preserve">If permitted, a request for disclosure must be made concerning specific documents or classes of documents that are relevant to the dispute as defined in the statement of case or responsive statement of the case. </w:t>
      </w:r>
      <w:r w:rsidR="00F71162">
        <w:rPr>
          <w:sz w:val="20"/>
          <w:szCs w:val="20"/>
        </w:rPr>
        <w:t xml:space="preserve"> </w:t>
      </w:r>
      <w:r w:rsidRPr="008F113A">
        <w:rPr>
          <w:sz w:val="20"/>
          <w:szCs w:val="20"/>
        </w:rPr>
        <w:t>Any enforcement applications relating to disclosure will be determined by the Judge or Judges in good time to permit of orderly preparation for trial.</w:t>
      </w:r>
      <w:r w:rsidR="00F71162">
        <w:rPr>
          <w:sz w:val="20"/>
          <w:szCs w:val="20"/>
        </w:rPr>
        <w:t xml:space="preserve"> </w:t>
      </w:r>
    </w:p>
    <w:p w14:paraId="0542E280"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420739FB" w14:textId="70EB9957" w:rsidR="008F113A" w:rsidRDefault="008F113A" w:rsidP="00F71162">
      <w:pPr>
        <w:tabs>
          <w:tab w:val="left" w:pos="1985"/>
        </w:tabs>
        <w:spacing w:line="360" w:lineRule="auto"/>
        <w:ind w:left="1985" w:hanging="851"/>
        <w:rPr>
          <w:sz w:val="20"/>
          <w:szCs w:val="20"/>
        </w:rPr>
      </w:pPr>
      <w:r w:rsidRPr="008F113A">
        <w:rPr>
          <w:sz w:val="20"/>
          <w:szCs w:val="20"/>
        </w:rPr>
        <w:t>5.</w:t>
      </w:r>
      <w:r w:rsidR="00BD7BE9">
        <w:rPr>
          <w:sz w:val="20"/>
          <w:szCs w:val="20"/>
        </w:rPr>
        <w:t xml:space="preserve"> </w:t>
      </w:r>
      <w:r w:rsidRPr="008F113A">
        <w:rPr>
          <w:sz w:val="20"/>
          <w:szCs w:val="20"/>
        </w:rPr>
        <w:tab/>
        <w:t xml:space="preserve">Expert evidence that is sought to be led at trial is to be dealt with as follows: </w:t>
      </w:r>
    </w:p>
    <w:p w14:paraId="520EB18B" w14:textId="77777777" w:rsidR="008F113A" w:rsidRPr="008F113A" w:rsidRDefault="008F113A" w:rsidP="008F113A">
      <w:pPr>
        <w:tabs>
          <w:tab w:val="left" w:pos="1134"/>
          <w:tab w:val="left" w:pos="1985"/>
          <w:tab w:val="left" w:pos="2835"/>
          <w:tab w:val="left" w:pos="3686"/>
        </w:tabs>
        <w:spacing w:line="360" w:lineRule="auto"/>
        <w:ind w:left="1985" w:hanging="851"/>
        <w:rPr>
          <w:sz w:val="20"/>
          <w:szCs w:val="20"/>
        </w:rPr>
      </w:pPr>
    </w:p>
    <w:p w14:paraId="2D0A3CA6" w14:textId="7B34CFC8" w:rsidR="008F113A" w:rsidRDefault="008F113A" w:rsidP="00F71162">
      <w:pPr>
        <w:tabs>
          <w:tab w:val="left" w:pos="2835"/>
        </w:tabs>
        <w:spacing w:line="360" w:lineRule="auto"/>
        <w:ind w:left="2835" w:hanging="850"/>
        <w:rPr>
          <w:sz w:val="20"/>
          <w:szCs w:val="20"/>
        </w:rPr>
      </w:pPr>
      <w:r w:rsidRPr="008F113A">
        <w:rPr>
          <w:sz w:val="20"/>
          <w:szCs w:val="20"/>
        </w:rPr>
        <w:t xml:space="preserve">a)  </w:t>
      </w:r>
      <w:r>
        <w:rPr>
          <w:sz w:val="20"/>
          <w:szCs w:val="20"/>
        </w:rPr>
        <w:tab/>
      </w:r>
      <w:r w:rsidRPr="008F113A">
        <w:rPr>
          <w:sz w:val="20"/>
          <w:szCs w:val="20"/>
        </w:rPr>
        <w:t xml:space="preserve">If the matter involves expert evidence, within the times determined by the Judge or Judges, the experts must: </w:t>
      </w:r>
    </w:p>
    <w:p w14:paraId="341421BF" w14:textId="77777777" w:rsidR="008F113A" w:rsidRPr="008F113A" w:rsidRDefault="008F113A" w:rsidP="00F71162">
      <w:pPr>
        <w:tabs>
          <w:tab w:val="left" w:pos="2835"/>
        </w:tabs>
        <w:spacing w:line="360" w:lineRule="auto"/>
        <w:ind w:left="2835" w:hanging="850"/>
        <w:rPr>
          <w:sz w:val="20"/>
          <w:szCs w:val="20"/>
        </w:rPr>
      </w:pPr>
    </w:p>
    <w:p w14:paraId="7CC56B04" w14:textId="4BA4E0CF" w:rsidR="008F113A" w:rsidRPr="008F113A" w:rsidRDefault="008F113A" w:rsidP="00F71162">
      <w:pPr>
        <w:tabs>
          <w:tab w:val="left" w:pos="2835"/>
        </w:tabs>
        <w:spacing w:line="360" w:lineRule="auto"/>
        <w:ind w:left="2835" w:hanging="850"/>
        <w:rPr>
          <w:sz w:val="20"/>
          <w:szCs w:val="20"/>
        </w:rPr>
      </w:pPr>
      <w:r w:rsidRPr="008F113A">
        <w:rPr>
          <w:sz w:val="20"/>
          <w:szCs w:val="20"/>
        </w:rPr>
        <w:t xml:space="preserve">b)  </w:t>
      </w:r>
      <w:r>
        <w:rPr>
          <w:sz w:val="20"/>
          <w:szCs w:val="20"/>
        </w:rPr>
        <w:tab/>
      </w:r>
      <w:r w:rsidRPr="008F113A">
        <w:rPr>
          <w:sz w:val="20"/>
          <w:szCs w:val="20"/>
        </w:rPr>
        <w:t xml:space="preserve">Convene a meeting of the experts; </w:t>
      </w:r>
    </w:p>
    <w:p w14:paraId="3CA779EE" w14:textId="77777777" w:rsidR="008F113A" w:rsidRPr="008F113A" w:rsidRDefault="008F113A" w:rsidP="00F71162">
      <w:pPr>
        <w:tabs>
          <w:tab w:val="left" w:pos="2835"/>
        </w:tabs>
        <w:spacing w:line="360" w:lineRule="auto"/>
        <w:ind w:left="2835" w:hanging="850"/>
        <w:rPr>
          <w:sz w:val="20"/>
          <w:szCs w:val="20"/>
        </w:rPr>
      </w:pPr>
    </w:p>
    <w:p w14:paraId="7FFD7480" w14:textId="55EBAB86" w:rsidR="008F113A" w:rsidRDefault="008F113A" w:rsidP="00F71162">
      <w:pPr>
        <w:tabs>
          <w:tab w:val="left" w:pos="2835"/>
        </w:tabs>
        <w:spacing w:line="360" w:lineRule="auto"/>
        <w:ind w:left="2835" w:hanging="850"/>
        <w:rPr>
          <w:sz w:val="20"/>
          <w:szCs w:val="20"/>
        </w:rPr>
      </w:pPr>
      <w:r w:rsidRPr="008F113A">
        <w:rPr>
          <w:sz w:val="20"/>
          <w:szCs w:val="20"/>
        </w:rPr>
        <w:t xml:space="preserve">c)  </w:t>
      </w:r>
      <w:r>
        <w:rPr>
          <w:sz w:val="20"/>
          <w:szCs w:val="20"/>
        </w:rPr>
        <w:tab/>
      </w:r>
      <w:r w:rsidRPr="008F113A">
        <w:rPr>
          <w:sz w:val="20"/>
          <w:szCs w:val="20"/>
        </w:rPr>
        <w:t xml:space="preserve">File their expert reports; </w:t>
      </w:r>
    </w:p>
    <w:p w14:paraId="4D200E91" w14:textId="77777777" w:rsidR="008F113A" w:rsidRPr="008F113A" w:rsidRDefault="008F113A" w:rsidP="00F71162">
      <w:pPr>
        <w:tabs>
          <w:tab w:val="left" w:pos="2835"/>
        </w:tabs>
        <w:spacing w:line="360" w:lineRule="auto"/>
        <w:ind w:left="2835" w:hanging="850"/>
        <w:rPr>
          <w:sz w:val="20"/>
          <w:szCs w:val="20"/>
        </w:rPr>
      </w:pPr>
    </w:p>
    <w:p w14:paraId="396B58EC" w14:textId="61DBB72D" w:rsidR="008F113A" w:rsidRDefault="008F113A" w:rsidP="00F71162">
      <w:pPr>
        <w:tabs>
          <w:tab w:val="left" w:pos="2835"/>
        </w:tabs>
        <w:spacing w:line="360" w:lineRule="auto"/>
        <w:ind w:left="2835" w:hanging="850"/>
        <w:rPr>
          <w:sz w:val="20"/>
          <w:szCs w:val="20"/>
        </w:rPr>
      </w:pPr>
      <w:r w:rsidRPr="008F113A">
        <w:rPr>
          <w:sz w:val="20"/>
          <w:szCs w:val="20"/>
        </w:rPr>
        <w:lastRenderedPageBreak/>
        <w:t xml:space="preserve">d)  </w:t>
      </w:r>
      <w:r>
        <w:rPr>
          <w:sz w:val="20"/>
          <w:szCs w:val="20"/>
        </w:rPr>
        <w:tab/>
      </w:r>
      <w:r w:rsidRPr="008F113A">
        <w:rPr>
          <w:sz w:val="20"/>
          <w:szCs w:val="20"/>
        </w:rPr>
        <w:t xml:space="preserve">Produce a joint minute setting out the issues of agreement and disagreement as between the experts and the reasons for the disagreement. </w:t>
      </w:r>
    </w:p>
    <w:p w14:paraId="450F25C5" w14:textId="77777777" w:rsidR="008F113A" w:rsidRPr="008F113A" w:rsidRDefault="008F113A" w:rsidP="00F71162">
      <w:pPr>
        <w:tabs>
          <w:tab w:val="left" w:pos="2835"/>
        </w:tabs>
        <w:spacing w:line="360" w:lineRule="auto"/>
        <w:ind w:left="2835" w:hanging="850"/>
        <w:rPr>
          <w:sz w:val="20"/>
          <w:szCs w:val="20"/>
        </w:rPr>
      </w:pPr>
    </w:p>
    <w:p w14:paraId="663F2A7A" w14:textId="7128CA09" w:rsidR="008F113A" w:rsidRDefault="008F113A" w:rsidP="00F71162">
      <w:pPr>
        <w:tabs>
          <w:tab w:val="left" w:pos="2835"/>
        </w:tabs>
        <w:spacing w:line="360" w:lineRule="auto"/>
        <w:ind w:left="2835" w:hanging="850"/>
        <w:rPr>
          <w:sz w:val="20"/>
          <w:szCs w:val="20"/>
        </w:rPr>
      </w:pPr>
      <w:r w:rsidRPr="008F113A">
        <w:rPr>
          <w:sz w:val="20"/>
          <w:szCs w:val="20"/>
        </w:rPr>
        <w:t xml:space="preserve">e)  </w:t>
      </w:r>
      <w:r>
        <w:rPr>
          <w:sz w:val="20"/>
          <w:szCs w:val="20"/>
        </w:rPr>
        <w:tab/>
      </w:r>
      <w:r w:rsidRPr="008F113A">
        <w:rPr>
          <w:sz w:val="20"/>
          <w:szCs w:val="20"/>
        </w:rPr>
        <w:t xml:space="preserve">The Judge or Judges may convene a meeting with the experts to narrow the issues to be determined at trial. </w:t>
      </w:r>
    </w:p>
    <w:p w14:paraId="44DBA272" w14:textId="77777777" w:rsidR="008F113A" w:rsidRPr="008F113A" w:rsidRDefault="008F113A" w:rsidP="008F113A">
      <w:pPr>
        <w:tabs>
          <w:tab w:val="left" w:pos="1134"/>
          <w:tab w:val="left" w:pos="1985"/>
          <w:tab w:val="left" w:pos="2835"/>
          <w:tab w:val="left" w:pos="3686"/>
        </w:tabs>
        <w:spacing w:line="360" w:lineRule="auto"/>
        <w:ind w:left="2835" w:hanging="850"/>
        <w:rPr>
          <w:sz w:val="20"/>
          <w:szCs w:val="20"/>
        </w:rPr>
      </w:pPr>
    </w:p>
    <w:p w14:paraId="39AE4353" w14:textId="19669106" w:rsidR="008F113A" w:rsidRPr="008F113A" w:rsidRDefault="008F113A" w:rsidP="00F71162">
      <w:pPr>
        <w:tabs>
          <w:tab w:val="left" w:pos="1985"/>
        </w:tabs>
        <w:spacing w:line="360" w:lineRule="auto"/>
        <w:ind w:left="1985" w:hanging="851"/>
        <w:rPr>
          <w:sz w:val="20"/>
          <w:szCs w:val="20"/>
        </w:rPr>
      </w:pPr>
      <w:r w:rsidRPr="008F113A">
        <w:rPr>
          <w:sz w:val="20"/>
          <w:szCs w:val="20"/>
        </w:rPr>
        <w:t>6.</w:t>
      </w:r>
      <w:r w:rsidR="00BD7BE9">
        <w:rPr>
          <w:sz w:val="20"/>
          <w:szCs w:val="20"/>
        </w:rPr>
        <w:t xml:space="preserve"> </w:t>
      </w:r>
      <w:r w:rsidRPr="008F113A">
        <w:rPr>
          <w:sz w:val="20"/>
          <w:szCs w:val="20"/>
        </w:rPr>
        <w:tab/>
        <w:t>Should further conferences be required, parties may approach the allocated Judge or Judges to convene a conference upon good cause; the allocated Judge or Judges will determine whether to convene such a conference and dispose of any further matters arising."</w:t>
      </w:r>
      <w:r w:rsidR="00E567C2">
        <w:rPr>
          <w:sz w:val="20"/>
          <w:szCs w:val="20"/>
        </w:rPr>
        <w:t xml:space="preserve"> </w:t>
      </w:r>
    </w:p>
    <w:p w14:paraId="4848F3A8" w14:textId="77777777" w:rsidR="008F113A" w:rsidRPr="008F113A" w:rsidRDefault="008F113A" w:rsidP="008F113A"/>
    <w:p w14:paraId="7C014ACA" w14:textId="39563C62" w:rsidR="005E02F1" w:rsidRDefault="00337B45" w:rsidP="00337B45">
      <w:pPr>
        <w:pStyle w:val="NUM1"/>
        <w:numPr>
          <w:ilvl w:val="0"/>
          <w:numId w:val="0"/>
        </w:numPr>
        <w:tabs>
          <w:tab w:val="left" w:pos="567"/>
        </w:tabs>
        <w:ind w:left="567" w:hanging="567"/>
      </w:pPr>
      <w:r>
        <w:rPr>
          <w:caps/>
        </w:rPr>
        <w:t>[27]</w:t>
      </w:r>
      <w:r>
        <w:rPr>
          <w:caps/>
        </w:rPr>
        <w:tab/>
      </w:r>
      <w:r w:rsidR="00777D6E">
        <w:t xml:space="preserve">It appears that </w:t>
      </w:r>
      <w:r w:rsidR="000A510D">
        <w:t>practice directives</w:t>
      </w:r>
      <w:r w:rsidR="00DC6402">
        <w:t xml:space="preserve"> enjoy</w:t>
      </w:r>
      <w:r w:rsidR="00343625">
        <w:t xml:space="preserve"> </w:t>
      </w:r>
      <w:r w:rsidR="00777D6E">
        <w:t xml:space="preserve">the same status </w:t>
      </w:r>
      <w:r w:rsidR="00DC6402">
        <w:t>as</w:t>
      </w:r>
      <w:r w:rsidR="00343625">
        <w:t xml:space="preserve"> the Uniform Rules of Court</w:t>
      </w:r>
      <w:r w:rsidR="00F15A20">
        <w:t>.</w:t>
      </w:r>
      <w:r w:rsidR="00777D6E">
        <w:t xml:space="preserve"> </w:t>
      </w:r>
      <w:r w:rsidR="00A4788B">
        <w:t xml:space="preserve"> </w:t>
      </w:r>
      <w:r w:rsidR="005A2738">
        <w:rPr>
          <w:rStyle w:val="FootnoteReference"/>
        </w:rPr>
        <w:footnoteReference w:id="6"/>
      </w:r>
      <w:r w:rsidR="005A2738">
        <w:t xml:space="preserve"> </w:t>
      </w:r>
      <w:r w:rsidR="00DC6402">
        <w:t xml:space="preserve"> </w:t>
      </w:r>
      <w:r w:rsidR="005369DD">
        <w:t>But, even if this is not the case, i</w:t>
      </w:r>
      <w:r w:rsidR="00DC6402">
        <w:t xml:space="preserve">t is entirely irrational and wasteful that litigants would apply, in terms of the Directive, for the certification of a matter as “commercial”, and then ignore the mechanism provided in the Directive </w:t>
      </w:r>
      <w:r w:rsidR="005E02F1">
        <w:t>for the</w:t>
      </w:r>
      <w:r w:rsidR="00DC6402">
        <w:t xml:space="preserve"> prosecut</w:t>
      </w:r>
      <w:r w:rsidR="005E02F1">
        <w:t>ion of</w:t>
      </w:r>
      <w:r w:rsidR="00DC6402">
        <w:t xml:space="preserve"> the matter</w:t>
      </w:r>
      <w:r w:rsidR="005E02F1">
        <w:t>.</w:t>
      </w:r>
      <w:r w:rsidR="005E02F1">
        <w:rPr>
          <w:rStyle w:val="FootnoteReference"/>
        </w:rPr>
        <w:footnoteReference w:id="7"/>
      </w:r>
      <w:r w:rsidR="005E02F1">
        <w:t xml:space="preserve"> </w:t>
      </w:r>
      <w:r w:rsidR="00DC6402">
        <w:t xml:space="preserve"> </w:t>
      </w:r>
      <w:r w:rsidR="00F63296">
        <w:t>Further, the procedural steps stipulated in the Directive are couched in peremptory</w:t>
      </w:r>
      <w:r w:rsidR="003C2AB3">
        <w:t xml:space="preserve"> terms</w:t>
      </w:r>
      <w:r w:rsidR="00F63296">
        <w:t>.  I can see little scope for litigants</w:t>
      </w:r>
      <w:r w:rsidR="003C2AB3">
        <w:t>,</w:t>
      </w:r>
      <w:r w:rsidR="00F63296">
        <w:t xml:space="preserve"> who chose to have their dispute resolved by application of the Directive</w:t>
      </w:r>
      <w:r w:rsidR="003C2AB3">
        <w:t>,</w:t>
      </w:r>
      <w:r w:rsidR="00F63296">
        <w:t xml:space="preserve"> avoiding or sidestepping </w:t>
      </w:r>
      <w:r w:rsidR="003C2AB3">
        <w:t>the carefully considered and well-designed process therein.</w:t>
      </w:r>
    </w:p>
    <w:p w14:paraId="5C89989A" w14:textId="753E8F03" w:rsidR="005E02F1" w:rsidRDefault="00DC6402" w:rsidP="008837F2">
      <w:pPr>
        <w:pStyle w:val="NUM1"/>
        <w:numPr>
          <w:ilvl w:val="0"/>
          <w:numId w:val="0"/>
        </w:numPr>
        <w:ind w:left="567"/>
      </w:pPr>
      <w:r w:rsidRPr="00DC6402">
        <w:t xml:space="preserve"> </w:t>
      </w:r>
    </w:p>
    <w:p w14:paraId="5BED0AEB" w14:textId="6744113D" w:rsidR="00BA5E71" w:rsidRDefault="00337B45" w:rsidP="00337B45">
      <w:pPr>
        <w:pStyle w:val="NUM1"/>
        <w:numPr>
          <w:ilvl w:val="0"/>
          <w:numId w:val="0"/>
        </w:numPr>
        <w:tabs>
          <w:tab w:val="left" w:pos="567"/>
        </w:tabs>
        <w:ind w:left="567" w:hanging="567"/>
      </w:pPr>
      <w:r>
        <w:rPr>
          <w:caps/>
        </w:rPr>
        <w:t>[28]</w:t>
      </w:r>
      <w:r>
        <w:rPr>
          <w:caps/>
        </w:rPr>
        <w:tab/>
      </w:r>
      <w:r w:rsidR="00DC6402">
        <w:t xml:space="preserve">There is, then, an obligation on </w:t>
      </w:r>
      <w:r w:rsidR="005E02F1">
        <w:t xml:space="preserve">litigants, their legal practitioners </w:t>
      </w:r>
      <w:r w:rsidR="00DC6402">
        <w:t>and judges, ordinarily, to adhere to the</w:t>
      </w:r>
      <w:r w:rsidR="00B35B4E">
        <w:t xml:space="preserve"> procedure stipulated in the Directive</w:t>
      </w:r>
      <w:r w:rsidR="00DC6402">
        <w:t>.</w:t>
      </w:r>
      <w:r w:rsidR="00DC6402">
        <w:rPr>
          <w:rStyle w:val="FootnoteReference"/>
        </w:rPr>
        <w:footnoteReference w:id="8"/>
      </w:r>
      <w:r w:rsidR="00DC6402">
        <w:t xml:space="preserve">  I say “</w:t>
      </w:r>
      <w:r w:rsidR="00DC6402" w:rsidRPr="00946A2D">
        <w:rPr>
          <w:iCs/>
        </w:rPr>
        <w:t>ordinarily</w:t>
      </w:r>
      <w:r w:rsidR="00DC6402">
        <w:t>” because of the power retained by courts to regulate their own process</w:t>
      </w:r>
      <w:r w:rsidR="005E02F1">
        <w:t xml:space="preserve"> and</w:t>
      </w:r>
      <w:r w:rsidR="003C2AB3">
        <w:t xml:space="preserve"> because</w:t>
      </w:r>
      <w:r w:rsidR="005E02F1">
        <w:t xml:space="preserve"> the mechanism I shall now discuss being more appropriate for proceedings by way of action than by way of application.</w:t>
      </w:r>
    </w:p>
    <w:p w14:paraId="1E53DB7A" w14:textId="77777777" w:rsidR="000A510D" w:rsidRPr="000A510D" w:rsidRDefault="000A510D" w:rsidP="00A4788B">
      <w:pPr>
        <w:tabs>
          <w:tab w:val="num" w:pos="567"/>
        </w:tabs>
        <w:ind w:left="567" w:hanging="567"/>
      </w:pPr>
    </w:p>
    <w:p w14:paraId="294D9184" w14:textId="352F00F2" w:rsidR="00757240" w:rsidRDefault="00337B45" w:rsidP="00337B45">
      <w:pPr>
        <w:pStyle w:val="NUM1"/>
        <w:numPr>
          <w:ilvl w:val="0"/>
          <w:numId w:val="0"/>
        </w:numPr>
        <w:tabs>
          <w:tab w:val="left" w:pos="567"/>
        </w:tabs>
        <w:ind w:left="567" w:hanging="567"/>
      </w:pPr>
      <w:r>
        <w:rPr>
          <w:caps/>
        </w:rPr>
        <w:t>[29]</w:t>
      </w:r>
      <w:r>
        <w:rPr>
          <w:caps/>
        </w:rPr>
        <w:tab/>
      </w:r>
      <w:r w:rsidR="00D20B7A">
        <w:t>I have quoted the provisions of the Directive in full, not to add</w:t>
      </w:r>
      <w:r w:rsidR="00617904">
        <w:t xml:space="preserve"> undue length to this judgment, </w:t>
      </w:r>
      <w:r w:rsidR="002E6810">
        <w:t xml:space="preserve">but to </w:t>
      </w:r>
      <w:r w:rsidR="00757240">
        <w:t>set out</w:t>
      </w:r>
      <w:r w:rsidR="002E6810">
        <w:t xml:space="preserve"> </w:t>
      </w:r>
      <w:r w:rsidR="00197F05">
        <w:t>the structure of the Directive</w:t>
      </w:r>
      <w:r w:rsidR="00B0654C">
        <w:t>,</w:t>
      </w:r>
      <w:r w:rsidR="008573FE">
        <w:t xml:space="preserve"> and </w:t>
      </w:r>
      <w:r w:rsidR="00F15A20">
        <w:t>to give context to the discussion that follows as to the reason</w:t>
      </w:r>
      <w:r w:rsidR="008573FE">
        <w:t xml:space="preserve"> why the steps envisaged at each stage of </w:t>
      </w:r>
      <w:r w:rsidR="00F15A20">
        <w:t xml:space="preserve">Directive </w:t>
      </w:r>
      <w:r w:rsidR="008573FE">
        <w:t xml:space="preserve">are important in giving effect to the purpose </w:t>
      </w:r>
      <w:r w:rsidR="00F15A20">
        <w:t>thereof</w:t>
      </w:r>
      <w:r w:rsidR="008573FE">
        <w:t>.</w:t>
      </w:r>
      <w:r w:rsidR="00B0654C">
        <w:t xml:space="preserve"> </w:t>
      </w:r>
      <w:r w:rsidR="00946A2D">
        <w:t>As far as I have been able to ascertain, there are, as yet, no judgments dealing with the interpretation and application of the Directive.  It is for this reason that I embark on the discussion below.</w:t>
      </w:r>
    </w:p>
    <w:p w14:paraId="2D4D2586" w14:textId="03A56092" w:rsidR="00757240" w:rsidRDefault="00757240" w:rsidP="00A4788B">
      <w:pPr>
        <w:tabs>
          <w:tab w:val="num" w:pos="567"/>
        </w:tabs>
        <w:ind w:left="567" w:hanging="567"/>
      </w:pPr>
    </w:p>
    <w:p w14:paraId="02A1D38F" w14:textId="26AC25B3" w:rsidR="004E5AAC" w:rsidRDefault="00337B45" w:rsidP="00337B45">
      <w:pPr>
        <w:pStyle w:val="NUM1"/>
        <w:numPr>
          <w:ilvl w:val="0"/>
          <w:numId w:val="0"/>
        </w:numPr>
        <w:tabs>
          <w:tab w:val="left" w:pos="567"/>
        </w:tabs>
        <w:ind w:left="567" w:hanging="567"/>
        <w:rPr>
          <w:lang w:val="en-GB"/>
        </w:rPr>
      </w:pPr>
      <w:r>
        <w:rPr>
          <w:caps/>
          <w:lang w:val="en-GB"/>
        </w:rPr>
        <w:t>[30]</w:t>
      </w:r>
      <w:r>
        <w:rPr>
          <w:caps/>
          <w:lang w:val="en-GB"/>
        </w:rPr>
        <w:tab/>
      </w:r>
      <w:r w:rsidR="004E5AAC">
        <w:rPr>
          <w:lang w:val="en-GB"/>
        </w:rPr>
        <w:t xml:space="preserve">Chapter 3 </w:t>
      </w:r>
      <w:r w:rsidR="00CE1D21">
        <w:rPr>
          <w:lang w:val="en-GB"/>
        </w:rPr>
        <w:t xml:space="preserve">of the Directive </w:t>
      </w:r>
      <w:r w:rsidR="004E5AAC">
        <w:rPr>
          <w:lang w:val="en-GB"/>
        </w:rPr>
        <w:t>concerns the first case management meeting.</w:t>
      </w:r>
      <w:r w:rsidR="00B0654C">
        <w:rPr>
          <w:lang w:val="en-GB"/>
        </w:rPr>
        <w:t xml:space="preserve"> </w:t>
      </w:r>
      <w:r w:rsidR="004E5AAC">
        <w:rPr>
          <w:lang w:val="en-GB"/>
        </w:rPr>
        <w:t xml:space="preserve"> It is apparent from clause 1 of Chapter 3 that </w:t>
      </w:r>
      <w:r w:rsidR="00A81D21">
        <w:rPr>
          <w:lang w:val="en-GB"/>
        </w:rPr>
        <w:t xml:space="preserve">it </w:t>
      </w:r>
      <w:r w:rsidR="004E5AAC">
        <w:rPr>
          <w:lang w:val="en-GB"/>
        </w:rPr>
        <w:t xml:space="preserve">is to be held within a short </w:t>
      </w:r>
      <w:r w:rsidR="00CE1D21">
        <w:rPr>
          <w:lang w:val="en-GB"/>
        </w:rPr>
        <w:t>time</w:t>
      </w:r>
      <w:r w:rsidR="004E5AAC">
        <w:rPr>
          <w:lang w:val="en-GB"/>
        </w:rPr>
        <w:t xml:space="preserve"> of the allocation of a case to the commercial stream</w:t>
      </w:r>
      <w:r w:rsidR="00B0654C">
        <w:rPr>
          <w:lang w:val="en-GB"/>
        </w:rPr>
        <w:t>,</w:t>
      </w:r>
      <w:r w:rsidR="004E5AAC">
        <w:rPr>
          <w:lang w:val="en-GB"/>
        </w:rPr>
        <w:t xml:space="preserve"> and, in clause 2, it contemplates </w:t>
      </w:r>
      <w:r w:rsidR="00CE1D21">
        <w:rPr>
          <w:lang w:val="en-GB"/>
        </w:rPr>
        <w:t xml:space="preserve">that some </w:t>
      </w:r>
      <w:r w:rsidR="004E5AAC">
        <w:rPr>
          <w:lang w:val="en-GB"/>
        </w:rPr>
        <w:t>eight issues</w:t>
      </w:r>
      <w:r w:rsidR="00CE1D21">
        <w:rPr>
          <w:lang w:val="en-GB"/>
        </w:rPr>
        <w:t xml:space="preserve"> </w:t>
      </w:r>
      <w:r w:rsidR="006B5262" w:rsidRPr="008837F2">
        <w:rPr>
          <w:i/>
          <w:iCs/>
          <w:lang w:val="en-GB"/>
        </w:rPr>
        <w:t>must</w:t>
      </w:r>
      <w:r w:rsidR="006B5262">
        <w:rPr>
          <w:lang w:val="en-GB"/>
        </w:rPr>
        <w:t xml:space="preserve"> </w:t>
      </w:r>
      <w:r w:rsidR="00CE1D21">
        <w:rPr>
          <w:lang w:val="en-GB"/>
        </w:rPr>
        <w:t xml:space="preserve">be traversed. </w:t>
      </w:r>
      <w:r w:rsidR="00B0654C">
        <w:rPr>
          <w:lang w:val="en-GB"/>
        </w:rPr>
        <w:t xml:space="preserve"> </w:t>
      </w:r>
      <w:r w:rsidR="00CE1D21">
        <w:rPr>
          <w:lang w:val="en-GB"/>
        </w:rPr>
        <w:t>These eight issues are, for obvious reason</w:t>
      </w:r>
      <w:r w:rsidR="00B0654C">
        <w:rPr>
          <w:lang w:val="en-GB"/>
        </w:rPr>
        <w:t>s</w:t>
      </w:r>
      <w:r w:rsidR="00CE1D21">
        <w:rPr>
          <w:lang w:val="en-GB"/>
        </w:rPr>
        <w:t>,</w:t>
      </w:r>
      <w:r w:rsidR="004E5AAC">
        <w:rPr>
          <w:lang w:val="en-GB"/>
        </w:rPr>
        <w:t xml:space="preserve"> fundamental to the expeditious prosecution of a case.</w:t>
      </w:r>
      <w:r w:rsidR="00B0654C">
        <w:rPr>
          <w:lang w:val="en-GB"/>
        </w:rPr>
        <w:t xml:space="preserve"> </w:t>
      </w:r>
      <w:r w:rsidR="004E5AAC">
        <w:rPr>
          <w:lang w:val="en-GB"/>
        </w:rPr>
        <w:t xml:space="preserve"> At the end of the first meeting</w:t>
      </w:r>
      <w:r w:rsidR="00455BD0">
        <w:rPr>
          <w:lang w:val="en-GB"/>
        </w:rPr>
        <w:t>,</w:t>
      </w:r>
      <w:r w:rsidR="004E5AAC">
        <w:rPr>
          <w:lang w:val="en-GB"/>
        </w:rPr>
        <w:t xml:space="preserve"> the case management judge will set a </w:t>
      </w:r>
      <w:r w:rsidR="009B04D0">
        <w:rPr>
          <w:lang w:val="en-GB"/>
        </w:rPr>
        <w:t>timetable</w:t>
      </w:r>
      <w:r w:rsidR="004E5AAC">
        <w:rPr>
          <w:lang w:val="en-GB"/>
        </w:rPr>
        <w:t xml:space="preserve"> either by agreement between the parties</w:t>
      </w:r>
      <w:r w:rsidR="00455BD0">
        <w:rPr>
          <w:lang w:val="en-GB"/>
        </w:rPr>
        <w:t>,</w:t>
      </w:r>
      <w:r w:rsidR="004E5AAC">
        <w:rPr>
          <w:lang w:val="en-GB"/>
        </w:rPr>
        <w:t xml:space="preserve"> or on the exercise of his or her own </w:t>
      </w:r>
      <w:r w:rsidR="00CE1D21">
        <w:rPr>
          <w:lang w:val="en-GB"/>
        </w:rPr>
        <w:t>discretion</w:t>
      </w:r>
      <w:r w:rsidR="004E5AAC">
        <w:rPr>
          <w:lang w:val="en-GB"/>
        </w:rPr>
        <w:t>.</w:t>
      </w:r>
      <w:r w:rsidR="00CE1D21">
        <w:rPr>
          <w:lang w:val="en-GB"/>
        </w:rPr>
        <w:t xml:space="preserve">  It is, therefore, contemplated that the parties</w:t>
      </w:r>
      <w:r w:rsidR="00881D6B">
        <w:rPr>
          <w:lang w:val="en-GB"/>
        </w:rPr>
        <w:t>,</w:t>
      </w:r>
      <w:r w:rsidR="00CE1D21">
        <w:rPr>
          <w:lang w:val="en-GB"/>
        </w:rPr>
        <w:t xml:space="preserve"> </w:t>
      </w:r>
      <w:r w:rsidR="005E02F1">
        <w:rPr>
          <w:lang w:val="en-GB"/>
        </w:rPr>
        <w:t xml:space="preserve">with guidance of </w:t>
      </w:r>
      <w:r w:rsidR="00CE1D21">
        <w:rPr>
          <w:lang w:val="en-GB"/>
        </w:rPr>
        <w:t>the case management judge</w:t>
      </w:r>
      <w:r w:rsidR="00881D6B">
        <w:rPr>
          <w:lang w:val="en-GB"/>
        </w:rPr>
        <w:t>,</w:t>
      </w:r>
      <w:r w:rsidR="00CE1D21">
        <w:rPr>
          <w:lang w:val="en-GB"/>
        </w:rPr>
        <w:t xml:space="preserve"> will from the very outset, work towards </w:t>
      </w:r>
      <w:r w:rsidR="00F15A20">
        <w:rPr>
          <w:lang w:val="en-GB"/>
        </w:rPr>
        <w:t>ensuring that a matter is ripe to be heard by a pre-determined</w:t>
      </w:r>
      <w:r w:rsidR="00CE1D21">
        <w:rPr>
          <w:lang w:val="en-GB"/>
        </w:rPr>
        <w:t xml:space="preserve"> hearing date.</w:t>
      </w:r>
      <w:r w:rsidR="00455BD0">
        <w:rPr>
          <w:lang w:val="en-GB"/>
        </w:rPr>
        <w:t xml:space="preserve"> </w:t>
      </w:r>
    </w:p>
    <w:p w14:paraId="153DBD6A" w14:textId="77777777" w:rsidR="004E5AAC" w:rsidRDefault="004E5AAC" w:rsidP="004E5AAC">
      <w:pPr>
        <w:rPr>
          <w:lang w:val="en-GB"/>
        </w:rPr>
      </w:pPr>
    </w:p>
    <w:p w14:paraId="54D74463" w14:textId="74C0E207" w:rsidR="00CE1D21" w:rsidRDefault="00337B45" w:rsidP="00337B45">
      <w:pPr>
        <w:pStyle w:val="NUM1"/>
        <w:numPr>
          <w:ilvl w:val="0"/>
          <w:numId w:val="0"/>
        </w:numPr>
        <w:tabs>
          <w:tab w:val="left" w:pos="567"/>
        </w:tabs>
        <w:ind w:left="567" w:hanging="567"/>
        <w:rPr>
          <w:lang w:val="en-GB"/>
        </w:rPr>
      </w:pPr>
      <w:r>
        <w:rPr>
          <w:caps/>
          <w:lang w:val="en-GB"/>
        </w:rPr>
        <w:t>[31]</w:t>
      </w:r>
      <w:r>
        <w:rPr>
          <w:caps/>
          <w:lang w:val="en-GB"/>
        </w:rPr>
        <w:tab/>
      </w:r>
      <w:r w:rsidR="004E5AAC">
        <w:rPr>
          <w:lang w:val="en-GB"/>
        </w:rPr>
        <w:t xml:space="preserve">Chapter 4 </w:t>
      </w:r>
      <w:r w:rsidR="00CE1D21">
        <w:rPr>
          <w:lang w:val="en-GB"/>
        </w:rPr>
        <w:t xml:space="preserve">of the Directive </w:t>
      </w:r>
      <w:r w:rsidR="004E5AAC">
        <w:rPr>
          <w:lang w:val="en-GB"/>
        </w:rPr>
        <w:t>concerns the steps to be taken immediately after the first case management meeting.</w:t>
      </w:r>
      <w:r w:rsidR="00A011C3">
        <w:rPr>
          <w:lang w:val="en-GB"/>
        </w:rPr>
        <w:t xml:space="preserve"> </w:t>
      </w:r>
      <w:r w:rsidR="004E5AAC">
        <w:rPr>
          <w:lang w:val="en-GB"/>
        </w:rPr>
        <w:t xml:space="preserve"> It requires, </w:t>
      </w:r>
      <w:r w:rsidR="004E5AAC" w:rsidRPr="004210EE">
        <w:rPr>
          <w:i/>
          <w:iCs/>
          <w:lang w:val="en-GB"/>
        </w:rPr>
        <w:t>inter alia</w:t>
      </w:r>
      <w:r w:rsidR="004E5AAC">
        <w:rPr>
          <w:lang w:val="en-GB"/>
        </w:rPr>
        <w:t xml:space="preserve">, the delivery of </w:t>
      </w:r>
      <w:r w:rsidR="00CE1D21">
        <w:rPr>
          <w:lang w:val="en-GB"/>
        </w:rPr>
        <w:t>“</w:t>
      </w:r>
      <w:r w:rsidR="004E5AAC" w:rsidRPr="00881D6B">
        <w:rPr>
          <w:iCs/>
          <w:lang w:val="en-GB"/>
        </w:rPr>
        <w:t>statement</w:t>
      </w:r>
      <w:r w:rsidR="00CE1D21" w:rsidRPr="00881D6B">
        <w:rPr>
          <w:iCs/>
          <w:lang w:val="en-GB"/>
        </w:rPr>
        <w:t>s</w:t>
      </w:r>
      <w:r w:rsidR="004E5AAC">
        <w:rPr>
          <w:lang w:val="en-GB"/>
        </w:rPr>
        <w:t>" setting out the cause of action and relief claimed, on the one hand</w:t>
      </w:r>
      <w:r w:rsidR="00A011C3">
        <w:rPr>
          <w:lang w:val="en-GB"/>
        </w:rPr>
        <w:t>,</w:t>
      </w:r>
      <w:r w:rsidR="004E5AAC">
        <w:rPr>
          <w:lang w:val="en-GB"/>
        </w:rPr>
        <w:t xml:space="preserve"> and the defence</w:t>
      </w:r>
      <w:r w:rsidR="00CE1D21">
        <w:rPr>
          <w:lang w:val="en-GB"/>
        </w:rPr>
        <w:t>/s relied upon</w:t>
      </w:r>
      <w:r w:rsidR="004E5AAC">
        <w:rPr>
          <w:lang w:val="en-GB"/>
        </w:rPr>
        <w:t xml:space="preserve"> on the other, the</w:t>
      </w:r>
      <w:r w:rsidR="00CE1D21">
        <w:rPr>
          <w:lang w:val="en-GB"/>
        </w:rPr>
        <w:t xml:space="preserve"> identification of the</w:t>
      </w:r>
      <w:r w:rsidR="004E5AAC">
        <w:rPr>
          <w:lang w:val="en-GB"/>
        </w:rPr>
        <w:t xml:space="preserve"> essential </w:t>
      </w:r>
      <w:r w:rsidR="004E5AAC">
        <w:rPr>
          <w:lang w:val="en-GB"/>
        </w:rPr>
        <w:lastRenderedPageBreak/>
        <w:t xml:space="preserve">documents </w:t>
      </w:r>
      <w:r w:rsidR="00CE1D21">
        <w:rPr>
          <w:lang w:val="en-GB"/>
        </w:rPr>
        <w:t>o</w:t>
      </w:r>
      <w:r w:rsidR="004E5AAC">
        <w:rPr>
          <w:lang w:val="en-GB"/>
        </w:rPr>
        <w:t>n which parties will rely and a summary of the</w:t>
      </w:r>
      <w:r w:rsidR="00CE1D21">
        <w:rPr>
          <w:lang w:val="en-GB"/>
        </w:rPr>
        <w:t>ir</w:t>
      </w:r>
      <w:r w:rsidR="004E5AAC">
        <w:rPr>
          <w:lang w:val="en-GB"/>
        </w:rPr>
        <w:t xml:space="preserve"> evidence</w:t>
      </w:r>
      <w:r w:rsidR="008D7BF0">
        <w:rPr>
          <w:lang w:val="en-GB"/>
        </w:rPr>
        <w:t xml:space="preserve"> (“</w:t>
      </w:r>
      <w:r w:rsidR="008D7BF0">
        <w:rPr>
          <w:b/>
          <w:bCs/>
          <w:lang w:val="en-GB"/>
        </w:rPr>
        <w:t>S</w:t>
      </w:r>
      <w:r w:rsidR="008D7BF0" w:rsidRPr="008837F2">
        <w:rPr>
          <w:b/>
          <w:bCs/>
          <w:lang w:val="en-GB"/>
        </w:rPr>
        <w:t xml:space="preserve">ummary </w:t>
      </w:r>
      <w:r w:rsidR="008D7BF0">
        <w:rPr>
          <w:b/>
          <w:bCs/>
          <w:lang w:val="en-GB"/>
        </w:rPr>
        <w:t>S</w:t>
      </w:r>
      <w:r w:rsidR="008D7BF0" w:rsidRPr="008837F2">
        <w:rPr>
          <w:b/>
          <w:bCs/>
          <w:lang w:val="en-GB"/>
        </w:rPr>
        <w:t>tatements</w:t>
      </w:r>
      <w:r w:rsidR="008D7BF0">
        <w:rPr>
          <w:lang w:val="en-GB"/>
        </w:rPr>
        <w:t>”)</w:t>
      </w:r>
      <w:r w:rsidR="004E5AAC">
        <w:rPr>
          <w:lang w:val="en-GB"/>
        </w:rPr>
        <w:t xml:space="preserve">. </w:t>
      </w:r>
    </w:p>
    <w:p w14:paraId="559AD0F3" w14:textId="77777777" w:rsidR="00CE1D21" w:rsidRPr="00CE1D21" w:rsidRDefault="00CE1D21" w:rsidP="00A011C3">
      <w:pPr>
        <w:tabs>
          <w:tab w:val="num" w:pos="567"/>
        </w:tabs>
        <w:ind w:left="567" w:hanging="567"/>
        <w:rPr>
          <w:lang w:val="en-GB"/>
        </w:rPr>
      </w:pPr>
    </w:p>
    <w:p w14:paraId="4FAE8545" w14:textId="66FF8C93" w:rsidR="00620DF2" w:rsidRDefault="00337B45" w:rsidP="00337B45">
      <w:pPr>
        <w:pStyle w:val="NUM1"/>
        <w:numPr>
          <w:ilvl w:val="0"/>
          <w:numId w:val="0"/>
        </w:numPr>
        <w:tabs>
          <w:tab w:val="left" w:pos="567"/>
        </w:tabs>
        <w:ind w:left="567" w:hanging="567"/>
        <w:rPr>
          <w:lang w:val="en-GB"/>
        </w:rPr>
      </w:pPr>
      <w:r>
        <w:rPr>
          <w:caps/>
          <w:lang w:val="en-GB"/>
        </w:rPr>
        <w:t>[32]</w:t>
      </w:r>
      <w:r>
        <w:rPr>
          <w:caps/>
          <w:lang w:val="en-GB"/>
        </w:rPr>
        <w:tab/>
      </w:r>
      <w:r w:rsidR="004E5AAC">
        <w:rPr>
          <w:lang w:val="en-GB"/>
        </w:rPr>
        <w:t>Th</w:t>
      </w:r>
      <w:r w:rsidR="00620DF2">
        <w:rPr>
          <w:lang w:val="en-GB"/>
        </w:rPr>
        <w:t xml:space="preserve">e delivery of </w:t>
      </w:r>
      <w:r w:rsidR="008D7BF0">
        <w:rPr>
          <w:lang w:val="en-GB"/>
        </w:rPr>
        <w:t>Summary</w:t>
      </w:r>
      <w:r w:rsidR="00620DF2">
        <w:rPr>
          <w:lang w:val="en-GB"/>
        </w:rPr>
        <w:t xml:space="preserve"> </w:t>
      </w:r>
      <w:r w:rsidR="008D7BF0">
        <w:rPr>
          <w:lang w:val="en-GB"/>
        </w:rPr>
        <w:t>S</w:t>
      </w:r>
      <w:r w:rsidR="00620DF2">
        <w:rPr>
          <w:lang w:val="en-GB"/>
        </w:rPr>
        <w:t>tatements</w:t>
      </w:r>
      <w:r w:rsidR="004E5AAC">
        <w:rPr>
          <w:lang w:val="en-GB"/>
        </w:rPr>
        <w:t xml:space="preserve"> is a very important step in the </w:t>
      </w:r>
      <w:r w:rsidR="00620DF2">
        <w:rPr>
          <w:lang w:val="en-GB"/>
        </w:rPr>
        <w:t xml:space="preserve">prosecution of a commercial court </w:t>
      </w:r>
      <w:r w:rsidR="004E5AAC">
        <w:rPr>
          <w:lang w:val="en-GB"/>
        </w:rPr>
        <w:t>matter</w:t>
      </w:r>
      <w:r w:rsidR="009F17A4">
        <w:rPr>
          <w:lang w:val="en-GB"/>
        </w:rPr>
        <w:t>,</w:t>
      </w:r>
      <w:r w:rsidR="004E5AAC">
        <w:rPr>
          <w:lang w:val="en-GB"/>
        </w:rPr>
        <w:t xml:space="preserve"> because requests for further particulars are </w:t>
      </w:r>
      <w:r w:rsidR="00707E42" w:rsidRPr="00707E42">
        <w:rPr>
          <w:lang w:val="en-GB"/>
        </w:rPr>
        <w:t>impermissible</w:t>
      </w:r>
      <w:r w:rsidR="004E5AAC">
        <w:rPr>
          <w:lang w:val="en-GB"/>
        </w:rPr>
        <w:t xml:space="preserve"> in terms of the </w:t>
      </w:r>
      <w:r w:rsidR="000E3BC9">
        <w:rPr>
          <w:lang w:val="en-GB"/>
        </w:rPr>
        <w:t>D</w:t>
      </w:r>
      <w:r w:rsidR="004E5AAC">
        <w:rPr>
          <w:lang w:val="en-GB"/>
        </w:rPr>
        <w:t>irective.</w:t>
      </w:r>
      <w:r w:rsidR="00620DF2">
        <w:rPr>
          <w:rStyle w:val="FootnoteReference"/>
          <w:lang w:val="en-GB"/>
        </w:rPr>
        <w:footnoteReference w:id="9"/>
      </w:r>
      <w:r w:rsidR="004E5AAC">
        <w:rPr>
          <w:lang w:val="en-GB"/>
        </w:rPr>
        <w:t xml:space="preserve"> </w:t>
      </w:r>
    </w:p>
    <w:p w14:paraId="0691B75B" w14:textId="77777777" w:rsidR="00620DF2" w:rsidRPr="00620DF2" w:rsidRDefault="00620DF2" w:rsidP="00A011C3">
      <w:pPr>
        <w:tabs>
          <w:tab w:val="num" w:pos="567"/>
        </w:tabs>
        <w:ind w:left="567" w:hanging="567"/>
        <w:rPr>
          <w:lang w:val="en-GB"/>
        </w:rPr>
      </w:pPr>
    </w:p>
    <w:p w14:paraId="320A6019" w14:textId="291A0A08" w:rsidR="00620DF2" w:rsidRDefault="00337B45" w:rsidP="00337B45">
      <w:pPr>
        <w:pStyle w:val="NUM1"/>
        <w:numPr>
          <w:ilvl w:val="0"/>
          <w:numId w:val="0"/>
        </w:numPr>
        <w:tabs>
          <w:tab w:val="left" w:pos="567"/>
        </w:tabs>
        <w:ind w:left="567" w:hanging="567"/>
        <w:rPr>
          <w:lang w:val="en-GB"/>
        </w:rPr>
      </w:pPr>
      <w:r>
        <w:rPr>
          <w:caps/>
          <w:lang w:val="en-GB"/>
        </w:rPr>
        <w:t>[33]</w:t>
      </w:r>
      <w:r>
        <w:rPr>
          <w:caps/>
          <w:lang w:val="en-GB"/>
        </w:rPr>
        <w:tab/>
      </w:r>
      <w:r w:rsidR="004E5AAC">
        <w:rPr>
          <w:lang w:val="en-GB"/>
        </w:rPr>
        <w:t xml:space="preserve">The purpose of the </w:t>
      </w:r>
      <w:r w:rsidR="008D7BF0">
        <w:rPr>
          <w:lang w:val="en-GB"/>
        </w:rPr>
        <w:t>Summary</w:t>
      </w:r>
      <w:r w:rsidR="00881D6B">
        <w:rPr>
          <w:lang w:val="en-GB"/>
        </w:rPr>
        <w:t xml:space="preserve"> </w:t>
      </w:r>
      <w:r w:rsidR="008D7BF0">
        <w:rPr>
          <w:lang w:val="en-GB"/>
        </w:rPr>
        <w:t>S</w:t>
      </w:r>
      <w:r w:rsidR="004E5AAC">
        <w:rPr>
          <w:lang w:val="en-GB"/>
        </w:rPr>
        <w:t>tatement is to provide insight</w:t>
      </w:r>
      <w:r w:rsidR="00707E42">
        <w:rPr>
          <w:lang w:val="en-GB"/>
        </w:rPr>
        <w:t>,</w:t>
      </w:r>
      <w:r w:rsidR="004E5AAC">
        <w:rPr>
          <w:lang w:val="en-GB"/>
        </w:rPr>
        <w:t xml:space="preserve"> with a degree of precision and clarity</w:t>
      </w:r>
      <w:r w:rsidR="00707E42">
        <w:rPr>
          <w:lang w:val="en-GB"/>
        </w:rPr>
        <w:t>,</w:t>
      </w:r>
      <w:r w:rsidR="004E5AAC">
        <w:rPr>
          <w:lang w:val="en-GB"/>
        </w:rPr>
        <w:t xml:space="preserve"> into each party</w:t>
      </w:r>
      <w:r w:rsidR="00881D6B">
        <w:rPr>
          <w:lang w:val="en-GB"/>
        </w:rPr>
        <w:t>’s case</w:t>
      </w:r>
      <w:r w:rsidR="004E5AAC">
        <w:rPr>
          <w:lang w:val="en-GB"/>
        </w:rPr>
        <w:t xml:space="preserve"> </w:t>
      </w:r>
      <w:r w:rsidR="00620DF2">
        <w:rPr>
          <w:lang w:val="en-GB"/>
        </w:rPr>
        <w:t>to</w:t>
      </w:r>
      <w:r w:rsidR="004E5AAC">
        <w:rPr>
          <w:lang w:val="en-GB"/>
        </w:rPr>
        <w:t xml:space="preserve"> prevent any surprise or prejudice at trial. </w:t>
      </w:r>
      <w:r w:rsidR="006C21D8">
        <w:rPr>
          <w:lang w:val="en-GB"/>
        </w:rPr>
        <w:t xml:space="preserve"> </w:t>
      </w:r>
      <w:r w:rsidR="004E5AAC">
        <w:rPr>
          <w:lang w:val="en-GB"/>
        </w:rPr>
        <w:t>This conclusion must be one of logic and common sense</w:t>
      </w:r>
      <w:r w:rsidR="006C21D8">
        <w:rPr>
          <w:lang w:val="en-GB"/>
        </w:rPr>
        <w:t>,</w:t>
      </w:r>
      <w:r w:rsidR="004E5AAC">
        <w:rPr>
          <w:lang w:val="en-GB"/>
        </w:rPr>
        <w:t xml:space="preserve"> given that this is the precise purpose that requests for further particulars and answers thereto</w:t>
      </w:r>
      <w:r w:rsidR="00D05923">
        <w:rPr>
          <w:lang w:val="en-GB"/>
        </w:rPr>
        <w:t>, exchanged in terms of the Uniform Rules of Court,</w:t>
      </w:r>
      <w:r w:rsidR="004E5AAC">
        <w:rPr>
          <w:lang w:val="en-GB"/>
        </w:rPr>
        <w:t xml:space="preserve"> would ordinarily fulfil.</w:t>
      </w:r>
      <w:r w:rsidR="00620DF2">
        <w:rPr>
          <w:rStyle w:val="FootnoteReference"/>
          <w:lang w:val="en-GB"/>
        </w:rPr>
        <w:footnoteReference w:id="10"/>
      </w:r>
      <w:r w:rsidR="006C21D8">
        <w:rPr>
          <w:lang w:val="en-GB"/>
        </w:rPr>
        <w:t xml:space="preserve"> </w:t>
      </w:r>
    </w:p>
    <w:p w14:paraId="28923398" w14:textId="77777777" w:rsidR="008E2C21" w:rsidRPr="008E2C21" w:rsidRDefault="008E2C21" w:rsidP="008E2C21">
      <w:pPr>
        <w:rPr>
          <w:lang w:val="en-GB"/>
        </w:rPr>
      </w:pPr>
    </w:p>
    <w:p w14:paraId="68C49E22" w14:textId="6970D7F7" w:rsidR="00620DF2" w:rsidRPr="00620DF2" w:rsidRDefault="00337B45" w:rsidP="00337B45">
      <w:pPr>
        <w:pStyle w:val="NUM1"/>
        <w:numPr>
          <w:ilvl w:val="0"/>
          <w:numId w:val="0"/>
        </w:numPr>
        <w:tabs>
          <w:tab w:val="left" w:pos="567"/>
        </w:tabs>
        <w:ind w:left="567" w:hanging="567"/>
        <w:rPr>
          <w:lang w:val="en-GB"/>
        </w:rPr>
      </w:pPr>
      <w:r w:rsidRPr="00620DF2">
        <w:rPr>
          <w:caps/>
          <w:lang w:val="en-GB"/>
        </w:rPr>
        <w:t>[34]</w:t>
      </w:r>
      <w:r w:rsidRPr="00620DF2">
        <w:rPr>
          <w:caps/>
          <w:lang w:val="en-GB"/>
        </w:rPr>
        <w:tab/>
      </w:r>
      <w:r w:rsidR="00620DF2" w:rsidRPr="00620DF2">
        <w:rPr>
          <w:lang w:val="en-GB"/>
        </w:rPr>
        <w:t xml:space="preserve">Clearly, therefore, the delivery of </w:t>
      </w:r>
      <w:r w:rsidR="00D05923">
        <w:rPr>
          <w:lang w:val="en-GB"/>
        </w:rPr>
        <w:t>a</w:t>
      </w:r>
      <w:r w:rsidR="008D7BF0">
        <w:rPr>
          <w:lang w:val="en-GB"/>
        </w:rPr>
        <w:t xml:space="preserve"> Summary</w:t>
      </w:r>
      <w:r w:rsidR="00D05923">
        <w:rPr>
          <w:lang w:val="en-GB"/>
        </w:rPr>
        <w:t xml:space="preserve"> </w:t>
      </w:r>
      <w:r w:rsidR="008D7BF0">
        <w:rPr>
          <w:lang w:val="en-GB"/>
        </w:rPr>
        <w:t>S</w:t>
      </w:r>
      <w:r w:rsidR="00620DF2" w:rsidRPr="00620DF2">
        <w:rPr>
          <w:lang w:val="en-GB"/>
        </w:rPr>
        <w:t>tatement is necessary irrespective of whether pleadings (as contemplated by Uniform Rules of Court) have been exchanged.</w:t>
      </w:r>
      <w:r w:rsidR="00620DF2">
        <w:rPr>
          <w:lang w:val="en-GB"/>
        </w:rPr>
        <w:t xml:space="preserve">  Again, the</w:t>
      </w:r>
      <w:r w:rsidR="00881D6B">
        <w:rPr>
          <w:lang w:val="en-GB"/>
        </w:rPr>
        <w:t xml:space="preserve"> underlying</w:t>
      </w:r>
      <w:r w:rsidR="00620DF2">
        <w:rPr>
          <w:lang w:val="en-GB"/>
        </w:rPr>
        <w:t xml:space="preserve"> </w:t>
      </w:r>
      <w:r w:rsidR="008E25DF">
        <w:rPr>
          <w:lang w:val="en-GB"/>
        </w:rPr>
        <w:t>purpose</w:t>
      </w:r>
      <w:r w:rsidR="00620DF2">
        <w:rPr>
          <w:lang w:val="en-GB"/>
        </w:rPr>
        <w:t xml:space="preserve"> </w:t>
      </w:r>
      <w:r w:rsidR="008E25DF">
        <w:rPr>
          <w:lang w:val="en-GB"/>
        </w:rPr>
        <w:t xml:space="preserve">of </w:t>
      </w:r>
      <w:r w:rsidR="00620DF2">
        <w:rPr>
          <w:lang w:val="en-GB"/>
        </w:rPr>
        <w:t>expedition and pragmatism</w:t>
      </w:r>
      <w:r w:rsidR="008E25DF">
        <w:rPr>
          <w:lang w:val="en-GB"/>
        </w:rPr>
        <w:t xml:space="preserve"> is clear</w:t>
      </w:r>
      <w:r w:rsidR="00620DF2">
        <w:rPr>
          <w:lang w:val="en-GB"/>
        </w:rPr>
        <w:t>; pleadings in the traditional sense comprise a statement of such</w:t>
      </w:r>
      <w:r w:rsidR="004755F4">
        <w:rPr>
          <w:lang w:val="en-GB"/>
        </w:rPr>
        <w:t xml:space="preserve"> material</w:t>
      </w:r>
      <w:r w:rsidR="00620DF2">
        <w:rPr>
          <w:lang w:val="en-GB"/>
        </w:rPr>
        <w:t xml:space="preserve"> facts</w:t>
      </w:r>
      <w:r w:rsidR="004755F4">
        <w:rPr>
          <w:rStyle w:val="FootnoteReference"/>
          <w:lang w:val="en-GB"/>
        </w:rPr>
        <w:footnoteReference w:id="11"/>
      </w:r>
      <w:r w:rsidR="00620DF2">
        <w:rPr>
          <w:lang w:val="en-GB"/>
        </w:rPr>
        <w:t xml:space="preserve"> necessary for a party to prove a cause of action or a defence</w:t>
      </w:r>
      <w:r w:rsidR="00620DF2">
        <w:rPr>
          <w:rStyle w:val="FootnoteReference"/>
          <w:lang w:val="en-GB"/>
        </w:rPr>
        <w:footnoteReference w:id="12"/>
      </w:r>
      <w:r w:rsidR="002E0853">
        <w:rPr>
          <w:lang w:val="en-GB"/>
        </w:rPr>
        <w:t>,</w:t>
      </w:r>
      <w:r w:rsidR="00620DF2">
        <w:rPr>
          <w:lang w:val="en-GB"/>
        </w:rPr>
        <w:t xml:space="preserve"> but does not traverse the evidence</w:t>
      </w:r>
      <w:r w:rsidR="00881D6B">
        <w:rPr>
          <w:lang w:val="en-GB"/>
        </w:rPr>
        <w:t xml:space="preserve"> that will be adduced to prove those facts</w:t>
      </w:r>
      <w:r w:rsidR="00620DF2">
        <w:rPr>
          <w:lang w:val="en-GB"/>
        </w:rPr>
        <w:t xml:space="preserve"> or identify the witnesses who will give that evidence.</w:t>
      </w:r>
      <w:r w:rsidR="004755F4">
        <w:rPr>
          <w:lang w:val="en-GB"/>
        </w:rPr>
        <w:t xml:space="preserve">  </w:t>
      </w:r>
      <w:r w:rsidR="00D05923">
        <w:rPr>
          <w:lang w:val="en-GB"/>
        </w:rPr>
        <w:t>As such,</w:t>
      </w:r>
      <w:r w:rsidR="004755F4">
        <w:rPr>
          <w:lang w:val="en-GB"/>
        </w:rPr>
        <w:t xml:space="preserve"> traditional pleadings do little </w:t>
      </w:r>
      <w:r w:rsidR="00881D6B">
        <w:rPr>
          <w:lang w:val="en-GB"/>
        </w:rPr>
        <w:t>to</w:t>
      </w:r>
      <w:r w:rsidR="004755F4">
        <w:rPr>
          <w:lang w:val="en-GB"/>
        </w:rPr>
        <w:t xml:space="preserve"> illuminate the ambit of the evidence available to the parties and which will be led </w:t>
      </w:r>
      <w:r w:rsidR="004755F4">
        <w:rPr>
          <w:lang w:val="en-GB"/>
        </w:rPr>
        <w:lastRenderedPageBreak/>
        <w:t>ultimately.</w:t>
      </w:r>
      <w:r w:rsidR="00D05923">
        <w:rPr>
          <w:lang w:val="en-GB"/>
        </w:rPr>
        <w:t xml:space="preserve">  Where </w:t>
      </w:r>
      <w:r w:rsidR="008D7BF0">
        <w:rPr>
          <w:lang w:val="en-GB"/>
        </w:rPr>
        <w:t>Summary S</w:t>
      </w:r>
      <w:r w:rsidR="00D05923">
        <w:rPr>
          <w:lang w:val="en-GB"/>
        </w:rPr>
        <w:t>tatements</w:t>
      </w:r>
      <w:r w:rsidR="00881D6B">
        <w:rPr>
          <w:lang w:val="en-GB"/>
        </w:rPr>
        <w:t xml:space="preserve"> </w:t>
      </w:r>
      <w:r w:rsidR="00D05923">
        <w:rPr>
          <w:lang w:val="en-GB"/>
        </w:rPr>
        <w:t>are not delivered, the purpose and efficacy of the Directive is undermined.</w:t>
      </w:r>
      <w:r w:rsidR="002E0853">
        <w:rPr>
          <w:lang w:val="en-GB"/>
        </w:rPr>
        <w:t xml:space="preserve"> </w:t>
      </w:r>
    </w:p>
    <w:p w14:paraId="7833AC87" w14:textId="77777777" w:rsidR="004E5AAC" w:rsidRDefault="004E5AAC" w:rsidP="004E5AAC">
      <w:pPr>
        <w:rPr>
          <w:lang w:val="en-GB"/>
        </w:rPr>
      </w:pPr>
    </w:p>
    <w:p w14:paraId="372EEB7F" w14:textId="0C3BB3E4" w:rsidR="004755F4" w:rsidRDefault="00337B45" w:rsidP="00337B45">
      <w:pPr>
        <w:pStyle w:val="NUM1"/>
        <w:numPr>
          <w:ilvl w:val="0"/>
          <w:numId w:val="0"/>
        </w:numPr>
        <w:tabs>
          <w:tab w:val="left" w:pos="567"/>
        </w:tabs>
        <w:ind w:left="567" w:hanging="567"/>
        <w:rPr>
          <w:lang w:val="en-GB"/>
        </w:rPr>
      </w:pPr>
      <w:r>
        <w:rPr>
          <w:caps/>
          <w:lang w:val="en-GB"/>
        </w:rPr>
        <w:t>[35]</w:t>
      </w:r>
      <w:r>
        <w:rPr>
          <w:caps/>
          <w:lang w:val="en-GB"/>
        </w:rPr>
        <w:tab/>
      </w:r>
      <w:r w:rsidR="004E5AAC">
        <w:rPr>
          <w:lang w:val="en-GB"/>
        </w:rPr>
        <w:t>Under Chapter 5 of the Directive, a second case management conference is</w:t>
      </w:r>
      <w:r w:rsidR="004755F4">
        <w:rPr>
          <w:lang w:val="en-GB"/>
        </w:rPr>
        <w:t xml:space="preserve"> convened</w:t>
      </w:r>
      <w:r w:rsidR="004E5AAC">
        <w:rPr>
          <w:lang w:val="en-GB"/>
        </w:rPr>
        <w:t xml:space="preserve">. </w:t>
      </w:r>
      <w:r w:rsidR="004755F4">
        <w:rPr>
          <w:lang w:val="en-GB"/>
        </w:rPr>
        <w:t xml:space="preserve"> The purpose of the second case management meeting is to remove any procedural obstacles that may have arisen </w:t>
      </w:r>
      <w:r w:rsidR="00651EBC">
        <w:rPr>
          <w:lang w:val="en-GB"/>
        </w:rPr>
        <w:t>from</w:t>
      </w:r>
      <w:r w:rsidR="004755F4">
        <w:rPr>
          <w:lang w:val="en-GB"/>
        </w:rPr>
        <w:t xml:space="preserve"> </w:t>
      </w:r>
      <w:r w:rsidR="00F21EC9">
        <w:rPr>
          <w:lang w:val="en-GB"/>
        </w:rPr>
        <w:t>the steps taken by the parties, or not so taken as the case may be, prior to that meeting.</w:t>
      </w:r>
      <w:r w:rsidR="00AB0B7D">
        <w:rPr>
          <w:lang w:val="en-GB"/>
        </w:rPr>
        <w:t xml:space="preserve"> </w:t>
      </w:r>
    </w:p>
    <w:p w14:paraId="7ADC2703" w14:textId="77777777" w:rsidR="004755F4" w:rsidRPr="004755F4" w:rsidRDefault="004755F4" w:rsidP="00AB0B7D">
      <w:pPr>
        <w:tabs>
          <w:tab w:val="num" w:pos="567"/>
        </w:tabs>
        <w:ind w:left="567" w:hanging="567"/>
        <w:rPr>
          <w:lang w:val="en-GB"/>
        </w:rPr>
      </w:pPr>
    </w:p>
    <w:p w14:paraId="716EB84B" w14:textId="52511912" w:rsidR="004E5AAC" w:rsidRDefault="00337B45" w:rsidP="00337B45">
      <w:pPr>
        <w:pStyle w:val="NUM1"/>
        <w:numPr>
          <w:ilvl w:val="0"/>
          <w:numId w:val="0"/>
        </w:numPr>
        <w:tabs>
          <w:tab w:val="left" w:pos="567"/>
        </w:tabs>
        <w:ind w:left="567" w:hanging="567"/>
        <w:rPr>
          <w:lang w:val="en-GB"/>
        </w:rPr>
      </w:pPr>
      <w:r>
        <w:rPr>
          <w:caps/>
          <w:lang w:val="en-GB"/>
        </w:rPr>
        <w:t>[36]</w:t>
      </w:r>
      <w:r>
        <w:rPr>
          <w:caps/>
          <w:lang w:val="en-GB"/>
        </w:rPr>
        <w:tab/>
      </w:r>
      <w:r w:rsidR="004E5AAC">
        <w:rPr>
          <w:lang w:val="en-GB"/>
        </w:rPr>
        <w:t>If the steps in Chapters 3 and 4 of the Directive have been properly followed, then it would be a matter of course for the parties to prepare a list of agreed triable issues, or at least that triable issues are identifiable</w:t>
      </w:r>
      <w:r w:rsidR="00D05923">
        <w:rPr>
          <w:lang w:val="en-GB"/>
        </w:rPr>
        <w:t>,</w:t>
      </w:r>
      <w:r w:rsidR="004E5AAC">
        <w:rPr>
          <w:lang w:val="en-GB"/>
        </w:rPr>
        <w:t xml:space="preserve"> and any interlocutory issues can then be identified and resolved in an orderly manner.</w:t>
      </w:r>
      <w:r w:rsidR="00AB0B7D">
        <w:rPr>
          <w:lang w:val="en-GB"/>
        </w:rPr>
        <w:t xml:space="preserve"> </w:t>
      </w:r>
    </w:p>
    <w:p w14:paraId="3FA0FBD3" w14:textId="77777777" w:rsidR="004E5AAC" w:rsidRDefault="004E5AAC" w:rsidP="00AB0B7D">
      <w:pPr>
        <w:tabs>
          <w:tab w:val="num" w:pos="567"/>
        </w:tabs>
        <w:ind w:left="567" w:hanging="567"/>
        <w:rPr>
          <w:lang w:val="en-GB"/>
        </w:rPr>
      </w:pPr>
    </w:p>
    <w:p w14:paraId="1DE99AC2" w14:textId="69147ECB" w:rsidR="004E5AAC" w:rsidRDefault="00337B45" w:rsidP="00337B45">
      <w:pPr>
        <w:pStyle w:val="NUM1"/>
        <w:numPr>
          <w:ilvl w:val="0"/>
          <w:numId w:val="0"/>
        </w:numPr>
        <w:tabs>
          <w:tab w:val="left" w:pos="567"/>
        </w:tabs>
        <w:ind w:left="567" w:hanging="567"/>
        <w:rPr>
          <w:lang w:val="en-GB"/>
        </w:rPr>
      </w:pPr>
      <w:r>
        <w:rPr>
          <w:caps/>
          <w:lang w:val="en-GB"/>
        </w:rPr>
        <w:t>[37]</w:t>
      </w:r>
      <w:r>
        <w:rPr>
          <w:caps/>
          <w:lang w:val="en-GB"/>
        </w:rPr>
        <w:tab/>
      </w:r>
      <w:r w:rsidR="004E5AAC">
        <w:rPr>
          <w:lang w:val="en-GB"/>
        </w:rPr>
        <w:t xml:space="preserve">The most important aspect of the second case management meeting, for purposes of the </w:t>
      </w:r>
      <w:r w:rsidR="00F21EC9">
        <w:rPr>
          <w:lang w:val="en-GB"/>
        </w:rPr>
        <w:t>D</w:t>
      </w:r>
      <w:r w:rsidR="004E5AAC">
        <w:rPr>
          <w:lang w:val="en-GB"/>
        </w:rPr>
        <w:t xml:space="preserve">irective, is the fixing of a date for the </w:t>
      </w:r>
      <w:r w:rsidR="00881D6B">
        <w:rPr>
          <w:lang w:val="en-GB"/>
        </w:rPr>
        <w:t xml:space="preserve">delivery </w:t>
      </w:r>
      <w:r w:rsidR="004E5AAC">
        <w:rPr>
          <w:lang w:val="en-GB"/>
        </w:rPr>
        <w:t xml:space="preserve">of </w:t>
      </w:r>
      <w:r w:rsidR="00F21EC9">
        <w:rPr>
          <w:lang w:val="en-GB"/>
        </w:rPr>
        <w:t>witness</w:t>
      </w:r>
      <w:r w:rsidR="004E5AAC">
        <w:rPr>
          <w:lang w:val="en-GB"/>
        </w:rPr>
        <w:t xml:space="preserve"> statements. </w:t>
      </w:r>
      <w:r w:rsidR="00AB0B7D">
        <w:rPr>
          <w:lang w:val="en-GB"/>
        </w:rPr>
        <w:t xml:space="preserve"> </w:t>
      </w:r>
      <w:r w:rsidR="004E5AAC">
        <w:rPr>
          <w:lang w:val="en-GB"/>
        </w:rPr>
        <w:t>It is envisaged by the Directive that the witness statements will constitute</w:t>
      </w:r>
      <w:r w:rsidR="00881D6B">
        <w:rPr>
          <w:lang w:val="en-GB"/>
        </w:rPr>
        <w:t xml:space="preserve"> a </w:t>
      </w:r>
      <w:r w:rsidR="00513E65">
        <w:rPr>
          <w:lang w:val="en-GB"/>
        </w:rPr>
        <w:t>witness’</w:t>
      </w:r>
      <w:r w:rsidR="004E5AAC">
        <w:rPr>
          <w:lang w:val="en-GB"/>
        </w:rPr>
        <w:t xml:space="preserve"> evidence </w:t>
      </w:r>
      <w:r w:rsidR="00881D6B">
        <w:rPr>
          <w:lang w:val="en-GB"/>
        </w:rPr>
        <w:t xml:space="preserve">in </w:t>
      </w:r>
      <w:r w:rsidR="004E5AAC">
        <w:rPr>
          <w:lang w:val="en-GB"/>
        </w:rPr>
        <w:t xml:space="preserve">chief and, naturally, attach or reference all documents </w:t>
      </w:r>
      <w:r w:rsidR="00881D6B">
        <w:rPr>
          <w:lang w:val="en-GB"/>
        </w:rPr>
        <w:t>to which that witnesses’ evidence relates</w:t>
      </w:r>
      <w:r w:rsidR="004E5AAC">
        <w:rPr>
          <w:lang w:val="en-GB"/>
        </w:rPr>
        <w:t>.</w:t>
      </w:r>
      <w:r w:rsidR="00F21EC9">
        <w:rPr>
          <w:rStyle w:val="FootnoteReference"/>
          <w:lang w:val="en-GB"/>
        </w:rPr>
        <w:footnoteReference w:id="13"/>
      </w:r>
      <w:r w:rsidR="004E5AAC">
        <w:rPr>
          <w:lang w:val="en-GB"/>
        </w:rPr>
        <w:t xml:space="preserve"> </w:t>
      </w:r>
    </w:p>
    <w:p w14:paraId="25E2B46F" w14:textId="77777777" w:rsidR="004E5AAC" w:rsidRDefault="004E5AAC" w:rsidP="004E5AAC">
      <w:pPr>
        <w:rPr>
          <w:lang w:val="en-GB"/>
        </w:rPr>
      </w:pPr>
    </w:p>
    <w:p w14:paraId="32366FAF" w14:textId="6C5A8E5D" w:rsidR="006359F5" w:rsidRDefault="00337B45" w:rsidP="00337B45">
      <w:pPr>
        <w:pStyle w:val="NUM1"/>
        <w:numPr>
          <w:ilvl w:val="0"/>
          <w:numId w:val="0"/>
        </w:numPr>
        <w:tabs>
          <w:tab w:val="left" w:pos="567"/>
        </w:tabs>
        <w:ind w:left="567" w:hanging="567"/>
        <w:rPr>
          <w:lang w:val="en-GB"/>
        </w:rPr>
      </w:pPr>
      <w:r>
        <w:rPr>
          <w:caps/>
          <w:lang w:val="en-GB"/>
        </w:rPr>
        <w:t>[38]</w:t>
      </w:r>
      <w:r>
        <w:rPr>
          <w:caps/>
          <w:lang w:val="en-GB"/>
        </w:rPr>
        <w:tab/>
      </w:r>
      <w:r w:rsidR="004E5AAC">
        <w:rPr>
          <w:lang w:val="en-GB"/>
        </w:rPr>
        <w:t xml:space="preserve">The clear purpose of this part of the </w:t>
      </w:r>
      <w:r w:rsidR="00E7704D">
        <w:rPr>
          <w:lang w:val="en-GB"/>
        </w:rPr>
        <w:t>D</w:t>
      </w:r>
      <w:r w:rsidR="004E5AAC">
        <w:rPr>
          <w:lang w:val="en-GB"/>
        </w:rPr>
        <w:t>irective is to eliminate the otherwise very wide ambit of discovery</w:t>
      </w:r>
      <w:r w:rsidR="00E7704D">
        <w:rPr>
          <w:lang w:val="en-GB"/>
        </w:rPr>
        <w:t>,</w:t>
      </w:r>
      <w:r w:rsidR="004E5AAC">
        <w:rPr>
          <w:lang w:val="en-GB"/>
        </w:rPr>
        <w:t xml:space="preserve"> and to </w:t>
      </w:r>
      <w:r w:rsidR="00513E65">
        <w:rPr>
          <w:lang w:val="en-GB"/>
        </w:rPr>
        <w:t>confine</w:t>
      </w:r>
      <w:r w:rsidR="008D7BF0">
        <w:rPr>
          <w:lang w:val="en-GB"/>
        </w:rPr>
        <w:t xml:space="preserve"> it to</w:t>
      </w:r>
      <w:r w:rsidR="00513E65">
        <w:rPr>
          <w:lang w:val="en-GB"/>
        </w:rPr>
        <w:t xml:space="preserve"> the identification of</w:t>
      </w:r>
      <w:r w:rsidR="004E5AAC">
        <w:rPr>
          <w:lang w:val="en-GB"/>
        </w:rPr>
        <w:t xml:space="preserve"> documents </w:t>
      </w:r>
      <w:r w:rsidR="008D7BF0">
        <w:rPr>
          <w:lang w:val="en-GB"/>
        </w:rPr>
        <w:t>on which the parties will rely directly</w:t>
      </w:r>
      <w:r w:rsidR="004E5AAC">
        <w:rPr>
          <w:lang w:val="en-GB"/>
        </w:rPr>
        <w:t>.</w:t>
      </w:r>
      <w:r w:rsidR="00E7704D">
        <w:rPr>
          <w:lang w:val="en-GB"/>
        </w:rPr>
        <w:t xml:space="preserve"> </w:t>
      </w:r>
      <w:r w:rsidR="00E47A85">
        <w:rPr>
          <w:lang w:val="en-GB"/>
        </w:rPr>
        <w:t>The link to the Summary Statements is again clear as these define the ambit of the true dispute and identify any contentious documents.</w:t>
      </w:r>
    </w:p>
    <w:p w14:paraId="2F6CA93D" w14:textId="77777777" w:rsidR="006359F5" w:rsidRPr="006359F5" w:rsidRDefault="006359F5" w:rsidP="00E7704D">
      <w:pPr>
        <w:tabs>
          <w:tab w:val="num" w:pos="567"/>
        </w:tabs>
        <w:ind w:left="567" w:hanging="567"/>
        <w:rPr>
          <w:lang w:val="en-GB"/>
        </w:rPr>
      </w:pPr>
    </w:p>
    <w:p w14:paraId="0CE9DF2A" w14:textId="79D49B66" w:rsidR="006359F5" w:rsidRDefault="00337B45" w:rsidP="00337B45">
      <w:pPr>
        <w:pStyle w:val="NUM1"/>
        <w:numPr>
          <w:ilvl w:val="0"/>
          <w:numId w:val="0"/>
        </w:numPr>
        <w:tabs>
          <w:tab w:val="left" w:pos="567"/>
        </w:tabs>
        <w:ind w:left="567" w:hanging="567"/>
        <w:rPr>
          <w:lang w:eastAsia="en-GB"/>
        </w:rPr>
      </w:pPr>
      <w:r>
        <w:rPr>
          <w:caps/>
          <w:lang w:eastAsia="en-GB"/>
        </w:rPr>
        <w:t>[39]</w:t>
      </w:r>
      <w:r>
        <w:rPr>
          <w:caps/>
          <w:lang w:eastAsia="en-GB"/>
        </w:rPr>
        <w:tab/>
      </w:r>
      <w:r w:rsidR="008D7BF0">
        <w:rPr>
          <w:lang w:val="en-GB"/>
        </w:rPr>
        <w:t>D</w:t>
      </w:r>
      <w:r w:rsidR="00D05923" w:rsidRPr="006359F5">
        <w:rPr>
          <w:lang w:val="en-GB"/>
        </w:rPr>
        <w:t>iscovery</w:t>
      </w:r>
      <w:r w:rsidR="008D7BF0">
        <w:rPr>
          <w:lang w:val="en-GB"/>
        </w:rPr>
        <w:t>,</w:t>
      </w:r>
      <w:r w:rsidR="00D05923" w:rsidRPr="006359F5">
        <w:rPr>
          <w:lang w:val="en-GB"/>
        </w:rPr>
        <w:t xml:space="preserve"> as envisaged in the Uniform Rules</w:t>
      </w:r>
      <w:r w:rsidR="008D7BF0">
        <w:rPr>
          <w:lang w:val="en-GB"/>
        </w:rPr>
        <w:t>,</w:t>
      </w:r>
      <w:r w:rsidR="00D05923" w:rsidRPr="006359F5">
        <w:rPr>
          <w:lang w:val="en-GB"/>
        </w:rPr>
        <w:t xml:space="preserve"> can be a very time consuming and expensive exercise.  </w:t>
      </w:r>
      <w:r w:rsidR="00513E65">
        <w:rPr>
          <w:lang w:val="en-GB"/>
        </w:rPr>
        <w:t>Discovery, as a general proposition,</w:t>
      </w:r>
      <w:r w:rsidR="00D05923" w:rsidRPr="006359F5">
        <w:rPr>
          <w:lang w:val="en-GB"/>
        </w:rPr>
        <w:t xml:space="preserve"> require</w:t>
      </w:r>
      <w:r w:rsidR="00513E65">
        <w:rPr>
          <w:lang w:val="en-GB"/>
        </w:rPr>
        <w:t>s</w:t>
      </w:r>
      <w:r w:rsidR="00D05923" w:rsidRPr="006359F5">
        <w:rPr>
          <w:lang w:val="en-GB"/>
        </w:rPr>
        <w:t xml:space="preserve"> that </w:t>
      </w:r>
      <w:r w:rsidR="006359F5" w:rsidRPr="006359F5">
        <w:rPr>
          <w:lang w:val="en-GB"/>
        </w:rPr>
        <w:t>“</w:t>
      </w:r>
      <w:r w:rsidR="00F66A3E">
        <w:rPr>
          <w:lang w:val="en-GB"/>
        </w:rPr>
        <w:t> </w:t>
      </w:r>
      <w:r w:rsidR="006359F5">
        <w:rPr>
          <w:i/>
          <w:iCs/>
          <w:lang w:eastAsia="en-GB"/>
        </w:rPr>
        <w:t>…</w:t>
      </w:r>
      <w:r w:rsidR="006359F5" w:rsidRPr="006359F5">
        <w:rPr>
          <w:i/>
          <w:iCs/>
          <w:lang w:eastAsia="en-GB"/>
        </w:rPr>
        <w:t xml:space="preserve"> every document relates to the matter in question in the action which, it is reasonable to suppose, contains information which may </w:t>
      </w:r>
      <w:r w:rsidR="00F66A3E">
        <w:rPr>
          <w:i/>
          <w:iCs/>
          <w:lang w:eastAsia="en-GB"/>
        </w:rPr>
        <w:t>–</w:t>
      </w:r>
      <w:r w:rsidR="006359F5" w:rsidRPr="006359F5">
        <w:rPr>
          <w:i/>
          <w:iCs/>
          <w:lang w:eastAsia="en-GB"/>
        </w:rPr>
        <w:t xml:space="preserve"> not which must </w:t>
      </w:r>
      <w:r w:rsidR="00F66A3E">
        <w:rPr>
          <w:i/>
          <w:iCs/>
          <w:lang w:eastAsia="en-GB"/>
        </w:rPr>
        <w:t>–</w:t>
      </w:r>
      <w:r w:rsidR="006359F5" w:rsidRPr="006359F5">
        <w:rPr>
          <w:i/>
          <w:iCs/>
          <w:lang w:eastAsia="en-GB"/>
        </w:rPr>
        <w:t xml:space="preserve"> either directly or indirectly enable the party requiring the affidavit either to advance his own case or to damage the case of his adversary. </w:t>
      </w:r>
      <w:r w:rsidR="00F66A3E">
        <w:rPr>
          <w:i/>
          <w:iCs/>
          <w:lang w:eastAsia="en-GB"/>
        </w:rPr>
        <w:t xml:space="preserve"> </w:t>
      </w:r>
      <w:r w:rsidR="006359F5" w:rsidRPr="006359F5">
        <w:rPr>
          <w:i/>
          <w:iCs/>
          <w:lang w:eastAsia="en-GB"/>
        </w:rPr>
        <w:t>I have put in the words 'either directly or indirectly' because, as it seems to me, a document can properly be said to contain information which may enable the party requiring the affidavit either to advance his own case or to damage the case of his adversary, if it is a document which may fairly lead him to a train of enquiry which may have either of these two consequences</w:t>
      </w:r>
      <w:r w:rsidR="006359F5" w:rsidRPr="006359F5">
        <w:rPr>
          <w:lang w:eastAsia="en-GB"/>
        </w:rPr>
        <w:t>’</w:t>
      </w:r>
      <w:r w:rsidR="006359F5">
        <w:rPr>
          <w:lang w:eastAsia="en-GB"/>
        </w:rPr>
        <w:t>”</w:t>
      </w:r>
      <w:r w:rsidR="006359F5">
        <w:rPr>
          <w:rStyle w:val="FootnoteReference"/>
          <w:lang w:eastAsia="en-GB"/>
        </w:rPr>
        <w:footnoteReference w:id="14"/>
      </w:r>
      <w:r w:rsidR="00EB45E0">
        <w:rPr>
          <w:lang w:eastAsia="en-GB"/>
        </w:rPr>
        <w:t xml:space="preserve">, </w:t>
      </w:r>
      <w:r w:rsidR="006359F5">
        <w:rPr>
          <w:lang w:eastAsia="en-GB"/>
        </w:rPr>
        <w:t xml:space="preserve">must be discovered. </w:t>
      </w:r>
    </w:p>
    <w:p w14:paraId="3E8C6E6F" w14:textId="77777777" w:rsidR="006359F5" w:rsidRPr="006359F5" w:rsidRDefault="006359F5" w:rsidP="006359F5">
      <w:pPr>
        <w:rPr>
          <w:lang w:val="en-GB" w:eastAsia="en-GB"/>
        </w:rPr>
      </w:pPr>
    </w:p>
    <w:p w14:paraId="68B2A1A4" w14:textId="4E10E957" w:rsidR="00C139F2" w:rsidRDefault="00337B45" w:rsidP="00337B45">
      <w:pPr>
        <w:pStyle w:val="NUM1"/>
        <w:numPr>
          <w:ilvl w:val="0"/>
          <w:numId w:val="0"/>
        </w:numPr>
        <w:tabs>
          <w:tab w:val="left" w:pos="567"/>
        </w:tabs>
        <w:ind w:left="567" w:hanging="567"/>
        <w:rPr>
          <w:lang w:val="en-GB"/>
        </w:rPr>
      </w:pPr>
      <w:r>
        <w:rPr>
          <w:caps/>
          <w:lang w:val="en-GB"/>
        </w:rPr>
        <w:t>[40]</w:t>
      </w:r>
      <w:r>
        <w:rPr>
          <w:caps/>
          <w:lang w:val="en-GB"/>
        </w:rPr>
        <w:tab/>
      </w:r>
      <w:r w:rsidR="003C2DB8">
        <w:rPr>
          <w:lang w:val="en-GB"/>
        </w:rPr>
        <w:t>General discovery is, therefore, very wide and encompasses documents that may not necessarily be relied upon by a litigant</w:t>
      </w:r>
      <w:r w:rsidR="00513E65">
        <w:rPr>
          <w:lang w:val="en-GB"/>
        </w:rPr>
        <w:t xml:space="preserve">. </w:t>
      </w:r>
      <w:r w:rsidR="003C2DB8">
        <w:rPr>
          <w:lang w:val="en-GB"/>
        </w:rPr>
        <w:t xml:space="preserve"> The clear purpose of the Directive is to prevent this unnecessary expenditure of time and</w:t>
      </w:r>
      <w:r w:rsidR="00EB45E0">
        <w:rPr>
          <w:lang w:val="en-GB"/>
        </w:rPr>
        <w:t xml:space="preserve"> the</w:t>
      </w:r>
      <w:r w:rsidR="003C2DB8">
        <w:rPr>
          <w:lang w:val="en-GB"/>
        </w:rPr>
        <w:t xml:space="preserve"> litigants</w:t>
      </w:r>
      <w:r w:rsidR="00EB45E0">
        <w:rPr>
          <w:lang w:val="en-GB"/>
        </w:rPr>
        <w:t xml:space="preserve">’ </w:t>
      </w:r>
      <w:r w:rsidR="003C2DB8">
        <w:rPr>
          <w:lang w:val="en-GB"/>
        </w:rPr>
        <w:t>resources.</w:t>
      </w:r>
      <w:r w:rsidR="00EB45E0">
        <w:rPr>
          <w:lang w:val="en-GB"/>
        </w:rPr>
        <w:t xml:space="preserve"> </w:t>
      </w:r>
    </w:p>
    <w:p w14:paraId="38BA7504" w14:textId="77777777" w:rsidR="003C2DB8" w:rsidRPr="003C2DB8" w:rsidRDefault="003C2DB8" w:rsidP="003C2DB8">
      <w:pPr>
        <w:rPr>
          <w:lang w:val="en-GB"/>
        </w:rPr>
      </w:pPr>
    </w:p>
    <w:p w14:paraId="67681E8E" w14:textId="2D13076F" w:rsidR="004E5AAC" w:rsidRDefault="00337B45" w:rsidP="00337B45">
      <w:pPr>
        <w:pStyle w:val="NUM1"/>
        <w:numPr>
          <w:ilvl w:val="0"/>
          <w:numId w:val="0"/>
        </w:numPr>
        <w:tabs>
          <w:tab w:val="left" w:pos="567"/>
        </w:tabs>
        <w:ind w:left="567" w:hanging="567"/>
        <w:rPr>
          <w:lang w:val="en-GB"/>
        </w:rPr>
      </w:pPr>
      <w:r>
        <w:rPr>
          <w:caps/>
          <w:lang w:val="en-GB"/>
        </w:rPr>
        <w:t>[41]</w:t>
      </w:r>
      <w:r>
        <w:rPr>
          <w:caps/>
          <w:lang w:val="en-GB"/>
        </w:rPr>
        <w:tab/>
      </w:r>
      <w:r w:rsidR="004E5AAC">
        <w:rPr>
          <w:lang w:val="en-GB"/>
        </w:rPr>
        <w:t xml:space="preserve">The </w:t>
      </w:r>
      <w:r w:rsidR="003C2DB8">
        <w:rPr>
          <w:lang w:val="en-GB"/>
        </w:rPr>
        <w:t>D</w:t>
      </w:r>
      <w:r w:rsidR="004E5AAC">
        <w:rPr>
          <w:lang w:val="en-GB"/>
        </w:rPr>
        <w:t xml:space="preserve">irective </w:t>
      </w:r>
      <w:r w:rsidR="003C2DB8">
        <w:rPr>
          <w:lang w:val="en-GB"/>
        </w:rPr>
        <w:t>recognises</w:t>
      </w:r>
      <w:r w:rsidR="004E5AAC">
        <w:rPr>
          <w:lang w:val="en-GB"/>
        </w:rPr>
        <w:t xml:space="preserve"> that there will be times when </w:t>
      </w:r>
      <w:r w:rsidR="00513E65">
        <w:rPr>
          <w:lang w:val="en-GB"/>
        </w:rPr>
        <w:t xml:space="preserve">the opposing side may be in possession of </w:t>
      </w:r>
      <w:r w:rsidR="004E5AAC">
        <w:rPr>
          <w:lang w:val="en-GB"/>
        </w:rPr>
        <w:t>a document</w:t>
      </w:r>
      <w:r w:rsidR="00513E65">
        <w:rPr>
          <w:lang w:val="en-GB"/>
        </w:rPr>
        <w:t xml:space="preserve"> or documents that are </w:t>
      </w:r>
      <w:r w:rsidR="004E5AAC">
        <w:rPr>
          <w:lang w:val="en-GB"/>
        </w:rPr>
        <w:t>necessary for the trial</w:t>
      </w:r>
      <w:r w:rsidR="00513E65">
        <w:rPr>
          <w:lang w:val="en-GB"/>
        </w:rPr>
        <w:t xml:space="preserve">. </w:t>
      </w:r>
      <w:r w:rsidR="004E5AAC">
        <w:rPr>
          <w:lang w:val="en-GB"/>
        </w:rPr>
        <w:t xml:space="preserve">  As such, the Directive makes provision for the targeted disclosure of documents.</w:t>
      </w:r>
      <w:r w:rsidR="001F357A">
        <w:rPr>
          <w:lang w:val="en-GB"/>
        </w:rPr>
        <w:t xml:space="preserve"> </w:t>
      </w:r>
      <w:r w:rsidR="004E5AAC">
        <w:rPr>
          <w:lang w:val="en-GB"/>
        </w:rPr>
        <w:t xml:space="preserve"> As with general discovery, the documents sought must be relevant and admissible</w:t>
      </w:r>
      <w:r w:rsidR="003C2DB8">
        <w:rPr>
          <w:lang w:val="en-GB"/>
        </w:rPr>
        <w:t xml:space="preserve"> </w:t>
      </w:r>
      <w:r w:rsidR="003C2DB8">
        <w:rPr>
          <w:lang w:val="en-GB"/>
        </w:rPr>
        <w:lastRenderedPageBreak/>
        <w:t xml:space="preserve">to the dispute </w:t>
      </w:r>
      <w:r w:rsidR="004E5AAC">
        <w:rPr>
          <w:lang w:val="en-GB"/>
        </w:rPr>
        <w:t>as defined in the statement of case or respons</w:t>
      </w:r>
      <w:r w:rsidR="003C2DB8">
        <w:rPr>
          <w:lang w:val="en-GB"/>
        </w:rPr>
        <w:t>ive</w:t>
      </w:r>
      <w:r w:rsidR="004E5AAC">
        <w:rPr>
          <w:lang w:val="en-GB"/>
        </w:rPr>
        <w:t xml:space="preserve"> statement.</w:t>
      </w:r>
      <w:r w:rsidR="003C2DB8">
        <w:rPr>
          <w:lang w:val="en-GB"/>
        </w:rPr>
        <w:t xml:space="preserve">  </w:t>
      </w:r>
      <w:r w:rsidR="00513E65">
        <w:rPr>
          <w:lang w:val="en-GB"/>
        </w:rPr>
        <w:t>The procedure permitted by the Directive</w:t>
      </w:r>
      <w:r w:rsidR="003C2DB8">
        <w:rPr>
          <w:lang w:val="en-GB"/>
        </w:rPr>
        <w:t xml:space="preserve"> the cumbersome proc</w:t>
      </w:r>
      <w:r w:rsidR="00DF6B96">
        <w:rPr>
          <w:lang w:val="en-GB"/>
        </w:rPr>
        <w:t>ed</w:t>
      </w:r>
      <w:r w:rsidR="003C2DB8">
        <w:rPr>
          <w:lang w:val="en-GB"/>
        </w:rPr>
        <w:t xml:space="preserve">ure </w:t>
      </w:r>
      <w:r w:rsidR="006B33E8">
        <w:rPr>
          <w:lang w:val="en-GB"/>
        </w:rPr>
        <w:t>in Rule 35(3) of the Uniform Rules of Court.</w:t>
      </w:r>
      <w:r w:rsidR="001F357A">
        <w:rPr>
          <w:lang w:val="en-GB"/>
        </w:rPr>
        <w:t xml:space="preserve"> </w:t>
      </w:r>
    </w:p>
    <w:p w14:paraId="37A9056A" w14:textId="77777777" w:rsidR="006B33E8" w:rsidRPr="006B33E8" w:rsidRDefault="006B33E8" w:rsidP="001F357A">
      <w:pPr>
        <w:tabs>
          <w:tab w:val="num" w:pos="567"/>
        </w:tabs>
        <w:ind w:left="567" w:hanging="567"/>
        <w:rPr>
          <w:lang w:val="en-GB"/>
        </w:rPr>
      </w:pPr>
    </w:p>
    <w:p w14:paraId="577204CA" w14:textId="3D84DCAF" w:rsidR="00F21EC9" w:rsidRPr="00F21EC9" w:rsidRDefault="00337B45" w:rsidP="00337B45">
      <w:pPr>
        <w:pStyle w:val="NUM1"/>
        <w:numPr>
          <w:ilvl w:val="0"/>
          <w:numId w:val="0"/>
        </w:numPr>
        <w:tabs>
          <w:tab w:val="left" w:pos="567"/>
        </w:tabs>
        <w:ind w:left="567" w:hanging="567"/>
        <w:rPr>
          <w:lang w:val="en-GB"/>
        </w:rPr>
      </w:pPr>
      <w:r w:rsidRPr="00F21EC9">
        <w:rPr>
          <w:caps/>
          <w:lang w:val="en-GB"/>
        </w:rPr>
        <w:t>[42]</w:t>
      </w:r>
      <w:r w:rsidRPr="00F21EC9">
        <w:rPr>
          <w:caps/>
          <w:lang w:val="en-GB"/>
        </w:rPr>
        <w:tab/>
      </w:r>
      <w:r w:rsidR="004E5AAC">
        <w:rPr>
          <w:lang w:val="en-GB"/>
        </w:rPr>
        <w:t xml:space="preserve">Finally, Chapter 5 of the </w:t>
      </w:r>
      <w:r w:rsidR="00D54407">
        <w:rPr>
          <w:lang w:val="en-GB"/>
        </w:rPr>
        <w:t>D</w:t>
      </w:r>
      <w:r w:rsidR="004E5AAC">
        <w:rPr>
          <w:lang w:val="en-GB"/>
        </w:rPr>
        <w:t>irective deals with the issue of expert witnesses</w:t>
      </w:r>
      <w:r w:rsidR="00D54407">
        <w:rPr>
          <w:lang w:val="en-GB"/>
        </w:rPr>
        <w:t>,</w:t>
      </w:r>
      <w:r w:rsidR="004E5AAC">
        <w:rPr>
          <w:lang w:val="en-GB"/>
        </w:rPr>
        <w:t xml:space="preserve"> and seeks to streamline expert evidence and limit points of disagreement</w:t>
      </w:r>
      <w:r w:rsidR="00E47A85">
        <w:rPr>
          <w:lang w:val="en-GB"/>
        </w:rPr>
        <w:t>, all with a view to even further refining the triable issue or issues between the parties.</w:t>
      </w:r>
      <w:r w:rsidR="00D54407">
        <w:rPr>
          <w:lang w:val="en-GB"/>
        </w:rPr>
        <w:t xml:space="preserve"> </w:t>
      </w:r>
    </w:p>
    <w:p w14:paraId="3582809D" w14:textId="77777777" w:rsidR="008573FE" w:rsidRPr="00757240" w:rsidRDefault="008573FE" w:rsidP="00757240"/>
    <w:p w14:paraId="2C46EABD" w14:textId="4A8A7A5B" w:rsidR="00F21EC9" w:rsidRDefault="00337B45" w:rsidP="00337B45">
      <w:pPr>
        <w:pStyle w:val="NUM1"/>
        <w:numPr>
          <w:ilvl w:val="0"/>
          <w:numId w:val="0"/>
        </w:numPr>
        <w:tabs>
          <w:tab w:val="left" w:pos="567"/>
        </w:tabs>
        <w:ind w:left="567" w:hanging="567"/>
      </w:pPr>
      <w:r>
        <w:rPr>
          <w:caps/>
        </w:rPr>
        <w:t>[43]</w:t>
      </w:r>
      <w:r>
        <w:rPr>
          <w:caps/>
        </w:rPr>
        <w:tab/>
      </w:r>
      <w:r w:rsidR="00F21EC9">
        <w:t>Reverting to the timetable set</w:t>
      </w:r>
      <w:r w:rsidR="00954101">
        <w:t xml:space="preserve"> </w:t>
      </w:r>
      <w:r w:rsidR="00F21EC9">
        <w:t>under Chapter 3 of the Directive.  With proper application</w:t>
      </w:r>
      <w:r w:rsidR="00954101">
        <w:t xml:space="preserve"> </w:t>
      </w:r>
      <w:r w:rsidR="00DF6B96">
        <w:t xml:space="preserve">of </w:t>
      </w:r>
      <w:r w:rsidR="00F21EC9">
        <w:t>mind to the issues listed in Chapter</w:t>
      </w:r>
      <w:r w:rsidR="00954101">
        <w:t> </w:t>
      </w:r>
      <w:r w:rsidR="00F21EC9">
        <w:t>3 that culminate in the timetable, postponements should be rare and only</w:t>
      </w:r>
      <w:r w:rsidR="00DF6B96">
        <w:t xml:space="preserve"> be required</w:t>
      </w:r>
      <w:r w:rsidR="00F21EC9">
        <w:t xml:space="preserve"> in exceptional cases</w:t>
      </w:r>
      <w:r w:rsidR="00DF6B96">
        <w:t>;</w:t>
      </w:r>
      <w:r w:rsidR="00F21EC9">
        <w:t xml:space="preserve"> matters should be capable of being tried, cost effectively and expeditiously</w:t>
      </w:r>
      <w:r w:rsidR="00954101">
        <w:t>,</w:t>
      </w:r>
      <w:r w:rsidR="00F21EC9">
        <w:t xml:space="preserve"> within the parameters of the timetable.</w:t>
      </w:r>
      <w:r w:rsidR="00954101">
        <w:t xml:space="preserve"> </w:t>
      </w:r>
    </w:p>
    <w:p w14:paraId="46AB7D19" w14:textId="77777777" w:rsidR="00F21EC9" w:rsidRPr="00F21EC9" w:rsidRDefault="00F21EC9" w:rsidP="00954101">
      <w:pPr>
        <w:tabs>
          <w:tab w:val="num" w:pos="567"/>
        </w:tabs>
        <w:ind w:left="567" w:hanging="567"/>
      </w:pPr>
    </w:p>
    <w:p w14:paraId="54BCFF06" w14:textId="05D153DA" w:rsidR="006B33E8" w:rsidRDefault="00337B45" w:rsidP="00337B45">
      <w:pPr>
        <w:pStyle w:val="NUM1"/>
        <w:numPr>
          <w:ilvl w:val="0"/>
          <w:numId w:val="0"/>
        </w:numPr>
        <w:tabs>
          <w:tab w:val="left" w:pos="567"/>
        </w:tabs>
        <w:ind w:left="567" w:hanging="567"/>
      </w:pPr>
      <w:r>
        <w:rPr>
          <w:caps/>
        </w:rPr>
        <w:t>[44]</w:t>
      </w:r>
      <w:r>
        <w:rPr>
          <w:caps/>
        </w:rPr>
        <w:tab/>
      </w:r>
      <w:r w:rsidR="00DF6B96">
        <w:t>A</w:t>
      </w:r>
      <w:r w:rsidR="00F21EC9">
        <w:t xml:space="preserve">s with all </w:t>
      </w:r>
      <w:r w:rsidR="00DF6B96">
        <w:t>litigation</w:t>
      </w:r>
      <w:r w:rsidR="00F21EC9">
        <w:t xml:space="preserve">, the </w:t>
      </w:r>
      <w:r w:rsidR="00F21EC9" w:rsidRPr="00AA2972">
        <w:rPr>
          <w:i/>
          <w:iCs/>
        </w:rPr>
        <w:t>bona fide</w:t>
      </w:r>
      <w:r w:rsidR="00F21EC9">
        <w:t xml:space="preserve"> cooperation of the litigants and their representatives is required and expected; for in the absence thereof</w:t>
      </w:r>
      <w:r w:rsidR="00352B93">
        <w:t>,</w:t>
      </w:r>
      <w:r w:rsidR="00F21EC9">
        <w:t xml:space="preserve"> th</w:t>
      </w:r>
      <w:r w:rsidR="00DF6B96">
        <w:t>e</w:t>
      </w:r>
      <w:r w:rsidR="00F21EC9">
        <w:t xml:space="preserve"> process </w:t>
      </w:r>
      <w:r w:rsidR="00DF6B96">
        <w:t xml:space="preserve">provided </w:t>
      </w:r>
      <w:r w:rsidR="00F21EC9">
        <w:t>by the Directive to expedite the resolution of disputes will flounder</w:t>
      </w:r>
      <w:r w:rsidR="00352B93">
        <w:t>,</w:t>
      </w:r>
      <w:r w:rsidR="00F21EC9">
        <w:t xml:space="preserve"> and matters designated as commercial will limp along without any direction.  This is at odds with a</w:t>
      </w:r>
      <w:r w:rsidR="00AA2972">
        <w:t xml:space="preserve"> fast track designed specifically for the benefit of litigants who </w:t>
      </w:r>
      <w:r w:rsidR="00DF6B96">
        <w:t xml:space="preserve">chose </w:t>
      </w:r>
      <w:r w:rsidR="00AA2972">
        <w:t>the resolution of a commercial dispute outside of the strictures of the ordinary track provided by the Uniform Rules.</w:t>
      </w:r>
      <w:r w:rsidR="00352B93">
        <w:t xml:space="preserve"> </w:t>
      </w:r>
    </w:p>
    <w:p w14:paraId="4A78B0E5" w14:textId="77777777" w:rsidR="006B33E8" w:rsidRPr="006B33E8" w:rsidRDefault="006B33E8" w:rsidP="006B33E8"/>
    <w:p w14:paraId="27FD614D" w14:textId="683CF6B4" w:rsidR="006B33E8" w:rsidRPr="006B33E8" w:rsidRDefault="00337B45" w:rsidP="00337B45">
      <w:pPr>
        <w:pStyle w:val="NUM1"/>
        <w:numPr>
          <w:ilvl w:val="0"/>
          <w:numId w:val="0"/>
        </w:numPr>
        <w:tabs>
          <w:tab w:val="left" w:pos="567"/>
        </w:tabs>
        <w:ind w:left="567" w:hanging="567"/>
      </w:pPr>
      <w:r w:rsidRPr="006B33E8">
        <w:rPr>
          <w:caps/>
        </w:rPr>
        <w:t>[45]</w:t>
      </w:r>
      <w:r w:rsidRPr="006B33E8">
        <w:rPr>
          <w:caps/>
        </w:rPr>
        <w:tab/>
      </w:r>
      <w:r w:rsidR="006B33E8">
        <w:t xml:space="preserve">Properly construed and applied, the Directive provides an efficient and effective fast track to litigants with a </w:t>
      </w:r>
      <w:r w:rsidR="006B33E8" w:rsidRPr="006B33E8">
        <w:rPr>
          <w:i/>
          <w:iCs/>
        </w:rPr>
        <w:t>bona fide</w:t>
      </w:r>
      <w:r w:rsidR="006B33E8">
        <w:t xml:space="preserve"> desire to resolve their dispute.  This is why the Directive is only </w:t>
      </w:r>
      <w:r w:rsidR="00DF6B96">
        <w:t xml:space="preserve">made </w:t>
      </w:r>
      <w:r w:rsidR="006B33E8">
        <w:t xml:space="preserve">applicable to commercial cases </w:t>
      </w:r>
      <w:r w:rsidR="00DF6B96">
        <w:t xml:space="preserve">after consideration of </w:t>
      </w:r>
      <w:r w:rsidR="00DF6B96">
        <w:lastRenderedPageBreak/>
        <w:t>an</w:t>
      </w:r>
      <w:r w:rsidR="006B33E8">
        <w:t xml:space="preserve"> application</w:t>
      </w:r>
      <w:r w:rsidR="00DF6B96">
        <w:t xml:space="preserve"> for such a designation</w:t>
      </w:r>
      <w:r w:rsidR="006B33E8">
        <w:t>.</w:t>
      </w:r>
      <w:r w:rsidR="004E360A">
        <w:t xml:space="preserve"> </w:t>
      </w:r>
      <w:r w:rsidR="006B33E8">
        <w:t xml:space="preserve"> And, once a case become</w:t>
      </w:r>
      <w:r w:rsidR="004E360A">
        <w:t>s</w:t>
      </w:r>
      <w:r w:rsidR="006B33E8">
        <w:t xml:space="preserve"> subject to the Directive</w:t>
      </w:r>
      <w:r w:rsidR="004E360A">
        <w:t>,</w:t>
      </w:r>
      <w:r w:rsidR="006B33E8">
        <w:t xml:space="preserve"> proper compliance therewith is central to the success thereof. </w:t>
      </w:r>
    </w:p>
    <w:p w14:paraId="1DD09012" w14:textId="6533B8A3" w:rsidR="00AA2972" w:rsidRDefault="00AA2972" w:rsidP="00AA2972"/>
    <w:p w14:paraId="0C3F249A" w14:textId="0F1E8E09" w:rsidR="00AA2972" w:rsidRPr="00AA2972" w:rsidRDefault="00AA2972" w:rsidP="008837F2">
      <w:pPr>
        <w:keepNext/>
        <w:rPr>
          <w:b/>
          <w:bCs/>
        </w:rPr>
      </w:pPr>
      <w:r w:rsidRPr="00AA2972">
        <w:rPr>
          <w:b/>
          <w:bCs/>
        </w:rPr>
        <w:t>The present case</w:t>
      </w:r>
    </w:p>
    <w:p w14:paraId="6E564DAC" w14:textId="0D4F0D9D" w:rsidR="00617904" w:rsidRPr="00617904" w:rsidRDefault="00617904" w:rsidP="008837F2">
      <w:pPr>
        <w:keepNext/>
      </w:pPr>
    </w:p>
    <w:p w14:paraId="712C6F3A" w14:textId="5BBFCD89" w:rsidR="00AE5D4B" w:rsidRDefault="00337B45" w:rsidP="00337B45">
      <w:pPr>
        <w:pStyle w:val="NUM1"/>
        <w:keepNext/>
        <w:numPr>
          <w:ilvl w:val="0"/>
          <w:numId w:val="0"/>
        </w:numPr>
        <w:tabs>
          <w:tab w:val="left" w:pos="567"/>
        </w:tabs>
        <w:ind w:left="567" w:hanging="567"/>
      </w:pPr>
      <w:r>
        <w:rPr>
          <w:caps/>
        </w:rPr>
        <w:t>[46]</w:t>
      </w:r>
      <w:r>
        <w:rPr>
          <w:caps/>
        </w:rPr>
        <w:tab/>
      </w:r>
      <w:r w:rsidR="00B87C5F">
        <w:t xml:space="preserve">The </w:t>
      </w:r>
      <w:r w:rsidR="00BA5E71">
        <w:t>Direct</w:t>
      </w:r>
      <w:r w:rsidR="00197F05">
        <w:t>ive</w:t>
      </w:r>
      <w:r w:rsidR="00AE5D4B">
        <w:t xml:space="preserve"> </w:t>
      </w:r>
      <w:r w:rsidR="00AA2972">
        <w:t>was not</w:t>
      </w:r>
      <w:r w:rsidR="00AE5D4B">
        <w:t xml:space="preserve"> followed</w:t>
      </w:r>
      <w:r w:rsidR="00A13F28">
        <w:t xml:space="preserve"> in this case</w:t>
      </w:r>
      <w:r w:rsidR="00AE5D4B">
        <w:t>.</w:t>
      </w:r>
      <w:r w:rsidR="00B87C5F">
        <w:t xml:space="preserve"> </w:t>
      </w:r>
      <w:r w:rsidR="00AE5D4B">
        <w:t xml:space="preserve"> </w:t>
      </w:r>
      <w:r w:rsidR="00A13F28">
        <w:t>I am led to believe that this is, in part, due to the defendant not being represented.</w:t>
      </w:r>
      <w:r w:rsidR="00AA2972">
        <w:t xml:space="preserve"> </w:t>
      </w:r>
      <w:r w:rsidR="00B87C5F">
        <w:t xml:space="preserve"> </w:t>
      </w:r>
      <w:r w:rsidR="00A13F28">
        <w:t>This fact seems to me all the more reason that the Directive should have been followed to a greater degree</w:t>
      </w:r>
      <w:r w:rsidR="00A3348F">
        <w:t>,</w:t>
      </w:r>
      <w:r w:rsidR="00A13F28">
        <w:t xml:space="preserve"> because there would have been no room for a lengthy hiatus in the preparation of the trial. </w:t>
      </w:r>
    </w:p>
    <w:p w14:paraId="693FE6A6" w14:textId="53805195" w:rsidR="00AE5D4B" w:rsidRDefault="00AE5D4B" w:rsidP="00B87C5F">
      <w:pPr>
        <w:tabs>
          <w:tab w:val="num" w:pos="567"/>
        </w:tabs>
        <w:ind w:left="567" w:hanging="567"/>
      </w:pPr>
    </w:p>
    <w:p w14:paraId="134E4AE2" w14:textId="4861672C" w:rsidR="00AA2972" w:rsidRDefault="00337B45" w:rsidP="00337B45">
      <w:pPr>
        <w:pStyle w:val="NUM1"/>
        <w:numPr>
          <w:ilvl w:val="0"/>
          <w:numId w:val="0"/>
        </w:numPr>
        <w:tabs>
          <w:tab w:val="left" w:pos="567"/>
        </w:tabs>
        <w:ind w:left="567" w:hanging="567"/>
      </w:pPr>
      <w:r>
        <w:rPr>
          <w:caps/>
        </w:rPr>
        <w:t>[47]</w:t>
      </w:r>
      <w:r>
        <w:rPr>
          <w:caps/>
        </w:rPr>
        <w:tab/>
      </w:r>
      <w:r w:rsidR="00DF6B96">
        <w:t>The</w:t>
      </w:r>
      <w:r w:rsidR="008D7BF0">
        <w:t xml:space="preserve"> is no indication from the documents filed of record that any directions</w:t>
      </w:r>
      <w:r w:rsidR="00AE5D4B">
        <w:t xml:space="preserve"> </w:t>
      </w:r>
      <w:r w:rsidR="00631F9B">
        <w:t>for</w:t>
      </w:r>
      <w:r w:rsidR="00AE5D4B">
        <w:t xml:space="preserve"> the </w:t>
      </w:r>
      <w:r w:rsidR="008D7BF0">
        <w:t xml:space="preserve">delivery of summary statements, </w:t>
      </w:r>
      <w:r w:rsidR="00AE5D4B">
        <w:t>witness statements or the disclosure of such documents</w:t>
      </w:r>
      <w:r w:rsidR="00A3348F">
        <w:t>,</w:t>
      </w:r>
      <w:r w:rsidR="00AE5D4B">
        <w:t xml:space="preserve"> as are strictly necessary for the ventilation of this action</w:t>
      </w:r>
      <w:r w:rsidR="00A3348F">
        <w:t>,</w:t>
      </w:r>
      <w:r w:rsidR="00AE5D4B">
        <w:t xml:space="preserve"> </w:t>
      </w:r>
      <w:r w:rsidR="008D7BF0">
        <w:t>were</w:t>
      </w:r>
      <w:r w:rsidR="00AE5D4B">
        <w:t xml:space="preserve"> given.</w:t>
      </w:r>
      <w:r w:rsidR="00A95FE9">
        <w:t xml:space="preserve"> </w:t>
      </w:r>
    </w:p>
    <w:p w14:paraId="0E68F50E" w14:textId="77777777" w:rsidR="00AA2972" w:rsidRPr="00AA2972" w:rsidRDefault="00AA2972" w:rsidP="00AA2972"/>
    <w:p w14:paraId="7CC6B4D1" w14:textId="76E849BA" w:rsidR="00AE5D4B" w:rsidRDefault="00337B45" w:rsidP="00337B45">
      <w:pPr>
        <w:pStyle w:val="NUM1"/>
        <w:numPr>
          <w:ilvl w:val="0"/>
          <w:numId w:val="0"/>
        </w:numPr>
        <w:tabs>
          <w:tab w:val="left" w:pos="567"/>
        </w:tabs>
        <w:ind w:left="567" w:hanging="567"/>
      </w:pPr>
      <w:r>
        <w:rPr>
          <w:caps/>
        </w:rPr>
        <w:t>[48]</w:t>
      </w:r>
      <w:r>
        <w:rPr>
          <w:caps/>
        </w:rPr>
        <w:tab/>
      </w:r>
      <w:r w:rsidR="00A95FE9">
        <w:t>The issue of documents is</w:t>
      </w:r>
      <w:r w:rsidR="00631F9B">
        <w:t xml:space="preserve"> a long standing issue</w:t>
      </w:r>
      <w:r w:rsidR="00AE043A">
        <w:t>,</w:t>
      </w:r>
      <w:r w:rsidR="00631F9B">
        <w:t xml:space="preserve"> and appears to be a real impediment to the </w:t>
      </w:r>
      <w:r w:rsidR="00AA2972">
        <w:t>prosecution</w:t>
      </w:r>
      <w:r w:rsidR="00631F9B">
        <w:t xml:space="preserve"> of this matter.</w:t>
      </w:r>
      <w:r w:rsidR="00AE043A">
        <w:t xml:space="preserve"> </w:t>
      </w:r>
    </w:p>
    <w:p w14:paraId="62AAB130" w14:textId="77777777" w:rsidR="00A95FE9" w:rsidRDefault="00A95FE9" w:rsidP="00AE043A">
      <w:pPr>
        <w:pStyle w:val="NUM1"/>
        <w:numPr>
          <w:ilvl w:val="0"/>
          <w:numId w:val="0"/>
        </w:numPr>
        <w:tabs>
          <w:tab w:val="num" w:pos="567"/>
        </w:tabs>
        <w:ind w:left="567" w:hanging="567"/>
      </w:pPr>
    </w:p>
    <w:p w14:paraId="749CE518" w14:textId="7A179CD3" w:rsidR="00AA2972" w:rsidRDefault="00337B45" w:rsidP="00337B45">
      <w:pPr>
        <w:pStyle w:val="NUM1"/>
        <w:numPr>
          <w:ilvl w:val="0"/>
          <w:numId w:val="0"/>
        </w:numPr>
        <w:tabs>
          <w:tab w:val="left" w:pos="567"/>
        </w:tabs>
        <w:ind w:left="567" w:hanging="567"/>
      </w:pPr>
      <w:r>
        <w:rPr>
          <w:caps/>
        </w:rPr>
        <w:t>[49]</w:t>
      </w:r>
      <w:r>
        <w:rPr>
          <w:caps/>
        </w:rPr>
        <w:tab/>
      </w:r>
      <w:r w:rsidR="00AE5D4B">
        <w:t>It is in this context that I</w:t>
      </w:r>
      <w:r w:rsidR="000A510D">
        <w:t>,</w:t>
      </w:r>
      <w:r w:rsidR="00AE5D4B">
        <w:t xml:space="preserve"> very reluctantly</w:t>
      </w:r>
      <w:r w:rsidR="000A510D">
        <w:t>,</w:t>
      </w:r>
      <w:r w:rsidR="00AE5D4B">
        <w:t xml:space="preserve"> granted the application </w:t>
      </w:r>
      <w:r w:rsidR="00AE043A">
        <w:t>f</w:t>
      </w:r>
      <w:r w:rsidR="00AE5D4B">
        <w:t xml:space="preserve">or postponement, directed the parties to agree on terms for the filing of witness statements and ancillary issues, including the plaintiff's right to apply to court to have the defendant's defence struck out and apply for judgment should any of the </w:t>
      </w:r>
      <w:r w:rsidR="00B35B4E">
        <w:t>directions given by a case management judge</w:t>
      </w:r>
      <w:r w:rsidR="00AE5D4B">
        <w:t xml:space="preserve"> not be followed.</w:t>
      </w:r>
      <w:r w:rsidR="00707E42">
        <w:t xml:space="preserve"> </w:t>
      </w:r>
    </w:p>
    <w:p w14:paraId="248CC58E" w14:textId="77777777" w:rsidR="00AA2972" w:rsidRPr="00AA2972" w:rsidRDefault="00AA2972" w:rsidP="00AA2972"/>
    <w:p w14:paraId="3F30208C" w14:textId="10647CE2" w:rsidR="00E00341" w:rsidRDefault="00337B45" w:rsidP="00337B45">
      <w:pPr>
        <w:pStyle w:val="NUM1"/>
        <w:numPr>
          <w:ilvl w:val="0"/>
          <w:numId w:val="0"/>
        </w:numPr>
        <w:tabs>
          <w:tab w:val="left" w:pos="567"/>
        </w:tabs>
        <w:ind w:left="567" w:hanging="567"/>
      </w:pPr>
      <w:r>
        <w:rPr>
          <w:caps/>
        </w:rPr>
        <w:lastRenderedPageBreak/>
        <w:t>[50]</w:t>
      </w:r>
      <w:r>
        <w:rPr>
          <w:caps/>
        </w:rPr>
        <w:tab/>
      </w:r>
      <w:r w:rsidR="00AA2972">
        <w:t>The parties, for various reasons</w:t>
      </w:r>
      <w:r w:rsidR="003416B5">
        <w:t>,</w:t>
      </w:r>
      <w:r w:rsidR="00AA2972">
        <w:t xml:space="preserve"> were not able to agree on the terms of a draft order, save </w:t>
      </w:r>
      <w:r w:rsidR="00B35B4E">
        <w:t>to make provision that the Deputy Judge President appoint</w:t>
      </w:r>
      <w:r w:rsidR="00AA2972">
        <w:t xml:space="preserve"> a case management judge to guide the parties through the process set out in the </w:t>
      </w:r>
      <w:r w:rsidR="00E00341">
        <w:t>D</w:t>
      </w:r>
      <w:r w:rsidR="00AA2972">
        <w:t>irective</w:t>
      </w:r>
      <w:r w:rsidR="001D3704">
        <w:t>,</w:t>
      </w:r>
      <w:r w:rsidR="00AA2972">
        <w:t xml:space="preserve"> and </w:t>
      </w:r>
      <w:r w:rsidR="00D955F4">
        <w:t>to give directions for the bringing of</w:t>
      </w:r>
      <w:r w:rsidR="00AA2972">
        <w:t xml:space="preserve"> </w:t>
      </w:r>
      <w:r w:rsidR="00D955F4">
        <w:t xml:space="preserve">substantive </w:t>
      </w:r>
      <w:r w:rsidR="00AA2972">
        <w:t>application for targeted disc</w:t>
      </w:r>
      <w:r w:rsidR="00D955F4">
        <w:t xml:space="preserve">losure. </w:t>
      </w:r>
      <w:r w:rsidR="00E00341">
        <w:t xml:space="preserve"> </w:t>
      </w:r>
      <w:r w:rsidR="001D3704">
        <w:t xml:space="preserve"> </w:t>
      </w:r>
      <w:r w:rsidR="00AA2972">
        <w:t xml:space="preserve">An order making </w:t>
      </w:r>
      <w:r w:rsidR="00946A2D">
        <w:t>certain</w:t>
      </w:r>
      <w:r w:rsidR="00AA2972">
        <w:t xml:space="preserve"> procedural rulings will ensue.</w:t>
      </w:r>
      <w:r w:rsidR="001D3704">
        <w:t xml:space="preserve"> </w:t>
      </w:r>
      <w:r w:rsidR="00AA2972">
        <w:t xml:space="preserve"> </w:t>
      </w:r>
      <w:r w:rsidR="00E00341">
        <w:t>The costs occasioned by the postponement will also be reserved.</w:t>
      </w:r>
      <w:r w:rsidR="001D3704">
        <w:t xml:space="preserve"> </w:t>
      </w:r>
    </w:p>
    <w:p w14:paraId="0A74877B" w14:textId="77777777" w:rsidR="00E00341" w:rsidRPr="00E00341" w:rsidRDefault="00E00341" w:rsidP="003416B5">
      <w:pPr>
        <w:tabs>
          <w:tab w:val="num" w:pos="567"/>
        </w:tabs>
        <w:ind w:left="567" w:hanging="567"/>
      </w:pPr>
    </w:p>
    <w:p w14:paraId="29156D88" w14:textId="17A0D6FE" w:rsidR="00AE5D4B" w:rsidRDefault="00337B45" w:rsidP="00337B45">
      <w:pPr>
        <w:pStyle w:val="NUM1"/>
        <w:numPr>
          <w:ilvl w:val="0"/>
          <w:numId w:val="0"/>
        </w:numPr>
        <w:tabs>
          <w:tab w:val="left" w:pos="567"/>
        </w:tabs>
        <w:ind w:left="567" w:hanging="567"/>
      </w:pPr>
      <w:r>
        <w:rPr>
          <w:caps/>
        </w:rPr>
        <w:t>[51]</w:t>
      </w:r>
      <w:r>
        <w:rPr>
          <w:caps/>
        </w:rPr>
        <w:tab/>
      </w:r>
      <w:r w:rsidR="00AE5D4B">
        <w:t>This appears to me to be a just and equitable result in the circumstances</w:t>
      </w:r>
      <w:r w:rsidR="00946A2D">
        <w:t xml:space="preserve">. </w:t>
      </w:r>
      <w:r w:rsidR="00AE5D4B">
        <w:t xml:space="preserve"> </w:t>
      </w:r>
      <w:r w:rsidR="00946A2D">
        <w:t>W</w:t>
      </w:r>
      <w:r w:rsidR="00AE5D4B">
        <w:t xml:space="preserve">hen this matter comes before a trial court again, the trial court will be in a position to hear the defendant's evidence, determine whether any of the evidence </w:t>
      </w:r>
      <w:r w:rsidR="00946A2D">
        <w:t xml:space="preserve">required by the defendant </w:t>
      </w:r>
      <w:r w:rsidR="00AE5D4B">
        <w:t>is admissible</w:t>
      </w:r>
      <w:r w:rsidR="00946A2D">
        <w:t xml:space="preserve"> and whether</w:t>
      </w:r>
      <w:r w:rsidR="00AE5D4B">
        <w:t xml:space="preserve"> this postponement</w:t>
      </w:r>
      <w:r w:rsidR="00AA2972">
        <w:t xml:space="preserve"> (and the opposition to the separation of issues)</w:t>
      </w:r>
      <w:r w:rsidR="00AE5D4B">
        <w:t xml:space="preserve"> was a dilatory strategy</w:t>
      </w:r>
      <w:r w:rsidR="00946A2D">
        <w:t xml:space="preserve"> or not</w:t>
      </w:r>
      <w:r w:rsidR="00AE5D4B">
        <w:t>.</w:t>
      </w:r>
      <w:r w:rsidR="00195743">
        <w:t xml:space="preserve"> </w:t>
      </w:r>
    </w:p>
    <w:p w14:paraId="29A5F42C" w14:textId="5E950FC1" w:rsidR="00AE5D4B" w:rsidRDefault="00AE5D4B" w:rsidP="00AE5D4B"/>
    <w:p w14:paraId="178A3BCD" w14:textId="56C67C71" w:rsidR="00AE5D4B" w:rsidRDefault="00337B45" w:rsidP="00337B45">
      <w:pPr>
        <w:pStyle w:val="NUM1"/>
        <w:numPr>
          <w:ilvl w:val="0"/>
          <w:numId w:val="0"/>
        </w:numPr>
        <w:tabs>
          <w:tab w:val="left" w:pos="567"/>
        </w:tabs>
        <w:ind w:left="567" w:hanging="567"/>
      </w:pPr>
      <w:r>
        <w:rPr>
          <w:caps/>
        </w:rPr>
        <w:t>[52]</w:t>
      </w:r>
      <w:r>
        <w:rPr>
          <w:caps/>
        </w:rPr>
        <w:tab/>
      </w:r>
      <w:r w:rsidR="00AE5D4B">
        <w:t xml:space="preserve">By reserving the wasted costs of </w:t>
      </w:r>
      <w:r w:rsidR="003507E2">
        <w:t>the</w:t>
      </w:r>
      <w:r w:rsidR="00D82EDD">
        <w:t xml:space="preserve"> trial</w:t>
      </w:r>
      <w:r w:rsidR="003507E2">
        <w:t xml:space="preserve"> on 3</w:t>
      </w:r>
      <w:r w:rsidR="00D82EDD">
        <w:t xml:space="preserve"> and 4</w:t>
      </w:r>
      <w:r w:rsidR="003507E2">
        <w:t> October</w:t>
      </w:r>
      <w:r w:rsidR="001D0A06">
        <w:t xml:space="preserve"> </w:t>
      </w:r>
      <w:r w:rsidR="003507E2">
        <w:t>2022, i the trial court seized with this matter in due course will be able to do better justice to the parties than what I have been able to do</w:t>
      </w:r>
      <w:r w:rsidR="001D0A06">
        <w:t>,</w:t>
      </w:r>
      <w:r w:rsidR="003507E2">
        <w:t xml:space="preserve"> since I simply do not have the facts to determine the degree of the defendant's culpability in failing to ensure that his defence was properly and timeously prepared, his failure to have retained legal representatives</w:t>
      </w:r>
      <w:r w:rsidR="001D0A06">
        <w:t>,</w:t>
      </w:r>
      <w:r w:rsidR="003507E2">
        <w:t xml:space="preserve"> and to have gathered the witnesses and evidence that he requires to establish the defence summarised in the </w:t>
      </w:r>
      <w:r w:rsidR="00D82EDD">
        <w:t xml:space="preserve">letter </w:t>
      </w:r>
      <w:r w:rsidR="003507E2">
        <w:t xml:space="preserve">to which I referred above. </w:t>
      </w:r>
    </w:p>
    <w:p w14:paraId="1FCC1F49" w14:textId="74D8FAC6" w:rsidR="003507E2" w:rsidRDefault="003507E2" w:rsidP="003507E2"/>
    <w:p w14:paraId="12C5AD56" w14:textId="6FA98E56" w:rsidR="00AA2972" w:rsidRDefault="00337B45" w:rsidP="00337B45">
      <w:pPr>
        <w:pStyle w:val="NUM1"/>
        <w:numPr>
          <w:ilvl w:val="0"/>
          <w:numId w:val="0"/>
        </w:numPr>
        <w:tabs>
          <w:tab w:val="left" w:pos="567"/>
        </w:tabs>
        <w:ind w:left="567" w:hanging="567"/>
      </w:pPr>
      <w:r>
        <w:rPr>
          <w:caps/>
        </w:rPr>
        <w:t>[53]</w:t>
      </w:r>
      <w:r>
        <w:rPr>
          <w:caps/>
        </w:rPr>
        <w:tab/>
      </w:r>
      <w:r w:rsidR="00AA2972">
        <w:t>Should it transpire that the defendant has been engaged in dilatory strategies and/or the opposition to the separation of issues (before Fisher</w:t>
      </w:r>
      <w:r w:rsidR="00AF3F3E">
        <w:t> </w:t>
      </w:r>
      <w:r w:rsidR="00AA2972">
        <w:t>J or me)</w:t>
      </w:r>
      <w:r w:rsidR="001E377B">
        <w:t>,</w:t>
      </w:r>
      <w:r w:rsidR="00AA2972">
        <w:t xml:space="preserve"> cynical </w:t>
      </w:r>
      <w:r w:rsidR="00AA2972">
        <w:lastRenderedPageBreak/>
        <w:t xml:space="preserve">or vexatious in the sense contemplated in </w:t>
      </w:r>
      <w:r w:rsidR="00AA2972" w:rsidRPr="00AA2972">
        <w:rPr>
          <w:b/>
          <w:bCs/>
        </w:rPr>
        <w:t>Alluvial Creek</w:t>
      </w:r>
      <w:r w:rsidR="00AA2972">
        <w:rPr>
          <w:rStyle w:val="FootnoteReference"/>
        </w:rPr>
        <w:footnoteReference w:id="15"/>
      </w:r>
      <w:r w:rsidR="00AF3F3E">
        <w:t xml:space="preserve">, </w:t>
      </w:r>
      <w:r w:rsidR="00AA2972">
        <w:t>the plaintiff should be entitled to request the trial court to order that those costs reserved before Fisher</w:t>
      </w:r>
      <w:r w:rsidR="001E377B">
        <w:t> </w:t>
      </w:r>
      <w:r w:rsidR="00AA2972">
        <w:t>J and me be paid on an appropriate punitive scale.</w:t>
      </w:r>
      <w:r w:rsidR="00AA2972">
        <w:rPr>
          <w:rStyle w:val="FootnoteReference"/>
        </w:rPr>
        <w:footnoteReference w:id="16"/>
      </w:r>
      <w:r w:rsidR="00AF3F3E">
        <w:t xml:space="preserve"> </w:t>
      </w:r>
    </w:p>
    <w:p w14:paraId="683441AD" w14:textId="37C86D94" w:rsidR="00AA2972" w:rsidRDefault="00AA2972" w:rsidP="00AA2972"/>
    <w:p w14:paraId="1F20978A" w14:textId="1F475360" w:rsidR="00AA2972" w:rsidRPr="008E2C21" w:rsidRDefault="00AA2972" w:rsidP="008837F2">
      <w:pPr>
        <w:keepNext/>
        <w:rPr>
          <w:b/>
          <w:bCs/>
        </w:rPr>
      </w:pPr>
      <w:r w:rsidRPr="008E2C21">
        <w:rPr>
          <w:b/>
          <w:bCs/>
        </w:rPr>
        <w:t>Order</w:t>
      </w:r>
    </w:p>
    <w:p w14:paraId="6202F321" w14:textId="77777777" w:rsidR="00AA2972" w:rsidRPr="00AA2972" w:rsidRDefault="00AA2972" w:rsidP="008837F2">
      <w:pPr>
        <w:keepNext/>
      </w:pPr>
    </w:p>
    <w:p w14:paraId="4319742B" w14:textId="3305E32C" w:rsidR="003507E2" w:rsidRDefault="00337B45" w:rsidP="00337B45">
      <w:pPr>
        <w:pStyle w:val="NUM1"/>
        <w:keepNext/>
        <w:numPr>
          <w:ilvl w:val="0"/>
          <w:numId w:val="0"/>
        </w:numPr>
        <w:tabs>
          <w:tab w:val="left" w:pos="567"/>
        </w:tabs>
        <w:ind w:left="567" w:hanging="567"/>
      </w:pPr>
      <w:r>
        <w:rPr>
          <w:caps/>
        </w:rPr>
        <w:t>[54]</w:t>
      </w:r>
      <w:r>
        <w:rPr>
          <w:caps/>
        </w:rPr>
        <w:tab/>
      </w:r>
      <w:r w:rsidR="00AA2972">
        <w:t>In the result, the following order is made</w:t>
      </w:r>
      <w:r w:rsidR="001E377B">
        <w:t xml:space="preserve">: </w:t>
      </w:r>
    </w:p>
    <w:p w14:paraId="3AA63F96" w14:textId="16E243B2" w:rsidR="006A0653" w:rsidRDefault="006A0653" w:rsidP="006A0653"/>
    <w:p w14:paraId="5518FF92" w14:textId="5E7B15F3" w:rsidR="006A0653" w:rsidRDefault="00337B45" w:rsidP="00337B45">
      <w:pPr>
        <w:pStyle w:val="NUM2"/>
        <w:numPr>
          <w:ilvl w:val="0"/>
          <w:numId w:val="0"/>
        </w:numPr>
        <w:tabs>
          <w:tab w:val="left" w:pos="1418"/>
        </w:tabs>
        <w:ind w:left="1418" w:hanging="851"/>
        <w:rPr>
          <w:lang w:val="en-GB"/>
        </w:rPr>
      </w:pPr>
      <w:r>
        <w:rPr>
          <w:lang w:val="en-GB"/>
        </w:rPr>
        <w:t>[54.1]</w:t>
      </w:r>
      <w:r>
        <w:rPr>
          <w:lang w:val="en-GB"/>
        </w:rPr>
        <w:tab/>
      </w:r>
      <w:r w:rsidR="006A0653">
        <w:rPr>
          <w:lang w:val="en-GB"/>
        </w:rPr>
        <w:t xml:space="preserve">the trial in this action is postponed </w:t>
      </w:r>
      <w:r w:rsidR="006A0653" w:rsidRPr="00C319B2">
        <w:rPr>
          <w:i/>
          <w:iCs/>
          <w:lang w:val="en-GB"/>
        </w:rPr>
        <w:t>sine die</w:t>
      </w:r>
      <w:r w:rsidR="006A0653">
        <w:rPr>
          <w:lang w:val="en-GB"/>
        </w:rPr>
        <w:t>;</w:t>
      </w:r>
      <w:r w:rsidR="00301AA0">
        <w:rPr>
          <w:lang w:val="en-GB"/>
        </w:rPr>
        <w:t xml:space="preserve"> </w:t>
      </w:r>
    </w:p>
    <w:p w14:paraId="3B1169B8" w14:textId="77777777" w:rsidR="006A0653" w:rsidRDefault="006A0653" w:rsidP="00C11F06">
      <w:pPr>
        <w:tabs>
          <w:tab w:val="num" w:pos="1418"/>
        </w:tabs>
        <w:ind w:left="1418" w:hanging="851"/>
        <w:rPr>
          <w:lang w:val="en-GB"/>
        </w:rPr>
      </w:pPr>
    </w:p>
    <w:p w14:paraId="26118971" w14:textId="0198D048" w:rsidR="006A0653" w:rsidRDefault="00337B45" w:rsidP="00337B45">
      <w:pPr>
        <w:pStyle w:val="NUM2"/>
        <w:numPr>
          <w:ilvl w:val="0"/>
          <w:numId w:val="0"/>
        </w:numPr>
        <w:tabs>
          <w:tab w:val="left" w:pos="1418"/>
        </w:tabs>
        <w:ind w:left="1418" w:hanging="851"/>
        <w:rPr>
          <w:lang w:val="en-GB"/>
        </w:rPr>
      </w:pPr>
      <w:r>
        <w:rPr>
          <w:lang w:val="en-GB"/>
        </w:rPr>
        <w:t>[54.2]</w:t>
      </w:r>
      <w:r>
        <w:rPr>
          <w:lang w:val="en-GB"/>
        </w:rPr>
        <w:tab/>
      </w:r>
      <w:r w:rsidR="006A0653">
        <w:rPr>
          <w:lang w:val="en-GB"/>
        </w:rPr>
        <w:t>the wasted costs occasioned by this postponement are reserved for determination by the trial court hearing this matter in due course;</w:t>
      </w:r>
      <w:r w:rsidR="00301AA0">
        <w:rPr>
          <w:lang w:val="en-GB"/>
        </w:rPr>
        <w:t xml:space="preserve"> </w:t>
      </w:r>
    </w:p>
    <w:p w14:paraId="09D2867A" w14:textId="77777777" w:rsidR="006A0653" w:rsidRDefault="006A0653" w:rsidP="00C11F06">
      <w:pPr>
        <w:tabs>
          <w:tab w:val="num" w:pos="1418"/>
        </w:tabs>
        <w:ind w:left="1418" w:hanging="851"/>
        <w:rPr>
          <w:lang w:val="en-GB"/>
        </w:rPr>
      </w:pPr>
    </w:p>
    <w:p w14:paraId="6C7DA24D" w14:textId="182C9690" w:rsidR="006A0653" w:rsidRDefault="00337B45" w:rsidP="00337B45">
      <w:pPr>
        <w:pStyle w:val="NUM2"/>
        <w:numPr>
          <w:ilvl w:val="0"/>
          <w:numId w:val="0"/>
        </w:numPr>
        <w:tabs>
          <w:tab w:val="left" w:pos="1418"/>
        </w:tabs>
        <w:ind w:left="1418" w:hanging="851"/>
        <w:rPr>
          <w:lang w:val="en-GB"/>
        </w:rPr>
      </w:pPr>
      <w:r>
        <w:rPr>
          <w:lang w:val="en-GB"/>
        </w:rPr>
        <w:t>[54.3]</w:t>
      </w:r>
      <w:r>
        <w:rPr>
          <w:lang w:val="en-GB"/>
        </w:rPr>
        <w:tab/>
      </w:r>
      <w:r w:rsidR="006A0653">
        <w:rPr>
          <w:lang w:val="en-GB"/>
        </w:rPr>
        <w:t>the parties are directed, jointly, to approach the learned Deputy Judge President requesting the appointment of a case management judge for purposes of convening a first case management meeting as contemplated in Chapter 3 of the Commercial Court Directive, and for the further management of this action as contemplated in Chapters 4 and 5 of the Commercial Court Directive</w:t>
      </w:r>
      <w:r w:rsidR="00E00341">
        <w:rPr>
          <w:lang w:val="en-GB"/>
        </w:rPr>
        <w:t xml:space="preserve"> within 5 days of this Order</w:t>
      </w:r>
      <w:r w:rsidR="006A0653">
        <w:rPr>
          <w:lang w:val="en-GB"/>
        </w:rPr>
        <w:t>;</w:t>
      </w:r>
      <w:r w:rsidR="00301AA0">
        <w:rPr>
          <w:lang w:val="en-GB"/>
        </w:rPr>
        <w:t xml:space="preserve"> </w:t>
      </w:r>
    </w:p>
    <w:p w14:paraId="2AC855B7" w14:textId="77777777" w:rsidR="006A0653" w:rsidRDefault="006A0653" w:rsidP="006A0653">
      <w:pPr>
        <w:rPr>
          <w:lang w:val="en-GB"/>
        </w:rPr>
      </w:pPr>
    </w:p>
    <w:p w14:paraId="5657FD7E" w14:textId="5ECDCC89" w:rsidR="008837F2" w:rsidRDefault="00337B45" w:rsidP="00337B45">
      <w:pPr>
        <w:pStyle w:val="NUM2"/>
        <w:numPr>
          <w:ilvl w:val="0"/>
          <w:numId w:val="0"/>
        </w:numPr>
        <w:tabs>
          <w:tab w:val="left" w:pos="1418"/>
        </w:tabs>
        <w:ind w:left="1418" w:hanging="851"/>
        <w:rPr>
          <w:lang w:val="en-GB"/>
        </w:rPr>
      </w:pPr>
      <w:r>
        <w:rPr>
          <w:lang w:val="en-GB"/>
        </w:rPr>
        <w:t>[54.4]</w:t>
      </w:r>
      <w:r>
        <w:rPr>
          <w:lang w:val="en-GB"/>
        </w:rPr>
        <w:tab/>
      </w:r>
      <w:r w:rsidR="008837F2">
        <w:rPr>
          <w:lang w:val="en-GB"/>
        </w:rPr>
        <w:t>the plaintiff is directed to deliver its Summary Statement within 5 days of this order and the defendant its Summary Statement within a further 5 days of delivery of the plaintiff’s Summary Statement;</w:t>
      </w:r>
    </w:p>
    <w:p w14:paraId="326828E3" w14:textId="77777777" w:rsidR="008837F2" w:rsidRPr="008837F2" w:rsidRDefault="008837F2" w:rsidP="008837F2">
      <w:pPr>
        <w:rPr>
          <w:lang w:val="en-GB"/>
        </w:rPr>
      </w:pPr>
    </w:p>
    <w:p w14:paraId="628D1D21" w14:textId="2407EAF7" w:rsidR="006A0653" w:rsidRDefault="00337B45" w:rsidP="00337B45">
      <w:pPr>
        <w:pStyle w:val="NUM2"/>
        <w:numPr>
          <w:ilvl w:val="0"/>
          <w:numId w:val="0"/>
        </w:numPr>
        <w:tabs>
          <w:tab w:val="left" w:pos="1418"/>
        </w:tabs>
        <w:ind w:left="1418" w:hanging="851"/>
        <w:rPr>
          <w:lang w:val="en-GB"/>
        </w:rPr>
      </w:pPr>
      <w:r>
        <w:rPr>
          <w:lang w:val="en-GB"/>
        </w:rPr>
        <w:t>[54.5]</w:t>
      </w:r>
      <w:r>
        <w:rPr>
          <w:lang w:val="en-GB"/>
        </w:rPr>
        <w:tab/>
      </w:r>
      <w:r w:rsidR="006A0653">
        <w:rPr>
          <w:lang w:val="en-GB"/>
        </w:rPr>
        <w:t xml:space="preserve">the defendant is directed to make such substantive application as he is advised to make for the targeted disclosure of documents as contemplated in the Commercial Court Directive within </w:t>
      </w:r>
      <w:r w:rsidR="00C11F06">
        <w:rPr>
          <w:lang w:val="en-GB"/>
        </w:rPr>
        <w:t xml:space="preserve">5 </w:t>
      </w:r>
      <w:r w:rsidR="006A0653">
        <w:rPr>
          <w:lang w:val="en-GB"/>
        </w:rPr>
        <w:t xml:space="preserve">days </w:t>
      </w:r>
      <w:r w:rsidR="008837F2">
        <w:rPr>
          <w:lang w:val="en-GB"/>
        </w:rPr>
        <w:t>delivery of its Summary Statement referred to in paragraph 54.4 above</w:t>
      </w:r>
      <w:r w:rsidR="006A0653">
        <w:rPr>
          <w:lang w:val="en-GB"/>
        </w:rPr>
        <w:t>;</w:t>
      </w:r>
      <w:r w:rsidR="007C4F9D">
        <w:rPr>
          <w:lang w:val="en-GB"/>
        </w:rPr>
        <w:t xml:space="preserve"> </w:t>
      </w:r>
    </w:p>
    <w:p w14:paraId="5AA3580C" w14:textId="77777777" w:rsidR="006A0653" w:rsidRDefault="006A0653" w:rsidP="006A0653">
      <w:pPr>
        <w:rPr>
          <w:lang w:val="en-GB"/>
        </w:rPr>
      </w:pPr>
    </w:p>
    <w:p w14:paraId="4775B520" w14:textId="586E8C44" w:rsidR="006A0653" w:rsidRDefault="00337B45" w:rsidP="00337B45">
      <w:pPr>
        <w:pStyle w:val="NUM2"/>
        <w:numPr>
          <w:ilvl w:val="0"/>
          <w:numId w:val="0"/>
        </w:numPr>
        <w:tabs>
          <w:tab w:val="left" w:pos="1418"/>
        </w:tabs>
        <w:ind w:left="1418" w:hanging="851"/>
        <w:rPr>
          <w:lang w:val="en-GB"/>
        </w:rPr>
      </w:pPr>
      <w:r>
        <w:rPr>
          <w:lang w:val="en-GB"/>
        </w:rPr>
        <w:t>[54.6]</w:t>
      </w:r>
      <w:r>
        <w:rPr>
          <w:lang w:val="en-GB"/>
        </w:rPr>
        <w:tab/>
      </w:r>
      <w:r w:rsidR="006A0653">
        <w:rPr>
          <w:lang w:val="en-GB"/>
        </w:rPr>
        <w:t xml:space="preserve">the plaintiff may deliver any such answering affidavit as it is advised to deliver within a period of </w:t>
      </w:r>
      <w:r w:rsidR="00C11F06">
        <w:rPr>
          <w:lang w:val="en-GB"/>
        </w:rPr>
        <w:t xml:space="preserve">10 </w:t>
      </w:r>
      <w:r w:rsidR="006A0653">
        <w:rPr>
          <w:lang w:val="en-GB"/>
        </w:rPr>
        <w:t>days from the date of the defendant's application</w:t>
      </w:r>
      <w:r w:rsidR="00C11F06">
        <w:rPr>
          <w:lang w:val="en-GB"/>
        </w:rPr>
        <w:t>,</w:t>
      </w:r>
      <w:r w:rsidR="006A0653">
        <w:rPr>
          <w:lang w:val="en-GB"/>
        </w:rPr>
        <w:t xml:space="preserve"> and a replying affidavit may, if necessary, be delivered a further </w:t>
      </w:r>
      <w:r w:rsidR="00C11F06">
        <w:rPr>
          <w:lang w:val="en-GB"/>
        </w:rPr>
        <w:t xml:space="preserve">5 </w:t>
      </w:r>
      <w:r w:rsidR="006A0653">
        <w:rPr>
          <w:lang w:val="en-GB"/>
        </w:rPr>
        <w:t>days thereafter;</w:t>
      </w:r>
      <w:r w:rsidR="007C4F9D">
        <w:rPr>
          <w:lang w:val="en-GB"/>
        </w:rPr>
        <w:t xml:space="preserve"> </w:t>
      </w:r>
    </w:p>
    <w:p w14:paraId="09B274A1" w14:textId="77777777" w:rsidR="006A0653" w:rsidRDefault="006A0653" w:rsidP="00C11F06">
      <w:pPr>
        <w:tabs>
          <w:tab w:val="num" w:pos="1418"/>
        </w:tabs>
        <w:ind w:left="1418" w:hanging="851"/>
        <w:rPr>
          <w:lang w:val="en-GB"/>
        </w:rPr>
      </w:pPr>
    </w:p>
    <w:p w14:paraId="1E30FC76" w14:textId="51DAF825" w:rsidR="006A0653" w:rsidRPr="000722A1" w:rsidRDefault="00337B45" w:rsidP="00337B45">
      <w:pPr>
        <w:pStyle w:val="NUM2"/>
        <w:numPr>
          <w:ilvl w:val="0"/>
          <w:numId w:val="0"/>
        </w:numPr>
        <w:tabs>
          <w:tab w:val="left" w:pos="1418"/>
        </w:tabs>
        <w:ind w:left="1418" w:hanging="851"/>
        <w:rPr>
          <w:lang w:val="en-GB"/>
        </w:rPr>
      </w:pPr>
      <w:r w:rsidRPr="000722A1">
        <w:rPr>
          <w:lang w:val="en-GB"/>
        </w:rPr>
        <w:t>[54.7]</w:t>
      </w:r>
      <w:r w:rsidRPr="000722A1">
        <w:rPr>
          <w:lang w:val="en-GB"/>
        </w:rPr>
        <w:tab/>
      </w:r>
      <w:r w:rsidR="00E00341">
        <w:rPr>
          <w:lang w:val="en-GB"/>
        </w:rPr>
        <w:t>any</w:t>
      </w:r>
      <w:r w:rsidR="006A0653">
        <w:rPr>
          <w:lang w:val="en-GB"/>
        </w:rPr>
        <w:t xml:space="preserve"> application</w:t>
      </w:r>
      <w:r w:rsidR="00E00341">
        <w:rPr>
          <w:lang w:val="en-GB"/>
        </w:rPr>
        <w:t xml:space="preserve"> for targeted disclosure</w:t>
      </w:r>
      <w:r w:rsidR="006A0653">
        <w:rPr>
          <w:lang w:val="en-GB"/>
        </w:rPr>
        <w:t xml:space="preserve"> is to be heard in accordance with such </w:t>
      </w:r>
      <w:r w:rsidR="00D82EDD">
        <w:rPr>
          <w:lang w:val="en-GB"/>
        </w:rPr>
        <w:t>d</w:t>
      </w:r>
      <w:r w:rsidR="006A0653">
        <w:rPr>
          <w:lang w:val="en-GB"/>
        </w:rPr>
        <w:t>irect</w:t>
      </w:r>
      <w:r w:rsidR="00D82EDD">
        <w:rPr>
          <w:lang w:val="en-GB"/>
        </w:rPr>
        <w:t>ions</w:t>
      </w:r>
      <w:r w:rsidR="006A0653">
        <w:rPr>
          <w:lang w:val="en-GB"/>
        </w:rPr>
        <w:t xml:space="preserve"> as the case management judge appointed by the Deputy Judge President</w:t>
      </w:r>
      <w:r w:rsidR="002F515A">
        <w:rPr>
          <w:lang w:val="en-GB"/>
        </w:rPr>
        <w:t>,</w:t>
      </w:r>
      <w:r w:rsidR="006A0653">
        <w:rPr>
          <w:lang w:val="en-GB"/>
        </w:rPr>
        <w:t xml:space="preserve"> pursuant to paragraph 3 above</w:t>
      </w:r>
      <w:r w:rsidR="00C11F06">
        <w:rPr>
          <w:lang w:val="en-GB"/>
        </w:rPr>
        <w:t>,</w:t>
      </w:r>
      <w:r w:rsidR="006A0653">
        <w:rPr>
          <w:lang w:val="en-GB"/>
        </w:rPr>
        <w:t xml:space="preserve"> may direct.</w:t>
      </w:r>
      <w:r w:rsidR="007C4F9D">
        <w:rPr>
          <w:lang w:val="en-GB"/>
        </w:rPr>
        <w:t xml:space="preserve"> </w:t>
      </w:r>
    </w:p>
    <w:p w14:paraId="6D95D783" w14:textId="77777777" w:rsidR="00A737DA" w:rsidRDefault="00A737DA" w:rsidP="00A737DA"/>
    <w:p w14:paraId="78FC12D8" w14:textId="67743F37" w:rsidR="00D82EDD" w:rsidRDefault="00D82EDD" w:rsidP="009E4B76">
      <w:pPr>
        <w:keepNext/>
        <w:shd w:val="clear" w:color="auto" w:fill="FFFFFF"/>
        <w:spacing w:before="144" w:line="240" w:lineRule="auto"/>
        <w:jc w:val="right"/>
        <w:rPr>
          <w:noProof/>
          <w:color w:val="242121"/>
          <w:lang w:eastAsia="en-ZA"/>
        </w:rPr>
      </w:pPr>
    </w:p>
    <w:p w14:paraId="71AA1A49" w14:textId="77777777" w:rsidR="00A538AA" w:rsidRDefault="00A538AA" w:rsidP="009E4B76">
      <w:pPr>
        <w:keepNext/>
        <w:shd w:val="clear" w:color="auto" w:fill="FFFFFF"/>
        <w:spacing w:before="144" w:line="240" w:lineRule="auto"/>
        <w:jc w:val="right"/>
        <w:rPr>
          <w:color w:val="242121"/>
          <w:lang w:eastAsia="en-ZA"/>
        </w:rPr>
      </w:pPr>
    </w:p>
    <w:p w14:paraId="1E4A1E1A" w14:textId="0351ECF5" w:rsidR="00797C7C" w:rsidRPr="00A737DA" w:rsidRDefault="00797C7C" w:rsidP="009E4B76">
      <w:pPr>
        <w:keepNext/>
        <w:shd w:val="clear" w:color="auto" w:fill="FFFFFF"/>
        <w:spacing w:before="144" w:line="240" w:lineRule="auto"/>
        <w:jc w:val="right"/>
        <w:rPr>
          <w:rFonts w:ascii="Verdana" w:hAnsi="Verdana" w:cs="Times New Roman"/>
          <w:color w:val="242121"/>
          <w:sz w:val="27"/>
          <w:szCs w:val="27"/>
          <w:lang w:eastAsia="en-ZA"/>
        </w:rPr>
      </w:pPr>
      <w:r w:rsidRPr="00A737DA">
        <w:rPr>
          <w:color w:val="242121"/>
          <w:lang w:eastAsia="en-ZA"/>
        </w:rPr>
        <w:t>______________________</w:t>
      </w:r>
    </w:p>
    <w:p w14:paraId="1C7187C4" w14:textId="77777777" w:rsidR="00797C7C" w:rsidRPr="00A737DA" w:rsidRDefault="00797C7C">
      <w:pPr>
        <w:keepNext/>
        <w:shd w:val="clear" w:color="auto" w:fill="FFFFFF"/>
        <w:spacing w:before="144" w:line="240" w:lineRule="auto"/>
        <w:jc w:val="right"/>
        <w:rPr>
          <w:rFonts w:ascii="Verdana" w:hAnsi="Verdana" w:cs="Times New Roman"/>
          <w:color w:val="242121"/>
          <w:sz w:val="27"/>
          <w:szCs w:val="27"/>
          <w:lang w:eastAsia="en-ZA"/>
        </w:rPr>
      </w:pPr>
      <w:r>
        <w:rPr>
          <w:b/>
          <w:bCs/>
          <w:color w:val="242121"/>
          <w:lang w:eastAsia="en-ZA"/>
        </w:rPr>
        <w:t>A W PULLINGER</w:t>
      </w:r>
    </w:p>
    <w:p w14:paraId="4A722625" w14:textId="77777777" w:rsidR="00797C7C" w:rsidRPr="00A737DA" w:rsidRDefault="00797C7C">
      <w:pPr>
        <w:keepNext/>
        <w:shd w:val="clear" w:color="auto" w:fill="FFFFFF"/>
        <w:spacing w:before="144" w:line="24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182E3F46" w14:textId="77777777" w:rsidR="00797C7C" w:rsidRPr="00A737DA" w:rsidRDefault="00797C7C">
      <w:pPr>
        <w:keepNext/>
        <w:shd w:val="clear" w:color="auto" w:fill="FFFFFF"/>
        <w:spacing w:before="144" w:line="240" w:lineRule="auto"/>
        <w:jc w:val="right"/>
        <w:rPr>
          <w:rFonts w:ascii="Verdana" w:hAnsi="Verdana" w:cs="Times New Roman"/>
          <w:color w:val="242121"/>
          <w:sz w:val="27"/>
          <w:szCs w:val="27"/>
          <w:lang w:eastAsia="en-ZA"/>
        </w:rPr>
      </w:pPr>
      <w:r w:rsidRPr="00A737DA">
        <w:rPr>
          <w:color w:val="242121"/>
          <w:lang w:eastAsia="en-ZA"/>
        </w:rPr>
        <w:t>GAUTENG DIVISION, JOHANNESBURG</w:t>
      </w:r>
    </w:p>
    <w:p w14:paraId="413E0E23" w14:textId="77777777" w:rsidR="00797C7C" w:rsidRPr="00A737DA" w:rsidRDefault="00797C7C" w:rsidP="00797C7C">
      <w:pPr>
        <w:rPr>
          <w:lang w:eastAsia="en-ZA"/>
        </w:rPr>
      </w:pPr>
    </w:p>
    <w:p w14:paraId="04B126EA" w14:textId="2CA907BC"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This judgment was handed down electronically by circulation to the parties’ and/or parties’ representatives by email and by being uploaded to CaseLines.</w:t>
      </w:r>
      <w:r w:rsidR="00F24FD0">
        <w:rPr>
          <w:i/>
          <w:iCs/>
          <w:color w:val="242121"/>
          <w:lang w:eastAsia="en-ZA"/>
        </w:rPr>
        <w:t xml:space="preserve"> </w:t>
      </w:r>
      <w:r w:rsidRPr="00A737DA">
        <w:rPr>
          <w:i/>
          <w:iCs/>
          <w:color w:val="242121"/>
          <w:lang w:eastAsia="en-ZA"/>
        </w:rPr>
        <w:t xml:space="preserve"> The date and time for hand-down is deemed to </w:t>
      </w:r>
      <w:r w:rsidRPr="009D7E4D">
        <w:rPr>
          <w:i/>
          <w:iCs/>
          <w:color w:val="242121"/>
          <w:lang w:eastAsia="en-ZA"/>
        </w:rPr>
        <w:t xml:space="preserve">be </w:t>
      </w:r>
      <w:r w:rsidR="00BD3396">
        <w:rPr>
          <w:i/>
          <w:iCs/>
        </w:rPr>
        <w:t>10h00</w:t>
      </w:r>
      <w:r w:rsidRPr="009D7E4D">
        <w:rPr>
          <w:i/>
          <w:iCs/>
          <w:color w:val="242121"/>
          <w:lang w:eastAsia="en-ZA"/>
        </w:rPr>
        <w:t xml:space="preserve"> on </w:t>
      </w:r>
      <w:r w:rsidR="00BD3396">
        <w:rPr>
          <w:i/>
          <w:iCs/>
        </w:rPr>
        <w:t>13 October 2022</w:t>
      </w:r>
      <w:r w:rsidRPr="009D7E4D">
        <w:rPr>
          <w:i/>
          <w:iCs/>
          <w:color w:val="242121"/>
          <w:lang w:eastAsia="en-ZA"/>
        </w:rPr>
        <w:t>.</w:t>
      </w:r>
      <w:r w:rsidR="00F24FD0">
        <w:rPr>
          <w:i/>
          <w:iCs/>
          <w:color w:val="242121"/>
          <w:lang w:eastAsia="en-ZA"/>
        </w:rPr>
        <w:t xml:space="preserve"> </w:t>
      </w:r>
    </w:p>
    <w:p w14:paraId="1B2E9C74" w14:textId="77777777" w:rsidR="00797C7C" w:rsidRPr="009D7E4D" w:rsidRDefault="00797C7C" w:rsidP="00797C7C">
      <w:pPr>
        <w:rPr>
          <w:lang w:eastAsia="en-ZA"/>
        </w:rPr>
      </w:pPr>
    </w:p>
    <w:p w14:paraId="6634BF84" w14:textId="42385315" w:rsidR="00797C7C" w:rsidRPr="00A737DA" w:rsidRDefault="00797C7C" w:rsidP="00797C7C">
      <w:pPr>
        <w:rPr>
          <w:rFonts w:ascii="Verdana" w:hAnsi="Verdana" w:cs="Times New Roman"/>
          <w:color w:val="242121"/>
          <w:sz w:val="27"/>
          <w:szCs w:val="27"/>
          <w:lang w:eastAsia="en-ZA"/>
        </w:rPr>
      </w:pPr>
      <w:r w:rsidRPr="00A737DA">
        <w:rPr>
          <w:color w:val="242121"/>
          <w:lang w:eastAsia="en-ZA"/>
        </w:rPr>
        <w:t>Date of hearing:</w:t>
      </w:r>
      <w:r w:rsidR="002711DA">
        <w:rPr>
          <w:color w:val="242121"/>
          <w:lang w:eastAsia="en-ZA"/>
        </w:rPr>
        <w:t xml:space="preserve"> </w:t>
      </w:r>
      <w:r>
        <w:rPr>
          <w:color w:val="242121"/>
          <w:lang w:eastAsia="en-ZA"/>
        </w:rPr>
        <w:tab/>
      </w:r>
      <w:r w:rsidR="00651EBC">
        <w:t>3 and 4 October 2022</w:t>
      </w:r>
      <w:r w:rsidR="002711DA">
        <w:t xml:space="preserve"> </w:t>
      </w:r>
    </w:p>
    <w:p w14:paraId="10A41FB2" w14:textId="05D81E01" w:rsidR="00797C7C" w:rsidRPr="00A737DA" w:rsidRDefault="00797C7C" w:rsidP="00797C7C">
      <w:pPr>
        <w:rPr>
          <w:rFonts w:ascii="Verdana" w:hAnsi="Verdana" w:cs="Times New Roman"/>
          <w:color w:val="242121"/>
          <w:sz w:val="27"/>
          <w:szCs w:val="27"/>
          <w:lang w:eastAsia="en-ZA"/>
        </w:rPr>
      </w:pPr>
      <w:r w:rsidRPr="00A737DA">
        <w:rPr>
          <w:color w:val="242121"/>
          <w:lang w:eastAsia="en-ZA"/>
        </w:rPr>
        <w:t>Date of judgment:</w:t>
      </w:r>
      <w:r w:rsidR="002711DA">
        <w:rPr>
          <w:color w:val="242121"/>
          <w:lang w:eastAsia="en-ZA"/>
        </w:rPr>
        <w:t xml:space="preserve"> </w:t>
      </w:r>
      <w:r>
        <w:rPr>
          <w:color w:val="242121"/>
          <w:lang w:eastAsia="en-ZA"/>
        </w:rPr>
        <w:tab/>
      </w:r>
      <w:r w:rsidR="00651EBC">
        <w:rPr>
          <w:color w:val="242121"/>
          <w:lang w:eastAsia="en-ZA"/>
        </w:rPr>
        <w:t>1</w:t>
      </w:r>
      <w:r w:rsidR="003507E2">
        <w:rPr>
          <w:color w:val="242121"/>
          <w:lang w:eastAsia="en-ZA"/>
        </w:rPr>
        <w:t>3 October 2022</w:t>
      </w:r>
      <w:r w:rsidR="002711DA">
        <w:rPr>
          <w:color w:val="242121"/>
          <w:lang w:eastAsia="en-ZA"/>
        </w:rPr>
        <w:t xml:space="preserve"> </w:t>
      </w:r>
    </w:p>
    <w:p w14:paraId="0360A2FE" w14:textId="77777777" w:rsidR="00797C7C" w:rsidRPr="009D7E4D" w:rsidRDefault="00797C7C" w:rsidP="00797C7C">
      <w:pPr>
        <w:rPr>
          <w:lang w:eastAsia="en-ZA"/>
        </w:rPr>
      </w:pPr>
    </w:p>
    <w:p w14:paraId="2D59AE03" w14:textId="77777777" w:rsidR="00797C7C" w:rsidRPr="00A737DA" w:rsidRDefault="00797C7C" w:rsidP="00797C7C">
      <w:pPr>
        <w:rPr>
          <w:rFonts w:ascii="Verdana" w:hAnsi="Verdana" w:cs="Times New Roman"/>
          <w:color w:val="242121"/>
          <w:sz w:val="27"/>
          <w:szCs w:val="27"/>
          <w:lang w:eastAsia="en-ZA"/>
        </w:rPr>
      </w:pPr>
      <w:r w:rsidRPr="00A737DA">
        <w:rPr>
          <w:b/>
          <w:bCs/>
          <w:color w:val="242121"/>
          <w:lang w:eastAsia="en-ZA"/>
        </w:rPr>
        <w:t>Appearances:</w:t>
      </w:r>
    </w:p>
    <w:p w14:paraId="6475645B" w14:textId="2DDA64CB" w:rsidR="00797C7C" w:rsidRPr="00A737DA" w:rsidRDefault="00797C7C" w:rsidP="00797C7C">
      <w:pPr>
        <w:rPr>
          <w:rFonts w:ascii="Verdana" w:hAnsi="Verdana" w:cs="Times New Roman"/>
          <w:color w:val="242121"/>
          <w:sz w:val="27"/>
          <w:szCs w:val="27"/>
          <w:lang w:eastAsia="en-ZA"/>
        </w:rPr>
      </w:pPr>
      <w:r w:rsidRPr="00A737DA">
        <w:rPr>
          <w:color w:val="242121"/>
          <w:lang w:eastAsia="en-ZA"/>
        </w:rPr>
        <w:t>Counsel for the plaintiff:</w:t>
      </w:r>
      <w:r>
        <w:rPr>
          <w:color w:val="242121"/>
          <w:lang w:eastAsia="en-ZA"/>
        </w:rPr>
        <w:tab/>
      </w:r>
      <w:r w:rsidR="00651EBC">
        <w:t>A J Daniels SC</w:t>
      </w:r>
      <w:r w:rsidR="003C6486">
        <w:t xml:space="preserve"> </w:t>
      </w:r>
    </w:p>
    <w:p w14:paraId="0697EAE7" w14:textId="76434227" w:rsidR="00797C7C" w:rsidRDefault="00797C7C" w:rsidP="00797C7C">
      <w:pPr>
        <w:rPr>
          <w:color w:val="242121"/>
          <w:lang w:eastAsia="en-ZA"/>
        </w:rPr>
      </w:pPr>
      <w:r w:rsidRPr="00A737DA">
        <w:rPr>
          <w:color w:val="242121"/>
          <w:lang w:eastAsia="en-ZA"/>
        </w:rPr>
        <w:t>Attorney for the plaintiff</w:t>
      </w:r>
      <w:r>
        <w:rPr>
          <w:color w:val="242121"/>
          <w:lang w:eastAsia="en-ZA"/>
        </w:rPr>
        <w:t>:</w:t>
      </w:r>
      <w:r>
        <w:rPr>
          <w:color w:val="242121"/>
          <w:lang w:eastAsia="en-ZA"/>
        </w:rPr>
        <w:tab/>
      </w:r>
      <w:r w:rsidR="00651EBC">
        <w:rPr>
          <w:color w:val="242121"/>
          <w:lang w:eastAsia="en-ZA"/>
        </w:rPr>
        <w:t xml:space="preserve">Frese Gurovich Attorneys </w:t>
      </w:r>
    </w:p>
    <w:p w14:paraId="0D4DD020" w14:textId="2E5986A1" w:rsidR="00651EBC" w:rsidRPr="00A737DA" w:rsidRDefault="00651EBC" w:rsidP="00797C7C">
      <w:pPr>
        <w:rPr>
          <w:rFonts w:ascii="Verdana" w:hAnsi="Verdana" w:cs="Times New Roman"/>
          <w:color w:val="242121"/>
          <w:sz w:val="27"/>
          <w:szCs w:val="27"/>
          <w:lang w:eastAsia="en-ZA"/>
        </w:rPr>
      </w:pPr>
      <w:r>
        <w:rPr>
          <w:color w:val="242121"/>
          <w:lang w:eastAsia="en-ZA"/>
        </w:rPr>
        <w:tab/>
      </w:r>
      <w:r>
        <w:rPr>
          <w:color w:val="242121"/>
          <w:lang w:eastAsia="en-ZA"/>
        </w:rPr>
        <w:tab/>
      </w:r>
      <w:r>
        <w:rPr>
          <w:color w:val="242121"/>
          <w:lang w:eastAsia="en-ZA"/>
        </w:rPr>
        <w:tab/>
      </w:r>
      <w:r>
        <w:rPr>
          <w:color w:val="242121"/>
          <w:lang w:eastAsia="en-ZA"/>
        </w:rPr>
        <w:tab/>
        <w:t>Mr I P Gurovich</w:t>
      </w:r>
      <w:r w:rsidR="00BD3396">
        <w:rPr>
          <w:color w:val="242121"/>
          <w:lang w:eastAsia="en-ZA"/>
        </w:rPr>
        <w:t>/L0060.1405</w:t>
      </w:r>
      <w:r w:rsidR="003C6486">
        <w:rPr>
          <w:color w:val="242121"/>
          <w:lang w:eastAsia="en-ZA"/>
        </w:rPr>
        <w:t xml:space="preserve"> </w:t>
      </w:r>
    </w:p>
    <w:p w14:paraId="0D1B4C5B" w14:textId="3B8EA1E2" w:rsidR="00797C7C" w:rsidRPr="00A737DA" w:rsidRDefault="00797C7C" w:rsidP="00797C7C">
      <w:pPr>
        <w:rPr>
          <w:rFonts w:ascii="Verdana" w:hAnsi="Verdana" w:cs="Times New Roman"/>
          <w:color w:val="242121"/>
          <w:sz w:val="27"/>
          <w:szCs w:val="27"/>
          <w:lang w:eastAsia="en-ZA"/>
        </w:rPr>
      </w:pPr>
      <w:r w:rsidRPr="00A737DA">
        <w:rPr>
          <w:color w:val="242121"/>
          <w:lang w:eastAsia="en-ZA"/>
        </w:rPr>
        <w:t>Counsel for the defendant:</w:t>
      </w:r>
      <w:r>
        <w:rPr>
          <w:color w:val="242121"/>
          <w:lang w:eastAsia="en-ZA"/>
        </w:rPr>
        <w:tab/>
      </w:r>
      <w:r w:rsidR="00651EBC">
        <w:t>C Garvey</w:t>
      </w:r>
      <w:r w:rsidR="003C6486">
        <w:t xml:space="preserve"> </w:t>
      </w:r>
    </w:p>
    <w:p w14:paraId="7C60D52A" w14:textId="69E53B4F" w:rsidR="00A737DA" w:rsidRDefault="00797C7C" w:rsidP="00797C7C">
      <w:r w:rsidRPr="00A737DA">
        <w:rPr>
          <w:color w:val="242121"/>
          <w:lang w:eastAsia="en-ZA"/>
        </w:rPr>
        <w:t>Attorney for the defendant:</w:t>
      </w:r>
      <w:r w:rsidRPr="00BD3396">
        <w:t xml:space="preserve"> </w:t>
      </w:r>
      <w:r w:rsidR="00651EBC">
        <w:t>Otto Krause Inc</w:t>
      </w:r>
      <w:r w:rsidR="003C6486">
        <w:t xml:space="preserve"> </w:t>
      </w:r>
    </w:p>
    <w:p w14:paraId="438A66B1" w14:textId="1A21283C" w:rsidR="00BD3396" w:rsidRPr="00A737DA" w:rsidRDefault="00BD3396" w:rsidP="00797C7C">
      <w:pPr>
        <w:rPr>
          <w:lang w:eastAsia="en-ZA"/>
        </w:rPr>
      </w:pPr>
      <w:r>
        <w:tab/>
      </w:r>
      <w:r>
        <w:tab/>
      </w:r>
      <w:r>
        <w:tab/>
      </w:r>
      <w:r>
        <w:tab/>
        <w:t>Mr Krause/ADS/MAT41345</w:t>
      </w:r>
      <w:r w:rsidR="003C6486">
        <w:t xml:space="preserve"> </w:t>
      </w:r>
    </w:p>
    <w:sectPr w:rsidR="00BD3396" w:rsidRPr="00A737DA" w:rsidSect="00391BB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C147" w14:textId="77777777" w:rsidR="00046E52" w:rsidRDefault="00046E52" w:rsidP="00AA34D9">
      <w:pPr>
        <w:spacing w:line="240" w:lineRule="auto"/>
      </w:pPr>
      <w:r>
        <w:separator/>
      </w:r>
    </w:p>
  </w:endnote>
  <w:endnote w:type="continuationSeparator" w:id="0">
    <w:p w14:paraId="6F6DC2E8" w14:textId="77777777" w:rsidR="00046E52" w:rsidRDefault="00046E52"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A207" w14:textId="77777777" w:rsidR="00046E52" w:rsidRDefault="00046E52" w:rsidP="00AA34D9">
      <w:pPr>
        <w:spacing w:line="240" w:lineRule="auto"/>
      </w:pPr>
      <w:r>
        <w:separator/>
      </w:r>
    </w:p>
  </w:footnote>
  <w:footnote w:type="continuationSeparator" w:id="0">
    <w:p w14:paraId="07F671E7" w14:textId="77777777" w:rsidR="00046E52" w:rsidRDefault="00046E52" w:rsidP="00AA34D9">
      <w:pPr>
        <w:spacing w:line="240" w:lineRule="auto"/>
      </w:pPr>
      <w:r>
        <w:continuationSeparator/>
      </w:r>
    </w:p>
  </w:footnote>
  <w:footnote w:id="1">
    <w:p w14:paraId="6C16B6DD" w14:textId="02E3F407" w:rsidR="00DE45D3" w:rsidRPr="00954B2F" w:rsidRDefault="00DE45D3" w:rsidP="00DE79F3">
      <w:pPr>
        <w:pStyle w:val="FootnoteText"/>
        <w:tabs>
          <w:tab w:val="clear" w:pos="284"/>
          <w:tab w:val="left" w:pos="567"/>
        </w:tabs>
        <w:ind w:left="567" w:hanging="567"/>
      </w:pPr>
      <w:r w:rsidRPr="00FB1498">
        <w:rPr>
          <w:rStyle w:val="FootnoteReference"/>
          <w:sz w:val="20"/>
        </w:rPr>
        <w:footnoteRef/>
      </w:r>
      <w:r w:rsidRPr="00FB1498">
        <w:t xml:space="preserve"> </w:t>
      </w:r>
      <w:r w:rsidRPr="00FB1498">
        <w:tab/>
      </w:r>
      <w:r w:rsidRPr="00FB1498">
        <w:rPr>
          <w:b/>
          <w:bCs/>
        </w:rPr>
        <w:t>Myburgh Transport v Botha t/a S A Truck Bodies</w:t>
      </w:r>
      <w:r w:rsidRPr="00FB1498">
        <w:t xml:space="preserve"> 1991 (3) SA 310 (NmS) at 311 B</w:t>
      </w:r>
      <w:r w:rsidR="00F8076F" w:rsidRPr="00FB1498">
        <w:t xml:space="preserve"> –</w:t>
      </w:r>
      <w:r w:rsidR="00F8076F" w:rsidRPr="00954B2F">
        <w:t xml:space="preserve"> </w:t>
      </w:r>
      <w:r w:rsidRPr="00954B2F">
        <w:t>C/D</w:t>
      </w:r>
      <w:r w:rsidR="00F8076F" w:rsidRPr="00954B2F">
        <w:t xml:space="preserve"> </w:t>
      </w:r>
    </w:p>
  </w:footnote>
  <w:footnote w:id="2">
    <w:p w14:paraId="400FB182" w14:textId="5608528D" w:rsidR="00CE14CB" w:rsidRPr="00F33007" w:rsidRDefault="00CE14CB" w:rsidP="00DE79F3">
      <w:pPr>
        <w:pStyle w:val="FootnoteText"/>
        <w:tabs>
          <w:tab w:val="clear" w:pos="284"/>
          <w:tab w:val="left" w:pos="567"/>
        </w:tabs>
        <w:ind w:left="567" w:hanging="567"/>
      </w:pPr>
      <w:r w:rsidRPr="008837F2">
        <w:rPr>
          <w:rStyle w:val="FootnoteReference"/>
          <w:sz w:val="20"/>
        </w:rPr>
        <w:footnoteRef/>
      </w:r>
      <w:r w:rsidRPr="00FB1498">
        <w:t xml:space="preserve"> </w:t>
      </w:r>
      <w:r w:rsidR="00073863" w:rsidRPr="003629FF">
        <w:tab/>
      </w:r>
      <w:r w:rsidR="00073863" w:rsidRPr="00352CE8">
        <w:rPr>
          <w:b/>
          <w:bCs/>
        </w:rPr>
        <w:t>Tshwane City</w:t>
      </w:r>
      <w:r w:rsidR="00263585" w:rsidRPr="00352CE8">
        <w:rPr>
          <w:b/>
          <w:bCs/>
        </w:rPr>
        <w:t xml:space="preserve"> v Blair Atholl Homeowners</w:t>
      </w:r>
      <w:r w:rsidR="00263585" w:rsidRPr="00352CE8">
        <w:t xml:space="preserve"> </w:t>
      </w:r>
      <w:r w:rsidR="00263585" w:rsidRPr="00F33007">
        <w:rPr>
          <w:b/>
          <w:bCs/>
        </w:rPr>
        <w:t>Association</w:t>
      </w:r>
      <w:r w:rsidR="00263585" w:rsidRPr="00F33007">
        <w:t xml:space="preserve"> 2019 (3) SA 398 (SCA) at [63] to [69]</w:t>
      </w:r>
      <w:r w:rsidR="00DE79F3">
        <w:t xml:space="preserve"> </w:t>
      </w:r>
    </w:p>
  </w:footnote>
  <w:footnote w:id="3">
    <w:p w14:paraId="0B4CC724" w14:textId="071C5FB6" w:rsidR="00CE14CB" w:rsidRPr="00F33007" w:rsidRDefault="00CE14CB" w:rsidP="00DE79F3">
      <w:pPr>
        <w:pStyle w:val="FootnoteText"/>
        <w:tabs>
          <w:tab w:val="clear" w:pos="284"/>
          <w:tab w:val="left" w:pos="567"/>
        </w:tabs>
        <w:ind w:left="567" w:hanging="567"/>
      </w:pPr>
      <w:r w:rsidRPr="008837F2">
        <w:rPr>
          <w:rStyle w:val="FootnoteReference"/>
          <w:sz w:val="20"/>
        </w:rPr>
        <w:footnoteRef/>
      </w:r>
      <w:r w:rsidRPr="00FB1498">
        <w:t xml:space="preserve"> </w:t>
      </w:r>
      <w:r w:rsidR="00263585" w:rsidRPr="003629FF">
        <w:tab/>
      </w:r>
      <w:r w:rsidR="00263585" w:rsidRPr="00352CE8">
        <w:rPr>
          <w:b/>
          <w:bCs/>
        </w:rPr>
        <w:t xml:space="preserve">Swissborough Diamond Mines </w:t>
      </w:r>
      <w:r w:rsidR="00DE79F3">
        <w:rPr>
          <w:b/>
          <w:bCs/>
        </w:rPr>
        <w:t>(</w:t>
      </w:r>
      <w:r w:rsidR="00C976C6" w:rsidRPr="00352CE8">
        <w:rPr>
          <w:b/>
          <w:bCs/>
        </w:rPr>
        <w:t>Pty</w:t>
      </w:r>
      <w:r w:rsidR="00DE79F3">
        <w:rPr>
          <w:b/>
          <w:bCs/>
        </w:rPr>
        <w:t>)</w:t>
      </w:r>
      <w:r w:rsidR="00C976C6" w:rsidRPr="00352CE8">
        <w:rPr>
          <w:b/>
          <w:bCs/>
        </w:rPr>
        <w:t xml:space="preserve"> Ltd and others v Government of the Republic of South Africa and others</w:t>
      </w:r>
      <w:r w:rsidR="00C976C6" w:rsidRPr="00F33007">
        <w:t xml:space="preserve"> 1999 (2) SA 279 (T) at </w:t>
      </w:r>
      <w:r w:rsidR="00B8341E" w:rsidRPr="00F33007">
        <w:t xml:space="preserve">316 E to 317 </w:t>
      </w:r>
      <w:r w:rsidR="00757240" w:rsidRPr="00F33007">
        <w:t>B</w:t>
      </w:r>
      <w:r w:rsidR="00DE79F3">
        <w:t xml:space="preserve"> </w:t>
      </w:r>
    </w:p>
  </w:footnote>
  <w:footnote w:id="4">
    <w:p w14:paraId="000B1B9E" w14:textId="669083EF" w:rsidR="00CE14CB" w:rsidRPr="00352CE8" w:rsidRDefault="00CE14CB" w:rsidP="00DE79F3">
      <w:pPr>
        <w:pStyle w:val="FootnoteText"/>
        <w:tabs>
          <w:tab w:val="clear" w:pos="284"/>
          <w:tab w:val="left" w:pos="567"/>
        </w:tabs>
        <w:ind w:left="567" w:hanging="567"/>
      </w:pPr>
      <w:r w:rsidRPr="008837F2">
        <w:rPr>
          <w:rStyle w:val="FootnoteReference"/>
          <w:sz w:val="20"/>
        </w:rPr>
        <w:footnoteRef/>
      </w:r>
      <w:r w:rsidRPr="00FB1498">
        <w:t xml:space="preserve"> </w:t>
      </w:r>
      <w:r w:rsidR="005A2738" w:rsidRPr="003629FF">
        <w:tab/>
        <w:t>Section 2 of the Civil Proceedings Evidence Act, 1965</w:t>
      </w:r>
      <w:r w:rsidR="00DE79F3">
        <w:t xml:space="preserve"> </w:t>
      </w:r>
    </w:p>
  </w:footnote>
  <w:footnote w:id="5">
    <w:p w14:paraId="75813D87" w14:textId="17527170" w:rsidR="00DC6402" w:rsidRDefault="00DC6402">
      <w:pPr>
        <w:pStyle w:val="FootnoteText"/>
      </w:pPr>
      <w:r>
        <w:rPr>
          <w:rStyle w:val="FootnoteReference"/>
        </w:rPr>
        <w:footnoteRef/>
      </w:r>
      <w:r>
        <w:t xml:space="preserve"> </w:t>
      </w:r>
      <w:r>
        <w:tab/>
        <w:t xml:space="preserve">I quote the provisions of the Directive as they stood at the time.  On </w:t>
      </w:r>
      <w:r w:rsidR="006B5262">
        <w:t>2 June 2022</w:t>
      </w:r>
      <w:r>
        <w:t xml:space="preserve"> the Deputy Judge President issued </w:t>
      </w:r>
      <w:r w:rsidR="006B5262">
        <w:t xml:space="preserve">a revised Directive.  </w:t>
      </w:r>
    </w:p>
  </w:footnote>
  <w:footnote w:id="6">
    <w:p w14:paraId="67C6EFF3" w14:textId="6B5A40C9" w:rsidR="005A2738" w:rsidRPr="00352CE8" w:rsidRDefault="005A2738" w:rsidP="00455BD0">
      <w:pPr>
        <w:pStyle w:val="FootnoteText"/>
        <w:tabs>
          <w:tab w:val="clear" w:pos="284"/>
          <w:tab w:val="left" w:pos="567"/>
        </w:tabs>
        <w:ind w:left="567" w:hanging="567"/>
      </w:pPr>
      <w:r w:rsidRPr="008837F2">
        <w:rPr>
          <w:rStyle w:val="FootnoteReference"/>
          <w:sz w:val="20"/>
        </w:rPr>
        <w:footnoteRef/>
      </w:r>
      <w:r w:rsidRPr="00FB1498">
        <w:t xml:space="preserve"> </w:t>
      </w:r>
      <w:r w:rsidRPr="00FB1498">
        <w:tab/>
        <w:t>Section 173 of the Constitution</w:t>
      </w:r>
      <w:r w:rsidR="00455BD0">
        <w:t xml:space="preserve"> </w:t>
      </w:r>
    </w:p>
  </w:footnote>
  <w:footnote w:id="7">
    <w:p w14:paraId="3E4D526F" w14:textId="45E3ADFB" w:rsidR="005E02F1" w:rsidRDefault="005E02F1" w:rsidP="008837F2">
      <w:pPr>
        <w:pStyle w:val="FootnoteText"/>
        <w:ind w:left="567" w:hanging="567"/>
      </w:pPr>
      <w:r>
        <w:rPr>
          <w:rStyle w:val="FootnoteReference"/>
        </w:rPr>
        <w:footnoteRef/>
      </w:r>
      <w:r>
        <w:t xml:space="preserve"> </w:t>
      </w:r>
      <w:r>
        <w:tab/>
      </w:r>
      <w:r>
        <w:tab/>
        <w:t>In the instant case, the plaintiff applied for the certification of this action as “commercial”.  Notwithstanding some resistance from the defendant, the matter was duly certified as commercial.</w:t>
      </w:r>
    </w:p>
  </w:footnote>
  <w:footnote w:id="8">
    <w:p w14:paraId="0A156848" w14:textId="77777777" w:rsidR="00DC6402" w:rsidRPr="00E567C2" w:rsidRDefault="00DC6402" w:rsidP="00DC6402">
      <w:pPr>
        <w:pStyle w:val="FootnoteText"/>
        <w:tabs>
          <w:tab w:val="clear" w:pos="284"/>
          <w:tab w:val="left" w:pos="567"/>
        </w:tabs>
        <w:ind w:left="567" w:hanging="567"/>
      </w:pPr>
      <w:r w:rsidRPr="001A2238">
        <w:rPr>
          <w:rStyle w:val="FootnoteReference"/>
          <w:sz w:val="20"/>
        </w:rPr>
        <w:footnoteRef/>
      </w:r>
      <w:r w:rsidRPr="00FB1498">
        <w:t xml:space="preserve"> </w:t>
      </w:r>
      <w:r w:rsidRPr="00352CE8">
        <w:rPr>
          <w:b/>
          <w:bCs/>
        </w:rPr>
        <w:tab/>
      </w:r>
      <w:r w:rsidRPr="00F33007">
        <w:rPr>
          <w:b/>
          <w:bCs/>
          <w:i/>
          <w:iCs/>
        </w:rPr>
        <w:t>In re</w:t>
      </w:r>
      <w:r w:rsidRPr="00DE79F3">
        <w:rPr>
          <w:b/>
          <w:bCs/>
          <w:i/>
          <w:iCs/>
        </w:rPr>
        <w:t xml:space="preserve">: </w:t>
      </w:r>
      <w:r w:rsidRPr="00E567C2">
        <w:rPr>
          <w:b/>
          <w:bCs/>
        </w:rPr>
        <w:t>Several Matters on the Urgent Court Roll</w:t>
      </w:r>
      <w:r w:rsidRPr="00E567C2">
        <w:t xml:space="preserve"> 2013 (1) SA 549 (GSJ) at [13]</w:t>
      </w:r>
      <w:r>
        <w:t xml:space="preserve"> </w:t>
      </w:r>
    </w:p>
  </w:footnote>
  <w:footnote w:id="9">
    <w:p w14:paraId="10C11F59" w14:textId="20A354E3" w:rsidR="00620DF2" w:rsidRPr="00F33007" w:rsidRDefault="00620DF2" w:rsidP="00971B25">
      <w:pPr>
        <w:pStyle w:val="FootnoteText"/>
        <w:tabs>
          <w:tab w:val="clear" w:pos="284"/>
          <w:tab w:val="left" w:pos="567"/>
        </w:tabs>
        <w:ind w:left="567" w:hanging="567"/>
      </w:pPr>
      <w:r w:rsidRPr="008837F2">
        <w:rPr>
          <w:rStyle w:val="FootnoteReference"/>
          <w:sz w:val="20"/>
        </w:rPr>
        <w:footnoteRef/>
      </w:r>
      <w:r w:rsidRPr="00FB1498">
        <w:t xml:space="preserve"> </w:t>
      </w:r>
      <w:r w:rsidRPr="00FB1498">
        <w:tab/>
        <w:t>Chapter 4, clause 6</w:t>
      </w:r>
      <w:r w:rsidR="00971B25">
        <w:t xml:space="preserve"> </w:t>
      </w:r>
    </w:p>
  </w:footnote>
  <w:footnote w:id="10">
    <w:p w14:paraId="091E8A8F" w14:textId="34FC4C20" w:rsidR="00620DF2" w:rsidRPr="00BD7BE9" w:rsidRDefault="00620DF2" w:rsidP="00971B25">
      <w:pPr>
        <w:pStyle w:val="FootnoteText"/>
        <w:tabs>
          <w:tab w:val="clear" w:pos="284"/>
          <w:tab w:val="left" w:pos="567"/>
        </w:tabs>
        <w:ind w:left="567" w:hanging="567"/>
      </w:pPr>
      <w:r w:rsidRPr="008837F2">
        <w:rPr>
          <w:rStyle w:val="FootnoteReference"/>
          <w:sz w:val="20"/>
        </w:rPr>
        <w:footnoteRef/>
      </w:r>
      <w:r w:rsidRPr="00FB1498">
        <w:t xml:space="preserve"> </w:t>
      </w:r>
      <w:r w:rsidRPr="00FB1498">
        <w:tab/>
      </w:r>
      <w:r w:rsidRPr="00F33007">
        <w:rPr>
          <w:b/>
          <w:bCs/>
        </w:rPr>
        <w:t>Annandale v Bates</w:t>
      </w:r>
      <w:r w:rsidRPr="00F33007">
        <w:t xml:space="preserve"> 1956 (3) SA </w:t>
      </w:r>
      <w:r w:rsidR="008E25DF" w:rsidRPr="00F33007">
        <w:t xml:space="preserve">549 (W) at 550 H and 551 E; </w:t>
      </w:r>
      <w:r w:rsidR="008E25DF" w:rsidRPr="00DE79F3">
        <w:rPr>
          <w:b/>
          <w:bCs/>
        </w:rPr>
        <w:t>Lotzoff v Connell and another</w:t>
      </w:r>
      <w:r w:rsidR="008E25DF" w:rsidRPr="004E5085">
        <w:t xml:space="preserve"> 1968 (2) SA 127 (W) at 129 C – F</w:t>
      </w:r>
      <w:r w:rsidR="008E25DF" w:rsidRPr="00BD7BE9">
        <w:t xml:space="preserve"> and the authorities therein cited</w:t>
      </w:r>
      <w:r w:rsidR="00971B25">
        <w:t xml:space="preserve"> </w:t>
      </w:r>
    </w:p>
  </w:footnote>
  <w:footnote w:id="11">
    <w:p w14:paraId="711FCCEE" w14:textId="7E157373" w:rsidR="004755F4" w:rsidRPr="00F33007" w:rsidRDefault="004755F4" w:rsidP="00971B25">
      <w:pPr>
        <w:pStyle w:val="FootnoteText"/>
        <w:tabs>
          <w:tab w:val="clear" w:pos="284"/>
          <w:tab w:val="left" w:pos="567"/>
        </w:tabs>
        <w:ind w:left="567" w:hanging="567"/>
      </w:pPr>
      <w:r w:rsidRPr="008837F2">
        <w:rPr>
          <w:rStyle w:val="FootnoteReference"/>
          <w:sz w:val="20"/>
        </w:rPr>
        <w:footnoteRef/>
      </w:r>
      <w:r w:rsidRPr="00FB1498">
        <w:t xml:space="preserve"> </w:t>
      </w:r>
      <w:r w:rsidRPr="00FB1498">
        <w:tab/>
      </w:r>
      <w:r w:rsidRPr="00F33007">
        <w:rPr>
          <w:b/>
          <w:bCs/>
        </w:rPr>
        <w:t>Mabaso v Felix</w:t>
      </w:r>
      <w:r w:rsidRPr="00F33007">
        <w:t xml:space="preserve"> 1981 (3) SA 865 (A) at 875 A </w:t>
      </w:r>
      <w:r w:rsidR="00971B25">
        <w:t>–</w:t>
      </w:r>
      <w:r w:rsidRPr="00F33007">
        <w:t xml:space="preserve"> H</w:t>
      </w:r>
      <w:r w:rsidR="00971B25">
        <w:t xml:space="preserve"> </w:t>
      </w:r>
    </w:p>
  </w:footnote>
  <w:footnote w:id="12">
    <w:p w14:paraId="015FB694" w14:textId="6935442A" w:rsidR="00620DF2" w:rsidRPr="00DE79F3" w:rsidRDefault="00620DF2" w:rsidP="00AB0B7D">
      <w:pPr>
        <w:pStyle w:val="FootnoteText"/>
        <w:tabs>
          <w:tab w:val="clear" w:pos="284"/>
          <w:tab w:val="left" w:pos="567"/>
        </w:tabs>
        <w:ind w:left="567" w:hanging="567"/>
      </w:pPr>
      <w:r w:rsidRPr="008837F2">
        <w:rPr>
          <w:rStyle w:val="FootnoteReference"/>
          <w:sz w:val="20"/>
        </w:rPr>
        <w:footnoteRef/>
      </w:r>
      <w:r w:rsidRPr="00FB1498">
        <w:t xml:space="preserve"> </w:t>
      </w:r>
      <w:r w:rsidR="004755F4" w:rsidRPr="00F33007">
        <w:tab/>
        <w:t xml:space="preserve">Rule 18(4) of the Uniform Rules of Court; </w:t>
      </w:r>
      <w:r w:rsidR="004755F4" w:rsidRPr="00F33007">
        <w:rPr>
          <w:b/>
          <w:bCs/>
        </w:rPr>
        <w:t>Trope v South African Reserve Bank and another</w:t>
      </w:r>
      <w:r w:rsidR="004755F4" w:rsidRPr="00F33007">
        <w:t xml:space="preserve"> 1992 (3) SA 208 (T) at 210 F/G to J</w:t>
      </w:r>
      <w:r w:rsidR="00AB0B7D">
        <w:t xml:space="preserve"> </w:t>
      </w:r>
    </w:p>
  </w:footnote>
  <w:footnote w:id="13">
    <w:p w14:paraId="7354C0C9" w14:textId="3B84E636" w:rsidR="00F21EC9" w:rsidRPr="00F33007" w:rsidRDefault="00F21EC9" w:rsidP="008837F2">
      <w:pPr>
        <w:pStyle w:val="FootnoteText"/>
        <w:tabs>
          <w:tab w:val="clear" w:pos="284"/>
          <w:tab w:val="left" w:pos="567"/>
        </w:tabs>
        <w:ind w:left="567" w:hanging="567"/>
      </w:pPr>
      <w:r w:rsidRPr="008837F2">
        <w:rPr>
          <w:rStyle w:val="FootnoteReference"/>
          <w:sz w:val="20"/>
        </w:rPr>
        <w:footnoteRef/>
      </w:r>
      <w:r w:rsidRPr="00FB1498">
        <w:t xml:space="preserve"> </w:t>
      </w:r>
      <w:r w:rsidRPr="00FB1498">
        <w:tab/>
        <w:t>Chapter 5, clause 2</w:t>
      </w:r>
      <w:r w:rsidR="00AB0B7D">
        <w:t xml:space="preserve"> </w:t>
      </w:r>
    </w:p>
  </w:footnote>
  <w:footnote w:id="14">
    <w:p w14:paraId="6E5BA677" w14:textId="17FB0ADA" w:rsidR="006359F5" w:rsidRPr="00BD7BE9" w:rsidRDefault="006359F5" w:rsidP="008837F2">
      <w:pPr>
        <w:pStyle w:val="NormalWeb"/>
        <w:tabs>
          <w:tab w:val="left" w:pos="567"/>
        </w:tabs>
        <w:ind w:left="567" w:hanging="567"/>
        <w:jc w:val="both"/>
        <w:rPr>
          <w:rFonts w:ascii="Arial" w:hAnsi="Arial" w:cs="Arial"/>
          <w:sz w:val="20"/>
          <w:szCs w:val="20"/>
          <w:lang w:eastAsia="en-GB"/>
        </w:rPr>
      </w:pPr>
      <w:r w:rsidRPr="008837F2">
        <w:rPr>
          <w:rStyle w:val="FootnoteReference"/>
          <w:sz w:val="20"/>
          <w:szCs w:val="20"/>
        </w:rPr>
        <w:footnoteRef/>
      </w:r>
      <w:r w:rsidRPr="008837F2">
        <w:rPr>
          <w:sz w:val="20"/>
          <w:szCs w:val="20"/>
        </w:rPr>
        <w:t xml:space="preserve"> </w:t>
      </w:r>
      <w:r w:rsidRPr="008837F2">
        <w:rPr>
          <w:sz w:val="20"/>
          <w:szCs w:val="20"/>
        </w:rPr>
        <w:tab/>
      </w:r>
      <w:r w:rsidRPr="00FB1498">
        <w:rPr>
          <w:rFonts w:ascii="Arial" w:hAnsi="Arial" w:cs="Arial"/>
          <w:b/>
          <w:bCs/>
          <w:sz w:val="20"/>
          <w:szCs w:val="20"/>
          <w:lang w:eastAsia="en-GB"/>
        </w:rPr>
        <w:t>Compagnie Financiere et Commerciale du Pacifique v Peruvian Guano Co</w:t>
      </w:r>
      <w:r w:rsidRPr="00F33007">
        <w:rPr>
          <w:rFonts w:ascii="Arial" w:hAnsi="Arial" w:cs="Arial"/>
          <w:sz w:val="20"/>
          <w:szCs w:val="20"/>
          <w:lang w:eastAsia="en-GB"/>
        </w:rPr>
        <w:t xml:space="preserve"> (1882) 11 QBD 55, cited with approval in </w:t>
      </w:r>
      <w:r w:rsidRPr="00DE79F3">
        <w:rPr>
          <w:rFonts w:ascii="Arial" w:hAnsi="Arial" w:cs="Arial"/>
          <w:b/>
          <w:bCs/>
          <w:sz w:val="20"/>
          <w:szCs w:val="20"/>
          <w:lang w:eastAsia="en-GB"/>
        </w:rPr>
        <w:t>Investec Bank Limited v O’Shea N.O.</w:t>
      </w:r>
      <w:r w:rsidR="00EB45E0">
        <w:rPr>
          <w:rFonts w:ascii="Arial" w:hAnsi="Arial" w:cs="Arial"/>
          <w:bCs/>
          <w:sz w:val="20"/>
          <w:szCs w:val="20"/>
          <w:lang w:eastAsia="en-GB"/>
        </w:rPr>
        <w:t>,</w:t>
      </w:r>
      <w:r w:rsidRPr="004E5085">
        <w:rPr>
          <w:rFonts w:ascii="Arial" w:hAnsi="Arial" w:cs="Arial"/>
          <w:b/>
          <w:bCs/>
          <w:sz w:val="20"/>
          <w:szCs w:val="20"/>
          <w:lang w:eastAsia="en-GB"/>
        </w:rPr>
        <w:t xml:space="preserve"> </w:t>
      </w:r>
      <w:r w:rsidRPr="004E5085">
        <w:rPr>
          <w:rFonts w:ascii="Arial" w:hAnsi="Arial" w:cs="Arial"/>
          <w:sz w:val="20"/>
          <w:szCs w:val="20"/>
          <w:lang w:eastAsia="en-GB"/>
        </w:rPr>
        <w:t>an</w:t>
      </w:r>
      <w:r w:rsidRPr="00BD7BE9">
        <w:rPr>
          <w:rFonts w:ascii="Arial" w:hAnsi="Arial" w:cs="Arial"/>
          <w:sz w:val="20"/>
          <w:szCs w:val="20"/>
          <w:lang w:eastAsia="en-GB"/>
        </w:rPr>
        <w:t xml:space="preserve"> </w:t>
      </w:r>
      <w:r w:rsidR="003C2DB8" w:rsidRPr="00BD7BE9">
        <w:rPr>
          <w:rFonts w:ascii="Arial" w:hAnsi="Arial" w:cs="Arial"/>
          <w:sz w:val="20"/>
          <w:szCs w:val="20"/>
          <w:lang w:eastAsia="en-GB"/>
        </w:rPr>
        <w:t>unreported judgment of the Western Cape Division</w:t>
      </w:r>
      <w:r w:rsidR="00EB45E0">
        <w:rPr>
          <w:rFonts w:ascii="Arial" w:hAnsi="Arial" w:cs="Arial"/>
          <w:sz w:val="20"/>
          <w:szCs w:val="20"/>
          <w:lang w:eastAsia="en-GB"/>
        </w:rPr>
        <w:t>,</w:t>
      </w:r>
      <w:r w:rsidR="003C2DB8" w:rsidRPr="00BD7BE9">
        <w:rPr>
          <w:rFonts w:ascii="Arial" w:hAnsi="Arial" w:cs="Arial"/>
          <w:sz w:val="20"/>
          <w:szCs w:val="20"/>
          <w:lang w:eastAsia="en-GB"/>
        </w:rPr>
        <w:t xml:space="preserve"> under case number 10038/2014</w:t>
      </w:r>
      <w:r w:rsidR="00EB45E0">
        <w:rPr>
          <w:rFonts w:ascii="Arial" w:hAnsi="Arial" w:cs="Arial"/>
          <w:sz w:val="20"/>
          <w:szCs w:val="20"/>
          <w:lang w:eastAsia="en-GB"/>
        </w:rPr>
        <w:t>,</w:t>
      </w:r>
      <w:r w:rsidR="003C2DB8" w:rsidRPr="00BD7BE9">
        <w:rPr>
          <w:rFonts w:ascii="Arial" w:hAnsi="Arial" w:cs="Arial"/>
          <w:sz w:val="20"/>
          <w:szCs w:val="20"/>
          <w:lang w:eastAsia="en-GB"/>
        </w:rPr>
        <w:t xml:space="preserve"> dated 16 November 2020</w:t>
      </w:r>
      <w:r w:rsidR="00EB45E0">
        <w:rPr>
          <w:rFonts w:ascii="Arial" w:hAnsi="Arial" w:cs="Arial"/>
          <w:sz w:val="20"/>
          <w:szCs w:val="20"/>
          <w:lang w:eastAsia="en-GB"/>
        </w:rPr>
        <w:t xml:space="preserve"> </w:t>
      </w:r>
    </w:p>
    <w:p w14:paraId="4CAAE314" w14:textId="4D0E18CB" w:rsidR="006359F5" w:rsidRPr="0018145B" w:rsidRDefault="006359F5" w:rsidP="00DE79F3">
      <w:pPr>
        <w:pStyle w:val="FootnoteText"/>
        <w:tabs>
          <w:tab w:val="left" w:pos="567"/>
        </w:tabs>
      </w:pPr>
    </w:p>
  </w:footnote>
  <w:footnote w:id="15">
    <w:p w14:paraId="2E34D3A8" w14:textId="5690D73E" w:rsidR="00AA2972" w:rsidRPr="00BD7BE9" w:rsidRDefault="00AA2972" w:rsidP="00301AA0">
      <w:pPr>
        <w:pStyle w:val="FootnoteText"/>
        <w:tabs>
          <w:tab w:val="clear" w:pos="284"/>
          <w:tab w:val="left" w:pos="567"/>
        </w:tabs>
        <w:ind w:left="567" w:hanging="567"/>
      </w:pPr>
      <w:r w:rsidRPr="008837F2">
        <w:rPr>
          <w:rStyle w:val="FootnoteReference"/>
          <w:sz w:val="20"/>
        </w:rPr>
        <w:footnoteRef/>
      </w:r>
      <w:r w:rsidRPr="00FB1498">
        <w:t xml:space="preserve"> </w:t>
      </w:r>
      <w:r w:rsidRPr="00FB1498">
        <w:tab/>
      </w:r>
      <w:r w:rsidR="008E2C21" w:rsidRPr="00F33007">
        <w:rPr>
          <w:b/>
          <w:bCs/>
          <w:i/>
          <w:iCs/>
        </w:rPr>
        <w:t xml:space="preserve">In re </w:t>
      </w:r>
      <w:r w:rsidR="008E2C21" w:rsidRPr="00F33007">
        <w:rPr>
          <w:b/>
          <w:bCs/>
        </w:rPr>
        <w:t>Alluvial Creek</w:t>
      </w:r>
      <w:r w:rsidR="008E2C21" w:rsidRPr="00DE79F3">
        <w:t xml:space="preserve"> 1929 CPD 532 at </w:t>
      </w:r>
      <w:r w:rsidR="00651EBC" w:rsidRPr="004E5085">
        <w:t>535</w:t>
      </w:r>
      <w:r w:rsidR="00301AA0">
        <w:t xml:space="preserve"> </w:t>
      </w:r>
    </w:p>
  </w:footnote>
  <w:footnote w:id="16">
    <w:p w14:paraId="3ECA613F" w14:textId="0D9E3972" w:rsidR="00AA2972" w:rsidRPr="00F33007" w:rsidRDefault="00AA2972" w:rsidP="00301AA0">
      <w:pPr>
        <w:pStyle w:val="FootnoteText"/>
        <w:tabs>
          <w:tab w:val="clear" w:pos="284"/>
          <w:tab w:val="left" w:pos="567"/>
        </w:tabs>
        <w:ind w:left="567" w:hanging="567"/>
      </w:pPr>
      <w:r w:rsidRPr="008837F2">
        <w:rPr>
          <w:rStyle w:val="FootnoteReference"/>
          <w:sz w:val="20"/>
        </w:rPr>
        <w:footnoteRef/>
      </w:r>
      <w:r w:rsidRPr="00FB1498">
        <w:t xml:space="preserve"> </w:t>
      </w:r>
      <w:r w:rsidRPr="00FB1498">
        <w:tab/>
        <w:t xml:space="preserve">Consider: </w:t>
      </w:r>
      <w:r w:rsidR="00651EBC" w:rsidRPr="00F33007">
        <w:rPr>
          <w:b/>
          <w:bCs/>
        </w:rPr>
        <w:t>Waste Products Utilisation (Pty) v Wilkes and another</w:t>
      </w:r>
      <w:r w:rsidR="00651EBC" w:rsidRPr="00F33007">
        <w:t xml:space="preserve"> 2003 (2) SA 515 (W) at 587 F/G to 588 D</w:t>
      </w:r>
      <w:r w:rsidR="00301AA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F435" w14:textId="5903142D" w:rsidR="00645AF1" w:rsidRPr="00427437" w:rsidRDefault="00046E52"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7C47CD">
          <w:rPr>
            <w:b w:val="0"/>
            <w:noProof/>
          </w:rPr>
          <w:t>2</w:t>
        </w:r>
        <w:r w:rsidR="00645AF1" w:rsidRPr="00427437">
          <w:rPr>
            <w:b w:val="0"/>
            <w:noProof/>
          </w:rPr>
          <w:fldChar w:fldCharType="end"/>
        </w:r>
      </w:sdtContent>
    </w:sdt>
  </w:p>
  <w:p w14:paraId="0EE28832" w14:textId="77777777" w:rsidR="00645AF1" w:rsidRPr="00A441B2" w:rsidRDefault="00645AF1" w:rsidP="00391BBA">
    <w:pPr>
      <w:pStyle w:val="Header"/>
      <w:spacing w:line="240" w:lineRule="auto"/>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nsid w:val="12EF21BA"/>
    <w:multiLevelType w:val="hybridMultilevel"/>
    <w:tmpl w:val="4706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9F7D4A"/>
    <w:multiLevelType w:val="hybridMultilevel"/>
    <w:tmpl w:val="9F1A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72D1B"/>
    <w:multiLevelType w:val="hybridMultilevel"/>
    <w:tmpl w:val="4B1CE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6F2FA1"/>
    <w:multiLevelType w:val="multilevel"/>
    <w:tmpl w:val="EC645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689A3593"/>
    <w:multiLevelType w:val="hybridMultilevel"/>
    <w:tmpl w:val="287A5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D4399D"/>
    <w:multiLevelType w:val="multilevel"/>
    <w:tmpl w:val="E778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8D4B99"/>
    <w:multiLevelType w:val="multilevel"/>
    <w:tmpl w:val="DF0A2F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4F59BB"/>
    <w:multiLevelType w:val="multilevel"/>
    <w:tmpl w:val="242E7B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5"/>
  </w:num>
  <w:num w:numId="7">
    <w:abstractNumId w:val="10"/>
  </w:num>
  <w:num w:numId="8">
    <w:abstractNumId w:val="9"/>
  </w:num>
  <w:num w:numId="9">
    <w:abstractNumId w:val="11"/>
  </w:num>
  <w:num w:numId="10">
    <w:abstractNumId w:val="0"/>
  </w:num>
  <w:num w:numId="11">
    <w:abstractNumId w:val="2"/>
  </w:num>
  <w:num w:numId="12">
    <w:abstractNumId w:val="3"/>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06"/>
    <w:rsid w:val="00004382"/>
    <w:rsid w:val="0000717C"/>
    <w:rsid w:val="000108B1"/>
    <w:rsid w:val="00010B6C"/>
    <w:rsid w:val="00012668"/>
    <w:rsid w:val="0001309B"/>
    <w:rsid w:val="000137EE"/>
    <w:rsid w:val="00014402"/>
    <w:rsid w:val="000145B9"/>
    <w:rsid w:val="00016F06"/>
    <w:rsid w:val="00017D19"/>
    <w:rsid w:val="0002084A"/>
    <w:rsid w:val="00020E0A"/>
    <w:rsid w:val="000217F5"/>
    <w:rsid w:val="00024AAC"/>
    <w:rsid w:val="000322BE"/>
    <w:rsid w:val="000376BD"/>
    <w:rsid w:val="00041D3F"/>
    <w:rsid w:val="000422F3"/>
    <w:rsid w:val="00043CBF"/>
    <w:rsid w:val="00043FF6"/>
    <w:rsid w:val="00045022"/>
    <w:rsid w:val="00045486"/>
    <w:rsid w:val="00046E52"/>
    <w:rsid w:val="00051893"/>
    <w:rsid w:val="00056065"/>
    <w:rsid w:val="00057133"/>
    <w:rsid w:val="00057D22"/>
    <w:rsid w:val="00061515"/>
    <w:rsid w:val="0006213B"/>
    <w:rsid w:val="00064D3F"/>
    <w:rsid w:val="00067F98"/>
    <w:rsid w:val="0007238B"/>
    <w:rsid w:val="00073863"/>
    <w:rsid w:val="0007593F"/>
    <w:rsid w:val="000824F2"/>
    <w:rsid w:val="00083A12"/>
    <w:rsid w:val="00084015"/>
    <w:rsid w:val="00084671"/>
    <w:rsid w:val="0008540E"/>
    <w:rsid w:val="000913B2"/>
    <w:rsid w:val="000932D7"/>
    <w:rsid w:val="00093ACF"/>
    <w:rsid w:val="00093C96"/>
    <w:rsid w:val="000956D1"/>
    <w:rsid w:val="000A510D"/>
    <w:rsid w:val="000B03B8"/>
    <w:rsid w:val="000B18B8"/>
    <w:rsid w:val="000B23EE"/>
    <w:rsid w:val="000B2E91"/>
    <w:rsid w:val="000B49CA"/>
    <w:rsid w:val="000B70CA"/>
    <w:rsid w:val="000B720E"/>
    <w:rsid w:val="000C2254"/>
    <w:rsid w:val="000C2810"/>
    <w:rsid w:val="000D0C94"/>
    <w:rsid w:val="000D5890"/>
    <w:rsid w:val="000E0DCC"/>
    <w:rsid w:val="000E1DE7"/>
    <w:rsid w:val="000E228E"/>
    <w:rsid w:val="000E2B38"/>
    <w:rsid w:val="000E339C"/>
    <w:rsid w:val="000E3BC9"/>
    <w:rsid w:val="000E3E31"/>
    <w:rsid w:val="000F3132"/>
    <w:rsid w:val="000F5DDB"/>
    <w:rsid w:val="000F7588"/>
    <w:rsid w:val="001056ED"/>
    <w:rsid w:val="00106D1E"/>
    <w:rsid w:val="00113FB5"/>
    <w:rsid w:val="001148A5"/>
    <w:rsid w:val="00115721"/>
    <w:rsid w:val="001159FC"/>
    <w:rsid w:val="00115FD1"/>
    <w:rsid w:val="0011600F"/>
    <w:rsid w:val="00116E54"/>
    <w:rsid w:val="00123489"/>
    <w:rsid w:val="00123890"/>
    <w:rsid w:val="00124C92"/>
    <w:rsid w:val="00125E01"/>
    <w:rsid w:val="001264D8"/>
    <w:rsid w:val="00127864"/>
    <w:rsid w:val="00130CD4"/>
    <w:rsid w:val="00130ED0"/>
    <w:rsid w:val="00132677"/>
    <w:rsid w:val="00134D0E"/>
    <w:rsid w:val="001355DF"/>
    <w:rsid w:val="00147FB6"/>
    <w:rsid w:val="0015180E"/>
    <w:rsid w:val="00151966"/>
    <w:rsid w:val="00152B72"/>
    <w:rsid w:val="001579AC"/>
    <w:rsid w:val="0016008C"/>
    <w:rsid w:val="00160E39"/>
    <w:rsid w:val="001616D0"/>
    <w:rsid w:val="00176F60"/>
    <w:rsid w:val="00177F30"/>
    <w:rsid w:val="001804ED"/>
    <w:rsid w:val="00180FB2"/>
    <w:rsid w:val="0018145B"/>
    <w:rsid w:val="001815BF"/>
    <w:rsid w:val="001816E6"/>
    <w:rsid w:val="0018328E"/>
    <w:rsid w:val="001856D3"/>
    <w:rsid w:val="00192E51"/>
    <w:rsid w:val="001933B2"/>
    <w:rsid w:val="0019388E"/>
    <w:rsid w:val="00194F89"/>
    <w:rsid w:val="00195743"/>
    <w:rsid w:val="00195BF5"/>
    <w:rsid w:val="00196357"/>
    <w:rsid w:val="00197F05"/>
    <w:rsid w:val="001A2118"/>
    <w:rsid w:val="001A40B3"/>
    <w:rsid w:val="001A41C3"/>
    <w:rsid w:val="001A480C"/>
    <w:rsid w:val="001B00C8"/>
    <w:rsid w:val="001B174C"/>
    <w:rsid w:val="001B1F9D"/>
    <w:rsid w:val="001B1FD2"/>
    <w:rsid w:val="001B6E1C"/>
    <w:rsid w:val="001B6F4B"/>
    <w:rsid w:val="001C73A2"/>
    <w:rsid w:val="001C7A55"/>
    <w:rsid w:val="001D0A06"/>
    <w:rsid w:val="001D2EA4"/>
    <w:rsid w:val="001D3704"/>
    <w:rsid w:val="001E377B"/>
    <w:rsid w:val="001E4A33"/>
    <w:rsid w:val="001E5998"/>
    <w:rsid w:val="001E7F67"/>
    <w:rsid w:val="001F357A"/>
    <w:rsid w:val="001F72BA"/>
    <w:rsid w:val="001F72DA"/>
    <w:rsid w:val="001F7C7D"/>
    <w:rsid w:val="00214A1C"/>
    <w:rsid w:val="0021742E"/>
    <w:rsid w:val="00217FC3"/>
    <w:rsid w:val="00221452"/>
    <w:rsid w:val="00225A4A"/>
    <w:rsid w:val="00230289"/>
    <w:rsid w:val="0023039E"/>
    <w:rsid w:val="00231F84"/>
    <w:rsid w:val="00232EF7"/>
    <w:rsid w:val="0023455B"/>
    <w:rsid w:val="00237F6E"/>
    <w:rsid w:val="00241084"/>
    <w:rsid w:val="00246E20"/>
    <w:rsid w:val="00247365"/>
    <w:rsid w:val="00252665"/>
    <w:rsid w:val="002537CD"/>
    <w:rsid w:val="00255244"/>
    <w:rsid w:val="002555DF"/>
    <w:rsid w:val="002560A3"/>
    <w:rsid w:val="00256D6F"/>
    <w:rsid w:val="002609A5"/>
    <w:rsid w:val="00263585"/>
    <w:rsid w:val="0026537A"/>
    <w:rsid w:val="00267695"/>
    <w:rsid w:val="002711DA"/>
    <w:rsid w:val="00272DD5"/>
    <w:rsid w:val="002733DD"/>
    <w:rsid w:val="00277A39"/>
    <w:rsid w:val="002806E3"/>
    <w:rsid w:val="00280B90"/>
    <w:rsid w:val="00286B9D"/>
    <w:rsid w:val="0029248A"/>
    <w:rsid w:val="0029300B"/>
    <w:rsid w:val="00294EB4"/>
    <w:rsid w:val="002952D8"/>
    <w:rsid w:val="00295F2A"/>
    <w:rsid w:val="002961C9"/>
    <w:rsid w:val="00296D2A"/>
    <w:rsid w:val="002A17FC"/>
    <w:rsid w:val="002A2DB0"/>
    <w:rsid w:val="002A4765"/>
    <w:rsid w:val="002A54B1"/>
    <w:rsid w:val="002A5B96"/>
    <w:rsid w:val="002A668F"/>
    <w:rsid w:val="002B044B"/>
    <w:rsid w:val="002B2004"/>
    <w:rsid w:val="002B412C"/>
    <w:rsid w:val="002B5439"/>
    <w:rsid w:val="002B7634"/>
    <w:rsid w:val="002C105D"/>
    <w:rsid w:val="002C49A3"/>
    <w:rsid w:val="002D0D34"/>
    <w:rsid w:val="002D30CE"/>
    <w:rsid w:val="002D3CB4"/>
    <w:rsid w:val="002D7CF4"/>
    <w:rsid w:val="002E0853"/>
    <w:rsid w:val="002E25E7"/>
    <w:rsid w:val="002E2D25"/>
    <w:rsid w:val="002E41F1"/>
    <w:rsid w:val="002E4272"/>
    <w:rsid w:val="002E4308"/>
    <w:rsid w:val="002E6810"/>
    <w:rsid w:val="002F004F"/>
    <w:rsid w:val="002F515A"/>
    <w:rsid w:val="002F68D6"/>
    <w:rsid w:val="002F6B54"/>
    <w:rsid w:val="00301AA0"/>
    <w:rsid w:val="00301C24"/>
    <w:rsid w:val="00302976"/>
    <w:rsid w:val="003046A0"/>
    <w:rsid w:val="0030506D"/>
    <w:rsid w:val="00305208"/>
    <w:rsid w:val="00305E38"/>
    <w:rsid w:val="0031090F"/>
    <w:rsid w:val="00312187"/>
    <w:rsid w:val="00312EF1"/>
    <w:rsid w:val="003159AC"/>
    <w:rsid w:val="00324C0C"/>
    <w:rsid w:val="00325172"/>
    <w:rsid w:val="00325D06"/>
    <w:rsid w:val="00334206"/>
    <w:rsid w:val="00337B45"/>
    <w:rsid w:val="003404C5"/>
    <w:rsid w:val="00341688"/>
    <w:rsid w:val="003416B5"/>
    <w:rsid w:val="003421EC"/>
    <w:rsid w:val="00343625"/>
    <w:rsid w:val="00346379"/>
    <w:rsid w:val="003469F1"/>
    <w:rsid w:val="0035021C"/>
    <w:rsid w:val="003507E2"/>
    <w:rsid w:val="00352B93"/>
    <w:rsid w:val="00352CE8"/>
    <w:rsid w:val="003530D9"/>
    <w:rsid w:val="00353D7B"/>
    <w:rsid w:val="00354755"/>
    <w:rsid w:val="003547DA"/>
    <w:rsid w:val="00357221"/>
    <w:rsid w:val="003607DD"/>
    <w:rsid w:val="00361CF3"/>
    <w:rsid w:val="003629FF"/>
    <w:rsid w:val="0036596D"/>
    <w:rsid w:val="0036768B"/>
    <w:rsid w:val="003712EA"/>
    <w:rsid w:val="00371D8A"/>
    <w:rsid w:val="00372578"/>
    <w:rsid w:val="00374344"/>
    <w:rsid w:val="003760C9"/>
    <w:rsid w:val="003777E2"/>
    <w:rsid w:val="003808EE"/>
    <w:rsid w:val="0038133B"/>
    <w:rsid w:val="00381B61"/>
    <w:rsid w:val="00381F6C"/>
    <w:rsid w:val="00382A47"/>
    <w:rsid w:val="0038564A"/>
    <w:rsid w:val="0038738E"/>
    <w:rsid w:val="003907E4"/>
    <w:rsid w:val="003910F0"/>
    <w:rsid w:val="00391BBA"/>
    <w:rsid w:val="00392325"/>
    <w:rsid w:val="0039689D"/>
    <w:rsid w:val="003974EC"/>
    <w:rsid w:val="003979CE"/>
    <w:rsid w:val="00397FF0"/>
    <w:rsid w:val="003A20CF"/>
    <w:rsid w:val="003A430F"/>
    <w:rsid w:val="003A46A4"/>
    <w:rsid w:val="003A4DE5"/>
    <w:rsid w:val="003A52E7"/>
    <w:rsid w:val="003A6288"/>
    <w:rsid w:val="003B1636"/>
    <w:rsid w:val="003B38E3"/>
    <w:rsid w:val="003B4B1B"/>
    <w:rsid w:val="003B523F"/>
    <w:rsid w:val="003B5659"/>
    <w:rsid w:val="003B574F"/>
    <w:rsid w:val="003B65D6"/>
    <w:rsid w:val="003C2AB3"/>
    <w:rsid w:val="003C2DB8"/>
    <w:rsid w:val="003C35EA"/>
    <w:rsid w:val="003C5402"/>
    <w:rsid w:val="003C5F0B"/>
    <w:rsid w:val="003C6486"/>
    <w:rsid w:val="003D0CA4"/>
    <w:rsid w:val="003D0E86"/>
    <w:rsid w:val="003D134D"/>
    <w:rsid w:val="003D1D1F"/>
    <w:rsid w:val="003D269B"/>
    <w:rsid w:val="003D6338"/>
    <w:rsid w:val="003D6933"/>
    <w:rsid w:val="003D6BD7"/>
    <w:rsid w:val="003D6E52"/>
    <w:rsid w:val="003E09F0"/>
    <w:rsid w:val="003E0DDC"/>
    <w:rsid w:val="003E2088"/>
    <w:rsid w:val="003E5DFA"/>
    <w:rsid w:val="003F098C"/>
    <w:rsid w:val="003F2B0A"/>
    <w:rsid w:val="003F2C85"/>
    <w:rsid w:val="00400951"/>
    <w:rsid w:val="00403C41"/>
    <w:rsid w:val="00405028"/>
    <w:rsid w:val="00405C24"/>
    <w:rsid w:val="00405E60"/>
    <w:rsid w:val="004065F7"/>
    <w:rsid w:val="004132F8"/>
    <w:rsid w:val="00413658"/>
    <w:rsid w:val="004139B4"/>
    <w:rsid w:val="00414DB8"/>
    <w:rsid w:val="00417305"/>
    <w:rsid w:val="00420711"/>
    <w:rsid w:val="00422C4A"/>
    <w:rsid w:val="00426682"/>
    <w:rsid w:val="00427437"/>
    <w:rsid w:val="0043066D"/>
    <w:rsid w:val="00430701"/>
    <w:rsid w:val="00433703"/>
    <w:rsid w:val="0043572B"/>
    <w:rsid w:val="00435C12"/>
    <w:rsid w:val="004407C6"/>
    <w:rsid w:val="00441E5B"/>
    <w:rsid w:val="00443C59"/>
    <w:rsid w:val="00443E7A"/>
    <w:rsid w:val="00444B71"/>
    <w:rsid w:val="00445C40"/>
    <w:rsid w:val="00454576"/>
    <w:rsid w:val="00455BD0"/>
    <w:rsid w:val="00461D1B"/>
    <w:rsid w:val="00462598"/>
    <w:rsid w:val="004651ED"/>
    <w:rsid w:val="00467DBE"/>
    <w:rsid w:val="00467DFB"/>
    <w:rsid w:val="00470BE0"/>
    <w:rsid w:val="00471591"/>
    <w:rsid w:val="0047194E"/>
    <w:rsid w:val="004725CF"/>
    <w:rsid w:val="00472CED"/>
    <w:rsid w:val="004742CA"/>
    <w:rsid w:val="0047432F"/>
    <w:rsid w:val="00474815"/>
    <w:rsid w:val="004755F4"/>
    <w:rsid w:val="00475E08"/>
    <w:rsid w:val="00476B43"/>
    <w:rsid w:val="00481133"/>
    <w:rsid w:val="0048218C"/>
    <w:rsid w:val="00484042"/>
    <w:rsid w:val="004842EC"/>
    <w:rsid w:val="0049440F"/>
    <w:rsid w:val="004A136C"/>
    <w:rsid w:val="004A3DCE"/>
    <w:rsid w:val="004A4DD7"/>
    <w:rsid w:val="004A602F"/>
    <w:rsid w:val="004A63BD"/>
    <w:rsid w:val="004A7D8F"/>
    <w:rsid w:val="004B0FB9"/>
    <w:rsid w:val="004B1B5E"/>
    <w:rsid w:val="004B53A9"/>
    <w:rsid w:val="004C24C6"/>
    <w:rsid w:val="004C45E9"/>
    <w:rsid w:val="004C508E"/>
    <w:rsid w:val="004C7D2F"/>
    <w:rsid w:val="004D0937"/>
    <w:rsid w:val="004D1117"/>
    <w:rsid w:val="004D1E79"/>
    <w:rsid w:val="004D2610"/>
    <w:rsid w:val="004D2D89"/>
    <w:rsid w:val="004D429B"/>
    <w:rsid w:val="004D6E6A"/>
    <w:rsid w:val="004D723A"/>
    <w:rsid w:val="004E215C"/>
    <w:rsid w:val="004E2BCB"/>
    <w:rsid w:val="004E360A"/>
    <w:rsid w:val="004E48A2"/>
    <w:rsid w:val="004E5085"/>
    <w:rsid w:val="004E5AAC"/>
    <w:rsid w:val="004E7A8C"/>
    <w:rsid w:val="004F0B6A"/>
    <w:rsid w:val="004F1906"/>
    <w:rsid w:val="004F2F7A"/>
    <w:rsid w:val="004F4B64"/>
    <w:rsid w:val="00502685"/>
    <w:rsid w:val="00503414"/>
    <w:rsid w:val="005061B7"/>
    <w:rsid w:val="005076C7"/>
    <w:rsid w:val="00513E65"/>
    <w:rsid w:val="00514487"/>
    <w:rsid w:val="0051495F"/>
    <w:rsid w:val="00517606"/>
    <w:rsid w:val="005178E8"/>
    <w:rsid w:val="00517962"/>
    <w:rsid w:val="00520ECE"/>
    <w:rsid w:val="00522DC0"/>
    <w:rsid w:val="00524EED"/>
    <w:rsid w:val="00526252"/>
    <w:rsid w:val="0053158D"/>
    <w:rsid w:val="005369DD"/>
    <w:rsid w:val="00537C30"/>
    <w:rsid w:val="005404E9"/>
    <w:rsid w:val="00540E59"/>
    <w:rsid w:val="005471A8"/>
    <w:rsid w:val="0055439E"/>
    <w:rsid w:val="005573EB"/>
    <w:rsid w:val="00557C17"/>
    <w:rsid w:val="005611C6"/>
    <w:rsid w:val="00562C90"/>
    <w:rsid w:val="00565A25"/>
    <w:rsid w:val="00567FEB"/>
    <w:rsid w:val="00571FA4"/>
    <w:rsid w:val="005727DB"/>
    <w:rsid w:val="00574363"/>
    <w:rsid w:val="00575611"/>
    <w:rsid w:val="00576547"/>
    <w:rsid w:val="0058433D"/>
    <w:rsid w:val="0058658A"/>
    <w:rsid w:val="00587A87"/>
    <w:rsid w:val="005949F9"/>
    <w:rsid w:val="00594A91"/>
    <w:rsid w:val="00596A83"/>
    <w:rsid w:val="00596F06"/>
    <w:rsid w:val="005A2738"/>
    <w:rsid w:val="005B2A70"/>
    <w:rsid w:val="005B3B95"/>
    <w:rsid w:val="005C0338"/>
    <w:rsid w:val="005C10C8"/>
    <w:rsid w:val="005C4167"/>
    <w:rsid w:val="005C721F"/>
    <w:rsid w:val="005D6D12"/>
    <w:rsid w:val="005E02F1"/>
    <w:rsid w:val="005E1924"/>
    <w:rsid w:val="005E1D81"/>
    <w:rsid w:val="005E3FCD"/>
    <w:rsid w:val="005E57B7"/>
    <w:rsid w:val="005E7B1A"/>
    <w:rsid w:val="005F228B"/>
    <w:rsid w:val="005F4A3F"/>
    <w:rsid w:val="005F6826"/>
    <w:rsid w:val="00600744"/>
    <w:rsid w:val="006051F1"/>
    <w:rsid w:val="00605914"/>
    <w:rsid w:val="00610A05"/>
    <w:rsid w:val="00611CD7"/>
    <w:rsid w:val="0061374E"/>
    <w:rsid w:val="00615396"/>
    <w:rsid w:val="0061698C"/>
    <w:rsid w:val="006175C2"/>
    <w:rsid w:val="00617904"/>
    <w:rsid w:val="00620D1D"/>
    <w:rsid w:val="00620DF2"/>
    <w:rsid w:val="00621903"/>
    <w:rsid w:val="00622331"/>
    <w:rsid w:val="00626126"/>
    <w:rsid w:val="00627123"/>
    <w:rsid w:val="00627A33"/>
    <w:rsid w:val="00627D74"/>
    <w:rsid w:val="00627E0A"/>
    <w:rsid w:val="00630223"/>
    <w:rsid w:val="006314C1"/>
    <w:rsid w:val="00631F9B"/>
    <w:rsid w:val="006359F5"/>
    <w:rsid w:val="00636360"/>
    <w:rsid w:val="006365CA"/>
    <w:rsid w:val="0064034A"/>
    <w:rsid w:val="00640E4A"/>
    <w:rsid w:val="00641BF8"/>
    <w:rsid w:val="00645AF1"/>
    <w:rsid w:val="00651EBC"/>
    <w:rsid w:val="006552C4"/>
    <w:rsid w:val="00664D99"/>
    <w:rsid w:val="00665411"/>
    <w:rsid w:val="00665602"/>
    <w:rsid w:val="00666508"/>
    <w:rsid w:val="00672369"/>
    <w:rsid w:val="0067472C"/>
    <w:rsid w:val="00683BFE"/>
    <w:rsid w:val="0068653E"/>
    <w:rsid w:val="006922A9"/>
    <w:rsid w:val="00693033"/>
    <w:rsid w:val="006930A9"/>
    <w:rsid w:val="00693144"/>
    <w:rsid w:val="00696BAA"/>
    <w:rsid w:val="00697781"/>
    <w:rsid w:val="006A0653"/>
    <w:rsid w:val="006A1287"/>
    <w:rsid w:val="006A440A"/>
    <w:rsid w:val="006A557C"/>
    <w:rsid w:val="006B0505"/>
    <w:rsid w:val="006B33E8"/>
    <w:rsid w:val="006B4F86"/>
    <w:rsid w:val="006B5262"/>
    <w:rsid w:val="006B7254"/>
    <w:rsid w:val="006C12A3"/>
    <w:rsid w:val="006C21D8"/>
    <w:rsid w:val="006C2A21"/>
    <w:rsid w:val="006C2A58"/>
    <w:rsid w:val="006C7759"/>
    <w:rsid w:val="006D0418"/>
    <w:rsid w:val="006D390A"/>
    <w:rsid w:val="006D3C95"/>
    <w:rsid w:val="006D4BBA"/>
    <w:rsid w:val="006D5815"/>
    <w:rsid w:val="006D7319"/>
    <w:rsid w:val="006D7BFF"/>
    <w:rsid w:val="006E110E"/>
    <w:rsid w:val="006E20F4"/>
    <w:rsid w:val="006E29FF"/>
    <w:rsid w:val="006E2C87"/>
    <w:rsid w:val="006E5E4B"/>
    <w:rsid w:val="006E6DF6"/>
    <w:rsid w:val="006F0C96"/>
    <w:rsid w:val="006F10B5"/>
    <w:rsid w:val="006F3F8D"/>
    <w:rsid w:val="00701D37"/>
    <w:rsid w:val="00702914"/>
    <w:rsid w:val="0070338D"/>
    <w:rsid w:val="007048C1"/>
    <w:rsid w:val="00704FD0"/>
    <w:rsid w:val="007051FD"/>
    <w:rsid w:val="00705274"/>
    <w:rsid w:val="00707E42"/>
    <w:rsid w:val="00710E7C"/>
    <w:rsid w:val="007142C2"/>
    <w:rsid w:val="00722473"/>
    <w:rsid w:val="00723753"/>
    <w:rsid w:val="00726A8C"/>
    <w:rsid w:val="00732251"/>
    <w:rsid w:val="00732C9F"/>
    <w:rsid w:val="00733F47"/>
    <w:rsid w:val="007342C6"/>
    <w:rsid w:val="00741690"/>
    <w:rsid w:val="00743B13"/>
    <w:rsid w:val="007447B0"/>
    <w:rsid w:val="007474B8"/>
    <w:rsid w:val="00750B6D"/>
    <w:rsid w:val="00752A37"/>
    <w:rsid w:val="00752F7B"/>
    <w:rsid w:val="00753779"/>
    <w:rsid w:val="00753FCF"/>
    <w:rsid w:val="00757240"/>
    <w:rsid w:val="00757F7C"/>
    <w:rsid w:val="00760590"/>
    <w:rsid w:val="00760DD2"/>
    <w:rsid w:val="007616C5"/>
    <w:rsid w:val="00762502"/>
    <w:rsid w:val="00762FBB"/>
    <w:rsid w:val="00764EDA"/>
    <w:rsid w:val="007710AA"/>
    <w:rsid w:val="00772C5F"/>
    <w:rsid w:val="00773CD1"/>
    <w:rsid w:val="00776E8F"/>
    <w:rsid w:val="00777AF8"/>
    <w:rsid w:val="00777D6E"/>
    <w:rsid w:val="00785D20"/>
    <w:rsid w:val="00787CC2"/>
    <w:rsid w:val="007915A4"/>
    <w:rsid w:val="007915E0"/>
    <w:rsid w:val="00792C12"/>
    <w:rsid w:val="00793BB8"/>
    <w:rsid w:val="00793FC1"/>
    <w:rsid w:val="00797C7C"/>
    <w:rsid w:val="007A0BD9"/>
    <w:rsid w:val="007A73DD"/>
    <w:rsid w:val="007B154B"/>
    <w:rsid w:val="007B15FC"/>
    <w:rsid w:val="007B4047"/>
    <w:rsid w:val="007B5A47"/>
    <w:rsid w:val="007C2BC5"/>
    <w:rsid w:val="007C3283"/>
    <w:rsid w:val="007C47CD"/>
    <w:rsid w:val="007C4F9D"/>
    <w:rsid w:val="007C5B4C"/>
    <w:rsid w:val="007D46BD"/>
    <w:rsid w:val="007D5078"/>
    <w:rsid w:val="007D6C2F"/>
    <w:rsid w:val="007E0146"/>
    <w:rsid w:val="007E1F7C"/>
    <w:rsid w:val="007E21FC"/>
    <w:rsid w:val="007E2942"/>
    <w:rsid w:val="007E365F"/>
    <w:rsid w:val="007E544C"/>
    <w:rsid w:val="007F050F"/>
    <w:rsid w:val="007F254E"/>
    <w:rsid w:val="007F3734"/>
    <w:rsid w:val="007F58C3"/>
    <w:rsid w:val="0080185E"/>
    <w:rsid w:val="00805E82"/>
    <w:rsid w:val="008070A0"/>
    <w:rsid w:val="00811137"/>
    <w:rsid w:val="00814CD2"/>
    <w:rsid w:val="008173A1"/>
    <w:rsid w:val="00827FAC"/>
    <w:rsid w:val="0083289C"/>
    <w:rsid w:val="00833B60"/>
    <w:rsid w:val="00835849"/>
    <w:rsid w:val="00835E30"/>
    <w:rsid w:val="0083606B"/>
    <w:rsid w:val="00842A0E"/>
    <w:rsid w:val="00847639"/>
    <w:rsid w:val="008573FE"/>
    <w:rsid w:val="00866880"/>
    <w:rsid w:val="008705F2"/>
    <w:rsid w:val="00870A5A"/>
    <w:rsid w:val="00872944"/>
    <w:rsid w:val="00873DA0"/>
    <w:rsid w:val="00874AFB"/>
    <w:rsid w:val="00875EB2"/>
    <w:rsid w:val="0088033E"/>
    <w:rsid w:val="00880F68"/>
    <w:rsid w:val="00881D6B"/>
    <w:rsid w:val="0088235B"/>
    <w:rsid w:val="00883179"/>
    <w:rsid w:val="008837F2"/>
    <w:rsid w:val="00883B75"/>
    <w:rsid w:val="00885016"/>
    <w:rsid w:val="00885BD4"/>
    <w:rsid w:val="0088659F"/>
    <w:rsid w:val="008A0C37"/>
    <w:rsid w:val="008B1136"/>
    <w:rsid w:val="008B1B46"/>
    <w:rsid w:val="008B5FA1"/>
    <w:rsid w:val="008B7680"/>
    <w:rsid w:val="008C294E"/>
    <w:rsid w:val="008C2B55"/>
    <w:rsid w:val="008C2F3A"/>
    <w:rsid w:val="008C3557"/>
    <w:rsid w:val="008C59CF"/>
    <w:rsid w:val="008D0BB5"/>
    <w:rsid w:val="008D2A40"/>
    <w:rsid w:val="008D689A"/>
    <w:rsid w:val="008D787A"/>
    <w:rsid w:val="008D7BF0"/>
    <w:rsid w:val="008E25DF"/>
    <w:rsid w:val="008E2C21"/>
    <w:rsid w:val="008E6555"/>
    <w:rsid w:val="008E7403"/>
    <w:rsid w:val="008F113A"/>
    <w:rsid w:val="008F156E"/>
    <w:rsid w:val="008F286B"/>
    <w:rsid w:val="008F2E6C"/>
    <w:rsid w:val="008F5817"/>
    <w:rsid w:val="008F6858"/>
    <w:rsid w:val="00901DB5"/>
    <w:rsid w:val="0091103A"/>
    <w:rsid w:val="009123D7"/>
    <w:rsid w:val="00912574"/>
    <w:rsid w:val="00913F3D"/>
    <w:rsid w:val="00917069"/>
    <w:rsid w:val="009237BA"/>
    <w:rsid w:val="00927F64"/>
    <w:rsid w:val="00930C26"/>
    <w:rsid w:val="0093106D"/>
    <w:rsid w:val="00933095"/>
    <w:rsid w:val="00937EF3"/>
    <w:rsid w:val="009401CF"/>
    <w:rsid w:val="00940823"/>
    <w:rsid w:val="00941525"/>
    <w:rsid w:val="00943561"/>
    <w:rsid w:val="00943839"/>
    <w:rsid w:val="0094464F"/>
    <w:rsid w:val="00944DB9"/>
    <w:rsid w:val="00946A2D"/>
    <w:rsid w:val="00951CA4"/>
    <w:rsid w:val="0095329B"/>
    <w:rsid w:val="00954101"/>
    <w:rsid w:val="00954A85"/>
    <w:rsid w:val="00954B2F"/>
    <w:rsid w:val="00954C3B"/>
    <w:rsid w:val="0096339F"/>
    <w:rsid w:val="0096537E"/>
    <w:rsid w:val="00965F11"/>
    <w:rsid w:val="0097177C"/>
    <w:rsid w:val="00971B25"/>
    <w:rsid w:val="009755C2"/>
    <w:rsid w:val="009771A2"/>
    <w:rsid w:val="00977C04"/>
    <w:rsid w:val="00977D8A"/>
    <w:rsid w:val="0098147E"/>
    <w:rsid w:val="009821F4"/>
    <w:rsid w:val="0099584D"/>
    <w:rsid w:val="00997076"/>
    <w:rsid w:val="009A2344"/>
    <w:rsid w:val="009B04D0"/>
    <w:rsid w:val="009B1D57"/>
    <w:rsid w:val="009B262E"/>
    <w:rsid w:val="009C0ADE"/>
    <w:rsid w:val="009C3782"/>
    <w:rsid w:val="009C4BE9"/>
    <w:rsid w:val="009D2BE6"/>
    <w:rsid w:val="009D7E4D"/>
    <w:rsid w:val="009E0C58"/>
    <w:rsid w:val="009E14A5"/>
    <w:rsid w:val="009E4B76"/>
    <w:rsid w:val="009E5528"/>
    <w:rsid w:val="009E69D4"/>
    <w:rsid w:val="009E7E60"/>
    <w:rsid w:val="009F17A4"/>
    <w:rsid w:val="009F1E4D"/>
    <w:rsid w:val="009F29A7"/>
    <w:rsid w:val="009F7DD9"/>
    <w:rsid w:val="009F7F90"/>
    <w:rsid w:val="00A00020"/>
    <w:rsid w:val="00A011C3"/>
    <w:rsid w:val="00A13F28"/>
    <w:rsid w:val="00A148DC"/>
    <w:rsid w:val="00A14A36"/>
    <w:rsid w:val="00A21C1C"/>
    <w:rsid w:val="00A3348F"/>
    <w:rsid w:val="00A33B49"/>
    <w:rsid w:val="00A40886"/>
    <w:rsid w:val="00A415AB"/>
    <w:rsid w:val="00A422FD"/>
    <w:rsid w:val="00A43554"/>
    <w:rsid w:val="00A43B5A"/>
    <w:rsid w:val="00A43C40"/>
    <w:rsid w:val="00A441B2"/>
    <w:rsid w:val="00A44855"/>
    <w:rsid w:val="00A4788B"/>
    <w:rsid w:val="00A538AA"/>
    <w:rsid w:val="00A54613"/>
    <w:rsid w:val="00A61035"/>
    <w:rsid w:val="00A65FD3"/>
    <w:rsid w:val="00A665EB"/>
    <w:rsid w:val="00A66D3D"/>
    <w:rsid w:val="00A67EB3"/>
    <w:rsid w:val="00A67F38"/>
    <w:rsid w:val="00A71CF1"/>
    <w:rsid w:val="00A737DA"/>
    <w:rsid w:val="00A74C3B"/>
    <w:rsid w:val="00A74F93"/>
    <w:rsid w:val="00A76412"/>
    <w:rsid w:val="00A81D21"/>
    <w:rsid w:val="00A82BEB"/>
    <w:rsid w:val="00A87438"/>
    <w:rsid w:val="00A9184E"/>
    <w:rsid w:val="00A91ACD"/>
    <w:rsid w:val="00A91CE9"/>
    <w:rsid w:val="00A94AC0"/>
    <w:rsid w:val="00A95A49"/>
    <w:rsid w:val="00A95FE9"/>
    <w:rsid w:val="00A96002"/>
    <w:rsid w:val="00AA2972"/>
    <w:rsid w:val="00AA34D9"/>
    <w:rsid w:val="00AA3FB8"/>
    <w:rsid w:val="00AA51EA"/>
    <w:rsid w:val="00AA5739"/>
    <w:rsid w:val="00AA6656"/>
    <w:rsid w:val="00AB0B7D"/>
    <w:rsid w:val="00AC0008"/>
    <w:rsid w:val="00AC1DDA"/>
    <w:rsid w:val="00AC1FA0"/>
    <w:rsid w:val="00AC38F4"/>
    <w:rsid w:val="00AC5393"/>
    <w:rsid w:val="00AD213F"/>
    <w:rsid w:val="00AD387F"/>
    <w:rsid w:val="00AD55AB"/>
    <w:rsid w:val="00AD59E7"/>
    <w:rsid w:val="00AD6B56"/>
    <w:rsid w:val="00AD7731"/>
    <w:rsid w:val="00AD7E45"/>
    <w:rsid w:val="00AE043A"/>
    <w:rsid w:val="00AE24FA"/>
    <w:rsid w:val="00AE372A"/>
    <w:rsid w:val="00AE5D4B"/>
    <w:rsid w:val="00AE65AB"/>
    <w:rsid w:val="00AF3F3E"/>
    <w:rsid w:val="00AF45FE"/>
    <w:rsid w:val="00AF5039"/>
    <w:rsid w:val="00AF5867"/>
    <w:rsid w:val="00AF5C72"/>
    <w:rsid w:val="00AF5F30"/>
    <w:rsid w:val="00AF7461"/>
    <w:rsid w:val="00AF78B1"/>
    <w:rsid w:val="00B010CD"/>
    <w:rsid w:val="00B01B63"/>
    <w:rsid w:val="00B048FF"/>
    <w:rsid w:val="00B04D12"/>
    <w:rsid w:val="00B05021"/>
    <w:rsid w:val="00B0654C"/>
    <w:rsid w:val="00B10A1D"/>
    <w:rsid w:val="00B10A98"/>
    <w:rsid w:val="00B10E50"/>
    <w:rsid w:val="00B1259A"/>
    <w:rsid w:val="00B12DE0"/>
    <w:rsid w:val="00B13AFF"/>
    <w:rsid w:val="00B14318"/>
    <w:rsid w:val="00B14DC5"/>
    <w:rsid w:val="00B166CD"/>
    <w:rsid w:val="00B213B7"/>
    <w:rsid w:val="00B23846"/>
    <w:rsid w:val="00B23CE7"/>
    <w:rsid w:val="00B32840"/>
    <w:rsid w:val="00B32A0C"/>
    <w:rsid w:val="00B3502E"/>
    <w:rsid w:val="00B35B4E"/>
    <w:rsid w:val="00B35F47"/>
    <w:rsid w:val="00B370D2"/>
    <w:rsid w:val="00B41AE1"/>
    <w:rsid w:val="00B41F6D"/>
    <w:rsid w:val="00B43E59"/>
    <w:rsid w:val="00B446D3"/>
    <w:rsid w:val="00B45DDA"/>
    <w:rsid w:val="00B509B0"/>
    <w:rsid w:val="00B57418"/>
    <w:rsid w:val="00B619AA"/>
    <w:rsid w:val="00B66164"/>
    <w:rsid w:val="00B67865"/>
    <w:rsid w:val="00B72549"/>
    <w:rsid w:val="00B7286C"/>
    <w:rsid w:val="00B72E8A"/>
    <w:rsid w:val="00B73C51"/>
    <w:rsid w:val="00B77C62"/>
    <w:rsid w:val="00B80201"/>
    <w:rsid w:val="00B8341E"/>
    <w:rsid w:val="00B84F6F"/>
    <w:rsid w:val="00B85C7F"/>
    <w:rsid w:val="00B87C5F"/>
    <w:rsid w:val="00B90C58"/>
    <w:rsid w:val="00B92525"/>
    <w:rsid w:val="00B93810"/>
    <w:rsid w:val="00B942CC"/>
    <w:rsid w:val="00BA171D"/>
    <w:rsid w:val="00BA5E71"/>
    <w:rsid w:val="00BA66D1"/>
    <w:rsid w:val="00BA7DA5"/>
    <w:rsid w:val="00BB02F7"/>
    <w:rsid w:val="00BB0F90"/>
    <w:rsid w:val="00BB4A33"/>
    <w:rsid w:val="00BB5F1E"/>
    <w:rsid w:val="00BC10C4"/>
    <w:rsid w:val="00BC746B"/>
    <w:rsid w:val="00BC7B3A"/>
    <w:rsid w:val="00BD1DDF"/>
    <w:rsid w:val="00BD2CB5"/>
    <w:rsid w:val="00BD3396"/>
    <w:rsid w:val="00BD7BE9"/>
    <w:rsid w:val="00BE07B2"/>
    <w:rsid w:val="00BE07CD"/>
    <w:rsid w:val="00BE0936"/>
    <w:rsid w:val="00BE3115"/>
    <w:rsid w:val="00BE461A"/>
    <w:rsid w:val="00BE570D"/>
    <w:rsid w:val="00BE5F62"/>
    <w:rsid w:val="00BF6FCF"/>
    <w:rsid w:val="00BF744F"/>
    <w:rsid w:val="00C00736"/>
    <w:rsid w:val="00C06BDE"/>
    <w:rsid w:val="00C11F06"/>
    <w:rsid w:val="00C139F2"/>
    <w:rsid w:val="00C1441A"/>
    <w:rsid w:val="00C14FFC"/>
    <w:rsid w:val="00C164FD"/>
    <w:rsid w:val="00C16B5C"/>
    <w:rsid w:val="00C16FC7"/>
    <w:rsid w:val="00C20F4A"/>
    <w:rsid w:val="00C210A2"/>
    <w:rsid w:val="00C21BF2"/>
    <w:rsid w:val="00C2515D"/>
    <w:rsid w:val="00C27CFB"/>
    <w:rsid w:val="00C35775"/>
    <w:rsid w:val="00C36A6A"/>
    <w:rsid w:val="00C37E59"/>
    <w:rsid w:val="00C41BFF"/>
    <w:rsid w:val="00C42526"/>
    <w:rsid w:val="00C430F3"/>
    <w:rsid w:val="00C43AE5"/>
    <w:rsid w:val="00C45467"/>
    <w:rsid w:val="00C6106C"/>
    <w:rsid w:val="00C61E61"/>
    <w:rsid w:val="00C66861"/>
    <w:rsid w:val="00C7242B"/>
    <w:rsid w:val="00C73444"/>
    <w:rsid w:val="00C76104"/>
    <w:rsid w:val="00C7772E"/>
    <w:rsid w:val="00C80EDE"/>
    <w:rsid w:val="00C81700"/>
    <w:rsid w:val="00C91433"/>
    <w:rsid w:val="00C9477D"/>
    <w:rsid w:val="00C94DCC"/>
    <w:rsid w:val="00C95401"/>
    <w:rsid w:val="00C9687D"/>
    <w:rsid w:val="00C97449"/>
    <w:rsid w:val="00C976C6"/>
    <w:rsid w:val="00C97D37"/>
    <w:rsid w:val="00CA3EC8"/>
    <w:rsid w:val="00CA49A0"/>
    <w:rsid w:val="00CA55AF"/>
    <w:rsid w:val="00CA756A"/>
    <w:rsid w:val="00CB3C3F"/>
    <w:rsid w:val="00CB3EF7"/>
    <w:rsid w:val="00CB54CE"/>
    <w:rsid w:val="00CC3BBB"/>
    <w:rsid w:val="00CC3DDA"/>
    <w:rsid w:val="00CC4C09"/>
    <w:rsid w:val="00CC4CF6"/>
    <w:rsid w:val="00CC4D8C"/>
    <w:rsid w:val="00CC6632"/>
    <w:rsid w:val="00CD5EAF"/>
    <w:rsid w:val="00CE14CB"/>
    <w:rsid w:val="00CE16B7"/>
    <w:rsid w:val="00CE18AC"/>
    <w:rsid w:val="00CE1D21"/>
    <w:rsid w:val="00CE7877"/>
    <w:rsid w:val="00CF0D17"/>
    <w:rsid w:val="00CF187E"/>
    <w:rsid w:val="00CF3551"/>
    <w:rsid w:val="00CF65DF"/>
    <w:rsid w:val="00D011AE"/>
    <w:rsid w:val="00D0571C"/>
    <w:rsid w:val="00D05923"/>
    <w:rsid w:val="00D06995"/>
    <w:rsid w:val="00D12EAC"/>
    <w:rsid w:val="00D13F8E"/>
    <w:rsid w:val="00D15F87"/>
    <w:rsid w:val="00D17011"/>
    <w:rsid w:val="00D17469"/>
    <w:rsid w:val="00D20B7A"/>
    <w:rsid w:val="00D2199C"/>
    <w:rsid w:val="00D21FF6"/>
    <w:rsid w:val="00D2296B"/>
    <w:rsid w:val="00D258DD"/>
    <w:rsid w:val="00D3393D"/>
    <w:rsid w:val="00D361A6"/>
    <w:rsid w:val="00D420D6"/>
    <w:rsid w:val="00D422FD"/>
    <w:rsid w:val="00D42C1F"/>
    <w:rsid w:val="00D45096"/>
    <w:rsid w:val="00D45BAE"/>
    <w:rsid w:val="00D45C77"/>
    <w:rsid w:val="00D47CF2"/>
    <w:rsid w:val="00D54407"/>
    <w:rsid w:val="00D57FF0"/>
    <w:rsid w:val="00D60AE1"/>
    <w:rsid w:val="00D6156E"/>
    <w:rsid w:val="00D61FD4"/>
    <w:rsid w:val="00D623E1"/>
    <w:rsid w:val="00D649FF"/>
    <w:rsid w:val="00D64FB3"/>
    <w:rsid w:val="00D71D9A"/>
    <w:rsid w:val="00D72648"/>
    <w:rsid w:val="00D7395C"/>
    <w:rsid w:val="00D74B8C"/>
    <w:rsid w:val="00D77D59"/>
    <w:rsid w:val="00D82EDD"/>
    <w:rsid w:val="00D84F0A"/>
    <w:rsid w:val="00D86657"/>
    <w:rsid w:val="00D87B0E"/>
    <w:rsid w:val="00D87EBD"/>
    <w:rsid w:val="00D9151F"/>
    <w:rsid w:val="00D91FE0"/>
    <w:rsid w:val="00D924E8"/>
    <w:rsid w:val="00D955F4"/>
    <w:rsid w:val="00DA21D3"/>
    <w:rsid w:val="00DA21DC"/>
    <w:rsid w:val="00DA4229"/>
    <w:rsid w:val="00DA5D50"/>
    <w:rsid w:val="00DA74F4"/>
    <w:rsid w:val="00DB1591"/>
    <w:rsid w:val="00DB2A2F"/>
    <w:rsid w:val="00DB3D5D"/>
    <w:rsid w:val="00DB4B99"/>
    <w:rsid w:val="00DB73E3"/>
    <w:rsid w:val="00DC0490"/>
    <w:rsid w:val="00DC0D47"/>
    <w:rsid w:val="00DC19A2"/>
    <w:rsid w:val="00DC1F8D"/>
    <w:rsid w:val="00DC24BA"/>
    <w:rsid w:val="00DC3770"/>
    <w:rsid w:val="00DC42DE"/>
    <w:rsid w:val="00DC6402"/>
    <w:rsid w:val="00DD336D"/>
    <w:rsid w:val="00DD5E8A"/>
    <w:rsid w:val="00DD66DB"/>
    <w:rsid w:val="00DE27C8"/>
    <w:rsid w:val="00DE3501"/>
    <w:rsid w:val="00DE45D3"/>
    <w:rsid w:val="00DE51BD"/>
    <w:rsid w:val="00DE5FF8"/>
    <w:rsid w:val="00DE79F3"/>
    <w:rsid w:val="00DF00B4"/>
    <w:rsid w:val="00DF1D6A"/>
    <w:rsid w:val="00DF3564"/>
    <w:rsid w:val="00DF5941"/>
    <w:rsid w:val="00DF6238"/>
    <w:rsid w:val="00DF6827"/>
    <w:rsid w:val="00DF6B96"/>
    <w:rsid w:val="00E00341"/>
    <w:rsid w:val="00E0111E"/>
    <w:rsid w:val="00E047D4"/>
    <w:rsid w:val="00E055BC"/>
    <w:rsid w:val="00E0570F"/>
    <w:rsid w:val="00E070E4"/>
    <w:rsid w:val="00E10642"/>
    <w:rsid w:val="00E10E2B"/>
    <w:rsid w:val="00E1396A"/>
    <w:rsid w:val="00E15666"/>
    <w:rsid w:val="00E15955"/>
    <w:rsid w:val="00E178F2"/>
    <w:rsid w:val="00E179A5"/>
    <w:rsid w:val="00E200AD"/>
    <w:rsid w:val="00E22979"/>
    <w:rsid w:val="00E22C75"/>
    <w:rsid w:val="00E24269"/>
    <w:rsid w:val="00E24EAD"/>
    <w:rsid w:val="00E32133"/>
    <w:rsid w:val="00E32E33"/>
    <w:rsid w:val="00E33563"/>
    <w:rsid w:val="00E33991"/>
    <w:rsid w:val="00E346C6"/>
    <w:rsid w:val="00E37247"/>
    <w:rsid w:val="00E400E6"/>
    <w:rsid w:val="00E41A0D"/>
    <w:rsid w:val="00E42315"/>
    <w:rsid w:val="00E44350"/>
    <w:rsid w:val="00E45612"/>
    <w:rsid w:val="00E45E84"/>
    <w:rsid w:val="00E47A85"/>
    <w:rsid w:val="00E53B14"/>
    <w:rsid w:val="00E55AAB"/>
    <w:rsid w:val="00E567C2"/>
    <w:rsid w:val="00E56F78"/>
    <w:rsid w:val="00E57AC0"/>
    <w:rsid w:val="00E60D95"/>
    <w:rsid w:val="00E61A27"/>
    <w:rsid w:val="00E62E21"/>
    <w:rsid w:val="00E63B96"/>
    <w:rsid w:val="00E67697"/>
    <w:rsid w:val="00E7047F"/>
    <w:rsid w:val="00E70F9A"/>
    <w:rsid w:val="00E73066"/>
    <w:rsid w:val="00E737AA"/>
    <w:rsid w:val="00E7549B"/>
    <w:rsid w:val="00E7704D"/>
    <w:rsid w:val="00E80FE8"/>
    <w:rsid w:val="00E82AD8"/>
    <w:rsid w:val="00E90DFE"/>
    <w:rsid w:val="00E91639"/>
    <w:rsid w:val="00E94583"/>
    <w:rsid w:val="00E954BC"/>
    <w:rsid w:val="00E9779A"/>
    <w:rsid w:val="00EA09D3"/>
    <w:rsid w:val="00EA0FE5"/>
    <w:rsid w:val="00EA289E"/>
    <w:rsid w:val="00EA5524"/>
    <w:rsid w:val="00EA63BF"/>
    <w:rsid w:val="00EB15FB"/>
    <w:rsid w:val="00EB2B58"/>
    <w:rsid w:val="00EB45E0"/>
    <w:rsid w:val="00EB59CD"/>
    <w:rsid w:val="00EB6A45"/>
    <w:rsid w:val="00EB6C2B"/>
    <w:rsid w:val="00EB731A"/>
    <w:rsid w:val="00EB76DD"/>
    <w:rsid w:val="00EC041D"/>
    <w:rsid w:val="00EC0ABB"/>
    <w:rsid w:val="00EC28B8"/>
    <w:rsid w:val="00EC3AB1"/>
    <w:rsid w:val="00EC4E32"/>
    <w:rsid w:val="00ED0110"/>
    <w:rsid w:val="00ED2111"/>
    <w:rsid w:val="00ED393A"/>
    <w:rsid w:val="00ED5098"/>
    <w:rsid w:val="00ED7BD1"/>
    <w:rsid w:val="00EE12EB"/>
    <w:rsid w:val="00EE1E16"/>
    <w:rsid w:val="00EE3262"/>
    <w:rsid w:val="00EE477A"/>
    <w:rsid w:val="00EE4CD5"/>
    <w:rsid w:val="00EE509C"/>
    <w:rsid w:val="00EE5B83"/>
    <w:rsid w:val="00EE734E"/>
    <w:rsid w:val="00EE7C4E"/>
    <w:rsid w:val="00EF1A9F"/>
    <w:rsid w:val="00EF2207"/>
    <w:rsid w:val="00F033D0"/>
    <w:rsid w:val="00F0457B"/>
    <w:rsid w:val="00F15A20"/>
    <w:rsid w:val="00F17989"/>
    <w:rsid w:val="00F2046D"/>
    <w:rsid w:val="00F20E7A"/>
    <w:rsid w:val="00F21EC9"/>
    <w:rsid w:val="00F24FD0"/>
    <w:rsid w:val="00F2525D"/>
    <w:rsid w:val="00F3000B"/>
    <w:rsid w:val="00F30BE9"/>
    <w:rsid w:val="00F312B2"/>
    <w:rsid w:val="00F33007"/>
    <w:rsid w:val="00F378DA"/>
    <w:rsid w:val="00F41351"/>
    <w:rsid w:val="00F500D5"/>
    <w:rsid w:val="00F50288"/>
    <w:rsid w:val="00F53007"/>
    <w:rsid w:val="00F53B76"/>
    <w:rsid w:val="00F5433A"/>
    <w:rsid w:val="00F5460F"/>
    <w:rsid w:val="00F563E7"/>
    <w:rsid w:val="00F56E56"/>
    <w:rsid w:val="00F63296"/>
    <w:rsid w:val="00F66A3E"/>
    <w:rsid w:val="00F672E8"/>
    <w:rsid w:val="00F67D61"/>
    <w:rsid w:val="00F701C0"/>
    <w:rsid w:val="00F71162"/>
    <w:rsid w:val="00F8076F"/>
    <w:rsid w:val="00F80C6C"/>
    <w:rsid w:val="00F84E6C"/>
    <w:rsid w:val="00F9178E"/>
    <w:rsid w:val="00F941C6"/>
    <w:rsid w:val="00F96E24"/>
    <w:rsid w:val="00FA2D56"/>
    <w:rsid w:val="00FA3B22"/>
    <w:rsid w:val="00FA5015"/>
    <w:rsid w:val="00FA5F41"/>
    <w:rsid w:val="00FB0EA2"/>
    <w:rsid w:val="00FB1498"/>
    <w:rsid w:val="00FB37E4"/>
    <w:rsid w:val="00FB437E"/>
    <w:rsid w:val="00FB4460"/>
    <w:rsid w:val="00FB4802"/>
    <w:rsid w:val="00FC09B8"/>
    <w:rsid w:val="00FC24F4"/>
    <w:rsid w:val="00FC430C"/>
    <w:rsid w:val="00FC78C3"/>
    <w:rsid w:val="00FC7D70"/>
    <w:rsid w:val="00FD066A"/>
    <w:rsid w:val="00FD7DE7"/>
    <w:rsid w:val="00FE28E3"/>
    <w:rsid w:val="00FE33E3"/>
    <w:rsid w:val="00FE3F62"/>
    <w:rsid w:val="00FE4C85"/>
    <w:rsid w:val="00FE671F"/>
    <w:rsid w:val="00FF51C6"/>
    <w:rsid w:val="00FF59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F5B26"/>
  <w15:docId w15:val="{35952247-AE83-4AA3-9C44-C022B601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paragraph" w:styleId="Revision">
    <w:name w:val="Revision"/>
    <w:hidden/>
    <w:uiPriority w:val="99"/>
    <w:semiHidden/>
    <w:rsid w:val="00732C9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209102885">
      <w:bodyDiv w:val="1"/>
      <w:marLeft w:val="0"/>
      <w:marRight w:val="0"/>
      <w:marTop w:val="0"/>
      <w:marBottom w:val="0"/>
      <w:divBdr>
        <w:top w:val="none" w:sz="0" w:space="0" w:color="auto"/>
        <w:left w:val="none" w:sz="0" w:space="0" w:color="auto"/>
        <w:bottom w:val="none" w:sz="0" w:space="0" w:color="auto"/>
        <w:right w:val="none" w:sz="0" w:space="0" w:color="auto"/>
      </w:divBdr>
      <w:divsChild>
        <w:div w:id="40599399">
          <w:marLeft w:val="0"/>
          <w:marRight w:val="0"/>
          <w:marTop w:val="0"/>
          <w:marBottom w:val="0"/>
          <w:divBdr>
            <w:top w:val="none" w:sz="0" w:space="0" w:color="auto"/>
            <w:left w:val="none" w:sz="0" w:space="0" w:color="auto"/>
            <w:bottom w:val="none" w:sz="0" w:space="0" w:color="auto"/>
            <w:right w:val="none" w:sz="0" w:space="0" w:color="auto"/>
          </w:divBdr>
          <w:divsChild>
            <w:div w:id="1757507408">
              <w:marLeft w:val="0"/>
              <w:marRight w:val="0"/>
              <w:marTop w:val="0"/>
              <w:marBottom w:val="0"/>
              <w:divBdr>
                <w:top w:val="none" w:sz="0" w:space="0" w:color="auto"/>
                <w:left w:val="none" w:sz="0" w:space="0" w:color="auto"/>
                <w:bottom w:val="none" w:sz="0" w:space="0" w:color="auto"/>
                <w:right w:val="none" w:sz="0" w:space="0" w:color="auto"/>
              </w:divBdr>
              <w:divsChild>
                <w:div w:id="1672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7639">
      <w:bodyDiv w:val="1"/>
      <w:marLeft w:val="0"/>
      <w:marRight w:val="0"/>
      <w:marTop w:val="0"/>
      <w:marBottom w:val="0"/>
      <w:divBdr>
        <w:top w:val="none" w:sz="0" w:space="0" w:color="auto"/>
        <w:left w:val="none" w:sz="0" w:space="0" w:color="auto"/>
        <w:bottom w:val="none" w:sz="0" w:space="0" w:color="auto"/>
        <w:right w:val="none" w:sz="0" w:space="0" w:color="auto"/>
      </w:divBdr>
      <w:divsChild>
        <w:div w:id="2077699561">
          <w:marLeft w:val="0"/>
          <w:marRight w:val="0"/>
          <w:marTop w:val="0"/>
          <w:marBottom w:val="0"/>
          <w:divBdr>
            <w:top w:val="none" w:sz="0" w:space="0" w:color="auto"/>
            <w:left w:val="none" w:sz="0" w:space="0" w:color="auto"/>
            <w:bottom w:val="none" w:sz="0" w:space="0" w:color="auto"/>
            <w:right w:val="none" w:sz="0" w:space="0" w:color="auto"/>
          </w:divBdr>
          <w:divsChild>
            <w:div w:id="1124545086">
              <w:marLeft w:val="0"/>
              <w:marRight w:val="0"/>
              <w:marTop w:val="0"/>
              <w:marBottom w:val="0"/>
              <w:divBdr>
                <w:top w:val="none" w:sz="0" w:space="0" w:color="auto"/>
                <w:left w:val="none" w:sz="0" w:space="0" w:color="auto"/>
                <w:bottom w:val="none" w:sz="0" w:space="0" w:color="auto"/>
                <w:right w:val="none" w:sz="0" w:space="0" w:color="auto"/>
              </w:divBdr>
              <w:divsChild>
                <w:div w:id="14513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H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A19F-EDE3-4F33-B77C-95F5B1BB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HOA</Template>
  <TotalTime>2</TotalTime>
  <Pages>23</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Mokone</cp:lastModifiedBy>
  <cp:revision>4</cp:revision>
  <dcterms:created xsi:type="dcterms:W3CDTF">2022-10-17T09:25:00Z</dcterms:created>
  <dcterms:modified xsi:type="dcterms:W3CDTF">2022-10-17T09:28:00Z</dcterms:modified>
</cp:coreProperties>
</file>