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A0503" w14:textId="04D9C81F" w:rsidR="0056683F" w:rsidRDefault="00FD52E9" w:rsidP="006C43D7">
      <w:pPr>
        <w:spacing w:after="120" w:line="360" w:lineRule="auto"/>
        <w:jc w:val="center"/>
        <w:rPr>
          <w:rFonts w:cs="Arial"/>
          <w:b/>
          <w:bCs/>
          <w:noProof/>
          <w:lang w:val="en-US"/>
        </w:rPr>
      </w:pPr>
      <w:r>
        <w:rPr>
          <w:color w:val="1D1C1D"/>
          <w:sz w:val="23"/>
          <w:szCs w:val="23"/>
          <w:shd w:val="clear" w:color="auto" w:fill="F8F8F8"/>
        </w:rPr>
        <w:t>Editorial note: Certain information has been redacted from this judgment in compliance with the law.</w:t>
      </w:r>
    </w:p>
    <w:p w14:paraId="6D981421" w14:textId="77777777" w:rsidR="006C43D7" w:rsidRPr="006C43D7" w:rsidRDefault="006C43D7" w:rsidP="006C43D7">
      <w:pPr>
        <w:spacing w:after="120" w:line="360" w:lineRule="auto"/>
        <w:jc w:val="center"/>
        <w:rPr>
          <w:rFonts w:cs="Arial"/>
          <w:b/>
          <w:bCs/>
        </w:rPr>
      </w:pPr>
      <w:r w:rsidRPr="006C43D7">
        <w:rPr>
          <w:rFonts w:cs="Arial"/>
          <w:b/>
          <w:bCs/>
          <w:noProof/>
          <w:lang w:val="en-US"/>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6C43D7" w:rsidRDefault="006C43D7" w:rsidP="006C43D7">
      <w:pPr>
        <w:jc w:val="center"/>
        <w:rPr>
          <w:b/>
        </w:rPr>
      </w:pPr>
      <w:r w:rsidRPr="006C43D7">
        <w:rPr>
          <w:b/>
        </w:rPr>
        <w:t xml:space="preserve">IN THE HIGH COURT OF SOUTH AFRICA, </w:t>
      </w:r>
    </w:p>
    <w:p w14:paraId="566C4D1B" w14:textId="77777777" w:rsidR="006C43D7" w:rsidRPr="006C43D7" w:rsidRDefault="006C43D7" w:rsidP="006C43D7">
      <w:pPr>
        <w:jc w:val="center"/>
        <w:rPr>
          <w:b/>
        </w:rPr>
      </w:pPr>
      <w:r w:rsidRPr="006C43D7">
        <w:rPr>
          <w:b/>
        </w:rPr>
        <w:t>GAUTENG DIVISION, JOHANNESBURG</w:t>
      </w:r>
    </w:p>
    <w:p w14:paraId="13D6E83E" w14:textId="77777777" w:rsidR="006C43D7" w:rsidRPr="006C43D7" w:rsidRDefault="006C43D7" w:rsidP="006C43D7">
      <w:pPr>
        <w:jc w:val="both"/>
        <w:rPr>
          <w:b/>
        </w:rPr>
      </w:pPr>
    </w:p>
    <w:p w14:paraId="3698476C" w14:textId="38F2996F" w:rsidR="006C43D7" w:rsidRPr="006C43D7" w:rsidRDefault="006C43D7" w:rsidP="006C43D7">
      <w:pPr>
        <w:spacing w:line="360" w:lineRule="auto"/>
        <w:jc w:val="right"/>
        <w:rPr>
          <w:b/>
        </w:rPr>
      </w:pPr>
      <w:r w:rsidRPr="006C43D7">
        <w:rPr>
          <w:b/>
        </w:rPr>
        <w:t xml:space="preserve">CASE NO: </w:t>
      </w:r>
      <w:r w:rsidR="00C460A0">
        <w:rPr>
          <w:b/>
        </w:rPr>
        <w:t>2019/34367</w:t>
      </w:r>
    </w:p>
    <w:p w14:paraId="0AF8DD38" w14:textId="77777777" w:rsidR="006C43D7" w:rsidRPr="006C43D7" w:rsidRDefault="006C43D7" w:rsidP="006C43D7">
      <w:pPr>
        <w:spacing w:line="360" w:lineRule="auto"/>
        <w:jc w:val="right"/>
      </w:pPr>
      <w:r w:rsidRPr="006C43D7">
        <w:rPr>
          <w:noProof/>
          <w:lang w:val="en-US"/>
        </w:rPr>
        <mc:AlternateContent>
          <mc:Choice Requires="wps">
            <w:drawing>
              <wp:anchor distT="0" distB="0" distL="114300" distR="114300" simplePos="0" relativeHeight="251659264" behindDoc="0" locked="0" layoutInCell="1" allowOverlap="1" wp14:anchorId="2E430887" wp14:editId="55507A88">
                <wp:simplePos x="0" y="0"/>
                <wp:positionH relativeFrom="margin">
                  <wp:align>left</wp:align>
                </wp:positionH>
                <wp:positionV relativeFrom="paragraph">
                  <wp:posOffset>49304</wp:posOffset>
                </wp:positionV>
                <wp:extent cx="3314700" cy="1592825"/>
                <wp:effectExtent l="0" t="0" r="1905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825"/>
                        </a:xfrm>
                        <a:prstGeom prst="rect">
                          <a:avLst/>
                        </a:prstGeom>
                        <a:solidFill>
                          <a:srgbClr val="FFFFFF"/>
                        </a:solidFill>
                        <a:ln w="9525">
                          <a:solidFill>
                            <a:srgbClr val="000000"/>
                          </a:solidFill>
                          <a:miter lim="800000"/>
                          <a:headEnd/>
                          <a:tailEnd/>
                        </a:ln>
                      </wps:spPr>
                      <wps:txbx>
                        <w:txbxContent>
                          <w:p w14:paraId="0EA4B470" w14:textId="77777777" w:rsidR="00657EDA" w:rsidRPr="00913F95" w:rsidRDefault="00657EDA" w:rsidP="006C43D7">
                            <w:pPr>
                              <w:jc w:val="center"/>
                              <w:rPr>
                                <w:rFonts w:ascii="Century Gothic" w:hAnsi="Century Gothic"/>
                                <w:b/>
                                <w:sz w:val="20"/>
                                <w:szCs w:val="20"/>
                              </w:rPr>
                            </w:pPr>
                          </w:p>
                          <w:p w14:paraId="01FDAE28" w14:textId="57EC45E9" w:rsidR="00657EDA" w:rsidRDefault="00C25669" w:rsidP="00C25669">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57EDA" w:rsidRPr="001D3CC2">
                              <w:rPr>
                                <w:rFonts w:ascii="Century Gothic" w:hAnsi="Century Gothic"/>
                                <w:sz w:val="20"/>
                                <w:szCs w:val="20"/>
                              </w:rPr>
                              <w:t xml:space="preserve">REPORTABLE: </w:t>
                            </w:r>
                            <w:r w:rsidR="00C460A0">
                              <w:rPr>
                                <w:rFonts w:ascii="Century Gothic" w:hAnsi="Century Gothic"/>
                                <w:sz w:val="20"/>
                                <w:szCs w:val="20"/>
                              </w:rPr>
                              <w:t>NO</w:t>
                            </w:r>
                          </w:p>
                          <w:p w14:paraId="3A4C7296" w14:textId="0776140F" w:rsidR="00657EDA" w:rsidRPr="001D3CC2" w:rsidRDefault="00C25669" w:rsidP="00C25669">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657EDA" w:rsidRPr="001D3CC2">
                              <w:rPr>
                                <w:rFonts w:ascii="Century Gothic" w:hAnsi="Century Gothic"/>
                                <w:sz w:val="20"/>
                                <w:szCs w:val="20"/>
                              </w:rPr>
                              <w:t>OF INTEREST TO OTHER JUDGES</w:t>
                            </w:r>
                            <w:r w:rsidR="00657EDA">
                              <w:rPr>
                                <w:rFonts w:ascii="Century Gothic" w:hAnsi="Century Gothic"/>
                                <w:sz w:val="20"/>
                                <w:szCs w:val="20"/>
                              </w:rPr>
                              <w:t xml:space="preserve">: </w:t>
                            </w:r>
                            <w:r w:rsidR="00C460A0">
                              <w:rPr>
                                <w:rFonts w:ascii="Century Gothic" w:hAnsi="Century Gothic"/>
                                <w:sz w:val="20"/>
                                <w:szCs w:val="20"/>
                              </w:rPr>
                              <w:t>NO</w:t>
                            </w:r>
                          </w:p>
                          <w:p w14:paraId="21D4A71B" w14:textId="5B58BFC8" w:rsidR="00657EDA" w:rsidRPr="00913F95" w:rsidRDefault="00657EDA" w:rsidP="001D3CC2">
                            <w:pPr>
                              <w:ind w:left="180"/>
                              <w:rPr>
                                <w:rFonts w:ascii="Century Gothic" w:hAnsi="Century Gothic"/>
                                <w:sz w:val="20"/>
                                <w:szCs w:val="20"/>
                              </w:rPr>
                            </w:pPr>
                          </w:p>
                          <w:p w14:paraId="761B7CA4" w14:textId="77777777" w:rsidR="00657EDA" w:rsidRDefault="00657EDA" w:rsidP="006C43D7">
                            <w:pPr>
                              <w:rPr>
                                <w:rFonts w:ascii="Century Gothic" w:hAnsi="Century Gothic"/>
                                <w:b/>
                                <w:sz w:val="18"/>
                                <w:szCs w:val="18"/>
                              </w:rPr>
                            </w:pPr>
                          </w:p>
                          <w:p w14:paraId="0EC4BA5C" w14:textId="61945B0D" w:rsidR="00657EDA" w:rsidRPr="001D3CC2" w:rsidRDefault="00657EDA"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657EDA" w:rsidRPr="00084341" w:rsidRDefault="00657EDA"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30887" id="_x0000_t202" coordsize="21600,21600" o:spt="202" path="m,l,21600r21600,l21600,xe">
                <v:stroke joinstyle="miter"/>
                <v:path gradientshapeok="t" o:connecttype="rect"/>
              </v:shapetype>
              <v:shape id="Text Box 4"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">
                <v:textbox>
                  <w:txbxContent>
                    <w:p w14:paraId="0EA4B470" w14:textId="77777777" w:rsidR="00657EDA" w:rsidRPr="00913F95" w:rsidRDefault="00657EDA" w:rsidP="006C43D7">
                      <w:pPr>
                        <w:jc w:val="center"/>
                        <w:rPr>
                          <w:rFonts w:ascii="Century Gothic" w:hAnsi="Century Gothic"/>
                          <w:b/>
                          <w:sz w:val="20"/>
                          <w:szCs w:val="20"/>
                        </w:rPr>
                      </w:pPr>
                    </w:p>
                    <w:p w14:paraId="01FDAE28" w14:textId="57EC45E9" w:rsidR="00657EDA" w:rsidRDefault="00C25669" w:rsidP="00C25669">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57EDA" w:rsidRPr="001D3CC2">
                        <w:rPr>
                          <w:rFonts w:ascii="Century Gothic" w:hAnsi="Century Gothic"/>
                          <w:sz w:val="20"/>
                          <w:szCs w:val="20"/>
                        </w:rPr>
                        <w:t xml:space="preserve">REPORTABLE: </w:t>
                      </w:r>
                      <w:r w:rsidR="00C460A0">
                        <w:rPr>
                          <w:rFonts w:ascii="Century Gothic" w:hAnsi="Century Gothic"/>
                          <w:sz w:val="20"/>
                          <w:szCs w:val="20"/>
                        </w:rPr>
                        <w:t>NO</w:t>
                      </w:r>
                    </w:p>
                    <w:p w14:paraId="3A4C7296" w14:textId="0776140F" w:rsidR="00657EDA" w:rsidRPr="001D3CC2" w:rsidRDefault="00C25669" w:rsidP="00C25669">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657EDA" w:rsidRPr="001D3CC2">
                        <w:rPr>
                          <w:rFonts w:ascii="Century Gothic" w:hAnsi="Century Gothic"/>
                          <w:sz w:val="20"/>
                          <w:szCs w:val="20"/>
                        </w:rPr>
                        <w:t>OF INTEREST TO OTHER JUDGES</w:t>
                      </w:r>
                      <w:r w:rsidR="00657EDA">
                        <w:rPr>
                          <w:rFonts w:ascii="Century Gothic" w:hAnsi="Century Gothic"/>
                          <w:sz w:val="20"/>
                          <w:szCs w:val="20"/>
                        </w:rPr>
                        <w:t xml:space="preserve">: </w:t>
                      </w:r>
                      <w:r w:rsidR="00C460A0">
                        <w:rPr>
                          <w:rFonts w:ascii="Century Gothic" w:hAnsi="Century Gothic"/>
                          <w:sz w:val="20"/>
                          <w:szCs w:val="20"/>
                        </w:rPr>
                        <w:t>NO</w:t>
                      </w:r>
                    </w:p>
                    <w:p w14:paraId="21D4A71B" w14:textId="5B58BFC8" w:rsidR="00657EDA" w:rsidRPr="00913F95" w:rsidRDefault="00657EDA" w:rsidP="001D3CC2">
                      <w:pPr>
                        <w:ind w:left="180"/>
                        <w:rPr>
                          <w:rFonts w:ascii="Century Gothic" w:hAnsi="Century Gothic"/>
                          <w:sz w:val="20"/>
                          <w:szCs w:val="20"/>
                        </w:rPr>
                      </w:pPr>
                    </w:p>
                    <w:p w14:paraId="761B7CA4" w14:textId="77777777" w:rsidR="00657EDA" w:rsidRDefault="00657EDA" w:rsidP="006C43D7">
                      <w:pPr>
                        <w:rPr>
                          <w:rFonts w:ascii="Century Gothic" w:hAnsi="Century Gothic"/>
                          <w:b/>
                          <w:sz w:val="18"/>
                          <w:szCs w:val="18"/>
                        </w:rPr>
                      </w:pPr>
                    </w:p>
                    <w:p w14:paraId="0EC4BA5C" w14:textId="61945B0D" w:rsidR="00657EDA" w:rsidRPr="001D3CC2" w:rsidRDefault="00657EDA"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657EDA" w:rsidRPr="00084341" w:rsidRDefault="00657EDA"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6C43D7" w:rsidRDefault="006C43D7" w:rsidP="006C43D7">
      <w:pPr>
        <w:spacing w:line="360" w:lineRule="auto"/>
        <w:jc w:val="both"/>
      </w:pPr>
    </w:p>
    <w:p w14:paraId="4E808D74" w14:textId="77777777" w:rsidR="006C43D7" w:rsidRPr="006C43D7" w:rsidRDefault="006C43D7" w:rsidP="006C43D7">
      <w:pPr>
        <w:spacing w:line="360" w:lineRule="auto"/>
        <w:jc w:val="both"/>
      </w:pPr>
    </w:p>
    <w:p w14:paraId="34BF70B6" w14:textId="77777777" w:rsidR="006C43D7" w:rsidRPr="006C43D7" w:rsidRDefault="006C43D7" w:rsidP="006C43D7">
      <w:pPr>
        <w:spacing w:line="360" w:lineRule="auto"/>
        <w:jc w:val="both"/>
      </w:pPr>
    </w:p>
    <w:p w14:paraId="2F53BA3A" w14:textId="77777777" w:rsidR="006C43D7" w:rsidRPr="006C43D7" w:rsidRDefault="006C43D7" w:rsidP="006C43D7">
      <w:pPr>
        <w:spacing w:line="480" w:lineRule="auto"/>
        <w:jc w:val="both"/>
      </w:pPr>
    </w:p>
    <w:p w14:paraId="3A1C212E" w14:textId="77777777" w:rsidR="006C43D7" w:rsidRPr="006C43D7" w:rsidRDefault="006C43D7" w:rsidP="006C43D7">
      <w:pPr>
        <w:spacing w:line="480" w:lineRule="auto"/>
        <w:jc w:val="both"/>
      </w:pPr>
    </w:p>
    <w:p w14:paraId="04919B1B" w14:textId="77777777" w:rsidR="001D3CC2" w:rsidRDefault="001D3CC2" w:rsidP="006C43D7">
      <w:pPr>
        <w:spacing w:line="480" w:lineRule="auto"/>
        <w:jc w:val="both"/>
        <w:rPr>
          <w:rFonts w:cs="Arial"/>
          <w:szCs w:val="22"/>
        </w:rPr>
      </w:pPr>
    </w:p>
    <w:p w14:paraId="65EE98C6" w14:textId="77777777" w:rsidR="00AA7A76" w:rsidRPr="006C43D7" w:rsidRDefault="00AA7A76" w:rsidP="00AA7A76">
      <w:pPr>
        <w:spacing w:line="480" w:lineRule="auto"/>
        <w:jc w:val="both"/>
        <w:rPr>
          <w:rFonts w:cs="Arial"/>
          <w:szCs w:val="22"/>
        </w:rPr>
      </w:pPr>
      <w:r w:rsidRPr="006C43D7">
        <w:rPr>
          <w:rFonts w:cs="Arial"/>
          <w:szCs w:val="22"/>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070"/>
      </w:tblGrid>
      <w:tr w:rsidR="002104BF" w14:paraId="4E86F7E7" w14:textId="77777777" w:rsidTr="002104BF">
        <w:tc>
          <w:tcPr>
            <w:tcW w:w="6232" w:type="dxa"/>
          </w:tcPr>
          <w:p w14:paraId="74EE3EDE" w14:textId="0502EA79" w:rsidR="002104BF" w:rsidRDefault="00C25669" w:rsidP="00AA7A76">
            <w:pPr>
              <w:spacing w:line="480" w:lineRule="auto"/>
              <w:jc w:val="both"/>
              <w:rPr>
                <w:rFonts w:cs="Arial"/>
                <w:szCs w:val="22"/>
              </w:rPr>
            </w:pPr>
            <w:r>
              <w:rPr>
                <w:b/>
                <w:szCs w:val="22"/>
              </w:rPr>
              <w:t>C</w:t>
            </w:r>
            <w:r w:rsidR="002104BF">
              <w:rPr>
                <w:b/>
                <w:szCs w:val="22"/>
              </w:rPr>
              <w:t xml:space="preserve"> </w:t>
            </w:r>
            <w:r>
              <w:rPr>
                <w:b/>
                <w:szCs w:val="22"/>
              </w:rPr>
              <w:t>L E</w:t>
            </w:r>
          </w:p>
        </w:tc>
        <w:tc>
          <w:tcPr>
            <w:tcW w:w="2070" w:type="dxa"/>
          </w:tcPr>
          <w:p w14:paraId="72EECEF8" w14:textId="11B75D3A" w:rsidR="002104BF" w:rsidRDefault="002104BF" w:rsidP="00AA7A76">
            <w:pPr>
              <w:spacing w:line="480" w:lineRule="auto"/>
              <w:jc w:val="both"/>
              <w:rPr>
                <w:rFonts w:cs="Arial"/>
                <w:szCs w:val="22"/>
              </w:rPr>
            </w:pPr>
            <w:r>
              <w:rPr>
                <w:rFonts w:cs="Arial"/>
                <w:szCs w:val="22"/>
              </w:rPr>
              <w:t>Applicant</w:t>
            </w:r>
          </w:p>
        </w:tc>
      </w:tr>
      <w:tr w:rsidR="002104BF" w14:paraId="64E42908" w14:textId="77777777" w:rsidTr="002104BF">
        <w:tc>
          <w:tcPr>
            <w:tcW w:w="6232" w:type="dxa"/>
          </w:tcPr>
          <w:p w14:paraId="6E1E5BEB" w14:textId="24690245" w:rsidR="002104BF" w:rsidRDefault="002104BF" w:rsidP="00AA7A76">
            <w:pPr>
              <w:spacing w:line="480" w:lineRule="auto"/>
              <w:jc w:val="both"/>
              <w:rPr>
                <w:b/>
                <w:szCs w:val="22"/>
              </w:rPr>
            </w:pPr>
            <w:r>
              <w:rPr>
                <w:b/>
                <w:szCs w:val="22"/>
              </w:rPr>
              <w:t>and</w:t>
            </w:r>
          </w:p>
        </w:tc>
        <w:tc>
          <w:tcPr>
            <w:tcW w:w="2070" w:type="dxa"/>
          </w:tcPr>
          <w:p w14:paraId="1DB932F2" w14:textId="77777777" w:rsidR="002104BF" w:rsidRDefault="002104BF" w:rsidP="00AA7A76">
            <w:pPr>
              <w:spacing w:line="480" w:lineRule="auto"/>
              <w:jc w:val="both"/>
              <w:rPr>
                <w:rFonts w:cs="Arial"/>
                <w:szCs w:val="22"/>
              </w:rPr>
            </w:pPr>
          </w:p>
        </w:tc>
      </w:tr>
      <w:tr w:rsidR="002104BF" w14:paraId="3BCAF70A" w14:textId="77777777" w:rsidTr="002104BF">
        <w:tc>
          <w:tcPr>
            <w:tcW w:w="6232" w:type="dxa"/>
          </w:tcPr>
          <w:p w14:paraId="0E8BF73D" w14:textId="2C4A30CA" w:rsidR="002104BF" w:rsidRDefault="00C25669" w:rsidP="00AA7A76">
            <w:pPr>
              <w:spacing w:line="480" w:lineRule="auto"/>
              <w:jc w:val="both"/>
              <w:rPr>
                <w:b/>
                <w:szCs w:val="22"/>
              </w:rPr>
            </w:pPr>
            <w:r>
              <w:rPr>
                <w:b/>
                <w:szCs w:val="22"/>
              </w:rPr>
              <w:t>C L J</w:t>
            </w:r>
            <w:bookmarkStart w:id="0" w:name="_GoBack"/>
            <w:bookmarkEnd w:id="0"/>
          </w:p>
        </w:tc>
        <w:tc>
          <w:tcPr>
            <w:tcW w:w="2070" w:type="dxa"/>
          </w:tcPr>
          <w:p w14:paraId="2A989CFA" w14:textId="13068AEF" w:rsidR="002104BF" w:rsidRDefault="002104BF" w:rsidP="00AA7A76">
            <w:pPr>
              <w:spacing w:line="480" w:lineRule="auto"/>
              <w:jc w:val="both"/>
              <w:rPr>
                <w:rFonts w:cs="Arial"/>
                <w:szCs w:val="22"/>
              </w:rPr>
            </w:pPr>
            <w:r>
              <w:rPr>
                <w:rFonts w:cs="Arial"/>
                <w:szCs w:val="22"/>
              </w:rPr>
              <w:t>Respondent</w:t>
            </w:r>
          </w:p>
        </w:tc>
      </w:tr>
    </w:tbl>
    <w:p w14:paraId="387BBDD6" w14:textId="77777777" w:rsidR="00BF086D" w:rsidRPr="006C43D7" w:rsidRDefault="00BF086D" w:rsidP="006C43D7">
      <w:pPr>
        <w:pBdr>
          <w:bottom w:val="single" w:sz="4" w:space="1" w:color="auto"/>
        </w:pBdr>
        <w:spacing w:line="360" w:lineRule="auto"/>
        <w:jc w:val="both"/>
        <w:rPr>
          <w:rFonts w:cs="Arial"/>
          <w:szCs w:val="22"/>
        </w:rPr>
      </w:pPr>
    </w:p>
    <w:p w14:paraId="58DE5549" w14:textId="77777777" w:rsidR="006C43D7" w:rsidRPr="006C43D7" w:rsidRDefault="006C43D7" w:rsidP="006C43D7">
      <w:pPr>
        <w:spacing w:line="276" w:lineRule="auto"/>
        <w:jc w:val="both"/>
        <w:rPr>
          <w:rFonts w:cs="Arial"/>
          <w:szCs w:val="22"/>
        </w:rPr>
      </w:pPr>
    </w:p>
    <w:p w14:paraId="647AB70C" w14:textId="77777777" w:rsidR="006C43D7" w:rsidRPr="006C43D7" w:rsidRDefault="006C43D7" w:rsidP="006C43D7">
      <w:pPr>
        <w:keepNext/>
        <w:spacing w:line="276" w:lineRule="auto"/>
        <w:jc w:val="center"/>
        <w:outlineLvl w:val="1"/>
        <w:rPr>
          <w:rFonts w:cs="Arial"/>
          <w:b/>
          <w:bCs/>
          <w:szCs w:val="22"/>
        </w:rPr>
      </w:pPr>
      <w:r w:rsidRPr="006C43D7">
        <w:rPr>
          <w:rFonts w:cs="Arial"/>
          <w:b/>
          <w:bCs/>
          <w:szCs w:val="22"/>
        </w:rPr>
        <w:t>JUDGMENT</w:t>
      </w:r>
    </w:p>
    <w:p w14:paraId="52CD25EB" w14:textId="77777777" w:rsidR="006C43D7" w:rsidRPr="006C43D7" w:rsidRDefault="006C43D7" w:rsidP="006C43D7">
      <w:pPr>
        <w:pBdr>
          <w:bottom w:val="single" w:sz="4" w:space="1" w:color="auto"/>
        </w:pBdr>
        <w:jc w:val="both"/>
        <w:rPr>
          <w:rFonts w:cs="Arial"/>
          <w:szCs w:val="22"/>
        </w:rPr>
      </w:pPr>
    </w:p>
    <w:p w14:paraId="5BD82EFE" w14:textId="0F8FBF70" w:rsidR="00BE6AB8" w:rsidRPr="00BE6AB8" w:rsidRDefault="00C676F3" w:rsidP="00BE6AB8">
      <w:pPr>
        <w:spacing w:after="480" w:line="480" w:lineRule="auto"/>
        <w:jc w:val="both"/>
        <w:rPr>
          <w:rFonts w:cs="Arial"/>
          <w:b/>
          <w:szCs w:val="22"/>
        </w:rPr>
      </w:pPr>
      <w:r>
        <w:rPr>
          <w:rFonts w:cs="Arial"/>
          <w:b/>
          <w:szCs w:val="22"/>
        </w:rPr>
        <w:t>MOORCROFT</w:t>
      </w:r>
      <w:r w:rsidR="006C43D7" w:rsidRPr="006C43D7">
        <w:rPr>
          <w:rFonts w:cs="Arial"/>
          <w:b/>
          <w:szCs w:val="22"/>
        </w:rPr>
        <w:t xml:space="preserve"> AJ:</w:t>
      </w:r>
    </w:p>
    <w:p w14:paraId="09239A78" w14:textId="202EF25D" w:rsidR="00C460A0" w:rsidRPr="006A438B" w:rsidRDefault="00C460A0" w:rsidP="00653BA4">
      <w:pPr>
        <w:keepNext/>
        <w:spacing w:after="480" w:line="480" w:lineRule="auto"/>
        <w:jc w:val="both"/>
        <w:rPr>
          <w:rFonts w:cs="Arial"/>
          <w:bCs/>
          <w:i/>
          <w:iCs/>
          <w:sz w:val="20"/>
          <w:szCs w:val="20"/>
          <w:u w:val="single"/>
        </w:rPr>
      </w:pPr>
      <w:r w:rsidRPr="006A438B">
        <w:rPr>
          <w:rFonts w:cs="Arial"/>
          <w:bCs/>
          <w:i/>
          <w:iCs/>
          <w:sz w:val="20"/>
          <w:szCs w:val="20"/>
          <w:u w:val="single"/>
        </w:rPr>
        <w:t>Summary</w:t>
      </w:r>
    </w:p>
    <w:p w14:paraId="441492A8" w14:textId="1270BC5B" w:rsidR="00C9310B" w:rsidRPr="006A438B" w:rsidRDefault="00C9310B" w:rsidP="00653BA4">
      <w:pPr>
        <w:keepNext/>
        <w:spacing w:after="480" w:line="480" w:lineRule="auto"/>
        <w:jc w:val="both"/>
        <w:rPr>
          <w:rFonts w:cs="Arial"/>
          <w:bCs/>
          <w:i/>
          <w:iCs/>
          <w:sz w:val="20"/>
          <w:szCs w:val="20"/>
        </w:rPr>
      </w:pPr>
      <w:r w:rsidRPr="006A438B">
        <w:rPr>
          <w:rFonts w:cs="Arial"/>
          <w:bCs/>
          <w:i/>
          <w:iCs/>
          <w:sz w:val="20"/>
          <w:szCs w:val="20"/>
        </w:rPr>
        <w:t xml:space="preserve">Contempt of court – standard of proof – beyond reasonable doubt – three requirements namely (1) the existence of a court order, (2) that was served on or made known to the respondent, </w:t>
      </w:r>
      <w:r w:rsidRPr="006A438B">
        <w:rPr>
          <w:rFonts w:cs="Arial"/>
          <w:bCs/>
          <w:i/>
          <w:iCs/>
          <w:sz w:val="20"/>
          <w:szCs w:val="20"/>
        </w:rPr>
        <w:lastRenderedPageBreak/>
        <w:t xml:space="preserve">and (3) and that was then ignored or disobeyed by the respondent - </w:t>
      </w:r>
      <w:r w:rsidRPr="006A438B">
        <w:rPr>
          <w:rFonts w:cs="Arial"/>
          <w:i/>
          <w:iCs/>
          <w:color w:val="000000" w:themeColor="text1"/>
          <w:sz w:val="20"/>
          <w:szCs w:val="20"/>
        </w:rPr>
        <w:t>in the absence of evidence raising a reasonable doubt as to whether the respondent acted wilfully and mala fide, all the requisites of the offence will have been established</w:t>
      </w:r>
      <w:r w:rsidR="006A438B">
        <w:rPr>
          <w:rFonts w:cs="Arial"/>
          <w:i/>
          <w:iCs/>
          <w:color w:val="000000" w:themeColor="text1"/>
          <w:sz w:val="20"/>
          <w:szCs w:val="20"/>
        </w:rPr>
        <w:t>.</w:t>
      </w:r>
    </w:p>
    <w:p w14:paraId="18AFD427" w14:textId="35E99A54" w:rsidR="00BE6AB8" w:rsidRPr="00BE6AB8" w:rsidRDefault="00BE6AB8" w:rsidP="00653BA4">
      <w:pPr>
        <w:keepNext/>
        <w:spacing w:after="480" w:line="480" w:lineRule="auto"/>
        <w:jc w:val="both"/>
        <w:rPr>
          <w:rFonts w:cs="Arial"/>
          <w:bCs/>
          <w:szCs w:val="22"/>
          <w:u w:val="single"/>
        </w:rPr>
      </w:pPr>
      <w:r>
        <w:rPr>
          <w:rFonts w:cs="Arial"/>
          <w:bCs/>
          <w:szCs w:val="22"/>
          <w:u w:val="single"/>
        </w:rPr>
        <w:t>Order</w:t>
      </w:r>
    </w:p>
    <w:p w14:paraId="00B584BA" w14:textId="08ED0218" w:rsidR="00313056" w:rsidRDefault="00C25669" w:rsidP="00C25669">
      <w:pPr>
        <w:tabs>
          <w:tab w:val="left" w:pos="567"/>
        </w:tabs>
        <w:spacing w:after="480" w:line="480" w:lineRule="auto"/>
        <w:jc w:val="both"/>
        <w:rPr>
          <w:rFonts w:cs="Arial"/>
          <w:bCs/>
          <w:szCs w:val="22"/>
        </w:rPr>
      </w:pPr>
      <w:r>
        <w:rPr>
          <w:rFonts w:cs="Arial"/>
          <w:bCs/>
          <w:szCs w:val="22"/>
        </w:rPr>
        <w:t>[1]</w:t>
      </w:r>
      <w:r>
        <w:rPr>
          <w:rFonts w:cs="Arial"/>
          <w:bCs/>
          <w:szCs w:val="22"/>
        </w:rPr>
        <w:tab/>
      </w:r>
      <w:r w:rsidR="003B4100">
        <w:rPr>
          <w:rFonts w:cs="Arial"/>
          <w:bCs/>
          <w:szCs w:val="22"/>
        </w:rPr>
        <w:t xml:space="preserve">In this </w:t>
      </w:r>
      <w:r w:rsidR="00B56906">
        <w:rPr>
          <w:rFonts w:cs="Arial"/>
          <w:bCs/>
          <w:szCs w:val="22"/>
        </w:rPr>
        <w:t xml:space="preserve">matter </w:t>
      </w:r>
      <w:r w:rsidR="00C460A0">
        <w:rPr>
          <w:rFonts w:cs="Arial"/>
          <w:bCs/>
          <w:szCs w:val="22"/>
        </w:rPr>
        <w:t>I make the following order:</w:t>
      </w:r>
    </w:p>
    <w:p w14:paraId="7200642A" w14:textId="2CB077B4" w:rsidR="00772025" w:rsidRPr="00C25669" w:rsidRDefault="00C25669" w:rsidP="00C25669">
      <w:pPr>
        <w:spacing w:after="240"/>
        <w:ind w:left="924" w:hanging="564"/>
        <w:jc w:val="both"/>
        <w:rPr>
          <w:rFonts w:cs="Arial"/>
          <w:bCs/>
          <w:i/>
          <w:sz w:val="20"/>
          <w:szCs w:val="22"/>
        </w:rPr>
      </w:pPr>
      <w:r w:rsidRPr="00772025">
        <w:rPr>
          <w:rFonts w:cs="Arial"/>
          <w:bCs/>
          <w:i/>
          <w:sz w:val="20"/>
          <w:szCs w:val="22"/>
        </w:rPr>
        <w:t>1.</w:t>
      </w:r>
      <w:r w:rsidRPr="00772025">
        <w:rPr>
          <w:rFonts w:cs="Arial"/>
          <w:bCs/>
          <w:i/>
          <w:sz w:val="20"/>
          <w:szCs w:val="22"/>
        </w:rPr>
        <w:tab/>
      </w:r>
      <w:r w:rsidR="00772025" w:rsidRPr="00C25669">
        <w:rPr>
          <w:rFonts w:cs="Arial"/>
          <w:bCs/>
          <w:i/>
          <w:sz w:val="20"/>
          <w:szCs w:val="22"/>
        </w:rPr>
        <w:t xml:space="preserve">The late filing of the </w:t>
      </w:r>
      <w:r w:rsidR="00700C6C" w:rsidRPr="00C25669">
        <w:rPr>
          <w:rFonts w:cs="Arial"/>
          <w:bCs/>
          <w:i/>
          <w:sz w:val="20"/>
          <w:szCs w:val="22"/>
        </w:rPr>
        <w:t xml:space="preserve">respondent’s </w:t>
      </w:r>
      <w:r w:rsidR="00772025" w:rsidRPr="00C25669">
        <w:rPr>
          <w:rFonts w:cs="Arial"/>
          <w:bCs/>
          <w:i/>
          <w:sz w:val="20"/>
          <w:szCs w:val="22"/>
        </w:rPr>
        <w:t>answering affidavit is condoned;</w:t>
      </w:r>
    </w:p>
    <w:p w14:paraId="26717DBA" w14:textId="32CEF9A5" w:rsidR="00772025" w:rsidRPr="00C25669" w:rsidRDefault="00C25669" w:rsidP="00C25669">
      <w:pPr>
        <w:spacing w:after="240"/>
        <w:ind w:left="924" w:hanging="564"/>
        <w:jc w:val="both"/>
        <w:rPr>
          <w:rFonts w:cs="Arial"/>
          <w:bCs/>
          <w:i/>
          <w:sz w:val="20"/>
          <w:szCs w:val="22"/>
        </w:rPr>
      </w:pPr>
      <w:r>
        <w:rPr>
          <w:rFonts w:cs="Arial"/>
          <w:bCs/>
          <w:i/>
          <w:sz w:val="20"/>
          <w:szCs w:val="22"/>
        </w:rPr>
        <w:t>2.</w:t>
      </w:r>
      <w:r>
        <w:rPr>
          <w:rFonts w:cs="Arial"/>
          <w:bCs/>
          <w:i/>
          <w:sz w:val="20"/>
          <w:szCs w:val="22"/>
        </w:rPr>
        <w:tab/>
      </w:r>
      <w:r w:rsidR="00C9310B" w:rsidRPr="00C25669">
        <w:rPr>
          <w:rFonts w:cs="Arial"/>
          <w:bCs/>
          <w:i/>
          <w:sz w:val="20"/>
          <w:szCs w:val="22"/>
        </w:rPr>
        <w:t xml:space="preserve">The applicant is ordered to pay the costs of the </w:t>
      </w:r>
      <w:r w:rsidR="00772025" w:rsidRPr="00C25669">
        <w:rPr>
          <w:rFonts w:cs="Arial"/>
          <w:bCs/>
          <w:i/>
          <w:sz w:val="20"/>
          <w:szCs w:val="22"/>
        </w:rPr>
        <w:t>respondent’s application for condonation;</w:t>
      </w:r>
    </w:p>
    <w:p w14:paraId="6DB5910A" w14:textId="5E2CF681" w:rsidR="00772025" w:rsidRPr="00C25669" w:rsidRDefault="00C25669" w:rsidP="00C25669">
      <w:pPr>
        <w:spacing w:after="240"/>
        <w:ind w:left="924" w:hanging="564"/>
        <w:jc w:val="both"/>
        <w:rPr>
          <w:rFonts w:cs="Arial"/>
          <w:bCs/>
          <w:i/>
          <w:sz w:val="20"/>
          <w:szCs w:val="22"/>
        </w:rPr>
      </w:pPr>
      <w:r>
        <w:rPr>
          <w:rFonts w:cs="Arial"/>
          <w:bCs/>
          <w:i/>
          <w:sz w:val="20"/>
          <w:szCs w:val="22"/>
        </w:rPr>
        <w:t>3.</w:t>
      </w:r>
      <w:r>
        <w:rPr>
          <w:rFonts w:cs="Arial"/>
          <w:bCs/>
          <w:i/>
          <w:sz w:val="20"/>
          <w:szCs w:val="22"/>
        </w:rPr>
        <w:tab/>
      </w:r>
      <w:r w:rsidR="00751452" w:rsidRPr="00C25669">
        <w:rPr>
          <w:rFonts w:cs="Arial"/>
          <w:bCs/>
          <w:i/>
          <w:sz w:val="20"/>
          <w:szCs w:val="22"/>
        </w:rPr>
        <w:t>The respondent is found in contempt of court for failing to comply with the order of the Gauteng Division, Johannesburg under case number 34367 of 2019</w:t>
      </w:r>
      <w:r w:rsidR="009A2726" w:rsidRPr="00C25669">
        <w:rPr>
          <w:rFonts w:cs="Arial"/>
          <w:bCs/>
          <w:i/>
          <w:sz w:val="20"/>
          <w:szCs w:val="22"/>
        </w:rPr>
        <w:t xml:space="preserve"> granted on 28 November 2019</w:t>
      </w:r>
      <w:r w:rsidR="00772025" w:rsidRPr="00C25669">
        <w:rPr>
          <w:rFonts w:cs="Arial"/>
          <w:bCs/>
          <w:i/>
          <w:sz w:val="20"/>
          <w:szCs w:val="22"/>
        </w:rPr>
        <w:t>;</w:t>
      </w:r>
    </w:p>
    <w:p w14:paraId="2D2F4DDD" w14:textId="540DA2BF" w:rsidR="00DE1F21" w:rsidRPr="00C25669" w:rsidRDefault="00C25669" w:rsidP="00C25669">
      <w:pPr>
        <w:spacing w:after="240"/>
        <w:ind w:left="924" w:hanging="564"/>
        <w:jc w:val="both"/>
        <w:rPr>
          <w:rFonts w:cs="Arial"/>
          <w:bCs/>
          <w:i/>
          <w:sz w:val="20"/>
          <w:szCs w:val="22"/>
        </w:rPr>
      </w:pPr>
      <w:r>
        <w:rPr>
          <w:rFonts w:cs="Arial"/>
          <w:bCs/>
          <w:i/>
          <w:sz w:val="20"/>
          <w:szCs w:val="22"/>
        </w:rPr>
        <w:t>4.</w:t>
      </w:r>
      <w:r>
        <w:rPr>
          <w:rFonts w:cs="Arial"/>
          <w:bCs/>
          <w:i/>
          <w:sz w:val="20"/>
          <w:szCs w:val="22"/>
        </w:rPr>
        <w:tab/>
      </w:r>
      <w:r w:rsidR="009A2726" w:rsidRPr="00C25669">
        <w:rPr>
          <w:rFonts w:cs="Arial"/>
          <w:bCs/>
          <w:i/>
          <w:sz w:val="20"/>
          <w:szCs w:val="22"/>
        </w:rPr>
        <w:t xml:space="preserve">The respondent is committed for to imprisonment for contempt of court for a period of thirty days, which committal is suspended on condition that </w:t>
      </w:r>
      <w:r w:rsidR="00700C6C" w:rsidRPr="00C25669">
        <w:rPr>
          <w:rFonts w:cs="Arial"/>
          <w:bCs/>
          <w:i/>
          <w:sz w:val="20"/>
          <w:szCs w:val="22"/>
        </w:rPr>
        <w:t>-</w:t>
      </w:r>
    </w:p>
    <w:p w14:paraId="508E4668" w14:textId="04B826AD" w:rsidR="00DE1F21" w:rsidRPr="00C25669" w:rsidRDefault="00C25669" w:rsidP="00C25669">
      <w:pPr>
        <w:spacing w:after="240"/>
        <w:ind w:left="1440" w:hanging="360"/>
        <w:jc w:val="both"/>
        <w:rPr>
          <w:rFonts w:cs="Arial"/>
          <w:bCs/>
          <w:i/>
          <w:sz w:val="20"/>
          <w:szCs w:val="20"/>
        </w:rPr>
      </w:pPr>
      <w:r w:rsidRPr="00047F26">
        <w:rPr>
          <w:rFonts w:cs="Arial"/>
          <w:bCs/>
          <w:i/>
          <w:sz w:val="20"/>
          <w:szCs w:val="20"/>
        </w:rPr>
        <w:t>a.</w:t>
      </w:r>
      <w:r w:rsidRPr="00047F26">
        <w:rPr>
          <w:rFonts w:cs="Arial"/>
          <w:bCs/>
          <w:i/>
          <w:sz w:val="20"/>
          <w:szCs w:val="20"/>
        </w:rPr>
        <w:tab/>
      </w:r>
      <w:r w:rsidR="00DE1F21" w:rsidRPr="00C25669">
        <w:rPr>
          <w:rFonts w:cs="Arial"/>
          <w:bCs/>
          <w:i/>
          <w:sz w:val="20"/>
          <w:szCs w:val="22"/>
        </w:rPr>
        <w:t xml:space="preserve">the respondent complies with paragraph 5 of the order of 28 November 2019 </w:t>
      </w:r>
      <w:r w:rsidR="00925CD2" w:rsidRPr="00C25669">
        <w:rPr>
          <w:rFonts w:cs="Arial"/>
          <w:bCs/>
          <w:i/>
          <w:sz w:val="20"/>
          <w:szCs w:val="22"/>
        </w:rPr>
        <w:t xml:space="preserve">and </w:t>
      </w:r>
      <w:r w:rsidR="00DE1F21" w:rsidRPr="00C25669">
        <w:rPr>
          <w:rFonts w:cs="Arial"/>
          <w:bCs/>
          <w:i/>
          <w:sz w:val="20"/>
          <w:szCs w:val="22"/>
        </w:rPr>
        <w:t xml:space="preserve">makes payment of the arrears </w:t>
      </w:r>
      <w:r w:rsidR="00925CD2" w:rsidRPr="00C25669">
        <w:rPr>
          <w:rFonts w:cs="Arial"/>
          <w:bCs/>
          <w:i/>
          <w:sz w:val="20"/>
          <w:szCs w:val="22"/>
        </w:rPr>
        <w:t xml:space="preserve">maintenance that amounted </w:t>
      </w:r>
      <w:r w:rsidR="00925CD2" w:rsidRPr="00C25669">
        <w:rPr>
          <w:rFonts w:cs="Arial"/>
          <w:bCs/>
          <w:i/>
          <w:sz w:val="20"/>
          <w:szCs w:val="20"/>
        </w:rPr>
        <w:t xml:space="preserve">to R1 301 930 as at 1 March 2022, in monthly </w:t>
      </w:r>
      <w:r w:rsidR="00700C6C" w:rsidRPr="00C25669">
        <w:rPr>
          <w:rFonts w:cs="Arial"/>
          <w:bCs/>
          <w:i/>
          <w:sz w:val="20"/>
          <w:szCs w:val="20"/>
        </w:rPr>
        <w:t>instalments</w:t>
      </w:r>
      <w:r w:rsidR="00925CD2" w:rsidRPr="00C25669">
        <w:rPr>
          <w:rFonts w:cs="Arial"/>
          <w:bCs/>
          <w:i/>
          <w:sz w:val="20"/>
          <w:szCs w:val="20"/>
        </w:rPr>
        <w:t xml:space="preserve"> of R</w:t>
      </w:r>
      <w:r w:rsidR="00047F26" w:rsidRPr="00C25669">
        <w:rPr>
          <w:rFonts w:cs="Arial"/>
          <w:bCs/>
          <w:i/>
          <w:sz w:val="20"/>
          <w:szCs w:val="20"/>
        </w:rPr>
        <w:t>3</w:t>
      </w:r>
      <w:r w:rsidR="00925CD2" w:rsidRPr="00C25669">
        <w:rPr>
          <w:rFonts w:cs="Arial"/>
          <w:bCs/>
          <w:i/>
          <w:sz w:val="20"/>
          <w:szCs w:val="20"/>
        </w:rPr>
        <w:t xml:space="preserve">0 000 </w:t>
      </w:r>
      <w:r w:rsidR="004C2585" w:rsidRPr="00C25669">
        <w:rPr>
          <w:rFonts w:cs="Arial"/>
          <w:bCs/>
          <w:i/>
          <w:sz w:val="20"/>
          <w:szCs w:val="20"/>
        </w:rPr>
        <w:t xml:space="preserve">commencing on 1 January 2023 </w:t>
      </w:r>
      <w:r w:rsidR="00925CD2" w:rsidRPr="00C25669">
        <w:rPr>
          <w:rFonts w:cs="Arial"/>
          <w:bCs/>
          <w:i/>
          <w:sz w:val="20"/>
          <w:szCs w:val="20"/>
        </w:rPr>
        <w:t>until the full outstanding amount payable in terms of the order of 28 November 2019</w:t>
      </w:r>
      <w:r w:rsidR="00700C6C" w:rsidRPr="00C25669">
        <w:rPr>
          <w:rFonts w:cs="Arial"/>
          <w:bCs/>
          <w:i/>
          <w:sz w:val="20"/>
          <w:szCs w:val="20"/>
        </w:rPr>
        <w:t>, together with mora interest at the prescribed rate of 9% per annum calculated from the date of this order to date of payment,</w:t>
      </w:r>
      <w:r w:rsidR="00925CD2" w:rsidRPr="00C25669">
        <w:rPr>
          <w:rFonts w:cs="Arial"/>
          <w:bCs/>
          <w:i/>
          <w:sz w:val="20"/>
          <w:szCs w:val="20"/>
        </w:rPr>
        <w:t xml:space="preserve"> has been paid</w:t>
      </w:r>
      <w:r w:rsidR="00342E02" w:rsidRPr="00C25669">
        <w:rPr>
          <w:rFonts w:cs="Arial"/>
          <w:bCs/>
          <w:i/>
          <w:sz w:val="20"/>
          <w:szCs w:val="20"/>
        </w:rPr>
        <w:t xml:space="preserve"> </w:t>
      </w:r>
      <w:r w:rsidR="00925CD2" w:rsidRPr="00C25669">
        <w:rPr>
          <w:rFonts w:cs="Arial"/>
          <w:bCs/>
          <w:i/>
          <w:sz w:val="20"/>
          <w:szCs w:val="20"/>
        </w:rPr>
        <w:t>and provided that in the event that the order of 28 November 2019 is varied retrospectively by order of court then the amount payable in terms of this order shall be adjusted accordingly;</w:t>
      </w:r>
    </w:p>
    <w:p w14:paraId="4459077D" w14:textId="27796B38" w:rsidR="00772025" w:rsidRPr="00C25669" w:rsidRDefault="00C25669" w:rsidP="00C25669">
      <w:pPr>
        <w:spacing w:after="240"/>
        <w:ind w:left="1440" w:hanging="360"/>
        <w:jc w:val="both"/>
        <w:rPr>
          <w:rFonts w:cs="Arial"/>
          <w:bCs/>
          <w:i/>
          <w:sz w:val="20"/>
          <w:szCs w:val="20"/>
        </w:rPr>
      </w:pPr>
      <w:r w:rsidRPr="00047F26">
        <w:rPr>
          <w:rFonts w:cs="Arial"/>
          <w:bCs/>
          <w:i/>
          <w:sz w:val="20"/>
          <w:szCs w:val="20"/>
        </w:rPr>
        <w:t>b.</w:t>
      </w:r>
      <w:r w:rsidRPr="00047F26">
        <w:rPr>
          <w:rFonts w:cs="Arial"/>
          <w:bCs/>
          <w:i/>
          <w:sz w:val="20"/>
          <w:szCs w:val="20"/>
        </w:rPr>
        <w:tab/>
      </w:r>
      <w:r w:rsidR="009A2726" w:rsidRPr="00C25669">
        <w:rPr>
          <w:rFonts w:cs="Arial"/>
          <w:bCs/>
          <w:i/>
          <w:sz w:val="20"/>
          <w:szCs w:val="20"/>
        </w:rPr>
        <w:t>the respondent complies with paragraph 8 of the order of 28 November 2019 by making a contribution towards the legal costs of the applicant in the amount of R150 000.00</w:t>
      </w:r>
      <w:r w:rsidR="004C2585" w:rsidRPr="00C25669">
        <w:rPr>
          <w:rFonts w:cs="Arial"/>
          <w:bCs/>
          <w:i/>
          <w:sz w:val="20"/>
          <w:szCs w:val="20"/>
        </w:rPr>
        <w:t>, together with mora interest at the prescribed rate of 9% per annum calculated from the date of this order to date of payment,</w:t>
      </w:r>
      <w:r w:rsidR="009A2726" w:rsidRPr="00C25669">
        <w:rPr>
          <w:rFonts w:cs="Arial"/>
          <w:bCs/>
          <w:i/>
          <w:sz w:val="20"/>
          <w:szCs w:val="20"/>
        </w:rPr>
        <w:t xml:space="preserve"> </w:t>
      </w:r>
      <w:r w:rsidR="00700C6C" w:rsidRPr="00C25669">
        <w:rPr>
          <w:rFonts w:cs="Arial"/>
          <w:bCs/>
          <w:i/>
          <w:sz w:val="20"/>
          <w:szCs w:val="20"/>
        </w:rPr>
        <w:t>before or on 1 November 2022</w:t>
      </w:r>
      <w:r w:rsidR="009A2726" w:rsidRPr="00C25669">
        <w:rPr>
          <w:rFonts w:cs="Arial"/>
          <w:bCs/>
          <w:i/>
          <w:sz w:val="20"/>
          <w:szCs w:val="20"/>
        </w:rPr>
        <w:t>;</w:t>
      </w:r>
    </w:p>
    <w:p w14:paraId="345C57BA" w14:textId="0F552550" w:rsidR="00047F26" w:rsidRPr="00C25669" w:rsidRDefault="00C25669" w:rsidP="00C25669">
      <w:pPr>
        <w:spacing w:after="240"/>
        <w:ind w:left="924" w:hanging="564"/>
        <w:jc w:val="both"/>
        <w:rPr>
          <w:rFonts w:cs="Arial"/>
          <w:bCs/>
          <w:i/>
          <w:sz w:val="20"/>
          <w:szCs w:val="20"/>
        </w:rPr>
      </w:pPr>
      <w:r w:rsidRPr="00047F26">
        <w:rPr>
          <w:rFonts w:cs="Arial"/>
          <w:bCs/>
          <w:i/>
          <w:sz w:val="20"/>
          <w:szCs w:val="20"/>
        </w:rPr>
        <w:t>5.</w:t>
      </w:r>
      <w:r w:rsidRPr="00047F26">
        <w:rPr>
          <w:rFonts w:cs="Arial"/>
          <w:bCs/>
          <w:i/>
          <w:sz w:val="20"/>
          <w:szCs w:val="20"/>
        </w:rPr>
        <w:tab/>
      </w:r>
      <w:r w:rsidR="00047F26" w:rsidRPr="00C25669">
        <w:rPr>
          <w:i/>
          <w:sz w:val="20"/>
          <w:szCs w:val="20"/>
        </w:rPr>
        <w:t>Nothing in this order shall detract from the continued operation and efficacy of the court order granted on 28 November 2019 and any amounts payable by the respondent in terms of such order</w:t>
      </w:r>
      <w:r w:rsidR="004C2585" w:rsidRPr="00C25669">
        <w:rPr>
          <w:i/>
          <w:sz w:val="20"/>
          <w:szCs w:val="20"/>
        </w:rPr>
        <w:t xml:space="preserve">, including any amounts payable as from </w:t>
      </w:r>
      <w:r w:rsidR="00B1103D" w:rsidRPr="00C25669">
        <w:rPr>
          <w:i/>
          <w:sz w:val="20"/>
          <w:szCs w:val="20"/>
        </w:rPr>
        <w:t xml:space="preserve">April </w:t>
      </w:r>
      <w:r w:rsidR="004C2585" w:rsidRPr="00C25669">
        <w:rPr>
          <w:i/>
          <w:sz w:val="20"/>
          <w:szCs w:val="20"/>
        </w:rPr>
        <w:t>2022</w:t>
      </w:r>
      <w:r w:rsidR="00EB635D" w:rsidRPr="00C25669">
        <w:rPr>
          <w:i/>
          <w:sz w:val="20"/>
          <w:szCs w:val="20"/>
        </w:rPr>
        <w:t>;</w:t>
      </w:r>
    </w:p>
    <w:p w14:paraId="40FEA2DE" w14:textId="6C94B995" w:rsidR="00925CD2" w:rsidRPr="00C25669" w:rsidRDefault="00C25669" w:rsidP="00C25669">
      <w:pPr>
        <w:spacing w:after="240"/>
        <w:ind w:left="924" w:hanging="564"/>
        <w:jc w:val="both"/>
        <w:rPr>
          <w:rFonts w:cs="Arial"/>
          <w:bCs/>
          <w:i/>
          <w:sz w:val="20"/>
          <w:szCs w:val="22"/>
        </w:rPr>
      </w:pPr>
      <w:r>
        <w:rPr>
          <w:rFonts w:cs="Arial"/>
          <w:bCs/>
          <w:i/>
          <w:sz w:val="20"/>
          <w:szCs w:val="22"/>
        </w:rPr>
        <w:t>6.</w:t>
      </w:r>
      <w:r>
        <w:rPr>
          <w:rFonts w:cs="Arial"/>
          <w:bCs/>
          <w:i/>
          <w:sz w:val="20"/>
          <w:szCs w:val="22"/>
        </w:rPr>
        <w:tab/>
      </w:r>
      <w:r w:rsidR="00925CD2" w:rsidRPr="00C25669">
        <w:rPr>
          <w:rFonts w:cs="Arial"/>
          <w:bCs/>
          <w:i/>
          <w:sz w:val="20"/>
          <w:szCs w:val="20"/>
        </w:rPr>
        <w:t>Should</w:t>
      </w:r>
      <w:r w:rsidR="00925CD2" w:rsidRPr="00C25669">
        <w:rPr>
          <w:rFonts w:cs="Arial"/>
          <w:bCs/>
          <w:i/>
          <w:sz w:val="20"/>
          <w:szCs w:val="22"/>
        </w:rPr>
        <w:t xml:space="preserve"> the respondent fail to comply with this order</w:t>
      </w:r>
      <w:r w:rsidR="00F57AFC" w:rsidRPr="00C25669">
        <w:rPr>
          <w:rFonts w:cs="Arial"/>
          <w:bCs/>
          <w:i/>
          <w:sz w:val="20"/>
          <w:szCs w:val="22"/>
        </w:rPr>
        <w:t xml:space="preserve"> as set out of in paragraph 4</w:t>
      </w:r>
      <w:r w:rsidR="00925CD2" w:rsidRPr="00C25669">
        <w:rPr>
          <w:rFonts w:cs="Arial"/>
          <w:bCs/>
          <w:i/>
          <w:sz w:val="20"/>
          <w:szCs w:val="22"/>
        </w:rPr>
        <w:t xml:space="preserve"> the applicant may approach this Court on the same papers, amplified if necessary, for an order committing the respondent to imprisonment;</w:t>
      </w:r>
    </w:p>
    <w:p w14:paraId="49401DAE" w14:textId="252D8F22" w:rsidR="009A2726" w:rsidRPr="00C25669" w:rsidRDefault="00C25669" w:rsidP="00C25669">
      <w:pPr>
        <w:spacing w:after="240"/>
        <w:ind w:left="924" w:hanging="564"/>
        <w:jc w:val="both"/>
        <w:rPr>
          <w:rFonts w:cs="Arial"/>
          <w:bCs/>
          <w:i/>
          <w:sz w:val="20"/>
          <w:szCs w:val="22"/>
        </w:rPr>
      </w:pPr>
      <w:r w:rsidRPr="00772025">
        <w:rPr>
          <w:rFonts w:cs="Arial"/>
          <w:bCs/>
          <w:i/>
          <w:sz w:val="20"/>
          <w:szCs w:val="22"/>
        </w:rPr>
        <w:t>7.</w:t>
      </w:r>
      <w:r w:rsidRPr="00772025">
        <w:rPr>
          <w:rFonts w:cs="Arial"/>
          <w:bCs/>
          <w:i/>
          <w:sz w:val="20"/>
          <w:szCs w:val="22"/>
        </w:rPr>
        <w:tab/>
      </w:r>
      <w:r w:rsidR="00925CD2" w:rsidRPr="00C25669">
        <w:rPr>
          <w:rFonts w:cs="Arial"/>
          <w:bCs/>
          <w:i/>
          <w:sz w:val="20"/>
          <w:szCs w:val="22"/>
        </w:rPr>
        <w:t>The respondent is ordered to pay the costs of th</w:t>
      </w:r>
      <w:r w:rsidR="00C9310B" w:rsidRPr="00C25669">
        <w:rPr>
          <w:rFonts w:cs="Arial"/>
          <w:bCs/>
          <w:i/>
          <w:sz w:val="20"/>
          <w:szCs w:val="22"/>
        </w:rPr>
        <w:t>e</w:t>
      </w:r>
      <w:r w:rsidR="00925CD2" w:rsidRPr="00C25669">
        <w:rPr>
          <w:rFonts w:cs="Arial"/>
          <w:bCs/>
          <w:i/>
          <w:sz w:val="20"/>
          <w:szCs w:val="22"/>
        </w:rPr>
        <w:t xml:space="preserve"> </w:t>
      </w:r>
      <w:r w:rsidR="00C9310B" w:rsidRPr="00C25669">
        <w:rPr>
          <w:rFonts w:cs="Arial"/>
          <w:bCs/>
          <w:i/>
          <w:sz w:val="20"/>
          <w:szCs w:val="22"/>
        </w:rPr>
        <w:t>main application</w:t>
      </w:r>
      <w:r w:rsidR="00925CD2" w:rsidRPr="00C25669">
        <w:rPr>
          <w:rFonts w:cs="Arial"/>
          <w:bCs/>
          <w:i/>
          <w:sz w:val="20"/>
          <w:szCs w:val="22"/>
        </w:rPr>
        <w:t>.</w:t>
      </w:r>
    </w:p>
    <w:p w14:paraId="3FDF8FCE" w14:textId="77777777" w:rsidR="00751452" w:rsidRDefault="00751452" w:rsidP="00822050">
      <w:pPr>
        <w:spacing w:after="240"/>
        <w:ind w:left="567" w:hanging="567"/>
        <w:jc w:val="both"/>
        <w:rPr>
          <w:rFonts w:cs="Arial"/>
          <w:bCs/>
          <w:i/>
          <w:sz w:val="20"/>
          <w:szCs w:val="22"/>
        </w:rPr>
      </w:pPr>
    </w:p>
    <w:p w14:paraId="14AA8497" w14:textId="6A337612" w:rsidR="00573FF9" w:rsidRPr="00C25669" w:rsidRDefault="00C25669" w:rsidP="00C25669">
      <w:pPr>
        <w:tabs>
          <w:tab w:val="left" w:pos="567"/>
        </w:tabs>
        <w:spacing w:after="240"/>
        <w:jc w:val="both"/>
        <w:rPr>
          <w:rFonts w:cs="Arial"/>
          <w:bCs/>
          <w:szCs w:val="22"/>
        </w:rPr>
      </w:pPr>
      <w:r w:rsidRPr="00573FF9">
        <w:rPr>
          <w:rFonts w:cs="Arial"/>
          <w:bCs/>
          <w:szCs w:val="22"/>
        </w:rPr>
        <w:t>[2]</w:t>
      </w:r>
      <w:r w:rsidRPr="00573FF9">
        <w:rPr>
          <w:rFonts w:cs="Arial"/>
          <w:bCs/>
          <w:szCs w:val="22"/>
        </w:rPr>
        <w:tab/>
      </w:r>
      <w:r w:rsidR="00573FF9" w:rsidRPr="00C25669">
        <w:rPr>
          <w:rFonts w:cs="Arial"/>
          <w:bCs/>
          <w:i/>
          <w:sz w:val="20"/>
          <w:szCs w:val="22"/>
        </w:rPr>
        <w:t xml:space="preserve">  </w:t>
      </w:r>
      <w:r w:rsidR="00573FF9" w:rsidRPr="00C25669">
        <w:rPr>
          <w:rFonts w:cs="Arial"/>
          <w:bCs/>
          <w:szCs w:val="22"/>
        </w:rPr>
        <w:t>The reasons for the order follow below.</w:t>
      </w:r>
    </w:p>
    <w:p w14:paraId="08540072" w14:textId="77777777" w:rsidR="00C9310B" w:rsidRDefault="00C9310B" w:rsidP="00C9310B">
      <w:pPr>
        <w:widowControl w:val="0"/>
        <w:spacing w:before="480" w:after="480" w:line="480" w:lineRule="auto"/>
        <w:jc w:val="both"/>
        <w:rPr>
          <w:rFonts w:cs="Arial"/>
          <w:bCs/>
          <w:szCs w:val="22"/>
          <w:u w:val="single"/>
        </w:rPr>
      </w:pPr>
    </w:p>
    <w:p w14:paraId="3658C913" w14:textId="7E366880" w:rsidR="00573FF9" w:rsidRPr="00573FF9" w:rsidRDefault="00573FF9" w:rsidP="00C9310B">
      <w:pPr>
        <w:widowControl w:val="0"/>
        <w:spacing w:before="480" w:after="480" w:line="480" w:lineRule="auto"/>
        <w:jc w:val="both"/>
        <w:rPr>
          <w:rFonts w:cs="Arial"/>
          <w:bCs/>
          <w:szCs w:val="22"/>
          <w:u w:val="single"/>
        </w:rPr>
      </w:pPr>
      <w:r w:rsidRPr="00573FF9">
        <w:rPr>
          <w:rFonts w:cs="Arial"/>
          <w:bCs/>
          <w:szCs w:val="22"/>
          <w:u w:val="single"/>
        </w:rPr>
        <w:t>INTRODUCTION</w:t>
      </w:r>
    </w:p>
    <w:p w14:paraId="3BEA333D" w14:textId="57BB00B4" w:rsidR="006609A2" w:rsidRDefault="00C25669" w:rsidP="00C25669">
      <w:pPr>
        <w:widowControl w:val="0"/>
        <w:tabs>
          <w:tab w:val="left" w:pos="567"/>
        </w:tabs>
        <w:spacing w:before="480" w:after="480" w:line="480" w:lineRule="auto"/>
        <w:jc w:val="both"/>
        <w:rPr>
          <w:rFonts w:cs="Arial"/>
          <w:bCs/>
          <w:szCs w:val="22"/>
        </w:rPr>
      </w:pPr>
      <w:r>
        <w:rPr>
          <w:rFonts w:cs="Arial"/>
          <w:bCs/>
          <w:szCs w:val="22"/>
        </w:rPr>
        <w:t>[3]</w:t>
      </w:r>
      <w:r>
        <w:rPr>
          <w:rFonts w:cs="Arial"/>
          <w:bCs/>
          <w:szCs w:val="22"/>
        </w:rPr>
        <w:tab/>
      </w:r>
      <w:r w:rsidR="004C0CE3">
        <w:rPr>
          <w:rFonts w:cs="Arial"/>
          <w:bCs/>
          <w:szCs w:val="22"/>
        </w:rPr>
        <w:t>This is an application for an order that the respondent be held in contempt of court of an order made in terms of Rule 43 of the Uniform Rules. The criminal standard of proof, namely proof beyond reasonable doubt, applies.</w:t>
      </w:r>
      <w:r w:rsidR="00E43C23">
        <w:rPr>
          <w:rFonts w:cs="Arial"/>
          <w:bCs/>
          <w:szCs w:val="22"/>
        </w:rPr>
        <w:t xml:space="preserve"> The applicant must show</w:t>
      </w:r>
      <w:r w:rsidR="006150CE">
        <w:rPr>
          <w:rFonts w:cs="Arial"/>
          <w:bCs/>
          <w:szCs w:val="22"/>
        </w:rPr>
        <w:t xml:space="preserve"> -</w:t>
      </w:r>
    </w:p>
    <w:p w14:paraId="3535E373" w14:textId="678E435C" w:rsidR="006609A2" w:rsidRDefault="00C25669" w:rsidP="00C25669">
      <w:pPr>
        <w:tabs>
          <w:tab w:val="left" w:pos="1418"/>
        </w:tabs>
        <w:spacing w:before="480" w:after="480" w:line="480" w:lineRule="auto"/>
        <w:ind w:left="1418" w:hanging="851"/>
        <w:jc w:val="both"/>
        <w:rPr>
          <w:rFonts w:cs="Arial"/>
          <w:bCs/>
          <w:szCs w:val="22"/>
        </w:rPr>
      </w:pPr>
      <w:r>
        <w:rPr>
          <w:rFonts w:cs="Arial"/>
          <w:bCs/>
          <w:szCs w:val="22"/>
        </w:rPr>
        <w:t>3.1</w:t>
      </w:r>
      <w:r>
        <w:rPr>
          <w:rFonts w:cs="Arial"/>
          <w:bCs/>
          <w:szCs w:val="22"/>
        </w:rPr>
        <w:tab/>
      </w:r>
      <w:r w:rsidR="00E43C23">
        <w:rPr>
          <w:rFonts w:cs="Arial"/>
          <w:bCs/>
          <w:szCs w:val="22"/>
        </w:rPr>
        <w:t xml:space="preserve">that the respondent was served </w:t>
      </w:r>
      <w:r w:rsidR="00573FF9">
        <w:rPr>
          <w:rFonts w:cs="Arial"/>
          <w:bCs/>
          <w:szCs w:val="22"/>
        </w:rPr>
        <w:t xml:space="preserve">with </w:t>
      </w:r>
      <w:r w:rsidR="00E43C23">
        <w:rPr>
          <w:rFonts w:cs="Arial"/>
          <w:bCs/>
          <w:szCs w:val="22"/>
        </w:rPr>
        <w:t>or otherwise informed</w:t>
      </w:r>
    </w:p>
    <w:p w14:paraId="56F9F362" w14:textId="729F6262" w:rsidR="006609A2" w:rsidRDefault="00C25669" w:rsidP="00C25669">
      <w:pPr>
        <w:tabs>
          <w:tab w:val="left" w:pos="1418"/>
        </w:tabs>
        <w:spacing w:before="480" w:after="480" w:line="480" w:lineRule="auto"/>
        <w:ind w:left="1418" w:hanging="851"/>
        <w:jc w:val="both"/>
        <w:rPr>
          <w:rFonts w:cs="Arial"/>
          <w:bCs/>
          <w:szCs w:val="22"/>
        </w:rPr>
      </w:pPr>
      <w:r>
        <w:rPr>
          <w:rFonts w:cs="Arial"/>
          <w:bCs/>
          <w:szCs w:val="22"/>
        </w:rPr>
        <w:t>3.2</w:t>
      </w:r>
      <w:r>
        <w:rPr>
          <w:rFonts w:cs="Arial"/>
          <w:bCs/>
          <w:szCs w:val="22"/>
        </w:rPr>
        <w:tab/>
      </w:r>
      <w:r w:rsidR="00E43C23">
        <w:rPr>
          <w:rFonts w:cs="Arial"/>
          <w:bCs/>
          <w:szCs w:val="22"/>
        </w:rPr>
        <w:t xml:space="preserve">of </w:t>
      </w:r>
      <w:r w:rsidR="006609A2">
        <w:rPr>
          <w:rFonts w:cs="Arial"/>
          <w:bCs/>
          <w:szCs w:val="22"/>
        </w:rPr>
        <w:t>an existing court</w:t>
      </w:r>
      <w:r w:rsidR="00E43C23">
        <w:rPr>
          <w:rFonts w:cs="Arial"/>
          <w:bCs/>
          <w:szCs w:val="22"/>
        </w:rPr>
        <w:t xml:space="preserve"> order granted against him, </w:t>
      </w:r>
    </w:p>
    <w:p w14:paraId="2B2F444F" w14:textId="5EEE2F74" w:rsidR="006609A2" w:rsidRDefault="00C25669" w:rsidP="00C25669">
      <w:pPr>
        <w:tabs>
          <w:tab w:val="left" w:pos="1418"/>
        </w:tabs>
        <w:spacing w:before="480" w:after="480" w:line="480" w:lineRule="auto"/>
        <w:ind w:left="1418" w:hanging="851"/>
        <w:jc w:val="both"/>
        <w:rPr>
          <w:rFonts w:cs="Arial"/>
          <w:bCs/>
          <w:szCs w:val="22"/>
        </w:rPr>
      </w:pPr>
      <w:r>
        <w:rPr>
          <w:rFonts w:cs="Arial"/>
          <w:bCs/>
          <w:szCs w:val="22"/>
        </w:rPr>
        <w:t>3.3</w:t>
      </w:r>
      <w:r>
        <w:rPr>
          <w:rFonts w:cs="Arial"/>
          <w:bCs/>
          <w:szCs w:val="22"/>
        </w:rPr>
        <w:tab/>
      </w:r>
      <w:r w:rsidR="00E43C23">
        <w:rPr>
          <w:rFonts w:cs="Arial"/>
          <w:bCs/>
          <w:szCs w:val="22"/>
        </w:rPr>
        <w:t>and has either ignored or disobeyed it.</w:t>
      </w:r>
      <w:r w:rsidR="004C0CE3">
        <w:rPr>
          <w:rStyle w:val="FootnoteReference"/>
          <w:rFonts w:cs="Arial"/>
          <w:bCs/>
          <w:szCs w:val="22"/>
        </w:rPr>
        <w:footnoteReference w:id="1"/>
      </w:r>
      <w:r w:rsidR="006609A2">
        <w:rPr>
          <w:rFonts w:cs="Arial"/>
          <w:bCs/>
          <w:szCs w:val="22"/>
        </w:rPr>
        <w:t xml:space="preserve"> </w:t>
      </w:r>
    </w:p>
    <w:p w14:paraId="3FA38CD3" w14:textId="2FD6CFC9" w:rsidR="004C0CE3" w:rsidRPr="006609A2" w:rsidRDefault="00C25669" w:rsidP="00C25669">
      <w:pPr>
        <w:tabs>
          <w:tab w:val="left" w:pos="567"/>
        </w:tabs>
        <w:spacing w:before="480" w:after="480" w:line="480" w:lineRule="auto"/>
        <w:jc w:val="both"/>
        <w:rPr>
          <w:rFonts w:cs="Arial"/>
          <w:bCs/>
          <w:color w:val="000000" w:themeColor="text1"/>
          <w:szCs w:val="22"/>
        </w:rPr>
      </w:pPr>
      <w:r w:rsidRPr="006609A2">
        <w:rPr>
          <w:rFonts w:cs="Arial"/>
          <w:bCs/>
          <w:szCs w:val="22"/>
        </w:rPr>
        <w:t>[4]</w:t>
      </w:r>
      <w:r w:rsidRPr="006609A2">
        <w:rPr>
          <w:rFonts w:cs="Arial"/>
          <w:bCs/>
          <w:szCs w:val="22"/>
        </w:rPr>
        <w:tab/>
      </w:r>
      <w:r w:rsidR="006609A2">
        <w:rPr>
          <w:rFonts w:cs="Arial"/>
          <w:bCs/>
          <w:szCs w:val="22"/>
        </w:rPr>
        <w:t xml:space="preserve">To avoid being convicted the respondent must establish a reasonable doubt as </w:t>
      </w:r>
      <w:r w:rsidR="006609A2" w:rsidRPr="006609A2">
        <w:rPr>
          <w:rFonts w:cs="Arial"/>
          <w:bCs/>
          <w:color w:val="000000" w:themeColor="text1"/>
          <w:szCs w:val="22"/>
        </w:rPr>
        <w:t>to whether</w:t>
      </w:r>
      <w:r w:rsidR="006609A2" w:rsidRPr="006609A2">
        <w:rPr>
          <w:rFonts w:ascii="Verdana" w:hAnsi="Verdana"/>
          <w:color w:val="000000" w:themeColor="text1"/>
          <w:sz w:val="21"/>
          <w:szCs w:val="21"/>
          <w:shd w:val="clear" w:color="auto" w:fill="FFFFFF"/>
        </w:rPr>
        <w:t xml:space="preserve"> his failure to comply was wilful and </w:t>
      </w:r>
      <w:r w:rsidR="006609A2" w:rsidRPr="006609A2">
        <w:rPr>
          <w:rFonts w:ascii="Verdana" w:hAnsi="Verdana"/>
          <w:i/>
          <w:iCs/>
          <w:color w:val="000000" w:themeColor="text1"/>
          <w:sz w:val="21"/>
          <w:szCs w:val="21"/>
          <w:shd w:val="clear" w:color="auto" w:fill="FFFFFF"/>
        </w:rPr>
        <w:t>mala fide.</w:t>
      </w:r>
      <w:r w:rsidR="006609A2">
        <w:rPr>
          <w:rFonts w:ascii="Verdana" w:hAnsi="Verdana"/>
          <w:i/>
          <w:iCs/>
          <w:color w:val="000000" w:themeColor="text1"/>
          <w:sz w:val="21"/>
          <w:szCs w:val="21"/>
          <w:shd w:val="clear" w:color="auto" w:fill="FFFFFF"/>
        </w:rPr>
        <w:t xml:space="preserve"> </w:t>
      </w:r>
      <w:r w:rsidR="006609A2">
        <w:rPr>
          <w:rFonts w:ascii="Verdana" w:hAnsi="Verdana"/>
          <w:color w:val="000000" w:themeColor="text1"/>
          <w:sz w:val="21"/>
          <w:szCs w:val="21"/>
          <w:shd w:val="clear" w:color="auto" w:fill="FFFFFF"/>
        </w:rPr>
        <w:t xml:space="preserve">In </w:t>
      </w:r>
      <w:r w:rsidR="006609A2" w:rsidRPr="006609A2">
        <w:rPr>
          <w:rFonts w:ascii="Verdana" w:hAnsi="Verdana"/>
          <w:i/>
          <w:iCs/>
          <w:color w:val="000000" w:themeColor="text1"/>
          <w:sz w:val="21"/>
          <w:szCs w:val="21"/>
          <w:shd w:val="clear" w:color="auto" w:fill="FFFFFF"/>
        </w:rPr>
        <w:t>Fakie</w:t>
      </w:r>
      <w:r w:rsidR="00C9310B">
        <w:rPr>
          <w:rFonts w:ascii="Verdana" w:hAnsi="Verdana"/>
          <w:i/>
          <w:iCs/>
          <w:color w:val="000000" w:themeColor="text1"/>
          <w:sz w:val="21"/>
          <w:szCs w:val="21"/>
          <w:shd w:val="clear" w:color="auto" w:fill="FFFFFF"/>
        </w:rPr>
        <w:t>,</w:t>
      </w:r>
      <w:r w:rsidR="00C9310B">
        <w:rPr>
          <w:rStyle w:val="FootnoteReference"/>
          <w:rFonts w:ascii="Verdana" w:hAnsi="Verdana"/>
          <w:i/>
          <w:iCs/>
          <w:color w:val="000000" w:themeColor="text1"/>
          <w:sz w:val="21"/>
          <w:szCs w:val="21"/>
          <w:shd w:val="clear" w:color="auto" w:fill="FFFFFF"/>
        </w:rPr>
        <w:footnoteReference w:id="2"/>
      </w:r>
      <w:r w:rsidR="006609A2">
        <w:rPr>
          <w:rFonts w:ascii="Verdana" w:hAnsi="Verdana"/>
          <w:color w:val="000000" w:themeColor="text1"/>
          <w:sz w:val="21"/>
          <w:szCs w:val="21"/>
          <w:shd w:val="clear" w:color="auto" w:fill="FFFFFF"/>
        </w:rPr>
        <w:t xml:space="preserve"> Cameron J said:</w:t>
      </w:r>
    </w:p>
    <w:p w14:paraId="23410FE6" w14:textId="4CCB3A2B" w:rsidR="006609A2" w:rsidRPr="00B1103D" w:rsidRDefault="006609A2" w:rsidP="006609A2">
      <w:pPr>
        <w:pStyle w:val="lrpara"/>
        <w:shd w:val="clear" w:color="auto" w:fill="FFFFFF"/>
        <w:spacing w:before="180" w:beforeAutospacing="0" w:after="0" w:afterAutospacing="0"/>
        <w:ind w:left="1440"/>
        <w:jc w:val="both"/>
        <w:rPr>
          <w:rFonts w:ascii="Arial" w:hAnsi="Arial" w:cs="Arial"/>
          <w:i/>
          <w:iCs/>
          <w:color w:val="000000" w:themeColor="text1"/>
          <w:sz w:val="20"/>
          <w:szCs w:val="20"/>
        </w:rPr>
      </w:pPr>
      <w:r w:rsidRPr="00B1103D">
        <w:rPr>
          <w:rFonts w:ascii="Arial" w:hAnsi="Arial" w:cs="Arial"/>
          <w:i/>
          <w:iCs/>
          <w:color w:val="000000" w:themeColor="text1"/>
          <w:sz w:val="20"/>
          <w:szCs w:val="20"/>
        </w:rPr>
        <w:t>[23] It should be noted that developing the common law thus does not require the prosecution to lead evidence as to the accused's state of mind or motive: Once the three requisites mentioned have been proved, in the absence of evidence raising a reasonable doubt as to whether the accused acted wilfully and mala fide, all the requisites of the offence will have been established. What is changed is that the accused no longer bears a legal burden to disprove wilfulness and mala fides on a balance of probabilities, but to avoid conviction need only lead evidence that establishes a reasonable doubt.</w:t>
      </w:r>
    </w:p>
    <w:p w14:paraId="792210F8" w14:textId="77777777" w:rsidR="00724D82" w:rsidRDefault="00724D82" w:rsidP="006609A2">
      <w:pPr>
        <w:spacing w:before="480" w:after="480" w:line="480" w:lineRule="auto"/>
        <w:jc w:val="both"/>
        <w:rPr>
          <w:rFonts w:cs="Arial"/>
          <w:bCs/>
          <w:szCs w:val="22"/>
          <w:u w:val="single"/>
        </w:rPr>
      </w:pPr>
    </w:p>
    <w:p w14:paraId="68607827" w14:textId="7FF4911A" w:rsidR="006609A2" w:rsidRPr="006609A2" w:rsidRDefault="00B1103D" w:rsidP="00724D82">
      <w:pPr>
        <w:keepNext/>
        <w:widowControl w:val="0"/>
        <w:spacing w:before="480" w:after="480" w:line="480" w:lineRule="auto"/>
        <w:jc w:val="both"/>
        <w:rPr>
          <w:rFonts w:cs="Arial"/>
          <w:bCs/>
          <w:szCs w:val="22"/>
          <w:u w:val="single"/>
        </w:rPr>
      </w:pPr>
      <w:r w:rsidRPr="006609A2">
        <w:rPr>
          <w:rFonts w:cs="Arial"/>
          <w:bCs/>
          <w:szCs w:val="22"/>
          <w:u w:val="single"/>
        </w:rPr>
        <w:lastRenderedPageBreak/>
        <w:t xml:space="preserve">THE </w:t>
      </w:r>
      <w:r>
        <w:rPr>
          <w:rFonts w:cs="Arial"/>
          <w:bCs/>
          <w:szCs w:val="22"/>
          <w:u w:val="single"/>
        </w:rPr>
        <w:t xml:space="preserve">EXISTING RULE 43 </w:t>
      </w:r>
      <w:r w:rsidRPr="006609A2">
        <w:rPr>
          <w:rFonts w:cs="Arial"/>
          <w:bCs/>
          <w:szCs w:val="22"/>
          <w:u w:val="single"/>
        </w:rPr>
        <w:t>ORDER</w:t>
      </w:r>
    </w:p>
    <w:p w14:paraId="23959B29" w14:textId="6F050D29" w:rsidR="00C460A0" w:rsidRDefault="00C25669" w:rsidP="00C25669">
      <w:pPr>
        <w:keepNext/>
        <w:widowControl w:val="0"/>
        <w:tabs>
          <w:tab w:val="left" w:pos="567"/>
        </w:tabs>
        <w:spacing w:before="480" w:after="480" w:line="480" w:lineRule="auto"/>
        <w:jc w:val="both"/>
        <w:rPr>
          <w:rFonts w:cs="Arial"/>
          <w:bCs/>
          <w:szCs w:val="22"/>
        </w:rPr>
      </w:pPr>
      <w:r>
        <w:rPr>
          <w:rFonts w:cs="Arial"/>
          <w:bCs/>
          <w:szCs w:val="22"/>
        </w:rPr>
        <w:t>[5]</w:t>
      </w:r>
      <w:r>
        <w:rPr>
          <w:rFonts w:cs="Arial"/>
          <w:bCs/>
          <w:szCs w:val="22"/>
        </w:rPr>
        <w:tab/>
      </w:r>
      <w:r w:rsidR="002104BF">
        <w:rPr>
          <w:rFonts w:cs="Arial"/>
          <w:bCs/>
          <w:szCs w:val="22"/>
        </w:rPr>
        <w:t>On 28 November 2019 Budlender</w:t>
      </w:r>
      <w:r w:rsidR="00772025">
        <w:rPr>
          <w:rFonts w:cs="Arial"/>
          <w:bCs/>
          <w:szCs w:val="22"/>
        </w:rPr>
        <w:t xml:space="preserve"> AJ</w:t>
      </w:r>
      <w:r w:rsidR="002104BF">
        <w:rPr>
          <w:rFonts w:cs="Arial"/>
          <w:bCs/>
          <w:szCs w:val="22"/>
        </w:rPr>
        <w:t xml:space="preserve"> granted an order </w:t>
      </w:r>
      <w:r w:rsidR="00205392" w:rsidRPr="00152899">
        <w:rPr>
          <w:rFonts w:cs="Arial"/>
          <w:bCs/>
          <w:i/>
          <w:iCs/>
          <w:szCs w:val="22"/>
        </w:rPr>
        <w:t>pendente lite</w:t>
      </w:r>
      <w:r w:rsidR="00205392">
        <w:rPr>
          <w:rFonts w:cs="Arial"/>
          <w:bCs/>
          <w:szCs w:val="22"/>
        </w:rPr>
        <w:t xml:space="preserve"> </w:t>
      </w:r>
      <w:r w:rsidR="002104BF">
        <w:rPr>
          <w:rFonts w:cs="Arial"/>
          <w:bCs/>
          <w:szCs w:val="22"/>
        </w:rPr>
        <w:t>in an application in terms of Rule 43 of the Uniform Rules in the opposed motion court in Johannesburg. The relevant pa</w:t>
      </w:r>
      <w:r w:rsidR="00205392">
        <w:rPr>
          <w:rFonts w:cs="Arial"/>
          <w:bCs/>
          <w:szCs w:val="22"/>
        </w:rPr>
        <w:t>ragraphs</w:t>
      </w:r>
      <w:r w:rsidR="002104BF">
        <w:rPr>
          <w:rFonts w:cs="Arial"/>
          <w:bCs/>
          <w:szCs w:val="22"/>
        </w:rPr>
        <w:t xml:space="preserve"> of the order </w:t>
      </w:r>
      <w:r w:rsidR="00205392">
        <w:rPr>
          <w:rFonts w:cs="Arial"/>
          <w:bCs/>
          <w:szCs w:val="22"/>
        </w:rPr>
        <w:t xml:space="preserve">are paragraphs 2 and 5, and these paragraphs </w:t>
      </w:r>
      <w:r w:rsidR="002104BF">
        <w:rPr>
          <w:rFonts w:cs="Arial"/>
          <w:bCs/>
          <w:szCs w:val="22"/>
        </w:rPr>
        <w:t>read</w:t>
      </w:r>
      <w:r w:rsidR="00205392">
        <w:rPr>
          <w:rFonts w:cs="Arial"/>
          <w:bCs/>
          <w:szCs w:val="22"/>
        </w:rPr>
        <w:t xml:space="preserve"> </w:t>
      </w:r>
      <w:r w:rsidR="002104BF">
        <w:rPr>
          <w:rFonts w:cs="Arial"/>
          <w:bCs/>
          <w:szCs w:val="22"/>
        </w:rPr>
        <w:t>as follows:</w:t>
      </w:r>
    </w:p>
    <w:p w14:paraId="6EDAFD61" w14:textId="16DC657D" w:rsidR="002104BF" w:rsidRDefault="008C3EBC" w:rsidP="002104BF">
      <w:pPr>
        <w:spacing w:before="480" w:after="480" w:line="480" w:lineRule="auto"/>
        <w:jc w:val="both"/>
        <w:rPr>
          <w:rFonts w:cs="Arial"/>
          <w:bCs/>
          <w:szCs w:val="22"/>
        </w:rPr>
      </w:pPr>
      <w:r>
        <w:rPr>
          <w:rFonts w:cs="Arial"/>
          <w:bCs/>
          <w:szCs w:val="22"/>
        </w:rPr>
        <w:t xml:space="preserve">Paragraph </w:t>
      </w:r>
      <w:r w:rsidR="002104BF">
        <w:rPr>
          <w:rFonts w:cs="Arial"/>
          <w:bCs/>
          <w:szCs w:val="22"/>
        </w:rPr>
        <w:t>1:</w:t>
      </w:r>
    </w:p>
    <w:p w14:paraId="0CB483D4" w14:textId="5555CAA0" w:rsidR="002104BF" w:rsidRDefault="002104BF" w:rsidP="002104BF">
      <w:r w:rsidRPr="002104BF">
        <w:rPr>
          <w:noProof/>
          <w:lang w:val="en-US"/>
        </w:rPr>
        <w:drawing>
          <wp:inline distT="0" distB="0" distL="0" distR="0" wp14:anchorId="593A813A" wp14:editId="47F6E0BB">
            <wp:extent cx="4247480" cy="1135693"/>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1358" cy="1147425"/>
                    </a:xfrm>
                    <a:prstGeom prst="rect">
                      <a:avLst/>
                    </a:prstGeom>
                    <a:noFill/>
                    <a:ln>
                      <a:noFill/>
                    </a:ln>
                  </pic:spPr>
                </pic:pic>
              </a:graphicData>
            </a:graphic>
          </wp:inline>
        </w:drawing>
      </w:r>
    </w:p>
    <w:p w14:paraId="574B403A" w14:textId="7CEBE4AE" w:rsidR="002104BF" w:rsidRDefault="002104BF" w:rsidP="002104BF"/>
    <w:p w14:paraId="00B0F1D5" w14:textId="7ABAED2D" w:rsidR="002104BF" w:rsidRDefault="00133E81" w:rsidP="002104BF">
      <w:r>
        <w:t xml:space="preserve">Paragraph </w:t>
      </w:r>
      <w:r w:rsidR="00205392">
        <w:t>5</w:t>
      </w:r>
      <w:r w:rsidR="002104BF">
        <w:t>:</w:t>
      </w:r>
    </w:p>
    <w:p w14:paraId="7029E017" w14:textId="1186BF3B" w:rsidR="00B1103D" w:rsidRDefault="00B1103D" w:rsidP="002104BF"/>
    <w:p w14:paraId="7962EB0F" w14:textId="77777777" w:rsidR="00B1103D" w:rsidRDefault="00B1103D" w:rsidP="002104BF"/>
    <w:p w14:paraId="11C3AF16" w14:textId="6C134CC6" w:rsidR="002104BF" w:rsidRPr="002104BF" w:rsidRDefault="00205392" w:rsidP="002104BF">
      <w:r w:rsidRPr="00205392">
        <w:rPr>
          <w:noProof/>
          <w:lang w:val="en-US"/>
        </w:rPr>
        <w:drawing>
          <wp:inline distT="0" distB="0" distL="0" distR="0" wp14:anchorId="569D8BE9" wp14:editId="5A192221">
            <wp:extent cx="4109024" cy="135451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8205" cy="1364134"/>
                    </a:xfrm>
                    <a:prstGeom prst="rect">
                      <a:avLst/>
                    </a:prstGeom>
                    <a:noFill/>
                    <a:ln>
                      <a:noFill/>
                    </a:ln>
                  </pic:spPr>
                </pic:pic>
              </a:graphicData>
            </a:graphic>
          </wp:inline>
        </w:drawing>
      </w:r>
    </w:p>
    <w:p w14:paraId="11215416" w14:textId="625B98E2" w:rsidR="002104BF" w:rsidRDefault="00C25669" w:rsidP="00C25669">
      <w:pPr>
        <w:tabs>
          <w:tab w:val="left" w:pos="567"/>
        </w:tabs>
        <w:spacing w:before="480" w:after="480" w:line="480" w:lineRule="auto"/>
        <w:jc w:val="both"/>
        <w:rPr>
          <w:rFonts w:cs="Arial"/>
          <w:bCs/>
          <w:szCs w:val="22"/>
        </w:rPr>
      </w:pPr>
      <w:r>
        <w:rPr>
          <w:rFonts w:cs="Arial"/>
          <w:bCs/>
          <w:szCs w:val="22"/>
        </w:rPr>
        <w:t>[6]</w:t>
      </w:r>
      <w:r>
        <w:rPr>
          <w:rFonts w:cs="Arial"/>
          <w:bCs/>
          <w:szCs w:val="22"/>
        </w:rPr>
        <w:tab/>
      </w:r>
      <w:r w:rsidR="00205392">
        <w:rPr>
          <w:rFonts w:cs="Arial"/>
          <w:bCs/>
          <w:szCs w:val="22"/>
        </w:rPr>
        <w:t>The payments were to commence on or before the first of December 2019.</w:t>
      </w:r>
      <w:r w:rsidR="008942FC">
        <w:rPr>
          <w:rFonts w:cs="Arial"/>
          <w:bCs/>
          <w:szCs w:val="22"/>
        </w:rPr>
        <w:t xml:space="preserve"> The total amount of maintenance payable between December 2019 and March 2022 was R2 380 000. The contribution to costs </w:t>
      </w:r>
      <w:r w:rsidR="00B1103D">
        <w:rPr>
          <w:rFonts w:cs="Arial"/>
          <w:bCs/>
          <w:szCs w:val="22"/>
        </w:rPr>
        <w:t>was to have been paid in full by</w:t>
      </w:r>
      <w:r w:rsidR="008942FC">
        <w:rPr>
          <w:rFonts w:cs="Arial"/>
          <w:bCs/>
          <w:szCs w:val="22"/>
        </w:rPr>
        <w:t xml:space="preserve"> May 2020.</w:t>
      </w:r>
    </w:p>
    <w:p w14:paraId="1E06E8CF" w14:textId="77777777" w:rsidR="00772025" w:rsidRDefault="00772025" w:rsidP="00772025">
      <w:pPr>
        <w:spacing w:before="480" w:after="480" w:line="480" w:lineRule="auto"/>
        <w:jc w:val="both"/>
        <w:rPr>
          <w:rFonts w:cs="Arial"/>
          <w:bCs/>
          <w:szCs w:val="22"/>
          <w:u w:val="single"/>
        </w:rPr>
      </w:pPr>
    </w:p>
    <w:p w14:paraId="67FEC8CF" w14:textId="6ADED80A" w:rsidR="00772025" w:rsidRPr="00B1103D" w:rsidRDefault="00B1103D" w:rsidP="00724D82">
      <w:pPr>
        <w:keepNext/>
        <w:widowControl w:val="0"/>
        <w:spacing w:before="480" w:after="480" w:line="480" w:lineRule="auto"/>
        <w:jc w:val="both"/>
        <w:rPr>
          <w:rFonts w:cs="Arial"/>
          <w:bCs/>
          <w:sz w:val="20"/>
          <w:szCs w:val="20"/>
          <w:u w:val="single"/>
        </w:rPr>
      </w:pPr>
      <w:r w:rsidRPr="00B1103D">
        <w:rPr>
          <w:rFonts w:cs="Arial"/>
          <w:bCs/>
          <w:sz w:val="20"/>
          <w:szCs w:val="20"/>
          <w:u w:val="single"/>
        </w:rPr>
        <w:lastRenderedPageBreak/>
        <w:t>CONDONATION FOR THE LATE FILING OF THE ANSWERING AFFIDAVIT</w:t>
      </w:r>
    </w:p>
    <w:p w14:paraId="22549970" w14:textId="3DB4F659" w:rsidR="00B1103D" w:rsidRDefault="00C25669" w:rsidP="00C25669">
      <w:pPr>
        <w:keepNext/>
        <w:widowControl w:val="0"/>
        <w:tabs>
          <w:tab w:val="left" w:pos="567"/>
        </w:tabs>
        <w:spacing w:before="480" w:after="480" w:line="480" w:lineRule="auto"/>
        <w:jc w:val="both"/>
        <w:rPr>
          <w:rFonts w:cs="Arial"/>
          <w:bCs/>
          <w:szCs w:val="22"/>
        </w:rPr>
      </w:pPr>
      <w:r>
        <w:rPr>
          <w:rFonts w:cs="Arial"/>
          <w:bCs/>
          <w:szCs w:val="22"/>
        </w:rPr>
        <w:t>[7]</w:t>
      </w:r>
      <w:r>
        <w:rPr>
          <w:rFonts w:cs="Arial"/>
          <w:bCs/>
          <w:szCs w:val="22"/>
        </w:rPr>
        <w:tab/>
      </w:r>
      <w:r w:rsidR="00772025">
        <w:rPr>
          <w:rFonts w:cs="Arial"/>
          <w:bCs/>
          <w:szCs w:val="22"/>
        </w:rPr>
        <w:t xml:space="preserve">The applicant initially opposed the condonation of the late filing of the answering affidavit but the opposition was abandoned on the day of argument. The </w:t>
      </w:r>
      <w:r w:rsidR="00133E81">
        <w:rPr>
          <w:rFonts w:cs="Arial"/>
          <w:bCs/>
          <w:szCs w:val="22"/>
        </w:rPr>
        <w:t>degree of lateness was negligible and there was no prejudice to the applicant. If anything, the opposition could</w:t>
      </w:r>
      <w:r w:rsidR="00B1103D">
        <w:rPr>
          <w:rFonts w:cs="Arial"/>
          <w:bCs/>
          <w:szCs w:val="22"/>
        </w:rPr>
        <w:t xml:space="preserve"> potentially</w:t>
      </w:r>
      <w:r w:rsidR="00133E81">
        <w:rPr>
          <w:rFonts w:cs="Arial"/>
          <w:bCs/>
          <w:szCs w:val="22"/>
        </w:rPr>
        <w:t xml:space="preserve"> have delayed the hearing on the merits. </w:t>
      </w:r>
    </w:p>
    <w:p w14:paraId="6BB33D9F" w14:textId="1D0AADA9" w:rsidR="00772025" w:rsidRDefault="00C25669" w:rsidP="00C25669">
      <w:pPr>
        <w:keepNext/>
        <w:widowControl w:val="0"/>
        <w:tabs>
          <w:tab w:val="left" w:pos="567"/>
        </w:tabs>
        <w:spacing w:before="480" w:after="480" w:line="480" w:lineRule="auto"/>
        <w:jc w:val="both"/>
        <w:rPr>
          <w:rFonts w:cs="Arial"/>
          <w:bCs/>
          <w:szCs w:val="22"/>
        </w:rPr>
      </w:pPr>
      <w:r>
        <w:rPr>
          <w:rFonts w:cs="Arial"/>
          <w:bCs/>
          <w:szCs w:val="22"/>
        </w:rPr>
        <w:t>[8]</w:t>
      </w:r>
      <w:r>
        <w:rPr>
          <w:rFonts w:cs="Arial"/>
          <w:bCs/>
          <w:szCs w:val="22"/>
        </w:rPr>
        <w:tab/>
      </w:r>
      <w:r w:rsidR="00133E81">
        <w:rPr>
          <w:rFonts w:cs="Arial"/>
          <w:bCs/>
          <w:szCs w:val="22"/>
        </w:rPr>
        <w:t>Con</w:t>
      </w:r>
      <w:r w:rsidR="00772025">
        <w:rPr>
          <w:rFonts w:cs="Arial"/>
          <w:bCs/>
          <w:szCs w:val="22"/>
        </w:rPr>
        <w:t>donation is granted</w:t>
      </w:r>
      <w:r w:rsidR="00133E81">
        <w:rPr>
          <w:rFonts w:cs="Arial"/>
          <w:bCs/>
          <w:szCs w:val="22"/>
        </w:rPr>
        <w:t xml:space="preserve"> and the applicant is ordered to pay the costs occasioned by the condonation application</w:t>
      </w:r>
      <w:r w:rsidR="00B1103D">
        <w:rPr>
          <w:rFonts w:cs="Arial"/>
          <w:bCs/>
          <w:szCs w:val="22"/>
        </w:rPr>
        <w:t xml:space="preserve"> that the respondent was compelled to </w:t>
      </w:r>
      <w:r w:rsidR="00AB5D57">
        <w:rPr>
          <w:rFonts w:cs="Arial"/>
          <w:bCs/>
          <w:szCs w:val="22"/>
        </w:rPr>
        <w:t>bring</w:t>
      </w:r>
      <w:r w:rsidR="00133E81">
        <w:rPr>
          <w:rFonts w:cs="Arial"/>
          <w:bCs/>
          <w:szCs w:val="22"/>
        </w:rPr>
        <w:t>.</w:t>
      </w:r>
    </w:p>
    <w:p w14:paraId="1B2AA867" w14:textId="77777777" w:rsidR="006150CE" w:rsidRDefault="006150CE" w:rsidP="00724D82">
      <w:pPr>
        <w:keepNext/>
        <w:widowControl w:val="0"/>
        <w:spacing w:before="480" w:after="480" w:line="480" w:lineRule="auto"/>
        <w:jc w:val="both"/>
        <w:rPr>
          <w:rFonts w:cs="Arial"/>
          <w:bCs/>
          <w:szCs w:val="22"/>
          <w:u w:val="single"/>
        </w:rPr>
      </w:pPr>
    </w:p>
    <w:p w14:paraId="2150B5BD" w14:textId="2B506EC9" w:rsidR="00772025" w:rsidRPr="00772025" w:rsidRDefault="00B1103D" w:rsidP="00724D82">
      <w:pPr>
        <w:keepNext/>
        <w:widowControl w:val="0"/>
        <w:spacing w:before="480" w:after="480" w:line="480" w:lineRule="auto"/>
        <w:jc w:val="both"/>
        <w:rPr>
          <w:rFonts w:cs="Arial"/>
          <w:bCs/>
          <w:szCs w:val="22"/>
          <w:u w:val="single"/>
        </w:rPr>
      </w:pPr>
      <w:r w:rsidRPr="00772025">
        <w:rPr>
          <w:rFonts w:cs="Arial"/>
          <w:bCs/>
          <w:szCs w:val="22"/>
          <w:u w:val="single"/>
        </w:rPr>
        <w:t>THE MERITS</w:t>
      </w:r>
    </w:p>
    <w:p w14:paraId="4A4AC355" w14:textId="237A11D4" w:rsidR="00B1103D" w:rsidRDefault="00C25669" w:rsidP="00C25669">
      <w:pPr>
        <w:tabs>
          <w:tab w:val="left" w:pos="567"/>
        </w:tabs>
        <w:spacing w:before="480" w:after="480" w:line="480" w:lineRule="auto"/>
        <w:jc w:val="both"/>
        <w:rPr>
          <w:rFonts w:cs="Arial"/>
          <w:bCs/>
          <w:szCs w:val="22"/>
        </w:rPr>
      </w:pPr>
      <w:r>
        <w:rPr>
          <w:rFonts w:cs="Arial"/>
          <w:bCs/>
          <w:szCs w:val="22"/>
        </w:rPr>
        <w:t>[9]</w:t>
      </w:r>
      <w:r>
        <w:rPr>
          <w:rFonts w:cs="Arial"/>
          <w:bCs/>
          <w:szCs w:val="22"/>
        </w:rPr>
        <w:tab/>
      </w:r>
      <w:r w:rsidR="008942FC" w:rsidRPr="007B7246">
        <w:rPr>
          <w:rFonts w:cs="Arial"/>
          <w:bCs/>
          <w:szCs w:val="22"/>
        </w:rPr>
        <w:t>When the application was brought the respondent had paid the amount of R1 078</w:t>
      </w:r>
      <w:r w:rsidR="00B71CB5" w:rsidRPr="007B7246">
        <w:rPr>
          <w:rFonts w:cs="Arial"/>
          <w:bCs/>
          <w:szCs w:val="22"/>
        </w:rPr>
        <w:t> </w:t>
      </w:r>
      <w:r w:rsidR="008942FC" w:rsidRPr="007B7246">
        <w:rPr>
          <w:rFonts w:cs="Arial"/>
          <w:bCs/>
          <w:szCs w:val="22"/>
        </w:rPr>
        <w:t>070</w:t>
      </w:r>
      <w:r w:rsidR="00B71CB5" w:rsidRPr="007B7246">
        <w:rPr>
          <w:rFonts w:cs="Arial"/>
          <w:bCs/>
          <w:szCs w:val="22"/>
        </w:rPr>
        <w:t xml:space="preserve"> towards maintenance and payments</w:t>
      </w:r>
      <w:r w:rsidR="00772025">
        <w:rPr>
          <w:rFonts w:cs="Arial"/>
          <w:bCs/>
          <w:szCs w:val="22"/>
        </w:rPr>
        <w:t xml:space="preserve"> due</w:t>
      </w:r>
      <w:r w:rsidR="00B71CB5" w:rsidRPr="007B7246">
        <w:rPr>
          <w:rFonts w:cs="Arial"/>
          <w:bCs/>
          <w:szCs w:val="22"/>
        </w:rPr>
        <w:t xml:space="preserve"> were in arrears in the amount of </w:t>
      </w:r>
      <w:bookmarkStart w:id="1" w:name="_Hlk115799775"/>
      <w:r w:rsidR="00B71CB5" w:rsidRPr="007B7246">
        <w:rPr>
          <w:rFonts w:cs="Arial"/>
          <w:bCs/>
          <w:szCs w:val="22"/>
        </w:rPr>
        <w:t>R1 301 930</w:t>
      </w:r>
      <w:bookmarkEnd w:id="1"/>
      <w:r w:rsidR="008942FC" w:rsidRPr="007B7246">
        <w:rPr>
          <w:rFonts w:cs="Arial"/>
          <w:bCs/>
          <w:szCs w:val="22"/>
        </w:rPr>
        <w:t xml:space="preserve">. </w:t>
      </w:r>
      <w:r w:rsidR="00B1103D">
        <w:rPr>
          <w:rFonts w:cs="Arial"/>
          <w:bCs/>
          <w:szCs w:val="22"/>
        </w:rPr>
        <w:t>The contribution to costs that was due by May 2020 was never paid.</w:t>
      </w:r>
    </w:p>
    <w:p w14:paraId="58488E30" w14:textId="340E4BAE" w:rsidR="00C460A0" w:rsidRPr="007B7246" w:rsidRDefault="00C25669" w:rsidP="00C25669">
      <w:pPr>
        <w:keepNext/>
        <w:widowControl w:val="0"/>
        <w:tabs>
          <w:tab w:val="left" w:pos="567"/>
        </w:tabs>
        <w:spacing w:before="480" w:after="480" w:line="480" w:lineRule="auto"/>
        <w:jc w:val="both"/>
        <w:rPr>
          <w:rFonts w:cs="Arial"/>
          <w:bCs/>
          <w:szCs w:val="22"/>
        </w:rPr>
      </w:pPr>
      <w:r w:rsidRPr="007B7246">
        <w:rPr>
          <w:rFonts w:cs="Arial"/>
          <w:bCs/>
          <w:szCs w:val="22"/>
        </w:rPr>
        <w:t>[10]</w:t>
      </w:r>
      <w:r w:rsidRPr="007B7246">
        <w:rPr>
          <w:rFonts w:cs="Arial"/>
          <w:bCs/>
          <w:szCs w:val="22"/>
        </w:rPr>
        <w:tab/>
      </w:r>
      <w:r w:rsidR="00B1103D">
        <w:rPr>
          <w:rFonts w:cs="Arial"/>
          <w:bCs/>
          <w:szCs w:val="22"/>
        </w:rPr>
        <w:t>I requested counsel through their attorneys to attempt to agree on amounts, if any, received since the end of March 2022. They were unable to do so.</w:t>
      </w:r>
    </w:p>
    <w:p w14:paraId="4293CE87" w14:textId="5623BCC9" w:rsidR="007B7246" w:rsidRDefault="00C25669" w:rsidP="00C25669">
      <w:pPr>
        <w:tabs>
          <w:tab w:val="left" w:pos="567"/>
        </w:tabs>
        <w:spacing w:before="480" w:after="480" w:line="480" w:lineRule="auto"/>
        <w:jc w:val="both"/>
        <w:rPr>
          <w:rFonts w:cs="Arial"/>
          <w:bCs/>
          <w:szCs w:val="22"/>
        </w:rPr>
      </w:pPr>
      <w:r>
        <w:rPr>
          <w:rFonts w:cs="Arial"/>
          <w:bCs/>
          <w:szCs w:val="22"/>
        </w:rPr>
        <w:t>[11]</w:t>
      </w:r>
      <w:r>
        <w:rPr>
          <w:rFonts w:cs="Arial"/>
          <w:bCs/>
          <w:szCs w:val="22"/>
        </w:rPr>
        <w:tab/>
      </w:r>
      <w:r w:rsidR="007B2DAD">
        <w:rPr>
          <w:rFonts w:cs="Arial"/>
          <w:bCs/>
          <w:szCs w:val="22"/>
        </w:rPr>
        <w:t>The applicant’s calculations are met by a bald denial in the answering affidavit. The amount payable is a matter of a simple calculation and the respondent does not allege or set out to prove</w:t>
      </w:r>
      <w:r w:rsidR="00C50068">
        <w:rPr>
          <w:rStyle w:val="FootnoteReference"/>
          <w:rFonts w:cs="Arial"/>
          <w:bCs/>
          <w:szCs w:val="22"/>
        </w:rPr>
        <w:footnoteReference w:id="3"/>
      </w:r>
      <w:r w:rsidR="007B2DAD">
        <w:rPr>
          <w:rFonts w:cs="Arial"/>
          <w:bCs/>
          <w:szCs w:val="22"/>
        </w:rPr>
        <w:t xml:space="preserve"> that payments were made in addition to the payments alleged </w:t>
      </w:r>
      <w:r w:rsidR="00CF4E9E">
        <w:rPr>
          <w:rFonts w:cs="Arial"/>
          <w:bCs/>
          <w:szCs w:val="22"/>
        </w:rPr>
        <w:t xml:space="preserve">and admitted </w:t>
      </w:r>
      <w:r w:rsidR="007B2DAD">
        <w:rPr>
          <w:rFonts w:cs="Arial"/>
          <w:bCs/>
          <w:szCs w:val="22"/>
        </w:rPr>
        <w:t>by the applicant. The amounts due are therefore not in dispute.</w:t>
      </w:r>
    </w:p>
    <w:p w14:paraId="73E0CDB4" w14:textId="3448564E" w:rsidR="007B7246" w:rsidRDefault="00C25669" w:rsidP="00C25669">
      <w:pPr>
        <w:tabs>
          <w:tab w:val="left" w:pos="567"/>
        </w:tabs>
        <w:spacing w:before="480" w:after="480" w:line="480" w:lineRule="auto"/>
        <w:jc w:val="both"/>
        <w:rPr>
          <w:rFonts w:cs="Arial"/>
          <w:bCs/>
          <w:szCs w:val="22"/>
        </w:rPr>
      </w:pPr>
      <w:r>
        <w:rPr>
          <w:rFonts w:cs="Arial"/>
          <w:bCs/>
          <w:szCs w:val="22"/>
        </w:rPr>
        <w:lastRenderedPageBreak/>
        <w:t>[12]</w:t>
      </w:r>
      <w:r>
        <w:rPr>
          <w:rFonts w:cs="Arial"/>
          <w:bCs/>
          <w:szCs w:val="22"/>
        </w:rPr>
        <w:tab/>
      </w:r>
      <w:r w:rsidR="006109EC">
        <w:rPr>
          <w:rFonts w:cs="Arial"/>
          <w:bCs/>
          <w:szCs w:val="22"/>
        </w:rPr>
        <w:t>The respondent raises a number of defences:</w:t>
      </w:r>
      <w:r w:rsidR="00602403" w:rsidRPr="00602403">
        <w:rPr>
          <w:rStyle w:val="FootnoteReference"/>
          <w:rFonts w:cs="Arial"/>
          <w:bCs/>
          <w:szCs w:val="22"/>
        </w:rPr>
        <w:t xml:space="preserve"> </w:t>
      </w:r>
      <w:r w:rsidR="00602403">
        <w:rPr>
          <w:rStyle w:val="FootnoteReference"/>
          <w:rFonts w:cs="Arial"/>
          <w:bCs/>
          <w:szCs w:val="22"/>
        </w:rPr>
        <w:footnoteReference w:id="4"/>
      </w:r>
    </w:p>
    <w:p w14:paraId="6C415C8C" w14:textId="11EC60C0" w:rsidR="00571E81" w:rsidRDefault="00C25669" w:rsidP="00C25669">
      <w:pPr>
        <w:tabs>
          <w:tab w:val="left" w:pos="1418"/>
        </w:tabs>
        <w:spacing w:before="480" w:after="480" w:line="480" w:lineRule="auto"/>
        <w:ind w:left="1418" w:hanging="851"/>
        <w:jc w:val="both"/>
        <w:rPr>
          <w:rFonts w:cs="Arial"/>
          <w:bCs/>
          <w:szCs w:val="22"/>
        </w:rPr>
      </w:pPr>
      <w:r>
        <w:rPr>
          <w:rFonts w:cs="Arial"/>
          <w:bCs/>
          <w:szCs w:val="22"/>
        </w:rPr>
        <w:t>12.1</w:t>
      </w:r>
      <w:r>
        <w:rPr>
          <w:rFonts w:cs="Arial"/>
          <w:bCs/>
          <w:szCs w:val="22"/>
        </w:rPr>
        <w:tab/>
      </w:r>
      <w:r w:rsidR="006109EC">
        <w:rPr>
          <w:rFonts w:cs="Arial"/>
          <w:bCs/>
          <w:szCs w:val="22"/>
        </w:rPr>
        <w:t>He states that his case was not properly presented to the court when the matter was argued in 2019;</w:t>
      </w:r>
    </w:p>
    <w:p w14:paraId="63CA3ADF" w14:textId="22C24561" w:rsidR="00571E81" w:rsidRDefault="00C25669" w:rsidP="00C25669">
      <w:pPr>
        <w:tabs>
          <w:tab w:val="left" w:pos="1418"/>
        </w:tabs>
        <w:spacing w:before="480" w:after="480" w:line="480" w:lineRule="auto"/>
        <w:ind w:left="1418" w:hanging="851"/>
        <w:jc w:val="both"/>
        <w:rPr>
          <w:rFonts w:cs="Arial"/>
          <w:bCs/>
          <w:szCs w:val="22"/>
        </w:rPr>
      </w:pPr>
      <w:r>
        <w:rPr>
          <w:rFonts w:cs="Arial"/>
          <w:bCs/>
          <w:szCs w:val="22"/>
        </w:rPr>
        <w:t>12.2</w:t>
      </w:r>
      <w:r>
        <w:rPr>
          <w:rFonts w:cs="Arial"/>
          <w:bCs/>
          <w:szCs w:val="22"/>
        </w:rPr>
        <w:tab/>
      </w:r>
      <w:r w:rsidR="00602403">
        <w:rPr>
          <w:rFonts w:cs="Arial"/>
          <w:bCs/>
          <w:szCs w:val="22"/>
        </w:rPr>
        <w:t>He suffers from severe stress and is receiving treatment;</w:t>
      </w:r>
    </w:p>
    <w:p w14:paraId="47C742AF" w14:textId="4956D1FA" w:rsidR="00571E81" w:rsidRDefault="00C25669" w:rsidP="00C25669">
      <w:pPr>
        <w:tabs>
          <w:tab w:val="left" w:pos="1418"/>
        </w:tabs>
        <w:spacing w:before="480" w:after="480" w:line="480" w:lineRule="auto"/>
        <w:ind w:left="1418" w:hanging="851"/>
        <w:jc w:val="both"/>
        <w:rPr>
          <w:rFonts w:cs="Arial"/>
          <w:bCs/>
          <w:szCs w:val="22"/>
        </w:rPr>
      </w:pPr>
      <w:r>
        <w:rPr>
          <w:rFonts w:cs="Arial"/>
          <w:bCs/>
          <w:szCs w:val="22"/>
        </w:rPr>
        <w:t>12.3</w:t>
      </w:r>
      <w:r>
        <w:rPr>
          <w:rFonts w:cs="Arial"/>
          <w:bCs/>
          <w:szCs w:val="22"/>
        </w:rPr>
        <w:tab/>
      </w:r>
      <w:r w:rsidR="00E05572">
        <w:rPr>
          <w:rFonts w:cs="Arial"/>
          <w:bCs/>
          <w:szCs w:val="22"/>
        </w:rPr>
        <w:t>He was not aware that the Rules provided for orders in terms of Rule 43 to be varied until he was advised of this fact by his current attorneys</w:t>
      </w:r>
      <w:r w:rsidR="00CF4E9E">
        <w:rPr>
          <w:rFonts w:cs="Arial"/>
          <w:bCs/>
          <w:szCs w:val="22"/>
        </w:rPr>
        <w:t>;</w:t>
      </w:r>
    </w:p>
    <w:p w14:paraId="1E32B035" w14:textId="367F3667" w:rsidR="00724D82" w:rsidRDefault="00C25669" w:rsidP="00C25669">
      <w:pPr>
        <w:tabs>
          <w:tab w:val="left" w:pos="1418"/>
        </w:tabs>
        <w:spacing w:before="480" w:after="480" w:line="480" w:lineRule="auto"/>
        <w:ind w:left="1418" w:hanging="851"/>
        <w:jc w:val="both"/>
        <w:rPr>
          <w:rFonts w:cs="Arial"/>
          <w:bCs/>
          <w:szCs w:val="22"/>
        </w:rPr>
      </w:pPr>
      <w:r>
        <w:rPr>
          <w:rFonts w:cs="Arial"/>
          <w:bCs/>
          <w:szCs w:val="22"/>
        </w:rPr>
        <w:t>12.4</w:t>
      </w:r>
      <w:r>
        <w:rPr>
          <w:rFonts w:cs="Arial"/>
          <w:bCs/>
          <w:szCs w:val="22"/>
        </w:rPr>
        <w:tab/>
      </w:r>
      <w:r w:rsidR="00724D82">
        <w:rPr>
          <w:rFonts w:cs="Arial"/>
          <w:bCs/>
          <w:szCs w:val="22"/>
        </w:rPr>
        <w:t>He was unable to comply with the order since the day it was granted.</w:t>
      </w:r>
      <w:r w:rsidR="00724D82">
        <w:rPr>
          <w:rStyle w:val="FootnoteReference"/>
          <w:sz w:val="23"/>
          <w:szCs w:val="23"/>
        </w:rPr>
        <w:footnoteReference w:id="5"/>
      </w:r>
    </w:p>
    <w:p w14:paraId="3CD0AED8" w14:textId="7F3F3272" w:rsidR="00140CED" w:rsidRPr="00140CED" w:rsidRDefault="00C25669" w:rsidP="00C25669">
      <w:pPr>
        <w:tabs>
          <w:tab w:val="left" w:pos="567"/>
        </w:tabs>
        <w:spacing w:before="480" w:after="480" w:line="480" w:lineRule="auto"/>
        <w:jc w:val="both"/>
        <w:rPr>
          <w:rFonts w:cs="Arial"/>
          <w:bCs/>
          <w:szCs w:val="22"/>
        </w:rPr>
      </w:pPr>
      <w:r w:rsidRPr="00140CED">
        <w:rPr>
          <w:rFonts w:cs="Arial"/>
          <w:bCs/>
          <w:szCs w:val="22"/>
        </w:rPr>
        <w:t>[13]</w:t>
      </w:r>
      <w:r w:rsidRPr="00140CED">
        <w:rPr>
          <w:rFonts w:cs="Arial"/>
          <w:bCs/>
          <w:szCs w:val="22"/>
        </w:rPr>
        <w:tab/>
      </w:r>
      <w:r w:rsidR="00140CED">
        <w:rPr>
          <w:sz w:val="23"/>
          <w:szCs w:val="23"/>
        </w:rPr>
        <w:t>The respondent deals with his income from the company incorporated in October 2019.</w:t>
      </w:r>
      <w:r w:rsidR="00140CED">
        <w:rPr>
          <w:rStyle w:val="FootnoteReference"/>
          <w:sz w:val="23"/>
          <w:szCs w:val="23"/>
        </w:rPr>
        <w:footnoteReference w:id="6"/>
      </w:r>
      <w:r w:rsidR="00140CED">
        <w:rPr>
          <w:sz w:val="23"/>
          <w:szCs w:val="23"/>
        </w:rPr>
        <w:t xml:space="preserve"> The financial statements he annexes, some of them redacted,</w:t>
      </w:r>
      <w:r w:rsidR="00140CED">
        <w:rPr>
          <w:rStyle w:val="FootnoteReference"/>
          <w:sz w:val="23"/>
          <w:szCs w:val="23"/>
        </w:rPr>
        <w:footnoteReference w:id="7"/>
      </w:r>
      <w:r w:rsidR="00140CED">
        <w:rPr>
          <w:sz w:val="23"/>
          <w:szCs w:val="23"/>
        </w:rPr>
        <w:t xml:space="preserve"> are those of the company. He also deals with withdrawals from a provident fund</w:t>
      </w:r>
      <w:r w:rsidR="00140CED">
        <w:rPr>
          <w:rStyle w:val="FootnoteReference"/>
          <w:sz w:val="23"/>
          <w:szCs w:val="23"/>
        </w:rPr>
        <w:footnoteReference w:id="8"/>
      </w:r>
      <w:r w:rsidR="00140CED">
        <w:rPr>
          <w:sz w:val="23"/>
          <w:szCs w:val="23"/>
        </w:rPr>
        <w:t xml:space="preserve"> and attaches </w:t>
      </w:r>
      <w:r w:rsidR="00CF4E9E">
        <w:rPr>
          <w:sz w:val="23"/>
          <w:szCs w:val="23"/>
        </w:rPr>
        <w:t>p</w:t>
      </w:r>
      <w:r w:rsidR="00140CED">
        <w:rPr>
          <w:sz w:val="23"/>
          <w:szCs w:val="23"/>
        </w:rPr>
        <w:t>ersonal bank statements.</w:t>
      </w:r>
      <w:r w:rsidR="00140CED">
        <w:rPr>
          <w:rStyle w:val="FootnoteReference"/>
          <w:sz w:val="23"/>
          <w:szCs w:val="23"/>
        </w:rPr>
        <w:footnoteReference w:id="9"/>
      </w:r>
    </w:p>
    <w:p w14:paraId="03CA279B" w14:textId="637E4C3A" w:rsidR="00F92AA4" w:rsidRDefault="00C25669" w:rsidP="00C25669">
      <w:pPr>
        <w:tabs>
          <w:tab w:val="left" w:pos="567"/>
        </w:tabs>
        <w:spacing w:before="480" w:after="480" w:line="480" w:lineRule="auto"/>
        <w:jc w:val="both"/>
        <w:rPr>
          <w:rFonts w:cs="Arial"/>
          <w:bCs/>
          <w:szCs w:val="22"/>
        </w:rPr>
      </w:pPr>
      <w:r>
        <w:rPr>
          <w:rFonts w:cs="Arial"/>
          <w:bCs/>
          <w:szCs w:val="22"/>
        </w:rPr>
        <w:t>[14]</w:t>
      </w:r>
      <w:r>
        <w:rPr>
          <w:rFonts w:cs="Arial"/>
          <w:bCs/>
          <w:szCs w:val="22"/>
        </w:rPr>
        <w:tab/>
      </w:r>
      <w:r w:rsidR="00CF7848">
        <w:rPr>
          <w:rFonts w:cs="Arial"/>
          <w:bCs/>
          <w:szCs w:val="22"/>
        </w:rPr>
        <w:t>The respondent then goes on to say that</w:t>
      </w:r>
      <w:r w:rsidR="00F92AA4">
        <w:rPr>
          <w:rFonts w:cs="Arial"/>
          <w:bCs/>
          <w:szCs w:val="22"/>
        </w:rPr>
        <w:t>:</w:t>
      </w:r>
      <w:r w:rsidR="00F92AA4" w:rsidRPr="00F92AA4">
        <w:rPr>
          <w:rStyle w:val="FootnoteReference"/>
          <w:rFonts w:cs="Arial"/>
          <w:bCs/>
          <w:szCs w:val="22"/>
        </w:rPr>
        <w:t xml:space="preserve"> </w:t>
      </w:r>
      <w:r w:rsidR="00F92AA4">
        <w:rPr>
          <w:rStyle w:val="FootnoteReference"/>
          <w:rFonts w:cs="Arial"/>
          <w:bCs/>
          <w:szCs w:val="22"/>
        </w:rPr>
        <w:footnoteReference w:id="10"/>
      </w:r>
    </w:p>
    <w:p w14:paraId="04D228BE" w14:textId="066B7543" w:rsidR="00F92AA4" w:rsidRPr="00AB4C6D" w:rsidRDefault="00C25669" w:rsidP="00C25669">
      <w:pPr>
        <w:tabs>
          <w:tab w:val="left" w:pos="1418"/>
        </w:tabs>
        <w:spacing w:before="480" w:after="480" w:line="480" w:lineRule="auto"/>
        <w:ind w:left="1418" w:hanging="851"/>
        <w:jc w:val="both"/>
        <w:rPr>
          <w:rFonts w:cs="Arial"/>
          <w:bCs/>
          <w:szCs w:val="22"/>
        </w:rPr>
      </w:pPr>
      <w:r w:rsidRPr="00AB4C6D">
        <w:rPr>
          <w:rFonts w:cs="Arial"/>
          <w:bCs/>
          <w:szCs w:val="22"/>
        </w:rPr>
        <w:t>14.1</w:t>
      </w:r>
      <w:r w:rsidRPr="00AB4C6D">
        <w:rPr>
          <w:rFonts w:cs="Arial"/>
          <w:bCs/>
          <w:szCs w:val="22"/>
        </w:rPr>
        <w:tab/>
      </w:r>
      <w:r w:rsidR="00F92AA4" w:rsidRPr="00AB4C6D">
        <w:rPr>
          <w:rFonts w:cs="Arial"/>
          <w:bCs/>
          <w:szCs w:val="22"/>
        </w:rPr>
        <w:t>H</w:t>
      </w:r>
      <w:r w:rsidR="00CF7848" w:rsidRPr="00AB4C6D">
        <w:rPr>
          <w:rFonts w:cs="Arial"/>
          <w:bCs/>
          <w:szCs w:val="22"/>
        </w:rPr>
        <w:t>is income from the company he controls was R1 308 691 for the year ending in February 2020 and R684 490 for the year ending February 2021.</w:t>
      </w:r>
      <w:r w:rsidR="00810CA3" w:rsidRPr="00AB4C6D">
        <w:rPr>
          <w:rFonts w:cs="Arial"/>
          <w:bCs/>
          <w:szCs w:val="22"/>
        </w:rPr>
        <w:t xml:space="preserve"> For the year ending February 2022 his income was R1 230 869.</w:t>
      </w:r>
    </w:p>
    <w:p w14:paraId="4CA8BCF9" w14:textId="46F02941" w:rsidR="006150CE" w:rsidRDefault="00C25669" w:rsidP="00C25669">
      <w:pPr>
        <w:tabs>
          <w:tab w:val="left" w:pos="2268"/>
        </w:tabs>
        <w:spacing w:before="480" w:after="480" w:line="480" w:lineRule="auto"/>
        <w:ind w:left="2268" w:hanging="850"/>
        <w:jc w:val="both"/>
        <w:rPr>
          <w:rFonts w:cs="Arial"/>
          <w:bCs/>
          <w:szCs w:val="22"/>
        </w:rPr>
      </w:pPr>
      <w:r>
        <w:rPr>
          <w:rFonts w:cs="Arial"/>
          <w:bCs/>
          <w:szCs w:val="22"/>
        </w:rPr>
        <w:lastRenderedPageBreak/>
        <w:t>14.1.1</w:t>
      </w:r>
      <w:r>
        <w:rPr>
          <w:rFonts w:cs="Arial"/>
          <w:bCs/>
          <w:szCs w:val="22"/>
        </w:rPr>
        <w:tab/>
      </w:r>
      <w:r w:rsidR="00CB1536">
        <w:rPr>
          <w:rFonts w:cs="Arial"/>
          <w:bCs/>
          <w:szCs w:val="22"/>
        </w:rPr>
        <w:t>However, according the financial statements attached to the answering affidavit his salary for the year ending February 2020 was only R480 000 (and not R1 308 691).</w:t>
      </w:r>
      <w:r w:rsidR="00CB1536">
        <w:rPr>
          <w:rStyle w:val="FootnoteReference"/>
          <w:rFonts w:cs="Arial"/>
          <w:bCs/>
          <w:szCs w:val="22"/>
        </w:rPr>
        <w:footnoteReference w:id="11"/>
      </w:r>
      <w:r w:rsidR="00CB1536">
        <w:rPr>
          <w:rFonts w:cs="Arial"/>
          <w:bCs/>
          <w:szCs w:val="22"/>
        </w:rPr>
        <w:t xml:space="preserve"> Similarly, his salary for the year ending February 2021 was R387 643 (and not R684 490)</w:t>
      </w:r>
      <w:r w:rsidR="00CB1536">
        <w:rPr>
          <w:rStyle w:val="FootnoteReference"/>
          <w:rFonts w:cs="Arial"/>
          <w:bCs/>
          <w:szCs w:val="22"/>
        </w:rPr>
        <w:footnoteReference w:id="12"/>
      </w:r>
      <w:r w:rsidR="00CB1536">
        <w:rPr>
          <w:rFonts w:cs="Arial"/>
          <w:bCs/>
          <w:szCs w:val="22"/>
        </w:rPr>
        <w:t xml:space="preserve"> and for the year ending February 2022 his salary was R485 000 (and not R1 230 869).</w:t>
      </w:r>
      <w:r w:rsidR="00CB1536">
        <w:rPr>
          <w:rStyle w:val="FootnoteReference"/>
          <w:rFonts w:cs="Arial"/>
          <w:bCs/>
          <w:szCs w:val="22"/>
        </w:rPr>
        <w:footnoteReference w:id="13"/>
      </w:r>
      <w:r w:rsidR="00A26214">
        <w:rPr>
          <w:rFonts w:cs="Arial"/>
          <w:bCs/>
          <w:szCs w:val="22"/>
        </w:rPr>
        <w:t xml:space="preserve"> </w:t>
      </w:r>
    </w:p>
    <w:p w14:paraId="15093C6B" w14:textId="2F64BE95" w:rsidR="00B72ADA" w:rsidRDefault="00C25669" w:rsidP="00C25669">
      <w:pPr>
        <w:tabs>
          <w:tab w:val="left" w:pos="2268"/>
        </w:tabs>
        <w:spacing w:before="480" w:after="480" w:line="480" w:lineRule="auto"/>
        <w:ind w:left="2268" w:hanging="850"/>
        <w:jc w:val="both"/>
        <w:rPr>
          <w:rFonts w:cs="Arial"/>
          <w:bCs/>
          <w:szCs w:val="22"/>
        </w:rPr>
      </w:pPr>
      <w:r>
        <w:rPr>
          <w:rFonts w:cs="Arial"/>
          <w:bCs/>
          <w:szCs w:val="22"/>
        </w:rPr>
        <w:t>14.1.2</w:t>
      </w:r>
      <w:r>
        <w:rPr>
          <w:rFonts w:cs="Arial"/>
          <w:bCs/>
          <w:szCs w:val="22"/>
        </w:rPr>
        <w:tab/>
      </w:r>
      <w:r w:rsidR="00A26214">
        <w:rPr>
          <w:rFonts w:cs="Arial"/>
          <w:bCs/>
          <w:szCs w:val="22"/>
        </w:rPr>
        <w:t xml:space="preserve">It is therefore not possible to determine the facts, and it is not clear whether the lower amounts exclude amounts that are included in the higher amounts for the same year. </w:t>
      </w:r>
    </w:p>
    <w:p w14:paraId="5F4649F4" w14:textId="5201F019" w:rsidR="00B72ADA" w:rsidRDefault="00C25669" w:rsidP="00C25669">
      <w:pPr>
        <w:tabs>
          <w:tab w:val="left" w:pos="2268"/>
        </w:tabs>
        <w:spacing w:before="480" w:after="480" w:line="480" w:lineRule="auto"/>
        <w:ind w:left="2268" w:hanging="850"/>
        <w:jc w:val="both"/>
        <w:rPr>
          <w:rFonts w:cs="Arial"/>
          <w:bCs/>
          <w:szCs w:val="22"/>
        </w:rPr>
      </w:pPr>
      <w:r>
        <w:rPr>
          <w:rFonts w:cs="Arial"/>
          <w:bCs/>
          <w:szCs w:val="22"/>
        </w:rPr>
        <w:t>14.1.3</w:t>
      </w:r>
      <w:r>
        <w:rPr>
          <w:rFonts w:cs="Arial"/>
          <w:bCs/>
          <w:szCs w:val="22"/>
        </w:rPr>
        <w:tab/>
      </w:r>
      <w:r w:rsidR="00A26214">
        <w:rPr>
          <w:rFonts w:cs="Arial"/>
          <w:bCs/>
          <w:szCs w:val="22"/>
        </w:rPr>
        <w:t>No other sources of income are listed and it is not apparent whether there are other sources of income.</w:t>
      </w:r>
    </w:p>
    <w:p w14:paraId="04A57B4B" w14:textId="2706FC18" w:rsidR="00CB1536" w:rsidRDefault="00C25669" w:rsidP="00C25669">
      <w:pPr>
        <w:tabs>
          <w:tab w:val="left" w:pos="2268"/>
        </w:tabs>
        <w:spacing w:before="480" w:after="480" w:line="480" w:lineRule="auto"/>
        <w:ind w:left="2268" w:hanging="850"/>
        <w:jc w:val="both"/>
        <w:rPr>
          <w:rFonts w:cs="Arial"/>
          <w:bCs/>
          <w:szCs w:val="22"/>
        </w:rPr>
      </w:pPr>
      <w:r>
        <w:rPr>
          <w:rFonts w:cs="Arial"/>
          <w:bCs/>
          <w:szCs w:val="22"/>
        </w:rPr>
        <w:t>14.1.4</w:t>
      </w:r>
      <w:r>
        <w:rPr>
          <w:rFonts w:cs="Arial"/>
          <w:bCs/>
          <w:szCs w:val="22"/>
        </w:rPr>
        <w:tab/>
      </w:r>
      <w:r w:rsidR="00B72ADA">
        <w:rPr>
          <w:rFonts w:cs="Arial"/>
          <w:bCs/>
          <w:szCs w:val="22"/>
        </w:rPr>
        <w:t>In the financial disclosure forms submitted by the respondent there is a reference to a company that does not feature in the answering affidavit. The name of the company is Ngwanye (Pty) Ltd and it is alleged that the respondent is a creditor of this company.</w:t>
      </w:r>
      <w:r w:rsidR="00B72ADA">
        <w:rPr>
          <w:rStyle w:val="FootnoteReference"/>
          <w:rFonts w:cs="Arial"/>
          <w:bCs/>
          <w:szCs w:val="22"/>
        </w:rPr>
        <w:footnoteReference w:id="14"/>
      </w:r>
      <w:r w:rsidR="00B72ADA">
        <w:rPr>
          <w:rFonts w:cs="Arial"/>
          <w:bCs/>
          <w:szCs w:val="22"/>
        </w:rPr>
        <w:t xml:space="preserve"> When the financial disclosure forms were filed respondent predicted an annual income of R300</w:t>
      </w:r>
      <w:r w:rsidR="00CF4E9E">
        <w:rPr>
          <w:rFonts w:cs="Arial"/>
          <w:bCs/>
          <w:szCs w:val="22"/>
        </w:rPr>
        <w:t> </w:t>
      </w:r>
      <w:r w:rsidR="00B72ADA">
        <w:rPr>
          <w:rFonts w:cs="Arial"/>
          <w:bCs/>
          <w:szCs w:val="22"/>
        </w:rPr>
        <w:t>000</w:t>
      </w:r>
      <w:r w:rsidR="00CF4E9E">
        <w:rPr>
          <w:rFonts w:cs="Arial"/>
          <w:bCs/>
          <w:szCs w:val="22"/>
        </w:rPr>
        <w:t xml:space="preserve"> to him from this company</w:t>
      </w:r>
      <w:r w:rsidR="00B72ADA">
        <w:rPr>
          <w:rFonts w:cs="Arial"/>
          <w:bCs/>
          <w:szCs w:val="22"/>
        </w:rPr>
        <w:t>.</w:t>
      </w:r>
      <w:r w:rsidR="004B33CB">
        <w:rPr>
          <w:rFonts w:cs="Arial"/>
          <w:bCs/>
          <w:szCs w:val="22"/>
        </w:rPr>
        <w:t xml:space="preserve"> It is not known what happened to this company.</w:t>
      </w:r>
    </w:p>
    <w:p w14:paraId="6A532F41" w14:textId="0A52D6CC" w:rsidR="00015D74" w:rsidRDefault="00C25669" w:rsidP="00C25669">
      <w:pPr>
        <w:tabs>
          <w:tab w:val="left" w:pos="1418"/>
        </w:tabs>
        <w:spacing w:before="480" w:after="480" w:line="480" w:lineRule="auto"/>
        <w:ind w:left="1418" w:hanging="851"/>
        <w:jc w:val="both"/>
        <w:rPr>
          <w:rFonts w:cs="Arial"/>
          <w:bCs/>
          <w:szCs w:val="22"/>
        </w:rPr>
      </w:pPr>
      <w:r>
        <w:rPr>
          <w:rFonts w:cs="Arial"/>
          <w:bCs/>
          <w:szCs w:val="22"/>
        </w:rPr>
        <w:lastRenderedPageBreak/>
        <w:t>14.2</w:t>
      </w:r>
      <w:r>
        <w:rPr>
          <w:rFonts w:cs="Arial"/>
          <w:bCs/>
          <w:szCs w:val="22"/>
        </w:rPr>
        <w:tab/>
      </w:r>
      <w:r w:rsidR="00393127">
        <w:rPr>
          <w:rFonts w:cs="Arial"/>
          <w:bCs/>
          <w:szCs w:val="22"/>
        </w:rPr>
        <w:t>The respondent attaches personal bank statements for March 2021</w:t>
      </w:r>
      <w:r w:rsidR="00AB4C6D">
        <w:rPr>
          <w:rFonts w:cs="Arial"/>
          <w:bCs/>
          <w:szCs w:val="22"/>
        </w:rPr>
        <w:t xml:space="preserve"> to 2022.</w:t>
      </w:r>
      <w:r w:rsidR="00393127">
        <w:rPr>
          <w:rStyle w:val="FootnoteReference"/>
          <w:rFonts w:cs="Arial"/>
          <w:bCs/>
          <w:szCs w:val="22"/>
        </w:rPr>
        <w:footnoteReference w:id="15"/>
      </w:r>
      <w:r w:rsidR="00015D74">
        <w:rPr>
          <w:rFonts w:cs="Arial"/>
          <w:bCs/>
          <w:szCs w:val="22"/>
        </w:rPr>
        <w:t xml:space="preserve"> </w:t>
      </w:r>
    </w:p>
    <w:p w14:paraId="2858D509" w14:textId="711D40FB" w:rsidR="00393127" w:rsidRDefault="00C25669" w:rsidP="00C25669">
      <w:pPr>
        <w:tabs>
          <w:tab w:val="left" w:pos="2268"/>
        </w:tabs>
        <w:spacing w:before="480" w:after="480" w:line="480" w:lineRule="auto"/>
        <w:ind w:left="2268" w:hanging="850"/>
        <w:jc w:val="both"/>
        <w:rPr>
          <w:rFonts w:cs="Arial"/>
          <w:bCs/>
          <w:szCs w:val="22"/>
        </w:rPr>
      </w:pPr>
      <w:r>
        <w:rPr>
          <w:rFonts w:cs="Arial"/>
          <w:bCs/>
          <w:szCs w:val="22"/>
        </w:rPr>
        <w:t>14.2.1</w:t>
      </w:r>
      <w:r>
        <w:rPr>
          <w:rFonts w:cs="Arial"/>
          <w:bCs/>
          <w:szCs w:val="22"/>
        </w:rPr>
        <w:tab/>
      </w:r>
      <w:r w:rsidR="00015D74">
        <w:rPr>
          <w:rFonts w:cs="Arial"/>
          <w:bCs/>
          <w:szCs w:val="22"/>
        </w:rPr>
        <w:t>It is not apparent whether he has, or has access to  any other bank accounts</w:t>
      </w:r>
      <w:r w:rsidR="00724D82">
        <w:rPr>
          <w:rFonts w:cs="Arial"/>
          <w:bCs/>
          <w:szCs w:val="22"/>
        </w:rPr>
        <w:t>.</w:t>
      </w:r>
    </w:p>
    <w:p w14:paraId="7F800661" w14:textId="0FB36B04" w:rsidR="00724D82" w:rsidRDefault="00C25669" w:rsidP="00C25669">
      <w:pPr>
        <w:tabs>
          <w:tab w:val="left" w:pos="2268"/>
        </w:tabs>
        <w:spacing w:before="480" w:after="480" w:line="480" w:lineRule="auto"/>
        <w:ind w:left="2268" w:hanging="850"/>
        <w:jc w:val="both"/>
        <w:rPr>
          <w:rFonts w:cs="Arial"/>
          <w:bCs/>
          <w:szCs w:val="22"/>
        </w:rPr>
      </w:pPr>
      <w:r>
        <w:rPr>
          <w:rFonts w:cs="Arial"/>
          <w:bCs/>
          <w:szCs w:val="22"/>
        </w:rPr>
        <w:t>14.2.2</w:t>
      </w:r>
      <w:r>
        <w:rPr>
          <w:rFonts w:cs="Arial"/>
          <w:bCs/>
          <w:szCs w:val="22"/>
        </w:rPr>
        <w:tab/>
      </w:r>
      <w:r w:rsidR="00724D82">
        <w:rPr>
          <w:rFonts w:cs="Arial"/>
          <w:bCs/>
          <w:szCs w:val="22"/>
        </w:rPr>
        <w:t>No inferences can be drawn from the bank statements</w:t>
      </w:r>
      <w:r w:rsidR="00CF4E9E">
        <w:rPr>
          <w:rFonts w:cs="Arial"/>
          <w:bCs/>
          <w:szCs w:val="22"/>
        </w:rPr>
        <w:t xml:space="preserve"> other than</w:t>
      </w:r>
      <w:r w:rsidR="003F7448">
        <w:rPr>
          <w:rFonts w:cs="Arial"/>
          <w:bCs/>
          <w:szCs w:val="22"/>
        </w:rPr>
        <w:t xml:space="preserve"> the</w:t>
      </w:r>
      <w:r w:rsidR="00CF4E9E">
        <w:rPr>
          <w:rFonts w:cs="Arial"/>
          <w:bCs/>
          <w:szCs w:val="22"/>
        </w:rPr>
        <w:t xml:space="preserve"> debits and credits</w:t>
      </w:r>
      <w:r w:rsidR="003F7448">
        <w:rPr>
          <w:rFonts w:cs="Arial"/>
          <w:bCs/>
          <w:szCs w:val="22"/>
        </w:rPr>
        <w:t xml:space="preserve"> listed</w:t>
      </w:r>
      <w:r w:rsidR="00CF4E9E">
        <w:rPr>
          <w:rFonts w:cs="Arial"/>
          <w:bCs/>
          <w:szCs w:val="22"/>
        </w:rPr>
        <w:t>.</w:t>
      </w:r>
    </w:p>
    <w:p w14:paraId="29347913" w14:textId="5C4CF72D" w:rsidR="00F92AA4" w:rsidRDefault="00C25669" w:rsidP="00C25669">
      <w:pPr>
        <w:tabs>
          <w:tab w:val="left" w:pos="1418"/>
        </w:tabs>
        <w:spacing w:before="480" w:after="480" w:line="480" w:lineRule="auto"/>
        <w:ind w:left="1418" w:hanging="851"/>
        <w:jc w:val="both"/>
        <w:rPr>
          <w:rFonts w:cs="Arial"/>
          <w:bCs/>
          <w:szCs w:val="22"/>
        </w:rPr>
      </w:pPr>
      <w:r>
        <w:rPr>
          <w:rFonts w:cs="Arial"/>
          <w:bCs/>
          <w:szCs w:val="22"/>
        </w:rPr>
        <w:t>14.3</w:t>
      </w:r>
      <w:r>
        <w:rPr>
          <w:rFonts w:cs="Arial"/>
          <w:bCs/>
          <w:szCs w:val="22"/>
        </w:rPr>
        <w:tab/>
      </w:r>
      <w:r w:rsidR="00F92AA4">
        <w:rPr>
          <w:rFonts w:cs="Arial"/>
          <w:bCs/>
          <w:szCs w:val="22"/>
        </w:rPr>
        <w:t>The Covid19 pandemic of March 2020 impacted on his business</w:t>
      </w:r>
      <w:r w:rsidR="00724D82">
        <w:rPr>
          <w:rFonts w:cs="Arial"/>
          <w:bCs/>
          <w:szCs w:val="22"/>
        </w:rPr>
        <w:t>.</w:t>
      </w:r>
    </w:p>
    <w:p w14:paraId="0CFB7F5F" w14:textId="1D3A2FEA" w:rsidR="003047C2" w:rsidRDefault="00C25669" w:rsidP="00C25669">
      <w:pPr>
        <w:tabs>
          <w:tab w:val="left" w:pos="1418"/>
        </w:tabs>
        <w:spacing w:before="480" w:after="480" w:line="480" w:lineRule="auto"/>
        <w:ind w:left="1418" w:hanging="851"/>
        <w:jc w:val="both"/>
        <w:rPr>
          <w:rFonts w:cs="Arial"/>
          <w:bCs/>
          <w:szCs w:val="22"/>
        </w:rPr>
      </w:pPr>
      <w:r>
        <w:rPr>
          <w:rFonts w:cs="Arial"/>
          <w:bCs/>
          <w:szCs w:val="22"/>
        </w:rPr>
        <w:t>14.4</w:t>
      </w:r>
      <w:r>
        <w:rPr>
          <w:rFonts w:cs="Arial"/>
          <w:bCs/>
          <w:szCs w:val="22"/>
        </w:rPr>
        <w:tab/>
      </w:r>
      <w:r w:rsidR="00F92AA4">
        <w:rPr>
          <w:rFonts w:cs="Arial"/>
          <w:bCs/>
          <w:szCs w:val="22"/>
        </w:rPr>
        <w:t>He moved from luxury accommodation in the upmarket township of  Dainfern to a garden flat at R7 000 per month and from there to a cottage at R15 000 per month.</w:t>
      </w:r>
    </w:p>
    <w:p w14:paraId="0276902E" w14:textId="47AB99DB" w:rsidR="003F7448" w:rsidRDefault="00C25669" w:rsidP="00C25669">
      <w:pPr>
        <w:tabs>
          <w:tab w:val="left" w:pos="1418"/>
        </w:tabs>
        <w:spacing w:before="480" w:after="480" w:line="480" w:lineRule="auto"/>
        <w:ind w:left="1418" w:hanging="851"/>
        <w:jc w:val="both"/>
        <w:rPr>
          <w:rFonts w:cs="Arial"/>
          <w:bCs/>
          <w:szCs w:val="22"/>
        </w:rPr>
      </w:pPr>
      <w:r>
        <w:rPr>
          <w:rFonts w:cs="Arial"/>
          <w:bCs/>
          <w:szCs w:val="22"/>
        </w:rPr>
        <w:t>14.5</w:t>
      </w:r>
      <w:r>
        <w:rPr>
          <w:rFonts w:cs="Arial"/>
          <w:bCs/>
          <w:szCs w:val="22"/>
        </w:rPr>
        <w:tab/>
      </w:r>
      <w:r w:rsidR="003047C2">
        <w:rPr>
          <w:rFonts w:cs="Arial"/>
          <w:bCs/>
          <w:szCs w:val="22"/>
        </w:rPr>
        <w:t xml:space="preserve">He had to deplete his provident fund to make </w:t>
      </w:r>
      <w:r w:rsidR="00724D82">
        <w:rPr>
          <w:rFonts w:cs="Arial"/>
          <w:bCs/>
          <w:szCs w:val="22"/>
        </w:rPr>
        <w:t>maintenance</w:t>
      </w:r>
      <w:r w:rsidR="003047C2">
        <w:rPr>
          <w:rFonts w:cs="Arial"/>
          <w:bCs/>
          <w:szCs w:val="22"/>
        </w:rPr>
        <w:t xml:space="preserve"> payments.</w:t>
      </w:r>
    </w:p>
    <w:p w14:paraId="125334F9" w14:textId="1005C036" w:rsidR="003F7448" w:rsidRDefault="00C25669" w:rsidP="00C25669">
      <w:pPr>
        <w:tabs>
          <w:tab w:val="left" w:pos="2268"/>
        </w:tabs>
        <w:spacing w:before="480" w:after="480" w:line="480" w:lineRule="auto"/>
        <w:ind w:left="2268" w:hanging="850"/>
        <w:jc w:val="both"/>
        <w:rPr>
          <w:rFonts w:cs="Arial"/>
          <w:bCs/>
          <w:szCs w:val="22"/>
        </w:rPr>
      </w:pPr>
      <w:r>
        <w:rPr>
          <w:rFonts w:cs="Arial"/>
          <w:bCs/>
          <w:szCs w:val="22"/>
        </w:rPr>
        <w:t>14.5.1</w:t>
      </w:r>
      <w:r>
        <w:rPr>
          <w:rFonts w:cs="Arial"/>
          <w:bCs/>
          <w:szCs w:val="22"/>
        </w:rPr>
        <w:tab/>
      </w:r>
      <w:r w:rsidR="00373181">
        <w:rPr>
          <w:rFonts w:cs="Arial"/>
          <w:bCs/>
          <w:szCs w:val="22"/>
        </w:rPr>
        <w:t>The document evidencing the provident fund details</w:t>
      </w:r>
      <w:r w:rsidR="00373181">
        <w:rPr>
          <w:rStyle w:val="FootnoteReference"/>
          <w:rFonts w:cs="Arial"/>
          <w:bCs/>
          <w:szCs w:val="22"/>
        </w:rPr>
        <w:footnoteReference w:id="16"/>
      </w:r>
      <w:r w:rsidR="00373181">
        <w:rPr>
          <w:rFonts w:cs="Arial"/>
          <w:bCs/>
          <w:szCs w:val="22"/>
        </w:rPr>
        <w:t xml:space="preserve"> is in the </w:t>
      </w:r>
      <w:r w:rsidR="00E451F9">
        <w:rPr>
          <w:rFonts w:cs="Arial"/>
          <w:bCs/>
          <w:szCs w:val="22"/>
        </w:rPr>
        <w:t>Portuguese</w:t>
      </w:r>
      <w:r w:rsidR="00373181">
        <w:rPr>
          <w:rFonts w:cs="Arial"/>
          <w:bCs/>
          <w:szCs w:val="22"/>
        </w:rPr>
        <w:t xml:space="preserve"> language </w:t>
      </w:r>
      <w:r w:rsidR="004D1A31">
        <w:rPr>
          <w:rFonts w:cs="Arial"/>
          <w:bCs/>
          <w:szCs w:val="22"/>
        </w:rPr>
        <w:t xml:space="preserve">and is therefore not of assistance. </w:t>
      </w:r>
    </w:p>
    <w:p w14:paraId="4DC79828" w14:textId="4BD39B9D" w:rsidR="003F7448" w:rsidRDefault="00C25669" w:rsidP="00C25669">
      <w:pPr>
        <w:tabs>
          <w:tab w:val="left" w:pos="2268"/>
        </w:tabs>
        <w:spacing w:before="480" w:after="480" w:line="480" w:lineRule="auto"/>
        <w:ind w:left="2268" w:hanging="850"/>
        <w:jc w:val="both"/>
        <w:rPr>
          <w:rFonts w:cs="Arial"/>
          <w:bCs/>
          <w:szCs w:val="22"/>
        </w:rPr>
      </w:pPr>
      <w:r>
        <w:rPr>
          <w:rFonts w:cs="Arial"/>
          <w:bCs/>
          <w:szCs w:val="22"/>
        </w:rPr>
        <w:t>14.5.2</w:t>
      </w:r>
      <w:r>
        <w:rPr>
          <w:rFonts w:cs="Arial"/>
          <w:bCs/>
          <w:szCs w:val="22"/>
        </w:rPr>
        <w:tab/>
      </w:r>
      <w:r w:rsidR="004D1A31">
        <w:rPr>
          <w:rFonts w:cs="Arial"/>
          <w:bCs/>
          <w:szCs w:val="22"/>
        </w:rPr>
        <w:t xml:space="preserve">It does show what appears to be a balance of </w:t>
      </w:r>
      <w:r w:rsidR="00AB4C6D">
        <w:rPr>
          <w:rFonts w:cs="Arial"/>
          <w:bCs/>
          <w:szCs w:val="22"/>
        </w:rPr>
        <w:t>P</w:t>
      </w:r>
      <w:r w:rsidR="004D1A31">
        <w:rPr>
          <w:rFonts w:cs="Arial"/>
          <w:bCs/>
          <w:szCs w:val="22"/>
        </w:rPr>
        <w:t xml:space="preserve">57 622 059.38 in December 2018, </w:t>
      </w:r>
      <w:r w:rsidR="00AB4C6D">
        <w:rPr>
          <w:rFonts w:cs="Arial"/>
          <w:bCs/>
          <w:szCs w:val="22"/>
        </w:rPr>
        <w:t>P</w:t>
      </w:r>
      <w:r w:rsidR="004D1A31">
        <w:rPr>
          <w:rFonts w:cs="Arial"/>
          <w:bCs/>
          <w:szCs w:val="22"/>
        </w:rPr>
        <w:t xml:space="preserve">12 823 599.26 in December 2019, </w:t>
      </w:r>
      <w:r w:rsidR="00AB4C6D">
        <w:rPr>
          <w:rFonts w:cs="Arial"/>
          <w:bCs/>
          <w:szCs w:val="22"/>
        </w:rPr>
        <w:t>P</w:t>
      </w:r>
      <w:r w:rsidR="004D1A31">
        <w:rPr>
          <w:rFonts w:cs="Arial"/>
          <w:bCs/>
          <w:szCs w:val="22"/>
        </w:rPr>
        <w:t>207 440.03 in December 2020, and nil in 2021.</w:t>
      </w:r>
    </w:p>
    <w:p w14:paraId="1C6E93C5" w14:textId="2F1821C0" w:rsidR="00CF7848" w:rsidRDefault="00C25669" w:rsidP="00C25669">
      <w:pPr>
        <w:tabs>
          <w:tab w:val="left" w:pos="2268"/>
        </w:tabs>
        <w:spacing w:before="480" w:after="480" w:line="480" w:lineRule="auto"/>
        <w:ind w:left="2268" w:hanging="850"/>
        <w:jc w:val="both"/>
        <w:rPr>
          <w:rFonts w:cs="Arial"/>
          <w:bCs/>
          <w:szCs w:val="22"/>
        </w:rPr>
      </w:pPr>
      <w:r>
        <w:rPr>
          <w:rFonts w:cs="Arial"/>
          <w:bCs/>
          <w:szCs w:val="22"/>
        </w:rPr>
        <w:t>14.5.3</w:t>
      </w:r>
      <w:r>
        <w:rPr>
          <w:rFonts w:cs="Arial"/>
          <w:bCs/>
          <w:szCs w:val="22"/>
        </w:rPr>
        <w:tab/>
      </w:r>
      <w:r w:rsidR="003F7448">
        <w:rPr>
          <w:rFonts w:cs="Arial"/>
          <w:bCs/>
          <w:szCs w:val="22"/>
        </w:rPr>
        <w:t>It is not clear whether he has any other investments.</w:t>
      </w:r>
    </w:p>
    <w:p w14:paraId="4F5E9E24" w14:textId="5A63509B" w:rsidR="00F24108" w:rsidRDefault="00C25669" w:rsidP="00C25669">
      <w:pPr>
        <w:tabs>
          <w:tab w:val="left" w:pos="567"/>
        </w:tabs>
        <w:spacing w:before="480" w:after="480" w:line="480" w:lineRule="auto"/>
        <w:jc w:val="both"/>
        <w:rPr>
          <w:rFonts w:cs="Arial"/>
          <w:bCs/>
          <w:szCs w:val="22"/>
        </w:rPr>
      </w:pPr>
      <w:r>
        <w:rPr>
          <w:rFonts w:cs="Arial"/>
          <w:bCs/>
          <w:szCs w:val="22"/>
        </w:rPr>
        <w:lastRenderedPageBreak/>
        <w:t>[15]</w:t>
      </w:r>
      <w:r>
        <w:rPr>
          <w:rFonts w:cs="Arial"/>
          <w:bCs/>
          <w:szCs w:val="22"/>
        </w:rPr>
        <w:tab/>
      </w:r>
      <w:r w:rsidR="00F24108">
        <w:rPr>
          <w:rFonts w:cs="Arial"/>
          <w:bCs/>
          <w:szCs w:val="22"/>
        </w:rPr>
        <w:t>Nowhere in the answering affidavit does the respondent set out all assets, all liabilities, all income and all expend</w:t>
      </w:r>
      <w:r w:rsidR="00E451F9">
        <w:rPr>
          <w:rFonts w:cs="Arial"/>
          <w:bCs/>
          <w:szCs w:val="22"/>
        </w:rPr>
        <w:t>it</w:t>
      </w:r>
      <w:r w:rsidR="00F24108">
        <w:rPr>
          <w:rFonts w:cs="Arial"/>
          <w:bCs/>
          <w:szCs w:val="22"/>
        </w:rPr>
        <w:t>ure in a fashion one would expect him to do.</w:t>
      </w:r>
    </w:p>
    <w:p w14:paraId="3647D424" w14:textId="77777777" w:rsidR="00F24108" w:rsidRDefault="00F24108" w:rsidP="006150CE">
      <w:pPr>
        <w:spacing w:before="480" w:after="480" w:line="480" w:lineRule="auto"/>
        <w:jc w:val="both"/>
        <w:rPr>
          <w:rFonts w:cs="Arial"/>
          <w:bCs/>
          <w:szCs w:val="22"/>
          <w:u w:val="single"/>
        </w:rPr>
      </w:pPr>
    </w:p>
    <w:p w14:paraId="4FC705D4" w14:textId="1030AC1F" w:rsidR="006150CE" w:rsidRPr="006150CE" w:rsidRDefault="006150CE" w:rsidP="00F24108">
      <w:pPr>
        <w:keepNext/>
        <w:widowControl w:val="0"/>
        <w:spacing w:before="480" w:after="480" w:line="480" w:lineRule="auto"/>
        <w:jc w:val="both"/>
        <w:rPr>
          <w:rFonts w:cs="Arial"/>
          <w:bCs/>
          <w:szCs w:val="22"/>
          <w:u w:val="single"/>
        </w:rPr>
      </w:pPr>
      <w:r w:rsidRPr="006150CE">
        <w:rPr>
          <w:rFonts w:cs="Arial"/>
          <w:bCs/>
          <w:szCs w:val="22"/>
          <w:u w:val="single"/>
        </w:rPr>
        <w:t>THE RULE 43(6) APPLICATION</w:t>
      </w:r>
    </w:p>
    <w:p w14:paraId="570C03BC" w14:textId="7DD47397" w:rsidR="00592B6A" w:rsidRPr="00592B6A" w:rsidRDefault="00C25669" w:rsidP="00C25669">
      <w:pPr>
        <w:keepNext/>
        <w:widowControl w:val="0"/>
        <w:tabs>
          <w:tab w:val="left" w:pos="567"/>
        </w:tabs>
        <w:spacing w:before="480" w:after="480" w:line="480" w:lineRule="auto"/>
        <w:jc w:val="both"/>
        <w:rPr>
          <w:rFonts w:cs="Arial"/>
          <w:bCs/>
          <w:i/>
          <w:iCs/>
          <w:color w:val="000000" w:themeColor="text1"/>
          <w:szCs w:val="22"/>
        </w:rPr>
      </w:pPr>
      <w:r w:rsidRPr="00592B6A">
        <w:rPr>
          <w:rFonts w:cs="Arial"/>
          <w:bCs/>
          <w:iCs/>
          <w:szCs w:val="22"/>
        </w:rPr>
        <w:t>[16]</w:t>
      </w:r>
      <w:r w:rsidRPr="00592B6A">
        <w:rPr>
          <w:rFonts w:cs="Arial"/>
          <w:bCs/>
          <w:iCs/>
          <w:szCs w:val="22"/>
        </w:rPr>
        <w:tab/>
      </w:r>
      <w:r w:rsidR="00AA0013">
        <w:rPr>
          <w:rFonts w:cs="Arial"/>
          <w:bCs/>
          <w:szCs w:val="22"/>
        </w:rPr>
        <w:t>The answering affidavit</w:t>
      </w:r>
      <w:r w:rsidR="003F7448">
        <w:rPr>
          <w:rFonts w:cs="Arial"/>
          <w:bCs/>
          <w:szCs w:val="22"/>
        </w:rPr>
        <w:t xml:space="preserve"> in this matter</w:t>
      </w:r>
      <w:r w:rsidR="00AA0013">
        <w:rPr>
          <w:rFonts w:cs="Arial"/>
          <w:bCs/>
          <w:szCs w:val="22"/>
        </w:rPr>
        <w:t xml:space="preserve"> was signed on 14 April 2022. The matter was enrolled for the motion court week of 3 to 7 October 2022. On Friday, 30 September 2022 the respondent brought an application in terms of Rule 43(6) for an order varying the November 2019 order. </w:t>
      </w:r>
    </w:p>
    <w:p w14:paraId="02F830D9" w14:textId="08F6C446" w:rsidR="00592B6A" w:rsidRDefault="00C25669" w:rsidP="00C25669">
      <w:pPr>
        <w:tabs>
          <w:tab w:val="left" w:pos="567"/>
        </w:tabs>
        <w:spacing w:before="480" w:after="480" w:line="480" w:lineRule="auto"/>
        <w:jc w:val="both"/>
        <w:rPr>
          <w:rFonts w:cs="Arial"/>
          <w:bCs/>
          <w:szCs w:val="22"/>
        </w:rPr>
      </w:pPr>
      <w:r>
        <w:rPr>
          <w:rFonts w:cs="Arial"/>
          <w:bCs/>
          <w:szCs w:val="22"/>
        </w:rPr>
        <w:t>[17]</w:t>
      </w:r>
      <w:r>
        <w:rPr>
          <w:rFonts w:cs="Arial"/>
          <w:bCs/>
          <w:szCs w:val="22"/>
        </w:rPr>
        <w:tab/>
      </w:r>
      <w:r w:rsidR="00AA0013">
        <w:rPr>
          <w:rFonts w:cs="Arial"/>
          <w:bCs/>
          <w:szCs w:val="22"/>
        </w:rPr>
        <w:t>The application for a variation was brought two years and nine months after the order</w:t>
      </w:r>
      <w:r w:rsidR="00F24108">
        <w:rPr>
          <w:rFonts w:cs="Arial"/>
          <w:bCs/>
          <w:szCs w:val="22"/>
        </w:rPr>
        <w:t xml:space="preserve"> and five months after it was hinted at in the answering affidavit in this application</w:t>
      </w:r>
      <w:r w:rsidR="00AA0013">
        <w:rPr>
          <w:rFonts w:cs="Arial"/>
          <w:bCs/>
          <w:szCs w:val="22"/>
        </w:rPr>
        <w:t>.</w:t>
      </w:r>
      <w:r w:rsidR="00AA0013" w:rsidRPr="006150CE">
        <w:rPr>
          <w:rFonts w:cs="Arial"/>
          <w:bCs/>
          <w:szCs w:val="22"/>
        </w:rPr>
        <w:t xml:space="preserve"> </w:t>
      </w:r>
      <w:r w:rsidR="00592B6A">
        <w:rPr>
          <w:rFonts w:cs="Arial"/>
          <w:bCs/>
          <w:szCs w:val="22"/>
        </w:rPr>
        <w:t>In his answering affidavit the respondent states:</w:t>
      </w:r>
      <w:r w:rsidR="00592B6A">
        <w:rPr>
          <w:rStyle w:val="FootnoteReference"/>
          <w:rFonts w:cs="Arial"/>
          <w:bCs/>
          <w:szCs w:val="22"/>
        </w:rPr>
        <w:footnoteReference w:id="17"/>
      </w:r>
      <w:r w:rsidR="00592B6A">
        <w:rPr>
          <w:rFonts w:cs="Arial"/>
          <w:bCs/>
          <w:szCs w:val="22"/>
        </w:rPr>
        <w:t xml:space="preserve"> </w:t>
      </w:r>
    </w:p>
    <w:p w14:paraId="06769761" w14:textId="77777777" w:rsidR="00592B6A" w:rsidRDefault="00592B6A" w:rsidP="00592B6A">
      <w:pPr>
        <w:spacing w:before="480" w:after="480" w:line="480" w:lineRule="auto"/>
        <w:ind w:left="2160"/>
        <w:jc w:val="both"/>
        <w:rPr>
          <w:rFonts w:cs="Arial"/>
          <w:bCs/>
          <w:szCs w:val="22"/>
        </w:rPr>
      </w:pPr>
      <w:r w:rsidRPr="00BC415B">
        <w:rPr>
          <w:rFonts w:cs="Arial"/>
          <w:bCs/>
          <w:i/>
          <w:iCs/>
          <w:szCs w:val="22"/>
        </w:rPr>
        <w:t xml:space="preserve">“I accept now, pursuant to the advice I received from the legal representatives in preparation for this answering affidavit, that I should have taken steps sooner to have the terms of the current </w:t>
      </w:r>
      <w:r>
        <w:rPr>
          <w:rFonts w:cs="Arial"/>
          <w:bCs/>
          <w:i/>
          <w:iCs/>
          <w:szCs w:val="22"/>
        </w:rPr>
        <w:t xml:space="preserve">Rule 43 </w:t>
      </w:r>
      <w:r w:rsidRPr="00BC415B">
        <w:rPr>
          <w:rFonts w:cs="Arial"/>
          <w:bCs/>
          <w:i/>
          <w:iCs/>
          <w:szCs w:val="22"/>
        </w:rPr>
        <w:t>order varied”</w:t>
      </w:r>
    </w:p>
    <w:p w14:paraId="0E9A0D9B" w14:textId="39E45DFF" w:rsidR="00592B6A" w:rsidRPr="00011522" w:rsidRDefault="00C25669" w:rsidP="00C25669">
      <w:pPr>
        <w:tabs>
          <w:tab w:val="left" w:pos="567"/>
        </w:tabs>
        <w:spacing w:before="480" w:after="480" w:line="480" w:lineRule="auto"/>
        <w:jc w:val="both"/>
        <w:rPr>
          <w:rFonts w:cs="Arial"/>
          <w:bCs/>
          <w:i/>
          <w:iCs/>
          <w:szCs w:val="22"/>
        </w:rPr>
      </w:pPr>
      <w:r w:rsidRPr="00011522">
        <w:rPr>
          <w:rFonts w:cs="Arial"/>
          <w:bCs/>
          <w:iCs/>
          <w:szCs w:val="22"/>
        </w:rPr>
        <w:t>[18]</w:t>
      </w:r>
      <w:r w:rsidRPr="00011522">
        <w:rPr>
          <w:rFonts w:cs="Arial"/>
          <w:bCs/>
          <w:iCs/>
          <w:szCs w:val="22"/>
        </w:rPr>
        <w:tab/>
      </w:r>
      <w:r w:rsidR="00592B6A">
        <w:rPr>
          <w:rFonts w:cs="Arial"/>
          <w:bCs/>
          <w:szCs w:val="22"/>
        </w:rPr>
        <w:t>He nevertheless did not apply to court for a variation for a further five months. There is no explanation for the delay on the papers and none was offered in argument, except for a period of four weeks that is explained.</w:t>
      </w:r>
    </w:p>
    <w:p w14:paraId="576D0484" w14:textId="49FE3FDA" w:rsidR="00AA0013" w:rsidRPr="00CB3907" w:rsidRDefault="00C25669" w:rsidP="00C25669">
      <w:pPr>
        <w:tabs>
          <w:tab w:val="left" w:pos="567"/>
        </w:tabs>
        <w:spacing w:before="480" w:after="480" w:line="480" w:lineRule="auto"/>
        <w:jc w:val="both"/>
        <w:rPr>
          <w:rFonts w:cs="Arial"/>
          <w:bCs/>
          <w:i/>
          <w:iCs/>
          <w:color w:val="000000" w:themeColor="text1"/>
          <w:szCs w:val="22"/>
        </w:rPr>
      </w:pPr>
      <w:r w:rsidRPr="00CB3907">
        <w:rPr>
          <w:rFonts w:cs="Arial"/>
          <w:bCs/>
          <w:iCs/>
          <w:szCs w:val="22"/>
        </w:rPr>
        <w:t>[19]</w:t>
      </w:r>
      <w:r w:rsidRPr="00CB3907">
        <w:rPr>
          <w:rFonts w:cs="Arial"/>
          <w:bCs/>
          <w:iCs/>
          <w:szCs w:val="22"/>
        </w:rPr>
        <w:tab/>
      </w:r>
      <w:r w:rsidR="00AA0013">
        <w:rPr>
          <w:rFonts w:cs="Arial"/>
          <w:bCs/>
          <w:szCs w:val="22"/>
        </w:rPr>
        <w:t xml:space="preserve">In the application in terms of Rule 43(6) the respondent (as applicant) seeks an order that the award of November 2019 be varied retrospectively. The respondent’s </w:t>
      </w:r>
      <w:r w:rsidR="00AA0013">
        <w:rPr>
          <w:rFonts w:cs="Arial"/>
          <w:bCs/>
          <w:szCs w:val="22"/>
        </w:rPr>
        <w:lastRenderedPageBreak/>
        <w:t>counsel referred t</w:t>
      </w:r>
      <w:r w:rsidR="00AA0013" w:rsidRPr="00CB3907">
        <w:rPr>
          <w:rFonts w:cs="Arial"/>
          <w:bCs/>
          <w:szCs w:val="22"/>
        </w:rPr>
        <w:t xml:space="preserve">o </w:t>
      </w:r>
      <w:r w:rsidR="00AA0013" w:rsidRPr="00CB3907">
        <w:rPr>
          <w:rFonts w:cs="Arial"/>
          <w:bCs/>
          <w:i/>
          <w:iCs/>
          <w:color w:val="000000" w:themeColor="text1"/>
          <w:shd w:val="clear" w:color="auto" w:fill="FFFFFF"/>
        </w:rPr>
        <w:t>Harwood v Harwood</w:t>
      </w:r>
      <w:r w:rsidR="00AA0013">
        <w:rPr>
          <w:rStyle w:val="FootnoteReference"/>
          <w:rFonts w:cs="Arial"/>
          <w:bCs/>
          <w:i/>
          <w:iCs/>
          <w:color w:val="000000" w:themeColor="text1"/>
          <w:shd w:val="clear" w:color="auto" w:fill="FFFFFF"/>
        </w:rPr>
        <w:footnoteReference w:id="18"/>
      </w:r>
      <w:r w:rsidR="00AA0013" w:rsidRPr="00CB3907">
        <w:rPr>
          <w:rFonts w:cs="Arial"/>
          <w:bCs/>
          <w:color w:val="000000" w:themeColor="text1"/>
          <w:shd w:val="clear" w:color="auto" w:fill="FFFFFF"/>
        </w:rPr>
        <w:t xml:space="preserve"> as authority that this can be done, but the case</w:t>
      </w:r>
      <w:r w:rsidR="00AA0013">
        <w:rPr>
          <w:rFonts w:cs="Arial"/>
          <w:bCs/>
          <w:color w:val="000000" w:themeColor="text1"/>
          <w:shd w:val="clear" w:color="auto" w:fill="FFFFFF"/>
        </w:rPr>
        <w:t xml:space="preserve"> deals with an award of maintenance and not with the variation of an existing order. This is not a question to be decided in this application and I accept without deciding for the purposes of this application that such an order can be varied retrospectively.</w:t>
      </w:r>
      <w:r w:rsidR="00AA0013">
        <w:rPr>
          <w:rStyle w:val="FootnoteReference"/>
          <w:rFonts w:cs="Arial"/>
          <w:bCs/>
          <w:color w:val="000000" w:themeColor="text1"/>
          <w:shd w:val="clear" w:color="auto" w:fill="FFFFFF"/>
        </w:rPr>
        <w:footnoteReference w:id="19"/>
      </w:r>
    </w:p>
    <w:p w14:paraId="0C531D4A" w14:textId="04A1B08A" w:rsidR="00AA0013" w:rsidRPr="00810CA3" w:rsidRDefault="00C25669" w:rsidP="00C25669">
      <w:pPr>
        <w:tabs>
          <w:tab w:val="left" w:pos="567"/>
        </w:tabs>
        <w:spacing w:before="480" w:after="480" w:line="480" w:lineRule="auto"/>
        <w:jc w:val="both"/>
        <w:rPr>
          <w:rFonts w:cs="Arial"/>
          <w:bCs/>
          <w:szCs w:val="22"/>
        </w:rPr>
      </w:pPr>
      <w:r w:rsidRPr="00810CA3">
        <w:rPr>
          <w:rFonts w:cs="Arial"/>
          <w:bCs/>
          <w:szCs w:val="22"/>
        </w:rPr>
        <w:t>[20]</w:t>
      </w:r>
      <w:r w:rsidRPr="00810CA3">
        <w:rPr>
          <w:rFonts w:cs="Arial"/>
          <w:bCs/>
          <w:szCs w:val="22"/>
        </w:rPr>
        <w:tab/>
      </w:r>
      <w:r w:rsidR="00AA0013">
        <w:t>Rule 43(6) provides for a change in circumstances. The court may, “</w:t>
      </w:r>
      <w:r w:rsidR="00AA0013" w:rsidRPr="00EA226B">
        <w:rPr>
          <w:i/>
          <w:iCs/>
        </w:rPr>
        <w:t>on the same procedure,</w:t>
      </w:r>
      <w:r w:rsidR="00AA0013">
        <w:rPr>
          <w:rStyle w:val="FootnoteReference"/>
          <w:i/>
          <w:iCs/>
        </w:rPr>
        <w:footnoteReference w:id="20"/>
      </w:r>
      <w:r w:rsidR="00AA0013" w:rsidRPr="00EA226B">
        <w:rPr>
          <w:i/>
          <w:iCs/>
        </w:rPr>
        <w:t xml:space="preserve"> vary its decision in the event of a material change occurring in the circumstances of either party or a child, or the contribution towards costs proving inadequate</w:t>
      </w:r>
      <w:r w:rsidR="00AA0013" w:rsidRPr="00EA226B">
        <w:rPr>
          <w:rFonts w:cs="Arial"/>
          <w:bCs/>
          <w:i/>
          <w:iCs/>
          <w:szCs w:val="22"/>
        </w:rPr>
        <w:t>.”</w:t>
      </w:r>
      <w:r w:rsidR="00AA0013">
        <w:rPr>
          <w:rFonts w:cs="Arial"/>
          <w:bCs/>
          <w:i/>
          <w:iCs/>
          <w:szCs w:val="22"/>
        </w:rPr>
        <w:t xml:space="preserve"> </w:t>
      </w:r>
      <w:r w:rsidR="00AA0013">
        <w:rPr>
          <w:rFonts w:cs="Arial"/>
        </w:rPr>
        <w:t>Rule 43(6) must be strictly interpreted</w:t>
      </w:r>
      <w:r w:rsidR="00AA0013">
        <w:rPr>
          <w:rFonts w:cs="Arial"/>
          <w:bCs/>
          <w:szCs w:val="22"/>
        </w:rPr>
        <w:t>.</w:t>
      </w:r>
      <w:r w:rsidR="00AA0013">
        <w:rPr>
          <w:rStyle w:val="FootnoteReference"/>
          <w:rFonts w:cs="Arial"/>
          <w:bCs/>
          <w:szCs w:val="22"/>
        </w:rPr>
        <w:footnoteReference w:id="21"/>
      </w:r>
      <w:r w:rsidR="00AA0013" w:rsidRPr="00602403">
        <w:rPr>
          <w:sz w:val="23"/>
          <w:szCs w:val="23"/>
        </w:rPr>
        <w:t xml:space="preserve"> </w:t>
      </w:r>
      <w:r w:rsidR="00AA0013">
        <w:rPr>
          <w:sz w:val="23"/>
          <w:szCs w:val="23"/>
        </w:rPr>
        <w:t>It is not permissible to seek a re-hearing or a review of an existing order under the guise of a Rule 43(6) application, or to appeal the existing order.</w:t>
      </w:r>
    </w:p>
    <w:p w14:paraId="6B97517C" w14:textId="5C42AADC" w:rsidR="00AA0013" w:rsidRPr="00342E02" w:rsidRDefault="00C25669" w:rsidP="00C25669">
      <w:pPr>
        <w:tabs>
          <w:tab w:val="left" w:pos="567"/>
        </w:tabs>
        <w:spacing w:before="480" w:after="480" w:line="480" w:lineRule="auto"/>
        <w:jc w:val="both"/>
        <w:rPr>
          <w:rFonts w:cs="Arial"/>
          <w:bCs/>
          <w:szCs w:val="22"/>
        </w:rPr>
      </w:pPr>
      <w:r w:rsidRPr="00342E02">
        <w:rPr>
          <w:rFonts w:cs="Arial"/>
          <w:bCs/>
          <w:szCs w:val="22"/>
        </w:rPr>
        <w:t>[21]</w:t>
      </w:r>
      <w:r w:rsidRPr="00342E02">
        <w:rPr>
          <w:rFonts w:cs="Arial"/>
          <w:bCs/>
          <w:szCs w:val="22"/>
        </w:rPr>
        <w:tab/>
      </w:r>
      <w:r w:rsidR="00AA0013">
        <w:rPr>
          <w:sz w:val="23"/>
          <w:szCs w:val="23"/>
        </w:rPr>
        <w:t>The respondent alleges that he was unable to comply with the order since the day it was granted.</w:t>
      </w:r>
      <w:r w:rsidR="00AA0013">
        <w:rPr>
          <w:rStyle w:val="FootnoteReference"/>
          <w:sz w:val="23"/>
          <w:szCs w:val="23"/>
        </w:rPr>
        <w:footnoteReference w:id="22"/>
      </w:r>
      <w:r w:rsidR="00AA0013">
        <w:rPr>
          <w:sz w:val="23"/>
          <w:szCs w:val="23"/>
        </w:rPr>
        <w:t xml:space="preserve"> It follows that his inability to pay may not be due to a material change in circumstances. </w:t>
      </w:r>
      <w:r w:rsidR="00570A89">
        <w:rPr>
          <w:sz w:val="23"/>
          <w:szCs w:val="23"/>
        </w:rPr>
        <w:t>This possible inference is supported by the evidence that h</w:t>
      </w:r>
      <w:r w:rsidR="00AA0013">
        <w:rPr>
          <w:sz w:val="23"/>
          <w:szCs w:val="23"/>
        </w:rPr>
        <w:t>is income</w:t>
      </w:r>
      <w:r w:rsidR="003F7448">
        <w:rPr>
          <w:sz w:val="23"/>
          <w:szCs w:val="23"/>
        </w:rPr>
        <w:t xml:space="preserve"> from the company</w:t>
      </w:r>
      <w:r w:rsidR="00AA0013">
        <w:rPr>
          <w:sz w:val="23"/>
          <w:szCs w:val="23"/>
        </w:rPr>
        <w:t xml:space="preserve"> for the year ending in February 2022 was very similar to his income for the year ending in February 2020. These matters will however be decided when affidavits have been exchanged and the application in terms of Rule 43(6) can be fully argued.</w:t>
      </w:r>
      <w:r w:rsidR="00570A89">
        <w:rPr>
          <w:sz w:val="23"/>
          <w:szCs w:val="23"/>
        </w:rPr>
        <w:t xml:space="preserve"> I in no way intend to pre-judge the variation application.</w:t>
      </w:r>
    </w:p>
    <w:p w14:paraId="48502B8C" w14:textId="77777777" w:rsidR="0086578F" w:rsidRDefault="0086578F" w:rsidP="00AA0013">
      <w:pPr>
        <w:spacing w:before="480" w:after="480" w:line="480" w:lineRule="auto"/>
        <w:jc w:val="both"/>
        <w:rPr>
          <w:rFonts w:cs="Arial"/>
          <w:bCs/>
          <w:szCs w:val="22"/>
          <w:u w:val="single"/>
        </w:rPr>
      </w:pPr>
    </w:p>
    <w:p w14:paraId="157BDC8B" w14:textId="54D346CE" w:rsidR="00AA0013" w:rsidRPr="00AA0013" w:rsidRDefault="00AA0013" w:rsidP="0086578F">
      <w:pPr>
        <w:keepNext/>
        <w:widowControl w:val="0"/>
        <w:spacing w:before="480" w:after="480" w:line="480" w:lineRule="auto"/>
        <w:jc w:val="both"/>
        <w:rPr>
          <w:rFonts w:cs="Arial"/>
          <w:bCs/>
          <w:szCs w:val="22"/>
          <w:u w:val="single"/>
        </w:rPr>
      </w:pPr>
      <w:r w:rsidRPr="00AA0013">
        <w:rPr>
          <w:rFonts w:cs="Arial"/>
          <w:bCs/>
          <w:szCs w:val="22"/>
          <w:u w:val="single"/>
        </w:rPr>
        <w:t>CONCLUSION</w:t>
      </w:r>
    </w:p>
    <w:p w14:paraId="61549BE0" w14:textId="6A1C5701" w:rsidR="00AA0013" w:rsidRPr="00BC415B" w:rsidRDefault="00C25669" w:rsidP="00C25669">
      <w:pPr>
        <w:keepNext/>
        <w:widowControl w:val="0"/>
        <w:tabs>
          <w:tab w:val="left" w:pos="567"/>
        </w:tabs>
        <w:spacing w:before="480" w:after="480" w:line="480" w:lineRule="auto"/>
        <w:jc w:val="both"/>
        <w:rPr>
          <w:rFonts w:cs="Arial"/>
          <w:bCs/>
          <w:i/>
          <w:iCs/>
          <w:szCs w:val="22"/>
        </w:rPr>
      </w:pPr>
      <w:r w:rsidRPr="00BC415B">
        <w:rPr>
          <w:rFonts w:cs="Arial"/>
          <w:bCs/>
          <w:iCs/>
          <w:szCs w:val="22"/>
        </w:rPr>
        <w:t>[22]</w:t>
      </w:r>
      <w:r w:rsidRPr="00BC415B">
        <w:rPr>
          <w:rFonts w:cs="Arial"/>
          <w:bCs/>
          <w:iCs/>
          <w:szCs w:val="22"/>
        </w:rPr>
        <w:tab/>
      </w:r>
      <w:r w:rsidR="00AA0013">
        <w:rPr>
          <w:rFonts w:cs="Arial"/>
          <w:bCs/>
          <w:szCs w:val="22"/>
        </w:rPr>
        <w:t>The respondent failed to lead evidence to establish a reasonable doubt as to his contempt.</w:t>
      </w:r>
      <w:r w:rsidR="00AA0013" w:rsidRPr="006150CE">
        <w:rPr>
          <w:rFonts w:cs="Arial"/>
          <w:bCs/>
          <w:szCs w:val="22"/>
        </w:rPr>
        <w:t xml:space="preserve"> </w:t>
      </w:r>
      <w:r w:rsidR="00AA0013" w:rsidRPr="006150CE">
        <w:rPr>
          <w:rFonts w:ascii="Verdana" w:hAnsi="Verdana"/>
          <w:color w:val="000000" w:themeColor="text1"/>
          <w:sz w:val="21"/>
          <w:szCs w:val="21"/>
        </w:rPr>
        <w:t xml:space="preserve">In the absence of evidence raising a reasonable doubt as to whether the accused acted wilfully and mala fide, the requirements </w:t>
      </w:r>
      <w:r w:rsidR="00475410">
        <w:rPr>
          <w:rFonts w:ascii="Verdana" w:hAnsi="Verdana"/>
          <w:color w:val="000000" w:themeColor="text1"/>
          <w:sz w:val="21"/>
          <w:szCs w:val="21"/>
        </w:rPr>
        <w:t>for</w:t>
      </w:r>
      <w:r w:rsidR="00AA0013" w:rsidRPr="006150CE">
        <w:rPr>
          <w:rFonts w:ascii="Verdana" w:hAnsi="Verdana"/>
          <w:color w:val="000000" w:themeColor="text1"/>
          <w:sz w:val="21"/>
          <w:szCs w:val="21"/>
        </w:rPr>
        <w:t xml:space="preserve"> a conviction ha</w:t>
      </w:r>
      <w:r w:rsidR="004B33CB">
        <w:rPr>
          <w:rFonts w:ascii="Verdana" w:hAnsi="Verdana"/>
          <w:color w:val="000000" w:themeColor="text1"/>
          <w:sz w:val="21"/>
          <w:szCs w:val="21"/>
        </w:rPr>
        <w:t>ve</w:t>
      </w:r>
      <w:r w:rsidR="00AA0013" w:rsidRPr="006150CE">
        <w:rPr>
          <w:rFonts w:ascii="Verdana" w:hAnsi="Verdana"/>
          <w:color w:val="000000" w:themeColor="text1"/>
          <w:sz w:val="21"/>
          <w:szCs w:val="21"/>
        </w:rPr>
        <w:t xml:space="preserve"> been met.</w:t>
      </w:r>
      <w:r w:rsidR="00AA0013" w:rsidRPr="006150CE">
        <w:rPr>
          <w:rStyle w:val="FootnoteReference"/>
          <w:rFonts w:cs="Arial"/>
          <w:bCs/>
          <w:szCs w:val="22"/>
        </w:rPr>
        <w:t xml:space="preserve"> </w:t>
      </w:r>
      <w:r w:rsidR="00AA0013">
        <w:rPr>
          <w:rStyle w:val="FootnoteReference"/>
          <w:rFonts w:cs="Arial"/>
          <w:bCs/>
          <w:szCs w:val="22"/>
        </w:rPr>
        <w:footnoteReference w:id="23"/>
      </w:r>
      <w:r w:rsidR="006A438B">
        <w:rPr>
          <w:rFonts w:cs="Arial"/>
          <w:bCs/>
          <w:szCs w:val="22"/>
        </w:rPr>
        <w:t xml:space="preserve"> The respondent acted wilfully and in bad faith in two ways: firstly he intentionally disobeyed the court order, and secondly he intentionally refrained from bringing an application in terms of Rule 43(6) at any time between November 2019 and 29 September 2022, even though he was at all times represented by attorneys and was aware of the provisions of Rule 43(6), if not since November 2019 then certainly since April 2022.</w:t>
      </w:r>
    </w:p>
    <w:p w14:paraId="2B1748FB" w14:textId="143E0FD8" w:rsidR="00AA0013" w:rsidRPr="00130253" w:rsidRDefault="00C25669" w:rsidP="00C25669">
      <w:pPr>
        <w:tabs>
          <w:tab w:val="left" w:pos="567"/>
        </w:tabs>
        <w:spacing w:before="480" w:after="480" w:line="480" w:lineRule="auto"/>
        <w:jc w:val="both"/>
        <w:rPr>
          <w:rFonts w:cs="Arial"/>
          <w:bCs/>
          <w:szCs w:val="22"/>
        </w:rPr>
      </w:pPr>
      <w:r w:rsidRPr="00130253">
        <w:rPr>
          <w:rFonts w:cs="Arial"/>
          <w:bCs/>
          <w:szCs w:val="22"/>
        </w:rPr>
        <w:t>[23]</w:t>
      </w:r>
      <w:r w:rsidRPr="00130253">
        <w:rPr>
          <w:rFonts w:cs="Arial"/>
          <w:bCs/>
          <w:szCs w:val="22"/>
        </w:rPr>
        <w:tab/>
      </w:r>
      <w:r w:rsidR="00AA0013">
        <w:rPr>
          <w:sz w:val="23"/>
          <w:szCs w:val="23"/>
        </w:rPr>
        <w:t xml:space="preserve">Court orders remain in force until set aside or varied. </w:t>
      </w:r>
      <w:r w:rsidR="00240E1B">
        <w:rPr>
          <w:sz w:val="23"/>
          <w:szCs w:val="23"/>
        </w:rPr>
        <w:t xml:space="preserve">They should not merely be ignored. </w:t>
      </w:r>
      <w:r w:rsidR="00AA0013">
        <w:rPr>
          <w:sz w:val="23"/>
          <w:szCs w:val="23"/>
        </w:rPr>
        <w:t>The order of 28 November 2019 therefore stands unless it is amended at some future date. The order I make above, provides for the eventuality that the existing order may be varied.</w:t>
      </w:r>
    </w:p>
    <w:p w14:paraId="0DC80554" w14:textId="77777777" w:rsidR="00F65DBD" w:rsidRPr="00F65DBD" w:rsidRDefault="00FE17D2" w:rsidP="00F65DBD">
      <w:pPr>
        <w:spacing w:before="480" w:after="480" w:line="480" w:lineRule="auto"/>
        <w:jc w:val="both"/>
        <w:rPr>
          <w:rFonts w:cs="Arial"/>
          <w:bCs/>
          <w:szCs w:val="22"/>
          <w:u w:val="single"/>
        </w:rPr>
      </w:pPr>
      <w:r w:rsidRPr="00F65DBD">
        <w:rPr>
          <w:rFonts w:cs="Arial"/>
          <w:bCs/>
          <w:szCs w:val="22"/>
          <w:u w:val="single"/>
        </w:rPr>
        <w:t>Costs</w:t>
      </w:r>
    </w:p>
    <w:p w14:paraId="75B0A92C" w14:textId="0803C8E1" w:rsidR="00C460A0" w:rsidRDefault="00C25669" w:rsidP="00C25669">
      <w:pPr>
        <w:tabs>
          <w:tab w:val="left" w:pos="567"/>
        </w:tabs>
        <w:spacing w:before="480" w:after="480" w:line="480" w:lineRule="auto"/>
        <w:jc w:val="both"/>
        <w:rPr>
          <w:rFonts w:cs="Arial"/>
          <w:bCs/>
          <w:szCs w:val="22"/>
        </w:rPr>
      </w:pPr>
      <w:r>
        <w:rPr>
          <w:rFonts w:cs="Arial"/>
          <w:bCs/>
          <w:szCs w:val="22"/>
        </w:rPr>
        <w:t>[24]</w:t>
      </w:r>
      <w:r>
        <w:rPr>
          <w:rFonts w:cs="Arial"/>
          <w:bCs/>
          <w:szCs w:val="22"/>
        </w:rPr>
        <w:tab/>
      </w:r>
      <w:r w:rsidR="00AE287F">
        <w:rPr>
          <w:rFonts w:cs="Arial"/>
          <w:bCs/>
          <w:szCs w:val="22"/>
        </w:rPr>
        <w:t>There is no reason to deviate from the general principle that the cost should follow the result of the order.</w:t>
      </w:r>
    </w:p>
    <w:p w14:paraId="44F9CF15" w14:textId="4112C45C" w:rsidR="00C460A0" w:rsidRDefault="00C25669" w:rsidP="00C25669">
      <w:pPr>
        <w:tabs>
          <w:tab w:val="left" w:pos="567"/>
        </w:tabs>
        <w:spacing w:before="480" w:after="480" w:line="480" w:lineRule="auto"/>
        <w:jc w:val="both"/>
        <w:rPr>
          <w:rFonts w:cs="Arial"/>
          <w:bCs/>
          <w:szCs w:val="22"/>
        </w:rPr>
      </w:pPr>
      <w:r>
        <w:rPr>
          <w:rFonts w:cs="Arial"/>
          <w:bCs/>
          <w:szCs w:val="22"/>
        </w:rPr>
        <w:t>[25]</w:t>
      </w:r>
      <w:r>
        <w:rPr>
          <w:rFonts w:cs="Arial"/>
          <w:bCs/>
          <w:szCs w:val="22"/>
        </w:rPr>
        <w:tab/>
      </w:r>
      <w:r w:rsidR="00AE287F">
        <w:rPr>
          <w:rFonts w:cs="Arial"/>
          <w:bCs/>
          <w:szCs w:val="22"/>
        </w:rPr>
        <w:t>I therefore make the order set out in paragraph 1 above.</w:t>
      </w:r>
    </w:p>
    <w:p w14:paraId="7301B79D" w14:textId="6116B005" w:rsidR="00E71CE6" w:rsidRDefault="00E71CE6" w:rsidP="006C43D7">
      <w:pPr>
        <w:tabs>
          <w:tab w:val="right" w:pos="0"/>
        </w:tabs>
        <w:spacing w:line="360" w:lineRule="auto"/>
        <w:contextualSpacing/>
        <w:jc w:val="right"/>
        <w:rPr>
          <w:rFonts w:cs="Arial"/>
          <w:b/>
        </w:rPr>
      </w:pPr>
    </w:p>
    <w:p w14:paraId="3E6BA7DA" w14:textId="43133B0D" w:rsidR="00AE287F" w:rsidRDefault="00AE287F" w:rsidP="006C43D7">
      <w:pPr>
        <w:tabs>
          <w:tab w:val="right" w:pos="0"/>
        </w:tabs>
        <w:spacing w:line="360" w:lineRule="auto"/>
        <w:contextualSpacing/>
        <w:jc w:val="right"/>
        <w:rPr>
          <w:rFonts w:cs="Arial"/>
          <w:b/>
        </w:rPr>
      </w:pPr>
    </w:p>
    <w:p w14:paraId="53CD27EE" w14:textId="77777777" w:rsidR="00AE287F" w:rsidRDefault="00AE287F" w:rsidP="006C43D7">
      <w:pPr>
        <w:tabs>
          <w:tab w:val="right" w:pos="0"/>
        </w:tabs>
        <w:spacing w:line="360" w:lineRule="auto"/>
        <w:contextualSpacing/>
        <w:jc w:val="right"/>
        <w:rPr>
          <w:rFonts w:cs="Arial"/>
          <w:b/>
        </w:rPr>
      </w:pPr>
    </w:p>
    <w:p w14:paraId="0CCB9BFE" w14:textId="7ABE564D" w:rsidR="006C43D7" w:rsidRPr="006C43D7" w:rsidRDefault="00C676F3" w:rsidP="006C43D7">
      <w:pPr>
        <w:tabs>
          <w:tab w:val="right" w:pos="0"/>
        </w:tabs>
        <w:spacing w:line="360" w:lineRule="auto"/>
        <w:contextualSpacing/>
        <w:jc w:val="right"/>
        <w:rPr>
          <w:rFonts w:cs="Arial"/>
          <w:b/>
        </w:rPr>
      </w:pPr>
      <w:r>
        <w:rPr>
          <w:rFonts w:cs="Arial"/>
          <w:b/>
        </w:rPr>
        <w:t>J MOORCROFT</w:t>
      </w:r>
    </w:p>
    <w:p w14:paraId="7A2C1059" w14:textId="77777777" w:rsidR="006C43D7" w:rsidRPr="006C43D7" w:rsidRDefault="006C43D7" w:rsidP="006C43D7">
      <w:pPr>
        <w:tabs>
          <w:tab w:val="right" w:pos="0"/>
        </w:tabs>
        <w:spacing w:line="360" w:lineRule="auto"/>
        <w:contextualSpacing/>
        <w:jc w:val="right"/>
        <w:rPr>
          <w:rFonts w:cs="Arial"/>
          <w:b/>
        </w:rPr>
      </w:pPr>
      <w:r w:rsidRPr="006C43D7">
        <w:rPr>
          <w:rFonts w:cs="Arial"/>
          <w:b/>
        </w:rPr>
        <w:t>ACTING JUDGE OF THE HIGH COURT OF SOUTH AFRICA</w:t>
      </w:r>
    </w:p>
    <w:p w14:paraId="077C2590" w14:textId="7452355B" w:rsidR="006C43D7" w:rsidRPr="006C43D7" w:rsidRDefault="006C43D7" w:rsidP="006C43D7">
      <w:pPr>
        <w:tabs>
          <w:tab w:val="right" w:pos="0"/>
          <w:tab w:val="left" w:pos="4253"/>
        </w:tabs>
        <w:spacing w:line="360" w:lineRule="auto"/>
        <w:contextualSpacing/>
        <w:jc w:val="right"/>
        <w:rPr>
          <w:rFonts w:cs="Arial"/>
          <w:b/>
        </w:rPr>
      </w:pPr>
      <w:r w:rsidRPr="006C43D7">
        <w:rPr>
          <w:rFonts w:cs="Arial"/>
          <w:b/>
        </w:rPr>
        <w:t>GAUTENG DIVISION</w:t>
      </w:r>
    </w:p>
    <w:p w14:paraId="40B9C946" w14:textId="77777777" w:rsidR="006C43D7" w:rsidRPr="006C43D7" w:rsidRDefault="006C43D7" w:rsidP="006C43D7">
      <w:pPr>
        <w:tabs>
          <w:tab w:val="right" w:pos="0"/>
          <w:tab w:val="left" w:pos="4253"/>
        </w:tabs>
        <w:spacing w:line="360" w:lineRule="auto"/>
        <w:contextualSpacing/>
        <w:jc w:val="right"/>
        <w:rPr>
          <w:rFonts w:cs="Arial"/>
          <w:b/>
        </w:rPr>
      </w:pPr>
      <w:r w:rsidRPr="006C43D7">
        <w:rPr>
          <w:rFonts w:cs="Arial"/>
          <w:b/>
        </w:rPr>
        <w:t>JOHANNESBURG</w:t>
      </w:r>
    </w:p>
    <w:p w14:paraId="326B529B" w14:textId="77777777" w:rsidR="006C43D7" w:rsidRPr="006C43D7" w:rsidRDefault="006C43D7" w:rsidP="006C43D7">
      <w:pPr>
        <w:tabs>
          <w:tab w:val="right" w:pos="0"/>
          <w:tab w:val="left" w:pos="4253"/>
        </w:tabs>
        <w:spacing w:line="360" w:lineRule="auto"/>
        <w:contextualSpacing/>
        <w:jc w:val="center"/>
        <w:rPr>
          <w:rFonts w:cs="Arial"/>
          <w:b/>
        </w:rPr>
      </w:pPr>
    </w:p>
    <w:p w14:paraId="5A4CC56C" w14:textId="051C4E22" w:rsidR="006C43D7" w:rsidRPr="006C43D7" w:rsidRDefault="006C43D7" w:rsidP="006C43D7">
      <w:pPr>
        <w:spacing w:after="200" w:line="480" w:lineRule="auto"/>
        <w:contextualSpacing/>
        <w:jc w:val="right"/>
        <w:rPr>
          <w:rFonts w:cs="Arial"/>
          <w:b/>
          <w:i/>
          <w:iCs/>
        </w:rPr>
      </w:pPr>
      <w:r w:rsidRPr="006C43D7">
        <w:rPr>
          <w:rFonts w:cs="Arial"/>
          <w:b/>
          <w:i/>
          <w:iCs/>
        </w:rPr>
        <w:t>Electronically submitted</w:t>
      </w:r>
    </w:p>
    <w:p w14:paraId="4E3E9427" w14:textId="77777777" w:rsidR="006C43D7" w:rsidRPr="006C43D7" w:rsidRDefault="006C43D7" w:rsidP="006C43D7">
      <w:pPr>
        <w:spacing w:after="200" w:line="360" w:lineRule="auto"/>
        <w:contextualSpacing/>
        <w:jc w:val="both"/>
        <w:rPr>
          <w:rFonts w:eastAsia="Arial Unicode MS" w:cs="Arial"/>
          <w:bCs/>
        </w:rPr>
      </w:pPr>
    </w:p>
    <w:p w14:paraId="51C686CA" w14:textId="18ED3BA3" w:rsidR="006C43D7" w:rsidRPr="00237FF9" w:rsidRDefault="006C43D7" w:rsidP="006C43D7">
      <w:pPr>
        <w:spacing w:after="200" w:line="360" w:lineRule="auto"/>
        <w:contextualSpacing/>
        <w:jc w:val="both"/>
        <w:rPr>
          <w:rFonts w:eastAsia="Arial Unicode MS" w:cs="Arial"/>
          <w:b/>
          <w:bCs/>
        </w:rPr>
      </w:pPr>
      <w:r w:rsidRPr="006C43D7">
        <w:rPr>
          <w:rFonts w:eastAsia="Arial Unicode MS" w:cs="Arial"/>
          <w:bCs/>
        </w:rPr>
        <w:t>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w:t>
      </w:r>
      <w:r w:rsidR="00C460A0">
        <w:rPr>
          <w:rFonts w:eastAsia="Arial Unicode MS" w:cs="Arial"/>
          <w:bCs/>
        </w:rPr>
        <w:t xml:space="preserve"> </w:t>
      </w:r>
      <w:r w:rsidR="002A3DB7">
        <w:rPr>
          <w:rFonts w:eastAsia="Arial Unicode MS" w:cs="Arial"/>
          <w:b/>
          <w:bCs/>
        </w:rPr>
        <w:t>11 OCTOBER</w:t>
      </w:r>
      <w:r w:rsidR="00237FF9">
        <w:rPr>
          <w:rFonts w:eastAsia="Arial Unicode MS" w:cs="Arial"/>
          <w:b/>
          <w:bCs/>
        </w:rPr>
        <w:t xml:space="preserve"> 2022</w:t>
      </w:r>
    </w:p>
    <w:p w14:paraId="482DDF6E" w14:textId="77777777" w:rsidR="006C43D7" w:rsidRPr="006C43D7" w:rsidRDefault="006C43D7" w:rsidP="006C43D7">
      <w:pPr>
        <w:tabs>
          <w:tab w:val="right" w:pos="0"/>
          <w:tab w:val="left" w:pos="4253"/>
        </w:tabs>
        <w:spacing w:line="360" w:lineRule="auto"/>
        <w:contextualSpacing/>
        <w:jc w:val="center"/>
        <w:rPr>
          <w:rFonts w:cs="Arial"/>
          <w:b/>
        </w:rPr>
      </w:pPr>
    </w:p>
    <w:p w14:paraId="22E155F4" w14:textId="77777777" w:rsidR="006C43D7" w:rsidRPr="006C43D7" w:rsidRDefault="006C43D7" w:rsidP="006C43D7">
      <w:pPr>
        <w:tabs>
          <w:tab w:val="right" w:pos="0"/>
          <w:tab w:val="left" w:pos="4253"/>
        </w:tabs>
        <w:spacing w:line="360" w:lineRule="auto"/>
        <w:contextualSpacing/>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4338"/>
      </w:tblGrid>
      <w:tr w:rsidR="002A3DB7" w:rsidRPr="00860428" w14:paraId="3E7F01D7" w14:textId="77777777" w:rsidTr="00C12DEB">
        <w:tc>
          <w:tcPr>
            <w:tcW w:w="3964" w:type="dxa"/>
          </w:tcPr>
          <w:p w14:paraId="3CB366A5" w14:textId="691975F2" w:rsidR="002A3DB7" w:rsidRPr="00860428" w:rsidRDefault="002A3DB7" w:rsidP="00C12DEB">
            <w:pPr>
              <w:tabs>
                <w:tab w:val="right" w:pos="0"/>
                <w:tab w:val="left" w:pos="4253"/>
              </w:tabs>
              <w:spacing w:before="120" w:after="120" w:line="360" w:lineRule="auto"/>
              <w:rPr>
                <w:rFonts w:cs="Arial"/>
                <w:sz w:val="20"/>
                <w:szCs w:val="20"/>
              </w:rPr>
            </w:pPr>
            <w:r>
              <w:rPr>
                <w:rFonts w:cs="Arial"/>
                <w:sz w:val="20"/>
                <w:szCs w:val="20"/>
              </w:rPr>
              <w:t>COUNSEL</w:t>
            </w:r>
            <w:r w:rsidRPr="00860428">
              <w:rPr>
                <w:rFonts w:cs="Arial"/>
                <w:sz w:val="20"/>
                <w:szCs w:val="20"/>
              </w:rPr>
              <w:t xml:space="preserve"> FOR THE APPLICANT:</w:t>
            </w:r>
          </w:p>
        </w:tc>
        <w:tc>
          <w:tcPr>
            <w:tcW w:w="4338" w:type="dxa"/>
          </w:tcPr>
          <w:p w14:paraId="4975926B" w14:textId="07BB2DA9" w:rsidR="002A3DB7" w:rsidRPr="00860428" w:rsidRDefault="002A3DB7" w:rsidP="002A3DB7">
            <w:pPr>
              <w:tabs>
                <w:tab w:val="right" w:pos="0"/>
                <w:tab w:val="left" w:pos="4253"/>
              </w:tabs>
              <w:spacing w:before="120" w:after="120" w:line="360" w:lineRule="auto"/>
              <w:jc w:val="right"/>
              <w:rPr>
                <w:rFonts w:cs="Arial"/>
                <w:sz w:val="20"/>
                <w:szCs w:val="20"/>
              </w:rPr>
            </w:pPr>
            <w:r>
              <w:rPr>
                <w:rFonts w:cs="Arial"/>
                <w:sz w:val="20"/>
                <w:szCs w:val="20"/>
              </w:rPr>
              <w:t>MS BRITZ</w:t>
            </w:r>
          </w:p>
        </w:tc>
      </w:tr>
      <w:tr w:rsidR="002A3DB7" w:rsidRPr="00860428" w14:paraId="7BA86455" w14:textId="77777777" w:rsidTr="00C12DEB">
        <w:tc>
          <w:tcPr>
            <w:tcW w:w="3964" w:type="dxa"/>
          </w:tcPr>
          <w:p w14:paraId="29766F52" w14:textId="77777777" w:rsidR="002A3DB7" w:rsidRPr="00860428" w:rsidRDefault="002A3DB7" w:rsidP="00C12DEB">
            <w:pPr>
              <w:tabs>
                <w:tab w:val="right" w:pos="0"/>
                <w:tab w:val="left" w:pos="4253"/>
              </w:tabs>
              <w:spacing w:before="120" w:after="120" w:line="360" w:lineRule="auto"/>
              <w:rPr>
                <w:rFonts w:cs="Arial"/>
                <w:sz w:val="20"/>
                <w:szCs w:val="20"/>
              </w:rPr>
            </w:pPr>
            <w:r>
              <w:rPr>
                <w:rFonts w:cs="Arial"/>
                <w:sz w:val="20"/>
                <w:szCs w:val="20"/>
              </w:rPr>
              <w:t>INSTRUCTED BY</w:t>
            </w:r>
          </w:p>
        </w:tc>
        <w:tc>
          <w:tcPr>
            <w:tcW w:w="4338" w:type="dxa"/>
          </w:tcPr>
          <w:p w14:paraId="3F996AF1" w14:textId="369126B9" w:rsidR="002A3DB7" w:rsidRPr="00860428" w:rsidRDefault="002A3DB7" w:rsidP="002A3DB7">
            <w:pPr>
              <w:tabs>
                <w:tab w:val="right" w:pos="0"/>
                <w:tab w:val="left" w:pos="4253"/>
              </w:tabs>
              <w:spacing w:before="120" w:after="120" w:line="360" w:lineRule="auto"/>
              <w:jc w:val="right"/>
              <w:rPr>
                <w:rFonts w:cs="Arial"/>
                <w:sz w:val="20"/>
                <w:szCs w:val="20"/>
              </w:rPr>
            </w:pPr>
            <w:r>
              <w:rPr>
                <w:rFonts w:cs="Arial"/>
                <w:sz w:val="20"/>
                <w:szCs w:val="20"/>
              </w:rPr>
              <w:t>McCORMICK LONDT INC ATTORNEYS</w:t>
            </w:r>
          </w:p>
        </w:tc>
      </w:tr>
      <w:tr w:rsidR="002A3DB7" w:rsidRPr="00860428" w14:paraId="7DF89171" w14:textId="77777777" w:rsidTr="00C12DEB">
        <w:tc>
          <w:tcPr>
            <w:tcW w:w="3964" w:type="dxa"/>
          </w:tcPr>
          <w:p w14:paraId="061E0758" w14:textId="77777777" w:rsidR="002A3DB7" w:rsidRPr="00860428" w:rsidRDefault="002A3DB7" w:rsidP="00C12DEB">
            <w:pPr>
              <w:tabs>
                <w:tab w:val="right" w:pos="0"/>
                <w:tab w:val="left" w:pos="4253"/>
              </w:tabs>
              <w:spacing w:before="120" w:after="120" w:line="360" w:lineRule="auto"/>
              <w:rPr>
                <w:rFonts w:cs="Arial"/>
                <w:sz w:val="20"/>
                <w:szCs w:val="20"/>
              </w:rPr>
            </w:pPr>
            <w:r w:rsidRPr="00860428">
              <w:rPr>
                <w:rFonts w:cs="Arial"/>
                <w:sz w:val="20"/>
                <w:szCs w:val="20"/>
              </w:rPr>
              <w:t>COUNSEL FOR RESPONDENTS:</w:t>
            </w:r>
          </w:p>
        </w:tc>
        <w:tc>
          <w:tcPr>
            <w:tcW w:w="4338" w:type="dxa"/>
          </w:tcPr>
          <w:p w14:paraId="490C7530" w14:textId="1F62DF42" w:rsidR="002A3DB7" w:rsidRPr="00860428" w:rsidRDefault="002A3DB7" w:rsidP="002A3DB7">
            <w:pPr>
              <w:tabs>
                <w:tab w:val="right" w:pos="0"/>
                <w:tab w:val="left" w:pos="4253"/>
              </w:tabs>
              <w:spacing w:before="120" w:after="120" w:line="360" w:lineRule="auto"/>
              <w:jc w:val="right"/>
              <w:rPr>
                <w:rFonts w:cs="Arial"/>
                <w:sz w:val="20"/>
                <w:szCs w:val="20"/>
              </w:rPr>
            </w:pPr>
            <w:r>
              <w:rPr>
                <w:rFonts w:cs="Arial"/>
                <w:sz w:val="20"/>
                <w:szCs w:val="20"/>
              </w:rPr>
              <w:t>MS VAN DER WESTHUIZEN</w:t>
            </w:r>
          </w:p>
        </w:tc>
      </w:tr>
      <w:tr w:rsidR="002A3DB7" w:rsidRPr="00860428" w14:paraId="4FB8EED9" w14:textId="77777777" w:rsidTr="00C12DEB">
        <w:tc>
          <w:tcPr>
            <w:tcW w:w="3964" w:type="dxa"/>
          </w:tcPr>
          <w:p w14:paraId="43F0A88B" w14:textId="77777777" w:rsidR="002A3DB7" w:rsidRPr="00860428" w:rsidRDefault="002A3DB7" w:rsidP="00C12DEB">
            <w:pPr>
              <w:tabs>
                <w:tab w:val="right" w:pos="0"/>
                <w:tab w:val="left" w:pos="4253"/>
              </w:tabs>
              <w:spacing w:before="120" w:after="120" w:line="360" w:lineRule="auto"/>
              <w:rPr>
                <w:rFonts w:cs="Arial"/>
                <w:sz w:val="20"/>
                <w:szCs w:val="20"/>
              </w:rPr>
            </w:pPr>
            <w:r w:rsidRPr="00860428">
              <w:rPr>
                <w:rFonts w:cs="Arial"/>
                <w:sz w:val="20"/>
                <w:szCs w:val="20"/>
              </w:rPr>
              <w:t>INSTRUCTED BY:</w:t>
            </w:r>
          </w:p>
        </w:tc>
        <w:tc>
          <w:tcPr>
            <w:tcW w:w="4338" w:type="dxa"/>
          </w:tcPr>
          <w:p w14:paraId="027EA628" w14:textId="76828387" w:rsidR="002A3DB7" w:rsidRPr="00860428" w:rsidRDefault="002A3DB7" w:rsidP="00C12DEB">
            <w:pPr>
              <w:tabs>
                <w:tab w:val="right" w:pos="0"/>
                <w:tab w:val="left" w:pos="4253"/>
              </w:tabs>
              <w:spacing w:before="120" w:after="120" w:line="360" w:lineRule="auto"/>
              <w:jc w:val="right"/>
              <w:rPr>
                <w:rFonts w:cs="Arial"/>
                <w:sz w:val="20"/>
                <w:szCs w:val="20"/>
              </w:rPr>
            </w:pPr>
            <w:r>
              <w:rPr>
                <w:rFonts w:cs="Arial"/>
                <w:sz w:val="20"/>
                <w:szCs w:val="20"/>
              </w:rPr>
              <w:t>F VAN WYK ATTORNEYS</w:t>
            </w:r>
          </w:p>
        </w:tc>
      </w:tr>
      <w:tr w:rsidR="002A3DB7" w:rsidRPr="00860428" w14:paraId="16A08581" w14:textId="77777777" w:rsidTr="00C12DEB">
        <w:tc>
          <w:tcPr>
            <w:tcW w:w="3964" w:type="dxa"/>
          </w:tcPr>
          <w:p w14:paraId="04AFDC05" w14:textId="77777777" w:rsidR="002A3DB7" w:rsidRPr="00860428" w:rsidRDefault="002A3DB7" w:rsidP="00C12DEB">
            <w:pPr>
              <w:tabs>
                <w:tab w:val="right" w:pos="0"/>
                <w:tab w:val="left" w:pos="4253"/>
              </w:tabs>
              <w:spacing w:before="120" w:after="120" w:line="360" w:lineRule="auto"/>
              <w:rPr>
                <w:rFonts w:cs="Arial"/>
                <w:sz w:val="20"/>
                <w:szCs w:val="20"/>
              </w:rPr>
            </w:pPr>
            <w:r w:rsidRPr="00860428">
              <w:rPr>
                <w:rFonts w:cs="Arial"/>
                <w:sz w:val="20"/>
                <w:szCs w:val="20"/>
              </w:rPr>
              <w:t>DATE OF THE HEARING:</w:t>
            </w:r>
          </w:p>
        </w:tc>
        <w:tc>
          <w:tcPr>
            <w:tcW w:w="4338" w:type="dxa"/>
          </w:tcPr>
          <w:p w14:paraId="6998667C" w14:textId="054378DE" w:rsidR="002A3DB7" w:rsidRPr="00860428" w:rsidRDefault="002A3DB7" w:rsidP="00C12DEB">
            <w:pPr>
              <w:tabs>
                <w:tab w:val="right" w:pos="0"/>
                <w:tab w:val="left" w:pos="4253"/>
              </w:tabs>
              <w:spacing w:before="120" w:after="120" w:line="360" w:lineRule="auto"/>
              <w:jc w:val="right"/>
              <w:rPr>
                <w:rFonts w:cs="Arial"/>
                <w:sz w:val="20"/>
                <w:szCs w:val="20"/>
              </w:rPr>
            </w:pPr>
            <w:r>
              <w:rPr>
                <w:rFonts w:cs="Arial"/>
                <w:sz w:val="20"/>
                <w:szCs w:val="20"/>
              </w:rPr>
              <w:t>3</w:t>
            </w:r>
            <w:r w:rsidRPr="00860428">
              <w:rPr>
                <w:rFonts w:cs="Arial"/>
                <w:sz w:val="20"/>
                <w:szCs w:val="20"/>
              </w:rPr>
              <w:t xml:space="preserve"> OCTOBER 2022</w:t>
            </w:r>
          </w:p>
        </w:tc>
      </w:tr>
      <w:tr w:rsidR="002A3DB7" w:rsidRPr="00860428" w14:paraId="37420B5A" w14:textId="77777777" w:rsidTr="00C12DEB">
        <w:tc>
          <w:tcPr>
            <w:tcW w:w="3964" w:type="dxa"/>
          </w:tcPr>
          <w:p w14:paraId="272E7344" w14:textId="77777777" w:rsidR="002A3DB7" w:rsidRPr="00860428" w:rsidRDefault="002A3DB7" w:rsidP="00C12DEB">
            <w:pPr>
              <w:tabs>
                <w:tab w:val="right" w:pos="0"/>
                <w:tab w:val="left" w:pos="4253"/>
              </w:tabs>
              <w:spacing w:before="120" w:after="120" w:line="360" w:lineRule="auto"/>
              <w:rPr>
                <w:rFonts w:cs="Arial"/>
                <w:sz w:val="20"/>
                <w:szCs w:val="20"/>
              </w:rPr>
            </w:pPr>
            <w:r w:rsidRPr="00860428">
              <w:rPr>
                <w:rFonts w:cs="Arial"/>
                <w:sz w:val="20"/>
                <w:szCs w:val="20"/>
              </w:rPr>
              <w:t>DATE OF ORDER:</w:t>
            </w:r>
          </w:p>
        </w:tc>
        <w:tc>
          <w:tcPr>
            <w:tcW w:w="4338" w:type="dxa"/>
          </w:tcPr>
          <w:p w14:paraId="3C08C388" w14:textId="77777777" w:rsidR="002A3DB7" w:rsidRPr="00860428" w:rsidRDefault="002A3DB7" w:rsidP="00C12DEB">
            <w:pPr>
              <w:tabs>
                <w:tab w:val="right" w:pos="0"/>
                <w:tab w:val="left" w:pos="4253"/>
              </w:tabs>
              <w:spacing w:before="120" w:after="120" w:line="360" w:lineRule="auto"/>
              <w:jc w:val="right"/>
              <w:rPr>
                <w:rFonts w:cs="Arial"/>
                <w:sz w:val="20"/>
                <w:szCs w:val="20"/>
              </w:rPr>
            </w:pPr>
            <w:r w:rsidRPr="00860428">
              <w:rPr>
                <w:rFonts w:cs="Arial"/>
                <w:sz w:val="20"/>
                <w:szCs w:val="20"/>
              </w:rPr>
              <w:t>1</w:t>
            </w:r>
            <w:r>
              <w:rPr>
                <w:rFonts w:cs="Arial"/>
                <w:sz w:val="20"/>
                <w:szCs w:val="20"/>
              </w:rPr>
              <w:t>1</w:t>
            </w:r>
            <w:r w:rsidRPr="00860428">
              <w:rPr>
                <w:rFonts w:cs="Arial"/>
                <w:sz w:val="20"/>
                <w:szCs w:val="20"/>
              </w:rPr>
              <w:t xml:space="preserve"> OCTOBER 2022</w:t>
            </w:r>
          </w:p>
        </w:tc>
      </w:tr>
      <w:tr w:rsidR="002A3DB7" w:rsidRPr="00860428" w14:paraId="5738FC40" w14:textId="77777777" w:rsidTr="00C12DEB">
        <w:tc>
          <w:tcPr>
            <w:tcW w:w="3964" w:type="dxa"/>
          </w:tcPr>
          <w:p w14:paraId="7BBA5874" w14:textId="77777777" w:rsidR="002A3DB7" w:rsidRPr="00860428" w:rsidRDefault="002A3DB7" w:rsidP="00C12DEB">
            <w:pPr>
              <w:tabs>
                <w:tab w:val="right" w:pos="0"/>
                <w:tab w:val="left" w:pos="4253"/>
              </w:tabs>
              <w:spacing w:before="120" w:after="120" w:line="360" w:lineRule="auto"/>
              <w:rPr>
                <w:rFonts w:cs="Arial"/>
                <w:sz w:val="20"/>
                <w:szCs w:val="20"/>
              </w:rPr>
            </w:pPr>
            <w:r w:rsidRPr="00860428">
              <w:rPr>
                <w:rFonts w:cs="Arial"/>
                <w:sz w:val="20"/>
                <w:szCs w:val="20"/>
              </w:rPr>
              <w:t>DATE OF JUDGMENT:</w:t>
            </w:r>
          </w:p>
        </w:tc>
        <w:tc>
          <w:tcPr>
            <w:tcW w:w="4338" w:type="dxa"/>
          </w:tcPr>
          <w:p w14:paraId="36E05566" w14:textId="77777777" w:rsidR="002A3DB7" w:rsidRPr="00860428" w:rsidRDefault="002A3DB7" w:rsidP="00C12DEB">
            <w:pPr>
              <w:tabs>
                <w:tab w:val="right" w:pos="0"/>
                <w:tab w:val="left" w:pos="4253"/>
              </w:tabs>
              <w:spacing w:before="120" w:after="120" w:line="360" w:lineRule="auto"/>
              <w:jc w:val="right"/>
              <w:rPr>
                <w:rFonts w:cs="Arial"/>
                <w:sz w:val="20"/>
                <w:szCs w:val="20"/>
              </w:rPr>
            </w:pPr>
            <w:r w:rsidRPr="00860428">
              <w:rPr>
                <w:rFonts w:cs="Arial"/>
                <w:sz w:val="20"/>
                <w:szCs w:val="20"/>
              </w:rPr>
              <w:t>1</w:t>
            </w:r>
            <w:r>
              <w:rPr>
                <w:rFonts w:cs="Arial"/>
                <w:sz w:val="20"/>
                <w:szCs w:val="20"/>
              </w:rPr>
              <w:t>1</w:t>
            </w:r>
            <w:r w:rsidRPr="00860428">
              <w:rPr>
                <w:rFonts w:cs="Arial"/>
                <w:sz w:val="20"/>
                <w:szCs w:val="20"/>
              </w:rPr>
              <w:t xml:space="preserve"> OCTOBER 2022</w:t>
            </w:r>
          </w:p>
        </w:tc>
      </w:tr>
    </w:tbl>
    <w:p w14:paraId="39AB470F" w14:textId="77777777" w:rsidR="006C43D7" w:rsidRPr="006C43D7" w:rsidRDefault="006C43D7" w:rsidP="006C43D7">
      <w:pPr>
        <w:tabs>
          <w:tab w:val="right" w:pos="0"/>
          <w:tab w:val="left" w:pos="4253"/>
        </w:tabs>
        <w:spacing w:line="360" w:lineRule="auto"/>
        <w:contextualSpacing/>
        <w:jc w:val="both"/>
        <w:rPr>
          <w:rFonts w:cs="Arial"/>
        </w:rPr>
      </w:pPr>
    </w:p>
    <w:sectPr w:rsidR="006C43D7" w:rsidRPr="006C43D7" w:rsidSect="00237FF9">
      <w:headerReference w:type="default" r:id="rId11"/>
      <w:pgSz w:w="11906" w:h="16838"/>
      <w:pgMar w:top="1440" w:right="1797"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FC2E9" w14:textId="77777777" w:rsidR="000A5D65" w:rsidRDefault="000A5D65">
      <w:r>
        <w:separator/>
      </w:r>
    </w:p>
  </w:endnote>
  <w:endnote w:type="continuationSeparator" w:id="0">
    <w:p w14:paraId="6EA58852" w14:textId="77777777" w:rsidR="000A5D65" w:rsidRDefault="000A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4DAE4" w14:textId="77777777" w:rsidR="000A5D65" w:rsidRDefault="000A5D65">
      <w:r>
        <w:separator/>
      </w:r>
    </w:p>
  </w:footnote>
  <w:footnote w:type="continuationSeparator" w:id="0">
    <w:p w14:paraId="34F75116" w14:textId="77777777" w:rsidR="000A5D65" w:rsidRDefault="000A5D65">
      <w:r>
        <w:continuationSeparator/>
      </w:r>
    </w:p>
  </w:footnote>
  <w:footnote w:id="1">
    <w:p w14:paraId="795789FE" w14:textId="608E2354" w:rsidR="004C0CE3" w:rsidRPr="00E43C23" w:rsidRDefault="004C0CE3">
      <w:pPr>
        <w:pStyle w:val="FootnoteText"/>
        <w:rPr>
          <w:color w:val="000000" w:themeColor="text1"/>
        </w:rPr>
      </w:pPr>
      <w:r>
        <w:rPr>
          <w:rStyle w:val="FootnoteReference"/>
        </w:rPr>
        <w:footnoteRef/>
      </w:r>
      <w:r>
        <w:t xml:space="preserve"> </w:t>
      </w:r>
      <w:r>
        <w:tab/>
      </w:r>
      <w:r w:rsidRPr="00E43C23">
        <w:rPr>
          <w:i/>
          <w:iCs/>
          <w:color w:val="000000" w:themeColor="text1"/>
        </w:rPr>
        <w:t>Fakie NO v CCII Systems (Pty) Ltd</w:t>
      </w:r>
      <w:r w:rsidRPr="00E43C23">
        <w:rPr>
          <w:color w:val="000000" w:themeColor="text1"/>
        </w:rPr>
        <w:t xml:space="preserve"> 2006 (4) SA 326 (SCA)</w:t>
      </w:r>
      <w:r w:rsidR="00E43C23">
        <w:rPr>
          <w:color w:val="000000" w:themeColor="text1"/>
        </w:rPr>
        <w:t xml:space="preserve"> paragraph 6 et seq</w:t>
      </w:r>
      <w:r w:rsidRPr="00E43C23">
        <w:rPr>
          <w:color w:val="000000" w:themeColor="text1"/>
        </w:rPr>
        <w:t>.</w:t>
      </w:r>
      <w:r w:rsidR="00047F26" w:rsidRPr="00E43C23">
        <w:rPr>
          <w:color w:val="000000" w:themeColor="text1"/>
        </w:rPr>
        <w:t xml:space="preserve"> See also</w:t>
      </w:r>
      <w:r w:rsidR="00EB635D" w:rsidRPr="00E43C23">
        <w:rPr>
          <w:rFonts w:cs="Arial"/>
          <w:color w:val="000000" w:themeColor="text1"/>
        </w:rPr>
        <w:t xml:space="preserve"> </w:t>
      </w:r>
      <w:r w:rsidR="00EB635D" w:rsidRPr="00E43C23">
        <w:rPr>
          <w:rFonts w:cs="Arial"/>
          <w:i/>
          <w:iCs/>
          <w:color w:val="000000" w:themeColor="text1"/>
        </w:rPr>
        <w:t>Uncedo Taxi Service Association v Maninjwa</w:t>
      </w:r>
      <w:r w:rsidR="00EB635D" w:rsidRPr="00E43C23">
        <w:rPr>
          <w:rFonts w:cs="Arial"/>
          <w:color w:val="000000" w:themeColor="text1"/>
        </w:rPr>
        <w:t xml:space="preserve"> 1998 (3) SA 417 (ECD) 429 G – I,</w:t>
      </w:r>
      <w:r w:rsidR="00047F26" w:rsidRPr="00E43C23">
        <w:rPr>
          <w:color w:val="000000" w:themeColor="text1"/>
        </w:rPr>
        <w:t xml:space="preserve"> </w:t>
      </w:r>
      <w:r w:rsidR="00E43C23" w:rsidRPr="00E43C23">
        <w:rPr>
          <w:rFonts w:cs="Arial"/>
          <w:i/>
          <w:iCs/>
          <w:color w:val="000000" w:themeColor="text1"/>
        </w:rPr>
        <w:t>Dezius v Dezius</w:t>
      </w:r>
      <w:r w:rsidR="00E43C23" w:rsidRPr="00E43C23">
        <w:rPr>
          <w:rFonts w:cs="Arial"/>
          <w:color w:val="000000" w:themeColor="text1"/>
        </w:rPr>
        <w:t> </w:t>
      </w:r>
      <w:hyperlink r:id="rId1" w:tooltip="View LawCiteRecord" w:history="1">
        <w:r w:rsidR="00E43C23" w:rsidRPr="00E43C23">
          <w:rPr>
            <w:rStyle w:val="Hyperlink"/>
            <w:rFonts w:cs="Arial"/>
            <w:color w:val="000000" w:themeColor="text1"/>
            <w:u w:val="none"/>
          </w:rPr>
          <w:t>2006 (6) SA 395</w:t>
        </w:r>
      </w:hyperlink>
      <w:r w:rsidR="00E43C23" w:rsidRPr="00E43C23">
        <w:rPr>
          <w:rFonts w:cs="Arial"/>
          <w:color w:val="000000" w:themeColor="text1"/>
        </w:rPr>
        <w:t xml:space="preserve"> (CPD), </w:t>
      </w:r>
      <w:r w:rsidR="00047F26" w:rsidRPr="00E43C23">
        <w:rPr>
          <w:i/>
          <w:iCs/>
          <w:color w:val="000000" w:themeColor="text1"/>
        </w:rPr>
        <w:t xml:space="preserve">Wilson v Wilson </w:t>
      </w:r>
      <w:r w:rsidR="00047F26" w:rsidRPr="00E43C23">
        <w:rPr>
          <w:color w:val="000000" w:themeColor="text1"/>
        </w:rPr>
        <w:t>[2009] ZAFSHC 2</w:t>
      </w:r>
      <w:r w:rsidR="00E43C23">
        <w:rPr>
          <w:color w:val="000000" w:themeColor="text1"/>
        </w:rPr>
        <w:t xml:space="preserve"> paragraph 10, </w:t>
      </w:r>
      <w:r w:rsidR="00047F26" w:rsidRPr="00E43C23">
        <w:rPr>
          <w:color w:val="000000" w:themeColor="text1"/>
        </w:rPr>
        <w:t xml:space="preserve"> and </w:t>
      </w:r>
      <w:r w:rsidR="00047F26" w:rsidRPr="00E43C23">
        <w:rPr>
          <w:rFonts w:cs="Arial"/>
          <w:i/>
          <w:iCs/>
          <w:color w:val="000000" w:themeColor="text1"/>
        </w:rPr>
        <w:t>AR v MN</w:t>
      </w:r>
      <w:r w:rsidR="00047F26" w:rsidRPr="00E43C23">
        <w:rPr>
          <w:rFonts w:cs="Arial"/>
          <w:color w:val="000000" w:themeColor="text1"/>
        </w:rPr>
        <w:t xml:space="preserve">  [2020] ZAGPJHC 215.</w:t>
      </w:r>
    </w:p>
  </w:footnote>
  <w:footnote w:id="2">
    <w:p w14:paraId="07358093" w14:textId="19017779" w:rsidR="00C9310B" w:rsidRDefault="00C9310B">
      <w:pPr>
        <w:pStyle w:val="FootnoteText"/>
      </w:pPr>
      <w:r>
        <w:rPr>
          <w:rStyle w:val="FootnoteReference"/>
        </w:rPr>
        <w:footnoteRef/>
      </w:r>
      <w:r>
        <w:t xml:space="preserve"> </w:t>
      </w:r>
      <w:r>
        <w:tab/>
      </w:r>
      <w:r w:rsidRPr="00E43C23">
        <w:rPr>
          <w:i/>
          <w:iCs/>
          <w:color w:val="000000" w:themeColor="text1"/>
        </w:rPr>
        <w:t>Fakie NO v CCII Systems (Pty) Ltd</w:t>
      </w:r>
      <w:r w:rsidRPr="00E43C23">
        <w:rPr>
          <w:color w:val="000000" w:themeColor="text1"/>
        </w:rPr>
        <w:t xml:space="preserve"> 2006 (4) SA 326 (SCA)</w:t>
      </w:r>
      <w:r>
        <w:rPr>
          <w:color w:val="000000" w:themeColor="text1"/>
        </w:rPr>
        <w:t xml:space="preserve"> paragraph 23.</w:t>
      </w:r>
    </w:p>
  </w:footnote>
  <w:footnote w:id="3">
    <w:p w14:paraId="4FC7A9E2" w14:textId="5B97FFDA" w:rsidR="00C50068" w:rsidRDefault="00C50068">
      <w:pPr>
        <w:pStyle w:val="FootnoteText"/>
      </w:pPr>
      <w:r>
        <w:rPr>
          <w:rStyle w:val="FootnoteReference"/>
        </w:rPr>
        <w:footnoteRef/>
      </w:r>
      <w:r>
        <w:t xml:space="preserve"> </w:t>
      </w:r>
      <w:r w:rsidR="00602403">
        <w:tab/>
      </w:r>
      <w:r w:rsidR="00B1103D">
        <w:t xml:space="preserve">See </w:t>
      </w:r>
      <w:r w:rsidRPr="003D77F1">
        <w:rPr>
          <w:i/>
          <w:iCs/>
        </w:rPr>
        <w:t>Pillay v Krishna</w:t>
      </w:r>
      <w:r>
        <w:t xml:space="preserve"> 1946 AD 946</w:t>
      </w:r>
      <w:r w:rsidR="00B1103D">
        <w:t> </w:t>
      </w:r>
      <w:r>
        <w:t>951</w:t>
      </w:r>
      <w:r w:rsidR="00B1103D">
        <w:t xml:space="preserve"> and </w:t>
      </w:r>
      <w:r w:rsidRPr="003D77F1">
        <w:rPr>
          <w:i/>
          <w:iCs/>
        </w:rPr>
        <w:t>Ward v Sulzer</w:t>
      </w:r>
      <w:r>
        <w:t xml:space="preserve"> 1973 (3) SA 701 </w:t>
      </w:r>
      <w:r w:rsidR="003D77F1">
        <w:t>(A) 705E.</w:t>
      </w:r>
    </w:p>
  </w:footnote>
  <w:footnote w:id="4">
    <w:p w14:paraId="320A3DB7" w14:textId="128A5D85" w:rsidR="00602403" w:rsidRDefault="00602403" w:rsidP="00602403">
      <w:pPr>
        <w:pStyle w:val="FootnoteText"/>
      </w:pPr>
      <w:r>
        <w:rPr>
          <w:rStyle w:val="FootnoteReference"/>
        </w:rPr>
        <w:footnoteRef/>
      </w:r>
      <w:r>
        <w:t xml:space="preserve"> </w:t>
      </w:r>
      <w:r>
        <w:tab/>
        <w:t>Answering affidavit paragraph 5</w:t>
      </w:r>
      <w:r w:rsidR="00E05572">
        <w:t xml:space="preserve"> (Caselines 012-8)</w:t>
      </w:r>
      <w:r>
        <w:t>.</w:t>
      </w:r>
    </w:p>
  </w:footnote>
  <w:footnote w:id="5">
    <w:p w14:paraId="1817854F" w14:textId="77777777" w:rsidR="00724D82" w:rsidRDefault="00724D82" w:rsidP="00724D82">
      <w:pPr>
        <w:pStyle w:val="FootnoteText"/>
      </w:pPr>
      <w:r>
        <w:rPr>
          <w:rStyle w:val="FootnoteReference"/>
        </w:rPr>
        <w:footnoteRef/>
      </w:r>
      <w:r>
        <w:t xml:space="preserve"> </w:t>
      </w:r>
      <w:r>
        <w:tab/>
        <w:t>Answering affidavit paragraph 5.20 (Caselines 012-15).</w:t>
      </w:r>
    </w:p>
  </w:footnote>
  <w:footnote w:id="6">
    <w:p w14:paraId="73D5ED63" w14:textId="77777777" w:rsidR="00140CED" w:rsidRDefault="00140CED" w:rsidP="00140CED">
      <w:pPr>
        <w:pStyle w:val="FootnoteText"/>
      </w:pPr>
      <w:r>
        <w:rPr>
          <w:rStyle w:val="FootnoteReference"/>
        </w:rPr>
        <w:footnoteRef/>
      </w:r>
      <w:r>
        <w:t xml:space="preserve"> </w:t>
      </w:r>
      <w:r>
        <w:tab/>
        <w:t>Answering affidavit paragraph 5.5. 5.16 (Caselines 012-11, 14)</w:t>
      </w:r>
    </w:p>
  </w:footnote>
  <w:footnote w:id="7">
    <w:p w14:paraId="7100D3BE" w14:textId="77777777" w:rsidR="00140CED" w:rsidRDefault="00140CED" w:rsidP="00140CED">
      <w:pPr>
        <w:pStyle w:val="FootnoteText"/>
      </w:pPr>
      <w:r>
        <w:rPr>
          <w:rStyle w:val="FootnoteReference"/>
        </w:rPr>
        <w:footnoteRef/>
      </w:r>
      <w:r>
        <w:t xml:space="preserve"> </w:t>
      </w:r>
      <w:r>
        <w:tab/>
        <w:t>In the financial statements for 2021 (Caselines 012-47) the amount of a director’s loan was erased. A list of expenses appear at Caselines 012-48 but the amounts have been erased. Similarly at Caselines 012-71.</w:t>
      </w:r>
    </w:p>
  </w:footnote>
  <w:footnote w:id="8">
    <w:p w14:paraId="47C805B3" w14:textId="77777777" w:rsidR="00140CED" w:rsidRDefault="00140CED" w:rsidP="00140CED">
      <w:pPr>
        <w:pStyle w:val="FootnoteText"/>
      </w:pPr>
      <w:r>
        <w:rPr>
          <w:rStyle w:val="FootnoteReference"/>
        </w:rPr>
        <w:footnoteRef/>
      </w:r>
      <w:r>
        <w:t xml:space="preserve"> </w:t>
      </w:r>
      <w:r>
        <w:tab/>
        <w:t>Answering affidavit paragraph 5.13 (Caselines 012-13)</w:t>
      </w:r>
    </w:p>
  </w:footnote>
  <w:footnote w:id="9">
    <w:p w14:paraId="5F8F9099" w14:textId="77777777" w:rsidR="00140CED" w:rsidRDefault="00140CED" w:rsidP="00140CED">
      <w:pPr>
        <w:pStyle w:val="FootnoteText"/>
      </w:pPr>
      <w:r>
        <w:rPr>
          <w:rStyle w:val="FootnoteReference"/>
        </w:rPr>
        <w:footnoteRef/>
      </w:r>
      <w:r>
        <w:t xml:space="preserve"> </w:t>
      </w:r>
      <w:r>
        <w:tab/>
        <w:t>Answering affidavit paragraph 5.21 (Caselines 012-15)</w:t>
      </w:r>
    </w:p>
  </w:footnote>
  <w:footnote w:id="10">
    <w:p w14:paraId="55CB1120" w14:textId="1F96C1FD" w:rsidR="00F92AA4" w:rsidRDefault="00F92AA4" w:rsidP="00F92AA4">
      <w:pPr>
        <w:pStyle w:val="FootnoteText"/>
      </w:pPr>
      <w:r>
        <w:rPr>
          <w:rStyle w:val="FootnoteReference"/>
        </w:rPr>
        <w:footnoteRef/>
      </w:r>
      <w:r>
        <w:t xml:space="preserve"> </w:t>
      </w:r>
      <w:r>
        <w:tab/>
        <w:t>Answering affidavit paragraph 5.5, 5.6 (Caselines 012-11)</w:t>
      </w:r>
    </w:p>
  </w:footnote>
  <w:footnote w:id="11">
    <w:p w14:paraId="5B779681" w14:textId="77777777" w:rsidR="00CB1536" w:rsidRDefault="00CB1536" w:rsidP="00CB1536">
      <w:pPr>
        <w:pStyle w:val="FootnoteText"/>
      </w:pPr>
      <w:r>
        <w:rPr>
          <w:rStyle w:val="FootnoteReference"/>
        </w:rPr>
        <w:footnoteRef/>
      </w:r>
      <w:r>
        <w:t xml:space="preserve"> </w:t>
      </w:r>
      <w:r>
        <w:tab/>
        <w:t>Caselines 012-35, 39.</w:t>
      </w:r>
    </w:p>
  </w:footnote>
  <w:footnote w:id="12">
    <w:p w14:paraId="15D5BDCA" w14:textId="77777777" w:rsidR="00CB1536" w:rsidRDefault="00CB1536" w:rsidP="00CB1536">
      <w:pPr>
        <w:pStyle w:val="FootnoteText"/>
      </w:pPr>
      <w:r>
        <w:rPr>
          <w:rStyle w:val="FootnoteReference"/>
        </w:rPr>
        <w:footnoteRef/>
      </w:r>
      <w:r>
        <w:t xml:space="preserve"> </w:t>
      </w:r>
      <w:r>
        <w:tab/>
        <w:t>Caselines 012-50.</w:t>
      </w:r>
    </w:p>
  </w:footnote>
  <w:footnote w:id="13">
    <w:p w14:paraId="501C5946" w14:textId="4B0FF63F" w:rsidR="00CB1536" w:rsidRDefault="00CB1536">
      <w:pPr>
        <w:pStyle w:val="FootnoteText"/>
      </w:pPr>
      <w:r>
        <w:rPr>
          <w:rStyle w:val="FootnoteReference"/>
        </w:rPr>
        <w:footnoteRef/>
      </w:r>
      <w:r>
        <w:t xml:space="preserve"> </w:t>
      </w:r>
      <w:r>
        <w:tab/>
        <w:t>Caselines 012-73.</w:t>
      </w:r>
    </w:p>
  </w:footnote>
  <w:footnote w:id="14">
    <w:p w14:paraId="57EA6CE4" w14:textId="46FCA290" w:rsidR="00B72ADA" w:rsidRDefault="00B72ADA">
      <w:pPr>
        <w:pStyle w:val="FootnoteText"/>
      </w:pPr>
      <w:r>
        <w:rPr>
          <w:rStyle w:val="FootnoteReference"/>
        </w:rPr>
        <w:footnoteRef/>
      </w:r>
      <w:r>
        <w:t xml:space="preserve"> </w:t>
      </w:r>
      <w:r>
        <w:tab/>
        <w:t>Replying affidavit paragraph 34.1 (Caselines 013-14) and the financial disclosure document at Caselines 013-25.</w:t>
      </w:r>
    </w:p>
  </w:footnote>
  <w:footnote w:id="15">
    <w:p w14:paraId="13FF72D7" w14:textId="31177093" w:rsidR="00393127" w:rsidRDefault="00393127">
      <w:pPr>
        <w:pStyle w:val="FootnoteText"/>
      </w:pPr>
      <w:r>
        <w:rPr>
          <w:rStyle w:val="FootnoteReference"/>
        </w:rPr>
        <w:footnoteRef/>
      </w:r>
      <w:r>
        <w:t xml:space="preserve"> </w:t>
      </w:r>
      <w:r>
        <w:tab/>
        <w:t>Caselines 012-77</w:t>
      </w:r>
      <w:r w:rsidR="00B72ADA">
        <w:t>.</w:t>
      </w:r>
    </w:p>
  </w:footnote>
  <w:footnote w:id="16">
    <w:p w14:paraId="43E07233" w14:textId="6BCBE90B" w:rsidR="00373181" w:rsidRDefault="00373181">
      <w:pPr>
        <w:pStyle w:val="FootnoteText"/>
      </w:pPr>
      <w:r>
        <w:rPr>
          <w:rStyle w:val="FootnoteReference"/>
        </w:rPr>
        <w:footnoteRef/>
      </w:r>
      <w:r>
        <w:t xml:space="preserve"> </w:t>
      </w:r>
      <w:r>
        <w:tab/>
        <w:t>Caselines 012-55.</w:t>
      </w:r>
    </w:p>
  </w:footnote>
  <w:footnote w:id="17">
    <w:p w14:paraId="312C8BA4" w14:textId="77777777" w:rsidR="00592B6A" w:rsidRDefault="00592B6A" w:rsidP="00592B6A">
      <w:pPr>
        <w:pStyle w:val="FootnoteText"/>
      </w:pPr>
      <w:r>
        <w:rPr>
          <w:rStyle w:val="FootnoteReference"/>
        </w:rPr>
        <w:footnoteRef/>
      </w:r>
      <w:r>
        <w:t xml:space="preserve"> </w:t>
      </w:r>
      <w:r>
        <w:tab/>
        <w:t>Answering affidavit paragraph 5.23 (Caselines 012-16)</w:t>
      </w:r>
    </w:p>
  </w:footnote>
  <w:footnote w:id="18">
    <w:p w14:paraId="5B7AC279" w14:textId="77777777" w:rsidR="00AA0013" w:rsidRDefault="00AA0013" w:rsidP="00AA0013">
      <w:pPr>
        <w:pStyle w:val="FootnoteText"/>
      </w:pPr>
      <w:r>
        <w:rPr>
          <w:rStyle w:val="FootnoteReference"/>
        </w:rPr>
        <w:footnoteRef/>
      </w:r>
      <w:r>
        <w:t xml:space="preserve"> </w:t>
      </w:r>
      <w:r>
        <w:tab/>
      </w:r>
      <w:r w:rsidRPr="00CB3907">
        <w:rPr>
          <w:rFonts w:cs="Arial"/>
          <w:bCs/>
          <w:i/>
          <w:iCs/>
          <w:color w:val="000000" w:themeColor="text1"/>
          <w:shd w:val="clear" w:color="auto" w:fill="FFFFFF"/>
        </w:rPr>
        <w:t>Harwood v Harwood</w:t>
      </w:r>
      <w:r>
        <w:rPr>
          <w:rFonts w:cs="Arial"/>
          <w:bCs/>
          <w:i/>
          <w:iCs/>
          <w:color w:val="000000" w:themeColor="text1"/>
          <w:shd w:val="clear" w:color="auto" w:fill="FFFFFF"/>
        </w:rPr>
        <w:t xml:space="preserve"> </w:t>
      </w:r>
      <w:r>
        <w:t>1976 (4) SA 586 (C) 588D-E</w:t>
      </w:r>
    </w:p>
  </w:footnote>
  <w:footnote w:id="19">
    <w:p w14:paraId="0F8378B9" w14:textId="77777777" w:rsidR="00AA0013" w:rsidRDefault="00AA0013" w:rsidP="00AA0013">
      <w:pPr>
        <w:pStyle w:val="FootnoteText"/>
      </w:pPr>
      <w:r>
        <w:rPr>
          <w:rStyle w:val="FootnoteReference"/>
        </w:rPr>
        <w:footnoteRef/>
      </w:r>
      <w:r>
        <w:t xml:space="preserve"> </w:t>
      </w:r>
      <w:r>
        <w:tab/>
        <w:t xml:space="preserve">See also </w:t>
      </w:r>
      <w:r w:rsidRPr="00642664">
        <w:rPr>
          <w:i/>
          <w:iCs/>
          <w:lang w:eastAsia="en-ZA"/>
        </w:rPr>
        <w:t>Gobel v Gobel</w:t>
      </w:r>
      <w:r>
        <w:rPr>
          <w:lang w:eastAsia="en-ZA"/>
        </w:rPr>
        <w:t xml:space="preserve"> </w:t>
      </w:r>
      <w:r w:rsidRPr="00BE03D0">
        <w:rPr>
          <w:lang w:eastAsia="en-ZA"/>
        </w:rPr>
        <w:t>[2013] ZAWCHC 91</w:t>
      </w:r>
      <w:r>
        <w:rPr>
          <w:lang w:eastAsia="en-ZA"/>
        </w:rPr>
        <w:t xml:space="preserve"> paragraph 12.</w:t>
      </w:r>
    </w:p>
  </w:footnote>
  <w:footnote w:id="20">
    <w:p w14:paraId="41BAFFBD" w14:textId="77777777" w:rsidR="00AA0013" w:rsidRPr="00134A71" w:rsidRDefault="00AA0013" w:rsidP="00AA0013">
      <w:pPr>
        <w:pStyle w:val="FootnoteText"/>
        <w:jc w:val="both"/>
        <w:rPr>
          <w:color w:val="000000" w:themeColor="text1"/>
        </w:rPr>
      </w:pPr>
      <w:r w:rsidRPr="00134A71">
        <w:rPr>
          <w:rStyle w:val="FootnoteReference"/>
          <w:color w:val="000000" w:themeColor="text1"/>
        </w:rPr>
        <w:footnoteRef/>
      </w:r>
      <w:r w:rsidRPr="00134A71">
        <w:rPr>
          <w:color w:val="000000" w:themeColor="text1"/>
        </w:rPr>
        <w:t xml:space="preserve"> </w:t>
      </w:r>
      <w:r w:rsidRPr="00134A71">
        <w:rPr>
          <w:color w:val="000000" w:themeColor="text1"/>
        </w:rPr>
        <w:tab/>
        <w:t>In other words, the procedure in Rule 43(2) and (3).</w:t>
      </w:r>
    </w:p>
  </w:footnote>
  <w:footnote w:id="21">
    <w:p w14:paraId="3DF1C7C8" w14:textId="74CBB93A" w:rsidR="00AA0013" w:rsidRDefault="00AA0013" w:rsidP="00AA0013">
      <w:pPr>
        <w:pStyle w:val="FootnoteText"/>
      </w:pPr>
      <w:r>
        <w:rPr>
          <w:rStyle w:val="FootnoteReference"/>
        </w:rPr>
        <w:footnoteRef/>
      </w:r>
      <w:r>
        <w:t xml:space="preserve"> </w:t>
      </w:r>
      <w:r>
        <w:tab/>
      </w:r>
      <w:r>
        <w:rPr>
          <w:rFonts w:cs="Arial"/>
        </w:rPr>
        <w:t>See</w:t>
      </w:r>
      <w:r w:rsidRPr="00602403">
        <w:rPr>
          <w:i/>
          <w:iCs/>
        </w:rPr>
        <w:t xml:space="preserve"> </w:t>
      </w:r>
      <w:r>
        <w:rPr>
          <w:i/>
          <w:iCs/>
        </w:rPr>
        <w:t xml:space="preserve">Jeanes v Jeanes </w:t>
      </w:r>
      <w:r>
        <w:t>1977 (2) SA 703 (W) 706F</w:t>
      </w:r>
      <w:r w:rsidR="00F24108">
        <w:t>,</w:t>
      </w:r>
      <w:r>
        <w:t xml:space="preserve">  </w:t>
      </w:r>
      <w:r>
        <w:rPr>
          <w:rFonts w:cs="Arial"/>
        </w:rPr>
        <w:t xml:space="preserve"> </w:t>
      </w:r>
      <w:r>
        <w:rPr>
          <w:rFonts w:cs="Arial"/>
          <w:i/>
          <w:iCs/>
        </w:rPr>
        <w:t xml:space="preserve">Grauman v Grauman </w:t>
      </w:r>
      <w:r>
        <w:rPr>
          <w:rFonts w:cs="Arial"/>
        </w:rPr>
        <w:t>1984 (3) SA 477 (W) 480C;</w:t>
      </w:r>
      <w:r>
        <w:rPr>
          <w:rFonts w:cs="Arial"/>
          <w:sz w:val="14"/>
          <w:szCs w:val="14"/>
        </w:rPr>
        <w:t xml:space="preserve"> </w:t>
      </w:r>
      <w:r>
        <w:rPr>
          <w:rFonts w:cs="Arial"/>
          <w:i/>
          <w:iCs/>
        </w:rPr>
        <w:t>Micklem v Micklem</w:t>
      </w:r>
      <w:r>
        <w:rPr>
          <w:rFonts w:cs="Arial"/>
          <w:sz w:val="14"/>
          <w:szCs w:val="14"/>
        </w:rPr>
        <w:t xml:space="preserve"> </w:t>
      </w:r>
      <w:r>
        <w:rPr>
          <w:rFonts w:cs="Arial"/>
        </w:rPr>
        <w:t xml:space="preserve">1988 (3) SA 259 (C) 252E-G and </w:t>
      </w:r>
      <w:r>
        <w:rPr>
          <w:rFonts w:cs="Arial"/>
          <w:i/>
          <w:iCs/>
        </w:rPr>
        <w:t xml:space="preserve">Maas v Maas </w:t>
      </w:r>
      <w:r>
        <w:rPr>
          <w:rFonts w:cs="Arial"/>
        </w:rPr>
        <w:t>1993 (3) SA 885 (O) 888C.</w:t>
      </w:r>
    </w:p>
  </w:footnote>
  <w:footnote w:id="22">
    <w:p w14:paraId="7F8A207D" w14:textId="77777777" w:rsidR="00AA0013" w:rsidRDefault="00AA0013" w:rsidP="00AA0013">
      <w:pPr>
        <w:pStyle w:val="FootnoteText"/>
      </w:pPr>
      <w:r>
        <w:rPr>
          <w:rStyle w:val="FootnoteReference"/>
        </w:rPr>
        <w:footnoteRef/>
      </w:r>
      <w:r>
        <w:t xml:space="preserve"> </w:t>
      </w:r>
      <w:r>
        <w:tab/>
        <w:t>Answering affidavit paragraph 5.20 (Caselines 012-15).</w:t>
      </w:r>
    </w:p>
  </w:footnote>
  <w:footnote w:id="23">
    <w:p w14:paraId="05ECD2B8" w14:textId="77777777" w:rsidR="00AA0013" w:rsidRDefault="00AA0013" w:rsidP="00AA0013">
      <w:pPr>
        <w:pStyle w:val="FootnoteText"/>
      </w:pPr>
      <w:r>
        <w:rPr>
          <w:rStyle w:val="FootnoteReference"/>
        </w:rPr>
        <w:footnoteRef/>
      </w:r>
      <w:r>
        <w:t xml:space="preserve"> </w:t>
      </w:r>
      <w:r>
        <w:tab/>
      </w:r>
      <w:r w:rsidRPr="00E43C23">
        <w:rPr>
          <w:i/>
          <w:iCs/>
          <w:color w:val="000000" w:themeColor="text1"/>
        </w:rPr>
        <w:t>Fakie NO v CCII Systems (Pty) Ltd</w:t>
      </w:r>
      <w:r w:rsidRPr="00E43C23">
        <w:rPr>
          <w:color w:val="000000" w:themeColor="text1"/>
        </w:rPr>
        <w:t xml:space="preserve"> 2006 (4) SA 326 (SCA)</w:t>
      </w:r>
      <w:r>
        <w:rPr>
          <w:color w:val="000000" w:themeColor="text1"/>
        </w:rPr>
        <w:t xml:space="preserve"> paragraph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8A9B" w14:textId="53EB33EB" w:rsidR="00657EDA" w:rsidRPr="006C43D7" w:rsidRDefault="00657EDA"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C25669">
      <w:rPr>
        <w:rFonts w:cs="Arial"/>
        <w:noProof/>
        <w:sz w:val="20"/>
        <w:szCs w:val="20"/>
        <w:lang w:val="en-GB"/>
      </w:rPr>
      <w:t>3</w:t>
    </w:r>
    <w:r w:rsidRPr="006C43D7">
      <w:rPr>
        <w:rFonts w:cs="Arial"/>
        <w:sz w:val="20"/>
        <w:szCs w:val="20"/>
        <w:lang w:val="en-GB"/>
      </w:rPr>
      <w:fldChar w:fldCharType="end"/>
    </w:r>
  </w:p>
  <w:p w14:paraId="08C008E5" w14:textId="77777777" w:rsidR="00657EDA" w:rsidRPr="006C43D7" w:rsidRDefault="00657EDA" w:rsidP="006C43D7">
    <w:pPr>
      <w:tabs>
        <w:tab w:val="center" w:pos="4153"/>
        <w:tab w:val="right" w:pos="8306"/>
      </w:tabs>
      <w:spacing w:line="276" w:lineRule="auto"/>
      <w:jc w:val="right"/>
      <w:rPr>
        <w:rFonts w:cs="Arial"/>
        <w:lang w:val="en-US"/>
      </w:rPr>
    </w:pPr>
  </w:p>
  <w:p w14:paraId="4A21EF97" w14:textId="77777777" w:rsidR="00657EDA" w:rsidRPr="006C43D7" w:rsidRDefault="00657EDA" w:rsidP="006C4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5">
    <w:nsid w:val="3F8F0C59"/>
    <w:multiLevelType w:val="hybridMultilevel"/>
    <w:tmpl w:val="FCCCA750"/>
    <w:lvl w:ilvl="0" w:tplc="F6887E70">
      <w:start w:val="1"/>
      <w:numFmt w:val="decimal"/>
      <w:lvlText w:val="%1."/>
      <w:lvlJc w:val="left"/>
      <w:pPr>
        <w:ind w:left="924" w:hanging="564"/>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2"/>
  </w:num>
  <w:num w:numId="2">
    <w:abstractNumId w:val="1"/>
  </w:num>
  <w:num w:numId="3">
    <w:abstractNumId w:val="8"/>
  </w:num>
  <w:num w:numId="4">
    <w:abstractNumId w:val="3"/>
  </w:num>
  <w:num w:numId="5">
    <w:abstractNumId w:val="7"/>
  </w:num>
  <w:num w:numId="6">
    <w:abstractNumId w:val="6"/>
  </w:num>
  <w:num w:numId="7">
    <w:abstractNumId w:val="0"/>
  </w:num>
  <w:num w:numId="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6113"/>
    <w:rsid w:val="0001111B"/>
    <w:rsid w:val="0001140A"/>
    <w:rsid w:val="00011522"/>
    <w:rsid w:val="00013B7F"/>
    <w:rsid w:val="00015D74"/>
    <w:rsid w:val="00024A29"/>
    <w:rsid w:val="000262B3"/>
    <w:rsid w:val="000325E2"/>
    <w:rsid w:val="00047F26"/>
    <w:rsid w:val="00050086"/>
    <w:rsid w:val="000504F1"/>
    <w:rsid w:val="00063F7B"/>
    <w:rsid w:val="000737E1"/>
    <w:rsid w:val="00073E30"/>
    <w:rsid w:val="000833BB"/>
    <w:rsid w:val="0009488C"/>
    <w:rsid w:val="00097968"/>
    <w:rsid w:val="000A5D65"/>
    <w:rsid w:val="000A6AD8"/>
    <w:rsid w:val="000B21DA"/>
    <w:rsid w:val="000D5760"/>
    <w:rsid w:val="000D7D6A"/>
    <w:rsid w:val="000F59F8"/>
    <w:rsid w:val="00104142"/>
    <w:rsid w:val="00120FB1"/>
    <w:rsid w:val="00130253"/>
    <w:rsid w:val="00133E81"/>
    <w:rsid w:val="00140CED"/>
    <w:rsid w:val="00147FF5"/>
    <w:rsid w:val="00152899"/>
    <w:rsid w:val="00155A21"/>
    <w:rsid w:val="001671C1"/>
    <w:rsid w:val="00185ACF"/>
    <w:rsid w:val="00190579"/>
    <w:rsid w:val="00196E14"/>
    <w:rsid w:val="001A522A"/>
    <w:rsid w:val="001B1D39"/>
    <w:rsid w:val="001B4217"/>
    <w:rsid w:val="001B5D3E"/>
    <w:rsid w:val="001B606B"/>
    <w:rsid w:val="001D3CC2"/>
    <w:rsid w:val="001E2EED"/>
    <w:rsid w:val="001F0A29"/>
    <w:rsid w:val="001F3DBD"/>
    <w:rsid w:val="001F648A"/>
    <w:rsid w:val="00201620"/>
    <w:rsid w:val="00205392"/>
    <w:rsid w:val="002104BF"/>
    <w:rsid w:val="00215824"/>
    <w:rsid w:val="00216BC8"/>
    <w:rsid w:val="0022218D"/>
    <w:rsid w:val="00226926"/>
    <w:rsid w:val="00232528"/>
    <w:rsid w:val="00237FF9"/>
    <w:rsid w:val="00240E1B"/>
    <w:rsid w:val="00253F38"/>
    <w:rsid w:val="00262819"/>
    <w:rsid w:val="00285040"/>
    <w:rsid w:val="00285062"/>
    <w:rsid w:val="002A030C"/>
    <w:rsid w:val="002A3DB7"/>
    <w:rsid w:val="002C15AC"/>
    <w:rsid w:val="002C4687"/>
    <w:rsid w:val="002D47B3"/>
    <w:rsid w:val="002E5B57"/>
    <w:rsid w:val="002E6CD7"/>
    <w:rsid w:val="002F1C4D"/>
    <w:rsid w:val="002F72D3"/>
    <w:rsid w:val="00302290"/>
    <w:rsid w:val="00302C31"/>
    <w:rsid w:val="003047C2"/>
    <w:rsid w:val="0030653F"/>
    <w:rsid w:val="003102C8"/>
    <w:rsid w:val="0031117B"/>
    <w:rsid w:val="00312EBC"/>
    <w:rsid w:val="00313056"/>
    <w:rsid w:val="00337135"/>
    <w:rsid w:val="0034147B"/>
    <w:rsid w:val="00342E02"/>
    <w:rsid w:val="003463D6"/>
    <w:rsid w:val="00346D31"/>
    <w:rsid w:val="00346DE6"/>
    <w:rsid w:val="003543C5"/>
    <w:rsid w:val="00354EF2"/>
    <w:rsid w:val="00357081"/>
    <w:rsid w:val="00357D35"/>
    <w:rsid w:val="00363FCD"/>
    <w:rsid w:val="00364C43"/>
    <w:rsid w:val="00367720"/>
    <w:rsid w:val="0037029D"/>
    <w:rsid w:val="00373181"/>
    <w:rsid w:val="00381213"/>
    <w:rsid w:val="003840EC"/>
    <w:rsid w:val="00390C3F"/>
    <w:rsid w:val="00393127"/>
    <w:rsid w:val="003A7864"/>
    <w:rsid w:val="003B4100"/>
    <w:rsid w:val="003C1A16"/>
    <w:rsid w:val="003C1E91"/>
    <w:rsid w:val="003D36F9"/>
    <w:rsid w:val="003D77F1"/>
    <w:rsid w:val="003F1F49"/>
    <w:rsid w:val="003F7448"/>
    <w:rsid w:val="00407F28"/>
    <w:rsid w:val="0041100A"/>
    <w:rsid w:val="004131C5"/>
    <w:rsid w:val="0042423E"/>
    <w:rsid w:val="004271F2"/>
    <w:rsid w:val="004339E6"/>
    <w:rsid w:val="0043683A"/>
    <w:rsid w:val="00441422"/>
    <w:rsid w:val="00445DCB"/>
    <w:rsid w:val="00460495"/>
    <w:rsid w:val="004630B6"/>
    <w:rsid w:val="00474607"/>
    <w:rsid w:val="00474910"/>
    <w:rsid w:val="004749AF"/>
    <w:rsid w:val="00475410"/>
    <w:rsid w:val="00484116"/>
    <w:rsid w:val="0048424E"/>
    <w:rsid w:val="00486F42"/>
    <w:rsid w:val="00487D14"/>
    <w:rsid w:val="004A2C7E"/>
    <w:rsid w:val="004A7DFE"/>
    <w:rsid w:val="004B21D9"/>
    <w:rsid w:val="004B33CB"/>
    <w:rsid w:val="004C0CE3"/>
    <w:rsid w:val="004C2585"/>
    <w:rsid w:val="004C368B"/>
    <w:rsid w:val="004D1A31"/>
    <w:rsid w:val="004D262A"/>
    <w:rsid w:val="004D2C6F"/>
    <w:rsid w:val="004D2E01"/>
    <w:rsid w:val="004E568C"/>
    <w:rsid w:val="004E5AD8"/>
    <w:rsid w:val="004F12D8"/>
    <w:rsid w:val="004F22A6"/>
    <w:rsid w:val="00504B53"/>
    <w:rsid w:val="0051015D"/>
    <w:rsid w:val="0051292D"/>
    <w:rsid w:val="0051622D"/>
    <w:rsid w:val="005262C2"/>
    <w:rsid w:val="0052705A"/>
    <w:rsid w:val="00537A72"/>
    <w:rsid w:val="005436FD"/>
    <w:rsid w:val="00552205"/>
    <w:rsid w:val="0056683F"/>
    <w:rsid w:val="00570A89"/>
    <w:rsid w:val="00571E81"/>
    <w:rsid w:val="00573FF9"/>
    <w:rsid w:val="00576B16"/>
    <w:rsid w:val="00592B6A"/>
    <w:rsid w:val="005A313A"/>
    <w:rsid w:val="005A680F"/>
    <w:rsid w:val="005B07CB"/>
    <w:rsid w:val="005B2FF9"/>
    <w:rsid w:val="005B6D81"/>
    <w:rsid w:val="005B7DD3"/>
    <w:rsid w:val="005C7FC2"/>
    <w:rsid w:val="005D2408"/>
    <w:rsid w:val="005D6122"/>
    <w:rsid w:val="005D6E80"/>
    <w:rsid w:val="005E2F7B"/>
    <w:rsid w:val="005E3C94"/>
    <w:rsid w:val="005E5C01"/>
    <w:rsid w:val="005E7118"/>
    <w:rsid w:val="005F37A4"/>
    <w:rsid w:val="00602403"/>
    <w:rsid w:val="006041A4"/>
    <w:rsid w:val="006109EC"/>
    <w:rsid w:val="00611D8A"/>
    <w:rsid w:val="006150CE"/>
    <w:rsid w:val="006165F4"/>
    <w:rsid w:val="00642664"/>
    <w:rsid w:val="00644BBE"/>
    <w:rsid w:val="00647DDD"/>
    <w:rsid w:val="00653BA4"/>
    <w:rsid w:val="00657EDA"/>
    <w:rsid w:val="006609A2"/>
    <w:rsid w:val="00660C84"/>
    <w:rsid w:val="0066194B"/>
    <w:rsid w:val="00666D4D"/>
    <w:rsid w:val="006858DA"/>
    <w:rsid w:val="006902F1"/>
    <w:rsid w:val="006918E9"/>
    <w:rsid w:val="006951CE"/>
    <w:rsid w:val="006A438B"/>
    <w:rsid w:val="006B514A"/>
    <w:rsid w:val="006C4213"/>
    <w:rsid w:val="006C43D7"/>
    <w:rsid w:val="006C5694"/>
    <w:rsid w:val="006E1883"/>
    <w:rsid w:val="006E68E6"/>
    <w:rsid w:val="006F25E5"/>
    <w:rsid w:val="006F2FCE"/>
    <w:rsid w:val="006F415C"/>
    <w:rsid w:val="00700C6C"/>
    <w:rsid w:val="007205BF"/>
    <w:rsid w:val="007241D4"/>
    <w:rsid w:val="00724D82"/>
    <w:rsid w:val="00732A6F"/>
    <w:rsid w:val="0074214D"/>
    <w:rsid w:val="00742764"/>
    <w:rsid w:val="00751452"/>
    <w:rsid w:val="0075156A"/>
    <w:rsid w:val="00751F90"/>
    <w:rsid w:val="00761C35"/>
    <w:rsid w:val="00766026"/>
    <w:rsid w:val="00772025"/>
    <w:rsid w:val="00781AA0"/>
    <w:rsid w:val="007B165A"/>
    <w:rsid w:val="007B2DAD"/>
    <w:rsid w:val="007B7246"/>
    <w:rsid w:val="007B78C2"/>
    <w:rsid w:val="007C5008"/>
    <w:rsid w:val="007D1E79"/>
    <w:rsid w:val="007D27CF"/>
    <w:rsid w:val="007D4DAF"/>
    <w:rsid w:val="007E468A"/>
    <w:rsid w:val="007E58FC"/>
    <w:rsid w:val="007F207F"/>
    <w:rsid w:val="007F5B91"/>
    <w:rsid w:val="00803CEC"/>
    <w:rsid w:val="00810CA3"/>
    <w:rsid w:val="00822050"/>
    <w:rsid w:val="00830952"/>
    <w:rsid w:val="008443A9"/>
    <w:rsid w:val="008469B3"/>
    <w:rsid w:val="00860576"/>
    <w:rsid w:val="0086578F"/>
    <w:rsid w:val="008674AA"/>
    <w:rsid w:val="008675CC"/>
    <w:rsid w:val="0088094C"/>
    <w:rsid w:val="00881004"/>
    <w:rsid w:val="00882C40"/>
    <w:rsid w:val="008942FC"/>
    <w:rsid w:val="008A082A"/>
    <w:rsid w:val="008A4DF4"/>
    <w:rsid w:val="008B1DA9"/>
    <w:rsid w:val="008B6162"/>
    <w:rsid w:val="008C3EBC"/>
    <w:rsid w:val="008C57F6"/>
    <w:rsid w:val="008D33A3"/>
    <w:rsid w:val="008D4715"/>
    <w:rsid w:val="008F189C"/>
    <w:rsid w:val="008F1FE1"/>
    <w:rsid w:val="008F4486"/>
    <w:rsid w:val="008F4FC6"/>
    <w:rsid w:val="0091544C"/>
    <w:rsid w:val="00921D03"/>
    <w:rsid w:val="00925CD2"/>
    <w:rsid w:val="00933065"/>
    <w:rsid w:val="00933569"/>
    <w:rsid w:val="009365B1"/>
    <w:rsid w:val="0093799C"/>
    <w:rsid w:val="00944804"/>
    <w:rsid w:val="009473D8"/>
    <w:rsid w:val="00960ADF"/>
    <w:rsid w:val="00963A0C"/>
    <w:rsid w:val="00974A92"/>
    <w:rsid w:val="00975270"/>
    <w:rsid w:val="00975BA1"/>
    <w:rsid w:val="009835E3"/>
    <w:rsid w:val="00987CDB"/>
    <w:rsid w:val="009A2726"/>
    <w:rsid w:val="009A30E0"/>
    <w:rsid w:val="009A3619"/>
    <w:rsid w:val="009B08AF"/>
    <w:rsid w:val="009B3DFC"/>
    <w:rsid w:val="009B793E"/>
    <w:rsid w:val="009C37B9"/>
    <w:rsid w:val="009C38E7"/>
    <w:rsid w:val="009D32BD"/>
    <w:rsid w:val="009D4486"/>
    <w:rsid w:val="009F211E"/>
    <w:rsid w:val="009F294E"/>
    <w:rsid w:val="009F30F1"/>
    <w:rsid w:val="009F37C7"/>
    <w:rsid w:val="009F50AB"/>
    <w:rsid w:val="00A005F6"/>
    <w:rsid w:val="00A0424F"/>
    <w:rsid w:val="00A26214"/>
    <w:rsid w:val="00A37BA4"/>
    <w:rsid w:val="00A402F6"/>
    <w:rsid w:val="00A43739"/>
    <w:rsid w:val="00A47A18"/>
    <w:rsid w:val="00A539CB"/>
    <w:rsid w:val="00A660AF"/>
    <w:rsid w:val="00A70A95"/>
    <w:rsid w:val="00A7621E"/>
    <w:rsid w:val="00A93351"/>
    <w:rsid w:val="00AA0013"/>
    <w:rsid w:val="00AA26FF"/>
    <w:rsid w:val="00AA6E8C"/>
    <w:rsid w:val="00AA6F19"/>
    <w:rsid w:val="00AA79A8"/>
    <w:rsid w:val="00AA7A76"/>
    <w:rsid w:val="00AB0286"/>
    <w:rsid w:val="00AB4C6D"/>
    <w:rsid w:val="00AB5D57"/>
    <w:rsid w:val="00AC556A"/>
    <w:rsid w:val="00AD2631"/>
    <w:rsid w:val="00AE287F"/>
    <w:rsid w:val="00AE63BD"/>
    <w:rsid w:val="00AF0B2B"/>
    <w:rsid w:val="00AF2914"/>
    <w:rsid w:val="00AF363F"/>
    <w:rsid w:val="00AF3E4F"/>
    <w:rsid w:val="00B071FF"/>
    <w:rsid w:val="00B1103D"/>
    <w:rsid w:val="00B11505"/>
    <w:rsid w:val="00B11DC2"/>
    <w:rsid w:val="00B15142"/>
    <w:rsid w:val="00B1655F"/>
    <w:rsid w:val="00B42807"/>
    <w:rsid w:val="00B428A6"/>
    <w:rsid w:val="00B53913"/>
    <w:rsid w:val="00B554D4"/>
    <w:rsid w:val="00B56906"/>
    <w:rsid w:val="00B71CB5"/>
    <w:rsid w:val="00B72922"/>
    <w:rsid w:val="00B72A13"/>
    <w:rsid w:val="00B72ADA"/>
    <w:rsid w:val="00B84DD5"/>
    <w:rsid w:val="00B9487E"/>
    <w:rsid w:val="00B95910"/>
    <w:rsid w:val="00BA3A4C"/>
    <w:rsid w:val="00BB0F20"/>
    <w:rsid w:val="00BC415B"/>
    <w:rsid w:val="00BD2CDE"/>
    <w:rsid w:val="00BD41CF"/>
    <w:rsid w:val="00BE0164"/>
    <w:rsid w:val="00BE12BD"/>
    <w:rsid w:val="00BE2ED7"/>
    <w:rsid w:val="00BE6AB8"/>
    <w:rsid w:val="00BF086D"/>
    <w:rsid w:val="00BF2167"/>
    <w:rsid w:val="00C04139"/>
    <w:rsid w:val="00C21B3D"/>
    <w:rsid w:val="00C25669"/>
    <w:rsid w:val="00C2788D"/>
    <w:rsid w:val="00C361F6"/>
    <w:rsid w:val="00C3669A"/>
    <w:rsid w:val="00C423E3"/>
    <w:rsid w:val="00C44BAC"/>
    <w:rsid w:val="00C45626"/>
    <w:rsid w:val="00C458AF"/>
    <w:rsid w:val="00C460A0"/>
    <w:rsid w:val="00C50068"/>
    <w:rsid w:val="00C676F3"/>
    <w:rsid w:val="00C75909"/>
    <w:rsid w:val="00C77EFD"/>
    <w:rsid w:val="00C81A10"/>
    <w:rsid w:val="00C829DF"/>
    <w:rsid w:val="00C84021"/>
    <w:rsid w:val="00C875AE"/>
    <w:rsid w:val="00C9310B"/>
    <w:rsid w:val="00CB1536"/>
    <w:rsid w:val="00CB3907"/>
    <w:rsid w:val="00CC0C54"/>
    <w:rsid w:val="00CC1016"/>
    <w:rsid w:val="00CD1721"/>
    <w:rsid w:val="00CF2008"/>
    <w:rsid w:val="00CF4188"/>
    <w:rsid w:val="00CF4E9E"/>
    <w:rsid w:val="00CF7848"/>
    <w:rsid w:val="00D06213"/>
    <w:rsid w:val="00D10010"/>
    <w:rsid w:val="00D12BB7"/>
    <w:rsid w:val="00D31882"/>
    <w:rsid w:val="00D31BAB"/>
    <w:rsid w:val="00D35A03"/>
    <w:rsid w:val="00D37377"/>
    <w:rsid w:val="00D45B8C"/>
    <w:rsid w:val="00D567E0"/>
    <w:rsid w:val="00D630DE"/>
    <w:rsid w:val="00D65905"/>
    <w:rsid w:val="00D7327A"/>
    <w:rsid w:val="00D7403B"/>
    <w:rsid w:val="00D83ADE"/>
    <w:rsid w:val="00D94745"/>
    <w:rsid w:val="00D963D5"/>
    <w:rsid w:val="00DA41B2"/>
    <w:rsid w:val="00DA5D06"/>
    <w:rsid w:val="00DA7B20"/>
    <w:rsid w:val="00DC6A98"/>
    <w:rsid w:val="00DC7245"/>
    <w:rsid w:val="00DC730A"/>
    <w:rsid w:val="00DD12FC"/>
    <w:rsid w:val="00DE130A"/>
    <w:rsid w:val="00DE1F21"/>
    <w:rsid w:val="00DE38B2"/>
    <w:rsid w:val="00E05572"/>
    <w:rsid w:val="00E166FD"/>
    <w:rsid w:val="00E25706"/>
    <w:rsid w:val="00E264BB"/>
    <w:rsid w:val="00E276DF"/>
    <w:rsid w:val="00E30596"/>
    <w:rsid w:val="00E33434"/>
    <w:rsid w:val="00E43C23"/>
    <w:rsid w:val="00E451F9"/>
    <w:rsid w:val="00E45E6A"/>
    <w:rsid w:val="00E50A42"/>
    <w:rsid w:val="00E56D64"/>
    <w:rsid w:val="00E71CE6"/>
    <w:rsid w:val="00E76641"/>
    <w:rsid w:val="00E851E8"/>
    <w:rsid w:val="00E95703"/>
    <w:rsid w:val="00EA0297"/>
    <w:rsid w:val="00EA3F05"/>
    <w:rsid w:val="00EA5E85"/>
    <w:rsid w:val="00EB0B07"/>
    <w:rsid w:val="00EB1B82"/>
    <w:rsid w:val="00EB635D"/>
    <w:rsid w:val="00EC70BC"/>
    <w:rsid w:val="00ED018E"/>
    <w:rsid w:val="00EE55F9"/>
    <w:rsid w:val="00EE62A5"/>
    <w:rsid w:val="00F11454"/>
    <w:rsid w:val="00F221FC"/>
    <w:rsid w:val="00F24108"/>
    <w:rsid w:val="00F57AFC"/>
    <w:rsid w:val="00F627E4"/>
    <w:rsid w:val="00F65DBD"/>
    <w:rsid w:val="00F669B9"/>
    <w:rsid w:val="00F86BC7"/>
    <w:rsid w:val="00F92AA4"/>
    <w:rsid w:val="00FB59A0"/>
    <w:rsid w:val="00FC42BD"/>
    <w:rsid w:val="00FD2E9B"/>
    <w:rsid w:val="00FD52E9"/>
    <w:rsid w:val="00FE065B"/>
    <w:rsid w:val="00FE17D2"/>
    <w:rsid w:val="00FF6D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57696"/>
  <w15:docId w15:val="{77520E9A-8A17-4ED8-ACF4-6E4B0A01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semiHidden/>
    <w:unhideWhenUsed/>
    <w:rsid w:val="00C3669A"/>
    <w:pPr>
      <w:ind w:left="340" w:hanging="340"/>
    </w:pPr>
    <w:rPr>
      <w:sz w:val="20"/>
      <w:szCs w:val="20"/>
    </w:rPr>
  </w:style>
  <w:style w:type="character" w:customStyle="1" w:styleId="FootnoteTextChar">
    <w:name w:val="Footnote Text Char"/>
    <w:basedOn w:val="DefaultParagraphFont"/>
    <w:link w:val="FootnoteText"/>
    <w:uiPriority w:val="99"/>
    <w:semiHidden/>
    <w:rsid w:val="00C3669A"/>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2006%20%286%29%20SA%203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139D2-D23B-47FC-943A-FC3A8A886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2</TotalTime>
  <Pages>12</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13411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JOHAN MOORCROFT</cp:keywords>
  <cp:lastModifiedBy>Mokone</cp:lastModifiedBy>
  <cp:revision>3</cp:revision>
  <cp:lastPrinted>1900-12-31T22:00:00Z</cp:lastPrinted>
  <dcterms:created xsi:type="dcterms:W3CDTF">2022-10-19T07:58:00Z</dcterms:created>
  <dcterms:modified xsi:type="dcterms:W3CDTF">2022-10-19T07:59:00Z</dcterms:modified>
</cp:coreProperties>
</file>