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46CDB12F" w:rsidR="006C43D7" w:rsidRPr="006C43D7" w:rsidRDefault="006C43D7" w:rsidP="006C43D7">
      <w:pPr>
        <w:spacing w:line="360" w:lineRule="auto"/>
        <w:jc w:val="right"/>
        <w:rPr>
          <w:b/>
        </w:rPr>
      </w:pPr>
      <w:r w:rsidRPr="006C43D7">
        <w:rPr>
          <w:b/>
        </w:rPr>
        <w:t xml:space="preserve">CASE NO: </w:t>
      </w:r>
      <w:r w:rsidR="00D34AFB">
        <w:rPr>
          <w:b/>
        </w:rPr>
        <w:t>2020/19821</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6CEFC836" w:rsidR="00D645C6" w:rsidRDefault="00756B17" w:rsidP="00756B1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E84D18">
                              <w:rPr>
                                <w:rFonts w:ascii="Century Gothic" w:hAnsi="Century Gothic"/>
                                <w:sz w:val="20"/>
                                <w:szCs w:val="20"/>
                              </w:rPr>
                              <w:t>YES</w:t>
                            </w:r>
                          </w:p>
                          <w:p w14:paraId="3A4C7296" w14:textId="48292150" w:rsidR="00D645C6" w:rsidRPr="001D3CC2" w:rsidRDefault="00756B17" w:rsidP="00756B1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E84D18">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6CEFC836" w:rsidR="00D645C6" w:rsidRDefault="00756B17" w:rsidP="00756B1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E84D18">
                        <w:rPr>
                          <w:rFonts w:ascii="Century Gothic" w:hAnsi="Century Gothic"/>
                          <w:sz w:val="20"/>
                          <w:szCs w:val="20"/>
                        </w:rPr>
                        <w:t>YES</w:t>
                      </w:r>
                    </w:p>
                    <w:p w14:paraId="3A4C7296" w14:textId="48292150" w:rsidR="00D645C6" w:rsidRPr="001D3CC2" w:rsidRDefault="00756B17" w:rsidP="00756B1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E84D18">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2372"/>
      </w:tblGrid>
      <w:tr w:rsidR="002104BF" w14:paraId="4E86F7E7" w14:textId="77777777" w:rsidTr="009869F2">
        <w:tc>
          <w:tcPr>
            <w:tcW w:w="6345" w:type="dxa"/>
          </w:tcPr>
          <w:p w14:paraId="74EE3EDE" w14:textId="481923B7" w:rsidR="002104BF" w:rsidRDefault="00C549F4" w:rsidP="00AA7A76">
            <w:pPr>
              <w:spacing w:line="480" w:lineRule="auto"/>
              <w:jc w:val="both"/>
              <w:rPr>
                <w:rFonts w:cs="Arial"/>
                <w:szCs w:val="22"/>
              </w:rPr>
            </w:pPr>
            <w:r w:rsidRPr="00516E87">
              <w:rPr>
                <w:b/>
                <w:lang w:val="en-GB"/>
              </w:rPr>
              <w:t>WEISSENSEE, KIM</w:t>
            </w:r>
          </w:p>
        </w:tc>
        <w:tc>
          <w:tcPr>
            <w:tcW w:w="2410" w:type="dxa"/>
          </w:tcPr>
          <w:p w14:paraId="72EECEF8" w14:textId="11B75D3A" w:rsidR="002104BF" w:rsidRDefault="002104BF" w:rsidP="00AA7A76">
            <w:pPr>
              <w:spacing w:line="480" w:lineRule="auto"/>
              <w:jc w:val="both"/>
              <w:rPr>
                <w:rFonts w:cs="Arial"/>
                <w:szCs w:val="22"/>
              </w:rPr>
            </w:pPr>
            <w:r>
              <w:rPr>
                <w:rFonts w:cs="Arial"/>
                <w:szCs w:val="22"/>
              </w:rPr>
              <w:t>Applicant</w:t>
            </w:r>
          </w:p>
        </w:tc>
      </w:tr>
      <w:tr w:rsidR="002104BF" w14:paraId="64E42908" w14:textId="77777777" w:rsidTr="009869F2">
        <w:tc>
          <w:tcPr>
            <w:tcW w:w="6345" w:type="dxa"/>
          </w:tcPr>
          <w:p w14:paraId="6E1E5BEB" w14:textId="24690245" w:rsidR="002104BF" w:rsidRDefault="002104BF" w:rsidP="00AA7A76">
            <w:pPr>
              <w:spacing w:line="480" w:lineRule="auto"/>
              <w:jc w:val="both"/>
              <w:rPr>
                <w:b/>
                <w:szCs w:val="22"/>
              </w:rPr>
            </w:pPr>
            <w:r>
              <w:rPr>
                <w:b/>
                <w:szCs w:val="22"/>
              </w:rPr>
              <w:t>and</w:t>
            </w:r>
          </w:p>
        </w:tc>
        <w:tc>
          <w:tcPr>
            <w:tcW w:w="2410" w:type="dxa"/>
          </w:tcPr>
          <w:p w14:paraId="1DB932F2" w14:textId="77777777" w:rsidR="002104BF" w:rsidRDefault="002104BF" w:rsidP="00AA7A76">
            <w:pPr>
              <w:spacing w:line="480" w:lineRule="auto"/>
              <w:jc w:val="both"/>
              <w:rPr>
                <w:rFonts w:cs="Arial"/>
                <w:szCs w:val="22"/>
              </w:rPr>
            </w:pPr>
          </w:p>
        </w:tc>
      </w:tr>
      <w:tr w:rsidR="002104BF" w14:paraId="3BCAF70A" w14:textId="77777777" w:rsidTr="009869F2">
        <w:tc>
          <w:tcPr>
            <w:tcW w:w="6345" w:type="dxa"/>
          </w:tcPr>
          <w:p w14:paraId="58EF44C8" w14:textId="77777777" w:rsidR="00C549F4" w:rsidRPr="00516E87" w:rsidRDefault="00C549F4" w:rsidP="00C549F4">
            <w:pPr>
              <w:tabs>
                <w:tab w:val="right" w:pos="8931"/>
              </w:tabs>
              <w:contextualSpacing/>
              <w:rPr>
                <w:b/>
                <w:lang w:val="en-GB"/>
              </w:rPr>
            </w:pPr>
            <w:r w:rsidRPr="00516E87">
              <w:rPr>
                <w:b/>
                <w:lang w:val="en-GB"/>
              </w:rPr>
              <w:t xml:space="preserve">STONE-BIRD INVESTMENTS (PTY) LTD </w:t>
            </w:r>
          </w:p>
          <w:p w14:paraId="0E8BF73D" w14:textId="6E2E80CC" w:rsidR="002104BF" w:rsidRDefault="00C549F4" w:rsidP="00C549F4">
            <w:pPr>
              <w:spacing w:line="480" w:lineRule="auto"/>
              <w:jc w:val="both"/>
              <w:rPr>
                <w:b/>
                <w:szCs w:val="22"/>
              </w:rPr>
            </w:pPr>
            <w:r w:rsidRPr="00516E87">
              <w:rPr>
                <w:b/>
                <w:lang w:val="en-GB"/>
              </w:rPr>
              <w:t>(Registration Number: 2011/009111/07)</w:t>
            </w:r>
          </w:p>
        </w:tc>
        <w:tc>
          <w:tcPr>
            <w:tcW w:w="2410" w:type="dxa"/>
          </w:tcPr>
          <w:p w14:paraId="2A989CFA" w14:textId="1856DAA8" w:rsidR="002104BF" w:rsidRDefault="00D34AFB" w:rsidP="00AA7A76">
            <w:pPr>
              <w:spacing w:line="480" w:lineRule="auto"/>
              <w:jc w:val="both"/>
              <w:rPr>
                <w:rFonts w:cs="Arial"/>
                <w:szCs w:val="22"/>
              </w:rPr>
            </w:pPr>
            <w:r>
              <w:rPr>
                <w:rFonts w:cs="Arial"/>
                <w:szCs w:val="22"/>
              </w:rPr>
              <w:t xml:space="preserve">First </w:t>
            </w:r>
            <w:r w:rsidR="002104BF">
              <w:rPr>
                <w:rFonts w:cs="Arial"/>
                <w:szCs w:val="22"/>
              </w:rPr>
              <w:t>Respondent</w:t>
            </w:r>
          </w:p>
        </w:tc>
      </w:tr>
      <w:tr w:rsidR="00D34AFB" w14:paraId="3F15FBED" w14:textId="77777777" w:rsidTr="009869F2">
        <w:tc>
          <w:tcPr>
            <w:tcW w:w="6345" w:type="dxa"/>
          </w:tcPr>
          <w:p w14:paraId="55037419" w14:textId="289A191F" w:rsidR="00D34AFB" w:rsidRDefault="00C549F4" w:rsidP="00AA7A76">
            <w:pPr>
              <w:spacing w:line="480" w:lineRule="auto"/>
              <w:jc w:val="both"/>
              <w:rPr>
                <w:b/>
                <w:szCs w:val="22"/>
              </w:rPr>
            </w:pPr>
            <w:r w:rsidRPr="00516E87">
              <w:rPr>
                <w:b/>
                <w:lang w:val="en-GB"/>
              </w:rPr>
              <w:t>GOSLETT, RODNEY BRUCE</w:t>
            </w:r>
            <w:bookmarkStart w:id="0" w:name="_GoBack"/>
            <w:bookmarkEnd w:id="0"/>
          </w:p>
        </w:tc>
        <w:tc>
          <w:tcPr>
            <w:tcW w:w="2410" w:type="dxa"/>
          </w:tcPr>
          <w:p w14:paraId="0089BCA0" w14:textId="336914AB" w:rsidR="00D34AFB" w:rsidRDefault="00D34AFB" w:rsidP="00AA7A76">
            <w:pPr>
              <w:spacing w:line="480" w:lineRule="auto"/>
              <w:jc w:val="both"/>
              <w:rPr>
                <w:rFonts w:cs="Arial"/>
                <w:szCs w:val="22"/>
              </w:rPr>
            </w:pPr>
            <w:r>
              <w:rPr>
                <w:rFonts w:cs="Arial"/>
                <w:szCs w:val="22"/>
              </w:rPr>
              <w:t>Second Respondent</w:t>
            </w:r>
          </w:p>
        </w:tc>
      </w:tr>
      <w:tr w:rsidR="00D34AFB" w14:paraId="75DA8241" w14:textId="77777777" w:rsidTr="009869F2">
        <w:tc>
          <w:tcPr>
            <w:tcW w:w="6345" w:type="dxa"/>
          </w:tcPr>
          <w:p w14:paraId="7326C0D7" w14:textId="1DE7967C" w:rsidR="00D34AFB" w:rsidRDefault="00C549F4" w:rsidP="00AA7A76">
            <w:pPr>
              <w:spacing w:line="480" w:lineRule="auto"/>
              <w:jc w:val="both"/>
              <w:rPr>
                <w:b/>
                <w:szCs w:val="22"/>
              </w:rPr>
            </w:pPr>
            <w:r w:rsidRPr="00516E87">
              <w:rPr>
                <w:b/>
                <w:lang w:val="en-GB"/>
              </w:rPr>
              <w:t>KENNEDY, RICHARD LAWTON</w:t>
            </w:r>
          </w:p>
        </w:tc>
        <w:tc>
          <w:tcPr>
            <w:tcW w:w="2410" w:type="dxa"/>
          </w:tcPr>
          <w:p w14:paraId="30C0F743" w14:textId="57E7C578" w:rsidR="00D34AFB" w:rsidRDefault="00D34AFB" w:rsidP="00AA7A76">
            <w:pPr>
              <w:spacing w:line="480" w:lineRule="auto"/>
              <w:jc w:val="both"/>
              <w:rPr>
                <w:rFonts w:cs="Arial"/>
                <w:szCs w:val="22"/>
              </w:rPr>
            </w:pPr>
            <w:r>
              <w:rPr>
                <w:rFonts w:cs="Arial"/>
                <w:szCs w:val="22"/>
              </w:rPr>
              <w:t>Third Respondent</w:t>
            </w:r>
          </w:p>
        </w:tc>
      </w:tr>
    </w:tbl>
    <w:p w14:paraId="387BBDD6" w14:textId="77777777" w:rsidR="00BF086D" w:rsidRPr="006C43D7" w:rsidRDefault="00BF086D"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5E1312C0"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lastRenderedPageBreak/>
        <w:t>Summary</w:t>
      </w:r>
    </w:p>
    <w:p w14:paraId="5002385B" w14:textId="77777777" w:rsidR="00B90E3C" w:rsidRDefault="00FC032F" w:rsidP="00653BA4">
      <w:pPr>
        <w:keepNext/>
        <w:spacing w:after="480" w:line="480" w:lineRule="auto"/>
        <w:jc w:val="both"/>
        <w:rPr>
          <w:rFonts w:cs="Arial"/>
          <w:bCs/>
          <w:i/>
          <w:iCs/>
          <w:szCs w:val="20"/>
        </w:rPr>
      </w:pPr>
      <w:r>
        <w:rPr>
          <w:rFonts w:cs="Arial"/>
          <w:bCs/>
          <w:i/>
          <w:iCs/>
          <w:szCs w:val="20"/>
        </w:rPr>
        <w:t>The applicant and the first respondent entered into a</w:t>
      </w:r>
      <w:r w:rsidR="00870DDD">
        <w:rPr>
          <w:rFonts w:cs="Arial"/>
          <w:bCs/>
          <w:i/>
          <w:iCs/>
          <w:szCs w:val="20"/>
        </w:rPr>
        <w:t>n</w:t>
      </w:r>
      <w:r>
        <w:rPr>
          <w:rFonts w:cs="Arial"/>
          <w:bCs/>
          <w:i/>
          <w:iCs/>
          <w:szCs w:val="20"/>
        </w:rPr>
        <w:t xml:space="preserve"> asset management agreement.</w:t>
      </w:r>
      <w:r w:rsidR="00B90E3C">
        <w:rPr>
          <w:rFonts w:cs="Arial"/>
          <w:bCs/>
          <w:i/>
          <w:iCs/>
          <w:szCs w:val="20"/>
        </w:rPr>
        <w:t xml:space="preserve"> S</w:t>
      </w:r>
      <w:r>
        <w:rPr>
          <w:rFonts w:cs="Arial"/>
          <w:bCs/>
          <w:i/>
          <w:iCs/>
          <w:szCs w:val="20"/>
        </w:rPr>
        <w:t xml:space="preserve"> 7(1) of the Financial Advisory and Intermediary Services Act, 37 of 2002</w:t>
      </w:r>
      <w:r w:rsidR="00870DDD">
        <w:rPr>
          <w:rFonts w:cs="Arial"/>
          <w:bCs/>
          <w:i/>
          <w:iCs/>
          <w:szCs w:val="20"/>
        </w:rPr>
        <w:t>,</w:t>
      </w:r>
      <w:r w:rsidR="00B90E3C">
        <w:rPr>
          <w:rFonts w:cs="Arial"/>
          <w:bCs/>
          <w:i/>
          <w:iCs/>
          <w:szCs w:val="20"/>
        </w:rPr>
        <w:t xml:space="preserve"> required a person who acted as </w:t>
      </w:r>
      <w:r w:rsidR="00870DDD">
        <w:rPr>
          <w:rFonts w:cs="Arial"/>
          <w:bCs/>
          <w:i/>
          <w:iCs/>
          <w:szCs w:val="20"/>
        </w:rPr>
        <w:t>a financial services provider</w:t>
      </w:r>
      <w:r w:rsidR="00B90E3C">
        <w:rPr>
          <w:rFonts w:cs="Arial"/>
          <w:bCs/>
          <w:i/>
          <w:iCs/>
          <w:szCs w:val="20"/>
        </w:rPr>
        <w:t xml:space="preserve"> to be licenced. The </w:t>
      </w:r>
      <w:r w:rsidR="00870DDD">
        <w:rPr>
          <w:rFonts w:cs="Arial"/>
          <w:bCs/>
          <w:i/>
          <w:iCs/>
          <w:szCs w:val="20"/>
        </w:rPr>
        <w:t>first respondent did not meet the licence requirements in section 8</w:t>
      </w:r>
      <w:r w:rsidR="00B90E3C">
        <w:rPr>
          <w:rFonts w:cs="Arial"/>
          <w:bCs/>
          <w:i/>
          <w:iCs/>
          <w:szCs w:val="20"/>
        </w:rPr>
        <w:t xml:space="preserve"> of the Act</w:t>
      </w:r>
      <w:r w:rsidR="00870DDD">
        <w:rPr>
          <w:rFonts w:cs="Arial"/>
          <w:bCs/>
          <w:i/>
          <w:iCs/>
          <w:szCs w:val="20"/>
        </w:rPr>
        <w:t>.</w:t>
      </w:r>
      <w:r w:rsidR="00B90E3C">
        <w:rPr>
          <w:rFonts w:cs="Arial"/>
          <w:bCs/>
          <w:i/>
          <w:iCs/>
          <w:szCs w:val="20"/>
        </w:rPr>
        <w:t xml:space="preserve"> The </w:t>
      </w:r>
      <w:r w:rsidR="00870DDD">
        <w:rPr>
          <w:rFonts w:cs="Arial"/>
          <w:bCs/>
          <w:i/>
          <w:iCs/>
          <w:szCs w:val="20"/>
        </w:rPr>
        <w:t xml:space="preserve">agreement was a nullity. </w:t>
      </w:r>
    </w:p>
    <w:p w14:paraId="4FD9AABA" w14:textId="40567639" w:rsidR="00EA57DC" w:rsidRDefault="00EA57DC" w:rsidP="00653BA4">
      <w:pPr>
        <w:keepNext/>
        <w:spacing w:after="480" w:line="480" w:lineRule="auto"/>
        <w:jc w:val="both"/>
        <w:rPr>
          <w:rFonts w:cs="Arial"/>
          <w:i/>
          <w:iCs/>
          <w:szCs w:val="22"/>
        </w:rPr>
      </w:pPr>
      <w:r>
        <w:rPr>
          <w:rFonts w:cs="Arial"/>
          <w:i/>
          <w:iCs/>
          <w:szCs w:val="22"/>
        </w:rPr>
        <w:t>The respondent’s counterclaim for rectification of the agreement to reflect the status of the first respondent as an agent of a UK company was dismissed on the facts and on the basis that the agreement as rectified would still not comply with s 7 of the Act and would still be a nullity.</w:t>
      </w:r>
    </w:p>
    <w:p w14:paraId="0DDF3301" w14:textId="5A5E9DA7" w:rsidR="00870DDD" w:rsidRDefault="00870DDD" w:rsidP="00653BA4">
      <w:pPr>
        <w:keepNext/>
        <w:spacing w:after="480" w:line="480" w:lineRule="auto"/>
        <w:jc w:val="both"/>
        <w:rPr>
          <w:rFonts w:cs="Arial"/>
          <w:i/>
          <w:iCs/>
          <w:szCs w:val="22"/>
        </w:rPr>
      </w:pPr>
      <w:r>
        <w:rPr>
          <w:rFonts w:cs="Arial"/>
          <w:bCs/>
          <w:i/>
          <w:iCs/>
          <w:szCs w:val="20"/>
        </w:rPr>
        <w:t>The first respondent was obliged</w:t>
      </w:r>
      <w:r w:rsidR="00EA57DC">
        <w:rPr>
          <w:rFonts w:cs="Arial"/>
          <w:bCs/>
          <w:i/>
          <w:iCs/>
          <w:szCs w:val="20"/>
        </w:rPr>
        <w:t xml:space="preserve"> and was ordered </w:t>
      </w:r>
      <w:r>
        <w:rPr>
          <w:rFonts w:cs="Arial"/>
          <w:bCs/>
          <w:i/>
          <w:iCs/>
          <w:szCs w:val="20"/>
        </w:rPr>
        <w:t xml:space="preserve"> to repay the amount of </w:t>
      </w:r>
      <w:r w:rsidRPr="00E73772">
        <w:rPr>
          <w:rFonts w:cs="Arial"/>
          <w:i/>
          <w:iCs/>
          <w:szCs w:val="22"/>
        </w:rPr>
        <w:t>€600,000.00</w:t>
      </w:r>
      <w:r>
        <w:rPr>
          <w:rFonts w:cs="Arial"/>
          <w:i/>
          <w:iCs/>
          <w:szCs w:val="22"/>
        </w:rPr>
        <w:t xml:space="preserve"> paid in terms of the void agreement to the applicant.</w:t>
      </w:r>
    </w:p>
    <w:p w14:paraId="3FEBF3E1" w14:textId="463BAD1E" w:rsidR="00870DDD" w:rsidRDefault="00870DDD" w:rsidP="00653BA4">
      <w:pPr>
        <w:keepNext/>
        <w:spacing w:after="480" w:line="480" w:lineRule="auto"/>
        <w:jc w:val="both"/>
        <w:rPr>
          <w:rFonts w:cs="Arial"/>
          <w:i/>
          <w:iCs/>
          <w:szCs w:val="22"/>
        </w:rPr>
      </w:pPr>
      <w:r>
        <w:rPr>
          <w:rFonts w:cs="Arial"/>
          <w:i/>
          <w:iCs/>
          <w:szCs w:val="22"/>
        </w:rPr>
        <w:t xml:space="preserve">Because the agreement was void the arbitration clause in the agreement was also void, and there was no dispute to be referred to arbitration </w:t>
      </w:r>
      <w:r w:rsidR="00B90E3C">
        <w:rPr>
          <w:rFonts w:cs="Arial"/>
          <w:i/>
          <w:iCs/>
          <w:szCs w:val="22"/>
        </w:rPr>
        <w:t>in accordance with</w:t>
      </w:r>
      <w:r>
        <w:rPr>
          <w:rFonts w:cs="Arial"/>
          <w:i/>
          <w:iCs/>
          <w:szCs w:val="22"/>
        </w:rPr>
        <w:t xml:space="preserve"> article 1(3) and 8 of </w:t>
      </w:r>
      <w:r w:rsidR="00EA57DC">
        <w:rPr>
          <w:rFonts w:cs="Arial"/>
          <w:i/>
          <w:iCs/>
          <w:szCs w:val="22"/>
        </w:rPr>
        <w:t xml:space="preserve">the UNCITRAL Model Law on International Arbitrations reflected in </w:t>
      </w:r>
      <w:r>
        <w:rPr>
          <w:rFonts w:cs="Arial"/>
          <w:i/>
          <w:iCs/>
          <w:szCs w:val="22"/>
        </w:rPr>
        <w:t>Schedule 1 to the International Arbitration Act, 15 of 2017</w:t>
      </w:r>
      <w:r w:rsidR="00EA57DC">
        <w:rPr>
          <w:rFonts w:cs="Arial"/>
          <w:i/>
          <w:iCs/>
          <w:szCs w:val="22"/>
        </w:rPr>
        <w:t>.</w:t>
      </w:r>
    </w:p>
    <w:p w14:paraId="30149A53" w14:textId="77777777" w:rsidR="00EA57DC" w:rsidRDefault="00EA57DC" w:rsidP="00653BA4">
      <w:pPr>
        <w:keepNext/>
        <w:spacing w:after="480" w:line="480" w:lineRule="auto"/>
        <w:jc w:val="both"/>
        <w:rPr>
          <w:rFonts w:cs="Arial"/>
          <w:bCs/>
          <w:szCs w:val="22"/>
          <w:u w:val="single"/>
        </w:rPr>
      </w:pPr>
    </w:p>
    <w:p w14:paraId="18AFD427" w14:textId="71D91557"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00B584BA" w14:textId="2D699FED" w:rsidR="00313056" w:rsidRPr="00E73772" w:rsidRDefault="00756B17" w:rsidP="00756B17">
      <w:pPr>
        <w:tabs>
          <w:tab w:val="left" w:pos="567"/>
        </w:tabs>
        <w:spacing w:before="240" w:after="240" w:line="360" w:lineRule="auto"/>
        <w:jc w:val="both"/>
        <w:rPr>
          <w:rFonts w:cs="Arial"/>
          <w:bCs/>
          <w:i/>
          <w:iCs/>
          <w:szCs w:val="22"/>
        </w:rPr>
      </w:pPr>
      <w:r w:rsidRPr="00E73772">
        <w:rPr>
          <w:rFonts w:cs="Arial"/>
          <w:bCs/>
          <w:iCs/>
          <w:szCs w:val="22"/>
        </w:rPr>
        <w:t>[1]</w:t>
      </w:r>
      <w:r w:rsidRPr="00E73772">
        <w:rPr>
          <w:rFonts w:cs="Arial"/>
          <w:bCs/>
          <w:iCs/>
          <w:szCs w:val="22"/>
        </w:rPr>
        <w:tab/>
      </w:r>
      <w:r w:rsidR="003B4100" w:rsidRPr="00E73772">
        <w:rPr>
          <w:rFonts w:cs="Arial"/>
          <w:bCs/>
          <w:szCs w:val="22"/>
        </w:rPr>
        <w:t xml:space="preserve">In this </w:t>
      </w:r>
      <w:r w:rsidR="00B56906" w:rsidRPr="00E73772">
        <w:rPr>
          <w:rFonts w:cs="Arial"/>
          <w:bCs/>
          <w:szCs w:val="22"/>
        </w:rPr>
        <w:t xml:space="preserve">matter </w:t>
      </w:r>
      <w:r w:rsidR="00C460A0" w:rsidRPr="00E73772">
        <w:rPr>
          <w:rFonts w:cs="Arial"/>
          <w:bCs/>
          <w:szCs w:val="22"/>
        </w:rPr>
        <w:t>I make the following order:</w:t>
      </w:r>
    </w:p>
    <w:p w14:paraId="32C45CDE" w14:textId="0DCDDB7A" w:rsidR="00D34AFB" w:rsidRPr="00756B17" w:rsidRDefault="00756B17" w:rsidP="00756B17">
      <w:pPr>
        <w:spacing w:before="240" w:after="240" w:line="360" w:lineRule="auto"/>
        <w:ind w:left="720" w:hanging="720"/>
        <w:jc w:val="both"/>
        <w:rPr>
          <w:rFonts w:cs="Arial"/>
          <w:bCs/>
          <w:i/>
          <w:iCs/>
          <w:szCs w:val="22"/>
        </w:rPr>
      </w:pPr>
      <w:r w:rsidRPr="00E73772">
        <w:rPr>
          <w:rFonts w:cs="Arial"/>
          <w:bCs/>
          <w:i/>
          <w:iCs/>
          <w:szCs w:val="22"/>
        </w:rPr>
        <w:t>1.</w:t>
      </w:r>
      <w:r w:rsidRPr="00E73772">
        <w:rPr>
          <w:rFonts w:cs="Arial"/>
          <w:bCs/>
          <w:i/>
          <w:iCs/>
          <w:szCs w:val="22"/>
        </w:rPr>
        <w:tab/>
      </w:r>
      <w:r w:rsidR="005A0947" w:rsidRPr="00756B17">
        <w:rPr>
          <w:rFonts w:cs="Arial"/>
          <w:i/>
          <w:iCs/>
          <w:szCs w:val="22"/>
        </w:rPr>
        <w:t>Leave is granted to the Applicant to file its Supplementary Affidavit dated 2 September 2021;</w:t>
      </w:r>
    </w:p>
    <w:p w14:paraId="4A4A5C25" w14:textId="1C4AEF6C" w:rsidR="00D34AFB" w:rsidRPr="00756B17" w:rsidRDefault="00756B17" w:rsidP="00756B17">
      <w:pPr>
        <w:spacing w:before="240" w:after="240" w:line="360" w:lineRule="auto"/>
        <w:ind w:left="720" w:hanging="720"/>
        <w:jc w:val="both"/>
        <w:rPr>
          <w:rFonts w:cs="Arial"/>
          <w:bCs/>
          <w:i/>
          <w:iCs/>
          <w:szCs w:val="22"/>
        </w:rPr>
      </w:pPr>
      <w:r w:rsidRPr="00E73772">
        <w:rPr>
          <w:rFonts w:cs="Arial"/>
          <w:bCs/>
          <w:i/>
          <w:iCs/>
          <w:szCs w:val="22"/>
        </w:rPr>
        <w:lastRenderedPageBreak/>
        <w:t>2.</w:t>
      </w:r>
      <w:r w:rsidRPr="00E73772">
        <w:rPr>
          <w:rFonts w:cs="Arial"/>
          <w:bCs/>
          <w:i/>
          <w:iCs/>
          <w:szCs w:val="22"/>
        </w:rPr>
        <w:tab/>
      </w:r>
      <w:r w:rsidR="005A0947" w:rsidRPr="00756B17">
        <w:rPr>
          <w:rFonts w:cs="Arial"/>
          <w:i/>
          <w:iCs/>
          <w:szCs w:val="22"/>
        </w:rPr>
        <w:t>The Asset Management Agreement between the Applicant and First Respondent dated 19 December 201</w:t>
      </w:r>
      <w:r w:rsidR="00EA57DC" w:rsidRPr="00756B17">
        <w:rPr>
          <w:rFonts w:cs="Arial"/>
          <w:i/>
          <w:iCs/>
          <w:szCs w:val="22"/>
        </w:rPr>
        <w:t>7</w:t>
      </w:r>
      <w:r w:rsidR="005A0947" w:rsidRPr="00756B17">
        <w:rPr>
          <w:rFonts w:cs="Arial"/>
          <w:i/>
          <w:iCs/>
          <w:szCs w:val="22"/>
        </w:rPr>
        <w:t xml:space="preserve"> and attached to the founding affidavit as KW1, is declared void ab initio;</w:t>
      </w:r>
    </w:p>
    <w:p w14:paraId="0923F391" w14:textId="05E59460" w:rsidR="00D34AFB" w:rsidRPr="00756B17" w:rsidRDefault="00756B17" w:rsidP="00756B17">
      <w:pPr>
        <w:spacing w:before="240" w:after="240" w:line="360" w:lineRule="auto"/>
        <w:ind w:left="720" w:hanging="720"/>
        <w:jc w:val="both"/>
        <w:rPr>
          <w:rFonts w:cs="Arial"/>
          <w:bCs/>
          <w:i/>
          <w:iCs/>
          <w:szCs w:val="22"/>
        </w:rPr>
      </w:pPr>
      <w:r w:rsidRPr="00E73772">
        <w:rPr>
          <w:rFonts w:cs="Arial"/>
          <w:bCs/>
          <w:i/>
          <w:iCs/>
          <w:szCs w:val="22"/>
        </w:rPr>
        <w:t>3.</w:t>
      </w:r>
      <w:r w:rsidRPr="00E73772">
        <w:rPr>
          <w:rFonts w:cs="Arial"/>
          <w:bCs/>
          <w:i/>
          <w:iCs/>
          <w:szCs w:val="22"/>
        </w:rPr>
        <w:tab/>
      </w:r>
      <w:r w:rsidR="005A0947" w:rsidRPr="00756B17">
        <w:rPr>
          <w:rFonts w:cs="Arial"/>
          <w:i/>
          <w:iCs/>
          <w:szCs w:val="22"/>
        </w:rPr>
        <w:t>The First Respondent is ordered to pay the Applicant the amount of €600,000.00 (Six Hundred Thousand Euro Only), together with interest on the above amount at the rate of 9.00% per annum from 16 January 2018 to date of final payment;</w:t>
      </w:r>
    </w:p>
    <w:p w14:paraId="16FC912E" w14:textId="52871F04" w:rsidR="00D34AFB" w:rsidRPr="00756B17" w:rsidRDefault="00756B17" w:rsidP="00756B17">
      <w:pPr>
        <w:spacing w:before="240" w:after="240" w:line="360" w:lineRule="auto"/>
        <w:ind w:left="720" w:hanging="720"/>
        <w:jc w:val="both"/>
        <w:rPr>
          <w:rFonts w:cs="Arial"/>
          <w:bCs/>
          <w:i/>
          <w:iCs/>
          <w:szCs w:val="22"/>
        </w:rPr>
      </w:pPr>
      <w:r w:rsidRPr="00E73772">
        <w:rPr>
          <w:rFonts w:cs="Arial"/>
          <w:bCs/>
          <w:i/>
          <w:iCs/>
          <w:szCs w:val="22"/>
        </w:rPr>
        <w:t>4.</w:t>
      </w:r>
      <w:r w:rsidRPr="00E73772">
        <w:rPr>
          <w:rFonts w:cs="Arial"/>
          <w:bCs/>
          <w:i/>
          <w:iCs/>
          <w:szCs w:val="22"/>
        </w:rPr>
        <w:tab/>
      </w:r>
      <w:r w:rsidR="005A0947" w:rsidRPr="00756B17">
        <w:rPr>
          <w:rFonts w:cs="Arial"/>
          <w:i/>
          <w:iCs/>
          <w:szCs w:val="22"/>
        </w:rPr>
        <w:t>The Second Respondent and Third Respondent are declared to be personally liable to the Applicant under Section 218(2) of the Companies Act, 71 of 2008, jointly and severally with the First Respondent, the one paying the other to be absolved, for payment of the amount of €600,000.00 (Six Hundred Thousand Euro Only), together with interest on the above amount at the rate of 9.00% per annum from 16 January 2018 to date of final payment;</w:t>
      </w:r>
    </w:p>
    <w:p w14:paraId="0D8FE36E" w14:textId="72D0080C" w:rsidR="00D34AFB" w:rsidRPr="00756B17" w:rsidRDefault="00756B17" w:rsidP="00756B17">
      <w:pPr>
        <w:spacing w:before="240" w:after="240" w:line="360" w:lineRule="auto"/>
        <w:ind w:left="720" w:hanging="720"/>
        <w:jc w:val="both"/>
        <w:rPr>
          <w:rFonts w:cs="Arial"/>
          <w:bCs/>
          <w:i/>
          <w:iCs/>
          <w:szCs w:val="22"/>
        </w:rPr>
      </w:pPr>
      <w:r w:rsidRPr="00E73772">
        <w:rPr>
          <w:rFonts w:cs="Arial"/>
          <w:bCs/>
          <w:i/>
          <w:iCs/>
          <w:szCs w:val="22"/>
        </w:rPr>
        <w:t>5.</w:t>
      </w:r>
      <w:r w:rsidRPr="00E73772">
        <w:rPr>
          <w:rFonts w:cs="Arial"/>
          <w:bCs/>
          <w:i/>
          <w:iCs/>
          <w:szCs w:val="22"/>
        </w:rPr>
        <w:tab/>
      </w:r>
      <w:r w:rsidR="005A0947" w:rsidRPr="00756B17">
        <w:rPr>
          <w:rFonts w:cs="Arial"/>
          <w:i/>
          <w:iCs/>
          <w:szCs w:val="22"/>
        </w:rPr>
        <w:t>The Respondents’ counter-application for rectification of the Asset Management Agreement is dismissed;</w:t>
      </w:r>
    </w:p>
    <w:p w14:paraId="49401DAE" w14:textId="2C60C95B" w:rsidR="009A2726" w:rsidRPr="00756B17" w:rsidRDefault="00756B17" w:rsidP="00756B17">
      <w:pPr>
        <w:spacing w:before="240" w:after="240" w:line="360" w:lineRule="auto"/>
        <w:ind w:left="720" w:hanging="720"/>
        <w:jc w:val="both"/>
        <w:rPr>
          <w:rFonts w:cs="Arial"/>
          <w:bCs/>
          <w:i/>
          <w:iCs/>
          <w:szCs w:val="22"/>
        </w:rPr>
      </w:pPr>
      <w:r w:rsidRPr="00E73772">
        <w:rPr>
          <w:rFonts w:cs="Arial"/>
          <w:bCs/>
          <w:i/>
          <w:iCs/>
          <w:szCs w:val="22"/>
        </w:rPr>
        <w:t>6.</w:t>
      </w:r>
      <w:r w:rsidRPr="00E73772">
        <w:rPr>
          <w:rFonts w:cs="Arial"/>
          <w:bCs/>
          <w:i/>
          <w:iCs/>
          <w:szCs w:val="22"/>
        </w:rPr>
        <w:tab/>
      </w:r>
      <w:r w:rsidR="005A0947" w:rsidRPr="00756B17">
        <w:rPr>
          <w:rFonts w:cs="Arial"/>
          <w:bCs/>
          <w:i/>
          <w:iCs/>
          <w:szCs w:val="22"/>
        </w:rPr>
        <w:t>Costs:</w:t>
      </w:r>
    </w:p>
    <w:p w14:paraId="35A246FC" w14:textId="0E372B94" w:rsidR="005A0947" w:rsidRPr="00756B17" w:rsidRDefault="00756B17" w:rsidP="00756B17">
      <w:pPr>
        <w:spacing w:before="240" w:after="240" w:line="360" w:lineRule="auto"/>
        <w:ind w:left="1440" w:hanging="1080"/>
        <w:jc w:val="both"/>
        <w:rPr>
          <w:rFonts w:cs="Arial"/>
          <w:bCs/>
          <w:i/>
          <w:iCs/>
          <w:szCs w:val="22"/>
        </w:rPr>
      </w:pPr>
      <w:r w:rsidRPr="00E73772">
        <w:rPr>
          <w:rFonts w:cs="Arial"/>
          <w:bCs/>
          <w:i/>
          <w:iCs/>
          <w:szCs w:val="22"/>
        </w:rPr>
        <w:t>6.1.</w:t>
      </w:r>
      <w:r w:rsidRPr="00E73772">
        <w:rPr>
          <w:rFonts w:cs="Arial"/>
          <w:bCs/>
          <w:i/>
          <w:iCs/>
          <w:szCs w:val="22"/>
        </w:rPr>
        <w:tab/>
      </w:r>
      <w:r w:rsidR="005A0947" w:rsidRPr="00756B17">
        <w:rPr>
          <w:rFonts w:cs="Arial"/>
          <w:i/>
          <w:iCs/>
          <w:szCs w:val="22"/>
        </w:rPr>
        <w:t>No order is made as to the costs of the Applicant’s application for leave to file a supplementary affidavit;</w:t>
      </w:r>
    </w:p>
    <w:p w14:paraId="409F5CC6" w14:textId="1B70D9C1" w:rsidR="005A0947" w:rsidRPr="00756B17" w:rsidRDefault="00756B17" w:rsidP="00756B17">
      <w:pPr>
        <w:spacing w:before="240" w:after="240" w:line="360" w:lineRule="auto"/>
        <w:ind w:left="1440" w:hanging="1080"/>
        <w:jc w:val="both"/>
        <w:rPr>
          <w:rFonts w:cs="Arial"/>
          <w:bCs/>
          <w:i/>
          <w:iCs/>
          <w:szCs w:val="22"/>
        </w:rPr>
      </w:pPr>
      <w:r w:rsidRPr="00E73772">
        <w:rPr>
          <w:rFonts w:cs="Arial"/>
          <w:bCs/>
          <w:i/>
          <w:iCs/>
          <w:szCs w:val="22"/>
        </w:rPr>
        <w:t>6.2.</w:t>
      </w:r>
      <w:r w:rsidRPr="00E73772">
        <w:rPr>
          <w:rFonts w:cs="Arial"/>
          <w:bCs/>
          <w:i/>
          <w:iCs/>
          <w:szCs w:val="22"/>
        </w:rPr>
        <w:tab/>
      </w:r>
      <w:r w:rsidR="005A0947" w:rsidRPr="00756B17">
        <w:rPr>
          <w:rFonts w:cs="Arial"/>
          <w:i/>
          <w:iCs/>
          <w:szCs w:val="22"/>
        </w:rPr>
        <w:t>Save as aforesaid the Respondents are ordered to pay the costs of the application and of the  counter-application, jointly and severally, the one paying the other to be absolved</w:t>
      </w:r>
    </w:p>
    <w:p w14:paraId="08540072" w14:textId="54BFDC72" w:rsidR="00C9310B" w:rsidRPr="00756B17" w:rsidRDefault="00756B17" w:rsidP="00756B17">
      <w:pPr>
        <w:widowControl w:val="0"/>
        <w:tabs>
          <w:tab w:val="left" w:pos="567"/>
        </w:tabs>
        <w:spacing w:before="480" w:after="480" w:line="480" w:lineRule="auto"/>
        <w:jc w:val="both"/>
        <w:rPr>
          <w:rFonts w:cs="Arial"/>
          <w:bCs/>
          <w:szCs w:val="22"/>
          <w:u w:val="single"/>
        </w:rPr>
      </w:pPr>
      <w:r w:rsidRPr="00E73772">
        <w:rPr>
          <w:rFonts w:cs="Arial"/>
          <w:bCs/>
          <w:szCs w:val="22"/>
        </w:rPr>
        <w:t>[2]</w:t>
      </w:r>
      <w:r w:rsidRPr="00E73772">
        <w:rPr>
          <w:rFonts w:cs="Arial"/>
          <w:bCs/>
          <w:szCs w:val="22"/>
        </w:rPr>
        <w:tab/>
      </w:r>
      <w:r w:rsidR="00573FF9" w:rsidRPr="00756B17">
        <w:rPr>
          <w:rFonts w:cs="Arial"/>
          <w:bCs/>
          <w:szCs w:val="22"/>
        </w:rPr>
        <w:t>The reasons for the order follow below.</w:t>
      </w:r>
    </w:p>
    <w:p w14:paraId="3658C913" w14:textId="310C907A" w:rsidR="00573FF9" w:rsidRPr="00E73772" w:rsidRDefault="00D0526F" w:rsidP="009869F2">
      <w:pPr>
        <w:keepNext/>
        <w:widowControl w:val="0"/>
        <w:spacing w:before="480" w:after="480" w:line="480" w:lineRule="auto"/>
        <w:jc w:val="both"/>
        <w:rPr>
          <w:rFonts w:cs="Arial"/>
          <w:bCs/>
          <w:szCs w:val="22"/>
          <w:u w:val="single"/>
        </w:rPr>
      </w:pPr>
      <w:r w:rsidRPr="00E73772">
        <w:rPr>
          <w:rFonts w:cs="Arial"/>
          <w:bCs/>
          <w:szCs w:val="22"/>
          <w:u w:val="single"/>
        </w:rPr>
        <w:t>INTRODUCTION</w:t>
      </w:r>
    </w:p>
    <w:p w14:paraId="4906032B" w14:textId="387014B0" w:rsidR="00D34AF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w:t>
      </w:r>
      <w:r w:rsidRPr="00E73772">
        <w:rPr>
          <w:rFonts w:cs="Arial"/>
          <w:bCs/>
          <w:szCs w:val="22"/>
        </w:rPr>
        <w:tab/>
      </w:r>
      <w:r w:rsidR="00DC621D" w:rsidRPr="00E73772">
        <w:rPr>
          <w:rFonts w:cs="Arial"/>
          <w:bCs/>
          <w:szCs w:val="22"/>
        </w:rPr>
        <w:t xml:space="preserve">On 19 December 2017 the applicant entered into an asset management agreement </w:t>
      </w:r>
      <w:r w:rsidR="00A56531" w:rsidRPr="00E73772">
        <w:rPr>
          <w:rFonts w:cs="Arial"/>
          <w:bCs/>
          <w:szCs w:val="22"/>
        </w:rPr>
        <w:t xml:space="preserve">(“the agreement”) </w:t>
      </w:r>
      <w:r w:rsidR="00DC621D" w:rsidRPr="00E73772">
        <w:rPr>
          <w:rFonts w:cs="Arial"/>
          <w:bCs/>
          <w:szCs w:val="22"/>
        </w:rPr>
        <w:t xml:space="preserve">with the first respondent represented by its </w:t>
      </w:r>
      <w:r w:rsidR="004A6625" w:rsidRPr="00E73772">
        <w:rPr>
          <w:rFonts w:cs="Arial"/>
          <w:bCs/>
          <w:szCs w:val="22"/>
        </w:rPr>
        <w:t>a</w:t>
      </w:r>
      <w:r w:rsidR="00DC621D" w:rsidRPr="00E73772">
        <w:rPr>
          <w:rFonts w:cs="Arial"/>
          <w:bCs/>
          <w:szCs w:val="22"/>
        </w:rPr>
        <w:t xml:space="preserve">sset </w:t>
      </w:r>
      <w:r w:rsidR="004A6625" w:rsidRPr="00E73772">
        <w:rPr>
          <w:rFonts w:cs="Arial"/>
          <w:bCs/>
          <w:szCs w:val="22"/>
        </w:rPr>
        <w:t>m</w:t>
      </w:r>
      <w:r w:rsidR="00DC621D" w:rsidRPr="00E73772">
        <w:rPr>
          <w:rFonts w:cs="Arial"/>
          <w:bCs/>
          <w:szCs w:val="22"/>
        </w:rPr>
        <w:t>anager, the third respondent. Both the second and third respondents are directors of the first respondent. Pursuant to the agreement, the applicant paid €600 000 into an account nominated by the first respondent.</w:t>
      </w:r>
    </w:p>
    <w:p w14:paraId="2BED1C9B" w14:textId="5276F3B4" w:rsidR="00B5157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[4]</w:t>
      </w:r>
      <w:r w:rsidRPr="00E73772">
        <w:rPr>
          <w:rFonts w:cs="Arial"/>
          <w:bCs/>
          <w:szCs w:val="22"/>
        </w:rPr>
        <w:tab/>
      </w:r>
      <w:r w:rsidR="00B5157D" w:rsidRPr="00E73772">
        <w:rPr>
          <w:rFonts w:cs="Arial"/>
          <w:bCs/>
          <w:szCs w:val="22"/>
        </w:rPr>
        <w:t xml:space="preserve">The applicant now seeks an order that the agreement be declared void </w:t>
      </w:r>
      <w:r w:rsidR="00B5157D" w:rsidRPr="00E73772">
        <w:rPr>
          <w:rFonts w:cs="Arial"/>
          <w:bCs/>
          <w:i/>
          <w:szCs w:val="22"/>
        </w:rPr>
        <w:t xml:space="preserve">ab initio </w:t>
      </w:r>
      <w:r w:rsidR="00B5157D" w:rsidRPr="00E73772">
        <w:rPr>
          <w:rFonts w:cs="Arial"/>
          <w:bCs/>
          <w:szCs w:val="22"/>
        </w:rPr>
        <w:t xml:space="preserve">due to non-compliance by the first respondent with section 7(1) of the Financial Advisory and Intermediary Services Act, 37 of 2002 (the ‘FAIS Act’), that the €600 000 be repaid within interest, that the second and/or third respondent be declared to be personally liable to the applicant under section 218(2), as read </w:t>
      </w:r>
      <w:r w:rsidR="00754833">
        <w:rPr>
          <w:rFonts w:cs="Arial"/>
          <w:bCs/>
          <w:szCs w:val="22"/>
        </w:rPr>
        <w:t>with</w:t>
      </w:r>
      <w:r w:rsidR="00B5157D" w:rsidRPr="00E73772">
        <w:rPr>
          <w:rFonts w:cs="Arial"/>
          <w:bCs/>
          <w:szCs w:val="22"/>
        </w:rPr>
        <w:t xml:space="preserve"> section 22(1), and section 76(3)(c) and/or section 77(3)(b) of the Companies Act, 71 of 2008 (the ‘Companies Act’) together with the first respondent for repayment of the €600 000, that the liability of the second and third respondents be joint and several with the liability of the first respondent, the one paying the other to be absolved, and that costs be paid by the first, second and third respondents, jointly and severally, the one paying the other to be absolved.</w:t>
      </w:r>
    </w:p>
    <w:p w14:paraId="0384FFCB" w14:textId="51D77A2D" w:rsidR="00B5157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w:t>
      </w:r>
      <w:r w:rsidRPr="00E73772">
        <w:rPr>
          <w:rFonts w:cs="Arial"/>
          <w:bCs/>
          <w:szCs w:val="22"/>
        </w:rPr>
        <w:tab/>
      </w:r>
      <w:r w:rsidR="00B5157D" w:rsidRPr="00E73772">
        <w:rPr>
          <w:rFonts w:cs="Arial"/>
          <w:bCs/>
          <w:szCs w:val="22"/>
        </w:rPr>
        <w:t xml:space="preserve">The respondents raise an number of defences and bring a counter-application for rectification of the </w:t>
      </w:r>
      <w:r w:rsidR="00A56531" w:rsidRPr="00E73772">
        <w:rPr>
          <w:rFonts w:cs="Arial"/>
          <w:bCs/>
          <w:szCs w:val="22"/>
        </w:rPr>
        <w:t>agreement</w:t>
      </w:r>
      <w:r w:rsidR="00B5157D" w:rsidRPr="00E73772">
        <w:rPr>
          <w:rFonts w:cs="Arial"/>
          <w:bCs/>
          <w:szCs w:val="22"/>
        </w:rPr>
        <w:t>.</w:t>
      </w:r>
    </w:p>
    <w:p w14:paraId="7D2FB017" w14:textId="77777777" w:rsidR="00B5157D" w:rsidRPr="00E73772" w:rsidRDefault="00B5157D" w:rsidP="00B5157D">
      <w:pPr>
        <w:widowControl w:val="0"/>
        <w:spacing w:before="480" w:after="480" w:line="480" w:lineRule="auto"/>
        <w:jc w:val="both"/>
        <w:rPr>
          <w:rFonts w:cs="Arial"/>
          <w:bCs/>
          <w:szCs w:val="22"/>
          <w:u w:val="single"/>
        </w:rPr>
      </w:pPr>
    </w:p>
    <w:p w14:paraId="4FB40065" w14:textId="5AEACFB8" w:rsidR="00B5157D" w:rsidRPr="00E73772" w:rsidRDefault="00B5157D" w:rsidP="00B5157D">
      <w:pPr>
        <w:widowControl w:val="0"/>
        <w:spacing w:before="480" w:after="480" w:line="480" w:lineRule="auto"/>
        <w:jc w:val="both"/>
        <w:rPr>
          <w:rFonts w:cs="Arial"/>
          <w:bCs/>
          <w:szCs w:val="22"/>
          <w:u w:val="single"/>
        </w:rPr>
      </w:pPr>
      <w:r w:rsidRPr="00E73772">
        <w:rPr>
          <w:rFonts w:cs="Arial"/>
          <w:bCs/>
          <w:szCs w:val="22"/>
          <w:u w:val="single"/>
        </w:rPr>
        <w:t>THE ASSET MANAGEMENT AGREEMENT</w:t>
      </w:r>
    </w:p>
    <w:p w14:paraId="2E80281F" w14:textId="1495CC9E" w:rsidR="00D0526F"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[6]</w:t>
      </w:r>
      <w:r w:rsidRPr="00E73772">
        <w:rPr>
          <w:rFonts w:cs="Arial"/>
          <w:bCs/>
          <w:szCs w:val="22"/>
        </w:rPr>
        <w:tab/>
      </w:r>
      <w:r w:rsidR="00D0526F" w:rsidRPr="00E73772">
        <w:rPr>
          <w:rFonts w:cs="Arial"/>
          <w:bCs/>
          <w:szCs w:val="22"/>
        </w:rPr>
        <w:t>In terms of the agreement –</w:t>
      </w:r>
    </w:p>
    <w:p w14:paraId="0C6F47E7" w14:textId="7F7708B4" w:rsidR="00A56531"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6.1</w:t>
      </w:r>
      <w:r w:rsidRPr="00E73772">
        <w:rPr>
          <w:rFonts w:cs="Arial"/>
          <w:bCs/>
          <w:szCs w:val="22"/>
        </w:rPr>
        <w:tab/>
      </w:r>
      <w:r w:rsidR="00A56531" w:rsidRPr="00E73772">
        <w:rPr>
          <w:rFonts w:cs="Arial"/>
          <w:bCs/>
          <w:szCs w:val="22"/>
        </w:rPr>
        <w:t>The first respondent is identified as the “Asset Manager” and the applicant as the “Client.” The third respondent is also identified as the “Asset Manager” and he signed the agreement on behalf of the first respondent.</w:t>
      </w:r>
    </w:p>
    <w:p w14:paraId="238B9277" w14:textId="722E90D4" w:rsidR="00D0526F"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6.2</w:t>
      </w:r>
      <w:r w:rsidRPr="00E73772">
        <w:rPr>
          <w:rFonts w:cs="Arial"/>
          <w:bCs/>
          <w:szCs w:val="22"/>
        </w:rPr>
        <w:tab/>
      </w:r>
      <w:r w:rsidR="00D0526F" w:rsidRPr="00E73772">
        <w:rPr>
          <w:rFonts w:cs="Arial"/>
          <w:bCs/>
          <w:szCs w:val="22"/>
        </w:rPr>
        <w:t xml:space="preserve">The first respondent has the financial skills for management of international assets coupled with access to credit facilities and structured investment. It works in the sector of project funding and investments and has financial sources like banks, providers and commitment holders. It is </w:t>
      </w:r>
      <w:r w:rsidR="00D0526F" w:rsidRPr="00E73772">
        <w:rPr>
          <w:rFonts w:cs="Arial"/>
          <w:bCs/>
          <w:szCs w:val="22"/>
        </w:rPr>
        <w:lastRenderedPageBreak/>
        <w:t>ready, willing and able to commence the anticipated transactions.</w:t>
      </w:r>
    </w:p>
    <w:p w14:paraId="2869EF63" w14:textId="35FAD0F1" w:rsidR="001C5F7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6.3</w:t>
      </w:r>
      <w:r w:rsidRPr="00E73772">
        <w:rPr>
          <w:rFonts w:cs="Arial"/>
          <w:bCs/>
          <w:szCs w:val="22"/>
        </w:rPr>
        <w:tab/>
      </w:r>
      <w:r w:rsidR="001C5F77" w:rsidRPr="00E73772">
        <w:rPr>
          <w:rFonts w:cs="Arial"/>
          <w:bCs/>
          <w:szCs w:val="22"/>
        </w:rPr>
        <w:t>The applicant was able to provide a suitable initial capital amount of cash funds in order to start up the transaction.</w:t>
      </w:r>
    </w:p>
    <w:p w14:paraId="7B566DEC" w14:textId="17691943" w:rsidR="001C5F7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6.4</w:t>
      </w:r>
      <w:r w:rsidRPr="00E73772">
        <w:rPr>
          <w:rFonts w:cs="Arial"/>
          <w:bCs/>
          <w:szCs w:val="22"/>
        </w:rPr>
        <w:tab/>
      </w:r>
      <w:r w:rsidR="001C5F77" w:rsidRPr="00E73772">
        <w:rPr>
          <w:rFonts w:cs="Arial"/>
          <w:bCs/>
          <w:szCs w:val="22"/>
        </w:rPr>
        <w:t>The first respondent together with its own financial associates shall be entitled to manage the applicant’s resources.</w:t>
      </w:r>
    </w:p>
    <w:p w14:paraId="579A7F34" w14:textId="1ED61ED2" w:rsidR="001C5F7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6.5</w:t>
      </w:r>
      <w:r w:rsidRPr="00E73772">
        <w:rPr>
          <w:rFonts w:cs="Arial"/>
          <w:bCs/>
          <w:szCs w:val="22"/>
        </w:rPr>
        <w:tab/>
      </w:r>
      <w:r w:rsidR="001C5F77" w:rsidRPr="00E73772">
        <w:rPr>
          <w:rFonts w:cs="Arial"/>
          <w:bCs/>
          <w:szCs w:val="22"/>
        </w:rPr>
        <w:t>The purpose of the parties is to use the proceeds received by the transaction projects and the applicant shall maintain 100% ownership of the projects.</w:t>
      </w:r>
    </w:p>
    <w:p w14:paraId="3390F5AA" w14:textId="7CCEA67E" w:rsidR="00D0526F"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6.6</w:t>
      </w:r>
      <w:r w:rsidRPr="00E73772">
        <w:rPr>
          <w:rFonts w:cs="Arial"/>
          <w:bCs/>
          <w:szCs w:val="22"/>
        </w:rPr>
        <w:tab/>
      </w:r>
      <w:r w:rsidR="00D0526F" w:rsidRPr="00E73772">
        <w:rPr>
          <w:rFonts w:cs="Arial"/>
          <w:bCs/>
          <w:szCs w:val="22"/>
        </w:rPr>
        <w:t>The first respondent together with its own financial associates shall manage the Asset in the best and profitable way, and shall acquire one or more bank instruments</w:t>
      </w:r>
      <w:r w:rsidR="001C2935" w:rsidRPr="00E73772">
        <w:rPr>
          <w:rFonts w:cs="Arial"/>
          <w:bCs/>
          <w:szCs w:val="22"/>
        </w:rPr>
        <w:t>. It has Associates in Europe with whom the first respondent is in a relationship of “association” and “agency” as well as financial entities within the group and through International Lenders, Monetizers or Buyers.</w:t>
      </w:r>
      <w:r w:rsidR="001C5F77" w:rsidRPr="00E73772">
        <w:rPr>
          <w:rFonts w:cs="Arial"/>
          <w:bCs/>
          <w:szCs w:val="22"/>
        </w:rPr>
        <w:t xml:space="preserve"> The respondent shall disburse the proceeds and profits to the applicant.</w:t>
      </w:r>
    </w:p>
    <w:p w14:paraId="4E8B6376" w14:textId="3824F4C3" w:rsidR="001C5F7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6.7</w:t>
      </w:r>
      <w:r w:rsidRPr="00E73772">
        <w:rPr>
          <w:rFonts w:cs="Arial"/>
          <w:bCs/>
          <w:szCs w:val="22"/>
        </w:rPr>
        <w:tab/>
      </w:r>
      <w:r w:rsidR="001C5F77" w:rsidRPr="00E73772">
        <w:rPr>
          <w:rFonts w:cs="Arial"/>
          <w:bCs/>
          <w:szCs w:val="22"/>
        </w:rPr>
        <w:t>The first respondent shall cause to be established the necessary and required transaction bank account(s) for the transaction under the sole control of the first respondent.</w:t>
      </w:r>
      <w:r w:rsidR="00843AD1" w:rsidRPr="00E73772">
        <w:rPr>
          <w:rFonts w:cs="Arial"/>
          <w:bCs/>
          <w:szCs w:val="22"/>
        </w:rPr>
        <w:t xml:space="preserve"> This is identified in Annex [C] to the agreement as the account into which payment was</w:t>
      </w:r>
      <w:r w:rsidR="00754833">
        <w:rPr>
          <w:rFonts w:cs="Arial"/>
          <w:bCs/>
          <w:szCs w:val="22"/>
        </w:rPr>
        <w:t xml:space="preserve"> to be</w:t>
      </w:r>
      <w:r w:rsidR="00843AD1" w:rsidRPr="00E73772">
        <w:rPr>
          <w:rFonts w:cs="Arial"/>
          <w:bCs/>
          <w:szCs w:val="22"/>
        </w:rPr>
        <w:t xml:space="preserve"> made.</w:t>
      </w:r>
    </w:p>
    <w:p w14:paraId="086D2250" w14:textId="2233CBFA" w:rsidR="001C2935"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6.8</w:t>
      </w:r>
      <w:r w:rsidRPr="00E73772">
        <w:rPr>
          <w:rFonts w:cs="Arial"/>
          <w:bCs/>
          <w:szCs w:val="22"/>
        </w:rPr>
        <w:tab/>
      </w:r>
      <w:r w:rsidR="001C2935" w:rsidRPr="00E73772">
        <w:rPr>
          <w:rFonts w:cs="Arial"/>
          <w:bCs/>
          <w:szCs w:val="22"/>
        </w:rPr>
        <w:t xml:space="preserve">The first respondent or other persons of the first respondent shall have the </w:t>
      </w:r>
      <w:r w:rsidR="001C2935" w:rsidRPr="00E73772">
        <w:rPr>
          <w:rFonts w:cs="Arial"/>
          <w:bCs/>
          <w:szCs w:val="22"/>
        </w:rPr>
        <w:lastRenderedPageBreak/>
        <w:t>authority to transact the business of the transaction.</w:t>
      </w:r>
      <w:r w:rsidR="001C2935" w:rsidRPr="00E73772">
        <w:rPr>
          <w:rStyle w:val="FootnoteReference"/>
          <w:rFonts w:cs="Arial"/>
          <w:bCs/>
          <w:szCs w:val="22"/>
        </w:rPr>
        <w:footnoteReference w:id="1"/>
      </w:r>
    </w:p>
    <w:p w14:paraId="3EA3F4B2" w14:textId="4A1BA91E" w:rsidR="001C2935"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6.9</w:t>
      </w:r>
      <w:r w:rsidRPr="00E73772">
        <w:rPr>
          <w:rFonts w:cs="Arial"/>
          <w:bCs/>
          <w:szCs w:val="22"/>
        </w:rPr>
        <w:tab/>
      </w:r>
      <w:r w:rsidR="001C2935" w:rsidRPr="00E73772">
        <w:rPr>
          <w:rFonts w:cs="Arial"/>
          <w:bCs/>
          <w:szCs w:val="22"/>
        </w:rPr>
        <w:t xml:space="preserve">The applicants shall transfer €600 000 in two tranches </w:t>
      </w:r>
      <w:r w:rsidR="00511960" w:rsidRPr="00E73772">
        <w:rPr>
          <w:rFonts w:cs="Arial"/>
          <w:bCs/>
          <w:szCs w:val="22"/>
        </w:rPr>
        <w:t xml:space="preserve">from the applicant’s </w:t>
      </w:r>
      <w:r w:rsidR="001C2935" w:rsidRPr="00E73772">
        <w:rPr>
          <w:rFonts w:cs="Arial"/>
          <w:bCs/>
          <w:szCs w:val="22"/>
        </w:rPr>
        <w:t>nominated bank account situated in the Isle of Man</w:t>
      </w:r>
      <w:r w:rsidR="00511960" w:rsidRPr="00E73772">
        <w:rPr>
          <w:rStyle w:val="FootnoteReference"/>
          <w:rFonts w:cs="Arial"/>
          <w:bCs/>
          <w:szCs w:val="22"/>
        </w:rPr>
        <w:footnoteReference w:id="2"/>
      </w:r>
      <w:r w:rsidR="00511960" w:rsidRPr="00E73772">
        <w:rPr>
          <w:rFonts w:cs="Arial"/>
          <w:bCs/>
          <w:szCs w:val="22"/>
        </w:rPr>
        <w:t xml:space="preserve"> in terms of a set procedure</w:t>
      </w:r>
      <w:r w:rsidR="00511960" w:rsidRPr="00E73772">
        <w:rPr>
          <w:rStyle w:val="FootnoteReference"/>
          <w:rFonts w:cs="Arial"/>
          <w:bCs/>
          <w:szCs w:val="22"/>
        </w:rPr>
        <w:footnoteReference w:id="3"/>
      </w:r>
      <w:r w:rsidR="00511960" w:rsidRPr="00E73772">
        <w:rPr>
          <w:rFonts w:cs="Arial"/>
          <w:bCs/>
          <w:szCs w:val="22"/>
        </w:rPr>
        <w:t xml:space="preserve"> into a nominated Barclays London PLC account in the name of Umberto Lomolino, approved by the first respondent</w:t>
      </w:r>
      <w:r w:rsidR="00754833">
        <w:rPr>
          <w:rFonts w:cs="Arial"/>
          <w:bCs/>
          <w:szCs w:val="22"/>
        </w:rPr>
        <w:t>.</w:t>
      </w:r>
      <w:r w:rsidR="00511960" w:rsidRPr="00E73772">
        <w:rPr>
          <w:rStyle w:val="FootnoteReference"/>
          <w:rFonts w:cs="Arial"/>
          <w:bCs/>
          <w:szCs w:val="22"/>
        </w:rPr>
        <w:footnoteReference w:id="4"/>
      </w:r>
      <w:r w:rsidR="00511960" w:rsidRPr="00E73772">
        <w:rPr>
          <w:rFonts w:cs="Arial"/>
          <w:bCs/>
          <w:szCs w:val="22"/>
        </w:rPr>
        <w:t xml:space="preserve"> The first respondent </w:t>
      </w:r>
      <w:r w:rsidR="00511960" w:rsidRPr="00E73772">
        <w:rPr>
          <w:rFonts w:cs="Arial"/>
          <w:bCs/>
          <w:i/>
          <w:iCs/>
          <w:szCs w:val="22"/>
        </w:rPr>
        <w:t>“certifies that the … account and named person is the fully authorized account for receiving the fees … for the benefit of this transaction”</w:t>
      </w:r>
      <w:r w:rsidR="00511960" w:rsidRPr="00E73772">
        <w:rPr>
          <w:rFonts w:cs="Arial"/>
          <w:bCs/>
          <w:szCs w:val="22"/>
        </w:rPr>
        <w:t xml:space="preserve"> and </w:t>
      </w:r>
      <w:r w:rsidR="00511960" w:rsidRPr="00E73772">
        <w:rPr>
          <w:rFonts w:cs="Arial"/>
          <w:bCs/>
          <w:i/>
          <w:iCs/>
          <w:szCs w:val="22"/>
        </w:rPr>
        <w:t>“confirms that the person beneficiary of the transfer … is fully empowered to assist the”</w:t>
      </w:r>
      <w:r w:rsidR="00511960" w:rsidRPr="00E73772">
        <w:rPr>
          <w:rFonts w:cs="Arial"/>
          <w:bCs/>
          <w:szCs w:val="22"/>
        </w:rPr>
        <w:t xml:space="preserve"> first responde</w:t>
      </w:r>
      <w:r w:rsidR="007347D1" w:rsidRPr="00E73772">
        <w:rPr>
          <w:rFonts w:cs="Arial"/>
          <w:bCs/>
          <w:szCs w:val="22"/>
        </w:rPr>
        <w:t>nt.</w:t>
      </w:r>
    </w:p>
    <w:p w14:paraId="7726B7AD" w14:textId="73562022" w:rsidR="001C2935"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6.10</w:t>
      </w:r>
      <w:r w:rsidRPr="00E73772">
        <w:rPr>
          <w:rFonts w:cs="Arial"/>
          <w:bCs/>
          <w:szCs w:val="22"/>
        </w:rPr>
        <w:tab/>
      </w:r>
      <w:r w:rsidR="00E86200" w:rsidRPr="00E73772">
        <w:rPr>
          <w:rFonts w:cs="Arial"/>
          <w:bCs/>
          <w:szCs w:val="22"/>
        </w:rPr>
        <w:t>The first respondent shall facilitate the arrangement, issuing and delivery of bank guarantees issued by a top European Bank. This process shall be managed by the first respondent and its own Financial European Associates. The first respondent shall disburse proceeds and profits to the applicant.</w:t>
      </w:r>
      <w:r w:rsidR="00E86200" w:rsidRPr="00E73772">
        <w:rPr>
          <w:rStyle w:val="FootnoteReference"/>
          <w:rFonts w:cs="Arial"/>
          <w:bCs/>
          <w:szCs w:val="22"/>
        </w:rPr>
        <w:footnoteReference w:id="5"/>
      </w:r>
    </w:p>
    <w:p w14:paraId="3EB0588A" w14:textId="55A6995B" w:rsidR="00E86200"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6.11</w:t>
      </w:r>
      <w:r w:rsidRPr="00E73772">
        <w:rPr>
          <w:rFonts w:cs="Arial"/>
          <w:bCs/>
          <w:szCs w:val="22"/>
        </w:rPr>
        <w:tab/>
      </w:r>
      <w:r w:rsidR="00E86200" w:rsidRPr="00E73772">
        <w:rPr>
          <w:rFonts w:cs="Arial"/>
          <w:bCs/>
          <w:szCs w:val="22"/>
        </w:rPr>
        <w:t>The agreement shall endure for 15 months from date of signature unless it is terminated by agreement of extended.</w:t>
      </w:r>
      <w:r w:rsidR="00E86200" w:rsidRPr="00E73772">
        <w:rPr>
          <w:rStyle w:val="FootnoteReference"/>
          <w:rFonts w:cs="Arial"/>
          <w:bCs/>
          <w:szCs w:val="22"/>
        </w:rPr>
        <w:footnoteReference w:id="6"/>
      </w:r>
    </w:p>
    <w:p w14:paraId="13EE7556" w14:textId="0079A474" w:rsidR="00A0115D" w:rsidRDefault="00756B17" w:rsidP="00756B17">
      <w:pPr>
        <w:widowControl w:val="0"/>
        <w:tabs>
          <w:tab w:val="left" w:pos="1418"/>
        </w:tabs>
        <w:spacing w:before="480" w:after="480" w:line="480" w:lineRule="auto"/>
        <w:ind w:left="1418" w:hanging="851"/>
        <w:jc w:val="both"/>
        <w:rPr>
          <w:rFonts w:cs="Arial"/>
          <w:bCs/>
          <w:szCs w:val="22"/>
        </w:rPr>
      </w:pPr>
      <w:r>
        <w:rPr>
          <w:rFonts w:cs="Arial"/>
          <w:bCs/>
          <w:szCs w:val="22"/>
        </w:rPr>
        <w:t>6.12</w:t>
      </w:r>
      <w:r>
        <w:rPr>
          <w:rFonts w:cs="Arial"/>
          <w:bCs/>
          <w:szCs w:val="22"/>
        </w:rPr>
        <w:tab/>
      </w:r>
      <w:r w:rsidR="00E86200" w:rsidRPr="00E73772">
        <w:rPr>
          <w:rFonts w:cs="Arial"/>
          <w:bCs/>
          <w:szCs w:val="22"/>
        </w:rPr>
        <w:t xml:space="preserve">The </w:t>
      </w:r>
      <w:r w:rsidR="00E86200" w:rsidRPr="00E73772">
        <w:rPr>
          <w:rFonts w:cs="Arial"/>
          <w:bCs/>
          <w:i/>
          <w:iCs/>
          <w:szCs w:val="22"/>
        </w:rPr>
        <w:t>force majeure</w:t>
      </w:r>
      <w:r w:rsidR="00E86200" w:rsidRPr="00E73772">
        <w:rPr>
          <w:rFonts w:cs="Arial"/>
          <w:bCs/>
          <w:szCs w:val="22"/>
        </w:rPr>
        <w:t xml:space="preserve"> rules of the International Chamber of Commerce (ICC), Paris, France shall apply.</w:t>
      </w:r>
    </w:p>
    <w:p w14:paraId="045A46FA" w14:textId="4D70EE7A" w:rsidR="00E86200"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[7]</w:t>
      </w:r>
      <w:r w:rsidRPr="00E73772">
        <w:rPr>
          <w:rFonts w:cs="Arial"/>
          <w:bCs/>
          <w:szCs w:val="22"/>
        </w:rPr>
        <w:tab/>
      </w:r>
      <w:r w:rsidR="00A0115D">
        <w:rPr>
          <w:rFonts w:cs="Arial"/>
          <w:bCs/>
          <w:szCs w:val="22"/>
        </w:rPr>
        <w:t>Furthermore:</w:t>
      </w:r>
      <w:r w:rsidR="00280459" w:rsidRPr="00E73772">
        <w:rPr>
          <w:rStyle w:val="FootnoteReference"/>
          <w:rFonts w:cs="Arial"/>
          <w:bCs/>
          <w:szCs w:val="22"/>
        </w:rPr>
        <w:footnoteReference w:id="7"/>
      </w:r>
    </w:p>
    <w:p w14:paraId="01DE1FA0" w14:textId="1B9565D9" w:rsidR="00B5157D"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7.1</w:t>
      </w:r>
      <w:r w:rsidRPr="00E73772">
        <w:rPr>
          <w:rFonts w:cs="Arial"/>
          <w:bCs/>
          <w:szCs w:val="22"/>
        </w:rPr>
        <w:tab/>
      </w:r>
      <w:r w:rsidR="00B5157D" w:rsidRPr="00E73772">
        <w:rPr>
          <w:rFonts w:cs="Arial"/>
          <w:bCs/>
          <w:szCs w:val="22"/>
        </w:rPr>
        <w:t>The clauses in the agreement shall be severable.</w:t>
      </w:r>
      <w:r w:rsidR="00B5157D" w:rsidRPr="00E73772">
        <w:rPr>
          <w:rStyle w:val="FootnoteReference"/>
          <w:rFonts w:cs="Arial"/>
          <w:bCs/>
          <w:szCs w:val="22"/>
        </w:rPr>
        <w:t xml:space="preserve"> </w:t>
      </w:r>
    </w:p>
    <w:p w14:paraId="738C2C40" w14:textId="3695601F" w:rsidR="00B5157D"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7.2</w:t>
      </w:r>
      <w:r w:rsidRPr="00E73772">
        <w:rPr>
          <w:rFonts w:cs="Arial"/>
          <w:bCs/>
          <w:szCs w:val="22"/>
        </w:rPr>
        <w:tab/>
      </w:r>
      <w:r w:rsidR="00B5157D" w:rsidRPr="00E73772">
        <w:rPr>
          <w:rFonts w:cs="Arial"/>
          <w:bCs/>
          <w:szCs w:val="22"/>
        </w:rPr>
        <w:t>The agreement constitutes the full, entire and integrated agreement and super</w:t>
      </w:r>
      <w:r w:rsidR="009C1188" w:rsidRPr="00E73772">
        <w:rPr>
          <w:rFonts w:cs="Arial"/>
          <w:bCs/>
          <w:szCs w:val="22"/>
        </w:rPr>
        <w:t>s</w:t>
      </w:r>
      <w:r w:rsidR="00B5157D" w:rsidRPr="00E73772">
        <w:rPr>
          <w:rFonts w:cs="Arial"/>
          <w:bCs/>
          <w:szCs w:val="22"/>
        </w:rPr>
        <w:t>edes all prior negotiations, correspondence, understandings and agreements between the parties.</w:t>
      </w:r>
    </w:p>
    <w:p w14:paraId="19A35EC9" w14:textId="6876F4AC" w:rsidR="00B5157D"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7.3</w:t>
      </w:r>
      <w:r w:rsidRPr="00E73772">
        <w:rPr>
          <w:rFonts w:cs="Arial"/>
          <w:bCs/>
          <w:szCs w:val="22"/>
        </w:rPr>
        <w:tab/>
      </w:r>
      <w:r w:rsidR="00B5157D" w:rsidRPr="00E73772">
        <w:rPr>
          <w:rFonts w:cs="Arial"/>
          <w:bCs/>
          <w:szCs w:val="22"/>
        </w:rPr>
        <w:t>Any eventual controversy, having as object the interpretation of the clauses will be submitted to ICC conciliation and arbitration in Paris.</w:t>
      </w:r>
    </w:p>
    <w:p w14:paraId="45DABCE0" w14:textId="428E4EEF" w:rsidR="008C69FC"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[8]</w:t>
      </w:r>
      <w:r w:rsidRPr="00E73772">
        <w:rPr>
          <w:rFonts w:cs="Arial"/>
          <w:bCs/>
          <w:szCs w:val="22"/>
        </w:rPr>
        <w:tab/>
      </w:r>
      <w:r w:rsidR="008C69FC" w:rsidRPr="00E73772">
        <w:rPr>
          <w:rFonts w:cs="Arial"/>
          <w:bCs/>
          <w:szCs w:val="22"/>
        </w:rPr>
        <w:t xml:space="preserve">The </w:t>
      </w:r>
      <w:r w:rsidR="00A56531" w:rsidRPr="00E73772">
        <w:rPr>
          <w:rFonts w:cs="Arial"/>
          <w:bCs/>
          <w:szCs w:val="22"/>
        </w:rPr>
        <w:t>agreement</w:t>
      </w:r>
      <w:r w:rsidR="008C69FC" w:rsidRPr="00E73772">
        <w:rPr>
          <w:rFonts w:cs="Arial"/>
          <w:bCs/>
          <w:szCs w:val="22"/>
        </w:rPr>
        <w:t xml:space="preserve"> provides for advice in the form of guidance and a proposal for the purchase of bank guarantees, and for intermediary services in the form of the management and administration of the applicant’s funds by the first respondent and its associates, and for payment by and to the applicant.</w:t>
      </w:r>
    </w:p>
    <w:p w14:paraId="0F5804D3" w14:textId="77777777" w:rsidR="009C1188" w:rsidRPr="00E73772" w:rsidRDefault="009C1188" w:rsidP="00632C84">
      <w:pPr>
        <w:widowControl w:val="0"/>
        <w:spacing w:before="480" w:after="480" w:line="480" w:lineRule="auto"/>
        <w:jc w:val="both"/>
        <w:rPr>
          <w:rFonts w:cs="Arial"/>
          <w:bCs/>
          <w:szCs w:val="22"/>
          <w:u w:val="single"/>
        </w:rPr>
      </w:pPr>
    </w:p>
    <w:p w14:paraId="270D0527" w14:textId="3B3F69AB" w:rsidR="00632C84" w:rsidRPr="00E73772" w:rsidRDefault="00D72F5B" w:rsidP="009C1188">
      <w:pPr>
        <w:keepNext/>
        <w:widowControl w:val="0"/>
        <w:spacing w:before="480" w:after="480" w:line="480" w:lineRule="auto"/>
        <w:jc w:val="both"/>
        <w:rPr>
          <w:rFonts w:cs="Arial"/>
          <w:bCs/>
          <w:szCs w:val="22"/>
          <w:u w:val="single"/>
        </w:rPr>
      </w:pPr>
      <w:r w:rsidRPr="00E73772">
        <w:rPr>
          <w:rFonts w:cs="Arial"/>
          <w:bCs/>
          <w:szCs w:val="22"/>
          <w:u w:val="single"/>
        </w:rPr>
        <w:t xml:space="preserve">THE CORRECT APPROACH TO THE </w:t>
      </w:r>
      <w:r w:rsidR="00632C84" w:rsidRPr="00E73772">
        <w:rPr>
          <w:rFonts w:cs="Arial"/>
          <w:bCs/>
          <w:szCs w:val="22"/>
          <w:u w:val="single"/>
        </w:rPr>
        <w:t>INTERPRETATION OF THE ASSET MANAGEMENT AGREEMENT</w:t>
      </w:r>
    </w:p>
    <w:p w14:paraId="59F44AF7" w14:textId="41B7C85C" w:rsidR="00416FFE" w:rsidRPr="00E73772" w:rsidRDefault="00756B17" w:rsidP="00756B17">
      <w:pPr>
        <w:keepNext/>
        <w:widowControl w:val="0"/>
        <w:tabs>
          <w:tab w:val="left" w:pos="567"/>
        </w:tabs>
        <w:spacing w:before="480" w:after="480" w:line="480" w:lineRule="auto"/>
        <w:jc w:val="both"/>
        <w:rPr>
          <w:rFonts w:cs="Arial"/>
          <w:bCs/>
          <w:szCs w:val="22"/>
        </w:rPr>
      </w:pPr>
      <w:r w:rsidRPr="00E73772">
        <w:rPr>
          <w:rFonts w:cs="Arial"/>
          <w:bCs/>
          <w:szCs w:val="22"/>
        </w:rPr>
        <w:t>[9]</w:t>
      </w:r>
      <w:r w:rsidRPr="00E73772">
        <w:rPr>
          <w:rFonts w:cs="Arial"/>
          <w:bCs/>
          <w:szCs w:val="22"/>
        </w:rPr>
        <w:tab/>
      </w:r>
      <w:r w:rsidR="008C5DB7" w:rsidRPr="00E73772">
        <w:rPr>
          <w:rFonts w:cs="Arial"/>
          <w:bCs/>
          <w:szCs w:val="22"/>
        </w:rPr>
        <w:t xml:space="preserve">The respondents argue that the </w:t>
      </w:r>
      <w:r w:rsidR="00A56531" w:rsidRPr="00E73772">
        <w:rPr>
          <w:rFonts w:cs="Arial"/>
          <w:bCs/>
          <w:szCs w:val="22"/>
        </w:rPr>
        <w:t>agreement</w:t>
      </w:r>
      <w:r w:rsidR="008C5DB7" w:rsidRPr="00E73772">
        <w:rPr>
          <w:rFonts w:cs="Arial"/>
          <w:bCs/>
          <w:szCs w:val="22"/>
        </w:rPr>
        <w:t xml:space="preserve"> must be interpreted in light of the </w:t>
      </w:r>
      <w:r w:rsidR="00416FFE" w:rsidRPr="00E73772">
        <w:rPr>
          <w:rFonts w:cs="Arial"/>
          <w:bCs/>
          <w:szCs w:val="22"/>
        </w:rPr>
        <w:t>following evidence:</w:t>
      </w:r>
    </w:p>
    <w:p w14:paraId="78EB2F3B" w14:textId="0746C9C9" w:rsidR="00754833" w:rsidRDefault="00756B17" w:rsidP="00756B17">
      <w:pPr>
        <w:widowControl w:val="0"/>
        <w:tabs>
          <w:tab w:val="left" w:pos="1418"/>
        </w:tabs>
        <w:spacing w:before="480" w:after="480" w:line="480" w:lineRule="auto"/>
        <w:ind w:left="1418" w:hanging="851"/>
        <w:jc w:val="both"/>
        <w:rPr>
          <w:rFonts w:cs="Arial"/>
          <w:bCs/>
          <w:szCs w:val="22"/>
        </w:rPr>
      </w:pPr>
      <w:r>
        <w:rPr>
          <w:rFonts w:cs="Arial"/>
          <w:bCs/>
          <w:szCs w:val="22"/>
        </w:rPr>
        <w:t>9.1</w:t>
      </w:r>
      <w:r>
        <w:rPr>
          <w:rFonts w:cs="Arial"/>
          <w:bCs/>
          <w:szCs w:val="22"/>
        </w:rPr>
        <w:tab/>
      </w:r>
      <w:r w:rsidR="00595988" w:rsidRPr="00E73772">
        <w:rPr>
          <w:rFonts w:cs="Arial"/>
          <w:bCs/>
          <w:szCs w:val="22"/>
        </w:rPr>
        <w:t>The applicant</w:t>
      </w:r>
      <w:r w:rsidR="00B77BCC" w:rsidRPr="00E73772">
        <w:rPr>
          <w:rFonts w:cs="Arial"/>
          <w:bCs/>
          <w:szCs w:val="22"/>
        </w:rPr>
        <w:t xml:space="preserve"> intended to raise funding for projects she wanted to launch internationally.</w:t>
      </w:r>
      <w:r w:rsidR="0071441C" w:rsidRPr="00E73772">
        <w:rPr>
          <w:rStyle w:val="FootnoteReference"/>
          <w:rFonts w:cs="Arial"/>
          <w:bCs/>
          <w:szCs w:val="22"/>
        </w:rPr>
        <w:footnoteReference w:id="8"/>
      </w:r>
      <w:r w:rsidR="00B77BCC" w:rsidRPr="00E73772">
        <w:rPr>
          <w:rFonts w:cs="Arial"/>
          <w:bCs/>
          <w:szCs w:val="22"/>
        </w:rPr>
        <w:t xml:space="preserve"> She</w:t>
      </w:r>
      <w:r w:rsidR="00595988" w:rsidRPr="00E73772">
        <w:rPr>
          <w:rFonts w:cs="Arial"/>
          <w:bCs/>
          <w:szCs w:val="22"/>
        </w:rPr>
        <w:t xml:space="preserve"> appointed a consultant, Ms Botha, to advise her</w:t>
      </w:r>
      <w:r w:rsidR="00B77BCC" w:rsidRPr="00E73772">
        <w:rPr>
          <w:rFonts w:cs="Arial"/>
          <w:bCs/>
          <w:szCs w:val="22"/>
        </w:rPr>
        <w:t xml:space="preserve"> and </w:t>
      </w:r>
      <w:r w:rsidR="00B77BCC" w:rsidRPr="00E73772">
        <w:rPr>
          <w:rFonts w:cs="Arial"/>
          <w:bCs/>
          <w:szCs w:val="22"/>
        </w:rPr>
        <w:lastRenderedPageBreak/>
        <w:t>to source a firm that could raise funding</w:t>
      </w:r>
      <w:r w:rsidR="00595988" w:rsidRPr="00E73772">
        <w:rPr>
          <w:rFonts w:cs="Arial"/>
          <w:bCs/>
          <w:szCs w:val="22"/>
        </w:rPr>
        <w:t>. Ms Botha approached the first respondent and in</w:t>
      </w:r>
      <w:r w:rsidR="00A51092" w:rsidRPr="00E73772">
        <w:rPr>
          <w:rFonts w:cs="Arial"/>
          <w:bCs/>
          <w:szCs w:val="22"/>
        </w:rPr>
        <w:t xml:space="preserve"> December 2017 the applicant </w:t>
      </w:r>
      <w:r w:rsidR="00595988" w:rsidRPr="00E73772">
        <w:rPr>
          <w:rFonts w:cs="Arial"/>
          <w:bCs/>
          <w:szCs w:val="22"/>
        </w:rPr>
        <w:t xml:space="preserve">provided </w:t>
      </w:r>
      <w:r w:rsidR="00A51092" w:rsidRPr="00E73772">
        <w:rPr>
          <w:rFonts w:cs="Arial"/>
          <w:bCs/>
          <w:szCs w:val="22"/>
        </w:rPr>
        <w:t xml:space="preserve">a letter of intent to </w:t>
      </w:r>
      <w:r w:rsidR="00595988" w:rsidRPr="00E73772">
        <w:rPr>
          <w:rFonts w:cs="Arial"/>
          <w:bCs/>
          <w:szCs w:val="22"/>
        </w:rPr>
        <w:t>Ms Botha in response to a</w:t>
      </w:r>
      <w:r w:rsidR="00A51092" w:rsidRPr="00E73772">
        <w:rPr>
          <w:rFonts w:cs="Arial"/>
          <w:bCs/>
          <w:szCs w:val="22"/>
        </w:rPr>
        <w:t xml:space="preserve"> request </w:t>
      </w:r>
      <w:r w:rsidR="00595988" w:rsidRPr="00E73772">
        <w:rPr>
          <w:rFonts w:cs="Arial"/>
          <w:bCs/>
          <w:szCs w:val="22"/>
        </w:rPr>
        <w:t>by</w:t>
      </w:r>
      <w:r w:rsidR="00A51092" w:rsidRPr="00E73772">
        <w:rPr>
          <w:rFonts w:cs="Arial"/>
          <w:bCs/>
          <w:szCs w:val="22"/>
        </w:rPr>
        <w:t xml:space="preserve"> the first respondent.</w:t>
      </w:r>
      <w:r w:rsidR="00595988" w:rsidRPr="00E73772">
        <w:rPr>
          <w:rFonts w:cs="Arial"/>
          <w:bCs/>
          <w:szCs w:val="22"/>
        </w:rPr>
        <w:t xml:space="preserve"> </w:t>
      </w:r>
    </w:p>
    <w:p w14:paraId="4E14A599" w14:textId="572A27D4" w:rsidR="00754833" w:rsidRDefault="00756B17" w:rsidP="00756B17">
      <w:pPr>
        <w:widowControl w:val="0"/>
        <w:tabs>
          <w:tab w:val="left" w:pos="1418"/>
        </w:tabs>
        <w:spacing w:before="480" w:after="480" w:line="480" w:lineRule="auto"/>
        <w:ind w:left="1418" w:hanging="851"/>
        <w:jc w:val="both"/>
        <w:rPr>
          <w:rFonts w:cs="Arial"/>
          <w:bCs/>
          <w:szCs w:val="22"/>
        </w:rPr>
      </w:pPr>
      <w:r>
        <w:rPr>
          <w:rFonts w:cs="Arial"/>
          <w:bCs/>
          <w:szCs w:val="22"/>
        </w:rPr>
        <w:t>9.2</w:t>
      </w:r>
      <w:r>
        <w:rPr>
          <w:rFonts w:cs="Arial"/>
          <w:bCs/>
          <w:szCs w:val="22"/>
        </w:rPr>
        <w:tab/>
      </w:r>
      <w:r w:rsidR="00595988" w:rsidRPr="00E73772">
        <w:rPr>
          <w:rFonts w:cs="Arial"/>
          <w:bCs/>
          <w:szCs w:val="22"/>
        </w:rPr>
        <w:t xml:space="preserve">She envisaged using the financial scheme proposed by Ms Botha and requested a draft </w:t>
      </w:r>
      <w:r w:rsidR="00A56531" w:rsidRPr="00E73772">
        <w:rPr>
          <w:rFonts w:cs="Arial"/>
          <w:bCs/>
          <w:szCs w:val="22"/>
        </w:rPr>
        <w:t>agreement</w:t>
      </w:r>
      <w:r w:rsidR="00754833">
        <w:rPr>
          <w:rFonts w:cs="Arial"/>
          <w:bCs/>
          <w:szCs w:val="22"/>
        </w:rPr>
        <w:t xml:space="preserve"> prepared by the first respondent</w:t>
      </w:r>
      <w:r w:rsidR="00595988" w:rsidRPr="00E73772">
        <w:rPr>
          <w:rFonts w:cs="Arial"/>
          <w:bCs/>
          <w:szCs w:val="22"/>
        </w:rPr>
        <w:t xml:space="preserve">. </w:t>
      </w:r>
    </w:p>
    <w:p w14:paraId="0A402B32" w14:textId="3C6DB0F3" w:rsidR="00E37A5B"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9.3</w:t>
      </w:r>
      <w:r w:rsidRPr="00E73772">
        <w:rPr>
          <w:rFonts w:cs="Arial"/>
          <w:bCs/>
          <w:szCs w:val="22"/>
        </w:rPr>
        <w:tab/>
      </w:r>
      <w:r w:rsidR="00595988" w:rsidRPr="00E73772">
        <w:rPr>
          <w:rFonts w:cs="Arial"/>
          <w:bCs/>
          <w:szCs w:val="22"/>
        </w:rPr>
        <w:t>By then she already knew that payment would be made to Barclays Bank in the United Kingdom</w:t>
      </w:r>
      <w:r w:rsidR="00B77BCC" w:rsidRPr="00E73772">
        <w:rPr>
          <w:rFonts w:cs="Arial"/>
          <w:bCs/>
          <w:szCs w:val="22"/>
        </w:rPr>
        <w:t xml:space="preserve"> and that a bank guarantee would be issued</w:t>
      </w:r>
      <w:r w:rsidR="00595988" w:rsidRPr="00E73772">
        <w:rPr>
          <w:rFonts w:cs="Arial"/>
          <w:bCs/>
          <w:szCs w:val="22"/>
        </w:rPr>
        <w:t>.</w:t>
      </w:r>
      <w:r w:rsidR="00A51092" w:rsidRPr="00E73772">
        <w:rPr>
          <w:rFonts w:cs="Arial"/>
          <w:bCs/>
          <w:szCs w:val="22"/>
        </w:rPr>
        <w:t xml:space="preserve"> </w:t>
      </w:r>
      <w:r w:rsidR="00B77BCC" w:rsidRPr="00E73772">
        <w:rPr>
          <w:rFonts w:cs="Arial"/>
          <w:bCs/>
          <w:szCs w:val="22"/>
        </w:rPr>
        <w:t xml:space="preserve">She envisaged that the funds would be transferred from her account in the Isle of Man and </w:t>
      </w:r>
      <w:r w:rsidR="009C1188" w:rsidRPr="00E73772">
        <w:rPr>
          <w:rFonts w:cs="Arial"/>
          <w:bCs/>
          <w:szCs w:val="22"/>
        </w:rPr>
        <w:t xml:space="preserve">the </w:t>
      </w:r>
      <w:r w:rsidR="00B77BCC" w:rsidRPr="00E73772">
        <w:rPr>
          <w:rFonts w:cs="Arial"/>
          <w:bCs/>
          <w:szCs w:val="22"/>
        </w:rPr>
        <w:t>account of a third party in the United Kingdom.</w:t>
      </w:r>
    </w:p>
    <w:p w14:paraId="147E15B7" w14:textId="20FA4675" w:rsidR="00416FFE"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9.4</w:t>
      </w:r>
      <w:r w:rsidRPr="00E73772">
        <w:rPr>
          <w:rFonts w:cs="Arial"/>
          <w:bCs/>
          <w:szCs w:val="22"/>
        </w:rPr>
        <w:tab/>
      </w:r>
      <w:r w:rsidR="00E37A5B" w:rsidRPr="00E73772">
        <w:rPr>
          <w:rFonts w:cs="Arial"/>
          <w:bCs/>
          <w:szCs w:val="22"/>
        </w:rPr>
        <w:t xml:space="preserve">The first respondent provided her with a draft </w:t>
      </w:r>
      <w:r w:rsidR="00A56531" w:rsidRPr="00E73772">
        <w:rPr>
          <w:rFonts w:cs="Arial"/>
          <w:bCs/>
          <w:szCs w:val="22"/>
        </w:rPr>
        <w:t>agreement</w:t>
      </w:r>
      <w:r w:rsidR="00E37A5B" w:rsidRPr="00E73772">
        <w:rPr>
          <w:rFonts w:cs="Arial"/>
          <w:bCs/>
          <w:szCs w:val="22"/>
        </w:rPr>
        <w:t>.</w:t>
      </w:r>
    </w:p>
    <w:p w14:paraId="02DB14E9" w14:textId="3F1197D3" w:rsidR="00A51092"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9.5</w:t>
      </w:r>
      <w:r w:rsidRPr="00E73772">
        <w:rPr>
          <w:rFonts w:cs="Arial"/>
          <w:bCs/>
          <w:szCs w:val="22"/>
        </w:rPr>
        <w:tab/>
      </w:r>
      <w:r w:rsidR="00E37A5B" w:rsidRPr="00E73772">
        <w:rPr>
          <w:rFonts w:cs="Arial"/>
          <w:bCs/>
          <w:szCs w:val="22"/>
        </w:rPr>
        <w:t>She enquired whether the first respondent held a Financial Services Board licence and she was informed by Ms Botha that the first respondent did not need a licence but that</w:t>
      </w:r>
      <w:r w:rsidR="00556E08" w:rsidRPr="00E73772">
        <w:rPr>
          <w:rFonts w:cs="Arial"/>
          <w:bCs/>
          <w:szCs w:val="22"/>
        </w:rPr>
        <w:t xml:space="preserve"> Lomolino who would be the asset manager </w:t>
      </w:r>
      <w:r w:rsidR="0006504D">
        <w:rPr>
          <w:rFonts w:cs="Arial"/>
          <w:bCs/>
          <w:szCs w:val="22"/>
        </w:rPr>
        <w:t xml:space="preserve">overseas </w:t>
      </w:r>
      <w:r w:rsidR="00556E08" w:rsidRPr="00E73772">
        <w:rPr>
          <w:rFonts w:cs="Arial"/>
          <w:bCs/>
          <w:szCs w:val="22"/>
        </w:rPr>
        <w:t xml:space="preserve">held an </w:t>
      </w:r>
      <w:r w:rsidR="00556E08" w:rsidRPr="00E73772">
        <w:rPr>
          <w:rFonts w:cs="Arial"/>
          <w:bCs/>
          <w:i/>
          <w:iCs/>
          <w:szCs w:val="22"/>
        </w:rPr>
        <w:t>‘international equiva</w:t>
      </w:r>
      <w:r w:rsidR="009C1188" w:rsidRPr="00E73772">
        <w:rPr>
          <w:rFonts w:cs="Arial"/>
          <w:bCs/>
          <w:i/>
          <w:iCs/>
          <w:szCs w:val="22"/>
        </w:rPr>
        <w:t>le</w:t>
      </w:r>
      <w:r w:rsidR="00556E08" w:rsidRPr="00E73772">
        <w:rPr>
          <w:rFonts w:cs="Arial"/>
          <w:bCs/>
          <w:i/>
          <w:iCs/>
          <w:szCs w:val="22"/>
        </w:rPr>
        <w:t>nt licence.’</w:t>
      </w:r>
    </w:p>
    <w:p w14:paraId="29ABCD51" w14:textId="5162317E" w:rsidR="00556E08"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9.6</w:t>
      </w:r>
      <w:r w:rsidRPr="00E73772">
        <w:rPr>
          <w:rFonts w:cs="Arial"/>
          <w:bCs/>
          <w:szCs w:val="22"/>
        </w:rPr>
        <w:tab/>
      </w:r>
      <w:r w:rsidR="00556E08" w:rsidRPr="00E73772">
        <w:rPr>
          <w:rFonts w:cs="Arial"/>
          <w:bCs/>
          <w:szCs w:val="22"/>
        </w:rPr>
        <w:t>She was informed in a telephone conversation with the third respondent that the third respondent had a partnership and/or relationship with an international company by the name of AS Private Equity</w:t>
      </w:r>
      <w:r w:rsidR="0006504D">
        <w:rPr>
          <w:rFonts w:cs="Arial"/>
          <w:bCs/>
          <w:szCs w:val="22"/>
        </w:rPr>
        <w:t xml:space="preserve"> (“AS”). Lomolino was an officer of this company.</w:t>
      </w:r>
      <w:r w:rsidR="00556E08" w:rsidRPr="00E73772">
        <w:rPr>
          <w:rFonts w:cs="Arial"/>
          <w:bCs/>
          <w:szCs w:val="22"/>
        </w:rPr>
        <w:t xml:space="preserve"> He also informed her that a FSB licence was not required as this was a </w:t>
      </w:r>
      <w:r w:rsidR="00556E08" w:rsidRPr="00E73772">
        <w:rPr>
          <w:rFonts w:cs="Arial"/>
          <w:bCs/>
          <w:i/>
          <w:iCs/>
          <w:szCs w:val="22"/>
        </w:rPr>
        <w:t>‘private placement.’</w:t>
      </w:r>
      <w:r w:rsidR="00556E08" w:rsidRPr="00E73772">
        <w:rPr>
          <w:rFonts w:cs="Arial"/>
          <w:bCs/>
          <w:szCs w:val="22"/>
        </w:rPr>
        <w:t xml:space="preserve"> She was furnished with a copy of the agency agreement between the first respondent and AS.</w:t>
      </w:r>
    </w:p>
    <w:p w14:paraId="32273E59" w14:textId="363CB115" w:rsidR="00556E08"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9.7</w:t>
      </w:r>
      <w:r w:rsidRPr="00E73772">
        <w:rPr>
          <w:rFonts w:cs="Arial"/>
          <w:bCs/>
          <w:szCs w:val="22"/>
        </w:rPr>
        <w:tab/>
      </w:r>
      <w:r w:rsidR="00556E08" w:rsidRPr="00E73772">
        <w:rPr>
          <w:rFonts w:cs="Arial"/>
          <w:bCs/>
          <w:szCs w:val="22"/>
        </w:rPr>
        <w:t>The payment would be used for the purpose of securing a bank guarantee.</w:t>
      </w:r>
    </w:p>
    <w:p w14:paraId="72880975" w14:textId="7BCE5917" w:rsidR="008C5DB7"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[10]</w:t>
      </w:r>
      <w:r w:rsidRPr="00E73772">
        <w:rPr>
          <w:rFonts w:cs="Arial"/>
          <w:bCs/>
          <w:szCs w:val="22"/>
        </w:rPr>
        <w:tab/>
      </w:r>
      <w:r w:rsidR="00556E08" w:rsidRPr="00E73772">
        <w:rPr>
          <w:rFonts w:cs="Arial"/>
          <w:bCs/>
          <w:szCs w:val="22"/>
        </w:rPr>
        <w:t xml:space="preserve">The respondents argue that </w:t>
      </w:r>
      <w:r w:rsidR="008C5DB7" w:rsidRPr="00E73772">
        <w:rPr>
          <w:rFonts w:cs="Arial"/>
          <w:bCs/>
          <w:szCs w:val="22"/>
        </w:rPr>
        <w:t xml:space="preserve">it was </w:t>
      </w:r>
      <w:r w:rsidR="008C5DB7" w:rsidRPr="00E73772">
        <w:rPr>
          <w:rFonts w:cs="Arial"/>
          <w:bCs/>
          <w:i/>
          <w:iCs/>
          <w:szCs w:val="22"/>
        </w:rPr>
        <w:t>‘glaringly obvious’</w:t>
      </w:r>
      <w:r w:rsidR="008C5DB7" w:rsidRPr="00E73772">
        <w:rPr>
          <w:rFonts w:cs="Arial"/>
          <w:bCs/>
          <w:szCs w:val="22"/>
        </w:rPr>
        <w:t xml:space="preserve"> that the first respondent was the agent of AS, </w:t>
      </w:r>
      <w:r w:rsidR="003E0A89" w:rsidRPr="00E73772">
        <w:rPr>
          <w:rFonts w:cs="Arial"/>
          <w:bCs/>
          <w:szCs w:val="22"/>
        </w:rPr>
        <w:t xml:space="preserve">incurred no obligations of its own, </w:t>
      </w:r>
      <w:r w:rsidR="008C5DB7" w:rsidRPr="00E73772">
        <w:rPr>
          <w:rFonts w:cs="Arial"/>
          <w:bCs/>
          <w:szCs w:val="22"/>
        </w:rPr>
        <w:t>and had no standing to be sued. For this reason</w:t>
      </w:r>
      <w:r w:rsidR="00A06585" w:rsidRPr="00E73772">
        <w:rPr>
          <w:rFonts w:cs="Arial"/>
          <w:bCs/>
          <w:szCs w:val="22"/>
        </w:rPr>
        <w:t>, it is argued,</w:t>
      </w:r>
      <w:r w:rsidR="008C5DB7" w:rsidRPr="00E73772">
        <w:rPr>
          <w:rFonts w:cs="Arial"/>
          <w:bCs/>
          <w:szCs w:val="22"/>
        </w:rPr>
        <w:t xml:space="preserve"> the joinder of the first respondent constitutes a misjoinder and the failure to join AS constitutes a non-joinder.</w:t>
      </w:r>
      <w:r w:rsidR="00A06585" w:rsidRPr="00E73772">
        <w:rPr>
          <w:rFonts w:cs="Arial"/>
          <w:bCs/>
          <w:szCs w:val="22"/>
        </w:rPr>
        <w:t xml:space="preserve"> There are no merit in these contentions. The applicant never sought to make out a case against AS and would have no reason to join the firm. Her case was that she contracted with the first respondent and joining the first respondent does not constitute a non-joinder.</w:t>
      </w:r>
    </w:p>
    <w:p w14:paraId="7F7B8579" w14:textId="52E023E8" w:rsidR="00AB4DFE" w:rsidRPr="00E73772" w:rsidRDefault="00756B17" w:rsidP="00756B17">
      <w:pPr>
        <w:widowControl w:val="0"/>
        <w:tabs>
          <w:tab w:val="left" w:pos="567"/>
        </w:tabs>
        <w:spacing w:before="480" w:after="480" w:line="480" w:lineRule="auto"/>
        <w:jc w:val="both"/>
        <w:rPr>
          <w:rFonts w:cs="Arial"/>
          <w:szCs w:val="22"/>
          <w:lang w:val="en-GB"/>
        </w:rPr>
      </w:pPr>
      <w:r w:rsidRPr="00E73772">
        <w:rPr>
          <w:rFonts w:cs="Arial"/>
          <w:szCs w:val="22"/>
          <w:lang w:val="en-GB"/>
        </w:rPr>
        <w:t>[11]</w:t>
      </w:r>
      <w:r w:rsidRPr="00E73772">
        <w:rPr>
          <w:rFonts w:cs="Arial"/>
          <w:szCs w:val="22"/>
          <w:lang w:val="en-GB"/>
        </w:rPr>
        <w:tab/>
      </w:r>
      <w:r w:rsidR="00A23E58" w:rsidRPr="00E73772">
        <w:rPr>
          <w:rFonts w:cs="Arial"/>
          <w:bCs/>
          <w:szCs w:val="22"/>
        </w:rPr>
        <w:t xml:space="preserve">It was argued on behalf of the respondents that the application of the principles set out in the </w:t>
      </w:r>
      <w:r w:rsidR="00A23E58" w:rsidRPr="00E73772">
        <w:rPr>
          <w:rFonts w:cs="Arial"/>
          <w:bCs/>
          <w:i/>
          <w:iCs/>
          <w:szCs w:val="22"/>
        </w:rPr>
        <w:t>Endumeni</w:t>
      </w:r>
      <w:r w:rsidR="00A23E58" w:rsidRPr="00E73772">
        <w:rPr>
          <w:rFonts w:cs="Arial"/>
          <w:bCs/>
          <w:szCs w:val="22"/>
        </w:rPr>
        <w:t xml:space="preserve"> case</w:t>
      </w:r>
      <w:r w:rsidR="00A23E58" w:rsidRPr="00E73772">
        <w:rPr>
          <w:rStyle w:val="FootnoteReference"/>
          <w:rFonts w:cs="Arial"/>
          <w:bCs/>
          <w:szCs w:val="22"/>
        </w:rPr>
        <w:footnoteReference w:id="9"/>
      </w:r>
      <w:r w:rsidR="00632C84" w:rsidRPr="00E73772">
        <w:rPr>
          <w:rFonts w:cs="Arial"/>
          <w:bCs/>
          <w:szCs w:val="22"/>
        </w:rPr>
        <w:t xml:space="preserve"> leads to the conclusion that the </w:t>
      </w:r>
      <w:r w:rsidR="00A56531" w:rsidRPr="00E73772">
        <w:rPr>
          <w:rFonts w:cs="Arial"/>
          <w:bCs/>
          <w:szCs w:val="22"/>
        </w:rPr>
        <w:t>agreement</w:t>
      </w:r>
      <w:r w:rsidR="00632C84" w:rsidRPr="00E73772">
        <w:rPr>
          <w:rFonts w:cs="Arial"/>
          <w:bCs/>
          <w:szCs w:val="22"/>
        </w:rPr>
        <w:t xml:space="preserve"> must be read to mean that the first respondent was the agent of AS. This is not so – the case is not authority for reading parties and provisions into a contract that are simply not there</w:t>
      </w:r>
      <w:r w:rsidR="007347D1" w:rsidRPr="00E73772">
        <w:rPr>
          <w:rFonts w:cs="Arial"/>
          <w:bCs/>
          <w:szCs w:val="22"/>
        </w:rPr>
        <w:t>, and for abolishing the integration rule in the interpretation of contracts</w:t>
      </w:r>
      <w:r w:rsidR="00632C84" w:rsidRPr="00E73772">
        <w:rPr>
          <w:rFonts w:cs="Arial"/>
          <w:bCs/>
          <w:szCs w:val="22"/>
        </w:rPr>
        <w:t>.</w:t>
      </w:r>
    </w:p>
    <w:p w14:paraId="575A8620" w14:textId="30A20680" w:rsidR="00AB4DFE" w:rsidRPr="00E73772" w:rsidRDefault="00756B17" w:rsidP="00756B17">
      <w:pPr>
        <w:widowControl w:val="0"/>
        <w:tabs>
          <w:tab w:val="left" w:pos="567"/>
        </w:tabs>
        <w:spacing w:before="480" w:after="480" w:line="480" w:lineRule="auto"/>
        <w:jc w:val="both"/>
        <w:rPr>
          <w:rFonts w:cs="Arial"/>
          <w:szCs w:val="22"/>
          <w:lang w:val="en-GB"/>
        </w:rPr>
      </w:pPr>
      <w:r w:rsidRPr="00E73772">
        <w:rPr>
          <w:rFonts w:cs="Arial"/>
          <w:szCs w:val="22"/>
          <w:lang w:val="en-GB"/>
        </w:rPr>
        <w:t>[12]</w:t>
      </w:r>
      <w:r w:rsidRPr="00E73772">
        <w:rPr>
          <w:rFonts w:cs="Arial"/>
          <w:szCs w:val="22"/>
          <w:lang w:val="en-GB"/>
        </w:rPr>
        <w:tab/>
      </w:r>
      <w:r w:rsidR="00AB4DFE" w:rsidRPr="00E73772">
        <w:rPr>
          <w:rFonts w:cs="Arial"/>
          <w:bCs/>
          <w:szCs w:val="22"/>
        </w:rPr>
        <w:t>The proper approach to interpretation have received the attention of our courts over many years</w:t>
      </w:r>
      <w:r w:rsidR="00632C84" w:rsidRPr="00E73772">
        <w:rPr>
          <w:rStyle w:val="FootnoteReference"/>
          <w:rFonts w:cs="Arial"/>
          <w:bCs/>
          <w:szCs w:val="22"/>
        </w:rPr>
        <w:footnoteReference w:id="10"/>
      </w:r>
      <w:r w:rsidR="00AB4DFE" w:rsidRPr="00E73772">
        <w:rPr>
          <w:rFonts w:cs="Arial"/>
          <w:bCs/>
          <w:szCs w:val="22"/>
        </w:rPr>
        <w:t xml:space="preserve"> and I refer to</w:t>
      </w:r>
      <w:r w:rsidR="002D418D" w:rsidRPr="00E73772">
        <w:rPr>
          <w:rFonts w:cs="Arial"/>
          <w:bCs/>
          <w:szCs w:val="22"/>
        </w:rPr>
        <w:t xml:space="preserve"> only</w:t>
      </w:r>
      <w:r w:rsidR="00AB4DFE" w:rsidRPr="00E73772">
        <w:rPr>
          <w:rFonts w:cs="Arial"/>
          <w:bCs/>
          <w:szCs w:val="22"/>
        </w:rPr>
        <w:t xml:space="preserve"> two judgements that provide guidance:</w:t>
      </w:r>
    </w:p>
    <w:p w14:paraId="662417C1" w14:textId="2968B2D9" w:rsidR="00AB4DFE" w:rsidRPr="00E73772" w:rsidRDefault="00756B17" w:rsidP="00756B17">
      <w:pPr>
        <w:widowControl w:val="0"/>
        <w:tabs>
          <w:tab w:val="left" w:pos="1418"/>
        </w:tabs>
        <w:spacing w:before="480" w:after="480" w:line="480" w:lineRule="auto"/>
        <w:ind w:left="1418" w:hanging="851"/>
        <w:jc w:val="both"/>
        <w:rPr>
          <w:rFonts w:cs="Arial"/>
          <w:szCs w:val="22"/>
          <w:lang w:val="en-GB"/>
        </w:rPr>
      </w:pPr>
      <w:r w:rsidRPr="00E73772">
        <w:rPr>
          <w:rFonts w:cs="Arial"/>
          <w:szCs w:val="22"/>
          <w:lang w:val="en-GB"/>
        </w:rPr>
        <w:t>12.1</w:t>
      </w:r>
      <w:r w:rsidRPr="00E73772">
        <w:rPr>
          <w:rFonts w:cs="Arial"/>
          <w:szCs w:val="22"/>
          <w:lang w:val="en-GB"/>
        </w:rPr>
        <w:tab/>
      </w:r>
      <w:r w:rsidR="00AB4DFE" w:rsidRPr="00E73772">
        <w:rPr>
          <w:rFonts w:cs="Arial"/>
          <w:szCs w:val="22"/>
          <w:lang w:val="en-GB"/>
        </w:rPr>
        <w:t xml:space="preserve">Innes CJ said in </w:t>
      </w:r>
      <w:r w:rsidR="00A06585" w:rsidRPr="00E73772">
        <w:rPr>
          <w:rFonts w:cs="Arial"/>
          <w:i/>
          <w:szCs w:val="22"/>
          <w:lang w:val="en-GB"/>
        </w:rPr>
        <w:t>Glenn Brothers v Commercial General Agency Co Ltd</w:t>
      </w:r>
      <w:r w:rsidR="00AB4DFE" w:rsidRPr="00E73772">
        <w:rPr>
          <w:rFonts w:cs="Arial"/>
          <w:szCs w:val="22"/>
          <w:lang w:val="en-GB"/>
        </w:rPr>
        <w:t>:</w:t>
      </w:r>
      <w:r w:rsidR="00AB4DFE" w:rsidRPr="00E73772">
        <w:rPr>
          <w:rStyle w:val="FootnoteReference"/>
          <w:rFonts w:cs="Arial"/>
          <w:szCs w:val="22"/>
          <w:lang w:val="en-GB"/>
        </w:rPr>
        <w:footnoteReference w:id="11"/>
      </w:r>
    </w:p>
    <w:p w14:paraId="682BABBD" w14:textId="45FFA2E8" w:rsidR="00AB4DFE" w:rsidRPr="00E73772" w:rsidRDefault="0071441C" w:rsidP="00A0115D">
      <w:pPr>
        <w:widowControl w:val="0"/>
        <w:spacing w:before="120" w:after="120" w:line="360" w:lineRule="auto"/>
        <w:ind w:left="720"/>
        <w:jc w:val="both"/>
        <w:rPr>
          <w:rFonts w:cs="Arial"/>
          <w:i/>
          <w:iCs/>
          <w:szCs w:val="22"/>
          <w:lang w:val="en-GB"/>
        </w:rPr>
      </w:pPr>
      <w:r>
        <w:rPr>
          <w:rFonts w:cs="Arial"/>
          <w:i/>
          <w:iCs/>
          <w:szCs w:val="22"/>
          <w:lang w:val="en-GB"/>
        </w:rPr>
        <w:t>“</w:t>
      </w:r>
      <w:r w:rsidR="00AB4DFE" w:rsidRPr="00E73772">
        <w:rPr>
          <w:rFonts w:cs="Arial"/>
          <w:i/>
          <w:iCs/>
          <w:szCs w:val="22"/>
          <w:lang w:val="en-GB"/>
        </w:rPr>
        <w:t xml:space="preserve">I do not think we should gather from the circumstances what the parties meant, </w:t>
      </w:r>
      <w:r w:rsidR="00AB4DFE" w:rsidRPr="00E73772">
        <w:rPr>
          <w:rFonts w:cs="Arial"/>
          <w:i/>
          <w:iCs/>
          <w:szCs w:val="22"/>
          <w:lang w:val="en-GB"/>
        </w:rPr>
        <w:lastRenderedPageBreak/>
        <w:t>or what it is fair and equitable to think they meant, and then see whether we can ingeniously so read the document as to deduce that meaning from its language. The right method is first to have regard to the words of the document, and if they are definite and clear we must give effect to them. In every case where a document has to be construed so as to arrive at the intention of the parties, if a meaning is apparent upon the face of the document, that is the meaning which should be given to it.</w:t>
      </w:r>
      <w:r>
        <w:rPr>
          <w:rFonts w:cs="Arial"/>
          <w:i/>
          <w:iCs/>
          <w:szCs w:val="22"/>
          <w:lang w:val="en-GB"/>
        </w:rPr>
        <w:t>”</w:t>
      </w:r>
    </w:p>
    <w:p w14:paraId="1F2009C3" w14:textId="661AB398" w:rsidR="002D418D"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12.2</w:t>
      </w:r>
      <w:r w:rsidRPr="00E73772">
        <w:rPr>
          <w:rFonts w:cs="Arial"/>
          <w:bCs/>
          <w:szCs w:val="22"/>
        </w:rPr>
        <w:tab/>
      </w:r>
      <w:r w:rsidR="002D418D" w:rsidRPr="00E73772">
        <w:rPr>
          <w:rFonts w:cs="Arial"/>
          <w:bCs/>
          <w:szCs w:val="22"/>
        </w:rPr>
        <w:t xml:space="preserve">A century later Wallis JA said in </w:t>
      </w:r>
      <w:r w:rsidR="00A06585" w:rsidRPr="00E73772">
        <w:rPr>
          <w:rFonts w:cs="Arial"/>
          <w:i/>
          <w:iCs/>
          <w:szCs w:val="22"/>
        </w:rPr>
        <w:t>Natal Joint Municipal Pension Fund v Endumeni Municipality</w:t>
      </w:r>
      <w:r w:rsidR="002D418D" w:rsidRPr="00E73772">
        <w:rPr>
          <w:rFonts w:cs="Arial"/>
          <w:bCs/>
          <w:szCs w:val="22"/>
        </w:rPr>
        <w:t>:</w:t>
      </w:r>
      <w:r w:rsidR="002D418D" w:rsidRPr="00E73772">
        <w:rPr>
          <w:rStyle w:val="FootnoteReference"/>
          <w:rFonts w:cs="Arial"/>
          <w:bCs/>
          <w:szCs w:val="22"/>
        </w:rPr>
        <w:footnoteReference w:id="12"/>
      </w:r>
    </w:p>
    <w:p w14:paraId="5EA5F4AC" w14:textId="0871887F" w:rsidR="00A23E58" w:rsidRPr="00E73772" w:rsidRDefault="0071441C" w:rsidP="00A0115D">
      <w:pPr>
        <w:widowControl w:val="0"/>
        <w:spacing w:before="120" w:after="120" w:line="360" w:lineRule="auto"/>
        <w:ind w:left="720"/>
        <w:jc w:val="both"/>
        <w:rPr>
          <w:rFonts w:cs="Arial"/>
          <w:bCs/>
          <w:i/>
          <w:iCs/>
          <w:szCs w:val="22"/>
        </w:rPr>
      </w:pPr>
      <w:r>
        <w:rPr>
          <w:rFonts w:cs="Arial"/>
          <w:i/>
          <w:iCs/>
          <w:szCs w:val="22"/>
          <w:lang w:val="en-GB"/>
        </w:rPr>
        <w:t>“</w:t>
      </w:r>
      <w:r w:rsidR="002D418D" w:rsidRPr="00E73772">
        <w:rPr>
          <w:rFonts w:cs="Arial"/>
          <w:i/>
          <w:iCs/>
          <w:szCs w:val="22"/>
          <w:lang w:val="en-GB"/>
        </w:rPr>
        <w:t>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r>
        <w:rPr>
          <w:rFonts w:cs="Arial"/>
          <w:i/>
          <w:iCs/>
          <w:szCs w:val="22"/>
          <w:lang w:val="en-GB"/>
        </w:rPr>
        <w:t>”</w:t>
      </w:r>
    </w:p>
    <w:p w14:paraId="1E18468D" w14:textId="77777777" w:rsidR="00172628" w:rsidRPr="00E73772" w:rsidRDefault="00172628" w:rsidP="00172628">
      <w:pPr>
        <w:widowControl w:val="0"/>
        <w:spacing w:before="480" w:after="480" w:line="480" w:lineRule="auto"/>
        <w:jc w:val="both"/>
        <w:rPr>
          <w:rFonts w:cs="Arial"/>
          <w:bCs/>
          <w:szCs w:val="22"/>
          <w:u w:val="single"/>
        </w:rPr>
      </w:pPr>
    </w:p>
    <w:p w14:paraId="007DA005" w14:textId="04BE92F4" w:rsidR="00172628" w:rsidRPr="00E73772" w:rsidRDefault="00172628" w:rsidP="00172628">
      <w:pPr>
        <w:widowControl w:val="0"/>
        <w:spacing w:before="480" w:after="480" w:line="480" w:lineRule="auto"/>
        <w:jc w:val="both"/>
        <w:rPr>
          <w:rFonts w:cs="Arial"/>
          <w:bCs/>
          <w:szCs w:val="22"/>
          <w:u w:val="single"/>
        </w:rPr>
      </w:pPr>
      <w:r w:rsidRPr="00E73772">
        <w:rPr>
          <w:rFonts w:cs="Arial"/>
          <w:bCs/>
          <w:szCs w:val="22"/>
          <w:u w:val="single"/>
        </w:rPr>
        <w:t>IMPORTANT COMMON CAUSE FACTS</w:t>
      </w:r>
    </w:p>
    <w:p w14:paraId="729ADEE7" w14:textId="7F511EE2" w:rsidR="001B3EF2"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[13]</w:t>
      </w:r>
      <w:r w:rsidRPr="00E73772">
        <w:rPr>
          <w:rFonts w:cs="Arial"/>
          <w:bCs/>
          <w:szCs w:val="22"/>
        </w:rPr>
        <w:tab/>
      </w:r>
      <w:r w:rsidR="00DC621D" w:rsidRPr="00E73772">
        <w:rPr>
          <w:rFonts w:cs="Arial"/>
          <w:bCs/>
          <w:szCs w:val="22"/>
        </w:rPr>
        <w:t xml:space="preserve">It is common cause between the parties that the first respondent is not </w:t>
      </w:r>
      <w:r w:rsidR="007C23FF" w:rsidRPr="00E73772">
        <w:rPr>
          <w:rFonts w:cs="Arial"/>
          <w:bCs/>
          <w:szCs w:val="22"/>
        </w:rPr>
        <w:t>licensed</w:t>
      </w:r>
      <w:r w:rsidR="00DC621D" w:rsidRPr="00E73772">
        <w:rPr>
          <w:rFonts w:cs="Arial"/>
          <w:bCs/>
          <w:szCs w:val="22"/>
        </w:rPr>
        <w:t xml:space="preserve"> in terms of section 7(1) of</w:t>
      </w:r>
      <w:r w:rsidR="00A0115D">
        <w:rPr>
          <w:rFonts w:cs="Arial"/>
          <w:bCs/>
          <w:szCs w:val="22"/>
        </w:rPr>
        <w:t xml:space="preserve"> thhe</w:t>
      </w:r>
      <w:r w:rsidR="00DC621D" w:rsidRPr="00E73772">
        <w:rPr>
          <w:rFonts w:cs="Arial"/>
          <w:bCs/>
          <w:szCs w:val="22"/>
        </w:rPr>
        <w:t xml:space="preserve"> FAIS Act</w:t>
      </w:r>
      <w:r w:rsidR="00041975" w:rsidRPr="00E73772">
        <w:rPr>
          <w:rFonts w:cs="Arial"/>
          <w:bCs/>
          <w:szCs w:val="22"/>
        </w:rPr>
        <w:t xml:space="preserve"> and that the €600 000 was paid, albeit that the respondent</w:t>
      </w:r>
      <w:r w:rsidR="00B230F3" w:rsidRPr="00E73772">
        <w:rPr>
          <w:rFonts w:cs="Arial"/>
          <w:bCs/>
          <w:szCs w:val="22"/>
        </w:rPr>
        <w:t>s</w:t>
      </w:r>
      <w:r w:rsidR="00041975" w:rsidRPr="00E73772">
        <w:rPr>
          <w:rFonts w:cs="Arial"/>
          <w:bCs/>
          <w:szCs w:val="22"/>
        </w:rPr>
        <w:t xml:space="preserve"> say that the first respondent did not receive the money as it was paid to AS</w:t>
      </w:r>
      <w:r w:rsidR="0006504D">
        <w:rPr>
          <w:rFonts w:cs="Arial"/>
          <w:bCs/>
          <w:szCs w:val="22"/>
        </w:rPr>
        <w:t>.</w:t>
      </w:r>
    </w:p>
    <w:p w14:paraId="71F4A094" w14:textId="4FD02610" w:rsidR="0004197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[14]</w:t>
      </w:r>
      <w:r w:rsidRPr="00E73772">
        <w:rPr>
          <w:rFonts w:cs="Arial"/>
          <w:bCs/>
          <w:szCs w:val="22"/>
        </w:rPr>
        <w:tab/>
      </w:r>
      <w:r w:rsidR="002120E9" w:rsidRPr="00E73772">
        <w:rPr>
          <w:rFonts w:cs="Arial"/>
          <w:bCs/>
          <w:szCs w:val="22"/>
        </w:rPr>
        <w:t>The first respondent has been doing business for approximately a decade.</w:t>
      </w:r>
    </w:p>
    <w:p w14:paraId="010822BC" w14:textId="77777777" w:rsidR="001B3EF2" w:rsidRPr="00E73772" w:rsidRDefault="001B3EF2" w:rsidP="00172628">
      <w:pPr>
        <w:widowControl w:val="0"/>
        <w:spacing w:before="480" w:after="480" w:line="480" w:lineRule="auto"/>
        <w:jc w:val="both"/>
        <w:rPr>
          <w:rFonts w:cs="Arial"/>
          <w:bCs/>
          <w:szCs w:val="22"/>
          <w:u w:val="single"/>
        </w:rPr>
      </w:pPr>
    </w:p>
    <w:p w14:paraId="37E4420A" w14:textId="3A6648EB" w:rsidR="00D0526F" w:rsidRPr="00E73772" w:rsidRDefault="00D0526F" w:rsidP="00172628">
      <w:pPr>
        <w:widowControl w:val="0"/>
        <w:spacing w:before="480" w:after="480" w:line="480" w:lineRule="auto"/>
        <w:jc w:val="both"/>
        <w:rPr>
          <w:rFonts w:cs="Arial"/>
          <w:bCs/>
          <w:szCs w:val="22"/>
          <w:u w:val="single"/>
        </w:rPr>
      </w:pPr>
      <w:r w:rsidRPr="00E73772">
        <w:rPr>
          <w:rFonts w:cs="Arial"/>
          <w:bCs/>
          <w:szCs w:val="22"/>
          <w:u w:val="single"/>
        </w:rPr>
        <w:t>THE RESPONDENTS’ COUNTER-CLAIM</w:t>
      </w:r>
      <w:r w:rsidR="00675A19" w:rsidRPr="00E73772">
        <w:rPr>
          <w:rFonts w:cs="Arial"/>
          <w:bCs/>
          <w:szCs w:val="22"/>
          <w:u w:val="single"/>
        </w:rPr>
        <w:t xml:space="preserve"> FOR RECTIFICATION</w:t>
      </w:r>
    </w:p>
    <w:p w14:paraId="40AA7C56" w14:textId="7E2E4313" w:rsidR="00172628"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[15]</w:t>
      </w:r>
      <w:r w:rsidRPr="00E73772">
        <w:rPr>
          <w:rFonts w:cs="Arial"/>
          <w:bCs/>
          <w:szCs w:val="22"/>
        </w:rPr>
        <w:tab/>
      </w:r>
      <w:r w:rsidR="00172628" w:rsidRPr="00E73772">
        <w:rPr>
          <w:rFonts w:cs="Arial"/>
          <w:bCs/>
          <w:szCs w:val="22"/>
        </w:rPr>
        <w:t xml:space="preserve">In paragraph 1 of the notice of counter - application the respondents seek an order that the </w:t>
      </w:r>
      <w:r w:rsidR="00A56531" w:rsidRPr="00E73772">
        <w:rPr>
          <w:rFonts w:cs="Arial"/>
          <w:bCs/>
          <w:szCs w:val="22"/>
        </w:rPr>
        <w:t>agreement</w:t>
      </w:r>
      <w:r w:rsidR="00172628" w:rsidRPr="00E73772">
        <w:rPr>
          <w:rFonts w:cs="Arial"/>
          <w:bCs/>
          <w:szCs w:val="22"/>
        </w:rPr>
        <w:t xml:space="preserve"> be </w:t>
      </w:r>
      <w:r w:rsidR="00172628" w:rsidRPr="00E73772">
        <w:rPr>
          <w:rFonts w:cs="Arial"/>
          <w:bCs/>
          <w:i/>
          <w:szCs w:val="22"/>
        </w:rPr>
        <w:t>“amended”</w:t>
      </w:r>
      <w:r w:rsidR="00172628" w:rsidRPr="00E73772">
        <w:rPr>
          <w:rFonts w:cs="Arial"/>
          <w:bCs/>
          <w:szCs w:val="22"/>
        </w:rPr>
        <w:t xml:space="preserve"> but it is common cause between the parties that what is intended is a rectification and not an amendment of the agreement.</w:t>
      </w:r>
    </w:p>
    <w:p w14:paraId="45304179" w14:textId="0D57D90B" w:rsidR="00172628"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[16]</w:t>
      </w:r>
      <w:r w:rsidRPr="00E73772">
        <w:rPr>
          <w:rFonts w:cs="Arial"/>
          <w:bCs/>
          <w:szCs w:val="22"/>
        </w:rPr>
        <w:tab/>
      </w:r>
      <w:r w:rsidR="00D9086C" w:rsidRPr="00E73772">
        <w:rPr>
          <w:rFonts w:cs="Arial"/>
          <w:bCs/>
          <w:szCs w:val="22"/>
        </w:rPr>
        <w:t xml:space="preserve">The respondents </w:t>
      </w:r>
      <w:r w:rsidR="00675A19" w:rsidRPr="00E73772">
        <w:rPr>
          <w:rFonts w:cs="Arial"/>
          <w:bCs/>
          <w:szCs w:val="22"/>
        </w:rPr>
        <w:t xml:space="preserve">seek an order </w:t>
      </w:r>
      <w:r w:rsidR="009A3205" w:rsidRPr="00E73772">
        <w:rPr>
          <w:rFonts w:cs="Arial"/>
          <w:bCs/>
          <w:szCs w:val="22"/>
        </w:rPr>
        <w:t>in the following terms</w:t>
      </w:r>
      <w:r w:rsidR="00675A19" w:rsidRPr="00E73772">
        <w:rPr>
          <w:rFonts w:cs="Arial"/>
          <w:bCs/>
          <w:szCs w:val="22"/>
        </w:rPr>
        <w:t xml:space="preserve"> -</w:t>
      </w:r>
    </w:p>
    <w:p w14:paraId="7EE52EEB" w14:textId="33D1A947" w:rsidR="00172628"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16.1</w:t>
      </w:r>
      <w:r w:rsidRPr="00E73772">
        <w:rPr>
          <w:rFonts w:cs="Arial"/>
          <w:bCs/>
          <w:szCs w:val="22"/>
        </w:rPr>
        <w:tab/>
      </w:r>
      <w:r w:rsidR="00D9086C" w:rsidRPr="00E73772">
        <w:rPr>
          <w:rFonts w:cs="Arial"/>
          <w:bCs/>
          <w:szCs w:val="22"/>
        </w:rPr>
        <w:t xml:space="preserve">the insertion of the words </w:t>
      </w:r>
      <w:r w:rsidR="00D9086C" w:rsidRPr="00E73772">
        <w:rPr>
          <w:rFonts w:cs="Arial"/>
          <w:bCs/>
          <w:i/>
          <w:szCs w:val="22"/>
        </w:rPr>
        <w:t>“as agent of AS Private Equity Limited”</w:t>
      </w:r>
      <w:r w:rsidR="00D9086C" w:rsidRPr="00E73772">
        <w:rPr>
          <w:rFonts w:cs="Arial"/>
          <w:bCs/>
          <w:szCs w:val="22"/>
        </w:rPr>
        <w:t xml:space="preserve"> following the words </w:t>
      </w:r>
      <w:r w:rsidR="00D9086C" w:rsidRPr="00E73772">
        <w:rPr>
          <w:rFonts w:cs="Arial"/>
          <w:bCs/>
          <w:i/>
          <w:szCs w:val="22"/>
        </w:rPr>
        <w:t>“Stone-Bird Investments (Pty) Ltd”</w:t>
      </w:r>
      <w:r w:rsidR="00D9086C" w:rsidRPr="00E73772">
        <w:rPr>
          <w:rFonts w:cs="Arial"/>
          <w:bCs/>
          <w:szCs w:val="22"/>
        </w:rPr>
        <w:t xml:space="preserve"> whenever such words appear in the agreement, </w:t>
      </w:r>
      <w:r w:rsidR="00041975" w:rsidRPr="00E73772">
        <w:rPr>
          <w:rFonts w:cs="Arial"/>
          <w:bCs/>
          <w:szCs w:val="22"/>
        </w:rPr>
        <w:t xml:space="preserve">and </w:t>
      </w:r>
    </w:p>
    <w:p w14:paraId="6C5FBCBD" w14:textId="20C15474" w:rsidR="00041975"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16.2</w:t>
      </w:r>
      <w:r w:rsidRPr="00E73772">
        <w:rPr>
          <w:rFonts w:cs="Arial"/>
          <w:bCs/>
          <w:szCs w:val="22"/>
        </w:rPr>
        <w:tab/>
      </w:r>
      <w:r w:rsidR="00D9086C" w:rsidRPr="00E73772">
        <w:rPr>
          <w:rFonts w:cs="Arial"/>
          <w:bCs/>
          <w:szCs w:val="22"/>
        </w:rPr>
        <w:t xml:space="preserve">by the deletion of the words </w:t>
      </w:r>
      <w:r w:rsidR="00D9086C" w:rsidRPr="00E73772">
        <w:rPr>
          <w:rFonts w:cs="Arial"/>
          <w:bCs/>
          <w:i/>
          <w:szCs w:val="22"/>
        </w:rPr>
        <w:t>“as Asset Manager”</w:t>
      </w:r>
      <w:r w:rsidR="00D9086C" w:rsidRPr="00E73772">
        <w:rPr>
          <w:rFonts w:cs="Arial"/>
          <w:bCs/>
          <w:szCs w:val="22"/>
        </w:rPr>
        <w:t xml:space="preserve"> following the words </w:t>
      </w:r>
      <w:r w:rsidR="00D9086C" w:rsidRPr="00E73772">
        <w:rPr>
          <w:rFonts w:cs="Arial"/>
          <w:bCs/>
          <w:i/>
          <w:szCs w:val="22"/>
        </w:rPr>
        <w:t>“Richard Kennedy”</w:t>
      </w:r>
      <w:r w:rsidR="00D9086C" w:rsidRPr="00E73772">
        <w:rPr>
          <w:rFonts w:cs="Arial"/>
          <w:bCs/>
          <w:szCs w:val="22"/>
        </w:rPr>
        <w:t xml:space="preserve"> wherever such words appear in the agreement. </w:t>
      </w:r>
    </w:p>
    <w:p w14:paraId="77941A45" w14:textId="48C74C27" w:rsidR="00DC621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[17]</w:t>
      </w:r>
      <w:r w:rsidRPr="00E73772">
        <w:rPr>
          <w:rFonts w:cs="Arial"/>
          <w:bCs/>
          <w:szCs w:val="22"/>
        </w:rPr>
        <w:tab/>
      </w:r>
      <w:r w:rsidR="00172628" w:rsidRPr="00E73772">
        <w:rPr>
          <w:rFonts w:cs="Arial"/>
          <w:bCs/>
          <w:szCs w:val="22"/>
        </w:rPr>
        <w:t xml:space="preserve">The net effect of the rectification sought is that the first respondent will be identified </w:t>
      </w:r>
      <w:r w:rsidR="00172628" w:rsidRPr="00E73772">
        <w:rPr>
          <w:rFonts w:cs="Arial"/>
          <w:bCs/>
          <w:szCs w:val="22"/>
        </w:rPr>
        <w:lastRenderedPageBreak/>
        <w:t>as the agent of a third party, AS</w:t>
      </w:r>
      <w:r w:rsidR="0071441C">
        <w:rPr>
          <w:rFonts w:cs="Arial"/>
          <w:bCs/>
          <w:szCs w:val="22"/>
        </w:rPr>
        <w:t>,</w:t>
      </w:r>
      <w:r w:rsidR="0006504D">
        <w:rPr>
          <w:rFonts w:cs="Arial"/>
          <w:bCs/>
          <w:szCs w:val="22"/>
        </w:rPr>
        <w:t xml:space="preserve"> </w:t>
      </w:r>
      <w:r w:rsidR="00172628" w:rsidRPr="00E73772">
        <w:rPr>
          <w:rFonts w:cs="Arial"/>
          <w:bCs/>
          <w:szCs w:val="22"/>
        </w:rPr>
        <w:t xml:space="preserve"> and the third respondent will no longer be identified as </w:t>
      </w:r>
      <w:r w:rsidR="0071441C">
        <w:rPr>
          <w:rFonts w:cs="Arial"/>
          <w:bCs/>
          <w:szCs w:val="22"/>
        </w:rPr>
        <w:t>an</w:t>
      </w:r>
      <w:r w:rsidR="00172628" w:rsidRPr="00E73772">
        <w:rPr>
          <w:rFonts w:cs="Arial"/>
          <w:bCs/>
          <w:szCs w:val="22"/>
        </w:rPr>
        <w:t xml:space="preserve"> “Asset Manager” but only as the </w:t>
      </w:r>
      <w:r w:rsidR="00EE4B1C" w:rsidRPr="00E73772">
        <w:rPr>
          <w:rFonts w:cs="Arial"/>
          <w:bCs/>
          <w:szCs w:val="22"/>
        </w:rPr>
        <w:t>first respondent’s authorised signatory</w:t>
      </w:r>
      <w:r w:rsidR="001B3EF2" w:rsidRPr="00E73772">
        <w:rPr>
          <w:rFonts w:cs="Arial"/>
          <w:bCs/>
          <w:szCs w:val="22"/>
        </w:rPr>
        <w:t>.</w:t>
      </w:r>
    </w:p>
    <w:p w14:paraId="342B2B0B" w14:textId="6960FC98" w:rsidR="0064589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[18]</w:t>
      </w:r>
      <w:r w:rsidRPr="00E73772">
        <w:rPr>
          <w:rFonts w:cs="Arial"/>
          <w:bCs/>
          <w:szCs w:val="22"/>
        </w:rPr>
        <w:tab/>
      </w:r>
      <w:r w:rsidR="0064589D" w:rsidRPr="00E73772">
        <w:rPr>
          <w:rFonts w:cs="Arial"/>
          <w:bCs/>
          <w:szCs w:val="22"/>
        </w:rPr>
        <w:t>In</w:t>
      </w:r>
      <w:r w:rsidR="0064589D" w:rsidRPr="00E73772">
        <w:rPr>
          <w:rFonts w:cs="Arial"/>
          <w:bCs/>
          <w:i/>
          <w:iCs/>
          <w:szCs w:val="22"/>
        </w:rPr>
        <w:t xml:space="preserve"> </w:t>
      </w:r>
      <w:r w:rsidR="00E51E25" w:rsidRPr="00E73772">
        <w:rPr>
          <w:rFonts w:cs="Arial"/>
          <w:i/>
          <w:iCs/>
          <w:szCs w:val="22"/>
        </w:rPr>
        <w:t>Milner Street Properties (Pty) Ltd v Eckstein Properties (Pty) Ltd</w:t>
      </w:r>
      <w:r w:rsidR="0064589D" w:rsidRPr="00E73772">
        <w:rPr>
          <w:rFonts w:cs="Arial"/>
          <w:bCs/>
          <w:i/>
          <w:iCs/>
          <w:szCs w:val="22"/>
        </w:rPr>
        <w:t>,</w:t>
      </w:r>
      <w:r w:rsidR="0064589D" w:rsidRPr="00E73772">
        <w:rPr>
          <w:rStyle w:val="FootnoteReference"/>
          <w:rFonts w:cs="Arial"/>
          <w:bCs/>
          <w:i/>
          <w:iCs/>
          <w:szCs w:val="22"/>
        </w:rPr>
        <w:footnoteReference w:id="13"/>
      </w:r>
      <w:r w:rsidR="0064589D" w:rsidRPr="00E73772">
        <w:rPr>
          <w:rFonts w:cs="Arial"/>
          <w:bCs/>
          <w:szCs w:val="22"/>
        </w:rPr>
        <w:t xml:space="preserve">  Nienaber JA describe</w:t>
      </w:r>
      <w:r w:rsidR="0071441C">
        <w:rPr>
          <w:rFonts w:cs="Arial"/>
          <w:bCs/>
          <w:szCs w:val="22"/>
        </w:rPr>
        <w:t>d</w:t>
      </w:r>
      <w:r w:rsidR="0064589D" w:rsidRPr="00E73772">
        <w:rPr>
          <w:rFonts w:cs="Arial"/>
          <w:bCs/>
          <w:szCs w:val="22"/>
        </w:rPr>
        <w:t xml:space="preserve"> </w:t>
      </w:r>
      <w:r w:rsidR="009A3205" w:rsidRPr="00E73772">
        <w:rPr>
          <w:rFonts w:cs="Arial"/>
          <w:bCs/>
          <w:szCs w:val="22"/>
        </w:rPr>
        <w:t>rectification</w:t>
      </w:r>
      <w:r w:rsidR="0064589D" w:rsidRPr="00E73772">
        <w:rPr>
          <w:rFonts w:cs="Arial"/>
          <w:bCs/>
          <w:szCs w:val="22"/>
        </w:rPr>
        <w:t xml:space="preserve"> as follows:</w:t>
      </w:r>
    </w:p>
    <w:p w14:paraId="1EBEAC00" w14:textId="46D313DB" w:rsidR="0064589D" w:rsidRPr="00E73772" w:rsidRDefault="0071441C" w:rsidP="0071441C">
      <w:pPr>
        <w:spacing w:before="120" w:after="120" w:line="360" w:lineRule="auto"/>
        <w:ind w:left="1440"/>
        <w:jc w:val="both"/>
        <w:rPr>
          <w:rFonts w:cs="Arial"/>
          <w:i/>
          <w:iCs/>
          <w:szCs w:val="22"/>
        </w:rPr>
      </w:pPr>
      <w:r>
        <w:rPr>
          <w:rFonts w:cs="Arial"/>
          <w:i/>
          <w:iCs/>
          <w:szCs w:val="22"/>
        </w:rPr>
        <w:t>“</w:t>
      </w:r>
      <w:r w:rsidR="0064589D" w:rsidRPr="00E73772">
        <w:rPr>
          <w:rFonts w:cs="Arial"/>
          <w:i/>
          <w:iCs/>
          <w:szCs w:val="22"/>
        </w:rPr>
        <w:t>Rectification does not alter the terms of the agreement; it perfects the written memorial so as to accord with what the parties actually had in mind.</w:t>
      </w:r>
      <w:r>
        <w:rPr>
          <w:rFonts w:cs="Arial"/>
          <w:i/>
          <w:iCs/>
          <w:szCs w:val="22"/>
        </w:rPr>
        <w:t>”</w:t>
      </w:r>
    </w:p>
    <w:p w14:paraId="68D0BB61" w14:textId="310008DE" w:rsidR="00E21E66"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[19]</w:t>
      </w:r>
      <w:r w:rsidRPr="00E73772">
        <w:rPr>
          <w:rFonts w:cs="Arial"/>
          <w:bCs/>
          <w:szCs w:val="22"/>
        </w:rPr>
        <w:tab/>
      </w:r>
      <w:r w:rsidR="00E21E66" w:rsidRPr="00E73772">
        <w:rPr>
          <w:rFonts w:cs="Arial"/>
          <w:bCs/>
          <w:szCs w:val="22"/>
        </w:rPr>
        <w:t xml:space="preserve">In </w:t>
      </w:r>
      <w:r w:rsidR="009C1188" w:rsidRPr="00E73772">
        <w:rPr>
          <w:rFonts w:cs="Arial"/>
          <w:i/>
          <w:iCs/>
          <w:szCs w:val="22"/>
        </w:rPr>
        <w:t>Spiller and Others v Lawrence</w:t>
      </w:r>
      <w:r w:rsidR="00E21E66" w:rsidRPr="00E73772">
        <w:rPr>
          <w:rFonts w:cs="Arial"/>
          <w:bCs/>
          <w:szCs w:val="22"/>
        </w:rPr>
        <w:t>,</w:t>
      </w:r>
      <w:r w:rsidR="00142746" w:rsidRPr="00E73772">
        <w:rPr>
          <w:rStyle w:val="FootnoteReference"/>
          <w:rFonts w:cs="Arial"/>
          <w:bCs/>
          <w:szCs w:val="22"/>
        </w:rPr>
        <w:footnoteReference w:id="14"/>
      </w:r>
      <w:r w:rsidR="00E21E66" w:rsidRPr="00E73772">
        <w:rPr>
          <w:rFonts w:cs="Arial"/>
          <w:bCs/>
          <w:szCs w:val="22"/>
        </w:rPr>
        <w:t xml:space="preserve"> </w:t>
      </w:r>
      <w:r w:rsidR="00142746" w:rsidRPr="00E73772">
        <w:rPr>
          <w:rFonts w:cs="Arial"/>
          <w:bCs/>
          <w:szCs w:val="22"/>
        </w:rPr>
        <w:t>Didcott J said:</w:t>
      </w:r>
    </w:p>
    <w:p w14:paraId="6FF03733" w14:textId="38D48694" w:rsidR="00142746" w:rsidRPr="00E73772" w:rsidRDefault="0071441C" w:rsidP="0071441C">
      <w:pPr>
        <w:spacing w:before="120" w:after="120" w:line="360" w:lineRule="auto"/>
        <w:ind w:left="1418"/>
        <w:jc w:val="both"/>
        <w:rPr>
          <w:rFonts w:cs="Arial"/>
          <w:szCs w:val="22"/>
        </w:rPr>
      </w:pPr>
      <w:r>
        <w:rPr>
          <w:rFonts w:cs="Arial"/>
          <w:i/>
          <w:iCs/>
          <w:szCs w:val="22"/>
        </w:rPr>
        <w:t>“</w:t>
      </w:r>
      <w:r w:rsidR="00142746" w:rsidRPr="00E73772">
        <w:rPr>
          <w:rFonts w:cs="Arial"/>
          <w:i/>
          <w:iCs/>
          <w:szCs w:val="22"/>
        </w:rPr>
        <w:t>When a written contract does not reflect the true intention of the parties to it, but has been executed by them in the mistaken belief that it does, it may be rectified judicially so that the terms which it was always meant to contain are attributed in fact to it. That, as a general principle, is well recognised by both South African and English law. Each system, while ordinarily forbidding parol evidence in conflict with what appears from the written contract to have been intended by it, allows such evidence for the special purposes of the contract's rectification.</w:t>
      </w:r>
      <w:r>
        <w:rPr>
          <w:rFonts w:cs="Arial"/>
          <w:i/>
          <w:iCs/>
          <w:szCs w:val="22"/>
        </w:rPr>
        <w:t>” </w:t>
      </w:r>
      <w:r w:rsidR="0033385A" w:rsidRPr="00E73772">
        <w:rPr>
          <w:rStyle w:val="FootnoteReference"/>
          <w:rFonts w:cs="Arial"/>
          <w:i/>
          <w:iCs/>
          <w:szCs w:val="22"/>
        </w:rPr>
        <w:footnoteReference w:id="15"/>
      </w:r>
    </w:p>
    <w:p w14:paraId="66280DC5" w14:textId="62B7673A" w:rsidR="001F1C0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[20]</w:t>
      </w:r>
      <w:r w:rsidRPr="00E73772">
        <w:rPr>
          <w:rFonts w:cs="Arial"/>
          <w:bCs/>
          <w:szCs w:val="22"/>
        </w:rPr>
        <w:tab/>
      </w:r>
      <w:r w:rsidR="001F1C0B" w:rsidRPr="00E73772">
        <w:rPr>
          <w:rFonts w:cs="Arial"/>
          <w:bCs/>
          <w:szCs w:val="22"/>
        </w:rPr>
        <w:t xml:space="preserve">In a ‘typical’ rectification matter, a deed of sale provides for the sale of </w:t>
      </w:r>
      <w:r w:rsidR="001F1C0B" w:rsidRPr="00E73772">
        <w:rPr>
          <w:rFonts w:cs="Arial"/>
          <w:bCs/>
          <w:i/>
          <w:iCs/>
          <w:szCs w:val="22"/>
        </w:rPr>
        <w:t>‘Portion 4 of the Farm Driepoort’</w:t>
      </w:r>
      <w:r w:rsidR="001F1C0B" w:rsidRPr="00E73772">
        <w:rPr>
          <w:rFonts w:cs="Arial"/>
          <w:bCs/>
          <w:szCs w:val="22"/>
        </w:rPr>
        <w:t xml:space="preserve"> but it is common cause that there is no Portion 4, that the seller is the owner of Portion 3, and all the evidence points to the fact that subject of the sale was Portion 3.</w:t>
      </w:r>
      <w:r w:rsidR="00B52E9E" w:rsidRPr="00E73772">
        <w:rPr>
          <w:rStyle w:val="FootnoteReference"/>
          <w:rFonts w:cs="Arial"/>
          <w:bCs/>
          <w:szCs w:val="22"/>
        </w:rPr>
        <w:footnoteReference w:id="16"/>
      </w:r>
      <w:r w:rsidR="001F1C0B" w:rsidRPr="00E73772">
        <w:rPr>
          <w:rFonts w:cs="Arial"/>
          <w:bCs/>
          <w:szCs w:val="22"/>
        </w:rPr>
        <w:t xml:space="preserve"> Looking at the deed in isolation, it would appear to be a nullity</w:t>
      </w:r>
      <w:r w:rsidR="00E51E25" w:rsidRPr="00E73772">
        <w:rPr>
          <w:rFonts w:cs="Arial"/>
          <w:bCs/>
          <w:szCs w:val="22"/>
        </w:rPr>
        <w:t xml:space="preserve"> as the property </w:t>
      </w:r>
      <w:r w:rsidR="00E51E25" w:rsidRPr="00E73772">
        <w:rPr>
          <w:rFonts w:cs="Arial"/>
          <w:bCs/>
          <w:szCs w:val="22"/>
        </w:rPr>
        <w:lastRenderedPageBreak/>
        <w:t>being sold does not exist,</w:t>
      </w:r>
      <w:r w:rsidR="001F1C0B" w:rsidRPr="00E73772">
        <w:rPr>
          <w:rFonts w:cs="Arial"/>
          <w:bCs/>
          <w:szCs w:val="22"/>
        </w:rPr>
        <w:t xml:space="preserve"> but or as Didcott J so eloquently put it,</w:t>
      </w:r>
      <w:r w:rsidR="001F1C0B" w:rsidRPr="00E73772">
        <w:rPr>
          <w:rStyle w:val="FootnoteReference"/>
          <w:rFonts w:cs="Arial"/>
          <w:bCs/>
          <w:szCs w:val="22"/>
        </w:rPr>
        <w:footnoteReference w:id="17"/>
      </w:r>
    </w:p>
    <w:p w14:paraId="29A53DA5" w14:textId="04599621" w:rsidR="001F1C0B" w:rsidRPr="00E73772" w:rsidRDefault="0071441C" w:rsidP="0071441C">
      <w:pPr>
        <w:widowControl w:val="0"/>
        <w:spacing w:before="120" w:after="120" w:line="360" w:lineRule="auto"/>
        <w:ind w:left="1440"/>
        <w:rPr>
          <w:rFonts w:cs="Arial"/>
          <w:i/>
          <w:iCs/>
          <w:szCs w:val="22"/>
        </w:rPr>
      </w:pPr>
      <w:r>
        <w:rPr>
          <w:rFonts w:cs="Arial"/>
          <w:i/>
          <w:iCs/>
          <w:szCs w:val="22"/>
        </w:rPr>
        <w:t>“</w:t>
      </w:r>
      <w:r w:rsidR="001F1C0B" w:rsidRPr="00E73772">
        <w:rPr>
          <w:rFonts w:cs="Arial"/>
          <w:i/>
          <w:iCs/>
          <w:szCs w:val="22"/>
        </w:rPr>
        <w:t>nullity is an illusion produced by a  document testifying falsely to what was agreed.</w:t>
      </w:r>
      <w:r>
        <w:rPr>
          <w:rFonts w:cs="Arial"/>
          <w:i/>
          <w:iCs/>
          <w:szCs w:val="22"/>
        </w:rPr>
        <w:t>”</w:t>
      </w:r>
    </w:p>
    <w:p w14:paraId="0DE48901" w14:textId="689978AD" w:rsidR="009A320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[21]</w:t>
      </w:r>
      <w:r w:rsidRPr="00E73772">
        <w:rPr>
          <w:rFonts w:cs="Arial"/>
          <w:bCs/>
          <w:szCs w:val="22"/>
        </w:rPr>
        <w:tab/>
      </w:r>
      <w:r w:rsidR="009A3205" w:rsidRPr="00E73772">
        <w:rPr>
          <w:rFonts w:cs="Arial"/>
          <w:bCs/>
          <w:szCs w:val="22"/>
        </w:rPr>
        <w:t xml:space="preserve">The contract may then be rectified so that it reflects a valid agreement according to the </w:t>
      </w:r>
      <w:r w:rsidR="00590BEE">
        <w:rPr>
          <w:rFonts w:cs="Arial"/>
          <w:bCs/>
          <w:szCs w:val="22"/>
        </w:rPr>
        <w:t>intention</w:t>
      </w:r>
      <w:r w:rsidR="009A3205" w:rsidRPr="00E73772">
        <w:rPr>
          <w:rFonts w:cs="Arial"/>
          <w:bCs/>
          <w:szCs w:val="22"/>
        </w:rPr>
        <w:t xml:space="preserve"> of the parties at the time of contracting.</w:t>
      </w:r>
    </w:p>
    <w:p w14:paraId="1DAC84DE" w14:textId="3A51A0FA" w:rsidR="009A320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[22]</w:t>
      </w:r>
      <w:r w:rsidRPr="00E73772">
        <w:rPr>
          <w:rFonts w:cs="Arial"/>
          <w:bCs/>
          <w:szCs w:val="22"/>
        </w:rPr>
        <w:tab/>
      </w:r>
      <w:r w:rsidR="009A3205" w:rsidRPr="00E73772">
        <w:rPr>
          <w:rFonts w:cs="Arial"/>
          <w:bCs/>
          <w:szCs w:val="22"/>
        </w:rPr>
        <w:t xml:space="preserve">In the present matter the rectified agreement will not reflect a valid transaction. If AS were to be substituted as principal with the first respondent as agent, the agreement will still fall foul of section 7 of FAIS. AS is not licenced and the first respondent will </w:t>
      </w:r>
      <w:r w:rsidR="00884467" w:rsidRPr="00E73772">
        <w:rPr>
          <w:rFonts w:cs="Arial"/>
          <w:bCs/>
          <w:szCs w:val="22"/>
        </w:rPr>
        <w:t xml:space="preserve">also </w:t>
      </w:r>
      <w:r w:rsidR="009A3205" w:rsidRPr="00E73772">
        <w:rPr>
          <w:rFonts w:cs="Arial"/>
          <w:bCs/>
          <w:szCs w:val="22"/>
        </w:rPr>
        <w:t xml:space="preserve">not be a representative of an authorised financial services provider under section 13 of the FAIS Act. In </w:t>
      </w:r>
      <w:r w:rsidR="009A3205" w:rsidRPr="00E73772">
        <w:rPr>
          <w:rFonts w:cs="Arial"/>
          <w:i/>
          <w:iCs/>
          <w:szCs w:val="22"/>
        </w:rPr>
        <w:t>Spiller</w:t>
      </w:r>
      <w:r w:rsidR="009A3205" w:rsidRPr="00E73772">
        <w:rPr>
          <w:rFonts w:cs="Arial"/>
          <w:bCs/>
          <w:szCs w:val="22"/>
        </w:rPr>
        <w:t>,</w:t>
      </w:r>
      <w:r w:rsidR="009A3205" w:rsidRPr="00E73772">
        <w:rPr>
          <w:rStyle w:val="FootnoteReference"/>
          <w:rFonts w:cs="Arial"/>
          <w:bCs/>
          <w:szCs w:val="22"/>
        </w:rPr>
        <w:footnoteReference w:id="18"/>
      </w:r>
      <w:r w:rsidR="009A3205" w:rsidRPr="00E73772">
        <w:rPr>
          <w:rFonts w:cs="Arial"/>
          <w:bCs/>
          <w:szCs w:val="22"/>
        </w:rPr>
        <w:t xml:space="preserve"> Didcott J said:</w:t>
      </w:r>
    </w:p>
    <w:p w14:paraId="7E7209F1" w14:textId="21812A77" w:rsidR="009A3205" w:rsidRPr="00E73772" w:rsidRDefault="00590BEE" w:rsidP="00A0115D">
      <w:pPr>
        <w:spacing w:before="120" w:after="120" w:line="360" w:lineRule="auto"/>
        <w:ind w:left="1440"/>
        <w:jc w:val="both"/>
        <w:rPr>
          <w:rFonts w:cs="Arial"/>
          <w:i/>
          <w:iCs/>
          <w:szCs w:val="22"/>
        </w:rPr>
      </w:pPr>
      <w:r>
        <w:rPr>
          <w:rFonts w:cs="Arial"/>
          <w:i/>
          <w:iCs/>
          <w:szCs w:val="22"/>
        </w:rPr>
        <w:t>“</w:t>
      </w:r>
      <w:r w:rsidR="009A3205" w:rsidRPr="00E73772">
        <w:rPr>
          <w:rFonts w:cs="Arial"/>
          <w:i/>
          <w:iCs/>
          <w:szCs w:val="22"/>
        </w:rPr>
        <w:t>… it was conceded on the defendant's behalf that, if the corrections now sought to the written contract had been made before it was signed, the transaction thereby reflected would have been valid. The defendant accepts, in other words, that rectification in accordance with the claim, if competent, would purge the written contract of all traces of nullity. This is important because one supposes that rectification is futile, and for that reason alone will not be granted, in order to produce a corrected document that continues to record a void transaction.</w:t>
      </w:r>
      <w:r>
        <w:rPr>
          <w:rFonts w:cs="Arial"/>
          <w:i/>
          <w:iCs/>
          <w:szCs w:val="22"/>
        </w:rPr>
        <w:t>”</w:t>
      </w:r>
    </w:p>
    <w:p w14:paraId="67847389" w14:textId="56E21522" w:rsidR="009C1188"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[23]</w:t>
      </w:r>
      <w:r w:rsidRPr="00E73772">
        <w:rPr>
          <w:rFonts w:cs="Arial"/>
          <w:bCs/>
          <w:szCs w:val="22"/>
        </w:rPr>
        <w:tab/>
      </w:r>
      <w:r w:rsidR="00884467" w:rsidRPr="00E73772">
        <w:rPr>
          <w:rFonts w:cs="Arial"/>
          <w:bCs/>
          <w:szCs w:val="22"/>
        </w:rPr>
        <w:t xml:space="preserve">The claim for rectification must therefore fail. </w:t>
      </w:r>
    </w:p>
    <w:p w14:paraId="55D42BC0" w14:textId="042D3F4D" w:rsidR="00F07D68"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[24]</w:t>
      </w:r>
      <w:r w:rsidRPr="00E73772">
        <w:rPr>
          <w:rFonts w:cs="Arial"/>
          <w:bCs/>
          <w:szCs w:val="22"/>
        </w:rPr>
        <w:tab/>
      </w:r>
      <w:r w:rsidR="00884467" w:rsidRPr="00E73772">
        <w:rPr>
          <w:rFonts w:cs="Arial"/>
          <w:bCs/>
          <w:szCs w:val="22"/>
        </w:rPr>
        <w:t>It must also fail because t</w:t>
      </w:r>
      <w:r w:rsidR="001B3EF2" w:rsidRPr="00E73772">
        <w:rPr>
          <w:rFonts w:cs="Arial"/>
          <w:bCs/>
          <w:szCs w:val="22"/>
        </w:rPr>
        <w:t xml:space="preserve">he evidence does not support the counter-claim for rectification. </w:t>
      </w:r>
    </w:p>
    <w:p w14:paraId="1BB7A007" w14:textId="698A92C3" w:rsidR="0088446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24.1</w:t>
      </w:r>
      <w:r w:rsidRPr="00E73772">
        <w:rPr>
          <w:rFonts w:cs="Arial"/>
          <w:bCs/>
          <w:szCs w:val="22"/>
        </w:rPr>
        <w:tab/>
      </w:r>
      <w:r w:rsidR="00884467" w:rsidRPr="00E73772">
        <w:rPr>
          <w:rFonts w:cs="Arial"/>
          <w:bCs/>
          <w:szCs w:val="22"/>
        </w:rPr>
        <w:t>The first respondent as counter - applicant chose to proceed by way of application.</w:t>
      </w:r>
    </w:p>
    <w:p w14:paraId="5AA2AD00" w14:textId="7DC429F5" w:rsidR="00F07D68"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24.2</w:t>
      </w:r>
      <w:r w:rsidRPr="00E73772">
        <w:rPr>
          <w:rFonts w:cs="Arial"/>
          <w:bCs/>
          <w:szCs w:val="22"/>
        </w:rPr>
        <w:tab/>
      </w:r>
      <w:r w:rsidR="00F07D68" w:rsidRPr="00E73772">
        <w:rPr>
          <w:rFonts w:cs="Arial"/>
          <w:bCs/>
          <w:szCs w:val="22"/>
        </w:rPr>
        <w:t xml:space="preserve">The parties intended to enter into a written contract and they contracted on the basis as set out in the document signed by them. </w:t>
      </w:r>
    </w:p>
    <w:p w14:paraId="79BC626F" w14:textId="5C1070CC" w:rsidR="00543A74"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24.3</w:t>
      </w:r>
      <w:r w:rsidRPr="00E73772">
        <w:rPr>
          <w:rFonts w:cs="Arial"/>
          <w:bCs/>
          <w:szCs w:val="22"/>
        </w:rPr>
        <w:tab/>
      </w:r>
      <w:r w:rsidR="001B3EF2" w:rsidRPr="00E73772">
        <w:rPr>
          <w:rFonts w:cs="Arial"/>
          <w:bCs/>
          <w:szCs w:val="22"/>
        </w:rPr>
        <w:t xml:space="preserve">It was not the common intention of the parties that the first respondent enter into this agreement as the agent of AS. There was no mutual, </w:t>
      </w:r>
      <w:r w:rsidR="001B3EF2" w:rsidRPr="00E73772">
        <w:rPr>
          <w:rFonts w:cs="Arial"/>
          <w:bCs/>
          <w:i/>
          <w:iCs/>
          <w:szCs w:val="22"/>
        </w:rPr>
        <w:t>bona fide</w:t>
      </w:r>
      <w:r w:rsidR="001B3EF2" w:rsidRPr="00E73772">
        <w:rPr>
          <w:rFonts w:cs="Arial"/>
          <w:bCs/>
          <w:szCs w:val="22"/>
        </w:rPr>
        <w:t xml:space="preserve"> ‘mistake’</w:t>
      </w:r>
      <w:r w:rsidR="00DF71D5" w:rsidRPr="00E73772">
        <w:rPr>
          <w:rFonts w:cs="Arial"/>
          <w:bCs/>
          <w:szCs w:val="22"/>
        </w:rPr>
        <w:t xml:space="preserve"> and the applicant never contracted or intended to contract with AS. The reference to the first respondent is not a mere misnomer or misdescription. </w:t>
      </w:r>
      <w:r w:rsidR="00E51E25" w:rsidRPr="00E73772">
        <w:rPr>
          <w:rFonts w:cs="Arial"/>
          <w:bCs/>
          <w:szCs w:val="22"/>
        </w:rPr>
        <w:t>The applicant</w:t>
      </w:r>
      <w:r w:rsidR="00DF71D5" w:rsidRPr="00E73772">
        <w:rPr>
          <w:rFonts w:cs="Arial"/>
          <w:bCs/>
          <w:szCs w:val="22"/>
        </w:rPr>
        <w:t xml:space="preserve"> contracted with the first respondent.</w:t>
      </w:r>
    </w:p>
    <w:p w14:paraId="3CD8C1EE" w14:textId="16948DCB" w:rsidR="00543A74"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24.4</w:t>
      </w:r>
      <w:r w:rsidRPr="00E73772">
        <w:rPr>
          <w:rFonts w:cs="Arial"/>
          <w:bCs/>
          <w:szCs w:val="22"/>
        </w:rPr>
        <w:tab/>
      </w:r>
      <w:r w:rsidR="00543A74" w:rsidRPr="00E73772">
        <w:rPr>
          <w:rFonts w:cs="Arial"/>
          <w:bCs/>
          <w:szCs w:val="22"/>
        </w:rPr>
        <w:t xml:space="preserve">The first respondent does not present any evidence as to how the </w:t>
      </w:r>
      <w:r w:rsidR="00B230F3" w:rsidRPr="00E73772">
        <w:rPr>
          <w:rFonts w:cs="Arial"/>
          <w:bCs/>
          <w:szCs w:val="22"/>
        </w:rPr>
        <w:t xml:space="preserve">alleged </w:t>
      </w:r>
      <w:r w:rsidR="00543A74" w:rsidRPr="00E73772">
        <w:rPr>
          <w:rFonts w:cs="Arial"/>
          <w:bCs/>
          <w:szCs w:val="22"/>
        </w:rPr>
        <w:t>common mistake occurred.</w:t>
      </w:r>
      <w:r w:rsidR="008E0756" w:rsidRPr="00E73772">
        <w:rPr>
          <w:rFonts w:cs="Arial"/>
          <w:bCs/>
          <w:szCs w:val="22"/>
        </w:rPr>
        <w:t xml:space="preserve"> In its affidavit in support of the counter</w:t>
      </w:r>
      <w:r w:rsidR="00B230F3" w:rsidRPr="00E73772">
        <w:rPr>
          <w:rFonts w:cs="Arial"/>
          <w:bCs/>
          <w:szCs w:val="22"/>
        </w:rPr>
        <w:t xml:space="preserve"> </w:t>
      </w:r>
      <w:r w:rsidR="008E0756" w:rsidRPr="00E73772">
        <w:rPr>
          <w:rFonts w:cs="Arial"/>
          <w:bCs/>
          <w:szCs w:val="22"/>
        </w:rPr>
        <w:t>-</w:t>
      </w:r>
      <w:r w:rsidR="00B230F3" w:rsidRPr="00E73772">
        <w:rPr>
          <w:rFonts w:cs="Arial"/>
          <w:bCs/>
          <w:szCs w:val="22"/>
        </w:rPr>
        <w:t xml:space="preserve"> </w:t>
      </w:r>
      <w:r w:rsidR="008E0756" w:rsidRPr="00E73772">
        <w:rPr>
          <w:rFonts w:cs="Arial"/>
          <w:bCs/>
          <w:szCs w:val="22"/>
        </w:rPr>
        <w:t xml:space="preserve">application it says merely that the incorrect description was occasioned by a common error and that the parties signed in the </w:t>
      </w:r>
      <w:r w:rsidR="008E0756" w:rsidRPr="00E73772">
        <w:rPr>
          <w:rFonts w:cs="Arial"/>
          <w:bCs/>
          <w:i/>
          <w:iCs/>
          <w:szCs w:val="22"/>
        </w:rPr>
        <w:t>bona fide</w:t>
      </w:r>
      <w:r w:rsidR="008E0756" w:rsidRPr="00E73772">
        <w:rPr>
          <w:rFonts w:cs="Arial"/>
          <w:bCs/>
          <w:szCs w:val="22"/>
        </w:rPr>
        <w:t xml:space="preserve"> but mistaken belief that the agreement recorded the true agreement. </w:t>
      </w:r>
      <w:r w:rsidR="00884467" w:rsidRPr="00E73772">
        <w:rPr>
          <w:rFonts w:cs="Arial"/>
          <w:bCs/>
          <w:szCs w:val="22"/>
        </w:rPr>
        <w:t>These are conclusions</w:t>
      </w:r>
      <w:r w:rsidR="00590BEE">
        <w:rPr>
          <w:rFonts w:cs="Arial"/>
          <w:bCs/>
          <w:szCs w:val="22"/>
        </w:rPr>
        <w:t xml:space="preserve"> possibly</w:t>
      </w:r>
      <w:r w:rsidR="00884467" w:rsidRPr="00E73772">
        <w:rPr>
          <w:rFonts w:cs="Arial"/>
          <w:bCs/>
          <w:szCs w:val="22"/>
        </w:rPr>
        <w:t xml:space="preserve"> </w:t>
      </w:r>
      <w:r w:rsidR="00590BEE">
        <w:rPr>
          <w:rFonts w:cs="Arial"/>
          <w:bCs/>
          <w:szCs w:val="22"/>
        </w:rPr>
        <w:t xml:space="preserve">lifted from a textbook, </w:t>
      </w:r>
      <w:r w:rsidR="00884467" w:rsidRPr="00E73772">
        <w:rPr>
          <w:rFonts w:cs="Arial"/>
          <w:bCs/>
          <w:szCs w:val="22"/>
        </w:rPr>
        <w:t xml:space="preserve">and </w:t>
      </w:r>
      <w:r w:rsidR="008E0756" w:rsidRPr="00E73772">
        <w:rPr>
          <w:rFonts w:cs="Arial"/>
          <w:bCs/>
          <w:szCs w:val="22"/>
        </w:rPr>
        <w:t>are denied by the applicant.</w:t>
      </w:r>
    </w:p>
    <w:p w14:paraId="0EA90446" w14:textId="57634680" w:rsidR="00DA05C5"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24.5</w:t>
      </w:r>
      <w:r w:rsidRPr="00E73772">
        <w:rPr>
          <w:rFonts w:cs="Arial"/>
          <w:bCs/>
          <w:szCs w:val="22"/>
        </w:rPr>
        <w:tab/>
      </w:r>
      <w:r w:rsidR="00DA05C5" w:rsidRPr="00E73772">
        <w:rPr>
          <w:rFonts w:cs="Arial"/>
          <w:bCs/>
          <w:szCs w:val="22"/>
        </w:rPr>
        <w:t xml:space="preserve">The agreement was prepared by the first respondent and then sent to the applicant as a draft. </w:t>
      </w:r>
      <w:r w:rsidR="00884467" w:rsidRPr="00E73772">
        <w:rPr>
          <w:rFonts w:cs="Arial"/>
          <w:bCs/>
          <w:szCs w:val="22"/>
        </w:rPr>
        <w:t xml:space="preserve">The applicant read it and the draft became or evolved into the final </w:t>
      </w:r>
      <w:r w:rsidR="00A56531" w:rsidRPr="00E73772">
        <w:rPr>
          <w:rFonts w:cs="Arial"/>
          <w:bCs/>
          <w:szCs w:val="22"/>
        </w:rPr>
        <w:t>agreement</w:t>
      </w:r>
      <w:r w:rsidR="00884467" w:rsidRPr="00E73772">
        <w:rPr>
          <w:rFonts w:cs="Arial"/>
          <w:bCs/>
          <w:szCs w:val="22"/>
        </w:rPr>
        <w:t xml:space="preserve">. It was explained that the first respondent had a relationship with AS, an overseas company. </w:t>
      </w:r>
      <w:r w:rsidR="00DA05C5" w:rsidRPr="00E73772">
        <w:rPr>
          <w:rFonts w:cs="Arial"/>
          <w:bCs/>
          <w:szCs w:val="22"/>
        </w:rPr>
        <w:t xml:space="preserve">If a </w:t>
      </w:r>
      <w:r w:rsidR="00884467" w:rsidRPr="00E73772">
        <w:rPr>
          <w:rFonts w:cs="Arial"/>
          <w:bCs/>
          <w:szCs w:val="22"/>
        </w:rPr>
        <w:t xml:space="preserve">mutual </w:t>
      </w:r>
      <w:r w:rsidR="00DA05C5" w:rsidRPr="00E73772">
        <w:rPr>
          <w:rFonts w:cs="Arial"/>
          <w:bCs/>
          <w:szCs w:val="22"/>
        </w:rPr>
        <w:t xml:space="preserve">error occurred in the drafting process one would expect some explanation as to what </w:t>
      </w:r>
      <w:r w:rsidR="00DA05C5" w:rsidRPr="00E73772">
        <w:rPr>
          <w:rFonts w:cs="Arial"/>
          <w:bCs/>
          <w:szCs w:val="22"/>
        </w:rPr>
        <w:lastRenderedPageBreak/>
        <w:t>happened to occasion this. There is none.</w:t>
      </w:r>
    </w:p>
    <w:p w14:paraId="6212094F" w14:textId="1D300CAF" w:rsidR="001B3EF2"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24.6</w:t>
      </w:r>
      <w:r w:rsidRPr="00E73772">
        <w:rPr>
          <w:rFonts w:cs="Arial"/>
          <w:bCs/>
          <w:szCs w:val="22"/>
        </w:rPr>
        <w:tab/>
      </w:r>
      <w:r w:rsidR="00543A74" w:rsidRPr="00E73772">
        <w:rPr>
          <w:rFonts w:cs="Arial"/>
          <w:bCs/>
          <w:szCs w:val="22"/>
        </w:rPr>
        <w:t xml:space="preserve">The fact that Lomolino was pointed out as the asset manager in discussions when the third respondent is expressly </w:t>
      </w:r>
      <w:r w:rsidR="008E0756" w:rsidRPr="00E73772">
        <w:rPr>
          <w:rFonts w:cs="Arial"/>
          <w:bCs/>
          <w:szCs w:val="22"/>
        </w:rPr>
        <w:t>named in the agreement as the person who would be the asset manager is understandable in the context of an agreement that made it clear that the first respondent had associates overseas</w:t>
      </w:r>
      <w:r w:rsidR="00012021" w:rsidRPr="00E73772">
        <w:rPr>
          <w:rFonts w:cs="Arial"/>
          <w:bCs/>
          <w:szCs w:val="22"/>
        </w:rPr>
        <w:t xml:space="preserve"> and there were things to be done in South Africa and overseas</w:t>
      </w:r>
      <w:r w:rsidR="008E0756" w:rsidRPr="00E73772">
        <w:rPr>
          <w:rFonts w:cs="Arial"/>
          <w:bCs/>
          <w:szCs w:val="22"/>
        </w:rPr>
        <w:t xml:space="preserve">. Similarly, the fact that the applicant was furnished with a copy of the </w:t>
      </w:r>
      <w:r w:rsidR="00590BEE">
        <w:rPr>
          <w:rFonts w:cs="Arial"/>
          <w:bCs/>
          <w:szCs w:val="22"/>
        </w:rPr>
        <w:t xml:space="preserve">agency </w:t>
      </w:r>
      <w:r w:rsidR="008E0756" w:rsidRPr="00E73772">
        <w:rPr>
          <w:rFonts w:cs="Arial"/>
          <w:bCs/>
          <w:szCs w:val="22"/>
        </w:rPr>
        <w:t>agreement between the first respondent and AS as an example of a relationship with a foreign firm, does not merit the inference sought.</w:t>
      </w:r>
      <w:r w:rsidR="00D828F9" w:rsidRPr="00E73772">
        <w:rPr>
          <w:rFonts w:cs="Arial"/>
          <w:bCs/>
          <w:szCs w:val="22"/>
        </w:rPr>
        <w:t xml:space="preserve"> It was explained to the applicant that AS would raise the required bank instrument but that in fact the first respondent would be the asset manager. The third respondent is of course a director of the first respondent</w:t>
      </w:r>
      <w:r w:rsidR="00B230F3" w:rsidRPr="00E73772">
        <w:rPr>
          <w:rFonts w:cs="Arial"/>
          <w:bCs/>
          <w:szCs w:val="22"/>
        </w:rPr>
        <w:t xml:space="preserve"> and the person at the first respondent that would act as the asset manager</w:t>
      </w:r>
      <w:r w:rsidR="00D828F9" w:rsidRPr="00E73772">
        <w:rPr>
          <w:rFonts w:cs="Arial"/>
          <w:bCs/>
          <w:szCs w:val="22"/>
        </w:rPr>
        <w:t>.</w:t>
      </w:r>
    </w:p>
    <w:p w14:paraId="2ED0C900" w14:textId="7CA9E7D7" w:rsidR="00012021"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24.7</w:t>
      </w:r>
      <w:r w:rsidRPr="00E73772">
        <w:rPr>
          <w:rFonts w:cs="Arial"/>
          <w:bCs/>
          <w:szCs w:val="22"/>
        </w:rPr>
        <w:tab/>
      </w:r>
      <w:r w:rsidR="00012021" w:rsidRPr="00E73772">
        <w:rPr>
          <w:rFonts w:cs="Arial"/>
          <w:bCs/>
          <w:szCs w:val="22"/>
        </w:rPr>
        <w:t xml:space="preserve">There is </w:t>
      </w:r>
      <w:r w:rsidR="00590BEE">
        <w:rPr>
          <w:rFonts w:cs="Arial"/>
          <w:bCs/>
          <w:szCs w:val="22"/>
        </w:rPr>
        <w:t xml:space="preserve">in principle </w:t>
      </w:r>
      <w:r w:rsidR="00012021" w:rsidRPr="00E73772">
        <w:rPr>
          <w:rFonts w:cs="Arial"/>
          <w:bCs/>
          <w:szCs w:val="22"/>
        </w:rPr>
        <w:t xml:space="preserve">no impediment in law to a local </w:t>
      </w:r>
      <w:r w:rsidR="00012021" w:rsidRPr="00590BEE">
        <w:rPr>
          <w:rFonts w:cs="Arial"/>
          <w:bCs/>
          <w:i/>
          <w:iCs/>
          <w:szCs w:val="22"/>
        </w:rPr>
        <w:t>‘exclusive and sole agent’</w:t>
      </w:r>
      <w:r w:rsidR="00012021" w:rsidRPr="00E73772">
        <w:rPr>
          <w:rFonts w:cs="Arial"/>
          <w:bCs/>
          <w:szCs w:val="22"/>
        </w:rPr>
        <w:t xml:space="preserve"> in South Africa, contracting with its</w:t>
      </w:r>
      <w:r w:rsidR="00B230F3" w:rsidRPr="00E73772">
        <w:rPr>
          <w:rFonts w:cs="Arial"/>
          <w:bCs/>
          <w:szCs w:val="22"/>
        </w:rPr>
        <w:t xml:space="preserve"> own </w:t>
      </w:r>
      <w:r w:rsidR="00012021" w:rsidRPr="00E73772">
        <w:rPr>
          <w:rFonts w:cs="Arial"/>
          <w:bCs/>
          <w:szCs w:val="22"/>
        </w:rPr>
        <w:t>clients as a principal.</w:t>
      </w:r>
      <w:r w:rsidR="00A0115D">
        <w:rPr>
          <w:rFonts w:cs="Arial"/>
          <w:bCs/>
          <w:szCs w:val="22"/>
        </w:rPr>
        <w:t xml:space="preserve"> </w:t>
      </w:r>
    </w:p>
    <w:p w14:paraId="71AA8118" w14:textId="1FA79FCB" w:rsidR="00E65BC0"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[25]</w:t>
      </w:r>
      <w:r w:rsidRPr="00E73772">
        <w:rPr>
          <w:rFonts w:cs="Arial"/>
          <w:bCs/>
          <w:szCs w:val="22"/>
        </w:rPr>
        <w:tab/>
      </w:r>
      <w:r w:rsidR="00543A74" w:rsidRPr="00E73772">
        <w:rPr>
          <w:rFonts w:cs="Arial"/>
          <w:bCs/>
          <w:szCs w:val="22"/>
        </w:rPr>
        <w:t xml:space="preserve">In the present matter the </w:t>
      </w:r>
      <w:r w:rsidR="00A56531" w:rsidRPr="00E73772">
        <w:rPr>
          <w:rFonts w:cs="Arial"/>
          <w:bCs/>
          <w:szCs w:val="22"/>
        </w:rPr>
        <w:t>agreement</w:t>
      </w:r>
      <w:r w:rsidR="00543A74" w:rsidRPr="00E73772">
        <w:rPr>
          <w:rFonts w:cs="Arial"/>
          <w:bCs/>
          <w:szCs w:val="22"/>
        </w:rPr>
        <w:t>, whether rectified or not, is  a nullity for want of compliance with section 7 of the FAIS Act</w:t>
      </w:r>
      <w:r w:rsidR="00C45551" w:rsidRPr="00E73772">
        <w:rPr>
          <w:rFonts w:cs="Arial"/>
          <w:bCs/>
          <w:szCs w:val="22"/>
        </w:rPr>
        <w:t>.</w:t>
      </w:r>
    </w:p>
    <w:p w14:paraId="68FB487B" w14:textId="0EBA6454" w:rsidR="00C45551"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[26]</w:t>
      </w:r>
      <w:r w:rsidRPr="00E73772">
        <w:rPr>
          <w:rFonts w:cs="Arial"/>
          <w:bCs/>
          <w:szCs w:val="22"/>
        </w:rPr>
        <w:tab/>
      </w:r>
      <w:r w:rsidR="00C45551" w:rsidRPr="00E73772">
        <w:rPr>
          <w:rFonts w:cs="Arial"/>
          <w:bCs/>
          <w:szCs w:val="22"/>
        </w:rPr>
        <w:t>The first respondent’s failure to join AS to its application constitutes a non-joinder. AS has a direct and substantial legal interest in the counter-application for rectification and if the claim for rectification were to succeed, it would incur obl</w:t>
      </w:r>
      <w:r w:rsidR="00C819E2" w:rsidRPr="00E73772">
        <w:rPr>
          <w:rFonts w:cs="Arial"/>
          <w:bCs/>
          <w:szCs w:val="22"/>
        </w:rPr>
        <w:t>i</w:t>
      </w:r>
      <w:r w:rsidR="00C45551" w:rsidRPr="00E73772">
        <w:rPr>
          <w:rFonts w:cs="Arial"/>
          <w:bCs/>
          <w:szCs w:val="22"/>
        </w:rPr>
        <w:t>gations and acquire rights.</w:t>
      </w:r>
      <w:r w:rsidR="00D828F9" w:rsidRPr="00E73772">
        <w:rPr>
          <w:rFonts w:cs="Arial"/>
          <w:bCs/>
          <w:szCs w:val="22"/>
        </w:rPr>
        <w:t xml:space="preserve"> It might be surprised if it learned that there was a judgment in South Africa in terms of which it had </w:t>
      </w:r>
      <w:r w:rsidR="00590BEE">
        <w:rPr>
          <w:rFonts w:cs="Arial"/>
          <w:bCs/>
          <w:szCs w:val="22"/>
        </w:rPr>
        <w:t xml:space="preserve">now </w:t>
      </w:r>
      <w:r w:rsidR="00D828F9" w:rsidRPr="00E73772">
        <w:rPr>
          <w:rFonts w:cs="Arial"/>
          <w:bCs/>
          <w:szCs w:val="22"/>
        </w:rPr>
        <w:t>incurred obligations under a contract</w:t>
      </w:r>
      <w:r w:rsidR="00590BEE">
        <w:rPr>
          <w:rFonts w:cs="Arial"/>
          <w:bCs/>
          <w:szCs w:val="22"/>
        </w:rPr>
        <w:t xml:space="preserve"> entered into in 2017</w:t>
      </w:r>
      <w:r w:rsidR="00D828F9" w:rsidRPr="00E73772">
        <w:rPr>
          <w:rFonts w:cs="Arial"/>
          <w:bCs/>
          <w:szCs w:val="22"/>
        </w:rPr>
        <w:t>.</w:t>
      </w:r>
    </w:p>
    <w:p w14:paraId="0FEEF495" w14:textId="6F14DEF6" w:rsidR="002D23B9"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[27]</w:t>
      </w:r>
      <w:r w:rsidRPr="00E73772">
        <w:rPr>
          <w:rFonts w:cs="Arial"/>
          <w:bCs/>
          <w:szCs w:val="22"/>
        </w:rPr>
        <w:tab/>
      </w:r>
      <w:r w:rsidR="002D23B9" w:rsidRPr="00E73772">
        <w:rPr>
          <w:rFonts w:cs="Arial"/>
          <w:bCs/>
          <w:szCs w:val="22"/>
        </w:rPr>
        <w:t xml:space="preserve">The second and third respondents are co-applicants in the counter-application. </w:t>
      </w:r>
      <w:r w:rsidR="001F653E" w:rsidRPr="00E73772">
        <w:rPr>
          <w:rFonts w:cs="Arial"/>
          <w:bCs/>
          <w:szCs w:val="22"/>
        </w:rPr>
        <w:t xml:space="preserve">Their locus standi to bring the application was not disputed and no </w:t>
      </w:r>
      <w:r w:rsidR="00B230F3" w:rsidRPr="00E73772">
        <w:rPr>
          <w:rFonts w:cs="Arial"/>
          <w:bCs/>
          <w:szCs w:val="22"/>
        </w:rPr>
        <w:t xml:space="preserve">separate </w:t>
      </w:r>
      <w:r w:rsidR="001F653E" w:rsidRPr="00E73772">
        <w:rPr>
          <w:rFonts w:cs="Arial"/>
          <w:bCs/>
          <w:szCs w:val="22"/>
        </w:rPr>
        <w:t>finding is made.</w:t>
      </w:r>
    </w:p>
    <w:p w14:paraId="016A800D" w14:textId="77777777" w:rsidR="002C7670" w:rsidRPr="00E73772" w:rsidRDefault="002C7670" w:rsidP="00515BE7">
      <w:pPr>
        <w:widowControl w:val="0"/>
        <w:spacing w:before="480" w:after="480" w:line="480" w:lineRule="auto"/>
        <w:jc w:val="both"/>
        <w:rPr>
          <w:rFonts w:cs="Arial"/>
          <w:bCs/>
          <w:szCs w:val="22"/>
          <w:u w:val="single"/>
        </w:rPr>
      </w:pPr>
    </w:p>
    <w:p w14:paraId="6A0B0D63" w14:textId="2CD1A317" w:rsidR="00515BE7" w:rsidRPr="00E73772" w:rsidRDefault="00515BE7" w:rsidP="00515BE7">
      <w:pPr>
        <w:widowControl w:val="0"/>
        <w:spacing w:before="480" w:after="480" w:line="480" w:lineRule="auto"/>
        <w:jc w:val="both"/>
        <w:rPr>
          <w:rFonts w:cs="Arial"/>
          <w:bCs/>
          <w:szCs w:val="22"/>
          <w:u w:val="single"/>
        </w:rPr>
      </w:pPr>
      <w:r w:rsidRPr="00E73772">
        <w:rPr>
          <w:rFonts w:cs="Arial"/>
          <w:bCs/>
          <w:szCs w:val="22"/>
          <w:u w:val="single"/>
        </w:rPr>
        <w:t>THE RESPONDENTS’ OPPOSITION</w:t>
      </w:r>
    </w:p>
    <w:p w14:paraId="124281B6" w14:textId="6AC3A81A" w:rsidR="00D9086C"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[28]</w:t>
      </w:r>
      <w:r w:rsidRPr="00E73772">
        <w:rPr>
          <w:rFonts w:cs="Arial"/>
          <w:bCs/>
          <w:szCs w:val="22"/>
        </w:rPr>
        <w:tab/>
      </w:r>
      <w:r w:rsidR="00D9086C" w:rsidRPr="00E73772">
        <w:rPr>
          <w:rFonts w:cs="Arial"/>
          <w:bCs/>
          <w:szCs w:val="22"/>
        </w:rPr>
        <w:t>The respondents also raise the following defences:</w:t>
      </w:r>
    </w:p>
    <w:p w14:paraId="3F36945A" w14:textId="7C8739DC" w:rsidR="00D9086C"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28.1</w:t>
      </w:r>
      <w:r w:rsidRPr="00E73772">
        <w:rPr>
          <w:rFonts w:cs="Arial"/>
          <w:bCs/>
          <w:szCs w:val="22"/>
        </w:rPr>
        <w:tab/>
      </w:r>
      <w:r w:rsidR="00D9086C" w:rsidRPr="00E73772">
        <w:rPr>
          <w:rFonts w:cs="Arial"/>
          <w:bCs/>
          <w:szCs w:val="22"/>
        </w:rPr>
        <w:t xml:space="preserve">That the Court does not have jurisdiction because the agreement contains an arbitration clause requiring any </w:t>
      </w:r>
      <w:r w:rsidR="00D9086C" w:rsidRPr="00E73772">
        <w:rPr>
          <w:rFonts w:cs="Arial"/>
          <w:bCs/>
          <w:i/>
          <w:szCs w:val="22"/>
        </w:rPr>
        <w:t>“eventual controversy”</w:t>
      </w:r>
      <w:r w:rsidR="00D9086C" w:rsidRPr="00E73772">
        <w:rPr>
          <w:rFonts w:cs="Arial"/>
          <w:bCs/>
          <w:szCs w:val="22"/>
        </w:rPr>
        <w:t xml:space="preserve"> to be submitted to arbitration according to the rules of the International Chamber of Commerce (</w:t>
      </w:r>
      <w:r w:rsidR="00D9086C" w:rsidRPr="00E73772">
        <w:rPr>
          <w:rFonts w:cs="Arial"/>
          <w:bCs/>
          <w:i/>
          <w:szCs w:val="22"/>
        </w:rPr>
        <w:t>‘ICC’</w:t>
      </w:r>
      <w:r w:rsidR="00D9086C" w:rsidRPr="00E73772">
        <w:rPr>
          <w:rFonts w:cs="Arial"/>
          <w:bCs/>
          <w:szCs w:val="22"/>
        </w:rPr>
        <w:t>);</w:t>
      </w:r>
    </w:p>
    <w:p w14:paraId="59376F8A" w14:textId="0B2A9AF4" w:rsidR="00D9086C"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28.2</w:t>
      </w:r>
      <w:r w:rsidRPr="00E73772">
        <w:rPr>
          <w:rFonts w:cs="Arial"/>
          <w:bCs/>
          <w:szCs w:val="22"/>
        </w:rPr>
        <w:tab/>
      </w:r>
      <w:r w:rsidR="00D9086C" w:rsidRPr="00E73772">
        <w:rPr>
          <w:rFonts w:cs="Arial"/>
          <w:bCs/>
          <w:szCs w:val="22"/>
        </w:rPr>
        <w:t xml:space="preserve">The first respondent acted not as a principal but as an agent of the supplier of services, namely </w:t>
      </w:r>
      <w:r w:rsidR="00E84D18" w:rsidRPr="00E73772">
        <w:rPr>
          <w:rFonts w:cs="Arial"/>
          <w:bCs/>
          <w:szCs w:val="22"/>
        </w:rPr>
        <w:t>AS</w:t>
      </w:r>
      <w:r w:rsidR="00D9086C" w:rsidRPr="00E73772">
        <w:rPr>
          <w:rFonts w:cs="Arial"/>
          <w:bCs/>
          <w:szCs w:val="22"/>
        </w:rPr>
        <w:t xml:space="preserve">. </w:t>
      </w:r>
    </w:p>
    <w:p w14:paraId="0696438D" w14:textId="7DADAF4A" w:rsidR="00D9086C"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28.3</w:t>
      </w:r>
      <w:r w:rsidRPr="00E73772">
        <w:rPr>
          <w:rFonts w:cs="Arial"/>
          <w:bCs/>
          <w:szCs w:val="22"/>
        </w:rPr>
        <w:tab/>
      </w:r>
      <w:r w:rsidR="00D9086C" w:rsidRPr="00E73772">
        <w:rPr>
          <w:rFonts w:cs="Arial"/>
          <w:bCs/>
          <w:szCs w:val="22"/>
        </w:rPr>
        <w:t>Liability cannot be imposed on the second and third respondents as directors of the first respondent.</w:t>
      </w:r>
    </w:p>
    <w:p w14:paraId="6B8D07AD" w14:textId="2CE8E533" w:rsidR="00D9086C"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28.4</w:t>
      </w:r>
      <w:r w:rsidRPr="00E73772">
        <w:rPr>
          <w:rFonts w:cs="Arial"/>
          <w:bCs/>
          <w:szCs w:val="22"/>
        </w:rPr>
        <w:tab/>
      </w:r>
      <w:r w:rsidR="00D9086C" w:rsidRPr="00E73772">
        <w:rPr>
          <w:rFonts w:cs="Arial"/>
          <w:bCs/>
          <w:szCs w:val="22"/>
        </w:rPr>
        <w:t>The first respondent did not render financial services for the purposes of the FAIS Act.</w:t>
      </w:r>
    </w:p>
    <w:p w14:paraId="20594192" w14:textId="32F2EFDE" w:rsidR="00113B92"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28.5</w:t>
      </w:r>
      <w:r w:rsidRPr="00E73772">
        <w:rPr>
          <w:rFonts w:cs="Arial"/>
          <w:bCs/>
          <w:szCs w:val="22"/>
        </w:rPr>
        <w:tab/>
      </w:r>
      <w:r w:rsidR="00113B92" w:rsidRPr="00E73772">
        <w:rPr>
          <w:rFonts w:cs="Arial"/>
          <w:bCs/>
          <w:szCs w:val="22"/>
        </w:rPr>
        <w:t xml:space="preserve">The law of England must be applied to the </w:t>
      </w:r>
      <w:r w:rsidR="00A56531" w:rsidRPr="00E73772">
        <w:rPr>
          <w:rFonts w:cs="Arial"/>
          <w:bCs/>
          <w:szCs w:val="22"/>
        </w:rPr>
        <w:t>agreement</w:t>
      </w:r>
      <w:r w:rsidR="00113B92" w:rsidRPr="00E73772">
        <w:rPr>
          <w:rFonts w:cs="Arial"/>
          <w:bCs/>
          <w:szCs w:val="22"/>
        </w:rPr>
        <w:t>.</w:t>
      </w:r>
    </w:p>
    <w:p w14:paraId="3EC5169D" w14:textId="135B5C5C" w:rsidR="00D9086C"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[29]</w:t>
      </w:r>
      <w:r w:rsidRPr="00E73772">
        <w:rPr>
          <w:rFonts w:cs="Arial"/>
          <w:bCs/>
          <w:szCs w:val="22"/>
        </w:rPr>
        <w:tab/>
      </w:r>
      <w:r w:rsidR="00D9086C" w:rsidRPr="00E73772">
        <w:rPr>
          <w:rFonts w:cs="Arial"/>
          <w:bCs/>
          <w:szCs w:val="22"/>
        </w:rPr>
        <w:t>I deal with the various defences under separate headings.</w:t>
      </w:r>
    </w:p>
    <w:p w14:paraId="4C4FA3A3" w14:textId="77777777" w:rsidR="009C1188" w:rsidRPr="00E73772" w:rsidRDefault="009C1188" w:rsidP="009869F2">
      <w:pPr>
        <w:keepNext/>
        <w:widowControl w:val="0"/>
        <w:spacing w:before="480" w:after="480" w:line="480" w:lineRule="auto"/>
        <w:jc w:val="both"/>
        <w:rPr>
          <w:rFonts w:cs="Arial"/>
          <w:bCs/>
          <w:szCs w:val="22"/>
          <w:u w:val="single"/>
        </w:rPr>
      </w:pPr>
    </w:p>
    <w:p w14:paraId="4D23F990" w14:textId="5F51484D" w:rsidR="00D9086C" w:rsidRPr="00E73772" w:rsidRDefault="00EE4B1C" w:rsidP="009869F2">
      <w:pPr>
        <w:keepNext/>
        <w:widowControl w:val="0"/>
        <w:spacing w:before="480" w:after="480" w:line="480" w:lineRule="auto"/>
        <w:jc w:val="both"/>
        <w:rPr>
          <w:rFonts w:cs="Arial"/>
          <w:bCs/>
          <w:szCs w:val="22"/>
          <w:u w:val="single"/>
        </w:rPr>
      </w:pPr>
      <w:r w:rsidRPr="00E73772">
        <w:rPr>
          <w:rFonts w:cs="Arial"/>
          <w:bCs/>
          <w:szCs w:val="22"/>
          <w:u w:val="single"/>
        </w:rPr>
        <w:t>JURISDICTION AND ARBITRATION</w:t>
      </w:r>
    </w:p>
    <w:p w14:paraId="2D498D9B" w14:textId="2AEAF8E6" w:rsidR="000179FE"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[30]</w:t>
      </w:r>
      <w:r w:rsidRPr="00E73772">
        <w:rPr>
          <w:rFonts w:cs="Arial"/>
          <w:bCs/>
          <w:szCs w:val="22"/>
        </w:rPr>
        <w:tab/>
      </w:r>
      <w:r w:rsidR="000179FE" w:rsidRPr="00E73772">
        <w:rPr>
          <w:rFonts w:cs="Arial"/>
          <w:bCs/>
          <w:szCs w:val="22"/>
        </w:rPr>
        <w:t xml:space="preserve">The registered address of the first respondent is in Johannesburg and the second and third respondents reside in Randburg within the area of geographical jurisdiction of the Gauteng Division of the High Court. The attack on jurisdiction </w:t>
      </w:r>
      <w:r w:rsidR="000179FE" w:rsidRPr="00E73772">
        <w:rPr>
          <w:rFonts w:cs="Arial"/>
          <w:bCs/>
          <w:i/>
          <w:iCs/>
          <w:szCs w:val="22"/>
        </w:rPr>
        <w:t>per se</w:t>
      </w:r>
      <w:r w:rsidR="000179FE" w:rsidRPr="00E73772">
        <w:rPr>
          <w:rFonts w:cs="Arial"/>
          <w:bCs/>
          <w:szCs w:val="22"/>
        </w:rPr>
        <w:t xml:space="preserve"> therefore fails.</w:t>
      </w:r>
    </w:p>
    <w:p w14:paraId="441050AA" w14:textId="2BEC7FAE" w:rsidR="00D866B9" w:rsidRPr="00E73772" w:rsidRDefault="00756B17" w:rsidP="00756B17">
      <w:pPr>
        <w:widowControl w:val="0"/>
        <w:tabs>
          <w:tab w:val="left" w:pos="567"/>
        </w:tabs>
        <w:spacing w:before="480" w:after="480" w:line="480" w:lineRule="auto"/>
        <w:jc w:val="both"/>
        <w:rPr>
          <w:rFonts w:cs="Arial"/>
          <w:color w:val="2C3E50"/>
          <w:szCs w:val="22"/>
          <w:shd w:val="clear" w:color="auto" w:fill="FFFFFF"/>
        </w:rPr>
      </w:pPr>
      <w:r w:rsidRPr="00E73772">
        <w:rPr>
          <w:rFonts w:cs="Arial"/>
          <w:szCs w:val="22"/>
        </w:rPr>
        <w:t>[31]</w:t>
      </w:r>
      <w:r w:rsidRPr="00E73772">
        <w:rPr>
          <w:rFonts w:cs="Arial"/>
          <w:szCs w:val="22"/>
        </w:rPr>
        <w:tab/>
      </w:r>
      <w:r w:rsidR="003D19C3" w:rsidRPr="00E73772">
        <w:rPr>
          <w:rFonts w:cs="Arial"/>
          <w:bCs/>
          <w:szCs w:val="22"/>
        </w:rPr>
        <w:t xml:space="preserve">The respondents’ attack on the jurisdiction of the Court is </w:t>
      </w:r>
      <w:r w:rsidR="00EE4B1C" w:rsidRPr="00E73772">
        <w:rPr>
          <w:rFonts w:cs="Arial"/>
          <w:bCs/>
          <w:szCs w:val="22"/>
        </w:rPr>
        <w:t xml:space="preserve">misconceived </w:t>
      </w:r>
      <w:r w:rsidR="003D19C3" w:rsidRPr="00E73772">
        <w:rPr>
          <w:rFonts w:cs="Arial"/>
          <w:bCs/>
          <w:szCs w:val="22"/>
        </w:rPr>
        <w:t>as the Court’s jurisdiction is not excluded by an arbitration clause</w:t>
      </w:r>
      <w:r w:rsidR="00EE4B1C" w:rsidRPr="00E73772">
        <w:rPr>
          <w:rFonts w:cs="Arial"/>
          <w:bCs/>
          <w:szCs w:val="22"/>
        </w:rPr>
        <w:t xml:space="preserve"> in </w:t>
      </w:r>
      <w:r w:rsidR="000179FE" w:rsidRPr="00E73772">
        <w:rPr>
          <w:rFonts w:cs="Arial"/>
          <w:bCs/>
          <w:szCs w:val="22"/>
        </w:rPr>
        <w:t xml:space="preserve">an </w:t>
      </w:r>
      <w:r w:rsidR="00EE4B1C" w:rsidRPr="00E73772">
        <w:rPr>
          <w:rFonts w:cs="Arial"/>
          <w:bCs/>
          <w:szCs w:val="22"/>
        </w:rPr>
        <w:t>agreement</w:t>
      </w:r>
      <w:r w:rsidR="003D19C3" w:rsidRPr="00E73772">
        <w:rPr>
          <w:rFonts w:cs="Arial"/>
          <w:bCs/>
          <w:szCs w:val="22"/>
        </w:rPr>
        <w:t xml:space="preserve">. </w:t>
      </w:r>
      <w:r w:rsidR="00EE4B1C" w:rsidRPr="00E73772">
        <w:rPr>
          <w:rFonts w:cs="Arial"/>
          <w:bCs/>
          <w:szCs w:val="22"/>
        </w:rPr>
        <w:t>The law recognises the principle of party autonomy but the jurisdiction of the court to rule on referral to arbitration is retained.</w:t>
      </w:r>
      <w:r w:rsidR="00EE4B1C" w:rsidRPr="00E73772">
        <w:rPr>
          <w:rStyle w:val="FootnoteReference"/>
          <w:rFonts w:cs="Arial"/>
          <w:bCs/>
          <w:szCs w:val="22"/>
        </w:rPr>
        <w:footnoteReference w:id="19"/>
      </w:r>
      <w:r w:rsidR="00EE4B1C" w:rsidRPr="00E73772">
        <w:rPr>
          <w:rFonts w:cs="Arial"/>
          <w:bCs/>
          <w:szCs w:val="22"/>
        </w:rPr>
        <w:t xml:space="preserve"> </w:t>
      </w:r>
    </w:p>
    <w:p w14:paraId="27D3FDB9" w14:textId="36671710" w:rsidR="00B76CD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[32]</w:t>
      </w:r>
      <w:r w:rsidRPr="00E73772">
        <w:rPr>
          <w:rFonts w:cs="Arial"/>
          <w:bCs/>
          <w:szCs w:val="22"/>
        </w:rPr>
        <w:tab/>
      </w:r>
      <w:r w:rsidR="00B76CDD" w:rsidRPr="00E73772">
        <w:rPr>
          <w:rFonts w:cs="Arial"/>
          <w:bCs/>
          <w:szCs w:val="22"/>
        </w:rPr>
        <w:t xml:space="preserve">The parties did not rely on either the domestic Arbitration Act, 42 of 1965, or the International Arbitration Act, 15 of 2017. The respondents in particular did not seek to invoke article 8 of Schedule 1 of the International Arbitration Act. I deal with the matter though as if the arbitration issue is properly before Court. </w:t>
      </w:r>
    </w:p>
    <w:p w14:paraId="53C7E9AD" w14:textId="6430923D" w:rsidR="008C20E7"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[33]</w:t>
      </w:r>
      <w:r w:rsidRPr="00E73772">
        <w:rPr>
          <w:rFonts w:cs="Arial"/>
          <w:bCs/>
          <w:szCs w:val="22"/>
        </w:rPr>
        <w:tab/>
      </w:r>
      <w:r w:rsidR="00C05091" w:rsidRPr="00E73772">
        <w:rPr>
          <w:rFonts w:cs="Arial"/>
          <w:bCs/>
          <w:szCs w:val="22"/>
        </w:rPr>
        <w:t xml:space="preserve">If a dispute arising out of the </w:t>
      </w:r>
      <w:r w:rsidR="00A56531" w:rsidRPr="00E73772">
        <w:rPr>
          <w:rFonts w:cs="Arial"/>
          <w:bCs/>
          <w:szCs w:val="22"/>
        </w:rPr>
        <w:t>agreement</w:t>
      </w:r>
      <w:r w:rsidR="00C05091" w:rsidRPr="00E73772">
        <w:rPr>
          <w:rFonts w:cs="Arial"/>
          <w:bCs/>
          <w:szCs w:val="22"/>
        </w:rPr>
        <w:t xml:space="preserve"> were to be referred to arbitration, it would be an international</w:t>
      </w:r>
      <w:r w:rsidR="00C930C5">
        <w:rPr>
          <w:rStyle w:val="FootnoteReference"/>
          <w:rFonts w:cs="Arial"/>
          <w:bCs/>
          <w:szCs w:val="22"/>
        </w:rPr>
        <w:footnoteReference w:id="20"/>
      </w:r>
      <w:r w:rsidR="00C05091" w:rsidRPr="00E73772">
        <w:rPr>
          <w:rFonts w:cs="Arial"/>
          <w:bCs/>
          <w:szCs w:val="22"/>
        </w:rPr>
        <w:t xml:space="preserve"> arbitration as defined in</w:t>
      </w:r>
      <w:r w:rsidR="008C20E7" w:rsidRPr="00E73772">
        <w:rPr>
          <w:rFonts w:cs="Arial"/>
          <w:bCs/>
          <w:szCs w:val="22"/>
        </w:rPr>
        <w:t xml:space="preserve"> article 1(3)</w:t>
      </w:r>
      <w:r w:rsidR="00C05091" w:rsidRPr="00E73772">
        <w:rPr>
          <w:rFonts w:cs="Arial"/>
          <w:bCs/>
          <w:szCs w:val="22"/>
        </w:rPr>
        <w:t xml:space="preserve"> the UNCITRAL</w:t>
      </w:r>
      <w:r w:rsidR="00EA57DC">
        <w:rPr>
          <w:rStyle w:val="FootnoteReference"/>
          <w:rFonts w:cs="Arial"/>
          <w:bCs/>
          <w:szCs w:val="22"/>
        </w:rPr>
        <w:footnoteReference w:id="21"/>
      </w:r>
      <w:r w:rsidR="00C05091" w:rsidRPr="00E73772">
        <w:rPr>
          <w:rFonts w:cs="Arial"/>
          <w:bCs/>
          <w:szCs w:val="22"/>
        </w:rPr>
        <w:t xml:space="preserve"> Model Law on International Commercial Arbitration that applies in South Africa by virtue of section 6 of the </w:t>
      </w:r>
      <w:r w:rsidR="008C20E7" w:rsidRPr="00E73772">
        <w:rPr>
          <w:rFonts w:cs="Arial"/>
          <w:bCs/>
          <w:szCs w:val="22"/>
        </w:rPr>
        <w:t>International Arbitration Act</w:t>
      </w:r>
      <w:r w:rsidR="00B76CDD" w:rsidRPr="00E73772">
        <w:rPr>
          <w:rFonts w:cs="Arial"/>
          <w:bCs/>
          <w:szCs w:val="22"/>
        </w:rPr>
        <w:t>, 15 of 2017.</w:t>
      </w:r>
      <w:r w:rsidR="008C20E7" w:rsidRPr="00E73772">
        <w:rPr>
          <w:rFonts w:cs="Arial"/>
          <w:bCs/>
          <w:szCs w:val="22"/>
        </w:rPr>
        <w:t xml:space="preserve"> </w:t>
      </w:r>
    </w:p>
    <w:p w14:paraId="7300298D" w14:textId="0DCF4902" w:rsidR="008C20E7"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[34]</w:t>
      </w:r>
      <w:r w:rsidRPr="00E73772">
        <w:rPr>
          <w:rFonts w:cs="Arial"/>
          <w:bCs/>
          <w:szCs w:val="22"/>
        </w:rPr>
        <w:tab/>
      </w:r>
      <w:r w:rsidR="008C20E7" w:rsidRPr="00E73772">
        <w:rPr>
          <w:rFonts w:cs="Arial"/>
          <w:bCs/>
          <w:szCs w:val="22"/>
        </w:rPr>
        <w:t xml:space="preserve">The </w:t>
      </w:r>
      <w:r w:rsidR="00B76CDD" w:rsidRPr="00E73772">
        <w:rPr>
          <w:rFonts w:cs="Arial"/>
          <w:bCs/>
          <w:szCs w:val="22"/>
        </w:rPr>
        <w:t xml:space="preserve">International Arbitration </w:t>
      </w:r>
      <w:r w:rsidR="008C20E7" w:rsidRPr="00E73772">
        <w:rPr>
          <w:rFonts w:cs="Arial"/>
          <w:bCs/>
          <w:szCs w:val="22"/>
        </w:rPr>
        <w:t xml:space="preserve">Act </w:t>
      </w:r>
      <w:r w:rsidR="003D19C3" w:rsidRPr="00E73772">
        <w:rPr>
          <w:rFonts w:cs="Arial"/>
          <w:bCs/>
          <w:szCs w:val="22"/>
        </w:rPr>
        <w:t xml:space="preserve">provides in section </w:t>
      </w:r>
      <w:r w:rsidR="008C20E7" w:rsidRPr="00E73772">
        <w:rPr>
          <w:rFonts w:cs="Arial"/>
          <w:bCs/>
          <w:szCs w:val="22"/>
        </w:rPr>
        <w:t>1</w:t>
      </w:r>
      <w:r w:rsidR="003D19C3" w:rsidRPr="00E73772">
        <w:rPr>
          <w:rFonts w:cs="Arial"/>
          <w:bCs/>
          <w:szCs w:val="22"/>
        </w:rPr>
        <w:t xml:space="preserve">6 for the recognition and </w:t>
      </w:r>
      <w:r w:rsidR="003D19C3" w:rsidRPr="00E73772">
        <w:rPr>
          <w:rFonts w:cs="Arial"/>
          <w:bCs/>
          <w:szCs w:val="22"/>
        </w:rPr>
        <w:lastRenderedPageBreak/>
        <w:t xml:space="preserve">enforcement of arbitration agreements and states that </w:t>
      </w:r>
      <w:r w:rsidR="005D2A8B" w:rsidRPr="00E73772">
        <w:rPr>
          <w:rFonts w:cs="Arial"/>
          <w:bCs/>
          <w:szCs w:val="22"/>
        </w:rPr>
        <w:t>arbitration</w:t>
      </w:r>
      <w:r w:rsidR="003D19C3" w:rsidRPr="00E73772">
        <w:rPr>
          <w:rFonts w:cs="Arial"/>
          <w:bCs/>
          <w:szCs w:val="22"/>
        </w:rPr>
        <w:t xml:space="preserve"> agreements must be recognised and enforced in South Africa as required by the UNCITRAL Model Law reflected in </w:t>
      </w:r>
      <w:r w:rsidR="002120E9" w:rsidRPr="00E73772">
        <w:rPr>
          <w:rFonts w:cs="Arial"/>
          <w:bCs/>
          <w:szCs w:val="22"/>
        </w:rPr>
        <w:t xml:space="preserve">Schedule </w:t>
      </w:r>
      <w:r w:rsidR="003D19C3" w:rsidRPr="00E73772">
        <w:rPr>
          <w:rFonts w:cs="Arial"/>
          <w:bCs/>
          <w:szCs w:val="22"/>
        </w:rPr>
        <w:t xml:space="preserve">1 to the Act. Article 8 of the </w:t>
      </w:r>
      <w:r w:rsidR="002120E9" w:rsidRPr="00E73772">
        <w:rPr>
          <w:rFonts w:cs="Arial"/>
          <w:bCs/>
          <w:szCs w:val="22"/>
        </w:rPr>
        <w:t xml:space="preserve">Schedule </w:t>
      </w:r>
      <w:r w:rsidR="003D19C3" w:rsidRPr="00E73772">
        <w:rPr>
          <w:rFonts w:cs="Arial"/>
          <w:bCs/>
          <w:szCs w:val="22"/>
        </w:rPr>
        <w:t>then provides that a Court</w:t>
      </w:r>
      <w:r w:rsidR="00B76CDD" w:rsidRPr="00E73772">
        <w:rPr>
          <w:rFonts w:cs="Arial"/>
          <w:bCs/>
          <w:szCs w:val="22"/>
        </w:rPr>
        <w:t xml:space="preserve"> shall</w:t>
      </w:r>
      <w:r w:rsidR="003D19C3" w:rsidRPr="00E73772">
        <w:rPr>
          <w:rFonts w:cs="Arial"/>
          <w:bCs/>
          <w:szCs w:val="22"/>
        </w:rPr>
        <w:t xml:space="preserve">, if so requested by a party, not later than when submitting </w:t>
      </w:r>
      <w:r w:rsidR="00C819E2" w:rsidRPr="00E73772">
        <w:rPr>
          <w:rFonts w:cs="Arial"/>
          <w:bCs/>
          <w:szCs w:val="22"/>
        </w:rPr>
        <w:t>its</w:t>
      </w:r>
      <w:r w:rsidR="003D19C3" w:rsidRPr="00E73772">
        <w:rPr>
          <w:rFonts w:cs="Arial"/>
          <w:bCs/>
          <w:szCs w:val="22"/>
        </w:rPr>
        <w:t xml:space="preserve"> first statement on the substance of the dispute, stay those proceedings and refer the parties to arbitration unless it finds that the agreement is </w:t>
      </w:r>
      <w:r w:rsidR="00B76CDD" w:rsidRPr="00E73772">
        <w:rPr>
          <w:rFonts w:cs="Arial"/>
          <w:bCs/>
          <w:szCs w:val="22"/>
        </w:rPr>
        <w:t>-</w:t>
      </w:r>
    </w:p>
    <w:p w14:paraId="0533735A" w14:textId="5F52FD61" w:rsidR="008C20E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34.1</w:t>
      </w:r>
      <w:r w:rsidRPr="00E73772">
        <w:rPr>
          <w:rFonts w:cs="Arial"/>
          <w:bCs/>
          <w:szCs w:val="22"/>
        </w:rPr>
        <w:tab/>
      </w:r>
      <w:r w:rsidR="003D19C3" w:rsidRPr="00E73772">
        <w:rPr>
          <w:rFonts w:cs="Arial"/>
          <w:bCs/>
          <w:szCs w:val="22"/>
        </w:rPr>
        <w:t>n</w:t>
      </w:r>
      <w:r w:rsidR="00B76CDD" w:rsidRPr="00E73772">
        <w:rPr>
          <w:rFonts w:cs="Arial"/>
          <w:bCs/>
          <w:szCs w:val="22"/>
        </w:rPr>
        <w:t>u</w:t>
      </w:r>
      <w:r w:rsidR="003D19C3" w:rsidRPr="00E73772">
        <w:rPr>
          <w:rFonts w:cs="Arial"/>
          <w:bCs/>
          <w:szCs w:val="22"/>
        </w:rPr>
        <w:t>l</w:t>
      </w:r>
      <w:r w:rsidR="00B76CDD" w:rsidRPr="00E73772">
        <w:rPr>
          <w:rFonts w:cs="Arial"/>
          <w:bCs/>
          <w:szCs w:val="22"/>
        </w:rPr>
        <w:t>l</w:t>
      </w:r>
      <w:r w:rsidR="003D19C3" w:rsidRPr="00E73772">
        <w:rPr>
          <w:rFonts w:cs="Arial"/>
          <w:bCs/>
          <w:szCs w:val="22"/>
        </w:rPr>
        <w:t xml:space="preserve"> and void, </w:t>
      </w:r>
    </w:p>
    <w:p w14:paraId="358A3E94" w14:textId="353C248D" w:rsidR="008C20E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34.2</w:t>
      </w:r>
      <w:r w:rsidRPr="00E73772">
        <w:rPr>
          <w:rFonts w:cs="Arial"/>
          <w:bCs/>
          <w:szCs w:val="22"/>
        </w:rPr>
        <w:tab/>
      </w:r>
      <w:r w:rsidR="003D19C3" w:rsidRPr="00E73772">
        <w:rPr>
          <w:rFonts w:cs="Arial"/>
          <w:bCs/>
          <w:szCs w:val="22"/>
        </w:rPr>
        <w:t xml:space="preserve">inoperative or </w:t>
      </w:r>
    </w:p>
    <w:p w14:paraId="6DBFEB0A" w14:textId="1CE917A0" w:rsidR="003D19C3"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34.3</w:t>
      </w:r>
      <w:r w:rsidRPr="00E73772">
        <w:rPr>
          <w:rFonts w:cs="Arial"/>
          <w:bCs/>
          <w:szCs w:val="22"/>
        </w:rPr>
        <w:tab/>
      </w:r>
      <w:r w:rsidR="003D19C3" w:rsidRPr="00E73772">
        <w:rPr>
          <w:rFonts w:cs="Arial"/>
          <w:bCs/>
          <w:szCs w:val="22"/>
        </w:rPr>
        <w:t>incapable of being performed.</w:t>
      </w:r>
    </w:p>
    <w:p w14:paraId="34549F0A" w14:textId="42DC6A5C" w:rsidR="009C0CB4"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[35]</w:t>
      </w:r>
      <w:r w:rsidRPr="00E73772">
        <w:rPr>
          <w:rFonts w:cs="Arial"/>
          <w:bCs/>
          <w:szCs w:val="22"/>
        </w:rPr>
        <w:tab/>
      </w:r>
      <w:r w:rsidR="008C20E7" w:rsidRPr="00E73772">
        <w:rPr>
          <w:rFonts w:cs="Arial"/>
          <w:bCs/>
          <w:szCs w:val="22"/>
        </w:rPr>
        <w:t xml:space="preserve">For reasons set </w:t>
      </w:r>
      <w:r w:rsidR="00843AD1" w:rsidRPr="00E73772">
        <w:rPr>
          <w:rFonts w:cs="Arial"/>
          <w:bCs/>
          <w:szCs w:val="22"/>
        </w:rPr>
        <w:t>in this judgment</w:t>
      </w:r>
      <w:r w:rsidR="000179FE" w:rsidRPr="00E73772">
        <w:rPr>
          <w:rFonts w:cs="Arial"/>
          <w:bCs/>
          <w:szCs w:val="22"/>
        </w:rPr>
        <w:t xml:space="preserve"> </w:t>
      </w:r>
      <w:r w:rsidR="008C20E7" w:rsidRPr="00E73772">
        <w:rPr>
          <w:rFonts w:cs="Arial"/>
          <w:bCs/>
          <w:szCs w:val="22"/>
        </w:rPr>
        <w:t>the asset agreement is indeed void, inoperative, and incapable of being performed, and the reliance on arbitration as a dilatory plea must therefore fail.</w:t>
      </w:r>
      <w:r w:rsidR="009C0CB4" w:rsidRPr="00E73772">
        <w:rPr>
          <w:rFonts w:cs="Arial"/>
          <w:bCs/>
          <w:szCs w:val="22"/>
        </w:rPr>
        <w:t xml:space="preserve"> </w:t>
      </w:r>
    </w:p>
    <w:p w14:paraId="18DEEAB9" w14:textId="66576C23" w:rsidR="00CF7446"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[36]</w:t>
      </w:r>
      <w:r w:rsidRPr="00E73772">
        <w:rPr>
          <w:rFonts w:cs="Arial"/>
          <w:bCs/>
          <w:szCs w:val="22"/>
        </w:rPr>
        <w:tab/>
      </w:r>
      <w:r w:rsidR="00B76CDD" w:rsidRPr="00E73772">
        <w:rPr>
          <w:rFonts w:cs="Arial"/>
          <w:bCs/>
          <w:szCs w:val="22"/>
        </w:rPr>
        <w:t xml:space="preserve">If I am </w:t>
      </w:r>
      <w:r w:rsidR="00C930C5">
        <w:rPr>
          <w:rFonts w:cs="Arial"/>
          <w:bCs/>
          <w:szCs w:val="22"/>
        </w:rPr>
        <w:t>mistaken</w:t>
      </w:r>
      <w:r w:rsidR="00B76CDD" w:rsidRPr="00E73772">
        <w:rPr>
          <w:rFonts w:cs="Arial"/>
          <w:bCs/>
          <w:szCs w:val="22"/>
        </w:rPr>
        <w:t xml:space="preserve"> in dealing with the matter under the International Arbitration Act, the domestic Arbitration Act and </w:t>
      </w:r>
      <w:r w:rsidR="00CF7446" w:rsidRPr="00E73772">
        <w:rPr>
          <w:rFonts w:cs="Arial"/>
          <w:bCs/>
          <w:szCs w:val="22"/>
        </w:rPr>
        <w:t xml:space="preserve">in particular </w:t>
      </w:r>
      <w:r w:rsidR="005356E2" w:rsidRPr="00E73772">
        <w:rPr>
          <w:rFonts w:cs="Arial"/>
          <w:bCs/>
          <w:szCs w:val="22"/>
        </w:rPr>
        <w:t xml:space="preserve">sections 3 and 6 of the Act </w:t>
      </w:r>
      <w:r w:rsidR="00CF7446" w:rsidRPr="00E73772">
        <w:rPr>
          <w:rFonts w:cs="Arial"/>
          <w:bCs/>
          <w:szCs w:val="22"/>
        </w:rPr>
        <w:t>apply</w:t>
      </w:r>
      <w:r w:rsidR="005356E2" w:rsidRPr="00E73772">
        <w:rPr>
          <w:rFonts w:cs="Arial"/>
          <w:bCs/>
          <w:szCs w:val="22"/>
        </w:rPr>
        <w:t>.</w:t>
      </w:r>
      <w:r w:rsidR="00CF7446" w:rsidRPr="00E73772">
        <w:rPr>
          <w:rStyle w:val="FootnoteReference"/>
          <w:rFonts w:cs="Arial"/>
          <w:bCs/>
          <w:szCs w:val="22"/>
        </w:rPr>
        <w:footnoteReference w:id="22"/>
      </w:r>
      <w:r w:rsidR="00CF7446" w:rsidRPr="00E73772">
        <w:rPr>
          <w:rFonts w:cs="Arial"/>
          <w:bCs/>
          <w:szCs w:val="22"/>
        </w:rPr>
        <w:t xml:space="preserve"> When there is an arbitration clause in a contract, the parties are bound by their contract and the Court will usually give effect to the arbitration clause in the exercise of its jurisdiction. </w:t>
      </w:r>
    </w:p>
    <w:p w14:paraId="3ADF7367" w14:textId="18FE1424" w:rsidR="00CF7446"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[37]</w:t>
      </w:r>
      <w:r w:rsidRPr="00E73772">
        <w:rPr>
          <w:rFonts w:cs="Arial"/>
          <w:bCs/>
          <w:szCs w:val="22"/>
        </w:rPr>
        <w:tab/>
      </w:r>
      <w:r w:rsidR="00CF7446" w:rsidRPr="00E73772">
        <w:rPr>
          <w:rFonts w:cs="Arial"/>
          <w:bCs/>
          <w:szCs w:val="22"/>
        </w:rPr>
        <w:t>However, this is not so when the contract itself is void. There is nothing to refer to arbitration. In N</w:t>
      </w:r>
      <w:r w:rsidR="00CF7446" w:rsidRPr="00E73772">
        <w:rPr>
          <w:rFonts w:cs="Arial"/>
          <w:bCs/>
          <w:i/>
          <w:szCs w:val="22"/>
        </w:rPr>
        <w:t>orth East Finance (Pty) Ltd v Standard Bank of South Africa Ltd</w:t>
      </w:r>
      <w:r w:rsidR="00CF7446" w:rsidRPr="00E73772">
        <w:rPr>
          <w:rStyle w:val="FootnoteReference"/>
          <w:rFonts w:cs="Arial"/>
          <w:bCs/>
          <w:i/>
          <w:szCs w:val="22"/>
        </w:rPr>
        <w:footnoteReference w:id="23"/>
      </w:r>
      <w:r w:rsidR="00CF7446" w:rsidRPr="00E73772">
        <w:rPr>
          <w:rFonts w:cs="Arial"/>
          <w:bCs/>
          <w:szCs w:val="22"/>
        </w:rPr>
        <w:t xml:space="preserve"> Lewis </w:t>
      </w:r>
      <w:r w:rsidR="00CF7446" w:rsidRPr="00E73772">
        <w:rPr>
          <w:rFonts w:cs="Arial"/>
          <w:bCs/>
          <w:szCs w:val="22"/>
        </w:rPr>
        <w:lastRenderedPageBreak/>
        <w:t xml:space="preserve">JA held that: </w:t>
      </w:r>
    </w:p>
    <w:p w14:paraId="295B191A" w14:textId="782995D8" w:rsidR="00CF7446" w:rsidRPr="00C930C5" w:rsidRDefault="00C930C5" w:rsidP="00492C65">
      <w:pPr>
        <w:widowControl w:val="0"/>
        <w:spacing w:before="120" w:after="120" w:line="360" w:lineRule="auto"/>
        <w:ind w:left="1440"/>
        <w:jc w:val="both"/>
        <w:rPr>
          <w:rFonts w:cs="Arial"/>
          <w:i/>
          <w:iCs/>
          <w:color w:val="2C3E50"/>
          <w:szCs w:val="22"/>
          <w:shd w:val="clear" w:color="auto" w:fill="FFFFFF"/>
        </w:rPr>
      </w:pPr>
      <w:r w:rsidRPr="00C930C5">
        <w:rPr>
          <w:rFonts w:cs="Arial"/>
          <w:i/>
          <w:iCs/>
          <w:color w:val="000000" w:themeColor="text1"/>
          <w:szCs w:val="22"/>
          <w:shd w:val="clear" w:color="auto" w:fill="FFFFFF"/>
        </w:rPr>
        <w:t>“</w:t>
      </w:r>
      <w:r w:rsidR="00CF7446" w:rsidRPr="00C930C5">
        <w:rPr>
          <w:rFonts w:cs="Arial"/>
          <w:i/>
          <w:iCs/>
          <w:color w:val="000000" w:themeColor="text1"/>
          <w:szCs w:val="22"/>
          <w:shd w:val="clear" w:color="auto" w:fill="FFFFFF"/>
        </w:rPr>
        <w:t>If a contract is void from the outset then all of its clauses, including exemption and reference to arbitration clauses, fall with it</w:t>
      </w:r>
      <w:r w:rsidR="00CF7446" w:rsidRPr="00C930C5">
        <w:rPr>
          <w:rFonts w:cs="Arial"/>
          <w:i/>
          <w:iCs/>
          <w:color w:val="2C3E50"/>
          <w:szCs w:val="22"/>
          <w:shd w:val="clear" w:color="auto" w:fill="FFFFFF"/>
        </w:rPr>
        <w:t>.</w:t>
      </w:r>
      <w:r w:rsidRPr="00C930C5">
        <w:rPr>
          <w:rFonts w:cs="Arial"/>
          <w:i/>
          <w:iCs/>
          <w:color w:val="2C3E50"/>
          <w:szCs w:val="22"/>
          <w:shd w:val="clear" w:color="auto" w:fill="FFFFFF"/>
        </w:rPr>
        <w:t>”</w:t>
      </w:r>
    </w:p>
    <w:p w14:paraId="2324FEBC" w14:textId="77777777" w:rsidR="00C819E2" w:rsidRPr="00E73772" w:rsidRDefault="00C819E2" w:rsidP="00C819E2">
      <w:pPr>
        <w:widowControl w:val="0"/>
        <w:spacing w:before="120" w:after="120" w:line="360" w:lineRule="auto"/>
        <w:ind w:left="1440"/>
        <w:jc w:val="both"/>
        <w:rPr>
          <w:rFonts w:cs="Arial"/>
          <w:color w:val="2C3E50"/>
          <w:szCs w:val="22"/>
          <w:shd w:val="clear" w:color="auto" w:fill="FFFFFF"/>
        </w:rPr>
      </w:pPr>
    </w:p>
    <w:p w14:paraId="546BF37B" w14:textId="6C97DCCA" w:rsidR="00D34AF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[38]</w:t>
      </w:r>
      <w:r w:rsidRPr="00E73772">
        <w:rPr>
          <w:rFonts w:cs="Arial"/>
          <w:bCs/>
          <w:szCs w:val="22"/>
        </w:rPr>
        <w:tab/>
      </w:r>
      <w:r w:rsidR="00281EB7" w:rsidRPr="00E73772">
        <w:rPr>
          <w:rFonts w:cs="Arial"/>
          <w:bCs/>
          <w:szCs w:val="22"/>
        </w:rPr>
        <w:t xml:space="preserve">There is a second reason why the reliance on the arbitration clause must fail. </w:t>
      </w:r>
      <w:r w:rsidR="005219EB" w:rsidRPr="00E73772">
        <w:rPr>
          <w:rFonts w:cs="Arial"/>
          <w:bCs/>
          <w:szCs w:val="22"/>
        </w:rPr>
        <w:t>Any arbitration clause must be interpreted also to determine whether or not the specific dispute is covered by the arbitration clause.</w:t>
      </w:r>
      <w:r w:rsidR="003F3EE4" w:rsidRPr="00E73772">
        <w:rPr>
          <w:rStyle w:val="FootnoteReference"/>
          <w:rFonts w:cs="Arial"/>
          <w:bCs/>
          <w:szCs w:val="22"/>
        </w:rPr>
        <w:footnoteReference w:id="24"/>
      </w:r>
      <w:r w:rsidR="005219EB" w:rsidRPr="00E73772">
        <w:rPr>
          <w:rFonts w:cs="Arial"/>
          <w:bCs/>
          <w:szCs w:val="22"/>
        </w:rPr>
        <w:t xml:space="preserve"> An arbitration clause or arbitration agreement </w:t>
      </w:r>
      <w:r w:rsidR="002120E9" w:rsidRPr="00E73772">
        <w:rPr>
          <w:rFonts w:cs="Arial"/>
          <w:bCs/>
          <w:szCs w:val="22"/>
        </w:rPr>
        <w:t>may</w:t>
      </w:r>
      <w:r w:rsidR="005219EB" w:rsidRPr="00E73772">
        <w:rPr>
          <w:rFonts w:cs="Arial"/>
          <w:bCs/>
          <w:szCs w:val="22"/>
        </w:rPr>
        <w:t xml:space="preserve"> pertain to all disputes between the parties or to certain disputes.</w:t>
      </w:r>
    </w:p>
    <w:p w14:paraId="4210ACB0" w14:textId="3D832E66" w:rsidR="005219E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[39]</w:t>
      </w:r>
      <w:r w:rsidRPr="00E73772">
        <w:rPr>
          <w:rFonts w:cs="Arial"/>
          <w:bCs/>
          <w:szCs w:val="22"/>
        </w:rPr>
        <w:tab/>
      </w:r>
      <w:r w:rsidR="005219EB" w:rsidRPr="00E73772">
        <w:rPr>
          <w:rFonts w:cs="Arial"/>
          <w:bCs/>
          <w:szCs w:val="22"/>
        </w:rPr>
        <w:t>The clause provide</w:t>
      </w:r>
      <w:r w:rsidR="002120E9" w:rsidRPr="00E73772">
        <w:rPr>
          <w:rFonts w:cs="Arial"/>
          <w:bCs/>
          <w:szCs w:val="22"/>
        </w:rPr>
        <w:t>s</w:t>
      </w:r>
      <w:r w:rsidR="005219EB" w:rsidRPr="00E73772">
        <w:rPr>
          <w:rFonts w:cs="Arial"/>
          <w:bCs/>
          <w:szCs w:val="22"/>
        </w:rPr>
        <w:t xml:space="preserve"> that:</w:t>
      </w:r>
    </w:p>
    <w:p w14:paraId="1D6D2BCC" w14:textId="4E3B883C" w:rsidR="005219EB" w:rsidRPr="00E73772" w:rsidRDefault="005219EB" w:rsidP="009C1188">
      <w:pPr>
        <w:widowControl w:val="0"/>
        <w:spacing w:before="120" w:after="120" w:line="360" w:lineRule="auto"/>
        <w:ind w:left="1440"/>
        <w:jc w:val="both"/>
        <w:rPr>
          <w:rFonts w:cs="Arial"/>
          <w:bCs/>
          <w:i/>
          <w:szCs w:val="22"/>
        </w:rPr>
      </w:pPr>
      <w:r w:rsidRPr="00E73772">
        <w:rPr>
          <w:rFonts w:cs="Arial"/>
          <w:bCs/>
          <w:i/>
          <w:szCs w:val="22"/>
        </w:rPr>
        <w:t>“Any eventual controversy, having as object the interpretation of the clauses of the Agreement will be submitted to arbitration, board according to the rules of conciliation and arbitrate of the International Chambers of Commerce (ICC), Paris, France. This agreement, and, any amendments hereto, shall first be governed by and subject to the rules of conciliation and arbitrate of the International Chambers of Commerce (ICC), Paris, France, thereby and automatically superseding any and all (jurisdictional) ‘conflict of laws’ issues/matters alleged or deemed applicable thereto.”</w:t>
      </w:r>
      <w:r w:rsidR="007B088D" w:rsidRPr="00E73772">
        <w:rPr>
          <w:rStyle w:val="FootnoteReference"/>
          <w:rFonts w:cs="Arial"/>
          <w:bCs/>
          <w:i/>
          <w:szCs w:val="22"/>
        </w:rPr>
        <w:footnoteReference w:id="25"/>
      </w:r>
    </w:p>
    <w:p w14:paraId="5CE63F8F" w14:textId="77777777" w:rsidR="007B088D" w:rsidRPr="00E73772" w:rsidRDefault="007B088D" w:rsidP="00281EB7">
      <w:pPr>
        <w:widowControl w:val="0"/>
        <w:spacing w:before="480" w:after="480"/>
        <w:ind w:left="1440"/>
        <w:jc w:val="both"/>
        <w:rPr>
          <w:rFonts w:cs="Arial"/>
          <w:bCs/>
          <w:iCs/>
          <w:szCs w:val="22"/>
        </w:rPr>
      </w:pPr>
    </w:p>
    <w:p w14:paraId="7FA99FC7" w14:textId="6E4DE626" w:rsidR="00C930C5" w:rsidRDefault="00756B17" w:rsidP="00756B17">
      <w:pPr>
        <w:widowControl w:val="0"/>
        <w:tabs>
          <w:tab w:val="left" w:pos="567"/>
        </w:tabs>
        <w:spacing w:before="480" w:after="480" w:line="480" w:lineRule="auto"/>
        <w:jc w:val="both"/>
        <w:rPr>
          <w:rFonts w:cs="Arial"/>
          <w:bCs/>
          <w:szCs w:val="22"/>
        </w:rPr>
      </w:pPr>
      <w:r>
        <w:rPr>
          <w:rFonts w:cs="Arial"/>
          <w:bCs/>
          <w:szCs w:val="22"/>
        </w:rPr>
        <w:t>[40]</w:t>
      </w:r>
      <w:r>
        <w:rPr>
          <w:rFonts w:cs="Arial"/>
          <w:bCs/>
          <w:szCs w:val="22"/>
        </w:rPr>
        <w:tab/>
      </w:r>
      <w:r w:rsidR="009C0CB4" w:rsidRPr="00E73772">
        <w:rPr>
          <w:rFonts w:cs="Arial"/>
          <w:bCs/>
          <w:szCs w:val="22"/>
        </w:rPr>
        <w:t xml:space="preserve">The dispute now  before the court pertains to much more than interpretation of the clauses – it pertains to rectification and the applicability of the FAIS Act. </w:t>
      </w:r>
      <w:r w:rsidR="009869F2" w:rsidRPr="00E73772">
        <w:rPr>
          <w:rFonts w:cs="Arial"/>
          <w:bCs/>
          <w:szCs w:val="22"/>
        </w:rPr>
        <w:t xml:space="preserve">Insofar as the present dispute does not relate to the interpretation of the clauses of the agreement, </w:t>
      </w:r>
      <w:r w:rsidR="009869F2" w:rsidRPr="00E73772">
        <w:rPr>
          <w:rFonts w:cs="Arial"/>
          <w:bCs/>
          <w:szCs w:val="22"/>
        </w:rPr>
        <w:lastRenderedPageBreak/>
        <w:t>arbitration is not possible.</w:t>
      </w:r>
    </w:p>
    <w:p w14:paraId="0035EDF5" w14:textId="488D42F1" w:rsidR="005219EB" w:rsidRDefault="00756B17" w:rsidP="00756B17">
      <w:pPr>
        <w:widowControl w:val="0"/>
        <w:tabs>
          <w:tab w:val="left" w:pos="567"/>
        </w:tabs>
        <w:spacing w:before="480" w:after="480" w:line="480" w:lineRule="auto"/>
        <w:jc w:val="both"/>
        <w:rPr>
          <w:rFonts w:cs="Arial"/>
          <w:bCs/>
          <w:szCs w:val="22"/>
        </w:rPr>
      </w:pPr>
      <w:r>
        <w:rPr>
          <w:rFonts w:cs="Arial"/>
          <w:bCs/>
          <w:szCs w:val="22"/>
        </w:rPr>
        <w:t>[41]</w:t>
      </w:r>
      <w:r>
        <w:rPr>
          <w:rFonts w:cs="Arial"/>
          <w:bCs/>
          <w:szCs w:val="22"/>
        </w:rPr>
        <w:tab/>
      </w:r>
      <w:r w:rsidR="003F3EE4" w:rsidRPr="00E73772">
        <w:rPr>
          <w:rFonts w:cs="Arial"/>
          <w:bCs/>
          <w:szCs w:val="22"/>
        </w:rPr>
        <w:t>The respondent’s counsel argued that the scope of the clause is expanded by the second sentence, but this is not so. The first sentence relates to ‘any controversy</w:t>
      </w:r>
      <w:r w:rsidR="00281EB7" w:rsidRPr="00E73772">
        <w:rPr>
          <w:rFonts w:cs="Arial"/>
          <w:bCs/>
          <w:szCs w:val="22"/>
        </w:rPr>
        <w:t>’</w:t>
      </w:r>
      <w:r w:rsidR="003F3EE4" w:rsidRPr="00E73772">
        <w:rPr>
          <w:rFonts w:cs="Arial"/>
          <w:bCs/>
          <w:szCs w:val="22"/>
        </w:rPr>
        <w:t xml:space="preserve"> and then limits the scope, while the second sentence states that ‘this agreement’ to arbitrate</w:t>
      </w:r>
      <w:r w:rsidR="007B088D" w:rsidRPr="00E73772">
        <w:rPr>
          <w:rFonts w:cs="Arial"/>
          <w:bCs/>
          <w:szCs w:val="22"/>
        </w:rPr>
        <w:t xml:space="preserve"> (in terms of the first sentence)</w:t>
      </w:r>
      <w:r w:rsidR="003F3EE4" w:rsidRPr="00E73772">
        <w:rPr>
          <w:rFonts w:cs="Arial"/>
          <w:bCs/>
          <w:szCs w:val="22"/>
        </w:rPr>
        <w:t xml:space="preserve"> shall supersede </w:t>
      </w:r>
      <w:r w:rsidR="001130FD" w:rsidRPr="00E73772">
        <w:rPr>
          <w:rFonts w:cs="Arial"/>
          <w:bCs/>
          <w:szCs w:val="22"/>
        </w:rPr>
        <w:t>‘</w:t>
      </w:r>
      <w:r w:rsidR="003F3EE4" w:rsidRPr="00E73772">
        <w:rPr>
          <w:rFonts w:cs="Arial"/>
          <w:bCs/>
          <w:szCs w:val="22"/>
        </w:rPr>
        <w:t>any and all conflict of laws issues.</w:t>
      </w:r>
      <w:r w:rsidR="001130FD" w:rsidRPr="00E73772">
        <w:rPr>
          <w:rFonts w:cs="Arial"/>
          <w:bCs/>
          <w:szCs w:val="22"/>
        </w:rPr>
        <w:t>’</w:t>
      </w:r>
    </w:p>
    <w:p w14:paraId="14B49419" w14:textId="6F9880AC" w:rsidR="00C930C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[42]</w:t>
      </w:r>
      <w:r w:rsidRPr="00E73772">
        <w:rPr>
          <w:rFonts w:cs="Arial"/>
          <w:bCs/>
          <w:szCs w:val="22"/>
        </w:rPr>
        <w:tab/>
      </w:r>
      <w:r w:rsidR="00C930C5" w:rsidRPr="00E73772">
        <w:rPr>
          <w:rFonts w:cs="Arial"/>
          <w:bCs/>
          <w:szCs w:val="22"/>
        </w:rPr>
        <w:t>Prior to rectification, AS will not be a party to the arbitration as it is not a party to the agreement. It would have a direct and substantial interest in the arbitration but no standing. The second and third respondent will also not be parties to the arbitration but will likewise have an interest in the outcome.</w:t>
      </w:r>
      <w:r w:rsidR="00C930C5">
        <w:rPr>
          <w:rFonts w:cs="Arial"/>
          <w:bCs/>
          <w:szCs w:val="22"/>
        </w:rPr>
        <w:t xml:space="preserve"> Referring the dispute between the applicant and the first respondent to arbitration in France while there is a pending dispute between the applicant and the second and third respondents in South Africa means an unacceptable multiplicity of actions.</w:t>
      </w:r>
    </w:p>
    <w:p w14:paraId="6D2DE4EF" w14:textId="7443FEF2" w:rsidR="00C930C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[43]</w:t>
      </w:r>
      <w:r w:rsidRPr="00E73772">
        <w:rPr>
          <w:rFonts w:cs="Arial"/>
          <w:bCs/>
          <w:szCs w:val="22"/>
        </w:rPr>
        <w:tab/>
      </w:r>
      <w:r w:rsidR="00C930C5">
        <w:rPr>
          <w:rFonts w:cs="Arial"/>
          <w:bCs/>
          <w:szCs w:val="22"/>
        </w:rPr>
        <w:t>For all these reasons referral to arbitration is not ordered.</w:t>
      </w:r>
    </w:p>
    <w:p w14:paraId="508DDE72" w14:textId="77777777" w:rsidR="00C930C5" w:rsidRDefault="00C930C5" w:rsidP="00113B92">
      <w:pPr>
        <w:widowControl w:val="0"/>
        <w:spacing w:before="480" w:after="480" w:line="480" w:lineRule="auto"/>
        <w:jc w:val="both"/>
        <w:rPr>
          <w:rFonts w:cs="Arial"/>
          <w:bCs/>
          <w:szCs w:val="22"/>
          <w:u w:val="single"/>
        </w:rPr>
      </w:pPr>
    </w:p>
    <w:p w14:paraId="3D38EA2C" w14:textId="3B5BEC88" w:rsidR="00830F84" w:rsidRPr="00E73772" w:rsidRDefault="00113B92" w:rsidP="00113B92">
      <w:pPr>
        <w:widowControl w:val="0"/>
        <w:spacing w:before="480" w:after="480" w:line="480" w:lineRule="auto"/>
        <w:jc w:val="both"/>
        <w:rPr>
          <w:rFonts w:cs="Arial"/>
          <w:bCs/>
          <w:szCs w:val="22"/>
          <w:u w:val="single"/>
        </w:rPr>
      </w:pPr>
      <w:r w:rsidRPr="00E73772">
        <w:rPr>
          <w:rFonts w:cs="Arial"/>
          <w:bCs/>
          <w:szCs w:val="22"/>
          <w:u w:val="single"/>
        </w:rPr>
        <w:t xml:space="preserve">THE ASSET MANAGEMENT AGREEMENT </w:t>
      </w:r>
      <w:r w:rsidR="00803D40" w:rsidRPr="00E73772">
        <w:rPr>
          <w:rFonts w:cs="Arial"/>
          <w:bCs/>
          <w:szCs w:val="22"/>
          <w:u w:val="single"/>
        </w:rPr>
        <w:t xml:space="preserve"> IS</w:t>
      </w:r>
      <w:r w:rsidR="007B088D" w:rsidRPr="00E73772">
        <w:rPr>
          <w:rFonts w:cs="Arial"/>
          <w:bCs/>
          <w:szCs w:val="22"/>
          <w:u w:val="single"/>
        </w:rPr>
        <w:t xml:space="preserve">  A NULLITY AND IS</w:t>
      </w:r>
      <w:r w:rsidR="00803D40" w:rsidRPr="00E73772">
        <w:rPr>
          <w:rFonts w:cs="Arial"/>
          <w:bCs/>
          <w:szCs w:val="22"/>
          <w:u w:val="single"/>
        </w:rPr>
        <w:t xml:space="preserve"> </w:t>
      </w:r>
      <w:r w:rsidRPr="00E73772">
        <w:rPr>
          <w:rFonts w:cs="Arial"/>
          <w:bCs/>
          <w:szCs w:val="22"/>
          <w:u w:val="single"/>
        </w:rPr>
        <w:t>VOID</w:t>
      </w:r>
    </w:p>
    <w:p w14:paraId="68E48851" w14:textId="58A2AFED" w:rsidR="005222C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[44]</w:t>
      </w:r>
      <w:r w:rsidRPr="00E73772">
        <w:rPr>
          <w:rFonts w:cs="Arial"/>
          <w:bCs/>
          <w:szCs w:val="22"/>
        </w:rPr>
        <w:tab/>
      </w:r>
      <w:r w:rsidR="005222CB" w:rsidRPr="00E73772">
        <w:rPr>
          <w:rFonts w:cs="Arial"/>
          <w:bCs/>
          <w:szCs w:val="22"/>
        </w:rPr>
        <w:t>Section 7(1) of the FAIS Act provides</w:t>
      </w:r>
      <w:r w:rsidR="00F228EE" w:rsidRPr="00E73772">
        <w:rPr>
          <w:rFonts w:cs="Arial"/>
          <w:bCs/>
          <w:szCs w:val="22"/>
        </w:rPr>
        <w:t xml:space="preserve"> that no person may</w:t>
      </w:r>
      <w:r w:rsidR="005222CB" w:rsidRPr="00E73772">
        <w:rPr>
          <w:rFonts w:cs="Arial"/>
          <w:bCs/>
          <w:szCs w:val="22"/>
        </w:rPr>
        <w:t xml:space="preserve"> </w:t>
      </w:r>
      <w:r w:rsidR="00F228EE" w:rsidRPr="00E73772">
        <w:rPr>
          <w:rFonts w:cs="Arial"/>
          <w:szCs w:val="22"/>
        </w:rPr>
        <w:t>act or offer to act as a financial services provider, unless such person has been issued with a licence under section 8</w:t>
      </w:r>
      <w:r w:rsidR="00635A69" w:rsidRPr="00E73772">
        <w:rPr>
          <w:rFonts w:cs="Arial"/>
          <w:szCs w:val="22"/>
        </w:rPr>
        <w:t xml:space="preserve">. Also, no-one may act or offer to act as a representative, unless appointed as a representative of an authorised financial services provider under section 13. Section </w:t>
      </w:r>
      <w:r w:rsidR="007B088D" w:rsidRPr="00E73772">
        <w:rPr>
          <w:rFonts w:cs="Arial"/>
          <w:szCs w:val="22"/>
        </w:rPr>
        <w:t xml:space="preserve">13 </w:t>
      </w:r>
      <w:r w:rsidR="00635A69" w:rsidRPr="00E73772">
        <w:rPr>
          <w:rFonts w:cs="Arial"/>
          <w:szCs w:val="22"/>
        </w:rPr>
        <w:t>provides that one may not render financial services to clients on behalf of any third party who or that is not authorised or exempted from authorisation. Neither the first respondent nor AS is authorised in terms of the Act.</w:t>
      </w:r>
    </w:p>
    <w:p w14:paraId="1943173E" w14:textId="3E0B7560" w:rsidR="00830F84"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[45]</w:t>
      </w:r>
      <w:r w:rsidRPr="00E73772">
        <w:rPr>
          <w:rFonts w:cs="Arial"/>
          <w:bCs/>
          <w:szCs w:val="22"/>
        </w:rPr>
        <w:tab/>
      </w:r>
      <w:r w:rsidR="00830F84" w:rsidRPr="00E73772">
        <w:rPr>
          <w:rFonts w:cs="Arial"/>
          <w:bCs/>
          <w:szCs w:val="22"/>
        </w:rPr>
        <w:t xml:space="preserve">The applicant alleges that the agreement is void because the first respondent is not </w:t>
      </w:r>
      <w:r w:rsidR="007C23FF" w:rsidRPr="00E73772">
        <w:rPr>
          <w:rFonts w:cs="Arial"/>
          <w:bCs/>
          <w:szCs w:val="22"/>
        </w:rPr>
        <w:t>licensed</w:t>
      </w:r>
      <w:r w:rsidR="00830F84" w:rsidRPr="00E73772">
        <w:rPr>
          <w:rFonts w:cs="Arial"/>
          <w:bCs/>
          <w:szCs w:val="22"/>
        </w:rPr>
        <w:t xml:space="preserve"> to provide financial services. The respondents dispute the allegation that the agreement is void. The respondents state that the day is saved because the first respondent is a product supplier in addition to being an asset manager (whether an asset manager as principal or as an </w:t>
      </w:r>
      <w:r w:rsidR="00C930C5">
        <w:rPr>
          <w:rFonts w:cs="Arial"/>
          <w:bCs/>
          <w:szCs w:val="22"/>
        </w:rPr>
        <w:t>‘</w:t>
      </w:r>
      <w:r w:rsidR="00830F84" w:rsidRPr="00E73772">
        <w:rPr>
          <w:rFonts w:cs="Arial"/>
          <w:bCs/>
          <w:szCs w:val="22"/>
        </w:rPr>
        <w:t>agent</w:t>
      </w:r>
      <w:r w:rsidR="00C930C5">
        <w:rPr>
          <w:rFonts w:cs="Arial"/>
          <w:bCs/>
          <w:szCs w:val="22"/>
        </w:rPr>
        <w:t>’</w:t>
      </w:r>
      <w:r w:rsidR="00830F84" w:rsidRPr="00E73772">
        <w:rPr>
          <w:rFonts w:cs="Arial"/>
          <w:bCs/>
          <w:szCs w:val="22"/>
        </w:rPr>
        <w:t xml:space="preserve"> for </w:t>
      </w:r>
      <w:r w:rsidR="00E84D18" w:rsidRPr="00E73772">
        <w:rPr>
          <w:rFonts w:cs="Arial"/>
          <w:bCs/>
          <w:szCs w:val="22"/>
        </w:rPr>
        <w:t>AS</w:t>
      </w:r>
      <w:r w:rsidR="00830F84" w:rsidRPr="00E73772">
        <w:rPr>
          <w:rFonts w:cs="Arial"/>
          <w:bCs/>
          <w:szCs w:val="22"/>
        </w:rPr>
        <w:t>).</w:t>
      </w:r>
      <w:r w:rsidR="00635A69" w:rsidRPr="00E73772">
        <w:rPr>
          <w:rFonts w:cs="Arial"/>
          <w:bCs/>
          <w:szCs w:val="22"/>
        </w:rPr>
        <w:t xml:space="preserve"> In terms of section 7(2) therefore, </w:t>
      </w:r>
      <w:r w:rsidR="00C930C5">
        <w:rPr>
          <w:rFonts w:cs="Arial"/>
          <w:bCs/>
          <w:szCs w:val="22"/>
        </w:rPr>
        <w:t xml:space="preserve">so the argument goes, </w:t>
      </w:r>
      <w:r w:rsidR="00635A69" w:rsidRPr="00E73772">
        <w:rPr>
          <w:rFonts w:cs="Arial"/>
          <w:bCs/>
          <w:szCs w:val="22"/>
        </w:rPr>
        <w:t xml:space="preserve">the </w:t>
      </w:r>
      <w:r w:rsidR="00A56531" w:rsidRPr="00E73772">
        <w:rPr>
          <w:rFonts w:cs="Arial"/>
          <w:bCs/>
          <w:szCs w:val="22"/>
        </w:rPr>
        <w:t>agreement</w:t>
      </w:r>
      <w:r w:rsidR="00635A69" w:rsidRPr="00E73772">
        <w:rPr>
          <w:rFonts w:cs="Arial"/>
          <w:bCs/>
          <w:szCs w:val="22"/>
        </w:rPr>
        <w:t xml:space="preserve"> is not unenforceable between the first respondent and the applicant.</w:t>
      </w:r>
    </w:p>
    <w:p w14:paraId="5A26C155" w14:textId="1B0F891A" w:rsidR="00830F84"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[46]</w:t>
      </w:r>
      <w:r w:rsidRPr="00E73772">
        <w:rPr>
          <w:rFonts w:cs="Arial"/>
          <w:bCs/>
          <w:szCs w:val="22"/>
        </w:rPr>
        <w:tab/>
      </w:r>
      <w:r w:rsidR="00830F84" w:rsidRPr="00E73772">
        <w:rPr>
          <w:rFonts w:cs="Arial"/>
          <w:bCs/>
          <w:szCs w:val="22"/>
        </w:rPr>
        <w:t xml:space="preserve">In section 1 of the FAIS Act, a product supplier is defined as </w:t>
      </w:r>
      <w:r w:rsidR="00830F84" w:rsidRPr="00E73772">
        <w:rPr>
          <w:rFonts w:cs="Arial"/>
          <w:bCs/>
          <w:i/>
          <w:szCs w:val="22"/>
        </w:rPr>
        <w:t>“any person who issues a financial product</w:t>
      </w:r>
      <w:r w:rsidR="002120E9" w:rsidRPr="00E73772">
        <w:rPr>
          <w:rFonts w:cs="Arial"/>
          <w:bCs/>
          <w:i/>
          <w:szCs w:val="22"/>
        </w:rPr>
        <w:t>.</w:t>
      </w:r>
      <w:r w:rsidR="00830F84" w:rsidRPr="00E73772">
        <w:rPr>
          <w:rFonts w:cs="Arial"/>
          <w:bCs/>
          <w:i/>
          <w:szCs w:val="22"/>
        </w:rPr>
        <w:t>”</w:t>
      </w:r>
      <w:r w:rsidR="004A6625" w:rsidRPr="00E73772">
        <w:rPr>
          <w:rFonts w:cs="Arial"/>
          <w:bCs/>
          <w:szCs w:val="22"/>
        </w:rPr>
        <w:t xml:space="preserve"> </w:t>
      </w:r>
      <w:r w:rsidR="002120E9" w:rsidRPr="00C930C5">
        <w:rPr>
          <w:rFonts w:cs="Arial"/>
          <w:bCs/>
          <w:i/>
          <w:iCs/>
          <w:szCs w:val="22"/>
        </w:rPr>
        <w:t>“Financial product”</w:t>
      </w:r>
      <w:r w:rsidR="002120E9" w:rsidRPr="00E73772">
        <w:rPr>
          <w:rFonts w:cs="Arial"/>
          <w:bCs/>
          <w:szCs w:val="22"/>
        </w:rPr>
        <w:t xml:space="preserve"> </w:t>
      </w:r>
      <w:r w:rsidR="004A6625" w:rsidRPr="00E73772">
        <w:rPr>
          <w:rFonts w:cs="Arial"/>
          <w:bCs/>
          <w:szCs w:val="22"/>
        </w:rPr>
        <w:t xml:space="preserve">in turn means, </w:t>
      </w:r>
      <w:r w:rsidR="004A6625" w:rsidRPr="00E73772">
        <w:rPr>
          <w:rFonts w:cs="Arial"/>
          <w:bCs/>
          <w:i/>
          <w:szCs w:val="22"/>
        </w:rPr>
        <w:t xml:space="preserve">inter alia, </w:t>
      </w:r>
      <w:r w:rsidR="004A6625" w:rsidRPr="00E73772">
        <w:rPr>
          <w:rFonts w:cs="Arial"/>
          <w:bCs/>
          <w:szCs w:val="22"/>
        </w:rPr>
        <w:t xml:space="preserve">a foreign currency nominated investment instrument, including a foreign currency deposit and a deposit as defined in section 1(1) of the Banks Act, 94 of 1990. The respondents rely on these two types of financial products </w:t>
      </w:r>
      <w:r w:rsidR="002120E9" w:rsidRPr="00E73772">
        <w:rPr>
          <w:rFonts w:cs="Arial"/>
          <w:bCs/>
          <w:szCs w:val="22"/>
        </w:rPr>
        <w:t>but</w:t>
      </w:r>
      <w:r w:rsidR="004A6625" w:rsidRPr="00E73772">
        <w:rPr>
          <w:rFonts w:cs="Arial"/>
          <w:bCs/>
          <w:szCs w:val="22"/>
        </w:rPr>
        <w:t xml:space="preserve"> it is useful to also refer to the others. Financial products also </w:t>
      </w:r>
      <w:r w:rsidR="00113B92" w:rsidRPr="00E73772">
        <w:rPr>
          <w:rFonts w:cs="Arial"/>
          <w:bCs/>
          <w:szCs w:val="22"/>
        </w:rPr>
        <w:t xml:space="preserve">include </w:t>
      </w:r>
      <w:r w:rsidR="004A6625" w:rsidRPr="00E73772">
        <w:rPr>
          <w:rFonts w:cs="Arial"/>
          <w:bCs/>
          <w:szCs w:val="22"/>
        </w:rPr>
        <w:t>securities and instruments, including shares, participatory interests in collective investments schemes, long term or short term insurance contracts, pension benefits and health service benefits.</w:t>
      </w:r>
    </w:p>
    <w:p w14:paraId="65108E31" w14:textId="3A02DE1B" w:rsidR="005222C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[47]</w:t>
      </w:r>
      <w:r w:rsidRPr="00E73772">
        <w:rPr>
          <w:rFonts w:cs="Arial"/>
          <w:bCs/>
          <w:szCs w:val="22"/>
        </w:rPr>
        <w:tab/>
      </w:r>
      <w:r w:rsidR="004A6625" w:rsidRPr="00E73772">
        <w:rPr>
          <w:rFonts w:cs="Arial"/>
          <w:bCs/>
          <w:szCs w:val="22"/>
        </w:rPr>
        <w:t xml:space="preserve">Nothing in the </w:t>
      </w:r>
      <w:r w:rsidR="00A56531" w:rsidRPr="00E73772">
        <w:rPr>
          <w:rFonts w:cs="Arial"/>
          <w:bCs/>
          <w:szCs w:val="22"/>
        </w:rPr>
        <w:t>agreement</w:t>
      </w:r>
      <w:r w:rsidR="004A6625" w:rsidRPr="00E73772">
        <w:rPr>
          <w:rFonts w:cs="Arial"/>
          <w:bCs/>
          <w:szCs w:val="22"/>
        </w:rPr>
        <w:t xml:space="preserve"> points to the first respondent acting as a product supplier.</w:t>
      </w:r>
      <w:r w:rsidR="00C930C5">
        <w:rPr>
          <w:rFonts w:cs="Arial"/>
          <w:bCs/>
          <w:szCs w:val="22"/>
        </w:rPr>
        <w:t xml:space="preserve"> </w:t>
      </w:r>
      <w:r w:rsidR="008F25A7" w:rsidRPr="00E73772">
        <w:rPr>
          <w:rFonts w:cs="Arial"/>
          <w:bCs/>
          <w:szCs w:val="22"/>
        </w:rPr>
        <w:t>No financial products issued by the first respondent were identified in argument</w:t>
      </w:r>
      <w:r w:rsidR="00635A69" w:rsidRPr="00E73772">
        <w:rPr>
          <w:rFonts w:cs="Arial"/>
          <w:bCs/>
          <w:szCs w:val="22"/>
        </w:rPr>
        <w:t xml:space="preserve"> or on the papers</w:t>
      </w:r>
      <w:r w:rsidR="008F25A7" w:rsidRPr="00E73772">
        <w:rPr>
          <w:rFonts w:cs="Arial"/>
          <w:bCs/>
          <w:szCs w:val="22"/>
        </w:rPr>
        <w:t xml:space="preserve">. </w:t>
      </w:r>
      <w:r w:rsidR="005222CB" w:rsidRPr="00E73772">
        <w:rPr>
          <w:rFonts w:cs="Arial"/>
          <w:bCs/>
          <w:szCs w:val="22"/>
        </w:rPr>
        <w:t>Rather, the first respondent is expected to give advice and provide intermediary services</w:t>
      </w:r>
      <w:r w:rsidR="007B088D" w:rsidRPr="00E73772">
        <w:rPr>
          <w:rFonts w:cs="Arial"/>
          <w:bCs/>
          <w:szCs w:val="22"/>
        </w:rPr>
        <w:t>,</w:t>
      </w:r>
      <w:r w:rsidR="005222CB" w:rsidRPr="00E73772">
        <w:rPr>
          <w:rStyle w:val="FootnoteReference"/>
          <w:rFonts w:cs="Arial"/>
          <w:bCs/>
          <w:szCs w:val="22"/>
        </w:rPr>
        <w:footnoteReference w:id="26"/>
      </w:r>
      <w:r w:rsidR="007B088D" w:rsidRPr="00E73772">
        <w:rPr>
          <w:rFonts w:cs="Arial"/>
          <w:bCs/>
          <w:szCs w:val="22"/>
        </w:rPr>
        <w:t xml:space="preserve"> and a guarantee was to be obtained from a bank. The bank </w:t>
      </w:r>
      <w:r w:rsidR="00492C65">
        <w:rPr>
          <w:rFonts w:cs="Arial"/>
          <w:bCs/>
          <w:szCs w:val="22"/>
        </w:rPr>
        <w:t>may</w:t>
      </w:r>
      <w:r w:rsidR="007B088D" w:rsidRPr="00E73772">
        <w:rPr>
          <w:rFonts w:cs="Arial"/>
          <w:bCs/>
          <w:szCs w:val="22"/>
        </w:rPr>
        <w:t xml:space="preserve"> be the product supplier.</w:t>
      </w:r>
    </w:p>
    <w:p w14:paraId="57B3682A" w14:textId="79046E28" w:rsidR="004A662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[48]</w:t>
      </w:r>
      <w:r w:rsidRPr="00E73772">
        <w:rPr>
          <w:rFonts w:cs="Arial"/>
          <w:bCs/>
          <w:szCs w:val="22"/>
        </w:rPr>
        <w:tab/>
      </w:r>
      <w:r w:rsidR="004A6625" w:rsidRPr="00E73772">
        <w:rPr>
          <w:rFonts w:cs="Arial"/>
          <w:bCs/>
          <w:szCs w:val="22"/>
        </w:rPr>
        <w:t>When one turns to the</w:t>
      </w:r>
      <w:r w:rsidR="00C930C5">
        <w:rPr>
          <w:rFonts w:cs="Arial"/>
          <w:bCs/>
          <w:szCs w:val="22"/>
        </w:rPr>
        <w:t xml:space="preserve"> agency agreement, identified as the</w:t>
      </w:r>
      <w:r w:rsidR="004A6625" w:rsidRPr="00E73772">
        <w:rPr>
          <w:rFonts w:cs="Arial"/>
          <w:bCs/>
          <w:szCs w:val="22"/>
        </w:rPr>
        <w:t xml:space="preserve"> agent appointment agreement, it states that </w:t>
      </w:r>
      <w:r w:rsidR="00E84D18" w:rsidRPr="00E73772">
        <w:rPr>
          <w:rFonts w:cs="Arial"/>
          <w:bCs/>
          <w:szCs w:val="22"/>
        </w:rPr>
        <w:t>AS</w:t>
      </w:r>
      <w:r w:rsidR="004A6625" w:rsidRPr="00E73772">
        <w:rPr>
          <w:rFonts w:cs="Arial"/>
          <w:bCs/>
          <w:szCs w:val="22"/>
        </w:rPr>
        <w:t xml:space="preserve">, a company operating from London, appointed the first respondent as its exclusive and sole agent in South Africa and other African countries for </w:t>
      </w:r>
      <w:r w:rsidR="004A6625" w:rsidRPr="00E73772">
        <w:rPr>
          <w:rFonts w:cs="Arial"/>
          <w:bCs/>
          <w:szCs w:val="22"/>
        </w:rPr>
        <w:lastRenderedPageBreak/>
        <w:t xml:space="preserve">the management of transactions with clients for project funding involving bank instruments to be employed in financial schemes for attuning </w:t>
      </w:r>
      <w:r w:rsidR="001142D1" w:rsidRPr="00E73772">
        <w:rPr>
          <w:rFonts w:cs="Arial"/>
          <w:bCs/>
          <w:szCs w:val="22"/>
        </w:rPr>
        <w:t xml:space="preserve">product funding for clients by means of special operations with </w:t>
      </w:r>
      <w:r w:rsidR="00E84D18" w:rsidRPr="00E73772">
        <w:rPr>
          <w:rFonts w:cs="Arial"/>
          <w:bCs/>
          <w:szCs w:val="22"/>
        </w:rPr>
        <w:t>AS</w:t>
      </w:r>
      <w:r w:rsidR="001142D1" w:rsidRPr="00E73772">
        <w:rPr>
          <w:rFonts w:cs="Arial"/>
          <w:bCs/>
          <w:szCs w:val="22"/>
        </w:rPr>
        <w:t xml:space="preserve">. </w:t>
      </w:r>
      <w:r w:rsidR="00E84D18" w:rsidRPr="00E73772">
        <w:rPr>
          <w:rFonts w:cs="Arial"/>
          <w:bCs/>
          <w:szCs w:val="22"/>
        </w:rPr>
        <w:t>AS</w:t>
      </w:r>
      <w:r w:rsidR="001142D1" w:rsidRPr="00E73772">
        <w:rPr>
          <w:rFonts w:cs="Arial"/>
          <w:bCs/>
          <w:szCs w:val="22"/>
        </w:rPr>
        <w:t xml:space="preserve"> is not expected to </w:t>
      </w:r>
      <w:r w:rsidR="00635A69" w:rsidRPr="00E73772">
        <w:rPr>
          <w:rFonts w:cs="Arial"/>
          <w:bCs/>
          <w:szCs w:val="22"/>
        </w:rPr>
        <w:t>issue</w:t>
      </w:r>
      <w:r w:rsidR="001142D1" w:rsidRPr="00E73772">
        <w:rPr>
          <w:rFonts w:cs="Arial"/>
          <w:bCs/>
          <w:szCs w:val="22"/>
        </w:rPr>
        <w:t xml:space="preserve"> these financial products. </w:t>
      </w:r>
    </w:p>
    <w:p w14:paraId="21A19834" w14:textId="7545275F" w:rsidR="007B088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[49]</w:t>
      </w:r>
      <w:r w:rsidRPr="00E73772">
        <w:rPr>
          <w:rFonts w:cs="Arial"/>
          <w:bCs/>
          <w:szCs w:val="22"/>
        </w:rPr>
        <w:tab/>
      </w:r>
      <w:r w:rsidR="001142D1" w:rsidRPr="00E73772">
        <w:rPr>
          <w:rFonts w:cs="Arial"/>
          <w:bCs/>
          <w:szCs w:val="22"/>
        </w:rPr>
        <w:t xml:space="preserve">Reading section 7, it is clear that the intention is that financial service providers must be </w:t>
      </w:r>
      <w:r w:rsidR="007C23FF" w:rsidRPr="00E73772">
        <w:rPr>
          <w:rFonts w:cs="Arial"/>
          <w:bCs/>
          <w:szCs w:val="22"/>
        </w:rPr>
        <w:t>licensed</w:t>
      </w:r>
      <w:r w:rsidR="001142D1" w:rsidRPr="00E73772">
        <w:rPr>
          <w:rFonts w:cs="Arial"/>
          <w:bCs/>
          <w:szCs w:val="22"/>
        </w:rPr>
        <w:t xml:space="preserve"> but when a transaction comes into existence between the client and </w:t>
      </w:r>
      <w:r w:rsidR="002120E9" w:rsidRPr="00E73772">
        <w:rPr>
          <w:rFonts w:cs="Arial"/>
          <w:bCs/>
          <w:szCs w:val="22"/>
        </w:rPr>
        <w:t>a</w:t>
      </w:r>
      <w:r w:rsidR="001142D1" w:rsidRPr="00E73772">
        <w:rPr>
          <w:rFonts w:cs="Arial"/>
          <w:bCs/>
          <w:szCs w:val="22"/>
        </w:rPr>
        <w:t xml:space="preserve"> product supplier, then the transaction between the product supplier and the client is not rendered unenforceable</w:t>
      </w:r>
      <w:r w:rsidR="002120E9" w:rsidRPr="00E73772">
        <w:rPr>
          <w:rFonts w:cs="Arial"/>
          <w:bCs/>
          <w:szCs w:val="22"/>
        </w:rPr>
        <w:t xml:space="preserve"> by section 7</w:t>
      </w:r>
      <w:r w:rsidR="001142D1" w:rsidRPr="00E73772">
        <w:rPr>
          <w:rFonts w:cs="Arial"/>
          <w:bCs/>
          <w:szCs w:val="22"/>
        </w:rPr>
        <w:t xml:space="preserve">. </w:t>
      </w:r>
      <w:r w:rsidR="007B088D" w:rsidRPr="00E73772">
        <w:rPr>
          <w:rFonts w:cs="Arial"/>
          <w:bCs/>
          <w:szCs w:val="22"/>
        </w:rPr>
        <w:t>One of the purposes of the legislation is clearly to protect the public. It is not the intention as it appears from the Act that the public have less protection than they would have if the Act were not on the statute book.</w:t>
      </w:r>
    </w:p>
    <w:p w14:paraId="5A7AD530" w14:textId="4C2CFF26" w:rsidR="001142D1"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[50]</w:t>
      </w:r>
      <w:r w:rsidRPr="00E73772">
        <w:rPr>
          <w:rFonts w:cs="Arial"/>
          <w:bCs/>
          <w:szCs w:val="22"/>
        </w:rPr>
        <w:tab/>
      </w:r>
      <w:r w:rsidR="00CD4DDC" w:rsidRPr="00E73772">
        <w:rPr>
          <w:rFonts w:cs="Arial"/>
          <w:bCs/>
          <w:szCs w:val="22"/>
        </w:rPr>
        <w:t xml:space="preserve">Thus, when a member of the public falls victim to a service ostensibly offered by an unlicensed person </w:t>
      </w:r>
      <w:r w:rsidR="007C23FF" w:rsidRPr="00E73772">
        <w:rPr>
          <w:rFonts w:cs="Arial"/>
          <w:bCs/>
          <w:szCs w:val="22"/>
        </w:rPr>
        <w:t>and as a result of this invalid act, a transaction is entered into between the said client and the product supplier,</w:t>
      </w:r>
      <w:r w:rsidR="00B71D2D" w:rsidRPr="00E73772">
        <w:rPr>
          <w:rFonts w:cs="Arial"/>
          <w:bCs/>
          <w:szCs w:val="22"/>
        </w:rPr>
        <w:t xml:space="preserve"> for instance a bank,</w:t>
      </w:r>
      <w:r w:rsidR="007C23FF" w:rsidRPr="00E73772">
        <w:rPr>
          <w:rFonts w:cs="Arial"/>
          <w:bCs/>
          <w:szCs w:val="22"/>
        </w:rPr>
        <w:t xml:space="preserve"> that transaction remains enforceable</w:t>
      </w:r>
      <w:r w:rsidR="00B71D2D" w:rsidRPr="00E73772">
        <w:rPr>
          <w:rFonts w:cs="Arial"/>
          <w:bCs/>
          <w:szCs w:val="22"/>
        </w:rPr>
        <w:t xml:space="preserve"> as between the client and the product supplier</w:t>
      </w:r>
      <w:r w:rsidR="007C23FF" w:rsidRPr="00E73772">
        <w:rPr>
          <w:rFonts w:cs="Arial"/>
          <w:bCs/>
          <w:szCs w:val="22"/>
        </w:rPr>
        <w:t xml:space="preserve">. The client is not prejudiced because, </w:t>
      </w:r>
      <w:r w:rsidR="00635A69" w:rsidRPr="00E73772">
        <w:rPr>
          <w:rFonts w:cs="Arial"/>
          <w:bCs/>
          <w:szCs w:val="22"/>
        </w:rPr>
        <w:t>perhaps</w:t>
      </w:r>
      <w:r w:rsidR="007C23FF" w:rsidRPr="00E73772">
        <w:rPr>
          <w:rFonts w:cs="Arial"/>
          <w:bCs/>
          <w:szCs w:val="22"/>
        </w:rPr>
        <w:t xml:space="preserve"> unknown to </w:t>
      </w:r>
      <w:r w:rsidR="00B71D2D" w:rsidRPr="00E73772">
        <w:rPr>
          <w:rFonts w:cs="Arial"/>
          <w:bCs/>
          <w:szCs w:val="22"/>
        </w:rPr>
        <w:t>it</w:t>
      </w:r>
      <w:r w:rsidR="007C23FF" w:rsidRPr="00E73772">
        <w:rPr>
          <w:rFonts w:cs="Arial"/>
          <w:bCs/>
          <w:szCs w:val="22"/>
        </w:rPr>
        <w:t xml:space="preserve">, the service provider </w:t>
      </w:r>
      <w:r w:rsidR="00B71D2D" w:rsidRPr="00E73772">
        <w:rPr>
          <w:rFonts w:cs="Arial"/>
          <w:bCs/>
          <w:szCs w:val="22"/>
        </w:rPr>
        <w:t>it</w:t>
      </w:r>
      <w:r w:rsidR="007C23FF" w:rsidRPr="00E73772">
        <w:rPr>
          <w:rFonts w:cs="Arial"/>
          <w:bCs/>
          <w:szCs w:val="22"/>
        </w:rPr>
        <w:t xml:space="preserve"> deals with is not licensed. </w:t>
      </w:r>
      <w:r w:rsidR="00900F7B" w:rsidRPr="00E73772">
        <w:rPr>
          <w:rFonts w:cs="Arial"/>
          <w:bCs/>
          <w:szCs w:val="22"/>
        </w:rPr>
        <w:t>In this way the Act protects the public</w:t>
      </w:r>
      <w:r w:rsidR="00C56068">
        <w:rPr>
          <w:rFonts w:cs="Arial"/>
          <w:bCs/>
          <w:szCs w:val="22"/>
        </w:rPr>
        <w:t xml:space="preserve"> as the agreement between the client and the bank that issued a financial product will still be valid</w:t>
      </w:r>
      <w:r w:rsidR="00900F7B" w:rsidRPr="00E73772">
        <w:rPr>
          <w:rFonts w:cs="Arial"/>
          <w:bCs/>
          <w:szCs w:val="22"/>
        </w:rPr>
        <w:t>.</w:t>
      </w:r>
    </w:p>
    <w:p w14:paraId="7E25C988" w14:textId="515F32CF" w:rsidR="00635A69"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[51]</w:t>
      </w:r>
      <w:r w:rsidRPr="00E73772">
        <w:rPr>
          <w:rFonts w:cs="Arial"/>
          <w:bCs/>
          <w:szCs w:val="22"/>
        </w:rPr>
        <w:tab/>
      </w:r>
      <w:r w:rsidR="00635A69" w:rsidRPr="00E73772">
        <w:rPr>
          <w:rFonts w:cs="Arial"/>
          <w:bCs/>
          <w:szCs w:val="22"/>
        </w:rPr>
        <w:t xml:space="preserve">The first respondent may not act as a financial services provider. It cannot perform under the </w:t>
      </w:r>
      <w:r w:rsidR="00A56531" w:rsidRPr="00E73772">
        <w:rPr>
          <w:rFonts w:cs="Arial"/>
          <w:bCs/>
          <w:szCs w:val="22"/>
        </w:rPr>
        <w:t>agreement</w:t>
      </w:r>
      <w:r w:rsidR="00635A69" w:rsidRPr="00E73772">
        <w:rPr>
          <w:rFonts w:cs="Arial"/>
          <w:bCs/>
          <w:szCs w:val="22"/>
        </w:rPr>
        <w:t xml:space="preserve">. </w:t>
      </w:r>
      <w:r w:rsidR="007B088D" w:rsidRPr="00E73772">
        <w:rPr>
          <w:rFonts w:cs="Arial"/>
          <w:bCs/>
          <w:szCs w:val="22"/>
        </w:rPr>
        <w:t>The agreement</w:t>
      </w:r>
      <w:r w:rsidR="00635A69" w:rsidRPr="00E73772">
        <w:rPr>
          <w:rFonts w:cs="Arial"/>
          <w:bCs/>
          <w:szCs w:val="22"/>
        </w:rPr>
        <w:t xml:space="preserve"> is a nullity and is void </w:t>
      </w:r>
      <w:r w:rsidR="009E1434" w:rsidRPr="00E73772">
        <w:rPr>
          <w:rFonts w:cs="Arial"/>
          <w:bCs/>
          <w:i/>
          <w:iCs/>
          <w:szCs w:val="22"/>
        </w:rPr>
        <w:t>ab initio</w:t>
      </w:r>
      <w:r w:rsidR="009E1434" w:rsidRPr="00E73772">
        <w:rPr>
          <w:rFonts w:cs="Arial"/>
          <w:bCs/>
          <w:szCs w:val="22"/>
        </w:rPr>
        <w:t xml:space="preserve"> </w:t>
      </w:r>
      <w:r w:rsidR="00635A69" w:rsidRPr="00E73772">
        <w:rPr>
          <w:rFonts w:cs="Arial"/>
          <w:bCs/>
          <w:szCs w:val="22"/>
        </w:rPr>
        <w:t>for impossibility of performance and for illegality.</w:t>
      </w:r>
      <w:r w:rsidR="00803D40" w:rsidRPr="00E73772">
        <w:rPr>
          <w:rStyle w:val="FootnoteReference"/>
          <w:rFonts w:cs="Arial"/>
          <w:bCs/>
          <w:szCs w:val="22"/>
        </w:rPr>
        <w:footnoteReference w:id="27"/>
      </w:r>
      <w:r w:rsidR="002C7670" w:rsidRPr="00E73772">
        <w:rPr>
          <w:rFonts w:cs="Arial"/>
          <w:bCs/>
          <w:szCs w:val="22"/>
        </w:rPr>
        <w:t xml:space="preserve"> This would be the case if it were a financial service provider under section 7(1)(a) or a representative under section 7(1)(b).</w:t>
      </w:r>
    </w:p>
    <w:p w14:paraId="75708B63" w14:textId="04D097E1" w:rsidR="008C69FC"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[52]</w:t>
      </w:r>
      <w:r w:rsidRPr="00E73772">
        <w:rPr>
          <w:rFonts w:cs="Arial"/>
          <w:bCs/>
          <w:szCs w:val="22"/>
        </w:rPr>
        <w:tab/>
      </w:r>
      <w:r w:rsidR="008C69FC" w:rsidRPr="00E73772">
        <w:rPr>
          <w:rFonts w:cs="Arial"/>
          <w:bCs/>
          <w:szCs w:val="22"/>
        </w:rPr>
        <w:t>The conclusion that the agreement is void</w:t>
      </w:r>
      <w:r w:rsidR="009E1434" w:rsidRPr="00E73772">
        <w:rPr>
          <w:rFonts w:cs="Arial"/>
          <w:bCs/>
          <w:szCs w:val="22"/>
        </w:rPr>
        <w:t xml:space="preserve"> </w:t>
      </w:r>
      <w:r w:rsidR="009E1434" w:rsidRPr="00E73772">
        <w:rPr>
          <w:rFonts w:cs="Arial"/>
          <w:bCs/>
          <w:i/>
          <w:iCs/>
          <w:szCs w:val="22"/>
        </w:rPr>
        <w:t>ab initio</w:t>
      </w:r>
      <w:r w:rsidR="008C69FC" w:rsidRPr="00E73772">
        <w:rPr>
          <w:rFonts w:cs="Arial"/>
          <w:bCs/>
          <w:szCs w:val="22"/>
        </w:rPr>
        <w:t>, is supported by the judgment</w:t>
      </w:r>
      <w:r w:rsidR="006D2280" w:rsidRPr="00E73772">
        <w:rPr>
          <w:rFonts w:cs="Arial"/>
          <w:bCs/>
          <w:szCs w:val="22"/>
        </w:rPr>
        <w:t xml:space="preserve">s </w:t>
      </w:r>
      <w:r w:rsidR="006D2280" w:rsidRPr="00E73772">
        <w:rPr>
          <w:rFonts w:cs="Arial"/>
          <w:bCs/>
          <w:szCs w:val="22"/>
        </w:rPr>
        <w:lastRenderedPageBreak/>
        <w:t xml:space="preserve">by Van der Byl AJ in </w:t>
      </w:r>
      <w:r w:rsidR="00937DF3" w:rsidRPr="00E73772">
        <w:rPr>
          <w:rFonts w:cs="Arial"/>
          <w:i/>
          <w:iCs/>
          <w:szCs w:val="22"/>
        </w:rPr>
        <w:t>Nelson Mandela Bay Metropolitan Municipality v Watersure (Pty) Ltd</w:t>
      </w:r>
      <w:r w:rsidR="009E1434" w:rsidRPr="00E73772">
        <w:rPr>
          <w:rStyle w:val="FootnoteReference"/>
          <w:rFonts w:cs="Arial"/>
          <w:i/>
          <w:iCs/>
          <w:szCs w:val="22"/>
        </w:rPr>
        <w:footnoteReference w:id="28"/>
      </w:r>
      <w:r w:rsidR="009E1434" w:rsidRPr="00E73772">
        <w:rPr>
          <w:rFonts w:cs="Arial"/>
          <w:szCs w:val="22"/>
        </w:rPr>
        <w:t xml:space="preserve"> </w:t>
      </w:r>
      <w:r w:rsidR="006D2280" w:rsidRPr="00E73772">
        <w:rPr>
          <w:rFonts w:cs="Arial"/>
          <w:bCs/>
          <w:szCs w:val="22"/>
        </w:rPr>
        <w:t>and by</w:t>
      </w:r>
      <w:r w:rsidR="008C69FC" w:rsidRPr="00E73772">
        <w:rPr>
          <w:rFonts w:cs="Arial"/>
          <w:bCs/>
          <w:szCs w:val="22"/>
        </w:rPr>
        <w:t xml:space="preserve"> Lamont J in </w:t>
      </w:r>
      <w:r w:rsidR="008C69FC" w:rsidRPr="00E73772">
        <w:rPr>
          <w:rFonts w:cs="Arial"/>
          <w:i/>
          <w:iCs/>
          <w:szCs w:val="22"/>
        </w:rPr>
        <w:t>Chemical Industries National Provident Fund v Tristar Investments (Pty) Ltd</w:t>
      </w:r>
      <w:r w:rsidR="008C69FC" w:rsidRPr="00E73772">
        <w:rPr>
          <w:rFonts w:cs="Arial"/>
          <w:szCs w:val="22"/>
        </w:rPr>
        <w:t>.</w:t>
      </w:r>
      <w:r w:rsidR="008C69FC" w:rsidRPr="00E73772">
        <w:rPr>
          <w:rStyle w:val="FootnoteReference"/>
          <w:rFonts w:cs="Arial"/>
          <w:szCs w:val="22"/>
        </w:rPr>
        <w:footnoteReference w:id="29"/>
      </w:r>
      <w:r w:rsidR="008C69FC" w:rsidRPr="00E73772">
        <w:rPr>
          <w:rFonts w:cs="Arial"/>
          <w:szCs w:val="22"/>
        </w:rPr>
        <w:t xml:space="preserve"> </w:t>
      </w:r>
    </w:p>
    <w:p w14:paraId="260AD767" w14:textId="77777777" w:rsidR="00937DF3" w:rsidRPr="00E73772" w:rsidRDefault="00937DF3" w:rsidP="007B088D">
      <w:pPr>
        <w:widowControl w:val="0"/>
        <w:spacing w:before="480" w:after="480" w:line="480" w:lineRule="auto"/>
        <w:jc w:val="both"/>
        <w:rPr>
          <w:rFonts w:cs="Arial"/>
          <w:bCs/>
          <w:szCs w:val="22"/>
          <w:u w:val="single"/>
        </w:rPr>
      </w:pPr>
    </w:p>
    <w:p w14:paraId="28B15A2F" w14:textId="75A95D46" w:rsidR="000D7C9A" w:rsidRPr="00E73772" w:rsidRDefault="00A23E58" w:rsidP="000D7C9A">
      <w:pPr>
        <w:autoSpaceDE w:val="0"/>
        <w:autoSpaceDN w:val="0"/>
        <w:adjustRightInd w:val="0"/>
        <w:rPr>
          <w:rFonts w:cs="Arial"/>
          <w:i/>
          <w:iCs/>
          <w:color w:val="000000"/>
          <w:szCs w:val="22"/>
          <w:lang w:eastAsia="en-ZA"/>
        </w:rPr>
      </w:pPr>
      <w:r w:rsidRPr="00E73772">
        <w:rPr>
          <w:rFonts w:cs="Arial"/>
          <w:bCs/>
          <w:szCs w:val="22"/>
          <w:u w:val="single"/>
        </w:rPr>
        <w:t>CHOICE OF LAW</w:t>
      </w:r>
    </w:p>
    <w:p w14:paraId="3B54E3D4" w14:textId="09B87797" w:rsidR="001B2A0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[53]</w:t>
      </w:r>
      <w:r w:rsidRPr="00E73772">
        <w:rPr>
          <w:rFonts w:cs="Arial"/>
          <w:bCs/>
          <w:szCs w:val="22"/>
        </w:rPr>
        <w:tab/>
      </w:r>
      <w:r w:rsidR="003A09D9" w:rsidRPr="00E73772">
        <w:rPr>
          <w:rFonts w:cs="Arial"/>
          <w:bCs/>
          <w:szCs w:val="22"/>
        </w:rPr>
        <w:t xml:space="preserve">There is no evidence on the papers that it was ever in the contemplation of the parties that the </w:t>
      </w:r>
      <w:r w:rsidR="00A56531" w:rsidRPr="00E73772">
        <w:rPr>
          <w:rFonts w:cs="Arial"/>
          <w:bCs/>
          <w:szCs w:val="22"/>
        </w:rPr>
        <w:t>agreement</w:t>
      </w:r>
      <w:r w:rsidR="003A09D9" w:rsidRPr="00E73772">
        <w:rPr>
          <w:rFonts w:cs="Arial"/>
          <w:bCs/>
          <w:szCs w:val="22"/>
        </w:rPr>
        <w:t xml:space="preserve"> would be governed by the law of a foreign country. </w:t>
      </w:r>
      <w:r w:rsidR="0051442D" w:rsidRPr="00E73772">
        <w:rPr>
          <w:rFonts w:cs="Arial"/>
          <w:bCs/>
          <w:szCs w:val="22"/>
        </w:rPr>
        <w:t>The agreement</w:t>
      </w:r>
      <w:r w:rsidR="003A09D9" w:rsidRPr="00E73772">
        <w:rPr>
          <w:rFonts w:cs="Arial"/>
          <w:bCs/>
          <w:szCs w:val="22"/>
        </w:rPr>
        <w:t xml:space="preserve"> itself</w:t>
      </w:r>
      <w:r w:rsidR="0051442D" w:rsidRPr="00E73772">
        <w:rPr>
          <w:rFonts w:cs="Arial"/>
          <w:bCs/>
          <w:szCs w:val="22"/>
        </w:rPr>
        <w:t xml:space="preserve"> is silent on choice of law. </w:t>
      </w:r>
    </w:p>
    <w:p w14:paraId="3DCB8A13" w14:textId="44D3BAF7" w:rsidR="003A09D9"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[54]</w:t>
      </w:r>
      <w:r w:rsidRPr="00E73772">
        <w:rPr>
          <w:rFonts w:cs="Arial"/>
          <w:bCs/>
          <w:szCs w:val="22"/>
        </w:rPr>
        <w:tab/>
      </w:r>
      <w:r w:rsidR="001B2A05" w:rsidRPr="00E73772">
        <w:rPr>
          <w:rFonts w:cs="Arial"/>
          <w:bCs/>
          <w:szCs w:val="22"/>
        </w:rPr>
        <w:t>In the absence of express or tacit agreement, an intention must be imputed to the parties.</w:t>
      </w:r>
      <w:r w:rsidR="001B2A05" w:rsidRPr="00E73772">
        <w:rPr>
          <w:rStyle w:val="FootnoteReference"/>
          <w:rFonts w:cs="Arial"/>
          <w:bCs/>
          <w:szCs w:val="22"/>
        </w:rPr>
        <w:footnoteReference w:id="30"/>
      </w:r>
      <w:r w:rsidR="001B2A05" w:rsidRPr="00E73772">
        <w:rPr>
          <w:rFonts w:cs="Arial"/>
          <w:bCs/>
          <w:szCs w:val="22"/>
        </w:rPr>
        <w:t xml:space="preserve"> </w:t>
      </w:r>
      <w:r w:rsidR="003A09D9" w:rsidRPr="00E73772">
        <w:rPr>
          <w:rFonts w:cs="Arial"/>
          <w:bCs/>
          <w:szCs w:val="22"/>
        </w:rPr>
        <w:t>The following aspects are important:</w:t>
      </w:r>
    </w:p>
    <w:p w14:paraId="0AA641ED" w14:textId="14315D44" w:rsidR="003A09D9"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54.1</w:t>
      </w:r>
      <w:r w:rsidRPr="00E73772">
        <w:rPr>
          <w:rFonts w:cs="Arial"/>
          <w:bCs/>
          <w:szCs w:val="22"/>
        </w:rPr>
        <w:tab/>
      </w:r>
      <w:r w:rsidR="003A09D9" w:rsidRPr="00E73772">
        <w:rPr>
          <w:rFonts w:cs="Arial"/>
          <w:bCs/>
          <w:szCs w:val="22"/>
        </w:rPr>
        <w:t>The agreement</w:t>
      </w:r>
      <w:r w:rsidR="0051442D" w:rsidRPr="00E73772">
        <w:rPr>
          <w:rFonts w:cs="Arial"/>
          <w:bCs/>
          <w:szCs w:val="22"/>
        </w:rPr>
        <w:t xml:space="preserve"> was signed between parties registered and resident in South Africa</w:t>
      </w:r>
      <w:r w:rsidR="000E5343" w:rsidRPr="00E73772">
        <w:rPr>
          <w:rFonts w:cs="Arial"/>
          <w:bCs/>
          <w:szCs w:val="22"/>
        </w:rPr>
        <w:t xml:space="preserve">. </w:t>
      </w:r>
    </w:p>
    <w:p w14:paraId="6056CF26" w14:textId="73FEE202" w:rsidR="00BB7BF7"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54.2</w:t>
      </w:r>
      <w:r w:rsidRPr="00E73772">
        <w:rPr>
          <w:rFonts w:cs="Arial"/>
          <w:bCs/>
          <w:szCs w:val="22"/>
        </w:rPr>
        <w:tab/>
      </w:r>
      <w:r w:rsidR="000E5343" w:rsidRPr="00E73772">
        <w:rPr>
          <w:rFonts w:cs="Arial"/>
          <w:bCs/>
          <w:szCs w:val="22"/>
        </w:rPr>
        <w:t xml:space="preserve">The applicant signed the agreement in the Seychelles because that is where she happened to be when </w:t>
      </w:r>
      <w:r w:rsidR="00BB7BF7" w:rsidRPr="00E73772">
        <w:rPr>
          <w:rFonts w:cs="Arial"/>
          <w:bCs/>
          <w:szCs w:val="22"/>
        </w:rPr>
        <w:t xml:space="preserve">she appended her </w:t>
      </w:r>
      <w:r w:rsidR="000E5343" w:rsidRPr="00E73772">
        <w:rPr>
          <w:rFonts w:cs="Arial"/>
          <w:bCs/>
          <w:szCs w:val="22"/>
        </w:rPr>
        <w:t xml:space="preserve">signature. </w:t>
      </w:r>
      <w:r w:rsidR="003A09D9" w:rsidRPr="00E73772">
        <w:rPr>
          <w:rFonts w:cs="Arial"/>
          <w:bCs/>
          <w:szCs w:val="22"/>
        </w:rPr>
        <w:t>From the context it can be inferred that the respondents signed in South Africa.</w:t>
      </w:r>
    </w:p>
    <w:p w14:paraId="03C0C908" w14:textId="4414FB70" w:rsidR="003A09D9"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lastRenderedPageBreak/>
        <w:t>54.3</w:t>
      </w:r>
      <w:r w:rsidRPr="00E73772">
        <w:rPr>
          <w:rFonts w:cs="Arial"/>
          <w:bCs/>
          <w:szCs w:val="22"/>
        </w:rPr>
        <w:tab/>
      </w:r>
      <w:r w:rsidR="003A09D9" w:rsidRPr="00E73772">
        <w:rPr>
          <w:rFonts w:cs="Arial"/>
          <w:bCs/>
          <w:szCs w:val="22"/>
        </w:rPr>
        <w:t>The agreement provided for arbitration in France.</w:t>
      </w:r>
    </w:p>
    <w:p w14:paraId="6E8595B3" w14:textId="1D28DF8E" w:rsidR="00C858D0"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54.4</w:t>
      </w:r>
      <w:r w:rsidRPr="00E73772">
        <w:rPr>
          <w:rFonts w:cs="Arial"/>
          <w:bCs/>
          <w:szCs w:val="22"/>
        </w:rPr>
        <w:tab/>
      </w:r>
      <w:r w:rsidR="00440564" w:rsidRPr="00E73772">
        <w:rPr>
          <w:rFonts w:cs="Arial"/>
          <w:bCs/>
          <w:szCs w:val="22"/>
        </w:rPr>
        <w:t>When the applicant made enquiries as to the licencing status of the first respondent she was informed that Lomolino had an international licence, and that licensing was not required as this was a private placement. There is no evidence that the application of a foreign law was a factor.</w:t>
      </w:r>
      <w:r w:rsidR="00C858D0" w:rsidRPr="00E73772">
        <w:rPr>
          <w:rFonts w:cs="Arial"/>
          <w:bCs/>
          <w:szCs w:val="22"/>
        </w:rPr>
        <w:t xml:space="preserve"> </w:t>
      </w:r>
    </w:p>
    <w:p w14:paraId="09A12DF5" w14:textId="3B894BAC" w:rsidR="00440564"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54.5</w:t>
      </w:r>
      <w:r w:rsidRPr="00E73772">
        <w:rPr>
          <w:rFonts w:cs="Arial"/>
          <w:bCs/>
          <w:szCs w:val="22"/>
        </w:rPr>
        <w:tab/>
      </w:r>
      <w:r w:rsidR="00C858D0" w:rsidRPr="00E73772">
        <w:rPr>
          <w:rFonts w:cs="Arial"/>
          <w:bCs/>
          <w:szCs w:val="22"/>
        </w:rPr>
        <w:t>There is no evidence on the record that the applicable licencing</w:t>
      </w:r>
      <w:r w:rsidR="00057B83">
        <w:rPr>
          <w:rFonts w:cs="Arial"/>
          <w:bCs/>
          <w:szCs w:val="22"/>
        </w:rPr>
        <w:t xml:space="preserve"> and consumer protection</w:t>
      </w:r>
      <w:r w:rsidR="00C858D0" w:rsidRPr="00E73772">
        <w:rPr>
          <w:rFonts w:cs="Arial"/>
          <w:bCs/>
          <w:szCs w:val="22"/>
        </w:rPr>
        <w:t xml:space="preserve"> laws applicable in the United Kingdom </w:t>
      </w:r>
      <w:r w:rsidR="00057B83">
        <w:rPr>
          <w:rFonts w:cs="Arial"/>
          <w:bCs/>
          <w:szCs w:val="22"/>
        </w:rPr>
        <w:t>were</w:t>
      </w:r>
      <w:r w:rsidR="00C858D0" w:rsidRPr="00E73772">
        <w:rPr>
          <w:rFonts w:cs="Arial"/>
          <w:bCs/>
          <w:szCs w:val="22"/>
        </w:rPr>
        <w:t xml:space="preserve"> ever discussed between the parties.</w:t>
      </w:r>
    </w:p>
    <w:p w14:paraId="5A7E090D" w14:textId="02EC3A68" w:rsidR="003A09D9"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54.6</w:t>
      </w:r>
      <w:r w:rsidRPr="00E73772">
        <w:rPr>
          <w:rFonts w:cs="Arial"/>
          <w:bCs/>
          <w:szCs w:val="22"/>
        </w:rPr>
        <w:tab/>
      </w:r>
      <w:r w:rsidR="003A09D9" w:rsidRPr="00E73772">
        <w:rPr>
          <w:rFonts w:cs="Arial"/>
          <w:bCs/>
          <w:szCs w:val="22"/>
        </w:rPr>
        <w:t xml:space="preserve">The agreement refers to banks in the United Kingdom, the Isle of Man, and Europe. </w:t>
      </w:r>
    </w:p>
    <w:p w14:paraId="54D3F1D7" w14:textId="347B8D65" w:rsidR="003A09D9"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54.7</w:t>
      </w:r>
      <w:r w:rsidRPr="00E73772">
        <w:rPr>
          <w:rFonts w:cs="Arial"/>
          <w:bCs/>
          <w:szCs w:val="22"/>
        </w:rPr>
        <w:tab/>
      </w:r>
      <w:r w:rsidR="003A09D9" w:rsidRPr="00E73772">
        <w:rPr>
          <w:rFonts w:cs="Arial"/>
          <w:bCs/>
          <w:szCs w:val="22"/>
        </w:rPr>
        <w:t xml:space="preserve">The agreement came into being because the applicant wanted to launch </w:t>
      </w:r>
      <w:r w:rsidR="00440564" w:rsidRPr="00E73772">
        <w:rPr>
          <w:rFonts w:cs="Arial"/>
          <w:bCs/>
          <w:szCs w:val="22"/>
        </w:rPr>
        <w:t xml:space="preserve">two projects internationally, one being </w:t>
      </w:r>
      <w:r w:rsidR="003A09D9" w:rsidRPr="00E73772">
        <w:rPr>
          <w:rFonts w:cs="Arial"/>
          <w:bCs/>
          <w:szCs w:val="22"/>
        </w:rPr>
        <w:t>a property rental and ownership project and focused on increasing home ownership in South Africa</w:t>
      </w:r>
      <w:r w:rsidR="00440564" w:rsidRPr="00E73772">
        <w:rPr>
          <w:rFonts w:cs="Arial"/>
          <w:bCs/>
          <w:szCs w:val="22"/>
        </w:rPr>
        <w:t xml:space="preserve"> and the other a Biotech project.</w:t>
      </w:r>
    </w:p>
    <w:p w14:paraId="29D2D20E" w14:textId="28432F55" w:rsidR="00440564"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54.8</w:t>
      </w:r>
      <w:r w:rsidRPr="00E73772">
        <w:rPr>
          <w:rFonts w:cs="Arial"/>
          <w:bCs/>
          <w:szCs w:val="22"/>
        </w:rPr>
        <w:tab/>
      </w:r>
      <w:r w:rsidR="00440564" w:rsidRPr="00E73772">
        <w:rPr>
          <w:rFonts w:cs="Arial"/>
          <w:bCs/>
          <w:szCs w:val="22"/>
        </w:rPr>
        <w:t>The first respondent conducts its management activities in South Africa, but</w:t>
      </w:r>
      <w:r w:rsidR="00937DF3" w:rsidRPr="00E73772">
        <w:rPr>
          <w:rFonts w:cs="Arial"/>
          <w:bCs/>
          <w:szCs w:val="22"/>
        </w:rPr>
        <w:t xml:space="preserve"> in liaison with and</w:t>
      </w:r>
      <w:r w:rsidR="00440564" w:rsidRPr="00E73772">
        <w:rPr>
          <w:rFonts w:cs="Arial"/>
          <w:bCs/>
          <w:szCs w:val="22"/>
        </w:rPr>
        <w:t xml:space="preserve"> using the services of associates in Europe when appropriate.</w:t>
      </w:r>
      <w:r w:rsidR="001B2A05" w:rsidRPr="00E73772">
        <w:rPr>
          <w:rFonts w:cs="Arial"/>
          <w:bCs/>
          <w:szCs w:val="22"/>
        </w:rPr>
        <w:t xml:space="preserve"> </w:t>
      </w:r>
    </w:p>
    <w:p w14:paraId="3E51E692" w14:textId="744F7B89" w:rsidR="001B2A05"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54.9</w:t>
      </w:r>
      <w:r w:rsidRPr="00E73772">
        <w:rPr>
          <w:rFonts w:cs="Arial"/>
          <w:bCs/>
          <w:szCs w:val="22"/>
        </w:rPr>
        <w:tab/>
      </w:r>
      <w:r w:rsidR="001B2A05" w:rsidRPr="00E73772">
        <w:rPr>
          <w:rFonts w:cs="Arial"/>
          <w:bCs/>
          <w:szCs w:val="22"/>
        </w:rPr>
        <w:t>The first respondent was going to report to the applicant in South Africa.</w:t>
      </w:r>
    </w:p>
    <w:p w14:paraId="4F5AFF9C" w14:textId="6CAAECE8" w:rsidR="005E04C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[55]</w:t>
      </w:r>
      <w:r w:rsidRPr="00E73772">
        <w:rPr>
          <w:rFonts w:cs="Arial"/>
          <w:bCs/>
          <w:szCs w:val="22"/>
        </w:rPr>
        <w:tab/>
      </w:r>
      <w:r w:rsidR="00852390" w:rsidRPr="00E73772">
        <w:rPr>
          <w:rFonts w:cs="Arial"/>
          <w:bCs/>
          <w:szCs w:val="22"/>
        </w:rPr>
        <w:t>The respondents do not tell the Court in their papers what</w:t>
      </w:r>
      <w:r w:rsidR="00057B83">
        <w:rPr>
          <w:rFonts w:cs="Arial"/>
          <w:bCs/>
          <w:szCs w:val="22"/>
        </w:rPr>
        <w:t xml:space="preserve"> the relevant</w:t>
      </w:r>
      <w:r w:rsidR="00852390" w:rsidRPr="00E73772">
        <w:rPr>
          <w:rFonts w:cs="Arial"/>
          <w:bCs/>
          <w:szCs w:val="22"/>
        </w:rPr>
        <w:t xml:space="preserve"> law of England is. </w:t>
      </w:r>
      <w:r w:rsidR="001B2A05" w:rsidRPr="00E73772">
        <w:rPr>
          <w:rFonts w:cs="Arial"/>
          <w:bCs/>
          <w:szCs w:val="22"/>
        </w:rPr>
        <w:t>The</w:t>
      </w:r>
      <w:r w:rsidR="00057B83">
        <w:rPr>
          <w:rFonts w:cs="Arial"/>
          <w:bCs/>
          <w:szCs w:val="22"/>
        </w:rPr>
        <w:t>y</w:t>
      </w:r>
      <w:r w:rsidR="001B2A05" w:rsidRPr="00E73772">
        <w:rPr>
          <w:rFonts w:cs="Arial"/>
          <w:bCs/>
          <w:szCs w:val="22"/>
        </w:rPr>
        <w:t xml:space="preserve"> allege that the agreement must be subject to the law of England but does not set out to prove</w:t>
      </w:r>
      <w:r w:rsidR="00057B83">
        <w:rPr>
          <w:rFonts w:cs="Arial"/>
          <w:bCs/>
          <w:szCs w:val="22"/>
        </w:rPr>
        <w:t xml:space="preserve"> or state</w:t>
      </w:r>
      <w:r w:rsidR="001B2A05" w:rsidRPr="00E73772">
        <w:rPr>
          <w:rFonts w:cs="Arial"/>
          <w:bCs/>
          <w:szCs w:val="22"/>
        </w:rPr>
        <w:t xml:space="preserve"> the law of England. </w:t>
      </w:r>
      <w:r w:rsidR="00852390" w:rsidRPr="00E73772">
        <w:rPr>
          <w:rFonts w:cs="Arial"/>
          <w:bCs/>
          <w:szCs w:val="22"/>
        </w:rPr>
        <w:t xml:space="preserve">Firms operating in the United </w:t>
      </w:r>
      <w:r w:rsidR="00852390" w:rsidRPr="00E73772">
        <w:rPr>
          <w:rFonts w:cs="Arial"/>
          <w:bCs/>
          <w:szCs w:val="22"/>
        </w:rPr>
        <w:lastRenderedPageBreak/>
        <w:t xml:space="preserve">Kingdom may be subject to similar laws in that domicile and when operating in a foreign country, will have to comply with </w:t>
      </w:r>
      <w:r w:rsidR="00057775" w:rsidRPr="00E73772">
        <w:rPr>
          <w:rFonts w:cs="Arial"/>
          <w:bCs/>
          <w:szCs w:val="22"/>
        </w:rPr>
        <w:t>applicable</w:t>
      </w:r>
      <w:r w:rsidR="00852390" w:rsidRPr="00E73772">
        <w:rPr>
          <w:rFonts w:cs="Arial"/>
          <w:bCs/>
          <w:szCs w:val="22"/>
        </w:rPr>
        <w:t xml:space="preserve"> local requirements imposed by law. </w:t>
      </w:r>
    </w:p>
    <w:p w14:paraId="2E1CE701" w14:textId="7072516E" w:rsidR="00937DF3"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[56]</w:t>
      </w:r>
      <w:r w:rsidRPr="00E73772">
        <w:rPr>
          <w:rFonts w:cs="Arial"/>
          <w:bCs/>
          <w:szCs w:val="22"/>
        </w:rPr>
        <w:tab/>
      </w:r>
      <w:r w:rsidR="00852390" w:rsidRPr="00E73772">
        <w:rPr>
          <w:rFonts w:cs="Arial"/>
          <w:bCs/>
          <w:szCs w:val="22"/>
        </w:rPr>
        <w:t xml:space="preserve">It would however be very surprising if a financial service provider carrying on business in South Africa could escape the controls imposed by the </w:t>
      </w:r>
      <w:r w:rsidR="00057B83">
        <w:rPr>
          <w:rFonts w:cs="Arial"/>
          <w:bCs/>
          <w:szCs w:val="22"/>
        </w:rPr>
        <w:t xml:space="preserve">FAIS </w:t>
      </w:r>
      <w:r w:rsidR="00852390" w:rsidRPr="00E73772">
        <w:rPr>
          <w:rFonts w:cs="Arial"/>
          <w:bCs/>
          <w:szCs w:val="22"/>
        </w:rPr>
        <w:t xml:space="preserve">Act </w:t>
      </w:r>
      <w:r w:rsidR="00057775" w:rsidRPr="00E73772">
        <w:rPr>
          <w:rFonts w:cs="Arial"/>
          <w:bCs/>
          <w:szCs w:val="22"/>
        </w:rPr>
        <w:t xml:space="preserve">in the public interest </w:t>
      </w:r>
      <w:r w:rsidR="00852390" w:rsidRPr="00E73772">
        <w:rPr>
          <w:rFonts w:cs="Arial"/>
          <w:bCs/>
          <w:szCs w:val="22"/>
        </w:rPr>
        <w:t>merely by making the contract subject to some foreign law.</w:t>
      </w:r>
      <w:r w:rsidR="001B2A05" w:rsidRPr="00E73772">
        <w:rPr>
          <w:rFonts w:cs="Arial"/>
          <w:bCs/>
          <w:szCs w:val="22"/>
        </w:rPr>
        <w:t xml:space="preserve"> This need however not be decided</w:t>
      </w:r>
      <w:r w:rsidR="00057B83">
        <w:rPr>
          <w:rFonts w:cs="Arial"/>
          <w:bCs/>
          <w:szCs w:val="22"/>
        </w:rPr>
        <w:t xml:space="preserve"> as it did not happen</w:t>
      </w:r>
      <w:r w:rsidR="001B2A05" w:rsidRPr="00E73772">
        <w:rPr>
          <w:rFonts w:cs="Arial"/>
          <w:bCs/>
          <w:szCs w:val="22"/>
        </w:rPr>
        <w:t>.</w:t>
      </w:r>
    </w:p>
    <w:p w14:paraId="284C1908" w14:textId="0DFE50E6" w:rsidR="00AA343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[57]</w:t>
      </w:r>
      <w:r w:rsidRPr="00E73772">
        <w:rPr>
          <w:rFonts w:cs="Arial"/>
          <w:bCs/>
          <w:szCs w:val="22"/>
        </w:rPr>
        <w:tab/>
      </w:r>
      <w:r w:rsidR="00AA343B" w:rsidRPr="00E73772">
        <w:rPr>
          <w:rFonts w:cs="Arial"/>
          <w:bCs/>
          <w:szCs w:val="22"/>
        </w:rPr>
        <w:t>I find that the agreement was always subject to South African law.</w:t>
      </w:r>
    </w:p>
    <w:p w14:paraId="52F6013D" w14:textId="77777777" w:rsidR="00057775" w:rsidRPr="00E73772" w:rsidRDefault="00057775" w:rsidP="00A649E6">
      <w:pPr>
        <w:keepNext/>
        <w:widowControl w:val="0"/>
        <w:spacing w:before="480" w:after="480" w:line="480" w:lineRule="auto"/>
        <w:jc w:val="both"/>
        <w:rPr>
          <w:rFonts w:cs="Arial"/>
          <w:bCs/>
          <w:szCs w:val="22"/>
          <w:u w:val="single"/>
        </w:rPr>
      </w:pPr>
    </w:p>
    <w:p w14:paraId="7D960FC1" w14:textId="7067A370" w:rsidR="000E5343" w:rsidRPr="00E73772" w:rsidRDefault="00A23E58" w:rsidP="00A649E6">
      <w:pPr>
        <w:keepNext/>
        <w:widowControl w:val="0"/>
        <w:spacing w:before="480" w:after="480" w:line="480" w:lineRule="auto"/>
        <w:jc w:val="both"/>
        <w:rPr>
          <w:rFonts w:cs="Arial"/>
          <w:bCs/>
          <w:szCs w:val="22"/>
          <w:u w:val="single"/>
        </w:rPr>
      </w:pPr>
      <w:r w:rsidRPr="00E73772">
        <w:rPr>
          <w:rFonts w:cs="Arial"/>
          <w:bCs/>
          <w:szCs w:val="22"/>
          <w:u w:val="single"/>
        </w:rPr>
        <w:t>DID THE FIRST RESPONDENT RENDER FINANCIAL SERVICES?</w:t>
      </w:r>
    </w:p>
    <w:p w14:paraId="4A1833D3" w14:textId="2D040346" w:rsidR="00A23E58"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[58]</w:t>
      </w:r>
      <w:r w:rsidRPr="00E73772">
        <w:rPr>
          <w:rFonts w:cs="Arial"/>
          <w:bCs/>
          <w:szCs w:val="22"/>
        </w:rPr>
        <w:tab/>
      </w:r>
      <w:r w:rsidR="000E5343" w:rsidRPr="00E73772">
        <w:rPr>
          <w:rFonts w:cs="Arial"/>
          <w:bCs/>
          <w:szCs w:val="22"/>
        </w:rPr>
        <w:t xml:space="preserve">It is the case for the respondents that the first respondent did not render financial services and this is said in the context of the allegation that the services were in fact rendered by </w:t>
      </w:r>
      <w:r w:rsidR="00E84D18" w:rsidRPr="00E73772">
        <w:rPr>
          <w:rFonts w:cs="Arial"/>
          <w:bCs/>
          <w:szCs w:val="22"/>
        </w:rPr>
        <w:t>AS</w:t>
      </w:r>
      <w:r w:rsidR="000E5343" w:rsidRPr="00E73772">
        <w:rPr>
          <w:rFonts w:cs="Arial"/>
          <w:bCs/>
          <w:szCs w:val="22"/>
        </w:rPr>
        <w:t xml:space="preserve">. The case then is that the first respondent merely acted as an agent for </w:t>
      </w:r>
      <w:r w:rsidR="00E84D18" w:rsidRPr="00E73772">
        <w:rPr>
          <w:rFonts w:cs="Arial"/>
          <w:bCs/>
          <w:szCs w:val="22"/>
        </w:rPr>
        <w:t>AS</w:t>
      </w:r>
      <w:r w:rsidR="00492C65">
        <w:rPr>
          <w:rFonts w:cs="Arial"/>
          <w:bCs/>
          <w:szCs w:val="22"/>
        </w:rPr>
        <w:t>.</w:t>
      </w:r>
      <w:r w:rsidR="000E5343" w:rsidRPr="00E73772">
        <w:rPr>
          <w:rFonts w:cs="Arial"/>
          <w:bCs/>
          <w:szCs w:val="22"/>
        </w:rPr>
        <w:t>, and it is therefore not</w:t>
      </w:r>
      <w:r w:rsidR="00492C65">
        <w:rPr>
          <w:rFonts w:cs="Arial"/>
          <w:bCs/>
          <w:szCs w:val="22"/>
        </w:rPr>
        <w:t xml:space="preserve"> seriously</w:t>
      </w:r>
      <w:r w:rsidR="000E5343" w:rsidRPr="00E73772">
        <w:rPr>
          <w:rFonts w:cs="Arial"/>
          <w:bCs/>
          <w:szCs w:val="22"/>
        </w:rPr>
        <w:t xml:space="preserve"> disputed </w:t>
      </w:r>
      <w:r w:rsidR="00492C65">
        <w:rPr>
          <w:rFonts w:cs="Arial"/>
          <w:bCs/>
          <w:szCs w:val="22"/>
        </w:rPr>
        <w:t xml:space="preserve">in heads of argument </w:t>
      </w:r>
      <w:r w:rsidR="000E5343" w:rsidRPr="00E73772">
        <w:rPr>
          <w:rFonts w:cs="Arial"/>
          <w:bCs/>
          <w:szCs w:val="22"/>
        </w:rPr>
        <w:t xml:space="preserve">that the provisions of the </w:t>
      </w:r>
      <w:r w:rsidR="00A56531" w:rsidRPr="00E73772">
        <w:rPr>
          <w:rFonts w:cs="Arial"/>
          <w:bCs/>
          <w:szCs w:val="22"/>
        </w:rPr>
        <w:t>agreement</w:t>
      </w:r>
      <w:r w:rsidR="000E5343" w:rsidRPr="00E73772">
        <w:rPr>
          <w:rFonts w:cs="Arial"/>
          <w:bCs/>
          <w:szCs w:val="22"/>
        </w:rPr>
        <w:t xml:space="preserve"> reflect the provision of financial services. This is confirmed by reading the agreement together with the definitions in the FAIS Act. </w:t>
      </w:r>
    </w:p>
    <w:p w14:paraId="69068FCF" w14:textId="77777777" w:rsidR="00B139BF" w:rsidRPr="00E73772" w:rsidRDefault="00B139BF" w:rsidP="005A0947">
      <w:pPr>
        <w:widowControl w:val="0"/>
        <w:spacing w:before="480" w:after="480" w:line="480" w:lineRule="auto"/>
        <w:jc w:val="both"/>
        <w:rPr>
          <w:rFonts w:cs="Arial"/>
          <w:bCs/>
          <w:szCs w:val="22"/>
          <w:u w:val="single"/>
        </w:rPr>
      </w:pPr>
    </w:p>
    <w:p w14:paraId="3017F91C" w14:textId="46B00041" w:rsidR="005A0947" w:rsidRPr="00E73772" w:rsidRDefault="005A0947" w:rsidP="005A0947">
      <w:pPr>
        <w:widowControl w:val="0"/>
        <w:spacing w:before="480" w:after="480" w:line="480" w:lineRule="auto"/>
        <w:jc w:val="both"/>
        <w:rPr>
          <w:rFonts w:cs="Arial"/>
          <w:bCs/>
          <w:szCs w:val="22"/>
          <w:u w:val="single"/>
        </w:rPr>
      </w:pPr>
      <w:r w:rsidRPr="00E73772">
        <w:rPr>
          <w:rFonts w:cs="Arial"/>
          <w:bCs/>
          <w:szCs w:val="22"/>
          <w:u w:val="single"/>
        </w:rPr>
        <w:t>RESTITUTION</w:t>
      </w:r>
    </w:p>
    <w:p w14:paraId="4BE868B9" w14:textId="7557311C" w:rsidR="00E534A9"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[59]</w:t>
      </w:r>
      <w:r w:rsidRPr="00E73772">
        <w:rPr>
          <w:rFonts w:cs="Arial"/>
          <w:bCs/>
          <w:szCs w:val="22"/>
        </w:rPr>
        <w:tab/>
      </w:r>
      <w:r w:rsidR="00E534A9" w:rsidRPr="00E73772">
        <w:rPr>
          <w:rFonts w:cs="Arial"/>
          <w:bCs/>
          <w:szCs w:val="22"/>
        </w:rPr>
        <w:t xml:space="preserve">The right to restitution is a specific instance of a general principle – the right to restore the </w:t>
      </w:r>
      <w:r w:rsidR="00E534A9" w:rsidRPr="00E73772">
        <w:rPr>
          <w:rFonts w:cs="Arial"/>
          <w:bCs/>
          <w:i/>
          <w:iCs/>
          <w:szCs w:val="22"/>
        </w:rPr>
        <w:t>status quo ante</w:t>
      </w:r>
      <w:r w:rsidR="00E534A9" w:rsidRPr="00E73772">
        <w:rPr>
          <w:rFonts w:cs="Arial"/>
          <w:bCs/>
          <w:szCs w:val="22"/>
        </w:rPr>
        <w:t>.</w:t>
      </w:r>
      <w:r w:rsidR="00490D65" w:rsidRPr="00E73772">
        <w:rPr>
          <w:rFonts w:cs="Arial"/>
          <w:bCs/>
          <w:szCs w:val="22"/>
        </w:rPr>
        <w:t xml:space="preserve"> The applicant is entitled to reclaim her performance under </w:t>
      </w:r>
      <w:r w:rsidR="00490D65" w:rsidRPr="00E73772">
        <w:rPr>
          <w:rFonts w:cs="Arial"/>
          <w:bCs/>
          <w:szCs w:val="22"/>
        </w:rPr>
        <w:lastRenderedPageBreak/>
        <w:t>the void contract.</w:t>
      </w:r>
      <w:r w:rsidR="00490D65" w:rsidRPr="00E73772">
        <w:rPr>
          <w:rStyle w:val="FootnoteReference"/>
          <w:rFonts w:cs="Arial"/>
          <w:bCs/>
          <w:szCs w:val="22"/>
        </w:rPr>
        <w:footnoteReference w:id="31"/>
      </w:r>
    </w:p>
    <w:p w14:paraId="3540BB2B" w14:textId="1A637A4A" w:rsidR="005A0947"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[60]</w:t>
      </w:r>
      <w:r w:rsidRPr="00E73772">
        <w:rPr>
          <w:rFonts w:cs="Arial"/>
          <w:bCs/>
          <w:szCs w:val="22"/>
        </w:rPr>
        <w:tab/>
      </w:r>
      <w:r w:rsidR="00B139BF" w:rsidRPr="00E73772">
        <w:rPr>
          <w:rFonts w:cs="Arial"/>
          <w:bCs/>
          <w:szCs w:val="22"/>
        </w:rPr>
        <w:t xml:space="preserve">The respondents argue that the first respondent never received the </w:t>
      </w:r>
      <w:r w:rsidR="00B139BF" w:rsidRPr="00E73772">
        <w:rPr>
          <w:rFonts w:cs="Arial"/>
          <w:szCs w:val="22"/>
        </w:rPr>
        <w:t>€600,000.00 and therefore cannot repay it.</w:t>
      </w:r>
      <w:r w:rsidR="007A6E29" w:rsidRPr="00E73772">
        <w:rPr>
          <w:rFonts w:cs="Arial"/>
          <w:szCs w:val="22"/>
        </w:rPr>
        <w:t xml:space="preserve"> The applicant must exercise its rights, if any, against AS. AS is not mentioned in the </w:t>
      </w:r>
      <w:r w:rsidR="00A56531" w:rsidRPr="00E73772">
        <w:rPr>
          <w:rFonts w:cs="Arial"/>
          <w:szCs w:val="22"/>
        </w:rPr>
        <w:t>agreement</w:t>
      </w:r>
      <w:r w:rsidR="007A6E29" w:rsidRPr="00E73772">
        <w:rPr>
          <w:rFonts w:cs="Arial"/>
          <w:szCs w:val="22"/>
        </w:rPr>
        <w:t xml:space="preserve"> but Lomolino is an officer of AS. The first respondent describes itself as an agent of AS.</w:t>
      </w:r>
    </w:p>
    <w:p w14:paraId="30BFB018" w14:textId="25D93F70" w:rsidR="006B437C" w:rsidRPr="006B437C" w:rsidRDefault="00756B17" w:rsidP="00756B17">
      <w:pPr>
        <w:widowControl w:val="0"/>
        <w:tabs>
          <w:tab w:val="left" w:pos="567"/>
        </w:tabs>
        <w:spacing w:before="480" w:after="480" w:line="480" w:lineRule="auto"/>
        <w:jc w:val="both"/>
        <w:rPr>
          <w:rFonts w:cs="Arial"/>
          <w:bCs/>
          <w:szCs w:val="22"/>
        </w:rPr>
      </w:pPr>
      <w:r w:rsidRPr="006B437C">
        <w:rPr>
          <w:rFonts w:cs="Arial"/>
          <w:bCs/>
          <w:szCs w:val="22"/>
        </w:rPr>
        <w:t>[61]</w:t>
      </w:r>
      <w:r w:rsidRPr="006B437C">
        <w:rPr>
          <w:rFonts w:cs="Arial"/>
          <w:bCs/>
          <w:szCs w:val="22"/>
        </w:rPr>
        <w:tab/>
      </w:r>
      <w:r w:rsidR="007A6E29" w:rsidRPr="00E73772">
        <w:rPr>
          <w:rFonts w:cs="Arial"/>
          <w:szCs w:val="22"/>
        </w:rPr>
        <w:t xml:space="preserve">The applicant did not make </w:t>
      </w:r>
      <w:r w:rsidR="004E232C">
        <w:rPr>
          <w:rFonts w:cs="Arial"/>
          <w:szCs w:val="22"/>
        </w:rPr>
        <w:t xml:space="preserve">the </w:t>
      </w:r>
      <w:r w:rsidR="007A6E29" w:rsidRPr="00E73772">
        <w:rPr>
          <w:rFonts w:cs="Arial"/>
          <w:szCs w:val="22"/>
        </w:rPr>
        <w:t xml:space="preserve">payment to Lomolino in an arbitrary fashion. Lomolino was </w:t>
      </w:r>
      <w:r w:rsidR="006B437C">
        <w:rPr>
          <w:rFonts w:cs="Arial"/>
          <w:szCs w:val="22"/>
        </w:rPr>
        <w:t xml:space="preserve">initially </w:t>
      </w:r>
      <w:r w:rsidR="007A6E29" w:rsidRPr="00E73772">
        <w:rPr>
          <w:rFonts w:cs="Arial"/>
          <w:szCs w:val="22"/>
        </w:rPr>
        <w:t xml:space="preserve">unknown to her. She was directed to pay to Lomolino by the first respondent and the payment was made in part – fulfilment of her perceived obligations under the </w:t>
      </w:r>
      <w:r w:rsidR="00E73772">
        <w:rPr>
          <w:rFonts w:cs="Arial"/>
          <w:szCs w:val="22"/>
        </w:rPr>
        <w:t xml:space="preserve">perceived </w:t>
      </w:r>
      <w:r w:rsidR="00A56531" w:rsidRPr="00E73772">
        <w:rPr>
          <w:rFonts w:cs="Arial"/>
          <w:szCs w:val="22"/>
        </w:rPr>
        <w:t>agreement</w:t>
      </w:r>
      <w:r w:rsidR="007A6E29" w:rsidRPr="00E73772">
        <w:rPr>
          <w:rFonts w:cs="Arial"/>
          <w:szCs w:val="22"/>
        </w:rPr>
        <w:t>.</w:t>
      </w:r>
      <w:r w:rsidR="002C39B3" w:rsidRPr="00E73772">
        <w:rPr>
          <w:rFonts w:cs="Arial"/>
          <w:szCs w:val="22"/>
        </w:rPr>
        <w:t xml:space="preserve"> </w:t>
      </w:r>
      <w:r w:rsidR="006B437C" w:rsidRPr="006B437C">
        <w:rPr>
          <w:rFonts w:cs="Arial"/>
          <w:szCs w:val="22"/>
        </w:rPr>
        <w:t>She had no reason not to trust the respondents who held themselves out to her as competent and knowledgeable.</w:t>
      </w:r>
      <w:r w:rsidR="00C470C4" w:rsidRPr="00C470C4">
        <w:rPr>
          <w:rFonts w:cs="Arial"/>
          <w:bCs/>
          <w:szCs w:val="22"/>
        </w:rPr>
        <w:t xml:space="preserve"> </w:t>
      </w:r>
    </w:p>
    <w:p w14:paraId="22A9D541" w14:textId="6AE9C937" w:rsidR="007A6E29"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[62]</w:t>
      </w:r>
      <w:r w:rsidRPr="00E73772">
        <w:rPr>
          <w:rFonts w:cs="Arial"/>
          <w:bCs/>
          <w:szCs w:val="22"/>
        </w:rPr>
        <w:tab/>
      </w:r>
      <w:r w:rsidR="002C39B3" w:rsidRPr="00E73772">
        <w:rPr>
          <w:rFonts w:cs="Arial"/>
          <w:szCs w:val="22"/>
        </w:rPr>
        <w:t>Payment to Lomolino was therefore a bi-lateral act involving the applicant and the first respondent</w:t>
      </w:r>
      <w:r w:rsidR="00A56531" w:rsidRPr="00E73772">
        <w:rPr>
          <w:rFonts w:cs="Arial"/>
          <w:szCs w:val="22"/>
        </w:rPr>
        <w:t>.</w:t>
      </w:r>
      <w:r w:rsidR="00E534A9" w:rsidRPr="00E73772">
        <w:rPr>
          <w:rFonts w:cs="Arial"/>
          <w:szCs w:val="22"/>
        </w:rPr>
        <w:t xml:space="preserve"> From a reading of the contract, Lomolino was at most an agent of the first respondent </w:t>
      </w:r>
      <w:r w:rsidR="00E73772">
        <w:rPr>
          <w:rFonts w:cs="Arial"/>
          <w:szCs w:val="22"/>
        </w:rPr>
        <w:t xml:space="preserve">and </w:t>
      </w:r>
      <w:r w:rsidR="00E534A9" w:rsidRPr="00E73772">
        <w:rPr>
          <w:rFonts w:cs="Arial"/>
          <w:szCs w:val="22"/>
        </w:rPr>
        <w:t>an action for restitution would lay against the first respondent and not against Lomolino.</w:t>
      </w:r>
      <w:r w:rsidR="00E534A9" w:rsidRPr="00E73772">
        <w:rPr>
          <w:rStyle w:val="FootnoteReference"/>
          <w:rFonts w:cs="Arial"/>
          <w:szCs w:val="22"/>
        </w:rPr>
        <w:footnoteReference w:id="32"/>
      </w:r>
      <w:r w:rsidR="004E232C">
        <w:rPr>
          <w:rFonts w:cs="Arial"/>
          <w:szCs w:val="22"/>
        </w:rPr>
        <w:t xml:space="preserve"> It was the first respondent that was enriched by the payment.</w:t>
      </w:r>
    </w:p>
    <w:p w14:paraId="0309BA05" w14:textId="1B035BE9" w:rsidR="004C4BEA"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[63]</w:t>
      </w:r>
      <w:r w:rsidRPr="00E73772">
        <w:rPr>
          <w:rFonts w:cs="Arial"/>
          <w:bCs/>
          <w:szCs w:val="22"/>
        </w:rPr>
        <w:tab/>
      </w:r>
      <w:r w:rsidR="004C4BEA" w:rsidRPr="00E73772">
        <w:rPr>
          <w:rFonts w:cs="Arial"/>
          <w:bCs/>
          <w:szCs w:val="22"/>
        </w:rPr>
        <w:t xml:space="preserve">The </w:t>
      </w:r>
      <w:r w:rsidR="00A56531" w:rsidRPr="00E73772">
        <w:rPr>
          <w:rFonts w:cs="Arial"/>
          <w:bCs/>
          <w:szCs w:val="22"/>
        </w:rPr>
        <w:t>agreement</w:t>
      </w:r>
      <w:r w:rsidR="004C4BEA" w:rsidRPr="00E73772">
        <w:rPr>
          <w:rFonts w:cs="Arial"/>
          <w:bCs/>
          <w:szCs w:val="22"/>
        </w:rPr>
        <w:t xml:space="preserve"> provides in Annex C for the payment of the applicant’s funds into the account of Umberto Lomolino at  Barclays Bank PLC for </w:t>
      </w:r>
      <w:r w:rsidR="004C4BEA" w:rsidRPr="00E73772">
        <w:rPr>
          <w:rFonts w:cs="Arial"/>
          <w:bCs/>
          <w:i/>
          <w:iCs/>
          <w:szCs w:val="22"/>
        </w:rPr>
        <w:t>‘Payment of fees and charges start up costs / expenses for Project Funding Internationally on behalf of Kim Weissensee and/or its companies / associates.’</w:t>
      </w:r>
    </w:p>
    <w:p w14:paraId="1F9C2371" w14:textId="146FAB17" w:rsidR="00A23E58"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lastRenderedPageBreak/>
        <w:t>[64]</w:t>
      </w:r>
      <w:r w:rsidRPr="00E73772">
        <w:rPr>
          <w:rFonts w:cs="Arial"/>
          <w:bCs/>
          <w:szCs w:val="22"/>
        </w:rPr>
        <w:tab/>
      </w:r>
      <w:r w:rsidR="00843AD1" w:rsidRPr="00E73772">
        <w:rPr>
          <w:rFonts w:cs="Arial"/>
          <w:bCs/>
          <w:szCs w:val="22"/>
        </w:rPr>
        <w:t xml:space="preserve">The first respondent’s protestation that the money was paid to AS ring false. It was a term of the agreement that the </w:t>
      </w:r>
      <w:r w:rsidR="00A56531" w:rsidRPr="00E73772">
        <w:rPr>
          <w:rFonts w:cs="Arial"/>
          <w:bCs/>
          <w:szCs w:val="22"/>
        </w:rPr>
        <w:t xml:space="preserve">account </w:t>
      </w:r>
      <w:r w:rsidR="00843AD1" w:rsidRPr="00E73772">
        <w:rPr>
          <w:rFonts w:cs="Arial"/>
          <w:bCs/>
          <w:szCs w:val="22"/>
        </w:rPr>
        <w:t>into which the money was paid, was under the sole control of the first respondent</w:t>
      </w:r>
      <w:r w:rsidR="004C4BEA" w:rsidRPr="00E73772">
        <w:rPr>
          <w:rFonts w:cs="Arial"/>
          <w:bCs/>
          <w:szCs w:val="22"/>
        </w:rPr>
        <w:t>.</w:t>
      </w:r>
      <w:r w:rsidR="00843AD1" w:rsidRPr="00E73772">
        <w:rPr>
          <w:rFonts w:cs="Arial"/>
          <w:bCs/>
          <w:szCs w:val="22"/>
        </w:rPr>
        <w:t xml:space="preserve"> The agreement provided:</w:t>
      </w:r>
    </w:p>
    <w:p w14:paraId="1133498D" w14:textId="1AF060F1" w:rsidR="00843AD1" w:rsidRPr="00E73772" w:rsidRDefault="00843AD1" w:rsidP="00843AD1">
      <w:pPr>
        <w:widowControl w:val="0"/>
        <w:spacing w:before="480" w:after="480" w:line="480" w:lineRule="auto"/>
        <w:ind w:left="1440"/>
        <w:jc w:val="both"/>
        <w:rPr>
          <w:rFonts w:cs="Arial"/>
          <w:bCs/>
          <w:i/>
          <w:iCs/>
          <w:szCs w:val="22"/>
        </w:rPr>
      </w:pPr>
      <w:r w:rsidRPr="00E73772">
        <w:rPr>
          <w:rFonts w:cs="Arial"/>
          <w:bCs/>
          <w:i/>
          <w:iCs/>
          <w:szCs w:val="22"/>
        </w:rPr>
        <w:t>“B) It is further agreed by the Parties that concurrent with (or, in anticipation of) the mutual acceptance and execution of this Agreement, the Asset Manager shall cause to be established the necessary and required Transaction Bank Account(s) for the Transaction under the sole control of the Asset Manager for which this Agreement has been developed, accepted and subsequently executed.”</w:t>
      </w:r>
    </w:p>
    <w:p w14:paraId="57A102C2" w14:textId="73BC28A1" w:rsidR="00843AD1" w:rsidRDefault="00756B17" w:rsidP="00756B17">
      <w:pPr>
        <w:widowControl w:val="0"/>
        <w:tabs>
          <w:tab w:val="left" w:pos="567"/>
        </w:tabs>
        <w:spacing w:before="480" w:after="480" w:line="480" w:lineRule="auto"/>
        <w:jc w:val="both"/>
        <w:rPr>
          <w:rFonts w:cs="Arial"/>
          <w:bCs/>
          <w:szCs w:val="22"/>
        </w:rPr>
      </w:pPr>
      <w:r>
        <w:rPr>
          <w:rFonts w:cs="Arial"/>
          <w:bCs/>
          <w:szCs w:val="22"/>
        </w:rPr>
        <w:t>[65]</w:t>
      </w:r>
      <w:r>
        <w:rPr>
          <w:rFonts w:cs="Arial"/>
          <w:bCs/>
          <w:szCs w:val="22"/>
        </w:rPr>
        <w:tab/>
      </w:r>
      <w:r w:rsidR="00843AD1" w:rsidRPr="00E73772">
        <w:rPr>
          <w:rFonts w:cs="Arial"/>
          <w:bCs/>
          <w:szCs w:val="22"/>
        </w:rPr>
        <w:t xml:space="preserve">The transaction bank account into which the applicant made payment is then described in more detail in </w:t>
      </w:r>
      <w:r w:rsidR="00A56531" w:rsidRPr="00E73772">
        <w:rPr>
          <w:rFonts w:cs="Arial"/>
          <w:bCs/>
          <w:i/>
          <w:iCs/>
          <w:szCs w:val="22"/>
        </w:rPr>
        <w:t>‘</w:t>
      </w:r>
      <w:r w:rsidR="00843AD1" w:rsidRPr="00E73772">
        <w:rPr>
          <w:rFonts w:cs="Arial"/>
          <w:bCs/>
          <w:i/>
          <w:iCs/>
          <w:szCs w:val="22"/>
        </w:rPr>
        <w:t>Annex [C]</w:t>
      </w:r>
      <w:r w:rsidR="00A56531" w:rsidRPr="00E73772">
        <w:rPr>
          <w:rFonts w:cs="Arial"/>
          <w:bCs/>
          <w:i/>
          <w:iCs/>
          <w:szCs w:val="22"/>
        </w:rPr>
        <w:t xml:space="preserve"> Bank Account with Asset Manager.’ </w:t>
      </w:r>
      <w:r w:rsidR="00A56531" w:rsidRPr="00E73772">
        <w:rPr>
          <w:rFonts w:cs="Arial"/>
          <w:bCs/>
          <w:szCs w:val="22"/>
        </w:rPr>
        <w:t>This is Lomolino’s account. The applicant need not be concerned with the reasons why the account holder was Lomolino – she was told and the agreement was entered into on the basis that the account was under the sole control of the first respondent</w:t>
      </w:r>
      <w:r w:rsidR="00057B83">
        <w:rPr>
          <w:rFonts w:cs="Arial"/>
          <w:bCs/>
          <w:szCs w:val="22"/>
        </w:rPr>
        <w:t>, and that Lomolino was an associate of the first respondent</w:t>
      </w:r>
      <w:r w:rsidR="00A8325E" w:rsidRPr="00E73772">
        <w:rPr>
          <w:rFonts w:cs="Arial"/>
          <w:bCs/>
          <w:szCs w:val="22"/>
        </w:rPr>
        <w:t>.</w:t>
      </w:r>
    </w:p>
    <w:p w14:paraId="62B37C6D" w14:textId="26505AE7" w:rsidR="006B437C" w:rsidRPr="006B437C" w:rsidRDefault="00756B17" w:rsidP="00756B17">
      <w:pPr>
        <w:widowControl w:val="0"/>
        <w:tabs>
          <w:tab w:val="left" w:pos="567"/>
        </w:tabs>
        <w:spacing w:before="480" w:after="480" w:line="480" w:lineRule="auto"/>
        <w:jc w:val="both"/>
        <w:rPr>
          <w:rFonts w:cs="Arial"/>
          <w:bCs/>
          <w:szCs w:val="22"/>
        </w:rPr>
      </w:pPr>
      <w:r w:rsidRPr="006B437C">
        <w:rPr>
          <w:rFonts w:cs="Arial"/>
          <w:bCs/>
          <w:szCs w:val="22"/>
        </w:rPr>
        <w:t>[66]</w:t>
      </w:r>
      <w:r w:rsidRPr="006B437C">
        <w:rPr>
          <w:rFonts w:cs="Arial"/>
          <w:bCs/>
          <w:szCs w:val="22"/>
        </w:rPr>
        <w:tab/>
      </w:r>
      <w:r w:rsidR="00057B83" w:rsidRPr="006B437C">
        <w:rPr>
          <w:rFonts w:cs="Arial"/>
          <w:bCs/>
          <w:szCs w:val="22"/>
        </w:rPr>
        <w:t xml:space="preserve">If one accepted that the agreement was not only void but also illegal, </w:t>
      </w:r>
      <w:r w:rsidR="006B437C" w:rsidRPr="006B437C">
        <w:rPr>
          <w:rFonts w:cs="Arial"/>
          <w:bCs/>
          <w:szCs w:val="22"/>
        </w:rPr>
        <w:t xml:space="preserve">the correct </w:t>
      </w:r>
      <w:r w:rsidR="006B437C" w:rsidRPr="006B437C">
        <w:rPr>
          <w:rFonts w:cs="Arial"/>
          <w:bCs/>
          <w:i/>
          <w:iCs/>
          <w:szCs w:val="22"/>
        </w:rPr>
        <w:t>condictio</w:t>
      </w:r>
      <w:r w:rsidR="006B437C" w:rsidRPr="006B437C">
        <w:rPr>
          <w:rFonts w:cs="Arial"/>
          <w:bCs/>
          <w:szCs w:val="22"/>
        </w:rPr>
        <w:t xml:space="preserve"> is the </w:t>
      </w:r>
      <w:r w:rsidR="006B437C" w:rsidRPr="006B437C">
        <w:rPr>
          <w:rFonts w:cs="Arial"/>
          <w:bCs/>
          <w:i/>
          <w:iCs/>
          <w:szCs w:val="22"/>
        </w:rPr>
        <w:t xml:space="preserve">condictio ob turpem vel iniustam causam. </w:t>
      </w:r>
      <w:r w:rsidR="006B437C" w:rsidRPr="006B437C">
        <w:rPr>
          <w:rFonts w:cs="Arial"/>
          <w:bCs/>
          <w:szCs w:val="22"/>
        </w:rPr>
        <w:t xml:space="preserve">The money was transferred, the transaction or its performance was illegal, and the first respondent was unjustly enriched. If I am mistaken and the agreement was void but not illegal, the correct </w:t>
      </w:r>
      <w:r w:rsidR="006B437C" w:rsidRPr="006B437C">
        <w:rPr>
          <w:rFonts w:cs="Arial"/>
          <w:bCs/>
          <w:i/>
          <w:iCs/>
          <w:szCs w:val="22"/>
        </w:rPr>
        <w:t>condictio</w:t>
      </w:r>
      <w:r w:rsidR="006B437C" w:rsidRPr="006B437C">
        <w:rPr>
          <w:rFonts w:cs="Arial"/>
          <w:bCs/>
          <w:szCs w:val="22"/>
        </w:rPr>
        <w:t xml:space="preserve"> would be the </w:t>
      </w:r>
      <w:r w:rsidR="004E232C" w:rsidRPr="006B437C">
        <w:rPr>
          <w:rFonts w:cs="Arial"/>
          <w:bCs/>
          <w:i/>
          <w:iCs/>
          <w:szCs w:val="22"/>
        </w:rPr>
        <w:t>condictio indebite</w:t>
      </w:r>
      <w:r w:rsidR="006B437C" w:rsidRPr="006B437C">
        <w:rPr>
          <w:rFonts w:cs="Arial"/>
          <w:bCs/>
          <w:szCs w:val="22"/>
        </w:rPr>
        <w:t>. Those requirements have also been met</w:t>
      </w:r>
      <w:r w:rsidR="004E232C" w:rsidRPr="006B437C">
        <w:rPr>
          <w:rFonts w:cs="Arial"/>
          <w:bCs/>
          <w:szCs w:val="22"/>
        </w:rPr>
        <w:t xml:space="preserve">. </w:t>
      </w:r>
      <w:r w:rsidR="006B437C" w:rsidRPr="006B437C">
        <w:rPr>
          <w:rFonts w:cs="Arial"/>
          <w:szCs w:val="22"/>
        </w:rPr>
        <w:t xml:space="preserve">The agreement is a nullity. The applicant made the </w:t>
      </w:r>
      <w:r w:rsidR="006B437C" w:rsidRPr="006B437C">
        <w:rPr>
          <w:rFonts w:cs="Arial"/>
          <w:i/>
          <w:iCs/>
          <w:szCs w:val="22"/>
        </w:rPr>
        <w:t>indebite</w:t>
      </w:r>
      <w:r w:rsidR="006B437C" w:rsidRPr="006B437C">
        <w:rPr>
          <w:rFonts w:cs="Arial"/>
          <w:szCs w:val="22"/>
        </w:rPr>
        <w:t xml:space="preserve"> payment in the reasonable but mistaken belief that she was acting in terms of a valid agreement.</w:t>
      </w:r>
      <w:r w:rsidR="006B437C">
        <w:rPr>
          <w:rFonts w:cs="Arial"/>
          <w:szCs w:val="22"/>
        </w:rPr>
        <w:t xml:space="preserve"> The first respondent was unjustly enriched.</w:t>
      </w:r>
    </w:p>
    <w:p w14:paraId="1C159026" w14:textId="1AB950F2" w:rsidR="00E73772" w:rsidRPr="00097CC2" w:rsidRDefault="00E73772" w:rsidP="006B437C">
      <w:pPr>
        <w:widowControl w:val="0"/>
        <w:spacing w:before="480" w:after="480" w:line="480" w:lineRule="auto"/>
        <w:jc w:val="both"/>
        <w:rPr>
          <w:rFonts w:cs="Arial"/>
          <w:bCs/>
          <w:szCs w:val="22"/>
        </w:rPr>
      </w:pPr>
    </w:p>
    <w:p w14:paraId="25F796FB" w14:textId="77777777" w:rsidR="00843AD1" w:rsidRPr="00E73772" w:rsidRDefault="00843AD1" w:rsidP="00843AD1">
      <w:pPr>
        <w:widowControl w:val="0"/>
        <w:spacing w:before="480" w:after="480" w:line="480" w:lineRule="auto"/>
        <w:jc w:val="both"/>
        <w:rPr>
          <w:rFonts w:cs="Arial"/>
          <w:bCs/>
          <w:szCs w:val="22"/>
          <w:u w:val="single"/>
        </w:rPr>
      </w:pPr>
      <w:r w:rsidRPr="00E73772">
        <w:rPr>
          <w:rFonts w:cs="Arial"/>
          <w:bCs/>
          <w:szCs w:val="22"/>
          <w:u w:val="single"/>
        </w:rPr>
        <w:lastRenderedPageBreak/>
        <w:t>SECTION 218 OF THE COMPANIES ACT, 71 OF 2008</w:t>
      </w:r>
    </w:p>
    <w:p w14:paraId="11F1A41A" w14:textId="167BCC11" w:rsidR="00A23E58" w:rsidRPr="00C470C4" w:rsidRDefault="00756B17" w:rsidP="00756B17">
      <w:pPr>
        <w:widowControl w:val="0"/>
        <w:tabs>
          <w:tab w:val="left" w:pos="567"/>
        </w:tabs>
        <w:spacing w:before="480" w:after="480" w:line="480" w:lineRule="auto"/>
        <w:jc w:val="both"/>
        <w:rPr>
          <w:rFonts w:cs="Arial"/>
          <w:bCs/>
          <w:szCs w:val="22"/>
        </w:rPr>
      </w:pPr>
      <w:r w:rsidRPr="00C470C4">
        <w:rPr>
          <w:rFonts w:cs="Arial"/>
          <w:bCs/>
          <w:szCs w:val="22"/>
        </w:rPr>
        <w:t>[67]</w:t>
      </w:r>
      <w:r w:rsidRPr="00C470C4">
        <w:rPr>
          <w:rFonts w:cs="Arial"/>
          <w:bCs/>
          <w:szCs w:val="22"/>
        </w:rPr>
        <w:tab/>
      </w:r>
      <w:r w:rsidR="00097CC2" w:rsidRPr="00C470C4">
        <w:rPr>
          <w:rFonts w:cs="Arial"/>
          <w:bCs/>
          <w:szCs w:val="22"/>
        </w:rPr>
        <w:t>The applicant seeks to hold the second and third respondent liable for her loss, jointly and severally with the first respondent, in terms of section 218 of the Companies Act.</w:t>
      </w:r>
      <w:r w:rsidR="00C470C4" w:rsidRPr="00C470C4">
        <w:rPr>
          <w:rFonts w:cs="Arial"/>
          <w:bCs/>
          <w:szCs w:val="22"/>
        </w:rPr>
        <w:t xml:space="preserve"> The section </w:t>
      </w:r>
      <w:r w:rsidR="005A0947" w:rsidRPr="00C470C4">
        <w:rPr>
          <w:rFonts w:cs="Arial"/>
          <w:bCs/>
          <w:szCs w:val="22"/>
        </w:rPr>
        <w:t>reads as follows:</w:t>
      </w:r>
    </w:p>
    <w:p w14:paraId="2A0E8912" w14:textId="77777777" w:rsidR="005A0947" w:rsidRPr="00E73772" w:rsidRDefault="005A0947" w:rsidP="00B9026B">
      <w:pPr>
        <w:keepNext/>
        <w:widowControl w:val="0"/>
        <w:spacing w:before="120" w:after="120" w:line="360" w:lineRule="auto"/>
        <w:ind w:left="1440"/>
        <w:jc w:val="both"/>
        <w:rPr>
          <w:rFonts w:cs="Arial"/>
          <w:b/>
          <w:bCs/>
          <w:i/>
          <w:iCs/>
          <w:szCs w:val="22"/>
        </w:rPr>
      </w:pPr>
      <w:r w:rsidRPr="00E73772">
        <w:rPr>
          <w:rFonts w:cs="Arial"/>
          <w:b/>
          <w:bCs/>
          <w:i/>
          <w:iCs/>
          <w:szCs w:val="22"/>
        </w:rPr>
        <w:t>218  Civil actions</w:t>
      </w:r>
    </w:p>
    <w:p w14:paraId="0AAD32A9" w14:textId="5BF18893" w:rsidR="005A0947" w:rsidRPr="00E73772" w:rsidRDefault="005A0947" w:rsidP="00B9026B">
      <w:pPr>
        <w:keepNext/>
        <w:widowControl w:val="0"/>
        <w:spacing w:before="120" w:after="120" w:line="360" w:lineRule="auto"/>
        <w:ind w:left="1440"/>
        <w:jc w:val="both"/>
        <w:rPr>
          <w:rFonts w:cs="Arial"/>
          <w:i/>
          <w:iCs/>
          <w:szCs w:val="22"/>
        </w:rPr>
      </w:pPr>
      <w:r w:rsidRPr="00E73772">
        <w:rPr>
          <w:rFonts w:cs="Arial"/>
          <w:i/>
          <w:iCs/>
          <w:szCs w:val="22"/>
        </w:rPr>
        <w:t>(1) …</w:t>
      </w:r>
    </w:p>
    <w:p w14:paraId="2C9777DD" w14:textId="116FD760" w:rsidR="005A0947" w:rsidRPr="00E73772" w:rsidRDefault="005A0947" w:rsidP="00B9026B">
      <w:pPr>
        <w:keepNext/>
        <w:widowControl w:val="0"/>
        <w:spacing w:before="120" w:after="120" w:line="360" w:lineRule="auto"/>
        <w:ind w:left="1440"/>
        <w:jc w:val="both"/>
        <w:rPr>
          <w:rFonts w:cs="Arial"/>
          <w:i/>
          <w:iCs/>
          <w:szCs w:val="22"/>
        </w:rPr>
      </w:pPr>
      <w:r w:rsidRPr="00E73772">
        <w:rPr>
          <w:rFonts w:cs="Arial"/>
          <w:i/>
          <w:iCs/>
          <w:szCs w:val="22"/>
        </w:rPr>
        <w:t>(2) Any person who contravenes any provision of this Act is liable to any other person for any loss or damage suffered by that person as a result of that contravention.</w:t>
      </w:r>
    </w:p>
    <w:p w14:paraId="0AA629A3" w14:textId="77777777" w:rsidR="00B9026B" w:rsidRPr="00E73772" w:rsidRDefault="00B9026B" w:rsidP="00B9026B">
      <w:pPr>
        <w:keepNext/>
        <w:widowControl w:val="0"/>
        <w:spacing w:before="120" w:after="120" w:line="360" w:lineRule="auto"/>
        <w:ind w:left="1440"/>
        <w:jc w:val="both"/>
        <w:rPr>
          <w:rFonts w:cs="Arial"/>
          <w:i/>
          <w:iCs/>
          <w:szCs w:val="22"/>
        </w:rPr>
      </w:pPr>
    </w:p>
    <w:p w14:paraId="2D3FB108" w14:textId="609A31F7" w:rsidR="007E1F4F"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[68]</w:t>
      </w:r>
      <w:r w:rsidRPr="00E73772">
        <w:rPr>
          <w:rFonts w:cs="Arial"/>
          <w:bCs/>
          <w:szCs w:val="22"/>
        </w:rPr>
        <w:tab/>
      </w:r>
      <w:r w:rsidR="007E1F4F" w:rsidRPr="00E73772">
        <w:rPr>
          <w:rFonts w:cs="Arial"/>
          <w:bCs/>
          <w:szCs w:val="22"/>
        </w:rPr>
        <w:t>The respondent’s defence to the claim under section 218 is that any liability of the second and third respondents in terms of section 22, 76, 77, or 218 of the Companies Act could only be to the first respondent and not to any other class of person.</w:t>
      </w:r>
    </w:p>
    <w:p w14:paraId="2A7DE1B1" w14:textId="48903DA8" w:rsidR="00A111A4"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[69]</w:t>
      </w:r>
      <w:r w:rsidRPr="00E73772">
        <w:rPr>
          <w:rFonts w:cs="Arial"/>
          <w:bCs/>
          <w:szCs w:val="22"/>
        </w:rPr>
        <w:tab/>
      </w:r>
      <w:r w:rsidR="00315155" w:rsidRPr="00E73772">
        <w:rPr>
          <w:rFonts w:cs="Arial"/>
          <w:bCs/>
          <w:szCs w:val="22"/>
        </w:rPr>
        <w:t xml:space="preserve">In the </w:t>
      </w:r>
      <w:r w:rsidR="00315155" w:rsidRPr="00E73772">
        <w:rPr>
          <w:rFonts w:cs="Arial"/>
          <w:bCs/>
          <w:i/>
          <w:iCs/>
          <w:szCs w:val="22"/>
        </w:rPr>
        <w:t>Grancy</w:t>
      </w:r>
      <w:r w:rsidR="00315155" w:rsidRPr="00E73772">
        <w:rPr>
          <w:rFonts w:cs="Arial"/>
          <w:bCs/>
          <w:szCs w:val="22"/>
        </w:rPr>
        <w:t xml:space="preserve"> case,</w:t>
      </w:r>
      <w:r w:rsidR="00A111A4" w:rsidRPr="00E73772">
        <w:rPr>
          <w:rStyle w:val="FootnoteReference"/>
          <w:rFonts w:cs="Arial"/>
          <w:bCs/>
          <w:szCs w:val="22"/>
        </w:rPr>
        <w:footnoteReference w:id="33"/>
      </w:r>
      <w:r w:rsidR="00315155" w:rsidRPr="00E73772">
        <w:rPr>
          <w:rFonts w:cs="Arial"/>
          <w:bCs/>
          <w:szCs w:val="22"/>
        </w:rPr>
        <w:t xml:space="preserve"> Fourie J said that -</w:t>
      </w:r>
    </w:p>
    <w:p w14:paraId="747F8185" w14:textId="57ED5059" w:rsidR="00315155" w:rsidRPr="00E73772" w:rsidRDefault="00315155" w:rsidP="00B9026B">
      <w:pPr>
        <w:spacing w:before="120" w:after="120" w:line="360" w:lineRule="auto"/>
        <w:ind w:left="1440"/>
        <w:jc w:val="both"/>
        <w:rPr>
          <w:rFonts w:cs="Arial"/>
          <w:i/>
          <w:iCs/>
          <w:color w:val="000000" w:themeColor="text1"/>
          <w:szCs w:val="22"/>
        </w:rPr>
      </w:pPr>
      <w:r w:rsidRPr="00E73772">
        <w:rPr>
          <w:rFonts w:cs="Arial"/>
          <w:i/>
          <w:iCs/>
          <w:color w:val="000000" w:themeColor="text1"/>
          <w:szCs w:val="22"/>
        </w:rPr>
        <w:t>“…section 218 (2) of the 2008 </w:t>
      </w:r>
      <w:hyperlink r:id="rId9" w:history="1">
        <w:r w:rsidRPr="00E73772">
          <w:rPr>
            <w:rStyle w:val="Hyperlink"/>
            <w:rFonts w:cs="Arial"/>
            <w:i/>
            <w:iCs/>
            <w:color w:val="000000" w:themeColor="text1"/>
            <w:szCs w:val="22"/>
            <w:u w:val="none"/>
          </w:rPr>
          <w:t>Companies Act, provides</w:t>
        </w:r>
      </w:hyperlink>
      <w:r w:rsidRPr="00E73772">
        <w:rPr>
          <w:rFonts w:cs="Arial"/>
          <w:i/>
          <w:iCs/>
          <w:color w:val="000000" w:themeColor="text1"/>
          <w:szCs w:val="22"/>
        </w:rPr>
        <w:t> that any person (this would include a director of a company) who contravenes any provision of the Act, is liable to any other person for any loss or damage suffered by that person as a result of that contravention. It follows that a director who does not comply with the standards of directors’ conduct as set out in section 76 of the 2008 </w:t>
      </w:r>
      <w:hyperlink r:id="rId10" w:history="1">
        <w:r w:rsidRPr="00E73772">
          <w:rPr>
            <w:rStyle w:val="Hyperlink"/>
            <w:rFonts w:cs="Arial"/>
            <w:i/>
            <w:iCs/>
            <w:color w:val="000000" w:themeColor="text1"/>
            <w:szCs w:val="22"/>
            <w:u w:val="none"/>
          </w:rPr>
          <w:t>Companies Act, would</w:t>
        </w:r>
      </w:hyperlink>
      <w:r w:rsidRPr="00E73772">
        <w:rPr>
          <w:rFonts w:cs="Arial"/>
          <w:i/>
          <w:iCs/>
          <w:color w:val="000000" w:themeColor="text1"/>
          <w:szCs w:val="22"/>
        </w:rPr>
        <w:t> be liable to any person suffering a loss as a consequence thereof.”</w:t>
      </w:r>
    </w:p>
    <w:p w14:paraId="6292447E" w14:textId="77777777" w:rsidR="00315155" w:rsidRPr="00E73772" w:rsidRDefault="00315155" w:rsidP="00B9026B">
      <w:pPr>
        <w:spacing w:before="120" w:after="120" w:line="360" w:lineRule="auto"/>
        <w:ind w:left="1440"/>
        <w:jc w:val="both"/>
        <w:rPr>
          <w:rFonts w:cs="Arial"/>
          <w:i/>
          <w:iCs/>
          <w:szCs w:val="22"/>
        </w:rPr>
      </w:pPr>
    </w:p>
    <w:p w14:paraId="19F08915" w14:textId="4B0CE3E9" w:rsidR="00BD2329"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[70]</w:t>
      </w:r>
      <w:r w:rsidRPr="00E73772">
        <w:rPr>
          <w:rFonts w:cs="Arial"/>
          <w:bCs/>
          <w:szCs w:val="22"/>
        </w:rPr>
        <w:tab/>
      </w:r>
      <w:r w:rsidR="00EE2EA9" w:rsidRPr="00E73772">
        <w:rPr>
          <w:rFonts w:cs="Arial"/>
          <w:bCs/>
          <w:szCs w:val="22"/>
        </w:rPr>
        <w:t xml:space="preserve">No-one is expected to know all of the law but people who venture into any area of the law should familiarise themselves with what the law requires. Doing business in the field of financial management and advice requires one to become familiar with the law governing </w:t>
      </w:r>
      <w:r w:rsidR="00B9026B" w:rsidRPr="00E73772">
        <w:rPr>
          <w:rFonts w:cs="Arial"/>
          <w:bCs/>
          <w:szCs w:val="22"/>
        </w:rPr>
        <w:t xml:space="preserve">these </w:t>
      </w:r>
      <w:r w:rsidR="00EE2EA9" w:rsidRPr="00E73772">
        <w:rPr>
          <w:rFonts w:cs="Arial"/>
          <w:bCs/>
          <w:szCs w:val="22"/>
        </w:rPr>
        <w:t>activities, such as the FAIS Act</w:t>
      </w:r>
      <w:r w:rsidR="00BD2329" w:rsidRPr="00E73772">
        <w:rPr>
          <w:rFonts w:cs="Arial"/>
          <w:bCs/>
          <w:szCs w:val="22"/>
        </w:rPr>
        <w:t>.</w:t>
      </w:r>
      <w:r w:rsidR="00A111A4" w:rsidRPr="00E73772">
        <w:rPr>
          <w:rFonts w:cs="Arial"/>
          <w:bCs/>
          <w:szCs w:val="22"/>
        </w:rPr>
        <w:t xml:space="preserve"> </w:t>
      </w:r>
      <w:r w:rsidR="00B9026B" w:rsidRPr="00E73772">
        <w:rPr>
          <w:rFonts w:cs="Arial"/>
          <w:bCs/>
          <w:szCs w:val="22"/>
        </w:rPr>
        <w:t>The failure to so familiarise oneself would be reckless or at least grossly negligent, particularly for a person who receives money from clients or deal with their money.</w:t>
      </w:r>
    </w:p>
    <w:p w14:paraId="62D58C56" w14:textId="1D290E0E" w:rsidR="00AA4B3B"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[71]</w:t>
      </w:r>
      <w:r w:rsidRPr="00E73772">
        <w:rPr>
          <w:rFonts w:cs="Arial"/>
          <w:bCs/>
          <w:szCs w:val="22"/>
        </w:rPr>
        <w:tab/>
      </w:r>
      <w:r w:rsidR="00BD2329" w:rsidRPr="00E73772">
        <w:rPr>
          <w:rFonts w:cs="Arial"/>
          <w:bCs/>
          <w:szCs w:val="22"/>
        </w:rPr>
        <w:t xml:space="preserve">It would be reckless </w:t>
      </w:r>
      <w:r w:rsidR="00627578" w:rsidRPr="00E73772">
        <w:rPr>
          <w:rFonts w:cs="Arial"/>
          <w:bCs/>
          <w:szCs w:val="22"/>
        </w:rPr>
        <w:t xml:space="preserve">or grossly negligent </w:t>
      </w:r>
      <w:r w:rsidR="00BD2329" w:rsidRPr="00E73772">
        <w:rPr>
          <w:rFonts w:cs="Arial"/>
          <w:bCs/>
          <w:szCs w:val="22"/>
        </w:rPr>
        <w:t>for a</w:t>
      </w:r>
      <w:r w:rsidR="00A111A4" w:rsidRPr="00E73772">
        <w:rPr>
          <w:rFonts w:cs="Arial"/>
          <w:bCs/>
          <w:szCs w:val="22"/>
        </w:rPr>
        <w:t>n unlicenced</w:t>
      </w:r>
      <w:r w:rsidR="00BD2329" w:rsidRPr="00E73772">
        <w:rPr>
          <w:rFonts w:cs="Arial"/>
          <w:bCs/>
          <w:szCs w:val="22"/>
        </w:rPr>
        <w:t xml:space="preserve"> company or an individual to act or to offer to act as a financial service advisor or as a representative as prohibited in section 7(1)(a) and (b) of the FAIS Act.</w:t>
      </w:r>
      <w:r w:rsidR="00DF4926" w:rsidRPr="00E73772">
        <w:rPr>
          <w:rFonts w:cs="Arial"/>
          <w:bCs/>
          <w:szCs w:val="22"/>
        </w:rPr>
        <w:t xml:space="preserve"> </w:t>
      </w:r>
      <w:r w:rsidR="00A111A4" w:rsidRPr="00E73772">
        <w:rPr>
          <w:rFonts w:cs="Arial"/>
          <w:bCs/>
          <w:szCs w:val="22"/>
        </w:rPr>
        <w:t xml:space="preserve"> Doing so requires the company or individual to enter into agreements that it cannot possibly fulfil legitimately. </w:t>
      </w:r>
      <w:r w:rsidR="00DF4926" w:rsidRPr="00E73772">
        <w:rPr>
          <w:rFonts w:cs="Arial"/>
          <w:bCs/>
          <w:szCs w:val="22"/>
        </w:rPr>
        <w:t>In this matter it is common cause that the first respondent carried on business for at least a decade. It was never licenced</w:t>
      </w:r>
      <w:r w:rsidR="00BD2329" w:rsidRPr="00E73772">
        <w:rPr>
          <w:rFonts w:cs="Arial"/>
          <w:bCs/>
          <w:szCs w:val="22"/>
        </w:rPr>
        <w:t>.</w:t>
      </w:r>
      <w:r w:rsidR="00627578" w:rsidRPr="00E73772">
        <w:rPr>
          <w:rFonts w:cs="Arial"/>
          <w:bCs/>
          <w:szCs w:val="22"/>
        </w:rPr>
        <w:t xml:space="preserve"> </w:t>
      </w:r>
    </w:p>
    <w:p w14:paraId="6CD1EF2F" w14:textId="35551C3D" w:rsidR="00C8244D"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[72]</w:t>
      </w:r>
      <w:r w:rsidRPr="00E73772">
        <w:rPr>
          <w:rFonts w:cs="Arial"/>
          <w:bCs/>
          <w:szCs w:val="22"/>
        </w:rPr>
        <w:tab/>
      </w:r>
      <w:r w:rsidR="00627578" w:rsidRPr="00E73772">
        <w:rPr>
          <w:rFonts w:cs="Arial"/>
          <w:bCs/>
          <w:szCs w:val="22"/>
        </w:rPr>
        <w:t>In terms of section 22 of the Companies Act</w:t>
      </w:r>
      <w:r w:rsidR="00C8244D" w:rsidRPr="00E73772">
        <w:rPr>
          <w:rStyle w:val="FootnoteReference"/>
          <w:rFonts w:cs="Arial"/>
          <w:bCs/>
          <w:szCs w:val="22"/>
        </w:rPr>
        <w:footnoteReference w:id="34"/>
      </w:r>
      <w:r w:rsidR="00627578" w:rsidRPr="00E73772">
        <w:rPr>
          <w:rFonts w:cs="Arial"/>
          <w:bCs/>
          <w:szCs w:val="22"/>
        </w:rPr>
        <w:t>, a company must not carry on its business recklessly, with gross negligence, with intent to defraud any person or for any fraudulent purpose.</w:t>
      </w:r>
      <w:r w:rsidR="00F3521A" w:rsidRPr="00E73772">
        <w:rPr>
          <w:rStyle w:val="FootnoteReference"/>
          <w:rFonts w:cs="Arial"/>
          <w:bCs/>
          <w:szCs w:val="22"/>
        </w:rPr>
        <w:footnoteReference w:id="35"/>
      </w:r>
      <w:r w:rsidR="00E41A7C" w:rsidRPr="00E73772">
        <w:rPr>
          <w:rFonts w:cs="Arial"/>
          <w:bCs/>
          <w:szCs w:val="22"/>
        </w:rPr>
        <w:t xml:space="preserve"> </w:t>
      </w:r>
    </w:p>
    <w:p w14:paraId="02BB7838" w14:textId="32DF232C" w:rsidR="005A0947"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[73]</w:t>
      </w:r>
      <w:r w:rsidRPr="00E73772">
        <w:rPr>
          <w:rFonts w:cs="Arial"/>
          <w:bCs/>
          <w:szCs w:val="22"/>
        </w:rPr>
        <w:tab/>
      </w:r>
      <w:r w:rsidR="00E41A7C" w:rsidRPr="00E73772">
        <w:rPr>
          <w:rFonts w:cs="Arial"/>
          <w:bCs/>
          <w:szCs w:val="22"/>
        </w:rPr>
        <w:t>Section 76(3)</w:t>
      </w:r>
      <w:r w:rsidR="00096EAD" w:rsidRPr="00E73772">
        <w:rPr>
          <w:rFonts w:cs="Arial"/>
          <w:bCs/>
          <w:szCs w:val="22"/>
        </w:rPr>
        <w:t xml:space="preserve"> of the Companies Act</w:t>
      </w:r>
      <w:r w:rsidR="00096EAD" w:rsidRPr="00E73772">
        <w:rPr>
          <w:rStyle w:val="FootnoteReference"/>
          <w:rFonts w:cs="Arial"/>
          <w:bCs/>
          <w:szCs w:val="22"/>
        </w:rPr>
        <w:footnoteReference w:id="36"/>
      </w:r>
      <w:r w:rsidR="00E41A7C" w:rsidRPr="00E73772">
        <w:rPr>
          <w:rFonts w:cs="Arial"/>
          <w:bCs/>
          <w:szCs w:val="22"/>
        </w:rPr>
        <w:t xml:space="preserve"> requires of a director to perform functions </w:t>
      </w:r>
      <w:r w:rsidR="002811B1" w:rsidRPr="00E73772">
        <w:rPr>
          <w:rFonts w:cs="Arial"/>
          <w:bCs/>
          <w:szCs w:val="22"/>
        </w:rPr>
        <w:t>in good faith and for a proper purpose</w:t>
      </w:r>
      <w:r w:rsidR="00096EAD" w:rsidRPr="00E73772">
        <w:rPr>
          <w:rFonts w:cs="Arial"/>
          <w:bCs/>
          <w:szCs w:val="22"/>
        </w:rPr>
        <w:t xml:space="preserve">, in the best interest of the company, and with the appropriate degree of skill, general knowledge and experience. The director must </w:t>
      </w:r>
      <w:r w:rsidR="009164BE">
        <w:rPr>
          <w:rFonts w:cs="Arial"/>
          <w:bCs/>
          <w:szCs w:val="22"/>
        </w:rPr>
        <w:t xml:space="preserve">take </w:t>
      </w:r>
      <w:r w:rsidR="00096EAD" w:rsidRPr="00E73772">
        <w:rPr>
          <w:rFonts w:cs="Arial"/>
          <w:szCs w:val="22"/>
        </w:rPr>
        <w:lastRenderedPageBreak/>
        <w:t xml:space="preserve">reasonably diligent steps to become informed about </w:t>
      </w:r>
      <w:r w:rsidR="009164BE">
        <w:rPr>
          <w:rFonts w:cs="Arial"/>
          <w:szCs w:val="22"/>
        </w:rPr>
        <w:t>relevant</w:t>
      </w:r>
      <w:r w:rsidR="00096EAD" w:rsidRPr="00E73772">
        <w:rPr>
          <w:rFonts w:cs="Arial"/>
          <w:szCs w:val="22"/>
        </w:rPr>
        <w:t xml:space="preserve"> matter</w:t>
      </w:r>
      <w:r w:rsidR="009164BE">
        <w:rPr>
          <w:rFonts w:cs="Arial"/>
          <w:szCs w:val="22"/>
        </w:rPr>
        <w:t>s</w:t>
      </w:r>
      <w:r w:rsidR="00096EAD" w:rsidRPr="00E73772">
        <w:rPr>
          <w:rFonts w:cs="Arial"/>
          <w:szCs w:val="22"/>
        </w:rPr>
        <w:t>.</w:t>
      </w:r>
      <w:r w:rsidR="00096EAD" w:rsidRPr="00E73772">
        <w:rPr>
          <w:rStyle w:val="FootnoteReference"/>
          <w:rFonts w:cs="Arial"/>
          <w:szCs w:val="22"/>
        </w:rPr>
        <w:footnoteReference w:id="37"/>
      </w:r>
      <w:r w:rsidR="00096EAD" w:rsidRPr="00E73772">
        <w:rPr>
          <w:rFonts w:cs="Arial"/>
          <w:szCs w:val="22"/>
        </w:rPr>
        <w:t xml:space="preserve"> Had the directors done this, in this instance and perhaps in others, they would have known that the company was entering in to an agreement in terms of which performance by the company was precluded by section 7 of the FAIS Act.</w:t>
      </w:r>
      <w:r w:rsidR="009164BE">
        <w:rPr>
          <w:rFonts w:cs="Arial"/>
          <w:szCs w:val="22"/>
        </w:rPr>
        <w:t xml:space="preserve"> </w:t>
      </w:r>
    </w:p>
    <w:p w14:paraId="56036CBD" w14:textId="77452667" w:rsidR="00DC3BEA"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[74]</w:t>
      </w:r>
      <w:r w:rsidRPr="00E73772">
        <w:rPr>
          <w:rFonts w:cs="Arial"/>
          <w:bCs/>
          <w:szCs w:val="22"/>
        </w:rPr>
        <w:tab/>
      </w:r>
      <w:r w:rsidR="002E753F" w:rsidRPr="00E73772">
        <w:rPr>
          <w:rFonts w:cs="Arial"/>
          <w:szCs w:val="22"/>
        </w:rPr>
        <w:t>In terms of s</w:t>
      </w:r>
      <w:r w:rsidR="00DC3BEA" w:rsidRPr="00E73772">
        <w:rPr>
          <w:rFonts w:cs="Arial"/>
          <w:szCs w:val="22"/>
        </w:rPr>
        <w:t>ection 77</w:t>
      </w:r>
      <w:r w:rsidR="002E753F" w:rsidRPr="00E73772">
        <w:rPr>
          <w:rStyle w:val="FootnoteReference"/>
          <w:rFonts w:cs="Arial"/>
          <w:szCs w:val="22"/>
        </w:rPr>
        <w:footnoteReference w:id="38"/>
      </w:r>
      <w:r w:rsidR="00DC3BEA" w:rsidRPr="00E73772">
        <w:rPr>
          <w:rFonts w:cs="Arial"/>
          <w:szCs w:val="22"/>
        </w:rPr>
        <w:t xml:space="preserve"> of the Companies Act</w:t>
      </w:r>
      <w:r w:rsidR="002E753F" w:rsidRPr="00E73772">
        <w:rPr>
          <w:rFonts w:cs="Arial"/>
          <w:szCs w:val="22"/>
        </w:rPr>
        <w:t xml:space="preserve"> a director owes fiduciary duties to the company.</w:t>
      </w:r>
      <w:r w:rsidR="00224216" w:rsidRPr="00E73772">
        <w:rPr>
          <w:rFonts w:cs="Arial"/>
          <w:szCs w:val="22"/>
        </w:rPr>
        <w:t xml:space="preserve"> A director should not allow the company to enter into agreements that are void and out of which liabilities may arise.</w:t>
      </w:r>
      <w:r w:rsidR="009164BE">
        <w:rPr>
          <w:rFonts w:cs="Arial"/>
          <w:szCs w:val="22"/>
        </w:rPr>
        <w:t xml:space="preserve"> Section 77(3) provides that a </w:t>
      </w:r>
      <w:r w:rsidR="009164BE">
        <w:t xml:space="preserve">director is liable for any loss sustained by the company as a direct or indirect consequence of the director having acquiesced in the carrying on of the company’s business despite knowing that it was being conducted in a manner prohibited by section 22(1). </w:t>
      </w:r>
    </w:p>
    <w:p w14:paraId="259BF8E6" w14:textId="2671CFFF" w:rsidR="005A0947"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[75]</w:t>
      </w:r>
      <w:r w:rsidRPr="00E73772">
        <w:rPr>
          <w:rFonts w:cs="Arial"/>
          <w:bCs/>
          <w:szCs w:val="22"/>
        </w:rPr>
        <w:tab/>
      </w:r>
      <w:r w:rsidR="00DF4926" w:rsidRPr="00E73772">
        <w:rPr>
          <w:rFonts w:cs="Arial"/>
          <w:bCs/>
          <w:szCs w:val="22"/>
        </w:rPr>
        <w:t>It is not disputed that the third respondent had a conversation with the applicant and explained the nature of the transaction to her. His evidence is that the first respondent acted merely as agent of AS and did not require a licence. This is</w:t>
      </w:r>
      <w:r w:rsidR="009164BE">
        <w:rPr>
          <w:rFonts w:cs="Arial"/>
          <w:bCs/>
          <w:szCs w:val="22"/>
        </w:rPr>
        <w:t xml:space="preserve"> inaccurate</w:t>
      </w:r>
      <w:r w:rsidR="00DF4926" w:rsidRPr="00E73772">
        <w:rPr>
          <w:rFonts w:cs="Arial"/>
          <w:bCs/>
          <w:szCs w:val="22"/>
        </w:rPr>
        <w:t>, as the first respondent would then have to be a representative of an authorised financial service provider</w:t>
      </w:r>
      <w:r w:rsidR="00F3521A" w:rsidRPr="00E73772">
        <w:rPr>
          <w:rFonts w:cs="Arial"/>
          <w:bCs/>
          <w:szCs w:val="22"/>
        </w:rPr>
        <w:t>, and it never claimed to have the backing of an authorised financial services provider</w:t>
      </w:r>
      <w:r w:rsidR="00DF4926" w:rsidRPr="00E73772">
        <w:rPr>
          <w:rFonts w:cs="Arial"/>
          <w:bCs/>
          <w:szCs w:val="22"/>
        </w:rPr>
        <w:t>.</w:t>
      </w:r>
      <w:r w:rsidR="00627578" w:rsidRPr="00E73772">
        <w:rPr>
          <w:rFonts w:cs="Arial"/>
          <w:bCs/>
          <w:szCs w:val="22"/>
        </w:rPr>
        <w:t xml:space="preserve"> The third respondent also advised her, and this is not denied, that no licence was needed as this was a private placement. This </w:t>
      </w:r>
      <w:r w:rsidR="00F3521A" w:rsidRPr="00E73772">
        <w:rPr>
          <w:rFonts w:cs="Arial"/>
          <w:bCs/>
          <w:szCs w:val="22"/>
        </w:rPr>
        <w:t>would be palpably false. The question was not whether this was a private placement, but whether section 7(1) required a licence.</w:t>
      </w:r>
    </w:p>
    <w:p w14:paraId="72B2FB8B" w14:textId="6B6896E5" w:rsidR="00163904"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[76]</w:t>
      </w:r>
      <w:r w:rsidRPr="00E73772">
        <w:rPr>
          <w:rFonts w:cs="Arial"/>
          <w:bCs/>
          <w:szCs w:val="22"/>
        </w:rPr>
        <w:tab/>
      </w:r>
      <w:r w:rsidR="00163904" w:rsidRPr="00E73772">
        <w:rPr>
          <w:rFonts w:cs="Arial"/>
          <w:bCs/>
          <w:szCs w:val="22"/>
        </w:rPr>
        <w:t>The respondents raise two further defences in the context of section 218:</w:t>
      </w:r>
    </w:p>
    <w:p w14:paraId="63BDE0A7" w14:textId="6D081DB5" w:rsidR="0071437E"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76.1</w:t>
      </w:r>
      <w:r w:rsidRPr="00E73772">
        <w:rPr>
          <w:rFonts w:cs="Arial"/>
          <w:bCs/>
          <w:szCs w:val="22"/>
        </w:rPr>
        <w:tab/>
      </w:r>
      <w:r w:rsidR="00163904" w:rsidRPr="00E73772">
        <w:rPr>
          <w:rFonts w:cs="Arial"/>
          <w:bCs/>
          <w:szCs w:val="22"/>
        </w:rPr>
        <w:t xml:space="preserve">The section applies only to action proceedings: </w:t>
      </w:r>
    </w:p>
    <w:p w14:paraId="264158F3" w14:textId="316E3C32" w:rsidR="00244F23" w:rsidRPr="00E73772" w:rsidRDefault="00756B17" w:rsidP="00756B17">
      <w:pPr>
        <w:widowControl w:val="0"/>
        <w:tabs>
          <w:tab w:val="left" w:pos="2268"/>
        </w:tabs>
        <w:spacing w:before="480" w:after="480" w:line="480" w:lineRule="auto"/>
        <w:ind w:left="2268" w:hanging="850"/>
        <w:jc w:val="both"/>
        <w:rPr>
          <w:rFonts w:cs="Arial"/>
          <w:bCs/>
          <w:szCs w:val="22"/>
        </w:rPr>
      </w:pPr>
      <w:r w:rsidRPr="00E73772">
        <w:rPr>
          <w:rFonts w:cs="Arial"/>
          <w:bCs/>
          <w:szCs w:val="22"/>
        </w:rPr>
        <w:lastRenderedPageBreak/>
        <w:t>76.1.1</w:t>
      </w:r>
      <w:r w:rsidRPr="00E73772">
        <w:rPr>
          <w:rFonts w:cs="Arial"/>
          <w:bCs/>
          <w:szCs w:val="22"/>
        </w:rPr>
        <w:tab/>
      </w:r>
      <w:r w:rsidR="00244F23" w:rsidRPr="00E73772">
        <w:rPr>
          <w:rFonts w:cs="Arial"/>
          <w:bCs/>
          <w:szCs w:val="22"/>
        </w:rPr>
        <w:t>The object is to ascertain the intention of the legislature and the intention is clear. The heading may play a role when the interpretation is doubtful but that is not the case here.</w:t>
      </w:r>
      <w:r w:rsidR="00244F23" w:rsidRPr="00E73772">
        <w:rPr>
          <w:rStyle w:val="FootnoteReference"/>
          <w:rFonts w:cs="Arial"/>
          <w:bCs/>
          <w:szCs w:val="22"/>
        </w:rPr>
        <w:footnoteReference w:id="39"/>
      </w:r>
    </w:p>
    <w:p w14:paraId="48225D4E" w14:textId="5F2F376D" w:rsidR="0071437E" w:rsidRPr="00E73772" w:rsidRDefault="00756B17" w:rsidP="00756B17">
      <w:pPr>
        <w:widowControl w:val="0"/>
        <w:tabs>
          <w:tab w:val="left" w:pos="2268"/>
        </w:tabs>
        <w:spacing w:before="480" w:after="480" w:line="480" w:lineRule="auto"/>
        <w:ind w:left="2268" w:hanging="850"/>
        <w:jc w:val="both"/>
        <w:rPr>
          <w:rFonts w:cs="Arial"/>
          <w:bCs/>
          <w:szCs w:val="22"/>
        </w:rPr>
      </w:pPr>
      <w:r w:rsidRPr="00E73772">
        <w:rPr>
          <w:rFonts w:cs="Arial"/>
          <w:bCs/>
          <w:szCs w:val="22"/>
        </w:rPr>
        <w:t>76.1.2</w:t>
      </w:r>
      <w:r w:rsidRPr="00E73772">
        <w:rPr>
          <w:rFonts w:cs="Arial"/>
          <w:bCs/>
          <w:szCs w:val="22"/>
        </w:rPr>
        <w:tab/>
      </w:r>
      <w:r w:rsidR="00163904" w:rsidRPr="00E73772">
        <w:rPr>
          <w:rFonts w:cs="Arial"/>
          <w:bCs/>
          <w:szCs w:val="22"/>
        </w:rPr>
        <w:t>The reference to civil actions in the heading</w:t>
      </w:r>
      <w:r w:rsidR="00F76329" w:rsidRPr="00E73772">
        <w:rPr>
          <w:rFonts w:cs="Arial"/>
          <w:bCs/>
          <w:szCs w:val="22"/>
        </w:rPr>
        <w:t xml:space="preserve"> is a generic reference and there is no indication that the legislature intended the distinction</w:t>
      </w:r>
      <w:r w:rsidR="0071437E" w:rsidRPr="00E73772">
        <w:rPr>
          <w:rFonts w:cs="Arial"/>
          <w:bCs/>
          <w:szCs w:val="22"/>
        </w:rPr>
        <w:t xml:space="preserve"> between actions and applications</w:t>
      </w:r>
      <w:r w:rsidR="00F76329" w:rsidRPr="00E73772">
        <w:rPr>
          <w:rFonts w:cs="Arial"/>
          <w:bCs/>
          <w:szCs w:val="22"/>
        </w:rPr>
        <w:t xml:space="preserve"> that one finds in the Uniform Rules of Court. </w:t>
      </w:r>
    </w:p>
    <w:p w14:paraId="0B633E86" w14:textId="4933B18D" w:rsidR="00163904" w:rsidRPr="00E73772" w:rsidRDefault="00756B17" w:rsidP="00756B17">
      <w:pPr>
        <w:widowControl w:val="0"/>
        <w:tabs>
          <w:tab w:val="left" w:pos="1418"/>
        </w:tabs>
        <w:spacing w:before="480" w:after="480" w:line="480" w:lineRule="auto"/>
        <w:ind w:left="1418" w:hanging="851"/>
        <w:jc w:val="both"/>
        <w:rPr>
          <w:rFonts w:cs="Arial"/>
          <w:bCs/>
          <w:szCs w:val="22"/>
        </w:rPr>
      </w:pPr>
      <w:r w:rsidRPr="00E73772">
        <w:rPr>
          <w:rFonts w:cs="Arial"/>
          <w:bCs/>
          <w:szCs w:val="22"/>
        </w:rPr>
        <w:t>76.2</w:t>
      </w:r>
      <w:r w:rsidRPr="00E73772">
        <w:rPr>
          <w:rFonts w:cs="Arial"/>
          <w:bCs/>
          <w:szCs w:val="22"/>
        </w:rPr>
        <w:tab/>
      </w:r>
      <w:r w:rsidR="00F418BD" w:rsidRPr="00E73772">
        <w:rPr>
          <w:rFonts w:cs="Arial"/>
          <w:bCs/>
          <w:szCs w:val="22"/>
        </w:rPr>
        <w:t>The respondents consulted with legal counsel by the name of Raffeale Caravella.</w:t>
      </w:r>
    </w:p>
    <w:p w14:paraId="328469FB" w14:textId="46D735B1" w:rsidR="004E589C" w:rsidRPr="00E73772" w:rsidRDefault="00756B17" w:rsidP="00756B17">
      <w:pPr>
        <w:widowControl w:val="0"/>
        <w:tabs>
          <w:tab w:val="left" w:pos="2268"/>
        </w:tabs>
        <w:spacing w:before="480" w:after="480" w:line="480" w:lineRule="auto"/>
        <w:ind w:left="2268" w:hanging="850"/>
        <w:jc w:val="both"/>
        <w:rPr>
          <w:rFonts w:cs="Arial"/>
          <w:bCs/>
          <w:szCs w:val="22"/>
        </w:rPr>
      </w:pPr>
      <w:r w:rsidRPr="00E73772">
        <w:rPr>
          <w:rFonts w:cs="Arial"/>
          <w:bCs/>
          <w:szCs w:val="22"/>
        </w:rPr>
        <w:t>76.2.1</w:t>
      </w:r>
      <w:r w:rsidRPr="00E73772">
        <w:rPr>
          <w:rFonts w:cs="Arial"/>
          <w:bCs/>
          <w:szCs w:val="22"/>
        </w:rPr>
        <w:tab/>
      </w:r>
      <w:r w:rsidR="00F418BD" w:rsidRPr="00E73772">
        <w:rPr>
          <w:rFonts w:cs="Arial"/>
          <w:bCs/>
          <w:szCs w:val="22"/>
        </w:rPr>
        <w:t xml:space="preserve">This bald statement is made in heads of argument without reference to any affidavits, and the exact content of the legal advice received is </w:t>
      </w:r>
      <w:r w:rsidR="004E589C" w:rsidRPr="00E73772">
        <w:rPr>
          <w:rFonts w:cs="Arial"/>
          <w:bCs/>
          <w:szCs w:val="22"/>
        </w:rPr>
        <w:t>nowhere</w:t>
      </w:r>
      <w:r w:rsidR="00F418BD" w:rsidRPr="00E73772">
        <w:rPr>
          <w:rFonts w:cs="Arial"/>
          <w:bCs/>
          <w:szCs w:val="22"/>
        </w:rPr>
        <w:t xml:space="preserve"> disclosed. </w:t>
      </w:r>
    </w:p>
    <w:p w14:paraId="34F61BD2" w14:textId="104BCBD4" w:rsidR="00F418BD" w:rsidRPr="00E73772" w:rsidRDefault="00756B17" w:rsidP="00756B17">
      <w:pPr>
        <w:widowControl w:val="0"/>
        <w:tabs>
          <w:tab w:val="left" w:pos="2268"/>
        </w:tabs>
        <w:spacing w:before="480" w:after="480" w:line="480" w:lineRule="auto"/>
        <w:ind w:left="2268" w:hanging="850"/>
        <w:jc w:val="both"/>
        <w:rPr>
          <w:rFonts w:cs="Arial"/>
          <w:bCs/>
          <w:szCs w:val="22"/>
        </w:rPr>
      </w:pPr>
      <w:r w:rsidRPr="00E73772">
        <w:rPr>
          <w:rFonts w:cs="Arial"/>
          <w:bCs/>
          <w:szCs w:val="22"/>
        </w:rPr>
        <w:t>76.2.2</w:t>
      </w:r>
      <w:r w:rsidRPr="00E73772">
        <w:rPr>
          <w:rFonts w:cs="Arial"/>
          <w:bCs/>
          <w:szCs w:val="22"/>
        </w:rPr>
        <w:tab/>
      </w:r>
      <w:r w:rsidR="00F418BD" w:rsidRPr="00E73772">
        <w:rPr>
          <w:rFonts w:cs="Arial"/>
          <w:bCs/>
          <w:szCs w:val="22"/>
        </w:rPr>
        <w:t>A bald statement of this nature can not be sufficient for the purposes of section 76(4)</w:t>
      </w:r>
      <w:r w:rsidR="004E589C" w:rsidRPr="00E73772">
        <w:rPr>
          <w:rFonts w:cs="Arial"/>
          <w:bCs/>
          <w:szCs w:val="22"/>
        </w:rPr>
        <w:t xml:space="preserve"> and (5)</w:t>
      </w:r>
      <w:r w:rsidR="00F418BD" w:rsidRPr="00E73772">
        <w:rPr>
          <w:rFonts w:cs="Arial"/>
          <w:bCs/>
          <w:szCs w:val="22"/>
        </w:rPr>
        <w:t xml:space="preserve"> of the Companies Act.</w:t>
      </w:r>
    </w:p>
    <w:p w14:paraId="04CC2A79" w14:textId="1B8D2186" w:rsidR="00CF0BE6" w:rsidRPr="00E73772" w:rsidRDefault="00756B17" w:rsidP="00756B17">
      <w:pPr>
        <w:widowControl w:val="0"/>
        <w:tabs>
          <w:tab w:val="left" w:pos="2268"/>
        </w:tabs>
        <w:spacing w:before="480" w:after="480" w:line="480" w:lineRule="auto"/>
        <w:ind w:left="2268" w:hanging="850"/>
        <w:jc w:val="both"/>
        <w:rPr>
          <w:rFonts w:cs="Arial"/>
          <w:bCs/>
          <w:szCs w:val="22"/>
        </w:rPr>
      </w:pPr>
      <w:r w:rsidRPr="00E73772">
        <w:rPr>
          <w:rFonts w:cs="Arial"/>
          <w:bCs/>
          <w:szCs w:val="22"/>
        </w:rPr>
        <w:t>76.2.3</w:t>
      </w:r>
      <w:r w:rsidRPr="00E73772">
        <w:rPr>
          <w:rFonts w:cs="Arial"/>
          <w:bCs/>
          <w:szCs w:val="22"/>
        </w:rPr>
        <w:tab/>
      </w:r>
      <w:r w:rsidR="00CF0BE6" w:rsidRPr="00E73772">
        <w:rPr>
          <w:rFonts w:cs="Arial"/>
          <w:bCs/>
          <w:szCs w:val="22"/>
        </w:rPr>
        <w:t xml:space="preserve">In </w:t>
      </w:r>
      <w:r w:rsidR="00CF0BE6" w:rsidRPr="00E73772">
        <w:rPr>
          <w:rFonts w:cs="Arial"/>
          <w:i/>
          <w:iCs/>
          <w:szCs w:val="22"/>
        </w:rPr>
        <w:t>Fisheries Development Corporation of SA Ltd v Jorgensen and another; Fisheries Development Corporation of SA Ltd v AWJ Investments (Pty) Ltd and others</w:t>
      </w:r>
      <w:r w:rsidR="00CF0BE6" w:rsidRPr="00E73772">
        <w:rPr>
          <w:rStyle w:val="FootnoteReference"/>
          <w:rFonts w:cs="Arial"/>
          <w:i/>
          <w:iCs/>
          <w:szCs w:val="22"/>
        </w:rPr>
        <w:footnoteReference w:id="40"/>
      </w:r>
      <w:r w:rsidR="00CF0BE6" w:rsidRPr="00E73772">
        <w:rPr>
          <w:rFonts w:cs="Arial"/>
          <w:szCs w:val="22"/>
        </w:rPr>
        <w:t>  Margo J said:</w:t>
      </w:r>
    </w:p>
    <w:p w14:paraId="566C076C" w14:textId="1808F847" w:rsidR="00CF0BE6" w:rsidRPr="00E73772" w:rsidRDefault="00CF0BE6" w:rsidP="00CF0BE6">
      <w:pPr>
        <w:widowControl w:val="0"/>
        <w:spacing w:before="480" w:after="480" w:line="480" w:lineRule="auto"/>
        <w:ind w:left="1418"/>
        <w:jc w:val="both"/>
        <w:rPr>
          <w:rFonts w:cs="Arial"/>
          <w:bCs/>
          <w:i/>
          <w:iCs/>
          <w:szCs w:val="22"/>
        </w:rPr>
      </w:pPr>
      <w:r w:rsidRPr="00E73772">
        <w:rPr>
          <w:rFonts w:cs="Arial"/>
          <w:i/>
          <w:iCs/>
          <w:szCs w:val="22"/>
        </w:rPr>
        <w:t xml:space="preserve">“Obviously, a director exercising reasonable care would not accept </w:t>
      </w:r>
      <w:r w:rsidRPr="00E73772">
        <w:rPr>
          <w:rFonts w:cs="Arial"/>
          <w:i/>
          <w:iCs/>
          <w:szCs w:val="22"/>
        </w:rPr>
        <w:lastRenderedPageBreak/>
        <w:t>information and advice blindly. He would accept it, and he would be entitled to rely on it, but he would give it due consideration and exercise his own judgment in the light thereof. Gower (op cit</w:t>
      </w:r>
      <w:r w:rsidR="00F73649" w:rsidRPr="00E73772">
        <w:rPr>
          <w:rStyle w:val="FootnoteReference"/>
          <w:rFonts w:cs="Arial"/>
          <w:i/>
          <w:iCs/>
          <w:szCs w:val="22"/>
        </w:rPr>
        <w:footnoteReference w:id="41"/>
      </w:r>
      <w:r w:rsidRPr="00E73772">
        <w:rPr>
          <w:rFonts w:cs="Arial"/>
          <w:i/>
          <w:iCs/>
          <w:szCs w:val="22"/>
        </w:rPr>
        <w:t> at 602 et seq) refers to the striking contrast between the directors’ heavy duties of loyalty and good faith and their very light obligations of skill and diligence. Nevertheless, a director may not be indifferent or a mere dummy. Nor may he shelter behind culpable ignorance or failure to understand the company’s affairs.”</w:t>
      </w:r>
    </w:p>
    <w:p w14:paraId="31C68B50" w14:textId="4F57CB36" w:rsidR="002811B1"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[77]</w:t>
      </w:r>
      <w:r w:rsidRPr="00E73772">
        <w:rPr>
          <w:rFonts w:cs="Arial"/>
          <w:bCs/>
          <w:szCs w:val="22"/>
        </w:rPr>
        <w:tab/>
      </w:r>
      <w:r w:rsidR="002811B1" w:rsidRPr="00E73772">
        <w:rPr>
          <w:rFonts w:cs="Arial"/>
          <w:bCs/>
          <w:szCs w:val="22"/>
        </w:rPr>
        <w:t xml:space="preserve">The first respondent </w:t>
      </w:r>
      <w:r w:rsidR="00AA4B3B" w:rsidRPr="00E73772">
        <w:rPr>
          <w:rFonts w:cs="Arial"/>
          <w:bCs/>
          <w:szCs w:val="22"/>
        </w:rPr>
        <w:t>carried on its business</w:t>
      </w:r>
      <w:r w:rsidR="002811B1" w:rsidRPr="00E73772">
        <w:rPr>
          <w:rFonts w:cs="Arial"/>
          <w:bCs/>
          <w:szCs w:val="22"/>
        </w:rPr>
        <w:t xml:space="preserve"> reckless</w:t>
      </w:r>
      <w:r w:rsidR="00AA4B3B" w:rsidRPr="00E73772">
        <w:rPr>
          <w:rFonts w:cs="Arial"/>
          <w:bCs/>
          <w:szCs w:val="22"/>
        </w:rPr>
        <w:t>ly</w:t>
      </w:r>
      <w:r w:rsidR="002811B1" w:rsidRPr="00E73772">
        <w:rPr>
          <w:rFonts w:cs="Arial"/>
          <w:bCs/>
          <w:szCs w:val="22"/>
        </w:rPr>
        <w:t xml:space="preserve">, and the second and third respondents </w:t>
      </w:r>
      <w:r w:rsidR="004E589C" w:rsidRPr="00E73772">
        <w:rPr>
          <w:rFonts w:cs="Arial"/>
          <w:bCs/>
          <w:szCs w:val="22"/>
        </w:rPr>
        <w:t>carried on the company’s business reckless</w:t>
      </w:r>
      <w:r w:rsidR="00B90E3C">
        <w:rPr>
          <w:rFonts w:cs="Arial"/>
          <w:bCs/>
          <w:szCs w:val="22"/>
        </w:rPr>
        <w:t>ly</w:t>
      </w:r>
      <w:r w:rsidR="004E589C" w:rsidRPr="00E73772">
        <w:rPr>
          <w:rFonts w:cs="Arial"/>
          <w:bCs/>
          <w:szCs w:val="22"/>
        </w:rPr>
        <w:t xml:space="preserve"> and </w:t>
      </w:r>
      <w:r w:rsidR="002811B1" w:rsidRPr="00E73772">
        <w:rPr>
          <w:rFonts w:cs="Arial"/>
          <w:bCs/>
          <w:szCs w:val="22"/>
        </w:rPr>
        <w:t>failed to act in good faith and for a proper purpose</w:t>
      </w:r>
      <w:r w:rsidR="004E589C" w:rsidRPr="00E73772">
        <w:rPr>
          <w:rFonts w:cs="Arial"/>
          <w:bCs/>
          <w:szCs w:val="22"/>
        </w:rPr>
        <w:t>,</w:t>
      </w:r>
      <w:r w:rsidR="00163904" w:rsidRPr="00E73772">
        <w:rPr>
          <w:rFonts w:cs="Arial"/>
          <w:bCs/>
          <w:szCs w:val="22"/>
        </w:rPr>
        <w:t xml:space="preserve"> and failed to honour their fiduciary duty to the company</w:t>
      </w:r>
      <w:r w:rsidR="002811B1" w:rsidRPr="00E73772">
        <w:rPr>
          <w:rFonts w:cs="Arial"/>
          <w:bCs/>
          <w:szCs w:val="22"/>
        </w:rPr>
        <w:t>. The second and third respondent and liable to the applicant in terms of section 218 for her loss.</w:t>
      </w:r>
    </w:p>
    <w:p w14:paraId="0B5741BD" w14:textId="77777777" w:rsidR="00B90E3C" w:rsidRDefault="00B90E3C" w:rsidP="00A649E6">
      <w:pPr>
        <w:keepNext/>
        <w:widowControl w:val="0"/>
        <w:spacing w:before="480" w:after="480" w:line="480" w:lineRule="auto"/>
        <w:jc w:val="both"/>
        <w:rPr>
          <w:rFonts w:cs="Arial"/>
          <w:bCs/>
          <w:szCs w:val="22"/>
          <w:u w:val="single"/>
        </w:rPr>
      </w:pPr>
    </w:p>
    <w:p w14:paraId="6703DDDB" w14:textId="3F17B3BD" w:rsidR="000E5343" w:rsidRPr="00E73772" w:rsidRDefault="00A23E58" w:rsidP="00A649E6">
      <w:pPr>
        <w:keepNext/>
        <w:widowControl w:val="0"/>
        <w:spacing w:before="480" w:after="480" w:line="480" w:lineRule="auto"/>
        <w:jc w:val="both"/>
        <w:rPr>
          <w:rFonts w:cs="Arial"/>
          <w:bCs/>
          <w:szCs w:val="22"/>
          <w:u w:val="single"/>
        </w:rPr>
      </w:pPr>
      <w:r w:rsidRPr="00E73772">
        <w:rPr>
          <w:rFonts w:cs="Arial"/>
          <w:bCs/>
          <w:szCs w:val="22"/>
          <w:u w:val="single"/>
        </w:rPr>
        <w:t>LEAVE TO FILE FURTHER AFFIDAVIT</w:t>
      </w:r>
    </w:p>
    <w:p w14:paraId="57A4A9F6" w14:textId="1E521E0E" w:rsidR="00DE080A"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[78]</w:t>
      </w:r>
      <w:r w:rsidRPr="00E73772">
        <w:rPr>
          <w:rFonts w:cs="Arial"/>
          <w:bCs/>
          <w:szCs w:val="22"/>
        </w:rPr>
        <w:tab/>
      </w:r>
      <w:r w:rsidR="000E5343" w:rsidRPr="00E73772">
        <w:rPr>
          <w:rFonts w:cs="Arial"/>
          <w:bCs/>
          <w:szCs w:val="22"/>
        </w:rPr>
        <w:t>The applicant seeks leave by the Court to file a further affidavit, namely an affidavit</w:t>
      </w:r>
      <w:r w:rsidR="00DE080A" w:rsidRPr="00E73772">
        <w:rPr>
          <w:rFonts w:cs="Arial"/>
          <w:bCs/>
          <w:szCs w:val="22"/>
        </w:rPr>
        <w:t xml:space="preserve"> by </w:t>
      </w:r>
      <w:r w:rsidR="00057775" w:rsidRPr="00E73772">
        <w:rPr>
          <w:rFonts w:cs="Arial"/>
          <w:bCs/>
          <w:szCs w:val="22"/>
        </w:rPr>
        <w:t xml:space="preserve">the applicant’s attorney to which is attached an email by an officer of the Financial Sector Conduct Authority (FSCA). The official expresses the view that the activity set out in a letter to the FSCA (summarising aspects of the founding affidavit) </w:t>
      </w:r>
      <w:r w:rsidR="00057775" w:rsidRPr="00E73772">
        <w:rPr>
          <w:rFonts w:cs="Arial"/>
          <w:bCs/>
          <w:i/>
          <w:iCs/>
          <w:szCs w:val="22"/>
        </w:rPr>
        <w:t>“is a private equity transaction that require Stonebird to be registered.”</w:t>
      </w:r>
    </w:p>
    <w:p w14:paraId="41CED6C5" w14:textId="0C651E8F" w:rsidR="00057775" w:rsidRPr="00E73772" w:rsidRDefault="00756B17" w:rsidP="00756B17">
      <w:pPr>
        <w:widowControl w:val="0"/>
        <w:tabs>
          <w:tab w:val="left" w:pos="567"/>
        </w:tabs>
        <w:spacing w:before="480" w:after="480" w:line="480" w:lineRule="auto"/>
        <w:jc w:val="both"/>
        <w:rPr>
          <w:rFonts w:cs="Arial"/>
          <w:bCs/>
          <w:szCs w:val="22"/>
        </w:rPr>
      </w:pPr>
      <w:r w:rsidRPr="00E73772">
        <w:rPr>
          <w:rFonts w:cs="Arial"/>
          <w:bCs/>
          <w:szCs w:val="22"/>
        </w:rPr>
        <w:t>[79]</w:t>
      </w:r>
      <w:r w:rsidRPr="00E73772">
        <w:rPr>
          <w:rFonts w:cs="Arial"/>
          <w:bCs/>
          <w:szCs w:val="22"/>
        </w:rPr>
        <w:tab/>
      </w:r>
      <w:r w:rsidR="00057775" w:rsidRPr="00E73772">
        <w:rPr>
          <w:rFonts w:cs="Arial"/>
          <w:bCs/>
          <w:szCs w:val="22"/>
        </w:rPr>
        <w:t xml:space="preserve">The affidavit is admitted into evidence with the consent of both parties but I do not </w:t>
      </w:r>
      <w:r w:rsidR="00057775" w:rsidRPr="00E73772">
        <w:rPr>
          <w:rFonts w:cs="Arial"/>
          <w:bCs/>
          <w:szCs w:val="22"/>
        </w:rPr>
        <w:lastRenderedPageBreak/>
        <w:t>attach any weight to it. It is an unsubstantiated and bland opinion</w:t>
      </w:r>
      <w:r w:rsidR="00B139BF" w:rsidRPr="00E73772">
        <w:rPr>
          <w:rFonts w:cs="Arial"/>
          <w:bCs/>
          <w:szCs w:val="22"/>
        </w:rPr>
        <w:t xml:space="preserve"> in a letter</w:t>
      </w:r>
      <w:r w:rsidR="00057775" w:rsidRPr="00E73772">
        <w:rPr>
          <w:rFonts w:cs="Arial"/>
          <w:bCs/>
          <w:szCs w:val="22"/>
        </w:rPr>
        <w:t xml:space="preserve"> on the very question the court is required to answer.</w:t>
      </w:r>
    </w:p>
    <w:p w14:paraId="3F0A5D34" w14:textId="77777777" w:rsidR="00163904" w:rsidRPr="00E73772" w:rsidRDefault="00163904" w:rsidP="00A649E6">
      <w:pPr>
        <w:keepNext/>
        <w:spacing w:before="480" w:after="480" w:line="480" w:lineRule="auto"/>
        <w:jc w:val="both"/>
        <w:rPr>
          <w:rFonts w:cs="Arial"/>
          <w:bCs/>
          <w:szCs w:val="22"/>
          <w:u w:val="single"/>
        </w:rPr>
      </w:pPr>
    </w:p>
    <w:p w14:paraId="157BDC8B" w14:textId="081F97AC" w:rsidR="00AA0013" w:rsidRPr="00E73772" w:rsidRDefault="00A23E58" w:rsidP="00A649E6">
      <w:pPr>
        <w:keepNext/>
        <w:spacing w:before="480" w:after="480" w:line="480" w:lineRule="auto"/>
        <w:jc w:val="both"/>
        <w:rPr>
          <w:rFonts w:cs="Arial"/>
          <w:bCs/>
          <w:szCs w:val="22"/>
          <w:u w:val="single"/>
        </w:rPr>
      </w:pPr>
      <w:r w:rsidRPr="00E73772">
        <w:rPr>
          <w:rFonts w:cs="Arial"/>
          <w:bCs/>
          <w:szCs w:val="22"/>
          <w:u w:val="single"/>
        </w:rPr>
        <w:t>CONCLUSION</w:t>
      </w:r>
    </w:p>
    <w:p w14:paraId="6DCD2918" w14:textId="5AF88DCF" w:rsidR="00163904" w:rsidRPr="00E73772" w:rsidRDefault="00756B17" w:rsidP="00756B17">
      <w:pPr>
        <w:tabs>
          <w:tab w:val="left" w:pos="567"/>
        </w:tabs>
        <w:spacing w:before="480" w:after="480" w:line="480" w:lineRule="auto"/>
        <w:jc w:val="both"/>
        <w:rPr>
          <w:rFonts w:cs="Arial"/>
          <w:bCs/>
          <w:szCs w:val="22"/>
        </w:rPr>
      </w:pPr>
      <w:r w:rsidRPr="00E73772">
        <w:rPr>
          <w:rFonts w:cs="Arial"/>
          <w:bCs/>
          <w:szCs w:val="22"/>
        </w:rPr>
        <w:t>[80]</w:t>
      </w:r>
      <w:r w:rsidRPr="00E73772">
        <w:rPr>
          <w:rFonts w:cs="Arial"/>
          <w:bCs/>
          <w:szCs w:val="22"/>
        </w:rPr>
        <w:tab/>
      </w:r>
      <w:r w:rsidR="00163904" w:rsidRPr="00E73772">
        <w:rPr>
          <w:rFonts w:cs="Arial"/>
          <w:bCs/>
          <w:szCs w:val="22"/>
        </w:rPr>
        <w:t xml:space="preserve">The respondents points </w:t>
      </w:r>
      <w:r w:rsidR="00163904" w:rsidRPr="00E73772">
        <w:rPr>
          <w:rFonts w:cs="Arial"/>
          <w:bCs/>
          <w:i/>
          <w:iCs/>
          <w:szCs w:val="22"/>
        </w:rPr>
        <w:t>in limine</w:t>
      </w:r>
      <w:r w:rsidR="00163904" w:rsidRPr="00E73772">
        <w:rPr>
          <w:rFonts w:cs="Arial"/>
          <w:bCs/>
          <w:szCs w:val="22"/>
        </w:rPr>
        <w:t xml:space="preserve"> must fail and so must its counterclaim for rectification. The applicant is entitled to the orders sought. </w:t>
      </w:r>
    </w:p>
    <w:p w14:paraId="44F9CF15" w14:textId="2804CB50" w:rsidR="00C460A0" w:rsidRPr="00E73772" w:rsidRDefault="00756B17" w:rsidP="00756B17">
      <w:pPr>
        <w:tabs>
          <w:tab w:val="left" w:pos="567"/>
        </w:tabs>
        <w:spacing w:before="480" w:after="480" w:line="480" w:lineRule="auto"/>
        <w:jc w:val="both"/>
        <w:rPr>
          <w:rFonts w:cs="Arial"/>
          <w:bCs/>
          <w:szCs w:val="22"/>
        </w:rPr>
      </w:pPr>
      <w:r w:rsidRPr="00E73772">
        <w:rPr>
          <w:rFonts w:cs="Arial"/>
          <w:bCs/>
          <w:szCs w:val="22"/>
        </w:rPr>
        <w:t>[81]</w:t>
      </w:r>
      <w:r w:rsidRPr="00E73772">
        <w:rPr>
          <w:rFonts w:cs="Arial"/>
          <w:bCs/>
          <w:szCs w:val="22"/>
        </w:rPr>
        <w:tab/>
      </w:r>
      <w:r w:rsidR="00AE287F" w:rsidRPr="00E73772">
        <w:rPr>
          <w:rFonts w:cs="Arial"/>
          <w:bCs/>
          <w:szCs w:val="22"/>
        </w:rPr>
        <w:t>There is no reason to deviate from the general principle that the cost should follow the result of the order.</w:t>
      </w:r>
      <w:r w:rsidR="00163904" w:rsidRPr="00E73772">
        <w:rPr>
          <w:rFonts w:cs="Arial"/>
          <w:bCs/>
          <w:szCs w:val="22"/>
        </w:rPr>
        <w:t xml:space="preserve"> </w:t>
      </w:r>
      <w:r w:rsidR="00AE287F" w:rsidRPr="00E73772">
        <w:rPr>
          <w:rFonts w:cs="Arial"/>
          <w:bCs/>
          <w:szCs w:val="22"/>
        </w:rPr>
        <w:t>I therefore make the order set out in paragraph 1 above.</w:t>
      </w:r>
    </w:p>
    <w:p w14:paraId="7301B79D" w14:textId="6116B005" w:rsidR="00E71CE6" w:rsidRPr="00E73772" w:rsidRDefault="00E71CE6" w:rsidP="006C43D7">
      <w:pPr>
        <w:tabs>
          <w:tab w:val="right" w:pos="0"/>
        </w:tabs>
        <w:spacing w:line="360" w:lineRule="auto"/>
        <w:contextualSpacing/>
        <w:jc w:val="right"/>
        <w:rPr>
          <w:rFonts w:cs="Arial"/>
          <w:b/>
          <w:szCs w:val="22"/>
        </w:rPr>
      </w:pPr>
    </w:p>
    <w:p w14:paraId="3E6BA7DA" w14:textId="43133B0D" w:rsidR="00AE287F" w:rsidRPr="00E73772" w:rsidRDefault="00AE287F" w:rsidP="006C43D7">
      <w:pPr>
        <w:tabs>
          <w:tab w:val="right" w:pos="0"/>
        </w:tabs>
        <w:spacing w:line="360" w:lineRule="auto"/>
        <w:contextualSpacing/>
        <w:jc w:val="right"/>
        <w:rPr>
          <w:rFonts w:cs="Arial"/>
          <w:b/>
          <w:szCs w:val="22"/>
        </w:rPr>
      </w:pPr>
    </w:p>
    <w:p w14:paraId="53CD27EE" w14:textId="577E4154" w:rsidR="00AE287F" w:rsidRPr="00E73772" w:rsidRDefault="00A649E6" w:rsidP="006C43D7">
      <w:pPr>
        <w:tabs>
          <w:tab w:val="right" w:pos="0"/>
        </w:tabs>
        <w:spacing w:line="360" w:lineRule="auto"/>
        <w:contextualSpacing/>
        <w:jc w:val="right"/>
        <w:rPr>
          <w:rFonts w:cs="Arial"/>
          <w:b/>
          <w:szCs w:val="22"/>
        </w:rPr>
      </w:pPr>
      <w:r w:rsidRPr="00E73772">
        <w:rPr>
          <w:rFonts w:cs="Arial"/>
          <w:b/>
          <w:szCs w:val="22"/>
        </w:rPr>
        <w:t>_________________________________________________</w:t>
      </w:r>
    </w:p>
    <w:p w14:paraId="0CCB9BFE" w14:textId="7ABE564D" w:rsidR="006C43D7" w:rsidRPr="00E73772" w:rsidRDefault="00C676F3" w:rsidP="006C43D7">
      <w:pPr>
        <w:tabs>
          <w:tab w:val="right" w:pos="0"/>
        </w:tabs>
        <w:spacing w:line="360" w:lineRule="auto"/>
        <w:contextualSpacing/>
        <w:jc w:val="right"/>
        <w:rPr>
          <w:rFonts w:cs="Arial"/>
          <w:b/>
          <w:szCs w:val="22"/>
        </w:rPr>
      </w:pPr>
      <w:r w:rsidRPr="00E73772">
        <w:rPr>
          <w:rFonts w:cs="Arial"/>
          <w:b/>
          <w:szCs w:val="22"/>
        </w:rPr>
        <w:t>J MOORCROFT</w:t>
      </w:r>
    </w:p>
    <w:p w14:paraId="7A2C1059" w14:textId="77777777" w:rsidR="006C43D7" w:rsidRPr="00E73772" w:rsidRDefault="006C43D7" w:rsidP="006C43D7">
      <w:pPr>
        <w:tabs>
          <w:tab w:val="right" w:pos="0"/>
        </w:tabs>
        <w:spacing w:line="360" w:lineRule="auto"/>
        <w:contextualSpacing/>
        <w:jc w:val="right"/>
        <w:rPr>
          <w:rFonts w:cs="Arial"/>
          <w:b/>
          <w:szCs w:val="22"/>
        </w:rPr>
      </w:pPr>
      <w:r w:rsidRPr="00E73772">
        <w:rPr>
          <w:rFonts w:cs="Arial"/>
          <w:b/>
          <w:szCs w:val="22"/>
        </w:rPr>
        <w:t>ACTING JUDGE OF THE HIGH COURT OF SOUTH AFRICA</w:t>
      </w:r>
    </w:p>
    <w:p w14:paraId="077C2590" w14:textId="7452355B"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GAUTENG DIVISION</w:t>
      </w:r>
    </w:p>
    <w:p w14:paraId="40B9C946" w14:textId="77777777" w:rsidR="006C43D7" w:rsidRPr="00E73772" w:rsidRDefault="006C43D7" w:rsidP="006C43D7">
      <w:pPr>
        <w:tabs>
          <w:tab w:val="right" w:pos="0"/>
          <w:tab w:val="left" w:pos="4253"/>
        </w:tabs>
        <w:spacing w:line="360" w:lineRule="auto"/>
        <w:contextualSpacing/>
        <w:jc w:val="right"/>
        <w:rPr>
          <w:rFonts w:cs="Arial"/>
          <w:b/>
          <w:szCs w:val="22"/>
        </w:rPr>
      </w:pPr>
      <w:r w:rsidRPr="00E73772">
        <w:rPr>
          <w:rFonts w:cs="Arial"/>
          <w:b/>
          <w:szCs w:val="22"/>
        </w:rPr>
        <w:t>JOHANNESBURG</w:t>
      </w:r>
    </w:p>
    <w:p w14:paraId="326B529B" w14:textId="77777777" w:rsidR="006C43D7" w:rsidRPr="00E73772"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E73772" w:rsidRDefault="006C43D7" w:rsidP="006C43D7">
      <w:pPr>
        <w:spacing w:after="200" w:line="480" w:lineRule="auto"/>
        <w:contextualSpacing/>
        <w:jc w:val="right"/>
        <w:rPr>
          <w:rFonts w:cs="Arial"/>
          <w:b/>
          <w:i/>
          <w:iCs/>
          <w:szCs w:val="22"/>
        </w:rPr>
      </w:pPr>
      <w:r w:rsidRPr="00E73772">
        <w:rPr>
          <w:rFonts w:cs="Arial"/>
          <w:b/>
          <w:i/>
          <w:iCs/>
          <w:szCs w:val="22"/>
        </w:rPr>
        <w:t>Electronically submitted</w:t>
      </w:r>
    </w:p>
    <w:p w14:paraId="4E3E9427" w14:textId="77777777" w:rsidR="006C43D7" w:rsidRPr="00E73772" w:rsidRDefault="006C43D7" w:rsidP="006C43D7">
      <w:pPr>
        <w:spacing w:after="200" w:line="360" w:lineRule="auto"/>
        <w:contextualSpacing/>
        <w:jc w:val="both"/>
        <w:rPr>
          <w:rFonts w:eastAsia="Arial Unicode MS" w:cs="Arial"/>
          <w:bCs/>
          <w:szCs w:val="22"/>
        </w:rPr>
      </w:pPr>
    </w:p>
    <w:p w14:paraId="51C686CA" w14:textId="21A6B89D" w:rsidR="006C43D7" w:rsidRPr="00E73772" w:rsidRDefault="006C43D7" w:rsidP="006C43D7">
      <w:pPr>
        <w:spacing w:after="200" w:line="360" w:lineRule="auto"/>
        <w:contextualSpacing/>
        <w:jc w:val="both"/>
        <w:rPr>
          <w:rFonts w:eastAsia="Arial Unicode MS" w:cs="Arial"/>
          <w:b/>
          <w:bCs/>
          <w:szCs w:val="22"/>
        </w:rPr>
      </w:pPr>
      <w:r w:rsidRPr="00E73772">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E73772">
        <w:rPr>
          <w:rFonts w:eastAsia="Arial Unicode MS" w:cs="Arial"/>
          <w:bCs/>
          <w:szCs w:val="22"/>
        </w:rPr>
        <w:t xml:space="preserve"> </w:t>
      </w:r>
      <w:r w:rsidR="004802AA">
        <w:rPr>
          <w:rFonts w:eastAsia="Arial Unicode MS" w:cs="Arial"/>
          <w:b/>
          <w:bCs/>
          <w:szCs w:val="22"/>
        </w:rPr>
        <w:t>17 October</w:t>
      </w:r>
      <w:r w:rsidR="00237FF9" w:rsidRPr="00E73772">
        <w:rPr>
          <w:rFonts w:eastAsia="Arial Unicode MS" w:cs="Arial"/>
          <w:b/>
          <w:bCs/>
          <w:szCs w:val="22"/>
        </w:rPr>
        <w:t xml:space="preserve"> 2022</w:t>
      </w:r>
    </w:p>
    <w:p w14:paraId="482DDF6E" w14:textId="77777777" w:rsidR="006C43D7" w:rsidRPr="00E73772" w:rsidRDefault="006C43D7" w:rsidP="006C43D7">
      <w:pPr>
        <w:tabs>
          <w:tab w:val="right" w:pos="0"/>
          <w:tab w:val="left" w:pos="4253"/>
        </w:tabs>
        <w:spacing w:line="360" w:lineRule="auto"/>
        <w:contextualSpacing/>
        <w:jc w:val="center"/>
        <w:rPr>
          <w:rFonts w:cs="Arial"/>
          <w:b/>
          <w:szCs w:val="22"/>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649"/>
      </w:tblGrid>
      <w:tr w:rsidR="009D35B5" w:rsidRPr="00E73772" w14:paraId="493AF0D7" w14:textId="77777777" w:rsidTr="00DC621D">
        <w:tc>
          <w:tcPr>
            <w:tcW w:w="3964" w:type="dxa"/>
          </w:tcPr>
          <w:p w14:paraId="6A05541A" w14:textId="2D2B6520"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THE APPLICANT:</w:t>
            </w:r>
          </w:p>
        </w:tc>
        <w:tc>
          <w:tcPr>
            <w:tcW w:w="4649" w:type="dxa"/>
          </w:tcPr>
          <w:p w14:paraId="69785AA9" w14:textId="528882ED" w:rsidR="009D35B5" w:rsidRPr="00E73772" w:rsidRDefault="009D35B5" w:rsidP="009D35B5">
            <w:pPr>
              <w:tabs>
                <w:tab w:val="right" w:pos="0"/>
                <w:tab w:val="left" w:pos="4253"/>
              </w:tabs>
              <w:spacing w:line="360" w:lineRule="auto"/>
              <w:contextualSpacing/>
              <w:jc w:val="right"/>
              <w:rPr>
                <w:rFonts w:cs="Arial"/>
                <w:szCs w:val="22"/>
              </w:rPr>
            </w:pPr>
            <w:r w:rsidRPr="00E73772">
              <w:rPr>
                <w:rFonts w:cs="Arial"/>
                <w:szCs w:val="22"/>
              </w:rPr>
              <w:t>V MEIJERS</w:t>
            </w:r>
          </w:p>
        </w:tc>
      </w:tr>
      <w:tr w:rsidR="009D35B5" w:rsidRPr="00E73772" w14:paraId="183C176D" w14:textId="77777777" w:rsidTr="00DC621D">
        <w:tc>
          <w:tcPr>
            <w:tcW w:w="3964" w:type="dxa"/>
          </w:tcPr>
          <w:p w14:paraId="75365413" w14:textId="4D497E49"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4044534A" w14:textId="64957DC0" w:rsidR="009D35B5" w:rsidRPr="00E73772" w:rsidRDefault="009D35B5" w:rsidP="009D35B5">
            <w:pPr>
              <w:tabs>
                <w:tab w:val="right" w:pos="0"/>
                <w:tab w:val="left" w:pos="4253"/>
              </w:tabs>
              <w:spacing w:line="360" w:lineRule="auto"/>
              <w:contextualSpacing/>
              <w:jc w:val="right"/>
              <w:rPr>
                <w:rFonts w:cs="Arial"/>
                <w:szCs w:val="22"/>
              </w:rPr>
            </w:pPr>
            <w:r w:rsidRPr="00E73772">
              <w:rPr>
                <w:rFonts w:cs="Arial"/>
                <w:szCs w:val="22"/>
              </w:rPr>
              <w:t>MARAIS ATTORNEYS</w:t>
            </w:r>
          </w:p>
        </w:tc>
      </w:tr>
      <w:tr w:rsidR="009D35B5" w:rsidRPr="00E73772" w14:paraId="6E2BF966" w14:textId="77777777" w:rsidTr="00DC621D">
        <w:tc>
          <w:tcPr>
            <w:tcW w:w="3964" w:type="dxa"/>
          </w:tcPr>
          <w:p w14:paraId="545B6665" w14:textId="49DCC2B3"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COUNSEL FOR RESPONDENTS:</w:t>
            </w:r>
          </w:p>
        </w:tc>
        <w:tc>
          <w:tcPr>
            <w:tcW w:w="4649" w:type="dxa"/>
          </w:tcPr>
          <w:p w14:paraId="51741A90" w14:textId="30782855" w:rsidR="009D35B5" w:rsidRPr="00E73772" w:rsidRDefault="009D35B5" w:rsidP="009D35B5">
            <w:pPr>
              <w:tabs>
                <w:tab w:val="right" w:pos="0"/>
                <w:tab w:val="left" w:pos="4253"/>
              </w:tabs>
              <w:spacing w:line="360" w:lineRule="auto"/>
              <w:contextualSpacing/>
              <w:jc w:val="right"/>
              <w:rPr>
                <w:rFonts w:cs="Arial"/>
                <w:szCs w:val="22"/>
              </w:rPr>
            </w:pPr>
            <w:r w:rsidRPr="00E73772">
              <w:rPr>
                <w:rFonts w:cs="Arial"/>
                <w:szCs w:val="22"/>
              </w:rPr>
              <w:t>L PRETORIUS</w:t>
            </w:r>
          </w:p>
        </w:tc>
      </w:tr>
      <w:tr w:rsidR="009D35B5" w:rsidRPr="00E73772" w14:paraId="1EC4105A" w14:textId="77777777" w:rsidTr="00DC621D">
        <w:tc>
          <w:tcPr>
            <w:tcW w:w="3964" w:type="dxa"/>
          </w:tcPr>
          <w:p w14:paraId="184EC2ED" w14:textId="079A555C"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INSTRUCTED BY:</w:t>
            </w:r>
          </w:p>
        </w:tc>
        <w:tc>
          <w:tcPr>
            <w:tcW w:w="4649" w:type="dxa"/>
          </w:tcPr>
          <w:p w14:paraId="2098BE2A" w14:textId="7A2C0524" w:rsidR="009D35B5" w:rsidRPr="00E73772" w:rsidRDefault="009D35B5" w:rsidP="009D35B5">
            <w:pPr>
              <w:tabs>
                <w:tab w:val="right" w:pos="0"/>
                <w:tab w:val="left" w:pos="4253"/>
              </w:tabs>
              <w:spacing w:line="360" w:lineRule="auto"/>
              <w:contextualSpacing/>
              <w:jc w:val="right"/>
              <w:rPr>
                <w:rFonts w:cs="Arial"/>
                <w:szCs w:val="22"/>
              </w:rPr>
            </w:pPr>
            <w:r w:rsidRPr="00E73772">
              <w:rPr>
                <w:rFonts w:cs="Arial"/>
                <w:szCs w:val="22"/>
              </w:rPr>
              <w:t xml:space="preserve">GERHOLD AND VAN WYK ATTORNEYS </w:t>
            </w:r>
          </w:p>
        </w:tc>
      </w:tr>
      <w:tr w:rsidR="009D35B5" w:rsidRPr="00E73772" w14:paraId="2A3FE2B1" w14:textId="77777777" w:rsidTr="00DC621D">
        <w:tc>
          <w:tcPr>
            <w:tcW w:w="3964" w:type="dxa"/>
          </w:tcPr>
          <w:p w14:paraId="0767D0FE" w14:textId="6078230F"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lastRenderedPageBreak/>
              <w:t>DATE OF THE HEARING:</w:t>
            </w:r>
          </w:p>
        </w:tc>
        <w:tc>
          <w:tcPr>
            <w:tcW w:w="4649" w:type="dxa"/>
          </w:tcPr>
          <w:p w14:paraId="34C95147" w14:textId="3B4C96C2" w:rsidR="009D35B5" w:rsidRPr="00E73772" w:rsidRDefault="009D35B5" w:rsidP="009D35B5">
            <w:pPr>
              <w:tabs>
                <w:tab w:val="right" w:pos="0"/>
                <w:tab w:val="left" w:pos="4253"/>
              </w:tabs>
              <w:spacing w:line="360" w:lineRule="auto"/>
              <w:contextualSpacing/>
              <w:jc w:val="right"/>
              <w:rPr>
                <w:rFonts w:cs="Arial"/>
                <w:szCs w:val="22"/>
              </w:rPr>
            </w:pPr>
            <w:r w:rsidRPr="00E73772">
              <w:rPr>
                <w:rFonts w:cs="Arial"/>
                <w:szCs w:val="22"/>
              </w:rPr>
              <w:t>3 October 2022</w:t>
            </w:r>
          </w:p>
        </w:tc>
      </w:tr>
      <w:tr w:rsidR="009D35B5" w:rsidRPr="00E73772" w14:paraId="2AC11E46" w14:textId="77777777" w:rsidTr="00DC621D">
        <w:tc>
          <w:tcPr>
            <w:tcW w:w="3964" w:type="dxa"/>
          </w:tcPr>
          <w:p w14:paraId="1136CEE6" w14:textId="67FA0375"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ORDER:</w:t>
            </w:r>
          </w:p>
        </w:tc>
        <w:tc>
          <w:tcPr>
            <w:tcW w:w="4649" w:type="dxa"/>
          </w:tcPr>
          <w:p w14:paraId="7EAC157B" w14:textId="56520C3F" w:rsidR="009D35B5" w:rsidRPr="00E73772" w:rsidRDefault="004802AA" w:rsidP="009D35B5">
            <w:pPr>
              <w:tabs>
                <w:tab w:val="right" w:pos="0"/>
                <w:tab w:val="left" w:pos="4253"/>
              </w:tabs>
              <w:spacing w:line="360" w:lineRule="auto"/>
              <w:contextualSpacing/>
              <w:jc w:val="right"/>
              <w:rPr>
                <w:rFonts w:cs="Arial"/>
                <w:szCs w:val="22"/>
              </w:rPr>
            </w:pPr>
            <w:r>
              <w:rPr>
                <w:rFonts w:cs="Arial"/>
                <w:szCs w:val="22"/>
              </w:rPr>
              <w:t>17 October 2022</w:t>
            </w:r>
          </w:p>
        </w:tc>
      </w:tr>
      <w:tr w:rsidR="009D35B5" w:rsidRPr="00E73772" w14:paraId="757AA656" w14:textId="77777777" w:rsidTr="00DC621D">
        <w:tc>
          <w:tcPr>
            <w:tcW w:w="3964" w:type="dxa"/>
          </w:tcPr>
          <w:p w14:paraId="05387251" w14:textId="5A778948" w:rsidR="009D35B5" w:rsidRPr="00E73772" w:rsidRDefault="009D35B5" w:rsidP="006C43D7">
            <w:pPr>
              <w:tabs>
                <w:tab w:val="right" w:pos="0"/>
                <w:tab w:val="left" w:pos="4253"/>
              </w:tabs>
              <w:spacing w:line="360" w:lineRule="auto"/>
              <w:contextualSpacing/>
              <w:jc w:val="both"/>
              <w:rPr>
                <w:rFonts w:cs="Arial"/>
                <w:szCs w:val="22"/>
              </w:rPr>
            </w:pPr>
            <w:r w:rsidRPr="00E73772">
              <w:rPr>
                <w:rFonts w:cs="Arial"/>
                <w:szCs w:val="22"/>
              </w:rPr>
              <w:t>DATE OF JUDGMENT:</w:t>
            </w:r>
          </w:p>
        </w:tc>
        <w:tc>
          <w:tcPr>
            <w:tcW w:w="4649" w:type="dxa"/>
          </w:tcPr>
          <w:p w14:paraId="61863A62" w14:textId="649E9BC3" w:rsidR="009D35B5" w:rsidRPr="00E73772" w:rsidRDefault="004802AA" w:rsidP="009D35B5">
            <w:pPr>
              <w:tabs>
                <w:tab w:val="right" w:pos="0"/>
                <w:tab w:val="left" w:pos="4253"/>
              </w:tabs>
              <w:spacing w:line="360" w:lineRule="auto"/>
              <w:contextualSpacing/>
              <w:jc w:val="right"/>
              <w:rPr>
                <w:rFonts w:cs="Arial"/>
                <w:szCs w:val="22"/>
              </w:rPr>
            </w:pPr>
            <w:r>
              <w:rPr>
                <w:rFonts w:cs="Arial"/>
                <w:szCs w:val="22"/>
              </w:rPr>
              <w:t>17 October 2022</w:t>
            </w:r>
          </w:p>
        </w:tc>
      </w:tr>
    </w:tbl>
    <w:p w14:paraId="1BD8F4EB" w14:textId="24205645" w:rsidR="00A402F6" w:rsidRPr="00E73772" w:rsidRDefault="00A402F6" w:rsidP="00A402F6">
      <w:pPr>
        <w:tabs>
          <w:tab w:val="right" w:pos="8647"/>
        </w:tabs>
        <w:spacing w:line="360" w:lineRule="auto"/>
        <w:contextualSpacing/>
        <w:jc w:val="both"/>
        <w:rPr>
          <w:rFonts w:cs="Arial"/>
          <w:szCs w:val="22"/>
        </w:rPr>
      </w:pPr>
      <w:r w:rsidRPr="00E73772">
        <w:rPr>
          <w:rFonts w:cs="Arial"/>
          <w:szCs w:val="22"/>
        </w:rPr>
        <w:tab/>
      </w:r>
    </w:p>
    <w:sectPr w:rsidR="00A402F6" w:rsidRPr="00E73772" w:rsidSect="009869F2">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5F67" w14:textId="77777777" w:rsidR="008966AB" w:rsidRDefault="008966AB">
      <w:r>
        <w:separator/>
      </w:r>
    </w:p>
  </w:endnote>
  <w:endnote w:type="continuationSeparator" w:id="0">
    <w:p w14:paraId="675529A5" w14:textId="77777777" w:rsidR="008966AB" w:rsidRDefault="0089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586C" w14:textId="77777777" w:rsidR="008966AB" w:rsidRDefault="008966AB">
      <w:r>
        <w:separator/>
      </w:r>
    </w:p>
  </w:footnote>
  <w:footnote w:type="continuationSeparator" w:id="0">
    <w:p w14:paraId="6ED2758A" w14:textId="77777777" w:rsidR="008966AB" w:rsidRDefault="008966AB">
      <w:r>
        <w:continuationSeparator/>
      </w:r>
    </w:p>
  </w:footnote>
  <w:footnote w:id="1">
    <w:p w14:paraId="46A910BE" w14:textId="5134F059" w:rsidR="001C2935" w:rsidRPr="00754833" w:rsidRDefault="001C2935"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Par</w:t>
      </w:r>
      <w:r w:rsidR="00754833" w:rsidRPr="00754833">
        <w:rPr>
          <w:rFonts w:cs="Arial"/>
        </w:rPr>
        <w:t>a</w:t>
      </w:r>
      <w:r w:rsidRPr="00754833">
        <w:rPr>
          <w:rFonts w:cs="Arial"/>
        </w:rPr>
        <w:t xml:space="preserve"> I, page 4 of agreement</w:t>
      </w:r>
      <w:r w:rsidR="00754833" w:rsidRPr="00754833">
        <w:rPr>
          <w:rFonts w:cs="Arial"/>
        </w:rPr>
        <w:t>.</w:t>
      </w:r>
    </w:p>
  </w:footnote>
  <w:footnote w:id="2">
    <w:p w14:paraId="5CFECD13" w14:textId="2A132A16" w:rsidR="00511960" w:rsidRPr="00754833" w:rsidRDefault="00511960"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Annex </w:t>
      </w:r>
      <w:r w:rsidR="00754833" w:rsidRPr="00754833">
        <w:rPr>
          <w:rFonts w:cs="Arial"/>
        </w:rPr>
        <w:t>[</w:t>
      </w:r>
      <w:r w:rsidRPr="00754833">
        <w:rPr>
          <w:rFonts w:cs="Arial"/>
        </w:rPr>
        <w:t>A</w:t>
      </w:r>
      <w:r w:rsidR="00754833" w:rsidRPr="00754833">
        <w:rPr>
          <w:rFonts w:cs="Arial"/>
        </w:rPr>
        <w:t>].</w:t>
      </w:r>
    </w:p>
  </w:footnote>
  <w:footnote w:id="3">
    <w:p w14:paraId="3A365CEB" w14:textId="589C3ED0" w:rsidR="00511960" w:rsidRPr="00754833" w:rsidRDefault="00511960"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Annex </w:t>
      </w:r>
      <w:r w:rsidR="00754833" w:rsidRPr="00754833">
        <w:rPr>
          <w:rFonts w:cs="Arial"/>
        </w:rPr>
        <w:t>[</w:t>
      </w:r>
      <w:r w:rsidRPr="00754833">
        <w:rPr>
          <w:rFonts w:cs="Arial"/>
        </w:rPr>
        <w:t>B</w:t>
      </w:r>
      <w:r w:rsidR="00754833" w:rsidRPr="00754833">
        <w:rPr>
          <w:rFonts w:cs="Arial"/>
        </w:rPr>
        <w:t>].</w:t>
      </w:r>
    </w:p>
  </w:footnote>
  <w:footnote w:id="4">
    <w:p w14:paraId="4E8FFF2F" w14:textId="4C8E81A9" w:rsidR="00511960" w:rsidRPr="00754833" w:rsidRDefault="00511960"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Annex </w:t>
      </w:r>
      <w:r w:rsidR="00754833" w:rsidRPr="00754833">
        <w:rPr>
          <w:rFonts w:cs="Arial"/>
        </w:rPr>
        <w:t>[</w:t>
      </w:r>
      <w:r w:rsidRPr="00754833">
        <w:rPr>
          <w:rFonts w:cs="Arial"/>
        </w:rPr>
        <w:t>C</w:t>
      </w:r>
      <w:r w:rsidR="00754833" w:rsidRPr="00754833">
        <w:rPr>
          <w:rFonts w:cs="Arial"/>
        </w:rPr>
        <w:t>].</w:t>
      </w:r>
    </w:p>
  </w:footnote>
  <w:footnote w:id="5">
    <w:p w14:paraId="0CC019E6" w14:textId="1299DF46" w:rsidR="00E86200" w:rsidRPr="00754833" w:rsidRDefault="00E86200"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Par</w:t>
      </w:r>
      <w:r w:rsidR="00754833" w:rsidRPr="00754833">
        <w:rPr>
          <w:rFonts w:cs="Arial"/>
        </w:rPr>
        <w:t>a</w:t>
      </w:r>
      <w:r w:rsidRPr="00754833">
        <w:rPr>
          <w:rFonts w:cs="Arial"/>
        </w:rPr>
        <w:t xml:space="preserve"> V, page 6 of agreement</w:t>
      </w:r>
      <w:r w:rsidR="00754833" w:rsidRPr="00754833">
        <w:rPr>
          <w:rFonts w:cs="Arial"/>
        </w:rPr>
        <w:t>.</w:t>
      </w:r>
    </w:p>
  </w:footnote>
  <w:footnote w:id="6">
    <w:p w14:paraId="051B99A8" w14:textId="34172C0A" w:rsidR="00E86200" w:rsidRPr="00754833" w:rsidRDefault="00E86200"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Par</w:t>
      </w:r>
      <w:r w:rsidR="00754833" w:rsidRPr="00754833">
        <w:rPr>
          <w:rFonts w:cs="Arial"/>
        </w:rPr>
        <w:t>a</w:t>
      </w:r>
      <w:r w:rsidRPr="00754833">
        <w:rPr>
          <w:rFonts w:cs="Arial"/>
        </w:rPr>
        <w:t xml:space="preserve"> VII, page 7 of agreement</w:t>
      </w:r>
      <w:r w:rsidR="00754833" w:rsidRPr="00754833">
        <w:rPr>
          <w:rFonts w:cs="Arial"/>
        </w:rPr>
        <w:t>.</w:t>
      </w:r>
    </w:p>
  </w:footnote>
  <w:footnote w:id="7">
    <w:p w14:paraId="270862B3" w14:textId="26F88858" w:rsidR="00280459" w:rsidRPr="00754833" w:rsidRDefault="00280459"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71441C">
        <w:rPr>
          <w:rFonts w:cs="Arial"/>
        </w:rPr>
        <w:t>P</w:t>
      </w:r>
      <w:r w:rsidRPr="00754833">
        <w:rPr>
          <w:rFonts w:cs="Arial"/>
        </w:rPr>
        <w:t>ar</w:t>
      </w:r>
      <w:r w:rsidR="00754833">
        <w:rPr>
          <w:rFonts w:cs="Arial"/>
        </w:rPr>
        <w:t>a</w:t>
      </w:r>
      <w:r w:rsidRPr="00754833">
        <w:rPr>
          <w:rFonts w:cs="Arial"/>
        </w:rPr>
        <w:t xml:space="preserve"> IX</w:t>
      </w:r>
      <w:r w:rsidR="00B5157D" w:rsidRPr="00754833">
        <w:rPr>
          <w:rFonts w:cs="Arial"/>
        </w:rPr>
        <w:t>(C)</w:t>
      </w:r>
      <w:r w:rsidRPr="00754833">
        <w:rPr>
          <w:rFonts w:cs="Arial"/>
        </w:rPr>
        <w:t xml:space="preserve">, </w:t>
      </w:r>
      <w:r w:rsidR="00754833">
        <w:rPr>
          <w:rFonts w:cs="Arial"/>
        </w:rPr>
        <w:t xml:space="preserve">(E), (K), (O), </w:t>
      </w:r>
      <w:r w:rsidRPr="00754833">
        <w:rPr>
          <w:rFonts w:cs="Arial"/>
        </w:rPr>
        <w:t>page 9 of agreement</w:t>
      </w:r>
      <w:r w:rsidR="00754833">
        <w:rPr>
          <w:rFonts w:cs="Arial"/>
        </w:rPr>
        <w:t>.</w:t>
      </w:r>
    </w:p>
  </w:footnote>
  <w:footnote w:id="8">
    <w:p w14:paraId="75BBA74F" w14:textId="77777777" w:rsidR="0071441C" w:rsidRPr="00754833" w:rsidRDefault="0071441C" w:rsidP="0071441C">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Para 9 </w:t>
      </w:r>
      <w:r w:rsidRPr="0071441C">
        <w:rPr>
          <w:rFonts w:cs="Arial"/>
          <w:i/>
          <w:iCs/>
        </w:rPr>
        <w:t>et seq</w:t>
      </w:r>
      <w:r w:rsidRPr="00754833">
        <w:rPr>
          <w:rFonts w:cs="Arial"/>
        </w:rPr>
        <w:t xml:space="preserve"> founding affidavit</w:t>
      </w:r>
      <w:r>
        <w:rPr>
          <w:rFonts w:cs="Arial"/>
        </w:rPr>
        <w:t>.</w:t>
      </w:r>
    </w:p>
  </w:footnote>
  <w:footnote w:id="9">
    <w:p w14:paraId="4D3BB249" w14:textId="1804F884" w:rsidR="00A23E58" w:rsidRPr="00754833" w:rsidRDefault="00A23E58"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632C84" w:rsidRPr="00754833">
        <w:rPr>
          <w:rFonts w:cs="Arial"/>
          <w:i/>
          <w:iCs/>
          <w:szCs w:val="16"/>
        </w:rPr>
        <w:t xml:space="preserve">Natal Joint Municipal Pension Fund v Endumeni Municipality </w:t>
      </w:r>
      <w:r w:rsidR="00632C84" w:rsidRPr="00754833">
        <w:rPr>
          <w:rFonts w:cs="Arial"/>
          <w:iCs/>
          <w:szCs w:val="16"/>
        </w:rPr>
        <w:t>[2012] 2 All SA 262 (SCA), 2012 (4) SA 593 (SCA)</w:t>
      </w:r>
      <w:r w:rsidR="0071441C">
        <w:rPr>
          <w:rFonts w:cs="Arial"/>
          <w:iCs/>
          <w:szCs w:val="16"/>
        </w:rPr>
        <w:t>.</w:t>
      </w:r>
    </w:p>
  </w:footnote>
  <w:footnote w:id="10">
    <w:p w14:paraId="585245B5" w14:textId="0336FA33" w:rsidR="00632C84" w:rsidRPr="00754833" w:rsidRDefault="00632C84"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00E84D18" w:rsidRPr="00754833">
        <w:rPr>
          <w:rFonts w:cs="Arial"/>
        </w:rPr>
        <w:tab/>
      </w:r>
      <w:r w:rsidR="00A06585" w:rsidRPr="00754833">
        <w:rPr>
          <w:rFonts w:cs="Arial"/>
        </w:rPr>
        <w:t xml:space="preserve">See </w:t>
      </w:r>
      <w:r w:rsidR="0071441C" w:rsidRPr="0071441C">
        <w:rPr>
          <w:rFonts w:cs="Arial"/>
        </w:rPr>
        <w:t>amongs</w:t>
      </w:r>
      <w:r w:rsidR="0071441C">
        <w:rPr>
          <w:rFonts w:cs="Arial"/>
        </w:rPr>
        <w:t>t</w:t>
      </w:r>
      <w:r w:rsidR="0071441C" w:rsidRPr="0071441C">
        <w:rPr>
          <w:rFonts w:cs="Arial"/>
        </w:rPr>
        <w:t xml:space="preserve"> others</w:t>
      </w:r>
      <w:r w:rsidR="00A06585" w:rsidRPr="00754833">
        <w:rPr>
          <w:rFonts w:cs="Arial"/>
        </w:rPr>
        <w:t xml:space="preserve">, </w:t>
      </w:r>
      <w:r w:rsidR="004C4BEA" w:rsidRPr="00754833">
        <w:rPr>
          <w:rFonts w:cs="Arial"/>
          <w:i/>
          <w:iCs/>
        </w:rPr>
        <w:t>Beadica 231 AA and others v Trustees, Oregon Trust and others</w:t>
      </w:r>
      <w:r w:rsidR="004C4BEA" w:rsidRPr="00754833">
        <w:rPr>
          <w:rFonts w:cs="Arial"/>
        </w:rPr>
        <w:t xml:space="preserve"> 2020 (5) SA 247 (CC); </w:t>
      </w:r>
      <w:r w:rsidR="00E84D18" w:rsidRPr="00754833">
        <w:rPr>
          <w:rFonts w:cs="Arial"/>
          <w:i/>
          <w:szCs w:val="16"/>
        </w:rPr>
        <w:t>Unica Iron and Steel (Pty) Ltd and Another v Mirchandani</w:t>
      </w:r>
      <w:r w:rsidR="00E84D18" w:rsidRPr="00754833">
        <w:rPr>
          <w:rFonts w:cs="Arial"/>
          <w:szCs w:val="16"/>
        </w:rPr>
        <w:t xml:space="preserve"> 2016 (2) SA 307 (SCA) para </w:t>
      </w:r>
      <w:r w:rsidR="000179FE" w:rsidRPr="00754833">
        <w:rPr>
          <w:rFonts w:cs="Arial"/>
          <w:szCs w:val="16"/>
        </w:rPr>
        <w:t>[</w:t>
      </w:r>
      <w:r w:rsidR="00E84D18" w:rsidRPr="00754833">
        <w:rPr>
          <w:rFonts w:cs="Arial"/>
          <w:szCs w:val="16"/>
        </w:rPr>
        <w:t>21</w:t>
      </w:r>
      <w:r w:rsidR="000179FE" w:rsidRPr="00754833">
        <w:rPr>
          <w:rFonts w:cs="Arial"/>
          <w:szCs w:val="16"/>
        </w:rPr>
        <w:t>]</w:t>
      </w:r>
      <w:r w:rsidR="00E84D18" w:rsidRPr="00754833">
        <w:rPr>
          <w:rFonts w:cs="Arial"/>
          <w:szCs w:val="16"/>
        </w:rPr>
        <w:t xml:space="preserve">; </w:t>
      </w:r>
      <w:r w:rsidR="00E84D18" w:rsidRPr="00754833">
        <w:rPr>
          <w:rFonts w:cs="Arial"/>
          <w:i/>
          <w:szCs w:val="16"/>
        </w:rPr>
        <w:t>KPMG Chartered Accountants (SA) v Securefin Ltd and Another</w:t>
      </w:r>
      <w:r w:rsidR="00E84D18" w:rsidRPr="00754833">
        <w:rPr>
          <w:rFonts w:cs="Arial"/>
          <w:szCs w:val="16"/>
        </w:rPr>
        <w:t xml:space="preserve"> 2009 (4) SA 399 (SCA); </w:t>
      </w:r>
      <w:r w:rsidR="00E84D18" w:rsidRPr="00754833">
        <w:rPr>
          <w:rFonts w:cs="Arial"/>
          <w:i/>
          <w:szCs w:val="16"/>
        </w:rPr>
        <w:t>Ekurhuleni Metropolitan Municipality v Germiston Municipal Retirement Fund</w:t>
      </w:r>
      <w:r w:rsidR="00E84D18" w:rsidRPr="00754833">
        <w:rPr>
          <w:rFonts w:cs="Arial"/>
          <w:szCs w:val="16"/>
        </w:rPr>
        <w:t xml:space="preserve"> 2010 (2) SA 498 (SCA); </w:t>
      </w:r>
      <w:r w:rsidR="00E84D18" w:rsidRPr="00754833">
        <w:rPr>
          <w:rFonts w:cs="Arial"/>
          <w:i/>
          <w:szCs w:val="16"/>
        </w:rPr>
        <w:t>Bothma-Batho Transport (Edms) Bpk v S Bothma &amp; Seun Transport (Edms) Bpk</w:t>
      </w:r>
      <w:r w:rsidR="00E84D18" w:rsidRPr="00754833">
        <w:rPr>
          <w:rFonts w:cs="Arial"/>
          <w:szCs w:val="16"/>
        </w:rPr>
        <w:t xml:space="preserve"> 2014 (2) SA 494 (SCA); </w:t>
      </w:r>
      <w:r w:rsidR="00E84D18" w:rsidRPr="00754833">
        <w:rPr>
          <w:rFonts w:cs="Arial"/>
          <w:i/>
          <w:szCs w:val="16"/>
        </w:rPr>
        <w:t>North East Finance (Pty) Ltd v Standard Bank of South Africa Ltd</w:t>
      </w:r>
      <w:r w:rsidR="00E84D18" w:rsidRPr="00754833">
        <w:rPr>
          <w:rFonts w:cs="Arial"/>
          <w:szCs w:val="16"/>
        </w:rPr>
        <w:t xml:space="preserve"> 2013 (5) SA 1 (SCA); </w:t>
      </w:r>
      <w:r w:rsidR="00E84D18" w:rsidRPr="00754833">
        <w:rPr>
          <w:rFonts w:cs="Arial"/>
          <w:i/>
          <w:szCs w:val="16"/>
        </w:rPr>
        <w:t>Novartis SA (Pty) Ltd v Maphil Trading (Pty) Ltd</w:t>
      </w:r>
      <w:r w:rsidR="00E84D18" w:rsidRPr="00754833">
        <w:rPr>
          <w:rFonts w:cs="Arial"/>
          <w:szCs w:val="16"/>
        </w:rPr>
        <w:t xml:space="preserve"> [2015] 4 All SA 417 (SCA); 2016 (1) SA 518 (SCA); </w:t>
      </w:r>
      <w:r w:rsidR="00E84D18" w:rsidRPr="00754833">
        <w:rPr>
          <w:rFonts w:cs="Arial"/>
          <w:i/>
          <w:iCs/>
          <w:szCs w:val="16"/>
        </w:rPr>
        <w:t>South African Football Association v Fli-Afrika Travel (Pty) Ltd</w:t>
      </w:r>
      <w:r w:rsidR="00E84D18" w:rsidRPr="00754833">
        <w:rPr>
          <w:rFonts w:cs="Arial"/>
          <w:szCs w:val="16"/>
        </w:rPr>
        <w:t> [2020] 2 All SA 403 (SCA)</w:t>
      </w:r>
      <w:r w:rsidR="0071441C">
        <w:rPr>
          <w:rFonts w:cs="Arial"/>
          <w:szCs w:val="16"/>
        </w:rPr>
        <w:t>.</w:t>
      </w:r>
    </w:p>
  </w:footnote>
  <w:footnote w:id="11">
    <w:p w14:paraId="2BFD0451" w14:textId="6AA9FFC5" w:rsidR="00AB4DFE" w:rsidRPr="00754833" w:rsidRDefault="00AB4DFE"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bookmarkStart w:id="1" w:name="_Hlk116652169"/>
      <w:r w:rsidRPr="00754833">
        <w:rPr>
          <w:rFonts w:cs="Arial"/>
          <w:i/>
          <w:szCs w:val="16"/>
          <w:lang w:val="en-GB"/>
        </w:rPr>
        <w:t>Glenn Brothers v Commercial General Agency Co Ltd</w:t>
      </w:r>
      <w:bookmarkEnd w:id="1"/>
      <w:r w:rsidRPr="00754833">
        <w:rPr>
          <w:rFonts w:cs="Arial"/>
          <w:szCs w:val="16"/>
          <w:lang w:val="en-GB"/>
        </w:rPr>
        <w:t xml:space="preserve"> 1905 TS 737 740–741. See also </w:t>
      </w:r>
      <w:r w:rsidRPr="00754833">
        <w:rPr>
          <w:rFonts w:cs="Arial"/>
          <w:i/>
          <w:szCs w:val="16"/>
          <w:lang w:val="en-GB"/>
        </w:rPr>
        <w:t>Stiglingh v Theron</w:t>
      </w:r>
      <w:r w:rsidRPr="00754833">
        <w:rPr>
          <w:rFonts w:cs="Arial"/>
          <w:szCs w:val="16"/>
          <w:lang w:val="en-GB"/>
        </w:rPr>
        <w:t xml:space="preserve"> 1907 TS 998 1002, 1007 and </w:t>
      </w:r>
      <w:r w:rsidRPr="00754833">
        <w:rPr>
          <w:rFonts w:cs="Arial"/>
          <w:i/>
          <w:szCs w:val="16"/>
          <w:lang w:val="en-GB"/>
        </w:rPr>
        <w:t>Cassiem v Standard Bank of South Africa Ltd</w:t>
      </w:r>
      <w:r w:rsidRPr="00754833">
        <w:rPr>
          <w:rFonts w:cs="Arial"/>
          <w:szCs w:val="16"/>
          <w:lang w:val="en-GB"/>
        </w:rPr>
        <w:t xml:space="preserve"> 1930 AD 366</w:t>
      </w:r>
      <w:r w:rsidR="0071441C">
        <w:rPr>
          <w:rFonts w:cs="Arial"/>
          <w:szCs w:val="16"/>
          <w:lang w:val="en-GB"/>
        </w:rPr>
        <w:t> </w:t>
      </w:r>
      <w:r w:rsidRPr="00754833">
        <w:rPr>
          <w:rFonts w:cs="Arial"/>
          <w:szCs w:val="16"/>
          <w:lang w:val="en-GB"/>
        </w:rPr>
        <w:t>368</w:t>
      </w:r>
      <w:r w:rsidR="0071441C">
        <w:rPr>
          <w:rFonts w:cs="Arial"/>
          <w:szCs w:val="16"/>
          <w:lang w:val="en-GB"/>
        </w:rPr>
        <w:t>.</w:t>
      </w:r>
    </w:p>
  </w:footnote>
  <w:footnote w:id="12">
    <w:p w14:paraId="7F4F175B" w14:textId="4155B55E" w:rsidR="002D418D" w:rsidRPr="00754833" w:rsidRDefault="002D418D"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szCs w:val="16"/>
        </w:rPr>
        <w:t xml:space="preserve">Natal Joint Municipal Pension Fund v Endumeni Municipality </w:t>
      </w:r>
      <w:r w:rsidRPr="00754833">
        <w:rPr>
          <w:rFonts w:cs="Arial"/>
          <w:iCs/>
          <w:szCs w:val="16"/>
        </w:rPr>
        <w:t xml:space="preserve">[2012] 2 All SA 262 (SCA), 2012 (4) SA 593 (SCA) para </w:t>
      </w:r>
      <w:r w:rsidR="000179FE" w:rsidRPr="00754833">
        <w:rPr>
          <w:rFonts w:cs="Arial"/>
          <w:iCs/>
          <w:szCs w:val="16"/>
        </w:rPr>
        <w:t>[</w:t>
      </w:r>
      <w:r w:rsidRPr="00754833">
        <w:rPr>
          <w:rFonts w:cs="Arial"/>
          <w:iCs/>
          <w:szCs w:val="16"/>
        </w:rPr>
        <w:t>18</w:t>
      </w:r>
      <w:r w:rsidR="000179FE" w:rsidRPr="00754833">
        <w:rPr>
          <w:rFonts w:cs="Arial"/>
          <w:iCs/>
          <w:szCs w:val="16"/>
        </w:rPr>
        <w:t>]</w:t>
      </w:r>
      <w:r w:rsidRPr="00754833">
        <w:rPr>
          <w:rFonts w:cs="Arial"/>
          <w:iCs/>
          <w:szCs w:val="16"/>
        </w:rPr>
        <w:t xml:space="preserve">. See also </w:t>
      </w:r>
      <w:r w:rsidRPr="00754833">
        <w:rPr>
          <w:rFonts w:cs="Arial"/>
          <w:i/>
          <w:iCs/>
          <w:szCs w:val="16"/>
        </w:rPr>
        <w:t xml:space="preserve">Schoeman and Others v Lombard Insurance Co Ltd </w:t>
      </w:r>
      <w:r w:rsidRPr="00754833">
        <w:rPr>
          <w:rFonts w:cs="Arial"/>
          <w:iCs/>
          <w:szCs w:val="16"/>
        </w:rPr>
        <w:t>[2019] JOL 44846 (SCA),</w:t>
      </w:r>
      <w:r w:rsidRPr="00754833">
        <w:rPr>
          <w:rFonts w:cs="Arial"/>
          <w:i/>
          <w:iCs/>
          <w:szCs w:val="16"/>
        </w:rPr>
        <w:t xml:space="preserve"> </w:t>
      </w:r>
      <w:r w:rsidRPr="00754833">
        <w:rPr>
          <w:rFonts w:cs="Arial"/>
          <w:iCs/>
          <w:szCs w:val="16"/>
        </w:rPr>
        <w:t xml:space="preserve">2019 (5) SA 557 (SCA) para </w:t>
      </w:r>
      <w:r w:rsidR="000179FE" w:rsidRPr="00754833">
        <w:rPr>
          <w:rFonts w:cs="Arial"/>
          <w:iCs/>
          <w:szCs w:val="16"/>
        </w:rPr>
        <w:t>[</w:t>
      </w:r>
      <w:r w:rsidRPr="00754833">
        <w:rPr>
          <w:rFonts w:cs="Arial"/>
          <w:iCs/>
          <w:szCs w:val="16"/>
        </w:rPr>
        <w:t>22</w:t>
      </w:r>
      <w:r w:rsidR="000179FE" w:rsidRPr="00754833">
        <w:rPr>
          <w:rFonts w:cs="Arial"/>
          <w:iCs/>
          <w:szCs w:val="16"/>
        </w:rPr>
        <w:t>]</w:t>
      </w:r>
      <w:r w:rsidR="0071441C">
        <w:rPr>
          <w:rFonts w:cs="Arial"/>
          <w:iCs/>
          <w:szCs w:val="16"/>
        </w:rPr>
        <w:t xml:space="preserve"> and</w:t>
      </w:r>
      <w:r w:rsidRPr="00754833">
        <w:rPr>
          <w:rFonts w:cs="Arial"/>
          <w:iCs/>
          <w:szCs w:val="16"/>
        </w:rPr>
        <w:t xml:space="preserve"> </w:t>
      </w:r>
      <w:r w:rsidRPr="00754833">
        <w:rPr>
          <w:rFonts w:cs="Arial"/>
          <w:i/>
          <w:szCs w:val="16"/>
        </w:rPr>
        <w:t xml:space="preserve">Ma-Afrika Hotels (Pty) Ltd and Another v Santam Ltd (a division of which is Hospitality and Leisure Insurance) </w:t>
      </w:r>
      <w:r w:rsidRPr="00754833">
        <w:rPr>
          <w:rFonts w:cs="Arial"/>
          <w:iCs/>
          <w:szCs w:val="16"/>
        </w:rPr>
        <w:t>[2021] 1 All SA 195 (WCC)</w:t>
      </w:r>
      <w:r w:rsidR="0071441C">
        <w:rPr>
          <w:rFonts w:cs="Arial"/>
          <w:iCs/>
          <w:szCs w:val="16"/>
        </w:rPr>
        <w:t>.</w:t>
      </w:r>
    </w:p>
  </w:footnote>
  <w:footnote w:id="13">
    <w:p w14:paraId="7EAA3221" w14:textId="3B3CF667" w:rsidR="0064589D" w:rsidRPr="00754833" w:rsidRDefault="0064589D"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543A74" w:rsidRPr="00754833">
        <w:rPr>
          <w:rFonts w:cs="Arial"/>
          <w:i/>
          <w:iCs/>
        </w:rPr>
        <w:t>Milner Street Properties (Pty) Ltd v Eckstein Properties (Pty) Ltd</w:t>
      </w:r>
      <w:r w:rsidR="00543A74" w:rsidRPr="00754833">
        <w:rPr>
          <w:rFonts w:cs="Arial"/>
        </w:rPr>
        <w:t xml:space="preserve"> 2001 (4) SA 1315 (SCA) para [33]</w:t>
      </w:r>
      <w:r w:rsidR="0071441C">
        <w:rPr>
          <w:rFonts w:cs="Arial"/>
        </w:rPr>
        <w:t>.</w:t>
      </w:r>
    </w:p>
  </w:footnote>
  <w:footnote w:id="14">
    <w:p w14:paraId="6AD2203D" w14:textId="2CC592CE" w:rsidR="00142746" w:rsidRPr="00754833" w:rsidRDefault="00142746"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Spiller and Others v Lawrence</w:t>
      </w:r>
      <w:r w:rsidRPr="00754833">
        <w:rPr>
          <w:rFonts w:cs="Arial"/>
        </w:rPr>
        <w:t xml:space="preserve"> 1976 (1) SA 307 (N) 307-308</w:t>
      </w:r>
      <w:r w:rsidR="0071441C">
        <w:rPr>
          <w:rFonts w:cs="Arial"/>
        </w:rPr>
        <w:t>.</w:t>
      </w:r>
    </w:p>
  </w:footnote>
  <w:footnote w:id="15">
    <w:p w14:paraId="472F1D14" w14:textId="329DA3F5" w:rsidR="0033385A" w:rsidRPr="00754833" w:rsidRDefault="0033385A"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color w:val="000000" w:themeColor="text1"/>
        </w:rPr>
        <w:t>Meyer v Merchants' Trust Ltd</w:t>
      </w:r>
      <w:r w:rsidRPr="00754833">
        <w:rPr>
          <w:rFonts w:cs="Arial"/>
          <w:color w:val="000000" w:themeColor="text1"/>
        </w:rPr>
        <w:t xml:space="preserve"> </w:t>
      </w:r>
      <w:hyperlink r:id="rId1" w:history="1">
        <w:r w:rsidRPr="00754833">
          <w:rPr>
            <w:rStyle w:val="Hyperlink"/>
            <w:rFonts w:cs="Arial"/>
            <w:color w:val="000000" w:themeColor="text1"/>
            <w:u w:val="none"/>
          </w:rPr>
          <w:t>1942 AD 244</w:t>
        </w:r>
      </w:hyperlink>
      <w:r w:rsidRPr="00754833">
        <w:rPr>
          <w:rFonts w:cs="Arial"/>
          <w:color w:val="000000" w:themeColor="text1"/>
        </w:rPr>
        <w:t>  253</w:t>
      </w:r>
      <w:r w:rsidR="0071441C">
        <w:rPr>
          <w:rFonts w:cs="Arial"/>
          <w:color w:val="000000" w:themeColor="text1"/>
        </w:rPr>
        <w:t>.</w:t>
      </w:r>
    </w:p>
  </w:footnote>
  <w:footnote w:id="16">
    <w:p w14:paraId="228B9D85" w14:textId="181F98FA" w:rsidR="00B52E9E" w:rsidRPr="00754833" w:rsidRDefault="00B52E9E"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Compare the facts in </w:t>
      </w:r>
      <w:r w:rsidRPr="00754833">
        <w:rPr>
          <w:rFonts w:cs="Arial"/>
          <w:i/>
          <w:iCs/>
        </w:rPr>
        <w:t>Magwaza v Heenan</w:t>
      </w:r>
      <w:r w:rsidRPr="00754833">
        <w:rPr>
          <w:rFonts w:cs="Arial"/>
        </w:rPr>
        <w:t xml:space="preserve"> 1979 (2) SA 1019 (A)</w:t>
      </w:r>
      <w:r w:rsidR="00590BEE">
        <w:rPr>
          <w:rFonts w:cs="Arial"/>
        </w:rPr>
        <w:t>.</w:t>
      </w:r>
    </w:p>
  </w:footnote>
  <w:footnote w:id="17">
    <w:p w14:paraId="3FC51231" w14:textId="78420751" w:rsidR="001F1C0B" w:rsidRPr="00754833" w:rsidRDefault="001F1C0B"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33385A" w:rsidRPr="00754833">
        <w:rPr>
          <w:rFonts w:cs="Arial"/>
          <w:i/>
          <w:iCs/>
        </w:rPr>
        <w:t>Spiller and Others v Lawrence</w:t>
      </w:r>
      <w:r w:rsidR="0033385A" w:rsidRPr="00754833">
        <w:rPr>
          <w:rFonts w:cs="Arial"/>
        </w:rPr>
        <w:t xml:space="preserve"> 1976 (1) SA 307 (N) </w:t>
      </w:r>
      <w:r w:rsidRPr="00754833">
        <w:rPr>
          <w:rFonts w:cs="Arial"/>
        </w:rPr>
        <w:t>312B. See also</w:t>
      </w:r>
      <w:r w:rsidR="00C821B3" w:rsidRPr="00754833">
        <w:rPr>
          <w:rFonts w:cs="Arial"/>
        </w:rPr>
        <w:t xml:space="preserve"> </w:t>
      </w:r>
      <w:r w:rsidR="00C821B3" w:rsidRPr="00754833">
        <w:rPr>
          <w:rFonts w:cs="Arial"/>
          <w:i/>
          <w:iCs/>
        </w:rPr>
        <w:t>Spiller</w:t>
      </w:r>
      <w:r w:rsidR="00C821B3" w:rsidRPr="00754833">
        <w:rPr>
          <w:rFonts w:cs="Arial"/>
        </w:rPr>
        <w:t xml:space="preserve"> at 311D, </w:t>
      </w:r>
      <w:r w:rsidR="00C821B3" w:rsidRPr="00754833">
        <w:rPr>
          <w:rFonts w:cs="Arial"/>
          <w:color w:val="000000" w:themeColor="text1"/>
        </w:rPr>
        <w:t xml:space="preserve"> </w:t>
      </w:r>
      <w:r w:rsidR="00C821B3" w:rsidRPr="00754833">
        <w:rPr>
          <w:rFonts w:cs="Arial"/>
          <w:i/>
          <w:iCs/>
          <w:color w:val="000000" w:themeColor="text1"/>
        </w:rPr>
        <w:t>Weinerlein v Goch Buildings Ltd</w:t>
      </w:r>
      <w:r w:rsidRPr="00754833">
        <w:rPr>
          <w:rFonts w:cs="Arial"/>
        </w:rPr>
        <w:t xml:space="preserve"> </w:t>
      </w:r>
      <w:hyperlink r:id="rId2" w:history="1">
        <w:r w:rsidR="00C821B3" w:rsidRPr="00754833">
          <w:rPr>
            <w:rStyle w:val="Hyperlink"/>
            <w:rFonts w:cs="Arial"/>
            <w:color w:val="000000" w:themeColor="text1"/>
            <w:u w:val="none"/>
          </w:rPr>
          <w:t>1925 AD 282</w:t>
        </w:r>
      </w:hyperlink>
      <w:r w:rsidR="00C821B3" w:rsidRPr="00754833">
        <w:rPr>
          <w:rFonts w:cs="Arial"/>
          <w:color w:val="000000" w:themeColor="text1"/>
        </w:rPr>
        <w:t xml:space="preserve">, </w:t>
      </w:r>
      <w:r w:rsidRPr="00754833">
        <w:rPr>
          <w:rFonts w:cs="Arial"/>
          <w:i/>
          <w:iCs/>
        </w:rPr>
        <w:t>Magwaza v Heenan</w:t>
      </w:r>
      <w:r w:rsidRPr="00754833">
        <w:rPr>
          <w:rFonts w:cs="Arial"/>
        </w:rPr>
        <w:t xml:space="preserve"> 1979 (2) SA 1019 (A) 1025B-C</w:t>
      </w:r>
      <w:r w:rsidR="0033385A" w:rsidRPr="00754833">
        <w:rPr>
          <w:rFonts w:cs="Arial"/>
        </w:rPr>
        <w:t xml:space="preserve"> and </w:t>
      </w:r>
      <w:r w:rsidR="0033385A" w:rsidRPr="00754833">
        <w:rPr>
          <w:rFonts w:cs="Arial"/>
          <w:i/>
          <w:iCs/>
        </w:rPr>
        <w:t>Milner Street Properties (Pty) Ltd v Eckstein Properties (Pty) Ltd</w:t>
      </w:r>
      <w:r w:rsidR="0033385A" w:rsidRPr="00754833">
        <w:rPr>
          <w:rFonts w:cs="Arial"/>
        </w:rPr>
        <w:t xml:space="preserve"> 2001 (4) SA 1315 (SCA) para [26]</w:t>
      </w:r>
      <w:r w:rsidR="00590BEE">
        <w:rPr>
          <w:rFonts w:cs="Arial"/>
        </w:rPr>
        <w:t>.</w:t>
      </w:r>
    </w:p>
  </w:footnote>
  <w:footnote w:id="18">
    <w:p w14:paraId="77F465D2" w14:textId="6E647924" w:rsidR="009A3205" w:rsidRPr="00754833" w:rsidRDefault="009A3205"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Spiller and Others v Lawrence</w:t>
      </w:r>
      <w:r w:rsidRPr="00754833">
        <w:rPr>
          <w:rFonts w:cs="Arial"/>
        </w:rPr>
        <w:t xml:space="preserve"> 1976 (1) SA 307 (N) 308G. See also the remarks by Buckley L J in </w:t>
      </w:r>
      <w:r w:rsidRPr="00754833">
        <w:rPr>
          <w:rFonts w:cs="Arial"/>
          <w:i/>
          <w:iCs/>
        </w:rPr>
        <w:t>Lovell and Christmas Ltd v Wall</w:t>
      </w:r>
      <w:r w:rsidRPr="00754833">
        <w:rPr>
          <w:rFonts w:cs="Arial"/>
        </w:rPr>
        <w:t xml:space="preserve"> (1911) 104 L</w:t>
      </w:r>
      <w:r w:rsidR="00590BEE">
        <w:rPr>
          <w:rFonts w:cs="Arial"/>
        </w:rPr>
        <w:t> </w:t>
      </w:r>
      <w:r w:rsidRPr="00754833">
        <w:rPr>
          <w:rFonts w:cs="Arial"/>
        </w:rPr>
        <w:t>T 85 (C</w:t>
      </w:r>
      <w:r w:rsidR="00590BEE">
        <w:rPr>
          <w:rFonts w:cs="Arial"/>
        </w:rPr>
        <w:t> </w:t>
      </w:r>
      <w:r w:rsidRPr="00754833">
        <w:rPr>
          <w:rFonts w:cs="Arial"/>
        </w:rPr>
        <w:t>A)</w:t>
      </w:r>
      <w:r w:rsidR="00E51E25" w:rsidRPr="00754833">
        <w:rPr>
          <w:rFonts w:cs="Arial"/>
        </w:rPr>
        <w:t xml:space="preserve"> </w:t>
      </w:r>
      <w:r w:rsidRPr="00754833">
        <w:rPr>
          <w:rFonts w:cs="Arial"/>
        </w:rPr>
        <w:t xml:space="preserve">93, that: </w:t>
      </w:r>
      <w:r w:rsidRPr="00754833">
        <w:rPr>
          <w:rFonts w:cs="Arial"/>
          <w:i/>
          <w:iCs/>
        </w:rPr>
        <w:t>“In ordering rectification the Court does not rectify contracts, but what it rectifies is the erroneous expression of contracts in documents.”</w:t>
      </w:r>
    </w:p>
  </w:footnote>
  <w:footnote w:id="19">
    <w:p w14:paraId="19AA8E1E" w14:textId="3CC54DAF" w:rsidR="00EE4B1C" w:rsidRPr="00754833" w:rsidRDefault="00EE4B1C"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color w:val="000000" w:themeColor="text1"/>
        </w:rPr>
        <w:t>Telcordia Technologies Inc v Telkom SA Ltd</w:t>
      </w:r>
      <w:r w:rsidRPr="00754833">
        <w:rPr>
          <w:rFonts w:cs="Arial"/>
          <w:color w:val="000000" w:themeColor="text1"/>
        </w:rPr>
        <w:t> </w:t>
      </w:r>
      <w:hyperlink r:id="rId3" w:anchor="y2007v3SApg266" w:history="1">
        <w:r w:rsidRPr="00754833">
          <w:rPr>
            <w:rStyle w:val="Hyperlink"/>
            <w:rFonts w:cs="Arial"/>
            <w:color w:val="000000" w:themeColor="text1"/>
            <w:u w:val="none"/>
          </w:rPr>
          <w:t>2007 (3) SA 266 (SCA)</w:t>
        </w:r>
      </w:hyperlink>
      <w:r w:rsidRPr="00754833">
        <w:rPr>
          <w:rFonts w:cs="Arial"/>
          <w:color w:val="000000" w:themeColor="text1"/>
        </w:rPr>
        <w:t> 278J–279A; </w:t>
      </w:r>
      <w:r w:rsidRPr="00754833">
        <w:rPr>
          <w:rFonts w:cs="Arial"/>
          <w:i/>
          <w:iCs/>
          <w:color w:val="000000" w:themeColor="text1"/>
        </w:rPr>
        <w:t>Lufuno Mphaphuli &amp; Associates (Pty) Ltd v Andrews and Another</w:t>
      </w:r>
      <w:r w:rsidRPr="00754833">
        <w:rPr>
          <w:rFonts w:cs="Arial"/>
          <w:color w:val="000000" w:themeColor="text1"/>
        </w:rPr>
        <w:t> </w:t>
      </w:r>
      <w:hyperlink r:id="rId4" w:anchor="y2009v4SApg529" w:history="1">
        <w:r w:rsidRPr="00754833">
          <w:rPr>
            <w:rStyle w:val="Hyperlink"/>
            <w:rFonts w:cs="Arial"/>
            <w:color w:val="000000" w:themeColor="text1"/>
            <w:u w:val="none"/>
          </w:rPr>
          <w:t>2009 (4) SA 529 (CC)</w:t>
        </w:r>
      </w:hyperlink>
      <w:r w:rsidRPr="00754833">
        <w:rPr>
          <w:rFonts w:cs="Arial"/>
          <w:color w:val="000000" w:themeColor="text1"/>
        </w:rPr>
        <w:t xml:space="preserve"> 592E–F; </w:t>
      </w:r>
      <w:r w:rsidRPr="00754833">
        <w:rPr>
          <w:rFonts w:cs="Arial"/>
          <w:i/>
          <w:iCs/>
          <w:color w:val="000000" w:themeColor="text1"/>
        </w:rPr>
        <w:t>Yenapergasam v Naidoo</w:t>
      </w:r>
      <w:r w:rsidRPr="00754833">
        <w:rPr>
          <w:rFonts w:cs="Arial"/>
          <w:color w:val="000000" w:themeColor="text1"/>
        </w:rPr>
        <w:t> </w:t>
      </w:r>
      <w:hyperlink r:id="rId5" w:anchor="y1959v2SApg478" w:history="1">
        <w:r w:rsidRPr="00754833">
          <w:rPr>
            <w:rStyle w:val="Hyperlink"/>
            <w:rFonts w:cs="Arial"/>
            <w:color w:val="000000" w:themeColor="text1"/>
            <w:u w:val="none"/>
          </w:rPr>
          <w:t>1959 (2) SA 478 (T)</w:t>
        </w:r>
      </w:hyperlink>
      <w:r w:rsidR="00590BEE">
        <w:rPr>
          <w:rStyle w:val="Hyperlink"/>
          <w:rFonts w:cs="Arial"/>
          <w:color w:val="000000" w:themeColor="text1"/>
          <w:u w:val="none"/>
        </w:rPr>
        <w:t>.</w:t>
      </w:r>
    </w:p>
  </w:footnote>
  <w:footnote w:id="20">
    <w:p w14:paraId="73BACC56" w14:textId="1F4A4FDE" w:rsidR="00C930C5" w:rsidRDefault="00C930C5">
      <w:pPr>
        <w:pStyle w:val="FootnoteText"/>
      </w:pPr>
      <w:r>
        <w:rPr>
          <w:rStyle w:val="FootnoteReference"/>
        </w:rPr>
        <w:footnoteRef/>
      </w:r>
      <w:r>
        <w:t xml:space="preserve"> </w:t>
      </w:r>
      <w:r>
        <w:tab/>
      </w:r>
      <w:r w:rsidRPr="00C930C5">
        <w:rPr>
          <w:rFonts w:cs="Arial"/>
          <w:bCs/>
        </w:rPr>
        <w:t>The arbitration clause refers to arbitration in France and a substantial part of the obligations were to be performed in other countries.</w:t>
      </w:r>
    </w:p>
  </w:footnote>
  <w:footnote w:id="21">
    <w:p w14:paraId="50FBBD0D" w14:textId="00E6BBB0" w:rsidR="00EA57DC" w:rsidRPr="00754833" w:rsidRDefault="00EA57DC"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The United Nations Commission on International Trade Law</w:t>
      </w:r>
      <w:r w:rsidR="00C930C5">
        <w:rPr>
          <w:rFonts w:cs="Arial"/>
        </w:rPr>
        <w:t>.</w:t>
      </w:r>
    </w:p>
  </w:footnote>
  <w:footnote w:id="22">
    <w:p w14:paraId="74E93E58" w14:textId="2EBAFFB8" w:rsidR="00CF7446" w:rsidRPr="00754833" w:rsidRDefault="00CF7446"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See Van Loggerenberg &amp; Bertelsmann, </w:t>
      </w:r>
      <w:r w:rsidRPr="00754833">
        <w:rPr>
          <w:rFonts w:cs="Arial"/>
          <w:i/>
          <w:iCs/>
        </w:rPr>
        <w:t>Erasmus: Superior Court Practice,</w:t>
      </w:r>
      <w:r w:rsidRPr="00754833">
        <w:rPr>
          <w:rFonts w:cs="Arial"/>
        </w:rPr>
        <w:t xml:space="preserve"> RS 17, 2021, D1-271</w:t>
      </w:r>
      <w:r w:rsidR="00C930C5">
        <w:rPr>
          <w:rFonts w:cs="Arial"/>
        </w:rPr>
        <w:t>.</w:t>
      </w:r>
    </w:p>
  </w:footnote>
  <w:footnote w:id="23">
    <w:p w14:paraId="26DEB664" w14:textId="22EC1E2F" w:rsidR="00CF7446" w:rsidRPr="00754833" w:rsidRDefault="00CF7446"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bCs/>
          <w:i/>
          <w:color w:val="000000" w:themeColor="text1"/>
          <w:szCs w:val="22"/>
        </w:rPr>
        <w:t>North East Finance (Pty) Ltd v Standard Bank of South Africa Ltd</w:t>
      </w:r>
      <w:r w:rsidRPr="00754833">
        <w:rPr>
          <w:rFonts w:cs="Arial"/>
          <w:bCs/>
          <w:color w:val="000000" w:themeColor="text1"/>
          <w:szCs w:val="22"/>
        </w:rPr>
        <w:t xml:space="preserve"> 2013 (5) SA 1 (SCA) paras [12] to [15]. See also </w:t>
      </w:r>
      <w:r w:rsidRPr="00754833">
        <w:rPr>
          <w:rFonts w:cs="Arial"/>
          <w:i/>
          <w:color w:val="000000" w:themeColor="text1"/>
        </w:rPr>
        <w:t>North West Provincial Government v Tswaing Consulting CC</w:t>
      </w:r>
      <w:r w:rsidRPr="00754833">
        <w:rPr>
          <w:rFonts w:cs="Arial"/>
          <w:color w:val="000000" w:themeColor="text1"/>
        </w:rPr>
        <w:t xml:space="preserve"> 2007 (4) SA 452 (SCA) paras [13] &amp; [14]; </w:t>
      </w:r>
      <w:r w:rsidRPr="00754833">
        <w:rPr>
          <w:rFonts w:cs="Arial"/>
          <w:i/>
          <w:iCs/>
          <w:color w:val="000000" w:themeColor="text1"/>
          <w:shd w:val="clear" w:color="auto" w:fill="FFFFFF"/>
        </w:rPr>
        <w:t>Wayland v Everite Group Ltd</w:t>
      </w:r>
      <w:r w:rsidRPr="00754833">
        <w:rPr>
          <w:rFonts w:cs="Arial"/>
          <w:color w:val="000000" w:themeColor="text1"/>
          <w:shd w:val="clear" w:color="auto" w:fill="FFFFFF"/>
        </w:rPr>
        <w:t> </w:t>
      </w:r>
      <w:hyperlink r:id="rId6" w:history="1">
        <w:r w:rsidRPr="00754833">
          <w:rPr>
            <w:rStyle w:val="Hyperlink"/>
            <w:rFonts w:cs="Arial"/>
            <w:color w:val="000000" w:themeColor="text1"/>
            <w:u w:val="none"/>
            <w:shd w:val="clear" w:color="auto" w:fill="FFFFFF"/>
          </w:rPr>
          <w:t>1993 (3) SA 946 (W)</w:t>
        </w:r>
      </w:hyperlink>
      <w:r w:rsidRPr="00754833">
        <w:rPr>
          <w:rFonts w:cs="Arial"/>
          <w:color w:val="000000" w:themeColor="text1"/>
          <w:shd w:val="clear" w:color="auto" w:fill="FFFFFF"/>
        </w:rPr>
        <w:t> 951H–I;  </w:t>
      </w:r>
      <w:r w:rsidRPr="00754833">
        <w:rPr>
          <w:rFonts w:cs="Arial"/>
          <w:i/>
          <w:iCs/>
          <w:color w:val="000000" w:themeColor="text1"/>
          <w:shd w:val="clear" w:color="auto" w:fill="FFFFFF"/>
        </w:rPr>
        <w:t xml:space="preserve">Allied Mineral Development Corporation (Pty) Ltd v Gemsbok Vlei Kwartsiet (Edms) Bpk </w:t>
      </w:r>
      <w:hyperlink r:id="rId7" w:history="1">
        <w:r w:rsidRPr="00754833">
          <w:rPr>
            <w:rStyle w:val="Hyperlink"/>
            <w:rFonts w:cs="Arial"/>
            <w:color w:val="000000" w:themeColor="text1"/>
            <w:u w:val="none"/>
            <w:shd w:val="clear" w:color="auto" w:fill="FFFFFF"/>
          </w:rPr>
          <w:t>1968 (1) SA 7 (C)</w:t>
        </w:r>
      </w:hyperlink>
      <w:r w:rsidRPr="00754833">
        <w:rPr>
          <w:rFonts w:cs="Arial"/>
          <w:color w:val="000000" w:themeColor="text1"/>
        </w:rPr>
        <w:t xml:space="preserve"> </w:t>
      </w:r>
      <w:r w:rsidRPr="00754833">
        <w:rPr>
          <w:rFonts w:cs="Arial"/>
          <w:color w:val="000000" w:themeColor="text1"/>
          <w:shd w:val="clear" w:color="auto" w:fill="FFFFFF"/>
        </w:rPr>
        <w:t>14B</w:t>
      </w:r>
      <w:r w:rsidR="00C930C5">
        <w:rPr>
          <w:rFonts w:cs="Arial"/>
          <w:color w:val="000000" w:themeColor="text1"/>
          <w:shd w:val="clear" w:color="auto" w:fill="FFFFFF"/>
        </w:rPr>
        <w:t>;</w:t>
      </w:r>
      <w:r w:rsidRPr="00754833">
        <w:rPr>
          <w:rFonts w:cs="Arial"/>
          <w:color w:val="000000" w:themeColor="text1"/>
          <w:shd w:val="clear" w:color="auto" w:fill="FFFFFF"/>
        </w:rPr>
        <w:t xml:space="preserve"> and </w:t>
      </w:r>
      <w:r w:rsidRPr="00754833">
        <w:rPr>
          <w:rFonts w:cs="Arial"/>
          <w:i/>
          <w:iCs/>
          <w:color w:val="000000" w:themeColor="text1"/>
          <w:shd w:val="clear" w:color="auto" w:fill="FFFFFF"/>
        </w:rPr>
        <w:t>Heyman v Darwins Ltd</w:t>
      </w:r>
      <w:r w:rsidRPr="00754833">
        <w:rPr>
          <w:rFonts w:cs="Arial"/>
          <w:color w:val="000000" w:themeColor="text1"/>
          <w:shd w:val="clear" w:color="auto" w:fill="FFFFFF"/>
        </w:rPr>
        <w:t xml:space="preserve"> [1942] </w:t>
      </w:r>
      <w:r w:rsidRPr="00754833">
        <w:rPr>
          <w:rFonts w:cs="Arial"/>
          <w:color w:val="000000" w:themeColor="text1"/>
        </w:rPr>
        <w:t>1</w:t>
      </w:r>
      <w:r w:rsidRPr="00754833">
        <w:rPr>
          <w:rFonts w:cs="Arial"/>
          <w:color w:val="000000" w:themeColor="text1"/>
          <w:shd w:val="clear" w:color="auto" w:fill="FFFFFF"/>
        </w:rPr>
        <w:t xml:space="preserve"> All ER 337 (HL) 343F.</w:t>
      </w:r>
    </w:p>
  </w:footnote>
  <w:footnote w:id="24">
    <w:p w14:paraId="46C01254" w14:textId="6EA5B82A" w:rsidR="003F3EE4" w:rsidRPr="00754833" w:rsidRDefault="003F3EE4" w:rsidP="00754833">
      <w:pPr>
        <w:pStyle w:val="FootnoteText"/>
        <w:spacing w:before="120" w:after="120"/>
        <w:rPr>
          <w:rFonts w:cs="Arial"/>
          <w:color w:val="000000" w:themeColor="text1"/>
        </w:rPr>
      </w:pPr>
      <w:r w:rsidRPr="00754833">
        <w:rPr>
          <w:rStyle w:val="FootnoteReference"/>
          <w:rFonts w:cs="Arial"/>
        </w:rPr>
        <w:footnoteRef/>
      </w:r>
      <w:r w:rsidRPr="00754833">
        <w:rPr>
          <w:rFonts w:cs="Arial"/>
        </w:rPr>
        <w:t xml:space="preserve"> </w:t>
      </w:r>
      <w:r w:rsidRPr="00754833">
        <w:rPr>
          <w:rFonts w:cs="Arial"/>
        </w:rPr>
        <w:tab/>
        <w:t xml:space="preserve">See also </w:t>
      </w:r>
      <w:r w:rsidRPr="00754833">
        <w:rPr>
          <w:rFonts w:cs="Arial"/>
          <w:i/>
          <w:iCs/>
        </w:rPr>
        <w:t>Van Heerden v Sentrale Kunsmis Korporasie (Edms) Bpk</w:t>
      </w:r>
      <w:r w:rsidRPr="00754833">
        <w:rPr>
          <w:rFonts w:cs="Arial"/>
          <w:color w:val="000000" w:themeColor="text1"/>
        </w:rPr>
        <w:t> </w:t>
      </w:r>
      <w:hyperlink r:id="rId8" w:anchor="y1973v1SApg17" w:history="1">
        <w:r w:rsidRPr="00754833">
          <w:rPr>
            <w:rStyle w:val="Hyperlink"/>
            <w:rFonts w:cs="Arial"/>
            <w:color w:val="000000" w:themeColor="text1"/>
            <w:u w:val="none"/>
          </w:rPr>
          <w:t>1973 (1) SA 17 (A)</w:t>
        </w:r>
      </w:hyperlink>
      <w:r w:rsidR="001130FD" w:rsidRPr="00754833">
        <w:rPr>
          <w:rFonts w:cs="Arial"/>
          <w:color w:val="000000" w:themeColor="text1"/>
        </w:rPr>
        <w:t>.</w:t>
      </w:r>
    </w:p>
  </w:footnote>
  <w:footnote w:id="25">
    <w:p w14:paraId="6ACD0E57" w14:textId="23B0BC7B" w:rsidR="007B088D" w:rsidRPr="00754833" w:rsidRDefault="007B088D"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bCs/>
          <w:szCs w:val="22"/>
        </w:rPr>
        <w:t xml:space="preserve">The clause is not a model of clarity. The word </w:t>
      </w:r>
      <w:r w:rsidRPr="00754833">
        <w:rPr>
          <w:rFonts w:cs="Arial"/>
          <w:bCs/>
          <w:i/>
          <w:szCs w:val="22"/>
        </w:rPr>
        <w:t>“arbitrate”</w:t>
      </w:r>
      <w:r w:rsidRPr="00754833">
        <w:rPr>
          <w:rFonts w:cs="Arial"/>
          <w:bCs/>
          <w:szCs w:val="22"/>
        </w:rPr>
        <w:t xml:space="preserve"> in the third line should obviously be read as </w:t>
      </w:r>
      <w:r w:rsidRPr="00754833">
        <w:rPr>
          <w:rFonts w:cs="Arial"/>
          <w:bCs/>
          <w:i/>
          <w:szCs w:val="22"/>
        </w:rPr>
        <w:t>“arbitration”</w:t>
      </w:r>
      <w:r w:rsidRPr="00754833">
        <w:rPr>
          <w:rFonts w:cs="Arial"/>
          <w:bCs/>
          <w:szCs w:val="22"/>
        </w:rPr>
        <w:t xml:space="preserve">   and the comma between </w:t>
      </w:r>
      <w:r w:rsidRPr="00754833">
        <w:rPr>
          <w:rFonts w:cs="Arial"/>
          <w:bCs/>
          <w:i/>
          <w:iCs/>
          <w:szCs w:val="22"/>
        </w:rPr>
        <w:t>“arbitration, board”</w:t>
      </w:r>
      <w:r w:rsidRPr="00754833">
        <w:rPr>
          <w:rFonts w:cs="Arial"/>
          <w:bCs/>
          <w:szCs w:val="22"/>
        </w:rPr>
        <w:t xml:space="preserve"> in the second line makes no sense.</w:t>
      </w:r>
    </w:p>
  </w:footnote>
  <w:footnote w:id="26">
    <w:p w14:paraId="2070AE0D" w14:textId="1B5B8264" w:rsidR="005222CB" w:rsidRPr="00754833" w:rsidRDefault="005222CB"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See the definitions in section </w:t>
      </w:r>
      <w:r w:rsidR="00281EB7" w:rsidRPr="00754833">
        <w:rPr>
          <w:rFonts w:cs="Arial"/>
        </w:rPr>
        <w:t>1</w:t>
      </w:r>
      <w:r w:rsidRPr="00754833">
        <w:rPr>
          <w:rFonts w:cs="Arial"/>
        </w:rPr>
        <w:t xml:space="preserve"> of the FAIS Act</w:t>
      </w:r>
      <w:r w:rsidR="009606EC" w:rsidRPr="00754833">
        <w:rPr>
          <w:rFonts w:cs="Arial"/>
        </w:rPr>
        <w:t xml:space="preserve">, and </w:t>
      </w:r>
      <w:r w:rsidR="006D2280" w:rsidRPr="00754833">
        <w:rPr>
          <w:rStyle w:val="searchhit"/>
          <w:rFonts w:cs="Arial"/>
          <w:i/>
          <w:iCs/>
          <w:color w:val="000000"/>
          <w:bdr w:val="none" w:sz="0" w:space="0" w:color="auto" w:frame="1"/>
        </w:rPr>
        <w:t>TriStar</w:t>
      </w:r>
      <w:r w:rsidR="006D2280" w:rsidRPr="00754833">
        <w:rPr>
          <w:rFonts w:cs="Arial"/>
          <w:i/>
          <w:iCs/>
          <w:color w:val="000000"/>
        </w:rPr>
        <w:t xml:space="preserve"> </w:t>
      </w:r>
      <w:r w:rsidR="006D2280" w:rsidRPr="00754833">
        <w:rPr>
          <w:rStyle w:val="searchhit"/>
          <w:rFonts w:cs="Arial"/>
          <w:i/>
          <w:iCs/>
          <w:color w:val="000000"/>
          <w:bdr w:val="none" w:sz="0" w:space="0" w:color="auto" w:frame="1"/>
        </w:rPr>
        <w:t>Investments</w:t>
      </w:r>
      <w:r w:rsidR="006D2280" w:rsidRPr="00754833">
        <w:rPr>
          <w:rFonts w:cs="Arial"/>
          <w:i/>
          <w:iCs/>
          <w:color w:val="000000"/>
        </w:rPr>
        <w:t xml:space="preserve"> (Pty) Ltd </w:t>
      </w:r>
      <w:r w:rsidR="006D2280" w:rsidRPr="00754833">
        <w:rPr>
          <w:rStyle w:val="searchhit"/>
          <w:rFonts w:cs="Arial"/>
          <w:i/>
          <w:iCs/>
          <w:color w:val="000000"/>
          <w:bdr w:val="none" w:sz="0" w:space="0" w:color="auto" w:frame="1"/>
        </w:rPr>
        <w:t>v Chemical</w:t>
      </w:r>
      <w:r w:rsidR="006D2280" w:rsidRPr="00754833">
        <w:rPr>
          <w:rFonts w:cs="Arial"/>
          <w:i/>
          <w:iCs/>
          <w:color w:val="000000"/>
        </w:rPr>
        <w:t xml:space="preserve"> </w:t>
      </w:r>
      <w:r w:rsidR="006D2280" w:rsidRPr="00754833">
        <w:rPr>
          <w:rStyle w:val="searchhit"/>
          <w:rFonts w:cs="Arial"/>
          <w:i/>
          <w:iCs/>
          <w:color w:val="000000"/>
          <w:bdr w:val="none" w:sz="0" w:space="0" w:color="auto" w:frame="1"/>
        </w:rPr>
        <w:t>Industries</w:t>
      </w:r>
      <w:r w:rsidR="006D2280" w:rsidRPr="00754833">
        <w:rPr>
          <w:rFonts w:cs="Arial"/>
          <w:i/>
          <w:iCs/>
          <w:color w:val="000000"/>
        </w:rPr>
        <w:t xml:space="preserve"> </w:t>
      </w:r>
      <w:r w:rsidR="006D2280" w:rsidRPr="00754833">
        <w:rPr>
          <w:rStyle w:val="searchhit"/>
          <w:rFonts w:cs="Arial"/>
          <w:i/>
          <w:iCs/>
          <w:color w:val="000000"/>
          <w:bdr w:val="none" w:sz="0" w:space="0" w:color="auto" w:frame="1"/>
        </w:rPr>
        <w:t>National</w:t>
      </w:r>
      <w:r w:rsidR="006D2280" w:rsidRPr="00754833">
        <w:rPr>
          <w:rFonts w:cs="Arial"/>
          <w:i/>
          <w:iCs/>
          <w:color w:val="000000"/>
        </w:rPr>
        <w:t xml:space="preserve"> </w:t>
      </w:r>
      <w:r w:rsidR="006D2280" w:rsidRPr="00754833">
        <w:rPr>
          <w:rStyle w:val="searchhit"/>
          <w:rFonts w:cs="Arial"/>
          <w:i/>
          <w:iCs/>
          <w:color w:val="000000"/>
          <w:bdr w:val="none" w:sz="0" w:space="0" w:color="auto" w:frame="1"/>
        </w:rPr>
        <w:t>Provident</w:t>
      </w:r>
      <w:r w:rsidR="006D2280" w:rsidRPr="00754833">
        <w:rPr>
          <w:rFonts w:cs="Arial"/>
          <w:i/>
          <w:iCs/>
          <w:color w:val="000000"/>
        </w:rPr>
        <w:t xml:space="preserve"> </w:t>
      </w:r>
      <w:r w:rsidR="006D2280" w:rsidRPr="00754833">
        <w:rPr>
          <w:rStyle w:val="searchhit"/>
          <w:rFonts w:cs="Arial"/>
          <w:i/>
          <w:iCs/>
          <w:color w:val="000000"/>
          <w:bdr w:val="none" w:sz="0" w:space="0" w:color="auto" w:frame="1"/>
        </w:rPr>
        <w:t>Fund</w:t>
      </w:r>
      <w:r w:rsidR="006D2280" w:rsidRPr="00754833">
        <w:rPr>
          <w:rFonts w:cs="Arial"/>
          <w:color w:val="000000"/>
        </w:rPr>
        <w:t xml:space="preserve"> [2013] JOL 30617 (SCA), 2013 JDR 0472 (SCA</w:t>
      </w:r>
      <w:r w:rsidR="00B230F3" w:rsidRPr="00754833">
        <w:rPr>
          <w:rFonts w:cs="Arial"/>
          <w:color w:val="000000"/>
        </w:rPr>
        <w:t>)</w:t>
      </w:r>
    </w:p>
  </w:footnote>
  <w:footnote w:id="27">
    <w:p w14:paraId="420F310B" w14:textId="593E72D3" w:rsidR="00803D40" w:rsidRPr="00754833" w:rsidRDefault="00803D40"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Compare </w:t>
      </w:r>
      <w:r w:rsidRPr="00754833">
        <w:rPr>
          <w:rFonts w:cs="Arial"/>
          <w:i/>
          <w:iCs/>
        </w:rPr>
        <w:t>Wylock v Milford Investments (Pty) Ltd</w:t>
      </w:r>
      <w:r w:rsidRPr="00754833">
        <w:rPr>
          <w:rFonts w:cs="Arial"/>
        </w:rPr>
        <w:t xml:space="preserve"> 1962 (4) SA 298 (C) 318 </w:t>
      </w:r>
      <w:r w:rsidR="008C69FC" w:rsidRPr="00754833">
        <w:rPr>
          <w:rFonts w:cs="Arial"/>
        </w:rPr>
        <w:t>and</w:t>
      </w:r>
      <w:r w:rsidRPr="00754833">
        <w:rPr>
          <w:rFonts w:cs="Arial"/>
        </w:rPr>
        <w:t xml:space="preserve"> </w:t>
      </w:r>
      <w:r w:rsidRPr="00754833">
        <w:rPr>
          <w:rFonts w:cs="Arial"/>
          <w:i/>
          <w:iCs/>
        </w:rPr>
        <w:t>Heyneke v Abercrombie</w:t>
      </w:r>
      <w:r w:rsidRPr="00754833">
        <w:rPr>
          <w:rFonts w:cs="Arial"/>
        </w:rPr>
        <w:t xml:space="preserve"> 1974 (3) SA 338 (T) 345</w:t>
      </w:r>
      <w:r w:rsidR="00057B83">
        <w:rPr>
          <w:rFonts w:cs="Arial"/>
        </w:rPr>
        <w:t>.</w:t>
      </w:r>
    </w:p>
  </w:footnote>
  <w:footnote w:id="28">
    <w:p w14:paraId="1F8F868F" w14:textId="4BC7FEAA" w:rsidR="009E1434" w:rsidRPr="00754833" w:rsidRDefault="009E1434"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62327C" w:rsidRPr="00754833">
        <w:rPr>
          <w:rFonts w:cs="Arial"/>
          <w:i/>
          <w:iCs/>
        </w:rPr>
        <w:t xml:space="preserve">Nelson Mandela Bay Metropolitan Municipality v Watersure (Pty) Ltd </w:t>
      </w:r>
      <w:r w:rsidR="0062327C" w:rsidRPr="00754833">
        <w:rPr>
          <w:rFonts w:cs="Arial"/>
        </w:rPr>
        <w:t xml:space="preserve">[2010] JOL 25917 (ECP) para [27], and application for leave to appeal reported as </w:t>
      </w:r>
      <w:r w:rsidRPr="00754833">
        <w:rPr>
          <w:rFonts w:cs="Arial"/>
          <w:i/>
          <w:iCs/>
        </w:rPr>
        <w:t>Watersure (Pty) Ltd v Nelson Mandela Bay Metropolitan Municipality</w:t>
      </w:r>
      <w:r w:rsidRPr="00754833">
        <w:rPr>
          <w:rFonts w:cs="Arial"/>
        </w:rPr>
        <w:t xml:space="preserve"> 2010 JDR 0069 (ECP) para [23] &amp; [24]</w:t>
      </w:r>
      <w:r w:rsidR="00057B83">
        <w:rPr>
          <w:rFonts w:cs="Arial"/>
        </w:rPr>
        <w:t>.</w:t>
      </w:r>
    </w:p>
  </w:footnote>
  <w:footnote w:id="29">
    <w:p w14:paraId="42B99D48" w14:textId="52819CD1" w:rsidR="008C69FC" w:rsidRPr="00754833" w:rsidRDefault="008C69FC"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Chemical Industries National Provident Fund v Tristar Investments (Pty) Ltd</w:t>
      </w:r>
      <w:r w:rsidRPr="00754833">
        <w:rPr>
          <w:rFonts w:cs="Arial"/>
        </w:rPr>
        <w:t xml:space="preserve"> [2010] JOL 25354 (GSJ)</w:t>
      </w:r>
      <w:r w:rsidR="006D2280" w:rsidRPr="00754833">
        <w:rPr>
          <w:rFonts w:cs="Arial"/>
          <w:color w:val="000000"/>
        </w:rPr>
        <w:t xml:space="preserve"> para [41]</w:t>
      </w:r>
      <w:r w:rsidR="009E1434" w:rsidRPr="00754833">
        <w:rPr>
          <w:rFonts w:cs="Arial"/>
          <w:color w:val="000000"/>
        </w:rPr>
        <w:t xml:space="preserve">. </w:t>
      </w:r>
      <w:r w:rsidR="009E1434" w:rsidRPr="00754833">
        <w:rPr>
          <w:rFonts w:cs="Arial"/>
        </w:rPr>
        <w:t>The judgment was overturned on appeal but not on this ground:</w:t>
      </w:r>
      <w:r w:rsidR="009E1434" w:rsidRPr="00754833">
        <w:rPr>
          <w:rStyle w:val="searchhit"/>
          <w:rFonts w:cs="Arial"/>
          <w:i/>
          <w:iCs/>
          <w:color w:val="000000"/>
          <w:bdr w:val="none" w:sz="0" w:space="0" w:color="auto" w:frame="1"/>
        </w:rPr>
        <w:t xml:space="preserve"> TriStar</w:t>
      </w:r>
      <w:r w:rsidR="009E1434" w:rsidRPr="00754833">
        <w:rPr>
          <w:rFonts w:cs="Arial"/>
          <w:i/>
          <w:iCs/>
          <w:color w:val="000000"/>
        </w:rPr>
        <w:t xml:space="preserve"> </w:t>
      </w:r>
      <w:r w:rsidR="009E1434" w:rsidRPr="00754833">
        <w:rPr>
          <w:rStyle w:val="searchhit"/>
          <w:rFonts w:cs="Arial"/>
          <w:i/>
          <w:iCs/>
          <w:color w:val="000000"/>
          <w:bdr w:val="none" w:sz="0" w:space="0" w:color="auto" w:frame="1"/>
        </w:rPr>
        <w:t>Investments</w:t>
      </w:r>
      <w:r w:rsidR="009E1434" w:rsidRPr="00754833">
        <w:rPr>
          <w:rFonts w:cs="Arial"/>
          <w:i/>
          <w:iCs/>
          <w:color w:val="000000"/>
        </w:rPr>
        <w:t xml:space="preserve"> (Pty) Ltd </w:t>
      </w:r>
      <w:r w:rsidR="009E1434" w:rsidRPr="00754833">
        <w:rPr>
          <w:rStyle w:val="searchhit"/>
          <w:rFonts w:cs="Arial"/>
          <w:i/>
          <w:iCs/>
          <w:color w:val="000000"/>
          <w:bdr w:val="none" w:sz="0" w:space="0" w:color="auto" w:frame="1"/>
        </w:rPr>
        <w:t>v Chemical</w:t>
      </w:r>
      <w:r w:rsidR="009E1434" w:rsidRPr="00754833">
        <w:rPr>
          <w:rFonts w:cs="Arial"/>
          <w:i/>
          <w:iCs/>
          <w:color w:val="000000"/>
        </w:rPr>
        <w:t xml:space="preserve"> </w:t>
      </w:r>
      <w:r w:rsidR="009E1434" w:rsidRPr="00754833">
        <w:rPr>
          <w:rStyle w:val="searchhit"/>
          <w:rFonts w:cs="Arial"/>
          <w:i/>
          <w:iCs/>
          <w:color w:val="000000"/>
          <w:bdr w:val="none" w:sz="0" w:space="0" w:color="auto" w:frame="1"/>
        </w:rPr>
        <w:t>Industries</w:t>
      </w:r>
      <w:r w:rsidR="009E1434" w:rsidRPr="00754833">
        <w:rPr>
          <w:rFonts w:cs="Arial"/>
          <w:i/>
          <w:iCs/>
          <w:color w:val="000000"/>
        </w:rPr>
        <w:t xml:space="preserve"> </w:t>
      </w:r>
      <w:r w:rsidR="009E1434" w:rsidRPr="00754833">
        <w:rPr>
          <w:rStyle w:val="searchhit"/>
          <w:rFonts w:cs="Arial"/>
          <w:i/>
          <w:iCs/>
          <w:color w:val="000000"/>
          <w:bdr w:val="none" w:sz="0" w:space="0" w:color="auto" w:frame="1"/>
        </w:rPr>
        <w:t>National</w:t>
      </w:r>
      <w:r w:rsidR="009E1434" w:rsidRPr="00754833">
        <w:rPr>
          <w:rFonts w:cs="Arial"/>
          <w:i/>
          <w:iCs/>
          <w:color w:val="000000"/>
        </w:rPr>
        <w:t xml:space="preserve"> </w:t>
      </w:r>
      <w:r w:rsidR="009E1434" w:rsidRPr="00754833">
        <w:rPr>
          <w:rStyle w:val="searchhit"/>
          <w:rFonts w:cs="Arial"/>
          <w:i/>
          <w:iCs/>
          <w:color w:val="000000"/>
          <w:bdr w:val="none" w:sz="0" w:space="0" w:color="auto" w:frame="1"/>
        </w:rPr>
        <w:t>Provident</w:t>
      </w:r>
      <w:r w:rsidR="009E1434" w:rsidRPr="00754833">
        <w:rPr>
          <w:rFonts w:cs="Arial"/>
          <w:i/>
          <w:iCs/>
          <w:color w:val="000000"/>
        </w:rPr>
        <w:t xml:space="preserve"> </w:t>
      </w:r>
      <w:r w:rsidR="009E1434" w:rsidRPr="00754833">
        <w:rPr>
          <w:rStyle w:val="searchhit"/>
          <w:rFonts w:cs="Arial"/>
          <w:i/>
          <w:iCs/>
          <w:color w:val="000000"/>
          <w:bdr w:val="none" w:sz="0" w:space="0" w:color="auto" w:frame="1"/>
        </w:rPr>
        <w:t>Fund</w:t>
      </w:r>
      <w:r w:rsidR="009E1434" w:rsidRPr="00754833">
        <w:rPr>
          <w:rFonts w:cs="Arial"/>
          <w:color w:val="000000"/>
        </w:rPr>
        <w:t xml:space="preserve"> [2013] JOL 30617 (SCA), 2013 JDR 0472 (SCA)</w:t>
      </w:r>
      <w:r w:rsidR="00057B83">
        <w:rPr>
          <w:rFonts w:cs="Arial"/>
          <w:color w:val="000000"/>
        </w:rPr>
        <w:t>.</w:t>
      </w:r>
    </w:p>
  </w:footnote>
  <w:footnote w:id="30">
    <w:p w14:paraId="76BDCE21" w14:textId="6F92CCDA" w:rsidR="001B2A05" w:rsidRPr="00754833" w:rsidRDefault="001B2A05"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See </w:t>
      </w:r>
      <w:r w:rsidRPr="00754833">
        <w:rPr>
          <w:rFonts w:cs="Arial"/>
          <w:i/>
          <w:iCs/>
        </w:rPr>
        <w:t>Standard Bank of South Africa Ltd v Efroiken and Newman</w:t>
      </w:r>
      <w:r w:rsidRPr="00754833">
        <w:rPr>
          <w:rFonts w:cs="Arial"/>
        </w:rPr>
        <w:t xml:space="preserve"> 1924 AD 171;  </w:t>
      </w:r>
      <w:r w:rsidRPr="00754833">
        <w:rPr>
          <w:rFonts w:cs="Arial"/>
          <w:i/>
          <w:iCs/>
        </w:rPr>
        <w:t>Improvair (Cape) (Pty) Ltd v Establissements Neu</w:t>
      </w:r>
      <w:r w:rsidRPr="00754833">
        <w:rPr>
          <w:rFonts w:cs="Arial"/>
        </w:rPr>
        <w:t xml:space="preserve"> 1983 (2) SA 138 (C)</w:t>
      </w:r>
      <w:r w:rsidR="00057B83">
        <w:rPr>
          <w:rFonts w:cs="Arial"/>
        </w:rPr>
        <w:t>.</w:t>
      </w:r>
    </w:p>
  </w:footnote>
  <w:footnote w:id="31">
    <w:p w14:paraId="7D6C25AD" w14:textId="30E0CCE9" w:rsidR="00490D65" w:rsidRPr="00754833" w:rsidRDefault="00490D65"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006330D9" w:rsidRPr="00754833">
        <w:rPr>
          <w:rFonts w:cs="Arial"/>
        </w:rPr>
        <w:tab/>
      </w:r>
      <w:r w:rsidR="006330D9" w:rsidRPr="00754833">
        <w:rPr>
          <w:rFonts w:cs="Arial"/>
          <w:i/>
          <w:iCs/>
        </w:rPr>
        <w:t>Carlis v Mccusker</w:t>
      </w:r>
      <w:r w:rsidR="006330D9" w:rsidRPr="00754833">
        <w:rPr>
          <w:rFonts w:cs="Arial"/>
        </w:rPr>
        <w:t xml:space="preserve"> 1904 TS 917 and </w:t>
      </w:r>
      <w:r w:rsidR="006330D9" w:rsidRPr="00754833">
        <w:rPr>
          <w:rFonts w:cs="Arial"/>
          <w:i/>
          <w:iCs/>
        </w:rPr>
        <w:t>Botes and Others v Toti Development Co (Pty) Ltd</w:t>
      </w:r>
      <w:r w:rsidR="006330D9" w:rsidRPr="00754833">
        <w:rPr>
          <w:rFonts w:cs="Arial"/>
        </w:rPr>
        <w:t xml:space="preserve"> 1978 (1) SA 205 (T). These cases concerned contracts for the sale of land and it was held that the pleadings were deficient in that it was not alleged that the seller was incapable of performing in terms of the invalid agreement. This aspect does not arise in the present matter as performance is not permissi</w:t>
      </w:r>
      <w:r w:rsidR="00C85A9A" w:rsidRPr="00754833">
        <w:rPr>
          <w:rFonts w:cs="Arial"/>
        </w:rPr>
        <w:t>ble.</w:t>
      </w:r>
    </w:p>
  </w:footnote>
  <w:footnote w:id="32">
    <w:p w14:paraId="1E69B2F0" w14:textId="72481F34" w:rsidR="00E534A9" w:rsidRPr="00754833" w:rsidRDefault="00E534A9"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A8325E" w:rsidRPr="00754833">
        <w:rPr>
          <w:rFonts w:cs="Arial"/>
          <w:i/>
          <w:iCs/>
        </w:rPr>
        <w:t xml:space="preserve">Minister van Justisie v Jaffer </w:t>
      </w:r>
      <w:r w:rsidR="00A8325E" w:rsidRPr="00754833">
        <w:rPr>
          <w:rFonts w:cs="Arial"/>
        </w:rPr>
        <w:t>1995 (1) SA 273 (A)</w:t>
      </w:r>
      <w:r w:rsidR="00097CC2" w:rsidRPr="00754833">
        <w:rPr>
          <w:rFonts w:cs="Arial"/>
        </w:rPr>
        <w:t xml:space="preserve"> and </w:t>
      </w:r>
      <w:r w:rsidR="00A8325E" w:rsidRPr="00754833">
        <w:rPr>
          <w:rFonts w:cs="Arial"/>
        </w:rPr>
        <w:t>Baker v Probert 1985 (3) SA 429 (A) 438G</w:t>
      </w:r>
      <w:r w:rsidR="00057B83">
        <w:rPr>
          <w:rFonts w:cs="Arial"/>
        </w:rPr>
        <w:t>.</w:t>
      </w:r>
    </w:p>
  </w:footnote>
  <w:footnote w:id="33">
    <w:p w14:paraId="78B2E0DB" w14:textId="3FAE7524" w:rsidR="00A111A4" w:rsidRPr="00754833" w:rsidRDefault="00A111A4"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00315155" w:rsidRPr="00754833">
        <w:rPr>
          <w:rFonts w:cs="Arial"/>
          <w:i/>
          <w:iCs/>
        </w:rPr>
        <w:t xml:space="preserve">Grancy Property Ltd and Another v Gihwala and Others; In Re: Grancy Property Ltd and Another v Gihwala and Others </w:t>
      </w:r>
      <w:r w:rsidR="00315155" w:rsidRPr="00754833">
        <w:rPr>
          <w:rFonts w:cs="Arial"/>
        </w:rPr>
        <w:t xml:space="preserve">[2014] ZAWCHC 97 para [104]. See also </w:t>
      </w:r>
      <w:r w:rsidR="00F70C47" w:rsidRPr="00754833">
        <w:rPr>
          <w:rFonts w:cs="Arial"/>
          <w:i/>
          <w:iCs/>
        </w:rPr>
        <w:t>Rabinowitz v Van Graan and Others</w:t>
      </w:r>
      <w:r w:rsidR="00F70C47" w:rsidRPr="00754833">
        <w:rPr>
          <w:rFonts w:cs="Arial"/>
        </w:rPr>
        <w:t xml:space="preserve"> 2013 (5) SA 315 (GSJ) para [22]; </w:t>
      </w:r>
      <w:r w:rsidRPr="00754833">
        <w:rPr>
          <w:rFonts w:cs="Arial"/>
          <w:i/>
          <w:iCs/>
        </w:rPr>
        <w:t>Sanlam Capital Markets (Pty) Ltd v Mettle Manco (Pty) Ltd and Others</w:t>
      </w:r>
      <w:r w:rsidRPr="00754833">
        <w:rPr>
          <w:rFonts w:cs="Arial"/>
        </w:rPr>
        <w:t xml:space="preserve"> [2014] 3 All SA 454 (GJ) para [4</w:t>
      </w:r>
      <w:r w:rsidR="00F70C47" w:rsidRPr="00754833">
        <w:rPr>
          <w:rFonts w:cs="Arial"/>
        </w:rPr>
        <w:t>2</w:t>
      </w:r>
      <w:r w:rsidRPr="00754833">
        <w:rPr>
          <w:rFonts w:cs="Arial"/>
        </w:rPr>
        <w:t xml:space="preserve">]; </w:t>
      </w:r>
      <w:r w:rsidRPr="00754833">
        <w:rPr>
          <w:rFonts w:cs="Arial"/>
          <w:i/>
          <w:iCs/>
        </w:rPr>
        <w:t>Gihwala and Others v Grancy Property Ltd and Others</w:t>
      </w:r>
      <w:r w:rsidRPr="00754833">
        <w:rPr>
          <w:rFonts w:cs="Arial"/>
        </w:rPr>
        <w:t xml:space="preserve"> [2016] 2 All SA 649 (SCA); </w:t>
      </w:r>
      <w:r w:rsidRPr="00754833">
        <w:rPr>
          <w:rFonts w:cs="Arial"/>
          <w:i/>
          <w:iCs/>
        </w:rPr>
        <w:t>Viraland Inc v Ole Media Group (Pty) Ltd and Another</w:t>
      </w:r>
      <w:r w:rsidRPr="00754833">
        <w:rPr>
          <w:rFonts w:cs="Arial"/>
        </w:rPr>
        <w:t xml:space="preserve"> [2016] ZAWCHC 10 para [62]; </w:t>
      </w:r>
      <w:r w:rsidRPr="00754833">
        <w:rPr>
          <w:rFonts w:cs="Arial"/>
          <w:i/>
          <w:iCs/>
        </w:rPr>
        <w:t>Motor Industry Bargaining Council v Botha and Another</w:t>
      </w:r>
      <w:r w:rsidRPr="00754833">
        <w:rPr>
          <w:rFonts w:cs="Arial"/>
        </w:rPr>
        <w:t xml:space="preserve"> [2016] ZAGPPHC 615 para </w:t>
      </w:r>
      <w:r w:rsidR="00F70C47" w:rsidRPr="00754833">
        <w:rPr>
          <w:rFonts w:cs="Arial"/>
        </w:rPr>
        <w:t>[</w:t>
      </w:r>
      <w:r w:rsidRPr="00754833">
        <w:rPr>
          <w:rFonts w:cs="Arial"/>
        </w:rPr>
        <w:t>60</w:t>
      </w:r>
      <w:r w:rsidR="00F70C47" w:rsidRPr="00754833">
        <w:rPr>
          <w:rFonts w:cs="Arial"/>
        </w:rPr>
        <w:t>]</w:t>
      </w:r>
      <w:r w:rsidRPr="00754833">
        <w:rPr>
          <w:rFonts w:cs="Arial"/>
        </w:rPr>
        <w:t>.</w:t>
      </w:r>
    </w:p>
  </w:footnote>
  <w:footnote w:id="34">
    <w:p w14:paraId="280475AA" w14:textId="73AC654B" w:rsidR="00C8244D" w:rsidRPr="00754833" w:rsidRDefault="00C8244D"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In interpreting s 22 of the</w:t>
      </w:r>
      <w:r w:rsidR="00AA0A1F" w:rsidRPr="00754833">
        <w:rPr>
          <w:rFonts w:cs="Arial"/>
        </w:rPr>
        <w:t xml:space="preserve"> 2008 Act, regard may be had to interpretation by the courts of s 424 of the Companies Act, 61 of 1973. See Delport </w:t>
      </w:r>
      <w:r w:rsidR="00AA0A1F" w:rsidRPr="00754833">
        <w:rPr>
          <w:rFonts w:cs="Arial"/>
          <w:i/>
          <w:iCs/>
        </w:rPr>
        <w:t>Henochsberg on the Companies Act 71 of 2008</w:t>
      </w:r>
      <w:r w:rsidR="00AA0A1F" w:rsidRPr="00754833">
        <w:rPr>
          <w:rFonts w:cs="Arial"/>
        </w:rPr>
        <w:t xml:space="preserve"> p 104 to 105</w:t>
      </w:r>
      <w:r w:rsidR="009D0BFB" w:rsidRPr="00754833">
        <w:rPr>
          <w:rFonts w:cs="Arial"/>
        </w:rPr>
        <w:t xml:space="preserve"> </w:t>
      </w:r>
      <w:r w:rsidR="002E753F" w:rsidRPr="00754833">
        <w:rPr>
          <w:rFonts w:cs="Arial"/>
        </w:rPr>
        <w:t xml:space="preserve"> (“</w:t>
      </w:r>
      <w:r w:rsidR="002E753F" w:rsidRPr="00754833">
        <w:rPr>
          <w:rFonts w:cs="Arial"/>
          <w:i/>
          <w:iCs/>
        </w:rPr>
        <w:t>Delport</w:t>
      </w:r>
      <w:r w:rsidR="002E753F" w:rsidRPr="00754833">
        <w:rPr>
          <w:rFonts w:cs="Arial"/>
        </w:rPr>
        <w:t xml:space="preserve">”) </w:t>
      </w:r>
      <w:r w:rsidR="009D0BFB" w:rsidRPr="00754833">
        <w:rPr>
          <w:rFonts w:cs="Arial"/>
        </w:rPr>
        <w:t>and Meskin</w:t>
      </w:r>
      <w:r w:rsidR="009D0BFB" w:rsidRPr="00754833">
        <w:rPr>
          <w:rFonts w:cs="Arial"/>
          <w:i/>
          <w:iCs/>
        </w:rPr>
        <w:t xml:space="preserve"> Henochsberg on the Companies Act 61 of 1973</w:t>
      </w:r>
      <w:r w:rsidR="009D0BFB" w:rsidRPr="00754833">
        <w:rPr>
          <w:rFonts w:cs="Arial"/>
        </w:rPr>
        <w:t xml:space="preserve"> p 911 to 920(3)</w:t>
      </w:r>
      <w:r w:rsidR="009164BE">
        <w:rPr>
          <w:rFonts w:cs="Arial"/>
        </w:rPr>
        <w:t>.</w:t>
      </w:r>
    </w:p>
  </w:footnote>
  <w:footnote w:id="35">
    <w:p w14:paraId="0F2B22FA" w14:textId="7E6554DA" w:rsidR="00F3521A" w:rsidRPr="00754833" w:rsidRDefault="00F3521A"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 xml:space="preserve">See </w:t>
      </w:r>
      <w:r w:rsidRPr="00754833">
        <w:rPr>
          <w:rFonts w:cs="Arial"/>
          <w:i/>
          <w:iCs/>
        </w:rPr>
        <w:t>Kukama v Lobelo</w:t>
      </w:r>
      <w:r w:rsidRPr="00754833">
        <w:rPr>
          <w:rFonts w:cs="Arial"/>
        </w:rPr>
        <w:t xml:space="preserve"> [2013] ZAGPJHC 72</w:t>
      </w:r>
      <w:r w:rsidR="00BE439B" w:rsidRPr="00754833">
        <w:rPr>
          <w:rFonts w:cs="Arial"/>
        </w:rPr>
        <w:t xml:space="preserve">, </w:t>
      </w:r>
      <w:r w:rsidRPr="00754833">
        <w:rPr>
          <w:rFonts w:cs="Arial"/>
          <w:i/>
          <w:iCs/>
        </w:rPr>
        <w:t>Rabinowitz v Van Graan and Others</w:t>
      </w:r>
      <w:r w:rsidRPr="00754833">
        <w:rPr>
          <w:rFonts w:cs="Arial"/>
        </w:rPr>
        <w:t xml:space="preserve"> 2013 (5) SA 315 (GSJ)</w:t>
      </w:r>
      <w:r w:rsidR="00BE439B" w:rsidRPr="00754833">
        <w:rPr>
          <w:rFonts w:cs="Arial"/>
        </w:rPr>
        <w:t xml:space="preserve">, and </w:t>
      </w:r>
      <w:r w:rsidR="00CF0BE6" w:rsidRPr="00754833">
        <w:rPr>
          <w:rFonts w:cs="Arial"/>
          <w:i/>
          <w:iCs/>
        </w:rPr>
        <w:t xml:space="preserve">Howard v Herrigel and Another NNO </w:t>
      </w:r>
      <w:r w:rsidR="00CF0BE6" w:rsidRPr="00754833">
        <w:rPr>
          <w:rFonts w:cs="Arial"/>
        </w:rPr>
        <w:t>1991 (2) SA 660 (A)</w:t>
      </w:r>
      <w:r w:rsidR="009164BE">
        <w:rPr>
          <w:rFonts w:cs="Arial"/>
        </w:rPr>
        <w:t>.</w:t>
      </w:r>
    </w:p>
  </w:footnote>
  <w:footnote w:id="36">
    <w:p w14:paraId="16792164" w14:textId="37B6E469" w:rsidR="00096EAD" w:rsidRPr="00754833" w:rsidRDefault="00096EAD"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Delport</w:t>
      </w:r>
      <w:r w:rsidRPr="00754833">
        <w:rPr>
          <w:rFonts w:cs="Arial"/>
        </w:rPr>
        <w:t xml:space="preserve"> p 294</w:t>
      </w:r>
      <w:r w:rsidR="009164BE">
        <w:rPr>
          <w:rFonts w:cs="Arial"/>
        </w:rPr>
        <w:t>.</w:t>
      </w:r>
    </w:p>
  </w:footnote>
  <w:footnote w:id="37">
    <w:p w14:paraId="39EC072A" w14:textId="40763B3A" w:rsidR="00096EAD" w:rsidRPr="00754833" w:rsidRDefault="00096EAD"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t>S 76(4)(a)(i) of the Companies Act of 2008</w:t>
      </w:r>
      <w:r w:rsidR="00C470C4">
        <w:rPr>
          <w:rFonts w:cs="Arial"/>
        </w:rPr>
        <w:t>.</w:t>
      </w:r>
    </w:p>
  </w:footnote>
  <w:footnote w:id="38">
    <w:p w14:paraId="7330FF0C" w14:textId="10751EB1" w:rsidR="002E753F" w:rsidRPr="00754833" w:rsidRDefault="002E753F"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Delport</w:t>
      </w:r>
      <w:r w:rsidRPr="00754833">
        <w:rPr>
          <w:rFonts w:cs="Arial"/>
        </w:rPr>
        <w:t xml:space="preserve"> p 299</w:t>
      </w:r>
      <w:r w:rsidR="009164BE">
        <w:rPr>
          <w:rFonts w:cs="Arial"/>
        </w:rPr>
        <w:t>.</w:t>
      </w:r>
    </w:p>
  </w:footnote>
  <w:footnote w:id="39">
    <w:p w14:paraId="0A8A87CB" w14:textId="12CAEFF2" w:rsidR="00244F23" w:rsidRPr="00754833" w:rsidRDefault="00244F23"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Hammersmith Co v Brand</w:t>
      </w:r>
      <w:r w:rsidR="004E589C" w:rsidRPr="00754833">
        <w:rPr>
          <w:rFonts w:cs="Arial"/>
          <w:i/>
          <w:iCs/>
        </w:rPr>
        <w:t xml:space="preserve"> </w:t>
      </w:r>
      <w:r w:rsidRPr="00754833">
        <w:rPr>
          <w:rFonts w:cs="Arial"/>
        </w:rPr>
        <w:t>L R. 4 H L  171</w:t>
      </w:r>
      <w:r w:rsidR="00C470C4">
        <w:rPr>
          <w:rFonts w:cs="Arial"/>
        </w:rPr>
        <w:t>.</w:t>
      </w:r>
    </w:p>
  </w:footnote>
  <w:footnote w:id="40">
    <w:p w14:paraId="5C49545D" w14:textId="63141399" w:rsidR="00CF0BE6" w:rsidRPr="00754833" w:rsidRDefault="00CF0BE6" w:rsidP="00754833">
      <w:pPr>
        <w:pStyle w:val="FootnoteText"/>
        <w:spacing w:before="120" w:after="120"/>
        <w:rPr>
          <w:rFonts w:cs="Arial"/>
        </w:rPr>
      </w:pPr>
      <w:r w:rsidRPr="00754833">
        <w:rPr>
          <w:rStyle w:val="FootnoteReference"/>
          <w:rFonts w:cs="Arial"/>
        </w:rPr>
        <w:footnoteRef/>
      </w:r>
      <w:r w:rsidRPr="00754833">
        <w:rPr>
          <w:rFonts w:cs="Arial"/>
        </w:rPr>
        <w:t xml:space="preserve"> </w:t>
      </w:r>
      <w:r w:rsidRPr="00754833">
        <w:rPr>
          <w:rFonts w:cs="Arial"/>
        </w:rPr>
        <w:tab/>
      </w:r>
      <w:r w:rsidRPr="00754833">
        <w:rPr>
          <w:rFonts w:cs="Arial"/>
          <w:i/>
          <w:iCs/>
        </w:rPr>
        <w:t>Fisheries Development Corporation of SA Ltd v Jorgensen and another; Fisheries Development Corporation of SA Ltd v AWJ Investments</w:t>
      </w:r>
      <w:r w:rsidR="004E589C" w:rsidRPr="00754833">
        <w:rPr>
          <w:rFonts w:cs="Arial"/>
          <w:i/>
          <w:iCs/>
        </w:rPr>
        <w:t xml:space="preserve"> </w:t>
      </w:r>
      <w:r w:rsidRPr="00754833">
        <w:rPr>
          <w:rFonts w:cs="Arial"/>
          <w:i/>
          <w:iCs/>
        </w:rPr>
        <w:t>(Pty)</w:t>
      </w:r>
      <w:r w:rsidR="004E589C" w:rsidRPr="00754833">
        <w:rPr>
          <w:rFonts w:cs="Arial"/>
          <w:i/>
          <w:iCs/>
        </w:rPr>
        <w:t xml:space="preserve"> </w:t>
      </w:r>
      <w:r w:rsidRPr="00754833">
        <w:rPr>
          <w:rFonts w:cs="Arial"/>
          <w:i/>
          <w:iCs/>
        </w:rPr>
        <w:t>Ltd and others</w:t>
      </w:r>
      <w:r w:rsidR="004E589C" w:rsidRPr="00754833">
        <w:rPr>
          <w:rFonts w:cs="Arial"/>
        </w:rPr>
        <w:t xml:space="preserve"> </w:t>
      </w:r>
      <w:r w:rsidRPr="00754833">
        <w:rPr>
          <w:rFonts w:cs="Arial"/>
        </w:rPr>
        <w:t>1980</w:t>
      </w:r>
      <w:r w:rsidR="004E589C" w:rsidRPr="00754833">
        <w:rPr>
          <w:rFonts w:cs="Arial"/>
        </w:rPr>
        <w:t xml:space="preserve"> </w:t>
      </w:r>
      <w:r w:rsidRPr="00754833">
        <w:rPr>
          <w:rFonts w:cs="Arial"/>
        </w:rPr>
        <w:t>(4)</w:t>
      </w:r>
      <w:r w:rsidR="004E589C" w:rsidRPr="00754833">
        <w:rPr>
          <w:rFonts w:cs="Arial"/>
        </w:rPr>
        <w:t xml:space="preserve"> </w:t>
      </w:r>
      <w:r w:rsidRPr="00754833">
        <w:rPr>
          <w:rFonts w:cs="Arial"/>
        </w:rPr>
        <w:t>SA</w:t>
      </w:r>
      <w:r w:rsidR="004E589C" w:rsidRPr="00754833">
        <w:rPr>
          <w:rFonts w:cs="Arial"/>
        </w:rPr>
        <w:t xml:space="preserve"> </w:t>
      </w:r>
      <w:r w:rsidRPr="00754833">
        <w:rPr>
          <w:rFonts w:cs="Arial"/>
        </w:rPr>
        <w:t>156</w:t>
      </w:r>
      <w:r w:rsidR="004E589C" w:rsidRPr="00754833">
        <w:rPr>
          <w:rFonts w:cs="Arial"/>
        </w:rPr>
        <w:t xml:space="preserve"> </w:t>
      </w:r>
      <w:r w:rsidRPr="00754833">
        <w:rPr>
          <w:rFonts w:cs="Arial"/>
        </w:rPr>
        <w:t>(W) 166D</w:t>
      </w:r>
      <w:r w:rsidR="00F73649" w:rsidRPr="00754833">
        <w:rPr>
          <w:rFonts w:cs="Arial"/>
        </w:rPr>
        <w:t>-E</w:t>
      </w:r>
      <w:r w:rsidRPr="00754833">
        <w:rPr>
          <w:rFonts w:cs="Arial"/>
        </w:rPr>
        <w:t xml:space="preserve">. See also </w:t>
      </w:r>
      <w:r w:rsidRPr="00754833">
        <w:rPr>
          <w:rFonts w:cs="Arial"/>
          <w:i/>
          <w:iCs/>
        </w:rPr>
        <w:t>Howard v Herrigel and Another NNO</w:t>
      </w:r>
      <w:r w:rsidRPr="00754833">
        <w:rPr>
          <w:rFonts w:cs="Arial"/>
        </w:rPr>
        <w:t xml:space="preserve"> 1991 (2) SA 660 (A)</w:t>
      </w:r>
      <w:r w:rsidR="00F73649" w:rsidRPr="00754833">
        <w:rPr>
          <w:rFonts w:cs="Arial"/>
        </w:rPr>
        <w:t xml:space="preserve"> 674A-G and </w:t>
      </w:r>
      <w:r w:rsidR="00F73649" w:rsidRPr="00754833">
        <w:rPr>
          <w:rFonts w:cs="Arial"/>
          <w:i/>
          <w:iCs/>
          <w:color w:val="000000"/>
          <w:shd w:val="clear" w:color="auto" w:fill="FFFFFF"/>
        </w:rPr>
        <w:t>Cooper and another NNO v Myburgh and others</w:t>
      </w:r>
      <w:r w:rsidR="00F73649" w:rsidRPr="00754833">
        <w:rPr>
          <w:rFonts w:cs="Arial"/>
          <w:color w:val="000000"/>
          <w:shd w:val="clear" w:color="auto" w:fill="FFFFFF"/>
        </w:rPr>
        <w:t>[2021] 2 All SA 114 (WCC) para [15]</w:t>
      </w:r>
      <w:r w:rsidR="00B90E3C">
        <w:rPr>
          <w:rFonts w:cs="Arial"/>
          <w:color w:val="000000"/>
          <w:shd w:val="clear" w:color="auto" w:fill="FFFFFF"/>
        </w:rPr>
        <w:t>.</w:t>
      </w:r>
    </w:p>
  </w:footnote>
  <w:footnote w:id="41">
    <w:p w14:paraId="2396A308" w14:textId="2D81AE9A" w:rsidR="00F73649" w:rsidRDefault="00F73649" w:rsidP="00754833">
      <w:pPr>
        <w:pStyle w:val="FootnoteText"/>
        <w:spacing w:before="120" w:after="120"/>
      </w:pPr>
      <w:r w:rsidRPr="00754833">
        <w:rPr>
          <w:rStyle w:val="FootnoteReference"/>
          <w:rFonts w:cs="Arial"/>
        </w:rPr>
        <w:footnoteRef/>
      </w:r>
      <w:r w:rsidRPr="00754833">
        <w:rPr>
          <w:rFonts w:cs="Arial"/>
        </w:rPr>
        <w:t xml:space="preserve"> </w:t>
      </w:r>
      <w:r w:rsidRPr="00754833">
        <w:rPr>
          <w:rFonts w:cs="Arial"/>
        </w:rPr>
        <w:tab/>
      </w:r>
      <w:r w:rsidRPr="001E0B80">
        <w:rPr>
          <w:rFonts w:cs="Arial"/>
          <w:lang w:eastAsia="en-ZA"/>
        </w:rPr>
        <w:t>Gower </w:t>
      </w:r>
      <w:r w:rsidR="004E589C" w:rsidRPr="00754833">
        <w:rPr>
          <w:rFonts w:cs="Arial"/>
          <w:i/>
          <w:iCs/>
          <w:lang w:eastAsia="en-ZA"/>
        </w:rPr>
        <w:t xml:space="preserve">The Principles of </w:t>
      </w:r>
      <w:r w:rsidRPr="001E0B80">
        <w:rPr>
          <w:rFonts w:cs="Arial"/>
          <w:i/>
          <w:iCs/>
          <w:lang w:eastAsia="en-ZA"/>
        </w:rPr>
        <w:t>Modern Company</w:t>
      </w:r>
      <w:r w:rsidRPr="001E0B80">
        <w:rPr>
          <w:rFonts w:cs="Arial"/>
          <w:lang w:eastAsia="en-ZA"/>
        </w:rPr>
        <w:t xml:space="preserve"> Law 4th ed</w:t>
      </w:r>
      <w:r w:rsidR="00B90E3C">
        <w:rPr>
          <w:rFonts w:cs="Arial"/>
          <w:lang w:eastAsia="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86F922A"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756B17">
      <w:rPr>
        <w:rFonts w:cs="Arial"/>
        <w:noProof/>
        <w:sz w:val="20"/>
        <w:szCs w:val="20"/>
        <w:lang w:val="en-GB"/>
      </w:rPr>
      <w:t>34</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D6D2FF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6">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7">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1"/>
  </w:num>
  <w:num w:numId="3">
    <w:abstractNumId w:val="9"/>
  </w:num>
  <w:num w:numId="4">
    <w:abstractNumId w:val="4"/>
  </w:num>
  <w:num w:numId="5">
    <w:abstractNumId w:val="8"/>
  </w:num>
  <w:num w:numId="6">
    <w:abstractNumId w:val="7"/>
  </w:num>
  <w:num w:numId="7">
    <w:abstractNumId w:val="0"/>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1111B"/>
    <w:rsid w:val="0001140A"/>
    <w:rsid w:val="00011522"/>
    <w:rsid w:val="00012021"/>
    <w:rsid w:val="00013B7F"/>
    <w:rsid w:val="00015D74"/>
    <w:rsid w:val="000179FE"/>
    <w:rsid w:val="00024A29"/>
    <w:rsid w:val="000262B3"/>
    <w:rsid w:val="000325E2"/>
    <w:rsid w:val="00041975"/>
    <w:rsid w:val="00047F26"/>
    <w:rsid w:val="00050086"/>
    <w:rsid w:val="000504F1"/>
    <w:rsid w:val="00057775"/>
    <w:rsid w:val="00057B83"/>
    <w:rsid w:val="00063F7B"/>
    <w:rsid w:val="0006504D"/>
    <w:rsid w:val="000737E1"/>
    <w:rsid w:val="00073E30"/>
    <w:rsid w:val="000833BB"/>
    <w:rsid w:val="0009488C"/>
    <w:rsid w:val="00096EAD"/>
    <w:rsid w:val="00097968"/>
    <w:rsid w:val="00097CC2"/>
    <w:rsid w:val="000A6AD8"/>
    <w:rsid w:val="000B21DA"/>
    <w:rsid w:val="000D5760"/>
    <w:rsid w:val="000D7C9A"/>
    <w:rsid w:val="000D7D6A"/>
    <w:rsid w:val="000E5343"/>
    <w:rsid w:val="000E5BD9"/>
    <w:rsid w:val="000F59F8"/>
    <w:rsid w:val="00104142"/>
    <w:rsid w:val="001130FD"/>
    <w:rsid w:val="00113B92"/>
    <w:rsid w:val="001142D1"/>
    <w:rsid w:val="00120FB1"/>
    <w:rsid w:val="00130253"/>
    <w:rsid w:val="00133E81"/>
    <w:rsid w:val="00140CED"/>
    <w:rsid w:val="00142746"/>
    <w:rsid w:val="00147FF5"/>
    <w:rsid w:val="00152899"/>
    <w:rsid w:val="00155A21"/>
    <w:rsid w:val="00163904"/>
    <w:rsid w:val="001671C1"/>
    <w:rsid w:val="00172628"/>
    <w:rsid w:val="00185ACF"/>
    <w:rsid w:val="00190579"/>
    <w:rsid w:val="00196E14"/>
    <w:rsid w:val="001A522A"/>
    <w:rsid w:val="001B1D39"/>
    <w:rsid w:val="001B2A05"/>
    <w:rsid w:val="001B3EF2"/>
    <w:rsid w:val="001B4217"/>
    <w:rsid w:val="001B5D3E"/>
    <w:rsid w:val="001B606B"/>
    <w:rsid w:val="001C2935"/>
    <w:rsid w:val="001C5F77"/>
    <w:rsid w:val="001D3CC2"/>
    <w:rsid w:val="001E2EED"/>
    <w:rsid w:val="001F0A29"/>
    <w:rsid w:val="001F0E46"/>
    <w:rsid w:val="001F1C0B"/>
    <w:rsid w:val="001F3DBD"/>
    <w:rsid w:val="001F648A"/>
    <w:rsid w:val="001F653E"/>
    <w:rsid w:val="001F72D5"/>
    <w:rsid w:val="00201620"/>
    <w:rsid w:val="00205392"/>
    <w:rsid w:val="002104BF"/>
    <w:rsid w:val="002120E9"/>
    <w:rsid w:val="00215824"/>
    <w:rsid w:val="00216BC8"/>
    <w:rsid w:val="0022218D"/>
    <w:rsid w:val="00224216"/>
    <w:rsid w:val="00226926"/>
    <w:rsid w:val="00232528"/>
    <w:rsid w:val="00237FF9"/>
    <w:rsid w:val="00244F23"/>
    <w:rsid w:val="00253F38"/>
    <w:rsid w:val="00262819"/>
    <w:rsid w:val="00280459"/>
    <w:rsid w:val="002811B1"/>
    <w:rsid w:val="00281EB7"/>
    <w:rsid w:val="00285040"/>
    <w:rsid w:val="00285062"/>
    <w:rsid w:val="002A030C"/>
    <w:rsid w:val="002C15AC"/>
    <w:rsid w:val="002C39B3"/>
    <w:rsid w:val="002C4687"/>
    <w:rsid w:val="002C7670"/>
    <w:rsid w:val="002D23B9"/>
    <w:rsid w:val="002D418D"/>
    <w:rsid w:val="002D47B3"/>
    <w:rsid w:val="002E5B57"/>
    <w:rsid w:val="002E6CD7"/>
    <w:rsid w:val="002E753F"/>
    <w:rsid w:val="002F1C4D"/>
    <w:rsid w:val="002F72D3"/>
    <w:rsid w:val="00302290"/>
    <w:rsid w:val="00302C31"/>
    <w:rsid w:val="003047C2"/>
    <w:rsid w:val="0030653F"/>
    <w:rsid w:val="003102C8"/>
    <w:rsid w:val="003108A1"/>
    <w:rsid w:val="0031117B"/>
    <w:rsid w:val="00312EBC"/>
    <w:rsid w:val="00313056"/>
    <w:rsid w:val="00313301"/>
    <w:rsid w:val="00315155"/>
    <w:rsid w:val="0033385A"/>
    <w:rsid w:val="00337135"/>
    <w:rsid w:val="0034147B"/>
    <w:rsid w:val="00342E02"/>
    <w:rsid w:val="003463D6"/>
    <w:rsid w:val="00346D31"/>
    <w:rsid w:val="00346DE6"/>
    <w:rsid w:val="003543C5"/>
    <w:rsid w:val="00354EF2"/>
    <w:rsid w:val="00357081"/>
    <w:rsid w:val="00357D35"/>
    <w:rsid w:val="00363FCD"/>
    <w:rsid w:val="0036436B"/>
    <w:rsid w:val="00364C43"/>
    <w:rsid w:val="00367720"/>
    <w:rsid w:val="0037029D"/>
    <w:rsid w:val="00373181"/>
    <w:rsid w:val="00381213"/>
    <w:rsid w:val="003840EC"/>
    <w:rsid w:val="00390C3F"/>
    <w:rsid w:val="00391C0A"/>
    <w:rsid w:val="00393127"/>
    <w:rsid w:val="003A09D9"/>
    <w:rsid w:val="003A7864"/>
    <w:rsid w:val="003B4100"/>
    <w:rsid w:val="003C1A16"/>
    <w:rsid w:val="003C1E91"/>
    <w:rsid w:val="003C79F4"/>
    <w:rsid w:val="003D19C3"/>
    <w:rsid w:val="003D36F9"/>
    <w:rsid w:val="003D77F1"/>
    <w:rsid w:val="003E0A89"/>
    <w:rsid w:val="003F1F49"/>
    <w:rsid w:val="003F3EE4"/>
    <w:rsid w:val="003F7448"/>
    <w:rsid w:val="00407F28"/>
    <w:rsid w:val="0041100A"/>
    <w:rsid w:val="004131C5"/>
    <w:rsid w:val="00416FFE"/>
    <w:rsid w:val="0042423E"/>
    <w:rsid w:val="004339E6"/>
    <w:rsid w:val="0043683A"/>
    <w:rsid w:val="00440564"/>
    <w:rsid w:val="00441422"/>
    <w:rsid w:val="00445DCB"/>
    <w:rsid w:val="0045044C"/>
    <w:rsid w:val="00460495"/>
    <w:rsid w:val="004630B6"/>
    <w:rsid w:val="00474607"/>
    <w:rsid w:val="00474910"/>
    <w:rsid w:val="004749AF"/>
    <w:rsid w:val="00475410"/>
    <w:rsid w:val="004802AA"/>
    <w:rsid w:val="00484116"/>
    <w:rsid w:val="0048424E"/>
    <w:rsid w:val="00486F42"/>
    <w:rsid w:val="00487D14"/>
    <w:rsid w:val="00490D65"/>
    <w:rsid w:val="00492C65"/>
    <w:rsid w:val="004A2C7E"/>
    <w:rsid w:val="004A6625"/>
    <w:rsid w:val="004A7DFE"/>
    <w:rsid w:val="004B21D9"/>
    <w:rsid w:val="004C0CE3"/>
    <w:rsid w:val="004C368B"/>
    <w:rsid w:val="004C4BEA"/>
    <w:rsid w:val="004D1A31"/>
    <w:rsid w:val="004D262A"/>
    <w:rsid w:val="004D2C6F"/>
    <w:rsid w:val="004D2E01"/>
    <w:rsid w:val="004E232C"/>
    <w:rsid w:val="004E568C"/>
    <w:rsid w:val="004E589C"/>
    <w:rsid w:val="004E5AD8"/>
    <w:rsid w:val="004F12D8"/>
    <w:rsid w:val="004F22A6"/>
    <w:rsid w:val="00504B53"/>
    <w:rsid w:val="0051015D"/>
    <w:rsid w:val="00511960"/>
    <w:rsid w:val="0051292D"/>
    <w:rsid w:val="0051442D"/>
    <w:rsid w:val="00515BE7"/>
    <w:rsid w:val="0051622D"/>
    <w:rsid w:val="005219EB"/>
    <w:rsid w:val="005222CB"/>
    <w:rsid w:val="005262C2"/>
    <w:rsid w:val="0052705A"/>
    <w:rsid w:val="005356E2"/>
    <w:rsid w:val="00537A72"/>
    <w:rsid w:val="00543A74"/>
    <w:rsid w:val="00556E08"/>
    <w:rsid w:val="00571E81"/>
    <w:rsid w:val="005722EC"/>
    <w:rsid w:val="00573FF9"/>
    <w:rsid w:val="005746DF"/>
    <w:rsid w:val="00576B16"/>
    <w:rsid w:val="00590BEE"/>
    <w:rsid w:val="00595988"/>
    <w:rsid w:val="005A0947"/>
    <w:rsid w:val="005A313A"/>
    <w:rsid w:val="005A680F"/>
    <w:rsid w:val="005B07CB"/>
    <w:rsid w:val="005B2FF9"/>
    <w:rsid w:val="005B6D81"/>
    <w:rsid w:val="005B7DD3"/>
    <w:rsid w:val="005C7FC2"/>
    <w:rsid w:val="005D2408"/>
    <w:rsid w:val="005D2A8B"/>
    <w:rsid w:val="005D505C"/>
    <w:rsid w:val="005D6122"/>
    <w:rsid w:val="005D6E80"/>
    <w:rsid w:val="005E04C5"/>
    <w:rsid w:val="005E2F7B"/>
    <w:rsid w:val="005E3C94"/>
    <w:rsid w:val="005E5C01"/>
    <w:rsid w:val="005E7118"/>
    <w:rsid w:val="005F37A4"/>
    <w:rsid w:val="006007DB"/>
    <w:rsid w:val="00602403"/>
    <w:rsid w:val="006041A4"/>
    <w:rsid w:val="006109EC"/>
    <w:rsid w:val="00611D8A"/>
    <w:rsid w:val="006150CE"/>
    <w:rsid w:val="006165F4"/>
    <w:rsid w:val="0062327C"/>
    <w:rsid w:val="00627578"/>
    <w:rsid w:val="00632C84"/>
    <w:rsid w:val="006330D9"/>
    <w:rsid w:val="00635A69"/>
    <w:rsid w:val="00636520"/>
    <w:rsid w:val="00642664"/>
    <w:rsid w:val="00644BBE"/>
    <w:rsid w:val="0064589D"/>
    <w:rsid w:val="00647DDD"/>
    <w:rsid w:val="00653BA4"/>
    <w:rsid w:val="00657EDA"/>
    <w:rsid w:val="006609A2"/>
    <w:rsid w:val="00660C84"/>
    <w:rsid w:val="0066194B"/>
    <w:rsid w:val="00666D4D"/>
    <w:rsid w:val="00675A19"/>
    <w:rsid w:val="006858DA"/>
    <w:rsid w:val="006902F1"/>
    <w:rsid w:val="006918E9"/>
    <w:rsid w:val="006951CE"/>
    <w:rsid w:val="006A438B"/>
    <w:rsid w:val="006B1E87"/>
    <w:rsid w:val="006B437C"/>
    <w:rsid w:val="006B514A"/>
    <w:rsid w:val="006C4213"/>
    <w:rsid w:val="006C43D7"/>
    <w:rsid w:val="006C5694"/>
    <w:rsid w:val="006D2280"/>
    <w:rsid w:val="006D4128"/>
    <w:rsid w:val="006E68E6"/>
    <w:rsid w:val="006E6FF1"/>
    <w:rsid w:val="006F25E5"/>
    <w:rsid w:val="006F2FCE"/>
    <w:rsid w:val="006F415C"/>
    <w:rsid w:val="0071437E"/>
    <w:rsid w:val="0071441C"/>
    <w:rsid w:val="007205BF"/>
    <w:rsid w:val="007241D4"/>
    <w:rsid w:val="00724D82"/>
    <w:rsid w:val="00732A6F"/>
    <w:rsid w:val="007347D1"/>
    <w:rsid w:val="00736453"/>
    <w:rsid w:val="0074214D"/>
    <w:rsid w:val="00742764"/>
    <w:rsid w:val="00751452"/>
    <w:rsid w:val="0075156A"/>
    <w:rsid w:val="00751F90"/>
    <w:rsid w:val="00754833"/>
    <w:rsid w:val="00756B17"/>
    <w:rsid w:val="00761C35"/>
    <w:rsid w:val="00766026"/>
    <w:rsid w:val="00772025"/>
    <w:rsid w:val="00781AA0"/>
    <w:rsid w:val="007A6E29"/>
    <w:rsid w:val="007B088D"/>
    <w:rsid w:val="007B165A"/>
    <w:rsid w:val="007B2DAD"/>
    <w:rsid w:val="007B7246"/>
    <w:rsid w:val="007B78C2"/>
    <w:rsid w:val="007C23FF"/>
    <w:rsid w:val="007C5008"/>
    <w:rsid w:val="007D1E79"/>
    <w:rsid w:val="007D27CF"/>
    <w:rsid w:val="007D4DAF"/>
    <w:rsid w:val="007E1F4F"/>
    <w:rsid w:val="007E468A"/>
    <w:rsid w:val="007E58FC"/>
    <w:rsid w:val="007F207F"/>
    <w:rsid w:val="007F5B91"/>
    <w:rsid w:val="00803CEC"/>
    <w:rsid w:val="00803D40"/>
    <w:rsid w:val="00810CA3"/>
    <w:rsid w:val="00822050"/>
    <w:rsid w:val="00830952"/>
    <w:rsid w:val="00830F84"/>
    <w:rsid w:val="00835890"/>
    <w:rsid w:val="00843AD1"/>
    <w:rsid w:val="008443A9"/>
    <w:rsid w:val="008469B3"/>
    <w:rsid w:val="00852390"/>
    <w:rsid w:val="00860576"/>
    <w:rsid w:val="008674AA"/>
    <w:rsid w:val="008675CC"/>
    <w:rsid w:val="00870DDD"/>
    <w:rsid w:val="0088094C"/>
    <w:rsid w:val="00881004"/>
    <w:rsid w:val="00882C40"/>
    <w:rsid w:val="00884467"/>
    <w:rsid w:val="008942FC"/>
    <w:rsid w:val="008944EC"/>
    <w:rsid w:val="0089586A"/>
    <w:rsid w:val="008966AB"/>
    <w:rsid w:val="008A082A"/>
    <w:rsid w:val="008A4DF4"/>
    <w:rsid w:val="008B1DA9"/>
    <w:rsid w:val="008B6162"/>
    <w:rsid w:val="008C0B63"/>
    <w:rsid w:val="008C20E7"/>
    <w:rsid w:val="008C3EBC"/>
    <w:rsid w:val="008C57F6"/>
    <w:rsid w:val="008C5DB7"/>
    <w:rsid w:val="008C69FC"/>
    <w:rsid w:val="008D33A3"/>
    <w:rsid w:val="008D4715"/>
    <w:rsid w:val="008E0756"/>
    <w:rsid w:val="008F189C"/>
    <w:rsid w:val="008F1FE1"/>
    <w:rsid w:val="008F25A7"/>
    <w:rsid w:val="008F4486"/>
    <w:rsid w:val="008F4FC6"/>
    <w:rsid w:val="00900F7B"/>
    <w:rsid w:val="00902179"/>
    <w:rsid w:val="00911DD6"/>
    <w:rsid w:val="0091544C"/>
    <w:rsid w:val="009164BE"/>
    <w:rsid w:val="00921D03"/>
    <w:rsid w:val="00925CD2"/>
    <w:rsid w:val="00933065"/>
    <w:rsid w:val="00933569"/>
    <w:rsid w:val="009365B1"/>
    <w:rsid w:val="0093799C"/>
    <w:rsid w:val="00937DF3"/>
    <w:rsid w:val="00944804"/>
    <w:rsid w:val="009473D8"/>
    <w:rsid w:val="009606EC"/>
    <w:rsid w:val="00960ADF"/>
    <w:rsid w:val="00963A0C"/>
    <w:rsid w:val="00974A92"/>
    <w:rsid w:val="00975270"/>
    <w:rsid w:val="00975BA1"/>
    <w:rsid w:val="009835E3"/>
    <w:rsid w:val="009869F2"/>
    <w:rsid w:val="00987CDB"/>
    <w:rsid w:val="009A2726"/>
    <w:rsid w:val="009A30E0"/>
    <w:rsid w:val="009A3205"/>
    <w:rsid w:val="009A3619"/>
    <w:rsid w:val="009B08AF"/>
    <w:rsid w:val="009B226E"/>
    <w:rsid w:val="009B3DFC"/>
    <w:rsid w:val="009B793E"/>
    <w:rsid w:val="009C0CB4"/>
    <w:rsid w:val="009C1188"/>
    <w:rsid w:val="009C37B9"/>
    <w:rsid w:val="009C38E7"/>
    <w:rsid w:val="009D0BFB"/>
    <w:rsid w:val="009D32BD"/>
    <w:rsid w:val="009D35B5"/>
    <w:rsid w:val="009D4486"/>
    <w:rsid w:val="009E1434"/>
    <w:rsid w:val="009E3300"/>
    <w:rsid w:val="009F211E"/>
    <w:rsid w:val="009F294E"/>
    <w:rsid w:val="009F30F1"/>
    <w:rsid w:val="009F37C7"/>
    <w:rsid w:val="009F50AB"/>
    <w:rsid w:val="009F5F9A"/>
    <w:rsid w:val="00A005F6"/>
    <w:rsid w:val="00A0115D"/>
    <w:rsid w:val="00A0424F"/>
    <w:rsid w:val="00A06585"/>
    <w:rsid w:val="00A111A4"/>
    <w:rsid w:val="00A23E58"/>
    <w:rsid w:val="00A26214"/>
    <w:rsid w:val="00A37BA4"/>
    <w:rsid w:val="00A402F6"/>
    <w:rsid w:val="00A43739"/>
    <w:rsid w:val="00A47A18"/>
    <w:rsid w:val="00A51092"/>
    <w:rsid w:val="00A539CB"/>
    <w:rsid w:val="00A56531"/>
    <w:rsid w:val="00A649E6"/>
    <w:rsid w:val="00A660AF"/>
    <w:rsid w:val="00A70A95"/>
    <w:rsid w:val="00A7621E"/>
    <w:rsid w:val="00A8325E"/>
    <w:rsid w:val="00A93351"/>
    <w:rsid w:val="00AA0013"/>
    <w:rsid w:val="00AA0A1F"/>
    <w:rsid w:val="00AA26FF"/>
    <w:rsid w:val="00AA343B"/>
    <w:rsid w:val="00AA4B3B"/>
    <w:rsid w:val="00AA6E8C"/>
    <w:rsid w:val="00AA6F19"/>
    <w:rsid w:val="00AA79A8"/>
    <w:rsid w:val="00AA7A76"/>
    <w:rsid w:val="00AB0286"/>
    <w:rsid w:val="00AB4C6D"/>
    <w:rsid w:val="00AB4CE3"/>
    <w:rsid w:val="00AB4DFE"/>
    <w:rsid w:val="00AC4165"/>
    <w:rsid w:val="00AC556A"/>
    <w:rsid w:val="00AD2631"/>
    <w:rsid w:val="00AE287F"/>
    <w:rsid w:val="00AE63BD"/>
    <w:rsid w:val="00AF0B2B"/>
    <w:rsid w:val="00AF285E"/>
    <w:rsid w:val="00AF2914"/>
    <w:rsid w:val="00AF363F"/>
    <w:rsid w:val="00AF3E4F"/>
    <w:rsid w:val="00B071FF"/>
    <w:rsid w:val="00B11505"/>
    <w:rsid w:val="00B11DC2"/>
    <w:rsid w:val="00B139BF"/>
    <w:rsid w:val="00B15142"/>
    <w:rsid w:val="00B230F3"/>
    <w:rsid w:val="00B42807"/>
    <w:rsid w:val="00B428A6"/>
    <w:rsid w:val="00B5157D"/>
    <w:rsid w:val="00B52E9E"/>
    <w:rsid w:val="00B53913"/>
    <w:rsid w:val="00B554D4"/>
    <w:rsid w:val="00B56906"/>
    <w:rsid w:val="00B64F40"/>
    <w:rsid w:val="00B7178E"/>
    <w:rsid w:val="00B71CB5"/>
    <w:rsid w:val="00B71D2D"/>
    <w:rsid w:val="00B72922"/>
    <w:rsid w:val="00B72A13"/>
    <w:rsid w:val="00B72ADA"/>
    <w:rsid w:val="00B76CDD"/>
    <w:rsid w:val="00B77BCC"/>
    <w:rsid w:val="00B84DD5"/>
    <w:rsid w:val="00B9026B"/>
    <w:rsid w:val="00B90E3C"/>
    <w:rsid w:val="00B9487E"/>
    <w:rsid w:val="00B95910"/>
    <w:rsid w:val="00BA29E7"/>
    <w:rsid w:val="00BA3A4C"/>
    <w:rsid w:val="00BB0F20"/>
    <w:rsid w:val="00BB3911"/>
    <w:rsid w:val="00BB7BF7"/>
    <w:rsid w:val="00BC415B"/>
    <w:rsid w:val="00BD2329"/>
    <w:rsid w:val="00BD2CDE"/>
    <w:rsid w:val="00BD41CF"/>
    <w:rsid w:val="00BE0164"/>
    <w:rsid w:val="00BE12BD"/>
    <w:rsid w:val="00BE2ED7"/>
    <w:rsid w:val="00BE439B"/>
    <w:rsid w:val="00BE6AB8"/>
    <w:rsid w:val="00BF086D"/>
    <w:rsid w:val="00BF2167"/>
    <w:rsid w:val="00C04139"/>
    <w:rsid w:val="00C05091"/>
    <w:rsid w:val="00C13353"/>
    <w:rsid w:val="00C21B3D"/>
    <w:rsid w:val="00C2788D"/>
    <w:rsid w:val="00C361F6"/>
    <w:rsid w:val="00C3669A"/>
    <w:rsid w:val="00C423E3"/>
    <w:rsid w:val="00C44BAC"/>
    <w:rsid w:val="00C45551"/>
    <w:rsid w:val="00C45626"/>
    <w:rsid w:val="00C458AF"/>
    <w:rsid w:val="00C460A0"/>
    <w:rsid w:val="00C470C4"/>
    <w:rsid w:val="00C50068"/>
    <w:rsid w:val="00C549F4"/>
    <w:rsid w:val="00C56068"/>
    <w:rsid w:val="00C676F3"/>
    <w:rsid w:val="00C75909"/>
    <w:rsid w:val="00C77EFD"/>
    <w:rsid w:val="00C819E2"/>
    <w:rsid w:val="00C81A10"/>
    <w:rsid w:val="00C821B3"/>
    <w:rsid w:val="00C8244D"/>
    <w:rsid w:val="00C829DF"/>
    <w:rsid w:val="00C84021"/>
    <w:rsid w:val="00C858D0"/>
    <w:rsid w:val="00C85A9A"/>
    <w:rsid w:val="00C875AE"/>
    <w:rsid w:val="00C930C5"/>
    <w:rsid w:val="00C9310B"/>
    <w:rsid w:val="00CB1536"/>
    <w:rsid w:val="00CB3907"/>
    <w:rsid w:val="00CC0C54"/>
    <w:rsid w:val="00CC1016"/>
    <w:rsid w:val="00CD1721"/>
    <w:rsid w:val="00CD4DDC"/>
    <w:rsid w:val="00CF0BE6"/>
    <w:rsid w:val="00CF2008"/>
    <w:rsid w:val="00CF4188"/>
    <w:rsid w:val="00CF4E9E"/>
    <w:rsid w:val="00CF7446"/>
    <w:rsid w:val="00CF7848"/>
    <w:rsid w:val="00D0526F"/>
    <w:rsid w:val="00D06213"/>
    <w:rsid w:val="00D10010"/>
    <w:rsid w:val="00D1208B"/>
    <w:rsid w:val="00D12BB7"/>
    <w:rsid w:val="00D13C56"/>
    <w:rsid w:val="00D31882"/>
    <w:rsid w:val="00D31BAB"/>
    <w:rsid w:val="00D34AFB"/>
    <w:rsid w:val="00D35A03"/>
    <w:rsid w:val="00D37377"/>
    <w:rsid w:val="00D45B8C"/>
    <w:rsid w:val="00D567E0"/>
    <w:rsid w:val="00D56A09"/>
    <w:rsid w:val="00D630DE"/>
    <w:rsid w:val="00D645C6"/>
    <w:rsid w:val="00D65905"/>
    <w:rsid w:val="00D72F5B"/>
    <w:rsid w:val="00D7327A"/>
    <w:rsid w:val="00D828F9"/>
    <w:rsid w:val="00D866B9"/>
    <w:rsid w:val="00D9086C"/>
    <w:rsid w:val="00D912E6"/>
    <w:rsid w:val="00D94745"/>
    <w:rsid w:val="00D963D5"/>
    <w:rsid w:val="00DA05C5"/>
    <w:rsid w:val="00DA2ED1"/>
    <w:rsid w:val="00DA41B2"/>
    <w:rsid w:val="00DA5D06"/>
    <w:rsid w:val="00DA7B20"/>
    <w:rsid w:val="00DC3BEA"/>
    <w:rsid w:val="00DC621D"/>
    <w:rsid w:val="00DC6A98"/>
    <w:rsid w:val="00DC7245"/>
    <w:rsid w:val="00DC730A"/>
    <w:rsid w:val="00DD12FC"/>
    <w:rsid w:val="00DE080A"/>
    <w:rsid w:val="00DE130A"/>
    <w:rsid w:val="00DE1F21"/>
    <w:rsid w:val="00DE38B2"/>
    <w:rsid w:val="00DF4926"/>
    <w:rsid w:val="00DF71D5"/>
    <w:rsid w:val="00E05572"/>
    <w:rsid w:val="00E166FD"/>
    <w:rsid w:val="00E21E66"/>
    <w:rsid w:val="00E25706"/>
    <w:rsid w:val="00E264BB"/>
    <w:rsid w:val="00E276DF"/>
    <w:rsid w:val="00E30596"/>
    <w:rsid w:val="00E3297F"/>
    <w:rsid w:val="00E33434"/>
    <w:rsid w:val="00E37A5B"/>
    <w:rsid w:val="00E41A7C"/>
    <w:rsid w:val="00E43C23"/>
    <w:rsid w:val="00E45E6A"/>
    <w:rsid w:val="00E50A42"/>
    <w:rsid w:val="00E51E25"/>
    <w:rsid w:val="00E534A9"/>
    <w:rsid w:val="00E56D64"/>
    <w:rsid w:val="00E65BC0"/>
    <w:rsid w:val="00E65FFF"/>
    <w:rsid w:val="00E71CE6"/>
    <w:rsid w:val="00E71E16"/>
    <w:rsid w:val="00E73772"/>
    <w:rsid w:val="00E76641"/>
    <w:rsid w:val="00E800E8"/>
    <w:rsid w:val="00E84D18"/>
    <w:rsid w:val="00E851E8"/>
    <w:rsid w:val="00E86200"/>
    <w:rsid w:val="00E95703"/>
    <w:rsid w:val="00EA0297"/>
    <w:rsid w:val="00EA3F05"/>
    <w:rsid w:val="00EA57DC"/>
    <w:rsid w:val="00EA5E85"/>
    <w:rsid w:val="00EB0B07"/>
    <w:rsid w:val="00EB1B82"/>
    <w:rsid w:val="00EB635D"/>
    <w:rsid w:val="00EC70BC"/>
    <w:rsid w:val="00ED018E"/>
    <w:rsid w:val="00EE23B6"/>
    <w:rsid w:val="00EE2EA9"/>
    <w:rsid w:val="00EE4B1C"/>
    <w:rsid w:val="00EE55F9"/>
    <w:rsid w:val="00EE62A5"/>
    <w:rsid w:val="00F07D68"/>
    <w:rsid w:val="00F11454"/>
    <w:rsid w:val="00F221FC"/>
    <w:rsid w:val="00F228EE"/>
    <w:rsid w:val="00F3521A"/>
    <w:rsid w:val="00F418BD"/>
    <w:rsid w:val="00F42383"/>
    <w:rsid w:val="00F57AFC"/>
    <w:rsid w:val="00F627E4"/>
    <w:rsid w:val="00F65DBD"/>
    <w:rsid w:val="00F669B9"/>
    <w:rsid w:val="00F70C47"/>
    <w:rsid w:val="00F73649"/>
    <w:rsid w:val="00F74DDD"/>
    <w:rsid w:val="00F76329"/>
    <w:rsid w:val="00F80CEE"/>
    <w:rsid w:val="00F85F62"/>
    <w:rsid w:val="00F86BC7"/>
    <w:rsid w:val="00F92AA4"/>
    <w:rsid w:val="00FB59A0"/>
    <w:rsid w:val="00FC032F"/>
    <w:rsid w:val="00FC42BD"/>
    <w:rsid w:val="00FC4AC5"/>
    <w:rsid w:val="00FD2E9B"/>
    <w:rsid w:val="00FE065B"/>
    <w:rsid w:val="00FE17D2"/>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690A9337-93C8-400D-8FB4-5341E25A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ullout">
    <w:name w:val="parafullout"/>
    <w:basedOn w:val="Normal"/>
    <w:rsid w:val="00AB4DFE"/>
    <w:pPr>
      <w:adjustRightInd w:val="0"/>
      <w:spacing w:before="180"/>
      <w:jc w:val="both"/>
      <w:textAlignment w:val="baseline"/>
    </w:pPr>
    <w:rPr>
      <w:rFonts w:ascii="Verdana" w:hAnsi="Verdana"/>
      <w:sz w:val="18"/>
      <w:szCs w:val="20"/>
      <w:lang w:val="en-US" w:eastAsia="en-ZA"/>
    </w:rPr>
  </w:style>
  <w:style w:type="paragraph" w:customStyle="1" w:styleId="footnotes">
    <w:name w:val="footnotes"/>
    <w:basedOn w:val="Normal"/>
    <w:rsid w:val="00AB4DFE"/>
    <w:pPr>
      <w:tabs>
        <w:tab w:val="right" w:pos="397"/>
        <w:tab w:val="left" w:pos="567"/>
      </w:tabs>
      <w:adjustRightInd w:val="0"/>
      <w:ind w:left="567" w:hanging="567"/>
      <w:jc w:val="both"/>
      <w:textAlignment w:val="baseline"/>
    </w:pPr>
    <w:rPr>
      <w:rFonts w:ascii="Verdana" w:hAnsi="Verdana"/>
      <w:sz w:val="16"/>
      <w:szCs w:val="20"/>
      <w:lang w:val="en-US" w:eastAsia="en-ZA"/>
    </w:rPr>
  </w:style>
  <w:style w:type="paragraph" w:customStyle="1" w:styleId="Quote2">
    <w:name w:val="Quote2"/>
    <w:basedOn w:val="Normal"/>
    <w:rsid w:val="00AB4DFE"/>
    <w:pPr>
      <w:adjustRightInd w:val="0"/>
      <w:spacing w:before="120"/>
      <w:ind w:left="567" w:right="567"/>
      <w:jc w:val="both"/>
      <w:textAlignment w:val="baseline"/>
    </w:pPr>
    <w:rPr>
      <w:rFonts w:ascii="Verdana" w:hAnsi="Verdana"/>
      <w:sz w:val="16"/>
      <w:szCs w:val="20"/>
      <w:lang w:val="en-US" w:eastAsia="en-ZA"/>
    </w:rPr>
  </w:style>
  <w:style w:type="character" w:customStyle="1" w:styleId="searchhit">
    <w:name w:val="searchhit"/>
    <w:basedOn w:val="DefaultParagraphFont"/>
    <w:rsid w:val="0096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252588246">
      <w:bodyDiv w:val="1"/>
      <w:marLeft w:val="0"/>
      <w:marRight w:val="0"/>
      <w:marTop w:val="0"/>
      <w:marBottom w:val="0"/>
      <w:divBdr>
        <w:top w:val="none" w:sz="0" w:space="0" w:color="auto"/>
        <w:left w:val="none" w:sz="0" w:space="0" w:color="auto"/>
        <w:bottom w:val="none" w:sz="0" w:space="0" w:color="auto"/>
        <w:right w:val="none" w:sz="0" w:space="0" w:color="auto"/>
      </w:divBdr>
      <w:divsChild>
        <w:div w:id="49892297">
          <w:marLeft w:val="0"/>
          <w:marRight w:val="0"/>
          <w:marTop w:val="120"/>
          <w:marBottom w:val="0"/>
          <w:divBdr>
            <w:top w:val="none" w:sz="0" w:space="0" w:color="auto"/>
            <w:left w:val="none" w:sz="0" w:space="0" w:color="auto"/>
            <w:bottom w:val="none" w:sz="0" w:space="0" w:color="auto"/>
            <w:right w:val="none" w:sz="0" w:space="0" w:color="auto"/>
          </w:divBdr>
        </w:div>
        <w:div w:id="1064525761">
          <w:marLeft w:val="0"/>
          <w:marRight w:val="0"/>
          <w:marTop w:val="240"/>
          <w:marBottom w:val="0"/>
          <w:divBdr>
            <w:top w:val="none" w:sz="0" w:space="0" w:color="auto"/>
            <w:left w:val="none" w:sz="0" w:space="0" w:color="auto"/>
            <w:bottom w:val="none" w:sz="0" w:space="0" w:color="auto"/>
            <w:right w:val="none" w:sz="0" w:space="0" w:color="auto"/>
          </w:divBdr>
        </w:div>
        <w:div w:id="1917322377">
          <w:marLeft w:val="567"/>
          <w:marRight w:val="567"/>
          <w:marTop w:val="20"/>
          <w:marBottom w:val="20"/>
          <w:divBdr>
            <w:top w:val="none" w:sz="0" w:space="0" w:color="auto"/>
            <w:left w:val="none" w:sz="0" w:space="0" w:color="auto"/>
            <w:bottom w:val="none" w:sz="0" w:space="0" w:color="auto"/>
            <w:right w:val="none" w:sz="0" w:space="0" w:color="auto"/>
          </w:divBdr>
        </w:div>
        <w:div w:id="2020813544">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604074602">
      <w:bodyDiv w:val="1"/>
      <w:marLeft w:val="0"/>
      <w:marRight w:val="0"/>
      <w:marTop w:val="0"/>
      <w:marBottom w:val="0"/>
      <w:divBdr>
        <w:top w:val="none" w:sz="0" w:space="0" w:color="auto"/>
        <w:left w:val="none" w:sz="0" w:space="0" w:color="auto"/>
        <w:bottom w:val="none" w:sz="0" w:space="0" w:color="auto"/>
        <w:right w:val="none" w:sz="0" w:space="0" w:color="auto"/>
      </w:divBdr>
    </w:div>
    <w:div w:id="696738843">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587570539">
      <w:bodyDiv w:val="1"/>
      <w:marLeft w:val="0"/>
      <w:marRight w:val="0"/>
      <w:marTop w:val="0"/>
      <w:marBottom w:val="0"/>
      <w:divBdr>
        <w:top w:val="none" w:sz="0" w:space="0" w:color="auto"/>
        <w:left w:val="none" w:sz="0" w:space="0" w:color="auto"/>
        <w:bottom w:val="none" w:sz="0" w:space="0" w:color="auto"/>
        <w:right w:val="none" w:sz="0" w:space="0" w:color="auto"/>
      </w:divBdr>
      <w:divsChild>
        <w:div w:id="182087482">
          <w:marLeft w:val="675"/>
          <w:marRight w:val="0"/>
          <w:marTop w:val="0"/>
          <w:marBottom w:val="0"/>
          <w:divBdr>
            <w:top w:val="none" w:sz="0" w:space="0" w:color="auto"/>
            <w:left w:val="none" w:sz="0" w:space="0" w:color="auto"/>
            <w:bottom w:val="none" w:sz="0" w:space="0" w:color="auto"/>
            <w:right w:val="none" w:sz="0" w:space="0" w:color="auto"/>
          </w:divBdr>
        </w:div>
        <w:div w:id="211230294">
          <w:marLeft w:val="675"/>
          <w:marRight w:val="0"/>
          <w:marTop w:val="0"/>
          <w:marBottom w:val="0"/>
          <w:divBdr>
            <w:top w:val="none" w:sz="0" w:space="0" w:color="auto"/>
            <w:left w:val="none" w:sz="0" w:space="0" w:color="auto"/>
            <w:bottom w:val="none" w:sz="0" w:space="0" w:color="auto"/>
            <w:right w:val="none" w:sz="0" w:space="0" w:color="auto"/>
          </w:divBdr>
        </w:div>
        <w:div w:id="890920715">
          <w:marLeft w:val="675"/>
          <w:marRight w:val="0"/>
          <w:marTop w:val="0"/>
          <w:marBottom w:val="0"/>
          <w:divBdr>
            <w:top w:val="none" w:sz="0" w:space="0" w:color="auto"/>
            <w:left w:val="none" w:sz="0" w:space="0" w:color="auto"/>
            <w:bottom w:val="none" w:sz="0" w:space="0" w:color="auto"/>
            <w:right w:val="none" w:sz="0" w:space="0" w:color="auto"/>
          </w:divBdr>
        </w:div>
        <w:div w:id="1291858439">
          <w:marLeft w:val="675"/>
          <w:marRight w:val="0"/>
          <w:marTop w:val="0"/>
          <w:marBottom w:val="0"/>
          <w:divBdr>
            <w:top w:val="none" w:sz="0" w:space="0" w:color="auto"/>
            <w:left w:val="none" w:sz="0" w:space="0" w:color="auto"/>
            <w:bottom w:val="none" w:sz="0" w:space="0" w:color="auto"/>
            <w:right w:val="none" w:sz="0" w:space="0" w:color="auto"/>
          </w:divBdr>
        </w:div>
        <w:div w:id="1309630420">
          <w:marLeft w:val="675"/>
          <w:marRight w:val="0"/>
          <w:marTop w:val="0"/>
          <w:marBottom w:val="0"/>
          <w:divBdr>
            <w:top w:val="none" w:sz="0" w:space="0" w:color="auto"/>
            <w:left w:val="none" w:sz="0" w:space="0" w:color="auto"/>
            <w:bottom w:val="none" w:sz="0" w:space="0" w:color="auto"/>
            <w:right w:val="none" w:sz="0" w:space="0" w:color="auto"/>
          </w:divBdr>
        </w:div>
        <w:div w:id="1329602963">
          <w:marLeft w:val="675"/>
          <w:marRight w:val="0"/>
          <w:marTop w:val="0"/>
          <w:marBottom w:val="0"/>
          <w:divBdr>
            <w:top w:val="none" w:sz="0" w:space="0" w:color="auto"/>
            <w:left w:val="none" w:sz="0" w:space="0" w:color="auto"/>
            <w:bottom w:val="none" w:sz="0" w:space="0" w:color="auto"/>
            <w:right w:val="none" w:sz="0" w:space="0" w:color="auto"/>
          </w:divBdr>
        </w:div>
        <w:div w:id="1638492141">
          <w:marLeft w:val="675"/>
          <w:marRight w:val="0"/>
          <w:marTop w:val="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54155600">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 w:id="212645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za/legis/consol_act/ca2008107/" TargetMode="External"/><Relationship Id="rId4" Type="http://schemas.openxmlformats.org/officeDocument/2006/relationships/settings" Target="settings.xml"/><Relationship Id="rId9" Type="http://schemas.openxmlformats.org/officeDocument/2006/relationships/hyperlink" Target="http://www.saflii.org/za/legis/consol_act/ca200810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1973v1SApg17" TargetMode="External"/><Relationship Id="rId3" Type="http://schemas.openxmlformats.org/officeDocument/2006/relationships/hyperlink" Target="https://app.jutastatevolve.co.za/y2007v3SApg266" TargetMode="External"/><Relationship Id="rId7" Type="http://schemas.openxmlformats.org/officeDocument/2006/relationships/hyperlink" Target="https://app.jutastatevolve.co.za/y1968v1SApg7" TargetMode="External"/><Relationship Id="rId2" Type="http://schemas.openxmlformats.org/officeDocument/2006/relationships/hyperlink" Target="https://app.jutastatevolve.co.za/y1925ADpg282" TargetMode="External"/><Relationship Id="rId1" Type="http://schemas.openxmlformats.org/officeDocument/2006/relationships/hyperlink" Target="https://app.jutastatevolve.co.za/y1942ADpg244" TargetMode="External"/><Relationship Id="rId6" Type="http://schemas.openxmlformats.org/officeDocument/2006/relationships/hyperlink" Target="https://app.jutastatevolve.co.za/y1993v3SApg946" TargetMode="External"/><Relationship Id="rId5" Type="http://schemas.openxmlformats.org/officeDocument/2006/relationships/hyperlink" Target="https://app.jutastatevolve.co.za/y1959v2SApg478" TargetMode="External"/><Relationship Id="rId4" Type="http://schemas.openxmlformats.org/officeDocument/2006/relationships/hyperlink" Target="https://app.jutastatevolve.co.za/y2009v4SApg5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5FA8-F41A-4064-BA08-710BED55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4</TotalTime>
  <Pages>34</Pages>
  <Words>6758</Words>
  <Characters>38522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45190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3</cp:revision>
  <cp:lastPrinted>2022-10-16T13:46:00Z</cp:lastPrinted>
  <dcterms:created xsi:type="dcterms:W3CDTF">2022-10-21T07:59:00Z</dcterms:created>
  <dcterms:modified xsi:type="dcterms:W3CDTF">2022-10-21T08:03:00Z</dcterms:modified>
</cp:coreProperties>
</file>