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rsidP="001A767B">
      <w:pPr>
        <w:spacing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rsidP="001A767B">
      <w:pPr>
        <w:spacing w:line="360" w:lineRule="auto"/>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45FA063" w14:textId="422DE013" w:rsidR="00D8146A" w:rsidRDefault="004261BB" w:rsidP="001A767B">
      <w:pPr>
        <w:spacing w:line="360" w:lineRule="auto"/>
        <w:ind w:left="720" w:firstLine="720"/>
        <w:jc w:val="right"/>
        <w:rPr>
          <w:rFonts w:ascii="Arial" w:eastAsia="Times New Roman" w:hAnsi="Arial" w:cs="Arial"/>
          <w:b/>
          <w:sz w:val="24"/>
          <w:szCs w:val="24"/>
        </w:rPr>
      </w:pPr>
      <w:r>
        <w:rPr>
          <w:rFonts w:ascii="Arial" w:eastAsia="Times New Roman" w:hAnsi="Arial" w:cs="Arial"/>
          <w:b/>
          <w:sz w:val="24"/>
          <w:szCs w:val="24"/>
        </w:rPr>
        <w:t xml:space="preserve">CASE NO: </w:t>
      </w:r>
      <w:r w:rsidR="00B03CFB">
        <w:rPr>
          <w:rFonts w:ascii="Arial" w:eastAsia="Times New Roman" w:hAnsi="Arial" w:cs="Arial"/>
          <w:b/>
          <w:sz w:val="24"/>
          <w:szCs w:val="24"/>
        </w:rPr>
        <w:t>30927/2020</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1E15E261" w:rsidR="00066D1C" w:rsidRDefault="006B6EE9" w:rsidP="006B6EE9">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95A5A">
                              <w:rPr>
                                <w:rFonts w:ascii="Century Gothic" w:hAnsi="Century Gothic"/>
                                <w:sz w:val="20"/>
                                <w:szCs w:val="20"/>
                              </w:rPr>
                              <w:t>NOT REPORTABLE</w:t>
                            </w:r>
                          </w:p>
                          <w:p w14:paraId="588B7687" w14:textId="044D21CA" w:rsidR="00AA36D1" w:rsidRDefault="006B6EE9" w:rsidP="006B6EE9">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95A5A">
                              <w:rPr>
                                <w:rFonts w:ascii="Century Gothic" w:hAnsi="Century Gothic"/>
                                <w:sz w:val="20"/>
                                <w:szCs w:val="20"/>
                              </w:rPr>
                              <w:t xml:space="preserve">NOT </w:t>
                            </w:r>
                            <w:r w:rsidR="00AA36D1">
                              <w:rPr>
                                <w:rFonts w:ascii="Century Gothic" w:hAnsi="Century Gothic"/>
                                <w:sz w:val="20"/>
                                <w:szCs w:val="20"/>
                              </w:rPr>
                              <w:t xml:space="preserve">OF </w:t>
                            </w:r>
                            <w:r w:rsidR="00D65F2D">
                              <w:rPr>
                                <w:rFonts w:ascii="Century Gothic" w:hAnsi="Century Gothic"/>
                                <w:sz w:val="20"/>
                                <w:szCs w:val="20"/>
                              </w:rPr>
                              <w:t>INTEREST TO OTHER JUDGE</w:t>
                            </w:r>
                            <w:r w:rsidR="00D95A5A">
                              <w:rPr>
                                <w:rFonts w:ascii="Century Gothic" w:hAnsi="Century Gothic"/>
                                <w:sz w:val="20"/>
                                <w:szCs w:val="20"/>
                              </w:rPr>
                              <w:t>S</w:t>
                            </w:r>
                          </w:p>
                          <w:p w14:paraId="06C26154" w14:textId="2C95A7A5" w:rsidR="00D65F2D" w:rsidRPr="00AA36D1" w:rsidRDefault="006B6EE9" w:rsidP="006B6EE9">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95A5A">
                              <w:rPr>
                                <w:rFonts w:ascii="Century Gothic" w:hAnsi="Century Gothic"/>
                                <w:sz w:val="20"/>
                                <w:szCs w:val="20"/>
                              </w:rPr>
                              <w:t xml:space="preserve">NOT </w:t>
                            </w:r>
                            <w:r w:rsidR="00D65F2D">
                              <w:rPr>
                                <w:rFonts w:ascii="Century Gothic" w:hAnsi="Century Gothic"/>
                                <w:sz w:val="20"/>
                                <w:szCs w:val="20"/>
                              </w:rPr>
                              <w:t>REVISED</w:t>
                            </w:r>
                          </w:p>
                          <w:p w14:paraId="540B07AB" w14:textId="3B78D425"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Pr="00D95A5A">
                              <w:rPr>
                                <w:rFonts w:ascii="Century Gothic" w:hAnsi="Century Gothic"/>
                                <w:sz w:val="18"/>
                                <w:szCs w:val="18"/>
                              </w:rPr>
                              <w:t xml:space="preserve"> </w:t>
                            </w:r>
                            <w:r w:rsidR="00D95A5A" w:rsidRPr="00D95A5A">
                              <w:rPr>
                                <w:rFonts w:ascii="Century Gothic" w:hAnsi="Century Gothic"/>
                                <w:sz w:val="20"/>
                                <w:szCs w:val="20"/>
                              </w:rPr>
                              <w:t>14</w:t>
                            </w:r>
                            <w:r w:rsidR="008838F7">
                              <w:rPr>
                                <w:rFonts w:ascii="Century Gothic" w:hAnsi="Century Gothic"/>
                                <w:bCs/>
                                <w:sz w:val="20"/>
                                <w:szCs w:val="20"/>
                                <w:u w:val="single"/>
                              </w:rPr>
                              <w:t>/</w:t>
                            </w:r>
                            <w:r w:rsidR="00D95A5A">
                              <w:rPr>
                                <w:rFonts w:ascii="Century Gothic" w:hAnsi="Century Gothic"/>
                                <w:bCs/>
                                <w:sz w:val="20"/>
                                <w:szCs w:val="20"/>
                                <w:u w:val="single"/>
                              </w:rPr>
                              <w:t>10</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1E15E261" w:rsidR="00066D1C" w:rsidRDefault="006B6EE9" w:rsidP="006B6EE9">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95A5A">
                        <w:rPr>
                          <w:rFonts w:ascii="Century Gothic" w:hAnsi="Century Gothic"/>
                          <w:sz w:val="20"/>
                          <w:szCs w:val="20"/>
                        </w:rPr>
                        <w:t>NOT REPORTABLE</w:t>
                      </w:r>
                    </w:p>
                    <w:p w14:paraId="588B7687" w14:textId="044D21CA" w:rsidR="00AA36D1" w:rsidRDefault="006B6EE9" w:rsidP="006B6EE9">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95A5A">
                        <w:rPr>
                          <w:rFonts w:ascii="Century Gothic" w:hAnsi="Century Gothic"/>
                          <w:sz w:val="20"/>
                          <w:szCs w:val="20"/>
                        </w:rPr>
                        <w:t xml:space="preserve">NOT </w:t>
                      </w:r>
                      <w:r w:rsidR="00AA36D1">
                        <w:rPr>
                          <w:rFonts w:ascii="Century Gothic" w:hAnsi="Century Gothic"/>
                          <w:sz w:val="20"/>
                          <w:szCs w:val="20"/>
                        </w:rPr>
                        <w:t xml:space="preserve">OF </w:t>
                      </w:r>
                      <w:r w:rsidR="00D65F2D">
                        <w:rPr>
                          <w:rFonts w:ascii="Century Gothic" w:hAnsi="Century Gothic"/>
                          <w:sz w:val="20"/>
                          <w:szCs w:val="20"/>
                        </w:rPr>
                        <w:t>INTEREST TO OTHER JUDGE</w:t>
                      </w:r>
                      <w:r w:rsidR="00D95A5A">
                        <w:rPr>
                          <w:rFonts w:ascii="Century Gothic" w:hAnsi="Century Gothic"/>
                          <w:sz w:val="20"/>
                          <w:szCs w:val="20"/>
                        </w:rPr>
                        <w:t>S</w:t>
                      </w:r>
                    </w:p>
                    <w:p w14:paraId="06C26154" w14:textId="2C95A7A5" w:rsidR="00D65F2D" w:rsidRPr="00AA36D1" w:rsidRDefault="006B6EE9" w:rsidP="006B6EE9">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95A5A">
                        <w:rPr>
                          <w:rFonts w:ascii="Century Gothic" w:hAnsi="Century Gothic"/>
                          <w:sz w:val="20"/>
                          <w:szCs w:val="20"/>
                        </w:rPr>
                        <w:t xml:space="preserve">NOT </w:t>
                      </w:r>
                      <w:r w:rsidR="00D65F2D">
                        <w:rPr>
                          <w:rFonts w:ascii="Century Gothic" w:hAnsi="Century Gothic"/>
                          <w:sz w:val="20"/>
                          <w:szCs w:val="20"/>
                        </w:rPr>
                        <w:t>REVISED</w:t>
                      </w:r>
                    </w:p>
                    <w:p w14:paraId="540B07AB" w14:textId="3B78D425"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Pr="00D95A5A">
                        <w:rPr>
                          <w:rFonts w:ascii="Century Gothic" w:hAnsi="Century Gothic"/>
                          <w:sz w:val="18"/>
                          <w:szCs w:val="18"/>
                        </w:rPr>
                        <w:t xml:space="preserve"> </w:t>
                      </w:r>
                      <w:r w:rsidR="00D95A5A" w:rsidRPr="00D95A5A">
                        <w:rPr>
                          <w:rFonts w:ascii="Century Gothic" w:hAnsi="Century Gothic"/>
                          <w:sz w:val="20"/>
                          <w:szCs w:val="20"/>
                        </w:rPr>
                        <w:t>14</w:t>
                      </w:r>
                      <w:r w:rsidR="008838F7">
                        <w:rPr>
                          <w:rFonts w:ascii="Century Gothic" w:hAnsi="Century Gothic"/>
                          <w:bCs/>
                          <w:sz w:val="20"/>
                          <w:szCs w:val="20"/>
                          <w:u w:val="single"/>
                        </w:rPr>
                        <w:t>/</w:t>
                      </w:r>
                      <w:r w:rsidR="00D95A5A">
                        <w:rPr>
                          <w:rFonts w:ascii="Century Gothic" w:hAnsi="Century Gothic"/>
                          <w:bCs/>
                          <w:sz w:val="20"/>
                          <w:szCs w:val="20"/>
                          <w:u w:val="single"/>
                        </w:rPr>
                        <w:t>10</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5E3996BF" w14:textId="4132C79B" w:rsidR="00D8146A" w:rsidRDefault="00D8146A">
      <w:pPr>
        <w:rPr>
          <w:rFonts w:ascii="Arial" w:eastAsia="Times New Roman" w:hAnsi="Arial" w:cs="Arial"/>
          <w:sz w:val="24"/>
          <w:szCs w:val="24"/>
        </w:rPr>
      </w:pPr>
    </w:p>
    <w:tbl>
      <w:tblPr>
        <w:tblW w:w="0" w:type="auto"/>
        <w:tblLook w:val="01E0" w:firstRow="1" w:lastRow="1" w:firstColumn="1" w:lastColumn="1" w:noHBand="0" w:noVBand="0"/>
      </w:tblPr>
      <w:tblGrid>
        <w:gridCol w:w="5596"/>
        <w:gridCol w:w="2696"/>
      </w:tblGrid>
      <w:tr w:rsidR="00B03CFB" w:rsidRPr="00B7621F" w14:paraId="311F66E5" w14:textId="77777777" w:rsidTr="00413D1E">
        <w:tc>
          <w:tcPr>
            <w:tcW w:w="5596" w:type="dxa"/>
            <w:hideMark/>
          </w:tcPr>
          <w:p w14:paraId="196E4466" w14:textId="77777777" w:rsidR="00B03CFB" w:rsidRPr="00B7621F" w:rsidRDefault="00B03CFB" w:rsidP="001A767B">
            <w:pPr>
              <w:spacing w:before="120" w:after="120" w:line="360" w:lineRule="auto"/>
              <w:rPr>
                <w:rFonts w:ascii="Arial" w:hAnsi="Arial" w:cs="Arial"/>
                <w:b/>
              </w:rPr>
            </w:pPr>
            <w:r w:rsidRPr="00B7621F">
              <w:rPr>
                <w:rFonts w:ascii="Arial" w:hAnsi="Arial" w:cs="Arial"/>
                <w:b/>
              </w:rPr>
              <w:t>FIRSTRAND BANK LIMITED</w:t>
            </w:r>
          </w:p>
        </w:tc>
        <w:tc>
          <w:tcPr>
            <w:tcW w:w="2696" w:type="dxa"/>
          </w:tcPr>
          <w:p w14:paraId="3642BAA6" w14:textId="77777777" w:rsidR="00B03CFB" w:rsidRPr="00B7621F" w:rsidRDefault="00B03CFB" w:rsidP="001A767B">
            <w:pPr>
              <w:spacing w:before="120" w:after="120" w:line="360" w:lineRule="auto"/>
              <w:jc w:val="right"/>
              <w:rPr>
                <w:rFonts w:ascii="Arial" w:hAnsi="Arial" w:cs="Arial"/>
              </w:rPr>
            </w:pPr>
            <w:r w:rsidRPr="00B7621F">
              <w:rPr>
                <w:rFonts w:ascii="Arial" w:hAnsi="Arial" w:cs="Arial"/>
              </w:rPr>
              <w:t>Applicant</w:t>
            </w:r>
          </w:p>
          <w:p w14:paraId="38FF319F" w14:textId="77777777" w:rsidR="00B03CFB" w:rsidRPr="00B7621F" w:rsidRDefault="00B03CFB" w:rsidP="001A767B">
            <w:pPr>
              <w:spacing w:before="120" w:after="120" w:line="360" w:lineRule="auto"/>
              <w:jc w:val="right"/>
              <w:rPr>
                <w:rFonts w:ascii="Arial" w:hAnsi="Arial" w:cs="Arial"/>
              </w:rPr>
            </w:pPr>
          </w:p>
        </w:tc>
      </w:tr>
      <w:tr w:rsidR="00B03CFB" w:rsidRPr="00B7621F" w14:paraId="451A8B48" w14:textId="77777777" w:rsidTr="00413D1E">
        <w:tc>
          <w:tcPr>
            <w:tcW w:w="5596" w:type="dxa"/>
          </w:tcPr>
          <w:p w14:paraId="1CBB39A2" w14:textId="77777777" w:rsidR="00B03CFB" w:rsidRPr="00B7621F" w:rsidRDefault="00B03CFB" w:rsidP="001A767B">
            <w:pPr>
              <w:spacing w:before="120" w:after="120" w:line="360" w:lineRule="auto"/>
              <w:rPr>
                <w:rFonts w:ascii="Arial" w:hAnsi="Arial" w:cs="Arial"/>
              </w:rPr>
            </w:pPr>
            <w:r w:rsidRPr="00B7621F">
              <w:rPr>
                <w:rFonts w:ascii="Arial" w:hAnsi="Arial" w:cs="Arial"/>
              </w:rPr>
              <w:t>And</w:t>
            </w:r>
          </w:p>
        </w:tc>
        <w:tc>
          <w:tcPr>
            <w:tcW w:w="2696" w:type="dxa"/>
          </w:tcPr>
          <w:p w14:paraId="559EB88B" w14:textId="77777777" w:rsidR="00B03CFB" w:rsidRPr="00B7621F" w:rsidRDefault="00B03CFB" w:rsidP="001A767B">
            <w:pPr>
              <w:spacing w:before="120" w:after="120" w:line="360" w:lineRule="auto"/>
              <w:jc w:val="right"/>
              <w:rPr>
                <w:rFonts w:ascii="Arial" w:hAnsi="Arial" w:cs="Arial"/>
              </w:rPr>
            </w:pPr>
          </w:p>
        </w:tc>
      </w:tr>
      <w:tr w:rsidR="00B03CFB" w:rsidRPr="00B7621F" w14:paraId="0333B8AB" w14:textId="77777777" w:rsidTr="00413D1E">
        <w:tc>
          <w:tcPr>
            <w:tcW w:w="5596" w:type="dxa"/>
            <w:hideMark/>
          </w:tcPr>
          <w:p w14:paraId="265E1A61" w14:textId="77777777" w:rsidR="00B03CFB" w:rsidRPr="00B7621F" w:rsidRDefault="00B03CFB" w:rsidP="001A767B">
            <w:pPr>
              <w:spacing w:before="120" w:after="120" w:line="360" w:lineRule="auto"/>
              <w:rPr>
                <w:rFonts w:ascii="Arial" w:hAnsi="Arial" w:cs="Arial"/>
                <w:b/>
                <w:bCs/>
              </w:rPr>
            </w:pPr>
            <w:r w:rsidRPr="00B7621F">
              <w:rPr>
                <w:rFonts w:ascii="Arial" w:hAnsi="Arial" w:cs="Arial"/>
                <w:b/>
                <w:bCs/>
              </w:rPr>
              <w:t>SCHEEPERS, MARTHINUS JACOBUS</w:t>
            </w:r>
          </w:p>
        </w:tc>
        <w:tc>
          <w:tcPr>
            <w:tcW w:w="2696" w:type="dxa"/>
            <w:hideMark/>
          </w:tcPr>
          <w:p w14:paraId="0326D12F" w14:textId="77777777" w:rsidR="00B03CFB" w:rsidRPr="00B7621F" w:rsidRDefault="00B03CFB" w:rsidP="001A767B">
            <w:pPr>
              <w:spacing w:before="120" w:after="120" w:line="360" w:lineRule="auto"/>
              <w:jc w:val="right"/>
              <w:rPr>
                <w:rFonts w:ascii="Arial" w:hAnsi="Arial" w:cs="Arial"/>
              </w:rPr>
            </w:pPr>
            <w:r w:rsidRPr="00B7621F">
              <w:rPr>
                <w:rFonts w:ascii="Arial" w:hAnsi="Arial" w:cs="Arial"/>
              </w:rPr>
              <w:t xml:space="preserve">First Respondent </w:t>
            </w:r>
          </w:p>
        </w:tc>
      </w:tr>
      <w:tr w:rsidR="00B03CFB" w:rsidRPr="00B7621F" w14:paraId="0A09DB35" w14:textId="77777777" w:rsidTr="00413D1E">
        <w:tc>
          <w:tcPr>
            <w:tcW w:w="5596" w:type="dxa"/>
            <w:hideMark/>
          </w:tcPr>
          <w:p w14:paraId="72401B43" w14:textId="77777777" w:rsidR="00B03CFB" w:rsidRPr="00B7621F" w:rsidRDefault="00B03CFB" w:rsidP="001A767B">
            <w:pPr>
              <w:spacing w:before="120" w:after="120" w:line="360" w:lineRule="auto"/>
              <w:rPr>
                <w:rFonts w:ascii="Arial" w:hAnsi="Arial" w:cs="Arial"/>
                <w:b/>
              </w:rPr>
            </w:pPr>
            <w:r w:rsidRPr="00B7621F">
              <w:rPr>
                <w:rFonts w:ascii="Arial" w:hAnsi="Arial" w:cs="Arial"/>
                <w:b/>
              </w:rPr>
              <w:t>SCHEEPERS, ANDRIES</w:t>
            </w:r>
          </w:p>
        </w:tc>
        <w:tc>
          <w:tcPr>
            <w:tcW w:w="2696" w:type="dxa"/>
            <w:hideMark/>
          </w:tcPr>
          <w:p w14:paraId="2062D173" w14:textId="77777777" w:rsidR="00B03CFB" w:rsidRPr="00B7621F" w:rsidRDefault="00B03CFB" w:rsidP="001A767B">
            <w:pPr>
              <w:spacing w:before="120" w:after="120" w:line="360" w:lineRule="auto"/>
              <w:jc w:val="right"/>
              <w:rPr>
                <w:rFonts w:ascii="Arial" w:hAnsi="Arial" w:cs="Arial"/>
              </w:rPr>
            </w:pPr>
            <w:r w:rsidRPr="00B7621F">
              <w:rPr>
                <w:rFonts w:ascii="Arial" w:hAnsi="Arial" w:cs="Arial"/>
              </w:rPr>
              <w:t>Second Respondent</w:t>
            </w:r>
          </w:p>
        </w:tc>
      </w:tr>
    </w:tbl>
    <w:p w14:paraId="4A38BBE1" w14:textId="6A7A4043" w:rsidR="001D3946" w:rsidRPr="001D3946" w:rsidRDefault="001D3946" w:rsidP="001A767B">
      <w:pPr>
        <w:pBdr>
          <w:bottom w:val="single" w:sz="12" w:space="1" w:color="auto"/>
        </w:pBdr>
        <w:spacing w:line="360" w:lineRule="auto"/>
        <w:jc w:val="both"/>
        <w:rPr>
          <w:rFonts w:ascii="Arial" w:hAnsi="Arial" w:cs="Arial"/>
          <w:b/>
          <w:sz w:val="24"/>
          <w:szCs w:val="24"/>
        </w:rPr>
      </w:pPr>
    </w:p>
    <w:p w14:paraId="7D8C8572" w14:textId="77777777" w:rsidR="00D8146A" w:rsidRDefault="00D8146A" w:rsidP="001A767B">
      <w:pPr>
        <w:spacing w:line="360" w:lineRule="auto"/>
        <w:rPr>
          <w:rFonts w:ascii="Arial" w:hAnsi="Arial" w:cs="Arial"/>
          <w:b/>
          <w:sz w:val="24"/>
          <w:szCs w:val="24"/>
          <w:u w:val="single"/>
        </w:rPr>
      </w:pPr>
    </w:p>
    <w:p w14:paraId="12E85709" w14:textId="220F9DF8" w:rsidR="00D8146A" w:rsidRDefault="00BC1597" w:rsidP="001A767B">
      <w:pPr>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14:paraId="765FA80B" w14:textId="77777777" w:rsidR="00D8146A" w:rsidRDefault="00D8146A" w:rsidP="001A767B">
      <w:pPr>
        <w:pBdr>
          <w:bottom w:val="single" w:sz="12" w:space="1" w:color="auto"/>
        </w:pBdr>
        <w:spacing w:line="360" w:lineRule="auto"/>
        <w:jc w:val="center"/>
        <w:rPr>
          <w:rFonts w:ascii="Arial" w:hAnsi="Arial" w:cs="Arial"/>
          <w:b/>
          <w:sz w:val="24"/>
          <w:szCs w:val="24"/>
        </w:rPr>
      </w:pPr>
    </w:p>
    <w:p w14:paraId="2B12967E" w14:textId="77777777" w:rsidR="00D65F2D" w:rsidRDefault="00D65F2D" w:rsidP="001A767B">
      <w:pPr>
        <w:spacing w:line="360" w:lineRule="auto"/>
        <w:rPr>
          <w:rFonts w:ascii="Arial" w:hAnsi="Arial" w:cs="Arial"/>
          <w:b/>
          <w:sz w:val="24"/>
          <w:szCs w:val="24"/>
        </w:rPr>
      </w:pPr>
    </w:p>
    <w:p w14:paraId="0161EC8E" w14:textId="43C1E39F" w:rsidR="00D8146A" w:rsidRPr="00D65F2D" w:rsidRDefault="005B39C1" w:rsidP="001A767B">
      <w:pPr>
        <w:spacing w:line="360" w:lineRule="auto"/>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7637F486" w14:textId="5E1A28A2" w:rsidR="001A767B"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F6B14" w:rsidRPr="006B6EE9">
        <w:rPr>
          <w:rFonts w:ascii="Arial" w:hAnsi="Arial" w:cs="Arial"/>
          <w:sz w:val="24"/>
          <w:szCs w:val="24"/>
          <w:lang w:val="en-US"/>
        </w:rPr>
        <w:t xml:space="preserve">The applicant seeks payment from the respondents to a maximum of R1,5 million each, in respect of debt incurred by a company in liquidation, </w:t>
      </w:r>
      <w:proofErr w:type="spellStart"/>
      <w:r w:rsidR="00DF6B14" w:rsidRPr="006B6EE9">
        <w:rPr>
          <w:rFonts w:ascii="Arial" w:hAnsi="Arial" w:cs="Arial"/>
          <w:sz w:val="24"/>
          <w:szCs w:val="24"/>
          <w:lang w:val="en-US"/>
        </w:rPr>
        <w:t>Anmarkati</w:t>
      </w:r>
      <w:proofErr w:type="spellEnd"/>
      <w:r w:rsidR="00DF6B14" w:rsidRPr="006B6EE9">
        <w:rPr>
          <w:rFonts w:ascii="Arial" w:hAnsi="Arial" w:cs="Arial"/>
          <w:sz w:val="24"/>
          <w:szCs w:val="24"/>
          <w:lang w:val="en-US"/>
        </w:rPr>
        <w:t xml:space="preserve"> </w:t>
      </w:r>
      <w:proofErr w:type="spellStart"/>
      <w:r w:rsidR="00D46B64" w:rsidRPr="006B6EE9">
        <w:rPr>
          <w:rFonts w:ascii="Arial" w:hAnsi="Arial" w:cs="Arial"/>
          <w:sz w:val="24"/>
          <w:szCs w:val="24"/>
          <w:lang w:val="en-US"/>
        </w:rPr>
        <w:t>Verspreiders</w:t>
      </w:r>
      <w:r w:rsidR="00DF6B14" w:rsidRPr="006B6EE9">
        <w:rPr>
          <w:rFonts w:ascii="Arial" w:hAnsi="Arial" w:cs="Arial"/>
          <w:sz w:val="24"/>
          <w:szCs w:val="24"/>
          <w:lang w:val="en-US"/>
        </w:rPr>
        <w:t>CC</w:t>
      </w:r>
      <w:proofErr w:type="spellEnd"/>
      <w:r w:rsidR="00DF6B14" w:rsidRPr="006B6EE9">
        <w:rPr>
          <w:rFonts w:ascii="Arial" w:hAnsi="Arial" w:cs="Arial"/>
          <w:sz w:val="24"/>
          <w:szCs w:val="24"/>
          <w:lang w:val="en-US"/>
        </w:rPr>
        <w:t xml:space="preserve">, for which the </w:t>
      </w:r>
      <w:proofErr w:type="gramStart"/>
      <w:r w:rsidR="00DF6B14" w:rsidRPr="006B6EE9">
        <w:rPr>
          <w:rFonts w:ascii="Arial" w:hAnsi="Arial" w:cs="Arial"/>
          <w:sz w:val="24"/>
          <w:szCs w:val="24"/>
          <w:lang w:val="en-US"/>
        </w:rPr>
        <w:t>respondents</w:t>
      </w:r>
      <w:proofErr w:type="gramEnd"/>
      <w:r w:rsidR="00DF6B14" w:rsidRPr="006B6EE9">
        <w:rPr>
          <w:rFonts w:ascii="Arial" w:hAnsi="Arial" w:cs="Arial"/>
          <w:sz w:val="24"/>
          <w:szCs w:val="24"/>
          <w:lang w:val="en-US"/>
        </w:rPr>
        <w:t xml:space="preserve"> stood surety</w:t>
      </w:r>
      <w:r w:rsidR="0012115A" w:rsidRPr="006B6EE9">
        <w:rPr>
          <w:rFonts w:ascii="Arial" w:hAnsi="Arial" w:cs="Arial"/>
          <w:sz w:val="24"/>
          <w:szCs w:val="24"/>
          <w:lang w:val="en-US"/>
        </w:rPr>
        <w:t xml:space="preserve"> to a maximum of R1,5 million each</w:t>
      </w:r>
      <w:r w:rsidR="00DF6B14" w:rsidRPr="006B6EE9">
        <w:rPr>
          <w:rFonts w:ascii="Arial" w:hAnsi="Arial" w:cs="Arial"/>
          <w:sz w:val="24"/>
          <w:szCs w:val="24"/>
          <w:lang w:val="en-US"/>
        </w:rPr>
        <w:t>.</w:t>
      </w:r>
    </w:p>
    <w:p w14:paraId="25210DE7" w14:textId="55250575" w:rsidR="00DF6B14"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DF6B14" w:rsidRPr="006B6EE9">
        <w:rPr>
          <w:rFonts w:ascii="Arial" w:hAnsi="Arial" w:cs="Arial"/>
          <w:sz w:val="24"/>
          <w:szCs w:val="24"/>
          <w:lang w:val="en-US"/>
        </w:rPr>
        <w:t>The respondents oppose the application on the basi</w:t>
      </w:r>
      <w:r w:rsidR="00D46B64" w:rsidRPr="006B6EE9">
        <w:rPr>
          <w:rFonts w:ascii="Arial" w:hAnsi="Arial" w:cs="Arial"/>
          <w:sz w:val="24"/>
          <w:szCs w:val="24"/>
          <w:lang w:val="en-US"/>
        </w:rPr>
        <w:t>s that:</w:t>
      </w:r>
    </w:p>
    <w:p w14:paraId="154CBE32" w14:textId="02114990" w:rsidR="00D46B64" w:rsidRPr="006B6EE9" w:rsidRDefault="006B6EE9" w:rsidP="006B6EE9">
      <w:pPr>
        <w:spacing w:after="200" w:line="360" w:lineRule="auto"/>
        <w:ind w:left="792" w:right="27" w:hanging="432"/>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D46B64" w:rsidRPr="006B6EE9">
        <w:rPr>
          <w:rFonts w:ascii="Arial" w:hAnsi="Arial" w:cs="Arial"/>
          <w:sz w:val="24"/>
          <w:szCs w:val="24"/>
          <w:lang w:val="en-US"/>
        </w:rPr>
        <w:t xml:space="preserve">the applicant has levied a higher interest rate than </w:t>
      </w:r>
      <w:proofErr w:type="gramStart"/>
      <w:r w:rsidR="00D46B64" w:rsidRPr="006B6EE9">
        <w:rPr>
          <w:rFonts w:ascii="Arial" w:hAnsi="Arial" w:cs="Arial"/>
          <w:sz w:val="24"/>
          <w:szCs w:val="24"/>
          <w:lang w:val="en-US"/>
        </w:rPr>
        <w:t>agreed;</w:t>
      </w:r>
      <w:proofErr w:type="gramEnd"/>
    </w:p>
    <w:p w14:paraId="3ABFA3DB" w14:textId="7CB706C9" w:rsidR="00D46B64" w:rsidRPr="006B6EE9" w:rsidRDefault="006B6EE9" w:rsidP="006B6EE9">
      <w:pPr>
        <w:spacing w:after="200" w:line="360" w:lineRule="auto"/>
        <w:ind w:left="792" w:right="27" w:hanging="432"/>
        <w:jc w:val="both"/>
        <w:rPr>
          <w:rFonts w:ascii="Arial" w:hAnsi="Arial" w:cs="Arial"/>
          <w:sz w:val="24"/>
          <w:szCs w:val="24"/>
          <w:lang w:val="en-US"/>
        </w:rPr>
      </w:pPr>
      <w:r>
        <w:rPr>
          <w:rFonts w:ascii="Arial" w:hAnsi="Arial" w:cs="Arial"/>
          <w:sz w:val="24"/>
          <w:szCs w:val="24"/>
          <w:lang w:val="en-US"/>
        </w:rPr>
        <w:lastRenderedPageBreak/>
        <w:t>2.2.</w:t>
      </w:r>
      <w:r>
        <w:rPr>
          <w:rFonts w:ascii="Arial" w:hAnsi="Arial" w:cs="Arial"/>
          <w:sz w:val="24"/>
          <w:szCs w:val="24"/>
          <w:lang w:val="en-US"/>
        </w:rPr>
        <w:tab/>
      </w:r>
      <w:r w:rsidR="00D46B64" w:rsidRPr="006B6EE9">
        <w:rPr>
          <w:rFonts w:ascii="Arial" w:hAnsi="Arial" w:cs="Arial"/>
          <w:sz w:val="24"/>
          <w:szCs w:val="24"/>
          <w:lang w:val="en-US"/>
        </w:rPr>
        <w:t xml:space="preserve">the applicant claims for unlawful </w:t>
      </w:r>
      <w:proofErr w:type="gramStart"/>
      <w:r w:rsidR="00D46B64" w:rsidRPr="006B6EE9">
        <w:rPr>
          <w:rFonts w:ascii="Arial" w:hAnsi="Arial" w:cs="Arial"/>
          <w:sz w:val="24"/>
          <w:szCs w:val="24"/>
          <w:lang w:val="en-US"/>
        </w:rPr>
        <w:t>charges</w:t>
      </w:r>
      <w:r w:rsidR="00B160A2" w:rsidRPr="006B6EE9">
        <w:rPr>
          <w:rFonts w:ascii="Arial" w:hAnsi="Arial" w:cs="Arial"/>
          <w:sz w:val="24"/>
          <w:szCs w:val="24"/>
          <w:lang w:val="en-US"/>
        </w:rPr>
        <w:t>;</w:t>
      </w:r>
      <w:proofErr w:type="gramEnd"/>
    </w:p>
    <w:p w14:paraId="48CD282F" w14:textId="753E7538" w:rsidR="00D46B64" w:rsidRPr="006B6EE9" w:rsidRDefault="006B6EE9" w:rsidP="006B6EE9">
      <w:pPr>
        <w:spacing w:after="200" w:line="360" w:lineRule="auto"/>
        <w:ind w:left="792" w:right="27" w:hanging="432"/>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D46B64" w:rsidRPr="006B6EE9">
        <w:rPr>
          <w:rFonts w:ascii="Arial" w:hAnsi="Arial" w:cs="Arial"/>
          <w:sz w:val="24"/>
          <w:szCs w:val="24"/>
          <w:lang w:val="en-US"/>
        </w:rPr>
        <w:t>the balance is inconsis</w:t>
      </w:r>
      <w:r w:rsidR="00AA786D" w:rsidRPr="006B6EE9">
        <w:rPr>
          <w:rFonts w:ascii="Arial" w:hAnsi="Arial" w:cs="Arial"/>
          <w:sz w:val="24"/>
          <w:szCs w:val="24"/>
          <w:lang w:val="en-US"/>
        </w:rPr>
        <w:t>tent in different documents, and</w:t>
      </w:r>
    </w:p>
    <w:p w14:paraId="5CD3000A" w14:textId="22D54388" w:rsidR="00B160A2" w:rsidRPr="006B6EE9" w:rsidRDefault="006B6EE9" w:rsidP="006B6EE9">
      <w:pPr>
        <w:spacing w:after="200" w:line="360" w:lineRule="auto"/>
        <w:ind w:left="792" w:right="27" w:hanging="432"/>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B160A2" w:rsidRPr="006B6EE9">
        <w:rPr>
          <w:rFonts w:ascii="Arial" w:hAnsi="Arial" w:cs="Arial"/>
          <w:sz w:val="24"/>
          <w:szCs w:val="24"/>
          <w:lang w:val="en-US"/>
        </w:rPr>
        <w:t xml:space="preserve">the National Credit Act, 34 of 2005 (“the NCA”) </w:t>
      </w:r>
      <w:r w:rsidR="00AA786D" w:rsidRPr="006B6EE9">
        <w:rPr>
          <w:rFonts w:ascii="Arial" w:hAnsi="Arial" w:cs="Arial"/>
          <w:sz w:val="24"/>
          <w:szCs w:val="24"/>
          <w:lang w:val="en-US"/>
        </w:rPr>
        <w:t xml:space="preserve">is unconstitutional to the extent that it does not </w:t>
      </w:r>
      <w:r w:rsidR="00B160A2" w:rsidRPr="006B6EE9">
        <w:rPr>
          <w:rFonts w:ascii="Arial" w:hAnsi="Arial" w:cs="Arial"/>
          <w:sz w:val="24"/>
          <w:szCs w:val="24"/>
          <w:lang w:val="en-US"/>
        </w:rPr>
        <w:t>apply to the suretyships.</w:t>
      </w:r>
    </w:p>
    <w:p w14:paraId="3C3E54F7" w14:textId="1BACE812" w:rsidR="00D46B64"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46B64" w:rsidRPr="006B6EE9">
        <w:rPr>
          <w:rFonts w:ascii="Arial" w:hAnsi="Arial" w:cs="Arial"/>
          <w:sz w:val="24"/>
          <w:szCs w:val="24"/>
          <w:lang w:val="en-US"/>
        </w:rPr>
        <w:t>The respondents contend that the application should be referred to trial, alternatively dismissed. They have also brought an application to strike out</w:t>
      </w:r>
      <w:r w:rsidR="00EC793E" w:rsidRPr="006B6EE9">
        <w:rPr>
          <w:rFonts w:ascii="Arial" w:hAnsi="Arial" w:cs="Arial"/>
          <w:sz w:val="24"/>
          <w:szCs w:val="24"/>
          <w:lang w:val="en-US"/>
        </w:rPr>
        <w:t xml:space="preserve"> </w:t>
      </w:r>
      <w:r w:rsidR="000E07CF" w:rsidRPr="006B6EE9">
        <w:rPr>
          <w:rFonts w:ascii="Arial" w:hAnsi="Arial" w:cs="Arial"/>
          <w:sz w:val="24"/>
          <w:szCs w:val="24"/>
          <w:lang w:val="en-US"/>
        </w:rPr>
        <w:t xml:space="preserve">the whole </w:t>
      </w:r>
      <w:r w:rsidR="00EC793E" w:rsidRPr="006B6EE9">
        <w:rPr>
          <w:rFonts w:ascii="Arial" w:hAnsi="Arial" w:cs="Arial"/>
          <w:sz w:val="24"/>
          <w:szCs w:val="24"/>
          <w:lang w:val="en-US"/>
        </w:rPr>
        <w:t>of</w:t>
      </w:r>
      <w:r w:rsidR="00D46B64" w:rsidRPr="006B6EE9">
        <w:rPr>
          <w:rFonts w:ascii="Arial" w:hAnsi="Arial" w:cs="Arial"/>
          <w:sz w:val="24"/>
          <w:szCs w:val="24"/>
          <w:lang w:val="en-US"/>
        </w:rPr>
        <w:t xml:space="preserve"> the applicant’s replying affidavit on the basis that it is vexatious, scandalous and/or irrelevant.</w:t>
      </w:r>
      <w:r w:rsidR="0012115A" w:rsidRPr="006B6EE9">
        <w:rPr>
          <w:rFonts w:ascii="Arial" w:hAnsi="Arial" w:cs="Arial"/>
          <w:sz w:val="24"/>
          <w:szCs w:val="24"/>
          <w:lang w:val="en-US"/>
        </w:rPr>
        <w:t xml:space="preserve"> </w:t>
      </w:r>
    </w:p>
    <w:p w14:paraId="346EDD9E" w14:textId="3DDBF900" w:rsidR="0012115A"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EC793E" w:rsidRPr="006B6EE9">
        <w:rPr>
          <w:rFonts w:ascii="Arial" w:hAnsi="Arial" w:cs="Arial"/>
          <w:sz w:val="24"/>
          <w:szCs w:val="24"/>
          <w:lang w:val="en-US"/>
        </w:rPr>
        <w:t>The respondents also contend that the applicant should pay the costs of the application the applicant</w:t>
      </w:r>
      <w:r w:rsidR="000E07CF" w:rsidRPr="006B6EE9">
        <w:rPr>
          <w:rFonts w:ascii="Arial" w:hAnsi="Arial" w:cs="Arial"/>
          <w:sz w:val="24"/>
          <w:szCs w:val="24"/>
          <w:lang w:val="en-US"/>
        </w:rPr>
        <w:t xml:space="preserve"> brought to compel heads, and that they, the respondents, should not have to pay costs even if they are unsuccessful.</w:t>
      </w:r>
    </w:p>
    <w:p w14:paraId="38589182" w14:textId="13968273" w:rsidR="000E07CF"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0E07CF" w:rsidRPr="006B6EE9">
        <w:rPr>
          <w:rFonts w:ascii="Arial" w:hAnsi="Arial" w:cs="Arial"/>
          <w:sz w:val="24"/>
          <w:szCs w:val="24"/>
          <w:lang w:val="en-US"/>
        </w:rPr>
        <w:t xml:space="preserve">There are </w:t>
      </w:r>
      <w:proofErr w:type="gramStart"/>
      <w:r w:rsidR="000E07CF" w:rsidRPr="006B6EE9">
        <w:rPr>
          <w:rFonts w:ascii="Arial" w:hAnsi="Arial" w:cs="Arial"/>
          <w:sz w:val="24"/>
          <w:szCs w:val="24"/>
          <w:lang w:val="en-US"/>
        </w:rPr>
        <w:t>a number</w:t>
      </w:r>
      <w:r w:rsidR="00377A5F" w:rsidRPr="006B6EE9">
        <w:rPr>
          <w:rFonts w:ascii="Arial" w:hAnsi="Arial" w:cs="Arial"/>
          <w:sz w:val="24"/>
          <w:szCs w:val="24"/>
          <w:lang w:val="en-US"/>
        </w:rPr>
        <w:t xml:space="preserve"> of</w:t>
      </w:r>
      <w:proofErr w:type="gramEnd"/>
      <w:r w:rsidR="000E07CF" w:rsidRPr="006B6EE9">
        <w:rPr>
          <w:rFonts w:ascii="Arial" w:hAnsi="Arial" w:cs="Arial"/>
          <w:sz w:val="24"/>
          <w:szCs w:val="24"/>
          <w:lang w:val="en-US"/>
        </w:rPr>
        <w:t xml:space="preserve"> issues </w:t>
      </w:r>
      <w:r w:rsidR="00377A5F" w:rsidRPr="006B6EE9">
        <w:rPr>
          <w:rFonts w:ascii="Arial" w:hAnsi="Arial" w:cs="Arial"/>
          <w:sz w:val="24"/>
          <w:szCs w:val="24"/>
          <w:lang w:val="en-US"/>
        </w:rPr>
        <w:t xml:space="preserve">raised by the respondents </w:t>
      </w:r>
      <w:r w:rsidR="000E07CF" w:rsidRPr="006B6EE9">
        <w:rPr>
          <w:rFonts w:ascii="Arial" w:hAnsi="Arial" w:cs="Arial"/>
          <w:sz w:val="24"/>
          <w:szCs w:val="24"/>
          <w:lang w:val="en-US"/>
        </w:rPr>
        <w:t xml:space="preserve">which can be dealt with summarily and I proceed to do so before dealing with the striking out and the </w:t>
      </w:r>
      <w:proofErr w:type="spellStart"/>
      <w:r w:rsidR="000E07CF" w:rsidRPr="006B6EE9">
        <w:rPr>
          <w:rFonts w:ascii="Arial" w:hAnsi="Arial" w:cs="Arial"/>
          <w:sz w:val="24"/>
          <w:szCs w:val="24"/>
          <w:lang w:val="en-US"/>
        </w:rPr>
        <w:t>defences</w:t>
      </w:r>
      <w:proofErr w:type="spellEnd"/>
      <w:r w:rsidR="000E07CF" w:rsidRPr="006B6EE9">
        <w:rPr>
          <w:rFonts w:ascii="Arial" w:hAnsi="Arial" w:cs="Arial"/>
          <w:sz w:val="24"/>
          <w:szCs w:val="24"/>
          <w:lang w:val="en-US"/>
        </w:rPr>
        <w:t xml:space="preserve"> based on interest and charges.</w:t>
      </w:r>
    </w:p>
    <w:p w14:paraId="18B15DE0" w14:textId="41AF8349" w:rsidR="00377A5F" w:rsidRPr="00377A5F" w:rsidRDefault="00377A5F" w:rsidP="00377A5F">
      <w:pPr>
        <w:spacing w:after="200" w:line="360" w:lineRule="auto"/>
        <w:ind w:right="27"/>
        <w:jc w:val="both"/>
        <w:rPr>
          <w:rFonts w:ascii="Arial" w:hAnsi="Arial" w:cs="Arial"/>
          <w:b/>
          <w:sz w:val="24"/>
          <w:szCs w:val="24"/>
          <w:lang w:val="en-US"/>
        </w:rPr>
      </w:pPr>
      <w:r>
        <w:rPr>
          <w:rFonts w:ascii="Arial" w:hAnsi="Arial" w:cs="Arial"/>
          <w:b/>
          <w:sz w:val="24"/>
          <w:szCs w:val="24"/>
          <w:lang w:val="en-US"/>
        </w:rPr>
        <w:t>ISSUES NOT PURSUED OR NOT PROPERLY PLEADED</w:t>
      </w:r>
    </w:p>
    <w:p w14:paraId="51D1663E" w14:textId="56D26FDC" w:rsidR="00AA786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AA786D" w:rsidRPr="006B6EE9">
        <w:rPr>
          <w:rFonts w:ascii="Arial" w:hAnsi="Arial" w:cs="Arial"/>
          <w:sz w:val="24"/>
          <w:szCs w:val="24"/>
          <w:lang w:val="en-US"/>
        </w:rPr>
        <w:t xml:space="preserve">In the answering affidavit the respondents raised a point about the authority of the deponent to depose to the founding affidavit. Nobody needs authority to depose to an affidavit if they have knowledge of the relevant facts and authority to institute proceedings was not challenged, nor was a Rule 7 notice filed. There is no merit in that </w:t>
      </w:r>
      <w:proofErr w:type="gramStart"/>
      <w:r w:rsidR="00AA786D" w:rsidRPr="006B6EE9">
        <w:rPr>
          <w:rFonts w:ascii="Arial" w:hAnsi="Arial" w:cs="Arial"/>
          <w:sz w:val="24"/>
          <w:szCs w:val="24"/>
          <w:lang w:val="en-US"/>
        </w:rPr>
        <w:t>point</w:t>
      </w:r>
      <w:proofErr w:type="gramEnd"/>
      <w:r w:rsidR="00377A5F" w:rsidRPr="006B6EE9">
        <w:rPr>
          <w:rFonts w:ascii="Arial" w:hAnsi="Arial" w:cs="Arial"/>
          <w:sz w:val="24"/>
          <w:szCs w:val="24"/>
          <w:lang w:val="en-US"/>
        </w:rPr>
        <w:t xml:space="preserve"> and it was not pursued in argument</w:t>
      </w:r>
      <w:r w:rsidR="00AA786D" w:rsidRPr="006B6EE9">
        <w:rPr>
          <w:rFonts w:ascii="Arial" w:hAnsi="Arial" w:cs="Arial"/>
          <w:sz w:val="24"/>
          <w:szCs w:val="24"/>
          <w:lang w:val="en-US"/>
        </w:rPr>
        <w:t>.</w:t>
      </w:r>
    </w:p>
    <w:p w14:paraId="5F6616BF" w14:textId="77FE67F6" w:rsidR="00EC793E"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A786D" w:rsidRPr="006B6EE9">
        <w:rPr>
          <w:rFonts w:ascii="Arial" w:hAnsi="Arial" w:cs="Arial"/>
          <w:sz w:val="24"/>
          <w:szCs w:val="24"/>
          <w:lang w:val="en-US"/>
        </w:rPr>
        <w:t xml:space="preserve">In written argument it was submitted that the suretyship agreements are draconian and therefore unconstitutional. </w:t>
      </w:r>
      <w:proofErr w:type="gramStart"/>
      <w:r w:rsidR="00AA786D" w:rsidRPr="006B6EE9">
        <w:rPr>
          <w:rFonts w:ascii="Arial" w:hAnsi="Arial" w:cs="Arial"/>
          <w:sz w:val="24"/>
          <w:szCs w:val="24"/>
          <w:lang w:val="en-US"/>
        </w:rPr>
        <w:t>However</w:t>
      </w:r>
      <w:proofErr w:type="gramEnd"/>
      <w:r w:rsidR="00AA786D" w:rsidRPr="006B6EE9">
        <w:rPr>
          <w:rFonts w:ascii="Arial" w:hAnsi="Arial" w:cs="Arial"/>
          <w:sz w:val="24"/>
          <w:szCs w:val="24"/>
          <w:lang w:val="en-US"/>
        </w:rPr>
        <w:t xml:space="preserve"> this was not pleaded. The paragraphs referred to in the heads of argument do not deal with this issue and no substantive submissions on how the agreements are draconian were made. I do not consider that issue any further.</w:t>
      </w:r>
    </w:p>
    <w:p w14:paraId="79E57E60" w14:textId="3CBBA22F" w:rsidR="000E07CF"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0E07CF" w:rsidRPr="006B6EE9">
        <w:rPr>
          <w:rFonts w:ascii="Arial" w:hAnsi="Arial" w:cs="Arial"/>
          <w:sz w:val="24"/>
          <w:szCs w:val="24"/>
          <w:lang w:val="en-US"/>
        </w:rPr>
        <w:t>As far as the constitutionality of the NCA is concerned, r</w:t>
      </w:r>
      <w:r w:rsidR="00AA786D" w:rsidRPr="006B6EE9">
        <w:rPr>
          <w:rFonts w:ascii="Arial" w:hAnsi="Arial" w:cs="Arial"/>
          <w:sz w:val="24"/>
          <w:szCs w:val="24"/>
          <w:lang w:val="en-US"/>
        </w:rPr>
        <w:t xml:space="preserve">espondents’ counsel conceded in argument that the issue has been dealt with by the Supreme Court of Appeal in </w:t>
      </w:r>
      <w:r w:rsidR="00AA786D" w:rsidRPr="006B6EE9">
        <w:rPr>
          <w:rFonts w:ascii="Arial" w:hAnsi="Arial" w:cs="Arial"/>
          <w:i/>
          <w:sz w:val="24"/>
          <w:szCs w:val="24"/>
          <w:lang w:val="en-US"/>
        </w:rPr>
        <w:t>Shaw and Another v Mackintosh and Another</w:t>
      </w:r>
      <w:r w:rsidR="00AA786D" w:rsidRPr="006B6EE9">
        <w:rPr>
          <w:rFonts w:ascii="Arial" w:hAnsi="Arial" w:cs="Arial"/>
          <w:sz w:val="24"/>
          <w:szCs w:val="24"/>
          <w:lang w:val="en-US"/>
        </w:rPr>
        <w:t>,</w:t>
      </w:r>
      <w:r w:rsidR="00AA786D">
        <w:rPr>
          <w:rStyle w:val="FootnoteReference"/>
          <w:rFonts w:ascii="Arial" w:hAnsi="Arial" w:cs="Arial"/>
          <w:sz w:val="24"/>
          <w:szCs w:val="24"/>
          <w:lang w:val="en-US"/>
        </w:rPr>
        <w:footnoteReference w:id="1"/>
      </w:r>
      <w:r w:rsidR="00AA786D" w:rsidRPr="006B6EE9">
        <w:rPr>
          <w:rFonts w:ascii="Arial" w:hAnsi="Arial" w:cs="Arial"/>
          <w:sz w:val="24"/>
          <w:szCs w:val="24"/>
          <w:lang w:val="en-US"/>
        </w:rPr>
        <w:t xml:space="preserve"> in which the SCA </w:t>
      </w:r>
      <w:r w:rsidR="00AA786D" w:rsidRPr="006B6EE9">
        <w:rPr>
          <w:rFonts w:ascii="Arial" w:hAnsi="Arial" w:cs="Arial"/>
          <w:sz w:val="24"/>
          <w:szCs w:val="24"/>
          <w:lang w:val="en-US"/>
        </w:rPr>
        <w:lastRenderedPageBreak/>
        <w:t xml:space="preserve">confirmed that </w:t>
      </w:r>
      <w:r w:rsidR="000E07CF" w:rsidRPr="006B6EE9">
        <w:rPr>
          <w:rFonts w:ascii="Arial" w:hAnsi="Arial" w:cs="Arial"/>
          <w:sz w:val="24"/>
          <w:szCs w:val="24"/>
          <w:lang w:val="en-US"/>
        </w:rPr>
        <w:t xml:space="preserve">the NCA applies to a suretyship only if it applies to the main credit agreement. </w:t>
      </w:r>
    </w:p>
    <w:p w14:paraId="2F62612D" w14:textId="184D9B2C" w:rsidR="001A767B"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0E07CF" w:rsidRPr="006B6EE9">
        <w:rPr>
          <w:rFonts w:ascii="Arial" w:hAnsi="Arial" w:cs="Arial"/>
          <w:sz w:val="24"/>
          <w:szCs w:val="24"/>
          <w:lang w:val="en-US"/>
        </w:rPr>
        <w:t xml:space="preserve">The concession was not, in my view, properly made. The SCA did not consider the constitutionality of the </w:t>
      </w:r>
      <w:proofErr w:type="gramStart"/>
      <w:r w:rsidR="000E07CF" w:rsidRPr="006B6EE9">
        <w:rPr>
          <w:rFonts w:ascii="Arial" w:hAnsi="Arial" w:cs="Arial"/>
          <w:sz w:val="24"/>
          <w:szCs w:val="24"/>
          <w:lang w:val="en-US"/>
        </w:rPr>
        <w:t>NCA</w:t>
      </w:r>
      <w:proofErr w:type="gramEnd"/>
      <w:r w:rsidR="000E07CF" w:rsidRPr="006B6EE9">
        <w:rPr>
          <w:rFonts w:ascii="Arial" w:hAnsi="Arial" w:cs="Arial"/>
          <w:sz w:val="24"/>
          <w:szCs w:val="24"/>
          <w:lang w:val="en-US"/>
        </w:rPr>
        <w:t xml:space="preserve"> and it is not clear from the judgment whether the question was even raised in that matter. However, the respondents did not join the National Credit Regulator or the relevant Minister, nor did </w:t>
      </w:r>
      <w:r w:rsidR="00B06887" w:rsidRPr="006B6EE9">
        <w:rPr>
          <w:rFonts w:ascii="Arial" w:hAnsi="Arial" w:cs="Arial"/>
          <w:sz w:val="24"/>
          <w:szCs w:val="24"/>
          <w:lang w:val="en-US"/>
        </w:rPr>
        <w:t>they</w:t>
      </w:r>
      <w:r w:rsidR="000E07CF" w:rsidRPr="006B6EE9">
        <w:rPr>
          <w:rFonts w:ascii="Arial" w:hAnsi="Arial" w:cs="Arial"/>
          <w:sz w:val="24"/>
          <w:szCs w:val="24"/>
          <w:lang w:val="en-US"/>
        </w:rPr>
        <w:t xml:space="preserve"> file a Rule 16A notice</w:t>
      </w:r>
      <w:r w:rsidR="00B06887" w:rsidRPr="006B6EE9">
        <w:rPr>
          <w:rFonts w:ascii="Arial" w:hAnsi="Arial" w:cs="Arial"/>
          <w:sz w:val="24"/>
          <w:szCs w:val="24"/>
          <w:lang w:val="en-US"/>
        </w:rPr>
        <w:t>, despite being aware that they needed to do so</w:t>
      </w:r>
      <w:r w:rsidR="000E07CF" w:rsidRPr="006B6EE9">
        <w:rPr>
          <w:rFonts w:ascii="Arial" w:hAnsi="Arial" w:cs="Arial"/>
          <w:sz w:val="24"/>
          <w:szCs w:val="24"/>
          <w:lang w:val="en-US"/>
        </w:rPr>
        <w:t>.</w:t>
      </w:r>
      <w:r w:rsidR="00B06887">
        <w:rPr>
          <w:rStyle w:val="FootnoteReference"/>
          <w:rFonts w:ascii="Arial" w:hAnsi="Arial" w:cs="Arial"/>
          <w:sz w:val="24"/>
          <w:szCs w:val="24"/>
          <w:lang w:val="en-US"/>
        </w:rPr>
        <w:footnoteReference w:id="2"/>
      </w:r>
      <w:r w:rsidR="000E07CF" w:rsidRPr="006B6EE9">
        <w:rPr>
          <w:rFonts w:ascii="Arial" w:hAnsi="Arial" w:cs="Arial"/>
          <w:sz w:val="24"/>
          <w:szCs w:val="24"/>
          <w:lang w:val="en-US"/>
        </w:rPr>
        <w:t xml:space="preserve"> </w:t>
      </w:r>
    </w:p>
    <w:p w14:paraId="51F609C1" w14:textId="482840A7" w:rsidR="000E07CF"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0E07CF" w:rsidRPr="006B6EE9">
        <w:rPr>
          <w:rFonts w:ascii="Arial" w:hAnsi="Arial" w:cs="Arial"/>
          <w:sz w:val="24"/>
          <w:szCs w:val="24"/>
          <w:lang w:val="en-US"/>
        </w:rPr>
        <w:t>However, the respondents have not made out a case that, had the NCA applied to their suretyships, and an affordability test been carried out, they would not have qualified to secure R1,5 million each. The applicability of the NCA is therefore a red herring in this case, and I am satisfied that it would not assist the respondents and there is no need to consider it.</w:t>
      </w:r>
    </w:p>
    <w:p w14:paraId="43FFF996" w14:textId="4B79918C" w:rsidR="000E07CF" w:rsidRPr="00377A5F" w:rsidRDefault="00377A5F" w:rsidP="00377A5F">
      <w:pPr>
        <w:spacing w:after="200" w:line="360" w:lineRule="auto"/>
        <w:ind w:right="27"/>
        <w:jc w:val="both"/>
        <w:rPr>
          <w:rFonts w:ascii="Arial" w:hAnsi="Arial" w:cs="Arial"/>
          <w:sz w:val="24"/>
          <w:szCs w:val="24"/>
          <w:lang w:val="en-US"/>
        </w:rPr>
      </w:pPr>
      <w:r>
        <w:rPr>
          <w:rFonts w:ascii="Arial" w:hAnsi="Arial" w:cs="Arial"/>
          <w:b/>
          <w:sz w:val="24"/>
          <w:szCs w:val="24"/>
          <w:lang w:val="en-US"/>
        </w:rPr>
        <w:t>THE STRIKING OUT APPLICATION</w:t>
      </w:r>
      <w:r w:rsidRPr="00377A5F">
        <w:rPr>
          <w:rFonts w:ascii="Arial" w:hAnsi="Arial" w:cs="Arial"/>
          <w:sz w:val="24"/>
          <w:szCs w:val="24"/>
          <w:lang w:val="en-US"/>
        </w:rPr>
        <w:t xml:space="preserve"> </w:t>
      </w:r>
    </w:p>
    <w:p w14:paraId="46FC5370" w14:textId="7A2EE129" w:rsidR="00377A5F"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377A5F" w:rsidRPr="006B6EE9">
        <w:rPr>
          <w:rFonts w:ascii="Arial" w:hAnsi="Arial" w:cs="Arial"/>
          <w:sz w:val="24"/>
          <w:szCs w:val="24"/>
          <w:lang w:val="en-US"/>
        </w:rPr>
        <w:t xml:space="preserve">The respondents </w:t>
      </w:r>
      <w:r w:rsidR="00036B04" w:rsidRPr="006B6EE9">
        <w:rPr>
          <w:rFonts w:ascii="Arial" w:hAnsi="Arial" w:cs="Arial"/>
          <w:sz w:val="24"/>
          <w:szCs w:val="24"/>
          <w:lang w:val="en-US"/>
        </w:rPr>
        <w:t xml:space="preserve">seek the strike out of the replying affidavit, on the basis that a new case is sought to be made out in reply, </w:t>
      </w:r>
      <w:r w:rsidR="009F19D3" w:rsidRPr="006B6EE9">
        <w:rPr>
          <w:rFonts w:ascii="Arial" w:hAnsi="Arial" w:cs="Arial"/>
          <w:sz w:val="24"/>
          <w:szCs w:val="24"/>
          <w:lang w:val="en-US"/>
        </w:rPr>
        <w:t xml:space="preserve">and </w:t>
      </w:r>
      <w:r w:rsidR="00036B04" w:rsidRPr="006B6EE9">
        <w:rPr>
          <w:rFonts w:ascii="Arial" w:hAnsi="Arial" w:cs="Arial"/>
          <w:sz w:val="24"/>
          <w:szCs w:val="24"/>
          <w:lang w:val="en-US"/>
        </w:rPr>
        <w:t>that some a</w:t>
      </w:r>
      <w:r w:rsidR="009F19D3" w:rsidRPr="006B6EE9">
        <w:rPr>
          <w:rFonts w:ascii="Arial" w:hAnsi="Arial" w:cs="Arial"/>
          <w:sz w:val="24"/>
          <w:szCs w:val="24"/>
          <w:lang w:val="en-US"/>
        </w:rPr>
        <w:t xml:space="preserve">llegations are scandalous, </w:t>
      </w:r>
      <w:r w:rsidR="00036B04" w:rsidRPr="006B6EE9">
        <w:rPr>
          <w:rFonts w:ascii="Arial" w:hAnsi="Arial" w:cs="Arial"/>
          <w:sz w:val="24"/>
          <w:szCs w:val="24"/>
          <w:lang w:val="en-US"/>
        </w:rPr>
        <w:t>vexatious</w:t>
      </w:r>
      <w:r w:rsidR="009F19D3" w:rsidRPr="006B6EE9">
        <w:rPr>
          <w:rFonts w:ascii="Arial" w:hAnsi="Arial" w:cs="Arial"/>
          <w:sz w:val="24"/>
          <w:szCs w:val="24"/>
          <w:lang w:val="en-US"/>
        </w:rPr>
        <w:t>,</w:t>
      </w:r>
      <w:r w:rsidR="00036B04" w:rsidRPr="006B6EE9">
        <w:rPr>
          <w:rFonts w:ascii="Arial" w:hAnsi="Arial" w:cs="Arial"/>
          <w:sz w:val="24"/>
          <w:szCs w:val="24"/>
          <w:lang w:val="en-US"/>
        </w:rPr>
        <w:t xml:space="preserve"> </w:t>
      </w:r>
      <w:r w:rsidR="009F19D3" w:rsidRPr="006B6EE9">
        <w:rPr>
          <w:rFonts w:ascii="Arial" w:hAnsi="Arial" w:cs="Arial"/>
          <w:sz w:val="24"/>
          <w:szCs w:val="24"/>
          <w:lang w:val="en-US"/>
        </w:rPr>
        <w:t xml:space="preserve">argumentative, irrelevant, or hearsay, or </w:t>
      </w:r>
      <w:proofErr w:type="gramStart"/>
      <w:r w:rsidR="009F19D3" w:rsidRPr="006B6EE9">
        <w:rPr>
          <w:rFonts w:ascii="Arial" w:hAnsi="Arial" w:cs="Arial"/>
          <w:sz w:val="24"/>
          <w:szCs w:val="24"/>
          <w:lang w:val="en-US"/>
        </w:rPr>
        <w:t>all of</w:t>
      </w:r>
      <w:proofErr w:type="gramEnd"/>
      <w:r w:rsidR="009F19D3" w:rsidRPr="006B6EE9">
        <w:rPr>
          <w:rFonts w:ascii="Arial" w:hAnsi="Arial" w:cs="Arial"/>
          <w:sz w:val="24"/>
          <w:szCs w:val="24"/>
          <w:lang w:val="en-US"/>
        </w:rPr>
        <w:t xml:space="preserve"> those things.</w:t>
      </w:r>
      <w:r w:rsidR="00816DCE" w:rsidRPr="006B6EE9">
        <w:rPr>
          <w:rFonts w:ascii="Arial" w:hAnsi="Arial" w:cs="Arial"/>
          <w:sz w:val="24"/>
          <w:szCs w:val="24"/>
          <w:lang w:val="en-US"/>
        </w:rPr>
        <w:t xml:space="preserve"> They allege that they suffer prejudice because the replying affidavit is overwhelming, annoying, and has caused them to incur more legal costs than necessary.</w:t>
      </w:r>
    </w:p>
    <w:p w14:paraId="6245667F" w14:textId="35B07688"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955FAD" w:rsidRPr="006B6EE9">
        <w:rPr>
          <w:rFonts w:ascii="Arial" w:hAnsi="Arial" w:cs="Arial"/>
          <w:sz w:val="24"/>
          <w:szCs w:val="24"/>
          <w:lang w:val="en-US"/>
        </w:rPr>
        <w:t>I have considered thoroughly all the complaints contained in the founding affidavit in the striking out application, cross-referencing to the replying affidavit. I do not propose to deal with each allegation as it would make this judgment unduly lengthy.</w:t>
      </w:r>
    </w:p>
    <w:p w14:paraId="245FC09C" w14:textId="01EA801D" w:rsidR="009F19D3"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9F19D3" w:rsidRPr="006B6EE9">
        <w:rPr>
          <w:rFonts w:ascii="Arial" w:hAnsi="Arial" w:cs="Arial"/>
          <w:sz w:val="24"/>
          <w:szCs w:val="24"/>
          <w:lang w:val="en-US"/>
        </w:rPr>
        <w:t>As far as the allegations that a new case is sought to be made out in reply is concerned, the paragraphs referred to are a direct response to allegations contained in the answering affidavit. It is trite that the applicant is entitled to do so. Nevertheless, the applicant invited the respondents to file a further affidavit to respond to those issues, an invitation of which the respondents did not avail themselves.</w:t>
      </w:r>
    </w:p>
    <w:p w14:paraId="1936ED4E" w14:textId="2E8593B2"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lastRenderedPageBreak/>
        <w:t>14.</w:t>
      </w:r>
      <w:r>
        <w:rPr>
          <w:rFonts w:ascii="Arial" w:hAnsi="Arial" w:cs="Arial"/>
          <w:sz w:val="24"/>
          <w:szCs w:val="24"/>
          <w:lang w:val="en-US"/>
        </w:rPr>
        <w:tab/>
      </w:r>
      <w:r w:rsidR="00955FAD" w:rsidRPr="006B6EE9">
        <w:rPr>
          <w:rFonts w:ascii="Arial" w:hAnsi="Arial" w:cs="Arial"/>
          <w:sz w:val="24"/>
          <w:szCs w:val="24"/>
          <w:lang w:val="en-US"/>
        </w:rPr>
        <w:t xml:space="preserve">To the extent that the respondents complain of the tone of the replying affidavit, there is no merit in that complaint. The respondents’ own affidavits in my view suffer more from a want of tone than the replying affidavit </w:t>
      </w:r>
      <w:proofErr w:type="gramStart"/>
      <w:r w:rsidR="00955FAD" w:rsidRPr="006B6EE9">
        <w:rPr>
          <w:rFonts w:ascii="Arial" w:hAnsi="Arial" w:cs="Arial"/>
          <w:sz w:val="24"/>
          <w:szCs w:val="24"/>
          <w:lang w:val="en-US"/>
        </w:rPr>
        <w:t>does, and</w:t>
      </w:r>
      <w:proofErr w:type="gramEnd"/>
      <w:r w:rsidR="00955FAD" w:rsidRPr="006B6EE9">
        <w:rPr>
          <w:rFonts w:ascii="Arial" w:hAnsi="Arial" w:cs="Arial"/>
          <w:sz w:val="24"/>
          <w:szCs w:val="24"/>
          <w:lang w:val="en-US"/>
        </w:rPr>
        <w:t xml:space="preserve"> contain more argument than the applicant is accused of unjustifiably including in its replying affidavit. </w:t>
      </w:r>
    </w:p>
    <w:p w14:paraId="02972693" w14:textId="586FD5D9"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955FAD" w:rsidRPr="006B6EE9">
        <w:rPr>
          <w:rFonts w:ascii="Arial" w:hAnsi="Arial" w:cs="Arial"/>
          <w:sz w:val="24"/>
          <w:szCs w:val="24"/>
          <w:lang w:val="en-US"/>
        </w:rPr>
        <w:t xml:space="preserve">I am satisfied that there is no merit in the striking out application, and that there is no prejudice to the respondents in the replying affidavit. That application is dismissed with costs. </w:t>
      </w:r>
    </w:p>
    <w:p w14:paraId="421E8885" w14:textId="6BD7A2D8" w:rsidR="00955FAD" w:rsidRPr="00955FAD" w:rsidRDefault="00955FAD" w:rsidP="00955FAD">
      <w:pPr>
        <w:spacing w:after="200" w:line="360" w:lineRule="auto"/>
        <w:ind w:right="27"/>
        <w:jc w:val="both"/>
        <w:rPr>
          <w:rFonts w:ascii="Arial" w:hAnsi="Arial" w:cs="Arial"/>
          <w:b/>
          <w:sz w:val="24"/>
          <w:szCs w:val="24"/>
          <w:lang w:val="en-US"/>
        </w:rPr>
      </w:pPr>
      <w:r>
        <w:rPr>
          <w:rFonts w:ascii="Arial" w:hAnsi="Arial" w:cs="Arial"/>
          <w:b/>
          <w:sz w:val="24"/>
          <w:szCs w:val="24"/>
          <w:lang w:val="en-US"/>
        </w:rPr>
        <w:t>THE CALCULATION OF INTEREST</w:t>
      </w:r>
    </w:p>
    <w:p w14:paraId="62038421" w14:textId="482479F9"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955FAD" w:rsidRPr="006B6EE9">
        <w:rPr>
          <w:rFonts w:ascii="Arial" w:hAnsi="Arial" w:cs="Arial"/>
          <w:sz w:val="24"/>
          <w:szCs w:val="24"/>
          <w:lang w:val="en-US"/>
        </w:rPr>
        <w:t xml:space="preserve"> The respondents contend that the applicant has calculated interest on the wrong basis. The rate applicable ought to have been prime plus 1% whereas the rate applied was prime plus 5%.</w:t>
      </w:r>
    </w:p>
    <w:p w14:paraId="20B4834F" w14:textId="6477AA53"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A94307" w:rsidRPr="006B6EE9">
        <w:rPr>
          <w:rFonts w:ascii="Arial" w:hAnsi="Arial" w:cs="Arial"/>
          <w:sz w:val="24"/>
          <w:szCs w:val="24"/>
          <w:lang w:val="en-US"/>
        </w:rPr>
        <w:t>The applicant in reply demonstrates that the facility agreement entitled it to charge penalty interest on breach, that the liquidation of the company was a breach and therefore that penalty interest of 4% was charged after the liquidation. It also contends that it makes no difference to this case whether the rate applied is prime plus 1% or prime plus 5%, because either way the amount due is more than the combined maximum liability of the sureties, which is R3 million. It has annexed a calculation showing this.</w:t>
      </w:r>
    </w:p>
    <w:p w14:paraId="23683483" w14:textId="592000A1" w:rsidR="00A94307"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A94307" w:rsidRPr="006B6EE9">
        <w:rPr>
          <w:rFonts w:ascii="Arial" w:hAnsi="Arial" w:cs="Arial"/>
          <w:sz w:val="24"/>
          <w:szCs w:val="24"/>
          <w:lang w:val="en-US"/>
        </w:rPr>
        <w:t xml:space="preserve">This </w:t>
      </w:r>
      <w:proofErr w:type="spellStart"/>
      <w:r w:rsidR="00A94307" w:rsidRPr="006B6EE9">
        <w:rPr>
          <w:rFonts w:ascii="Arial" w:hAnsi="Arial" w:cs="Arial"/>
          <w:sz w:val="24"/>
          <w:szCs w:val="24"/>
          <w:lang w:val="en-US"/>
        </w:rPr>
        <w:t>defence</w:t>
      </w:r>
      <w:proofErr w:type="spellEnd"/>
      <w:r w:rsidR="00A94307" w:rsidRPr="006B6EE9">
        <w:rPr>
          <w:rFonts w:ascii="Arial" w:hAnsi="Arial" w:cs="Arial"/>
          <w:sz w:val="24"/>
          <w:szCs w:val="24"/>
          <w:lang w:val="en-US"/>
        </w:rPr>
        <w:t xml:space="preserve"> therefore does not assist the respondents.</w:t>
      </w:r>
    </w:p>
    <w:p w14:paraId="3D536D0C" w14:textId="67D90D7B" w:rsidR="00A94307" w:rsidRPr="00A94307" w:rsidRDefault="00A94307" w:rsidP="00A94307">
      <w:pPr>
        <w:spacing w:after="200" w:line="360" w:lineRule="auto"/>
        <w:ind w:right="27"/>
        <w:jc w:val="both"/>
        <w:rPr>
          <w:rFonts w:ascii="Arial" w:hAnsi="Arial" w:cs="Arial"/>
          <w:b/>
          <w:sz w:val="24"/>
          <w:szCs w:val="24"/>
          <w:lang w:val="en-US"/>
        </w:rPr>
      </w:pPr>
      <w:r>
        <w:rPr>
          <w:rFonts w:ascii="Arial" w:hAnsi="Arial" w:cs="Arial"/>
          <w:b/>
          <w:sz w:val="24"/>
          <w:szCs w:val="24"/>
          <w:lang w:val="en-US"/>
        </w:rPr>
        <w:t>UNAUTHORISED OR IMPROPER CHARGES</w:t>
      </w:r>
    </w:p>
    <w:p w14:paraId="55E09E77" w14:textId="0305036E"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A94307" w:rsidRPr="006B6EE9">
        <w:rPr>
          <w:rFonts w:ascii="Arial" w:hAnsi="Arial" w:cs="Arial"/>
          <w:sz w:val="24"/>
          <w:szCs w:val="24"/>
          <w:lang w:val="en-US"/>
        </w:rPr>
        <w:t xml:space="preserve">The account on which the applicant bases its claim includes charges debited for </w:t>
      </w:r>
      <w:proofErr w:type="spellStart"/>
      <w:r w:rsidR="00A94307" w:rsidRPr="006B6EE9">
        <w:rPr>
          <w:rFonts w:ascii="Arial" w:hAnsi="Arial" w:cs="Arial"/>
          <w:sz w:val="24"/>
          <w:szCs w:val="24"/>
          <w:lang w:val="en-US"/>
        </w:rPr>
        <w:t>speedpoint</w:t>
      </w:r>
      <w:proofErr w:type="spellEnd"/>
      <w:r w:rsidR="00A94307" w:rsidRPr="006B6EE9">
        <w:rPr>
          <w:rFonts w:ascii="Arial" w:hAnsi="Arial" w:cs="Arial"/>
          <w:sz w:val="24"/>
          <w:szCs w:val="24"/>
          <w:lang w:val="en-US"/>
        </w:rPr>
        <w:t xml:space="preserve"> service fees. The respondents submit that the applicant cannot claim for these charges because they are only claiming for money advanced, and charges cannot fall into that category.</w:t>
      </w:r>
    </w:p>
    <w:p w14:paraId="732D7218" w14:textId="2A2202FB" w:rsidR="00A94307"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94307" w:rsidRPr="006B6EE9">
        <w:rPr>
          <w:rFonts w:ascii="Arial" w:hAnsi="Arial" w:cs="Arial"/>
          <w:sz w:val="24"/>
          <w:szCs w:val="24"/>
          <w:lang w:val="en-US"/>
        </w:rPr>
        <w:t xml:space="preserve">In reply the </w:t>
      </w:r>
      <w:r w:rsidR="00CC5505" w:rsidRPr="006B6EE9">
        <w:rPr>
          <w:rFonts w:ascii="Arial" w:hAnsi="Arial" w:cs="Arial"/>
          <w:sz w:val="24"/>
          <w:szCs w:val="24"/>
          <w:lang w:val="en-US"/>
        </w:rPr>
        <w:t xml:space="preserve">applicant contends that the </w:t>
      </w:r>
      <w:proofErr w:type="spellStart"/>
      <w:r w:rsidR="00CC5505" w:rsidRPr="006B6EE9">
        <w:rPr>
          <w:rFonts w:ascii="Arial" w:hAnsi="Arial" w:cs="Arial"/>
          <w:sz w:val="24"/>
          <w:szCs w:val="24"/>
          <w:lang w:val="en-US"/>
        </w:rPr>
        <w:t>speedpoint</w:t>
      </w:r>
      <w:proofErr w:type="spellEnd"/>
      <w:r w:rsidR="00CC5505" w:rsidRPr="006B6EE9">
        <w:rPr>
          <w:rFonts w:ascii="Arial" w:hAnsi="Arial" w:cs="Arial"/>
          <w:sz w:val="24"/>
          <w:szCs w:val="24"/>
          <w:lang w:val="en-US"/>
        </w:rPr>
        <w:t xml:space="preserve"> charges emanate from an agreement that had not yet been cancelled, for rental of speed point terminals. The account at issue was nominated by the company for payment of monthly rentals to be debited. The debits were paid, and therefore they are part of the debt.</w:t>
      </w:r>
    </w:p>
    <w:p w14:paraId="5EDE8880" w14:textId="07EE909C" w:rsidR="00CC5505"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lastRenderedPageBreak/>
        <w:t>21.</w:t>
      </w:r>
      <w:r>
        <w:rPr>
          <w:rFonts w:ascii="Arial" w:hAnsi="Arial" w:cs="Arial"/>
          <w:sz w:val="24"/>
          <w:szCs w:val="24"/>
          <w:lang w:val="en-US"/>
        </w:rPr>
        <w:tab/>
      </w:r>
      <w:r w:rsidR="00CC5505" w:rsidRPr="006B6EE9">
        <w:rPr>
          <w:rFonts w:ascii="Arial" w:hAnsi="Arial" w:cs="Arial"/>
          <w:sz w:val="24"/>
          <w:szCs w:val="24"/>
          <w:lang w:val="en-US"/>
        </w:rPr>
        <w:t xml:space="preserve">The respondents chose not to attempt to dispute this explanation, and I find no reason not to accept it. I do not find, therefore, that these charges assist the respondents in their </w:t>
      </w:r>
      <w:proofErr w:type="spellStart"/>
      <w:r w:rsidR="00CC5505" w:rsidRPr="006B6EE9">
        <w:rPr>
          <w:rFonts w:ascii="Arial" w:hAnsi="Arial" w:cs="Arial"/>
          <w:sz w:val="24"/>
          <w:szCs w:val="24"/>
          <w:lang w:val="en-US"/>
        </w:rPr>
        <w:t>defence</w:t>
      </w:r>
      <w:proofErr w:type="spellEnd"/>
      <w:r w:rsidR="00CC5505" w:rsidRPr="006B6EE9">
        <w:rPr>
          <w:rFonts w:ascii="Arial" w:hAnsi="Arial" w:cs="Arial"/>
          <w:sz w:val="24"/>
          <w:szCs w:val="24"/>
          <w:lang w:val="en-US"/>
        </w:rPr>
        <w:t>. This would also apply, then, to the contention of interest being overcharged on balances inflated by overcharged interest.</w:t>
      </w:r>
    </w:p>
    <w:p w14:paraId="01D05E9C" w14:textId="15D0B2F0" w:rsidR="00CC5505"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CC5505" w:rsidRPr="006B6EE9">
        <w:rPr>
          <w:rFonts w:ascii="Arial" w:hAnsi="Arial" w:cs="Arial"/>
          <w:sz w:val="24"/>
          <w:szCs w:val="24"/>
          <w:lang w:val="en-US"/>
        </w:rPr>
        <w:t>The respondents also complain of untaxed legal fees being debited to the account. The applicant concedes that this was done incorrectly.</w:t>
      </w:r>
    </w:p>
    <w:p w14:paraId="411D86EE" w14:textId="6F35243F" w:rsidR="00CC5505"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CC5505" w:rsidRPr="006B6EE9">
        <w:rPr>
          <w:rFonts w:ascii="Arial" w:hAnsi="Arial" w:cs="Arial"/>
          <w:sz w:val="24"/>
          <w:szCs w:val="24"/>
          <w:lang w:val="en-US"/>
        </w:rPr>
        <w:t>However, when the amount of R5 235.38 is removed, the total amount due is still more than R3 million.</w:t>
      </w:r>
    </w:p>
    <w:p w14:paraId="4D2BEE87" w14:textId="6846A80F" w:rsidR="00CC5505" w:rsidRPr="00CC5505" w:rsidRDefault="00CC5505" w:rsidP="00CC5505">
      <w:pPr>
        <w:spacing w:after="200" w:line="360" w:lineRule="auto"/>
        <w:ind w:right="27"/>
        <w:jc w:val="both"/>
        <w:rPr>
          <w:rFonts w:ascii="Arial" w:hAnsi="Arial" w:cs="Arial"/>
          <w:b/>
          <w:sz w:val="24"/>
          <w:szCs w:val="24"/>
          <w:lang w:val="en-US"/>
        </w:rPr>
      </w:pPr>
      <w:r>
        <w:rPr>
          <w:rFonts w:ascii="Arial" w:hAnsi="Arial" w:cs="Arial"/>
          <w:b/>
          <w:sz w:val="24"/>
          <w:szCs w:val="24"/>
          <w:lang w:val="en-US"/>
        </w:rPr>
        <w:t>INCONSISTENT OR INCORRECT BALANCES</w:t>
      </w:r>
    </w:p>
    <w:p w14:paraId="1FB22425" w14:textId="350CB920" w:rsidR="00A94307"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A94307" w:rsidRPr="006B6EE9">
        <w:rPr>
          <w:rFonts w:ascii="Arial" w:hAnsi="Arial" w:cs="Arial"/>
          <w:sz w:val="24"/>
          <w:szCs w:val="24"/>
          <w:lang w:val="en-US"/>
        </w:rPr>
        <w:t xml:space="preserve"> </w:t>
      </w:r>
      <w:r w:rsidR="00CC5505" w:rsidRPr="006B6EE9">
        <w:rPr>
          <w:rFonts w:ascii="Arial" w:hAnsi="Arial" w:cs="Arial"/>
          <w:sz w:val="24"/>
          <w:szCs w:val="24"/>
          <w:lang w:val="en-US"/>
        </w:rPr>
        <w:t xml:space="preserve">The respondents contend that the applicant lodged a claim </w:t>
      </w:r>
      <w:r w:rsidR="006F7E4F" w:rsidRPr="006B6EE9">
        <w:rPr>
          <w:rFonts w:ascii="Arial" w:hAnsi="Arial" w:cs="Arial"/>
          <w:sz w:val="24"/>
          <w:szCs w:val="24"/>
          <w:lang w:val="en-US"/>
        </w:rPr>
        <w:t>on</w:t>
      </w:r>
      <w:r w:rsidR="00CC5505" w:rsidRPr="006B6EE9">
        <w:rPr>
          <w:rFonts w:ascii="Arial" w:hAnsi="Arial" w:cs="Arial"/>
          <w:sz w:val="24"/>
          <w:szCs w:val="24"/>
          <w:lang w:val="en-US"/>
        </w:rPr>
        <w:t xml:space="preserve"> for R3 264 054.48, and has obtained R1,2 million from </w:t>
      </w:r>
      <w:r w:rsidR="006F7E4F" w:rsidRPr="006B6EE9">
        <w:rPr>
          <w:rFonts w:ascii="Arial" w:hAnsi="Arial" w:cs="Arial"/>
          <w:sz w:val="24"/>
          <w:szCs w:val="24"/>
          <w:lang w:val="en-US"/>
        </w:rPr>
        <w:t>a policy ceded to it as part of the security for the loan.</w:t>
      </w:r>
      <w:r w:rsidR="00CC5505" w:rsidRPr="006B6EE9">
        <w:rPr>
          <w:rFonts w:ascii="Arial" w:hAnsi="Arial" w:cs="Arial"/>
          <w:sz w:val="24"/>
          <w:szCs w:val="24"/>
          <w:lang w:val="en-US"/>
        </w:rPr>
        <w:t xml:space="preserve"> They then allege that the applicant is wrongly alleging that its opening balance on 15 May 2020 is R4 174 137.07, just over R900 000 more than the claim lodged. </w:t>
      </w:r>
    </w:p>
    <w:p w14:paraId="1A3C5037" w14:textId="0094A905" w:rsidR="00A94307"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A94307" w:rsidRPr="006B6EE9">
        <w:rPr>
          <w:rFonts w:ascii="Arial" w:hAnsi="Arial" w:cs="Arial"/>
          <w:sz w:val="24"/>
          <w:szCs w:val="24"/>
          <w:lang w:val="en-US"/>
        </w:rPr>
        <w:t xml:space="preserve"> </w:t>
      </w:r>
      <w:r w:rsidR="006F7E4F" w:rsidRPr="006B6EE9">
        <w:rPr>
          <w:rFonts w:ascii="Arial" w:hAnsi="Arial" w:cs="Arial"/>
          <w:sz w:val="24"/>
          <w:szCs w:val="24"/>
          <w:lang w:val="en-US"/>
        </w:rPr>
        <w:t>The applicant in reply points out that the respondents have misread the annexures to the founding affidavit. On examining the annexures this is confirmed to be the case.</w:t>
      </w:r>
    </w:p>
    <w:p w14:paraId="4FAFBB94" w14:textId="2F6F1FF7" w:rsidR="006F7E4F"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proofErr w:type="gramStart"/>
      <w:r w:rsidR="006F7E4F" w:rsidRPr="006B6EE9">
        <w:rPr>
          <w:rFonts w:ascii="Arial" w:hAnsi="Arial" w:cs="Arial"/>
          <w:sz w:val="24"/>
          <w:szCs w:val="24"/>
          <w:lang w:val="en-US"/>
        </w:rPr>
        <w:t>It is clear that the</w:t>
      </w:r>
      <w:proofErr w:type="gramEnd"/>
      <w:r w:rsidR="006F7E4F" w:rsidRPr="006B6EE9">
        <w:rPr>
          <w:rFonts w:ascii="Arial" w:hAnsi="Arial" w:cs="Arial"/>
          <w:sz w:val="24"/>
          <w:szCs w:val="24"/>
          <w:lang w:val="en-US"/>
        </w:rPr>
        <w:t xml:space="preserve"> claim lodged by the applicant in the liquidation was R3 991 073.11. </w:t>
      </w:r>
      <w:r w:rsidR="00A456B0" w:rsidRPr="006B6EE9">
        <w:rPr>
          <w:rFonts w:ascii="Arial" w:hAnsi="Arial" w:cs="Arial"/>
          <w:sz w:val="24"/>
          <w:szCs w:val="24"/>
          <w:lang w:val="en-US"/>
        </w:rPr>
        <w:t xml:space="preserve">The respondents seem to have assumed that the balance in the bank account used by the liquidator, which has a different account number than that of the account on which the applicant claims, was the amount of the claim lodged by the applicant. </w:t>
      </w:r>
    </w:p>
    <w:p w14:paraId="3789EE87" w14:textId="3448D1B0" w:rsidR="00A456B0"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A456B0" w:rsidRPr="006B6EE9">
        <w:rPr>
          <w:rFonts w:ascii="Arial" w:hAnsi="Arial" w:cs="Arial"/>
          <w:sz w:val="24"/>
          <w:szCs w:val="24"/>
          <w:lang w:val="en-US"/>
        </w:rPr>
        <w:t xml:space="preserve">There is clearly no merit in this </w:t>
      </w:r>
      <w:proofErr w:type="spellStart"/>
      <w:r w:rsidR="00A456B0" w:rsidRPr="006B6EE9">
        <w:rPr>
          <w:rFonts w:ascii="Arial" w:hAnsi="Arial" w:cs="Arial"/>
          <w:sz w:val="24"/>
          <w:szCs w:val="24"/>
          <w:lang w:val="en-US"/>
        </w:rPr>
        <w:t>defence</w:t>
      </w:r>
      <w:proofErr w:type="spellEnd"/>
      <w:r w:rsidR="00A456B0" w:rsidRPr="006B6EE9">
        <w:rPr>
          <w:rFonts w:ascii="Arial" w:hAnsi="Arial" w:cs="Arial"/>
          <w:sz w:val="24"/>
          <w:szCs w:val="24"/>
          <w:lang w:val="en-US"/>
        </w:rPr>
        <w:t>.</w:t>
      </w:r>
    </w:p>
    <w:p w14:paraId="5A4DAADC" w14:textId="5247BCCF" w:rsidR="00D95A5A" w:rsidRPr="00D95A5A" w:rsidRDefault="00D95A5A" w:rsidP="00D95A5A">
      <w:pPr>
        <w:spacing w:after="200" w:line="360" w:lineRule="auto"/>
        <w:ind w:right="27"/>
        <w:jc w:val="both"/>
        <w:rPr>
          <w:rFonts w:ascii="Arial" w:hAnsi="Arial" w:cs="Arial"/>
          <w:b/>
          <w:sz w:val="24"/>
          <w:szCs w:val="24"/>
          <w:lang w:val="en-US"/>
        </w:rPr>
      </w:pPr>
      <w:r>
        <w:rPr>
          <w:rFonts w:ascii="Arial" w:hAnsi="Arial" w:cs="Arial"/>
          <w:b/>
          <w:sz w:val="24"/>
          <w:szCs w:val="24"/>
          <w:lang w:val="en-US"/>
        </w:rPr>
        <w:t>CONCLUSION</w:t>
      </w:r>
    </w:p>
    <w:p w14:paraId="58167B30" w14:textId="1B3ADE5F" w:rsidR="00A94307"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D95A5A" w:rsidRPr="006B6EE9">
        <w:rPr>
          <w:rFonts w:ascii="Arial" w:hAnsi="Arial" w:cs="Arial"/>
          <w:sz w:val="24"/>
          <w:szCs w:val="24"/>
          <w:lang w:val="en-US"/>
        </w:rPr>
        <w:t xml:space="preserve">For the reasons set out above there is no merit in any of the points raised by the respondents as a </w:t>
      </w:r>
      <w:proofErr w:type="spellStart"/>
      <w:r w:rsidR="00D95A5A" w:rsidRPr="006B6EE9">
        <w:rPr>
          <w:rFonts w:ascii="Arial" w:hAnsi="Arial" w:cs="Arial"/>
          <w:sz w:val="24"/>
          <w:szCs w:val="24"/>
          <w:lang w:val="en-US"/>
        </w:rPr>
        <w:t>defence</w:t>
      </w:r>
      <w:proofErr w:type="spellEnd"/>
      <w:r w:rsidR="00D95A5A" w:rsidRPr="006B6EE9">
        <w:rPr>
          <w:rFonts w:ascii="Arial" w:hAnsi="Arial" w:cs="Arial"/>
          <w:sz w:val="24"/>
          <w:szCs w:val="24"/>
          <w:lang w:val="en-US"/>
        </w:rPr>
        <w:t xml:space="preserve">. The respondents have no </w:t>
      </w:r>
      <w:proofErr w:type="spellStart"/>
      <w:r w:rsidR="00D95A5A" w:rsidRPr="006B6EE9">
        <w:rPr>
          <w:rFonts w:ascii="Arial" w:hAnsi="Arial" w:cs="Arial"/>
          <w:sz w:val="24"/>
          <w:szCs w:val="24"/>
          <w:lang w:val="en-US"/>
        </w:rPr>
        <w:t>defence</w:t>
      </w:r>
      <w:proofErr w:type="spellEnd"/>
      <w:r w:rsidR="00D95A5A" w:rsidRPr="006B6EE9">
        <w:rPr>
          <w:rFonts w:ascii="Arial" w:hAnsi="Arial" w:cs="Arial"/>
          <w:sz w:val="24"/>
          <w:szCs w:val="24"/>
          <w:lang w:val="en-US"/>
        </w:rPr>
        <w:t xml:space="preserve"> to the claim.</w:t>
      </w:r>
      <w:r w:rsidR="006B626C" w:rsidRPr="006B6EE9">
        <w:rPr>
          <w:rFonts w:ascii="Arial" w:hAnsi="Arial" w:cs="Arial"/>
          <w:sz w:val="24"/>
          <w:szCs w:val="24"/>
          <w:lang w:val="en-US"/>
        </w:rPr>
        <w:t xml:space="preserve"> There is no merit in the contention that the disputes of fact are such that they ought to be referred to trial.</w:t>
      </w:r>
      <w:r w:rsidR="00D95A5A" w:rsidRPr="006B6EE9">
        <w:rPr>
          <w:rFonts w:ascii="Arial" w:hAnsi="Arial" w:cs="Arial"/>
          <w:sz w:val="24"/>
          <w:szCs w:val="24"/>
          <w:lang w:val="en-US"/>
        </w:rPr>
        <w:t xml:space="preserve"> I am satisfied that the applicant has made out a case for the relief sought.</w:t>
      </w:r>
    </w:p>
    <w:p w14:paraId="24CC5973" w14:textId="738D4E55" w:rsidR="00955FAD" w:rsidRPr="006B6EE9" w:rsidRDefault="006B6EE9" w:rsidP="006B6EE9">
      <w:pPr>
        <w:spacing w:after="200" w:line="360" w:lineRule="auto"/>
        <w:ind w:left="360" w:right="27" w:hanging="360"/>
        <w:jc w:val="both"/>
        <w:rPr>
          <w:rFonts w:ascii="Arial" w:hAnsi="Arial" w:cs="Arial"/>
          <w:sz w:val="24"/>
          <w:szCs w:val="24"/>
          <w:lang w:val="en-US"/>
        </w:rPr>
      </w:pPr>
      <w:r>
        <w:rPr>
          <w:rFonts w:ascii="Arial" w:hAnsi="Arial" w:cs="Arial"/>
          <w:sz w:val="24"/>
          <w:szCs w:val="24"/>
          <w:lang w:val="en-US"/>
        </w:rPr>
        <w:lastRenderedPageBreak/>
        <w:t>29.</w:t>
      </w:r>
      <w:r>
        <w:rPr>
          <w:rFonts w:ascii="Arial" w:hAnsi="Arial" w:cs="Arial"/>
          <w:sz w:val="24"/>
          <w:szCs w:val="24"/>
          <w:lang w:val="en-US"/>
        </w:rPr>
        <w:tab/>
      </w:r>
      <w:r w:rsidR="00955FAD" w:rsidRPr="006B6EE9">
        <w:rPr>
          <w:rFonts w:ascii="Arial" w:hAnsi="Arial" w:cs="Arial"/>
          <w:sz w:val="24"/>
          <w:szCs w:val="24"/>
          <w:lang w:val="en-US"/>
        </w:rPr>
        <w:t>I make the following order:</w:t>
      </w:r>
    </w:p>
    <w:p w14:paraId="2E66D87A" w14:textId="0638473F" w:rsidR="00955FAD" w:rsidRPr="006B6EE9" w:rsidRDefault="006B6EE9" w:rsidP="006B6EE9">
      <w:pPr>
        <w:spacing w:after="200" w:line="360" w:lineRule="auto"/>
        <w:ind w:left="792" w:right="27" w:hanging="432"/>
        <w:jc w:val="both"/>
        <w:rPr>
          <w:rFonts w:ascii="Arial" w:hAnsi="Arial" w:cs="Arial"/>
          <w:sz w:val="24"/>
          <w:szCs w:val="24"/>
          <w:lang w:val="en-US"/>
        </w:rPr>
      </w:pPr>
      <w:r>
        <w:rPr>
          <w:rFonts w:ascii="Arial" w:hAnsi="Arial" w:cs="Arial"/>
          <w:sz w:val="24"/>
          <w:szCs w:val="24"/>
          <w:lang w:val="en-US"/>
        </w:rPr>
        <w:t>29.1.</w:t>
      </w:r>
      <w:r>
        <w:rPr>
          <w:rFonts w:ascii="Arial" w:hAnsi="Arial" w:cs="Arial"/>
          <w:sz w:val="24"/>
          <w:szCs w:val="24"/>
          <w:lang w:val="en-US"/>
        </w:rPr>
        <w:tab/>
      </w:r>
      <w:r w:rsidR="00955FAD" w:rsidRPr="006B6EE9">
        <w:rPr>
          <w:rFonts w:ascii="Arial" w:hAnsi="Arial" w:cs="Arial"/>
          <w:sz w:val="24"/>
          <w:szCs w:val="24"/>
          <w:lang w:val="en-US"/>
        </w:rPr>
        <w:t>The striking out application is dismissed with costs.</w:t>
      </w:r>
    </w:p>
    <w:p w14:paraId="1BFA97BF" w14:textId="16E82E38" w:rsidR="00D95A5A" w:rsidRDefault="006B6EE9" w:rsidP="006B6EE9">
      <w:pPr>
        <w:pStyle w:val="WerksmansStyle1"/>
        <w:numPr>
          <w:ilvl w:val="0"/>
          <w:numId w:val="0"/>
        </w:numPr>
        <w:ind w:left="1418" w:hanging="1134"/>
      </w:pPr>
      <w:r>
        <w:t>29.2.</w:t>
      </w:r>
      <w:r>
        <w:tab/>
      </w:r>
      <w:r w:rsidR="00D95A5A">
        <w:t xml:space="preserve">The first respondent is to pay the applicant the sum of </w:t>
      </w:r>
      <w:r w:rsidR="00D95A5A" w:rsidRPr="0000121E">
        <w:rPr>
          <w:bCs/>
        </w:rPr>
        <w:t>R</w:t>
      </w:r>
      <w:r w:rsidR="00D95A5A">
        <w:rPr>
          <w:bCs/>
        </w:rPr>
        <w:t xml:space="preserve">1,500,000.00 together with interest </w:t>
      </w:r>
      <w:r w:rsidR="00D95A5A" w:rsidRPr="005B3134">
        <w:t xml:space="preserve">thereon at </w:t>
      </w:r>
      <w:r w:rsidR="00D95A5A">
        <w:t>the rate of prime plus 1.00%</w:t>
      </w:r>
      <w:r w:rsidR="00D95A5A" w:rsidRPr="0000121E">
        <w:t xml:space="preserve">, calculated daily and compounded monthly in arrears from </w:t>
      </w:r>
      <w:r w:rsidR="00D95A5A">
        <w:t>1 June</w:t>
      </w:r>
      <w:r w:rsidR="00D95A5A" w:rsidRPr="0000121E">
        <w:t xml:space="preserve"> 2020 </w:t>
      </w:r>
      <w:r w:rsidR="00D95A5A">
        <w:t xml:space="preserve">to date of payment, </w:t>
      </w:r>
      <w:r w:rsidR="00D95A5A" w:rsidRPr="005B3134">
        <w:t>both days inclusive</w:t>
      </w:r>
      <w:r w:rsidR="00D95A5A">
        <w:t>.</w:t>
      </w:r>
    </w:p>
    <w:p w14:paraId="34AF8B05" w14:textId="35C6639C" w:rsidR="00D95A5A" w:rsidRDefault="006B6EE9" w:rsidP="006B6EE9">
      <w:pPr>
        <w:pStyle w:val="WerksmansStyle1"/>
        <w:numPr>
          <w:ilvl w:val="0"/>
          <w:numId w:val="0"/>
        </w:numPr>
        <w:ind w:left="1418" w:hanging="1134"/>
      </w:pPr>
      <w:r>
        <w:t>29.3.</w:t>
      </w:r>
      <w:r>
        <w:tab/>
      </w:r>
      <w:r w:rsidR="00D95A5A">
        <w:t xml:space="preserve">The second respondent is to pay the applicant the sum of </w:t>
      </w:r>
      <w:r w:rsidR="00D95A5A" w:rsidRPr="00D95A5A">
        <w:rPr>
          <w:bCs/>
        </w:rPr>
        <w:t xml:space="preserve">R1,500,000.00 together with interest </w:t>
      </w:r>
      <w:r w:rsidR="00D95A5A" w:rsidRPr="005B3134">
        <w:t xml:space="preserve">thereon at </w:t>
      </w:r>
      <w:r w:rsidR="00D95A5A">
        <w:t>the rate of prime plus 1.00%</w:t>
      </w:r>
      <w:r w:rsidR="00D95A5A" w:rsidRPr="0000121E">
        <w:t xml:space="preserve">, calculated daily and compounded monthly in arrears from </w:t>
      </w:r>
      <w:r w:rsidR="00D95A5A">
        <w:t>1 June</w:t>
      </w:r>
      <w:r w:rsidR="00D95A5A" w:rsidRPr="0000121E">
        <w:t xml:space="preserve"> 2020 </w:t>
      </w:r>
      <w:r w:rsidR="00D95A5A">
        <w:t xml:space="preserve">to date of payment, </w:t>
      </w:r>
      <w:r w:rsidR="00D95A5A" w:rsidRPr="005B3134">
        <w:t>both days inclusive</w:t>
      </w:r>
      <w:r w:rsidR="00D95A5A">
        <w:t>.</w:t>
      </w:r>
    </w:p>
    <w:p w14:paraId="2908FCE3" w14:textId="7F212647" w:rsidR="00955FAD" w:rsidRPr="006B6EE9" w:rsidRDefault="006B6EE9" w:rsidP="006B6EE9">
      <w:pPr>
        <w:spacing w:after="200" w:line="360" w:lineRule="auto"/>
        <w:ind w:left="1400" w:right="27" w:hanging="1040"/>
        <w:jc w:val="both"/>
        <w:rPr>
          <w:rFonts w:ascii="Arial" w:hAnsi="Arial" w:cs="Arial"/>
          <w:sz w:val="24"/>
          <w:szCs w:val="24"/>
          <w:lang w:val="en-US"/>
        </w:rPr>
      </w:pPr>
      <w:r w:rsidRPr="000E07CF">
        <w:rPr>
          <w:rFonts w:ascii="Arial" w:hAnsi="Arial" w:cs="Arial"/>
          <w:sz w:val="24"/>
          <w:szCs w:val="24"/>
          <w:lang w:val="en-US"/>
        </w:rPr>
        <w:t>29.4.</w:t>
      </w:r>
      <w:r w:rsidRPr="000E07CF">
        <w:rPr>
          <w:rFonts w:ascii="Arial" w:hAnsi="Arial" w:cs="Arial"/>
          <w:sz w:val="24"/>
          <w:szCs w:val="24"/>
          <w:lang w:val="en-US"/>
        </w:rPr>
        <w:tab/>
      </w:r>
      <w:r w:rsidR="00D95A5A" w:rsidRPr="006B6EE9">
        <w:rPr>
          <w:rFonts w:ascii="Arial" w:hAnsi="Arial" w:cs="Arial"/>
          <w:sz w:val="24"/>
          <w:szCs w:val="24"/>
          <w:lang w:val="en-US"/>
        </w:rPr>
        <w:t>The respondents are to pay the costs of the application on an attorney and client scale.</w:t>
      </w:r>
    </w:p>
    <w:p w14:paraId="0AD148FE" w14:textId="77777777" w:rsidR="001A767B" w:rsidRDefault="001A767B" w:rsidP="001A767B">
      <w:pPr>
        <w:spacing w:after="200" w:line="360" w:lineRule="auto"/>
        <w:ind w:right="27"/>
        <w:contextualSpacing/>
        <w:rPr>
          <w:rFonts w:ascii="Arial" w:hAnsi="Arial" w:cs="Arial"/>
          <w:sz w:val="24"/>
          <w:szCs w:val="24"/>
          <w:lang w:val="en-US"/>
        </w:rPr>
      </w:pPr>
    </w:p>
    <w:p w14:paraId="443D84C1" w14:textId="77777777" w:rsidR="001A767B" w:rsidRDefault="001A767B" w:rsidP="001A767B">
      <w:pPr>
        <w:spacing w:after="200" w:line="360" w:lineRule="auto"/>
        <w:ind w:right="27"/>
        <w:contextualSpacing/>
        <w:rPr>
          <w:rFonts w:ascii="Arial" w:hAnsi="Arial" w:cs="Arial"/>
          <w:sz w:val="24"/>
          <w:szCs w:val="24"/>
          <w:lang w:val="en-US"/>
        </w:rPr>
      </w:pPr>
    </w:p>
    <w:p w14:paraId="4F5CC53D" w14:textId="50B82A59" w:rsidR="005B4756" w:rsidRDefault="00BC1597" w:rsidP="001A767B">
      <w:pPr>
        <w:spacing w:after="200" w:line="360" w:lineRule="auto"/>
        <w:ind w:right="27"/>
        <w:contextualSpacing/>
        <w:jc w:val="right"/>
        <w:rPr>
          <w:rFonts w:ascii="Arial" w:hAnsi="Arial" w:cs="Arial"/>
          <w:b/>
          <w:sz w:val="24"/>
          <w:szCs w:val="24"/>
        </w:rPr>
      </w:pPr>
      <w:r>
        <w:rPr>
          <w:rFonts w:ascii="Arial" w:hAnsi="Arial" w:cs="Arial"/>
          <w:b/>
          <w:sz w:val="24"/>
          <w:szCs w:val="24"/>
        </w:rPr>
        <w:t>____________________________</w:t>
      </w:r>
    </w:p>
    <w:p w14:paraId="01637700" w14:textId="360290D7" w:rsidR="005B4756" w:rsidRDefault="005B4756" w:rsidP="001A767B">
      <w:pPr>
        <w:spacing w:after="200" w:line="360" w:lineRule="auto"/>
        <w:ind w:left="2410" w:right="27"/>
        <w:contextualSpacing/>
        <w:jc w:val="right"/>
        <w:rPr>
          <w:rFonts w:ascii="Arial" w:hAnsi="Arial" w:cs="Arial"/>
          <w:b/>
          <w:sz w:val="24"/>
          <w:szCs w:val="24"/>
        </w:rPr>
      </w:pPr>
      <w:r>
        <w:rPr>
          <w:rFonts w:ascii="Arial" w:hAnsi="Arial" w:cs="Arial"/>
          <w:b/>
          <w:sz w:val="24"/>
          <w:szCs w:val="24"/>
        </w:rPr>
        <w:t>S. YACOOB</w:t>
      </w:r>
    </w:p>
    <w:p w14:paraId="675208BB" w14:textId="243ADE00" w:rsidR="00D8146A" w:rsidRDefault="00BC1597" w:rsidP="001A767B">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5125CF1D" w14:textId="77777777" w:rsidR="00D8146A" w:rsidRDefault="00BC1597" w:rsidP="001A767B">
      <w:pPr>
        <w:spacing w:after="200" w:line="360" w:lineRule="auto"/>
        <w:ind w:left="2410" w:right="27"/>
        <w:contextualSpacing/>
        <w:jc w:val="right"/>
        <w:rPr>
          <w:rFonts w:ascii="Arial" w:hAnsi="Arial" w:cs="Arial"/>
          <w:sz w:val="24"/>
          <w:szCs w:val="24"/>
        </w:rPr>
      </w:pPr>
      <w:r>
        <w:rPr>
          <w:rFonts w:ascii="Arial" w:hAnsi="Arial" w:cs="Arial"/>
          <w:b/>
          <w:sz w:val="24"/>
          <w:szCs w:val="24"/>
        </w:rPr>
        <w:t>GAUTENG LOCAL DIVISION, JOHANNESBURG</w:t>
      </w:r>
    </w:p>
    <w:p w14:paraId="32877BEE" w14:textId="77777777" w:rsidR="00D8146A" w:rsidRDefault="00D8146A" w:rsidP="001A767B">
      <w:pPr>
        <w:spacing w:line="360" w:lineRule="auto"/>
        <w:jc w:val="both"/>
        <w:rPr>
          <w:rFonts w:ascii="Arial" w:hAnsi="Arial" w:cs="Arial"/>
          <w:b/>
          <w:sz w:val="24"/>
          <w:szCs w:val="24"/>
          <w:u w:val="single"/>
        </w:rPr>
      </w:pPr>
    </w:p>
    <w:p w14:paraId="12AA1E9F" w14:textId="77777777" w:rsidR="00D8146A" w:rsidRDefault="00D8146A" w:rsidP="001A767B">
      <w:pPr>
        <w:spacing w:line="360" w:lineRule="auto"/>
        <w:jc w:val="both"/>
        <w:rPr>
          <w:rFonts w:ascii="Arial" w:hAnsi="Arial" w:cs="Arial"/>
          <w:b/>
          <w:sz w:val="24"/>
          <w:szCs w:val="24"/>
          <w:u w:val="single"/>
        </w:rPr>
      </w:pPr>
    </w:p>
    <w:p w14:paraId="23658657" w14:textId="77777777" w:rsidR="00D8146A" w:rsidRDefault="00D8146A" w:rsidP="001A767B">
      <w:pPr>
        <w:spacing w:line="360" w:lineRule="auto"/>
        <w:jc w:val="both"/>
        <w:rPr>
          <w:rFonts w:ascii="Arial" w:hAnsi="Arial" w:cs="Arial"/>
          <w:b/>
          <w:sz w:val="24"/>
          <w:szCs w:val="24"/>
          <w:u w:val="single"/>
        </w:rPr>
      </w:pPr>
    </w:p>
    <w:p w14:paraId="212D008E" w14:textId="77777777" w:rsidR="001A767B" w:rsidRDefault="001A767B" w:rsidP="001A767B">
      <w:pPr>
        <w:spacing w:line="360" w:lineRule="auto"/>
        <w:jc w:val="both"/>
        <w:rPr>
          <w:rFonts w:ascii="Arial" w:hAnsi="Arial" w:cs="Arial"/>
          <w:b/>
          <w:sz w:val="24"/>
          <w:szCs w:val="24"/>
          <w:u w:val="single"/>
        </w:rPr>
      </w:pPr>
    </w:p>
    <w:p w14:paraId="1D0D85DF" w14:textId="0F7546E2" w:rsidR="005B39C1" w:rsidRDefault="005B39C1" w:rsidP="001A767B">
      <w:pPr>
        <w:spacing w:line="360" w:lineRule="auto"/>
        <w:jc w:val="both"/>
        <w:rPr>
          <w:rFonts w:ascii="Arial" w:hAnsi="Arial" w:cs="Arial"/>
          <w:b/>
          <w:sz w:val="24"/>
          <w:szCs w:val="24"/>
          <w:u w:val="single"/>
        </w:rPr>
      </w:pPr>
      <w:r>
        <w:rPr>
          <w:rFonts w:ascii="Arial" w:hAnsi="Arial" w:cs="Arial"/>
          <w:b/>
          <w:sz w:val="24"/>
          <w:szCs w:val="24"/>
          <w:u w:val="single"/>
        </w:rPr>
        <w:t>Appearances</w:t>
      </w:r>
    </w:p>
    <w:p w14:paraId="5A1A14F5" w14:textId="1806DE09" w:rsidR="005B39C1" w:rsidRDefault="005B39C1" w:rsidP="001A767B">
      <w:pPr>
        <w:tabs>
          <w:tab w:val="left" w:pos="3402"/>
        </w:tabs>
        <w:spacing w:line="360" w:lineRule="auto"/>
        <w:jc w:val="both"/>
        <w:rPr>
          <w:rFonts w:ascii="Arial" w:hAnsi="Arial" w:cs="Arial"/>
          <w:sz w:val="24"/>
          <w:szCs w:val="24"/>
        </w:rPr>
      </w:pPr>
    </w:p>
    <w:p w14:paraId="35A2F19E" w14:textId="02F74A4B" w:rsidR="005B39C1" w:rsidRDefault="00DF6B14" w:rsidP="001A767B">
      <w:pPr>
        <w:tabs>
          <w:tab w:val="left" w:pos="3402"/>
        </w:tabs>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sidR="00B03CFB">
        <w:rPr>
          <w:rFonts w:ascii="Arial" w:hAnsi="Arial" w:cs="Arial"/>
          <w:sz w:val="24"/>
          <w:szCs w:val="24"/>
        </w:rPr>
        <w:t>C Gibson</w:t>
      </w:r>
    </w:p>
    <w:p w14:paraId="471C027B" w14:textId="5CCD05D7" w:rsidR="005B39C1" w:rsidRDefault="00DF6B14" w:rsidP="001A767B">
      <w:pPr>
        <w:tabs>
          <w:tab w:val="left" w:pos="3402"/>
        </w:tabs>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proofErr w:type="spellStart"/>
      <w:r w:rsidR="001A767B">
        <w:rPr>
          <w:rFonts w:ascii="Arial" w:hAnsi="Arial" w:cs="Arial"/>
          <w:sz w:val="24"/>
          <w:szCs w:val="24"/>
        </w:rPr>
        <w:t>Werksmans</w:t>
      </w:r>
      <w:proofErr w:type="spellEnd"/>
      <w:r w:rsidR="001A767B">
        <w:rPr>
          <w:rFonts w:ascii="Arial" w:hAnsi="Arial" w:cs="Arial"/>
          <w:sz w:val="24"/>
          <w:szCs w:val="24"/>
        </w:rPr>
        <w:t xml:space="preserve"> attorneys</w:t>
      </w:r>
    </w:p>
    <w:p w14:paraId="1897F87C" w14:textId="77777777" w:rsidR="005B39C1" w:rsidRDefault="005B39C1" w:rsidP="001A767B">
      <w:pPr>
        <w:tabs>
          <w:tab w:val="left" w:pos="3402"/>
        </w:tabs>
        <w:spacing w:line="360" w:lineRule="auto"/>
        <w:jc w:val="both"/>
        <w:rPr>
          <w:rFonts w:ascii="Arial" w:hAnsi="Arial" w:cs="Arial"/>
          <w:sz w:val="24"/>
          <w:szCs w:val="24"/>
        </w:rPr>
      </w:pPr>
    </w:p>
    <w:p w14:paraId="192471AF" w14:textId="07A39BD4" w:rsidR="005B39C1" w:rsidRDefault="00DF6B14" w:rsidP="001A767B">
      <w:pPr>
        <w:tabs>
          <w:tab w:val="left" w:pos="3402"/>
        </w:tabs>
        <w:spacing w:line="360" w:lineRule="auto"/>
        <w:jc w:val="both"/>
        <w:rPr>
          <w:rFonts w:ascii="Arial" w:hAnsi="Arial" w:cs="Arial"/>
          <w:sz w:val="24"/>
          <w:szCs w:val="24"/>
        </w:rPr>
      </w:pPr>
      <w:proofErr w:type="spellStart"/>
      <w:r>
        <w:rPr>
          <w:rFonts w:ascii="Arial" w:hAnsi="Arial" w:cs="Arial"/>
          <w:sz w:val="24"/>
          <w:szCs w:val="24"/>
        </w:rPr>
        <w:t>Rspondent’s</w:t>
      </w:r>
      <w:proofErr w:type="spellEnd"/>
      <w:r>
        <w:rPr>
          <w:rFonts w:ascii="Arial" w:hAnsi="Arial" w:cs="Arial"/>
          <w:sz w:val="24"/>
          <w:szCs w:val="24"/>
        </w:rPr>
        <w:t xml:space="preserve"> representative</w:t>
      </w:r>
      <w:r w:rsidR="002827A0">
        <w:rPr>
          <w:rFonts w:ascii="Arial" w:hAnsi="Arial" w:cs="Arial"/>
          <w:sz w:val="24"/>
          <w:szCs w:val="24"/>
        </w:rPr>
        <w:t xml:space="preserve">: </w:t>
      </w:r>
      <w:r>
        <w:rPr>
          <w:rFonts w:ascii="Arial" w:hAnsi="Arial" w:cs="Arial"/>
          <w:sz w:val="24"/>
          <w:szCs w:val="24"/>
        </w:rPr>
        <w:tab/>
      </w:r>
      <w:r w:rsidR="002827A0">
        <w:rPr>
          <w:rFonts w:ascii="Arial" w:hAnsi="Arial" w:cs="Arial"/>
          <w:sz w:val="24"/>
          <w:szCs w:val="24"/>
        </w:rPr>
        <w:t xml:space="preserve">M </w:t>
      </w:r>
      <w:proofErr w:type="spellStart"/>
      <w:r w:rsidR="002827A0">
        <w:rPr>
          <w:rFonts w:ascii="Arial" w:hAnsi="Arial" w:cs="Arial"/>
          <w:sz w:val="24"/>
          <w:szCs w:val="24"/>
        </w:rPr>
        <w:t>Webbstock</w:t>
      </w:r>
      <w:proofErr w:type="spellEnd"/>
    </w:p>
    <w:p w14:paraId="262A08BD" w14:textId="6EA60E11" w:rsidR="005B39C1" w:rsidRDefault="00DF6B14" w:rsidP="001A767B">
      <w:pPr>
        <w:tabs>
          <w:tab w:val="left" w:pos="3402"/>
        </w:tabs>
        <w:spacing w:line="360" w:lineRule="auto"/>
        <w:jc w:val="both"/>
        <w:rPr>
          <w:rFonts w:ascii="Arial" w:hAnsi="Arial" w:cs="Arial"/>
          <w:sz w:val="24"/>
          <w:szCs w:val="24"/>
        </w:rPr>
      </w:pPr>
      <w:r>
        <w:rPr>
          <w:rFonts w:ascii="Arial" w:hAnsi="Arial" w:cs="Arial"/>
          <w:sz w:val="24"/>
          <w:szCs w:val="24"/>
        </w:rPr>
        <w:t>Instructed by</w:t>
      </w:r>
      <w:r w:rsidR="005B39C1">
        <w:rPr>
          <w:rFonts w:ascii="Arial" w:hAnsi="Arial" w:cs="Arial"/>
          <w:sz w:val="24"/>
          <w:szCs w:val="24"/>
        </w:rPr>
        <w:t xml:space="preserve">: </w:t>
      </w:r>
      <w:r>
        <w:rPr>
          <w:rFonts w:ascii="Arial" w:hAnsi="Arial" w:cs="Arial"/>
          <w:sz w:val="24"/>
          <w:szCs w:val="24"/>
        </w:rPr>
        <w:tab/>
      </w:r>
      <w:r w:rsidR="001A767B">
        <w:rPr>
          <w:rFonts w:ascii="Arial" w:hAnsi="Arial" w:cs="Arial"/>
          <w:sz w:val="24"/>
          <w:szCs w:val="24"/>
        </w:rPr>
        <w:t>J.C Van Der Merwe Attorneys</w:t>
      </w:r>
    </w:p>
    <w:p w14:paraId="359DFD0C" w14:textId="77777777" w:rsidR="005B39C1" w:rsidRDefault="005B39C1" w:rsidP="001A767B">
      <w:pPr>
        <w:tabs>
          <w:tab w:val="left" w:pos="3402"/>
        </w:tabs>
        <w:spacing w:line="360" w:lineRule="auto"/>
        <w:jc w:val="both"/>
        <w:rPr>
          <w:rFonts w:ascii="Arial" w:hAnsi="Arial" w:cs="Arial"/>
          <w:sz w:val="24"/>
          <w:szCs w:val="24"/>
        </w:rPr>
      </w:pPr>
      <w:r>
        <w:rPr>
          <w:rFonts w:ascii="Arial" w:hAnsi="Arial" w:cs="Arial"/>
          <w:sz w:val="24"/>
          <w:szCs w:val="24"/>
        </w:rPr>
        <w:lastRenderedPageBreak/>
        <w:tab/>
      </w:r>
    </w:p>
    <w:p w14:paraId="09018CA8" w14:textId="75439549" w:rsidR="005B39C1" w:rsidRDefault="00DF6B14" w:rsidP="001A767B">
      <w:pPr>
        <w:tabs>
          <w:tab w:val="left" w:pos="3402"/>
        </w:tabs>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12</w:t>
      </w:r>
      <w:r w:rsidR="005B39C1">
        <w:rPr>
          <w:rFonts w:ascii="Arial" w:hAnsi="Arial" w:cs="Arial"/>
          <w:sz w:val="24"/>
          <w:szCs w:val="24"/>
        </w:rPr>
        <w:t xml:space="preserve"> April 2022</w:t>
      </w:r>
    </w:p>
    <w:p w14:paraId="784F33D0" w14:textId="6AAC67DD" w:rsidR="00D65F2D" w:rsidRDefault="00D95A5A" w:rsidP="00D95A5A">
      <w:pPr>
        <w:tabs>
          <w:tab w:val="left" w:pos="3402"/>
        </w:tabs>
        <w:spacing w:line="360" w:lineRule="auto"/>
        <w:jc w:val="both"/>
        <w:rPr>
          <w:rFonts w:ascii="Arial" w:hAnsi="Arial" w:cs="Arial"/>
          <w:b/>
          <w:sz w:val="24"/>
          <w:szCs w:val="24"/>
          <w:u w:val="single"/>
        </w:rPr>
      </w:pPr>
      <w:r>
        <w:rPr>
          <w:rFonts w:ascii="Arial" w:hAnsi="Arial" w:cs="Arial"/>
          <w:sz w:val="24"/>
          <w:szCs w:val="24"/>
        </w:rPr>
        <w:t>Date of judgment:</w:t>
      </w:r>
      <w:r>
        <w:rPr>
          <w:rFonts w:ascii="Arial" w:hAnsi="Arial" w:cs="Arial"/>
          <w:sz w:val="24"/>
          <w:szCs w:val="24"/>
        </w:rPr>
        <w:tab/>
        <w:t>14 October 2022</w:t>
      </w: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BB61" w14:textId="77777777" w:rsidR="008A1B4C" w:rsidRDefault="008A1B4C">
      <w:r>
        <w:separator/>
      </w:r>
    </w:p>
  </w:endnote>
  <w:endnote w:type="continuationSeparator" w:id="0">
    <w:p w14:paraId="1D7F91A1" w14:textId="77777777" w:rsidR="008A1B4C" w:rsidRDefault="008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B995" w14:textId="7BD24169" w:rsidR="00066D1C" w:rsidRDefault="00066D1C">
    <w:pPr>
      <w:pStyle w:val="Footer"/>
      <w:jc w:val="center"/>
    </w:pPr>
    <w:r>
      <w:fldChar w:fldCharType="begin"/>
    </w:r>
    <w:r>
      <w:instrText xml:space="preserve"> PAGE   \* MERGEFORMAT </w:instrText>
    </w:r>
    <w:r>
      <w:fldChar w:fldCharType="separate"/>
    </w:r>
    <w:r w:rsidR="00442DDA">
      <w:rPr>
        <w:noProof/>
      </w:rPr>
      <w:t>3</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4221" w14:textId="77777777" w:rsidR="008A1B4C" w:rsidRDefault="008A1B4C">
      <w:r>
        <w:separator/>
      </w:r>
    </w:p>
  </w:footnote>
  <w:footnote w:type="continuationSeparator" w:id="0">
    <w:p w14:paraId="7EA3E77B" w14:textId="77777777" w:rsidR="008A1B4C" w:rsidRDefault="008A1B4C">
      <w:r>
        <w:continuationSeparator/>
      </w:r>
    </w:p>
  </w:footnote>
  <w:footnote w:id="1">
    <w:p w14:paraId="06C92C18" w14:textId="4B6D12B0" w:rsidR="00AA786D" w:rsidRDefault="00AA786D">
      <w:pPr>
        <w:pStyle w:val="FootnoteText"/>
      </w:pPr>
      <w:r>
        <w:rPr>
          <w:rStyle w:val="FootnoteReference"/>
        </w:rPr>
        <w:footnoteRef/>
      </w:r>
      <w:r>
        <w:t xml:space="preserve"> 2019 (1) SA 398 (SCA)</w:t>
      </w:r>
    </w:p>
  </w:footnote>
  <w:footnote w:id="2">
    <w:p w14:paraId="406B2AEE" w14:textId="696BF0E3" w:rsidR="00B06887" w:rsidRDefault="00B06887">
      <w:pPr>
        <w:pStyle w:val="FootnoteText"/>
      </w:pPr>
      <w:r>
        <w:rPr>
          <w:rStyle w:val="FootnoteReference"/>
        </w:rPr>
        <w:footnoteRef/>
      </w:r>
      <w:r>
        <w:t xml:space="preserve"> Evidence of their awareness is contained in the application to strike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3EEC2B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5987215">
    <w:abstractNumId w:val="2"/>
  </w:num>
  <w:num w:numId="2" w16cid:durableId="1594165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673033">
    <w:abstractNumId w:val="7"/>
  </w:num>
  <w:num w:numId="4" w16cid:durableId="1258099698">
    <w:abstractNumId w:val="1"/>
  </w:num>
  <w:num w:numId="5" w16cid:durableId="1557814947">
    <w:abstractNumId w:val="0"/>
  </w:num>
  <w:num w:numId="6" w16cid:durableId="1141969076">
    <w:abstractNumId w:val="6"/>
  </w:num>
  <w:num w:numId="7" w16cid:durableId="1781334844">
    <w:abstractNumId w:val="3"/>
  </w:num>
  <w:num w:numId="8" w16cid:durableId="1747418643">
    <w:abstractNumId w:val="5"/>
  </w:num>
  <w:num w:numId="9" w16cid:durableId="742489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6A"/>
    <w:rsid w:val="00007BCA"/>
    <w:rsid w:val="00031CE9"/>
    <w:rsid w:val="00036B04"/>
    <w:rsid w:val="00054DAC"/>
    <w:rsid w:val="00060B91"/>
    <w:rsid w:val="0006384C"/>
    <w:rsid w:val="00066559"/>
    <w:rsid w:val="00066D1C"/>
    <w:rsid w:val="00071549"/>
    <w:rsid w:val="00090E26"/>
    <w:rsid w:val="000B2159"/>
    <w:rsid w:val="000B4DEF"/>
    <w:rsid w:val="000C7859"/>
    <w:rsid w:val="000E07CF"/>
    <w:rsid w:val="000F3AD1"/>
    <w:rsid w:val="001105F8"/>
    <w:rsid w:val="0012115A"/>
    <w:rsid w:val="0014332D"/>
    <w:rsid w:val="0014370C"/>
    <w:rsid w:val="00173304"/>
    <w:rsid w:val="00174008"/>
    <w:rsid w:val="001A0A73"/>
    <w:rsid w:val="001A767B"/>
    <w:rsid w:val="001D3946"/>
    <w:rsid w:val="001D5240"/>
    <w:rsid w:val="001E5483"/>
    <w:rsid w:val="001F28ED"/>
    <w:rsid w:val="00207E22"/>
    <w:rsid w:val="00255808"/>
    <w:rsid w:val="00280851"/>
    <w:rsid w:val="002827A0"/>
    <w:rsid w:val="00287834"/>
    <w:rsid w:val="002A07D0"/>
    <w:rsid w:val="002A5C89"/>
    <w:rsid w:val="002C0251"/>
    <w:rsid w:val="002C4958"/>
    <w:rsid w:val="002C6802"/>
    <w:rsid w:val="00307F65"/>
    <w:rsid w:val="003120D2"/>
    <w:rsid w:val="00324094"/>
    <w:rsid w:val="0033486A"/>
    <w:rsid w:val="00366942"/>
    <w:rsid w:val="003729A0"/>
    <w:rsid w:val="0037769C"/>
    <w:rsid w:val="00377A5F"/>
    <w:rsid w:val="00377B14"/>
    <w:rsid w:val="00393BC1"/>
    <w:rsid w:val="003A1D05"/>
    <w:rsid w:val="003C1B1C"/>
    <w:rsid w:val="003E0B09"/>
    <w:rsid w:val="00415120"/>
    <w:rsid w:val="004261BB"/>
    <w:rsid w:val="00431D67"/>
    <w:rsid w:val="00442DDA"/>
    <w:rsid w:val="004A763F"/>
    <w:rsid w:val="004E0179"/>
    <w:rsid w:val="00502D65"/>
    <w:rsid w:val="00516917"/>
    <w:rsid w:val="005514FE"/>
    <w:rsid w:val="00580081"/>
    <w:rsid w:val="00597E5D"/>
    <w:rsid w:val="005B39C1"/>
    <w:rsid w:val="005B4756"/>
    <w:rsid w:val="005B5C5C"/>
    <w:rsid w:val="005C22B7"/>
    <w:rsid w:val="005E53BA"/>
    <w:rsid w:val="005F14C2"/>
    <w:rsid w:val="00607BD2"/>
    <w:rsid w:val="00667A2C"/>
    <w:rsid w:val="006767F7"/>
    <w:rsid w:val="00694B56"/>
    <w:rsid w:val="006B626C"/>
    <w:rsid w:val="006B6EE9"/>
    <w:rsid w:val="006C4688"/>
    <w:rsid w:val="006E0EB9"/>
    <w:rsid w:val="006E2972"/>
    <w:rsid w:val="006F7753"/>
    <w:rsid w:val="006F7E4F"/>
    <w:rsid w:val="007008D0"/>
    <w:rsid w:val="00704E9A"/>
    <w:rsid w:val="00715451"/>
    <w:rsid w:val="00726017"/>
    <w:rsid w:val="00733468"/>
    <w:rsid w:val="007503A9"/>
    <w:rsid w:val="0075184D"/>
    <w:rsid w:val="00777EC8"/>
    <w:rsid w:val="00777F61"/>
    <w:rsid w:val="007A7DAF"/>
    <w:rsid w:val="007D0336"/>
    <w:rsid w:val="007D1AF9"/>
    <w:rsid w:val="007D1EEC"/>
    <w:rsid w:val="007D779A"/>
    <w:rsid w:val="007F12FF"/>
    <w:rsid w:val="00806EA5"/>
    <w:rsid w:val="00815849"/>
    <w:rsid w:val="00816DCE"/>
    <w:rsid w:val="00875EED"/>
    <w:rsid w:val="008838F7"/>
    <w:rsid w:val="008A1B4C"/>
    <w:rsid w:val="008B1D0D"/>
    <w:rsid w:val="008B2EE1"/>
    <w:rsid w:val="008D5184"/>
    <w:rsid w:val="008E1BF1"/>
    <w:rsid w:val="009308B9"/>
    <w:rsid w:val="00935E6E"/>
    <w:rsid w:val="00951E81"/>
    <w:rsid w:val="009524F1"/>
    <w:rsid w:val="00953220"/>
    <w:rsid w:val="00955FAD"/>
    <w:rsid w:val="00967237"/>
    <w:rsid w:val="009736C7"/>
    <w:rsid w:val="00983956"/>
    <w:rsid w:val="009B0C32"/>
    <w:rsid w:val="009E726B"/>
    <w:rsid w:val="009F0BFB"/>
    <w:rsid w:val="009F19D3"/>
    <w:rsid w:val="009F236D"/>
    <w:rsid w:val="00A01AF7"/>
    <w:rsid w:val="00A03B12"/>
    <w:rsid w:val="00A21179"/>
    <w:rsid w:val="00A22961"/>
    <w:rsid w:val="00A2340B"/>
    <w:rsid w:val="00A2746E"/>
    <w:rsid w:val="00A278EE"/>
    <w:rsid w:val="00A367A2"/>
    <w:rsid w:val="00A456B0"/>
    <w:rsid w:val="00A56A41"/>
    <w:rsid w:val="00A7533C"/>
    <w:rsid w:val="00A81E30"/>
    <w:rsid w:val="00A9158F"/>
    <w:rsid w:val="00A94307"/>
    <w:rsid w:val="00AA36D1"/>
    <w:rsid w:val="00AA786D"/>
    <w:rsid w:val="00AB041B"/>
    <w:rsid w:val="00AC2959"/>
    <w:rsid w:val="00AD1701"/>
    <w:rsid w:val="00AD56EC"/>
    <w:rsid w:val="00AE70ED"/>
    <w:rsid w:val="00B03CFB"/>
    <w:rsid w:val="00B06887"/>
    <w:rsid w:val="00B160A2"/>
    <w:rsid w:val="00B26619"/>
    <w:rsid w:val="00B97DAF"/>
    <w:rsid w:val="00BB2B65"/>
    <w:rsid w:val="00BB6A49"/>
    <w:rsid w:val="00BC1597"/>
    <w:rsid w:val="00BC15E4"/>
    <w:rsid w:val="00BC1E32"/>
    <w:rsid w:val="00BC4AFB"/>
    <w:rsid w:val="00BC54DF"/>
    <w:rsid w:val="00BD343C"/>
    <w:rsid w:val="00BD79E0"/>
    <w:rsid w:val="00C15349"/>
    <w:rsid w:val="00C21A7C"/>
    <w:rsid w:val="00C248C4"/>
    <w:rsid w:val="00C32070"/>
    <w:rsid w:val="00C3688A"/>
    <w:rsid w:val="00C42257"/>
    <w:rsid w:val="00C45F4C"/>
    <w:rsid w:val="00C54D47"/>
    <w:rsid w:val="00C82DBA"/>
    <w:rsid w:val="00CA3CF4"/>
    <w:rsid w:val="00CB2D2D"/>
    <w:rsid w:val="00CB35AC"/>
    <w:rsid w:val="00CC3E63"/>
    <w:rsid w:val="00CC5505"/>
    <w:rsid w:val="00CE6C7A"/>
    <w:rsid w:val="00D22407"/>
    <w:rsid w:val="00D46B64"/>
    <w:rsid w:val="00D65F2D"/>
    <w:rsid w:val="00D8146A"/>
    <w:rsid w:val="00D95A5A"/>
    <w:rsid w:val="00DA3E1D"/>
    <w:rsid w:val="00DE0E83"/>
    <w:rsid w:val="00DF6B14"/>
    <w:rsid w:val="00DF770A"/>
    <w:rsid w:val="00E52D8A"/>
    <w:rsid w:val="00E602CE"/>
    <w:rsid w:val="00E621E5"/>
    <w:rsid w:val="00E6380D"/>
    <w:rsid w:val="00E6763A"/>
    <w:rsid w:val="00E91EFE"/>
    <w:rsid w:val="00EC5245"/>
    <w:rsid w:val="00EC793E"/>
    <w:rsid w:val="00ED366A"/>
    <w:rsid w:val="00F0525B"/>
    <w:rsid w:val="00F05C21"/>
    <w:rsid w:val="00F54431"/>
    <w:rsid w:val="00F97A95"/>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customStyle="1" w:styleId="WerksmansStyle1">
    <w:name w:val="Werksmans_Style1"/>
    <w:basedOn w:val="Normal"/>
    <w:next w:val="Normal"/>
    <w:link w:val="WerksmansStyle1Char"/>
    <w:rsid w:val="00D95A5A"/>
    <w:pPr>
      <w:numPr>
        <w:numId w:val="9"/>
      </w:numPr>
      <w:suppressAutoHyphens/>
      <w:spacing w:line="480" w:lineRule="auto"/>
      <w:jc w:val="both"/>
      <w:outlineLvl w:val="0"/>
    </w:pPr>
    <w:rPr>
      <w:rFonts w:ascii="Arial" w:eastAsia="Times New Roman" w:hAnsi="Arial" w:cs="Times New Roman"/>
      <w:snapToGrid w:val="0"/>
      <w:sz w:val="24"/>
      <w:szCs w:val="20"/>
      <w:lang w:val="en-GB" w:eastAsia="en-US"/>
    </w:rPr>
  </w:style>
  <w:style w:type="paragraph" w:customStyle="1" w:styleId="WerksmansStyle2">
    <w:name w:val="Werksmans_Style2"/>
    <w:basedOn w:val="Normal"/>
    <w:next w:val="Normal"/>
    <w:rsid w:val="00D95A5A"/>
    <w:pPr>
      <w:numPr>
        <w:ilvl w:val="1"/>
        <w:numId w:val="9"/>
      </w:numPr>
      <w:suppressAutoHyphens/>
      <w:spacing w:line="480" w:lineRule="auto"/>
      <w:jc w:val="both"/>
      <w:outlineLvl w:val="1"/>
    </w:pPr>
    <w:rPr>
      <w:rFonts w:ascii="Arial" w:eastAsia="Times New Roman" w:hAnsi="Arial" w:cs="Times New Roman"/>
      <w:snapToGrid w:val="0"/>
      <w:sz w:val="24"/>
      <w:szCs w:val="20"/>
      <w:lang w:val="en-GB" w:eastAsia="en-US"/>
    </w:rPr>
  </w:style>
  <w:style w:type="paragraph" w:customStyle="1" w:styleId="WerksmansStyle3">
    <w:name w:val="Werksmans_Style3"/>
    <w:basedOn w:val="Normal"/>
    <w:next w:val="Normal"/>
    <w:rsid w:val="00D95A5A"/>
    <w:pPr>
      <w:numPr>
        <w:ilvl w:val="2"/>
        <w:numId w:val="9"/>
      </w:numPr>
      <w:suppressAutoHyphens/>
      <w:spacing w:line="480" w:lineRule="auto"/>
      <w:jc w:val="both"/>
      <w:outlineLvl w:val="2"/>
    </w:pPr>
    <w:rPr>
      <w:rFonts w:ascii="Arial" w:eastAsia="Times New Roman" w:hAnsi="Arial" w:cs="Times New Roman"/>
      <w:snapToGrid w:val="0"/>
      <w:sz w:val="24"/>
      <w:szCs w:val="20"/>
      <w:lang w:val="en-GB" w:eastAsia="en-US"/>
    </w:rPr>
  </w:style>
  <w:style w:type="paragraph" w:customStyle="1" w:styleId="WerksmansStyle4">
    <w:name w:val="Werksmans_Style4"/>
    <w:basedOn w:val="Normal"/>
    <w:next w:val="Normal"/>
    <w:rsid w:val="00D95A5A"/>
    <w:pPr>
      <w:numPr>
        <w:ilvl w:val="3"/>
        <w:numId w:val="9"/>
      </w:numPr>
      <w:suppressAutoHyphens/>
      <w:spacing w:line="480" w:lineRule="auto"/>
      <w:jc w:val="both"/>
      <w:outlineLvl w:val="3"/>
    </w:pPr>
    <w:rPr>
      <w:rFonts w:ascii="Arial" w:eastAsia="Times New Roman" w:hAnsi="Arial" w:cs="Times New Roman"/>
      <w:snapToGrid w:val="0"/>
      <w:sz w:val="24"/>
      <w:szCs w:val="20"/>
      <w:lang w:val="en-GB" w:eastAsia="en-US"/>
    </w:rPr>
  </w:style>
  <w:style w:type="paragraph" w:customStyle="1" w:styleId="WerksmansStyle5">
    <w:name w:val="Werksmans_Style5"/>
    <w:basedOn w:val="Normal"/>
    <w:next w:val="Normal"/>
    <w:rsid w:val="00D95A5A"/>
    <w:pPr>
      <w:numPr>
        <w:ilvl w:val="4"/>
        <w:numId w:val="9"/>
      </w:numPr>
      <w:suppressAutoHyphens/>
      <w:spacing w:line="480" w:lineRule="auto"/>
      <w:jc w:val="both"/>
      <w:outlineLvl w:val="4"/>
    </w:pPr>
    <w:rPr>
      <w:rFonts w:ascii="Arial" w:eastAsia="Times New Roman" w:hAnsi="Arial" w:cs="Times New Roman"/>
      <w:snapToGrid w:val="0"/>
      <w:sz w:val="24"/>
      <w:szCs w:val="20"/>
      <w:lang w:val="en-GB" w:eastAsia="en-US"/>
    </w:rPr>
  </w:style>
  <w:style w:type="paragraph" w:customStyle="1" w:styleId="WerksmansStyle6">
    <w:name w:val="Werksmans_Style6"/>
    <w:basedOn w:val="Normal"/>
    <w:next w:val="Normal"/>
    <w:rsid w:val="00D95A5A"/>
    <w:pPr>
      <w:numPr>
        <w:ilvl w:val="5"/>
        <w:numId w:val="9"/>
      </w:numPr>
      <w:suppressAutoHyphens/>
      <w:spacing w:line="480" w:lineRule="auto"/>
      <w:jc w:val="both"/>
      <w:outlineLvl w:val="5"/>
    </w:pPr>
    <w:rPr>
      <w:rFonts w:ascii="Arial" w:eastAsia="Times New Roman" w:hAnsi="Arial" w:cs="Times New Roman"/>
      <w:snapToGrid w:val="0"/>
      <w:sz w:val="24"/>
      <w:szCs w:val="20"/>
      <w:lang w:val="en-GB" w:eastAsia="en-US"/>
    </w:rPr>
  </w:style>
  <w:style w:type="paragraph" w:customStyle="1" w:styleId="WerksmansStyle7">
    <w:name w:val="Werksmans_Style7"/>
    <w:basedOn w:val="Normal"/>
    <w:next w:val="Normal"/>
    <w:rsid w:val="00D95A5A"/>
    <w:pPr>
      <w:numPr>
        <w:ilvl w:val="6"/>
        <w:numId w:val="9"/>
      </w:numPr>
      <w:suppressAutoHyphens/>
      <w:spacing w:line="480" w:lineRule="auto"/>
      <w:jc w:val="both"/>
      <w:outlineLvl w:val="6"/>
    </w:pPr>
    <w:rPr>
      <w:rFonts w:ascii="Arial" w:eastAsia="Times New Roman" w:hAnsi="Arial" w:cs="Times New Roman"/>
      <w:snapToGrid w:val="0"/>
      <w:sz w:val="24"/>
      <w:szCs w:val="20"/>
      <w:lang w:val="en-GB" w:eastAsia="en-US"/>
    </w:rPr>
  </w:style>
  <w:style w:type="paragraph" w:customStyle="1" w:styleId="WerksmansStyle8">
    <w:name w:val="Werksmans_Style8"/>
    <w:basedOn w:val="Normal"/>
    <w:next w:val="Normal"/>
    <w:rsid w:val="00D95A5A"/>
    <w:pPr>
      <w:numPr>
        <w:ilvl w:val="7"/>
        <w:numId w:val="9"/>
      </w:numPr>
      <w:suppressAutoHyphens/>
      <w:spacing w:line="480" w:lineRule="auto"/>
      <w:jc w:val="both"/>
      <w:outlineLvl w:val="7"/>
    </w:pPr>
    <w:rPr>
      <w:rFonts w:ascii="Arial" w:eastAsia="Times New Roman" w:hAnsi="Arial" w:cs="Times New Roman"/>
      <w:snapToGrid w:val="0"/>
      <w:sz w:val="24"/>
      <w:szCs w:val="20"/>
      <w:lang w:val="en-GB" w:eastAsia="en-US"/>
    </w:rPr>
  </w:style>
  <w:style w:type="paragraph" w:customStyle="1" w:styleId="WerksmansStyle9">
    <w:name w:val="Werksmans_Style9"/>
    <w:basedOn w:val="Normal"/>
    <w:next w:val="Normal"/>
    <w:rsid w:val="00D95A5A"/>
    <w:pPr>
      <w:numPr>
        <w:ilvl w:val="8"/>
        <w:numId w:val="9"/>
      </w:numPr>
      <w:suppressAutoHyphens/>
      <w:spacing w:line="480" w:lineRule="auto"/>
      <w:jc w:val="both"/>
      <w:outlineLvl w:val="8"/>
    </w:pPr>
    <w:rPr>
      <w:rFonts w:ascii="Arial" w:eastAsia="Times New Roman" w:hAnsi="Arial" w:cs="Times New Roman"/>
      <w:snapToGrid w:val="0"/>
      <w:sz w:val="24"/>
      <w:szCs w:val="20"/>
      <w:lang w:val="en-GB" w:eastAsia="en-US"/>
    </w:rPr>
  </w:style>
  <w:style w:type="character" w:customStyle="1" w:styleId="WerksmansStyle1Char">
    <w:name w:val="Werksmans_Style1 Char"/>
    <w:link w:val="WerksmansStyle1"/>
    <w:rsid w:val="00D95A5A"/>
    <w:rPr>
      <w:rFonts w:ascii="Arial" w:eastAsia="Times New Roman" w:hAnsi="Arial" w:cs="Times New Roman"/>
      <w:snapToGrid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9F8D-05ED-4B1E-AB2B-8F8B8282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Mariana Anguelov</cp:lastModifiedBy>
  <cp:revision>3</cp:revision>
  <dcterms:created xsi:type="dcterms:W3CDTF">2022-10-20T10:11:00Z</dcterms:created>
  <dcterms:modified xsi:type="dcterms:W3CDTF">2022-10-21T16:22:00Z</dcterms:modified>
</cp:coreProperties>
</file>