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45431" w14:textId="77777777" w:rsidR="00963F04" w:rsidRDefault="00963F04" w:rsidP="00963F04">
      <w:pPr>
        <w:spacing w:after="0" w:line="360" w:lineRule="auto"/>
        <w:ind w:left="-84"/>
        <w:jc w:val="center"/>
        <w:rPr>
          <w:rFonts w:ascii="Arial" w:eastAsia="Times New Roman" w:hAnsi="Arial" w:cs="Arial"/>
          <w:b/>
          <w:kern w:val="1"/>
          <w:sz w:val="24"/>
          <w:szCs w:val="24"/>
        </w:rPr>
      </w:pPr>
      <w:r>
        <w:rPr>
          <w:rFonts w:ascii="Lato" w:eastAsia="Times New Roman" w:hAnsi="Lato" w:cs="Arial"/>
          <w:color w:val="212529"/>
          <w:kern w:val="1"/>
          <w:sz w:val="21"/>
          <w:szCs w:val="24"/>
        </w:rPr>
        <w:t>Editorial note: Certain information has been redacted from this judgment in compliance with the law.</w:t>
      </w:r>
      <w:r>
        <w:rPr>
          <w:rFonts w:ascii="Arial" w:eastAsia="Times New Roman" w:hAnsi="Arial" w:cs="Arial"/>
          <w:b/>
          <w:kern w:val="1"/>
          <w:sz w:val="24"/>
          <w:szCs w:val="24"/>
        </w:rPr>
        <w:t xml:space="preserve"> </w:t>
      </w:r>
    </w:p>
    <w:p w14:paraId="3ADEBC3C" w14:textId="77777777" w:rsidR="00963F04" w:rsidRDefault="00963F04" w:rsidP="007254A0">
      <w:pPr>
        <w:jc w:val="center"/>
        <w:rPr>
          <w:rFonts w:ascii="Arial" w:hAnsi="Arial" w:cs="Arial"/>
          <w:b/>
          <w:bCs/>
          <w:sz w:val="24"/>
          <w:szCs w:val="24"/>
        </w:rPr>
      </w:pPr>
    </w:p>
    <w:p w14:paraId="5870A225" w14:textId="6F5348AB" w:rsidR="002505AE" w:rsidRPr="002505AE" w:rsidRDefault="002505AE" w:rsidP="007254A0">
      <w:pPr>
        <w:jc w:val="center"/>
        <w:rPr>
          <w:rFonts w:ascii="Arial" w:hAnsi="Arial" w:cs="Arial"/>
          <w:b/>
          <w:bCs/>
          <w:sz w:val="24"/>
          <w:szCs w:val="24"/>
        </w:rPr>
      </w:pPr>
      <w:bookmarkStart w:id="0" w:name="_GoBack"/>
      <w:bookmarkEnd w:id="0"/>
      <w:r w:rsidRPr="002505AE">
        <w:rPr>
          <w:rFonts w:ascii="Arial" w:hAnsi="Arial" w:cs="Arial"/>
          <w:b/>
          <w:bCs/>
          <w:sz w:val="24"/>
          <w:szCs w:val="24"/>
        </w:rPr>
        <w:t>REPUBLIC OF SOUTH AFRICA</w:t>
      </w:r>
    </w:p>
    <w:p w14:paraId="6917CB51" w14:textId="1DB52DDF" w:rsidR="002505AE" w:rsidRDefault="002505AE" w:rsidP="007254A0">
      <w:pPr>
        <w:jc w:val="center"/>
        <w:rPr>
          <w:rFonts w:ascii="Arial" w:hAnsi="Arial" w:cs="Arial"/>
          <w:b/>
          <w:bCs/>
        </w:rPr>
      </w:pPr>
      <w:r>
        <w:rPr>
          <w:rFonts w:ascii="Arial" w:hAnsi="Arial" w:cs="Arial"/>
          <w:b/>
          <w:bCs/>
          <w:noProof/>
          <w:lang w:val="en-US"/>
        </w:rPr>
        <w:drawing>
          <wp:inline distT="0" distB="0" distL="0" distR="0" wp14:anchorId="0F360FDD" wp14:editId="5035095E">
            <wp:extent cx="1353185" cy="13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59B387B3" w14:textId="794D84D0" w:rsidR="007254A0" w:rsidRPr="002505AE" w:rsidRDefault="007254A0" w:rsidP="002505AE">
      <w:pPr>
        <w:jc w:val="center"/>
        <w:rPr>
          <w:rFonts w:ascii="Arial" w:hAnsi="Arial" w:cs="Arial"/>
          <w:b/>
          <w:bCs/>
          <w:sz w:val="24"/>
          <w:szCs w:val="24"/>
        </w:rPr>
      </w:pPr>
      <w:r w:rsidRPr="002505AE">
        <w:rPr>
          <w:rFonts w:ascii="Arial" w:hAnsi="Arial" w:cs="Arial"/>
          <w:b/>
          <w:bCs/>
          <w:sz w:val="24"/>
          <w:szCs w:val="24"/>
        </w:rPr>
        <w:t>IN THE HIGH COURT OF SOUTH AFRICA</w:t>
      </w:r>
    </w:p>
    <w:p w14:paraId="27A6EBE6" w14:textId="55CDFC3E" w:rsidR="007254A0" w:rsidRDefault="002505AE" w:rsidP="002505AE">
      <w:pPr>
        <w:jc w:val="center"/>
        <w:rPr>
          <w:rFonts w:ascii="Arial" w:hAnsi="Arial" w:cs="Arial"/>
          <w:b/>
          <w:bCs/>
          <w:sz w:val="24"/>
          <w:szCs w:val="24"/>
        </w:rPr>
      </w:pPr>
      <w:r>
        <w:rPr>
          <w:rFonts w:ascii="Arial" w:hAnsi="Arial" w:cs="Arial"/>
          <w:b/>
          <w:bCs/>
          <w:sz w:val="24"/>
          <w:szCs w:val="24"/>
        </w:rPr>
        <w:t xml:space="preserve"> </w:t>
      </w:r>
      <w:r w:rsidR="007254A0" w:rsidRPr="002505AE">
        <w:rPr>
          <w:rFonts w:ascii="Arial" w:hAnsi="Arial" w:cs="Arial"/>
          <w:b/>
          <w:bCs/>
          <w:sz w:val="24"/>
          <w:szCs w:val="24"/>
        </w:rPr>
        <w:t>(GAUTENG DIVISION, JOHANNESBURG)</w:t>
      </w:r>
    </w:p>
    <w:p w14:paraId="5A52BC46" w14:textId="47C9FB83" w:rsidR="002505AE" w:rsidRPr="002505AE" w:rsidRDefault="002505AE" w:rsidP="002505AE">
      <w:pPr>
        <w:jc w:val="center"/>
        <w:rPr>
          <w:rFonts w:ascii="Arial" w:hAnsi="Arial" w:cs="Arial"/>
          <w:b/>
          <w:bCs/>
          <w:sz w:val="24"/>
          <w:szCs w:val="24"/>
        </w:rPr>
      </w:pPr>
      <w:r w:rsidRPr="002505AE">
        <w:rPr>
          <w:rFonts w:ascii="Arial" w:hAnsi="Arial" w:cs="Arial"/>
          <w:b/>
          <w:bCs/>
          <w:noProof/>
          <w:sz w:val="24"/>
          <w:szCs w:val="24"/>
          <w:lang w:val="en-US"/>
        </w:rPr>
        <mc:AlternateContent>
          <mc:Choice Requires="wps">
            <w:drawing>
              <wp:anchor distT="45720" distB="45720" distL="114300" distR="114300" simplePos="0" relativeHeight="251659264" behindDoc="0" locked="0" layoutInCell="1" allowOverlap="1" wp14:anchorId="2AC2B645" wp14:editId="12A56C85">
                <wp:simplePos x="0" y="0"/>
                <wp:positionH relativeFrom="column">
                  <wp:posOffset>-69850</wp:posOffset>
                </wp:positionH>
                <wp:positionV relativeFrom="paragraph">
                  <wp:posOffset>180975</wp:posOffset>
                </wp:positionV>
                <wp:extent cx="3829050" cy="11684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168400"/>
                        </a:xfrm>
                        <a:prstGeom prst="rect">
                          <a:avLst/>
                        </a:prstGeom>
                        <a:solidFill>
                          <a:srgbClr val="FFFFFF"/>
                        </a:solidFill>
                        <a:ln w="9525">
                          <a:solidFill>
                            <a:srgbClr val="000000"/>
                          </a:solidFill>
                          <a:miter lim="800000"/>
                          <a:headEnd/>
                          <a:tailEnd/>
                        </a:ln>
                      </wps:spPr>
                      <wps:txbx>
                        <w:txbxContent>
                          <w:p w14:paraId="706A6E7A" w14:textId="3BF8A813" w:rsidR="002505AE" w:rsidRDefault="002505AE" w:rsidP="002505AE">
                            <w:r>
                              <w:t>(1)</w:t>
                            </w:r>
                            <w:r>
                              <w:tab/>
                              <w:t xml:space="preserve">REPORTABLE: YES / NO </w:t>
                            </w:r>
                          </w:p>
                          <w:p w14:paraId="3E1D2E1D" w14:textId="73BFCD4A" w:rsidR="002505AE" w:rsidRDefault="002505AE" w:rsidP="002505AE">
                            <w:r>
                              <w:t>(2)</w:t>
                            </w:r>
                            <w:r>
                              <w:tab/>
                              <w:t>OF INTEREST TO OTHER JUDGES: YES / NO</w:t>
                            </w:r>
                          </w:p>
                          <w:p w14:paraId="63C187D0" w14:textId="2EAF18AB" w:rsidR="002505AE" w:rsidRDefault="002505AE" w:rsidP="002505AE">
                            <w:r>
                              <w:t>(3)</w:t>
                            </w:r>
                            <w:r>
                              <w:tab/>
                              <w:t xml:space="preserve">REVISED: YES / NO </w:t>
                            </w:r>
                          </w:p>
                          <w:p w14:paraId="49E1F724" w14:textId="0F834CD3" w:rsidR="002505AE" w:rsidRDefault="002505AE" w:rsidP="002505AE">
                            <w:r>
                              <w:t xml:space="preserve"> DATE: 02 SEPTEMBER 2022</w:t>
                            </w:r>
                            <w:r>
                              <w:tab/>
                            </w:r>
                            <w:r>
                              <w:tab/>
                              <w:t>AJ THUPAATLASE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2AC2B645" id="_x0000_t202" coordsize="21600,21600" o:spt="202" path="m,l,21600r21600,l21600,xe">
                <v:stroke joinstyle="miter"/>
                <v:path gradientshapeok="t" o:connecttype="rect"/>
              </v:shapetype>
              <v:shape id="Text Box 2" o:spid="_x0000_s1026" type="#_x0000_t202" style="position:absolute;left:0;text-align:left;margin-left:-5.5pt;margin-top:14.25pt;width:301.5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">
                <v:textbox>
                  <w:txbxContent>
                    <w:p w14:paraId="706A6E7A" w14:textId="3BF8A813" w:rsidR="002505AE" w:rsidRDefault="002505AE" w:rsidP="002505AE">
                      <w:r>
                        <w:t>(1)</w:t>
                      </w:r>
                      <w:r>
                        <w:tab/>
                        <w:t xml:space="preserve">REPORTABLE: </w:t>
                      </w:r>
                      <w:r>
                        <w:t xml:space="preserve">YES / </w:t>
                      </w:r>
                      <w:r>
                        <w:t xml:space="preserve">NO </w:t>
                      </w:r>
                    </w:p>
                    <w:p w14:paraId="3E1D2E1D" w14:textId="73BFCD4A" w:rsidR="002505AE" w:rsidRDefault="002505AE" w:rsidP="002505AE">
                      <w:r>
                        <w:t>(2)</w:t>
                      </w:r>
                      <w:r>
                        <w:tab/>
                        <w:t xml:space="preserve">OF INTEREST TO OTHER JUDGES: </w:t>
                      </w:r>
                      <w:r>
                        <w:t xml:space="preserve">YES / </w:t>
                      </w:r>
                      <w:r>
                        <w:t>NO</w:t>
                      </w:r>
                    </w:p>
                    <w:p w14:paraId="63C187D0" w14:textId="2EAF18AB" w:rsidR="002505AE" w:rsidRDefault="002505AE" w:rsidP="002505AE">
                      <w:r>
                        <w:t>(3)</w:t>
                      </w:r>
                      <w:r>
                        <w:tab/>
                        <w:t>REVISED</w:t>
                      </w:r>
                      <w:r>
                        <w:t xml:space="preserve">: YES / NO </w:t>
                      </w:r>
                    </w:p>
                    <w:p w14:paraId="49E1F724" w14:textId="0F834CD3" w:rsidR="002505AE" w:rsidRDefault="002505AE" w:rsidP="002505AE">
                      <w:r>
                        <w:t xml:space="preserve"> DATE: 02 SEPTEMBER 2022</w:t>
                      </w:r>
                      <w:r>
                        <w:tab/>
                      </w:r>
                      <w:r>
                        <w:tab/>
                        <w:t>AJ THUPAATLASE</w:t>
                      </w:r>
                    </w:p>
                  </w:txbxContent>
                </v:textbox>
                <w10:wrap type="square"/>
              </v:shape>
            </w:pict>
          </mc:Fallback>
        </mc:AlternateContent>
      </w:r>
    </w:p>
    <w:p w14:paraId="267C0C76" w14:textId="77777777" w:rsidR="006B41A5" w:rsidRDefault="007254A0" w:rsidP="007254A0">
      <w:pPr>
        <w:jc w:val="center"/>
        <w:rPr>
          <w:rFonts w:ascii="Arial" w:hAnsi="Arial" w:cs="Arial"/>
        </w:rPr>
      </w:pPr>
      <w:r w:rsidRPr="007254A0">
        <w:rPr>
          <w:rFonts w:ascii="Arial" w:hAnsi="Arial" w:cs="Arial"/>
        </w:rPr>
        <w:t xml:space="preserve">                                   </w:t>
      </w:r>
    </w:p>
    <w:p w14:paraId="4A183A91" w14:textId="3F89BBB4" w:rsidR="00F13F65" w:rsidRPr="00730FCE" w:rsidRDefault="007254A0" w:rsidP="007254A0">
      <w:pPr>
        <w:jc w:val="center"/>
        <w:rPr>
          <w:rFonts w:ascii="Arial" w:hAnsi="Arial" w:cs="Arial"/>
          <w:b/>
          <w:bCs/>
        </w:rPr>
      </w:pPr>
      <w:r w:rsidRPr="007254A0">
        <w:rPr>
          <w:rFonts w:ascii="Arial" w:hAnsi="Arial" w:cs="Arial"/>
        </w:rPr>
        <w:t xml:space="preserve">                                                                               </w:t>
      </w:r>
      <w:r w:rsidR="0021203E">
        <w:rPr>
          <w:rFonts w:ascii="Arial" w:hAnsi="Arial" w:cs="Arial"/>
          <w:b/>
          <w:bCs/>
        </w:rPr>
        <w:t xml:space="preserve">Case No: </w:t>
      </w:r>
      <w:r w:rsidR="00395889">
        <w:rPr>
          <w:rFonts w:ascii="Arial" w:hAnsi="Arial" w:cs="Arial"/>
          <w:b/>
          <w:bCs/>
        </w:rPr>
        <w:t>18251/2021</w:t>
      </w:r>
    </w:p>
    <w:p w14:paraId="5B5DCA6E" w14:textId="592098A5" w:rsidR="007254A0" w:rsidRDefault="007254A0" w:rsidP="007254A0">
      <w:pPr>
        <w:jc w:val="center"/>
      </w:pPr>
    </w:p>
    <w:p w14:paraId="087ED63E" w14:textId="173704F4" w:rsidR="002505AE" w:rsidRDefault="002505AE" w:rsidP="007254A0">
      <w:pPr>
        <w:rPr>
          <w:rFonts w:ascii="Arial" w:hAnsi="Arial" w:cs="Arial"/>
          <w:b/>
          <w:bCs/>
        </w:rPr>
      </w:pPr>
    </w:p>
    <w:p w14:paraId="10F90D3B" w14:textId="398D9AF7" w:rsidR="007254A0" w:rsidRPr="002505AE" w:rsidRDefault="007254A0" w:rsidP="007254A0">
      <w:pPr>
        <w:rPr>
          <w:rFonts w:ascii="Arial" w:hAnsi="Arial" w:cs="Arial"/>
          <w:b/>
          <w:bCs/>
          <w:sz w:val="24"/>
          <w:szCs w:val="24"/>
        </w:rPr>
      </w:pPr>
      <w:r w:rsidRPr="002505AE">
        <w:rPr>
          <w:rFonts w:ascii="Arial" w:hAnsi="Arial" w:cs="Arial"/>
          <w:b/>
          <w:bCs/>
          <w:sz w:val="24"/>
          <w:szCs w:val="24"/>
        </w:rPr>
        <w:t>In the matter between:</w:t>
      </w:r>
    </w:p>
    <w:p w14:paraId="0076424E" w14:textId="3C34BADB" w:rsidR="007254A0" w:rsidRPr="002505AE" w:rsidRDefault="00192DB1" w:rsidP="007254A0">
      <w:pPr>
        <w:rPr>
          <w:rFonts w:ascii="Arial" w:hAnsi="Arial" w:cs="Arial"/>
          <w:sz w:val="24"/>
          <w:szCs w:val="24"/>
        </w:rPr>
      </w:pPr>
      <w:r w:rsidRPr="002505AE">
        <w:rPr>
          <w:rFonts w:ascii="Arial" w:hAnsi="Arial" w:cs="Arial"/>
          <w:b/>
          <w:bCs/>
          <w:sz w:val="24"/>
          <w:szCs w:val="24"/>
        </w:rPr>
        <w:t>First National Bank</w:t>
      </w:r>
      <w:r w:rsidR="007254A0" w:rsidRPr="002505AE">
        <w:rPr>
          <w:rFonts w:ascii="Arial" w:hAnsi="Arial" w:cs="Arial"/>
          <w:b/>
          <w:bCs/>
          <w:sz w:val="24"/>
          <w:szCs w:val="24"/>
        </w:rPr>
        <w:t xml:space="preserve">                                          </w:t>
      </w:r>
      <w:r w:rsidR="006B41A5" w:rsidRPr="002505AE">
        <w:rPr>
          <w:rFonts w:ascii="Arial" w:hAnsi="Arial" w:cs="Arial"/>
          <w:b/>
          <w:bCs/>
          <w:sz w:val="24"/>
          <w:szCs w:val="24"/>
        </w:rPr>
        <w:t xml:space="preserve">               </w:t>
      </w:r>
      <w:r w:rsidR="007254A0" w:rsidRPr="002505AE">
        <w:rPr>
          <w:rFonts w:ascii="Arial" w:hAnsi="Arial" w:cs="Arial"/>
          <w:b/>
          <w:bCs/>
          <w:sz w:val="24"/>
          <w:szCs w:val="24"/>
        </w:rPr>
        <w:t xml:space="preserve"> Plaintiff</w:t>
      </w:r>
    </w:p>
    <w:p w14:paraId="102C7564" w14:textId="39FA952B" w:rsidR="007254A0" w:rsidRPr="002505AE" w:rsidRDefault="007254A0" w:rsidP="007254A0">
      <w:pPr>
        <w:rPr>
          <w:rFonts w:ascii="Arial" w:hAnsi="Arial" w:cs="Arial"/>
          <w:b/>
          <w:bCs/>
          <w:sz w:val="24"/>
          <w:szCs w:val="24"/>
        </w:rPr>
      </w:pPr>
      <w:r w:rsidRPr="002505AE">
        <w:rPr>
          <w:rFonts w:ascii="Arial" w:hAnsi="Arial" w:cs="Arial"/>
          <w:b/>
          <w:bCs/>
          <w:sz w:val="24"/>
          <w:szCs w:val="24"/>
        </w:rPr>
        <w:t xml:space="preserve">And </w:t>
      </w:r>
    </w:p>
    <w:p w14:paraId="63894125" w14:textId="7895FB4E" w:rsidR="007254A0" w:rsidRDefault="00395889" w:rsidP="00730FCE">
      <w:pPr>
        <w:rPr>
          <w:rFonts w:ascii="Arial" w:hAnsi="Arial" w:cs="Arial"/>
          <w:b/>
          <w:bCs/>
          <w:sz w:val="24"/>
          <w:szCs w:val="24"/>
        </w:rPr>
      </w:pPr>
      <w:r>
        <w:rPr>
          <w:rFonts w:ascii="Arial" w:hAnsi="Arial" w:cs="Arial"/>
          <w:b/>
          <w:bCs/>
          <w:sz w:val="24"/>
          <w:szCs w:val="24"/>
        </w:rPr>
        <w:t>Mu</w:t>
      </w:r>
      <w:r w:rsidR="00192DB1" w:rsidRPr="002505AE">
        <w:rPr>
          <w:rFonts w:ascii="Arial" w:hAnsi="Arial" w:cs="Arial"/>
          <w:b/>
          <w:bCs/>
          <w:sz w:val="24"/>
          <w:szCs w:val="24"/>
        </w:rPr>
        <w:t>c</w:t>
      </w:r>
      <w:r>
        <w:rPr>
          <w:rFonts w:ascii="Arial" w:hAnsi="Arial" w:cs="Arial"/>
          <w:b/>
          <w:bCs/>
          <w:sz w:val="24"/>
          <w:szCs w:val="24"/>
        </w:rPr>
        <w:t>a</w:t>
      </w:r>
      <w:r w:rsidR="00F30E5F" w:rsidRPr="002505AE">
        <w:rPr>
          <w:rFonts w:ascii="Arial" w:hAnsi="Arial" w:cs="Arial"/>
          <w:b/>
          <w:bCs/>
          <w:sz w:val="24"/>
          <w:szCs w:val="24"/>
        </w:rPr>
        <w:t xml:space="preserve">bel Pearl </w:t>
      </w:r>
      <w:r w:rsidR="007254A0" w:rsidRPr="002505AE">
        <w:rPr>
          <w:rFonts w:ascii="Arial" w:hAnsi="Arial" w:cs="Arial"/>
          <w:sz w:val="24"/>
          <w:szCs w:val="24"/>
        </w:rPr>
        <w:t xml:space="preserve">                                                </w:t>
      </w:r>
      <w:r w:rsidR="00192DB1" w:rsidRPr="002505AE">
        <w:rPr>
          <w:rFonts w:ascii="Arial" w:hAnsi="Arial" w:cs="Arial"/>
          <w:b/>
          <w:bCs/>
          <w:sz w:val="24"/>
          <w:szCs w:val="24"/>
        </w:rPr>
        <w:t xml:space="preserve"> </w:t>
      </w:r>
      <w:r w:rsidR="006B41A5" w:rsidRPr="002505AE">
        <w:rPr>
          <w:rFonts w:ascii="Arial" w:hAnsi="Arial" w:cs="Arial"/>
          <w:b/>
          <w:bCs/>
          <w:sz w:val="24"/>
          <w:szCs w:val="24"/>
        </w:rPr>
        <w:t xml:space="preserve">                 </w:t>
      </w:r>
      <w:r w:rsidR="007254A0" w:rsidRPr="002505AE">
        <w:rPr>
          <w:rFonts w:ascii="Arial" w:hAnsi="Arial" w:cs="Arial"/>
          <w:b/>
          <w:bCs/>
          <w:sz w:val="24"/>
          <w:szCs w:val="24"/>
        </w:rPr>
        <w:t>Defendant</w:t>
      </w:r>
    </w:p>
    <w:p w14:paraId="2CD6CFF4" w14:textId="7BE44465" w:rsidR="00E41F61" w:rsidRDefault="00963F04" w:rsidP="00730FCE">
      <w:pPr>
        <w:rPr>
          <w:rFonts w:ascii="Arial" w:hAnsi="Arial" w:cs="Arial"/>
          <w:b/>
          <w:bCs/>
          <w:sz w:val="24"/>
          <w:szCs w:val="24"/>
        </w:rPr>
      </w:pPr>
      <w:proofErr w:type="gramStart"/>
      <w:r>
        <w:rPr>
          <w:rFonts w:ascii="Arial" w:hAnsi="Arial" w:cs="Arial"/>
          <w:b/>
          <w:bCs/>
          <w:sz w:val="24"/>
          <w:szCs w:val="24"/>
        </w:rPr>
        <w:t>Id No.</w:t>
      </w:r>
      <w:proofErr w:type="gramEnd"/>
      <w:r>
        <w:rPr>
          <w:rFonts w:ascii="Arial" w:hAnsi="Arial" w:cs="Arial"/>
          <w:b/>
          <w:bCs/>
          <w:sz w:val="24"/>
          <w:szCs w:val="24"/>
        </w:rPr>
        <w:t xml:space="preserve"> […]</w:t>
      </w:r>
    </w:p>
    <w:p w14:paraId="637C2936" w14:textId="0371294E" w:rsidR="00046E9F" w:rsidRPr="002505AE" w:rsidRDefault="00046E9F" w:rsidP="00730FCE">
      <w:pPr>
        <w:rPr>
          <w:rFonts w:ascii="Arial" w:hAnsi="Arial" w:cs="Arial"/>
          <w:b/>
          <w:bCs/>
          <w:sz w:val="24"/>
          <w:szCs w:val="24"/>
        </w:rPr>
      </w:pPr>
      <w:r>
        <w:rPr>
          <w:rFonts w:ascii="Arial" w:hAnsi="Arial" w:cs="Arial"/>
          <w:b/>
          <w:bCs/>
          <w:sz w:val="24"/>
          <w:szCs w:val="24"/>
        </w:rPr>
        <w:t>___________________________________________________________________</w:t>
      </w:r>
    </w:p>
    <w:p w14:paraId="38846F43" w14:textId="38D7742F" w:rsidR="0011733E" w:rsidRDefault="00594A1A" w:rsidP="00046E9F">
      <w:pPr>
        <w:tabs>
          <w:tab w:val="center" w:pos="4513"/>
          <w:tab w:val="left" w:pos="7870"/>
        </w:tabs>
        <w:jc w:val="center"/>
        <w:rPr>
          <w:rFonts w:ascii="Arial" w:hAnsi="Arial" w:cs="Arial"/>
          <w:b/>
          <w:bCs/>
          <w:sz w:val="24"/>
          <w:szCs w:val="24"/>
        </w:rPr>
      </w:pPr>
      <w:r w:rsidRPr="002505AE">
        <w:rPr>
          <w:rFonts w:ascii="Arial" w:hAnsi="Arial" w:cs="Arial"/>
          <w:b/>
          <w:bCs/>
          <w:sz w:val="24"/>
          <w:szCs w:val="24"/>
        </w:rPr>
        <w:t>Judgment</w:t>
      </w:r>
    </w:p>
    <w:p w14:paraId="3C90FD73" w14:textId="0C1AA262" w:rsidR="00046E9F" w:rsidRDefault="00046E9F" w:rsidP="00046E9F">
      <w:pPr>
        <w:tabs>
          <w:tab w:val="center" w:pos="4513"/>
          <w:tab w:val="left" w:pos="7870"/>
        </w:tabs>
        <w:jc w:val="center"/>
        <w:rPr>
          <w:rFonts w:ascii="Arial" w:hAnsi="Arial" w:cs="Arial"/>
          <w:b/>
          <w:bCs/>
        </w:rPr>
      </w:pPr>
      <w:r>
        <w:rPr>
          <w:rFonts w:ascii="Arial" w:hAnsi="Arial" w:cs="Arial"/>
          <w:b/>
          <w:bCs/>
          <w:sz w:val="24"/>
          <w:szCs w:val="24"/>
        </w:rPr>
        <w:t>___________________________________________________________________</w:t>
      </w:r>
    </w:p>
    <w:p w14:paraId="6F302318" w14:textId="7ED1CAD1" w:rsidR="00594A1A" w:rsidRDefault="00594A1A" w:rsidP="00461BDE">
      <w:pPr>
        <w:spacing w:line="360" w:lineRule="auto"/>
        <w:jc w:val="both"/>
        <w:rPr>
          <w:rFonts w:ascii="Arial" w:hAnsi="Arial" w:cs="Arial"/>
          <w:b/>
          <w:bCs/>
          <w:sz w:val="24"/>
          <w:szCs w:val="24"/>
        </w:rPr>
      </w:pPr>
      <w:r>
        <w:rPr>
          <w:rFonts w:ascii="Arial" w:hAnsi="Arial" w:cs="Arial"/>
          <w:b/>
          <w:bCs/>
          <w:sz w:val="24"/>
          <w:szCs w:val="24"/>
        </w:rPr>
        <w:t xml:space="preserve">Thupaatlase AJ </w:t>
      </w:r>
    </w:p>
    <w:p w14:paraId="55FD556F" w14:textId="52261EF1" w:rsidR="00594A1A" w:rsidRDefault="00594A1A" w:rsidP="00461BDE">
      <w:pPr>
        <w:spacing w:line="360" w:lineRule="auto"/>
        <w:jc w:val="both"/>
        <w:rPr>
          <w:rFonts w:ascii="Arial" w:hAnsi="Arial" w:cs="Arial"/>
          <w:b/>
          <w:bCs/>
          <w:sz w:val="24"/>
          <w:szCs w:val="24"/>
        </w:rPr>
      </w:pPr>
      <w:r>
        <w:rPr>
          <w:rFonts w:ascii="Arial" w:hAnsi="Arial" w:cs="Arial"/>
          <w:b/>
          <w:bCs/>
          <w:sz w:val="24"/>
          <w:szCs w:val="24"/>
        </w:rPr>
        <w:t xml:space="preserve">Introduction </w:t>
      </w:r>
    </w:p>
    <w:p w14:paraId="3C716D61" w14:textId="777AC230" w:rsidR="0026335F" w:rsidRPr="00046E9F" w:rsidRDefault="00155220" w:rsidP="00461BDE">
      <w:pPr>
        <w:spacing w:line="360" w:lineRule="auto"/>
        <w:jc w:val="both"/>
        <w:rPr>
          <w:rFonts w:ascii="Arial" w:hAnsi="Arial" w:cs="Arial"/>
          <w:sz w:val="20"/>
          <w:szCs w:val="20"/>
        </w:rPr>
      </w:pPr>
      <w:r w:rsidRPr="00046E9F">
        <w:rPr>
          <w:rFonts w:ascii="Arial" w:hAnsi="Arial" w:cs="Arial"/>
          <w:sz w:val="20"/>
          <w:szCs w:val="20"/>
        </w:rPr>
        <w:t>“</w:t>
      </w:r>
      <w:r w:rsidR="0026335F" w:rsidRPr="00046E9F">
        <w:rPr>
          <w:rFonts w:ascii="Arial" w:hAnsi="Arial" w:cs="Arial"/>
          <w:i/>
          <w:iCs/>
          <w:sz w:val="20"/>
          <w:szCs w:val="20"/>
        </w:rPr>
        <w:t xml:space="preserve">The value and protection afforded to the home have been captured in several well-known maxims such as: ‘a man’s home is his castle’; </w:t>
      </w:r>
      <w:r w:rsidR="00A0554A" w:rsidRPr="00046E9F">
        <w:rPr>
          <w:rFonts w:ascii="Arial" w:hAnsi="Arial" w:cs="Arial"/>
          <w:i/>
          <w:iCs/>
          <w:sz w:val="20"/>
          <w:szCs w:val="20"/>
        </w:rPr>
        <w:t>‘</w:t>
      </w:r>
      <w:r w:rsidR="0026335F" w:rsidRPr="00046E9F">
        <w:rPr>
          <w:rFonts w:ascii="Arial" w:hAnsi="Arial" w:cs="Arial"/>
          <w:i/>
          <w:iCs/>
          <w:sz w:val="20"/>
          <w:szCs w:val="20"/>
        </w:rPr>
        <w:t xml:space="preserve">home </w:t>
      </w:r>
      <w:r w:rsidR="00A0554A" w:rsidRPr="00046E9F">
        <w:rPr>
          <w:rFonts w:ascii="Arial" w:hAnsi="Arial" w:cs="Arial"/>
          <w:i/>
          <w:iCs/>
          <w:sz w:val="20"/>
          <w:szCs w:val="20"/>
        </w:rPr>
        <w:t xml:space="preserve">is where the heart is’; and safe as houses. These maxims </w:t>
      </w:r>
      <w:r w:rsidR="00A669F2" w:rsidRPr="00046E9F">
        <w:rPr>
          <w:rFonts w:ascii="Arial" w:hAnsi="Arial" w:cs="Arial"/>
          <w:i/>
          <w:iCs/>
          <w:sz w:val="20"/>
          <w:szCs w:val="20"/>
        </w:rPr>
        <w:t>encapsulate</w:t>
      </w:r>
      <w:r w:rsidR="00A0554A" w:rsidRPr="00046E9F">
        <w:rPr>
          <w:rFonts w:ascii="Arial" w:hAnsi="Arial" w:cs="Arial"/>
          <w:i/>
          <w:iCs/>
          <w:sz w:val="20"/>
          <w:szCs w:val="20"/>
        </w:rPr>
        <w:t xml:space="preserve"> the ideology that a home is much more than a mere object. Most individuals are emotionally attached to their homes and loss of such asset can be severely detrimental to a person’s well-being. Naturally it is accepted that reasonable efforts should be taken to avoid </w:t>
      </w:r>
      <w:r w:rsidRPr="00046E9F">
        <w:rPr>
          <w:rFonts w:ascii="Arial" w:hAnsi="Arial" w:cs="Arial"/>
          <w:i/>
          <w:iCs/>
          <w:sz w:val="20"/>
          <w:szCs w:val="20"/>
        </w:rPr>
        <w:t xml:space="preserve">such deprivation, </w:t>
      </w:r>
      <w:r w:rsidRPr="00046E9F">
        <w:rPr>
          <w:rFonts w:ascii="Arial" w:hAnsi="Arial" w:cs="Arial"/>
          <w:i/>
          <w:iCs/>
          <w:sz w:val="20"/>
          <w:szCs w:val="20"/>
        </w:rPr>
        <w:lastRenderedPageBreak/>
        <w:t>and several laws have provided protection for the home or to the right to have access to adequate housing</w:t>
      </w:r>
      <w:r w:rsidR="000F3481" w:rsidRPr="00046E9F">
        <w:rPr>
          <w:rStyle w:val="FootnoteReference"/>
          <w:rFonts w:ascii="Arial" w:hAnsi="Arial" w:cs="Arial"/>
          <w:i/>
          <w:iCs/>
          <w:sz w:val="20"/>
          <w:szCs w:val="20"/>
        </w:rPr>
        <w:footnoteReference w:id="1"/>
      </w:r>
      <w:r w:rsidRPr="00046E9F">
        <w:rPr>
          <w:rFonts w:ascii="Arial" w:hAnsi="Arial" w:cs="Arial"/>
          <w:i/>
          <w:iCs/>
          <w:sz w:val="20"/>
          <w:szCs w:val="20"/>
        </w:rPr>
        <w:t>.”</w:t>
      </w:r>
    </w:p>
    <w:p w14:paraId="096D6641" w14:textId="2F5EE166" w:rsidR="0026335F" w:rsidRDefault="0026335F" w:rsidP="00461BDE">
      <w:pPr>
        <w:spacing w:line="360" w:lineRule="auto"/>
        <w:jc w:val="both"/>
        <w:rPr>
          <w:rFonts w:ascii="Arial" w:hAnsi="Arial" w:cs="Arial"/>
          <w:b/>
          <w:bCs/>
          <w:sz w:val="24"/>
          <w:szCs w:val="24"/>
        </w:rPr>
      </w:pPr>
      <w:r>
        <w:rPr>
          <w:rFonts w:ascii="Arial" w:hAnsi="Arial" w:cs="Arial"/>
          <w:b/>
          <w:bCs/>
          <w:sz w:val="24"/>
          <w:szCs w:val="24"/>
        </w:rPr>
        <w:t xml:space="preserve">Background </w:t>
      </w:r>
    </w:p>
    <w:p w14:paraId="7D2BFAD3" w14:textId="449A2603" w:rsidR="00290C9F" w:rsidRDefault="00F30E5F" w:rsidP="00461BDE">
      <w:pPr>
        <w:spacing w:line="360" w:lineRule="auto"/>
        <w:jc w:val="both"/>
        <w:rPr>
          <w:rFonts w:ascii="Arial" w:hAnsi="Arial" w:cs="Arial"/>
          <w:sz w:val="24"/>
          <w:szCs w:val="24"/>
        </w:rPr>
      </w:pPr>
      <w:r w:rsidRPr="00886404">
        <w:rPr>
          <w:rFonts w:ascii="Arial" w:hAnsi="Arial" w:cs="Arial"/>
          <w:sz w:val="24"/>
          <w:szCs w:val="24"/>
        </w:rPr>
        <w:t>[1] This is an application in terms of Rule</w:t>
      </w:r>
      <w:r w:rsidR="00EA12E1">
        <w:rPr>
          <w:rFonts w:ascii="Arial" w:hAnsi="Arial" w:cs="Arial"/>
          <w:sz w:val="24"/>
          <w:szCs w:val="24"/>
        </w:rPr>
        <w:t>s</w:t>
      </w:r>
      <w:r w:rsidRPr="00886404">
        <w:rPr>
          <w:rFonts w:ascii="Arial" w:hAnsi="Arial" w:cs="Arial"/>
          <w:sz w:val="24"/>
          <w:szCs w:val="24"/>
        </w:rPr>
        <w:t xml:space="preserve"> 31(</w:t>
      </w:r>
      <w:r w:rsidR="003C0FFB">
        <w:rPr>
          <w:rFonts w:ascii="Arial" w:hAnsi="Arial" w:cs="Arial"/>
          <w:sz w:val="24"/>
          <w:szCs w:val="24"/>
        </w:rPr>
        <w:t>5</w:t>
      </w:r>
      <w:r w:rsidRPr="00886404">
        <w:rPr>
          <w:rFonts w:ascii="Arial" w:hAnsi="Arial" w:cs="Arial"/>
          <w:sz w:val="24"/>
          <w:szCs w:val="24"/>
        </w:rPr>
        <w:t>)</w:t>
      </w:r>
      <w:r w:rsidR="00A11E56">
        <w:rPr>
          <w:rStyle w:val="FootnoteReference"/>
          <w:rFonts w:ascii="Arial" w:hAnsi="Arial" w:cs="Arial"/>
          <w:sz w:val="24"/>
          <w:szCs w:val="24"/>
        </w:rPr>
        <w:footnoteReference w:id="2"/>
      </w:r>
      <w:r w:rsidRPr="00886404">
        <w:rPr>
          <w:rFonts w:ascii="Arial" w:hAnsi="Arial" w:cs="Arial"/>
          <w:sz w:val="24"/>
          <w:szCs w:val="24"/>
        </w:rPr>
        <w:t>;</w:t>
      </w:r>
      <w:r w:rsidR="00EA12E1">
        <w:rPr>
          <w:rFonts w:ascii="Arial" w:hAnsi="Arial" w:cs="Arial"/>
          <w:sz w:val="24"/>
          <w:szCs w:val="24"/>
        </w:rPr>
        <w:t xml:space="preserve"> </w:t>
      </w:r>
      <w:r w:rsidRPr="00886404">
        <w:rPr>
          <w:rFonts w:ascii="Arial" w:hAnsi="Arial" w:cs="Arial"/>
          <w:sz w:val="24"/>
          <w:szCs w:val="24"/>
        </w:rPr>
        <w:t>46 (1) (ii)</w:t>
      </w:r>
      <w:r w:rsidR="00830D69">
        <w:rPr>
          <w:rStyle w:val="FootnoteReference"/>
          <w:rFonts w:ascii="Arial" w:hAnsi="Arial" w:cs="Arial"/>
          <w:sz w:val="24"/>
          <w:szCs w:val="24"/>
        </w:rPr>
        <w:footnoteReference w:id="3"/>
      </w:r>
      <w:r w:rsidRPr="00886404">
        <w:rPr>
          <w:rFonts w:ascii="Arial" w:hAnsi="Arial" w:cs="Arial"/>
          <w:sz w:val="24"/>
          <w:szCs w:val="24"/>
        </w:rPr>
        <w:t xml:space="preserve"> and 46(A) (8)</w:t>
      </w:r>
      <w:r w:rsidR="0004602A">
        <w:rPr>
          <w:rStyle w:val="FootnoteReference"/>
          <w:rFonts w:ascii="Arial" w:hAnsi="Arial" w:cs="Arial"/>
          <w:sz w:val="24"/>
          <w:szCs w:val="24"/>
        </w:rPr>
        <w:footnoteReference w:id="4"/>
      </w:r>
      <w:r w:rsidR="00EA12E1">
        <w:rPr>
          <w:rFonts w:ascii="Arial" w:hAnsi="Arial" w:cs="Arial"/>
          <w:sz w:val="24"/>
          <w:szCs w:val="24"/>
        </w:rPr>
        <w:t>.</w:t>
      </w:r>
      <w:r w:rsidR="00886404">
        <w:rPr>
          <w:rFonts w:ascii="Arial" w:hAnsi="Arial" w:cs="Arial"/>
          <w:sz w:val="24"/>
          <w:szCs w:val="24"/>
        </w:rPr>
        <w:t xml:space="preserve">The Applicant issued summons against the </w:t>
      </w:r>
      <w:r w:rsidR="005C3C5C">
        <w:rPr>
          <w:rFonts w:ascii="Arial" w:hAnsi="Arial" w:cs="Arial"/>
          <w:sz w:val="24"/>
          <w:szCs w:val="24"/>
        </w:rPr>
        <w:t xml:space="preserve">Respondent </w:t>
      </w:r>
      <w:r w:rsidR="00886404">
        <w:rPr>
          <w:rFonts w:ascii="Arial" w:hAnsi="Arial" w:cs="Arial"/>
          <w:sz w:val="24"/>
          <w:szCs w:val="24"/>
        </w:rPr>
        <w:t xml:space="preserve">for cancellation of loan agreement and payment of the amount of R 686 000.00 as result of the </w:t>
      </w:r>
      <w:r w:rsidR="00290C9F">
        <w:rPr>
          <w:rFonts w:ascii="Arial" w:hAnsi="Arial" w:cs="Arial"/>
          <w:sz w:val="24"/>
          <w:szCs w:val="24"/>
        </w:rPr>
        <w:t>Defendant falling into arrears in her bond repayment.</w:t>
      </w:r>
      <w:r w:rsidR="007132AF">
        <w:rPr>
          <w:rFonts w:ascii="Arial" w:hAnsi="Arial" w:cs="Arial"/>
          <w:sz w:val="24"/>
          <w:szCs w:val="24"/>
        </w:rPr>
        <w:t xml:space="preserve"> Despite the fact that these proceedings started as action procedure following issuing of summons, the parties will for ease of reference be referred to as cited in the motion proceedings for default judgment and ancillary orders. </w:t>
      </w:r>
    </w:p>
    <w:p w14:paraId="7CF43BF4" w14:textId="039084E9" w:rsidR="00F30E5F" w:rsidRDefault="00290C9F" w:rsidP="00461BDE">
      <w:pPr>
        <w:spacing w:line="360" w:lineRule="auto"/>
        <w:jc w:val="both"/>
        <w:rPr>
          <w:rFonts w:ascii="Arial" w:hAnsi="Arial" w:cs="Arial"/>
          <w:sz w:val="24"/>
          <w:szCs w:val="24"/>
        </w:rPr>
      </w:pPr>
      <w:r>
        <w:rPr>
          <w:rFonts w:ascii="Arial" w:hAnsi="Arial" w:cs="Arial"/>
          <w:sz w:val="24"/>
          <w:szCs w:val="24"/>
        </w:rPr>
        <w:t xml:space="preserve">[2] The </w:t>
      </w:r>
      <w:r w:rsidR="005C3C5C">
        <w:rPr>
          <w:rFonts w:ascii="Arial" w:hAnsi="Arial" w:cs="Arial"/>
          <w:sz w:val="24"/>
          <w:szCs w:val="24"/>
        </w:rPr>
        <w:t>Respondent</w:t>
      </w:r>
      <w:r>
        <w:rPr>
          <w:rFonts w:ascii="Arial" w:hAnsi="Arial" w:cs="Arial"/>
          <w:sz w:val="24"/>
          <w:szCs w:val="24"/>
        </w:rPr>
        <w:t xml:space="preserve"> was prope</w:t>
      </w:r>
      <w:r w:rsidR="00046E9F">
        <w:rPr>
          <w:rFonts w:ascii="Arial" w:hAnsi="Arial" w:cs="Arial"/>
          <w:sz w:val="24"/>
          <w:szCs w:val="24"/>
        </w:rPr>
        <w:t>rly served and did not enter an</w:t>
      </w:r>
      <w:r>
        <w:rPr>
          <w:rFonts w:ascii="Arial" w:hAnsi="Arial" w:cs="Arial"/>
          <w:sz w:val="24"/>
          <w:szCs w:val="24"/>
        </w:rPr>
        <w:t xml:space="preserve"> appearance to defend. She has, however made a point that whenever the matter </w:t>
      </w:r>
      <w:r w:rsidR="004422BA">
        <w:rPr>
          <w:rFonts w:ascii="Arial" w:hAnsi="Arial" w:cs="Arial"/>
          <w:sz w:val="24"/>
          <w:szCs w:val="24"/>
        </w:rPr>
        <w:t xml:space="preserve">is </w:t>
      </w:r>
      <w:r>
        <w:rPr>
          <w:rFonts w:ascii="Arial" w:hAnsi="Arial" w:cs="Arial"/>
          <w:sz w:val="24"/>
          <w:szCs w:val="24"/>
        </w:rPr>
        <w:t xml:space="preserve">enrolled, </w:t>
      </w:r>
      <w:r w:rsidR="004422BA">
        <w:rPr>
          <w:rFonts w:ascii="Arial" w:hAnsi="Arial" w:cs="Arial"/>
          <w:sz w:val="24"/>
          <w:szCs w:val="24"/>
        </w:rPr>
        <w:t xml:space="preserve">she </w:t>
      </w:r>
      <w:r>
        <w:rPr>
          <w:rFonts w:ascii="Arial" w:hAnsi="Arial" w:cs="Arial"/>
          <w:sz w:val="24"/>
          <w:szCs w:val="24"/>
        </w:rPr>
        <w:t>appears unrepresented to fend off attempts to obtain judgment against her.</w:t>
      </w:r>
    </w:p>
    <w:p w14:paraId="36D813DC" w14:textId="7E64FE3C" w:rsidR="00290C9F" w:rsidRDefault="001D3D8F" w:rsidP="00461BDE">
      <w:pPr>
        <w:spacing w:line="360" w:lineRule="auto"/>
        <w:jc w:val="both"/>
        <w:rPr>
          <w:rFonts w:ascii="Arial" w:hAnsi="Arial" w:cs="Arial"/>
          <w:sz w:val="24"/>
          <w:szCs w:val="24"/>
        </w:rPr>
      </w:pPr>
      <w:r>
        <w:rPr>
          <w:rFonts w:ascii="Arial" w:hAnsi="Arial" w:cs="Arial"/>
          <w:sz w:val="24"/>
          <w:szCs w:val="24"/>
        </w:rPr>
        <w:lastRenderedPageBreak/>
        <w:t xml:space="preserve">[3] It is perhaps apt </w:t>
      </w:r>
      <w:r w:rsidR="009C2F40">
        <w:rPr>
          <w:rFonts w:ascii="Arial" w:hAnsi="Arial" w:cs="Arial"/>
          <w:sz w:val="24"/>
          <w:szCs w:val="24"/>
        </w:rPr>
        <w:t xml:space="preserve">at this early stage of the judgment </w:t>
      </w:r>
      <w:r>
        <w:rPr>
          <w:rFonts w:ascii="Arial" w:hAnsi="Arial" w:cs="Arial"/>
          <w:sz w:val="24"/>
          <w:szCs w:val="24"/>
        </w:rPr>
        <w:t xml:space="preserve">to sketch the history of this matter in order to understand the context. </w:t>
      </w:r>
      <w:r w:rsidR="0010575B">
        <w:rPr>
          <w:rFonts w:ascii="Arial" w:hAnsi="Arial" w:cs="Arial"/>
          <w:sz w:val="24"/>
          <w:szCs w:val="24"/>
        </w:rPr>
        <w:t xml:space="preserve">In 2015 the </w:t>
      </w:r>
      <w:r w:rsidR="005C3C5C">
        <w:rPr>
          <w:rFonts w:ascii="Arial" w:hAnsi="Arial" w:cs="Arial"/>
          <w:sz w:val="24"/>
          <w:szCs w:val="24"/>
        </w:rPr>
        <w:t>Applicant</w:t>
      </w:r>
      <w:r w:rsidR="0010575B">
        <w:rPr>
          <w:rFonts w:ascii="Arial" w:hAnsi="Arial" w:cs="Arial"/>
          <w:sz w:val="24"/>
          <w:szCs w:val="24"/>
        </w:rPr>
        <w:t xml:space="preserve"> and </w:t>
      </w:r>
      <w:r w:rsidR="005C3C5C">
        <w:rPr>
          <w:rFonts w:ascii="Arial" w:hAnsi="Arial" w:cs="Arial"/>
          <w:sz w:val="24"/>
          <w:szCs w:val="24"/>
        </w:rPr>
        <w:t>Respondent</w:t>
      </w:r>
      <w:r w:rsidR="0010575B">
        <w:rPr>
          <w:rFonts w:ascii="Arial" w:hAnsi="Arial" w:cs="Arial"/>
          <w:sz w:val="24"/>
          <w:szCs w:val="24"/>
        </w:rPr>
        <w:t xml:space="preserve"> entered into a home loan agreement whereby the </w:t>
      </w:r>
      <w:r w:rsidR="005C3C5C">
        <w:rPr>
          <w:rFonts w:ascii="Arial" w:hAnsi="Arial" w:cs="Arial"/>
          <w:sz w:val="24"/>
          <w:szCs w:val="24"/>
        </w:rPr>
        <w:t>Applicant</w:t>
      </w:r>
      <w:r w:rsidR="0010575B">
        <w:rPr>
          <w:rFonts w:ascii="Arial" w:hAnsi="Arial" w:cs="Arial"/>
          <w:sz w:val="24"/>
          <w:szCs w:val="24"/>
        </w:rPr>
        <w:t xml:space="preserve"> advanced </w:t>
      </w:r>
      <w:r w:rsidR="005C3C5C">
        <w:rPr>
          <w:rFonts w:ascii="Arial" w:hAnsi="Arial" w:cs="Arial"/>
          <w:sz w:val="24"/>
          <w:szCs w:val="24"/>
        </w:rPr>
        <w:t xml:space="preserve">to </w:t>
      </w:r>
      <w:r w:rsidR="0010575B">
        <w:rPr>
          <w:rFonts w:ascii="Arial" w:hAnsi="Arial" w:cs="Arial"/>
          <w:sz w:val="24"/>
          <w:szCs w:val="24"/>
        </w:rPr>
        <w:t xml:space="preserve">the </w:t>
      </w:r>
      <w:r w:rsidR="005C3C5C">
        <w:rPr>
          <w:rFonts w:ascii="Arial" w:hAnsi="Arial" w:cs="Arial"/>
          <w:sz w:val="24"/>
          <w:szCs w:val="24"/>
        </w:rPr>
        <w:t>Respondent</w:t>
      </w:r>
      <w:r w:rsidR="0010575B">
        <w:rPr>
          <w:rFonts w:ascii="Arial" w:hAnsi="Arial" w:cs="Arial"/>
          <w:sz w:val="24"/>
          <w:szCs w:val="24"/>
        </w:rPr>
        <w:t xml:space="preserve"> the sum of R 635 000.00 as capital amount. There </w:t>
      </w:r>
      <w:r w:rsidR="002211DA">
        <w:rPr>
          <w:rFonts w:ascii="Arial" w:hAnsi="Arial" w:cs="Arial"/>
          <w:sz w:val="24"/>
          <w:szCs w:val="24"/>
        </w:rPr>
        <w:t>were other</w:t>
      </w:r>
      <w:r w:rsidR="0010575B">
        <w:rPr>
          <w:rFonts w:ascii="Arial" w:hAnsi="Arial" w:cs="Arial"/>
          <w:sz w:val="24"/>
          <w:szCs w:val="24"/>
        </w:rPr>
        <w:t xml:space="preserve"> fees added to the capital amount</w:t>
      </w:r>
      <w:r w:rsidR="00A3169A">
        <w:rPr>
          <w:rFonts w:ascii="Arial" w:hAnsi="Arial" w:cs="Arial"/>
          <w:sz w:val="24"/>
          <w:szCs w:val="24"/>
        </w:rPr>
        <w:t>. These included additional fee</w:t>
      </w:r>
      <w:r w:rsidR="00A82F8F">
        <w:rPr>
          <w:rFonts w:ascii="Arial" w:hAnsi="Arial" w:cs="Arial"/>
          <w:sz w:val="24"/>
          <w:szCs w:val="24"/>
        </w:rPr>
        <w:t>s</w:t>
      </w:r>
      <w:r w:rsidR="00A3169A">
        <w:rPr>
          <w:rFonts w:ascii="Arial" w:hAnsi="Arial" w:cs="Arial"/>
          <w:sz w:val="24"/>
          <w:szCs w:val="24"/>
        </w:rPr>
        <w:t xml:space="preserve"> to cover all interest, charges for legal fees and any damages suffered by the lender. The capital amount </w:t>
      </w:r>
      <w:r w:rsidR="00A82F8F">
        <w:rPr>
          <w:rFonts w:ascii="Arial" w:hAnsi="Arial" w:cs="Arial"/>
          <w:sz w:val="24"/>
          <w:szCs w:val="24"/>
        </w:rPr>
        <w:t>added</w:t>
      </w:r>
      <w:r w:rsidR="00A3169A">
        <w:rPr>
          <w:rFonts w:ascii="Arial" w:hAnsi="Arial" w:cs="Arial"/>
          <w:sz w:val="24"/>
          <w:szCs w:val="24"/>
        </w:rPr>
        <w:t xml:space="preserve"> to R 762 000.00. At 12.6% interest rate the total payable amount totalled R 1 771 552.19. The monthly instalment was calculated at R 7 324.19 over 240 </w:t>
      </w:r>
      <w:r w:rsidR="00381099">
        <w:rPr>
          <w:rFonts w:ascii="Arial" w:hAnsi="Arial" w:cs="Arial"/>
          <w:sz w:val="24"/>
          <w:szCs w:val="24"/>
        </w:rPr>
        <w:t>months period.</w:t>
      </w:r>
    </w:p>
    <w:p w14:paraId="1645E559" w14:textId="4253936B" w:rsidR="00381099" w:rsidRDefault="00381099" w:rsidP="00461BDE">
      <w:pPr>
        <w:spacing w:line="360" w:lineRule="auto"/>
        <w:jc w:val="both"/>
        <w:rPr>
          <w:rFonts w:ascii="Arial" w:hAnsi="Arial" w:cs="Arial"/>
          <w:sz w:val="24"/>
          <w:szCs w:val="24"/>
        </w:rPr>
      </w:pPr>
      <w:r>
        <w:rPr>
          <w:rFonts w:ascii="Arial" w:hAnsi="Arial" w:cs="Arial"/>
          <w:sz w:val="24"/>
          <w:szCs w:val="24"/>
        </w:rPr>
        <w:t xml:space="preserve">[4] The </w:t>
      </w:r>
      <w:r w:rsidR="00A82F8F">
        <w:rPr>
          <w:rFonts w:ascii="Arial" w:hAnsi="Arial" w:cs="Arial"/>
          <w:sz w:val="24"/>
          <w:szCs w:val="24"/>
        </w:rPr>
        <w:t>Respondent</w:t>
      </w:r>
      <w:r>
        <w:rPr>
          <w:rFonts w:ascii="Arial" w:hAnsi="Arial" w:cs="Arial"/>
          <w:sz w:val="24"/>
          <w:szCs w:val="24"/>
        </w:rPr>
        <w:t xml:space="preserve"> fell into arrears and on the 12 February 2021 the </w:t>
      </w:r>
      <w:r w:rsidR="00A82F8F">
        <w:rPr>
          <w:rFonts w:ascii="Arial" w:hAnsi="Arial" w:cs="Arial"/>
          <w:sz w:val="24"/>
          <w:szCs w:val="24"/>
        </w:rPr>
        <w:t xml:space="preserve">Applicant </w:t>
      </w:r>
      <w:r>
        <w:rPr>
          <w:rFonts w:ascii="Arial" w:hAnsi="Arial" w:cs="Arial"/>
          <w:sz w:val="24"/>
          <w:szCs w:val="24"/>
        </w:rPr>
        <w:t>caused a letter contemplated by section 129 of the National Credit Act</w:t>
      </w:r>
      <w:r w:rsidR="00183E33">
        <w:rPr>
          <w:rFonts w:ascii="Arial" w:hAnsi="Arial" w:cs="Arial"/>
          <w:sz w:val="24"/>
          <w:szCs w:val="24"/>
        </w:rPr>
        <w:t xml:space="preserve">, 2008. The letter called </w:t>
      </w:r>
      <w:r w:rsidR="00A82F8F">
        <w:rPr>
          <w:rFonts w:ascii="Arial" w:hAnsi="Arial" w:cs="Arial"/>
          <w:sz w:val="24"/>
          <w:szCs w:val="24"/>
        </w:rPr>
        <w:t xml:space="preserve">upon </w:t>
      </w:r>
      <w:r w:rsidR="00183E33">
        <w:rPr>
          <w:rFonts w:ascii="Arial" w:hAnsi="Arial" w:cs="Arial"/>
          <w:sz w:val="24"/>
          <w:szCs w:val="24"/>
        </w:rPr>
        <w:t xml:space="preserve">the </w:t>
      </w:r>
      <w:r w:rsidR="00A82F8F">
        <w:rPr>
          <w:rFonts w:ascii="Arial" w:hAnsi="Arial" w:cs="Arial"/>
          <w:sz w:val="24"/>
          <w:szCs w:val="24"/>
        </w:rPr>
        <w:t xml:space="preserve">Respondent </w:t>
      </w:r>
      <w:r w:rsidR="00183E33">
        <w:rPr>
          <w:rFonts w:ascii="Arial" w:hAnsi="Arial" w:cs="Arial"/>
          <w:sz w:val="24"/>
          <w:szCs w:val="24"/>
        </w:rPr>
        <w:t xml:space="preserve">to cure her default within ten (10) days. The </w:t>
      </w:r>
      <w:r w:rsidR="00A82F8F">
        <w:rPr>
          <w:rFonts w:ascii="Arial" w:hAnsi="Arial" w:cs="Arial"/>
          <w:sz w:val="24"/>
          <w:szCs w:val="24"/>
        </w:rPr>
        <w:t>Respondent</w:t>
      </w:r>
      <w:r w:rsidR="00183E33">
        <w:rPr>
          <w:rFonts w:ascii="Arial" w:hAnsi="Arial" w:cs="Arial"/>
          <w:sz w:val="24"/>
          <w:szCs w:val="24"/>
        </w:rPr>
        <w:t xml:space="preserve"> was invited to discuss possibility of making a </w:t>
      </w:r>
      <w:r w:rsidR="00CE2200">
        <w:rPr>
          <w:rFonts w:ascii="Arial" w:hAnsi="Arial" w:cs="Arial"/>
          <w:sz w:val="24"/>
          <w:szCs w:val="24"/>
        </w:rPr>
        <w:t>firm arrangement</w:t>
      </w:r>
      <w:r w:rsidR="001B46FD">
        <w:rPr>
          <w:rFonts w:ascii="Arial" w:hAnsi="Arial" w:cs="Arial"/>
          <w:sz w:val="24"/>
          <w:szCs w:val="24"/>
        </w:rPr>
        <w:t xml:space="preserve"> to bring the </w:t>
      </w:r>
      <w:r w:rsidR="00A82F8F">
        <w:rPr>
          <w:rFonts w:ascii="Arial" w:hAnsi="Arial" w:cs="Arial"/>
          <w:sz w:val="24"/>
          <w:szCs w:val="24"/>
        </w:rPr>
        <w:t>arrears</w:t>
      </w:r>
      <w:r w:rsidR="001B46FD">
        <w:rPr>
          <w:rFonts w:ascii="Arial" w:hAnsi="Arial" w:cs="Arial"/>
          <w:sz w:val="24"/>
          <w:szCs w:val="24"/>
        </w:rPr>
        <w:t xml:space="preserve"> </w:t>
      </w:r>
      <w:r w:rsidR="006D683D">
        <w:rPr>
          <w:rFonts w:ascii="Arial" w:hAnsi="Arial" w:cs="Arial"/>
          <w:sz w:val="24"/>
          <w:szCs w:val="24"/>
        </w:rPr>
        <w:t>up</w:t>
      </w:r>
      <w:r w:rsidR="001B46FD">
        <w:rPr>
          <w:rFonts w:ascii="Arial" w:hAnsi="Arial" w:cs="Arial"/>
          <w:sz w:val="24"/>
          <w:szCs w:val="24"/>
        </w:rPr>
        <w:t xml:space="preserve"> to date. </w:t>
      </w:r>
      <w:r w:rsidR="0012256F">
        <w:rPr>
          <w:rFonts w:ascii="Arial" w:hAnsi="Arial" w:cs="Arial"/>
          <w:sz w:val="24"/>
          <w:szCs w:val="24"/>
        </w:rPr>
        <w:t>The letter was sent by registered mail.</w:t>
      </w:r>
    </w:p>
    <w:p w14:paraId="49EDF34D" w14:textId="40CA618F" w:rsidR="00CE2200" w:rsidRDefault="00CE2200" w:rsidP="00461BDE">
      <w:pPr>
        <w:spacing w:line="360" w:lineRule="auto"/>
        <w:jc w:val="both"/>
        <w:rPr>
          <w:rFonts w:ascii="Arial" w:hAnsi="Arial" w:cs="Arial"/>
          <w:sz w:val="24"/>
          <w:szCs w:val="24"/>
        </w:rPr>
      </w:pPr>
      <w:r>
        <w:rPr>
          <w:rFonts w:ascii="Arial" w:hAnsi="Arial" w:cs="Arial"/>
          <w:sz w:val="24"/>
          <w:szCs w:val="24"/>
        </w:rPr>
        <w:t xml:space="preserve">[5] In addition the </w:t>
      </w:r>
      <w:r w:rsidR="00D84D11">
        <w:rPr>
          <w:rFonts w:ascii="Arial" w:hAnsi="Arial" w:cs="Arial"/>
          <w:sz w:val="24"/>
          <w:szCs w:val="24"/>
        </w:rPr>
        <w:t>Applicant’s</w:t>
      </w:r>
      <w:r>
        <w:rPr>
          <w:rFonts w:ascii="Arial" w:hAnsi="Arial" w:cs="Arial"/>
          <w:sz w:val="24"/>
          <w:szCs w:val="24"/>
        </w:rPr>
        <w:t xml:space="preserve"> attorneys also sent a</w:t>
      </w:r>
      <w:r w:rsidR="00AF7CF7">
        <w:rPr>
          <w:rFonts w:ascii="Arial" w:hAnsi="Arial" w:cs="Arial"/>
          <w:sz w:val="24"/>
          <w:szCs w:val="24"/>
        </w:rPr>
        <w:t>n email to the same effect with the section 129 letter attached on the 12 February 2021.</w:t>
      </w:r>
      <w:r w:rsidR="000B0EA7">
        <w:rPr>
          <w:rFonts w:ascii="Arial" w:hAnsi="Arial" w:cs="Arial"/>
          <w:sz w:val="24"/>
          <w:szCs w:val="24"/>
        </w:rPr>
        <w:t>By her</w:t>
      </w:r>
      <w:r w:rsidR="00AF7CF7">
        <w:rPr>
          <w:rFonts w:ascii="Arial" w:hAnsi="Arial" w:cs="Arial"/>
          <w:sz w:val="24"/>
          <w:szCs w:val="24"/>
        </w:rPr>
        <w:t xml:space="preserve"> email date</w:t>
      </w:r>
      <w:r w:rsidR="000B0EA7">
        <w:rPr>
          <w:rFonts w:ascii="Arial" w:hAnsi="Arial" w:cs="Arial"/>
          <w:sz w:val="24"/>
          <w:szCs w:val="24"/>
        </w:rPr>
        <w:t>d</w:t>
      </w:r>
      <w:r w:rsidR="00AF7CF7">
        <w:rPr>
          <w:rFonts w:ascii="Arial" w:hAnsi="Arial" w:cs="Arial"/>
          <w:sz w:val="24"/>
          <w:szCs w:val="24"/>
        </w:rPr>
        <w:t xml:space="preserve"> 17</w:t>
      </w:r>
      <w:r w:rsidR="005F31FC">
        <w:rPr>
          <w:rFonts w:ascii="Arial" w:hAnsi="Arial" w:cs="Arial"/>
          <w:sz w:val="24"/>
          <w:szCs w:val="24"/>
          <w:vertAlign w:val="superscript"/>
        </w:rPr>
        <w:t xml:space="preserve"> </w:t>
      </w:r>
      <w:r w:rsidR="00AF7CF7">
        <w:rPr>
          <w:rFonts w:ascii="Arial" w:hAnsi="Arial" w:cs="Arial"/>
          <w:sz w:val="24"/>
          <w:szCs w:val="24"/>
        </w:rPr>
        <w:t>February 202</w:t>
      </w:r>
      <w:r w:rsidR="000B0EA7">
        <w:rPr>
          <w:rFonts w:ascii="Arial" w:hAnsi="Arial" w:cs="Arial"/>
          <w:sz w:val="24"/>
          <w:szCs w:val="24"/>
        </w:rPr>
        <w:t>1,</w:t>
      </w:r>
      <w:r w:rsidR="00AF7CF7">
        <w:rPr>
          <w:rFonts w:ascii="Arial" w:hAnsi="Arial" w:cs="Arial"/>
          <w:sz w:val="24"/>
          <w:szCs w:val="24"/>
        </w:rPr>
        <w:t xml:space="preserve"> </w:t>
      </w:r>
      <w:r w:rsidR="0012256F">
        <w:rPr>
          <w:rFonts w:ascii="Arial" w:hAnsi="Arial" w:cs="Arial"/>
          <w:sz w:val="24"/>
          <w:szCs w:val="24"/>
        </w:rPr>
        <w:t>the Respondent replied and expressed</w:t>
      </w:r>
      <w:r w:rsidR="00AF7CF7">
        <w:rPr>
          <w:rFonts w:ascii="Arial" w:hAnsi="Arial" w:cs="Arial"/>
          <w:sz w:val="24"/>
          <w:szCs w:val="24"/>
        </w:rPr>
        <w:t xml:space="preserve"> surprise that</w:t>
      </w:r>
      <w:r w:rsidR="00D160A8">
        <w:rPr>
          <w:rFonts w:ascii="Arial" w:hAnsi="Arial" w:cs="Arial"/>
          <w:sz w:val="24"/>
          <w:szCs w:val="24"/>
        </w:rPr>
        <w:t xml:space="preserve"> there was</w:t>
      </w:r>
      <w:r w:rsidR="00AF7CF7">
        <w:rPr>
          <w:rFonts w:ascii="Arial" w:hAnsi="Arial" w:cs="Arial"/>
          <w:sz w:val="24"/>
          <w:szCs w:val="24"/>
        </w:rPr>
        <w:t xml:space="preserve"> threat</w:t>
      </w:r>
      <w:r w:rsidR="00D160A8">
        <w:rPr>
          <w:rFonts w:ascii="Arial" w:hAnsi="Arial" w:cs="Arial"/>
          <w:sz w:val="24"/>
          <w:szCs w:val="24"/>
        </w:rPr>
        <w:t xml:space="preserve"> of a </w:t>
      </w:r>
      <w:r w:rsidR="005F31FC">
        <w:rPr>
          <w:rFonts w:ascii="Arial" w:hAnsi="Arial" w:cs="Arial"/>
          <w:sz w:val="24"/>
          <w:szCs w:val="24"/>
        </w:rPr>
        <w:t>legal action</w:t>
      </w:r>
      <w:r w:rsidR="000B0EA7">
        <w:rPr>
          <w:rFonts w:ascii="Arial" w:hAnsi="Arial" w:cs="Arial"/>
          <w:sz w:val="24"/>
          <w:szCs w:val="24"/>
        </w:rPr>
        <w:t xml:space="preserve"> against her</w:t>
      </w:r>
      <w:r w:rsidR="005F31FC">
        <w:rPr>
          <w:rFonts w:ascii="Arial" w:hAnsi="Arial" w:cs="Arial"/>
          <w:sz w:val="24"/>
          <w:szCs w:val="24"/>
        </w:rPr>
        <w:t xml:space="preserve">. At that time the arrear amount was R 36 000.00. </w:t>
      </w:r>
    </w:p>
    <w:p w14:paraId="7623E195" w14:textId="12268A5D" w:rsidR="005F31FC" w:rsidRDefault="005F31FC" w:rsidP="00461BDE">
      <w:pPr>
        <w:spacing w:line="360" w:lineRule="auto"/>
        <w:jc w:val="both"/>
        <w:rPr>
          <w:rFonts w:ascii="Arial" w:hAnsi="Arial" w:cs="Arial"/>
          <w:sz w:val="24"/>
          <w:szCs w:val="24"/>
        </w:rPr>
      </w:pPr>
      <w:r>
        <w:rPr>
          <w:rFonts w:ascii="Arial" w:hAnsi="Arial" w:cs="Arial"/>
          <w:sz w:val="24"/>
          <w:szCs w:val="24"/>
        </w:rPr>
        <w:t xml:space="preserve">[6] The </w:t>
      </w:r>
      <w:r w:rsidR="00BD79CB">
        <w:rPr>
          <w:rFonts w:ascii="Arial" w:hAnsi="Arial" w:cs="Arial"/>
          <w:sz w:val="24"/>
          <w:szCs w:val="24"/>
        </w:rPr>
        <w:t xml:space="preserve">Applicant </w:t>
      </w:r>
      <w:r>
        <w:rPr>
          <w:rFonts w:ascii="Arial" w:hAnsi="Arial" w:cs="Arial"/>
          <w:sz w:val="24"/>
          <w:szCs w:val="24"/>
        </w:rPr>
        <w:t xml:space="preserve">subsequently issued summons </w:t>
      </w:r>
      <w:r w:rsidR="00C541C6">
        <w:rPr>
          <w:rFonts w:ascii="Arial" w:hAnsi="Arial" w:cs="Arial"/>
          <w:sz w:val="24"/>
          <w:szCs w:val="24"/>
        </w:rPr>
        <w:t xml:space="preserve">on the </w:t>
      </w:r>
      <w:r w:rsidR="0027737E">
        <w:rPr>
          <w:rFonts w:ascii="Arial" w:hAnsi="Arial" w:cs="Arial"/>
          <w:sz w:val="24"/>
          <w:szCs w:val="24"/>
        </w:rPr>
        <w:t xml:space="preserve">07 April 2021 </w:t>
      </w:r>
      <w:r w:rsidR="0012256F">
        <w:rPr>
          <w:rFonts w:ascii="Arial" w:hAnsi="Arial" w:cs="Arial"/>
          <w:sz w:val="24"/>
          <w:szCs w:val="24"/>
        </w:rPr>
        <w:t xml:space="preserve">which was </w:t>
      </w:r>
      <w:r w:rsidR="0027737E">
        <w:rPr>
          <w:rFonts w:ascii="Arial" w:hAnsi="Arial" w:cs="Arial"/>
          <w:sz w:val="24"/>
          <w:szCs w:val="24"/>
        </w:rPr>
        <w:t xml:space="preserve">served on the </w:t>
      </w:r>
      <w:r w:rsidR="00BD79CB">
        <w:rPr>
          <w:rFonts w:ascii="Arial" w:hAnsi="Arial" w:cs="Arial"/>
          <w:sz w:val="24"/>
          <w:szCs w:val="24"/>
        </w:rPr>
        <w:t>Respondent</w:t>
      </w:r>
      <w:r w:rsidR="0027737E">
        <w:rPr>
          <w:rFonts w:ascii="Arial" w:hAnsi="Arial" w:cs="Arial"/>
          <w:sz w:val="24"/>
          <w:szCs w:val="24"/>
        </w:rPr>
        <w:t xml:space="preserve"> </w:t>
      </w:r>
      <w:r w:rsidR="00B7028E">
        <w:rPr>
          <w:rFonts w:ascii="Arial" w:hAnsi="Arial" w:cs="Arial"/>
          <w:sz w:val="24"/>
          <w:szCs w:val="24"/>
        </w:rPr>
        <w:t xml:space="preserve">on the 29 April 2021. The summons was served at the chosen </w:t>
      </w:r>
      <w:r w:rsidR="00B7028E" w:rsidRPr="00B7028E">
        <w:rPr>
          <w:rFonts w:ascii="Arial" w:hAnsi="Arial" w:cs="Arial"/>
          <w:i/>
          <w:iCs/>
          <w:sz w:val="24"/>
          <w:szCs w:val="24"/>
        </w:rPr>
        <w:t>domicilium citandi executandi</w:t>
      </w:r>
      <w:r w:rsidR="00B7028E">
        <w:rPr>
          <w:rFonts w:ascii="Arial" w:hAnsi="Arial" w:cs="Arial"/>
          <w:sz w:val="24"/>
          <w:szCs w:val="24"/>
        </w:rPr>
        <w:t xml:space="preserve">. The </w:t>
      </w:r>
      <w:r w:rsidR="009414F8">
        <w:rPr>
          <w:rFonts w:ascii="Arial" w:hAnsi="Arial" w:cs="Arial"/>
          <w:sz w:val="24"/>
          <w:szCs w:val="24"/>
        </w:rPr>
        <w:t>Respondent</w:t>
      </w:r>
      <w:r w:rsidR="00B7028E">
        <w:rPr>
          <w:rFonts w:ascii="Arial" w:hAnsi="Arial" w:cs="Arial"/>
          <w:sz w:val="24"/>
          <w:szCs w:val="24"/>
        </w:rPr>
        <w:t xml:space="preserve"> was in terms of the computation </w:t>
      </w:r>
      <w:r w:rsidR="00E935E9">
        <w:rPr>
          <w:rFonts w:ascii="Arial" w:hAnsi="Arial" w:cs="Arial"/>
          <w:sz w:val="24"/>
          <w:szCs w:val="24"/>
        </w:rPr>
        <w:t xml:space="preserve">of </w:t>
      </w:r>
      <w:r w:rsidR="00E935E9" w:rsidRPr="00E935E9">
        <w:rPr>
          <w:rFonts w:ascii="Arial" w:hAnsi="Arial" w:cs="Arial"/>
          <w:i/>
          <w:iCs/>
          <w:sz w:val="24"/>
          <w:szCs w:val="24"/>
        </w:rPr>
        <w:t>dies</w:t>
      </w:r>
      <w:r w:rsidR="00E935E9">
        <w:rPr>
          <w:rFonts w:ascii="Arial" w:hAnsi="Arial" w:cs="Arial"/>
          <w:sz w:val="24"/>
          <w:szCs w:val="24"/>
        </w:rPr>
        <w:t xml:space="preserve"> provided by the Rules required to enter a Notice of Intention to Defend</w:t>
      </w:r>
      <w:r w:rsidR="00347418">
        <w:rPr>
          <w:rFonts w:ascii="Arial" w:hAnsi="Arial" w:cs="Arial"/>
          <w:sz w:val="24"/>
          <w:szCs w:val="24"/>
        </w:rPr>
        <w:t xml:space="preserve"> in terms of Rule 19</w:t>
      </w:r>
      <w:r w:rsidR="00E935E9">
        <w:rPr>
          <w:rFonts w:ascii="Arial" w:hAnsi="Arial" w:cs="Arial"/>
          <w:sz w:val="24"/>
          <w:szCs w:val="24"/>
        </w:rPr>
        <w:t xml:space="preserve"> by the 13 May 2021</w:t>
      </w:r>
      <w:r w:rsidR="00347418">
        <w:rPr>
          <w:rStyle w:val="FootnoteReference"/>
          <w:rFonts w:ascii="Arial" w:hAnsi="Arial" w:cs="Arial"/>
          <w:sz w:val="24"/>
          <w:szCs w:val="24"/>
        </w:rPr>
        <w:footnoteReference w:id="5"/>
      </w:r>
      <w:r w:rsidR="00E935E9">
        <w:rPr>
          <w:rFonts w:ascii="Arial" w:hAnsi="Arial" w:cs="Arial"/>
          <w:sz w:val="24"/>
          <w:szCs w:val="24"/>
        </w:rPr>
        <w:t xml:space="preserve"> and a Plea by the 10 June 2021</w:t>
      </w:r>
      <w:r w:rsidR="00274718">
        <w:rPr>
          <w:rFonts w:ascii="Arial" w:hAnsi="Arial" w:cs="Arial"/>
          <w:sz w:val="24"/>
          <w:szCs w:val="24"/>
        </w:rPr>
        <w:t xml:space="preserve"> in terms of Rule 22</w:t>
      </w:r>
      <w:r w:rsidR="00347418">
        <w:rPr>
          <w:rStyle w:val="FootnoteReference"/>
          <w:rFonts w:ascii="Arial" w:hAnsi="Arial" w:cs="Arial"/>
          <w:sz w:val="24"/>
          <w:szCs w:val="24"/>
        </w:rPr>
        <w:footnoteReference w:id="6"/>
      </w:r>
      <w:r w:rsidR="00E935E9">
        <w:rPr>
          <w:rFonts w:ascii="Arial" w:hAnsi="Arial" w:cs="Arial"/>
          <w:sz w:val="24"/>
          <w:szCs w:val="24"/>
        </w:rPr>
        <w:t xml:space="preserve">. </w:t>
      </w:r>
      <w:r w:rsidR="0087747A">
        <w:rPr>
          <w:rFonts w:ascii="Arial" w:hAnsi="Arial" w:cs="Arial"/>
          <w:sz w:val="24"/>
          <w:szCs w:val="24"/>
        </w:rPr>
        <w:t>She failed to respond as required by the rules</w:t>
      </w:r>
      <w:r w:rsidR="00E935E9">
        <w:rPr>
          <w:rFonts w:ascii="Arial" w:hAnsi="Arial" w:cs="Arial"/>
          <w:sz w:val="24"/>
          <w:szCs w:val="24"/>
        </w:rPr>
        <w:t xml:space="preserve">. </w:t>
      </w:r>
      <w:r w:rsidR="00E73738">
        <w:rPr>
          <w:rFonts w:ascii="Arial" w:hAnsi="Arial" w:cs="Arial"/>
          <w:sz w:val="24"/>
          <w:szCs w:val="24"/>
        </w:rPr>
        <w:t xml:space="preserve"> </w:t>
      </w:r>
    </w:p>
    <w:p w14:paraId="7940EC41" w14:textId="5758BC07" w:rsidR="00E935E9" w:rsidRDefault="00E935E9" w:rsidP="00461BDE">
      <w:pPr>
        <w:spacing w:line="360" w:lineRule="auto"/>
        <w:jc w:val="both"/>
        <w:rPr>
          <w:rFonts w:ascii="Arial" w:hAnsi="Arial" w:cs="Arial"/>
          <w:sz w:val="24"/>
          <w:szCs w:val="24"/>
        </w:rPr>
      </w:pPr>
      <w:r>
        <w:rPr>
          <w:rFonts w:ascii="Arial" w:hAnsi="Arial" w:cs="Arial"/>
          <w:sz w:val="24"/>
          <w:szCs w:val="24"/>
        </w:rPr>
        <w:t xml:space="preserve">[7] As result of the failure to respond to the summons, the </w:t>
      </w:r>
      <w:r w:rsidR="00F14D6B">
        <w:rPr>
          <w:rFonts w:ascii="Arial" w:hAnsi="Arial" w:cs="Arial"/>
          <w:sz w:val="24"/>
          <w:szCs w:val="24"/>
        </w:rPr>
        <w:t>Applicant</w:t>
      </w:r>
      <w:r>
        <w:rPr>
          <w:rFonts w:ascii="Arial" w:hAnsi="Arial" w:cs="Arial"/>
          <w:sz w:val="24"/>
          <w:szCs w:val="24"/>
        </w:rPr>
        <w:t xml:space="preserve"> approached court to </w:t>
      </w:r>
      <w:r w:rsidR="00BA069A">
        <w:rPr>
          <w:rFonts w:ascii="Arial" w:hAnsi="Arial" w:cs="Arial"/>
          <w:sz w:val="24"/>
          <w:szCs w:val="24"/>
        </w:rPr>
        <w:t xml:space="preserve">a default judgment for monetary judgment and in addition for order to </w:t>
      </w:r>
      <w:r w:rsidR="00BA069A">
        <w:rPr>
          <w:rFonts w:ascii="Arial" w:hAnsi="Arial" w:cs="Arial"/>
          <w:sz w:val="24"/>
          <w:szCs w:val="24"/>
        </w:rPr>
        <w:lastRenderedPageBreak/>
        <w:t xml:space="preserve">declare the residential property specially </w:t>
      </w:r>
      <w:r w:rsidR="00551DD5">
        <w:rPr>
          <w:rFonts w:ascii="Arial" w:hAnsi="Arial" w:cs="Arial"/>
          <w:sz w:val="24"/>
          <w:szCs w:val="24"/>
        </w:rPr>
        <w:t>executable. This is the property that is the subject</w:t>
      </w:r>
      <w:r w:rsidR="0012256F">
        <w:rPr>
          <w:rFonts w:ascii="Arial" w:hAnsi="Arial" w:cs="Arial"/>
          <w:sz w:val="24"/>
          <w:szCs w:val="24"/>
        </w:rPr>
        <w:t xml:space="preserve"> </w:t>
      </w:r>
      <w:r w:rsidR="005166EF">
        <w:rPr>
          <w:rFonts w:ascii="Arial" w:hAnsi="Arial" w:cs="Arial"/>
          <w:sz w:val="24"/>
          <w:szCs w:val="24"/>
        </w:rPr>
        <w:t>matter of</w:t>
      </w:r>
      <w:r w:rsidR="00551DD5">
        <w:rPr>
          <w:rFonts w:ascii="Arial" w:hAnsi="Arial" w:cs="Arial"/>
          <w:sz w:val="24"/>
          <w:szCs w:val="24"/>
        </w:rPr>
        <w:t xml:space="preserve"> the loan agreement.</w:t>
      </w:r>
    </w:p>
    <w:p w14:paraId="2FF90FB5" w14:textId="0D3B5459" w:rsidR="00BA069A" w:rsidRDefault="00BA069A" w:rsidP="00461BDE">
      <w:pPr>
        <w:spacing w:line="360" w:lineRule="auto"/>
        <w:jc w:val="both"/>
        <w:rPr>
          <w:rFonts w:ascii="Arial" w:hAnsi="Arial" w:cs="Arial"/>
          <w:sz w:val="24"/>
          <w:szCs w:val="24"/>
        </w:rPr>
      </w:pPr>
      <w:r>
        <w:rPr>
          <w:rFonts w:ascii="Arial" w:hAnsi="Arial" w:cs="Arial"/>
          <w:sz w:val="24"/>
          <w:szCs w:val="24"/>
        </w:rPr>
        <w:t xml:space="preserve">[8] The application was set down </w:t>
      </w:r>
      <w:r w:rsidR="00530229">
        <w:rPr>
          <w:rFonts w:ascii="Arial" w:hAnsi="Arial" w:cs="Arial"/>
          <w:sz w:val="24"/>
          <w:szCs w:val="24"/>
        </w:rPr>
        <w:t xml:space="preserve">for </w:t>
      </w:r>
      <w:r>
        <w:rPr>
          <w:rFonts w:ascii="Arial" w:hAnsi="Arial" w:cs="Arial"/>
          <w:sz w:val="24"/>
          <w:szCs w:val="24"/>
        </w:rPr>
        <w:t xml:space="preserve">hearing on the </w:t>
      </w:r>
      <w:r w:rsidR="00EC4A6F">
        <w:rPr>
          <w:rFonts w:ascii="Arial" w:hAnsi="Arial" w:cs="Arial"/>
          <w:sz w:val="24"/>
          <w:szCs w:val="24"/>
        </w:rPr>
        <w:t xml:space="preserve">21 September 2021. A </w:t>
      </w:r>
      <w:r w:rsidR="005166EF">
        <w:rPr>
          <w:rFonts w:ascii="Arial" w:hAnsi="Arial" w:cs="Arial"/>
          <w:sz w:val="24"/>
          <w:szCs w:val="24"/>
        </w:rPr>
        <w:t>N</w:t>
      </w:r>
      <w:r w:rsidR="00EC4A6F">
        <w:rPr>
          <w:rFonts w:ascii="Arial" w:hAnsi="Arial" w:cs="Arial"/>
          <w:sz w:val="24"/>
          <w:szCs w:val="24"/>
        </w:rPr>
        <w:t xml:space="preserve">otice of </w:t>
      </w:r>
      <w:r w:rsidR="005166EF">
        <w:rPr>
          <w:rFonts w:ascii="Arial" w:hAnsi="Arial" w:cs="Arial"/>
          <w:sz w:val="24"/>
          <w:szCs w:val="24"/>
        </w:rPr>
        <w:t>M</w:t>
      </w:r>
      <w:r w:rsidR="00EC4A6F">
        <w:rPr>
          <w:rFonts w:ascii="Arial" w:hAnsi="Arial" w:cs="Arial"/>
          <w:sz w:val="24"/>
          <w:szCs w:val="24"/>
        </w:rPr>
        <w:t xml:space="preserve">otion was served on </w:t>
      </w:r>
      <w:r w:rsidR="00CF337B">
        <w:rPr>
          <w:rFonts w:ascii="Arial" w:hAnsi="Arial" w:cs="Arial"/>
          <w:sz w:val="24"/>
          <w:szCs w:val="24"/>
        </w:rPr>
        <w:t>Respondent,</w:t>
      </w:r>
      <w:r w:rsidR="00551DD5">
        <w:rPr>
          <w:rFonts w:ascii="Arial" w:hAnsi="Arial" w:cs="Arial"/>
          <w:sz w:val="24"/>
          <w:szCs w:val="24"/>
        </w:rPr>
        <w:t xml:space="preserve"> and she</w:t>
      </w:r>
      <w:r w:rsidR="00EC4A6F">
        <w:rPr>
          <w:rFonts w:ascii="Arial" w:hAnsi="Arial" w:cs="Arial"/>
          <w:sz w:val="24"/>
          <w:szCs w:val="24"/>
        </w:rPr>
        <w:t xml:space="preserve"> appeared in person. </w:t>
      </w:r>
      <w:r w:rsidR="005A37C3">
        <w:rPr>
          <w:rFonts w:ascii="Arial" w:hAnsi="Arial" w:cs="Arial"/>
          <w:sz w:val="24"/>
          <w:szCs w:val="24"/>
        </w:rPr>
        <w:t>The court postpone</w:t>
      </w:r>
      <w:r w:rsidR="00530229">
        <w:rPr>
          <w:rFonts w:ascii="Arial" w:hAnsi="Arial" w:cs="Arial"/>
          <w:sz w:val="24"/>
          <w:szCs w:val="24"/>
        </w:rPr>
        <w:t>d</w:t>
      </w:r>
      <w:r w:rsidR="005A37C3">
        <w:rPr>
          <w:rFonts w:ascii="Arial" w:hAnsi="Arial" w:cs="Arial"/>
          <w:sz w:val="24"/>
          <w:szCs w:val="24"/>
        </w:rPr>
        <w:t xml:space="preserve"> the matter </w:t>
      </w:r>
      <w:r w:rsidR="005A37C3" w:rsidRPr="00530229">
        <w:rPr>
          <w:rFonts w:ascii="Arial" w:hAnsi="Arial" w:cs="Arial"/>
          <w:i/>
          <w:iCs/>
          <w:sz w:val="24"/>
          <w:szCs w:val="24"/>
        </w:rPr>
        <w:t>sine die</w:t>
      </w:r>
      <w:r w:rsidR="005A37C3">
        <w:rPr>
          <w:rFonts w:ascii="Arial" w:hAnsi="Arial" w:cs="Arial"/>
          <w:sz w:val="24"/>
          <w:szCs w:val="24"/>
        </w:rPr>
        <w:t xml:space="preserve"> and the </w:t>
      </w:r>
      <w:r w:rsidR="00CF337B">
        <w:rPr>
          <w:rFonts w:ascii="Arial" w:hAnsi="Arial" w:cs="Arial"/>
          <w:sz w:val="24"/>
          <w:szCs w:val="24"/>
        </w:rPr>
        <w:t>R</w:t>
      </w:r>
      <w:r w:rsidR="005A37C3">
        <w:rPr>
          <w:rFonts w:ascii="Arial" w:hAnsi="Arial" w:cs="Arial"/>
          <w:sz w:val="24"/>
          <w:szCs w:val="24"/>
        </w:rPr>
        <w:t xml:space="preserve">espondent was afforded opportunity </w:t>
      </w:r>
      <w:r w:rsidR="00530229">
        <w:rPr>
          <w:rFonts w:ascii="Arial" w:hAnsi="Arial" w:cs="Arial"/>
          <w:sz w:val="24"/>
          <w:szCs w:val="24"/>
        </w:rPr>
        <w:t xml:space="preserve">to pay off the arrears within </w:t>
      </w:r>
      <w:r w:rsidR="005A37C3">
        <w:rPr>
          <w:rFonts w:ascii="Arial" w:hAnsi="Arial" w:cs="Arial"/>
          <w:sz w:val="24"/>
          <w:szCs w:val="24"/>
        </w:rPr>
        <w:t xml:space="preserve">a period of six months from the date of the order. At that stage the arrears amounted to R 43 747.35. </w:t>
      </w:r>
    </w:p>
    <w:p w14:paraId="629B560C" w14:textId="391EF3D0" w:rsidR="00A63DDF" w:rsidRDefault="00894D40" w:rsidP="00461BDE">
      <w:pPr>
        <w:spacing w:line="360" w:lineRule="auto"/>
        <w:jc w:val="both"/>
        <w:rPr>
          <w:rFonts w:ascii="Arial" w:hAnsi="Arial" w:cs="Arial"/>
          <w:sz w:val="24"/>
          <w:szCs w:val="24"/>
        </w:rPr>
      </w:pPr>
      <w:r>
        <w:rPr>
          <w:rFonts w:ascii="Arial" w:hAnsi="Arial" w:cs="Arial"/>
          <w:sz w:val="24"/>
          <w:szCs w:val="24"/>
        </w:rPr>
        <w:t xml:space="preserve">[9] In the event that arrears were not paid within the </w:t>
      </w:r>
      <w:r w:rsidR="00A63DDF">
        <w:rPr>
          <w:rFonts w:ascii="Arial" w:hAnsi="Arial" w:cs="Arial"/>
          <w:sz w:val="24"/>
          <w:szCs w:val="24"/>
        </w:rPr>
        <w:t xml:space="preserve">set </w:t>
      </w:r>
      <w:r>
        <w:rPr>
          <w:rFonts w:ascii="Arial" w:hAnsi="Arial" w:cs="Arial"/>
          <w:sz w:val="24"/>
          <w:szCs w:val="24"/>
        </w:rPr>
        <w:t xml:space="preserve">timeframe, the </w:t>
      </w:r>
      <w:r w:rsidR="00942E17">
        <w:rPr>
          <w:rFonts w:ascii="Arial" w:hAnsi="Arial" w:cs="Arial"/>
          <w:sz w:val="24"/>
          <w:szCs w:val="24"/>
        </w:rPr>
        <w:t>Applicant</w:t>
      </w:r>
      <w:r>
        <w:rPr>
          <w:rFonts w:ascii="Arial" w:hAnsi="Arial" w:cs="Arial"/>
          <w:sz w:val="24"/>
          <w:szCs w:val="24"/>
        </w:rPr>
        <w:t xml:space="preserve"> was granted leave to supplement </w:t>
      </w:r>
      <w:r w:rsidR="00AB490B">
        <w:rPr>
          <w:rFonts w:ascii="Arial" w:hAnsi="Arial" w:cs="Arial"/>
          <w:sz w:val="24"/>
          <w:szCs w:val="24"/>
        </w:rPr>
        <w:t xml:space="preserve">the application and set it down for hearing. In addition, the </w:t>
      </w:r>
      <w:r w:rsidR="00942E17">
        <w:rPr>
          <w:rFonts w:ascii="Arial" w:hAnsi="Arial" w:cs="Arial"/>
          <w:sz w:val="24"/>
          <w:szCs w:val="24"/>
        </w:rPr>
        <w:t>A</w:t>
      </w:r>
      <w:r w:rsidR="00AB490B">
        <w:rPr>
          <w:rFonts w:ascii="Arial" w:hAnsi="Arial" w:cs="Arial"/>
          <w:sz w:val="24"/>
          <w:szCs w:val="24"/>
        </w:rPr>
        <w:t xml:space="preserve">pplicant was granted leave to serve such supplementary affidavit and notice of set down by email. The </w:t>
      </w:r>
      <w:r w:rsidR="00942E17">
        <w:rPr>
          <w:rFonts w:ascii="Arial" w:hAnsi="Arial" w:cs="Arial"/>
          <w:sz w:val="24"/>
          <w:szCs w:val="24"/>
        </w:rPr>
        <w:t>R</w:t>
      </w:r>
      <w:r w:rsidR="00AB490B">
        <w:rPr>
          <w:rFonts w:ascii="Arial" w:hAnsi="Arial" w:cs="Arial"/>
          <w:sz w:val="24"/>
          <w:szCs w:val="24"/>
        </w:rPr>
        <w:t>espondent was ordered to pay costs on a punitive scale of attorney and client scale.</w:t>
      </w:r>
    </w:p>
    <w:p w14:paraId="4AD0F8A6" w14:textId="289C1FC5" w:rsidR="00A63DDF" w:rsidRDefault="00AB490B" w:rsidP="00461BDE">
      <w:pPr>
        <w:spacing w:line="360" w:lineRule="auto"/>
        <w:jc w:val="both"/>
        <w:rPr>
          <w:rFonts w:ascii="Arial" w:hAnsi="Arial" w:cs="Arial"/>
          <w:sz w:val="24"/>
          <w:szCs w:val="24"/>
        </w:rPr>
      </w:pPr>
      <w:r>
        <w:rPr>
          <w:rFonts w:ascii="Arial" w:hAnsi="Arial" w:cs="Arial"/>
          <w:sz w:val="24"/>
          <w:szCs w:val="24"/>
        </w:rPr>
        <w:t xml:space="preserve"> </w:t>
      </w:r>
      <w:r w:rsidR="00A63DDF" w:rsidRPr="00A63DDF">
        <w:rPr>
          <w:rFonts w:ascii="Arial" w:hAnsi="Arial" w:cs="Arial"/>
          <w:sz w:val="24"/>
          <w:szCs w:val="24"/>
        </w:rPr>
        <w:t>[1</w:t>
      </w:r>
      <w:r w:rsidR="00A63DDF">
        <w:rPr>
          <w:rFonts w:ascii="Arial" w:hAnsi="Arial" w:cs="Arial"/>
          <w:sz w:val="24"/>
          <w:szCs w:val="24"/>
        </w:rPr>
        <w:t>0</w:t>
      </w:r>
      <w:r w:rsidR="00A63DDF" w:rsidRPr="00A63DDF">
        <w:rPr>
          <w:rFonts w:ascii="Arial" w:hAnsi="Arial" w:cs="Arial"/>
          <w:sz w:val="24"/>
          <w:szCs w:val="24"/>
        </w:rPr>
        <w:t xml:space="preserve">] On the 10 May 2022 the matter was again set down for hearing and again the </w:t>
      </w:r>
      <w:r w:rsidR="00942E17">
        <w:rPr>
          <w:rFonts w:ascii="Arial" w:hAnsi="Arial" w:cs="Arial"/>
          <w:sz w:val="24"/>
          <w:szCs w:val="24"/>
        </w:rPr>
        <w:t>R</w:t>
      </w:r>
      <w:r w:rsidR="00A63DDF" w:rsidRPr="00A63DDF">
        <w:rPr>
          <w:rFonts w:ascii="Arial" w:hAnsi="Arial" w:cs="Arial"/>
          <w:sz w:val="24"/>
          <w:szCs w:val="24"/>
        </w:rPr>
        <w:t>espondent appeared in person and the matter was removed from the roll as the date on the draft order was</w:t>
      </w:r>
      <w:r w:rsidR="00942E17">
        <w:rPr>
          <w:rFonts w:ascii="Arial" w:hAnsi="Arial" w:cs="Arial"/>
          <w:sz w:val="24"/>
          <w:szCs w:val="24"/>
        </w:rPr>
        <w:t xml:space="preserve"> found to be</w:t>
      </w:r>
      <w:r w:rsidR="00A63DDF" w:rsidRPr="00A63DDF">
        <w:rPr>
          <w:rFonts w:ascii="Arial" w:hAnsi="Arial" w:cs="Arial"/>
          <w:sz w:val="24"/>
          <w:szCs w:val="24"/>
        </w:rPr>
        <w:t xml:space="preserve"> incorrect.</w:t>
      </w:r>
      <w:r w:rsidR="00A63DDF">
        <w:rPr>
          <w:rFonts w:ascii="Arial" w:hAnsi="Arial" w:cs="Arial"/>
          <w:sz w:val="24"/>
          <w:szCs w:val="24"/>
        </w:rPr>
        <w:t xml:space="preserve"> It is worth noting that even at that stage the </w:t>
      </w:r>
      <w:r w:rsidR="00942E17">
        <w:rPr>
          <w:rFonts w:ascii="Arial" w:hAnsi="Arial" w:cs="Arial"/>
          <w:sz w:val="24"/>
          <w:szCs w:val="24"/>
        </w:rPr>
        <w:t>R</w:t>
      </w:r>
      <w:r w:rsidR="00A63DDF">
        <w:rPr>
          <w:rFonts w:ascii="Arial" w:hAnsi="Arial" w:cs="Arial"/>
          <w:sz w:val="24"/>
          <w:szCs w:val="24"/>
        </w:rPr>
        <w:t>espondent appeared in person and that there were no opposing papers filed.</w:t>
      </w:r>
    </w:p>
    <w:p w14:paraId="3AB888BF" w14:textId="126219BC" w:rsidR="00AB490B" w:rsidRDefault="00AB490B" w:rsidP="00461BDE">
      <w:pPr>
        <w:spacing w:line="360" w:lineRule="auto"/>
        <w:jc w:val="both"/>
        <w:rPr>
          <w:rFonts w:ascii="Arial" w:hAnsi="Arial" w:cs="Arial"/>
          <w:sz w:val="24"/>
          <w:szCs w:val="24"/>
        </w:rPr>
      </w:pPr>
      <w:r>
        <w:rPr>
          <w:rFonts w:ascii="Arial" w:hAnsi="Arial" w:cs="Arial"/>
          <w:sz w:val="24"/>
          <w:szCs w:val="24"/>
        </w:rPr>
        <w:t>[1</w:t>
      </w:r>
      <w:r w:rsidR="00A63DDF">
        <w:rPr>
          <w:rFonts w:ascii="Arial" w:hAnsi="Arial" w:cs="Arial"/>
          <w:sz w:val="24"/>
          <w:szCs w:val="24"/>
        </w:rPr>
        <w:t>1</w:t>
      </w:r>
      <w:r>
        <w:rPr>
          <w:rFonts w:ascii="Arial" w:hAnsi="Arial" w:cs="Arial"/>
          <w:sz w:val="24"/>
          <w:szCs w:val="24"/>
        </w:rPr>
        <w:t xml:space="preserve">] The </w:t>
      </w:r>
      <w:r w:rsidR="00942E17">
        <w:rPr>
          <w:rFonts w:ascii="Arial" w:hAnsi="Arial" w:cs="Arial"/>
          <w:sz w:val="24"/>
          <w:szCs w:val="24"/>
        </w:rPr>
        <w:t>A</w:t>
      </w:r>
      <w:r>
        <w:rPr>
          <w:rFonts w:ascii="Arial" w:hAnsi="Arial" w:cs="Arial"/>
          <w:sz w:val="24"/>
          <w:szCs w:val="24"/>
        </w:rPr>
        <w:t>pplicant again set down the matter for hearing on the 02</w:t>
      </w:r>
      <w:r w:rsidR="00860F4C">
        <w:rPr>
          <w:rFonts w:ascii="Arial" w:hAnsi="Arial" w:cs="Arial"/>
          <w:sz w:val="24"/>
          <w:szCs w:val="24"/>
          <w:vertAlign w:val="superscript"/>
        </w:rPr>
        <w:t xml:space="preserve"> </w:t>
      </w:r>
      <w:r>
        <w:rPr>
          <w:rFonts w:ascii="Arial" w:hAnsi="Arial" w:cs="Arial"/>
          <w:sz w:val="24"/>
          <w:szCs w:val="24"/>
        </w:rPr>
        <w:t xml:space="preserve">August 2022 hence this judgment. </w:t>
      </w:r>
      <w:r w:rsidR="00860F4C">
        <w:rPr>
          <w:rFonts w:ascii="Arial" w:hAnsi="Arial" w:cs="Arial"/>
          <w:sz w:val="24"/>
          <w:szCs w:val="24"/>
        </w:rPr>
        <w:t xml:space="preserve">The </w:t>
      </w:r>
      <w:r w:rsidR="004E5EC9">
        <w:rPr>
          <w:rFonts w:ascii="Arial" w:hAnsi="Arial" w:cs="Arial"/>
          <w:sz w:val="24"/>
          <w:szCs w:val="24"/>
        </w:rPr>
        <w:t>A</w:t>
      </w:r>
      <w:r w:rsidR="00860F4C">
        <w:rPr>
          <w:rFonts w:ascii="Arial" w:hAnsi="Arial" w:cs="Arial"/>
          <w:sz w:val="24"/>
          <w:szCs w:val="24"/>
        </w:rPr>
        <w:t>pplicant again seeks the prayers similar to that of September</w:t>
      </w:r>
      <w:r w:rsidR="004E5EC9">
        <w:rPr>
          <w:rFonts w:ascii="Arial" w:hAnsi="Arial" w:cs="Arial"/>
          <w:sz w:val="24"/>
          <w:szCs w:val="24"/>
        </w:rPr>
        <w:t xml:space="preserve"> </w:t>
      </w:r>
      <w:r w:rsidR="00860F4C">
        <w:rPr>
          <w:rFonts w:ascii="Arial" w:hAnsi="Arial" w:cs="Arial"/>
          <w:sz w:val="24"/>
          <w:szCs w:val="24"/>
        </w:rPr>
        <w:t>2021</w:t>
      </w:r>
      <w:r w:rsidR="004E5EC9">
        <w:rPr>
          <w:rFonts w:ascii="Arial" w:hAnsi="Arial" w:cs="Arial"/>
          <w:sz w:val="24"/>
          <w:szCs w:val="24"/>
        </w:rPr>
        <w:t xml:space="preserve"> and May 2022</w:t>
      </w:r>
      <w:r w:rsidR="00860F4C">
        <w:rPr>
          <w:rFonts w:ascii="Arial" w:hAnsi="Arial" w:cs="Arial"/>
          <w:sz w:val="24"/>
          <w:szCs w:val="24"/>
        </w:rPr>
        <w:t xml:space="preserve">. The application is based on the contention that the </w:t>
      </w:r>
      <w:r w:rsidR="004E5EC9">
        <w:rPr>
          <w:rFonts w:ascii="Arial" w:hAnsi="Arial" w:cs="Arial"/>
          <w:sz w:val="24"/>
          <w:szCs w:val="24"/>
        </w:rPr>
        <w:t>Respondent</w:t>
      </w:r>
      <w:r w:rsidR="00860F4C">
        <w:rPr>
          <w:rFonts w:ascii="Arial" w:hAnsi="Arial" w:cs="Arial"/>
          <w:sz w:val="24"/>
          <w:szCs w:val="24"/>
        </w:rPr>
        <w:t xml:space="preserve"> has failed to</w:t>
      </w:r>
      <w:r w:rsidR="004E5EC9">
        <w:rPr>
          <w:rFonts w:ascii="Arial" w:hAnsi="Arial" w:cs="Arial"/>
          <w:sz w:val="24"/>
          <w:szCs w:val="24"/>
        </w:rPr>
        <w:t xml:space="preserve"> defray </w:t>
      </w:r>
      <w:r w:rsidR="00860F4C">
        <w:rPr>
          <w:rFonts w:ascii="Arial" w:hAnsi="Arial" w:cs="Arial"/>
          <w:sz w:val="24"/>
          <w:szCs w:val="24"/>
        </w:rPr>
        <w:t xml:space="preserve">the arrears as </w:t>
      </w:r>
      <w:r w:rsidR="004E5EC9">
        <w:rPr>
          <w:rFonts w:ascii="Arial" w:hAnsi="Arial" w:cs="Arial"/>
          <w:sz w:val="24"/>
          <w:szCs w:val="24"/>
        </w:rPr>
        <w:t>per court order</w:t>
      </w:r>
      <w:r w:rsidR="00A56F02">
        <w:rPr>
          <w:rFonts w:ascii="Arial" w:hAnsi="Arial" w:cs="Arial"/>
          <w:sz w:val="24"/>
          <w:szCs w:val="24"/>
        </w:rPr>
        <w:t xml:space="preserve"> and remains in arrears</w:t>
      </w:r>
      <w:r w:rsidR="00860F4C">
        <w:rPr>
          <w:rFonts w:ascii="Arial" w:hAnsi="Arial" w:cs="Arial"/>
          <w:sz w:val="24"/>
          <w:szCs w:val="24"/>
        </w:rPr>
        <w:t>.</w:t>
      </w:r>
    </w:p>
    <w:p w14:paraId="48031113" w14:textId="04535BE6" w:rsidR="00860F4C" w:rsidRDefault="00860F4C" w:rsidP="00461BDE">
      <w:pPr>
        <w:spacing w:line="360" w:lineRule="auto"/>
        <w:jc w:val="both"/>
        <w:rPr>
          <w:rFonts w:ascii="Arial" w:hAnsi="Arial" w:cs="Arial"/>
          <w:sz w:val="24"/>
          <w:szCs w:val="24"/>
        </w:rPr>
      </w:pPr>
      <w:r>
        <w:rPr>
          <w:rFonts w:ascii="Arial" w:hAnsi="Arial" w:cs="Arial"/>
          <w:sz w:val="24"/>
          <w:szCs w:val="24"/>
        </w:rPr>
        <w:t>[1</w:t>
      </w:r>
      <w:r w:rsidR="00A63DDF">
        <w:rPr>
          <w:rFonts w:ascii="Arial" w:hAnsi="Arial" w:cs="Arial"/>
          <w:sz w:val="24"/>
          <w:szCs w:val="24"/>
        </w:rPr>
        <w:t>2</w:t>
      </w:r>
      <w:r>
        <w:rPr>
          <w:rFonts w:ascii="Arial" w:hAnsi="Arial" w:cs="Arial"/>
          <w:sz w:val="24"/>
          <w:szCs w:val="24"/>
        </w:rPr>
        <w:t xml:space="preserve">] In support of the application for money judgment in terms of Rule 31 and order for executability, a comprehensive affidavit was </w:t>
      </w:r>
      <w:r w:rsidR="007B0BFE">
        <w:rPr>
          <w:rFonts w:ascii="Arial" w:hAnsi="Arial" w:cs="Arial"/>
          <w:sz w:val="24"/>
          <w:szCs w:val="24"/>
        </w:rPr>
        <w:t xml:space="preserve">submitted. The Notice of Motion was duly served on the </w:t>
      </w:r>
      <w:r w:rsidR="004E5EC9">
        <w:rPr>
          <w:rFonts w:ascii="Arial" w:hAnsi="Arial" w:cs="Arial"/>
          <w:sz w:val="24"/>
          <w:szCs w:val="24"/>
        </w:rPr>
        <w:t>Respondent</w:t>
      </w:r>
      <w:r w:rsidR="007B0BFE">
        <w:rPr>
          <w:rFonts w:ascii="Arial" w:hAnsi="Arial" w:cs="Arial"/>
          <w:sz w:val="24"/>
          <w:szCs w:val="24"/>
        </w:rPr>
        <w:t xml:space="preserve">, and she appeared in person on the day of hearing. She did not file a notice to oppose or opposing affidavit. </w:t>
      </w:r>
    </w:p>
    <w:p w14:paraId="687A1793" w14:textId="38B5EC05" w:rsidR="007B0BFE" w:rsidRDefault="007B0BFE" w:rsidP="00461BDE">
      <w:pPr>
        <w:spacing w:line="360" w:lineRule="auto"/>
        <w:jc w:val="both"/>
        <w:rPr>
          <w:rFonts w:ascii="Arial" w:hAnsi="Arial" w:cs="Arial"/>
          <w:sz w:val="24"/>
          <w:szCs w:val="24"/>
        </w:rPr>
      </w:pPr>
      <w:r>
        <w:rPr>
          <w:rFonts w:ascii="Arial" w:hAnsi="Arial" w:cs="Arial"/>
          <w:sz w:val="24"/>
          <w:szCs w:val="24"/>
        </w:rPr>
        <w:t>[1</w:t>
      </w:r>
      <w:r w:rsidR="00A63DDF">
        <w:rPr>
          <w:rFonts w:ascii="Arial" w:hAnsi="Arial" w:cs="Arial"/>
          <w:sz w:val="24"/>
          <w:szCs w:val="24"/>
        </w:rPr>
        <w:t>3</w:t>
      </w:r>
      <w:r>
        <w:rPr>
          <w:rFonts w:ascii="Arial" w:hAnsi="Arial" w:cs="Arial"/>
          <w:sz w:val="24"/>
          <w:szCs w:val="24"/>
        </w:rPr>
        <w:t xml:space="preserve">] When the matter was called the counsel for the </w:t>
      </w:r>
      <w:r w:rsidR="009D7985">
        <w:rPr>
          <w:rFonts w:ascii="Arial" w:hAnsi="Arial" w:cs="Arial"/>
          <w:sz w:val="24"/>
          <w:szCs w:val="24"/>
        </w:rPr>
        <w:t>A</w:t>
      </w:r>
      <w:r>
        <w:rPr>
          <w:rFonts w:ascii="Arial" w:hAnsi="Arial" w:cs="Arial"/>
          <w:sz w:val="24"/>
          <w:szCs w:val="24"/>
        </w:rPr>
        <w:t xml:space="preserve">pplicant and argued that application be </w:t>
      </w:r>
      <w:r w:rsidR="00E24344">
        <w:rPr>
          <w:rFonts w:ascii="Arial" w:hAnsi="Arial" w:cs="Arial"/>
          <w:sz w:val="24"/>
          <w:szCs w:val="24"/>
        </w:rPr>
        <w:t>granted,</w:t>
      </w:r>
      <w:r>
        <w:rPr>
          <w:rFonts w:ascii="Arial" w:hAnsi="Arial" w:cs="Arial"/>
          <w:sz w:val="24"/>
          <w:szCs w:val="24"/>
        </w:rPr>
        <w:t xml:space="preserve"> and that the appearance of </w:t>
      </w:r>
      <w:r w:rsidR="009D7985">
        <w:rPr>
          <w:rFonts w:ascii="Arial" w:hAnsi="Arial" w:cs="Arial"/>
          <w:sz w:val="24"/>
          <w:szCs w:val="24"/>
        </w:rPr>
        <w:t>R</w:t>
      </w:r>
      <w:r>
        <w:rPr>
          <w:rFonts w:ascii="Arial" w:hAnsi="Arial" w:cs="Arial"/>
          <w:sz w:val="24"/>
          <w:szCs w:val="24"/>
        </w:rPr>
        <w:t>espondent was a mere tactic to frustrate the</w:t>
      </w:r>
      <w:r w:rsidR="00E61532">
        <w:rPr>
          <w:rFonts w:ascii="Arial" w:hAnsi="Arial" w:cs="Arial"/>
          <w:sz w:val="24"/>
          <w:szCs w:val="24"/>
        </w:rPr>
        <w:t xml:space="preserve"> </w:t>
      </w:r>
      <w:r w:rsidR="009D7985">
        <w:rPr>
          <w:rFonts w:ascii="Arial" w:hAnsi="Arial" w:cs="Arial"/>
          <w:sz w:val="24"/>
          <w:szCs w:val="24"/>
        </w:rPr>
        <w:t>A</w:t>
      </w:r>
      <w:r>
        <w:rPr>
          <w:rFonts w:ascii="Arial" w:hAnsi="Arial" w:cs="Arial"/>
          <w:sz w:val="24"/>
          <w:szCs w:val="24"/>
        </w:rPr>
        <w:t>pplicant from obtaining a relief it is entitled to by law. The</w:t>
      </w:r>
      <w:r w:rsidR="00E61532">
        <w:rPr>
          <w:rFonts w:ascii="Arial" w:hAnsi="Arial" w:cs="Arial"/>
          <w:sz w:val="24"/>
          <w:szCs w:val="24"/>
        </w:rPr>
        <w:t xml:space="preserve"> Re</w:t>
      </w:r>
      <w:r>
        <w:rPr>
          <w:rFonts w:ascii="Arial" w:hAnsi="Arial" w:cs="Arial"/>
          <w:sz w:val="24"/>
          <w:szCs w:val="24"/>
        </w:rPr>
        <w:t>spondent was allowed to address the court</w:t>
      </w:r>
      <w:r w:rsidR="00E24344">
        <w:rPr>
          <w:rFonts w:ascii="Arial" w:hAnsi="Arial" w:cs="Arial"/>
          <w:sz w:val="24"/>
          <w:szCs w:val="24"/>
        </w:rPr>
        <w:t xml:space="preserve">. </w:t>
      </w:r>
      <w:r w:rsidR="00E61532">
        <w:rPr>
          <w:rFonts w:ascii="Arial" w:hAnsi="Arial" w:cs="Arial"/>
          <w:sz w:val="24"/>
          <w:szCs w:val="24"/>
        </w:rPr>
        <w:t xml:space="preserve">She </w:t>
      </w:r>
      <w:r w:rsidR="00E24344">
        <w:rPr>
          <w:rFonts w:ascii="Arial" w:hAnsi="Arial" w:cs="Arial"/>
          <w:sz w:val="24"/>
          <w:szCs w:val="24"/>
        </w:rPr>
        <w:t>maintained her position that the bank was been unreasonable in dealing with her.</w:t>
      </w:r>
    </w:p>
    <w:p w14:paraId="1E86C230" w14:textId="6BD05C04" w:rsidR="00AF0148" w:rsidRDefault="00AF0148" w:rsidP="00461BDE">
      <w:pPr>
        <w:spacing w:line="360" w:lineRule="auto"/>
        <w:jc w:val="both"/>
        <w:rPr>
          <w:rFonts w:ascii="Arial" w:hAnsi="Arial" w:cs="Arial"/>
          <w:sz w:val="24"/>
          <w:szCs w:val="24"/>
        </w:rPr>
      </w:pPr>
      <w:r>
        <w:rPr>
          <w:rFonts w:ascii="Arial" w:hAnsi="Arial" w:cs="Arial"/>
          <w:sz w:val="24"/>
          <w:szCs w:val="24"/>
        </w:rPr>
        <w:lastRenderedPageBreak/>
        <w:t>[1</w:t>
      </w:r>
      <w:r w:rsidR="00A63DDF">
        <w:rPr>
          <w:rFonts w:ascii="Arial" w:hAnsi="Arial" w:cs="Arial"/>
          <w:sz w:val="24"/>
          <w:szCs w:val="24"/>
        </w:rPr>
        <w:t>4</w:t>
      </w:r>
      <w:r>
        <w:rPr>
          <w:rFonts w:ascii="Arial" w:hAnsi="Arial" w:cs="Arial"/>
          <w:sz w:val="24"/>
          <w:szCs w:val="24"/>
        </w:rPr>
        <w:t xml:space="preserve">] At the time of hearing the arrears had increased to R 51 851.55. It is </w:t>
      </w:r>
      <w:r w:rsidR="00354B43">
        <w:rPr>
          <w:rFonts w:ascii="Arial" w:hAnsi="Arial" w:cs="Arial"/>
          <w:sz w:val="24"/>
          <w:szCs w:val="24"/>
        </w:rPr>
        <w:t>clear</w:t>
      </w:r>
      <w:r>
        <w:rPr>
          <w:rFonts w:ascii="Arial" w:hAnsi="Arial" w:cs="Arial"/>
          <w:sz w:val="24"/>
          <w:szCs w:val="24"/>
        </w:rPr>
        <w:t xml:space="preserve"> that the </w:t>
      </w:r>
      <w:r w:rsidR="00354B43">
        <w:rPr>
          <w:rFonts w:ascii="Arial" w:hAnsi="Arial" w:cs="Arial"/>
          <w:sz w:val="24"/>
          <w:szCs w:val="24"/>
        </w:rPr>
        <w:t>R</w:t>
      </w:r>
      <w:r>
        <w:rPr>
          <w:rFonts w:ascii="Arial" w:hAnsi="Arial" w:cs="Arial"/>
          <w:sz w:val="24"/>
          <w:szCs w:val="24"/>
        </w:rPr>
        <w:t xml:space="preserve">espondent has failed to </w:t>
      </w:r>
      <w:r w:rsidR="00577A4B">
        <w:rPr>
          <w:rFonts w:ascii="Arial" w:hAnsi="Arial" w:cs="Arial"/>
          <w:sz w:val="24"/>
          <w:szCs w:val="24"/>
        </w:rPr>
        <w:t xml:space="preserve">pay arrears. </w:t>
      </w:r>
    </w:p>
    <w:p w14:paraId="317234D1" w14:textId="69096A0C" w:rsidR="00441E6B" w:rsidRDefault="00441E6B" w:rsidP="00461BDE">
      <w:pPr>
        <w:spacing w:line="360" w:lineRule="auto"/>
        <w:jc w:val="both"/>
        <w:rPr>
          <w:rFonts w:ascii="Arial" w:hAnsi="Arial" w:cs="Arial"/>
          <w:sz w:val="24"/>
          <w:szCs w:val="24"/>
        </w:rPr>
      </w:pPr>
      <w:r>
        <w:rPr>
          <w:rFonts w:ascii="Arial" w:hAnsi="Arial" w:cs="Arial"/>
          <w:sz w:val="24"/>
          <w:szCs w:val="24"/>
        </w:rPr>
        <w:t>[1</w:t>
      </w:r>
      <w:r w:rsidR="00A63DDF">
        <w:rPr>
          <w:rFonts w:ascii="Arial" w:hAnsi="Arial" w:cs="Arial"/>
          <w:sz w:val="24"/>
          <w:szCs w:val="24"/>
        </w:rPr>
        <w:t>5</w:t>
      </w:r>
      <w:r>
        <w:rPr>
          <w:rFonts w:ascii="Arial" w:hAnsi="Arial" w:cs="Arial"/>
          <w:sz w:val="24"/>
          <w:szCs w:val="24"/>
        </w:rPr>
        <w:t xml:space="preserve">] The affidavit accompanying this application </w:t>
      </w:r>
      <w:r w:rsidR="00354B43">
        <w:rPr>
          <w:rFonts w:ascii="Arial" w:hAnsi="Arial" w:cs="Arial"/>
          <w:sz w:val="24"/>
          <w:szCs w:val="24"/>
        </w:rPr>
        <w:t xml:space="preserve">provides a detailed account of </w:t>
      </w:r>
      <w:r>
        <w:rPr>
          <w:rFonts w:ascii="Arial" w:hAnsi="Arial" w:cs="Arial"/>
          <w:sz w:val="24"/>
          <w:szCs w:val="24"/>
        </w:rPr>
        <w:t xml:space="preserve">the numerous instances where the </w:t>
      </w:r>
      <w:r w:rsidR="00354B43">
        <w:rPr>
          <w:rFonts w:ascii="Arial" w:hAnsi="Arial" w:cs="Arial"/>
          <w:sz w:val="24"/>
          <w:szCs w:val="24"/>
        </w:rPr>
        <w:t xml:space="preserve">Applicant </w:t>
      </w:r>
      <w:r>
        <w:rPr>
          <w:rFonts w:ascii="Arial" w:hAnsi="Arial" w:cs="Arial"/>
          <w:sz w:val="24"/>
          <w:szCs w:val="24"/>
        </w:rPr>
        <w:t xml:space="preserve">has tried to contact the </w:t>
      </w:r>
      <w:r w:rsidR="00354B43">
        <w:rPr>
          <w:rFonts w:ascii="Arial" w:hAnsi="Arial" w:cs="Arial"/>
          <w:sz w:val="24"/>
          <w:szCs w:val="24"/>
        </w:rPr>
        <w:t>R</w:t>
      </w:r>
      <w:r>
        <w:rPr>
          <w:rFonts w:ascii="Arial" w:hAnsi="Arial" w:cs="Arial"/>
          <w:sz w:val="24"/>
          <w:szCs w:val="24"/>
        </w:rPr>
        <w:t xml:space="preserve">espondent to rectify her default. The </w:t>
      </w:r>
      <w:r w:rsidR="00354B43">
        <w:rPr>
          <w:rFonts w:ascii="Arial" w:hAnsi="Arial" w:cs="Arial"/>
          <w:sz w:val="24"/>
          <w:szCs w:val="24"/>
        </w:rPr>
        <w:t>R</w:t>
      </w:r>
      <w:r>
        <w:rPr>
          <w:rFonts w:ascii="Arial" w:hAnsi="Arial" w:cs="Arial"/>
          <w:sz w:val="24"/>
          <w:szCs w:val="24"/>
        </w:rPr>
        <w:t>espondent has not taken advantag</w:t>
      </w:r>
      <w:r w:rsidR="00354B43">
        <w:rPr>
          <w:rFonts w:ascii="Arial" w:hAnsi="Arial" w:cs="Arial"/>
          <w:sz w:val="24"/>
          <w:szCs w:val="24"/>
        </w:rPr>
        <w:t xml:space="preserve">e to make an </w:t>
      </w:r>
      <w:r w:rsidR="001F64E3">
        <w:rPr>
          <w:rFonts w:ascii="Arial" w:hAnsi="Arial" w:cs="Arial"/>
          <w:sz w:val="24"/>
          <w:szCs w:val="24"/>
        </w:rPr>
        <w:t>acceptable arrangement</w:t>
      </w:r>
      <w:r w:rsidR="00354B43">
        <w:rPr>
          <w:rFonts w:ascii="Arial" w:hAnsi="Arial" w:cs="Arial"/>
          <w:sz w:val="24"/>
          <w:szCs w:val="24"/>
        </w:rPr>
        <w:t>.</w:t>
      </w:r>
      <w:r>
        <w:rPr>
          <w:rFonts w:ascii="Arial" w:hAnsi="Arial" w:cs="Arial"/>
          <w:sz w:val="24"/>
          <w:szCs w:val="24"/>
        </w:rPr>
        <w:t xml:space="preserve"> It is</w:t>
      </w:r>
      <w:r w:rsidR="001F64E3">
        <w:rPr>
          <w:rFonts w:ascii="Arial" w:hAnsi="Arial" w:cs="Arial"/>
          <w:sz w:val="24"/>
          <w:szCs w:val="24"/>
        </w:rPr>
        <w:t xml:space="preserve"> obvious</w:t>
      </w:r>
      <w:r>
        <w:rPr>
          <w:rFonts w:ascii="Arial" w:hAnsi="Arial" w:cs="Arial"/>
          <w:sz w:val="24"/>
          <w:szCs w:val="24"/>
        </w:rPr>
        <w:t xml:space="preserve"> that the only time </w:t>
      </w:r>
      <w:r w:rsidR="00846C42">
        <w:rPr>
          <w:rFonts w:ascii="Arial" w:hAnsi="Arial" w:cs="Arial"/>
          <w:sz w:val="24"/>
          <w:szCs w:val="24"/>
        </w:rPr>
        <w:t>she</w:t>
      </w:r>
      <w:r w:rsidR="001F64E3">
        <w:rPr>
          <w:rFonts w:ascii="Arial" w:hAnsi="Arial" w:cs="Arial"/>
          <w:sz w:val="24"/>
          <w:szCs w:val="24"/>
        </w:rPr>
        <w:t xml:space="preserve"> responds</w:t>
      </w:r>
      <w:r>
        <w:rPr>
          <w:rFonts w:ascii="Arial" w:hAnsi="Arial" w:cs="Arial"/>
          <w:sz w:val="24"/>
          <w:szCs w:val="24"/>
        </w:rPr>
        <w:t xml:space="preserve"> to the </w:t>
      </w:r>
      <w:r w:rsidR="001F64E3">
        <w:rPr>
          <w:rFonts w:ascii="Arial" w:hAnsi="Arial" w:cs="Arial"/>
          <w:sz w:val="24"/>
          <w:szCs w:val="24"/>
        </w:rPr>
        <w:t>A</w:t>
      </w:r>
      <w:r>
        <w:rPr>
          <w:rFonts w:ascii="Arial" w:hAnsi="Arial" w:cs="Arial"/>
          <w:sz w:val="24"/>
          <w:szCs w:val="24"/>
        </w:rPr>
        <w:t xml:space="preserve">pplicant is when the matter is set down for </w:t>
      </w:r>
      <w:r w:rsidR="00A63DDF">
        <w:rPr>
          <w:rFonts w:ascii="Arial" w:hAnsi="Arial" w:cs="Arial"/>
          <w:sz w:val="24"/>
          <w:szCs w:val="24"/>
        </w:rPr>
        <w:t xml:space="preserve">hearing </w:t>
      </w:r>
      <w:r w:rsidR="00520858">
        <w:rPr>
          <w:rFonts w:ascii="Arial" w:hAnsi="Arial" w:cs="Arial"/>
          <w:sz w:val="24"/>
          <w:szCs w:val="24"/>
        </w:rPr>
        <w:t xml:space="preserve">in </w:t>
      </w:r>
      <w:r>
        <w:rPr>
          <w:rFonts w:ascii="Arial" w:hAnsi="Arial" w:cs="Arial"/>
          <w:sz w:val="24"/>
          <w:szCs w:val="24"/>
        </w:rPr>
        <w:t xml:space="preserve">court. </w:t>
      </w:r>
    </w:p>
    <w:p w14:paraId="3B64F9B3" w14:textId="206DCB15" w:rsidR="0074395C" w:rsidRPr="000F77E6" w:rsidRDefault="0074395C" w:rsidP="00461BDE">
      <w:pPr>
        <w:spacing w:line="360" w:lineRule="auto"/>
        <w:jc w:val="both"/>
        <w:rPr>
          <w:rFonts w:ascii="Arial" w:hAnsi="Arial" w:cs="Arial"/>
          <w:i/>
          <w:iCs/>
        </w:rPr>
      </w:pPr>
      <w:r>
        <w:rPr>
          <w:rFonts w:ascii="Arial" w:hAnsi="Arial" w:cs="Arial"/>
          <w:sz w:val="24"/>
          <w:szCs w:val="24"/>
        </w:rPr>
        <w:t>[16] In granting a postponemen</w:t>
      </w:r>
      <w:r w:rsidR="00A63DDF">
        <w:rPr>
          <w:rFonts w:ascii="Arial" w:hAnsi="Arial" w:cs="Arial"/>
          <w:sz w:val="24"/>
          <w:szCs w:val="24"/>
        </w:rPr>
        <w:t>t</w:t>
      </w:r>
      <w:r>
        <w:rPr>
          <w:rFonts w:ascii="Arial" w:hAnsi="Arial" w:cs="Arial"/>
          <w:sz w:val="24"/>
          <w:szCs w:val="24"/>
        </w:rPr>
        <w:t xml:space="preserve"> the court</w:t>
      </w:r>
      <w:r w:rsidR="00A63DDF">
        <w:rPr>
          <w:rFonts w:ascii="Arial" w:hAnsi="Arial" w:cs="Arial"/>
          <w:sz w:val="24"/>
          <w:szCs w:val="24"/>
        </w:rPr>
        <w:t xml:space="preserve"> on the </w:t>
      </w:r>
      <w:r w:rsidR="007648B9">
        <w:rPr>
          <w:rFonts w:ascii="Arial" w:hAnsi="Arial" w:cs="Arial"/>
          <w:sz w:val="24"/>
          <w:szCs w:val="24"/>
        </w:rPr>
        <w:t>on 21 September 2021</w:t>
      </w:r>
      <w:r>
        <w:rPr>
          <w:rFonts w:ascii="Arial" w:hAnsi="Arial" w:cs="Arial"/>
          <w:sz w:val="24"/>
          <w:szCs w:val="24"/>
        </w:rPr>
        <w:t xml:space="preserve"> was following on the practice of this division. The </w:t>
      </w:r>
      <w:r w:rsidR="00D144A2">
        <w:rPr>
          <w:rFonts w:ascii="Arial" w:hAnsi="Arial" w:cs="Arial"/>
          <w:sz w:val="24"/>
          <w:szCs w:val="24"/>
        </w:rPr>
        <w:t xml:space="preserve">salutary practice is </w:t>
      </w:r>
      <w:r w:rsidR="00B05C9C">
        <w:rPr>
          <w:rFonts w:ascii="Arial" w:hAnsi="Arial" w:cs="Arial"/>
          <w:sz w:val="24"/>
          <w:szCs w:val="24"/>
        </w:rPr>
        <w:t>an endeavour to</w:t>
      </w:r>
      <w:r w:rsidR="007648B9">
        <w:rPr>
          <w:rFonts w:ascii="Arial" w:hAnsi="Arial" w:cs="Arial"/>
          <w:sz w:val="24"/>
          <w:szCs w:val="24"/>
        </w:rPr>
        <w:t xml:space="preserve"> </w:t>
      </w:r>
      <w:r w:rsidR="00D144A2">
        <w:rPr>
          <w:rFonts w:ascii="Arial" w:hAnsi="Arial" w:cs="Arial"/>
          <w:sz w:val="24"/>
          <w:szCs w:val="24"/>
        </w:rPr>
        <w:t xml:space="preserve">place the </w:t>
      </w:r>
      <w:r w:rsidR="00B05C9C">
        <w:rPr>
          <w:rFonts w:ascii="Arial" w:hAnsi="Arial" w:cs="Arial"/>
          <w:sz w:val="24"/>
          <w:szCs w:val="24"/>
        </w:rPr>
        <w:t>R</w:t>
      </w:r>
      <w:r w:rsidR="00D144A2">
        <w:rPr>
          <w:rFonts w:ascii="Arial" w:hAnsi="Arial" w:cs="Arial"/>
          <w:sz w:val="24"/>
          <w:szCs w:val="24"/>
        </w:rPr>
        <w:t xml:space="preserve">espondent in a position to </w:t>
      </w:r>
      <w:r w:rsidR="008E7700">
        <w:rPr>
          <w:rFonts w:ascii="Arial" w:hAnsi="Arial" w:cs="Arial"/>
          <w:sz w:val="24"/>
          <w:szCs w:val="24"/>
        </w:rPr>
        <w:t>settle</w:t>
      </w:r>
      <w:r w:rsidR="00D144A2">
        <w:rPr>
          <w:rFonts w:ascii="Arial" w:hAnsi="Arial" w:cs="Arial"/>
          <w:sz w:val="24"/>
          <w:szCs w:val="24"/>
        </w:rPr>
        <w:t xml:space="preserve"> the arrears and to secure the bonded property. In </w:t>
      </w:r>
      <w:r w:rsidR="00D144A2" w:rsidRPr="008E7700">
        <w:rPr>
          <w:rFonts w:ascii="Arial" w:hAnsi="Arial" w:cs="Arial"/>
          <w:b/>
          <w:bCs/>
          <w:i/>
          <w:iCs/>
          <w:sz w:val="24"/>
          <w:szCs w:val="24"/>
        </w:rPr>
        <w:t>FirstRand Ltd t/a First National Bank v Zwane and Two Others</w:t>
      </w:r>
      <w:r w:rsidR="0018329B">
        <w:rPr>
          <w:rStyle w:val="FootnoteReference"/>
          <w:rFonts w:ascii="Arial" w:hAnsi="Arial" w:cs="Arial"/>
          <w:b/>
          <w:bCs/>
          <w:i/>
          <w:iCs/>
          <w:sz w:val="24"/>
          <w:szCs w:val="24"/>
        </w:rPr>
        <w:footnoteReference w:id="7"/>
      </w:r>
      <w:r w:rsidR="00D144A2" w:rsidRPr="008E7700">
        <w:rPr>
          <w:rFonts w:ascii="Arial" w:hAnsi="Arial" w:cs="Arial"/>
          <w:b/>
          <w:bCs/>
          <w:i/>
          <w:iCs/>
          <w:sz w:val="24"/>
          <w:szCs w:val="24"/>
        </w:rPr>
        <w:t xml:space="preserve"> </w:t>
      </w:r>
      <w:r w:rsidR="00D144A2">
        <w:rPr>
          <w:rFonts w:ascii="Arial" w:hAnsi="Arial" w:cs="Arial"/>
          <w:sz w:val="24"/>
          <w:szCs w:val="24"/>
        </w:rPr>
        <w:t xml:space="preserve"> </w:t>
      </w:r>
      <w:r w:rsidR="00B05C9C">
        <w:rPr>
          <w:rFonts w:ascii="Arial" w:hAnsi="Arial" w:cs="Arial"/>
          <w:sz w:val="24"/>
          <w:szCs w:val="24"/>
        </w:rPr>
        <w:t xml:space="preserve">it was held </w:t>
      </w:r>
      <w:r w:rsidR="00D144A2">
        <w:rPr>
          <w:rFonts w:ascii="Arial" w:hAnsi="Arial" w:cs="Arial"/>
          <w:sz w:val="24"/>
          <w:szCs w:val="24"/>
        </w:rPr>
        <w:t>that “</w:t>
      </w:r>
      <w:r w:rsidR="00D144A2" w:rsidRPr="000F77E6">
        <w:rPr>
          <w:rFonts w:ascii="Arial" w:hAnsi="Arial" w:cs="Arial"/>
          <w:i/>
          <w:iCs/>
        </w:rPr>
        <w:t>a court fa</w:t>
      </w:r>
      <w:r w:rsidR="007648B9">
        <w:rPr>
          <w:rFonts w:ascii="Arial" w:hAnsi="Arial" w:cs="Arial"/>
          <w:i/>
          <w:iCs/>
        </w:rPr>
        <w:t>c</w:t>
      </w:r>
      <w:r w:rsidR="00D144A2" w:rsidRPr="000F77E6">
        <w:rPr>
          <w:rFonts w:ascii="Arial" w:hAnsi="Arial" w:cs="Arial"/>
          <w:i/>
          <w:iCs/>
        </w:rPr>
        <w:t xml:space="preserve">ed with an application by a mortgage lender for (i) default judgment for </w:t>
      </w:r>
      <w:r w:rsidR="008E7700" w:rsidRPr="000F77E6">
        <w:rPr>
          <w:rFonts w:ascii="Arial" w:hAnsi="Arial" w:cs="Arial"/>
          <w:i/>
          <w:iCs/>
        </w:rPr>
        <w:t>accelerated</w:t>
      </w:r>
      <w:r w:rsidR="00D144A2" w:rsidRPr="000F77E6">
        <w:rPr>
          <w:rFonts w:ascii="Arial" w:hAnsi="Arial" w:cs="Arial"/>
          <w:i/>
          <w:iCs/>
        </w:rPr>
        <w:t xml:space="preserve"> full balance of the mortgage </w:t>
      </w:r>
      <w:r w:rsidR="008E7700" w:rsidRPr="000F77E6">
        <w:rPr>
          <w:rFonts w:ascii="Arial" w:hAnsi="Arial" w:cs="Arial"/>
          <w:i/>
          <w:iCs/>
        </w:rPr>
        <w:t xml:space="preserve">loan; (ii) an order declaring the mortgaged property executable would, if the mortgaged property were the debtor’s primary residence, have a discretion to postpone both applications to afford the debtor the opportunity to pay the arrears’’. </w:t>
      </w:r>
    </w:p>
    <w:p w14:paraId="7CEF30BE" w14:textId="33F3CF47" w:rsidR="00CA38A2" w:rsidRDefault="00CA38A2" w:rsidP="00461BDE">
      <w:pPr>
        <w:spacing w:line="360" w:lineRule="auto"/>
        <w:jc w:val="both"/>
        <w:rPr>
          <w:rFonts w:ascii="Arial" w:hAnsi="Arial" w:cs="Arial"/>
          <w:sz w:val="24"/>
          <w:szCs w:val="24"/>
        </w:rPr>
      </w:pPr>
      <w:r>
        <w:rPr>
          <w:rFonts w:ascii="Arial" w:hAnsi="Arial" w:cs="Arial"/>
          <w:sz w:val="24"/>
          <w:szCs w:val="24"/>
        </w:rPr>
        <w:t xml:space="preserve">[16] It is abundantly clear that the </w:t>
      </w:r>
      <w:r w:rsidR="00DE08E0">
        <w:rPr>
          <w:rFonts w:ascii="Arial" w:hAnsi="Arial" w:cs="Arial"/>
          <w:sz w:val="24"/>
          <w:szCs w:val="24"/>
        </w:rPr>
        <w:t>R</w:t>
      </w:r>
      <w:r>
        <w:rPr>
          <w:rFonts w:ascii="Arial" w:hAnsi="Arial" w:cs="Arial"/>
          <w:sz w:val="24"/>
          <w:szCs w:val="24"/>
        </w:rPr>
        <w:t xml:space="preserve">espondent was on numerous occasions </w:t>
      </w:r>
      <w:r w:rsidR="008E7700">
        <w:rPr>
          <w:rFonts w:ascii="Arial" w:hAnsi="Arial" w:cs="Arial"/>
          <w:sz w:val="24"/>
          <w:szCs w:val="24"/>
        </w:rPr>
        <w:t xml:space="preserve">granted opportunity to remedy her default and has </w:t>
      </w:r>
      <w:r>
        <w:rPr>
          <w:rFonts w:ascii="Arial" w:hAnsi="Arial" w:cs="Arial"/>
          <w:sz w:val="24"/>
          <w:szCs w:val="24"/>
        </w:rPr>
        <w:t xml:space="preserve">failed to honour her undertakings to </w:t>
      </w:r>
      <w:r w:rsidR="002F41D3">
        <w:rPr>
          <w:rFonts w:ascii="Arial" w:hAnsi="Arial" w:cs="Arial"/>
          <w:sz w:val="24"/>
          <w:szCs w:val="24"/>
        </w:rPr>
        <w:t>do</w:t>
      </w:r>
      <w:r>
        <w:rPr>
          <w:rFonts w:ascii="Arial" w:hAnsi="Arial" w:cs="Arial"/>
          <w:sz w:val="24"/>
          <w:szCs w:val="24"/>
        </w:rPr>
        <w:t>.</w:t>
      </w:r>
      <w:r w:rsidR="00AA4F2E">
        <w:rPr>
          <w:rFonts w:ascii="Arial" w:hAnsi="Arial" w:cs="Arial"/>
          <w:sz w:val="24"/>
          <w:szCs w:val="24"/>
        </w:rPr>
        <w:t xml:space="preserve"> In the meantime the arrears have continued to accelerate. </w:t>
      </w:r>
    </w:p>
    <w:p w14:paraId="5BAC2606" w14:textId="60207BFD" w:rsidR="00CA38A2" w:rsidRDefault="00745762" w:rsidP="00461BDE">
      <w:pPr>
        <w:spacing w:line="360" w:lineRule="auto"/>
        <w:jc w:val="both"/>
        <w:rPr>
          <w:rFonts w:ascii="Arial" w:hAnsi="Arial" w:cs="Arial"/>
          <w:b/>
          <w:bCs/>
          <w:sz w:val="24"/>
          <w:szCs w:val="24"/>
        </w:rPr>
      </w:pPr>
      <w:r>
        <w:rPr>
          <w:rFonts w:ascii="Arial" w:hAnsi="Arial" w:cs="Arial"/>
          <w:b/>
          <w:bCs/>
          <w:sz w:val="24"/>
          <w:szCs w:val="24"/>
        </w:rPr>
        <w:t xml:space="preserve">The </w:t>
      </w:r>
      <w:r w:rsidR="00CA38A2" w:rsidRPr="00A30D9E">
        <w:rPr>
          <w:rFonts w:ascii="Arial" w:hAnsi="Arial" w:cs="Arial"/>
          <w:b/>
          <w:bCs/>
          <w:sz w:val="24"/>
          <w:szCs w:val="24"/>
        </w:rPr>
        <w:t>La</w:t>
      </w:r>
      <w:r w:rsidR="00A30D9E" w:rsidRPr="00A30D9E">
        <w:rPr>
          <w:rFonts w:ascii="Arial" w:hAnsi="Arial" w:cs="Arial"/>
          <w:b/>
          <w:bCs/>
          <w:sz w:val="24"/>
          <w:szCs w:val="24"/>
        </w:rPr>
        <w:t xml:space="preserve">w </w:t>
      </w:r>
    </w:p>
    <w:p w14:paraId="3B2A6070" w14:textId="34E2B9BD" w:rsidR="00CE2200" w:rsidRDefault="00A30D9E" w:rsidP="00461BDE">
      <w:pPr>
        <w:spacing w:line="360" w:lineRule="auto"/>
        <w:jc w:val="both"/>
        <w:rPr>
          <w:rFonts w:ascii="Arial" w:hAnsi="Arial" w:cs="Arial"/>
          <w:sz w:val="24"/>
          <w:szCs w:val="24"/>
        </w:rPr>
      </w:pPr>
      <w:r w:rsidRPr="00A30D9E">
        <w:rPr>
          <w:rFonts w:ascii="Arial" w:hAnsi="Arial" w:cs="Arial"/>
          <w:sz w:val="24"/>
          <w:szCs w:val="24"/>
        </w:rPr>
        <w:t xml:space="preserve">[17] </w:t>
      </w:r>
      <w:r>
        <w:rPr>
          <w:rFonts w:ascii="Arial" w:hAnsi="Arial" w:cs="Arial"/>
          <w:sz w:val="24"/>
          <w:szCs w:val="24"/>
        </w:rPr>
        <w:t xml:space="preserve">The first issue relates to whether the </w:t>
      </w:r>
      <w:r w:rsidR="00B275E1">
        <w:rPr>
          <w:rFonts w:ascii="Arial" w:hAnsi="Arial" w:cs="Arial"/>
          <w:sz w:val="24"/>
          <w:szCs w:val="24"/>
        </w:rPr>
        <w:t>A</w:t>
      </w:r>
      <w:r>
        <w:rPr>
          <w:rFonts w:ascii="Arial" w:hAnsi="Arial" w:cs="Arial"/>
          <w:sz w:val="24"/>
          <w:szCs w:val="24"/>
        </w:rPr>
        <w:t xml:space="preserve">pplicant is entitled to </w:t>
      </w:r>
      <w:r w:rsidR="00B275E1">
        <w:rPr>
          <w:rFonts w:ascii="Arial" w:hAnsi="Arial" w:cs="Arial"/>
          <w:sz w:val="24"/>
          <w:szCs w:val="24"/>
        </w:rPr>
        <w:t xml:space="preserve">a </w:t>
      </w:r>
      <w:r>
        <w:rPr>
          <w:rFonts w:ascii="Arial" w:hAnsi="Arial" w:cs="Arial"/>
          <w:sz w:val="24"/>
          <w:szCs w:val="24"/>
        </w:rPr>
        <w:t xml:space="preserve">money judgment. As pointed out </w:t>
      </w:r>
      <w:r w:rsidR="00B275E1">
        <w:rPr>
          <w:rFonts w:ascii="Arial" w:hAnsi="Arial" w:cs="Arial"/>
          <w:sz w:val="24"/>
          <w:szCs w:val="24"/>
        </w:rPr>
        <w:t>at</w:t>
      </w:r>
      <w:r>
        <w:rPr>
          <w:rFonts w:ascii="Arial" w:hAnsi="Arial" w:cs="Arial"/>
          <w:sz w:val="24"/>
          <w:szCs w:val="24"/>
        </w:rPr>
        <w:t xml:space="preserve"> the beginning of this judgment, the claim of the applicant is based on a breach of a home loan agreement secured by mortgage bond. There is no plea filed </w:t>
      </w:r>
      <w:r w:rsidR="00AD3825">
        <w:rPr>
          <w:rFonts w:ascii="Arial" w:hAnsi="Arial" w:cs="Arial"/>
          <w:sz w:val="24"/>
          <w:szCs w:val="24"/>
        </w:rPr>
        <w:t xml:space="preserve">on behalf of the respondent. The </w:t>
      </w:r>
      <w:r w:rsidR="00B275E1">
        <w:rPr>
          <w:rFonts w:ascii="Arial" w:hAnsi="Arial" w:cs="Arial"/>
          <w:sz w:val="24"/>
          <w:szCs w:val="24"/>
        </w:rPr>
        <w:t>A</w:t>
      </w:r>
      <w:r w:rsidR="00AD3825">
        <w:rPr>
          <w:rFonts w:ascii="Arial" w:hAnsi="Arial" w:cs="Arial"/>
          <w:sz w:val="24"/>
          <w:szCs w:val="24"/>
        </w:rPr>
        <w:t xml:space="preserve">pplicant is therefore entitled to approach the court </w:t>
      </w:r>
      <w:r w:rsidR="007648B9">
        <w:rPr>
          <w:rFonts w:ascii="Arial" w:hAnsi="Arial" w:cs="Arial"/>
          <w:sz w:val="24"/>
          <w:szCs w:val="24"/>
        </w:rPr>
        <w:t xml:space="preserve">for a </w:t>
      </w:r>
      <w:r w:rsidR="00AD3825">
        <w:rPr>
          <w:rFonts w:ascii="Arial" w:hAnsi="Arial" w:cs="Arial"/>
          <w:sz w:val="24"/>
          <w:szCs w:val="24"/>
        </w:rPr>
        <w:t>default judgment. I am satisfied that the applicant is entitled to such relief.</w:t>
      </w:r>
    </w:p>
    <w:p w14:paraId="44163831" w14:textId="5764E83A" w:rsidR="00AD3825" w:rsidRDefault="00AD3825" w:rsidP="00461BDE">
      <w:pPr>
        <w:spacing w:line="360" w:lineRule="auto"/>
        <w:jc w:val="both"/>
        <w:rPr>
          <w:rFonts w:ascii="Arial" w:hAnsi="Arial" w:cs="Arial"/>
          <w:sz w:val="24"/>
          <w:szCs w:val="24"/>
        </w:rPr>
      </w:pPr>
      <w:r>
        <w:rPr>
          <w:rFonts w:ascii="Arial" w:hAnsi="Arial" w:cs="Arial"/>
          <w:sz w:val="24"/>
          <w:szCs w:val="24"/>
        </w:rPr>
        <w:t>[18] The second issue and the more difficult one is around the issue of executability of the immovable property. The court has to be satisfied that Rule 46A requirements have been met before such order can be granted.</w:t>
      </w:r>
      <w:r w:rsidR="00564296">
        <w:rPr>
          <w:rFonts w:ascii="Arial" w:hAnsi="Arial" w:cs="Arial"/>
          <w:sz w:val="24"/>
          <w:szCs w:val="24"/>
        </w:rPr>
        <w:t xml:space="preserve"> The Rule 46A gives meaning to Section 26 of the Constitution. </w:t>
      </w:r>
      <w:r w:rsidR="00E80201">
        <w:rPr>
          <w:rFonts w:ascii="Arial" w:hAnsi="Arial" w:cs="Arial"/>
          <w:sz w:val="24"/>
          <w:szCs w:val="24"/>
        </w:rPr>
        <w:t>The issue implicates constitutional rights</w:t>
      </w:r>
      <w:r w:rsidR="009C46BE">
        <w:rPr>
          <w:rFonts w:ascii="Arial" w:hAnsi="Arial" w:cs="Arial"/>
          <w:sz w:val="24"/>
          <w:szCs w:val="24"/>
        </w:rPr>
        <w:t>.</w:t>
      </w:r>
    </w:p>
    <w:p w14:paraId="4EEDA6EC" w14:textId="024200E2" w:rsidR="00F62A37" w:rsidRDefault="0074395C" w:rsidP="00461BDE">
      <w:pPr>
        <w:spacing w:line="360" w:lineRule="auto"/>
        <w:jc w:val="both"/>
        <w:rPr>
          <w:rFonts w:ascii="Arial" w:hAnsi="Arial" w:cs="Arial"/>
          <w:sz w:val="24"/>
          <w:szCs w:val="24"/>
          <w:lang w:val="en-US"/>
        </w:rPr>
      </w:pPr>
      <w:r>
        <w:rPr>
          <w:rFonts w:ascii="Arial" w:hAnsi="Arial" w:cs="Arial"/>
          <w:sz w:val="24"/>
          <w:szCs w:val="24"/>
        </w:rPr>
        <w:lastRenderedPageBreak/>
        <w:t xml:space="preserve">[19] </w:t>
      </w:r>
      <w:r w:rsidR="009979B4">
        <w:rPr>
          <w:rFonts w:ascii="Arial" w:hAnsi="Arial" w:cs="Arial"/>
          <w:sz w:val="24"/>
          <w:szCs w:val="24"/>
        </w:rPr>
        <w:t xml:space="preserve">Rule 46A </w:t>
      </w:r>
      <w:r w:rsidR="009979B4">
        <w:rPr>
          <w:rFonts w:ascii="Arial" w:hAnsi="Arial" w:cs="Arial"/>
          <w:sz w:val="24"/>
          <w:szCs w:val="24"/>
          <w:lang w:val="en-US"/>
        </w:rPr>
        <w:t xml:space="preserve">provides </w:t>
      </w:r>
      <w:r w:rsidR="009979B4" w:rsidRPr="009979B4">
        <w:rPr>
          <w:rFonts w:ascii="Arial" w:hAnsi="Arial" w:cs="Arial"/>
          <w:sz w:val="24"/>
          <w:szCs w:val="24"/>
          <w:lang w:val="en-US"/>
        </w:rPr>
        <w:t>for judicial oversight</w:t>
      </w:r>
      <w:r w:rsidR="009979B4">
        <w:rPr>
          <w:rFonts w:ascii="Arial" w:hAnsi="Arial" w:cs="Arial"/>
          <w:sz w:val="24"/>
          <w:szCs w:val="24"/>
          <w:lang w:val="en-US"/>
        </w:rPr>
        <w:t>,</w:t>
      </w:r>
      <w:r w:rsidR="009979B4" w:rsidRPr="009979B4">
        <w:rPr>
          <w:rFonts w:ascii="Arial" w:hAnsi="Arial" w:cs="Arial"/>
          <w:sz w:val="24"/>
          <w:szCs w:val="24"/>
          <w:lang w:val="en-US"/>
        </w:rPr>
        <w:t xml:space="preserve"> the aim of which </w:t>
      </w:r>
      <w:r w:rsidR="00F62A37">
        <w:rPr>
          <w:rFonts w:ascii="Arial" w:hAnsi="Arial" w:cs="Arial"/>
          <w:sz w:val="24"/>
          <w:szCs w:val="24"/>
          <w:lang w:val="en-US"/>
        </w:rPr>
        <w:t>is</w:t>
      </w:r>
      <w:r w:rsidR="009979B4" w:rsidRPr="009979B4">
        <w:rPr>
          <w:rFonts w:ascii="Arial" w:hAnsi="Arial" w:cs="Arial"/>
          <w:sz w:val="24"/>
          <w:szCs w:val="24"/>
          <w:lang w:val="en-US"/>
        </w:rPr>
        <w:t xml:space="preserve"> to protect the constitutional right to adequate housing provided </w:t>
      </w:r>
      <w:r w:rsidR="009979B4">
        <w:rPr>
          <w:rFonts w:ascii="Arial" w:hAnsi="Arial" w:cs="Arial"/>
          <w:sz w:val="24"/>
          <w:szCs w:val="24"/>
          <w:lang w:val="en-US"/>
        </w:rPr>
        <w:t xml:space="preserve">in </w:t>
      </w:r>
      <w:r w:rsidR="009979B4" w:rsidRPr="009979B4">
        <w:rPr>
          <w:rFonts w:ascii="Arial" w:hAnsi="Arial" w:cs="Arial"/>
          <w:sz w:val="24"/>
          <w:szCs w:val="24"/>
          <w:lang w:val="en-US"/>
        </w:rPr>
        <w:t xml:space="preserve">section 26 of the </w:t>
      </w:r>
      <w:r w:rsidR="00F62A37">
        <w:rPr>
          <w:rFonts w:ascii="Arial" w:hAnsi="Arial" w:cs="Arial"/>
          <w:sz w:val="24"/>
          <w:szCs w:val="24"/>
          <w:lang w:val="en-US"/>
        </w:rPr>
        <w:t>C</w:t>
      </w:r>
      <w:r w:rsidR="009979B4" w:rsidRPr="009979B4">
        <w:rPr>
          <w:rFonts w:ascii="Arial" w:hAnsi="Arial" w:cs="Arial"/>
          <w:sz w:val="24"/>
          <w:szCs w:val="24"/>
          <w:lang w:val="en-US"/>
        </w:rPr>
        <w:t>onstitution</w:t>
      </w:r>
      <w:r w:rsidR="002F41D3">
        <w:rPr>
          <w:rStyle w:val="FootnoteReference"/>
          <w:rFonts w:ascii="Arial" w:hAnsi="Arial" w:cs="Arial"/>
          <w:sz w:val="24"/>
          <w:szCs w:val="24"/>
          <w:lang w:val="en-US"/>
        </w:rPr>
        <w:footnoteReference w:id="8"/>
      </w:r>
      <w:r w:rsidR="00F62A37">
        <w:rPr>
          <w:rFonts w:ascii="Arial" w:hAnsi="Arial" w:cs="Arial"/>
          <w:sz w:val="24"/>
          <w:szCs w:val="24"/>
          <w:lang w:val="en-US"/>
        </w:rPr>
        <w:t xml:space="preserve">. The rule list several steps that needs to be taken into consideration </w:t>
      </w:r>
      <w:r w:rsidR="003453B3">
        <w:rPr>
          <w:rFonts w:ascii="Arial" w:hAnsi="Arial" w:cs="Arial"/>
          <w:sz w:val="24"/>
          <w:szCs w:val="24"/>
          <w:lang w:val="en-US"/>
        </w:rPr>
        <w:t>to</w:t>
      </w:r>
      <w:r w:rsidR="00F62A37">
        <w:rPr>
          <w:rFonts w:ascii="Arial" w:hAnsi="Arial" w:cs="Arial"/>
          <w:sz w:val="24"/>
          <w:szCs w:val="24"/>
          <w:lang w:val="en-US"/>
        </w:rPr>
        <w:t xml:space="preserve"> grant an appropriate relief. The court is required to investigate alternative means of satisfying the judgment debt. The rule is only applicable where </w:t>
      </w:r>
      <w:r w:rsidR="00796078">
        <w:rPr>
          <w:rFonts w:ascii="Arial" w:hAnsi="Arial" w:cs="Arial"/>
          <w:sz w:val="24"/>
          <w:szCs w:val="24"/>
          <w:lang w:val="en-US"/>
        </w:rPr>
        <w:t>execution</w:t>
      </w:r>
      <w:r w:rsidR="00F62A37">
        <w:rPr>
          <w:rFonts w:ascii="Arial" w:hAnsi="Arial" w:cs="Arial"/>
          <w:sz w:val="24"/>
          <w:szCs w:val="24"/>
          <w:lang w:val="en-US"/>
        </w:rPr>
        <w:t xml:space="preserve"> creditor wants to execute against a residential property. </w:t>
      </w:r>
    </w:p>
    <w:p w14:paraId="7E468E09" w14:textId="773F36C0" w:rsidR="00796078" w:rsidRDefault="00796078" w:rsidP="00461BDE">
      <w:pPr>
        <w:spacing w:line="360" w:lineRule="auto"/>
        <w:jc w:val="both"/>
        <w:rPr>
          <w:rFonts w:ascii="Arial" w:hAnsi="Arial" w:cs="Arial"/>
          <w:i/>
          <w:iCs/>
          <w:lang w:val="en-US"/>
        </w:rPr>
      </w:pPr>
      <w:r>
        <w:rPr>
          <w:rFonts w:ascii="Arial" w:hAnsi="Arial" w:cs="Arial"/>
          <w:sz w:val="24"/>
          <w:szCs w:val="24"/>
          <w:lang w:val="en-US"/>
        </w:rPr>
        <w:t xml:space="preserve">[20] In </w:t>
      </w:r>
      <w:r w:rsidRPr="00796078">
        <w:rPr>
          <w:rFonts w:ascii="Arial" w:hAnsi="Arial" w:cs="Arial"/>
          <w:b/>
          <w:bCs/>
          <w:i/>
          <w:iCs/>
          <w:sz w:val="24"/>
          <w:szCs w:val="24"/>
          <w:lang w:val="en-US"/>
        </w:rPr>
        <w:t>ABSA Bank Ltd v Njolomba and Other</w:t>
      </w:r>
      <w:r>
        <w:rPr>
          <w:rFonts w:ascii="Arial" w:hAnsi="Arial" w:cs="Arial"/>
          <w:b/>
          <w:bCs/>
          <w:i/>
          <w:iCs/>
          <w:sz w:val="24"/>
          <w:szCs w:val="24"/>
          <w:lang w:val="en-US"/>
        </w:rPr>
        <w:t xml:space="preserve"> </w:t>
      </w:r>
      <w:r w:rsidRPr="00796078">
        <w:rPr>
          <w:rFonts w:ascii="Arial" w:hAnsi="Arial" w:cs="Arial"/>
          <w:b/>
          <w:bCs/>
          <w:i/>
          <w:iCs/>
          <w:sz w:val="24"/>
          <w:szCs w:val="24"/>
          <w:lang w:val="en-US"/>
        </w:rPr>
        <w:t>Cases</w:t>
      </w:r>
      <w:r w:rsidR="00C15838">
        <w:rPr>
          <w:rStyle w:val="FootnoteReference"/>
          <w:rFonts w:ascii="Arial" w:hAnsi="Arial" w:cs="Arial"/>
          <w:b/>
          <w:bCs/>
          <w:i/>
          <w:iCs/>
          <w:sz w:val="24"/>
          <w:szCs w:val="24"/>
          <w:lang w:val="en-US"/>
        </w:rPr>
        <w:footnoteReference w:id="9"/>
      </w:r>
      <w:r>
        <w:rPr>
          <w:rFonts w:ascii="Arial" w:hAnsi="Arial" w:cs="Arial"/>
          <w:sz w:val="24"/>
          <w:szCs w:val="24"/>
          <w:lang w:val="en-US"/>
        </w:rPr>
        <w:t xml:space="preserve">  </w:t>
      </w:r>
      <w:r w:rsidR="002F41D3">
        <w:rPr>
          <w:rFonts w:ascii="Arial" w:hAnsi="Arial" w:cs="Arial"/>
          <w:sz w:val="24"/>
          <w:szCs w:val="24"/>
          <w:lang w:val="en-US"/>
        </w:rPr>
        <w:t xml:space="preserve">the court stated that </w:t>
      </w:r>
      <w:r w:rsidR="000146FC">
        <w:rPr>
          <w:rFonts w:ascii="Arial" w:hAnsi="Arial" w:cs="Arial"/>
          <w:sz w:val="24"/>
          <w:szCs w:val="24"/>
          <w:lang w:val="en-US"/>
        </w:rPr>
        <w:t>‘</w:t>
      </w:r>
      <w:r w:rsidR="000146FC" w:rsidRPr="000146FC">
        <w:rPr>
          <w:rFonts w:ascii="Arial" w:hAnsi="Arial" w:cs="Arial"/>
          <w:i/>
          <w:iCs/>
          <w:lang w:val="en-US"/>
        </w:rPr>
        <w:t>There</w:t>
      </w:r>
      <w:r w:rsidRPr="000146FC">
        <w:rPr>
          <w:rFonts w:ascii="Arial" w:hAnsi="Arial" w:cs="Arial"/>
          <w:i/>
          <w:iCs/>
          <w:lang w:val="en-US"/>
        </w:rPr>
        <w:t xml:space="preserve"> have, of late been a </w:t>
      </w:r>
      <w:r w:rsidR="00C62262" w:rsidRPr="000146FC">
        <w:rPr>
          <w:rFonts w:ascii="Arial" w:hAnsi="Arial" w:cs="Arial"/>
          <w:i/>
          <w:iCs/>
          <w:lang w:val="en-US"/>
        </w:rPr>
        <w:t>salutary move</w:t>
      </w:r>
      <w:r w:rsidRPr="000146FC">
        <w:rPr>
          <w:rFonts w:ascii="Arial" w:hAnsi="Arial" w:cs="Arial"/>
          <w:i/>
          <w:iCs/>
          <w:lang w:val="en-US"/>
        </w:rPr>
        <w:t xml:space="preserve"> in the statutes, case law, rules, and practice directives to introduce a measure of flexibility into the execution process where it is sought </w:t>
      </w:r>
      <w:r w:rsidR="00C15838">
        <w:rPr>
          <w:rFonts w:ascii="Arial" w:hAnsi="Arial" w:cs="Arial"/>
          <w:i/>
          <w:iCs/>
          <w:lang w:val="en-US"/>
        </w:rPr>
        <w:t>t</w:t>
      </w:r>
      <w:r w:rsidR="00DD6E95" w:rsidRPr="000146FC">
        <w:rPr>
          <w:rFonts w:ascii="Arial" w:hAnsi="Arial" w:cs="Arial"/>
          <w:i/>
          <w:iCs/>
          <w:lang w:val="en-US"/>
        </w:rPr>
        <w:t xml:space="preserve">o execute against home of a debtor. These laws and rules emanate from an accepted need to promote the objects of our Bill of Rights and especially the requirement that all relevant circumstances be considered before depriving a person of his or her home. They include the requirement that immovable property not be executed against without the judicial oversight being brought to bear thereon and the recent introduction of Rule 46A into the Uniform Rules which requires that the Court </w:t>
      </w:r>
      <w:r w:rsidR="00CA6AC4" w:rsidRPr="000146FC">
        <w:rPr>
          <w:rFonts w:ascii="Arial" w:hAnsi="Arial" w:cs="Arial"/>
          <w:i/>
          <w:iCs/>
          <w:lang w:val="en-US"/>
        </w:rPr>
        <w:t>“consider</w:t>
      </w:r>
      <w:r w:rsidR="00DD6E95" w:rsidRPr="000146FC">
        <w:rPr>
          <w:rFonts w:ascii="Arial" w:hAnsi="Arial" w:cs="Arial"/>
          <w:i/>
          <w:iCs/>
          <w:lang w:val="en-US"/>
        </w:rPr>
        <w:t xml:space="preserve"> </w:t>
      </w:r>
      <w:r w:rsidR="00CA6AC4" w:rsidRPr="000146FC">
        <w:rPr>
          <w:rFonts w:ascii="Arial" w:hAnsi="Arial" w:cs="Arial"/>
          <w:i/>
          <w:iCs/>
          <w:lang w:val="en-US"/>
        </w:rPr>
        <w:t xml:space="preserve">alternative means of satisfying the judgment debt, other than execution against the judgment debtor’s primary residence. The cases have required stringent adherence to notice and service requirements and the furnishing of details in relation to the steps taken to manage the indebtedness of the debtor. Recent amendments to Rule 46 of the Uniform Rules require </w:t>
      </w:r>
      <w:r w:rsidR="004D3DEA" w:rsidRPr="000146FC">
        <w:rPr>
          <w:rFonts w:ascii="Arial" w:hAnsi="Arial" w:cs="Arial"/>
          <w:i/>
          <w:iCs/>
          <w:lang w:val="en-US"/>
        </w:rPr>
        <w:t>the consideration by the court of alternative means of satisfying the judgment debt. These changes impose an even more rigorous investigative function on a court faced with an application for a declaration of executability and require still more information to be forthcoming in relation to the debtor’s circumstances and the value of the property. This assists in setting appropriate reserve price and other sale conditions in the event of execution against property becoming necessary. However, the process has</w:t>
      </w:r>
      <w:r w:rsidR="000146FC" w:rsidRPr="000146FC">
        <w:rPr>
          <w:rFonts w:ascii="Arial" w:hAnsi="Arial" w:cs="Arial"/>
          <w:i/>
          <w:iCs/>
          <w:lang w:val="en-US"/>
        </w:rPr>
        <w:t>, as its aim endeavour, to maintain the mortgage loan and [sic] rehabilitate the debtor if at all possible.”</w:t>
      </w:r>
    </w:p>
    <w:p w14:paraId="681BFC3D" w14:textId="695F4AF1" w:rsidR="000146FC" w:rsidRDefault="000146FC" w:rsidP="00461BDE">
      <w:pPr>
        <w:spacing w:line="360" w:lineRule="auto"/>
        <w:jc w:val="both"/>
        <w:rPr>
          <w:rFonts w:ascii="Arial" w:hAnsi="Arial" w:cs="Arial"/>
          <w:sz w:val="24"/>
          <w:szCs w:val="24"/>
          <w:lang w:val="en-US"/>
        </w:rPr>
      </w:pPr>
      <w:r w:rsidRPr="00046E9F">
        <w:rPr>
          <w:rFonts w:ascii="Arial" w:hAnsi="Arial" w:cs="Arial"/>
          <w:iCs/>
          <w:lang w:val="en-US"/>
        </w:rPr>
        <w:t>[21]</w:t>
      </w:r>
      <w:r>
        <w:rPr>
          <w:rFonts w:ascii="Arial" w:hAnsi="Arial" w:cs="Arial"/>
          <w:i/>
          <w:iCs/>
          <w:lang w:val="en-US"/>
        </w:rPr>
        <w:t xml:space="preserve"> </w:t>
      </w:r>
      <w:r w:rsidRPr="000146FC">
        <w:rPr>
          <w:rFonts w:ascii="Arial" w:hAnsi="Arial" w:cs="Arial"/>
          <w:sz w:val="24"/>
          <w:szCs w:val="24"/>
          <w:lang w:val="en-US"/>
        </w:rPr>
        <w:t>The above quoted passage summarizes and captures the essence of the state of our law and the same has been recognized by the Rules Board in enacting Rule 46A</w:t>
      </w:r>
      <w:r w:rsidR="00C62262">
        <w:rPr>
          <w:rFonts w:ascii="Arial" w:hAnsi="Arial" w:cs="Arial"/>
          <w:sz w:val="24"/>
          <w:szCs w:val="24"/>
          <w:lang w:val="en-US"/>
        </w:rPr>
        <w:t>. There is clear recognition that constitutional protection must be afforded where they are being implicated.</w:t>
      </w:r>
    </w:p>
    <w:p w14:paraId="6EE7CE2B" w14:textId="61A88780" w:rsidR="00DE3834" w:rsidRDefault="00DE3834" w:rsidP="00461BDE">
      <w:pPr>
        <w:spacing w:line="360" w:lineRule="auto"/>
        <w:jc w:val="both"/>
        <w:rPr>
          <w:rFonts w:ascii="Arial" w:hAnsi="Arial" w:cs="Arial"/>
          <w:i/>
          <w:iCs/>
          <w:sz w:val="24"/>
          <w:szCs w:val="24"/>
        </w:rPr>
      </w:pPr>
      <w:r>
        <w:rPr>
          <w:rFonts w:ascii="Arial" w:hAnsi="Arial" w:cs="Arial"/>
          <w:sz w:val="24"/>
          <w:szCs w:val="24"/>
          <w:lang w:val="en-US"/>
        </w:rPr>
        <w:lastRenderedPageBreak/>
        <w:t>[22] Th</w:t>
      </w:r>
      <w:r w:rsidR="00B275E1">
        <w:rPr>
          <w:rFonts w:ascii="Arial" w:hAnsi="Arial" w:cs="Arial"/>
          <w:sz w:val="24"/>
          <w:szCs w:val="24"/>
          <w:lang w:val="en-US"/>
        </w:rPr>
        <w:t>e</w:t>
      </w:r>
      <w:r>
        <w:rPr>
          <w:rFonts w:ascii="Arial" w:hAnsi="Arial" w:cs="Arial"/>
          <w:sz w:val="24"/>
          <w:szCs w:val="24"/>
          <w:lang w:val="en-US"/>
        </w:rPr>
        <w:t xml:space="preserve"> full bench of this division has held</w:t>
      </w:r>
      <w:r w:rsidR="002250DE">
        <w:rPr>
          <w:rFonts w:ascii="Arial" w:hAnsi="Arial" w:cs="Arial"/>
          <w:sz w:val="24"/>
          <w:szCs w:val="24"/>
          <w:lang w:val="en-US"/>
        </w:rPr>
        <w:t xml:space="preserve"> </w:t>
      </w:r>
      <w:r w:rsidR="002250DE" w:rsidRPr="002250DE">
        <w:rPr>
          <w:rFonts w:ascii="Arial" w:hAnsi="Arial" w:cs="Arial"/>
          <w:b/>
          <w:bCs/>
          <w:i/>
          <w:iCs/>
          <w:sz w:val="24"/>
          <w:szCs w:val="24"/>
          <w:lang w:val="en-US"/>
        </w:rPr>
        <w:t>ABSA Bank Ltd v Mokebe and Related Cases</w:t>
      </w:r>
      <w:r w:rsidR="002250DE">
        <w:rPr>
          <w:rFonts w:ascii="Arial" w:hAnsi="Arial" w:cs="Arial"/>
          <w:sz w:val="24"/>
          <w:szCs w:val="24"/>
          <w:lang w:val="en-US"/>
        </w:rPr>
        <w:t xml:space="preserve"> </w:t>
      </w:r>
      <w:r w:rsidR="008A0C8A" w:rsidRPr="008A0C8A">
        <w:rPr>
          <w:rFonts w:ascii="Arial" w:hAnsi="Arial" w:cs="Arial"/>
          <w:b/>
          <w:bCs/>
          <w:i/>
          <w:iCs/>
          <w:sz w:val="24"/>
          <w:szCs w:val="24"/>
          <w:lang w:val="en-US"/>
        </w:rPr>
        <w:t>(Mokebe)</w:t>
      </w:r>
      <w:r w:rsidR="008A0C8A">
        <w:rPr>
          <w:rStyle w:val="FootnoteReference"/>
          <w:rFonts w:ascii="Arial" w:hAnsi="Arial" w:cs="Arial"/>
          <w:b/>
          <w:bCs/>
          <w:i/>
          <w:iCs/>
          <w:sz w:val="24"/>
          <w:szCs w:val="24"/>
          <w:lang w:val="en-US"/>
        </w:rPr>
        <w:footnoteReference w:id="10"/>
      </w:r>
      <w:r w:rsidRPr="00DE3834">
        <w:rPr>
          <w:rFonts w:ascii="Arial" w:hAnsi="Arial" w:cs="Arial"/>
          <w:i/>
          <w:iCs/>
          <w:sz w:val="24"/>
          <w:szCs w:val="24"/>
        </w:rPr>
        <w:t xml:space="preserve"> </w:t>
      </w:r>
      <w:r w:rsidR="002250DE" w:rsidRPr="00E90F64">
        <w:rPr>
          <w:rFonts w:ascii="Arial" w:hAnsi="Arial" w:cs="Arial"/>
          <w:sz w:val="24"/>
          <w:szCs w:val="24"/>
        </w:rPr>
        <w:t>stated</w:t>
      </w:r>
      <w:r w:rsidR="00E90F64" w:rsidRPr="00E90F64">
        <w:rPr>
          <w:rFonts w:ascii="Arial" w:hAnsi="Arial" w:cs="Arial"/>
          <w:sz w:val="24"/>
          <w:szCs w:val="24"/>
        </w:rPr>
        <w:t xml:space="preserve"> that</w:t>
      </w:r>
      <w:r w:rsidR="002250DE">
        <w:rPr>
          <w:rFonts w:ascii="Arial" w:hAnsi="Arial" w:cs="Arial"/>
          <w:i/>
          <w:iCs/>
          <w:sz w:val="24"/>
          <w:szCs w:val="24"/>
        </w:rPr>
        <w:t xml:space="preserve"> “</w:t>
      </w:r>
      <w:r w:rsidRPr="00DE3834">
        <w:rPr>
          <w:rFonts w:ascii="Arial" w:hAnsi="Arial" w:cs="Arial"/>
          <w:i/>
          <w:iCs/>
          <w:sz w:val="24"/>
          <w:szCs w:val="24"/>
        </w:rPr>
        <w:t>The postponement of the money judgment is both desirable and necessary and is to be heard together with the question of executability, should any part of the matter be postponed</w:t>
      </w:r>
      <w:r>
        <w:rPr>
          <w:rFonts w:ascii="Arial" w:hAnsi="Arial" w:cs="Arial"/>
          <w:sz w:val="24"/>
          <w:szCs w:val="24"/>
        </w:rPr>
        <w:t>.</w:t>
      </w:r>
      <w:r w:rsidR="002250DE">
        <w:rPr>
          <w:rFonts w:ascii="Arial" w:hAnsi="Arial" w:cs="Arial"/>
          <w:sz w:val="24"/>
          <w:szCs w:val="24"/>
        </w:rPr>
        <w:t>”</w:t>
      </w:r>
      <w:r>
        <w:rPr>
          <w:rFonts w:ascii="Arial" w:hAnsi="Arial" w:cs="Arial"/>
          <w:sz w:val="24"/>
          <w:szCs w:val="24"/>
        </w:rPr>
        <w:t xml:space="preserve"> The court went to</w:t>
      </w:r>
      <w:r w:rsidR="002250DE">
        <w:rPr>
          <w:rFonts w:ascii="Arial" w:hAnsi="Arial" w:cs="Arial"/>
          <w:sz w:val="24"/>
          <w:szCs w:val="24"/>
        </w:rPr>
        <w:t xml:space="preserve"> state </w:t>
      </w:r>
      <w:r w:rsidR="00D74C22">
        <w:rPr>
          <w:rFonts w:ascii="Arial" w:hAnsi="Arial" w:cs="Arial"/>
          <w:sz w:val="24"/>
          <w:szCs w:val="24"/>
        </w:rPr>
        <w:t>as follows</w:t>
      </w:r>
      <w:r w:rsidRPr="00DE3834">
        <w:rPr>
          <w:rFonts w:ascii="Arial" w:hAnsi="Arial" w:cs="Arial"/>
          <w:sz w:val="24"/>
          <w:szCs w:val="24"/>
        </w:rPr>
        <w:t xml:space="preserve"> </w:t>
      </w:r>
      <w:r w:rsidR="00DF7892">
        <w:rPr>
          <w:rFonts w:ascii="Arial" w:hAnsi="Arial" w:cs="Arial"/>
          <w:sz w:val="24"/>
          <w:szCs w:val="24"/>
        </w:rPr>
        <w:t>“</w:t>
      </w:r>
      <w:r w:rsidRPr="00DE3834">
        <w:rPr>
          <w:rFonts w:ascii="Arial" w:hAnsi="Arial" w:cs="Arial"/>
          <w:i/>
          <w:iCs/>
          <w:sz w:val="24"/>
          <w:szCs w:val="24"/>
        </w:rPr>
        <w:t>Having decided that piecemeal hearing of applications for foreclosure are undesirable and not cost effective, the issue of granting money judgments separately from the order of executability, does not arise</w:t>
      </w:r>
      <w:r w:rsidR="00D74C22">
        <w:rPr>
          <w:rStyle w:val="FootnoteReference"/>
          <w:rFonts w:ascii="Arial" w:hAnsi="Arial" w:cs="Arial"/>
          <w:i/>
          <w:iCs/>
          <w:sz w:val="24"/>
          <w:szCs w:val="24"/>
        </w:rPr>
        <w:footnoteReference w:id="11"/>
      </w:r>
      <w:r w:rsidRPr="00DE3834">
        <w:rPr>
          <w:rFonts w:ascii="Arial" w:hAnsi="Arial" w:cs="Arial"/>
          <w:i/>
          <w:iCs/>
          <w:sz w:val="24"/>
          <w:szCs w:val="24"/>
        </w:rPr>
        <w:t>.</w:t>
      </w:r>
      <w:r w:rsidR="00DF7892">
        <w:rPr>
          <w:rFonts w:ascii="Arial" w:hAnsi="Arial" w:cs="Arial"/>
          <w:i/>
          <w:iCs/>
          <w:sz w:val="24"/>
          <w:szCs w:val="24"/>
        </w:rPr>
        <w:t>”</w:t>
      </w:r>
    </w:p>
    <w:p w14:paraId="53A2CD4F" w14:textId="7AFE3C4F" w:rsidR="00DE3834" w:rsidRDefault="00046E9F" w:rsidP="00461BDE">
      <w:pPr>
        <w:spacing w:line="360" w:lineRule="auto"/>
        <w:jc w:val="both"/>
        <w:rPr>
          <w:rFonts w:ascii="Arial" w:hAnsi="Arial" w:cs="Arial"/>
          <w:i/>
          <w:iCs/>
          <w:sz w:val="24"/>
          <w:szCs w:val="24"/>
        </w:rPr>
      </w:pPr>
      <w:r>
        <w:rPr>
          <w:rFonts w:ascii="Arial" w:hAnsi="Arial" w:cs="Arial"/>
          <w:sz w:val="24"/>
          <w:szCs w:val="24"/>
        </w:rPr>
        <w:t>[23]</w:t>
      </w:r>
      <w:r w:rsidR="00DE3834" w:rsidRPr="00DE3834">
        <w:rPr>
          <w:rFonts w:ascii="Arial" w:hAnsi="Arial" w:cs="Arial"/>
          <w:sz w:val="24"/>
          <w:szCs w:val="24"/>
        </w:rPr>
        <w:t xml:space="preserve"> In</w:t>
      </w:r>
      <w:r w:rsidR="00810D73">
        <w:rPr>
          <w:rFonts w:ascii="Arial" w:hAnsi="Arial" w:cs="Arial"/>
          <w:sz w:val="24"/>
          <w:szCs w:val="24"/>
        </w:rPr>
        <w:t xml:space="preserve"> </w:t>
      </w:r>
      <w:r w:rsidR="00810D73" w:rsidRPr="00810D73">
        <w:rPr>
          <w:rFonts w:ascii="Arial" w:hAnsi="Arial" w:cs="Arial"/>
          <w:b/>
          <w:bCs/>
          <w:i/>
          <w:iCs/>
          <w:sz w:val="24"/>
          <w:szCs w:val="24"/>
        </w:rPr>
        <w:t>Jaftha v Schoeman and Others, Van Rooyen v Stoltz and Others</w:t>
      </w:r>
      <w:r w:rsidR="00810D73" w:rsidRPr="00810D73">
        <w:rPr>
          <w:rFonts w:ascii="Arial" w:hAnsi="Arial" w:cs="Arial"/>
          <w:sz w:val="24"/>
          <w:szCs w:val="24"/>
        </w:rPr>
        <w:t xml:space="preserve"> </w:t>
      </w:r>
      <w:r w:rsidR="0018329B">
        <w:rPr>
          <w:rFonts w:ascii="Arial" w:hAnsi="Arial" w:cs="Arial"/>
          <w:sz w:val="24"/>
          <w:szCs w:val="24"/>
        </w:rPr>
        <w:t>(</w:t>
      </w:r>
      <w:r w:rsidR="0018329B" w:rsidRPr="0018329B">
        <w:rPr>
          <w:rFonts w:ascii="Arial" w:hAnsi="Arial" w:cs="Arial"/>
          <w:b/>
          <w:bCs/>
          <w:i/>
          <w:iCs/>
          <w:sz w:val="24"/>
          <w:szCs w:val="24"/>
        </w:rPr>
        <w:t>Jaftha</w:t>
      </w:r>
      <w:r w:rsidR="0018329B">
        <w:rPr>
          <w:rFonts w:ascii="Arial" w:hAnsi="Arial" w:cs="Arial"/>
          <w:sz w:val="24"/>
          <w:szCs w:val="24"/>
        </w:rPr>
        <w:t>)</w:t>
      </w:r>
      <w:r w:rsidR="005F0BC1">
        <w:rPr>
          <w:rStyle w:val="FootnoteReference"/>
          <w:rFonts w:ascii="Arial" w:hAnsi="Arial" w:cs="Arial"/>
          <w:sz w:val="24"/>
          <w:szCs w:val="24"/>
        </w:rPr>
        <w:footnoteReference w:id="12"/>
      </w:r>
      <w:r w:rsidR="0018329B">
        <w:rPr>
          <w:rFonts w:ascii="Arial" w:hAnsi="Arial" w:cs="Arial"/>
          <w:sz w:val="24"/>
          <w:szCs w:val="24"/>
        </w:rPr>
        <w:t xml:space="preserve"> </w:t>
      </w:r>
      <w:r w:rsidR="00DE3834" w:rsidRPr="00DE3834">
        <w:rPr>
          <w:rFonts w:ascii="Arial" w:hAnsi="Arial" w:cs="Arial"/>
          <w:sz w:val="24"/>
          <w:szCs w:val="24"/>
        </w:rPr>
        <w:t>the following is sai</w:t>
      </w:r>
      <w:r w:rsidR="00DF7892">
        <w:rPr>
          <w:rFonts w:ascii="Arial" w:hAnsi="Arial" w:cs="Arial"/>
          <w:sz w:val="24"/>
          <w:szCs w:val="24"/>
        </w:rPr>
        <w:t>d “</w:t>
      </w:r>
      <w:r w:rsidR="00810D73" w:rsidRPr="00DE3834">
        <w:rPr>
          <w:rFonts w:ascii="Arial" w:hAnsi="Arial" w:cs="Arial"/>
          <w:i/>
          <w:iCs/>
          <w:sz w:val="24"/>
          <w:szCs w:val="24"/>
        </w:rPr>
        <w:t>Another</w:t>
      </w:r>
      <w:r w:rsidR="00DE3834" w:rsidRPr="00DE3834">
        <w:rPr>
          <w:rFonts w:ascii="Arial" w:hAnsi="Arial" w:cs="Arial"/>
          <w:i/>
          <w:iCs/>
          <w:sz w:val="24"/>
          <w:szCs w:val="24"/>
        </w:rPr>
        <w:t xml:space="preserve"> difficulty is that there may be other factors which militate against a finding that execution is unjustifiable. Such factors will vary according to the facts of each case. It might be that the debtor incurred debts despite the knowledge of his or her inability to repay the money and was reckless as to the consequences of incurring the debt. While it will ordinarily be unjustifiable for a person to be rendered homeless where a small amount of money is owed, and where there are other ways for the creditor to recover the money lent, this will not be the case in every execution of this nature</w:t>
      </w:r>
      <w:r w:rsidR="002250DE">
        <w:rPr>
          <w:rFonts w:ascii="Arial" w:hAnsi="Arial" w:cs="Arial"/>
          <w:i/>
          <w:iCs/>
          <w:sz w:val="24"/>
          <w:szCs w:val="24"/>
        </w:rPr>
        <w:t>”</w:t>
      </w:r>
    </w:p>
    <w:p w14:paraId="4780D1A4" w14:textId="334E70EE" w:rsidR="009E48CE" w:rsidRDefault="00046E9F" w:rsidP="00461BDE">
      <w:pPr>
        <w:spacing w:line="360" w:lineRule="auto"/>
        <w:jc w:val="both"/>
        <w:rPr>
          <w:rFonts w:ascii="Arial" w:hAnsi="Arial" w:cs="Arial"/>
          <w:i/>
          <w:iCs/>
          <w:sz w:val="24"/>
          <w:szCs w:val="24"/>
        </w:rPr>
      </w:pPr>
      <w:r>
        <w:rPr>
          <w:rFonts w:ascii="Arial" w:hAnsi="Arial" w:cs="Arial"/>
          <w:sz w:val="24"/>
          <w:szCs w:val="24"/>
        </w:rPr>
        <w:t>[24</w:t>
      </w:r>
      <w:r w:rsidR="009E48CE" w:rsidRPr="003C6D6F">
        <w:rPr>
          <w:rFonts w:ascii="Arial" w:hAnsi="Arial" w:cs="Arial"/>
          <w:sz w:val="24"/>
          <w:szCs w:val="24"/>
        </w:rPr>
        <w:t>]</w:t>
      </w:r>
      <w:r w:rsidR="009E48CE">
        <w:rPr>
          <w:rFonts w:ascii="Arial" w:hAnsi="Arial" w:cs="Arial"/>
          <w:i/>
          <w:iCs/>
          <w:sz w:val="24"/>
          <w:szCs w:val="24"/>
        </w:rPr>
        <w:t xml:space="preserve"> </w:t>
      </w:r>
      <w:r w:rsidR="00C454A0">
        <w:rPr>
          <w:rFonts w:ascii="Arial" w:hAnsi="Arial" w:cs="Arial"/>
          <w:sz w:val="24"/>
          <w:szCs w:val="24"/>
        </w:rPr>
        <w:t xml:space="preserve">The judgment of </w:t>
      </w:r>
      <w:r w:rsidR="002250DE" w:rsidRPr="00F26CC5">
        <w:rPr>
          <w:rFonts w:ascii="Arial" w:hAnsi="Arial" w:cs="Arial"/>
          <w:b/>
          <w:bCs/>
          <w:i/>
          <w:iCs/>
          <w:sz w:val="24"/>
          <w:szCs w:val="24"/>
        </w:rPr>
        <w:t>Jaftha</w:t>
      </w:r>
      <w:r w:rsidR="00C454A0">
        <w:rPr>
          <w:rStyle w:val="FootnoteReference"/>
          <w:rFonts w:ascii="Arial" w:hAnsi="Arial" w:cs="Arial"/>
          <w:b/>
          <w:bCs/>
          <w:i/>
          <w:iCs/>
          <w:sz w:val="24"/>
          <w:szCs w:val="24"/>
        </w:rPr>
        <w:footnoteReference w:id="13"/>
      </w:r>
      <w:r w:rsidR="002250DE">
        <w:rPr>
          <w:rFonts w:ascii="Arial" w:hAnsi="Arial" w:cs="Arial"/>
          <w:sz w:val="24"/>
          <w:szCs w:val="24"/>
        </w:rPr>
        <w:t xml:space="preserve"> </w:t>
      </w:r>
      <w:r w:rsidR="00F26CC5" w:rsidRPr="00F26CC5">
        <w:rPr>
          <w:rFonts w:ascii="Arial" w:hAnsi="Arial" w:cs="Arial"/>
          <w:i/>
          <w:iCs/>
          <w:sz w:val="24"/>
          <w:szCs w:val="24"/>
        </w:rPr>
        <w:t>supra</w:t>
      </w:r>
      <w:r w:rsidR="002250DE">
        <w:rPr>
          <w:rFonts w:ascii="Arial" w:hAnsi="Arial" w:cs="Arial"/>
          <w:sz w:val="24"/>
          <w:szCs w:val="24"/>
        </w:rPr>
        <w:t xml:space="preserve"> continu</w:t>
      </w:r>
      <w:r w:rsidR="00624902">
        <w:rPr>
          <w:rFonts w:ascii="Arial" w:hAnsi="Arial" w:cs="Arial"/>
          <w:sz w:val="24"/>
          <w:szCs w:val="24"/>
        </w:rPr>
        <w:t>ed</w:t>
      </w:r>
      <w:r w:rsidR="00F26CC5">
        <w:rPr>
          <w:rFonts w:ascii="Arial" w:hAnsi="Arial" w:cs="Arial"/>
          <w:sz w:val="24"/>
          <w:szCs w:val="24"/>
        </w:rPr>
        <w:t xml:space="preserve"> that</w:t>
      </w:r>
      <w:r w:rsidR="00DE3834" w:rsidRPr="00DE3834">
        <w:rPr>
          <w:rFonts w:ascii="Arial" w:hAnsi="Arial" w:cs="Arial"/>
          <w:i/>
          <w:iCs/>
          <w:sz w:val="24"/>
          <w:szCs w:val="24"/>
        </w:rPr>
        <w:t xml:space="preserve"> </w:t>
      </w:r>
      <w:r w:rsidR="00F26CC5">
        <w:rPr>
          <w:rFonts w:ascii="Arial" w:hAnsi="Arial" w:cs="Arial"/>
          <w:i/>
          <w:iCs/>
          <w:sz w:val="24"/>
          <w:szCs w:val="24"/>
        </w:rPr>
        <w:t>“</w:t>
      </w:r>
      <w:r w:rsidR="00DE3834" w:rsidRPr="00DE3834">
        <w:rPr>
          <w:rFonts w:ascii="Arial" w:hAnsi="Arial" w:cs="Arial"/>
          <w:i/>
          <w:iCs/>
          <w:sz w:val="24"/>
          <w:szCs w:val="24"/>
        </w:rPr>
        <w:t>The interests of creditors must not be overlooked. There might be circumstances where, notwithstanding the relatively small amount of money owed, the creditor’s advantage in execution outweighs the harm caused to the debtor. In such circumstances, it may be justifiable to execute. It is in this sense that a consideration of the legitimacy of a sale in execution must be seen as a balancing process</w:t>
      </w:r>
      <w:r w:rsidR="00F26CC5">
        <w:rPr>
          <w:rFonts w:ascii="Arial" w:hAnsi="Arial" w:cs="Arial"/>
          <w:i/>
          <w:iCs/>
          <w:sz w:val="24"/>
          <w:szCs w:val="24"/>
        </w:rPr>
        <w:t>”</w:t>
      </w:r>
      <w:r w:rsidR="00505F8E">
        <w:rPr>
          <w:rFonts w:ascii="Arial" w:hAnsi="Arial" w:cs="Arial"/>
          <w:i/>
          <w:iCs/>
          <w:sz w:val="24"/>
          <w:szCs w:val="24"/>
        </w:rPr>
        <w:t>.</w:t>
      </w:r>
    </w:p>
    <w:p w14:paraId="32D3325D" w14:textId="1D4E980D" w:rsidR="009E48CE" w:rsidRDefault="00046E9F" w:rsidP="00461BDE">
      <w:pPr>
        <w:spacing w:line="360" w:lineRule="auto"/>
        <w:jc w:val="both"/>
        <w:rPr>
          <w:rFonts w:ascii="Arial" w:hAnsi="Arial" w:cs="Arial"/>
          <w:i/>
          <w:iCs/>
          <w:sz w:val="24"/>
          <w:szCs w:val="24"/>
        </w:rPr>
      </w:pPr>
      <w:r>
        <w:rPr>
          <w:rFonts w:ascii="Arial" w:hAnsi="Arial" w:cs="Arial"/>
          <w:sz w:val="24"/>
          <w:szCs w:val="24"/>
        </w:rPr>
        <w:t>[25</w:t>
      </w:r>
      <w:r w:rsidR="009E48CE" w:rsidRPr="003C6D6F">
        <w:rPr>
          <w:rFonts w:ascii="Arial" w:hAnsi="Arial" w:cs="Arial"/>
          <w:sz w:val="24"/>
          <w:szCs w:val="24"/>
        </w:rPr>
        <w:t>]</w:t>
      </w:r>
      <w:r w:rsidR="009E48CE">
        <w:rPr>
          <w:rFonts w:ascii="Arial" w:hAnsi="Arial" w:cs="Arial"/>
          <w:i/>
          <w:iCs/>
          <w:sz w:val="24"/>
          <w:szCs w:val="24"/>
        </w:rPr>
        <w:t xml:space="preserve"> In </w:t>
      </w:r>
      <w:r w:rsidR="00810D73" w:rsidRPr="00810D73">
        <w:rPr>
          <w:rFonts w:ascii="Arial" w:hAnsi="Arial" w:cs="Arial"/>
          <w:b/>
          <w:bCs/>
          <w:i/>
          <w:iCs/>
          <w:sz w:val="24"/>
          <w:szCs w:val="24"/>
        </w:rPr>
        <w:t xml:space="preserve">Gundwana v Steko Development and </w:t>
      </w:r>
      <w:r w:rsidR="00C92BE8" w:rsidRPr="00810D73">
        <w:rPr>
          <w:rFonts w:ascii="Arial" w:hAnsi="Arial" w:cs="Arial"/>
          <w:b/>
          <w:bCs/>
          <w:i/>
          <w:iCs/>
          <w:sz w:val="24"/>
          <w:szCs w:val="24"/>
        </w:rPr>
        <w:t>Others</w:t>
      </w:r>
      <w:r w:rsidR="005F0BC1">
        <w:rPr>
          <w:rFonts w:ascii="Arial" w:hAnsi="Arial" w:cs="Arial"/>
          <w:b/>
          <w:bCs/>
          <w:i/>
          <w:iCs/>
          <w:sz w:val="24"/>
          <w:szCs w:val="24"/>
        </w:rPr>
        <w:t xml:space="preserve"> </w:t>
      </w:r>
      <w:r w:rsidR="00C92BE8">
        <w:rPr>
          <w:rFonts w:ascii="Arial" w:hAnsi="Arial" w:cs="Arial"/>
          <w:b/>
          <w:bCs/>
          <w:i/>
          <w:iCs/>
          <w:sz w:val="24"/>
          <w:szCs w:val="24"/>
        </w:rPr>
        <w:t>(Gundwana</w:t>
      </w:r>
      <w:r w:rsidR="0018329B">
        <w:rPr>
          <w:rFonts w:ascii="Arial" w:hAnsi="Arial" w:cs="Arial"/>
          <w:b/>
          <w:bCs/>
          <w:i/>
          <w:iCs/>
          <w:sz w:val="24"/>
          <w:szCs w:val="24"/>
        </w:rPr>
        <w:t>)</w:t>
      </w:r>
      <w:r w:rsidR="00C454A0">
        <w:rPr>
          <w:rStyle w:val="FootnoteReference"/>
          <w:rFonts w:ascii="Arial" w:hAnsi="Arial" w:cs="Arial"/>
          <w:b/>
          <w:bCs/>
          <w:i/>
          <w:iCs/>
          <w:sz w:val="24"/>
          <w:szCs w:val="24"/>
        </w:rPr>
        <w:footnoteReference w:id="14"/>
      </w:r>
      <w:r w:rsidR="00810D73" w:rsidRPr="00810D73">
        <w:rPr>
          <w:rFonts w:ascii="Arial" w:hAnsi="Arial" w:cs="Arial"/>
          <w:i/>
          <w:iCs/>
          <w:sz w:val="24"/>
          <w:szCs w:val="24"/>
        </w:rPr>
        <w:t>)</w:t>
      </w:r>
      <w:r w:rsidR="00DF7892">
        <w:rPr>
          <w:rFonts w:ascii="Arial" w:hAnsi="Arial" w:cs="Arial"/>
          <w:i/>
          <w:iCs/>
          <w:sz w:val="24"/>
          <w:szCs w:val="24"/>
        </w:rPr>
        <w:t xml:space="preserve"> </w:t>
      </w:r>
      <w:r w:rsidR="00DF7892" w:rsidRPr="00DF7892">
        <w:rPr>
          <w:rFonts w:ascii="Arial" w:hAnsi="Arial" w:cs="Arial"/>
          <w:sz w:val="24"/>
          <w:szCs w:val="24"/>
        </w:rPr>
        <w:t>the court stated that</w:t>
      </w:r>
      <w:r w:rsidR="00DF7892">
        <w:rPr>
          <w:rFonts w:ascii="Arial" w:hAnsi="Arial" w:cs="Arial"/>
          <w:i/>
          <w:iCs/>
          <w:sz w:val="24"/>
          <w:szCs w:val="24"/>
        </w:rPr>
        <w:t xml:space="preserve"> </w:t>
      </w:r>
      <w:r w:rsidR="00C454A0">
        <w:rPr>
          <w:rFonts w:ascii="Arial" w:hAnsi="Arial" w:cs="Arial"/>
          <w:i/>
          <w:iCs/>
          <w:sz w:val="24"/>
          <w:szCs w:val="24"/>
        </w:rPr>
        <w:t>“</w:t>
      </w:r>
      <w:r w:rsidR="009E48CE" w:rsidRPr="009E48CE">
        <w:rPr>
          <w:rFonts w:ascii="Arial" w:hAnsi="Arial" w:cs="Arial"/>
          <w:i/>
          <w:iCs/>
          <w:sz w:val="24"/>
          <w:szCs w:val="24"/>
        </w:rPr>
        <w:t>An agreement to put one’s property at risk as security in a mortgage bond does not equate to a licence for the mortgagee to enforce execution in bad faith</w:t>
      </w:r>
      <w:r w:rsidR="009E48CE">
        <w:rPr>
          <w:rFonts w:ascii="Arial" w:hAnsi="Arial" w:cs="Arial"/>
          <w:i/>
          <w:iCs/>
          <w:sz w:val="24"/>
          <w:szCs w:val="24"/>
        </w:rPr>
        <w:t>.</w:t>
      </w:r>
      <w:r w:rsidR="009E48CE" w:rsidRPr="009E48CE">
        <w:rPr>
          <w:rFonts w:ascii="Arial" w:hAnsi="Arial" w:cs="Arial"/>
          <w:i/>
          <w:iCs/>
          <w:sz w:val="24"/>
          <w:szCs w:val="24"/>
        </w:rPr>
        <w:t xml:space="preserve"> I conclude that the willingness of mortgagors to put their homes forward as security for the loans they acquire is not by itself sufficient to put those cases beyond the reach of Jaftha. An evaluation of the facts of each case is necessary in order to determine whether a declaration that hypothecated property constituting a person’s </w:t>
      </w:r>
      <w:r w:rsidR="009E48CE" w:rsidRPr="009E48CE">
        <w:rPr>
          <w:rFonts w:ascii="Arial" w:hAnsi="Arial" w:cs="Arial"/>
          <w:i/>
          <w:iCs/>
          <w:sz w:val="24"/>
          <w:szCs w:val="24"/>
        </w:rPr>
        <w:lastRenderedPageBreak/>
        <w:t>home is specially executable, may be made. It is the kind of evaluation that must be done by a court of law, not the registrar</w:t>
      </w:r>
      <w:r w:rsidR="003C6D6F">
        <w:rPr>
          <w:rFonts w:ascii="Arial" w:hAnsi="Arial" w:cs="Arial"/>
          <w:i/>
          <w:iCs/>
          <w:sz w:val="24"/>
          <w:szCs w:val="24"/>
        </w:rPr>
        <w:t>”</w:t>
      </w:r>
      <w:r w:rsidR="009E48CE" w:rsidRPr="009E48CE">
        <w:rPr>
          <w:rFonts w:ascii="Arial" w:hAnsi="Arial" w:cs="Arial"/>
          <w:i/>
          <w:iCs/>
          <w:sz w:val="24"/>
          <w:szCs w:val="24"/>
        </w:rPr>
        <w:t xml:space="preserve">. </w:t>
      </w:r>
    </w:p>
    <w:p w14:paraId="693F6DDD" w14:textId="1262BDAB" w:rsidR="001E7210" w:rsidRDefault="001E7210" w:rsidP="00461BDE">
      <w:pPr>
        <w:spacing w:line="360" w:lineRule="auto"/>
        <w:jc w:val="both"/>
        <w:rPr>
          <w:rFonts w:ascii="Arial" w:hAnsi="Arial" w:cs="Arial"/>
          <w:b/>
          <w:bCs/>
          <w:sz w:val="24"/>
          <w:szCs w:val="24"/>
        </w:rPr>
      </w:pPr>
      <w:r w:rsidRPr="001E7210">
        <w:rPr>
          <w:rFonts w:ascii="Arial" w:hAnsi="Arial" w:cs="Arial"/>
          <w:b/>
          <w:bCs/>
          <w:sz w:val="24"/>
          <w:szCs w:val="24"/>
        </w:rPr>
        <w:t>Application of facts to the law</w:t>
      </w:r>
    </w:p>
    <w:p w14:paraId="71AFE588" w14:textId="71B7FE18" w:rsidR="00EC30F9" w:rsidRDefault="003D549C" w:rsidP="00461BDE">
      <w:pPr>
        <w:spacing w:line="360" w:lineRule="auto"/>
        <w:jc w:val="both"/>
        <w:rPr>
          <w:rFonts w:ascii="Arial" w:hAnsi="Arial" w:cs="Arial"/>
          <w:sz w:val="24"/>
          <w:szCs w:val="24"/>
        </w:rPr>
      </w:pPr>
      <w:r>
        <w:rPr>
          <w:rFonts w:ascii="Arial" w:hAnsi="Arial" w:cs="Arial"/>
          <w:sz w:val="24"/>
          <w:szCs w:val="24"/>
        </w:rPr>
        <w:t>[26</w:t>
      </w:r>
      <w:r w:rsidR="001E7210" w:rsidRPr="003108A3">
        <w:rPr>
          <w:rFonts w:ascii="Arial" w:hAnsi="Arial" w:cs="Arial"/>
          <w:sz w:val="24"/>
          <w:szCs w:val="24"/>
        </w:rPr>
        <w:t>]</w:t>
      </w:r>
      <w:r w:rsidR="001E7210">
        <w:rPr>
          <w:rFonts w:ascii="Arial" w:hAnsi="Arial" w:cs="Arial"/>
          <w:b/>
          <w:bCs/>
          <w:sz w:val="24"/>
          <w:szCs w:val="24"/>
        </w:rPr>
        <w:t xml:space="preserve"> </w:t>
      </w:r>
      <w:r w:rsidR="001E7210" w:rsidRPr="001E7210">
        <w:rPr>
          <w:rFonts w:ascii="Arial" w:hAnsi="Arial" w:cs="Arial"/>
          <w:sz w:val="24"/>
          <w:szCs w:val="24"/>
        </w:rPr>
        <w:t>The decision in</w:t>
      </w:r>
      <w:r w:rsidR="001E7210">
        <w:rPr>
          <w:rFonts w:ascii="Arial" w:hAnsi="Arial" w:cs="Arial"/>
          <w:b/>
          <w:bCs/>
          <w:sz w:val="24"/>
          <w:szCs w:val="24"/>
        </w:rPr>
        <w:t xml:space="preserve"> </w:t>
      </w:r>
      <w:r w:rsidR="001E7210" w:rsidRPr="001E7210">
        <w:rPr>
          <w:rFonts w:ascii="Arial" w:hAnsi="Arial" w:cs="Arial"/>
          <w:b/>
          <w:bCs/>
          <w:i/>
          <w:iCs/>
          <w:sz w:val="24"/>
          <w:szCs w:val="24"/>
        </w:rPr>
        <w:t>Mokebe</w:t>
      </w:r>
      <w:r w:rsidR="001E7210">
        <w:rPr>
          <w:rFonts w:ascii="Arial" w:hAnsi="Arial" w:cs="Arial"/>
          <w:b/>
          <w:bCs/>
          <w:sz w:val="24"/>
          <w:szCs w:val="24"/>
        </w:rPr>
        <w:t xml:space="preserve"> </w:t>
      </w:r>
      <w:r w:rsidR="001E7210" w:rsidRPr="001E7210">
        <w:rPr>
          <w:rFonts w:ascii="Arial" w:hAnsi="Arial" w:cs="Arial"/>
          <w:sz w:val="24"/>
          <w:szCs w:val="24"/>
        </w:rPr>
        <w:t>has settled the approach that court should adopt. The decision as already discussed also encapsulate</w:t>
      </w:r>
      <w:r w:rsidR="008A5E3C">
        <w:rPr>
          <w:rFonts w:ascii="Arial" w:hAnsi="Arial" w:cs="Arial"/>
          <w:sz w:val="24"/>
          <w:szCs w:val="24"/>
        </w:rPr>
        <w:t xml:space="preserve">s </w:t>
      </w:r>
      <w:r w:rsidR="001E7210" w:rsidRPr="001E7210">
        <w:rPr>
          <w:rFonts w:ascii="Arial" w:hAnsi="Arial" w:cs="Arial"/>
          <w:sz w:val="24"/>
          <w:szCs w:val="24"/>
        </w:rPr>
        <w:t xml:space="preserve">the approach of the decisions of </w:t>
      </w:r>
      <w:r w:rsidR="001E7210" w:rsidRPr="001E7210">
        <w:rPr>
          <w:rFonts w:ascii="Arial" w:hAnsi="Arial" w:cs="Arial"/>
          <w:b/>
          <w:bCs/>
          <w:i/>
          <w:iCs/>
          <w:sz w:val="24"/>
          <w:szCs w:val="24"/>
        </w:rPr>
        <w:t>Jaftha</w:t>
      </w:r>
      <w:r w:rsidR="001E7210" w:rsidRPr="001E7210">
        <w:rPr>
          <w:rFonts w:ascii="Arial" w:hAnsi="Arial" w:cs="Arial"/>
          <w:sz w:val="24"/>
          <w:szCs w:val="24"/>
        </w:rPr>
        <w:t xml:space="preserve"> and </w:t>
      </w:r>
      <w:r w:rsidR="001E7210" w:rsidRPr="001E7210">
        <w:rPr>
          <w:rFonts w:ascii="Arial" w:hAnsi="Arial" w:cs="Arial"/>
          <w:b/>
          <w:bCs/>
          <w:i/>
          <w:iCs/>
          <w:sz w:val="24"/>
          <w:szCs w:val="24"/>
        </w:rPr>
        <w:t>Gundwana</w:t>
      </w:r>
      <w:r w:rsidR="001E7210">
        <w:rPr>
          <w:rFonts w:ascii="Arial" w:hAnsi="Arial" w:cs="Arial"/>
          <w:sz w:val="24"/>
          <w:szCs w:val="24"/>
        </w:rPr>
        <w:t xml:space="preserve">. The approach is that the court should not deal with the matter in a piecemeal fashion and that there should </w:t>
      </w:r>
      <w:r w:rsidR="003108A3">
        <w:rPr>
          <w:rFonts w:ascii="Arial" w:hAnsi="Arial" w:cs="Arial"/>
          <w:sz w:val="24"/>
          <w:szCs w:val="24"/>
        </w:rPr>
        <w:t xml:space="preserve">be judicial oversight. This is to ensure that the constitutional imperatives enshrined in Section 26 of the Constitution are considered. </w:t>
      </w:r>
      <w:r w:rsidR="00EC30F9">
        <w:rPr>
          <w:rFonts w:ascii="Arial" w:hAnsi="Arial" w:cs="Arial"/>
          <w:sz w:val="24"/>
          <w:szCs w:val="24"/>
        </w:rPr>
        <w:t xml:space="preserve">The decision must also take account of the considerations enumerated in Rule 46A (8). </w:t>
      </w:r>
    </w:p>
    <w:p w14:paraId="7D2DBAF8" w14:textId="598313C4" w:rsidR="0018329B" w:rsidRDefault="003D549C" w:rsidP="00461BDE">
      <w:pPr>
        <w:spacing w:line="360" w:lineRule="auto"/>
        <w:jc w:val="both"/>
        <w:rPr>
          <w:rFonts w:ascii="Arial" w:hAnsi="Arial" w:cs="Arial"/>
          <w:sz w:val="24"/>
          <w:szCs w:val="24"/>
        </w:rPr>
      </w:pPr>
      <w:r>
        <w:rPr>
          <w:rFonts w:ascii="Arial" w:hAnsi="Arial" w:cs="Arial"/>
          <w:sz w:val="24"/>
          <w:szCs w:val="24"/>
        </w:rPr>
        <w:t>[27</w:t>
      </w:r>
      <w:r w:rsidR="00EC30F9">
        <w:rPr>
          <w:rFonts w:ascii="Arial" w:hAnsi="Arial" w:cs="Arial"/>
          <w:sz w:val="24"/>
          <w:szCs w:val="24"/>
        </w:rPr>
        <w:t xml:space="preserve">] </w:t>
      </w:r>
      <w:r w:rsidR="00207EBC">
        <w:rPr>
          <w:rFonts w:ascii="Arial" w:hAnsi="Arial" w:cs="Arial"/>
          <w:sz w:val="24"/>
          <w:szCs w:val="24"/>
        </w:rPr>
        <w:t>It is important to note that Rule 46A does not prohibit or outlaw execution against primary residence. The order of execution against immovable property can be ordered if there is no other satisfactory means of satisfying the judgment debt. The Rule also provides for alternative</w:t>
      </w:r>
      <w:r w:rsidR="008A5E3C">
        <w:rPr>
          <w:rFonts w:ascii="Arial" w:hAnsi="Arial" w:cs="Arial"/>
          <w:sz w:val="24"/>
          <w:szCs w:val="24"/>
        </w:rPr>
        <w:t>s,</w:t>
      </w:r>
      <w:r w:rsidR="00207EBC">
        <w:rPr>
          <w:rFonts w:ascii="Arial" w:hAnsi="Arial" w:cs="Arial"/>
          <w:sz w:val="24"/>
          <w:szCs w:val="24"/>
        </w:rPr>
        <w:t xml:space="preserve"> for example a setting of the reserved price</w:t>
      </w:r>
      <w:r w:rsidR="008A5E3C">
        <w:rPr>
          <w:rFonts w:ascii="Arial" w:hAnsi="Arial" w:cs="Arial"/>
          <w:sz w:val="24"/>
          <w:szCs w:val="24"/>
        </w:rPr>
        <w:t xml:space="preserve"> and also postponement</w:t>
      </w:r>
      <w:r w:rsidR="00207EBC">
        <w:rPr>
          <w:rFonts w:ascii="Arial" w:hAnsi="Arial" w:cs="Arial"/>
          <w:sz w:val="24"/>
          <w:szCs w:val="24"/>
        </w:rPr>
        <w:t xml:space="preserve"> of the application </w:t>
      </w:r>
      <w:r w:rsidR="00B65B02">
        <w:rPr>
          <w:rFonts w:ascii="Arial" w:hAnsi="Arial" w:cs="Arial"/>
          <w:sz w:val="24"/>
          <w:szCs w:val="24"/>
        </w:rPr>
        <w:t>on such terms as the court may consider appropriate.</w:t>
      </w:r>
      <w:r w:rsidR="0018329B">
        <w:rPr>
          <w:rFonts w:ascii="Arial" w:hAnsi="Arial" w:cs="Arial"/>
          <w:sz w:val="24"/>
          <w:szCs w:val="24"/>
        </w:rPr>
        <w:t xml:space="preserve"> </w:t>
      </w:r>
    </w:p>
    <w:p w14:paraId="7112FB18" w14:textId="6B1942F9" w:rsidR="001E7210" w:rsidRDefault="003D549C" w:rsidP="00461BDE">
      <w:pPr>
        <w:spacing w:line="360" w:lineRule="auto"/>
        <w:jc w:val="both"/>
        <w:rPr>
          <w:rFonts w:ascii="Arial" w:hAnsi="Arial" w:cs="Arial"/>
          <w:sz w:val="24"/>
          <w:szCs w:val="24"/>
        </w:rPr>
      </w:pPr>
      <w:r>
        <w:rPr>
          <w:rFonts w:ascii="Arial" w:hAnsi="Arial" w:cs="Arial"/>
          <w:sz w:val="24"/>
          <w:szCs w:val="24"/>
        </w:rPr>
        <w:t>[28</w:t>
      </w:r>
      <w:r w:rsidR="008A5E3C">
        <w:rPr>
          <w:rFonts w:ascii="Arial" w:hAnsi="Arial" w:cs="Arial"/>
          <w:sz w:val="24"/>
          <w:szCs w:val="24"/>
        </w:rPr>
        <w:t xml:space="preserve"> </w:t>
      </w:r>
      <w:r w:rsidR="0018329B" w:rsidRPr="0018329B">
        <w:rPr>
          <w:rFonts w:ascii="Arial" w:hAnsi="Arial" w:cs="Arial"/>
          <w:sz w:val="24"/>
          <w:szCs w:val="24"/>
        </w:rPr>
        <w:t xml:space="preserve">It is trite that the Constitution of South Africa provides for justiciable socioeconomic </w:t>
      </w:r>
      <w:r w:rsidR="008A5E3C" w:rsidRPr="0018329B">
        <w:rPr>
          <w:rFonts w:ascii="Arial" w:hAnsi="Arial" w:cs="Arial"/>
          <w:sz w:val="24"/>
          <w:szCs w:val="24"/>
        </w:rPr>
        <w:t>rights,</w:t>
      </w:r>
      <w:r w:rsidR="0018329B" w:rsidRPr="0018329B">
        <w:rPr>
          <w:rFonts w:ascii="Arial" w:hAnsi="Arial" w:cs="Arial"/>
          <w:sz w:val="24"/>
          <w:szCs w:val="24"/>
        </w:rPr>
        <w:t xml:space="preserve"> and this includes the right to have access to adequate housing which is enshrined in s 26 of the Constitution. The underlying rationale of rule 46A is to impose procedural rules to give effect to that fundamental right. Rule 46A must therefore be interpreted purposively against the backdrop of s 26 of the Constitution, which grants access to housing.</w:t>
      </w:r>
    </w:p>
    <w:p w14:paraId="38ECE762" w14:textId="6EBCEDCA" w:rsidR="00B65B02" w:rsidRDefault="003D549C" w:rsidP="00461BDE">
      <w:pPr>
        <w:spacing w:line="360" w:lineRule="auto"/>
        <w:jc w:val="both"/>
        <w:rPr>
          <w:rFonts w:ascii="Arial" w:hAnsi="Arial" w:cs="Arial"/>
          <w:sz w:val="24"/>
          <w:szCs w:val="24"/>
        </w:rPr>
      </w:pPr>
      <w:r>
        <w:rPr>
          <w:rFonts w:ascii="Arial" w:hAnsi="Arial" w:cs="Arial"/>
          <w:sz w:val="24"/>
          <w:szCs w:val="24"/>
        </w:rPr>
        <w:t>[29</w:t>
      </w:r>
      <w:r w:rsidR="00B65B02">
        <w:rPr>
          <w:rFonts w:ascii="Arial" w:hAnsi="Arial" w:cs="Arial"/>
          <w:sz w:val="24"/>
          <w:szCs w:val="24"/>
        </w:rPr>
        <w:t xml:space="preserve">] In this case the </w:t>
      </w:r>
      <w:r w:rsidR="00D74C22">
        <w:rPr>
          <w:rFonts w:ascii="Arial" w:hAnsi="Arial" w:cs="Arial"/>
          <w:sz w:val="24"/>
          <w:szCs w:val="24"/>
        </w:rPr>
        <w:t>R</w:t>
      </w:r>
      <w:r w:rsidR="00B65B02">
        <w:rPr>
          <w:rFonts w:ascii="Arial" w:hAnsi="Arial" w:cs="Arial"/>
          <w:sz w:val="24"/>
          <w:szCs w:val="24"/>
        </w:rPr>
        <w:t xml:space="preserve">espondent has already benefitted from the alternative of a postponement and despite such indulgence, </w:t>
      </w:r>
      <w:r w:rsidR="00D72FA8">
        <w:rPr>
          <w:rFonts w:ascii="Arial" w:hAnsi="Arial" w:cs="Arial"/>
          <w:sz w:val="24"/>
          <w:szCs w:val="24"/>
        </w:rPr>
        <w:t>she</w:t>
      </w:r>
      <w:r w:rsidR="00D74C22">
        <w:rPr>
          <w:rFonts w:ascii="Arial" w:hAnsi="Arial" w:cs="Arial"/>
          <w:sz w:val="24"/>
          <w:szCs w:val="24"/>
        </w:rPr>
        <w:t xml:space="preserve"> still</w:t>
      </w:r>
      <w:r w:rsidR="00B65B02">
        <w:rPr>
          <w:rFonts w:ascii="Arial" w:hAnsi="Arial" w:cs="Arial"/>
          <w:sz w:val="24"/>
          <w:szCs w:val="24"/>
        </w:rPr>
        <w:t xml:space="preserve"> failed to remedy her default. As stated in </w:t>
      </w:r>
      <w:r w:rsidR="00B65B02" w:rsidRPr="00624902">
        <w:rPr>
          <w:rFonts w:ascii="Arial" w:hAnsi="Arial" w:cs="Arial"/>
          <w:b/>
          <w:bCs/>
          <w:i/>
          <w:iCs/>
          <w:sz w:val="24"/>
          <w:szCs w:val="24"/>
        </w:rPr>
        <w:t>Gundwana</w:t>
      </w:r>
      <w:r w:rsidR="00B65B02">
        <w:rPr>
          <w:rFonts w:ascii="Arial" w:hAnsi="Arial" w:cs="Arial"/>
          <w:sz w:val="24"/>
          <w:szCs w:val="24"/>
        </w:rPr>
        <w:t xml:space="preserve"> ‘the interests of the creditor’</w:t>
      </w:r>
      <w:r w:rsidR="008A5E3C">
        <w:rPr>
          <w:rFonts w:ascii="Arial" w:hAnsi="Arial" w:cs="Arial"/>
          <w:sz w:val="24"/>
          <w:szCs w:val="24"/>
        </w:rPr>
        <w:t xml:space="preserve"> should also be considered</w:t>
      </w:r>
      <w:r w:rsidR="00624902">
        <w:rPr>
          <w:rFonts w:ascii="Arial" w:hAnsi="Arial" w:cs="Arial"/>
          <w:sz w:val="24"/>
          <w:szCs w:val="24"/>
        </w:rPr>
        <w:t xml:space="preserve">. A further alternative that has been stipulated </w:t>
      </w:r>
      <w:r w:rsidR="00A669F2">
        <w:rPr>
          <w:rFonts w:ascii="Arial" w:hAnsi="Arial" w:cs="Arial"/>
          <w:sz w:val="24"/>
          <w:szCs w:val="24"/>
        </w:rPr>
        <w:t>by</w:t>
      </w:r>
      <w:r w:rsidR="00624902">
        <w:rPr>
          <w:rFonts w:ascii="Arial" w:hAnsi="Arial" w:cs="Arial"/>
          <w:sz w:val="24"/>
          <w:szCs w:val="24"/>
        </w:rPr>
        <w:t xml:space="preserve"> the rule is ‘setting of a reserve price’.</w:t>
      </w:r>
      <w:r w:rsidR="00763DFC">
        <w:rPr>
          <w:rFonts w:ascii="Arial" w:hAnsi="Arial" w:cs="Arial"/>
          <w:sz w:val="24"/>
          <w:szCs w:val="24"/>
        </w:rPr>
        <w:t xml:space="preserve"> The arrear amount is continuing to increase including municipal rates. The costs which were awarded on the 21 September 2021 were on a scale of attorney and client scale. These costs will also increase the indebtedness of the Respondent. </w:t>
      </w:r>
    </w:p>
    <w:p w14:paraId="60FB5B5D" w14:textId="3A8F2ABD" w:rsidR="00763DFC" w:rsidRDefault="00763DFC" w:rsidP="00461BDE">
      <w:pPr>
        <w:spacing w:line="360" w:lineRule="auto"/>
        <w:jc w:val="both"/>
        <w:rPr>
          <w:rFonts w:ascii="Arial" w:hAnsi="Arial" w:cs="Arial"/>
          <w:sz w:val="24"/>
          <w:szCs w:val="24"/>
        </w:rPr>
      </w:pPr>
      <w:r>
        <w:rPr>
          <w:rFonts w:ascii="Arial" w:hAnsi="Arial" w:cs="Arial"/>
          <w:sz w:val="24"/>
          <w:szCs w:val="24"/>
        </w:rPr>
        <w:t xml:space="preserve">[30] The conduct of the Applicant cannot be characterized as malicious. The Applicant has afforded the Respondent opportunity to </w:t>
      </w:r>
      <w:r w:rsidR="00953BBC">
        <w:rPr>
          <w:rFonts w:ascii="Arial" w:hAnsi="Arial" w:cs="Arial"/>
          <w:sz w:val="24"/>
          <w:szCs w:val="24"/>
        </w:rPr>
        <w:t xml:space="preserve">bring her arrears up to date </w:t>
      </w:r>
      <w:r w:rsidR="00953BBC">
        <w:rPr>
          <w:rFonts w:ascii="Arial" w:hAnsi="Arial" w:cs="Arial"/>
          <w:sz w:val="24"/>
          <w:szCs w:val="24"/>
        </w:rPr>
        <w:lastRenderedPageBreak/>
        <w:t xml:space="preserve">without any success. It is clear that the Respondent is unable to meet her obligations in terms of loan agreement. A further postponement of this matter will be the prejudice of both the Applicant and the Respondent. The Respondent will continue to attract a higher indebtedness. </w:t>
      </w:r>
    </w:p>
    <w:p w14:paraId="7DDE3588" w14:textId="1823B4E2" w:rsidR="00763DFC" w:rsidRDefault="003D549C" w:rsidP="00461BDE">
      <w:pPr>
        <w:spacing w:line="360" w:lineRule="auto"/>
        <w:jc w:val="both"/>
        <w:rPr>
          <w:rFonts w:ascii="Arial" w:hAnsi="Arial" w:cs="Arial"/>
          <w:i/>
          <w:iCs/>
          <w:sz w:val="24"/>
          <w:szCs w:val="24"/>
        </w:rPr>
      </w:pPr>
      <w:r>
        <w:rPr>
          <w:rFonts w:ascii="Arial" w:hAnsi="Arial" w:cs="Arial"/>
          <w:sz w:val="24"/>
          <w:szCs w:val="24"/>
        </w:rPr>
        <w:t>[3</w:t>
      </w:r>
      <w:r w:rsidR="00953BBC">
        <w:rPr>
          <w:rFonts w:ascii="Arial" w:hAnsi="Arial" w:cs="Arial"/>
          <w:sz w:val="24"/>
          <w:szCs w:val="24"/>
        </w:rPr>
        <w:t>1</w:t>
      </w:r>
      <w:r w:rsidR="00624902">
        <w:rPr>
          <w:rFonts w:ascii="Arial" w:hAnsi="Arial" w:cs="Arial"/>
          <w:sz w:val="24"/>
          <w:szCs w:val="24"/>
        </w:rPr>
        <w:t xml:space="preserve">] The setting of a reserve price seeks to protect the debtor by ensuring that homes are not sold for extremely low prices. </w:t>
      </w:r>
      <w:r w:rsidR="00810D73">
        <w:rPr>
          <w:rFonts w:ascii="Arial" w:hAnsi="Arial" w:cs="Arial"/>
          <w:sz w:val="24"/>
          <w:szCs w:val="24"/>
        </w:rPr>
        <w:t xml:space="preserve">In case of </w:t>
      </w:r>
      <w:r w:rsidR="00810D73" w:rsidRPr="00810D73">
        <w:rPr>
          <w:rFonts w:ascii="Arial" w:hAnsi="Arial" w:cs="Arial"/>
          <w:b/>
          <w:bCs/>
          <w:i/>
          <w:iCs/>
          <w:sz w:val="24"/>
          <w:szCs w:val="24"/>
        </w:rPr>
        <w:t>Petrus Johannes Bestbier and Others v Nedbank Limited</w:t>
      </w:r>
      <w:r w:rsidR="00703012">
        <w:rPr>
          <w:rStyle w:val="FootnoteReference"/>
          <w:rFonts w:ascii="Arial" w:hAnsi="Arial" w:cs="Arial"/>
          <w:b/>
          <w:bCs/>
          <w:i/>
          <w:iCs/>
          <w:sz w:val="24"/>
          <w:szCs w:val="24"/>
        </w:rPr>
        <w:footnoteReference w:id="15"/>
      </w:r>
      <w:r w:rsidR="00810D73" w:rsidRPr="00810D73">
        <w:rPr>
          <w:rFonts w:ascii="Arial" w:hAnsi="Arial" w:cs="Arial"/>
          <w:sz w:val="24"/>
          <w:szCs w:val="24"/>
        </w:rPr>
        <w:t xml:space="preserve"> </w:t>
      </w:r>
      <w:r w:rsidR="00810D73">
        <w:rPr>
          <w:rFonts w:ascii="Arial" w:hAnsi="Arial" w:cs="Arial"/>
          <w:sz w:val="24"/>
          <w:szCs w:val="24"/>
        </w:rPr>
        <w:t xml:space="preserve"> the SCA stated as follows regarding Rule 46A </w:t>
      </w:r>
      <w:r w:rsidR="00703012">
        <w:rPr>
          <w:rFonts w:ascii="Arial" w:hAnsi="Arial" w:cs="Arial"/>
          <w:sz w:val="24"/>
          <w:szCs w:val="24"/>
        </w:rPr>
        <w:t xml:space="preserve">stated that </w:t>
      </w:r>
      <w:r w:rsidR="00255A60">
        <w:rPr>
          <w:rFonts w:ascii="Arial" w:hAnsi="Arial" w:cs="Arial"/>
          <w:sz w:val="24"/>
          <w:szCs w:val="24"/>
        </w:rPr>
        <w:t>“</w:t>
      </w:r>
      <w:r w:rsidR="00255A60" w:rsidRPr="00810D73">
        <w:rPr>
          <w:rFonts w:ascii="Arial" w:hAnsi="Arial" w:cs="Arial"/>
          <w:i/>
          <w:iCs/>
          <w:sz w:val="24"/>
          <w:szCs w:val="24"/>
        </w:rPr>
        <w:t>the</w:t>
      </w:r>
      <w:r w:rsidR="00810D73" w:rsidRPr="00810D73">
        <w:rPr>
          <w:rFonts w:ascii="Arial" w:hAnsi="Arial" w:cs="Arial"/>
          <w:i/>
          <w:iCs/>
          <w:sz w:val="24"/>
          <w:szCs w:val="24"/>
        </w:rPr>
        <w:t xml:space="preserve"> aim of rule 46A is to assist the Court in considering whether the s 26 rights of the judgment debtor would be violated if his/her house is sold in execution. Rule 46A contains procedural prescripts, not substantive </w:t>
      </w:r>
      <w:r w:rsidR="00703012" w:rsidRPr="00810D73">
        <w:rPr>
          <w:rFonts w:ascii="Arial" w:hAnsi="Arial" w:cs="Arial"/>
          <w:i/>
          <w:iCs/>
          <w:sz w:val="24"/>
          <w:szCs w:val="24"/>
        </w:rPr>
        <w:t>law</w:t>
      </w:r>
      <w:r w:rsidR="00703012">
        <w:rPr>
          <w:rFonts w:ascii="Arial" w:hAnsi="Arial" w:cs="Arial"/>
          <w:i/>
          <w:iCs/>
          <w:sz w:val="24"/>
          <w:szCs w:val="24"/>
        </w:rPr>
        <w:t>.</w:t>
      </w:r>
      <w:r w:rsidR="00703012" w:rsidRPr="00810D73">
        <w:rPr>
          <w:rFonts w:ascii="Arial" w:hAnsi="Arial" w:cs="Arial"/>
          <w:i/>
          <w:iCs/>
          <w:sz w:val="24"/>
          <w:szCs w:val="24"/>
        </w:rPr>
        <w:t xml:space="preserve"> The</w:t>
      </w:r>
      <w:r w:rsidR="00810D73" w:rsidRPr="00810D73">
        <w:rPr>
          <w:rFonts w:ascii="Arial" w:hAnsi="Arial" w:cs="Arial"/>
          <w:i/>
          <w:iCs/>
          <w:sz w:val="24"/>
          <w:szCs w:val="24"/>
        </w:rPr>
        <w:t xml:space="preserve"> requirement of judicial oversight in s 26 of the Constitution must be viewed in light of South Africa’s history of forced removals and racist evictions during apartheid and the need to protect security of tenure of all South Africans</w:t>
      </w:r>
      <w:r w:rsidR="00810D73">
        <w:rPr>
          <w:rFonts w:ascii="Arial" w:hAnsi="Arial" w:cs="Arial"/>
          <w:i/>
          <w:iCs/>
          <w:sz w:val="24"/>
          <w:szCs w:val="24"/>
        </w:rPr>
        <w:t>”</w:t>
      </w:r>
    </w:p>
    <w:p w14:paraId="3CCB61F3" w14:textId="7F929331" w:rsidR="00D87195" w:rsidRPr="004404F2" w:rsidRDefault="004404F2" w:rsidP="00461BDE">
      <w:pPr>
        <w:spacing w:line="360" w:lineRule="auto"/>
        <w:jc w:val="both"/>
        <w:rPr>
          <w:rFonts w:ascii="Arial" w:hAnsi="Arial" w:cs="Arial"/>
          <w:b/>
          <w:bCs/>
          <w:sz w:val="24"/>
          <w:szCs w:val="24"/>
        </w:rPr>
      </w:pPr>
      <w:r w:rsidRPr="004404F2">
        <w:rPr>
          <w:rFonts w:ascii="Arial" w:hAnsi="Arial" w:cs="Arial"/>
          <w:b/>
          <w:bCs/>
          <w:sz w:val="24"/>
          <w:szCs w:val="24"/>
        </w:rPr>
        <w:t xml:space="preserve">Conclusion </w:t>
      </w:r>
    </w:p>
    <w:p w14:paraId="58FAF9E9" w14:textId="2FF652F1" w:rsidR="00505F8E" w:rsidRDefault="003D549C" w:rsidP="00461BDE">
      <w:pPr>
        <w:spacing w:line="360" w:lineRule="auto"/>
        <w:jc w:val="both"/>
        <w:rPr>
          <w:rFonts w:ascii="Arial" w:hAnsi="Arial" w:cs="Arial"/>
          <w:sz w:val="24"/>
          <w:szCs w:val="24"/>
          <w:lang w:val="en-US"/>
        </w:rPr>
      </w:pPr>
      <w:r>
        <w:rPr>
          <w:rFonts w:ascii="Arial" w:hAnsi="Arial" w:cs="Arial"/>
          <w:iCs/>
          <w:sz w:val="24"/>
          <w:szCs w:val="24"/>
          <w:lang w:val="en-US"/>
        </w:rPr>
        <w:t>[3</w:t>
      </w:r>
      <w:r w:rsidR="00953BBC">
        <w:rPr>
          <w:rFonts w:ascii="Arial" w:hAnsi="Arial" w:cs="Arial"/>
          <w:iCs/>
          <w:sz w:val="24"/>
          <w:szCs w:val="24"/>
          <w:lang w:val="en-US"/>
        </w:rPr>
        <w:t>2</w:t>
      </w:r>
      <w:r w:rsidR="004404F2" w:rsidRPr="003D549C">
        <w:rPr>
          <w:rFonts w:ascii="Arial" w:hAnsi="Arial" w:cs="Arial"/>
          <w:iCs/>
          <w:sz w:val="24"/>
          <w:szCs w:val="24"/>
          <w:lang w:val="en-US"/>
        </w:rPr>
        <w:t>]</w:t>
      </w:r>
      <w:r w:rsidR="004404F2">
        <w:rPr>
          <w:rFonts w:ascii="Arial" w:hAnsi="Arial" w:cs="Arial"/>
          <w:i/>
          <w:iCs/>
          <w:sz w:val="24"/>
          <w:szCs w:val="24"/>
          <w:lang w:val="en-US"/>
        </w:rPr>
        <w:t xml:space="preserve"> </w:t>
      </w:r>
      <w:r w:rsidR="004404F2" w:rsidRPr="004404F2">
        <w:rPr>
          <w:rFonts w:ascii="Arial" w:hAnsi="Arial" w:cs="Arial"/>
          <w:sz w:val="24"/>
          <w:szCs w:val="24"/>
          <w:lang w:val="en-US"/>
        </w:rPr>
        <w:t>Having considered the matter and all factors that were placed before the court I am of the view that default judgment be granted in favour of the Applicant and that to ameliorate the hardship that the Respondent m</w:t>
      </w:r>
      <w:r w:rsidR="004E29E8">
        <w:rPr>
          <w:rFonts w:ascii="Arial" w:hAnsi="Arial" w:cs="Arial"/>
          <w:sz w:val="24"/>
          <w:szCs w:val="24"/>
          <w:lang w:val="en-US"/>
        </w:rPr>
        <w:t>a</w:t>
      </w:r>
      <w:r w:rsidR="004404F2" w:rsidRPr="004404F2">
        <w:rPr>
          <w:rFonts w:ascii="Arial" w:hAnsi="Arial" w:cs="Arial"/>
          <w:sz w:val="24"/>
          <w:szCs w:val="24"/>
          <w:lang w:val="en-US"/>
        </w:rPr>
        <w:t>y endure</w:t>
      </w:r>
      <w:r w:rsidR="00685BA8">
        <w:rPr>
          <w:rFonts w:ascii="Arial" w:hAnsi="Arial" w:cs="Arial"/>
          <w:sz w:val="24"/>
          <w:szCs w:val="24"/>
          <w:lang w:val="en-US"/>
        </w:rPr>
        <w:t>,</w:t>
      </w:r>
      <w:r w:rsidR="004404F2" w:rsidRPr="004404F2">
        <w:rPr>
          <w:rFonts w:ascii="Arial" w:hAnsi="Arial" w:cs="Arial"/>
          <w:sz w:val="24"/>
          <w:szCs w:val="24"/>
          <w:lang w:val="en-US"/>
        </w:rPr>
        <w:t xml:space="preserve"> that a reserve price be set. It is my considered view that postponing the matter further will not serve the interests of any </w:t>
      </w:r>
      <w:r w:rsidR="00685BA8">
        <w:rPr>
          <w:rFonts w:ascii="Arial" w:hAnsi="Arial" w:cs="Arial"/>
          <w:sz w:val="24"/>
          <w:szCs w:val="24"/>
          <w:lang w:val="en-US"/>
        </w:rPr>
        <w:t>of the parties</w:t>
      </w:r>
      <w:r w:rsidR="004404F2" w:rsidRPr="004404F2">
        <w:rPr>
          <w:rFonts w:ascii="Arial" w:hAnsi="Arial" w:cs="Arial"/>
          <w:sz w:val="24"/>
          <w:szCs w:val="24"/>
          <w:lang w:val="en-US"/>
        </w:rPr>
        <w:t xml:space="preserve"> in this matter.</w:t>
      </w:r>
      <w:r w:rsidR="009C46BE">
        <w:rPr>
          <w:rFonts w:ascii="Arial" w:hAnsi="Arial" w:cs="Arial"/>
          <w:sz w:val="24"/>
          <w:szCs w:val="24"/>
          <w:lang w:val="en-US"/>
        </w:rPr>
        <w:t xml:space="preserve"> As indicated above the arrears have continued to rise since the litigation started.</w:t>
      </w:r>
    </w:p>
    <w:p w14:paraId="4BBF1A04" w14:textId="0EB40F14" w:rsidR="003C2DFC" w:rsidRPr="00E76312" w:rsidRDefault="00953BBC" w:rsidP="00CB135D">
      <w:pPr>
        <w:spacing w:line="360" w:lineRule="auto"/>
        <w:jc w:val="both"/>
        <w:rPr>
          <w:rFonts w:ascii="Arial" w:hAnsi="Arial" w:cs="Arial"/>
          <w:sz w:val="24"/>
          <w:szCs w:val="24"/>
          <w:lang w:val="en-US"/>
        </w:rPr>
      </w:pPr>
      <w:r>
        <w:rPr>
          <w:rFonts w:ascii="Arial" w:hAnsi="Arial" w:cs="Arial"/>
          <w:sz w:val="24"/>
          <w:szCs w:val="24"/>
          <w:lang w:val="en-US"/>
        </w:rPr>
        <w:t xml:space="preserve">[33] </w:t>
      </w:r>
      <w:r w:rsidR="00685BA8">
        <w:rPr>
          <w:rFonts w:ascii="Arial" w:hAnsi="Arial" w:cs="Arial"/>
          <w:sz w:val="24"/>
          <w:szCs w:val="24"/>
          <w:lang w:val="en-US"/>
        </w:rPr>
        <w:t>I</w:t>
      </w:r>
      <w:r>
        <w:rPr>
          <w:rFonts w:ascii="Arial" w:hAnsi="Arial" w:cs="Arial"/>
          <w:sz w:val="24"/>
          <w:szCs w:val="24"/>
          <w:lang w:val="en-US"/>
        </w:rPr>
        <w:t xml:space="preserve">n setting the reserve price the court </w:t>
      </w:r>
      <w:r w:rsidR="004F1DB5">
        <w:rPr>
          <w:rFonts w:ascii="Arial" w:hAnsi="Arial" w:cs="Arial"/>
          <w:sz w:val="24"/>
          <w:szCs w:val="24"/>
          <w:lang w:val="en-US"/>
        </w:rPr>
        <w:t xml:space="preserve">had regard to the market value of the property, which according </w:t>
      </w:r>
      <w:r w:rsidR="00685BA8">
        <w:rPr>
          <w:rFonts w:ascii="Arial" w:hAnsi="Arial" w:cs="Arial"/>
          <w:sz w:val="24"/>
          <w:szCs w:val="24"/>
          <w:lang w:val="en-US"/>
        </w:rPr>
        <w:t>to</w:t>
      </w:r>
      <w:r w:rsidR="004F1DB5">
        <w:rPr>
          <w:rFonts w:ascii="Arial" w:hAnsi="Arial" w:cs="Arial"/>
          <w:sz w:val="24"/>
          <w:szCs w:val="24"/>
          <w:lang w:val="en-US"/>
        </w:rPr>
        <w:t xml:space="preserve"> the Applicant</w:t>
      </w:r>
      <w:r w:rsidR="00685BA8">
        <w:rPr>
          <w:rFonts w:ascii="Arial" w:hAnsi="Arial" w:cs="Arial"/>
          <w:sz w:val="24"/>
          <w:szCs w:val="24"/>
          <w:lang w:val="en-US"/>
        </w:rPr>
        <w:t xml:space="preserve"> </w:t>
      </w:r>
      <w:r w:rsidR="009C46BE">
        <w:rPr>
          <w:rFonts w:ascii="Arial" w:hAnsi="Arial" w:cs="Arial"/>
          <w:sz w:val="24"/>
          <w:szCs w:val="24"/>
          <w:lang w:val="en-US"/>
        </w:rPr>
        <w:t>is about</w:t>
      </w:r>
      <w:r w:rsidR="00685BA8">
        <w:rPr>
          <w:rFonts w:ascii="Arial" w:hAnsi="Arial" w:cs="Arial"/>
          <w:sz w:val="24"/>
          <w:szCs w:val="24"/>
          <w:lang w:val="en-US"/>
        </w:rPr>
        <w:t xml:space="preserve"> R 780 000.00</w:t>
      </w:r>
      <w:r w:rsidR="004F1DB5">
        <w:rPr>
          <w:rFonts w:ascii="Arial" w:hAnsi="Arial" w:cs="Arial"/>
          <w:sz w:val="24"/>
          <w:szCs w:val="24"/>
          <w:lang w:val="en-US"/>
        </w:rPr>
        <w:t xml:space="preserve">, the municipality evaluation of the property which is R 606 000. The </w:t>
      </w:r>
      <w:r w:rsidR="00685BA8">
        <w:rPr>
          <w:rFonts w:ascii="Arial" w:hAnsi="Arial" w:cs="Arial"/>
          <w:sz w:val="24"/>
          <w:szCs w:val="24"/>
          <w:lang w:val="en-US"/>
        </w:rPr>
        <w:t xml:space="preserve">amount owing as rates and taxes which </w:t>
      </w:r>
      <w:r w:rsidR="009C46BE">
        <w:rPr>
          <w:rFonts w:ascii="Arial" w:hAnsi="Arial" w:cs="Arial"/>
          <w:sz w:val="24"/>
          <w:szCs w:val="24"/>
          <w:lang w:val="en-US"/>
        </w:rPr>
        <w:t>is currently about</w:t>
      </w:r>
      <w:r w:rsidR="00685BA8">
        <w:rPr>
          <w:rFonts w:ascii="Arial" w:hAnsi="Arial" w:cs="Arial"/>
          <w:sz w:val="24"/>
          <w:szCs w:val="24"/>
          <w:lang w:val="en-US"/>
        </w:rPr>
        <w:t xml:space="preserve"> R 15 579.77</w:t>
      </w:r>
      <w:r w:rsidR="00E76312">
        <w:rPr>
          <w:rFonts w:ascii="Arial" w:hAnsi="Arial" w:cs="Arial"/>
          <w:sz w:val="24"/>
          <w:szCs w:val="24"/>
          <w:lang w:val="en-US"/>
        </w:rPr>
        <w:t xml:space="preserve">. The reserve price has been set at 70% of all outstanding amounts quoted herein. </w:t>
      </w:r>
    </w:p>
    <w:p w14:paraId="3C8C19AC" w14:textId="4250FD95" w:rsidR="004C625D" w:rsidRDefault="00CB135D" w:rsidP="004C625D">
      <w:pPr>
        <w:spacing w:line="360" w:lineRule="auto"/>
        <w:jc w:val="both"/>
        <w:rPr>
          <w:rFonts w:ascii="Arial" w:hAnsi="Arial" w:cs="Arial"/>
          <w:b/>
          <w:bCs/>
          <w:sz w:val="24"/>
          <w:szCs w:val="24"/>
        </w:rPr>
      </w:pPr>
      <w:r w:rsidRPr="00CB135D">
        <w:rPr>
          <w:rFonts w:ascii="Arial" w:hAnsi="Arial" w:cs="Arial"/>
          <w:b/>
          <w:bCs/>
          <w:sz w:val="24"/>
          <w:szCs w:val="24"/>
          <w:lang w:val="en-US"/>
        </w:rPr>
        <w:t xml:space="preserve"> </w:t>
      </w:r>
      <w:r w:rsidR="002F3C3C">
        <w:rPr>
          <w:rFonts w:ascii="Arial" w:hAnsi="Arial" w:cs="Arial"/>
          <w:b/>
          <w:bCs/>
          <w:sz w:val="24"/>
          <w:szCs w:val="24"/>
          <w:lang w:val="en-US"/>
        </w:rPr>
        <w:t>J</w:t>
      </w:r>
      <w:r w:rsidRPr="00CB135D">
        <w:rPr>
          <w:rFonts w:ascii="Arial" w:hAnsi="Arial" w:cs="Arial"/>
          <w:b/>
          <w:bCs/>
          <w:sz w:val="24"/>
          <w:szCs w:val="24"/>
          <w:lang w:val="en-US"/>
        </w:rPr>
        <w:t xml:space="preserve">udgment is granted against </w:t>
      </w:r>
      <w:r w:rsidRPr="00CB135D">
        <w:rPr>
          <w:rFonts w:ascii="Arial" w:hAnsi="Arial" w:cs="Arial"/>
          <w:b/>
          <w:bCs/>
          <w:sz w:val="24"/>
          <w:szCs w:val="24"/>
        </w:rPr>
        <w:t>the Respondent, in the following terms:</w:t>
      </w:r>
    </w:p>
    <w:p w14:paraId="4E1E10C3" w14:textId="77777777" w:rsidR="004C625D" w:rsidRPr="004C625D" w:rsidRDefault="004C625D" w:rsidP="004C625D">
      <w:pPr>
        <w:pStyle w:val="ListParagraph"/>
        <w:numPr>
          <w:ilvl w:val="0"/>
          <w:numId w:val="3"/>
        </w:numPr>
        <w:spacing w:line="360" w:lineRule="auto"/>
        <w:jc w:val="both"/>
        <w:rPr>
          <w:rFonts w:ascii="Arial" w:hAnsi="Arial" w:cs="Arial"/>
          <w:b/>
          <w:bCs/>
          <w:sz w:val="24"/>
          <w:szCs w:val="24"/>
        </w:rPr>
      </w:pPr>
      <w:r>
        <w:rPr>
          <w:rFonts w:ascii="Arial" w:hAnsi="Arial" w:cs="Arial"/>
          <w:sz w:val="24"/>
          <w:szCs w:val="24"/>
          <w:lang w:val="en-US"/>
        </w:rPr>
        <w:t xml:space="preserve">Payment </w:t>
      </w:r>
      <w:r w:rsidRPr="004C625D">
        <w:rPr>
          <w:rFonts w:ascii="Arial" w:hAnsi="Arial" w:cs="Arial"/>
          <w:sz w:val="24"/>
          <w:szCs w:val="24"/>
          <w:lang w:val="en-US"/>
        </w:rPr>
        <w:t>of</w:t>
      </w:r>
      <w:r w:rsidR="00CB135D" w:rsidRPr="004C625D">
        <w:rPr>
          <w:rFonts w:ascii="Arial" w:hAnsi="Arial" w:cs="Arial"/>
          <w:sz w:val="24"/>
          <w:szCs w:val="24"/>
          <w:lang w:val="en-US"/>
        </w:rPr>
        <w:t xml:space="preserve"> the sum of R631,293.19;</w:t>
      </w:r>
    </w:p>
    <w:p w14:paraId="7016A572" w14:textId="2C442A78" w:rsidR="00CB135D" w:rsidRPr="004C625D" w:rsidRDefault="00CB135D" w:rsidP="004C625D">
      <w:pPr>
        <w:pStyle w:val="ListParagraph"/>
        <w:numPr>
          <w:ilvl w:val="0"/>
          <w:numId w:val="3"/>
        </w:numPr>
        <w:spacing w:line="360" w:lineRule="auto"/>
        <w:jc w:val="both"/>
        <w:rPr>
          <w:rFonts w:ascii="Arial" w:hAnsi="Arial" w:cs="Arial"/>
          <w:b/>
          <w:bCs/>
          <w:sz w:val="24"/>
          <w:szCs w:val="24"/>
        </w:rPr>
      </w:pPr>
      <w:r w:rsidRPr="004C625D">
        <w:rPr>
          <w:rFonts w:ascii="Arial" w:hAnsi="Arial" w:cs="Arial"/>
          <w:sz w:val="24"/>
          <w:szCs w:val="24"/>
          <w:lang w:val="en-US"/>
        </w:rPr>
        <w:t>Interest on the aforesaid amount at the rate of 10.35% per annum, calculated daily and compounded monthly, from</w:t>
      </w:r>
      <w:r w:rsidRPr="004C625D">
        <w:rPr>
          <w:rFonts w:ascii="Arial" w:hAnsi="Arial" w:cs="Arial"/>
          <w:i/>
          <w:sz w:val="24"/>
          <w:szCs w:val="24"/>
          <w:lang w:val="en-US"/>
        </w:rPr>
        <w:t xml:space="preserve"> </w:t>
      </w:r>
      <w:r w:rsidRPr="004C625D">
        <w:rPr>
          <w:rFonts w:ascii="Arial" w:hAnsi="Arial" w:cs="Arial"/>
          <w:sz w:val="24"/>
          <w:szCs w:val="24"/>
          <w:lang w:val="en-US"/>
        </w:rPr>
        <w:t>25 February 2021 to date of payment, both days inclusive;</w:t>
      </w:r>
    </w:p>
    <w:p w14:paraId="1F55F531" w14:textId="42EEE050" w:rsidR="00CB135D" w:rsidRPr="00CB135D" w:rsidRDefault="00CB135D" w:rsidP="003D549C">
      <w:pPr>
        <w:numPr>
          <w:ilvl w:val="0"/>
          <w:numId w:val="3"/>
        </w:numPr>
        <w:tabs>
          <w:tab w:val="num" w:pos="567"/>
        </w:tabs>
        <w:spacing w:line="360" w:lineRule="auto"/>
        <w:ind w:hanging="654"/>
        <w:jc w:val="both"/>
        <w:rPr>
          <w:rFonts w:ascii="Arial" w:hAnsi="Arial" w:cs="Arial"/>
          <w:sz w:val="24"/>
          <w:szCs w:val="24"/>
          <w:lang w:val="en-US"/>
        </w:rPr>
      </w:pPr>
      <w:r w:rsidRPr="00CB135D">
        <w:rPr>
          <w:rFonts w:ascii="Arial" w:hAnsi="Arial" w:cs="Arial"/>
          <w:sz w:val="24"/>
          <w:szCs w:val="24"/>
          <w:lang w:val="en-GB"/>
        </w:rPr>
        <w:lastRenderedPageBreak/>
        <w:t xml:space="preserve">An order declaring </w:t>
      </w:r>
      <w:r w:rsidR="00963F04">
        <w:rPr>
          <w:rFonts w:ascii="Arial" w:hAnsi="Arial" w:cs="Arial"/>
          <w:sz w:val="24"/>
          <w:szCs w:val="24"/>
          <w:lang w:val="en-US"/>
        </w:rPr>
        <w:t>ERF […]</w:t>
      </w:r>
      <w:r w:rsidRPr="00CB135D">
        <w:rPr>
          <w:rFonts w:ascii="Arial" w:hAnsi="Arial" w:cs="Arial"/>
          <w:sz w:val="24"/>
          <w:szCs w:val="24"/>
          <w:lang w:val="en-US"/>
        </w:rPr>
        <w:t xml:space="preserve"> COS</w:t>
      </w:r>
      <w:r w:rsidR="003D549C">
        <w:rPr>
          <w:rFonts w:ascii="Arial" w:hAnsi="Arial" w:cs="Arial"/>
          <w:sz w:val="24"/>
          <w:szCs w:val="24"/>
          <w:lang w:val="en-US"/>
        </w:rPr>
        <w:t>MO CITY EXTENSION 7 TOWNSHIP, RE</w:t>
      </w:r>
      <w:r w:rsidRPr="00CB135D">
        <w:rPr>
          <w:rFonts w:ascii="Arial" w:hAnsi="Arial" w:cs="Arial"/>
          <w:sz w:val="24"/>
          <w:szCs w:val="24"/>
          <w:lang w:val="en-US"/>
        </w:rPr>
        <w:t xml:space="preserve">GISTRATION DIVISION I.Q., THE PROVINCE OF GAUTENG, MEASURING 280 (TWO HUNDRED AND EIGHTY) SQUARE METRES held by the Defendant under deed of transfer T25174/2015 </w:t>
      </w:r>
      <w:r w:rsidRPr="00CB135D">
        <w:rPr>
          <w:rFonts w:ascii="Arial" w:hAnsi="Arial" w:cs="Arial"/>
          <w:sz w:val="24"/>
          <w:szCs w:val="24"/>
          <w:lang w:val="en-GB"/>
        </w:rPr>
        <w:t xml:space="preserve">executable for the said </w:t>
      </w:r>
      <w:r w:rsidR="004C625D" w:rsidRPr="00CB135D">
        <w:rPr>
          <w:rFonts w:ascii="Arial" w:hAnsi="Arial" w:cs="Arial"/>
          <w:sz w:val="24"/>
          <w:szCs w:val="24"/>
          <w:lang w:val="en-GB"/>
        </w:rPr>
        <w:t>sum</w:t>
      </w:r>
      <w:r w:rsidR="004C625D" w:rsidRPr="00CB135D">
        <w:rPr>
          <w:rFonts w:ascii="Arial" w:hAnsi="Arial" w:cs="Arial"/>
          <w:sz w:val="24"/>
          <w:szCs w:val="24"/>
          <w:lang w:val="en-US"/>
        </w:rPr>
        <w:t>.</w:t>
      </w:r>
    </w:p>
    <w:p w14:paraId="3FAC1BDD" w14:textId="5BB81DBA" w:rsidR="00CB135D" w:rsidRPr="00CB135D" w:rsidRDefault="00CB135D" w:rsidP="00CB135D">
      <w:pPr>
        <w:numPr>
          <w:ilvl w:val="0"/>
          <w:numId w:val="4"/>
        </w:numPr>
        <w:spacing w:line="360" w:lineRule="auto"/>
        <w:jc w:val="both"/>
        <w:rPr>
          <w:rFonts w:ascii="Arial" w:hAnsi="Arial" w:cs="Arial"/>
          <w:sz w:val="24"/>
          <w:szCs w:val="24"/>
          <w:lang w:val="en-US"/>
        </w:rPr>
      </w:pPr>
      <w:r w:rsidRPr="00CB135D">
        <w:rPr>
          <w:rFonts w:ascii="Arial" w:hAnsi="Arial" w:cs="Arial"/>
          <w:sz w:val="24"/>
          <w:szCs w:val="24"/>
          <w:lang w:val="en-US"/>
        </w:rPr>
        <w:t xml:space="preserve">that the property referred to in </w:t>
      </w:r>
      <w:r w:rsidR="00AB6356">
        <w:rPr>
          <w:rFonts w:ascii="Arial" w:hAnsi="Arial" w:cs="Arial"/>
          <w:sz w:val="24"/>
          <w:szCs w:val="24"/>
          <w:lang w:val="en-US"/>
        </w:rPr>
        <w:t>(3)</w:t>
      </w:r>
      <w:r w:rsidRPr="00CB135D">
        <w:rPr>
          <w:rFonts w:ascii="Arial" w:hAnsi="Arial" w:cs="Arial"/>
          <w:sz w:val="24"/>
          <w:szCs w:val="24"/>
          <w:lang w:val="en-US"/>
        </w:rPr>
        <w:t xml:space="preserve"> above may be sold by the sheriff of the High Court subject to a reserve price of R</w:t>
      </w:r>
      <w:r w:rsidR="00AB6356">
        <w:rPr>
          <w:rFonts w:ascii="Arial" w:hAnsi="Arial" w:cs="Arial"/>
          <w:sz w:val="24"/>
          <w:szCs w:val="24"/>
          <w:lang w:val="en-US"/>
        </w:rPr>
        <w:t xml:space="preserve"> 469 520. 00</w:t>
      </w:r>
      <w:r w:rsidRPr="00CB135D">
        <w:rPr>
          <w:rFonts w:ascii="Arial" w:hAnsi="Arial" w:cs="Arial"/>
          <w:sz w:val="24"/>
          <w:szCs w:val="24"/>
          <w:lang w:val="en-US"/>
        </w:rPr>
        <w:t>; and</w:t>
      </w:r>
    </w:p>
    <w:p w14:paraId="48B5B691" w14:textId="483FF584" w:rsidR="00CB135D" w:rsidRPr="00CB135D" w:rsidRDefault="00CB135D" w:rsidP="00CB135D">
      <w:pPr>
        <w:numPr>
          <w:ilvl w:val="0"/>
          <w:numId w:val="4"/>
        </w:numPr>
        <w:spacing w:line="360" w:lineRule="auto"/>
        <w:jc w:val="both"/>
        <w:rPr>
          <w:rFonts w:ascii="Arial" w:hAnsi="Arial" w:cs="Arial"/>
          <w:sz w:val="24"/>
          <w:szCs w:val="24"/>
          <w:lang w:val="en-US"/>
        </w:rPr>
      </w:pPr>
      <w:r w:rsidRPr="00CB135D">
        <w:rPr>
          <w:rFonts w:ascii="Arial" w:hAnsi="Arial" w:cs="Arial"/>
          <w:sz w:val="24"/>
          <w:szCs w:val="24"/>
          <w:lang w:val="en-US"/>
        </w:rPr>
        <w:t xml:space="preserve">if the reserve price is not achieved at the first sale in execution, then and in that event, the property referred to in </w:t>
      </w:r>
      <w:r w:rsidR="00AB6356">
        <w:rPr>
          <w:rFonts w:ascii="Arial" w:hAnsi="Arial" w:cs="Arial"/>
          <w:sz w:val="24"/>
          <w:szCs w:val="24"/>
          <w:lang w:val="en-US"/>
        </w:rPr>
        <w:t>(3</w:t>
      </w:r>
      <w:r w:rsidRPr="00CB135D">
        <w:rPr>
          <w:rFonts w:ascii="Arial" w:hAnsi="Arial" w:cs="Arial"/>
          <w:sz w:val="24"/>
          <w:szCs w:val="24"/>
          <w:lang w:val="en-US"/>
        </w:rPr>
        <w:t>) above may be sold by the sheriff of the High Court at any subsequent sale in execution to be held on a different day to the highest bidder without a reserve price</w:t>
      </w:r>
      <w:r w:rsidRPr="00CB135D">
        <w:rPr>
          <w:rFonts w:ascii="Arial" w:hAnsi="Arial" w:cs="Arial"/>
          <w:sz w:val="24"/>
          <w:szCs w:val="24"/>
          <w:lang w:val="en-GB"/>
        </w:rPr>
        <w:t>;</w:t>
      </w:r>
    </w:p>
    <w:p w14:paraId="7E29A4E0" w14:textId="77777777" w:rsidR="00CB135D" w:rsidRPr="00CB135D" w:rsidRDefault="00CB135D" w:rsidP="00CB135D">
      <w:pPr>
        <w:numPr>
          <w:ilvl w:val="0"/>
          <w:numId w:val="3"/>
        </w:numPr>
        <w:spacing w:line="360" w:lineRule="auto"/>
        <w:jc w:val="both"/>
        <w:rPr>
          <w:rFonts w:ascii="Arial" w:hAnsi="Arial" w:cs="Arial"/>
          <w:sz w:val="24"/>
          <w:szCs w:val="24"/>
          <w:lang w:val="en-US"/>
        </w:rPr>
      </w:pPr>
      <w:r w:rsidRPr="00CB135D">
        <w:rPr>
          <w:rFonts w:ascii="Arial" w:hAnsi="Arial" w:cs="Arial"/>
          <w:sz w:val="24"/>
          <w:szCs w:val="24"/>
          <w:lang w:val="en-US"/>
        </w:rPr>
        <w:t>Costs of suit on an attorney and client scale;</w:t>
      </w:r>
    </w:p>
    <w:p w14:paraId="1EA71B2A" w14:textId="77777777" w:rsidR="00CB135D" w:rsidRPr="00CB135D" w:rsidRDefault="00CB135D" w:rsidP="00CB135D">
      <w:pPr>
        <w:numPr>
          <w:ilvl w:val="0"/>
          <w:numId w:val="3"/>
        </w:numPr>
        <w:spacing w:line="360" w:lineRule="auto"/>
        <w:jc w:val="both"/>
        <w:rPr>
          <w:rFonts w:ascii="Arial" w:hAnsi="Arial" w:cs="Arial"/>
          <w:sz w:val="24"/>
          <w:szCs w:val="24"/>
          <w:lang w:val="en-US"/>
        </w:rPr>
      </w:pPr>
      <w:r w:rsidRPr="00CB135D">
        <w:rPr>
          <w:rFonts w:ascii="Arial" w:hAnsi="Arial" w:cs="Arial"/>
          <w:sz w:val="24"/>
          <w:szCs w:val="24"/>
          <w:lang w:val="en-GB"/>
        </w:rPr>
        <w:t>The Registrar of this court is directed to issue a writ of attachment to enable the Sheriff to attach the aforesaid property, in satisfaction of the judgment debt, interest and costs.</w:t>
      </w:r>
    </w:p>
    <w:p w14:paraId="0BC9E26B" w14:textId="77777777" w:rsidR="00CB135D" w:rsidRPr="00CB135D" w:rsidRDefault="00CB135D" w:rsidP="00CB135D">
      <w:pPr>
        <w:numPr>
          <w:ilvl w:val="0"/>
          <w:numId w:val="3"/>
        </w:numPr>
        <w:spacing w:line="360" w:lineRule="auto"/>
        <w:jc w:val="both"/>
        <w:rPr>
          <w:rFonts w:ascii="Arial" w:hAnsi="Arial" w:cs="Arial"/>
          <w:sz w:val="24"/>
          <w:szCs w:val="24"/>
          <w:lang w:val="en-US"/>
        </w:rPr>
      </w:pPr>
      <w:r w:rsidRPr="00CB135D">
        <w:rPr>
          <w:rFonts w:ascii="Arial" w:hAnsi="Arial" w:cs="Arial"/>
          <w:sz w:val="24"/>
          <w:szCs w:val="24"/>
          <w:lang w:val="en-GB"/>
        </w:rPr>
        <w:t>The Respondent is advised that the provisions of Section 129(3) and (4) of the National Credit Act, 34 of 2005, apply to the judgment granted in this matter. The Respondent may prevent the sale of the property as aforesaid if they pay to the Applicant all of the arrear amounts owing by the Respondent to the Applicant together with all enforcement costs and default charges prior to the property being sold in execution.</w:t>
      </w:r>
    </w:p>
    <w:p w14:paraId="5AFFD346" w14:textId="7BEFF2C5" w:rsidR="00CB135D" w:rsidRPr="00CB135D" w:rsidRDefault="00CB135D" w:rsidP="00CB135D">
      <w:pPr>
        <w:numPr>
          <w:ilvl w:val="0"/>
          <w:numId w:val="3"/>
        </w:numPr>
        <w:spacing w:line="360" w:lineRule="auto"/>
        <w:jc w:val="both"/>
        <w:rPr>
          <w:rFonts w:ascii="Arial" w:hAnsi="Arial" w:cs="Arial"/>
          <w:sz w:val="24"/>
          <w:szCs w:val="24"/>
          <w:lang w:val="en-US"/>
        </w:rPr>
      </w:pPr>
      <w:r w:rsidRPr="00CB135D">
        <w:rPr>
          <w:rFonts w:ascii="Arial" w:hAnsi="Arial" w:cs="Arial"/>
          <w:sz w:val="24"/>
          <w:szCs w:val="24"/>
          <w:lang w:val="en-GB"/>
        </w:rPr>
        <w:t xml:space="preserve">The arrears amounts and the enforcement costs referred to in paragraph </w:t>
      </w:r>
      <w:r w:rsidR="00AB6356">
        <w:rPr>
          <w:rFonts w:ascii="Arial" w:hAnsi="Arial" w:cs="Arial"/>
          <w:sz w:val="24"/>
          <w:szCs w:val="24"/>
          <w:lang w:val="en-GB"/>
        </w:rPr>
        <w:t xml:space="preserve">(6) </w:t>
      </w:r>
      <w:r w:rsidRPr="00CB135D">
        <w:rPr>
          <w:rFonts w:ascii="Arial" w:hAnsi="Arial" w:cs="Arial"/>
          <w:sz w:val="24"/>
          <w:szCs w:val="24"/>
          <w:lang w:val="en-GB"/>
        </w:rPr>
        <w:t>above, may be obtained from the Applicant. The Respondent is advised that the arrear amount is not the full amount of the judgment debt, but the arrear amount owing by the Respondent to the Applicant, without reference to the accelerated amount.</w:t>
      </w:r>
    </w:p>
    <w:p w14:paraId="539A8AC1" w14:textId="77777777" w:rsidR="00963253" w:rsidRDefault="00963253" w:rsidP="00963253">
      <w:pPr>
        <w:spacing w:line="360" w:lineRule="auto"/>
        <w:rPr>
          <w:rFonts w:ascii="Arial" w:hAnsi="Arial" w:cs="Arial"/>
          <w:sz w:val="24"/>
          <w:szCs w:val="24"/>
          <w:lang w:val="en-GB"/>
        </w:rPr>
      </w:pPr>
    </w:p>
    <w:p w14:paraId="1289CDA0" w14:textId="00AEF687" w:rsidR="00963253" w:rsidRDefault="00963253" w:rsidP="00963253">
      <w:pPr>
        <w:spacing w:line="360" w:lineRule="auto"/>
        <w:jc w:val="right"/>
        <w:rPr>
          <w:rFonts w:ascii="Arial" w:hAnsi="Arial" w:cs="Arial"/>
          <w:sz w:val="24"/>
          <w:szCs w:val="24"/>
          <w:lang w:val="en-GB"/>
        </w:rPr>
      </w:pPr>
      <w:r>
        <w:rPr>
          <w:rFonts w:ascii="Arial" w:hAnsi="Arial" w:cs="Arial"/>
          <w:sz w:val="24"/>
          <w:szCs w:val="24"/>
          <w:lang w:val="en-GB"/>
        </w:rPr>
        <w:t>____________________</w:t>
      </w:r>
    </w:p>
    <w:p w14:paraId="2136F17A" w14:textId="61A503A5" w:rsidR="003C2DFC" w:rsidRPr="00963253" w:rsidRDefault="003C2DFC" w:rsidP="00963253">
      <w:pPr>
        <w:spacing w:line="360" w:lineRule="auto"/>
        <w:jc w:val="right"/>
        <w:rPr>
          <w:rFonts w:ascii="Arial" w:hAnsi="Arial" w:cs="Arial"/>
          <w:b/>
          <w:sz w:val="24"/>
          <w:szCs w:val="24"/>
          <w:lang w:val="en-US"/>
        </w:rPr>
      </w:pPr>
      <w:r w:rsidRPr="00963253">
        <w:rPr>
          <w:rFonts w:ascii="Arial" w:hAnsi="Arial" w:cs="Arial"/>
          <w:b/>
          <w:sz w:val="24"/>
          <w:szCs w:val="24"/>
          <w:lang w:val="en-US"/>
        </w:rPr>
        <w:t>Thupaatlase AJ</w:t>
      </w:r>
    </w:p>
    <w:p w14:paraId="7577B1A7" w14:textId="0BE74E41" w:rsidR="000F221F" w:rsidRDefault="000F221F" w:rsidP="003C2DFC">
      <w:pPr>
        <w:spacing w:line="360" w:lineRule="auto"/>
        <w:jc w:val="center"/>
        <w:rPr>
          <w:rFonts w:ascii="Arial" w:hAnsi="Arial" w:cs="Arial"/>
          <w:sz w:val="24"/>
          <w:szCs w:val="24"/>
          <w:lang w:val="en-US"/>
        </w:rPr>
      </w:pPr>
    </w:p>
    <w:p w14:paraId="43B1CD62" w14:textId="2CB3315B" w:rsidR="000F221F" w:rsidRDefault="000F221F" w:rsidP="003C2DFC">
      <w:pPr>
        <w:spacing w:line="360" w:lineRule="auto"/>
        <w:jc w:val="center"/>
        <w:rPr>
          <w:rFonts w:ascii="Arial" w:hAnsi="Arial" w:cs="Arial"/>
          <w:sz w:val="24"/>
          <w:szCs w:val="24"/>
          <w:lang w:val="en-US"/>
        </w:rPr>
      </w:pPr>
    </w:p>
    <w:p w14:paraId="717947A6" w14:textId="77777777" w:rsidR="009C46BE" w:rsidRDefault="009C46BE" w:rsidP="003C2DFC">
      <w:pPr>
        <w:spacing w:line="360" w:lineRule="auto"/>
        <w:jc w:val="center"/>
        <w:rPr>
          <w:rFonts w:ascii="Arial" w:hAnsi="Arial" w:cs="Arial"/>
          <w:sz w:val="24"/>
          <w:szCs w:val="24"/>
          <w:lang w:val="en-US"/>
        </w:rPr>
      </w:pPr>
    </w:p>
    <w:p w14:paraId="68A997BF" w14:textId="3F5F5A46" w:rsidR="000F221F" w:rsidRDefault="00AE2E16" w:rsidP="000F221F">
      <w:pPr>
        <w:spacing w:line="360" w:lineRule="auto"/>
        <w:rPr>
          <w:rFonts w:ascii="Arial" w:hAnsi="Arial" w:cs="Arial"/>
          <w:sz w:val="24"/>
          <w:szCs w:val="24"/>
          <w:lang w:val="en-US"/>
        </w:rPr>
      </w:pPr>
      <w:r>
        <w:rPr>
          <w:rFonts w:ascii="Arial" w:hAnsi="Arial" w:cs="Arial"/>
          <w:sz w:val="24"/>
          <w:szCs w:val="24"/>
          <w:lang w:val="en-US"/>
        </w:rPr>
        <w:t>Date of Hearing: 02 August 2022</w:t>
      </w:r>
    </w:p>
    <w:p w14:paraId="4816F603" w14:textId="43E1EE74" w:rsidR="00AE2E16" w:rsidRDefault="00AE2E16" w:rsidP="000F221F">
      <w:pPr>
        <w:spacing w:line="360" w:lineRule="auto"/>
        <w:rPr>
          <w:rFonts w:ascii="Arial" w:hAnsi="Arial" w:cs="Arial"/>
          <w:sz w:val="24"/>
          <w:szCs w:val="24"/>
          <w:lang w:val="en-US"/>
        </w:rPr>
      </w:pPr>
      <w:r>
        <w:rPr>
          <w:rFonts w:ascii="Arial" w:hAnsi="Arial" w:cs="Arial"/>
          <w:sz w:val="24"/>
          <w:szCs w:val="24"/>
          <w:lang w:val="en-US"/>
        </w:rPr>
        <w:t>Date of Judgment: 02 September 2022</w:t>
      </w:r>
    </w:p>
    <w:p w14:paraId="4D85BBF2" w14:textId="1E28A73C" w:rsidR="00963253" w:rsidRPr="00816448" w:rsidRDefault="00963253" w:rsidP="000F221F">
      <w:pPr>
        <w:spacing w:line="360" w:lineRule="auto"/>
        <w:rPr>
          <w:rFonts w:ascii="Arial" w:hAnsi="Arial" w:cs="Arial"/>
          <w:sz w:val="24"/>
          <w:szCs w:val="24"/>
          <w:u w:val="single"/>
          <w:lang w:val="en-US"/>
        </w:rPr>
      </w:pPr>
      <w:r w:rsidRPr="00816448">
        <w:rPr>
          <w:rFonts w:ascii="Arial" w:hAnsi="Arial" w:cs="Arial"/>
          <w:sz w:val="24"/>
          <w:szCs w:val="24"/>
          <w:u w:val="single"/>
          <w:lang w:val="en-US"/>
        </w:rPr>
        <w:t>APPEARANCES:</w:t>
      </w:r>
    </w:p>
    <w:p w14:paraId="18A47E11" w14:textId="3CDB8D30" w:rsidR="00963253" w:rsidRPr="00816448" w:rsidRDefault="00816448" w:rsidP="000F221F">
      <w:pPr>
        <w:spacing w:line="360" w:lineRule="auto"/>
        <w:rPr>
          <w:rFonts w:ascii="Arial" w:hAnsi="Arial" w:cs="Arial"/>
          <w:sz w:val="24"/>
          <w:szCs w:val="24"/>
          <w:lang w:val="en-US"/>
        </w:rPr>
      </w:pPr>
      <w:r w:rsidRPr="00816448">
        <w:rPr>
          <w:rFonts w:ascii="Arial" w:hAnsi="Arial" w:cs="Arial"/>
          <w:sz w:val="24"/>
          <w:szCs w:val="24"/>
          <w:lang w:val="en-US"/>
        </w:rPr>
        <w:t>Plaintiff: Charl Cilliers Inc.</w:t>
      </w:r>
    </w:p>
    <w:p w14:paraId="5A3FCC31" w14:textId="13713BB7" w:rsidR="00816448" w:rsidRPr="00816448" w:rsidRDefault="00816448" w:rsidP="000F221F">
      <w:pPr>
        <w:spacing w:line="360" w:lineRule="auto"/>
        <w:rPr>
          <w:rFonts w:ascii="Arial" w:hAnsi="Arial" w:cs="Arial"/>
          <w:sz w:val="24"/>
          <w:szCs w:val="24"/>
          <w:lang w:val="en-US"/>
        </w:rPr>
      </w:pPr>
      <w:r w:rsidRPr="00816448">
        <w:rPr>
          <w:rFonts w:ascii="Arial" w:hAnsi="Arial" w:cs="Arial"/>
          <w:sz w:val="24"/>
          <w:szCs w:val="24"/>
          <w:lang w:val="en-US"/>
        </w:rPr>
        <w:t>Defendant: In person</w:t>
      </w:r>
    </w:p>
    <w:sectPr w:rsidR="00816448" w:rsidRPr="008164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9ED6C" w14:textId="77777777" w:rsidR="008C3C7D" w:rsidRDefault="008C3C7D" w:rsidP="00B03599">
      <w:pPr>
        <w:spacing w:after="0" w:line="240" w:lineRule="auto"/>
      </w:pPr>
      <w:r>
        <w:separator/>
      </w:r>
    </w:p>
  </w:endnote>
  <w:endnote w:type="continuationSeparator" w:id="0">
    <w:p w14:paraId="7C7AD1B5" w14:textId="77777777" w:rsidR="008C3C7D" w:rsidRDefault="008C3C7D" w:rsidP="00B0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37859"/>
      <w:docPartObj>
        <w:docPartGallery w:val="Page Numbers (Bottom of Page)"/>
        <w:docPartUnique/>
      </w:docPartObj>
    </w:sdtPr>
    <w:sdtEndPr>
      <w:rPr>
        <w:noProof/>
      </w:rPr>
    </w:sdtEndPr>
    <w:sdtContent>
      <w:p w14:paraId="1852C085" w14:textId="2CDFD690" w:rsidR="004C625D" w:rsidRDefault="004C625D">
        <w:pPr>
          <w:pStyle w:val="Footer"/>
          <w:jc w:val="center"/>
        </w:pPr>
        <w:r>
          <w:fldChar w:fldCharType="begin"/>
        </w:r>
        <w:r>
          <w:instrText xml:space="preserve"> PAGE   \* MERGEFORMAT </w:instrText>
        </w:r>
        <w:r>
          <w:fldChar w:fldCharType="separate"/>
        </w:r>
        <w:r w:rsidR="00963F04">
          <w:rPr>
            <w:noProof/>
          </w:rPr>
          <w:t>1</w:t>
        </w:r>
        <w:r>
          <w:rPr>
            <w:noProof/>
          </w:rPr>
          <w:fldChar w:fldCharType="end"/>
        </w:r>
      </w:p>
    </w:sdtContent>
  </w:sdt>
  <w:p w14:paraId="656B4094" w14:textId="77777777" w:rsidR="004C625D" w:rsidRDefault="004C6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B985" w14:textId="77777777" w:rsidR="008C3C7D" w:rsidRDefault="008C3C7D" w:rsidP="00B03599">
      <w:pPr>
        <w:spacing w:after="0" w:line="240" w:lineRule="auto"/>
      </w:pPr>
      <w:r>
        <w:separator/>
      </w:r>
    </w:p>
  </w:footnote>
  <w:footnote w:type="continuationSeparator" w:id="0">
    <w:p w14:paraId="7A888DA2" w14:textId="77777777" w:rsidR="008C3C7D" w:rsidRDefault="008C3C7D" w:rsidP="00B03599">
      <w:pPr>
        <w:spacing w:after="0" w:line="240" w:lineRule="auto"/>
      </w:pPr>
      <w:r>
        <w:continuationSeparator/>
      </w:r>
    </w:p>
  </w:footnote>
  <w:footnote w:id="1">
    <w:p w14:paraId="35AED869" w14:textId="07C8E933" w:rsidR="000F3481" w:rsidRDefault="000F3481">
      <w:pPr>
        <w:pStyle w:val="FootnoteText"/>
      </w:pPr>
      <w:r>
        <w:rPr>
          <w:rStyle w:val="FootnoteReference"/>
        </w:rPr>
        <w:footnoteRef/>
      </w:r>
      <w:r>
        <w:t xml:space="preserve"> </w:t>
      </w:r>
      <w:r w:rsidR="00C32E24">
        <w:t xml:space="preserve">C Singh </w:t>
      </w:r>
      <w:r w:rsidR="0018329B">
        <w:t>“To</w:t>
      </w:r>
      <w:r w:rsidR="00C32E24">
        <w:t xml:space="preserve"> foreclose: Revealing the ‘cracks’ within the residential foreclosure process in South Africa” 2019 SA Merc LJ 147 </w:t>
      </w:r>
    </w:p>
  </w:footnote>
  <w:footnote w:id="2">
    <w:p w14:paraId="3E50D90A" w14:textId="2A361636" w:rsidR="00A11E56" w:rsidRDefault="00A11E56">
      <w:pPr>
        <w:pStyle w:val="FootnoteText"/>
      </w:pPr>
      <w:r>
        <w:rPr>
          <w:rStyle w:val="FootnoteReference"/>
        </w:rPr>
        <w:footnoteRef/>
      </w:r>
      <w:r>
        <w:t xml:space="preserve"> </w:t>
      </w:r>
      <w:r w:rsidR="008909C7" w:rsidRPr="008909C7">
        <w:t xml:space="preserve">(5) (a) Whenever a defendant is in default of delivery of notice of intention to defend or of a plea, the plaintiff, </w:t>
      </w:r>
      <w:r w:rsidR="008909C7">
        <w:t xml:space="preserve">who wishes to obtain judgment by default, shall where each of the claims is for debt or liquidated demand, file with the </w:t>
      </w:r>
      <w:r w:rsidR="0063561E">
        <w:t>registrar a written application for judgment against such defendant; Provided if the application is for an order declaring the residential property specially executable, the registrar must refer such application to the court.</w:t>
      </w:r>
    </w:p>
  </w:footnote>
  <w:footnote w:id="3">
    <w:p w14:paraId="1B851C8E" w14:textId="1D6CA6D6" w:rsidR="00830D69" w:rsidRDefault="00830D69">
      <w:pPr>
        <w:pStyle w:val="FootnoteText"/>
      </w:pPr>
      <w:r>
        <w:rPr>
          <w:rStyle w:val="FootnoteReference"/>
        </w:rPr>
        <w:footnoteRef/>
      </w:r>
      <w:r>
        <w:t xml:space="preserve"> </w:t>
      </w:r>
      <w:r w:rsidR="0004602A" w:rsidRPr="0004602A">
        <w:t>(1) (a) No writ of execution against the immovable property of any judgment debtor shall issue until-</w:t>
      </w:r>
    </w:p>
    <w:p w14:paraId="6C492E6A" w14:textId="147D7EFF" w:rsidR="0004602A" w:rsidRDefault="0004602A">
      <w:pPr>
        <w:pStyle w:val="FootnoteText"/>
      </w:pPr>
      <w:r w:rsidRPr="0004602A">
        <w:t>(ii) such immovable property shall have been declared to be specially executable by the court or, in the case of a judgment granted in terms of rule 31 (5), by the registrar: Provided that where the property sought to be attached is the primary residence of the judgment debtor. no writ shall issue unless the court, having considered all the relevant circumstances, orders execution against such property.</w:t>
      </w:r>
    </w:p>
  </w:footnote>
  <w:footnote w:id="4">
    <w:p w14:paraId="14878C3D" w14:textId="77777777" w:rsidR="004404F2" w:rsidRPr="004404F2" w:rsidRDefault="0004602A" w:rsidP="004404F2">
      <w:pPr>
        <w:pStyle w:val="FootnoteText"/>
      </w:pPr>
      <w:r>
        <w:rPr>
          <w:rStyle w:val="FootnoteReference"/>
        </w:rPr>
        <w:footnoteRef/>
      </w:r>
      <w:r>
        <w:t xml:space="preserve"> </w:t>
      </w:r>
      <w:r w:rsidR="004404F2" w:rsidRPr="004404F2">
        <w:t>(8) A court considering an application under this rule may-</w:t>
      </w:r>
    </w:p>
    <w:p w14:paraId="2F1BBA4E" w14:textId="77777777" w:rsidR="004404F2" w:rsidRPr="004404F2" w:rsidRDefault="004404F2" w:rsidP="004404F2">
      <w:pPr>
        <w:pStyle w:val="FootnoteText"/>
      </w:pPr>
      <w:r w:rsidRPr="004404F2">
        <w:t>   </w:t>
      </w:r>
      <w:bookmarkStart w:id="1" w:name="0-0-0-611981"/>
      <w:bookmarkEnd w:id="1"/>
      <w:r w:rsidRPr="004404F2">
        <w:rPr>
          <w:i/>
          <w:iCs/>
        </w:rPr>
        <w:t>(a)</w:t>
      </w:r>
      <w:r w:rsidRPr="004404F2">
        <w:t>    of its own accord or on the application of any affected party, order the inclusion in the conditions of sale, of any condition which it may consider appropriate;</w:t>
      </w:r>
    </w:p>
    <w:p w14:paraId="55C71A60" w14:textId="77777777" w:rsidR="004404F2" w:rsidRPr="004404F2" w:rsidRDefault="004404F2" w:rsidP="004404F2">
      <w:pPr>
        <w:pStyle w:val="FootnoteText"/>
      </w:pPr>
      <w:r w:rsidRPr="004404F2">
        <w:t>   </w:t>
      </w:r>
      <w:bookmarkStart w:id="2" w:name="0-0-0-611983"/>
      <w:bookmarkEnd w:id="2"/>
      <w:r w:rsidRPr="004404F2">
        <w:rPr>
          <w:i/>
          <w:iCs/>
        </w:rPr>
        <w:t>(b)</w:t>
      </w:r>
      <w:r w:rsidRPr="004404F2">
        <w:t>    order the furnishing by-</w:t>
      </w:r>
    </w:p>
    <w:p w14:paraId="524BBF1F" w14:textId="77777777" w:rsidR="004404F2" w:rsidRPr="004404F2" w:rsidRDefault="004404F2" w:rsidP="004404F2">
      <w:pPr>
        <w:pStyle w:val="FootnoteText"/>
      </w:pPr>
      <w:r w:rsidRPr="004404F2">
        <w:t>   </w:t>
      </w:r>
      <w:bookmarkStart w:id="3" w:name="0-0-0-611985"/>
      <w:bookmarkEnd w:id="3"/>
      <w:r w:rsidRPr="004404F2">
        <w:t>   (i)   a municipality of rates due to it by the judgment debtor; or</w:t>
      </w:r>
    </w:p>
    <w:p w14:paraId="3EEFF7D5" w14:textId="77777777" w:rsidR="004404F2" w:rsidRPr="004404F2" w:rsidRDefault="004404F2" w:rsidP="004404F2">
      <w:pPr>
        <w:pStyle w:val="FootnoteText"/>
      </w:pPr>
      <w:r w:rsidRPr="004404F2">
        <w:t>   </w:t>
      </w:r>
      <w:bookmarkStart w:id="4" w:name="0-0-0-611987"/>
      <w:bookmarkEnd w:id="4"/>
      <w:r w:rsidRPr="004404F2">
        <w:t>  (ii)   a body corporate of levies due to it by the judgment debtor;</w:t>
      </w:r>
    </w:p>
    <w:p w14:paraId="17036B9E" w14:textId="77777777" w:rsidR="004404F2" w:rsidRPr="004404F2" w:rsidRDefault="004404F2" w:rsidP="004404F2">
      <w:pPr>
        <w:pStyle w:val="FootnoteText"/>
      </w:pPr>
      <w:r w:rsidRPr="004404F2">
        <w:t>   </w:t>
      </w:r>
      <w:bookmarkStart w:id="5" w:name="0-0-0-611989"/>
      <w:bookmarkEnd w:id="5"/>
      <w:r w:rsidRPr="004404F2">
        <w:rPr>
          <w:i/>
          <w:iCs/>
        </w:rPr>
        <w:t>(c)</w:t>
      </w:r>
      <w:r w:rsidRPr="004404F2">
        <w:t>    on good cause shown, condone-</w:t>
      </w:r>
    </w:p>
    <w:p w14:paraId="79443994" w14:textId="77777777" w:rsidR="004404F2" w:rsidRPr="004404F2" w:rsidRDefault="004404F2" w:rsidP="004404F2">
      <w:pPr>
        <w:pStyle w:val="FootnoteText"/>
      </w:pPr>
      <w:r w:rsidRPr="004404F2">
        <w:t>   </w:t>
      </w:r>
      <w:bookmarkStart w:id="6" w:name="0-0-0-611991"/>
      <w:bookmarkEnd w:id="6"/>
      <w:r w:rsidRPr="004404F2">
        <w:t>   (i)   failure to provide any document referred to in subrule (5); or</w:t>
      </w:r>
    </w:p>
    <w:p w14:paraId="4961D0E9" w14:textId="77777777" w:rsidR="004404F2" w:rsidRPr="004404F2" w:rsidRDefault="004404F2" w:rsidP="004404F2">
      <w:pPr>
        <w:pStyle w:val="FootnoteText"/>
      </w:pPr>
      <w:r w:rsidRPr="004404F2">
        <w:t>   </w:t>
      </w:r>
      <w:bookmarkStart w:id="7" w:name="0-0-0-611993"/>
      <w:bookmarkEnd w:id="7"/>
      <w:r w:rsidRPr="004404F2">
        <w:t>  (ii)   delivery of an affidavit outside the period prescribed in subrule (6)</w:t>
      </w:r>
      <w:r w:rsidRPr="004404F2">
        <w:rPr>
          <w:i/>
          <w:iCs/>
        </w:rPr>
        <w:t>(d)</w:t>
      </w:r>
      <w:r w:rsidRPr="004404F2">
        <w:t>;</w:t>
      </w:r>
    </w:p>
    <w:p w14:paraId="48985515" w14:textId="77777777" w:rsidR="004404F2" w:rsidRPr="004404F2" w:rsidRDefault="004404F2" w:rsidP="004404F2">
      <w:pPr>
        <w:pStyle w:val="FootnoteText"/>
      </w:pPr>
      <w:r w:rsidRPr="004404F2">
        <w:t>   </w:t>
      </w:r>
      <w:bookmarkStart w:id="8" w:name="0-0-0-611995"/>
      <w:bookmarkEnd w:id="8"/>
      <w:r w:rsidRPr="004404F2">
        <w:rPr>
          <w:i/>
          <w:iCs/>
        </w:rPr>
        <w:t>(d)</w:t>
      </w:r>
      <w:r w:rsidRPr="004404F2">
        <w:t>    order execution against the primary residence of a judgment debtor if there is no other satisfactory means of satisfying the judgment debt;</w:t>
      </w:r>
    </w:p>
    <w:p w14:paraId="1704E9B0" w14:textId="77777777" w:rsidR="004404F2" w:rsidRPr="004404F2" w:rsidRDefault="004404F2" w:rsidP="004404F2">
      <w:pPr>
        <w:pStyle w:val="FootnoteText"/>
      </w:pPr>
      <w:r w:rsidRPr="004404F2">
        <w:t>   </w:t>
      </w:r>
      <w:bookmarkStart w:id="9" w:name="0-0-0-611997"/>
      <w:bookmarkEnd w:id="9"/>
      <w:r w:rsidRPr="004404F2">
        <w:rPr>
          <w:i/>
          <w:iCs/>
        </w:rPr>
        <w:t>(e)</w:t>
      </w:r>
      <w:r w:rsidRPr="004404F2">
        <w:t>    set a reserve price;</w:t>
      </w:r>
    </w:p>
    <w:p w14:paraId="3285BD5C" w14:textId="77777777" w:rsidR="004404F2" w:rsidRPr="004404F2" w:rsidRDefault="004404F2" w:rsidP="004404F2">
      <w:pPr>
        <w:pStyle w:val="FootnoteText"/>
      </w:pPr>
      <w:r w:rsidRPr="004404F2">
        <w:t>   </w:t>
      </w:r>
      <w:bookmarkStart w:id="10" w:name="0-0-0-611999"/>
      <w:bookmarkEnd w:id="10"/>
      <w:r w:rsidRPr="004404F2">
        <w:rPr>
          <w:i/>
          <w:iCs/>
        </w:rPr>
        <w:t>(f)</w:t>
      </w:r>
      <w:r w:rsidRPr="004404F2">
        <w:t>     postpone the application on such terms as it may consider appropriate;</w:t>
      </w:r>
    </w:p>
    <w:p w14:paraId="4FBE43A5" w14:textId="77777777" w:rsidR="004404F2" w:rsidRPr="004404F2" w:rsidRDefault="004404F2" w:rsidP="004404F2">
      <w:pPr>
        <w:pStyle w:val="FootnoteText"/>
      </w:pPr>
      <w:r w:rsidRPr="004404F2">
        <w:t>   </w:t>
      </w:r>
      <w:bookmarkStart w:id="11" w:name="0-0-0-612001"/>
      <w:bookmarkEnd w:id="11"/>
      <w:r w:rsidRPr="004404F2">
        <w:rPr>
          <w:i/>
          <w:iCs/>
        </w:rPr>
        <w:t>(g)</w:t>
      </w:r>
      <w:r w:rsidRPr="004404F2">
        <w:t>    refuse the application if it has no merit;</w:t>
      </w:r>
    </w:p>
    <w:p w14:paraId="5135E6E2" w14:textId="77777777" w:rsidR="004404F2" w:rsidRPr="004404F2" w:rsidRDefault="004404F2" w:rsidP="004404F2">
      <w:pPr>
        <w:pStyle w:val="FootnoteText"/>
      </w:pPr>
      <w:r w:rsidRPr="004404F2">
        <w:t>   </w:t>
      </w:r>
      <w:bookmarkStart w:id="12" w:name="0-0-0-612003"/>
      <w:bookmarkEnd w:id="12"/>
      <w:r w:rsidRPr="004404F2">
        <w:rPr>
          <w:i/>
          <w:iCs/>
        </w:rPr>
        <w:t>(h)</w:t>
      </w:r>
      <w:r w:rsidRPr="004404F2">
        <w:t>    make an appropriate order as to costs, including a punitive order against a party who delays the finalisation of an application under this rule; or</w:t>
      </w:r>
    </w:p>
    <w:p w14:paraId="1BE7530E" w14:textId="77777777" w:rsidR="004404F2" w:rsidRPr="004404F2" w:rsidRDefault="004404F2" w:rsidP="004404F2">
      <w:pPr>
        <w:pStyle w:val="FootnoteText"/>
      </w:pPr>
      <w:r w:rsidRPr="004404F2">
        <w:t>   </w:t>
      </w:r>
      <w:bookmarkStart w:id="13" w:name="0-0-0-612005"/>
      <w:bookmarkEnd w:id="13"/>
      <w:r w:rsidRPr="004404F2">
        <w:rPr>
          <w:i/>
          <w:iCs/>
        </w:rPr>
        <w:t>(i)</w:t>
      </w:r>
      <w:r w:rsidRPr="004404F2">
        <w:t>     make any other appropriate order.</w:t>
      </w:r>
    </w:p>
    <w:p w14:paraId="550BC0B8" w14:textId="146A0998" w:rsidR="0004602A" w:rsidRDefault="0004602A">
      <w:pPr>
        <w:pStyle w:val="FootnoteText"/>
      </w:pPr>
    </w:p>
  </w:footnote>
  <w:footnote w:id="5">
    <w:p w14:paraId="6066F530" w14:textId="0B9C7D1E" w:rsidR="00347418" w:rsidRDefault="00347418">
      <w:pPr>
        <w:pStyle w:val="FootnoteText"/>
      </w:pPr>
      <w:r>
        <w:rPr>
          <w:rStyle w:val="FootnoteReference"/>
        </w:rPr>
        <w:footnoteRef/>
      </w:r>
      <w:r>
        <w:t xml:space="preserve"> </w:t>
      </w:r>
      <w:r w:rsidRPr="00347418">
        <w:t>(1) Subject to the provisions of section 27 of the Act, the defendant in every civil action shall be allowed ten days after service of summons on him within which to deliver a notice of intention to defend, either personally or through his attorney: Provided that the days between 16 December and 15 January, both inclusive, shall not be counted in the time allowed within which to deliver a notice of intention to defend.</w:t>
      </w:r>
    </w:p>
  </w:footnote>
  <w:footnote w:id="6">
    <w:p w14:paraId="5F22E029" w14:textId="117BFE18" w:rsidR="00347418" w:rsidRDefault="00347418">
      <w:pPr>
        <w:pStyle w:val="FootnoteText"/>
      </w:pPr>
      <w:r>
        <w:rPr>
          <w:rStyle w:val="FootnoteReference"/>
        </w:rPr>
        <w:footnoteRef/>
      </w:r>
      <w:r>
        <w:t xml:space="preserve"> </w:t>
      </w:r>
      <w:r w:rsidR="004C0B6E" w:rsidRPr="004C0B6E">
        <w:t>(1) Where a defendant has delivered notice of intention to defend, he shall within twenty days after the service upon him of a declaration or within twenty days after delivery of such notice in respect of a combined summons, deliver a plea with or without a claim in reconvention, or an exception with or without application to strike out.</w:t>
      </w:r>
    </w:p>
  </w:footnote>
  <w:footnote w:id="7">
    <w:p w14:paraId="3BCF5D5C" w14:textId="6B81409B" w:rsidR="0018329B" w:rsidRPr="0018329B" w:rsidRDefault="0018329B">
      <w:pPr>
        <w:pStyle w:val="FootnoteText"/>
        <w:rPr>
          <w:lang w:val="en-US"/>
        </w:rPr>
      </w:pPr>
      <w:r>
        <w:rPr>
          <w:rStyle w:val="FootnoteReference"/>
        </w:rPr>
        <w:footnoteRef/>
      </w:r>
      <w:r>
        <w:t xml:space="preserve"> </w:t>
      </w:r>
      <w:r>
        <w:rPr>
          <w:lang w:val="en-US"/>
        </w:rPr>
        <w:t>2016 (6) SA 400 (GJ) at 404A</w:t>
      </w:r>
    </w:p>
  </w:footnote>
  <w:footnote w:id="8">
    <w:p w14:paraId="745438F6" w14:textId="6F7CB108" w:rsidR="002F41D3" w:rsidRPr="002F41D3" w:rsidRDefault="002F41D3">
      <w:pPr>
        <w:pStyle w:val="FootnoteText"/>
        <w:rPr>
          <w:lang w:val="en-US"/>
        </w:rPr>
      </w:pPr>
      <w:r>
        <w:rPr>
          <w:rStyle w:val="FootnoteReference"/>
        </w:rPr>
        <w:footnoteRef/>
      </w:r>
      <w:r>
        <w:t xml:space="preserve"> </w:t>
      </w:r>
      <w:r w:rsidR="00E9067E" w:rsidRPr="00E9067E">
        <w:t> 1) Everyone has a right to have access to adequate housing. 2) The state must take reasonable legislative and other measures within its available resources to achieve the progressive realisation of this right.</w:t>
      </w:r>
    </w:p>
  </w:footnote>
  <w:footnote w:id="9">
    <w:p w14:paraId="7A953D44" w14:textId="070177A8" w:rsidR="00C15838" w:rsidRPr="00C15838" w:rsidRDefault="00C15838">
      <w:pPr>
        <w:pStyle w:val="FootnoteText"/>
        <w:rPr>
          <w:lang w:val="en-US"/>
        </w:rPr>
      </w:pPr>
      <w:r>
        <w:rPr>
          <w:rStyle w:val="FootnoteReference"/>
        </w:rPr>
        <w:footnoteRef/>
      </w:r>
      <w:r>
        <w:t xml:space="preserve"> </w:t>
      </w:r>
      <w:r>
        <w:rPr>
          <w:lang w:val="en-US"/>
        </w:rPr>
        <w:t>2018 (5) SA 548 (GJ) at 550-551C</w:t>
      </w:r>
    </w:p>
  </w:footnote>
  <w:footnote w:id="10">
    <w:p w14:paraId="6D28AF69" w14:textId="33E00DD9" w:rsidR="008A0C8A" w:rsidRPr="008A0C8A" w:rsidRDefault="008A0C8A">
      <w:pPr>
        <w:pStyle w:val="FootnoteText"/>
        <w:rPr>
          <w:lang w:val="en-US"/>
        </w:rPr>
      </w:pPr>
      <w:r>
        <w:rPr>
          <w:rStyle w:val="FootnoteReference"/>
        </w:rPr>
        <w:footnoteRef/>
      </w:r>
      <w:r>
        <w:t xml:space="preserve"> </w:t>
      </w:r>
      <w:r>
        <w:rPr>
          <w:lang w:val="en-US"/>
        </w:rPr>
        <w:t xml:space="preserve">2018 (6) SA 492 at para [33] </w:t>
      </w:r>
    </w:p>
  </w:footnote>
  <w:footnote w:id="11">
    <w:p w14:paraId="230A07E5" w14:textId="7BC45E7A" w:rsidR="00D74C22" w:rsidRPr="00D74C22" w:rsidRDefault="00D74C22">
      <w:pPr>
        <w:pStyle w:val="FootnoteText"/>
        <w:rPr>
          <w:lang w:val="en-US"/>
        </w:rPr>
      </w:pPr>
      <w:r>
        <w:rPr>
          <w:rStyle w:val="FootnoteReference"/>
        </w:rPr>
        <w:footnoteRef/>
      </w:r>
      <w:r>
        <w:t xml:space="preserve"> </w:t>
      </w:r>
      <w:r>
        <w:rPr>
          <w:lang w:val="en-US"/>
        </w:rPr>
        <w:t xml:space="preserve">Mokebe footnote 10 at para [47] </w:t>
      </w:r>
    </w:p>
  </w:footnote>
  <w:footnote w:id="12">
    <w:p w14:paraId="090663C2" w14:textId="0E705752" w:rsidR="005F0BC1" w:rsidRPr="005F0BC1" w:rsidRDefault="005F0BC1">
      <w:pPr>
        <w:pStyle w:val="FootnoteText"/>
        <w:rPr>
          <w:lang w:val="en-US"/>
        </w:rPr>
      </w:pPr>
      <w:r>
        <w:rPr>
          <w:rStyle w:val="FootnoteReference"/>
        </w:rPr>
        <w:footnoteRef/>
      </w:r>
      <w:r>
        <w:t xml:space="preserve"> </w:t>
      </w:r>
      <w:r w:rsidRPr="005F0BC1">
        <w:t>[2004] ZACC 25; 2005 (2) SA 140 (CC); 2005 (1) BCLR 78 (CC)</w:t>
      </w:r>
      <w:r>
        <w:t xml:space="preserve"> at para [41] </w:t>
      </w:r>
    </w:p>
  </w:footnote>
  <w:footnote w:id="13">
    <w:p w14:paraId="73B22A6D" w14:textId="28A98AED" w:rsidR="00C454A0" w:rsidRDefault="00C454A0">
      <w:pPr>
        <w:pStyle w:val="FootnoteText"/>
      </w:pPr>
      <w:r>
        <w:rPr>
          <w:rStyle w:val="FootnoteReference"/>
        </w:rPr>
        <w:footnoteRef/>
      </w:r>
      <w:r>
        <w:t xml:space="preserve"> Jaftha footnote 10 at para [42] </w:t>
      </w:r>
    </w:p>
  </w:footnote>
  <w:footnote w:id="14">
    <w:p w14:paraId="00E82E9E" w14:textId="3230EB3A" w:rsidR="00C454A0" w:rsidRPr="00C454A0" w:rsidRDefault="00C454A0">
      <w:pPr>
        <w:pStyle w:val="FootnoteText"/>
      </w:pPr>
      <w:r w:rsidRPr="00C454A0">
        <w:rPr>
          <w:rStyle w:val="FootnoteReference"/>
        </w:rPr>
        <w:footnoteRef/>
      </w:r>
      <w:r w:rsidRPr="00C454A0">
        <w:t xml:space="preserve"> </w:t>
      </w:r>
      <w:r w:rsidRPr="00C454A0">
        <w:rPr>
          <w:b/>
          <w:bCs/>
        </w:rPr>
        <w:t xml:space="preserve"> </w:t>
      </w:r>
      <w:r w:rsidRPr="00C454A0">
        <w:t>[2011] ZACC 14; 2011 (3) SA 608 (CC); 2011 (8) BCLR 792 (CC</w:t>
      </w:r>
      <w:r>
        <w:t xml:space="preserve"> at para</w:t>
      </w:r>
      <w:r w:rsidR="00DF7892">
        <w:t>s</w:t>
      </w:r>
      <w:r>
        <w:t xml:space="preserve"> [48]</w:t>
      </w:r>
      <w:r w:rsidR="00DF7892">
        <w:t xml:space="preserve"> and [49]</w:t>
      </w:r>
    </w:p>
  </w:footnote>
  <w:footnote w:id="15">
    <w:p w14:paraId="0D40CE95" w14:textId="68F7E02B" w:rsidR="00703012" w:rsidRDefault="00703012">
      <w:pPr>
        <w:pStyle w:val="FootnoteText"/>
      </w:pPr>
      <w:r>
        <w:rPr>
          <w:rStyle w:val="FootnoteReference"/>
        </w:rPr>
        <w:footnoteRef/>
      </w:r>
      <w:r>
        <w:t xml:space="preserve"> </w:t>
      </w:r>
      <w:r w:rsidRPr="00703012">
        <w:t>(Case No. 150/2021) [2022] ZASCA 88 (13 June 2022)</w:t>
      </w:r>
      <w:r>
        <w:t xml:space="preserve"> at para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4439"/>
    <w:multiLevelType w:val="hybridMultilevel"/>
    <w:tmpl w:val="08A897AA"/>
    <w:lvl w:ilvl="0" w:tplc="BD308DA0">
      <w:start w:val="1"/>
      <w:numFmt w:val="decimal"/>
      <w:lvlText w:val="%1."/>
      <w:lvlJc w:val="left"/>
      <w:pPr>
        <w:tabs>
          <w:tab w:val="num" w:pos="1080"/>
        </w:tabs>
        <w:ind w:left="1080" w:hanging="720"/>
      </w:pPr>
      <w:rPr>
        <w:rFonts w:ascii="Arial" w:eastAsiaTheme="minorHAnsi" w:hAnsi="Arial" w:cs="Arial"/>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A302D3"/>
    <w:multiLevelType w:val="hybridMultilevel"/>
    <w:tmpl w:val="C1EAE54A"/>
    <w:lvl w:ilvl="0" w:tplc="02DA9E06">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nsid w:val="607B2656"/>
    <w:multiLevelType w:val="hybridMultilevel"/>
    <w:tmpl w:val="9E3CE4F6"/>
    <w:lvl w:ilvl="0" w:tplc="7B26F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9E34C35"/>
    <w:multiLevelType w:val="hybridMultilevel"/>
    <w:tmpl w:val="81622CD0"/>
    <w:lvl w:ilvl="0" w:tplc="02026418">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A0"/>
    <w:rsid w:val="000020D4"/>
    <w:rsid w:val="000102FC"/>
    <w:rsid w:val="00011EF9"/>
    <w:rsid w:val="000146FC"/>
    <w:rsid w:val="00032E6C"/>
    <w:rsid w:val="000358DE"/>
    <w:rsid w:val="000422CC"/>
    <w:rsid w:val="00043FC4"/>
    <w:rsid w:val="0004602A"/>
    <w:rsid w:val="00046E9F"/>
    <w:rsid w:val="000540C6"/>
    <w:rsid w:val="00062B3F"/>
    <w:rsid w:val="00065968"/>
    <w:rsid w:val="000703D8"/>
    <w:rsid w:val="000863CF"/>
    <w:rsid w:val="000A0895"/>
    <w:rsid w:val="000B0EA7"/>
    <w:rsid w:val="000C2B8D"/>
    <w:rsid w:val="000D2264"/>
    <w:rsid w:val="000D3DF0"/>
    <w:rsid w:val="000D569D"/>
    <w:rsid w:val="000E59AD"/>
    <w:rsid w:val="000F221F"/>
    <w:rsid w:val="000F3481"/>
    <w:rsid w:val="000F4997"/>
    <w:rsid w:val="000F51FA"/>
    <w:rsid w:val="000F77E6"/>
    <w:rsid w:val="0010575B"/>
    <w:rsid w:val="00113531"/>
    <w:rsid w:val="00116A65"/>
    <w:rsid w:val="0011733E"/>
    <w:rsid w:val="00117EBA"/>
    <w:rsid w:val="0012256F"/>
    <w:rsid w:val="001238F9"/>
    <w:rsid w:val="001352CE"/>
    <w:rsid w:val="0014305B"/>
    <w:rsid w:val="00145F69"/>
    <w:rsid w:val="001460D6"/>
    <w:rsid w:val="00151C1F"/>
    <w:rsid w:val="001533D9"/>
    <w:rsid w:val="00155220"/>
    <w:rsid w:val="001620BE"/>
    <w:rsid w:val="001634D6"/>
    <w:rsid w:val="0016471B"/>
    <w:rsid w:val="00172190"/>
    <w:rsid w:val="00174157"/>
    <w:rsid w:val="00177EF5"/>
    <w:rsid w:val="0018329B"/>
    <w:rsid w:val="00183E33"/>
    <w:rsid w:val="00186B60"/>
    <w:rsid w:val="00192DB1"/>
    <w:rsid w:val="0019316F"/>
    <w:rsid w:val="001A3593"/>
    <w:rsid w:val="001A7267"/>
    <w:rsid w:val="001B3190"/>
    <w:rsid w:val="001B46FD"/>
    <w:rsid w:val="001C140B"/>
    <w:rsid w:val="001C674A"/>
    <w:rsid w:val="001C7466"/>
    <w:rsid w:val="001C7A32"/>
    <w:rsid w:val="001D322E"/>
    <w:rsid w:val="001D3804"/>
    <w:rsid w:val="001D3D8F"/>
    <w:rsid w:val="001E7210"/>
    <w:rsid w:val="001F64E3"/>
    <w:rsid w:val="00207EBC"/>
    <w:rsid w:val="0021203E"/>
    <w:rsid w:val="00212C18"/>
    <w:rsid w:val="002211DA"/>
    <w:rsid w:val="002250DE"/>
    <w:rsid w:val="0023041D"/>
    <w:rsid w:val="0023392B"/>
    <w:rsid w:val="002505AE"/>
    <w:rsid w:val="002521AC"/>
    <w:rsid w:val="00255A60"/>
    <w:rsid w:val="0026335F"/>
    <w:rsid w:val="00274718"/>
    <w:rsid w:val="0027737E"/>
    <w:rsid w:val="0028534B"/>
    <w:rsid w:val="00285799"/>
    <w:rsid w:val="00290C9F"/>
    <w:rsid w:val="0029476D"/>
    <w:rsid w:val="002A11E0"/>
    <w:rsid w:val="002B1E52"/>
    <w:rsid w:val="002B3AEC"/>
    <w:rsid w:val="002B7D15"/>
    <w:rsid w:val="002C3810"/>
    <w:rsid w:val="002C7355"/>
    <w:rsid w:val="002E6E59"/>
    <w:rsid w:val="002F3C3C"/>
    <w:rsid w:val="002F41D3"/>
    <w:rsid w:val="003108A3"/>
    <w:rsid w:val="00311AA2"/>
    <w:rsid w:val="00312027"/>
    <w:rsid w:val="00317466"/>
    <w:rsid w:val="003274BB"/>
    <w:rsid w:val="00337273"/>
    <w:rsid w:val="00342850"/>
    <w:rsid w:val="003432C0"/>
    <w:rsid w:val="003453B3"/>
    <w:rsid w:val="00347418"/>
    <w:rsid w:val="00354B43"/>
    <w:rsid w:val="00371068"/>
    <w:rsid w:val="003740FE"/>
    <w:rsid w:val="00377CFB"/>
    <w:rsid w:val="00381099"/>
    <w:rsid w:val="00390552"/>
    <w:rsid w:val="00395889"/>
    <w:rsid w:val="003A5CFC"/>
    <w:rsid w:val="003A70B0"/>
    <w:rsid w:val="003B0299"/>
    <w:rsid w:val="003B3FF6"/>
    <w:rsid w:val="003C0FFB"/>
    <w:rsid w:val="003C15FE"/>
    <w:rsid w:val="003C2DFC"/>
    <w:rsid w:val="003C6D6F"/>
    <w:rsid w:val="003D0867"/>
    <w:rsid w:val="003D549C"/>
    <w:rsid w:val="003E3C4B"/>
    <w:rsid w:val="00400DE1"/>
    <w:rsid w:val="0040290B"/>
    <w:rsid w:val="00403FD8"/>
    <w:rsid w:val="00415806"/>
    <w:rsid w:val="00422ADD"/>
    <w:rsid w:val="00427899"/>
    <w:rsid w:val="004307E6"/>
    <w:rsid w:val="004339CD"/>
    <w:rsid w:val="004404F2"/>
    <w:rsid w:val="00441E6B"/>
    <w:rsid w:val="004422BA"/>
    <w:rsid w:val="0044384E"/>
    <w:rsid w:val="004513D0"/>
    <w:rsid w:val="004516B1"/>
    <w:rsid w:val="0045610A"/>
    <w:rsid w:val="00461BDE"/>
    <w:rsid w:val="00471D32"/>
    <w:rsid w:val="00471E8E"/>
    <w:rsid w:val="004A28BB"/>
    <w:rsid w:val="004C0B6E"/>
    <w:rsid w:val="004C625D"/>
    <w:rsid w:val="004D3DEA"/>
    <w:rsid w:val="004E1763"/>
    <w:rsid w:val="004E29E8"/>
    <w:rsid w:val="004E4F33"/>
    <w:rsid w:val="004E5EC9"/>
    <w:rsid w:val="004F1DB5"/>
    <w:rsid w:val="005017C9"/>
    <w:rsid w:val="00505F8E"/>
    <w:rsid w:val="00514E53"/>
    <w:rsid w:val="005166EF"/>
    <w:rsid w:val="00520858"/>
    <w:rsid w:val="0052465C"/>
    <w:rsid w:val="00530229"/>
    <w:rsid w:val="005444B1"/>
    <w:rsid w:val="00551DD5"/>
    <w:rsid w:val="005553F9"/>
    <w:rsid w:val="00564296"/>
    <w:rsid w:val="00566B36"/>
    <w:rsid w:val="00577A4B"/>
    <w:rsid w:val="00583AAA"/>
    <w:rsid w:val="00584472"/>
    <w:rsid w:val="005856DF"/>
    <w:rsid w:val="00592852"/>
    <w:rsid w:val="00594A1A"/>
    <w:rsid w:val="005A095E"/>
    <w:rsid w:val="005A1146"/>
    <w:rsid w:val="005A37C3"/>
    <w:rsid w:val="005B1F36"/>
    <w:rsid w:val="005B4FED"/>
    <w:rsid w:val="005B6286"/>
    <w:rsid w:val="005C3C5C"/>
    <w:rsid w:val="005D0539"/>
    <w:rsid w:val="005E6D2C"/>
    <w:rsid w:val="005F0BC1"/>
    <w:rsid w:val="005F31FC"/>
    <w:rsid w:val="005F6E3B"/>
    <w:rsid w:val="005F76C5"/>
    <w:rsid w:val="00603241"/>
    <w:rsid w:val="006131F7"/>
    <w:rsid w:val="00615833"/>
    <w:rsid w:val="00622B1B"/>
    <w:rsid w:val="00624902"/>
    <w:rsid w:val="006276A4"/>
    <w:rsid w:val="0063561E"/>
    <w:rsid w:val="0064295D"/>
    <w:rsid w:val="00651152"/>
    <w:rsid w:val="006770EA"/>
    <w:rsid w:val="00682B42"/>
    <w:rsid w:val="006850F2"/>
    <w:rsid w:val="00685BA8"/>
    <w:rsid w:val="0069384F"/>
    <w:rsid w:val="006955B9"/>
    <w:rsid w:val="006A3D0A"/>
    <w:rsid w:val="006B1B97"/>
    <w:rsid w:val="006B41A5"/>
    <w:rsid w:val="006B47A1"/>
    <w:rsid w:val="006D683D"/>
    <w:rsid w:val="006E1AD3"/>
    <w:rsid w:val="006E79EE"/>
    <w:rsid w:val="00703012"/>
    <w:rsid w:val="00706B90"/>
    <w:rsid w:val="007132AF"/>
    <w:rsid w:val="007254A0"/>
    <w:rsid w:val="00726E90"/>
    <w:rsid w:val="00730FCE"/>
    <w:rsid w:val="00733A68"/>
    <w:rsid w:val="007362B4"/>
    <w:rsid w:val="00736E4B"/>
    <w:rsid w:val="0074395C"/>
    <w:rsid w:val="00745762"/>
    <w:rsid w:val="00745C7B"/>
    <w:rsid w:val="0075056B"/>
    <w:rsid w:val="0075345E"/>
    <w:rsid w:val="007549DD"/>
    <w:rsid w:val="00763610"/>
    <w:rsid w:val="00763DFC"/>
    <w:rsid w:val="0076411B"/>
    <w:rsid w:val="007648B9"/>
    <w:rsid w:val="00774B62"/>
    <w:rsid w:val="0077551E"/>
    <w:rsid w:val="007913A3"/>
    <w:rsid w:val="00791D19"/>
    <w:rsid w:val="00796078"/>
    <w:rsid w:val="00796189"/>
    <w:rsid w:val="00796A37"/>
    <w:rsid w:val="007B0BFE"/>
    <w:rsid w:val="007B270B"/>
    <w:rsid w:val="007B5448"/>
    <w:rsid w:val="007C1846"/>
    <w:rsid w:val="007C196F"/>
    <w:rsid w:val="007C6DA0"/>
    <w:rsid w:val="007D0C23"/>
    <w:rsid w:val="007D122F"/>
    <w:rsid w:val="007E1D3A"/>
    <w:rsid w:val="007E7DEE"/>
    <w:rsid w:val="007F1233"/>
    <w:rsid w:val="007F6745"/>
    <w:rsid w:val="00803098"/>
    <w:rsid w:val="008065FC"/>
    <w:rsid w:val="00810D73"/>
    <w:rsid w:val="00816448"/>
    <w:rsid w:val="00820D98"/>
    <w:rsid w:val="008222EC"/>
    <w:rsid w:val="00830D69"/>
    <w:rsid w:val="008458C4"/>
    <w:rsid w:val="00846C42"/>
    <w:rsid w:val="0085303D"/>
    <w:rsid w:val="00854401"/>
    <w:rsid w:val="008604D8"/>
    <w:rsid w:val="00860F4C"/>
    <w:rsid w:val="0087747A"/>
    <w:rsid w:val="00880955"/>
    <w:rsid w:val="008827BB"/>
    <w:rsid w:val="0088561F"/>
    <w:rsid w:val="00886404"/>
    <w:rsid w:val="0088799C"/>
    <w:rsid w:val="008909C7"/>
    <w:rsid w:val="00890F55"/>
    <w:rsid w:val="0089185F"/>
    <w:rsid w:val="00894D40"/>
    <w:rsid w:val="008A0C8A"/>
    <w:rsid w:val="008A1697"/>
    <w:rsid w:val="008A5E3C"/>
    <w:rsid w:val="008B54D6"/>
    <w:rsid w:val="008B5A12"/>
    <w:rsid w:val="008B7128"/>
    <w:rsid w:val="008C3C7D"/>
    <w:rsid w:val="008E7700"/>
    <w:rsid w:val="008F0C93"/>
    <w:rsid w:val="008F4441"/>
    <w:rsid w:val="008F51FE"/>
    <w:rsid w:val="0090423F"/>
    <w:rsid w:val="009062FD"/>
    <w:rsid w:val="00910262"/>
    <w:rsid w:val="0091036E"/>
    <w:rsid w:val="0091531B"/>
    <w:rsid w:val="0093761D"/>
    <w:rsid w:val="009414F8"/>
    <w:rsid w:val="0094153D"/>
    <w:rsid w:val="00942E17"/>
    <w:rsid w:val="00946AFF"/>
    <w:rsid w:val="00953BBC"/>
    <w:rsid w:val="00957C6F"/>
    <w:rsid w:val="00960DB5"/>
    <w:rsid w:val="00963253"/>
    <w:rsid w:val="00963F04"/>
    <w:rsid w:val="009979B4"/>
    <w:rsid w:val="009A02BD"/>
    <w:rsid w:val="009A6479"/>
    <w:rsid w:val="009B790C"/>
    <w:rsid w:val="009C28CC"/>
    <w:rsid w:val="009C2F40"/>
    <w:rsid w:val="009C46BE"/>
    <w:rsid w:val="009D7985"/>
    <w:rsid w:val="009E48CE"/>
    <w:rsid w:val="00A0554A"/>
    <w:rsid w:val="00A11E56"/>
    <w:rsid w:val="00A14B72"/>
    <w:rsid w:val="00A30D9E"/>
    <w:rsid w:val="00A3169A"/>
    <w:rsid w:val="00A434E8"/>
    <w:rsid w:val="00A442FF"/>
    <w:rsid w:val="00A46457"/>
    <w:rsid w:val="00A51404"/>
    <w:rsid w:val="00A56F02"/>
    <w:rsid w:val="00A61743"/>
    <w:rsid w:val="00A63DDF"/>
    <w:rsid w:val="00A669F2"/>
    <w:rsid w:val="00A67861"/>
    <w:rsid w:val="00A76342"/>
    <w:rsid w:val="00A76A29"/>
    <w:rsid w:val="00A82F8F"/>
    <w:rsid w:val="00A832C8"/>
    <w:rsid w:val="00AA4D83"/>
    <w:rsid w:val="00AA4F2E"/>
    <w:rsid w:val="00AB490B"/>
    <w:rsid w:val="00AB6356"/>
    <w:rsid w:val="00AC0861"/>
    <w:rsid w:val="00AD06D2"/>
    <w:rsid w:val="00AD3825"/>
    <w:rsid w:val="00AE2E16"/>
    <w:rsid w:val="00AE65B5"/>
    <w:rsid w:val="00AE6EE6"/>
    <w:rsid w:val="00AF0148"/>
    <w:rsid w:val="00AF2554"/>
    <w:rsid w:val="00AF2DF0"/>
    <w:rsid w:val="00AF7CF7"/>
    <w:rsid w:val="00B0333D"/>
    <w:rsid w:val="00B03599"/>
    <w:rsid w:val="00B055A1"/>
    <w:rsid w:val="00B05C9C"/>
    <w:rsid w:val="00B211B0"/>
    <w:rsid w:val="00B22279"/>
    <w:rsid w:val="00B23119"/>
    <w:rsid w:val="00B26B52"/>
    <w:rsid w:val="00B275E1"/>
    <w:rsid w:val="00B34992"/>
    <w:rsid w:val="00B5751D"/>
    <w:rsid w:val="00B652F5"/>
    <w:rsid w:val="00B65B02"/>
    <w:rsid w:val="00B66EA6"/>
    <w:rsid w:val="00B7028E"/>
    <w:rsid w:val="00B70A31"/>
    <w:rsid w:val="00B71A93"/>
    <w:rsid w:val="00B75DEA"/>
    <w:rsid w:val="00B7689E"/>
    <w:rsid w:val="00B923F8"/>
    <w:rsid w:val="00B94B48"/>
    <w:rsid w:val="00B94CF1"/>
    <w:rsid w:val="00B97048"/>
    <w:rsid w:val="00BA069A"/>
    <w:rsid w:val="00BA6F71"/>
    <w:rsid w:val="00BC18A1"/>
    <w:rsid w:val="00BD79CB"/>
    <w:rsid w:val="00C00118"/>
    <w:rsid w:val="00C107E7"/>
    <w:rsid w:val="00C15838"/>
    <w:rsid w:val="00C16397"/>
    <w:rsid w:val="00C2665F"/>
    <w:rsid w:val="00C32C0A"/>
    <w:rsid w:val="00C32E24"/>
    <w:rsid w:val="00C454A0"/>
    <w:rsid w:val="00C541C6"/>
    <w:rsid w:val="00C62262"/>
    <w:rsid w:val="00C644DF"/>
    <w:rsid w:val="00C655D4"/>
    <w:rsid w:val="00C840F5"/>
    <w:rsid w:val="00C92BE8"/>
    <w:rsid w:val="00C94A82"/>
    <w:rsid w:val="00CA38A2"/>
    <w:rsid w:val="00CA455C"/>
    <w:rsid w:val="00CA6AC4"/>
    <w:rsid w:val="00CB135D"/>
    <w:rsid w:val="00CB19E1"/>
    <w:rsid w:val="00CC5D36"/>
    <w:rsid w:val="00CC7566"/>
    <w:rsid w:val="00CD217A"/>
    <w:rsid w:val="00CD677E"/>
    <w:rsid w:val="00CE2200"/>
    <w:rsid w:val="00CF337B"/>
    <w:rsid w:val="00CF519F"/>
    <w:rsid w:val="00D144A2"/>
    <w:rsid w:val="00D160A8"/>
    <w:rsid w:val="00D23732"/>
    <w:rsid w:val="00D52F97"/>
    <w:rsid w:val="00D5723C"/>
    <w:rsid w:val="00D57CA5"/>
    <w:rsid w:val="00D605F7"/>
    <w:rsid w:val="00D65CE1"/>
    <w:rsid w:val="00D67374"/>
    <w:rsid w:val="00D72FA8"/>
    <w:rsid w:val="00D74C22"/>
    <w:rsid w:val="00D75C8A"/>
    <w:rsid w:val="00D84D11"/>
    <w:rsid w:val="00D87195"/>
    <w:rsid w:val="00DB23B8"/>
    <w:rsid w:val="00DC568B"/>
    <w:rsid w:val="00DD26B2"/>
    <w:rsid w:val="00DD6B10"/>
    <w:rsid w:val="00DD6E95"/>
    <w:rsid w:val="00DD7E62"/>
    <w:rsid w:val="00DE08E0"/>
    <w:rsid w:val="00DE3834"/>
    <w:rsid w:val="00DF7892"/>
    <w:rsid w:val="00E17521"/>
    <w:rsid w:val="00E230DC"/>
    <w:rsid w:val="00E24344"/>
    <w:rsid w:val="00E41F61"/>
    <w:rsid w:val="00E43E6B"/>
    <w:rsid w:val="00E474D7"/>
    <w:rsid w:val="00E61532"/>
    <w:rsid w:val="00E62362"/>
    <w:rsid w:val="00E646F1"/>
    <w:rsid w:val="00E73738"/>
    <w:rsid w:val="00E75623"/>
    <w:rsid w:val="00E76312"/>
    <w:rsid w:val="00E80201"/>
    <w:rsid w:val="00E87156"/>
    <w:rsid w:val="00E9067E"/>
    <w:rsid w:val="00E90F64"/>
    <w:rsid w:val="00E92F50"/>
    <w:rsid w:val="00E935E9"/>
    <w:rsid w:val="00EA12E1"/>
    <w:rsid w:val="00EB2D2B"/>
    <w:rsid w:val="00EB755C"/>
    <w:rsid w:val="00EC30F9"/>
    <w:rsid w:val="00EC4A6F"/>
    <w:rsid w:val="00EE5501"/>
    <w:rsid w:val="00F018B9"/>
    <w:rsid w:val="00F11DBD"/>
    <w:rsid w:val="00F13F65"/>
    <w:rsid w:val="00F146EC"/>
    <w:rsid w:val="00F14D6B"/>
    <w:rsid w:val="00F15B93"/>
    <w:rsid w:val="00F1625B"/>
    <w:rsid w:val="00F26CC5"/>
    <w:rsid w:val="00F30E5F"/>
    <w:rsid w:val="00F510F8"/>
    <w:rsid w:val="00F61A62"/>
    <w:rsid w:val="00F62A37"/>
    <w:rsid w:val="00F64100"/>
    <w:rsid w:val="00F70EDB"/>
    <w:rsid w:val="00F92A4F"/>
    <w:rsid w:val="00F94D06"/>
    <w:rsid w:val="00FB1F5E"/>
    <w:rsid w:val="00FC6187"/>
    <w:rsid w:val="00FD22C7"/>
    <w:rsid w:val="00FF33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90"/>
    <w:pPr>
      <w:ind w:left="720"/>
      <w:contextualSpacing/>
    </w:pPr>
  </w:style>
  <w:style w:type="paragraph" w:styleId="FootnoteText">
    <w:name w:val="footnote text"/>
    <w:basedOn w:val="Normal"/>
    <w:link w:val="FootnoteTextChar"/>
    <w:uiPriority w:val="99"/>
    <w:semiHidden/>
    <w:unhideWhenUsed/>
    <w:rsid w:val="00B03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599"/>
    <w:rPr>
      <w:sz w:val="20"/>
      <w:szCs w:val="20"/>
    </w:rPr>
  </w:style>
  <w:style w:type="character" w:styleId="FootnoteReference">
    <w:name w:val="footnote reference"/>
    <w:basedOn w:val="DefaultParagraphFont"/>
    <w:uiPriority w:val="99"/>
    <w:semiHidden/>
    <w:unhideWhenUsed/>
    <w:rsid w:val="00B03599"/>
    <w:rPr>
      <w:vertAlign w:val="superscript"/>
    </w:rPr>
  </w:style>
  <w:style w:type="paragraph" w:styleId="Header">
    <w:name w:val="header"/>
    <w:basedOn w:val="Normal"/>
    <w:link w:val="HeaderChar"/>
    <w:uiPriority w:val="99"/>
    <w:unhideWhenUsed/>
    <w:rsid w:val="004C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25D"/>
  </w:style>
  <w:style w:type="paragraph" w:styleId="Footer">
    <w:name w:val="footer"/>
    <w:basedOn w:val="Normal"/>
    <w:link w:val="FooterChar"/>
    <w:uiPriority w:val="99"/>
    <w:unhideWhenUsed/>
    <w:rsid w:val="004C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25D"/>
  </w:style>
  <w:style w:type="paragraph" w:styleId="BalloonText">
    <w:name w:val="Balloon Text"/>
    <w:basedOn w:val="Normal"/>
    <w:link w:val="BalloonTextChar"/>
    <w:uiPriority w:val="99"/>
    <w:semiHidden/>
    <w:unhideWhenUsed/>
    <w:rsid w:val="0096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90"/>
    <w:pPr>
      <w:ind w:left="720"/>
      <w:contextualSpacing/>
    </w:pPr>
  </w:style>
  <w:style w:type="paragraph" w:styleId="FootnoteText">
    <w:name w:val="footnote text"/>
    <w:basedOn w:val="Normal"/>
    <w:link w:val="FootnoteTextChar"/>
    <w:uiPriority w:val="99"/>
    <w:semiHidden/>
    <w:unhideWhenUsed/>
    <w:rsid w:val="00B03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599"/>
    <w:rPr>
      <w:sz w:val="20"/>
      <w:szCs w:val="20"/>
    </w:rPr>
  </w:style>
  <w:style w:type="character" w:styleId="FootnoteReference">
    <w:name w:val="footnote reference"/>
    <w:basedOn w:val="DefaultParagraphFont"/>
    <w:uiPriority w:val="99"/>
    <w:semiHidden/>
    <w:unhideWhenUsed/>
    <w:rsid w:val="00B03599"/>
    <w:rPr>
      <w:vertAlign w:val="superscript"/>
    </w:rPr>
  </w:style>
  <w:style w:type="paragraph" w:styleId="Header">
    <w:name w:val="header"/>
    <w:basedOn w:val="Normal"/>
    <w:link w:val="HeaderChar"/>
    <w:uiPriority w:val="99"/>
    <w:unhideWhenUsed/>
    <w:rsid w:val="004C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25D"/>
  </w:style>
  <w:style w:type="paragraph" w:styleId="Footer">
    <w:name w:val="footer"/>
    <w:basedOn w:val="Normal"/>
    <w:link w:val="FooterChar"/>
    <w:uiPriority w:val="99"/>
    <w:unhideWhenUsed/>
    <w:rsid w:val="004C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25D"/>
  </w:style>
  <w:style w:type="paragraph" w:styleId="BalloonText">
    <w:name w:val="Balloon Text"/>
    <w:basedOn w:val="Normal"/>
    <w:link w:val="BalloonTextChar"/>
    <w:uiPriority w:val="99"/>
    <w:semiHidden/>
    <w:unhideWhenUsed/>
    <w:rsid w:val="0096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0549">
      <w:bodyDiv w:val="1"/>
      <w:marLeft w:val="0"/>
      <w:marRight w:val="0"/>
      <w:marTop w:val="0"/>
      <w:marBottom w:val="0"/>
      <w:divBdr>
        <w:top w:val="none" w:sz="0" w:space="0" w:color="auto"/>
        <w:left w:val="none" w:sz="0" w:space="0" w:color="auto"/>
        <w:bottom w:val="none" w:sz="0" w:space="0" w:color="auto"/>
        <w:right w:val="none" w:sz="0" w:space="0" w:color="auto"/>
      </w:divBdr>
      <w:divsChild>
        <w:div w:id="570386542">
          <w:marLeft w:val="0"/>
          <w:marRight w:val="0"/>
          <w:marTop w:val="120"/>
          <w:marBottom w:val="0"/>
          <w:divBdr>
            <w:top w:val="none" w:sz="0" w:space="0" w:color="auto"/>
            <w:left w:val="none" w:sz="0" w:space="0" w:color="auto"/>
            <w:bottom w:val="none" w:sz="0" w:space="0" w:color="auto"/>
            <w:right w:val="none" w:sz="0" w:space="0" w:color="auto"/>
          </w:divBdr>
        </w:div>
        <w:div w:id="1773743094">
          <w:marLeft w:val="1134"/>
          <w:marRight w:val="0"/>
          <w:marTop w:val="60"/>
          <w:marBottom w:val="0"/>
          <w:divBdr>
            <w:top w:val="none" w:sz="0" w:space="0" w:color="auto"/>
            <w:left w:val="none" w:sz="0" w:space="0" w:color="auto"/>
            <w:bottom w:val="none" w:sz="0" w:space="0" w:color="auto"/>
            <w:right w:val="none" w:sz="0" w:space="0" w:color="auto"/>
          </w:divBdr>
        </w:div>
        <w:div w:id="249704166">
          <w:marLeft w:val="1134"/>
          <w:marRight w:val="0"/>
          <w:marTop w:val="60"/>
          <w:marBottom w:val="0"/>
          <w:divBdr>
            <w:top w:val="none" w:sz="0" w:space="0" w:color="auto"/>
            <w:left w:val="none" w:sz="0" w:space="0" w:color="auto"/>
            <w:bottom w:val="none" w:sz="0" w:space="0" w:color="auto"/>
            <w:right w:val="none" w:sz="0" w:space="0" w:color="auto"/>
          </w:divBdr>
        </w:div>
        <w:div w:id="1449348815">
          <w:marLeft w:val="1871"/>
          <w:marRight w:val="0"/>
          <w:marTop w:val="60"/>
          <w:marBottom w:val="0"/>
          <w:divBdr>
            <w:top w:val="none" w:sz="0" w:space="0" w:color="auto"/>
            <w:left w:val="none" w:sz="0" w:space="0" w:color="auto"/>
            <w:bottom w:val="none" w:sz="0" w:space="0" w:color="auto"/>
            <w:right w:val="none" w:sz="0" w:space="0" w:color="auto"/>
          </w:divBdr>
        </w:div>
        <w:div w:id="155612592">
          <w:marLeft w:val="1871"/>
          <w:marRight w:val="0"/>
          <w:marTop w:val="60"/>
          <w:marBottom w:val="0"/>
          <w:divBdr>
            <w:top w:val="none" w:sz="0" w:space="0" w:color="auto"/>
            <w:left w:val="none" w:sz="0" w:space="0" w:color="auto"/>
            <w:bottom w:val="none" w:sz="0" w:space="0" w:color="auto"/>
            <w:right w:val="none" w:sz="0" w:space="0" w:color="auto"/>
          </w:divBdr>
        </w:div>
        <w:div w:id="126747810">
          <w:marLeft w:val="1134"/>
          <w:marRight w:val="0"/>
          <w:marTop w:val="60"/>
          <w:marBottom w:val="0"/>
          <w:divBdr>
            <w:top w:val="none" w:sz="0" w:space="0" w:color="auto"/>
            <w:left w:val="none" w:sz="0" w:space="0" w:color="auto"/>
            <w:bottom w:val="none" w:sz="0" w:space="0" w:color="auto"/>
            <w:right w:val="none" w:sz="0" w:space="0" w:color="auto"/>
          </w:divBdr>
        </w:div>
        <w:div w:id="1461538016">
          <w:marLeft w:val="1871"/>
          <w:marRight w:val="0"/>
          <w:marTop w:val="60"/>
          <w:marBottom w:val="0"/>
          <w:divBdr>
            <w:top w:val="none" w:sz="0" w:space="0" w:color="auto"/>
            <w:left w:val="none" w:sz="0" w:space="0" w:color="auto"/>
            <w:bottom w:val="none" w:sz="0" w:space="0" w:color="auto"/>
            <w:right w:val="none" w:sz="0" w:space="0" w:color="auto"/>
          </w:divBdr>
        </w:div>
        <w:div w:id="1457600208">
          <w:marLeft w:val="1871"/>
          <w:marRight w:val="0"/>
          <w:marTop w:val="60"/>
          <w:marBottom w:val="0"/>
          <w:divBdr>
            <w:top w:val="none" w:sz="0" w:space="0" w:color="auto"/>
            <w:left w:val="none" w:sz="0" w:space="0" w:color="auto"/>
            <w:bottom w:val="none" w:sz="0" w:space="0" w:color="auto"/>
            <w:right w:val="none" w:sz="0" w:space="0" w:color="auto"/>
          </w:divBdr>
        </w:div>
        <w:div w:id="1748765564">
          <w:marLeft w:val="1134"/>
          <w:marRight w:val="0"/>
          <w:marTop w:val="60"/>
          <w:marBottom w:val="0"/>
          <w:divBdr>
            <w:top w:val="none" w:sz="0" w:space="0" w:color="auto"/>
            <w:left w:val="none" w:sz="0" w:space="0" w:color="auto"/>
            <w:bottom w:val="none" w:sz="0" w:space="0" w:color="auto"/>
            <w:right w:val="none" w:sz="0" w:space="0" w:color="auto"/>
          </w:divBdr>
        </w:div>
        <w:div w:id="675575674">
          <w:marLeft w:val="1134"/>
          <w:marRight w:val="0"/>
          <w:marTop w:val="60"/>
          <w:marBottom w:val="0"/>
          <w:divBdr>
            <w:top w:val="none" w:sz="0" w:space="0" w:color="auto"/>
            <w:left w:val="none" w:sz="0" w:space="0" w:color="auto"/>
            <w:bottom w:val="none" w:sz="0" w:space="0" w:color="auto"/>
            <w:right w:val="none" w:sz="0" w:space="0" w:color="auto"/>
          </w:divBdr>
        </w:div>
        <w:div w:id="925504009">
          <w:marLeft w:val="1134"/>
          <w:marRight w:val="0"/>
          <w:marTop w:val="60"/>
          <w:marBottom w:val="0"/>
          <w:divBdr>
            <w:top w:val="none" w:sz="0" w:space="0" w:color="auto"/>
            <w:left w:val="none" w:sz="0" w:space="0" w:color="auto"/>
            <w:bottom w:val="none" w:sz="0" w:space="0" w:color="auto"/>
            <w:right w:val="none" w:sz="0" w:space="0" w:color="auto"/>
          </w:divBdr>
        </w:div>
        <w:div w:id="1574779945">
          <w:marLeft w:val="1134"/>
          <w:marRight w:val="0"/>
          <w:marTop w:val="60"/>
          <w:marBottom w:val="0"/>
          <w:divBdr>
            <w:top w:val="none" w:sz="0" w:space="0" w:color="auto"/>
            <w:left w:val="none" w:sz="0" w:space="0" w:color="auto"/>
            <w:bottom w:val="none" w:sz="0" w:space="0" w:color="auto"/>
            <w:right w:val="none" w:sz="0" w:space="0" w:color="auto"/>
          </w:divBdr>
        </w:div>
        <w:div w:id="477966559">
          <w:marLeft w:val="1134"/>
          <w:marRight w:val="0"/>
          <w:marTop w:val="60"/>
          <w:marBottom w:val="0"/>
          <w:divBdr>
            <w:top w:val="none" w:sz="0" w:space="0" w:color="auto"/>
            <w:left w:val="none" w:sz="0" w:space="0" w:color="auto"/>
            <w:bottom w:val="none" w:sz="0" w:space="0" w:color="auto"/>
            <w:right w:val="none" w:sz="0" w:space="0" w:color="auto"/>
          </w:divBdr>
        </w:div>
        <w:div w:id="1858230499">
          <w:marLeft w:val="1134"/>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4DB6-7FA7-4EE3-BC2D-9F17E7CA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Inge Papp</cp:lastModifiedBy>
  <cp:revision>2</cp:revision>
  <dcterms:created xsi:type="dcterms:W3CDTF">2022-10-24T16:14:00Z</dcterms:created>
  <dcterms:modified xsi:type="dcterms:W3CDTF">2022-10-24T16:14:00Z</dcterms:modified>
</cp:coreProperties>
</file>