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885" w:rsidRDefault="00972885" w:rsidP="00972885">
      <w:pPr>
        <w:spacing w:after="120"/>
        <w:jc w:val="center"/>
        <w:rPr>
          <w:b/>
          <w:u w:val="none"/>
          <w:lang w:val="en-ZA"/>
        </w:rPr>
      </w:pPr>
      <w:bookmarkStart w:id="0" w:name="_GoBack"/>
      <w:bookmarkEnd w:id="0"/>
      <w:r>
        <w:rPr>
          <w:b/>
          <w:u w:val="none"/>
          <w:lang w:val="en-ZA"/>
        </w:rPr>
        <w:t>REPUBLIC OF SOUTH AFRICA</w:t>
      </w:r>
    </w:p>
    <w:p w:rsidR="00972885" w:rsidRDefault="00972885" w:rsidP="00972885">
      <w:pPr>
        <w:jc w:val="center"/>
        <w:rPr>
          <w:b/>
          <w:u w:val="none"/>
          <w:lang w:val="en-ZA"/>
        </w:rPr>
      </w:pPr>
      <w:r>
        <w:rPr>
          <w:b/>
          <w:noProof/>
          <w:u w:val="none"/>
          <w:lang w:val="en-ZA" w:eastAsia="en-ZA"/>
        </w:rPr>
        <w:drawing>
          <wp:inline distT="0" distB="0" distL="0" distR="0" wp14:anchorId="038E06D0" wp14:editId="7AA80697">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rsidR="00972885" w:rsidRDefault="00972885" w:rsidP="00972885">
      <w:pPr>
        <w:spacing w:before="120"/>
        <w:jc w:val="center"/>
        <w:rPr>
          <w:b/>
          <w:u w:val="none"/>
          <w:lang w:val="en-ZA"/>
        </w:rPr>
      </w:pPr>
      <w:r>
        <w:rPr>
          <w:b/>
          <w:u w:val="none"/>
          <w:lang w:val="en-ZA"/>
        </w:rPr>
        <w:t>IN THE HIGH COURT OF SOUTH AFRICA</w:t>
      </w:r>
    </w:p>
    <w:p w:rsidR="00972885" w:rsidRDefault="00972885" w:rsidP="00972885">
      <w:pPr>
        <w:jc w:val="center"/>
        <w:rPr>
          <w:b/>
          <w:u w:val="none"/>
          <w:lang w:val="en-ZA"/>
        </w:rPr>
      </w:pPr>
      <w:r>
        <w:rPr>
          <w:b/>
          <w:u w:val="none"/>
          <w:lang w:val="en-ZA"/>
        </w:rPr>
        <w:t>GAUTENG DIVISION, JOHANNEBURG</w:t>
      </w:r>
    </w:p>
    <w:p w:rsidR="00972885" w:rsidRDefault="00972885" w:rsidP="00972885">
      <w:pPr>
        <w:jc w:val="center"/>
        <w:rPr>
          <w:b/>
          <w:u w:val="none"/>
          <w:lang w:val="en-ZA"/>
        </w:rPr>
      </w:pPr>
    </w:p>
    <w:p w:rsidR="00972885" w:rsidRDefault="00972885" w:rsidP="00972885">
      <w:pPr>
        <w:jc w:val="right"/>
        <w:rPr>
          <w:b/>
          <w:u w:val="none"/>
          <w:lang w:val="en-ZA"/>
        </w:rPr>
      </w:pPr>
      <w:r w:rsidRPr="00C03564">
        <w:rPr>
          <w:b/>
          <w:u w:val="none"/>
          <w:lang w:val="en-ZA"/>
        </w:rPr>
        <w:t>CASE NO</w:t>
      </w:r>
      <w:r w:rsidR="00BC10F5">
        <w:rPr>
          <w:b/>
          <w:u w:val="none"/>
          <w:lang w:val="en-ZA"/>
        </w:rPr>
        <w:t>:</w:t>
      </w:r>
      <w:r w:rsidR="00BC10F5" w:rsidRPr="00BC10F5">
        <w:rPr>
          <w:b/>
          <w:u w:val="none"/>
        </w:rPr>
        <w:t xml:space="preserve"> </w:t>
      </w:r>
      <w:r w:rsidR="000D5C03" w:rsidRPr="000D5C03">
        <w:rPr>
          <w:b/>
          <w:u w:val="none"/>
        </w:rPr>
        <w:t>Case No. 22/12536</w:t>
      </w:r>
    </w:p>
    <w:p w:rsidR="00972885" w:rsidRDefault="00972885" w:rsidP="00972885">
      <w:pPr>
        <w:jc w:val="both"/>
      </w:pPr>
    </w:p>
    <w:p w:rsidR="00972885" w:rsidRDefault="00972885" w:rsidP="00972885">
      <w:pPr>
        <w:jc w:val="both"/>
      </w:pPr>
    </w:p>
    <w:p w:rsidR="00972885" w:rsidRPr="009B39F0" w:rsidRDefault="00972885" w:rsidP="00972885">
      <w:pPr>
        <w:jc w:val="both"/>
      </w:pPr>
      <w:r>
        <w:rPr>
          <w:noProof/>
          <w:lang w:val="en-ZA" w:eastAsia="en-ZA"/>
        </w:rPr>
        <mc:AlternateContent>
          <mc:Choice Requires="wps">
            <w:drawing>
              <wp:anchor distT="0" distB="0" distL="114300" distR="114300" simplePos="0" relativeHeight="251659264" behindDoc="0" locked="0" layoutInCell="1" allowOverlap="1" wp14:anchorId="1B11D56E" wp14:editId="16359922">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rsidR="00950FD7" w:rsidRDefault="00950FD7" w:rsidP="00972885">
                            <w:pPr>
                              <w:rPr>
                                <w:sz w:val="20"/>
                                <w:szCs w:val="20"/>
                              </w:rPr>
                            </w:pPr>
                          </w:p>
                          <w:p w:rsidR="00950FD7" w:rsidRPr="004B32DC" w:rsidRDefault="00950FD7" w:rsidP="00972885">
                            <w:pPr>
                              <w:numPr>
                                <w:ilvl w:val="0"/>
                                <w:numId w:val="1"/>
                              </w:numPr>
                              <w:tabs>
                                <w:tab w:val="clear" w:pos="900"/>
                              </w:tabs>
                              <w:spacing w:before="120"/>
                              <w:ind w:left="567" w:hanging="386"/>
                              <w:rPr>
                                <w:sz w:val="20"/>
                                <w:szCs w:val="20"/>
                              </w:rPr>
                            </w:pPr>
                            <w:r>
                              <w:rPr>
                                <w:sz w:val="20"/>
                                <w:szCs w:val="20"/>
                              </w:rPr>
                              <w:t xml:space="preserve">REPORTABLE: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OF INTEREST TO OTHER JU</w:t>
                            </w:r>
                            <w:r>
                              <w:rPr>
                                <w:sz w:val="20"/>
                                <w:szCs w:val="20"/>
                              </w:rPr>
                              <w:t xml:space="preserve">DGES: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REVISED</w:t>
                            </w:r>
                            <w:r w:rsidR="009F3828">
                              <w:rPr>
                                <w:sz w:val="20"/>
                                <w:szCs w:val="20"/>
                              </w:rPr>
                              <w:t>: YES</w:t>
                            </w:r>
                          </w:p>
                          <w:p w:rsidR="00950FD7" w:rsidRPr="004B32DC" w:rsidRDefault="00950FD7" w:rsidP="00972885">
                            <w:pPr>
                              <w:rPr>
                                <w:b/>
                                <w:sz w:val="20"/>
                                <w:szCs w:val="20"/>
                              </w:rPr>
                            </w:pPr>
                          </w:p>
                          <w:p w:rsidR="00950FD7" w:rsidRPr="004B32DC" w:rsidRDefault="00950FD7" w:rsidP="00972885">
                            <w:pPr>
                              <w:rPr>
                                <w:b/>
                                <w:sz w:val="20"/>
                                <w:szCs w:val="20"/>
                              </w:rPr>
                            </w:pPr>
                          </w:p>
                          <w:p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081811">
                              <w:rPr>
                                <w:b/>
                                <w:sz w:val="18"/>
                                <w:szCs w:val="18"/>
                                <w:u w:val="none"/>
                              </w:rPr>
                              <w:t>[18</w:t>
                            </w:r>
                            <w:r>
                              <w:rPr>
                                <w:b/>
                                <w:sz w:val="18"/>
                                <w:szCs w:val="18"/>
                                <w:u w:val="none"/>
                              </w:rPr>
                              <w:t xml:space="preserve"> </w:t>
                            </w:r>
                            <w:r w:rsidR="000D5C03">
                              <w:rPr>
                                <w:b/>
                                <w:sz w:val="18"/>
                                <w:szCs w:val="18"/>
                                <w:u w:val="none"/>
                              </w:rPr>
                              <w:t xml:space="preserve">OCTOBER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1D56E"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PLAIAAFEEAAAOAAAAZHJzL2Uyb0RvYy54bWysVNuO0zAQfUfiHyy/0zTdFtqo6WrpUoS0&#10;XKRdPsBxnMTC9hjbbVK+nrHTLRHwhMiD5fHMHJ85M872dtCKnITzEkxJ89mcEmE41NK0Jf36dHi1&#10;psQHZmqmwIiSnoWnt7uXL7a9LcQCOlC1cARBjC96W9IuBFtkmeed0MzPwAqDzgacZgFN12a1Yz2i&#10;a5Ut5vPXWQ+utg648B5P70cn3SX8phE8fG4aLwJRJUVuIa0urVVcs92WFa1jtpP8QoP9AwvNpMFL&#10;r1D3LDBydPIPKC25Aw9NmHHQGTSN5CLVgNXk89+qeeyYFakWFMfbq0z+/8HyT6cvjsgae0eJYRpb&#10;9CSGQN7CQPKoTm99gUGPFsPCgMcxMlbq7QPwb54Y2HfMtOLOOeg7wWpklzKzSeqI4yNI1X+EGq9h&#10;xwAJaGicjoAoBkF07NL52plIhePhzWKTr5fo4ujLb/J8k6feZax4TrfOh/cCNImbkjpsfYJnpwcf&#10;sBAMfQ5J9EHJ+iCVSoZrq71y5MRwTA7pi7Vjip+GKUP6km5Wi9WowNTnpxDz9P0NQsuA866kLun6&#10;GsSKqNs7U6dpDEyqcY/3K4M0opBRu1HFMFTDpTEV1GeU1ME41/gOcdOB+0FJjzNdUv/9yJygRH0w&#10;2JZNvowahmQsV28WaLipp5p6mOEIVdJAybjdh/HhHK2TbYc3jYNg4A5b2cgkcqQ6srrwxrlNQl7e&#10;WHwYUztF/foT7H4CAAD//wMAUEsDBBQABgAIAAAAIQC+UJB33gAAAAYBAAAPAAAAZHJzL2Rvd25y&#10;ZXYueG1sTI/BTsMwEETvSPyDtUhcEHVS0jYN2VQICURvUBBc3XibRMTrYLtp+HvMCY6jGc28KTeT&#10;6cVIzneWEdJZAoK4trrjBuHt9eE6B+GDYq16y4TwTR421flZqQptT/xC4y40IpawLxRCG8JQSOnr&#10;lozyMzsQR+9gnVEhStdI7dQplptezpNkKY3qOC60aqD7lurP3dEg5NnT+OG3N8/v9fLQr8PVanz8&#10;coiXF9PdLYhAU/gLwy9+RIcqMu3tkbUXPUI8EhBWaxDRXKR5BmKPME+zBciqlP/xqx8AAAD//wMA&#10;UEsBAi0AFAAGAAgAAAAhALaDOJL+AAAA4QEAABMAAAAAAAAAAAAAAAAAAAAAAFtDb250ZW50X1R5&#10;cGVzXS54bWxQSwECLQAUAAYACAAAACEAOP0h/9YAAACUAQAACwAAAAAAAAAAAAAAAAAvAQAAX3Jl&#10;bHMvLnJlbHNQSwECLQAUAAYACAAAACEAjm9gDywCAABRBAAADgAAAAAAAAAAAAAAAAAuAgAAZHJz&#10;L2Uyb0RvYy54bWxQSwECLQAUAAYACAAAACEAvlCQd94AAAAGAQAADwAAAAAAAAAAAAAAAACGBAAA&#10;ZHJzL2Rvd25yZXYueG1sUEsFBgAAAAAEAAQA8wAAAJEFAAAAAA==&#10;">
                <v:textbox>
                  <w:txbxContent>
                    <w:p w:rsidR="00950FD7" w:rsidRDefault="00950FD7" w:rsidP="00972885">
                      <w:pPr>
                        <w:rPr>
                          <w:sz w:val="20"/>
                          <w:szCs w:val="20"/>
                        </w:rPr>
                      </w:pPr>
                    </w:p>
                    <w:p w:rsidR="00950FD7" w:rsidRPr="004B32DC" w:rsidRDefault="00950FD7" w:rsidP="00972885">
                      <w:pPr>
                        <w:numPr>
                          <w:ilvl w:val="0"/>
                          <w:numId w:val="1"/>
                        </w:numPr>
                        <w:tabs>
                          <w:tab w:val="clear" w:pos="900"/>
                        </w:tabs>
                        <w:spacing w:before="120"/>
                        <w:ind w:left="567" w:hanging="386"/>
                        <w:rPr>
                          <w:sz w:val="20"/>
                          <w:szCs w:val="20"/>
                        </w:rPr>
                      </w:pPr>
                      <w:r>
                        <w:rPr>
                          <w:sz w:val="20"/>
                          <w:szCs w:val="20"/>
                        </w:rPr>
                        <w:t xml:space="preserve">REPORTABLE: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OF INTEREST TO OTHER JU</w:t>
                      </w:r>
                      <w:r>
                        <w:rPr>
                          <w:sz w:val="20"/>
                          <w:szCs w:val="20"/>
                        </w:rPr>
                        <w:t xml:space="preserve">DGES: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REVISED</w:t>
                      </w:r>
                      <w:r w:rsidR="009F3828">
                        <w:rPr>
                          <w:sz w:val="20"/>
                          <w:szCs w:val="20"/>
                        </w:rPr>
                        <w:t>: YES</w:t>
                      </w:r>
                    </w:p>
                    <w:p w:rsidR="00950FD7" w:rsidRPr="004B32DC" w:rsidRDefault="00950FD7" w:rsidP="00972885">
                      <w:pPr>
                        <w:rPr>
                          <w:b/>
                          <w:sz w:val="20"/>
                          <w:szCs w:val="20"/>
                        </w:rPr>
                      </w:pPr>
                    </w:p>
                    <w:p w:rsidR="00950FD7" w:rsidRPr="004B32DC" w:rsidRDefault="00950FD7" w:rsidP="00972885">
                      <w:pPr>
                        <w:rPr>
                          <w:b/>
                          <w:sz w:val="20"/>
                          <w:szCs w:val="20"/>
                        </w:rPr>
                      </w:pPr>
                    </w:p>
                    <w:p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081811">
                        <w:rPr>
                          <w:b/>
                          <w:sz w:val="18"/>
                          <w:szCs w:val="18"/>
                          <w:u w:val="none"/>
                        </w:rPr>
                        <w:t>[18</w:t>
                      </w:r>
                      <w:r>
                        <w:rPr>
                          <w:b/>
                          <w:sz w:val="18"/>
                          <w:szCs w:val="18"/>
                          <w:u w:val="none"/>
                        </w:rPr>
                        <w:t xml:space="preserve"> </w:t>
                      </w:r>
                      <w:r w:rsidR="000D5C03">
                        <w:rPr>
                          <w:b/>
                          <w:sz w:val="18"/>
                          <w:szCs w:val="18"/>
                          <w:u w:val="none"/>
                        </w:rPr>
                        <w:t xml:space="preserve">OCTOBER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v:textbox>
              </v:shape>
            </w:pict>
          </mc:Fallback>
        </mc:AlternateContent>
      </w:r>
    </w:p>
    <w:p w:rsidR="00972885" w:rsidRDefault="00972885" w:rsidP="00972885">
      <w:pPr>
        <w:jc w:val="both"/>
      </w:pPr>
    </w:p>
    <w:p w:rsidR="00972885"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Pr="009B39F0" w:rsidRDefault="00972885" w:rsidP="00972885">
      <w:pPr>
        <w:jc w:val="both"/>
      </w:pPr>
    </w:p>
    <w:p w:rsidR="00972885" w:rsidRDefault="00972885" w:rsidP="00972885">
      <w:pPr>
        <w:rPr>
          <w:u w:val="none"/>
        </w:rPr>
      </w:pPr>
    </w:p>
    <w:p w:rsidR="00972885" w:rsidRDefault="00972885" w:rsidP="00972885">
      <w:pPr>
        <w:rPr>
          <w:u w:val="none"/>
        </w:rPr>
      </w:pPr>
      <w:r>
        <w:rPr>
          <w:u w:val="none"/>
        </w:rPr>
        <w:t>In the matter between:</w:t>
      </w:r>
    </w:p>
    <w:p w:rsidR="00972885" w:rsidRDefault="00972885" w:rsidP="00972885">
      <w:pPr>
        <w:rPr>
          <w:i/>
          <w:u w:val="none"/>
        </w:rPr>
      </w:pPr>
    </w:p>
    <w:p w:rsidR="00972885" w:rsidRDefault="000D5C03" w:rsidP="00972885">
      <w:pPr>
        <w:rPr>
          <w:b/>
          <w:u w:val="none"/>
        </w:rPr>
      </w:pPr>
      <w:r w:rsidRPr="000D5C03">
        <w:rPr>
          <w:b/>
          <w:u w:val="none"/>
        </w:rPr>
        <w:t>STEPHAN DALLAS MATHEBULA</w:t>
      </w:r>
      <w:r w:rsidR="00B70154">
        <w:rPr>
          <w:b/>
          <w:u w:val="none"/>
        </w:rPr>
        <w:tab/>
      </w:r>
      <w:r w:rsidR="00B70154">
        <w:rPr>
          <w:b/>
          <w:u w:val="none"/>
        </w:rPr>
        <w:tab/>
      </w:r>
      <w:r w:rsidR="00B70154">
        <w:rPr>
          <w:b/>
          <w:u w:val="none"/>
        </w:rPr>
        <w:tab/>
      </w:r>
      <w:r w:rsidR="00B70154">
        <w:rPr>
          <w:b/>
          <w:u w:val="none"/>
        </w:rPr>
        <w:tab/>
        <w:t xml:space="preserve">      </w:t>
      </w:r>
      <w:r w:rsidR="00F127FB">
        <w:rPr>
          <w:b/>
          <w:u w:val="none"/>
        </w:rPr>
        <w:t xml:space="preserve">   </w:t>
      </w:r>
      <w:r w:rsidR="00E46C4B">
        <w:rPr>
          <w:b/>
          <w:u w:val="none"/>
        </w:rPr>
        <w:t>APPLICANT</w:t>
      </w:r>
      <w:r w:rsidR="00972885">
        <w:rPr>
          <w:b/>
          <w:u w:val="none"/>
        </w:rPr>
        <w:tab/>
      </w:r>
      <w:r w:rsidR="00972885">
        <w:rPr>
          <w:b/>
          <w:u w:val="none"/>
        </w:rPr>
        <w:tab/>
      </w:r>
      <w:r w:rsidR="00972885">
        <w:rPr>
          <w:b/>
          <w:u w:val="none"/>
        </w:rPr>
        <w:tab/>
      </w:r>
      <w:r w:rsidR="00972885">
        <w:rPr>
          <w:b/>
          <w:u w:val="none"/>
        </w:rPr>
        <w:tab/>
      </w:r>
      <w:r w:rsidR="00972885">
        <w:rPr>
          <w:b/>
          <w:u w:val="none"/>
        </w:rPr>
        <w:tab/>
        <w:t xml:space="preserve">     </w:t>
      </w:r>
      <w:r w:rsidR="00972885">
        <w:rPr>
          <w:b/>
          <w:u w:val="none"/>
        </w:rPr>
        <w:tab/>
      </w:r>
      <w:r w:rsidR="00972885">
        <w:rPr>
          <w:b/>
          <w:u w:val="none"/>
        </w:rPr>
        <w:tab/>
      </w:r>
    </w:p>
    <w:p w:rsidR="00BC10F5" w:rsidRDefault="00BC10F5" w:rsidP="00972885">
      <w:pPr>
        <w:rPr>
          <w:u w:val="none"/>
        </w:rPr>
      </w:pPr>
    </w:p>
    <w:p w:rsidR="00972885" w:rsidRDefault="00972885" w:rsidP="00972885">
      <w:pPr>
        <w:rPr>
          <w:u w:val="none"/>
        </w:rPr>
      </w:pPr>
      <w:r>
        <w:rPr>
          <w:u w:val="none"/>
        </w:rPr>
        <w:t>And</w:t>
      </w:r>
    </w:p>
    <w:p w:rsidR="00972885" w:rsidRDefault="00972885" w:rsidP="00972885">
      <w:pPr>
        <w:rPr>
          <w:u w:val="none"/>
        </w:rPr>
      </w:pPr>
    </w:p>
    <w:p w:rsidR="00BC10F5" w:rsidRDefault="00BC10F5" w:rsidP="00972885">
      <w:pPr>
        <w:spacing w:line="360" w:lineRule="auto"/>
        <w:rPr>
          <w:b/>
          <w:u w:val="none"/>
        </w:rPr>
      </w:pPr>
    </w:p>
    <w:p w:rsidR="00972885" w:rsidRDefault="00B70154" w:rsidP="00972885">
      <w:pPr>
        <w:spacing w:line="360" w:lineRule="auto"/>
        <w:rPr>
          <w:b/>
          <w:u w:val="none"/>
        </w:rPr>
      </w:pPr>
      <w:r>
        <w:rPr>
          <w:b/>
          <w:u w:val="none"/>
        </w:rPr>
        <w:t>FIRSTRAND AUTO RECEIVABLES (RF)</w:t>
      </w:r>
      <w:r w:rsidR="000D5C03" w:rsidRPr="000D5C03">
        <w:rPr>
          <w:b/>
          <w:u w:val="none"/>
        </w:rPr>
        <w:t xml:space="preserve"> LTD</w:t>
      </w:r>
      <w:r w:rsidR="00BC10F5">
        <w:rPr>
          <w:b/>
          <w:u w:val="none"/>
        </w:rPr>
        <w:tab/>
      </w:r>
      <w:r w:rsidR="00BC10F5">
        <w:rPr>
          <w:b/>
          <w:u w:val="none"/>
        </w:rPr>
        <w:tab/>
      </w:r>
      <w:r w:rsidR="00E61438">
        <w:rPr>
          <w:b/>
          <w:u w:val="none"/>
        </w:rPr>
        <w:t xml:space="preserve">            </w:t>
      </w:r>
      <w:r w:rsidR="000D5C03">
        <w:rPr>
          <w:b/>
          <w:u w:val="none"/>
        </w:rPr>
        <w:t xml:space="preserve"> </w:t>
      </w:r>
      <w:r>
        <w:rPr>
          <w:b/>
          <w:u w:val="none"/>
        </w:rPr>
        <w:t xml:space="preserve">    </w:t>
      </w:r>
      <w:r w:rsidR="00E46C4B">
        <w:rPr>
          <w:b/>
          <w:u w:val="none"/>
        </w:rPr>
        <w:t>RESPONDENT</w:t>
      </w:r>
      <w:r w:rsidR="00972885">
        <w:rPr>
          <w:b/>
          <w:u w:val="none"/>
        </w:rPr>
        <w:tab/>
      </w:r>
      <w:r w:rsidR="00972885">
        <w:rPr>
          <w:b/>
          <w:u w:val="none"/>
        </w:rPr>
        <w:tab/>
      </w:r>
      <w:r w:rsidR="00972885">
        <w:rPr>
          <w:b/>
          <w:u w:val="none"/>
        </w:rPr>
        <w:tab/>
      </w:r>
      <w:r w:rsidR="00972885">
        <w:rPr>
          <w:b/>
          <w:u w:val="none"/>
        </w:rPr>
        <w:tab/>
        <w:t xml:space="preserve">     </w:t>
      </w:r>
      <w:r w:rsidR="00972885">
        <w:rPr>
          <w:b/>
          <w:u w:val="none"/>
        </w:rPr>
        <w:tab/>
      </w:r>
      <w:r w:rsidR="00972885">
        <w:rPr>
          <w:b/>
          <w:u w:val="none"/>
        </w:rPr>
        <w:tab/>
      </w:r>
    </w:p>
    <w:p w:rsidR="00972885" w:rsidRPr="002C075C" w:rsidRDefault="00972885" w:rsidP="00972885">
      <w:pPr>
        <w:rPr>
          <w:u w:val="none"/>
        </w:rPr>
      </w:pPr>
      <w:r>
        <w:rPr>
          <w:u w:val="none"/>
          <w:lang w:val="en-ZA"/>
        </w:rPr>
        <w:t xml:space="preserve">___________________________________________________________________ </w:t>
      </w:r>
    </w:p>
    <w:p w:rsidR="00972885" w:rsidRDefault="00972885" w:rsidP="00972885">
      <w:pPr>
        <w:tabs>
          <w:tab w:val="right" w:pos="8280"/>
        </w:tabs>
        <w:jc w:val="both"/>
        <w:rPr>
          <w:u w:val="none"/>
          <w:lang w:val="en-ZA"/>
        </w:rPr>
      </w:pPr>
    </w:p>
    <w:p w:rsidR="00972885" w:rsidRPr="00562DB9" w:rsidRDefault="00E46C4B" w:rsidP="00972885">
      <w:pPr>
        <w:tabs>
          <w:tab w:val="right" w:pos="8280"/>
        </w:tabs>
        <w:jc w:val="center"/>
        <w:rPr>
          <w:b/>
          <w:u w:val="none"/>
          <w:lang w:val="en-ZA"/>
        </w:rPr>
      </w:pPr>
      <w:r>
        <w:rPr>
          <w:b/>
          <w:u w:val="none"/>
          <w:lang w:val="en-ZA"/>
        </w:rPr>
        <w:t>J</w:t>
      </w:r>
      <w:r w:rsidR="00972885">
        <w:rPr>
          <w:b/>
          <w:u w:val="none"/>
          <w:lang w:val="en-ZA"/>
        </w:rPr>
        <w:t xml:space="preserve"> U D G M E N T</w:t>
      </w:r>
    </w:p>
    <w:p w:rsidR="00972885" w:rsidRDefault="00972885" w:rsidP="00972885">
      <w:pPr>
        <w:tabs>
          <w:tab w:val="right" w:pos="8280"/>
        </w:tabs>
        <w:rPr>
          <w:u w:val="none"/>
          <w:lang w:val="en-ZA"/>
        </w:rPr>
      </w:pPr>
      <w:r>
        <w:rPr>
          <w:u w:val="none"/>
          <w:lang w:val="en-ZA"/>
        </w:rPr>
        <w:t xml:space="preserve">___________________________________________________________________ </w:t>
      </w:r>
    </w:p>
    <w:p w:rsidR="00972885" w:rsidRDefault="00972885" w:rsidP="00972885"/>
    <w:p w:rsidR="00972885" w:rsidRDefault="00972885" w:rsidP="00972885">
      <w:pPr>
        <w:rPr>
          <w:b/>
          <w:u w:val="none"/>
        </w:rPr>
      </w:pPr>
      <w:r>
        <w:rPr>
          <w:b/>
          <w:u w:val="none"/>
        </w:rPr>
        <w:t>MUDAU,</w:t>
      </w:r>
      <w:r w:rsidRPr="00FC415D">
        <w:rPr>
          <w:b/>
          <w:u w:val="none"/>
        </w:rPr>
        <w:t xml:space="preserve"> J</w:t>
      </w:r>
      <w:r>
        <w:rPr>
          <w:b/>
          <w:u w:val="none"/>
        </w:rPr>
        <w:t>:</w:t>
      </w:r>
    </w:p>
    <w:p w:rsidR="007C0DD4" w:rsidRDefault="007C0DD4" w:rsidP="00173A14">
      <w:pPr>
        <w:pStyle w:val="NoSpacing"/>
      </w:pPr>
    </w:p>
    <w:p w:rsidR="00972885" w:rsidRDefault="00972885" w:rsidP="00972885">
      <w:pPr>
        <w:rPr>
          <w:u w:val="none"/>
        </w:rPr>
      </w:pPr>
    </w:p>
    <w:p w:rsidR="000D5C03" w:rsidRDefault="000D5C03" w:rsidP="00173A14">
      <w:pPr>
        <w:spacing w:line="360" w:lineRule="auto"/>
        <w:ind w:left="340" w:hanging="340"/>
        <w:jc w:val="both"/>
        <w:rPr>
          <w:color w:val="242121"/>
          <w:u w:val="none"/>
          <w:shd w:val="clear" w:color="auto" w:fill="FFFFFF"/>
        </w:rPr>
      </w:pPr>
      <w:r w:rsidRPr="000D5C03">
        <w:rPr>
          <w:color w:val="242121"/>
          <w:u w:val="none"/>
          <w:shd w:val="clear" w:color="auto" w:fill="FFFFFF"/>
        </w:rPr>
        <w:t>[1] This is an application in which the applicant seeks rescission of judgment. The application is not brought, in terms of rule 31(2), nor rule 42(1) of the Uniform Rules of Court, but under the common law.</w:t>
      </w:r>
    </w:p>
    <w:p w:rsidR="001F50C9" w:rsidRPr="000D5C03" w:rsidRDefault="001F50C9" w:rsidP="00173A14">
      <w:pPr>
        <w:spacing w:line="360" w:lineRule="auto"/>
        <w:ind w:left="340" w:hanging="340"/>
        <w:jc w:val="both"/>
        <w:rPr>
          <w:color w:val="242121"/>
          <w:u w:val="none"/>
          <w:shd w:val="clear" w:color="auto" w:fill="FFFFFF"/>
        </w:rPr>
      </w:pPr>
    </w:p>
    <w:p w:rsidR="0091327B" w:rsidRDefault="0091327B" w:rsidP="00173A14">
      <w:pPr>
        <w:spacing w:line="360" w:lineRule="auto"/>
        <w:jc w:val="both"/>
        <w:rPr>
          <w:color w:val="242121"/>
          <w:u w:val="none"/>
          <w:shd w:val="clear" w:color="auto" w:fill="FFFFFF"/>
        </w:rPr>
      </w:pPr>
    </w:p>
    <w:p w:rsidR="000D5C03" w:rsidRDefault="000D5C03" w:rsidP="00173A14">
      <w:pPr>
        <w:spacing w:line="360" w:lineRule="auto"/>
        <w:jc w:val="both"/>
        <w:rPr>
          <w:color w:val="242121"/>
          <w:u w:val="none"/>
          <w:shd w:val="clear" w:color="auto" w:fill="FFFFFF"/>
        </w:rPr>
      </w:pPr>
      <w:r w:rsidRPr="000D5C03">
        <w:rPr>
          <w:color w:val="242121"/>
          <w:u w:val="none"/>
          <w:shd w:val="clear" w:color="auto" w:fill="FFFFFF"/>
        </w:rPr>
        <w:lastRenderedPageBreak/>
        <w:t>The background facts</w:t>
      </w:r>
    </w:p>
    <w:p w:rsidR="0091327B" w:rsidRPr="000D5C03" w:rsidRDefault="0091327B" w:rsidP="00173A14">
      <w:pPr>
        <w:spacing w:line="360" w:lineRule="auto"/>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sidRPr="000D5C03">
        <w:rPr>
          <w:color w:val="242121"/>
          <w:u w:val="none"/>
          <w:shd w:val="clear" w:color="auto" w:fill="FFFFFF"/>
        </w:rPr>
        <w:t>[2] The applicant and respondent entered into an instalment sale agreement on 6 February 2017, in respect of which the applicant bought a 2016 Hyundai motor car.</w:t>
      </w:r>
      <w:r w:rsidRPr="000D5C03">
        <w:rPr>
          <w:u w:val="none"/>
        </w:rPr>
        <w:t xml:space="preserve"> </w:t>
      </w:r>
      <w:r w:rsidRPr="000D5C03">
        <w:rPr>
          <w:color w:val="242121"/>
          <w:u w:val="none"/>
          <w:shd w:val="clear" w:color="auto" w:fill="FFFFFF"/>
        </w:rPr>
        <w:t xml:space="preserve">The applicant agreed to pay 72 monthly instalments of R4, 731.27 to the respondent but later defaulted. A written notice in terms of section 129(1)(a) of the National Credit Act, 34 of 2005 was sent to the applicant by registered mail at the address nominated by the applicant as his </w:t>
      </w:r>
      <w:r w:rsidRPr="00173A14">
        <w:rPr>
          <w:i/>
          <w:color w:val="242121"/>
          <w:u w:val="none"/>
          <w:shd w:val="clear" w:color="auto" w:fill="FFFFFF"/>
        </w:rPr>
        <w:t>domicilium citandi et executandi</w:t>
      </w:r>
      <w:r w:rsidRPr="000D5C03">
        <w:rPr>
          <w:color w:val="242121"/>
          <w:u w:val="none"/>
          <w:shd w:val="clear" w:color="auto" w:fill="FFFFFF"/>
        </w:rPr>
        <w:t xml:space="preserve"> per “annexure AA5”.</w:t>
      </w:r>
    </w:p>
    <w:p w:rsidR="00A26DBD"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Pr>
          <w:color w:val="242121"/>
          <w:u w:val="none"/>
          <w:shd w:val="clear" w:color="auto" w:fill="FFFFFF"/>
        </w:rPr>
        <w:t xml:space="preserve">[3] </w:t>
      </w:r>
      <w:r w:rsidRPr="000D5C03">
        <w:rPr>
          <w:color w:val="242121"/>
          <w:u w:val="none"/>
          <w:shd w:val="clear" w:color="auto" w:fill="FFFFFF"/>
        </w:rPr>
        <w:t xml:space="preserve">The applicant was as at 5 September 2021, in arrears in the amount of R28, 624.47 as per a statement of </w:t>
      </w:r>
      <w:r w:rsidR="00D44E35" w:rsidRPr="000D5C03">
        <w:rPr>
          <w:color w:val="242121"/>
          <w:u w:val="none"/>
          <w:shd w:val="clear" w:color="auto" w:fill="FFFFFF"/>
        </w:rPr>
        <w:t>balance, “annexure</w:t>
      </w:r>
      <w:r w:rsidRPr="000D5C03">
        <w:rPr>
          <w:color w:val="242121"/>
          <w:u w:val="none"/>
          <w:shd w:val="clear" w:color="auto" w:fill="FFFFFF"/>
        </w:rPr>
        <w:t xml:space="preserve"> AA6".</w:t>
      </w:r>
      <w:r w:rsidRPr="000D5C03">
        <w:rPr>
          <w:u w:val="none"/>
        </w:rPr>
        <w:t xml:space="preserve"> </w:t>
      </w:r>
      <w:r w:rsidRPr="000D5C03">
        <w:rPr>
          <w:color w:val="242121"/>
          <w:u w:val="none"/>
          <w:shd w:val="clear" w:color="auto" w:fill="FFFFFF"/>
        </w:rPr>
        <w:t>Summons were issued on 20 September 2021 and served on the applicant on 10 November 2021 at 103 Waterford View, Bloubosrand</w:t>
      </w:r>
      <w:r w:rsidR="00FD43B4">
        <w:rPr>
          <w:color w:val="242121"/>
          <w:u w:val="none"/>
          <w:shd w:val="clear" w:color="auto" w:fill="FFFFFF"/>
        </w:rPr>
        <w:t>,</w:t>
      </w:r>
      <w:r w:rsidRPr="000D5C03">
        <w:rPr>
          <w:color w:val="242121"/>
          <w:u w:val="none"/>
          <w:shd w:val="clear" w:color="auto" w:fill="FFFFFF"/>
        </w:rPr>
        <w:t xml:space="preserve"> the address being the chosen </w:t>
      </w:r>
      <w:r w:rsidRPr="00173A14">
        <w:rPr>
          <w:i/>
          <w:color w:val="242121"/>
          <w:u w:val="none"/>
          <w:shd w:val="clear" w:color="auto" w:fill="FFFFFF"/>
        </w:rPr>
        <w:t>domicilium citandi et executandi</w:t>
      </w:r>
      <w:r w:rsidRPr="000D5C03">
        <w:rPr>
          <w:color w:val="242121"/>
          <w:u w:val="none"/>
          <w:shd w:val="clear" w:color="auto" w:fill="FFFFFF"/>
        </w:rPr>
        <w:t xml:space="preserve"> by affixing a copy to the principal door. The applicant however failed to enter notice of intention to defend the action. Consequently, the respondent applied for default judgment application and was granted an order for default judgment on 02 December 2021 under case No, 2021/45060.</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sidRPr="000D5C03">
        <w:rPr>
          <w:color w:val="242121"/>
          <w:u w:val="none"/>
          <w:shd w:val="clear" w:color="auto" w:fill="FFFFFF"/>
        </w:rPr>
        <w:t xml:space="preserve">[4] Subsequently, the applicant issued an urgent application against the respondent on 24 March 2022, in respect of which the applicant sought an order to have the respondent restore possession of the motor vehicle to the </w:t>
      </w:r>
      <w:r w:rsidR="00FD43B4">
        <w:rPr>
          <w:color w:val="242121"/>
          <w:u w:val="none"/>
          <w:shd w:val="clear" w:color="auto" w:fill="FFFFFF"/>
        </w:rPr>
        <w:t>a</w:t>
      </w:r>
      <w:r w:rsidRPr="000D5C03">
        <w:rPr>
          <w:color w:val="242121"/>
          <w:u w:val="none"/>
          <w:shd w:val="clear" w:color="auto" w:fill="FFFFFF"/>
        </w:rPr>
        <w:t>pplicant. The urgent application was withdrawn by the applicant with costs in the cause. Inexplicably, the urgent application was issued under a different case number 2022/11353. The application for rescission of judgment is issued under case number 2022/12536, which is different from the case under which the judgment by default was obtained. This practice must be deplored.</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sidRPr="000D5C03">
        <w:rPr>
          <w:color w:val="242121"/>
          <w:u w:val="none"/>
          <w:shd w:val="clear" w:color="auto" w:fill="FFFFFF"/>
        </w:rPr>
        <w:t>[5] An applicant for rescission of judgment taken by default against him is required to show good cause</w:t>
      </w:r>
      <w:r w:rsidR="00FD43B4">
        <w:rPr>
          <w:color w:val="242121"/>
          <w:u w:val="none"/>
          <w:shd w:val="clear" w:color="auto" w:fill="FFFFFF"/>
        </w:rPr>
        <w:t>.</w:t>
      </w:r>
      <w:r w:rsidR="001F50C9">
        <w:rPr>
          <w:rStyle w:val="FootnoteReference"/>
          <w:color w:val="242121"/>
          <w:u w:val="none"/>
          <w:shd w:val="clear" w:color="auto" w:fill="FFFFFF"/>
        </w:rPr>
        <w:footnoteReference w:id="1"/>
      </w:r>
      <w:r w:rsidRPr="000D5C03">
        <w:rPr>
          <w:color w:val="242121"/>
          <w:u w:val="none"/>
          <w:shd w:val="clear" w:color="auto" w:fill="FFFFFF"/>
        </w:rPr>
        <w:t> Whilst the courts have consistently refrained from circumscribing a precise meaning of the term ‘good cause’</w:t>
      </w:r>
      <w:r w:rsidR="001F50C9">
        <w:rPr>
          <w:rStyle w:val="FootnoteReference"/>
          <w:color w:val="242121"/>
          <w:u w:val="none"/>
          <w:shd w:val="clear" w:color="auto" w:fill="FFFFFF"/>
        </w:rPr>
        <w:footnoteReference w:id="2"/>
      </w:r>
      <w:r w:rsidRPr="000D5C03">
        <w:rPr>
          <w:color w:val="242121"/>
          <w:u w:val="none"/>
          <w:shd w:val="clear" w:color="auto" w:fill="FFFFFF"/>
        </w:rPr>
        <w:t xml:space="preserve">,generally courts expect an applicant to show ‘good cause’ (a) by giving a reasonable explanation of his </w:t>
      </w:r>
      <w:r w:rsidRPr="000D5C03">
        <w:rPr>
          <w:color w:val="242121"/>
          <w:u w:val="none"/>
          <w:shd w:val="clear" w:color="auto" w:fill="FFFFFF"/>
        </w:rPr>
        <w:lastRenderedPageBreak/>
        <w:t>default; (b) by showing that his application is </w:t>
      </w:r>
      <w:r w:rsidRPr="000D5C03">
        <w:rPr>
          <w:i/>
          <w:iCs/>
          <w:color w:val="242121"/>
          <w:u w:val="none"/>
          <w:shd w:val="clear" w:color="auto" w:fill="FFFFFF"/>
        </w:rPr>
        <w:t>bona fide</w:t>
      </w:r>
      <w:r w:rsidRPr="000D5C03">
        <w:rPr>
          <w:color w:val="242121"/>
          <w:u w:val="none"/>
          <w:shd w:val="clear" w:color="auto" w:fill="FFFFFF"/>
        </w:rPr>
        <w:t>; and (c) by showing that he has a </w:t>
      </w:r>
      <w:r w:rsidRPr="000D5C03">
        <w:rPr>
          <w:i/>
          <w:iCs/>
          <w:color w:val="242121"/>
          <w:u w:val="none"/>
          <w:shd w:val="clear" w:color="auto" w:fill="FFFFFF"/>
        </w:rPr>
        <w:t>bona fide</w:t>
      </w:r>
      <w:r w:rsidRPr="000D5C03">
        <w:rPr>
          <w:color w:val="242121"/>
          <w:u w:val="none"/>
          <w:shd w:val="clear" w:color="auto" w:fill="FFFFFF"/>
        </w:rPr>
        <w:t> defence to the plaintiff’s claim which, </w:t>
      </w:r>
      <w:r w:rsidRPr="000D5C03">
        <w:rPr>
          <w:i/>
          <w:iCs/>
          <w:color w:val="242121"/>
          <w:u w:val="none"/>
          <w:shd w:val="clear" w:color="auto" w:fill="FFFFFF"/>
        </w:rPr>
        <w:t>prima facie, </w:t>
      </w:r>
      <w:r w:rsidRPr="000D5C03">
        <w:rPr>
          <w:color w:val="242121"/>
          <w:u w:val="none"/>
          <w:shd w:val="clear" w:color="auto" w:fill="FFFFFF"/>
        </w:rPr>
        <w:t>has some prospect of success.</w:t>
      </w:r>
    </w:p>
    <w:p w:rsidR="006A1906" w:rsidRPr="000D5C03" w:rsidRDefault="006A1906" w:rsidP="00173A14">
      <w:pPr>
        <w:spacing w:line="360" w:lineRule="auto"/>
        <w:ind w:left="340" w:hanging="340"/>
        <w:jc w:val="both"/>
        <w:rPr>
          <w:color w:val="242121"/>
          <w:u w:val="none"/>
          <w:shd w:val="clear" w:color="auto" w:fill="FFFFFF"/>
        </w:rPr>
      </w:pPr>
    </w:p>
    <w:p w:rsidR="000D5C03" w:rsidRDefault="001F50C9" w:rsidP="00173A14">
      <w:pPr>
        <w:spacing w:line="360" w:lineRule="auto"/>
        <w:ind w:left="340" w:hanging="340"/>
        <w:jc w:val="both"/>
        <w:rPr>
          <w:color w:val="242121"/>
          <w:u w:val="none"/>
          <w:shd w:val="clear" w:color="auto" w:fill="FFFFFF"/>
        </w:rPr>
      </w:pPr>
      <w:r>
        <w:rPr>
          <w:color w:val="242121"/>
          <w:u w:val="none"/>
          <w:shd w:val="clear" w:color="auto" w:fill="FFFFFF"/>
        </w:rPr>
        <w:t xml:space="preserve">[6] </w:t>
      </w:r>
      <w:r w:rsidR="000D5C03" w:rsidRPr="000D5C03">
        <w:rPr>
          <w:color w:val="242121"/>
          <w:u w:val="none"/>
          <w:shd w:val="clear" w:color="auto" w:fill="FFFFFF"/>
        </w:rPr>
        <w:t>The applicant alleges that he knew for the first time that the respondent has taken legal action against him on 21 February 2022, when he was contacted by the Sheriff of the Court, yet the notice of motion was only issued on 31 March 2022 outside of the 20 days’ period for late filing contrary to the applicable rule in respect of which he seeks condonation.</w:t>
      </w:r>
    </w:p>
    <w:p w:rsidR="00A26DBD" w:rsidRDefault="00A26DBD" w:rsidP="00173A14">
      <w:pPr>
        <w:spacing w:line="360" w:lineRule="auto"/>
        <w:ind w:left="340" w:hanging="340"/>
        <w:jc w:val="both"/>
        <w:rPr>
          <w:color w:val="242121"/>
          <w:u w:val="none"/>
          <w:shd w:val="clear" w:color="auto" w:fill="FFFFFF"/>
        </w:rPr>
      </w:pPr>
    </w:p>
    <w:p w:rsidR="000D5C03" w:rsidRDefault="001F50C9" w:rsidP="00173A14">
      <w:pPr>
        <w:spacing w:line="360" w:lineRule="auto"/>
        <w:ind w:left="340" w:hanging="340"/>
        <w:jc w:val="both"/>
        <w:rPr>
          <w:color w:val="242121"/>
          <w:u w:val="none"/>
          <w:shd w:val="clear" w:color="auto" w:fill="FFFFFF"/>
        </w:rPr>
      </w:pPr>
      <w:r>
        <w:rPr>
          <w:color w:val="242121"/>
          <w:u w:val="none"/>
          <w:shd w:val="clear" w:color="auto" w:fill="FFFFFF"/>
        </w:rPr>
        <w:t>[7</w:t>
      </w:r>
      <w:r w:rsidR="000D5C03">
        <w:rPr>
          <w:color w:val="242121"/>
          <w:u w:val="none"/>
          <w:shd w:val="clear" w:color="auto" w:fill="FFFFFF"/>
        </w:rPr>
        <w:t xml:space="preserve">] </w:t>
      </w:r>
      <w:r w:rsidR="000D5C03" w:rsidRPr="000D5C03">
        <w:rPr>
          <w:color w:val="242121"/>
          <w:u w:val="none"/>
          <w:shd w:val="clear" w:color="auto" w:fill="FFFFFF"/>
        </w:rPr>
        <w:t>The high water mark of his purported defence is that, the arrear</w:t>
      </w:r>
      <w:r w:rsidR="00F91BA5">
        <w:rPr>
          <w:color w:val="242121"/>
          <w:u w:val="none"/>
          <w:shd w:val="clear" w:color="auto" w:fill="FFFFFF"/>
        </w:rPr>
        <w:t>s</w:t>
      </w:r>
      <w:r w:rsidR="000D5C03" w:rsidRPr="000D5C03">
        <w:rPr>
          <w:color w:val="242121"/>
          <w:u w:val="none"/>
          <w:shd w:val="clear" w:color="auto" w:fill="FFFFFF"/>
        </w:rPr>
        <w:t xml:space="preserve"> amount was not substantial to justify cancellation of the agreement. It is clear from reading of his affidavit that the applicant does not dispute </w:t>
      </w:r>
      <w:r w:rsidR="00824A7A">
        <w:rPr>
          <w:color w:val="242121"/>
          <w:u w:val="none"/>
          <w:shd w:val="clear" w:color="auto" w:fill="FFFFFF"/>
        </w:rPr>
        <w:t>and/</w:t>
      </w:r>
      <w:r w:rsidR="000D5C03" w:rsidRPr="000D5C03">
        <w:rPr>
          <w:color w:val="242121"/>
          <w:u w:val="none"/>
          <w:shd w:val="clear" w:color="auto" w:fill="FFFFFF"/>
        </w:rPr>
        <w:t xml:space="preserve">or aver that he was not in arrears. </w:t>
      </w:r>
    </w:p>
    <w:p w:rsidR="00A26DBD" w:rsidRPr="000D5C03" w:rsidRDefault="00A26DBD" w:rsidP="00173A14">
      <w:pPr>
        <w:spacing w:line="360" w:lineRule="auto"/>
        <w:ind w:left="340" w:hanging="340"/>
        <w:jc w:val="both"/>
        <w:rPr>
          <w:color w:val="242121"/>
          <w:u w:val="none"/>
          <w:shd w:val="clear" w:color="auto" w:fill="FFFFFF"/>
        </w:rPr>
      </w:pPr>
    </w:p>
    <w:p w:rsidR="000D5C03" w:rsidRDefault="001F50C9" w:rsidP="00173A14">
      <w:pPr>
        <w:spacing w:line="360" w:lineRule="auto"/>
        <w:ind w:left="340" w:hanging="340"/>
        <w:jc w:val="both"/>
        <w:rPr>
          <w:color w:val="242121"/>
          <w:u w:val="none"/>
          <w:shd w:val="clear" w:color="auto" w:fill="FFFFFF"/>
        </w:rPr>
      </w:pPr>
      <w:r>
        <w:rPr>
          <w:color w:val="242121"/>
          <w:u w:val="none"/>
          <w:shd w:val="clear" w:color="auto" w:fill="FFFFFF"/>
        </w:rPr>
        <w:t>[8</w:t>
      </w:r>
      <w:r w:rsidR="000D5C03" w:rsidRPr="000D5C03">
        <w:rPr>
          <w:color w:val="242121"/>
          <w:u w:val="none"/>
          <w:shd w:val="clear" w:color="auto" w:fill="FFFFFF"/>
        </w:rPr>
        <w:t>] The applicant also contends that, the summons should have been issued and the matter heard in the Magistrate's Court as it falls within its jurisdiction in that the instalment sale agreement involved a sum of money amounting to R340, 651.44 and the current monetary jurisdiction in the Magistrate court is R400, 000.00.</w:t>
      </w:r>
      <w:r w:rsidR="000D5C03" w:rsidRPr="000D5C03">
        <w:rPr>
          <w:u w:val="none"/>
        </w:rPr>
        <w:t xml:space="preserve"> </w:t>
      </w:r>
      <w:r w:rsidR="000D5C03" w:rsidRPr="000D5C03">
        <w:rPr>
          <w:color w:val="242121"/>
          <w:u w:val="none"/>
          <w:shd w:val="clear" w:color="auto" w:fill="FFFFFF"/>
        </w:rPr>
        <w:t>However, Clause 22.8 of terms and conditions of the instalment agreement state that</w:t>
      </w:r>
      <w:r w:rsidR="00F619BE">
        <w:rPr>
          <w:color w:val="242121"/>
          <w:u w:val="none"/>
          <w:shd w:val="clear" w:color="auto" w:fill="FFFFFF"/>
        </w:rPr>
        <w:t>:</w:t>
      </w:r>
      <w:r w:rsidR="000D5C03" w:rsidRPr="000D5C03">
        <w:rPr>
          <w:color w:val="242121"/>
          <w:u w:val="none"/>
          <w:shd w:val="clear" w:color="auto" w:fill="FFFFFF"/>
        </w:rPr>
        <w:t xml:space="preserve"> </w:t>
      </w:r>
      <w:r w:rsidR="00F619BE">
        <w:rPr>
          <w:color w:val="242121"/>
          <w:u w:val="none"/>
          <w:shd w:val="clear" w:color="auto" w:fill="FFFFFF"/>
        </w:rPr>
        <w:t>‘</w:t>
      </w:r>
      <w:r w:rsidR="000D5C03" w:rsidRPr="000D5C03">
        <w:rPr>
          <w:color w:val="242121"/>
          <w:u w:val="none"/>
          <w:shd w:val="clear" w:color="auto" w:fill="FFFFFF"/>
        </w:rPr>
        <w:t xml:space="preserve">In terms of section 45 of the Magistrate's Court Act 32 of 1944 and at our option, any claim that may arise </w:t>
      </w:r>
      <w:r w:rsidR="000D5C03" w:rsidRPr="000D5C03">
        <w:rPr>
          <w:color w:val="242121"/>
          <w:shd w:val="clear" w:color="auto" w:fill="FFFFFF"/>
        </w:rPr>
        <w:t>may be recovered</w:t>
      </w:r>
      <w:r w:rsidR="000D5C03" w:rsidRPr="000D5C03">
        <w:rPr>
          <w:color w:val="242121"/>
          <w:u w:val="none"/>
          <w:shd w:val="clear" w:color="auto" w:fill="FFFFFF"/>
        </w:rPr>
        <w:t xml:space="preserve"> in any magistrate's court having jurisdiction and you hereby consent to the jurisdiction of the Magistrates Court</w:t>
      </w:r>
      <w:r w:rsidR="00F619BE">
        <w:rPr>
          <w:color w:val="242121"/>
          <w:u w:val="none"/>
          <w:shd w:val="clear" w:color="auto" w:fill="FFFFFF"/>
        </w:rPr>
        <w:t>’</w:t>
      </w:r>
      <w:r w:rsidR="000D5C03" w:rsidRPr="000D5C03">
        <w:rPr>
          <w:color w:val="242121"/>
          <w:u w:val="none"/>
          <w:shd w:val="clear" w:color="auto" w:fill="FFFFFF"/>
        </w:rPr>
        <w:t>. My emphasis.</w:t>
      </w:r>
    </w:p>
    <w:p w:rsidR="00A26DBD" w:rsidRPr="000D5C03" w:rsidRDefault="00A26DBD" w:rsidP="00173A14">
      <w:pPr>
        <w:spacing w:line="360" w:lineRule="auto"/>
        <w:ind w:left="340" w:hanging="340"/>
        <w:jc w:val="both"/>
        <w:rPr>
          <w:color w:val="242121"/>
          <w:u w:val="none"/>
          <w:shd w:val="clear" w:color="auto" w:fill="FFFFFF"/>
        </w:rPr>
      </w:pPr>
    </w:p>
    <w:p w:rsidR="000D5C03" w:rsidRDefault="001F50C9" w:rsidP="00173A14">
      <w:pPr>
        <w:spacing w:line="360" w:lineRule="auto"/>
        <w:ind w:left="340" w:hanging="340"/>
        <w:jc w:val="both"/>
        <w:rPr>
          <w:color w:val="242121"/>
          <w:u w:val="none"/>
          <w:shd w:val="clear" w:color="auto" w:fill="FFFFFF"/>
        </w:rPr>
      </w:pPr>
      <w:r>
        <w:rPr>
          <w:color w:val="242121"/>
          <w:u w:val="none"/>
          <w:shd w:val="clear" w:color="auto" w:fill="FFFFFF"/>
        </w:rPr>
        <w:t>[9</w:t>
      </w:r>
      <w:r w:rsidR="000D5C03" w:rsidRPr="000D5C03">
        <w:rPr>
          <w:color w:val="242121"/>
          <w:u w:val="none"/>
          <w:shd w:val="clear" w:color="auto" w:fill="FFFFFF"/>
        </w:rPr>
        <w:t>] Moreover, it is settled law that the high court has concurrent jurisdiction with any magistrate's court in its area of jurisdiction and that National Credit Act does not oust the jurisdiction of the high court</w:t>
      </w:r>
      <w:r w:rsidR="00681FDE">
        <w:rPr>
          <w:color w:val="242121"/>
          <w:u w:val="none"/>
          <w:shd w:val="clear" w:color="auto" w:fill="FFFFFF"/>
        </w:rPr>
        <w:t>.</w:t>
      </w:r>
      <w:r>
        <w:rPr>
          <w:rStyle w:val="FootnoteReference"/>
          <w:color w:val="242121"/>
          <w:u w:val="none"/>
          <w:shd w:val="clear" w:color="auto" w:fill="FFFFFF"/>
        </w:rPr>
        <w:footnoteReference w:id="3"/>
      </w:r>
      <w:r w:rsidR="000D5C03" w:rsidRPr="000D5C03">
        <w:rPr>
          <w:color w:val="242121"/>
          <w:u w:val="none"/>
          <w:shd w:val="clear" w:color="auto" w:fill="FFFFFF"/>
        </w:rPr>
        <w:t xml:space="preserve"> In </w:t>
      </w:r>
      <w:r w:rsidR="000A7F1D" w:rsidRPr="00173A14">
        <w:rPr>
          <w:i/>
          <w:color w:val="242121"/>
          <w:u w:val="none"/>
          <w:shd w:val="clear" w:color="auto" w:fill="FFFFFF"/>
        </w:rPr>
        <w:t>Standard Bank v</w:t>
      </w:r>
      <w:r w:rsidR="000A7F1D">
        <w:rPr>
          <w:color w:val="242121"/>
          <w:u w:val="none"/>
          <w:shd w:val="clear" w:color="auto" w:fill="FFFFFF"/>
        </w:rPr>
        <w:t xml:space="preserve"> </w:t>
      </w:r>
      <w:r w:rsidR="000D5C03" w:rsidRPr="00173A14">
        <w:rPr>
          <w:i/>
          <w:color w:val="242121"/>
          <w:u w:val="none"/>
          <w:shd w:val="clear" w:color="auto" w:fill="FFFFFF"/>
        </w:rPr>
        <w:t>Mpongo</w:t>
      </w:r>
      <w:r>
        <w:rPr>
          <w:rStyle w:val="FootnoteReference"/>
          <w:color w:val="242121"/>
          <w:u w:val="none"/>
          <w:shd w:val="clear" w:color="auto" w:fill="FFFFFF"/>
        </w:rPr>
        <w:footnoteReference w:id="4"/>
      </w:r>
      <w:r w:rsidR="000D5C03" w:rsidRPr="000D5C03">
        <w:rPr>
          <w:color w:val="242121"/>
          <w:u w:val="none"/>
          <w:shd w:val="clear" w:color="auto" w:fill="FFFFFF"/>
        </w:rPr>
        <w:t xml:space="preserve">, the SCA confirmed that a plaintiff who initiates litigation proceedings has the right, as </w:t>
      </w:r>
      <w:r w:rsidR="000D5C03" w:rsidRPr="00173A14">
        <w:rPr>
          <w:i/>
          <w:color w:val="242121"/>
          <w:u w:val="none"/>
          <w:shd w:val="clear" w:color="auto" w:fill="FFFFFF"/>
        </w:rPr>
        <w:t>dominus litis</w:t>
      </w:r>
      <w:r w:rsidR="000D5C03" w:rsidRPr="000D5C03">
        <w:rPr>
          <w:color w:val="242121"/>
          <w:u w:val="none"/>
          <w:shd w:val="clear" w:color="auto" w:fill="FFFFFF"/>
        </w:rPr>
        <w:t xml:space="preserve">, to decide in which court he or she wishes to enforce his or her rights. </w:t>
      </w:r>
      <w:r w:rsidR="00AD147E">
        <w:rPr>
          <w:color w:val="242121"/>
          <w:u w:val="none"/>
          <w:shd w:val="clear" w:color="auto" w:fill="FFFFFF"/>
        </w:rPr>
        <w:t>It was also pointed out that i</w:t>
      </w:r>
      <w:r w:rsidR="00AD147E" w:rsidRPr="00AD147E">
        <w:rPr>
          <w:color w:val="242121"/>
          <w:u w:val="none"/>
          <w:shd w:val="clear" w:color="auto" w:fill="FFFFFF"/>
        </w:rPr>
        <w:t>t is law of long standing that when a High Court has a matter before it that could have been brought in a magistrates' court, it has no power to refuse to hear the matter.</w:t>
      </w:r>
      <w:r w:rsidR="00AD147E" w:rsidRPr="00AD147E">
        <w:rPr>
          <w:rFonts w:ascii="Verdana" w:hAnsi="Verdana"/>
          <w:color w:val="000000"/>
          <w:sz w:val="20"/>
          <w:szCs w:val="20"/>
          <w:u w:val="none"/>
        </w:rPr>
        <w:t xml:space="preserve"> </w:t>
      </w:r>
      <w:r w:rsidR="000D5C03" w:rsidRPr="000D5C03">
        <w:rPr>
          <w:color w:val="242121"/>
          <w:u w:val="none"/>
          <w:shd w:val="clear" w:color="auto" w:fill="FFFFFF"/>
        </w:rPr>
        <w:t>Accordingly, this court does</w:t>
      </w:r>
      <w:r w:rsidR="000D5C03" w:rsidRPr="001F50C9">
        <w:rPr>
          <w:color w:val="242121"/>
          <w:u w:val="none"/>
          <w:shd w:val="clear" w:color="auto" w:fill="FFFFFF"/>
        </w:rPr>
        <w:t xml:space="preserve"> not</w:t>
      </w:r>
      <w:r w:rsidR="000D5C03" w:rsidRPr="000D5C03">
        <w:rPr>
          <w:color w:val="242121"/>
          <w:u w:val="none"/>
          <w:shd w:val="clear" w:color="auto" w:fill="FFFFFF"/>
        </w:rPr>
        <w:t xml:space="preserve"> have inherent </w:t>
      </w:r>
      <w:r w:rsidR="000D5C03" w:rsidRPr="000D5C03">
        <w:rPr>
          <w:color w:val="242121"/>
          <w:u w:val="none"/>
          <w:shd w:val="clear" w:color="auto" w:fill="FFFFFF"/>
        </w:rPr>
        <w:lastRenderedPageBreak/>
        <w:t>jurisdiction to refuse to hear a litigant in a matter within its jurisdiction, properly brought before it.</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340" w:hanging="340"/>
        <w:jc w:val="both"/>
        <w:rPr>
          <w:color w:val="242121"/>
          <w:u w:val="none"/>
          <w:shd w:val="clear" w:color="auto" w:fill="FFFFFF"/>
        </w:rPr>
      </w:pPr>
      <w:r>
        <w:rPr>
          <w:color w:val="242121"/>
          <w:shd w:val="clear" w:color="auto" w:fill="FFFFFF"/>
        </w:rPr>
        <w:t>[</w:t>
      </w:r>
      <w:r w:rsidRPr="000D5C03">
        <w:rPr>
          <w:color w:val="242121"/>
          <w:u w:val="none"/>
          <w:shd w:val="clear" w:color="auto" w:fill="FFFFFF"/>
        </w:rPr>
        <w:t>9] The applicant’s complaint that he did not receive a copy of the summons as it was served by affixing to the principal door is without merit. As a place chosen by a person where process in judicial proceedings may be served upon such person, a </w:t>
      </w:r>
      <w:r w:rsidRPr="000D5C03">
        <w:rPr>
          <w:i/>
          <w:color w:val="242121"/>
          <w:u w:val="none"/>
          <w:shd w:val="clear" w:color="auto" w:fill="FFFFFF"/>
        </w:rPr>
        <w:t xml:space="preserve">domicilium </w:t>
      </w:r>
      <w:r w:rsidRPr="00173A14">
        <w:rPr>
          <w:i/>
          <w:color w:val="242121"/>
          <w:u w:val="none"/>
          <w:shd w:val="clear" w:color="auto" w:fill="FFFFFF"/>
        </w:rPr>
        <w:t>citandi</w:t>
      </w:r>
      <w:r w:rsidR="001F50C9">
        <w:rPr>
          <w:rStyle w:val="FootnoteReference"/>
          <w:color w:val="242121"/>
          <w:u w:val="none"/>
          <w:shd w:val="clear" w:color="auto" w:fill="FFFFFF"/>
        </w:rPr>
        <w:footnoteReference w:id="5"/>
      </w:r>
      <w:r w:rsidRPr="000D5C03">
        <w:rPr>
          <w:color w:val="242121"/>
          <w:u w:val="none"/>
          <w:shd w:val="clear" w:color="auto" w:fill="FFFFFF"/>
        </w:rPr>
        <w:t>, the general approach by courts is that the </w:t>
      </w:r>
      <w:r w:rsidRPr="000D5C03">
        <w:rPr>
          <w:i/>
          <w:color w:val="242121"/>
          <w:u w:val="none"/>
          <w:shd w:val="clear" w:color="auto" w:fill="FFFFFF"/>
        </w:rPr>
        <w:t>domicilium</w:t>
      </w:r>
      <w:r w:rsidRPr="000D5C03">
        <w:rPr>
          <w:color w:val="242121"/>
          <w:u w:val="none"/>
          <w:shd w:val="clear" w:color="auto" w:fill="FFFFFF"/>
        </w:rPr>
        <w:t> so chosen must be taken to be the person’s place of abode within the meaning of the rules of court which deals with the service of a summons, even though the defendant is known not to be living there</w:t>
      </w:r>
      <w:r w:rsidR="00004AFA">
        <w:rPr>
          <w:color w:val="242121"/>
          <w:u w:val="none"/>
          <w:shd w:val="clear" w:color="auto" w:fill="FFFFFF"/>
        </w:rPr>
        <w:t>.</w:t>
      </w:r>
      <w:r w:rsidR="008C658B">
        <w:rPr>
          <w:rStyle w:val="FootnoteReference"/>
          <w:color w:val="242121"/>
          <w:u w:val="none"/>
          <w:shd w:val="clear" w:color="auto" w:fill="FFFFFF"/>
        </w:rPr>
        <w:footnoteReference w:id="6"/>
      </w:r>
      <w:r w:rsidRPr="000D5C03">
        <w:rPr>
          <w:color w:val="242121"/>
          <w:u w:val="none"/>
          <w:shd w:val="clear" w:color="auto" w:fill="FFFFFF"/>
        </w:rPr>
        <w:t xml:space="preserve"> In this instance service was accordingly good and in compliance with Subrule 4(1)(a)(iv) of the Uniform Rules.</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454" w:hanging="454"/>
        <w:jc w:val="both"/>
        <w:rPr>
          <w:color w:val="242121"/>
          <w:u w:val="none"/>
          <w:shd w:val="clear" w:color="auto" w:fill="FFFFFF"/>
        </w:rPr>
      </w:pPr>
      <w:r w:rsidRPr="000D5C03">
        <w:rPr>
          <w:color w:val="242121"/>
          <w:u w:val="none"/>
          <w:shd w:val="clear" w:color="auto" w:fill="FFFFFF"/>
        </w:rPr>
        <w:t xml:space="preserve">[10] According to the applicant, a written notice in terms of section 129(1)(a) of the National Credit Act to the applicant by registered mail at the address nominated by the applicant as his </w:t>
      </w:r>
      <w:r w:rsidRPr="000D5C03">
        <w:rPr>
          <w:i/>
          <w:color w:val="242121"/>
          <w:u w:val="none"/>
          <w:shd w:val="clear" w:color="auto" w:fill="FFFFFF"/>
        </w:rPr>
        <w:t>domicilium citandi et executandi</w:t>
      </w:r>
      <w:r w:rsidRPr="000D5C03">
        <w:rPr>
          <w:color w:val="242121"/>
          <w:u w:val="none"/>
          <w:shd w:val="clear" w:color="auto" w:fill="FFFFFF"/>
        </w:rPr>
        <w:t xml:space="preserve"> as per </w:t>
      </w:r>
      <w:r w:rsidR="00293657">
        <w:rPr>
          <w:color w:val="242121"/>
          <w:u w:val="none"/>
          <w:shd w:val="clear" w:color="auto" w:fill="FFFFFF"/>
        </w:rPr>
        <w:t>“</w:t>
      </w:r>
      <w:r w:rsidRPr="000D5C03">
        <w:rPr>
          <w:color w:val="242121"/>
          <w:u w:val="none"/>
          <w:shd w:val="clear" w:color="auto" w:fill="FFFFFF"/>
        </w:rPr>
        <w:t>annexure AA5</w:t>
      </w:r>
      <w:r w:rsidR="00293657">
        <w:rPr>
          <w:color w:val="242121"/>
          <w:u w:val="none"/>
          <w:shd w:val="clear" w:color="auto" w:fill="FFFFFF"/>
        </w:rPr>
        <w:t>’’</w:t>
      </w:r>
      <w:r w:rsidRPr="000D5C03">
        <w:rPr>
          <w:color w:val="242121"/>
          <w:u w:val="none"/>
          <w:shd w:val="clear" w:color="auto" w:fill="FFFFFF"/>
        </w:rPr>
        <w:t xml:space="preserve"> preceded the summons. This aspect is not seriously challenged.</w:t>
      </w:r>
    </w:p>
    <w:p w:rsidR="00A26DBD" w:rsidRPr="000D5C03" w:rsidRDefault="00A26DBD" w:rsidP="00173A14">
      <w:pPr>
        <w:spacing w:line="360" w:lineRule="auto"/>
        <w:ind w:left="340" w:hanging="340"/>
        <w:jc w:val="both"/>
        <w:rPr>
          <w:color w:val="242121"/>
          <w:u w:val="none"/>
          <w:shd w:val="clear" w:color="auto" w:fill="FFFFFF"/>
        </w:rPr>
      </w:pPr>
    </w:p>
    <w:p w:rsidR="000D5C03" w:rsidRDefault="000D5C03" w:rsidP="00173A14">
      <w:pPr>
        <w:spacing w:line="360" w:lineRule="auto"/>
        <w:ind w:left="454" w:hanging="454"/>
        <w:jc w:val="both"/>
        <w:rPr>
          <w:color w:val="242121"/>
          <w:u w:val="none"/>
          <w:shd w:val="clear" w:color="auto" w:fill="FFFFFF"/>
        </w:rPr>
      </w:pPr>
      <w:r>
        <w:rPr>
          <w:color w:val="242121"/>
          <w:u w:val="none"/>
          <w:shd w:val="clear" w:color="auto" w:fill="FFFFFF"/>
        </w:rPr>
        <w:t xml:space="preserve">[11] </w:t>
      </w:r>
      <w:r w:rsidRPr="000D5C03">
        <w:rPr>
          <w:color w:val="242121"/>
          <w:u w:val="none"/>
          <w:shd w:val="clear" w:color="auto" w:fill="FFFFFF"/>
        </w:rPr>
        <w:t xml:space="preserve">In applying the above legal principles to the facts of the instant application, it is plain that the applicant failed </w:t>
      </w:r>
      <w:r w:rsidR="00293657">
        <w:rPr>
          <w:color w:val="242121"/>
          <w:u w:val="none"/>
          <w:shd w:val="clear" w:color="auto" w:fill="FFFFFF"/>
        </w:rPr>
        <w:t xml:space="preserve">to </w:t>
      </w:r>
      <w:r w:rsidRPr="000D5C03">
        <w:rPr>
          <w:color w:val="242121"/>
          <w:u w:val="none"/>
          <w:shd w:val="clear" w:color="auto" w:fill="FFFFFF"/>
        </w:rPr>
        <w:t>me</w:t>
      </w:r>
      <w:r w:rsidR="00293657">
        <w:rPr>
          <w:color w:val="242121"/>
          <w:u w:val="none"/>
          <w:shd w:val="clear" w:color="auto" w:fill="FFFFFF"/>
        </w:rPr>
        <w:t>e</w:t>
      </w:r>
      <w:r w:rsidRPr="000D5C03">
        <w:rPr>
          <w:color w:val="242121"/>
          <w:u w:val="none"/>
          <w:shd w:val="clear" w:color="auto" w:fill="FFFFFF"/>
        </w:rPr>
        <w:t>t the requirements for the rescission of the default judgment under the common law, or under the rules of court even if cond</w:t>
      </w:r>
      <w:r w:rsidR="0030641E">
        <w:rPr>
          <w:color w:val="242121"/>
          <w:u w:val="none"/>
          <w:shd w:val="clear" w:color="auto" w:fill="FFFFFF"/>
        </w:rPr>
        <w:t>onation</w:t>
      </w:r>
      <w:r w:rsidRPr="000D5C03">
        <w:rPr>
          <w:color w:val="242121"/>
          <w:u w:val="none"/>
          <w:shd w:val="clear" w:color="auto" w:fill="FFFFFF"/>
        </w:rPr>
        <w:t xml:space="preserve"> was to be considered in his favour.  At the time of the default judgment being granted, he was in breach of the loan agreement. The respondent had a valid cause of action against them.  Counsel for the applicant was constrained to concede in that regard in closing argument</w:t>
      </w:r>
      <w:r w:rsidR="00F151F5">
        <w:rPr>
          <w:color w:val="242121"/>
          <w:u w:val="none"/>
          <w:shd w:val="clear" w:color="auto" w:fill="FFFFFF"/>
        </w:rPr>
        <w:t>s</w:t>
      </w:r>
      <w:r w:rsidRPr="000D5C03">
        <w:rPr>
          <w:color w:val="242121"/>
          <w:u w:val="none"/>
          <w:shd w:val="clear" w:color="auto" w:fill="FFFFFF"/>
        </w:rPr>
        <w:t>. The application for rescission of judgment is entirely without merit and falls to be dismissed with the attendant scale of the costs order in terms of the agreement</w:t>
      </w:r>
      <w:r w:rsidR="00F151F5">
        <w:rPr>
          <w:color w:val="242121"/>
          <w:u w:val="none"/>
          <w:shd w:val="clear" w:color="auto" w:fill="FFFFFF"/>
        </w:rPr>
        <w:t>.</w:t>
      </w:r>
    </w:p>
    <w:p w:rsidR="006A1906" w:rsidRPr="000D5C03" w:rsidRDefault="006A1906" w:rsidP="00173A14">
      <w:pPr>
        <w:pStyle w:val="NoSpacing"/>
        <w:rPr>
          <w:shd w:val="clear" w:color="auto" w:fill="FFFFFF"/>
        </w:rPr>
      </w:pPr>
    </w:p>
    <w:p w:rsidR="004068BB" w:rsidRPr="000D5C03" w:rsidRDefault="000D5C03" w:rsidP="007645B9">
      <w:pPr>
        <w:spacing w:before="120" w:after="120" w:line="360" w:lineRule="auto"/>
        <w:ind w:left="2"/>
        <w:jc w:val="both"/>
        <w:rPr>
          <w:color w:val="000000"/>
          <w:u w:val="none"/>
          <w:shd w:val="clear" w:color="auto" w:fill="FFFFFF"/>
        </w:rPr>
      </w:pPr>
      <w:r w:rsidRPr="000D5C03">
        <w:rPr>
          <w:color w:val="000000"/>
          <w:u w:val="none"/>
          <w:shd w:val="clear" w:color="auto" w:fill="FFFFFF"/>
        </w:rPr>
        <w:t xml:space="preserve">[12] </w:t>
      </w:r>
      <w:r w:rsidR="00F475E3" w:rsidRPr="000D5C03">
        <w:rPr>
          <w:color w:val="000000"/>
          <w:u w:val="none"/>
          <w:shd w:val="clear" w:color="auto" w:fill="FFFFFF"/>
        </w:rPr>
        <w:t>Order</w:t>
      </w:r>
    </w:p>
    <w:p w:rsidR="005D331D" w:rsidRDefault="000D5C03" w:rsidP="001773BC">
      <w:pPr>
        <w:pStyle w:val="normaltext"/>
        <w:shd w:val="clear" w:color="auto" w:fill="FFFFFF"/>
        <w:spacing w:before="180" w:beforeAutospacing="0" w:after="0" w:afterAutospacing="0" w:line="360" w:lineRule="auto"/>
        <w:ind w:left="992" w:hanging="567"/>
        <w:jc w:val="both"/>
        <w:rPr>
          <w:rFonts w:ascii="Arial" w:hAnsi="Arial" w:cs="Arial"/>
          <w:color w:val="000000"/>
        </w:rPr>
      </w:pPr>
      <w:r>
        <w:rPr>
          <w:rFonts w:ascii="Arial" w:hAnsi="Arial" w:cs="Arial"/>
          <w:color w:val="000000"/>
        </w:rPr>
        <w:t>12.1</w:t>
      </w:r>
      <w:r w:rsidR="001773BC">
        <w:rPr>
          <w:rFonts w:ascii="Arial" w:hAnsi="Arial" w:cs="Arial"/>
          <w:color w:val="000000"/>
        </w:rPr>
        <w:t xml:space="preserve">. </w:t>
      </w:r>
      <w:r w:rsidR="007C49F2" w:rsidRPr="005D331D">
        <w:rPr>
          <w:rFonts w:ascii="Arial" w:hAnsi="Arial" w:cs="Arial"/>
          <w:color w:val="000000"/>
        </w:rPr>
        <w:t>T</w:t>
      </w:r>
      <w:r w:rsidR="005D331D" w:rsidRPr="005D331D">
        <w:rPr>
          <w:rFonts w:ascii="Arial" w:hAnsi="Arial" w:cs="Arial"/>
          <w:color w:val="000000"/>
        </w:rPr>
        <w:t xml:space="preserve">he </w:t>
      </w:r>
      <w:r w:rsidR="00FB324A">
        <w:rPr>
          <w:rFonts w:ascii="Arial" w:hAnsi="Arial" w:cs="Arial"/>
          <w:color w:val="000000"/>
        </w:rPr>
        <w:t xml:space="preserve">applicant </w:t>
      </w:r>
      <w:r w:rsidR="005D331D" w:rsidRPr="005D331D">
        <w:rPr>
          <w:rFonts w:ascii="Arial" w:hAnsi="Arial" w:cs="Arial"/>
          <w:color w:val="000000"/>
        </w:rPr>
        <w:t>is liable for the costs of this application on the attorney and client scale</w:t>
      </w:r>
      <w:r>
        <w:rPr>
          <w:rFonts w:ascii="Arial" w:hAnsi="Arial" w:cs="Arial"/>
          <w:color w:val="000000"/>
        </w:rPr>
        <w:t xml:space="preserve"> as well as reserved costs on the same scale.</w:t>
      </w:r>
    </w:p>
    <w:p w:rsidR="0091327B" w:rsidRDefault="0091327B" w:rsidP="006A1906">
      <w:pPr>
        <w:pStyle w:val="normaltext"/>
        <w:shd w:val="clear" w:color="auto" w:fill="FFFFFF"/>
        <w:spacing w:before="180" w:beforeAutospacing="0" w:after="0" w:afterAutospacing="0" w:line="360" w:lineRule="auto"/>
        <w:ind w:left="426"/>
        <w:jc w:val="both"/>
        <w:rPr>
          <w:rFonts w:ascii="Arial" w:hAnsi="Arial" w:cs="Arial"/>
          <w:color w:val="000000"/>
        </w:rPr>
      </w:pPr>
    </w:p>
    <w:p w:rsidR="005D331D" w:rsidRDefault="005D331D" w:rsidP="00ED2F32">
      <w:pPr>
        <w:pStyle w:val="normaltext"/>
        <w:shd w:val="clear" w:color="auto" w:fill="FFFFFF"/>
        <w:spacing w:before="180" w:beforeAutospacing="0" w:after="0" w:afterAutospacing="0" w:line="360" w:lineRule="auto"/>
        <w:ind w:left="692"/>
        <w:jc w:val="both"/>
        <w:rPr>
          <w:rFonts w:ascii="Arial" w:hAnsi="Arial" w:cs="Arial"/>
          <w:color w:val="000000"/>
        </w:rPr>
      </w:pPr>
    </w:p>
    <w:p w:rsidR="00972885" w:rsidRPr="00560B76" w:rsidRDefault="00972885" w:rsidP="00ED2F32">
      <w:pPr>
        <w:spacing w:after="120" w:line="360" w:lineRule="auto"/>
        <w:jc w:val="both"/>
        <w:rPr>
          <w:u w:val="none"/>
        </w:rPr>
      </w:pPr>
    </w:p>
    <w:p w:rsidR="00972885" w:rsidRDefault="00972885" w:rsidP="00972885">
      <w:pPr>
        <w:spacing w:line="360" w:lineRule="auto"/>
        <w:jc w:val="right"/>
        <w:rPr>
          <w:b/>
          <w:u w:val="none"/>
        </w:rPr>
      </w:pPr>
      <w:r>
        <w:rPr>
          <w:b/>
          <w:u w:val="none"/>
        </w:rPr>
        <w:t>________________</w:t>
      </w:r>
    </w:p>
    <w:p w:rsidR="00972885" w:rsidRDefault="00972885" w:rsidP="00972885">
      <w:pPr>
        <w:spacing w:line="360" w:lineRule="auto"/>
        <w:jc w:val="right"/>
        <w:rPr>
          <w:b/>
          <w:u w:val="none"/>
        </w:rPr>
      </w:pPr>
      <w:r>
        <w:rPr>
          <w:b/>
          <w:u w:val="none"/>
        </w:rPr>
        <w:t xml:space="preserve"> MUDAU J</w:t>
      </w:r>
    </w:p>
    <w:p w:rsidR="00972885" w:rsidRPr="003C7CF5" w:rsidRDefault="00972885" w:rsidP="00972885">
      <w:pPr>
        <w:spacing w:line="360" w:lineRule="auto"/>
        <w:jc w:val="right"/>
        <w:rPr>
          <w:b/>
          <w:u w:val="none"/>
        </w:rPr>
      </w:pPr>
      <w:r>
        <w:rPr>
          <w:b/>
          <w:u w:val="none"/>
        </w:rPr>
        <w:t>[Judge o</w:t>
      </w:r>
      <w:r w:rsidRPr="003C7CF5">
        <w:rPr>
          <w:b/>
          <w:u w:val="none"/>
        </w:rPr>
        <w:t>f the High Co</w:t>
      </w:r>
      <w:r>
        <w:rPr>
          <w:b/>
          <w:u w:val="none"/>
        </w:rPr>
        <w:t>urt]</w:t>
      </w:r>
    </w:p>
    <w:p w:rsidR="00972885" w:rsidRDefault="00972885" w:rsidP="00972885">
      <w:pPr>
        <w:spacing w:line="360" w:lineRule="auto"/>
        <w:jc w:val="right"/>
        <w:rPr>
          <w:b/>
          <w:u w:val="none"/>
        </w:rPr>
      </w:pPr>
    </w:p>
    <w:p w:rsidR="00972885" w:rsidRDefault="00972885" w:rsidP="00972885">
      <w:pPr>
        <w:spacing w:line="360" w:lineRule="auto"/>
        <w:jc w:val="right"/>
        <w:rPr>
          <w:b/>
          <w:u w:val="none"/>
        </w:rPr>
      </w:pPr>
    </w:p>
    <w:p w:rsidR="00972885" w:rsidRDefault="00972885" w:rsidP="00972885">
      <w:pPr>
        <w:spacing w:line="360" w:lineRule="auto"/>
        <w:jc w:val="right"/>
        <w:rPr>
          <w:b/>
          <w:u w:val="none"/>
        </w:rPr>
      </w:pPr>
    </w:p>
    <w:p w:rsidR="00972885" w:rsidRDefault="00972885" w:rsidP="00972885">
      <w:pPr>
        <w:spacing w:line="480" w:lineRule="auto"/>
        <w:jc w:val="both"/>
        <w:rPr>
          <w:u w:val="none"/>
        </w:rPr>
      </w:pPr>
    </w:p>
    <w:p w:rsidR="00972885" w:rsidRDefault="00972885" w:rsidP="00972885">
      <w:pPr>
        <w:spacing w:line="480" w:lineRule="auto"/>
        <w:jc w:val="both"/>
        <w:rPr>
          <w:u w:val="none"/>
        </w:rPr>
      </w:pPr>
      <w:r>
        <w:rPr>
          <w:u w:val="none"/>
        </w:rPr>
        <w:t>APPEARANCES</w:t>
      </w:r>
    </w:p>
    <w:p w:rsidR="00972885" w:rsidRDefault="00E46C4B" w:rsidP="007F2CD8">
      <w:pPr>
        <w:spacing w:line="480" w:lineRule="auto"/>
        <w:jc w:val="both"/>
        <w:rPr>
          <w:u w:val="none"/>
        </w:rPr>
      </w:pPr>
      <w:r>
        <w:rPr>
          <w:u w:val="none"/>
        </w:rPr>
        <w:t>For the App</w:t>
      </w:r>
      <w:r w:rsidR="000D5C03">
        <w:rPr>
          <w:u w:val="none"/>
        </w:rPr>
        <w:t>licant</w:t>
      </w:r>
      <w:r>
        <w:rPr>
          <w:u w:val="none"/>
        </w:rPr>
        <w:t>:</w:t>
      </w:r>
      <w:r w:rsidR="00972885" w:rsidRPr="007169FE">
        <w:rPr>
          <w:u w:val="none"/>
        </w:rPr>
        <w:tab/>
      </w:r>
      <w:r w:rsidR="00972885" w:rsidRPr="007169FE">
        <w:rPr>
          <w:u w:val="none"/>
        </w:rPr>
        <w:tab/>
      </w:r>
      <w:r w:rsidR="00972885" w:rsidRPr="007169FE">
        <w:rPr>
          <w:u w:val="none"/>
        </w:rPr>
        <w:tab/>
      </w:r>
      <w:r w:rsidR="001F50C9">
        <w:rPr>
          <w:u w:val="none"/>
        </w:rPr>
        <w:t xml:space="preserve">Mr </w:t>
      </w:r>
      <w:r w:rsidR="001F50C9" w:rsidRPr="001F50C9">
        <w:rPr>
          <w:u w:val="none"/>
        </w:rPr>
        <w:t xml:space="preserve">Peter Zwane </w:t>
      </w:r>
    </w:p>
    <w:p w:rsidR="00972885" w:rsidRDefault="00972885" w:rsidP="00972885">
      <w:pPr>
        <w:spacing w:line="480" w:lineRule="auto"/>
        <w:jc w:val="both"/>
        <w:rPr>
          <w:u w:val="none"/>
        </w:rPr>
      </w:pPr>
      <w:r w:rsidRPr="007169FE">
        <w:rPr>
          <w:u w:val="none"/>
        </w:rPr>
        <w:t>Instructed by:</w:t>
      </w:r>
      <w:r w:rsidRPr="007169FE">
        <w:rPr>
          <w:u w:val="none"/>
        </w:rPr>
        <w:tab/>
      </w:r>
      <w:r w:rsidR="00AB5C7A">
        <w:rPr>
          <w:u w:val="none"/>
        </w:rPr>
        <w:tab/>
      </w:r>
      <w:r w:rsidR="00AB5C7A">
        <w:rPr>
          <w:u w:val="none"/>
        </w:rPr>
        <w:tab/>
      </w:r>
      <w:r w:rsidR="001F50C9" w:rsidRPr="001F50C9">
        <w:rPr>
          <w:u w:val="none"/>
        </w:rPr>
        <w:t>Peter Zwane Attorneys</w:t>
      </w:r>
      <w:r w:rsidRPr="007169FE">
        <w:rPr>
          <w:u w:val="none"/>
        </w:rPr>
        <w:tab/>
      </w:r>
      <w:r w:rsidRPr="007169FE">
        <w:rPr>
          <w:u w:val="none"/>
        </w:rPr>
        <w:tab/>
      </w:r>
    </w:p>
    <w:p w:rsidR="00972885" w:rsidRDefault="00972885" w:rsidP="00972885">
      <w:pPr>
        <w:spacing w:line="480" w:lineRule="auto"/>
        <w:jc w:val="both"/>
        <w:rPr>
          <w:u w:val="none"/>
        </w:rPr>
      </w:pPr>
      <w:r>
        <w:rPr>
          <w:u w:val="none"/>
        </w:rPr>
        <w:tab/>
      </w:r>
      <w:r>
        <w:rPr>
          <w:u w:val="none"/>
        </w:rPr>
        <w:tab/>
      </w:r>
      <w:r>
        <w:rPr>
          <w:u w:val="none"/>
        </w:rPr>
        <w:tab/>
      </w:r>
      <w:r>
        <w:rPr>
          <w:u w:val="none"/>
        </w:rPr>
        <w:tab/>
      </w:r>
      <w:r>
        <w:rPr>
          <w:u w:val="none"/>
        </w:rPr>
        <w:tab/>
      </w:r>
      <w:r w:rsidRPr="007169FE">
        <w:rPr>
          <w:u w:val="none"/>
        </w:rPr>
        <w:tab/>
      </w:r>
      <w:r>
        <w:rPr>
          <w:u w:val="none"/>
        </w:rPr>
        <w:tab/>
      </w:r>
    </w:p>
    <w:p w:rsidR="00AB5C7A" w:rsidRDefault="00972885" w:rsidP="00972885">
      <w:pPr>
        <w:spacing w:line="480" w:lineRule="auto"/>
        <w:jc w:val="both"/>
        <w:rPr>
          <w:u w:val="none"/>
        </w:rPr>
      </w:pPr>
      <w:r>
        <w:rPr>
          <w:u w:val="none"/>
        </w:rPr>
        <w:t xml:space="preserve">For the </w:t>
      </w:r>
      <w:r w:rsidRPr="007169FE">
        <w:rPr>
          <w:u w:val="none"/>
        </w:rPr>
        <w:t>Respondent:</w:t>
      </w:r>
      <w:r>
        <w:rPr>
          <w:u w:val="none"/>
        </w:rPr>
        <w:tab/>
      </w:r>
      <w:r w:rsidR="00AB5C7A">
        <w:rPr>
          <w:u w:val="none"/>
        </w:rPr>
        <w:tab/>
      </w:r>
      <w:r w:rsidR="001F50C9" w:rsidRPr="001F50C9">
        <w:rPr>
          <w:u w:val="none"/>
        </w:rPr>
        <w:t>Adv. Humbulani Salani</w:t>
      </w:r>
    </w:p>
    <w:p w:rsidR="004068BB" w:rsidRDefault="004068BB" w:rsidP="00972885">
      <w:pPr>
        <w:spacing w:line="480" w:lineRule="auto"/>
        <w:jc w:val="both"/>
        <w:rPr>
          <w:u w:val="none"/>
        </w:rPr>
      </w:pPr>
      <w:r>
        <w:rPr>
          <w:u w:val="none"/>
        </w:rPr>
        <w:t>Instructed by:</w:t>
      </w:r>
      <w:r>
        <w:rPr>
          <w:u w:val="none"/>
        </w:rPr>
        <w:tab/>
      </w:r>
      <w:r>
        <w:rPr>
          <w:u w:val="none"/>
        </w:rPr>
        <w:tab/>
      </w:r>
      <w:r>
        <w:rPr>
          <w:u w:val="none"/>
        </w:rPr>
        <w:tab/>
      </w:r>
      <w:r w:rsidR="001F50C9">
        <w:rPr>
          <w:u w:val="none"/>
        </w:rPr>
        <w:t xml:space="preserve">Ross </w:t>
      </w:r>
      <w:r w:rsidR="001F50C9" w:rsidRPr="001F50C9">
        <w:rPr>
          <w:u w:val="none"/>
        </w:rPr>
        <w:t>Esie Inc.</w:t>
      </w:r>
    </w:p>
    <w:p w:rsidR="00972885" w:rsidRDefault="00972885" w:rsidP="00972885">
      <w:pPr>
        <w:spacing w:line="480" w:lineRule="auto"/>
        <w:jc w:val="both"/>
        <w:rPr>
          <w:u w:val="none"/>
        </w:rPr>
      </w:pPr>
      <w:r>
        <w:rPr>
          <w:u w:val="none"/>
        </w:rPr>
        <w:tab/>
      </w:r>
    </w:p>
    <w:p w:rsidR="00AB5C7A" w:rsidRPr="007169FE" w:rsidRDefault="00AB5C7A" w:rsidP="00AB5C7A">
      <w:pPr>
        <w:spacing w:line="480" w:lineRule="auto"/>
        <w:jc w:val="both"/>
        <w:rPr>
          <w:u w:val="none"/>
        </w:rPr>
      </w:pPr>
      <w:r>
        <w:rPr>
          <w:u w:val="none"/>
        </w:rPr>
        <w:t>Date</w:t>
      </w:r>
      <w:r w:rsidRPr="007169FE">
        <w:rPr>
          <w:u w:val="none"/>
        </w:rPr>
        <w:t xml:space="preserve"> of Hearing: </w:t>
      </w:r>
      <w:r w:rsidRPr="007169FE">
        <w:rPr>
          <w:u w:val="none"/>
        </w:rPr>
        <w:tab/>
      </w:r>
      <w:r>
        <w:rPr>
          <w:u w:val="none"/>
        </w:rPr>
        <w:tab/>
      </w:r>
      <w:r>
        <w:rPr>
          <w:u w:val="none"/>
        </w:rPr>
        <w:tab/>
      </w:r>
      <w:r w:rsidR="001F50C9">
        <w:rPr>
          <w:u w:val="none"/>
        </w:rPr>
        <w:t xml:space="preserve">3 October </w:t>
      </w:r>
      <w:r>
        <w:rPr>
          <w:u w:val="none"/>
        </w:rPr>
        <w:t>2022</w:t>
      </w:r>
      <w:r>
        <w:rPr>
          <w:u w:val="none"/>
        </w:rPr>
        <w:tab/>
      </w:r>
      <w:r>
        <w:rPr>
          <w:u w:val="none"/>
        </w:rPr>
        <w:tab/>
      </w:r>
    </w:p>
    <w:p w:rsidR="00972885" w:rsidRPr="00D143A7" w:rsidRDefault="00AB5C7A" w:rsidP="00613563">
      <w:pPr>
        <w:spacing w:line="480" w:lineRule="auto"/>
        <w:jc w:val="both"/>
        <w:rPr>
          <w:u w:val="none"/>
        </w:rPr>
      </w:pPr>
      <w:r w:rsidRPr="007169FE">
        <w:rPr>
          <w:u w:val="none"/>
        </w:rPr>
        <w:t>Date of Judgment:</w:t>
      </w:r>
      <w:r w:rsidRPr="007169FE">
        <w:rPr>
          <w:u w:val="none"/>
        </w:rPr>
        <w:tab/>
      </w:r>
      <w:r w:rsidR="00081811">
        <w:rPr>
          <w:u w:val="none"/>
        </w:rPr>
        <w:tab/>
        <w:t xml:space="preserve">         18</w:t>
      </w:r>
      <w:r w:rsidR="004068BB">
        <w:rPr>
          <w:u w:val="none"/>
        </w:rPr>
        <w:t xml:space="preserve"> </w:t>
      </w:r>
      <w:r w:rsidR="001F50C9">
        <w:rPr>
          <w:u w:val="none"/>
        </w:rPr>
        <w:t xml:space="preserve">October </w:t>
      </w:r>
      <w:r>
        <w:rPr>
          <w:u w:val="none"/>
        </w:rPr>
        <w:t>2022</w:t>
      </w:r>
    </w:p>
    <w:p w:rsidR="002F15B7" w:rsidRDefault="002F15B7"/>
    <w:sectPr w:rsidR="002F15B7" w:rsidSect="000B37FD">
      <w:footerReference w:type="default" r:id="rId9"/>
      <w:pgSz w:w="11906" w:h="16838"/>
      <w:pgMar w:top="110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22" w:rsidRDefault="004F6D22" w:rsidP="00972885">
      <w:r>
        <w:separator/>
      </w:r>
    </w:p>
  </w:endnote>
  <w:endnote w:type="continuationSeparator" w:id="0">
    <w:p w:rsidR="004F6D22" w:rsidRDefault="004F6D22"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7D0E6A">
      <w:rPr>
        <w:noProof/>
        <w:u w:val="none"/>
      </w:rPr>
      <w:t>2</w:t>
    </w:r>
    <w:r w:rsidRPr="009C3009">
      <w:rPr>
        <w:noProof/>
        <w:u w:val="none"/>
      </w:rPr>
      <w:fldChar w:fldCharType="end"/>
    </w:r>
  </w:p>
  <w:p w:rsidR="00950FD7" w:rsidRDefault="0095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22" w:rsidRDefault="004F6D22" w:rsidP="00972885">
      <w:r>
        <w:separator/>
      </w:r>
    </w:p>
  </w:footnote>
  <w:footnote w:type="continuationSeparator" w:id="0">
    <w:p w:rsidR="004F6D22" w:rsidRDefault="004F6D22" w:rsidP="00972885">
      <w:r>
        <w:continuationSeparator/>
      </w:r>
    </w:p>
  </w:footnote>
  <w:footnote w:id="1">
    <w:p w:rsidR="001F50C9" w:rsidRPr="00AF0F47" w:rsidRDefault="001F50C9" w:rsidP="00173A14">
      <w:pPr>
        <w:pStyle w:val="FootnoteText"/>
        <w:jc w:val="both"/>
        <w:rPr>
          <w:u w:val="none"/>
        </w:rPr>
      </w:pPr>
      <w:r w:rsidRPr="00AF0F47">
        <w:rPr>
          <w:rStyle w:val="FootnoteReference"/>
          <w:u w:val="none"/>
        </w:rPr>
        <w:footnoteRef/>
      </w:r>
      <w:r w:rsidRPr="00AF0F47">
        <w:rPr>
          <w:u w:val="none"/>
        </w:rPr>
        <w:t xml:space="preserve"> </w:t>
      </w:r>
      <w:r w:rsidRPr="00173A14">
        <w:rPr>
          <w:i/>
          <w:u w:val="none"/>
          <w:shd w:val="clear" w:color="auto" w:fill="FFFFFF"/>
        </w:rPr>
        <w:t>Colyn v Tiger Food Industries Ltd t/a Meadow Feeds Mills (Cape)</w:t>
      </w:r>
      <w:r w:rsidRPr="00173A14">
        <w:rPr>
          <w:u w:val="none"/>
          <w:shd w:val="clear" w:color="auto" w:fill="FFFFFF"/>
        </w:rPr>
        <w:t> </w:t>
      </w:r>
      <w:hyperlink r:id="rId1" w:tooltip="View LawCiteRecord" w:history="1">
        <w:r w:rsidRPr="00173A14">
          <w:rPr>
            <w:u w:val="none"/>
          </w:rPr>
          <w:t>2003 (6) SA 1</w:t>
        </w:r>
      </w:hyperlink>
      <w:r w:rsidRPr="00173A14">
        <w:rPr>
          <w:u w:val="none"/>
          <w:shd w:val="clear" w:color="auto" w:fill="FFFFFF"/>
        </w:rPr>
        <w:t> (SCA) at para 11</w:t>
      </w:r>
      <w:r w:rsidR="001773BC" w:rsidRPr="00173A14">
        <w:rPr>
          <w:u w:val="none"/>
          <w:shd w:val="clear" w:color="auto" w:fill="FFFFFF"/>
        </w:rPr>
        <w:t>.</w:t>
      </w:r>
    </w:p>
  </w:footnote>
  <w:footnote w:id="2">
    <w:p w:rsidR="001F50C9" w:rsidRPr="001F50C9" w:rsidRDefault="001F50C9" w:rsidP="00173A14">
      <w:pPr>
        <w:pStyle w:val="FootnoteText"/>
        <w:jc w:val="both"/>
        <w:rPr>
          <w:u w:val="none"/>
        </w:rPr>
      </w:pPr>
      <w:r w:rsidRPr="00AF0F47">
        <w:rPr>
          <w:rStyle w:val="FootnoteReference"/>
          <w:u w:val="none"/>
        </w:rPr>
        <w:footnoteRef/>
      </w:r>
      <w:r w:rsidRPr="00AF0F47">
        <w:rPr>
          <w:u w:val="none"/>
        </w:rPr>
        <w:t xml:space="preserve"> </w:t>
      </w:r>
      <w:r w:rsidRPr="00173A14">
        <w:rPr>
          <w:i/>
          <w:iCs/>
          <w:u w:val="none"/>
          <w:shd w:val="clear" w:color="auto" w:fill="FFFFFF"/>
        </w:rPr>
        <w:t>HDS Construction (Pty) Ltd v Wait</w:t>
      </w:r>
      <w:r w:rsidRPr="00173A14">
        <w:rPr>
          <w:u w:val="none"/>
          <w:shd w:val="clear" w:color="auto" w:fill="FFFFFF"/>
        </w:rPr>
        <w:t> </w:t>
      </w:r>
      <w:hyperlink r:id="rId2" w:tooltip="View LawCiteRecord" w:history="1">
        <w:r w:rsidRPr="00173A14">
          <w:rPr>
            <w:rStyle w:val="Hyperlink"/>
            <w:bCs/>
            <w:color w:val="auto"/>
            <w:u w:val="none"/>
            <w:shd w:val="clear" w:color="auto" w:fill="FFFFFF"/>
          </w:rPr>
          <w:t>1979 (2) SA 298</w:t>
        </w:r>
      </w:hyperlink>
      <w:r w:rsidRPr="00173A14">
        <w:rPr>
          <w:u w:val="none"/>
          <w:shd w:val="clear" w:color="auto" w:fill="FFFFFF"/>
        </w:rPr>
        <w:t> (E) at 300-301B</w:t>
      </w:r>
      <w:r w:rsidR="001773BC" w:rsidRPr="00173A14">
        <w:rPr>
          <w:u w:val="none"/>
          <w:shd w:val="clear" w:color="auto" w:fill="FFFFFF"/>
        </w:rPr>
        <w:t>.</w:t>
      </w:r>
      <w:r w:rsidRPr="00173A14">
        <w:rPr>
          <w:u w:val="none"/>
          <w:shd w:val="clear" w:color="auto" w:fill="FFFFFF"/>
        </w:rPr>
        <w:t> </w:t>
      </w:r>
    </w:p>
  </w:footnote>
  <w:footnote w:id="3">
    <w:p w:rsidR="001F50C9" w:rsidRPr="001F50C9" w:rsidRDefault="001F50C9" w:rsidP="00173A14">
      <w:pPr>
        <w:pStyle w:val="FootnoteText"/>
        <w:jc w:val="both"/>
        <w:rPr>
          <w:u w:val="none"/>
        </w:rPr>
      </w:pPr>
      <w:r w:rsidRPr="001F50C9">
        <w:rPr>
          <w:rStyle w:val="FootnoteReference"/>
          <w:u w:val="none"/>
        </w:rPr>
        <w:footnoteRef/>
      </w:r>
      <w:r w:rsidRPr="001F50C9">
        <w:rPr>
          <w:u w:val="none"/>
        </w:rPr>
        <w:t xml:space="preserve"> </w:t>
      </w:r>
      <w:r w:rsidRPr="00173A14">
        <w:rPr>
          <w:i/>
          <w:color w:val="242121"/>
          <w:u w:val="none"/>
          <w:shd w:val="clear" w:color="auto" w:fill="FFFFFF"/>
        </w:rPr>
        <w:t>Standard Bank of South Africa Ltd and Others v Mpongo and Others</w:t>
      </w:r>
      <w:r w:rsidRPr="001F50C9">
        <w:rPr>
          <w:color w:val="242121"/>
          <w:u w:val="none"/>
          <w:shd w:val="clear" w:color="auto" w:fill="FFFFFF"/>
        </w:rPr>
        <w:t xml:space="preserve"> 2021 </w:t>
      </w:r>
      <w:r w:rsidR="000A7F1D">
        <w:rPr>
          <w:color w:val="242121"/>
          <w:u w:val="none"/>
          <w:shd w:val="clear" w:color="auto" w:fill="FFFFFF"/>
        </w:rPr>
        <w:t>(</w:t>
      </w:r>
      <w:r w:rsidRPr="001F50C9">
        <w:rPr>
          <w:color w:val="242121"/>
          <w:u w:val="none"/>
          <w:shd w:val="clear" w:color="auto" w:fill="FFFFFF"/>
        </w:rPr>
        <w:t>6</w:t>
      </w:r>
      <w:r w:rsidR="000A7F1D">
        <w:rPr>
          <w:color w:val="242121"/>
          <w:u w:val="none"/>
          <w:shd w:val="clear" w:color="auto" w:fill="FFFFFF"/>
        </w:rPr>
        <w:t>)</w:t>
      </w:r>
      <w:r w:rsidRPr="001F50C9">
        <w:rPr>
          <w:color w:val="242121"/>
          <w:u w:val="none"/>
          <w:shd w:val="clear" w:color="auto" w:fill="FFFFFF"/>
        </w:rPr>
        <w:t xml:space="preserve"> SA 403 </w:t>
      </w:r>
      <w:r w:rsidR="000A7F1D">
        <w:rPr>
          <w:color w:val="242121"/>
          <w:u w:val="none"/>
          <w:shd w:val="clear" w:color="auto" w:fill="FFFFFF"/>
        </w:rPr>
        <w:t>(</w:t>
      </w:r>
      <w:r w:rsidRPr="001F50C9">
        <w:rPr>
          <w:color w:val="242121"/>
          <w:u w:val="none"/>
          <w:shd w:val="clear" w:color="auto" w:fill="FFFFFF"/>
        </w:rPr>
        <w:t>SCA</w:t>
      </w:r>
      <w:r w:rsidR="000A7F1D">
        <w:rPr>
          <w:color w:val="242121"/>
          <w:u w:val="none"/>
          <w:shd w:val="clear" w:color="auto" w:fill="FFFFFF"/>
        </w:rPr>
        <w:t>)</w:t>
      </w:r>
      <w:r w:rsidR="001773BC">
        <w:rPr>
          <w:color w:val="242121"/>
          <w:u w:val="none"/>
          <w:shd w:val="clear" w:color="auto" w:fill="FFFFFF"/>
        </w:rPr>
        <w:t>.</w:t>
      </w:r>
    </w:p>
  </w:footnote>
  <w:footnote w:id="4">
    <w:p w:rsidR="001F50C9" w:rsidRPr="001F50C9" w:rsidRDefault="001F50C9" w:rsidP="00173A14">
      <w:pPr>
        <w:pStyle w:val="FootnoteText"/>
        <w:jc w:val="both"/>
        <w:rPr>
          <w:u w:val="none"/>
        </w:rPr>
      </w:pPr>
      <w:r w:rsidRPr="001F50C9">
        <w:rPr>
          <w:rStyle w:val="FootnoteReference"/>
          <w:u w:val="none"/>
        </w:rPr>
        <w:footnoteRef/>
      </w:r>
      <w:r w:rsidRPr="001F50C9">
        <w:rPr>
          <w:u w:val="none"/>
        </w:rPr>
        <w:t xml:space="preserve"> Note 3</w:t>
      </w:r>
      <w:r>
        <w:rPr>
          <w:u w:val="none"/>
        </w:rPr>
        <w:t xml:space="preserve"> above.</w:t>
      </w:r>
    </w:p>
  </w:footnote>
  <w:footnote w:id="5">
    <w:p w:rsidR="001F50C9" w:rsidRPr="001F50C9" w:rsidRDefault="001F50C9" w:rsidP="00173A14">
      <w:pPr>
        <w:pStyle w:val="FootnoteText"/>
        <w:jc w:val="both"/>
        <w:rPr>
          <w:u w:val="none"/>
        </w:rPr>
      </w:pPr>
      <w:r w:rsidRPr="001F50C9">
        <w:rPr>
          <w:rStyle w:val="FootnoteReference"/>
          <w:u w:val="none"/>
        </w:rPr>
        <w:footnoteRef/>
      </w:r>
      <w:r w:rsidRPr="001F50C9">
        <w:rPr>
          <w:u w:val="none"/>
        </w:rPr>
        <w:t xml:space="preserve"> </w:t>
      </w:r>
      <w:r w:rsidRPr="00173A14">
        <w:rPr>
          <w:i/>
          <w:color w:val="242121"/>
          <w:u w:val="none"/>
          <w:shd w:val="clear" w:color="auto" w:fill="FFFFFF"/>
        </w:rPr>
        <w:t>Muller v Mulbarton Gardens (Pty) Ltd </w:t>
      </w:r>
      <w:hyperlink r:id="rId3" w:tgtFrame="main" w:history="1">
        <w:r w:rsidRPr="001F50C9">
          <w:rPr>
            <w:color w:val="242121"/>
            <w:u w:val="none"/>
            <w:shd w:val="clear" w:color="auto" w:fill="FFFFFF"/>
          </w:rPr>
          <w:t>1972 (1) SA 328 (W)</w:t>
        </w:r>
      </w:hyperlink>
      <w:r w:rsidRPr="001F50C9">
        <w:rPr>
          <w:color w:val="242121"/>
          <w:u w:val="none"/>
          <w:shd w:val="clear" w:color="auto" w:fill="FFFFFF"/>
        </w:rPr>
        <w:t> at 331H; </w:t>
      </w:r>
      <w:r w:rsidRPr="00173A14">
        <w:rPr>
          <w:i/>
          <w:color w:val="242121"/>
          <w:u w:val="none"/>
          <w:shd w:val="clear" w:color="auto" w:fill="FFFFFF"/>
        </w:rPr>
        <w:t>Loryan (Pty) Ltd v Solarsh Tea and Coffee (Pty) Ltd</w:t>
      </w:r>
      <w:r w:rsidRPr="001F50C9">
        <w:rPr>
          <w:color w:val="242121"/>
          <w:u w:val="none"/>
          <w:shd w:val="clear" w:color="auto" w:fill="FFFFFF"/>
        </w:rPr>
        <w:t> </w:t>
      </w:r>
      <w:hyperlink r:id="rId4" w:tgtFrame="main" w:history="1">
        <w:r w:rsidRPr="001F50C9">
          <w:rPr>
            <w:color w:val="242121"/>
            <w:u w:val="none"/>
            <w:shd w:val="clear" w:color="auto" w:fill="FFFFFF"/>
          </w:rPr>
          <w:t>1984 (3) SA 834 (W)</w:t>
        </w:r>
      </w:hyperlink>
      <w:r w:rsidRPr="001F50C9">
        <w:rPr>
          <w:color w:val="242121"/>
          <w:u w:val="none"/>
          <w:shd w:val="clear" w:color="auto" w:fill="FFFFFF"/>
        </w:rPr>
        <w:t> at 847D</w:t>
      </w:r>
      <w:r w:rsidR="001773BC">
        <w:rPr>
          <w:color w:val="242121"/>
          <w:u w:val="none"/>
          <w:shd w:val="clear" w:color="auto" w:fill="FFFFFF"/>
        </w:rPr>
        <w:t>.</w:t>
      </w:r>
    </w:p>
  </w:footnote>
  <w:footnote w:id="6">
    <w:p w:rsidR="008C658B" w:rsidRPr="007E04C3" w:rsidRDefault="008C658B" w:rsidP="00173A14">
      <w:pPr>
        <w:pStyle w:val="FootnoteText"/>
        <w:jc w:val="both"/>
        <w:rPr>
          <w:u w:val="none"/>
        </w:rPr>
      </w:pPr>
      <w:r w:rsidRPr="007E04C3">
        <w:rPr>
          <w:rStyle w:val="FootnoteReference"/>
          <w:u w:val="none"/>
        </w:rPr>
        <w:footnoteRef/>
      </w:r>
      <w:r w:rsidR="000A5F66" w:rsidRPr="007E04C3">
        <w:rPr>
          <w:u w:val="none"/>
        </w:rPr>
        <w:t xml:space="preserve">Note 5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1482F57"/>
    <w:multiLevelType w:val="hybridMultilevel"/>
    <w:tmpl w:val="BB3C90B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9547B2-BAC2-4BC5-86D4-EE5CF1C83B51}"/>
    <w:docVar w:name="dgnword-eventsink" w:val="2099573627312"/>
  </w:docVars>
  <w:rsids>
    <w:rsidRoot w:val="00972885"/>
    <w:rsid w:val="00003568"/>
    <w:rsid w:val="00004AFA"/>
    <w:rsid w:val="00005C13"/>
    <w:rsid w:val="00005DD3"/>
    <w:rsid w:val="00006473"/>
    <w:rsid w:val="00013280"/>
    <w:rsid w:val="000139E0"/>
    <w:rsid w:val="0001437B"/>
    <w:rsid w:val="00015A1D"/>
    <w:rsid w:val="00025103"/>
    <w:rsid w:val="00033A7A"/>
    <w:rsid w:val="00040252"/>
    <w:rsid w:val="00040BC6"/>
    <w:rsid w:val="0004104D"/>
    <w:rsid w:val="000438D4"/>
    <w:rsid w:val="00050245"/>
    <w:rsid w:val="00056EBC"/>
    <w:rsid w:val="0006028C"/>
    <w:rsid w:val="00060E0E"/>
    <w:rsid w:val="00062F1C"/>
    <w:rsid w:val="00064EA8"/>
    <w:rsid w:val="00065807"/>
    <w:rsid w:val="0007043B"/>
    <w:rsid w:val="00071C24"/>
    <w:rsid w:val="00075BC1"/>
    <w:rsid w:val="00081811"/>
    <w:rsid w:val="00084C83"/>
    <w:rsid w:val="000A5F66"/>
    <w:rsid w:val="000A7F1D"/>
    <w:rsid w:val="000B17FD"/>
    <w:rsid w:val="000B1B1B"/>
    <w:rsid w:val="000B37FD"/>
    <w:rsid w:val="000B4065"/>
    <w:rsid w:val="000D3E53"/>
    <w:rsid w:val="000D5C03"/>
    <w:rsid w:val="000F33AB"/>
    <w:rsid w:val="000F52AC"/>
    <w:rsid w:val="00105735"/>
    <w:rsid w:val="001065D3"/>
    <w:rsid w:val="001237FC"/>
    <w:rsid w:val="00125B0B"/>
    <w:rsid w:val="0013056D"/>
    <w:rsid w:val="00133C1C"/>
    <w:rsid w:val="0013726E"/>
    <w:rsid w:val="00151AAE"/>
    <w:rsid w:val="00155B5B"/>
    <w:rsid w:val="001563C2"/>
    <w:rsid w:val="00166666"/>
    <w:rsid w:val="00173A14"/>
    <w:rsid w:val="00174C94"/>
    <w:rsid w:val="001752C4"/>
    <w:rsid w:val="00177254"/>
    <w:rsid w:val="001773BC"/>
    <w:rsid w:val="001876E6"/>
    <w:rsid w:val="0019115F"/>
    <w:rsid w:val="00191E46"/>
    <w:rsid w:val="0019427C"/>
    <w:rsid w:val="00194AF9"/>
    <w:rsid w:val="001B3808"/>
    <w:rsid w:val="001C114E"/>
    <w:rsid w:val="001D31CD"/>
    <w:rsid w:val="001D5F31"/>
    <w:rsid w:val="001D7A2E"/>
    <w:rsid w:val="001E78FB"/>
    <w:rsid w:val="001F1729"/>
    <w:rsid w:val="001F50C9"/>
    <w:rsid w:val="00221778"/>
    <w:rsid w:val="00226AA9"/>
    <w:rsid w:val="0023541C"/>
    <w:rsid w:val="00250361"/>
    <w:rsid w:val="002615AF"/>
    <w:rsid w:val="002665E7"/>
    <w:rsid w:val="00271C0D"/>
    <w:rsid w:val="00275675"/>
    <w:rsid w:val="00280E3C"/>
    <w:rsid w:val="00284F26"/>
    <w:rsid w:val="00293657"/>
    <w:rsid w:val="002939FC"/>
    <w:rsid w:val="00297060"/>
    <w:rsid w:val="002973D9"/>
    <w:rsid w:val="00297869"/>
    <w:rsid w:val="002A1772"/>
    <w:rsid w:val="002A296C"/>
    <w:rsid w:val="002B1572"/>
    <w:rsid w:val="002B2470"/>
    <w:rsid w:val="002C0337"/>
    <w:rsid w:val="002C1382"/>
    <w:rsid w:val="002C3876"/>
    <w:rsid w:val="002C5B2E"/>
    <w:rsid w:val="002D32D0"/>
    <w:rsid w:val="002D41AA"/>
    <w:rsid w:val="002F15B7"/>
    <w:rsid w:val="002F1F31"/>
    <w:rsid w:val="002F325B"/>
    <w:rsid w:val="0030641E"/>
    <w:rsid w:val="0031746F"/>
    <w:rsid w:val="003249B7"/>
    <w:rsid w:val="00332284"/>
    <w:rsid w:val="003342E8"/>
    <w:rsid w:val="00336854"/>
    <w:rsid w:val="00337D04"/>
    <w:rsid w:val="00343D2E"/>
    <w:rsid w:val="00345B11"/>
    <w:rsid w:val="00352B4A"/>
    <w:rsid w:val="003646D2"/>
    <w:rsid w:val="00371F11"/>
    <w:rsid w:val="00377918"/>
    <w:rsid w:val="003A47E3"/>
    <w:rsid w:val="003B5DD6"/>
    <w:rsid w:val="003C3A52"/>
    <w:rsid w:val="003D1B00"/>
    <w:rsid w:val="003E305A"/>
    <w:rsid w:val="003F262A"/>
    <w:rsid w:val="003F3209"/>
    <w:rsid w:val="003F4827"/>
    <w:rsid w:val="003F5571"/>
    <w:rsid w:val="004068BB"/>
    <w:rsid w:val="00412E9F"/>
    <w:rsid w:val="004132A9"/>
    <w:rsid w:val="00416461"/>
    <w:rsid w:val="0042116E"/>
    <w:rsid w:val="00423C19"/>
    <w:rsid w:val="0044191E"/>
    <w:rsid w:val="004447AA"/>
    <w:rsid w:val="00452390"/>
    <w:rsid w:val="00453644"/>
    <w:rsid w:val="0045365F"/>
    <w:rsid w:val="004554E7"/>
    <w:rsid w:val="0046446A"/>
    <w:rsid w:val="00466B83"/>
    <w:rsid w:val="00475EB4"/>
    <w:rsid w:val="00482A5D"/>
    <w:rsid w:val="00484558"/>
    <w:rsid w:val="00485E21"/>
    <w:rsid w:val="00491579"/>
    <w:rsid w:val="004A0C86"/>
    <w:rsid w:val="004A7673"/>
    <w:rsid w:val="004B1C82"/>
    <w:rsid w:val="004B2FEC"/>
    <w:rsid w:val="004B477A"/>
    <w:rsid w:val="004B618A"/>
    <w:rsid w:val="004C2A9F"/>
    <w:rsid w:val="004C79D1"/>
    <w:rsid w:val="004D0633"/>
    <w:rsid w:val="004D29A1"/>
    <w:rsid w:val="004E24F2"/>
    <w:rsid w:val="004E76E3"/>
    <w:rsid w:val="004F317A"/>
    <w:rsid w:val="004F6D22"/>
    <w:rsid w:val="0051045B"/>
    <w:rsid w:val="00513231"/>
    <w:rsid w:val="0052629A"/>
    <w:rsid w:val="00527823"/>
    <w:rsid w:val="005317BA"/>
    <w:rsid w:val="005355A8"/>
    <w:rsid w:val="005458AC"/>
    <w:rsid w:val="00551E22"/>
    <w:rsid w:val="00556A74"/>
    <w:rsid w:val="0055700B"/>
    <w:rsid w:val="005629E3"/>
    <w:rsid w:val="00564959"/>
    <w:rsid w:val="00583661"/>
    <w:rsid w:val="00587F50"/>
    <w:rsid w:val="005A0379"/>
    <w:rsid w:val="005A26C1"/>
    <w:rsid w:val="005A6E0E"/>
    <w:rsid w:val="005B5071"/>
    <w:rsid w:val="005B7E52"/>
    <w:rsid w:val="005C5F26"/>
    <w:rsid w:val="005D331D"/>
    <w:rsid w:val="005D64FC"/>
    <w:rsid w:val="005E417A"/>
    <w:rsid w:val="005F625B"/>
    <w:rsid w:val="00604F5F"/>
    <w:rsid w:val="00605CA1"/>
    <w:rsid w:val="006128B9"/>
    <w:rsid w:val="00612E07"/>
    <w:rsid w:val="00613563"/>
    <w:rsid w:val="00632135"/>
    <w:rsid w:val="00655931"/>
    <w:rsid w:val="006561BA"/>
    <w:rsid w:val="00660D40"/>
    <w:rsid w:val="00666851"/>
    <w:rsid w:val="006769BD"/>
    <w:rsid w:val="00680C88"/>
    <w:rsid w:val="00681FDE"/>
    <w:rsid w:val="00683F75"/>
    <w:rsid w:val="00685C78"/>
    <w:rsid w:val="00686DFE"/>
    <w:rsid w:val="006873E8"/>
    <w:rsid w:val="006A1906"/>
    <w:rsid w:val="006A315B"/>
    <w:rsid w:val="006B2C63"/>
    <w:rsid w:val="006D0272"/>
    <w:rsid w:val="006D4B46"/>
    <w:rsid w:val="006E3B2B"/>
    <w:rsid w:val="006F680B"/>
    <w:rsid w:val="0070213C"/>
    <w:rsid w:val="00703F88"/>
    <w:rsid w:val="00707E4D"/>
    <w:rsid w:val="00723A8E"/>
    <w:rsid w:val="007326AF"/>
    <w:rsid w:val="007352CB"/>
    <w:rsid w:val="00736A18"/>
    <w:rsid w:val="00736FB9"/>
    <w:rsid w:val="007516D8"/>
    <w:rsid w:val="0075747C"/>
    <w:rsid w:val="00760637"/>
    <w:rsid w:val="00760952"/>
    <w:rsid w:val="0076143F"/>
    <w:rsid w:val="007629EA"/>
    <w:rsid w:val="007645B9"/>
    <w:rsid w:val="007874CA"/>
    <w:rsid w:val="00790222"/>
    <w:rsid w:val="0079472A"/>
    <w:rsid w:val="007A6F9E"/>
    <w:rsid w:val="007C0DD4"/>
    <w:rsid w:val="007C397F"/>
    <w:rsid w:val="007C49F2"/>
    <w:rsid w:val="007C5106"/>
    <w:rsid w:val="007C5B13"/>
    <w:rsid w:val="007C7128"/>
    <w:rsid w:val="007D0E6A"/>
    <w:rsid w:val="007D3DB3"/>
    <w:rsid w:val="007D42FD"/>
    <w:rsid w:val="007E04C3"/>
    <w:rsid w:val="007E1887"/>
    <w:rsid w:val="007E37BB"/>
    <w:rsid w:val="007F2473"/>
    <w:rsid w:val="007F2CD8"/>
    <w:rsid w:val="00802CB7"/>
    <w:rsid w:val="00803E28"/>
    <w:rsid w:val="0081776B"/>
    <w:rsid w:val="008245CC"/>
    <w:rsid w:val="00824A7A"/>
    <w:rsid w:val="008672FF"/>
    <w:rsid w:val="00872C7D"/>
    <w:rsid w:val="008913D4"/>
    <w:rsid w:val="00895009"/>
    <w:rsid w:val="00896220"/>
    <w:rsid w:val="008A0517"/>
    <w:rsid w:val="008A0CA9"/>
    <w:rsid w:val="008A41B5"/>
    <w:rsid w:val="008A76BD"/>
    <w:rsid w:val="008B14B9"/>
    <w:rsid w:val="008B2A7A"/>
    <w:rsid w:val="008B2C05"/>
    <w:rsid w:val="008B72E4"/>
    <w:rsid w:val="008C1D3E"/>
    <w:rsid w:val="008C5BFD"/>
    <w:rsid w:val="008C658B"/>
    <w:rsid w:val="008D2B7C"/>
    <w:rsid w:val="008E2DCA"/>
    <w:rsid w:val="008E34C1"/>
    <w:rsid w:val="009126C3"/>
    <w:rsid w:val="0091327B"/>
    <w:rsid w:val="00914270"/>
    <w:rsid w:val="009233CE"/>
    <w:rsid w:val="00932DD0"/>
    <w:rsid w:val="009347D4"/>
    <w:rsid w:val="00935BA9"/>
    <w:rsid w:val="00940FB0"/>
    <w:rsid w:val="00950A40"/>
    <w:rsid w:val="00950FD7"/>
    <w:rsid w:val="009544D0"/>
    <w:rsid w:val="009642E1"/>
    <w:rsid w:val="00967CBF"/>
    <w:rsid w:val="00972885"/>
    <w:rsid w:val="00973A4D"/>
    <w:rsid w:val="0098325E"/>
    <w:rsid w:val="009923A9"/>
    <w:rsid w:val="00995270"/>
    <w:rsid w:val="009A1942"/>
    <w:rsid w:val="009C1436"/>
    <w:rsid w:val="009C2214"/>
    <w:rsid w:val="009C5B3E"/>
    <w:rsid w:val="009D05BB"/>
    <w:rsid w:val="009D5AF7"/>
    <w:rsid w:val="009D5B97"/>
    <w:rsid w:val="009E0D9B"/>
    <w:rsid w:val="009E2F8D"/>
    <w:rsid w:val="009F3828"/>
    <w:rsid w:val="00A049D1"/>
    <w:rsid w:val="00A05866"/>
    <w:rsid w:val="00A151BD"/>
    <w:rsid w:val="00A26DBD"/>
    <w:rsid w:val="00A308D2"/>
    <w:rsid w:val="00A310C0"/>
    <w:rsid w:val="00A36A32"/>
    <w:rsid w:val="00A415D8"/>
    <w:rsid w:val="00A50EC3"/>
    <w:rsid w:val="00A57F04"/>
    <w:rsid w:val="00A62A83"/>
    <w:rsid w:val="00A75ADC"/>
    <w:rsid w:val="00AA1C30"/>
    <w:rsid w:val="00AB5C7A"/>
    <w:rsid w:val="00AC42F7"/>
    <w:rsid w:val="00AC7D57"/>
    <w:rsid w:val="00AD08C8"/>
    <w:rsid w:val="00AD147E"/>
    <w:rsid w:val="00AD2973"/>
    <w:rsid w:val="00AD41D2"/>
    <w:rsid w:val="00AD461C"/>
    <w:rsid w:val="00AD676B"/>
    <w:rsid w:val="00AE7CAB"/>
    <w:rsid w:val="00AF0F47"/>
    <w:rsid w:val="00B001FA"/>
    <w:rsid w:val="00B11FF8"/>
    <w:rsid w:val="00B12CCF"/>
    <w:rsid w:val="00B133FF"/>
    <w:rsid w:val="00B1389D"/>
    <w:rsid w:val="00B15C24"/>
    <w:rsid w:val="00B26670"/>
    <w:rsid w:val="00B359E1"/>
    <w:rsid w:val="00B40DCC"/>
    <w:rsid w:val="00B458A5"/>
    <w:rsid w:val="00B45D32"/>
    <w:rsid w:val="00B56AE1"/>
    <w:rsid w:val="00B60F27"/>
    <w:rsid w:val="00B65A1F"/>
    <w:rsid w:val="00B70154"/>
    <w:rsid w:val="00B72702"/>
    <w:rsid w:val="00B75053"/>
    <w:rsid w:val="00B80634"/>
    <w:rsid w:val="00B91518"/>
    <w:rsid w:val="00B92DE2"/>
    <w:rsid w:val="00B95C37"/>
    <w:rsid w:val="00BA4FB5"/>
    <w:rsid w:val="00BA7F30"/>
    <w:rsid w:val="00BC10F5"/>
    <w:rsid w:val="00BC21AF"/>
    <w:rsid w:val="00BC2380"/>
    <w:rsid w:val="00BD47DD"/>
    <w:rsid w:val="00BD680D"/>
    <w:rsid w:val="00BE12E7"/>
    <w:rsid w:val="00BE4164"/>
    <w:rsid w:val="00C01EA7"/>
    <w:rsid w:val="00C05303"/>
    <w:rsid w:val="00C10D19"/>
    <w:rsid w:val="00C21B81"/>
    <w:rsid w:val="00C3599D"/>
    <w:rsid w:val="00C47768"/>
    <w:rsid w:val="00C53F84"/>
    <w:rsid w:val="00C563F0"/>
    <w:rsid w:val="00C6384F"/>
    <w:rsid w:val="00C651C6"/>
    <w:rsid w:val="00C66D51"/>
    <w:rsid w:val="00C77298"/>
    <w:rsid w:val="00C828E5"/>
    <w:rsid w:val="00C83B48"/>
    <w:rsid w:val="00C869A2"/>
    <w:rsid w:val="00C877A3"/>
    <w:rsid w:val="00C911E4"/>
    <w:rsid w:val="00CA3C09"/>
    <w:rsid w:val="00CA74FD"/>
    <w:rsid w:val="00CB370B"/>
    <w:rsid w:val="00CB63B3"/>
    <w:rsid w:val="00CC3C09"/>
    <w:rsid w:val="00CC5EC2"/>
    <w:rsid w:val="00CC6599"/>
    <w:rsid w:val="00CD600D"/>
    <w:rsid w:val="00CE521F"/>
    <w:rsid w:val="00CF38BD"/>
    <w:rsid w:val="00D00D3B"/>
    <w:rsid w:val="00D144C3"/>
    <w:rsid w:val="00D157F4"/>
    <w:rsid w:val="00D215E1"/>
    <w:rsid w:val="00D24081"/>
    <w:rsid w:val="00D255B4"/>
    <w:rsid w:val="00D42C9D"/>
    <w:rsid w:val="00D43D1F"/>
    <w:rsid w:val="00D44E35"/>
    <w:rsid w:val="00D47DF3"/>
    <w:rsid w:val="00D663B5"/>
    <w:rsid w:val="00D72FCC"/>
    <w:rsid w:val="00D76E49"/>
    <w:rsid w:val="00D80F52"/>
    <w:rsid w:val="00D9296C"/>
    <w:rsid w:val="00DA7B00"/>
    <w:rsid w:val="00DB413C"/>
    <w:rsid w:val="00DB5720"/>
    <w:rsid w:val="00DC1600"/>
    <w:rsid w:val="00DD3454"/>
    <w:rsid w:val="00DD5CAF"/>
    <w:rsid w:val="00DD7191"/>
    <w:rsid w:val="00DE5E75"/>
    <w:rsid w:val="00DF0295"/>
    <w:rsid w:val="00DF0FDB"/>
    <w:rsid w:val="00E02F5D"/>
    <w:rsid w:val="00E058B8"/>
    <w:rsid w:val="00E07D93"/>
    <w:rsid w:val="00E13935"/>
    <w:rsid w:val="00E140A6"/>
    <w:rsid w:val="00E372C1"/>
    <w:rsid w:val="00E46C4B"/>
    <w:rsid w:val="00E47285"/>
    <w:rsid w:val="00E474D3"/>
    <w:rsid w:val="00E6057F"/>
    <w:rsid w:val="00E61438"/>
    <w:rsid w:val="00E67600"/>
    <w:rsid w:val="00E7082C"/>
    <w:rsid w:val="00E71563"/>
    <w:rsid w:val="00E74369"/>
    <w:rsid w:val="00E81C16"/>
    <w:rsid w:val="00E900DD"/>
    <w:rsid w:val="00EA3BEB"/>
    <w:rsid w:val="00EA5E18"/>
    <w:rsid w:val="00EA6EBB"/>
    <w:rsid w:val="00EB3E31"/>
    <w:rsid w:val="00EC0B18"/>
    <w:rsid w:val="00EC5C65"/>
    <w:rsid w:val="00EC75A1"/>
    <w:rsid w:val="00ED21CB"/>
    <w:rsid w:val="00ED2F32"/>
    <w:rsid w:val="00EE3042"/>
    <w:rsid w:val="00EE543F"/>
    <w:rsid w:val="00EE6932"/>
    <w:rsid w:val="00EF4158"/>
    <w:rsid w:val="00F00262"/>
    <w:rsid w:val="00F127FB"/>
    <w:rsid w:val="00F13CE2"/>
    <w:rsid w:val="00F151F5"/>
    <w:rsid w:val="00F16159"/>
    <w:rsid w:val="00F2234A"/>
    <w:rsid w:val="00F30224"/>
    <w:rsid w:val="00F36E31"/>
    <w:rsid w:val="00F45739"/>
    <w:rsid w:val="00F457AD"/>
    <w:rsid w:val="00F463FA"/>
    <w:rsid w:val="00F475E3"/>
    <w:rsid w:val="00F57EDB"/>
    <w:rsid w:val="00F619BE"/>
    <w:rsid w:val="00F65FA3"/>
    <w:rsid w:val="00F72368"/>
    <w:rsid w:val="00F8197D"/>
    <w:rsid w:val="00F85A06"/>
    <w:rsid w:val="00F906A9"/>
    <w:rsid w:val="00F91BA5"/>
    <w:rsid w:val="00F92B55"/>
    <w:rsid w:val="00F9357B"/>
    <w:rsid w:val="00F976AA"/>
    <w:rsid w:val="00FA5FF3"/>
    <w:rsid w:val="00FA66DC"/>
    <w:rsid w:val="00FA6C2D"/>
    <w:rsid w:val="00FA790D"/>
    <w:rsid w:val="00FB324A"/>
    <w:rsid w:val="00FB5EAC"/>
    <w:rsid w:val="00FC0A00"/>
    <w:rsid w:val="00FC4D4A"/>
    <w:rsid w:val="00FC6C86"/>
    <w:rsid w:val="00FD43B4"/>
    <w:rsid w:val="00FE14AC"/>
    <w:rsid w:val="00FE24A7"/>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basedOn w:val="Normal"/>
    <w:link w:val="FootnoteTextChar"/>
    <w:uiPriority w:val="99"/>
    <w:semiHidden/>
    <w:unhideWhenUsed/>
    <w:rsid w:val="00972885"/>
    <w:rPr>
      <w:sz w:val="20"/>
      <w:szCs w:val="20"/>
    </w:rPr>
  </w:style>
  <w:style w:type="character" w:customStyle="1" w:styleId="FootnoteTextChar">
    <w:name w:val="Footnote Text Char"/>
    <w:basedOn w:val="DefaultParagraphFont"/>
    <w:link w:val="FootnoteText"/>
    <w:uiPriority w:val="99"/>
    <w:semiHidden/>
    <w:rsid w:val="00972885"/>
    <w:rPr>
      <w:rFonts w:ascii="Arial" w:eastAsia="Times New Roman" w:hAnsi="Arial" w:cs="Arial"/>
      <w:sz w:val="20"/>
      <w:szCs w:val="20"/>
      <w:u w:val="single"/>
      <w:lang w:val="en-GB" w:eastAsia="en-GB"/>
    </w:rPr>
  </w:style>
  <w:style w:type="character" w:styleId="FootnoteReference">
    <w:name w:val="footnote reference"/>
    <w:aliases w:val="Bow_Footnote Reference,BL_Footnote Reference"/>
    <w:semiHidden/>
    <w:unhideWhenUsed/>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character" w:customStyle="1" w:styleId="searchhit">
    <w:name w:val="searchhit"/>
    <w:basedOn w:val="DefaultParagraphFont"/>
    <w:rsid w:val="00005DD3"/>
  </w:style>
  <w:style w:type="paragraph" w:styleId="NoSpacing">
    <w:name w:val="No Spacing"/>
    <w:uiPriority w:val="1"/>
    <w:qFormat/>
    <w:rsid w:val="006A1906"/>
    <w:pPr>
      <w:spacing w:after="0" w:line="240" w:lineRule="auto"/>
    </w:pPr>
    <w:rPr>
      <w:rFonts w:ascii="Arial" w:eastAsia="Times New Roman" w:hAnsi="Arial" w:cs="Arial"/>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72v1SApg328%27%5d&amp;xhitlist_md=target-id=0-0-0-27663" TargetMode="External"/><Relationship Id="rId2" Type="http://schemas.openxmlformats.org/officeDocument/2006/relationships/hyperlink" Target="http://www.saflii.org/cgi-bin/LawCite?cit=1979%20%282%29%20SA%20298" TargetMode="External"/><Relationship Id="rId1" Type="http://schemas.openxmlformats.org/officeDocument/2006/relationships/hyperlink" Target="http://www.saflii.org/cgi-bin/LawCite?cit=2003%20%286%29%20SA%201"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1984v3SApg834%27%5d&amp;xhitlist_md=target-id=0-0-0-27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2D28-3191-4D49-AF57-0B54F868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Lazarus Rakgwale</cp:lastModifiedBy>
  <cp:revision>2</cp:revision>
  <cp:lastPrinted>2022-10-20T07:56:00Z</cp:lastPrinted>
  <dcterms:created xsi:type="dcterms:W3CDTF">2022-10-24T05:30:00Z</dcterms:created>
  <dcterms:modified xsi:type="dcterms:W3CDTF">2022-10-24T05:30:00Z</dcterms:modified>
</cp:coreProperties>
</file>