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F48" w14:textId="77777777" w:rsidR="00D202C2" w:rsidRPr="00671349" w:rsidRDefault="007D51E5" w:rsidP="00B86684">
      <w:pPr>
        <w:spacing w:after="120" w:line="360" w:lineRule="auto"/>
        <w:jc w:val="center"/>
        <w:rPr>
          <w:rFonts w:ascii="Arial" w:hAnsi="Arial" w:cs="Arial"/>
          <w:sz w:val="24"/>
          <w:szCs w:val="24"/>
        </w:rPr>
      </w:pPr>
      <w:r w:rsidRPr="00671349">
        <w:rPr>
          <w:rFonts w:ascii="Arial" w:hAnsi="Arial" w:cs="Arial"/>
          <w:noProof/>
          <w:sz w:val="24"/>
          <w:szCs w:val="24"/>
          <w:lang w:eastAsia="en-ZA"/>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9" r:link="rId10"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D22617">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D22617">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60FC3541" w:rsidR="00D202C2" w:rsidRDefault="00D202C2" w:rsidP="00B928FE">
      <w:pPr>
        <w:autoSpaceDE w:val="0"/>
        <w:autoSpaceDN w:val="0"/>
        <w:adjustRightInd w:val="0"/>
        <w:spacing w:before="240" w:after="120" w:line="360" w:lineRule="auto"/>
        <w:ind w:left="720"/>
        <w:jc w:val="right"/>
        <w:rPr>
          <w:rFonts w:ascii="Arial" w:hAnsi="Arial" w:cs="Arial"/>
          <w:sz w:val="24"/>
          <w:szCs w:val="24"/>
        </w:rPr>
      </w:pPr>
      <w:r w:rsidRPr="00671349">
        <w:rPr>
          <w:rFonts w:ascii="Arial" w:hAnsi="Arial" w:cs="Arial"/>
          <w:sz w:val="24"/>
          <w:szCs w:val="24"/>
        </w:rPr>
        <w:t xml:space="preserve">Case no: </w:t>
      </w:r>
      <w:r w:rsidR="004071E9">
        <w:rPr>
          <w:rFonts w:ascii="Arial" w:hAnsi="Arial" w:cs="Arial"/>
          <w:sz w:val="24"/>
          <w:szCs w:val="24"/>
        </w:rPr>
        <w:t>20</w:t>
      </w:r>
      <w:r w:rsidR="00AC13FE">
        <w:rPr>
          <w:rFonts w:ascii="Arial" w:hAnsi="Arial" w:cs="Arial"/>
          <w:sz w:val="24"/>
          <w:szCs w:val="24"/>
        </w:rPr>
        <w:t>2</w:t>
      </w:r>
      <w:r w:rsidR="006B3093">
        <w:rPr>
          <w:rFonts w:ascii="Arial" w:hAnsi="Arial" w:cs="Arial"/>
          <w:sz w:val="24"/>
          <w:szCs w:val="24"/>
        </w:rPr>
        <w:t>0</w:t>
      </w:r>
      <w:r w:rsidR="00155545">
        <w:rPr>
          <w:rFonts w:ascii="Arial" w:hAnsi="Arial" w:cs="Arial"/>
          <w:sz w:val="24"/>
          <w:szCs w:val="24"/>
        </w:rPr>
        <w:t>/</w:t>
      </w:r>
      <w:r w:rsidR="006B3093">
        <w:rPr>
          <w:rFonts w:ascii="Arial" w:hAnsi="Arial" w:cs="Arial"/>
          <w:sz w:val="24"/>
          <w:szCs w:val="24"/>
        </w:rPr>
        <w:t>19368</w:t>
      </w:r>
    </w:p>
    <w:p w14:paraId="50821842" w14:textId="77777777" w:rsidR="007D51E5" w:rsidRPr="00671349" w:rsidRDefault="007D51E5"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45F9A105" w:rsidR="00FC0780" w:rsidRDefault="00050A11" w:rsidP="00050A1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3D13A1">
                              <w:rPr>
                                <w:rFonts w:ascii="Century Gothic" w:hAnsi="Century Gothic"/>
                                <w:sz w:val="20"/>
                                <w:szCs w:val="20"/>
                              </w:rPr>
                              <w:t>YES / NO</w:t>
                            </w:r>
                          </w:p>
                          <w:p w14:paraId="3BA0F62E" w14:textId="7CAAF804" w:rsidR="00FC0780" w:rsidRDefault="00050A11" w:rsidP="00050A1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AC0994">
                              <w:rPr>
                                <w:rFonts w:ascii="Century Gothic" w:hAnsi="Century Gothic"/>
                                <w:sz w:val="20"/>
                                <w:szCs w:val="20"/>
                              </w:rPr>
                              <w:t>YES</w:t>
                            </w:r>
                            <w:r w:rsidR="003D13A1">
                              <w:rPr>
                                <w:rFonts w:ascii="Century Gothic" w:hAnsi="Century Gothic"/>
                                <w:sz w:val="20"/>
                                <w:szCs w:val="20"/>
                              </w:rPr>
                              <w:t xml:space="preserve"> / NO</w:t>
                            </w:r>
                          </w:p>
                          <w:p w14:paraId="29110CF7" w14:textId="574B3E89" w:rsidR="00FC0780" w:rsidRDefault="00050A11" w:rsidP="00050A1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7806C82D" w14:textId="3B542E33" w:rsidR="00FC0780" w:rsidRDefault="00FC0780" w:rsidP="00FE508D">
                            <w:pPr>
                              <w:rPr>
                                <w:rFonts w:ascii="Century Gothic" w:hAnsi="Century Gothic"/>
                                <w:sz w:val="18"/>
                                <w:szCs w:val="18"/>
                              </w:rPr>
                            </w:pPr>
                            <w:r>
                              <w:rPr>
                                <w:rFonts w:ascii="Century Gothic" w:hAnsi="Century Gothic"/>
                                <w:b/>
                                <w:sz w:val="18"/>
                                <w:szCs w:val="18"/>
                              </w:rPr>
                              <w:t xml:space="preserve"> </w:t>
                            </w:r>
                            <w:r w:rsidR="00FE508D" w:rsidRPr="00FE508D">
                              <w:rPr>
                                <w:rFonts w:ascii="Century Gothic" w:hAnsi="Century Gothic"/>
                                <w:b/>
                                <w:sz w:val="18"/>
                                <w:szCs w:val="18"/>
                              </w:rPr>
                              <w:t>Signed: …………………</w:t>
                            </w:r>
                            <w:proofErr w:type="gramStart"/>
                            <w:r w:rsidR="00FE508D" w:rsidRPr="00FE508D">
                              <w:rPr>
                                <w:rFonts w:ascii="Century Gothic" w:hAnsi="Century Gothic"/>
                                <w:b/>
                                <w:sz w:val="18"/>
                                <w:szCs w:val="18"/>
                              </w:rPr>
                              <w:t>…..</w:t>
                            </w:r>
                            <w:proofErr w:type="gramEnd"/>
                            <w:r w:rsidR="00FE508D" w:rsidRPr="00FE508D">
                              <w:rPr>
                                <w:rFonts w:ascii="Century Gothic" w:hAnsi="Century Gothic"/>
                                <w:b/>
                                <w:sz w:val="18"/>
                                <w:szCs w:val="18"/>
                              </w:rPr>
                              <w:t xml:space="preserve"> </w:t>
                            </w:r>
                            <w:r w:rsidR="00FE508D" w:rsidRPr="00FE508D">
                              <w:rPr>
                                <w:rFonts w:ascii="Century Gothic" w:hAnsi="Century Gothic"/>
                                <w:b/>
                                <w:sz w:val="18"/>
                                <w:szCs w:val="18"/>
                              </w:rPr>
                              <w:tab/>
                              <w:t xml:space="preserve">Date: </w:t>
                            </w:r>
                            <w:r w:rsidR="00FE508D">
                              <w:rPr>
                                <w:rFonts w:ascii="Century Gothic" w:hAnsi="Century Gothic"/>
                                <w:b/>
                                <w:sz w:val="18"/>
                                <w:szCs w:val="18"/>
                              </w:rPr>
                              <w:t>2</w:t>
                            </w:r>
                            <w:r w:rsidR="006D27A4">
                              <w:rPr>
                                <w:rFonts w:ascii="Century Gothic" w:hAnsi="Century Gothic"/>
                                <w:b/>
                                <w:sz w:val="18"/>
                                <w:szCs w:val="18"/>
                              </w:rPr>
                              <w:t>4</w:t>
                            </w:r>
                            <w:r w:rsidR="00FE508D" w:rsidRPr="00FE508D">
                              <w:rPr>
                                <w:rFonts w:ascii="Century Gothic" w:hAnsi="Century Gothic"/>
                                <w:b/>
                                <w:sz w:val="18"/>
                                <w:szCs w:val="18"/>
                              </w:rPr>
                              <w:t xml:space="preserve"> October 2022</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45F9A105" w:rsidR="00FC0780" w:rsidRDefault="00050A11" w:rsidP="00050A1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3D13A1">
                        <w:rPr>
                          <w:rFonts w:ascii="Century Gothic" w:hAnsi="Century Gothic"/>
                          <w:sz w:val="20"/>
                          <w:szCs w:val="20"/>
                        </w:rPr>
                        <w:t>YES / NO</w:t>
                      </w:r>
                    </w:p>
                    <w:p w14:paraId="3BA0F62E" w14:textId="7CAAF804" w:rsidR="00FC0780" w:rsidRDefault="00050A11" w:rsidP="00050A1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AC0994">
                        <w:rPr>
                          <w:rFonts w:ascii="Century Gothic" w:hAnsi="Century Gothic"/>
                          <w:sz w:val="20"/>
                          <w:szCs w:val="20"/>
                        </w:rPr>
                        <w:t>YES</w:t>
                      </w:r>
                      <w:r w:rsidR="003D13A1">
                        <w:rPr>
                          <w:rFonts w:ascii="Century Gothic" w:hAnsi="Century Gothic"/>
                          <w:sz w:val="20"/>
                          <w:szCs w:val="20"/>
                        </w:rPr>
                        <w:t xml:space="preserve"> / NO</w:t>
                      </w:r>
                    </w:p>
                    <w:p w14:paraId="29110CF7" w14:textId="574B3E89" w:rsidR="00FC0780" w:rsidRDefault="00050A11" w:rsidP="00050A1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7806C82D" w14:textId="3B542E33" w:rsidR="00FC0780" w:rsidRDefault="00FC0780" w:rsidP="00FE508D">
                      <w:pPr>
                        <w:rPr>
                          <w:rFonts w:ascii="Century Gothic" w:hAnsi="Century Gothic"/>
                          <w:sz w:val="18"/>
                          <w:szCs w:val="18"/>
                        </w:rPr>
                      </w:pPr>
                      <w:r>
                        <w:rPr>
                          <w:rFonts w:ascii="Century Gothic" w:hAnsi="Century Gothic"/>
                          <w:b/>
                          <w:sz w:val="18"/>
                          <w:szCs w:val="18"/>
                        </w:rPr>
                        <w:t xml:space="preserve"> </w:t>
                      </w:r>
                      <w:r w:rsidR="00FE508D" w:rsidRPr="00FE508D">
                        <w:rPr>
                          <w:rFonts w:ascii="Century Gothic" w:hAnsi="Century Gothic"/>
                          <w:b/>
                          <w:sz w:val="18"/>
                          <w:szCs w:val="18"/>
                        </w:rPr>
                        <w:t>Signed: …………………</w:t>
                      </w:r>
                      <w:proofErr w:type="gramStart"/>
                      <w:r w:rsidR="00FE508D" w:rsidRPr="00FE508D">
                        <w:rPr>
                          <w:rFonts w:ascii="Century Gothic" w:hAnsi="Century Gothic"/>
                          <w:b/>
                          <w:sz w:val="18"/>
                          <w:szCs w:val="18"/>
                        </w:rPr>
                        <w:t>…..</w:t>
                      </w:r>
                      <w:proofErr w:type="gramEnd"/>
                      <w:r w:rsidR="00FE508D" w:rsidRPr="00FE508D">
                        <w:rPr>
                          <w:rFonts w:ascii="Century Gothic" w:hAnsi="Century Gothic"/>
                          <w:b/>
                          <w:sz w:val="18"/>
                          <w:szCs w:val="18"/>
                        </w:rPr>
                        <w:t xml:space="preserve"> </w:t>
                      </w:r>
                      <w:r w:rsidR="00FE508D" w:rsidRPr="00FE508D">
                        <w:rPr>
                          <w:rFonts w:ascii="Century Gothic" w:hAnsi="Century Gothic"/>
                          <w:b/>
                          <w:sz w:val="18"/>
                          <w:szCs w:val="18"/>
                        </w:rPr>
                        <w:tab/>
                        <w:t xml:space="preserve">Date: </w:t>
                      </w:r>
                      <w:r w:rsidR="00FE508D">
                        <w:rPr>
                          <w:rFonts w:ascii="Century Gothic" w:hAnsi="Century Gothic"/>
                          <w:b/>
                          <w:sz w:val="18"/>
                          <w:szCs w:val="18"/>
                        </w:rPr>
                        <w:t>2</w:t>
                      </w:r>
                      <w:r w:rsidR="006D27A4">
                        <w:rPr>
                          <w:rFonts w:ascii="Century Gothic" w:hAnsi="Century Gothic"/>
                          <w:b/>
                          <w:sz w:val="18"/>
                          <w:szCs w:val="18"/>
                        </w:rPr>
                        <w:t>4</w:t>
                      </w:r>
                      <w:r w:rsidR="00FE508D" w:rsidRPr="00FE508D">
                        <w:rPr>
                          <w:rFonts w:ascii="Century Gothic" w:hAnsi="Century Gothic"/>
                          <w:b/>
                          <w:sz w:val="18"/>
                          <w:szCs w:val="18"/>
                        </w:rPr>
                        <w:t xml:space="preserve"> October 2022</w:t>
                      </w:r>
                    </w:p>
                  </w:txbxContent>
                </v:textbox>
                <w10:anchorlock/>
              </v:shape>
            </w:pict>
          </mc:Fallback>
        </mc:AlternateContent>
      </w:r>
    </w:p>
    <w:p w14:paraId="29E97B5D" w14:textId="77777777" w:rsidR="00D202C2" w:rsidRPr="00671349" w:rsidRDefault="00D202C2" w:rsidP="00D22617">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43F1462E" w:rsidR="00D202C2" w:rsidRPr="00671349" w:rsidRDefault="006B3093" w:rsidP="00D22617">
      <w:pPr>
        <w:pStyle w:val="NoSpacing"/>
        <w:tabs>
          <w:tab w:val="left" w:pos="720"/>
          <w:tab w:val="left" w:pos="1440"/>
          <w:tab w:val="left" w:pos="2160"/>
          <w:tab w:val="right" w:pos="9050"/>
        </w:tabs>
        <w:spacing w:after="240" w:line="360" w:lineRule="auto"/>
        <w:rPr>
          <w:rFonts w:ascii="Arial" w:hAnsi="Arial"/>
          <w:b/>
          <w:bCs/>
          <w:sz w:val="24"/>
          <w:szCs w:val="24"/>
        </w:rPr>
      </w:pPr>
      <w:r>
        <w:rPr>
          <w:rFonts w:ascii="Arial" w:hAnsi="Arial"/>
          <w:b/>
          <w:sz w:val="24"/>
          <w:szCs w:val="24"/>
        </w:rPr>
        <w:t xml:space="preserve">KUNMEI YAN </w:t>
      </w:r>
      <w:r w:rsidR="00E970E4">
        <w:rPr>
          <w:rFonts w:ascii="Arial" w:hAnsi="Arial"/>
          <w:b/>
          <w:sz w:val="24"/>
          <w:szCs w:val="24"/>
        </w:rPr>
        <w:tab/>
      </w:r>
      <w:r>
        <w:rPr>
          <w:rFonts w:ascii="Arial" w:hAnsi="Arial"/>
          <w:b/>
          <w:sz w:val="24"/>
          <w:szCs w:val="24"/>
        </w:rPr>
        <w:tab/>
      </w:r>
      <w:r w:rsidR="00E970E4">
        <w:rPr>
          <w:rFonts w:ascii="Arial" w:hAnsi="Arial"/>
          <w:b/>
          <w:sz w:val="24"/>
          <w:szCs w:val="24"/>
        </w:rPr>
        <w:t>Applicant</w:t>
      </w:r>
      <w:r w:rsidR="008D799A">
        <w:rPr>
          <w:rFonts w:ascii="Arial" w:hAnsi="Arial"/>
          <w:b/>
          <w:sz w:val="24"/>
          <w:szCs w:val="24"/>
        </w:rPr>
        <w:t xml:space="preserve"> / </w:t>
      </w:r>
      <w:r>
        <w:rPr>
          <w:rFonts w:ascii="Arial" w:hAnsi="Arial"/>
          <w:b/>
          <w:sz w:val="24"/>
          <w:szCs w:val="24"/>
        </w:rPr>
        <w:t>Plaintiff</w:t>
      </w:r>
    </w:p>
    <w:p w14:paraId="7666F6E1" w14:textId="67350B6C" w:rsidR="00D202C2" w:rsidRPr="00671349" w:rsidRDefault="00D202C2" w:rsidP="00D22617">
      <w:pPr>
        <w:tabs>
          <w:tab w:val="left" w:pos="0"/>
          <w:tab w:val="right" w:pos="9050"/>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35CBE6C9" w:rsidR="00D202C2" w:rsidRDefault="006B3093" w:rsidP="00D22617">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sz w:val="24"/>
          <w:szCs w:val="24"/>
        </w:rPr>
        <w:t>MLUNGISI ABRAHAM MAHLANGU</w:t>
      </w:r>
      <w:r w:rsidR="00D202C2" w:rsidRPr="00671349">
        <w:rPr>
          <w:rFonts w:ascii="Arial" w:hAnsi="Arial" w:cs="Arial"/>
          <w:b/>
          <w:bCs/>
          <w:sz w:val="24"/>
          <w:szCs w:val="24"/>
        </w:rPr>
        <w:tab/>
      </w:r>
      <w:r w:rsidR="004071E9">
        <w:rPr>
          <w:rFonts w:ascii="Arial" w:hAnsi="Arial" w:cs="Arial"/>
          <w:b/>
          <w:bCs/>
          <w:sz w:val="24"/>
          <w:szCs w:val="24"/>
        </w:rPr>
        <w:t>Respondent</w:t>
      </w:r>
      <w:r w:rsidR="008D799A">
        <w:rPr>
          <w:rFonts w:ascii="Arial" w:hAnsi="Arial" w:cs="Arial"/>
          <w:b/>
          <w:bCs/>
          <w:sz w:val="24"/>
          <w:szCs w:val="24"/>
        </w:rPr>
        <w:t xml:space="preserve"> / </w:t>
      </w:r>
      <w:r>
        <w:rPr>
          <w:rFonts w:ascii="Arial" w:hAnsi="Arial" w:cs="Arial"/>
          <w:b/>
          <w:bCs/>
          <w:sz w:val="24"/>
          <w:szCs w:val="24"/>
        </w:rPr>
        <w:t>First Defendant</w:t>
      </w:r>
    </w:p>
    <w:p w14:paraId="3544B960" w14:textId="7179509D" w:rsidR="006B3093" w:rsidRDefault="006B3093" w:rsidP="006B3093">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bCs/>
          <w:sz w:val="24"/>
          <w:szCs w:val="24"/>
        </w:rPr>
        <w:t>RIA AND ASSOCIATES (PTY) LTD</w:t>
      </w:r>
      <w:r>
        <w:rPr>
          <w:rFonts w:ascii="Arial" w:hAnsi="Arial" w:cs="Arial"/>
          <w:b/>
          <w:bCs/>
          <w:sz w:val="24"/>
          <w:szCs w:val="24"/>
        </w:rPr>
        <w:tab/>
        <w:t>Second Defendant</w:t>
      </w:r>
    </w:p>
    <w:p w14:paraId="7F6F3DDF" w14:textId="6A61765F" w:rsidR="006B3093" w:rsidRPr="006B3093" w:rsidRDefault="006B3093" w:rsidP="006B3093">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bCs/>
          <w:sz w:val="24"/>
          <w:szCs w:val="24"/>
        </w:rPr>
        <w:t>POTSISO AIGINER MAHLAELA</w:t>
      </w:r>
      <w:r w:rsidRPr="006B3093">
        <w:rPr>
          <w:rFonts w:ascii="Arial" w:hAnsi="Arial" w:cs="Arial"/>
          <w:b/>
          <w:bCs/>
          <w:sz w:val="24"/>
          <w:szCs w:val="24"/>
        </w:rPr>
        <w:tab/>
      </w:r>
      <w:r>
        <w:rPr>
          <w:rFonts w:ascii="Arial" w:hAnsi="Arial" w:cs="Arial"/>
          <w:b/>
          <w:bCs/>
          <w:sz w:val="24"/>
          <w:szCs w:val="24"/>
        </w:rPr>
        <w:t xml:space="preserve">Third </w:t>
      </w:r>
      <w:r w:rsidRPr="006B3093">
        <w:rPr>
          <w:rFonts w:ascii="Arial" w:hAnsi="Arial" w:cs="Arial"/>
          <w:b/>
          <w:bCs/>
          <w:sz w:val="24"/>
          <w:szCs w:val="24"/>
        </w:rPr>
        <w:t>Defendant</w:t>
      </w:r>
    </w:p>
    <w:p w14:paraId="27380820" w14:textId="608ED872" w:rsidR="006B3093" w:rsidRDefault="006B3093" w:rsidP="006B3093">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bCs/>
          <w:sz w:val="24"/>
          <w:szCs w:val="24"/>
        </w:rPr>
        <w:t xml:space="preserve">SIMON MAIDO </w:t>
      </w:r>
      <w:r w:rsidRPr="006B3093">
        <w:rPr>
          <w:rFonts w:ascii="Arial" w:hAnsi="Arial" w:cs="Arial"/>
          <w:b/>
          <w:bCs/>
          <w:sz w:val="24"/>
          <w:szCs w:val="24"/>
        </w:rPr>
        <w:tab/>
      </w:r>
      <w:r>
        <w:rPr>
          <w:rFonts w:ascii="Arial" w:hAnsi="Arial" w:cs="Arial"/>
          <w:b/>
          <w:bCs/>
          <w:sz w:val="24"/>
          <w:szCs w:val="24"/>
        </w:rPr>
        <w:t xml:space="preserve">Fourth </w:t>
      </w:r>
      <w:r w:rsidRPr="006B3093">
        <w:rPr>
          <w:rFonts w:ascii="Arial" w:hAnsi="Arial" w:cs="Arial"/>
          <w:b/>
          <w:bCs/>
          <w:sz w:val="24"/>
          <w:szCs w:val="24"/>
        </w:rPr>
        <w:t>Defendant</w:t>
      </w:r>
    </w:p>
    <w:p w14:paraId="6B75B693" w14:textId="77777777" w:rsidR="00B928FE" w:rsidRPr="00671349" w:rsidRDefault="00B928FE" w:rsidP="00B86684">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1DEA2455" w14:textId="77777777" w:rsidR="00D202C2" w:rsidRPr="00671349" w:rsidRDefault="00D202C2" w:rsidP="00B928FE">
      <w:pPr>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p>
    <w:p w14:paraId="3A809F54" w14:textId="77777777" w:rsidR="00B928FE" w:rsidRPr="00671349" w:rsidRDefault="00B928FE" w:rsidP="00001F4A">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7A54B147" w14:textId="0780041A" w:rsidR="004071E9" w:rsidRDefault="00FE508D"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was handed down electronically by circulation to the parties’ legal representatives by e-mail and by uploading the signed copy hereof to </w:t>
      </w:r>
      <w:proofErr w:type="spellStart"/>
      <w:r w:rsidRPr="00FE508D">
        <w:rPr>
          <w:rFonts w:ascii="Arial" w:hAnsi="Arial" w:cs="Arial"/>
          <w:b/>
          <w:sz w:val="24"/>
          <w:szCs w:val="24"/>
        </w:rPr>
        <w:t>Caselines</w:t>
      </w:r>
      <w:proofErr w:type="spellEnd"/>
      <w:r w:rsidR="004071E9">
        <w:rPr>
          <w:rFonts w:ascii="Arial" w:hAnsi="Arial" w:cs="Arial"/>
          <w:b/>
          <w:sz w:val="24"/>
          <w:szCs w:val="24"/>
        </w:rPr>
        <w:t>.</w:t>
      </w:r>
    </w:p>
    <w:p w14:paraId="552A0966" w14:textId="03178067" w:rsidR="00B86684" w:rsidRPr="00656B16" w:rsidRDefault="00656B16" w:rsidP="000F6111">
      <w:pPr>
        <w:tabs>
          <w:tab w:val="left" w:pos="0"/>
          <w:tab w:val="right" w:pos="9070"/>
        </w:tabs>
        <w:autoSpaceDE w:val="0"/>
        <w:autoSpaceDN w:val="0"/>
        <w:adjustRightInd w:val="0"/>
        <w:spacing w:line="360" w:lineRule="auto"/>
        <w:rPr>
          <w:rFonts w:ascii="Arial" w:hAnsi="Arial" w:cs="Arial"/>
          <w:bCs/>
          <w:sz w:val="24"/>
          <w:szCs w:val="24"/>
        </w:rPr>
      </w:pPr>
      <w:r w:rsidRPr="00656B16">
        <w:rPr>
          <w:rFonts w:ascii="Arial" w:hAnsi="Arial" w:cs="Arial"/>
          <w:bCs/>
          <w:sz w:val="24"/>
          <w:szCs w:val="24"/>
        </w:rPr>
        <w:lastRenderedPageBreak/>
        <w:t>Contract</w:t>
      </w:r>
      <w:bookmarkStart w:id="0" w:name="_Hlk117425485"/>
      <w:r w:rsidRPr="00656B16">
        <w:rPr>
          <w:rFonts w:ascii="Arial" w:hAnsi="Arial" w:cs="Arial"/>
          <w:bCs/>
          <w:sz w:val="24"/>
          <w:szCs w:val="24"/>
        </w:rPr>
        <w:t xml:space="preserve"> —</w:t>
      </w:r>
      <w:bookmarkEnd w:id="0"/>
      <w:r>
        <w:rPr>
          <w:rFonts w:ascii="Arial" w:hAnsi="Arial" w:cs="Arial"/>
          <w:bCs/>
          <w:sz w:val="24"/>
          <w:szCs w:val="24"/>
        </w:rPr>
        <w:t xml:space="preserve"> </w:t>
      </w:r>
      <w:r w:rsidR="002914E3">
        <w:rPr>
          <w:rFonts w:ascii="Arial" w:hAnsi="Arial" w:cs="Arial"/>
          <w:bCs/>
          <w:sz w:val="24"/>
          <w:szCs w:val="24"/>
        </w:rPr>
        <w:t xml:space="preserve">Litigants </w:t>
      </w:r>
      <w:r w:rsidRPr="00656B16">
        <w:rPr>
          <w:rFonts w:ascii="Arial" w:hAnsi="Arial" w:cs="Arial"/>
          <w:bCs/>
          <w:sz w:val="24"/>
          <w:szCs w:val="24"/>
        </w:rPr>
        <w:t xml:space="preserve">seeking to rely on </w:t>
      </w:r>
      <w:r>
        <w:rPr>
          <w:rFonts w:ascii="Arial" w:hAnsi="Arial" w:cs="Arial"/>
          <w:bCs/>
          <w:sz w:val="24"/>
          <w:szCs w:val="24"/>
        </w:rPr>
        <w:t>C</w:t>
      </w:r>
      <w:r w:rsidRPr="00656B16">
        <w:rPr>
          <w:rFonts w:ascii="Arial" w:hAnsi="Arial" w:cs="Arial"/>
          <w:bCs/>
          <w:sz w:val="24"/>
          <w:szCs w:val="24"/>
        </w:rPr>
        <w:t xml:space="preserve">onstitutional values and good faith in contract to explain how and why relevant established rules of law are to be </w:t>
      </w:r>
      <w:r>
        <w:rPr>
          <w:rFonts w:ascii="Arial" w:hAnsi="Arial" w:cs="Arial"/>
          <w:bCs/>
          <w:sz w:val="24"/>
          <w:szCs w:val="24"/>
        </w:rPr>
        <w:t xml:space="preserve">adjusted </w:t>
      </w:r>
      <w:r w:rsidRPr="00656B16">
        <w:rPr>
          <w:rFonts w:ascii="Arial" w:hAnsi="Arial" w:cs="Arial"/>
          <w:bCs/>
          <w:sz w:val="24"/>
          <w:szCs w:val="24"/>
        </w:rPr>
        <w:t xml:space="preserve">— Interpretation — </w:t>
      </w:r>
      <w:r>
        <w:rPr>
          <w:rFonts w:ascii="Arial" w:hAnsi="Arial" w:cs="Arial"/>
          <w:bCs/>
          <w:sz w:val="24"/>
          <w:szCs w:val="24"/>
        </w:rPr>
        <w:t xml:space="preserve">Relationship between text, </w:t>
      </w:r>
      <w:proofErr w:type="gramStart"/>
      <w:r>
        <w:rPr>
          <w:rFonts w:ascii="Arial" w:hAnsi="Arial" w:cs="Arial"/>
          <w:bCs/>
          <w:sz w:val="24"/>
          <w:szCs w:val="24"/>
        </w:rPr>
        <w:t>context</w:t>
      </w:r>
      <w:proofErr w:type="gramEnd"/>
      <w:r>
        <w:rPr>
          <w:rFonts w:ascii="Arial" w:hAnsi="Arial" w:cs="Arial"/>
          <w:bCs/>
          <w:sz w:val="24"/>
          <w:szCs w:val="24"/>
        </w:rPr>
        <w:t xml:space="preserve"> and purpose </w:t>
      </w:r>
      <w:r w:rsidRPr="00656B16">
        <w:rPr>
          <w:rFonts w:ascii="Arial" w:hAnsi="Arial" w:cs="Arial"/>
          <w:bCs/>
          <w:sz w:val="24"/>
          <w:szCs w:val="24"/>
        </w:rPr>
        <w:t xml:space="preserve">— </w:t>
      </w:r>
      <w:r>
        <w:rPr>
          <w:rFonts w:ascii="Arial" w:hAnsi="Arial" w:cs="Arial"/>
          <w:bCs/>
          <w:sz w:val="24"/>
          <w:szCs w:val="24"/>
        </w:rPr>
        <w:t xml:space="preserve">Implied and </w:t>
      </w:r>
      <w:r w:rsidR="000F6111">
        <w:rPr>
          <w:rFonts w:ascii="Arial" w:hAnsi="Arial" w:cs="Arial"/>
          <w:bCs/>
          <w:sz w:val="24"/>
          <w:szCs w:val="24"/>
        </w:rPr>
        <w:t>t</w:t>
      </w:r>
      <w:r>
        <w:rPr>
          <w:rFonts w:ascii="Arial" w:hAnsi="Arial" w:cs="Arial"/>
          <w:bCs/>
          <w:sz w:val="24"/>
          <w:szCs w:val="24"/>
        </w:rPr>
        <w:t xml:space="preserve">acit terms </w:t>
      </w:r>
      <w:r w:rsidRPr="00656B16">
        <w:rPr>
          <w:rFonts w:ascii="Arial" w:hAnsi="Arial" w:cs="Arial"/>
          <w:bCs/>
          <w:sz w:val="24"/>
          <w:szCs w:val="24"/>
        </w:rPr>
        <w:t xml:space="preserve">— </w:t>
      </w:r>
      <w:r>
        <w:rPr>
          <w:rFonts w:ascii="Arial" w:hAnsi="Arial" w:cs="Arial"/>
          <w:bCs/>
          <w:sz w:val="24"/>
          <w:szCs w:val="24"/>
        </w:rPr>
        <w:t>Failure to plead</w:t>
      </w:r>
    </w:p>
    <w:p w14:paraId="3686975F" w14:textId="6469E4E9" w:rsidR="00AC0994" w:rsidRDefault="00AC0994" w:rsidP="00B86684">
      <w:pPr>
        <w:tabs>
          <w:tab w:val="left" w:pos="0"/>
          <w:tab w:val="right" w:pos="9070"/>
        </w:tabs>
        <w:autoSpaceDE w:val="0"/>
        <w:autoSpaceDN w:val="0"/>
        <w:adjustRightInd w:val="0"/>
        <w:spacing w:line="240" w:lineRule="auto"/>
        <w:rPr>
          <w:rFonts w:ascii="Arial" w:hAnsi="Arial" w:cs="Arial"/>
          <w:b/>
          <w:sz w:val="24"/>
          <w:szCs w:val="24"/>
        </w:rPr>
      </w:pPr>
    </w:p>
    <w:p w14:paraId="4D7FB0D6" w14:textId="77777777" w:rsidR="00AC0994" w:rsidRDefault="00AC0994" w:rsidP="00B86684">
      <w:pPr>
        <w:tabs>
          <w:tab w:val="left" w:pos="0"/>
          <w:tab w:val="right" w:pos="9070"/>
        </w:tabs>
        <w:autoSpaceDE w:val="0"/>
        <w:autoSpaceDN w:val="0"/>
        <w:adjustRightInd w:val="0"/>
        <w:spacing w:line="240" w:lineRule="auto"/>
        <w:rPr>
          <w:rFonts w:ascii="Arial" w:hAnsi="Arial" w:cs="Arial"/>
          <w:b/>
          <w:sz w:val="24"/>
          <w:szCs w:val="24"/>
        </w:rPr>
      </w:pPr>
    </w:p>
    <w:p w14:paraId="736D3A2C" w14:textId="4932E665" w:rsidR="00D202C2" w:rsidRPr="00671349" w:rsidRDefault="003C4F1C" w:rsidP="00B86684">
      <w:pPr>
        <w:tabs>
          <w:tab w:val="left" w:pos="0"/>
          <w:tab w:val="right" w:pos="9070"/>
        </w:tabs>
        <w:autoSpaceDE w:val="0"/>
        <w:autoSpaceDN w:val="0"/>
        <w:adjustRightInd w:val="0"/>
        <w:spacing w:after="120" w:line="360" w:lineRule="auto"/>
        <w:rPr>
          <w:rFonts w:ascii="Arial" w:hAnsi="Arial" w:cs="Arial"/>
          <w:b/>
          <w:sz w:val="24"/>
          <w:szCs w:val="24"/>
        </w:rPr>
      </w:pPr>
      <w:r w:rsidRPr="00671349">
        <w:rPr>
          <w:rFonts w:ascii="Arial" w:hAnsi="Arial" w:cs="Arial"/>
          <w:b/>
          <w:sz w:val="24"/>
          <w:szCs w:val="24"/>
        </w:rPr>
        <w:t>MOULTRIE</w:t>
      </w:r>
      <w:r w:rsidR="00D202C2" w:rsidRPr="00671349">
        <w:rPr>
          <w:rFonts w:ascii="Arial" w:hAnsi="Arial" w:cs="Arial"/>
          <w:b/>
          <w:sz w:val="24"/>
          <w:szCs w:val="24"/>
        </w:rPr>
        <w:t xml:space="preserve"> AJ</w:t>
      </w:r>
    </w:p>
    <w:p w14:paraId="1CCC2ADC" w14:textId="48D2BA8B" w:rsidR="00074CFD" w:rsidRDefault="00050A11" w:rsidP="00050A11">
      <w:pPr>
        <w:pStyle w:val="LC1"/>
        <w:numPr>
          <w:ilvl w:val="0"/>
          <w:numId w:val="0"/>
        </w:numPr>
        <w:ind w:left="644" w:hanging="720"/>
      </w:pPr>
      <w:r>
        <w:rPr>
          <w:rFonts w:cs="Arial"/>
          <w:szCs w:val="24"/>
        </w:rPr>
        <w:t>[1]</w:t>
      </w:r>
      <w:r>
        <w:rPr>
          <w:rFonts w:cs="Arial"/>
          <w:szCs w:val="24"/>
        </w:rPr>
        <w:tab/>
      </w:r>
      <w:r w:rsidR="001C338F" w:rsidRPr="001C338F">
        <w:t xml:space="preserve">The </w:t>
      </w:r>
      <w:r w:rsidR="00FE508D">
        <w:t xml:space="preserve">applicant is the plaintiff in an action </w:t>
      </w:r>
      <w:r w:rsidR="00FE508D" w:rsidRPr="00FE508D">
        <w:t xml:space="preserve">instituted against </w:t>
      </w:r>
      <w:r w:rsidR="00FE508D" w:rsidRPr="00074CFD">
        <w:rPr>
          <w:i/>
          <w:iCs/>
        </w:rPr>
        <w:t xml:space="preserve">inter alia </w:t>
      </w:r>
      <w:r w:rsidR="00FE508D" w:rsidRPr="00FE508D">
        <w:t xml:space="preserve">the respondent </w:t>
      </w:r>
      <w:r w:rsidR="00DA1807">
        <w:t xml:space="preserve">(who was cited </w:t>
      </w:r>
      <w:r w:rsidR="00240BD7">
        <w:t xml:space="preserve">in the action </w:t>
      </w:r>
      <w:r w:rsidR="00DA1807">
        <w:t xml:space="preserve">as the first defendant) </w:t>
      </w:r>
      <w:r w:rsidR="00FE508D" w:rsidRPr="00FE508D">
        <w:t xml:space="preserve">in which </w:t>
      </w:r>
      <w:r w:rsidR="00FE508D">
        <w:t xml:space="preserve">she </w:t>
      </w:r>
      <w:r w:rsidR="00FE508D" w:rsidRPr="00FE508D">
        <w:t xml:space="preserve">claimed </w:t>
      </w:r>
      <w:r w:rsidR="000003E7">
        <w:t xml:space="preserve">repayment of a portion of a deposit that had </w:t>
      </w:r>
      <w:r w:rsidR="00EE5DFC">
        <w:t xml:space="preserve">allegedly </w:t>
      </w:r>
      <w:r w:rsidR="000003E7">
        <w:t xml:space="preserve">been paid by her and received by the respondent pursuant to </w:t>
      </w:r>
      <w:r w:rsidR="00B4253D">
        <w:t xml:space="preserve">a failed </w:t>
      </w:r>
      <w:r w:rsidR="000003E7">
        <w:t xml:space="preserve">sale agreement concluded </w:t>
      </w:r>
      <w:r w:rsidR="00B4253D">
        <w:t xml:space="preserve">between the parties </w:t>
      </w:r>
      <w:r w:rsidR="00E45D8C">
        <w:t xml:space="preserve">in respect of </w:t>
      </w:r>
      <w:r w:rsidR="000003E7">
        <w:t>a certain immovable property. Although t</w:t>
      </w:r>
      <w:r w:rsidR="000003E7" w:rsidRPr="000003E7">
        <w:t xml:space="preserve">he action </w:t>
      </w:r>
      <w:r w:rsidR="00EE5DFC">
        <w:t xml:space="preserve">was defended </w:t>
      </w:r>
      <w:r w:rsidR="000003E7" w:rsidRPr="000003E7">
        <w:t>and a plea and counterclaim</w:t>
      </w:r>
      <w:r w:rsidR="00EE5DFC">
        <w:t xml:space="preserve"> were delivered</w:t>
      </w:r>
      <w:r w:rsidR="000003E7" w:rsidRPr="000003E7">
        <w:t xml:space="preserve">, </w:t>
      </w:r>
      <w:r w:rsidR="00B4253D">
        <w:t xml:space="preserve">the </w:t>
      </w:r>
      <w:r w:rsidR="000003E7">
        <w:t xml:space="preserve">parties concluded </w:t>
      </w:r>
      <w:r w:rsidR="000003E7" w:rsidRPr="000003E7">
        <w:t>a written agreement</w:t>
      </w:r>
      <w:r w:rsidR="00B4253D">
        <w:t xml:space="preserve"> </w:t>
      </w:r>
      <w:r w:rsidR="00240BD7" w:rsidRPr="00240BD7">
        <w:t>settling the action</w:t>
      </w:r>
      <w:r w:rsidR="00240BD7">
        <w:t xml:space="preserve"> </w:t>
      </w:r>
      <w:r w:rsidR="00B4253D">
        <w:t>on 9 April 2021</w:t>
      </w:r>
      <w:r w:rsidR="00074CFD">
        <w:t xml:space="preserve"> in terms of which the respondent was required to pay a reduced “settlement amount” on or before 31 May 2021 (clause 2), failing which he would be required to pay “the full claim” and interest thereon from 8 May 2020 (clause 11). </w:t>
      </w:r>
    </w:p>
    <w:p w14:paraId="4EE7F438" w14:textId="287C6F9E" w:rsidR="000341CA" w:rsidRPr="0086169E" w:rsidRDefault="00050A11" w:rsidP="00050A11">
      <w:pPr>
        <w:pStyle w:val="LC1"/>
        <w:numPr>
          <w:ilvl w:val="0"/>
          <w:numId w:val="0"/>
        </w:numPr>
        <w:ind w:left="644" w:hanging="720"/>
      </w:pPr>
      <w:r w:rsidRPr="0086169E">
        <w:rPr>
          <w:rFonts w:cs="Arial"/>
          <w:szCs w:val="24"/>
        </w:rPr>
        <w:t>[2]</w:t>
      </w:r>
      <w:r w:rsidRPr="0086169E">
        <w:rPr>
          <w:rFonts w:cs="Arial"/>
          <w:szCs w:val="24"/>
        </w:rPr>
        <w:tab/>
      </w:r>
      <w:r w:rsidR="000341CA">
        <w:t>Relying on the respondent’s failure to pay the settlement amount contemplated in clause 2 of the settlement agreement, t</w:t>
      </w:r>
      <w:r w:rsidR="000341CA" w:rsidRPr="00B4253D">
        <w:t xml:space="preserve">he </w:t>
      </w:r>
      <w:r w:rsidR="000341CA">
        <w:t xml:space="preserve">applicant </w:t>
      </w:r>
      <w:r w:rsidR="000341CA" w:rsidRPr="00B4253D">
        <w:t xml:space="preserve">now applies </w:t>
      </w:r>
      <w:r w:rsidR="000341CA">
        <w:t xml:space="preserve">for an order requiring the respondent </w:t>
      </w:r>
      <w:r w:rsidR="000341CA" w:rsidRPr="00EE5DFC">
        <w:t xml:space="preserve">to pay the </w:t>
      </w:r>
      <w:r w:rsidR="000341CA">
        <w:t xml:space="preserve">outstanding portion of the </w:t>
      </w:r>
      <w:r w:rsidR="000341CA" w:rsidRPr="00EE5DFC">
        <w:t xml:space="preserve">sum </w:t>
      </w:r>
      <w:r w:rsidR="000341CA">
        <w:t>envisaged in clause 11 thereof together with interest thereon.</w:t>
      </w:r>
      <w:r w:rsidR="000341CA">
        <w:rPr>
          <w:rStyle w:val="FootnoteReference"/>
        </w:rPr>
        <w:footnoteReference w:id="1"/>
      </w:r>
      <w:r w:rsidR="000341CA" w:rsidRPr="00EE5DFC">
        <w:t xml:space="preserve"> </w:t>
      </w:r>
    </w:p>
    <w:p w14:paraId="41C9FFC1" w14:textId="1978A160" w:rsidR="000341CA" w:rsidRPr="000341CA" w:rsidRDefault="000341CA" w:rsidP="000341CA">
      <w:pPr>
        <w:pStyle w:val="LC1"/>
        <w:numPr>
          <w:ilvl w:val="0"/>
          <w:numId w:val="0"/>
        </w:numPr>
        <w:rPr>
          <w:u w:val="single"/>
        </w:rPr>
      </w:pPr>
      <w:r w:rsidRPr="000341CA">
        <w:rPr>
          <w:u w:val="single"/>
        </w:rPr>
        <w:t>Relevant facts</w:t>
      </w:r>
    </w:p>
    <w:p w14:paraId="63276AD7" w14:textId="378C9D54" w:rsidR="00B4253D" w:rsidRDefault="00050A11" w:rsidP="00050A11">
      <w:pPr>
        <w:pStyle w:val="LC1"/>
        <w:numPr>
          <w:ilvl w:val="0"/>
          <w:numId w:val="0"/>
        </w:numPr>
        <w:ind w:left="644" w:hanging="720"/>
      </w:pPr>
      <w:r>
        <w:rPr>
          <w:rFonts w:cs="Arial"/>
          <w:szCs w:val="24"/>
        </w:rPr>
        <w:t>[3]</w:t>
      </w:r>
      <w:r>
        <w:rPr>
          <w:rFonts w:cs="Arial"/>
          <w:szCs w:val="24"/>
        </w:rPr>
        <w:tab/>
      </w:r>
      <w:r w:rsidR="00B4253D">
        <w:t xml:space="preserve">The express terms of the settlement agreement insofar as they are relevant </w:t>
      </w:r>
      <w:r w:rsidR="00E45D8C">
        <w:t xml:space="preserve">for current purposes </w:t>
      </w:r>
      <w:r w:rsidR="00B4253D">
        <w:t>are as follows:</w:t>
      </w:r>
    </w:p>
    <w:p w14:paraId="080AF3D7" w14:textId="398D3563" w:rsidR="00B4253D" w:rsidRPr="00EE5DFC" w:rsidRDefault="00DA1807" w:rsidP="00B4253D">
      <w:pPr>
        <w:pStyle w:val="LC1"/>
        <w:numPr>
          <w:ilvl w:val="0"/>
          <w:numId w:val="0"/>
        </w:numPr>
        <w:ind w:left="1440"/>
        <w:rPr>
          <w:i/>
          <w:iCs/>
        </w:rPr>
      </w:pPr>
      <w:r w:rsidRPr="00EE5DFC">
        <w:rPr>
          <w:i/>
          <w:iCs/>
        </w:rPr>
        <w:t xml:space="preserve">1. The First Defendant shall make payment to the Plaintiff of the sum of R2 200 000-00 (TWO MILLION TWO HUNDRED THOUSAND RAND) in full and final settlement of all and any claims of whatever nature from whatever cause arising herein between the Plaintiff and the First Defendant in respect of the matter …  </w:t>
      </w:r>
    </w:p>
    <w:p w14:paraId="2B3E98E5" w14:textId="5AA32ED8" w:rsidR="00DA1807" w:rsidRPr="00EE5DFC" w:rsidRDefault="00DA1807" w:rsidP="00B4253D">
      <w:pPr>
        <w:pStyle w:val="LC1"/>
        <w:numPr>
          <w:ilvl w:val="0"/>
          <w:numId w:val="0"/>
        </w:numPr>
        <w:ind w:left="1440"/>
        <w:rPr>
          <w:i/>
          <w:iCs/>
        </w:rPr>
      </w:pPr>
      <w:r w:rsidRPr="00EE5DFC">
        <w:rPr>
          <w:i/>
          <w:iCs/>
        </w:rPr>
        <w:lastRenderedPageBreak/>
        <w:t>2. Payment thereof shall be made by the First Defendant to the Plaintiff on or before the 31</w:t>
      </w:r>
      <w:r w:rsidRPr="00EE5DFC">
        <w:rPr>
          <w:i/>
          <w:iCs/>
          <w:vertAlign w:val="superscript"/>
        </w:rPr>
        <w:t>st</w:t>
      </w:r>
      <w:r w:rsidRPr="00EE5DFC">
        <w:rPr>
          <w:i/>
          <w:iCs/>
        </w:rPr>
        <w:t xml:space="preserve"> of May 2021 (“the payment date”), </w:t>
      </w:r>
      <w:proofErr w:type="gramStart"/>
      <w:r w:rsidRPr="00AE33F3">
        <w:rPr>
          <w:i/>
          <w:iCs/>
          <w:u w:val="single"/>
        </w:rPr>
        <w:t>in the event that</w:t>
      </w:r>
      <w:proofErr w:type="gramEnd"/>
      <w:r w:rsidRPr="00AE33F3">
        <w:rPr>
          <w:i/>
          <w:iCs/>
          <w:u w:val="single"/>
        </w:rPr>
        <w:t xml:space="preserve"> there </w:t>
      </w:r>
      <w:r w:rsidR="00DE1F86">
        <w:rPr>
          <w:i/>
          <w:iCs/>
          <w:u w:val="single"/>
        </w:rPr>
        <w:t xml:space="preserve">[sic] </w:t>
      </w:r>
      <w:r w:rsidRPr="00AE33F3">
        <w:rPr>
          <w:i/>
          <w:iCs/>
          <w:u w:val="single"/>
        </w:rPr>
        <w:t>any unforeseen and valid cause of delay, the parties may agree in writing to extend the payment date</w:t>
      </w:r>
      <w:r w:rsidRPr="00EE5DFC">
        <w:rPr>
          <w:i/>
          <w:iCs/>
        </w:rPr>
        <w:t>. …</w:t>
      </w:r>
    </w:p>
    <w:p w14:paraId="44F5C2C0" w14:textId="3E997913" w:rsidR="00DA1807" w:rsidRPr="00EE5DFC" w:rsidRDefault="00DA1807" w:rsidP="00B4253D">
      <w:pPr>
        <w:pStyle w:val="LC1"/>
        <w:numPr>
          <w:ilvl w:val="0"/>
          <w:numId w:val="0"/>
        </w:numPr>
        <w:ind w:left="1440"/>
        <w:rPr>
          <w:i/>
          <w:iCs/>
        </w:rPr>
      </w:pPr>
      <w:r w:rsidRPr="00EE5DFC">
        <w:rPr>
          <w:i/>
          <w:iCs/>
        </w:rPr>
        <w:t>3. It is hereby recorded that the First Defendant’s attorneys … are attending to the registration of transfer of [the property] and the proceeds of the sale has been or will be paid by the purchaser into the First Defendant's attorneys' trust account for the benefit and credit of the First Defendant. … The First Defendant and the First Defendant's attorneys hereby undertake to earmark an amount of not less than R 2 200 000-00 from the proceeds of sale in the said trust account for the settlement payment as referred to in paragraph 2 above. …</w:t>
      </w:r>
    </w:p>
    <w:p w14:paraId="4027876A" w14:textId="77777777" w:rsidR="00DA1807" w:rsidRPr="00EE5DFC" w:rsidRDefault="00DA1807" w:rsidP="00B4253D">
      <w:pPr>
        <w:pStyle w:val="LC1"/>
        <w:numPr>
          <w:ilvl w:val="0"/>
          <w:numId w:val="0"/>
        </w:numPr>
        <w:ind w:left="1440"/>
        <w:rPr>
          <w:i/>
          <w:iCs/>
        </w:rPr>
      </w:pPr>
      <w:r w:rsidRPr="00EE5DFC">
        <w:rPr>
          <w:i/>
          <w:iCs/>
        </w:rPr>
        <w:t xml:space="preserve">5. Upon payment of the settlement amount referred to in Paragraph </w:t>
      </w:r>
      <w:proofErr w:type="gramStart"/>
      <w:r w:rsidRPr="00EE5DFC">
        <w:rPr>
          <w:i/>
          <w:iCs/>
        </w:rPr>
        <w:t>2 aforementioned, neither</w:t>
      </w:r>
      <w:proofErr w:type="gramEnd"/>
      <w:r w:rsidRPr="00EE5DFC">
        <w:rPr>
          <w:i/>
          <w:iCs/>
        </w:rPr>
        <w:t xml:space="preserve"> party shall have any other claim of whatever nature against the other from whatever cause arising and this agreement shall be in full and final settlement thereof.</w:t>
      </w:r>
    </w:p>
    <w:p w14:paraId="5E49F0D7" w14:textId="77777777" w:rsidR="00DA1807" w:rsidRPr="00EE5DFC" w:rsidRDefault="00DA1807" w:rsidP="00B4253D">
      <w:pPr>
        <w:pStyle w:val="LC1"/>
        <w:numPr>
          <w:ilvl w:val="0"/>
          <w:numId w:val="0"/>
        </w:numPr>
        <w:ind w:left="1440"/>
        <w:rPr>
          <w:i/>
          <w:iCs/>
        </w:rPr>
      </w:pPr>
      <w:r w:rsidRPr="00EE5DFC">
        <w:rPr>
          <w:i/>
          <w:iCs/>
        </w:rPr>
        <w:t>…</w:t>
      </w:r>
    </w:p>
    <w:p w14:paraId="591AF558" w14:textId="60F733EA" w:rsidR="00E45D8C" w:rsidRDefault="00DA1807" w:rsidP="00E45D8C">
      <w:pPr>
        <w:pStyle w:val="LC1"/>
        <w:numPr>
          <w:ilvl w:val="0"/>
          <w:numId w:val="0"/>
        </w:numPr>
        <w:ind w:left="1440"/>
        <w:rPr>
          <w:i/>
          <w:iCs/>
        </w:rPr>
      </w:pPr>
      <w:r w:rsidRPr="00EE5DFC">
        <w:rPr>
          <w:i/>
          <w:iCs/>
        </w:rPr>
        <w:t xml:space="preserve">11. The parties hereto specifically undertake and agree that should payment in terms hereof not be made on or before the due date stated in paragraph 2 above, then and in such event, the full claim of R 2 773 534-56 together with interest on the said sum a </w:t>
      </w:r>
      <w:proofErr w:type="spellStart"/>
      <w:r w:rsidRPr="00EE5DFC">
        <w:rPr>
          <w:i/>
          <w:iCs/>
        </w:rPr>
        <w:t>tempora</w:t>
      </w:r>
      <w:proofErr w:type="spellEnd"/>
      <w:r w:rsidRPr="00EE5DFC">
        <w:rPr>
          <w:i/>
          <w:iCs/>
        </w:rPr>
        <w:t xml:space="preserve"> morae at the prescribed interest rate from the 8</w:t>
      </w:r>
      <w:r w:rsidR="003C7A31" w:rsidRPr="003C7A31">
        <w:rPr>
          <w:i/>
          <w:iCs/>
          <w:vertAlign w:val="superscript"/>
        </w:rPr>
        <w:t>th</w:t>
      </w:r>
      <w:r w:rsidR="003C7A31">
        <w:rPr>
          <w:i/>
          <w:iCs/>
        </w:rPr>
        <w:t xml:space="preserve"> </w:t>
      </w:r>
      <w:r w:rsidRPr="00EE5DFC">
        <w:rPr>
          <w:i/>
          <w:iCs/>
        </w:rPr>
        <w:t>of May 2020 to date of payment together with interest thereon as well as costs either taxed or agreed shall be due and payable immediately by the First Defendant to the Plaintiff and the Plaintiff shall be entitled to proceed further for the recovery thereof in execution without any further notice to the First Defendant or to approach the above Honourable Court for the appropriate relief.</w:t>
      </w:r>
    </w:p>
    <w:p w14:paraId="7575F507" w14:textId="77777777" w:rsidR="006B520A" w:rsidRDefault="00E45D8C" w:rsidP="00E45D8C">
      <w:pPr>
        <w:pStyle w:val="LC1"/>
        <w:numPr>
          <w:ilvl w:val="0"/>
          <w:numId w:val="0"/>
        </w:numPr>
        <w:ind w:left="1440"/>
        <w:rPr>
          <w:i/>
          <w:iCs/>
        </w:rPr>
      </w:pPr>
      <w:r>
        <w:rPr>
          <w:i/>
          <w:iCs/>
        </w:rPr>
        <w:t xml:space="preserve">13.1.3 This agreement: … </w:t>
      </w:r>
      <w:r w:rsidRPr="00E45D8C">
        <w:rPr>
          <w:i/>
          <w:iCs/>
        </w:rPr>
        <w:t xml:space="preserve">no variation, </w:t>
      </w:r>
      <w:proofErr w:type="gramStart"/>
      <w:r w:rsidRPr="00E45D8C">
        <w:rPr>
          <w:i/>
          <w:iCs/>
        </w:rPr>
        <w:t>amendment</w:t>
      </w:r>
      <w:proofErr w:type="gramEnd"/>
      <w:r w:rsidRPr="00E45D8C">
        <w:rPr>
          <w:i/>
          <w:iCs/>
        </w:rPr>
        <w:t xml:space="preserve"> or alteration thereof</w:t>
      </w:r>
      <w:r>
        <w:rPr>
          <w:i/>
          <w:iCs/>
        </w:rPr>
        <w:t xml:space="preserve"> [sic]</w:t>
      </w:r>
      <w:r w:rsidRPr="00E45D8C">
        <w:rPr>
          <w:i/>
          <w:iCs/>
        </w:rPr>
        <w:t xml:space="preserve"> shall be</w:t>
      </w:r>
      <w:r>
        <w:rPr>
          <w:i/>
          <w:iCs/>
        </w:rPr>
        <w:t xml:space="preserve"> </w:t>
      </w:r>
      <w:r w:rsidRPr="00E45D8C">
        <w:rPr>
          <w:i/>
          <w:iCs/>
        </w:rPr>
        <w:t>of any force or effect unless reduced to writing and</w:t>
      </w:r>
      <w:r>
        <w:rPr>
          <w:i/>
          <w:iCs/>
        </w:rPr>
        <w:t xml:space="preserve"> </w:t>
      </w:r>
      <w:r w:rsidRPr="00E45D8C">
        <w:rPr>
          <w:i/>
          <w:iCs/>
        </w:rPr>
        <w:t>signed by both parties</w:t>
      </w:r>
      <w:r>
        <w:rPr>
          <w:i/>
          <w:iCs/>
        </w:rPr>
        <w:t>.</w:t>
      </w:r>
    </w:p>
    <w:p w14:paraId="15C7314F" w14:textId="07753C07" w:rsidR="00AE33F3" w:rsidRDefault="00050A11" w:rsidP="00050A11">
      <w:pPr>
        <w:pStyle w:val="LC1"/>
        <w:numPr>
          <w:ilvl w:val="0"/>
          <w:numId w:val="0"/>
        </w:numPr>
        <w:ind w:left="644" w:hanging="720"/>
      </w:pPr>
      <w:r>
        <w:rPr>
          <w:rFonts w:cs="Arial"/>
          <w:szCs w:val="24"/>
        </w:rPr>
        <w:lastRenderedPageBreak/>
        <w:t>[4]</w:t>
      </w:r>
      <w:r>
        <w:rPr>
          <w:rFonts w:cs="Arial"/>
          <w:szCs w:val="24"/>
        </w:rPr>
        <w:tab/>
      </w:r>
      <w:r w:rsidR="00AE33F3">
        <w:t>I have underlined a portion of clause 2 in view of the central role that it plays in the matter.</w:t>
      </w:r>
    </w:p>
    <w:p w14:paraId="00511EFA" w14:textId="18AB8760" w:rsidR="0086169E" w:rsidRDefault="00050A11" w:rsidP="00050A11">
      <w:pPr>
        <w:pStyle w:val="LC1"/>
        <w:numPr>
          <w:ilvl w:val="0"/>
          <w:numId w:val="0"/>
        </w:numPr>
        <w:ind w:left="644" w:hanging="720"/>
      </w:pPr>
      <w:r>
        <w:rPr>
          <w:rFonts w:cs="Arial"/>
          <w:szCs w:val="24"/>
        </w:rPr>
        <w:t>[5]</w:t>
      </w:r>
      <w:r>
        <w:rPr>
          <w:rFonts w:cs="Arial"/>
          <w:szCs w:val="24"/>
        </w:rPr>
        <w:tab/>
      </w:r>
      <w:r w:rsidR="00DA1807" w:rsidRPr="00DA1807">
        <w:t xml:space="preserve">It is common cause </w:t>
      </w:r>
      <w:r w:rsidR="00DA1807">
        <w:t xml:space="preserve">between the parties that the </w:t>
      </w:r>
      <w:r w:rsidR="00133791">
        <w:t>respondent</w:t>
      </w:r>
      <w:r w:rsidR="00E45D8C">
        <w:t xml:space="preserve"> </w:t>
      </w:r>
      <w:r w:rsidR="00DA1807" w:rsidRPr="00DA1807">
        <w:t xml:space="preserve">did not make payment of the sum of R2,200,000.00 </w:t>
      </w:r>
      <w:r w:rsidR="00E45D8C">
        <w:t xml:space="preserve">(i.e. the amount referred to in clause 5 as “the settlement amount”) </w:t>
      </w:r>
      <w:r w:rsidR="00DA1807" w:rsidRPr="00DA1807">
        <w:t>or any portion thereof on or before 31 May 2021</w:t>
      </w:r>
      <w:r w:rsidR="00DA1807">
        <w:t xml:space="preserve"> as envisaged in clause 2 of the settlement agreement</w:t>
      </w:r>
      <w:r w:rsidR="0029341D">
        <w:t xml:space="preserve">, but that </w:t>
      </w:r>
      <w:r w:rsidR="0029341D" w:rsidRPr="0029341D">
        <w:t xml:space="preserve">an amount equal to the settlement amount (i.e. R2,200,000.00) was paid to the </w:t>
      </w:r>
      <w:r w:rsidR="00133791">
        <w:t>applicant</w:t>
      </w:r>
      <w:r w:rsidR="0029341D" w:rsidRPr="0029341D">
        <w:t xml:space="preserve"> on </w:t>
      </w:r>
      <w:r w:rsidR="00240BD7">
        <w:t>5</w:t>
      </w:r>
      <w:r w:rsidR="0029341D" w:rsidRPr="0029341D">
        <w:t xml:space="preserve"> August 2021</w:t>
      </w:r>
      <w:r w:rsidR="0029341D">
        <w:t xml:space="preserve">, </w:t>
      </w:r>
      <w:r w:rsidR="0029341D" w:rsidRPr="0029341D">
        <w:t xml:space="preserve">after this application </w:t>
      </w:r>
      <w:r w:rsidR="0029341D">
        <w:t>was launched.</w:t>
      </w:r>
    </w:p>
    <w:p w14:paraId="06F0411F" w14:textId="612A4306" w:rsidR="005E5030" w:rsidRPr="005E5030" w:rsidRDefault="005E5030" w:rsidP="005E5030">
      <w:pPr>
        <w:pStyle w:val="LC1"/>
        <w:keepNext/>
        <w:numPr>
          <w:ilvl w:val="0"/>
          <w:numId w:val="0"/>
        </w:numPr>
        <w:rPr>
          <w:u w:val="single"/>
        </w:rPr>
      </w:pPr>
      <w:r w:rsidRPr="005E5030">
        <w:rPr>
          <w:u w:val="single"/>
        </w:rPr>
        <w:t xml:space="preserve">The </w:t>
      </w:r>
      <w:r w:rsidR="000341CA">
        <w:rPr>
          <w:u w:val="single"/>
        </w:rPr>
        <w:t xml:space="preserve">respondent’s </w:t>
      </w:r>
      <w:r w:rsidR="00074CFD">
        <w:rPr>
          <w:u w:val="single"/>
        </w:rPr>
        <w:t>defences</w:t>
      </w:r>
    </w:p>
    <w:p w14:paraId="5FD73493" w14:textId="30611D3D" w:rsidR="004E1D44" w:rsidRDefault="00050A11" w:rsidP="00050A11">
      <w:pPr>
        <w:pStyle w:val="LC1"/>
        <w:numPr>
          <w:ilvl w:val="0"/>
          <w:numId w:val="0"/>
        </w:numPr>
        <w:ind w:left="644" w:hanging="720"/>
      </w:pPr>
      <w:r>
        <w:rPr>
          <w:rFonts w:cs="Arial"/>
          <w:szCs w:val="24"/>
        </w:rPr>
        <w:t>[6]</w:t>
      </w:r>
      <w:r>
        <w:rPr>
          <w:rFonts w:cs="Arial"/>
          <w:szCs w:val="24"/>
        </w:rPr>
        <w:tab/>
      </w:r>
      <w:r w:rsidR="004E1D44">
        <w:t>Bearing in mind that the affidavits delivered in an application serve the function of both pleadings and evidence,</w:t>
      </w:r>
      <w:r w:rsidR="005E5030">
        <w:rPr>
          <w:rStyle w:val="FootnoteReference"/>
        </w:rPr>
        <w:footnoteReference w:id="2"/>
      </w:r>
      <w:r w:rsidR="004E1D44">
        <w:t xml:space="preserve"> t</w:t>
      </w:r>
      <w:r w:rsidR="00E45D8C">
        <w:t xml:space="preserve">he defence pleaded by the </w:t>
      </w:r>
      <w:r w:rsidR="00133791">
        <w:t>respondent</w:t>
      </w:r>
      <w:r w:rsidR="00E45D8C">
        <w:t xml:space="preserve"> in his answering affidavit is </w:t>
      </w:r>
      <w:r w:rsidR="00B86684">
        <w:t>somewhat un</w:t>
      </w:r>
      <w:r w:rsidR="00E45D8C">
        <w:t>clear</w:t>
      </w:r>
      <w:r w:rsidR="004E1D44">
        <w:t xml:space="preserve">. </w:t>
      </w:r>
      <w:r w:rsidR="0086169E">
        <w:t>As far as I can glean from the affidavit</w:t>
      </w:r>
      <w:r w:rsidR="00680B20">
        <w:t>,</w:t>
      </w:r>
      <w:r w:rsidR="0086169E">
        <w:t xml:space="preserve"> </w:t>
      </w:r>
      <w:r w:rsidR="00E45D8C">
        <w:t>t</w:t>
      </w:r>
      <w:r w:rsidR="00B4253D">
        <w:t xml:space="preserve">he </w:t>
      </w:r>
      <w:r w:rsidR="00133791">
        <w:t>respondent</w:t>
      </w:r>
      <w:r w:rsidR="00E45D8C">
        <w:t xml:space="preserve"> </w:t>
      </w:r>
      <w:r w:rsidR="00B4253D">
        <w:t xml:space="preserve">resists the application </w:t>
      </w:r>
      <w:r w:rsidR="00E45D8C">
        <w:t>on the basis that</w:t>
      </w:r>
      <w:r w:rsidR="004E1D44">
        <w:t>:</w:t>
      </w:r>
      <w:r w:rsidR="00E45D8C">
        <w:t xml:space="preserve"> </w:t>
      </w:r>
    </w:p>
    <w:p w14:paraId="4CF6E1AF" w14:textId="1F26D90A" w:rsidR="006B520A" w:rsidRDefault="00050A11" w:rsidP="00050A11">
      <w:pPr>
        <w:pStyle w:val="LC2"/>
        <w:numPr>
          <w:ilvl w:val="0"/>
          <w:numId w:val="0"/>
        </w:numPr>
        <w:ind w:left="1418" w:hanging="709"/>
      </w:pPr>
      <w:r>
        <w:t>(a)</w:t>
      </w:r>
      <w:r>
        <w:tab/>
      </w:r>
      <w:r w:rsidR="004E1D44">
        <w:t>“</w:t>
      </w:r>
      <w:r w:rsidR="004E1D44" w:rsidRPr="005A1B4D">
        <w:rPr>
          <w:i/>
          <w:iCs/>
        </w:rPr>
        <w:t xml:space="preserve">at all times it was within the intention of the parties that the settlement amount would emanate from the proceeds of the transfer of the </w:t>
      </w:r>
      <w:r w:rsidR="0086169E" w:rsidRPr="005A1B4D">
        <w:rPr>
          <w:i/>
          <w:iCs/>
        </w:rPr>
        <w:t xml:space="preserve">… </w:t>
      </w:r>
      <w:r w:rsidR="004E1D44" w:rsidRPr="005A1B4D">
        <w:rPr>
          <w:i/>
          <w:iCs/>
        </w:rPr>
        <w:t>property</w:t>
      </w:r>
      <w:r w:rsidR="0086169E">
        <w:t>”</w:t>
      </w:r>
      <w:r w:rsidR="004E1D44" w:rsidRPr="004E1D44">
        <w:t xml:space="preserve"> </w:t>
      </w:r>
      <w:r w:rsidR="0086169E" w:rsidRPr="0086169E">
        <w:t>to the new purchaser</w:t>
      </w:r>
      <w:r w:rsidR="0086169E">
        <w:t xml:space="preserve"> </w:t>
      </w:r>
      <w:r w:rsidR="0086169E" w:rsidRPr="0086169E">
        <w:t>referred to in</w:t>
      </w:r>
      <w:r w:rsidR="0086169E">
        <w:t xml:space="preserve"> clause 3 of the agreement “</w:t>
      </w:r>
      <w:r w:rsidR="004E1D44" w:rsidRPr="005A1B4D">
        <w:rPr>
          <w:i/>
          <w:iCs/>
        </w:rPr>
        <w:t>as and when same was registered</w:t>
      </w:r>
      <w:proofErr w:type="gramStart"/>
      <w:r w:rsidR="004E1D44">
        <w:t>”;</w:t>
      </w:r>
      <w:proofErr w:type="gramEnd"/>
    </w:p>
    <w:p w14:paraId="274B7F4F" w14:textId="143061DB" w:rsidR="0086169E" w:rsidRDefault="00050A11" w:rsidP="00050A11">
      <w:pPr>
        <w:pStyle w:val="LC2"/>
        <w:numPr>
          <w:ilvl w:val="0"/>
          <w:numId w:val="0"/>
        </w:numPr>
        <w:ind w:left="1418" w:hanging="709"/>
      </w:pPr>
      <w:r>
        <w:t>(b)</w:t>
      </w:r>
      <w:r>
        <w:tab/>
      </w:r>
      <w:r w:rsidR="00680B20">
        <w:t>t</w:t>
      </w:r>
      <w:r w:rsidR="0086169E">
        <w:t xml:space="preserve">he </w:t>
      </w:r>
      <w:r w:rsidR="00133791">
        <w:t>respondent</w:t>
      </w:r>
      <w:r w:rsidR="0086169E">
        <w:t xml:space="preserve">’s </w:t>
      </w:r>
      <w:r w:rsidR="0086169E" w:rsidRPr="0086169E">
        <w:t>failure to make payment of the settlement amount by 31 May 2021 was “</w:t>
      </w:r>
      <w:r w:rsidR="0086169E" w:rsidRPr="0086169E">
        <w:rPr>
          <w:i/>
          <w:iCs/>
        </w:rPr>
        <w:t>due to unforeseen circumstances</w:t>
      </w:r>
      <w:r w:rsidR="0086169E" w:rsidRPr="0086169E">
        <w:t xml:space="preserve">” </w:t>
      </w:r>
      <w:r w:rsidR="001138A4">
        <w:t xml:space="preserve">as envisaged in clause 2 of the settlement agreement </w:t>
      </w:r>
      <w:r w:rsidR="00B86684">
        <w:t xml:space="preserve">in the form of </w:t>
      </w:r>
      <w:r w:rsidR="001138A4">
        <w:t xml:space="preserve">an unforeseen </w:t>
      </w:r>
      <w:r w:rsidR="0086169E" w:rsidRPr="0086169E">
        <w:t xml:space="preserve">delay </w:t>
      </w:r>
      <w:r w:rsidR="0086169E">
        <w:t xml:space="preserve">in </w:t>
      </w:r>
      <w:r w:rsidR="0086169E" w:rsidRPr="0086169E">
        <w:t xml:space="preserve">registration of the transfer </w:t>
      </w:r>
      <w:r w:rsidR="0086169E">
        <w:t xml:space="preserve">of the property </w:t>
      </w:r>
      <w:r w:rsidR="0086169E" w:rsidRPr="0086169E">
        <w:t>to the new purchaser</w:t>
      </w:r>
      <w:r w:rsidR="00680B20">
        <w:t xml:space="preserve"> </w:t>
      </w:r>
      <w:r w:rsidR="001138A4">
        <w:t xml:space="preserve">which </w:t>
      </w:r>
      <w:r w:rsidR="00680B20">
        <w:t>“</w:t>
      </w:r>
      <w:r w:rsidR="00680B20" w:rsidRPr="00680B20">
        <w:rPr>
          <w:i/>
          <w:iCs/>
        </w:rPr>
        <w:t xml:space="preserve">was beyond </w:t>
      </w:r>
      <w:r w:rsidR="00680B20">
        <w:rPr>
          <w:i/>
          <w:iCs/>
        </w:rPr>
        <w:t xml:space="preserve">the </w:t>
      </w:r>
      <w:r w:rsidR="00680B20" w:rsidRPr="00680B20">
        <w:rPr>
          <w:i/>
          <w:iCs/>
        </w:rPr>
        <w:t xml:space="preserve">control </w:t>
      </w:r>
      <w:r w:rsidR="00680B20">
        <w:rPr>
          <w:i/>
          <w:iCs/>
        </w:rPr>
        <w:t xml:space="preserve">of either myself </w:t>
      </w:r>
      <w:r w:rsidR="00680B20" w:rsidRPr="00680B20">
        <w:rPr>
          <w:i/>
          <w:iCs/>
        </w:rPr>
        <w:t>and/or my attorneys of record</w:t>
      </w:r>
      <w:r w:rsidR="00680B20">
        <w:rPr>
          <w:i/>
          <w:iCs/>
        </w:rPr>
        <w:t xml:space="preserve"> who attended to the transfer thereof</w:t>
      </w:r>
      <w:r w:rsidR="00680B20">
        <w:t>” and “</w:t>
      </w:r>
      <w:r w:rsidR="00680B20" w:rsidRPr="00680B20">
        <w:rPr>
          <w:i/>
          <w:iCs/>
        </w:rPr>
        <w:t>culminated in my being unable to make payment of the agreed sum</w:t>
      </w:r>
      <w:r w:rsidR="00680B20">
        <w:rPr>
          <w:i/>
          <w:iCs/>
        </w:rPr>
        <w:t xml:space="preserve"> upon the due date</w:t>
      </w:r>
      <w:r w:rsidR="00680B20">
        <w:t>”</w:t>
      </w:r>
      <w:r w:rsidR="0086169E" w:rsidRPr="0086169E">
        <w:t xml:space="preserve">; </w:t>
      </w:r>
    </w:p>
    <w:p w14:paraId="274EB05A" w14:textId="43364636" w:rsidR="00680B20" w:rsidRPr="0086169E" w:rsidRDefault="00050A11" w:rsidP="00050A11">
      <w:pPr>
        <w:pStyle w:val="LC2"/>
        <w:numPr>
          <w:ilvl w:val="0"/>
          <w:numId w:val="0"/>
        </w:numPr>
        <w:ind w:left="1418" w:hanging="709"/>
      </w:pPr>
      <w:r w:rsidRPr="0086169E">
        <w:t>(c)</w:t>
      </w:r>
      <w:r w:rsidRPr="0086169E">
        <w:tab/>
      </w:r>
      <w:r w:rsidR="00680B20">
        <w:t>this constitute</w:t>
      </w:r>
      <w:r w:rsidR="001138A4">
        <w:t>d</w:t>
      </w:r>
      <w:r w:rsidR="00680B20">
        <w:t xml:space="preserve"> “</w:t>
      </w:r>
      <w:r w:rsidR="00680B20" w:rsidRPr="005A1B4D">
        <w:rPr>
          <w:i/>
          <w:iCs/>
        </w:rPr>
        <w:t>a valid reason which lawfully justifies the delay of payment of the settlement amount</w:t>
      </w:r>
      <w:proofErr w:type="gramStart"/>
      <w:r w:rsidR="00680B20">
        <w:t>”;</w:t>
      </w:r>
      <w:proofErr w:type="gramEnd"/>
    </w:p>
    <w:p w14:paraId="75CC4D4D" w14:textId="1CCB6D8C" w:rsidR="00680B20" w:rsidRDefault="00050A11" w:rsidP="00050A11">
      <w:pPr>
        <w:pStyle w:val="LC2"/>
        <w:numPr>
          <w:ilvl w:val="0"/>
          <w:numId w:val="0"/>
        </w:numPr>
        <w:ind w:left="1418" w:hanging="709"/>
      </w:pPr>
      <w:r>
        <w:t>(d)</w:t>
      </w:r>
      <w:r>
        <w:tab/>
      </w:r>
      <w:r w:rsidR="00680B20">
        <w:t xml:space="preserve">the </w:t>
      </w:r>
      <w:r w:rsidR="00133791">
        <w:t>respondent</w:t>
      </w:r>
      <w:r w:rsidR="00687D65">
        <w:t xml:space="preserve"> had made numerous requests to the </w:t>
      </w:r>
      <w:r w:rsidR="00133791">
        <w:t>applicant</w:t>
      </w:r>
      <w:r w:rsidR="00687D65">
        <w:t xml:space="preserve"> to agree to extend the date for payment (the first having been a request made by </w:t>
      </w:r>
      <w:r w:rsidR="00687D65">
        <w:lastRenderedPageBreak/>
        <w:t>his attorneys on 28 May 2021 to “</w:t>
      </w:r>
      <w:r w:rsidR="00687D65" w:rsidRPr="00687D65">
        <w:rPr>
          <w:i/>
          <w:iCs/>
        </w:rPr>
        <w:t>grant our client an indulgence</w:t>
      </w:r>
      <w:r w:rsidR="00687D65">
        <w:t xml:space="preserve">” until 30 June 2021), but the </w:t>
      </w:r>
      <w:r w:rsidR="00133791">
        <w:t>applicant</w:t>
      </w:r>
      <w:r w:rsidR="00687D65">
        <w:t xml:space="preserve"> </w:t>
      </w:r>
      <w:r w:rsidR="00680B20">
        <w:t>“</w:t>
      </w:r>
      <w:r w:rsidR="00680B20" w:rsidRPr="00680B20">
        <w:rPr>
          <w:i/>
          <w:iCs/>
        </w:rPr>
        <w:t>unreasonably refused to agree to the extension of the due date</w:t>
      </w:r>
      <w:r w:rsidR="00680B20">
        <w:rPr>
          <w:i/>
          <w:iCs/>
        </w:rPr>
        <w:t xml:space="preserve"> </w:t>
      </w:r>
      <w:r w:rsidR="00680B20" w:rsidRPr="00680B20">
        <w:rPr>
          <w:i/>
          <w:iCs/>
        </w:rPr>
        <w:t>notwithstanding a request by my attorneys of record, who set out in detail the reasons for such request</w:t>
      </w:r>
      <w:proofErr w:type="gramStart"/>
      <w:r w:rsidR="00680B20">
        <w:t>”</w:t>
      </w:r>
      <w:r w:rsidR="001138A4">
        <w:t>;</w:t>
      </w:r>
      <w:proofErr w:type="gramEnd"/>
      <w:r w:rsidR="00680B20">
        <w:t xml:space="preserve"> </w:t>
      </w:r>
    </w:p>
    <w:p w14:paraId="0D9D3FF9" w14:textId="47803704" w:rsidR="00240BD7" w:rsidRDefault="00050A11" w:rsidP="00050A11">
      <w:pPr>
        <w:pStyle w:val="LC2"/>
        <w:numPr>
          <w:ilvl w:val="0"/>
          <w:numId w:val="0"/>
        </w:numPr>
        <w:ind w:left="1418" w:hanging="709"/>
      </w:pPr>
      <w:r>
        <w:t>(e)</w:t>
      </w:r>
      <w:r>
        <w:tab/>
      </w:r>
      <w:r w:rsidR="00B86684">
        <w:t xml:space="preserve">the respondent has </w:t>
      </w:r>
      <w:r w:rsidR="001138A4">
        <w:t>“</w:t>
      </w:r>
      <w:r w:rsidR="00680B20" w:rsidRPr="005A1B4D">
        <w:rPr>
          <w:i/>
          <w:iCs/>
        </w:rPr>
        <w:t xml:space="preserve">never been in </w:t>
      </w:r>
      <w:proofErr w:type="spellStart"/>
      <w:r w:rsidR="00680B20" w:rsidRPr="005A1B4D">
        <w:rPr>
          <w:i/>
          <w:iCs/>
        </w:rPr>
        <w:t>willful</w:t>
      </w:r>
      <w:proofErr w:type="spellEnd"/>
      <w:r w:rsidR="00680B20" w:rsidRPr="005A1B4D">
        <w:rPr>
          <w:i/>
          <w:iCs/>
        </w:rPr>
        <w:t xml:space="preserve"> </w:t>
      </w:r>
      <w:r w:rsidR="001138A4" w:rsidRPr="005A1B4D">
        <w:rPr>
          <w:i/>
          <w:iCs/>
        </w:rPr>
        <w:t xml:space="preserve">[sic] </w:t>
      </w:r>
      <w:r w:rsidR="00680B20" w:rsidRPr="005A1B4D">
        <w:rPr>
          <w:i/>
          <w:iCs/>
        </w:rPr>
        <w:t>breach of the Settlement Agreement</w:t>
      </w:r>
      <w:r w:rsidR="00680B20">
        <w:t>”</w:t>
      </w:r>
      <w:r w:rsidR="00240BD7">
        <w:t>; and</w:t>
      </w:r>
    </w:p>
    <w:p w14:paraId="00A60736" w14:textId="369D317C" w:rsidR="004E1D44" w:rsidRPr="000003E7" w:rsidRDefault="00050A11" w:rsidP="00050A11">
      <w:pPr>
        <w:pStyle w:val="LC2"/>
        <w:numPr>
          <w:ilvl w:val="0"/>
          <w:numId w:val="0"/>
        </w:numPr>
        <w:ind w:left="1418" w:hanging="709"/>
      </w:pPr>
      <w:r w:rsidRPr="000003E7">
        <w:t>(f)</w:t>
      </w:r>
      <w:r w:rsidRPr="000003E7">
        <w:tab/>
      </w:r>
      <w:r w:rsidR="00240BD7">
        <w:t xml:space="preserve">the </w:t>
      </w:r>
      <w:r w:rsidR="00133791">
        <w:t>respondent</w:t>
      </w:r>
      <w:r w:rsidR="00240BD7">
        <w:t xml:space="preserve"> complied with clause 2 of the settlement agreement when he paid the settlement amount on 5 August 202</w:t>
      </w:r>
      <w:r w:rsidR="0079463F">
        <w:t>1</w:t>
      </w:r>
      <w:r w:rsidR="00240BD7">
        <w:t xml:space="preserve"> </w:t>
      </w:r>
      <w:r w:rsidR="0079463F">
        <w:t xml:space="preserve">once the proceeds of the sale </w:t>
      </w:r>
      <w:r w:rsidR="00B86684">
        <w:t xml:space="preserve">of the property </w:t>
      </w:r>
      <w:r w:rsidR="0079463F">
        <w:t>to the new purchaser had been received into his attorney’s trust account</w:t>
      </w:r>
      <w:r w:rsidR="00240BD7">
        <w:t xml:space="preserve">. </w:t>
      </w:r>
    </w:p>
    <w:p w14:paraId="4944EE2F" w14:textId="0F07BAFD" w:rsidR="005A1B4D" w:rsidRDefault="00050A11" w:rsidP="00050A11">
      <w:pPr>
        <w:pStyle w:val="LC1"/>
        <w:numPr>
          <w:ilvl w:val="0"/>
          <w:numId w:val="0"/>
        </w:numPr>
        <w:ind w:left="644" w:hanging="720"/>
      </w:pPr>
      <w:r>
        <w:rPr>
          <w:rFonts w:cs="Arial"/>
          <w:szCs w:val="24"/>
        </w:rPr>
        <w:t>[7]</w:t>
      </w:r>
      <w:r>
        <w:rPr>
          <w:rFonts w:cs="Arial"/>
          <w:szCs w:val="24"/>
        </w:rPr>
        <w:tab/>
      </w:r>
      <w:r w:rsidR="00687D65">
        <w:t xml:space="preserve">A </w:t>
      </w:r>
      <w:r w:rsidR="0079463F">
        <w:t xml:space="preserve">generous </w:t>
      </w:r>
      <w:r w:rsidR="00687D65">
        <w:t xml:space="preserve">reading of the answering affidavit indicates that the </w:t>
      </w:r>
      <w:r w:rsidR="00133791">
        <w:t>respondent</w:t>
      </w:r>
      <w:r w:rsidR="00687D65">
        <w:t>’s defence is essentially that, on a proper interpretation</w:t>
      </w:r>
      <w:r w:rsidR="003D25E6">
        <w:t xml:space="preserve"> of the </w:t>
      </w:r>
      <w:r w:rsidR="00687D65">
        <w:t>settlement agreement</w:t>
      </w:r>
      <w:r w:rsidR="003D25E6">
        <w:t xml:space="preserve">, the </w:t>
      </w:r>
      <w:r w:rsidR="00133791">
        <w:t>applicant</w:t>
      </w:r>
      <w:r w:rsidR="003D25E6">
        <w:t xml:space="preserve"> may not unreasonably </w:t>
      </w:r>
      <w:r w:rsidR="00A36857">
        <w:t xml:space="preserve">withhold </w:t>
      </w:r>
      <w:r w:rsidR="00C622F2">
        <w:t xml:space="preserve">her </w:t>
      </w:r>
      <w:r w:rsidR="00A36857">
        <w:t xml:space="preserve">consent </w:t>
      </w:r>
      <w:r w:rsidR="003D25E6">
        <w:t xml:space="preserve">to an extension of the payment date of the settlement amount, and the </w:t>
      </w:r>
      <w:r w:rsidR="00133791">
        <w:t>respondent</w:t>
      </w:r>
      <w:r w:rsidR="003D25E6">
        <w:t xml:space="preserve"> would be entitled to not to pay it</w:t>
      </w:r>
      <w:r w:rsidR="00AE33F3">
        <w:t>,</w:t>
      </w:r>
      <w:r w:rsidR="003D25E6">
        <w:t xml:space="preserve"> for as long as the transfer of the property to the new purchaser (and consequently the receipt of the purchase price pursuant thereto) </w:t>
      </w:r>
      <w:r w:rsidR="00A36857">
        <w:t xml:space="preserve">may be </w:t>
      </w:r>
      <w:r w:rsidR="003D25E6">
        <w:t xml:space="preserve">delayed by </w:t>
      </w:r>
      <w:r w:rsidR="00AE33F3">
        <w:t xml:space="preserve">unforeseen </w:t>
      </w:r>
      <w:r w:rsidR="003D25E6">
        <w:t xml:space="preserve">circumstances beyond the </w:t>
      </w:r>
      <w:r w:rsidR="00133791">
        <w:t>respondent</w:t>
      </w:r>
      <w:r w:rsidR="0024344C">
        <w:t xml:space="preserve">’s </w:t>
      </w:r>
      <w:r w:rsidR="003D25E6">
        <w:t xml:space="preserve">control. </w:t>
      </w:r>
      <w:r w:rsidR="00AE33F3">
        <w:t xml:space="preserve">I shall refer to this below as “the interpretation defence”. </w:t>
      </w:r>
    </w:p>
    <w:p w14:paraId="648FE206" w14:textId="456D594D" w:rsidR="006F408F" w:rsidRDefault="00050A11" w:rsidP="00050A11">
      <w:pPr>
        <w:pStyle w:val="LC1"/>
        <w:numPr>
          <w:ilvl w:val="0"/>
          <w:numId w:val="0"/>
        </w:numPr>
        <w:ind w:left="644" w:hanging="720"/>
      </w:pPr>
      <w:r>
        <w:rPr>
          <w:rFonts w:cs="Arial"/>
          <w:szCs w:val="24"/>
        </w:rPr>
        <w:t>[8]</w:t>
      </w:r>
      <w:r>
        <w:rPr>
          <w:rFonts w:cs="Arial"/>
          <w:szCs w:val="24"/>
        </w:rPr>
        <w:tab/>
      </w:r>
      <w:r w:rsidR="002C2804">
        <w:t xml:space="preserve">In addition to </w:t>
      </w:r>
      <w:r w:rsidR="000341CA">
        <w:t xml:space="preserve">this </w:t>
      </w:r>
      <w:r w:rsidR="002C2804">
        <w:t xml:space="preserve">pleaded defence, the respondent’s counsel sought, in his heads of argument, to raise the </w:t>
      </w:r>
      <w:r w:rsidR="006F408F">
        <w:t xml:space="preserve">further </w:t>
      </w:r>
      <w:r w:rsidR="002C2804">
        <w:t>defence that the court “</w:t>
      </w:r>
      <w:r w:rsidR="002C2804" w:rsidRPr="006F408F">
        <w:rPr>
          <w:i/>
          <w:iCs/>
        </w:rPr>
        <w:t>ought to find that it was an implied, alternatively tacit term of the settlement agreement that consent to the extension would not unreasonably be withheld by the applicant</w:t>
      </w:r>
      <w:r w:rsidR="002C2804">
        <w:t>”</w:t>
      </w:r>
      <w:r w:rsidR="006F408F">
        <w:t>.</w:t>
      </w:r>
    </w:p>
    <w:p w14:paraId="7F4D4A2C" w14:textId="0BC9FBAD" w:rsidR="001020DE" w:rsidRPr="001020DE" w:rsidRDefault="00700C67" w:rsidP="007553D6">
      <w:pPr>
        <w:pStyle w:val="LC1"/>
        <w:keepNext/>
        <w:numPr>
          <w:ilvl w:val="0"/>
          <w:numId w:val="0"/>
        </w:numPr>
        <w:rPr>
          <w:u w:val="single"/>
        </w:rPr>
      </w:pPr>
      <w:r>
        <w:rPr>
          <w:u w:val="single"/>
        </w:rPr>
        <w:t>The rol</w:t>
      </w:r>
      <w:r w:rsidR="00C04148">
        <w:rPr>
          <w:u w:val="single"/>
        </w:rPr>
        <w:t>e</w:t>
      </w:r>
      <w:r>
        <w:rPr>
          <w:u w:val="single"/>
        </w:rPr>
        <w:t xml:space="preserve"> of </w:t>
      </w:r>
      <w:r w:rsidR="001020DE" w:rsidRPr="001020DE">
        <w:rPr>
          <w:u w:val="single"/>
        </w:rPr>
        <w:t xml:space="preserve">Constitutional values and the principle of good faith in </w:t>
      </w:r>
      <w:r w:rsidR="001020DE">
        <w:rPr>
          <w:u w:val="single"/>
        </w:rPr>
        <w:t>c</w:t>
      </w:r>
      <w:r w:rsidR="001020DE" w:rsidRPr="001020DE">
        <w:rPr>
          <w:u w:val="single"/>
        </w:rPr>
        <w:t>ontract</w:t>
      </w:r>
    </w:p>
    <w:p w14:paraId="619A78A0" w14:textId="19B4BAC2" w:rsidR="005E3464" w:rsidRDefault="00050A11" w:rsidP="00050A11">
      <w:pPr>
        <w:pStyle w:val="LC1"/>
        <w:numPr>
          <w:ilvl w:val="0"/>
          <w:numId w:val="0"/>
        </w:numPr>
        <w:ind w:left="644" w:hanging="720"/>
      </w:pPr>
      <w:r>
        <w:rPr>
          <w:rFonts w:cs="Arial"/>
          <w:szCs w:val="24"/>
        </w:rPr>
        <w:t>[9]</w:t>
      </w:r>
      <w:r>
        <w:rPr>
          <w:rFonts w:cs="Arial"/>
          <w:szCs w:val="24"/>
        </w:rPr>
        <w:tab/>
      </w:r>
      <w:r w:rsidR="001020DE">
        <w:t>Before proceeding</w:t>
      </w:r>
      <w:r w:rsidR="007A67C3">
        <w:t xml:space="preserve"> to consider these defences</w:t>
      </w:r>
      <w:r w:rsidR="001020DE">
        <w:t xml:space="preserve">, it is necessary to </w:t>
      </w:r>
      <w:r w:rsidR="00133791">
        <w:t xml:space="preserve">briefly </w:t>
      </w:r>
      <w:r w:rsidR="00C04148">
        <w:t xml:space="preserve">reiterate </w:t>
      </w:r>
      <w:r w:rsidR="00700C67">
        <w:t>the rol</w:t>
      </w:r>
      <w:r w:rsidR="00133791">
        <w:t>e</w:t>
      </w:r>
      <w:r w:rsidR="00700C67">
        <w:t xml:space="preserve"> </w:t>
      </w:r>
      <w:r w:rsidR="00133791">
        <w:t xml:space="preserve">that </w:t>
      </w:r>
      <w:r w:rsidR="00700C67">
        <w:t xml:space="preserve">Constitutional </w:t>
      </w:r>
      <w:r w:rsidR="00700C67" w:rsidRPr="00C638ED">
        <w:t xml:space="preserve">values </w:t>
      </w:r>
      <w:r w:rsidR="00700C67">
        <w:t xml:space="preserve">such as </w:t>
      </w:r>
      <w:r w:rsidR="00700C67" w:rsidRPr="00C638ED">
        <w:t>fairness, reasonableness</w:t>
      </w:r>
      <w:r w:rsidR="00700C67">
        <w:t>,</w:t>
      </w:r>
      <w:r w:rsidR="00700C67" w:rsidRPr="00C638ED">
        <w:t xml:space="preserve"> justice</w:t>
      </w:r>
      <w:r w:rsidR="00700C67">
        <w:t xml:space="preserve"> and ub</w:t>
      </w:r>
      <w:r w:rsidR="00700C67" w:rsidRPr="00C638ED">
        <w:t xml:space="preserve">untu </w:t>
      </w:r>
      <w:r w:rsidR="00700C67">
        <w:t xml:space="preserve">and the principle of good faith </w:t>
      </w:r>
      <w:r w:rsidR="00133791">
        <w:t xml:space="preserve">play </w:t>
      </w:r>
      <w:r w:rsidR="00700C67">
        <w:t>in the law of contract</w:t>
      </w:r>
      <w:r w:rsidR="007A67C3">
        <w:t>, as it is these values and principles upon which the respondent seeks to rely</w:t>
      </w:r>
      <w:r w:rsidR="00700C67">
        <w:t xml:space="preserve">. </w:t>
      </w:r>
    </w:p>
    <w:p w14:paraId="043AF49C" w14:textId="214CC881" w:rsidR="001020DE" w:rsidRDefault="00050A11" w:rsidP="00050A11">
      <w:pPr>
        <w:pStyle w:val="LC1"/>
        <w:numPr>
          <w:ilvl w:val="0"/>
          <w:numId w:val="0"/>
        </w:numPr>
        <w:ind w:left="644" w:hanging="720"/>
      </w:pPr>
      <w:r>
        <w:rPr>
          <w:rFonts w:cs="Arial"/>
          <w:szCs w:val="24"/>
        </w:rPr>
        <w:t>[10]</w:t>
      </w:r>
      <w:r>
        <w:rPr>
          <w:rFonts w:cs="Arial"/>
          <w:szCs w:val="24"/>
        </w:rPr>
        <w:tab/>
      </w:r>
      <w:r w:rsidR="006F408F">
        <w:t xml:space="preserve">The </w:t>
      </w:r>
      <w:r w:rsidR="001020DE" w:rsidRPr="00C638ED">
        <w:t>recent decisions of the Constitutional Court and the Supreme Court of Appeal</w:t>
      </w:r>
      <w:r w:rsidR="001020DE">
        <w:t xml:space="preserve"> </w:t>
      </w:r>
      <w:r w:rsidR="007553D6">
        <w:t xml:space="preserve">relied upon </w:t>
      </w:r>
      <w:r w:rsidR="006F408F">
        <w:t>by the responden</w:t>
      </w:r>
      <w:r w:rsidR="007553D6">
        <w:t>t a</w:t>
      </w:r>
      <w:r w:rsidR="00700C67">
        <w:t xml:space="preserve">re </w:t>
      </w:r>
      <w:r w:rsidR="006F408F">
        <w:t xml:space="preserve">not </w:t>
      </w:r>
      <w:r w:rsidR="00700C67">
        <w:t xml:space="preserve">authority for the proposition that these values and principles </w:t>
      </w:r>
      <w:r w:rsidR="001020DE">
        <w:t xml:space="preserve">could directly </w:t>
      </w:r>
      <w:r w:rsidR="00700C67">
        <w:t xml:space="preserve">operate as a </w:t>
      </w:r>
      <w:r w:rsidR="001020DE">
        <w:t xml:space="preserve">defence to the </w:t>
      </w:r>
      <w:r w:rsidR="00133791">
        <w:t>applicant</w:t>
      </w:r>
      <w:r w:rsidR="001020DE">
        <w:t xml:space="preserve">’s </w:t>
      </w:r>
      <w:r w:rsidR="001020DE">
        <w:lastRenderedPageBreak/>
        <w:t xml:space="preserve">claim. To the contrary, the Constitutional Court has </w:t>
      </w:r>
      <w:r w:rsidR="002C2804">
        <w:t xml:space="preserve">clearly explained </w:t>
      </w:r>
      <w:r w:rsidR="001020DE">
        <w:t xml:space="preserve">that </w:t>
      </w:r>
      <w:r w:rsidR="00700C67">
        <w:t>although these “</w:t>
      </w:r>
      <w:r w:rsidR="00700C67" w:rsidRPr="007A67C3">
        <w:rPr>
          <w:i/>
          <w:iCs/>
        </w:rPr>
        <w:t>abstract values</w:t>
      </w:r>
      <w:r w:rsidR="00700C67">
        <w:t xml:space="preserve">” are central to our law, they </w:t>
      </w:r>
      <w:r w:rsidR="001020DE">
        <w:t>“</w:t>
      </w:r>
      <w:r w:rsidR="001020DE" w:rsidRPr="007A67C3">
        <w:rPr>
          <w:i/>
          <w:iCs/>
        </w:rPr>
        <w:t>do not provide a free-standing basis upon which a court may interfere in contractual relationships</w:t>
      </w:r>
      <w:r w:rsidR="001020DE">
        <w:t>”</w:t>
      </w:r>
      <w:r w:rsidR="00700C67">
        <w:t>.</w:t>
      </w:r>
      <w:r w:rsidR="00700C67">
        <w:rPr>
          <w:rStyle w:val="FootnoteReference"/>
        </w:rPr>
        <w:footnoteReference w:id="3"/>
      </w:r>
      <w:r w:rsidR="007A67C3">
        <w:t xml:space="preserve"> </w:t>
      </w:r>
      <w:r w:rsidR="00133791">
        <w:t xml:space="preserve">As such, </w:t>
      </w:r>
      <w:r w:rsidR="001020DE">
        <w:t xml:space="preserve">although </w:t>
      </w:r>
      <w:r w:rsidR="00133791">
        <w:t xml:space="preserve">they </w:t>
      </w:r>
      <w:r w:rsidR="001020DE">
        <w:t>underly and inform the substantive law of contract</w:t>
      </w:r>
      <w:r w:rsidR="00133791">
        <w:t>,</w:t>
      </w:r>
      <w:r w:rsidR="001020DE">
        <w:rPr>
          <w:rStyle w:val="FootnoteReference"/>
        </w:rPr>
        <w:footnoteReference w:id="4"/>
      </w:r>
      <w:r w:rsidR="00133791">
        <w:t xml:space="preserve"> they may be invoked </w:t>
      </w:r>
      <w:r w:rsidR="007553D6">
        <w:t xml:space="preserve">only </w:t>
      </w:r>
      <w:r w:rsidR="001020DE">
        <w:t>indirect</w:t>
      </w:r>
      <w:r w:rsidR="00133791">
        <w:t>ly</w:t>
      </w:r>
      <w:r w:rsidR="00CF648C">
        <w:t xml:space="preserve"> for the purposes </w:t>
      </w:r>
      <w:r w:rsidR="000341CA">
        <w:t xml:space="preserve">of </w:t>
      </w:r>
      <w:r w:rsidR="00CF648C">
        <w:t xml:space="preserve">establishing </w:t>
      </w:r>
      <w:r w:rsidR="001020DE">
        <w:t xml:space="preserve">the rules </w:t>
      </w:r>
      <w:r w:rsidR="00CF648C">
        <w:t xml:space="preserve">applicable to </w:t>
      </w:r>
      <w:r w:rsidR="001020DE">
        <w:t>contract</w:t>
      </w:r>
      <w:r w:rsidR="00CF648C">
        <w:t>ual relationships</w:t>
      </w:r>
      <w:r w:rsidR="007553D6">
        <w:t>, either by the courts in developing the common law or finding that a contractual term with a particular effect unenforceable on the grounds that it is contrary to public policy in South Africa’s Constitutional order</w:t>
      </w:r>
      <w:r w:rsidR="000341CA">
        <w:t>,</w:t>
      </w:r>
      <w:r w:rsidR="007553D6">
        <w:t xml:space="preserve"> or by the legislature in enacting legislation governing contractual relationships.</w:t>
      </w:r>
      <w:r w:rsidR="007553D6">
        <w:rPr>
          <w:rStyle w:val="FootnoteReference"/>
        </w:rPr>
        <w:footnoteReference w:id="5"/>
      </w:r>
    </w:p>
    <w:p w14:paraId="50FAF72C" w14:textId="4A61B440" w:rsidR="002C2804" w:rsidRDefault="00050A11" w:rsidP="00050A11">
      <w:pPr>
        <w:pStyle w:val="LC1"/>
        <w:numPr>
          <w:ilvl w:val="0"/>
          <w:numId w:val="0"/>
        </w:numPr>
        <w:ind w:left="644" w:hanging="720"/>
      </w:pPr>
      <w:r>
        <w:rPr>
          <w:rFonts w:cs="Arial"/>
          <w:szCs w:val="24"/>
        </w:rPr>
        <w:t>[11]</w:t>
      </w:r>
      <w:r>
        <w:rPr>
          <w:rFonts w:cs="Arial"/>
          <w:szCs w:val="24"/>
        </w:rPr>
        <w:tab/>
      </w:r>
      <w:r w:rsidR="006F408F">
        <w:t xml:space="preserve">Despite </w:t>
      </w:r>
      <w:r w:rsidR="007553D6">
        <w:t xml:space="preserve">this </w:t>
      </w:r>
      <w:r w:rsidR="00C04148">
        <w:t>clear guidance</w:t>
      </w:r>
      <w:r w:rsidR="007553D6">
        <w:t>,</w:t>
      </w:r>
      <w:r w:rsidR="00C04148">
        <w:t xml:space="preserve"> </w:t>
      </w:r>
      <w:r w:rsidR="005E3464">
        <w:t xml:space="preserve">so </w:t>
      </w:r>
      <w:r w:rsidR="00C04148">
        <w:t>succinctly and effectively</w:t>
      </w:r>
      <w:r w:rsidR="005E3464">
        <w:t xml:space="preserve"> laid down by the Constitutional Court in </w:t>
      </w:r>
      <w:proofErr w:type="spellStart"/>
      <w:r w:rsidR="005E3464" w:rsidRPr="005E3464">
        <w:rPr>
          <w:i/>
          <w:iCs/>
        </w:rPr>
        <w:t>Beadica</w:t>
      </w:r>
      <w:proofErr w:type="spellEnd"/>
      <w:r w:rsidR="005E3464">
        <w:t>,</w:t>
      </w:r>
      <w:r w:rsidR="006F408F">
        <w:t xml:space="preserve"> the respondent makes no attempt to </w:t>
      </w:r>
      <w:r w:rsidR="003A4811">
        <w:t xml:space="preserve">explain </w:t>
      </w:r>
      <w:r w:rsidR="007A67C3">
        <w:t xml:space="preserve">how and why </w:t>
      </w:r>
      <w:r w:rsidR="006F408F">
        <w:t>the established rules applicable to his defences (</w:t>
      </w:r>
      <w:proofErr w:type="gramStart"/>
      <w:r w:rsidR="006F408F">
        <w:t>i.e.</w:t>
      </w:r>
      <w:proofErr w:type="gramEnd"/>
      <w:r w:rsidR="006F408F">
        <w:t xml:space="preserve"> </w:t>
      </w:r>
      <w:r w:rsidR="00CF648C">
        <w:t xml:space="preserve">those </w:t>
      </w:r>
      <w:r w:rsidR="006F408F">
        <w:t xml:space="preserve">relating to the </w:t>
      </w:r>
      <w:r w:rsidR="002C2804">
        <w:t xml:space="preserve">interpretation of contracts </w:t>
      </w:r>
      <w:r w:rsidR="00C7071B">
        <w:t xml:space="preserve">and </w:t>
      </w:r>
      <w:r w:rsidR="006F408F">
        <w:t>the identification of implied or tacit terms</w:t>
      </w:r>
      <w:r w:rsidR="002C2804">
        <w:t>)</w:t>
      </w:r>
      <w:r w:rsidR="006F408F">
        <w:t xml:space="preserve"> are deficient or inappropriate in any way</w:t>
      </w:r>
      <w:r w:rsidR="0021136D">
        <w:t>. The unfortunate consequence is that I am left to imagine for myself what the argument</w:t>
      </w:r>
      <w:r w:rsidR="007A67C3">
        <w:t>s</w:t>
      </w:r>
      <w:r w:rsidR="0021136D">
        <w:t xml:space="preserve"> </w:t>
      </w:r>
      <w:r w:rsidR="007553D6">
        <w:t>based on these values and principles might be</w:t>
      </w:r>
      <w:r w:rsidR="00C04148">
        <w:t xml:space="preserve">. This approach </w:t>
      </w:r>
      <w:r w:rsidR="007553D6">
        <w:t>(which appears to reflect a growing practice</w:t>
      </w:r>
      <w:r w:rsidR="000341CA">
        <w:t>)</w:t>
      </w:r>
      <w:r w:rsidR="007553D6">
        <w:rPr>
          <w:rStyle w:val="FootnoteReference"/>
        </w:rPr>
        <w:footnoteReference w:id="6"/>
      </w:r>
      <w:r w:rsidR="007553D6">
        <w:t xml:space="preserve"> </w:t>
      </w:r>
      <w:r w:rsidR="00C04148">
        <w:t>is to be deprecated.</w:t>
      </w:r>
      <w:r w:rsidR="007553D6">
        <w:t xml:space="preserve"> </w:t>
      </w:r>
      <w:r w:rsidR="00C7071B">
        <w:t xml:space="preserve">Litigants </w:t>
      </w:r>
      <w:r w:rsidR="007553D6">
        <w:t>seeking to rely on</w:t>
      </w:r>
      <w:r w:rsidR="000F6111">
        <w:t xml:space="preserve"> C</w:t>
      </w:r>
      <w:r w:rsidR="007553D6">
        <w:t xml:space="preserve">onstitutional values and </w:t>
      </w:r>
      <w:r w:rsidR="000F6111">
        <w:t xml:space="preserve">the principle of </w:t>
      </w:r>
      <w:r w:rsidR="007553D6">
        <w:t xml:space="preserve">good faith in contract are required to explain </w:t>
      </w:r>
      <w:r w:rsidR="007A67C3">
        <w:t xml:space="preserve">how and </w:t>
      </w:r>
      <w:r w:rsidR="007553D6">
        <w:t xml:space="preserve">why they affect the relevant </w:t>
      </w:r>
      <w:r w:rsidR="007A67C3">
        <w:t xml:space="preserve">established </w:t>
      </w:r>
      <w:r w:rsidR="007553D6">
        <w:t xml:space="preserve">rules of law and how </w:t>
      </w:r>
      <w:r w:rsidR="007A67C3">
        <w:t xml:space="preserve">and why </w:t>
      </w:r>
      <w:r w:rsidR="007553D6">
        <w:t xml:space="preserve">those rules are to be developed. </w:t>
      </w:r>
      <w:r w:rsidR="00C04148">
        <w:t xml:space="preserve">Constitutional values deserve greater respect than to be </w:t>
      </w:r>
      <w:r w:rsidR="000341CA">
        <w:t>‘</w:t>
      </w:r>
      <w:r w:rsidR="00C04148">
        <w:t>thrown into the pot</w:t>
      </w:r>
      <w:r w:rsidR="000341CA">
        <w:t>’</w:t>
      </w:r>
      <w:r w:rsidR="00C04148">
        <w:t xml:space="preserve"> as seasoning </w:t>
      </w:r>
      <w:r w:rsidR="007553D6">
        <w:t xml:space="preserve">when </w:t>
      </w:r>
      <w:r w:rsidR="00C04148">
        <w:t>a litigant feels that his or her case is insufficiently spicy.</w:t>
      </w:r>
    </w:p>
    <w:p w14:paraId="3CF35F0E" w14:textId="02317111" w:rsidR="005E5030" w:rsidRPr="005E5030" w:rsidRDefault="005E5030" w:rsidP="007A67C3">
      <w:pPr>
        <w:pStyle w:val="LC1"/>
        <w:keepNext/>
        <w:numPr>
          <w:ilvl w:val="0"/>
          <w:numId w:val="0"/>
        </w:numPr>
        <w:rPr>
          <w:u w:val="single"/>
        </w:rPr>
      </w:pPr>
      <w:r w:rsidRPr="005E5030">
        <w:rPr>
          <w:u w:val="single"/>
        </w:rPr>
        <w:lastRenderedPageBreak/>
        <w:t xml:space="preserve">The interpretation </w:t>
      </w:r>
      <w:proofErr w:type="gramStart"/>
      <w:r w:rsidRPr="005E5030">
        <w:rPr>
          <w:u w:val="single"/>
        </w:rPr>
        <w:t>defence</w:t>
      </w:r>
      <w:proofErr w:type="gramEnd"/>
    </w:p>
    <w:p w14:paraId="284068A2" w14:textId="73602469" w:rsidR="002F2303" w:rsidRPr="002F2303" w:rsidRDefault="00050A11" w:rsidP="00050A11">
      <w:pPr>
        <w:pStyle w:val="LC1"/>
        <w:numPr>
          <w:ilvl w:val="0"/>
          <w:numId w:val="0"/>
        </w:numPr>
        <w:ind w:left="644" w:hanging="720"/>
      </w:pPr>
      <w:r w:rsidRPr="002F2303">
        <w:rPr>
          <w:rFonts w:cs="Arial"/>
          <w:szCs w:val="24"/>
        </w:rPr>
        <w:t>[12]</w:t>
      </w:r>
      <w:r w:rsidRPr="002F2303">
        <w:rPr>
          <w:rFonts w:cs="Arial"/>
          <w:szCs w:val="24"/>
        </w:rPr>
        <w:tab/>
      </w:r>
      <w:r w:rsidR="00D62AD2">
        <w:t xml:space="preserve">In </w:t>
      </w:r>
      <w:r w:rsidR="00F503C8">
        <w:rPr>
          <w:i/>
          <w:iCs/>
        </w:rPr>
        <w:t xml:space="preserve">University of Johannesburg v </w:t>
      </w:r>
      <w:r w:rsidR="00F503C8" w:rsidRPr="00D62AD2">
        <w:rPr>
          <w:i/>
          <w:iCs/>
        </w:rPr>
        <w:t>Auckland Park Theological Seminary</w:t>
      </w:r>
      <w:r w:rsidR="00F503C8">
        <w:rPr>
          <w:i/>
          <w:iCs/>
        </w:rPr>
        <w:t>,</w:t>
      </w:r>
      <w:r w:rsidR="00EE01E3" w:rsidRPr="00D62AD2">
        <w:t xml:space="preserve"> </w:t>
      </w:r>
      <w:r w:rsidR="00D62AD2" w:rsidRPr="00D62AD2">
        <w:t xml:space="preserve">the Constitutional Court confirmed that </w:t>
      </w:r>
      <w:r w:rsidR="00D62AD2">
        <w:t xml:space="preserve">the </w:t>
      </w:r>
      <w:r w:rsidR="00EE01E3">
        <w:t xml:space="preserve">interpretation </w:t>
      </w:r>
      <w:r w:rsidR="00D62AD2">
        <w:t>of written documents including contracts is a “</w:t>
      </w:r>
      <w:r w:rsidR="00D62AD2" w:rsidRPr="00D62AD2">
        <w:rPr>
          <w:i/>
          <w:iCs/>
        </w:rPr>
        <w:t>unitary exercise</w:t>
      </w:r>
      <w:r w:rsidR="00D62AD2">
        <w:t xml:space="preserve">” involving the simultaneous consideration of text, </w:t>
      </w:r>
      <w:proofErr w:type="gramStart"/>
      <w:r w:rsidR="00D62AD2">
        <w:t>context</w:t>
      </w:r>
      <w:proofErr w:type="gramEnd"/>
      <w:r w:rsidR="00D62AD2">
        <w:t xml:space="preserve"> and purpose, and that “</w:t>
      </w:r>
      <w:r w:rsidR="00EE01E3" w:rsidRPr="00D62AD2">
        <w:rPr>
          <w:i/>
          <w:iCs/>
        </w:rPr>
        <w:t>from the outset one considers the context and the language together, with neither predominating over the other</w:t>
      </w:r>
      <w:r w:rsidR="00D62AD2">
        <w:t>”</w:t>
      </w:r>
      <w:r w:rsidR="00EE01E3">
        <w:t>.</w:t>
      </w:r>
      <w:r w:rsidR="002F2303">
        <w:t xml:space="preserve"> </w:t>
      </w:r>
      <w:r w:rsidR="007A67C3">
        <w:t xml:space="preserve">It was emphasised that </w:t>
      </w:r>
      <w:r w:rsidR="002F2303">
        <w:t>“</w:t>
      </w:r>
      <w:r w:rsidR="007A67C3">
        <w:rPr>
          <w:i/>
          <w:iCs/>
        </w:rPr>
        <w:t>[a]</w:t>
      </w:r>
      <w:r w:rsidR="002F2303" w:rsidRPr="002F2303">
        <w:rPr>
          <w:i/>
          <w:iCs/>
        </w:rPr>
        <w:t xml:space="preserve"> </w:t>
      </w:r>
      <w:r w:rsidR="00337B1B" w:rsidRPr="00337B1B">
        <w:rPr>
          <w:i/>
          <w:iCs/>
        </w:rPr>
        <w:t>court interpreting a contract has to, from the onset, consider the contract</w:t>
      </w:r>
      <w:r w:rsidR="00337B1B">
        <w:rPr>
          <w:i/>
          <w:iCs/>
        </w:rPr>
        <w:t>’</w:t>
      </w:r>
      <w:r w:rsidR="00337B1B" w:rsidRPr="00337B1B">
        <w:rPr>
          <w:i/>
          <w:iCs/>
        </w:rPr>
        <w:t>s factual matrix, its purpose, the circumstances leading up to its conclusion, and the knowledge at the time of those who negotiated and produced the contract</w:t>
      </w:r>
      <w:r w:rsidR="002F2303">
        <w:t>”</w:t>
      </w:r>
      <w:r w:rsidR="002F2303" w:rsidRPr="002F2303">
        <w:t>.</w:t>
      </w:r>
      <w:r w:rsidR="007A67C3" w:rsidRPr="007A67C3">
        <w:rPr>
          <w:rStyle w:val="FootnoteReference"/>
        </w:rPr>
        <w:footnoteReference w:id="7"/>
      </w:r>
      <w:r w:rsidR="007A67C3" w:rsidRPr="00D62AD2">
        <w:t xml:space="preserve"> </w:t>
      </w:r>
      <w:r w:rsidR="002F2303" w:rsidRPr="002F2303">
        <w:t xml:space="preserve"> </w:t>
      </w:r>
    </w:p>
    <w:p w14:paraId="3123E1D5" w14:textId="19B5ED5F" w:rsidR="000D7741" w:rsidRDefault="00050A11" w:rsidP="00050A11">
      <w:pPr>
        <w:pStyle w:val="LC1"/>
        <w:numPr>
          <w:ilvl w:val="0"/>
          <w:numId w:val="0"/>
        </w:numPr>
        <w:ind w:left="644" w:hanging="720"/>
      </w:pPr>
      <w:r>
        <w:rPr>
          <w:rFonts w:cs="Arial"/>
          <w:szCs w:val="24"/>
        </w:rPr>
        <w:t>[13]</w:t>
      </w:r>
      <w:r>
        <w:rPr>
          <w:rFonts w:cs="Arial"/>
          <w:szCs w:val="24"/>
        </w:rPr>
        <w:tab/>
      </w:r>
      <w:r w:rsidR="00F503C8">
        <w:t>While it is clear from this that language</w:t>
      </w:r>
      <w:r w:rsidR="000D7741">
        <w:t>,</w:t>
      </w:r>
      <w:r w:rsidR="00F503C8">
        <w:t xml:space="preserve"> context </w:t>
      </w:r>
      <w:r w:rsidR="000D7741">
        <w:t xml:space="preserve">and purpose are all central to the exercise being undertaken, </w:t>
      </w:r>
      <w:r w:rsidR="00F503C8">
        <w:t xml:space="preserve">it </w:t>
      </w:r>
      <w:r w:rsidR="007A67C3">
        <w:t xml:space="preserve">bears </w:t>
      </w:r>
      <w:r w:rsidR="00F503C8">
        <w:t>emphasi</w:t>
      </w:r>
      <w:r w:rsidR="007A67C3">
        <w:t>s</w:t>
      </w:r>
      <w:r w:rsidR="00F503C8">
        <w:t xml:space="preserve"> that </w:t>
      </w:r>
      <w:r w:rsidR="000341CA">
        <w:t xml:space="preserve">the </w:t>
      </w:r>
      <w:r w:rsidR="00F503C8">
        <w:t xml:space="preserve">exercise </w:t>
      </w:r>
      <w:r w:rsidR="000341CA">
        <w:t xml:space="preserve">in question </w:t>
      </w:r>
      <w:r w:rsidR="00F503C8">
        <w:t xml:space="preserve">is one in which the ultimate objective is </w:t>
      </w:r>
      <w:r w:rsidR="000D7741">
        <w:t xml:space="preserve">the determination of the meaning </w:t>
      </w:r>
      <w:r w:rsidR="00F503C8">
        <w:t xml:space="preserve">of an </w:t>
      </w:r>
      <w:r w:rsidR="00F859DF">
        <w:t xml:space="preserve">actual </w:t>
      </w:r>
      <w:r w:rsidR="00F503C8">
        <w:t>written instrument comprising language</w:t>
      </w:r>
      <w:r w:rsidR="000D7741">
        <w:t xml:space="preserve"> in the form of </w:t>
      </w:r>
      <w:r w:rsidR="00F859DF">
        <w:t xml:space="preserve">express </w:t>
      </w:r>
      <w:r w:rsidR="000D7741">
        <w:t>words</w:t>
      </w:r>
      <w:r w:rsidR="00F503C8">
        <w:t xml:space="preserve">. </w:t>
      </w:r>
      <w:r w:rsidR="007A67C3">
        <w:t>In other words, t</w:t>
      </w:r>
      <w:r w:rsidR="000D7741">
        <w:t>he question that must be answered is</w:t>
      </w:r>
      <w:r w:rsidR="007A67C3">
        <w:t xml:space="preserve"> this: </w:t>
      </w:r>
      <w:r w:rsidR="000D7741" w:rsidRPr="007A67C3">
        <w:t xml:space="preserve">what does the language </w:t>
      </w:r>
      <w:r w:rsidR="007A67C3">
        <w:t xml:space="preserve">of the document </w:t>
      </w:r>
      <w:r w:rsidR="000D7741" w:rsidRPr="007A67C3">
        <w:t>mean</w:t>
      </w:r>
      <w:r w:rsidR="000D7741" w:rsidRPr="000D7741">
        <w:t>?</w:t>
      </w:r>
      <w:r w:rsidR="000D7741">
        <w:t xml:space="preserve"> In determining that meaning, the circumstances of the document’s creation </w:t>
      </w:r>
      <w:r w:rsidR="007A67C3">
        <w:t>(</w:t>
      </w:r>
      <w:proofErr w:type="gramStart"/>
      <w:r w:rsidR="007A67C3">
        <w:t>i.e.</w:t>
      </w:r>
      <w:proofErr w:type="gramEnd"/>
      <w:r w:rsidR="007A67C3">
        <w:t xml:space="preserve"> its context and purpose) </w:t>
      </w:r>
      <w:r w:rsidR="000D7741">
        <w:t xml:space="preserve">are as important as the language used by the drafter. </w:t>
      </w:r>
    </w:p>
    <w:p w14:paraId="74A7FB8F" w14:textId="5B24469D" w:rsidR="00F859DF" w:rsidRDefault="00050A11" w:rsidP="00050A11">
      <w:pPr>
        <w:pStyle w:val="LC1"/>
        <w:numPr>
          <w:ilvl w:val="0"/>
          <w:numId w:val="0"/>
        </w:numPr>
        <w:ind w:left="644" w:hanging="720"/>
      </w:pPr>
      <w:r>
        <w:rPr>
          <w:rFonts w:cs="Arial"/>
          <w:szCs w:val="24"/>
        </w:rPr>
        <w:t>[14]</w:t>
      </w:r>
      <w:r>
        <w:rPr>
          <w:rFonts w:cs="Arial"/>
          <w:szCs w:val="24"/>
        </w:rPr>
        <w:tab/>
      </w:r>
      <w:r w:rsidR="007A67C3">
        <w:t xml:space="preserve">Thus, </w:t>
      </w:r>
      <w:r w:rsidR="00F503C8">
        <w:t xml:space="preserve">the </w:t>
      </w:r>
      <w:r w:rsidR="007A16E2">
        <w:t xml:space="preserve">Supreme Court of Appeal </w:t>
      </w:r>
      <w:r w:rsidR="00CF0C1B">
        <w:t xml:space="preserve">held </w:t>
      </w:r>
      <w:r w:rsidR="007A16E2">
        <w:t xml:space="preserve">in </w:t>
      </w:r>
      <w:r w:rsidR="007A16E2" w:rsidRPr="00CF0C1B">
        <w:rPr>
          <w:i/>
          <w:iCs/>
        </w:rPr>
        <w:t>Capitec</w:t>
      </w:r>
      <w:r w:rsidR="00CF0C1B">
        <w:rPr>
          <w:i/>
          <w:iCs/>
        </w:rPr>
        <w:t xml:space="preserve"> Bank </w:t>
      </w:r>
      <w:r w:rsidR="00CF0C1B">
        <w:t xml:space="preserve">that the equal role </w:t>
      </w:r>
      <w:r w:rsidR="005F3753">
        <w:t xml:space="preserve">played by </w:t>
      </w:r>
      <w:r w:rsidR="00CF0C1B">
        <w:t xml:space="preserve">context and purpose </w:t>
      </w:r>
      <w:r w:rsidR="002A7501">
        <w:t xml:space="preserve">recognised </w:t>
      </w:r>
      <w:r w:rsidR="00CF0C1B">
        <w:t xml:space="preserve">in </w:t>
      </w:r>
      <w:r w:rsidR="00CF0C1B" w:rsidRPr="00CF0C1B">
        <w:rPr>
          <w:i/>
          <w:iCs/>
        </w:rPr>
        <w:t>University of Johannesburg</w:t>
      </w:r>
      <w:r w:rsidR="00CF0C1B">
        <w:t xml:space="preserve"> and the earlier </w:t>
      </w:r>
      <w:proofErr w:type="spellStart"/>
      <w:r w:rsidR="00CF0C1B" w:rsidRPr="00CF0C1B">
        <w:rPr>
          <w:i/>
          <w:iCs/>
        </w:rPr>
        <w:t>Endumeni</w:t>
      </w:r>
      <w:proofErr w:type="spellEnd"/>
      <w:r w:rsidR="00CF0C1B">
        <w:t xml:space="preserve"> judgment</w:t>
      </w:r>
      <w:r w:rsidR="00CF0C1B">
        <w:rPr>
          <w:rStyle w:val="FootnoteReference"/>
        </w:rPr>
        <w:footnoteReference w:id="8"/>
      </w:r>
      <w:r w:rsidR="00CF0C1B">
        <w:t xml:space="preserve"> “</w:t>
      </w:r>
      <w:r w:rsidR="00CF0C1B" w:rsidRPr="00CF0C1B">
        <w:rPr>
          <w:i/>
          <w:iCs/>
        </w:rPr>
        <w:t>is not a charter for judicial constructs premised upon what a contract should be taken to mean from a vantage point that is not located in the text of what the parties in fact agreed. Nor does [it] licence judicial interpretation that imports meanings into a contract so as to make it a better contract, or one that is ethically preferable</w:t>
      </w:r>
      <w:r w:rsidR="00CF0C1B">
        <w:t>”.</w:t>
      </w:r>
      <w:r w:rsidR="00CF0C1B">
        <w:rPr>
          <w:rStyle w:val="FootnoteReference"/>
        </w:rPr>
        <w:footnoteReference w:id="9"/>
      </w:r>
      <w:r w:rsidR="00CF0C1B">
        <w:t xml:space="preserve"> The SCA also observed that </w:t>
      </w:r>
      <w:r w:rsidR="000D7741">
        <w:t xml:space="preserve">none of the cases, including </w:t>
      </w:r>
      <w:r w:rsidR="000D7741" w:rsidRPr="00CF0C1B">
        <w:rPr>
          <w:i/>
          <w:iCs/>
        </w:rPr>
        <w:t>University of Johannesburg</w:t>
      </w:r>
      <w:r w:rsidR="007A67C3" w:rsidRPr="007A67C3">
        <w:t>,</w:t>
      </w:r>
      <w:r w:rsidR="000D7741" w:rsidRPr="007A67C3">
        <w:t xml:space="preserve"> “</w:t>
      </w:r>
      <w:r w:rsidR="000D7741" w:rsidRPr="00CF0C1B">
        <w:rPr>
          <w:i/>
          <w:iCs/>
        </w:rPr>
        <w:t xml:space="preserve">evince </w:t>
      </w:r>
      <w:proofErr w:type="spellStart"/>
      <w:r w:rsidR="000D7741" w:rsidRPr="00CF0C1B">
        <w:rPr>
          <w:i/>
          <w:iCs/>
        </w:rPr>
        <w:t>skepticism</w:t>
      </w:r>
      <w:proofErr w:type="spellEnd"/>
      <w:r w:rsidR="000D7741" w:rsidRPr="00CF0C1B">
        <w:rPr>
          <w:i/>
          <w:iCs/>
        </w:rPr>
        <w:t xml:space="preserve"> that the </w:t>
      </w:r>
      <w:r w:rsidR="000D7741" w:rsidRPr="00CF0C1B">
        <w:rPr>
          <w:i/>
          <w:iCs/>
        </w:rPr>
        <w:lastRenderedPageBreak/>
        <w:t>words and terms used in a contract have meaning</w:t>
      </w:r>
      <w:r w:rsidR="000D7741">
        <w:t>”</w:t>
      </w:r>
      <w:r w:rsidR="005F3753">
        <w:t>.</w:t>
      </w:r>
      <w:r w:rsidR="00F859DF">
        <w:rPr>
          <w:rStyle w:val="FootnoteReference"/>
        </w:rPr>
        <w:footnoteReference w:id="10"/>
      </w:r>
      <w:r w:rsidR="000D7741">
        <w:t xml:space="preserve"> </w:t>
      </w:r>
      <w:r w:rsidR="005F3753">
        <w:t xml:space="preserve">The </w:t>
      </w:r>
      <w:r w:rsidR="000D7741">
        <w:t>recognition of the importance of context and purpose “</w:t>
      </w:r>
      <w:r w:rsidR="000D7741" w:rsidRPr="00CF0C1B">
        <w:rPr>
          <w:i/>
          <w:iCs/>
        </w:rPr>
        <w:t>simply gives expression to the view that the words and concepts used in a contract and their relationship to the external world are not self-defining [and] that the meaning of a contested term of a contract (or provision in a statute) is properly understood not simply by selecting standard definitions of particular words, often taken from dictionaries, but also by understanding the words and sentences that comprise the contested term as they fit into the larger structure of the agreement, its context and purpose</w:t>
      </w:r>
      <w:r w:rsidR="000D7741">
        <w:t>”.</w:t>
      </w:r>
      <w:r w:rsidR="00F859DF">
        <w:rPr>
          <w:rStyle w:val="FootnoteReference"/>
        </w:rPr>
        <w:footnoteReference w:id="11"/>
      </w:r>
      <w:r w:rsidR="00F859DF">
        <w:t xml:space="preserve"> And finally, g</w:t>
      </w:r>
      <w:r w:rsidR="000D7741">
        <w:t>iven that the exercise of interpretation is orientated towards determining the meaning of the language that is used</w:t>
      </w:r>
      <w:r w:rsidR="00F859DF">
        <w:t xml:space="preserve">: </w:t>
      </w:r>
    </w:p>
    <w:p w14:paraId="1FE87623" w14:textId="54914A5F" w:rsidR="000D7741" w:rsidRPr="00F859DF" w:rsidRDefault="00F859DF" w:rsidP="00F859DF">
      <w:pPr>
        <w:pStyle w:val="LC1"/>
        <w:numPr>
          <w:ilvl w:val="0"/>
          <w:numId w:val="0"/>
        </w:numPr>
        <w:ind w:left="1440"/>
        <w:rPr>
          <w:i/>
          <w:iCs/>
        </w:rPr>
      </w:pPr>
      <w:r w:rsidRPr="00F859DF">
        <w:rPr>
          <w:i/>
          <w:iCs/>
        </w:rPr>
        <w:t>[I]</w:t>
      </w:r>
      <w:proofErr w:type="spellStart"/>
      <w:r w:rsidRPr="00F859DF">
        <w:rPr>
          <w:i/>
          <w:iCs/>
        </w:rPr>
        <w:t>nterpretation</w:t>
      </w:r>
      <w:proofErr w:type="spellEnd"/>
      <w:r w:rsidRPr="00F859DF">
        <w:rPr>
          <w:i/>
          <w:iCs/>
        </w:rPr>
        <w:t xml:space="preserve">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Pr="00F859DF">
        <w:rPr>
          <w:rStyle w:val="FootnoteReference"/>
        </w:rPr>
        <w:footnoteReference w:id="12"/>
      </w:r>
      <w:r w:rsidR="000D7741" w:rsidRPr="00F859DF">
        <w:rPr>
          <w:i/>
          <w:iCs/>
        </w:rPr>
        <w:t xml:space="preserve"> </w:t>
      </w:r>
    </w:p>
    <w:p w14:paraId="42E580CD" w14:textId="3BE1A92F" w:rsidR="005D57E2" w:rsidRDefault="00050A11" w:rsidP="00050A11">
      <w:pPr>
        <w:pStyle w:val="LC1"/>
        <w:numPr>
          <w:ilvl w:val="0"/>
          <w:numId w:val="0"/>
        </w:numPr>
        <w:ind w:left="644" w:hanging="720"/>
      </w:pPr>
      <w:r>
        <w:rPr>
          <w:rFonts w:cs="Arial"/>
          <w:szCs w:val="24"/>
        </w:rPr>
        <w:t>[15]</w:t>
      </w:r>
      <w:r>
        <w:rPr>
          <w:rFonts w:cs="Arial"/>
          <w:szCs w:val="24"/>
        </w:rPr>
        <w:tab/>
      </w:r>
      <w:r w:rsidR="00F859DF">
        <w:t xml:space="preserve">In the current instance, </w:t>
      </w:r>
      <w:r w:rsidR="00C622F2">
        <w:t>it cannot be ignored that the settlement agreement does not expressly state that the applicant may not unreasonably withhold her consent to an extension of the payment date of the settlement amount. T</w:t>
      </w:r>
      <w:r w:rsidR="000903E7">
        <w:t xml:space="preserve">he </w:t>
      </w:r>
      <w:r w:rsidR="002A7501">
        <w:t xml:space="preserve">mooring lines </w:t>
      </w:r>
      <w:r w:rsidR="00C622F2">
        <w:t xml:space="preserve">relied upon by the respondents to </w:t>
      </w:r>
      <w:r w:rsidR="002A7501">
        <w:t xml:space="preserve">tether </w:t>
      </w:r>
      <w:r w:rsidR="00C622F2">
        <w:t xml:space="preserve">that </w:t>
      </w:r>
      <w:r w:rsidR="002A7501">
        <w:t xml:space="preserve">meaning </w:t>
      </w:r>
      <w:r w:rsidR="005C44C8">
        <w:t xml:space="preserve">to the text of the settlement agreement are </w:t>
      </w:r>
      <w:r w:rsidR="002F2B6F">
        <w:t xml:space="preserve">the portion of clause 2 </w:t>
      </w:r>
      <w:r w:rsidR="005F3753">
        <w:t xml:space="preserve">that I have underlined above, </w:t>
      </w:r>
      <w:r w:rsidR="002F2B6F">
        <w:t xml:space="preserve">and </w:t>
      </w:r>
      <w:r w:rsidR="005C44C8">
        <w:t xml:space="preserve">the </w:t>
      </w:r>
      <w:r w:rsidR="002F2B6F">
        <w:t xml:space="preserve">allegation </w:t>
      </w:r>
      <w:r w:rsidR="005C44C8">
        <w:t xml:space="preserve">that clause 3 of the settlement agreement </w:t>
      </w:r>
      <w:r w:rsidR="002F2B6F">
        <w:t>c</w:t>
      </w:r>
      <w:r w:rsidR="005C44C8">
        <w:t xml:space="preserve">ontemplates that the proceeds of the sale of the property to the new purchaser will be used </w:t>
      </w:r>
      <w:r w:rsidR="002F2B6F">
        <w:t>to pay the settlement amount.</w:t>
      </w:r>
      <w:r w:rsidR="00C622F2">
        <w:t xml:space="preserve"> </w:t>
      </w:r>
      <w:r w:rsidR="002F2B6F">
        <w:t xml:space="preserve">In my view, </w:t>
      </w:r>
      <w:r w:rsidR="005F3753">
        <w:t xml:space="preserve">these connections </w:t>
      </w:r>
      <w:r w:rsidR="002F2B6F">
        <w:t xml:space="preserve">are tenuous and unpersuasive. </w:t>
      </w:r>
    </w:p>
    <w:p w14:paraId="5B7E9C69" w14:textId="54A793E5" w:rsidR="002F2B6F" w:rsidRDefault="00050A11" w:rsidP="00050A11">
      <w:pPr>
        <w:pStyle w:val="LC1"/>
        <w:numPr>
          <w:ilvl w:val="0"/>
          <w:numId w:val="0"/>
        </w:numPr>
        <w:ind w:left="644" w:hanging="720"/>
      </w:pPr>
      <w:r>
        <w:rPr>
          <w:rFonts w:cs="Arial"/>
          <w:szCs w:val="24"/>
        </w:rPr>
        <w:t>[16]</w:t>
      </w:r>
      <w:r>
        <w:rPr>
          <w:rFonts w:cs="Arial"/>
          <w:szCs w:val="24"/>
        </w:rPr>
        <w:tab/>
      </w:r>
      <w:r w:rsidR="00C622F2">
        <w:t>Firstly</w:t>
      </w:r>
      <w:r w:rsidR="00C93D24">
        <w:t xml:space="preserve">, </w:t>
      </w:r>
      <w:r w:rsidR="005D57E2">
        <w:t>a</w:t>
      </w:r>
      <w:r w:rsidR="002F2B6F">
        <w:t>t an ordinary grammatical level, the words employed in clause 2 (“</w:t>
      </w:r>
      <w:r w:rsidR="002F2B6F" w:rsidRPr="00F859DF">
        <w:rPr>
          <w:i/>
          <w:iCs/>
        </w:rPr>
        <w:t>may agree</w:t>
      </w:r>
      <w:r w:rsidR="002F2B6F">
        <w:t>”), especially when read in the context of the non-variation provision in clause 13.1.</w:t>
      </w:r>
      <w:r w:rsidR="005F3753">
        <w:t>, suggest that neither party is under an obligation to agree to an amendment of the agreement. A</w:t>
      </w:r>
      <w:r w:rsidR="002F2B6F">
        <w:t>s the Constitutional Court has pointed out, “</w:t>
      </w:r>
      <w:r w:rsidR="002F2B6F" w:rsidRPr="005D57E2">
        <w:rPr>
          <w:i/>
          <w:iCs/>
        </w:rPr>
        <w:t xml:space="preserve">in </w:t>
      </w:r>
      <w:r w:rsidR="002F2B6F" w:rsidRPr="005D57E2">
        <w:rPr>
          <w:i/>
          <w:iCs/>
        </w:rPr>
        <w:lastRenderedPageBreak/>
        <w:t>the ordinary sense ‘may’ does not mean ‘must’. Nor is it its equivalent</w:t>
      </w:r>
      <w:r w:rsidR="002F2B6F">
        <w:t>”, and it is only in the context of administrative law</w:t>
      </w:r>
      <w:r w:rsidR="005D57E2">
        <w:t xml:space="preserve">, which imposes </w:t>
      </w:r>
      <w:r w:rsidR="002F2B6F">
        <w:t xml:space="preserve">overarching duties upon </w:t>
      </w:r>
      <w:r w:rsidR="005D57E2">
        <w:t>decision-makers to perform their duties (i.e. to make a decision) and, in so doing, to act rationally or reasonably</w:t>
      </w:r>
      <w:r w:rsidR="005F3753">
        <w:t>,</w:t>
      </w:r>
      <w:r w:rsidR="005D57E2">
        <w:t xml:space="preserve"> that it might be the case in certain specific circumstances that the decision-maker clothed with a permissive power is compelled to </w:t>
      </w:r>
      <w:r w:rsidR="005F3753">
        <w:t>make a specific decision</w:t>
      </w:r>
      <w:r w:rsidR="005D57E2">
        <w:t>.</w:t>
      </w:r>
      <w:r w:rsidR="005F3753">
        <w:rPr>
          <w:rStyle w:val="FootnoteReference"/>
        </w:rPr>
        <w:footnoteReference w:id="13"/>
      </w:r>
      <w:r w:rsidR="005D57E2">
        <w:t xml:space="preserve"> </w:t>
      </w:r>
      <w:r w:rsidR="005F3753">
        <w:t xml:space="preserve">While I am prepared to accept that </w:t>
      </w:r>
      <w:r w:rsidR="00B4733F">
        <w:t>the reference to “</w:t>
      </w:r>
      <w:r w:rsidR="00B4733F" w:rsidRPr="00B4733F">
        <w:rPr>
          <w:i/>
          <w:iCs/>
        </w:rPr>
        <w:t>any unforeseen and valid cause of delay</w:t>
      </w:r>
      <w:r w:rsidR="00B4733F">
        <w:t xml:space="preserve">” </w:t>
      </w:r>
      <w:r w:rsidR="00775584">
        <w:t xml:space="preserve">in clause 2 </w:t>
      </w:r>
      <w:r w:rsidR="005F3753">
        <w:t xml:space="preserve">means that the </w:t>
      </w:r>
      <w:r w:rsidR="00B4733F">
        <w:t xml:space="preserve">applicant </w:t>
      </w:r>
      <w:r w:rsidR="007C5194">
        <w:t xml:space="preserve">was </w:t>
      </w:r>
      <w:r w:rsidR="005F3753">
        <w:t xml:space="preserve">required </w:t>
      </w:r>
      <w:r w:rsidR="007C5194">
        <w:t xml:space="preserve">(as she did) </w:t>
      </w:r>
      <w:r w:rsidR="00B4733F">
        <w:t xml:space="preserve">to make a decision </w:t>
      </w:r>
      <w:r w:rsidR="007C5194">
        <w:t xml:space="preserve">whether or not to agree to an amendment in the event that </w:t>
      </w:r>
      <w:r w:rsidR="00B4733F">
        <w:t>an unforeseen and valid cause of delay</w:t>
      </w:r>
      <w:r w:rsidR="007C5194">
        <w:t xml:space="preserve"> arose</w:t>
      </w:r>
      <w:r w:rsidR="00ED3447">
        <w:t xml:space="preserve"> in relation to the transfer of the property</w:t>
      </w:r>
      <w:r w:rsidR="00B4733F">
        <w:t xml:space="preserve">, </w:t>
      </w:r>
      <w:r w:rsidR="005F3753">
        <w:t xml:space="preserve">I do not accept that </w:t>
      </w:r>
      <w:r w:rsidR="005D57E2">
        <w:t xml:space="preserve">either the settlement agreement or the general law of contract (as to which, see below) impose any </w:t>
      </w:r>
      <w:r w:rsidR="00B4733F">
        <w:t xml:space="preserve">duty </w:t>
      </w:r>
      <w:r w:rsidR="005D57E2">
        <w:t xml:space="preserve">on </w:t>
      </w:r>
      <w:r w:rsidR="005F3753">
        <w:t xml:space="preserve">her </w:t>
      </w:r>
      <w:r w:rsidR="005D57E2">
        <w:t xml:space="preserve">to act reasonably </w:t>
      </w:r>
      <w:r w:rsidR="00ED3447">
        <w:t xml:space="preserve">or even rationally </w:t>
      </w:r>
      <w:r w:rsidR="005D57E2">
        <w:t xml:space="preserve">in </w:t>
      </w:r>
      <w:r w:rsidR="00C93D24">
        <w:t>making such a decision</w:t>
      </w:r>
      <w:r w:rsidR="005F3753">
        <w:t>.</w:t>
      </w:r>
      <w:r w:rsidR="005D57E2">
        <w:t xml:space="preserve"> </w:t>
      </w:r>
      <w:r w:rsidR="005F3753">
        <w:t>T</w:t>
      </w:r>
      <w:r w:rsidR="005D57E2">
        <w:t xml:space="preserve">he word ‘may’ must, in this context be regarded as being purely </w:t>
      </w:r>
      <w:r w:rsidR="005F3753">
        <w:t>discretionary</w:t>
      </w:r>
      <w:r w:rsidR="005D57E2">
        <w:t xml:space="preserve">. </w:t>
      </w:r>
    </w:p>
    <w:p w14:paraId="0C61C09A" w14:textId="2E7B8B9B" w:rsidR="00B4733F" w:rsidRDefault="00050A11" w:rsidP="00050A11">
      <w:pPr>
        <w:pStyle w:val="LC1"/>
        <w:numPr>
          <w:ilvl w:val="0"/>
          <w:numId w:val="0"/>
        </w:numPr>
        <w:ind w:left="644" w:hanging="720"/>
      </w:pPr>
      <w:r>
        <w:rPr>
          <w:rFonts w:cs="Arial"/>
          <w:szCs w:val="24"/>
        </w:rPr>
        <w:t>[17]</w:t>
      </w:r>
      <w:r>
        <w:rPr>
          <w:rFonts w:cs="Arial"/>
          <w:szCs w:val="24"/>
        </w:rPr>
        <w:tab/>
      </w:r>
      <w:r w:rsidR="005D57E2">
        <w:t xml:space="preserve">Secondly, the </w:t>
      </w:r>
      <w:r w:rsidR="00C93D24">
        <w:t>respondent</w:t>
      </w:r>
      <w:r w:rsidR="005435A9">
        <w:t xml:space="preserve">’s undertaking </w:t>
      </w:r>
      <w:r w:rsidR="00C93D24">
        <w:t>in clause 3 to “</w:t>
      </w:r>
      <w:r w:rsidR="00C93D24" w:rsidRPr="00C93D24">
        <w:rPr>
          <w:i/>
          <w:iCs/>
        </w:rPr>
        <w:t xml:space="preserve">earmark an amount of </w:t>
      </w:r>
      <w:r w:rsidR="00C93D24" w:rsidRPr="00C93D24">
        <w:rPr>
          <w:i/>
          <w:iCs/>
          <w:u w:val="single"/>
        </w:rPr>
        <w:t>not less than</w:t>
      </w:r>
      <w:r w:rsidR="00C93D24" w:rsidRPr="00C93D24">
        <w:rPr>
          <w:i/>
          <w:iCs/>
        </w:rPr>
        <w:t xml:space="preserve"> </w:t>
      </w:r>
      <w:r w:rsidR="005435A9">
        <w:rPr>
          <w:i/>
          <w:iCs/>
        </w:rPr>
        <w:t xml:space="preserve">R2 2000 000-00 </w:t>
      </w:r>
      <w:r w:rsidR="00C93D24" w:rsidRPr="00C93D24">
        <w:rPr>
          <w:i/>
          <w:iCs/>
        </w:rPr>
        <w:t xml:space="preserve">from the </w:t>
      </w:r>
      <w:r w:rsidR="005D57E2" w:rsidRPr="00C93D24">
        <w:rPr>
          <w:i/>
          <w:iCs/>
        </w:rPr>
        <w:t>proceeds</w:t>
      </w:r>
      <w:r w:rsidR="00C93D24">
        <w:t>”</w:t>
      </w:r>
      <w:r w:rsidR="005D57E2">
        <w:t xml:space="preserve"> of the </w:t>
      </w:r>
      <w:r w:rsidR="00B4733F">
        <w:t xml:space="preserve">sale </w:t>
      </w:r>
      <w:r w:rsidR="00C93D24">
        <w:t xml:space="preserve">of the property </w:t>
      </w:r>
      <w:r w:rsidR="00B4733F">
        <w:t xml:space="preserve">to the new purchaser to pay </w:t>
      </w:r>
      <w:r w:rsidR="00C93D24">
        <w:t>“</w:t>
      </w:r>
      <w:r w:rsidR="00B4733F" w:rsidRPr="00C93D24">
        <w:rPr>
          <w:i/>
          <w:iCs/>
        </w:rPr>
        <w:t xml:space="preserve">the </w:t>
      </w:r>
      <w:r w:rsidR="00C93D24" w:rsidRPr="00C93D24">
        <w:rPr>
          <w:i/>
          <w:iCs/>
        </w:rPr>
        <w:t>settlement payment as referred to in paragraph 2</w:t>
      </w:r>
      <w:r w:rsidR="00C93D24">
        <w:t xml:space="preserve">” </w:t>
      </w:r>
      <w:r w:rsidR="005435A9">
        <w:t xml:space="preserve">must of course </w:t>
      </w:r>
      <w:r w:rsidR="00C93D24">
        <w:t xml:space="preserve">be read in </w:t>
      </w:r>
      <w:r w:rsidR="005435A9">
        <w:t xml:space="preserve">view its </w:t>
      </w:r>
      <w:r w:rsidR="00C93D24">
        <w:t>purpose</w:t>
      </w:r>
      <w:r w:rsidR="005435A9">
        <w:t xml:space="preserve">, </w:t>
      </w:r>
      <w:r w:rsidR="00C93D24">
        <w:t>which was self-evidently to act as a form of partial security for the payment that would have to be made by the respondent to the applicant</w:t>
      </w:r>
      <w:r w:rsidR="005435A9">
        <w:t xml:space="preserve">. </w:t>
      </w:r>
      <w:r w:rsidR="00C93D24">
        <w:t xml:space="preserve">It </w:t>
      </w:r>
      <w:r w:rsidR="005435A9">
        <w:t xml:space="preserve">would be stretching credulity to </w:t>
      </w:r>
      <w:r w:rsidR="00775584">
        <w:t xml:space="preserve">hold </w:t>
      </w:r>
      <w:r w:rsidR="005435A9">
        <w:t xml:space="preserve">that </w:t>
      </w:r>
      <w:r w:rsidR="00C93D24">
        <w:t xml:space="preserve">the </w:t>
      </w:r>
      <w:r w:rsidR="005435A9">
        <w:t xml:space="preserve">parties intended that </w:t>
      </w:r>
      <w:r w:rsidR="00775584">
        <w:t xml:space="preserve">whereas </w:t>
      </w:r>
      <w:r w:rsidR="00C93D24">
        <w:t xml:space="preserve">whole of the settlement amount would be secured by the proceeds of the sale, no part of the amount </w:t>
      </w:r>
      <w:r w:rsidR="005435A9">
        <w:t xml:space="preserve">potentially </w:t>
      </w:r>
      <w:r w:rsidR="00C93D24">
        <w:t>due under clause 11 would be secured in this way</w:t>
      </w:r>
      <w:r w:rsidR="00775584">
        <w:t xml:space="preserve"> – </w:t>
      </w:r>
      <w:r w:rsidR="005435A9">
        <w:t>especially</w:t>
      </w:r>
      <w:r w:rsidR="00775584">
        <w:t xml:space="preserve"> </w:t>
      </w:r>
      <w:r w:rsidR="005435A9">
        <w:t>in view of the inclusion of the words “</w:t>
      </w:r>
      <w:r w:rsidR="005435A9" w:rsidRPr="00775584">
        <w:rPr>
          <w:i/>
          <w:iCs/>
        </w:rPr>
        <w:t>not less than</w:t>
      </w:r>
      <w:r w:rsidR="005435A9">
        <w:t xml:space="preserve">” the settlement amount. </w:t>
      </w:r>
    </w:p>
    <w:p w14:paraId="3BF98F39" w14:textId="4A2953AA" w:rsidR="005435A9" w:rsidRDefault="00050A11" w:rsidP="00050A11">
      <w:pPr>
        <w:pStyle w:val="LC1"/>
        <w:numPr>
          <w:ilvl w:val="0"/>
          <w:numId w:val="0"/>
        </w:numPr>
        <w:ind w:left="644" w:hanging="720"/>
      </w:pPr>
      <w:r>
        <w:rPr>
          <w:rFonts w:cs="Arial"/>
          <w:szCs w:val="24"/>
        </w:rPr>
        <w:t>[18]</w:t>
      </w:r>
      <w:r>
        <w:rPr>
          <w:rFonts w:cs="Arial"/>
          <w:szCs w:val="24"/>
        </w:rPr>
        <w:tab/>
      </w:r>
      <w:r w:rsidR="005435A9">
        <w:t>Thirdly, t</w:t>
      </w:r>
      <w:r w:rsidR="00C622F2">
        <w:t>here is nothing “</w:t>
      </w:r>
      <w:r w:rsidR="004E69F1" w:rsidRPr="004E69F1">
        <w:rPr>
          <w:i/>
          <w:iCs/>
        </w:rPr>
        <w:t xml:space="preserve">insensible or </w:t>
      </w:r>
      <w:r w:rsidR="00C622F2" w:rsidRPr="004E69F1">
        <w:rPr>
          <w:i/>
          <w:iCs/>
        </w:rPr>
        <w:t>unbusinesslike</w:t>
      </w:r>
      <w:r w:rsidR="00C622F2">
        <w:t xml:space="preserve">” about </w:t>
      </w:r>
      <w:r w:rsidR="005435A9">
        <w:t xml:space="preserve">the </w:t>
      </w:r>
      <w:r w:rsidR="00C622F2">
        <w:t xml:space="preserve">construction of the settlement agreement contended for by the applicant. It makes eminent </w:t>
      </w:r>
      <w:r w:rsidR="009857CC">
        <w:t xml:space="preserve">business </w:t>
      </w:r>
      <w:r w:rsidR="00C622F2">
        <w:t xml:space="preserve">sense </w:t>
      </w:r>
      <w:r w:rsidR="009857CC">
        <w:t xml:space="preserve">for </w:t>
      </w:r>
      <w:r w:rsidR="00C622F2">
        <w:t xml:space="preserve">parties </w:t>
      </w:r>
      <w:r w:rsidR="009857CC">
        <w:t xml:space="preserve">to </w:t>
      </w:r>
      <w:r w:rsidR="00C622F2">
        <w:t xml:space="preserve">conclude an agreement with a clear cut-off date before which the amount due </w:t>
      </w:r>
      <w:r w:rsidR="009857CC">
        <w:t xml:space="preserve">by one of them is </w:t>
      </w:r>
      <w:r w:rsidR="005435A9">
        <w:t>‘</w:t>
      </w:r>
      <w:r w:rsidR="00C622F2">
        <w:t>discounted</w:t>
      </w:r>
      <w:proofErr w:type="gramStart"/>
      <w:r w:rsidR="005435A9">
        <w:t>’</w:t>
      </w:r>
      <w:r w:rsidR="009857CC">
        <w:t>,</w:t>
      </w:r>
      <w:r w:rsidR="005435A9">
        <w:t xml:space="preserve"> and</w:t>
      </w:r>
      <w:proofErr w:type="gramEnd"/>
      <w:r w:rsidR="005435A9">
        <w:t xml:space="preserve"> leaving it up to the discretion of the </w:t>
      </w:r>
      <w:r w:rsidR="00775584">
        <w:t xml:space="preserve">creditor </w:t>
      </w:r>
      <w:r w:rsidR="005435A9">
        <w:t xml:space="preserve">whether that discount may be extended for a further period. </w:t>
      </w:r>
      <w:r w:rsidR="004E69F1">
        <w:t xml:space="preserve">Not only are such </w:t>
      </w:r>
      <w:r w:rsidR="009857CC">
        <w:t xml:space="preserve">arrangements </w:t>
      </w:r>
      <w:r w:rsidR="004E69F1">
        <w:t xml:space="preserve">common </w:t>
      </w:r>
      <w:r w:rsidR="009857CC">
        <w:t xml:space="preserve">in my experience </w:t>
      </w:r>
      <w:r w:rsidR="004E69F1">
        <w:t xml:space="preserve">(and contracts requiring consent </w:t>
      </w:r>
      <w:r w:rsidR="009857CC">
        <w:t xml:space="preserve">not to be unreasonably withheld </w:t>
      </w:r>
      <w:r w:rsidR="004E69F1">
        <w:t xml:space="preserve">relatively </w:t>
      </w:r>
      <w:r w:rsidR="004E69F1">
        <w:lastRenderedPageBreak/>
        <w:t xml:space="preserve">uncommon, and contracts requiring </w:t>
      </w:r>
      <w:r w:rsidR="009857CC">
        <w:t xml:space="preserve">a party to agree to an </w:t>
      </w:r>
      <w:r w:rsidR="004E69F1">
        <w:t xml:space="preserve">amendment </w:t>
      </w:r>
      <w:r w:rsidR="009857CC">
        <w:t xml:space="preserve">of </w:t>
      </w:r>
      <w:r w:rsidR="004E69F1">
        <w:t xml:space="preserve">the contact even less common), it seems to me that the purpose of the </w:t>
      </w:r>
      <w:r w:rsidR="00775584">
        <w:t xml:space="preserve">settlement </w:t>
      </w:r>
      <w:r w:rsidR="009857CC">
        <w:t xml:space="preserve">agreement </w:t>
      </w:r>
      <w:r w:rsidR="004E69F1">
        <w:t xml:space="preserve">is served by the applicant’s construction. </w:t>
      </w:r>
      <w:r w:rsidR="005435A9">
        <w:t>Indeed, once the purpose of the “</w:t>
      </w:r>
      <w:r w:rsidR="005435A9" w:rsidRPr="004E69F1">
        <w:rPr>
          <w:i/>
          <w:iCs/>
        </w:rPr>
        <w:t>earmarking</w:t>
      </w:r>
      <w:r w:rsidR="005435A9">
        <w:t>” of a portion of the proceeds of the sale is identified</w:t>
      </w:r>
      <w:r w:rsidR="00775584">
        <w:t xml:space="preserve"> as applying to payments under ether clause 2 or clause 11</w:t>
      </w:r>
      <w:r w:rsidR="005435A9">
        <w:t xml:space="preserve">, it becomes clear that the interpretation advanced by the respondent is </w:t>
      </w:r>
      <w:r w:rsidR="00775584">
        <w:t xml:space="preserve">an </w:t>
      </w:r>
      <w:r w:rsidR="005435A9">
        <w:t>unbusinesslike one</w:t>
      </w:r>
      <w:r w:rsidR="00775584">
        <w:t xml:space="preserve"> that does not support the purpose of the agreement</w:t>
      </w:r>
      <w:r w:rsidR="005435A9">
        <w:t>.</w:t>
      </w:r>
    </w:p>
    <w:p w14:paraId="3F9B83AF" w14:textId="4DEAF798" w:rsidR="004E69F1" w:rsidRDefault="00050A11" w:rsidP="00050A11">
      <w:pPr>
        <w:pStyle w:val="LC1"/>
        <w:numPr>
          <w:ilvl w:val="0"/>
          <w:numId w:val="0"/>
        </w:numPr>
        <w:ind w:left="644" w:hanging="720"/>
      </w:pPr>
      <w:r>
        <w:rPr>
          <w:rFonts w:cs="Arial"/>
          <w:szCs w:val="24"/>
        </w:rPr>
        <w:t>[19]</w:t>
      </w:r>
      <w:r>
        <w:rPr>
          <w:rFonts w:cs="Arial"/>
          <w:szCs w:val="24"/>
        </w:rPr>
        <w:tab/>
      </w:r>
      <w:r w:rsidR="004E69F1">
        <w:t>Finally, th</w:t>
      </w:r>
      <w:r w:rsidR="004E69F1" w:rsidRPr="004E69F1">
        <w:t>e contextual setting for interpretation include</w:t>
      </w:r>
      <w:r w:rsidR="004E69F1">
        <w:t>s</w:t>
      </w:r>
      <w:r w:rsidR="004E69F1" w:rsidRPr="004E69F1">
        <w:t xml:space="preserve"> </w:t>
      </w:r>
      <w:r w:rsidR="004E69F1">
        <w:t xml:space="preserve">evidence of the </w:t>
      </w:r>
      <w:r w:rsidR="004E69F1" w:rsidRPr="004E69F1">
        <w:t xml:space="preserve">subsequent conduct of the parties which indicates a common understanding of the terms of the agreement </w:t>
      </w:r>
      <w:r w:rsidR="00775584">
        <w:t xml:space="preserve">provided that it </w:t>
      </w:r>
      <w:r w:rsidR="004E69F1" w:rsidRPr="004E69F1">
        <w:t>does not alter the meaning of the words used</w:t>
      </w:r>
      <w:r w:rsidR="00775584">
        <w:t xml:space="preserve"> and </w:t>
      </w:r>
      <w:r w:rsidR="004E69F1" w:rsidRPr="004E69F1">
        <w:t>is used as conservatively as possible.</w:t>
      </w:r>
      <w:r w:rsidR="004E69F1">
        <w:rPr>
          <w:rStyle w:val="FootnoteReference"/>
        </w:rPr>
        <w:footnoteReference w:id="14"/>
      </w:r>
      <w:r w:rsidR="004E69F1">
        <w:t xml:space="preserve"> In the current instance, the very first </w:t>
      </w:r>
      <w:r w:rsidR="005A62D4">
        <w:t>communications between the parties’ attorneys in relation to the delays experienced in the transfer of the property on 28 May 2021 reveal that the respondent’s attorneys indicated that: “</w:t>
      </w:r>
      <w:r w:rsidR="005A62D4" w:rsidRPr="005A62D4">
        <w:rPr>
          <w:i/>
          <w:iCs/>
        </w:rPr>
        <w:t xml:space="preserve">… we would be pleased if your client would kindly </w:t>
      </w:r>
      <w:r w:rsidR="005A62D4" w:rsidRPr="005A62D4">
        <w:rPr>
          <w:i/>
          <w:iCs/>
          <w:u w:val="single"/>
        </w:rPr>
        <w:t>grant our client an indulgence</w:t>
      </w:r>
      <w:r w:rsidR="005A62D4" w:rsidRPr="005A62D4">
        <w:rPr>
          <w:i/>
          <w:iCs/>
        </w:rPr>
        <w:t xml:space="preserve"> of effecting payment of the settlement amount to your client on/before the 30th of June 2021</w:t>
      </w:r>
      <w:r w:rsidR="005A62D4">
        <w:t>”, and the applicant’s attorneys responded that although she was sympathetic to the delays, “</w:t>
      </w:r>
      <w:r w:rsidR="005A62D4" w:rsidRPr="009857CC">
        <w:rPr>
          <w:i/>
          <w:iCs/>
        </w:rPr>
        <w:t>we hold strict instructions that payment in terms of the Settlement Agreement … must be adhered to</w:t>
      </w:r>
      <w:r w:rsidR="005A62D4">
        <w:t xml:space="preserve">”.  This exchange indicates a common understanding by the parties that the decision </w:t>
      </w:r>
      <w:proofErr w:type="gramStart"/>
      <w:r w:rsidR="005A62D4">
        <w:t>whether or not</w:t>
      </w:r>
      <w:proofErr w:type="gramEnd"/>
      <w:r w:rsidR="005A62D4">
        <w:t xml:space="preserve"> to extend the date for payment of the settlement amount was purely discretionary</w:t>
      </w:r>
      <w:r w:rsidR="009857CC">
        <w:t>,</w:t>
      </w:r>
      <w:r w:rsidR="005A62D4">
        <w:t xml:space="preserve"> and </w:t>
      </w:r>
      <w:r w:rsidR="009857CC">
        <w:t xml:space="preserve">indeed was </w:t>
      </w:r>
      <w:r w:rsidR="005A62D4">
        <w:t xml:space="preserve">a matter of indulgence on the part of the applicant. </w:t>
      </w:r>
    </w:p>
    <w:p w14:paraId="45A80A0E" w14:textId="78116209" w:rsidR="005A62D4" w:rsidRDefault="00050A11" w:rsidP="00050A11">
      <w:pPr>
        <w:pStyle w:val="LC1"/>
        <w:numPr>
          <w:ilvl w:val="0"/>
          <w:numId w:val="0"/>
        </w:numPr>
        <w:ind w:left="644" w:hanging="720"/>
      </w:pPr>
      <w:r>
        <w:rPr>
          <w:rFonts w:cs="Arial"/>
          <w:szCs w:val="24"/>
        </w:rPr>
        <w:t>[20]</w:t>
      </w:r>
      <w:r>
        <w:rPr>
          <w:rFonts w:cs="Arial"/>
          <w:szCs w:val="24"/>
        </w:rPr>
        <w:tab/>
      </w:r>
      <w:r w:rsidR="005A62D4">
        <w:t xml:space="preserve">In the circumstances, I conclude that the interpretation of the settlement agreement contended for by the respondent is unsustainable and there was no obligation upon the applicant to act reasonably when deciding </w:t>
      </w:r>
      <w:proofErr w:type="gramStart"/>
      <w:r w:rsidR="005A62D4">
        <w:t>whether or not</w:t>
      </w:r>
      <w:proofErr w:type="gramEnd"/>
      <w:r w:rsidR="005A62D4">
        <w:t xml:space="preserve"> to agree to an amendment of the agreement so as to allow for an extension of the payment date of the settlement amount</w:t>
      </w:r>
      <w:r w:rsidR="009857CC">
        <w:t>.</w:t>
      </w:r>
    </w:p>
    <w:p w14:paraId="76B222C0" w14:textId="1997744B" w:rsidR="002E4D46" w:rsidRPr="005E5030" w:rsidRDefault="005E5030" w:rsidP="00F859DF">
      <w:pPr>
        <w:pStyle w:val="LC1"/>
        <w:keepNext/>
        <w:numPr>
          <w:ilvl w:val="0"/>
          <w:numId w:val="0"/>
        </w:numPr>
        <w:rPr>
          <w:u w:val="single"/>
        </w:rPr>
      </w:pPr>
      <w:r w:rsidRPr="005E5030">
        <w:rPr>
          <w:u w:val="single"/>
        </w:rPr>
        <w:t xml:space="preserve">The </w:t>
      </w:r>
      <w:r w:rsidR="00133791">
        <w:rPr>
          <w:u w:val="single"/>
        </w:rPr>
        <w:t>respondent</w:t>
      </w:r>
      <w:r w:rsidR="0024344C">
        <w:rPr>
          <w:u w:val="single"/>
        </w:rPr>
        <w:t xml:space="preserve">’s </w:t>
      </w:r>
      <w:r w:rsidRPr="005E5030">
        <w:rPr>
          <w:u w:val="single"/>
        </w:rPr>
        <w:t xml:space="preserve">attempted reliance on an implied, alternatively tacit term </w:t>
      </w:r>
    </w:p>
    <w:p w14:paraId="33EDBD8B" w14:textId="339BB8E8" w:rsidR="009979BE" w:rsidRDefault="00050A11" w:rsidP="00050A11">
      <w:pPr>
        <w:pStyle w:val="LC1"/>
        <w:numPr>
          <w:ilvl w:val="0"/>
          <w:numId w:val="0"/>
        </w:numPr>
        <w:ind w:left="644" w:hanging="720"/>
      </w:pPr>
      <w:r>
        <w:rPr>
          <w:rFonts w:cs="Arial"/>
          <w:szCs w:val="24"/>
        </w:rPr>
        <w:t>[21]</w:t>
      </w:r>
      <w:r>
        <w:rPr>
          <w:rFonts w:cs="Arial"/>
          <w:szCs w:val="24"/>
        </w:rPr>
        <w:tab/>
      </w:r>
      <w:r w:rsidR="00AE33F3">
        <w:t xml:space="preserve">Given the conclusions I have reached above in relation to the </w:t>
      </w:r>
      <w:r w:rsidR="00074CFD">
        <w:t xml:space="preserve">pleaded </w:t>
      </w:r>
      <w:r w:rsidR="00BC5263">
        <w:lastRenderedPageBreak/>
        <w:t xml:space="preserve">interpretation </w:t>
      </w:r>
      <w:r w:rsidR="00AE33F3">
        <w:t xml:space="preserve">defence, it is perhaps unsurprising that </w:t>
      </w:r>
      <w:r w:rsidR="00BC5263">
        <w:t xml:space="preserve">it </w:t>
      </w:r>
      <w:r w:rsidR="00E80E5C">
        <w:t xml:space="preserve">was </w:t>
      </w:r>
      <w:r w:rsidR="00BC5263">
        <w:t xml:space="preserve">not </w:t>
      </w:r>
      <w:r w:rsidR="00E80E5C">
        <w:t xml:space="preserve">pursued </w:t>
      </w:r>
      <w:r w:rsidR="009E5320">
        <w:t xml:space="preserve">with any vigour </w:t>
      </w:r>
      <w:r w:rsidR="00E80E5C">
        <w:t xml:space="preserve">by the </w:t>
      </w:r>
      <w:r w:rsidR="00133791">
        <w:t>respondent</w:t>
      </w:r>
      <w:r w:rsidR="00E80E5C">
        <w:t>’s counsel in argument. Instead, for the first time</w:t>
      </w:r>
      <w:r w:rsidR="009E5320">
        <w:t xml:space="preserve"> in the </w:t>
      </w:r>
      <w:r w:rsidR="00133791">
        <w:t>respondent</w:t>
      </w:r>
      <w:r w:rsidR="009E5320">
        <w:t>’s heads of argument</w:t>
      </w:r>
      <w:r w:rsidR="00E80E5C">
        <w:t xml:space="preserve">, the defence </w:t>
      </w:r>
      <w:r w:rsidR="00841F0F">
        <w:t xml:space="preserve">was sought to be </w:t>
      </w:r>
      <w:r w:rsidR="00E80E5C">
        <w:t xml:space="preserve">raised that </w:t>
      </w:r>
      <w:r w:rsidR="009E5320">
        <w:t xml:space="preserve">the </w:t>
      </w:r>
      <w:r w:rsidR="00E80E5C">
        <w:t>court “</w:t>
      </w:r>
      <w:r w:rsidR="00E80E5C" w:rsidRPr="00030234">
        <w:rPr>
          <w:i/>
          <w:iCs/>
        </w:rPr>
        <w:t xml:space="preserve">ought to find that it was an implied, alternatively tacit term of the settlement agreement that consent to the extension would not unreasonably be withheld by the </w:t>
      </w:r>
      <w:r w:rsidR="00B86684" w:rsidRPr="00030234">
        <w:rPr>
          <w:i/>
          <w:iCs/>
        </w:rPr>
        <w:t>[</w:t>
      </w:r>
      <w:r w:rsidR="00133791" w:rsidRPr="00030234">
        <w:rPr>
          <w:i/>
          <w:iCs/>
        </w:rPr>
        <w:t>applicant</w:t>
      </w:r>
      <w:r w:rsidR="00B86684" w:rsidRPr="00030234">
        <w:rPr>
          <w:i/>
          <w:iCs/>
        </w:rPr>
        <w:t>]</w:t>
      </w:r>
      <w:r w:rsidR="00E80E5C">
        <w:t xml:space="preserve">”. </w:t>
      </w:r>
      <w:r w:rsidR="009979BE">
        <w:t xml:space="preserve">There are </w:t>
      </w:r>
      <w:proofErr w:type="gramStart"/>
      <w:r w:rsidR="00B86684">
        <w:t>a number of</w:t>
      </w:r>
      <w:proofErr w:type="gramEnd"/>
      <w:r w:rsidR="00B86684">
        <w:t xml:space="preserve"> </w:t>
      </w:r>
      <w:r w:rsidR="009979BE">
        <w:t xml:space="preserve">reasons why I am not persuaded by this </w:t>
      </w:r>
      <w:r w:rsidR="009E5320">
        <w:t>contention</w:t>
      </w:r>
      <w:r w:rsidR="009979BE">
        <w:t>.</w:t>
      </w:r>
    </w:p>
    <w:p w14:paraId="4B093767" w14:textId="6E0792E8" w:rsidR="00E80E5C" w:rsidRDefault="00050A11" w:rsidP="00050A11">
      <w:pPr>
        <w:pStyle w:val="LC1"/>
        <w:numPr>
          <w:ilvl w:val="0"/>
          <w:numId w:val="0"/>
        </w:numPr>
        <w:ind w:left="644" w:hanging="720"/>
      </w:pPr>
      <w:r>
        <w:rPr>
          <w:rFonts w:cs="Arial"/>
          <w:szCs w:val="24"/>
        </w:rPr>
        <w:t>[22]</w:t>
      </w:r>
      <w:r>
        <w:rPr>
          <w:rFonts w:cs="Arial"/>
          <w:szCs w:val="24"/>
        </w:rPr>
        <w:tab/>
      </w:r>
      <w:r w:rsidR="009979BE">
        <w:t xml:space="preserve">In the first place, </w:t>
      </w:r>
      <w:r w:rsidR="003C7A31" w:rsidRPr="003C7A31">
        <w:t xml:space="preserve">one searches the answering affidavit </w:t>
      </w:r>
      <w:r w:rsidR="00C638ED">
        <w:t xml:space="preserve">(and </w:t>
      </w:r>
      <w:r w:rsidR="00C638ED" w:rsidRPr="00C638ED">
        <w:t xml:space="preserve">paragraphs 17 and 23ff of the answering affidavit, which are cited by the </w:t>
      </w:r>
      <w:r w:rsidR="00133791">
        <w:t>respondent</w:t>
      </w:r>
      <w:r w:rsidR="00C638ED" w:rsidRPr="00C638ED">
        <w:t>’s counsel as being the source of this defence</w:t>
      </w:r>
      <w:r w:rsidR="00C638ED">
        <w:t>)</w:t>
      </w:r>
      <w:r w:rsidR="00C638ED" w:rsidRPr="00C638ED">
        <w:t xml:space="preserve"> </w:t>
      </w:r>
      <w:r w:rsidR="003C7A31" w:rsidRPr="003C7A31">
        <w:t xml:space="preserve">in vain for any suggestion of </w:t>
      </w:r>
      <w:r w:rsidR="00BC5263">
        <w:t xml:space="preserve">a </w:t>
      </w:r>
      <w:r w:rsidR="00C638ED">
        <w:t xml:space="preserve">pleaded case </w:t>
      </w:r>
      <w:r w:rsidR="003C7A31" w:rsidRPr="003C7A31">
        <w:t xml:space="preserve">as to the existence of </w:t>
      </w:r>
      <w:r w:rsidR="00C638ED">
        <w:t xml:space="preserve">such a </w:t>
      </w:r>
      <w:r w:rsidR="003C7A31" w:rsidRPr="003C7A31">
        <w:t>term</w:t>
      </w:r>
      <w:r w:rsidR="003C7A31">
        <w:t xml:space="preserve">. </w:t>
      </w:r>
      <w:r w:rsidR="00BC5263">
        <w:t>Indeed, e</w:t>
      </w:r>
      <w:r w:rsidR="00336F16">
        <w:t xml:space="preserve">ven the heads of argument do not attempt to formulate the precise wording of the term sought to be </w:t>
      </w:r>
      <w:r w:rsidR="0057469B">
        <w:t>invoked</w:t>
      </w:r>
      <w:r w:rsidR="00336F16">
        <w:t xml:space="preserve">. </w:t>
      </w:r>
      <w:r w:rsidR="00C638ED">
        <w:t xml:space="preserve">This </w:t>
      </w:r>
      <w:r w:rsidR="009979BE">
        <w:t xml:space="preserve">failure to plead </w:t>
      </w:r>
      <w:r w:rsidR="00336F16">
        <w:t xml:space="preserve">and formulate </w:t>
      </w:r>
      <w:r w:rsidR="009979BE">
        <w:t xml:space="preserve">the implied or tacit term is fatal to the </w:t>
      </w:r>
      <w:r w:rsidR="00133791">
        <w:t>respondent</w:t>
      </w:r>
      <w:r w:rsidR="009979BE">
        <w:t>’s attempted reliance on this defence.</w:t>
      </w:r>
      <w:r w:rsidR="009979BE">
        <w:rPr>
          <w:rStyle w:val="FootnoteReference"/>
        </w:rPr>
        <w:footnoteReference w:id="15"/>
      </w:r>
    </w:p>
    <w:p w14:paraId="79D7C755" w14:textId="44363121" w:rsidR="00DB34A0" w:rsidRDefault="00050A11" w:rsidP="00050A11">
      <w:pPr>
        <w:pStyle w:val="LC1"/>
        <w:numPr>
          <w:ilvl w:val="0"/>
          <w:numId w:val="0"/>
        </w:numPr>
        <w:ind w:left="644" w:hanging="720"/>
      </w:pPr>
      <w:r>
        <w:rPr>
          <w:rFonts w:cs="Arial"/>
          <w:szCs w:val="24"/>
        </w:rPr>
        <w:t>[23]</w:t>
      </w:r>
      <w:r>
        <w:rPr>
          <w:rFonts w:cs="Arial"/>
          <w:szCs w:val="24"/>
        </w:rPr>
        <w:tab/>
      </w:r>
      <w:r w:rsidR="009857CC">
        <w:t>Secondly, a</w:t>
      </w:r>
      <w:r w:rsidR="006F408F">
        <w:t xml:space="preserve">n implied term </w:t>
      </w:r>
      <w:r w:rsidR="00CF648C">
        <w:t xml:space="preserve">is a </w:t>
      </w:r>
      <w:r w:rsidR="00CF648C" w:rsidRPr="00926D26">
        <w:t>“</w:t>
      </w:r>
      <w:r w:rsidR="00CF648C" w:rsidRPr="00DB34A0">
        <w:rPr>
          <w:i/>
          <w:iCs/>
        </w:rPr>
        <w:t>standardised [term] amounting to a rule of law which the Court will apply unless validly excluded by the contract itself</w:t>
      </w:r>
      <w:r w:rsidR="00CF648C" w:rsidRPr="00926D26">
        <w:t>”</w:t>
      </w:r>
      <w:r w:rsidR="00CF648C">
        <w:t>.</w:t>
      </w:r>
      <w:r w:rsidR="00CF648C" w:rsidRPr="00926D26">
        <w:rPr>
          <w:vertAlign w:val="superscript"/>
        </w:rPr>
        <w:footnoteReference w:id="16"/>
      </w:r>
      <w:r w:rsidR="00DB34A0">
        <w:t xml:space="preserve"> Although it is well-established that “</w:t>
      </w:r>
      <w:r w:rsidR="00DB34A0" w:rsidRPr="00B45D5B">
        <w:rPr>
          <w:i/>
          <w:iCs/>
        </w:rPr>
        <w:t xml:space="preserve">there is no </w:t>
      </w:r>
      <w:r w:rsidR="00DB34A0" w:rsidRPr="00F9003C">
        <w:t xml:space="preserve">numerus </w:t>
      </w:r>
      <w:proofErr w:type="spellStart"/>
      <w:r w:rsidR="00DB34A0" w:rsidRPr="00F9003C">
        <w:t>clausus</w:t>
      </w:r>
      <w:proofErr w:type="spellEnd"/>
      <w:r w:rsidR="00DB34A0" w:rsidRPr="00B45D5B">
        <w:rPr>
          <w:i/>
          <w:iCs/>
        </w:rPr>
        <w:t xml:space="preserve"> of implied terms and the courts have the inherent power to develop new implied terms”</w:t>
      </w:r>
      <w:r w:rsidR="00F9003C">
        <w:rPr>
          <w:i/>
          <w:iCs/>
        </w:rPr>
        <w:t>,</w:t>
      </w:r>
      <w:r w:rsidR="00DB34A0" w:rsidRPr="00B45D5B">
        <w:rPr>
          <w:i/>
          <w:iCs/>
        </w:rPr>
        <w:t xml:space="preserve"> and that “our courts’ approach in deciding whether a particular term should be implied provides an illustration of the creative and informative function performed by abstract values such as good faith and fairness in our law of contract</w:t>
      </w:r>
      <w:r w:rsidR="00DB34A0">
        <w:t xml:space="preserve">”, it </w:t>
      </w:r>
      <w:r w:rsidR="00B45D5B">
        <w:t xml:space="preserve">is salutary to </w:t>
      </w:r>
      <w:r w:rsidR="00F9003C">
        <w:t xml:space="preserve">observe </w:t>
      </w:r>
      <w:r w:rsidR="00DB34A0">
        <w:t>that “</w:t>
      </w:r>
      <w:r w:rsidR="00DB34A0">
        <w:rPr>
          <w:i/>
          <w:iCs/>
        </w:rPr>
        <w:t>[o]</w:t>
      </w:r>
      <w:proofErr w:type="spellStart"/>
      <w:r w:rsidR="00DB34A0" w:rsidRPr="00DB34A0">
        <w:rPr>
          <w:i/>
          <w:iCs/>
        </w:rPr>
        <w:t>nce</w:t>
      </w:r>
      <w:proofErr w:type="spellEnd"/>
      <w:r w:rsidR="00DB34A0" w:rsidRPr="00DB34A0">
        <w:rPr>
          <w:i/>
          <w:iCs/>
        </w:rPr>
        <w:t xml:space="preserve"> an implied term has been recognised</w:t>
      </w:r>
      <w:r w:rsidR="00DB34A0">
        <w:rPr>
          <w:i/>
          <w:iCs/>
        </w:rPr>
        <w:t xml:space="preserve"> … </w:t>
      </w:r>
      <w:r w:rsidR="00DB34A0" w:rsidRPr="00DB34A0">
        <w:rPr>
          <w:i/>
          <w:iCs/>
        </w:rPr>
        <w:t>it is incorporated into all contracts, if it is of general application, or into contracts of a specific class, unless it is specifically excluded by the parties</w:t>
      </w:r>
      <w:r w:rsidR="00DB34A0">
        <w:rPr>
          <w:i/>
          <w:iCs/>
        </w:rPr>
        <w:t>.</w:t>
      </w:r>
      <w:r w:rsidR="00DB34A0" w:rsidRPr="00DB34A0">
        <w:rPr>
          <w:i/>
          <w:iCs/>
        </w:rPr>
        <w:t xml:space="preserve"> It follows</w:t>
      </w:r>
      <w:r w:rsidR="00DB34A0">
        <w:rPr>
          <w:i/>
          <w:iCs/>
        </w:rPr>
        <w:t xml:space="preserve"> … </w:t>
      </w:r>
      <w:r w:rsidR="00DB34A0" w:rsidRPr="00DB34A0">
        <w:rPr>
          <w:i/>
          <w:iCs/>
        </w:rPr>
        <w:t xml:space="preserve">that a term cannot be implied merely because it is reasonable or to promote fairness and justice between the parties in a particular case. It can be implied only if it </w:t>
      </w:r>
      <w:proofErr w:type="gramStart"/>
      <w:r w:rsidR="00DB34A0" w:rsidRPr="00DB34A0">
        <w:rPr>
          <w:i/>
          <w:iCs/>
        </w:rPr>
        <w:t>is considered to be</w:t>
      </w:r>
      <w:proofErr w:type="gramEnd"/>
      <w:r w:rsidR="00DB34A0" w:rsidRPr="00DB34A0">
        <w:rPr>
          <w:i/>
          <w:iCs/>
        </w:rPr>
        <w:t xml:space="preserve"> good law in general. The </w:t>
      </w:r>
      <w:proofErr w:type="gramStart"/>
      <w:r w:rsidR="00DB34A0" w:rsidRPr="00DB34A0">
        <w:rPr>
          <w:i/>
          <w:iCs/>
        </w:rPr>
        <w:t>particular parties</w:t>
      </w:r>
      <w:proofErr w:type="gramEnd"/>
      <w:r w:rsidR="00DB34A0" w:rsidRPr="00DB34A0">
        <w:rPr>
          <w:i/>
          <w:iCs/>
        </w:rPr>
        <w:t xml:space="preserve"> and set of facts can </w:t>
      </w:r>
      <w:r w:rsidR="00DB34A0" w:rsidRPr="00DB34A0">
        <w:rPr>
          <w:i/>
          <w:iCs/>
        </w:rPr>
        <w:lastRenderedPageBreak/>
        <w:t>serve only as catalysts in the process of legal development.</w:t>
      </w:r>
      <w:r w:rsidR="00DB34A0" w:rsidRPr="00C60BE7">
        <w:t>”</w:t>
      </w:r>
      <w:r w:rsidR="00DB34A0">
        <w:rPr>
          <w:rStyle w:val="FootnoteReference"/>
        </w:rPr>
        <w:footnoteReference w:id="17"/>
      </w:r>
      <w:r w:rsidR="00DB34A0">
        <w:t xml:space="preserve"> </w:t>
      </w:r>
    </w:p>
    <w:p w14:paraId="5833E7BF" w14:textId="69DFA7D3" w:rsidR="00585F72" w:rsidRDefault="00050A11" w:rsidP="00050A11">
      <w:pPr>
        <w:pStyle w:val="LC1"/>
        <w:numPr>
          <w:ilvl w:val="0"/>
          <w:numId w:val="0"/>
        </w:numPr>
        <w:ind w:left="644" w:hanging="720"/>
      </w:pPr>
      <w:r>
        <w:rPr>
          <w:rFonts w:cs="Arial"/>
          <w:szCs w:val="24"/>
        </w:rPr>
        <w:t>[24]</w:t>
      </w:r>
      <w:r>
        <w:rPr>
          <w:rFonts w:cs="Arial"/>
          <w:szCs w:val="24"/>
        </w:rPr>
        <w:tab/>
      </w:r>
      <w:r w:rsidR="00585F72">
        <w:t xml:space="preserve">It is inconceivable to me </w:t>
      </w:r>
      <w:r w:rsidR="003B1D36">
        <w:t xml:space="preserve">that </w:t>
      </w:r>
      <w:r w:rsidR="00585F72">
        <w:t xml:space="preserve">the principle of good faith in contract or any of the values underlying our </w:t>
      </w:r>
      <w:r w:rsidR="00F9003C">
        <w:t>C</w:t>
      </w:r>
      <w:r w:rsidR="00585F72">
        <w:t xml:space="preserve">onstitution or any of the rights contained therein require that the common law must be developed so as to impose an </w:t>
      </w:r>
      <w:r w:rsidR="00585F72" w:rsidRPr="00585F72">
        <w:t xml:space="preserve">implied term </w:t>
      </w:r>
      <w:r w:rsidR="00585F72">
        <w:t xml:space="preserve">that creates </w:t>
      </w:r>
      <w:r w:rsidR="00585F72" w:rsidRPr="00585F72">
        <w:t xml:space="preserve">an overriding obligation on parties to agree to amend their contracts if it would be objectively reasonable to do so because the other party’s ability to perform </w:t>
      </w:r>
      <w:r w:rsidR="00585F72">
        <w:t xml:space="preserve">has been made more onerous (but not </w:t>
      </w:r>
      <w:r w:rsidR="000341CA">
        <w:t xml:space="preserve">objectively </w:t>
      </w:r>
      <w:r w:rsidR="00585F72">
        <w:t xml:space="preserve">impossible) </w:t>
      </w:r>
      <w:r w:rsidR="00585F72" w:rsidRPr="00585F72">
        <w:t xml:space="preserve">by </w:t>
      </w:r>
      <w:r w:rsidR="00585F72">
        <w:t>unforeseen circumstances beyond their control.</w:t>
      </w:r>
      <w:r w:rsidR="00585F72" w:rsidRPr="00585F72">
        <w:t xml:space="preserve"> </w:t>
      </w:r>
    </w:p>
    <w:p w14:paraId="12778533" w14:textId="7F909CE3" w:rsidR="0056624A" w:rsidRDefault="00050A11" w:rsidP="00050A11">
      <w:pPr>
        <w:pStyle w:val="LC1"/>
        <w:numPr>
          <w:ilvl w:val="0"/>
          <w:numId w:val="0"/>
        </w:numPr>
        <w:ind w:left="644" w:hanging="720"/>
      </w:pPr>
      <w:r>
        <w:rPr>
          <w:rFonts w:cs="Arial"/>
          <w:szCs w:val="24"/>
        </w:rPr>
        <w:t>[25]</w:t>
      </w:r>
      <w:r>
        <w:rPr>
          <w:rFonts w:cs="Arial"/>
          <w:szCs w:val="24"/>
        </w:rPr>
        <w:tab/>
      </w:r>
      <w:r w:rsidR="0074170E" w:rsidRPr="0074170E">
        <w:t>Apart from the difficulties attendant upon the formulation of the implied term contended for (how is it to be framed so as to be generalis</w:t>
      </w:r>
      <w:r w:rsidR="0074170E">
        <w:t>able</w:t>
      </w:r>
      <w:r w:rsidR="0074170E" w:rsidRPr="0074170E">
        <w:t xml:space="preserve"> to all contracts, and if it is not to apply to all contracts, how is the class of contracts to which it is to apply to be defined?)</w:t>
      </w:r>
      <w:r w:rsidR="0074170E">
        <w:t>, it seems to me that</w:t>
      </w:r>
      <w:r w:rsidR="00B23B1D">
        <w:t>,</w:t>
      </w:r>
      <w:r w:rsidR="0074170E">
        <w:t xml:space="preserve"> </w:t>
      </w:r>
      <w:r w:rsidR="0090064B">
        <w:t xml:space="preserve">in order to be of any </w:t>
      </w:r>
      <w:r w:rsidR="00B23B1D">
        <w:t xml:space="preserve">practical effect, </w:t>
      </w:r>
      <w:r w:rsidR="00B23B1D" w:rsidRPr="00B23B1D">
        <w:t xml:space="preserve">such a term would </w:t>
      </w:r>
      <w:r w:rsidR="0090064B">
        <w:t xml:space="preserve">have to </w:t>
      </w:r>
      <w:r w:rsidR="0074170E" w:rsidRPr="0074170E">
        <w:t xml:space="preserve">empower courts to rewrite </w:t>
      </w:r>
      <w:r w:rsidR="0090064B">
        <w:t xml:space="preserve">contracts </w:t>
      </w:r>
      <w:r w:rsidR="0074170E" w:rsidRPr="0074170E">
        <w:t xml:space="preserve">for parties who refuse to agree to amend them </w:t>
      </w:r>
      <w:r w:rsidR="0074170E">
        <w:t xml:space="preserve">should </w:t>
      </w:r>
      <w:r w:rsidR="0074170E" w:rsidRPr="0074170E">
        <w:t>the relevant cir</w:t>
      </w:r>
      <w:r w:rsidR="0074170E">
        <w:t>c</w:t>
      </w:r>
      <w:r w:rsidR="0074170E" w:rsidRPr="0074170E">
        <w:t>umstances</w:t>
      </w:r>
      <w:r w:rsidR="0074170E">
        <w:t xml:space="preserve"> arise</w:t>
      </w:r>
      <w:r w:rsidR="0056624A">
        <w:t>.</w:t>
      </w:r>
      <w:r w:rsidR="0056624A">
        <w:rPr>
          <w:rStyle w:val="FootnoteReference"/>
        </w:rPr>
        <w:t xml:space="preserve"> </w:t>
      </w:r>
      <w:r w:rsidR="0056624A">
        <w:t>Thi</w:t>
      </w:r>
      <w:r w:rsidR="0074170E" w:rsidRPr="0074170E">
        <w:t xml:space="preserve">s would </w:t>
      </w:r>
      <w:r w:rsidR="008C5408">
        <w:t xml:space="preserve">give rise to </w:t>
      </w:r>
      <w:r w:rsidR="0074170E" w:rsidRPr="0074170E">
        <w:t>intolerable levels of contractual uncertainty</w:t>
      </w:r>
      <w:r w:rsidR="005F4A0F">
        <w:t xml:space="preserve"> and indeterminacy</w:t>
      </w:r>
      <w:r w:rsidR="0090064B">
        <w:t>,</w:t>
      </w:r>
      <w:r w:rsidR="005F4A0F">
        <w:rPr>
          <w:rStyle w:val="FootnoteReference"/>
        </w:rPr>
        <w:footnoteReference w:id="18"/>
      </w:r>
      <w:r w:rsidR="0090064B">
        <w:t xml:space="preserve"> as </w:t>
      </w:r>
      <w:r w:rsidR="0074170E" w:rsidRPr="0074170E">
        <w:t xml:space="preserve">may be vividly demonstrated by asking the question in the current instance: what is the duration of the extension that the </w:t>
      </w:r>
      <w:r w:rsidR="00133791">
        <w:t>applicant</w:t>
      </w:r>
      <w:r w:rsidR="0074170E" w:rsidRPr="0074170E">
        <w:t xml:space="preserve"> should have granted when she was requested to do so?</w:t>
      </w:r>
      <w:r w:rsidR="0056624A">
        <w:t xml:space="preserve"> Attempting to answer this question </w:t>
      </w:r>
      <w:r w:rsidR="00F9003C">
        <w:t xml:space="preserve">evokes </w:t>
      </w:r>
      <w:r w:rsidR="0056624A">
        <w:t xml:space="preserve">the difficulties described by the Supreme Court of Appeal when contemplating a similar exercise in </w:t>
      </w:r>
      <w:proofErr w:type="spellStart"/>
      <w:r w:rsidR="0056624A" w:rsidRPr="0056624A">
        <w:rPr>
          <w:i/>
          <w:iCs/>
        </w:rPr>
        <w:t>Roazar</w:t>
      </w:r>
      <w:proofErr w:type="spellEnd"/>
      <w:r w:rsidR="00B45D5B">
        <w:rPr>
          <w:i/>
          <w:iCs/>
        </w:rPr>
        <w:t>.</w:t>
      </w:r>
      <w:r w:rsidR="0056624A">
        <w:rPr>
          <w:rStyle w:val="FootnoteReference"/>
        </w:rPr>
        <w:footnoteReference w:id="19"/>
      </w:r>
      <w:r w:rsidR="00B45D5B">
        <w:rPr>
          <w:i/>
          <w:iCs/>
        </w:rPr>
        <w:t xml:space="preserve"> </w:t>
      </w:r>
    </w:p>
    <w:p w14:paraId="2D6022EB" w14:textId="5A6F6C0A" w:rsidR="0021136D" w:rsidRDefault="00050A11" w:rsidP="00050A11">
      <w:pPr>
        <w:pStyle w:val="LC1"/>
        <w:numPr>
          <w:ilvl w:val="0"/>
          <w:numId w:val="0"/>
        </w:numPr>
        <w:ind w:left="644" w:hanging="720"/>
      </w:pPr>
      <w:r>
        <w:rPr>
          <w:rFonts w:cs="Arial"/>
          <w:szCs w:val="24"/>
        </w:rPr>
        <w:t>[26]</w:t>
      </w:r>
      <w:r>
        <w:rPr>
          <w:rFonts w:cs="Arial"/>
          <w:szCs w:val="24"/>
        </w:rPr>
        <w:tab/>
      </w:r>
      <w:r w:rsidR="0021136D">
        <w:t xml:space="preserve">Furthermore, it seems to me that the task of developing and formulating implied contractual terms in the form of rules of law that apply to all contracts (or even to a class of contracts) is one that is so fundamentally multi-dimensional (also </w:t>
      </w:r>
      <w:r w:rsidR="0021136D">
        <w:lastRenderedPageBreak/>
        <w:t xml:space="preserve">referred to as polycentric) as to render it </w:t>
      </w:r>
      <w:r w:rsidR="00C60BE7">
        <w:t xml:space="preserve">exceedingly difficult </w:t>
      </w:r>
      <w:r w:rsidR="0021136D">
        <w:t xml:space="preserve">for a court involved in the process of adversarial claim adjudication to undertake it with any hope of achieving an appropriate balance between all the potentially competing interests that will undoubtedly be affected. </w:t>
      </w:r>
      <w:r w:rsidR="00C60BE7">
        <w:t>That difficulty becomes a virtual impossibility in circumstances where the issue is not pleaded, and the court has not had the benefit of comprehensive argument on the matter. As such, I do not consider that this is an appropriate case to determine whether an implied term such as that advanced by the respondent should be imported into the law of contract</w:t>
      </w:r>
      <w:r w:rsidR="00B45D5B">
        <w:t xml:space="preserve"> and I decline to do so.</w:t>
      </w:r>
      <w:r w:rsidR="00C60BE7">
        <w:rPr>
          <w:rStyle w:val="FootnoteReference"/>
        </w:rPr>
        <w:footnoteReference w:id="20"/>
      </w:r>
    </w:p>
    <w:p w14:paraId="0E09AA48" w14:textId="5B72B3FA" w:rsidR="006F408F" w:rsidRDefault="00050A11" w:rsidP="00050A11">
      <w:pPr>
        <w:pStyle w:val="LC1"/>
        <w:numPr>
          <w:ilvl w:val="0"/>
          <w:numId w:val="0"/>
        </w:numPr>
        <w:ind w:left="644" w:hanging="720"/>
      </w:pPr>
      <w:r>
        <w:rPr>
          <w:rFonts w:cs="Arial"/>
          <w:szCs w:val="24"/>
        </w:rPr>
        <w:t>[27]</w:t>
      </w:r>
      <w:r>
        <w:rPr>
          <w:rFonts w:cs="Arial"/>
          <w:szCs w:val="24"/>
        </w:rPr>
        <w:tab/>
      </w:r>
      <w:r w:rsidR="009857CC">
        <w:t>Thirdly, a</w:t>
      </w:r>
      <w:r w:rsidR="00B45D5B">
        <w:t xml:space="preserve"> </w:t>
      </w:r>
      <w:r w:rsidR="006F408F">
        <w:t xml:space="preserve">tacit term </w:t>
      </w:r>
      <w:r w:rsidR="00B45D5B">
        <w:t xml:space="preserve">is </w:t>
      </w:r>
      <w:r w:rsidR="006F408F">
        <w:t>“</w:t>
      </w:r>
      <w:r w:rsidR="006F408F" w:rsidRPr="008C5408">
        <w:rPr>
          <w:i/>
          <w:iCs/>
        </w:rPr>
        <w:t>an unexpressed provision of the contract which derives from the common intention of the parties, as inferred by the Court from the express terms of the contract and the surrounding circumstances</w:t>
      </w:r>
      <w:r w:rsidR="006F408F">
        <w:t>”.</w:t>
      </w:r>
      <w:r w:rsidR="006F408F">
        <w:rPr>
          <w:rStyle w:val="FootnoteReference"/>
        </w:rPr>
        <w:footnoteReference w:id="21"/>
      </w:r>
      <w:r w:rsidR="006F408F">
        <w:t xml:space="preserve"> </w:t>
      </w:r>
    </w:p>
    <w:p w14:paraId="367F3150" w14:textId="75F88E29" w:rsidR="00030234" w:rsidRDefault="00050A11" w:rsidP="00050A11">
      <w:pPr>
        <w:pStyle w:val="LC1"/>
        <w:numPr>
          <w:ilvl w:val="0"/>
          <w:numId w:val="0"/>
        </w:numPr>
        <w:ind w:left="644" w:hanging="720"/>
      </w:pPr>
      <w:r>
        <w:rPr>
          <w:rFonts w:cs="Arial"/>
          <w:szCs w:val="24"/>
        </w:rPr>
        <w:t>[28]</w:t>
      </w:r>
      <w:r>
        <w:rPr>
          <w:rFonts w:cs="Arial"/>
          <w:szCs w:val="24"/>
        </w:rPr>
        <w:tab/>
      </w:r>
      <w:r w:rsidR="009979BE">
        <w:t xml:space="preserve">I do not accept that the tacit term contended for </w:t>
      </w:r>
      <w:r w:rsidR="00030234">
        <w:t xml:space="preserve">in this case </w:t>
      </w:r>
      <w:r w:rsidR="009979BE">
        <w:t xml:space="preserve">meets the </w:t>
      </w:r>
      <w:r w:rsidR="009857CC">
        <w:t xml:space="preserve">established </w:t>
      </w:r>
      <w:r w:rsidR="00392682">
        <w:t xml:space="preserve">bystander </w:t>
      </w:r>
      <w:r w:rsidR="009979BE">
        <w:t>test</w:t>
      </w:r>
      <w:r w:rsidR="009857CC">
        <w:t>.</w:t>
      </w:r>
      <w:r w:rsidR="00392682">
        <w:rPr>
          <w:rStyle w:val="FootnoteReference"/>
        </w:rPr>
        <w:t xml:space="preserve"> </w:t>
      </w:r>
      <w:r w:rsidR="009857CC">
        <w:t xml:space="preserve">In </w:t>
      </w:r>
      <w:r w:rsidR="009979BE">
        <w:t>particular</w:t>
      </w:r>
      <w:r w:rsidR="00392682">
        <w:t>,</w:t>
      </w:r>
      <w:r w:rsidR="009979BE">
        <w:t xml:space="preserve"> </w:t>
      </w:r>
      <w:r w:rsidR="009857CC">
        <w:t xml:space="preserve">I </w:t>
      </w:r>
      <w:r w:rsidR="00392682">
        <w:t>am not “</w:t>
      </w:r>
      <w:r w:rsidR="00392682" w:rsidRPr="00392682">
        <w:rPr>
          <w:i/>
          <w:iCs/>
        </w:rPr>
        <w:t xml:space="preserve">satisfied upon a consideration in a reasonable and </w:t>
      </w:r>
      <w:proofErr w:type="spellStart"/>
      <w:r w:rsidR="00392682" w:rsidRPr="00392682">
        <w:rPr>
          <w:i/>
          <w:iCs/>
        </w:rPr>
        <w:t>businesslike</w:t>
      </w:r>
      <w:proofErr w:type="spellEnd"/>
      <w:r w:rsidR="00392682" w:rsidRPr="00392682">
        <w:rPr>
          <w:i/>
          <w:iCs/>
        </w:rPr>
        <w:t xml:space="preserve"> manner of the terms of the contract and the admissible evidence of surrounding circumstances, that an implication necessarily arises that the parties intended to contract on the basis of the suggested term</w:t>
      </w:r>
      <w:r w:rsidR="00392682">
        <w:t>”.</w:t>
      </w:r>
      <w:r w:rsidR="00392682">
        <w:rPr>
          <w:rStyle w:val="FootnoteReference"/>
        </w:rPr>
        <w:footnoteReference w:id="22"/>
      </w:r>
      <w:r w:rsidR="00392682">
        <w:t xml:space="preserve">  </w:t>
      </w:r>
      <w:r w:rsidR="009857CC">
        <w:t>As I have noted above, the construction of the settlement agreement contended for by the applicant</w:t>
      </w:r>
      <w:r w:rsidR="00030234">
        <w:t xml:space="preserve"> is a </w:t>
      </w:r>
      <w:r w:rsidR="00392682">
        <w:t>“</w:t>
      </w:r>
      <w:r w:rsidR="00392682" w:rsidRPr="003479A2">
        <w:rPr>
          <w:i/>
          <w:iCs/>
        </w:rPr>
        <w:t>fully functional</w:t>
      </w:r>
      <w:r w:rsidR="00392682">
        <w:t>”</w:t>
      </w:r>
      <w:r w:rsidR="00392682">
        <w:rPr>
          <w:rStyle w:val="FootnoteReference"/>
        </w:rPr>
        <w:footnoteReference w:id="23"/>
      </w:r>
      <w:r w:rsidR="00392682">
        <w:t xml:space="preserve"> </w:t>
      </w:r>
      <w:r w:rsidR="00030234">
        <w:t xml:space="preserve">one and </w:t>
      </w:r>
      <w:r w:rsidR="003479A2">
        <w:t xml:space="preserve">it can thus not be said that it was </w:t>
      </w:r>
      <w:r w:rsidR="00030234">
        <w:t>necess</w:t>
      </w:r>
      <w:r w:rsidR="003479A2">
        <w:t>ary</w:t>
      </w:r>
      <w:r w:rsidR="00030234">
        <w:t xml:space="preserve"> to include the tacit term contended for, </w:t>
      </w:r>
      <w:r w:rsidR="00D53CE3">
        <w:t xml:space="preserve">no matter how </w:t>
      </w:r>
      <w:r w:rsidR="00030234">
        <w:t>“</w:t>
      </w:r>
      <w:r w:rsidR="00030234" w:rsidRPr="00392682">
        <w:rPr>
          <w:i/>
        </w:rPr>
        <w:t>wise</w:t>
      </w:r>
      <w:r w:rsidR="00030234">
        <w:t>”, “</w:t>
      </w:r>
      <w:r w:rsidR="00030234" w:rsidRPr="00392682">
        <w:rPr>
          <w:i/>
        </w:rPr>
        <w:t>reasonable</w:t>
      </w:r>
      <w:r w:rsidR="00030234">
        <w:t>”</w:t>
      </w:r>
      <w:r w:rsidR="00D53CE3">
        <w:t xml:space="preserve">, </w:t>
      </w:r>
      <w:r w:rsidR="00030234">
        <w:t>“</w:t>
      </w:r>
      <w:r w:rsidR="00030234" w:rsidRPr="00392682">
        <w:rPr>
          <w:i/>
        </w:rPr>
        <w:t>desirable</w:t>
      </w:r>
      <w:r w:rsidR="00030234">
        <w:t xml:space="preserve">” </w:t>
      </w:r>
      <w:r w:rsidR="00D53CE3">
        <w:t>or “</w:t>
      </w:r>
      <w:r w:rsidR="00D53CE3" w:rsidRPr="00D53CE3">
        <w:rPr>
          <w:i/>
          <w:iCs/>
        </w:rPr>
        <w:t>equitable</w:t>
      </w:r>
      <w:r w:rsidR="00D53CE3">
        <w:t xml:space="preserve">” </w:t>
      </w:r>
      <w:r w:rsidR="00030234">
        <w:t>it may have been to do so.</w:t>
      </w:r>
      <w:r w:rsidR="00030234">
        <w:rPr>
          <w:rStyle w:val="FootnoteReference"/>
        </w:rPr>
        <w:footnoteReference w:id="24"/>
      </w:r>
      <w:r w:rsidR="003479A2">
        <w:t xml:space="preserve"> Furthermore, as I have also noted above, “</w:t>
      </w:r>
      <w:r w:rsidR="003479A2" w:rsidRPr="003479A2">
        <w:rPr>
          <w:i/>
          <w:iCs/>
        </w:rPr>
        <w:t>… there is difficulty and doubt as to what the term should be or how far it should be taken</w:t>
      </w:r>
      <w:r w:rsidR="003479A2">
        <w:t>”, which militates against its importation.</w:t>
      </w:r>
      <w:r w:rsidR="003479A2">
        <w:rPr>
          <w:rStyle w:val="FootnoteReference"/>
        </w:rPr>
        <w:footnoteReference w:id="25"/>
      </w:r>
      <w:r w:rsidR="003479A2">
        <w:t xml:space="preserve"> </w:t>
      </w:r>
    </w:p>
    <w:p w14:paraId="10FD374C" w14:textId="507D6781" w:rsidR="003479A2" w:rsidRDefault="00050A11" w:rsidP="00050A11">
      <w:pPr>
        <w:pStyle w:val="LC1"/>
        <w:numPr>
          <w:ilvl w:val="0"/>
          <w:numId w:val="0"/>
        </w:numPr>
        <w:ind w:left="644" w:hanging="720"/>
      </w:pPr>
      <w:r>
        <w:rPr>
          <w:rFonts w:cs="Arial"/>
          <w:szCs w:val="24"/>
        </w:rPr>
        <w:t>[29]</w:t>
      </w:r>
      <w:r>
        <w:rPr>
          <w:rFonts w:cs="Arial"/>
          <w:szCs w:val="24"/>
        </w:rPr>
        <w:tab/>
      </w:r>
      <w:r w:rsidR="00BC5263">
        <w:t xml:space="preserve">Finally, </w:t>
      </w:r>
      <w:r w:rsidR="003479A2">
        <w:t>no reason</w:t>
      </w:r>
      <w:r w:rsidR="00D53CE3">
        <w:t>s</w:t>
      </w:r>
      <w:r w:rsidR="003479A2">
        <w:t xml:space="preserve"> </w:t>
      </w:r>
      <w:r w:rsidR="00D53CE3">
        <w:t xml:space="preserve">have been advanced (and I cannot conceive of any), how </w:t>
      </w:r>
      <w:r w:rsidR="00D53CE3">
        <w:lastRenderedPageBreak/>
        <w:t xml:space="preserve">and </w:t>
      </w:r>
      <w:r w:rsidR="003479A2">
        <w:t xml:space="preserve">why the established rules </w:t>
      </w:r>
      <w:r w:rsidR="00074CFD">
        <w:t xml:space="preserve">regarding tacit terms </w:t>
      </w:r>
      <w:r w:rsidR="003479A2">
        <w:t xml:space="preserve">require adjustment </w:t>
      </w:r>
      <w:proofErr w:type="gramStart"/>
      <w:r w:rsidR="003479A2">
        <w:t>on the basis of</w:t>
      </w:r>
      <w:proofErr w:type="gramEnd"/>
      <w:r w:rsidR="003479A2">
        <w:t xml:space="preserve"> Constitutional values or </w:t>
      </w:r>
      <w:r w:rsidR="00D53CE3">
        <w:t>the principle of good faith in contract.</w:t>
      </w:r>
    </w:p>
    <w:p w14:paraId="156B2548" w14:textId="19A37F7E" w:rsidR="002E4D46" w:rsidRPr="005E5030" w:rsidRDefault="005E5030" w:rsidP="005E5030">
      <w:pPr>
        <w:pStyle w:val="LC1"/>
        <w:keepNext/>
        <w:numPr>
          <w:ilvl w:val="0"/>
          <w:numId w:val="0"/>
        </w:numPr>
        <w:rPr>
          <w:u w:val="single"/>
        </w:rPr>
      </w:pPr>
      <w:r w:rsidRPr="005E5030">
        <w:rPr>
          <w:u w:val="single"/>
        </w:rPr>
        <w:t xml:space="preserve">Did the </w:t>
      </w:r>
      <w:r w:rsidR="00133791">
        <w:rPr>
          <w:u w:val="single"/>
        </w:rPr>
        <w:t>applicant</w:t>
      </w:r>
      <w:r w:rsidRPr="005E5030">
        <w:rPr>
          <w:u w:val="single"/>
        </w:rPr>
        <w:t xml:space="preserve"> unreasonably refuse to agree to the extension?</w:t>
      </w:r>
    </w:p>
    <w:p w14:paraId="3F56160A" w14:textId="410DFBB0" w:rsidR="00EC31B2" w:rsidRDefault="00050A11" w:rsidP="00050A11">
      <w:pPr>
        <w:pStyle w:val="LC1"/>
        <w:numPr>
          <w:ilvl w:val="0"/>
          <w:numId w:val="0"/>
        </w:numPr>
        <w:ind w:left="644" w:hanging="720"/>
      </w:pPr>
      <w:r>
        <w:rPr>
          <w:rFonts w:cs="Arial"/>
          <w:szCs w:val="24"/>
        </w:rPr>
        <w:t>[30]</w:t>
      </w:r>
      <w:r>
        <w:rPr>
          <w:rFonts w:cs="Arial"/>
          <w:szCs w:val="24"/>
        </w:rPr>
        <w:tab/>
      </w:r>
      <w:r w:rsidR="00BC5263">
        <w:t>In any event, n</w:t>
      </w:r>
      <w:r w:rsidR="00D53CE3">
        <w:t xml:space="preserve">otwithstanding the </w:t>
      </w:r>
      <w:r w:rsidR="00DE1F86">
        <w:t xml:space="preserve">conclusions reached above, </w:t>
      </w:r>
      <w:r w:rsidR="00BC5263">
        <w:t xml:space="preserve">even </w:t>
      </w:r>
      <w:r w:rsidR="00A36857">
        <w:t xml:space="preserve">assuming </w:t>
      </w:r>
      <w:r w:rsidR="00A36857" w:rsidRPr="00A36857">
        <w:t>the interpretation contended for</w:t>
      </w:r>
      <w:r w:rsidR="00B45D5B">
        <w:t xml:space="preserve"> by the respondent</w:t>
      </w:r>
      <w:r w:rsidR="00D53CE3">
        <w:t xml:space="preserve"> is correct</w:t>
      </w:r>
      <w:r w:rsidR="00A36857">
        <w:t>, or that a</w:t>
      </w:r>
      <w:r w:rsidR="004D7D98">
        <w:t>n implied or</w:t>
      </w:r>
      <w:r w:rsidR="00A36857">
        <w:t xml:space="preserve"> tacit term to </w:t>
      </w:r>
      <w:r w:rsidR="00020CB0">
        <w:t xml:space="preserve">the </w:t>
      </w:r>
      <w:r w:rsidR="00A36857">
        <w:t>effect</w:t>
      </w:r>
      <w:r w:rsidR="00DE1F86">
        <w:t xml:space="preserve"> contended for</w:t>
      </w:r>
      <w:r w:rsidR="004D7D98">
        <w:t xml:space="preserve"> may be imported into the </w:t>
      </w:r>
      <w:r w:rsidR="00D53CE3">
        <w:t xml:space="preserve">settlement </w:t>
      </w:r>
      <w:r w:rsidR="004D7D98">
        <w:t>agreement</w:t>
      </w:r>
      <w:r w:rsidR="00A36857">
        <w:t xml:space="preserve">, I do not agree </w:t>
      </w:r>
      <w:r w:rsidR="00DE1F86">
        <w:t xml:space="preserve">that </w:t>
      </w:r>
      <w:r w:rsidR="00530650">
        <w:t xml:space="preserve">the allegations in the answering affidavit establish that the delay in the payment of the settlement amount </w:t>
      </w:r>
      <w:r w:rsidR="00DE1F86">
        <w:t xml:space="preserve">after 31 May 2021 </w:t>
      </w:r>
      <w:r w:rsidR="00530650">
        <w:t xml:space="preserve">was both </w:t>
      </w:r>
      <w:r w:rsidR="00DE1F86">
        <w:t>“</w:t>
      </w:r>
      <w:r w:rsidR="00530650" w:rsidRPr="00DE1F86">
        <w:rPr>
          <w:i/>
          <w:iCs/>
        </w:rPr>
        <w:t>unforeseen and valid</w:t>
      </w:r>
      <w:r w:rsidR="00DE1F86">
        <w:t>”</w:t>
      </w:r>
      <w:r w:rsidR="00530650">
        <w:t xml:space="preserve"> as </w:t>
      </w:r>
      <w:r w:rsidR="00020CB0">
        <w:t xml:space="preserve">required </w:t>
      </w:r>
      <w:r w:rsidR="00DE1F86">
        <w:t xml:space="preserve">by </w:t>
      </w:r>
      <w:r w:rsidR="00530650">
        <w:t>clause 2</w:t>
      </w:r>
      <w:r w:rsidR="00EC31B2">
        <w:t xml:space="preserve">, let alone that the </w:t>
      </w:r>
      <w:r w:rsidR="00133791">
        <w:t>applicant</w:t>
      </w:r>
      <w:r w:rsidR="00EC31B2">
        <w:t xml:space="preserve">’s </w:t>
      </w:r>
      <w:r w:rsidR="00FD6D25">
        <w:t>refusal to agree to an extension was unreasonable.</w:t>
      </w:r>
      <w:r w:rsidR="00530650">
        <w:t xml:space="preserve"> </w:t>
      </w:r>
      <w:r w:rsidR="004D7D98">
        <w:t>This is for the following reasons.</w:t>
      </w:r>
    </w:p>
    <w:p w14:paraId="4CDDBB48" w14:textId="17194F90" w:rsidR="00841F0F" w:rsidRDefault="00050A11" w:rsidP="00050A11">
      <w:pPr>
        <w:pStyle w:val="LC1"/>
        <w:numPr>
          <w:ilvl w:val="0"/>
          <w:numId w:val="0"/>
        </w:numPr>
        <w:ind w:left="644" w:hanging="720"/>
      </w:pPr>
      <w:r>
        <w:rPr>
          <w:rFonts w:cs="Arial"/>
          <w:szCs w:val="24"/>
        </w:rPr>
        <w:t>[31]</w:t>
      </w:r>
      <w:r>
        <w:rPr>
          <w:rFonts w:cs="Arial"/>
          <w:szCs w:val="24"/>
        </w:rPr>
        <w:tab/>
      </w:r>
      <w:r w:rsidR="00530650">
        <w:t xml:space="preserve">All that the </w:t>
      </w:r>
      <w:r w:rsidR="00133791">
        <w:t>respondent</w:t>
      </w:r>
      <w:r w:rsidR="00530650">
        <w:t xml:space="preserve"> alleges is that </w:t>
      </w:r>
      <w:r w:rsidR="00EC31B2">
        <w:t>“</w:t>
      </w:r>
      <w:r w:rsidR="00EC31B2" w:rsidRPr="00EC31B2">
        <w:rPr>
          <w:i/>
          <w:iCs/>
        </w:rPr>
        <w:t>the first delay which had occurred was as a result of the South African Revenue Services requesting further supporting documents prior to their issuing a Transfer Duty Receipt and a second delay was caused by the fact that the Deeds Office Pretoria was closed due to the Covid-19 pandemic and registrations would take a further 30 days to be effected</w:t>
      </w:r>
      <w:r w:rsidR="00EC31B2">
        <w:t>”</w:t>
      </w:r>
      <w:r w:rsidR="00EC31B2" w:rsidRPr="00EC31B2">
        <w:t xml:space="preserve">. </w:t>
      </w:r>
      <w:r w:rsidR="005C44C8">
        <w:t xml:space="preserve">These reasons for the delay are advanced </w:t>
      </w:r>
      <w:r w:rsidR="00EC31B2">
        <w:t xml:space="preserve">without any context </w:t>
      </w:r>
      <w:r w:rsidR="005C44C8">
        <w:t xml:space="preserve">demonstrating that they </w:t>
      </w:r>
      <w:r w:rsidR="00EC31B2">
        <w:t>were truly unforeseen</w:t>
      </w:r>
      <w:r w:rsidR="00020CB0">
        <w:t xml:space="preserve">, </w:t>
      </w:r>
      <w:r w:rsidR="005C44C8">
        <w:t xml:space="preserve">that </w:t>
      </w:r>
      <w:r w:rsidR="00EC31B2">
        <w:t xml:space="preserve">they were </w:t>
      </w:r>
      <w:r w:rsidR="00020CB0">
        <w:t xml:space="preserve">truly </w:t>
      </w:r>
      <w:r w:rsidR="00EC31B2" w:rsidRPr="00EC31B2">
        <w:t xml:space="preserve">beyond the control of the </w:t>
      </w:r>
      <w:r w:rsidR="00133791">
        <w:t>respondent</w:t>
      </w:r>
      <w:r w:rsidR="00EC31B2">
        <w:t xml:space="preserve"> </w:t>
      </w:r>
      <w:r w:rsidR="00EC31B2" w:rsidRPr="00EC31B2">
        <w:t>or his attorney</w:t>
      </w:r>
      <w:r w:rsidR="00EC31B2">
        <w:t>s</w:t>
      </w:r>
      <w:r w:rsidR="005231BF">
        <w:t xml:space="preserve">, </w:t>
      </w:r>
      <w:r w:rsidR="005C44C8">
        <w:t xml:space="preserve">that the applicant </w:t>
      </w:r>
      <w:r w:rsidR="00EC31B2">
        <w:t xml:space="preserve">should reasonably </w:t>
      </w:r>
      <w:r w:rsidR="005C44C8">
        <w:t xml:space="preserve">have </w:t>
      </w:r>
      <w:r w:rsidR="00EC31B2">
        <w:t>agree</w:t>
      </w:r>
      <w:r w:rsidR="005C44C8">
        <w:t>d</w:t>
      </w:r>
      <w:r w:rsidR="00EC31B2">
        <w:t xml:space="preserve"> to the extension</w:t>
      </w:r>
      <w:r w:rsidR="00BA341A">
        <w:t xml:space="preserve"> and if so, until when</w:t>
      </w:r>
      <w:r w:rsidR="00EC31B2">
        <w:t xml:space="preserve">. </w:t>
      </w:r>
    </w:p>
    <w:p w14:paraId="7488D06D" w14:textId="70C3802E" w:rsidR="00EC31B2" w:rsidRDefault="00050A11" w:rsidP="00050A11">
      <w:pPr>
        <w:pStyle w:val="LC1"/>
        <w:numPr>
          <w:ilvl w:val="0"/>
          <w:numId w:val="0"/>
        </w:numPr>
        <w:ind w:left="644" w:hanging="720"/>
      </w:pPr>
      <w:r>
        <w:rPr>
          <w:rFonts w:cs="Arial"/>
          <w:szCs w:val="24"/>
        </w:rPr>
        <w:t>[32]</w:t>
      </w:r>
      <w:r>
        <w:rPr>
          <w:rFonts w:cs="Arial"/>
          <w:szCs w:val="24"/>
        </w:rPr>
        <w:tab/>
      </w:r>
      <w:r w:rsidR="005231BF">
        <w:t>For example, n</w:t>
      </w:r>
      <w:r w:rsidR="00EC31B2">
        <w:t xml:space="preserve">o information </w:t>
      </w:r>
      <w:r w:rsidR="005C44C8">
        <w:t xml:space="preserve">is </w:t>
      </w:r>
      <w:r w:rsidR="00EC31B2">
        <w:t xml:space="preserve">furnished with regard to the date upon which </w:t>
      </w:r>
      <w:r w:rsidR="00EC31B2" w:rsidRPr="00EC31B2">
        <w:t xml:space="preserve">the </w:t>
      </w:r>
      <w:r w:rsidR="00133791">
        <w:t>respondent</w:t>
      </w:r>
      <w:r w:rsidR="00EC31B2">
        <w:t xml:space="preserve">’s attorneys </w:t>
      </w:r>
      <w:r w:rsidR="005231BF">
        <w:t xml:space="preserve">had </w:t>
      </w:r>
      <w:r w:rsidR="00EC31B2">
        <w:t xml:space="preserve">commenced the </w:t>
      </w:r>
      <w:r w:rsidR="00EC31B2" w:rsidRPr="00EC31B2">
        <w:t>transfer process</w:t>
      </w:r>
      <w:r w:rsidR="005231BF">
        <w:t xml:space="preserve"> following the conclusion of the sale agreement on 11 December 2020</w:t>
      </w:r>
      <w:r w:rsidR="00DE1F86">
        <w:t>,</w:t>
      </w:r>
      <w:r w:rsidR="00EC31B2">
        <w:t xml:space="preserve"> what steps </w:t>
      </w:r>
      <w:r w:rsidR="005C44C8">
        <w:t xml:space="preserve">(other than making payment of the transfer duty on 22 April 2021) </w:t>
      </w:r>
      <w:r w:rsidR="00EC31B2">
        <w:t>they had taken to advance it</w:t>
      </w:r>
      <w:r w:rsidR="005C44C8">
        <w:t>,</w:t>
      </w:r>
      <w:r w:rsidR="00EC31B2">
        <w:t xml:space="preserve"> </w:t>
      </w:r>
      <w:r w:rsidR="005231BF">
        <w:t xml:space="preserve">including </w:t>
      </w:r>
      <w:r w:rsidR="00EC31B2">
        <w:t>what steps they had taken</w:t>
      </w:r>
      <w:r w:rsidR="00DE1F86">
        <w:t xml:space="preserve"> (</w:t>
      </w:r>
      <w:r w:rsidR="00EC31B2">
        <w:t>and when</w:t>
      </w:r>
      <w:r w:rsidR="00DE1F86">
        <w:t>)</w:t>
      </w:r>
      <w:r w:rsidR="00EC31B2">
        <w:t xml:space="preserve"> to ensure that all the required supporting documentation had been submitted to SARS</w:t>
      </w:r>
      <w:r w:rsidR="00020CB0">
        <w:t xml:space="preserve"> for the purposes of obtaining a transfer duty receipt.</w:t>
      </w:r>
      <w:r w:rsidR="00BA341A">
        <w:t xml:space="preserve"> </w:t>
      </w:r>
      <w:r w:rsidR="00DE1F86">
        <w:t>In addition, n</w:t>
      </w:r>
      <w:r w:rsidR="00BA341A">
        <w:t xml:space="preserve">o information is </w:t>
      </w:r>
      <w:r w:rsidR="005C44C8">
        <w:t xml:space="preserve">furnished </w:t>
      </w:r>
      <w:r w:rsidR="00DE1F86">
        <w:t xml:space="preserve">to demonstrate that </w:t>
      </w:r>
      <w:r w:rsidR="00BA341A">
        <w:t xml:space="preserve">it </w:t>
      </w:r>
      <w:r w:rsidR="005231BF">
        <w:t xml:space="preserve">could not be foreseen </w:t>
      </w:r>
      <w:r w:rsidR="00BA341A">
        <w:t xml:space="preserve">as </w:t>
      </w:r>
      <w:r w:rsidR="005231BF">
        <w:t xml:space="preserve">of </w:t>
      </w:r>
      <w:r w:rsidR="00BA341A">
        <w:t>9 April 2021 (</w:t>
      </w:r>
      <w:proofErr w:type="gramStart"/>
      <w:r w:rsidR="00BA341A">
        <w:t>i.e.</w:t>
      </w:r>
      <w:proofErr w:type="gramEnd"/>
      <w:r w:rsidR="00BA341A">
        <w:t xml:space="preserve"> the date of the settlement agreement) that transfer </w:t>
      </w:r>
      <w:r w:rsidR="005231BF">
        <w:t xml:space="preserve">would not </w:t>
      </w:r>
      <w:r w:rsidR="00BA341A">
        <w:t xml:space="preserve">be registered by the </w:t>
      </w:r>
      <w:r w:rsidR="00DE1F86">
        <w:t>Pretoria D</w:t>
      </w:r>
      <w:r w:rsidR="00BA341A">
        <w:t xml:space="preserve">eeds </w:t>
      </w:r>
      <w:r w:rsidR="00DE1F86">
        <w:t>O</w:t>
      </w:r>
      <w:r w:rsidR="00BA341A">
        <w:t xml:space="preserve">ffice by 31 May 2021 </w:t>
      </w:r>
      <w:r w:rsidR="005C44C8">
        <w:t xml:space="preserve">in circumstances where </w:t>
      </w:r>
      <w:r w:rsidR="00BA341A">
        <w:t xml:space="preserve">the transfer duty </w:t>
      </w:r>
      <w:r w:rsidR="005231BF">
        <w:t>had not yet been paid</w:t>
      </w:r>
      <w:r w:rsidR="00BC5263">
        <w:t xml:space="preserve"> – </w:t>
      </w:r>
      <w:r w:rsidR="005231BF">
        <w:t>and</w:t>
      </w:r>
      <w:r w:rsidR="00BC5263">
        <w:t xml:space="preserve"> </w:t>
      </w:r>
      <w:r w:rsidR="005231BF">
        <w:t xml:space="preserve">would only be </w:t>
      </w:r>
      <w:r w:rsidR="00BA341A">
        <w:t xml:space="preserve">paid on 22 April 2021. </w:t>
      </w:r>
      <w:r w:rsidR="00020CB0">
        <w:t xml:space="preserve">Furthermore, </w:t>
      </w:r>
      <w:r w:rsidR="00BA341A">
        <w:t xml:space="preserve">it seems to me to be questionable whether </w:t>
      </w:r>
      <w:r w:rsidR="00020CB0">
        <w:t>the closure of the Deeds Office due to Covid-</w:t>
      </w:r>
      <w:r w:rsidR="00020CB0">
        <w:lastRenderedPageBreak/>
        <w:t xml:space="preserve">19 </w:t>
      </w:r>
      <w:r w:rsidR="005231BF">
        <w:t xml:space="preserve">(which </w:t>
      </w:r>
      <w:r w:rsidR="00BA341A">
        <w:t>seems</w:t>
      </w:r>
      <w:r w:rsidR="005231BF">
        <w:t xml:space="preserve">, </w:t>
      </w:r>
      <w:r w:rsidR="00BA341A">
        <w:t>from the correspondence attached to the affidavit</w:t>
      </w:r>
      <w:r w:rsidR="005231BF">
        <w:t>,</w:t>
      </w:r>
      <w:r w:rsidR="00BA341A">
        <w:t xml:space="preserve"> to have </w:t>
      </w:r>
      <w:r w:rsidR="00020CB0">
        <w:t xml:space="preserve">occurred on </w:t>
      </w:r>
      <w:r w:rsidR="00BA341A">
        <w:t>about 30 June 2021</w:t>
      </w:r>
      <w:r w:rsidR="005231BF">
        <w:t>)</w:t>
      </w:r>
      <w:r w:rsidR="00BA341A">
        <w:t xml:space="preserve"> was </w:t>
      </w:r>
      <w:r w:rsidR="005231BF">
        <w:t xml:space="preserve">a </w:t>
      </w:r>
      <w:r w:rsidR="00BA341A">
        <w:t xml:space="preserve">truly </w:t>
      </w:r>
      <w:r w:rsidR="005231BF">
        <w:t>unforeseen possibility at the time of the conclusion of the settlement agreement.</w:t>
      </w:r>
      <w:r w:rsidR="00841F0F">
        <w:t xml:space="preserve"> Indeed, the </w:t>
      </w:r>
      <w:r w:rsidR="00133791">
        <w:t>respondent</w:t>
      </w:r>
      <w:r w:rsidR="00841F0F">
        <w:t>’s counsel urged me in his heads of argument to “</w:t>
      </w:r>
      <w:r w:rsidR="00841F0F" w:rsidRPr="00841F0F">
        <w:rPr>
          <w:i/>
          <w:iCs/>
        </w:rPr>
        <w:t xml:space="preserve">take judicial notice of the fact that there have been numerous delays at the Deeds Office due to the outbreak of the Covid-19 pandemic, which have led to substantial delays in the transfer of properties. Deeds offices across the country continue to be impacted by COVID-19 as most of the Deeds Offices had to close their doors </w:t>
      </w:r>
      <w:r w:rsidR="00841F0F" w:rsidRPr="00841F0F">
        <w:rPr>
          <w:i/>
          <w:iCs/>
          <w:u w:val="single"/>
        </w:rPr>
        <w:t xml:space="preserve">on </w:t>
      </w:r>
      <w:proofErr w:type="gramStart"/>
      <w:r w:rsidR="00841F0F" w:rsidRPr="00841F0F">
        <w:rPr>
          <w:i/>
          <w:iCs/>
          <w:u w:val="single"/>
        </w:rPr>
        <w:t>a number of</w:t>
      </w:r>
      <w:proofErr w:type="gramEnd"/>
      <w:r w:rsidR="00841F0F" w:rsidRPr="00841F0F">
        <w:rPr>
          <w:i/>
          <w:iCs/>
          <w:u w:val="single"/>
        </w:rPr>
        <w:t xml:space="preserve"> occasions</w:t>
      </w:r>
      <w:r w:rsidR="00841F0F" w:rsidRPr="00841F0F">
        <w:rPr>
          <w:i/>
          <w:iCs/>
        </w:rPr>
        <w:t xml:space="preserve"> due to </w:t>
      </w:r>
      <w:r w:rsidR="00841F0F" w:rsidRPr="00841F0F">
        <w:rPr>
          <w:i/>
          <w:iCs/>
          <w:u w:val="single"/>
        </w:rPr>
        <w:t>recurring positive cases</w:t>
      </w:r>
      <w:r w:rsidR="00841F0F" w:rsidRPr="00841F0F">
        <w:rPr>
          <w:i/>
          <w:iCs/>
        </w:rPr>
        <w:t xml:space="preserve"> of COVID-19 to allow for the decontamination thereof</w:t>
      </w:r>
      <w:r w:rsidR="00841F0F">
        <w:t xml:space="preserve">”. </w:t>
      </w:r>
      <w:r w:rsidR="005C44C8">
        <w:t xml:space="preserve">It </w:t>
      </w:r>
      <w:r w:rsidR="00841F0F">
        <w:t xml:space="preserve">is telling that the article on the internet site of a well-known firm of attorneys that </w:t>
      </w:r>
      <w:r w:rsidR="00DE1F86">
        <w:t xml:space="preserve">is </w:t>
      </w:r>
      <w:r w:rsidR="00841F0F">
        <w:t xml:space="preserve">referred to in support of this submission is dated 15 September 2020, </w:t>
      </w:r>
      <w:proofErr w:type="gramStart"/>
      <w:r w:rsidR="00841F0F">
        <w:t>i.e.</w:t>
      </w:r>
      <w:proofErr w:type="gramEnd"/>
      <w:r w:rsidR="00841F0F">
        <w:t xml:space="preserve"> more than 6 months prior to the conclusion of the settlement agreement. </w:t>
      </w:r>
    </w:p>
    <w:p w14:paraId="0284664F" w14:textId="18D49AD2" w:rsidR="005E5030" w:rsidRPr="005E5030" w:rsidRDefault="005E5030" w:rsidP="005E5030">
      <w:pPr>
        <w:pStyle w:val="LC1"/>
        <w:numPr>
          <w:ilvl w:val="0"/>
          <w:numId w:val="0"/>
        </w:numPr>
        <w:rPr>
          <w:u w:val="single"/>
        </w:rPr>
      </w:pPr>
      <w:r w:rsidRPr="005E5030">
        <w:rPr>
          <w:u w:val="single"/>
        </w:rPr>
        <w:t>Conclusion</w:t>
      </w:r>
      <w:r>
        <w:rPr>
          <w:u w:val="single"/>
        </w:rPr>
        <w:t xml:space="preserve">, </w:t>
      </w:r>
      <w:proofErr w:type="gramStart"/>
      <w:r w:rsidRPr="005E5030">
        <w:rPr>
          <w:u w:val="single"/>
        </w:rPr>
        <w:t>costs</w:t>
      </w:r>
      <w:proofErr w:type="gramEnd"/>
      <w:r>
        <w:rPr>
          <w:u w:val="single"/>
        </w:rPr>
        <w:t xml:space="preserve"> and order</w:t>
      </w:r>
    </w:p>
    <w:p w14:paraId="73C628E4" w14:textId="43E985EC" w:rsidR="00A36857" w:rsidRPr="00A36857" w:rsidRDefault="00050A11" w:rsidP="00050A11">
      <w:pPr>
        <w:pStyle w:val="LC1"/>
        <w:numPr>
          <w:ilvl w:val="0"/>
          <w:numId w:val="0"/>
        </w:numPr>
        <w:ind w:left="644" w:hanging="720"/>
      </w:pPr>
      <w:r w:rsidRPr="00A36857">
        <w:rPr>
          <w:rFonts w:cs="Arial"/>
          <w:szCs w:val="24"/>
        </w:rPr>
        <w:t>[33]</w:t>
      </w:r>
      <w:r w:rsidRPr="00A36857">
        <w:rPr>
          <w:rFonts w:cs="Arial"/>
          <w:szCs w:val="24"/>
        </w:rPr>
        <w:tab/>
      </w:r>
      <w:r w:rsidR="002E4D46">
        <w:t xml:space="preserve">In conclusion therefore, </w:t>
      </w:r>
      <w:r w:rsidR="005231BF">
        <w:t xml:space="preserve">the settlement amount remained payable on or before 31 May </w:t>
      </w:r>
      <w:r w:rsidR="002E4D46">
        <w:t>2021</w:t>
      </w:r>
      <w:r w:rsidR="00BC5263">
        <w:t>,</w:t>
      </w:r>
      <w:r w:rsidR="002E4D46">
        <w:t xml:space="preserve"> and the </w:t>
      </w:r>
      <w:r w:rsidR="00133791">
        <w:t>respondent</w:t>
      </w:r>
      <w:r w:rsidR="002E4D46">
        <w:t xml:space="preserve">’s admitted failure to make payment thereof </w:t>
      </w:r>
      <w:r w:rsidR="00BC5263">
        <w:t xml:space="preserve">by that date </w:t>
      </w:r>
      <w:r w:rsidR="002E4D46">
        <w:t xml:space="preserve">triggered the operation of clause 11 of the settlement agreement, in terms of which the </w:t>
      </w:r>
      <w:r w:rsidR="00133791">
        <w:t>respondent</w:t>
      </w:r>
      <w:r w:rsidR="002E4D46">
        <w:t xml:space="preserve"> became liable to pay the </w:t>
      </w:r>
      <w:r w:rsidR="00133791">
        <w:t>applicant</w:t>
      </w:r>
      <w:r w:rsidR="002E4D46">
        <w:t xml:space="preserve"> the sum of </w:t>
      </w:r>
      <w:r w:rsidR="002E4D46" w:rsidRPr="002E4D46">
        <w:t>R2,773,534.56 together with interest thereon from 8 May 2020 to date of payment</w:t>
      </w:r>
      <w:r w:rsidR="002E4D46">
        <w:t xml:space="preserve"> </w:t>
      </w:r>
      <w:r w:rsidR="002E4D46" w:rsidRPr="002E4D46">
        <w:t>at the prescribed rate (</w:t>
      </w:r>
      <w:r w:rsidR="002E4D46">
        <w:t xml:space="preserve">given that </w:t>
      </w:r>
      <w:r w:rsidR="002E4D46" w:rsidRPr="002E4D46">
        <w:t xml:space="preserve">no specific interest rate </w:t>
      </w:r>
      <w:r w:rsidR="002E4D46">
        <w:t xml:space="preserve">had </w:t>
      </w:r>
      <w:r w:rsidR="002E4D46" w:rsidRPr="002E4D46">
        <w:t>been agreed)</w:t>
      </w:r>
      <w:r w:rsidR="002E4D46">
        <w:t>.</w:t>
      </w:r>
      <w:r w:rsidR="002E4D46" w:rsidRPr="002E4D46">
        <w:t xml:space="preserve"> </w:t>
      </w:r>
      <w:r w:rsidR="00DE1F86">
        <w:t xml:space="preserve">The </w:t>
      </w:r>
      <w:r w:rsidR="00133791">
        <w:t>applicant</w:t>
      </w:r>
      <w:r w:rsidR="00DE1F86">
        <w:t xml:space="preserve"> is thus entitled to the relief that she seeks in this application.</w:t>
      </w:r>
    </w:p>
    <w:p w14:paraId="0E915441" w14:textId="3FB5FE4C" w:rsidR="00001F4A" w:rsidRDefault="00050A11" w:rsidP="00050A11">
      <w:pPr>
        <w:pStyle w:val="LC1"/>
        <w:numPr>
          <w:ilvl w:val="0"/>
          <w:numId w:val="0"/>
        </w:numPr>
        <w:spacing w:after="120"/>
        <w:ind w:left="644" w:hanging="720"/>
        <w:rPr>
          <w:rFonts w:cs="Arial"/>
          <w:szCs w:val="24"/>
        </w:rPr>
      </w:pPr>
      <w:r>
        <w:rPr>
          <w:rFonts w:cs="Arial"/>
          <w:szCs w:val="24"/>
        </w:rPr>
        <w:t>[34]</w:t>
      </w:r>
      <w:r>
        <w:rPr>
          <w:rFonts w:cs="Arial"/>
          <w:szCs w:val="24"/>
        </w:rPr>
        <w:tab/>
      </w:r>
      <w:r w:rsidR="009907D3">
        <w:rPr>
          <w:rFonts w:cs="Arial"/>
          <w:szCs w:val="24"/>
        </w:rPr>
        <w:t xml:space="preserve">The </w:t>
      </w:r>
      <w:r w:rsidR="00602402" w:rsidRPr="00602402">
        <w:rPr>
          <w:rFonts w:cs="Arial"/>
          <w:szCs w:val="24"/>
        </w:rPr>
        <w:t xml:space="preserve">usual </w:t>
      </w:r>
      <w:r w:rsidR="00A36857">
        <w:rPr>
          <w:rFonts w:cs="Arial"/>
          <w:szCs w:val="24"/>
        </w:rPr>
        <w:t xml:space="preserve">rule </w:t>
      </w:r>
      <w:r w:rsidR="009907D3">
        <w:rPr>
          <w:rFonts w:cs="Arial"/>
          <w:szCs w:val="24"/>
        </w:rPr>
        <w:t xml:space="preserve">is </w:t>
      </w:r>
      <w:r w:rsidR="00602402" w:rsidRPr="00602402">
        <w:rPr>
          <w:rFonts w:cs="Arial"/>
          <w:szCs w:val="24"/>
        </w:rPr>
        <w:t xml:space="preserve">that the </w:t>
      </w:r>
      <w:r w:rsidR="00485082">
        <w:rPr>
          <w:rFonts w:cs="Arial"/>
          <w:szCs w:val="24"/>
        </w:rPr>
        <w:t xml:space="preserve">successful </w:t>
      </w:r>
      <w:r w:rsidR="00602402" w:rsidRPr="00602402">
        <w:rPr>
          <w:rFonts w:cs="Arial"/>
          <w:szCs w:val="24"/>
        </w:rPr>
        <w:t xml:space="preserve">party should be </w:t>
      </w:r>
      <w:r w:rsidR="00485082">
        <w:rPr>
          <w:rFonts w:cs="Arial"/>
          <w:szCs w:val="24"/>
        </w:rPr>
        <w:t xml:space="preserve">awarded </w:t>
      </w:r>
      <w:r w:rsidR="00A36857">
        <w:rPr>
          <w:rFonts w:cs="Arial"/>
          <w:szCs w:val="24"/>
        </w:rPr>
        <w:t xml:space="preserve">their </w:t>
      </w:r>
      <w:r w:rsidR="00485082">
        <w:rPr>
          <w:rFonts w:cs="Arial"/>
          <w:szCs w:val="24"/>
        </w:rPr>
        <w:t>costs</w:t>
      </w:r>
      <w:r w:rsidR="006A3D25">
        <w:rPr>
          <w:rFonts w:cs="Arial"/>
          <w:szCs w:val="24"/>
        </w:rPr>
        <w:t xml:space="preserve">. </w:t>
      </w:r>
      <w:r w:rsidR="002E4D46">
        <w:rPr>
          <w:rFonts w:cs="Arial"/>
          <w:szCs w:val="24"/>
        </w:rPr>
        <w:t xml:space="preserve">The </w:t>
      </w:r>
      <w:r w:rsidR="00133791">
        <w:rPr>
          <w:rFonts w:cs="Arial"/>
          <w:szCs w:val="24"/>
        </w:rPr>
        <w:t>applicant</w:t>
      </w:r>
      <w:r w:rsidR="002E4D46">
        <w:rPr>
          <w:rFonts w:cs="Arial"/>
          <w:szCs w:val="24"/>
        </w:rPr>
        <w:t xml:space="preserve"> has been substantially successful, and </w:t>
      </w:r>
      <w:r w:rsidR="006A3D25" w:rsidRPr="006A3D25">
        <w:rPr>
          <w:rFonts w:cs="Arial"/>
          <w:szCs w:val="24"/>
        </w:rPr>
        <w:t>I see no reason to depart from that approach in this matter</w:t>
      </w:r>
      <w:r w:rsidR="006A3D25">
        <w:rPr>
          <w:rFonts w:cs="Arial"/>
          <w:szCs w:val="24"/>
        </w:rPr>
        <w:t xml:space="preserve">. </w:t>
      </w:r>
      <w:r w:rsidR="00074CFD">
        <w:rPr>
          <w:rFonts w:cs="Arial"/>
          <w:szCs w:val="24"/>
        </w:rPr>
        <w:t>M</w:t>
      </w:r>
      <w:r w:rsidR="006A3D25">
        <w:rPr>
          <w:rFonts w:cs="Arial"/>
          <w:szCs w:val="24"/>
        </w:rPr>
        <w:t xml:space="preserve">isconceived </w:t>
      </w:r>
      <w:r w:rsidR="00074CFD">
        <w:rPr>
          <w:rFonts w:cs="Arial"/>
          <w:szCs w:val="24"/>
        </w:rPr>
        <w:t xml:space="preserve">as the </w:t>
      </w:r>
      <w:r w:rsidR="006A3D25">
        <w:rPr>
          <w:rFonts w:cs="Arial"/>
          <w:szCs w:val="24"/>
        </w:rPr>
        <w:t xml:space="preserve">defences advanced by the </w:t>
      </w:r>
      <w:r w:rsidR="00133791">
        <w:rPr>
          <w:rFonts w:cs="Arial"/>
          <w:szCs w:val="24"/>
        </w:rPr>
        <w:t>respondent</w:t>
      </w:r>
      <w:r w:rsidR="006A3D25">
        <w:rPr>
          <w:rFonts w:cs="Arial"/>
          <w:szCs w:val="24"/>
        </w:rPr>
        <w:t xml:space="preserve"> </w:t>
      </w:r>
      <w:r w:rsidR="00074CFD">
        <w:rPr>
          <w:rFonts w:cs="Arial"/>
          <w:szCs w:val="24"/>
        </w:rPr>
        <w:t xml:space="preserve">were </w:t>
      </w:r>
      <w:r w:rsidR="004D7D98">
        <w:rPr>
          <w:rFonts w:cs="Arial"/>
          <w:szCs w:val="24"/>
        </w:rPr>
        <w:t xml:space="preserve">(and despite the extraordinary and seemingly unsupportable statement by the </w:t>
      </w:r>
      <w:r w:rsidR="00133791">
        <w:rPr>
          <w:rFonts w:cs="Arial"/>
          <w:szCs w:val="24"/>
        </w:rPr>
        <w:t>respondent</w:t>
      </w:r>
      <w:r w:rsidR="004D7D98">
        <w:rPr>
          <w:rFonts w:cs="Arial"/>
          <w:szCs w:val="24"/>
        </w:rPr>
        <w:t xml:space="preserve">’s counsel that the </w:t>
      </w:r>
      <w:r w:rsidR="00133791">
        <w:rPr>
          <w:rFonts w:cs="Arial"/>
          <w:szCs w:val="24"/>
        </w:rPr>
        <w:t>applicant</w:t>
      </w:r>
      <w:r w:rsidR="004D7D98">
        <w:rPr>
          <w:rFonts w:cs="Arial"/>
          <w:szCs w:val="24"/>
        </w:rPr>
        <w:t xml:space="preserve"> “</w:t>
      </w:r>
      <w:r w:rsidR="004D7D98" w:rsidRPr="004D7D98">
        <w:rPr>
          <w:rFonts w:cs="Arial"/>
          <w:i/>
          <w:iCs/>
          <w:szCs w:val="24"/>
        </w:rPr>
        <w:t>has acted in utmost bad faith in doggedly pursuing this application</w:t>
      </w:r>
      <w:r w:rsidR="004D7D98">
        <w:rPr>
          <w:rFonts w:cs="Arial"/>
          <w:szCs w:val="24"/>
        </w:rPr>
        <w:t>”)</w:t>
      </w:r>
      <w:r w:rsidR="002E4D46">
        <w:rPr>
          <w:rFonts w:cs="Arial"/>
          <w:szCs w:val="24"/>
        </w:rPr>
        <w:t>,</w:t>
      </w:r>
      <w:r w:rsidR="006A3D25">
        <w:rPr>
          <w:rFonts w:cs="Arial"/>
          <w:szCs w:val="24"/>
        </w:rPr>
        <w:t xml:space="preserve"> I do not</w:t>
      </w:r>
      <w:r w:rsidR="002E4D46">
        <w:rPr>
          <w:rFonts w:cs="Arial"/>
          <w:szCs w:val="24"/>
        </w:rPr>
        <w:t xml:space="preserve"> </w:t>
      </w:r>
      <w:r w:rsidR="006A3D25">
        <w:rPr>
          <w:rFonts w:cs="Arial"/>
          <w:szCs w:val="24"/>
        </w:rPr>
        <w:t xml:space="preserve">consider that there are sufficient grounds for the imposition </w:t>
      </w:r>
      <w:r w:rsidR="004D7D98">
        <w:rPr>
          <w:rFonts w:cs="Arial"/>
          <w:szCs w:val="24"/>
        </w:rPr>
        <w:t xml:space="preserve">upon the </w:t>
      </w:r>
      <w:r w:rsidR="00133791">
        <w:rPr>
          <w:rFonts w:cs="Arial"/>
          <w:szCs w:val="24"/>
        </w:rPr>
        <w:t>respondent</w:t>
      </w:r>
      <w:r w:rsidR="004D7D98">
        <w:rPr>
          <w:rFonts w:cs="Arial"/>
          <w:szCs w:val="24"/>
        </w:rPr>
        <w:t xml:space="preserve"> </w:t>
      </w:r>
      <w:r w:rsidR="006A3D25">
        <w:rPr>
          <w:rFonts w:cs="Arial"/>
          <w:szCs w:val="24"/>
        </w:rPr>
        <w:t xml:space="preserve">of the punitive costs order sought by the </w:t>
      </w:r>
      <w:r w:rsidR="00133791">
        <w:rPr>
          <w:rFonts w:cs="Arial"/>
          <w:szCs w:val="24"/>
        </w:rPr>
        <w:t>applicant</w:t>
      </w:r>
      <w:r w:rsidR="006A3D25">
        <w:rPr>
          <w:rFonts w:cs="Arial"/>
          <w:szCs w:val="24"/>
        </w:rPr>
        <w:t xml:space="preserve">. </w:t>
      </w:r>
    </w:p>
    <w:p w14:paraId="67F284C6" w14:textId="15718989" w:rsidR="00022C83" w:rsidRPr="008A3A2D" w:rsidRDefault="00050A11" w:rsidP="00050A11">
      <w:pPr>
        <w:pStyle w:val="LC1"/>
        <w:numPr>
          <w:ilvl w:val="0"/>
          <w:numId w:val="0"/>
        </w:numPr>
        <w:ind w:left="644" w:hanging="720"/>
        <w:rPr>
          <w:rFonts w:cs="Arial"/>
          <w:szCs w:val="24"/>
        </w:rPr>
      </w:pPr>
      <w:r w:rsidRPr="008A3A2D">
        <w:rPr>
          <w:rFonts w:cs="Arial"/>
          <w:szCs w:val="24"/>
        </w:rPr>
        <w:t>[35]</w:t>
      </w:r>
      <w:r w:rsidRPr="008A3A2D">
        <w:rPr>
          <w:rFonts w:cs="Arial"/>
          <w:szCs w:val="24"/>
        </w:rPr>
        <w:tab/>
      </w:r>
      <w:r w:rsidR="00022C83" w:rsidRPr="008A3A2D">
        <w:rPr>
          <w:rFonts w:cs="Arial"/>
          <w:szCs w:val="24"/>
        </w:rPr>
        <w:t xml:space="preserve">Two </w:t>
      </w:r>
      <w:r w:rsidR="00985D8B" w:rsidRPr="008A3A2D">
        <w:rPr>
          <w:rFonts w:cs="Arial"/>
          <w:szCs w:val="24"/>
        </w:rPr>
        <w:t>issue</w:t>
      </w:r>
      <w:r w:rsidR="00981818" w:rsidRPr="008A3A2D">
        <w:rPr>
          <w:rFonts w:cs="Arial"/>
          <w:szCs w:val="24"/>
        </w:rPr>
        <w:t>s</w:t>
      </w:r>
      <w:r w:rsidR="00985D8B" w:rsidRPr="008A3A2D">
        <w:rPr>
          <w:rFonts w:cs="Arial"/>
          <w:szCs w:val="24"/>
        </w:rPr>
        <w:t xml:space="preserve"> </w:t>
      </w:r>
      <w:r w:rsidR="00022C83" w:rsidRPr="008A3A2D">
        <w:rPr>
          <w:rFonts w:cs="Arial"/>
          <w:szCs w:val="24"/>
        </w:rPr>
        <w:t xml:space="preserve">relating to costs require specific attention. </w:t>
      </w:r>
      <w:r w:rsidR="00985D8B" w:rsidRPr="008A3A2D">
        <w:rPr>
          <w:rFonts w:cs="Arial"/>
          <w:szCs w:val="24"/>
        </w:rPr>
        <w:t xml:space="preserve">The first relates to the costs incurred by the </w:t>
      </w:r>
      <w:r w:rsidR="00133791" w:rsidRPr="008A3A2D">
        <w:rPr>
          <w:rFonts w:cs="Arial"/>
          <w:szCs w:val="24"/>
        </w:rPr>
        <w:t>applicant</w:t>
      </w:r>
      <w:r w:rsidR="00985D8B" w:rsidRPr="008A3A2D">
        <w:rPr>
          <w:rFonts w:cs="Arial"/>
          <w:szCs w:val="24"/>
        </w:rPr>
        <w:t xml:space="preserve"> in preparing the application to strike out the </w:t>
      </w:r>
      <w:r w:rsidR="00133791" w:rsidRPr="008A3A2D">
        <w:rPr>
          <w:rFonts w:cs="Arial"/>
          <w:szCs w:val="24"/>
        </w:rPr>
        <w:lastRenderedPageBreak/>
        <w:t>respondent</w:t>
      </w:r>
      <w:r w:rsidR="0024344C" w:rsidRPr="008A3A2D">
        <w:rPr>
          <w:rFonts w:cs="Arial"/>
          <w:szCs w:val="24"/>
        </w:rPr>
        <w:t xml:space="preserve">’s </w:t>
      </w:r>
      <w:r w:rsidR="00985D8B" w:rsidRPr="008A3A2D">
        <w:rPr>
          <w:rFonts w:cs="Arial"/>
          <w:szCs w:val="24"/>
        </w:rPr>
        <w:t xml:space="preserve">opposition for failure to serve </w:t>
      </w:r>
      <w:r w:rsidR="00C622F2" w:rsidRPr="008A3A2D">
        <w:rPr>
          <w:rFonts w:cs="Arial"/>
          <w:szCs w:val="24"/>
        </w:rPr>
        <w:t xml:space="preserve">his </w:t>
      </w:r>
      <w:r w:rsidR="00985D8B" w:rsidRPr="008A3A2D">
        <w:rPr>
          <w:rFonts w:cs="Arial"/>
          <w:szCs w:val="24"/>
        </w:rPr>
        <w:t xml:space="preserve">heads of argument timeously. </w:t>
      </w:r>
      <w:r w:rsidR="00022C83" w:rsidRPr="008A3A2D">
        <w:rPr>
          <w:rFonts w:cs="Arial"/>
          <w:szCs w:val="24"/>
        </w:rPr>
        <w:t xml:space="preserve">The </w:t>
      </w:r>
      <w:r w:rsidR="00133791" w:rsidRPr="008A3A2D">
        <w:rPr>
          <w:rFonts w:cs="Arial"/>
          <w:szCs w:val="24"/>
        </w:rPr>
        <w:t>respondent</w:t>
      </w:r>
      <w:r w:rsidR="00022C83" w:rsidRPr="008A3A2D">
        <w:rPr>
          <w:rFonts w:cs="Arial"/>
          <w:szCs w:val="24"/>
        </w:rPr>
        <w:t xml:space="preserve"> argues that he should not be mulcted in costs in relation to the preparation of the application. I disagree. </w:t>
      </w:r>
      <w:r w:rsidR="00560427" w:rsidRPr="008A3A2D">
        <w:rPr>
          <w:rFonts w:cs="Arial"/>
          <w:szCs w:val="24"/>
        </w:rPr>
        <w:t xml:space="preserve">Although it is was only stamped by the Registrar </w:t>
      </w:r>
      <w:r w:rsidR="00074CFD">
        <w:rPr>
          <w:rFonts w:cs="Arial"/>
          <w:szCs w:val="24"/>
        </w:rPr>
        <w:t xml:space="preserve">on 7 December 2021 </w:t>
      </w:r>
      <w:r w:rsidR="00D00C1D" w:rsidRPr="008A3A2D">
        <w:rPr>
          <w:rFonts w:cs="Arial"/>
          <w:szCs w:val="24"/>
        </w:rPr>
        <w:t xml:space="preserve">and was uploaded to </w:t>
      </w:r>
      <w:proofErr w:type="spellStart"/>
      <w:r w:rsidR="00D00C1D" w:rsidRPr="008A3A2D">
        <w:rPr>
          <w:rFonts w:cs="Arial"/>
          <w:szCs w:val="24"/>
        </w:rPr>
        <w:t>Caselines</w:t>
      </w:r>
      <w:proofErr w:type="spellEnd"/>
      <w:r w:rsidR="00D00C1D" w:rsidRPr="008A3A2D">
        <w:rPr>
          <w:rFonts w:cs="Arial"/>
          <w:szCs w:val="24"/>
        </w:rPr>
        <w:t xml:space="preserve"> </w:t>
      </w:r>
      <w:r w:rsidR="00074CFD">
        <w:rPr>
          <w:rFonts w:cs="Arial"/>
          <w:szCs w:val="24"/>
        </w:rPr>
        <w:t>the following day</w:t>
      </w:r>
      <w:r w:rsidR="00560427" w:rsidRPr="008A3A2D">
        <w:rPr>
          <w:rFonts w:cs="Arial"/>
          <w:szCs w:val="24"/>
        </w:rPr>
        <w:t xml:space="preserve">, there can be no doubt that the order of </w:t>
      </w:r>
      <w:proofErr w:type="spellStart"/>
      <w:r w:rsidR="00560427" w:rsidRPr="008A3A2D">
        <w:rPr>
          <w:rFonts w:cs="Arial"/>
          <w:szCs w:val="24"/>
        </w:rPr>
        <w:t>Senyatsi</w:t>
      </w:r>
      <w:proofErr w:type="spellEnd"/>
      <w:r w:rsidR="00560427" w:rsidRPr="008A3A2D">
        <w:rPr>
          <w:rFonts w:cs="Arial"/>
          <w:szCs w:val="24"/>
        </w:rPr>
        <w:t xml:space="preserve"> J compelling the respondent to file his heads of argument “</w:t>
      </w:r>
      <w:r w:rsidR="00560427" w:rsidRPr="008A3A2D">
        <w:rPr>
          <w:rFonts w:cs="Arial"/>
          <w:i/>
          <w:iCs/>
          <w:szCs w:val="24"/>
        </w:rPr>
        <w:t>within 5 (five) days of the Court handing down this order</w:t>
      </w:r>
      <w:r w:rsidR="00560427" w:rsidRPr="008A3A2D">
        <w:rPr>
          <w:rFonts w:cs="Arial"/>
          <w:szCs w:val="24"/>
        </w:rPr>
        <w:t>” was “</w:t>
      </w:r>
      <w:r w:rsidR="00560427" w:rsidRPr="008A3A2D">
        <w:rPr>
          <w:rFonts w:cs="Arial"/>
          <w:i/>
          <w:iCs/>
          <w:szCs w:val="24"/>
        </w:rPr>
        <w:t>handed down</w:t>
      </w:r>
      <w:r w:rsidR="00560427" w:rsidRPr="008A3A2D">
        <w:rPr>
          <w:rFonts w:cs="Arial"/>
          <w:szCs w:val="24"/>
        </w:rPr>
        <w:t>” on 6 December 2021.</w:t>
      </w:r>
      <w:r w:rsidR="00D00C1D" w:rsidRPr="008A3A2D">
        <w:rPr>
          <w:rStyle w:val="FootnoteReference"/>
          <w:rFonts w:cs="Arial"/>
          <w:szCs w:val="24"/>
        </w:rPr>
        <w:footnoteReference w:id="26"/>
      </w:r>
      <w:r w:rsidR="00560427" w:rsidRPr="008A3A2D">
        <w:rPr>
          <w:rFonts w:cs="Arial"/>
          <w:szCs w:val="24"/>
        </w:rPr>
        <w:t xml:space="preserve"> As such, the 5-day time period for the delivery of the respondent’s heads of argument expired on 13 December 2021.</w:t>
      </w:r>
      <w:r w:rsidR="00560427" w:rsidRPr="008A3A2D">
        <w:rPr>
          <w:rStyle w:val="FootnoteReference"/>
          <w:rFonts w:cs="Arial"/>
          <w:szCs w:val="24"/>
        </w:rPr>
        <w:footnoteReference w:id="27"/>
      </w:r>
      <w:r w:rsidR="00560427" w:rsidRPr="008A3A2D">
        <w:rPr>
          <w:rFonts w:cs="Arial"/>
          <w:szCs w:val="24"/>
        </w:rPr>
        <w:t xml:space="preserve"> It is furthermore undisputed that </w:t>
      </w:r>
      <w:r w:rsidR="00D00C1D" w:rsidRPr="008A3A2D">
        <w:rPr>
          <w:rFonts w:cs="Arial"/>
          <w:szCs w:val="24"/>
        </w:rPr>
        <w:t xml:space="preserve">the respondent’s heads of argument were only </w:t>
      </w:r>
      <w:r w:rsidR="008A3A2D" w:rsidRPr="008A3A2D">
        <w:rPr>
          <w:rFonts w:cs="Arial"/>
          <w:szCs w:val="24"/>
        </w:rPr>
        <w:t xml:space="preserve">uploaded to </w:t>
      </w:r>
      <w:proofErr w:type="spellStart"/>
      <w:r w:rsidR="008A3A2D" w:rsidRPr="008A3A2D">
        <w:rPr>
          <w:rFonts w:cs="Arial"/>
          <w:szCs w:val="24"/>
        </w:rPr>
        <w:t>Caselines</w:t>
      </w:r>
      <w:proofErr w:type="spellEnd"/>
      <w:r w:rsidR="008A3A2D" w:rsidRPr="008A3A2D">
        <w:rPr>
          <w:rFonts w:cs="Arial"/>
          <w:szCs w:val="24"/>
        </w:rPr>
        <w:t xml:space="preserve"> on 15 December 2021. Although the application to strike out was only served on the respondent at 14h48 on the same day, seemingly after the respondent’s heads of argument had been uploaded, I have little difficulty in accepting the applicant’s counsel’s assurance that the application was prepared after the deadline expired but before the heads of argument were uploaded, and this could not be seriously gainsaid by the respondent’s counsel in argument. In those circumstances, although the application to strike out was rightly not pursued, I am persuaded that the applicant is entitled to recover the costs of preparing the application. </w:t>
      </w:r>
      <w:r w:rsidR="004D7D98" w:rsidRPr="008A3A2D">
        <w:rPr>
          <w:rFonts w:cs="Arial"/>
          <w:szCs w:val="24"/>
        </w:rPr>
        <w:t xml:space="preserve">The suggestion made in argument that the </w:t>
      </w:r>
      <w:r w:rsidR="00133791" w:rsidRPr="008A3A2D">
        <w:rPr>
          <w:rFonts w:cs="Arial"/>
          <w:szCs w:val="24"/>
        </w:rPr>
        <w:t>applicant</w:t>
      </w:r>
      <w:r w:rsidR="004D7D98" w:rsidRPr="008A3A2D">
        <w:rPr>
          <w:rFonts w:cs="Arial"/>
          <w:szCs w:val="24"/>
        </w:rPr>
        <w:t xml:space="preserve"> was somehow acting improperly in moving to prepare the application as soon as the </w:t>
      </w:r>
      <w:r w:rsidR="004D7D98" w:rsidRPr="008A3A2D">
        <w:rPr>
          <w:rFonts w:cs="Arial"/>
          <w:i/>
          <w:iCs/>
          <w:szCs w:val="24"/>
        </w:rPr>
        <w:t>dies</w:t>
      </w:r>
      <w:r w:rsidR="004D7D98" w:rsidRPr="008A3A2D">
        <w:rPr>
          <w:rFonts w:cs="Arial"/>
          <w:szCs w:val="24"/>
        </w:rPr>
        <w:t xml:space="preserve"> stipulated in the order of </w:t>
      </w:r>
      <w:proofErr w:type="spellStart"/>
      <w:r w:rsidR="008A3A2D" w:rsidRPr="008A3A2D">
        <w:rPr>
          <w:rFonts w:cs="Arial"/>
          <w:szCs w:val="24"/>
        </w:rPr>
        <w:t>Senyatsi</w:t>
      </w:r>
      <w:proofErr w:type="spellEnd"/>
      <w:r w:rsidR="008A3A2D" w:rsidRPr="008A3A2D">
        <w:rPr>
          <w:rFonts w:cs="Arial"/>
          <w:szCs w:val="24"/>
        </w:rPr>
        <w:t xml:space="preserve"> </w:t>
      </w:r>
      <w:r w:rsidR="004D7D98" w:rsidRPr="008A3A2D">
        <w:rPr>
          <w:rFonts w:cs="Arial"/>
          <w:szCs w:val="24"/>
        </w:rPr>
        <w:t xml:space="preserve">J expired is </w:t>
      </w:r>
      <w:r w:rsidR="008A3A2D" w:rsidRPr="008A3A2D">
        <w:rPr>
          <w:rFonts w:cs="Arial"/>
          <w:szCs w:val="24"/>
        </w:rPr>
        <w:t>misplaced</w:t>
      </w:r>
      <w:r w:rsidR="004D7D98" w:rsidRPr="008A3A2D">
        <w:rPr>
          <w:rFonts w:cs="Arial"/>
          <w:szCs w:val="24"/>
        </w:rPr>
        <w:t xml:space="preserve">. In my view, the </w:t>
      </w:r>
      <w:r w:rsidR="00133791" w:rsidRPr="008A3A2D">
        <w:rPr>
          <w:rFonts w:cs="Arial"/>
          <w:szCs w:val="24"/>
        </w:rPr>
        <w:t>applicant</w:t>
      </w:r>
      <w:r w:rsidR="004D7D98" w:rsidRPr="008A3A2D">
        <w:rPr>
          <w:rFonts w:cs="Arial"/>
          <w:szCs w:val="24"/>
        </w:rPr>
        <w:t xml:space="preserve">’s actions were entirely appropriate – especially in view of the dilatory conduct </w:t>
      </w:r>
      <w:r w:rsidR="0079002D" w:rsidRPr="008A3A2D">
        <w:rPr>
          <w:rFonts w:cs="Arial"/>
          <w:szCs w:val="24"/>
        </w:rPr>
        <w:t xml:space="preserve">on the </w:t>
      </w:r>
      <w:r w:rsidR="00133791" w:rsidRPr="008A3A2D">
        <w:rPr>
          <w:rFonts w:cs="Arial"/>
          <w:szCs w:val="24"/>
        </w:rPr>
        <w:t>respondent</w:t>
      </w:r>
      <w:r w:rsidR="0079002D" w:rsidRPr="008A3A2D">
        <w:rPr>
          <w:rFonts w:cs="Arial"/>
          <w:szCs w:val="24"/>
        </w:rPr>
        <w:t xml:space="preserve">’s part </w:t>
      </w:r>
      <w:r w:rsidR="004D7D98" w:rsidRPr="008A3A2D">
        <w:rPr>
          <w:rFonts w:cs="Arial"/>
          <w:szCs w:val="24"/>
        </w:rPr>
        <w:t xml:space="preserve">that had forced the </w:t>
      </w:r>
      <w:r w:rsidR="00133791" w:rsidRPr="008A3A2D">
        <w:rPr>
          <w:rFonts w:cs="Arial"/>
          <w:szCs w:val="24"/>
        </w:rPr>
        <w:t>applicant</w:t>
      </w:r>
      <w:r w:rsidR="0024344C" w:rsidRPr="008A3A2D">
        <w:rPr>
          <w:rFonts w:cs="Arial"/>
          <w:szCs w:val="24"/>
        </w:rPr>
        <w:t xml:space="preserve"> </w:t>
      </w:r>
      <w:r w:rsidR="0079002D" w:rsidRPr="008A3A2D">
        <w:rPr>
          <w:rFonts w:cs="Arial"/>
          <w:szCs w:val="24"/>
        </w:rPr>
        <w:t xml:space="preserve">to seek the compelling order granted by </w:t>
      </w:r>
      <w:proofErr w:type="spellStart"/>
      <w:r w:rsidR="008A3A2D" w:rsidRPr="008A3A2D">
        <w:rPr>
          <w:rFonts w:cs="Arial"/>
          <w:szCs w:val="24"/>
        </w:rPr>
        <w:t>Senyatsi</w:t>
      </w:r>
      <w:proofErr w:type="spellEnd"/>
      <w:r w:rsidR="008A3A2D" w:rsidRPr="008A3A2D">
        <w:rPr>
          <w:rFonts w:cs="Arial"/>
          <w:szCs w:val="24"/>
        </w:rPr>
        <w:t xml:space="preserve"> </w:t>
      </w:r>
      <w:r w:rsidR="0079002D" w:rsidRPr="008A3A2D">
        <w:rPr>
          <w:rFonts w:cs="Arial"/>
          <w:szCs w:val="24"/>
        </w:rPr>
        <w:t xml:space="preserve">J in the first place. </w:t>
      </w:r>
    </w:p>
    <w:p w14:paraId="51D2D581" w14:textId="2C8D5DE4" w:rsidR="00985D8B" w:rsidRPr="00022C83" w:rsidRDefault="00050A11" w:rsidP="00050A11">
      <w:pPr>
        <w:pStyle w:val="LC1"/>
        <w:numPr>
          <w:ilvl w:val="0"/>
          <w:numId w:val="0"/>
        </w:numPr>
        <w:ind w:left="644" w:hanging="720"/>
        <w:rPr>
          <w:rFonts w:cs="Arial"/>
          <w:szCs w:val="24"/>
        </w:rPr>
      </w:pPr>
      <w:r w:rsidRPr="00022C83">
        <w:rPr>
          <w:rFonts w:cs="Arial"/>
          <w:szCs w:val="24"/>
        </w:rPr>
        <w:t>[36]</w:t>
      </w:r>
      <w:r w:rsidRPr="00022C83">
        <w:rPr>
          <w:rFonts w:cs="Arial"/>
          <w:szCs w:val="24"/>
        </w:rPr>
        <w:tab/>
      </w:r>
      <w:r w:rsidR="00985D8B">
        <w:rPr>
          <w:rFonts w:cs="Arial"/>
          <w:szCs w:val="24"/>
        </w:rPr>
        <w:t xml:space="preserve">The second specific issue relating to costs </w:t>
      </w:r>
      <w:r w:rsidR="00981818">
        <w:rPr>
          <w:rFonts w:cs="Arial"/>
          <w:szCs w:val="24"/>
        </w:rPr>
        <w:t xml:space="preserve">is </w:t>
      </w:r>
      <w:r w:rsidR="00985D8B">
        <w:rPr>
          <w:rFonts w:cs="Arial"/>
          <w:szCs w:val="24"/>
        </w:rPr>
        <w:t xml:space="preserve">the reserved </w:t>
      </w:r>
      <w:r w:rsidR="00981818">
        <w:rPr>
          <w:rFonts w:cs="Arial"/>
          <w:szCs w:val="24"/>
        </w:rPr>
        <w:t xml:space="preserve">order of </w:t>
      </w:r>
      <w:r w:rsidR="00985D8B">
        <w:rPr>
          <w:rFonts w:cs="Arial"/>
          <w:szCs w:val="24"/>
        </w:rPr>
        <w:t xml:space="preserve">costs </w:t>
      </w:r>
      <w:r w:rsidR="00981818">
        <w:rPr>
          <w:rFonts w:cs="Arial"/>
          <w:szCs w:val="24"/>
        </w:rPr>
        <w:t xml:space="preserve">granted by </w:t>
      </w:r>
      <w:proofErr w:type="spellStart"/>
      <w:r w:rsidR="00985D8B">
        <w:rPr>
          <w:rFonts w:cs="Arial"/>
          <w:szCs w:val="24"/>
        </w:rPr>
        <w:t>Keightley</w:t>
      </w:r>
      <w:proofErr w:type="spellEnd"/>
      <w:r w:rsidR="00985D8B">
        <w:rPr>
          <w:rFonts w:cs="Arial"/>
          <w:szCs w:val="24"/>
        </w:rPr>
        <w:t xml:space="preserve"> J in the trial interlocutory court on 7 March 2022. It appears that notwithstanding what (it is common cause) was an error in the office of the Registrar that led to the matter being incorrectly set down in that court for that date, both parties were ready to proceed on the day and indeed urged that the </w:t>
      </w:r>
      <w:r w:rsidR="00985D8B">
        <w:rPr>
          <w:rFonts w:cs="Arial"/>
          <w:szCs w:val="24"/>
        </w:rPr>
        <w:lastRenderedPageBreak/>
        <w:t>matter should be dealt with</w:t>
      </w:r>
      <w:r w:rsidR="0079002D">
        <w:rPr>
          <w:rFonts w:cs="Arial"/>
          <w:szCs w:val="24"/>
        </w:rPr>
        <w:t>,</w:t>
      </w:r>
      <w:r w:rsidR="00981818">
        <w:rPr>
          <w:rFonts w:cs="Arial"/>
          <w:szCs w:val="24"/>
        </w:rPr>
        <w:t xml:space="preserve"> as the error had not been of their making</w:t>
      </w:r>
      <w:r w:rsidR="00985D8B">
        <w:rPr>
          <w:rFonts w:cs="Arial"/>
          <w:szCs w:val="24"/>
        </w:rPr>
        <w:t xml:space="preserve">. In those circumstances, my view is that the most appropriate approach </w:t>
      </w:r>
      <w:r w:rsidR="0079002D">
        <w:rPr>
          <w:rFonts w:cs="Arial"/>
          <w:szCs w:val="24"/>
        </w:rPr>
        <w:t xml:space="preserve">is for </w:t>
      </w:r>
      <w:r w:rsidR="00985D8B">
        <w:rPr>
          <w:rFonts w:cs="Arial"/>
          <w:szCs w:val="24"/>
        </w:rPr>
        <w:t xml:space="preserve">the costs incurred in relation to that hearing </w:t>
      </w:r>
      <w:r w:rsidR="0079002D">
        <w:rPr>
          <w:rFonts w:cs="Arial"/>
          <w:szCs w:val="24"/>
        </w:rPr>
        <w:t xml:space="preserve">to be </w:t>
      </w:r>
      <w:r w:rsidR="00985D8B">
        <w:rPr>
          <w:rFonts w:cs="Arial"/>
          <w:szCs w:val="24"/>
        </w:rPr>
        <w:t>costs in the cause</w:t>
      </w:r>
      <w:r w:rsidR="0079002D">
        <w:rPr>
          <w:rFonts w:cs="Arial"/>
          <w:szCs w:val="24"/>
        </w:rPr>
        <w:t>.</w:t>
      </w:r>
      <w:r w:rsidR="00981818">
        <w:rPr>
          <w:rFonts w:cs="Arial"/>
          <w:szCs w:val="24"/>
        </w:rPr>
        <w:t xml:space="preserve"> </w:t>
      </w:r>
      <w:r w:rsidR="0079002D">
        <w:rPr>
          <w:rFonts w:cs="Arial"/>
          <w:szCs w:val="24"/>
        </w:rPr>
        <w:t>I</w:t>
      </w:r>
      <w:r w:rsidR="00981818">
        <w:rPr>
          <w:rFonts w:cs="Arial"/>
          <w:szCs w:val="24"/>
        </w:rPr>
        <w:t>ndeed</w:t>
      </w:r>
      <w:r w:rsidR="00F9003C">
        <w:rPr>
          <w:rFonts w:cs="Arial"/>
          <w:szCs w:val="24"/>
        </w:rPr>
        <w:t>,</w:t>
      </w:r>
      <w:r w:rsidR="00981818">
        <w:rPr>
          <w:rFonts w:cs="Arial"/>
          <w:szCs w:val="24"/>
        </w:rPr>
        <w:t xml:space="preserve"> this appears to be the approach adopted </w:t>
      </w:r>
      <w:r w:rsidR="0079002D">
        <w:rPr>
          <w:rFonts w:cs="Arial"/>
          <w:szCs w:val="24"/>
        </w:rPr>
        <w:t xml:space="preserve">not only by the </w:t>
      </w:r>
      <w:r w:rsidR="00133791">
        <w:rPr>
          <w:rFonts w:cs="Arial"/>
          <w:szCs w:val="24"/>
        </w:rPr>
        <w:t>applicant</w:t>
      </w:r>
      <w:r w:rsidR="0079002D">
        <w:rPr>
          <w:rFonts w:cs="Arial"/>
          <w:szCs w:val="24"/>
        </w:rPr>
        <w:t xml:space="preserve">, but also </w:t>
      </w:r>
      <w:r w:rsidR="00981818">
        <w:rPr>
          <w:rFonts w:cs="Arial"/>
          <w:szCs w:val="24"/>
        </w:rPr>
        <w:t xml:space="preserve">by the </w:t>
      </w:r>
      <w:r w:rsidR="00133791">
        <w:rPr>
          <w:rFonts w:cs="Arial"/>
          <w:szCs w:val="24"/>
        </w:rPr>
        <w:t>respondent</w:t>
      </w:r>
      <w:r w:rsidR="00981818">
        <w:rPr>
          <w:rFonts w:cs="Arial"/>
          <w:szCs w:val="24"/>
        </w:rPr>
        <w:t xml:space="preserve"> who </w:t>
      </w:r>
      <w:r w:rsidR="0079002D">
        <w:rPr>
          <w:rFonts w:cs="Arial"/>
          <w:szCs w:val="24"/>
        </w:rPr>
        <w:t xml:space="preserve">similarly </w:t>
      </w:r>
      <w:r w:rsidR="00981818">
        <w:rPr>
          <w:rFonts w:cs="Arial"/>
          <w:szCs w:val="24"/>
        </w:rPr>
        <w:t xml:space="preserve">sought these costs on the assumption that he would be </w:t>
      </w:r>
      <w:r w:rsidR="00985D8B" w:rsidRPr="00985D8B">
        <w:rPr>
          <w:rFonts w:cs="Arial"/>
          <w:szCs w:val="24"/>
        </w:rPr>
        <w:t xml:space="preserve">successful. </w:t>
      </w:r>
    </w:p>
    <w:p w14:paraId="48BA3098" w14:textId="78B0AA97" w:rsidR="00D202C2" w:rsidRDefault="00050A11" w:rsidP="00050A11">
      <w:pPr>
        <w:pStyle w:val="LC1"/>
        <w:numPr>
          <w:ilvl w:val="0"/>
          <w:numId w:val="0"/>
        </w:numPr>
        <w:spacing w:after="120"/>
        <w:ind w:left="644" w:hanging="720"/>
        <w:rPr>
          <w:rFonts w:cs="Arial"/>
          <w:szCs w:val="24"/>
        </w:rPr>
      </w:pPr>
      <w:r>
        <w:rPr>
          <w:rFonts w:cs="Arial"/>
          <w:szCs w:val="24"/>
        </w:rPr>
        <w:t>[37]</w:t>
      </w:r>
      <w:r>
        <w:rPr>
          <w:rFonts w:cs="Arial"/>
          <w:szCs w:val="24"/>
        </w:rPr>
        <w:tab/>
      </w:r>
      <w:r w:rsidR="006A3D25">
        <w:rPr>
          <w:rFonts w:cs="Arial"/>
          <w:szCs w:val="24"/>
        </w:rPr>
        <w:t xml:space="preserve">I make the </w:t>
      </w:r>
      <w:r w:rsidR="00D202C2" w:rsidRPr="00671349">
        <w:rPr>
          <w:rFonts w:cs="Arial"/>
          <w:szCs w:val="24"/>
        </w:rPr>
        <w:t>following order:</w:t>
      </w:r>
    </w:p>
    <w:p w14:paraId="730E01CD" w14:textId="142C0B0D" w:rsidR="006A3D25" w:rsidRDefault="00050A11" w:rsidP="00050A11">
      <w:pPr>
        <w:pStyle w:val="LCORder"/>
        <w:numPr>
          <w:ilvl w:val="0"/>
          <w:numId w:val="0"/>
        </w:numPr>
        <w:ind w:left="1418" w:hanging="698"/>
      </w:pPr>
      <w:r>
        <w:t>1.</w:t>
      </w:r>
      <w:r>
        <w:tab/>
      </w:r>
      <w:r w:rsidR="006A3D25" w:rsidRPr="006A3D25">
        <w:t xml:space="preserve">The </w:t>
      </w:r>
      <w:r w:rsidR="006A3D25">
        <w:t>respondent</w:t>
      </w:r>
      <w:r w:rsidR="0029341D">
        <w:t xml:space="preserve"> </w:t>
      </w:r>
      <w:r w:rsidR="006A3D25" w:rsidRPr="006A3D25">
        <w:t xml:space="preserve">is ordered to pay the </w:t>
      </w:r>
      <w:r w:rsidR="006A3D25">
        <w:t xml:space="preserve">applicant: </w:t>
      </w:r>
    </w:p>
    <w:p w14:paraId="5CA0FCC5" w14:textId="239131B1" w:rsidR="006A3D25" w:rsidRDefault="00050A11" w:rsidP="00050A11">
      <w:pPr>
        <w:pStyle w:val="LCOrder2"/>
        <w:numPr>
          <w:ilvl w:val="0"/>
          <w:numId w:val="0"/>
        </w:numPr>
        <w:ind w:left="1843" w:hanging="1134"/>
      </w:pPr>
      <w:r>
        <w:t>1.1.</w:t>
      </w:r>
      <w:r>
        <w:tab/>
      </w:r>
      <w:r w:rsidR="006A3D25">
        <w:t xml:space="preserve">the </w:t>
      </w:r>
      <w:r w:rsidR="006A3D25" w:rsidRPr="00B86684">
        <w:t>sum</w:t>
      </w:r>
      <w:r w:rsidR="006A3D25">
        <w:t xml:space="preserve"> </w:t>
      </w:r>
      <w:r w:rsidR="006A3D25" w:rsidRPr="006A3D25">
        <w:t>of R573,</w:t>
      </w:r>
      <w:proofErr w:type="gramStart"/>
      <w:r w:rsidR="006A3D25" w:rsidRPr="006A3D25">
        <w:t>534.56</w:t>
      </w:r>
      <w:r w:rsidR="006A3D25">
        <w:t>;</w:t>
      </w:r>
      <w:proofErr w:type="gramEnd"/>
    </w:p>
    <w:p w14:paraId="6F9CA9DA" w14:textId="4469A2A3" w:rsidR="006A3D25" w:rsidRDefault="00050A11" w:rsidP="00050A11">
      <w:pPr>
        <w:pStyle w:val="LCOrder2"/>
        <w:numPr>
          <w:ilvl w:val="0"/>
          <w:numId w:val="0"/>
        </w:numPr>
        <w:ind w:left="1843" w:hanging="1134"/>
      </w:pPr>
      <w:r>
        <w:t>1.2.</w:t>
      </w:r>
      <w:r>
        <w:tab/>
      </w:r>
      <w:r w:rsidR="006A3D25" w:rsidRPr="006A3D25">
        <w:t>mora interest</w:t>
      </w:r>
      <w:r w:rsidR="006A3D25">
        <w:t xml:space="preserve"> </w:t>
      </w:r>
      <w:r w:rsidR="006A3D25" w:rsidRPr="006A3D25">
        <w:t>on the amount of R2,773,534.56 from 8 May 202</w:t>
      </w:r>
      <w:r w:rsidR="007C5194">
        <w:t>0</w:t>
      </w:r>
      <w:r w:rsidR="006A3D25" w:rsidRPr="006A3D25">
        <w:t xml:space="preserve"> to 4 August 2021</w:t>
      </w:r>
      <w:r w:rsidR="006A3D25">
        <w:t xml:space="preserve"> </w:t>
      </w:r>
      <w:r w:rsidR="006A3D25" w:rsidRPr="006A3D25">
        <w:t>at the prescribed rate</w:t>
      </w:r>
      <w:r w:rsidR="006A3D25">
        <w:t>; and</w:t>
      </w:r>
    </w:p>
    <w:p w14:paraId="765EBDCC" w14:textId="45AACC3A" w:rsidR="006A3D25" w:rsidRDefault="00050A11" w:rsidP="00050A11">
      <w:pPr>
        <w:pStyle w:val="LCOrder2"/>
        <w:numPr>
          <w:ilvl w:val="0"/>
          <w:numId w:val="0"/>
        </w:numPr>
        <w:ind w:left="1843" w:hanging="1134"/>
      </w:pPr>
      <w:r>
        <w:t>1.3.</w:t>
      </w:r>
      <w:r>
        <w:tab/>
      </w:r>
      <w:r w:rsidR="006A3D25" w:rsidRPr="006A3D25">
        <w:t>mora interest</w:t>
      </w:r>
      <w:r w:rsidR="006A3D25">
        <w:t xml:space="preserve"> </w:t>
      </w:r>
      <w:r w:rsidR="006A3D25" w:rsidRPr="006A3D25">
        <w:t>on the amount of R573,534.56 from 5 August to 2021 to date of payment</w:t>
      </w:r>
      <w:r w:rsidR="006A3D25">
        <w:t xml:space="preserve"> </w:t>
      </w:r>
      <w:r w:rsidR="006A3D25" w:rsidRPr="006A3D25">
        <w:t>at the prescribed rate</w:t>
      </w:r>
      <w:r w:rsidR="006A3D25">
        <w:t>.</w:t>
      </w:r>
    </w:p>
    <w:p w14:paraId="1F4EF8CB" w14:textId="69F06049" w:rsidR="00A36F91" w:rsidRDefault="00050A11" w:rsidP="00050A11">
      <w:pPr>
        <w:pStyle w:val="LCORder"/>
        <w:numPr>
          <w:ilvl w:val="0"/>
          <w:numId w:val="0"/>
        </w:numPr>
        <w:ind w:left="1418" w:hanging="698"/>
      </w:pPr>
      <w:r>
        <w:t>2.</w:t>
      </w:r>
      <w:r>
        <w:tab/>
      </w:r>
      <w:r w:rsidR="00A36F91">
        <w:t>T</w:t>
      </w:r>
      <w:r w:rsidR="00CB69C5" w:rsidRPr="00CB69C5">
        <w:t xml:space="preserve">he </w:t>
      </w:r>
      <w:r w:rsidR="0029341D">
        <w:t xml:space="preserve">respondent </w:t>
      </w:r>
      <w:r w:rsidR="00CB69C5" w:rsidRPr="00CB69C5">
        <w:t>is ordered to pay</w:t>
      </w:r>
      <w:r w:rsidR="006A3D25">
        <w:t xml:space="preserve"> the </w:t>
      </w:r>
      <w:r w:rsidR="0029341D">
        <w:t>costs of the application</w:t>
      </w:r>
      <w:r w:rsidR="00022C83">
        <w:t xml:space="preserve">, </w:t>
      </w:r>
      <w:r w:rsidR="00985D8B">
        <w:t xml:space="preserve">including </w:t>
      </w:r>
      <w:r w:rsidR="00985D8B" w:rsidRPr="00985D8B">
        <w:t xml:space="preserve">the costs incurred in preparing the application to strike the respondent’s opposition to this application for failure to serve </w:t>
      </w:r>
      <w:r w:rsidR="00C622F2">
        <w:t xml:space="preserve">his </w:t>
      </w:r>
      <w:r w:rsidR="00985D8B" w:rsidRPr="00985D8B">
        <w:t>heads of argument timeously</w:t>
      </w:r>
      <w:r w:rsidR="008A3A2D">
        <w:t>,</w:t>
      </w:r>
      <w:r w:rsidR="00985D8B" w:rsidRPr="00985D8B">
        <w:t xml:space="preserve"> </w:t>
      </w:r>
      <w:r w:rsidR="00981818">
        <w:t xml:space="preserve">as well as </w:t>
      </w:r>
      <w:r w:rsidR="00985D8B" w:rsidRPr="00985D8B">
        <w:t xml:space="preserve">the costs reserved </w:t>
      </w:r>
      <w:r w:rsidR="00981818">
        <w:t xml:space="preserve">by </w:t>
      </w:r>
      <w:proofErr w:type="spellStart"/>
      <w:r w:rsidR="00981818">
        <w:t>Keightley</w:t>
      </w:r>
      <w:proofErr w:type="spellEnd"/>
      <w:r w:rsidR="00981818">
        <w:t xml:space="preserve"> J </w:t>
      </w:r>
      <w:r w:rsidR="00985D8B" w:rsidRPr="00985D8B">
        <w:t>on 7 March 2022</w:t>
      </w:r>
      <w:r w:rsidR="0029341D">
        <w:t>.</w:t>
      </w:r>
      <w:r w:rsidR="00CB69C5" w:rsidRPr="00CB69C5">
        <w:t xml:space="preserve"> </w:t>
      </w:r>
    </w:p>
    <w:p w14:paraId="4CFE4BBF" w14:textId="3D1F3B9A" w:rsidR="00044A38" w:rsidRDefault="00044A38" w:rsidP="00665B87">
      <w:pPr>
        <w:spacing w:before="240" w:after="120" w:line="360" w:lineRule="auto"/>
        <w:rPr>
          <w:rFonts w:ascii="Arial" w:hAnsi="Arial" w:cs="Arial"/>
          <w:sz w:val="24"/>
          <w:szCs w:val="24"/>
        </w:rPr>
      </w:pPr>
    </w:p>
    <w:p w14:paraId="723E451B" w14:textId="77777777" w:rsidR="000F6111" w:rsidRPr="00671349" w:rsidRDefault="000F6111" w:rsidP="00665B87">
      <w:pPr>
        <w:spacing w:before="240" w:after="120" w:line="360" w:lineRule="auto"/>
        <w:rPr>
          <w:rFonts w:ascii="Arial" w:hAnsi="Arial" w:cs="Arial"/>
          <w:sz w:val="24"/>
          <w:szCs w:val="24"/>
        </w:rPr>
      </w:pPr>
    </w:p>
    <w:p w14:paraId="52ACCD6E" w14:textId="77777777" w:rsidR="00D202C2" w:rsidRPr="00671349" w:rsidRDefault="00B928FE" w:rsidP="00001F4A">
      <w:pPr>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40F9B622" w:rsidR="00D202C2" w:rsidRPr="00671349" w:rsidRDefault="001A42D3"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38FCBFB2" w14:textId="58738D8D" w:rsidR="00001F4A" w:rsidRPr="00001F4A" w:rsidRDefault="00001F4A" w:rsidP="00001F4A">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sidR="00FE508D">
        <w:rPr>
          <w:rFonts w:ascii="Arial" w:hAnsi="Arial" w:cs="Arial"/>
          <w:sz w:val="24"/>
          <w:szCs w:val="24"/>
        </w:rPr>
        <w:tab/>
      </w:r>
      <w:r w:rsidR="00FE508D">
        <w:rPr>
          <w:rFonts w:ascii="Arial" w:hAnsi="Arial" w:cs="Arial"/>
          <w:sz w:val="24"/>
          <w:szCs w:val="24"/>
        </w:rPr>
        <w:tab/>
      </w:r>
      <w:r w:rsidR="001C68F7">
        <w:rPr>
          <w:rFonts w:ascii="Arial" w:hAnsi="Arial" w:cs="Arial"/>
          <w:sz w:val="24"/>
          <w:szCs w:val="24"/>
        </w:rPr>
        <w:t>4</w:t>
      </w:r>
      <w:r w:rsidRPr="00001F4A">
        <w:rPr>
          <w:rFonts w:ascii="Arial" w:hAnsi="Arial" w:cs="Arial"/>
          <w:sz w:val="24"/>
          <w:szCs w:val="24"/>
        </w:rPr>
        <w:t xml:space="preserve"> </w:t>
      </w:r>
      <w:r>
        <w:rPr>
          <w:rFonts w:ascii="Arial" w:hAnsi="Arial" w:cs="Arial"/>
          <w:sz w:val="24"/>
          <w:szCs w:val="24"/>
        </w:rPr>
        <w:t xml:space="preserve">October </w:t>
      </w:r>
      <w:r w:rsidR="001E2BDF">
        <w:rPr>
          <w:rFonts w:ascii="Arial" w:hAnsi="Arial" w:cs="Arial"/>
          <w:sz w:val="24"/>
          <w:szCs w:val="24"/>
        </w:rPr>
        <w:t>2</w:t>
      </w:r>
      <w:r>
        <w:rPr>
          <w:rFonts w:ascii="Arial" w:hAnsi="Arial" w:cs="Arial"/>
          <w:sz w:val="24"/>
          <w:szCs w:val="24"/>
        </w:rPr>
        <w:t>022</w:t>
      </w:r>
    </w:p>
    <w:p w14:paraId="5352ECA6" w14:textId="09126E8A" w:rsidR="00001F4A" w:rsidRPr="00001F4A" w:rsidRDefault="00001F4A" w:rsidP="00001F4A">
      <w:pPr>
        <w:spacing w:after="120" w:line="360" w:lineRule="auto"/>
        <w:jc w:val="left"/>
        <w:rPr>
          <w:rFonts w:ascii="Arial" w:hAnsi="Arial" w:cs="Arial"/>
          <w:sz w:val="24"/>
          <w:szCs w:val="24"/>
        </w:rPr>
      </w:pPr>
      <w:r w:rsidRPr="00001F4A">
        <w:rPr>
          <w:rFonts w:ascii="Arial" w:hAnsi="Arial" w:cs="Arial"/>
          <w:sz w:val="24"/>
          <w:szCs w:val="24"/>
        </w:rPr>
        <w:t xml:space="preserve">JUDGMENT </w:t>
      </w:r>
      <w:r w:rsidR="00FE508D">
        <w:rPr>
          <w:rFonts w:ascii="Arial" w:hAnsi="Arial" w:cs="Arial"/>
          <w:sz w:val="24"/>
          <w:szCs w:val="24"/>
        </w:rPr>
        <w:t>SUBMITTED FOR DELIVERY</w:t>
      </w:r>
      <w:r w:rsidRPr="00001F4A">
        <w:rPr>
          <w:rFonts w:ascii="Arial" w:hAnsi="Arial" w:cs="Arial"/>
          <w:sz w:val="24"/>
          <w:szCs w:val="24"/>
        </w:rPr>
        <w:t>:</w:t>
      </w:r>
      <w:r w:rsidRPr="00001F4A">
        <w:rPr>
          <w:rFonts w:ascii="Arial" w:hAnsi="Arial" w:cs="Arial"/>
          <w:sz w:val="24"/>
          <w:szCs w:val="24"/>
        </w:rPr>
        <w:tab/>
      </w:r>
      <w:r w:rsidR="00FE508D">
        <w:rPr>
          <w:rFonts w:ascii="Arial" w:hAnsi="Arial" w:cs="Arial"/>
          <w:sz w:val="24"/>
          <w:szCs w:val="24"/>
        </w:rPr>
        <w:t>2</w:t>
      </w:r>
      <w:r w:rsidR="006D27A4">
        <w:rPr>
          <w:rFonts w:ascii="Arial" w:hAnsi="Arial" w:cs="Arial"/>
          <w:sz w:val="24"/>
          <w:szCs w:val="24"/>
        </w:rPr>
        <w:t>4</w:t>
      </w:r>
      <w:r w:rsidR="00FE508D">
        <w:rPr>
          <w:rFonts w:ascii="Arial" w:hAnsi="Arial" w:cs="Arial"/>
          <w:sz w:val="24"/>
          <w:szCs w:val="24"/>
        </w:rPr>
        <w:t xml:space="preserve"> </w:t>
      </w:r>
      <w:r>
        <w:rPr>
          <w:rFonts w:ascii="Arial" w:hAnsi="Arial" w:cs="Arial"/>
          <w:sz w:val="24"/>
          <w:szCs w:val="24"/>
        </w:rPr>
        <w:t xml:space="preserve">October </w:t>
      </w:r>
      <w:r w:rsidRPr="00001F4A">
        <w:rPr>
          <w:rFonts w:ascii="Arial" w:hAnsi="Arial" w:cs="Arial"/>
          <w:sz w:val="24"/>
          <w:szCs w:val="24"/>
        </w:rPr>
        <w:t>20</w:t>
      </w:r>
      <w:r>
        <w:rPr>
          <w:rFonts w:ascii="Arial" w:hAnsi="Arial" w:cs="Arial"/>
          <w:sz w:val="24"/>
          <w:szCs w:val="24"/>
        </w:rPr>
        <w:t>22</w:t>
      </w:r>
    </w:p>
    <w:p w14:paraId="39051139" w14:textId="42A7825B" w:rsidR="00C06B16" w:rsidRDefault="00C06B16">
      <w:pPr>
        <w:spacing w:after="160" w:line="259" w:lineRule="auto"/>
        <w:jc w:val="left"/>
        <w:rPr>
          <w:rFonts w:ascii="Arial" w:hAnsi="Arial" w:cs="Arial"/>
          <w:sz w:val="24"/>
          <w:szCs w:val="24"/>
          <w:u w:val="single"/>
        </w:rPr>
      </w:pPr>
    </w:p>
    <w:p w14:paraId="127291A0" w14:textId="77777777" w:rsidR="00D202C2" w:rsidRPr="00671349" w:rsidRDefault="00D202C2" w:rsidP="00133791">
      <w:pPr>
        <w:keepNext/>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lastRenderedPageBreak/>
        <w:t>APPEARANCES</w:t>
      </w:r>
    </w:p>
    <w:p w14:paraId="50495967" w14:textId="045C8D1E" w:rsidR="00D202C2" w:rsidRPr="00671349" w:rsidRDefault="00D202C2" w:rsidP="00133791">
      <w:pPr>
        <w:keepNext/>
        <w:autoSpaceDE w:val="0"/>
        <w:autoSpaceDN w:val="0"/>
        <w:adjustRightInd w:val="0"/>
        <w:spacing w:before="240" w:after="120" w:line="360" w:lineRule="auto"/>
        <w:ind w:left="3600" w:hanging="3600"/>
        <w:rPr>
          <w:rFonts w:ascii="Arial" w:hAnsi="Arial" w:cs="Arial"/>
          <w:sz w:val="24"/>
          <w:szCs w:val="24"/>
        </w:rPr>
      </w:pPr>
      <w:r w:rsidRPr="00671349">
        <w:rPr>
          <w:rFonts w:ascii="Arial" w:hAnsi="Arial" w:cs="Arial"/>
          <w:sz w:val="24"/>
          <w:szCs w:val="24"/>
        </w:rPr>
        <w:t xml:space="preserve">For the </w:t>
      </w:r>
      <w:r w:rsidR="00001F4A">
        <w:rPr>
          <w:rFonts w:ascii="Arial" w:hAnsi="Arial" w:cs="Arial"/>
          <w:sz w:val="24"/>
          <w:szCs w:val="24"/>
        </w:rPr>
        <w:t>Applicant</w:t>
      </w:r>
      <w:r w:rsidRPr="00671349">
        <w:rPr>
          <w:rFonts w:ascii="Arial" w:hAnsi="Arial" w:cs="Arial"/>
          <w:sz w:val="24"/>
          <w:szCs w:val="24"/>
        </w:rPr>
        <w:t>:</w:t>
      </w:r>
      <w:r w:rsidRPr="00671349">
        <w:rPr>
          <w:rFonts w:ascii="Arial" w:hAnsi="Arial" w:cs="Arial"/>
          <w:sz w:val="24"/>
          <w:szCs w:val="24"/>
        </w:rPr>
        <w:tab/>
      </w:r>
      <w:r w:rsidR="006B3093">
        <w:rPr>
          <w:rFonts w:ascii="Arial" w:hAnsi="Arial" w:cs="Arial"/>
          <w:sz w:val="24"/>
          <w:szCs w:val="24"/>
        </w:rPr>
        <w:t xml:space="preserve">J </w:t>
      </w:r>
      <w:proofErr w:type="spellStart"/>
      <w:r w:rsidR="006B3093">
        <w:rPr>
          <w:rFonts w:ascii="Arial" w:hAnsi="Arial" w:cs="Arial"/>
          <w:sz w:val="24"/>
          <w:szCs w:val="24"/>
        </w:rPr>
        <w:t>Karuaihe</w:t>
      </w:r>
      <w:proofErr w:type="spellEnd"/>
      <w:r w:rsidR="006B3093">
        <w:rPr>
          <w:rFonts w:ascii="Arial" w:hAnsi="Arial" w:cs="Arial"/>
          <w:sz w:val="24"/>
          <w:szCs w:val="24"/>
        </w:rPr>
        <w:t>, instructed by Sun Attorneys</w:t>
      </w:r>
    </w:p>
    <w:p w14:paraId="3DCFC38A" w14:textId="55120180" w:rsidR="00D202C2" w:rsidRPr="00671349" w:rsidRDefault="00D202C2" w:rsidP="00133791">
      <w:pPr>
        <w:autoSpaceDE w:val="0"/>
        <w:autoSpaceDN w:val="0"/>
        <w:adjustRightInd w:val="0"/>
        <w:spacing w:before="240" w:after="120" w:line="360" w:lineRule="auto"/>
        <w:ind w:left="3544" w:hanging="3544"/>
        <w:rPr>
          <w:rFonts w:ascii="Arial" w:hAnsi="Arial" w:cs="Arial"/>
          <w:sz w:val="24"/>
          <w:szCs w:val="24"/>
        </w:rPr>
      </w:pPr>
      <w:r w:rsidRPr="00671349">
        <w:rPr>
          <w:rFonts w:ascii="Arial" w:hAnsi="Arial" w:cs="Arial"/>
          <w:sz w:val="24"/>
          <w:szCs w:val="24"/>
        </w:rPr>
        <w:t xml:space="preserve">For the </w:t>
      </w:r>
      <w:r w:rsidR="00001F4A">
        <w:rPr>
          <w:rFonts w:ascii="Arial" w:hAnsi="Arial" w:cs="Arial"/>
          <w:sz w:val="24"/>
          <w:szCs w:val="24"/>
        </w:rPr>
        <w:t>Respondent</w:t>
      </w:r>
      <w:r w:rsidR="006B3093">
        <w:rPr>
          <w:rFonts w:ascii="Arial" w:hAnsi="Arial" w:cs="Arial"/>
          <w:sz w:val="24"/>
          <w:szCs w:val="24"/>
        </w:rPr>
        <w:t>:</w:t>
      </w:r>
      <w:r w:rsidR="00133791">
        <w:rPr>
          <w:rFonts w:ascii="Arial" w:hAnsi="Arial" w:cs="Arial"/>
          <w:sz w:val="24"/>
          <w:szCs w:val="24"/>
        </w:rPr>
        <w:t xml:space="preserve"> </w:t>
      </w:r>
      <w:r w:rsidR="00133791">
        <w:rPr>
          <w:rFonts w:ascii="Arial" w:hAnsi="Arial" w:cs="Arial"/>
          <w:sz w:val="24"/>
          <w:szCs w:val="24"/>
        </w:rPr>
        <w:tab/>
      </w:r>
      <w:r w:rsidR="006B3093">
        <w:rPr>
          <w:rFonts w:ascii="Arial" w:hAnsi="Arial" w:cs="Arial"/>
          <w:sz w:val="24"/>
          <w:szCs w:val="24"/>
        </w:rPr>
        <w:t xml:space="preserve">T </w:t>
      </w:r>
      <w:proofErr w:type="spellStart"/>
      <w:r w:rsidR="006B3093" w:rsidRPr="006B3093">
        <w:rPr>
          <w:rFonts w:ascii="Arial" w:hAnsi="Arial" w:cs="Arial"/>
          <w:sz w:val="24"/>
          <w:szCs w:val="24"/>
        </w:rPr>
        <w:t>Lautré</w:t>
      </w:r>
      <w:proofErr w:type="spellEnd"/>
      <w:r w:rsidR="006B3093">
        <w:rPr>
          <w:rFonts w:ascii="Arial" w:hAnsi="Arial" w:cs="Arial"/>
          <w:sz w:val="24"/>
          <w:szCs w:val="24"/>
        </w:rPr>
        <w:t>,</w:t>
      </w:r>
      <w:r w:rsidR="00AC13FE">
        <w:rPr>
          <w:rFonts w:ascii="Arial" w:hAnsi="Arial" w:cs="Arial"/>
          <w:sz w:val="24"/>
          <w:szCs w:val="24"/>
        </w:rPr>
        <w:t xml:space="preserve"> instructed by </w:t>
      </w:r>
      <w:r w:rsidR="006B3093">
        <w:rPr>
          <w:rFonts w:ascii="Arial" w:hAnsi="Arial" w:cs="Arial"/>
          <w:sz w:val="24"/>
          <w:szCs w:val="24"/>
        </w:rPr>
        <w:t xml:space="preserve">Paul T </w:t>
      </w:r>
      <w:proofErr w:type="spellStart"/>
      <w:r w:rsidR="006B3093">
        <w:rPr>
          <w:rFonts w:ascii="Arial" w:hAnsi="Arial" w:cs="Arial"/>
          <w:sz w:val="24"/>
          <w:szCs w:val="24"/>
        </w:rPr>
        <w:t>Leisher</w:t>
      </w:r>
      <w:proofErr w:type="spellEnd"/>
      <w:r w:rsidR="006B3093">
        <w:rPr>
          <w:rFonts w:ascii="Arial" w:hAnsi="Arial" w:cs="Arial"/>
          <w:sz w:val="24"/>
          <w:szCs w:val="24"/>
        </w:rPr>
        <w:t xml:space="preserve"> &amp; Associate</w:t>
      </w:r>
      <w:r w:rsidR="00240BD7">
        <w:rPr>
          <w:rFonts w:ascii="Arial" w:hAnsi="Arial" w:cs="Arial"/>
          <w:sz w:val="24"/>
          <w:szCs w:val="24"/>
        </w:rPr>
        <w:t>s</w:t>
      </w:r>
    </w:p>
    <w:sectPr w:rsidR="00D202C2" w:rsidRPr="00671349" w:rsidSect="000F6111">
      <w:headerReference w:type="default" r:id="rId11"/>
      <w:pgSz w:w="11906" w:h="16838"/>
      <w:pgMar w:top="1440" w:right="1416" w:bottom="1276"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F744" w14:textId="77777777" w:rsidR="00724B0A" w:rsidRDefault="00724B0A" w:rsidP="00D202C2">
      <w:pPr>
        <w:spacing w:line="240" w:lineRule="auto"/>
      </w:pPr>
      <w:r>
        <w:separator/>
      </w:r>
    </w:p>
  </w:endnote>
  <w:endnote w:type="continuationSeparator" w:id="0">
    <w:p w14:paraId="6934A933" w14:textId="77777777" w:rsidR="00724B0A" w:rsidRDefault="00724B0A"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D65A" w14:textId="77777777" w:rsidR="00724B0A" w:rsidRDefault="00724B0A" w:rsidP="00D202C2">
      <w:pPr>
        <w:spacing w:line="240" w:lineRule="auto"/>
      </w:pPr>
      <w:r>
        <w:separator/>
      </w:r>
    </w:p>
  </w:footnote>
  <w:footnote w:type="continuationSeparator" w:id="0">
    <w:p w14:paraId="749E5E67" w14:textId="77777777" w:rsidR="00724B0A" w:rsidRDefault="00724B0A" w:rsidP="00D202C2">
      <w:pPr>
        <w:spacing w:line="240" w:lineRule="auto"/>
      </w:pPr>
      <w:r>
        <w:continuationSeparator/>
      </w:r>
    </w:p>
  </w:footnote>
  <w:footnote w:id="1">
    <w:p w14:paraId="59364BC1" w14:textId="77777777" w:rsidR="000341CA" w:rsidRDefault="000341CA" w:rsidP="000341CA">
      <w:pPr>
        <w:pStyle w:val="FootnoteText"/>
      </w:pPr>
      <w:r>
        <w:rPr>
          <w:rStyle w:val="FootnoteReference"/>
        </w:rPr>
        <w:footnoteRef/>
      </w:r>
      <w:r>
        <w:t xml:space="preserve"> In the draft order uploaded onto </w:t>
      </w:r>
      <w:proofErr w:type="spellStart"/>
      <w:r>
        <w:t>Caselines</w:t>
      </w:r>
      <w:proofErr w:type="spellEnd"/>
      <w:r>
        <w:t xml:space="preserve"> that the applicant does not persist in seeking an order making the settlement agreement an order of court. </w:t>
      </w:r>
    </w:p>
  </w:footnote>
  <w:footnote w:id="2">
    <w:p w14:paraId="16C30211" w14:textId="31E743F2" w:rsidR="005E5030" w:rsidRDefault="005E5030">
      <w:pPr>
        <w:pStyle w:val="FootnoteText"/>
      </w:pPr>
      <w:r>
        <w:rPr>
          <w:rStyle w:val="FootnoteReference"/>
        </w:rPr>
        <w:footnoteRef/>
      </w:r>
      <w:r>
        <w:t xml:space="preserve"> </w:t>
      </w:r>
      <w:r w:rsidRPr="005E5030">
        <w:rPr>
          <w:i/>
          <w:iCs/>
        </w:rPr>
        <w:t xml:space="preserve">Fischer and Another v </w:t>
      </w:r>
      <w:proofErr w:type="spellStart"/>
      <w:r w:rsidRPr="005E5030">
        <w:rPr>
          <w:i/>
          <w:iCs/>
        </w:rPr>
        <w:t>Ramahlele</w:t>
      </w:r>
      <w:proofErr w:type="spellEnd"/>
      <w:r w:rsidRPr="005E5030">
        <w:rPr>
          <w:i/>
          <w:iCs/>
        </w:rPr>
        <w:t xml:space="preserve"> and Others</w:t>
      </w:r>
      <w:r w:rsidRPr="005E5030">
        <w:t> 2014 (4) SA 614 (SCA) para 13</w:t>
      </w:r>
      <w:r>
        <w:t>.</w:t>
      </w:r>
    </w:p>
  </w:footnote>
  <w:footnote w:id="3">
    <w:p w14:paraId="3E8DBAB4" w14:textId="55249D36" w:rsidR="00700C67" w:rsidRDefault="00700C67" w:rsidP="00700C67">
      <w:pPr>
        <w:pStyle w:val="FootnoteText"/>
      </w:pPr>
      <w:r>
        <w:rPr>
          <w:rStyle w:val="FootnoteReference"/>
        </w:rPr>
        <w:footnoteRef/>
      </w:r>
      <w:r>
        <w:t xml:space="preserve"> </w:t>
      </w:r>
      <w:proofErr w:type="spellStart"/>
      <w:r w:rsidR="00CF648C" w:rsidRPr="00D644C8">
        <w:rPr>
          <w:i/>
          <w:iCs/>
        </w:rPr>
        <w:t>Beadica</w:t>
      </w:r>
      <w:proofErr w:type="spellEnd"/>
      <w:r w:rsidR="00CF648C" w:rsidRPr="00D644C8">
        <w:rPr>
          <w:i/>
          <w:iCs/>
        </w:rPr>
        <w:t xml:space="preserve"> 231 CC and Others v Trustees for the time being of the Oregon Trust and Others</w:t>
      </w:r>
      <w:r w:rsidR="00CF648C" w:rsidRPr="00D644C8">
        <w:t xml:space="preserve"> 2020 (5) SA 247 (CC) </w:t>
      </w:r>
      <w:r>
        <w:t xml:space="preserve">at para 80. </w:t>
      </w:r>
    </w:p>
  </w:footnote>
  <w:footnote w:id="4">
    <w:p w14:paraId="27CDE742" w14:textId="55FE738E" w:rsidR="001020DE" w:rsidRDefault="001020DE" w:rsidP="001020DE">
      <w:pPr>
        <w:pStyle w:val="FootnoteText"/>
      </w:pPr>
      <w:r>
        <w:rPr>
          <w:rStyle w:val="FootnoteReference"/>
        </w:rPr>
        <w:footnoteRef/>
      </w:r>
      <w:r>
        <w:t xml:space="preserve"> </w:t>
      </w:r>
      <w:r w:rsidR="007A67C3" w:rsidRPr="003A4811">
        <w:t>Id</w:t>
      </w:r>
      <w:r w:rsidR="00EE5E73">
        <w:t>.</w:t>
      </w:r>
      <w:r w:rsidR="007A67C3">
        <w:rPr>
          <w:i/>
          <w:iCs/>
        </w:rPr>
        <w:t xml:space="preserve"> </w:t>
      </w:r>
      <w:r w:rsidRPr="005F4A0F">
        <w:t xml:space="preserve">paras </w:t>
      </w:r>
      <w:r>
        <w:t>71 – 78.</w:t>
      </w:r>
    </w:p>
  </w:footnote>
  <w:footnote w:id="5">
    <w:p w14:paraId="4C3CF0D8" w14:textId="5FB76AED" w:rsidR="007553D6" w:rsidRDefault="007553D6">
      <w:pPr>
        <w:pStyle w:val="FootnoteText"/>
      </w:pPr>
      <w:r>
        <w:rPr>
          <w:rStyle w:val="FootnoteReference"/>
        </w:rPr>
        <w:footnoteRef/>
      </w:r>
      <w:r>
        <w:t xml:space="preserve"> See, for example, the provisions of the Consumer Protection Act</w:t>
      </w:r>
      <w:r w:rsidR="003A4811">
        <w:t>,</w:t>
      </w:r>
      <w:r>
        <w:t xml:space="preserve"> </w:t>
      </w:r>
      <w:r w:rsidR="003A4811">
        <w:t xml:space="preserve">68 of 2008 </w:t>
      </w:r>
      <w:r>
        <w:t xml:space="preserve">and the National Credit Act, </w:t>
      </w:r>
      <w:r w:rsidR="004C224F">
        <w:t>34 of 2005.</w:t>
      </w:r>
    </w:p>
  </w:footnote>
  <w:footnote w:id="6">
    <w:p w14:paraId="2ECF4772" w14:textId="1A07BE43" w:rsidR="007553D6" w:rsidRDefault="007553D6" w:rsidP="007902AB">
      <w:pPr>
        <w:pStyle w:val="FootnoteText"/>
      </w:pPr>
      <w:r>
        <w:rPr>
          <w:rStyle w:val="FootnoteReference"/>
        </w:rPr>
        <w:footnoteRef/>
      </w:r>
      <w:r>
        <w:t xml:space="preserve"> </w:t>
      </w:r>
      <w:r w:rsidR="00EE5E73">
        <w:t xml:space="preserve">Some </w:t>
      </w:r>
      <w:r w:rsidR="00481CA5">
        <w:t xml:space="preserve">of the most recent examples </w:t>
      </w:r>
      <w:r w:rsidR="007E3842">
        <w:t xml:space="preserve">(from the first 9 months of 2022 alone) </w:t>
      </w:r>
      <w:r w:rsidR="00481CA5">
        <w:t>are</w:t>
      </w:r>
      <w:r w:rsidR="00EE5E73">
        <w:t>:</w:t>
      </w:r>
      <w:r w:rsidR="00481CA5">
        <w:t xml:space="preserve"> </w:t>
      </w:r>
      <w:r w:rsidR="00481CA5" w:rsidRPr="00481CA5">
        <w:rPr>
          <w:i/>
          <w:iCs/>
        </w:rPr>
        <w:t>Goliath and Another v Chicory SA (Pty) Ltd</w:t>
      </w:r>
      <w:r w:rsidR="00481CA5" w:rsidRPr="00481CA5">
        <w:t xml:space="preserve"> [2022] </w:t>
      </w:r>
      <w:r w:rsidR="0097483F">
        <w:t xml:space="preserve">JOL 55350 (ECG) </w:t>
      </w:r>
      <w:r w:rsidR="00481CA5">
        <w:t xml:space="preserve">paras 98 </w:t>
      </w:r>
      <w:r w:rsidR="000F6111">
        <w:t>–</w:t>
      </w:r>
      <w:r w:rsidR="00481CA5">
        <w:t xml:space="preserve"> 100; </w:t>
      </w:r>
      <w:proofErr w:type="spellStart"/>
      <w:r w:rsidR="00481CA5" w:rsidRPr="00481CA5">
        <w:rPr>
          <w:i/>
          <w:iCs/>
        </w:rPr>
        <w:t>Firstrand</w:t>
      </w:r>
      <w:proofErr w:type="spellEnd"/>
      <w:r w:rsidR="00481CA5" w:rsidRPr="00481CA5">
        <w:rPr>
          <w:i/>
          <w:iCs/>
        </w:rPr>
        <w:t xml:space="preserve"> Bank Limited v Nel and Another</w:t>
      </w:r>
      <w:r w:rsidR="00481CA5" w:rsidRPr="00481CA5">
        <w:t xml:space="preserve"> [2022] </w:t>
      </w:r>
      <w:r w:rsidR="0097483F">
        <w:t xml:space="preserve">JOL 55297 (GJ) </w:t>
      </w:r>
      <w:r w:rsidR="00481CA5">
        <w:t xml:space="preserve">paras 44 – 54; </w:t>
      </w:r>
      <w:proofErr w:type="spellStart"/>
      <w:r w:rsidR="004C224F" w:rsidRPr="004C224F">
        <w:rPr>
          <w:i/>
          <w:iCs/>
        </w:rPr>
        <w:t>Wyno</w:t>
      </w:r>
      <w:proofErr w:type="spellEnd"/>
      <w:r w:rsidR="004C224F" w:rsidRPr="004C224F">
        <w:rPr>
          <w:i/>
          <w:iCs/>
        </w:rPr>
        <w:t xml:space="preserve"> Construction and Projects (Proprietary Limited v </w:t>
      </w:r>
      <w:proofErr w:type="spellStart"/>
      <w:r w:rsidR="004C224F" w:rsidRPr="004C224F">
        <w:rPr>
          <w:i/>
          <w:iCs/>
        </w:rPr>
        <w:t>Miway</w:t>
      </w:r>
      <w:proofErr w:type="spellEnd"/>
      <w:r w:rsidR="004C224F" w:rsidRPr="004C224F">
        <w:rPr>
          <w:i/>
          <w:iCs/>
        </w:rPr>
        <w:t xml:space="preserve"> Insurance Limited</w:t>
      </w:r>
      <w:r w:rsidR="004C224F" w:rsidRPr="004C224F">
        <w:t xml:space="preserve"> 2022</w:t>
      </w:r>
      <w:r w:rsidR="0097483F">
        <w:t xml:space="preserve"> JDR 1689 (GP) </w:t>
      </w:r>
      <w:r w:rsidR="004C224F">
        <w:t xml:space="preserve">paras 13 – 22; </w:t>
      </w:r>
      <w:r w:rsidR="004C224F" w:rsidRPr="004C224F">
        <w:rPr>
          <w:i/>
          <w:iCs/>
        </w:rPr>
        <w:t>Twenty Third Century Systems (Pty) Ltd and Another v SAP African Region (Pty) Ltd</w:t>
      </w:r>
      <w:r w:rsidR="004C224F" w:rsidRPr="004C224F">
        <w:t xml:space="preserve"> 2022</w:t>
      </w:r>
      <w:r w:rsidR="0097483F">
        <w:t xml:space="preserve"> JDR 1340 (GJ) </w:t>
      </w:r>
      <w:r w:rsidR="004C224F">
        <w:t xml:space="preserve">paras 55 </w:t>
      </w:r>
      <w:r w:rsidR="00EE01E3">
        <w:t>–</w:t>
      </w:r>
      <w:r w:rsidR="004C224F">
        <w:t xml:space="preserve"> 58</w:t>
      </w:r>
      <w:r w:rsidR="00EE01E3">
        <w:t xml:space="preserve">; </w:t>
      </w:r>
      <w:r w:rsidR="00EE01E3" w:rsidRPr="00EE01E3">
        <w:rPr>
          <w:i/>
          <w:iCs/>
        </w:rPr>
        <w:t>EC Security CC v The Body Corporate of Saffron Gardens</w:t>
      </w:r>
      <w:r w:rsidR="00EE01E3" w:rsidRPr="00EE01E3">
        <w:t xml:space="preserve"> 2022</w:t>
      </w:r>
      <w:r w:rsidR="007902AB">
        <w:t xml:space="preserve"> JDR 1682 (GP) </w:t>
      </w:r>
      <w:r w:rsidR="003A4811">
        <w:t xml:space="preserve">paras </w:t>
      </w:r>
      <w:r w:rsidR="00EE01E3">
        <w:t xml:space="preserve">72 – 79; </w:t>
      </w:r>
      <w:proofErr w:type="spellStart"/>
      <w:r w:rsidR="00EE01E3" w:rsidRPr="00EE01E3">
        <w:rPr>
          <w:i/>
          <w:iCs/>
        </w:rPr>
        <w:t>Centrafin</w:t>
      </w:r>
      <w:proofErr w:type="spellEnd"/>
      <w:r w:rsidR="00EE01E3" w:rsidRPr="00EE01E3">
        <w:rPr>
          <w:i/>
          <w:iCs/>
        </w:rPr>
        <w:t xml:space="preserve"> (Pty) Ltd v </w:t>
      </w:r>
      <w:proofErr w:type="spellStart"/>
      <w:r w:rsidR="00EE01E3" w:rsidRPr="00EE01E3">
        <w:rPr>
          <w:i/>
          <w:iCs/>
        </w:rPr>
        <w:t>Mazibuko</w:t>
      </w:r>
      <w:proofErr w:type="spellEnd"/>
      <w:r w:rsidR="00EE01E3" w:rsidRPr="00EE01E3">
        <w:t xml:space="preserve"> 2022</w:t>
      </w:r>
      <w:r w:rsidR="0097483F">
        <w:t xml:space="preserve"> JDR 1262 (GP) </w:t>
      </w:r>
      <w:r w:rsidR="00EE01E3">
        <w:t>paras 11.13 – 11.18</w:t>
      </w:r>
      <w:r w:rsidR="00DF7C7D">
        <w:t xml:space="preserve">; </w:t>
      </w:r>
      <w:r w:rsidR="00C60BE7" w:rsidRPr="00C60BE7">
        <w:rPr>
          <w:i/>
          <w:iCs/>
        </w:rPr>
        <w:t xml:space="preserve">Dancing Beauty and Hair (Pty) Ltd v Northern Centre </w:t>
      </w:r>
      <w:proofErr w:type="spellStart"/>
      <w:r w:rsidR="00C60BE7" w:rsidRPr="00C60BE7">
        <w:rPr>
          <w:i/>
          <w:iCs/>
        </w:rPr>
        <w:t>Shareblock</w:t>
      </w:r>
      <w:proofErr w:type="spellEnd"/>
      <w:r w:rsidR="00C60BE7" w:rsidRPr="00C60BE7">
        <w:rPr>
          <w:i/>
          <w:iCs/>
        </w:rPr>
        <w:t xml:space="preserve"> and Another</w:t>
      </w:r>
      <w:r w:rsidR="00C60BE7" w:rsidRPr="00C60BE7">
        <w:t xml:space="preserve"> 2022</w:t>
      </w:r>
      <w:r w:rsidR="0097483F">
        <w:t xml:space="preserve"> JDR 0565 (GJ) </w:t>
      </w:r>
      <w:r w:rsidR="003A4811">
        <w:t xml:space="preserve">paras </w:t>
      </w:r>
      <w:r w:rsidR="00DF7C7D">
        <w:t xml:space="preserve">29 </w:t>
      </w:r>
      <w:r w:rsidR="007E3842">
        <w:t>–</w:t>
      </w:r>
      <w:r w:rsidR="00DF7C7D">
        <w:t xml:space="preserve"> 34</w:t>
      </w:r>
      <w:r w:rsidR="007E3842">
        <w:t xml:space="preserve">; </w:t>
      </w:r>
      <w:r w:rsidR="007E3842" w:rsidRPr="007E3842">
        <w:rPr>
          <w:i/>
          <w:iCs/>
        </w:rPr>
        <w:t xml:space="preserve">Sasol Oil (Pty) Limited v </w:t>
      </w:r>
      <w:proofErr w:type="spellStart"/>
      <w:r w:rsidR="007E3842" w:rsidRPr="007E3842">
        <w:rPr>
          <w:i/>
          <w:iCs/>
        </w:rPr>
        <w:t>Eurozar</w:t>
      </w:r>
      <w:proofErr w:type="spellEnd"/>
      <w:r w:rsidR="007E3842" w:rsidRPr="007E3842">
        <w:rPr>
          <w:i/>
          <w:iCs/>
        </w:rPr>
        <w:t xml:space="preserve"> (Pty) Limited and Others</w:t>
      </w:r>
      <w:r w:rsidR="007E3842" w:rsidRPr="007E3842">
        <w:t xml:space="preserve"> 2022 </w:t>
      </w:r>
      <w:r w:rsidR="0097483F">
        <w:t xml:space="preserve">JDR 1087 (GJ) </w:t>
      </w:r>
      <w:r w:rsidR="007E3842">
        <w:t>paras 35 – 43</w:t>
      </w:r>
      <w:r w:rsidR="00CA59A6">
        <w:t>.</w:t>
      </w:r>
    </w:p>
  </w:footnote>
  <w:footnote w:id="7">
    <w:p w14:paraId="766E4C0B" w14:textId="49736FB5" w:rsidR="007A67C3" w:rsidRDefault="007A67C3" w:rsidP="007A67C3">
      <w:pPr>
        <w:pStyle w:val="FootnoteText"/>
      </w:pPr>
      <w:r>
        <w:rPr>
          <w:rStyle w:val="FootnoteReference"/>
        </w:rPr>
        <w:footnoteRef/>
      </w:r>
      <w:r>
        <w:t xml:space="preserve"> </w:t>
      </w:r>
      <w:r w:rsidRPr="00D62AD2">
        <w:rPr>
          <w:i/>
          <w:iCs/>
        </w:rPr>
        <w:t>University of Johannesburg v Auckland Park Theological Seminary and Another</w:t>
      </w:r>
      <w:r>
        <w:t xml:space="preserve"> </w:t>
      </w:r>
      <w:r w:rsidRPr="00D62AD2">
        <w:rPr>
          <w:rFonts w:cs="Arial"/>
        </w:rPr>
        <w:t>2021 (6) SA 1</w:t>
      </w:r>
      <w:r>
        <w:t xml:space="preserve"> (CC) paras 6</w:t>
      </w:r>
      <w:r w:rsidR="00337B1B">
        <w:t>5</w:t>
      </w:r>
      <w:r>
        <w:t xml:space="preserve"> – 6</w:t>
      </w:r>
      <w:r w:rsidR="00337B1B">
        <w:t>6</w:t>
      </w:r>
      <w:r>
        <w:t>.</w:t>
      </w:r>
    </w:p>
  </w:footnote>
  <w:footnote w:id="8">
    <w:p w14:paraId="098DC4C8" w14:textId="3B1AF056" w:rsidR="00CF0C1B" w:rsidRDefault="00CF0C1B">
      <w:pPr>
        <w:pStyle w:val="FootnoteText"/>
      </w:pPr>
      <w:r>
        <w:rPr>
          <w:rStyle w:val="FootnoteReference"/>
        </w:rPr>
        <w:footnoteRef/>
      </w:r>
      <w:r>
        <w:t xml:space="preserve"> </w:t>
      </w:r>
      <w:r w:rsidRPr="00CF0C1B">
        <w:rPr>
          <w:i/>
          <w:iCs/>
        </w:rPr>
        <w:t xml:space="preserve">Natal Joint Municipal Pension Fund v </w:t>
      </w:r>
      <w:proofErr w:type="spellStart"/>
      <w:r w:rsidRPr="00CF0C1B">
        <w:rPr>
          <w:i/>
          <w:iCs/>
        </w:rPr>
        <w:t>Endumeni</w:t>
      </w:r>
      <w:proofErr w:type="spellEnd"/>
      <w:r w:rsidRPr="00CF0C1B">
        <w:rPr>
          <w:i/>
          <w:iCs/>
        </w:rPr>
        <w:t xml:space="preserve"> Municipality</w:t>
      </w:r>
      <w:r w:rsidRPr="005E5030">
        <w:t xml:space="preserve"> 2012 (4) SA 593 (SCA)</w:t>
      </w:r>
      <w:r>
        <w:t>.</w:t>
      </w:r>
    </w:p>
  </w:footnote>
  <w:footnote w:id="9">
    <w:p w14:paraId="17C233D8" w14:textId="51273CAA" w:rsidR="00CF0C1B" w:rsidRDefault="00CF0C1B">
      <w:pPr>
        <w:pStyle w:val="FootnoteText"/>
      </w:pPr>
      <w:r>
        <w:rPr>
          <w:rStyle w:val="FootnoteReference"/>
        </w:rPr>
        <w:footnoteRef/>
      </w:r>
      <w:r>
        <w:t xml:space="preserve"> </w:t>
      </w:r>
      <w:r w:rsidRPr="00F859DF">
        <w:rPr>
          <w:i/>
          <w:iCs/>
        </w:rPr>
        <w:t>Capitec Bank Holdings Ltd and Another v Coral Lagoon Investments 194 (Pty) Ltd and Others</w:t>
      </w:r>
      <w:r>
        <w:t xml:space="preserve"> 2022 (1) SA 100 (SCA) para 36.</w:t>
      </w:r>
    </w:p>
  </w:footnote>
  <w:footnote w:id="10">
    <w:p w14:paraId="23FC6634" w14:textId="4D51AB58" w:rsidR="00F859DF" w:rsidRDefault="00F859DF">
      <w:pPr>
        <w:pStyle w:val="FootnoteText"/>
      </w:pPr>
      <w:r>
        <w:rPr>
          <w:rStyle w:val="FootnoteReference"/>
        </w:rPr>
        <w:footnoteRef/>
      </w:r>
      <w:r>
        <w:t xml:space="preserve"> </w:t>
      </w:r>
      <w:r w:rsidR="00CF0C1B" w:rsidRPr="00CF0C1B">
        <w:t>Id.</w:t>
      </w:r>
      <w:r w:rsidR="00CF0C1B">
        <w:rPr>
          <w:i/>
          <w:iCs/>
        </w:rPr>
        <w:t xml:space="preserve"> </w:t>
      </w:r>
      <w:r>
        <w:t>para 49.</w:t>
      </w:r>
    </w:p>
  </w:footnote>
  <w:footnote w:id="11">
    <w:p w14:paraId="26112271" w14:textId="1DA3F6BD" w:rsidR="00F859DF" w:rsidRDefault="00F859DF">
      <w:pPr>
        <w:pStyle w:val="FootnoteText"/>
      </w:pPr>
      <w:r>
        <w:rPr>
          <w:rStyle w:val="FootnoteReference"/>
        </w:rPr>
        <w:footnoteRef/>
      </w:r>
      <w:r>
        <w:t xml:space="preserve"> Id</w:t>
      </w:r>
      <w:r w:rsidR="00EE5E73">
        <w:t>.</w:t>
      </w:r>
      <w:r>
        <w:t xml:space="preserve"> para 50.</w:t>
      </w:r>
    </w:p>
  </w:footnote>
  <w:footnote w:id="12">
    <w:p w14:paraId="64DF0BD5" w14:textId="361AE310" w:rsidR="00F859DF" w:rsidRDefault="00F859DF">
      <w:pPr>
        <w:pStyle w:val="FootnoteText"/>
      </w:pPr>
      <w:r>
        <w:rPr>
          <w:rStyle w:val="FootnoteReference"/>
        </w:rPr>
        <w:footnoteRef/>
      </w:r>
      <w:r>
        <w:t xml:space="preserve"> Id</w:t>
      </w:r>
      <w:r w:rsidR="00EE5E73">
        <w:t>.</w:t>
      </w:r>
      <w:r>
        <w:t xml:space="preserve"> para 51</w:t>
      </w:r>
      <w:r w:rsidR="00337B1B">
        <w:t xml:space="preserve">. This </w:t>
      </w:r>
      <w:r w:rsidR="00337B1B" w:rsidRPr="00CF0C1B">
        <w:rPr>
          <w:i/>
          <w:iCs/>
        </w:rPr>
        <w:t>dictum</w:t>
      </w:r>
      <w:r w:rsidR="00337B1B">
        <w:t xml:space="preserve"> has </w:t>
      </w:r>
      <w:r w:rsidR="005F3753">
        <w:t xml:space="preserve">since </w:t>
      </w:r>
      <w:r w:rsidR="00337B1B">
        <w:t xml:space="preserve">been repeated by the Supreme Court of </w:t>
      </w:r>
      <w:r w:rsidR="005F3753">
        <w:t>A</w:t>
      </w:r>
      <w:r w:rsidR="00337B1B">
        <w:t xml:space="preserve">ppeal in </w:t>
      </w:r>
      <w:proofErr w:type="spellStart"/>
      <w:r w:rsidR="00337B1B" w:rsidRPr="00337B1B">
        <w:rPr>
          <w:i/>
          <w:iCs/>
        </w:rPr>
        <w:t>Masinga</w:t>
      </w:r>
      <w:proofErr w:type="spellEnd"/>
      <w:r w:rsidR="00337B1B" w:rsidRPr="00337B1B">
        <w:rPr>
          <w:i/>
          <w:iCs/>
        </w:rPr>
        <w:t xml:space="preserve"> and Others v Chief of the South African National Defence Force and Others</w:t>
      </w:r>
      <w:r w:rsidR="00337B1B" w:rsidRPr="00337B1B">
        <w:t xml:space="preserve"> 2022 JDR 0030 (SCA)</w:t>
      </w:r>
      <w:r w:rsidR="00CF0C1B">
        <w:t xml:space="preserve"> para 32</w:t>
      </w:r>
      <w:r w:rsidR="000F6111">
        <w:t>.</w:t>
      </w:r>
    </w:p>
  </w:footnote>
  <w:footnote w:id="13">
    <w:p w14:paraId="0A09EDA2" w14:textId="05CF28AD" w:rsidR="005F3753" w:rsidRDefault="005F3753">
      <w:pPr>
        <w:pStyle w:val="FootnoteText"/>
      </w:pPr>
      <w:r>
        <w:rPr>
          <w:rStyle w:val="FootnoteReference"/>
        </w:rPr>
        <w:footnoteRef/>
      </w:r>
      <w:r>
        <w:t xml:space="preserve"> </w:t>
      </w:r>
      <w:proofErr w:type="spellStart"/>
      <w:r w:rsidRPr="005F3753">
        <w:rPr>
          <w:i/>
          <w:iCs/>
        </w:rPr>
        <w:t>Saidi</w:t>
      </w:r>
      <w:proofErr w:type="spellEnd"/>
      <w:r w:rsidRPr="005F3753">
        <w:rPr>
          <w:i/>
          <w:iCs/>
        </w:rPr>
        <w:t xml:space="preserve"> v Minister of Home Affairs</w:t>
      </w:r>
      <w:r w:rsidRPr="005F3753">
        <w:t xml:space="preserve"> 2018 (4) SA 333 (CC)</w:t>
      </w:r>
      <w:r>
        <w:t xml:space="preserve"> paras 71 – 73.</w:t>
      </w:r>
    </w:p>
  </w:footnote>
  <w:footnote w:id="14">
    <w:p w14:paraId="1EE45168" w14:textId="01B92735" w:rsidR="004E69F1" w:rsidRDefault="004E69F1" w:rsidP="00775584">
      <w:pPr>
        <w:pStyle w:val="FootnoteText"/>
      </w:pPr>
      <w:r>
        <w:rPr>
          <w:rStyle w:val="FootnoteReference"/>
        </w:rPr>
        <w:footnoteRef/>
      </w:r>
      <w:r>
        <w:t xml:space="preserve"> </w:t>
      </w:r>
      <w:r w:rsidRPr="004E69F1">
        <w:rPr>
          <w:i/>
          <w:iCs/>
        </w:rPr>
        <w:t>Iveco South Africa (Pty) Ltd v Centurion Bus Manufacturers (Pty) Ltd</w:t>
      </w:r>
      <w:r w:rsidRPr="004E69F1">
        <w:t xml:space="preserve"> 2020 JDR 0911 (SCA)</w:t>
      </w:r>
      <w:r>
        <w:t xml:space="preserve"> para 7</w:t>
      </w:r>
      <w:r w:rsidR="00775584">
        <w:t xml:space="preserve">, referring to </w:t>
      </w:r>
      <w:r w:rsidR="00775584" w:rsidRPr="00775584">
        <w:rPr>
          <w:i/>
          <w:iCs/>
        </w:rPr>
        <w:t xml:space="preserve">Unica Iron and Steel (Pty) Ltd v </w:t>
      </w:r>
      <w:proofErr w:type="spellStart"/>
      <w:r w:rsidR="00775584" w:rsidRPr="00775584">
        <w:rPr>
          <w:i/>
          <w:iCs/>
        </w:rPr>
        <w:t>Mirchandani</w:t>
      </w:r>
      <w:proofErr w:type="spellEnd"/>
      <w:r w:rsidR="00775584">
        <w:t xml:space="preserve"> 2016 (2) SA 307 (SCA) para 21 and </w:t>
      </w:r>
      <w:r w:rsidR="00775584" w:rsidRPr="00775584">
        <w:rPr>
          <w:i/>
          <w:iCs/>
        </w:rPr>
        <w:t xml:space="preserve">Urban Hip Hotels (Pty) Ltd v </w:t>
      </w:r>
      <w:proofErr w:type="spellStart"/>
      <w:r w:rsidR="00775584" w:rsidRPr="00775584">
        <w:rPr>
          <w:i/>
          <w:iCs/>
        </w:rPr>
        <w:t>Kcarrim</w:t>
      </w:r>
      <w:proofErr w:type="spellEnd"/>
      <w:r w:rsidR="00775584" w:rsidRPr="00775584">
        <w:rPr>
          <w:i/>
          <w:iCs/>
        </w:rPr>
        <w:t xml:space="preserve"> Commercial Properties (Pty) Ltd</w:t>
      </w:r>
      <w:r w:rsidR="00775584">
        <w:t xml:space="preserve"> 2016 JDR 2213 (SCA) para 21</w:t>
      </w:r>
      <w:r w:rsidR="00775584" w:rsidRPr="00775584">
        <w:t>.</w:t>
      </w:r>
    </w:p>
  </w:footnote>
  <w:footnote w:id="15">
    <w:p w14:paraId="36F2508D" w14:textId="35CC4CF3" w:rsidR="009979BE" w:rsidRDefault="009979BE">
      <w:pPr>
        <w:pStyle w:val="FootnoteText"/>
      </w:pPr>
      <w:r>
        <w:rPr>
          <w:rStyle w:val="FootnoteReference"/>
        </w:rPr>
        <w:footnoteRef/>
      </w:r>
      <w:r>
        <w:t xml:space="preserve"> </w:t>
      </w:r>
      <w:r w:rsidR="00336F16" w:rsidRPr="00336F16">
        <w:rPr>
          <w:i/>
          <w:iCs/>
        </w:rPr>
        <w:t xml:space="preserve">Alfred McAlpine &amp; Son (Pty) Ltd v Transvaal Provincial Administration </w:t>
      </w:r>
      <w:r w:rsidR="00336F16" w:rsidRPr="00336F16">
        <w:t>1974 (3) SA 506 (A)</w:t>
      </w:r>
      <w:r w:rsidR="00336F16">
        <w:t xml:space="preserve"> per the majority judgment of </w:t>
      </w:r>
      <w:proofErr w:type="spellStart"/>
      <w:r w:rsidR="00336F16">
        <w:t>Rumpff</w:t>
      </w:r>
      <w:proofErr w:type="spellEnd"/>
      <w:r w:rsidR="00336F16">
        <w:t xml:space="preserve"> ACJ at 528H – 529A; </w:t>
      </w:r>
      <w:r w:rsidR="005438D6" w:rsidRPr="005438D6">
        <w:rPr>
          <w:i/>
          <w:iCs/>
        </w:rPr>
        <w:t xml:space="preserve">Administrator, </w:t>
      </w:r>
      <w:proofErr w:type="gramStart"/>
      <w:r w:rsidR="005438D6" w:rsidRPr="005438D6">
        <w:rPr>
          <w:i/>
          <w:iCs/>
        </w:rPr>
        <w:t>Transvaal</w:t>
      </w:r>
      <w:proofErr w:type="gramEnd"/>
      <w:r w:rsidR="005438D6" w:rsidRPr="005438D6">
        <w:rPr>
          <w:i/>
          <w:iCs/>
        </w:rPr>
        <w:t xml:space="preserve"> and Others v </w:t>
      </w:r>
      <w:proofErr w:type="spellStart"/>
      <w:r w:rsidR="005438D6" w:rsidRPr="005438D6">
        <w:rPr>
          <w:i/>
          <w:iCs/>
        </w:rPr>
        <w:t>Theletsane</w:t>
      </w:r>
      <w:proofErr w:type="spellEnd"/>
      <w:r w:rsidR="005438D6" w:rsidRPr="005438D6">
        <w:rPr>
          <w:i/>
          <w:iCs/>
        </w:rPr>
        <w:t xml:space="preserve"> and Others</w:t>
      </w:r>
      <w:r w:rsidR="005438D6" w:rsidRPr="005438D6">
        <w:t xml:space="preserve"> 1991 </w:t>
      </w:r>
      <w:r w:rsidR="007C4102">
        <w:t>(</w:t>
      </w:r>
      <w:r w:rsidR="005438D6" w:rsidRPr="005438D6">
        <w:t>2) SA 192 (A) at 196</w:t>
      </w:r>
      <w:r w:rsidR="007C4102">
        <w:t>C-E</w:t>
      </w:r>
      <w:r w:rsidR="00951757">
        <w:t>;</w:t>
      </w:r>
      <w:r w:rsidR="001D1B17">
        <w:rPr>
          <w:i/>
          <w:iCs/>
        </w:rPr>
        <w:t xml:space="preserve"> </w:t>
      </w:r>
      <w:r w:rsidR="007C4102" w:rsidRPr="007E3842">
        <w:rPr>
          <w:i/>
          <w:iCs/>
        </w:rPr>
        <w:t xml:space="preserve">Sasol Oil (Pty) Limited v </w:t>
      </w:r>
      <w:proofErr w:type="spellStart"/>
      <w:r w:rsidR="007C4102" w:rsidRPr="007E3842">
        <w:rPr>
          <w:i/>
          <w:iCs/>
        </w:rPr>
        <w:t>Eurozar</w:t>
      </w:r>
      <w:proofErr w:type="spellEnd"/>
      <w:r w:rsidR="007C4102" w:rsidRPr="007E3842">
        <w:rPr>
          <w:i/>
          <w:iCs/>
        </w:rPr>
        <w:t xml:space="preserve"> (Pty) Limited and Others</w:t>
      </w:r>
      <w:r w:rsidR="007C4102" w:rsidRPr="007E3842">
        <w:t xml:space="preserve"> </w:t>
      </w:r>
      <w:r w:rsidR="00F9003C">
        <w:t>(above</w:t>
      </w:r>
      <w:r w:rsidR="007C4102">
        <w:t>) para 39.</w:t>
      </w:r>
    </w:p>
  </w:footnote>
  <w:footnote w:id="16">
    <w:p w14:paraId="68C2180B" w14:textId="738AFB01" w:rsidR="00CF648C" w:rsidRDefault="00CF648C" w:rsidP="00CF648C">
      <w:pPr>
        <w:pStyle w:val="FootnoteText"/>
      </w:pPr>
      <w:r>
        <w:rPr>
          <w:rStyle w:val="FootnoteReference"/>
        </w:rPr>
        <w:footnoteRef/>
      </w:r>
      <w:r>
        <w:t xml:space="preserve"> </w:t>
      </w:r>
      <w:r w:rsidRPr="00B23B1D">
        <w:rPr>
          <w:i/>
          <w:iCs/>
        </w:rPr>
        <w:t>Alfred McAlpine</w:t>
      </w:r>
      <w:r w:rsidRPr="00B23B1D">
        <w:t xml:space="preserve"> </w:t>
      </w:r>
      <w:r w:rsidR="00F9003C">
        <w:t xml:space="preserve">(above) </w:t>
      </w:r>
      <w:r w:rsidRPr="00B23B1D">
        <w:t xml:space="preserve">per Corbett </w:t>
      </w:r>
      <w:r>
        <w:t>A</w:t>
      </w:r>
      <w:r w:rsidRPr="00B23B1D">
        <w:t xml:space="preserve">JA at </w:t>
      </w:r>
      <w:r>
        <w:t>532G.</w:t>
      </w:r>
      <w:r w:rsidR="00C60BE7">
        <w:t xml:space="preserve"> </w:t>
      </w:r>
      <w:r w:rsidR="00030234">
        <w:t xml:space="preserve">Neither the majority judgment nor the </w:t>
      </w:r>
      <w:r w:rsidR="003479A2">
        <w:t>j</w:t>
      </w:r>
      <w:r w:rsidR="00030234">
        <w:t>udgment of Jansen JA departed from Corbett AJA’s exposition of the law relating to implied and tacit terms.</w:t>
      </w:r>
    </w:p>
  </w:footnote>
  <w:footnote w:id="17">
    <w:p w14:paraId="18FDD3C0" w14:textId="6E59BB79" w:rsidR="00DB34A0" w:rsidRDefault="00DB34A0">
      <w:pPr>
        <w:pStyle w:val="FootnoteText"/>
      </w:pPr>
      <w:r>
        <w:rPr>
          <w:rStyle w:val="FootnoteReference"/>
        </w:rPr>
        <w:footnoteRef/>
      </w:r>
      <w:r>
        <w:t xml:space="preserve"> </w:t>
      </w:r>
      <w:r w:rsidRPr="007C4102">
        <w:rPr>
          <w:i/>
          <w:iCs/>
        </w:rPr>
        <w:t>South African Forestry Company Ltd v York Timbers Ltd</w:t>
      </w:r>
      <w:r>
        <w:t xml:space="preserve"> </w:t>
      </w:r>
      <w:r w:rsidRPr="007C4102">
        <w:t xml:space="preserve">2005 (3) SA 323 </w:t>
      </w:r>
      <w:r>
        <w:t>(</w:t>
      </w:r>
      <w:r w:rsidRPr="007C4102">
        <w:t>SCA</w:t>
      </w:r>
      <w:r>
        <w:t>)</w:t>
      </w:r>
      <w:r w:rsidRPr="007C4102">
        <w:t xml:space="preserve"> para 28</w:t>
      </w:r>
      <w:r>
        <w:t>.</w:t>
      </w:r>
    </w:p>
  </w:footnote>
  <w:footnote w:id="18">
    <w:p w14:paraId="47215284" w14:textId="362FAB0B" w:rsidR="005F4A0F" w:rsidRDefault="005F4A0F" w:rsidP="004E7DAC">
      <w:pPr>
        <w:pStyle w:val="FootnoteText"/>
      </w:pPr>
      <w:r>
        <w:rPr>
          <w:rStyle w:val="FootnoteReference"/>
        </w:rPr>
        <w:footnoteRef/>
      </w:r>
      <w:r>
        <w:t xml:space="preserve"> </w:t>
      </w:r>
      <w:proofErr w:type="spellStart"/>
      <w:r w:rsidRPr="0056624A">
        <w:rPr>
          <w:i/>
          <w:iCs/>
        </w:rPr>
        <w:t>Beadica</w:t>
      </w:r>
      <w:proofErr w:type="spellEnd"/>
      <w:r>
        <w:t xml:space="preserve"> (above) para 81: “</w:t>
      </w:r>
      <w:r w:rsidR="004E7DAC" w:rsidRPr="004E7DAC">
        <w:rPr>
          <w:i/>
          <w:iCs/>
        </w:rPr>
        <w:t>The rule of law requires that the law be clear and ascertainable</w:t>
      </w:r>
      <w:r w:rsidR="004E7DAC">
        <w:rPr>
          <w:i/>
          <w:iCs/>
        </w:rPr>
        <w:t xml:space="preserve">. … </w:t>
      </w:r>
      <w:r w:rsidR="004E7DAC" w:rsidRPr="004E7DAC">
        <w:rPr>
          <w:i/>
          <w:iCs/>
        </w:rPr>
        <w:t>The</w:t>
      </w:r>
      <w:r w:rsidR="004E7DAC">
        <w:rPr>
          <w:i/>
          <w:iCs/>
        </w:rPr>
        <w:t xml:space="preserve"> </w:t>
      </w:r>
      <w:r w:rsidR="004E7DAC" w:rsidRPr="004E7DAC">
        <w:rPr>
          <w:i/>
          <w:iCs/>
        </w:rPr>
        <w:t>application of the common-law rules of contract should result in reasonably predictable</w:t>
      </w:r>
      <w:r w:rsidR="004E7DAC">
        <w:rPr>
          <w:i/>
          <w:iCs/>
        </w:rPr>
        <w:t xml:space="preserve"> </w:t>
      </w:r>
      <w:r w:rsidR="004E7DAC" w:rsidRPr="004E7DAC">
        <w:rPr>
          <w:i/>
          <w:iCs/>
        </w:rPr>
        <w:t>outcomes,</w:t>
      </w:r>
      <w:r w:rsidR="004E7DAC">
        <w:rPr>
          <w:i/>
          <w:iCs/>
        </w:rPr>
        <w:t xml:space="preserve"> </w:t>
      </w:r>
      <w:r w:rsidR="004E7DAC" w:rsidRPr="004E7DAC">
        <w:rPr>
          <w:i/>
          <w:iCs/>
        </w:rPr>
        <w:t xml:space="preserve">enabling individuals to </w:t>
      </w:r>
      <w:proofErr w:type="gramStart"/>
      <w:r w:rsidR="004E7DAC" w:rsidRPr="004E7DAC">
        <w:rPr>
          <w:i/>
          <w:iCs/>
        </w:rPr>
        <w:t>enter into</w:t>
      </w:r>
      <w:proofErr w:type="gramEnd"/>
      <w:r w:rsidR="004E7DAC" w:rsidRPr="004E7DAC">
        <w:rPr>
          <w:i/>
          <w:iCs/>
        </w:rPr>
        <w:t xml:space="preserve"> contractual relationships with the belief that they</w:t>
      </w:r>
      <w:r w:rsidR="004E7DAC">
        <w:rPr>
          <w:i/>
          <w:iCs/>
        </w:rPr>
        <w:t xml:space="preserve"> </w:t>
      </w:r>
      <w:r w:rsidR="004E7DAC" w:rsidRPr="004E7DAC">
        <w:rPr>
          <w:i/>
          <w:iCs/>
        </w:rPr>
        <w:t>will be able to approach a court to enforce their bargain. It is therefore vital that, in</w:t>
      </w:r>
      <w:r w:rsidR="004E7DAC">
        <w:rPr>
          <w:i/>
          <w:iCs/>
        </w:rPr>
        <w:t xml:space="preserve"> </w:t>
      </w:r>
      <w:r w:rsidR="004E7DAC" w:rsidRPr="004E7DAC">
        <w:rPr>
          <w:i/>
          <w:iCs/>
        </w:rPr>
        <w:t>developing the common law, courts develop clear and ascertainable rules and doctrines that</w:t>
      </w:r>
      <w:r w:rsidR="004E7DAC">
        <w:rPr>
          <w:i/>
          <w:iCs/>
        </w:rPr>
        <w:t xml:space="preserve"> </w:t>
      </w:r>
      <w:r w:rsidR="004E7DAC" w:rsidRPr="004E7DAC">
        <w:rPr>
          <w:i/>
          <w:iCs/>
        </w:rPr>
        <w:t>ensure that our law of contract is substantively fair, whilst at the same time providing</w:t>
      </w:r>
      <w:r w:rsidR="004E7DAC">
        <w:rPr>
          <w:i/>
          <w:iCs/>
        </w:rPr>
        <w:t xml:space="preserve"> </w:t>
      </w:r>
      <w:r w:rsidR="004E7DAC" w:rsidRPr="004E7DAC">
        <w:rPr>
          <w:i/>
          <w:iCs/>
        </w:rPr>
        <w:t>predictable outcomes for contracting parties. This is what the rule of law, a foundational</w:t>
      </w:r>
      <w:r w:rsidR="004E7DAC">
        <w:rPr>
          <w:i/>
          <w:iCs/>
        </w:rPr>
        <w:t xml:space="preserve"> </w:t>
      </w:r>
      <w:r w:rsidR="004E7DAC" w:rsidRPr="004E7DAC">
        <w:rPr>
          <w:i/>
          <w:iCs/>
        </w:rPr>
        <w:t>constitutional value, requires.</w:t>
      </w:r>
      <w:r w:rsidR="004E7DAC">
        <w:rPr>
          <w:i/>
          <w:iCs/>
        </w:rPr>
        <w:t xml:space="preserve"> </w:t>
      </w:r>
      <w:r w:rsidR="004E7DAC" w:rsidRPr="004E7DAC">
        <w:rPr>
          <w:i/>
          <w:iCs/>
        </w:rPr>
        <w:t>The enforcement of contractual terms does not depend on</w:t>
      </w:r>
      <w:r w:rsidR="004E7DAC">
        <w:rPr>
          <w:i/>
          <w:iCs/>
        </w:rPr>
        <w:t xml:space="preserve"> </w:t>
      </w:r>
      <w:r w:rsidR="004E7DAC" w:rsidRPr="004E7DAC">
        <w:rPr>
          <w:i/>
          <w:iCs/>
        </w:rPr>
        <w:t>an individual judge's sense of what fairness, reasonableness and justice require. To hold</w:t>
      </w:r>
      <w:r w:rsidR="004E7DAC">
        <w:rPr>
          <w:i/>
          <w:iCs/>
        </w:rPr>
        <w:t xml:space="preserve"> </w:t>
      </w:r>
      <w:r w:rsidR="004E7DAC" w:rsidRPr="004E7DAC">
        <w:rPr>
          <w:i/>
          <w:iCs/>
        </w:rPr>
        <w:t>otherwise would be to make the enforcement of contractual terms dependent on the</w:t>
      </w:r>
      <w:r w:rsidR="004E7DAC">
        <w:rPr>
          <w:i/>
          <w:iCs/>
        </w:rPr>
        <w:t xml:space="preserve"> </w:t>
      </w:r>
      <w:r w:rsidR="004E7DAC" w:rsidRPr="004E7DAC">
        <w:rPr>
          <w:i/>
          <w:iCs/>
        </w:rPr>
        <w:t>'idiosyncratic inferences of a few judicial minds'. This would introduce an unacceptable</w:t>
      </w:r>
      <w:r w:rsidR="004E7DAC">
        <w:rPr>
          <w:i/>
          <w:iCs/>
        </w:rPr>
        <w:t xml:space="preserve"> </w:t>
      </w:r>
      <w:r w:rsidR="004E7DAC" w:rsidRPr="004E7DAC">
        <w:rPr>
          <w:i/>
          <w:iCs/>
        </w:rPr>
        <w:t>degree of uncertainty into our law of contract. The resultant uncertainty would be inimical to</w:t>
      </w:r>
      <w:r w:rsidR="004E7DAC">
        <w:rPr>
          <w:i/>
          <w:iCs/>
        </w:rPr>
        <w:t xml:space="preserve"> </w:t>
      </w:r>
      <w:r w:rsidR="004E7DAC" w:rsidRPr="004E7DAC">
        <w:rPr>
          <w:i/>
          <w:iCs/>
        </w:rPr>
        <w:t>the rule of law.</w:t>
      </w:r>
      <w:r w:rsidR="004E7DAC">
        <w:t>”</w:t>
      </w:r>
    </w:p>
  </w:footnote>
  <w:footnote w:id="19">
    <w:p w14:paraId="5DDB6429" w14:textId="658B5F7A" w:rsidR="0056624A" w:rsidRDefault="0056624A">
      <w:pPr>
        <w:pStyle w:val="FootnoteText"/>
      </w:pPr>
      <w:r>
        <w:rPr>
          <w:rStyle w:val="FootnoteReference"/>
        </w:rPr>
        <w:footnoteRef/>
      </w:r>
      <w:r>
        <w:t xml:space="preserve"> </w:t>
      </w:r>
      <w:proofErr w:type="spellStart"/>
      <w:r w:rsidRPr="005438D6">
        <w:rPr>
          <w:i/>
          <w:iCs/>
        </w:rPr>
        <w:t>Roazar</w:t>
      </w:r>
      <w:proofErr w:type="spellEnd"/>
      <w:r w:rsidRPr="005438D6">
        <w:rPr>
          <w:i/>
          <w:iCs/>
        </w:rPr>
        <w:t xml:space="preserve"> CC v The Falls Supermarket CC</w:t>
      </w:r>
      <w:r w:rsidRPr="0056624A">
        <w:t> 2018 (3) SA 76 (SCA)</w:t>
      </w:r>
      <w:r>
        <w:t xml:space="preserve"> paras 19 – 22. </w:t>
      </w:r>
    </w:p>
  </w:footnote>
  <w:footnote w:id="20">
    <w:p w14:paraId="72B933BA" w14:textId="083E03C6" w:rsidR="00C60BE7" w:rsidRDefault="00C60BE7">
      <w:pPr>
        <w:pStyle w:val="FootnoteText"/>
      </w:pPr>
      <w:r>
        <w:rPr>
          <w:rStyle w:val="FootnoteReference"/>
        </w:rPr>
        <w:footnoteRef/>
      </w:r>
      <w:r>
        <w:t xml:space="preserve"> Compare the similar difficulties experienced and conclusion reached by the court in</w:t>
      </w:r>
      <w:r w:rsidR="007E3842">
        <w:t xml:space="preserve"> </w:t>
      </w:r>
      <w:r w:rsidR="007C4102" w:rsidRPr="007E3842">
        <w:rPr>
          <w:i/>
          <w:iCs/>
        </w:rPr>
        <w:t xml:space="preserve">Sasol Oil (Pty) Limited v </w:t>
      </w:r>
      <w:proofErr w:type="spellStart"/>
      <w:r w:rsidR="007C4102" w:rsidRPr="007E3842">
        <w:rPr>
          <w:i/>
          <w:iCs/>
        </w:rPr>
        <w:t>Eurozar</w:t>
      </w:r>
      <w:proofErr w:type="spellEnd"/>
      <w:r w:rsidR="007C4102" w:rsidRPr="007E3842">
        <w:rPr>
          <w:i/>
          <w:iCs/>
        </w:rPr>
        <w:t xml:space="preserve"> (Pty) Limited and Others</w:t>
      </w:r>
      <w:r w:rsidR="007C4102" w:rsidRPr="007E3842">
        <w:t xml:space="preserve"> </w:t>
      </w:r>
      <w:r w:rsidR="007C4102">
        <w:t>(</w:t>
      </w:r>
      <w:r w:rsidR="00F9003C">
        <w:t>above</w:t>
      </w:r>
      <w:r w:rsidR="007C4102">
        <w:t xml:space="preserve">) </w:t>
      </w:r>
      <w:r w:rsidR="007E3842">
        <w:t>paras 36 – 43.</w:t>
      </w:r>
    </w:p>
  </w:footnote>
  <w:footnote w:id="21">
    <w:p w14:paraId="37AF1288" w14:textId="2CED46D7" w:rsidR="006F408F" w:rsidRDefault="006F408F" w:rsidP="006F408F">
      <w:pPr>
        <w:pStyle w:val="FootnoteText"/>
      </w:pPr>
      <w:r>
        <w:rPr>
          <w:rStyle w:val="FootnoteReference"/>
        </w:rPr>
        <w:footnoteRef/>
      </w:r>
      <w:r>
        <w:t xml:space="preserve"> </w:t>
      </w:r>
      <w:r w:rsidRPr="008C5408">
        <w:rPr>
          <w:i/>
          <w:iCs/>
        </w:rPr>
        <w:t>Alfred McAlpine</w:t>
      </w:r>
      <w:r w:rsidRPr="008C5408">
        <w:t xml:space="preserve"> </w:t>
      </w:r>
      <w:r w:rsidR="00B86684">
        <w:t xml:space="preserve">(above) </w:t>
      </w:r>
      <w:r w:rsidRPr="008C5408">
        <w:t>at 53</w:t>
      </w:r>
      <w:r>
        <w:t>1H</w:t>
      </w:r>
      <w:r w:rsidRPr="008C5408">
        <w:t>.</w:t>
      </w:r>
    </w:p>
  </w:footnote>
  <w:footnote w:id="22">
    <w:p w14:paraId="42C709C5" w14:textId="17C87EE7" w:rsidR="00392682" w:rsidRDefault="00392682" w:rsidP="00392682">
      <w:pPr>
        <w:pStyle w:val="FootnoteText"/>
      </w:pPr>
      <w:r>
        <w:rPr>
          <w:rStyle w:val="FootnoteReference"/>
        </w:rPr>
        <w:footnoteRef/>
      </w:r>
      <w:r>
        <w:t xml:space="preserve"> </w:t>
      </w:r>
      <w:r w:rsidR="00C7071B" w:rsidRPr="00C7071B">
        <w:t>Id.</w:t>
      </w:r>
      <w:r>
        <w:t xml:space="preserve"> </w:t>
      </w:r>
      <w:r w:rsidRPr="00B23B1D">
        <w:t xml:space="preserve">at </w:t>
      </w:r>
      <w:r>
        <w:t>532H – 533B</w:t>
      </w:r>
      <w:r w:rsidR="003479A2">
        <w:t>.</w:t>
      </w:r>
    </w:p>
  </w:footnote>
  <w:footnote w:id="23">
    <w:p w14:paraId="4795087F" w14:textId="612DDB1B" w:rsidR="00392682" w:rsidRDefault="00392682">
      <w:pPr>
        <w:pStyle w:val="FootnoteText"/>
      </w:pPr>
      <w:r>
        <w:rPr>
          <w:rStyle w:val="FootnoteReference"/>
        </w:rPr>
        <w:footnoteRef/>
      </w:r>
      <w:r>
        <w:t xml:space="preserve"> </w:t>
      </w:r>
      <w:r w:rsidRPr="009979BE">
        <w:rPr>
          <w:i/>
          <w:iCs/>
        </w:rPr>
        <w:t>Wilkens NO v Voges</w:t>
      </w:r>
      <w:r w:rsidRPr="009979BE">
        <w:t xml:space="preserve"> 1994 (3) SA 130 (A) at 137A</w:t>
      </w:r>
      <w:r w:rsidR="003479A2">
        <w:t xml:space="preserve"> – </w:t>
      </w:r>
      <w:r w:rsidRPr="009979BE">
        <w:t>C</w:t>
      </w:r>
      <w:r>
        <w:t>.</w:t>
      </w:r>
    </w:p>
  </w:footnote>
  <w:footnote w:id="24">
    <w:p w14:paraId="628CB7EE" w14:textId="12AFD7C9" w:rsidR="00030234" w:rsidRPr="005872DE" w:rsidRDefault="00030234" w:rsidP="00030234">
      <w:pPr>
        <w:pStyle w:val="FootnoteText"/>
        <w:rPr>
          <w:lang w:val="en-US"/>
        </w:rPr>
      </w:pPr>
      <w:r>
        <w:rPr>
          <w:rStyle w:val="FootnoteReference"/>
        </w:rPr>
        <w:footnoteRef/>
      </w:r>
      <w:r>
        <w:t xml:space="preserve"> </w:t>
      </w:r>
      <w:r w:rsidRPr="005872DE">
        <w:rPr>
          <w:i/>
        </w:rPr>
        <w:t>Techni-Pak Sales (Pty) Ltd v Hall</w:t>
      </w:r>
      <w:r w:rsidRPr="005872DE">
        <w:t xml:space="preserve"> 1968</w:t>
      </w:r>
      <w:r w:rsidR="003479A2">
        <w:t xml:space="preserve"> </w:t>
      </w:r>
      <w:r w:rsidRPr="005872DE">
        <w:t>(3) SA 231 (W) at 236</w:t>
      </w:r>
      <w:r w:rsidR="003479A2">
        <w:t>F – G.</w:t>
      </w:r>
    </w:p>
  </w:footnote>
  <w:footnote w:id="25">
    <w:p w14:paraId="06C43634" w14:textId="1A3048F4" w:rsidR="003479A2" w:rsidRDefault="003479A2">
      <w:pPr>
        <w:pStyle w:val="FootnoteText"/>
      </w:pPr>
      <w:r>
        <w:rPr>
          <w:rStyle w:val="FootnoteReference"/>
        </w:rPr>
        <w:footnoteRef/>
      </w:r>
      <w:r>
        <w:t xml:space="preserve"> </w:t>
      </w:r>
      <w:r w:rsidRPr="0024344C">
        <w:rPr>
          <w:i/>
          <w:iCs/>
        </w:rPr>
        <w:t xml:space="preserve">Desai v </w:t>
      </w:r>
      <w:proofErr w:type="spellStart"/>
      <w:r w:rsidRPr="0024344C">
        <w:rPr>
          <w:i/>
          <w:iCs/>
        </w:rPr>
        <w:t>Greyridge</w:t>
      </w:r>
      <w:proofErr w:type="spellEnd"/>
      <w:r w:rsidRPr="0024344C">
        <w:rPr>
          <w:i/>
          <w:iCs/>
        </w:rPr>
        <w:t xml:space="preserve"> Investments (Pty) Ltd</w:t>
      </w:r>
      <w:r w:rsidRPr="0024344C">
        <w:t xml:space="preserve"> 1974 (1) SA 509 (A) at 522H</w:t>
      </w:r>
      <w:r>
        <w:t xml:space="preserve"> – </w:t>
      </w:r>
      <w:r w:rsidRPr="0024344C">
        <w:t>523</w:t>
      </w:r>
      <w:r>
        <w:t>A.</w:t>
      </w:r>
    </w:p>
  </w:footnote>
  <w:footnote w:id="26">
    <w:p w14:paraId="77D71B8B" w14:textId="79E43042" w:rsidR="00D00C1D" w:rsidRDefault="00D00C1D">
      <w:pPr>
        <w:pStyle w:val="FootnoteText"/>
      </w:pPr>
      <w:r>
        <w:rPr>
          <w:rStyle w:val="FootnoteReference"/>
        </w:rPr>
        <w:footnoteRef/>
      </w:r>
      <w:r>
        <w:t xml:space="preserve"> Although it is not relevant, </w:t>
      </w:r>
      <w:r w:rsidRPr="00560427">
        <w:rPr>
          <w:rFonts w:cs="Arial"/>
        </w:rPr>
        <w:t xml:space="preserve">the uncontradicted evidence shows that the respondent’s attorneys were notified of the content of the order </w:t>
      </w:r>
      <w:r>
        <w:rPr>
          <w:rFonts w:cs="Arial"/>
        </w:rPr>
        <w:t xml:space="preserve">as handed down </w:t>
      </w:r>
      <w:r w:rsidRPr="00560427">
        <w:rPr>
          <w:rFonts w:cs="Arial"/>
        </w:rPr>
        <w:t>by email at 12h29 on the same day</w:t>
      </w:r>
      <w:r>
        <w:rPr>
          <w:rFonts w:cs="Arial"/>
        </w:rPr>
        <w:t>.</w:t>
      </w:r>
    </w:p>
  </w:footnote>
  <w:footnote w:id="27">
    <w:p w14:paraId="7AF604D2" w14:textId="48801984" w:rsidR="00560427" w:rsidRDefault="00560427">
      <w:pPr>
        <w:pStyle w:val="FootnoteText"/>
      </w:pPr>
      <w:r>
        <w:rPr>
          <w:rStyle w:val="FootnoteReference"/>
        </w:rPr>
        <w:footnoteRef/>
      </w:r>
      <w:r>
        <w:t xml:space="preserve"> Rule 1, definition of “court day”: “</w:t>
      </w:r>
      <w:r w:rsidRPr="00560427">
        <w:rPr>
          <w:i/>
          <w:iCs/>
        </w:rPr>
        <w:t>only court days shall be included in the computation of any time expressed in days prescribed by these rules or fixed by any order of court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B26" w14:textId="27D11623"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7838C0">
      <w:rPr>
        <w:rFonts w:ascii="Arial" w:hAnsi="Arial" w:cs="Arial"/>
        <w:noProof/>
        <w:sz w:val="24"/>
        <w:szCs w:val="24"/>
      </w:rPr>
      <w:t>4</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158FE"/>
    <w:multiLevelType w:val="multilevel"/>
    <w:tmpl w:val="9A6E006A"/>
    <w:lvl w:ilvl="0">
      <w:start w:val="1"/>
      <w:numFmt w:val="decimal"/>
      <w:pStyle w:val="LCORder"/>
      <w:lvlText w:val="%1."/>
      <w:lvlJc w:val="left"/>
      <w:pPr>
        <w:ind w:left="1080" w:hanging="360"/>
      </w:pPr>
    </w:lvl>
    <w:lvl w:ilvl="1">
      <w:start w:val="1"/>
      <w:numFmt w:val="decimal"/>
      <w:pStyle w:val="LCOrder2"/>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9B09B3"/>
    <w:multiLevelType w:val="hybridMultilevel"/>
    <w:tmpl w:val="B82AB46A"/>
    <w:lvl w:ilvl="0" w:tplc="7C58C6CA">
      <w:start w:val="1"/>
      <w:numFmt w:val="decimal"/>
      <w:pStyle w:val="LC1"/>
      <w:lvlText w:val="[%1]"/>
      <w:lvlJc w:val="left"/>
      <w:pPr>
        <w:ind w:left="644" w:hanging="360"/>
      </w:pPr>
      <w:rPr>
        <w:rFonts w:ascii="Arial" w:hAnsi="Arial" w:cs="Arial" w:hint="default"/>
        <w:b w:val="0"/>
        <w:sz w:val="24"/>
        <w:szCs w:val="24"/>
      </w:rPr>
    </w:lvl>
    <w:lvl w:ilvl="1" w:tplc="C8FE34E2">
      <w:start w:val="1"/>
      <w:numFmt w:val="lowerLetter"/>
      <w:pStyle w:val="LC2"/>
      <w:lvlText w:val="(%2)"/>
      <w:lvlJc w:val="left"/>
      <w:pPr>
        <w:ind w:left="1364" w:hanging="360"/>
      </w:pPr>
      <w:rPr>
        <w:rFonts w:hint="default"/>
      </w:r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7"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844058337">
    <w:abstractNumId w:val="4"/>
  </w:num>
  <w:num w:numId="2" w16cid:durableId="452796535">
    <w:abstractNumId w:val="0"/>
  </w:num>
  <w:num w:numId="3" w16cid:durableId="572281783">
    <w:abstractNumId w:val="4"/>
  </w:num>
  <w:num w:numId="4" w16cid:durableId="1632711876">
    <w:abstractNumId w:val="4"/>
  </w:num>
  <w:num w:numId="5" w16cid:durableId="1643852252">
    <w:abstractNumId w:val="4"/>
  </w:num>
  <w:num w:numId="6" w16cid:durableId="1447580669">
    <w:abstractNumId w:val="4"/>
  </w:num>
  <w:num w:numId="7" w16cid:durableId="753013792">
    <w:abstractNumId w:val="4"/>
  </w:num>
  <w:num w:numId="8" w16cid:durableId="1670020231">
    <w:abstractNumId w:val="4"/>
  </w:num>
  <w:num w:numId="9" w16cid:durableId="1262957720">
    <w:abstractNumId w:val="4"/>
  </w:num>
  <w:num w:numId="10" w16cid:durableId="2108621688">
    <w:abstractNumId w:val="6"/>
  </w:num>
  <w:num w:numId="11" w16cid:durableId="1430080101">
    <w:abstractNumId w:val="7"/>
  </w:num>
  <w:num w:numId="12" w16cid:durableId="710424785">
    <w:abstractNumId w:val="4"/>
  </w:num>
  <w:num w:numId="13" w16cid:durableId="43794846">
    <w:abstractNumId w:val="4"/>
  </w:num>
  <w:num w:numId="14" w16cid:durableId="358430268">
    <w:abstractNumId w:val="4"/>
  </w:num>
  <w:num w:numId="15" w16cid:durableId="638654716">
    <w:abstractNumId w:val="4"/>
  </w:num>
  <w:num w:numId="16" w16cid:durableId="1592350455">
    <w:abstractNumId w:val="4"/>
  </w:num>
  <w:num w:numId="17" w16cid:durableId="948507209">
    <w:abstractNumId w:val="4"/>
  </w:num>
  <w:num w:numId="18" w16cid:durableId="407194934">
    <w:abstractNumId w:val="4"/>
  </w:num>
  <w:num w:numId="19" w16cid:durableId="1576089110">
    <w:abstractNumId w:val="4"/>
  </w:num>
  <w:num w:numId="20" w16cid:durableId="1802074300">
    <w:abstractNumId w:val="4"/>
  </w:num>
  <w:num w:numId="21" w16cid:durableId="1110971998">
    <w:abstractNumId w:val="4"/>
  </w:num>
  <w:num w:numId="22" w16cid:durableId="679504050">
    <w:abstractNumId w:val="4"/>
  </w:num>
  <w:num w:numId="23" w16cid:durableId="181600654">
    <w:abstractNumId w:val="4"/>
  </w:num>
  <w:num w:numId="24" w16cid:durableId="69160003">
    <w:abstractNumId w:val="4"/>
  </w:num>
  <w:num w:numId="25" w16cid:durableId="810027017">
    <w:abstractNumId w:val="4"/>
  </w:num>
  <w:num w:numId="26" w16cid:durableId="1465123406">
    <w:abstractNumId w:val="4"/>
  </w:num>
  <w:num w:numId="27" w16cid:durableId="996763434">
    <w:abstractNumId w:val="4"/>
  </w:num>
  <w:num w:numId="28" w16cid:durableId="849953091">
    <w:abstractNumId w:val="4"/>
  </w:num>
  <w:num w:numId="29" w16cid:durableId="831683449">
    <w:abstractNumId w:val="4"/>
  </w:num>
  <w:num w:numId="30" w16cid:durableId="1510483936">
    <w:abstractNumId w:val="4"/>
  </w:num>
  <w:num w:numId="31" w16cid:durableId="1802844949">
    <w:abstractNumId w:val="4"/>
  </w:num>
  <w:num w:numId="32" w16cid:durableId="1901673298">
    <w:abstractNumId w:val="4"/>
  </w:num>
  <w:num w:numId="33" w16cid:durableId="210003594">
    <w:abstractNumId w:val="4"/>
  </w:num>
  <w:num w:numId="34" w16cid:durableId="1887640140">
    <w:abstractNumId w:val="4"/>
  </w:num>
  <w:num w:numId="35" w16cid:durableId="1228033002">
    <w:abstractNumId w:val="3"/>
  </w:num>
  <w:num w:numId="36" w16cid:durableId="75641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8413431">
    <w:abstractNumId w:val="2"/>
  </w:num>
  <w:num w:numId="38" w16cid:durableId="904490348">
    <w:abstractNumId w:val="1"/>
  </w:num>
  <w:num w:numId="39" w16cid:durableId="1543250520">
    <w:abstractNumId w:val="5"/>
  </w:num>
  <w:num w:numId="40" w16cid:durableId="559294716">
    <w:abstractNumId w:val="9"/>
  </w:num>
  <w:num w:numId="41" w16cid:durableId="703142616">
    <w:abstractNumId w:val="8"/>
  </w:num>
  <w:num w:numId="42" w16cid:durableId="197795547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C"/>
    <w:rsid w:val="000003E7"/>
    <w:rsid w:val="000012A6"/>
    <w:rsid w:val="00001F4A"/>
    <w:rsid w:val="00003782"/>
    <w:rsid w:val="00003803"/>
    <w:rsid w:val="00004549"/>
    <w:rsid w:val="00004D23"/>
    <w:rsid w:val="0000706E"/>
    <w:rsid w:val="000073C9"/>
    <w:rsid w:val="0001167B"/>
    <w:rsid w:val="0001502E"/>
    <w:rsid w:val="00020CB0"/>
    <w:rsid w:val="0002226B"/>
    <w:rsid w:val="00022C83"/>
    <w:rsid w:val="00022F6D"/>
    <w:rsid w:val="0002662D"/>
    <w:rsid w:val="00030234"/>
    <w:rsid w:val="00031365"/>
    <w:rsid w:val="00031BDD"/>
    <w:rsid w:val="000341CA"/>
    <w:rsid w:val="00034E66"/>
    <w:rsid w:val="000351B2"/>
    <w:rsid w:val="00044A38"/>
    <w:rsid w:val="00045FEF"/>
    <w:rsid w:val="00050A11"/>
    <w:rsid w:val="000510E6"/>
    <w:rsid w:val="000520DA"/>
    <w:rsid w:val="0006394C"/>
    <w:rsid w:val="00064401"/>
    <w:rsid w:val="00065E5C"/>
    <w:rsid w:val="00070100"/>
    <w:rsid w:val="00070375"/>
    <w:rsid w:val="000716A9"/>
    <w:rsid w:val="00072AB8"/>
    <w:rsid w:val="00074CFD"/>
    <w:rsid w:val="00077868"/>
    <w:rsid w:val="000824F1"/>
    <w:rsid w:val="00082F4A"/>
    <w:rsid w:val="000831B3"/>
    <w:rsid w:val="000833AD"/>
    <w:rsid w:val="00085E78"/>
    <w:rsid w:val="000903E7"/>
    <w:rsid w:val="00094012"/>
    <w:rsid w:val="00094DFD"/>
    <w:rsid w:val="000A2519"/>
    <w:rsid w:val="000A6817"/>
    <w:rsid w:val="000B1421"/>
    <w:rsid w:val="000B3E04"/>
    <w:rsid w:val="000B670C"/>
    <w:rsid w:val="000C0393"/>
    <w:rsid w:val="000C6122"/>
    <w:rsid w:val="000C785F"/>
    <w:rsid w:val="000C7D79"/>
    <w:rsid w:val="000D0102"/>
    <w:rsid w:val="000D011D"/>
    <w:rsid w:val="000D3349"/>
    <w:rsid w:val="000D67C6"/>
    <w:rsid w:val="000D6B38"/>
    <w:rsid w:val="000D7741"/>
    <w:rsid w:val="000E2737"/>
    <w:rsid w:val="000E3458"/>
    <w:rsid w:val="000E37F3"/>
    <w:rsid w:val="000E6595"/>
    <w:rsid w:val="000E6B70"/>
    <w:rsid w:val="000E6CBA"/>
    <w:rsid w:val="000E77CD"/>
    <w:rsid w:val="000F1D23"/>
    <w:rsid w:val="000F20C7"/>
    <w:rsid w:val="000F2126"/>
    <w:rsid w:val="000F6111"/>
    <w:rsid w:val="00100D7D"/>
    <w:rsid w:val="001020DE"/>
    <w:rsid w:val="00110166"/>
    <w:rsid w:val="001129AE"/>
    <w:rsid w:val="001138A4"/>
    <w:rsid w:val="00117061"/>
    <w:rsid w:val="00122E7C"/>
    <w:rsid w:val="001317DB"/>
    <w:rsid w:val="00133185"/>
    <w:rsid w:val="0013376C"/>
    <w:rsid w:val="00133791"/>
    <w:rsid w:val="0013396B"/>
    <w:rsid w:val="00134416"/>
    <w:rsid w:val="0013446D"/>
    <w:rsid w:val="00144D8F"/>
    <w:rsid w:val="001525A0"/>
    <w:rsid w:val="00153263"/>
    <w:rsid w:val="00155545"/>
    <w:rsid w:val="00161742"/>
    <w:rsid w:val="00161768"/>
    <w:rsid w:val="00167596"/>
    <w:rsid w:val="001772D1"/>
    <w:rsid w:val="00177A2D"/>
    <w:rsid w:val="00185305"/>
    <w:rsid w:val="00185D04"/>
    <w:rsid w:val="001869B1"/>
    <w:rsid w:val="0018761E"/>
    <w:rsid w:val="00190F5B"/>
    <w:rsid w:val="001913F8"/>
    <w:rsid w:val="0019412F"/>
    <w:rsid w:val="001941AE"/>
    <w:rsid w:val="00194624"/>
    <w:rsid w:val="00195948"/>
    <w:rsid w:val="001A03F9"/>
    <w:rsid w:val="001A066C"/>
    <w:rsid w:val="001A2909"/>
    <w:rsid w:val="001A42D3"/>
    <w:rsid w:val="001A55DB"/>
    <w:rsid w:val="001A66FF"/>
    <w:rsid w:val="001B05F3"/>
    <w:rsid w:val="001B5CB4"/>
    <w:rsid w:val="001B66D5"/>
    <w:rsid w:val="001B7FDB"/>
    <w:rsid w:val="001C0EBD"/>
    <w:rsid w:val="001C1ED3"/>
    <w:rsid w:val="001C338F"/>
    <w:rsid w:val="001C68F7"/>
    <w:rsid w:val="001D1B17"/>
    <w:rsid w:val="001D2FCD"/>
    <w:rsid w:val="001D3CAA"/>
    <w:rsid w:val="001D3DE1"/>
    <w:rsid w:val="001D73D1"/>
    <w:rsid w:val="001E1934"/>
    <w:rsid w:val="001E2746"/>
    <w:rsid w:val="001E2BDF"/>
    <w:rsid w:val="001E3C4A"/>
    <w:rsid w:val="001E6505"/>
    <w:rsid w:val="001F3346"/>
    <w:rsid w:val="001F40A2"/>
    <w:rsid w:val="001F41FC"/>
    <w:rsid w:val="0020038A"/>
    <w:rsid w:val="002011CA"/>
    <w:rsid w:val="00201D94"/>
    <w:rsid w:val="0020470F"/>
    <w:rsid w:val="002079F3"/>
    <w:rsid w:val="0021136D"/>
    <w:rsid w:val="002131B0"/>
    <w:rsid w:val="00214702"/>
    <w:rsid w:val="002153EB"/>
    <w:rsid w:val="0021615D"/>
    <w:rsid w:val="002204D4"/>
    <w:rsid w:val="0022201A"/>
    <w:rsid w:val="00223659"/>
    <w:rsid w:val="00225C87"/>
    <w:rsid w:val="0022691E"/>
    <w:rsid w:val="002307DC"/>
    <w:rsid w:val="00231758"/>
    <w:rsid w:val="00232AAA"/>
    <w:rsid w:val="002354C7"/>
    <w:rsid w:val="0023710F"/>
    <w:rsid w:val="00240BD7"/>
    <w:rsid w:val="0024344C"/>
    <w:rsid w:val="00243FFB"/>
    <w:rsid w:val="002458DA"/>
    <w:rsid w:val="00247065"/>
    <w:rsid w:val="002478EC"/>
    <w:rsid w:val="002507E7"/>
    <w:rsid w:val="00250CA2"/>
    <w:rsid w:val="00252EA0"/>
    <w:rsid w:val="00254A2A"/>
    <w:rsid w:val="002568A5"/>
    <w:rsid w:val="00261518"/>
    <w:rsid w:val="00262145"/>
    <w:rsid w:val="00264164"/>
    <w:rsid w:val="00264DBD"/>
    <w:rsid w:val="00272CC9"/>
    <w:rsid w:val="002738F6"/>
    <w:rsid w:val="0027476A"/>
    <w:rsid w:val="00275348"/>
    <w:rsid w:val="002760A9"/>
    <w:rsid w:val="00281AA5"/>
    <w:rsid w:val="00283AE9"/>
    <w:rsid w:val="00284935"/>
    <w:rsid w:val="0028506A"/>
    <w:rsid w:val="00287983"/>
    <w:rsid w:val="002904E8"/>
    <w:rsid w:val="002914E3"/>
    <w:rsid w:val="0029341D"/>
    <w:rsid w:val="002943CC"/>
    <w:rsid w:val="00294703"/>
    <w:rsid w:val="002951E4"/>
    <w:rsid w:val="002A263A"/>
    <w:rsid w:val="002A2834"/>
    <w:rsid w:val="002A5354"/>
    <w:rsid w:val="002A6A82"/>
    <w:rsid w:val="002A7501"/>
    <w:rsid w:val="002B074C"/>
    <w:rsid w:val="002B29E2"/>
    <w:rsid w:val="002B4682"/>
    <w:rsid w:val="002C2804"/>
    <w:rsid w:val="002C4033"/>
    <w:rsid w:val="002C4D66"/>
    <w:rsid w:val="002D425A"/>
    <w:rsid w:val="002E3F6F"/>
    <w:rsid w:val="002E4D46"/>
    <w:rsid w:val="002F1953"/>
    <w:rsid w:val="002F2303"/>
    <w:rsid w:val="002F2B6F"/>
    <w:rsid w:val="002F7EA9"/>
    <w:rsid w:val="00300C56"/>
    <w:rsid w:val="00302B56"/>
    <w:rsid w:val="003031DE"/>
    <w:rsid w:val="00303C39"/>
    <w:rsid w:val="0030632A"/>
    <w:rsid w:val="00306A29"/>
    <w:rsid w:val="0030779C"/>
    <w:rsid w:val="00311B83"/>
    <w:rsid w:val="00316A03"/>
    <w:rsid w:val="00316BB4"/>
    <w:rsid w:val="00316EB2"/>
    <w:rsid w:val="00323262"/>
    <w:rsid w:val="00323CEC"/>
    <w:rsid w:val="00333F6D"/>
    <w:rsid w:val="00334249"/>
    <w:rsid w:val="00336F16"/>
    <w:rsid w:val="003370D2"/>
    <w:rsid w:val="00337B1B"/>
    <w:rsid w:val="0034240A"/>
    <w:rsid w:val="00342CE8"/>
    <w:rsid w:val="00343523"/>
    <w:rsid w:val="003438A1"/>
    <w:rsid w:val="00344610"/>
    <w:rsid w:val="003479A2"/>
    <w:rsid w:val="0035787D"/>
    <w:rsid w:val="00366EC7"/>
    <w:rsid w:val="00367FE4"/>
    <w:rsid w:val="00371EAC"/>
    <w:rsid w:val="00374424"/>
    <w:rsid w:val="00375189"/>
    <w:rsid w:val="00383DE0"/>
    <w:rsid w:val="003843A1"/>
    <w:rsid w:val="003844CD"/>
    <w:rsid w:val="00387D95"/>
    <w:rsid w:val="00387E2B"/>
    <w:rsid w:val="00392682"/>
    <w:rsid w:val="0039293C"/>
    <w:rsid w:val="00393CFC"/>
    <w:rsid w:val="00394257"/>
    <w:rsid w:val="00394A38"/>
    <w:rsid w:val="0039695C"/>
    <w:rsid w:val="003A1345"/>
    <w:rsid w:val="003A18A9"/>
    <w:rsid w:val="003A1E5C"/>
    <w:rsid w:val="003A25F7"/>
    <w:rsid w:val="003A2784"/>
    <w:rsid w:val="003A4811"/>
    <w:rsid w:val="003B1C0D"/>
    <w:rsid w:val="003B1D36"/>
    <w:rsid w:val="003B39F8"/>
    <w:rsid w:val="003B5ACF"/>
    <w:rsid w:val="003B7448"/>
    <w:rsid w:val="003C0FEE"/>
    <w:rsid w:val="003C133F"/>
    <w:rsid w:val="003C39BB"/>
    <w:rsid w:val="003C4F1C"/>
    <w:rsid w:val="003C7A31"/>
    <w:rsid w:val="003D13A1"/>
    <w:rsid w:val="003D25E6"/>
    <w:rsid w:val="003D2AD1"/>
    <w:rsid w:val="003D60A9"/>
    <w:rsid w:val="003D6B4C"/>
    <w:rsid w:val="003D736C"/>
    <w:rsid w:val="003E4340"/>
    <w:rsid w:val="003E5CCD"/>
    <w:rsid w:val="003E6F2D"/>
    <w:rsid w:val="003F0485"/>
    <w:rsid w:val="003F0A4D"/>
    <w:rsid w:val="003F1021"/>
    <w:rsid w:val="003F7818"/>
    <w:rsid w:val="003F7CBD"/>
    <w:rsid w:val="004005B6"/>
    <w:rsid w:val="00400C5A"/>
    <w:rsid w:val="00401C97"/>
    <w:rsid w:val="00406476"/>
    <w:rsid w:val="004071E9"/>
    <w:rsid w:val="004209D8"/>
    <w:rsid w:val="004229C3"/>
    <w:rsid w:val="004268B9"/>
    <w:rsid w:val="00427C68"/>
    <w:rsid w:val="004341D0"/>
    <w:rsid w:val="00434D85"/>
    <w:rsid w:val="00434D9D"/>
    <w:rsid w:val="0043517E"/>
    <w:rsid w:val="0044726A"/>
    <w:rsid w:val="00450395"/>
    <w:rsid w:val="004574CF"/>
    <w:rsid w:val="00457C05"/>
    <w:rsid w:val="00461C58"/>
    <w:rsid w:val="004631CF"/>
    <w:rsid w:val="00467FAE"/>
    <w:rsid w:val="00470CB2"/>
    <w:rsid w:val="00481CA5"/>
    <w:rsid w:val="004836EE"/>
    <w:rsid w:val="00485082"/>
    <w:rsid w:val="00485A06"/>
    <w:rsid w:val="00485BE2"/>
    <w:rsid w:val="00485D51"/>
    <w:rsid w:val="004871E9"/>
    <w:rsid w:val="0049213A"/>
    <w:rsid w:val="00493927"/>
    <w:rsid w:val="0049403D"/>
    <w:rsid w:val="004A482E"/>
    <w:rsid w:val="004A61E8"/>
    <w:rsid w:val="004A72C3"/>
    <w:rsid w:val="004B1046"/>
    <w:rsid w:val="004B3172"/>
    <w:rsid w:val="004B70F3"/>
    <w:rsid w:val="004C1163"/>
    <w:rsid w:val="004C209D"/>
    <w:rsid w:val="004C224F"/>
    <w:rsid w:val="004D059C"/>
    <w:rsid w:val="004D2CC7"/>
    <w:rsid w:val="004D4A30"/>
    <w:rsid w:val="004D7420"/>
    <w:rsid w:val="004D7D98"/>
    <w:rsid w:val="004E1D44"/>
    <w:rsid w:val="004E2571"/>
    <w:rsid w:val="004E2B12"/>
    <w:rsid w:val="004E3832"/>
    <w:rsid w:val="004E3B4E"/>
    <w:rsid w:val="004E4A55"/>
    <w:rsid w:val="004E69F1"/>
    <w:rsid w:val="004E6DBC"/>
    <w:rsid w:val="004E7DAC"/>
    <w:rsid w:val="004F239B"/>
    <w:rsid w:val="004F4CC1"/>
    <w:rsid w:val="004F4D7E"/>
    <w:rsid w:val="00502C6E"/>
    <w:rsid w:val="00504B76"/>
    <w:rsid w:val="00505F2B"/>
    <w:rsid w:val="00506722"/>
    <w:rsid w:val="0050762B"/>
    <w:rsid w:val="0051292F"/>
    <w:rsid w:val="00516A81"/>
    <w:rsid w:val="005231BF"/>
    <w:rsid w:val="00530650"/>
    <w:rsid w:val="00531A72"/>
    <w:rsid w:val="00535053"/>
    <w:rsid w:val="005357A4"/>
    <w:rsid w:val="00536906"/>
    <w:rsid w:val="005435A9"/>
    <w:rsid w:val="005438D6"/>
    <w:rsid w:val="00544C8B"/>
    <w:rsid w:val="0055113E"/>
    <w:rsid w:val="00554368"/>
    <w:rsid w:val="00555228"/>
    <w:rsid w:val="0055724B"/>
    <w:rsid w:val="00560305"/>
    <w:rsid w:val="00560427"/>
    <w:rsid w:val="00560AE9"/>
    <w:rsid w:val="00560CB2"/>
    <w:rsid w:val="00564164"/>
    <w:rsid w:val="00564B8A"/>
    <w:rsid w:val="0056624A"/>
    <w:rsid w:val="0056687A"/>
    <w:rsid w:val="00566A8C"/>
    <w:rsid w:val="00567801"/>
    <w:rsid w:val="005708F6"/>
    <w:rsid w:val="00573912"/>
    <w:rsid w:val="0057469B"/>
    <w:rsid w:val="0057634C"/>
    <w:rsid w:val="00576DC0"/>
    <w:rsid w:val="0058318E"/>
    <w:rsid w:val="00583873"/>
    <w:rsid w:val="00584B23"/>
    <w:rsid w:val="00585F72"/>
    <w:rsid w:val="00586825"/>
    <w:rsid w:val="00590502"/>
    <w:rsid w:val="005938AC"/>
    <w:rsid w:val="0059397B"/>
    <w:rsid w:val="005953FD"/>
    <w:rsid w:val="00596448"/>
    <w:rsid w:val="005A1B4D"/>
    <w:rsid w:val="005A3E6A"/>
    <w:rsid w:val="005A502D"/>
    <w:rsid w:val="005A62D4"/>
    <w:rsid w:val="005B1663"/>
    <w:rsid w:val="005B32F4"/>
    <w:rsid w:val="005B3C6E"/>
    <w:rsid w:val="005C44C8"/>
    <w:rsid w:val="005C740A"/>
    <w:rsid w:val="005D1628"/>
    <w:rsid w:val="005D57E2"/>
    <w:rsid w:val="005D6850"/>
    <w:rsid w:val="005E3464"/>
    <w:rsid w:val="005E4F44"/>
    <w:rsid w:val="005E5030"/>
    <w:rsid w:val="005E52B8"/>
    <w:rsid w:val="005F1181"/>
    <w:rsid w:val="005F3753"/>
    <w:rsid w:val="005F4A0F"/>
    <w:rsid w:val="005F514C"/>
    <w:rsid w:val="005F7C9A"/>
    <w:rsid w:val="00602402"/>
    <w:rsid w:val="00610740"/>
    <w:rsid w:val="00612618"/>
    <w:rsid w:val="00615C8B"/>
    <w:rsid w:val="00620527"/>
    <w:rsid w:val="0062053B"/>
    <w:rsid w:val="00620927"/>
    <w:rsid w:val="00620A35"/>
    <w:rsid w:val="00620C55"/>
    <w:rsid w:val="00620C69"/>
    <w:rsid w:val="0062116D"/>
    <w:rsid w:val="00623306"/>
    <w:rsid w:val="00626354"/>
    <w:rsid w:val="00631A43"/>
    <w:rsid w:val="0064691B"/>
    <w:rsid w:val="00650039"/>
    <w:rsid w:val="00656B16"/>
    <w:rsid w:val="00660038"/>
    <w:rsid w:val="00660D19"/>
    <w:rsid w:val="00662878"/>
    <w:rsid w:val="00663206"/>
    <w:rsid w:val="00664551"/>
    <w:rsid w:val="00665B87"/>
    <w:rsid w:val="00671349"/>
    <w:rsid w:val="00671E88"/>
    <w:rsid w:val="00672E25"/>
    <w:rsid w:val="00675086"/>
    <w:rsid w:val="00675D4C"/>
    <w:rsid w:val="00675FDD"/>
    <w:rsid w:val="00680B20"/>
    <w:rsid w:val="0068156F"/>
    <w:rsid w:val="00681DB6"/>
    <w:rsid w:val="00685BFC"/>
    <w:rsid w:val="00685F17"/>
    <w:rsid w:val="00687D65"/>
    <w:rsid w:val="006910D5"/>
    <w:rsid w:val="00691BB1"/>
    <w:rsid w:val="00693017"/>
    <w:rsid w:val="00694EDB"/>
    <w:rsid w:val="006A19A2"/>
    <w:rsid w:val="006A3D25"/>
    <w:rsid w:val="006A5165"/>
    <w:rsid w:val="006A62B2"/>
    <w:rsid w:val="006B005F"/>
    <w:rsid w:val="006B00FC"/>
    <w:rsid w:val="006B1C26"/>
    <w:rsid w:val="006B3093"/>
    <w:rsid w:val="006B520A"/>
    <w:rsid w:val="006B612E"/>
    <w:rsid w:val="006C49A0"/>
    <w:rsid w:val="006C50B9"/>
    <w:rsid w:val="006C7710"/>
    <w:rsid w:val="006C790B"/>
    <w:rsid w:val="006C7A09"/>
    <w:rsid w:val="006D0194"/>
    <w:rsid w:val="006D05EB"/>
    <w:rsid w:val="006D1DEE"/>
    <w:rsid w:val="006D27A4"/>
    <w:rsid w:val="006D562E"/>
    <w:rsid w:val="006E19FB"/>
    <w:rsid w:val="006E2C57"/>
    <w:rsid w:val="006E386D"/>
    <w:rsid w:val="006E50DF"/>
    <w:rsid w:val="006E637D"/>
    <w:rsid w:val="006F3C07"/>
    <w:rsid w:val="006F408F"/>
    <w:rsid w:val="006F471F"/>
    <w:rsid w:val="00700C67"/>
    <w:rsid w:val="007046ED"/>
    <w:rsid w:val="00706851"/>
    <w:rsid w:val="00706DEF"/>
    <w:rsid w:val="00717608"/>
    <w:rsid w:val="0072490A"/>
    <w:rsid w:val="00724B0A"/>
    <w:rsid w:val="00730BAC"/>
    <w:rsid w:val="00731CD4"/>
    <w:rsid w:val="0073729E"/>
    <w:rsid w:val="0074170E"/>
    <w:rsid w:val="00745C12"/>
    <w:rsid w:val="0074639A"/>
    <w:rsid w:val="007532D7"/>
    <w:rsid w:val="007539E6"/>
    <w:rsid w:val="00753D4C"/>
    <w:rsid w:val="007553D6"/>
    <w:rsid w:val="00760412"/>
    <w:rsid w:val="00760602"/>
    <w:rsid w:val="007613D7"/>
    <w:rsid w:val="00763359"/>
    <w:rsid w:val="00775584"/>
    <w:rsid w:val="00776390"/>
    <w:rsid w:val="007779D1"/>
    <w:rsid w:val="00781AF9"/>
    <w:rsid w:val="00781F5F"/>
    <w:rsid w:val="007838C0"/>
    <w:rsid w:val="00783F25"/>
    <w:rsid w:val="00785DCD"/>
    <w:rsid w:val="0079002D"/>
    <w:rsid w:val="007902AB"/>
    <w:rsid w:val="0079152D"/>
    <w:rsid w:val="007917EC"/>
    <w:rsid w:val="00792BFA"/>
    <w:rsid w:val="0079463F"/>
    <w:rsid w:val="00796A89"/>
    <w:rsid w:val="007A16E2"/>
    <w:rsid w:val="007A5A73"/>
    <w:rsid w:val="007A5DD7"/>
    <w:rsid w:val="007A5E17"/>
    <w:rsid w:val="007A6630"/>
    <w:rsid w:val="007A67C3"/>
    <w:rsid w:val="007B07F7"/>
    <w:rsid w:val="007B42C5"/>
    <w:rsid w:val="007B6259"/>
    <w:rsid w:val="007B70A2"/>
    <w:rsid w:val="007B798F"/>
    <w:rsid w:val="007C03FB"/>
    <w:rsid w:val="007C207B"/>
    <w:rsid w:val="007C280E"/>
    <w:rsid w:val="007C2DD4"/>
    <w:rsid w:val="007C3650"/>
    <w:rsid w:val="007C4102"/>
    <w:rsid w:val="007C4413"/>
    <w:rsid w:val="007C5194"/>
    <w:rsid w:val="007C54A7"/>
    <w:rsid w:val="007D0658"/>
    <w:rsid w:val="007D3888"/>
    <w:rsid w:val="007D42D7"/>
    <w:rsid w:val="007D51E5"/>
    <w:rsid w:val="007D71FD"/>
    <w:rsid w:val="007D736B"/>
    <w:rsid w:val="007E0C74"/>
    <w:rsid w:val="007E2A9E"/>
    <w:rsid w:val="007E3842"/>
    <w:rsid w:val="007E3918"/>
    <w:rsid w:val="007E686C"/>
    <w:rsid w:val="007E6AAD"/>
    <w:rsid w:val="007F7616"/>
    <w:rsid w:val="0080031B"/>
    <w:rsid w:val="00801B76"/>
    <w:rsid w:val="00802253"/>
    <w:rsid w:val="0080454C"/>
    <w:rsid w:val="00807B64"/>
    <w:rsid w:val="0081091C"/>
    <w:rsid w:val="008140DD"/>
    <w:rsid w:val="00817F18"/>
    <w:rsid w:val="008219AD"/>
    <w:rsid w:val="008254FE"/>
    <w:rsid w:val="0082557F"/>
    <w:rsid w:val="00826605"/>
    <w:rsid w:val="00831041"/>
    <w:rsid w:val="00833CEF"/>
    <w:rsid w:val="00833FC0"/>
    <w:rsid w:val="0083515A"/>
    <w:rsid w:val="00835906"/>
    <w:rsid w:val="00841F0F"/>
    <w:rsid w:val="008435C3"/>
    <w:rsid w:val="008436FD"/>
    <w:rsid w:val="0084389A"/>
    <w:rsid w:val="0084518E"/>
    <w:rsid w:val="00851F01"/>
    <w:rsid w:val="00857B95"/>
    <w:rsid w:val="00857BA7"/>
    <w:rsid w:val="00860E3A"/>
    <w:rsid w:val="0086169E"/>
    <w:rsid w:val="00870882"/>
    <w:rsid w:val="00872FB8"/>
    <w:rsid w:val="00874D3C"/>
    <w:rsid w:val="0087624D"/>
    <w:rsid w:val="008775CD"/>
    <w:rsid w:val="00880050"/>
    <w:rsid w:val="008837AE"/>
    <w:rsid w:val="008921E9"/>
    <w:rsid w:val="00892C1F"/>
    <w:rsid w:val="008945BF"/>
    <w:rsid w:val="00897805"/>
    <w:rsid w:val="00897BC9"/>
    <w:rsid w:val="008A0969"/>
    <w:rsid w:val="008A0D0F"/>
    <w:rsid w:val="008A3A2D"/>
    <w:rsid w:val="008A4C2C"/>
    <w:rsid w:val="008A686A"/>
    <w:rsid w:val="008A6D65"/>
    <w:rsid w:val="008B0530"/>
    <w:rsid w:val="008B20F6"/>
    <w:rsid w:val="008B4FC4"/>
    <w:rsid w:val="008C4D76"/>
    <w:rsid w:val="008C5408"/>
    <w:rsid w:val="008C5790"/>
    <w:rsid w:val="008C6FA5"/>
    <w:rsid w:val="008C7EC0"/>
    <w:rsid w:val="008D231D"/>
    <w:rsid w:val="008D4038"/>
    <w:rsid w:val="008D799A"/>
    <w:rsid w:val="008E1C4F"/>
    <w:rsid w:val="008E3B6A"/>
    <w:rsid w:val="008E5F6E"/>
    <w:rsid w:val="008E7216"/>
    <w:rsid w:val="008F0CFF"/>
    <w:rsid w:val="0090064B"/>
    <w:rsid w:val="00900684"/>
    <w:rsid w:val="0090691B"/>
    <w:rsid w:val="00906D03"/>
    <w:rsid w:val="00910B04"/>
    <w:rsid w:val="0091431D"/>
    <w:rsid w:val="00914D9D"/>
    <w:rsid w:val="00923D42"/>
    <w:rsid w:val="009243BB"/>
    <w:rsid w:val="00924EAF"/>
    <w:rsid w:val="00926D26"/>
    <w:rsid w:val="00931C18"/>
    <w:rsid w:val="00931C25"/>
    <w:rsid w:val="009441CD"/>
    <w:rsid w:val="009460C8"/>
    <w:rsid w:val="00951757"/>
    <w:rsid w:val="009523E2"/>
    <w:rsid w:val="0095634A"/>
    <w:rsid w:val="00956E98"/>
    <w:rsid w:val="00960664"/>
    <w:rsid w:val="00963D63"/>
    <w:rsid w:val="00964EF7"/>
    <w:rsid w:val="00964FA1"/>
    <w:rsid w:val="00966980"/>
    <w:rsid w:val="009727AC"/>
    <w:rsid w:val="0097483F"/>
    <w:rsid w:val="009757B1"/>
    <w:rsid w:val="009801D2"/>
    <w:rsid w:val="00981818"/>
    <w:rsid w:val="00985105"/>
    <w:rsid w:val="009857CC"/>
    <w:rsid w:val="00985D8B"/>
    <w:rsid w:val="00985E6C"/>
    <w:rsid w:val="00987BBD"/>
    <w:rsid w:val="009907D3"/>
    <w:rsid w:val="00991799"/>
    <w:rsid w:val="00991FF4"/>
    <w:rsid w:val="00997901"/>
    <w:rsid w:val="009979BE"/>
    <w:rsid w:val="009A09F7"/>
    <w:rsid w:val="009A1C92"/>
    <w:rsid w:val="009A52F7"/>
    <w:rsid w:val="009B2079"/>
    <w:rsid w:val="009B5C15"/>
    <w:rsid w:val="009C124F"/>
    <w:rsid w:val="009C2EC7"/>
    <w:rsid w:val="009C45C5"/>
    <w:rsid w:val="009C7076"/>
    <w:rsid w:val="009C7F7B"/>
    <w:rsid w:val="009D70E7"/>
    <w:rsid w:val="009D788E"/>
    <w:rsid w:val="009D7BD8"/>
    <w:rsid w:val="009D7CF6"/>
    <w:rsid w:val="009E5320"/>
    <w:rsid w:val="009F10AD"/>
    <w:rsid w:val="009F1D04"/>
    <w:rsid w:val="009F620C"/>
    <w:rsid w:val="009F7AA8"/>
    <w:rsid w:val="00A0725F"/>
    <w:rsid w:val="00A078DF"/>
    <w:rsid w:val="00A10787"/>
    <w:rsid w:val="00A11B68"/>
    <w:rsid w:val="00A11D0C"/>
    <w:rsid w:val="00A11E84"/>
    <w:rsid w:val="00A139A3"/>
    <w:rsid w:val="00A15981"/>
    <w:rsid w:val="00A20C8C"/>
    <w:rsid w:val="00A21420"/>
    <w:rsid w:val="00A310FB"/>
    <w:rsid w:val="00A3124C"/>
    <w:rsid w:val="00A35B20"/>
    <w:rsid w:val="00A36857"/>
    <w:rsid w:val="00A36F91"/>
    <w:rsid w:val="00A4041D"/>
    <w:rsid w:val="00A42CF6"/>
    <w:rsid w:val="00A45E00"/>
    <w:rsid w:val="00A47848"/>
    <w:rsid w:val="00A47A4D"/>
    <w:rsid w:val="00A52642"/>
    <w:rsid w:val="00A52923"/>
    <w:rsid w:val="00A53A13"/>
    <w:rsid w:val="00A55D38"/>
    <w:rsid w:val="00A55E36"/>
    <w:rsid w:val="00A71443"/>
    <w:rsid w:val="00A746F8"/>
    <w:rsid w:val="00A7609F"/>
    <w:rsid w:val="00A80BD7"/>
    <w:rsid w:val="00A82384"/>
    <w:rsid w:val="00A8464D"/>
    <w:rsid w:val="00A935E0"/>
    <w:rsid w:val="00A938D8"/>
    <w:rsid w:val="00A96288"/>
    <w:rsid w:val="00AA2504"/>
    <w:rsid w:val="00AA2AC3"/>
    <w:rsid w:val="00AA49EA"/>
    <w:rsid w:val="00AB3AF8"/>
    <w:rsid w:val="00AB4A29"/>
    <w:rsid w:val="00AB5583"/>
    <w:rsid w:val="00AB71D3"/>
    <w:rsid w:val="00AB785C"/>
    <w:rsid w:val="00AC0994"/>
    <w:rsid w:val="00AC13FE"/>
    <w:rsid w:val="00AC2651"/>
    <w:rsid w:val="00AC67C4"/>
    <w:rsid w:val="00AD0267"/>
    <w:rsid w:val="00AD3077"/>
    <w:rsid w:val="00AD3C04"/>
    <w:rsid w:val="00AD41E5"/>
    <w:rsid w:val="00AD4978"/>
    <w:rsid w:val="00AD4D36"/>
    <w:rsid w:val="00AE3126"/>
    <w:rsid w:val="00AE33F3"/>
    <w:rsid w:val="00AE37A7"/>
    <w:rsid w:val="00AE7C92"/>
    <w:rsid w:val="00AF77F5"/>
    <w:rsid w:val="00B01B99"/>
    <w:rsid w:val="00B06E91"/>
    <w:rsid w:val="00B10BEF"/>
    <w:rsid w:val="00B14F5E"/>
    <w:rsid w:val="00B156C3"/>
    <w:rsid w:val="00B20C78"/>
    <w:rsid w:val="00B20D91"/>
    <w:rsid w:val="00B217BF"/>
    <w:rsid w:val="00B23B1D"/>
    <w:rsid w:val="00B278AE"/>
    <w:rsid w:val="00B27B3A"/>
    <w:rsid w:val="00B3256D"/>
    <w:rsid w:val="00B326BB"/>
    <w:rsid w:val="00B37BFF"/>
    <w:rsid w:val="00B415BA"/>
    <w:rsid w:val="00B4253D"/>
    <w:rsid w:val="00B45D5B"/>
    <w:rsid w:val="00B4733F"/>
    <w:rsid w:val="00B51EEC"/>
    <w:rsid w:val="00B52A6C"/>
    <w:rsid w:val="00B56288"/>
    <w:rsid w:val="00B5665E"/>
    <w:rsid w:val="00B56C02"/>
    <w:rsid w:val="00B57413"/>
    <w:rsid w:val="00B57EFA"/>
    <w:rsid w:val="00B74B5C"/>
    <w:rsid w:val="00B778A0"/>
    <w:rsid w:val="00B83190"/>
    <w:rsid w:val="00B8589B"/>
    <w:rsid w:val="00B86684"/>
    <w:rsid w:val="00B928FE"/>
    <w:rsid w:val="00B964B2"/>
    <w:rsid w:val="00BA341A"/>
    <w:rsid w:val="00BA3743"/>
    <w:rsid w:val="00BA5033"/>
    <w:rsid w:val="00BA607E"/>
    <w:rsid w:val="00BA74AA"/>
    <w:rsid w:val="00BB094D"/>
    <w:rsid w:val="00BB0C4C"/>
    <w:rsid w:val="00BB2EE7"/>
    <w:rsid w:val="00BB4E90"/>
    <w:rsid w:val="00BB5382"/>
    <w:rsid w:val="00BB6EC9"/>
    <w:rsid w:val="00BC06C9"/>
    <w:rsid w:val="00BC1D27"/>
    <w:rsid w:val="00BC1DA7"/>
    <w:rsid w:val="00BC5263"/>
    <w:rsid w:val="00BC7272"/>
    <w:rsid w:val="00BD2C41"/>
    <w:rsid w:val="00BD31D0"/>
    <w:rsid w:val="00BD4082"/>
    <w:rsid w:val="00BD604F"/>
    <w:rsid w:val="00BD7CF0"/>
    <w:rsid w:val="00BE0F7F"/>
    <w:rsid w:val="00BE25CA"/>
    <w:rsid w:val="00BE7533"/>
    <w:rsid w:val="00BF1076"/>
    <w:rsid w:val="00BF2F61"/>
    <w:rsid w:val="00C01589"/>
    <w:rsid w:val="00C04148"/>
    <w:rsid w:val="00C041C8"/>
    <w:rsid w:val="00C06B16"/>
    <w:rsid w:val="00C1151B"/>
    <w:rsid w:val="00C16299"/>
    <w:rsid w:val="00C2381F"/>
    <w:rsid w:val="00C258FF"/>
    <w:rsid w:val="00C271ED"/>
    <w:rsid w:val="00C32ED5"/>
    <w:rsid w:val="00C36071"/>
    <w:rsid w:val="00C368AB"/>
    <w:rsid w:val="00C371A1"/>
    <w:rsid w:val="00C404DA"/>
    <w:rsid w:val="00C43547"/>
    <w:rsid w:val="00C57FC9"/>
    <w:rsid w:val="00C60BE7"/>
    <w:rsid w:val="00C622F2"/>
    <w:rsid w:val="00C638ED"/>
    <w:rsid w:val="00C64174"/>
    <w:rsid w:val="00C64C13"/>
    <w:rsid w:val="00C65E33"/>
    <w:rsid w:val="00C7071B"/>
    <w:rsid w:val="00C70E56"/>
    <w:rsid w:val="00C800DC"/>
    <w:rsid w:val="00C8127A"/>
    <w:rsid w:val="00C862AE"/>
    <w:rsid w:val="00C93D24"/>
    <w:rsid w:val="00C941B5"/>
    <w:rsid w:val="00C966DF"/>
    <w:rsid w:val="00CA0462"/>
    <w:rsid w:val="00CA095C"/>
    <w:rsid w:val="00CA0F01"/>
    <w:rsid w:val="00CA39A3"/>
    <w:rsid w:val="00CA430B"/>
    <w:rsid w:val="00CA59A6"/>
    <w:rsid w:val="00CB0291"/>
    <w:rsid w:val="00CB17E6"/>
    <w:rsid w:val="00CB69C5"/>
    <w:rsid w:val="00CC24A7"/>
    <w:rsid w:val="00CC2AFD"/>
    <w:rsid w:val="00CC45B5"/>
    <w:rsid w:val="00CC7C3D"/>
    <w:rsid w:val="00CD1EF6"/>
    <w:rsid w:val="00CD291C"/>
    <w:rsid w:val="00CD5EF8"/>
    <w:rsid w:val="00CE0DD0"/>
    <w:rsid w:val="00CF0561"/>
    <w:rsid w:val="00CF0C1B"/>
    <w:rsid w:val="00CF0F7A"/>
    <w:rsid w:val="00CF3ECB"/>
    <w:rsid w:val="00CF4DB6"/>
    <w:rsid w:val="00CF648C"/>
    <w:rsid w:val="00CF6791"/>
    <w:rsid w:val="00D00C1D"/>
    <w:rsid w:val="00D01E65"/>
    <w:rsid w:val="00D057EE"/>
    <w:rsid w:val="00D068B3"/>
    <w:rsid w:val="00D06B97"/>
    <w:rsid w:val="00D126A6"/>
    <w:rsid w:val="00D1418F"/>
    <w:rsid w:val="00D202C2"/>
    <w:rsid w:val="00D2110F"/>
    <w:rsid w:val="00D22617"/>
    <w:rsid w:val="00D273F4"/>
    <w:rsid w:val="00D27A8F"/>
    <w:rsid w:val="00D30E33"/>
    <w:rsid w:val="00D34B62"/>
    <w:rsid w:val="00D35415"/>
    <w:rsid w:val="00D41294"/>
    <w:rsid w:val="00D4408A"/>
    <w:rsid w:val="00D445CC"/>
    <w:rsid w:val="00D475B0"/>
    <w:rsid w:val="00D52826"/>
    <w:rsid w:val="00D53CE3"/>
    <w:rsid w:val="00D55AD5"/>
    <w:rsid w:val="00D563AD"/>
    <w:rsid w:val="00D60529"/>
    <w:rsid w:val="00D60571"/>
    <w:rsid w:val="00D62AD2"/>
    <w:rsid w:val="00D6411C"/>
    <w:rsid w:val="00D644C8"/>
    <w:rsid w:val="00D65E92"/>
    <w:rsid w:val="00D705C4"/>
    <w:rsid w:val="00D710B6"/>
    <w:rsid w:val="00D74F4C"/>
    <w:rsid w:val="00D809B6"/>
    <w:rsid w:val="00D852CC"/>
    <w:rsid w:val="00D91DC4"/>
    <w:rsid w:val="00D93CC5"/>
    <w:rsid w:val="00D958BA"/>
    <w:rsid w:val="00D95C12"/>
    <w:rsid w:val="00DA1807"/>
    <w:rsid w:val="00DA4133"/>
    <w:rsid w:val="00DA72C1"/>
    <w:rsid w:val="00DA7691"/>
    <w:rsid w:val="00DB09C1"/>
    <w:rsid w:val="00DB14B7"/>
    <w:rsid w:val="00DB2D11"/>
    <w:rsid w:val="00DB34A0"/>
    <w:rsid w:val="00DB3C17"/>
    <w:rsid w:val="00DB6535"/>
    <w:rsid w:val="00DB6BEF"/>
    <w:rsid w:val="00DC14F1"/>
    <w:rsid w:val="00DD4565"/>
    <w:rsid w:val="00DD6D2F"/>
    <w:rsid w:val="00DD7668"/>
    <w:rsid w:val="00DE1A6C"/>
    <w:rsid w:val="00DE1F86"/>
    <w:rsid w:val="00DE3314"/>
    <w:rsid w:val="00DE416A"/>
    <w:rsid w:val="00DE7197"/>
    <w:rsid w:val="00DF4404"/>
    <w:rsid w:val="00DF569F"/>
    <w:rsid w:val="00DF7C7D"/>
    <w:rsid w:val="00E0119F"/>
    <w:rsid w:val="00E0601A"/>
    <w:rsid w:val="00E07A85"/>
    <w:rsid w:val="00E12C78"/>
    <w:rsid w:val="00E154A6"/>
    <w:rsid w:val="00E15990"/>
    <w:rsid w:val="00E15D50"/>
    <w:rsid w:val="00E1726B"/>
    <w:rsid w:val="00E211DA"/>
    <w:rsid w:val="00E255EC"/>
    <w:rsid w:val="00E26783"/>
    <w:rsid w:val="00E3256D"/>
    <w:rsid w:val="00E37B8A"/>
    <w:rsid w:val="00E42A07"/>
    <w:rsid w:val="00E42E15"/>
    <w:rsid w:val="00E4580E"/>
    <w:rsid w:val="00E45D8C"/>
    <w:rsid w:val="00E478CE"/>
    <w:rsid w:val="00E479CF"/>
    <w:rsid w:val="00E47D84"/>
    <w:rsid w:val="00E50C43"/>
    <w:rsid w:val="00E52A36"/>
    <w:rsid w:val="00E52B41"/>
    <w:rsid w:val="00E568E8"/>
    <w:rsid w:val="00E6258E"/>
    <w:rsid w:val="00E62CA0"/>
    <w:rsid w:val="00E64210"/>
    <w:rsid w:val="00E704B2"/>
    <w:rsid w:val="00E70BC0"/>
    <w:rsid w:val="00E7225B"/>
    <w:rsid w:val="00E75462"/>
    <w:rsid w:val="00E766DA"/>
    <w:rsid w:val="00E802AD"/>
    <w:rsid w:val="00E80E5C"/>
    <w:rsid w:val="00E81838"/>
    <w:rsid w:val="00E95C7B"/>
    <w:rsid w:val="00E966FC"/>
    <w:rsid w:val="00E970E4"/>
    <w:rsid w:val="00EA03A9"/>
    <w:rsid w:val="00EA13B0"/>
    <w:rsid w:val="00EA311A"/>
    <w:rsid w:val="00EA3F95"/>
    <w:rsid w:val="00EA68B5"/>
    <w:rsid w:val="00EB63A0"/>
    <w:rsid w:val="00EC0D3D"/>
    <w:rsid w:val="00EC31B2"/>
    <w:rsid w:val="00EC5978"/>
    <w:rsid w:val="00EC64BC"/>
    <w:rsid w:val="00EC7D31"/>
    <w:rsid w:val="00ED3447"/>
    <w:rsid w:val="00ED7D08"/>
    <w:rsid w:val="00EE01E3"/>
    <w:rsid w:val="00EE0A65"/>
    <w:rsid w:val="00EE3990"/>
    <w:rsid w:val="00EE5601"/>
    <w:rsid w:val="00EE5DFC"/>
    <w:rsid w:val="00EE5E73"/>
    <w:rsid w:val="00EF1D60"/>
    <w:rsid w:val="00EF3C04"/>
    <w:rsid w:val="00EF5E15"/>
    <w:rsid w:val="00EF6106"/>
    <w:rsid w:val="00F02879"/>
    <w:rsid w:val="00F03456"/>
    <w:rsid w:val="00F03ACA"/>
    <w:rsid w:val="00F04643"/>
    <w:rsid w:val="00F0535E"/>
    <w:rsid w:val="00F053C9"/>
    <w:rsid w:val="00F06C40"/>
    <w:rsid w:val="00F06E42"/>
    <w:rsid w:val="00F206D6"/>
    <w:rsid w:val="00F222AD"/>
    <w:rsid w:val="00F23E10"/>
    <w:rsid w:val="00F25788"/>
    <w:rsid w:val="00F27254"/>
    <w:rsid w:val="00F31B2C"/>
    <w:rsid w:val="00F31B91"/>
    <w:rsid w:val="00F326B6"/>
    <w:rsid w:val="00F3780F"/>
    <w:rsid w:val="00F43177"/>
    <w:rsid w:val="00F45305"/>
    <w:rsid w:val="00F4730B"/>
    <w:rsid w:val="00F503C8"/>
    <w:rsid w:val="00F50F05"/>
    <w:rsid w:val="00F548D3"/>
    <w:rsid w:val="00F54CDB"/>
    <w:rsid w:val="00F62021"/>
    <w:rsid w:val="00F67D00"/>
    <w:rsid w:val="00F70037"/>
    <w:rsid w:val="00F70556"/>
    <w:rsid w:val="00F70F3D"/>
    <w:rsid w:val="00F80F95"/>
    <w:rsid w:val="00F859DF"/>
    <w:rsid w:val="00F9003C"/>
    <w:rsid w:val="00F90FDB"/>
    <w:rsid w:val="00F91645"/>
    <w:rsid w:val="00F91787"/>
    <w:rsid w:val="00F918C6"/>
    <w:rsid w:val="00FA191C"/>
    <w:rsid w:val="00FA2C32"/>
    <w:rsid w:val="00FA31D3"/>
    <w:rsid w:val="00FA40AC"/>
    <w:rsid w:val="00FA4FAB"/>
    <w:rsid w:val="00FA6D38"/>
    <w:rsid w:val="00FB5DE7"/>
    <w:rsid w:val="00FB7410"/>
    <w:rsid w:val="00FB7F6D"/>
    <w:rsid w:val="00FC008E"/>
    <w:rsid w:val="00FC0780"/>
    <w:rsid w:val="00FC211D"/>
    <w:rsid w:val="00FC519F"/>
    <w:rsid w:val="00FC5EBE"/>
    <w:rsid w:val="00FD0316"/>
    <w:rsid w:val="00FD6D25"/>
    <w:rsid w:val="00FE0474"/>
    <w:rsid w:val="00FE3282"/>
    <w:rsid w:val="00FE5033"/>
    <w:rsid w:val="00FE508D"/>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C2"/>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Fo"/>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Fo Char"/>
    <w:basedOn w:val="DefaultParagraphFont"/>
    <w:link w:val="FootnoteText"/>
    <w:uiPriority w:val="99"/>
    <w:rsid w:val="00E4580E"/>
    <w:rPr>
      <w:rFonts w:ascii="Arial" w:hAnsi="Arial" w:cs="Times New Roman"/>
      <w:sz w:val="20"/>
      <w:szCs w:val="24"/>
    </w:rPr>
  </w:style>
  <w:style w:type="character" w:styleId="FootnoteReference">
    <w:name w:val="footnote reference"/>
    <w:aliases w:val="Ref,de nota al pie,註腳內容,Footnote symbol,Style 12,(NECG) Footnote Reference,Footnote,Footnotes refss"/>
    <w:uiPriority w:val="99"/>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5A1B4D"/>
    <w:pPr>
      <w:numPr>
        <w:ilvl w:val="1"/>
      </w:numPr>
      <w:tabs>
        <w:tab w:val="left" w:pos="1418"/>
      </w:tabs>
      <w:ind w:left="1418" w:hanging="709"/>
    </w:pPr>
  </w:style>
  <w:style w:type="paragraph" w:customStyle="1" w:styleId="LCORder">
    <w:name w:val="LC ORder"/>
    <w:basedOn w:val="LC2"/>
    <w:link w:val="LCORderChar"/>
    <w:qFormat/>
    <w:rsid w:val="00981818"/>
    <w:pPr>
      <w:numPr>
        <w:ilvl w:val="0"/>
        <w:numId w:val="38"/>
      </w:numPr>
      <w:ind w:left="1418" w:hanging="698"/>
    </w:pPr>
    <w:rPr>
      <w:lang w:eastAsia="en-ZA"/>
    </w:rPr>
  </w:style>
  <w:style w:type="character" w:customStyle="1" w:styleId="LC2Char">
    <w:name w:val="LC2 Char"/>
    <w:basedOn w:val="LC1Char"/>
    <w:link w:val="LC2"/>
    <w:rsid w:val="005A1B4D"/>
    <w:rPr>
      <w:rFonts w:ascii="Arial" w:eastAsia="Times New Roman" w:hAnsi="Arial" w:cs="Times New Roman"/>
      <w:sz w:val="24"/>
      <w:szCs w:val="20"/>
    </w:rPr>
  </w:style>
  <w:style w:type="character" w:customStyle="1" w:styleId="LCORderChar">
    <w:name w:val="LC ORder Char"/>
    <w:basedOn w:val="LC1Char"/>
    <w:link w:val="LCORder"/>
    <w:rsid w:val="00981818"/>
    <w:rPr>
      <w:rFonts w:ascii="Arial" w:eastAsia="Times New Roman" w:hAnsi="Arial" w:cs="Times New Roman"/>
      <w:sz w:val="24"/>
      <w:szCs w:val="20"/>
      <w:lang w:eastAsia="en-ZA"/>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customStyle="1" w:styleId="LCOrder2">
    <w:name w:val="LC Order 2"/>
    <w:basedOn w:val="LCORder"/>
    <w:link w:val="LCOrder2Char"/>
    <w:qFormat/>
    <w:rsid w:val="00B86684"/>
    <w:pPr>
      <w:numPr>
        <w:ilvl w:val="1"/>
      </w:numPr>
      <w:tabs>
        <w:tab w:val="clear" w:pos="1418"/>
        <w:tab w:val="left" w:pos="1843"/>
      </w:tabs>
      <w:ind w:left="1843" w:hanging="1134"/>
    </w:pPr>
  </w:style>
  <w:style w:type="character" w:customStyle="1" w:styleId="LCOrder2Char">
    <w:name w:val="LC Order 2 Char"/>
    <w:basedOn w:val="LCORderChar"/>
    <w:link w:val="LCOrder2"/>
    <w:rsid w:val="00B86684"/>
    <w:rPr>
      <w:rFonts w:ascii="Arial" w:eastAsia="Times New Roman" w:hAnsi="Arial" w:cs="Times New Roman"/>
      <w:sz w:val="24"/>
      <w:szCs w:val="20"/>
      <w:lang w:eastAsia="en-ZA"/>
    </w:rPr>
  </w:style>
  <w:style w:type="character" w:customStyle="1" w:styleId="UnresolvedMention1">
    <w:name w:val="Unresolved Mention1"/>
    <w:basedOn w:val="DefaultParagraphFont"/>
    <w:uiPriority w:val="99"/>
    <w:semiHidden/>
    <w:unhideWhenUsed/>
    <w:rsid w:val="0056624A"/>
    <w:rPr>
      <w:color w:val="605E5C"/>
      <w:shd w:val="clear" w:color="auto" w:fill="E1DFDD"/>
    </w:rPr>
  </w:style>
  <w:style w:type="paragraph" w:customStyle="1" w:styleId="Default">
    <w:name w:val="Default"/>
    <w:rsid w:val="000D774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014">
      <w:bodyDiv w:val="1"/>
      <w:marLeft w:val="0"/>
      <w:marRight w:val="0"/>
      <w:marTop w:val="0"/>
      <w:marBottom w:val="0"/>
      <w:divBdr>
        <w:top w:val="none" w:sz="0" w:space="0" w:color="auto"/>
        <w:left w:val="none" w:sz="0" w:space="0" w:color="auto"/>
        <w:bottom w:val="none" w:sz="0" w:space="0" w:color="auto"/>
        <w:right w:val="none" w:sz="0" w:space="0" w:color="auto"/>
      </w:divBdr>
    </w:div>
    <w:div w:id="143545470">
      <w:bodyDiv w:val="1"/>
      <w:marLeft w:val="0"/>
      <w:marRight w:val="0"/>
      <w:marTop w:val="0"/>
      <w:marBottom w:val="0"/>
      <w:divBdr>
        <w:top w:val="none" w:sz="0" w:space="0" w:color="auto"/>
        <w:left w:val="none" w:sz="0" w:space="0" w:color="auto"/>
        <w:bottom w:val="none" w:sz="0" w:space="0" w:color="auto"/>
        <w:right w:val="none" w:sz="0" w:space="0" w:color="auto"/>
      </w:divBdr>
      <w:divsChild>
        <w:div w:id="47072321">
          <w:marLeft w:val="0"/>
          <w:marRight w:val="0"/>
          <w:marTop w:val="0"/>
          <w:marBottom w:val="0"/>
          <w:divBdr>
            <w:top w:val="none" w:sz="0" w:space="0" w:color="auto"/>
            <w:left w:val="none" w:sz="0" w:space="0" w:color="auto"/>
            <w:bottom w:val="none" w:sz="0" w:space="0" w:color="auto"/>
            <w:right w:val="none" w:sz="0" w:space="0" w:color="auto"/>
          </w:divBdr>
        </w:div>
        <w:div w:id="418020521">
          <w:marLeft w:val="0"/>
          <w:marRight w:val="0"/>
          <w:marTop w:val="0"/>
          <w:marBottom w:val="0"/>
          <w:divBdr>
            <w:top w:val="none" w:sz="0" w:space="0" w:color="auto"/>
            <w:left w:val="none" w:sz="0" w:space="0" w:color="auto"/>
            <w:bottom w:val="none" w:sz="0" w:space="0" w:color="auto"/>
            <w:right w:val="none" w:sz="0" w:space="0" w:color="auto"/>
          </w:divBdr>
        </w:div>
        <w:div w:id="2053992329">
          <w:marLeft w:val="0"/>
          <w:marRight w:val="0"/>
          <w:marTop w:val="0"/>
          <w:marBottom w:val="0"/>
          <w:divBdr>
            <w:top w:val="none" w:sz="0" w:space="0" w:color="auto"/>
            <w:left w:val="none" w:sz="0" w:space="0" w:color="auto"/>
            <w:bottom w:val="none" w:sz="0" w:space="0" w:color="auto"/>
            <w:right w:val="none" w:sz="0" w:space="0" w:color="auto"/>
          </w:divBdr>
        </w:div>
        <w:div w:id="2120562225">
          <w:marLeft w:val="0"/>
          <w:marRight w:val="0"/>
          <w:marTop w:val="0"/>
          <w:marBottom w:val="0"/>
          <w:divBdr>
            <w:top w:val="none" w:sz="0" w:space="0" w:color="auto"/>
            <w:left w:val="none" w:sz="0" w:space="0" w:color="auto"/>
            <w:bottom w:val="none" w:sz="0" w:space="0" w:color="auto"/>
            <w:right w:val="none" w:sz="0" w:space="0" w:color="auto"/>
          </w:divBdr>
        </w:div>
      </w:divsChild>
    </w:div>
    <w:div w:id="266156939">
      <w:bodyDiv w:val="1"/>
      <w:marLeft w:val="0"/>
      <w:marRight w:val="0"/>
      <w:marTop w:val="0"/>
      <w:marBottom w:val="0"/>
      <w:divBdr>
        <w:top w:val="none" w:sz="0" w:space="0" w:color="auto"/>
        <w:left w:val="none" w:sz="0" w:space="0" w:color="auto"/>
        <w:bottom w:val="none" w:sz="0" w:space="0" w:color="auto"/>
        <w:right w:val="none" w:sz="0" w:space="0" w:color="auto"/>
      </w:divBdr>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367">
      <w:bodyDiv w:val="1"/>
      <w:marLeft w:val="0"/>
      <w:marRight w:val="0"/>
      <w:marTop w:val="0"/>
      <w:marBottom w:val="0"/>
      <w:divBdr>
        <w:top w:val="none" w:sz="0" w:space="0" w:color="auto"/>
        <w:left w:val="none" w:sz="0" w:space="0" w:color="auto"/>
        <w:bottom w:val="none" w:sz="0" w:space="0" w:color="auto"/>
        <w:right w:val="none" w:sz="0" w:space="0" w:color="auto"/>
      </w:divBdr>
      <w:divsChild>
        <w:div w:id="1442142478">
          <w:marLeft w:val="0"/>
          <w:marRight w:val="0"/>
          <w:marTop w:val="0"/>
          <w:marBottom w:val="0"/>
          <w:divBdr>
            <w:top w:val="none" w:sz="0" w:space="0" w:color="auto"/>
            <w:left w:val="none" w:sz="0" w:space="0" w:color="auto"/>
            <w:bottom w:val="none" w:sz="0" w:space="0" w:color="auto"/>
            <w:right w:val="none" w:sz="0" w:space="0" w:color="auto"/>
          </w:divBdr>
        </w:div>
      </w:divsChild>
    </w:div>
    <w:div w:id="521473321">
      <w:bodyDiv w:val="1"/>
      <w:marLeft w:val="0"/>
      <w:marRight w:val="0"/>
      <w:marTop w:val="0"/>
      <w:marBottom w:val="0"/>
      <w:divBdr>
        <w:top w:val="none" w:sz="0" w:space="0" w:color="auto"/>
        <w:left w:val="none" w:sz="0" w:space="0" w:color="auto"/>
        <w:bottom w:val="none" w:sz="0" w:space="0" w:color="auto"/>
        <w:right w:val="none" w:sz="0" w:space="0" w:color="auto"/>
      </w:divBdr>
      <w:divsChild>
        <w:div w:id="100493495">
          <w:marLeft w:val="0"/>
          <w:marRight w:val="0"/>
          <w:marTop w:val="0"/>
          <w:marBottom w:val="0"/>
          <w:divBdr>
            <w:top w:val="none" w:sz="0" w:space="0" w:color="auto"/>
            <w:left w:val="none" w:sz="0" w:space="0" w:color="auto"/>
            <w:bottom w:val="none" w:sz="0" w:space="0" w:color="auto"/>
            <w:right w:val="none" w:sz="0" w:space="0" w:color="auto"/>
          </w:divBdr>
        </w:div>
        <w:div w:id="1443574154">
          <w:marLeft w:val="0"/>
          <w:marRight w:val="0"/>
          <w:marTop w:val="0"/>
          <w:marBottom w:val="0"/>
          <w:divBdr>
            <w:top w:val="none" w:sz="0" w:space="0" w:color="auto"/>
            <w:left w:val="none" w:sz="0" w:space="0" w:color="auto"/>
            <w:bottom w:val="none" w:sz="0" w:space="0" w:color="auto"/>
            <w:right w:val="none" w:sz="0" w:space="0" w:color="auto"/>
          </w:divBdr>
        </w:div>
      </w:divsChild>
    </w:div>
    <w:div w:id="560752781">
      <w:bodyDiv w:val="1"/>
      <w:marLeft w:val="0"/>
      <w:marRight w:val="0"/>
      <w:marTop w:val="0"/>
      <w:marBottom w:val="0"/>
      <w:divBdr>
        <w:top w:val="none" w:sz="0" w:space="0" w:color="auto"/>
        <w:left w:val="none" w:sz="0" w:space="0" w:color="auto"/>
        <w:bottom w:val="none" w:sz="0" w:space="0" w:color="auto"/>
        <w:right w:val="none" w:sz="0" w:space="0" w:color="auto"/>
      </w:divBdr>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659">
      <w:bodyDiv w:val="1"/>
      <w:marLeft w:val="0"/>
      <w:marRight w:val="0"/>
      <w:marTop w:val="0"/>
      <w:marBottom w:val="0"/>
      <w:divBdr>
        <w:top w:val="none" w:sz="0" w:space="0" w:color="auto"/>
        <w:left w:val="none" w:sz="0" w:space="0" w:color="auto"/>
        <w:bottom w:val="none" w:sz="0" w:space="0" w:color="auto"/>
        <w:right w:val="none" w:sz="0" w:space="0" w:color="auto"/>
      </w:divBdr>
    </w:div>
    <w:div w:id="848056563">
      <w:bodyDiv w:val="1"/>
      <w:marLeft w:val="0"/>
      <w:marRight w:val="0"/>
      <w:marTop w:val="0"/>
      <w:marBottom w:val="0"/>
      <w:divBdr>
        <w:top w:val="none" w:sz="0" w:space="0" w:color="auto"/>
        <w:left w:val="none" w:sz="0" w:space="0" w:color="auto"/>
        <w:bottom w:val="none" w:sz="0" w:space="0" w:color="auto"/>
        <w:right w:val="none" w:sz="0" w:space="0" w:color="auto"/>
      </w:divBdr>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44355211">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396971803">
      <w:bodyDiv w:val="1"/>
      <w:marLeft w:val="0"/>
      <w:marRight w:val="0"/>
      <w:marTop w:val="0"/>
      <w:marBottom w:val="0"/>
      <w:divBdr>
        <w:top w:val="none" w:sz="0" w:space="0" w:color="auto"/>
        <w:left w:val="none" w:sz="0" w:space="0" w:color="auto"/>
        <w:bottom w:val="none" w:sz="0" w:space="0" w:color="auto"/>
        <w:right w:val="none" w:sz="0" w:space="0" w:color="auto"/>
      </w:divBdr>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7256">
      <w:bodyDiv w:val="1"/>
      <w:marLeft w:val="0"/>
      <w:marRight w:val="0"/>
      <w:marTop w:val="0"/>
      <w:marBottom w:val="0"/>
      <w:divBdr>
        <w:top w:val="none" w:sz="0" w:space="0" w:color="auto"/>
        <w:left w:val="none" w:sz="0" w:space="0" w:color="auto"/>
        <w:bottom w:val="none" w:sz="0" w:space="0" w:color="auto"/>
        <w:right w:val="none" w:sz="0" w:space="0" w:color="auto"/>
      </w:divBdr>
    </w:div>
    <w:div w:id="1611160727">
      <w:bodyDiv w:val="1"/>
      <w:marLeft w:val="0"/>
      <w:marRight w:val="0"/>
      <w:marTop w:val="0"/>
      <w:marBottom w:val="0"/>
      <w:divBdr>
        <w:top w:val="none" w:sz="0" w:space="0" w:color="auto"/>
        <w:left w:val="none" w:sz="0" w:space="0" w:color="auto"/>
        <w:bottom w:val="none" w:sz="0" w:space="0" w:color="auto"/>
        <w:right w:val="none" w:sz="0" w:space="0" w:color="auto"/>
      </w:divBdr>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5477">
      <w:bodyDiv w:val="1"/>
      <w:marLeft w:val="0"/>
      <w:marRight w:val="0"/>
      <w:marTop w:val="0"/>
      <w:marBottom w:val="0"/>
      <w:divBdr>
        <w:top w:val="none" w:sz="0" w:space="0" w:color="auto"/>
        <w:left w:val="none" w:sz="0" w:space="0" w:color="auto"/>
        <w:bottom w:val="none" w:sz="0" w:space="0" w:color="auto"/>
        <w:right w:val="none" w:sz="0" w:space="0" w:color="auto"/>
      </w:divBdr>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png@01D07774.1E4A6C9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8DE5-A9FA-4513-B1C8-E25156AC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2022-10-27T09:33:00Z</dcterms:created>
  <dcterms:modified xsi:type="dcterms:W3CDTF">2022-10-27T20:06:00Z</dcterms:modified>
</cp:coreProperties>
</file>