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981421" w14:textId="568409F3" w:rsidR="006C43D7" w:rsidRPr="006C43D7" w:rsidRDefault="006C43D7" w:rsidP="006C43D7">
      <w:pPr>
        <w:spacing w:after="120" w:line="360" w:lineRule="auto"/>
        <w:jc w:val="center"/>
        <w:rPr>
          <w:rFonts w:cs="Arial"/>
          <w:b/>
          <w:bCs/>
        </w:rPr>
      </w:pPr>
      <w:r w:rsidRPr="006C43D7">
        <w:rPr>
          <w:rFonts w:cs="Arial"/>
          <w:b/>
          <w:bCs/>
          <w:noProof/>
          <w:lang w:eastAsia="en-ZA"/>
        </w:rPr>
        <w:drawing>
          <wp:inline distT="0" distB="0" distL="0" distR="0" wp14:anchorId="533B6FEC" wp14:editId="2A4182C8">
            <wp:extent cx="1536065" cy="1536065"/>
            <wp:effectExtent l="0" t="0" r="6985" b="6985"/>
            <wp:docPr id="2" name="Picture 2"/>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36065" cy="1536065"/>
                    </a:xfrm>
                    <a:prstGeom prst="rect">
                      <a:avLst/>
                    </a:prstGeom>
                    <a:noFill/>
                  </pic:spPr>
                </pic:pic>
              </a:graphicData>
            </a:graphic>
          </wp:inline>
        </w:drawing>
      </w:r>
    </w:p>
    <w:p w14:paraId="7E492062" w14:textId="77777777" w:rsidR="006C43D7" w:rsidRPr="006C43D7" w:rsidRDefault="006C43D7" w:rsidP="006C43D7">
      <w:pPr>
        <w:jc w:val="center"/>
        <w:rPr>
          <w:b/>
        </w:rPr>
      </w:pPr>
      <w:r w:rsidRPr="006C43D7">
        <w:rPr>
          <w:b/>
        </w:rPr>
        <w:t xml:space="preserve">IN THE HIGH COURT OF SOUTH AFRICA, </w:t>
      </w:r>
    </w:p>
    <w:p w14:paraId="566C4D1B" w14:textId="77777777" w:rsidR="006C43D7" w:rsidRPr="006C43D7" w:rsidRDefault="006C43D7" w:rsidP="006C43D7">
      <w:pPr>
        <w:jc w:val="center"/>
        <w:rPr>
          <w:b/>
        </w:rPr>
      </w:pPr>
      <w:r w:rsidRPr="006C43D7">
        <w:rPr>
          <w:b/>
        </w:rPr>
        <w:t>GAUTENG DIVISION, JOHANNESBURG</w:t>
      </w:r>
    </w:p>
    <w:p w14:paraId="13D6E83E" w14:textId="77777777" w:rsidR="006C43D7" w:rsidRPr="006C43D7" w:rsidRDefault="006C43D7" w:rsidP="006C43D7">
      <w:pPr>
        <w:jc w:val="both"/>
        <w:rPr>
          <w:b/>
        </w:rPr>
      </w:pPr>
    </w:p>
    <w:p w14:paraId="3698476C" w14:textId="6A35D866" w:rsidR="006C43D7" w:rsidRPr="006C43D7" w:rsidRDefault="006C43D7" w:rsidP="006C43D7">
      <w:pPr>
        <w:spacing w:line="360" w:lineRule="auto"/>
        <w:jc w:val="right"/>
        <w:rPr>
          <w:b/>
        </w:rPr>
      </w:pPr>
      <w:r w:rsidRPr="006C43D7">
        <w:rPr>
          <w:b/>
        </w:rPr>
        <w:t xml:space="preserve">CASE NO: </w:t>
      </w:r>
      <w:r w:rsidR="00D34AFB">
        <w:rPr>
          <w:b/>
        </w:rPr>
        <w:t>2020/</w:t>
      </w:r>
      <w:r w:rsidR="009B07BC">
        <w:rPr>
          <w:b/>
        </w:rPr>
        <w:t>13723</w:t>
      </w:r>
    </w:p>
    <w:p w14:paraId="0AF8DD38" w14:textId="77777777" w:rsidR="006C43D7" w:rsidRPr="006C43D7" w:rsidRDefault="006C43D7" w:rsidP="006C43D7">
      <w:pPr>
        <w:spacing w:line="360" w:lineRule="auto"/>
        <w:jc w:val="right"/>
      </w:pPr>
      <w:r w:rsidRPr="006C43D7">
        <w:rPr>
          <w:noProof/>
          <w:lang w:eastAsia="en-ZA"/>
        </w:rPr>
        <mc:AlternateContent>
          <mc:Choice Requires="wps">
            <w:drawing>
              <wp:anchor distT="0" distB="0" distL="114300" distR="114300" simplePos="0" relativeHeight="251659264" behindDoc="0" locked="0" layoutInCell="1" allowOverlap="1" wp14:anchorId="2E430887" wp14:editId="55507A88">
                <wp:simplePos x="0" y="0"/>
                <wp:positionH relativeFrom="margin">
                  <wp:align>left</wp:align>
                </wp:positionH>
                <wp:positionV relativeFrom="paragraph">
                  <wp:posOffset>49304</wp:posOffset>
                </wp:positionV>
                <wp:extent cx="3314700" cy="1592825"/>
                <wp:effectExtent l="0" t="0" r="19050" b="2667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592825"/>
                        </a:xfrm>
                        <a:prstGeom prst="rect">
                          <a:avLst/>
                        </a:prstGeom>
                        <a:solidFill>
                          <a:srgbClr val="FFFFFF"/>
                        </a:solidFill>
                        <a:ln w="9525">
                          <a:solidFill>
                            <a:srgbClr val="000000"/>
                          </a:solidFill>
                          <a:miter lim="800000"/>
                          <a:headEnd/>
                          <a:tailEnd/>
                        </a:ln>
                      </wps:spPr>
                      <wps:txbx>
                        <w:txbxContent>
                          <w:p w14:paraId="0EA4B470" w14:textId="77777777" w:rsidR="00D645C6" w:rsidRPr="00913F95" w:rsidRDefault="00D645C6" w:rsidP="006C43D7">
                            <w:pPr>
                              <w:jc w:val="center"/>
                              <w:rPr>
                                <w:rFonts w:ascii="Century Gothic" w:hAnsi="Century Gothic"/>
                                <w:b/>
                                <w:sz w:val="20"/>
                                <w:szCs w:val="20"/>
                              </w:rPr>
                            </w:pPr>
                          </w:p>
                          <w:p w14:paraId="01FDAE28" w14:textId="0D0914E1" w:rsidR="00D645C6" w:rsidRDefault="00C220AE" w:rsidP="00C220AE">
                            <w:pPr>
                              <w:tabs>
                                <w:tab w:val="left" w:pos="900"/>
                              </w:tabs>
                              <w:ind w:left="900" w:hanging="720"/>
                              <w:rPr>
                                <w:rFonts w:ascii="Century Gothic" w:hAnsi="Century Gothic"/>
                                <w:sz w:val="20"/>
                                <w:szCs w:val="20"/>
                              </w:rPr>
                            </w:pPr>
                            <w:r>
                              <w:rPr>
                                <w:rFonts w:ascii="Century Gothic" w:hAnsi="Century Gothic"/>
                                <w:sz w:val="20"/>
                                <w:szCs w:val="20"/>
                              </w:rPr>
                              <w:t>(1)</w:t>
                            </w:r>
                            <w:r>
                              <w:rPr>
                                <w:rFonts w:ascii="Century Gothic" w:hAnsi="Century Gothic"/>
                                <w:sz w:val="20"/>
                                <w:szCs w:val="20"/>
                              </w:rPr>
                              <w:tab/>
                            </w:r>
                            <w:r w:rsidR="00D645C6" w:rsidRPr="001D3CC2">
                              <w:rPr>
                                <w:rFonts w:ascii="Century Gothic" w:hAnsi="Century Gothic"/>
                                <w:sz w:val="20"/>
                                <w:szCs w:val="20"/>
                              </w:rPr>
                              <w:t xml:space="preserve">REPORTABLE: </w:t>
                            </w:r>
                            <w:r w:rsidR="008D4C93">
                              <w:rPr>
                                <w:rFonts w:ascii="Century Gothic" w:hAnsi="Century Gothic"/>
                                <w:sz w:val="20"/>
                                <w:szCs w:val="20"/>
                              </w:rPr>
                              <w:t>NO</w:t>
                            </w:r>
                          </w:p>
                          <w:p w14:paraId="3A4C7296" w14:textId="4D353397" w:rsidR="00D645C6" w:rsidRPr="001D3CC2" w:rsidRDefault="00C220AE" w:rsidP="00C220AE">
                            <w:pPr>
                              <w:tabs>
                                <w:tab w:val="left" w:pos="900"/>
                              </w:tabs>
                              <w:ind w:left="900" w:hanging="720"/>
                              <w:rPr>
                                <w:rFonts w:ascii="Century Gothic" w:hAnsi="Century Gothic"/>
                                <w:sz w:val="20"/>
                                <w:szCs w:val="20"/>
                              </w:rPr>
                            </w:pPr>
                            <w:r w:rsidRPr="001D3CC2">
                              <w:rPr>
                                <w:rFonts w:ascii="Century Gothic" w:hAnsi="Century Gothic"/>
                                <w:sz w:val="20"/>
                                <w:szCs w:val="20"/>
                              </w:rPr>
                              <w:t>(2)</w:t>
                            </w:r>
                            <w:r w:rsidRPr="001D3CC2">
                              <w:rPr>
                                <w:rFonts w:ascii="Century Gothic" w:hAnsi="Century Gothic"/>
                                <w:sz w:val="20"/>
                                <w:szCs w:val="20"/>
                              </w:rPr>
                              <w:tab/>
                            </w:r>
                            <w:r w:rsidR="00D645C6" w:rsidRPr="001D3CC2">
                              <w:rPr>
                                <w:rFonts w:ascii="Century Gothic" w:hAnsi="Century Gothic"/>
                                <w:sz w:val="20"/>
                                <w:szCs w:val="20"/>
                              </w:rPr>
                              <w:t>OF INTEREST TO OTHER JUDGES</w:t>
                            </w:r>
                            <w:r w:rsidR="00D645C6">
                              <w:rPr>
                                <w:rFonts w:ascii="Century Gothic" w:hAnsi="Century Gothic"/>
                                <w:sz w:val="20"/>
                                <w:szCs w:val="20"/>
                              </w:rPr>
                              <w:t xml:space="preserve">: </w:t>
                            </w:r>
                            <w:r w:rsidR="008D4C93">
                              <w:rPr>
                                <w:rFonts w:ascii="Century Gothic" w:hAnsi="Century Gothic"/>
                                <w:sz w:val="20"/>
                                <w:szCs w:val="20"/>
                              </w:rPr>
                              <w:t>NO</w:t>
                            </w:r>
                          </w:p>
                          <w:p w14:paraId="21D4A71B" w14:textId="5B58BFC8" w:rsidR="00D645C6" w:rsidRPr="00913F95" w:rsidRDefault="00D645C6" w:rsidP="001D3CC2">
                            <w:pPr>
                              <w:ind w:left="180"/>
                              <w:rPr>
                                <w:rFonts w:ascii="Century Gothic" w:hAnsi="Century Gothic"/>
                                <w:sz w:val="20"/>
                                <w:szCs w:val="20"/>
                              </w:rPr>
                            </w:pPr>
                          </w:p>
                          <w:p w14:paraId="761B7CA4" w14:textId="77777777" w:rsidR="00D645C6" w:rsidRDefault="00D645C6" w:rsidP="006C43D7">
                            <w:pPr>
                              <w:rPr>
                                <w:rFonts w:ascii="Century Gothic" w:hAnsi="Century Gothic"/>
                                <w:b/>
                                <w:sz w:val="18"/>
                                <w:szCs w:val="18"/>
                              </w:rPr>
                            </w:pPr>
                          </w:p>
                          <w:p w14:paraId="0EC4BA5C" w14:textId="61945B0D" w:rsidR="00D645C6" w:rsidRPr="001D3CC2" w:rsidRDefault="00D645C6" w:rsidP="001D3CC2">
                            <w:pPr>
                              <w:keepNext/>
                              <w:tabs>
                                <w:tab w:val="right" w:pos="0"/>
                              </w:tabs>
                              <w:contextualSpacing/>
                              <w:jc w:val="center"/>
                              <w:rPr>
                                <w:rFonts w:cs="Arial"/>
                                <w:sz w:val="32"/>
                                <w:szCs w:val="32"/>
                              </w:rPr>
                            </w:pPr>
                            <w:r>
                              <w:rPr>
                                <w:rFonts w:ascii="Century Gothic" w:hAnsi="Century Gothic"/>
                                <w:b/>
                                <w:sz w:val="18"/>
                                <w:szCs w:val="18"/>
                              </w:rPr>
                              <w:t xml:space="preserve">                        </w:t>
                            </w:r>
                            <w:r w:rsidRPr="001D3CC2">
                              <w:rPr>
                                <w:rFonts w:ascii="Century Gothic" w:hAnsi="Century Gothic"/>
                                <w:b/>
                                <w:sz w:val="32"/>
                                <w:szCs w:val="32"/>
                              </w:rPr>
                              <w:t xml:space="preserve">  </w:t>
                            </w:r>
                          </w:p>
                          <w:p w14:paraId="11AD3C7B" w14:textId="4114C951" w:rsidR="00D645C6" w:rsidRPr="00084341" w:rsidRDefault="00D645C6" w:rsidP="001D3CC2">
                            <w:pPr>
                              <w:rPr>
                                <w:rFonts w:ascii="Century Gothic" w:hAnsi="Century Gothic"/>
                                <w:sz w:val="18"/>
                                <w:szCs w:val="18"/>
                              </w:rPr>
                            </w:pPr>
                            <w:r w:rsidRPr="00084341">
                              <w:rPr>
                                <w:rFonts w:ascii="Century Gothic" w:hAnsi="Century Gothic"/>
                                <w:b/>
                                <w:sz w:val="18"/>
                                <w:szCs w:val="18"/>
                              </w:rPr>
                              <w:t xml:space="preserve">    </w:t>
                            </w:r>
                            <w:r>
                              <w:rPr>
                                <w:rFonts w:ascii="Century Gothic" w:hAnsi="Century Gothic"/>
                                <w:b/>
                                <w:sz w:val="18"/>
                                <w:szCs w:val="18"/>
                              </w:rPr>
                              <w:t xml:space="preserve">   </w:t>
                            </w:r>
                            <w:r w:rsidRPr="00084341">
                              <w:rPr>
                                <w:rFonts w:ascii="Century Gothic" w:hAnsi="Century Gothic"/>
                                <w:sz w:val="18"/>
                                <w:szCs w:val="18"/>
                              </w:rPr>
                              <w:t xml:space="preserve">            DATE</w:t>
                            </w:r>
                            <w:r w:rsidRPr="00084341">
                              <w:rPr>
                                <w:rFonts w:ascii="Century Gothic" w:hAnsi="Century Gothic"/>
                                <w:sz w:val="18"/>
                                <w:szCs w:val="18"/>
                              </w:rPr>
                              <w:tab/>
                            </w:r>
                            <w:r w:rsidRPr="00084341">
                              <w:rPr>
                                <w:rFonts w:ascii="Century Gothic" w:hAnsi="Century Gothic"/>
                                <w:sz w:val="18"/>
                                <w:szCs w:val="18"/>
                              </w:rPr>
                              <w:tab/>
                            </w:r>
                            <w:r w:rsidRPr="00084341">
                              <w:rPr>
                                <w:rFonts w:ascii="Century Gothic" w:hAnsi="Century Gothic"/>
                                <w:sz w:val="18"/>
                                <w:szCs w:val="18"/>
                              </w:rPr>
                              <w:tab/>
                              <w:t xml:space="preserve">        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430887" id="_x0000_t202" coordsize="21600,21600" o:spt="202" path="m,l,21600r21600,l21600,xe">
                <v:stroke joinstyle="miter"/>
                <v:path gradientshapeok="t" o:connecttype="rect"/>
              </v:shapetype>
              <v:shape id="Text Box 4" o:spid="_x0000_s1026" type="#_x0000_t202" style="position:absolute;left:0;text-align:left;margin-left:0;margin-top:3.9pt;width:261pt;height:125.4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">
                <v:textbox>
                  <w:txbxContent>
                    <w:p w14:paraId="0EA4B470" w14:textId="77777777" w:rsidR="00D645C6" w:rsidRPr="00913F95" w:rsidRDefault="00D645C6" w:rsidP="006C43D7">
                      <w:pPr>
                        <w:jc w:val="center"/>
                        <w:rPr>
                          <w:rFonts w:ascii="Century Gothic" w:hAnsi="Century Gothic"/>
                          <w:b/>
                          <w:sz w:val="20"/>
                          <w:szCs w:val="20"/>
                        </w:rPr>
                      </w:pPr>
                    </w:p>
                    <w:p w14:paraId="01FDAE28" w14:textId="0D0914E1" w:rsidR="00D645C6" w:rsidRDefault="00C220AE" w:rsidP="00C220AE">
                      <w:pPr>
                        <w:tabs>
                          <w:tab w:val="left" w:pos="900"/>
                        </w:tabs>
                        <w:ind w:left="900" w:hanging="720"/>
                        <w:rPr>
                          <w:rFonts w:ascii="Century Gothic" w:hAnsi="Century Gothic"/>
                          <w:sz w:val="20"/>
                          <w:szCs w:val="20"/>
                        </w:rPr>
                      </w:pPr>
                      <w:r>
                        <w:rPr>
                          <w:rFonts w:ascii="Century Gothic" w:hAnsi="Century Gothic"/>
                          <w:sz w:val="20"/>
                          <w:szCs w:val="20"/>
                        </w:rPr>
                        <w:t>(1)</w:t>
                      </w:r>
                      <w:r>
                        <w:rPr>
                          <w:rFonts w:ascii="Century Gothic" w:hAnsi="Century Gothic"/>
                          <w:sz w:val="20"/>
                          <w:szCs w:val="20"/>
                        </w:rPr>
                        <w:tab/>
                      </w:r>
                      <w:r w:rsidR="00D645C6" w:rsidRPr="001D3CC2">
                        <w:rPr>
                          <w:rFonts w:ascii="Century Gothic" w:hAnsi="Century Gothic"/>
                          <w:sz w:val="20"/>
                          <w:szCs w:val="20"/>
                        </w:rPr>
                        <w:t xml:space="preserve">REPORTABLE: </w:t>
                      </w:r>
                      <w:r w:rsidR="008D4C93">
                        <w:rPr>
                          <w:rFonts w:ascii="Century Gothic" w:hAnsi="Century Gothic"/>
                          <w:sz w:val="20"/>
                          <w:szCs w:val="20"/>
                        </w:rPr>
                        <w:t>NO</w:t>
                      </w:r>
                    </w:p>
                    <w:p w14:paraId="3A4C7296" w14:textId="4D353397" w:rsidR="00D645C6" w:rsidRPr="001D3CC2" w:rsidRDefault="00C220AE" w:rsidP="00C220AE">
                      <w:pPr>
                        <w:tabs>
                          <w:tab w:val="left" w:pos="900"/>
                        </w:tabs>
                        <w:ind w:left="900" w:hanging="720"/>
                        <w:rPr>
                          <w:rFonts w:ascii="Century Gothic" w:hAnsi="Century Gothic"/>
                          <w:sz w:val="20"/>
                          <w:szCs w:val="20"/>
                        </w:rPr>
                      </w:pPr>
                      <w:r w:rsidRPr="001D3CC2">
                        <w:rPr>
                          <w:rFonts w:ascii="Century Gothic" w:hAnsi="Century Gothic"/>
                          <w:sz w:val="20"/>
                          <w:szCs w:val="20"/>
                        </w:rPr>
                        <w:t>(2)</w:t>
                      </w:r>
                      <w:r w:rsidRPr="001D3CC2">
                        <w:rPr>
                          <w:rFonts w:ascii="Century Gothic" w:hAnsi="Century Gothic"/>
                          <w:sz w:val="20"/>
                          <w:szCs w:val="20"/>
                        </w:rPr>
                        <w:tab/>
                      </w:r>
                      <w:r w:rsidR="00D645C6" w:rsidRPr="001D3CC2">
                        <w:rPr>
                          <w:rFonts w:ascii="Century Gothic" w:hAnsi="Century Gothic"/>
                          <w:sz w:val="20"/>
                          <w:szCs w:val="20"/>
                        </w:rPr>
                        <w:t>OF INTEREST TO OTHER JUDGES</w:t>
                      </w:r>
                      <w:r w:rsidR="00D645C6">
                        <w:rPr>
                          <w:rFonts w:ascii="Century Gothic" w:hAnsi="Century Gothic"/>
                          <w:sz w:val="20"/>
                          <w:szCs w:val="20"/>
                        </w:rPr>
                        <w:t xml:space="preserve">: </w:t>
                      </w:r>
                      <w:r w:rsidR="008D4C93">
                        <w:rPr>
                          <w:rFonts w:ascii="Century Gothic" w:hAnsi="Century Gothic"/>
                          <w:sz w:val="20"/>
                          <w:szCs w:val="20"/>
                        </w:rPr>
                        <w:t>NO</w:t>
                      </w:r>
                    </w:p>
                    <w:p w14:paraId="21D4A71B" w14:textId="5B58BFC8" w:rsidR="00D645C6" w:rsidRPr="00913F95" w:rsidRDefault="00D645C6" w:rsidP="001D3CC2">
                      <w:pPr>
                        <w:ind w:left="180"/>
                        <w:rPr>
                          <w:rFonts w:ascii="Century Gothic" w:hAnsi="Century Gothic"/>
                          <w:sz w:val="20"/>
                          <w:szCs w:val="20"/>
                        </w:rPr>
                      </w:pPr>
                    </w:p>
                    <w:p w14:paraId="761B7CA4" w14:textId="77777777" w:rsidR="00D645C6" w:rsidRDefault="00D645C6" w:rsidP="006C43D7">
                      <w:pPr>
                        <w:rPr>
                          <w:rFonts w:ascii="Century Gothic" w:hAnsi="Century Gothic"/>
                          <w:b/>
                          <w:sz w:val="18"/>
                          <w:szCs w:val="18"/>
                        </w:rPr>
                      </w:pPr>
                    </w:p>
                    <w:p w14:paraId="0EC4BA5C" w14:textId="61945B0D" w:rsidR="00D645C6" w:rsidRPr="001D3CC2" w:rsidRDefault="00D645C6" w:rsidP="001D3CC2">
                      <w:pPr>
                        <w:keepNext/>
                        <w:tabs>
                          <w:tab w:val="right" w:pos="0"/>
                        </w:tabs>
                        <w:contextualSpacing/>
                        <w:jc w:val="center"/>
                        <w:rPr>
                          <w:rFonts w:cs="Arial"/>
                          <w:sz w:val="32"/>
                          <w:szCs w:val="32"/>
                        </w:rPr>
                      </w:pPr>
                      <w:r>
                        <w:rPr>
                          <w:rFonts w:ascii="Century Gothic" w:hAnsi="Century Gothic"/>
                          <w:b/>
                          <w:sz w:val="18"/>
                          <w:szCs w:val="18"/>
                        </w:rPr>
                        <w:t xml:space="preserve">                        </w:t>
                      </w:r>
                      <w:r w:rsidRPr="001D3CC2">
                        <w:rPr>
                          <w:rFonts w:ascii="Century Gothic" w:hAnsi="Century Gothic"/>
                          <w:b/>
                          <w:sz w:val="32"/>
                          <w:szCs w:val="32"/>
                        </w:rPr>
                        <w:t xml:space="preserve">  </w:t>
                      </w:r>
                    </w:p>
                    <w:p w14:paraId="11AD3C7B" w14:textId="4114C951" w:rsidR="00D645C6" w:rsidRPr="00084341" w:rsidRDefault="00D645C6" w:rsidP="001D3CC2">
                      <w:pPr>
                        <w:rPr>
                          <w:rFonts w:ascii="Century Gothic" w:hAnsi="Century Gothic"/>
                          <w:sz w:val="18"/>
                          <w:szCs w:val="18"/>
                        </w:rPr>
                      </w:pPr>
                      <w:r w:rsidRPr="00084341">
                        <w:rPr>
                          <w:rFonts w:ascii="Century Gothic" w:hAnsi="Century Gothic"/>
                          <w:b/>
                          <w:sz w:val="18"/>
                          <w:szCs w:val="18"/>
                        </w:rPr>
                        <w:t xml:space="preserve">    </w:t>
                      </w:r>
                      <w:r>
                        <w:rPr>
                          <w:rFonts w:ascii="Century Gothic" w:hAnsi="Century Gothic"/>
                          <w:b/>
                          <w:sz w:val="18"/>
                          <w:szCs w:val="18"/>
                        </w:rPr>
                        <w:t xml:space="preserve">   </w:t>
                      </w:r>
                      <w:r w:rsidRPr="00084341">
                        <w:rPr>
                          <w:rFonts w:ascii="Century Gothic" w:hAnsi="Century Gothic"/>
                          <w:sz w:val="18"/>
                          <w:szCs w:val="18"/>
                        </w:rPr>
                        <w:t xml:space="preserve">            DATE</w:t>
                      </w:r>
                      <w:r w:rsidRPr="00084341">
                        <w:rPr>
                          <w:rFonts w:ascii="Century Gothic" w:hAnsi="Century Gothic"/>
                          <w:sz w:val="18"/>
                          <w:szCs w:val="18"/>
                        </w:rPr>
                        <w:tab/>
                      </w:r>
                      <w:r w:rsidRPr="00084341">
                        <w:rPr>
                          <w:rFonts w:ascii="Century Gothic" w:hAnsi="Century Gothic"/>
                          <w:sz w:val="18"/>
                          <w:szCs w:val="18"/>
                        </w:rPr>
                        <w:tab/>
                      </w:r>
                      <w:r w:rsidRPr="00084341">
                        <w:rPr>
                          <w:rFonts w:ascii="Century Gothic" w:hAnsi="Century Gothic"/>
                          <w:sz w:val="18"/>
                          <w:szCs w:val="18"/>
                        </w:rPr>
                        <w:tab/>
                        <w:t xml:space="preserve">        SIGNATURE</w:t>
                      </w:r>
                    </w:p>
                  </w:txbxContent>
                </v:textbox>
                <w10:wrap anchorx="margin"/>
              </v:shape>
            </w:pict>
          </mc:Fallback>
        </mc:AlternateContent>
      </w:r>
    </w:p>
    <w:p w14:paraId="084B5ECD" w14:textId="77777777" w:rsidR="006C43D7" w:rsidRPr="006C43D7" w:rsidRDefault="006C43D7" w:rsidP="006C43D7">
      <w:pPr>
        <w:spacing w:line="360" w:lineRule="auto"/>
        <w:jc w:val="both"/>
      </w:pPr>
    </w:p>
    <w:p w14:paraId="4E808D74" w14:textId="77777777" w:rsidR="006C43D7" w:rsidRPr="006C43D7" w:rsidRDefault="006C43D7" w:rsidP="006C43D7">
      <w:pPr>
        <w:spacing w:line="360" w:lineRule="auto"/>
        <w:jc w:val="both"/>
      </w:pPr>
    </w:p>
    <w:p w14:paraId="34BF70B6" w14:textId="77777777" w:rsidR="006C43D7" w:rsidRPr="006C43D7" w:rsidRDefault="006C43D7" w:rsidP="006C43D7">
      <w:pPr>
        <w:spacing w:line="360" w:lineRule="auto"/>
        <w:jc w:val="both"/>
      </w:pPr>
    </w:p>
    <w:p w14:paraId="2F53BA3A" w14:textId="77777777" w:rsidR="006C43D7" w:rsidRPr="006C43D7" w:rsidRDefault="006C43D7" w:rsidP="006C43D7">
      <w:pPr>
        <w:spacing w:line="480" w:lineRule="auto"/>
        <w:jc w:val="both"/>
      </w:pPr>
    </w:p>
    <w:p w14:paraId="3A1C212E" w14:textId="77777777" w:rsidR="006C43D7" w:rsidRPr="006C43D7" w:rsidRDefault="006C43D7" w:rsidP="006C43D7">
      <w:pPr>
        <w:spacing w:line="480" w:lineRule="auto"/>
        <w:jc w:val="both"/>
      </w:pPr>
    </w:p>
    <w:p w14:paraId="04919B1B" w14:textId="77777777" w:rsidR="001D3CC2" w:rsidRDefault="001D3CC2" w:rsidP="006C43D7">
      <w:pPr>
        <w:spacing w:line="480" w:lineRule="auto"/>
        <w:jc w:val="both"/>
        <w:rPr>
          <w:rFonts w:cs="Arial"/>
          <w:szCs w:val="22"/>
        </w:rPr>
      </w:pPr>
    </w:p>
    <w:p w14:paraId="65EE98C6" w14:textId="77777777" w:rsidR="00AA7A76" w:rsidRPr="006C43D7" w:rsidRDefault="00AA7A76" w:rsidP="00AA7A76">
      <w:pPr>
        <w:spacing w:line="480" w:lineRule="auto"/>
        <w:jc w:val="both"/>
        <w:rPr>
          <w:rFonts w:cs="Arial"/>
          <w:szCs w:val="22"/>
        </w:rPr>
      </w:pPr>
      <w:r w:rsidRPr="006C43D7">
        <w:rPr>
          <w:rFonts w:cs="Arial"/>
          <w:szCs w:val="22"/>
        </w:rPr>
        <w:t>In the matter between: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3"/>
        <w:gridCol w:w="1888"/>
      </w:tblGrid>
      <w:tr w:rsidR="002104BF" w14:paraId="4E86F7E7" w14:textId="77777777" w:rsidTr="008D4C93">
        <w:tc>
          <w:tcPr>
            <w:tcW w:w="6663" w:type="dxa"/>
          </w:tcPr>
          <w:p w14:paraId="74EE3EDE" w14:textId="4509BFCE" w:rsidR="002104BF" w:rsidRDefault="008D4C93" w:rsidP="00AA7A76">
            <w:pPr>
              <w:spacing w:line="480" w:lineRule="auto"/>
              <w:jc w:val="both"/>
              <w:rPr>
                <w:rFonts w:cs="Arial"/>
                <w:szCs w:val="22"/>
              </w:rPr>
            </w:pPr>
            <w:r>
              <w:rPr>
                <w:b/>
                <w:lang w:val="en-GB"/>
              </w:rPr>
              <w:t>DOOLA, RIYADH</w:t>
            </w:r>
          </w:p>
        </w:tc>
        <w:tc>
          <w:tcPr>
            <w:tcW w:w="1888" w:type="dxa"/>
          </w:tcPr>
          <w:p w14:paraId="72EECEF8" w14:textId="11B75D3A" w:rsidR="002104BF" w:rsidRDefault="002104BF" w:rsidP="00AA7A76">
            <w:pPr>
              <w:spacing w:line="480" w:lineRule="auto"/>
              <w:jc w:val="both"/>
              <w:rPr>
                <w:rFonts w:cs="Arial"/>
                <w:szCs w:val="22"/>
              </w:rPr>
            </w:pPr>
            <w:r>
              <w:rPr>
                <w:rFonts w:cs="Arial"/>
                <w:szCs w:val="22"/>
              </w:rPr>
              <w:t>Applicant</w:t>
            </w:r>
          </w:p>
        </w:tc>
      </w:tr>
      <w:tr w:rsidR="002104BF" w14:paraId="64E42908" w14:textId="77777777" w:rsidTr="008D4C93">
        <w:tc>
          <w:tcPr>
            <w:tcW w:w="6663" w:type="dxa"/>
          </w:tcPr>
          <w:p w14:paraId="6E1E5BEB" w14:textId="61C88D93" w:rsidR="002104BF" w:rsidRDefault="008D4C93" w:rsidP="00AA7A76">
            <w:pPr>
              <w:spacing w:line="480" w:lineRule="auto"/>
              <w:jc w:val="both"/>
              <w:rPr>
                <w:b/>
                <w:szCs w:val="22"/>
              </w:rPr>
            </w:pPr>
            <w:r>
              <w:rPr>
                <w:b/>
                <w:szCs w:val="22"/>
              </w:rPr>
              <w:t>A</w:t>
            </w:r>
            <w:r w:rsidR="002104BF">
              <w:rPr>
                <w:b/>
                <w:szCs w:val="22"/>
              </w:rPr>
              <w:t>nd</w:t>
            </w:r>
          </w:p>
        </w:tc>
        <w:tc>
          <w:tcPr>
            <w:tcW w:w="1888" w:type="dxa"/>
          </w:tcPr>
          <w:p w14:paraId="1DB932F2" w14:textId="77777777" w:rsidR="002104BF" w:rsidRDefault="002104BF" w:rsidP="00AA7A76">
            <w:pPr>
              <w:spacing w:line="480" w:lineRule="auto"/>
              <w:jc w:val="both"/>
              <w:rPr>
                <w:rFonts w:cs="Arial"/>
                <w:szCs w:val="22"/>
              </w:rPr>
            </w:pPr>
          </w:p>
        </w:tc>
      </w:tr>
      <w:tr w:rsidR="002104BF" w14:paraId="3BCAF70A" w14:textId="77777777" w:rsidTr="008D4C93">
        <w:tc>
          <w:tcPr>
            <w:tcW w:w="6663" w:type="dxa"/>
          </w:tcPr>
          <w:p w14:paraId="58EF44C8" w14:textId="3623CCA7" w:rsidR="00C549F4" w:rsidRPr="00516E87" w:rsidRDefault="008D4C93" w:rsidP="00C549F4">
            <w:pPr>
              <w:tabs>
                <w:tab w:val="right" w:pos="8931"/>
              </w:tabs>
              <w:contextualSpacing/>
              <w:rPr>
                <w:b/>
                <w:lang w:val="en-GB"/>
              </w:rPr>
            </w:pPr>
            <w:r>
              <w:rPr>
                <w:b/>
                <w:lang w:val="en-GB"/>
              </w:rPr>
              <w:t xml:space="preserve">FIRST RAND BANK LTD trading inter alia as RMB PRIVATE BANK </w:t>
            </w:r>
            <w:r w:rsidRPr="008D4C93">
              <w:rPr>
                <w:b/>
                <w:sz w:val="18"/>
                <w:szCs w:val="20"/>
                <w:lang w:val="en-GB"/>
              </w:rPr>
              <w:t>and as</w:t>
            </w:r>
            <w:r>
              <w:rPr>
                <w:b/>
                <w:lang w:val="en-GB"/>
              </w:rPr>
              <w:t xml:space="preserve"> FNB </w:t>
            </w:r>
          </w:p>
          <w:p w14:paraId="0E8BF73D" w14:textId="6E2E80CC" w:rsidR="002104BF" w:rsidRDefault="00C549F4" w:rsidP="00C549F4">
            <w:pPr>
              <w:spacing w:line="480" w:lineRule="auto"/>
              <w:jc w:val="both"/>
              <w:rPr>
                <w:b/>
                <w:szCs w:val="22"/>
              </w:rPr>
            </w:pPr>
            <w:r w:rsidRPr="00516E87">
              <w:rPr>
                <w:b/>
                <w:lang w:val="en-GB"/>
              </w:rPr>
              <w:t>(Registration Number: 2011/009111/07)</w:t>
            </w:r>
          </w:p>
        </w:tc>
        <w:tc>
          <w:tcPr>
            <w:tcW w:w="1888" w:type="dxa"/>
          </w:tcPr>
          <w:p w14:paraId="2A989CFA" w14:textId="166EFBFC" w:rsidR="002104BF" w:rsidRDefault="002104BF" w:rsidP="00AA7A76">
            <w:pPr>
              <w:spacing w:line="480" w:lineRule="auto"/>
              <w:jc w:val="both"/>
              <w:rPr>
                <w:rFonts w:cs="Arial"/>
                <w:szCs w:val="22"/>
              </w:rPr>
            </w:pPr>
            <w:r>
              <w:rPr>
                <w:rFonts w:cs="Arial"/>
                <w:szCs w:val="22"/>
              </w:rPr>
              <w:t>Respondent</w:t>
            </w:r>
          </w:p>
        </w:tc>
      </w:tr>
    </w:tbl>
    <w:p w14:paraId="387BBDD6" w14:textId="77777777" w:rsidR="00BF086D" w:rsidRPr="006C43D7" w:rsidRDefault="00BF086D" w:rsidP="006C43D7">
      <w:pPr>
        <w:pBdr>
          <w:bottom w:val="single" w:sz="4" w:space="1" w:color="auto"/>
        </w:pBdr>
        <w:spacing w:line="360" w:lineRule="auto"/>
        <w:jc w:val="both"/>
        <w:rPr>
          <w:rFonts w:cs="Arial"/>
          <w:szCs w:val="22"/>
        </w:rPr>
      </w:pPr>
    </w:p>
    <w:p w14:paraId="58DE5549" w14:textId="77777777" w:rsidR="006C43D7" w:rsidRPr="006C43D7" w:rsidRDefault="006C43D7" w:rsidP="006C43D7">
      <w:pPr>
        <w:spacing w:line="276" w:lineRule="auto"/>
        <w:jc w:val="both"/>
        <w:rPr>
          <w:rFonts w:cs="Arial"/>
          <w:szCs w:val="22"/>
        </w:rPr>
      </w:pPr>
    </w:p>
    <w:p w14:paraId="647AB70C" w14:textId="77777777" w:rsidR="006C43D7" w:rsidRPr="006C43D7" w:rsidRDefault="006C43D7" w:rsidP="006C43D7">
      <w:pPr>
        <w:keepNext/>
        <w:spacing w:line="276" w:lineRule="auto"/>
        <w:jc w:val="center"/>
        <w:outlineLvl w:val="1"/>
        <w:rPr>
          <w:rFonts w:cs="Arial"/>
          <w:b/>
          <w:bCs/>
          <w:szCs w:val="22"/>
        </w:rPr>
      </w:pPr>
      <w:r w:rsidRPr="006C43D7">
        <w:rPr>
          <w:rFonts w:cs="Arial"/>
          <w:b/>
          <w:bCs/>
          <w:szCs w:val="22"/>
        </w:rPr>
        <w:t>JUDGMENT</w:t>
      </w:r>
    </w:p>
    <w:p w14:paraId="52CD25EB" w14:textId="77777777" w:rsidR="006C43D7" w:rsidRPr="006C43D7" w:rsidRDefault="006C43D7" w:rsidP="006C43D7">
      <w:pPr>
        <w:pBdr>
          <w:bottom w:val="single" w:sz="4" w:space="1" w:color="auto"/>
        </w:pBdr>
        <w:jc w:val="both"/>
        <w:rPr>
          <w:rFonts w:cs="Arial"/>
          <w:szCs w:val="22"/>
        </w:rPr>
      </w:pPr>
    </w:p>
    <w:p w14:paraId="0CA76DA1" w14:textId="77777777" w:rsidR="00DC621D" w:rsidRDefault="00DC621D" w:rsidP="00DC621D">
      <w:pPr>
        <w:spacing w:line="480" w:lineRule="auto"/>
        <w:jc w:val="both"/>
        <w:rPr>
          <w:rFonts w:cs="Arial"/>
          <w:b/>
          <w:szCs w:val="22"/>
        </w:rPr>
      </w:pPr>
    </w:p>
    <w:p w14:paraId="5BD82EFE" w14:textId="0F8FBF70" w:rsidR="00BE6AB8" w:rsidRPr="00BE6AB8" w:rsidRDefault="00C676F3" w:rsidP="00BE6AB8">
      <w:pPr>
        <w:spacing w:after="480" w:line="480" w:lineRule="auto"/>
        <w:jc w:val="both"/>
        <w:rPr>
          <w:rFonts w:cs="Arial"/>
          <w:b/>
          <w:szCs w:val="22"/>
        </w:rPr>
      </w:pPr>
      <w:r>
        <w:rPr>
          <w:rFonts w:cs="Arial"/>
          <w:b/>
          <w:szCs w:val="22"/>
        </w:rPr>
        <w:t>MOORCROFT</w:t>
      </w:r>
      <w:r w:rsidR="006C43D7" w:rsidRPr="006C43D7">
        <w:rPr>
          <w:rFonts w:cs="Arial"/>
          <w:b/>
          <w:szCs w:val="22"/>
        </w:rPr>
        <w:t xml:space="preserve"> AJ:</w:t>
      </w:r>
    </w:p>
    <w:p w14:paraId="09239A78" w14:textId="5E1312C0" w:rsidR="00C460A0" w:rsidRDefault="00C460A0" w:rsidP="00653BA4">
      <w:pPr>
        <w:keepNext/>
        <w:spacing w:after="480" w:line="480" w:lineRule="auto"/>
        <w:jc w:val="both"/>
        <w:rPr>
          <w:rFonts w:cs="Arial"/>
          <w:bCs/>
          <w:i/>
          <w:iCs/>
          <w:szCs w:val="20"/>
          <w:u w:val="single"/>
        </w:rPr>
      </w:pPr>
      <w:r w:rsidRPr="003D19C3">
        <w:rPr>
          <w:rFonts w:cs="Arial"/>
          <w:bCs/>
          <w:i/>
          <w:iCs/>
          <w:szCs w:val="20"/>
          <w:u w:val="single"/>
        </w:rPr>
        <w:lastRenderedPageBreak/>
        <w:t>Summary</w:t>
      </w:r>
    </w:p>
    <w:p w14:paraId="15D15E36" w14:textId="63A312FD" w:rsidR="008D4C93" w:rsidRDefault="00E94A15" w:rsidP="00653BA4">
      <w:pPr>
        <w:keepNext/>
        <w:spacing w:after="480" w:line="480" w:lineRule="auto"/>
        <w:jc w:val="both"/>
        <w:rPr>
          <w:rFonts w:cs="Arial"/>
          <w:bCs/>
          <w:i/>
          <w:iCs/>
          <w:szCs w:val="20"/>
        </w:rPr>
      </w:pPr>
      <w:r>
        <w:rPr>
          <w:rFonts w:cs="Arial"/>
          <w:bCs/>
          <w:i/>
          <w:iCs/>
          <w:szCs w:val="20"/>
        </w:rPr>
        <w:t xml:space="preserve">Documents and recordings that are referred to in pleadings or affidavits must be discovered when they are relevant to the </w:t>
      </w:r>
      <w:proofErr w:type="gramStart"/>
      <w:r>
        <w:rPr>
          <w:rFonts w:cs="Arial"/>
          <w:bCs/>
          <w:i/>
          <w:iCs/>
          <w:szCs w:val="20"/>
        </w:rPr>
        <w:t xml:space="preserve">dispute, </w:t>
      </w:r>
      <w:r w:rsidR="00FC183C">
        <w:rPr>
          <w:rFonts w:cs="Arial"/>
          <w:bCs/>
          <w:i/>
          <w:iCs/>
          <w:szCs w:val="20"/>
        </w:rPr>
        <w:t>unless</w:t>
      </w:r>
      <w:proofErr w:type="gramEnd"/>
      <w:r w:rsidR="009266FA">
        <w:rPr>
          <w:rFonts w:cs="Arial"/>
          <w:bCs/>
          <w:i/>
          <w:iCs/>
          <w:szCs w:val="20"/>
        </w:rPr>
        <w:t xml:space="preserve"> they </w:t>
      </w:r>
      <w:r>
        <w:rPr>
          <w:rFonts w:cs="Arial"/>
          <w:bCs/>
          <w:i/>
          <w:iCs/>
          <w:szCs w:val="20"/>
        </w:rPr>
        <w:t>are privilege</w:t>
      </w:r>
      <w:r w:rsidR="009266FA">
        <w:rPr>
          <w:rFonts w:cs="Arial"/>
          <w:bCs/>
          <w:i/>
          <w:iCs/>
          <w:szCs w:val="20"/>
        </w:rPr>
        <w:t>d</w:t>
      </w:r>
      <w:r>
        <w:rPr>
          <w:rFonts w:cs="Arial"/>
          <w:bCs/>
          <w:i/>
          <w:iCs/>
          <w:szCs w:val="20"/>
        </w:rPr>
        <w:t>.</w:t>
      </w:r>
    </w:p>
    <w:p w14:paraId="18AFD427" w14:textId="71D91557" w:rsidR="00BE6AB8" w:rsidRPr="00BE6AB8" w:rsidRDefault="00BE6AB8" w:rsidP="00653BA4">
      <w:pPr>
        <w:keepNext/>
        <w:spacing w:after="480" w:line="480" w:lineRule="auto"/>
        <w:jc w:val="both"/>
        <w:rPr>
          <w:rFonts w:cs="Arial"/>
          <w:bCs/>
          <w:szCs w:val="22"/>
          <w:u w:val="single"/>
        </w:rPr>
      </w:pPr>
      <w:r>
        <w:rPr>
          <w:rFonts w:cs="Arial"/>
          <w:bCs/>
          <w:szCs w:val="22"/>
          <w:u w:val="single"/>
        </w:rPr>
        <w:t>Order</w:t>
      </w:r>
    </w:p>
    <w:p w14:paraId="00B584BA" w14:textId="1AA5297C" w:rsidR="00313056" w:rsidRPr="00E73772" w:rsidRDefault="00C220AE" w:rsidP="00C220AE">
      <w:pPr>
        <w:tabs>
          <w:tab w:val="left" w:pos="567"/>
        </w:tabs>
        <w:spacing w:before="240" w:after="240" w:line="360" w:lineRule="auto"/>
        <w:jc w:val="both"/>
        <w:rPr>
          <w:rFonts w:cs="Arial"/>
          <w:bCs/>
          <w:i/>
          <w:iCs/>
          <w:szCs w:val="22"/>
        </w:rPr>
      </w:pPr>
      <w:r w:rsidRPr="00E73772">
        <w:rPr>
          <w:rFonts w:cs="Arial"/>
          <w:bCs/>
          <w:iCs/>
          <w:szCs w:val="22"/>
        </w:rPr>
        <w:t>[1]</w:t>
      </w:r>
      <w:r w:rsidRPr="00E73772">
        <w:rPr>
          <w:rFonts w:cs="Arial"/>
          <w:bCs/>
          <w:iCs/>
          <w:szCs w:val="22"/>
        </w:rPr>
        <w:tab/>
      </w:r>
      <w:r w:rsidR="003B4100" w:rsidRPr="00E73772">
        <w:rPr>
          <w:rFonts w:cs="Arial"/>
          <w:bCs/>
          <w:szCs w:val="22"/>
        </w:rPr>
        <w:t xml:space="preserve">In this </w:t>
      </w:r>
      <w:r w:rsidR="00B56906" w:rsidRPr="00E73772">
        <w:rPr>
          <w:rFonts w:cs="Arial"/>
          <w:bCs/>
          <w:szCs w:val="22"/>
        </w:rPr>
        <w:t xml:space="preserve">matter </w:t>
      </w:r>
      <w:r w:rsidR="00C460A0" w:rsidRPr="00E73772">
        <w:rPr>
          <w:rFonts w:cs="Arial"/>
          <w:bCs/>
          <w:szCs w:val="22"/>
        </w:rPr>
        <w:t>I make the following order:</w:t>
      </w:r>
    </w:p>
    <w:p w14:paraId="0DCC29DE" w14:textId="5DC99D52" w:rsidR="008D4C93" w:rsidRPr="00C220AE" w:rsidRDefault="00C220AE" w:rsidP="00C220AE">
      <w:pPr>
        <w:spacing w:before="240" w:after="240" w:line="360" w:lineRule="auto"/>
        <w:ind w:left="720" w:hanging="720"/>
        <w:jc w:val="both"/>
        <w:rPr>
          <w:rFonts w:cs="Arial"/>
          <w:bCs/>
          <w:i/>
          <w:iCs/>
          <w:szCs w:val="22"/>
        </w:rPr>
      </w:pPr>
      <w:r w:rsidRPr="008D4C93">
        <w:rPr>
          <w:rFonts w:cs="Arial"/>
          <w:bCs/>
          <w:i/>
          <w:iCs/>
          <w:szCs w:val="22"/>
        </w:rPr>
        <w:t>1.</w:t>
      </w:r>
      <w:r w:rsidRPr="008D4C93">
        <w:rPr>
          <w:rFonts w:cs="Arial"/>
          <w:bCs/>
          <w:i/>
          <w:iCs/>
          <w:szCs w:val="22"/>
        </w:rPr>
        <w:tab/>
      </w:r>
      <w:r w:rsidR="003141A1" w:rsidRPr="00C220AE">
        <w:rPr>
          <w:rFonts w:cs="Arial"/>
          <w:bCs/>
          <w:i/>
          <w:iCs/>
          <w:szCs w:val="22"/>
        </w:rPr>
        <w:t xml:space="preserve">The applicant’s application to strike out </w:t>
      </w:r>
      <w:r w:rsidR="00F555DC" w:rsidRPr="00C220AE">
        <w:rPr>
          <w:rFonts w:cs="Arial"/>
          <w:bCs/>
          <w:i/>
          <w:iCs/>
          <w:szCs w:val="22"/>
        </w:rPr>
        <w:t>paragraphs</w:t>
      </w:r>
      <w:r w:rsidR="003141A1" w:rsidRPr="00C220AE">
        <w:rPr>
          <w:rFonts w:cs="Arial"/>
          <w:bCs/>
          <w:i/>
          <w:iCs/>
          <w:szCs w:val="22"/>
        </w:rPr>
        <w:t xml:space="preserve"> of the respondent’s answering affidavit in this application is </w:t>
      </w:r>
      <w:proofErr w:type="gramStart"/>
      <w:r w:rsidR="003141A1" w:rsidRPr="00C220AE">
        <w:rPr>
          <w:rFonts w:cs="Arial"/>
          <w:bCs/>
          <w:i/>
          <w:iCs/>
          <w:szCs w:val="22"/>
        </w:rPr>
        <w:t>dismissed</w:t>
      </w:r>
      <w:r w:rsidR="00AB511A" w:rsidRPr="00C220AE">
        <w:rPr>
          <w:rFonts w:cs="Arial"/>
          <w:bCs/>
          <w:i/>
          <w:iCs/>
          <w:szCs w:val="22"/>
        </w:rPr>
        <w:t>;</w:t>
      </w:r>
      <w:proofErr w:type="gramEnd"/>
    </w:p>
    <w:p w14:paraId="724B9BA2" w14:textId="1233E886" w:rsidR="008D4C93" w:rsidRPr="00C220AE" w:rsidRDefault="00C220AE" w:rsidP="00C220AE">
      <w:pPr>
        <w:spacing w:before="240" w:after="240" w:line="360" w:lineRule="auto"/>
        <w:ind w:left="720" w:hanging="720"/>
        <w:jc w:val="both"/>
        <w:rPr>
          <w:rFonts w:cs="Arial"/>
          <w:bCs/>
          <w:i/>
          <w:iCs/>
          <w:szCs w:val="22"/>
        </w:rPr>
      </w:pPr>
      <w:r w:rsidRPr="008D4C93">
        <w:rPr>
          <w:rFonts w:cs="Arial"/>
          <w:bCs/>
          <w:i/>
          <w:iCs/>
          <w:szCs w:val="22"/>
        </w:rPr>
        <w:t>2.</w:t>
      </w:r>
      <w:r w:rsidRPr="008D4C93">
        <w:rPr>
          <w:rFonts w:cs="Arial"/>
          <w:bCs/>
          <w:i/>
          <w:iCs/>
          <w:szCs w:val="22"/>
        </w:rPr>
        <w:tab/>
      </w:r>
      <w:r w:rsidR="00AB511A" w:rsidRPr="00C220AE">
        <w:rPr>
          <w:rFonts w:cs="Arial"/>
          <w:bCs/>
          <w:i/>
          <w:iCs/>
          <w:szCs w:val="22"/>
        </w:rPr>
        <w:t>The applicant is ordered to pay the costs of the striking out application</w:t>
      </w:r>
      <w:r w:rsidR="001350D6" w:rsidRPr="00C220AE">
        <w:rPr>
          <w:rFonts w:cs="Arial"/>
          <w:bCs/>
          <w:i/>
          <w:iCs/>
          <w:szCs w:val="22"/>
        </w:rPr>
        <w:t xml:space="preserve"> on the scale as between attorney and </w:t>
      </w:r>
      <w:proofErr w:type="gramStart"/>
      <w:r w:rsidR="001350D6" w:rsidRPr="00C220AE">
        <w:rPr>
          <w:rFonts w:cs="Arial"/>
          <w:bCs/>
          <w:i/>
          <w:iCs/>
          <w:szCs w:val="22"/>
        </w:rPr>
        <w:t>client</w:t>
      </w:r>
      <w:r w:rsidR="00AB511A" w:rsidRPr="00C220AE">
        <w:rPr>
          <w:rFonts w:cs="Arial"/>
          <w:bCs/>
          <w:i/>
          <w:iCs/>
          <w:szCs w:val="22"/>
        </w:rPr>
        <w:t>;</w:t>
      </w:r>
      <w:proofErr w:type="gramEnd"/>
    </w:p>
    <w:p w14:paraId="324BBBB7" w14:textId="4896365A" w:rsidR="008D4C93" w:rsidRPr="00C220AE" w:rsidRDefault="00C220AE" w:rsidP="00C220AE">
      <w:pPr>
        <w:spacing w:before="240" w:after="240" w:line="360" w:lineRule="auto"/>
        <w:ind w:left="720" w:hanging="720"/>
        <w:jc w:val="both"/>
        <w:rPr>
          <w:rFonts w:cs="Arial"/>
          <w:bCs/>
          <w:i/>
          <w:iCs/>
          <w:szCs w:val="22"/>
        </w:rPr>
      </w:pPr>
      <w:r w:rsidRPr="008D4C93">
        <w:rPr>
          <w:rFonts w:cs="Arial"/>
          <w:bCs/>
          <w:i/>
          <w:iCs/>
          <w:szCs w:val="22"/>
        </w:rPr>
        <w:t>3.</w:t>
      </w:r>
      <w:r w:rsidRPr="008D4C93">
        <w:rPr>
          <w:rFonts w:cs="Arial"/>
          <w:bCs/>
          <w:i/>
          <w:iCs/>
          <w:szCs w:val="22"/>
        </w:rPr>
        <w:tab/>
      </w:r>
      <w:r w:rsidR="00C31651" w:rsidRPr="00C220AE">
        <w:rPr>
          <w:rFonts w:cs="Arial"/>
          <w:bCs/>
          <w:i/>
          <w:iCs/>
          <w:szCs w:val="22"/>
        </w:rPr>
        <w:t xml:space="preserve">The application in terms of Rule 35(12) is </w:t>
      </w:r>
      <w:proofErr w:type="gramStart"/>
      <w:r w:rsidR="00C31651" w:rsidRPr="00C220AE">
        <w:rPr>
          <w:rFonts w:cs="Arial"/>
          <w:bCs/>
          <w:i/>
          <w:iCs/>
          <w:szCs w:val="22"/>
        </w:rPr>
        <w:t>dismissed</w:t>
      </w:r>
      <w:r w:rsidR="001350D6" w:rsidRPr="00C220AE">
        <w:rPr>
          <w:rFonts w:cs="Arial"/>
          <w:bCs/>
          <w:i/>
          <w:iCs/>
          <w:szCs w:val="22"/>
        </w:rPr>
        <w:t>;</w:t>
      </w:r>
      <w:proofErr w:type="gramEnd"/>
    </w:p>
    <w:p w14:paraId="5DCBC629" w14:textId="675B8693" w:rsidR="008D4C93" w:rsidRPr="00C220AE" w:rsidRDefault="00C220AE" w:rsidP="00C220AE">
      <w:pPr>
        <w:spacing w:before="240" w:after="240" w:line="360" w:lineRule="auto"/>
        <w:ind w:left="720" w:hanging="720"/>
        <w:jc w:val="both"/>
        <w:rPr>
          <w:rFonts w:cs="Arial"/>
          <w:bCs/>
          <w:i/>
          <w:iCs/>
          <w:szCs w:val="22"/>
        </w:rPr>
      </w:pPr>
      <w:r w:rsidRPr="008D4C93">
        <w:rPr>
          <w:rFonts w:cs="Arial"/>
          <w:bCs/>
          <w:i/>
          <w:iCs/>
          <w:szCs w:val="22"/>
        </w:rPr>
        <w:t>4.</w:t>
      </w:r>
      <w:r w:rsidRPr="008D4C93">
        <w:rPr>
          <w:rFonts w:cs="Arial"/>
          <w:bCs/>
          <w:i/>
          <w:iCs/>
          <w:szCs w:val="22"/>
        </w:rPr>
        <w:tab/>
      </w:r>
      <w:r w:rsidR="00C31651" w:rsidRPr="00C220AE">
        <w:rPr>
          <w:rFonts w:cs="Arial"/>
          <w:bCs/>
          <w:i/>
          <w:iCs/>
          <w:szCs w:val="22"/>
        </w:rPr>
        <w:t>The applicant is ordered to pay the costs of the application</w:t>
      </w:r>
      <w:r w:rsidR="001350D6" w:rsidRPr="00C220AE">
        <w:rPr>
          <w:rFonts w:cs="Arial"/>
          <w:bCs/>
          <w:i/>
          <w:iCs/>
          <w:szCs w:val="22"/>
        </w:rPr>
        <w:t xml:space="preserve"> on the scale as between attorney and client</w:t>
      </w:r>
      <w:r w:rsidR="00685509" w:rsidRPr="00C220AE">
        <w:rPr>
          <w:rFonts w:cs="Arial"/>
          <w:bCs/>
          <w:i/>
          <w:iCs/>
          <w:szCs w:val="22"/>
        </w:rPr>
        <w:t xml:space="preserve">, such costs to include the </w:t>
      </w:r>
      <w:r w:rsidR="00C372F9" w:rsidRPr="00C220AE">
        <w:rPr>
          <w:rFonts w:cs="Arial"/>
          <w:bCs/>
          <w:i/>
          <w:iCs/>
          <w:szCs w:val="22"/>
        </w:rPr>
        <w:t xml:space="preserve">reserved </w:t>
      </w:r>
      <w:r w:rsidR="00685509" w:rsidRPr="00C220AE">
        <w:rPr>
          <w:rFonts w:cs="Arial"/>
          <w:bCs/>
          <w:i/>
          <w:iCs/>
          <w:szCs w:val="22"/>
        </w:rPr>
        <w:t xml:space="preserve">costs of 25 April </w:t>
      </w:r>
      <w:proofErr w:type="gramStart"/>
      <w:r w:rsidR="00685509" w:rsidRPr="00C220AE">
        <w:rPr>
          <w:rFonts w:cs="Arial"/>
          <w:bCs/>
          <w:i/>
          <w:iCs/>
          <w:szCs w:val="22"/>
        </w:rPr>
        <w:t>2022</w:t>
      </w:r>
      <w:r w:rsidR="00D26893" w:rsidRPr="00C220AE">
        <w:rPr>
          <w:rFonts w:cs="Arial"/>
          <w:bCs/>
          <w:i/>
          <w:iCs/>
          <w:szCs w:val="22"/>
        </w:rPr>
        <w:t>;</w:t>
      </w:r>
      <w:proofErr w:type="gramEnd"/>
    </w:p>
    <w:p w14:paraId="08540072" w14:textId="1BCB345B" w:rsidR="00C9310B" w:rsidRPr="00C220AE" w:rsidRDefault="00C220AE" w:rsidP="00C220AE">
      <w:pPr>
        <w:widowControl w:val="0"/>
        <w:tabs>
          <w:tab w:val="left" w:pos="567"/>
        </w:tabs>
        <w:spacing w:before="480" w:after="480" w:line="480" w:lineRule="auto"/>
        <w:jc w:val="both"/>
        <w:rPr>
          <w:rFonts w:cs="Arial"/>
          <w:bCs/>
          <w:szCs w:val="22"/>
          <w:u w:val="single"/>
        </w:rPr>
      </w:pPr>
      <w:r w:rsidRPr="00E73772">
        <w:rPr>
          <w:rFonts w:cs="Arial"/>
          <w:bCs/>
          <w:szCs w:val="22"/>
        </w:rPr>
        <w:t>[2]</w:t>
      </w:r>
      <w:r w:rsidRPr="00E73772">
        <w:rPr>
          <w:rFonts w:cs="Arial"/>
          <w:bCs/>
          <w:szCs w:val="22"/>
        </w:rPr>
        <w:tab/>
      </w:r>
      <w:r w:rsidR="00573FF9" w:rsidRPr="00C220AE">
        <w:rPr>
          <w:rFonts w:cs="Arial"/>
          <w:bCs/>
          <w:szCs w:val="22"/>
        </w:rPr>
        <w:t>The reasons for the order follow below.</w:t>
      </w:r>
    </w:p>
    <w:p w14:paraId="3658C913" w14:textId="4EE100DB" w:rsidR="00573FF9" w:rsidRPr="00E73772" w:rsidRDefault="007E2E99" w:rsidP="009869F2">
      <w:pPr>
        <w:keepNext/>
        <w:widowControl w:val="0"/>
        <w:spacing w:before="480" w:after="480" w:line="480" w:lineRule="auto"/>
        <w:jc w:val="both"/>
        <w:rPr>
          <w:rFonts w:cs="Arial"/>
          <w:bCs/>
          <w:szCs w:val="22"/>
          <w:u w:val="single"/>
        </w:rPr>
      </w:pPr>
      <w:r w:rsidRPr="00E73772">
        <w:rPr>
          <w:rFonts w:cs="Arial"/>
          <w:bCs/>
          <w:szCs w:val="22"/>
          <w:u w:val="single"/>
        </w:rPr>
        <w:t>Introduction</w:t>
      </w:r>
    </w:p>
    <w:p w14:paraId="11FDA149" w14:textId="182626A0" w:rsidR="008A359C" w:rsidRDefault="00C220AE" w:rsidP="00C220AE">
      <w:pPr>
        <w:widowControl w:val="0"/>
        <w:tabs>
          <w:tab w:val="left" w:pos="567"/>
        </w:tabs>
        <w:spacing w:before="480" w:after="480" w:line="480" w:lineRule="auto"/>
        <w:jc w:val="both"/>
        <w:rPr>
          <w:rFonts w:cs="Arial"/>
          <w:bCs/>
          <w:szCs w:val="22"/>
        </w:rPr>
      </w:pPr>
      <w:r>
        <w:rPr>
          <w:rFonts w:cs="Arial"/>
          <w:bCs/>
          <w:szCs w:val="22"/>
        </w:rPr>
        <w:t>[3]</w:t>
      </w:r>
      <w:r>
        <w:rPr>
          <w:rFonts w:cs="Arial"/>
          <w:bCs/>
          <w:szCs w:val="22"/>
        </w:rPr>
        <w:tab/>
      </w:r>
      <w:r w:rsidR="001E360E">
        <w:rPr>
          <w:rFonts w:cs="Arial"/>
          <w:bCs/>
          <w:szCs w:val="22"/>
        </w:rPr>
        <w:t xml:space="preserve">This is an application for discovery in terms of Rule 35(12) of documents referred to in the founding affidavit and </w:t>
      </w:r>
      <w:proofErr w:type="gramStart"/>
      <w:r w:rsidR="001E360E">
        <w:rPr>
          <w:rFonts w:cs="Arial"/>
          <w:bCs/>
          <w:szCs w:val="22"/>
        </w:rPr>
        <w:t>replying</w:t>
      </w:r>
      <w:proofErr w:type="gramEnd"/>
      <w:r w:rsidR="001E360E">
        <w:rPr>
          <w:rFonts w:cs="Arial"/>
          <w:bCs/>
          <w:szCs w:val="22"/>
        </w:rPr>
        <w:t xml:space="preserve"> affidavit in the main application between the parties. </w:t>
      </w:r>
      <w:r w:rsidR="00490B9A">
        <w:rPr>
          <w:rFonts w:cs="Arial"/>
          <w:bCs/>
          <w:szCs w:val="22"/>
        </w:rPr>
        <w:t xml:space="preserve">The applicant (“the surety”) in this interlocutory application is the respondent in the main application and the respondent (“the bank”) in this application is the applicant in the main </w:t>
      </w:r>
      <w:proofErr w:type="gramStart"/>
      <w:r w:rsidR="00490B9A">
        <w:rPr>
          <w:rFonts w:cs="Arial"/>
          <w:bCs/>
          <w:szCs w:val="22"/>
        </w:rPr>
        <w:t>application .</w:t>
      </w:r>
      <w:proofErr w:type="gramEnd"/>
      <w:r w:rsidR="008A359C">
        <w:rPr>
          <w:rFonts w:cs="Arial"/>
          <w:bCs/>
          <w:szCs w:val="22"/>
        </w:rPr>
        <w:t xml:space="preserve"> </w:t>
      </w:r>
    </w:p>
    <w:p w14:paraId="5061BB56" w14:textId="77777777" w:rsidR="007E2E99" w:rsidRDefault="007E2E99" w:rsidP="00070EBF">
      <w:pPr>
        <w:widowControl w:val="0"/>
        <w:spacing w:before="480" w:after="480" w:line="480" w:lineRule="auto"/>
        <w:jc w:val="both"/>
        <w:rPr>
          <w:rFonts w:cs="Arial"/>
          <w:bCs/>
          <w:szCs w:val="22"/>
          <w:u w:val="single"/>
        </w:rPr>
      </w:pPr>
    </w:p>
    <w:p w14:paraId="69712D9E" w14:textId="28EABD02" w:rsidR="005E3720" w:rsidRPr="00070EBF" w:rsidRDefault="00070EBF" w:rsidP="00070EBF">
      <w:pPr>
        <w:widowControl w:val="0"/>
        <w:spacing w:before="480" w:after="480" w:line="480" w:lineRule="auto"/>
        <w:jc w:val="both"/>
        <w:rPr>
          <w:rFonts w:cs="Arial"/>
          <w:bCs/>
          <w:szCs w:val="22"/>
          <w:u w:val="single"/>
        </w:rPr>
      </w:pPr>
      <w:r w:rsidRPr="00070EBF">
        <w:rPr>
          <w:rFonts w:cs="Arial"/>
          <w:bCs/>
          <w:szCs w:val="22"/>
          <w:u w:val="single"/>
        </w:rPr>
        <w:lastRenderedPageBreak/>
        <w:t>Pending applications</w:t>
      </w:r>
    </w:p>
    <w:p w14:paraId="53068174" w14:textId="77B5E52F" w:rsidR="005E3720" w:rsidRPr="00BE087D" w:rsidRDefault="00C220AE" w:rsidP="00C220AE">
      <w:pPr>
        <w:widowControl w:val="0"/>
        <w:tabs>
          <w:tab w:val="left" w:pos="567"/>
        </w:tabs>
        <w:spacing w:before="480" w:after="480" w:line="480" w:lineRule="auto"/>
        <w:jc w:val="both"/>
        <w:rPr>
          <w:rFonts w:cs="Arial"/>
          <w:bCs/>
          <w:szCs w:val="22"/>
        </w:rPr>
      </w:pPr>
      <w:r w:rsidRPr="00BE087D">
        <w:rPr>
          <w:rFonts w:cs="Arial"/>
          <w:bCs/>
          <w:szCs w:val="22"/>
        </w:rPr>
        <w:t>[4]</w:t>
      </w:r>
      <w:r w:rsidRPr="00BE087D">
        <w:rPr>
          <w:rFonts w:cs="Arial"/>
          <w:bCs/>
          <w:szCs w:val="22"/>
        </w:rPr>
        <w:tab/>
      </w:r>
      <w:r w:rsidR="00070EBF">
        <w:rPr>
          <w:rFonts w:cs="Arial"/>
          <w:bCs/>
          <w:szCs w:val="22"/>
        </w:rPr>
        <w:t xml:space="preserve">The litigation is acrimonious. In the main application </w:t>
      </w:r>
      <w:r w:rsidR="00AA5AB4">
        <w:rPr>
          <w:rFonts w:cs="Arial"/>
          <w:bCs/>
          <w:szCs w:val="22"/>
        </w:rPr>
        <w:t xml:space="preserve">launched in June 2020 </w:t>
      </w:r>
      <w:r w:rsidR="00BE087D">
        <w:rPr>
          <w:rFonts w:cs="Arial"/>
          <w:bCs/>
          <w:szCs w:val="22"/>
        </w:rPr>
        <w:t>the bank</w:t>
      </w:r>
      <w:r w:rsidR="00070EBF">
        <w:rPr>
          <w:rFonts w:cs="Arial"/>
          <w:bCs/>
          <w:szCs w:val="22"/>
        </w:rPr>
        <w:t xml:space="preserve"> seeks payment of an amount of </w:t>
      </w:r>
      <w:r w:rsidR="00CF0689">
        <w:rPr>
          <w:rFonts w:cs="Arial"/>
          <w:bCs/>
          <w:szCs w:val="22"/>
        </w:rPr>
        <w:t>R6 514 057.13 with interest and costs</w:t>
      </w:r>
      <w:r w:rsidR="00A51200">
        <w:rPr>
          <w:rFonts w:cs="Arial"/>
          <w:bCs/>
          <w:szCs w:val="22"/>
        </w:rPr>
        <w:t xml:space="preserve"> arising out of a loan in the form of a credit facility granted to </w:t>
      </w:r>
      <w:proofErr w:type="spellStart"/>
      <w:r w:rsidR="00A51200">
        <w:rPr>
          <w:rFonts w:cs="Arial"/>
          <w:bCs/>
          <w:szCs w:val="22"/>
        </w:rPr>
        <w:t>Northend</w:t>
      </w:r>
      <w:proofErr w:type="spellEnd"/>
      <w:r w:rsidR="00A51200">
        <w:rPr>
          <w:rFonts w:cs="Arial"/>
          <w:bCs/>
          <w:szCs w:val="22"/>
        </w:rPr>
        <w:t xml:space="preserve"> Showroom CC, the principal debtor, and a </w:t>
      </w:r>
      <w:r w:rsidR="00F555DC">
        <w:rPr>
          <w:rFonts w:cs="Arial"/>
          <w:bCs/>
          <w:szCs w:val="22"/>
        </w:rPr>
        <w:t>deed</w:t>
      </w:r>
      <w:r w:rsidR="00A51200">
        <w:rPr>
          <w:rFonts w:cs="Arial"/>
          <w:bCs/>
          <w:szCs w:val="22"/>
        </w:rPr>
        <w:t xml:space="preserve"> of suretyship</w:t>
      </w:r>
      <w:r w:rsidR="00BE087D">
        <w:rPr>
          <w:rFonts w:cs="Arial"/>
          <w:bCs/>
          <w:szCs w:val="22"/>
        </w:rPr>
        <w:t xml:space="preserve"> signed by </w:t>
      </w:r>
      <w:r w:rsidR="00951D23">
        <w:rPr>
          <w:rFonts w:cs="Arial"/>
          <w:bCs/>
          <w:szCs w:val="22"/>
        </w:rPr>
        <w:t>the surety</w:t>
      </w:r>
      <w:r w:rsidR="00070EBF">
        <w:rPr>
          <w:rFonts w:cs="Arial"/>
          <w:bCs/>
          <w:szCs w:val="22"/>
        </w:rPr>
        <w:t xml:space="preserve"> in favour of the </w:t>
      </w:r>
      <w:r w:rsidR="00BE087D">
        <w:rPr>
          <w:rFonts w:cs="Arial"/>
          <w:bCs/>
          <w:szCs w:val="22"/>
        </w:rPr>
        <w:t>bank</w:t>
      </w:r>
      <w:r w:rsidR="00070EBF">
        <w:rPr>
          <w:rFonts w:cs="Arial"/>
          <w:bCs/>
          <w:szCs w:val="22"/>
        </w:rPr>
        <w:t xml:space="preserve"> for the debts of</w:t>
      </w:r>
      <w:r w:rsidR="00A51200">
        <w:rPr>
          <w:rFonts w:cs="Arial"/>
          <w:bCs/>
          <w:szCs w:val="22"/>
        </w:rPr>
        <w:t xml:space="preserve"> </w:t>
      </w:r>
      <w:proofErr w:type="spellStart"/>
      <w:r w:rsidR="00A51200">
        <w:rPr>
          <w:rFonts w:cs="Arial"/>
          <w:bCs/>
          <w:szCs w:val="22"/>
        </w:rPr>
        <w:t>Northend</w:t>
      </w:r>
      <w:proofErr w:type="spellEnd"/>
      <w:r w:rsidR="00BE087D">
        <w:rPr>
          <w:rFonts w:cs="Arial"/>
          <w:bCs/>
          <w:szCs w:val="22"/>
        </w:rPr>
        <w:t xml:space="preserve">. The </w:t>
      </w:r>
      <w:r w:rsidR="00070EBF">
        <w:rPr>
          <w:rFonts w:cs="Arial"/>
          <w:bCs/>
          <w:szCs w:val="22"/>
        </w:rPr>
        <w:t>debt was secured by the registration of mortgage bonds over</w:t>
      </w:r>
      <w:r w:rsidR="00BE087D">
        <w:rPr>
          <w:rFonts w:cs="Arial"/>
          <w:bCs/>
          <w:szCs w:val="22"/>
        </w:rPr>
        <w:t xml:space="preserve"> </w:t>
      </w:r>
      <w:r w:rsidR="00951D23">
        <w:rPr>
          <w:rFonts w:cs="Arial"/>
          <w:bCs/>
          <w:szCs w:val="22"/>
        </w:rPr>
        <w:t>the surety</w:t>
      </w:r>
      <w:r w:rsidR="00BE087D">
        <w:rPr>
          <w:rFonts w:cs="Arial"/>
          <w:bCs/>
          <w:szCs w:val="22"/>
        </w:rPr>
        <w:t xml:space="preserve">’s </w:t>
      </w:r>
      <w:r w:rsidR="00070EBF" w:rsidRPr="00BE087D">
        <w:rPr>
          <w:rFonts w:cs="Arial"/>
          <w:bCs/>
          <w:szCs w:val="22"/>
        </w:rPr>
        <w:t>immovable property</w:t>
      </w:r>
      <w:r w:rsidR="00BE087D">
        <w:rPr>
          <w:rFonts w:cs="Arial"/>
          <w:bCs/>
          <w:szCs w:val="22"/>
        </w:rPr>
        <w:t>.</w:t>
      </w:r>
      <w:r w:rsidR="00C47924">
        <w:rPr>
          <w:rFonts w:cs="Arial"/>
          <w:bCs/>
          <w:szCs w:val="22"/>
        </w:rPr>
        <w:t xml:space="preserve"> </w:t>
      </w:r>
      <w:r w:rsidR="00951D23">
        <w:rPr>
          <w:rFonts w:cs="Arial"/>
          <w:bCs/>
          <w:szCs w:val="22"/>
        </w:rPr>
        <w:t>The surety</w:t>
      </w:r>
      <w:r w:rsidR="00C47924">
        <w:rPr>
          <w:rFonts w:cs="Arial"/>
          <w:bCs/>
          <w:szCs w:val="22"/>
        </w:rPr>
        <w:t xml:space="preserve"> was the only member of </w:t>
      </w:r>
      <w:proofErr w:type="spellStart"/>
      <w:r w:rsidR="00C47924">
        <w:rPr>
          <w:rFonts w:cs="Arial"/>
          <w:bCs/>
          <w:szCs w:val="22"/>
        </w:rPr>
        <w:t>Northend</w:t>
      </w:r>
      <w:proofErr w:type="spellEnd"/>
      <w:r w:rsidR="00C47924">
        <w:rPr>
          <w:rFonts w:cs="Arial"/>
          <w:bCs/>
          <w:szCs w:val="22"/>
        </w:rPr>
        <w:t>.</w:t>
      </w:r>
    </w:p>
    <w:p w14:paraId="040192C0" w14:textId="374F4925" w:rsidR="00A51200" w:rsidRDefault="00C220AE" w:rsidP="00C220AE">
      <w:pPr>
        <w:widowControl w:val="0"/>
        <w:tabs>
          <w:tab w:val="left" w:pos="567"/>
        </w:tabs>
        <w:spacing w:before="480" w:after="480" w:line="480" w:lineRule="auto"/>
        <w:jc w:val="both"/>
        <w:rPr>
          <w:rFonts w:cs="Arial"/>
          <w:bCs/>
          <w:szCs w:val="22"/>
        </w:rPr>
      </w:pPr>
      <w:r>
        <w:rPr>
          <w:rFonts w:cs="Arial"/>
          <w:bCs/>
          <w:szCs w:val="22"/>
        </w:rPr>
        <w:t>[5]</w:t>
      </w:r>
      <w:r>
        <w:rPr>
          <w:rFonts w:cs="Arial"/>
          <w:bCs/>
          <w:szCs w:val="22"/>
        </w:rPr>
        <w:tab/>
      </w:r>
      <w:r w:rsidR="00AA5AB4">
        <w:rPr>
          <w:rFonts w:cs="Arial"/>
          <w:bCs/>
          <w:szCs w:val="22"/>
        </w:rPr>
        <w:t>In August 2020 t</w:t>
      </w:r>
      <w:r w:rsidR="00951D23">
        <w:rPr>
          <w:rFonts w:cs="Arial"/>
          <w:bCs/>
          <w:szCs w:val="22"/>
        </w:rPr>
        <w:t>he surety</w:t>
      </w:r>
      <w:r w:rsidR="00A51200">
        <w:rPr>
          <w:rFonts w:cs="Arial"/>
          <w:bCs/>
          <w:szCs w:val="22"/>
        </w:rPr>
        <w:t xml:space="preserve"> brought a counter</w:t>
      </w:r>
      <w:r w:rsidR="00934385">
        <w:rPr>
          <w:rFonts w:cs="Arial"/>
          <w:bCs/>
          <w:szCs w:val="22"/>
        </w:rPr>
        <w:t xml:space="preserve"> </w:t>
      </w:r>
      <w:r w:rsidR="00A51200">
        <w:rPr>
          <w:rFonts w:cs="Arial"/>
          <w:bCs/>
          <w:szCs w:val="22"/>
        </w:rPr>
        <w:t>-</w:t>
      </w:r>
      <w:r w:rsidR="00934385">
        <w:rPr>
          <w:rFonts w:cs="Arial"/>
          <w:bCs/>
          <w:szCs w:val="22"/>
        </w:rPr>
        <w:t xml:space="preserve"> </w:t>
      </w:r>
      <w:r w:rsidR="00A51200">
        <w:rPr>
          <w:rFonts w:cs="Arial"/>
          <w:bCs/>
          <w:szCs w:val="22"/>
        </w:rPr>
        <w:t xml:space="preserve">application for the joinder of various parties, a declaratory order that </w:t>
      </w:r>
      <w:proofErr w:type="spellStart"/>
      <w:r w:rsidR="00FC183C">
        <w:rPr>
          <w:rFonts w:cs="Arial"/>
          <w:bCs/>
          <w:szCs w:val="22"/>
        </w:rPr>
        <w:t>Northend</w:t>
      </w:r>
      <w:proofErr w:type="spellEnd"/>
      <w:r w:rsidR="00A51200">
        <w:rPr>
          <w:rFonts w:cs="Arial"/>
          <w:bCs/>
          <w:szCs w:val="22"/>
        </w:rPr>
        <w:t xml:space="preserve"> is not indebted to the </w:t>
      </w:r>
      <w:r w:rsidR="0059527A">
        <w:rPr>
          <w:rFonts w:cs="Arial"/>
          <w:bCs/>
          <w:szCs w:val="22"/>
        </w:rPr>
        <w:t>bank</w:t>
      </w:r>
      <w:r w:rsidR="00A51200">
        <w:rPr>
          <w:rFonts w:cs="Arial"/>
          <w:bCs/>
          <w:szCs w:val="22"/>
        </w:rPr>
        <w:t xml:space="preserve">, that the credit facility and the suretyship constitute unlawful and reckless credit agreements and are void </w:t>
      </w:r>
      <w:r w:rsidR="00A51200" w:rsidRPr="00A51200">
        <w:rPr>
          <w:rFonts w:cs="Arial"/>
          <w:bCs/>
          <w:i/>
          <w:iCs/>
          <w:szCs w:val="22"/>
        </w:rPr>
        <w:t>ab initio</w:t>
      </w:r>
      <w:r w:rsidR="00A51200">
        <w:rPr>
          <w:rFonts w:cs="Arial"/>
          <w:bCs/>
          <w:szCs w:val="22"/>
        </w:rPr>
        <w:t xml:space="preserve">, that </w:t>
      </w:r>
      <w:r w:rsidR="0059527A">
        <w:rPr>
          <w:rFonts w:cs="Arial"/>
          <w:bCs/>
          <w:szCs w:val="22"/>
        </w:rPr>
        <w:t>his</w:t>
      </w:r>
      <w:r w:rsidR="00A51200">
        <w:rPr>
          <w:rFonts w:cs="Arial"/>
          <w:bCs/>
          <w:szCs w:val="22"/>
        </w:rPr>
        <w:t xml:space="preserve"> obligations arising out of the credit facility and the suretyship be set aside, </w:t>
      </w:r>
      <w:r w:rsidR="0059527A">
        <w:rPr>
          <w:rFonts w:cs="Arial"/>
          <w:bCs/>
          <w:szCs w:val="22"/>
        </w:rPr>
        <w:t xml:space="preserve">and </w:t>
      </w:r>
      <w:r w:rsidR="00E51A7F">
        <w:rPr>
          <w:rFonts w:cs="Arial"/>
          <w:bCs/>
          <w:szCs w:val="22"/>
        </w:rPr>
        <w:t xml:space="preserve">that leave be granted to </w:t>
      </w:r>
      <w:r w:rsidR="0059527A">
        <w:rPr>
          <w:rFonts w:cs="Arial"/>
          <w:bCs/>
          <w:szCs w:val="22"/>
        </w:rPr>
        <w:t>him</w:t>
      </w:r>
      <w:r w:rsidR="00E51A7F">
        <w:rPr>
          <w:rFonts w:cs="Arial"/>
          <w:bCs/>
          <w:szCs w:val="22"/>
        </w:rPr>
        <w:t xml:space="preserve"> to apply for the cancellation of the mortgage bond</w:t>
      </w:r>
      <w:r w:rsidR="0059527A">
        <w:rPr>
          <w:rFonts w:cs="Arial"/>
          <w:bCs/>
          <w:szCs w:val="22"/>
        </w:rPr>
        <w:t xml:space="preserve">. In the alternative </w:t>
      </w:r>
      <w:r w:rsidR="00951D23">
        <w:rPr>
          <w:rFonts w:cs="Arial"/>
          <w:bCs/>
          <w:szCs w:val="22"/>
        </w:rPr>
        <w:t>the surety</w:t>
      </w:r>
      <w:r w:rsidR="0059527A">
        <w:rPr>
          <w:rFonts w:cs="Arial"/>
          <w:bCs/>
          <w:szCs w:val="22"/>
        </w:rPr>
        <w:t xml:space="preserve"> seeks an order for rectification of the loan agreement to reflect the applicant as the principal debtor, or that the bank’s application be dismissed, or that the dispute be referred to trial. In </w:t>
      </w:r>
      <w:proofErr w:type="gramStart"/>
      <w:r w:rsidR="0059527A">
        <w:rPr>
          <w:rFonts w:cs="Arial"/>
          <w:bCs/>
          <w:szCs w:val="22"/>
        </w:rPr>
        <w:t>addition</w:t>
      </w:r>
      <w:proofErr w:type="gramEnd"/>
      <w:r w:rsidR="0059527A">
        <w:rPr>
          <w:rFonts w:cs="Arial"/>
          <w:bCs/>
          <w:szCs w:val="22"/>
        </w:rPr>
        <w:t xml:space="preserve"> he seeks a money judgment and order for the </w:t>
      </w:r>
      <w:proofErr w:type="spellStart"/>
      <w:r w:rsidR="0059527A">
        <w:rPr>
          <w:rFonts w:cs="Arial"/>
          <w:bCs/>
          <w:szCs w:val="22"/>
        </w:rPr>
        <w:t>debatement</w:t>
      </w:r>
      <w:proofErr w:type="spellEnd"/>
      <w:r w:rsidR="0059527A">
        <w:rPr>
          <w:rFonts w:cs="Arial"/>
          <w:bCs/>
          <w:szCs w:val="22"/>
        </w:rPr>
        <w:t xml:space="preserve"> of the account.</w:t>
      </w:r>
    </w:p>
    <w:p w14:paraId="64CAD03C" w14:textId="24F071ED" w:rsidR="00614476" w:rsidRPr="00614476" w:rsidRDefault="00C220AE" w:rsidP="00C220AE">
      <w:pPr>
        <w:widowControl w:val="0"/>
        <w:tabs>
          <w:tab w:val="left" w:pos="567"/>
        </w:tabs>
        <w:spacing w:before="480" w:after="480" w:line="480" w:lineRule="auto"/>
        <w:jc w:val="both"/>
        <w:rPr>
          <w:rFonts w:cs="Arial"/>
          <w:bCs/>
          <w:szCs w:val="22"/>
        </w:rPr>
      </w:pPr>
      <w:r w:rsidRPr="00614476">
        <w:rPr>
          <w:rFonts w:cs="Arial"/>
          <w:bCs/>
          <w:szCs w:val="22"/>
        </w:rPr>
        <w:t>[6]</w:t>
      </w:r>
      <w:r w:rsidRPr="00614476">
        <w:rPr>
          <w:rFonts w:cs="Arial"/>
          <w:bCs/>
          <w:szCs w:val="22"/>
        </w:rPr>
        <w:tab/>
      </w:r>
      <w:r w:rsidR="00CF0689">
        <w:t xml:space="preserve">The credit facility granted in 2017 was for an amount of R6 000 000 repayable over 240 months. </w:t>
      </w:r>
      <w:proofErr w:type="spellStart"/>
      <w:r w:rsidR="00CF0689">
        <w:t>Northend</w:t>
      </w:r>
      <w:proofErr w:type="spellEnd"/>
      <w:r w:rsidR="00CF0689">
        <w:t xml:space="preserve"> was a juristic person with a turnover </w:t>
      </w:r>
      <w:proofErr w:type="gramStart"/>
      <w:r w:rsidR="00CF0689">
        <w:t>in excess of</w:t>
      </w:r>
      <w:proofErr w:type="gramEnd"/>
      <w:r w:rsidR="00CF0689">
        <w:t xml:space="preserve"> R1 000</w:t>
      </w:r>
      <w:r w:rsidR="00C20F54">
        <w:t> </w:t>
      </w:r>
      <w:r w:rsidR="00CF0689">
        <w:t>000</w:t>
      </w:r>
      <w:r w:rsidR="00C20F54">
        <w:t xml:space="preserve"> and the credit facility was a large agreement as defined in the National Credit Act</w:t>
      </w:r>
      <w:r w:rsidR="00857B26">
        <w:t>.</w:t>
      </w:r>
      <w:r w:rsidR="00C20F54">
        <w:t xml:space="preserve"> </w:t>
      </w:r>
      <w:r w:rsidR="00857B26">
        <w:t xml:space="preserve">For these reasons </w:t>
      </w:r>
      <w:r w:rsidR="00CF0689">
        <w:t>the Ac</w:t>
      </w:r>
      <w:r w:rsidR="00C20F54">
        <w:t>t</w:t>
      </w:r>
      <w:r w:rsidR="00CF0689">
        <w:t xml:space="preserve"> did not apply to the transaction. The Act </w:t>
      </w:r>
      <w:r w:rsidR="00FC183C">
        <w:t xml:space="preserve">therefore </w:t>
      </w:r>
      <w:r w:rsidR="00CF0689">
        <w:t xml:space="preserve">also </w:t>
      </w:r>
      <w:r w:rsidR="007E2E99">
        <w:t>did</w:t>
      </w:r>
      <w:r w:rsidR="00CF0689">
        <w:t xml:space="preserve"> not apply to the suretyship</w:t>
      </w:r>
      <w:r w:rsidR="00857B26">
        <w:t>.</w:t>
      </w:r>
      <w:r w:rsidR="00857B26">
        <w:rPr>
          <w:rStyle w:val="FootnoteReference"/>
        </w:rPr>
        <w:footnoteReference w:id="1"/>
      </w:r>
      <w:r w:rsidR="00E21B42">
        <w:t xml:space="preserve"> This is common cause on the papers but the case for the surety is that had he entered into the agreement as principal debtor, then the Act would have been applicable. </w:t>
      </w:r>
      <w:r w:rsidR="00614476">
        <w:t xml:space="preserve">He states that when signing the documents that </w:t>
      </w:r>
      <w:r w:rsidR="00614476" w:rsidRPr="00614476">
        <w:rPr>
          <w:i/>
          <w:iCs/>
        </w:rPr>
        <w:t>“</w:t>
      </w:r>
      <w:r w:rsidR="00614476">
        <w:rPr>
          <w:i/>
          <w:iCs/>
        </w:rPr>
        <w:t xml:space="preserve">I </w:t>
      </w:r>
      <w:r w:rsidR="00614476" w:rsidRPr="00614476">
        <w:rPr>
          <w:i/>
          <w:iCs/>
        </w:rPr>
        <w:t xml:space="preserve">did notice that the loan </w:t>
      </w:r>
      <w:r w:rsidR="00614476" w:rsidRPr="00614476">
        <w:rPr>
          <w:i/>
          <w:iCs/>
        </w:rPr>
        <w:lastRenderedPageBreak/>
        <w:t xml:space="preserve">agreement was in the name of </w:t>
      </w:r>
      <w:proofErr w:type="spellStart"/>
      <w:r w:rsidR="00614476" w:rsidRPr="00614476">
        <w:rPr>
          <w:i/>
          <w:iCs/>
        </w:rPr>
        <w:t>Northend</w:t>
      </w:r>
      <w:proofErr w:type="spellEnd"/>
      <w:r w:rsidR="00614476" w:rsidRPr="00614476">
        <w:rPr>
          <w:i/>
          <w:iCs/>
        </w:rPr>
        <w:t xml:space="preserve"> and that I was signing as surety.”</w:t>
      </w:r>
    </w:p>
    <w:p w14:paraId="041ED9E5" w14:textId="4469ABCB" w:rsidR="00CF0689" w:rsidRDefault="00C220AE" w:rsidP="00C220AE">
      <w:pPr>
        <w:widowControl w:val="0"/>
        <w:tabs>
          <w:tab w:val="left" w:pos="567"/>
        </w:tabs>
        <w:spacing w:before="480" w:after="480" w:line="480" w:lineRule="auto"/>
        <w:jc w:val="both"/>
        <w:rPr>
          <w:rFonts w:cs="Arial"/>
          <w:bCs/>
          <w:szCs w:val="22"/>
        </w:rPr>
      </w:pPr>
      <w:r>
        <w:rPr>
          <w:rFonts w:cs="Arial"/>
          <w:bCs/>
          <w:szCs w:val="22"/>
        </w:rPr>
        <w:t>[7]</w:t>
      </w:r>
      <w:r>
        <w:rPr>
          <w:rFonts w:cs="Arial"/>
          <w:bCs/>
          <w:szCs w:val="22"/>
        </w:rPr>
        <w:tab/>
      </w:r>
      <w:r w:rsidR="00614476">
        <w:t>T</w:t>
      </w:r>
      <w:r w:rsidR="00E21B42">
        <w:t xml:space="preserve">his need </w:t>
      </w:r>
      <w:r w:rsidR="007E2E99">
        <w:t xml:space="preserve">not </w:t>
      </w:r>
      <w:r w:rsidR="00E21B42">
        <w:t>to be decided in this application but if the agreement were to be rectified to reflect the surety as principal debtor, then documents pertaining to</w:t>
      </w:r>
      <w:r w:rsidR="00AA5AB4">
        <w:t xml:space="preserve"> the credit application by </w:t>
      </w:r>
      <w:proofErr w:type="spellStart"/>
      <w:r w:rsidR="00E21B42">
        <w:t>Northend</w:t>
      </w:r>
      <w:proofErr w:type="spellEnd"/>
      <w:r w:rsidR="00E21B42">
        <w:t xml:space="preserve"> would be irrelevant to the </w:t>
      </w:r>
      <w:r w:rsidR="00BC413B">
        <w:t>application.</w:t>
      </w:r>
    </w:p>
    <w:p w14:paraId="5EE7A38F" w14:textId="468DAE6F" w:rsidR="00666680" w:rsidRDefault="00C220AE" w:rsidP="00C220AE">
      <w:pPr>
        <w:widowControl w:val="0"/>
        <w:tabs>
          <w:tab w:val="left" w:pos="567"/>
        </w:tabs>
        <w:spacing w:before="480" w:after="480" w:line="480" w:lineRule="auto"/>
        <w:jc w:val="both"/>
        <w:rPr>
          <w:rFonts w:cs="Arial"/>
          <w:bCs/>
          <w:szCs w:val="22"/>
        </w:rPr>
      </w:pPr>
      <w:r>
        <w:rPr>
          <w:rFonts w:cs="Arial"/>
          <w:bCs/>
          <w:szCs w:val="22"/>
        </w:rPr>
        <w:t>[8]</w:t>
      </w:r>
      <w:r>
        <w:rPr>
          <w:rFonts w:cs="Arial"/>
          <w:bCs/>
          <w:szCs w:val="22"/>
        </w:rPr>
        <w:tab/>
      </w:r>
      <w:r w:rsidR="008355F1">
        <w:rPr>
          <w:rFonts w:cs="Arial"/>
          <w:bCs/>
          <w:szCs w:val="22"/>
        </w:rPr>
        <w:t>The parties submitted to mediation that did not result in a</w:t>
      </w:r>
      <w:r w:rsidR="007E2E99">
        <w:rPr>
          <w:rFonts w:cs="Arial"/>
          <w:bCs/>
          <w:szCs w:val="22"/>
        </w:rPr>
        <w:t>n</w:t>
      </w:r>
      <w:r w:rsidR="008355F1">
        <w:rPr>
          <w:rFonts w:cs="Arial"/>
          <w:bCs/>
          <w:szCs w:val="22"/>
        </w:rPr>
        <w:t xml:space="preserve"> amicable </w:t>
      </w:r>
      <w:r w:rsidR="007E2E99">
        <w:rPr>
          <w:rFonts w:cs="Arial"/>
          <w:bCs/>
          <w:szCs w:val="22"/>
        </w:rPr>
        <w:t>resolution</w:t>
      </w:r>
      <w:r w:rsidR="008355F1">
        <w:rPr>
          <w:rFonts w:cs="Arial"/>
          <w:bCs/>
          <w:szCs w:val="22"/>
        </w:rPr>
        <w:t xml:space="preserve"> of the dispute. </w:t>
      </w:r>
      <w:r w:rsidR="0059527A">
        <w:rPr>
          <w:rFonts w:cs="Arial"/>
          <w:bCs/>
          <w:szCs w:val="22"/>
        </w:rPr>
        <w:t>When the bank filed an ‘answering/</w:t>
      </w:r>
      <w:proofErr w:type="gramStart"/>
      <w:r w:rsidR="0059527A">
        <w:rPr>
          <w:rFonts w:cs="Arial"/>
          <w:bCs/>
          <w:szCs w:val="22"/>
        </w:rPr>
        <w:t>replying</w:t>
      </w:r>
      <w:proofErr w:type="gramEnd"/>
      <w:r w:rsidR="0059527A">
        <w:rPr>
          <w:rFonts w:cs="Arial"/>
          <w:bCs/>
          <w:szCs w:val="22"/>
        </w:rPr>
        <w:t xml:space="preserve"> affidavit’ </w:t>
      </w:r>
      <w:r w:rsidR="003C650E">
        <w:rPr>
          <w:rFonts w:cs="Arial"/>
          <w:bCs/>
          <w:szCs w:val="22"/>
        </w:rPr>
        <w:t xml:space="preserve">together with an application for condonation of late filing of the affidavit in June 2021, </w:t>
      </w:r>
      <w:r w:rsidR="00C20F54">
        <w:rPr>
          <w:rFonts w:cs="Arial"/>
          <w:bCs/>
          <w:szCs w:val="22"/>
        </w:rPr>
        <w:t>t</w:t>
      </w:r>
      <w:r w:rsidR="00951D23">
        <w:rPr>
          <w:rFonts w:cs="Arial"/>
          <w:bCs/>
          <w:szCs w:val="22"/>
        </w:rPr>
        <w:t>he surety</w:t>
      </w:r>
      <w:r w:rsidR="0059527A">
        <w:rPr>
          <w:rFonts w:cs="Arial"/>
          <w:bCs/>
          <w:szCs w:val="22"/>
        </w:rPr>
        <w:t xml:space="preserve"> </w:t>
      </w:r>
      <w:r w:rsidR="00BC413B">
        <w:rPr>
          <w:rFonts w:cs="Arial"/>
          <w:bCs/>
          <w:szCs w:val="22"/>
        </w:rPr>
        <w:t>gave notice in terms of Rule 30 on 26 July 2021 and followed two days later with an application to set aside the replying affidavit</w:t>
      </w:r>
      <w:r w:rsidR="00666680">
        <w:rPr>
          <w:rFonts w:cs="Arial"/>
          <w:bCs/>
          <w:szCs w:val="22"/>
        </w:rPr>
        <w:t xml:space="preserve"> as an irregular step</w:t>
      </w:r>
      <w:r w:rsidR="00BC413B">
        <w:rPr>
          <w:rFonts w:cs="Arial"/>
          <w:bCs/>
          <w:szCs w:val="22"/>
        </w:rPr>
        <w:t xml:space="preserve">. </w:t>
      </w:r>
      <w:r w:rsidR="00666680">
        <w:rPr>
          <w:rFonts w:cs="Arial"/>
          <w:bCs/>
          <w:szCs w:val="22"/>
        </w:rPr>
        <w:t>The notice was out of time</w:t>
      </w:r>
      <w:r w:rsidR="001E360E">
        <w:rPr>
          <w:rFonts w:cs="Arial"/>
          <w:bCs/>
          <w:szCs w:val="22"/>
        </w:rPr>
        <w:t>.</w:t>
      </w:r>
      <w:r w:rsidR="00666680">
        <w:rPr>
          <w:rStyle w:val="FootnoteReference"/>
          <w:rFonts w:cs="Arial"/>
          <w:bCs/>
          <w:szCs w:val="22"/>
        </w:rPr>
        <w:footnoteReference w:id="2"/>
      </w:r>
      <w:r w:rsidR="00666680">
        <w:rPr>
          <w:rFonts w:cs="Arial"/>
          <w:bCs/>
          <w:szCs w:val="22"/>
        </w:rPr>
        <w:t xml:space="preserve"> </w:t>
      </w:r>
    </w:p>
    <w:p w14:paraId="28B557DA" w14:textId="475943DF" w:rsidR="00666680" w:rsidRDefault="00C220AE" w:rsidP="00C220AE">
      <w:pPr>
        <w:widowControl w:val="0"/>
        <w:tabs>
          <w:tab w:val="left" w:pos="567"/>
        </w:tabs>
        <w:spacing w:before="480" w:after="480" w:line="480" w:lineRule="auto"/>
        <w:jc w:val="both"/>
        <w:rPr>
          <w:rFonts w:cs="Arial"/>
          <w:bCs/>
          <w:szCs w:val="22"/>
        </w:rPr>
      </w:pPr>
      <w:r>
        <w:rPr>
          <w:rFonts w:cs="Arial"/>
          <w:bCs/>
          <w:szCs w:val="22"/>
        </w:rPr>
        <w:t>[9]</w:t>
      </w:r>
      <w:r>
        <w:rPr>
          <w:rFonts w:cs="Arial"/>
          <w:bCs/>
          <w:szCs w:val="22"/>
        </w:rPr>
        <w:tab/>
      </w:r>
      <w:r w:rsidR="00BC413B">
        <w:rPr>
          <w:rFonts w:cs="Arial"/>
          <w:bCs/>
          <w:szCs w:val="22"/>
        </w:rPr>
        <w:t>In the affidavit in support of the application to set aside</w:t>
      </w:r>
      <w:r w:rsidR="009B08A7">
        <w:rPr>
          <w:rFonts w:cs="Arial"/>
          <w:bCs/>
          <w:szCs w:val="22"/>
        </w:rPr>
        <w:t xml:space="preserve"> the bank’s answering / </w:t>
      </w:r>
      <w:proofErr w:type="gramStart"/>
      <w:r w:rsidR="009B08A7">
        <w:rPr>
          <w:rFonts w:cs="Arial"/>
          <w:bCs/>
          <w:szCs w:val="22"/>
        </w:rPr>
        <w:t>replying</w:t>
      </w:r>
      <w:proofErr w:type="gramEnd"/>
      <w:r w:rsidR="009B08A7">
        <w:rPr>
          <w:rFonts w:cs="Arial"/>
          <w:bCs/>
          <w:szCs w:val="22"/>
        </w:rPr>
        <w:t xml:space="preserve"> affidavit</w:t>
      </w:r>
      <w:r w:rsidR="00BC413B">
        <w:rPr>
          <w:rFonts w:cs="Arial"/>
          <w:bCs/>
          <w:szCs w:val="22"/>
        </w:rPr>
        <w:t xml:space="preserve">, the surety states that the replying affidavit was filed </w:t>
      </w:r>
      <w:r w:rsidR="00BC413B" w:rsidRPr="00666680">
        <w:rPr>
          <w:rFonts w:cs="Arial"/>
          <w:bCs/>
          <w:i/>
          <w:iCs/>
          <w:szCs w:val="22"/>
        </w:rPr>
        <w:t xml:space="preserve">‘without any notice of request for condonation or </w:t>
      </w:r>
      <w:r w:rsidR="00666680" w:rsidRPr="00666680">
        <w:rPr>
          <w:rFonts w:cs="Arial"/>
          <w:bCs/>
          <w:i/>
          <w:iCs/>
          <w:szCs w:val="22"/>
        </w:rPr>
        <w:t>indulgence for the late filing.’</w:t>
      </w:r>
      <w:r w:rsidR="00BC413B">
        <w:rPr>
          <w:rFonts w:cs="Arial"/>
          <w:bCs/>
          <w:szCs w:val="22"/>
        </w:rPr>
        <w:t xml:space="preserve"> </w:t>
      </w:r>
      <w:r w:rsidR="00666680">
        <w:rPr>
          <w:rFonts w:cs="Arial"/>
          <w:bCs/>
          <w:szCs w:val="22"/>
        </w:rPr>
        <w:t>This statement made under oath is palpably false.</w:t>
      </w:r>
    </w:p>
    <w:p w14:paraId="2919B489" w14:textId="2F2F5EEC" w:rsidR="0059527A" w:rsidRDefault="00C220AE" w:rsidP="00C220AE">
      <w:pPr>
        <w:widowControl w:val="0"/>
        <w:tabs>
          <w:tab w:val="left" w:pos="567"/>
        </w:tabs>
        <w:spacing w:before="480" w:after="480" w:line="480" w:lineRule="auto"/>
        <w:jc w:val="both"/>
        <w:rPr>
          <w:rFonts w:cs="Arial"/>
          <w:bCs/>
          <w:szCs w:val="22"/>
        </w:rPr>
      </w:pPr>
      <w:r>
        <w:rPr>
          <w:rFonts w:cs="Arial"/>
          <w:bCs/>
          <w:szCs w:val="22"/>
        </w:rPr>
        <w:t>[10]</w:t>
      </w:r>
      <w:r>
        <w:rPr>
          <w:rFonts w:cs="Arial"/>
          <w:bCs/>
          <w:szCs w:val="22"/>
        </w:rPr>
        <w:tab/>
      </w:r>
      <w:r w:rsidR="0059527A">
        <w:rPr>
          <w:rFonts w:cs="Arial"/>
          <w:bCs/>
          <w:szCs w:val="22"/>
        </w:rPr>
        <w:t>The next day</w:t>
      </w:r>
      <w:r w:rsidR="00666680">
        <w:rPr>
          <w:rFonts w:cs="Arial"/>
          <w:bCs/>
          <w:szCs w:val="22"/>
        </w:rPr>
        <w:t xml:space="preserve">, 29 July </w:t>
      </w:r>
      <w:proofErr w:type="gramStart"/>
      <w:r w:rsidR="00666680">
        <w:rPr>
          <w:rFonts w:cs="Arial"/>
          <w:bCs/>
          <w:szCs w:val="22"/>
        </w:rPr>
        <w:t xml:space="preserve">2021, </w:t>
      </w:r>
      <w:r w:rsidR="0059527A">
        <w:rPr>
          <w:rFonts w:cs="Arial"/>
          <w:bCs/>
          <w:szCs w:val="22"/>
        </w:rPr>
        <w:t xml:space="preserve"> </w:t>
      </w:r>
      <w:r w:rsidR="00951D23">
        <w:rPr>
          <w:rFonts w:cs="Arial"/>
          <w:bCs/>
          <w:szCs w:val="22"/>
        </w:rPr>
        <w:t>the</w:t>
      </w:r>
      <w:proofErr w:type="gramEnd"/>
      <w:r w:rsidR="00951D23">
        <w:rPr>
          <w:rFonts w:cs="Arial"/>
          <w:bCs/>
          <w:szCs w:val="22"/>
        </w:rPr>
        <w:t xml:space="preserve"> surety</w:t>
      </w:r>
      <w:r w:rsidR="0059527A">
        <w:rPr>
          <w:rFonts w:cs="Arial"/>
          <w:bCs/>
          <w:szCs w:val="22"/>
        </w:rPr>
        <w:t xml:space="preserve"> gave notice in terms of Rule 35(12)</w:t>
      </w:r>
      <w:r w:rsidR="003C650E">
        <w:rPr>
          <w:rFonts w:cs="Arial"/>
          <w:bCs/>
          <w:szCs w:val="22"/>
        </w:rPr>
        <w:t xml:space="preserve"> for the discovery of documents referred to in the bank’s affidavits.</w:t>
      </w:r>
    </w:p>
    <w:p w14:paraId="71F1460E" w14:textId="340B43A8" w:rsidR="0059527A" w:rsidRDefault="00C220AE" w:rsidP="00C220AE">
      <w:pPr>
        <w:widowControl w:val="0"/>
        <w:tabs>
          <w:tab w:val="left" w:pos="567"/>
        </w:tabs>
        <w:spacing w:before="480" w:after="480" w:line="480" w:lineRule="auto"/>
        <w:jc w:val="both"/>
        <w:rPr>
          <w:rFonts w:cs="Arial"/>
          <w:bCs/>
          <w:szCs w:val="22"/>
        </w:rPr>
      </w:pPr>
      <w:r>
        <w:rPr>
          <w:rFonts w:cs="Arial"/>
          <w:bCs/>
          <w:szCs w:val="22"/>
        </w:rPr>
        <w:t>[11]</w:t>
      </w:r>
      <w:r>
        <w:rPr>
          <w:rFonts w:cs="Arial"/>
          <w:bCs/>
          <w:szCs w:val="22"/>
        </w:rPr>
        <w:tab/>
      </w:r>
      <w:r w:rsidR="003C650E">
        <w:rPr>
          <w:rFonts w:cs="Arial"/>
          <w:bCs/>
          <w:szCs w:val="22"/>
        </w:rPr>
        <w:t xml:space="preserve">On 6 August 2021 the bank gave notice in terms of Rule 30(2)(b), stating that although a Rule 30 application is interlocutory, the </w:t>
      </w:r>
      <w:r w:rsidR="009266FA">
        <w:rPr>
          <w:rFonts w:cs="Arial"/>
          <w:bCs/>
          <w:szCs w:val="22"/>
        </w:rPr>
        <w:t xml:space="preserve">surety’s </w:t>
      </w:r>
      <w:r w:rsidR="003C650E">
        <w:rPr>
          <w:rFonts w:cs="Arial"/>
          <w:bCs/>
          <w:szCs w:val="22"/>
        </w:rPr>
        <w:t xml:space="preserve">application had been brought by way of the long form. </w:t>
      </w:r>
      <w:proofErr w:type="gramStart"/>
      <w:r w:rsidR="003C650E">
        <w:rPr>
          <w:rFonts w:cs="Arial"/>
          <w:bCs/>
          <w:szCs w:val="22"/>
        </w:rPr>
        <w:t xml:space="preserve">Furthermore,  </w:t>
      </w:r>
      <w:r w:rsidR="00666680">
        <w:rPr>
          <w:rFonts w:cs="Arial"/>
          <w:bCs/>
          <w:szCs w:val="22"/>
        </w:rPr>
        <w:t>the</w:t>
      </w:r>
      <w:proofErr w:type="gramEnd"/>
      <w:r w:rsidR="00666680">
        <w:rPr>
          <w:rFonts w:cs="Arial"/>
          <w:bCs/>
          <w:szCs w:val="22"/>
        </w:rPr>
        <w:t xml:space="preserve"> bank was of the view </w:t>
      </w:r>
      <w:r w:rsidR="00951D23">
        <w:rPr>
          <w:rFonts w:cs="Arial"/>
          <w:bCs/>
          <w:szCs w:val="22"/>
        </w:rPr>
        <w:t>the surety</w:t>
      </w:r>
      <w:r w:rsidR="003C650E">
        <w:rPr>
          <w:rFonts w:cs="Arial"/>
          <w:bCs/>
          <w:szCs w:val="22"/>
        </w:rPr>
        <w:t xml:space="preserve"> had taken a further step with the knowledge of the alleged irregularity </w:t>
      </w:r>
      <w:r w:rsidR="000D55D3">
        <w:rPr>
          <w:rFonts w:cs="Arial"/>
          <w:bCs/>
          <w:szCs w:val="22"/>
        </w:rPr>
        <w:t xml:space="preserve">by delivering his notice in terms of Rule 35(12) </w:t>
      </w:r>
      <w:r w:rsidR="003C650E">
        <w:rPr>
          <w:rFonts w:cs="Arial"/>
          <w:bCs/>
          <w:szCs w:val="22"/>
        </w:rPr>
        <w:t xml:space="preserve">and was now in any event precluded from continuing with the Rule 30 </w:t>
      </w:r>
      <w:r w:rsidR="003C650E">
        <w:rPr>
          <w:rFonts w:cs="Arial"/>
          <w:bCs/>
          <w:szCs w:val="22"/>
        </w:rPr>
        <w:lastRenderedPageBreak/>
        <w:t>application.</w:t>
      </w:r>
    </w:p>
    <w:p w14:paraId="01E8FBF2" w14:textId="35AC74D8" w:rsidR="00FC183C" w:rsidRDefault="00C220AE" w:rsidP="00C220AE">
      <w:pPr>
        <w:widowControl w:val="0"/>
        <w:tabs>
          <w:tab w:val="left" w:pos="567"/>
        </w:tabs>
        <w:spacing w:before="480" w:after="480" w:line="480" w:lineRule="auto"/>
        <w:jc w:val="both"/>
        <w:rPr>
          <w:rFonts w:cs="Arial"/>
          <w:bCs/>
          <w:szCs w:val="22"/>
        </w:rPr>
      </w:pPr>
      <w:r>
        <w:rPr>
          <w:rFonts w:cs="Arial"/>
          <w:bCs/>
          <w:szCs w:val="22"/>
        </w:rPr>
        <w:t>[12]</w:t>
      </w:r>
      <w:r>
        <w:rPr>
          <w:rFonts w:cs="Arial"/>
          <w:bCs/>
          <w:szCs w:val="22"/>
        </w:rPr>
        <w:tab/>
      </w:r>
      <w:r w:rsidR="008355F1">
        <w:rPr>
          <w:rFonts w:cs="Arial"/>
          <w:bCs/>
          <w:szCs w:val="22"/>
        </w:rPr>
        <w:t xml:space="preserve">The surety neglected to deliver heads of argument, a practice </w:t>
      </w:r>
      <w:proofErr w:type="gramStart"/>
      <w:r w:rsidR="008355F1">
        <w:rPr>
          <w:rFonts w:cs="Arial"/>
          <w:bCs/>
          <w:szCs w:val="22"/>
        </w:rPr>
        <w:t>note</w:t>
      </w:r>
      <w:proofErr w:type="gramEnd"/>
      <w:r w:rsidR="008355F1">
        <w:rPr>
          <w:rFonts w:cs="Arial"/>
          <w:bCs/>
          <w:szCs w:val="22"/>
        </w:rPr>
        <w:t>, and a chronology in the bank’s Rule 30(2) application. The bank applied for an order to compel the surety</w:t>
      </w:r>
      <w:r w:rsidR="007E2E99">
        <w:rPr>
          <w:rFonts w:cs="Arial"/>
          <w:bCs/>
          <w:szCs w:val="22"/>
        </w:rPr>
        <w:t xml:space="preserve"> to deliver same</w:t>
      </w:r>
      <w:r w:rsidR="008355F1">
        <w:rPr>
          <w:rFonts w:cs="Arial"/>
          <w:bCs/>
          <w:szCs w:val="22"/>
        </w:rPr>
        <w:t xml:space="preserve"> and the application became opposed. </w:t>
      </w:r>
      <w:r w:rsidR="00895598" w:rsidRPr="000D55D3">
        <w:rPr>
          <w:rFonts w:cs="Arial"/>
          <w:bCs/>
          <w:szCs w:val="22"/>
        </w:rPr>
        <w:t xml:space="preserve">On 11 April 2022 Adams J granted an order compelling </w:t>
      </w:r>
      <w:r w:rsidR="00951D23">
        <w:rPr>
          <w:rFonts w:cs="Arial"/>
          <w:bCs/>
          <w:szCs w:val="22"/>
        </w:rPr>
        <w:t>the surety</w:t>
      </w:r>
      <w:r w:rsidR="00895598" w:rsidRPr="000D55D3">
        <w:rPr>
          <w:rFonts w:cs="Arial"/>
          <w:bCs/>
          <w:szCs w:val="22"/>
        </w:rPr>
        <w:t xml:space="preserve"> to deliver heads of argument, </w:t>
      </w:r>
      <w:r w:rsidR="000D55D3" w:rsidRPr="000D55D3">
        <w:rPr>
          <w:rFonts w:cs="Arial"/>
          <w:bCs/>
          <w:szCs w:val="22"/>
        </w:rPr>
        <w:t>practice note and chronology</w:t>
      </w:r>
      <w:r w:rsidR="008355F1">
        <w:rPr>
          <w:rFonts w:cs="Arial"/>
          <w:bCs/>
          <w:szCs w:val="22"/>
        </w:rPr>
        <w:t>.</w:t>
      </w:r>
      <w:r w:rsidR="000D55D3" w:rsidRPr="000D55D3">
        <w:rPr>
          <w:rFonts w:cs="Arial"/>
          <w:bCs/>
          <w:szCs w:val="22"/>
        </w:rPr>
        <w:t xml:space="preserve"> </w:t>
      </w:r>
    </w:p>
    <w:p w14:paraId="7D422A55" w14:textId="1A652796" w:rsidR="00B27002" w:rsidRPr="000D55D3" w:rsidRDefault="00C220AE" w:rsidP="00C220AE">
      <w:pPr>
        <w:widowControl w:val="0"/>
        <w:tabs>
          <w:tab w:val="left" w:pos="567"/>
        </w:tabs>
        <w:spacing w:before="480" w:after="480" w:line="480" w:lineRule="auto"/>
        <w:jc w:val="both"/>
        <w:rPr>
          <w:rFonts w:cs="Arial"/>
          <w:bCs/>
          <w:szCs w:val="22"/>
        </w:rPr>
      </w:pPr>
      <w:r w:rsidRPr="000D55D3">
        <w:rPr>
          <w:rFonts w:cs="Arial"/>
          <w:bCs/>
          <w:szCs w:val="22"/>
        </w:rPr>
        <w:t>[13]</w:t>
      </w:r>
      <w:r w:rsidRPr="000D55D3">
        <w:rPr>
          <w:rFonts w:cs="Arial"/>
          <w:bCs/>
          <w:szCs w:val="22"/>
        </w:rPr>
        <w:tab/>
      </w:r>
      <w:r w:rsidR="000D55D3" w:rsidRPr="000D55D3">
        <w:rPr>
          <w:rFonts w:cs="Arial"/>
          <w:bCs/>
          <w:szCs w:val="22"/>
        </w:rPr>
        <w:t>O</w:t>
      </w:r>
      <w:r w:rsidR="00B27002" w:rsidRPr="000D55D3">
        <w:rPr>
          <w:rFonts w:cs="Arial"/>
          <w:bCs/>
          <w:szCs w:val="22"/>
        </w:rPr>
        <w:t xml:space="preserve">n </w:t>
      </w:r>
      <w:r w:rsidR="000D55D3" w:rsidRPr="000D55D3">
        <w:rPr>
          <w:rFonts w:cs="Arial"/>
          <w:bCs/>
          <w:szCs w:val="22"/>
        </w:rPr>
        <w:t xml:space="preserve">14 </w:t>
      </w:r>
      <w:r w:rsidR="00B27002" w:rsidRPr="000D55D3">
        <w:rPr>
          <w:rFonts w:cs="Arial"/>
          <w:bCs/>
          <w:szCs w:val="22"/>
        </w:rPr>
        <w:t>April 2022</w:t>
      </w:r>
      <w:r w:rsidR="00B27002">
        <w:rPr>
          <w:rStyle w:val="FootnoteReference"/>
          <w:rFonts w:cs="Arial"/>
          <w:bCs/>
          <w:szCs w:val="22"/>
        </w:rPr>
        <w:footnoteReference w:id="3"/>
      </w:r>
      <w:r w:rsidR="00842F52" w:rsidRPr="000D55D3">
        <w:rPr>
          <w:rFonts w:cs="Arial"/>
          <w:bCs/>
          <w:szCs w:val="22"/>
        </w:rPr>
        <w:t xml:space="preserve"> </w:t>
      </w:r>
      <w:r w:rsidR="00951D23">
        <w:rPr>
          <w:rFonts w:cs="Arial"/>
          <w:bCs/>
          <w:szCs w:val="22"/>
        </w:rPr>
        <w:t>the surety</w:t>
      </w:r>
      <w:r w:rsidR="00842F52" w:rsidRPr="000D55D3">
        <w:rPr>
          <w:rFonts w:cs="Arial"/>
          <w:bCs/>
          <w:szCs w:val="22"/>
        </w:rPr>
        <w:t xml:space="preserve"> launched the present application to compel discovery of the documents sought in the Rule 35(12) notice.</w:t>
      </w:r>
    </w:p>
    <w:p w14:paraId="2732BBA0" w14:textId="1A6B1DDB" w:rsidR="00842F52" w:rsidRDefault="00C220AE" w:rsidP="00C220AE">
      <w:pPr>
        <w:widowControl w:val="0"/>
        <w:tabs>
          <w:tab w:val="left" w:pos="567"/>
        </w:tabs>
        <w:spacing w:before="480" w:after="480" w:line="480" w:lineRule="auto"/>
        <w:jc w:val="both"/>
        <w:rPr>
          <w:rFonts w:cs="Arial"/>
          <w:bCs/>
          <w:szCs w:val="22"/>
        </w:rPr>
      </w:pPr>
      <w:r>
        <w:rPr>
          <w:rFonts w:cs="Arial"/>
          <w:bCs/>
          <w:szCs w:val="22"/>
        </w:rPr>
        <w:t>[14]</w:t>
      </w:r>
      <w:r>
        <w:rPr>
          <w:rFonts w:cs="Arial"/>
          <w:bCs/>
          <w:szCs w:val="22"/>
        </w:rPr>
        <w:tab/>
      </w:r>
      <w:r w:rsidR="003E6422">
        <w:rPr>
          <w:rFonts w:cs="Arial"/>
          <w:bCs/>
          <w:szCs w:val="22"/>
        </w:rPr>
        <w:t>In this judg</w:t>
      </w:r>
      <w:r w:rsidR="00D21B3F">
        <w:rPr>
          <w:rFonts w:cs="Arial"/>
          <w:bCs/>
          <w:szCs w:val="22"/>
        </w:rPr>
        <w:t xml:space="preserve">ment I am called upon to deal only with the Rule 35(12) application for discovery. </w:t>
      </w:r>
      <w:r w:rsidR="000D55D3">
        <w:rPr>
          <w:rFonts w:cs="Arial"/>
          <w:bCs/>
          <w:szCs w:val="22"/>
        </w:rPr>
        <w:t xml:space="preserve">Nothing in this judgment impacts on the other pending applications in terms of </w:t>
      </w:r>
      <w:r w:rsidR="008355F1">
        <w:rPr>
          <w:rFonts w:cs="Arial"/>
          <w:bCs/>
          <w:szCs w:val="22"/>
        </w:rPr>
        <w:t xml:space="preserve">Rule 30 </w:t>
      </w:r>
      <w:r w:rsidR="000D55D3">
        <w:rPr>
          <w:rFonts w:cs="Arial"/>
          <w:bCs/>
          <w:szCs w:val="22"/>
        </w:rPr>
        <w:t xml:space="preserve">and I do not have to decide whether </w:t>
      </w:r>
      <w:r w:rsidR="00951D23">
        <w:rPr>
          <w:rFonts w:cs="Arial"/>
          <w:bCs/>
          <w:szCs w:val="22"/>
        </w:rPr>
        <w:t>the surety</w:t>
      </w:r>
      <w:r w:rsidR="000D55D3">
        <w:rPr>
          <w:rFonts w:cs="Arial"/>
          <w:bCs/>
          <w:szCs w:val="22"/>
        </w:rPr>
        <w:t>’s Rule 35(12) application is a further step as described in Rule 30(2)(a)</w:t>
      </w:r>
      <w:r w:rsidR="00666680">
        <w:rPr>
          <w:rFonts w:cs="Arial"/>
          <w:bCs/>
          <w:szCs w:val="22"/>
        </w:rPr>
        <w:t>.</w:t>
      </w:r>
      <w:r w:rsidR="001E360E">
        <w:rPr>
          <w:rFonts w:cs="Arial"/>
          <w:bCs/>
          <w:szCs w:val="22"/>
        </w:rPr>
        <w:t xml:space="preserve"> I also do not find it necessary to determine whether the bank would be taking a further step in the proceedings, thus thwarting its own application in terms of Rule 30, by complying with a request for documents made to it in terms of Rule 35(12).</w:t>
      </w:r>
    </w:p>
    <w:p w14:paraId="19445847" w14:textId="77777777" w:rsidR="000D1F6D" w:rsidRDefault="000D1F6D" w:rsidP="006906EF">
      <w:pPr>
        <w:widowControl w:val="0"/>
        <w:spacing w:before="480" w:after="480" w:line="480" w:lineRule="auto"/>
        <w:jc w:val="both"/>
        <w:rPr>
          <w:rFonts w:cs="Arial"/>
          <w:bCs/>
          <w:szCs w:val="22"/>
          <w:u w:val="single"/>
        </w:rPr>
      </w:pPr>
    </w:p>
    <w:p w14:paraId="2E2756A5" w14:textId="512BD2D7" w:rsidR="00842F52" w:rsidRPr="006906EF" w:rsidRDefault="006906EF" w:rsidP="006906EF">
      <w:pPr>
        <w:widowControl w:val="0"/>
        <w:spacing w:before="480" w:after="480" w:line="480" w:lineRule="auto"/>
        <w:jc w:val="both"/>
        <w:rPr>
          <w:rFonts w:cs="Arial"/>
          <w:bCs/>
          <w:szCs w:val="22"/>
          <w:u w:val="single"/>
        </w:rPr>
      </w:pPr>
      <w:r w:rsidRPr="006A30AA">
        <w:rPr>
          <w:rFonts w:cs="Arial"/>
          <w:bCs/>
          <w:i/>
          <w:iCs/>
          <w:szCs w:val="22"/>
          <w:u w:val="single"/>
        </w:rPr>
        <w:t xml:space="preserve">In </w:t>
      </w:r>
      <w:proofErr w:type="spellStart"/>
      <w:r w:rsidRPr="006A30AA">
        <w:rPr>
          <w:rFonts w:cs="Arial"/>
          <w:bCs/>
          <w:i/>
          <w:iCs/>
          <w:szCs w:val="22"/>
          <w:u w:val="single"/>
        </w:rPr>
        <w:t>limine</w:t>
      </w:r>
      <w:proofErr w:type="spellEnd"/>
      <w:r>
        <w:rPr>
          <w:rFonts w:cs="Arial"/>
          <w:bCs/>
          <w:szCs w:val="22"/>
          <w:u w:val="single"/>
        </w:rPr>
        <w:t>: The authority of the bank’s deponent</w:t>
      </w:r>
    </w:p>
    <w:p w14:paraId="23A3AF32" w14:textId="554A31F3" w:rsidR="00B93A82" w:rsidRDefault="00C220AE" w:rsidP="00C220AE">
      <w:pPr>
        <w:widowControl w:val="0"/>
        <w:tabs>
          <w:tab w:val="left" w:pos="567"/>
        </w:tabs>
        <w:spacing w:before="480" w:after="480" w:line="480" w:lineRule="auto"/>
        <w:jc w:val="both"/>
        <w:rPr>
          <w:rFonts w:cs="Arial"/>
          <w:bCs/>
          <w:szCs w:val="22"/>
        </w:rPr>
      </w:pPr>
      <w:r>
        <w:rPr>
          <w:rFonts w:cs="Arial"/>
          <w:bCs/>
          <w:szCs w:val="22"/>
        </w:rPr>
        <w:t>[15]</w:t>
      </w:r>
      <w:r>
        <w:rPr>
          <w:rFonts w:cs="Arial"/>
          <w:bCs/>
          <w:szCs w:val="22"/>
        </w:rPr>
        <w:tab/>
      </w:r>
      <w:r w:rsidR="00B93A82">
        <w:rPr>
          <w:rFonts w:cs="Arial"/>
          <w:bCs/>
          <w:szCs w:val="22"/>
        </w:rPr>
        <w:t xml:space="preserve">A deponent to an affidavit is a witness and need not be authorised to give evidence. The more fundamental question is that the institution and prosecution of the proceedings </w:t>
      </w:r>
      <w:r w:rsidR="00B93A82">
        <w:rPr>
          <w:rFonts w:cs="Arial"/>
          <w:bCs/>
          <w:szCs w:val="22"/>
        </w:rPr>
        <w:lastRenderedPageBreak/>
        <w:t>must be authorised</w:t>
      </w:r>
      <w:r w:rsidR="00FC183C">
        <w:rPr>
          <w:rStyle w:val="FootnoteReference"/>
          <w:rFonts w:cs="Arial"/>
          <w:bCs/>
          <w:szCs w:val="22"/>
        </w:rPr>
        <w:footnoteReference w:id="4"/>
      </w:r>
      <w:r w:rsidR="00B93A82">
        <w:rPr>
          <w:rFonts w:cs="Arial"/>
          <w:bCs/>
          <w:szCs w:val="22"/>
        </w:rPr>
        <w:t xml:space="preserve"> and this appears from the founding affidavit</w:t>
      </w:r>
      <w:r w:rsidR="00666680">
        <w:rPr>
          <w:rFonts w:cs="Arial"/>
          <w:bCs/>
          <w:szCs w:val="22"/>
        </w:rPr>
        <w:t xml:space="preserve"> in the main application.</w:t>
      </w:r>
      <w:r w:rsidR="00B93A82">
        <w:rPr>
          <w:rFonts w:cs="Arial"/>
          <w:bCs/>
          <w:szCs w:val="22"/>
        </w:rPr>
        <w:t xml:space="preserve"> </w:t>
      </w:r>
    </w:p>
    <w:p w14:paraId="24DCCCEB" w14:textId="09171340" w:rsidR="008355F1" w:rsidRDefault="00C220AE" w:rsidP="00C220AE">
      <w:pPr>
        <w:widowControl w:val="0"/>
        <w:tabs>
          <w:tab w:val="left" w:pos="567"/>
        </w:tabs>
        <w:spacing w:before="480" w:after="480" w:line="480" w:lineRule="auto"/>
        <w:jc w:val="both"/>
        <w:rPr>
          <w:rFonts w:cs="Arial"/>
          <w:bCs/>
          <w:szCs w:val="22"/>
        </w:rPr>
      </w:pPr>
      <w:r>
        <w:rPr>
          <w:rFonts w:cs="Arial"/>
          <w:bCs/>
          <w:szCs w:val="22"/>
        </w:rPr>
        <w:t>[16]</w:t>
      </w:r>
      <w:r>
        <w:rPr>
          <w:rFonts w:cs="Arial"/>
          <w:bCs/>
          <w:szCs w:val="22"/>
        </w:rPr>
        <w:tab/>
      </w:r>
      <w:r w:rsidR="006906EF" w:rsidRPr="008355F1">
        <w:rPr>
          <w:rFonts w:cs="Arial"/>
          <w:bCs/>
          <w:szCs w:val="22"/>
        </w:rPr>
        <w:t xml:space="preserve">The deponent is a Recoveries Manager of the bank and relies </w:t>
      </w:r>
      <w:r w:rsidR="00EC2D5A" w:rsidRPr="008355F1">
        <w:rPr>
          <w:rFonts w:cs="Arial"/>
          <w:bCs/>
          <w:szCs w:val="22"/>
        </w:rPr>
        <w:t>in</w:t>
      </w:r>
      <w:r w:rsidR="00B93A82" w:rsidRPr="008355F1">
        <w:rPr>
          <w:rFonts w:cs="Arial"/>
          <w:bCs/>
          <w:szCs w:val="22"/>
        </w:rPr>
        <w:t xml:space="preserve"> paragraph 1 of</w:t>
      </w:r>
      <w:r w:rsidR="00EC2D5A" w:rsidRPr="008355F1">
        <w:rPr>
          <w:rFonts w:cs="Arial"/>
          <w:bCs/>
          <w:szCs w:val="22"/>
        </w:rPr>
        <w:t xml:space="preserve"> the founding affidavit</w:t>
      </w:r>
      <w:r w:rsidR="00C47924" w:rsidRPr="008355F1">
        <w:rPr>
          <w:rFonts w:cs="Arial"/>
          <w:bCs/>
          <w:szCs w:val="22"/>
        </w:rPr>
        <w:t xml:space="preserve"> in the main application</w:t>
      </w:r>
      <w:r w:rsidR="00EC2D5A" w:rsidRPr="008355F1">
        <w:rPr>
          <w:rFonts w:cs="Arial"/>
          <w:bCs/>
          <w:szCs w:val="22"/>
        </w:rPr>
        <w:t xml:space="preserve"> </w:t>
      </w:r>
      <w:r w:rsidR="006906EF" w:rsidRPr="008355F1">
        <w:rPr>
          <w:rFonts w:cs="Arial"/>
          <w:bCs/>
          <w:szCs w:val="22"/>
        </w:rPr>
        <w:t xml:space="preserve">for his authority on a Delegation of Authority annexed to the founding affidavit. </w:t>
      </w:r>
      <w:r w:rsidR="00D8121C" w:rsidRPr="008355F1">
        <w:rPr>
          <w:rFonts w:cs="Arial"/>
          <w:bCs/>
          <w:szCs w:val="22"/>
        </w:rPr>
        <w:t xml:space="preserve">The written delegation reflects a delegation by the bank that includes the power to sue for the recovery of moneys due. </w:t>
      </w:r>
      <w:r w:rsidR="00B93A82" w:rsidRPr="008355F1">
        <w:rPr>
          <w:rFonts w:cs="Arial"/>
          <w:bCs/>
          <w:szCs w:val="22"/>
        </w:rPr>
        <w:t>None of these averments are disputed in the answering affidavit save for a bald</w:t>
      </w:r>
      <w:r w:rsidR="008355F1" w:rsidRPr="008355F1">
        <w:rPr>
          <w:rFonts w:cs="Arial"/>
          <w:bCs/>
          <w:szCs w:val="22"/>
        </w:rPr>
        <w:t xml:space="preserve"> and generic</w:t>
      </w:r>
      <w:r w:rsidR="00B93A82" w:rsidRPr="008355F1">
        <w:rPr>
          <w:rFonts w:cs="Arial"/>
          <w:bCs/>
          <w:szCs w:val="22"/>
        </w:rPr>
        <w:t xml:space="preserve"> denial in paragraph 87 of the answering affidavit.  </w:t>
      </w:r>
      <w:r w:rsidR="00C47924" w:rsidRPr="008355F1">
        <w:rPr>
          <w:rFonts w:cs="Arial"/>
          <w:bCs/>
          <w:szCs w:val="22"/>
        </w:rPr>
        <w:t>These facts have therefore been established</w:t>
      </w:r>
      <w:r w:rsidR="001E360E" w:rsidRPr="008355F1">
        <w:rPr>
          <w:rFonts w:cs="Arial"/>
          <w:bCs/>
          <w:szCs w:val="22"/>
        </w:rPr>
        <w:t xml:space="preserve"> by the time</w:t>
      </w:r>
      <w:r w:rsidR="00666680" w:rsidRPr="008355F1">
        <w:rPr>
          <w:rFonts w:cs="Arial"/>
          <w:bCs/>
          <w:szCs w:val="22"/>
        </w:rPr>
        <w:t xml:space="preserve"> when the founding and answering affidavit in the main application were delivered.</w:t>
      </w:r>
      <w:r w:rsidR="008355F1" w:rsidRPr="008355F1">
        <w:rPr>
          <w:rFonts w:cs="Arial"/>
          <w:bCs/>
          <w:szCs w:val="22"/>
        </w:rPr>
        <w:t xml:space="preserve"> </w:t>
      </w:r>
      <w:r w:rsidR="00951D23" w:rsidRPr="008355F1">
        <w:rPr>
          <w:rFonts w:cs="Arial"/>
          <w:bCs/>
          <w:szCs w:val="22"/>
        </w:rPr>
        <w:t>The surety</w:t>
      </w:r>
      <w:r w:rsidR="00EC2D5A" w:rsidRPr="008355F1">
        <w:rPr>
          <w:rFonts w:cs="Arial"/>
          <w:bCs/>
          <w:szCs w:val="22"/>
        </w:rPr>
        <w:t xml:space="preserve"> did not invoke the provisions of Rule 7.</w:t>
      </w:r>
      <w:r w:rsidR="001E360E">
        <w:rPr>
          <w:rStyle w:val="FootnoteReference"/>
          <w:rFonts w:cs="Arial"/>
          <w:bCs/>
          <w:szCs w:val="22"/>
        </w:rPr>
        <w:footnoteReference w:id="5"/>
      </w:r>
      <w:r w:rsidR="00B93A82" w:rsidRPr="008355F1">
        <w:rPr>
          <w:rFonts w:cs="Arial"/>
          <w:bCs/>
          <w:szCs w:val="22"/>
        </w:rPr>
        <w:t xml:space="preserve"> </w:t>
      </w:r>
    </w:p>
    <w:p w14:paraId="00C08166" w14:textId="32192116" w:rsidR="00D8121C" w:rsidRPr="008355F1" w:rsidRDefault="00C220AE" w:rsidP="00C220AE">
      <w:pPr>
        <w:widowControl w:val="0"/>
        <w:tabs>
          <w:tab w:val="left" w:pos="567"/>
        </w:tabs>
        <w:spacing w:before="480" w:after="480" w:line="480" w:lineRule="auto"/>
        <w:jc w:val="both"/>
        <w:rPr>
          <w:rFonts w:cs="Arial"/>
          <w:bCs/>
          <w:szCs w:val="22"/>
        </w:rPr>
      </w:pPr>
      <w:r w:rsidRPr="008355F1">
        <w:rPr>
          <w:rFonts w:cs="Arial"/>
          <w:bCs/>
          <w:szCs w:val="22"/>
        </w:rPr>
        <w:t>[17]</w:t>
      </w:r>
      <w:r w:rsidRPr="008355F1">
        <w:rPr>
          <w:rFonts w:cs="Arial"/>
          <w:bCs/>
          <w:szCs w:val="22"/>
        </w:rPr>
        <w:tab/>
      </w:r>
      <w:r w:rsidR="00B93A82" w:rsidRPr="008355F1">
        <w:rPr>
          <w:rFonts w:cs="Arial"/>
          <w:bCs/>
          <w:szCs w:val="22"/>
        </w:rPr>
        <w:t xml:space="preserve">Having failed to deal with the authority or the personal knowledge of the deponent in the main application, </w:t>
      </w:r>
      <w:r w:rsidR="00951D23" w:rsidRPr="008355F1">
        <w:rPr>
          <w:rFonts w:cs="Arial"/>
          <w:bCs/>
          <w:szCs w:val="22"/>
        </w:rPr>
        <w:t>the surety</w:t>
      </w:r>
      <w:r w:rsidR="00B93A82" w:rsidRPr="008355F1">
        <w:rPr>
          <w:rFonts w:cs="Arial"/>
          <w:bCs/>
          <w:szCs w:val="22"/>
        </w:rPr>
        <w:t xml:space="preserve"> now wishes to dispute the authority of the deponent in the replying affidavit in the application to compel.</w:t>
      </w:r>
      <w:r w:rsidR="00666680" w:rsidRPr="008355F1">
        <w:rPr>
          <w:rFonts w:cs="Arial"/>
          <w:bCs/>
          <w:szCs w:val="22"/>
        </w:rPr>
        <w:t xml:space="preserve"> There is no basis for such an about-turn.</w:t>
      </w:r>
    </w:p>
    <w:p w14:paraId="2F8534FD" w14:textId="773E74F0" w:rsidR="00842F52" w:rsidRDefault="00C220AE" w:rsidP="00C220AE">
      <w:pPr>
        <w:widowControl w:val="0"/>
        <w:tabs>
          <w:tab w:val="left" w:pos="567"/>
        </w:tabs>
        <w:spacing w:before="480" w:after="480" w:line="480" w:lineRule="auto"/>
        <w:jc w:val="both"/>
        <w:rPr>
          <w:rFonts w:cs="Arial"/>
          <w:bCs/>
          <w:szCs w:val="22"/>
        </w:rPr>
      </w:pPr>
      <w:r>
        <w:rPr>
          <w:rFonts w:cs="Arial"/>
          <w:bCs/>
          <w:szCs w:val="22"/>
        </w:rPr>
        <w:t>[18]</w:t>
      </w:r>
      <w:r>
        <w:rPr>
          <w:rFonts w:cs="Arial"/>
          <w:bCs/>
          <w:szCs w:val="22"/>
        </w:rPr>
        <w:tab/>
      </w:r>
      <w:r w:rsidR="00B93A82">
        <w:rPr>
          <w:rFonts w:cs="Arial"/>
          <w:bCs/>
          <w:szCs w:val="22"/>
        </w:rPr>
        <w:t xml:space="preserve">The point </w:t>
      </w:r>
      <w:r w:rsidR="00B93A82" w:rsidRPr="00B93A82">
        <w:rPr>
          <w:rFonts w:cs="Arial"/>
          <w:bCs/>
          <w:i/>
          <w:iCs/>
          <w:szCs w:val="22"/>
        </w:rPr>
        <w:t xml:space="preserve">in </w:t>
      </w:r>
      <w:proofErr w:type="spellStart"/>
      <w:r w:rsidR="00B93A82" w:rsidRPr="00B93A82">
        <w:rPr>
          <w:rFonts w:cs="Arial"/>
          <w:bCs/>
          <w:i/>
          <w:iCs/>
          <w:szCs w:val="22"/>
        </w:rPr>
        <w:t>limine</w:t>
      </w:r>
      <w:proofErr w:type="spellEnd"/>
      <w:r w:rsidR="00B93A82">
        <w:rPr>
          <w:rFonts w:cs="Arial"/>
          <w:bCs/>
          <w:szCs w:val="22"/>
        </w:rPr>
        <w:t xml:space="preserve"> is dismissed.</w:t>
      </w:r>
    </w:p>
    <w:p w14:paraId="258F2B0A" w14:textId="77777777" w:rsidR="00951D23" w:rsidRDefault="00951D23" w:rsidP="00C47924">
      <w:pPr>
        <w:widowControl w:val="0"/>
        <w:spacing w:before="480" w:after="480" w:line="480" w:lineRule="auto"/>
        <w:jc w:val="both"/>
        <w:rPr>
          <w:rFonts w:cs="Arial"/>
          <w:bCs/>
          <w:szCs w:val="22"/>
          <w:u w:val="single"/>
        </w:rPr>
      </w:pPr>
    </w:p>
    <w:p w14:paraId="489AF96D" w14:textId="70667479" w:rsidR="00B93A82" w:rsidRPr="00C47924" w:rsidRDefault="00B93A82" w:rsidP="00C47924">
      <w:pPr>
        <w:widowControl w:val="0"/>
        <w:spacing w:before="480" w:after="480" w:line="480" w:lineRule="auto"/>
        <w:jc w:val="both"/>
        <w:rPr>
          <w:rFonts w:cs="Arial"/>
          <w:bCs/>
          <w:szCs w:val="22"/>
          <w:u w:val="single"/>
        </w:rPr>
      </w:pPr>
      <w:r w:rsidRPr="00C47924">
        <w:rPr>
          <w:rFonts w:cs="Arial"/>
          <w:bCs/>
          <w:szCs w:val="22"/>
          <w:u w:val="single"/>
        </w:rPr>
        <w:t>Striking out ap</w:t>
      </w:r>
      <w:r w:rsidR="00C47924" w:rsidRPr="00C47924">
        <w:rPr>
          <w:rFonts w:cs="Arial"/>
          <w:bCs/>
          <w:szCs w:val="22"/>
          <w:u w:val="single"/>
        </w:rPr>
        <w:t>plication</w:t>
      </w:r>
    </w:p>
    <w:p w14:paraId="72FF54B3" w14:textId="3787FE95" w:rsidR="00B93A82" w:rsidRPr="00C1370F" w:rsidRDefault="00C220AE" w:rsidP="00C220AE">
      <w:pPr>
        <w:widowControl w:val="0"/>
        <w:tabs>
          <w:tab w:val="left" w:pos="567"/>
        </w:tabs>
        <w:spacing w:before="480" w:after="480" w:line="480" w:lineRule="auto"/>
        <w:jc w:val="both"/>
        <w:rPr>
          <w:rFonts w:cs="Arial"/>
          <w:bCs/>
          <w:szCs w:val="22"/>
        </w:rPr>
      </w:pPr>
      <w:r w:rsidRPr="00C1370F">
        <w:rPr>
          <w:rFonts w:cs="Arial"/>
          <w:bCs/>
          <w:szCs w:val="22"/>
        </w:rPr>
        <w:t>[19]</w:t>
      </w:r>
      <w:r w:rsidRPr="00C1370F">
        <w:rPr>
          <w:rFonts w:cs="Arial"/>
          <w:bCs/>
          <w:szCs w:val="22"/>
        </w:rPr>
        <w:tab/>
      </w:r>
      <w:r w:rsidR="00C1370F" w:rsidRPr="00C1370F">
        <w:rPr>
          <w:rFonts w:cs="Arial"/>
          <w:bCs/>
          <w:szCs w:val="22"/>
        </w:rPr>
        <w:t>The court has a discretion to strike irrelevant matter.</w:t>
      </w:r>
      <w:r w:rsidR="00C1370F">
        <w:rPr>
          <w:rStyle w:val="FootnoteReference"/>
          <w:rFonts w:cs="Arial"/>
          <w:bCs/>
          <w:szCs w:val="22"/>
        </w:rPr>
        <w:footnoteReference w:id="6"/>
      </w:r>
      <w:r w:rsidR="00C1370F" w:rsidRPr="00C1370F">
        <w:rPr>
          <w:rFonts w:cs="Arial"/>
          <w:bCs/>
          <w:szCs w:val="22"/>
        </w:rPr>
        <w:t xml:space="preserve"> </w:t>
      </w:r>
      <w:r w:rsidR="00F33609" w:rsidRPr="00C1370F">
        <w:rPr>
          <w:rFonts w:cs="Arial"/>
          <w:bCs/>
          <w:szCs w:val="22"/>
        </w:rPr>
        <w:t>Rule 6(15) provides that:</w:t>
      </w:r>
    </w:p>
    <w:p w14:paraId="188DFD8E" w14:textId="22F6D3B3" w:rsidR="00F33609" w:rsidRPr="00F33609" w:rsidRDefault="00F33609" w:rsidP="00F33609">
      <w:pPr>
        <w:widowControl w:val="0"/>
        <w:spacing w:before="480" w:after="480" w:line="480" w:lineRule="auto"/>
        <w:ind w:left="1440"/>
        <w:jc w:val="both"/>
        <w:rPr>
          <w:rFonts w:cs="Arial"/>
          <w:bCs/>
          <w:i/>
          <w:iCs/>
          <w:sz w:val="20"/>
          <w:szCs w:val="20"/>
        </w:rPr>
      </w:pPr>
      <w:r w:rsidRPr="00F33609">
        <w:rPr>
          <w:i/>
          <w:iCs/>
          <w:sz w:val="20"/>
          <w:szCs w:val="20"/>
        </w:rPr>
        <w:t xml:space="preserve">“The court may on application order to be struck out from any affidavit any matter </w:t>
      </w:r>
      <w:r w:rsidRPr="00F33609">
        <w:rPr>
          <w:i/>
          <w:iCs/>
          <w:sz w:val="20"/>
          <w:szCs w:val="20"/>
        </w:rPr>
        <w:lastRenderedPageBreak/>
        <w:t xml:space="preserve">which is scandalous, </w:t>
      </w:r>
      <w:proofErr w:type="gramStart"/>
      <w:r w:rsidRPr="00F33609">
        <w:rPr>
          <w:i/>
          <w:iCs/>
          <w:sz w:val="20"/>
          <w:szCs w:val="20"/>
        </w:rPr>
        <w:t>vexatious</w:t>
      </w:r>
      <w:proofErr w:type="gramEnd"/>
      <w:r w:rsidRPr="00F33609">
        <w:rPr>
          <w:i/>
          <w:iCs/>
          <w:sz w:val="20"/>
          <w:szCs w:val="20"/>
        </w:rPr>
        <w:t xml:space="preserve"> or irrelevant, with an appropriate order as to costs, including costs as between attorney and client. The court may not grant the application unless it is satisfied that the applicant will be prejudiced if the application is not granted.”</w:t>
      </w:r>
    </w:p>
    <w:p w14:paraId="182063CC" w14:textId="378D01BA" w:rsidR="003141A1" w:rsidRDefault="00C220AE" w:rsidP="00C220AE">
      <w:pPr>
        <w:widowControl w:val="0"/>
        <w:tabs>
          <w:tab w:val="left" w:pos="567"/>
        </w:tabs>
        <w:spacing w:before="480" w:after="480" w:line="480" w:lineRule="auto"/>
        <w:jc w:val="both"/>
        <w:rPr>
          <w:rFonts w:cs="Arial"/>
          <w:bCs/>
          <w:szCs w:val="22"/>
        </w:rPr>
      </w:pPr>
      <w:r>
        <w:rPr>
          <w:rFonts w:cs="Arial"/>
          <w:bCs/>
          <w:szCs w:val="22"/>
        </w:rPr>
        <w:t>[20]</w:t>
      </w:r>
      <w:r>
        <w:rPr>
          <w:rFonts w:cs="Arial"/>
          <w:bCs/>
          <w:szCs w:val="22"/>
        </w:rPr>
        <w:tab/>
      </w:r>
      <w:r w:rsidR="003141A1">
        <w:rPr>
          <w:rFonts w:cs="Arial"/>
          <w:bCs/>
          <w:szCs w:val="22"/>
        </w:rPr>
        <w:t xml:space="preserve">The application </w:t>
      </w:r>
      <w:r w:rsidR="00C1370F">
        <w:rPr>
          <w:rFonts w:cs="Arial"/>
          <w:bCs/>
          <w:szCs w:val="22"/>
        </w:rPr>
        <w:t>must be</w:t>
      </w:r>
      <w:r w:rsidR="003141A1">
        <w:rPr>
          <w:rFonts w:cs="Arial"/>
          <w:bCs/>
          <w:szCs w:val="22"/>
        </w:rPr>
        <w:t xml:space="preserve"> heard with the application</w:t>
      </w:r>
      <w:r w:rsidR="009266FA">
        <w:rPr>
          <w:rFonts w:cs="Arial"/>
          <w:bCs/>
          <w:szCs w:val="22"/>
        </w:rPr>
        <w:t xml:space="preserve"> to which it relates</w:t>
      </w:r>
      <w:r w:rsidR="003141A1">
        <w:rPr>
          <w:rFonts w:cs="Arial"/>
          <w:bCs/>
          <w:szCs w:val="22"/>
        </w:rPr>
        <w:t>, in this case the Rule 35(12) application. An applicant in a striking out application is required to deal with the averments sought to be struck.</w:t>
      </w:r>
      <w:r w:rsidR="003141A1">
        <w:rPr>
          <w:rStyle w:val="FootnoteReference"/>
          <w:rFonts w:cs="Arial"/>
          <w:bCs/>
          <w:szCs w:val="22"/>
        </w:rPr>
        <w:footnoteReference w:id="7"/>
      </w:r>
      <w:r w:rsidR="003141A1">
        <w:rPr>
          <w:rFonts w:cs="Arial"/>
          <w:bCs/>
          <w:szCs w:val="22"/>
        </w:rPr>
        <w:t xml:space="preserve"> </w:t>
      </w:r>
      <w:r w:rsidR="008355F1">
        <w:rPr>
          <w:rFonts w:cs="Arial"/>
          <w:bCs/>
          <w:szCs w:val="22"/>
        </w:rPr>
        <w:t xml:space="preserve">A failure to deal with the allegations means that if the application to strike the objectionable matter </w:t>
      </w:r>
      <w:proofErr w:type="gramStart"/>
      <w:r w:rsidR="008355F1">
        <w:rPr>
          <w:rFonts w:cs="Arial"/>
          <w:bCs/>
          <w:szCs w:val="22"/>
        </w:rPr>
        <w:t>does not succeed</w:t>
      </w:r>
      <w:proofErr w:type="gramEnd"/>
      <w:r w:rsidR="008355F1">
        <w:rPr>
          <w:rFonts w:cs="Arial"/>
          <w:bCs/>
          <w:szCs w:val="22"/>
        </w:rPr>
        <w:t>, the allegations made by the other party are the only evidence before Court.</w:t>
      </w:r>
    </w:p>
    <w:p w14:paraId="617BE179" w14:textId="5B5A7024" w:rsidR="00C1370F" w:rsidRDefault="00C220AE" w:rsidP="00C220AE">
      <w:pPr>
        <w:widowControl w:val="0"/>
        <w:tabs>
          <w:tab w:val="left" w:pos="567"/>
        </w:tabs>
        <w:spacing w:before="480" w:after="480" w:line="480" w:lineRule="auto"/>
        <w:jc w:val="both"/>
        <w:rPr>
          <w:rFonts w:cs="Arial"/>
          <w:bCs/>
          <w:szCs w:val="22"/>
        </w:rPr>
      </w:pPr>
      <w:r>
        <w:rPr>
          <w:rFonts w:cs="Arial"/>
          <w:bCs/>
          <w:szCs w:val="22"/>
        </w:rPr>
        <w:t>[21]</w:t>
      </w:r>
      <w:r>
        <w:rPr>
          <w:rFonts w:cs="Arial"/>
          <w:bCs/>
          <w:szCs w:val="22"/>
        </w:rPr>
        <w:tab/>
      </w:r>
      <w:r w:rsidR="00C1370F" w:rsidRPr="00C1370F">
        <w:rPr>
          <w:rFonts w:cs="Arial"/>
          <w:bCs/>
          <w:szCs w:val="22"/>
        </w:rPr>
        <w:t>The surety gave notice of an application to strike paragraphs 5 to 12, 16.1, 16.2 and 17.2 of the bank’s answering affidavit in the Rule 35(12) application. The application is brought on the basis that the allegations in those paragraphs are irrelevant.</w:t>
      </w:r>
      <w:r w:rsidR="006A30AA">
        <w:rPr>
          <w:rFonts w:cs="Arial"/>
          <w:bCs/>
          <w:szCs w:val="22"/>
        </w:rPr>
        <w:t xml:space="preserve"> </w:t>
      </w:r>
    </w:p>
    <w:p w14:paraId="0BF2CAFC" w14:textId="08A920C2" w:rsidR="006A30AA" w:rsidRPr="00C1370F" w:rsidRDefault="00C220AE" w:rsidP="00C220AE">
      <w:pPr>
        <w:widowControl w:val="0"/>
        <w:tabs>
          <w:tab w:val="left" w:pos="567"/>
        </w:tabs>
        <w:spacing w:before="480" w:after="480" w:line="480" w:lineRule="auto"/>
        <w:jc w:val="both"/>
        <w:rPr>
          <w:rFonts w:cs="Arial"/>
          <w:bCs/>
          <w:szCs w:val="22"/>
        </w:rPr>
      </w:pPr>
      <w:r w:rsidRPr="00C1370F">
        <w:rPr>
          <w:rFonts w:cs="Arial"/>
          <w:bCs/>
          <w:szCs w:val="22"/>
        </w:rPr>
        <w:t>[22]</w:t>
      </w:r>
      <w:r w:rsidRPr="00C1370F">
        <w:rPr>
          <w:rFonts w:cs="Arial"/>
          <w:bCs/>
          <w:szCs w:val="22"/>
        </w:rPr>
        <w:tab/>
      </w:r>
      <w:r w:rsidR="006A30AA">
        <w:rPr>
          <w:rFonts w:cs="Arial"/>
          <w:bCs/>
          <w:szCs w:val="22"/>
        </w:rPr>
        <w:t>The surety does not allege that he would be prejudiced</w:t>
      </w:r>
      <w:r w:rsidR="006A30AA">
        <w:rPr>
          <w:rStyle w:val="FootnoteReference"/>
          <w:rFonts w:cs="Arial"/>
          <w:bCs/>
          <w:szCs w:val="22"/>
        </w:rPr>
        <w:footnoteReference w:id="8"/>
      </w:r>
      <w:r w:rsidR="006A30AA">
        <w:rPr>
          <w:rFonts w:cs="Arial"/>
          <w:bCs/>
          <w:szCs w:val="22"/>
        </w:rPr>
        <w:t xml:space="preserve"> if the application to strike were not granted.</w:t>
      </w:r>
    </w:p>
    <w:p w14:paraId="50270B84" w14:textId="289574A8" w:rsidR="00951D23" w:rsidRDefault="00C220AE" w:rsidP="00C220AE">
      <w:pPr>
        <w:widowControl w:val="0"/>
        <w:tabs>
          <w:tab w:val="left" w:pos="567"/>
        </w:tabs>
        <w:spacing w:before="480" w:after="480" w:line="480" w:lineRule="auto"/>
        <w:jc w:val="both"/>
        <w:rPr>
          <w:rFonts w:cs="Arial"/>
          <w:bCs/>
          <w:szCs w:val="22"/>
        </w:rPr>
      </w:pPr>
      <w:r>
        <w:rPr>
          <w:rFonts w:cs="Arial"/>
          <w:bCs/>
          <w:szCs w:val="22"/>
        </w:rPr>
        <w:t>[23]</w:t>
      </w:r>
      <w:r>
        <w:rPr>
          <w:rFonts w:cs="Arial"/>
          <w:bCs/>
          <w:szCs w:val="22"/>
        </w:rPr>
        <w:tab/>
      </w:r>
      <w:r w:rsidR="00951D23">
        <w:rPr>
          <w:rFonts w:cs="Arial"/>
          <w:bCs/>
          <w:szCs w:val="22"/>
        </w:rPr>
        <w:t xml:space="preserve">The bank’s evidence set out in the paragraphs sought to be struck are relevant to </w:t>
      </w:r>
      <w:r w:rsidR="00666680">
        <w:rPr>
          <w:rFonts w:cs="Arial"/>
          <w:bCs/>
          <w:szCs w:val="22"/>
        </w:rPr>
        <w:t xml:space="preserve">the merits of the Rule 35(12) application and to </w:t>
      </w:r>
      <w:r w:rsidR="00951D23">
        <w:rPr>
          <w:rFonts w:cs="Arial"/>
          <w:bCs/>
          <w:szCs w:val="22"/>
        </w:rPr>
        <w:t xml:space="preserve">the cost order sought, </w:t>
      </w:r>
      <w:proofErr w:type="gramStart"/>
      <w:r w:rsidR="00951D23">
        <w:rPr>
          <w:rFonts w:cs="Arial"/>
          <w:bCs/>
          <w:szCs w:val="22"/>
        </w:rPr>
        <w:t xml:space="preserve">and </w:t>
      </w:r>
      <w:r w:rsidR="00666680">
        <w:rPr>
          <w:rFonts w:cs="Arial"/>
          <w:bCs/>
          <w:szCs w:val="22"/>
        </w:rPr>
        <w:t>also</w:t>
      </w:r>
      <w:proofErr w:type="gramEnd"/>
      <w:r w:rsidR="00666680">
        <w:rPr>
          <w:rFonts w:cs="Arial"/>
          <w:bCs/>
          <w:szCs w:val="22"/>
        </w:rPr>
        <w:t xml:space="preserve"> </w:t>
      </w:r>
      <w:r w:rsidR="00951D23">
        <w:rPr>
          <w:rFonts w:cs="Arial"/>
          <w:bCs/>
          <w:szCs w:val="22"/>
        </w:rPr>
        <w:t xml:space="preserve">in the context of the surety’s </w:t>
      </w:r>
      <w:r w:rsidR="00666680">
        <w:rPr>
          <w:rFonts w:cs="Arial"/>
          <w:bCs/>
          <w:szCs w:val="22"/>
        </w:rPr>
        <w:t>argument</w:t>
      </w:r>
      <w:r w:rsidR="00951D23">
        <w:rPr>
          <w:rFonts w:cs="Arial"/>
          <w:bCs/>
          <w:szCs w:val="22"/>
        </w:rPr>
        <w:t xml:space="preserve"> that the bank is a large corporate entity with unlimited resources, and that he is therefore at a disadvantage. </w:t>
      </w:r>
      <w:r w:rsidR="00322883">
        <w:rPr>
          <w:rFonts w:cs="Arial"/>
          <w:bCs/>
          <w:szCs w:val="22"/>
        </w:rPr>
        <w:t xml:space="preserve">To the extent that the evidence is irrelevant, it will be merely ignored if it did not contribute to the </w:t>
      </w:r>
      <w:proofErr w:type="gramStart"/>
      <w:r w:rsidR="00322883">
        <w:rPr>
          <w:rFonts w:cs="Arial"/>
          <w:bCs/>
          <w:szCs w:val="22"/>
        </w:rPr>
        <w:t>judgment</w:t>
      </w:r>
      <w:proofErr w:type="gramEnd"/>
      <w:r w:rsidR="00322883">
        <w:rPr>
          <w:rFonts w:cs="Arial"/>
          <w:bCs/>
          <w:szCs w:val="22"/>
        </w:rPr>
        <w:t xml:space="preserve"> but</w:t>
      </w:r>
      <w:r w:rsidR="006A30AA">
        <w:rPr>
          <w:rFonts w:cs="Arial"/>
          <w:bCs/>
          <w:szCs w:val="22"/>
        </w:rPr>
        <w:t xml:space="preserve"> it</w:t>
      </w:r>
      <w:r w:rsidR="00322883">
        <w:rPr>
          <w:rFonts w:cs="Arial"/>
          <w:bCs/>
          <w:szCs w:val="22"/>
        </w:rPr>
        <w:t xml:space="preserve"> needed not to be struck </w:t>
      </w:r>
      <w:r w:rsidR="006A30AA">
        <w:rPr>
          <w:rFonts w:cs="Arial"/>
          <w:bCs/>
          <w:szCs w:val="22"/>
        </w:rPr>
        <w:t xml:space="preserve">- </w:t>
      </w:r>
      <w:r w:rsidR="00322883">
        <w:rPr>
          <w:rFonts w:cs="Arial"/>
          <w:bCs/>
          <w:szCs w:val="22"/>
        </w:rPr>
        <w:t xml:space="preserve">there is no prejudice to the opponent. </w:t>
      </w:r>
    </w:p>
    <w:p w14:paraId="04430685" w14:textId="23D11EC0" w:rsidR="00951D23" w:rsidRDefault="00C220AE" w:rsidP="00C220AE">
      <w:pPr>
        <w:widowControl w:val="0"/>
        <w:tabs>
          <w:tab w:val="left" w:pos="567"/>
        </w:tabs>
        <w:spacing w:before="480" w:after="480" w:line="480" w:lineRule="auto"/>
        <w:jc w:val="both"/>
        <w:rPr>
          <w:rFonts w:cs="Arial"/>
          <w:bCs/>
          <w:szCs w:val="22"/>
        </w:rPr>
      </w:pPr>
      <w:r>
        <w:rPr>
          <w:rFonts w:cs="Arial"/>
          <w:bCs/>
          <w:szCs w:val="22"/>
        </w:rPr>
        <w:t>[24]</w:t>
      </w:r>
      <w:r>
        <w:rPr>
          <w:rFonts w:cs="Arial"/>
          <w:bCs/>
          <w:szCs w:val="22"/>
        </w:rPr>
        <w:tab/>
      </w:r>
      <w:r w:rsidR="00951D23">
        <w:rPr>
          <w:rFonts w:cs="Arial"/>
          <w:bCs/>
          <w:szCs w:val="22"/>
        </w:rPr>
        <w:t xml:space="preserve">The application to strike out is dismissed. The paragraphs sought to be struck are </w:t>
      </w:r>
      <w:r w:rsidR="00951D23">
        <w:rPr>
          <w:rFonts w:cs="Arial"/>
          <w:bCs/>
          <w:szCs w:val="22"/>
        </w:rPr>
        <w:lastRenderedPageBreak/>
        <w:t>relevant and no prejudice has been alleged or shown.</w:t>
      </w:r>
    </w:p>
    <w:p w14:paraId="5C76233D" w14:textId="77777777" w:rsidR="000D1F6D" w:rsidRDefault="000D1F6D" w:rsidP="007656EA">
      <w:pPr>
        <w:widowControl w:val="0"/>
        <w:spacing w:before="480" w:after="480" w:line="480" w:lineRule="auto"/>
        <w:jc w:val="both"/>
        <w:rPr>
          <w:rFonts w:cs="Arial"/>
          <w:bCs/>
          <w:szCs w:val="22"/>
          <w:u w:val="single"/>
        </w:rPr>
      </w:pPr>
    </w:p>
    <w:p w14:paraId="2EA35CEE" w14:textId="1C8ED316" w:rsidR="003D0D73" w:rsidRPr="007656EA" w:rsidRDefault="003D0D73" w:rsidP="003D0D73">
      <w:pPr>
        <w:widowControl w:val="0"/>
        <w:spacing w:before="480" w:after="480" w:line="480" w:lineRule="auto"/>
        <w:jc w:val="both"/>
        <w:rPr>
          <w:rFonts w:cs="Arial"/>
          <w:bCs/>
          <w:szCs w:val="22"/>
          <w:u w:val="single"/>
        </w:rPr>
      </w:pPr>
      <w:r>
        <w:t> </w:t>
      </w:r>
      <w:r w:rsidRPr="007656EA">
        <w:rPr>
          <w:rFonts w:cs="Arial"/>
          <w:bCs/>
          <w:szCs w:val="22"/>
          <w:u w:val="single"/>
        </w:rPr>
        <w:t>Rule 35(12)</w:t>
      </w:r>
      <w:r>
        <w:rPr>
          <w:rFonts w:cs="Arial"/>
          <w:bCs/>
          <w:szCs w:val="22"/>
          <w:u w:val="single"/>
        </w:rPr>
        <w:t xml:space="preserve"> of the Uniform Rules</w:t>
      </w:r>
    </w:p>
    <w:p w14:paraId="4C30EFDA" w14:textId="5CF0FAC4" w:rsidR="003D0D73" w:rsidRDefault="00C220AE" w:rsidP="00C220AE">
      <w:pPr>
        <w:widowControl w:val="0"/>
        <w:tabs>
          <w:tab w:val="left" w:pos="567"/>
        </w:tabs>
        <w:spacing w:before="480" w:after="480" w:line="480" w:lineRule="auto"/>
        <w:jc w:val="both"/>
        <w:rPr>
          <w:rFonts w:cs="Arial"/>
          <w:bCs/>
          <w:szCs w:val="22"/>
        </w:rPr>
      </w:pPr>
      <w:r>
        <w:rPr>
          <w:rFonts w:cs="Arial"/>
          <w:bCs/>
          <w:szCs w:val="22"/>
        </w:rPr>
        <w:t>[25]</w:t>
      </w:r>
      <w:r>
        <w:rPr>
          <w:rFonts w:cs="Arial"/>
          <w:bCs/>
          <w:szCs w:val="22"/>
        </w:rPr>
        <w:tab/>
      </w:r>
      <w:r w:rsidR="003D0D73">
        <w:rPr>
          <w:rFonts w:cs="Arial"/>
          <w:lang w:eastAsia="en-ZA"/>
        </w:rPr>
        <w:t>Rule 35(12) provides for the discovery of documents</w:t>
      </w:r>
      <w:r w:rsidR="00322883">
        <w:rPr>
          <w:rFonts w:cs="Arial"/>
          <w:lang w:eastAsia="en-ZA"/>
        </w:rPr>
        <w:t xml:space="preserve"> or recordings</w:t>
      </w:r>
      <w:r w:rsidR="003D0D73">
        <w:rPr>
          <w:rFonts w:cs="Arial"/>
          <w:lang w:eastAsia="en-ZA"/>
        </w:rPr>
        <w:t xml:space="preserve"> referred to in the opponent’s pleadings or affidavits. The opponent may produce the document, object to its production on the basis that it is privileged or irrelevant, or state under oath that the document is not in its possession.</w:t>
      </w:r>
    </w:p>
    <w:p w14:paraId="0C6E5ACF" w14:textId="5FFF3715" w:rsidR="003D0D73" w:rsidRDefault="00C220AE" w:rsidP="00C220AE">
      <w:pPr>
        <w:widowControl w:val="0"/>
        <w:tabs>
          <w:tab w:val="left" w:pos="567"/>
        </w:tabs>
        <w:spacing w:before="480" w:after="480" w:line="480" w:lineRule="auto"/>
        <w:jc w:val="both"/>
        <w:rPr>
          <w:rFonts w:cs="Arial"/>
          <w:bCs/>
          <w:szCs w:val="22"/>
        </w:rPr>
      </w:pPr>
      <w:r>
        <w:rPr>
          <w:rFonts w:cs="Arial"/>
          <w:bCs/>
          <w:szCs w:val="22"/>
        </w:rPr>
        <w:t>[26]</w:t>
      </w:r>
      <w:r>
        <w:rPr>
          <w:rFonts w:cs="Arial"/>
          <w:bCs/>
          <w:szCs w:val="22"/>
        </w:rPr>
        <w:tab/>
      </w:r>
      <w:r w:rsidR="003D0D73" w:rsidRPr="00922AFC">
        <w:rPr>
          <w:rFonts w:cs="Arial"/>
          <w:bCs/>
          <w:szCs w:val="22"/>
        </w:rPr>
        <w:t>In</w:t>
      </w:r>
      <w:r w:rsidR="003D0D73" w:rsidRPr="00922AFC">
        <w:rPr>
          <w:rFonts w:cs="Arial"/>
          <w:i/>
          <w:iCs/>
          <w:color w:val="000000" w:themeColor="text1"/>
          <w:szCs w:val="22"/>
          <w:shd w:val="clear" w:color="auto" w:fill="FFFFFF"/>
        </w:rPr>
        <w:t xml:space="preserve"> Democratic Alliance v </w:t>
      </w:r>
      <w:proofErr w:type="spellStart"/>
      <w:r w:rsidR="003D0D73" w:rsidRPr="00922AFC">
        <w:rPr>
          <w:rFonts w:cs="Arial"/>
          <w:i/>
          <w:iCs/>
          <w:color w:val="000000" w:themeColor="text1"/>
          <w:szCs w:val="22"/>
          <w:shd w:val="clear" w:color="auto" w:fill="FFFFFF"/>
        </w:rPr>
        <w:t>Mkhwebane</w:t>
      </w:r>
      <w:proofErr w:type="spellEnd"/>
      <w:r w:rsidR="003D0D73" w:rsidRPr="00922AFC">
        <w:rPr>
          <w:rStyle w:val="FootnoteReference"/>
          <w:rFonts w:cs="Arial"/>
          <w:szCs w:val="22"/>
          <w:lang w:eastAsia="en-ZA"/>
        </w:rPr>
        <w:t xml:space="preserve"> </w:t>
      </w:r>
      <w:r w:rsidR="003D0D73" w:rsidRPr="00922AFC">
        <w:rPr>
          <w:rStyle w:val="FootnoteReference"/>
          <w:rFonts w:cs="Arial"/>
          <w:szCs w:val="22"/>
          <w:lang w:eastAsia="en-ZA"/>
        </w:rPr>
        <w:footnoteReference w:id="9"/>
      </w:r>
      <w:r w:rsidR="003D0D73" w:rsidRPr="00922AFC">
        <w:rPr>
          <w:rStyle w:val="FootnoteReference"/>
          <w:rFonts w:cs="Arial"/>
          <w:szCs w:val="22"/>
          <w:lang w:eastAsia="en-ZA"/>
        </w:rPr>
        <w:t xml:space="preserve"> </w:t>
      </w:r>
      <w:proofErr w:type="spellStart"/>
      <w:r w:rsidR="003D0D73" w:rsidRPr="00922AFC">
        <w:rPr>
          <w:rFonts w:cs="Arial"/>
          <w:szCs w:val="22"/>
          <w:lang w:eastAsia="en-ZA"/>
        </w:rPr>
        <w:t>Navsa</w:t>
      </w:r>
      <w:proofErr w:type="spellEnd"/>
      <w:r w:rsidR="003D0D73" w:rsidRPr="00922AFC">
        <w:rPr>
          <w:rFonts w:cs="Arial"/>
          <w:szCs w:val="22"/>
          <w:lang w:eastAsia="en-ZA"/>
        </w:rPr>
        <w:t xml:space="preserve"> JA said</w:t>
      </w:r>
      <w:r w:rsidR="003D0D73">
        <w:rPr>
          <w:rFonts w:cs="Arial"/>
          <w:lang w:eastAsia="en-ZA"/>
        </w:rPr>
        <w:t>:</w:t>
      </w:r>
    </w:p>
    <w:p w14:paraId="009E7E29" w14:textId="77777777" w:rsidR="003D0D73" w:rsidRPr="005E3720" w:rsidRDefault="003D0D73" w:rsidP="003D0D73">
      <w:pPr>
        <w:widowControl w:val="0"/>
        <w:spacing w:before="120" w:after="120" w:line="360" w:lineRule="auto"/>
        <w:ind w:left="720"/>
        <w:jc w:val="both"/>
        <w:rPr>
          <w:rFonts w:cs="Arial"/>
          <w:bCs/>
          <w:i/>
          <w:iCs/>
          <w:color w:val="000000" w:themeColor="text1"/>
          <w:sz w:val="20"/>
          <w:szCs w:val="20"/>
        </w:rPr>
      </w:pPr>
      <w:r>
        <w:rPr>
          <w:rFonts w:cs="Arial"/>
          <w:i/>
          <w:iCs/>
          <w:color w:val="000000" w:themeColor="text1"/>
          <w:sz w:val="20"/>
          <w:szCs w:val="20"/>
          <w:shd w:val="clear" w:color="auto" w:fill="FFFFFF"/>
        </w:rPr>
        <w:t>“</w:t>
      </w:r>
      <w:r w:rsidRPr="005E3720">
        <w:rPr>
          <w:rFonts w:cs="Arial"/>
          <w:i/>
          <w:iCs/>
          <w:color w:val="000000" w:themeColor="text1"/>
          <w:sz w:val="20"/>
          <w:szCs w:val="20"/>
          <w:shd w:val="clear" w:color="auto" w:fill="FFFFFF"/>
        </w:rPr>
        <w:t>It appears to me to be clear that documents in respect of which there is a direct or indirect reference in an affidavit or its annexures, that are relevant, and which are not privileged, and are in the possession of that party, must be produced. Relevance is assessed in relation to rule 35(12), not on the basis of issues that have crystallised, as they would have had pleadings closed or all the affidavits been filed, but rather on the basis of aspects or issues that might arise in relation to what has thus far been stated in the pleadings or affidavits and possible grounds of opposition or defences that might be raised and, on the basis that they will better enable the party seeking production to assess his or her position and that they might assist in asserting such a defence or defences.</w:t>
      </w:r>
      <w:r>
        <w:rPr>
          <w:rFonts w:cs="Arial"/>
          <w:i/>
          <w:iCs/>
          <w:color w:val="000000" w:themeColor="text1"/>
          <w:sz w:val="20"/>
          <w:szCs w:val="20"/>
          <w:shd w:val="clear" w:color="auto" w:fill="FFFFFF"/>
        </w:rPr>
        <w:t>”</w:t>
      </w:r>
    </w:p>
    <w:p w14:paraId="5B5A9EE5" w14:textId="49731BD3" w:rsidR="003D0D73" w:rsidRDefault="00C220AE" w:rsidP="00C220AE">
      <w:pPr>
        <w:widowControl w:val="0"/>
        <w:tabs>
          <w:tab w:val="left" w:pos="567"/>
        </w:tabs>
        <w:spacing w:before="480" w:after="480" w:line="480" w:lineRule="auto"/>
        <w:jc w:val="both"/>
        <w:rPr>
          <w:rFonts w:cs="Arial"/>
          <w:bCs/>
          <w:szCs w:val="22"/>
        </w:rPr>
      </w:pPr>
      <w:r>
        <w:rPr>
          <w:rFonts w:cs="Arial"/>
          <w:bCs/>
          <w:szCs w:val="22"/>
        </w:rPr>
        <w:t>[27]</w:t>
      </w:r>
      <w:r>
        <w:rPr>
          <w:rFonts w:cs="Arial"/>
          <w:bCs/>
          <w:szCs w:val="22"/>
        </w:rPr>
        <w:tab/>
      </w:r>
      <w:r w:rsidR="003D0D73">
        <w:rPr>
          <w:rFonts w:cs="Arial"/>
          <w:bCs/>
          <w:szCs w:val="22"/>
        </w:rPr>
        <w:t>Three questions therefore arise in the context of Rule 35(12):</w:t>
      </w:r>
    </w:p>
    <w:p w14:paraId="13D07BCD" w14:textId="454A2B7C" w:rsidR="003D0D73" w:rsidRDefault="00C220AE" w:rsidP="00C220AE">
      <w:pPr>
        <w:widowControl w:val="0"/>
        <w:tabs>
          <w:tab w:val="left" w:pos="1418"/>
        </w:tabs>
        <w:spacing w:before="480" w:after="480" w:line="480" w:lineRule="auto"/>
        <w:ind w:left="1418" w:hanging="851"/>
        <w:jc w:val="both"/>
        <w:rPr>
          <w:rFonts w:cs="Arial"/>
          <w:bCs/>
          <w:szCs w:val="22"/>
        </w:rPr>
      </w:pPr>
      <w:r>
        <w:rPr>
          <w:rFonts w:cs="Arial"/>
          <w:bCs/>
          <w:szCs w:val="22"/>
        </w:rPr>
        <w:t>27.1</w:t>
      </w:r>
      <w:r>
        <w:rPr>
          <w:rFonts w:cs="Arial"/>
          <w:bCs/>
          <w:szCs w:val="22"/>
        </w:rPr>
        <w:tab/>
      </w:r>
      <w:r w:rsidR="003D0D73">
        <w:rPr>
          <w:rFonts w:cs="Arial"/>
          <w:bCs/>
          <w:szCs w:val="22"/>
        </w:rPr>
        <w:t>Are the documents referred to in an affidavit or pleading, either in the body of the document or in an annexure,</w:t>
      </w:r>
    </w:p>
    <w:p w14:paraId="3E8E9348" w14:textId="7F5A465C" w:rsidR="003D0D73" w:rsidRDefault="00C220AE" w:rsidP="00C220AE">
      <w:pPr>
        <w:widowControl w:val="0"/>
        <w:tabs>
          <w:tab w:val="left" w:pos="1418"/>
        </w:tabs>
        <w:spacing w:before="480" w:after="480" w:line="480" w:lineRule="auto"/>
        <w:ind w:left="1418" w:hanging="851"/>
        <w:jc w:val="both"/>
        <w:rPr>
          <w:rFonts w:cs="Arial"/>
          <w:bCs/>
          <w:szCs w:val="22"/>
        </w:rPr>
      </w:pPr>
      <w:r>
        <w:rPr>
          <w:rFonts w:cs="Arial"/>
          <w:bCs/>
          <w:szCs w:val="22"/>
        </w:rPr>
        <w:lastRenderedPageBreak/>
        <w:t>27.2</w:t>
      </w:r>
      <w:r>
        <w:rPr>
          <w:rFonts w:cs="Arial"/>
          <w:bCs/>
          <w:szCs w:val="22"/>
        </w:rPr>
        <w:tab/>
      </w:r>
      <w:r w:rsidR="003D0D73">
        <w:rPr>
          <w:rFonts w:cs="Arial"/>
          <w:bCs/>
          <w:szCs w:val="22"/>
        </w:rPr>
        <w:t>are the documents relevant, and</w:t>
      </w:r>
    </w:p>
    <w:p w14:paraId="7EB4F929" w14:textId="60DFA8C4" w:rsidR="003D0D73" w:rsidRDefault="00C220AE" w:rsidP="00C220AE">
      <w:pPr>
        <w:widowControl w:val="0"/>
        <w:tabs>
          <w:tab w:val="left" w:pos="1418"/>
        </w:tabs>
        <w:spacing w:before="480" w:after="480" w:line="480" w:lineRule="auto"/>
        <w:ind w:left="1418" w:hanging="851"/>
        <w:jc w:val="both"/>
        <w:rPr>
          <w:rFonts w:cs="Arial"/>
          <w:bCs/>
          <w:szCs w:val="22"/>
        </w:rPr>
      </w:pPr>
      <w:r>
        <w:rPr>
          <w:rFonts w:cs="Arial"/>
          <w:bCs/>
          <w:szCs w:val="22"/>
        </w:rPr>
        <w:t>27.3</w:t>
      </w:r>
      <w:r>
        <w:rPr>
          <w:rFonts w:cs="Arial"/>
          <w:bCs/>
          <w:szCs w:val="22"/>
        </w:rPr>
        <w:tab/>
      </w:r>
      <w:r w:rsidR="003D0D73">
        <w:rPr>
          <w:rFonts w:cs="Arial"/>
          <w:bCs/>
          <w:szCs w:val="22"/>
        </w:rPr>
        <w:t>a</w:t>
      </w:r>
      <w:r w:rsidR="003D0D73" w:rsidRPr="00070EBF">
        <w:rPr>
          <w:rFonts w:cs="Arial"/>
          <w:bCs/>
          <w:szCs w:val="22"/>
        </w:rPr>
        <w:t>re the documents privileged?</w:t>
      </w:r>
    </w:p>
    <w:p w14:paraId="20AC5E0F" w14:textId="3E2D09D9" w:rsidR="006F5C06" w:rsidRDefault="00C220AE" w:rsidP="00C220AE">
      <w:pPr>
        <w:widowControl w:val="0"/>
        <w:tabs>
          <w:tab w:val="left" w:pos="567"/>
        </w:tabs>
        <w:spacing w:before="480" w:after="480" w:line="480" w:lineRule="auto"/>
        <w:jc w:val="both"/>
        <w:rPr>
          <w:rFonts w:cs="Arial"/>
          <w:bCs/>
          <w:szCs w:val="22"/>
        </w:rPr>
      </w:pPr>
      <w:r>
        <w:rPr>
          <w:rFonts w:cs="Arial"/>
          <w:bCs/>
          <w:szCs w:val="22"/>
        </w:rPr>
        <w:t>[28]</w:t>
      </w:r>
      <w:r>
        <w:rPr>
          <w:rFonts w:cs="Arial"/>
          <w:bCs/>
          <w:szCs w:val="22"/>
        </w:rPr>
        <w:tab/>
      </w:r>
      <w:r w:rsidR="003D0D73">
        <w:rPr>
          <w:rFonts w:cs="Arial"/>
          <w:bCs/>
          <w:szCs w:val="22"/>
        </w:rPr>
        <w:t>Documents referred to in affidavits and pleadings would often</w:t>
      </w:r>
      <w:r w:rsidR="006F5C06">
        <w:rPr>
          <w:rFonts w:cs="Arial"/>
          <w:bCs/>
          <w:szCs w:val="22"/>
        </w:rPr>
        <w:t xml:space="preserve"> be</w:t>
      </w:r>
      <w:r w:rsidR="003D0D73">
        <w:rPr>
          <w:rFonts w:cs="Arial"/>
          <w:bCs/>
          <w:szCs w:val="22"/>
        </w:rPr>
        <w:t xml:space="preserve"> relevant.</w:t>
      </w:r>
      <w:r w:rsidR="009266FA">
        <w:rPr>
          <w:rFonts w:cs="Arial"/>
          <w:bCs/>
          <w:szCs w:val="22"/>
        </w:rPr>
        <w:t xml:space="preserve"> </w:t>
      </w:r>
      <w:r w:rsidR="003D0D73">
        <w:rPr>
          <w:rFonts w:cs="Arial"/>
          <w:bCs/>
          <w:szCs w:val="22"/>
        </w:rPr>
        <w:t>A party is required in litigation to rely on relevant evidence and irrelevant evidence is inadmissible</w:t>
      </w:r>
      <w:r w:rsidR="00322883">
        <w:rPr>
          <w:rFonts w:cs="Arial"/>
          <w:bCs/>
          <w:szCs w:val="22"/>
        </w:rPr>
        <w:t>.</w:t>
      </w:r>
    </w:p>
    <w:p w14:paraId="7FC78916" w14:textId="0F014126" w:rsidR="003D0D73" w:rsidRDefault="00C220AE" w:rsidP="00C220AE">
      <w:pPr>
        <w:widowControl w:val="0"/>
        <w:tabs>
          <w:tab w:val="left" w:pos="567"/>
        </w:tabs>
        <w:spacing w:before="480" w:after="480" w:line="480" w:lineRule="auto"/>
        <w:jc w:val="both"/>
        <w:rPr>
          <w:rFonts w:cs="Arial"/>
          <w:bCs/>
          <w:szCs w:val="22"/>
        </w:rPr>
      </w:pPr>
      <w:r>
        <w:rPr>
          <w:rFonts w:cs="Arial"/>
          <w:bCs/>
          <w:szCs w:val="22"/>
        </w:rPr>
        <w:t>[29]</w:t>
      </w:r>
      <w:r>
        <w:rPr>
          <w:rFonts w:cs="Arial"/>
          <w:bCs/>
          <w:szCs w:val="22"/>
        </w:rPr>
        <w:tab/>
      </w:r>
      <w:r w:rsidR="003D0D73">
        <w:rPr>
          <w:rFonts w:cs="Arial"/>
          <w:bCs/>
          <w:szCs w:val="22"/>
        </w:rPr>
        <w:t>Relevance is a matter of common sense.</w:t>
      </w:r>
      <w:r w:rsidR="003D0D73">
        <w:rPr>
          <w:rStyle w:val="FootnoteReference"/>
          <w:rFonts w:cs="Arial"/>
          <w:bCs/>
          <w:szCs w:val="22"/>
        </w:rPr>
        <w:footnoteReference w:id="10"/>
      </w:r>
      <w:r w:rsidR="003D0D73">
        <w:rPr>
          <w:rFonts w:cs="Arial"/>
          <w:bCs/>
          <w:szCs w:val="22"/>
        </w:rPr>
        <w:t xml:space="preserve"> </w:t>
      </w:r>
    </w:p>
    <w:p w14:paraId="004D402B" w14:textId="77777777" w:rsidR="003D0D73" w:rsidRDefault="003D0D73" w:rsidP="007656EA">
      <w:pPr>
        <w:widowControl w:val="0"/>
        <w:spacing w:before="480" w:after="480" w:line="480" w:lineRule="auto"/>
        <w:jc w:val="both"/>
        <w:rPr>
          <w:rFonts w:cs="Arial"/>
          <w:bCs/>
          <w:szCs w:val="22"/>
          <w:u w:val="single"/>
        </w:rPr>
      </w:pPr>
    </w:p>
    <w:p w14:paraId="5F944931" w14:textId="56EA946F" w:rsidR="00C1370F" w:rsidRPr="007656EA" w:rsidRDefault="007656EA" w:rsidP="007656EA">
      <w:pPr>
        <w:widowControl w:val="0"/>
        <w:spacing w:before="480" w:after="480" w:line="480" w:lineRule="auto"/>
        <w:jc w:val="both"/>
        <w:rPr>
          <w:rFonts w:cs="Arial"/>
          <w:bCs/>
          <w:szCs w:val="22"/>
          <w:u w:val="single"/>
        </w:rPr>
      </w:pPr>
      <w:r w:rsidRPr="007656EA">
        <w:rPr>
          <w:rFonts w:cs="Arial"/>
          <w:bCs/>
          <w:szCs w:val="22"/>
          <w:u w:val="single"/>
        </w:rPr>
        <w:t>The substance of the application</w:t>
      </w:r>
    </w:p>
    <w:p w14:paraId="30A5817F" w14:textId="640AD7AF" w:rsidR="007656EA" w:rsidRDefault="00C220AE" w:rsidP="00C220AE">
      <w:pPr>
        <w:widowControl w:val="0"/>
        <w:tabs>
          <w:tab w:val="left" w:pos="567"/>
        </w:tabs>
        <w:spacing w:before="480" w:after="480" w:line="480" w:lineRule="auto"/>
        <w:jc w:val="both"/>
        <w:rPr>
          <w:rFonts w:cs="Arial"/>
          <w:bCs/>
          <w:szCs w:val="22"/>
        </w:rPr>
      </w:pPr>
      <w:r>
        <w:rPr>
          <w:rFonts w:cs="Arial"/>
          <w:bCs/>
          <w:szCs w:val="22"/>
        </w:rPr>
        <w:t>[30]</w:t>
      </w:r>
      <w:r>
        <w:rPr>
          <w:rFonts w:cs="Arial"/>
          <w:bCs/>
          <w:szCs w:val="22"/>
        </w:rPr>
        <w:tab/>
      </w:r>
      <w:proofErr w:type="gramStart"/>
      <w:r w:rsidR="007656EA">
        <w:rPr>
          <w:rFonts w:cs="Arial"/>
          <w:bCs/>
          <w:szCs w:val="22"/>
        </w:rPr>
        <w:t>I  now</w:t>
      </w:r>
      <w:proofErr w:type="gramEnd"/>
      <w:r w:rsidR="007656EA">
        <w:rPr>
          <w:rFonts w:cs="Arial"/>
          <w:bCs/>
          <w:szCs w:val="22"/>
        </w:rPr>
        <w:t xml:space="preserve"> deal with the substance of the application, namely the discovery of the documents sought by the surety.</w:t>
      </w:r>
    </w:p>
    <w:p w14:paraId="012B1AAB" w14:textId="11E046DA" w:rsidR="00C40635" w:rsidRDefault="00C220AE" w:rsidP="00C220AE">
      <w:pPr>
        <w:widowControl w:val="0"/>
        <w:tabs>
          <w:tab w:val="left" w:pos="567"/>
        </w:tabs>
        <w:spacing w:before="480" w:after="480" w:line="480" w:lineRule="auto"/>
        <w:jc w:val="both"/>
        <w:rPr>
          <w:rFonts w:cs="Arial"/>
          <w:bCs/>
          <w:szCs w:val="22"/>
        </w:rPr>
      </w:pPr>
      <w:r>
        <w:rPr>
          <w:rFonts w:cs="Arial"/>
          <w:bCs/>
          <w:szCs w:val="22"/>
        </w:rPr>
        <w:t>[31]</w:t>
      </w:r>
      <w:r>
        <w:rPr>
          <w:rFonts w:cs="Arial"/>
          <w:bCs/>
          <w:szCs w:val="22"/>
        </w:rPr>
        <w:tab/>
      </w:r>
      <w:r w:rsidR="00B224B3">
        <w:rPr>
          <w:rFonts w:cs="Arial"/>
          <w:bCs/>
          <w:szCs w:val="22"/>
        </w:rPr>
        <w:t xml:space="preserve">It is so that the surety </w:t>
      </w:r>
      <w:r w:rsidR="00C40635">
        <w:rPr>
          <w:rFonts w:cs="Arial"/>
          <w:bCs/>
          <w:szCs w:val="22"/>
        </w:rPr>
        <w:t xml:space="preserve">stated in an affidavit that his purpose is to inspect the required documents for the purpose of pursuing fraud, perjury and other criminal charges. The statement is not framed with great </w:t>
      </w:r>
      <w:proofErr w:type="gramStart"/>
      <w:r w:rsidR="00C40635">
        <w:rPr>
          <w:rFonts w:cs="Arial"/>
          <w:bCs/>
          <w:szCs w:val="22"/>
        </w:rPr>
        <w:t>accuracy</w:t>
      </w:r>
      <w:proofErr w:type="gramEnd"/>
      <w:r w:rsidR="00C40635">
        <w:rPr>
          <w:rFonts w:cs="Arial"/>
          <w:bCs/>
          <w:szCs w:val="22"/>
        </w:rPr>
        <w:t xml:space="preserve"> and it is not apparent that criminal charges </w:t>
      </w:r>
      <w:r w:rsidR="00C2763B">
        <w:rPr>
          <w:rFonts w:cs="Arial"/>
          <w:bCs/>
          <w:szCs w:val="22"/>
        </w:rPr>
        <w:t xml:space="preserve">were </w:t>
      </w:r>
      <w:r w:rsidR="00C40635">
        <w:rPr>
          <w:rFonts w:cs="Arial"/>
          <w:bCs/>
          <w:szCs w:val="22"/>
        </w:rPr>
        <w:t xml:space="preserve">his only objective. </w:t>
      </w:r>
    </w:p>
    <w:p w14:paraId="6FD6FCBF" w14:textId="5C24FBE4" w:rsidR="00424FDE" w:rsidRDefault="00C220AE" w:rsidP="00C220AE">
      <w:pPr>
        <w:widowControl w:val="0"/>
        <w:tabs>
          <w:tab w:val="left" w:pos="567"/>
        </w:tabs>
        <w:spacing w:before="480" w:after="480" w:line="480" w:lineRule="auto"/>
        <w:jc w:val="both"/>
        <w:rPr>
          <w:rFonts w:cs="Arial"/>
          <w:bCs/>
          <w:szCs w:val="22"/>
        </w:rPr>
      </w:pPr>
      <w:r>
        <w:rPr>
          <w:rFonts w:cs="Arial"/>
          <w:bCs/>
          <w:szCs w:val="22"/>
        </w:rPr>
        <w:t>[32]</w:t>
      </w:r>
      <w:r>
        <w:rPr>
          <w:rFonts w:cs="Arial"/>
          <w:bCs/>
          <w:szCs w:val="22"/>
        </w:rPr>
        <w:tab/>
      </w:r>
      <w:r w:rsidR="00C40635">
        <w:rPr>
          <w:rFonts w:cs="Arial"/>
          <w:bCs/>
          <w:szCs w:val="22"/>
        </w:rPr>
        <w:t xml:space="preserve">Discovery of relevant documents that are not privileged can in my view not be denied </w:t>
      </w:r>
      <w:r w:rsidR="006A30AA">
        <w:rPr>
          <w:rFonts w:cs="Arial"/>
          <w:bCs/>
          <w:szCs w:val="22"/>
        </w:rPr>
        <w:t xml:space="preserve">merely </w:t>
      </w:r>
      <w:r w:rsidR="00C40635">
        <w:rPr>
          <w:rFonts w:cs="Arial"/>
          <w:bCs/>
          <w:szCs w:val="22"/>
        </w:rPr>
        <w:t xml:space="preserve">because a litigant may pursue other legal avenues, and </w:t>
      </w:r>
      <w:r w:rsidR="00C2763B">
        <w:rPr>
          <w:rFonts w:cs="Arial"/>
          <w:bCs/>
          <w:szCs w:val="22"/>
        </w:rPr>
        <w:t>once again the test is that of relevance</w:t>
      </w:r>
      <w:r w:rsidR="006A30AA">
        <w:rPr>
          <w:rFonts w:cs="Arial"/>
          <w:bCs/>
          <w:szCs w:val="22"/>
        </w:rPr>
        <w:t xml:space="preserve"> and of privilege</w:t>
      </w:r>
      <w:r w:rsidR="00C2763B">
        <w:rPr>
          <w:rFonts w:cs="Arial"/>
          <w:bCs/>
          <w:szCs w:val="22"/>
        </w:rPr>
        <w:t>.</w:t>
      </w:r>
      <w:r w:rsidR="006A30AA">
        <w:rPr>
          <w:rStyle w:val="FootnoteReference"/>
          <w:rFonts w:cs="Arial"/>
          <w:bCs/>
          <w:szCs w:val="22"/>
        </w:rPr>
        <w:footnoteReference w:id="11"/>
      </w:r>
    </w:p>
    <w:p w14:paraId="1AFC9886" w14:textId="68B7542C" w:rsidR="005875AE" w:rsidRPr="003D0D73" w:rsidRDefault="00C220AE" w:rsidP="00C220AE">
      <w:pPr>
        <w:widowControl w:val="0"/>
        <w:tabs>
          <w:tab w:val="left" w:pos="567"/>
        </w:tabs>
        <w:spacing w:before="480" w:after="480" w:line="480" w:lineRule="auto"/>
        <w:jc w:val="both"/>
        <w:rPr>
          <w:rFonts w:cs="Arial"/>
          <w:bCs/>
          <w:szCs w:val="22"/>
        </w:rPr>
      </w:pPr>
      <w:r w:rsidRPr="003D0D73">
        <w:rPr>
          <w:rFonts w:cs="Arial"/>
          <w:bCs/>
          <w:szCs w:val="22"/>
        </w:rPr>
        <w:lastRenderedPageBreak/>
        <w:t>[33]</w:t>
      </w:r>
      <w:r w:rsidRPr="003D0D73">
        <w:rPr>
          <w:rFonts w:cs="Arial"/>
          <w:bCs/>
          <w:szCs w:val="22"/>
        </w:rPr>
        <w:tab/>
      </w:r>
      <w:r w:rsidR="00424FDE" w:rsidRPr="003D0D73">
        <w:rPr>
          <w:rFonts w:cs="Arial"/>
          <w:bCs/>
          <w:szCs w:val="22"/>
        </w:rPr>
        <w:t>The affidavit in support of the application to compel discovery in terms of Rule 35(12) was signed by the surety.</w:t>
      </w:r>
      <w:r w:rsidR="003D0D73" w:rsidRPr="003D0D73">
        <w:rPr>
          <w:rFonts w:cs="Arial"/>
          <w:bCs/>
          <w:szCs w:val="22"/>
        </w:rPr>
        <w:t xml:space="preserve"> He </w:t>
      </w:r>
      <w:r w:rsidR="005875AE" w:rsidRPr="003D0D73">
        <w:rPr>
          <w:rFonts w:cs="Arial"/>
          <w:bCs/>
          <w:szCs w:val="22"/>
        </w:rPr>
        <w:t xml:space="preserve">is of the view that the fact that a document is referred to in a pleading or affidavit, without more entitles him to discovery. This is not so – </w:t>
      </w:r>
      <w:r w:rsidR="003D0D73">
        <w:rPr>
          <w:rFonts w:cs="Arial"/>
          <w:bCs/>
          <w:szCs w:val="22"/>
        </w:rPr>
        <w:t xml:space="preserve">as shown above </w:t>
      </w:r>
      <w:r w:rsidR="005875AE" w:rsidRPr="003D0D73">
        <w:rPr>
          <w:rFonts w:cs="Arial"/>
          <w:bCs/>
          <w:szCs w:val="22"/>
        </w:rPr>
        <w:t xml:space="preserve">the document </w:t>
      </w:r>
      <w:proofErr w:type="gramStart"/>
      <w:r w:rsidR="005875AE" w:rsidRPr="003D0D73">
        <w:rPr>
          <w:rFonts w:cs="Arial"/>
          <w:bCs/>
          <w:szCs w:val="22"/>
        </w:rPr>
        <w:t>has to</w:t>
      </w:r>
      <w:proofErr w:type="gramEnd"/>
      <w:r w:rsidR="005875AE" w:rsidRPr="003D0D73">
        <w:rPr>
          <w:rFonts w:cs="Arial"/>
          <w:bCs/>
          <w:szCs w:val="22"/>
        </w:rPr>
        <w:t xml:space="preserve"> be relevant to the dispute between the parties.</w:t>
      </w:r>
    </w:p>
    <w:p w14:paraId="5AEC2187" w14:textId="2C9845B7" w:rsidR="003D0D73" w:rsidRDefault="00C220AE" w:rsidP="00C220AE">
      <w:pPr>
        <w:widowControl w:val="0"/>
        <w:tabs>
          <w:tab w:val="left" w:pos="567"/>
        </w:tabs>
        <w:spacing w:before="480" w:after="480" w:line="480" w:lineRule="auto"/>
        <w:jc w:val="both"/>
        <w:rPr>
          <w:rFonts w:cs="Arial"/>
          <w:bCs/>
          <w:szCs w:val="22"/>
        </w:rPr>
      </w:pPr>
      <w:r>
        <w:rPr>
          <w:rFonts w:cs="Arial"/>
          <w:bCs/>
          <w:szCs w:val="22"/>
        </w:rPr>
        <w:t>[34]</w:t>
      </w:r>
      <w:r>
        <w:rPr>
          <w:rFonts w:cs="Arial"/>
          <w:bCs/>
          <w:szCs w:val="22"/>
        </w:rPr>
        <w:tab/>
      </w:r>
      <w:r w:rsidR="005875AE">
        <w:rPr>
          <w:rFonts w:cs="Arial"/>
          <w:bCs/>
          <w:szCs w:val="22"/>
        </w:rPr>
        <w:t xml:space="preserve">The surety as the sole member of </w:t>
      </w:r>
      <w:proofErr w:type="spellStart"/>
      <w:r w:rsidR="005875AE">
        <w:rPr>
          <w:rFonts w:cs="Arial"/>
          <w:bCs/>
          <w:szCs w:val="22"/>
        </w:rPr>
        <w:t>Northend</w:t>
      </w:r>
      <w:proofErr w:type="spellEnd"/>
      <w:r w:rsidR="005875AE">
        <w:rPr>
          <w:rFonts w:cs="Arial"/>
          <w:bCs/>
          <w:szCs w:val="22"/>
        </w:rPr>
        <w:t xml:space="preserve"> negotiated with the bank when the facility was extended to </w:t>
      </w:r>
      <w:proofErr w:type="spellStart"/>
      <w:r w:rsidR="005875AE">
        <w:rPr>
          <w:rFonts w:cs="Arial"/>
          <w:bCs/>
          <w:szCs w:val="22"/>
        </w:rPr>
        <w:t>Northend</w:t>
      </w:r>
      <w:proofErr w:type="spellEnd"/>
      <w:r w:rsidR="005875AE">
        <w:rPr>
          <w:rFonts w:cs="Arial"/>
          <w:bCs/>
          <w:szCs w:val="22"/>
        </w:rPr>
        <w:t xml:space="preserve">. </w:t>
      </w:r>
      <w:r w:rsidR="003D0D73">
        <w:rPr>
          <w:rFonts w:cs="Arial"/>
          <w:bCs/>
          <w:szCs w:val="22"/>
        </w:rPr>
        <w:t xml:space="preserve">There were negotiations and eventually an agreement was entered into. The document became the record of the transaction and the liability of </w:t>
      </w:r>
      <w:proofErr w:type="spellStart"/>
      <w:r w:rsidR="003D0D73">
        <w:rPr>
          <w:rFonts w:cs="Arial"/>
          <w:bCs/>
          <w:szCs w:val="22"/>
        </w:rPr>
        <w:t>Northend</w:t>
      </w:r>
      <w:proofErr w:type="spellEnd"/>
      <w:r w:rsidR="003D0D73">
        <w:rPr>
          <w:rFonts w:cs="Arial"/>
          <w:bCs/>
          <w:szCs w:val="22"/>
        </w:rPr>
        <w:t xml:space="preserve">, and by extension of the surety, </w:t>
      </w:r>
      <w:r w:rsidR="006A30AA">
        <w:rPr>
          <w:rFonts w:cs="Arial"/>
          <w:bCs/>
          <w:szCs w:val="22"/>
        </w:rPr>
        <w:t>arose</w:t>
      </w:r>
      <w:r w:rsidR="003D0D73">
        <w:rPr>
          <w:rFonts w:cs="Arial"/>
          <w:bCs/>
          <w:szCs w:val="22"/>
        </w:rPr>
        <w:t xml:space="preserve"> out of the agreement.</w:t>
      </w:r>
    </w:p>
    <w:p w14:paraId="19A9C059" w14:textId="4A68ABEB" w:rsidR="005875AE" w:rsidRDefault="00C220AE" w:rsidP="00C220AE">
      <w:pPr>
        <w:widowControl w:val="0"/>
        <w:tabs>
          <w:tab w:val="left" w:pos="567"/>
        </w:tabs>
        <w:spacing w:before="480" w:after="480" w:line="480" w:lineRule="auto"/>
        <w:jc w:val="both"/>
        <w:rPr>
          <w:rFonts w:cs="Arial"/>
          <w:bCs/>
          <w:szCs w:val="22"/>
        </w:rPr>
      </w:pPr>
      <w:r>
        <w:rPr>
          <w:rFonts w:cs="Arial"/>
          <w:bCs/>
          <w:szCs w:val="22"/>
        </w:rPr>
        <w:t>[35]</w:t>
      </w:r>
      <w:r>
        <w:rPr>
          <w:rFonts w:cs="Arial"/>
          <w:bCs/>
          <w:szCs w:val="22"/>
        </w:rPr>
        <w:tab/>
      </w:r>
      <w:r w:rsidR="005875AE">
        <w:rPr>
          <w:rFonts w:cs="Arial"/>
          <w:bCs/>
          <w:szCs w:val="22"/>
        </w:rPr>
        <w:t xml:space="preserve">It is common cause that the National Credit Act is not </w:t>
      </w:r>
      <w:proofErr w:type="gramStart"/>
      <w:r w:rsidR="005875AE">
        <w:rPr>
          <w:rFonts w:cs="Arial"/>
          <w:bCs/>
          <w:szCs w:val="22"/>
        </w:rPr>
        <w:t>applicable</w:t>
      </w:r>
      <w:proofErr w:type="gramEnd"/>
      <w:r w:rsidR="005875AE">
        <w:rPr>
          <w:rFonts w:cs="Arial"/>
          <w:bCs/>
          <w:szCs w:val="22"/>
        </w:rPr>
        <w:t xml:space="preserve"> and the </w:t>
      </w:r>
      <w:r w:rsidR="003D0D73">
        <w:rPr>
          <w:rFonts w:cs="Arial"/>
          <w:bCs/>
          <w:szCs w:val="22"/>
        </w:rPr>
        <w:t>bank did not need to apply the reckless credit provisions of the Act at the time when the agreement was entered into.</w:t>
      </w:r>
      <w:r w:rsidR="005875AE">
        <w:rPr>
          <w:rFonts w:cs="Arial"/>
          <w:bCs/>
          <w:szCs w:val="22"/>
        </w:rPr>
        <w:t xml:space="preserve"> As it is, no relevance is </w:t>
      </w:r>
      <w:r w:rsidR="00C949CC">
        <w:rPr>
          <w:rFonts w:cs="Arial"/>
          <w:bCs/>
          <w:szCs w:val="22"/>
        </w:rPr>
        <w:t xml:space="preserve">shown or even </w:t>
      </w:r>
      <w:proofErr w:type="gramStart"/>
      <w:r w:rsidR="005875AE">
        <w:rPr>
          <w:rFonts w:cs="Arial"/>
          <w:bCs/>
          <w:szCs w:val="22"/>
        </w:rPr>
        <w:t>alleged</w:t>
      </w:r>
      <w:proofErr w:type="gramEnd"/>
      <w:r w:rsidR="005875AE">
        <w:rPr>
          <w:rFonts w:cs="Arial"/>
          <w:bCs/>
          <w:szCs w:val="22"/>
        </w:rPr>
        <w:t xml:space="preserve"> and the</w:t>
      </w:r>
      <w:r w:rsidR="00C949CC">
        <w:rPr>
          <w:rFonts w:cs="Arial"/>
          <w:bCs/>
          <w:szCs w:val="22"/>
        </w:rPr>
        <w:t xml:space="preserve"> </w:t>
      </w:r>
      <w:r w:rsidR="005875AE">
        <w:rPr>
          <w:rFonts w:cs="Arial"/>
          <w:bCs/>
          <w:szCs w:val="22"/>
        </w:rPr>
        <w:t xml:space="preserve">documents </w:t>
      </w:r>
      <w:r w:rsidR="00C949CC">
        <w:rPr>
          <w:rFonts w:cs="Arial"/>
          <w:bCs/>
          <w:szCs w:val="22"/>
        </w:rPr>
        <w:t xml:space="preserve">listed below </w:t>
      </w:r>
      <w:r w:rsidR="005875AE">
        <w:rPr>
          <w:rFonts w:cs="Arial"/>
          <w:bCs/>
          <w:szCs w:val="22"/>
        </w:rPr>
        <w:t>have no relevance</w:t>
      </w:r>
      <w:r w:rsidR="00C949CC">
        <w:rPr>
          <w:rFonts w:cs="Arial"/>
          <w:bCs/>
          <w:szCs w:val="22"/>
        </w:rPr>
        <w:t xml:space="preserve"> to the application</w:t>
      </w:r>
      <w:r w:rsidR="005875AE">
        <w:rPr>
          <w:rFonts w:cs="Arial"/>
          <w:bCs/>
          <w:szCs w:val="22"/>
        </w:rPr>
        <w:t>. These documents are:</w:t>
      </w:r>
    </w:p>
    <w:p w14:paraId="3E211B21" w14:textId="1BB002D0" w:rsidR="00C36742" w:rsidRDefault="00C220AE" w:rsidP="00C220AE">
      <w:pPr>
        <w:widowControl w:val="0"/>
        <w:tabs>
          <w:tab w:val="left" w:pos="1418"/>
        </w:tabs>
        <w:spacing w:before="480" w:after="480" w:line="480" w:lineRule="auto"/>
        <w:ind w:left="1418" w:hanging="851"/>
        <w:jc w:val="both"/>
        <w:rPr>
          <w:rFonts w:cs="Arial"/>
          <w:bCs/>
          <w:szCs w:val="22"/>
        </w:rPr>
      </w:pPr>
      <w:r>
        <w:rPr>
          <w:rFonts w:cs="Arial"/>
          <w:bCs/>
          <w:szCs w:val="22"/>
        </w:rPr>
        <w:t>35.1</w:t>
      </w:r>
      <w:r>
        <w:rPr>
          <w:rFonts w:cs="Arial"/>
          <w:bCs/>
          <w:szCs w:val="22"/>
        </w:rPr>
        <w:tab/>
      </w:r>
      <w:r w:rsidR="00706E4E">
        <w:rPr>
          <w:rFonts w:cs="Arial"/>
          <w:bCs/>
          <w:szCs w:val="22"/>
        </w:rPr>
        <w:t xml:space="preserve">The certificate from </w:t>
      </w:r>
      <w:proofErr w:type="spellStart"/>
      <w:r w:rsidR="00706E4E">
        <w:rPr>
          <w:rFonts w:cs="Arial"/>
          <w:bCs/>
          <w:szCs w:val="22"/>
        </w:rPr>
        <w:t>Northend’s</w:t>
      </w:r>
      <w:proofErr w:type="spellEnd"/>
      <w:r w:rsidR="00706E4E">
        <w:rPr>
          <w:rFonts w:cs="Arial"/>
          <w:bCs/>
          <w:szCs w:val="22"/>
        </w:rPr>
        <w:t xml:space="preserve"> auditors referred to in clause 5.7 of annexure “DF2” to the founding affidavit referred to in paragraph </w:t>
      </w:r>
      <w:proofErr w:type="gramStart"/>
      <w:r w:rsidR="00706E4E">
        <w:rPr>
          <w:rFonts w:cs="Arial"/>
          <w:bCs/>
          <w:szCs w:val="22"/>
        </w:rPr>
        <w:t>11;</w:t>
      </w:r>
      <w:proofErr w:type="gramEnd"/>
    </w:p>
    <w:p w14:paraId="605EC406" w14:textId="76A10E56" w:rsidR="00706E4E" w:rsidRDefault="00C220AE" w:rsidP="00C220AE">
      <w:pPr>
        <w:widowControl w:val="0"/>
        <w:tabs>
          <w:tab w:val="left" w:pos="1418"/>
        </w:tabs>
        <w:spacing w:before="480" w:after="480" w:line="480" w:lineRule="auto"/>
        <w:ind w:left="1418" w:hanging="851"/>
        <w:jc w:val="both"/>
        <w:rPr>
          <w:rFonts w:cs="Arial"/>
          <w:bCs/>
          <w:szCs w:val="22"/>
        </w:rPr>
      </w:pPr>
      <w:r>
        <w:rPr>
          <w:rFonts w:cs="Arial"/>
          <w:bCs/>
          <w:szCs w:val="22"/>
        </w:rPr>
        <w:t>35.2</w:t>
      </w:r>
      <w:r>
        <w:rPr>
          <w:rFonts w:cs="Arial"/>
          <w:bCs/>
          <w:szCs w:val="22"/>
        </w:rPr>
        <w:tab/>
      </w:r>
      <w:r w:rsidR="00706E4E">
        <w:rPr>
          <w:rFonts w:cs="Arial"/>
          <w:bCs/>
          <w:szCs w:val="22"/>
        </w:rPr>
        <w:t xml:space="preserve">Signed and audited financial statements referred to in clause 18.1 and 19.2.3.1 of annexure “DF3” to the founding affidavit referred to in paragraph </w:t>
      </w:r>
      <w:proofErr w:type="gramStart"/>
      <w:r w:rsidR="00706E4E">
        <w:rPr>
          <w:rFonts w:cs="Arial"/>
          <w:bCs/>
          <w:szCs w:val="22"/>
        </w:rPr>
        <w:t>13;</w:t>
      </w:r>
      <w:proofErr w:type="gramEnd"/>
    </w:p>
    <w:p w14:paraId="6E45E927" w14:textId="5EFEF8F1" w:rsidR="00706E4E" w:rsidRDefault="00C220AE" w:rsidP="00C220AE">
      <w:pPr>
        <w:widowControl w:val="0"/>
        <w:tabs>
          <w:tab w:val="left" w:pos="1418"/>
        </w:tabs>
        <w:spacing w:before="480" w:after="480" w:line="480" w:lineRule="auto"/>
        <w:ind w:left="1418" w:hanging="851"/>
        <w:jc w:val="both"/>
        <w:rPr>
          <w:rFonts w:cs="Arial"/>
          <w:bCs/>
          <w:szCs w:val="22"/>
        </w:rPr>
      </w:pPr>
      <w:r>
        <w:rPr>
          <w:rFonts w:cs="Arial"/>
          <w:bCs/>
          <w:szCs w:val="22"/>
        </w:rPr>
        <w:t>35.3</w:t>
      </w:r>
      <w:r>
        <w:rPr>
          <w:rFonts w:cs="Arial"/>
          <w:bCs/>
          <w:szCs w:val="22"/>
        </w:rPr>
        <w:tab/>
      </w:r>
      <w:r w:rsidR="00706E4E">
        <w:rPr>
          <w:rFonts w:cs="Arial"/>
          <w:bCs/>
          <w:szCs w:val="22"/>
        </w:rPr>
        <w:t xml:space="preserve">Copies of </w:t>
      </w:r>
      <w:proofErr w:type="spellStart"/>
      <w:r w:rsidR="00706E4E">
        <w:rPr>
          <w:rFonts w:cs="Arial"/>
          <w:bCs/>
          <w:szCs w:val="22"/>
        </w:rPr>
        <w:t>Northend’s</w:t>
      </w:r>
      <w:proofErr w:type="spellEnd"/>
      <w:r w:rsidR="00706E4E">
        <w:rPr>
          <w:rFonts w:cs="Arial"/>
          <w:bCs/>
          <w:szCs w:val="22"/>
        </w:rPr>
        <w:t xml:space="preserve"> CK1 and CK2 documents referred to in clause </w:t>
      </w:r>
      <w:proofErr w:type="gramStart"/>
      <w:r w:rsidR="00706E4E">
        <w:rPr>
          <w:rFonts w:cs="Arial"/>
          <w:bCs/>
          <w:szCs w:val="22"/>
        </w:rPr>
        <w:t>19.3..</w:t>
      </w:r>
      <w:proofErr w:type="gramEnd"/>
      <w:r w:rsidR="00706E4E">
        <w:rPr>
          <w:rFonts w:cs="Arial"/>
          <w:bCs/>
          <w:szCs w:val="22"/>
        </w:rPr>
        <w:t xml:space="preserve">2.1 of </w:t>
      </w:r>
      <w:r w:rsidR="00074F4A">
        <w:rPr>
          <w:rFonts w:cs="Arial"/>
          <w:bCs/>
          <w:szCs w:val="22"/>
        </w:rPr>
        <w:t>annexure “DF3” to the founding affidavit referred to in paragraph 13;</w:t>
      </w:r>
    </w:p>
    <w:p w14:paraId="38D76DF9" w14:textId="5BFB9E91" w:rsidR="00D70131" w:rsidRDefault="00C220AE" w:rsidP="00C220AE">
      <w:pPr>
        <w:widowControl w:val="0"/>
        <w:tabs>
          <w:tab w:val="left" w:pos="1418"/>
        </w:tabs>
        <w:spacing w:before="480" w:after="480" w:line="480" w:lineRule="auto"/>
        <w:ind w:left="1418" w:hanging="851"/>
        <w:jc w:val="both"/>
        <w:rPr>
          <w:rFonts w:cs="Arial"/>
          <w:bCs/>
          <w:szCs w:val="22"/>
        </w:rPr>
      </w:pPr>
      <w:r>
        <w:rPr>
          <w:rFonts w:cs="Arial"/>
          <w:bCs/>
          <w:szCs w:val="22"/>
        </w:rPr>
        <w:t>35.4</w:t>
      </w:r>
      <w:r>
        <w:rPr>
          <w:rFonts w:cs="Arial"/>
          <w:bCs/>
          <w:szCs w:val="22"/>
        </w:rPr>
        <w:tab/>
      </w:r>
      <w:r w:rsidR="00D70131">
        <w:rPr>
          <w:rFonts w:cs="Arial"/>
          <w:bCs/>
          <w:szCs w:val="22"/>
        </w:rPr>
        <w:t xml:space="preserve">The written confirmation from </w:t>
      </w:r>
      <w:proofErr w:type="spellStart"/>
      <w:r w:rsidR="00D70131">
        <w:rPr>
          <w:rFonts w:cs="Arial"/>
          <w:bCs/>
          <w:szCs w:val="22"/>
        </w:rPr>
        <w:t>Northend’s</w:t>
      </w:r>
      <w:proofErr w:type="spellEnd"/>
      <w:r w:rsidR="00D70131">
        <w:rPr>
          <w:rFonts w:cs="Arial"/>
          <w:bCs/>
          <w:szCs w:val="22"/>
        </w:rPr>
        <w:t xml:space="preserve"> auditors referred to in clause 19.3.2.1 of annexure “DF3” to the founding affidavit referred to in </w:t>
      </w:r>
      <w:r w:rsidR="00D70131">
        <w:rPr>
          <w:rFonts w:cs="Arial"/>
          <w:bCs/>
          <w:szCs w:val="22"/>
        </w:rPr>
        <w:lastRenderedPageBreak/>
        <w:t xml:space="preserve">paragraph </w:t>
      </w:r>
      <w:proofErr w:type="gramStart"/>
      <w:r w:rsidR="00D70131">
        <w:rPr>
          <w:rFonts w:cs="Arial"/>
          <w:bCs/>
          <w:szCs w:val="22"/>
        </w:rPr>
        <w:t>13;</w:t>
      </w:r>
      <w:proofErr w:type="gramEnd"/>
    </w:p>
    <w:p w14:paraId="0EED51CC" w14:textId="103BAA29" w:rsidR="00AE5F90" w:rsidRDefault="00C220AE" w:rsidP="00C220AE">
      <w:pPr>
        <w:widowControl w:val="0"/>
        <w:tabs>
          <w:tab w:val="left" w:pos="1418"/>
        </w:tabs>
        <w:spacing w:before="480" w:after="480" w:line="480" w:lineRule="auto"/>
        <w:ind w:left="1418" w:hanging="851"/>
        <w:jc w:val="both"/>
        <w:rPr>
          <w:rFonts w:cs="Arial"/>
          <w:bCs/>
          <w:szCs w:val="22"/>
        </w:rPr>
      </w:pPr>
      <w:r>
        <w:rPr>
          <w:rFonts w:cs="Arial"/>
          <w:bCs/>
          <w:szCs w:val="22"/>
        </w:rPr>
        <w:t>35.5</w:t>
      </w:r>
      <w:r>
        <w:rPr>
          <w:rFonts w:cs="Arial"/>
          <w:bCs/>
          <w:szCs w:val="22"/>
        </w:rPr>
        <w:tab/>
      </w:r>
      <w:r w:rsidR="00A61C7B">
        <w:rPr>
          <w:rFonts w:cs="Arial"/>
          <w:bCs/>
          <w:szCs w:val="22"/>
        </w:rPr>
        <w:t xml:space="preserve">The audited financial statements for the year ending February 2017 referred to in paragraph 14 of the replying affidavit and </w:t>
      </w:r>
      <w:r w:rsidR="000D1F6D">
        <w:rPr>
          <w:rFonts w:cs="Arial"/>
          <w:bCs/>
          <w:szCs w:val="22"/>
        </w:rPr>
        <w:t>annexure “</w:t>
      </w:r>
      <w:r w:rsidR="00A61C7B">
        <w:rPr>
          <w:rFonts w:cs="Arial"/>
          <w:bCs/>
          <w:szCs w:val="22"/>
        </w:rPr>
        <w:t>DFR5</w:t>
      </w:r>
      <w:proofErr w:type="gramStart"/>
      <w:r w:rsidR="000D1F6D">
        <w:rPr>
          <w:rFonts w:cs="Arial"/>
          <w:bCs/>
          <w:szCs w:val="22"/>
        </w:rPr>
        <w:t>”</w:t>
      </w:r>
      <w:r w:rsidR="00A61C7B">
        <w:rPr>
          <w:rFonts w:cs="Arial"/>
          <w:bCs/>
          <w:szCs w:val="22"/>
        </w:rPr>
        <w:t>;</w:t>
      </w:r>
      <w:proofErr w:type="gramEnd"/>
    </w:p>
    <w:p w14:paraId="4E0C3D29" w14:textId="70B2A39D" w:rsidR="00C7290C" w:rsidRDefault="00C220AE" w:rsidP="00C220AE">
      <w:pPr>
        <w:widowControl w:val="0"/>
        <w:tabs>
          <w:tab w:val="left" w:pos="1418"/>
        </w:tabs>
        <w:spacing w:before="480" w:after="480" w:line="480" w:lineRule="auto"/>
        <w:ind w:left="1418" w:hanging="851"/>
        <w:jc w:val="both"/>
        <w:rPr>
          <w:rFonts w:cs="Arial"/>
          <w:bCs/>
          <w:szCs w:val="22"/>
        </w:rPr>
      </w:pPr>
      <w:r>
        <w:rPr>
          <w:rFonts w:cs="Arial"/>
          <w:bCs/>
          <w:szCs w:val="22"/>
        </w:rPr>
        <w:t>35.6</w:t>
      </w:r>
      <w:r>
        <w:rPr>
          <w:rFonts w:cs="Arial"/>
          <w:bCs/>
          <w:szCs w:val="22"/>
        </w:rPr>
        <w:tab/>
      </w:r>
      <w:r w:rsidR="00C7290C">
        <w:rPr>
          <w:rFonts w:cs="Arial"/>
          <w:bCs/>
          <w:szCs w:val="22"/>
        </w:rPr>
        <w:t xml:space="preserve">The motivation to the bank’s credit department referred to in paragraph 18 of the replying </w:t>
      </w:r>
      <w:proofErr w:type="gramStart"/>
      <w:r w:rsidR="00C7290C">
        <w:rPr>
          <w:rFonts w:cs="Arial"/>
          <w:bCs/>
          <w:szCs w:val="22"/>
        </w:rPr>
        <w:t>affidavit;</w:t>
      </w:r>
      <w:proofErr w:type="gramEnd"/>
    </w:p>
    <w:p w14:paraId="3C059A87" w14:textId="757A5242" w:rsidR="005875AE" w:rsidRDefault="00C220AE" w:rsidP="00C220AE">
      <w:pPr>
        <w:widowControl w:val="0"/>
        <w:tabs>
          <w:tab w:val="left" w:pos="1418"/>
        </w:tabs>
        <w:spacing w:before="480" w:after="480" w:line="480" w:lineRule="auto"/>
        <w:ind w:left="1418" w:hanging="851"/>
        <w:jc w:val="both"/>
        <w:rPr>
          <w:rFonts w:cs="Arial"/>
          <w:bCs/>
          <w:szCs w:val="22"/>
        </w:rPr>
      </w:pPr>
      <w:r>
        <w:rPr>
          <w:rFonts w:cs="Arial"/>
          <w:bCs/>
          <w:szCs w:val="22"/>
        </w:rPr>
        <w:t>35.7</w:t>
      </w:r>
      <w:r>
        <w:rPr>
          <w:rFonts w:cs="Arial"/>
          <w:bCs/>
          <w:szCs w:val="22"/>
        </w:rPr>
        <w:tab/>
      </w:r>
      <w:r w:rsidR="005875AE">
        <w:rPr>
          <w:rFonts w:cs="Arial"/>
          <w:bCs/>
          <w:szCs w:val="22"/>
        </w:rPr>
        <w:t xml:space="preserve">The lever arch file referred to in paragraph 13 of the replying </w:t>
      </w:r>
      <w:proofErr w:type="gramStart"/>
      <w:r w:rsidR="005875AE">
        <w:rPr>
          <w:rFonts w:cs="Arial"/>
          <w:bCs/>
          <w:szCs w:val="22"/>
        </w:rPr>
        <w:t>affidavit;</w:t>
      </w:r>
      <w:proofErr w:type="gramEnd"/>
    </w:p>
    <w:p w14:paraId="7E63EC16" w14:textId="01675D7E" w:rsidR="0054492E" w:rsidRDefault="00C220AE" w:rsidP="00C220AE">
      <w:pPr>
        <w:widowControl w:val="0"/>
        <w:tabs>
          <w:tab w:val="left" w:pos="1418"/>
        </w:tabs>
        <w:spacing w:before="480" w:after="480" w:line="480" w:lineRule="auto"/>
        <w:ind w:left="1418" w:hanging="851"/>
        <w:jc w:val="both"/>
        <w:rPr>
          <w:rFonts w:cs="Arial"/>
          <w:bCs/>
          <w:szCs w:val="22"/>
        </w:rPr>
      </w:pPr>
      <w:r>
        <w:rPr>
          <w:rFonts w:cs="Arial"/>
          <w:bCs/>
          <w:szCs w:val="22"/>
        </w:rPr>
        <w:t>35.8</w:t>
      </w:r>
      <w:r>
        <w:rPr>
          <w:rFonts w:cs="Arial"/>
          <w:bCs/>
          <w:szCs w:val="22"/>
        </w:rPr>
        <w:tab/>
      </w:r>
      <w:r w:rsidR="0054492E">
        <w:rPr>
          <w:rFonts w:cs="Arial"/>
          <w:bCs/>
          <w:szCs w:val="22"/>
        </w:rPr>
        <w:t>The surety’s personal balance sheet referred to in paragraph 18.11 of the replying affidavi</w:t>
      </w:r>
      <w:r w:rsidR="00CC66F8">
        <w:rPr>
          <w:rFonts w:cs="Arial"/>
          <w:bCs/>
          <w:szCs w:val="22"/>
        </w:rPr>
        <w:t>t.</w:t>
      </w:r>
    </w:p>
    <w:p w14:paraId="56CA5C83" w14:textId="7AA75B52" w:rsidR="00517634" w:rsidRDefault="00C220AE" w:rsidP="00C220AE">
      <w:pPr>
        <w:widowControl w:val="0"/>
        <w:tabs>
          <w:tab w:val="left" w:pos="567"/>
        </w:tabs>
        <w:spacing w:before="480" w:after="480" w:line="480" w:lineRule="auto"/>
        <w:jc w:val="both"/>
        <w:rPr>
          <w:rFonts w:cs="Arial"/>
          <w:bCs/>
          <w:szCs w:val="22"/>
        </w:rPr>
      </w:pPr>
      <w:r>
        <w:rPr>
          <w:rFonts w:cs="Arial"/>
          <w:bCs/>
          <w:szCs w:val="22"/>
        </w:rPr>
        <w:t>[36]</w:t>
      </w:r>
      <w:r>
        <w:rPr>
          <w:rFonts w:cs="Arial"/>
          <w:bCs/>
          <w:szCs w:val="22"/>
        </w:rPr>
        <w:tab/>
      </w:r>
      <w:r w:rsidR="00517634">
        <w:rPr>
          <w:rFonts w:cs="Arial"/>
          <w:bCs/>
          <w:szCs w:val="22"/>
        </w:rPr>
        <w:t xml:space="preserve">The surety </w:t>
      </w:r>
      <w:r w:rsidR="00C949CC">
        <w:rPr>
          <w:rFonts w:cs="Arial"/>
          <w:bCs/>
          <w:szCs w:val="22"/>
        </w:rPr>
        <w:t xml:space="preserve">also </w:t>
      </w:r>
      <w:r w:rsidR="00517634">
        <w:rPr>
          <w:rFonts w:cs="Arial"/>
          <w:bCs/>
          <w:szCs w:val="22"/>
        </w:rPr>
        <w:t>requires discovery of certain documents that are, in fact</w:t>
      </w:r>
      <w:r w:rsidR="00FC183C">
        <w:rPr>
          <w:rFonts w:cs="Arial"/>
          <w:bCs/>
          <w:szCs w:val="22"/>
        </w:rPr>
        <w:t>,</w:t>
      </w:r>
      <w:r w:rsidR="00517634">
        <w:rPr>
          <w:rFonts w:cs="Arial"/>
          <w:bCs/>
          <w:szCs w:val="22"/>
        </w:rPr>
        <w:t xml:space="preserve"> not referred to in the bank’s founding affidavit</w:t>
      </w:r>
      <w:r w:rsidR="00AE5F90">
        <w:rPr>
          <w:rFonts w:cs="Arial"/>
          <w:bCs/>
          <w:szCs w:val="22"/>
        </w:rPr>
        <w:t xml:space="preserve"> or </w:t>
      </w:r>
      <w:proofErr w:type="gramStart"/>
      <w:r w:rsidR="00AE5F90">
        <w:rPr>
          <w:rFonts w:cs="Arial"/>
          <w:bCs/>
          <w:szCs w:val="22"/>
        </w:rPr>
        <w:t>replying</w:t>
      </w:r>
      <w:proofErr w:type="gramEnd"/>
      <w:r w:rsidR="00AE5F90">
        <w:rPr>
          <w:rFonts w:cs="Arial"/>
          <w:bCs/>
          <w:szCs w:val="22"/>
        </w:rPr>
        <w:t xml:space="preserve"> affidavit</w:t>
      </w:r>
      <w:r w:rsidR="00517634">
        <w:rPr>
          <w:rFonts w:cs="Arial"/>
          <w:bCs/>
          <w:szCs w:val="22"/>
        </w:rPr>
        <w:t xml:space="preserve"> as alleged:</w:t>
      </w:r>
    </w:p>
    <w:p w14:paraId="770897FC" w14:textId="76281480" w:rsidR="00517634" w:rsidRPr="00074F4A" w:rsidRDefault="00C220AE" w:rsidP="00C220AE">
      <w:pPr>
        <w:widowControl w:val="0"/>
        <w:tabs>
          <w:tab w:val="left" w:pos="1418"/>
        </w:tabs>
        <w:spacing w:before="480" w:after="480" w:line="480" w:lineRule="auto"/>
        <w:ind w:left="1418" w:hanging="851"/>
        <w:jc w:val="both"/>
        <w:rPr>
          <w:rFonts w:cs="Arial"/>
          <w:bCs/>
          <w:szCs w:val="22"/>
        </w:rPr>
      </w:pPr>
      <w:r w:rsidRPr="00074F4A">
        <w:rPr>
          <w:rFonts w:cs="Arial"/>
          <w:bCs/>
          <w:szCs w:val="22"/>
        </w:rPr>
        <w:t>36.1</w:t>
      </w:r>
      <w:r w:rsidRPr="00074F4A">
        <w:rPr>
          <w:rFonts w:cs="Arial"/>
          <w:bCs/>
          <w:szCs w:val="22"/>
        </w:rPr>
        <w:tab/>
      </w:r>
      <w:r w:rsidR="00517634" w:rsidRPr="00074F4A">
        <w:rPr>
          <w:rFonts w:cs="Arial"/>
          <w:bCs/>
          <w:szCs w:val="22"/>
        </w:rPr>
        <w:t>There is no loan application form referred to in paragraph 3</w:t>
      </w:r>
      <w:r w:rsidR="00074F4A" w:rsidRPr="00074F4A">
        <w:rPr>
          <w:rFonts w:cs="Arial"/>
          <w:bCs/>
          <w:szCs w:val="22"/>
        </w:rPr>
        <w:t xml:space="preserve"> </w:t>
      </w:r>
      <w:r w:rsidR="00517634" w:rsidRPr="00074F4A">
        <w:rPr>
          <w:rFonts w:cs="Arial"/>
          <w:bCs/>
          <w:szCs w:val="22"/>
        </w:rPr>
        <w:t>of the founding a</w:t>
      </w:r>
      <w:r w:rsidR="00074F4A">
        <w:rPr>
          <w:rFonts w:cs="Arial"/>
          <w:bCs/>
          <w:szCs w:val="22"/>
        </w:rPr>
        <w:t>ffidavit.</w:t>
      </w:r>
      <w:r w:rsidR="00CC66F8">
        <w:rPr>
          <w:rFonts w:cs="Arial"/>
          <w:bCs/>
          <w:szCs w:val="22"/>
        </w:rPr>
        <w:t xml:space="preserve"> (There is a facility agreement that is referred to in paragraph 11 and that is attached to the founding affidavit.)</w:t>
      </w:r>
    </w:p>
    <w:p w14:paraId="4F676C6B" w14:textId="7DDBD930" w:rsidR="00DB3DA4" w:rsidRDefault="00C220AE" w:rsidP="00C220AE">
      <w:pPr>
        <w:widowControl w:val="0"/>
        <w:tabs>
          <w:tab w:val="left" w:pos="1418"/>
        </w:tabs>
        <w:spacing w:before="480" w:after="480" w:line="480" w:lineRule="auto"/>
        <w:ind w:left="1418" w:hanging="851"/>
        <w:jc w:val="both"/>
        <w:rPr>
          <w:rFonts w:cs="Arial"/>
          <w:bCs/>
          <w:szCs w:val="22"/>
        </w:rPr>
      </w:pPr>
      <w:r>
        <w:rPr>
          <w:rFonts w:cs="Arial"/>
          <w:bCs/>
          <w:szCs w:val="22"/>
        </w:rPr>
        <w:t>36.2</w:t>
      </w:r>
      <w:r>
        <w:rPr>
          <w:rFonts w:cs="Arial"/>
          <w:bCs/>
          <w:szCs w:val="22"/>
        </w:rPr>
        <w:tab/>
      </w:r>
      <w:r w:rsidR="00DB3DA4">
        <w:rPr>
          <w:rFonts w:cs="Arial"/>
          <w:bCs/>
          <w:szCs w:val="22"/>
        </w:rPr>
        <w:t xml:space="preserve">Commission documents and payments from the bank to Reinecke referred to in paragraph 7.6 of the replying </w:t>
      </w:r>
      <w:proofErr w:type="gramStart"/>
      <w:r w:rsidR="00DB3DA4">
        <w:rPr>
          <w:rFonts w:cs="Arial"/>
          <w:bCs/>
          <w:szCs w:val="22"/>
        </w:rPr>
        <w:t>affidavit</w:t>
      </w:r>
      <w:r w:rsidR="0054492E">
        <w:rPr>
          <w:rFonts w:cs="Arial"/>
          <w:bCs/>
          <w:szCs w:val="22"/>
        </w:rPr>
        <w:t>;</w:t>
      </w:r>
      <w:proofErr w:type="gramEnd"/>
    </w:p>
    <w:p w14:paraId="20389295" w14:textId="1583D700" w:rsidR="0054492E" w:rsidRDefault="00C220AE" w:rsidP="00C220AE">
      <w:pPr>
        <w:widowControl w:val="0"/>
        <w:tabs>
          <w:tab w:val="left" w:pos="1418"/>
        </w:tabs>
        <w:spacing w:before="480" w:after="480" w:line="480" w:lineRule="auto"/>
        <w:ind w:left="1418" w:hanging="851"/>
        <w:jc w:val="both"/>
        <w:rPr>
          <w:rFonts w:cs="Arial"/>
          <w:bCs/>
          <w:szCs w:val="22"/>
        </w:rPr>
      </w:pPr>
      <w:r>
        <w:rPr>
          <w:rFonts w:cs="Arial"/>
          <w:bCs/>
          <w:szCs w:val="22"/>
        </w:rPr>
        <w:t>36.3</w:t>
      </w:r>
      <w:r>
        <w:rPr>
          <w:rFonts w:cs="Arial"/>
          <w:bCs/>
          <w:szCs w:val="22"/>
        </w:rPr>
        <w:tab/>
      </w:r>
      <w:r w:rsidR="0054492E">
        <w:rPr>
          <w:rFonts w:cs="Arial"/>
          <w:bCs/>
          <w:szCs w:val="22"/>
        </w:rPr>
        <w:t xml:space="preserve">The decision to grant a credit facility on the terms set out in annexure “DF2” to the founding affidavit as referred to in paragraph 20 of the replying </w:t>
      </w:r>
      <w:proofErr w:type="gramStart"/>
      <w:r w:rsidR="0054492E">
        <w:rPr>
          <w:rFonts w:cs="Arial"/>
          <w:bCs/>
          <w:szCs w:val="22"/>
        </w:rPr>
        <w:t>affidavit;</w:t>
      </w:r>
      <w:proofErr w:type="gramEnd"/>
    </w:p>
    <w:p w14:paraId="416822D1" w14:textId="01DCFA88" w:rsidR="00E80D1F" w:rsidRDefault="00C220AE" w:rsidP="00C220AE">
      <w:pPr>
        <w:widowControl w:val="0"/>
        <w:tabs>
          <w:tab w:val="left" w:pos="1418"/>
        </w:tabs>
        <w:spacing w:before="480" w:after="480" w:line="480" w:lineRule="auto"/>
        <w:ind w:left="1418" w:hanging="851"/>
        <w:jc w:val="both"/>
        <w:rPr>
          <w:rFonts w:cs="Arial"/>
          <w:bCs/>
          <w:szCs w:val="22"/>
        </w:rPr>
      </w:pPr>
      <w:r>
        <w:rPr>
          <w:rFonts w:cs="Arial"/>
          <w:bCs/>
          <w:szCs w:val="22"/>
        </w:rPr>
        <w:t>36.4</w:t>
      </w:r>
      <w:r>
        <w:rPr>
          <w:rFonts w:cs="Arial"/>
          <w:bCs/>
          <w:szCs w:val="22"/>
        </w:rPr>
        <w:tab/>
      </w:r>
      <w:r w:rsidR="00E80D1F">
        <w:rPr>
          <w:rFonts w:cs="Arial"/>
          <w:bCs/>
          <w:szCs w:val="22"/>
        </w:rPr>
        <w:t xml:space="preserve">There is no document entitled ‘Structured loan application’ referred to in </w:t>
      </w:r>
      <w:r w:rsidR="00E80D1F">
        <w:rPr>
          <w:rFonts w:cs="Arial"/>
          <w:bCs/>
          <w:szCs w:val="22"/>
        </w:rPr>
        <w:lastRenderedPageBreak/>
        <w:t xml:space="preserve">paragraph 21.1 and </w:t>
      </w:r>
      <w:r w:rsidR="00CC66F8">
        <w:rPr>
          <w:rFonts w:cs="Arial"/>
          <w:bCs/>
          <w:szCs w:val="22"/>
        </w:rPr>
        <w:t xml:space="preserve">the relevant letter is </w:t>
      </w:r>
      <w:r w:rsidR="00E80D1F">
        <w:rPr>
          <w:rFonts w:cs="Arial"/>
          <w:bCs/>
          <w:szCs w:val="22"/>
        </w:rPr>
        <w:t xml:space="preserve">annexure “DFR7” of the replying </w:t>
      </w:r>
      <w:proofErr w:type="gramStart"/>
      <w:r w:rsidR="00E80D1F">
        <w:rPr>
          <w:rFonts w:cs="Arial"/>
          <w:bCs/>
          <w:szCs w:val="22"/>
        </w:rPr>
        <w:t>affidavit;</w:t>
      </w:r>
      <w:proofErr w:type="gramEnd"/>
    </w:p>
    <w:p w14:paraId="5A5FEFB0" w14:textId="36374849" w:rsidR="00E80D1F" w:rsidRDefault="00C220AE" w:rsidP="00C220AE">
      <w:pPr>
        <w:widowControl w:val="0"/>
        <w:tabs>
          <w:tab w:val="left" w:pos="1418"/>
        </w:tabs>
        <w:spacing w:before="480" w:after="480" w:line="480" w:lineRule="auto"/>
        <w:ind w:left="1418" w:hanging="851"/>
        <w:jc w:val="both"/>
        <w:rPr>
          <w:rFonts w:cs="Arial"/>
          <w:bCs/>
          <w:szCs w:val="22"/>
        </w:rPr>
      </w:pPr>
      <w:r>
        <w:rPr>
          <w:rFonts w:cs="Arial"/>
          <w:bCs/>
          <w:szCs w:val="22"/>
        </w:rPr>
        <w:t>36.5</w:t>
      </w:r>
      <w:r>
        <w:rPr>
          <w:rFonts w:cs="Arial"/>
          <w:bCs/>
          <w:szCs w:val="22"/>
        </w:rPr>
        <w:tab/>
      </w:r>
      <w:r w:rsidR="00E80D1F">
        <w:rPr>
          <w:rFonts w:cs="Arial"/>
          <w:bCs/>
          <w:szCs w:val="22"/>
        </w:rPr>
        <w:t xml:space="preserve">There are no documents confirming the purchase of trading stock referred to in paragraph 31 of the replying </w:t>
      </w:r>
      <w:proofErr w:type="gramStart"/>
      <w:r w:rsidR="00E80D1F">
        <w:rPr>
          <w:rFonts w:cs="Arial"/>
          <w:bCs/>
          <w:szCs w:val="22"/>
        </w:rPr>
        <w:t>affidavit;</w:t>
      </w:r>
      <w:proofErr w:type="gramEnd"/>
    </w:p>
    <w:p w14:paraId="6C441E62" w14:textId="1ADD489C" w:rsidR="00E80D1F" w:rsidRDefault="00C220AE" w:rsidP="00C220AE">
      <w:pPr>
        <w:widowControl w:val="0"/>
        <w:tabs>
          <w:tab w:val="left" w:pos="1418"/>
        </w:tabs>
        <w:spacing w:before="480" w:after="480" w:line="480" w:lineRule="auto"/>
        <w:ind w:left="1418" w:hanging="851"/>
        <w:jc w:val="both"/>
        <w:rPr>
          <w:rFonts w:cs="Arial"/>
          <w:bCs/>
          <w:szCs w:val="22"/>
        </w:rPr>
      </w:pPr>
      <w:r>
        <w:rPr>
          <w:rFonts w:cs="Arial"/>
          <w:bCs/>
          <w:szCs w:val="22"/>
        </w:rPr>
        <w:t>36.6</w:t>
      </w:r>
      <w:r>
        <w:rPr>
          <w:rFonts w:cs="Arial"/>
          <w:bCs/>
          <w:szCs w:val="22"/>
        </w:rPr>
        <w:tab/>
      </w:r>
      <w:r w:rsidR="00E80D1F">
        <w:rPr>
          <w:rFonts w:cs="Arial"/>
          <w:bCs/>
          <w:szCs w:val="22"/>
        </w:rPr>
        <w:t xml:space="preserve">There are no documentation for consignment stock referred to in paragraph 36.3 of the replying </w:t>
      </w:r>
      <w:proofErr w:type="gramStart"/>
      <w:r w:rsidR="00E80D1F">
        <w:rPr>
          <w:rFonts w:cs="Arial"/>
          <w:bCs/>
          <w:szCs w:val="22"/>
        </w:rPr>
        <w:t>affidavit;</w:t>
      </w:r>
      <w:proofErr w:type="gramEnd"/>
    </w:p>
    <w:p w14:paraId="57475AE7" w14:textId="61C3428F" w:rsidR="00E80D1F" w:rsidRDefault="00C220AE" w:rsidP="00C220AE">
      <w:pPr>
        <w:widowControl w:val="0"/>
        <w:tabs>
          <w:tab w:val="left" w:pos="1418"/>
        </w:tabs>
        <w:spacing w:before="480" w:after="480" w:line="480" w:lineRule="auto"/>
        <w:ind w:left="1418" w:hanging="851"/>
        <w:jc w:val="both"/>
        <w:rPr>
          <w:rFonts w:cs="Arial"/>
          <w:bCs/>
          <w:szCs w:val="22"/>
        </w:rPr>
      </w:pPr>
      <w:r>
        <w:rPr>
          <w:rFonts w:cs="Arial"/>
          <w:bCs/>
          <w:szCs w:val="22"/>
        </w:rPr>
        <w:t>36.7</w:t>
      </w:r>
      <w:r>
        <w:rPr>
          <w:rFonts w:cs="Arial"/>
          <w:bCs/>
          <w:szCs w:val="22"/>
        </w:rPr>
        <w:tab/>
      </w:r>
      <w:r w:rsidR="00E80D1F">
        <w:rPr>
          <w:rFonts w:cs="Arial"/>
          <w:bCs/>
          <w:szCs w:val="22"/>
        </w:rPr>
        <w:t xml:space="preserve">There is no written request referred to in paragraph 36.5 of the replying </w:t>
      </w:r>
      <w:proofErr w:type="gramStart"/>
      <w:r w:rsidR="00E80D1F">
        <w:rPr>
          <w:rFonts w:cs="Arial"/>
          <w:bCs/>
          <w:szCs w:val="22"/>
        </w:rPr>
        <w:t>affidavit;</w:t>
      </w:r>
      <w:proofErr w:type="gramEnd"/>
    </w:p>
    <w:p w14:paraId="49D52D9E" w14:textId="4F754ACC" w:rsidR="00E80D1F" w:rsidRDefault="00C220AE" w:rsidP="00C220AE">
      <w:pPr>
        <w:widowControl w:val="0"/>
        <w:tabs>
          <w:tab w:val="left" w:pos="1418"/>
        </w:tabs>
        <w:spacing w:before="480" w:after="480" w:line="480" w:lineRule="auto"/>
        <w:ind w:left="1418" w:hanging="851"/>
        <w:jc w:val="both"/>
        <w:rPr>
          <w:rFonts w:cs="Arial"/>
          <w:bCs/>
          <w:szCs w:val="22"/>
        </w:rPr>
      </w:pPr>
      <w:r>
        <w:rPr>
          <w:rFonts w:cs="Arial"/>
          <w:bCs/>
          <w:szCs w:val="22"/>
        </w:rPr>
        <w:t>36.8</w:t>
      </w:r>
      <w:r>
        <w:rPr>
          <w:rFonts w:cs="Arial"/>
          <w:bCs/>
          <w:szCs w:val="22"/>
        </w:rPr>
        <w:tab/>
      </w:r>
      <w:r w:rsidR="00E80D1F">
        <w:rPr>
          <w:rFonts w:cs="Arial"/>
          <w:bCs/>
          <w:szCs w:val="22"/>
        </w:rPr>
        <w:t>There is no resignation document referred to in paragraph 44.7 of the replying affidavit</w:t>
      </w:r>
      <w:r w:rsidR="00CC66F8">
        <w:rPr>
          <w:rFonts w:cs="Arial"/>
          <w:bCs/>
          <w:szCs w:val="22"/>
        </w:rPr>
        <w:t xml:space="preserve"> (if the paragraph did indeed refer to a letter of resignation, it is impossible to see how it could be </w:t>
      </w:r>
      <w:proofErr w:type="gramStart"/>
      <w:r w:rsidR="00CC66F8">
        <w:rPr>
          <w:rFonts w:cs="Arial"/>
          <w:bCs/>
          <w:szCs w:val="22"/>
        </w:rPr>
        <w:t>relevant</w:t>
      </w:r>
      <w:proofErr w:type="gramEnd"/>
      <w:r w:rsidR="00952C74">
        <w:rPr>
          <w:rFonts w:cs="Arial"/>
          <w:bCs/>
          <w:szCs w:val="22"/>
        </w:rPr>
        <w:t xml:space="preserve"> and no averments were made by the surety in this regard</w:t>
      </w:r>
      <w:r w:rsidR="00CC66F8">
        <w:rPr>
          <w:rFonts w:cs="Arial"/>
          <w:bCs/>
          <w:szCs w:val="22"/>
        </w:rPr>
        <w:t>).</w:t>
      </w:r>
    </w:p>
    <w:p w14:paraId="67293654" w14:textId="7C973265" w:rsidR="00934385" w:rsidRDefault="00C220AE" w:rsidP="00C220AE">
      <w:pPr>
        <w:widowControl w:val="0"/>
        <w:tabs>
          <w:tab w:val="left" w:pos="1418"/>
        </w:tabs>
        <w:spacing w:before="480" w:after="480" w:line="480" w:lineRule="auto"/>
        <w:ind w:left="1418" w:hanging="851"/>
        <w:jc w:val="both"/>
        <w:rPr>
          <w:rFonts w:cs="Arial"/>
          <w:bCs/>
          <w:szCs w:val="22"/>
        </w:rPr>
      </w:pPr>
      <w:r>
        <w:rPr>
          <w:rFonts w:cs="Arial"/>
          <w:bCs/>
          <w:szCs w:val="22"/>
        </w:rPr>
        <w:t>36.9</w:t>
      </w:r>
      <w:r>
        <w:rPr>
          <w:rFonts w:cs="Arial"/>
          <w:bCs/>
          <w:szCs w:val="22"/>
        </w:rPr>
        <w:tab/>
      </w:r>
      <w:r w:rsidR="00934385">
        <w:rPr>
          <w:rFonts w:cs="Arial"/>
          <w:bCs/>
          <w:szCs w:val="22"/>
        </w:rPr>
        <w:t>There are breach documents referred to in paragraph 66.1 of the replying affidavit.</w:t>
      </w:r>
    </w:p>
    <w:p w14:paraId="7D9BECBC" w14:textId="1ACE6F79" w:rsidR="00C949CC" w:rsidRDefault="00C220AE" w:rsidP="00C220AE">
      <w:pPr>
        <w:widowControl w:val="0"/>
        <w:tabs>
          <w:tab w:val="left" w:pos="567"/>
        </w:tabs>
        <w:spacing w:before="480" w:after="480" w:line="480" w:lineRule="auto"/>
        <w:jc w:val="both"/>
        <w:rPr>
          <w:rFonts w:cs="Arial"/>
          <w:bCs/>
          <w:szCs w:val="22"/>
        </w:rPr>
      </w:pPr>
      <w:r>
        <w:rPr>
          <w:rFonts w:cs="Arial"/>
          <w:bCs/>
          <w:szCs w:val="22"/>
        </w:rPr>
        <w:t>[37]</w:t>
      </w:r>
      <w:r>
        <w:rPr>
          <w:rFonts w:cs="Arial"/>
          <w:bCs/>
          <w:szCs w:val="22"/>
        </w:rPr>
        <w:tab/>
      </w:r>
      <w:r w:rsidR="00C949CC">
        <w:rPr>
          <w:rFonts w:cs="Arial"/>
          <w:bCs/>
          <w:szCs w:val="22"/>
        </w:rPr>
        <w:t>If there were indeed such documents, it is not alleged or shown that any of them are relevant.</w:t>
      </w:r>
    </w:p>
    <w:p w14:paraId="77883391" w14:textId="5596F1FE" w:rsidR="00074F4A" w:rsidRDefault="00C220AE" w:rsidP="00C220AE">
      <w:pPr>
        <w:widowControl w:val="0"/>
        <w:tabs>
          <w:tab w:val="left" w:pos="567"/>
        </w:tabs>
        <w:spacing w:before="480" w:after="480" w:line="480" w:lineRule="auto"/>
        <w:jc w:val="both"/>
        <w:rPr>
          <w:rFonts w:cs="Arial"/>
          <w:bCs/>
          <w:szCs w:val="22"/>
        </w:rPr>
      </w:pPr>
      <w:r>
        <w:rPr>
          <w:rFonts w:cs="Arial"/>
          <w:bCs/>
          <w:szCs w:val="22"/>
        </w:rPr>
        <w:t>[38]</w:t>
      </w:r>
      <w:r>
        <w:rPr>
          <w:rFonts w:cs="Arial"/>
          <w:bCs/>
          <w:szCs w:val="22"/>
        </w:rPr>
        <w:tab/>
      </w:r>
      <w:r w:rsidR="00074F4A">
        <w:rPr>
          <w:rFonts w:cs="Arial"/>
          <w:bCs/>
          <w:szCs w:val="22"/>
        </w:rPr>
        <w:t xml:space="preserve">The following documents are </w:t>
      </w:r>
      <w:r w:rsidR="005C3EB9">
        <w:rPr>
          <w:rFonts w:cs="Arial"/>
          <w:bCs/>
          <w:szCs w:val="22"/>
        </w:rPr>
        <w:t xml:space="preserve">also clearly </w:t>
      </w:r>
      <w:r w:rsidR="00074F4A">
        <w:rPr>
          <w:rFonts w:cs="Arial"/>
          <w:bCs/>
          <w:szCs w:val="22"/>
        </w:rPr>
        <w:t xml:space="preserve">not </w:t>
      </w:r>
      <w:proofErr w:type="gramStart"/>
      <w:r w:rsidR="00074F4A">
        <w:rPr>
          <w:rFonts w:cs="Arial"/>
          <w:bCs/>
          <w:szCs w:val="22"/>
        </w:rPr>
        <w:t>relevant</w:t>
      </w:r>
      <w:proofErr w:type="gramEnd"/>
      <w:r w:rsidR="00074F4A">
        <w:rPr>
          <w:rFonts w:cs="Arial"/>
          <w:bCs/>
          <w:szCs w:val="22"/>
        </w:rPr>
        <w:t xml:space="preserve"> and the surety did not present any evidence </w:t>
      </w:r>
      <w:r w:rsidR="005C3EB9">
        <w:rPr>
          <w:rFonts w:cs="Arial"/>
          <w:bCs/>
          <w:szCs w:val="22"/>
        </w:rPr>
        <w:t xml:space="preserve">or argument </w:t>
      </w:r>
      <w:r w:rsidR="00074F4A">
        <w:rPr>
          <w:rFonts w:cs="Arial"/>
          <w:bCs/>
          <w:szCs w:val="22"/>
        </w:rPr>
        <w:t>to the effect that these are relevant:</w:t>
      </w:r>
    </w:p>
    <w:p w14:paraId="6E6993DC" w14:textId="126F5EDD" w:rsidR="00C1370F" w:rsidRDefault="00C220AE" w:rsidP="00C220AE">
      <w:pPr>
        <w:widowControl w:val="0"/>
        <w:tabs>
          <w:tab w:val="left" w:pos="1418"/>
        </w:tabs>
        <w:spacing w:before="480" w:after="480" w:line="480" w:lineRule="auto"/>
        <w:ind w:left="1418" w:hanging="851"/>
        <w:jc w:val="both"/>
        <w:rPr>
          <w:rFonts w:cs="Arial"/>
          <w:bCs/>
          <w:szCs w:val="22"/>
        </w:rPr>
      </w:pPr>
      <w:r>
        <w:rPr>
          <w:rFonts w:cs="Arial"/>
          <w:bCs/>
          <w:szCs w:val="22"/>
        </w:rPr>
        <w:t>38.1</w:t>
      </w:r>
      <w:r>
        <w:rPr>
          <w:rFonts w:cs="Arial"/>
          <w:bCs/>
          <w:szCs w:val="22"/>
        </w:rPr>
        <w:tab/>
      </w:r>
      <w:r w:rsidR="00074F4A">
        <w:rPr>
          <w:rFonts w:cs="Arial"/>
          <w:bCs/>
          <w:szCs w:val="22"/>
        </w:rPr>
        <w:t xml:space="preserve">The power of attorney authorising a conveyancer to appear before the Registrar of Deeds for the purposes of the mortgage bond referred to in </w:t>
      </w:r>
      <w:r w:rsidR="00074F4A">
        <w:rPr>
          <w:rFonts w:cs="Arial"/>
          <w:bCs/>
          <w:szCs w:val="22"/>
        </w:rPr>
        <w:lastRenderedPageBreak/>
        <w:t xml:space="preserve">paragraph 24 of the founding </w:t>
      </w:r>
      <w:proofErr w:type="gramStart"/>
      <w:r w:rsidR="00074F4A">
        <w:rPr>
          <w:rFonts w:cs="Arial"/>
          <w:bCs/>
          <w:szCs w:val="22"/>
        </w:rPr>
        <w:t>affidavit</w:t>
      </w:r>
      <w:r w:rsidR="00C7290C">
        <w:rPr>
          <w:rFonts w:cs="Arial"/>
          <w:bCs/>
          <w:szCs w:val="22"/>
        </w:rPr>
        <w:t>;</w:t>
      </w:r>
      <w:proofErr w:type="gramEnd"/>
    </w:p>
    <w:p w14:paraId="48D3A0CB" w14:textId="3BC1BCA8" w:rsidR="00074F4A" w:rsidRDefault="00C220AE" w:rsidP="00C220AE">
      <w:pPr>
        <w:widowControl w:val="0"/>
        <w:tabs>
          <w:tab w:val="left" w:pos="1418"/>
        </w:tabs>
        <w:spacing w:before="480" w:after="480" w:line="480" w:lineRule="auto"/>
        <w:ind w:left="1418" w:hanging="851"/>
        <w:jc w:val="both"/>
        <w:rPr>
          <w:rFonts w:cs="Arial"/>
          <w:bCs/>
          <w:szCs w:val="22"/>
        </w:rPr>
      </w:pPr>
      <w:r>
        <w:rPr>
          <w:rFonts w:cs="Arial"/>
          <w:bCs/>
          <w:szCs w:val="22"/>
        </w:rPr>
        <w:t>38.2</w:t>
      </w:r>
      <w:r>
        <w:rPr>
          <w:rFonts w:cs="Arial"/>
          <w:bCs/>
          <w:szCs w:val="22"/>
        </w:rPr>
        <w:tab/>
      </w:r>
      <w:r w:rsidR="00074F4A">
        <w:rPr>
          <w:rFonts w:cs="Arial"/>
          <w:bCs/>
          <w:szCs w:val="22"/>
        </w:rPr>
        <w:t xml:space="preserve">A copy of the tracer’s report referred to in paragraph 28 of the founding </w:t>
      </w:r>
      <w:proofErr w:type="gramStart"/>
      <w:r w:rsidR="00074F4A">
        <w:rPr>
          <w:rFonts w:cs="Arial"/>
          <w:bCs/>
          <w:szCs w:val="22"/>
        </w:rPr>
        <w:t>affidavit</w:t>
      </w:r>
      <w:r w:rsidR="00C7290C">
        <w:rPr>
          <w:rFonts w:cs="Arial"/>
          <w:bCs/>
          <w:szCs w:val="22"/>
        </w:rPr>
        <w:t>;</w:t>
      </w:r>
      <w:proofErr w:type="gramEnd"/>
    </w:p>
    <w:p w14:paraId="19355B4E" w14:textId="04AEAA23" w:rsidR="00C7290C" w:rsidRDefault="00C220AE" w:rsidP="00C220AE">
      <w:pPr>
        <w:widowControl w:val="0"/>
        <w:tabs>
          <w:tab w:val="left" w:pos="1418"/>
        </w:tabs>
        <w:spacing w:before="480" w:after="480" w:line="480" w:lineRule="auto"/>
        <w:ind w:left="1418" w:hanging="851"/>
        <w:jc w:val="both"/>
        <w:rPr>
          <w:rFonts w:cs="Arial"/>
          <w:bCs/>
          <w:szCs w:val="22"/>
        </w:rPr>
      </w:pPr>
      <w:r>
        <w:rPr>
          <w:rFonts w:cs="Arial"/>
          <w:bCs/>
          <w:szCs w:val="22"/>
        </w:rPr>
        <w:t>38.3</w:t>
      </w:r>
      <w:r>
        <w:rPr>
          <w:rFonts w:cs="Arial"/>
          <w:bCs/>
          <w:szCs w:val="22"/>
        </w:rPr>
        <w:tab/>
      </w:r>
      <w:r w:rsidR="00C7290C">
        <w:rPr>
          <w:rFonts w:cs="Arial"/>
          <w:bCs/>
          <w:szCs w:val="22"/>
        </w:rPr>
        <w:t xml:space="preserve">The correspondence referred to in paragraph 15 of the replying </w:t>
      </w:r>
      <w:proofErr w:type="gramStart"/>
      <w:r w:rsidR="00C7290C">
        <w:rPr>
          <w:rFonts w:cs="Arial"/>
          <w:bCs/>
          <w:szCs w:val="22"/>
        </w:rPr>
        <w:t>affidavit;</w:t>
      </w:r>
      <w:proofErr w:type="gramEnd"/>
    </w:p>
    <w:p w14:paraId="7AC43B83" w14:textId="29F70605" w:rsidR="00977D45" w:rsidRDefault="00C220AE" w:rsidP="00C220AE">
      <w:pPr>
        <w:widowControl w:val="0"/>
        <w:tabs>
          <w:tab w:val="left" w:pos="1418"/>
        </w:tabs>
        <w:spacing w:before="480" w:after="480" w:line="480" w:lineRule="auto"/>
        <w:ind w:left="1418" w:hanging="851"/>
        <w:jc w:val="both"/>
        <w:rPr>
          <w:rFonts w:cs="Arial"/>
          <w:bCs/>
          <w:szCs w:val="22"/>
        </w:rPr>
      </w:pPr>
      <w:r>
        <w:rPr>
          <w:rFonts w:cs="Arial"/>
          <w:bCs/>
          <w:szCs w:val="22"/>
        </w:rPr>
        <w:t>38.4</w:t>
      </w:r>
      <w:r>
        <w:rPr>
          <w:rFonts w:cs="Arial"/>
          <w:bCs/>
          <w:szCs w:val="22"/>
        </w:rPr>
        <w:tab/>
      </w:r>
      <w:r w:rsidR="00977D45">
        <w:rPr>
          <w:rFonts w:cs="Arial"/>
          <w:bCs/>
          <w:szCs w:val="22"/>
        </w:rPr>
        <w:t>The decision to grant a credit facility on the terms set out in annexure “DF2” to the founding affidavit</w:t>
      </w:r>
      <w:r w:rsidR="00422788">
        <w:rPr>
          <w:rFonts w:cs="Arial"/>
          <w:bCs/>
          <w:szCs w:val="22"/>
        </w:rPr>
        <w:t>.</w:t>
      </w:r>
    </w:p>
    <w:p w14:paraId="68F0E685" w14:textId="06FCC3FA" w:rsidR="00074F4A" w:rsidRDefault="00C220AE" w:rsidP="00C220AE">
      <w:pPr>
        <w:widowControl w:val="0"/>
        <w:tabs>
          <w:tab w:val="left" w:pos="567"/>
        </w:tabs>
        <w:spacing w:before="480" w:after="480" w:line="480" w:lineRule="auto"/>
        <w:jc w:val="both"/>
        <w:rPr>
          <w:rFonts w:cs="Arial"/>
          <w:bCs/>
          <w:szCs w:val="22"/>
        </w:rPr>
      </w:pPr>
      <w:r>
        <w:rPr>
          <w:rFonts w:cs="Arial"/>
          <w:bCs/>
          <w:szCs w:val="22"/>
        </w:rPr>
        <w:t>[39]</w:t>
      </w:r>
      <w:r>
        <w:rPr>
          <w:rFonts w:cs="Arial"/>
          <w:bCs/>
          <w:szCs w:val="22"/>
        </w:rPr>
        <w:tab/>
      </w:r>
      <w:r w:rsidR="00074F4A">
        <w:rPr>
          <w:rFonts w:cs="Arial"/>
          <w:bCs/>
          <w:szCs w:val="22"/>
        </w:rPr>
        <w:t xml:space="preserve">The surety seeks discovery of Rule 46A. This is one of the Uniform Rules of Court and is not subject to discovery. </w:t>
      </w:r>
      <w:r w:rsidR="00C949CC">
        <w:rPr>
          <w:rFonts w:cs="Arial"/>
          <w:bCs/>
          <w:szCs w:val="22"/>
        </w:rPr>
        <w:t xml:space="preserve">Rules are published and are in the public domain. </w:t>
      </w:r>
      <w:r w:rsidR="005C3EB9">
        <w:rPr>
          <w:rFonts w:cs="Arial"/>
          <w:bCs/>
          <w:szCs w:val="22"/>
        </w:rPr>
        <w:t>The fact that the surety approaches a court for an order that a rule of court be furnished to him under the machinery of Rule 35(12) was not explained in argument.</w:t>
      </w:r>
    </w:p>
    <w:p w14:paraId="5A1D4156" w14:textId="57CA4D1A" w:rsidR="000617FB" w:rsidRDefault="00C220AE" w:rsidP="00C220AE">
      <w:pPr>
        <w:widowControl w:val="0"/>
        <w:tabs>
          <w:tab w:val="left" w:pos="567"/>
        </w:tabs>
        <w:spacing w:before="480" w:after="480" w:line="480" w:lineRule="auto"/>
        <w:jc w:val="both"/>
        <w:rPr>
          <w:rFonts w:cs="Arial"/>
          <w:bCs/>
          <w:szCs w:val="22"/>
        </w:rPr>
      </w:pPr>
      <w:r>
        <w:rPr>
          <w:rFonts w:cs="Arial"/>
          <w:bCs/>
          <w:szCs w:val="22"/>
        </w:rPr>
        <w:t>[40]</w:t>
      </w:r>
      <w:r>
        <w:rPr>
          <w:rFonts w:cs="Arial"/>
          <w:bCs/>
          <w:szCs w:val="22"/>
        </w:rPr>
        <w:tab/>
      </w:r>
      <w:r w:rsidR="000617FB">
        <w:rPr>
          <w:rFonts w:cs="Arial"/>
          <w:bCs/>
          <w:szCs w:val="22"/>
        </w:rPr>
        <w:t xml:space="preserve">The surety seeks discovery of ‘misplaced documents’ referred to in paragraph 7.5 and 7.6 of the bank’s replying affidavit. These documents are not described or defined in any detail, and an order for discovery is not possible. The request has the appearance of a fishing </w:t>
      </w:r>
      <w:proofErr w:type="gramStart"/>
      <w:r w:rsidR="000617FB">
        <w:rPr>
          <w:rFonts w:cs="Arial"/>
          <w:bCs/>
          <w:szCs w:val="22"/>
        </w:rPr>
        <w:t>expedition</w:t>
      </w:r>
      <w:proofErr w:type="gramEnd"/>
      <w:r w:rsidR="005C3EB9">
        <w:rPr>
          <w:rFonts w:cs="Arial"/>
          <w:bCs/>
          <w:szCs w:val="22"/>
        </w:rPr>
        <w:t xml:space="preserve"> and no relevance is shown.</w:t>
      </w:r>
    </w:p>
    <w:p w14:paraId="53F45677" w14:textId="1B1D8D81" w:rsidR="00934385" w:rsidRDefault="00C220AE" w:rsidP="00C220AE">
      <w:pPr>
        <w:widowControl w:val="0"/>
        <w:tabs>
          <w:tab w:val="left" w:pos="567"/>
        </w:tabs>
        <w:spacing w:before="480" w:after="480" w:line="480" w:lineRule="auto"/>
        <w:jc w:val="both"/>
        <w:rPr>
          <w:rFonts w:cs="Arial"/>
          <w:bCs/>
          <w:szCs w:val="22"/>
        </w:rPr>
      </w:pPr>
      <w:r>
        <w:rPr>
          <w:rFonts w:cs="Arial"/>
          <w:bCs/>
          <w:szCs w:val="22"/>
        </w:rPr>
        <w:t>[41]</w:t>
      </w:r>
      <w:r>
        <w:rPr>
          <w:rFonts w:cs="Arial"/>
          <w:bCs/>
          <w:szCs w:val="22"/>
        </w:rPr>
        <w:tab/>
      </w:r>
      <w:r w:rsidR="00934385">
        <w:rPr>
          <w:rFonts w:cs="Arial"/>
          <w:bCs/>
          <w:szCs w:val="22"/>
        </w:rPr>
        <w:t>In conclusion, no case is made out for the relief sought.</w:t>
      </w:r>
    </w:p>
    <w:p w14:paraId="60EB1FD0" w14:textId="77777777" w:rsidR="00934385" w:rsidRDefault="00934385" w:rsidP="00C1370F">
      <w:pPr>
        <w:widowControl w:val="0"/>
        <w:spacing w:before="480" w:after="480" w:line="480" w:lineRule="auto"/>
        <w:jc w:val="both"/>
        <w:rPr>
          <w:rFonts w:cs="Arial"/>
          <w:bCs/>
          <w:szCs w:val="22"/>
          <w:u w:val="single"/>
        </w:rPr>
      </w:pPr>
    </w:p>
    <w:p w14:paraId="186E34EF" w14:textId="7519269C" w:rsidR="00C1370F" w:rsidRPr="00C1370F" w:rsidRDefault="00C1370F" w:rsidP="00C1370F">
      <w:pPr>
        <w:widowControl w:val="0"/>
        <w:spacing w:before="480" w:after="480" w:line="480" w:lineRule="auto"/>
        <w:jc w:val="both"/>
        <w:rPr>
          <w:rFonts w:cs="Arial"/>
          <w:bCs/>
          <w:szCs w:val="22"/>
          <w:u w:val="single"/>
        </w:rPr>
      </w:pPr>
      <w:r w:rsidRPr="00C1370F">
        <w:rPr>
          <w:rFonts w:cs="Arial"/>
          <w:bCs/>
          <w:szCs w:val="22"/>
          <w:u w:val="single"/>
        </w:rPr>
        <w:t>The wasted costs of the enrolment in April 2022</w:t>
      </w:r>
    </w:p>
    <w:p w14:paraId="0A4E94B4" w14:textId="37322E0E" w:rsidR="00C1370F" w:rsidRDefault="00C220AE" w:rsidP="00C220AE">
      <w:pPr>
        <w:widowControl w:val="0"/>
        <w:tabs>
          <w:tab w:val="left" w:pos="567"/>
        </w:tabs>
        <w:spacing w:before="480" w:after="480" w:line="480" w:lineRule="auto"/>
        <w:jc w:val="both"/>
        <w:rPr>
          <w:rFonts w:cs="Arial"/>
          <w:bCs/>
          <w:szCs w:val="22"/>
        </w:rPr>
      </w:pPr>
      <w:r>
        <w:rPr>
          <w:rFonts w:cs="Arial"/>
          <w:bCs/>
          <w:szCs w:val="22"/>
        </w:rPr>
        <w:t>[42]</w:t>
      </w:r>
      <w:r>
        <w:rPr>
          <w:rFonts w:cs="Arial"/>
          <w:bCs/>
          <w:szCs w:val="22"/>
        </w:rPr>
        <w:tab/>
      </w:r>
      <w:r w:rsidR="00C949CC">
        <w:rPr>
          <w:rFonts w:cs="Arial"/>
          <w:bCs/>
          <w:szCs w:val="22"/>
        </w:rPr>
        <w:t>The application to compel was sent to the bank’s attorneys on 18 April 2022 and on the 19</w:t>
      </w:r>
      <w:r w:rsidR="00C949CC" w:rsidRPr="00C949CC">
        <w:rPr>
          <w:rFonts w:cs="Arial"/>
          <w:bCs/>
          <w:szCs w:val="22"/>
          <w:vertAlign w:val="superscript"/>
        </w:rPr>
        <w:t>th</w:t>
      </w:r>
      <w:r w:rsidR="00C949CC">
        <w:rPr>
          <w:rFonts w:cs="Arial"/>
          <w:bCs/>
          <w:szCs w:val="22"/>
        </w:rPr>
        <w:t xml:space="preserve"> a notice of set down for 25 April 2022. The bank’s attorneys alerted the </w:t>
      </w:r>
      <w:r w:rsidR="00C949CC">
        <w:rPr>
          <w:rFonts w:cs="Arial"/>
          <w:bCs/>
          <w:szCs w:val="22"/>
        </w:rPr>
        <w:lastRenderedPageBreak/>
        <w:t xml:space="preserve">surety’s attorneys that a date of 4 May 2022 had been allocated on </w:t>
      </w:r>
      <w:proofErr w:type="spellStart"/>
      <w:r w:rsidR="00C949CC">
        <w:rPr>
          <w:rFonts w:cs="Arial"/>
          <w:bCs/>
          <w:szCs w:val="22"/>
        </w:rPr>
        <w:t>Caselines</w:t>
      </w:r>
      <w:proofErr w:type="spellEnd"/>
      <w:r w:rsidR="00C949CC">
        <w:rPr>
          <w:rFonts w:cs="Arial"/>
          <w:bCs/>
          <w:szCs w:val="22"/>
        </w:rPr>
        <w:t xml:space="preserve">. The surety’s attorneys </w:t>
      </w:r>
      <w:r w:rsidR="0045055B">
        <w:rPr>
          <w:rFonts w:cs="Arial"/>
          <w:bCs/>
          <w:szCs w:val="22"/>
        </w:rPr>
        <w:t>then removed the matter on the roll of 4 May 2022.</w:t>
      </w:r>
    </w:p>
    <w:p w14:paraId="26FB8933" w14:textId="35A933BA" w:rsidR="00C1370F" w:rsidRDefault="00C220AE" w:rsidP="00C220AE">
      <w:pPr>
        <w:widowControl w:val="0"/>
        <w:tabs>
          <w:tab w:val="left" w:pos="567"/>
        </w:tabs>
        <w:spacing w:before="480" w:after="480" w:line="480" w:lineRule="auto"/>
        <w:jc w:val="both"/>
        <w:rPr>
          <w:rFonts w:cs="Arial"/>
          <w:bCs/>
          <w:szCs w:val="22"/>
        </w:rPr>
      </w:pPr>
      <w:r>
        <w:rPr>
          <w:rFonts w:cs="Arial"/>
          <w:bCs/>
          <w:szCs w:val="22"/>
        </w:rPr>
        <w:t>[43]</w:t>
      </w:r>
      <w:r>
        <w:rPr>
          <w:rFonts w:cs="Arial"/>
          <w:bCs/>
          <w:szCs w:val="22"/>
        </w:rPr>
        <w:tab/>
      </w:r>
      <w:r w:rsidR="00685509">
        <w:rPr>
          <w:rFonts w:cs="Arial"/>
          <w:bCs/>
          <w:szCs w:val="22"/>
        </w:rPr>
        <w:t xml:space="preserve">The </w:t>
      </w:r>
      <w:r w:rsidR="00FC183C">
        <w:rPr>
          <w:rFonts w:cs="Arial"/>
          <w:bCs/>
          <w:szCs w:val="22"/>
        </w:rPr>
        <w:t>bank</w:t>
      </w:r>
      <w:r w:rsidR="00685509">
        <w:rPr>
          <w:rFonts w:cs="Arial"/>
          <w:bCs/>
          <w:szCs w:val="22"/>
        </w:rPr>
        <w:t xml:space="preserve">’s attorneys then proposed to the surety’s attorney that the matter be removed from the roll by agreement, failing which an application to strike it would be brought on the ground of short service. No response was received and on the day of the hearing the presiding Judge postponed the matter </w:t>
      </w:r>
      <w:r w:rsidR="00685509" w:rsidRPr="00952C74">
        <w:rPr>
          <w:rFonts w:cs="Arial"/>
          <w:bCs/>
          <w:i/>
          <w:iCs/>
          <w:szCs w:val="22"/>
        </w:rPr>
        <w:t>sine</w:t>
      </w:r>
      <w:r w:rsidR="00952C74" w:rsidRPr="00952C74">
        <w:rPr>
          <w:rFonts w:cs="Arial"/>
          <w:bCs/>
          <w:i/>
          <w:iCs/>
          <w:szCs w:val="22"/>
        </w:rPr>
        <w:t xml:space="preserve"> die</w:t>
      </w:r>
      <w:r w:rsidR="00685509">
        <w:rPr>
          <w:rFonts w:cs="Arial"/>
          <w:bCs/>
          <w:szCs w:val="22"/>
        </w:rPr>
        <w:t>, set dates for exchange of affidavits by agreement, and reserved the question of costs.</w:t>
      </w:r>
    </w:p>
    <w:p w14:paraId="00775AC2" w14:textId="5C75FE4A" w:rsidR="00C1370F" w:rsidRDefault="00C220AE" w:rsidP="00C220AE">
      <w:pPr>
        <w:widowControl w:val="0"/>
        <w:tabs>
          <w:tab w:val="left" w:pos="567"/>
        </w:tabs>
        <w:spacing w:before="480" w:after="480" w:line="480" w:lineRule="auto"/>
        <w:jc w:val="both"/>
        <w:rPr>
          <w:rFonts w:cs="Arial"/>
          <w:bCs/>
          <w:szCs w:val="22"/>
        </w:rPr>
      </w:pPr>
      <w:r>
        <w:rPr>
          <w:rFonts w:cs="Arial"/>
          <w:bCs/>
          <w:szCs w:val="22"/>
        </w:rPr>
        <w:t>[44]</w:t>
      </w:r>
      <w:r>
        <w:rPr>
          <w:rFonts w:cs="Arial"/>
          <w:bCs/>
          <w:szCs w:val="22"/>
        </w:rPr>
        <w:tab/>
      </w:r>
      <w:r w:rsidR="00685509">
        <w:rPr>
          <w:rFonts w:cs="Arial"/>
          <w:bCs/>
          <w:szCs w:val="22"/>
        </w:rPr>
        <w:t xml:space="preserve">In terms of </w:t>
      </w:r>
      <w:bookmarkStart w:id="0" w:name="_Hlk117692159"/>
      <w:r w:rsidR="00556ACE">
        <w:rPr>
          <w:rFonts w:cs="Arial"/>
          <w:bCs/>
          <w:szCs w:val="22"/>
        </w:rPr>
        <w:t xml:space="preserve">the Judge President’s </w:t>
      </w:r>
      <w:r w:rsidR="00685509">
        <w:rPr>
          <w:rFonts w:cs="Arial"/>
          <w:bCs/>
          <w:szCs w:val="22"/>
        </w:rPr>
        <w:t>Directive 1 of 11 June 2021</w:t>
      </w:r>
      <w:bookmarkEnd w:id="0"/>
      <w:r w:rsidR="00685509">
        <w:rPr>
          <w:rFonts w:cs="Arial"/>
          <w:bCs/>
          <w:szCs w:val="22"/>
        </w:rPr>
        <w:t>, matters shall be set down on seven clear court days’ notice and the surety’s attorneys persisted with a three-day notice period even when the Directive was pointed out to them</w:t>
      </w:r>
      <w:r w:rsidR="00B16616">
        <w:rPr>
          <w:rFonts w:cs="Arial"/>
          <w:bCs/>
          <w:szCs w:val="22"/>
        </w:rPr>
        <w:t>. The costs could have been avoided by dealing with the matter in accordance with the Practice Directive</w:t>
      </w:r>
      <w:r w:rsidR="00934385">
        <w:rPr>
          <w:rFonts w:cs="Arial"/>
          <w:bCs/>
          <w:szCs w:val="22"/>
        </w:rPr>
        <w:t xml:space="preserve"> and the practice of the High Court in Johannesburg</w:t>
      </w:r>
      <w:r w:rsidR="00B16616">
        <w:rPr>
          <w:rFonts w:cs="Arial"/>
          <w:bCs/>
          <w:szCs w:val="22"/>
        </w:rPr>
        <w:t>. It follows in my view that the costs should be borne by the surety.</w:t>
      </w:r>
    </w:p>
    <w:p w14:paraId="579DB88E" w14:textId="77777777" w:rsidR="00934385" w:rsidRDefault="00934385" w:rsidP="00C1370F">
      <w:pPr>
        <w:widowControl w:val="0"/>
        <w:spacing w:before="480" w:after="480" w:line="480" w:lineRule="auto"/>
        <w:jc w:val="both"/>
        <w:rPr>
          <w:rFonts w:cs="Arial"/>
          <w:bCs/>
          <w:szCs w:val="22"/>
          <w:u w:val="single"/>
        </w:rPr>
      </w:pPr>
    </w:p>
    <w:p w14:paraId="4EDD50A4" w14:textId="652500D4" w:rsidR="00C1370F" w:rsidRPr="00C1370F" w:rsidRDefault="00C1370F" w:rsidP="00C1370F">
      <w:pPr>
        <w:widowControl w:val="0"/>
        <w:spacing w:before="480" w:after="480" w:line="480" w:lineRule="auto"/>
        <w:jc w:val="both"/>
        <w:rPr>
          <w:rFonts w:cs="Arial"/>
          <w:bCs/>
          <w:szCs w:val="22"/>
          <w:u w:val="single"/>
        </w:rPr>
      </w:pPr>
      <w:r w:rsidRPr="00C1370F">
        <w:rPr>
          <w:rFonts w:cs="Arial"/>
          <w:bCs/>
          <w:szCs w:val="22"/>
          <w:u w:val="single"/>
        </w:rPr>
        <w:t>The costs of this application</w:t>
      </w:r>
    </w:p>
    <w:p w14:paraId="6B793ECA" w14:textId="2A781979" w:rsidR="00556ACE" w:rsidRDefault="00C220AE" w:rsidP="00C220AE">
      <w:pPr>
        <w:widowControl w:val="0"/>
        <w:tabs>
          <w:tab w:val="left" w:pos="567"/>
        </w:tabs>
        <w:spacing w:before="480" w:after="480" w:line="480" w:lineRule="auto"/>
        <w:jc w:val="both"/>
        <w:rPr>
          <w:rFonts w:cs="Arial"/>
          <w:bCs/>
          <w:szCs w:val="22"/>
        </w:rPr>
      </w:pPr>
      <w:r>
        <w:rPr>
          <w:rFonts w:cs="Arial"/>
          <w:bCs/>
          <w:szCs w:val="22"/>
        </w:rPr>
        <w:t>[45]</w:t>
      </w:r>
      <w:r>
        <w:rPr>
          <w:rFonts w:cs="Arial"/>
          <w:bCs/>
          <w:szCs w:val="22"/>
        </w:rPr>
        <w:tab/>
      </w:r>
      <w:r w:rsidR="00B16616">
        <w:rPr>
          <w:rFonts w:cs="Arial"/>
          <w:bCs/>
          <w:szCs w:val="22"/>
        </w:rPr>
        <w:t>Both parties sought an attorney and client cost order</w:t>
      </w:r>
      <w:r w:rsidR="00556ACE">
        <w:rPr>
          <w:rFonts w:cs="Arial"/>
          <w:bCs/>
          <w:szCs w:val="22"/>
        </w:rPr>
        <w:t xml:space="preserve"> against the other party</w:t>
      </w:r>
      <w:r w:rsidR="00B16616">
        <w:rPr>
          <w:rFonts w:cs="Arial"/>
          <w:bCs/>
          <w:szCs w:val="22"/>
        </w:rPr>
        <w:t xml:space="preserve">. </w:t>
      </w:r>
    </w:p>
    <w:p w14:paraId="0D02ABF7" w14:textId="5658DF37" w:rsidR="00556ACE" w:rsidRDefault="00C220AE" w:rsidP="00C220AE">
      <w:pPr>
        <w:widowControl w:val="0"/>
        <w:tabs>
          <w:tab w:val="left" w:pos="567"/>
        </w:tabs>
        <w:spacing w:before="480" w:after="480" w:line="480" w:lineRule="auto"/>
        <w:jc w:val="both"/>
        <w:rPr>
          <w:rFonts w:cs="Arial"/>
          <w:bCs/>
          <w:szCs w:val="22"/>
        </w:rPr>
      </w:pPr>
      <w:r>
        <w:rPr>
          <w:rFonts w:cs="Arial"/>
          <w:bCs/>
          <w:szCs w:val="22"/>
        </w:rPr>
        <w:t>[46]</w:t>
      </w:r>
      <w:r>
        <w:rPr>
          <w:rFonts w:cs="Arial"/>
          <w:bCs/>
          <w:szCs w:val="22"/>
        </w:rPr>
        <w:tab/>
      </w:r>
      <w:r w:rsidR="00556ACE">
        <w:rPr>
          <w:rFonts w:cs="Arial"/>
          <w:bCs/>
          <w:szCs w:val="22"/>
        </w:rPr>
        <w:t xml:space="preserve">In </w:t>
      </w:r>
      <w:r w:rsidR="00556ACE">
        <w:rPr>
          <w:i/>
          <w:iCs/>
        </w:rPr>
        <w:t>Public Protector v South African Reserve Bank</w:t>
      </w:r>
      <w:r w:rsidR="00556ACE">
        <w:rPr>
          <w:rStyle w:val="FootnoteReference"/>
          <w:i/>
          <w:iCs/>
        </w:rPr>
        <w:footnoteReference w:id="12"/>
      </w:r>
      <w:r w:rsidR="000E4B68">
        <w:rPr>
          <w:i/>
          <w:iCs/>
        </w:rPr>
        <w:t xml:space="preserve"> </w:t>
      </w:r>
      <w:proofErr w:type="spellStart"/>
      <w:r w:rsidR="0072541B">
        <w:t>Khampepe</w:t>
      </w:r>
      <w:proofErr w:type="spellEnd"/>
      <w:r w:rsidR="0072541B">
        <w:t xml:space="preserve"> J and Theron J said:</w:t>
      </w:r>
    </w:p>
    <w:p w14:paraId="40433609" w14:textId="2E623303" w:rsidR="0072541B" w:rsidRPr="0072541B" w:rsidRDefault="0072541B" w:rsidP="000E4B68">
      <w:pPr>
        <w:pStyle w:val="lrpara"/>
        <w:shd w:val="clear" w:color="auto" w:fill="FFFFFF"/>
        <w:spacing w:before="120" w:beforeAutospacing="0" w:after="120" w:afterAutospacing="0" w:line="360" w:lineRule="auto"/>
        <w:ind w:left="1440"/>
        <w:jc w:val="both"/>
        <w:rPr>
          <w:rFonts w:ascii="Arial" w:hAnsi="Arial" w:cs="Arial"/>
          <w:color w:val="000000" w:themeColor="text1"/>
          <w:sz w:val="20"/>
          <w:szCs w:val="20"/>
        </w:rPr>
      </w:pPr>
      <w:r w:rsidRPr="0072541B">
        <w:rPr>
          <w:rFonts w:ascii="Arial" w:hAnsi="Arial" w:cs="Arial"/>
          <w:i/>
          <w:iCs/>
          <w:color w:val="000000" w:themeColor="text1"/>
          <w:sz w:val="20"/>
          <w:szCs w:val="20"/>
        </w:rPr>
        <w:t>[223] More than 100 years ago, Innes CJ stated the principle that costs on an attorney and client scale are awarded when a court wishes to mark its disapproval of the conduct of a litigant.</w:t>
      </w:r>
      <w:r>
        <w:rPr>
          <w:rStyle w:val="FootnoteReference"/>
          <w:rFonts w:ascii="Arial" w:hAnsi="Arial" w:cs="Arial"/>
          <w:i/>
          <w:iCs/>
          <w:color w:val="000000" w:themeColor="text1"/>
          <w:sz w:val="20"/>
          <w:szCs w:val="20"/>
        </w:rPr>
        <w:footnoteReference w:id="13"/>
      </w:r>
      <w:r w:rsidRPr="0072541B">
        <w:rPr>
          <w:rFonts w:ascii="Arial" w:hAnsi="Arial" w:cs="Arial"/>
          <w:i/>
          <w:iCs/>
          <w:color w:val="000000" w:themeColor="text1"/>
          <w:sz w:val="20"/>
          <w:szCs w:val="20"/>
        </w:rPr>
        <w:t xml:space="preserve"> Since then this principle has been endorsed and </w:t>
      </w:r>
      <w:r w:rsidRPr="0072541B">
        <w:rPr>
          <w:rFonts w:ascii="Arial" w:hAnsi="Arial" w:cs="Arial"/>
          <w:i/>
          <w:iCs/>
          <w:color w:val="000000" w:themeColor="text1"/>
          <w:sz w:val="20"/>
          <w:szCs w:val="20"/>
        </w:rPr>
        <w:lastRenderedPageBreak/>
        <w:t xml:space="preserve">applied in a long line of cases and remains applicable.  Over the years, courts have awarded costs on an attorney and client scale to mark their disapproval of fraudulent, dishonest or mala fides (bad faith) conduct; </w:t>
      </w:r>
      <w:r w:rsidRPr="0072541B">
        <w:rPr>
          <w:rFonts w:ascii="Arial" w:hAnsi="Arial" w:cs="Arial"/>
          <w:i/>
          <w:iCs/>
          <w:color w:val="000000" w:themeColor="text1"/>
          <w:sz w:val="20"/>
          <w:szCs w:val="20"/>
          <w:shd w:val="clear" w:color="auto" w:fill="FFFFFF"/>
        </w:rPr>
        <w:t>vexatious conduct; and conduct that amounts to an abuse of the process of court</w:t>
      </w:r>
      <w:r w:rsidRPr="0072541B">
        <w:rPr>
          <w:rFonts w:ascii="Arial" w:hAnsi="Arial" w:cs="Arial"/>
          <w:i/>
          <w:iCs/>
          <w:color w:val="000000" w:themeColor="text1"/>
          <w:sz w:val="20"/>
          <w:szCs w:val="20"/>
        </w:rPr>
        <w:t>.”</w:t>
      </w:r>
      <w:r>
        <w:rPr>
          <w:rFonts w:ascii="Arial" w:hAnsi="Arial" w:cs="Arial"/>
          <w:i/>
          <w:iCs/>
          <w:color w:val="000000" w:themeColor="text1"/>
          <w:sz w:val="20"/>
          <w:szCs w:val="20"/>
        </w:rPr>
        <w:t xml:space="preserve"> </w:t>
      </w:r>
      <w:r>
        <w:rPr>
          <w:rFonts w:ascii="Arial" w:hAnsi="Arial" w:cs="Arial"/>
          <w:color w:val="000000" w:themeColor="text1"/>
          <w:sz w:val="20"/>
          <w:szCs w:val="20"/>
        </w:rPr>
        <w:t>[footnotes omitted]</w:t>
      </w:r>
    </w:p>
    <w:p w14:paraId="12BADBC8" w14:textId="1D0C2FBD" w:rsidR="005A031E" w:rsidRDefault="00C220AE" w:rsidP="00C220AE">
      <w:pPr>
        <w:widowControl w:val="0"/>
        <w:tabs>
          <w:tab w:val="left" w:pos="567"/>
        </w:tabs>
        <w:spacing w:before="480" w:after="480" w:line="480" w:lineRule="auto"/>
        <w:jc w:val="both"/>
        <w:rPr>
          <w:rFonts w:cs="Arial"/>
          <w:bCs/>
          <w:szCs w:val="22"/>
        </w:rPr>
      </w:pPr>
      <w:r>
        <w:rPr>
          <w:rFonts w:cs="Arial"/>
          <w:bCs/>
          <w:szCs w:val="22"/>
        </w:rPr>
        <w:t>[47]</w:t>
      </w:r>
      <w:r>
        <w:rPr>
          <w:rFonts w:cs="Arial"/>
          <w:bCs/>
          <w:szCs w:val="22"/>
        </w:rPr>
        <w:tab/>
      </w:r>
      <w:r w:rsidR="001B7CD3">
        <w:rPr>
          <w:rFonts w:cs="Arial"/>
          <w:bCs/>
          <w:szCs w:val="22"/>
        </w:rPr>
        <w:t>The one aspect that militates against such an order is the fact that</w:t>
      </w:r>
      <w:r w:rsidR="00934385">
        <w:rPr>
          <w:rFonts w:cs="Arial"/>
          <w:bCs/>
          <w:szCs w:val="22"/>
        </w:rPr>
        <w:t xml:space="preserve"> some of</w:t>
      </w:r>
      <w:r w:rsidR="001B7CD3">
        <w:rPr>
          <w:rFonts w:cs="Arial"/>
          <w:bCs/>
          <w:szCs w:val="22"/>
        </w:rPr>
        <w:t xml:space="preserve"> the </w:t>
      </w:r>
      <w:r w:rsidR="001C5FE9">
        <w:rPr>
          <w:rFonts w:cs="Arial"/>
          <w:bCs/>
          <w:szCs w:val="22"/>
        </w:rPr>
        <w:t>allegations that</w:t>
      </w:r>
      <w:r w:rsidR="000E4B68">
        <w:rPr>
          <w:rFonts w:cs="Arial"/>
          <w:bCs/>
          <w:szCs w:val="22"/>
        </w:rPr>
        <w:t xml:space="preserve"> may</w:t>
      </w:r>
      <w:r w:rsidR="001C5FE9">
        <w:rPr>
          <w:rFonts w:cs="Arial"/>
          <w:bCs/>
          <w:szCs w:val="22"/>
        </w:rPr>
        <w:t xml:space="preserve">, </w:t>
      </w:r>
      <w:r w:rsidR="001C5FE9" w:rsidRPr="000E4B68">
        <w:rPr>
          <w:rFonts w:cs="Arial"/>
          <w:bCs/>
          <w:i/>
          <w:iCs/>
          <w:szCs w:val="22"/>
        </w:rPr>
        <w:t>prima facie</w:t>
      </w:r>
      <w:r w:rsidR="001C5FE9">
        <w:rPr>
          <w:rFonts w:cs="Arial"/>
          <w:bCs/>
          <w:szCs w:val="22"/>
        </w:rPr>
        <w:t xml:space="preserve"> at least, merit a punitive cost order relate not to this Rule 35(12) application but to the application to strike out the bank’s answering / replying affidavit that was brought out of time, his failure to file heads of argument in the Rule 30 application that led to an opposed application as well as a </w:t>
      </w:r>
      <w:r w:rsidR="000E4B68">
        <w:rPr>
          <w:rFonts w:cs="Arial"/>
          <w:bCs/>
          <w:szCs w:val="22"/>
        </w:rPr>
        <w:t xml:space="preserve">second </w:t>
      </w:r>
      <w:r w:rsidR="001C5FE9">
        <w:rPr>
          <w:rFonts w:cs="Arial"/>
          <w:bCs/>
          <w:szCs w:val="22"/>
        </w:rPr>
        <w:t>counter</w:t>
      </w:r>
      <w:r w:rsidR="000E4B68">
        <w:rPr>
          <w:rFonts w:cs="Arial"/>
          <w:bCs/>
          <w:szCs w:val="22"/>
        </w:rPr>
        <w:t>-</w:t>
      </w:r>
      <w:r w:rsidR="001C5FE9">
        <w:rPr>
          <w:rFonts w:cs="Arial"/>
          <w:bCs/>
          <w:szCs w:val="22"/>
        </w:rPr>
        <w:t>application, and his notice that the set down of the application to file heads constituted an irregular step.</w:t>
      </w:r>
      <w:r w:rsidR="000E4B68">
        <w:rPr>
          <w:rFonts w:cs="Arial"/>
          <w:bCs/>
          <w:szCs w:val="22"/>
        </w:rPr>
        <w:t xml:space="preserve"> </w:t>
      </w:r>
      <w:r w:rsidR="005A031E">
        <w:rPr>
          <w:rFonts w:cs="Arial"/>
          <w:bCs/>
          <w:szCs w:val="22"/>
        </w:rPr>
        <w:t xml:space="preserve">He also served a notice in terms of Rule 30 out of time, complaining about the replying affidavit in the main application being out of time. He alleged that the replying affidavit was filed late without any application for </w:t>
      </w:r>
      <w:proofErr w:type="gramStart"/>
      <w:r w:rsidR="005A031E">
        <w:rPr>
          <w:rFonts w:cs="Arial"/>
          <w:bCs/>
          <w:szCs w:val="22"/>
        </w:rPr>
        <w:t>condonation, when</w:t>
      </w:r>
      <w:proofErr w:type="gramEnd"/>
      <w:r w:rsidR="005A031E">
        <w:rPr>
          <w:rFonts w:cs="Arial"/>
          <w:bCs/>
          <w:szCs w:val="22"/>
        </w:rPr>
        <w:t xml:space="preserve"> a proper condonation application had indeed been made.</w:t>
      </w:r>
    </w:p>
    <w:p w14:paraId="4F39DD24" w14:textId="1D45E26D" w:rsidR="001350D6" w:rsidRDefault="00C220AE" w:rsidP="00C220AE">
      <w:pPr>
        <w:widowControl w:val="0"/>
        <w:tabs>
          <w:tab w:val="left" w:pos="567"/>
        </w:tabs>
        <w:spacing w:before="480" w:after="480" w:line="480" w:lineRule="auto"/>
        <w:jc w:val="both"/>
        <w:rPr>
          <w:rFonts w:cs="Arial"/>
          <w:bCs/>
          <w:szCs w:val="22"/>
        </w:rPr>
      </w:pPr>
      <w:r>
        <w:rPr>
          <w:rFonts w:cs="Arial"/>
          <w:bCs/>
          <w:szCs w:val="22"/>
        </w:rPr>
        <w:t>[48]</w:t>
      </w:r>
      <w:r>
        <w:rPr>
          <w:rFonts w:cs="Arial"/>
          <w:bCs/>
          <w:szCs w:val="22"/>
        </w:rPr>
        <w:tab/>
      </w:r>
      <w:r w:rsidR="000E4B68">
        <w:rPr>
          <w:rFonts w:cs="Arial"/>
          <w:bCs/>
          <w:szCs w:val="22"/>
        </w:rPr>
        <w:t>Seen in isolation</w:t>
      </w:r>
      <w:r w:rsidR="005A031E">
        <w:rPr>
          <w:rFonts w:cs="Arial"/>
          <w:bCs/>
          <w:szCs w:val="22"/>
        </w:rPr>
        <w:t xml:space="preserve"> however</w:t>
      </w:r>
      <w:r w:rsidR="000E4B68">
        <w:rPr>
          <w:rFonts w:cs="Arial"/>
          <w:bCs/>
          <w:szCs w:val="22"/>
        </w:rPr>
        <w:t>, the surety’s conduct in the main application and the Rule 30 applications does not justify a punitive cost order in this Rule 35(12) application.</w:t>
      </w:r>
    </w:p>
    <w:p w14:paraId="453A03FC" w14:textId="667E7B1D" w:rsidR="005A031E" w:rsidRDefault="00C220AE" w:rsidP="00C220AE">
      <w:pPr>
        <w:widowControl w:val="0"/>
        <w:tabs>
          <w:tab w:val="left" w:pos="567"/>
        </w:tabs>
        <w:spacing w:before="480" w:after="480" w:line="480" w:lineRule="auto"/>
        <w:jc w:val="both"/>
        <w:rPr>
          <w:rFonts w:cs="Arial"/>
          <w:bCs/>
          <w:szCs w:val="22"/>
        </w:rPr>
      </w:pPr>
      <w:r>
        <w:rPr>
          <w:rFonts w:cs="Arial"/>
          <w:bCs/>
          <w:szCs w:val="22"/>
        </w:rPr>
        <w:t>[49]</w:t>
      </w:r>
      <w:r>
        <w:rPr>
          <w:rFonts w:cs="Arial"/>
          <w:bCs/>
          <w:szCs w:val="22"/>
        </w:rPr>
        <w:tab/>
      </w:r>
      <w:r w:rsidR="001C5FE9">
        <w:rPr>
          <w:rFonts w:cs="Arial"/>
          <w:bCs/>
          <w:szCs w:val="22"/>
        </w:rPr>
        <w:t xml:space="preserve">In this application the </w:t>
      </w:r>
      <w:r w:rsidR="00B16616">
        <w:rPr>
          <w:rFonts w:cs="Arial"/>
          <w:bCs/>
          <w:szCs w:val="22"/>
        </w:rPr>
        <w:t>surety disputed the authority of the bank’s deponent when his authority had already be</w:t>
      </w:r>
      <w:r w:rsidR="001C5FE9">
        <w:rPr>
          <w:rFonts w:cs="Arial"/>
          <w:bCs/>
          <w:szCs w:val="22"/>
        </w:rPr>
        <w:t>en</w:t>
      </w:r>
      <w:r w:rsidR="00B16616">
        <w:rPr>
          <w:rFonts w:cs="Arial"/>
          <w:bCs/>
          <w:szCs w:val="22"/>
        </w:rPr>
        <w:t xml:space="preserve"> dealt with in the founding and answering affidavit in the main application</w:t>
      </w:r>
      <w:r w:rsidR="001C5FE9">
        <w:rPr>
          <w:rFonts w:cs="Arial"/>
          <w:bCs/>
          <w:szCs w:val="22"/>
        </w:rPr>
        <w:t xml:space="preserve">, and he persisted with an </w:t>
      </w:r>
      <w:r w:rsidR="000E4B68">
        <w:rPr>
          <w:rFonts w:cs="Arial"/>
          <w:bCs/>
          <w:szCs w:val="22"/>
        </w:rPr>
        <w:t xml:space="preserve">inappropriate </w:t>
      </w:r>
      <w:r w:rsidR="001C5FE9">
        <w:rPr>
          <w:rFonts w:cs="Arial"/>
          <w:bCs/>
          <w:szCs w:val="22"/>
        </w:rPr>
        <w:t>application for discovery of a Uniform Rule of Court which is inappropriate</w:t>
      </w:r>
      <w:r w:rsidR="000E4B68">
        <w:rPr>
          <w:rFonts w:cs="Arial"/>
          <w:bCs/>
          <w:szCs w:val="22"/>
        </w:rPr>
        <w:t xml:space="preserve"> as it is available to his attorneys from various sources</w:t>
      </w:r>
      <w:r w:rsidR="001C5FE9">
        <w:rPr>
          <w:rFonts w:cs="Arial"/>
          <w:bCs/>
          <w:szCs w:val="22"/>
        </w:rPr>
        <w:t>.</w:t>
      </w:r>
      <w:r w:rsidR="000E4B68">
        <w:rPr>
          <w:rFonts w:cs="Arial"/>
          <w:bCs/>
          <w:szCs w:val="22"/>
        </w:rPr>
        <w:t xml:space="preserve"> This conduct is vexatious, frivolous, and in bad faith. </w:t>
      </w:r>
    </w:p>
    <w:p w14:paraId="5FBB5C11" w14:textId="7E7B97E0" w:rsidR="009B07BC" w:rsidRDefault="00C220AE" w:rsidP="00C220AE">
      <w:pPr>
        <w:widowControl w:val="0"/>
        <w:tabs>
          <w:tab w:val="left" w:pos="567"/>
        </w:tabs>
        <w:spacing w:before="480" w:after="480" w:line="480" w:lineRule="auto"/>
        <w:jc w:val="both"/>
        <w:rPr>
          <w:rFonts w:cs="Arial"/>
          <w:bCs/>
          <w:szCs w:val="22"/>
        </w:rPr>
      </w:pPr>
      <w:r>
        <w:rPr>
          <w:rFonts w:cs="Arial"/>
          <w:bCs/>
          <w:szCs w:val="22"/>
        </w:rPr>
        <w:t>[50]</w:t>
      </w:r>
      <w:r>
        <w:rPr>
          <w:rFonts w:cs="Arial"/>
          <w:bCs/>
          <w:szCs w:val="22"/>
        </w:rPr>
        <w:tab/>
      </w:r>
      <w:r w:rsidR="001C5FE9">
        <w:rPr>
          <w:rFonts w:cs="Arial"/>
          <w:bCs/>
          <w:szCs w:val="22"/>
        </w:rPr>
        <w:t xml:space="preserve">Some of the documents sought in the R35(12) notice and then persisted with in this application </w:t>
      </w:r>
      <w:r w:rsidR="009E63FE">
        <w:rPr>
          <w:rFonts w:cs="Arial"/>
          <w:bCs/>
          <w:szCs w:val="22"/>
        </w:rPr>
        <w:t>merit the inference that the application is vexatious and frivolous</w:t>
      </w:r>
      <w:r w:rsidR="000E4B68">
        <w:rPr>
          <w:rFonts w:cs="Arial"/>
          <w:bCs/>
          <w:szCs w:val="22"/>
        </w:rPr>
        <w:t xml:space="preserve"> and in bad faith</w:t>
      </w:r>
      <w:r w:rsidR="009E63FE">
        <w:rPr>
          <w:rFonts w:cs="Arial"/>
          <w:bCs/>
          <w:szCs w:val="22"/>
        </w:rPr>
        <w:t xml:space="preserve">. </w:t>
      </w:r>
    </w:p>
    <w:p w14:paraId="37A00CBD" w14:textId="2678AC6D" w:rsidR="001C5FE9" w:rsidRPr="005A031E" w:rsidRDefault="00C220AE" w:rsidP="00C220AE">
      <w:pPr>
        <w:widowControl w:val="0"/>
        <w:tabs>
          <w:tab w:val="left" w:pos="567"/>
        </w:tabs>
        <w:spacing w:before="480" w:after="480" w:line="480" w:lineRule="auto"/>
        <w:jc w:val="both"/>
        <w:rPr>
          <w:rFonts w:cs="Arial"/>
          <w:bCs/>
          <w:szCs w:val="22"/>
        </w:rPr>
      </w:pPr>
      <w:r w:rsidRPr="005A031E">
        <w:rPr>
          <w:rFonts w:cs="Arial"/>
          <w:bCs/>
          <w:szCs w:val="22"/>
        </w:rPr>
        <w:lastRenderedPageBreak/>
        <w:t>[51]</w:t>
      </w:r>
      <w:r w:rsidRPr="005A031E">
        <w:rPr>
          <w:rFonts w:cs="Arial"/>
          <w:bCs/>
          <w:szCs w:val="22"/>
        </w:rPr>
        <w:tab/>
      </w:r>
      <w:r w:rsidR="009E63FE">
        <w:rPr>
          <w:rFonts w:cs="Arial"/>
          <w:bCs/>
          <w:szCs w:val="22"/>
        </w:rPr>
        <w:t>In this regard the demand for the power of attorney authorising a conveyancer to appear before the Registrar of Deeds</w:t>
      </w:r>
      <w:r w:rsidR="000E4B68">
        <w:rPr>
          <w:rFonts w:cs="Arial"/>
          <w:bCs/>
          <w:szCs w:val="22"/>
        </w:rPr>
        <w:t xml:space="preserve"> </w:t>
      </w:r>
      <w:r w:rsidR="009E63FE">
        <w:rPr>
          <w:rFonts w:cs="Arial"/>
          <w:bCs/>
          <w:szCs w:val="22"/>
        </w:rPr>
        <w:t xml:space="preserve">on behalf of the surety, the tracer’s report, payments made to the bank official Reinecke, </w:t>
      </w:r>
      <w:r w:rsidR="008B4943">
        <w:rPr>
          <w:rFonts w:cs="Arial"/>
          <w:bCs/>
          <w:szCs w:val="22"/>
        </w:rPr>
        <w:t xml:space="preserve">documentation confirming the purchase of trading stock and consignment stock, the request for financial statements of </w:t>
      </w:r>
      <w:proofErr w:type="spellStart"/>
      <w:r w:rsidR="008B4943">
        <w:rPr>
          <w:rFonts w:cs="Arial"/>
          <w:bCs/>
          <w:szCs w:val="22"/>
        </w:rPr>
        <w:t>Northend</w:t>
      </w:r>
      <w:proofErr w:type="spellEnd"/>
      <w:r w:rsidR="008B4943">
        <w:rPr>
          <w:rFonts w:cs="Arial"/>
          <w:bCs/>
          <w:szCs w:val="22"/>
        </w:rPr>
        <w:t xml:space="preserve">, </w:t>
      </w:r>
      <w:r w:rsidR="00422788">
        <w:rPr>
          <w:rFonts w:cs="Arial"/>
          <w:bCs/>
          <w:szCs w:val="22"/>
        </w:rPr>
        <w:t xml:space="preserve">and </w:t>
      </w:r>
      <w:r w:rsidR="008B4943">
        <w:rPr>
          <w:rFonts w:cs="Arial"/>
          <w:bCs/>
          <w:szCs w:val="22"/>
        </w:rPr>
        <w:t>the surety’s resignation from the time he was employed by the bank all come to mind</w:t>
      </w:r>
      <w:r w:rsidR="005A031E" w:rsidRPr="005A031E">
        <w:rPr>
          <w:rFonts w:cs="Arial"/>
          <w:bCs/>
          <w:szCs w:val="22"/>
        </w:rPr>
        <w:t>.</w:t>
      </w:r>
    </w:p>
    <w:p w14:paraId="33AC46F9" w14:textId="77777777" w:rsidR="00D17373" w:rsidRDefault="00D17373" w:rsidP="00934385">
      <w:pPr>
        <w:widowControl w:val="0"/>
        <w:spacing w:before="480" w:after="480" w:line="480" w:lineRule="auto"/>
        <w:jc w:val="both"/>
        <w:rPr>
          <w:rFonts w:cs="Arial"/>
          <w:bCs/>
          <w:szCs w:val="22"/>
          <w:u w:val="single"/>
        </w:rPr>
      </w:pPr>
    </w:p>
    <w:p w14:paraId="307A24D1" w14:textId="48A316BE" w:rsidR="00934385" w:rsidRPr="00934385" w:rsidRDefault="00934385" w:rsidP="00934385">
      <w:pPr>
        <w:widowControl w:val="0"/>
        <w:spacing w:before="480" w:after="480" w:line="480" w:lineRule="auto"/>
        <w:jc w:val="both"/>
        <w:rPr>
          <w:rFonts w:cs="Arial"/>
          <w:bCs/>
          <w:szCs w:val="22"/>
          <w:u w:val="single"/>
        </w:rPr>
      </w:pPr>
      <w:r w:rsidRPr="00934385">
        <w:rPr>
          <w:rFonts w:cs="Arial"/>
          <w:bCs/>
          <w:szCs w:val="22"/>
          <w:u w:val="single"/>
        </w:rPr>
        <w:t>Conclusion</w:t>
      </w:r>
    </w:p>
    <w:p w14:paraId="3D6D91F3" w14:textId="59EAF9A9" w:rsidR="009B07BC" w:rsidRDefault="00C220AE" w:rsidP="00C220AE">
      <w:pPr>
        <w:widowControl w:val="0"/>
        <w:tabs>
          <w:tab w:val="left" w:pos="567"/>
        </w:tabs>
        <w:spacing w:before="480" w:after="480" w:line="480" w:lineRule="auto"/>
        <w:jc w:val="both"/>
        <w:rPr>
          <w:rFonts w:cs="Arial"/>
          <w:bCs/>
          <w:szCs w:val="22"/>
        </w:rPr>
      </w:pPr>
      <w:r>
        <w:rPr>
          <w:rFonts w:cs="Arial"/>
          <w:bCs/>
          <w:szCs w:val="22"/>
        </w:rPr>
        <w:t>[52]</w:t>
      </w:r>
      <w:r>
        <w:rPr>
          <w:rFonts w:cs="Arial"/>
          <w:bCs/>
          <w:szCs w:val="22"/>
        </w:rPr>
        <w:tab/>
      </w:r>
      <w:r w:rsidR="009B07BC">
        <w:rPr>
          <w:rFonts w:cs="Arial"/>
          <w:bCs/>
          <w:szCs w:val="22"/>
        </w:rPr>
        <w:t xml:space="preserve">I therefore </w:t>
      </w:r>
      <w:proofErr w:type="gramStart"/>
      <w:r w:rsidR="009B07BC">
        <w:rPr>
          <w:rFonts w:cs="Arial"/>
          <w:bCs/>
          <w:szCs w:val="22"/>
        </w:rPr>
        <w:t>come to the conclusion</w:t>
      </w:r>
      <w:proofErr w:type="gramEnd"/>
      <w:r w:rsidR="009B07BC">
        <w:rPr>
          <w:rFonts w:cs="Arial"/>
          <w:bCs/>
          <w:szCs w:val="22"/>
        </w:rPr>
        <w:t xml:space="preserve"> that an attorney and client cost order is justified.</w:t>
      </w:r>
    </w:p>
    <w:p w14:paraId="187643B4" w14:textId="20C252B0" w:rsidR="00934385" w:rsidRDefault="00C220AE" w:rsidP="00C220AE">
      <w:pPr>
        <w:widowControl w:val="0"/>
        <w:tabs>
          <w:tab w:val="left" w:pos="567"/>
        </w:tabs>
        <w:spacing w:before="480" w:after="480" w:line="480" w:lineRule="auto"/>
        <w:jc w:val="both"/>
        <w:rPr>
          <w:rFonts w:cs="Arial"/>
          <w:bCs/>
          <w:szCs w:val="22"/>
        </w:rPr>
      </w:pPr>
      <w:r>
        <w:rPr>
          <w:rFonts w:cs="Arial"/>
          <w:bCs/>
          <w:szCs w:val="22"/>
        </w:rPr>
        <w:t>[53]</w:t>
      </w:r>
      <w:r>
        <w:rPr>
          <w:rFonts w:cs="Arial"/>
          <w:bCs/>
          <w:szCs w:val="22"/>
        </w:rPr>
        <w:tab/>
      </w:r>
      <w:r w:rsidR="00934385">
        <w:rPr>
          <w:rFonts w:cs="Arial"/>
          <w:bCs/>
          <w:szCs w:val="22"/>
        </w:rPr>
        <w:t>For all these reasons I made the order in paragraph 1 above.</w:t>
      </w:r>
    </w:p>
    <w:p w14:paraId="2B053485" w14:textId="4F43D2ED" w:rsidR="001350D6" w:rsidRDefault="001350D6" w:rsidP="009B07BC">
      <w:pPr>
        <w:widowControl w:val="0"/>
        <w:spacing w:before="480" w:after="480" w:line="480" w:lineRule="auto"/>
        <w:ind w:left="567"/>
        <w:jc w:val="both"/>
        <w:rPr>
          <w:rFonts w:cs="Arial"/>
          <w:bCs/>
          <w:szCs w:val="22"/>
        </w:rPr>
      </w:pPr>
    </w:p>
    <w:p w14:paraId="7301B79D" w14:textId="6116B005" w:rsidR="00E71CE6" w:rsidRPr="00E73772" w:rsidRDefault="00E71CE6" w:rsidP="006C43D7">
      <w:pPr>
        <w:tabs>
          <w:tab w:val="right" w:pos="0"/>
        </w:tabs>
        <w:spacing w:line="360" w:lineRule="auto"/>
        <w:contextualSpacing/>
        <w:jc w:val="right"/>
        <w:rPr>
          <w:rFonts w:cs="Arial"/>
          <w:b/>
          <w:szCs w:val="22"/>
        </w:rPr>
      </w:pPr>
    </w:p>
    <w:p w14:paraId="3E6BA7DA" w14:textId="43133B0D" w:rsidR="00AE287F" w:rsidRPr="00E73772" w:rsidRDefault="00AE287F" w:rsidP="006C43D7">
      <w:pPr>
        <w:tabs>
          <w:tab w:val="right" w:pos="0"/>
        </w:tabs>
        <w:spacing w:line="360" w:lineRule="auto"/>
        <w:contextualSpacing/>
        <w:jc w:val="right"/>
        <w:rPr>
          <w:rFonts w:cs="Arial"/>
          <w:b/>
          <w:szCs w:val="22"/>
        </w:rPr>
      </w:pPr>
    </w:p>
    <w:p w14:paraId="0CCB9BFE" w14:textId="7ABE564D" w:rsidR="006C43D7" w:rsidRPr="00E73772" w:rsidRDefault="00C676F3" w:rsidP="006C43D7">
      <w:pPr>
        <w:tabs>
          <w:tab w:val="right" w:pos="0"/>
        </w:tabs>
        <w:spacing w:line="360" w:lineRule="auto"/>
        <w:contextualSpacing/>
        <w:jc w:val="right"/>
        <w:rPr>
          <w:rFonts w:cs="Arial"/>
          <w:b/>
          <w:szCs w:val="22"/>
        </w:rPr>
      </w:pPr>
      <w:r w:rsidRPr="00E73772">
        <w:rPr>
          <w:rFonts w:cs="Arial"/>
          <w:b/>
          <w:szCs w:val="22"/>
        </w:rPr>
        <w:t>J MOORCROFT</w:t>
      </w:r>
    </w:p>
    <w:p w14:paraId="7A2C1059" w14:textId="77777777" w:rsidR="006C43D7" w:rsidRPr="00E73772" w:rsidRDefault="006C43D7" w:rsidP="006C43D7">
      <w:pPr>
        <w:tabs>
          <w:tab w:val="right" w:pos="0"/>
        </w:tabs>
        <w:spacing w:line="360" w:lineRule="auto"/>
        <w:contextualSpacing/>
        <w:jc w:val="right"/>
        <w:rPr>
          <w:rFonts w:cs="Arial"/>
          <w:b/>
          <w:szCs w:val="22"/>
        </w:rPr>
      </w:pPr>
      <w:r w:rsidRPr="00E73772">
        <w:rPr>
          <w:rFonts w:cs="Arial"/>
          <w:b/>
          <w:szCs w:val="22"/>
        </w:rPr>
        <w:t>ACTING JUDGE OF THE HIGH COURT OF SOUTH AFRICA</w:t>
      </w:r>
    </w:p>
    <w:p w14:paraId="077C2590" w14:textId="7452355B" w:rsidR="006C43D7" w:rsidRPr="00E73772" w:rsidRDefault="006C43D7" w:rsidP="006C43D7">
      <w:pPr>
        <w:tabs>
          <w:tab w:val="right" w:pos="0"/>
          <w:tab w:val="left" w:pos="4253"/>
        </w:tabs>
        <w:spacing w:line="360" w:lineRule="auto"/>
        <w:contextualSpacing/>
        <w:jc w:val="right"/>
        <w:rPr>
          <w:rFonts w:cs="Arial"/>
          <w:b/>
          <w:szCs w:val="22"/>
        </w:rPr>
      </w:pPr>
      <w:r w:rsidRPr="00E73772">
        <w:rPr>
          <w:rFonts w:cs="Arial"/>
          <w:b/>
          <w:szCs w:val="22"/>
        </w:rPr>
        <w:t>GAUTENG DIVISION</w:t>
      </w:r>
    </w:p>
    <w:p w14:paraId="40B9C946" w14:textId="77777777" w:rsidR="006C43D7" w:rsidRPr="00E73772" w:rsidRDefault="006C43D7" w:rsidP="006C43D7">
      <w:pPr>
        <w:tabs>
          <w:tab w:val="right" w:pos="0"/>
          <w:tab w:val="left" w:pos="4253"/>
        </w:tabs>
        <w:spacing w:line="360" w:lineRule="auto"/>
        <w:contextualSpacing/>
        <w:jc w:val="right"/>
        <w:rPr>
          <w:rFonts w:cs="Arial"/>
          <w:b/>
          <w:szCs w:val="22"/>
        </w:rPr>
      </w:pPr>
      <w:r w:rsidRPr="00E73772">
        <w:rPr>
          <w:rFonts w:cs="Arial"/>
          <w:b/>
          <w:szCs w:val="22"/>
        </w:rPr>
        <w:t>JOHANNESBURG</w:t>
      </w:r>
    </w:p>
    <w:p w14:paraId="326B529B" w14:textId="77777777" w:rsidR="006C43D7" w:rsidRPr="00E73772" w:rsidRDefault="006C43D7" w:rsidP="006C43D7">
      <w:pPr>
        <w:tabs>
          <w:tab w:val="right" w:pos="0"/>
          <w:tab w:val="left" w:pos="4253"/>
        </w:tabs>
        <w:spacing w:line="360" w:lineRule="auto"/>
        <w:contextualSpacing/>
        <w:jc w:val="center"/>
        <w:rPr>
          <w:rFonts w:cs="Arial"/>
          <w:b/>
          <w:szCs w:val="22"/>
        </w:rPr>
      </w:pPr>
    </w:p>
    <w:p w14:paraId="5A4CC56C" w14:textId="051C4E22" w:rsidR="006C43D7" w:rsidRPr="00E73772" w:rsidRDefault="006C43D7" w:rsidP="006C43D7">
      <w:pPr>
        <w:spacing w:after="200" w:line="480" w:lineRule="auto"/>
        <w:contextualSpacing/>
        <w:jc w:val="right"/>
        <w:rPr>
          <w:rFonts w:cs="Arial"/>
          <w:b/>
          <w:i/>
          <w:iCs/>
          <w:szCs w:val="22"/>
        </w:rPr>
      </w:pPr>
      <w:r w:rsidRPr="00E73772">
        <w:rPr>
          <w:rFonts w:cs="Arial"/>
          <w:b/>
          <w:i/>
          <w:iCs/>
          <w:szCs w:val="22"/>
        </w:rPr>
        <w:t>Electronically submitted</w:t>
      </w:r>
    </w:p>
    <w:p w14:paraId="4E3E9427" w14:textId="77777777" w:rsidR="006C43D7" w:rsidRPr="00E73772" w:rsidRDefault="006C43D7" w:rsidP="006C43D7">
      <w:pPr>
        <w:spacing w:after="200" w:line="360" w:lineRule="auto"/>
        <w:contextualSpacing/>
        <w:jc w:val="both"/>
        <w:rPr>
          <w:rFonts w:eastAsia="Arial Unicode MS" w:cs="Arial"/>
          <w:bCs/>
          <w:szCs w:val="22"/>
        </w:rPr>
      </w:pPr>
    </w:p>
    <w:p w14:paraId="51C686CA" w14:textId="6D54516B" w:rsidR="006C43D7" w:rsidRPr="00E73772" w:rsidRDefault="006C43D7" w:rsidP="006C43D7">
      <w:pPr>
        <w:spacing w:after="200" w:line="360" w:lineRule="auto"/>
        <w:contextualSpacing/>
        <w:jc w:val="both"/>
        <w:rPr>
          <w:rFonts w:eastAsia="Arial Unicode MS" w:cs="Arial"/>
          <w:b/>
          <w:bCs/>
          <w:szCs w:val="22"/>
        </w:rPr>
      </w:pPr>
      <w:r w:rsidRPr="00E73772">
        <w:rPr>
          <w:rFonts w:eastAsia="Arial Unicode MS" w:cs="Arial"/>
          <w:bCs/>
          <w:szCs w:val="22"/>
        </w:rPr>
        <w:t xml:space="preserve">Delivered: This judgement was prepared and authored by the Acting Judge whose name is reflected and is handed down electronically by circulation to the Parties / their legal representatives by email and by uploading it to the electronic file of this matter on </w:t>
      </w:r>
      <w:proofErr w:type="spellStart"/>
      <w:r w:rsidRPr="00E73772">
        <w:rPr>
          <w:rFonts w:eastAsia="Arial Unicode MS" w:cs="Arial"/>
          <w:bCs/>
          <w:szCs w:val="22"/>
        </w:rPr>
        <w:t>Case</w:t>
      </w:r>
      <w:r w:rsidR="00D57251">
        <w:rPr>
          <w:rFonts w:eastAsia="Arial Unicode MS" w:cs="Arial"/>
          <w:bCs/>
          <w:szCs w:val="22"/>
        </w:rPr>
        <w:t>l</w:t>
      </w:r>
      <w:r w:rsidRPr="00E73772">
        <w:rPr>
          <w:rFonts w:eastAsia="Arial Unicode MS" w:cs="Arial"/>
          <w:bCs/>
          <w:szCs w:val="22"/>
        </w:rPr>
        <w:t>ines</w:t>
      </w:r>
      <w:proofErr w:type="spellEnd"/>
      <w:r w:rsidRPr="00E73772">
        <w:rPr>
          <w:rFonts w:eastAsia="Arial Unicode MS" w:cs="Arial"/>
          <w:bCs/>
          <w:szCs w:val="22"/>
        </w:rPr>
        <w:t>. The date of the judgment is deemed to be</w:t>
      </w:r>
      <w:r w:rsidR="00C460A0" w:rsidRPr="00E73772">
        <w:rPr>
          <w:rFonts w:eastAsia="Arial Unicode MS" w:cs="Arial"/>
          <w:bCs/>
          <w:szCs w:val="22"/>
        </w:rPr>
        <w:t xml:space="preserve"> </w:t>
      </w:r>
      <w:r w:rsidR="009B07BC">
        <w:rPr>
          <w:rFonts w:eastAsia="Arial Unicode MS" w:cs="Arial"/>
          <w:b/>
          <w:bCs/>
          <w:szCs w:val="22"/>
        </w:rPr>
        <w:t>27</w:t>
      </w:r>
      <w:r w:rsidR="004802AA">
        <w:rPr>
          <w:rFonts w:eastAsia="Arial Unicode MS" w:cs="Arial"/>
          <w:b/>
          <w:bCs/>
          <w:szCs w:val="22"/>
        </w:rPr>
        <w:t xml:space="preserve"> October</w:t>
      </w:r>
      <w:r w:rsidR="00237FF9" w:rsidRPr="00E73772">
        <w:rPr>
          <w:rFonts w:eastAsia="Arial Unicode MS" w:cs="Arial"/>
          <w:b/>
          <w:bCs/>
          <w:szCs w:val="22"/>
        </w:rPr>
        <w:t xml:space="preserve"> 2022</w:t>
      </w:r>
    </w:p>
    <w:p w14:paraId="482DDF6E" w14:textId="77777777" w:rsidR="006C43D7" w:rsidRPr="00E73772" w:rsidRDefault="006C43D7" w:rsidP="006C43D7">
      <w:pPr>
        <w:tabs>
          <w:tab w:val="right" w:pos="0"/>
          <w:tab w:val="left" w:pos="4253"/>
        </w:tabs>
        <w:spacing w:line="360" w:lineRule="auto"/>
        <w:contextualSpacing/>
        <w:jc w:val="center"/>
        <w:rPr>
          <w:rFonts w:cs="Arial"/>
          <w:b/>
          <w:szCs w:val="22"/>
        </w:rPr>
      </w:pPr>
    </w:p>
    <w:tbl>
      <w:tblPr>
        <w:tblStyle w:val="TableGrid"/>
        <w:tblW w:w="86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4"/>
        <w:gridCol w:w="4649"/>
      </w:tblGrid>
      <w:tr w:rsidR="009D35B5" w:rsidRPr="00E73772" w14:paraId="493AF0D7" w14:textId="77777777" w:rsidTr="00DC621D">
        <w:tc>
          <w:tcPr>
            <w:tcW w:w="3964" w:type="dxa"/>
          </w:tcPr>
          <w:p w14:paraId="6A05541A" w14:textId="2D2B6520" w:rsidR="009D35B5" w:rsidRPr="00E73772" w:rsidRDefault="009D35B5" w:rsidP="006C43D7">
            <w:pPr>
              <w:tabs>
                <w:tab w:val="right" w:pos="0"/>
                <w:tab w:val="left" w:pos="4253"/>
              </w:tabs>
              <w:spacing w:line="360" w:lineRule="auto"/>
              <w:contextualSpacing/>
              <w:jc w:val="both"/>
              <w:rPr>
                <w:rFonts w:cs="Arial"/>
                <w:szCs w:val="22"/>
              </w:rPr>
            </w:pPr>
            <w:r w:rsidRPr="00E73772">
              <w:rPr>
                <w:rFonts w:cs="Arial"/>
                <w:szCs w:val="22"/>
              </w:rPr>
              <w:t>COUNSEL FOR THE APPLICANT:</w:t>
            </w:r>
          </w:p>
        </w:tc>
        <w:tc>
          <w:tcPr>
            <w:tcW w:w="4649" w:type="dxa"/>
          </w:tcPr>
          <w:p w14:paraId="69785AA9" w14:textId="2A3DCE0A" w:rsidR="009D35B5" w:rsidRPr="00E73772" w:rsidRDefault="008A359C" w:rsidP="009D35B5">
            <w:pPr>
              <w:tabs>
                <w:tab w:val="right" w:pos="0"/>
                <w:tab w:val="left" w:pos="4253"/>
              </w:tabs>
              <w:spacing w:line="360" w:lineRule="auto"/>
              <w:contextualSpacing/>
              <w:jc w:val="right"/>
              <w:rPr>
                <w:rFonts w:cs="Arial"/>
                <w:szCs w:val="22"/>
              </w:rPr>
            </w:pPr>
            <w:r>
              <w:rPr>
                <w:rFonts w:cs="Arial"/>
                <w:szCs w:val="22"/>
              </w:rPr>
              <w:t>G NEL SC</w:t>
            </w:r>
          </w:p>
        </w:tc>
      </w:tr>
      <w:tr w:rsidR="009D35B5" w:rsidRPr="00E73772" w14:paraId="183C176D" w14:textId="77777777" w:rsidTr="00DC621D">
        <w:tc>
          <w:tcPr>
            <w:tcW w:w="3964" w:type="dxa"/>
          </w:tcPr>
          <w:p w14:paraId="75365413" w14:textId="4D497E49" w:rsidR="009D35B5" w:rsidRPr="00E73772" w:rsidRDefault="009D35B5" w:rsidP="006C43D7">
            <w:pPr>
              <w:tabs>
                <w:tab w:val="right" w:pos="0"/>
                <w:tab w:val="left" w:pos="4253"/>
              </w:tabs>
              <w:spacing w:line="360" w:lineRule="auto"/>
              <w:contextualSpacing/>
              <w:jc w:val="both"/>
              <w:rPr>
                <w:rFonts w:cs="Arial"/>
                <w:szCs w:val="22"/>
              </w:rPr>
            </w:pPr>
            <w:r w:rsidRPr="00E73772">
              <w:rPr>
                <w:rFonts w:cs="Arial"/>
                <w:szCs w:val="22"/>
              </w:rPr>
              <w:lastRenderedPageBreak/>
              <w:t>INSTRUCTED BY:</w:t>
            </w:r>
          </w:p>
        </w:tc>
        <w:tc>
          <w:tcPr>
            <w:tcW w:w="4649" w:type="dxa"/>
          </w:tcPr>
          <w:p w14:paraId="4044534A" w14:textId="55088819" w:rsidR="009D35B5" w:rsidRPr="00E73772" w:rsidRDefault="008A359C" w:rsidP="009D35B5">
            <w:pPr>
              <w:tabs>
                <w:tab w:val="right" w:pos="0"/>
                <w:tab w:val="left" w:pos="4253"/>
              </w:tabs>
              <w:spacing w:line="360" w:lineRule="auto"/>
              <w:contextualSpacing/>
              <w:jc w:val="right"/>
              <w:rPr>
                <w:rFonts w:cs="Arial"/>
                <w:szCs w:val="22"/>
              </w:rPr>
            </w:pPr>
            <w:r>
              <w:rPr>
                <w:rFonts w:cs="Arial"/>
                <w:szCs w:val="22"/>
              </w:rPr>
              <w:t>VALLY CHAGAN &amp; ASSOCIATES</w:t>
            </w:r>
            <w:r w:rsidR="009D35B5" w:rsidRPr="00E73772">
              <w:rPr>
                <w:rFonts w:cs="Arial"/>
                <w:szCs w:val="22"/>
              </w:rPr>
              <w:t xml:space="preserve"> ATTORNEYS</w:t>
            </w:r>
          </w:p>
        </w:tc>
      </w:tr>
      <w:tr w:rsidR="009D35B5" w:rsidRPr="00E73772" w14:paraId="6E2BF966" w14:textId="77777777" w:rsidTr="00DC621D">
        <w:tc>
          <w:tcPr>
            <w:tcW w:w="3964" w:type="dxa"/>
          </w:tcPr>
          <w:p w14:paraId="545B6665" w14:textId="1A8E54D2" w:rsidR="009D35B5" w:rsidRPr="00E73772" w:rsidRDefault="009D35B5" w:rsidP="006C43D7">
            <w:pPr>
              <w:tabs>
                <w:tab w:val="right" w:pos="0"/>
                <w:tab w:val="left" w:pos="4253"/>
              </w:tabs>
              <w:spacing w:line="360" w:lineRule="auto"/>
              <w:contextualSpacing/>
              <w:jc w:val="both"/>
              <w:rPr>
                <w:rFonts w:cs="Arial"/>
                <w:szCs w:val="22"/>
              </w:rPr>
            </w:pPr>
            <w:r w:rsidRPr="00E73772">
              <w:rPr>
                <w:rFonts w:cs="Arial"/>
                <w:szCs w:val="22"/>
              </w:rPr>
              <w:t>COUNSEL FOR RESPONDENT:</w:t>
            </w:r>
          </w:p>
        </w:tc>
        <w:tc>
          <w:tcPr>
            <w:tcW w:w="4649" w:type="dxa"/>
          </w:tcPr>
          <w:p w14:paraId="51741A90" w14:textId="41432524" w:rsidR="009D35B5" w:rsidRPr="00E73772" w:rsidRDefault="008A359C" w:rsidP="009D35B5">
            <w:pPr>
              <w:tabs>
                <w:tab w:val="right" w:pos="0"/>
                <w:tab w:val="left" w:pos="4253"/>
              </w:tabs>
              <w:spacing w:line="360" w:lineRule="auto"/>
              <w:contextualSpacing/>
              <w:jc w:val="right"/>
              <w:rPr>
                <w:rFonts w:cs="Arial"/>
                <w:szCs w:val="22"/>
              </w:rPr>
            </w:pPr>
            <w:r>
              <w:rPr>
                <w:rFonts w:cs="Arial"/>
                <w:szCs w:val="22"/>
              </w:rPr>
              <w:t>R SHEPSTONE</w:t>
            </w:r>
          </w:p>
        </w:tc>
      </w:tr>
      <w:tr w:rsidR="009D35B5" w:rsidRPr="00E73772" w14:paraId="1EC4105A" w14:textId="77777777" w:rsidTr="00DC621D">
        <w:tc>
          <w:tcPr>
            <w:tcW w:w="3964" w:type="dxa"/>
          </w:tcPr>
          <w:p w14:paraId="184EC2ED" w14:textId="079A555C" w:rsidR="009D35B5" w:rsidRPr="00E73772" w:rsidRDefault="009D35B5" w:rsidP="006C43D7">
            <w:pPr>
              <w:tabs>
                <w:tab w:val="right" w:pos="0"/>
                <w:tab w:val="left" w:pos="4253"/>
              </w:tabs>
              <w:spacing w:line="360" w:lineRule="auto"/>
              <w:contextualSpacing/>
              <w:jc w:val="both"/>
              <w:rPr>
                <w:rFonts w:cs="Arial"/>
                <w:szCs w:val="22"/>
              </w:rPr>
            </w:pPr>
            <w:r w:rsidRPr="00E73772">
              <w:rPr>
                <w:rFonts w:cs="Arial"/>
                <w:szCs w:val="22"/>
              </w:rPr>
              <w:t>INSTRUCTED BY:</w:t>
            </w:r>
          </w:p>
        </w:tc>
        <w:tc>
          <w:tcPr>
            <w:tcW w:w="4649" w:type="dxa"/>
          </w:tcPr>
          <w:p w14:paraId="2098BE2A" w14:textId="3EA85340" w:rsidR="009D35B5" w:rsidRPr="00E73772" w:rsidRDefault="00A86A7A" w:rsidP="009D35B5">
            <w:pPr>
              <w:tabs>
                <w:tab w:val="right" w:pos="0"/>
                <w:tab w:val="left" w:pos="4253"/>
              </w:tabs>
              <w:spacing w:line="360" w:lineRule="auto"/>
              <w:contextualSpacing/>
              <w:jc w:val="right"/>
              <w:rPr>
                <w:rFonts w:cs="Arial"/>
                <w:szCs w:val="22"/>
              </w:rPr>
            </w:pPr>
            <w:r>
              <w:rPr>
                <w:rFonts w:cs="Arial"/>
                <w:szCs w:val="22"/>
              </w:rPr>
              <w:t>A D HERTZBERG</w:t>
            </w:r>
            <w:r w:rsidR="009D35B5" w:rsidRPr="00E73772">
              <w:rPr>
                <w:rFonts w:cs="Arial"/>
                <w:szCs w:val="22"/>
              </w:rPr>
              <w:t xml:space="preserve"> ATTORNEYS </w:t>
            </w:r>
          </w:p>
        </w:tc>
      </w:tr>
      <w:tr w:rsidR="009D35B5" w:rsidRPr="00E73772" w14:paraId="2A3FE2B1" w14:textId="77777777" w:rsidTr="00DC621D">
        <w:tc>
          <w:tcPr>
            <w:tcW w:w="3964" w:type="dxa"/>
          </w:tcPr>
          <w:p w14:paraId="0767D0FE" w14:textId="6078230F" w:rsidR="009D35B5" w:rsidRPr="00E73772" w:rsidRDefault="009D35B5" w:rsidP="006C43D7">
            <w:pPr>
              <w:tabs>
                <w:tab w:val="right" w:pos="0"/>
                <w:tab w:val="left" w:pos="4253"/>
              </w:tabs>
              <w:spacing w:line="360" w:lineRule="auto"/>
              <w:contextualSpacing/>
              <w:jc w:val="both"/>
              <w:rPr>
                <w:rFonts w:cs="Arial"/>
                <w:szCs w:val="22"/>
              </w:rPr>
            </w:pPr>
            <w:r w:rsidRPr="00E73772">
              <w:rPr>
                <w:rFonts w:cs="Arial"/>
                <w:szCs w:val="22"/>
              </w:rPr>
              <w:t>DATE OF THE HEARING:</w:t>
            </w:r>
          </w:p>
        </w:tc>
        <w:tc>
          <w:tcPr>
            <w:tcW w:w="4649" w:type="dxa"/>
          </w:tcPr>
          <w:p w14:paraId="34C95147" w14:textId="2E4DF8EB" w:rsidR="009D35B5" w:rsidRPr="00E73772" w:rsidRDefault="008D4C93" w:rsidP="009D35B5">
            <w:pPr>
              <w:tabs>
                <w:tab w:val="right" w:pos="0"/>
                <w:tab w:val="left" w:pos="4253"/>
              </w:tabs>
              <w:spacing w:line="360" w:lineRule="auto"/>
              <w:contextualSpacing/>
              <w:jc w:val="right"/>
              <w:rPr>
                <w:rFonts w:cs="Arial"/>
                <w:szCs w:val="22"/>
              </w:rPr>
            </w:pPr>
            <w:r>
              <w:rPr>
                <w:rFonts w:cs="Arial"/>
                <w:szCs w:val="22"/>
              </w:rPr>
              <w:t>12</w:t>
            </w:r>
            <w:r w:rsidR="009D35B5" w:rsidRPr="00E73772">
              <w:rPr>
                <w:rFonts w:cs="Arial"/>
                <w:szCs w:val="22"/>
              </w:rPr>
              <w:t xml:space="preserve"> October 2022</w:t>
            </w:r>
          </w:p>
        </w:tc>
      </w:tr>
      <w:tr w:rsidR="009D35B5" w:rsidRPr="00E73772" w14:paraId="2AC11E46" w14:textId="77777777" w:rsidTr="00DC621D">
        <w:tc>
          <w:tcPr>
            <w:tcW w:w="3964" w:type="dxa"/>
          </w:tcPr>
          <w:p w14:paraId="1136CEE6" w14:textId="67FA0375" w:rsidR="009D35B5" w:rsidRPr="00E73772" w:rsidRDefault="009D35B5" w:rsidP="006C43D7">
            <w:pPr>
              <w:tabs>
                <w:tab w:val="right" w:pos="0"/>
                <w:tab w:val="left" w:pos="4253"/>
              </w:tabs>
              <w:spacing w:line="360" w:lineRule="auto"/>
              <w:contextualSpacing/>
              <w:jc w:val="both"/>
              <w:rPr>
                <w:rFonts w:cs="Arial"/>
                <w:szCs w:val="22"/>
              </w:rPr>
            </w:pPr>
            <w:r w:rsidRPr="00E73772">
              <w:rPr>
                <w:rFonts w:cs="Arial"/>
                <w:szCs w:val="22"/>
              </w:rPr>
              <w:t>DATE OF ORDER:</w:t>
            </w:r>
          </w:p>
        </w:tc>
        <w:tc>
          <w:tcPr>
            <w:tcW w:w="4649" w:type="dxa"/>
          </w:tcPr>
          <w:p w14:paraId="7EAC157B" w14:textId="2A7CE4F9" w:rsidR="009D35B5" w:rsidRPr="00E73772" w:rsidRDefault="009B07BC" w:rsidP="009D35B5">
            <w:pPr>
              <w:tabs>
                <w:tab w:val="right" w:pos="0"/>
                <w:tab w:val="left" w:pos="4253"/>
              </w:tabs>
              <w:spacing w:line="360" w:lineRule="auto"/>
              <w:contextualSpacing/>
              <w:jc w:val="right"/>
              <w:rPr>
                <w:rFonts w:cs="Arial"/>
                <w:szCs w:val="22"/>
              </w:rPr>
            </w:pPr>
            <w:r>
              <w:rPr>
                <w:rFonts w:cs="Arial"/>
                <w:szCs w:val="22"/>
              </w:rPr>
              <w:t>27</w:t>
            </w:r>
            <w:r w:rsidR="004802AA">
              <w:rPr>
                <w:rFonts w:cs="Arial"/>
                <w:szCs w:val="22"/>
              </w:rPr>
              <w:t xml:space="preserve"> October 2022</w:t>
            </w:r>
          </w:p>
        </w:tc>
      </w:tr>
      <w:tr w:rsidR="009D35B5" w:rsidRPr="00E73772" w14:paraId="757AA656" w14:textId="77777777" w:rsidTr="00DC621D">
        <w:tc>
          <w:tcPr>
            <w:tcW w:w="3964" w:type="dxa"/>
          </w:tcPr>
          <w:p w14:paraId="05387251" w14:textId="5A778948" w:rsidR="009D35B5" w:rsidRPr="00E73772" w:rsidRDefault="009D35B5" w:rsidP="006C43D7">
            <w:pPr>
              <w:tabs>
                <w:tab w:val="right" w:pos="0"/>
                <w:tab w:val="left" w:pos="4253"/>
              </w:tabs>
              <w:spacing w:line="360" w:lineRule="auto"/>
              <w:contextualSpacing/>
              <w:jc w:val="both"/>
              <w:rPr>
                <w:rFonts w:cs="Arial"/>
                <w:szCs w:val="22"/>
              </w:rPr>
            </w:pPr>
            <w:r w:rsidRPr="00E73772">
              <w:rPr>
                <w:rFonts w:cs="Arial"/>
                <w:szCs w:val="22"/>
              </w:rPr>
              <w:t>DATE OF JUDGMENT:</w:t>
            </w:r>
          </w:p>
        </w:tc>
        <w:tc>
          <w:tcPr>
            <w:tcW w:w="4649" w:type="dxa"/>
          </w:tcPr>
          <w:p w14:paraId="61863A62" w14:textId="4098D999" w:rsidR="009D35B5" w:rsidRPr="00E73772" w:rsidRDefault="009B07BC" w:rsidP="009D35B5">
            <w:pPr>
              <w:tabs>
                <w:tab w:val="right" w:pos="0"/>
                <w:tab w:val="left" w:pos="4253"/>
              </w:tabs>
              <w:spacing w:line="360" w:lineRule="auto"/>
              <w:contextualSpacing/>
              <w:jc w:val="right"/>
              <w:rPr>
                <w:rFonts w:cs="Arial"/>
                <w:szCs w:val="22"/>
              </w:rPr>
            </w:pPr>
            <w:r>
              <w:rPr>
                <w:rFonts w:cs="Arial"/>
                <w:szCs w:val="22"/>
              </w:rPr>
              <w:t>27</w:t>
            </w:r>
            <w:r w:rsidR="004802AA">
              <w:rPr>
                <w:rFonts w:cs="Arial"/>
                <w:szCs w:val="22"/>
              </w:rPr>
              <w:t xml:space="preserve"> October 2022</w:t>
            </w:r>
          </w:p>
        </w:tc>
      </w:tr>
    </w:tbl>
    <w:p w14:paraId="1BD8F4EB" w14:textId="24205645" w:rsidR="00A402F6" w:rsidRPr="00E73772" w:rsidRDefault="00A402F6" w:rsidP="00A402F6">
      <w:pPr>
        <w:tabs>
          <w:tab w:val="right" w:pos="8647"/>
        </w:tabs>
        <w:spacing w:line="360" w:lineRule="auto"/>
        <w:contextualSpacing/>
        <w:jc w:val="both"/>
        <w:rPr>
          <w:rFonts w:cs="Arial"/>
          <w:szCs w:val="22"/>
        </w:rPr>
      </w:pPr>
      <w:r w:rsidRPr="00E73772">
        <w:rPr>
          <w:rFonts w:cs="Arial"/>
          <w:szCs w:val="22"/>
        </w:rPr>
        <w:tab/>
      </w:r>
    </w:p>
    <w:sectPr w:rsidR="00A402F6" w:rsidRPr="00E73772" w:rsidSect="009869F2">
      <w:headerReference w:type="default" r:id="rId9"/>
      <w:pgSz w:w="11906" w:h="16838"/>
      <w:pgMar w:top="1440" w:right="1558" w:bottom="1276"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C003E2" w14:textId="77777777" w:rsidR="002D79C9" w:rsidRDefault="002D79C9">
      <w:r>
        <w:separator/>
      </w:r>
    </w:p>
  </w:endnote>
  <w:endnote w:type="continuationSeparator" w:id="0">
    <w:p w14:paraId="1FAC7A82" w14:textId="77777777" w:rsidR="002D79C9" w:rsidRDefault="002D79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8B947F" w14:textId="77777777" w:rsidR="002D79C9" w:rsidRDefault="002D79C9">
      <w:r>
        <w:separator/>
      </w:r>
    </w:p>
  </w:footnote>
  <w:footnote w:type="continuationSeparator" w:id="0">
    <w:p w14:paraId="6744143F" w14:textId="77777777" w:rsidR="002D79C9" w:rsidRDefault="002D79C9">
      <w:r>
        <w:continuationSeparator/>
      </w:r>
    </w:p>
  </w:footnote>
  <w:footnote w:id="1">
    <w:p w14:paraId="38ECB744" w14:textId="69884D15" w:rsidR="00857B26" w:rsidRDefault="00857B26">
      <w:pPr>
        <w:pStyle w:val="FootnoteText"/>
      </w:pPr>
      <w:r>
        <w:rPr>
          <w:rStyle w:val="FootnoteReference"/>
        </w:rPr>
        <w:footnoteRef/>
      </w:r>
      <w:r>
        <w:t xml:space="preserve"> </w:t>
      </w:r>
      <w:r>
        <w:tab/>
      </w:r>
      <w:proofErr w:type="spellStart"/>
      <w:r w:rsidR="00C20F54">
        <w:t>Northend</w:t>
      </w:r>
      <w:proofErr w:type="spellEnd"/>
      <w:r w:rsidR="00C20F54">
        <w:t xml:space="preserve"> is a juristic person with an asset value or turnover of more than R1 000 000 and the agreement is a large agreement</w:t>
      </w:r>
      <w:r w:rsidR="008355F1">
        <w:t xml:space="preserve"> of more than R250 000</w:t>
      </w:r>
      <w:r w:rsidR="00C20F54">
        <w:t>. See s</w:t>
      </w:r>
      <w:r>
        <w:t xml:space="preserve"> 4(1)(a)(</w:t>
      </w:r>
      <w:proofErr w:type="spellStart"/>
      <w:r>
        <w:t>i</w:t>
      </w:r>
      <w:proofErr w:type="spellEnd"/>
      <w:r>
        <w:t>) and 8(5) of the National Credit Act, 34 of 2005</w:t>
      </w:r>
      <w:r w:rsidR="00C20F54">
        <w:t xml:space="preserve">, and </w:t>
      </w:r>
      <w:r w:rsidR="00C20F54" w:rsidRPr="00C20F54">
        <w:t>GN 713 in GG 28893 of 1 June 20</w:t>
      </w:r>
      <w:r w:rsidR="00C20F54">
        <w:t>06.</w:t>
      </w:r>
    </w:p>
  </w:footnote>
  <w:footnote w:id="2">
    <w:p w14:paraId="175448A8" w14:textId="77777777" w:rsidR="00666680" w:rsidRDefault="00666680" w:rsidP="00666680">
      <w:pPr>
        <w:pStyle w:val="FootnoteText"/>
      </w:pPr>
      <w:r>
        <w:rPr>
          <w:rStyle w:val="FootnoteReference"/>
        </w:rPr>
        <w:footnoteRef/>
      </w:r>
      <w:r>
        <w:t xml:space="preserve"> </w:t>
      </w:r>
      <w:r>
        <w:tab/>
        <w:t>In terms of Rule 30(2) notice must be given within ten days and the application to court must be brought not more than 15 days thereafter.</w:t>
      </w:r>
    </w:p>
  </w:footnote>
  <w:footnote w:id="3">
    <w:p w14:paraId="50111C48" w14:textId="16F6A03B" w:rsidR="00B27002" w:rsidRDefault="00B27002">
      <w:pPr>
        <w:pStyle w:val="FootnoteText"/>
      </w:pPr>
      <w:r>
        <w:rPr>
          <w:rStyle w:val="FootnoteReference"/>
        </w:rPr>
        <w:footnoteRef/>
      </w:r>
      <w:r>
        <w:t xml:space="preserve"> </w:t>
      </w:r>
      <w:r>
        <w:tab/>
        <w:t>Not 2021 as per the notice of motion.</w:t>
      </w:r>
    </w:p>
  </w:footnote>
  <w:footnote w:id="4">
    <w:p w14:paraId="1F3064F8" w14:textId="77777777" w:rsidR="00FC183C" w:rsidRDefault="00FC183C" w:rsidP="00FC183C">
      <w:pPr>
        <w:pStyle w:val="FootnoteText"/>
      </w:pPr>
      <w:r>
        <w:rPr>
          <w:rStyle w:val="FootnoteReference"/>
        </w:rPr>
        <w:footnoteRef/>
      </w:r>
      <w:r>
        <w:t xml:space="preserve"> </w:t>
      </w:r>
      <w:r>
        <w:tab/>
      </w:r>
      <w:proofErr w:type="spellStart"/>
      <w:r w:rsidRPr="00B01FAA">
        <w:rPr>
          <w:i/>
          <w:iCs/>
        </w:rPr>
        <w:t>Ganes</w:t>
      </w:r>
      <w:proofErr w:type="spellEnd"/>
      <w:r w:rsidRPr="00B01FAA">
        <w:rPr>
          <w:i/>
          <w:iCs/>
        </w:rPr>
        <w:t xml:space="preserve"> and Another v Telecom Namibia Ltd</w:t>
      </w:r>
      <w:r>
        <w:t xml:space="preserve"> </w:t>
      </w:r>
      <w:r w:rsidRPr="00B01FAA">
        <w:t>2004 (3) SA 615 (SCA)</w:t>
      </w:r>
      <w:r>
        <w:t xml:space="preserve"> para [18] &amp; [19]; </w:t>
      </w:r>
      <w:r w:rsidRPr="00C47924">
        <w:rPr>
          <w:i/>
          <w:iCs/>
          <w:color w:val="000000" w:themeColor="text1"/>
        </w:rPr>
        <w:t>Eskom v Soweto City Council</w:t>
      </w:r>
      <w:r w:rsidRPr="00B83276">
        <w:rPr>
          <w:color w:val="000000" w:themeColor="text1"/>
        </w:rPr>
        <w:t> </w:t>
      </w:r>
      <w:hyperlink r:id="rId1" w:history="1">
        <w:r w:rsidRPr="00B83276">
          <w:rPr>
            <w:rStyle w:val="Hyperlink"/>
            <w:color w:val="000000" w:themeColor="text1"/>
            <w:u w:val="none"/>
          </w:rPr>
          <w:t>1992 (2) SA 703 (W)</w:t>
        </w:r>
      </w:hyperlink>
      <w:r w:rsidRPr="00B83276">
        <w:rPr>
          <w:color w:val="000000" w:themeColor="text1"/>
        </w:rPr>
        <w:t xml:space="preserve"> 705C </w:t>
      </w:r>
      <w:r>
        <w:rPr>
          <w:color w:val="000000" w:themeColor="text1"/>
        </w:rPr>
        <w:t>–</w:t>
      </w:r>
      <w:r w:rsidRPr="00B83276">
        <w:rPr>
          <w:color w:val="000000" w:themeColor="text1"/>
        </w:rPr>
        <w:t xml:space="preserve"> J</w:t>
      </w:r>
      <w:r>
        <w:rPr>
          <w:color w:val="000000" w:themeColor="text1"/>
        </w:rPr>
        <w:t>.</w:t>
      </w:r>
    </w:p>
  </w:footnote>
  <w:footnote w:id="5">
    <w:p w14:paraId="4E7B44C1" w14:textId="0F99A773" w:rsidR="001E360E" w:rsidRPr="001E360E" w:rsidRDefault="001E360E">
      <w:pPr>
        <w:pStyle w:val="FootnoteText"/>
        <w:rPr>
          <w:color w:val="000000" w:themeColor="text1"/>
        </w:rPr>
      </w:pPr>
      <w:r>
        <w:rPr>
          <w:rStyle w:val="FootnoteReference"/>
        </w:rPr>
        <w:footnoteRef/>
      </w:r>
      <w:r>
        <w:t xml:space="preserve"> </w:t>
      </w:r>
      <w:r w:rsidRPr="001E360E">
        <w:rPr>
          <w:color w:val="000000" w:themeColor="text1"/>
        </w:rPr>
        <w:tab/>
        <w:t>The authority of anyone acting on behalf of a party may be disputed</w:t>
      </w:r>
      <w:r>
        <w:rPr>
          <w:color w:val="000000" w:themeColor="text1"/>
        </w:rPr>
        <w:t xml:space="preserve"> in terms of Rule 7 of the Uninform Rules.</w:t>
      </w:r>
    </w:p>
  </w:footnote>
  <w:footnote w:id="6">
    <w:p w14:paraId="3C5FEBD0" w14:textId="1E9EF7E2" w:rsidR="00C1370F" w:rsidRPr="00C1370F" w:rsidRDefault="00C1370F" w:rsidP="00C1370F">
      <w:pPr>
        <w:pStyle w:val="FootnoteText"/>
        <w:rPr>
          <w:rFonts w:cs="Arial"/>
          <w:color w:val="000000" w:themeColor="text1"/>
        </w:rPr>
      </w:pPr>
      <w:r>
        <w:rPr>
          <w:rStyle w:val="FootnoteReference"/>
        </w:rPr>
        <w:footnoteRef/>
      </w:r>
      <w:r>
        <w:t xml:space="preserve"> </w:t>
      </w:r>
      <w:r>
        <w:tab/>
      </w:r>
      <w:r w:rsidRPr="00C1370F">
        <w:rPr>
          <w:rFonts w:cs="Arial"/>
          <w:i/>
          <w:iCs/>
          <w:color w:val="000000" w:themeColor="text1"/>
          <w:shd w:val="clear" w:color="auto" w:fill="FFFFFF"/>
        </w:rPr>
        <w:t>Titty’s Bar and Bottle Store (Pty) Ltd v ABC Garage (Pty) Ltd</w:t>
      </w:r>
      <w:r w:rsidRPr="00C1370F">
        <w:rPr>
          <w:rFonts w:cs="Arial"/>
          <w:color w:val="000000" w:themeColor="text1"/>
          <w:shd w:val="clear" w:color="auto" w:fill="FFFFFF"/>
        </w:rPr>
        <w:t> </w:t>
      </w:r>
      <w:hyperlink r:id="rId2" w:anchor="y1974v4SApg362" w:history="1">
        <w:r w:rsidRPr="00C1370F">
          <w:rPr>
            <w:rStyle w:val="Hyperlink"/>
            <w:rFonts w:cs="Arial"/>
            <w:color w:val="000000" w:themeColor="text1"/>
            <w:u w:val="none"/>
            <w:shd w:val="clear" w:color="auto" w:fill="FFFFFF"/>
          </w:rPr>
          <w:t>1974 (4) SA 362 (T)</w:t>
        </w:r>
      </w:hyperlink>
      <w:r w:rsidRPr="00C1370F">
        <w:rPr>
          <w:rFonts w:cs="Arial"/>
          <w:color w:val="000000" w:themeColor="text1"/>
          <w:shd w:val="clear" w:color="auto" w:fill="FFFFFF"/>
        </w:rPr>
        <w:t> 368G</w:t>
      </w:r>
      <w:r>
        <w:rPr>
          <w:rFonts w:cs="Arial"/>
          <w:color w:val="000000" w:themeColor="text1"/>
          <w:shd w:val="clear" w:color="auto" w:fill="FFFFFF"/>
        </w:rPr>
        <w:t>.</w:t>
      </w:r>
    </w:p>
  </w:footnote>
  <w:footnote w:id="7">
    <w:p w14:paraId="54F573CA" w14:textId="127BE4AF" w:rsidR="003141A1" w:rsidRDefault="003141A1">
      <w:pPr>
        <w:pStyle w:val="FootnoteText"/>
      </w:pPr>
      <w:r>
        <w:rPr>
          <w:rStyle w:val="FootnoteReference"/>
        </w:rPr>
        <w:footnoteRef/>
      </w:r>
      <w:r>
        <w:t xml:space="preserve"> </w:t>
      </w:r>
      <w:r>
        <w:tab/>
      </w:r>
      <w:r w:rsidRPr="00AE2335">
        <w:rPr>
          <w:color w:val="000000" w:themeColor="text1"/>
        </w:rPr>
        <w:t xml:space="preserve">Compare </w:t>
      </w:r>
      <w:r w:rsidRPr="00AE2335">
        <w:rPr>
          <w:i/>
          <w:iCs/>
          <w:color w:val="000000" w:themeColor="text1"/>
        </w:rPr>
        <w:t>S</w:t>
      </w:r>
      <w:r w:rsidRPr="00AE2335">
        <w:rPr>
          <w:i/>
          <w:iCs/>
          <w:color w:val="000000" w:themeColor="text1"/>
          <w:lang w:eastAsia="en-ZA"/>
        </w:rPr>
        <w:t>hephard v Tuckers Land and Development Corporation (Pty) Ltd (1)</w:t>
      </w:r>
      <w:r w:rsidRPr="00AE2335">
        <w:rPr>
          <w:color w:val="000000" w:themeColor="text1"/>
          <w:lang w:eastAsia="en-ZA"/>
        </w:rPr>
        <w:t> </w:t>
      </w:r>
      <w:hyperlink r:id="rId3" w:anchor="y1978v1SApg173" w:history="1">
        <w:r w:rsidRPr="00AE2335">
          <w:rPr>
            <w:rStyle w:val="Hyperlink"/>
            <w:color w:val="000000" w:themeColor="text1"/>
            <w:u w:val="none"/>
            <w:lang w:eastAsia="en-ZA"/>
          </w:rPr>
          <w:t>1978 (1) SA 173 (W)</w:t>
        </w:r>
      </w:hyperlink>
      <w:r w:rsidRPr="00AE2335">
        <w:rPr>
          <w:color w:val="000000" w:themeColor="text1"/>
          <w:lang w:eastAsia="en-ZA"/>
        </w:rPr>
        <w:t> 177D–E</w:t>
      </w:r>
      <w:r w:rsidRPr="00AE2335">
        <w:rPr>
          <w:color w:val="000000" w:themeColor="text1"/>
        </w:rPr>
        <w:t xml:space="preserve"> and </w:t>
      </w:r>
      <w:r w:rsidRPr="00AE2335">
        <w:rPr>
          <w:i/>
          <w:iCs/>
          <w:color w:val="000000" w:themeColor="text1"/>
          <w:lang w:eastAsia="en-ZA"/>
        </w:rPr>
        <w:t>Gore v Amalgamated Mining Holdings</w:t>
      </w:r>
      <w:r w:rsidRPr="00AE2335">
        <w:rPr>
          <w:color w:val="000000" w:themeColor="text1"/>
          <w:lang w:eastAsia="en-ZA"/>
        </w:rPr>
        <w:t> </w:t>
      </w:r>
      <w:hyperlink r:id="rId4" w:anchor="y1985v1SApg294" w:history="1">
        <w:r w:rsidRPr="00AE2335">
          <w:rPr>
            <w:rStyle w:val="Hyperlink"/>
            <w:color w:val="000000" w:themeColor="text1"/>
            <w:u w:val="none"/>
            <w:lang w:eastAsia="en-ZA"/>
          </w:rPr>
          <w:t>1985 (1) SA 294 (C)</w:t>
        </w:r>
      </w:hyperlink>
      <w:r w:rsidRPr="00AE2335">
        <w:rPr>
          <w:color w:val="000000" w:themeColor="text1"/>
          <w:lang w:eastAsia="en-ZA"/>
        </w:rPr>
        <w:t>  295H–296B</w:t>
      </w:r>
      <w:r w:rsidRPr="00AE2335">
        <w:rPr>
          <w:color w:val="000000" w:themeColor="text1"/>
        </w:rPr>
        <w:t>.</w:t>
      </w:r>
    </w:p>
  </w:footnote>
  <w:footnote w:id="8">
    <w:p w14:paraId="5070B11E" w14:textId="77777777" w:rsidR="006A30AA" w:rsidRPr="003141A1" w:rsidRDefault="006A30AA" w:rsidP="006A30AA">
      <w:pPr>
        <w:pStyle w:val="FootnoteText"/>
        <w:rPr>
          <w:rFonts w:cs="Arial"/>
          <w:color w:val="000000" w:themeColor="text1"/>
        </w:rPr>
      </w:pPr>
      <w:r>
        <w:rPr>
          <w:rStyle w:val="FootnoteReference"/>
        </w:rPr>
        <w:footnoteRef/>
      </w:r>
      <w:r>
        <w:t xml:space="preserve"> </w:t>
      </w:r>
      <w:r>
        <w:tab/>
      </w:r>
      <w:r w:rsidRPr="003141A1">
        <w:rPr>
          <w:rFonts w:ascii="Verdana" w:hAnsi="Verdana"/>
          <w:color w:val="2C3E50"/>
          <w:sz w:val="16"/>
          <w:szCs w:val="16"/>
          <w:shd w:val="clear" w:color="auto" w:fill="FFFFFF"/>
        </w:rPr>
        <w:t> </w:t>
      </w:r>
      <w:proofErr w:type="spellStart"/>
      <w:r w:rsidRPr="003141A1">
        <w:rPr>
          <w:rFonts w:cs="Arial"/>
          <w:i/>
          <w:iCs/>
          <w:color w:val="000000" w:themeColor="text1"/>
          <w:shd w:val="clear" w:color="auto" w:fill="FFFFFF"/>
        </w:rPr>
        <w:t>Beinash</w:t>
      </w:r>
      <w:proofErr w:type="spellEnd"/>
      <w:r w:rsidRPr="003141A1">
        <w:rPr>
          <w:rFonts w:cs="Arial"/>
          <w:i/>
          <w:iCs/>
          <w:color w:val="000000" w:themeColor="text1"/>
          <w:shd w:val="clear" w:color="auto" w:fill="FFFFFF"/>
        </w:rPr>
        <w:t xml:space="preserve"> v </w:t>
      </w:r>
      <w:proofErr w:type="spellStart"/>
      <w:r w:rsidRPr="003141A1">
        <w:rPr>
          <w:rFonts w:cs="Arial"/>
          <w:i/>
          <w:iCs/>
          <w:color w:val="000000" w:themeColor="text1"/>
          <w:shd w:val="clear" w:color="auto" w:fill="FFFFFF"/>
        </w:rPr>
        <w:t>Wixley</w:t>
      </w:r>
      <w:proofErr w:type="spellEnd"/>
      <w:r w:rsidRPr="003141A1">
        <w:rPr>
          <w:rFonts w:cs="Arial"/>
          <w:color w:val="000000" w:themeColor="text1"/>
          <w:shd w:val="clear" w:color="auto" w:fill="FFFFFF"/>
        </w:rPr>
        <w:t> </w:t>
      </w:r>
      <w:hyperlink r:id="rId5" w:anchor="y1997v3SApg721" w:history="1">
        <w:r w:rsidRPr="003141A1">
          <w:rPr>
            <w:rFonts w:cs="Arial"/>
            <w:color w:val="000000" w:themeColor="text1"/>
            <w:shd w:val="clear" w:color="auto" w:fill="FFFFFF"/>
          </w:rPr>
          <w:t>1997 (3) SA 721 (SCA)</w:t>
        </w:r>
      </w:hyperlink>
      <w:r>
        <w:rPr>
          <w:rFonts w:cs="Arial"/>
          <w:color w:val="000000" w:themeColor="text1"/>
          <w:shd w:val="clear" w:color="auto" w:fill="FFFFFF"/>
        </w:rPr>
        <w:t xml:space="preserve"> </w:t>
      </w:r>
      <w:r w:rsidRPr="003141A1">
        <w:rPr>
          <w:rFonts w:cs="Arial"/>
          <w:color w:val="000000" w:themeColor="text1"/>
          <w:shd w:val="clear" w:color="auto" w:fill="FFFFFF"/>
        </w:rPr>
        <w:t>733B</w:t>
      </w:r>
      <w:r>
        <w:rPr>
          <w:rFonts w:cs="Arial"/>
          <w:color w:val="000000" w:themeColor="text1"/>
          <w:shd w:val="clear" w:color="auto" w:fill="FFFFFF"/>
        </w:rPr>
        <w:t>.</w:t>
      </w:r>
    </w:p>
  </w:footnote>
  <w:footnote w:id="9">
    <w:p w14:paraId="33881A66" w14:textId="77777777" w:rsidR="003D0D73" w:rsidRDefault="003D0D73" w:rsidP="003D0D73">
      <w:pPr>
        <w:pStyle w:val="FootnoteText"/>
      </w:pPr>
      <w:r>
        <w:rPr>
          <w:rStyle w:val="FootnoteReference"/>
        </w:rPr>
        <w:footnoteRef/>
      </w:r>
      <w:r>
        <w:t xml:space="preserve"> </w:t>
      </w:r>
      <w:r>
        <w:tab/>
      </w:r>
      <w:r w:rsidRPr="00FE16BD">
        <w:rPr>
          <w:rFonts w:cs="Arial"/>
          <w:i/>
          <w:iCs/>
          <w:color w:val="000000" w:themeColor="text1"/>
          <w:shd w:val="clear" w:color="auto" w:fill="FFFFFF"/>
        </w:rPr>
        <w:t xml:space="preserve">Democratic Alliance v </w:t>
      </w:r>
      <w:proofErr w:type="spellStart"/>
      <w:r w:rsidRPr="00FE16BD">
        <w:rPr>
          <w:rFonts w:cs="Arial"/>
          <w:i/>
          <w:iCs/>
          <w:color w:val="000000" w:themeColor="text1"/>
          <w:shd w:val="clear" w:color="auto" w:fill="FFFFFF"/>
        </w:rPr>
        <w:t>Mkhwebane</w:t>
      </w:r>
      <w:proofErr w:type="spellEnd"/>
      <w:r w:rsidRPr="00FE16BD">
        <w:rPr>
          <w:rFonts w:cs="Arial"/>
          <w:i/>
          <w:iCs/>
          <w:color w:val="000000" w:themeColor="text1"/>
          <w:shd w:val="clear" w:color="auto" w:fill="FFFFFF"/>
        </w:rPr>
        <w:t xml:space="preserve"> </w:t>
      </w:r>
      <w:r w:rsidRPr="00FE16BD">
        <w:rPr>
          <w:rFonts w:cs="Arial"/>
          <w:color w:val="000000" w:themeColor="text1"/>
        </w:rPr>
        <w:t>2021 (3) SA 403 (SCA)</w:t>
      </w:r>
      <w:r>
        <w:rPr>
          <w:rFonts w:cs="Arial"/>
          <w:color w:val="000000" w:themeColor="text1"/>
        </w:rPr>
        <w:t xml:space="preserve"> par [41]. See also </w:t>
      </w:r>
      <w:r w:rsidRPr="00FE16BD">
        <w:rPr>
          <w:rFonts w:cs="Arial"/>
          <w:i/>
          <w:iCs/>
          <w:color w:val="000000" w:themeColor="text1"/>
        </w:rPr>
        <w:t>Caxton and CTP Publishers and Printers Ltd v Novus Holdings Ltd</w:t>
      </w:r>
      <w:r w:rsidRPr="00FE16BD">
        <w:rPr>
          <w:rFonts w:cs="Arial"/>
          <w:color w:val="000000" w:themeColor="text1"/>
        </w:rPr>
        <w:t xml:space="preserve"> [2022] 2 All SA 299 (SCA).</w:t>
      </w:r>
    </w:p>
  </w:footnote>
  <w:footnote w:id="10">
    <w:p w14:paraId="076987EF" w14:textId="77777777" w:rsidR="003D0D73" w:rsidRDefault="003D0D73" w:rsidP="003D0D73">
      <w:pPr>
        <w:pStyle w:val="FootnoteText"/>
      </w:pPr>
      <w:r>
        <w:rPr>
          <w:rStyle w:val="FootnoteReference"/>
        </w:rPr>
        <w:footnoteRef/>
      </w:r>
      <w:r>
        <w:t xml:space="preserve"> </w:t>
      </w:r>
      <w:r>
        <w:tab/>
      </w:r>
      <w:r w:rsidRPr="00B224B3">
        <w:rPr>
          <w:i/>
          <w:iCs/>
        </w:rPr>
        <w:t>R v Matthews</w:t>
      </w:r>
      <w:r>
        <w:t xml:space="preserve"> 1960 (1) SA 752 (A) 758.</w:t>
      </w:r>
    </w:p>
  </w:footnote>
  <w:footnote w:id="11">
    <w:p w14:paraId="02AF67B6" w14:textId="38AD54FD" w:rsidR="006A30AA" w:rsidRDefault="006A30AA">
      <w:pPr>
        <w:pStyle w:val="FootnoteText"/>
      </w:pPr>
      <w:r>
        <w:rPr>
          <w:rStyle w:val="FootnoteReference"/>
        </w:rPr>
        <w:footnoteRef/>
      </w:r>
      <w:r>
        <w:t xml:space="preserve"> </w:t>
      </w:r>
      <w:r>
        <w:tab/>
      </w:r>
      <w:r>
        <w:rPr>
          <w:rFonts w:cs="Arial"/>
          <w:bCs/>
          <w:szCs w:val="22"/>
        </w:rPr>
        <w:t>The question of privilege does not arise in this application - the bank does not claim that any of the documents are privileged.</w:t>
      </w:r>
    </w:p>
  </w:footnote>
  <w:footnote w:id="12">
    <w:p w14:paraId="4013AA3B" w14:textId="547875EB" w:rsidR="00556ACE" w:rsidRDefault="00556ACE">
      <w:pPr>
        <w:pStyle w:val="FootnoteText"/>
      </w:pPr>
      <w:r>
        <w:rPr>
          <w:rStyle w:val="FootnoteReference"/>
        </w:rPr>
        <w:footnoteRef/>
      </w:r>
      <w:r>
        <w:t xml:space="preserve"> </w:t>
      </w:r>
      <w:r>
        <w:tab/>
      </w:r>
      <w:r>
        <w:rPr>
          <w:i/>
          <w:iCs/>
        </w:rPr>
        <w:t>Public Protector v South African Reserve Bank</w:t>
      </w:r>
      <w:r w:rsidRPr="00556ACE">
        <w:t xml:space="preserve"> 2019 (6) SA 253 (CC)</w:t>
      </w:r>
      <w:r w:rsidR="0072541B">
        <w:t xml:space="preserve"> para. 223.</w:t>
      </w:r>
    </w:p>
  </w:footnote>
  <w:footnote w:id="13">
    <w:p w14:paraId="3656199D" w14:textId="0D5EC69B" w:rsidR="0072541B" w:rsidRDefault="0072541B">
      <w:pPr>
        <w:pStyle w:val="FootnoteText"/>
      </w:pPr>
      <w:r>
        <w:rPr>
          <w:rStyle w:val="FootnoteReference"/>
        </w:rPr>
        <w:footnoteRef/>
      </w:r>
      <w:r>
        <w:t xml:space="preserve"> </w:t>
      </w:r>
      <w:r>
        <w:tab/>
        <w:t xml:space="preserve">The footnote refers to </w:t>
      </w:r>
      <w:r w:rsidRPr="0072541B">
        <w:rPr>
          <w:rFonts w:cs="Arial"/>
          <w:i/>
          <w:iCs/>
          <w:color w:val="000000" w:themeColor="text1"/>
          <w:shd w:val="clear" w:color="auto" w:fill="FFFFFF"/>
        </w:rPr>
        <w:t>Orr v Solomon</w:t>
      </w:r>
      <w:r w:rsidRPr="0072541B">
        <w:rPr>
          <w:rFonts w:cs="Arial"/>
          <w:color w:val="000000" w:themeColor="text1"/>
          <w:shd w:val="clear" w:color="auto" w:fill="FFFFFF"/>
        </w:rPr>
        <w:t> 1907 TS 281.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68A9B" w14:textId="06C89D86" w:rsidR="00D645C6" w:rsidRPr="006C43D7" w:rsidRDefault="00D645C6" w:rsidP="004B21D9">
    <w:pPr>
      <w:tabs>
        <w:tab w:val="center" w:pos="4153"/>
        <w:tab w:val="right" w:pos="8306"/>
      </w:tabs>
      <w:spacing w:line="276" w:lineRule="auto"/>
      <w:rPr>
        <w:rFonts w:cs="Arial"/>
        <w:sz w:val="20"/>
        <w:szCs w:val="20"/>
        <w:lang w:val="en-GB"/>
      </w:rPr>
    </w:pPr>
    <w:r w:rsidRPr="006C43D7">
      <w:rPr>
        <w:rFonts w:cs="Arial"/>
        <w:sz w:val="20"/>
        <w:szCs w:val="20"/>
        <w:lang w:val="en-GB"/>
      </w:rPr>
      <w:fldChar w:fldCharType="begin"/>
    </w:r>
    <w:r w:rsidRPr="006C43D7">
      <w:rPr>
        <w:rFonts w:cs="Arial"/>
        <w:sz w:val="20"/>
        <w:szCs w:val="20"/>
        <w:lang w:val="en-GB"/>
      </w:rPr>
      <w:instrText xml:space="preserve"> PAGE </w:instrText>
    </w:r>
    <w:r w:rsidRPr="006C43D7">
      <w:rPr>
        <w:rFonts w:cs="Arial"/>
        <w:sz w:val="20"/>
        <w:szCs w:val="20"/>
        <w:lang w:val="en-GB"/>
      </w:rPr>
      <w:fldChar w:fldCharType="separate"/>
    </w:r>
    <w:r w:rsidR="003E2BE9">
      <w:rPr>
        <w:rFonts w:cs="Arial"/>
        <w:noProof/>
        <w:sz w:val="20"/>
        <w:szCs w:val="20"/>
        <w:lang w:val="en-GB"/>
      </w:rPr>
      <w:t>4</w:t>
    </w:r>
    <w:r w:rsidRPr="006C43D7">
      <w:rPr>
        <w:rFonts w:cs="Arial"/>
        <w:sz w:val="20"/>
        <w:szCs w:val="20"/>
        <w:lang w:val="en-GB"/>
      </w:rPr>
      <w:fldChar w:fldCharType="end"/>
    </w:r>
  </w:p>
  <w:p w14:paraId="08C008E5" w14:textId="77777777" w:rsidR="00D645C6" w:rsidRPr="006C43D7" w:rsidRDefault="00D645C6" w:rsidP="006C43D7">
    <w:pPr>
      <w:tabs>
        <w:tab w:val="center" w:pos="4153"/>
        <w:tab w:val="right" w:pos="8306"/>
      </w:tabs>
      <w:spacing w:line="276" w:lineRule="auto"/>
      <w:jc w:val="right"/>
      <w:rPr>
        <w:rFonts w:cs="Arial"/>
        <w:lang w:val="en-US"/>
      </w:rPr>
    </w:pPr>
  </w:p>
  <w:p w14:paraId="4A21EF97" w14:textId="77777777" w:rsidR="00D645C6" w:rsidRPr="006C43D7" w:rsidRDefault="00D645C6" w:rsidP="006C43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1149B"/>
    <w:multiLevelType w:val="multilevel"/>
    <w:tmpl w:val="BB262BC0"/>
    <w:lvl w:ilvl="0">
      <w:start w:val="1"/>
      <w:numFmt w:val="decimal"/>
      <w:lvlText w:val="%1."/>
      <w:lvlJc w:val="left"/>
      <w:pPr>
        <w:ind w:left="1701" w:hanging="567"/>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2" w15:restartNumberingAfterBreak="0">
    <w:nsid w:val="0D6D2FF7"/>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FFC1874"/>
    <w:multiLevelType w:val="multilevel"/>
    <w:tmpl w:val="1228ED04"/>
    <w:lvl w:ilvl="0">
      <w:start w:val="1"/>
      <w:numFmt w:val="decimal"/>
      <w:lvlText w:val="[%1]"/>
      <w:lvlJc w:val="left"/>
      <w:pPr>
        <w:tabs>
          <w:tab w:val="num" w:pos="567"/>
        </w:tabs>
        <w:ind w:left="0" w:firstLine="0"/>
      </w:pPr>
      <w:rPr>
        <w:rFonts w:hint="default"/>
        <w:b w:val="0"/>
        <w:i w:val="0"/>
        <w:color w:val="auto"/>
      </w:rPr>
    </w:lvl>
    <w:lvl w:ilvl="1">
      <w:start w:val="1"/>
      <w:numFmt w:val="decimal"/>
      <w:lvlText w:val="%1.%2"/>
      <w:lvlJc w:val="left"/>
      <w:pPr>
        <w:tabs>
          <w:tab w:val="num" w:pos="1418"/>
        </w:tabs>
        <w:ind w:left="1418" w:hanging="851"/>
      </w:pPr>
      <w:rPr>
        <w:rFonts w:hint="default"/>
        <w:b w:val="0"/>
        <w:color w:val="auto"/>
      </w:rPr>
    </w:lvl>
    <w:lvl w:ilvl="2">
      <w:start w:val="1"/>
      <w:numFmt w:val="decimal"/>
      <w:lvlText w:val="%1.%2.%3"/>
      <w:lvlJc w:val="left"/>
      <w:pPr>
        <w:tabs>
          <w:tab w:val="num" w:pos="2268"/>
        </w:tabs>
        <w:ind w:left="2268" w:hanging="850"/>
      </w:pPr>
      <w:rPr>
        <w:rFonts w:hint="default"/>
        <w:color w:val="auto"/>
      </w:rPr>
    </w:lvl>
    <w:lvl w:ilvl="3">
      <w:start w:val="1"/>
      <w:numFmt w:val="decimal"/>
      <w:lvlText w:val="%1.%2.%3.%4."/>
      <w:lvlJc w:val="left"/>
      <w:pPr>
        <w:tabs>
          <w:tab w:val="num" w:pos="3402"/>
        </w:tabs>
        <w:ind w:left="3402" w:hanging="1134"/>
      </w:pPr>
      <w:rPr>
        <w:rFonts w:hint="default"/>
      </w:rPr>
    </w:lvl>
    <w:lvl w:ilvl="4">
      <w:start w:val="1"/>
      <w:numFmt w:val="decimal"/>
      <w:lvlText w:val="%1.%2.%3.%4.%5."/>
      <w:lvlJc w:val="left"/>
      <w:pPr>
        <w:tabs>
          <w:tab w:val="num" w:pos="4820"/>
        </w:tabs>
        <w:ind w:left="4820" w:hanging="1418"/>
      </w:pPr>
      <w:rPr>
        <w:rFonts w:hint="default"/>
      </w:rPr>
    </w:lvl>
    <w:lvl w:ilvl="5">
      <w:start w:val="1"/>
      <w:numFmt w:val="decimal"/>
      <w:lvlText w:val="%1.%2.%3.%4.%5.%6."/>
      <w:lvlJc w:val="left"/>
      <w:pPr>
        <w:tabs>
          <w:tab w:val="num" w:pos="5760"/>
        </w:tabs>
        <w:ind w:left="5760" w:hanging="115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15:restartNumberingAfterBreak="0">
    <w:nsid w:val="31CA61CD"/>
    <w:multiLevelType w:val="multilevel"/>
    <w:tmpl w:val="3058E7CA"/>
    <w:lvl w:ilvl="0">
      <w:start w:val="1"/>
      <w:numFmt w:val="decimal"/>
      <w:lvlText w:val="%1."/>
      <w:lvlJc w:val="left"/>
      <w:pPr>
        <w:tabs>
          <w:tab w:val="num" w:pos="1701"/>
        </w:tabs>
        <w:ind w:left="1701" w:hanging="567"/>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5" w15:restartNumberingAfterBreak="0">
    <w:nsid w:val="384B5003"/>
    <w:multiLevelType w:val="multilevel"/>
    <w:tmpl w:val="BA7E0772"/>
    <w:lvl w:ilvl="0">
      <w:start w:val="8"/>
      <w:numFmt w:val="decimal"/>
      <w:lvlText w:val="%1"/>
      <w:lvlJc w:val="left"/>
      <w:pPr>
        <w:ind w:left="360" w:hanging="360"/>
      </w:pPr>
    </w:lvl>
    <w:lvl w:ilvl="1">
      <w:start w:val="1"/>
      <w:numFmt w:val="decimal"/>
      <w:lvlText w:val="%2."/>
      <w:lvlJc w:val="left"/>
      <w:pPr>
        <w:ind w:left="1440" w:hanging="360"/>
      </w:pPr>
      <w:rPr>
        <w:rFonts w:ascii="Arial" w:eastAsia="Times New Roman" w:hAnsi="Arial" w:cs="Arial"/>
        <w:b w:val="0"/>
      </w:rPr>
    </w:lvl>
    <w:lvl w:ilvl="2">
      <w:start w:val="1"/>
      <w:numFmt w:val="decimal"/>
      <w:lvlText w:val="%1.%2.%3"/>
      <w:lvlJc w:val="left"/>
      <w:pPr>
        <w:ind w:left="2880" w:hanging="720"/>
      </w:pPr>
      <w:rPr>
        <w:b w:val="0"/>
      </w:rPr>
    </w:lvl>
    <w:lvl w:ilvl="3">
      <w:start w:val="1"/>
      <w:numFmt w:val="decimal"/>
      <w:lvlText w:val="%1.%2.%3.%4"/>
      <w:lvlJc w:val="left"/>
      <w:pPr>
        <w:ind w:left="4320" w:hanging="1080"/>
      </w:pPr>
      <w:rPr>
        <w:b w:val="0"/>
      </w:rPr>
    </w:lvl>
    <w:lvl w:ilvl="4">
      <w:start w:val="1"/>
      <w:numFmt w:val="decimal"/>
      <w:lvlText w:val="%1.%2.%3.%4.%5"/>
      <w:lvlJc w:val="left"/>
      <w:pPr>
        <w:ind w:left="5400" w:hanging="1080"/>
      </w:pPr>
    </w:lvl>
    <w:lvl w:ilvl="5">
      <w:start w:val="1"/>
      <w:numFmt w:val="decimal"/>
      <w:lvlText w:val="%1.%2.%3.%4.%5.%6"/>
      <w:lvlJc w:val="left"/>
      <w:pPr>
        <w:ind w:left="6840" w:hanging="1440"/>
      </w:pPr>
    </w:lvl>
    <w:lvl w:ilvl="6">
      <w:start w:val="1"/>
      <w:numFmt w:val="decimal"/>
      <w:lvlText w:val="%1.%2.%3.%4.%5.%6.%7"/>
      <w:lvlJc w:val="left"/>
      <w:pPr>
        <w:ind w:left="7920" w:hanging="1440"/>
      </w:pPr>
    </w:lvl>
    <w:lvl w:ilvl="7">
      <w:start w:val="1"/>
      <w:numFmt w:val="decimal"/>
      <w:lvlText w:val="%1.%2.%3.%4.%5.%6.%7.%8"/>
      <w:lvlJc w:val="left"/>
      <w:pPr>
        <w:ind w:left="9360" w:hanging="1800"/>
      </w:pPr>
    </w:lvl>
    <w:lvl w:ilvl="8">
      <w:start w:val="1"/>
      <w:numFmt w:val="decimal"/>
      <w:lvlText w:val="%1.%2.%3.%4.%5.%6.%7.%8.%9"/>
      <w:lvlJc w:val="left"/>
      <w:pPr>
        <w:ind w:left="10440" w:hanging="1800"/>
      </w:pPr>
    </w:lvl>
  </w:abstractNum>
  <w:abstractNum w:abstractNumId="6" w15:restartNumberingAfterBreak="0">
    <w:nsid w:val="3F8F0C59"/>
    <w:multiLevelType w:val="hybridMultilevel"/>
    <w:tmpl w:val="FCCCA750"/>
    <w:lvl w:ilvl="0" w:tplc="F6887E70">
      <w:start w:val="1"/>
      <w:numFmt w:val="decimal"/>
      <w:lvlText w:val="%1."/>
      <w:lvlJc w:val="left"/>
      <w:pPr>
        <w:ind w:left="1650" w:hanging="564"/>
      </w:pPr>
      <w:rPr>
        <w:rFonts w:hint="default"/>
      </w:rPr>
    </w:lvl>
    <w:lvl w:ilvl="1" w:tplc="1C090019">
      <w:start w:val="1"/>
      <w:numFmt w:val="lowerLetter"/>
      <w:lvlText w:val="%2."/>
      <w:lvlJc w:val="left"/>
      <w:pPr>
        <w:ind w:left="2166" w:hanging="360"/>
      </w:pPr>
    </w:lvl>
    <w:lvl w:ilvl="2" w:tplc="1C09001B" w:tentative="1">
      <w:start w:val="1"/>
      <w:numFmt w:val="lowerRoman"/>
      <w:lvlText w:val="%3."/>
      <w:lvlJc w:val="right"/>
      <w:pPr>
        <w:ind w:left="2886" w:hanging="180"/>
      </w:pPr>
    </w:lvl>
    <w:lvl w:ilvl="3" w:tplc="1C09000F" w:tentative="1">
      <w:start w:val="1"/>
      <w:numFmt w:val="decimal"/>
      <w:lvlText w:val="%4."/>
      <w:lvlJc w:val="left"/>
      <w:pPr>
        <w:ind w:left="3606" w:hanging="360"/>
      </w:pPr>
    </w:lvl>
    <w:lvl w:ilvl="4" w:tplc="1C090019" w:tentative="1">
      <w:start w:val="1"/>
      <w:numFmt w:val="lowerLetter"/>
      <w:lvlText w:val="%5."/>
      <w:lvlJc w:val="left"/>
      <w:pPr>
        <w:ind w:left="4326" w:hanging="360"/>
      </w:pPr>
    </w:lvl>
    <w:lvl w:ilvl="5" w:tplc="1C09001B" w:tentative="1">
      <w:start w:val="1"/>
      <w:numFmt w:val="lowerRoman"/>
      <w:lvlText w:val="%6."/>
      <w:lvlJc w:val="right"/>
      <w:pPr>
        <w:ind w:left="5046" w:hanging="180"/>
      </w:pPr>
    </w:lvl>
    <w:lvl w:ilvl="6" w:tplc="1C09000F" w:tentative="1">
      <w:start w:val="1"/>
      <w:numFmt w:val="decimal"/>
      <w:lvlText w:val="%7."/>
      <w:lvlJc w:val="left"/>
      <w:pPr>
        <w:ind w:left="5766" w:hanging="360"/>
      </w:pPr>
    </w:lvl>
    <w:lvl w:ilvl="7" w:tplc="1C090019" w:tentative="1">
      <w:start w:val="1"/>
      <w:numFmt w:val="lowerLetter"/>
      <w:lvlText w:val="%8."/>
      <w:lvlJc w:val="left"/>
      <w:pPr>
        <w:ind w:left="6486" w:hanging="360"/>
      </w:pPr>
    </w:lvl>
    <w:lvl w:ilvl="8" w:tplc="1C09001B" w:tentative="1">
      <w:start w:val="1"/>
      <w:numFmt w:val="lowerRoman"/>
      <w:lvlText w:val="%9."/>
      <w:lvlJc w:val="right"/>
      <w:pPr>
        <w:ind w:left="7206" w:hanging="180"/>
      </w:pPr>
    </w:lvl>
  </w:abstractNum>
  <w:abstractNum w:abstractNumId="7" w15:restartNumberingAfterBreak="0">
    <w:nsid w:val="462F3097"/>
    <w:multiLevelType w:val="multilevel"/>
    <w:tmpl w:val="B54A59FE"/>
    <w:lvl w:ilvl="0">
      <w:start w:val="1"/>
      <w:numFmt w:val="decimal"/>
      <w:lvlText w:val="%1."/>
      <w:lvlJc w:val="left"/>
      <w:pPr>
        <w:tabs>
          <w:tab w:val="num" w:pos="1701"/>
        </w:tabs>
        <w:ind w:left="1701" w:hanging="567"/>
      </w:pPr>
      <w:rPr>
        <w:rFonts w:hint="default"/>
      </w:rPr>
    </w:lvl>
    <w:lvl w:ilvl="1">
      <w:start w:val="1"/>
      <w:numFmt w:val="decimal"/>
      <w:lvlText w:val="%1.%2."/>
      <w:lvlJc w:val="left"/>
      <w:pPr>
        <w:tabs>
          <w:tab w:val="num" w:pos="2438"/>
        </w:tabs>
        <w:ind w:left="2438" w:hanging="73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634C2701"/>
    <w:multiLevelType w:val="multilevel"/>
    <w:tmpl w:val="B54A59FE"/>
    <w:lvl w:ilvl="0">
      <w:start w:val="1"/>
      <w:numFmt w:val="decimal"/>
      <w:lvlText w:val="%1."/>
      <w:lvlJc w:val="left"/>
      <w:pPr>
        <w:tabs>
          <w:tab w:val="num" w:pos="1701"/>
        </w:tabs>
        <w:ind w:left="1701" w:hanging="567"/>
      </w:pPr>
      <w:rPr>
        <w:rFonts w:hint="default"/>
      </w:rPr>
    </w:lvl>
    <w:lvl w:ilvl="1">
      <w:start w:val="1"/>
      <w:numFmt w:val="decimal"/>
      <w:lvlText w:val="%1.%2."/>
      <w:lvlJc w:val="left"/>
      <w:pPr>
        <w:tabs>
          <w:tab w:val="num" w:pos="2438"/>
        </w:tabs>
        <w:ind w:left="2438" w:hanging="73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6900780E"/>
    <w:multiLevelType w:val="multilevel"/>
    <w:tmpl w:val="3058E7CA"/>
    <w:lvl w:ilvl="0">
      <w:start w:val="1"/>
      <w:numFmt w:val="decimal"/>
      <w:lvlText w:val="%1."/>
      <w:lvlJc w:val="left"/>
      <w:pPr>
        <w:tabs>
          <w:tab w:val="num" w:pos="1701"/>
        </w:tabs>
        <w:ind w:left="1701" w:hanging="567"/>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num w:numId="1" w16cid:durableId="1377970440">
    <w:abstractNumId w:val="3"/>
  </w:num>
  <w:num w:numId="2" w16cid:durableId="1325668157">
    <w:abstractNumId w:val="1"/>
  </w:num>
  <w:num w:numId="3" w16cid:durableId="2062365037">
    <w:abstractNumId w:val="9"/>
  </w:num>
  <w:num w:numId="4" w16cid:durableId="645402838">
    <w:abstractNumId w:val="4"/>
  </w:num>
  <w:num w:numId="5" w16cid:durableId="251357965">
    <w:abstractNumId w:val="8"/>
  </w:num>
  <w:num w:numId="6" w16cid:durableId="325743059">
    <w:abstractNumId w:val="7"/>
  </w:num>
  <w:num w:numId="7" w16cid:durableId="999307589">
    <w:abstractNumId w:val="0"/>
  </w:num>
  <w:num w:numId="8" w16cid:durableId="1316180885">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882009734">
    <w:abstractNumId w:val="6"/>
  </w:num>
  <w:num w:numId="10" w16cid:durableId="8269410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76F3"/>
    <w:rsid w:val="000004A3"/>
    <w:rsid w:val="00006113"/>
    <w:rsid w:val="0001111B"/>
    <w:rsid w:val="0001140A"/>
    <w:rsid w:val="00011522"/>
    <w:rsid w:val="00012021"/>
    <w:rsid w:val="00013B7F"/>
    <w:rsid w:val="00015D74"/>
    <w:rsid w:val="000179FE"/>
    <w:rsid w:val="0002490E"/>
    <w:rsid w:val="00024A29"/>
    <w:rsid w:val="000262B3"/>
    <w:rsid w:val="000312FC"/>
    <w:rsid w:val="000325E2"/>
    <w:rsid w:val="00041975"/>
    <w:rsid w:val="00047F26"/>
    <w:rsid w:val="00050086"/>
    <w:rsid w:val="000504F1"/>
    <w:rsid w:val="00057775"/>
    <w:rsid w:val="00057B83"/>
    <w:rsid w:val="000617FB"/>
    <w:rsid w:val="00063F7B"/>
    <w:rsid w:val="0006504D"/>
    <w:rsid w:val="00070EBF"/>
    <w:rsid w:val="000737E1"/>
    <w:rsid w:val="00073E30"/>
    <w:rsid w:val="00074F4A"/>
    <w:rsid w:val="000833BB"/>
    <w:rsid w:val="0009488C"/>
    <w:rsid w:val="00096EAD"/>
    <w:rsid w:val="00097968"/>
    <w:rsid w:val="00097CC2"/>
    <w:rsid w:val="000A6AD8"/>
    <w:rsid w:val="000B21DA"/>
    <w:rsid w:val="000D1F6D"/>
    <w:rsid w:val="000D55D3"/>
    <w:rsid w:val="000D5760"/>
    <w:rsid w:val="000D7C9A"/>
    <w:rsid w:val="000D7D6A"/>
    <w:rsid w:val="000E4B68"/>
    <w:rsid w:val="000E5343"/>
    <w:rsid w:val="000E5BD9"/>
    <w:rsid w:val="000F2DB4"/>
    <w:rsid w:val="000F59F8"/>
    <w:rsid w:val="00104142"/>
    <w:rsid w:val="001130FD"/>
    <w:rsid w:val="00113B92"/>
    <w:rsid w:val="001142D1"/>
    <w:rsid w:val="00120FB1"/>
    <w:rsid w:val="00130253"/>
    <w:rsid w:val="00133E81"/>
    <w:rsid w:val="001350D6"/>
    <w:rsid w:val="00140CED"/>
    <w:rsid w:val="00142746"/>
    <w:rsid w:val="00147FF5"/>
    <w:rsid w:val="00152899"/>
    <w:rsid w:val="00155A21"/>
    <w:rsid w:val="00163904"/>
    <w:rsid w:val="001671C1"/>
    <w:rsid w:val="00172628"/>
    <w:rsid w:val="00174CC4"/>
    <w:rsid w:val="001766A7"/>
    <w:rsid w:val="00185ACF"/>
    <w:rsid w:val="00190579"/>
    <w:rsid w:val="00196E14"/>
    <w:rsid w:val="001A522A"/>
    <w:rsid w:val="001B1D39"/>
    <w:rsid w:val="001B2A05"/>
    <w:rsid w:val="001B3EF2"/>
    <w:rsid w:val="001B4217"/>
    <w:rsid w:val="001B5D3E"/>
    <w:rsid w:val="001B606B"/>
    <w:rsid w:val="001B7CD3"/>
    <w:rsid w:val="001C2935"/>
    <w:rsid w:val="001C5F77"/>
    <w:rsid w:val="001C5FE9"/>
    <w:rsid w:val="001D3CC2"/>
    <w:rsid w:val="001E2EED"/>
    <w:rsid w:val="001E360E"/>
    <w:rsid w:val="001F0A29"/>
    <w:rsid w:val="001F0E46"/>
    <w:rsid w:val="001F1C0B"/>
    <w:rsid w:val="001F3DBD"/>
    <w:rsid w:val="001F648A"/>
    <w:rsid w:val="001F653E"/>
    <w:rsid w:val="001F72D5"/>
    <w:rsid w:val="00201620"/>
    <w:rsid w:val="00205392"/>
    <w:rsid w:val="002104BF"/>
    <w:rsid w:val="002120E9"/>
    <w:rsid w:val="00215824"/>
    <w:rsid w:val="00216BC8"/>
    <w:rsid w:val="0022218D"/>
    <w:rsid w:val="00224216"/>
    <w:rsid w:val="00226926"/>
    <w:rsid w:val="00232528"/>
    <w:rsid w:val="00237FF9"/>
    <w:rsid w:val="00244F23"/>
    <w:rsid w:val="00253F38"/>
    <w:rsid w:val="00262819"/>
    <w:rsid w:val="002775D6"/>
    <w:rsid w:val="00280459"/>
    <w:rsid w:val="002811B1"/>
    <w:rsid w:val="00281EB7"/>
    <w:rsid w:val="00285040"/>
    <w:rsid w:val="00285062"/>
    <w:rsid w:val="002A030C"/>
    <w:rsid w:val="002C15AC"/>
    <w:rsid w:val="002C39B3"/>
    <w:rsid w:val="002C4687"/>
    <w:rsid w:val="002C7670"/>
    <w:rsid w:val="002D23B9"/>
    <w:rsid w:val="002D418D"/>
    <w:rsid w:val="002D47B3"/>
    <w:rsid w:val="002D79C9"/>
    <w:rsid w:val="002E5B57"/>
    <w:rsid w:val="002E6CD7"/>
    <w:rsid w:val="002E753F"/>
    <w:rsid w:val="002F1C4D"/>
    <w:rsid w:val="002F72D3"/>
    <w:rsid w:val="00302290"/>
    <w:rsid w:val="00302C31"/>
    <w:rsid w:val="003047C2"/>
    <w:rsid w:val="0030653F"/>
    <w:rsid w:val="003102C8"/>
    <w:rsid w:val="003108A1"/>
    <w:rsid w:val="0031117B"/>
    <w:rsid w:val="00312EBC"/>
    <w:rsid w:val="00313056"/>
    <w:rsid w:val="00313301"/>
    <w:rsid w:val="003141A1"/>
    <w:rsid w:val="00315155"/>
    <w:rsid w:val="00322883"/>
    <w:rsid w:val="0033385A"/>
    <w:rsid w:val="00337135"/>
    <w:rsid w:val="0034147B"/>
    <w:rsid w:val="00342E02"/>
    <w:rsid w:val="003463D6"/>
    <w:rsid w:val="00346D31"/>
    <w:rsid w:val="00346DE6"/>
    <w:rsid w:val="003543C5"/>
    <w:rsid w:val="00354EF2"/>
    <w:rsid w:val="00357081"/>
    <w:rsid w:val="00357D35"/>
    <w:rsid w:val="00363ED8"/>
    <w:rsid w:val="00363FCD"/>
    <w:rsid w:val="0036436B"/>
    <w:rsid w:val="00364C43"/>
    <w:rsid w:val="00367720"/>
    <w:rsid w:val="0037029D"/>
    <w:rsid w:val="00373181"/>
    <w:rsid w:val="00381213"/>
    <w:rsid w:val="003840EC"/>
    <w:rsid w:val="00390C3F"/>
    <w:rsid w:val="00393127"/>
    <w:rsid w:val="003A09D9"/>
    <w:rsid w:val="003A7864"/>
    <w:rsid w:val="003B4100"/>
    <w:rsid w:val="003C1A16"/>
    <w:rsid w:val="003C1E91"/>
    <w:rsid w:val="003C650E"/>
    <w:rsid w:val="003C79F4"/>
    <w:rsid w:val="003D0D73"/>
    <w:rsid w:val="003D19C3"/>
    <w:rsid w:val="003D36F9"/>
    <w:rsid w:val="003D77F1"/>
    <w:rsid w:val="003E0A89"/>
    <w:rsid w:val="003E2BE9"/>
    <w:rsid w:val="003E6422"/>
    <w:rsid w:val="003F1F49"/>
    <w:rsid w:val="003F3EE4"/>
    <w:rsid w:val="003F7448"/>
    <w:rsid w:val="00407F28"/>
    <w:rsid w:val="0041100A"/>
    <w:rsid w:val="004131C5"/>
    <w:rsid w:val="00416FFE"/>
    <w:rsid w:val="00422788"/>
    <w:rsid w:val="0042423E"/>
    <w:rsid w:val="00424FDE"/>
    <w:rsid w:val="004339E6"/>
    <w:rsid w:val="0043683A"/>
    <w:rsid w:val="00440564"/>
    <w:rsid w:val="00441422"/>
    <w:rsid w:val="00445DCB"/>
    <w:rsid w:val="0045044C"/>
    <w:rsid w:val="0045055B"/>
    <w:rsid w:val="00460495"/>
    <w:rsid w:val="004630B6"/>
    <w:rsid w:val="00474607"/>
    <w:rsid w:val="00474910"/>
    <w:rsid w:val="004749AF"/>
    <w:rsid w:val="00475410"/>
    <w:rsid w:val="004802AA"/>
    <w:rsid w:val="00484116"/>
    <w:rsid w:val="0048424E"/>
    <w:rsid w:val="00486F42"/>
    <w:rsid w:val="00487D14"/>
    <w:rsid w:val="00490B9A"/>
    <w:rsid w:val="00490D65"/>
    <w:rsid w:val="00492C65"/>
    <w:rsid w:val="004A2C7E"/>
    <w:rsid w:val="004A6625"/>
    <w:rsid w:val="004A7DFE"/>
    <w:rsid w:val="004B21D9"/>
    <w:rsid w:val="004C0CE3"/>
    <w:rsid w:val="004C368B"/>
    <w:rsid w:val="004C4BEA"/>
    <w:rsid w:val="004D1A31"/>
    <w:rsid w:val="004D262A"/>
    <w:rsid w:val="004D2C6F"/>
    <w:rsid w:val="004D2E01"/>
    <w:rsid w:val="004E232C"/>
    <w:rsid w:val="004E568C"/>
    <w:rsid w:val="004E589C"/>
    <w:rsid w:val="004E5AD8"/>
    <w:rsid w:val="004F12D8"/>
    <w:rsid w:val="004F22A6"/>
    <w:rsid w:val="00504B53"/>
    <w:rsid w:val="0051015D"/>
    <w:rsid w:val="00511960"/>
    <w:rsid w:val="0051292D"/>
    <w:rsid w:val="00513B7B"/>
    <w:rsid w:val="0051442D"/>
    <w:rsid w:val="00515BE7"/>
    <w:rsid w:val="0051622D"/>
    <w:rsid w:val="00517634"/>
    <w:rsid w:val="005219EB"/>
    <w:rsid w:val="005222CB"/>
    <w:rsid w:val="005262C2"/>
    <w:rsid w:val="0052705A"/>
    <w:rsid w:val="005338F3"/>
    <w:rsid w:val="005356E2"/>
    <w:rsid w:val="00537A72"/>
    <w:rsid w:val="00543A74"/>
    <w:rsid w:val="0054492E"/>
    <w:rsid w:val="00556ACE"/>
    <w:rsid w:val="00556DCB"/>
    <w:rsid w:val="00556E08"/>
    <w:rsid w:val="00571E81"/>
    <w:rsid w:val="005722EC"/>
    <w:rsid w:val="00573FF9"/>
    <w:rsid w:val="005746DF"/>
    <w:rsid w:val="00576B16"/>
    <w:rsid w:val="00582CCA"/>
    <w:rsid w:val="00583B00"/>
    <w:rsid w:val="005875AE"/>
    <w:rsid w:val="00590BEE"/>
    <w:rsid w:val="0059527A"/>
    <w:rsid w:val="00595988"/>
    <w:rsid w:val="005A031E"/>
    <w:rsid w:val="005A0947"/>
    <w:rsid w:val="005A1221"/>
    <w:rsid w:val="005A313A"/>
    <w:rsid w:val="005A680F"/>
    <w:rsid w:val="005B07CB"/>
    <w:rsid w:val="005B2FF9"/>
    <w:rsid w:val="005B6D81"/>
    <w:rsid w:val="005B7DD3"/>
    <w:rsid w:val="005C3EB9"/>
    <w:rsid w:val="005C7FC2"/>
    <w:rsid w:val="005D2408"/>
    <w:rsid w:val="005D2A8B"/>
    <w:rsid w:val="005D505C"/>
    <w:rsid w:val="005D6122"/>
    <w:rsid w:val="005D6E80"/>
    <w:rsid w:val="005E04C5"/>
    <w:rsid w:val="005E2F7B"/>
    <w:rsid w:val="005E3720"/>
    <w:rsid w:val="005E3C94"/>
    <w:rsid w:val="005E5C01"/>
    <w:rsid w:val="005E7118"/>
    <w:rsid w:val="005F37A4"/>
    <w:rsid w:val="006007DB"/>
    <w:rsid w:val="00602403"/>
    <w:rsid w:val="006041A4"/>
    <w:rsid w:val="006109EC"/>
    <w:rsid w:val="00611D8A"/>
    <w:rsid w:val="00614476"/>
    <w:rsid w:val="006150CE"/>
    <w:rsid w:val="006165F4"/>
    <w:rsid w:val="0062327C"/>
    <w:rsid w:val="00627578"/>
    <w:rsid w:val="00632C84"/>
    <w:rsid w:val="006330D9"/>
    <w:rsid w:val="00635A69"/>
    <w:rsid w:val="00636520"/>
    <w:rsid w:val="00637DB7"/>
    <w:rsid w:val="00642664"/>
    <w:rsid w:val="00644BBE"/>
    <w:rsid w:val="0064589D"/>
    <w:rsid w:val="00647DDD"/>
    <w:rsid w:val="00653BA4"/>
    <w:rsid w:val="00657EDA"/>
    <w:rsid w:val="006609A2"/>
    <w:rsid w:val="00660C84"/>
    <w:rsid w:val="0066194B"/>
    <w:rsid w:val="00666680"/>
    <w:rsid w:val="00666D4D"/>
    <w:rsid w:val="00675A19"/>
    <w:rsid w:val="00683FD5"/>
    <w:rsid w:val="00685509"/>
    <w:rsid w:val="006858DA"/>
    <w:rsid w:val="006902F1"/>
    <w:rsid w:val="006906EF"/>
    <w:rsid w:val="006918E9"/>
    <w:rsid w:val="006951CE"/>
    <w:rsid w:val="006A30AA"/>
    <w:rsid w:val="006A438B"/>
    <w:rsid w:val="006B1E87"/>
    <w:rsid w:val="006B437C"/>
    <w:rsid w:val="006B514A"/>
    <w:rsid w:val="006C4213"/>
    <w:rsid w:val="006C43D7"/>
    <w:rsid w:val="006C5694"/>
    <w:rsid w:val="006D2280"/>
    <w:rsid w:val="006D4128"/>
    <w:rsid w:val="006E68E6"/>
    <w:rsid w:val="006E6FF1"/>
    <w:rsid w:val="006F25E5"/>
    <w:rsid w:val="006F2FCE"/>
    <w:rsid w:val="006F415C"/>
    <w:rsid w:val="006F5C06"/>
    <w:rsid w:val="00706E4E"/>
    <w:rsid w:val="0071437E"/>
    <w:rsid w:val="0071441C"/>
    <w:rsid w:val="007205BF"/>
    <w:rsid w:val="007241D4"/>
    <w:rsid w:val="00724D82"/>
    <w:rsid w:val="0072541B"/>
    <w:rsid w:val="00732422"/>
    <w:rsid w:val="00732A6F"/>
    <w:rsid w:val="007347D1"/>
    <w:rsid w:val="00736453"/>
    <w:rsid w:val="0074214D"/>
    <w:rsid w:val="00742764"/>
    <w:rsid w:val="00751452"/>
    <w:rsid w:val="0075156A"/>
    <w:rsid w:val="00751F90"/>
    <w:rsid w:val="007536B7"/>
    <w:rsid w:val="00754833"/>
    <w:rsid w:val="00761C35"/>
    <w:rsid w:val="007656EA"/>
    <w:rsid w:val="00766026"/>
    <w:rsid w:val="00772025"/>
    <w:rsid w:val="00781AA0"/>
    <w:rsid w:val="007A6E29"/>
    <w:rsid w:val="007B088D"/>
    <w:rsid w:val="007B165A"/>
    <w:rsid w:val="007B2DAD"/>
    <w:rsid w:val="007B7246"/>
    <w:rsid w:val="007B78C2"/>
    <w:rsid w:val="007C23FF"/>
    <w:rsid w:val="007C5008"/>
    <w:rsid w:val="007D1E79"/>
    <w:rsid w:val="007D27CF"/>
    <w:rsid w:val="007D4DAF"/>
    <w:rsid w:val="007E1F4F"/>
    <w:rsid w:val="007E2E99"/>
    <w:rsid w:val="007E468A"/>
    <w:rsid w:val="007E58FC"/>
    <w:rsid w:val="007F207F"/>
    <w:rsid w:val="007F5B91"/>
    <w:rsid w:val="00803CEC"/>
    <w:rsid w:val="00803D40"/>
    <w:rsid w:val="00810CA3"/>
    <w:rsid w:val="0082054C"/>
    <w:rsid w:val="00822050"/>
    <w:rsid w:val="00830952"/>
    <w:rsid w:val="00830F84"/>
    <w:rsid w:val="008355F1"/>
    <w:rsid w:val="00842F52"/>
    <w:rsid w:val="00843AD1"/>
    <w:rsid w:val="008443A9"/>
    <w:rsid w:val="008469B3"/>
    <w:rsid w:val="00852390"/>
    <w:rsid w:val="00857B26"/>
    <w:rsid w:val="00860576"/>
    <w:rsid w:val="008674AA"/>
    <w:rsid w:val="008675CC"/>
    <w:rsid w:val="00870DDD"/>
    <w:rsid w:val="0088094C"/>
    <w:rsid w:val="00881004"/>
    <w:rsid w:val="00882C40"/>
    <w:rsid w:val="00884467"/>
    <w:rsid w:val="008942FC"/>
    <w:rsid w:val="008944EC"/>
    <w:rsid w:val="00895598"/>
    <w:rsid w:val="0089586A"/>
    <w:rsid w:val="008A082A"/>
    <w:rsid w:val="008A359C"/>
    <w:rsid w:val="008A4DF4"/>
    <w:rsid w:val="008B1DA9"/>
    <w:rsid w:val="008B4943"/>
    <w:rsid w:val="008B6162"/>
    <w:rsid w:val="008C0B63"/>
    <w:rsid w:val="008C20E7"/>
    <w:rsid w:val="008C3EBC"/>
    <w:rsid w:val="008C57F6"/>
    <w:rsid w:val="008C5DB7"/>
    <w:rsid w:val="008C69FC"/>
    <w:rsid w:val="008D33A3"/>
    <w:rsid w:val="008D4715"/>
    <w:rsid w:val="008D4C93"/>
    <w:rsid w:val="008E0756"/>
    <w:rsid w:val="008F189C"/>
    <w:rsid w:val="008F1FE1"/>
    <w:rsid w:val="008F25A7"/>
    <w:rsid w:val="008F4486"/>
    <w:rsid w:val="008F4FC6"/>
    <w:rsid w:val="00900F7B"/>
    <w:rsid w:val="00902179"/>
    <w:rsid w:val="00904C3B"/>
    <w:rsid w:val="00911DD6"/>
    <w:rsid w:val="0091544C"/>
    <w:rsid w:val="009164BE"/>
    <w:rsid w:val="00921D03"/>
    <w:rsid w:val="00922AFC"/>
    <w:rsid w:val="00925CD2"/>
    <w:rsid w:val="009266FA"/>
    <w:rsid w:val="00933065"/>
    <w:rsid w:val="00933569"/>
    <w:rsid w:val="00934385"/>
    <w:rsid w:val="009365B1"/>
    <w:rsid w:val="0093799C"/>
    <w:rsid w:val="00937DF3"/>
    <w:rsid w:val="00944804"/>
    <w:rsid w:val="009473D8"/>
    <w:rsid w:val="00951D23"/>
    <w:rsid w:val="00952C74"/>
    <w:rsid w:val="009606EC"/>
    <w:rsid w:val="00960ADF"/>
    <w:rsid w:val="00963A0C"/>
    <w:rsid w:val="00974A92"/>
    <w:rsid w:val="00975270"/>
    <w:rsid w:val="00975BA1"/>
    <w:rsid w:val="00977D45"/>
    <w:rsid w:val="009835E3"/>
    <w:rsid w:val="009869F2"/>
    <w:rsid w:val="00987CDB"/>
    <w:rsid w:val="009A2726"/>
    <w:rsid w:val="009A30E0"/>
    <w:rsid w:val="009A3205"/>
    <w:rsid w:val="009A3619"/>
    <w:rsid w:val="009B07BC"/>
    <w:rsid w:val="009B08A7"/>
    <w:rsid w:val="009B08AF"/>
    <w:rsid w:val="009B226E"/>
    <w:rsid w:val="009B3DFC"/>
    <w:rsid w:val="009B793E"/>
    <w:rsid w:val="009C0CB4"/>
    <w:rsid w:val="009C1188"/>
    <w:rsid w:val="009C37B9"/>
    <w:rsid w:val="009C38E7"/>
    <w:rsid w:val="009D0BFB"/>
    <w:rsid w:val="009D32BD"/>
    <w:rsid w:val="009D35B5"/>
    <w:rsid w:val="009D4486"/>
    <w:rsid w:val="009E1434"/>
    <w:rsid w:val="009E3300"/>
    <w:rsid w:val="009E63FE"/>
    <w:rsid w:val="009F211E"/>
    <w:rsid w:val="009F294E"/>
    <w:rsid w:val="009F30F1"/>
    <w:rsid w:val="009F37C7"/>
    <w:rsid w:val="009F50AB"/>
    <w:rsid w:val="009F5F9A"/>
    <w:rsid w:val="00A005F6"/>
    <w:rsid w:val="00A0115D"/>
    <w:rsid w:val="00A0424F"/>
    <w:rsid w:val="00A06585"/>
    <w:rsid w:val="00A111A4"/>
    <w:rsid w:val="00A23E58"/>
    <w:rsid w:val="00A26214"/>
    <w:rsid w:val="00A37BA4"/>
    <w:rsid w:val="00A402F6"/>
    <w:rsid w:val="00A43739"/>
    <w:rsid w:val="00A4474D"/>
    <w:rsid w:val="00A47A18"/>
    <w:rsid w:val="00A51092"/>
    <w:rsid w:val="00A51200"/>
    <w:rsid w:val="00A539CB"/>
    <w:rsid w:val="00A56531"/>
    <w:rsid w:val="00A61C7B"/>
    <w:rsid w:val="00A649E6"/>
    <w:rsid w:val="00A660AF"/>
    <w:rsid w:val="00A70A95"/>
    <w:rsid w:val="00A7621E"/>
    <w:rsid w:val="00A8325E"/>
    <w:rsid w:val="00A86A7A"/>
    <w:rsid w:val="00A93351"/>
    <w:rsid w:val="00AA0013"/>
    <w:rsid w:val="00AA0A1F"/>
    <w:rsid w:val="00AA26FF"/>
    <w:rsid w:val="00AA343B"/>
    <w:rsid w:val="00AA4B3B"/>
    <w:rsid w:val="00AA5AB4"/>
    <w:rsid w:val="00AA6E8C"/>
    <w:rsid w:val="00AA6F19"/>
    <w:rsid w:val="00AA79A8"/>
    <w:rsid w:val="00AA7A76"/>
    <w:rsid w:val="00AB0286"/>
    <w:rsid w:val="00AB4C6D"/>
    <w:rsid w:val="00AB4CE3"/>
    <w:rsid w:val="00AB4DFE"/>
    <w:rsid w:val="00AB511A"/>
    <w:rsid w:val="00AC3DDD"/>
    <w:rsid w:val="00AC4165"/>
    <w:rsid w:val="00AC556A"/>
    <w:rsid w:val="00AC6E56"/>
    <w:rsid w:val="00AD2631"/>
    <w:rsid w:val="00AE287F"/>
    <w:rsid w:val="00AE5F90"/>
    <w:rsid w:val="00AE63BD"/>
    <w:rsid w:val="00AF0B2B"/>
    <w:rsid w:val="00AF285E"/>
    <w:rsid w:val="00AF2914"/>
    <w:rsid w:val="00AF363F"/>
    <w:rsid w:val="00AF3E4F"/>
    <w:rsid w:val="00AF6C6A"/>
    <w:rsid w:val="00B071FF"/>
    <w:rsid w:val="00B11505"/>
    <w:rsid w:val="00B11DC2"/>
    <w:rsid w:val="00B139BF"/>
    <w:rsid w:val="00B15142"/>
    <w:rsid w:val="00B16616"/>
    <w:rsid w:val="00B224B3"/>
    <w:rsid w:val="00B230F3"/>
    <w:rsid w:val="00B27002"/>
    <w:rsid w:val="00B42807"/>
    <w:rsid w:val="00B428A6"/>
    <w:rsid w:val="00B5157D"/>
    <w:rsid w:val="00B52E9E"/>
    <w:rsid w:val="00B53913"/>
    <w:rsid w:val="00B554D4"/>
    <w:rsid w:val="00B56906"/>
    <w:rsid w:val="00B7178E"/>
    <w:rsid w:val="00B71CB5"/>
    <w:rsid w:val="00B71D2D"/>
    <w:rsid w:val="00B72922"/>
    <w:rsid w:val="00B72A13"/>
    <w:rsid w:val="00B72ADA"/>
    <w:rsid w:val="00B76CDD"/>
    <w:rsid w:val="00B77BCC"/>
    <w:rsid w:val="00B84DD5"/>
    <w:rsid w:val="00B9026B"/>
    <w:rsid w:val="00B90E3C"/>
    <w:rsid w:val="00B93A82"/>
    <w:rsid w:val="00B9487E"/>
    <w:rsid w:val="00B95910"/>
    <w:rsid w:val="00BA29E7"/>
    <w:rsid w:val="00BA3A4C"/>
    <w:rsid w:val="00BB0F20"/>
    <w:rsid w:val="00BB3911"/>
    <w:rsid w:val="00BB7BF7"/>
    <w:rsid w:val="00BC413B"/>
    <w:rsid w:val="00BC415B"/>
    <w:rsid w:val="00BD2329"/>
    <w:rsid w:val="00BD2CDE"/>
    <w:rsid w:val="00BD41CF"/>
    <w:rsid w:val="00BE0164"/>
    <w:rsid w:val="00BE087D"/>
    <w:rsid w:val="00BE12BD"/>
    <w:rsid w:val="00BE2ED7"/>
    <w:rsid w:val="00BE439B"/>
    <w:rsid w:val="00BE4DD1"/>
    <w:rsid w:val="00BE6AB8"/>
    <w:rsid w:val="00BF086D"/>
    <w:rsid w:val="00BF2167"/>
    <w:rsid w:val="00C04139"/>
    <w:rsid w:val="00C05091"/>
    <w:rsid w:val="00C13353"/>
    <w:rsid w:val="00C1370F"/>
    <w:rsid w:val="00C20F54"/>
    <w:rsid w:val="00C21B3D"/>
    <w:rsid w:val="00C220AE"/>
    <w:rsid w:val="00C2763B"/>
    <w:rsid w:val="00C2788D"/>
    <w:rsid w:val="00C31651"/>
    <w:rsid w:val="00C361F6"/>
    <w:rsid w:val="00C3669A"/>
    <w:rsid w:val="00C36742"/>
    <w:rsid w:val="00C372F9"/>
    <w:rsid w:val="00C40635"/>
    <w:rsid w:val="00C423E3"/>
    <w:rsid w:val="00C44BAC"/>
    <w:rsid w:val="00C45551"/>
    <w:rsid w:val="00C45626"/>
    <w:rsid w:val="00C458AF"/>
    <w:rsid w:val="00C460A0"/>
    <w:rsid w:val="00C470C4"/>
    <w:rsid w:val="00C47924"/>
    <w:rsid w:val="00C50068"/>
    <w:rsid w:val="00C549F4"/>
    <w:rsid w:val="00C56068"/>
    <w:rsid w:val="00C676F3"/>
    <w:rsid w:val="00C7290C"/>
    <w:rsid w:val="00C75909"/>
    <w:rsid w:val="00C77EFD"/>
    <w:rsid w:val="00C819E2"/>
    <w:rsid w:val="00C81A10"/>
    <w:rsid w:val="00C821B3"/>
    <w:rsid w:val="00C8244D"/>
    <w:rsid w:val="00C829DF"/>
    <w:rsid w:val="00C83729"/>
    <w:rsid w:val="00C84021"/>
    <w:rsid w:val="00C858D0"/>
    <w:rsid w:val="00C85A9A"/>
    <w:rsid w:val="00C875AE"/>
    <w:rsid w:val="00C930C5"/>
    <w:rsid w:val="00C9310B"/>
    <w:rsid w:val="00C949CC"/>
    <w:rsid w:val="00CB1536"/>
    <w:rsid w:val="00CB3907"/>
    <w:rsid w:val="00CC0C54"/>
    <w:rsid w:val="00CC1016"/>
    <w:rsid w:val="00CC66F8"/>
    <w:rsid w:val="00CD1721"/>
    <w:rsid w:val="00CD4DDC"/>
    <w:rsid w:val="00CF0689"/>
    <w:rsid w:val="00CF0BE6"/>
    <w:rsid w:val="00CF2008"/>
    <w:rsid w:val="00CF4188"/>
    <w:rsid w:val="00CF4E9E"/>
    <w:rsid w:val="00CF7446"/>
    <w:rsid w:val="00CF7848"/>
    <w:rsid w:val="00D0526F"/>
    <w:rsid w:val="00D06213"/>
    <w:rsid w:val="00D10010"/>
    <w:rsid w:val="00D10B9B"/>
    <w:rsid w:val="00D1208B"/>
    <w:rsid w:val="00D12BB7"/>
    <w:rsid w:val="00D13C56"/>
    <w:rsid w:val="00D17373"/>
    <w:rsid w:val="00D21B3F"/>
    <w:rsid w:val="00D26893"/>
    <w:rsid w:val="00D31882"/>
    <w:rsid w:val="00D31BAB"/>
    <w:rsid w:val="00D34AFB"/>
    <w:rsid w:val="00D35A03"/>
    <w:rsid w:val="00D37377"/>
    <w:rsid w:val="00D45B8C"/>
    <w:rsid w:val="00D567E0"/>
    <w:rsid w:val="00D56A09"/>
    <w:rsid w:val="00D57251"/>
    <w:rsid w:val="00D630DE"/>
    <w:rsid w:val="00D645C6"/>
    <w:rsid w:val="00D65905"/>
    <w:rsid w:val="00D70131"/>
    <w:rsid w:val="00D72F5B"/>
    <w:rsid w:val="00D7327A"/>
    <w:rsid w:val="00D8121C"/>
    <w:rsid w:val="00D828F9"/>
    <w:rsid w:val="00D866B9"/>
    <w:rsid w:val="00D9086C"/>
    <w:rsid w:val="00D912E6"/>
    <w:rsid w:val="00D94745"/>
    <w:rsid w:val="00D963D5"/>
    <w:rsid w:val="00DA05C5"/>
    <w:rsid w:val="00DA2ED1"/>
    <w:rsid w:val="00DA41B2"/>
    <w:rsid w:val="00DA5D06"/>
    <w:rsid w:val="00DA7B20"/>
    <w:rsid w:val="00DB3DA4"/>
    <w:rsid w:val="00DC3BEA"/>
    <w:rsid w:val="00DC621D"/>
    <w:rsid w:val="00DC6A98"/>
    <w:rsid w:val="00DC7245"/>
    <w:rsid w:val="00DC730A"/>
    <w:rsid w:val="00DD12FC"/>
    <w:rsid w:val="00DE080A"/>
    <w:rsid w:val="00DE130A"/>
    <w:rsid w:val="00DE1F21"/>
    <w:rsid w:val="00DE38B2"/>
    <w:rsid w:val="00DF4926"/>
    <w:rsid w:val="00DF71D5"/>
    <w:rsid w:val="00E05572"/>
    <w:rsid w:val="00E166FD"/>
    <w:rsid w:val="00E21B42"/>
    <w:rsid w:val="00E21E66"/>
    <w:rsid w:val="00E25706"/>
    <w:rsid w:val="00E264BB"/>
    <w:rsid w:val="00E276DF"/>
    <w:rsid w:val="00E30596"/>
    <w:rsid w:val="00E3297F"/>
    <w:rsid w:val="00E33434"/>
    <w:rsid w:val="00E37A5B"/>
    <w:rsid w:val="00E41A7C"/>
    <w:rsid w:val="00E43C23"/>
    <w:rsid w:val="00E45E6A"/>
    <w:rsid w:val="00E50A42"/>
    <w:rsid w:val="00E51A7F"/>
    <w:rsid w:val="00E51E25"/>
    <w:rsid w:val="00E534A9"/>
    <w:rsid w:val="00E56D64"/>
    <w:rsid w:val="00E65BC0"/>
    <w:rsid w:val="00E65FFF"/>
    <w:rsid w:val="00E71CE6"/>
    <w:rsid w:val="00E71E16"/>
    <w:rsid w:val="00E73772"/>
    <w:rsid w:val="00E76641"/>
    <w:rsid w:val="00E80D1F"/>
    <w:rsid w:val="00E84D18"/>
    <w:rsid w:val="00E851E8"/>
    <w:rsid w:val="00E86200"/>
    <w:rsid w:val="00E94A15"/>
    <w:rsid w:val="00E95703"/>
    <w:rsid w:val="00EA0297"/>
    <w:rsid w:val="00EA3F05"/>
    <w:rsid w:val="00EA57DC"/>
    <w:rsid w:val="00EA5E85"/>
    <w:rsid w:val="00EB0B07"/>
    <w:rsid w:val="00EB1B82"/>
    <w:rsid w:val="00EB635D"/>
    <w:rsid w:val="00EC2D5A"/>
    <w:rsid w:val="00EC4C8F"/>
    <w:rsid w:val="00EC70BC"/>
    <w:rsid w:val="00ED018E"/>
    <w:rsid w:val="00EE23B6"/>
    <w:rsid w:val="00EE2EA9"/>
    <w:rsid w:val="00EE4B1C"/>
    <w:rsid w:val="00EE55F9"/>
    <w:rsid w:val="00EE62A5"/>
    <w:rsid w:val="00F07D68"/>
    <w:rsid w:val="00F11454"/>
    <w:rsid w:val="00F221FC"/>
    <w:rsid w:val="00F228EE"/>
    <w:rsid w:val="00F33609"/>
    <w:rsid w:val="00F3521A"/>
    <w:rsid w:val="00F418BD"/>
    <w:rsid w:val="00F42383"/>
    <w:rsid w:val="00F555DC"/>
    <w:rsid w:val="00F57AFC"/>
    <w:rsid w:val="00F627E4"/>
    <w:rsid w:val="00F65DBD"/>
    <w:rsid w:val="00F669B9"/>
    <w:rsid w:val="00F70C47"/>
    <w:rsid w:val="00F73649"/>
    <w:rsid w:val="00F76329"/>
    <w:rsid w:val="00F80CEE"/>
    <w:rsid w:val="00F85F62"/>
    <w:rsid w:val="00F86BC7"/>
    <w:rsid w:val="00F92AA4"/>
    <w:rsid w:val="00FB59A0"/>
    <w:rsid w:val="00FC032F"/>
    <w:rsid w:val="00FC183C"/>
    <w:rsid w:val="00FC42BD"/>
    <w:rsid w:val="00FC4AC5"/>
    <w:rsid w:val="00FD2E9B"/>
    <w:rsid w:val="00FE065B"/>
    <w:rsid w:val="00FE17D2"/>
    <w:rsid w:val="00FF6D2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57696"/>
  <w15:docId w15:val="{690A9337-93C8-400D-8FB4-5341E25AB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ZA" w:eastAsia="en-Z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669A"/>
    <w:rPr>
      <w:rFonts w:ascii="Arial" w:hAnsi="Arial"/>
      <w:sz w:val="22"/>
      <w:szCs w:val="24"/>
      <w:lang w:eastAsia="en-US"/>
    </w:rPr>
  </w:style>
  <w:style w:type="paragraph" w:styleId="Heading1">
    <w:name w:val="heading 1"/>
    <w:basedOn w:val="Normal"/>
    <w:next w:val="Normal"/>
    <w:qFormat/>
    <w:pPr>
      <w:keepNext/>
      <w:spacing w:line="480" w:lineRule="auto"/>
      <w:jc w:val="both"/>
      <w:outlineLvl w:val="0"/>
    </w:pPr>
    <w:rPr>
      <w:rFonts w:cs="Arial"/>
      <w:b/>
      <w:bCs/>
    </w:rPr>
  </w:style>
  <w:style w:type="paragraph" w:styleId="Heading2">
    <w:name w:val="heading 2"/>
    <w:basedOn w:val="Normal"/>
    <w:next w:val="Normal"/>
    <w:qFormat/>
    <w:rsid w:val="009B08AF"/>
    <w:pPr>
      <w:keepNext/>
      <w:spacing w:after="480" w:line="480" w:lineRule="auto"/>
      <w:outlineLvl w:val="1"/>
    </w:pPr>
    <w:rPr>
      <w:rFont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84021"/>
    <w:pPr>
      <w:keepNext/>
      <w:widowControl w:val="0"/>
      <w:spacing w:before="360" w:after="240"/>
    </w:pPr>
    <w:rPr>
      <w:rFonts w:cs="Arial"/>
      <w:b/>
      <w:bCs/>
    </w:rPr>
  </w:style>
  <w:style w:type="paragraph" w:styleId="Header">
    <w:name w:val="header"/>
    <w:basedOn w:val="Normal"/>
    <w:semiHidden/>
    <w:pPr>
      <w:tabs>
        <w:tab w:val="center" w:pos="4153"/>
        <w:tab w:val="right" w:pos="8306"/>
      </w:tabs>
    </w:pPr>
    <w:rPr>
      <w:lang w:val="en-GB"/>
    </w:rPr>
  </w:style>
  <w:style w:type="character" w:styleId="PageNumber">
    <w:name w:val="page number"/>
    <w:basedOn w:val="DefaultParagraphFont"/>
    <w:semiHidden/>
  </w:style>
  <w:style w:type="paragraph" w:styleId="BodyText">
    <w:name w:val="Body Text"/>
    <w:basedOn w:val="Normal"/>
    <w:semiHidden/>
    <w:pPr>
      <w:jc w:val="both"/>
    </w:pPr>
    <w:rPr>
      <w:bCs/>
    </w:rPr>
  </w:style>
  <w:style w:type="paragraph" w:styleId="Footer">
    <w:name w:val="footer"/>
    <w:basedOn w:val="Normal"/>
    <w:link w:val="FooterChar"/>
    <w:uiPriority w:val="99"/>
    <w:unhideWhenUsed/>
    <w:rsid w:val="008B1DA9"/>
    <w:pPr>
      <w:tabs>
        <w:tab w:val="center" w:pos="4513"/>
        <w:tab w:val="right" w:pos="9026"/>
      </w:tabs>
    </w:pPr>
  </w:style>
  <w:style w:type="character" w:customStyle="1" w:styleId="FooterChar">
    <w:name w:val="Footer Char"/>
    <w:basedOn w:val="DefaultParagraphFont"/>
    <w:link w:val="Footer"/>
    <w:uiPriority w:val="99"/>
    <w:rsid w:val="008B1DA9"/>
    <w:rPr>
      <w:sz w:val="24"/>
      <w:szCs w:val="24"/>
      <w:lang w:eastAsia="en-US"/>
    </w:rPr>
  </w:style>
  <w:style w:type="paragraph" w:styleId="BalloonText">
    <w:name w:val="Balloon Text"/>
    <w:basedOn w:val="Normal"/>
    <w:link w:val="BalloonTextChar"/>
    <w:uiPriority w:val="99"/>
    <w:semiHidden/>
    <w:unhideWhenUsed/>
    <w:rsid w:val="006C43D7"/>
    <w:rPr>
      <w:rFonts w:ascii="Tahoma" w:hAnsi="Tahoma" w:cs="Tahoma"/>
      <w:sz w:val="16"/>
      <w:szCs w:val="16"/>
    </w:rPr>
  </w:style>
  <w:style w:type="character" w:customStyle="1" w:styleId="BalloonTextChar">
    <w:name w:val="Balloon Text Char"/>
    <w:basedOn w:val="DefaultParagraphFont"/>
    <w:link w:val="BalloonText"/>
    <w:uiPriority w:val="99"/>
    <w:semiHidden/>
    <w:rsid w:val="006C43D7"/>
    <w:rPr>
      <w:rFonts w:ascii="Tahoma" w:hAnsi="Tahoma" w:cs="Tahoma"/>
      <w:sz w:val="16"/>
      <w:szCs w:val="16"/>
      <w:lang w:eastAsia="en-US"/>
    </w:rPr>
  </w:style>
  <w:style w:type="paragraph" w:styleId="FootnoteText">
    <w:name w:val="footnote text"/>
    <w:basedOn w:val="Normal"/>
    <w:link w:val="FootnoteTextChar"/>
    <w:uiPriority w:val="99"/>
    <w:unhideWhenUsed/>
    <w:rsid w:val="009869F2"/>
    <w:pPr>
      <w:ind w:left="340" w:hanging="340"/>
      <w:jc w:val="both"/>
    </w:pPr>
    <w:rPr>
      <w:sz w:val="20"/>
      <w:szCs w:val="20"/>
    </w:rPr>
  </w:style>
  <w:style w:type="character" w:customStyle="1" w:styleId="FootnoteTextChar">
    <w:name w:val="Footnote Text Char"/>
    <w:basedOn w:val="DefaultParagraphFont"/>
    <w:link w:val="FootnoteText"/>
    <w:uiPriority w:val="99"/>
    <w:rsid w:val="009869F2"/>
    <w:rPr>
      <w:rFonts w:ascii="Arial" w:hAnsi="Arial"/>
      <w:lang w:eastAsia="en-US"/>
    </w:rPr>
  </w:style>
  <w:style w:type="character" w:styleId="FootnoteReference">
    <w:name w:val="footnote reference"/>
    <w:basedOn w:val="DefaultParagraphFont"/>
    <w:uiPriority w:val="99"/>
    <w:semiHidden/>
    <w:unhideWhenUsed/>
    <w:rsid w:val="00AD2631"/>
    <w:rPr>
      <w:vertAlign w:val="superscript"/>
    </w:rPr>
  </w:style>
  <w:style w:type="paragraph" w:styleId="ListParagraph">
    <w:name w:val="List Paragraph"/>
    <w:basedOn w:val="Normal"/>
    <w:uiPriority w:val="34"/>
    <w:qFormat/>
    <w:rsid w:val="00504B53"/>
    <w:pPr>
      <w:ind w:left="720"/>
      <w:contextualSpacing/>
    </w:pPr>
  </w:style>
  <w:style w:type="paragraph" w:styleId="Quote">
    <w:name w:val="Quote"/>
    <w:basedOn w:val="Normal"/>
    <w:next w:val="Normal"/>
    <w:link w:val="QuoteChar"/>
    <w:uiPriority w:val="29"/>
    <w:qFormat/>
    <w:rsid w:val="00933065"/>
    <w:pPr>
      <w:spacing w:before="200" w:after="160"/>
      <w:ind w:left="864" w:right="864"/>
    </w:pPr>
    <w:rPr>
      <w:i/>
      <w:iCs/>
      <w:color w:val="000000" w:themeColor="text1"/>
    </w:rPr>
  </w:style>
  <w:style w:type="character" w:customStyle="1" w:styleId="QuoteChar">
    <w:name w:val="Quote Char"/>
    <w:basedOn w:val="DefaultParagraphFont"/>
    <w:link w:val="Quote"/>
    <w:uiPriority w:val="29"/>
    <w:rsid w:val="00933065"/>
    <w:rPr>
      <w:rFonts w:ascii="Arial" w:hAnsi="Arial"/>
      <w:i/>
      <w:iCs/>
      <w:color w:val="000000" w:themeColor="text1"/>
      <w:sz w:val="22"/>
      <w:szCs w:val="24"/>
      <w:lang w:eastAsia="en-US"/>
    </w:rPr>
  </w:style>
  <w:style w:type="paragraph" w:customStyle="1" w:styleId="lrpara">
    <w:name w:val="lrpara"/>
    <w:basedOn w:val="Normal"/>
    <w:rsid w:val="00EA3F05"/>
    <w:pPr>
      <w:spacing w:before="100" w:beforeAutospacing="1" w:after="100" w:afterAutospacing="1"/>
    </w:pPr>
    <w:rPr>
      <w:rFonts w:ascii="Times New Roman" w:hAnsi="Times New Roman"/>
      <w:sz w:val="24"/>
      <w:lang w:eastAsia="en-ZA"/>
    </w:rPr>
  </w:style>
  <w:style w:type="paragraph" w:customStyle="1" w:styleId="pageno">
    <w:name w:val="pageno"/>
    <w:basedOn w:val="Normal"/>
    <w:rsid w:val="00EA3F05"/>
    <w:pPr>
      <w:spacing w:before="100" w:beforeAutospacing="1" w:after="100" w:afterAutospacing="1"/>
    </w:pPr>
    <w:rPr>
      <w:rFonts w:ascii="Times New Roman" w:hAnsi="Times New Roman"/>
      <w:sz w:val="24"/>
      <w:lang w:eastAsia="en-ZA"/>
    </w:rPr>
  </w:style>
  <w:style w:type="paragraph" w:customStyle="1" w:styleId="lrjudgecont">
    <w:name w:val="lrjudgecont"/>
    <w:basedOn w:val="Normal"/>
    <w:rsid w:val="00EA3F05"/>
    <w:pPr>
      <w:spacing w:before="100" w:beforeAutospacing="1" w:after="100" w:afterAutospacing="1"/>
    </w:pPr>
    <w:rPr>
      <w:rFonts w:ascii="Times New Roman" w:hAnsi="Times New Roman"/>
      <w:sz w:val="24"/>
      <w:lang w:eastAsia="en-ZA"/>
    </w:rPr>
  </w:style>
  <w:style w:type="paragraph" w:styleId="NormalWeb">
    <w:name w:val="Normal (Web)"/>
    <w:basedOn w:val="Normal"/>
    <w:uiPriority w:val="99"/>
    <w:semiHidden/>
    <w:unhideWhenUsed/>
    <w:rsid w:val="00EA3F05"/>
    <w:pPr>
      <w:spacing w:before="100" w:beforeAutospacing="1" w:after="100" w:afterAutospacing="1"/>
    </w:pPr>
    <w:rPr>
      <w:rFonts w:ascii="Times New Roman" w:hAnsi="Times New Roman"/>
      <w:sz w:val="24"/>
      <w:lang w:eastAsia="en-ZA"/>
    </w:rPr>
  </w:style>
  <w:style w:type="character" w:customStyle="1" w:styleId="mc">
    <w:name w:val="mc"/>
    <w:basedOn w:val="DefaultParagraphFont"/>
    <w:rsid w:val="00EA3F05"/>
  </w:style>
  <w:style w:type="character" w:customStyle="1" w:styleId="italic">
    <w:name w:val="italic"/>
    <w:basedOn w:val="DefaultParagraphFont"/>
    <w:rsid w:val="008675CC"/>
  </w:style>
  <w:style w:type="character" w:styleId="Hyperlink">
    <w:name w:val="Hyperlink"/>
    <w:basedOn w:val="DefaultParagraphFont"/>
    <w:uiPriority w:val="99"/>
    <w:unhideWhenUsed/>
    <w:rsid w:val="008675CC"/>
    <w:rPr>
      <w:color w:val="0000FF"/>
      <w:u w:val="single"/>
    </w:rPr>
  </w:style>
  <w:style w:type="paragraph" w:customStyle="1" w:styleId="normaltext">
    <w:name w:val="normaltext"/>
    <w:basedOn w:val="Normal"/>
    <w:rsid w:val="002A030C"/>
    <w:pPr>
      <w:spacing w:before="100" w:beforeAutospacing="1" w:after="100" w:afterAutospacing="1"/>
    </w:pPr>
    <w:rPr>
      <w:rFonts w:ascii="Times New Roman" w:hAnsi="Times New Roman"/>
      <w:sz w:val="24"/>
      <w:lang w:eastAsia="en-ZA"/>
    </w:rPr>
  </w:style>
  <w:style w:type="table" w:styleId="TableGrid">
    <w:name w:val="Table Grid"/>
    <w:basedOn w:val="TableNormal"/>
    <w:uiPriority w:val="59"/>
    <w:rsid w:val="002104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fullout">
    <w:name w:val="parafullout"/>
    <w:basedOn w:val="Normal"/>
    <w:rsid w:val="00AB4DFE"/>
    <w:pPr>
      <w:adjustRightInd w:val="0"/>
      <w:spacing w:before="180"/>
      <w:jc w:val="both"/>
      <w:textAlignment w:val="baseline"/>
    </w:pPr>
    <w:rPr>
      <w:rFonts w:ascii="Verdana" w:hAnsi="Verdana"/>
      <w:sz w:val="18"/>
      <w:szCs w:val="20"/>
      <w:lang w:val="en-US" w:eastAsia="en-ZA"/>
    </w:rPr>
  </w:style>
  <w:style w:type="paragraph" w:customStyle="1" w:styleId="footnotes">
    <w:name w:val="footnotes"/>
    <w:basedOn w:val="Normal"/>
    <w:rsid w:val="00AB4DFE"/>
    <w:pPr>
      <w:tabs>
        <w:tab w:val="right" w:pos="397"/>
        <w:tab w:val="left" w:pos="567"/>
      </w:tabs>
      <w:adjustRightInd w:val="0"/>
      <w:ind w:left="567" w:hanging="567"/>
      <w:jc w:val="both"/>
      <w:textAlignment w:val="baseline"/>
    </w:pPr>
    <w:rPr>
      <w:rFonts w:ascii="Verdana" w:hAnsi="Verdana"/>
      <w:sz w:val="16"/>
      <w:szCs w:val="20"/>
      <w:lang w:val="en-US" w:eastAsia="en-ZA"/>
    </w:rPr>
  </w:style>
  <w:style w:type="paragraph" w:customStyle="1" w:styleId="Quote2">
    <w:name w:val="Quote2"/>
    <w:basedOn w:val="Normal"/>
    <w:rsid w:val="00AB4DFE"/>
    <w:pPr>
      <w:adjustRightInd w:val="0"/>
      <w:spacing w:before="120"/>
      <w:ind w:left="567" w:right="567"/>
      <w:jc w:val="both"/>
      <w:textAlignment w:val="baseline"/>
    </w:pPr>
    <w:rPr>
      <w:rFonts w:ascii="Verdana" w:hAnsi="Verdana"/>
      <w:sz w:val="16"/>
      <w:szCs w:val="20"/>
      <w:lang w:val="en-US" w:eastAsia="en-ZA"/>
    </w:rPr>
  </w:style>
  <w:style w:type="character" w:customStyle="1" w:styleId="searchhit">
    <w:name w:val="searchhit"/>
    <w:basedOn w:val="DefaultParagraphFont"/>
    <w:rsid w:val="009606EC"/>
  </w:style>
  <w:style w:type="character" w:customStyle="1" w:styleId="footnoteanchor">
    <w:name w:val="footnoteanchor"/>
    <w:basedOn w:val="DefaultParagraphFont"/>
    <w:rsid w:val="0072541B"/>
  </w:style>
  <w:style w:type="paragraph" w:styleId="EndnoteText">
    <w:name w:val="endnote text"/>
    <w:basedOn w:val="Normal"/>
    <w:link w:val="EndnoteTextChar"/>
    <w:uiPriority w:val="99"/>
    <w:semiHidden/>
    <w:unhideWhenUsed/>
    <w:rsid w:val="0072541B"/>
    <w:rPr>
      <w:sz w:val="20"/>
      <w:szCs w:val="20"/>
    </w:rPr>
  </w:style>
  <w:style w:type="character" w:customStyle="1" w:styleId="EndnoteTextChar">
    <w:name w:val="Endnote Text Char"/>
    <w:basedOn w:val="DefaultParagraphFont"/>
    <w:link w:val="EndnoteText"/>
    <w:uiPriority w:val="99"/>
    <w:semiHidden/>
    <w:rsid w:val="0072541B"/>
    <w:rPr>
      <w:rFonts w:ascii="Arial" w:hAnsi="Arial"/>
      <w:lang w:eastAsia="en-US"/>
    </w:rPr>
  </w:style>
  <w:style w:type="character" w:styleId="EndnoteReference">
    <w:name w:val="endnote reference"/>
    <w:basedOn w:val="DefaultParagraphFont"/>
    <w:uiPriority w:val="99"/>
    <w:semiHidden/>
    <w:unhideWhenUsed/>
    <w:rsid w:val="0072541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854104">
      <w:bodyDiv w:val="1"/>
      <w:marLeft w:val="0"/>
      <w:marRight w:val="0"/>
      <w:marTop w:val="0"/>
      <w:marBottom w:val="0"/>
      <w:divBdr>
        <w:top w:val="none" w:sz="0" w:space="0" w:color="auto"/>
        <w:left w:val="none" w:sz="0" w:space="0" w:color="auto"/>
        <w:bottom w:val="none" w:sz="0" w:space="0" w:color="auto"/>
        <w:right w:val="none" w:sz="0" w:space="0" w:color="auto"/>
      </w:divBdr>
    </w:div>
    <w:div w:id="252588246">
      <w:bodyDiv w:val="1"/>
      <w:marLeft w:val="0"/>
      <w:marRight w:val="0"/>
      <w:marTop w:val="0"/>
      <w:marBottom w:val="0"/>
      <w:divBdr>
        <w:top w:val="none" w:sz="0" w:space="0" w:color="auto"/>
        <w:left w:val="none" w:sz="0" w:space="0" w:color="auto"/>
        <w:bottom w:val="none" w:sz="0" w:space="0" w:color="auto"/>
        <w:right w:val="none" w:sz="0" w:space="0" w:color="auto"/>
      </w:divBdr>
      <w:divsChild>
        <w:div w:id="49892297">
          <w:marLeft w:val="0"/>
          <w:marRight w:val="0"/>
          <w:marTop w:val="120"/>
          <w:marBottom w:val="0"/>
          <w:divBdr>
            <w:top w:val="none" w:sz="0" w:space="0" w:color="auto"/>
            <w:left w:val="none" w:sz="0" w:space="0" w:color="auto"/>
            <w:bottom w:val="none" w:sz="0" w:space="0" w:color="auto"/>
            <w:right w:val="none" w:sz="0" w:space="0" w:color="auto"/>
          </w:divBdr>
        </w:div>
        <w:div w:id="1064525761">
          <w:marLeft w:val="0"/>
          <w:marRight w:val="0"/>
          <w:marTop w:val="240"/>
          <w:marBottom w:val="0"/>
          <w:divBdr>
            <w:top w:val="none" w:sz="0" w:space="0" w:color="auto"/>
            <w:left w:val="none" w:sz="0" w:space="0" w:color="auto"/>
            <w:bottom w:val="none" w:sz="0" w:space="0" w:color="auto"/>
            <w:right w:val="none" w:sz="0" w:space="0" w:color="auto"/>
          </w:divBdr>
        </w:div>
        <w:div w:id="1917322377">
          <w:marLeft w:val="567"/>
          <w:marRight w:val="567"/>
          <w:marTop w:val="20"/>
          <w:marBottom w:val="20"/>
          <w:divBdr>
            <w:top w:val="none" w:sz="0" w:space="0" w:color="auto"/>
            <w:left w:val="none" w:sz="0" w:space="0" w:color="auto"/>
            <w:bottom w:val="none" w:sz="0" w:space="0" w:color="auto"/>
            <w:right w:val="none" w:sz="0" w:space="0" w:color="auto"/>
          </w:divBdr>
        </w:div>
        <w:div w:id="2020813544">
          <w:marLeft w:val="0"/>
          <w:marRight w:val="0"/>
          <w:marTop w:val="120"/>
          <w:marBottom w:val="0"/>
          <w:divBdr>
            <w:top w:val="none" w:sz="0" w:space="0" w:color="auto"/>
            <w:left w:val="none" w:sz="0" w:space="0" w:color="auto"/>
            <w:bottom w:val="none" w:sz="0" w:space="0" w:color="auto"/>
            <w:right w:val="none" w:sz="0" w:space="0" w:color="auto"/>
          </w:divBdr>
        </w:div>
      </w:divsChild>
    </w:div>
    <w:div w:id="339508733">
      <w:bodyDiv w:val="1"/>
      <w:marLeft w:val="0"/>
      <w:marRight w:val="0"/>
      <w:marTop w:val="0"/>
      <w:marBottom w:val="0"/>
      <w:divBdr>
        <w:top w:val="none" w:sz="0" w:space="0" w:color="auto"/>
        <w:left w:val="none" w:sz="0" w:space="0" w:color="auto"/>
        <w:bottom w:val="none" w:sz="0" w:space="0" w:color="auto"/>
        <w:right w:val="none" w:sz="0" w:space="0" w:color="auto"/>
      </w:divBdr>
    </w:div>
    <w:div w:id="604074602">
      <w:bodyDiv w:val="1"/>
      <w:marLeft w:val="0"/>
      <w:marRight w:val="0"/>
      <w:marTop w:val="0"/>
      <w:marBottom w:val="0"/>
      <w:divBdr>
        <w:top w:val="none" w:sz="0" w:space="0" w:color="auto"/>
        <w:left w:val="none" w:sz="0" w:space="0" w:color="auto"/>
        <w:bottom w:val="none" w:sz="0" w:space="0" w:color="auto"/>
        <w:right w:val="none" w:sz="0" w:space="0" w:color="auto"/>
      </w:divBdr>
    </w:div>
    <w:div w:id="696738843">
      <w:bodyDiv w:val="1"/>
      <w:marLeft w:val="0"/>
      <w:marRight w:val="0"/>
      <w:marTop w:val="0"/>
      <w:marBottom w:val="0"/>
      <w:divBdr>
        <w:top w:val="none" w:sz="0" w:space="0" w:color="auto"/>
        <w:left w:val="none" w:sz="0" w:space="0" w:color="auto"/>
        <w:bottom w:val="none" w:sz="0" w:space="0" w:color="auto"/>
        <w:right w:val="none" w:sz="0" w:space="0" w:color="auto"/>
      </w:divBdr>
    </w:div>
    <w:div w:id="813523022">
      <w:bodyDiv w:val="1"/>
      <w:marLeft w:val="0"/>
      <w:marRight w:val="0"/>
      <w:marTop w:val="0"/>
      <w:marBottom w:val="0"/>
      <w:divBdr>
        <w:top w:val="none" w:sz="0" w:space="0" w:color="auto"/>
        <w:left w:val="none" w:sz="0" w:space="0" w:color="auto"/>
        <w:bottom w:val="none" w:sz="0" w:space="0" w:color="auto"/>
        <w:right w:val="none" w:sz="0" w:space="0" w:color="auto"/>
      </w:divBdr>
    </w:div>
    <w:div w:id="900557229">
      <w:bodyDiv w:val="1"/>
      <w:marLeft w:val="0"/>
      <w:marRight w:val="0"/>
      <w:marTop w:val="0"/>
      <w:marBottom w:val="0"/>
      <w:divBdr>
        <w:top w:val="none" w:sz="0" w:space="0" w:color="auto"/>
        <w:left w:val="none" w:sz="0" w:space="0" w:color="auto"/>
        <w:bottom w:val="none" w:sz="0" w:space="0" w:color="auto"/>
        <w:right w:val="none" w:sz="0" w:space="0" w:color="auto"/>
      </w:divBdr>
    </w:div>
    <w:div w:id="1026834901">
      <w:bodyDiv w:val="1"/>
      <w:marLeft w:val="0"/>
      <w:marRight w:val="0"/>
      <w:marTop w:val="0"/>
      <w:marBottom w:val="0"/>
      <w:divBdr>
        <w:top w:val="none" w:sz="0" w:space="0" w:color="auto"/>
        <w:left w:val="none" w:sz="0" w:space="0" w:color="auto"/>
        <w:bottom w:val="none" w:sz="0" w:space="0" w:color="auto"/>
        <w:right w:val="none" w:sz="0" w:space="0" w:color="auto"/>
      </w:divBdr>
    </w:div>
    <w:div w:id="1338922163">
      <w:bodyDiv w:val="1"/>
      <w:marLeft w:val="0"/>
      <w:marRight w:val="0"/>
      <w:marTop w:val="0"/>
      <w:marBottom w:val="0"/>
      <w:divBdr>
        <w:top w:val="none" w:sz="0" w:space="0" w:color="auto"/>
        <w:left w:val="none" w:sz="0" w:space="0" w:color="auto"/>
        <w:bottom w:val="none" w:sz="0" w:space="0" w:color="auto"/>
        <w:right w:val="none" w:sz="0" w:space="0" w:color="auto"/>
      </w:divBdr>
    </w:div>
    <w:div w:id="1558584358">
      <w:bodyDiv w:val="1"/>
      <w:marLeft w:val="0"/>
      <w:marRight w:val="0"/>
      <w:marTop w:val="0"/>
      <w:marBottom w:val="0"/>
      <w:divBdr>
        <w:top w:val="none" w:sz="0" w:space="0" w:color="auto"/>
        <w:left w:val="none" w:sz="0" w:space="0" w:color="auto"/>
        <w:bottom w:val="none" w:sz="0" w:space="0" w:color="auto"/>
        <w:right w:val="none" w:sz="0" w:space="0" w:color="auto"/>
      </w:divBdr>
    </w:div>
    <w:div w:id="1587570539">
      <w:bodyDiv w:val="1"/>
      <w:marLeft w:val="0"/>
      <w:marRight w:val="0"/>
      <w:marTop w:val="0"/>
      <w:marBottom w:val="0"/>
      <w:divBdr>
        <w:top w:val="none" w:sz="0" w:space="0" w:color="auto"/>
        <w:left w:val="none" w:sz="0" w:space="0" w:color="auto"/>
        <w:bottom w:val="none" w:sz="0" w:space="0" w:color="auto"/>
        <w:right w:val="none" w:sz="0" w:space="0" w:color="auto"/>
      </w:divBdr>
      <w:divsChild>
        <w:div w:id="182087482">
          <w:marLeft w:val="675"/>
          <w:marRight w:val="0"/>
          <w:marTop w:val="0"/>
          <w:marBottom w:val="0"/>
          <w:divBdr>
            <w:top w:val="none" w:sz="0" w:space="0" w:color="auto"/>
            <w:left w:val="none" w:sz="0" w:space="0" w:color="auto"/>
            <w:bottom w:val="none" w:sz="0" w:space="0" w:color="auto"/>
            <w:right w:val="none" w:sz="0" w:space="0" w:color="auto"/>
          </w:divBdr>
        </w:div>
        <w:div w:id="211230294">
          <w:marLeft w:val="675"/>
          <w:marRight w:val="0"/>
          <w:marTop w:val="0"/>
          <w:marBottom w:val="0"/>
          <w:divBdr>
            <w:top w:val="none" w:sz="0" w:space="0" w:color="auto"/>
            <w:left w:val="none" w:sz="0" w:space="0" w:color="auto"/>
            <w:bottom w:val="none" w:sz="0" w:space="0" w:color="auto"/>
            <w:right w:val="none" w:sz="0" w:space="0" w:color="auto"/>
          </w:divBdr>
        </w:div>
        <w:div w:id="890920715">
          <w:marLeft w:val="675"/>
          <w:marRight w:val="0"/>
          <w:marTop w:val="0"/>
          <w:marBottom w:val="0"/>
          <w:divBdr>
            <w:top w:val="none" w:sz="0" w:space="0" w:color="auto"/>
            <w:left w:val="none" w:sz="0" w:space="0" w:color="auto"/>
            <w:bottom w:val="none" w:sz="0" w:space="0" w:color="auto"/>
            <w:right w:val="none" w:sz="0" w:space="0" w:color="auto"/>
          </w:divBdr>
        </w:div>
        <w:div w:id="1291858439">
          <w:marLeft w:val="675"/>
          <w:marRight w:val="0"/>
          <w:marTop w:val="0"/>
          <w:marBottom w:val="0"/>
          <w:divBdr>
            <w:top w:val="none" w:sz="0" w:space="0" w:color="auto"/>
            <w:left w:val="none" w:sz="0" w:space="0" w:color="auto"/>
            <w:bottom w:val="none" w:sz="0" w:space="0" w:color="auto"/>
            <w:right w:val="none" w:sz="0" w:space="0" w:color="auto"/>
          </w:divBdr>
        </w:div>
        <w:div w:id="1309630420">
          <w:marLeft w:val="675"/>
          <w:marRight w:val="0"/>
          <w:marTop w:val="0"/>
          <w:marBottom w:val="0"/>
          <w:divBdr>
            <w:top w:val="none" w:sz="0" w:space="0" w:color="auto"/>
            <w:left w:val="none" w:sz="0" w:space="0" w:color="auto"/>
            <w:bottom w:val="none" w:sz="0" w:space="0" w:color="auto"/>
            <w:right w:val="none" w:sz="0" w:space="0" w:color="auto"/>
          </w:divBdr>
        </w:div>
        <w:div w:id="1329602963">
          <w:marLeft w:val="675"/>
          <w:marRight w:val="0"/>
          <w:marTop w:val="0"/>
          <w:marBottom w:val="0"/>
          <w:divBdr>
            <w:top w:val="none" w:sz="0" w:space="0" w:color="auto"/>
            <w:left w:val="none" w:sz="0" w:space="0" w:color="auto"/>
            <w:bottom w:val="none" w:sz="0" w:space="0" w:color="auto"/>
            <w:right w:val="none" w:sz="0" w:space="0" w:color="auto"/>
          </w:divBdr>
        </w:div>
        <w:div w:id="1638492141">
          <w:marLeft w:val="675"/>
          <w:marRight w:val="0"/>
          <w:marTop w:val="0"/>
          <w:marBottom w:val="0"/>
          <w:divBdr>
            <w:top w:val="none" w:sz="0" w:space="0" w:color="auto"/>
            <w:left w:val="none" w:sz="0" w:space="0" w:color="auto"/>
            <w:bottom w:val="none" w:sz="0" w:space="0" w:color="auto"/>
            <w:right w:val="none" w:sz="0" w:space="0" w:color="auto"/>
          </w:divBdr>
        </w:div>
      </w:divsChild>
    </w:div>
    <w:div w:id="1658531569">
      <w:bodyDiv w:val="1"/>
      <w:marLeft w:val="0"/>
      <w:marRight w:val="0"/>
      <w:marTop w:val="0"/>
      <w:marBottom w:val="0"/>
      <w:divBdr>
        <w:top w:val="none" w:sz="0" w:space="0" w:color="auto"/>
        <w:left w:val="none" w:sz="0" w:space="0" w:color="auto"/>
        <w:bottom w:val="none" w:sz="0" w:space="0" w:color="auto"/>
        <w:right w:val="none" w:sz="0" w:space="0" w:color="auto"/>
      </w:divBdr>
    </w:div>
    <w:div w:id="1707216406">
      <w:bodyDiv w:val="1"/>
      <w:marLeft w:val="0"/>
      <w:marRight w:val="0"/>
      <w:marTop w:val="0"/>
      <w:marBottom w:val="0"/>
      <w:divBdr>
        <w:top w:val="none" w:sz="0" w:space="0" w:color="auto"/>
        <w:left w:val="none" w:sz="0" w:space="0" w:color="auto"/>
        <w:bottom w:val="none" w:sz="0" w:space="0" w:color="auto"/>
        <w:right w:val="none" w:sz="0" w:space="0" w:color="auto"/>
      </w:divBdr>
    </w:div>
    <w:div w:id="1754155600">
      <w:bodyDiv w:val="1"/>
      <w:marLeft w:val="0"/>
      <w:marRight w:val="0"/>
      <w:marTop w:val="0"/>
      <w:marBottom w:val="0"/>
      <w:divBdr>
        <w:top w:val="none" w:sz="0" w:space="0" w:color="auto"/>
        <w:left w:val="none" w:sz="0" w:space="0" w:color="auto"/>
        <w:bottom w:val="none" w:sz="0" w:space="0" w:color="auto"/>
        <w:right w:val="none" w:sz="0" w:space="0" w:color="auto"/>
      </w:divBdr>
    </w:div>
    <w:div w:id="1767656935">
      <w:bodyDiv w:val="1"/>
      <w:marLeft w:val="0"/>
      <w:marRight w:val="0"/>
      <w:marTop w:val="0"/>
      <w:marBottom w:val="0"/>
      <w:divBdr>
        <w:top w:val="none" w:sz="0" w:space="0" w:color="auto"/>
        <w:left w:val="none" w:sz="0" w:space="0" w:color="auto"/>
        <w:bottom w:val="none" w:sz="0" w:space="0" w:color="auto"/>
        <w:right w:val="none" w:sz="0" w:space="0" w:color="auto"/>
      </w:divBdr>
    </w:div>
    <w:div w:id="1782408303">
      <w:bodyDiv w:val="1"/>
      <w:marLeft w:val="0"/>
      <w:marRight w:val="0"/>
      <w:marTop w:val="0"/>
      <w:marBottom w:val="0"/>
      <w:divBdr>
        <w:top w:val="none" w:sz="0" w:space="0" w:color="auto"/>
        <w:left w:val="none" w:sz="0" w:space="0" w:color="auto"/>
        <w:bottom w:val="none" w:sz="0" w:space="0" w:color="auto"/>
        <w:right w:val="none" w:sz="0" w:space="0" w:color="auto"/>
      </w:divBdr>
    </w:div>
    <w:div w:id="1821773757">
      <w:bodyDiv w:val="1"/>
      <w:marLeft w:val="0"/>
      <w:marRight w:val="0"/>
      <w:marTop w:val="0"/>
      <w:marBottom w:val="0"/>
      <w:divBdr>
        <w:top w:val="none" w:sz="0" w:space="0" w:color="auto"/>
        <w:left w:val="none" w:sz="0" w:space="0" w:color="auto"/>
        <w:bottom w:val="none" w:sz="0" w:space="0" w:color="auto"/>
        <w:right w:val="none" w:sz="0" w:space="0" w:color="auto"/>
      </w:divBdr>
      <w:divsChild>
        <w:div w:id="169177830">
          <w:marLeft w:val="567"/>
          <w:marRight w:val="0"/>
          <w:marTop w:val="40"/>
          <w:marBottom w:val="0"/>
          <w:divBdr>
            <w:top w:val="none" w:sz="0" w:space="0" w:color="auto"/>
            <w:left w:val="none" w:sz="0" w:space="0" w:color="auto"/>
            <w:bottom w:val="none" w:sz="0" w:space="0" w:color="auto"/>
            <w:right w:val="none" w:sz="0" w:space="0" w:color="auto"/>
          </w:divBdr>
        </w:div>
        <w:div w:id="149904520">
          <w:marLeft w:val="567"/>
          <w:marRight w:val="0"/>
          <w:marTop w:val="40"/>
          <w:marBottom w:val="0"/>
          <w:divBdr>
            <w:top w:val="none" w:sz="0" w:space="0" w:color="auto"/>
            <w:left w:val="none" w:sz="0" w:space="0" w:color="auto"/>
            <w:bottom w:val="none" w:sz="0" w:space="0" w:color="auto"/>
            <w:right w:val="none" w:sz="0" w:space="0" w:color="auto"/>
          </w:divBdr>
        </w:div>
      </w:divsChild>
    </w:div>
    <w:div w:id="1939872768">
      <w:bodyDiv w:val="1"/>
      <w:marLeft w:val="0"/>
      <w:marRight w:val="0"/>
      <w:marTop w:val="0"/>
      <w:marBottom w:val="0"/>
      <w:divBdr>
        <w:top w:val="none" w:sz="0" w:space="0" w:color="auto"/>
        <w:left w:val="none" w:sz="0" w:space="0" w:color="auto"/>
        <w:bottom w:val="none" w:sz="0" w:space="0" w:color="auto"/>
        <w:right w:val="none" w:sz="0" w:space="0" w:color="auto"/>
      </w:divBdr>
    </w:div>
    <w:div w:id="21264565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app.jutastatevolve.co.za/y1978v1SApg173" TargetMode="External"/><Relationship Id="rId2" Type="http://schemas.openxmlformats.org/officeDocument/2006/relationships/hyperlink" Target="https://app.jutastatevolve.co.za/y1974v4SApg362" TargetMode="External"/><Relationship Id="rId1" Type="http://schemas.openxmlformats.org/officeDocument/2006/relationships/hyperlink" Target="https://app.jutastatevolve.co.za/y1992v2SApg703" TargetMode="External"/><Relationship Id="rId5" Type="http://schemas.openxmlformats.org/officeDocument/2006/relationships/hyperlink" Target="https://app.jutastatevolve.co.za/y1997v3SApg721" TargetMode="External"/><Relationship Id="rId4" Type="http://schemas.openxmlformats.org/officeDocument/2006/relationships/hyperlink" Target="https://app.jutastatevolve.co.za/y1985v1SApg29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Judgment%20Acti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E7CA77-7213-4AB3-B6F9-555730A26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 Acting</Template>
  <TotalTime>16</TotalTime>
  <Pages>17</Pages>
  <Words>3215</Words>
  <Characters>18329</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JUDGMENT</vt:lpstr>
    </vt:vector>
  </TitlesOfParts>
  <Company>Group21</Company>
  <LinksUpToDate>false</LinksUpToDate>
  <CharactersWithSpaces>21501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JUDGMENT</dc:title>
  <dc:subject/>
  <dc:creator>JR TYPING SERVICES</dc:creator>
  <cp:keywords>JOHAN MOORCROFT</cp:keywords>
  <dc:description/>
  <cp:lastModifiedBy>Mariana Anguelov</cp:lastModifiedBy>
  <cp:revision>3</cp:revision>
  <cp:lastPrinted>2022-10-26T19:26:00Z</cp:lastPrinted>
  <dcterms:created xsi:type="dcterms:W3CDTF">2022-10-28T13:02:00Z</dcterms:created>
  <dcterms:modified xsi:type="dcterms:W3CDTF">2022-10-30T19:27:00Z</dcterms:modified>
</cp:coreProperties>
</file>