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E173" w14:textId="184CD141" w:rsidR="00BD5A11" w:rsidRPr="00980139" w:rsidRDefault="00BD5A11" w:rsidP="00BD5A11">
      <w:pPr>
        <w:pStyle w:val="LegalTitle"/>
        <w:spacing w:after="0" w:line="360" w:lineRule="auto"/>
        <w:rPr>
          <w:rFonts w:cs="Arial"/>
          <w:u w:val="single"/>
        </w:rPr>
      </w:pPr>
      <w:r w:rsidRPr="00980139">
        <w:rPr>
          <w:rFonts w:cs="Arial"/>
          <w:noProof/>
          <w:lang w:val="en-ZA" w:eastAsia="en-ZA"/>
        </w:rPr>
        <w:drawing>
          <wp:inline distT="0" distB="0" distL="0" distR="0" wp14:anchorId="617FF5FF" wp14:editId="06BE04AD">
            <wp:extent cx="1536700" cy="1536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14:paraId="662AED70" w14:textId="72FC45D0" w:rsidR="00BD5A11" w:rsidRPr="00980139" w:rsidRDefault="00BD5A11" w:rsidP="00BD5A11">
      <w:pPr>
        <w:pStyle w:val="LegalTitle"/>
        <w:spacing w:after="120" w:line="360" w:lineRule="auto"/>
        <w:rPr>
          <w:rFonts w:cs="Arial"/>
          <w:u w:val="single"/>
        </w:rPr>
      </w:pPr>
      <w:r w:rsidRPr="00980139">
        <w:rPr>
          <w:rFonts w:cs="Arial"/>
          <w:u w:val="single"/>
        </w:rPr>
        <w:t>IN THE HIGH COURT OF SOUTH AFRICA</w:t>
      </w:r>
    </w:p>
    <w:p w14:paraId="1DFC4EED" w14:textId="56045698" w:rsidR="007B3DB5" w:rsidRPr="00980139" w:rsidRDefault="001A122F" w:rsidP="007B3DB5">
      <w:pPr>
        <w:pStyle w:val="LegalTitle"/>
        <w:spacing w:line="360" w:lineRule="auto"/>
        <w:rPr>
          <w:rFonts w:cs="Arial"/>
          <w:u w:val="single"/>
        </w:rPr>
      </w:pPr>
      <w:r w:rsidRPr="00980139">
        <w:rPr>
          <w:rFonts w:cs="Arial"/>
          <w:noProof/>
          <w:lang w:val="en-ZA" w:eastAsia="en-ZA"/>
        </w:rPr>
        <mc:AlternateContent>
          <mc:Choice Requires="wps">
            <w:drawing>
              <wp:anchor distT="0" distB="0" distL="114300" distR="114300" simplePos="0" relativeHeight="251659264" behindDoc="0" locked="0" layoutInCell="1" allowOverlap="1" wp14:anchorId="66A2AA98" wp14:editId="75E05A21">
                <wp:simplePos x="0" y="0"/>
                <wp:positionH relativeFrom="column">
                  <wp:posOffset>-363855</wp:posOffset>
                </wp:positionH>
                <wp:positionV relativeFrom="paragraph">
                  <wp:posOffset>489585</wp:posOffset>
                </wp:positionV>
                <wp:extent cx="3253740" cy="8477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847725"/>
                        </a:xfrm>
                        <a:prstGeom prst="rect">
                          <a:avLst/>
                        </a:prstGeom>
                        <a:solidFill>
                          <a:srgbClr val="FFFFFF"/>
                        </a:solidFill>
                        <a:ln w="9525">
                          <a:solidFill>
                            <a:srgbClr val="000000"/>
                          </a:solidFill>
                          <a:miter lim="800000"/>
                          <a:headEnd/>
                          <a:tailEnd/>
                        </a:ln>
                      </wps:spPr>
                      <wps:txbx>
                        <w:txbxContent>
                          <w:p w14:paraId="1EB2601E" w14:textId="1B0BC99C" w:rsidR="00BD5A11" w:rsidRPr="0038792A" w:rsidRDefault="009769F3" w:rsidP="009769F3">
                            <w:pPr>
                              <w:tabs>
                                <w:tab w:val="left" w:pos="900"/>
                              </w:tabs>
                              <w:spacing w:after="0" w:line="240" w:lineRule="auto"/>
                              <w:ind w:left="900" w:hanging="720"/>
                              <w:jc w:val="left"/>
                            </w:pPr>
                            <w:bookmarkStart w:id="0" w:name="_Hlk94082538"/>
                            <w:bookmarkEnd w:id="0"/>
                            <w:r w:rsidRPr="0038792A">
                              <w:t>(1)</w:t>
                            </w:r>
                            <w:r w:rsidRPr="0038792A">
                              <w:tab/>
                            </w:r>
                            <w:r w:rsidR="00BD5A11">
                              <w:t xml:space="preserve">REPORTABLE: </w:t>
                            </w:r>
                            <w:r w:rsidR="00BD5A11" w:rsidRPr="008C535C">
                              <w:rPr>
                                <w:b/>
                                <w:i/>
                              </w:rPr>
                              <w:t>NO</w:t>
                            </w:r>
                          </w:p>
                          <w:p w14:paraId="3C1E348B" w14:textId="6078F2E9" w:rsidR="00BD5A11" w:rsidRPr="0038792A" w:rsidRDefault="009769F3" w:rsidP="009769F3">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5314CFE9" w:rsidR="00BD5A11" w:rsidRPr="0038792A" w:rsidRDefault="009769F3" w:rsidP="009769F3">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5B94CC00" w:rsidR="00BD5A11" w:rsidRDefault="00BD5A11" w:rsidP="00BD5A11">
                            <w:pPr>
                              <w:rPr>
                                <w:sz w:val="28"/>
                                <w:szCs w:val="28"/>
                              </w:rPr>
                            </w:pPr>
                            <w:r w:rsidRPr="00BD5A11">
                              <w:rPr>
                                <w:b/>
                                <w:sz w:val="22"/>
                                <w:szCs w:val="22"/>
                              </w:rPr>
                              <w:t>Date:</w:t>
                            </w:r>
                            <w:r>
                              <w:rPr>
                                <w:sz w:val="22"/>
                                <w:szCs w:val="22"/>
                              </w:rPr>
                              <w:t xml:space="preserve"> </w:t>
                            </w:r>
                            <w:r w:rsidR="001A122F">
                              <w:rPr>
                                <w:sz w:val="22"/>
                                <w:szCs w:val="22"/>
                              </w:rPr>
                              <w:t>2</w:t>
                            </w:r>
                            <w:r w:rsidR="00947B5C">
                              <w:rPr>
                                <w:sz w:val="22"/>
                                <w:szCs w:val="22"/>
                              </w:rPr>
                              <w:t>4</w:t>
                            </w:r>
                            <w:r w:rsidR="001A122F">
                              <w:rPr>
                                <w:sz w:val="22"/>
                                <w:szCs w:val="22"/>
                              </w:rPr>
                              <w:t>/10</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2AA98" id="_x0000_t202" coordsize="21600,21600" o:spt="202" path="m,l,21600r21600,l21600,xe">
                <v:stroke joinstyle="miter"/>
                <v:path gradientshapeok="t" o:connecttype="rect"/>
              </v:shapetype>
              <v:shape id="Text Box 4" o:spid="_x0000_s1026" type="#_x0000_t202" style="position:absolute;left:0;text-align:left;margin-left:-28.65pt;margin-top:38.55pt;width:256.2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">
                <v:textbox>
                  <w:txbxContent>
                    <w:p w14:paraId="1EB2601E" w14:textId="1B0BC99C" w:rsidR="00BD5A11" w:rsidRPr="0038792A" w:rsidRDefault="009769F3" w:rsidP="009769F3">
                      <w:pPr>
                        <w:tabs>
                          <w:tab w:val="left" w:pos="900"/>
                        </w:tabs>
                        <w:spacing w:after="0" w:line="240" w:lineRule="auto"/>
                        <w:ind w:left="900" w:hanging="720"/>
                        <w:jc w:val="left"/>
                      </w:pPr>
                      <w:bookmarkStart w:id="1" w:name="_Hlk94082538"/>
                      <w:bookmarkEnd w:id="1"/>
                      <w:r w:rsidRPr="0038792A">
                        <w:t>(1)</w:t>
                      </w:r>
                      <w:r w:rsidRPr="0038792A">
                        <w:tab/>
                      </w:r>
                      <w:r w:rsidR="00BD5A11">
                        <w:t xml:space="preserve">REPORTABLE: </w:t>
                      </w:r>
                      <w:r w:rsidR="00BD5A11" w:rsidRPr="008C535C">
                        <w:rPr>
                          <w:b/>
                          <w:i/>
                        </w:rPr>
                        <w:t>NO</w:t>
                      </w:r>
                    </w:p>
                    <w:p w14:paraId="3C1E348B" w14:textId="6078F2E9" w:rsidR="00BD5A11" w:rsidRPr="0038792A" w:rsidRDefault="009769F3" w:rsidP="009769F3">
                      <w:pPr>
                        <w:tabs>
                          <w:tab w:val="left" w:pos="900"/>
                        </w:tabs>
                        <w:spacing w:after="0" w:line="240" w:lineRule="auto"/>
                        <w:ind w:left="900" w:hanging="720"/>
                        <w:jc w:val="left"/>
                      </w:pPr>
                      <w:r w:rsidRPr="0038792A">
                        <w:t>(2)</w:t>
                      </w:r>
                      <w:r w:rsidRPr="0038792A">
                        <w:tab/>
                      </w:r>
                      <w:r w:rsidR="00BD5A11" w:rsidRPr="0038792A">
                        <w:t xml:space="preserve">OF </w:t>
                      </w:r>
                      <w:r w:rsidR="00BD5A11">
                        <w:t xml:space="preserve">INTEREST TO OTHER JUDGES: </w:t>
                      </w:r>
                      <w:r w:rsidR="00BD5A11" w:rsidRPr="008C535C">
                        <w:rPr>
                          <w:b/>
                          <w:i/>
                        </w:rPr>
                        <w:t>NO</w:t>
                      </w:r>
                    </w:p>
                    <w:p w14:paraId="6DD28392" w14:textId="5314CFE9" w:rsidR="00BD5A11" w:rsidRPr="0038792A" w:rsidRDefault="009769F3" w:rsidP="009769F3">
                      <w:pPr>
                        <w:tabs>
                          <w:tab w:val="left" w:pos="900"/>
                        </w:tabs>
                        <w:spacing w:after="120" w:line="240" w:lineRule="auto"/>
                        <w:ind w:left="901" w:hanging="720"/>
                        <w:jc w:val="left"/>
                      </w:pPr>
                      <w:r w:rsidRPr="0038792A">
                        <w:t>(3)</w:t>
                      </w:r>
                      <w:r w:rsidRPr="0038792A">
                        <w:tab/>
                      </w:r>
                      <w:r w:rsidR="00BD5A11" w:rsidRPr="0038792A">
                        <w:t xml:space="preserve">REVISED: </w:t>
                      </w:r>
                    </w:p>
                    <w:p w14:paraId="400E7864" w14:textId="5B94CC00" w:rsidR="00BD5A11" w:rsidRDefault="00BD5A11" w:rsidP="00BD5A11">
                      <w:pPr>
                        <w:rPr>
                          <w:sz w:val="28"/>
                          <w:szCs w:val="28"/>
                        </w:rPr>
                      </w:pPr>
                      <w:r w:rsidRPr="00BD5A11">
                        <w:rPr>
                          <w:b/>
                          <w:sz w:val="22"/>
                          <w:szCs w:val="22"/>
                        </w:rPr>
                        <w:t>Date:</w:t>
                      </w:r>
                      <w:r>
                        <w:rPr>
                          <w:sz w:val="22"/>
                          <w:szCs w:val="22"/>
                        </w:rPr>
                        <w:t xml:space="preserve"> </w:t>
                      </w:r>
                      <w:r w:rsidR="001A122F">
                        <w:rPr>
                          <w:sz w:val="22"/>
                          <w:szCs w:val="22"/>
                        </w:rPr>
                        <w:t>2</w:t>
                      </w:r>
                      <w:r w:rsidR="00947B5C">
                        <w:rPr>
                          <w:sz w:val="22"/>
                          <w:szCs w:val="22"/>
                        </w:rPr>
                        <w:t>4</w:t>
                      </w:r>
                      <w:r w:rsidR="001A122F">
                        <w:rPr>
                          <w:sz w:val="22"/>
                          <w:szCs w:val="22"/>
                        </w:rPr>
                        <w:t>/10</w:t>
                      </w:r>
                      <w:r>
                        <w:rPr>
                          <w:sz w:val="22"/>
                          <w:szCs w:val="22"/>
                        </w:rPr>
                        <w:t>/2022</w:t>
                      </w:r>
                      <w:r>
                        <w:rPr>
                          <w:b/>
                          <w:i/>
                          <w:sz w:val="22"/>
                          <w:szCs w:val="22"/>
                        </w:rPr>
                        <w:t xml:space="preserve">    </w:t>
                      </w:r>
                      <w:r w:rsidRPr="0070234A">
                        <w:rPr>
                          <w:b/>
                          <w:i/>
                          <w:sz w:val="22"/>
                          <w:szCs w:val="22"/>
                        </w:rPr>
                        <w:t>Signature</w:t>
                      </w:r>
                      <w:r>
                        <w:rPr>
                          <w:sz w:val="22"/>
                          <w:szCs w:val="22"/>
                        </w:rPr>
                        <w:t xml:space="preserve">: </w:t>
                      </w:r>
                    </w:p>
                    <w:p w14:paraId="062D7404" w14:textId="77777777" w:rsidR="00BD5A11" w:rsidRDefault="00BD5A11" w:rsidP="00BD5A11">
                      <w:pPr>
                        <w:rPr>
                          <w:sz w:val="28"/>
                          <w:szCs w:val="28"/>
                        </w:rPr>
                      </w:pPr>
                      <w:r>
                        <w:rPr>
                          <w:sz w:val="28"/>
                          <w:szCs w:val="28"/>
                        </w:rPr>
                        <w:t>____________________        ____________________</w:t>
                      </w:r>
                    </w:p>
                    <w:p w14:paraId="18C86F35" w14:textId="77777777" w:rsidR="00BD5A11" w:rsidRDefault="00BD5A11" w:rsidP="00BD5A11">
                      <w:pPr>
                        <w:rPr>
                          <w:sz w:val="28"/>
                          <w:szCs w:val="28"/>
                        </w:rPr>
                      </w:pPr>
                      <w:r>
                        <w:rPr>
                          <w:sz w:val="28"/>
                          <w:szCs w:val="28"/>
                        </w:rPr>
                        <w:t>DATE</w:t>
                      </w:r>
                      <w:r>
                        <w:rPr>
                          <w:sz w:val="28"/>
                          <w:szCs w:val="28"/>
                        </w:rPr>
                        <w:tab/>
                      </w:r>
                      <w:r>
                        <w:rPr>
                          <w:sz w:val="28"/>
                          <w:szCs w:val="28"/>
                        </w:rPr>
                        <w:tab/>
                      </w:r>
                      <w:r>
                        <w:rPr>
                          <w:sz w:val="28"/>
                          <w:szCs w:val="28"/>
                        </w:rPr>
                        <w:tab/>
                      </w:r>
                      <w:r>
                        <w:rPr>
                          <w:sz w:val="28"/>
                          <w:szCs w:val="28"/>
                        </w:rPr>
                        <w:tab/>
                        <w:t xml:space="preserve">        SIGNATURE</w:t>
                      </w:r>
                    </w:p>
                    <w:p w14:paraId="5C5F0F1B" w14:textId="77777777" w:rsidR="00BD5A11" w:rsidRDefault="00BD5A11" w:rsidP="00BD5A11">
                      <w:pPr>
                        <w:rPr>
                          <w:sz w:val="28"/>
                          <w:szCs w:val="28"/>
                        </w:rPr>
                      </w:pPr>
                    </w:p>
                    <w:p w14:paraId="45D36A41" w14:textId="77777777" w:rsidR="00BD5A11" w:rsidRDefault="00BD5A11" w:rsidP="00BD5A11">
                      <w:pPr>
                        <w:rPr>
                          <w:sz w:val="28"/>
                          <w:szCs w:val="28"/>
                        </w:rPr>
                      </w:pPr>
                    </w:p>
                    <w:p w14:paraId="5AA02B95" w14:textId="77777777" w:rsidR="00BD5A11" w:rsidRDefault="00BD5A11" w:rsidP="00BD5A11">
                      <w:pPr>
                        <w:rPr>
                          <w:sz w:val="28"/>
                          <w:szCs w:val="28"/>
                        </w:rPr>
                      </w:pPr>
                    </w:p>
                    <w:p w14:paraId="4DB4E984" w14:textId="77777777" w:rsidR="00BD5A11" w:rsidRPr="009533D5" w:rsidRDefault="00BD5A11" w:rsidP="00BD5A11">
                      <w:pPr>
                        <w:rPr>
                          <w:sz w:val="28"/>
                          <w:szCs w:val="28"/>
                        </w:rPr>
                      </w:pPr>
                    </w:p>
                    <w:p w14:paraId="306F467E" w14:textId="77777777" w:rsidR="00BD5A11" w:rsidRDefault="00BD5A11" w:rsidP="00BD5A11">
                      <w:pPr>
                        <w:rPr>
                          <w:b/>
                        </w:rPr>
                      </w:pPr>
                    </w:p>
                    <w:p w14:paraId="37F02BF0" w14:textId="77777777" w:rsidR="00BD5A11" w:rsidRDefault="00BD5A11" w:rsidP="00BD5A11">
                      <w:pPr>
                        <w:rPr>
                          <w:b/>
                        </w:rPr>
                      </w:pPr>
                    </w:p>
                    <w:p w14:paraId="13D259B3" w14:textId="77777777" w:rsidR="00BD5A11" w:rsidRDefault="00BD5A11" w:rsidP="00BD5A11">
                      <w:pPr>
                        <w:rPr>
                          <w:b/>
                        </w:rPr>
                      </w:pPr>
                    </w:p>
                    <w:p w14:paraId="07C7F4C2" w14:textId="77777777" w:rsidR="00BD5A11" w:rsidRPr="00B93709" w:rsidRDefault="00BD5A11" w:rsidP="00BD5A11">
                      <w:pPr>
                        <w:rPr>
                          <w:b/>
                        </w:rPr>
                      </w:pPr>
                    </w:p>
                    <w:p w14:paraId="1D0569F4" w14:textId="77777777" w:rsidR="00BD5A11" w:rsidRPr="00B93709" w:rsidRDefault="00BD5A11" w:rsidP="00BD5A11">
                      <w:r w:rsidRPr="00B93709">
                        <w:t xml:space="preserve">             </w:t>
                      </w:r>
                      <w:r>
                        <w:t xml:space="preserve">  </w:t>
                      </w:r>
                      <w:r>
                        <w:tab/>
                      </w:r>
                      <w:r>
                        <w:tab/>
                        <w:t xml:space="preserve">      </w:t>
                      </w:r>
                    </w:p>
                  </w:txbxContent>
                </v:textbox>
              </v:shape>
            </w:pict>
          </mc:Fallback>
        </mc:AlternateContent>
      </w:r>
      <w:r w:rsidR="00BD5A11" w:rsidRPr="00980139">
        <w:rPr>
          <w:rFonts w:cs="Arial"/>
          <w:u w:val="single"/>
        </w:rPr>
        <w:t>GAUTENG LOCAL DIVISION, JOHANNES</w:t>
      </w:r>
      <w:bookmarkStart w:id="2" w:name="_Hlk94081611"/>
      <w:bookmarkEnd w:id="2"/>
      <w:r w:rsidR="007B3DB5" w:rsidRPr="00980139">
        <w:rPr>
          <w:rFonts w:cs="Arial"/>
          <w:u w:val="single"/>
        </w:rPr>
        <w:t>burg</w:t>
      </w:r>
    </w:p>
    <w:p w14:paraId="736CAC97" w14:textId="3FFFAEB6" w:rsidR="007B3DB5" w:rsidRPr="00980139" w:rsidRDefault="007B3DB5" w:rsidP="007B3DB5">
      <w:pPr>
        <w:spacing w:after="0" w:line="240" w:lineRule="auto"/>
        <w:jc w:val="center"/>
        <w:rPr>
          <w:rFonts w:ascii="Arial" w:hAnsi="Arial" w:cs="Arial"/>
          <w:b/>
          <w:bCs/>
          <w:sz w:val="24"/>
          <w:szCs w:val="24"/>
        </w:rPr>
      </w:pPr>
    </w:p>
    <w:p w14:paraId="4F798B6A" w14:textId="1BAD1B9C" w:rsidR="007B3DB5" w:rsidRPr="00980139" w:rsidRDefault="007B3DB5" w:rsidP="007B3DB5">
      <w:pPr>
        <w:spacing w:after="0" w:line="240" w:lineRule="auto"/>
        <w:jc w:val="center"/>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637D07FF" w14:textId="28CE874A" w:rsidR="00980139" w:rsidRPr="00980139" w:rsidRDefault="007B3DB5" w:rsidP="00980139">
      <w:pPr>
        <w:spacing w:after="0" w:line="240" w:lineRule="auto"/>
        <w:jc w:val="right"/>
        <w:rPr>
          <w:rFonts w:ascii="Arial" w:hAnsi="Arial" w:cs="Arial"/>
          <w:b/>
          <w:bCs/>
          <w:sz w:val="24"/>
          <w:szCs w:val="24"/>
        </w:rPr>
      </w:pPr>
      <w:r w:rsidRPr="00980139">
        <w:rPr>
          <w:rFonts w:ascii="Arial" w:hAnsi="Arial" w:cs="Arial"/>
          <w:b/>
          <w:bCs/>
          <w:sz w:val="24"/>
          <w:szCs w:val="24"/>
        </w:rPr>
        <w:tab/>
      </w:r>
      <w:r w:rsidRPr="00980139">
        <w:rPr>
          <w:rFonts w:ascii="Arial" w:hAnsi="Arial" w:cs="Arial"/>
          <w:b/>
          <w:bCs/>
          <w:sz w:val="24"/>
          <w:szCs w:val="24"/>
        </w:rPr>
        <w:tab/>
      </w:r>
      <w:r w:rsidRPr="00980139">
        <w:rPr>
          <w:rFonts w:ascii="Arial" w:hAnsi="Arial" w:cs="Arial"/>
          <w:b/>
          <w:bCs/>
          <w:sz w:val="24"/>
          <w:szCs w:val="24"/>
        </w:rPr>
        <w:tab/>
      </w:r>
    </w:p>
    <w:p w14:paraId="75E721A2" w14:textId="77777777" w:rsidR="001A122F" w:rsidRDefault="001A122F" w:rsidP="001A122F">
      <w:pPr>
        <w:spacing w:line="480" w:lineRule="auto"/>
        <w:jc w:val="right"/>
        <w:rPr>
          <w:rFonts w:ascii="Arial" w:hAnsi="Arial" w:cs="Arial"/>
          <w:sz w:val="24"/>
          <w:szCs w:val="24"/>
        </w:rPr>
      </w:pPr>
      <w:r w:rsidRPr="001A122F">
        <w:rPr>
          <w:rFonts w:ascii="Arial" w:hAnsi="Arial" w:cs="Arial"/>
          <w:sz w:val="24"/>
          <w:szCs w:val="24"/>
        </w:rPr>
        <w:t>Case No. 27833/2021</w:t>
      </w:r>
    </w:p>
    <w:p w14:paraId="2B0C5AA5" w14:textId="4F75D131" w:rsidR="001A122F" w:rsidRPr="001A122F" w:rsidRDefault="001A122F" w:rsidP="001A122F">
      <w:pPr>
        <w:spacing w:line="480" w:lineRule="auto"/>
        <w:jc w:val="left"/>
        <w:rPr>
          <w:rFonts w:ascii="Arial" w:hAnsi="Arial" w:cs="Arial"/>
          <w:sz w:val="24"/>
          <w:szCs w:val="24"/>
        </w:rPr>
      </w:pPr>
      <w:r w:rsidRPr="001A122F">
        <w:rPr>
          <w:rFonts w:ascii="Arial" w:hAnsi="Arial" w:cs="Arial"/>
          <w:sz w:val="24"/>
          <w:szCs w:val="24"/>
        </w:rPr>
        <w:t>In the matter between:</w:t>
      </w:r>
    </w:p>
    <w:tbl>
      <w:tblPr>
        <w:tblStyle w:val="TableGrid"/>
        <w:tblW w:w="87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835"/>
      </w:tblGrid>
      <w:tr w:rsidR="001A122F" w:rsidRPr="001A122F" w14:paraId="382FFDBC" w14:textId="77777777" w:rsidTr="001A122F">
        <w:tc>
          <w:tcPr>
            <w:tcW w:w="5954" w:type="dxa"/>
          </w:tcPr>
          <w:p w14:paraId="13FE47F5"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ROSEVEARE, SHAUN </w:t>
            </w:r>
          </w:p>
        </w:tc>
        <w:tc>
          <w:tcPr>
            <w:tcW w:w="2835" w:type="dxa"/>
          </w:tcPr>
          <w:p w14:paraId="1D1B3795" w14:textId="4CB15849"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1</w:t>
            </w:r>
            <w:r w:rsidRPr="001A122F">
              <w:rPr>
                <w:rFonts w:ascii="Arial" w:hAnsi="Arial" w:cs="Arial"/>
                <w:sz w:val="24"/>
                <w:szCs w:val="24"/>
                <w:vertAlign w:val="superscript"/>
              </w:rPr>
              <w:t>st</w:t>
            </w:r>
            <w:r>
              <w:rPr>
                <w:rFonts w:ascii="Arial" w:hAnsi="Arial" w:cs="Arial"/>
                <w:sz w:val="24"/>
                <w:szCs w:val="24"/>
              </w:rPr>
              <w:t xml:space="preserve"> </w:t>
            </w:r>
            <w:r w:rsidRPr="001A122F">
              <w:rPr>
                <w:rFonts w:ascii="Arial" w:hAnsi="Arial" w:cs="Arial"/>
                <w:sz w:val="24"/>
                <w:szCs w:val="24"/>
              </w:rPr>
              <w:t>Applicant</w:t>
            </w:r>
          </w:p>
        </w:tc>
      </w:tr>
      <w:tr w:rsidR="001A122F" w:rsidRPr="001A122F" w14:paraId="04870374" w14:textId="77777777" w:rsidTr="001A122F">
        <w:tc>
          <w:tcPr>
            <w:tcW w:w="5954" w:type="dxa"/>
          </w:tcPr>
          <w:p w14:paraId="2425EE63"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ROSEVEARE, SHAUN BRADLEY N.O. </w:t>
            </w:r>
          </w:p>
        </w:tc>
        <w:tc>
          <w:tcPr>
            <w:tcW w:w="2835" w:type="dxa"/>
          </w:tcPr>
          <w:p w14:paraId="5E3724AE" w14:textId="480AF3EE"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2</w:t>
            </w:r>
            <w:r w:rsidRPr="001A122F">
              <w:rPr>
                <w:rFonts w:ascii="Arial" w:hAnsi="Arial" w:cs="Arial"/>
                <w:sz w:val="24"/>
                <w:szCs w:val="24"/>
                <w:vertAlign w:val="superscript"/>
              </w:rPr>
              <w:t>nd</w:t>
            </w:r>
            <w:r>
              <w:rPr>
                <w:rFonts w:ascii="Arial" w:hAnsi="Arial" w:cs="Arial"/>
                <w:sz w:val="24"/>
                <w:szCs w:val="24"/>
              </w:rPr>
              <w:t xml:space="preserve"> </w:t>
            </w:r>
            <w:r w:rsidRPr="001A122F">
              <w:rPr>
                <w:rFonts w:ascii="Arial" w:hAnsi="Arial" w:cs="Arial"/>
                <w:sz w:val="24"/>
                <w:szCs w:val="24"/>
              </w:rPr>
              <w:t>Applicant</w:t>
            </w:r>
          </w:p>
        </w:tc>
      </w:tr>
      <w:tr w:rsidR="001A122F" w:rsidRPr="001A122F" w14:paraId="48E36F58" w14:textId="77777777" w:rsidTr="001A122F">
        <w:tc>
          <w:tcPr>
            <w:tcW w:w="5954" w:type="dxa"/>
          </w:tcPr>
          <w:p w14:paraId="4A9C1D41"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ROSEVEARE, RYAN EDGAR DENNIS N.O. </w:t>
            </w:r>
          </w:p>
        </w:tc>
        <w:tc>
          <w:tcPr>
            <w:tcW w:w="2835" w:type="dxa"/>
          </w:tcPr>
          <w:p w14:paraId="621B3595" w14:textId="226FB939"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3</w:t>
            </w:r>
            <w:r w:rsidRPr="001A122F">
              <w:rPr>
                <w:rFonts w:ascii="Arial" w:hAnsi="Arial" w:cs="Arial"/>
                <w:sz w:val="24"/>
                <w:szCs w:val="24"/>
                <w:vertAlign w:val="superscript"/>
              </w:rPr>
              <w:t>rd</w:t>
            </w:r>
            <w:r>
              <w:rPr>
                <w:rFonts w:ascii="Arial" w:hAnsi="Arial" w:cs="Arial"/>
                <w:sz w:val="24"/>
                <w:szCs w:val="24"/>
              </w:rPr>
              <w:t xml:space="preserve"> </w:t>
            </w:r>
            <w:r w:rsidRPr="001A122F">
              <w:rPr>
                <w:rFonts w:ascii="Arial" w:hAnsi="Arial" w:cs="Arial"/>
                <w:sz w:val="24"/>
                <w:szCs w:val="24"/>
              </w:rPr>
              <w:t>Applicant</w:t>
            </w:r>
          </w:p>
        </w:tc>
      </w:tr>
      <w:tr w:rsidR="001A122F" w:rsidRPr="001A122F" w14:paraId="1835B776" w14:textId="77777777" w:rsidTr="001A122F">
        <w:tc>
          <w:tcPr>
            <w:tcW w:w="5954" w:type="dxa"/>
          </w:tcPr>
          <w:p w14:paraId="5833511E"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WHITTAKER, CHRISTINE MARY N.O. </w:t>
            </w:r>
          </w:p>
        </w:tc>
        <w:tc>
          <w:tcPr>
            <w:tcW w:w="2835" w:type="dxa"/>
          </w:tcPr>
          <w:p w14:paraId="43BBD70C" w14:textId="29EFCE56"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4</w:t>
            </w:r>
            <w:r w:rsidRPr="001A122F">
              <w:rPr>
                <w:rFonts w:ascii="Arial" w:hAnsi="Arial" w:cs="Arial"/>
                <w:sz w:val="24"/>
                <w:szCs w:val="24"/>
                <w:vertAlign w:val="superscript"/>
              </w:rPr>
              <w:t>th</w:t>
            </w:r>
            <w:r>
              <w:rPr>
                <w:rFonts w:ascii="Arial" w:hAnsi="Arial" w:cs="Arial"/>
                <w:sz w:val="24"/>
                <w:szCs w:val="24"/>
              </w:rPr>
              <w:t xml:space="preserve"> </w:t>
            </w:r>
            <w:r w:rsidRPr="001A122F">
              <w:rPr>
                <w:rFonts w:ascii="Arial" w:hAnsi="Arial" w:cs="Arial"/>
                <w:sz w:val="24"/>
                <w:szCs w:val="24"/>
              </w:rPr>
              <w:t>Applicant</w:t>
            </w:r>
          </w:p>
        </w:tc>
      </w:tr>
      <w:tr w:rsidR="001A122F" w:rsidRPr="001A122F" w14:paraId="42721F3D" w14:textId="77777777" w:rsidTr="001A122F">
        <w:tc>
          <w:tcPr>
            <w:tcW w:w="5954" w:type="dxa"/>
          </w:tcPr>
          <w:p w14:paraId="5FCBE403"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MUNRO, CRAIG </w:t>
            </w:r>
          </w:p>
        </w:tc>
        <w:tc>
          <w:tcPr>
            <w:tcW w:w="2835" w:type="dxa"/>
          </w:tcPr>
          <w:p w14:paraId="2BF71F22" w14:textId="6DAB9742"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5</w:t>
            </w:r>
            <w:r w:rsidRPr="001A122F">
              <w:rPr>
                <w:rFonts w:ascii="Arial" w:hAnsi="Arial" w:cs="Arial"/>
                <w:sz w:val="24"/>
                <w:szCs w:val="24"/>
                <w:vertAlign w:val="superscript"/>
              </w:rPr>
              <w:t>th</w:t>
            </w:r>
            <w:r>
              <w:rPr>
                <w:rFonts w:ascii="Arial" w:hAnsi="Arial" w:cs="Arial"/>
                <w:sz w:val="24"/>
                <w:szCs w:val="24"/>
              </w:rPr>
              <w:t xml:space="preserve"> </w:t>
            </w:r>
            <w:r w:rsidRPr="001A122F">
              <w:rPr>
                <w:rFonts w:ascii="Arial" w:hAnsi="Arial" w:cs="Arial"/>
                <w:sz w:val="24"/>
                <w:szCs w:val="24"/>
              </w:rPr>
              <w:t>Applicant</w:t>
            </w:r>
          </w:p>
        </w:tc>
      </w:tr>
      <w:tr w:rsidR="001A122F" w:rsidRPr="001A122F" w14:paraId="3901C226" w14:textId="77777777" w:rsidTr="001A122F">
        <w:tc>
          <w:tcPr>
            <w:tcW w:w="5954" w:type="dxa"/>
          </w:tcPr>
          <w:p w14:paraId="2F25305E"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SHAULIS, STEVEN PATRICK </w:t>
            </w:r>
          </w:p>
        </w:tc>
        <w:tc>
          <w:tcPr>
            <w:tcW w:w="2835" w:type="dxa"/>
          </w:tcPr>
          <w:p w14:paraId="40BD4B62" w14:textId="49D8EBD2"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6</w:t>
            </w:r>
            <w:r w:rsidRPr="001A122F">
              <w:rPr>
                <w:rFonts w:ascii="Arial" w:hAnsi="Arial" w:cs="Arial"/>
                <w:sz w:val="24"/>
                <w:szCs w:val="24"/>
                <w:vertAlign w:val="superscript"/>
              </w:rPr>
              <w:t>th</w:t>
            </w:r>
            <w:r>
              <w:rPr>
                <w:rFonts w:ascii="Arial" w:hAnsi="Arial" w:cs="Arial"/>
                <w:sz w:val="24"/>
                <w:szCs w:val="24"/>
              </w:rPr>
              <w:t xml:space="preserve"> </w:t>
            </w:r>
            <w:r w:rsidRPr="001A122F">
              <w:rPr>
                <w:rFonts w:ascii="Arial" w:hAnsi="Arial" w:cs="Arial"/>
                <w:sz w:val="24"/>
                <w:szCs w:val="24"/>
              </w:rPr>
              <w:t>Applicant</w:t>
            </w:r>
          </w:p>
        </w:tc>
      </w:tr>
      <w:tr w:rsidR="001A122F" w:rsidRPr="001A122F" w14:paraId="43E71CC6" w14:textId="77777777" w:rsidTr="001A122F">
        <w:trPr>
          <w:trHeight w:val="386"/>
        </w:trPr>
        <w:tc>
          <w:tcPr>
            <w:tcW w:w="5954" w:type="dxa"/>
          </w:tcPr>
          <w:p w14:paraId="1381F397"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NATIONAL AIRWAYS CORPORATION (PTY) LTD </w:t>
            </w:r>
          </w:p>
        </w:tc>
        <w:tc>
          <w:tcPr>
            <w:tcW w:w="2835" w:type="dxa"/>
          </w:tcPr>
          <w:p w14:paraId="7B6A9BC7" w14:textId="0699B479"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7</w:t>
            </w:r>
            <w:r w:rsidRPr="001A122F">
              <w:rPr>
                <w:rFonts w:ascii="Arial" w:hAnsi="Arial" w:cs="Arial"/>
                <w:sz w:val="24"/>
                <w:szCs w:val="24"/>
                <w:vertAlign w:val="superscript"/>
              </w:rPr>
              <w:t>th</w:t>
            </w:r>
            <w:r>
              <w:rPr>
                <w:rFonts w:ascii="Arial" w:hAnsi="Arial" w:cs="Arial"/>
                <w:sz w:val="24"/>
                <w:szCs w:val="24"/>
              </w:rPr>
              <w:t xml:space="preserve"> </w:t>
            </w:r>
            <w:r w:rsidRPr="001A122F">
              <w:rPr>
                <w:rFonts w:ascii="Arial" w:hAnsi="Arial" w:cs="Arial"/>
                <w:sz w:val="24"/>
                <w:szCs w:val="24"/>
              </w:rPr>
              <w:t>Applicant</w:t>
            </w:r>
          </w:p>
        </w:tc>
      </w:tr>
      <w:tr w:rsidR="001A122F" w:rsidRPr="001A122F" w14:paraId="121A1677" w14:textId="77777777" w:rsidTr="001A122F">
        <w:trPr>
          <w:trHeight w:val="263"/>
        </w:trPr>
        <w:tc>
          <w:tcPr>
            <w:tcW w:w="5954" w:type="dxa"/>
          </w:tcPr>
          <w:p w14:paraId="2EEED0AD" w14:textId="77777777" w:rsidR="001A122F" w:rsidRPr="001A122F" w:rsidRDefault="001A122F" w:rsidP="001A122F">
            <w:pPr>
              <w:spacing w:after="0"/>
              <w:rPr>
                <w:rFonts w:ascii="Arial" w:hAnsi="Arial" w:cs="Arial"/>
                <w:sz w:val="24"/>
                <w:szCs w:val="24"/>
              </w:rPr>
            </w:pPr>
          </w:p>
        </w:tc>
        <w:tc>
          <w:tcPr>
            <w:tcW w:w="2835" w:type="dxa"/>
          </w:tcPr>
          <w:p w14:paraId="1AC852B8" w14:textId="77777777" w:rsidR="001A122F" w:rsidRPr="001A122F" w:rsidRDefault="001A122F" w:rsidP="001A122F">
            <w:pPr>
              <w:spacing w:after="0"/>
              <w:jc w:val="right"/>
              <w:rPr>
                <w:rFonts w:ascii="Arial" w:hAnsi="Arial" w:cs="Arial"/>
                <w:sz w:val="24"/>
                <w:szCs w:val="24"/>
              </w:rPr>
            </w:pPr>
          </w:p>
        </w:tc>
      </w:tr>
      <w:tr w:rsidR="001A122F" w:rsidRPr="001A122F" w14:paraId="7BC15E4E" w14:textId="77777777" w:rsidTr="001A122F">
        <w:trPr>
          <w:trHeight w:val="701"/>
        </w:trPr>
        <w:tc>
          <w:tcPr>
            <w:tcW w:w="5954" w:type="dxa"/>
          </w:tcPr>
          <w:p w14:paraId="1447BEF6" w14:textId="77777777" w:rsidR="001A122F" w:rsidRPr="001A122F" w:rsidRDefault="001A122F" w:rsidP="001A122F">
            <w:pPr>
              <w:spacing w:after="0"/>
              <w:rPr>
                <w:rFonts w:ascii="Arial" w:hAnsi="Arial" w:cs="Arial"/>
                <w:sz w:val="24"/>
                <w:szCs w:val="24"/>
              </w:rPr>
            </w:pPr>
            <w:r w:rsidRPr="001A122F">
              <w:rPr>
                <w:rFonts w:ascii="Arial" w:hAnsi="Arial" w:cs="Arial"/>
                <w:sz w:val="24"/>
                <w:szCs w:val="24"/>
              </w:rPr>
              <w:t xml:space="preserve">and </w:t>
            </w:r>
          </w:p>
        </w:tc>
        <w:tc>
          <w:tcPr>
            <w:tcW w:w="2835" w:type="dxa"/>
          </w:tcPr>
          <w:p w14:paraId="1F758D7B" w14:textId="77777777" w:rsidR="001A122F" w:rsidRPr="001A122F" w:rsidRDefault="001A122F" w:rsidP="001A122F">
            <w:pPr>
              <w:spacing w:after="0"/>
              <w:jc w:val="right"/>
              <w:rPr>
                <w:rFonts w:ascii="Arial" w:hAnsi="Arial" w:cs="Arial"/>
                <w:sz w:val="24"/>
                <w:szCs w:val="24"/>
              </w:rPr>
            </w:pPr>
          </w:p>
        </w:tc>
      </w:tr>
      <w:tr w:rsidR="001A122F" w:rsidRPr="001A122F" w14:paraId="697C33EA" w14:textId="77777777" w:rsidTr="001A122F">
        <w:tc>
          <w:tcPr>
            <w:tcW w:w="5954" w:type="dxa"/>
          </w:tcPr>
          <w:p w14:paraId="444BC022"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SIMELANE, DAVID NDABENHLE </w:t>
            </w:r>
          </w:p>
        </w:tc>
        <w:tc>
          <w:tcPr>
            <w:tcW w:w="2835" w:type="dxa"/>
          </w:tcPr>
          <w:p w14:paraId="2916C47A" w14:textId="43B58C65"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1</w:t>
            </w:r>
            <w:r w:rsidRPr="001A122F">
              <w:rPr>
                <w:rFonts w:ascii="Arial" w:hAnsi="Arial" w:cs="Arial"/>
                <w:sz w:val="24"/>
                <w:szCs w:val="24"/>
                <w:vertAlign w:val="superscript"/>
              </w:rPr>
              <w:t>st</w:t>
            </w:r>
            <w:r>
              <w:rPr>
                <w:rFonts w:ascii="Arial" w:hAnsi="Arial" w:cs="Arial"/>
                <w:sz w:val="24"/>
                <w:szCs w:val="24"/>
              </w:rPr>
              <w:t xml:space="preserve"> </w:t>
            </w:r>
            <w:r w:rsidRPr="001A122F">
              <w:rPr>
                <w:rFonts w:ascii="Arial" w:hAnsi="Arial" w:cs="Arial"/>
                <w:sz w:val="24"/>
                <w:szCs w:val="24"/>
              </w:rPr>
              <w:t>Respondent</w:t>
            </w:r>
          </w:p>
        </w:tc>
      </w:tr>
      <w:tr w:rsidR="001A122F" w:rsidRPr="001A122F" w14:paraId="157AC5BD" w14:textId="77777777" w:rsidTr="001A122F">
        <w:tc>
          <w:tcPr>
            <w:tcW w:w="5954" w:type="dxa"/>
          </w:tcPr>
          <w:p w14:paraId="5CE08FAB"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ULTIMATE HELI (PTY) LIMITED </w:t>
            </w:r>
          </w:p>
        </w:tc>
        <w:tc>
          <w:tcPr>
            <w:tcW w:w="2835" w:type="dxa"/>
          </w:tcPr>
          <w:p w14:paraId="2DF47009" w14:textId="1AA193F3"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2</w:t>
            </w:r>
            <w:r w:rsidRPr="001A122F">
              <w:rPr>
                <w:rFonts w:ascii="Arial" w:hAnsi="Arial" w:cs="Arial"/>
                <w:sz w:val="24"/>
                <w:szCs w:val="24"/>
                <w:vertAlign w:val="superscript"/>
              </w:rPr>
              <w:t>nd</w:t>
            </w:r>
            <w:r w:rsidRPr="001A122F">
              <w:rPr>
                <w:rFonts w:ascii="Arial" w:hAnsi="Arial" w:cs="Arial"/>
                <w:sz w:val="24"/>
                <w:szCs w:val="24"/>
              </w:rPr>
              <w:t xml:space="preserve"> Respondent</w:t>
            </w:r>
          </w:p>
        </w:tc>
      </w:tr>
      <w:tr w:rsidR="001A122F" w:rsidRPr="001A122F" w14:paraId="363ABBAA" w14:textId="77777777" w:rsidTr="001A122F">
        <w:tc>
          <w:tcPr>
            <w:tcW w:w="5954" w:type="dxa"/>
          </w:tcPr>
          <w:p w14:paraId="2200AD8B"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ULTIMATE AIRWAYS (PTY) LIMITED </w:t>
            </w:r>
          </w:p>
        </w:tc>
        <w:tc>
          <w:tcPr>
            <w:tcW w:w="2835" w:type="dxa"/>
          </w:tcPr>
          <w:p w14:paraId="0F0E64B9" w14:textId="43697642"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3</w:t>
            </w:r>
            <w:r w:rsidRPr="001A122F">
              <w:rPr>
                <w:rFonts w:ascii="Arial" w:hAnsi="Arial" w:cs="Arial"/>
                <w:sz w:val="24"/>
                <w:szCs w:val="24"/>
                <w:vertAlign w:val="superscript"/>
              </w:rPr>
              <w:t>rd</w:t>
            </w:r>
            <w:r>
              <w:rPr>
                <w:rFonts w:ascii="Arial" w:hAnsi="Arial" w:cs="Arial"/>
                <w:sz w:val="24"/>
                <w:szCs w:val="24"/>
              </w:rPr>
              <w:t xml:space="preserve"> </w:t>
            </w:r>
            <w:r w:rsidRPr="001A122F">
              <w:rPr>
                <w:rFonts w:ascii="Arial" w:hAnsi="Arial" w:cs="Arial"/>
                <w:sz w:val="24"/>
                <w:szCs w:val="24"/>
              </w:rPr>
              <w:t>Respondent</w:t>
            </w:r>
          </w:p>
        </w:tc>
      </w:tr>
      <w:tr w:rsidR="001A122F" w:rsidRPr="001A122F" w14:paraId="731FB96E" w14:textId="77777777" w:rsidTr="001A122F">
        <w:tc>
          <w:tcPr>
            <w:tcW w:w="5954" w:type="dxa"/>
          </w:tcPr>
          <w:p w14:paraId="063E33EA" w14:textId="77777777" w:rsidR="001A122F" w:rsidRPr="001A122F" w:rsidRDefault="001A122F" w:rsidP="001A122F">
            <w:pPr>
              <w:spacing w:after="0"/>
              <w:rPr>
                <w:rFonts w:ascii="Arial" w:hAnsi="Arial" w:cs="Arial"/>
                <w:b/>
                <w:sz w:val="24"/>
                <w:szCs w:val="24"/>
              </w:rPr>
            </w:pPr>
            <w:r w:rsidRPr="001A122F">
              <w:rPr>
                <w:rFonts w:ascii="Arial" w:hAnsi="Arial" w:cs="Arial"/>
                <w:b/>
                <w:sz w:val="24"/>
                <w:szCs w:val="24"/>
              </w:rPr>
              <w:t xml:space="preserve">ULTIMATE HELIPORT (PTY) LIMITED </w:t>
            </w:r>
          </w:p>
        </w:tc>
        <w:tc>
          <w:tcPr>
            <w:tcW w:w="2835" w:type="dxa"/>
          </w:tcPr>
          <w:p w14:paraId="1B5A529B" w14:textId="24A526E7" w:rsidR="001A122F" w:rsidRPr="001A122F" w:rsidRDefault="001A122F" w:rsidP="001A122F">
            <w:pPr>
              <w:spacing w:after="0"/>
              <w:jc w:val="right"/>
              <w:rPr>
                <w:rFonts w:ascii="Arial" w:hAnsi="Arial" w:cs="Arial"/>
                <w:sz w:val="24"/>
                <w:szCs w:val="24"/>
              </w:rPr>
            </w:pPr>
            <w:r w:rsidRPr="001A122F">
              <w:rPr>
                <w:rFonts w:ascii="Arial" w:hAnsi="Arial" w:cs="Arial"/>
                <w:sz w:val="24"/>
                <w:szCs w:val="24"/>
              </w:rPr>
              <w:t>4</w:t>
            </w:r>
            <w:r w:rsidRPr="001A122F">
              <w:rPr>
                <w:rFonts w:ascii="Arial" w:hAnsi="Arial" w:cs="Arial"/>
                <w:sz w:val="24"/>
                <w:szCs w:val="24"/>
                <w:vertAlign w:val="superscript"/>
              </w:rPr>
              <w:t>th</w:t>
            </w:r>
            <w:r>
              <w:rPr>
                <w:rFonts w:ascii="Arial" w:hAnsi="Arial" w:cs="Arial"/>
                <w:sz w:val="24"/>
                <w:szCs w:val="24"/>
              </w:rPr>
              <w:t xml:space="preserve"> </w:t>
            </w:r>
            <w:r w:rsidRPr="001A122F">
              <w:rPr>
                <w:rFonts w:ascii="Arial" w:hAnsi="Arial" w:cs="Arial"/>
                <w:sz w:val="24"/>
                <w:szCs w:val="24"/>
              </w:rPr>
              <w:t>Respondent</w:t>
            </w:r>
          </w:p>
        </w:tc>
      </w:tr>
    </w:tbl>
    <w:p w14:paraId="1E9ADFBF" w14:textId="665C22F4" w:rsidR="001A122F" w:rsidRPr="001A122F" w:rsidRDefault="001A122F" w:rsidP="001A122F">
      <w:pPr>
        <w:pBdr>
          <w:top w:val="single" w:sz="12" w:space="1" w:color="auto"/>
          <w:bottom w:val="single" w:sz="12" w:space="1" w:color="auto"/>
        </w:pBdr>
        <w:spacing w:after="0" w:line="240" w:lineRule="auto"/>
        <w:jc w:val="center"/>
        <w:rPr>
          <w:rFonts w:ascii="Arial" w:hAnsi="Arial" w:cs="Arial"/>
          <w:sz w:val="24"/>
          <w:szCs w:val="24"/>
        </w:rPr>
      </w:pPr>
    </w:p>
    <w:p w14:paraId="0C9ABEFE" w14:textId="36866825" w:rsidR="001A122F" w:rsidRPr="001A122F" w:rsidRDefault="001A122F" w:rsidP="001A122F">
      <w:pPr>
        <w:pBdr>
          <w:top w:val="single" w:sz="12" w:space="1" w:color="auto"/>
          <w:bottom w:val="single" w:sz="12" w:space="1" w:color="auto"/>
        </w:pBdr>
        <w:spacing w:after="0" w:line="240" w:lineRule="auto"/>
        <w:jc w:val="center"/>
        <w:rPr>
          <w:rFonts w:ascii="Arial" w:hAnsi="Arial" w:cs="Arial"/>
          <w:b/>
          <w:bCs/>
          <w:sz w:val="24"/>
          <w:szCs w:val="24"/>
        </w:rPr>
      </w:pPr>
      <w:r w:rsidRPr="001A122F">
        <w:rPr>
          <w:rFonts w:ascii="Arial" w:hAnsi="Arial" w:cs="Arial"/>
          <w:b/>
          <w:bCs/>
          <w:sz w:val="24"/>
          <w:szCs w:val="24"/>
        </w:rPr>
        <w:t>REASONS</w:t>
      </w:r>
    </w:p>
    <w:p w14:paraId="5D563166" w14:textId="77777777" w:rsidR="001A122F" w:rsidRPr="008C71E2" w:rsidRDefault="001A122F" w:rsidP="001A122F">
      <w:pPr>
        <w:pBdr>
          <w:top w:val="single" w:sz="12" w:space="1" w:color="auto"/>
          <w:bottom w:val="single" w:sz="12" w:space="1" w:color="auto"/>
        </w:pBdr>
        <w:spacing w:after="0" w:line="240" w:lineRule="auto"/>
        <w:rPr>
          <w:rFonts w:ascii="Arial" w:hAnsi="Arial" w:cs="Arial"/>
          <w:b/>
          <w:bCs/>
        </w:rPr>
      </w:pPr>
    </w:p>
    <w:p w14:paraId="279DBAEA" w14:textId="5666D989" w:rsidR="001A122F" w:rsidRPr="001A122F" w:rsidRDefault="001A122F" w:rsidP="001A122F">
      <w:pPr>
        <w:spacing w:before="240" w:after="0" w:line="480" w:lineRule="auto"/>
        <w:rPr>
          <w:rFonts w:ascii="Arial" w:hAnsi="Arial" w:cs="Arial"/>
          <w:sz w:val="24"/>
          <w:szCs w:val="24"/>
        </w:rPr>
      </w:pPr>
      <w:r w:rsidRPr="001A122F">
        <w:rPr>
          <w:rFonts w:ascii="Arial" w:hAnsi="Arial" w:cs="Arial"/>
          <w:b/>
          <w:bCs/>
          <w:sz w:val="24"/>
          <w:szCs w:val="24"/>
        </w:rPr>
        <w:t>MAHOMED A</w:t>
      </w:r>
      <w:r w:rsidRPr="001A122F">
        <w:rPr>
          <w:rFonts w:ascii="Arial" w:hAnsi="Arial" w:cs="Arial"/>
          <w:sz w:val="24"/>
          <w:szCs w:val="24"/>
        </w:rPr>
        <w:t>J</w:t>
      </w:r>
    </w:p>
    <w:p w14:paraId="69187607" w14:textId="77777777" w:rsidR="001A122F" w:rsidRPr="008C71E2" w:rsidRDefault="001A122F" w:rsidP="001A122F">
      <w:pPr>
        <w:pStyle w:val="Heading1"/>
      </w:pPr>
      <w:r w:rsidRPr="008C71E2">
        <w:lastRenderedPageBreak/>
        <w:t>INTRODUCTION</w:t>
      </w:r>
    </w:p>
    <w:p w14:paraId="6A74CE45" w14:textId="32BB3609" w:rsidR="001A122F" w:rsidRPr="008273B9" w:rsidRDefault="009769F3" w:rsidP="009769F3">
      <w:pPr>
        <w:pStyle w:val="ListLevel1"/>
        <w:numPr>
          <w:ilvl w:val="0"/>
          <w:numId w:val="0"/>
        </w:numPr>
        <w:tabs>
          <w:tab w:val="left" w:pos="851"/>
        </w:tabs>
        <w:ind w:left="851" w:hanging="851"/>
      </w:pPr>
      <w:r w:rsidRPr="008273B9">
        <w:t>1.</w:t>
      </w:r>
      <w:r w:rsidRPr="008273B9">
        <w:tab/>
      </w:r>
      <w:r w:rsidR="001A122F" w:rsidRPr="008273B9">
        <w:t>This matter was on my opposed roll.  Miltz SC appeared for the applicants and informed the court that a few minutes before the matter was to commence, the first respondent’s attorneys contact</w:t>
      </w:r>
      <w:r w:rsidR="001A122F">
        <w:t>ed</w:t>
      </w:r>
      <w:r w:rsidR="001A122F" w:rsidRPr="008273B9">
        <w:t xml:space="preserve"> his attorney and advised </w:t>
      </w:r>
      <w:r w:rsidR="009D5250">
        <w:t>t</w:t>
      </w:r>
      <w:r w:rsidR="001A122F" w:rsidRPr="008273B9">
        <w:t>hat the first respondent (“the respondent”) intended to apply for a postponement.</w:t>
      </w:r>
      <w:r w:rsidR="001A122F">
        <w:t xml:space="preserve">  This is the third postponement</w:t>
      </w:r>
      <w:r w:rsidR="009D5250">
        <w:t xml:space="preserve"> the first respondent seeks and the third occasion that he applies on the morning of the hearing of the matter. </w:t>
      </w:r>
      <w:r w:rsidR="001A122F">
        <w:t xml:space="preserve"> The applicants seek an order for the first respondent to deliver share certificates, against a tender of payment for his shares</w:t>
      </w:r>
      <w:r w:rsidR="009D5250">
        <w:t xml:space="preserve"> in the 2</w:t>
      </w:r>
      <w:r w:rsidR="009D5250" w:rsidRPr="009D5250">
        <w:rPr>
          <w:vertAlign w:val="superscript"/>
        </w:rPr>
        <w:t>nd</w:t>
      </w:r>
      <w:r w:rsidR="009D5250">
        <w:t xml:space="preserve"> to 4</w:t>
      </w:r>
      <w:r w:rsidR="009D5250" w:rsidRPr="009D5250">
        <w:rPr>
          <w:vertAlign w:val="superscript"/>
        </w:rPr>
        <w:t>th</w:t>
      </w:r>
      <w:r w:rsidR="009D5250">
        <w:t xml:space="preserve"> respondents.</w:t>
      </w:r>
    </w:p>
    <w:p w14:paraId="1E1A2434" w14:textId="77777777" w:rsidR="001A122F" w:rsidRPr="008273B9" w:rsidRDefault="001A122F" w:rsidP="001A122F">
      <w:pPr>
        <w:pStyle w:val="Heading1"/>
      </w:pPr>
      <w:r w:rsidRPr="008273B9">
        <w:t>BACKGROUND</w:t>
      </w:r>
    </w:p>
    <w:p w14:paraId="5A823162" w14:textId="33A3ECAB" w:rsidR="00BB2C99" w:rsidRDefault="009769F3" w:rsidP="009769F3">
      <w:pPr>
        <w:pStyle w:val="ListLevel1"/>
        <w:numPr>
          <w:ilvl w:val="0"/>
          <w:numId w:val="0"/>
        </w:numPr>
        <w:tabs>
          <w:tab w:val="left" w:pos="851"/>
        </w:tabs>
        <w:ind w:left="851" w:hanging="851"/>
      </w:pPr>
      <w:r>
        <w:t>2.</w:t>
      </w:r>
      <w:r>
        <w:tab/>
      </w:r>
      <w:r w:rsidR="001A122F" w:rsidRPr="008273B9">
        <w:t xml:space="preserve">The </w:t>
      </w:r>
      <w:r w:rsidR="009D5250">
        <w:t xml:space="preserve">parties </w:t>
      </w:r>
      <w:r w:rsidR="001A122F">
        <w:t>were</w:t>
      </w:r>
      <w:r w:rsidR="001A122F" w:rsidRPr="008273B9">
        <w:t xml:space="preserve"> directors</w:t>
      </w:r>
      <w:r w:rsidR="001A122F">
        <w:t xml:space="preserve"> and shareholders</w:t>
      </w:r>
      <w:r w:rsidR="001A122F" w:rsidRPr="008273B9">
        <w:t xml:space="preserve"> in the companies cited as </w:t>
      </w:r>
      <w:r w:rsidR="001A122F">
        <w:t>the 2</w:t>
      </w:r>
      <w:r w:rsidR="001A122F" w:rsidRPr="00D202CA">
        <w:rPr>
          <w:vertAlign w:val="superscript"/>
        </w:rPr>
        <w:t>nd</w:t>
      </w:r>
      <w:r w:rsidR="001A122F">
        <w:t xml:space="preserve"> to 4</w:t>
      </w:r>
      <w:r w:rsidR="001A122F" w:rsidRPr="00D202CA">
        <w:rPr>
          <w:vertAlign w:val="superscript"/>
        </w:rPr>
        <w:t>th</w:t>
      </w:r>
      <w:r w:rsidR="001A122F">
        <w:t xml:space="preserve"> respondents.  The </w:t>
      </w:r>
      <w:r w:rsidR="00FC7C90" w:rsidRPr="008273B9">
        <w:t>applicants</w:t>
      </w:r>
      <w:r w:rsidR="009D5250">
        <w:t xml:space="preserve"> </w:t>
      </w:r>
      <w:r w:rsidR="00BB2C99">
        <w:t>rel</w:t>
      </w:r>
      <w:r w:rsidR="00FC7C90">
        <w:t>y</w:t>
      </w:r>
      <w:r w:rsidR="009D5250">
        <w:t xml:space="preserve"> </w:t>
      </w:r>
      <w:r w:rsidR="00BB2C99">
        <w:t>on</w:t>
      </w:r>
      <w:r w:rsidR="009D5250">
        <w:t xml:space="preserve"> the</w:t>
      </w:r>
      <w:r w:rsidR="001A122F">
        <w:t xml:space="preserve"> prejudicial conduct </w:t>
      </w:r>
      <w:r w:rsidR="009D5250">
        <w:t>of</w:t>
      </w:r>
      <w:r w:rsidR="001A122F">
        <w:t xml:space="preserve"> the 1</w:t>
      </w:r>
      <w:r w:rsidR="001A122F" w:rsidRPr="00D202CA">
        <w:rPr>
          <w:vertAlign w:val="superscript"/>
        </w:rPr>
        <w:t>st</w:t>
      </w:r>
      <w:r w:rsidR="001A122F">
        <w:t xml:space="preserve"> respondent in terms </w:t>
      </w:r>
      <w:r w:rsidR="00FC7C90">
        <w:t xml:space="preserve">of </w:t>
      </w:r>
      <w:r w:rsidR="00FC7C90" w:rsidRPr="008273B9">
        <w:t>s163 of</w:t>
      </w:r>
      <w:r w:rsidR="001A122F" w:rsidRPr="008273B9">
        <w:t xml:space="preserve"> the Companies Act 71 of 2008</w:t>
      </w:r>
      <w:r w:rsidR="001A122F">
        <w:rPr>
          <w:rStyle w:val="FootnoteReference"/>
          <w:rFonts w:cs="Arial"/>
        </w:rPr>
        <w:footnoteReference w:id="1"/>
      </w:r>
      <w:r w:rsidR="00BB2C99">
        <w:t xml:space="preserve">.  </w:t>
      </w:r>
      <w:r w:rsidR="00FC7C90">
        <w:t>Therefore,</w:t>
      </w:r>
      <w:r w:rsidR="00BB2C99">
        <w:t xml:space="preserve"> a breach was established</w:t>
      </w:r>
      <w:r w:rsidR="001A122F">
        <w:t xml:space="preserve"> </w:t>
      </w:r>
      <w:r w:rsidR="00FC7C90">
        <w:t>which triggered</w:t>
      </w:r>
      <w:r w:rsidR="001A122F">
        <w:t xml:space="preserve"> </w:t>
      </w:r>
      <w:r w:rsidR="009D5250">
        <w:t>the “</w:t>
      </w:r>
      <w:r w:rsidR="001A122F">
        <w:t>deemed offers provisions</w:t>
      </w:r>
      <w:r w:rsidR="009D5250">
        <w:t>”</w:t>
      </w:r>
      <w:r w:rsidR="001A122F">
        <w:t xml:space="preserve"> in their shareholder agreements</w:t>
      </w:r>
      <w:r w:rsidR="00BB2C99">
        <w:t xml:space="preserve"> in the 2</w:t>
      </w:r>
      <w:r w:rsidR="00BB2C99" w:rsidRPr="00BB2C99">
        <w:rPr>
          <w:vertAlign w:val="superscript"/>
        </w:rPr>
        <w:t>nd</w:t>
      </w:r>
      <w:r w:rsidR="00BB2C99">
        <w:t xml:space="preserve"> and 4</w:t>
      </w:r>
      <w:r w:rsidR="00BB2C99" w:rsidRPr="00BB2C99">
        <w:rPr>
          <w:vertAlign w:val="superscript"/>
        </w:rPr>
        <w:t>th</w:t>
      </w:r>
      <w:r w:rsidR="00BB2C99">
        <w:t xml:space="preserve"> respondents.  </w:t>
      </w:r>
      <w:r w:rsidR="001A122F">
        <w:t>The applicants seek to purchase his shares</w:t>
      </w:r>
      <w:r w:rsidR="00BB2C99">
        <w:t xml:space="preserve"> therein.  Furthermore, the applicants cancelled the agreements in the 3</w:t>
      </w:r>
      <w:r w:rsidR="00BB2C99" w:rsidRPr="00BB2C99">
        <w:rPr>
          <w:vertAlign w:val="superscript"/>
        </w:rPr>
        <w:t>rd</w:t>
      </w:r>
      <w:r w:rsidR="00BB2C99">
        <w:t xml:space="preserve"> </w:t>
      </w:r>
      <w:r w:rsidR="00BB2C99">
        <w:lastRenderedPageBreak/>
        <w:t>respondent, having established that the first respondent breached a confidentiality clause and accordingly cancelled this agreement. The applicants therefore s</w:t>
      </w:r>
      <w:r w:rsidR="00A10ABE">
        <w:t>eek</w:t>
      </w:r>
      <w:r w:rsidR="00BB2C99">
        <w:t xml:space="preserve"> to purchase all shares which the first respondent held in the 2</w:t>
      </w:r>
      <w:r w:rsidR="00BB2C99" w:rsidRPr="00BB2C99">
        <w:rPr>
          <w:vertAlign w:val="superscript"/>
        </w:rPr>
        <w:t>nd</w:t>
      </w:r>
      <w:r w:rsidR="00BB2C99">
        <w:t xml:space="preserve"> to 4</w:t>
      </w:r>
      <w:r w:rsidR="00BB2C99" w:rsidRPr="00BB2C99">
        <w:rPr>
          <w:vertAlign w:val="superscript"/>
        </w:rPr>
        <w:t>th</w:t>
      </w:r>
      <w:r w:rsidR="00BB2C99">
        <w:t xml:space="preserve"> respondents.  The shares were valued by application of contractually agreed formula</w:t>
      </w:r>
      <w:r w:rsidR="001A122F">
        <w:t xml:space="preserve">.  </w:t>
      </w:r>
    </w:p>
    <w:p w14:paraId="6BEBB162" w14:textId="582F8F93" w:rsidR="001A122F" w:rsidRDefault="009769F3" w:rsidP="009769F3">
      <w:pPr>
        <w:pStyle w:val="ListLevel2"/>
        <w:numPr>
          <w:ilvl w:val="0"/>
          <w:numId w:val="0"/>
        </w:numPr>
        <w:tabs>
          <w:tab w:val="left" w:pos="1701"/>
        </w:tabs>
        <w:ind w:left="1702" w:hanging="851"/>
      </w:pPr>
      <w:r>
        <w:t>2.1.</w:t>
      </w:r>
      <w:r>
        <w:tab/>
      </w:r>
      <w:r w:rsidR="001A122F">
        <w:t>Miltz SC proffered that on his reading of the answering affidavit, the valuation</w:t>
      </w:r>
      <w:r w:rsidR="00BB2C99">
        <w:t xml:space="preserve"> of the shares</w:t>
      </w:r>
      <w:r w:rsidR="001A122F">
        <w:t xml:space="preserve"> is disputed</w:t>
      </w:r>
      <w:r w:rsidR="00BB2C99">
        <w:t>.  T</w:t>
      </w:r>
      <w:r w:rsidR="001A122F">
        <w:t>he first respondent believes that his shares are undervalued.   The first respondent has not raised any dispute as to the validity of the contract</w:t>
      </w:r>
      <w:r w:rsidR="00A10ABE">
        <w:t>ual</w:t>
      </w:r>
      <w:r w:rsidR="009D5250">
        <w:t xml:space="preserve"> terms</w:t>
      </w:r>
      <w:r w:rsidR="001A122F">
        <w:t xml:space="preserve">, he </w:t>
      </w:r>
      <w:r w:rsidR="009D5250">
        <w:t xml:space="preserve">disputes </w:t>
      </w:r>
      <w:r w:rsidR="001A122F">
        <w:t>only the valuation</w:t>
      </w:r>
      <w:r w:rsidR="009D5250">
        <w:t xml:space="preserve"> of his shares in the 2</w:t>
      </w:r>
      <w:r w:rsidR="009D5250" w:rsidRPr="009D5250">
        <w:rPr>
          <w:vertAlign w:val="superscript"/>
        </w:rPr>
        <w:t>nd</w:t>
      </w:r>
      <w:r w:rsidR="009D5250">
        <w:t xml:space="preserve"> to 4</w:t>
      </w:r>
      <w:r w:rsidR="009D5250" w:rsidRPr="009D5250">
        <w:rPr>
          <w:vertAlign w:val="superscript"/>
        </w:rPr>
        <w:t>th</w:t>
      </w:r>
      <w:r w:rsidR="009D5250">
        <w:t xml:space="preserve"> respondents.</w:t>
      </w:r>
    </w:p>
    <w:p w14:paraId="4C00FC47" w14:textId="77777777" w:rsidR="001A122F" w:rsidRDefault="001A122F" w:rsidP="001A122F">
      <w:pPr>
        <w:pStyle w:val="Heading1"/>
      </w:pPr>
      <w:r w:rsidRPr="00AC219E">
        <w:t>THE APPLICATIONS</w:t>
      </w:r>
    </w:p>
    <w:p w14:paraId="5CDB1D69" w14:textId="3C582F08" w:rsidR="001A122F" w:rsidRDefault="001A122F" w:rsidP="001A122F">
      <w:pPr>
        <w:pStyle w:val="Heading2"/>
      </w:pPr>
      <w:r>
        <w:t>Striking of Defence</w:t>
      </w:r>
    </w:p>
    <w:p w14:paraId="5D043B61" w14:textId="679B9EFF" w:rsidR="001A122F" w:rsidRDefault="009769F3" w:rsidP="009769F3">
      <w:pPr>
        <w:pStyle w:val="ListLevel1"/>
        <w:numPr>
          <w:ilvl w:val="0"/>
          <w:numId w:val="0"/>
        </w:numPr>
        <w:tabs>
          <w:tab w:val="left" w:pos="851"/>
        </w:tabs>
        <w:ind w:left="851" w:hanging="851"/>
      </w:pPr>
      <w:r>
        <w:t>3.</w:t>
      </w:r>
      <w:r>
        <w:tab/>
      </w:r>
      <w:r w:rsidR="001A122F">
        <w:t>The applicants applied to strike out the respondent’s defence and for the matter to proceed by default.</w:t>
      </w:r>
    </w:p>
    <w:p w14:paraId="0666EA35" w14:textId="41BC15C3" w:rsidR="001A122F" w:rsidRDefault="009769F3" w:rsidP="009769F3">
      <w:pPr>
        <w:pStyle w:val="ListLevel1"/>
        <w:numPr>
          <w:ilvl w:val="0"/>
          <w:numId w:val="0"/>
        </w:numPr>
        <w:tabs>
          <w:tab w:val="left" w:pos="851"/>
        </w:tabs>
        <w:ind w:left="851" w:hanging="851"/>
      </w:pPr>
      <w:r>
        <w:t>4.</w:t>
      </w:r>
      <w:r>
        <w:tab/>
      </w:r>
      <w:r w:rsidR="001A122F">
        <w:t xml:space="preserve">Miltz SC </w:t>
      </w:r>
      <w:r w:rsidR="00A10ABE">
        <w:t xml:space="preserve">submitted </w:t>
      </w:r>
      <w:r w:rsidR="001A122F">
        <w:t xml:space="preserve">that the respondent has on two previous occasions adopted the same modus operandi, when he applied for postponements on the morning of the hearing of the matter and without any substantive application. </w:t>
      </w:r>
      <w:r w:rsidR="00713676">
        <w:t xml:space="preserve">He informed the court that a few minutes before court </w:t>
      </w:r>
      <w:r w:rsidR="00713676">
        <w:lastRenderedPageBreak/>
        <w:t xml:space="preserve">commenced, the first respondent filed an application for postponement and </w:t>
      </w:r>
      <w:r w:rsidR="00FC7C90">
        <w:t>an</w:t>
      </w:r>
      <w:r w:rsidR="00713676">
        <w:t xml:space="preserve"> application for condonation.  He had not had an opportunity to peruse the papers at this late stage.</w:t>
      </w:r>
    </w:p>
    <w:p w14:paraId="1B257360" w14:textId="0A7EE8F8" w:rsidR="001A122F" w:rsidRDefault="009769F3" w:rsidP="009769F3">
      <w:pPr>
        <w:pStyle w:val="ListLevel1"/>
        <w:numPr>
          <w:ilvl w:val="0"/>
          <w:numId w:val="0"/>
        </w:numPr>
        <w:tabs>
          <w:tab w:val="left" w:pos="851"/>
        </w:tabs>
        <w:ind w:left="851" w:hanging="851"/>
      </w:pPr>
      <w:r>
        <w:t>5.</w:t>
      </w:r>
      <w:r>
        <w:tab/>
      </w:r>
      <w:r w:rsidR="001A122F">
        <w:t xml:space="preserve">The matter was </w:t>
      </w:r>
      <w:r w:rsidR="00713676">
        <w:t xml:space="preserve">previously </w:t>
      </w:r>
      <w:r w:rsidR="001A122F">
        <w:t>before Judge Maier Frawley on 18 August 2021</w:t>
      </w:r>
      <w:r w:rsidR="001A122F">
        <w:rPr>
          <w:rStyle w:val="FootnoteReference"/>
          <w:rFonts w:cs="Arial"/>
        </w:rPr>
        <w:footnoteReference w:id="2"/>
      </w:r>
      <w:r w:rsidR="001A122F">
        <w:t xml:space="preserve"> when the matter was postponed sine die and the first respondent was ordered to, file his answering affidavit and apply for condonation for the late filing of his papers by 2 September 2021.  He was ordered to pay the costs.</w:t>
      </w:r>
    </w:p>
    <w:p w14:paraId="06C7D749" w14:textId="47A11A68" w:rsidR="001A122F" w:rsidRDefault="009769F3" w:rsidP="009769F3">
      <w:pPr>
        <w:pStyle w:val="ListLevel1"/>
        <w:numPr>
          <w:ilvl w:val="0"/>
          <w:numId w:val="0"/>
        </w:numPr>
        <w:tabs>
          <w:tab w:val="left" w:pos="851"/>
        </w:tabs>
        <w:ind w:left="851" w:hanging="851"/>
      </w:pPr>
      <w:r>
        <w:t>6.</w:t>
      </w:r>
      <w:r>
        <w:tab/>
      </w:r>
      <w:r w:rsidR="001A122F">
        <w:t>On 17 November 2021 the matter was before Opperman J, who granted a postponement and ordered,</w:t>
      </w:r>
      <w:r w:rsidR="001A122F">
        <w:rPr>
          <w:rStyle w:val="FootnoteReference"/>
          <w:rFonts w:cs="Arial"/>
        </w:rPr>
        <w:footnoteReference w:id="3"/>
      </w:r>
      <w:r w:rsidR="001A122F">
        <w:t xml:space="preserve"> that by 2 December 2021, he </w:t>
      </w:r>
      <w:r w:rsidR="00713676">
        <w:t xml:space="preserve">was to </w:t>
      </w:r>
      <w:r w:rsidR="001A122F">
        <w:t xml:space="preserve">deliver an application for condonation due to his late filing of his answering affidavit and his failure to </w:t>
      </w:r>
      <w:r w:rsidR="00BF5AB8">
        <w:t>comply</w:t>
      </w:r>
      <w:r w:rsidR="001A122F">
        <w:t xml:space="preserve"> with the earlier order of August 2021.  He was ordered to file his answering affidavit.   The applicants were to file their heads and practise note, by 3 January 2022 and the respondent was to file his heads of argument and practise note 10 days thereafter.   </w:t>
      </w:r>
      <w:r w:rsidR="00A10ABE">
        <w:t xml:space="preserve">It was ordered that should he fail to </w:t>
      </w:r>
      <w:r w:rsidR="00FC7C90">
        <w:t>file</w:t>
      </w:r>
      <w:r w:rsidR="00A10ABE">
        <w:t xml:space="preserve"> his heads of argument and practise note, the applicants could apply for </w:t>
      </w:r>
      <w:r w:rsidR="001A122F">
        <w:t>a strike out of the defence.</w:t>
      </w:r>
    </w:p>
    <w:p w14:paraId="3B9AC1D8" w14:textId="56F9C901" w:rsidR="001A122F" w:rsidRDefault="009769F3" w:rsidP="009769F3">
      <w:pPr>
        <w:pStyle w:val="ListLevel1"/>
        <w:numPr>
          <w:ilvl w:val="0"/>
          <w:numId w:val="0"/>
        </w:numPr>
        <w:tabs>
          <w:tab w:val="left" w:pos="851"/>
        </w:tabs>
        <w:ind w:left="851" w:hanging="851"/>
      </w:pPr>
      <w:r>
        <w:lastRenderedPageBreak/>
        <w:t>7.</w:t>
      </w:r>
      <w:r>
        <w:tab/>
      </w:r>
      <w:r w:rsidR="006734F0">
        <w:t>Miltz SC submitted that t</w:t>
      </w:r>
      <w:r w:rsidR="001A122F" w:rsidRPr="00E14E17">
        <w:t xml:space="preserve">he respondent failed to comply with the </w:t>
      </w:r>
      <w:r w:rsidR="00FC7C90">
        <w:t>two</w:t>
      </w:r>
      <w:r w:rsidR="006734F0">
        <w:t xml:space="preserve"> previous </w:t>
      </w:r>
      <w:r w:rsidR="001A122F" w:rsidRPr="00E14E17">
        <w:t xml:space="preserve">orders and </w:t>
      </w:r>
      <w:r w:rsidR="001A122F">
        <w:t xml:space="preserve">counsel that </w:t>
      </w:r>
      <w:r w:rsidR="001A122F" w:rsidRPr="00E14E17">
        <w:t>as he addresse</w:t>
      </w:r>
      <w:r w:rsidR="00A10ABE">
        <w:t>d</w:t>
      </w:r>
      <w:r w:rsidR="001A122F" w:rsidRPr="00E14E17">
        <w:t xml:space="preserve"> this court no practise </w:t>
      </w:r>
      <w:r w:rsidR="00FC7C90" w:rsidRPr="00E14E17">
        <w:t>note,</w:t>
      </w:r>
      <w:r w:rsidR="001A122F" w:rsidRPr="00E14E17">
        <w:t xml:space="preserve"> or heads have been filed.  </w:t>
      </w:r>
    </w:p>
    <w:p w14:paraId="3B0B7DEF" w14:textId="0E5B1322" w:rsidR="001A122F" w:rsidRDefault="009769F3" w:rsidP="009769F3">
      <w:pPr>
        <w:pStyle w:val="ListLevel1"/>
        <w:numPr>
          <w:ilvl w:val="0"/>
          <w:numId w:val="0"/>
        </w:numPr>
        <w:tabs>
          <w:tab w:val="left" w:pos="851"/>
        </w:tabs>
        <w:ind w:left="851" w:hanging="851"/>
      </w:pPr>
      <w:r>
        <w:t>8.</w:t>
      </w:r>
      <w:r>
        <w:tab/>
      </w:r>
      <w:r w:rsidR="006734F0">
        <w:t xml:space="preserve">Furthermore, </w:t>
      </w:r>
      <w:r w:rsidR="001A122F">
        <w:t xml:space="preserve">the respondent has to date failed to pay the taxed bill of costs </w:t>
      </w:r>
      <w:r w:rsidR="00A10ABE">
        <w:t>in respect of the last two occasions in court.</w:t>
      </w:r>
    </w:p>
    <w:p w14:paraId="42EB1649" w14:textId="5AB5DFE4" w:rsidR="001A122F" w:rsidRPr="00031152" w:rsidRDefault="009769F3" w:rsidP="009769F3">
      <w:pPr>
        <w:pStyle w:val="ListLevel1"/>
        <w:numPr>
          <w:ilvl w:val="0"/>
          <w:numId w:val="0"/>
        </w:numPr>
        <w:tabs>
          <w:tab w:val="left" w:pos="851"/>
        </w:tabs>
        <w:ind w:left="851" w:hanging="851"/>
      </w:pPr>
      <w:r w:rsidRPr="00031152">
        <w:t>9.</w:t>
      </w:r>
      <w:r w:rsidRPr="00031152">
        <w:tab/>
      </w:r>
      <w:r w:rsidR="006734F0">
        <w:t xml:space="preserve">Counsel </w:t>
      </w:r>
      <w:r w:rsidR="001A122F">
        <w:t>applied for the striking out of the defence and to proceed by default</w:t>
      </w:r>
      <w:r w:rsidR="006734F0">
        <w:t>.</w:t>
      </w:r>
    </w:p>
    <w:p w14:paraId="7F61F985" w14:textId="5C559805" w:rsidR="001A122F" w:rsidRDefault="009769F3" w:rsidP="009769F3">
      <w:pPr>
        <w:pStyle w:val="ListLevel1"/>
        <w:numPr>
          <w:ilvl w:val="0"/>
          <w:numId w:val="0"/>
        </w:numPr>
        <w:tabs>
          <w:tab w:val="left" w:pos="851"/>
        </w:tabs>
        <w:ind w:left="851" w:hanging="851"/>
      </w:pPr>
      <w:r>
        <w:t>10.</w:t>
      </w:r>
      <w:r>
        <w:tab/>
      </w:r>
      <w:r w:rsidR="006734F0">
        <w:t xml:space="preserve">He submitted further </w:t>
      </w:r>
      <w:r w:rsidR="001A122F">
        <w:t>that the answering papers do not comply with Rule 6 as they are non-responsive to the issues and grounds raised by the applicants</w:t>
      </w:r>
      <w:r w:rsidR="006734F0">
        <w:t xml:space="preserve"> and </w:t>
      </w:r>
      <w:r w:rsidR="001A122F">
        <w:t xml:space="preserve">from the papers </w:t>
      </w:r>
      <w:r w:rsidR="00FC7C90">
        <w:t>the respondent</w:t>
      </w:r>
      <w:r w:rsidR="001A122F">
        <w:t xml:space="preserve"> disputes the valuation of his shares only. </w:t>
      </w:r>
    </w:p>
    <w:p w14:paraId="7EFF7FD7" w14:textId="69361F24" w:rsidR="006734F0" w:rsidRDefault="009769F3" w:rsidP="009769F3">
      <w:pPr>
        <w:pStyle w:val="ListLevel2"/>
        <w:numPr>
          <w:ilvl w:val="0"/>
          <w:numId w:val="0"/>
        </w:numPr>
        <w:tabs>
          <w:tab w:val="left" w:pos="1701"/>
        </w:tabs>
        <w:ind w:left="1702" w:hanging="851"/>
      </w:pPr>
      <w:r>
        <w:t>10.1.</w:t>
      </w:r>
      <w:r>
        <w:tab/>
      </w:r>
      <w:r w:rsidR="001A122F" w:rsidRPr="00E14E17">
        <w:t xml:space="preserve">Counsel reminded the court, that the respondent </w:t>
      </w:r>
      <w:r w:rsidR="0068725F" w:rsidRPr="00E14E17">
        <w:t>participated in</w:t>
      </w:r>
      <w:r w:rsidR="001A122F" w:rsidRPr="00E14E17">
        <w:t xml:space="preserve"> discussions with the applicants, long before this application was launched on 14 June 2021</w:t>
      </w:r>
      <w:r w:rsidR="006734F0">
        <w:t xml:space="preserve"> </w:t>
      </w:r>
      <w:r w:rsidR="00A10ABE">
        <w:t>regarding</w:t>
      </w:r>
      <w:r w:rsidR="006734F0">
        <w:t xml:space="preserve"> the values</w:t>
      </w:r>
      <w:r w:rsidR="001A122F" w:rsidRPr="00E14E17">
        <w:t xml:space="preserve">.  </w:t>
      </w:r>
    </w:p>
    <w:p w14:paraId="6CAE6504" w14:textId="4C3004D4" w:rsidR="001A122F" w:rsidRDefault="009769F3" w:rsidP="009769F3">
      <w:pPr>
        <w:pStyle w:val="ListLevel2"/>
        <w:numPr>
          <w:ilvl w:val="0"/>
          <w:numId w:val="0"/>
        </w:numPr>
        <w:tabs>
          <w:tab w:val="left" w:pos="1701"/>
        </w:tabs>
        <w:ind w:left="1702" w:hanging="851"/>
      </w:pPr>
      <w:r>
        <w:t>10.2.</w:t>
      </w:r>
      <w:r>
        <w:tab/>
      </w:r>
      <w:r w:rsidR="00A10ABE">
        <w:t xml:space="preserve">The financial statements of each of the entities were sent to him, and he signed off on them.  He was invited to comment of the </w:t>
      </w:r>
      <w:r w:rsidR="001A122F" w:rsidRPr="00E14E17">
        <w:t>assessed</w:t>
      </w:r>
      <w:r w:rsidR="00A10ABE">
        <w:t xml:space="preserve"> values but fa</w:t>
      </w:r>
      <w:r w:rsidR="001A122F" w:rsidRPr="00E14E17">
        <w:t xml:space="preserve">iled to engage with the </w:t>
      </w:r>
      <w:r w:rsidR="00FC7C90" w:rsidRPr="00E14E17">
        <w:t>applicants</w:t>
      </w:r>
      <w:r w:rsidR="001A122F" w:rsidRPr="00E14E17">
        <w:t xml:space="preserve"> on the valuation.  </w:t>
      </w:r>
    </w:p>
    <w:p w14:paraId="6DF39927" w14:textId="6B879A1C" w:rsidR="00B9752F" w:rsidRDefault="009769F3" w:rsidP="009769F3">
      <w:pPr>
        <w:pStyle w:val="ListLevel2"/>
        <w:numPr>
          <w:ilvl w:val="0"/>
          <w:numId w:val="0"/>
        </w:numPr>
        <w:tabs>
          <w:tab w:val="left" w:pos="1701"/>
        </w:tabs>
        <w:ind w:left="1702" w:hanging="851"/>
      </w:pPr>
      <w:r>
        <w:lastRenderedPageBreak/>
        <w:t>10.3.</w:t>
      </w:r>
      <w:r>
        <w:tab/>
      </w:r>
      <w:r w:rsidR="001A122F" w:rsidRPr="00E14E17">
        <w:t xml:space="preserve">Moreover, the valuations have been assessed based on a formula which is included </w:t>
      </w:r>
      <w:r w:rsidR="001A122F">
        <w:t xml:space="preserve">in </w:t>
      </w:r>
      <w:r w:rsidR="001A122F" w:rsidRPr="00E14E17">
        <w:t xml:space="preserve">the agreements between the parties.  The respondent has to date </w:t>
      </w:r>
      <w:r w:rsidR="00B9752F">
        <w:t xml:space="preserve">not submitted </w:t>
      </w:r>
      <w:r w:rsidR="006734F0">
        <w:t xml:space="preserve">any </w:t>
      </w:r>
      <w:r w:rsidR="00B9752F">
        <w:t xml:space="preserve">of his own </w:t>
      </w:r>
      <w:r w:rsidR="006734F0">
        <w:t xml:space="preserve">valuations nor </w:t>
      </w:r>
      <w:r w:rsidR="00B9752F">
        <w:t xml:space="preserve">has he </w:t>
      </w:r>
      <w:r w:rsidR="001A122F" w:rsidRPr="00E14E17">
        <w:t>raised a counter</w:t>
      </w:r>
      <w:r w:rsidR="006734F0">
        <w:t>application</w:t>
      </w:r>
      <w:r w:rsidR="001A122F" w:rsidRPr="00E14E17">
        <w:t xml:space="preserve">. </w:t>
      </w:r>
    </w:p>
    <w:p w14:paraId="523562D6" w14:textId="51DECDBD" w:rsidR="00B9752F" w:rsidRDefault="009769F3" w:rsidP="009769F3">
      <w:pPr>
        <w:pStyle w:val="ListLevel2"/>
        <w:numPr>
          <w:ilvl w:val="0"/>
          <w:numId w:val="0"/>
        </w:numPr>
        <w:tabs>
          <w:tab w:val="left" w:pos="1701"/>
        </w:tabs>
        <w:ind w:left="1702" w:hanging="851"/>
      </w:pPr>
      <w:r>
        <w:t>10.4.</w:t>
      </w:r>
      <w:r>
        <w:tab/>
      </w:r>
      <w:r w:rsidR="00B9752F">
        <w:t>The evidence is that in respect of the 2</w:t>
      </w:r>
      <w:r w:rsidR="00B9752F" w:rsidRPr="00B9752F">
        <w:rPr>
          <w:vertAlign w:val="superscript"/>
        </w:rPr>
        <w:t>nd</w:t>
      </w:r>
      <w:r w:rsidR="00B9752F">
        <w:t xml:space="preserve"> and 4</w:t>
      </w:r>
      <w:r w:rsidR="00B9752F" w:rsidRPr="00B9752F">
        <w:rPr>
          <w:vertAlign w:val="superscript"/>
        </w:rPr>
        <w:t>th</w:t>
      </w:r>
      <w:r w:rsidR="00B9752F">
        <w:t xml:space="preserve"> respondents the agreements provide time periods within which the parties were to raise objections.  The respondent has failed to take any of the opportunities available to him.</w:t>
      </w:r>
    </w:p>
    <w:p w14:paraId="6D8B150F" w14:textId="3D9680FA" w:rsidR="00B9752F" w:rsidRDefault="009769F3" w:rsidP="009769F3">
      <w:pPr>
        <w:pStyle w:val="ListLevel2"/>
        <w:numPr>
          <w:ilvl w:val="0"/>
          <w:numId w:val="0"/>
        </w:numPr>
        <w:tabs>
          <w:tab w:val="left" w:pos="1701"/>
        </w:tabs>
        <w:ind w:left="1702" w:hanging="851"/>
      </w:pPr>
      <w:r>
        <w:t>10.5.</w:t>
      </w:r>
      <w:r>
        <w:tab/>
      </w:r>
      <w:r w:rsidR="00B9752F">
        <w:t xml:space="preserve">He submitted that </w:t>
      </w:r>
      <w:r w:rsidR="00FC7C90">
        <w:t>all</w:t>
      </w:r>
      <w:r w:rsidR="00B9752F">
        <w:t xml:space="preserve"> the valuations and assessments in respect of all the respondent companies, were presented to the first respondent and he has had sufficient time to consider and counter them.  </w:t>
      </w:r>
    </w:p>
    <w:p w14:paraId="60F8070F" w14:textId="3F410CD8" w:rsidR="001A122F" w:rsidRPr="00E14E17" w:rsidRDefault="009769F3" w:rsidP="009769F3">
      <w:pPr>
        <w:pStyle w:val="ListLevel1"/>
        <w:numPr>
          <w:ilvl w:val="0"/>
          <w:numId w:val="0"/>
        </w:numPr>
        <w:tabs>
          <w:tab w:val="left" w:pos="851"/>
        </w:tabs>
        <w:ind w:left="851" w:hanging="851"/>
      </w:pPr>
      <w:r w:rsidRPr="00E14E17">
        <w:t>11.</w:t>
      </w:r>
      <w:r w:rsidRPr="00E14E17">
        <w:tab/>
      </w:r>
      <w:r w:rsidR="00B9752F">
        <w:t>Miltz SC argued that although t</w:t>
      </w:r>
      <w:r w:rsidR="001A122F" w:rsidRPr="00E14E17">
        <w:t>he application for postponement alludes to a valuation made by an employee of Standard Bank</w:t>
      </w:r>
      <w:r w:rsidR="006734F0">
        <w:t xml:space="preserve"> who prima facie, </w:t>
      </w:r>
      <w:r w:rsidR="0046132E">
        <w:t>assessed the shares at a higher value</w:t>
      </w:r>
      <w:r w:rsidR="00B9752F">
        <w:t xml:space="preserve">, </w:t>
      </w:r>
      <w:r w:rsidR="001A122F" w:rsidRPr="00E14E17">
        <w:t>there are no details as to how th</w:t>
      </w:r>
      <w:r w:rsidR="0046132E">
        <w:t>is</w:t>
      </w:r>
      <w:r w:rsidR="001A122F" w:rsidRPr="00E14E17">
        <w:t xml:space="preserve"> valuation was arrived at</w:t>
      </w:r>
      <w:r w:rsidR="0046132E">
        <w:t xml:space="preserve">, when and what he looked at to determine </w:t>
      </w:r>
      <w:r w:rsidR="00B9752F">
        <w:t>the</w:t>
      </w:r>
      <w:r w:rsidR="0046132E">
        <w:t xml:space="preserve"> value</w:t>
      </w:r>
      <w:r w:rsidR="00B9752F">
        <w:t xml:space="preserve">.  He submitted this </w:t>
      </w:r>
      <w:r w:rsidR="001A122F" w:rsidRPr="00E14E17">
        <w:t>cannot assist a court either</w:t>
      </w:r>
      <w:r w:rsidR="00B9752F">
        <w:t>,</w:t>
      </w:r>
      <w:r w:rsidR="001A122F" w:rsidRPr="00E14E17">
        <w:t xml:space="preserve"> in </w:t>
      </w:r>
      <w:r w:rsidR="0046132E">
        <w:t xml:space="preserve">the </w:t>
      </w:r>
      <w:r w:rsidR="001A122F" w:rsidRPr="00E14E17">
        <w:t>assessment of a fair value.</w:t>
      </w:r>
    </w:p>
    <w:p w14:paraId="19C23DCE" w14:textId="657471DD" w:rsidR="001A122F" w:rsidRDefault="009769F3" w:rsidP="009769F3">
      <w:pPr>
        <w:pStyle w:val="ListLevel1"/>
        <w:numPr>
          <w:ilvl w:val="0"/>
          <w:numId w:val="0"/>
        </w:numPr>
        <w:tabs>
          <w:tab w:val="left" w:pos="851"/>
        </w:tabs>
        <w:ind w:left="851" w:hanging="851"/>
      </w:pPr>
      <w:r>
        <w:lastRenderedPageBreak/>
        <w:t>12.</w:t>
      </w:r>
      <w:r>
        <w:tab/>
      </w:r>
      <w:r w:rsidR="001A122F">
        <w:t xml:space="preserve">Counsel argued that </w:t>
      </w:r>
      <w:r w:rsidR="00B9752F">
        <w:t xml:space="preserve">whether </w:t>
      </w:r>
      <w:r w:rsidR="001A122F">
        <w:t>contractually or based on s163 of the Companies Act, no proper defence is raised</w:t>
      </w:r>
      <w:r w:rsidR="0046132E">
        <w:t xml:space="preserve">.  Miltz SC submitted a postponement will not assist the respondent and it only </w:t>
      </w:r>
      <w:r w:rsidR="00B9752F">
        <w:t xml:space="preserve">serves to </w:t>
      </w:r>
      <w:r w:rsidR="0046132E">
        <w:t>delay the finalisation of the matter.</w:t>
      </w:r>
    </w:p>
    <w:p w14:paraId="4BC9BF35" w14:textId="516331A5" w:rsidR="001A122F" w:rsidRDefault="009769F3" w:rsidP="009769F3">
      <w:pPr>
        <w:pStyle w:val="ListLevel1"/>
        <w:numPr>
          <w:ilvl w:val="0"/>
          <w:numId w:val="0"/>
        </w:numPr>
        <w:tabs>
          <w:tab w:val="left" w:pos="851"/>
        </w:tabs>
        <w:ind w:left="851" w:hanging="851"/>
      </w:pPr>
      <w:r>
        <w:t>13.</w:t>
      </w:r>
      <w:r>
        <w:tab/>
      </w:r>
      <w:r w:rsidR="001A122F">
        <w:t xml:space="preserve">In response to the court’s inquiry on a mediated settlement Miltz SC submitted the mediation would </w:t>
      </w:r>
      <w:r w:rsidR="00B9752F">
        <w:t xml:space="preserve">not achieve any resolution </w:t>
      </w:r>
      <w:r w:rsidR="001A122F">
        <w:t xml:space="preserve">the applicants have on several occasions tried to discuss matters with the respondent, who has elected not to take up the opportunities afforded him.  </w:t>
      </w:r>
    </w:p>
    <w:p w14:paraId="0AC0559F" w14:textId="1F671A28" w:rsidR="00B9752F" w:rsidRDefault="009769F3" w:rsidP="009769F3">
      <w:pPr>
        <w:pStyle w:val="ListLevel1"/>
        <w:numPr>
          <w:ilvl w:val="0"/>
          <w:numId w:val="0"/>
        </w:numPr>
        <w:tabs>
          <w:tab w:val="left" w:pos="851"/>
        </w:tabs>
        <w:ind w:left="851" w:hanging="851"/>
      </w:pPr>
      <w:r>
        <w:t>14.</w:t>
      </w:r>
      <w:r>
        <w:tab/>
      </w:r>
      <w:r w:rsidR="00B9752F">
        <w:t>Counsel argued further that t</w:t>
      </w:r>
      <w:r w:rsidR="001A122F">
        <w:t>he delay not only prejudices the applicant</w:t>
      </w:r>
      <w:r w:rsidR="0046132E">
        <w:t>s</w:t>
      </w:r>
      <w:r w:rsidR="001A122F">
        <w:t xml:space="preserve"> but also prejudices</w:t>
      </w:r>
      <w:r w:rsidR="00610E09">
        <w:rPr>
          <w:rStyle w:val="FootnoteReference"/>
        </w:rPr>
        <w:footnoteReference w:id="4"/>
      </w:r>
      <w:r w:rsidR="001A122F">
        <w:t xml:space="preserve"> the 2</w:t>
      </w:r>
      <w:r w:rsidR="001A122F" w:rsidRPr="0019554C">
        <w:rPr>
          <w:vertAlign w:val="superscript"/>
        </w:rPr>
        <w:t>nd</w:t>
      </w:r>
      <w:r w:rsidR="001A122F">
        <w:t xml:space="preserve"> to 4</w:t>
      </w:r>
      <w:r w:rsidR="001A122F" w:rsidRPr="0019554C">
        <w:rPr>
          <w:vertAlign w:val="superscript"/>
        </w:rPr>
        <w:t>th</w:t>
      </w:r>
      <w:r w:rsidR="001A122F">
        <w:t xml:space="preserve"> respondents, which are corporate entities</w:t>
      </w:r>
      <w:r w:rsidR="0046132E">
        <w:t xml:space="preserve">.  </w:t>
      </w:r>
    </w:p>
    <w:p w14:paraId="6D603E05" w14:textId="02E17C38" w:rsidR="00B9752F" w:rsidRDefault="009769F3" w:rsidP="009769F3">
      <w:pPr>
        <w:pStyle w:val="ListLevel2"/>
        <w:numPr>
          <w:ilvl w:val="0"/>
          <w:numId w:val="0"/>
        </w:numPr>
        <w:tabs>
          <w:tab w:val="left" w:pos="1701"/>
        </w:tabs>
        <w:ind w:left="1702" w:hanging="851"/>
      </w:pPr>
      <w:r>
        <w:t>14.1.</w:t>
      </w:r>
      <w:r>
        <w:tab/>
      </w:r>
      <w:r w:rsidR="0046132E">
        <w:t>T</w:t>
      </w:r>
      <w:r w:rsidR="001A122F">
        <w:t xml:space="preserve">he first respondent has failed to authorise </w:t>
      </w:r>
      <w:r w:rsidR="0046132E">
        <w:t xml:space="preserve">the </w:t>
      </w:r>
      <w:r w:rsidR="001A122F">
        <w:t>release of shareholder funding</w:t>
      </w:r>
      <w:r w:rsidR="00B9752F">
        <w:t>.</w:t>
      </w:r>
    </w:p>
    <w:p w14:paraId="1DB08799" w14:textId="05C57335" w:rsidR="00B9752F" w:rsidRDefault="009769F3" w:rsidP="009769F3">
      <w:pPr>
        <w:pStyle w:val="ListLevel2"/>
        <w:numPr>
          <w:ilvl w:val="0"/>
          <w:numId w:val="0"/>
        </w:numPr>
        <w:tabs>
          <w:tab w:val="left" w:pos="1701"/>
        </w:tabs>
        <w:ind w:left="1702" w:hanging="851"/>
      </w:pPr>
      <w:r>
        <w:t>14.2.</w:t>
      </w:r>
      <w:r>
        <w:tab/>
      </w:r>
      <w:r w:rsidR="00B9752F">
        <w:t xml:space="preserve">He </w:t>
      </w:r>
      <w:r w:rsidR="001A122F">
        <w:t xml:space="preserve">failed to </w:t>
      </w:r>
      <w:r w:rsidR="00B9752F">
        <w:t xml:space="preserve">establish a </w:t>
      </w:r>
      <w:r w:rsidR="001A122F">
        <w:t xml:space="preserve">BEE </w:t>
      </w:r>
      <w:r w:rsidR="00B9752F">
        <w:t>entity which is to advance the development of Black employees</w:t>
      </w:r>
    </w:p>
    <w:p w14:paraId="15B93703" w14:textId="7E89C131" w:rsidR="001A122F" w:rsidRDefault="009769F3" w:rsidP="009769F3">
      <w:pPr>
        <w:pStyle w:val="ListLevel2"/>
        <w:numPr>
          <w:ilvl w:val="0"/>
          <w:numId w:val="0"/>
        </w:numPr>
        <w:tabs>
          <w:tab w:val="left" w:pos="1701"/>
        </w:tabs>
        <w:ind w:left="1702" w:hanging="851"/>
      </w:pPr>
      <w:r>
        <w:lastRenderedPageBreak/>
        <w:t>14.3.</w:t>
      </w:r>
      <w:r>
        <w:tab/>
      </w:r>
      <w:r w:rsidR="00B9752F">
        <w:t>He unlawfully</w:t>
      </w:r>
      <w:r w:rsidR="001A122F">
        <w:t xml:space="preserve"> threatened t</w:t>
      </w:r>
      <w:r w:rsidR="0046132E">
        <w:t>o</w:t>
      </w:r>
      <w:r w:rsidR="001A122F">
        <w:t xml:space="preserve"> liquidate a company</w:t>
      </w:r>
      <w:r w:rsidR="00610E09">
        <w:t>,</w:t>
      </w:r>
      <w:r w:rsidR="001A122F">
        <w:t xml:space="preserve"> and the like</w:t>
      </w:r>
      <w:r w:rsidR="00B9752F">
        <w:t xml:space="preserve">.  He has </w:t>
      </w:r>
      <w:r w:rsidR="001A122F">
        <w:t>frustrated the progress and operations of the other respondents</w:t>
      </w:r>
      <w:r w:rsidR="00B9752F">
        <w:t xml:space="preserve"> as well.</w:t>
      </w:r>
    </w:p>
    <w:p w14:paraId="1E26E73C" w14:textId="0F2AF871" w:rsidR="00210C59" w:rsidRDefault="009769F3" w:rsidP="009769F3">
      <w:pPr>
        <w:pStyle w:val="ListLevel1"/>
        <w:numPr>
          <w:ilvl w:val="0"/>
          <w:numId w:val="0"/>
        </w:numPr>
        <w:tabs>
          <w:tab w:val="left" w:pos="851"/>
        </w:tabs>
        <w:ind w:left="851" w:hanging="851"/>
      </w:pPr>
      <w:r>
        <w:t>15.</w:t>
      </w:r>
      <w:r>
        <w:tab/>
      </w:r>
      <w:r w:rsidR="001A122F">
        <w:t xml:space="preserve">Miltz SC, submitted that the only explanation that the </w:t>
      </w:r>
      <w:r w:rsidR="0046132E">
        <w:t xml:space="preserve">respondent </w:t>
      </w:r>
      <w:r w:rsidR="001A122F">
        <w:t xml:space="preserve">has proffered all along is that he is unable to afford the legal fees to litigate the matter.  </w:t>
      </w:r>
    </w:p>
    <w:p w14:paraId="69EB64E4" w14:textId="5326B643" w:rsidR="00210C59" w:rsidRDefault="009769F3" w:rsidP="009769F3">
      <w:pPr>
        <w:pStyle w:val="ListLevel2"/>
        <w:numPr>
          <w:ilvl w:val="0"/>
          <w:numId w:val="0"/>
        </w:numPr>
        <w:tabs>
          <w:tab w:val="left" w:pos="1701"/>
        </w:tabs>
        <w:ind w:left="1702" w:hanging="851"/>
      </w:pPr>
      <w:r>
        <w:t>15.1.</w:t>
      </w:r>
      <w:r>
        <w:tab/>
      </w:r>
      <w:r w:rsidR="0046132E">
        <w:t xml:space="preserve">Counsel argued </w:t>
      </w:r>
      <w:r w:rsidR="001A122F">
        <w:t xml:space="preserve">that </w:t>
      </w:r>
      <w:r w:rsidR="00210C59">
        <w:t xml:space="preserve">the </w:t>
      </w:r>
      <w:r w:rsidR="001A122F">
        <w:t xml:space="preserve">respondent </w:t>
      </w:r>
      <w:r w:rsidR="0046132E">
        <w:t>was legally</w:t>
      </w:r>
      <w:r w:rsidR="001A122F">
        <w:t xml:space="preserve"> represented by counsel </w:t>
      </w:r>
      <w:r w:rsidR="0046132E">
        <w:t xml:space="preserve">on the two previous occasions </w:t>
      </w:r>
      <w:r w:rsidR="001A122F">
        <w:t xml:space="preserve">and must have </w:t>
      </w:r>
      <w:r w:rsidR="00210C59">
        <w:t xml:space="preserve">placed his attorneys in </w:t>
      </w:r>
      <w:r w:rsidR="001A122F">
        <w:t xml:space="preserve">funds to do so, there was no indication that his legal team were acting pro bono.  </w:t>
      </w:r>
    </w:p>
    <w:p w14:paraId="7D8030FF" w14:textId="60846BC1" w:rsidR="001A122F" w:rsidRDefault="009769F3" w:rsidP="009769F3">
      <w:pPr>
        <w:pStyle w:val="ListLevel2"/>
        <w:numPr>
          <w:ilvl w:val="0"/>
          <w:numId w:val="0"/>
        </w:numPr>
        <w:tabs>
          <w:tab w:val="left" w:pos="1701"/>
        </w:tabs>
        <w:ind w:left="1702" w:hanging="851"/>
      </w:pPr>
      <w:r>
        <w:t>15.2.</w:t>
      </w:r>
      <w:r>
        <w:tab/>
      </w:r>
      <w:r w:rsidR="0046132E">
        <w:t>Moreover</w:t>
      </w:r>
      <w:r w:rsidR="00610E09">
        <w:t>,</w:t>
      </w:r>
      <w:r w:rsidR="0046132E">
        <w:t xml:space="preserve"> at his hearing at the CCMA h</w:t>
      </w:r>
      <w:r w:rsidR="001A122F">
        <w:t>e was represented by senior counsel</w:t>
      </w:r>
      <w:r w:rsidR="00E5219C">
        <w:t xml:space="preserve">, which process he eventually </w:t>
      </w:r>
      <w:r w:rsidR="00610E09">
        <w:t>abandoned,</w:t>
      </w:r>
      <w:r w:rsidR="00E5219C">
        <w:t xml:space="preserve"> and the matter was dismissed</w:t>
      </w:r>
      <w:r w:rsidR="001A122F">
        <w:t>.</w:t>
      </w:r>
    </w:p>
    <w:p w14:paraId="39E4AEB5" w14:textId="04C3A458" w:rsidR="001A122F" w:rsidRDefault="009769F3" w:rsidP="009769F3">
      <w:pPr>
        <w:pStyle w:val="ListLevel1"/>
        <w:numPr>
          <w:ilvl w:val="0"/>
          <w:numId w:val="0"/>
        </w:numPr>
        <w:tabs>
          <w:tab w:val="left" w:pos="851"/>
        </w:tabs>
        <w:ind w:left="851" w:hanging="851"/>
      </w:pPr>
      <w:r>
        <w:t>16.</w:t>
      </w:r>
      <w:r>
        <w:tab/>
      </w:r>
      <w:r w:rsidR="001A122F">
        <w:t>He offers no proof of his earnings and fails to provide the court with any details as to his</w:t>
      </w:r>
      <w:r w:rsidR="00E5219C">
        <w:t xml:space="preserve"> personal</w:t>
      </w:r>
      <w:r w:rsidR="001A122F">
        <w:t xml:space="preserve"> commitments.</w:t>
      </w:r>
    </w:p>
    <w:p w14:paraId="150F2A33" w14:textId="7E8D109F" w:rsidR="001A122F" w:rsidRDefault="009769F3" w:rsidP="009769F3">
      <w:pPr>
        <w:pStyle w:val="ListLevel1"/>
        <w:numPr>
          <w:ilvl w:val="0"/>
          <w:numId w:val="0"/>
        </w:numPr>
        <w:tabs>
          <w:tab w:val="left" w:pos="851"/>
        </w:tabs>
        <w:ind w:left="851" w:hanging="851"/>
      </w:pPr>
      <w:r>
        <w:t>17.</w:t>
      </w:r>
      <w:r>
        <w:tab/>
      </w:r>
      <w:r w:rsidR="001A122F">
        <w:t xml:space="preserve">Counsel submitted that the court has only a narrow discretion in this instance and that it is only when the respondent has purged his default of the order of court of 19 August 2021, can </w:t>
      </w:r>
      <w:r w:rsidR="00E5219C">
        <w:t xml:space="preserve">a court </w:t>
      </w:r>
      <w:r w:rsidR="001A122F">
        <w:t xml:space="preserve">even consider his </w:t>
      </w:r>
      <w:r w:rsidR="001A122F">
        <w:lastRenderedPageBreak/>
        <w:t xml:space="preserve">arguments.  He has failed to do so, even at this stage there are no heads filed, no practise </w:t>
      </w:r>
      <w:r w:rsidR="00210C59">
        <w:t>note,</w:t>
      </w:r>
      <w:r w:rsidR="001A122F">
        <w:t xml:space="preserve"> or chronology filed.</w:t>
      </w:r>
    </w:p>
    <w:p w14:paraId="01D2B535" w14:textId="63563DC8" w:rsidR="001A122F" w:rsidRDefault="009769F3" w:rsidP="009769F3">
      <w:pPr>
        <w:pStyle w:val="ListLevel1"/>
        <w:numPr>
          <w:ilvl w:val="0"/>
          <w:numId w:val="0"/>
        </w:numPr>
        <w:tabs>
          <w:tab w:val="left" w:pos="851"/>
        </w:tabs>
        <w:ind w:left="851" w:hanging="851"/>
      </w:pPr>
      <w:r>
        <w:t>18.</w:t>
      </w:r>
      <w:r>
        <w:tab/>
      </w:r>
      <w:r w:rsidR="001A122F">
        <w:t xml:space="preserve">Miltz SC submitted that nowhere in the answering affidavit nor in </w:t>
      </w:r>
      <w:r w:rsidR="00E5219C">
        <w:t xml:space="preserve">his </w:t>
      </w:r>
      <w:r w:rsidR="001A122F">
        <w:t>counsel</w:t>
      </w:r>
      <w:r w:rsidR="00E5219C">
        <w:t>’</w:t>
      </w:r>
      <w:r w:rsidR="001A122F">
        <w:t xml:space="preserve">s submissions, </w:t>
      </w:r>
      <w:r w:rsidR="00E5219C">
        <w:t xml:space="preserve">have </w:t>
      </w:r>
      <w:r w:rsidR="001A122F">
        <w:t xml:space="preserve">the contractual terms ever </w:t>
      </w:r>
      <w:r w:rsidR="00E5219C">
        <w:t xml:space="preserve">been </w:t>
      </w:r>
      <w:r w:rsidR="001A122F">
        <w:t>disputed.</w:t>
      </w:r>
    </w:p>
    <w:p w14:paraId="09795AFA" w14:textId="3863AFA6" w:rsidR="001A122F" w:rsidRDefault="009769F3" w:rsidP="009769F3">
      <w:pPr>
        <w:pStyle w:val="ListLevel1"/>
        <w:numPr>
          <w:ilvl w:val="0"/>
          <w:numId w:val="0"/>
        </w:numPr>
        <w:tabs>
          <w:tab w:val="left" w:pos="851"/>
        </w:tabs>
        <w:ind w:left="851" w:hanging="851"/>
      </w:pPr>
      <w:r>
        <w:t>19.</w:t>
      </w:r>
      <w:r>
        <w:tab/>
      </w:r>
      <w:r w:rsidR="001A122F">
        <w:t xml:space="preserve">The method </w:t>
      </w:r>
      <w:r w:rsidR="00210C59">
        <w:t xml:space="preserve">of assessment of share values </w:t>
      </w:r>
      <w:r w:rsidR="001A122F">
        <w:t>employed was set out in the contract</w:t>
      </w:r>
      <w:r w:rsidR="00210C59">
        <w:t xml:space="preserve"> and i</w:t>
      </w:r>
      <w:r w:rsidR="001A122F">
        <w:t xml:space="preserve">n respect of the third respondent the agreement </w:t>
      </w:r>
      <w:r w:rsidR="00E5219C">
        <w:t xml:space="preserve">provided for </w:t>
      </w:r>
      <w:r w:rsidR="001A122F">
        <w:t>restitution, however the first respondent paid nothing for those shares.  The applicants nevertheless adopted the same assessment method as in the other shares and arrived at a figure of R2</w:t>
      </w:r>
      <w:r w:rsidR="00515839">
        <w:t>3</w:t>
      </w:r>
      <w:r w:rsidR="001A122F">
        <w:t>0 000 for those shares, which it has tendered.</w:t>
      </w:r>
    </w:p>
    <w:p w14:paraId="0FA3D639" w14:textId="62E2F87D" w:rsidR="001A122F" w:rsidRDefault="009769F3" w:rsidP="009769F3">
      <w:pPr>
        <w:pStyle w:val="ListLevel1"/>
        <w:numPr>
          <w:ilvl w:val="0"/>
          <w:numId w:val="0"/>
        </w:numPr>
        <w:tabs>
          <w:tab w:val="left" w:pos="851"/>
        </w:tabs>
        <w:ind w:left="851" w:hanging="851"/>
      </w:pPr>
      <w:r>
        <w:t>20.</w:t>
      </w:r>
      <w:r>
        <w:tab/>
      </w:r>
      <w:r w:rsidR="001A122F">
        <w:t xml:space="preserve">If there was a valid defence in respect of the </w:t>
      </w:r>
      <w:r w:rsidR="00152716">
        <w:t xml:space="preserve">calculation methods of the </w:t>
      </w:r>
      <w:r w:rsidR="001A122F">
        <w:t>share values, the respondent would be expected to put an argument that the method of assessment is against public policy and unenforceable</w:t>
      </w:r>
      <w:r w:rsidR="00E5219C">
        <w:t>.</w:t>
      </w:r>
    </w:p>
    <w:p w14:paraId="1B5DEFC6" w14:textId="3860567E" w:rsidR="001A122F" w:rsidRDefault="009769F3" w:rsidP="009769F3">
      <w:pPr>
        <w:pStyle w:val="ListLevel1"/>
        <w:numPr>
          <w:ilvl w:val="0"/>
          <w:numId w:val="0"/>
        </w:numPr>
        <w:tabs>
          <w:tab w:val="left" w:pos="851"/>
        </w:tabs>
        <w:ind w:left="851" w:hanging="851"/>
      </w:pPr>
      <w:r>
        <w:t>21.</w:t>
      </w:r>
      <w:r>
        <w:tab/>
      </w:r>
      <w:r w:rsidR="001A122F">
        <w:t xml:space="preserve">Nothing was done.  </w:t>
      </w:r>
      <w:r w:rsidR="00E5219C">
        <w:t xml:space="preserve">Miltz SC argued that the submissions </w:t>
      </w:r>
      <w:r w:rsidR="001A122F">
        <w:t xml:space="preserve">made by counsel for the respondent are not new, they were all known </w:t>
      </w:r>
      <w:r w:rsidR="00E5219C">
        <w:t xml:space="preserve">to the respondent </w:t>
      </w:r>
      <w:r w:rsidR="001A122F">
        <w:t>at the time that the answering affidavit was filed.  The</w:t>
      </w:r>
      <w:r w:rsidR="00152716">
        <w:t xml:space="preserve"> facts submitted by counsel </w:t>
      </w:r>
      <w:r w:rsidR="00210C59">
        <w:t xml:space="preserve">are not complex to have required the expertise of “expensive” lawyers, but </w:t>
      </w:r>
      <w:r w:rsidR="00FC7C90">
        <w:t>they</w:t>
      </w:r>
      <w:r w:rsidR="00152716">
        <w:t xml:space="preserve"> are </w:t>
      </w:r>
      <w:r w:rsidR="00210C59">
        <w:t xml:space="preserve">basic facts that were well within his </w:t>
      </w:r>
      <w:r w:rsidR="00210C59">
        <w:lastRenderedPageBreak/>
        <w:t xml:space="preserve">knowledge.  He cannot rely on poor legal representation as an excuse.  A litigant is to ensure that he </w:t>
      </w:r>
      <w:r w:rsidR="0068725F">
        <w:t>participates in</w:t>
      </w:r>
      <w:r w:rsidR="00210C59">
        <w:t xml:space="preserve"> a matter sufficiently to address the substance of the issues raised by his opponent.</w:t>
      </w:r>
      <w:r w:rsidR="00E5219C">
        <w:t xml:space="preserve">  </w:t>
      </w:r>
    </w:p>
    <w:p w14:paraId="7DC4522C" w14:textId="40AFEE93" w:rsidR="001A122F" w:rsidRDefault="009769F3" w:rsidP="009769F3">
      <w:pPr>
        <w:pStyle w:val="ListLevel1"/>
        <w:numPr>
          <w:ilvl w:val="0"/>
          <w:numId w:val="0"/>
        </w:numPr>
        <w:tabs>
          <w:tab w:val="left" w:pos="851"/>
        </w:tabs>
        <w:ind w:left="851" w:hanging="851"/>
      </w:pPr>
      <w:r>
        <w:t>22.</w:t>
      </w:r>
      <w:r>
        <w:tab/>
      </w:r>
      <w:r w:rsidR="001A122F">
        <w:t>He has failed to exercise his rights and take up opportunities which he was offered through the entire process of the valuations and his relationship with the respondent companies.</w:t>
      </w:r>
    </w:p>
    <w:p w14:paraId="6F915A9E" w14:textId="146D5058" w:rsidR="001A122F" w:rsidRDefault="009769F3" w:rsidP="009769F3">
      <w:pPr>
        <w:pStyle w:val="ListLevel1"/>
        <w:numPr>
          <w:ilvl w:val="0"/>
          <w:numId w:val="0"/>
        </w:numPr>
        <w:tabs>
          <w:tab w:val="left" w:pos="851"/>
        </w:tabs>
        <w:ind w:left="851" w:hanging="851"/>
      </w:pPr>
      <w:r>
        <w:t>23.</w:t>
      </w:r>
      <w:r>
        <w:tab/>
      </w:r>
      <w:r w:rsidR="001A122F">
        <w:t xml:space="preserve">The court was also advised that each time the matter is in court a set down was </w:t>
      </w:r>
      <w:r w:rsidR="00BF5AB8">
        <w:t>served</w:t>
      </w:r>
      <w:r w:rsidR="001A122F">
        <w:t xml:space="preserve"> on the attorneys.  The </w:t>
      </w:r>
      <w:r w:rsidR="00E5219C">
        <w:t xml:space="preserve">attorneys did nothing either and </w:t>
      </w:r>
      <w:r w:rsidR="001A122F">
        <w:t xml:space="preserve">chose to ignore the court orders.  </w:t>
      </w:r>
      <w:r w:rsidR="00210C59">
        <w:t>There is still no explanation for a postponement in this matter, since the first application.</w:t>
      </w:r>
    </w:p>
    <w:p w14:paraId="74860D6B" w14:textId="21535194" w:rsidR="001A122F" w:rsidRDefault="009769F3" w:rsidP="009769F3">
      <w:pPr>
        <w:pStyle w:val="ListLevel1"/>
        <w:numPr>
          <w:ilvl w:val="0"/>
          <w:numId w:val="0"/>
        </w:numPr>
        <w:tabs>
          <w:tab w:val="left" w:pos="851"/>
        </w:tabs>
        <w:ind w:left="851" w:hanging="851"/>
      </w:pPr>
      <w:r>
        <w:t>24.</w:t>
      </w:r>
      <w:r>
        <w:tab/>
      </w:r>
      <w:r w:rsidR="001A122F">
        <w:t xml:space="preserve">Advocate Saint appeared for the first respondent and argued that striking </w:t>
      </w:r>
      <w:r w:rsidR="00152716">
        <w:t>off</w:t>
      </w:r>
      <w:r w:rsidR="001A122F">
        <w:t xml:space="preserve"> the defence would effectively deny the first respondent his constitutional right to a hearing.</w:t>
      </w:r>
    </w:p>
    <w:p w14:paraId="55BDB5B6" w14:textId="587BD2D0" w:rsidR="001A122F" w:rsidRDefault="009769F3" w:rsidP="009769F3">
      <w:pPr>
        <w:pStyle w:val="ListLevel1"/>
        <w:numPr>
          <w:ilvl w:val="0"/>
          <w:numId w:val="0"/>
        </w:numPr>
        <w:tabs>
          <w:tab w:val="left" w:pos="851"/>
        </w:tabs>
        <w:ind w:left="851" w:hanging="851"/>
      </w:pPr>
      <w:r>
        <w:t>25.</w:t>
      </w:r>
      <w:r>
        <w:tab/>
      </w:r>
      <w:r w:rsidR="001A122F">
        <w:t xml:space="preserve">Counsel conceded that the answering papers say little and </w:t>
      </w:r>
      <w:r w:rsidR="00302F4C">
        <w:t>argued therefor</w:t>
      </w:r>
      <w:r w:rsidR="001A122F">
        <w:t xml:space="preserve"> that the first respondent has not had an opportunity to fully ventilate his case</w:t>
      </w:r>
      <w:r w:rsidR="00152716">
        <w:t xml:space="preserve"> and his papers need to be supplemented.</w:t>
      </w:r>
    </w:p>
    <w:p w14:paraId="69F0DA10" w14:textId="1A981C21" w:rsidR="001A122F" w:rsidRDefault="009769F3" w:rsidP="009769F3">
      <w:pPr>
        <w:pStyle w:val="ListLevel1"/>
        <w:numPr>
          <w:ilvl w:val="0"/>
          <w:numId w:val="0"/>
        </w:numPr>
        <w:tabs>
          <w:tab w:val="left" w:pos="851"/>
        </w:tabs>
        <w:ind w:left="851" w:hanging="851"/>
      </w:pPr>
      <w:r>
        <w:t>26.</w:t>
      </w:r>
      <w:r>
        <w:tab/>
      </w:r>
      <w:r w:rsidR="001A122F">
        <w:t>He submitted that since he had taken over the matter, it was the first time that the first respondent was aware that the papers needed to be regularised.</w:t>
      </w:r>
    </w:p>
    <w:p w14:paraId="57EA7493" w14:textId="2776FB6C" w:rsidR="001A122F" w:rsidRPr="009D0E11" w:rsidRDefault="009769F3" w:rsidP="009769F3">
      <w:pPr>
        <w:pStyle w:val="ListLevel1"/>
        <w:numPr>
          <w:ilvl w:val="0"/>
          <w:numId w:val="0"/>
        </w:numPr>
        <w:tabs>
          <w:tab w:val="left" w:pos="851"/>
        </w:tabs>
        <w:ind w:left="851" w:hanging="851"/>
      </w:pPr>
      <w:r w:rsidRPr="009D0E11">
        <w:lastRenderedPageBreak/>
        <w:t>27.</w:t>
      </w:r>
      <w:r w:rsidRPr="009D0E11">
        <w:tab/>
      </w:r>
      <w:r w:rsidR="001A122F">
        <w:t xml:space="preserve">He </w:t>
      </w:r>
      <w:r w:rsidR="00152716">
        <w:t xml:space="preserve">proffered </w:t>
      </w:r>
      <w:r w:rsidR="001A122F">
        <w:t xml:space="preserve">that he advised his attorneys that the respondent </w:t>
      </w:r>
      <w:r w:rsidR="00152716">
        <w:t xml:space="preserve">must </w:t>
      </w:r>
      <w:r w:rsidR="001A122F">
        <w:t xml:space="preserve">comply with the orders of court. </w:t>
      </w:r>
      <w:r w:rsidR="00152716">
        <w:t>Therefore,</w:t>
      </w:r>
      <w:r w:rsidR="00302F4C">
        <w:t xml:space="preserve"> h</w:t>
      </w:r>
      <w:r w:rsidR="001A122F">
        <w:t>e has now filed his condonation application earlier this morning.</w:t>
      </w:r>
    </w:p>
    <w:p w14:paraId="5887004C" w14:textId="77777777" w:rsidR="001A122F" w:rsidRPr="00A04425" w:rsidRDefault="001A122F" w:rsidP="001A122F">
      <w:pPr>
        <w:pStyle w:val="Heading1"/>
      </w:pPr>
      <w:r w:rsidRPr="00A04425">
        <w:t>POSTPONEMENT</w:t>
      </w:r>
    </w:p>
    <w:p w14:paraId="4E2335BB" w14:textId="10444E28" w:rsidR="001A122F" w:rsidRDefault="009769F3" w:rsidP="009769F3">
      <w:pPr>
        <w:pStyle w:val="ListLevel1"/>
        <w:numPr>
          <w:ilvl w:val="0"/>
          <w:numId w:val="0"/>
        </w:numPr>
        <w:tabs>
          <w:tab w:val="left" w:pos="851"/>
        </w:tabs>
        <w:ind w:left="851" w:hanging="851"/>
      </w:pPr>
      <w:r>
        <w:t>28.</w:t>
      </w:r>
      <w:r>
        <w:tab/>
      </w:r>
      <w:r w:rsidR="001A122F">
        <w:t>Advocate Saint submitted that the papers filed earlier this morning are relevant and present a cogent argument for the first respondent</w:t>
      </w:r>
      <w:r w:rsidR="00302F4C">
        <w:t xml:space="preserve"> to succeed in this application.</w:t>
      </w:r>
    </w:p>
    <w:p w14:paraId="37D123C5" w14:textId="79F6E88C" w:rsidR="001A122F" w:rsidRPr="007C46C7" w:rsidRDefault="009769F3" w:rsidP="009769F3">
      <w:pPr>
        <w:pStyle w:val="ListLevel1"/>
        <w:numPr>
          <w:ilvl w:val="0"/>
          <w:numId w:val="0"/>
        </w:numPr>
        <w:tabs>
          <w:tab w:val="left" w:pos="851"/>
        </w:tabs>
        <w:ind w:left="851" w:hanging="851"/>
      </w:pPr>
      <w:r w:rsidRPr="007C46C7">
        <w:t>29.</w:t>
      </w:r>
      <w:r w:rsidRPr="007C46C7">
        <w:tab/>
      </w:r>
      <w:r w:rsidR="001A122F" w:rsidRPr="007C46C7">
        <w:t xml:space="preserve">He </w:t>
      </w:r>
      <w:r w:rsidR="00152716">
        <w:t xml:space="preserve">informed the court </w:t>
      </w:r>
      <w:r w:rsidR="001A122F" w:rsidRPr="007C46C7">
        <w:t>that the application for condonation was filed earlier this morning, however it is not before this court.</w:t>
      </w:r>
      <w:r w:rsidR="001A122F">
        <w:t xml:space="preserve">  </w:t>
      </w:r>
      <w:r w:rsidR="001A122F" w:rsidRPr="007C46C7">
        <w:t>This court is to determine only the application for postponement.</w:t>
      </w:r>
    </w:p>
    <w:p w14:paraId="6D56186D" w14:textId="21C41218" w:rsidR="001A122F" w:rsidRDefault="009769F3" w:rsidP="009769F3">
      <w:pPr>
        <w:pStyle w:val="ListLevel1"/>
        <w:numPr>
          <w:ilvl w:val="0"/>
          <w:numId w:val="0"/>
        </w:numPr>
        <w:tabs>
          <w:tab w:val="left" w:pos="851"/>
        </w:tabs>
        <w:ind w:left="851" w:hanging="851"/>
      </w:pPr>
      <w:r>
        <w:t>30.</w:t>
      </w:r>
      <w:r>
        <w:tab/>
      </w:r>
      <w:r w:rsidR="001A122F">
        <w:t>Mr Saint submitted that the applicants have not offered fair value for the first respondent’s shares.  They seek to strike a bargain when they offered him only R3.2 million for his shares in the 2</w:t>
      </w:r>
      <w:r w:rsidR="001A122F" w:rsidRPr="005D701C">
        <w:rPr>
          <w:vertAlign w:val="superscript"/>
        </w:rPr>
        <w:t>nd</w:t>
      </w:r>
      <w:r w:rsidR="001A122F">
        <w:t xml:space="preserve"> respondent.</w:t>
      </w:r>
    </w:p>
    <w:p w14:paraId="1AF401F7" w14:textId="69273FB6" w:rsidR="001A122F" w:rsidRDefault="009769F3" w:rsidP="009769F3">
      <w:pPr>
        <w:pStyle w:val="ListLevel1"/>
        <w:numPr>
          <w:ilvl w:val="0"/>
          <w:numId w:val="0"/>
        </w:numPr>
        <w:tabs>
          <w:tab w:val="left" w:pos="851"/>
        </w:tabs>
        <w:ind w:left="851" w:hanging="851"/>
      </w:pPr>
      <w:r>
        <w:t>31.</w:t>
      </w:r>
      <w:r>
        <w:tab/>
      </w:r>
      <w:r w:rsidR="001A122F">
        <w:t>He argued further that the applicants have treated his client poorly and that they have fired him from two companies and seek to do so in respect of the third</w:t>
      </w:r>
      <w:r w:rsidR="00302F4C">
        <w:t xml:space="preserve"> company as well.</w:t>
      </w:r>
    </w:p>
    <w:p w14:paraId="1DFC17A8" w14:textId="1727B3BE" w:rsidR="001A122F" w:rsidRDefault="009769F3" w:rsidP="009769F3">
      <w:pPr>
        <w:pStyle w:val="ListLevel1"/>
        <w:numPr>
          <w:ilvl w:val="0"/>
          <w:numId w:val="0"/>
        </w:numPr>
        <w:tabs>
          <w:tab w:val="left" w:pos="851"/>
        </w:tabs>
        <w:ind w:left="851" w:hanging="851"/>
      </w:pPr>
      <w:r>
        <w:lastRenderedPageBreak/>
        <w:t>32.</w:t>
      </w:r>
      <w:r>
        <w:tab/>
      </w:r>
      <w:r w:rsidR="001A122F">
        <w:t xml:space="preserve">The respondent must be allowed to fully ventilate his case.  He will suffer grave injustice if </w:t>
      </w:r>
      <w:r w:rsidR="00152716">
        <w:t>he were not granted a postponement.</w:t>
      </w:r>
      <w:r w:rsidR="001A122F">
        <w:t xml:space="preserve">  His shares will be “irretrievably lost” to him. </w:t>
      </w:r>
    </w:p>
    <w:p w14:paraId="6B2440F9" w14:textId="65841508" w:rsidR="001A122F" w:rsidRDefault="009769F3" w:rsidP="009769F3">
      <w:pPr>
        <w:pStyle w:val="ListLevel1"/>
        <w:numPr>
          <w:ilvl w:val="0"/>
          <w:numId w:val="0"/>
        </w:numPr>
        <w:tabs>
          <w:tab w:val="left" w:pos="851"/>
        </w:tabs>
        <w:ind w:left="851" w:hanging="851"/>
      </w:pPr>
      <w:r>
        <w:t>33.</w:t>
      </w:r>
      <w:r>
        <w:tab/>
      </w:r>
      <w:r w:rsidR="001A122F">
        <w:t xml:space="preserve">Mr Saint argued that the court should not close </w:t>
      </w:r>
      <w:r w:rsidR="00302F4C">
        <w:t xml:space="preserve">the </w:t>
      </w:r>
      <w:r w:rsidR="001A122F">
        <w:t xml:space="preserve">doors on this respondent as the matter will again be set down in due course when </w:t>
      </w:r>
      <w:r w:rsidR="00302F4C">
        <w:t xml:space="preserve">the applicants can </w:t>
      </w:r>
      <w:r w:rsidR="001A122F">
        <w:t xml:space="preserve">set out their argument if they are prejudiced. </w:t>
      </w:r>
    </w:p>
    <w:p w14:paraId="68DD9275" w14:textId="113CD355" w:rsidR="001A122F" w:rsidRDefault="009769F3" w:rsidP="009769F3">
      <w:pPr>
        <w:pStyle w:val="ListLevel1"/>
        <w:numPr>
          <w:ilvl w:val="0"/>
          <w:numId w:val="0"/>
        </w:numPr>
        <w:tabs>
          <w:tab w:val="left" w:pos="851"/>
        </w:tabs>
        <w:ind w:left="851" w:hanging="851"/>
      </w:pPr>
      <w:r>
        <w:t>34.</w:t>
      </w:r>
      <w:r>
        <w:tab/>
      </w:r>
      <w:r w:rsidR="001A122F">
        <w:t xml:space="preserve">He submitted the </w:t>
      </w:r>
      <w:r w:rsidR="00BF5AB8">
        <w:t>applicants</w:t>
      </w:r>
      <w:r w:rsidR="001A122F">
        <w:t xml:space="preserve"> </w:t>
      </w:r>
      <w:r w:rsidR="00302F4C">
        <w:t xml:space="preserve">suffer </w:t>
      </w:r>
      <w:r w:rsidR="001A122F">
        <w:t xml:space="preserve">no prejudice </w:t>
      </w:r>
      <w:r w:rsidR="00302F4C">
        <w:t xml:space="preserve">since </w:t>
      </w:r>
      <w:r w:rsidR="001A122F">
        <w:t>the first respondent has left the business premises after he was fired in 2019.  He does not interfere with the business operations in any way.</w:t>
      </w:r>
    </w:p>
    <w:p w14:paraId="1748720A" w14:textId="0AEF1672" w:rsidR="001A122F" w:rsidRDefault="009769F3" w:rsidP="009769F3">
      <w:pPr>
        <w:pStyle w:val="ListLevel1"/>
        <w:numPr>
          <w:ilvl w:val="0"/>
          <w:numId w:val="0"/>
        </w:numPr>
        <w:tabs>
          <w:tab w:val="left" w:pos="851"/>
        </w:tabs>
        <w:ind w:left="851" w:hanging="851"/>
      </w:pPr>
      <w:r>
        <w:t>35.</w:t>
      </w:r>
      <w:r>
        <w:tab/>
      </w:r>
      <w:r w:rsidR="001A122F">
        <w:t>The court must note that he has not received dividends for many years and due to their poor treatment of him, and his dismissal he has had to find employment elsewhere where he now earns only R45 000 per month, a fraction of what he earned when he was a director and shareholder in the respondent companies.  He has had to support a family and lives away from home.</w:t>
      </w:r>
    </w:p>
    <w:p w14:paraId="603E05A8" w14:textId="593CC219" w:rsidR="001A122F" w:rsidRDefault="009769F3" w:rsidP="009769F3">
      <w:pPr>
        <w:pStyle w:val="ListLevel1"/>
        <w:numPr>
          <w:ilvl w:val="0"/>
          <w:numId w:val="0"/>
        </w:numPr>
        <w:tabs>
          <w:tab w:val="left" w:pos="851"/>
        </w:tabs>
        <w:ind w:left="851" w:hanging="851"/>
      </w:pPr>
      <w:r>
        <w:t>36.</w:t>
      </w:r>
      <w:r>
        <w:tab/>
      </w:r>
      <w:r w:rsidR="001A122F">
        <w:t xml:space="preserve">Counsel proffered that he could not inform the applicants </w:t>
      </w:r>
      <w:r w:rsidR="00302F4C">
        <w:t xml:space="preserve">any </w:t>
      </w:r>
      <w:r w:rsidR="001A122F">
        <w:t xml:space="preserve">earlier about the postponement </w:t>
      </w:r>
      <w:r w:rsidR="00302F4C">
        <w:t xml:space="preserve">application </w:t>
      </w:r>
      <w:r w:rsidR="001A122F">
        <w:t>since the papers were not ready any earlier for service.</w:t>
      </w:r>
    </w:p>
    <w:p w14:paraId="466BE8BB" w14:textId="54EB12CA" w:rsidR="001A122F" w:rsidRPr="00E3496F" w:rsidRDefault="009769F3" w:rsidP="009769F3">
      <w:pPr>
        <w:pStyle w:val="ListLevel1"/>
        <w:numPr>
          <w:ilvl w:val="0"/>
          <w:numId w:val="0"/>
        </w:numPr>
        <w:tabs>
          <w:tab w:val="left" w:pos="851"/>
        </w:tabs>
        <w:ind w:left="851" w:hanging="851"/>
        <w:rPr>
          <w:b/>
          <w:bCs/>
        </w:rPr>
      </w:pPr>
      <w:r w:rsidRPr="00E3496F">
        <w:rPr>
          <w:bCs/>
        </w:rPr>
        <w:lastRenderedPageBreak/>
        <w:t>37.</w:t>
      </w:r>
      <w:r w:rsidRPr="00E3496F">
        <w:rPr>
          <w:bCs/>
        </w:rPr>
        <w:tab/>
      </w:r>
      <w:r w:rsidR="001A122F" w:rsidRPr="00E3496F">
        <w:t xml:space="preserve"> </w:t>
      </w:r>
      <w:r w:rsidR="00302F4C">
        <w:t>Mr Saint informed the court that t</w:t>
      </w:r>
      <w:r w:rsidR="001A122F" w:rsidRPr="00E3496F">
        <w:t xml:space="preserve">he first respondent tenders to pay attorney client costs to </w:t>
      </w:r>
      <w:r w:rsidR="00152716">
        <w:t xml:space="preserve">compensate for any </w:t>
      </w:r>
      <w:r w:rsidR="001A122F" w:rsidRPr="00E3496F">
        <w:t>prejudice t</w:t>
      </w:r>
      <w:r w:rsidR="00152716">
        <w:t xml:space="preserve">hey </w:t>
      </w:r>
      <w:r w:rsidR="00FC7C90">
        <w:t>suffer</w:t>
      </w:r>
      <w:r w:rsidR="00FC7C90" w:rsidRPr="00E3496F">
        <w:t xml:space="preserve"> if</w:t>
      </w:r>
      <w:r w:rsidR="00152716">
        <w:t xml:space="preserve"> the matter were postponed.</w:t>
      </w:r>
    </w:p>
    <w:p w14:paraId="34CC1A96" w14:textId="22A9533D" w:rsidR="001A122F" w:rsidRPr="00A04425" w:rsidRDefault="009769F3" w:rsidP="009769F3">
      <w:pPr>
        <w:pStyle w:val="ListLevel1"/>
        <w:numPr>
          <w:ilvl w:val="0"/>
          <w:numId w:val="0"/>
        </w:numPr>
        <w:tabs>
          <w:tab w:val="left" w:pos="851"/>
        </w:tabs>
        <w:ind w:left="851" w:hanging="851"/>
        <w:rPr>
          <w:b/>
          <w:bCs/>
        </w:rPr>
      </w:pPr>
      <w:r w:rsidRPr="00A04425">
        <w:rPr>
          <w:bCs/>
        </w:rPr>
        <w:t>38.</w:t>
      </w:r>
      <w:r w:rsidRPr="00A04425">
        <w:rPr>
          <w:bCs/>
        </w:rPr>
        <w:tab/>
      </w:r>
      <w:r w:rsidR="001A122F">
        <w:t xml:space="preserve">The first respondent has had no opportunity to make any inputs into the valuation of his shares.  A representative from Standard Bank has provided only a prima facie assessment which is far </w:t>
      </w:r>
      <w:r w:rsidR="00152716">
        <w:t>more than</w:t>
      </w:r>
      <w:r w:rsidR="001A122F">
        <w:t xml:space="preserve"> what the applicants assessed the share value.  He must be given an opportunity to obtain a proper valuation of his shares and </w:t>
      </w:r>
      <w:r w:rsidR="00E53970">
        <w:t>receive</w:t>
      </w:r>
      <w:r w:rsidR="001A122F">
        <w:t xml:space="preserve"> fair value for them.</w:t>
      </w:r>
    </w:p>
    <w:p w14:paraId="1524BF5E" w14:textId="3A3F1F87" w:rsidR="001A122F" w:rsidRPr="00F318AC" w:rsidRDefault="009769F3" w:rsidP="009769F3">
      <w:pPr>
        <w:pStyle w:val="ListLevel1"/>
        <w:numPr>
          <w:ilvl w:val="0"/>
          <w:numId w:val="0"/>
        </w:numPr>
        <w:tabs>
          <w:tab w:val="left" w:pos="851"/>
        </w:tabs>
        <w:ind w:left="851" w:hanging="851"/>
      </w:pPr>
      <w:r w:rsidRPr="00F318AC">
        <w:t>39.</w:t>
      </w:r>
      <w:r w:rsidRPr="00F318AC">
        <w:tab/>
      </w:r>
      <w:r w:rsidR="001A122F">
        <w:t xml:space="preserve">The respondent companies are a </w:t>
      </w:r>
      <w:r w:rsidR="002E6D51">
        <w:t>state-of-the-art</w:t>
      </w:r>
      <w:r w:rsidR="001A122F">
        <w:t xml:space="preserve"> operation and the most sophisticated on the continent.  The whole concept was his </w:t>
      </w:r>
      <w:r w:rsidR="00FC7C90">
        <w:t>idea,</w:t>
      </w:r>
      <w:r w:rsidR="001A122F">
        <w:t xml:space="preserve"> and he is the first </w:t>
      </w:r>
      <w:r w:rsidR="00FC7C90">
        <w:t>Black</w:t>
      </w:r>
      <w:r w:rsidR="001A122F">
        <w:t xml:space="preserve"> chief pilot in the country.</w:t>
      </w:r>
    </w:p>
    <w:p w14:paraId="3DCE2894" w14:textId="05A8DD51" w:rsidR="001A122F" w:rsidRPr="002E6D51" w:rsidRDefault="009769F3" w:rsidP="009769F3">
      <w:pPr>
        <w:pStyle w:val="ListLevel1"/>
        <w:numPr>
          <w:ilvl w:val="0"/>
          <w:numId w:val="0"/>
        </w:numPr>
        <w:tabs>
          <w:tab w:val="left" w:pos="851"/>
        </w:tabs>
        <w:ind w:left="851" w:hanging="851"/>
        <w:rPr>
          <w:b/>
          <w:bCs/>
        </w:rPr>
      </w:pPr>
      <w:r w:rsidRPr="002E6D51">
        <w:rPr>
          <w:bCs/>
        </w:rPr>
        <w:t>40.</w:t>
      </w:r>
      <w:r w:rsidRPr="002E6D51">
        <w:rPr>
          <w:bCs/>
        </w:rPr>
        <w:tab/>
      </w:r>
      <w:r w:rsidR="001A122F">
        <w:t xml:space="preserve">Counsel argued that the allegations made against the first respondent were orchestrated to trigger the deemed offer </w:t>
      </w:r>
      <w:r w:rsidR="00152716">
        <w:t xml:space="preserve">for </w:t>
      </w:r>
      <w:r w:rsidR="002E6D51">
        <w:t>the</w:t>
      </w:r>
      <w:r w:rsidR="001A122F">
        <w:t xml:space="preserve"> shares </w:t>
      </w:r>
      <w:r w:rsidR="00E53970">
        <w:t xml:space="preserve">which he held </w:t>
      </w:r>
      <w:r w:rsidR="001A122F">
        <w:t>in the second and fourth respondents.</w:t>
      </w:r>
      <w:r w:rsidR="002E6D51" w:rsidRPr="002E6D51">
        <w:t xml:space="preserve"> </w:t>
      </w:r>
      <w:r w:rsidR="002E6D51">
        <w:t xml:space="preserve">The first respondent was simply a “front” for the applicants. </w:t>
      </w:r>
    </w:p>
    <w:p w14:paraId="28F78EC8" w14:textId="47B1A8E3" w:rsidR="001A122F" w:rsidRPr="00A04425" w:rsidRDefault="009769F3" w:rsidP="009769F3">
      <w:pPr>
        <w:pStyle w:val="ListLevel1"/>
        <w:numPr>
          <w:ilvl w:val="0"/>
          <w:numId w:val="0"/>
        </w:numPr>
        <w:tabs>
          <w:tab w:val="left" w:pos="851"/>
        </w:tabs>
        <w:ind w:left="851" w:hanging="851"/>
        <w:rPr>
          <w:b/>
          <w:bCs/>
        </w:rPr>
      </w:pPr>
      <w:r w:rsidRPr="00A04425">
        <w:rPr>
          <w:bCs/>
        </w:rPr>
        <w:t>41.</w:t>
      </w:r>
      <w:r w:rsidRPr="00A04425">
        <w:rPr>
          <w:bCs/>
        </w:rPr>
        <w:tab/>
      </w:r>
      <w:r w:rsidR="001A122F">
        <w:t xml:space="preserve">Counsel </w:t>
      </w:r>
      <w:r w:rsidR="002E6D51">
        <w:t xml:space="preserve">submitted further </w:t>
      </w:r>
      <w:r w:rsidR="001A122F">
        <w:t xml:space="preserve">that there is a </w:t>
      </w:r>
      <w:r w:rsidR="00FC7C90">
        <w:t>dispute</w:t>
      </w:r>
      <w:r w:rsidR="001A122F">
        <w:t xml:space="preserve"> of fact on noting the accusations by the applicants a</w:t>
      </w:r>
      <w:r w:rsidR="002E6D51">
        <w:t xml:space="preserve">bout the </w:t>
      </w:r>
      <w:r w:rsidR="00FC7C90">
        <w:t>respondent’s conduct</w:t>
      </w:r>
      <w:r w:rsidR="002E6D51">
        <w:t xml:space="preserve"> </w:t>
      </w:r>
      <w:r w:rsidR="001A122F">
        <w:t xml:space="preserve">and attitude toward the companies as director. </w:t>
      </w:r>
    </w:p>
    <w:p w14:paraId="3C2D6067" w14:textId="5B362837" w:rsidR="001A122F" w:rsidRDefault="009769F3" w:rsidP="009769F3">
      <w:pPr>
        <w:pStyle w:val="ListLevel1"/>
        <w:numPr>
          <w:ilvl w:val="0"/>
          <w:numId w:val="0"/>
        </w:numPr>
        <w:tabs>
          <w:tab w:val="left" w:pos="851"/>
        </w:tabs>
        <w:ind w:left="851" w:hanging="851"/>
      </w:pPr>
      <w:r>
        <w:lastRenderedPageBreak/>
        <w:t>42.</w:t>
      </w:r>
      <w:r>
        <w:tab/>
      </w:r>
      <w:r w:rsidR="0031744F">
        <w:t xml:space="preserve">Counsel submitted that his client has not had the money to litigate the matter at the same level as the applicants and denied that he was adopting </w:t>
      </w:r>
      <w:r w:rsidR="002E6D51">
        <w:t>delaying tactics</w:t>
      </w:r>
      <w:r w:rsidR="001A122F">
        <w:t>,</w:t>
      </w:r>
      <w:r w:rsidR="0031744F">
        <w:t xml:space="preserve"> to frustrate the applicants.</w:t>
      </w:r>
      <w:r w:rsidR="002E6D51">
        <w:t xml:space="preserve">  He argued that the applicants were in fact using his monies to litigate against him.</w:t>
      </w:r>
    </w:p>
    <w:p w14:paraId="415122F8" w14:textId="2A3F5895" w:rsidR="002E6D51" w:rsidRDefault="009769F3" w:rsidP="009769F3">
      <w:pPr>
        <w:pStyle w:val="ListLevel1"/>
        <w:numPr>
          <w:ilvl w:val="0"/>
          <w:numId w:val="0"/>
        </w:numPr>
        <w:tabs>
          <w:tab w:val="left" w:pos="851"/>
        </w:tabs>
        <w:ind w:left="851" w:hanging="851"/>
      </w:pPr>
      <w:r>
        <w:t>43.</w:t>
      </w:r>
      <w:r>
        <w:tab/>
      </w:r>
      <w:r w:rsidR="002E6D51">
        <w:t xml:space="preserve">Advocate Saint argued the first respondent is lay person and could not have known that he needed to regularise his papers and the </w:t>
      </w:r>
      <w:r w:rsidR="00FC7C90">
        <w:t>applicants</w:t>
      </w:r>
      <w:r w:rsidR="002E6D51">
        <w:t xml:space="preserve"> can argue their case once the papers are supplemented.</w:t>
      </w:r>
    </w:p>
    <w:p w14:paraId="33D82FC7" w14:textId="39812398" w:rsidR="001A122F" w:rsidRDefault="009769F3" w:rsidP="009769F3">
      <w:pPr>
        <w:pStyle w:val="ListLevel1"/>
        <w:numPr>
          <w:ilvl w:val="0"/>
          <w:numId w:val="0"/>
        </w:numPr>
        <w:tabs>
          <w:tab w:val="left" w:pos="851"/>
        </w:tabs>
        <w:ind w:left="851" w:hanging="851"/>
      </w:pPr>
      <w:r>
        <w:t>44.</w:t>
      </w:r>
      <w:r>
        <w:tab/>
      </w:r>
      <w:r w:rsidR="002E6D51">
        <w:t xml:space="preserve">In reply, </w:t>
      </w:r>
      <w:r w:rsidR="001A122F">
        <w:t xml:space="preserve">Miltz SC referred the court to the requirements for a postponement as set out in </w:t>
      </w:r>
      <w:r w:rsidR="001A122F" w:rsidRPr="00273FE4">
        <w:rPr>
          <w:b/>
          <w:bCs/>
        </w:rPr>
        <w:t>MYBURG TRANSPORT v BOTHA t/a SA TRUCK BODIES</w:t>
      </w:r>
      <w:r w:rsidR="001A122F">
        <w:rPr>
          <w:rStyle w:val="FootnoteReference"/>
          <w:rFonts w:cs="Arial"/>
        </w:rPr>
        <w:footnoteReference w:id="5"/>
      </w:r>
      <w:r w:rsidR="001A122F">
        <w:rPr>
          <w:b/>
          <w:bCs/>
        </w:rPr>
        <w:t xml:space="preserve">, </w:t>
      </w:r>
      <w:r w:rsidR="001A122F">
        <w:t xml:space="preserve">which provides </w:t>
      </w:r>
      <w:r w:rsidR="0031744F">
        <w:t>t</w:t>
      </w:r>
      <w:r w:rsidR="001A122F">
        <w:t>h</w:t>
      </w:r>
      <w:r w:rsidR="0031744F">
        <w:t>at th</w:t>
      </w:r>
      <w:r w:rsidR="001A122F">
        <w:t xml:space="preserve">e </w:t>
      </w:r>
      <w:r w:rsidR="001A122F" w:rsidRPr="0031744F">
        <w:rPr>
          <w:i/>
          <w:iCs/>
        </w:rPr>
        <w:t>application for postponement must be made</w:t>
      </w:r>
      <w:r w:rsidR="001A122F">
        <w:t xml:space="preserve"> </w:t>
      </w:r>
      <w:r w:rsidR="001A122F" w:rsidRPr="0031744F">
        <w:rPr>
          <w:i/>
          <w:iCs/>
        </w:rPr>
        <w:t>timeously, as soon as the circumstances which might justify such an application become known to the applicant</w:t>
      </w:r>
      <w:r w:rsidR="001A122F">
        <w:t>.</w:t>
      </w:r>
    </w:p>
    <w:p w14:paraId="07ADAF67" w14:textId="5D985EFE" w:rsidR="001A122F" w:rsidRPr="00273FE4" w:rsidRDefault="009769F3" w:rsidP="009769F3">
      <w:pPr>
        <w:pStyle w:val="ListLevel1"/>
        <w:numPr>
          <w:ilvl w:val="0"/>
          <w:numId w:val="0"/>
        </w:numPr>
        <w:tabs>
          <w:tab w:val="left" w:pos="851"/>
        </w:tabs>
        <w:ind w:left="851" w:hanging="851"/>
      </w:pPr>
      <w:r w:rsidRPr="00273FE4">
        <w:t>45.</w:t>
      </w:r>
      <w:r w:rsidRPr="00273FE4">
        <w:tab/>
      </w:r>
      <w:r w:rsidR="001A122F">
        <w:t xml:space="preserve">Counsel further submitted that the </w:t>
      </w:r>
      <w:r w:rsidR="00FC7C90">
        <w:t>“application</w:t>
      </w:r>
      <w:r w:rsidR="001A122F" w:rsidRPr="001A122F">
        <w:rPr>
          <w:i/>
        </w:rPr>
        <w:t xml:space="preserve"> must be bona fide and not used simply as a tactical manoeuvre for the purpose of obtaining an advantage to which the applicant is not legitimately entitled</w:t>
      </w:r>
      <w:r w:rsidR="001A122F" w:rsidRPr="00273FE4">
        <w:t>.”</w:t>
      </w:r>
    </w:p>
    <w:p w14:paraId="2D2EA82F" w14:textId="7D3461C9" w:rsidR="001A122F" w:rsidRDefault="009769F3" w:rsidP="009769F3">
      <w:pPr>
        <w:pStyle w:val="ListLevel1"/>
        <w:numPr>
          <w:ilvl w:val="0"/>
          <w:numId w:val="0"/>
        </w:numPr>
        <w:tabs>
          <w:tab w:val="left" w:pos="851"/>
        </w:tabs>
        <w:ind w:left="851" w:hanging="851"/>
      </w:pPr>
      <w:r>
        <w:t>46.</w:t>
      </w:r>
      <w:r>
        <w:tab/>
      </w:r>
      <w:r w:rsidR="001A122F">
        <w:t xml:space="preserve">The applicants </w:t>
      </w:r>
      <w:r w:rsidR="001A122F" w:rsidRPr="001A122F">
        <w:rPr>
          <w:i/>
        </w:rPr>
        <w:t>in casu</w:t>
      </w:r>
      <w:r w:rsidR="001A122F">
        <w:t xml:space="preserve"> were awarded costs </w:t>
      </w:r>
      <w:r w:rsidR="0031744F">
        <w:t>in the earlier matters</w:t>
      </w:r>
      <w:r w:rsidR="002E6D51">
        <w:t xml:space="preserve"> which have not been paid and </w:t>
      </w:r>
      <w:r w:rsidR="0031744F">
        <w:t xml:space="preserve">the respondents tender of costs </w:t>
      </w:r>
      <w:r w:rsidR="002E6D51">
        <w:t xml:space="preserve">for a third </w:t>
      </w:r>
      <w:r w:rsidR="002E6D51">
        <w:lastRenderedPageBreak/>
        <w:t xml:space="preserve">postponement </w:t>
      </w:r>
      <w:r w:rsidR="001A122F">
        <w:t xml:space="preserve">is meaningless and will not address the issue of prejudice as </w:t>
      </w:r>
      <w:r w:rsidR="002E6D51">
        <w:t xml:space="preserve">mentioned </w:t>
      </w:r>
      <w:r w:rsidR="001A122F">
        <w:t>in the Myburg Transport case.</w:t>
      </w:r>
    </w:p>
    <w:p w14:paraId="71F6DB87" w14:textId="63B04AD9" w:rsidR="001A122F" w:rsidRDefault="009769F3" w:rsidP="009769F3">
      <w:pPr>
        <w:pStyle w:val="ListLevel1"/>
        <w:numPr>
          <w:ilvl w:val="0"/>
          <w:numId w:val="0"/>
        </w:numPr>
        <w:tabs>
          <w:tab w:val="left" w:pos="851"/>
        </w:tabs>
        <w:ind w:left="851" w:hanging="851"/>
      </w:pPr>
      <w:r>
        <w:t>47.</w:t>
      </w:r>
      <w:r>
        <w:tab/>
      </w:r>
      <w:r w:rsidR="001A122F">
        <w:t xml:space="preserve">Counsel referred the court to the requirements for condonation where “good cause </w:t>
      </w:r>
      <w:r w:rsidR="002E6D51">
        <w:t xml:space="preserve">must be </w:t>
      </w:r>
      <w:r w:rsidR="001A122F">
        <w:t xml:space="preserve">shown.”  </w:t>
      </w:r>
    </w:p>
    <w:p w14:paraId="2650BCAF" w14:textId="45017347" w:rsidR="001A122F" w:rsidRDefault="009769F3" w:rsidP="009769F3">
      <w:pPr>
        <w:pStyle w:val="ListLevel1"/>
        <w:numPr>
          <w:ilvl w:val="0"/>
          <w:numId w:val="0"/>
        </w:numPr>
        <w:tabs>
          <w:tab w:val="left" w:pos="851"/>
        </w:tabs>
        <w:ind w:left="851" w:hanging="851"/>
      </w:pPr>
      <w:r>
        <w:t>48.</w:t>
      </w:r>
      <w:r>
        <w:tab/>
      </w:r>
      <w:r w:rsidR="001A122F">
        <w:t xml:space="preserve">Counsel submitted that the Court has a wide </w:t>
      </w:r>
      <w:r w:rsidR="002E6D51">
        <w:t>discretion,</w:t>
      </w:r>
      <w:r w:rsidR="001A122F">
        <w:t xml:space="preserve"> and it must look at the merits of the matter and the application </w:t>
      </w:r>
      <w:r w:rsidR="0031744F">
        <w:t xml:space="preserve">is </w:t>
      </w:r>
      <w:r w:rsidR="001A122F">
        <w:t xml:space="preserve">to be seen as a </w:t>
      </w:r>
      <w:r w:rsidR="00FC7C90">
        <w:t>whole and</w:t>
      </w:r>
      <w:r w:rsidR="002E6D51">
        <w:t xml:space="preserve"> determine if </w:t>
      </w:r>
      <w:r w:rsidR="001A122F">
        <w:t>there</w:t>
      </w:r>
      <w:r w:rsidR="002E6D51">
        <w:t xml:space="preserve"> is</w:t>
      </w:r>
      <w:r w:rsidR="001A122F">
        <w:t xml:space="preserve"> indeed a defence in t</w:t>
      </w:r>
      <w:r w:rsidR="002E6D51">
        <w:t>his</w:t>
      </w:r>
      <w:r w:rsidR="001A122F">
        <w:t xml:space="preserve"> instance.  </w:t>
      </w:r>
    </w:p>
    <w:p w14:paraId="02635C1F" w14:textId="5A713B6C" w:rsidR="001A122F" w:rsidRDefault="009769F3" w:rsidP="009769F3">
      <w:pPr>
        <w:pStyle w:val="ListLevel1"/>
        <w:numPr>
          <w:ilvl w:val="0"/>
          <w:numId w:val="0"/>
        </w:numPr>
        <w:tabs>
          <w:tab w:val="left" w:pos="851"/>
        </w:tabs>
        <w:ind w:left="851" w:hanging="851"/>
      </w:pPr>
      <w:r>
        <w:t>49.</w:t>
      </w:r>
      <w:r>
        <w:tab/>
      </w:r>
      <w:r w:rsidR="001A122F">
        <w:t xml:space="preserve">Counsel submitted that nowhere in the respondent’s papers or </w:t>
      </w:r>
      <w:r w:rsidR="00E5085B">
        <w:t xml:space="preserve">in his counsel’s </w:t>
      </w:r>
      <w:r w:rsidR="001A122F">
        <w:t xml:space="preserve">address has he </w:t>
      </w:r>
      <w:r w:rsidR="00E5085B">
        <w:t xml:space="preserve">disputed the </w:t>
      </w:r>
      <w:r w:rsidR="001A122F">
        <w:t xml:space="preserve">contractual terms </w:t>
      </w:r>
      <w:r w:rsidR="00E5085B">
        <w:t>that regulate the relationship of the parties</w:t>
      </w:r>
      <w:r w:rsidR="001A122F">
        <w:t xml:space="preserve">.   The only defence argued </w:t>
      </w:r>
      <w:r w:rsidR="0031744F">
        <w:t xml:space="preserve">today </w:t>
      </w:r>
      <w:r w:rsidR="001A122F">
        <w:t xml:space="preserve">is on </w:t>
      </w:r>
      <w:r w:rsidR="0031744F">
        <w:t xml:space="preserve">the </w:t>
      </w:r>
      <w:r w:rsidR="001A122F">
        <w:t>valuation of shares.  What he thinks subjectively is irrelevant</w:t>
      </w:r>
      <w:r w:rsidR="00E5085B">
        <w:t>.</w:t>
      </w:r>
    </w:p>
    <w:p w14:paraId="614785E9" w14:textId="71796DAB" w:rsidR="001A122F" w:rsidRDefault="009769F3" w:rsidP="009769F3">
      <w:pPr>
        <w:pStyle w:val="ListLevel1"/>
        <w:numPr>
          <w:ilvl w:val="0"/>
          <w:numId w:val="0"/>
        </w:numPr>
        <w:tabs>
          <w:tab w:val="left" w:pos="851"/>
        </w:tabs>
        <w:ind w:left="851" w:hanging="851"/>
      </w:pPr>
      <w:r>
        <w:t>50.</w:t>
      </w:r>
      <w:r>
        <w:tab/>
      </w:r>
      <w:r w:rsidR="001A122F">
        <w:t xml:space="preserve">Miltz SC submitted that his client and the Court are still </w:t>
      </w:r>
      <w:r w:rsidR="00E5085B">
        <w:t>not informed of the “</w:t>
      </w:r>
      <w:r w:rsidR="001A122F">
        <w:t>real reason</w:t>
      </w:r>
      <w:r w:rsidR="00E5085B">
        <w:t>”</w:t>
      </w:r>
      <w:r w:rsidR="001A122F">
        <w:t xml:space="preserve"> for the postponement and the reasons why the </w:t>
      </w:r>
      <w:r w:rsidR="00E5085B">
        <w:t xml:space="preserve">orders by </w:t>
      </w:r>
      <w:r w:rsidR="001A122F">
        <w:t xml:space="preserve">two previous courts </w:t>
      </w:r>
      <w:r w:rsidR="001803F7">
        <w:t>were</w:t>
      </w:r>
      <w:r w:rsidR="001A122F">
        <w:t xml:space="preserve"> not complied with.</w:t>
      </w:r>
    </w:p>
    <w:p w14:paraId="0FE936C1" w14:textId="402F4BBD" w:rsidR="001A122F" w:rsidRDefault="009769F3" w:rsidP="009769F3">
      <w:pPr>
        <w:pStyle w:val="ListLevel1"/>
        <w:numPr>
          <w:ilvl w:val="0"/>
          <w:numId w:val="0"/>
        </w:numPr>
        <w:tabs>
          <w:tab w:val="left" w:pos="851"/>
        </w:tabs>
        <w:ind w:left="851" w:hanging="851"/>
      </w:pPr>
      <w:r>
        <w:t>51.</w:t>
      </w:r>
      <w:r>
        <w:tab/>
      </w:r>
      <w:r w:rsidR="00E5085B">
        <w:t xml:space="preserve">It was argued that the </w:t>
      </w:r>
      <w:r w:rsidR="001A122F">
        <w:t>first respondent fail</w:t>
      </w:r>
      <w:r w:rsidR="00E5085B">
        <w:t>ed</w:t>
      </w:r>
      <w:r w:rsidR="001A122F">
        <w:t xml:space="preserve"> to furnish pay slips to prove his income.  He should provide full financial disclosure as in a R43 procedure.  He holds </w:t>
      </w:r>
      <w:r w:rsidR="0068725F">
        <w:t>a prominent position</w:t>
      </w:r>
      <w:r w:rsidR="001A122F">
        <w:t xml:space="preserve"> as a chief pilot, he cannot be a pauper as he claims.  Each time the matter was in court his legal team </w:t>
      </w:r>
      <w:r w:rsidR="001A122F">
        <w:lastRenderedPageBreak/>
        <w:t xml:space="preserve">is in funds and they arrive with counsel.  Even at the CCMA, </w:t>
      </w:r>
      <w:r w:rsidR="00FC7C90">
        <w:t>senior counsel represented him</w:t>
      </w:r>
      <w:r w:rsidR="001A122F">
        <w:t>.  One cannot simply accept his word.</w:t>
      </w:r>
    </w:p>
    <w:p w14:paraId="00E64E4D" w14:textId="680C6FF0" w:rsidR="001A122F" w:rsidRDefault="009769F3" w:rsidP="009769F3">
      <w:pPr>
        <w:pStyle w:val="ListLevel1"/>
        <w:numPr>
          <w:ilvl w:val="0"/>
          <w:numId w:val="0"/>
        </w:numPr>
        <w:tabs>
          <w:tab w:val="left" w:pos="851"/>
        </w:tabs>
        <w:ind w:left="851" w:hanging="851"/>
      </w:pPr>
      <w:r>
        <w:t>52.</w:t>
      </w:r>
      <w:r>
        <w:tab/>
      </w:r>
      <w:r w:rsidR="001A122F">
        <w:t>Counsel submitted that there is no case to allow a postponement or to supplement his papers.</w:t>
      </w:r>
    </w:p>
    <w:p w14:paraId="1E569EB1" w14:textId="7EADAE80" w:rsidR="001A122F" w:rsidRDefault="009769F3" w:rsidP="009769F3">
      <w:pPr>
        <w:pStyle w:val="ListLevel1"/>
        <w:numPr>
          <w:ilvl w:val="0"/>
          <w:numId w:val="0"/>
        </w:numPr>
        <w:tabs>
          <w:tab w:val="left" w:pos="851"/>
        </w:tabs>
        <w:ind w:left="851" w:hanging="851"/>
      </w:pPr>
      <w:r>
        <w:t>53.</w:t>
      </w:r>
      <w:r>
        <w:tab/>
      </w:r>
      <w:r w:rsidR="001A122F">
        <w:t>Furthermore, there is no case that the valuation is wrong, therefore there is less possibility of successfully defending the valuation, and the</w:t>
      </w:r>
      <w:r w:rsidR="00BF5AB8">
        <w:t>re</w:t>
      </w:r>
      <w:r w:rsidR="001A122F">
        <w:t xml:space="preserve">fore more difficult it will be to get </w:t>
      </w:r>
      <w:r w:rsidR="00CD7F45">
        <w:t xml:space="preserve">the </w:t>
      </w:r>
      <w:r w:rsidR="001A122F">
        <w:t xml:space="preserve">indulgence sought.  </w:t>
      </w:r>
    </w:p>
    <w:p w14:paraId="7C12A10C" w14:textId="4B5B0A79" w:rsidR="001A122F" w:rsidRDefault="009769F3" w:rsidP="009769F3">
      <w:pPr>
        <w:pStyle w:val="ListLevel1"/>
        <w:numPr>
          <w:ilvl w:val="0"/>
          <w:numId w:val="0"/>
        </w:numPr>
        <w:tabs>
          <w:tab w:val="left" w:pos="851"/>
        </w:tabs>
        <w:ind w:left="851" w:hanging="851"/>
      </w:pPr>
      <w:r>
        <w:t>54.</w:t>
      </w:r>
      <w:r>
        <w:tab/>
      </w:r>
      <w:r w:rsidR="001A122F">
        <w:t>Miltz SC submitted that both the applications fail to address the non-compliance with two previous orders of court and the failure to file practise note and heads or argument as ordered.</w:t>
      </w:r>
    </w:p>
    <w:p w14:paraId="2BB0F408" w14:textId="1996DAF8" w:rsidR="001A122F" w:rsidRDefault="009769F3" w:rsidP="009769F3">
      <w:pPr>
        <w:pStyle w:val="ListLevel1"/>
        <w:numPr>
          <w:ilvl w:val="0"/>
          <w:numId w:val="0"/>
        </w:numPr>
        <w:tabs>
          <w:tab w:val="left" w:pos="851"/>
        </w:tabs>
        <w:ind w:left="851" w:hanging="851"/>
      </w:pPr>
      <w:r>
        <w:t>55.</w:t>
      </w:r>
      <w:r>
        <w:tab/>
      </w:r>
      <w:r w:rsidR="00CD7F45">
        <w:t>The p</w:t>
      </w:r>
      <w:r w:rsidR="001A122F">
        <w:t>apers before court do not address the points of substance, and the applications are simply an abuse</w:t>
      </w:r>
      <w:r w:rsidR="00CD7F45">
        <w:t>,</w:t>
      </w:r>
      <w:r w:rsidR="001A122F">
        <w:t xml:space="preserve"> there are no proper explanations.  </w:t>
      </w:r>
    </w:p>
    <w:p w14:paraId="3E8EB458" w14:textId="758F6807" w:rsidR="001A122F" w:rsidRDefault="009769F3" w:rsidP="009769F3">
      <w:pPr>
        <w:pStyle w:val="ListLevel1"/>
        <w:numPr>
          <w:ilvl w:val="0"/>
          <w:numId w:val="0"/>
        </w:numPr>
        <w:tabs>
          <w:tab w:val="left" w:pos="851"/>
        </w:tabs>
        <w:ind w:left="851" w:hanging="851"/>
      </w:pPr>
      <w:r>
        <w:t>56.</w:t>
      </w:r>
      <w:r>
        <w:tab/>
      </w:r>
      <w:r w:rsidR="00CD7F45">
        <w:t>Miltz SC persisted with the a</w:t>
      </w:r>
      <w:r w:rsidR="001A122F">
        <w:t>pplication to strike out</w:t>
      </w:r>
      <w:r w:rsidR="00CD7F45">
        <w:t>, it</w:t>
      </w:r>
      <w:r w:rsidR="001A122F">
        <w:t xml:space="preserve"> must be </w:t>
      </w:r>
      <w:r w:rsidR="00E5085B">
        <w:t>granted,</w:t>
      </w:r>
      <w:r w:rsidR="001A122F">
        <w:t xml:space="preserve"> and</w:t>
      </w:r>
      <w:r w:rsidR="00CD7F45">
        <w:t xml:space="preserve"> </w:t>
      </w:r>
      <w:r w:rsidR="001A122F">
        <w:t>attorney client costs</w:t>
      </w:r>
      <w:r w:rsidR="00CD7F45">
        <w:t xml:space="preserve"> be awarded</w:t>
      </w:r>
      <w:r w:rsidR="001A122F">
        <w:t>.</w:t>
      </w:r>
    </w:p>
    <w:p w14:paraId="130F3098" w14:textId="77777777" w:rsidR="001A122F" w:rsidRDefault="001A122F" w:rsidP="001A122F">
      <w:pPr>
        <w:pStyle w:val="Heading1"/>
      </w:pPr>
      <w:r w:rsidRPr="006C1A19">
        <w:t>JUDGMENT</w:t>
      </w:r>
    </w:p>
    <w:p w14:paraId="48C7F110" w14:textId="0F381522" w:rsidR="001A122F" w:rsidRPr="001A122F" w:rsidRDefault="009769F3" w:rsidP="009769F3">
      <w:pPr>
        <w:pStyle w:val="ListLevel1"/>
        <w:numPr>
          <w:ilvl w:val="0"/>
          <w:numId w:val="0"/>
        </w:numPr>
        <w:tabs>
          <w:tab w:val="left" w:pos="851"/>
        </w:tabs>
        <w:ind w:left="851" w:hanging="851"/>
      </w:pPr>
      <w:r w:rsidRPr="001A122F">
        <w:t>57.</w:t>
      </w:r>
      <w:r w:rsidRPr="001A122F">
        <w:tab/>
      </w:r>
      <w:r w:rsidR="001A122F">
        <w:t>I shall refer to the parties as they appear in the main application.</w:t>
      </w:r>
    </w:p>
    <w:p w14:paraId="3977D558" w14:textId="47F7F9D4" w:rsidR="001A122F" w:rsidRPr="001A122F" w:rsidRDefault="009769F3" w:rsidP="009769F3">
      <w:pPr>
        <w:pStyle w:val="ListLevel1"/>
        <w:numPr>
          <w:ilvl w:val="0"/>
          <w:numId w:val="0"/>
        </w:numPr>
        <w:tabs>
          <w:tab w:val="left" w:pos="851"/>
        </w:tabs>
        <w:ind w:left="851" w:hanging="851"/>
      </w:pPr>
      <w:r w:rsidRPr="001A122F">
        <w:lastRenderedPageBreak/>
        <w:t>58.</w:t>
      </w:r>
      <w:r w:rsidRPr="001A122F">
        <w:tab/>
      </w:r>
      <w:r w:rsidR="001A122F">
        <w:t>An applicant for a postponement seeks an indulgence from the court.  A court will grant th</w:t>
      </w:r>
      <w:r w:rsidR="00CD7F45">
        <w:t>e postponement if</w:t>
      </w:r>
      <w:r w:rsidR="001A122F">
        <w:t xml:space="preserve"> it is in the interest of justice.</w:t>
      </w:r>
    </w:p>
    <w:p w14:paraId="5DD1D7E0" w14:textId="6AA49BC0" w:rsidR="001A122F" w:rsidRPr="001A122F" w:rsidRDefault="009769F3" w:rsidP="009769F3">
      <w:pPr>
        <w:pStyle w:val="ListLevel1"/>
        <w:numPr>
          <w:ilvl w:val="0"/>
          <w:numId w:val="0"/>
        </w:numPr>
        <w:tabs>
          <w:tab w:val="left" w:pos="851"/>
        </w:tabs>
        <w:ind w:left="851" w:hanging="851"/>
      </w:pPr>
      <w:r w:rsidRPr="001A122F">
        <w:t>59.</w:t>
      </w:r>
      <w:r w:rsidRPr="001A122F">
        <w:tab/>
      </w:r>
      <w:r w:rsidR="001A122F" w:rsidRPr="003B5091">
        <w:t xml:space="preserve">In </w:t>
      </w:r>
      <w:r w:rsidR="001A122F" w:rsidRPr="00BF5AB8">
        <w:rPr>
          <w:b/>
        </w:rPr>
        <w:t>McCARTHY RETAIL LTD v SHORT DISTANCE CARRIERS CC,</w:t>
      </w:r>
      <w:r w:rsidR="001A122F" w:rsidRPr="00BF5AB8">
        <w:rPr>
          <w:rStyle w:val="FootnoteReference"/>
        </w:rPr>
        <w:footnoteReference w:id="6"/>
      </w:r>
      <w:r w:rsidR="001A122F" w:rsidRPr="003B5091">
        <w:t xml:space="preserve"> Schultz JA, stated</w:t>
      </w:r>
      <w:r w:rsidR="001A122F">
        <w:t>:</w:t>
      </w:r>
    </w:p>
    <w:p w14:paraId="45406557" w14:textId="79F9F853" w:rsidR="001A122F" w:rsidRPr="001A122F" w:rsidRDefault="001A122F" w:rsidP="001A122F">
      <w:pPr>
        <w:pStyle w:val="MSQuote"/>
      </w:pPr>
      <w:r w:rsidRPr="003B5091">
        <w:t>“</w:t>
      </w:r>
      <w:r w:rsidRPr="001A122F">
        <w:t xml:space="preserve">a party opposing an application to </w:t>
      </w:r>
      <w:r w:rsidR="00FC7C90" w:rsidRPr="001A122F">
        <w:t>postpone,</w:t>
      </w:r>
      <w:r w:rsidRPr="001A122F">
        <w:t xml:space="preserve"> and appeal has a procedural right that the appeal should proceed on the appointed day.  It is also in the public interest that there should be an end to litigation.  accordingly, in order for an applicant for a postponement to succeed, he must show “a good and strong reason” for the grant of such relief.</w:t>
      </w:r>
    </w:p>
    <w:p w14:paraId="527C8250" w14:textId="111D965C" w:rsidR="001A122F" w:rsidRDefault="001A122F" w:rsidP="001A122F">
      <w:pPr>
        <w:pStyle w:val="MSQuote"/>
      </w:pPr>
      <w:r w:rsidRPr="003B5091">
        <w:t xml:space="preserve">… the interests of other </w:t>
      </w:r>
      <w:r w:rsidR="00FC7C90" w:rsidRPr="003B5091">
        <w:t>litigants and</w:t>
      </w:r>
      <w:r w:rsidRPr="003B5091">
        <w:t xml:space="preserve"> the convenience of the Court are also important.  The record and heads have been read by five Judges, variously months or weeks before the appeal date.  The fact that this case was placed on the roll meant that another case had to wait for the following term and if a postponement is granted this consequence will extend into succeeding terms.”</w:t>
      </w:r>
    </w:p>
    <w:p w14:paraId="0DA00A63" w14:textId="3ADA7AC5" w:rsidR="001A122F" w:rsidRDefault="009769F3" w:rsidP="009769F3">
      <w:pPr>
        <w:pStyle w:val="ListLevel1"/>
        <w:numPr>
          <w:ilvl w:val="0"/>
          <w:numId w:val="0"/>
        </w:numPr>
        <w:tabs>
          <w:tab w:val="left" w:pos="851"/>
        </w:tabs>
        <w:ind w:left="851" w:hanging="851"/>
      </w:pPr>
      <w:r>
        <w:t>60.</w:t>
      </w:r>
      <w:r>
        <w:tab/>
      </w:r>
      <w:r w:rsidR="00FC7C90">
        <w:t>Three judges of the High Court</w:t>
      </w:r>
      <w:r w:rsidR="001A122F">
        <w:t xml:space="preserve"> of the busiest division </w:t>
      </w:r>
      <w:r w:rsidR="00FC7041">
        <w:t>in</w:t>
      </w:r>
      <w:r w:rsidR="001A122F">
        <w:t xml:space="preserve"> the country, have read the voluminous files in this matter. The first respondent concede</w:t>
      </w:r>
      <w:r w:rsidR="00CD7F45">
        <w:t>d that</w:t>
      </w:r>
      <w:r w:rsidR="001A122F">
        <w:t xml:space="preserve"> the file is large. This matter has taken up three allocations in the past year, all occasioned by the first respondent’s failure/refusal to recognise the orders of this court</w:t>
      </w:r>
      <w:r w:rsidR="00CD7F45">
        <w:t>, which effectively p</w:t>
      </w:r>
      <w:r w:rsidR="00FC7041">
        <w:t xml:space="preserve">laces </w:t>
      </w:r>
      <w:r w:rsidR="00CD7F45">
        <w:t>him in contempt.</w:t>
      </w:r>
    </w:p>
    <w:p w14:paraId="4FBB2AD7" w14:textId="556911BE" w:rsidR="001A122F" w:rsidRDefault="009769F3" w:rsidP="009769F3">
      <w:pPr>
        <w:pStyle w:val="ListLevel1"/>
        <w:numPr>
          <w:ilvl w:val="0"/>
          <w:numId w:val="0"/>
        </w:numPr>
        <w:tabs>
          <w:tab w:val="left" w:pos="851"/>
        </w:tabs>
        <w:ind w:left="851" w:hanging="851"/>
      </w:pPr>
      <w:r>
        <w:lastRenderedPageBreak/>
        <w:t>61.</w:t>
      </w:r>
      <w:r>
        <w:tab/>
      </w:r>
      <w:r w:rsidR="001A122F">
        <w:t>Ironically</w:t>
      </w:r>
      <w:r w:rsidR="00CD7F45">
        <w:t xml:space="preserve"> though</w:t>
      </w:r>
      <w:r w:rsidR="001A122F">
        <w:t>, he appoints his legal team to ask this court for an indulgence and to “</w:t>
      </w:r>
      <w:r w:rsidR="001A122F" w:rsidRPr="001A122F">
        <w:rPr>
          <w:i/>
        </w:rPr>
        <w:t>protect his constitutional rights to a hearing.”</w:t>
      </w:r>
      <w:r w:rsidR="001A122F">
        <w:t xml:space="preserve"> </w:t>
      </w:r>
      <w:r w:rsidR="00E168E2">
        <w:t xml:space="preserve"> </w:t>
      </w:r>
    </w:p>
    <w:p w14:paraId="5A6760C2" w14:textId="1F42815A" w:rsidR="001A122F" w:rsidRDefault="009769F3" w:rsidP="009769F3">
      <w:pPr>
        <w:pStyle w:val="ListLevel1"/>
        <w:numPr>
          <w:ilvl w:val="0"/>
          <w:numId w:val="0"/>
        </w:numPr>
        <w:tabs>
          <w:tab w:val="left" w:pos="851"/>
        </w:tabs>
        <w:ind w:left="851" w:hanging="851"/>
      </w:pPr>
      <w:r>
        <w:t>62.</w:t>
      </w:r>
      <w:r>
        <w:tab/>
      </w:r>
      <w:r w:rsidR="00FC7041">
        <w:t xml:space="preserve">The court is of the view that that respondent </w:t>
      </w:r>
      <w:r w:rsidR="001A122F">
        <w:t xml:space="preserve">has only himself to blame if he </w:t>
      </w:r>
      <w:r w:rsidR="00CD7F45">
        <w:t>feels h</w:t>
      </w:r>
      <w:r w:rsidR="00FC7041">
        <w:t>e has not had a hearing and not fully ventilated his matter</w:t>
      </w:r>
      <w:r w:rsidR="00CD7F45">
        <w:t>.</w:t>
      </w:r>
    </w:p>
    <w:p w14:paraId="4AF7C679" w14:textId="1210881D" w:rsidR="001A122F" w:rsidRDefault="009769F3" w:rsidP="009769F3">
      <w:pPr>
        <w:pStyle w:val="ListLevel1"/>
        <w:numPr>
          <w:ilvl w:val="0"/>
          <w:numId w:val="0"/>
        </w:numPr>
        <w:tabs>
          <w:tab w:val="left" w:pos="851"/>
        </w:tabs>
        <w:ind w:left="851" w:hanging="851"/>
      </w:pPr>
      <w:r>
        <w:t>63.</w:t>
      </w:r>
      <w:r>
        <w:tab/>
      </w:r>
      <w:r w:rsidR="00CD7F45">
        <w:t>The</w:t>
      </w:r>
      <w:r w:rsidR="00FC7041">
        <w:t xml:space="preserve"> objective facts are, </w:t>
      </w:r>
      <w:r w:rsidR="00CD7F45">
        <w:t xml:space="preserve">on the </w:t>
      </w:r>
      <w:r w:rsidR="001A122F">
        <w:t xml:space="preserve">evidence set out above, the first respondent has been indulged, over the past year by two previous courts.  </w:t>
      </w:r>
      <w:r w:rsidR="009570B0">
        <w:t xml:space="preserve">He has been further indulged by this court, when his counsel was permitted to address the court on his application for postponement </w:t>
      </w:r>
      <w:r w:rsidR="00FC7041">
        <w:t xml:space="preserve">filed only a few minutes before the commencement of the hearing of this matter </w:t>
      </w:r>
      <w:r w:rsidR="009570B0">
        <w:t xml:space="preserve">and when this court </w:t>
      </w:r>
      <w:r w:rsidR="00FC7041">
        <w:t xml:space="preserve">was obliged to stand the matter </w:t>
      </w:r>
      <w:r w:rsidR="009570B0">
        <w:t>down</w:t>
      </w:r>
      <w:r w:rsidR="00FC7041">
        <w:t xml:space="preserve"> </w:t>
      </w:r>
      <w:r w:rsidR="00FC7C90">
        <w:t>to</w:t>
      </w:r>
      <w:r w:rsidR="00FC7041">
        <w:t xml:space="preserve"> </w:t>
      </w:r>
      <w:r w:rsidR="009570B0">
        <w:t>read his papers.</w:t>
      </w:r>
    </w:p>
    <w:p w14:paraId="190A940A" w14:textId="09A174F5" w:rsidR="00C21404" w:rsidRDefault="009769F3" w:rsidP="009769F3">
      <w:pPr>
        <w:pStyle w:val="ListLevel1"/>
        <w:numPr>
          <w:ilvl w:val="0"/>
          <w:numId w:val="0"/>
        </w:numPr>
        <w:tabs>
          <w:tab w:val="left" w:pos="851"/>
        </w:tabs>
        <w:ind w:left="851" w:hanging="851"/>
      </w:pPr>
      <w:r>
        <w:t>64.</w:t>
      </w:r>
      <w:r>
        <w:tab/>
      </w:r>
      <w:r w:rsidR="009570B0">
        <w:t xml:space="preserve">I agree with Miltz SC that the respondent has been afforded his right to a hearing, when he was granted two postponements, </w:t>
      </w:r>
      <w:r w:rsidR="00C21404">
        <w:t xml:space="preserve">he was </w:t>
      </w:r>
      <w:r w:rsidR="009570B0">
        <w:t xml:space="preserve">afforded a </w:t>
      </w:r>
      <w:r w:rsidR="00C21404">
        <w:t xml:space="preserve">two opportunities </w:t>
      </w:r>
      <w:r w:rsidR="009570B0">
        <w:t>to apply for condonation whe</w:t>
      </w:r>
      <w:r w:rsidR="00C21404">
        <w:t>rei</w:t>
      </w:r>
      <w:r w:rsidR="009570B0">
        <w:t xml:space="preserve">n he could have set out his prospects of success, when he </w:t>
      </w:r>
      <w:r w:rsidR="00C21404">
        <w:t>was afforded an opportunity to file his answering affidavit, and when he failed to do so</w:t>
      </w:r>
      <w:r w:rsidR="003D231C">
        <w:t xml:space="preserve"> timeously,</w:t>
      </w:r>
      <w:r w:rsidR="00C21404">
        <w:t xml:space="preserve"> the period to file was extended by the second order of Opperman J.  He could also have exercised his right to a hearing when if he filed his heads of argument (although not pleadings, </w:t>
      </w:r>
      <w:r w:rsidR="00FC7C90">
        <w:t>they</w:t>
      </w:r>
      <w:r w:rsidR="00FC7041">
        <w:t xml:space="preserve"> could have persuasive </w:t>
      </w:r>
      <w:r w:rsidR="00FC7041">
        <w:lastRenderedPageBreak/>
        <w:t>value</w:t>
      </w:r>
      <w:r w:rsidR="00C21404">
        <w:t xml:space="preserve">) or even </w:t>
      </w:r>
      <w:r w:rsidR="00FC7041">
        <w:t>on</w:t>
      </w:r>
      <w:r w:rsidR="00C21404">
        <w:t xml:space="preserve"> filing of his practise note.  </w:t>
      </w:r>
      <w:r w:rsidR="003D231C">
        <w:t>He did not take up his opportunities.</w:t>
      </w:r>
    </w:p>
    <w:p w14:paraId="1E85DB30" w14:textId="258C1229" w:rsidR="001A122F" w:rsidRDefault="009769F3" w:rsidP="009769F3">
      <w:pPr>
        <w:pStyle w:val="ListLevel1"/>
        <w:numPr>
          <w:ilvl w:val="0"/>
          <w:numId w:val="0"/>
        </w:numPr>
        <w:tabs>
          <w:tab w:val="left" w:pos="851"/>
        </w:tabs>
        <w:ind w:left="851" w:hanging="851"/>
      </w:pPr>
      <w:r>
        <w:t>65.</w:t>
      </w:r>
      <w:r>
        <w:tab/>
      </w:r>
      <w:r w:rsidR="00FC7041">
        <w:t>Thi</w:t>
      </w:r>
      <w:r w:rsidR="001A122F">
        <w:t>s court is asked “not to close the door on him, he will suffer irretrievable loss of his shares.”</w:t>
      </w:r>
      <w:r w:rsidR="00C21404">
        <w:t xml:space="preserve">  He has failed to assist himself when he could have.  </w:t>
      </w:r>
    </w:p>
    <w:p w14:paraId="2B808D35" w14:textId="7FC0E131" w:rsidR="00CA04E3" w:rsidRDefault="009769F3" w:rsidP="009769F3">
      <w:pPr>
        <w:pStyle w:val="ListLevel1"/>
        <w:numPr>
          <w:ilvl w:val="0"/>
          <w:numId w:val="0"/>
        </w:numPr>
        <w:tabs>
          <w:tab w:val="left" w:pos="851"/>
        </w:tabs>
        <w:ind w:left="851" w:hanging="851"/>
      </w:pPr>
      <w:r>
        <w:t>66.</w:t>
      </w:r>
      <w:r>
        <w:tab/>
      </w:r>
      <w:r w:rsidR="001A122F">
        <w:t xml:space="preserve">None of his counsel’s submissions </w:t>
      </w:r>
      <w:r w:rsidR="00C21404">
        <w:t xml:space="preserve">before this court </w:t>
      </w:r>
      <w:r w:rsidR="001A122F">
        <w:t>are new.  The facts have been known to him since well before the application was launched, even the assessment of the value of his shares.  It is logical that if he disputed the assessed values, the must furnish his own values, notwithstanding that he was contractually bound to the method of calculation and assessment of the shares.</w:t>
      </w:r>
      <w:r w:rsidR="00D53885">
        <w:t xml:space="preserve">  In SALOOJEE AND ANOTHER NNO v MINISTER OF COMMUNITY DEVELOPMENT</w:t>
      </w:r>
      <w:r w:rsidR="00D53885">
        <w:rPr>
          <w:rStyle w:val="FootnoteReference"/>
        </w:rPr>
        <w:footnoteReference w:id="7"/>
      </w:r>
      <w:r w:rsidR="00CA04E3">
        <w:t>, Steyn CJ referred to the judgment in Regal v African Superslate (Pty) Ltd</w:t>
      </w:r>
      <w:r w:rsidR="00CA04E3">
        <w:rPr>
          <w:rStyle w:val="FootnoteReference"/>
        </w:rPr>
        <w:footnoteReference w:id="8"/>
      </w:r>
      <w:r w:rsidR="00CA04E3">
        <w:t>, where the court held that.</w:t>
      </w:r>
    </w:p>
    <w:p w14:paraId="35925A30" w14:textId="7DB60178" w:rsidR="00CA04E3" w:rsidRDefault="00CA04E3" w:rsidP="00CA04E3">
      <w:pPr>
        <w:pStyle w:val="ListLevel1"/>
        <w:numPr>
          <w:ilvl w:val="0"/>
          <w:numId w:val="0"/>
        </w:numPr>
        <w:ind w:left="851"/>
        <w:rPr>
          <w:i/>
          <w:iCs/>
        </w:rPr>
      </w:pPr>
      <w:r>
        <w:t>“</w:t>
      </w:r>
      <w:r w:rsidRPr="00CA04E3">
        <w:rPr>
          <w:i/>
          <w:iCs/>
        </w:rPr>
        <w:t>the attorney’s neglect should not, in the circumstances of the case, debar the applicant, who was himself in no way to blame, from relief.”</w:t>
      </w:r>
    </w:p>
    <w:p w14:paraId="4A6342EB" w14:textId="03416B60" w:rsidR="00CA04E3" w:rsidRDefault="009769F3" w:rsidP="009769F3">
      <w:pPr>
        <w:pStyle w:val="ListLevel1"/>
        <w:numPr>
          <w:ilvl w:val="0"/>
          <w:numId w:val="0"/>
        </w:numPr>
        <w:tabs>
          <w:tab w:val="left" w:pos="851"/>
        </w:tabs>
        <w:ind w:left="851" w:hanging="851"/>
      </w:pPr>
      <w:r>
        <w:lastRenderedPageBreak/>
        <w:t>67.</w:t>
      </w:r>
      <w:r>
        <w:tab/>
      </w:r>
      <w:r w:rsidR="00CA04E3">
        <w:t>Steyn CJ further stated</w:t>
      </w:r>
      <w:r w:rsidR="00CA04E3">
        <w:rPr>
          <w:rStyle w:val="FootnoteReference"/>
        </w:rPr>
        <w:footnoteReference w:id="9"/>
      </w:r>
      <w:r w:rsidR="00CA04E3">
        <w:t xml:space="preserve">, </w:t>
      </w:r>
      <w:r w:rsidR="00E020BE">
        <w:t>albeit, on considering an application for condonation,</w:t>
      </w:r>
    </w:p>
    <w:p w14:paraId="2B3F3159" w14:textId="7EFDB3F9" w:rsidR="00CA04E3" w:rsidRPr="00E020BE" w:rsidRDefault="00CA04E3" w:rsidP="00E020BE">
      <w:pPr>
        <w:pStyle w:val="ListLevel1"/>
        <w:numPr>
          <w:ilvl w:val="0"/>
          <w:numId w:val="0"/>
        </w:numPr>
        <w:ind w:left="851" w:hanging="131"/>
        <w:rPr>
          <w:i/>
          <w:iCs/>
        </w:rPr>
      </w:pPr>
      <w:r>
        <w:t>“</w:t>
      </w:r>
      <w:r w:rsidRPr="00E020BE">
        <w:rPr>
          <w:i/>
          <w:iCs/>
        </w:rPr>
        <w:t xml:space="preserve">There is a limit beyond which a litigant cannot escape the results of his attorney’s lack of </w:t>
      </w:r>
      <w:r w:rsidR="00FC7C90" w:rsidRPr="00E020BE">
        <w:rPr>
          <w:i/>
          <w:iCs/>
        </w:rPr>
        <w:t>diligence,</w:t>
      </w:r>
      <w:r w:rsidRPr="00E020BE">
        <w:rPr>
          <w:i/>
          <w:iCs/>
        </w:rPr>
        <w:t xml:space="preserve"> or the insufficiency of the explanation tendered.  To hold otherwise might have disastrous effect upon the observance of the Rules of this Court.  Considerations of ad misericordiam should not be allowed to become an invitation to laxity.</w:t>
      </w:r>
      <w:r w:rsidR="00E020BE" w:rsidRPr="00E020BE">
        <w:rPr>
          <w:i/>
          <w:iCs/>
        </w:rPr>
        <w:t xml:space="preserve">  </w:t>
      </w:r>
      <w:r w:rsidR="002E73BE">
        <w:rPr>
          <w:i/>
          <w:iCs/>
        </w:rPr>
        <w:t>….</w:t>
      </w:r>
      <w:r w:rsidR="00E020BE" w:rsidRPr="00E020BE">
        <w:rPr>
          <w:i/>
          <w:iCs/>
        </w:rPr>
        <w:t xml:space="preserve"> the attorney after all is the representative whom the litigant has chosen for himself, and there is little reason why in regard to condonation of a failure to comply with a Rule of Court, the litigant should be absolved from the normal consequences of such a relationship, no matter what the circumstances of the failure are.”</w:t>
      </w:r>
    </w:p>
    <w:p w14:paraId="1626115F" w14:textId="224319CC" w:rsidR="001A122F" w:rsidRDefault="009769F3" w:rsidP="009769F3">
      <w:pPr>
        <w:pStyle w:val="ListLevel1"/>
        <w:numPr>
          <w:ilvl w:val="0"/>
          <w:numId w:val="0"/>
        </w:numPr>
        <w:tabs>
          <w:tab w:val="left" w:pos="851"/>
        </w:tabs>
        <w:ind w:left="851" w:hanging="851"/>
      </w:pPr>
      <w:r>
        <w:t>68.</w:t>
      </w:r>
      <w:r>
        <w:tab/>
      </w:r>
      <w:r w:rsidR="001A122F" w:rsidRPr="00FC51E2">
        <w:t>He failed to take up the opportunities that were affo</w:t>
      </w:r>
      <w:r w:rsidR="001A122F">
        <w:t>rded him</w:t>
      </w:r>
      <w:r w:rsidR="00E020BE">
        <w:t xml:space="preserve"> and a valuation </w:t>
      </w:r>
      <w:r w:rsidR="002E73BE">
        <w:t xml:space="preserve">was alluded to </w:t>
      </w:r>
      <w:r w:rsidR="00E020BE">
        <w:t>only at this third application for postponement.</w:t>
      </w:r>
    </w:p>
    <w:p w14:paraId="4D75150B" w14:textId="4B233F60" w:rsidR="001A122F" w:rsidRDefault="009769F3" w:rsidP="009769F3">
      <w:pPr>
        <w:pStyle w:val="ListLevel1"/>
        <w:numPr>
          <w:ilvl w:val="0"/>
          <w:numId w:val="0"/>
        </w:numPr>
        <w:tabs>
          <w:tab w:val="left" w:pos="851"/>
        </w:tabs>
        <w:ind w:left="851" w:hanging="851"/>
      </w:pPr>
      <w:r>
        <w:t>69.</w:t>
      </w:r>
      <w:r>
        <w:tab/>
      </w:r>
      <w:r w:rsidR="001A122F">
        <w:t xml:space="preserve">In his answering papers he </w:t>
      </w:r>
      <w:r w:rsidR="00BD460A">
        <w:t>dispute</w:t>
      </w:r>
      <w:r w:rsidR="00564C74">
        <w:t>d</w:t>
      </w:r>
      <w:r w:rsidR="00BD460A">
        <w:t xml:space="preserve"> the value of his shares.</w:t>
      </w:r>
      <w:r w:rsidR="001A122F">
        <w:t xml:space="preserve">  I agree with Miltz SC, disputing the assessed value of the share is not enough, he must do more.  He failed to present the court with any reliable valuation</w:t>
      </w:r>
      <w:r w:rsidR="00BD460A">
        <w:t xml:space="preserve"> and even at this late stage, counsel proffered that a proper </w:t>
      </w:r>
      <w:r w:rsidR="00BD460A">
        <w:lastRenderedPageBreak/>
        <w:t xml:space="preserve">evaluation </w:t>
      </w:r>
      <w:r w:rsidR="002E73BE">
        <w:t>“</w:t>
      </w:r>
      <w:r w:rsidR="00BD460A">
        <w:t>will be done in due course</w:t>
      </w:r>
      <w:r w:rsidR="00FC7C90">
        <w:t>.’</w:t>
      </w:r>
      <w:r w:rsidR="00BD460A">
        <w:t xml:space="preserve">  </w:t>
      </w:r>
      <w:r w:rsidR="003D231C">
        <w:t>I</w:t>
      </w:r>
      <w:r w:rsidR="00BD460A">
        <w:t xml:space="preserve">t is noteworthy that </w:t>
      </w:r>
      <w:r w:rsidR="00E020BE">
        <w:t>although he disputed the valuation</w:t>
      </w:r>
      <w:r w:rsidR="001A122F">
        <w:t xml:space="preserve">, he failed to even raise a counterclaim. </w:t>
      </w:r>
      <w:r w:rsidR="00BD460A">
        <w:t xml:space="preserve">In my view this is a critical issue, as the respondent is contractually bound to the method of calculation.  </w:t>
      </w:r>
      <w:r w:rsidR="001A122F">
        <w:t xml:space="preserve"> </w:t>
      </w:r>
    </w:p>
    <w:p w14:paraId="1FB5354B" w14:textId="2269AD1F" w:rsidR="001A122F" w:rsidRDefault="009769F3" w:rsidP="009769F3">
      <w:pPr>
        <w:pStyle w:val="ListLevel1"/>
        <w:numPr>
          <w:ilvl w:val="0"/>
          <w:numId w:val="0"/>
        </w:numPr>
        <w:tabs>
          <w:tab w:val="left" w:pos="851"/>
        </w:tabs>
        <w:ind w:left="851" w:hanging="851"/>
      </w:pPr>
      <w:r>
        <w:t>70.</w:t>
      </w:r>
      <w:r>
        <w:tab/>
      </w:r>
      <w:r w:rsidR="001A122F">
        <w:t xml:space="preserve">I am not persuaded that he has not been able to afford legal services.  He was represented on each of the occasions when he applied for postponements and it is not disputed that at his hearing before the CCMA, </w:t>
      </w:r>
      <w:r w:rsidR="00FC7C90">
        <w:t>senior counsel represented him</w:t>
      </w:r>
      <w:r w:rsidR="001A122F">
        <w:t xml:space="preserve">.  It is noteworthy that despite the legal costs, he failed to appear for this hearing before that forum.  </w:t>
      </w:r>
      <w:r w:rsidR="00763F15">
        <w:t>Moreover,</w:t>
      </w:r>
      <w:r w:rsidR="00BD460A">
        <w:t xml:space="preserve"> </w:t>
      </w:r>
      <w:r w:rsidR="001A122F">
        <w:t>the first respondent fails to file confirmatory papers from persons who may have paid for his legal fees</w:t>
      </w:r>
      <w:r w:rsidR="00BD460A">
        <w:t xml:space="preserve"> as he alleged.</w:t>
      </w:r>
    </w:p>
    <w:p w14:paraId="05CA401D" w14:textId="5D4E5D99" w:rsidR="001A122F" w:rsidRDefault="009769F3" w:rsidP="009769F3">
      <w:pPr>
        <w:pStyle w:val="ListLevel1"/>
        <w:numPr>
          <w:ilvl w:val="0"/>
          <w:numId w:val="0"/>
        </w:numPr>
        <w:tabs>
          <w:tab w:val="left" w:pos="851"/>
        </w:tabs>
        <w:ind w:left="851" w:hanging="851"/>
      </w:pPr>
      <w:r>
        <w:t>71.</w:t>
      </w:r>
      <w:r>
        <w:tab/>
      </w:r>
      <w:r w:rsidR="001A122F">
        <w:t xml:space="preserve">In </w:t>
      </w:r>
      <w:r w:rsidR="001A122F" w:rsidRPr="000E17B4">
        <w:rPr>
          <w:b/>
          <w:bCs/>
        </w:rPr>
        <w:t>TAKE AND SAVE TRADING CC AND OTHERS v STANDARD BANK OF SA LTD</w:t>
      </w:r>
      <w:r w:rsidR="001A122F">
        <w:rPr>
          <w:rStyle w:val="FootnoteReference"/>
          <w:rFonts w:cs="Arial"/>
        </w:rPr>
        <w:footnoteReference w:id="10"/>
      </w:r>
      <w:r w:rsidR="001A122F">
        <w:t xml:space="preserve">, Harms JA, referred to </w:t>
      </w:r>
      <w:r w:rsidR="00564C74">
        <w:t>tactics</w:t>
      </w:r>
      <w:r w:rsidR="001A122F">
        <w:t xml:space="preserve"> sometimes employed by litigants, for example</w:t>
      </w:r>
      <w:r w:rsidR="00564C74">
        <w:t>,</w:t>
      </w:r>
      <w:r w:rsidR="001A122F">
        <w:t xml:space="preserve"> when a party terminates a mandate deliberately so that a court is obliged to grant a postponement, </w:t>
      </w:r>
      <w:r w:rsidR="00564C74">
        <w:t xml:space="preserve">and </w:t>
      </w:r>
      <w:r w:rsidR="001A122F">
        <w:t xml:space="preserve">stated: </w:t>
      </w:r>
    </w:p>
    <w:p w14:paraId="3B0A3F0D" w14:textId="539F22FA" w:rsidR="001A122F" w:rsidRDefault="00FC7C90" w:rsidP="001A122F">
      <w:pPr>
        <w:pStyle w:val="MSQuote"/>
      </w:pPr>
      <w:r>
        <w:t>“judicial</w:t>
      </w:r>
      <w:r w:rsidR="001A122F" w:rsidRPr="00433511">
        <w:t xml:space="preserve"> officers have a duty to the court system, their colleagues, the public and the parties to ensure that this abuse is curbed by in suitable cases refusing a postponement</w:t>
      </w:r>
      <w:r w:rsidR="001A122F">
        <w:t xml:space="preserve">.”  </w:t>
      </w:r>
    </w:p>
    <w:p w14:paraId="13219723" w14:textId="3F8E9DF4" w:rsidR="001A122F" w:rsidRDefault="009769F3" w:rsidP="009769F3">
      <w:pPr>
        <w:pStyle w:val="ListLevel1"/>
        <w:numPr>
          <w:ilvl w:val="0"/>
          <w:numId w:val="0"/>
        </w:numPr>
        <w:tabs>
          <w:tab w:val="left" w:pos="851"/>
        </w:tabs>
        <w:ind w:left="851" w:hanging="851"/>
      </w:pPr>
      <w:r>
        <w:lastRenderedPageBreak/>
        <w:t>72.</w:t>
      </w:r>
      <w:r>
        <w:tab/>
      </w:r>
      <w:r w:rsidR="001A122F" w:rsidRPr="00433511">
        <w:t xml:space="preserve">A lack of funds defence could </w:t>
      </w:r>
      <w:r w:rsidR="00FC7C90" w:rsidRPr="00433511">
        <w:t>fall</w:t>
      </w:r>
      <w:r w:rsidR="001A122F" w:rsidRPr="00433511">
        <w:t xml:space="preserve"> into this category.</w:t>
      </w:r>
      <w:r w:rsidR="001A122F">
        <w:t xml:space="preserve">  There was no evidence before this court that the attorneys acted pro bono.  They must have been placed in funds.</w:t>
      </w:r>
      <w:r w:rsidR="00763F15">
        <w:t xml:space="preserve">  </w:t>
      </w:r>
    </w:p>
    <w:p w14:paraId="0AAFE326" w14:textId="74D58CFC" w:rsidR="001A122F" w:rsidRDefault="009769F3" w:rsidP="009769F3">
      <w:pPr>
        <w:pStyle w:val="ListLevel1"/>
        <w:numPr>
          <w:ilvl w:val="0"/>
          <w:numId w:val="0"/>
        </w:numPr>
        <w:tabs>
          <w:tab w:val="left" w:pos="851"/>
        </w:tabs>
        <w:ind w:left="851" w:hanging="851"/>
      </w:pPr>
      <w:r>
        <w:t>73.</w:t>
      </w:r>
      <w:r>
        <w:tab/>
      </w:r>
      <w:r w:rsidR="001A122F">
        <w:t xml:space="preserve">I cannot find it is in the interest of justice that the matter be further postponed, but </w:t>
      </w:r>
      <w:r w:rsidR="00FC7C90">
        <w:t>that</w:t>
      </w:r>
      <w:r w:rsidR="001A122F">
        <w:t xml:space="preserve"> it be finalised.</w:t>
      </w:r>
    </w:p>
    <w:p w14:paraId="04A62781" w14:textId="230E40B8" w:rsidR="006379FF" w:rsidRDefault="009769F3" w:rsidP="009769F3">
      <w:pPr>
        <w:pStyle w:val="ListLevel1"/>
        <w:numPr>
          <w:ilvl w:val="0"/>
          <w:numId w:val="0"/>
        </w:numPr>
        <w:tabs>
          <w:tab w:val="left" w:pos="851"/>
        </w:tabs>
        <w:ind w:left="851" w:hanging="851"/>
      </w:pPr>
      <w:r>
        <w:t>74.</w:t>
      </w:r>
      <w:r>
        <w:tab/>
      </w:r>
      <w:r w:rsidR="00763F15">
        <w:t xml:space="preserve">Having regard to the requirements set out in </w:t>
      </w:r>
      <w:r w:rsidR="00564C74" w:rsidRPr="002E73BE">
        <w:rPr>
          <w:b/>
          <w:bCs/>
        </w:rPr>
        <w:t xml:space="preserve">MYBURG </w:t>
      </w:r>
      <w:r w:rsidR="00FC7C90" w:rsidRPr="002E73BE">
        <w:rPr>
          <w:b/>
          <w:bCs/>
        </w:rPr>
        <w:t>TRANSPORT</w:t>
      </w:r>
      <w:r w:rsidR="00FC7C90">
        <w:t xml:space="preserve"> supra</w:t>
      </w:r>
      <w:r w:rsidR="00763F15">
        <w:t>, the</w:t>
      </w:r>
      <w:r w:rsidR="006379FF">
        <w:t xml:space="preserve"> application for postponement was not timeously brought, including on the last two occasions.  On all three occasions the applications were brought on the morning of the hearing of the matter.</w:t>
      </w:r>
      <w:r w:rsidR="000A5BCD">
        <w:t xml:space="preserve">  Notices of set down were served on his attorneys on every occasion.</w:t>
      </w:r>
    </w:p>
    <w:p w14:paraId="1B46AF4A" w14:textId="1C772D36" w:rsidR="006379FF" w:rsidRDefault="009769F3" w:rsidP="009769F3">
      <w:pPr>
        <w:pStyle w:val="ListLevel1"/>
        <w:numPr>
          <w:ilvl w:val="0"/>
          <w:numId w:val="0"/>
        </w:numPr>
        <w:tabs>
          <w:tab w:val="left" w:pos="851"/>
        </w:tabs>
        <w:ind w:left="851" w:hanging="851"/>
      </w:pPr>
      <w:r>
        <w:t>75.</w:t>
      </w:r>
      <w:r>
        <w:tab/>
      </w:r>
      <w:r w:rsidR="006379FF">
        <w:t xml:space="preserve"> In my view the respondent does not have prospects of success particularly</w:t>
      </w:r>
      <w:r w:rsidR="003D231C">
        <w:t>,</w:t>
      </w:r>
      <w:r w:rsidR="006379FF">
        <w:t xml:space="preserve"> in that the claim is founded in contract and he does no</w:t>
      </w:r>
      <w:r w:rsidR="00564C74">
        <w:t>t</w:t>
      </w:r>
      <w:r w:rsidR="006379FF">
        <w:t xml:space="preserve"> dispute the terms of that contract.  </w:t>
      </w:r>
      <w:r w:rsidR="009551A2">
        <w:t>A further postponement will not assist the respondent.</w:t>
      </w:r>
    </w:p>
    <w:p w14:paraId="1B3FD914" w14:textId="55C90950" w:rsidR="00BD460A" w:rsidRDefault="009769F3" w:rsidP="009769F3">
      <w:pPr>
        <w:pStyle w:val="ListLevel1"/>
        <w:numPr>
          <w:ilvl w:val="0"/>
          <w:numId w:val="0"/>
        </w:numPr>
        <w:tabs>
          <w:tab w:val="left" w:pos="851"/>
        </w:tabs>
        <w:ind w:left="851" w:hanging="851"/>
      </w:pPr>
      <w:r>
        <w:t>76.</w:t>
      </w:r>
      <w:r>
        <w:tab/>
      </w:r>
      <w:r w:rsidR="006379FF">
        <w:t>In casu both the applicants and the 2</w:t>
      </w:r>
      <w:r w:rsidR="006379FF" w:rsidRPr="006379FF">
        <w:rPr>
          <w:vertAlign w:val="superscript"/>
        </w:rPr>
        <w:t>nd</w:t>
      </w:r>
      <w:r w:rsidR="006379FF">
        <w:t xml:space="preserve"> to 4</w:t>
      </w:r>
      <w:r w:rsidR="006379FF" w:rsidRPr="006379FF">
        <w:rPr>
          <w:vertAlign w:val="superscript"/>
        </w:rPr>
        <w:t>th</w:t>
      </w:r>
      <w:r w:rsidR="006379FF">
        <w:t xml:space="preserve"> respondents </w:t>
      </w:r>
      <w:r w:rsidR="00564C74">
        <w:t>are prejudiced</w:t>
      </w:r>
      <w:r w:rsidR="006379FF">
        <w:t xml:space="preserve"> </w:t>
      </w:r>
      <w:r w:rsidR="009551A2">
        <w:t>by</w:t>
      </w:r>
      <w:r w:rsidR="006379FF">
        <w:t xml:space="preserve"> the long delay in this matter due to the various postponements.</w:t>
      </w:r>
    </w:p>
    <w:p w14:paraId="0237E68A" w14:textId="5321E131" w:rsidR="006379FF" w:rsidRDefault="009769F3" w:rsidP="009769F3">
      <w:pPr>
        <w:pStyle w:val="ListLevel1"/>
        <w:numPr>
          <w:ilvl w:val="0"/>
          <w:numId w:val="0"/>
        </w:numPr>
        <w:tabs>
          <w:tab w:val="left" w:pos="851"/>
        </w:tabs>
        <w:ind w:left="851" w:hanging="851"/>
      </w:pPr>
      <w:r>
        <w:t>77.</w:t>
      </w:r>
      <w:r>
        <w:tab/>
      </w:r>
      <w:r w:rsidR="006379FF">
        <w:t xml:space="preserve">An order for costs as compensation for the prejudice suffered, is </w:t>
      </w:r>
      <w:r w:rsidR="00564C74">
        <w:t xml:space="preserve">of no more </w:t>
      </w:r>
      <w:r w:rsidR="006379FF">
        <w:t xml:space="preserve">in casu, the respondent has failed to pay a taxed bill for costs.  </w:t>
      </w:r>
      <w:r w:rsidR="009551A2">
        <w:t xml:space="preserve"> </w:t>
      </w:r>
    </w:p>
    <w:p w14:paraId="2E2F0B63" w14:textId="56C15D37" w:rsidR="009551A2" w:rsidRDefault="009769F3" w:rsidP="009769F3">
      <w:pPr>
        <w:pStyle w:val="ListLevel1"/>
        <w:numPr>
          <w:ilvl w:val="0"/>
          <w:numId w:val="0"/>
        </w:numPr>
        <w:tabs>
          <w:tab w:val="left" w:pos="851"/>
        </w:tabs>
        <w:ind w:left="851" w:hanging="851"/>
      </w:pPr>
      <w:r>
        <w:lastRenderedPageBreak/>
        <w:t>78.</w:t>
      </w:r>
      <w:r>
        <w:tab/>
      </w:r>
      <w:r w:rsidR="009551A2">
        <w:t>Accordingly, the application for postponement must fail</w:t>
      </w:r>
      <w:r w:rsidR="003D231C">
        <w:t xml:space="preserve">. The application is </w:t>
      </w:r>
      <w:r w:rsidR="009551A2">
        <w:t>refused.</w:t>
      </w:r>
    </w:p>
    <w:p w14:paraId="18A9DC95" w14:textId="3938E54C" w:rsidR="001A122F" w:rsidRDefault="009769F3" w:rsidP="009769F3">
      <w:pPr>
        <w:pStyle w:val="ListLevel1"/>
        <w:numPr>
          <w:ilvl w:val="0"/>
          <w:numId w:val="0"/>
        </w:numPr>
        <w:tabs>
          <w:tab w:val="left" w:pos="851"/>
        </w:tabs>
        <w:ind w:left="851" w:hanging="851"/>
      </w:pPr>
      <w:r>
        <w:t>79.</w:t>
      </w:r>
      <w:r>
        <w:tab/>
      </w:r>
      <w:r w:rsidR="001A122F">
        <w:t>Miltz SC proceeded on a default basis and submitted that the first respondent’s shares were assessed according to the formula agreed to in the shareholders agreements</w:t>
      </w:r>
      <w:r w:rsidR="009551A2">
        <w:t xml:space="preserve">.  He </w:t>
      </w:r>
      <w:r w:rsidR="001A122F">
        <w:t>identified the portions held as, 26% in the 2</w:t>
      </w:r>
      <w:r w:rsidR="001A122F" w:rsidRPr="002C0271">
        <w:rPr>
          <w:vertAlign w:val="superscript"/>
        </w:rPr>
        <w:t>nd</w:t>
      </w:r>
      <w:r w:rsidR="001A122F">
        <w:t xml:space="preserve"> respondent, 33 1/3 % in 3</w:t>
      </w:r>
      <w:r w:rsidR="001A122F" w:rsidRPr="002C0271">
        <w:rPr>
          <w:vertAlign w:val="superscript"/>
        </w:rPr>
        <w:t>rd</w:t>
      </w:r>
      <w:r w:rsidR="001A122F">
        <w:t xml:space="preserve"> respondent (in terms of a restitution clause, however first respondent did not pay for any shares, these were calculated by the same method as the other shares for a value of R290 000) and 26% in the 4</w:t>
      </w:r>
      <w:r w:rsidR="001A122F" w:rsidRPr="007B67F8">
        <w:rPr>
          <w:vertAlign w:val="superscript"/>
        </w:rPr>
        <w:t>th</w:t>
      </w:r>
      <w:r w:rsidR="001A122F">
        <w:t xml:space="preserve"> respondent.</w:t>
      </w:r>
      <w:r w:rsidR="00850E70">
        <w:rPr>
          <w:rStyle w:val="FootnoteReference"/>
        </w:rPr>
        <w:footnoteReference w:id="11"/>
      </w:r>
      <w:r w:rsidR="00491997">
        <w:t xml:space="preserve">  </w:t>
      </w:r>
      <w:r w:rsidR="00515839">
        <w:t>Counsel directed the court to t</w:t>
      </w:r>
      <w:r w:rsidR="00491997">
        <w:t>he purchase of the respondent’s shares in terms of the deemed offer</w:t>
      </w:r>
      <w:r w:rsidR="00515839">
        <w:t xml:space="preserve"> in clause 16.1</w:t>
      </w:r>
      <w:r w:rsidR="00515839">
        <w:rPr>
          <w:rStyle w:val="FootnoteReference"/>
        </w:rPr>
        <w:footnoteReference w:id="12"/>
      </w:r>
      <w:r w:rsidR="00515839">
        <w:t xml:space="preserve"> and the assessed values</w:t>
      </w:r>
      <w:r w:rsidR="00110C77">
        <w:t>.</w:t>
      </w:r>
    </w:p>
    <w:p w14:paraId="1F9A477E" w14:textId="7DA83652" w:rsidR="00110C77" w:rsidRDefault="009769F3" w:rsidP="009769F3">
      <w:pPr>
        <w:pStyle w:val="ListLevel1"/>
        <w:numPr>
          <w:ilvl w:val="0"/>
          <w:numId w:val="0"/>
        </w:numPr>
        <w:tabs>
          <w:tab w:val="left" w:pos="851"/>
        </w:tabs>
        <w:ind w:left="851" w:hanging="851"/>
      </w:pPr>
      <w:r>
        <w:t>80.</w:t>
      </w:r>
      <w:r>
        <w:tab/>
      </w:r>
      <w:r w:rsidR="00850E70">
        <w:t>The applicants relied on several breaches to constitute prejudicial conduct in terms of s163 of the Companies Act 71 of 2008</w:t>
      </w:r>
      <w:r w:rsidR="00564C74">
        <w:t>,</w:t>
      </w:r>
      <w:r w:rsidR="00850E70">
        <w:rPr>
          <w:rStyle w:val="FootnoteReference"/>
        </w:rPr>
        <w:footnoteReference w:id="13"/>
      </w:r>
      <w:r w:rsidR="00564C74">
        <w:t xml:space="preserve"> and submitted that the applicants need to be protected.</w:t>
      </w:r>
    </w:p>
    <w:p w14:paraId="41F8FAC4" w14:textId="05B356A6" w:rsidR="000A5BCD" w:rsidRDefault="009769F3" w:rsidP="009769F3">
      <w:pPr>
        <w:pStyle w:val="ListLevel1"/>
        <w:numPr>
          <w:ilvl w:val="0"/>
          <w:numId w:val="0"/>
        </w:numPr>
        <w:tabs>
          <w:tab w:val="left" w:pos="851"/>
        </w:tabs>
        <w:ind w:left="851" w:hanging="851"/>
      </w:pPr>
      <w:r>
        <w:t>81.</w:t>
      </w:r>
      <w:r>
        <w:tab/>
      </w:r>
      <w:r w:rsidR="000A5BCD">
        <w:t>The values of the shares in each of the 2</w:t>
      </w:r>
      <w:r w:rsidR="000A5BCD" w:rsidRPr="000A5BCD">
        <w:rPr>
          <w:vertAlign w:val="superscript"/>
        </w:rPr>
        <w:t>nd</w:t>
      </w:r>
      <w:r w:rsidR="000A5BCD">
        <w:t xml:space="preserve"> to 4</w:t>
      </w:r>
      <w:r w:rsidR="000A5BCD" w:rsidRPr="000A5BCD">
        <w:rPr>
          <w:vertAlign w:val="superscript"/>
        </w:rPr>
        <w:t>th</w:t>
      </w:r>
      <w:r w:rsidR="000A5BCD">
        <w:t xml:space="preserve"> respondents was confirmed to the court.</w:t>
      </w:r>
    </w:p>
    <w:p w14:paraId="15A550F8" w14:textId="3C345CD1" w:rsidR="001A122F" w:rsidRDefault="001A122F" w:rsidP="001A122F">
      <w:pPr>
        <w:pStyle w:val="ListLevel1"/>
        <w:numPr>
          <w:ilvl w:val="0"/>
          <w:numId w:val="0"/>
        </w:numPr>
      </w:pPr>
      <w:r>
        <w:lastRenderedPageBreak/>
        <w:t xml:space="preserve">I make the following order:  </w:t>
      </w:r>
    </w:p>
    <w:p w14:paraId="022009D2" w14:textId="7F875420" w:rsidR="001A122F" w:rsidRDefault="009769F3" w:rsidP="009769F3">
      <w:pPr>
        <w:pStyle w:val="ListLevel1"/>
        <w:numPr>
          <w:ilvl w:val="0"/>
          <w:numId w:val="0"/>
        </w:numPr>
        <w:tabs>
          <w:tab w:val="left" w:pos="851"/>
        </w:tabs>
        <w:ind w:left="851" w:hanging="851"/>
      </w:pPr>
      <w:r>
        <w:t>1.</w:t>
      </w:r>
      <w:r>
        <w:tab/>
      </w:r>
      <w:r w:rsidR="001A122F">
        <w:t>The first respondent’s defence is struck.</w:t>
      </w:r>
    </w:p>
    <w:p w14:paraId="22257AF5" w14:textId="56972585" w:rsidR="001A122F" w:rsidRDefault="009769F3" w:rsidP="009769F3">
      <w:pPr>
        <w:pStyle w:val="ListLevel1"/>
        <w:numPr>
          <w:ilvl w:val="0"/>
          <w:numId w:val="0"/>
        </w:numPr>
        <w:tabs>
          <w:tab w:val="left" w:pos="851"/>
        </w:tabs>
        <w:ind w:left="851" w:hanging="851"/>
      </w:pPr>
      <w:r>
        <w:t>2.</w:t>
      </w:r>
      <w:r>
        <w:tab/>
      </w:r>
      <w:r w:rsidR="001A122F">
        <w:t xml:space="preserve">The order as </w:t>
      </w:r>
      <w:r w:rsidR="00110C77">
        <w:t xml:space="preserve">appears at caselines 0001-9 </w:t>
      </w:r>
      <w:r w:rsidR="001A122F">
        <w:t>is granted.</w:t>
      </w:r>
    </w:p>
    <w:p w14:paraId="12EACF4B" w14:textId="38740957" w:rsidR="001A122F" w:rsidRDefault="009769F3" w:rsidP="009769F3">
      <w:pPr>
        <w:pStyle w:val="ListLevel1"/>
        <w:numPr>
          <w:ilvl w:val="0"/>
          <w:numId w:val="0"/>
        </w:numPr>
        <w:tabs>
          <w:tab w:val="left" w:pos="851"/>
        </w:tabs>
        <w:ind w:left="851" w:hanging="851"/>
      </w:pPr>
      <w:r>
        <w:t>3.</w:t>
      </w:r>
      <w:r>
        <w:tab/>
      </w:r>
      <w:r w:rsidR="001A122F">
        <w:t>The first respondent shall pay the costs of Senior Counsel on an attorney client scale.</w:t>
      </w:r>
    </w:p>
    <w:p w14:paraId="551F22E6" w14:textId="77777777" w:rsidR="001A122F" w:rsidRDefault="001A122F" w:rsidP="001A122F">
      <w:pPr>
        <w:pStyle w:val="ListParagraph"/>
        <w:spacing w:line="480" w:lineRule="auto"/>
        <w:jc w:val="both"/>
        <w:rPr>
          <w:rFonts w:ascii="Arial" w:hAnsi="Arial" w:cs="Arial"/>
        </w:rPr>
      </w:pPr>
    </w:p>
    <w:p w14:paraId="4632BDF7" w14:textId="3DB5BB6C" w:rsidR="0045222A" w:rsidRDefault="0045222A" w:rsidP="0045222A">
      <w:pPr>
        <w:spacing w:line="480" w:lineRule="auto"/>
        <w:rPr>
          <w:rFonts w:ascii="Arial" w:hAnsi="Arial" w:cs="Arial"/>
          <w:sz w:val="24"/>
          <w:szCs w:val="24"/>
        </w:rPr>
      </w:pPr>
    </w:p>
    <w:p w14:paraId="23AE890B" w14:textId="77777777" w:rsidR="0045222A" w:rsidRDefault="0045222A" w:rsidP="00252D88">
      <w:pPr>
        <w:spacing w:after="0" w:line="240" w:lineRule="auto"/>
        <w:rPr>
          <w:rFonts w:ascii="Arial" w:hAnsi="Arial" w:cs="Arial"/>
          <w:sz w:val="24"/>
          <w:szCs w:val="24"/>
        </w:rPr>
      </w:pPr>
      <w:r>
        <w:rPr>
          <w:rFonts w:ascii="Arial" w:hAnsi="Arial" w:cs="Arial"/>
          <w:sz w:val="24"/>
          <w:szCs w:val="24"/>
        </w:rPr>
        <w:t>__________</w:t>
      </w:r>
    </w:p>
    <w:p w14:paraId="79CC3C71" w14:textId="0B32A2A2" w:rsidR="0045222A" w:rsidRDefault="0045222A" w:rsidP="00252D88">
      <w:pPr>
        <w:spacing w:after="0" w:line="240" w:lineRule="auto"/>
        <w:rPr>
          <w:rFonts w:ascii="Arial" w:hAnsi="Arial" w:cs="Arial"/>
          <w:b/>
          <w:bCs/>
          <w:sz w:val="24"/>
          <w:szCs w:val="24"/>
        </w:rPr>
      </w:pPr>
      <w:r w:rsidRPr="008B3028">
        <w:rPr>
          <w:rFonts w:ascii="Arial" w:hAnsi="Arial" w:cs="Arial"/>
          <w:b/>
          <w:bCs/>
          <w:sz w:val="24"/>
          <w:szCs w:val="24"/>
        </w:rPr>
        <w:t>MAHOMED AJ</w:t>
      </w:r>
    </w:p>
    <w:p w14:paraId="14B36DE4" w14:textId="77777777" w:rsidR="00252D88" w:rsidRPr="00980139" w:rsidRDefault="00252D88" w:rsidP="00252D88">
      <w:pPr>
        <w:pStyle w:val="ListLevel1"/>
        <w:numPr>
          <w:ilvl w:val="0"/>
          <w:numId w:val="0"/>
        </w:numPr>
        <w:spacing w:after="0" w:line="240" w:lineRule="auto"/>
        <w:rPr>
          <w:rFonts w:cs="Arial"/>
          <w:sz w:val="24"/>
          <w:szCs w:val="24"/>
        </w:rPr>
      </w:pPr>
      <w:r w:rsidRPr="00980139">
        <w:rPr>
          <w:rFonts w:cs="Arial"/>
          <w:sz w:val="24"/>
          <w:szCs w:val="24"/>
        </w:rPr>
        <w:t>Acting Judge of the High Court</w:t>
      </w:r>
    </w:p>
    <w:p w14:paraId="428B7C06" w14:textId="77777777" w:rsidR="00252D88" w:rsidRPr="00980139" w:rsidRDefault="00252D88" w:rsidP="00252D88">
      <w:pPr>
        <w:pStyle w:val="ListLevel1"/>
        <w:numPr>
          <w:ilvl w:val="0"/>
          <w:numId w:val="0"/>
        </w:numPr>
        <w:spacing w:after="0" w:line="240" w:lineRule="auto"/>
        <w:rPr>
          <w:rFonts w:cs="Arial"/>
          <w:sz w:val="24"/>
          <w:szCs w:val="24"/>
        </w:rPr>
      </w:pPr>
    </w:p>
    <w:p w14:paraId="7C21D4DB" w14:textId="77777777" w:rsidR="00252D88" w:rsidRPr="00980139" w:rsidRDefault="00252D88" w:rsidP="00252D88">
      <w:pPr>
        <w:pStyle w:val="ListLevel1"/>
        <w:numPr>
          <w:ilvl w:val="0"/>
          <w:numId w:val="0"/>
        </w:numPr>
        <w:spacing w:after="0" w:line="240" w:lineRule="auto"/>
        <w:rPr>
          <w:rFonts w:cs="Arial"/>
          <w:sz w:val="24"/>
          <w:szCs w:val="24"/>
        </w:rPr>
      </w:pPr>
    </w:p>
    <w:p w14:paraId="38EFDE3B" w14:textId="72BF379F" w:rsidR="00252D88" w:rsidRDefault="00252D88" w:rsidP="00252D88">
      <w:pPr>
        <w:pStyle w:val="ListLevel1"/>
        <w:numPr>
          <w:ilvl w:val="0"/>
          <w:numId w:val="0"/>
        </w:numPr>
        <w:spacing w:after="0"/>
        <w:rPr>
          <w:rFonts w:cs="Arial"/>
          <w:sz w:val="24"/>
          <w:szCs w:val="24"/>
        </w:rPr>
      </w:pPr>
      <w:r w:rsidRPr="00980139">
        <w:rPr>
          <w:rFonts w:cs="Arial"/>
          <w:sz w:val="24"/>
          <w:szCs w:val="24"/>
        </w:rPr>
        <w:t xml:space="preserve">This judgment was prepared and authored by Acting Judge Mahomed. It is handed down electronically by circulation to the parties or their legal representatives by email and by uploading it to the electronic file of this matter on Caselines.  The date for hand-down is deemed to be </w:t>
      </w:r>
      <w:r w:rsidR="00E0148D">
        <w:rPr>
          <w:rFonts w:cs="Arial"/>
          <w:sz w:val="24"/>
          <w:szCs w:val="24"/>
        </w:rPr>
        <w:t>2</w:t>
      </w:r>
      <w:r w:rsidR="00947B5C">
        <w:rPr>
          <w:rFonts w:cs="Arial"/>
          <w:sz w:val="24"/>
          <w:szCs w:val="24"/>
        </w:rPr>
        <w:t>4</w:t>
      </w:r>
      <w:r w:rsidR="00E0148D">
        <w:rPr>
          <w:rFonts w:cs="Arial"/>
          <w:sz w:val="24"/>
          <w:szCs w:val="24"/>
        </w:rPr>
        <w:t xml:space="preserve"> October</w:t>
      </w:r>
      <w:r w:rsidRPr="00980139">
        <w:rPr>
          <w:rFonts w:cs="Arial"/>
          <w:sz w:val="24"/>
          <w:szCs w:val="24"/>
        </w:rPr>
        <w:t xml:space="preserve"> 2022.</w:t>
      </w:r>
    </w:p>
    <w:p w14:paraId="7B87A82B" w14:textId="1E4B7674" w:rsidR="00E0148D" w:rsidRDefault="00E0148D" w:rsidP="00252D88">
      <w:pPr>
        <w:pStyle w:val="ListLevel1"/>
        <w:numPr>
          <w:ilvl w:val="0"/>
          <w:numId w:val="0"/>
        </w:numPr>
        <w:spacing w:after="0"/>
        <w:rPr>
          <w:rFonts w:cs="Arial"/>
          <w:sz w:val="24"/>
          <w:szCs w:val="24"/>
        </w:rPr>
      </w:pPr>
    </w:p>
    <w:p w14:paraId="500C0B4B" w14:textId="560C1EA5" w:rsidR="00E0148D" w:rsidRDefault="00E0148D" w:rsidP="00252D88">
      <w:pPr>
        <w:pStyle w:val="ListLevel1"/>
        <w:numPr>
          <w:ilvl w:val="0"/>
          <w:numId w:val="0"/>
        </w:numPr>
        <w:spacing w:after="0"/>
        <w:rPr>
          <w:rFonts w:cs="Arial"/>
          <w:sz w:val="24"/>
          <w:szCs w:val="24"/>
        </w:rPr>
      </w:pPr>
      <w:r>
        <w:rPr>
          <w:rFonts w:cs="Arial"/>
          <w:sz w:val="24"/>
          <w:szCs w:val="24"/>
        </w:rPr>
        <w:t>Date of hearing:</w:t>
      </w:r>
      <w:r w:rsidR="00947B5C">
        <w:rPr>
          <w:rFonts w:cs="Arial"/>
          <w:sz w:val="24"/>
          <w:szCs w:val="24"/>
        </w:rPr>
        <w:tab/>
      </w:r>
      <w:r w:rsidR="00947B5C">
        <w:rPr>
          <w:rFonts w:cs="Arial"/>
          <w:sz w:val="24"/>
          <w:szCs w:val="24"/>
        </w:rPr>
        <w:tab/>
        <w:t>5 September 2022</w:t>
      </w:r>
    </w:p>
    <w:p w14:paraId="109CB6B2" w14:textId="5171DD41" w:rsidR="00E0148D" w:rsidRPr="00980139" w:rsidRDefault="00E0148D" w:rsidP="00252D88">
      <w:pPr>
        <w:pStyle w:val="ListLevel1"/>
        <w:numPr>
          <w:ilvl w:val="0"/>
          <w:numId w:val="0"/>
        </w:numPr>
        <w:spacing w:after="0"/>
        <w:rPr>
          <w:rFonts w:cs="Arial"/>
          <w:sz w:val="24"/>
          <w:szCs w:val="24"/>
        </w:rPr>
      </w:pPr>
      <w:r>
        <w:rPr>
          <w:rFonts w:cs="Arial"/>
          <w:sz w:val="24"/>
          <w:szCs w:val="24"/>
        </w:rPr>
        <w:t>Date of Judgment:</w:t>
      </w:r>
      <w:r>
        <w:rPr>
          <w:rFonts w:cs="Arial"/>
          <w:sz w:val="24"/>
          <w:szCs w:val="24"/>
        </w:rPr>
        <w:tab/>
      </w:r>
      <w:r>
        <w:rPr>
          <w:rFonts w:cs="Arial"/>
          <w:sz w:val="24"/>
          <w:szCs w:val="24"/>
        </w:rPr>
        <w:tab/>
        <w:t>2</w:t>
      </w:r>
      <w:r w:rsidR="00947B5C">
        <w:rPr>
          <w:rFonts w:cs="Arial"/>
          <w:sz w:val="24"/>
          <w:szCs w:val="24"/>
        </w:rPr>
        <w:t>4</w:t>
      </w:r>
      <w:r>
        <w:rPr>
          <w:rFonts w:cs="Arial"/>
          <w:sz w:val="24"/>
          <w:szCs w:val="24"/>
        </w:rPr>
        <w:t xml:space="preserve"> October 2022</w:t>
      </w:r>
    </w:p>
    <w:p w14:paraId="6471C3E5" w14:textId="51CA17B8" w:rsidR="00252D88" w:rsidRDefault="00252D88" w:rsidP="00252D88">
      <w:pPr>
        <w:spacing w:after="0"/>
        <w:rPr>
          <w:rFonts w:ascii="Arial" w:hAnsi="Arial" w:cs="Arial"/>
          <w:b/>
          <w:bCs/>
          <w:sz w:val="24"/>
          <w:szCs w:val="24"/>
        </w:rPr>
      </w:pPr>
    </w:p>
    <w:p w14:paraId="2D9AFCF6" w14:textId="77777777" w:rsidR="001A122F" w:rsidRPr="001A122F" w:rsidRDefault="001A122F" w:rsidP="001A122F">
      <w:pPr>
        <w:spacing w:line="480" w:lineRule="auto"/>
        <w:rPr>
          <w:rFonts w:ascii="Arial" w:hAnsi="Arial" w:cs="Arial"/>
          <w:b/>
          <w:sz w:val="24"/>
          <w:szCs w:val="24"/>
        </w:rPr>
      </w:pPr>
      <w:r w:rsidRPr="001A122F">
        <w:rPr>
          <w:rFonts w:ascii="Arial" w:hAnsi="Arial" w:cs="Arial"/>
          <w:b/>
          <w:sz w:val="24"/>
          <w:szCs w:val="24"/>
        </w:rPr>
        <w:t xml:space="preserve">Appearances </w:t>
      </w:r>
    </w:p>
    <w:p w14:paraId="1C57B670" w14:textId="1275C547" w:rsidR="001A122F" w:rsidRPr="001A122F" w:rsidRDefault="001A122F" w:rsidP="001A122F">
      <w:pPr>
        <w:spacing w:line="480" w:lineRule="auto"/>
        <w:rPr>
          <w:rFonts w:ascii="Arial" w:hAnsi="Arial" w:cs="Arial"/>
          <w:sz w:val="24"/>
          <w:szCs w:val="24"/>
        </w:rPr>
      </w:pPr>
      <w:r w:rsidRPr="001A122F">
        <w:rPr>
          <w:rFonts w:ascii="Arial" w:hAnsi="Arial" w:cs="Arial"/>
          <w:sz w:val="24"/>
          <w:szCs w:val="24"/>
        </w:rPr>
        <w:t>For applicants</w:t>
      </w:r>
      <w:r>
        <w:rPr>
          <w:rFonts w:ascii="Arial" w:hAnsi="Arial" w:cs="Arial"/>
          <w:sz w:val="24"/>
          <w:szCs w:val="24"/>
        </w:rPr>
        <w:t>:</w:t>
      </w:r>
      <w:r>
        <w:rPr>
          <w:rFonts w:ascii="Arial" w:hAnsi="Arial" w:cs="Arial"/>
          <w:sz w:val="24"/>
          <w:szCs w:val="24"/>
        </w:rPr>
        <w:tab/>
      </w:r>
      <w:r>
        <w:rPr>
          <w:rFonts w:ascii="Arial" w:hAnsi="Arial" w:cs="Arial"/>
          <w:sz w:val="24"/>
          <w:szCs w:val="24"/>
        </w:rPr>
        <w:tab/>
      </w:r>
      <w:r w:rsidRPr="001A122F">
        <w:rPr>
          <w:rFonts w:ascii="Arial" w:hAnsi="Arial" w:cs="Arial"/>
          <w:sz w:val="24"/>
          <w:szCs w:val="24"/>
        </w:rPr>
        <w:t xml:space="preserve">Miltz SC </w:t>
      </w:r>
    </w:p>
    <w:p w14:paraId="6BFE9D88" w14:textId="4B1DFA40" w:rsidR="001A122F" w:rsidRPr="001A122F" w:rsidRDefault="001A122F" w:rsidP="001A122F">
      <w:pPr>
        <w:spacing w:line="480" w:lineRule="auto"/>
        <w:rPr>
          <w:rFonts w:ascii="Arial" w:hAnsi="Arial" w:cs="Arial"/>
          <w:sz w:val="24"/>
          <w:szCs w:val="24"/>
        </w:rPr>
      </w:pPr>
      <w:r w:rsidRPr="001A122F">
        <w:rPr>
          <w:rFonts w:ascii="Arial" w:hAnsi="Arial" w:cs="Arial"/>
          <w:sz w:val="24"/>
          <w:szCs w:val="24"/>
        </w:rPr>
        <w:lastRenderedPageBreak/>
        <w:t xml:space="preserve">Instructed by: </w:t>
      </w:r>
      <w:r>
        <w:rPr>
          <w:rFonts w:ascii="Arial" w:hAnsi="Arial" w:cs="Arial"/>
          <w:sz w:val="24"/>
          <w:szCs w:val="24"/>
        </w:rPr>
        <w:tab/>
      </w:r>
      <w:r>
        <w:rPr>
          <w:rFonts w:ascii="Arial" w:hAnsi="Arial" w:cs="Arial"/>
          <w:sz w:val="24"/>
          <w:szCs w:val="24"/>
        </w:rPr>
        <w:tab/>
      </w:r>
      <w:r w:rsidRPr="001A122F">
        <w:rPr>
          <w:rFonts w:ascii="Arial" w:hAnsi="Arial" w:cs="Arial"/>
          <w:sz w:val="24"/>
          <w:szCs w:val="24"/>
        </w:rPr>
        <w:t>G Cohen</w:t>
      </w:r>
    </w:p>
    <w:p w14:paraId="21EE691D" w14:textId="0C81C457" w:rsidR="001A122F" w:rsidRPr="001A122F" w:rsidRDefault="001A122F" w:rsidP="001A122F">
      <w:pPr>
        <w:spacing w:line="480" w:lineRule="auto"/>
        <w:rPr>
          <w:rFonts w:ascii="Arial" w:hAnsi="Arial" w:cs="Arial"/>
          <w:sz w:val="24"/>
          <w:szCs w:val="24"/>
        </w:rPr>
      </w:pPr>
      <w:r w:rsidRPr="001A122F">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Pr="005812DC">
          <w:rPr>
            <w:rStyle w:val="Hyperlink"/>
            <w:rFonts w:ascii="Arial" w:hAnsi="Arial" w:cs="Arial"/>
            <w:sz w:val="24"/>
            <w:szCs w:val="24"/>
          </w:rPr>
          <w:t>gcohenattorney@gmail.com</w:t>
        </w:r>
      </w:hyperlink>
      <w:r w:rsidRPr="001A122F">
        <w:rPr>
          <w:rFonts w:ascii="Arial" w:hAnsi="Arial" w:cs="Arial"/>
          <w:sz w:val="24"/>
          <w:szCs w:val="24"/>
        </w:rPr>
        <w:t xml:space="preserve"> </w:t>
      </w:r>
    </w:p>
    <w:p w14:paraId="77A2076A" w14:textId="1726E0EC" w:rsidR="001A122F" w:rsidRPr="001A122F" w:rsidRDefault="001A122F" w:rsidP="001A122F">
      <w:pPr>
        <w:spacing w:line="480" w:lineRule="auto"/>
        <w:rPr>
          <w:rFonts w:ascii="Arial" w:hAnsi="Arial" w:cs="Arial"/>
          <w:sz w:val="24"/>
          <w:szCs w:val="24"/>
        </w:rPr>
      </w:pPr>
      <w:r w:rsidRPr="001A122F">
        <w:rPr>
          <w:rFonts w:ascii="Arial" w:hAnsi="Arial" w:cs="Arial"/>
          <w:sz w:val="24"/>
          <w:szCs w:val="24"/>
        </w:rPr>
        <w:t>For First Respondent</w:t>
      </w:r>
      <w:r>
        <w:rPr>
          <w:rFonts w:ascii="Arial" w:hAnsi="Arial" w:cs="Arial"/>
          <w:sz w:val="24"/>
          <w:szCs w:val="24"/>
        </w:rPr>
        <w:t xml:space="preserve">: </w:t>
      </w:r>
      <w:r>
        <w:rPr>
          <w:rFonts w:ascii="Arial" w:hAnsi="Arial" w:cs="Arial"/>
          <w:sz w:val="24"/>
          <w:szCs w:val="24"/>
        </w:rPr>
        <w:tab/>
      </w:r>
      <w:r w:rsidRPr="001A122F">
        <w:rPr>
          <w:rFonts w:ascii="Arial" w:hAnsi="Arial" w:cs="Arial"/>
          <w:sz w:val="24"/>
          <w:szCs w:val="24"/>
        </w:rPr>
        <w:t>Advocate F Saint</w:t>
      </w:r>
    </w:p>
    <w:p w14:paraId="1E03567C" w14:textId="7265C557" w:rsidR="001A122F" w:rsidRPr="001A122F" w:rsidRDefault="001A122F" w:rsidP="001A122F">
      <w:pPr>
        <w:spacing w:line="480" w:lineRule="auto"/>
        <w:rPr>
          <w:rFonts w:ascii="Arial" w:hAnsi="Arial" w:cs="Arial"/>
          <w:sz w:val="24"/>
          <w:szCs w:val="24"/>
        </w:rPr>
      </w:pPr>
      <w:r w:rsidRPr="001A122F">
        <w:rPr>
          <w:rFonts w:ascii="Arial" w:hAnsi="Arial" w:cs="Arial"/>
          <w:sz w:val="24"/>
          <w:szCs w:val="24"/>
        </w:rPr>
        <w:t>Instructed by</w:t>
      </w:r>
      <w:r>
        <w:rPr>
          <w:rFonts w:ascii="Arial" w:hAnsi="Arial" w:cs="Arial"/>
          <w:sz w:val="24"/>
          <w:szCs w:val="24"/>
        </w:rPr>
        <w:t>:</w:t>
      </w:r>
      <w:r>
        <w:rPr>
          <w:rFonts w:ascii="Arial" w:hAnsi="Arial" w:cs="Arial"/>
          <w:sz w:val="24"/>
          <w:szCs w:val="24"/>
        </w:rPr>
        <w:tab/>
      </w:r>
      <w:r>
        <w:rPr>
          <w:rFonts w:ascii="Arial" w:hAnsi="Arial" w:cs="Arial"/>
          <w:sz w:val="24"/>
          <w:szCs w:val="24"/>
        </w:rPr>
        <w:tab/>
      </w:r>
      <w:r w:rsidRPr="001A122F">
        <w:rPr>
          <w:rFonts w:ascii="Arial" w:hAnsi="Arial" w:cs="Arial"/>
          <w:sz w:val="24"/>
          <w:szCs w:val="24"/>
        </w:rPr>
        <w:t>Mayet Vittee Inc</w:t>
      </w:r>
    </w:p>
    <w:p w14:paraId="011998F6" w14:textId="409B424B" w:rsidR="001A122F" w:rsidRPr="001A122F" w:rsidRDefault="001A122F" w:rsidP="001A122F">
      <w:pPr>
        <w:spacing w:line="480" w:lineRule="auto"/>
        <w:rPr>
          <w:rFonts w:ascii="Arial" w:hAnsi="Arial" w:cs="Arial"/>
          <w:sz w:val="24"/>
          <w:szCs w:val="24"/>
        </w:rPr>
      </w:pPr>
      <w:r w:rsidRPr="001A122F">
        <w:rPr>
          <w:rFonts w:ascii="Arial" w:hAnsi="Arial" w:cs="Arial"/>
          <w:sz w:val="24"/>
          <w:szCs w:val="24"/>
        </w:rPr>
        <w:t xml:space="preserve">Email: </w:t>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Pr="005812DC">
          <w:rPr>
            <w:rStyle w:val="Hyperlink"/>
            <w:rFonts w:ascii="Arial" w:hAnsi="Arial" w:cs="Arial"/>
            <w:sz w:val="24"/>
            <w:szCs w:val="24"/>
          </w:rPr>
          <w:t>mmayet@mvattorneys.co,za</w:t>
        </w:r>
      </w:hyperlink>
      <w:r w:rsidRPr="001A122F">
        <w:rPr>
          <w:rFonts w:ascii="Arial" w:hAnsi="Arial" w:cs="Arial"/>
          <w:sz w:val="24"/>
          <w:szCs w:val="24"/>
        </w:rPr>
        <w:t xml:space="preserve"> </w:t>
      </w:r>
    </w:p>
    <w:p w14:paraId="0E218622" w14:textId="774E5FD8" w:rsidR="00046227" w:rsidRPr="001A122F" w:rsidRDefault="001A122F" w:rsidP="00252D88">
      <w:pPr>
        <w:pStyle w:val="ListLevel1"/>
        <w:numPr>
          <w:ilvl w:val="0"/>
          <w:numId w:val="0"/>
        </w:numPr>
        <w:spacing w:after="0" w:line="360" w:lineRule="auto"/>
        <w:ind w:left="851"/>
        <w:rPr>
          <w:rFonts w:cs="Arial"/>
          <w:sz w:val="24"/>
          <w:szCs w:val="24"/>
        </w:rPr>
      </w:pPr>
      <w:r>
        <w:rPr>
          <w:rFonts w:cs="Arial"/>
          <w:sz w:val="24"/>
          <w:szCs w:val="24"/>
        </w:rPr>
        <w:tab/>
      </w:r>
    </w:p>
    <w:sectPr w:rsidR="00046227" w:rsidRPr="001A122F" w:rsidSect="001F6793">
      <w:headerReference w:type="default" r:id="rId11"/>
      <w:pgSz w:w="11907" w:h="16840" w:code="9"/>
      <w:pgMar w:top="1797" w:right="1440"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D7C33" w14:textId="77777777" w:rsidR="00E44771" w:rsidRDefault="00E44771">
      <w:r>
        <w:separator/>
      </w:r>
    </w:p>
  </w:endnote>
  <w:endnote w:type="continuationSeparator" w:id="0">
    <w:p w14:paraId="1717C667" w14:textId="77777777" w:rsidR="00E44771" w:rsidRDefault="00E4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08DA" w14:textId="77777777" w:rsidR="00E44771" w:rsidRDefault="00E44771" w:rsidP="00B42A2F">
      <w:pPr>
        <w:spacing w:after="0" w:line="240" w:lineRule="auto"/>
      </w:pPr>
      <w:r>
        <w:separator/>
      </w:r>
    </w:p>
  </w:footnote>
  <w:footnote w:type="continuationSeparator" w:id="0">
    <w:p w14:paraId="2E7D29C0" w14:textId="77777777" w:rsidR="00E44771" w:rsidRDefault="00E44771">
      <w:r>
        <w:continuationSeparator/>
      </w:r>
    </w:p>
  </w:footnote>
  <w:footnote w:id="1">
    <w:p w14:paraId="13998ECD" w14:textId="77777777" w:rsidR="001A122F" w:rsidRDefault="001A122F" w:rsidP="001A122F">
      <w:pPr>
        <w:pStyle w:val="FootnoteText"/>
      </w:pPr>
      <w:r>
        <w:rPr>
          <w:rStyle w:val="FootnoteReference"/>
        </w:rPr>
        <w:footnoteRef/>
      </w:r>
      <w:r>
        <w:t xml:space="preserve"> Caselines 02-29 paragraphs 44 following</w:t>
      </w:r>
    </w:p>
  </w:footnote>
  <w:footnote w:id="2">
    <w:p w14:paraId="050800C1" w14:textId="77777777" w:rsidR="001A122F" w:rsidRDefault="001A122F" w:rsidP="001A122F">
      <w:pPr>
        <w:pStyle w:val="FootnoteText"/>
      </w:pPr>
      <w:r>
        <w:rPr>
          <w:rStyle w:val="FootnoteReference"/>
        </w:rPr>
        <w:footnoteRef/>
      </w:r>
      <w:r>
        <w:t xml:space="preserve"> Caselines 0001-1</w:t>
      </w:r>
    </w:p>
  </w:footnote>
  <w:footnote w:id="3">
    <w:p w14:paraId="1F119B05" w14:textId="77777777" w:rsidR="001A122F" w:rsidRDefault="001A122F" w:rsidP="001A122F">
      <w:pPr>
        <w:pStyle w:val="FootnoteText"/>
      </w:pPr>
      <w:r>
        <w:rPr>
          <w:rStyle w:val="FootnoteReference"/>
        </w:rPr>
        <w:footnoteRef/>
      </w:r>
      <w:r>
        <w:t xml:space="preserve"> Caselines 0001-3</w:t>
      </w:r>
    </w:p>
  </w:footnote>
  <w:footnote w:id="4">
    <w:p w14:paraId="5A426687" w14:textId="5598566E" w:rsidR="00610E09" w:rsidRDefault="00610E09">
      <w:pPr>
        <w:pStyle w:val="FootnoteText"/>
      </w:pPr>
      <w:r>
        <w:rPr>
          <w:rStyle w:val="FootnoteReference"/>
        </w:rPr>
        <w:footnoteRef/>
      </w:r>
      <w:r>
        <w:t xml:space="preserve"> Caselines 02-29 to 56</w:t>
      </w:r>
    </w:p>
  </w:footnote>
  <w:footnote w:id="5">
    <w:p w14:paraId="0174DD6C" w14:textId="77777777" w:rsidR="001A122F" w:rsidRDefault="001A122F" w:rsidP="001A122F">
      <w:pPr>
        <w:pStyle w:val="FootnoteText"/>
      </w:pPr>
      <w:r>
        <w:rPr>
          <w:rStyle w:val="FootnoteReference"/>
        </w:rPr>
        <w:footnoteRef/>
      </w:r>
      <w:r>
        <w:t xml:space="preserve"> 1991 (3) SA 310 (Nm SC) a5 314-15</w:t>
      </w:r>
    </w:p>
  </w:footnote>
  <w:footnote w:id="6">
    <w:p w14:paraId="7B5F1A19" w14:textId="77777777" w:rsidR="001A122F" w:rsidRDefault="001A122F" w:rsidP="001A122F">
      <w:pPr>
        <w:pStyle w:val="FootnoteText"/>
      </w:pPr>
      <w:r>
        <w:rPr>
          <w:rStyle w:val="FootnoteReference"/>
        </w:rPr>
        <w:footnoteRef/>
      </w:r>
      <w:r>
        <w:t xml:space="preserve"> 2002 (3) SA 482 (SCA) AT 494-95 (Herbstein van Winsen Civil Practise in the High Courts 5</w:t>
      </w:r>
      <w:r w:rsidRPr="003B5091">
        <w:rPr>
          <w:vertAlign w:val="superscript"/>
        </w:rPr>
        <w:t>th</w:t>
      </w:r>
      <w:r>
        <w:t xml:space="preserve"> ed p756 -757</w:t>
      </w:r>
    </w:p>
  </w:footnote>
  <w:footnote w:id="7">
    <w:p w14:paraId="68CACA73" w14:textId="31210C88" w:rsidR="00D53885" w:rsidRDefault="00D53885">
      <w:pPr>
        <w:pStyle w:val="FootnoteText"/>
      </w:pPr>
      <w:r>
        <w:rPr>
          <w:rStyle w:val="FootnoteReference"/>
        </w:rPr>
        <w:footnoteRef/>
      </w:r>
      <w:r>
        <w:t xml:space="preserve"> 1965 (2) SA 135 (A) at </w:t>
      </w:r>
    </w:p>
  </w:footnote>
  <w:footnote w:id="8">
    <w:p w14:paraId="6BB07120" w14:textId="3ACC5F67" w:rsidR="00CA04E3" w:rsidRDefault="00CA04E3">
      <w:pPr>
        <w:pStyle w:val="FootnoteText"/>
      </w:pPr>
      <w:r>
        <w:rPr>
          <w:rStyle w:val="FootnoteReference"/>
        </w:rPr>
        <w:footnoteRef/>
      </w:r>
      <w:r>
        <w:t xml:space="preserve"> 1962 (3) SA 18 AD at p23</w:t>
      </w:r>
    </w:p>
  </w:footnote>
  <w:footnote w:id="9">
    <w:p w14:paraId="489EFC62" w14:textId="498B9E1A" w:rsidR="00CA04E3" w:rsidRDefault="00CA04E3">
      <w:pPr>
        <w:pStyle w:val="FootnoteText"/>
      </w:pPr>
      <w:r>
        <w:rPr>
          <w:rStyle w:val="FootnoteReference"/>
        </w:rPr>
        <w:footnoteRef/>
      </w:r>
      <w:r>
        <w:t xml:space="preserve"> Saloojee supra at 141 </w:t>
      </w:r>
    </w:p>
  </w:footnote>
  <w:footnote w:id="10">
    <w:p w14:paraId="0A79352F" w14:textId="77777777" w:rsidR="001A122F" w:rsidRDefault="001A122F" w:rsidP="001A122F">
      <w:pPr>
        <w:pStyle w:val="FootnoteText"/>
      </w:pPr>
      <w:r>
        <w:rPr>
          <w:rStyle w:val="FootnoteReference"/>
        </w:rPr>
        <w:footnoteRef/>
      </w:r>
      <w:r>
        <w:t xml:space="preserve"> 2004 (4) SA 1 SCA</w:t>
      </w:r>
    </w:p>
  </w:footnote>
  <w:footnote w:id="11">
    <w:p w14:paraId="6D0D672C" w14:textId="3F69ABA4" w:rsidR="00850E70" w:rsidRDefault="00850E70">
      <w:pPr>
        <w:pStyle w:val="FootnoteText"/>
      </w:pPr>
      <w:r>
        <w:rPr>
          <w:rStyle w:val="FootnoteReference"/>
        </w:rPr>
        <w:footnoteRef/>
      </w:r>
      <w:r>
        <w:t xml:space="preserve"> Caselines 02-20 following</w:t>
      </w:r>
    </w:p>
  </w:footnote>
  <w:footnote w:id="12">
    <w:p w14:paraId="67C1BC96" w14:textId="44366686" w:rsidR="00515839" w:rsidRDefault="00515839">
      <w:pPr>
        <w:pStyle w:val="FootnoteText"/>
      </w:pPr>
      <w:r>
        <w:rPr>
          <w:rStyle w:val="FootnoteReference"/>
        </w:rPr>
        <w:footnoteRef/>
      </w:r>
      <w:r>
        <w:t xml:space="preserve"> Caselines 02-57</w:t>
      </w:r>
    </w:p>
  </w:footnote>
  <w:footnote w:id="13">
    <w:p w14:paraId="6755636A" w14:textId="756E9CA8" w:rsidR="00850E70" w:rsidRDefault="00850E70">
      <w:pPr>
        <w:pStyle w:val="FootnoteText"/>
      </w:pPr>
      <w:r>
        <w:rPr>
          <w:rStyle w:val="FootnoteReference"/>
        </w:rPr>
        <w:footnoteRef/>
      </w:r>
      <w:r>
        <w:t xml:space="preserve"> Caselines 02-</w:t>
      </w:r>
      <w:r w:rsidR="00491997">
        <w:t>29 following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A167"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36E9EB0"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00E068DE" w14:textId="77777777" w:rsidR="00C15506" w:rsidRPr="00C307C7" w:rsidRDefault="00C15506" w:rsidP="00C15506">
    <w:pPr>
      <w:pStyle w:val="Header"/>
      <w:spacing w:after="0" w:line="240" w:lineRule="auto"/>
      <w:jc w:val="center"/>
      <w:rPr>
        <w:rStyle w:val="PageNumber"/>
        <w:rFonts w:ascii="Arial" w:hAnsi="Arial" w:cs="Arial"/>
        <w:sz w:val="16"/>
        <w:szCs w:val="16"/>
      </w:rPr>
    </w:pPr>
  </w:p>
  <w:p w14:paraId="3DA28111" w14:textId="25A18BBB" w:rsidR="00A44620" w:rsidRPr="00C307C7" w:rsidRDefault="00A44620" w:rsidP="00C15506">
    <w:pPr>
      <w:pStyle w:val="Header"/>
      <w:spacing w:after="0" w:line="240" w:lineRule="auto"/>
      <w:jc w:val="center"/>
      <w:rPr>
        <w:rStyle w:val="PageNumber"/>
        <w:rFonts w:ascii="Arial" w:hAnsi="Arial" w:cs="Arial"/>
        <w:sz w:val="25"/>
        <w:szCs w:val="25"/>
      </w:rPr>
    </w:pPr>
    <w:r w:rsidRPr="00C307C7">
      <w:rPr>
        <w:rStyle w:val="PageNumber"/>
        <w:rFonts w:ascii="Arial" w:hAnsi="Arial" w:cs="Arial"/>
        <w:sz w:val="25"/>
        <w:szCs w:val="25"/>
      </w:rPr>
      <w:t xml:space="preserve">- </w:t>
    </w:r>
    <w:r w:rsidRPr="00C307C7">
      <w:rPr>
        <w:rStyle w:val="PageNumber"/>
        <w:rFonts w:ascii="Arial" w:hAnsi="Arial" w:cs="Arial"/>
        <w:sz w:val="25"/>
        <w:szCs w:val="25"/>
      </w:rPr>
      <w:fldChar w:fldCharType="begin"/>
    </w:r>
    <w:r w:rsidRPr="00C307C7">
      <w:rPr>
        <w:rStyle w:val="PageNumber"/>
        <w:rFonts w:ascii="Arial" w:hAnsi="Arial" w:cs="Arial"/>
        <w:sz w:val="25"/>
        <w:szCs w:val="25"/>
      </w:rPr>
      <w:instrText xml:space="preserve"> PAGE </w:instrText>
    </w:r>
    <w:r w:rsidRPr="00C307C7">
      <w:rPr>
        <w:rStyle w:val="PageNumber"/>
        <w:rFonts w:ascii="Arial" w:hAnsi="Arial" w:cs="Arial"/>
        <w:sz w:val="25"/>
        <w:szCs w:val="25"/>
      </w:rPr>
      <w:fldChar w:fldCharType="separate"/>
    </w:r>
    <w:r w:rsidR="009310A5">
      <w:rPr>
        <w:rStyle w:val="PageNumber"/>
        <w:rFonts w:ascii="Arial" w:hAnsi="Arial" w:cs="Arial"/>
        <w:noProof/>
        <w:sz w:val="25"/>
        <w:szCs w:val="25"/>
      </w:rPr>
      <w:t>25</w:t>
    </w:r>
    <w:r w:rsidRPr="00C307C7">
      <w:rPr>
        <w:rStyle w:val="PageNumber"/>
        <w:rFonts w:ascii="Arial" w:hAnsi="Arial" w:cs="Arial"/>
        <w:sz w:val="25"/>
        <w:szCs w:val="25"/>
      </w:rPr>
      <w:fldChar w:fldCharType="end"/>
    </w:r>
    <w:r w:rsidRPr="00C307C7">
      <w:rPr>
        <w:rStyle w:val="PageNumber"/>
        <w:rFonts w:ascii="Arial" w:hAnsi="Arial" w:cs="Arial"/>
        <w:sz w:val="25"/>
        <w:szCs w:val="25"/>
      </w:rPr>
      <w:t xml:space="preserve"> </w:t>
    </w:r>
    <w:r w:rsidR="001C327E" w:rsidRPr="00C307C7">
      <w:rPr>
        <w:rStyle w:val="PageNumber"/>
        <w:rFonts w:ascii="Arial" w:hAnsi="Arial" w:cs="Arial"/>
        <w:sz w:val="25"/>
        <w:szCs w:val="25"/>
      </w:rPr>
      <w:t>-</w:t>
    </w:r>
  </w:p>
  <w:p w14:paraId="46BD86CD" w14:textId="0398766A" w:rsidR="001C327E" w:rsidRPr="00C307C7" w:rsidRDefault="001C327E" w:rsidP="00C15506">
    <w:pPr>
      <w:pStyle w:val="Header"/>
      <w:spacing w:after="0" w:line="240" w:lineRule="auto"/>
      <w:jc w:val="center"/>
      <w:rPr>
        <w:rStyle w:val="PageNumber"/>
        <w:rFonts w:ascii="Arial" w:hAnsi="Arial" w:cs="Arial"/>
        <w:sz w:val="16"/>
        <w:szCs w:val="16"/>
      </w:rPr>
    </w:pPr>
  </w:p>
  <w:p w14:paraId="0B037D34" w14:textId="57200012" w:rsidR="001C327E" w:rsidRPr="00C307C7" w:rsidRDefault="001C327E" w:rsidP="00C15506">
    <w:pPr>
      <w:pStyle w:val="Header"/>
      <w:spacing w:after="0" w:line="240" w:lineRule="auto"/>
      <w:jc w:val="center"/>
      <w:rPr>
        <w:rStyle w:val="PageNumber"/>
        <w:rFonts w:ascii="Arial" w:hAnsi="Arial" w:cs="Arial"/>
        <w:sz w:val="16"/>
        <w:szCs w:val="16"/>
      </w:rPr>
    </w:pPr>
  </w:p>
  <w:p w14:paraId="01AF9D2B" w14:textId="64348EE0" w:rsidR="00C15506" w:rsidRDefault="00C15506" w:rsidP="00C15506">
    <w:pPr>
      <w:pStyle w:val="Header"/>
      <w:spacing w:after="0" w:line="240" w:lineRule="auto"/>
      <w:jc w:val="center"/>
      <w:rPr>
        <w:rStyle w:val="PageNumber"/>
        <w:rFonts w:ascii="Arial" w:hAnsi="Arial" w:cs="Arial"/>
        <w:sz w:val="16"/>
        <w:szCs w:val="16"/>
      </w:rPr>
    </w:pPr>
  </w:p>
  <w:p w14:paraId="4F5A1CB6" w14:textId="77777777" w:rsidR="0067260F" w:rsidRPr="00C307C7" w:rsidRDefault="0067260F" w:rsidP="00C15506">
    <w:pPr>
      <w:pStyle w:val="Header"/>
      <w:spacing w:after="0" w:line="240" w:lineRule="auto"/>
      <w:jc w:val="center"/>
      <w:rPr>
        <w:rStyle w:val="PageNumbe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E8A4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BC0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DA4A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4E5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24E5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18C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24BE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27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EEE7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A67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C4B02"/>
    <w:multiLevelType w:val="hybridMultilevel"/>
    <w:tmpl w:val="6FA0DC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1DC0AA2"/>
    <w:multiLevelType w:val="hybridMultilevel"/>
    <w:tmpl w:val="F04A010A"/>
    <w:lvl w:ilvl="0" w:tplc="489ABD64">
      <w:start w:val="1"/>
      <w:numFmt w:val="lowerLetter"/>
      <w:pStyle w:val="abracket"/>
      <w:lvlText w:val="%1)"/>
      <w:lvlJc w:val="left"/>
      <w:pPr>
        <w:tabs>
          <w:tab w:val="num" w:pos="851"/>
        </w:tabs>
        <w:ind w:left="851" w:hanging="851"/>
      </w:pPr>
      <w:rPr>
        <w:rFonts w:hint="default"/>
      </w:rPr>
    </w:lvl>
    <w:lvl w:ilvl="1" w:tplc="55ECC9DE" w:tentative="1">
      <w:start w:val="1"/>
      <w:numFmt w:val="lowerLetter"/>
      <w:lvlText w:val="%2."/>
      <w:lvlJc w:val="left"/>
      <w:pPr>
        <w:tabs>
          <w:tab w:val="num" w:pos="1440"/>
        </w:tabs>
        <w:ind w:left="1440" w:hanging="360"/>
      </w:pPr>
    </w:lvl>
    <w:lvl w:ilvl="2" w:tplc="DB608D22" w:tentative="1">
      <w:start w:val="1"/>
      <w:numFmt w:val="lowerRoman"/>
      <w:lvlText w:val="%3."/>
      <w:lvlJc w:val="right"/>
      <w:pPr>
        <w:tabs>
          <w:tab w:val="num" w:pos="2160"/>
        </w:tabs>
        <w:ind w:left="2160" w:hanging="180"/>
      </w:pPr>
    </w:lvl>
    <w:lvl w:ilvl="3" w:tplc="D3560AAA" w:tentative="1">
      <w:start w:val="1"/>
      <w:numFmt w:val="decimal"/>
      <w:lvlText w:val="%4."/>
      <w:lvlJc w:val="left"/>
      <w:pPr>
        <w:tabs>
          <w:tab w:val="num" w:pos="2880"/>
        </w:tabs>
        <w:ind w:left="2880" w:hanging="360"/>
      </w:pPr>
    </w:lvl>
    <w:lvl w:ilvl="4" w:tplc="596A8E2A" w:tentative="1">
      <w:start w:val="1"/>
      <w:numFmt w:val="lowerLetter"/>
      <w:lvlText w:val="%5."/>
      <w:lvlJc w:val="left"/>
      <w:pPr>
        <w:tabs>
          <w:tab w:val="num" w:pos="3600"/>
        </w:tabs>
        <w:ind w:left="3600" w:hanging="360"/>
      </w:pPr>
    </w:lvl>
    <w:lvl w:ilvl="5" w:tplc="7E620798" w:tentative="1">
      <w:start w:val="1"/>
      <w:numFmt w:val="lowerRoman"/>
      <w:lvlText w:val="%6."/>
      <w:lvlJc w:val="right"/>
      <w:pPr>
        <w:tabs>
          <w:tab w:val="num" w:pos="4320"/>
        </w:tabs>
        <w:ind w:left="4320" w:hanging="180"/>
      </w:pPr>
    </w:lvl>
    <w:lvl w:ilvl="6" w:tplc="8FA41626" w:tentative="1">
      <w:start w:val="1"/>
      <w:numFmt w:val="decimal"/>
      <w:lvlText w:val="%7."/>
      <w:lvlJc w:val="left"/>
      <w:pPr>
        <w:tabs>
          <w:tab w:val="num" w:pos="5040"/>
        </w:tabs>
        <w:ind w:left="5040" w:hanging="360"/>
      </w:pPr>
    </w:lvl>
    <w:lvl w:ilvl="7" w:tplc="00309198" w:tentative="1">
      <w:start w:val="1"/>
      <w:numFmt w:val="lowerLetter"/>
      <w:lvlText w:val="%8."/>
      <w:lvlJc w:val="left"/>
      <w:pPr>
        <w:tabs>
          <w:tab w:val="num" w:pos="5760"/>
        </w:tabs>
        <w:ind w:left="5760" w:hanging="360"/>
      </w:pPr>
    </w:lvl>
    <w:lvl w:ilvl="8" w:tplc="03F67278" w:tentative="1">
      <w:start w:val="1"/>
      <w:numFmt w:val="lowerRoman"/>
      <w:lvlText w:val="%9."/>
      <w:lvlJc w:val="right"/>
      <w:pPr>
        <w:tabs>
          <w:tab w:val="num" w:pos="6480"/>
        </w:tabs>
        <w:ind w:left="6480" w:hanging="180"/>
      </w:pPr>
    </w:lvl>
  </w:abstractNum>
  <w:abstractNum w:abstractNumId="1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3" w15:restartNumberingAfterBreak="0">
    <w:nsid w:val="1EDB7DA3"/>
    <w:multiLevelType w:val="multilevel"/>
    <w:tmpl w:val="29EA4D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isLgl/>
      <w:lvlText w:val="%1.%2.%3."/>
      <w:lvlJc w:val="left"/>
      <w:pPr>
        <w:tabs>
          <w:tab w:val="num" w:pos="2835"/>
        </w:tabs>
        <w:ind w:left="2835"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4A32C6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E95A28"/>
    <w:multiLevelType w:val="multilevel"/>
    <w:tmpl w:val="7990FF70"/>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651"/>
        </w:tabs>
        <w:ind w:left="2075" w:hanging="504"/>
      </w:pPr>
      <w:rPr>
        <w:rFonts w:hint="default"/>
      </w:rPr>
    </w:lvl>
    <w:lvl w:ilvl="3">
      <w:start w:val="1"/>
      <w:numFmt w:val="decimal"/>
      <w:lvlText w:val="%1.%2.%3.%4."/>
      <w:lvlJc w:val="left"/>
      <w:pPr>
        <w:tabs>
          <w:tab w:val="num" w:pos="3371"/>
        </w:tabs>
        <w:ind w:left="2579" w:hanging="648"/>
      </w:pPr>
      <w:rPr>
        <w:rFonts w:hint="default"/>
      </w:rPr>
    </w:lvl>
    <w:lvl w:ilvl="4">
      <w:start w:val="1"/>
      <w:numFmt w:val="decimal"/>
      <w:lvlText w:val="%1.%2.%3.%4.%5."/>
      <w:lvlJc w:val="left"/>
      <w:pPr>
        <w:tabs>
          <w:tab w:val="num" w:pos="4091"/>
        </w:tabs>
        <w:ind w:left="3083" w:hanging="792"/>
      </w:pPr>
      <w:rPr>
        <w:rFonts w:hint="default"/>
      </w:rPr>
    </w:lvl>
    <w:lvl w:ilvl="5">
      <w:start w:val="1"/>
      <w:numFmt w:val="decimal"/>
      <w:lvlText w:val="%1.%2.%3.%4.%5.%6."/>
      <w:lvlJc w:val="left"/>
      <w:pPr>
        <w:tabs>
          <w:tab w:val="num" w:pos="4811"/>
        </w:tabs>
        <w:ind w:left="3587" w:hanging="936"/>
      </w:pPr>
      <w:rPr>
        <w:rFonts w:hint="default"/>
      </w:rPr>
    </w:lvl>
    <w:lvl w:ilvl="6">
      <w:start w:val="1"/>
      <w:numFmt w:val="decimal"/>
      <w:lvlText w:val="%1.%2.%3.%4.%5.%6.%7."/>
      <w:lvlJc w:val="left"/>
      <w:pPr>
        <w:tabs>
          <w:tab w:val="num" w:pos="5531"/>
        </w:tabs>
        <w:ind w:left="4091" w:hanging="1080"/>
      </w:pPr>
      <w:rPr>
        <w:rFonts w:hint="default"/>
      </w:rPr>
    </w:lvl>
    <w:lvl w:ilvl="7">
      <w:start w:val="1"/>
      <w:numFmt w:val="decimal"/>
      <w:lvlText w:val="%1.%2.%3.%4.%5.%6.%7.%8."/>
      <w:lvlJc w:val="left"/>
      <w:pPr>
        <w:tabs>
          <w:tab w:val="num" w:pos="6251"/>
        </w:tabs>
        <w:ind w:left="4595" w:hanging="1224"/>
      </w:pPr>
      <w:rPr>
        <w:rFonts w:hint="default"/>
      </w:rPr>
    </w:lvl>
    <w:lvl w:ilvl="8">
      <w:start w:val="1"/>
      <w:numFmt w:val="decimal"/>
      <w:lvlText w:val="%1.%2.%3.%4.%5.%6.%7.%8.%9."/>
      <w:lvlJc w:val="left"/>
      <w:pPr>
        <w:tabs>
          <w:tab w:val="num" w:pos="6971"/>
        </w:tabs>
        <w:ind w:left="5171" w:hanging="1440"/>
      </w:pPr>
      <w:rPr>
        <w:rFonts w:hint="default"/>
      </w:rPr>
    </w:lvl>
  </w:abstractNum>
  <w:abstractNum w:abstractNumId="16" w15:restartNumberingAfterBreak="0">
    <w:nsid w:val="41A8181E"/>
    <w:multiLevelType w:val="multilevel"/>
    <w:tmpl w:val="6254C5E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2912"/>
        </w:tabs>
        <w:ind w:left="2835" w:hanging="283"/>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48B768D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C62417"/>
    <w:multiLevelType w:val="multilevel"/>
    <w:tmpl w:val="6AEC555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966ACE"/>
    <w:multiLevelType w:val="multilevel"/>
    <w:tmpl w:val="6DF0F6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06F0163"/>
    <w:multiLevelType w:val="multilevel"/>
    <w:tmpl w:val="BE345AB8"/>
    <w:lvl w:ilvl="0">
      <w:start w:val="3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8A75599"/>
    <w:multiLevelType w:val="multilevel"/>
    <w:tmpl w:val="C9540F06"/>
    <w:lvl w:ilvl="0">
      <w:start w:val="1"/>
      <w:numFmt w:val="decimal"/>
      <w:pStyle w:val="ListLevel1"/>
      <w:lvlText w:val="%1."/>
      <w:lvlJc w:val="left"/>
      <w:pPr>
        <w:tabs>
          <w:tab w:val="num" w:pos="851"/>
        </w:tabs>
        <w:ind w:left="851" w:hanging="851"/>
      </w:pPr>
      <w:rPr>
        <w:rFonts w:hint="default"/>
        <w:b w:val="0"/>
        <w:i w:val="0"/>
        <w:iCs w:val="0"/>
      </w:rPr>
    </w:lvl>
    <w:lvl w:ilvl="1">
      <w:start w:val="1"/>
      <w:numFmt w:val="decimal"/>
      <w:pStyle w:val="ListLevel2"/>
      <w:lvlText w:val="%1.%2."/>
      <w:lvlJc w:val="left"/>
      <w:pPr>
        <w:tabs>
          <w:tab w:val="num" w:pos="1701"/>
        </w:tabs>
        <w:ind w:left="1701" w:hanging="850"/>
      </w:pPr>
      <w:rPr>
        <w:rFonts w:hint="default"/>
        <w:b w:val="0"/>
      </w:rPr>
    </w:lvl>
    <w:lvl w:ilvl="2">
      <w:start w:val="1"/>
      <w:numFmt w:val="decimal"/>
      <w:pStyle w:val="ListLevel3"/>
      <w:lvlText w:val="%1.%2.%3."/>
      <w:lvlJc w:val="left"/>
      <w:pPr>
        <w:tabs>
          <w:tab w:val="num" w:pos="2552"/>
        </w:tabs>
        <w:ind w:left="2552" w:hanging="851"/>
      </w:pPr>
      <w:rPr>
        <w:rFonts w:hint="default"/>
      </w:rPr>
    </w:lvl>
    <w:lvl w:ilvl="3">
      <w:start w:val="1"/>
      <w:numFmt w:val="lowerLetter"/>
      <w:pStyle w:val="ListLevel4"/>
      <w:lvlText w:val="(%4)"/>
      <w:lvlJc w:val="left"/>
      <w:pPr>
        <w:tabs>
          <w:tab w:val="num" w:pos="3119"/>
        </w:tabs>
        <w:ind w:left="3119" w:hanging="567"/>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B41068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9474F3"/>
    <w:multiLevelType w:val="hybridMultilevel"/>
    <w:tmpl w:val="9CEE075A"/>
    <w:lvl w:ilvl="0" w:tplc="E33E586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21C1919"/>
    <w:multiLevelType w:val="hybridMultilevel"/>
    <w:tmpl w:val="87EE4258"/>
    <w:lvl w:ilvl="0" w:tplc="C848E854">
      <w:start w:val="1"/>
      <w:numFmt w:val="decimal"/>
      <w:lvlText w:val="%1."/>
      <w:lvlJc w:val="left"/>
      <w:pPr>
        <w:ind w:left="786"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4A42B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1E7DBC"/>
    <w:multiLevelType w:val="multilevel"/>
    <w:tmpl w:val="AC9EAD90"/>
    <w:lvl w:ilvl="0">
      <w:start w:val="33"/>
      <w:numFmt w:val="decimal"/>
      <w:lvlText w:val="%1"/>
      <w:lvlJc w:val="left"/>
      <w:pPr>
        <w:ind w:left="465" w:hanging="465"/>
      </w:pPr>
      <w:rPr>
        <w:rFonts w:hint="default"/>
      </w:rPr>
    </w:lvl>
    <w:lvl w:ilvl="1">
      <w:start w:val="1"/>
      <w:numFmt w:val="decimal"/>
      <w:lvlText w:val="%1.%2"/>
      <w:lvlJc w:val="left"/>
      <w:pPr>
        <w:ind w:left="1251" w:hanging="46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71A87A0B"/>
    <w:multiLevelType w:val="hybridMultilevel"/>
    <w:tmpl w:val="61A0BB34"/>
    <w:lvl w:ilvl="0" w:tplc="7D2ED7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26D1C86"/>
    <w:multiLevelType w:val="multilevel"/>
    <w:tmpl w:val="EA3CA22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5033606"/>
    <w:multiLevelType w:val="multilevel"/>
    <w:tmpl w:val="1F5696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78286F13"/>
    <w:multiLevelType w:val="multilevel"/>
    <w:tmpl w:val="904082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D0C17F3"/>
    <w:multiLevelType w:val="hybridMultilevel"/>
    <w:tmpl w:val="D974C486"/>
    <w:lvl w:ilvl="0" w:tplc="9200AADE">
      <w:start w:val="1"/>
      <w:numFmt w:val="lowerRoman"/>
      <w:pStyle w:val="onebracket"/>
      <w:lvlText w:val="(%1)"/>
      <w:lvlJc w:val="left"/>
      <w:pPr>
        <w:tabs>
          <w:tab w:val="num" w:pos="851"/>
        </w:tabs>
        <w:ind w:left="851" w:hanging="851"/>
      </w:pPr>
      <w:rPr>
        <w:rFonts w:hint="default"/>
      </w:rPr>
    </w:lvl>
    <w:lvl w:ilvl="1" w:tplc="A5820FF8" w:tentative="1">
      <w:start w:val="1"/>
      <w:numFmt w:val="lowerLetter"/>
      <w:lvlText w:val="%2."/>
      <w:lvlJc w:val="left"/>
      <w:pPr>
        <w:tabs>
          <w:tab w:val="num" w:pos="1440"/>
        </w:tabs>
        <w:ind w:left="1440" w:hanging="360"/>
      </w:pPr>
    </w:lvl>
    <w:lvl w:ilvl="2" w:tplc="21D8BF9E" w:tentative="1">
      <w:start w:val="1"/>
      <w:numFmt w:val="lowerRoman"/>
      <w:lvlText w:val="%3."/>
      <w:lvlJc w:val="right"/>
      <w:pPr>
        <w:tabs>
          <w:tab w:val="num" w:pos="2160"/>
        </w:tabs>
        <w:ind w:left="2160" w:hanging="180"/>
      </w:pPr>
    </w:lvl>
    <w:lvl w:ilvl="3" w:tplc="B832E58A" w:tentative="1">
      <w:start w:val="1"/>
      <w:numFmt w:val="decimal"/>
      <w:lvlText w:val="%4."/>
      <w:lvlJc w:val="left"/>
      <w:pPr>
        <w:tabs>
          <w:tab w:val="num" w:pos="2880"/>
        </w:tabs>
        <w:ind w:left="2880" w:hanging="360"/>
      </w:pPr>
    </w:lvl>
    <w:lvl w:ilvl="4" w:tplc="8410E02A" w:tentative="1">
      <w:start w:val="1"/>
      <w:numFmt w:val="lowerLetter"/>
      <w:lvlText w:val="%5."/>
      <w:lvlJc w:val="left"/>
      <w:pPr>
        <w:tabs>
          <w:tab w:val="num" w:pos="3600"/>
        </w:tabs>
        <w:ind w:left="3600" w:hanging="360"/>
      </w:pPr>
    </w:lvl>
    <w:lvl w:ilvl="5" w:tplc="6E620354" w:tentative="1">
      <w:start w:val="1"/>
      <w:numFmt w:val="lowerRoman"/>
      <w:lvlText w:val="%6."/>
      <w:lvlJc w:val="right"/>
      <w:pPr>
        <w:tabs>
          <w:tab w:val="num" w:pos="4320"/>
        </w:tabs>
        <w:ind w:left="4320" w:hanging="180"/>
      </w:pPr>
    </w:lvl>
    <w:lvl w:ilvl="6" w:tplc="2916A49A" w:tentative="1">
      <w:start w:val="1"/>
      <w:numFmt w:val="decimal"/>
      <w:lvlText w:val="%7."/>
      <w:lvlJc w:val="left"/>
      <w:pPr>
        <w:tabs>
          <w:tab w:val="num" w:pos="5040"/>
        </w:tabs>
        <w:ind w:left="5040" w:hanging="360"/>
      </w:pPr>
    </w:lvl>
    <w:lvl w:ilvl="7" w:tplc="42120482" w:tentative="1">
      <w:start w:val="1"/>
      <w:numFmt w:val="lowerLetter"/>
      <w:lvlText w:val="%8."/>
      <w:lvlJc w:val="left"/>
      <w:pPr>
        <w:tabs>
          <w:tab w:val="num" w:pos="5760"/>
        </w:tabs>
        <w:ind w:left="5760" w:hanging="360"/>
      </w:pPr>
    </w:lvl>
    <w:lvl w:ilvl="8" w:tplc="6CE60B44" w:tentative="1">
      <w:start w:val="1"/>
      <w:numFmt w:val="lowerRoman"/>
      <w:lvlText w:val="%9."/>
      <w:lvlJc w:val="right"/>
      <w:pPr>
        <w:tabs>
          <w:tab w:val="num" w:pos="6480"/>
        </w:tabs>
        <w:ind w:left="6480" w:hanging="180"/>
      </w:pPr>
    </w:lvl>
  </w:abstractNum>
  <w:abstractNum w:abstractNumId="32" w15:restartNumberingAfterBreak="0">
    <w:nsid w:val="7E9E468A"/>
    <w:multiLevelType w:val="hybridMultilevel"/>
    <w:tmpl w:val="85EC347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453450980">
    <w:abstractNumId w:val="13"/>
  </w:num>
  <w:num w:numId="2" w16cid:durableId="1353799064">
    <w:abstractNumId w:val="15"/>
  </w:num>
  <w:num w:numId="3" w16cid:durableId="1100685998">
    <w:abstractNumId w:val="29"/>
  </w:num>
  <w:num w:numId="4" w16cid:durableId="264265643">
    <w:abstractNumId w:val="16"/>
  </w:num>
  <w:num w:numId="5" w16cid:durableId="441845004">
    <w:abstractNumId w:val="21"/>
  </w:num>
  <w:num w:numId="6" w16cid:durableId="135100527">
    <w:abstractNumId w:val="9"/>
  </w:num>
  <w:num w:numId="7" w16cid:durableId="1630433997">
    <w:abstractNumId w:val="7"/>
  </w:num>
  <w:num w:numId="8" w16cid:durableId="629631983">
    <w:abstractNumId w:val="6"/>
  </w:num>
  <w:num w:numId="9" w16cid:durableId="1792505439">
    <w:abstractNumId w:val="5"/>
  </w:num>
  <w:num w:numId="10" w16cid:durableId="1400784012">
    <w:abstractNumId w:val="4"/>
  </w:num>
  <w:num w:numId="11" w16cid:durableId="1562255270">
    <w:abstractNumId w:val="8"/>
  </w:num>
  <w:num w:numId="12" w16cid:durableId="596443529">
    <w:abstractNumId w:val="3"/>
  </w:num>
  <w:num w:numId="13" w16cid:durableId="1725830271">
    <w:abstractNumId w:val="2"/>
  </w:num>
  <w:num w:numId="14" w16cid:durableId="354381994">
    <w:abstractNumId w:val="1"/>
  </w:num>
  <w:num w:numId="15" w16cid:durableId="1130785740">
    <w:abstractNumId w:val="0"/>
  </w:num>
  <w:num w:numId="16" w16cid:durableId="1295789113">
    <w:abstractNumId w:val="11"/>
  </w:num>
  <w:num w:numId="17" w16cid:durableId="2016880497">
    <w:abstractNumId w:val="31"/>
  </w:num>
  <w:num w:numId="18" w16cid:durableId="2322045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1499252">
    <w:abstractNumId w:val="21"/>
  </w:num>
  <w:num w:numId="20" w16cid:durableId="850336342">
    <w:abstractNumId w:val="11"/>
  </w:num>
  <w:num w:numId="21" w16cid:durableId="1209101429">
    <w:abstractNumId w:val="21"/>
  </w:num>
  <w:num w:numId="22" w16cid:durableId="1092429779">
    <w:abstractNumId w:val="21"/>
  </w:num>
  <w:num w:numId="23" w16cid:durableId="1820921991">
    <w:abstractNumId w:val="21"/>
  </w:num>
  <w:num w:numId="24" w16cid:durableId="62684563">
    <w:abstractNumId w:val="21"/>
  </w:num>
  <w:num w:numId="25" w16cid:durableId="1101755781">
    <w:abstractNumId w:val="31"/>
  </w:num>
  <w:num w:numId="26" w16cid:durableId="846287496">
    <w:abstractNumId w:val="21"/>
  </w:num>
  <w:num w:numId="27" w16cid:durableId="1054888410">
    <w:abstractNumId w:val="21"/>
  </w:num>
  <w:num w:numId="28" w16cid:durableId="471825520">
    <w:abstractNumId w:val="12"/>
  </w:num>
  <w:num w:numId="29" w16cid:durableId="1366515439">
    <w:abstractNumId w:val="22"/>
  </w:num>
  <w:num w:numId="30" w16cid:durableId="1149439913">
    <w:abstractNumId w:val="30"/>
  </w:num>
  <w:num w:numId="31" w16cid:durableId="1709140231">
    <w:abstractNumId w:val="23"/>
  </w:num>
  <w:num w:numId="32" w16cid:durableId="1989439322">
    <w:abstractNumId w:val="19"/>
  </w:num>
  <w:num w:numId="33" w16cid:durableId="8428161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08990512">
    <w:abstractNumId w:val="24"/>
  </w:num>
  <w:num w:numId="35" w16cid:durableId="1553424445">
    <w:abstractNumId w:val="28"/>
  </w:num>
  <w:num w:numId="36" w16cid:durableId="1233082609">
    <w:abstractNumId w:val="20"/>
  </w:num>
  <w:num w:numId="37" w16cid:durableId="1177504351">
    <w:abstractNumId w:val="26"/>
  </w:num>
  <w:num w:numId="38" w16cid:durableId="1633822615">
    <w:abstractNumId w:val="27"/>
  </w:num>
  <w:num w:numId="39" w16cid:durableId="1380931446">
    <w:abstractNumId w:val="25"/>
  </w:num>
  <w:num w:numId="40" w16cid:durableId="1360660319">
    <w:abstractNumId w:val="17"/>
  </w:num>
  <w:num w:numId="41" w16cid:durableId="1799446131">
    <w:abstractNumId w:val="14"/>
  </w:num>
  <w:num w:numId="42" w16cid:durableId="2097898803">
    <w:abstractNumId w:val="32"/>
  </w:num>
  <w:num w:numId="43" w16cid:durableId="227571513">
    <w:abstractNumId w:val="18"/>
  </w:num>
  <w:num w:numId="44" w16cid:durableId="1171799913">
    <w:abstractNumId w:val="10"/>
  </w:num>
  <w:num w:numId="45" w16cid:durableId="35897219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61680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3794026">
    <w:abstractNumId w:val="21"/>
  </w:num>
  <w:num w:numId="48" w16cid:durableId="2672796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01"/>
    <w:rsid w:val="00013B60"/>
    <w:rsid w:val="000441BE"/>
    <w:rsid w:val="00046227"/>
    <w:rsid w:val="00066255"/>
    <w:rsid w:val="00067824"/>
    <w:rsid w:val="00076BDF"/>
    <w:rsid w:val="00080FB7"/>
    <w:rsid w:val="00081BE5"/>
    <w:rsid w:val="00092FE9"/>
    <w:rsid w:val="000A5BCD"/>
    <w:rsid w:val="000C5FBC"/>
    <w:rsid w:val="000E1FD0"/>
    <w:rsid w:val="00103B17"/>
    <w:rsid w:val="00110C77"/>
    <w:rsid w:val="0011358F"/>
    <w:rsid w:val="00142537"/>
    <w:rsid w:val="0014765C"/>
    <w:rsid w:val="001522B0"/>
    <w:rsid w:val="00152716"/>
    <w:rsid w:val="00157C9E"/>
    <w:rsid w:val="00171D00"/>
    <w:rsid w:val="00173D11"/>
    <w:rsid w:val="00176310"/>
    <w:rsid w:val="001803F7"/>
    <w:rsid w:val="001A122F"/>
    <w:rsid w:val="001A4B73"/>
    <w:rsid w:val="001B2387"/>
    <w:rsid w:val="001C327E"/>
    <w:rsid w:val="001C5E9C"/>
    <w:rsid w:val="001D1286"/>
    <w:rsid w:val="001E4A36"/>
    <w:rsid w:val="001F0D85"/>
    <w:rsid w:val="001F55DE"/>
    <w:rsid w:val="001F6793"/>
    <w:rsid w:val="00200B29"/>
    <w:rsid w:val="00203E3E"/>
    <w:rsid w:val="00204B1F"/>
    <w:rsid w:val="00210C59"/>
    <w:rsid w:val="00234CD3"/>
    <w:rsid w:val="00245352"/>
    <w:rsid w:val="00252D88"/>
    <w:rsid w:val="0025601B"/>
    <w:rsid w:val="00257E97"/>
    <w:rsid w:val="00262035"/>
    <w:rsid w:val="00267551"/>
    <w:rsid w:val="00282046"/>
    <w:rsid w:val="002C52D0"/>
    <w:rsid w:val="002C6E15"/>
    <w:rsid w:val="002E4069"/>
    <w:rsid w:val="002E6D51"/>
    <w:rsid w:val="002E73BE"/>
    <w:rsid w:val="002F1EF0"/>
    <w:rsid w:val="00302280"/>
    <w:rsid w:val="00302F4C"/>
    <w:rsid w:val="00304027"/>
    <w:rsid w:val="00304323"/>
    <w:rsid w:val="0031744F"/>
    <w:rsid w:val="00394560"/>
    <w:rsid w:val="003A5334"/>
    <w:rsid w:val="003B155F"/>
    <w:rsid w:val="003D231C"/>
    <w:rsid w:val="003E353F"/>
    <w:rsid w:val="003E7B53"/>
    <w:rsid w:val="003F078F"/>
    <w:rsid w:val="00405046"/>
    <w:rsid w:val="00405ECC"/>
    <w:rsid w:val="00423CB0"/>
    <w:rsid w:val="0045222A"/>
    <w:rsid w:val="0046132E"/>
    <w:rsid w:val="00483381"/>
    <w:rsid w:val="00490977"/>
    <w:rsid w:val="00491997"/>
    <w:rsid w:val="004B5191"/>
    <w:rsid w:val="004B6D4A"/>
    <w:rsid w:val="004D0D37"/>
    <w:rsid w:val="004E07A7"/>
    <w:rsid w:val="004E37E5"/>
    <w:rsid w:val="004E6608"/>
    <w:rsid w:val="004F5C32"/>
    <w:rsid w:val="00501616"/>
    <w:rsid w:val="00515839"/>
    <w:rsid w:val="00531822"/>
    <w:rsid w:val="00532293"/>
    <w:rsid w:val="00550532"/>
    <w:rsid w:val="005577D6"/>
    <w:rsid w:val="00560DAB"/>
    <w:rsid w:val="00564C74"/>
    <w:rsid w:val="00585E16"/>
    <w:rsid w:val="00587C8C"/>
    <w:rsid w:val="00593E3F"/>
    <w:rsid w:val="00594841"/>
    <w:rsid w:val="00596FA2"/>
    <w:rsid w:val="005B2B01"/>
    <w:rsid w:val="005B386A"/>
    <w:rsid w:val="005B40AF"/>
    <w:rsid w:val="005D6C4D"/>
    <w:rsid w:val="00610E09"/>
    <w:rsid w:val="00613714"/>
    <w:rsid w:val="006379FF"/>
    <w:rsid w:val="006451F6"/>
    <w:rsid w:val="00645B54"/>
    <w:rsid w:val="0065104A"/>
    <w:rsid w:val="006576AF"/>
    <w:rsid w:val="0067260F"/>
    <w:rsid w:val="006734F0"/>
    <w:rsid w:val="00675EF8"/>
    <w:rsid w:val="006842D7"/>
    <w:rsid w:val="0068725F"/>
    <w:rsid w:val="0069151E"/>
    <w:rsid w:val="00692ED6"/>
    <w:rsid w:val="006940BA"/>
    <w:rsid w:val="006A0EDE"/>
    <w:rsid w:val="006A6DCE"/>
    <w:rsid w:val="006C2AE7"/>
    <w:rsid w:val="006C3E2C"/>
    <w:rsid w:val="006F061C"/>
    <w:rsid w:val="007032F1"/>
    <w:rsid w:val="007101BE"/>
    <w:rsid w:val="00712C5A"/>
    <w:rsid w:val="00713676"/>
    <w:rsid w:val="007168D6"/>
    <w:rsid w:val="00735B93"/>
    <w:rsid w:val="0075275C"/>
    <w:rsid w:val="00763F15"/>
    <w:rsid w:val="00792F12"/>
    <w:rsid w:val="007938FD"/>
    <w:rsid w:val="007A5039"/>
    <w:rsid w:val="007B3DB5"/>
    <w:rsid w:val="007E7FAE"/>
    <w:rsid w:val="008208B5"/>
    <w:rsid w:val="0083545A"/>
    <w:rsid w:val="00850E70"/>
    <w:rsid w:val="008612FA"/>
    <w:rsid w:val="008832D7"/>
    <w:rsid w:val="008851CD"/>
    <w:rsid w:val="008A0446"/>
    <w:rsid w:val="008F6698"/>
    <w:rsid w:val="0092610E"/>
    <w:rsid w:val="009310A5"/>
    <w:rsid w:val="00947B5C"/>
    <w:rsid w:val="009551A2"/>
    <w:rsid w:val="009570B0"/>
    <w:rsid w:val="009769F2"/>
    <w:rsid w:val="009769F3"/>
    <w:rsid w:val="00980139"/>
    <w:rsid w:val="0098104B"/>
    <w:rsid w:val="00984EE7"/>
    <w:rsid w:val="009B0F23"/>
    <w:rsid w:val="009C7773"/>
    <w:rsid w:val="009D5250"/>
    <w:rsid w:val="009E70E2"/>
    <w:rsid w:val="009F640B"/>
    <w:rsid w:val="00A012C5"/>
    <w:rsid w:val="00A01A63"/>
    <w:rsid w:val="00A0233F"/>
    <w:rsid w:val="00A10ABE"/>
    <w:rsid w:val="00A1177B"/>
    <w:rsid w:val="00A239FE"/>
    <w:rsid w:val="00A44620"/>
    <w:rsid w:val="00A73C54"/>
    <w:rsid w:val="00AC666D"/>
    <w:rsid w:val="00B00086"/>
    <w:rsid w:val="00B05014"/>
    <w:rsid w:val="00B20960"/>
    <w:rsid w:val="00B20BD4"/>
    <w:rsid w:val="00B234D9"/>
    <w:rsid w:val="00B263DE"/>
    <w:rsid w:val="00B42A2F"/>
    <w:rsid w:val="00B517B2"/>
    <w:rsid w:val="00B72E64"/>
    <w:rsid w:val="00B9752F"/>
    <w:rsid w:val="00BB2C99"/>
    <w:rsid w:val="00BD460A"/>
    <w:rsid w:val="00BD5A11"/>
    <w:rsid w:val="00BD73EF"/>
    <w:rsid w:val="00BE0913"/>
    <w:rsid w:val="00BF5AB8"/>
    <w:rsid w:val="00C00F49"/>
    <w:rsid w:val="00C06DE6"/>
    <w:rsid w:val="00C10A6A"/>
    <w:rsid w:val="00C15506"/>
    <w:rsid w:val="00C21404"/>
    <w:rsid w:val="00C216CD"/>
    <w:rsid w:val="00C2519C"/>
    <w:rsid w:val="00C2718F"/>
    <w:rsid w:val="00C307C7"/>
    <w:rsid w:val="00C46EF1"/>
    <w:rsid w:val="00C61290"/>
    <w:rsid w:val="00C73C01"/>
    <w:rsid w:val="00C9115E"/>
    <w:rsid w:val="00CA04E3"/>
    <w:rsid w:val="00CA68B7"/>
    <w:rsid w:val="00CD7F45"/>
    <w:rsid w:val="00CF0140"/>
    <w:rsid w:val="00CF160E"/>
    <w:rsid w:val="00D53885"/>
    <w:rsid w:val="00D64B8C"/>
    <w:rsid w:val="00D82F93"/>
    <w:rsid w:val="00D91B37"/>
    <w:rsid w:val="00DA6DD6"/>
    <w:rsid w:val="00DB4B82"/>
    <w:rsid w:val="00DD201B"/>
    <w:rsid w:val="00DD2572"/>
    <w:rsid w:val="00DD7EC8"/>
    <w:rsid w:val="00E00582"/>
    <w:rsid w:val="00E0148D"/>
    <w:rsid w:val="00E020BE"/>
    <w:rsid w:val="00E0596D"/>
    <w:rsid w:val="00E14600"/>
    <w:rsid w:val="00E168E2"/>
    <w:rsid w:val="00E20795"/>
    <w:rsid w:val="00E21B69"/>
    <w:rsid w:val="00E3094A"/>
    <w:rsid w:val="00E375BF"/>
    <w:rsid w:val="00E424E0"/>
    <w:rsid w:val="00E44771"/>
    <w:rsid w:val="00E5085B"/>
    <w:rsid w:val="00E5219C"/>
    <w:rsid w:val="00E53970"/>
    <w:rsid w:val="00E55C3E"/>
    <w:rsid w:val="00E705EF"/>
    <w:rsid w:val="00E91717"/>
    <w:rsid w:val="00E9228C"/>
    <w:rsid w:val="00E972A8"/>
    <w:rsid w:val="00EE72DA"/>
    <w:rsid w:val="00F147F9"/>
    <w:rsid w:val="00F53D9C"/>
    <w:rsid w:val="00F848AF"/>
    <w:rsid w:val="00F90D9E"/>
    <w:rsid w:val="00FC7041"/>
    <w:rsid w:val="00FC7C90"/>
    <w:rsid w:val="00FF55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8C133"/>
  <w15:chartTrackingRefBased/>
  <w15:docId w15:val="{4BA8EB85-8837-4E8E-BD06-F14F19B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27E"/>
    <w:pPr>
      <w:spacing w:after="200" w:line="360" w:lineRule="auto"/>
      <w:jc w:val="both"/>
    </w:pPr>
    <w:rPr>
      <w:rFonts w:ascii="Century Gothic" w:hAnsi="Century Gothic"/>
      <w:sz w:val="18"/>
      <w:szCs w:val="18"/>
      <w:lang w:eastAsia="en-US"/>
    </w:rPr>
  </w:style>
  <w:style w:type="paragraph" w:styleId="Heading1">
    <w:name w:val="heading 1"/>
    <w:basedOn w:val="BodyText"/>
    <w:next w:val="BodyText"/>
    <w:qFormat/>
    <w:rsid w:val="0067260F"/>
    <w:pPr>
      <w:keepNext/>
      <w:outlineLvl w:val="0"/>
    </w:pPr>
    <w:rPr>
      <w:rFonts w:cs="Arial"/>
      <w:b/>
      <w:bCs/>
      <w:caps/>
      <w:szCs w:val="32"/>
    </w:rPr>
  </w:style>
  <w:style w:type="paragraph" w:styleId="Heading2">
    <w:name w:val="heading 2"/>
    <w:basedOn w:val="Heading1"/>
    <w:next w:val="BodyText"/>
    <w:qFormat/>
    <w:rsid w:val="007101BE"/>
    <w:pPr>
      <w:outlineLvl w:val="1"/>
    </w:pPr>
    <w:rPr>
      <w:b w:val="0"/>
      <w:bCs w:val="0"/>
      <w:iCs/>
      <w:caps w:val="0"/>
      <w:szCs w:val="28"/>
      <w:u w:val="single"/>
    </w:rPr>
  </w:style>
  <w:style w:type="paragraph" w:styleId="Heading3">
    <w:name w:val="heading 3"/>
    <w:basedOn w:val="Heading1"/>
    <w:next w:val="BodyText"/>
    <w:qFormat/>
    <w:pPr>
      <w:ind w:left="1701"/>
      <w:outlineLvl w:val="2"/>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851CD"/>
    <w:pPr>
      <w:spacing w:after="480" w:line="480" w:lineRule="auto"/>
    </w:pPr>
    <w:rPr>
      <w:rFonts w:ascii="Arial" w:hAnsi="Arial"/>
      <w:sz w:val="25"/>
    </w:rPr>
  </w:style>
  <w:style w:type="paragraph" w:customStyle="1" w:styleId="ParaLevel2">
    <w:name w:val="ParaLevel2"/>
    <w:basedOn w:val="BodyText"/>
    <w:pPr>
      <w:ind w:left="851"/>
    </w:pPr>
  </w:style>
  <w:style w:type="paragraph" w:styleId="Header">
    <w:name w:val="header"/>
    <w:basedOn w:val="Normal"/>
    <w:pPr>
      <w:tabs>
        <w:tab w:val="center" w:pos="4320"/>
        <w:tab w:val="right" w:pos="8640"/>
      </w:tabs>
    </w:pPr>
  </w:style>
  <w:style w:type="paragraph" w:customStyle="1" w:styleId="ParaLevel3">
    <w:name w:val="ParaLevel3"/>
    <w:basedOn w:val="ParaLevel2"/>
    <w:pPr>
      <w:ind w:left="1701"/>
    </w:pPr>
  </w:style>
  <w:style w:type="paragraph" w:customStyle="1" w:styleId="ListLevel1">
    <w:name w:val="ListLevel1"/>
    <w:basedOn w:val="BodyText"/>
    <w:qFormat/>
    <w:rsid w:val="004E6608"/>
    <w:pPr>
      <w:numPr>
        <w:numId w:val="27"/>
      </w:numPr>
    </w:pPr>
  </w:style>
  <w:style w:type="paragraph" w:customStyle="1" w:styleId="ListLevel2">
    <w:name w:val="ListLevel2"/>
    <w:basedOn w:val="ListLevel1"/>
    <w:qFormat/>
    <w:rsid w:val="001C327E"/>
    <w:pPr>
      <w:numPr>
        <w:ilvl w:val="1"/>
      </w:numPr>
      <w:ind w:left="1702" w:hanging="851"/>
    </w:pPr>
  </w:style>
  <w:style w:type="paragraph" w:customStyle="1" w:styleId="ListLevel3">
    <w:name w:val="ListLevel3"/>
    <w:basedOn w:val="ListLevel1"/>
    <w:qFormat/>
    <w:rsid w:val="006F061C"/>
    <w:pPr>
      <w:numPr>
        <w:ilvl w:val="2"/>
      </w:numPr>
    </w:pPr>
  </w:style>
  <w:style w:type="paragraph" w:styleId="Date">
    <w:name w:val="Date"/>
    <w:basedOn w:val="Normal"/>
    <w:next w:val="Normal"/>
  </w:style>
  <w:style w:type="paragraph" w:customStyle="1" w:styleId="ListLevel4">
    <w:name w:val="ListLevel4"/>
    <w:basedOn w:val="ListLevel1"/>
    <w:qFormat/>
    <w:rsid w:val="006F061C"/>
    <w:pPr>
      <w:numPr>
        <w:ilvl w:val="3"/>
      </w:numPr>
    </w:pPr>
  </w:style>
  <w:style w:type="paragraph" w:customStyle="1" w:styleId="Tramlines">
    <w:name w:val="Tramlines"/>
    <w:basedOn w:val="Normal"/>
    <w:next w:val="BodyText"/>
    <w:pPr>
      <w:pBdr>
        <w:top w:val="single" w:sz="4" w:space="12" w:color="auto"/>
        <w:bottom w:val="single" w:sz="4" w:space="12" w:color="auto"/>
      </w:pBdr>
      <w:jc w:val="center"/>
    </w:pPr>
    <w:rPr>
      <w:b/>
    </w:rPr>
  </w:style>
  <w:style w:type="paragraph" w:customStyle="1" w:styleId="SignatureLine">
    <w:name w:val="SignatureLine"/>
    <w:basedOn w:val="BodyText"/>
    <w:pPr>
      <w:spacing w:after="0" w:line="240" w:lineRule="auto"/>
      <w:ind w:left="5670"/>
    </w:pPr>
  </w:style>
  <w:style w:type="paragraph" w:customStyle="1" w:styleId="Overline">
    <w:name w:val="Overline"/>
    <w:basedOn w:val="SignatureLine"/>
    <w:next w:val="SignatureLine"/>
    <w:pPr>
      <w:tabs>
        <w:tab w:val="right" w:leader="underscore" w:pos="8789"/>
      </w:tabs>
      <w:ind w:left="5585"/>
    </w:pPr>
  </w:style>
  <w:style w:type="paragraph" w:customStyle="1" w:styleId="PartyLine">
    <w:name w:val="PartyLine"/>
    <w:basedOn w:val="Normal"/>
    <w:rsid w:val="00C46EF1"/>
    <w:pPr>
      <w:tabs>
        <w:tab w:val="right" w:pos="8789"/>
      </w:tabs>
      <w:spacing w:after="120"/>
    </w:pPr>
  </w:style>
  <w:style w:type="paragraph" w:customStyle="1" w:styleId="abracket">
    <w:name w:val="abracket"/>
    <w:basedOn w:val="BodyText"/>
    <w:pPr>
      <w:numPr>
        <w:numId w:val="20"/>
      </w:numPr>
    </w:pPr>
  </w:style>
  <w:style w:type="paragraph" w:customStyle="1" w:styleId="onebracket">
    <w:name w:val="onebracket"/>
    <w:basedOn w:val="BodyText"/>
    <w:pPr>
      <w:numPr>
        <w:numId w:val="25"/>
      </w:numP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Level4">
    <w:name w:val="ParaLevel4"/>
    <w:basedOn w:val="ParaLevel3"/>
    <w:rsid w:val="009B0F23"/>
    <w:pPr>
      <w:ind w:left="2552"/>
    </w:pPr>
  </w:style>
  <w:style w:type="paragraph" w:styleId="FootnoteText">
    <w:name w:val="footnote text"/>
    <w:basedOn w:val="Normal"/>
    <w:link w:val="FootnoteTextChar"/>
    <w:uiPriority w:val="99"/>
    <w:rsid w:val="00C73C01"/>
    <w:pPr>
      <w:tabs>
        <w:tab w:val="left" w:pos="284"/>
      </w:tabs>
    </w:pPr>
    <w:rPr>
      <w:rFonts w:ascii="Arial" w:hAnsi="Arial"/>
      <w:sz w:val="20"/>
      <w:szCs w:val="20"/>
    </w:rPr>
  </w:style>
  <w:style w:type="character" w:customStyle="1" w:styleId="FootnoteTextChar">
    <w:name w:val="Footnote Text Char"/>
    <w:link w:val="FootnoteText"/>
    <w:uiPriority w:val="99"/>
    <w:rsid w:val="00C73C01"/>
    <w:rPr>
      <w:rFonts w:ascii="Arial" w:hAnsi="Arial"/>
      <w:lang w:eastAsia="en-US"/>
    </w:rPr>
  </w:style>
  <w:style w:type="character" w:styleId="FootnoteReference">
    <w:name w:val="footnote reference"/>
    <w:uiPriority w:val="99"/>
    <w:rsid w:val="0025601B"/>
    <w:rPr>
      <w:vertAlign w:val="superscript"/>
    </w:rPr>
  </w:style>
  <w:style w:type="paragraph" w:customStyle="1" w:styleId="MSQuote">
    <w:name w:val="MS Quote"/>
    <w:basedOn w:val="ListLevel1"/>
    <w:qFormat/>
    <w:rsid w:val="0067260F"/>
    <w:pPr>
      <w:widowControl w:val="0"/>
      <w:numPr>
        <w:numId w:val="0"/>
      </w:numPr>
      <w:tabs>
        <w:tab w:val="left" w:pos="2438"/>
        <w:tab w:val="left" w:pos="3005"/>
      </w:tabs>
      <w:spacing w:line="240" w:lineRule="auto"/>
      <w:ind w:left="1871"/>
    </w:pPr>
    <w:rPr>
      <w:i/>
      <w:iCs/>
    </w:rPr>
  </w:style>
  <w:style w:type="paragraph" w:styleId="Title">
    <w:name w:val="Title"/>
    <w:link w:val="TitleChar"/>
    <w:qFormat/>
    <w:rsid w:val="001C327E"/>
    <w:pPr>
      <w:widowControl w:val="0"/>
    </w:pPr>
    <w:rPr>
      <w:rFonts w:ascii="Arial" w:hAnsi="Arial"/>
      <w:sz w:val="25"/>
      <w:lang w:eastAsia="en-US"/>
    </w:rPr>
  </w:style>
  <w:style w:type="character" w:customStyle="1" w:styleId="TitleChar">
    <w:name w:val="Title Char"/>
    <w:link w:val="Title"/>
    <w:rsid w:val="001C327E"/>
    <w:rPr>
      <w:rFonts w:ascii="Arial" w:hAnsi="Arial"/>
      <w:sz w:val="25"/>
      <w:lang w:eastAsia="en-US"/>
    </w:rPr>
  </w:style>
  <w:style w:type="paragraph" w:customStyle="1" w:styleId="SingleLineSpacing">
    <w:name w:val="Single Line Spacing"/>
    <w:basedOn w:val="Title"/>
    <w:rsid w:val="001C327E"/>
  </w:style>
  <w:style w:type="paragraph" w:customStyle="1" w:styleId="StyleTitleBoldCenteredLinespacing15lines">
    <w:name w:val="Style Title + Bold Centered Line spacing:  15 lines"/>
    <w:basedOn w:val="Title"/>
    <w:rsid w:val="001C327E"/>
    <w:pPr>
      <w:spacing w:line="360" w:lineRule="auto"/>
      <w:jc w:val="center"/>
    </w:pPr>
    <w:rPr>
      <w:b/>
      <w:bCs/>
    </w:rPr>
  </w:style>
  <w:style w:type="paragraph" w:customStyle="1" w:styleId="StyleTitleBold">
    <w:name w:val="Style Title + Bold"/>
    <w:basedOn w:val="Title"/>
    <w:rsid w:val="008851CD"/>
    <w:rPr>
      <w:b/>
      <w:bCs/>
    </w:rPr>
  </w:style>
  <w:style w:type="paragraph" w:customStyle="1" w:styleId="LegalTitle">
    <w:name w:val="Legal_Title"/>
    <w:basedOn w:val="Normal"/>
    <w:next w:val="Normal"/>
    <w:semiHidden/>
    <w:rsid w:val="00BD5A11"/>
    <w:pPr>
      <w:keepNext/>
      <w:suppressAutoHyphens/>
      <w:spacing w:after="360" w:line="480" w:lineRule="auto"/>
      <w:jc w:val="center"/>
    </w:pPr>
    <w:rPr>
      <w:rFonts w:ascii="Arial" w:hAnsi="Arial"/>
      <w:b/>
      <w:caps/>
      <w:sz w:val="24"/>
      <w:szCs w:val="24"/>
      <w:lang w:val="en-GB" w:eastAsia="en-GB"/>
    </w:rPr>
  </w:style>
  <w:style w:type="table" w:styleId="TableGrid">
    <w:name w:val="Table Grid"/>
    <w:basedOn w:val="TableNormal"/>
    <w:uiPriority w:val="39"/>
    <w:rsid w:val="00BD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2pt">
    <w:name w:val="Paragraph 12pt"/>
    <w:basedOn w:val="Normal"/>
    <w:rsid w:val="0075275C"/>
    <w:pPr>
      <w:spacing w:after="240" w:line="480" w:lineRule="auto"/>
    </w:pPr>
    <w:rPr>
      <w:rFonts w:ascii="Arial" w:hAnsi="Arial"/>
      <w:sz w:val="24"/>
      <w:szCs w:val="20"/>
      <w:lang w:eastAsia="ja-JP"/>
    </w:rPr>
  </w:style>
  <w:style w:type="paragraph" w:styleId="ListParagraph">
    <w:name w:val="List Paragraph"/>
    <w:basedOn w:val="Normal"/>
    <w:uiPriority w:val="34"/>
    <w:qFormat/>
    <w:rsid w:val="007B3DB5"/>
    <w:pPr>
      <w:spacing w:after="0" w:line="240" w:lineRule="auto"/>
      <w:ind w:left="720"/>
      <w:jc w:val="left"/>
    </w:pPr>
    <w:rPr>
      <w:rFonts w:ascii="Times New Roman" w:hAnsi="Times New Roman"/>
      <w:sz w:val="20"/>
      <w:szCs w:val="20"/>
      <w:lang w:val="en-US"/>
    </w:rPr>
  </w:style>
  <w:style w:type="character" w:styleId="Hyperlink">
    <w:name w:val="Hyperlink"/>
    <w:basedOn w:val="DefaultParagraphFont"/>
    <w:uiPriority w:val="99"/>
    <w:unhideWhenUsed/>
    <w:rsid w:val="00980139"/>
    <w:rPr>
      <w:color w:val="0563C1" w:themeColor="hyperlink"/>
      <w:u w:val="single"/>
    </w:rPr>
  </w:style>
  <w:style w:type="paragraph" w:styleId="NoSpacing">
    <w:name w:val="No Spacing"/>
    <w:uiPriority w:val="1"/>
    <w:qFormat/>
    <w:rsid w:val="00405046"/>
    <w:pPr>
      <w:jc w:val="both"/>
    </w:pPr>
    <w:rPr>
      <w:rFonts w:ascii="Century Gothic" w:hAnsi="Century Gothic"/>
      <w:sz w:val="18"/>
      <w:szCs w:val="18"/>
      <w:lang w:eastAsia="en-US"/>
    </w:rPr>
  </w:style>
  <w:style w:type="character" w:customStyle="1" w:styleId="UnresolvedMention1">
    <w:name w:val="Unresolved Mention1"/>
    <w:basedOn w:val="DefaultParagraphFont"/>
    <w:uiPriority w:val="99"/>
    <w:semiHidden/>
    <w:unhideWhenUsed/>
    <w:rsid w:val="001A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mayet@mvattorneys.co,za" TargetMode="External"/><Relationship Id="rId4" Type="http://schemas.openxmlformats.org/officeDocument/2006/relationships/settings" Target="settings.xml"/><Relationship Id="rId9" Type="http://schemas.openxmlformats.org/officeDocument/2006/relationships/hyperlink" Target="mailto:gcohenattorne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Downloads\Pleading%20Template%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AD33-34DC-4112-9125-9ED161648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Template USE</Template>
  <TotalTime>2</TotalTime>
  <Pages>25</Pages>
  <Words>3877</Words>
  <Characters>22099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Normal</vt:lpstr>
    </vt:vector>
  </TitlesOfParts>
  <Company>Chambers</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colleen smanjak</dc:creator>
  <cp:keywords/>
  <cp:lastModifiedBy>Mariana Anguelov</cp:lastModifiedBy>
  <cp:revision>3</cp:revision>
  <cp:lastPrinted>2022-01-26T15:55:00Z</cp:lastPrinted>
  <dcterms:created xsi:type="dcterms:W3CDTF">2022-10-28T13:18:00Z</dcterms:created>
  <dcterms:modified xsi:type="dcterms:W3CDTF">2022-10-30T19:36:00Z</dcterms:modified>
</cp:coreProperties>
</file>