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D571" w14:textId="77777777" w:rsidR="001E2697" w:rsidRDefault="001E2697" w:rsidP="001E2697">
      <w:pPr>
        <w:spacing w:line="360" w:lineRule="auto"/>
        <w:ind w:leftChars="-38" w:left="-91"/>
        <w:jc w:val="center"/>
        <w:rPr>
          <w:rFonts w:cs="Arial"/>
          <w:b/>
        </w:rPr>
      </w:pPr>
    </w:p>
    <w:p w14:paraId="18EF350F" w14:textId="77777777" w:rsidR="001E2697" w:rsidRPr="008A3859" w:rsidRDefault="001E2697" w:rsidP="001E2697">
      <w:pPr>
        <w:spacing w:line="360" w:lineRule="auto"/>
        <w:ind w:leftChars="-38" w:left="-91"/>
        <w:jc w:val="center"/>
        <w:rPr>
          <w:rFonts w:cs="Arial"/>
          <w:b/>
        </w:rPr>
      </w:pPr>
      <w:r w:rsidRPr="008A3859">
        <w:rPr>
          <w:rFonts w:cs="Arial"/>
          <w:b/>
        </w:rPr>
        <w:t>REPUBLIC OF SOUTH AFRICA</w:t>
      </w:r>
    </w:p>
    <w:p w14:paraId="2BD32E3B" w14:textId="77777777" w:rsidR="001E2697" w:rsidRPr="008A3859" w:rsidRDefault="001E2697" w:rsidP="001E2697">
      <w:pPr>
        <w:spacing w:line="360" w:lineRule="auto"/>
        <w:ind w:leftChars="-38" w:left="-91"/>
        <w:jc w:val="center"/>
        <w:rPr>
          <w:rFonts w:cs="Arial"/>
          <w:b/>
        </w:rPr>
      </w:pPr>
      <w:r>
        <w:rPr>
          <w:rFonts w:cs="Arial"/>
          <w:b/>
          <w:noProof/>
          <w:lang w:eastAsia="en-ZA"/>
        </w:rPr>
        <w:drawing>
          <wp:inline distT="0" distB="0" distL="0" distR="0" wp14:anchorId="50CA7734" wp14:editId="024BE80D">
            <wp:extent cx="140017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14:paraId="5FA16699" w14:textId="77777777" w:rsidR="001E2697" w:rsidRPr="008A3859" w:rsidRDefault="001E2697" w:rsidP="001E2697">
      <w:pPr>
        <w:spacing w:line="360" w:lineRule="auto"/>
        <w:ind w:leftChars="-38" w:left="-91"/>
        <w:jc w:val="center"/>
        <w:rPr>
          <w:rFonts w:cs="Arial"/>
          <w:b/>
        </w:rPr>
      </w:pPr>
      <w:r w:rsidRPr="008A3859">
        <w:rPr>
          <w:rFonts w:cs="Arial"/>
          <w:b/>
        </w:rPr>
        <w:t>IN THE HIGH COURT OF SOUTH AFRICA</w:t>
      </w:r>
    </w:p>
    <w:p w14:paraId="4DE9DB44" w14:textId="0619354B" w:rsidR="001E2697" w:rsidRPr="008A3859" w:rsidRDefault="001E2697" w:rsidP="001E2697">
      <w:pPr>
        <w:spacing w:line="360" w:lineRule="auto"/>
        <w:ind w:leftChars="-38" w:left="-91"/>
        <w:jc w:val="center"/>
        <w:rPr>
          <w:rFonts w:cs="Arial"/>
          <w:b/>
        </w:rPr>
      </w:pPr>
      <w:r w:rsidRPr="008A3859">
        <w:rPr>
          <w:rFonts w:cs="Arial"/>
          <w:b/>
        </w:rPr>
        <w:t>GAUTENG DIVISION, JOHANNESBURG</w:t>
      </w:r>
    </w:p>
    <w:p w14:paraId="1F8D97D2" w14:textId="77777777" w:rsidR="001E2697" w:rsidRDefault="001E2697" w:rsidP="001E2697">
      <w:pPr>
        <w:widowControl w:val="0"/>
        <w:jc w:val="center"/>
        <w:rPr>
          <w:rFonts w:cs="Arial"/>
        </w:rPr>
      </w:pPr>
    </w:p>
    <w:p w14:paraId="16061E25" w14:textId="77777777" w:rsidR="001E2697" w:rsidRPr="00F04BA1" w:rsidRDefault="001E2697" w:rsidP="001E2697">
      <w:pPr>
        <w:widowControl w:val="0"/>
        <w:jc w:val="center"/>
        <w:rPr>
          <w:rFonts w:cs="Arial"/>
        </w:rPr>
      </w:pPr>
    </w:p>
    <w:p w14:paraId="03BF3688" w14:textId="1B69AB8E" w:rsidR="001E2697" w:rsidRDefault="001E2697" w:rsidP="001E2697">
      <w:pPr>
        <w:tabs>
          <w:tab w:val="left" w:pos="-720"/>
        </w:tabs>
        <w:suppressAutoHyphens/>
        <w:jc w:val="right"/>
        <w:rPr>
          <w:rFonts w:cs="Arial"/>
          <w:b/>
          <w:bCs/>
          <w:spacing w:val="-3"/>
        </w:rPr>
      </w:pPr>
      <w:r>
        <w:rPr>
          <w:rFonts w:cs="Arial"/>
          <w:b/>
          <w:bCs/>
          <w:spacing w:val="-3"/>
        </w:rPr>
        <w:t>CASE NUMBER:</w:t>
      </w:r>
      <w:r w:rsidRPr="00C4182B">
        <w:t xml:space="preserve"> </w:t>
      </w:r>
      <w:r w:rsidR="009948E9">
        <w:rPr>
          <w:b/>
        </w:rPr>
        <w:t>40781/18</w:t>
      </w:r>
    </w:p>
    <w:p w14:paraId="599B9EA6" w14:textId="77777777" w:rsidR="001E2697" w:rsidRPr="001750A3" w:rsidRDefault="001E2697" w:rsidP="001E2697">
      <w:pPr>
        <w:tabs>
          <w:tab w:val="left" w:pos="-720"/>
        </w:tabs>
        <w:suppressAutoHyphens/>
        <w:jc w:val="right"/>
        <w:rPr>
          <w:rFonts w:cs="Arial"/>
          <w:b/>
          <w:bCs/>
          <w:spacing w:val="-3"/>
        </w:rPr>
      </w:pPr>
    </w:p>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1E2697" w:rsidRPr="00F04BA1" w14:paraId="3ABF34AB" w14:textId="77777777" w:rsidTr="004423C5">
        <w:trPr>
          <w:trHeight w:val="2528"/>
        </w:trPr>
        <w:tc>
          <w:tcPr>
            <w:tcW w:w="5812" w:type="dxa"/>
            <w:tcBorders>
              <w:top w:val="single" w:sz="4" w:space="0" w:color="auto"/>
              <w:left w:val="single" w:sz="4" w:space="0" w:color="auto"/>
              <w:bottom w:val="single" w:sz="4" w:space="0" w:color="auto"/>
              <w:right w:val="single" w:sz="4" w:space="0" w:color="auto"/>
            </w:tcBorders>
          </w:tcPr>
          <w:p w14:paraId="42223CB1" w14:textId="77777777" w:rsidR="001E2697" w:rsidRPr="00F04BA1" w:rsidRDefault="001E2697" w:rsidP="004423C5">
            <w:pPr>
              <w:jc w:val="both"/>
              <w:rPr>
                <w:rFonts w:cs="Arial"/>
                <w:sz w:val="16"/>
                <w:szCs w:val="16"/>
              </w:rPr>
            </w:pPr>
          </w:p>
          <w:p w14:paraId="367F2BD7" w14:textId="77777777" w:rsidR="001E2697" w:rsidRPr="008B170D" w:rsidRDefault="001E2697" w:rsidP="004423C5">
            <w:pPr>
              <w:ind w:left="180"/>
              <w:jc w:val="center"/>
              <w:rPr>
                <w:rFonts w:cs="Arial"/>
                <w:b/>
                <w:bCs/>
                <w:color w:val="FF0000"/>
                <w:sz w:val="18"/>
                <w:szCs w:val="18"/>
                <w:u w:val="single"/>
              </w:rPr>
            </w:pPr>
            <w:r w:rsidRPr="008B170D">
              <w:rPr>
                <w:rFonts w:cs="Arial"/>
                <w:b/>
                <w:bCs/>
                <w:color w:val="FF0000"/>
                <w:sz w:val="18"/>
                <w:szCs w:val="18"/>
                <w:u w:val="single"/>
              </w:rPr>
              <w:t>DELETE WHICHEVER IS NOT APPLICABLE</w:t>
            </w:r>
          </w:p>
          <w:p w14:paraId="47C1B344" w14:textId="77777777" w:rsidR="001E2697" w:rsidRPr="008B170D" w:rsidRDefault="001E2697" w:rsidP="004423C5">
            <w:pPr>
              <w:ind w:left="180"/>
              <w:jc w:val="center"/>
              <w:rPr>
                <w:rFonts w:cs="Arial"/>
                <w:b/>
                <w:bCs/>
                <w:color w:val="FF0000"/>
                <w:sz w:val="18"/>
                <w:szCs w:val="18"/>
                <w:u w:val="single"/>
              </w:rPr>
            </w:pPr>
          </w:p>
          <w:p w14:paraId="6D072193" w14:textId="2BCA4B50" w:rsidR="001E2697" w:rsidRPr="008B170D" w:rsidRDefault="00EA1E57" w:rsidP="004423C5">
            <w:pPr>
              <w:spacing w:line="480" w:lineRule="auto"/>
              <w:ind w:left="180"/>
              <w:jc w:val="both"/>
              <w:rPr>
                <w:rFonts w:cs="Arial"/>
                <w:bCs/>
                <w:color w:val="FF0000"/>
                <w:sz w:val="18"/>
                <w:szCs w:val="18"/>
              </w:rPr>
            </w:pPr>
            <w:r>
              <w:rPr>
                <w:rFonts w:cs="Arial"/>
                <w:bCs/>
                <w:color w:val="FF0000"/>
                <w:sz w:val="18"/>
                <w:szCs w:val="18"/>
              </w:rPr>
              <w:t>1.REPORTABLE:  NO</w:t>
            </w:r>
            <w:r w:rsidR="001E2697" w:rsidRPr="008B170D">
              <w:rPr>
                <w:rFonts w:cs="Arial"/>
                <w:bCs/>
                <w:color w:val="FF0000"/>
                <w:sz w:val="18"/>
                <w:szCs w:val="18"/>
              </w:rPr>
              <w:t xml:space="preserve">                                                              </w:t>
            </w:r>
            <w:r w:rsidR="001E2697">
              <w:rPr>
                <w:rFonts w:cs="Arial"/>
                <w:bCs/>
                <w:color w:val="FF0000"/>
                <w:sz w:val="18"/>
                <w:szCs w:val="18"/>
              </w:rPr>
              <w:t xml:space="preserve"> </w:t>
            </w:r>
            <w:r w:rsidR="001E2697" w:rsidRPr="008B170D">
              <w:rPr>
                <w:rFonts w:cs="Arial"/>
                <w:bCs/>
                <w:color w:val="FF0000"/>
                <w:sz w:val="18"/>
                <w:szCs w:val="18"/>
              </w:rPr>
              <w:t xml:space="preserve"> </w:t>
            </w:r>
          </w:p>
          <w:p w14:paraId="459FF77E" w14:textId="6BD4734E" w:rsidR="001E2697" w:rsidRPr="008B170D" w:rsidRDefault="001E2697" w:rsidP="004423C5">
            <w:pPr>
              <w:spacing w:line="480" w:lineRule="auto"/>
              <w:ind w:left="180"/>
              <w:jc w:val="both"/>
              <w:rPr>
                <w:rFonts w:cs="Arial"/>
                <w:bCs/>
                <w:color w:val="FF0000"/>
                <w:sz w:val="18"/>
                <w:szCs w:val="18"/>
              </w:rPr>
            </w:pPr>
            <w:r w:rsidRPr="008B170D">
              <w:rPr>
                <w:rFonts w:cs="Arial"/>
                <w:bCs/>
                <w:color w:val="FF0000"/>
                <w:sz w:val="18"/>
                <w:szCs w:val="18"/>
              </w:rPr>
              <w:t>2.</w:t>
            </w:r>
            <w:r w:rsidR="00EA1E57">
              <w:rPr>
                <w:rFonts w:cs="Arial"/>
                <w:bCs/>
                <w:color w:val="FF0000"/>
                <w:sz w:val="18"/>
                <w:szCs w:val="18"/>
              </w:rPr>
              <w:t>OF INTEREST TO OTHER JUDGES:  NO</w:t>
            </w:r>
            <w:r w:rsidRPr="008B170D">
              <w:rPr>
                <w:rFonts w:cs="Arial"/>
                <w:bCs/>
                <w:color w:val="FF0000"/>
                <w:sz w:val="18"/>
                <w:szCs w:val="18"/>
              </w:rPr>
              <w:t xml:space="preserve">                           </w:t>
            </w:r>
            <w:r>
              <w:rPr>
                <w:rFonts w:cs="Arial"/>
                <w:bCs/>
                <w:color w:val="FF0000"/>
                <w:sz w:val="18"/>
                <w:szCs w:val="18"/>
              </w:rPr>
              <w:t xml:space="preserve"> </w:t>
            </w:r>
          </w:p>
          <w:p w14:paraId="24E6769D" w14:textId="75E42385" w:rsidR="001E2697" w:rsidRPr="008B170D" w:rsidRDefault="001E2697" w:rsidP="004423C5">
            <w:pPr>
              <w:spacing w:line="480" w:lineRule="auto"/>
              <w:ind w:left="180"/>
              <w:jc w:val="both"/>
              <w:rPr>
                <w:rFonts w:cs="Arial"/>
                <w:bCs/>
                <w:color w:val="FF0000"/>
                <w:sz w:val="18"/>
                <w:szCs w:val="18"/>
              </w:rPr>
            </w:pPr>
            <w:r w:rsidRPr="008B170D">
              <w:rPr>
                <w:rFonts w:cs="Arial"/>
                <w:bCs/>
                <w:color w:val="FF0000"/>
                <w:sz w:val="18"/>
                <w:szCs w:val="18"/>
              </w:rPr>
              <w:t>3.REVISED</w:t>
            </w:r>
            <w:r w:rsidR="00EA1E57">
              <w:rPr>
                <w:rFonts w:cs="Arial"/>
                <w:bCs/>
                <w:color w:val="FF0000"/>
                <w:sz w:val="18"/>
                <w:szCs w:val="18"/>
              </w:rPr>
              <w:t xml:space="preserve">:  NO </w:t>
            </w:r>
            <w:r>
              <w:rPr>
                <w:rFonts w:cs="Arial"/>
                <w:bCs/>
                <w:color w:val="FF0000"/>
                <w:sz w:val="18"/>
                <w:szCs w:val="18"/>
              </w:rPr>
              <w:t xml:space="preserve">                                                                            </w:t>
            </w:r>
          </w:p>
          <w:p w14:paraId="386136B5" w14:textId="77777777" w:rsidR="001E2697" w:rsidRPr="008B170D" w:rsidRDefault="001E2697" w:rsidP="004423C5">
            <w:pPr>
              <w:spacing w:line="360" w:lineRule="auto"/>
              <w:ind w:left="180"/>
              <w:jc w:val="both"/>
              <w:rPr>
                <w:rFonts w:cs="Arial"/>
                <w:bCs/>
                <w:color w:val="FF0000"/>
                <w:sz w:val="18"/>
                <w:szCs w:val="18"/>
              </w:rPr>
            </w:pPr>
          </w:p>
          <w:p w14:paraId="047C9726" w14:textId="77777777" w:rsidR="001E2697" w:rsidRPr="00F04BA1" w:rsidRDefault="001E2697" w:rsidP="004423C5">
            <w:pPr>
              <w:spacing w:line="360" w:lineRule="auto"/>
              <w:ind w:left="180"/>
              <w:jc w:val="both"/>
              <w:rPr>
                <w:rFonts w:cs="Arial"/>
                <w:sz w:val="16"/>
                <w:szCs w:val="16"/>
              </w:rPr>
            </w:pPr>
            <w:r w:rsidRPr="008B170D">
              <w:rPr>
                <w:rFonts w:cs="Arial"/>
                <w:b/>
                <w:bCs/>
                <w:color w:val="FF0000"/>
                <w:sz w:val="18"/>
                <w:szCs w:val="18"/>
              </w:rPr>
              <w:t xml:space="preserve">                     </w:t>
            </w:r>
            <w:r>
              <w:rPr>
                <w:rFonts w:cs="Arial"/>
                <w:b/>
                <w:bCs/>
                <w:color w:val="FF0000"/>
                <w:sz w:val="18"/>
                <w:szCs w:val="18"/>
              </w:rPr>
              <w:t xml:space="preserve">                                              Judge </w:t>
            </w:r>
            <w:proofErr w:type="spellStart"/>
            <w:r>
              <w:rPr>
                <w:rFonts w:cs="Arial"/>
                <w:b/>
                <w:bCs/>
                <w:color w:val="FF0000"/>
                <w:sz w:val="18"/>
                <w:szCs w:val="18"/>
              </w:rPr>
              <w:t>Dippenaar</w:t>
            </w:r>
            <w:proofErr w:type="spellEnd"/>
          </w:p>
        </w:tc>
      </w:tr>
    </w:tbl>
    <w:p w14:paraId="54544FDF" w14:textId="77777777" w:rsidR="001E2697" w:rsidRDefault="001E2697" w:rsidP="001E2697">
      <w:pPr>
        <w:tabs>
          <w:tab w:val="left" w:pos="-720"/>
        </w:tabs>
        <w:suppressAutoHyphens/>
        <w:rPr>
          <w:rFonts w:cs="Arial"/>
          <w:bCs/>
          <w:spacing w:val="-3"/>
        </w:rPr>
      </w:pPr>
    </w:p>
    <w:p w14:paraId="4189105A" w14:textId="77777777" w:rsidR="001E2697" w:rsidRDefault="001E2697" w:rsidP="001E2697">
      <w:pPr>
        <w:tabs>
          <w:tab w:val="left" w:pos="-720"/>
        </w:tabs>
        <w:suppressAutoHyphens/>
        <w:rPr>
          <w:rFonts w:cs="Arial"/>
          <w:bCs/>
          <w:spacing w:val="-3"/>
        </w:rPr>
      </w:pPr>
    </w:p>
    <w:p w14:paraId="42452D94" w14:textId="77777777" w:rsidR="001E2697" w:rsidRDefault="001E2697" w:rsidP="001E2697">
      <w:pPr>
        <w:tabs>
          <w:tab w:val="left" w:pos="-720"/>
        </w:tabs>
        <w:suppressAutoHyphens/>
        <w:rPr>
          <w:rFonts w:cs="Arial"/>
          <w:bCs/>
          <w:spacing w:val="-3"/>
        </w:rPr>
      </w:pPr>
    </w:p>
    <w:p w14:paraId="72F25B48" w14:textId="77777777" w:rsidR="001E2697" w:rsidRDefault="001E2697" w:rsidP="001E2697">
      <w:pPr>
        <w:tabs>
          <w:tab w:val="left" w:pos="-720"/>
        </w:tabs>
        <w:suppressAutoHyphens/>
        <w:rPr>
          <w:rFonts w:cs="Arial"/>
          <w:bCs/>
          <w:spacing w:val="-3"/>
        </w:rPr>
      </w:pPr>
      <w:r w:rsidRPr="00F04BA1">
        <w:rPr>
          <w:rFonts w:cs="Arial"/>
          <w:bCs/>
          <w:spacing w:val="-3"/>
        </w:rPr>
        <w:t>In the matter between:</w:t>
      </w:r>
    </w:p>
    <w:p w14:paraId="0C92776A" w14:textId="77777777" w:rsidR="001E2697" w:rsidRPr="000F64D9" w:rsidRDefault="001E2697" w:rsidP="001E2697">
      <w:pPr>
        <w:widowControl w:val="0"/>
        <w:tabs>
          <w:tab w:val="right" w:pos="9356"/>
        </w:tabs>
        <w:jc w:val="both"/>
        <w:rPr>
          <w:b/>
        </w:rPr>
      </w:pPr>
    </w:p>
    <w:p w14:paraId="5A6579E2" w14:textId="12CE28C1" w:rsidR="00582B78" w:rsidRPr="009948E9" w:rsidRDefault="00582B78" w:rsidP="00582B78">
      <w:pPr>
        <w:widowControl w:val="0"/>
        <w:tabs>
          <w:tab w:val="right" w:pos="9356"/>
        </w:tabs>
        <w:jc w:val="both"/>
        <w:rPr>
          <w:rFonts w:eastAsia="Calibri" w:cs="Arial"/>
          <w:b/>
          <w:bCs/>
          <w:lang w:val="en-US"/>
        </w:rPr>
      </w:pPr>
      <w:bookmarkStart w:id="0" w:name="_Hlk67557019"/>
      <w:r>
        <w:rPr>
          <w:rFonts w:eastAsia="Calibri" w:cs="Arial"/>
          <w:b/>
          <w:bCs/>
          <w:lang w:val="en-US"/>
        </w:rPr>
        <w:t>RIDWAN THOKAN</w:t>
      </w:r>
      <w:r>
        <w:tab/>
      </w:r>
      <w:r w:rsidR="009948E9">
        <w:rPr>
          <w:rFonts w:eastAsia="Calibri" w:cs="Arial"/>
          <w:b/>
          <w:bCs/>
          <w:lang w:val="en-US"/>
        </w:rPr>
        <w:t>PLAINTIFF</w:t>
      </w:r>
    </w:p>
    <w:p w14:paraId="08950B1D" w14:textId="2A66A3CD" w:rsidR="005A0267" w:rsidRPr="009948E9" w:rsidRDefault="00582B78" w:rsidP="001E2697">
      <w:pPr>
        <w:widowControl w:val="0"/>
        <w:tabs>
          <w:tab w:val="right" w:pos="9356"/>
        </w:tabs>
        <w:jc w:val="both"/>
        <w:rPr>
          <w:rFonts w:eastAsia="Calibri" w:cs="Arial"/>
          <w:b/>
          <w:bCs/>
          <w:lang w:val="en-US"/>
        </w:rPr>
      </w:pPr>
      <w:r w:rsidRPr="003B7F1D">
        <w:rPr>
          <w:rFonts w:eastAsia="Calibri" w:cs="Arial"/>
          <w:b/>
          <w:bCs/>
          <w:lang w:val="en-US"/>
        </w:rPr>
        <w:tab/>
      </w:r>
    </w:p>
    <w:p w14:paraId="2293F5A1" w14:textId="2142E753" w:rsidR="005A0267" w:rsidRDefault="005A0267" w:rsidP="001E2697">
      <w:pPr>
        <w:widowControl w:val="0"/>
        <w:tabs>
          <w:tab w:val="right" w:pos="9356"/>
        </w:tabs>
        <w:jc w:val="both"/>
        <w:rPr>
          <w:b/>
        </w:rPr>
      </w:pPr>
    </w:p>
    <w:p w14:paraId="39FAFA59" w14:textId="1F4F4F3C" w:rsidR="001E2697" w:rsidRPr="000F64D9" w:rsidRDefault="005A0267" w:rsidP="001E2697">
      <w:pPr>
        <w:widowControl w:val="0"/>
        <w:tabs>
          <w:tab w:val="right" w:pos="9356"/>
        </w:tabs>
        <w:jc w:val="both"/>
        <w:rPr>
          <w:b/>
        </w:rPr>
      </w:pPr>
      <w:r>
        <w:rPr>
          <w:b/>
        </w:rPr>
        <w:tab/>
      </w:r>
    </w:p>
    <w:p w14:paraId="6C62F3C8" w14:textId="77777777" w:rsidR="001E2697" w:rsidRPr="000F64D9" w:rsidRDefault="001E2697" w:rsidP="001E2697">
      <w:pPr>
        <w:widowControl w:val="0"/>
        <w:tabs>
          <w:tab w:val="right" w:pos="9356"/>
        </w:tabs>
        <w:jc w:val="both"/>
        <w:rPr>
          <w:b/>
        </w:rPr>
      </w:pPr>
      <w:r w:rsidRPr="000F64D9">
        <w:rPr>
          <w:b/>
        </w:rPr>
        <w:t>AND</w:t>
      </w:r>
    </w:p>
    <w:p w14:paraId="2B2F3C7D" w14:textId="77777777" w:rsidR="001E2697" w:rsidRDefault="001E2697" w:rsidP="001E2697">
      <w:pPr>
        <w:widowControl w:val="0"/>
        <w:tabs>
          <w:tab w:val="right" w:pos="9356"/>
        </w:tabs>
        <w:jc w:val="both"/>
        <w:rPr>
          <w:b/>
        </w:rPr>
      </w:pPr>
    </w:p>
    <w:p w14:paraId="3F8DA557" w14:textId="77777777" w:rsidR="0039420D" w:rsidRDefault="0039420D" w:rsidP="001E2697">
      <w:pPr>
        <w:widowControl w:val="0"/>
        <w:tabs>
          <w:tab w:val="right" w:pos="9356"/>
        </w:tabs>
        <w:jc w:val="both"/>
        <w:rPr>
          <w:b/>
        </w:rPr>
      </w:pPr>
    </w:p>
    <w:p w14:paraId="4CBF0E04" w14:textId="4318913C" w:rsidR="009948E9" w:rsidRPr="009948E9" w:rsidRDefault="009948E9" w:rsidP="009948E9">
      <w:pPr>
        <w:widowControl w:val="0"/>
        <w:tabs>
          <w:tab w:val="right" w:pos="9356"/>
        </w:tabs>
        <w:jc w:val="both"/>
        <w:rPr>
          <w:rFonts w:eastAsia="Calibri" w:cs="Arial"/>
          <w:b/>
          <w:bCs/>
          <w:lang w:val="en-US"/>
        </w:rPr>
      </w:pPr>
      <w:r>
        <w:rPr>
          <w:rFonts w:eastAsia="Calibri" w:cs="Arial"/>
          <w:b/>
          <w:bCs/>
          <w:lang w:val="en-US"/>
        </w:rPr>
        <w:t>MARTIN ANDRE KRIEGLER</w:t>
      </w:r>
      <w:r w:rsidRPr="003B7F1D">
        <w:rPr>
          <w:rFonts w:eastAsia="Calibri" w:cs="Arial"/>
          <w:b/>
          <w:bCs/>
          <w:lang w:val="en-US"/>
        </w:rPr>
        <w:t xml:space="preserve"> </w:t>
      </w:r>
      <w:r>
        <w:rPr>
          <w:rFonts w:eastAsia="Calibri" w:cs="Arial"/>
          <w:b/>
          <w:bCs/>
          <w:lang w:val="en-US"/>
        </w:rPr>
        <w:tab/>
        <w:t>FIRST DEFENDANT</w:t>
      </w:r>
    </w:p>
    <w:p w14:paraId="588984CC" w14:textId="77777777" w:rsidR="009948E9" w:rsidRDefault="009948E9" w:rsidP="009948E9">
      <w:pPr>
        <w:widowControl w:val="0"/>
        <w:tabs>
          <w:tab w:val="right" w:pos="9356"/>
        </w:tabs>
        <w:jc w:val="both"/>
        <w:rPr>
          <w:rFonts w:eastAsia="Calibri" w:cs="Arial"/>
          <w:bCs/>
          <w:lang w:val="en-US"/>
        </w:rPr>
      </w:pPr>
    </w:p>
    <w:p w14:paraId="5274158E" w14:textId="335F0B82" w:rsidR="001E2697" w:rsidRDefault="009948E9" w:rsidP="009948E9">
      <w:pPr>
        <w:widowControl w:val="0"/>
        <w:tabs>
          <w:tab w:val="right" w:pos="9356"/>
        </w:tabs>
        <w:jc w:val="both"/>
        <w:rPr>
          <w:b/>
        </w:rPr>
      </w:pPr>
      <w:r w:rsidRPr="00940F95">
        <w:rPr>
          <w:rFonts w:eastAsia="Calibri" w:cs="Arial"/>
          <w:b/>
          <w:bCs/>
          <w:lang w:val="en-US"/>
        </w:rPr>
        <w:t>PAM GOLDING PROPERTIES (PTY) LTD</w:t>
      </w:r>
      <w:r w:rsidR="0039420D">
        <w:rPr>
          <w:b/>
        </w:rPr>
        <w:tab/>
      </w:r>
      <w:r>
        <w:rPr>
          <w:b/>
        </w:rPr>
        <w:t>SECOND DEFENDANT</w:t>
      </w:r>
    </w:p>
    <w:p w14:paraId="3BD5737E" w14:textId="74FD3CC1" w:rsidR="001E2697" w:rsidRDefault="001E2697" w:rsidP="001E2697">
      <w:pPr>
        <w:widowControl w:val="0"/>
        <w:tabs>
          <w:tab w:val="right" w:pos="9356"/>
        </w:tabs>
        <w:jc w:val="both"/>
        <w:rPr>
          <w:b/>
        </w:rPr>
      </w:pPr>
    </w:p>
    <w:p w14:paraId="5F4DABC6" w14:textId="20F912A5" w:rsidR="005A0267" w:rsidRDefault="005A0267" w:rsidP="001E2697">
      <w:pPr>
        <w:widowControl w:val="0"/>
        <w:tabs>
          <w:tab w:val="right" w:pos="9356"/>
        </w:tabs>
        <w:jc w:val="both"/>
        <w:rPr>
          <w:b/>
        </w:rPr>
      </w:pPr>
      <w:r>
        <w:rPr>
          <w:b/>
        </w:rPr>
        <w:t xml:space="preserve"> </w:t>
      </w:r>
    </w:p>
    <w:p w14:paraId="7410BA02" w14:textId="6977BA2F" w:rsidR="004D55A8" w:rsidRDefault="00113EEB" w:rsidP="0039420D">
      <w:pPr>
        <w:widowControl w:val="0"/>
        <w:tabs>
          <w:tab w:val="right" w:pos="9356"/>
        </w:tabs>
        <w:jc w:val="both"/>
        <w:rPr>
          <w:b/>
        </w:rPr>
      </w:pPr>
      <w:r>
        <w:rPr>
          <w:b/>
          <w:lang w:val="en-GB"/>
        </w:rPr>
        <w:tab/>
      </w:r>
      <w:bookmarkEnd w:id="0"/>
      <w:r w:rsidR="005A0267">
        <w:rPr>
          <w:b/>
        </w:rPr>
        <w:t xml:space="preserve"> </w:t>
      </w:r>
    </w:p>
    <w:p w14:paraId="4A6BBA1C" w14:textId="77777777" w:rsidR="001E2697" w:rsidRDefault="001E2697" w:rsidP="001E2697">
      <w:pPr>
        <w:widowControl w:val="0"/>
        <w:tabs>
          <w:tab w:val="right" w:pos="9356"/>
        </w:tabs>
        <w:jc w:val="both"/>
        <w:rPr>
          <w:b/>
        </w:rPr>
      </w:pPr>
    </w:p>
    <w:p w14:paraId="21CF8FA0" w14:textId="77777777" w:rsidR="001E2697" w:rsidRPr="00C4182B" w:rsidRDefault="001E2697" w:rsidP="001E2697">
      <w:pPr>
        <w:widowControl w:val="0"/>
        <w:tabs>
          <w:tab w:val="right" w:pos="9356"/>
        </w:tabs>
        <w:jc w:val="both"/>
        <w:rPr>
          <w:b/>
        </w:rPr>
      </w:pPr>
      <w:r w:rsidRPr="000F64D9">
        <w:rPr>
          <w:b/>
        </w:rPr>
        <w:lastRenderedPageBreak/>
        <w:tab/>
      </w:r>
      <w:r w:rsidRPr="000F64D9">
        <w:rPr>
          <w:b/>
        </w:rPr>
        <w:tab/>
        <w:t xml:space="preserve">   </w:t>
      </w:r>
    </w:p>
    <w:p w14:paraId="32C5C398" w14:textId="29567CB8" w:rsidR="001E2697" w:rsidRPr="000F64D9" w:rsidRDefault="0039420D" w:rsidP="001E2697">
      <w:pPr>
        <w:pStyle w:val="Tramlines"/>
        <w:rPr>
          <w:rFonts w:cs="Arial"/>
          <w:lang w:val="en-US"/>
        </w:rPr>
      </w:pPr>
      <w:r>
        <w:rPr>
          <w:rFonts w:cs="Arial"/>
          <w:lang w:val="en-US"/>
        </w:rPr>
        <w:t xml:space="preserve">LEAVE TO APPEAL </w:t>
      </w:r>
      <w:r w:rsidR="001E2697">
        <w:rPr>
          <w:rFonts w:cs="Arial"/>
          <w:lang w:val="en-US"/>
        </w:rPr>
        <w:t>JUDG</w:t>
      </w:r>
      <w:r w:rsidR="001E2697" w:rsidRPr="00005B36">
        <w:rPr>
          <w:rFonts w:cs="Arial"/>
          <w:lang w:val="en-US"/>
        </w:rPr>
        <w:t>MENT</w:t>
      </w:r>
    </w:p>
    <w:p w14:paraId="67ED6938" w14:textId="77777777" w:rsidR="001E2697" w:rsidRDefault="001E2697" w:rsidP="001E2697">
      <w:pPr>
        <w:tabs>
          <w:tab w:val="left" w:pos="-720"/>
        </w:tabs>
        <w:suppressAutoHyphens/>
        <w:spacing w:line="360" w:lineRule="auto"/>
        <w:jc w:val="both"/>
        <w:rPr>
          <w:rFonts w:cs="Arial"/>
          <w:b/>
          <w:bCs/>
          <w:spacing w:val="-3"/>
        </w:rPr>
      </w:pPr>
    </w:p>
    <w:p w14:paraId="19EA82BB" w14:textId="170024EA" w:rsidR="001E2697" w:rsidRPr="003E152F" w:rsidRDefault="001E2697" w:rsidP="001E2697">
      <w:pPr>
        <w:ind w:left="1440" w:hanging="1440"/>
        <w:jc w:val="both"/>
        <w:rPr>
          <w:rFonts w:cs="Arial"/>
          <w:kern w:val="0"/>
          <w:lang w:eastAsia="en-US"/>
        </w:rPr>
      </w:pPr>
      <w:r w:rsidRPr="003E152F">
        <w:rPr>
          <w:rFonts w:cs="Arial"/>
          <w:b/>
        </w:rPr>
        <w:t>Delivered:</w:t>
      </w:r>
      <w:r w:rsidRPr="003E152F">
        <w:rPr>
          <w:rFonts w:cs="Arial"/>
          <w:b/>
        </w:rPr>
        <w:tab/>
      </w:r>
      <w:r w:rsidRPr="003E152F">
        <w:rPr>
          <w:rFonts w:cs="Arial"/>
        </w:rPr>
        <w:t xml:space="preserve">This judgment was handed down electronically by circulation to the parties’ legal representatives by e-mail. The date and time for hand-down is deemed to be 10h00 on the </w:t>
      </w:r>
      <w:r w:rsidR="00315186">
        <w:rPr>
          <w:rFonts w:cs="Arial"/>
        </w:rPr>
        <w:t>2</w:t>
      </w:r>
      <w:r w:rsidR="00B22A6B">
        <w:rPr>
          <w:rFonts w:cs="Arial"/>
        </w:rPr>
        <w:t>8</w:t>
      </w:r>
      <w:r w:rsidR="0039420D">
        <w:rPr>
          <w:rFonts w:cs="Arial"/>
          <w:vertAlign w:val="superscript"/>
        </w:rPr>
        <w:t>th</w:t>
      </w:r>
      <w:r w:rsidR="00383D1C">
        <w:rPr>
          <w:rFonts w:cs="Arial"/>
        </w:rPr>
        <w:t xml:space="preserve"> </w:t>
      </w:r>
      <w:r w:rsidRPr="003E152F">
        <w:rPr>
          <w:rFonts w:cs="Arial"/>
        </w:rPr>
        <w:t xml:space="preserve">of </w:t>
      </w:r>
      <w:r w:rsidR="00503815">
        <w:rPr>
          <w:rFonts w:cs="Arial"/>
        </w:rPr>
        <w:t>October</w:t>
      </w:r>
      <w:r>
        <w:rPr>
          <w:rFonts w:cs="Arial"/>
        </w:rPr>
        <w:t xml:space="preserve"> </w:t>
      </w:r>
      <w:r w:rsidRPr="003E152F">
        <w:rPr>
          <w:rFonts w:cs="Arial"/>
        </w:rPr>
        <w:t>202</w:t>
      </w:r>
      <w:r w:rsidR="0039420D">
        <w:rPr>
          <w:rFonts w:cs="Arial"/>
        </w:rPr>
        <w:t>2</w:t>
      </w:r>
      <w:r w:rsidRPr="003E152F">
        <w:rPr>
          <w:rFonts w:cs="Arial"/>
        </w:rPr>
        <w:t>.</w:t>
      </w:r>
    </w:p>
    <w:p w14:paraId="54A5FD4D" w14:textId="77777777" w:rsidR="001E2697" w:rsidRDefault="001E2697" w:rsidP="001E2697">
      <w:pPr>
        <w:tabs>
          <w:tab w:val="left" w:pos="-720"/>
        </w:tabs>
        <w:suppressAutoHyphens/>
        <w:spacing w:line="360" w:lineRule="auto"/>
        <w:jc w:val="both"/>
        <w:rPr>
          <w:rFonts w:cs="Arial"/>
          <w:b/>
          <w:bCs/>
          <w:spacing w:val="-3"/>
          <w:u w:val="single"/>
        </w:rPr>
      </w:pPr>
    </w:p>
    <w:p w14:paraId="7EF343BE" w14:textId="77777777" w:rsidR="001E2697" w:rsidRDefault="001E2697" w:rsidP="001E2697">
      <w:pPr>
        <w:tabs>
          <w:tab w:val="left" w:pos="-720"/>
        </w:tabs>
        <w:suppressAutoHyphens/>
        <w:spacing w:line="360" w:lineRule="auto"/>
        <w:jc w:val="both"/>
        <w:rPr>
          <w:rFonts w:cs="Arial"/>
          <w:b/>
          <w:bCs/>
          <w:spacing w:val="-3"/>
          <w:u w:val="single"/>
        </w:rPr>
      </w:pPr>
    </w:p>
    <w:p w14:paraId="557AC8E2" w14:textId="77777777" w:rsidR="001E2697" w:rsidRDefault="001E2697" w:rsidP="001E2697">
      <w:pPr>
        <w:tabs>
          <w:tab w:val="left" w:pos="-720"/>
        </w:tabs>
        <w:suppressAutoHyphens/>
        <w:spacing w:line="360" w:lineRule="auto"/>
        <w:jc w:val="both"/>
        <w:rPr>
          <w:rFonts w:cs="Arial"/>
          <w:b/>
          <w:bCs/>
          <w:spacing w:val="-3"/>
        </w:rPr>
      </w:pPr>
      <w:r>
        <w:rPr>
          <w:rFonts w:cs="Arial"/>
          <w:b/>
          <w:bCs/>
          <w:spacing w:val="-3"/>
          <w:u w:val="single"/>
        </w:rPr>
        <w:t xml:space="preserve">DIPPENAAR </w:t>
      </w:r>
      <w:r w:rsidRPr="00F4093B">
        <w:rPr>
          <w:rFonts w:cs="Arial"/>
          <w:b/>
          <w:bCs/>
          <w:spacing w:val="-3"/>
          <w:u w:val="single"/>
        </w:rPr>
        <w:t>J</w:t>
      </w:r>
      <w:r>
        <w:rPr>
          <w:rFonts w:cs="Arial"/>
          <w:b/>
          <w:bCs/>
          <w:spacing w:val="-3"/>
        </w:rPr>
        <w:t>:</w:t>
      </w:r>
    </w:p>
    <w:p w14:paraId="210BEE89" w14:textId="66DD6BC0" w:rsidR="0039420D" w:rsidRDefault="0039420D" w:rsidP="0039420D">
      <w:pPr>
        <w:pStyle w:val="level1"/>
        <w:numPr>
          <w:ilvl w:val="0"/>
          <w:numId w:val="0"/>
        </w:numPr>
        <w:spacing w:after="480" w:line="360" w:lineRule="auto"/>
        <w:ind w:left="720" w:hanging="360"/>
        <w:jc w:val="both"/>
        <w:rPr>
          <w:lang w:val="en-US"/>
        </w:rPr>
      </w:pPr>
    </w:p>
    <w:p w14:paraId="2D261983" w14:textId="202EFC02" w:rsidR="00CE206E" w:rsidRPr="00CE206E" w:rsidRDefault="00665510" w:rsidP="00665510">
      <w:pPr>
        <w:pStyle w:val="level1"/>
        <w:numPr>
          <w:ilvl w:val="0"/>
          <w:numId w:val="0"/>
        </w:numPr>
        <w:spacing w:after="480" w:line="360" w:lineRule="auto"/>
        <w:jc w:val="both"/>
        <w:rPr>
          <w:rFonts w:cs="Arial"/>
        </w:rPr>
      </w:pPr>
      <w:r w:rsidRPr="00CE206E">
        <w:rPr>
          <w:rFonts w:cs="Arial"/>
        </w:rPr>
        <w:t>[1]</w:t>
      </w:r>
      <w:r w:rsidRPr="00CE206E">
        <w:rPr>
          <w:rFonts w:cs="Arial"/>
        </w:rPr>
        <w:tab/>
      </w:r>
      <w:r w:rsidR="00902854">
        <w:t xml:space="preserve">The </w:t>
      </w:r>
      <w:r w:rsidR="00123BF2">
        <w:t>parties will be referred to as in the action proceedings. The plaintiff</w:t>
      </w:r>
      <w:r w:rsidR="0064639D">
        <w:t>, as applicant,</w:t>
      </w:r>
      <w:r w:rsidR="00123BF2">
        <w:t xml:space="preserve"> </w:t>
      </w:r>
      <w:r w:rsidR="00902854">
        <w:t xml:space="preserve">applies for leave to appeal against </w:t>
      </w:r>
      <w:r w:rsidR="00315186">
        <w:t>a portion</w:t>
      </w:r>
      <w:r w:rsidR="00902854">
        <w:t xml:space="preserve"> of the judgment and order granted by me on 1</w:t>
      </w:r>
      <w:r w:rsidR="00315186">
        <w:t>3 September</w:t>
      </w:r>
      <w:r w:rsidR="00902854">
        <w:t xml:space="preserve"> 2022</w:t>
      </w:r>
      <w:r w:rsidR="00315186">
        <w:t xml:space="preserve"> in terms of which the first </w:t>
      </w:r>
      <w:r w:rsidR="00123BF2">
        <w:t>defendant</w:t>
      </w:r>
      <w:r w:rsidR="00315186">
        <w:t>’s second special plea was upheld and the applicant was directed to pay the first respondent’s costs</w:t>
      </w:r>
      <w:r w:rsidR="00902854">
        <w:t xml:space="preserve">. </w:t>
      </w:r>
    </w:p>
    <w:p w14:paraId="005D4597" w14:textId="26121EA9" w:rsidR="00902854" w:rsidRPr="00901B72" w:rsidRDefault="00665510" w:rsidP="00665510">
      <w:pPr>
        <w:pStyle w:val="level1"/>
        <w:numPr>
          <w:ilvl w:val="0"/>
          <w:numId w:val="0"/>
        </w:numPr>
        <w:spacing w:after="480" w:line="360" w:lineRule="auto"/>
        <w:jc w:val="both"/>
        <w:rPr>
          <w:rFonts w:cs="Arial"/>
        </w:rPr>
      </w:pPr>
      <w:r w:rsidRPr="00901B72">
        <w:rPr>
          <w:rFonts w:cs="Arial"/>
        </w:rPr>
        <w:t>[2]</w:t>
      </w:r>
      <w:r w:rsidRPr="00901B72">
        <w:rPr>
          <w:rFonts w:cs="Arial"/>
        </w:rPr>
        <w:tab/>
      </w:r>
      <w:r w:rsidR="004520A0">
        <w:t xml:space="preserve">The second special plea was that the relief sought </w:t>
      </w:r>
      <w:r w:rsidR="00CE206E">
        <w:t>in prayer A was incompetent and/or bad in law</w:t>
      </w:r>
      <w:r w:rsidR="004520A0">
        <w:t xml:space="preserve"> as the first defendant </w:t>
      </w:r>
      <w:r w:rsidR="00CE206E">
        <w:t xml:space="preserve">is not and has never been in possession of the deposit nor the interest on the </w:t>
      </w:r>
      <w:r w:rsidR="004520A0">
        <w:t xml:space="preserve">deposit and </w:t>
      </w:r>
      <w:r w:rsidR="00CE206E">
        <w:t>the deed of sale imposes n</w:t>
      </w:r>
      <w:r w:rsidR="004520A0">
        <w:t xml:space="preserve">o contractual obligation </w:t>
      </w:r>
      <w:r w:rsidR="00CE206E">
        <w:t xml:space="preserve">on the first defendant to </w:t>
      </w:r>
      <w:r w:rsidR="004520A0">
        <w:t>repay</w:t>
      </w:r>
      <w:r w:rsidR="00CE206E">
        <w:t xml:space="preserve"> the deposit or any interest, or to pay it or to repay it or to refund it</w:t>
      </w:r>
      <w:r w:rsidR="004520A0">
        <w:t>.</w:t>
      </w:r>
      <w:r w:rsidR="00CE206E">
        <w:t xml:space="preserve"> It was further pleaded that the first defendant and the second defendant cannot both pay, </w:t>
      </w:r>
      <w:proofErr w:type="gramStart"/>
      <w:r w:rsidR="00CE206E">
        <w:t>repay</w:t>
      </w:r>
      <w:proofErr w:type="gramEnd"/>
      <w:r w:rsidR="00CE206E">
        <w:t xml:space="preserve"> or refund the same deposit with the interest on it. Consequently, any order to that effect w</w:t>
      </w:r>
      <w:r w:rsidR="00FE361B">
        <w:t>ould</w:t>
      </w:r>
      <w:r w:rsidR="00CE206E">
        <w:t xml:space="preserve"> be bad in law and incapable of performance.</w:t>
      </w:r>
      <w:r w:rsidR="00901B72">
        <w:t xml:space="preserve"> </w:t>
      </w:r>
      <w:r w:rsidR="00902854">
        <w:t xml:space="preserve">The application is opposed by the first </w:t>
      </w:r>
      <w:r w:rsidR="00123BF2">
        <w:t>defendant</w:t>
      </w:r>
      <w:r w:rsidR="006E650E">
        <w:t>.</w:t>
      </w:r>
      <w:r w:rsidR="00902854">
        <w:t xml:space="preserve"> </w:t>
      </w:r>
    </w:p>
    <w:p w14:paraId="15437239" w14:textId="6BEE0A68" w:rsidR="00902854" w:rsidRPr="00F552D6" w:rsidRDefault="00665510" w:rsidP="00665510">
      <w:pPr>
        <w:pStyle w:val="level1"/>
        <w:numPr>
          <w:ilvl w:val="0"/>
          <w:numId w:val="0"/>
        </w:numPr>
        <w:spacing w:after="480" w:line="360" w:lineRule="auto"/>
        <w:jc w:val="both"/>
        <w:rPr>
          <w:lang w:val="en-US"/>
        </w:rPr>
      </w:pPr>
      <w:r w:rsidRPr="00F552D6">
        <w:rPr>
          <w:lang w:val="en-US"/>
        </w:rPr>
        <w:t>[3]</w:t>
      </w:r>
      <w:r w:rsidRPr="00F552D6">
        <w:rPr>
          <w:lang w:val="en-US"/>
        </w:rPr>
        <w:tab/>
      </w:r>
      <w:r w:rsidR="00902854" w:rsidRPr="00837948">
        <w:rPr>
          <w:rFonts w:cs="Arial"/>
        </w:rPr>
        <w:t xml:space="preserve">My judgment is </w:t>
      </w:r>
      <w:proofErr w:type="gramStart"/>
      <w:r w:rsidR="00902854" w:rsidRPr="00837948">
        <w:rPr>
          <w:rFonts w:cs="Arial"/>
        </w:rPr>
        <w:t>comprehensive</w:t>
      </w:r>
      <w:proofErr w:type="gramEnd"/>
      <w:r w:rsidR="00902854" w:rsidRPr="00837948">
        <w:rPr>
          <w:rFonts w:cs="Arial"/>
        </w:rPr>
        <w:t xml:space="preserve"> and I </w:t>
      </w:r>
      <w:r w:rsidR="00902854">
        <w:rPr>
          <w:rFonts w:cs="Arial"/>
        </w:rPr>
        <w:t>stand by the reasons set out therein.</w:t>
      </w:r>
      <w:r w:rsidR="00902854">
        <w:t xml:space="preserve"> </w:t>
      </w:r>
    </w:p>
    <w:p w14:paraId="4624B76E" w14:textId="34F3115E" w:rsidR="00D771F6" w:rsidRPr="00D771F6" w:rsidRDefault="00665510" w:rsidP="00665510">
      <w:pPr>
        <w:pStyle w:val="level1"/>
        <w:numPr>
          <w:ilvl w:val="0"/>
          <w:numId w:val="0"/>
        </w:numPr>
        <w:spacing w:after="480" w:line="360" w:lineRule="auto"/>
        <w:jc w:val="both"/>
        <w:rPr>
          <w:lang w:val="en-US"/>
        </w:rPr>
      </w:pPr>
      <w:r w:rsidRPr="00D771F6">
        <w:rPr>
          <w:lang w:val="en-US"/>
        </w:rPr>
        <w:t>[4]</w:t>
      </w:r>
      <w:r w:rsidRPr="00D771F6">
        <w:rPr>
          <w:lang w:val="en-US"/>
        </w:rPr>
        <w:tab/>
      </w:r>
      <w:r w:rsidR="00902854">
        <w:rPr>
          <w:rFonts w:cs="Arial"/>
        </w:rPr>
        <w:t xml:space="preserve">In </w:t>
      </w:r>
      <w:r w:rsidR="006E650E">
        <w:rPr>
          <w:rFonts w:cs="Arial"/>
        </w:rPr>
        <w:t>his</w:t>
      </w:r>
      <w:r w:rsidR="00902854">
        <w:rPr>
          <w:rFonts w:cs="Arial"/>
        </w:rPr>
        <w:t xml:space="preserve"> application for leave to appeal, the </w:t>
      </w:r>
      <w:r w:rsidR="00123BF2">
        <w:rPr>
          <w:rFonts w:cs="Arial"/>
        </w:rPr>
        <w:t>plaintiff</w:t>
      </w:r>
      <w:r w:rsidR="00902854">
        <w:rPr>
          <w:rFonts w:cs="Arial"/>
        </w:rPr>
        <w:t xml:space="preserve"> raise</w:t>
      </w:r>
      <w:r w:rsidR="00123BF2">
        <w:rPr>
          <w:rFonts w:cs="Arial"/>
        </w:rPr>
        <w:t>s</w:t>
      </w:r>
      <w:r w:rsidR="00902854">
        <w:rPr>
          <w:rFonts w:cs="Arial"/>
        </w:rPr>
        <w:t xml:space="preserve"> </w:t>
      </w:r>
      <w:r w:rsidR="00D771F6">
        <w:rPr>
          <w:rFonts w:cs="Arial"/>
        </w:rPr>
        <w:t>various</w:t>
      </w:r>
      <w:r w:rsidR="006E650E">
        <w:rPr>
          <w:rFonts w:cs="Arial"/>
        </w:rPr>
        <w:t xml:space="preserve"> grounds for leave to appeal</w:t>
      </w:r>
      <w:r w:rsidR="004520A0">
        <w:rPr>
          <w:rFonts w:cs="Arial"/>
        </w:rPr>
        <w:t xml:space="preserve"> in support of the </w:t>
      </w:r>
      <w:r w:rsidR="00315186">
        <w:rPr>
          <w:rFonts w:cs="Arial"/>
        </w:rPr>
        <w:t>conten</w:t>
      </w:r>
      <w:r w:rsidR="004520A0">
        <w:rPr>
          <w:rFonts w:cs="Arial"/>
        </w:rPr>
        <w:t xml:space="preserve">tions that </w:t>
      </w:r>
      <w:r w:rsidR="00123BF2">
        <w:rPr>
          <w:rFonts w:cs="Arial"/>
        </w:rPr>
        <w:t>(</w:t>
      </w:r>
      <w:proofErr w:type="spellStart"/>
      <w:r w:rsidR="00123BF2">
        <w:rPr>
          <w:rFonts w:cs="Arial"/>
        </w:rPr>
        <w:t>i</w:t>
      </w:r>
      <w:proofErr w:type="spellEnd"/>
      <w:r w:rsidR="00123BF2">
        <w:rPr>
          <w:rFonts w:cs="Arial"/>
        </w:rPr>
        <w:t xml:space="preserve">) </w:t>
      </w:r>
      <w:r w:rsidR="004520A0">
        <w:rPr>
          <w:rFonts w:cs="Arial"/>
        </w:rPr>
        <w:t xml:space="preserve">the second special plea should not have been upheld and </w:t>
      </w:r>
      <w:r w:rsidR="00123BF2">
        <w:rPr>
          <w:rFonts w:cs="Arial"/>
        </w:rPr>
        <w:t xml:space="preserve">(ii) </w:t>
      </w:r>
      <w:r w:rsidR="00D771F6">
        <w:rPr>
          <w:rFonts w:cs="Arial"/>
        </w:rPr>
        <w:t xml:space="preserve">an order should not have been granted directing the plaintiff to pay the first defendant’s costs. </w:t>
      </w:r>
    </w:p>
    <w:p w14:paraId="762DFE1A" w14:textId="0223DD72" w:rsidR="00315186" w:rsidRPr="00D771F6" w:rsidRDefault="00665510" w:rsidP="00665510">
      <w:pPr>
        <w:pStyle w:val="level1"/>
        <w:numPr>
          <w:ilvl w:val="0"/>
          <w:numId w:val="0"/>
        </w:numPr>
        <w:spacing w:after="480" w:line="360" w:lineRule="auto"/>
        <w:jc w:val="both"/>
        <w:rPr>
          <w:i/>
          <w:lang w:val="en-US"/>
        </w:rPr>
      </w:pPr>
      <w:r w:rsidRPr="00D771F6">
        <w:rPr>
          <w:lang w:val="en-US"/>
        </w:rPr>
        <w:lastRenderedPageBreak/>
        <w:t>[5]</w:t>
      </w:r>
      <w:r w:rsidRPr="00D771F6">
        <w:rPr>
          <w:lang w:val="en-US"/>
        </w:rPr>
        <w:tab/>
      </w:r>
      <w:r w:rsidR="00D771F6">
        <w:rPr>
          <w:rFonts w:cs="Arial"/>
        </w:rPr>
        <w:t xml:space="preserve">The grounds are predicated on the contentions </w:t>
      </w:r>
      <w:r w:rsidR="004520A0">
        <w:rPr>
          <w:rFonts w:cs="Arial"/>
        </w:rPr>
        <w:t xml:space="preserve">that </w:t>
      </w:r>
      <w:r w:rsidR="00D771F6">
        <w:rPr>
          <w:rFonts w:cs="Arial"/>
        </w:rPr>
        <w:t>this court</w:t>
      </w:r>
      <w:r w:rsidR="00315186">
        <w:rPr>
          <w:rFonts w:cs="Arial"/>
        </w:rPr>
        <w:t xml:space="preserve"> </w:t>
      </w:r>
      <w:r w:rsidR="00D771F6" w:rsidRPr="00D771F6">
        <w:rPr>
          <w:rFonts w:cs="Arial"/>
          <w:i/>
        </w:rPr>
        <w:t>“</w:t>
      </w:r>
      <w:r w:rsidR="00315186" w:rsidRPr="00D771F6">
        <w:rPr>
          <w:rFonts w:cs="Arial"/>
          <w:i/>
        </w:rPr>
        <w:t xml:space="preserve">did not exercise </w:t>
      </w:r>
      <w:r w:rsidR="00D771F6" w:rsidRPr="00D771F6">
        <w:rPr>
          <w:rFonts w:cs="Arial"/>
          <w:i/>
        </w:rPr>
        <w:t>her</w:t>
      </w:r>
      <w:r w:rsidR="00315186" w:rsidRPr="00D771F6">
        <w:rPr>
          <w:rFonts w:cs="Arial"/>
          <w:i/>
        </w:rPr>
        <w:t xml:space="preserve"> discretion judicially and/or failed to consider or adequately consider and/or was influenced by incorrect principles and/or </w:t>
      </w:r>
      <w:r w:rsidR="00D771F6" w:rsidRPr="00D771F6">
        <w:rPr>
          <w:rFonts w:cs="Arial"/>
          <w:i/>
        </w:rPr>
        <w:t>[</w:t>
      </w:r>
      <w:r w:rsidR="00315186" w:rsidRPr="00D771F6">
        <w:rPr>
          <w:rFonts w:cs="Arial"/>
          <w:i/>
        </w:rPr>
        <w:t>was</w:t>
      </w:r>
      <w:r w:rsidR="00D771F6" w:rsidRPr="00D771F6">
        <w:rPr>
          <w:rFonts w:cs="Arial"/>
          <w:i/>
        </w:rPr>
        <w:t>]</w:t>
      </w:r>
      <w:r w:rsidR="00315186" w:rsidRPr="00D771F6">
        <w:rPr>
          <w:rFonts w:cs="Arial"/>
          <w:i/>
        </w:rPr>
        <w:t xml:space="preserve"> affected by a misdirection on the facts, or </w:t>
      </w:r>
      <w:r w:rsidR="004520A0" w:rsidRPr="00D771F6">
        <w:rPr>
          <w:rFonts w:cs="Arial"/>
          <w:i/>
        </w:rPr>
        <w:t>r</w:t>
      </w:r>
      <w:r w:rsidR="00315186" w:rsidRPr="00D771F6">
        <w:rPr>
          <w:rFonts w:cs="Arial"/>
          <w:i/>
        </w:rPr>
        <w:t xml:space="preserve">eached a decision </w:t>
      </w:r>
      <w:r w:rsidR="004520A0" w:rsidRPr="00D771F6">
        <w:rPr>
          <w:rFonts w:cs="Arial"/>
          <w:i/>
        </w:rPr>
        <w:t>t</w:t>
      </w:r>
      <w:r w:rsidR="00315186" w:rsidRPr="00D771F6">
        <w:rPr>
          <w:rFonts w:cs="Arial"/>
          <w:i/>
        </w:rPr>
        <w:t>hat could not reasonably have been reached by a court properly directing itself to the relevant facts and principles in the grant of the relief challenged and/or erred in the judgment</w:t>
      </w:r>
      <w:r w:rsidR="00D771F6" w:rsidRPr="00D771F6">
        <w:rPr>
          <w:rFonts w:cs="Arial"/>
          <w:i/>
        </w:rPr>
        <w:t>”</w:t>
      </w:r>
      <w:r w:rsidR="00315186" w:rsidRPr="00D771F6">
        <w:rPr>
          <w:rFonts w:cs="Arial"/>
          <w:i/>
        </w:rPr>
        <w:t>.</w:t>
      </w:r>
      <w:r w:rsidR="00902854" w:rsidRPr="00D771F6">
        <w:rPr>
          <w:rFonts w:cs="Arial"/>
          <w:i/>
        </w:rPr>
        <w:t xml:space="preserve"> </w:t>
      </w:r>
      <w:r w:rsidR="0064639D" w:rsidRPr="00D771F6">
        <w:rPr>
          <w:rFonts w:cs="Arial"/>
          <w:i/>
        </w:rPr>
        <w:t xml:space="preserve"> </w:t>
      </w:r>
    </w:p>
    <w:p w14:paraId="490C9880" w14:textId="2232639A" w:rsidR="0064639D" w:rsidRPr="00123BF2" w:rsidRDefault="00665510" w:rsidP="00665510">
      <w:pPr>
        <w:pStyle w:val="level1"/>
        <w:numPr>
          <w:ilvl w:val="0"/>
          <w:numId w:val="0"/>
        </w:numPr>
        <w:spacing w:after="480" w:line="360" w:lineRule="auto"/>
        <w:jc w:val="both"/>
        <w:rPr>
          <w:lang w:val="en-US"/>
        </w:rPr>
      </w:pPr>
      <w:r w:rsidRPr="00123BF2">
        <w:rPr>
          <w:lang w:val="en-US"/>
        </w:rPr>
        <w:t>[6]</w:t>
      </w:r>
      <w:r w:rsidRPr="00123BF2">
        <w:rPr>
          <w:lang w:val="en-US"/>
        </w:rPr>
        <w:tab/>
      </w:r>
      <w:r w:rsidR="00123BF2">
        <w:rPr>
          <w:lang w:val="en-US"/>
        </w:rPr>
        <w:t>The plaintiff argue</w:t>
      </w:r>
      <w:r w:rsidR="008C2B61">
        <w:rPr>
          <w:lang w:val="en-US"/>
        </w:rPr>
        <w:t>s</w:t>
      </w:r>
      <w:r w:rsidR="00123BF2">
        <w:rPr>
          <w:lang w:val="en-US"/>
        </w:rPr>
        <w:t xml:space="preserve"> that there are reasonable prospects of success </w:t>
      </w:r>
      <w:r w:rsidR="0064639D">
        <w:rPr>
          <w:lang w:val="en-US"/>
        </w:rPr>
        <w:t xml:space="preserve">that another court will grant a different costs order </w:t>
      </w:r>
      <w:r w:rsidR="00123BF2">
        <w:rPr>
          <w:lang w:val="en-US"/>
        </w:rPr>
        <w:t>as envisaged by s 17(1)(a) of the Superior Courts Act</w:t>
      </w:r>
      <w:r w:rsidR="00123BF2">
        <w:rPr>
          <w:rStyle w:val="FootnoteReference"/>
          <w:lang w:val="en-US"/>
        </w:rPr>
        <w:footnoteReference w:id="1"/>
      </w:r>
      <w:r w:rsidR="00123BF2">
        <w:rPr>
          <w:lang w:val="en-US"/>
        </w:rPr>
        <w:t xml:space="preserve"> and seeks leave to appeal to the Full Court.</w:t>
      </w:r>
      <w:r w:rsidR="0064639D" w:rsidRPr="0064639D">
        <w:rPr>
          <w:lang w:val="en-US"/>
        </w:rPr>
        <w:t xml:space="preserve"> </w:t>
      </w:r>
      <w:r w:rsidR="0064639D">
        <w:rPr>
          <w:lang w:val="en-US"/>
        </w:rPr>
        <w:t>In the present instance it was not contended by the plaintiff that there are compelling reasons to grant leave to appeal as envisaged by s 17(</w:t>
      </w:r>
      <w:proofErr w:type="spellStart"/>
      <w:r w:rsidR="0064639D">
        <w:rPr>
          <w:lang w:val="en-US"/>
        </w:rPr>
        <w:t>i</w:t>
      </w:r>
      <w:proofErr w:type="spellEnd"/>
      <w:r w:rsidR="0064639D">
        <w:rPr>
          <w:lang w:val="en-US"/>
        </w:rPr>
        <w:t>)(a)(ii) of the Act.</w:t>
      </w:r>
    </w:p>
    <w:p w14:paraId="55FF33D5" w14:textId="6BE097F4" w:rsidR="001B292F" w:rsidRPr="00123BF2" w:rsidRDefault="00665510" w:rsidP="00665510">
      <w:pPr>
        <w:pStyle w:val="level1"/>
        <w:numPr>
          <w:ilvl w:val="0"/>
          <w:numId w:val="0"/>
        </w:numPr>
        <w:spacing w:after="480" w:line="360" w:lineRule="auto"/>
        <w:jc w:val="both"/>
        <w:rPr>
          <w:lang w:val="en-US"/>
        </w:rPr>
      </w:pPr>
      <w:r w:rsidRPr="00123BF2">
        <w:rPr>
          <w:lang w:val="en-US"/>
        </w:rPr>
        <w:t>[7]</w:t>
      </w:r>
      <w:r w:rsidRPr="00123BF2">
        <w:rPr>
          <w:lang w:val="en-US"/>
        </w:rPr>
        <w:tab/>
      </w:r>
      <w:r w:rsidR="008C2B61">
        <w:rPr>
          <w:lang w:val="en-US"/>
        </w:rPr>
        <w:t>Leave to appeal may only be granted where a court is of the opinion that the appeal would have a reasonable prospect of success</w:t>
      </w:r>
      <w:r w:rsidR="001B292F">
        <w:rPr>
          <w:lang w:val="en-US"/>
        </w:rPr>
        <w:t>, which prospects are not too remote</w:t>
      </w:r>
      <w:r w:rsidR="008C2B61">
        <w:rPr>
          <w:rStyle w:val="FootnoteReference"/>
          <w:lang w:val="en-US"/>
        </w:rPr>
        <w:footnoteReference w:id="2"/>
      </w:r>
      <w:r w:rsidR="008C2B61">
        <w:rPr>
          <w:lang w:val="en-US"/>
        </w:rPr>
        <w:t>.</w:t>
      </w:r>
      <w:r w:rsidR="001B292F">
        <w:rPr>
          <w:lang w:val="en-US"/>
        </w:rPr>
        <w:t xml:space="preserve"> A sound rational basis for the conclusion that there are prospects of success must be shown to exist</w:t>
      </w:r>
      <w:r w:rsidR="001B292F">
        <w:rPr>
          <w:rStyle w:val="FootnoteReference"/>
          <w:lang w:val="en-US"/>
        </w:rPr>
        <w:footnoteReference w:id="3"/>
      </w:r>
      <w:r w:rsidR="001B292F">
        <w:rPr>
          <w:lang w:val="en-US"/>
        </w:rPr>
        <w:t>.</w:t>
      </w:r>
    </w:p>
    <w:p w14:paraId="4213ADCE" w14:textId="54F8E7C7" w:rsidR="00315186" w:rsidRPr="001B292F" w:rsidRDefault="00665510" w:rsidP="00665510">
      <w:pPr>
        <w:pStyle w:val="level1"/>
        <w:numPr>
          <w:ilvl w:val="0"/>
          <w:numId w:val="0"/>
        </w:numPr>
        <w:spacing w:after="480" w:line="360" w:lineRule="auto"/>
        <w:jc w:val="both"/>
        <w:rPr>
          <w:lang w:val="en-US"/>
        </w:rPr>
      </w:pPr>
      <w:r w:rsidRPr="001B292F">
        <w:rPr>
          <w:lang w:val="en-US"/>
        </w:rPr>
        <w:t>[8]</w:t>
      </w:r>
      <w:r w:rsidRPr="001B292F">
        <w:rPr>
          <w:lang w:val="en-US"/>
        </w:rPr>
        <w:tab/>
      </w:r>
      <w:r w:rsidR="00315186">
        <w:rPr>
          <w:rFonts w:cs="Arial"/>
        </w:rPr>
        <w:t>The s</w:t>
      </w:r>
      <w:r w:rsidR="005C6AE8">
        <w:rPr>
          <w:rFonts w:cs="Arial"/>
        </w:rPr>
        <w:t>econd</w:t>
      </w:r>
      <w:r w:rsidR="00315186">
        <w:rPr>
          <w:rFonts w:cs="Arial"/>
        </w:rPr>
        <w:t xml:space="preserve"> special plea ultimately devolved into a </w:t>
      </w:r>
      <w:proofErr w:type="gramStart"/>
      <w:r w:rsidR="00315186">
        <w:rPr>
          <w:rFonts w:cs="Arial"/>
        </w:rPr>
        <w:t>costs</w:t>
      </w:r>
      <w:proofErr w:type="gramEnd"/>
      <w:r w:rsidR="00315186">
        <w:rPr>
          <w:rFonts w:cs="Arial"/>
        </w:rPr>
        <w:t xml:space="preserve"> argument</w:t>
      </w:r>
      <w:r w:rsidR="00625F77">
        <w:rPr>
          <w:rFonts w:cs="Arial"/>
        </w:rPr>
        <w:t>, the plaintiff having conceded that he was not entitled to an order in terms of prayer A of his particulars of claim</w:t>
      </w:r>
      <w:r w:rsidR="00D771F6">
        <w:rPr>
          <w:rFonts w:cs="Arial"/>
        </w:rPr>
        <w:t xml:space="preserve"> during an application for separation at the commencement of the trial</w:t>
      </w:r>
      <w:r w:rsidR="00315186">
        <w:rPr>
          <w:rFonts w:cs="Arial"/>
        </w:rPr>
        <w:t xml:space="preserve">. As the second special plea was upheld, costs followed the </w:t>
      </w:r>
      <w:proofErr w:type="gramStart"/>
      <w:r w:rsidR="00315186">
        <w:rPr>
          <w:rFonts w:cs="Arial"/>
        </w:rPr>
        <w:t>result</w:t>
      </w:r>
      <w:proofErr w:type="gramEnd"/>
      <w:r w:rsidR="00315186">
        <w:rPr>
          <w:rFonts w:cs="Arial"/>
        </w:rPr>
        <w:t xml:space="preserve"> and the </w:t>
      </w:r>
      <w:r w:rsidR="001B292F">
        <w:rPr>
          <w:rFonts w:cs="Arial"/>
        </w:rPr>
        <w:t>plaintiff</w:t>
      </w:r>
      <w:r w:rsidR="00315186">
        <w:rPr>
          <w:rFonts w:cs="Arial"/>
        </w:rPr>
        <w:t xml:space="preserve"> was directed to pay the first </w:t>
      </w:r>
      <w:r w:rsidR="001B292F">
        <w:rPr>
          <w:rFonts w:cs="Arial"/>
        </w:rPr>
        <w:t>defendant</w:t>
      </w:r>
      <w:r w:rsidR="00315186">
        <w:rPr>
          <w:rFonts w:cs="Arial"/>
        </w:rPr>
        <w:t xml:space="preserve">’s costs. </w:t>
      </w:r>
      <w:r w:rsidR="001B292F">
        <w:rPr>
          <w:rFonts w:cs="Arial"/>
        </w:rPr>
        <w:t>The plaintiff argued that such costs order did not take all the relevant facts into account.</w:t>
      </w:r>
      <w:r w:rsidR="00D771F6">
        <w:rPr>
          <w:rFonts w:cs="Arial"/>
        </w:rPr>
        <w:t xml:space="preserve">  </w:t>
      </w:r>
    </w:p>
    <w:p w14:paraId="3417F4C9" w14:textId="428A76B5" w:rsidR="00D771F6" w:rsidRPr="00D771F6" w:rsidRDefault="00665510" w:rsidP="00665510">
      <w:pPr>
        <w:pStyle w:val="level1"/>
        <w:numPr>
          <w:ilvl w:val="0"/>
          <w:numId w:val="0"/>
        </w:numPr>
        <w:spacing w:after="480" w:line="360" w:lineRule="auto"/>
        <w:jc w:val="both"/>
        <w:rPr>
          <w:lang w:val="en-US"/>
        </w:rPr>
      </w:pPr>
      <w:r w:rsidRPr="00D771F6">
        <w:rPr>
          <w:lang w:val="en-US"/>
        </w:rPr>
        <w:t>[9]</w:t>
      </w:r>
      <w:r w:rsidRPr="00D771F6">
        <w:rPr>
          <w:lang w:val="en-US"/>
        </w:rPr>
        <w:tab/>
      </w:r>
      <w:r w:rsidR="005C6AE8" w:rsidRPr="00CE206E">
        <w:rPr>
          <w:rFonts w:cs="Arial"/>
        </w:rPr>
        <w:t>The applicant argue</w:t>
      </w:r>
      <w:r w:rsidR="00D771F6">
        <w:rPr>
          <w:rFonts w:cs="Arial"/>
        </w:rPr>
        <w:t>s</w:t>
      </w:r>
      <w:r w:rsidR="005C6AE8" w:rsidRPr="00CE206E">
        <w:rPr>
          <w:rFonts w:cs="Arial"/>
        </w:rPr>
        <w:t xml:space="preserve"> that the costs order granted departed from the general rule that the successful party is entitled to its costs. It argued that the court </w:t>
      </w:r>
      <w:proofErr w:type="spellStart"/>
      <w:r w:rsidR="005C6AE8" w:rsidRPr="00CE206E">
        <w:rPr>
          <w:rFonts w:cs="Arial"/>
          <w:i/>
        </w:rPr>
        <w:t>mero</w:t>
      </w:r>
      <w:proofErr w:type="spellEnd"/>
      <w:r w:rsidR="005C6AE8" w:rsidRPr="00CE206E">
        <w:rPr>
          <w:rFonts w:cs="Arial"/>
          <w:i/>
        </w:rPr>
        <w:t xml:space="preserve"> motu </w:t>
      </w:r>
      <w:r w:rsidR="005C6AE8" w:rsidRPr="00CE206E">
        <w:rPr>
          <w:rFonts w:cs="Arial"/>
        </w:rPr>
        <w:t xml:space="preserve">modified the relief sought as the plaintiff’s claim against the first defendant was dismissed whereas </w:t>
      </w:r>
      <w:r w:rsidR="005C6AE8" w:rsidRPr="00CE206E">
        <w:rPr>
          <w:rFonts w:cs="Arial"/>
        </w:rPr>
        <w:lastRenderedPageBreak/>
        <w:t xml:space="preserve">the first defendant had sought an outright dismissal of the plaintiff’s claim. The plaintiff had sought an order for payment against the first and second </w:t>
      </w:r>
      <w:proofErr w:type="gramStart"/>
      <w:r w:rsidR="005C6AE8" w:rsidRPr="00CE206E">
        <w:rPr>
          <w:rFonts w:cs="Arial"/>
        </w:rPr>
        <w:t>respondent’s</w:t>
      </w:r>
      <w:proofErr w:type="gramEnd"/>
      <w:r w:rsidR="005C6AE8" w:rsidRPr="00CE206E">
        <w:rPr>
          <w:rFonts w:cs="Arial"/>
        </w:rPr>
        <w:t xml:space="preserve"> jointly. It was argued that plaintiff succeeded in the principal relief he had claimed, being repayment of the full deposit.</w:t>
      </w:r>
      <w:r w:rsidR="004F133F">
        <w:rPr>
          <w:rFonts w:cs="Arial"/>
        </w:rPr>
        <w:t xml:space="preserve"> </w:t>
      </w:r>
    </w:p>
    <w:p w14:paraId="33248B42" w14:textId="72ABC3FB" w:rsidR="00964FF5" w:rsidRPr="00964FF5" w:rsidRDefault="00665510" w:rsidP="00665510">
      <w:pPr>
        <w:pStyle w:val="level1"/>
        <w:numPr>
          <w:ilvl w:val="0"/>
          <w:numId w:val="0"/>
        </w:numPr>
        <w:spacing w:after="480" w:line="360" w:lineRule="auto"/>
        <w:jc w:val="both"/>
        <w:rPr>
          <w:lang w:val="en-US"/>
        </w:rPr>
      </w:pPr>
      <w:r w:rsidRPr="00964FF5">
        <w:rPr>
          <w:lang w:val="en-US"/>
        </w:rPr>
        <w:t>[10]</w:t>
      </w:r>
      <w:r w:rsidRPr="00964FF5">
        <w:rPr>
          <w:lang w:val="en-US"/>
        </w:rPr>
        <w:tab/>
      </w:r>
      <w:r w:rsidR="004F133F">
        <w:rPr>
          <w:rFonts w:cs="Arial"/>
        </w:rPr>
        <w:t>It was argued that the plaintiff had during the separation application launched by the first defendant at the commencement of the hearing abandoned his claim against the fi</w:t>
      </w:r>
      <w:r w:rsidR="00964FF5">
        <w:rPr>
          <w:rFonts w:cs="Arial"/>
        </w:rPr>
        <w:t>r</w:t>
      </w:r>
      <w:r w:rsidR="004F133F">
        <w:rPr>
          <w:rFonts w:cs="Arial"/>
        </w:rPr>
        <w:t xml:space="preserve">st defendant. Reliance was placed on </w:t>
      </w:r>
      <w:proofErr w:type="spellStart"/>
      <w:r w:rsidR="004F133F" w:rsidRPr="00964FF5">
        <w:rPr>
          <w:rFonts w:cs="Arial"/>
          <w:i/>
        </w:rPr>
        <w:t>Jacobz</w:t>
      </w:r>
      <w:proofErr w:type="spellEnd"/>
      <w:r w:rsidR="004F133F" w:rsidRPr="00964FF5">
        <w:rPr>
          <w:rFonts w:cs="Arial"/>
          <w:i/>
        </w:rPr>
        <w:t xml:space="preserve"> N</w:t>
      </w:r>
      <w:r w:rsidR="00964FF5" w:rsidRPr="00964FF5">
        <w:rPr>
          <w:rFonts w:cs="Arial"/>
          <w:i/>
        </w:rPr>
        <w:t>O</w:t>
      </w:r>
      <w:r w:rsidR="004F133F" w:rsidRPr="00964FF5">
        <w:rPr>
          <w:rFonts w:cs="Arial"/>
          <w:i/>
        </w:rPr>
        <w:t xml:space="preserve"> v </w:t>
      </w:r>
      <w:r w:rsidR="00964FF5">
        <w:rPr>
          <w:rFonts w:cs="Arial"/>
          <w:i/>
        </w:rPr>
        <w:t>D</w:t>
      </w:r>
      <w:r w:rsidR="004F133F" w:rsidRPr="00964FF5">
        <w:rPr>
          <w:rFonts w:cs="Arial"/>
          <w:i/>
        </w:rPr>
        <w:t>e Clerk and Another</w:t>
      </w:r>
      <w:r w:rsidR="004F133F">
        <w:rPr>
          <w:rStyle w:val="FootnoteReference"/>
          <w:rFonts w:cs="Arial"/>
        </w:rPr>
        <w:footnoteReference w:id="4"/>
      </w:r>
      <w:r w:rsidR="00964FF5">
        <w:rPr>
          <w:rFonts w:cs="Arial"/>
          <w:i/>
        </w:rPr>
        <w:t xml:space="preserve"> </w:t>
      </w:r>
      <w:r w:rsidR="00964FF5" w:rsidRPr="00964FF5">
        <w:rPr>
          <w:rFonts w:cs="Arial"/>
        </w:rPr>
        <w:t>in support of the proposition</w:t>
      </w:r>
      <w:r w:rsidR="00964FF5">
        <w:rPr>
          <w:rFonts w:cs="Arial"/>
        </w:rPr>
        <w:t xml:space="preserve"> that he could abandon or adjust the relief from the bar at trial</w:t>
      </w:r>
      <w:r w:rsidR="00FE361B">
        <w:rPr>
          <w:rFonts w:cs="Arial"/>
        </w:rPr>
        <w:t>.</w:t>
      </w:r>
      <w:r w:rsidR="00964FF5">
        <w:rPr>
          <w:rFonts w:cs="Arial"/>
        </w:rPr>
        <w:t xml:space="preserve"> In my view</w:t>
      </w:r>
      <w:r w:rsidR="00FE361B">
        <w:rPr>
          <w:rFonts w:cs="Arial"/>
        </w:rPr>
        <w:t>,</w:t>
      </w:r>
      <w:r w:rsidR="00964FF5">
        <w:rPr>
          <w:rFonts w:cs="Arial"/>
        </w:rPr>
        <w:t xml:space="preserve"> </w:t>
      </w:r>
      <w:proofErr w:type="spellStart"/>
      <w:r w:rsidR="00964FF5" w:rsidRPr="00FE361B">
        <w:rPr>
          <w:rFonts w:cs="Arial"/>
          <w:i/>
        </w:rPr>
        <w:t>Jacobz</w:t>
      </w:r>
      <w:proofErr w:type="spellEnd"/>
      <w:r w:rsidR="00964FF5" w:rsidRPr="00FE361B">
        <w:rPr>
          <w:rFonts w:cs="Arial"/>
          <w:i/>
        </w:rPr>
        <w:t xml:space="preserve"> </w:t>
      </w:r>
      <w:r w:rsidR="00964FF5">
        <w:rPr>
          <w:rFonts w:cs="Arial"/>
        </w:rPr>
        <w:t>is however distinguishable and does not avail the plaintiff, considering the facts and the context of that judgment.</w:t>
      </w:r>
    </w:p>
    <w:p w14:paraId="6732BA5A" w14:textId="0FACC91B" w:rsidR="00FE361B" w:rsidRPr="00D771F6" w:rsidRDefault="00665510" w:rsidP="00665510">
      <w:pPr>
        <w:pStyle w:val="level1"/>
        <w:numPr>
          <w:ilvl w:val="0"/>
          <w:numId w:val="0"/>
        </w:numPr>
        <w:spacing w:after="480" w:line="360" w:lineRule="auto"/>
        <w:jc w:val="both"/>
        <w:rPr>
          <w:lang w:val="en-US"/>
        </w:rPr>
      </w:pPr>
      <w:r w:rsidRPr="00D771F6">
        <w:rPr>
          <w:lang w:val="en-US"/>
        </w:rPr>
        <w:t>[11]</w:t>
      </w:r>
      <w:r w:rsidRPr="00D771F6">
        <w:rPr>
          <w:lang w:val="en-US"/>
        </w:rPr>
        <w:tab/>
      </w:r>
      <w:r w:rsidR="00FE361B" w:rsidRPr="00D771F6">
        <w:rPr>
          <w:lang w:val="en-US"/>
        </w:rPr>
        <w:t xml:space="preserve">The parties </w:t>
      </w:r>
      <w:proofErr w:type="gramStart"/>
      <w:r w:rsidR="00FE361B" w:rsidRPr="00D771F6">
        <w:rPr>
          <w:lang w:val="en-US"/>
        </w:rPr>
        <w:t>are in agreement</w:t>
      </w:r>
      <w:proofErr w:type="gramEnd"/>
      <w:r w:rsidR="00FE361B" w:rsidRPr="00D771F6">
        <w:rPr>
          <w:lang w:val="en-US"/>
        </w:rPr>
        <w:t xml:space="preserve"> that the exercise of a discretion in relation to costs is a discretion in a strict sense. As held by the Constitutional Court in </w:t>
      </w:r>
      <w:proofErr w:type="spellStart"/>
      <w:r w:rsidR="00FE361B" w:rsidRPr="00D771F6">
        <w:rPr>
          <w:i/>
          <w:lang w:val="en-US"/>
        </w:rPr>
        <w:t>Giddey</w:t>
      </w:r>
      <w:proofErr w:type="spellEnd"/>
      <w:r w:rsidR="00FE361B" w:rsidRPr="00D771F6">
        <w:rPr>
          <w:i/>
          <w:lang w:val="en-US"/>
        </w:rPr>
        <w:t xml:space="preserve"> NO v JC Barnard &amp; Partners</w:t>
      </w:r>
      <w:r w:rsidR="00FE361B">
        <w:rPr>
          <w:rStyle w:val="FootnoteReference"/>
          <w:lang w:val="en-US"/>
        </w:rPr>
        <w:footnoteReference w:id="5"/>
      </w:r>
      <w:r w:rsidR="00FE361B" w:rsidRPr="00D771F6">
        <w:rPr>
          <w:lang w:val="en-US"/>
        </w:rPr>
        <w:t xml:space="preserve"> :</w:t>
      </w:r>
    </w:p>
    <w:p w14:paraId="7E9AAE36" w14:textId="2787E0B9" w:rsidR="00FE361B" w:rsidRPr="00FE361B" w:rsidRDefault="00FE361B" w:rsidP="00FE361B">
      <w:pPr>
        <w:pStyle w:val="level1"/>
        <w:numPr>
          <w:ilvl w:val="0"/>
          <w:numId w:val="0"/>
        </w:numPr>
        <w:spacing w:after="480"/>
        <w:ind w:left="360"/>
        <w:jc w:val="both"/>
        <w:rPr>
          <w:i/>
          <w:sz w:val="20"/>
          <w:szCs w:val="20"/>
          <w:lang w:val="en-US"/>
        </w:rPr>
      </w:pPr>
      <w:r w:rsidRPr="00FE361B">
        <w:rPr>
          <w:i/>
          <w:sz w:val="20"/>
          <w:szCs w:val="20"/>
          <w:lang w:val="en-US"/>
        </w:rPr>
        <w:t xml:space="preserve">“The ordinary approach on appeal to the exercise of a discretion in the strict sense is that the appellate court will not consider whether the decision reached by the court at first instance was correct, but will only interfere in limited circumstances; for example, if it is shown that the discretion has not been exercised judicially or has been exercised based on a wrong appreciation of the facts or wrong principles of law”. </w:t>
      </w:r>
    </w:p>
    <w:p w14:paraId="1873E247" w14:textId="1DB3A424" w:rsidR="001B292F" w:rsidRPr="00315186" w:rsidRDefault="00665510" w:rsidP="00665510">
      <w:pPr>
        <w:pStyle w:val="level1"/>
        <w:numPr>
          <w:ilvl w:val="0"/>
          <w:numId w:val="0"/>
        </w:numPr>
        <w:spacing w:after="480" w:line="360" w:lineRule="auto"/>
        <w:jc w:val="both"/>
        <w:rPr>
          <w:lang w:val="en-US"/>
        </w:rPr>
      </w:pPr>
      <w:r w:rsidRPr="00315186">
        <w:rPr>
          <w:lang w:val="en-US"/>
        </w:rPr>
        <w:t>[12]</w:t>
      </w:r>
      <w:r w:rsidRPr="00315186">
        <w:rPr>
          <w:lang w:val="en-US"/>
        </w:rPr>
        <w:tab/>
      </w:r>
      <w:r w:rsidR="001B292F">
        <w:rPr>
          <w:rFonts w:cs="Arial"/>
        </w:rPr>
        <w:t xml:space="preserve">The first defendant, </w:t>
      </w:r>
      <w:r w:rsidR="00D771F6">
        <w:rPr>
          <w:rFonts w:cs="Arial"/>
        </w:rPr>
        <w:t xml:space="preserve">in opposing the application </w:t>
      </w:r>
      <w:r w:rsidR="001B292F">
        <w:rPr>
          <w:rFonts w:cs="Arial"/>
        </w:rPr>
        <w:t>rel</w:t>
      </w:r>
      <w:r w:rsidR="00D771F6">
        <w:rPr>
          <w:rFonts w:cs="Arial"/>
        </w:rPr>
        <w:t>ies on the principles enunciated in</w:t>
      </w:r>
      <w:r w:rsidR="001B292F">
        <w:rPr>
          <w:rFonts w:cs="Arial"/>
        </w:rPr>
        <w:t xml:space="preserve"> </w:t>
      </w:r>
      <w:r w:rsidR="001B292F" w:rsidRPr="00B22A6B">
        <w:rPr>
          <w:rFonts w:cs="Arial"/>
          <w:i/>
        </w:rPr>
        <w:t>Jacob G Zuma v the Office of the Public Protector and Others</w:t>
      </w:r>
      <w:r w:rsidR="001B292F" w:rsidRPr="00B22A6B">
        <w:rPr>
          <w:rStyle w:val="FootnoteReference"/>
          <w:rFonts w:cs="Arial"/>
          <w:i/>
        </w:rPr>
        <w:footnoteReference w:id="6"/>
      </w:r>
      <w:r w:rsidR="00B22A6B" w:rsidRPr="00B22A6B">
        <w:rPr>
          <w:rFonts w:cs="Arial"/>
          <w:i/>
        </w:rPr>
        <w:t xml:space="preserve"> </w:t>
      </w:r>
      <w:r w:rsidR="00B22A6B">
        <w:rPr>
          <w:rFonts w:cs="Arial"/>
        </w:rPr>
        <w:t>that in the absence of an appeal against the merits and factual findings of a court, a party may not rely on those allegations to justify an appeal on consideration</w:t>
      </w:r>
      <w:r w:rsidR="00D771F6">
        <w:rPr>
          <w:rFonts w:cs="Arial"/>
        </w:rPr>
        <w:t>s</w:t>
      </w:r>
      <w:r w:rsidR="00B22A6B">
        <w:rPr>
          <w:rFonts w:cs="Arial"/>
        </w:rPr>
        <w:t xml:space="preserve"> of costs only</w:t>
      </w:r>
      <w:r w:rsidR="00964FF5">
        <w:rPr>
          <w:rFonts w:cs="Arial"/>
        </w:rPr>
        <w:t>. Such a party</w:t>
      </w:r>
      <w:r w:rsidR="00B22A6B">
        <w:rPr>
          <w:rFonts w:cs="Arial"/>
        </w:rPr>
        <w:t xml:space="preserve"> faces a formidable hurdle to illustrate a reasonable prospect of success as the court exercises a true discretion. He argue</w:t>
      </w:r>
      <w:r w:rsidR="00D771F6">
        <w:rPr>
          <w:rFonts w:cs="Arial"/>
        </w:rPr>
        <w:t>s</w:t>
      </w:r>
      <w:r w:rsidR="00B22A6B">
        <w:rPr>
          <w:rFonts w:cs="Arial"/>
        </w:rPr>
        <w:t xml:space="preserve"> that an appellate court will not interfere with the exercise of the </w:t>
      </w:r>
      <w:r w:rsidR="00B22A6B">
        <w:rPr>
          <w:rFonts w:cs="Arial"/>
        </w:rPr>
        <w:lastRenderedPageBreak/>
        <w:t xml:space="preserve">discretion pertaining to </w:t>
      </w:r>
      <w:proofErr w:type="gramStart"/>
      <w:r w:rsidR="00B22A6B">
        <w:rPr>
          <w:rFonts w:cs="Arial"/>
        </w:rPr>
        <w:t>costs, unless</w:t>
      </w:r>
      <w:proofErr w:type="gramEnd"/>
      <w:r w:rsidR="00B22A6B">
        <w:rPr>
          <w:rFonts w:cs="Arial"/>
        </w:rPr>
        <w:t xml:space="preserve"> there was a material misdirection</w:t>
      </w:r>
      <w:r w:rsidR="00B22A6B">
        <w:rPr>
          <w:rStyle w:val="FootnoteReference"/>
          <w:rFonts w:cs="Arial"/>
        </w:rPr>
        <w:footnoteReference w:id="7"/>
      </w:r>
      <w:r w:rsidR="00B22A6B">
        <w:rPr>
          <w:rFonts w:cs="Arial"/>
        </w:rPr>
        <w:t xml:space="preserve"> and that no material misdirection was illustrated by the plaintiff.</w:t>
      </w:r>
    </w:p>
    <w:p w14:paraId="2224B05C" w14:textId="5F0D5646" w:rsidR="00902854" w:rsidRDefault="00665510" w:rsidP="00665510">
      <w:pPr>
        <w:pStyle w:val="level1"/>
        <w:numPr>
          <w:ilvl w:val="0"/>
          <w:numId w:val="0"/>
        </w:numPr>
        <w:spacing w:after="480" w:line="360" w:lineRule="auto"/>
        <w:jc w:val="both"/>
        <w:rPr>
          <w:lang w:val="en-US"/>
        </w:rPr>
      </w:pPr>
      <w:r>
        <w:rPr>
          <w:lang w:val="en-US"/>
        </w:rPr>
        <w:t>[13]</w:t>
      </w:r>
      <w:r>
        <w:rPr>
          <w:lang w:val="en-US"/>
        </w:rPr>
        <w:tab/>
      </w:r>
      <w:r w:rsidR="00902854">
        <w:rPr>
          <w:rFonts w:cs="Arial"/>
        </w:rPr>
        <w:t>I have considered the papers filed of record and the grounds set out in the application for leave to appeal as well as the parties’ extensive arguments for and against the granting of leave to appeal. I have further considered the submissions made in their respective heads of argument and</w:t>
      </w:r>
      <w:r w:rsidR="00902854">
        <w:rPr>
          <w:lang w:val="en-US"/>
        </w:rPr>
        <w:t xml:space="preserve"> the authorities referred to by the respective parties.</w:t>
      </w:r>
    </w:p>
    <w:p w14:paraId="57089A2D" w14:textId="01ACD8FF" w:rsidR="00902854" w:rsidRPr="00B92F45" w:rsidRDefault="00665510" w:rsidP="00665510">
      <w:pPr>
        <w:pStyle w:val="level1"/>
        <w:numPr>
          <w:ilvl w:val="0"/>
          <w:numId w:val="0"/>
        </w:numPr>
        <w:spacing w:after="480" w:line="360" w:lineRule="auto"/>
        <w:jc w:val="both"/>
        <w:rPr>
          <w:lang w:val="en-US"/>
        </w:rPr>
      </w:pPr>
      <w:r w:rsidRPr="00B92F45">
        <w:rPr>
          <w:lang w:val="en-US"/>
        </w:rPr>
        <w:t>[14]</w:t>
      </w:r>
      <w:r w:rsidRPr="00B92F45">
        <w:rPr>
          <w:lang w:val="en-US"/>
        </w:rPr>
        <w:tab/>
      </w:r>
      <w:r w:rsidR="00902854">
        <w:rPr>
          <w:rFonts w:cs="Arial"/>
        </w:rPr>
        <w:t xml:space="preserve">In applying the relevant principles to the grounds advanced in the notice of leave to appeal and in argument, I conclude that the appeal would not have a reasonable prospect of success as contemplated in s17(1)(a) of the Act. </w:t>
      </w:r>
    </w:p>
    <w:p w14:paraId="2FC35B09" w14:textId="01A3BD96" w:rsidR="0064639D" w:rsidRPr="0064639D" w:rsidRDefault="00665510" w:rsidP="00665510">
      <w:pPr>
        <w:pStyle w:val="level1"/>
        <w:numPr>
          <w:ilvl w:val="0"/>
          <w:numId w:val="0"/>
        </w:numPr>
        <w:spacing w:after="480" w:line="360" w:lineRule="auto"/>
        <w:jc w:val="both"/>
        <w:rPr>
          <w:lang w:val="en-US"/>
        </w:rPr>
      </w:pPr>
      <w:r w:rsidRPr="0064639D">
        <w:rPr>
          <w:lang w:val="en-US"/>
        </w:rPr>
        <w:t>[15]</w:t>
      </w:r>
      <w:r w:rsidRPr="0064639D">
        <w:rPr>
          <w:lang w:val="en-US"/>
        </w:rPr>
        <w:tab/>
      </w:r>
      <w:r w:rsidR="00902854" w:rsidRPr="00B92F45">
        <w:rPr>
          <w:rFonts w:cs="Arial"/>
        </w:rPr>
        <w:t>It follows that the application must fail.</w:t>
      </w:r>
      <w:r w:rsidR="00902854">
        <w:rPr>
          <w:rFonts w:cs="Arial"/>
        </w:rPr>
        <w:t xml:space="preserve"> </w:t>
      </w:r>
      <w:r w:rsidR="00902854" w:rsidRPr="00B92F45">
        <w:rPr>
          <w:rFonts w:cs="Arial"/>
        </w:rPr>
        <w:t xml:space="preserve">There is no basis to deviate from the normal principle that costs follow the result. </w:t>
      </w:r>
    </w:p>
    <w:p w14:paraId="000F847F" w14:textId="6348F9CB" w:rsidR="00902854" w:rsidRPr="00B92F45" w:rsidRDefault="00665510" w:rsidP="00665510">
      <w:pPr>
        <w:pStyle w:val="level1"/>
        <w:numPr>
          <w:ilvl w:val="0"/>
          <w:numId w:val="0"/>
        </w:numPr>
        <w:spacing w:after="480" w:line="360" w:lineRule="auto"/>
        <w:jc w:val="both"/>
        <w:rPr>
          <w:lang w:val="en-US"/>
        </w:rPr>
      </w:pPr>
      <w:r w:rsidRPr="00B92F45">
        <w:rPr>
          <w:lang w:val="en-US"/>
        </w:rPr>
        <w:t>[16]</w:t>
      </w:r>
      <w:r w:rsidRPr="00B92F45">
        <w:rPr>
          <w:lang w:val="en-US"/>
        </w:rPr>
        <w:tab/>
      </w:r>
      <w:r w:rsidR="00902854">
        <w:rPr>
          <w:rFonts w:cs="Arial"/>
        </w:rPr>
        <w:t xml:space="preserve">The first </w:t>
      </w:r>
      <w:r w:rsidR="0064639D">
        <w:rPr>
          <w:rFonts w:cs="Arial"/>
        </w:rPr>
        <w:t>defendant</w:t>
      </w:r>
      <w:r w:rsidR="00902854">
        <w:rPr>
          <w:rFonts w:cs="Arial"/>
        </w:rPr>
        <w:t xml:space="preserve"> s</w:t>
      </w:r>
      <w:r w:rsidR="00901B72">
        <w:rPr>
          <w:rFonts w:cs="Arial"/>
        </w:rPr>
        <w:t>eeks</w:t>
      </w:r>
      <w:r w:rsidR="00902854">
        <w:rPr>
          <w:rFonts w:cs="Arial"/>
        </w:rPr>
        <w:t xml:space="preserve"> costs on an attorney and client </w:t>
      </w:r>
      <w:r w:rsidR="00901B72">
        <w:rPr>
          <w:rFonts w:cs="Arial"/>
        </w:rPr>
        <w:t>scale</w:t>
      </w:r>
      <w:r w:rsidR="00902854">
        <w:rPr>
          <w:rFonts w:cs="Arial"/>
        </w:rPr>
        <w:t xml:space="preserve"> based on clause 15.3 of the agreement concluded between the parties</w:t>
      </w:r>
      <w:r w:rsidR="00925D49">
        <w:rPr>
          <w:rFonts w:cs="Arial"/>
        </w:rPr>
        <w:t>. It was held in my judgment that the agreement had lapsed and that costs should be granted on the normal scale as between party and party.</w:t>
      </w:r>
      <w:r w:rsidR="00925D49">
        <w:rPr>
          <w:rStyle w:val="FootnoteReference"/>
          <w:rFonts w:cs="Arial"/>
        </w:rPr>
        <w:footnoteReference w:id="8"/>
      </w:r>
      <w:r w:rsidR="0064639D">
        <w:rPr>
          <w:rFonts w:cs="Arial"/>
        </w:rPr>
        <w:t xml:space="preserve"> </w:t>
      </w:r>
      <w:r w:rsidR="00925D49">
        <w:rPr>
          <w:rFonts w:cs="Arial"/>
        </w:rPr>
        <w:t>I am not persuaded that the costs of this application should be any different.</w:t>
      </w:r>
    </w:p>
    <w:p w14:paraId="6E5AAEF0" w14:textId="67DD574F" w:rsidR="00902854" w:rsidRDefault="00665510" w:rsidP="00665510">
      <w:pPr>
        <w:pStyle w:val="level1"/>
        <w:numPr>
          <w:ilvl w:val="0"/>
          <w:numId w:val="0"/>
        </w:numPr>
        <w:spacing w:after="480" w:line="360" w:lineRule="auto"/>
        <w:jc w:val="both"/>
        <w:rPr>
          <w:lang w:val="en-US"/>
        </w:rPr>
      </w:pPr>
      <w:r>
        <w:rPr>
          <w:lang w:val="en-US"/>
        </w:rPr>
        <w:t>[17]</w:t>
      </w:r>
      <w:r>
        <w:rPr>
          <w:lang w:val="en-US"/>
        </w:rPr>
        <w:tab/>
      </w:r>
      <w:r w:rsidR="00902854">
        <w:rPr>
          <w:lang w:val="en-US"/>
        </w:rPr>
        <w:t>I grant the following order:</w:t>
      </w:r>
    </w:p>
    <w:p w14:paraId="27F60CE0" w14:textId="77777777" w:rsidR="00902854" w:rsidRDefault="00902854" w:rsidP="00902854">
      <w:pPr>
        <w:pStyle w:val="level1"/>
        <w:numPr>
          <w:ilvl w:val="0"/>
          <w:numId w:val="0"/>
        </w:numPr>
        <w:spacing w:after="480" w:line="360" w:lineRule="auto"/>
        <w:ind w:left="360"/>
        <w:jc w:val="both"/>
        <w:rPr>
          <w:lang w:val="en-US"/>
        </w:rPr>
      </w:pPr>
      <w:r>
        <w:rPr>
          <w:lang w:val="en-US"/>
        </w:rPr>
        <w:t>The application for leave to appeal is dismissed with costs.</w:t>
      </w:r>
    </w:p>
    <w:p w14:paraId="2103C457" w14:textId="1D7F5ABE" w:rsidR="00383D1C" w:rsidRPr="00FA6C18" w:rsidRDefault="00383D1C" w:rsidP="0039420D">
      <w:pPr>
        <w:pStyle w:val="level1"/>
        <w:numPr>
          <w:ilvl w:val="0"/>
          <w:numId w:val="0"/>
        </w:numPr>
        <w:spacing w:after="480" w:line="360" w:lineRule="auto"/>
        <w:jc w:val="both"/>
        <w:rPr>
          <w:lang w:val="en-US"/>
        </w:rPr>
      </w:pPr>
    </w:p>
    <w:p w14:paraId="5E9CF16B" w14:textId="77777777" w:rsidR="001E2697" w:rsidRDefault="001E2697" w:rsidP="001E2697">
      <w:pPr>
        <w:pStyle w:val="level1"/>
        <w:numPr>
          <w:ilvl w:val="0"/>
          <w:numId w:val="0"/>
        </w:numPr>
        <w:spacing w:after="480" w:line="360" w:lineRule="auto"/>
        <w:ind w:left="360" w:firstLine="360"/>
        <w:jc w:val="both"/>
        <w:rPr>
          <w:lang w:val="en-US"/>
        </w:rPr>
      </w:pPr>
    </w:p>
    <w:p w14:paraId="383AFE0B" w14:textId="77777777" w:rsidR="001E2697" w:rsidRDefault="001E2697" w:rsidP="001E2697">
      <w:pPr>
        <w:spacing w:line="360" w:lineRule="auto"/>
        <w:ind w:left="2880" w:firstLine="720"/>
      </w:pPr>
      <w:r>
        <w:tab/>
        <w:t>_____________________________________</w:t>
      </w:r>
    </w:p>
    <w:p w14:paraId="4A30BEF1" w14:textId="77777777" w:rsidR="001E2697" w:rsidRDefault="001E2697" w:rsidP="001E2697">
      <w:pPr>
        <w:ind w:left="4395"/>
        <w:rPr>
          <w:b/>
        </w:rPr>
      </w:pPr>
      <w:r>
        <w:rPr>
          <w:b/>
        </w:rPr>
        <w:t>EF DIPPENAAR</w:t>
      </w:r>
      <w:r>
        <w:t xml:space="preserve">                        </w:t>
      </w:r>
    </w:p>
    <w:p w14:paraId="4B1A0050" w14:textId="77777777" w:rsidR="001E2697" w:rsidRPr="00FB1B0A" w:rsidRDefault="001E2697" w:rsidP="001E2697">
      <w:pPr>
        <w:ind w:left="4395"/>
        <w:rPr>
          <w:b/>
        </w:rPr>
      </w:pPr>
      <w:r>
        <w:rPr>
          <w:b/>
        </w:rPr>
        <w:t xml:space="preserve">JUDGE OF THE HIGH COURT </w:t>
      </w:r>
      <w:smartTag w:uri="urn:schemas-microsoft-com:office:smarttags" w:element="place">
        <w:smartTag w:uri="urn:schemas-microsoft-com:office:smarttags" w:element="City">
          <w:r>
            <w:rPr>
              <w:b/>
            </w:rPr>
            <w:t>JOHANNESBURG</w:t>
          </w:r>
        </w:smartTag>
      </w:smartTag>
    </w:p>
    <w:p w14:paraId="3F8AD1F5" w14:textId="77777777" w:rsidR="001E2697" w:rsidRDefault="001E2697" w:rsidP="001E2697">
      <w:pPr>
        <w:rPr>
          <w:b/>
          <w:u w:val="single"/>
        </w:rPr>
      </w:pPr>
    </w:p>
    <w:p w14:paraId="61375C0E" w14:textId="77777777" w:rsidR="00113EEB" w:rsidRDefault="00113EEB" w:rsidP="001E2697">
      <w:pPr>
        <w:rPr>
          <w:b/>
          <w:u w:val="single"/>
        </w:rPr>
      </w:pPr>
    </w:p>
    <w:p w14:paraId="25B18677" w14:textId="0DFDEB45" w:rsidR="001E2697" w:rsidRPr="008B170D" w:rsidRDefault="001E2697" w:rsidP="001E2697">
      <w:pPr>
        <w:rPr>
          <w:b/>
          <w:u w:val="single"/>
        </w:rPr>
      </w:pPr>
      <w:r w:rsidRPr="008B170D">
        <w:rPr>
          <w:b/>
          <w:u w:val="single"/>
        </w:rPr>
        <w:t xml:space="preserve">APPEARANCES </w:t>
      </w:r>
    </w:p>
    <w:p w14:paraId="268038BB" w14:textId="77777777" w:rsidR="001E2697" w:rsidRDefault="001E2697" w:rsidP="001E2697">
      <w:pPr>
        <w:pStyle w:val="ListParagraph"/>
        <w:spacing w:after="0" w:line="240" w:lineRule="auto"/>
        <w:ind w:left="0"/>
      </w:pPr>
    </w:p>
    <w:p w14:paraId="200D2BF0" w14:textId="0FB98245" w:rsidR="001E2697" w:rsidRDefault="001E2697" w:rsidP="001E2697">
      <w:r w:rsidRPr="008B170D">
        <w:rPr>
          <w:b/>
        </w:rPr>
        <w:t>DATE OF HEARING</w:t>
      </w:r>
      <w:r w:rsidRPr="008B170D">
        <w:rPr>
          <w:b/>
        </w:rPr>
        <w:tab/>
        <w:t xml:space="preserve"> </w:t>
      </w:r>
      <w:r w:rsidRPr="008B170D">
        <w:rPr>
          <w:b/>
        </w:rPr>
        <w:tab/>
      </w:r>
      <w:r w:rsidRPr="008B170D">
        <w:rPr>
          <w:b/>
        </w:rPr>
        <w:tab/>
        <w:t xml:space="preserve"> </w:t>
      </w:r>
      <w:r>
        <w:rPr>
          <w:b/>
        </w:rPr>
        <w:tab/>
      </w:r>
      <w:r w:rsidRPr="008B170D">
        <w:t>:</w:t>
      </w:r>
      <w:r>
        <w:t xml:space="preserve"> </w:t>
      </w:r>
      <w:r w:rsidR="0039420D">
        <w:t xml:space="preserve"> </w:t>
      </w:r>
      <w:r w:rsidR="00675F19">
        <w:t>2</w:t>
      </w:r>
      <w:r w:rsidR="006001E0">
        <w:t>7</w:t>
      </w:r>
      <w:r w:rsidR="00D5483A">
        <w:t xml:space="preserve"> </w:t>
      </w:r>
      <w:r w:rsidR="0039420D">
        <w:t>October 2022</w:t>
      </w:r>
      <w:r>
        <w:rPr>
          <w:b/>
        </w:rPr>
        <w:tab/>
      </w:r>
      <w:r>
        <w:t xml:space="preserve"> </w:t>
      </w:r>
    </w:p>
    <w:p w14:paraId="345B4D09" w14:textId="77777777" w:rsidR="001E2697" w:rsidRPr="008B170D" w:rsidRDefault="001E2697" w:rsidP="001E2697">
      <w:pPr>
        <w:rPr>
          <w:b/>
        </w:rPr>
      </w:pPr>
    </w:p>
    <w:p w14:paraId="2DA72A9D" w14:textId="1AA19847" w:rsidR="001E2697" w:rsidRPr="008B170D" w:rsidRDefault="001E2697" w:rsidP="001E2697">
      <w:pPr>
        <w:rPr>
          <w:b/>
        </w:rPr>
      </w:pPr>
      <w:r w:rsidRPr="008B170D">
        <w:rPr>
          <w:b/>
        </w:rPr>
        <w:t xml:space="preserve">DATE OF JUDGMENT </w:t>
      </w:r>
      <w:r w:rsidRPr="008B170D">
        <w:rPr>
          <w:b/>
        </w:rPr>
        <w:tab/>
      </w:r>
      <w:r w:rsidRPr="008B170D">
        <w:rPr>
          <w:b/>
        </w:rPr>
        <w:tab/>
      </w:r>
      <w:r w:rsidRPr="008B170D">
        <w:rPr>
          <w:b/>
        </w:rPr>
        <w:tab/>
        <w:t xml:space="preserve"> </w:t>
      </w:r>
      <w:r>
        <w:rPr>
          <w:b/>
        </w:rPr>
        <w:tab/>
      </w:r>
      <w:r w:rsidRPr="008B170D">
        <w:t>:</w:t>
      </w:r>
      <w:r>
        <w:t xml:space="preserve"> </w:t>
      </w:r>
      <w:r w:rsidR="0039420D">
        <w:t xml:space="preserve"> </w:t>
      </w:r>
      <w:r w:rsidR="006001E0">
        <w:t>28</w:t>
      </w:r>
      <w:r w:rsidR="0039420D">
        <w:t xml:space="preserve"> October 2022</w:t>
      </w:r>
    </w:p>
    <w:p w14:paraId="011A826F" w14:textId="77777777" w:rsidR="001E2697" w:rsidRPr="008B170D" w:rsidRDefault="001E2697" w:rsidP="001E2697">
      <w:pPr>
        <w:rPr>
          <w:b/>
        </w:rPr>
      </w:pPr>
      <w:r w:rsidRPr="008B170D">
        <w:rPr>
          <w:b/>
        </w:rPr>
        <w:tab/>
      </w:r>
      <w:r w:rsidRPr="008B170D">
        <w:rPr>
          <w:b/>
        </w:rPr>
        <w:tab/>
      </w:r>
      <w:r w:rsidRPr="008B170D">
        <w:rPr>
          <w:b/>
        </w:rPr>
        <w:tab/>
      </w:r>
      <w:r w:rsidRPr="008B170D">
        <w:rPr>
          <w:b/>
        </w:rPr>
        <w:tab/>
      </w:r>
    </w:p>
    <w:p w14:paraId="1DFCDF2D" w14:textId="77777777" w:rsidR="009948E9" w:rsidRDefault="009948E9" w:rsidP="009948E9">
      <w:pPr>
        <w:spacing w:after="200"/>
        <w:contextualSpacing/>
        <w:rPr>
          <w:rFonts w:eastAsia="Calibri"/>
        </w:rPr>
      </w:pPr>
      <w:bookmarkStart w:id="1" w:name="_Hlk67555944"/>
      <w:r>
        <w:rPr>
          <w:rFonts w:eastAsia="Calibri"/>
          <w:b/>
        </w:rPr>
        <w:t>PLAINTIFF</w:t>
      </w:r>
      <w:r w:rsidRPr="003E4474">
        <w:rPr>
          <w:rFonts w:eastAsia="Calibri"/>
          <w:b/>
        </w:rPr>
        <w:t>’S COUNSEL</w:t>
      </w:r>
      <w:r w:rsidRPr="003E4474">
        <w:rPr>
          <w:rFonts w:eastAsia="Calibri"/>
          <w:b/>
        </w:rPr>
        <w:tab/>
      </w:r>
      <w:r w:rsidRPr="003E4474">
        <w:rPr>
          <w:rFonts w:eastAsia="Calibri"/>
          <w:b/>
        </w:rPr>
        <w:tab/>
      </w:r>
      <w:r w:rsidRPr="003E4474">
        <w:rPr>
          <w:rFonts w:eastAsia="Calibri"/>
          <w:b/>
        </w:rPr>
        <w:tab/>
      </w:r>
      <w:r w:rsidRPr="003E4474">
        <w:rPr>
          <w:rFonts w:eastAsia="Calibri"/>
          <w:b/>
        </w:rPr>
        <w:tab/>
      </w:r>
      <w:r w:rsidRPr="003E4474">
        <w:rPr>
          <w:rFonts w:eastAsia="Calibri"/>
        </w:rPr>
        <w:t xml:space="preserve">:  </w:t>
      </w:r>
      <w:r>
        <w:rPr>
          <w:rFonts w:eastAsia="Calibri"/>
        </w:rPr>
        <w:t>Adv. Y. Alli</w:t>
      </w:r>
    </w:p>
    <w:p w14:paraId="090A719B" w14:textId="77777777" w:rsidR="009948E9" w:rsidRPr="003E4474" w:rsidRDefault="009948E9" w:rsidP="009948E9">
      <w:pPr>
        <w:spacing w:after="200"/>
        <w:contextualSpacing/>
        <w:rPr>
          <w:rFonts w:eastAsia="Calibri"/>
          <w:b/>
          <w:bCs/>
        </w:rPr>
      </w:pPr>
    </w:p>
    <w:p w14:paraId="70B4F9E2" w14:textId="77777777" w:rsidR="009948E9" w:rsidRPr="003E4474" w:rsidRDefault="009948E9" w:rsidP="009948E9">
      <w:pPr>
        <w:spacing w:after="200"/>
        <w:contextualSpacing/>
        <w:rPr>
          <w:rFonts w:eastAsia="Calibri"/>
        </w:rPr>
      </w:pPr>
      <w:r w:rsidRPr="009154AE">
        <w:rPr>
          <w:rFonts w:eastAsia="Calibri"/>
          <w:b/>
          <w:bCs/>
        </w:rPr>
        <w:t>PLAINTIFF’S</w:t>
      </w:r>
      <w:r w:rsidRPr="003E4474">
        <w:rPr>
          <w:rFonts w:eastAsia="Calibri"/>
          <w:b/>
          <w:bCs/>
        </w:rPr>
        <w:t xml:space="preserve"> ATTORNEYS</w:t>
      </w:r>
      <w:r w:rsidRPr="003E4474">
        <w:rPr>
          <w:rFonts w:eastAsia="Calibri"/>
        </w:rPr>
        <w:tab/>
      </w:r>
      <w:r w:rsidRPr="003E4474">
        <w:rPr>
          <w:rFonts w:eastAsia="Calibri"/>
        </w:rPr>
        <w:tab/>
      </w:r>
      <w:r w:rsidRPr="003E4474">
        <w:rPr>
          <w:rFonts w:eastAsia="Calibri"/>
        </w:rPr>
        <w:tab/>
        <w:t xml:space="preserve">:  </w:t>
      </w:r>
      <w:proofErr w:type="spellStart"/>
      <w:r>
        <w:rPr>
          <w:rFonts w:eastAsia="Calibri"/>
        </w:rPr>
        <w:t>Thokan</w:t>
      </w:r>
      <w:proofErr w:type="spellEnd"/>
      <w:r>
        <w:rPr>
          <w:rFonts w:eastAsia="Calibri"/>
        </w:rPr>
        <w:t xml:space="preserve"> Attorneys </w:t>
      </w:r>
    </w:p>
    <w:p w14:paraId="69E3443E" w14:textId="77777777" w:rsidR="009948E9" w:rsidRPr="003E4474" w:rsidRDefault="009948E9" w:rsidP="009948E9">
      <w:pPr>
        <w:spacing w:after="200"/>
        <w:contextualSpacing/>
        <w:rPr>
          <w:rFonts w:eastAsia="Calibri"/>
        </w:rPr>
      </w:pPr>
      <w:r w:rsidRPr="003E4474">
        <w:rPr>
          <w:rFonts w:eastAsia="Calibri"/>
        </w:rPr>
        <w:tab/>
      </w:r>
      <w:r w:rsidRPr="003E4474">
        <w:rPr>
          <w:rFonts w:eastAsia="Calibri"/>
        </w:rPr>
        <w:tab/>
      </w:r>
      <w:r w:rsidRPr="003E4474">
        <w:rPr>
          <w:rFonts w:eastAsia="Calibri"/>
        </w:rPr>
        <w:tab/>
      </w:r>
      <w:r w:rsidRPr="003E4474">
        <w:rPr>
          <w:rFonts w:eastAsia="Calibri"/>
        </w:rPr>
        <w:tab/>
      </w:r>
      <w:r w:rsidRPr="003E4474">
        <w:rPr>
          <w:rFonts w:eastAsia="Calibri"/>
        </w:rPr>
        <w:tab/>
      </w:r>
      <w:r w:rsidRPr="003E4474">
        <w:rPr>
          <w:rFonts w:eastAsia="Calibri"/>
        </w:rPr>
        <w:tab/>
      </w:r>
      <w:r w:rsidRPr="003E4474">
        <w:rPr>
          <w:rFonts w:eastAsia="Calibri"/>
        </w:rPr>
        <w:tab/>
        <w:t xml:space="preserve">  </w:t>
      </w:r>
      <w:bookmarkStart w:id="2" w:name="_Hlk44520146"/>
    </w:p>
    <w:bookmarkEnd w:id="2"/>
    <w:p w14:paraId="4EBDE327" w14:textId="13B58A7D" w:rsidR="009948E9" w:rsidRPr="003E4474" w:rsidRDefault="0064639D" w:rsidP="009948E9">
      <w:pPr>
        <w:spacing w:after="200"/>
        <w:contextualSpacing/>
        <w:rPr>
          <w:rFonts w:eastAsia="Calibri"/>
        </w:rPr>
      </w:pPr>
      <w:r>
        <w:rPr>
          <w:rFonts w:eastAsia="Calibri"/>
          <w:b/>
        </w:rPr>
        <w:t xml:space="preserve">FIRST </w:t>
      </w:r>
      <w:r w:rsidR="009948E9">
        <w:rPr>
          <w:rFonts w:eastAsia="Calibri"/>
          <w:b/>
        </w:rPr>
        <w:t>DEFENDANT</w:t>
      </w:r>
      <w:r w:rsidR="009948E9" w:rsidRPr="003E4474">
        <w:rPr>
          <w:rFonts w:eastAsia="Calibri"/>
          <w:b/>
        </w:rPr>
        <w:t>’S COUNSEL</w:t>
      </w:r>
      <w:r w:rsidR="009948E9">
        <w:rPr>
          <w:rFonts w:eastAsia="Calibri"/>
          <w:b/>
        </w:rPr>
        <w:tab/>
      </w:r>
      <w:r w:rsidR="009948E9">
        <w:rPr>
          <w:rFonts w:eastAsia="Calibri"/>
          <w:b/>
        </w:rPr>
        <w:tab/>
      </w:r>
      <w:r w:rsidR="009948E9">
        <w:rPr>
          <w:rFonts w:eastAsia="Calibri"/>
        </w:rPr>
        <w:t xml:space="preserve">: </w:t>
      </w:r>
      <w:r w:rsidR="009948E9" w:rsidRPr="00ED1F8E">
        <w:rPr>
          <w:rFonts w:eastAsia="Calibri"/>
        </w:rPr>
        <w:t xml:space="preserve">Adv. L. </w:t>
      </w:r>
      <w:proofErr w:type="spellStart"/>
      <w:r w:rsidR="009948E9" w:rsidRPr="00ED1F8E">
        <w:rPr>
          <w:rFonts w:eastAsia="Calibri"/>
        </w:rPr>
        <w:t>Schӓfer</w:t>
      </w:r>
      <w:proofErr w:type="spellEnd"/>
    </w:p>
    <w:p w14:paraId="65C026D5" w14:textId="77777777" w:rsidR="009948E9" w:rsidRPr="003E4474" w:rsidRDefault="009948E9" w:rsidP="009948E9">
      <w:pPr>
        <w:spacing w:after="200"/>
        <w:contextualSpacing/>
        <w:rPr>
          <w:rFonts w:eastAsia="Calibri"/>
          <w:bCs/>
        </w:rPr>
      </w:pPr>
    </w:p>
    <w:p w14:paraId="179EA727" w14:textId="2E686316" w:rsidR="009948E9" w:rsidRDefault="0064639D" w:rsidP="009948E9">
      <w:pPr>
        <w:spacing w:after="200"/>
        <w:contextualSpacing/>
        <w:rPr>
          <w:rFonts w:eastAsia="Calibri"/>
        </w:rPr>
      </w:pPr>
      <w:r>
        <w:rPr>
          <w:rFonts w:eastAsia="Calibri"/>
          <w:b/>
        </w:rPr>
        <w:t xml:space="preserve">FIRST </w:t>
      </w:r>
      <w:r w:rsidR="009948E9" w:rsidRPr="009154AE">
        <w:rPr>
          <w:rFonts w:eastAsia="Calibri"/>
          <w:b/>
        </w:rPr>
        <w:t xml:space="preserve">DEFENDANT’S </w:t>
      </w:r>
      <w:r w:rsidR="009948E9">
        <w:rPr>
          <w:rFonts w:eastAsia="Calibri"/>
          <w:b/>
        </w:rPr>
        <w:t>ATTORNEYS</w:t>
      </w:r>
      <w:r w:rsidR="009948E9">
        <w:rPr>
          <w:rFonts w:eastAsia="Calibri"/>
          <w:b/>
        </w:rPr>
        <w:tab/>
      </w:r>
      <w:r w:rsidR="009948E9">
        <w:rPr>
          <w:rFonts w:eastAsia="Calibri"/>
          <w:b/>
        </w:rPr>
        <w:tab/>
      </w:r>
      <w:r w:rsidR="009948E9" w:rsidRPr="003E4474">
        <w:rPr>
          <w:rFonts w:eastAsia="Calibri"/>
        </w:rPr>
        <w:t xml:space="preserve">: </w:t>
      </w:r>
      <w:proofErr w:type="spellStart"/>
      <w:r w:rsidR="009948E9">
        <w:rPr>
          <w:rFonts w:eastAsia="Calibri"/>
        </w:rPr>
        <w:t>Amod</w:t>
      </w:r>
      <w:proofErr w:type="spellEnd"/>
      <w:r w:rsidR="009948E9">
        <w:rPr>
          <w:rFonts w:eastAsia="Calibri"/>
        </w:rPr>
        <w:t xml:space="preserve"> Van Schalk Attorneys</w:t>
      </w:r>
      <w:bookmarkEnd w:id="1"/>
    </w:p>
    <w:sectPr w:rsidR="009948E9" w:rsidSect="00113313">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45554" w14:textId="77777777" w:rsidR="00812A7D" w:rsidRDefault="00812A7D">
      <w:r>
        <w:separator/>
      </w:r>
    </w:p>
  </w:endnote>
  <w:endnote w:type="continuationSeparator" w:id="0">
    <w:p w14:paraId="3EB8A6B4" w14:textId="77777777" w:rsidR="00812A7D" w:rsidRDefault="0081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4C34B" w14:textId="77777777" w:rsidR="00812A7D" w:rsidRDefault="00812A7D">
      <w:r>
        <w:separator/>
      </w:r>
    </w:p>
  </w:footnote>
  <w:footnote w:type="continuationSeparator" w:id="0">
    <w:p w14:paraId="0FF5D2F3" w14:textId="77777777" w:rsidR="00812A7D" w:rsidRDefault="00812A7D">
      <w:r>
        <w:continuationSeparator/>
      </w:r>
    </w:p>
  </w:footnote>
  <w:footnote w:id="1">
    <w:p w14:paraId="4C55949F" w14:textId="0F7022CE" w:rsidR="00123BF2" w:rsidRDefault="00123BF2">
      <w:pPr>
        <w:pStyle w:val="FootnoteText"/>
      </w:pPr>
      <w:r>
        <w:rPr>
          <w:rStyle w:val="FootnoteReference"/>
        </w:rPr>
        <w:footnoteRef/>
      </w:r>
      <w:r>
        <w:t xml:space="preserve"> 10 of 2013</w:t>
      </w:r>
    </w:p>
  </w:footnote>
  <w:footnote w:id="2">
    <w:p w14:paraId="69F16094" w14:textId="0BF53F6F" w:rsidR="008C2B61" w:rsidRDefault="008C2B61">
      <w:pPr>
        <w:pStyle w:val="FootnoteText"/>
      </w:pPr>
      <w:r>
        <w:rPr>
          <w:rStyle w:val="FootnoteReference"/>
        </w:rPr>
        <w:footnoteRef/>
      </w:r>
      <w:r>
        <w:t xml:space="preserve"> </w:t>
      </w:r>
      <w:proofErr w:type="spellStart"/>
      <w:r>
        <w:t>Ramakatsa</w:t>
      </w:r>
      <w:proofErr w:type="spellEnd"/>
      <w:r>
        <w:t xml:space="preserve"> and Others v African National Congress and Another [2021] JOL 49993 (SCA) para [10]</w:t>
      </w:r>
    </w:p>
  </w:footnote>
  <w:footnote w:id="3">
    <w:p w14:paraId="3A7468FE" w14:textId="77777777" w:rsidR="001B292F" w:rsidRDefault="001B292F" w:rsidP="001B292F">
      <w:pPr>
        <w:pStyle w:val="FootnoteText"/>
      </w:pPr>
      <w:r>
        <w:rPr>
          <w:rStyle w:val="FootnoteReference"/>
        </w:rPr>
        <w:footnoteRef/>
      </w:r>
      <w:r>
        <w:t xml:space="preserve"> Smith v S [2011] ZASCA 15; MEC for Health, Eastern Cape v </w:t>
      </w:r>
      <w:proofErr w:type="spellStart"/>
      <w:r>
        <w:t>Mkhitha</w:t>
      </w:r>
      <w:proofErr w:type="spellEnd"/>
      <w:r>
        <w:t xml:space="preserve"> [2016] ZASCA 176, para [17]</w:t>
      </w:r>
    </w:p>
  </w:footnote>
  <w:footnote w:id="4">
    <w:p w14:paraId="4751F2A4" w14:textId="4E559675" w:rsidR="004F133F" w:rsidRDefault="004F133F">
      <w:pPr>
        <w:pStyle w:val="FootnoteText"/>
      </w:pPr>
      <w:r>
        <w:rPr>
          <w:rStyle w:val="FootnoteReference"/>
        </w:rPr>
        <w:footnoteRef/>
      </w:r>
      <w:r>
        <w:t xml:space="preserve"> [2021] ZAWCHC 49 paras [12] and [13]</w:t>
      </w:r>
    </w:p>
  </w:footnote>
  <w:footnote w:id="5">
    <w:p w14:paraId="4B21B68C" w14:textId="77777777" w:rsidR="00FE361B" w:rsidRDefault="00FE361B" w:rsidP="00FE361B">
      <w:pPr>
        <w:pStyle w:val="FootnoteText"/>
      </w:pPr>
      <w:r>
        <w:rPr>
          <w:rStyle w:val="FootnoteReference"/>
        </w:rPr>
        <w:footnoteRef/>
      </w:r>
      <w:r>
        <w:t xml:space="preserve"> </w:t>
      </w:r>
      <w:proofErr w:type="spellStart"/>
      <w:r>
        <w:t>Giddey</w:t>
      </w:r>
      <w:proofErr w:type="spellEnd"/>
      <w:r>
        <w:t xml:space="preserve"> NO v JC Barnard &amp; Partners [2006] JOL 18229 (CC) para [19]</w:t>
      </w:r>
    </w:p>
  </w:footnote>
  <w:footnote w:id="6">
    <w:p w14:paraId="1DF6B567" w14:textId="7DA2FE76" w:rsidR="001B292F" w:rsidRDefault="001B292F">
      <w:pPr>
        <w:pStyle w:val="FootnoteText"/>
      </w:pPr>
      <w:r>
        <w:rPr>
          <w:rStyle w:val="FootnoteReference"/>
        </w:rPr>
        <w:footnoteRef/>
      </w:r>
      <w:r>
        <w:t xml:space="preserve"> (1447/18) [2020] </w:t>
      </w:r>
      <w:r w:rsidR="00B22A6B">
        <w:t>ZASCA</w:t>
      </w:r>
      <w:r>
        <w:t xml:space="preserve"> 138 (30 October 2020) para [18]</w:t>
      </w:r>
    </w:p>
  </w:footnote>
  <w:footnote w:id="7">
    <w:p w14:paraId="35976D65" w14:textId="65B6C0FF" w:rsidR="00B22A6B" w:rsidRDefault="00B22A6B">
      <w:pPr>
        <w:pStyle w:val="FootnoteText"/>
      </w:pPr>
      <w:r>
        <w:rPr>
          <w:rStyle w:val="FootnoteReference"/>
        </w:rPr>
        <w:footnoteRef/>
      </w:r>
      <w:r>
        <w:t xml:space="preserve"> Zuma supra para [19]-[22]</w:t>
      </w:r>
    </w:p>
  </w:footnote>
  <w:footnote w:id="8">
    <w:p w14:paraId="52371DF1" w14:textId="7A431E6B" w:rsidR="00925D49" w:rsidRDefault="00925D49">
      <w:pPr>
        <w:pStyle w:val="FootnoteText"/>
      </w:pPr>
      <w:r>
        <w:rPr>
          <w:rStyle w:val="FootnoteReference"/>
        </w:rPr>
        <w:footnoteRef/>
      </w:r>
      <w:r>
        <w:t xml:space="preserve"> At para [66]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EC40" w14:textId="09A5155A" w:rsidR="003759EB" w:rsidRDefault="001E2697">
    <w:pPr>
      <w:pStyle w:val="Header"/>
      <w:jc w:val="right"/>
    </w:pPr>
    <w:r>
      <w:t xml:space="preserve">Page </w:t>
    </w:r>
    <w:r>
      <w:fldChar w:fldCharType="begin"/>
    </w:r>
    <w:r>
      <w:instrText xml:space="preserve"> PAGE   \* MERGEFORMAT </w:instrText>
    </w:r>
    <w:r>
      <w:fldChar w:fldCharType="separate"/>
    </w:r>
    <w:r w:rsidR="00DF2DA1">
      <w:rPr>
        <w:noProof/>
      </w:rPr>
      <w:t>3</w:t>
    </w:r>
    <w:r>
      <w:rPr>
        <w:noProof/>
      </w:rPr>
      <w:fldChar w:fldCharType="end"/>
    </w:r>
  </w:p>
  <w:p w14:paraId="0BA12F91" w14:textId="77777777" w:rsidR="003759E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69C"/>
    <w:multiLevelType w:val="multilevel"/>
    <w:tmpl w:val="079AF4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FCE666A"/>
    <w:multiLevelType w:val="multilevel"/>
    <w:tmpl w:val="9FAE4E4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D05276C"/>
    <w:multiLevelType w:val="multilevel"/>
    <w:tmpl w:val="5E2C494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402873D5"/>
    <w:multiLevelType w:val="multilevel"/>
    <w:tmpl w:val="253E1CB0"/>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447462E1"/>
    <w:multiLevelType w:val="multilevel"/>
    <w:tmpl w:val="D64806E2"/>
    <w:lvl w:ilvl="0">
      <w:start w:val="1"/>
      <w:numFmt w:val="decimal"/>
      <w:lvlText w:val="%1"/>
      <w:lvlJc w:val="left"/>
      <w:pPr>
        <w:tabs>
          <w:tab w:val="num" w:pos="2970"/>
        </w:tabs>
        <w:ind w:left="3679" w:hanging="709"/>
      </w:pPr>
      <w:rPr>
        <w:rFonts w:hint="default"/>
      </w:rPr>
    </w:lvl>
    <w:lvl w:ilvl="1">
      <w:start w:val="1"/>
      <w:numFmt w:val="decimal"/>
      <w:lvlText w:val="%1.%2"/>
      <w:lvlJc w:val="left"/>
      <w:pPr>
        <w:tabs>
          <w:tab w:val="num" w:pos="4388"/>
        </w:tabs>
        <w:ind w:left="4388" w:hanging="709"/>
      </w:pPr>
      <w:rPr>
        <w:rFonts w:hint="default"/>
      </w:rPr>
    </w:lvl>
    <w:lvl w:ilvl="2">
      <w:start w:val="1"/>
      <w:numFmt w:val="decimal"/>
      <w:lvlText w:val="%1.%2.%3"/>
      <w:lvlJc w:val="left"/>
      <w:pPr>
        <w:tabs>
          <w:tab w:val="num" w:pos="5097"/>
        </w:tabs>
        <w:ind w:left="5097" w:hanging="709"/>
      </w:pPr>
      <w:rPr>
        <w:rFonts w:hint="default"/>
      </w:rPr>
    </w:lvl>
    <w:lvl w:ilvl="3">
      <w:start w:val="1"/>
      <w:numFmt w:val="decimal"/>
      <w:lvlText w:val="%4.1.1.1"/>
      <w:lvlJc w:val="left"/>
      <w:pPr>
        <w:tabs>
          <w:tab w:val="num" w:pos="6177"/>
        </w:tabs>
        <w:ind w:left="5806" w:hanging="709"/>
      </w:pPr>
      <w:rPr>
        <w:rFonts w:hint="default"/>
      </w:rPr>
    </w:lvl>
    <w:lvl w:ilvl="4">
      <w:start w:val="1"/>
      <w:numFmt w:val="none"/>
      <w:lvlText w:val="("/>
      <w:lvlJc w:val="left"/>
      <w:pPr>
        <w:tabs>
          <w:tab w:val="num" w:pos="6515"/>
        </w:tabs>
        <w:ind w:left="6515" w:hanging="709"/>
      </w:pPr>
      <w:rPr>
        <w:rFonts w:hint="default"/>
      </w:rPr>
    </w:lvl>
    <w:lvl w:ilvl="5">
      <w:start w:val="1"/>
      <w:numFmt w:val="none"/>
      <w:lvlText w:val=""/>
      <w:lvlJc w:val="left"/>
      <w:pPr>
        <w:tabs>
          <w:tab w:val="num" w:pos="7224"/>
        </w:tabs>
        <w:ind w:left="7224" w:hanging="709"/>
      </w:pPr>
      <w:rPr>
        <w:rFonts w:hint="default"/>
      </w:rPr>
    </w:lvl>
    <w:lvl w:ilvl="6">
      <w:start w:val="1"/>
      <w:numFmt w:val="none"/>
      <w:lvlText w:val=""/>
      <w:lvlJc w:val="left"/>
      <w:pPr>
        <w:tabs>
          <w:tab w:val="num" w:pos="7933"/>
        </w:tabs>
        <w:ind w:left="7933" w:hanging="709"/>
      </w:pPr>
      <w:rPr>
        <w:rFonts w:hint="default"/>
      </w:rPr>
    </w:lvl>
    <w:lvl w:ilvl="7">
      <w:start w:val="1"/>
      <w:numFmt w:val="none"/>
      <w:lvlText w:val=""/>
      <w:lvlJc w:val="left"/>
      <w:pPr>
        <w:tabs>
          <w:tab w:val="num" w:pos="8642"/>
        </w:tabs>
        <w:ind w:left="8642" w:hanging="709"/>
      </w:pPr>
      <w:rPr>
        <w:rFonts w:hint="default"/>
      </w:rPr>
    </w:lvl>
    <w:lvl w:ilvl="8">
      <w:start w:val="1"/>
      <w:numFmt w:val="none"/>
      <w:lvlText w:val=""/>
      <w:lvlJc w:val="left"/>
      <w:pPr>
        <w:tabs>
          <w:tab w:val="num" w:pos="9362"/>
        </w:tabs>
        <w:ind w:left="9362" w:hanging="720"/>
      </w:pPr>
      <w:rPr>
        <w:rFonts w:hint="default"/>
      </w:rPr>
    </w:lvl>
  </w:abstractNum>
  <w:abstractNum w:abstractNumId="5" w15:restartNumberingAfterBreak="0">
    <w:nsid w:val="6BD17F80"/>
    <w:multiLevelType w:val="hybridMultilevel"/>
    <w:tmpl w:val="48A8BF86"/>
    <w:lvl w:ilvl="0" w:tplc="605ABA1C">
      <w:start w:val="1"/>
      <w:numFmt w:val="decimal"/>
      <w:pStyle w:val="level1"/>
      <w:lvlText w:val="[%1]"/>
      <w:lvlJc w:val="left"/>
      <w:pPr>
        <w:ind w:left="720" w:hanging="360"/>
      </w:pPr>
      <w:rPr>
        <w:rFonts w:hint="default"/>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1203586"/>
    <w:multiLevelType w:val="multilevel"/>
    <w:tmpl w:val="32B24AB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4EC46C3"/>
    <w:multiLevelType w:val="multilevel"/>
    <w:tmpl w:val="DFB4A732"/>
    <w:lvl w:ilvl="0">
      <w:start w:val="1"/>
      <w:numFmt w:val="decimal"/>
      <w:lvlText w:val="%1."/>
      <w:lvlJc w:val="left"/>
      <w:pPr>
        <w:tabs>
          <w:tab w:val="num" w:pos="1021"/>
        </w:tabs>
        <w:ind w:left="1021" w:hanging="1021"/>
      </w:pPr>
      <w:rPr>
        <w:rFonts w:ascii="Arial" w:hAnsi="Arial" w:hint="default"/>
      </w:rPr>
    </w:lvl>
    <w:lvl w:ilvl="1">
      <w:start w:val="1"/>
      <w:numFmt w:val="decimal"/>
      <w:lvlText w:val="%1.%2."/>
      <w:lvlJc w:val="left"/>
      <w:pPr>
        <w:tabs>
          <w:tab w:val="num" w:pos="1928"/>
        </w:tabs>
        <w:ind w:left="1928" w:hanging="907"/>
      </w:pPr>
      <w:rPr>
        <w:rFonts w:ascii="Arial" w:hAnsi="Arial" w:hint="default"/>
      </w:rPr>
    </w:lvl>
    <w:lvl w:ilvl="2">
      <w:start w:val="1"/>
      <w:numFmt w:val="decimal"/>
      <w:lvlText w:val="%1.%2.%3."/>
      <w:lvlJc w:val="left"/>
      <w:pPr>
        <w:tabs>
          <w:tab w:val="num" w:pos="3402"/>
        </w:tabs>
        <w:ind w:left="3402" w:hanging="1474"/>
      </w:pPr>
      <w:rPr>
        <w:rFonts w:ascii="Arial" w:hAnsi="Arial" w:hint="default"/>
      </w:rPr>
    </w:lvl>
    <w:lvl w:ilvl="3">
      <w:start w:val="1"/>
      <w:numFmt w:val="decimal"/>
      <w:lvlText w:val="%1.%2.%3.%4."/>
      <w:lvlJc w:val="left"/>
      <w:pPr>
        <w:tabs>
          <w:tab w:val="num" w:pos="4820"/>
        </w:tabs>
        <w:ind w:left="4820" w:hanging="17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028558963">
    <w:abstractNumId w:val="5"/>
  </w:num>
  <w:num w:numId="2" w16cid:durableId="505752077">
    <w:abstractNumId w:val="2"/>
  </w:num>
  <w:num w:numId="3" w16cid:durableId="1117219320">
    <w:abstractNumId w:val="0"/>
  </w:num>
  <w:num w:numId="4" w16cid:durableId="1398086646">
    <w:abstractNumId w:val="4"/>
  </w:num>
  <w:num w:numId="5" w16cid:durableId="1004362595">
    <w:abstractNumId w:val="7"/>
  </w:num>
  <w:num w:numId="6" w16cid:durableId="1446118951">
    <w:abstractNumId w:val="3"/>
  </w:num>
  <w:num w:numId="7" w16cid:durableId="358434679">
    <w:abstractNumId w:val="1"/>
  </w:num>
  <w:num w:numId="8" w16cid:durableId="9157425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97"/>
    <w:rsid w:val="00045763"/>
    <w:rsid w:val="000464BE"/>
    <w:rsid w:val="000B66AC"/>
    <w:rsid w:val="00113EEB"/>
    <w:rsid w:val="00123BF2"/>
    <w:rsid w:val="001534D1"/>
    <w:rsid w:val="00167A0B"/>
    <w:rsid w:val="001B292F"/>
    <w:rsid w:val="001E2697"/>
    <w:rsid w:val="00237065"/>
    <w:rsid w:val="00245037"/>
    <w:rsid w:val="002F5BC6"/>
    <w:rsid w:val="00315186"/>
    <w:rsid w:val="00323F4C"/>
    <w:rsid w:val="00383D1C"/>
    <w:rsid w:val="0039420D"/>
    <w:rsid w:val="00440DBA"/>
    <w:rsid w:val="0044622C"/>
    <w:rsid w:val="004520A0"/>
    <w:rsid w:val="00456FA9"/>
    <w:rsid w:val="004C3065"/>
    <w:rsid w:val="004D55A8"/>
    <w:rsid w:val="004E41B6"/>
    <w:rsid w:val="004E44ED"/>
    <w:rsid w:val="004F133F"/>
    <w:rsid w:val="00503815"/>
    <w:rsid w:val="00510D25"/>
    <w:rsid w:val="005257A7"/>
    <w:rsid w:val="0058281C"/>
    <w:rsid w:val="00582B78"/>
    <w:rsid w:val="00595286"/>
    <w:rsid w:val="005A0267"/>
    <w:rsid w:val="005C6AE8"/>
    <w:rsid w:val="005E1CD3"/>
    <w:rsid w:val="006001E0"/>
    <w:rsid w:val="006224E5"/>
    <w:rsid w:val="00625F77"/>
    <w:rsid w:val="0064639D"/>
    <w:rsid w:val="006616E5"/>
    <w:rsid w:val="00665510"/>
    <w:rsid w:val="00675F19"/>
    <w:rsid w:val="006E650E"/>
    <w:rsid w:val="00732694"/>
    <w:rsid w:val="007703BA"/>
    <w:rsid w:val="00772D6C"/>
    <w:rsid w:val="007E2659"/>
    <w:rsid w:val="00812A7D"/>
    <w:rsid w:val="00880CB2"/>
    <w:rsid w:val="008C2A94"/>
    <w:rsid w:val="008C2B61"/>
    <w:rsid w:val="00900064"/>
    <w:rsid w:val="00901B72"/>
    <w:rsid w:val="00902854"/>
    <w:rsid w:val="00925D49"/>
    <w:rsid w:val="00951327"/>
    <w:rsid w:val="00964FF5"/>
    <w:rsid w:val="009845B6"/>
    <w:rsid w:val="009948E9"/>
    <w:rsid w:val="009970BE"/>
    <w:rsid w:val="009B4A5F"/>
    <w:rsid w:val="009E11DF"/>
    <w:rsid w:val="009E5EA6"/>
    <w:rsid w:val="00A30A57"/>
    <w:rsid w:val="00A326BA"/>
    <w:rsid w:val="00AF401B"/>
    <w:rsid w:val="00B06318"/>
    <w:rsid w:val="00B22A6B"/>
    <w:rsid w:val="00B40203"/>
    <w:rsid w:val="00B56867"/>
    <w:rsid w:val="00B767A4"/>
    <w:rsid w:val="00B948AF"/>
    <w:rsid w:val="00BA26F8"/>
    <w:rsid w:val="00BD17F1"/>
    <w:rsid w:val="00BE3AA8"/>
    <w:rsid w:val="00C03CD3"/>
    <w:rsid w:val="00C15987"/>
    <w:rsid w:val="00C56CEE"/>
    <w:rsid w:val="00C83782"/>
    <w:rsid w:val="00C853FE"/>
    <w:rsid w:val="00CE206E"/>
    <w:rsid w:val="00D06735"/>
    <w:rsid w:val="00D5427D"/>
    <w:rsid w:val="00D5483A"/>
    <w:rsid w:val="00D771F6"/>
    <w:rsid w:val="00DD3104"/>
    <w:rsid w:val="00DF2DA1"/>
    <w:rsid w:val="00E23F96"/>
    <w:rsid w:val="00E35A5B"/>
    <w:rsid w:val="00E36A52"/>
    <w:rsid w:val="00E40142"/>
    <w:rsid w:val="00EA1E57"/>
    <w:rsid w:val="00ED2AC9"/>
    <w:rsid w:val="00F44AF4"/>
    <w:rsid w:val="00FE3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5AF172"/>
  <w15:chartTrackingRefBased/>
  <w15:docId w15:val="{524ABE92-806E-43CA-BCB0-5264B304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697"/>
    <w:pPr>
      <w:spacing w:after="0" w:line="240" w:lineRule="auto"/>
    </w:pPr>
    <w:rPr>
      <w:rFonts w:ascii="Arial" w:eastAsia="Times New Roman" w:hAnsi="Arial" w:cs="Times New Roman"/>
      <w:kern w:val="28"/>
      <w:sz w:val="24"/>
      <w:szCs w:val="24"/>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2697"/>
    <w:pPr>
      <w:tabs>
        <w:tab w:val="center" w:pos="4680"/>
        <w:tab w:val="right" w:pos="9360"/>
      </w:tabs>
    </w:pPr>
  </w:style>
  <w:style w:type="character" w:customStyle="1" w:styleId="HeaderChar">
    <w:name w:val="Header Char"/>
    <w:basedOn w:val="DefaultParagraphFont"/>
    <w:link w:val="Header"/>
    <w:uiPriority w:val="99"/>
    <w:rsid w:val="001E2697"/>
    <w:rPr>
      <w:rFonts w:ascii="Arial" w:eastAsia="Times New Roman" w:hAnsi="Arial" w:cs="Times New Roman"/>
      <w:kern w:val="28"/>
      <w:sz w:val="24"/>
      <w:szCs w:val="24"/>
      <w:lang w:val="en-ZA" w:eastAsia="en-GB"/>
    </w:rPr>
  </w:style>
  <w:style w:type="paragraph" w:customStyle="1" w:styleId="Tramlines">
    <w:name w:val="Tramlines"/>
    <w:basedOn w:val="Normal"/>
    <w:next w:val="Normal"/>
    <w:rsid w:val="001E2697"/>
    <w:pPr>
      <w:widowControl w:val="0"/>
      <w:pBdr>
        <w:top w:val="single" w:sz="4" w:space="12" w:color="auto"/>
        <w:bottom w:val="single" w:sz="4" w:space="12" w:color="auto"/>
      </w:pBdr>
      <w:jc w:val="center"/>
    </w:pPr>
    <w:rPr>
      <w:b/>
      <w:kern w:val="0"/>
      <w:lang w:eastAsia="en-US"/>
    </w:rPr>
  </w:style>
  <w:style w:type="paragraph" w:styleId="ListParagraph">
    <w:name w:val="List Paragraph"/>
    <w:basedOn w:val="Normal"/>
    <w:link w:val="ListParagraphChar"/>
    <w:uiPriority w:val="34"/>
    <w:qFormat/>
    <w:rsid w:val="001E2697"/>
    <w:pPr>
      <w:spacing w:after="200" w:line="276" w:lineRule="auto"/>
      <w:ind w:left="720"/>
      <w:contextualSpacing/>
    </w:pPr>
    <w:rPr>
      <w:rFonts w:eastAsia="Calibri"/>
      <w:kern w:val="0"/>
      <w:szCs w:val="22"/>
      <w:lang w:eastAsia="en-US"/>
    </w:rPr>
  </w:style>
  <w:style w:type="paragraph" w:customStyle="1" w:styleId="level1">
    <w:name w:val="level1"/>
    <w:basedOn w:val="Normal"/>
    <w:rsid w:val="001E2697"/>
    <w:pPr>
      <w:numPr>
        <w:numId w:val="1"/>
      </w:numPr>
    </w:pPr>
  </w:style>
  <w:style w:type="paragraph" w:styleId="FootnoteText">
    <w:name w:val="footnote text"/>
    <w:aliases w:val="Footnote Text Char1 Char,Footnote Text Char Char Char,Footnote Text Char1 Char Char Char,Footnote Text Char Char Char Char Char,Footnote Text Char1 Char Char Char Char Char,Footnote Text Char1,Footnote Text Char Char"/>
    <w:basedOn w:val="Normal"/>
    <w:link w:val="FootnoteTextChar"/>
    <w:uiPriority w:val="99"/>
    <w:unhideWhenUsed/>
    <w:rsid w:val="00383D1C"/>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w:basedOn w:val="DefaultParagraphFont"/>
    <w:link w:val="FootnoteText"/>
    <w:uiPriority w:val="99"/>
    <w:rsid w:val="00383D1C"/>
    <w:rPr>
      <w:rFonts w:ascii="Arial" w:eastAsia="Times New Roman" w:hAnsi="Arial" w:cs="Times New Roman"/>
      <w:kern w:val="28"/>
      <w:sz w:val="20"/>
      <w:szCs w:val="20"/>
      <w:lang w:val="en-ZA" w:eastAsia="en-GB"/>
    </w:rPr>
  </w:style>
  <w:style w:type="character" w:styleId="FootnoteReference">
    <w:name w:val="footnote reference"/>
    <w:basedOn w:val="DefaultParagraphFont"/>
    <w:uiPriority w:val="99"/>
    <w:unhideWhenUsed/>
    <w:rsid w:val="00383D1C"/>
    <w:rPr>
      <w:vertAlign w:val="superscript"/>
    </w:rPr>
  </w:style>
  <w:style w:type="character" w:customStyle="1" w:styleId="ListParagraphChar">
    <w:name w:val="List Paragraph Char"/>
    <w:basedOn w:val="DefaultParagraphFont"/>
    <w:link w:val="ListParagraph"/>
    <w:uiPriority w:val="34"/>
    <w:rsid w:val="009E5EA6"/>
    <w:rPr>
      <w:rFonts w:ascii="Arial" w:eastAsia="Calibri" w:hAnsi="Arial" w:cs="Times New Roman"/>
      <w:sz w:val="24"/>
      <w:lang w:val="en-ZA"/>
    </w:rPr>
  </w:style>
  <w:style w:type="paragraph" w:customStyle="1" w:styleId="Myown">
    <w:name w:val="My own"/>
    <w:basedOn w:val="Normal"/>
    <w:rsid w:val="00880CB2"/>
    <w:pPr>
      <w:tabs>
        <w:tab w:val="num" w:pos="2970"/>
      </w:tabs>
      <w:spacing w:before="360" w:after="360" w:line="480" w:lineRule="auto"/>
      <w:ind w:left="706" w:hanging="706"/>
      <w:jc w:val="both"/>
    </w:pPr>
    <w:rPr>
      <w:rFonts w:ascii="Times New Roman" w:hAnsi="Times New Roman"/>
      <w:kern w:val="0"/>
      <w:lang w:eastAsia="en-US"/>
    </w:rPr>
  </w:style>
  <w:style w:type="paragraph" w:styleId="BalloonText">
    <w:name w:val="Balloon Text"/>
    <w:basedOn w:val="Normal"/>
    <w:link w:val="BalloonTextChar"/>
    <w:uiPriority w:val="99"/>
    <w:semiHidden/>
    <w:unhideWhenUsed/>
    <w:rsid w:val="005E1C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CD3"/>
    <w:rPr>
      <w:rFonts w:ascii="Segoe UI" w:eastAsia="Times New Roman" w:hAnsi="Segoe UI" w:cs="Segoe UI"/>
      <w:kern w:val="28"/>
      <w:sz w:val="18"/>
      <w:szCs w:val="18"/>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419E9-5FC9-481F-8001-7696B0CAF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Govender</dc:creator>
  <cp:keywords/>
  <dc:description/>
  <cp:lastModifiedBy>Mariana Anguelov</cp:lastModifiedBy>
  <cp:revision>3</cp:revision>
  <cp:lastPrinted>2022-10-28T07:27:00Z</cp:lastPrinted>
  <dcterms:created xsi:type="dcterms:W3CDTF">2022-10-31T10:47:00Z</dcterms:created>
  <dcterms:modified xsi:type="dcterms:W3CDTF">2022-10-31T16:24:00Z</dcterms:modified>
</cp:coreProperties>
</file>