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1421" w14:textId="568409F3" w:rsidR="006C43D7" w:rsidRPr="006C43D7" w:rsidRDefault="006C43D7" w:rsidP="006C43D7">
      <w:pPr>
        <w:spacing w:after="120" w:line="360" w:lineRule="auto"/>
        <w:jc w:val="center"/>
        <w:rPr>
          <w:rFonts w:cs="Arial"/>
          <w:b/>
          <w:bCs/>
        </w:rPr>
      </w:pPr>
      <w:r w:rsidRPr="006C43D7">
        <w:rPr>
          <w:rFonts w:cs="Arial"/>
          <w:b/>
          <w:bCs/>
          <w:noProof/>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C43D7" w:rsidRDefault="006C43D7" w:rsidP="006C43D7">
      <w:pPr>
        <w:jc w:val="center"/>
        <w:rPr>
          <w:b/>
        </w:rPr>
      </w:pPr>
      <w:r w:rsidRPr="006C43D7">
        <w:rPr>
          <w:b/>
        </w:rPr>
        <w:t xml:space="preserve">IN THE HIGH COURT OF SOUTH AFRICA, </w:t>
      </w:r>
    </w:p>
    <w:p w14:paraId="566C4D1B" w14:textId="77777777" w:rsidR="006C43D7" w:rsidRPr="006C43D7" w:rsidRDefault="006C43D7" w:rsidP="006C43D7">
      <w:pPr>
        <w:jc w:val="center"/>
        <w:rPr>
          <w:b/>
        </w:rPr>
      </w:pPr>
      <w:r w:rsidRPr="006C43D7">
        <w:rPr>
          <w:b/>
        </w:rPr>
        <w:t>GAUTENG DIVISION, JOHANNESBURG</w:t>
      </w:r>
    </w:p>
    <w:p w14:paraId="13D6E83E" w14:textId="77777777" w:rsidR="006C43D7" w:rsidRPr="006C43D7" w:rsidRDefault="006C43D7" w:rsidP="006C43D7">
      <w:pPr>
        <w:jc w:val="both"/>
        <w:rPr>
          <w:b/>
        </w:rPr>
      </w:pPr>
    </w:p>
    <w:p w14:paraId="3698476C" w14:textId="17184BF0" w:rsidR="006C43D7" w:rsidRPr="00DB28D9" w:rsidRDefault="006C43D7" w:rsidP="006C43D7">
      <w:pPr>
        <w:spacing w:line="360" w:lineRule="auto"/>
        <w:jc w:val="right"/>
        <w:rPr>
          <w:b/>
          <w:bCs/>
        </w:rPr>
      </w:pPr>
      <w:r w:rsidRPr="006C43D7">
        <w:rPr>
          <w:b/>
        </w:rPr>
        <w:t xml:space="preserve">CASE NO: </w:t>
      </w:r>
      <w:r w:rsidR="001A0926">
        <w:rPr>
          <w:rFonts w:eastAsia="Calibri" w:cs="Arial"/>
          <w:b/>
          <w:bCs/>
          <w:spacing w:val="-3"/>
          <w:lang w:val="en-GB" w:eastAsia="en-GB"/>
        </w:rPr>
        <w:t>202</w:t>
      </w:r>
      <w:r w:rsidR="00D1109D">
        <w:rPr>
          <w:rFonts w:eastAsia="Calibri" w:cs="Arial"/>
          <w:b/>
          <w:bCs/>
          <w:spacing w:val="-3"/>
          <w:lang w:val="en-GB" w:eastAsia="en-GB"/>
        </w:rPr>
        <w:t>0</w:t>
      </w:r>
      <w:r w:rsidR="001A0926">
        <w:rPr>
          <w:rFonts w:eastAsia="Calibri" w:cs="Arial"/>
          <w:b/>
          <w:bCs/>
          <w:spacing w:val="-3"/>
          <w:lang w:val="en-GB" w:eastAsia="en-GB"/>
        </w:rPr>
        <w:t>/</w:t>
      </w:r>
      <w:r w:rsidR="008D5785">
        <w:rPr>
          <w:rFonts w:eastAsia="Calibri" w:cs="Arial"/>
          <w:b/>
          <w:bCs/>
          <w:spacing w:val="-3"/>
          <w:lang w:val="en-GB" w:eastAsia="en-GB"/>
        </w:rPr>
        <w:t>31273</w:t>
      </w:r>
    </w:p>
    <w:p w14:paraId="0AF8DD38" w14:textId="77777777" w:rsidR="006C43D7" w:rsidRPr="006C43D7" w:rsidRDefault="006C43D7" w:rsidP="006C43D7">
      <w:pPr>
        <w:spacing w:line="360" w:lineRule="auto"/>
        <w:jc w:val="right"/>
      </w:pPr>
      <w:r w:rsidRPr="006C43D7">
        <w:rPr>
          <w:noProof/>
          <w:lang w:eastAsia="en-ZA"/>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55518AFD" w:rsidR="00D645C6" w:rsidRDefault="00681FE9" w:rsidP="00681FE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B28D9">
                              <w:rPr>
                                <w:rFonts w:ascii="Century Gothic" w:hAnsi="Century Gothic"/>
                                <w:sz w:val="20"/>
                                <w:szCs w:val="20"/>
                              </w:rPr>
                              <w:t>NO</w:t>
                            </w:r>
                          </w:p>
                          <w:p w14:paraId="3A4C7296" w14:textId="03B51775" w:rsidR="00D645C6" w:rsidRPr="001D3CC2" w:rsidRDefault="00681FE9" w:rsidP="00681FE9">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DB28D9">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55518AFD" w:rsidR="00D645C6" w:rsidRDefault="00681FE9" w:rsidP="00681FE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B28D9">
                        <w:rPr>
                          <w:rFonts w:ascii="Century Gothic" w:hAnsi="Century Gothic"/>
                          <w:sz w:val="20"/>
                          <w:szCs w:val="20"/>
                        </w:rPr>
                        <w:t>NO</w:t>
                      </w:r>
                    </w:p>
                    <w:p w14:paraId="3A4C7296" w14:textId="03B51775" w:rsidR="00D645C6" w:rsidRPr="001D3CC2" w:rsidRDefault="00681FE9" w:rsidP="00681FE9">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DB28D9">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C43D7" w:rsidRDefault="006C43D7" w:rsidP="006C43D7">
      <w:pPr>
        <w:spacing w:line="360" w:lineRule="auto"/>
        <w:jc w:val="both"/>
      </w:pPr>
    </w:p>
    <w:p w14:paraId="4E808D74" w14:textId="77777777" w:rsidR="006C43D7" w:rsidRPr="006C43D7" w:rsidRDefault="006C43D7" w:rsidP="006C43D7">
      <w:pPr>
        <w:spacing w:line="360" w:lineRule="auto"/>
        <w:jc w:val="both"/>
      </w:pPr>
    </w:p>
    <w:p w14:paraId="34BF70B6" w14:textId="77777777" w:rsidR="006C43D7" w:rsidRPr="006C43D7" w:rsidRDefault="006C43D7" w:rsidP="006C43D7">
      <w:pPr>
        <w:spacing w:line="360" w:lineRule="auto"/>
        <w:jc w:val="both"/>
      </w:pPr>
    </w:p>
    <w:p w14:paraId="2F53BA3A" w14:textId="77777777" w:rsidR="006C43D7" w:rsidRPr="006C43D7" w:rsidRDefault="006C43D7" w:rsidP="006C43D7">
      <w:pPr>
        <w:spacing w:line="480" w:lineRule="auto"/>
        <w:jc w:val="both"/>
      </w:pPr>
    </w:p>
    <w:p w14:paraId="3A1C212E" w14:textId="77777777" w:rsidR="006C43D7" w:rsidRPr="006C43D7" w:rsidRDefault="006C43D7" w:rsidP="006C43D7">
      <w:pPr>
        <w:spacing w:line="480" w:lineRule="auto"/>
        <w:jc w:val="both"/>
      </w:pPr>
    </w:p>
    <w:p w14:paraId="04919B1B" w14:textId="77777777" w:rsidR="001D3CC2" w:rsidRDefault="001D3CC2" w:rsidP="006C43D7">
      <w:pPr>
        <w:spacing w:line="480" w:lineRule="auto"/>
        <w:jc w:val="both"/>
        <w:rPr>
          <w:rFonts w:cs="Arial"/>
          <w:szCs w:val="22"/>
        </w:rPr>
      </w:pPr>
    </w:p>
    <w:p w14:paraId="4AE03191" w14:textId="77777777" w:rsidR="00DB28D9" w:rsidRDefault="00DB28D9" w:rsidP="00AA7A76">
      <w:pPr>
        <w:spacing w:line="480" w:lineRule="auto"/>
        <w:jc w:val="both"/>
        <w:rPr>
          <w:rFonts w:cs="Arial"/>
          <w:szCs w:val="22"/>
        </w:rPr>
      </w:pPr>
    </w:p>
    <w:p w14:paraId="65EE98C6" w14:textId="74A0761D" w:rsidR="00AA7A76" w:rsidRPr="006C43D7" w:rsidRDefault="00AA7A76" w:rsidP="00AA7A76">
      <w:pPr>
        <w:spacing w:line="480" w:lineRule="auto"/>
        <w:jc w:val="both"/>
        <w:rPr>
          <w:rFonts w:cs="Arial"/>
          <w:szCs w:val="22"/>
        </w:rPr>
      </w:pPr>
      <w:r w:rsidRPr="006C43D7">
        <w:rPr>
          <w:rFonts w:cs="Arial"/>
          <w:szCs w:val="22"/>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8"/>
        <w:gridCol w:w="2373"/>
      </w:tblGrid>
      <w:tr w:rsidR="002104BF" w:rsidRPr="00DB28D9" w14:paraId="4E86F7E7" w14:textId="77777777" w:rsidTr="00DB28D9">
        <w:tc>
          <w:tcPr>
            <w:tcW w:w="6178" w:type="dxa"/>
          </w:tcPr>
          <w:p w14:paraId="74EE3EDE" w14:textId="0AEC5A65" w:rsidR="002104BF" w:rsidRPr="00DB28D9" w:rsidRDefault="008D5785" w:rsidP="00AA7A76">
            <w:pPr>
              <w:spacing w:line="480" w:lineRule="auto"/>
              <w:jc w:val="both"/>
              <w:rPr>
                <w:rFonts w:cs="Arial"/>
                <w:b/>
                <w:bCs/>
                <w:szCs w:val="22"/>
              </w:rPr>
            </w:pPr>
            <w:r>
              <w:rPr>
                <w:rFonts w:cs="Arial"/>
                <w:b/>
                <w:bCs/>
              </w:rPr>
              <w:t>SMITH, WESLEY JAMES EGERTON</w:t>
            </w:r>
          </w:p>
        </w:tc>
        <w:tc>
          <w:tcPr>
            <w:tcW w:w="2373" w:type="dxa"/>
          </w:tcPr>
          <w:p w14:paraId="72EECEF8" w14:textId="11B75D3A" w:rsidR="002104BF" w:rsidRPr="00DB28D9" w:rsidRDefault="002104BF" w:rsidP="00AA7A76">
            <w:pPr>
              <w:spacing w:line="480" w:lineRule="auto"/>
              <w:jc w:val="both"/>
              <w:rPr>
                <w:rFonts w:cs="Arial"/>
                <w:b/>
                <w:bCs/>
                <w:szCs w:val="22"/>
              </w:rPr>
            </w:pPr>
            <w:r w:rsidRPr="00DB28D9">
              <w:rPr>
                <w:rFonts w:cs="Arial"/>
                <w:b/>
                <w:bCs/>
                <w:szCs w:val="22"/>
              </w:rPr>
              <w:t>Applicant</w:t>
            </w:r>
          </w:p>
        </w:tc>
      </w:tr>
      <w:tr w:rsidR="002104BF" w:rsidRPr="00DB28D9" w14:paraId="64E42908" w14:textId="77777777" w:rsidTr="00DB28D9">
        <w:tc>
          <w:tcPr>
            <w:tcW w:w="6178" w:type="dxa"/>
          </w:tcPr>
          <w:p w14:paraId="6E1E5BEB" w14:textId="24690245" w:rsidR="002104BF" w:rsidRPr="00DB28D9" w:rsidRDefault="002104BF" w:rsidP="00AA7A76">
            <w:pPr>
              <w:spacing w:line="480" w:lineRule="auto"/>
              <w:jc w:val="both"/>
              <w:rPr>
                <w:b/>
                <w:bCs/>
                <w:szCs w:val="22"/>
              </w:rPr>
            </w:pPr>
            <w:r w:rsidRPr="00DB28D9">
              <w:rPr>
                <w:b/>
                <w:bCs/>
                <w:szCs w:val="22"/>
              </w:rPr>
              <w:t>and</w:t>
            </w:r>
          </w:p>
        </w:tc>
        <w:tc>
          <w:tcPr>
            <w:tcW w:w="2373" w:type="dxa"/>
          </w:tcPr>
          <w:p w14:paraId="1DB932F2" w14:textId="77777777" w:rsidR="002104BF" w:rsidRPr="00DB28D9" w:rsidRDefault="002104BF" w:rsidP="00AA7A76">
            <w:pPr>
              <w:spacing w:line="480" w:lineRule="auto"/>
              <w:jc w:val="both"/>
              <w:rPr>
                <w:rFonts w:cs="Arial"/>
                <w:b/>
                <w:bCs/>
                <w:szCs w:val="22"/>
              </w:rPr>
            </w:pPr>
          </w:p>
        </w:tc>
      </w:tr>
      <w:tr w:rsidR="002104BF" w:rsidRPr="00DB28D9" w14:paraId="3BCAF70A" w14:textId="77777777" w:rsidTr="00DB28D9">
        <w:tc>
          <w:tcPr>
            <w:tcW w:w="6178" w:type="dxa"/>
          </w:tcPr>
          <w:p w14:paraId="58EF44C8" w14:textId="3779D7F9" w:rsidR="00DB28D9" w:rsidRPr="00DB28D9" w:rsidRDefault="008D5785" w:rsidP="00DB28D9">
            <w:pPr>
              <w:tabs>
                <w:tab w:val="right" w:pos="8931"/>
              </w:tabs>
              <w:contextualSpacing/>
              <w:rPr>
                <w:b/>
                <w:bCs/>
                <w:szCs w:val="22"/>
              </w:rPr>
            </w:pPr>
            <w:r>
              <w:rPr>
                <w:rFonts w:eastAsia="Calibri" w:cs="Arial"/>
                <w:b/>
                <w:bCs/>
                <w:spacing w:val="-3"/>
                <w:lang w:val="en-GB" w:eastAsia="en-GB"/>
              </w:rPr>
              <w:t>SMITH, ALISON LEIGH</w:t>
            </w:r>
          </w:p>
          <w:p w14:paraId="0E8BF73D" w14:textId="3EBEA1A6" w:rsidR="002104BF" w:rsidRPr="00DB28D9" w:rsidRDefault="002104BF" w:rsidP="00C549F4">
            <w:pPr>
              <w:spacing w:line="480" w:lineRule="auto"/>
              <w:jc w:val="both"/>
              <w:rPr>
                <w:b/>
                <w:bCs/>
                <w:szCs w:val="22"/>
              </w:rPr>
            </w:pPr>
          </w:p>
        </w:tc>
        <w:tc>
          <w:tcPr>
            <w:tcW w:w="2373" w:type="dxa"/>
          </w:tcPr>
          <w:p w14:paraId="2A989CFA" w14:textId="50C236C0" w:rsidR="002104BF" w:rsidRPr="00DB28D9" w:rsidRDefault="002104BF" w:rsidP="00AA7A76">
            <w:pPr>
              <w:spacing w:line="480" w:lineRule="auto"/>
              <w:jc w:val="both"/>
              <w:rPr>
                <w:rFonts w:cs="Arial"/>
                <w:b/>
                <w:bCs/>
                <w:szCs w:val="22"/>
              </w:rPr>
            </w:pPr>
            <w:r w:rsidRPr="00DB28D9">
              <w:rPr>
                <w:rFonts w:cs="Arial"/>
                <w:b/>
                <w:bCs/>
                <w:szCs w:val="22"/>
              </w:rPr>
              <w:t>Respondent</w:t>
            </w:r>
          </w:p>
        </w:tc>
      </w:tr>
    </w:tbl>
    <w:p w14:paraId="387BBDD6" w14:textId="77777777" w:rsidR="00BF086D" w:rsidRPr="006C43D7" w:rsidRDefault="00BF086D" w:rsidP="006C43D7">
      <w:pPr>
        <w:pBdr>
          <w:bottom w:val="single" w:sz="4" w:space="1" w:color="auto"/>
        </w:pBdr>
        <w:spacing w:line="360" w:lineRule="auto"/>
        <w:jc w:val="both"/>
        <w:rPr>
          <w:rFonts w:cs="Arial"/>
          <w:szCs w:val="22"/>
        </w:rPr>
      </w:pPr>
    </w:p>
    <w:p w14:paraId="58DE5549" w14:textId="77777777" w:rsidR="006C43D7" w:rsidRPr="006C43D7" w:rsidRDefault="006C43D7" w:rsidP="006C43D7">
      <w:pPr>
        <w:spacing w:line="276" w:lineRule="auto"/>
        <w:jc w:val="both"/>
        <w:rPr>
          <w:rFonts w:cs="Arial"/>
          <w:szCs w:val="22"/>
        </w:rPr>
      </w:pPr>
    </w:p>
    <w:p w14:paraId="647AB70C"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52CD25EB" w14:textId="77777777" w:rsidR="006C43D7" w:rsidRPr="006C43D7" w:rsidRDefault="006C43D7" w:rsidP="006C43D7">
      <w:pPr>
        <w:pBdr>
          <w:bottom w:val="single" w:sz="4" w:space="1" w:color="auto"/>
        </w:pBdr>
        <w:jc w:val="both"/>
        <w:rPr>
          <w:rFonts w:cs="Arial"/>
          <w:szCs w:val="22"/>
        </w:rPr>
      </w:pPr>
    </w:p>
    <w:p w14:paraId="0CA76DA1" w14:textId="77777777" w:rsidR="00DC621D" w:rsidRDefault="00DC621D" w:rsidP="00DC621D">
      <w:pPr>
        <w:spacing w:line="480" w:lineRule="auto"/>
        <w:jc w:val="both"/>
        <w:rPr>
          <w:rFonts w:cs="Arial"/>
          <w:b/>
          <w:szCs w:val="22"/>
        </w:rPr>
      </w:pPr>
    </w:p>
    <w:p w14:paraId="1D994D57" w14:textId="77777777" w:rsidR="00B065B2" w:rsidRDefault="00C676F3" w:rsidP="00B065B2">
      <w:pPr>
        <w:spacing w:after="480" w:line="480" w:lineRule="auto"/>
        <w:jc w:val="both"/>
        <w:rPr>
          <w:rFonts w:cs="Arial"/>
          <w:b/>
          <w:szCs w:val="22"/>
        </w:rPr>
      </w:pPr>
      <w:r>
        <w:rPr>
          <w:rFonts w:cs="Arial"/>
          <w:b/>
          <w:szCs w:val="22"/>
        </w:rPr>
        <w:t>MOORCROFT</w:t>
      </w:r>
      <w:r w:rsidR="006C43D7" w:rsidRPr="006C43D7">
        <w:rPr>
          <w:rFonts w:cs="Arial"/>
          <w:b/>
          <w:szCs w:val="22"/>
        </w:rPr>
        <w:t xml:space="preserve"> AJ:</w:t>
      </w:r>
    </w:p>
    <w:p w14:paraId="39A9ED60" w14:textId="3C658482" w:rsidR="00DB28D9" w:rsidRDefault="00C460A0" w:rsidP="00B065B2">
      <w:pPr>
        <w:widowControl w:val="0"/>
        <w:spacing w:after="480" w:line="480" w:lineRule="auto"/>
        <w:jc w:val="both"/>
        <w:rPr>
          <w:rFonts w:cs="Arial"/>
          <w:bCs/>
          <w:i/>
          <w:iCs/>
          <w:szCs w:val="20"/>
          <w:u w:val="single"/>
        </w:rPr>
      </w:pPr>
      <w:r w:rsidRPr="003D19C3">
        <w:rPr>
          <w:rFonts w:cs="Arial"/>
          <w:bCs/>
          <w:i/>
          <w:iCs/>
          <w:szCs w:val="20"/>
          <w:u w:val="single"/>
        </w:rPr>
        <w:t>Summary</w:t>
      </w:r>
    </w:p>
    <w:p w14:paraId="1876CF09" w14:textId="4D06A21F" w:rsidR="00D24BA9" w:rsidRPr="00D24BA9" w:rsidRDefault="00D72C02" w:rsidP="00B065B2">
      <w:pPr>
        <w:keepNext/>
        <w:widowControl w:val="0"/>
        <w:spacing w:after="480" w:line="480" w:lineRule="auto"/>
        <w:jc w:val="both"/>
        <w:rPr>
          <w:rFonts w:cs="Arial"/>
          <w:bCs/>
          <w:i/>
          <w:iCs/>
          <w:szCs w:val="20"/>
        </w:rPr>
      </w:pPr>
      <w:r>
        <w:rPr>
          <w:rFonts w:cs="Arial"/>
          <w:bCs/>
          <w:i/>
          <w:iCs/>
          <w:szCs w:val="20"/>
        </w:rPr>
        <w:t xml:space="preserve">Rule 43 application – </w:t>
      </w:r>
      <w:r w:rsidR="00285D08">
        <w:rPr>
          <w:rFonts w:cs="Arial"/>
          <w:bCs/>
          <w:i/>
          <w:iCs/>
          <w:szCs w:val="20"/>
        </w:rPr>
        <w:t xml:space="preserve">application and </w:t>
      </w:r>
      <w:proofErr w:type="gramStart"/>
      <w:r w:rsidR="00285D08">
        <w:rPr>
          <w:rFonts w:cs="Arial"/>
          <w:bCs/>
          <w:i/>
          <w:iCs/>
          <w:szCs w:val="20"/>
        </w:rPr>
        <w:t>counter-application</w:t>
      </w:r>
      <w:proofErr w:type="gramEnd"/>
      <w:r w:rsidR="00285D08">
        <w:rPr>
          <w:rFonts w:cs="Arial"/>
          <w:bCs/>
          <w:i/>
          <w:iCs/>
          <w:szCs w:val="20"/>
        </w:rPr>
        <w:t xml:space="preserve"> in terms of Rule 43(6) for a </w:t>
      </w:r>
      <w:r w:rsidR="00285D08">
        <w:rPr>
          <w:rFonts w:cs="Arial"/>
          <w:bCs/>
          <w:i/>
          <w:iCs/>
          <w:szCs w:val="20"/>
        </w:rPr>
        <w:lastRenderedPageBreak/>
        <w:t xml:space="preserve">variation of order </w:t>
      </w:r>
      <w:r w:rsidR="003A5077">
        <w:rPr>
          <w:rFonts w:cs="Arial"/>
          <w:bCs/>
          <w:i/>
          <w:iCs/>
          <w:szCs w:val="20"/>
        </w:rPr>
        <w:t>–</w:t>
      </w:r>
      <w:r w:rsidR="00285D08">
        <w:rPr>
          <w:rFonts w:cs="Arial"/>
          <w:bCs/>
          <w:i/>
          <w:iCs/>
          <w:szCs w:val="20"/>
        </w:rPr>
        <w:t xml:space="preserve"> </w:t>
      </w:r>
      <w:r w:rsidR="003A5077">
        <w:rPr>
          <w:rFonts w:cs="Arial"/>
          <w:bCs/>
          <w:i/>
          <w:iCs/>
          <w:szCs w:val="20"/>
        </w:rPr>
        <w:t>material change of circumstances as result of changes in the residence of child and employment of parent</w:t>
      </w:r>
    </w:p>
    <w:p w14:paraId="18AFD427" w14:textId="71D91557" w:rsidR="00BE6AB8" w:rsidRPr="00BE6AB8" w:rsidRDefault="00BE6AB8" w:rsidP="00653BA4">
      <w:pPr>
        <w:keepNext/>
        <w:spacing w:after="480" w:line="480" w:lineRule="auto"/>
        <w:jc w:val="both"/>
        <w:rPr>
          <w:rFonts w:cs="Arial"/>
          <w:bCs/>
          <w:szCs w:val="22"/>
          <w:u w:val="single"/>
        </w:rPr>
      </w:pPr>
      <w:r>
        <w:rPr>
          <w:rFonts w:cs="Arial"/>
          <w:bCs/>
          <w:szCs w:val="22"/>
          <w:u w:val="single"/>
        </w:rPr>
        <w:t>Order</w:t>
      </w:r>
    </w:p>
    <w:p w14:paraId="00B584BA" w14:textId="72D580A4" w:rsidR="00313056" w:rsidRPr="00D06AF1" w:rsidRDefault="00681FE9" w:rsidP="00681FE9">
      <w:pPr>
        <w:tabs>
          <w:tab w:val="left" w:pos="567"/>
        </w:tabs>
        <w:spacing w:before="240" w:after="240" w:line="360" w:lineRule="auto"/>
        <w:jc w:val="both"/>
        <w:rPr>
          <w:rFonts w:cs="Arial"/>
          <w:bCs/>
          <w:i/>
          <w:iCs/>
          <w:szCs w:val="22"/>
        </w:rPr>
      </w:pPr>
      <w:r w:rsidRPr="00D06AF1">
        <w:rPr>
          <w:rFonts w:cs="Arial"/>
          <w:bCs/>
          <w:iCs/>
          <w:szCs w:val="22"/>
        </w:rPr>
        <w:t>[1]</w:t>
      </w:r>
      <w:r w:rsidRPr="00D06AF1">
        <w:rPr>
          <w:rFonts w:cs="Arial"/>
          <w:bCs/>
          <w:iCs/>
          <w:szCs w:val="22"/>
        </w:rPr>
        <w:tab/>
      </w:r>
      <w:r w:rsidR="003B4100" w:rsidRPr="00E73772">
        <w:rPr>
          <w:rFonts w:cs="Arial"/>
          <w:bCs/>
          <w:szCs w:val="22"/>
        </w:rPr>
        <w:t xml:space="preserve">In this </w:t>
      </w:r>
      <w:r w:rsidR="00B56906" w:rsidRPr="00E73772">
        <w:rPr>
          <w:rFonts w:cs="Arial"/>
          <w:bCs/>
          <w:szCs w:val="22"/>
        </w:rPr>
        <w:t xml:space="preserve">matter </w:t>
      </w:r>
      <w:r w:rsidR="00C460A0" w:rsidRPr="00E73772">
        <w:rPr>
          <w:rFonts w:cs="Arial"/>
          <w:bCs/>
          <w:szCs w:val="22"/>
        </w:rPr>
        <w:t>I ma</w:t>
      </w:r>
      <w:r w:rsidR="00D06AF1">
        <w:rPr>
          <w:rFonts w:cs="Arial"/>
          <w:bCs/>
          <w:szCs w:val="22"/>
        </w:rPr>
        <w:t xml:space="preserve">ke </w:t>
      </w:r>
      <w:r w:rsidR="00C460A0" w:rsidRPr="00E73772">
        <w:rPr>
          <w:rFonts w:cs="Arial"/>
          <w:bCs/>
          <w:szCs w:val="22"/>
        </w:rPr>
        <w:t>the following order:</w:t>
      </w:r>
    </w:p>
    <w:p w14:paraId="1AB1547A" w14:textId="53F82CA4" w:rsidR="009416CD" w:rsidRPr="00681FE9" w:rsidRDefault="00681FE9" w:rsidP="00681FE9">
      <w:pPr>
        <w:ind w:left="360" w:hanging="360"/>
        <w:jc w:val="both"/>
        <w:rPr>
          <w:i/>
          <w:iCs/>
          <w:sz w:val="20"/>
          <w:szCs w:val="20"/>
        </w:rPr>
      </w:pPr>
      <w:r w:rsidRPr="009416CD">
        <w:rPr>
          <w:i/>
          <w:iCs/>
          <w:sz w:val="20"/>
          <w:szCs w:val="20"/>
        </w:rPr>
        <w:t>1.</w:t>
      </w:r>
      <w:r w:rsidRPr="009416CD">
        <w:rPr>
          <w:i/>
          <w:iCs/>
          <w:sz w:val="20"/>
          <w:szCs w:val="20"/>
        </w:rPr>
        <w:tab/>
      </w:r>
      <w:r w:rsidR="009416CD" w:rsidRPr="00681FE9">
        <w:rPr>
          <w:i/>
          <w:iCs/>
          <w:sz w:val="20"/>
          <w:szCs w:val="20"/>
        </w:rPr>
        <w:t>The following paragraph is substituted for paragraph 3 of the Rule 43 Order between the parties under case number 2020/31273 dated 15 December 2020:</w:t>
      </w:r>
    </w:p>
    <w:p w14:paraId="200294C7" w14:textId="77777777" w:rsidR="009416CD" w:rsidRPr="009416CD" w:rsidRDefault="009416CD" w:rsidP="00656F1E">
      <w:pPr>
        <w:jc w:val="both"/>
        <w:rPr>
          <w:i/>
          <w:iCs/>
          <w:sz w:val="20"/>
          <w:szCs w:val="20"/>
        </w:rPr>
      </w:pPr>
    </w:p>
    <w:p w14:paraId="4AD887BF" w14:textId="6F77E05A" w:rsidR="009416CD" w:rsidRDefault="0091298C" w:rsidP="009D7E9C">
      <w:pPr>
        <w:ind w:left="1440"/>
        <w:jc w:val="both"/>
        <w:rPr>
          <w:i/>
          <w:iCs/>
          <w:sz w:val="20"/>
          <w:szCs w:val="20"/>
        </w:rPr>
      </w:pPr>
      <w:r>
        <w:rPr>
          <w:i/>
          <w:iCs/>
          <w:sz w:val="20"/>
          <w:szCs w:val="20"/>
        </w:rPr>
        <w:t>(</w:t>
      </w:r>
      <w:r w:rsidR="009416CD">
        <w:rPr>
          <w:i/>
          <w:iCs/>
          <w:sz w:val="20"/>
          <w:szCs w:val="20"/>
        </w:rPr>
        <w:t>3</w:t>
      </w:r>
      <w:r>
        <w:rPr>
          <w:i/>
          <w:iCs/>
          <w:sz w:val="20"/>
          <w:szCs w:val="20"/>
        </w:rPr>
        <w:t>)</w:t>
      </w:r>
    </w:p>
    <w:p w14:paraId="1E126293" w14:textId="2C45112C" w:rsidR="009416CD" w:rsidRPr="009416CD" w:rsidRDefault="009416CD" w:rsidP="009D7E9C">
      <w:pPr>
        <w:ind w:left="1440"/>
        <w:jc w:val="both"/>
        <w:rPr>
          <w:i/>
          <w:iCs/>
          <w:sz w:val="20"/>
          <w:szCs w:val="20"/>
        </w:rPr>
      </w:pPr>
      <w:r w:rsidRPr="009416CD">
        <w:rPr>
          <w:i/>
          <w:iCs/>
          <w:sz w:val="20"/>
          <w:szCs w:val="20"/>
        </w:rPr>
        <w:t xml:space="preserve">The </w:t>
      </w:r>
      <w:r w:rsidR="008D413C" w:rsidRPr="009416CD">
        <w:rPr>
          <w:i/>
          <w:iCs/>
          <w:sz w:val="20"/>
          <w:szCs w:val="20"/>
        </w:rPr>
        <w:t xml:space="preserve">applicant </w:t>
      </w:r>
      <w:r w:rsidRPr="009416CD">
        <w:rPr>
          <w:i/>
          <w:iCs/>
          <w:sz w:val="20"/>
          <w:szCs w:val="20"/>
        </w:rPr>
        <w:t xml:space="preserve">is ordered to make payment of a sum of R29 000.00 (twenty-nine thousand rand) per month in respect of maintenance for the </w:t>
      </w:r>
      <w:r w:rsidR="008D413C" w:rsidRPr="009416CD">
        <w:rPr>
          <w:i/>
          <w:iCs/>
          <w:sz w:val="20"/>
          <w:szCs w:val="20"/>
        </w:rPr>
        <w:t xml:space="preserve">respondent </w:t>
      </w:r>
      <w:r w:rsidRPr="009416CD">
        <w:rPr>
          <w:i/>
          <w:iCs/>
          <w:sz w:val="20"/>
          <w:szCs w:val="20"/>
        </w:rPr>
        <w:t xml:space="preserve">and the minor child pendente lite, </w:t>
      </w:r>
      <w:r w:rsidR="003A5077">
        <w:rPr>
          <w:i/>
          <w:iCs/>
          <w:sz w:val="20"/>
          <w:szCs w:val="20"/>
        </w:rPr>
        <w:t>as from</w:t>
      </w:r>
      <w:r w:rsidRPr="009416CD">
        <w:rPr>
          <w:i/>
          <w:iCs/>
          <w:sz w:val="20"/>
          <w:szCs w:val="20"/>
        </w:rPr>
        <w:t xml:space="preserve"> 1 December 202</w:t>
      </w:r>
      <w:r w:rsidR="003A5077">
        <w:rPr>
          <w:i/>
          <w:iCs/>
          <w:sz w:val="20"/>
          <w:szCs w:val="20"/>
        </w:rPr>
        <w:t>2, and to continue making payment of R35 000 (thirty-five thousand rand)</w:t>
      </w:r>
      <w:r w:rsidR="00D92CDC">
        <w:rPr>
          <w:i/>
          <w:iCs/>
          <w:sz w:val="20"/>
          <w:szCs w:val="20"/>
        </w:rPr>
        <w:t xml:space="preserve"> per month</w:t>
      </w:r>
      <w:r w:rsidR="003A5077">
        <w:rPr>
          <w:i/>
          <w:iCs/>
          <w:sz w:val="20"/>
          <w:szCs w:val="20"/>
        </w:rPr>
        <w:t xml:space="preserve"> as per the existing order in respect of payment</w:t>
      </w:r>
      <w:r w:rsidR="00D92CDC">
        <w:rPr>
          <w:i/>
          <w:iCs/>
          <w:sz w:val="20"/>
          <w:szCs w:val="20"/>
        </w:rPr>
        <w:t>s</w:t>
      </w:r>
      <w:r w:rsidR="003A5077">
        <w:rPr>
          <w:i/>
          <w:iCs/>
          <w:sz w:val="20"/>
          <w:szCs w:val="20"/>
        </w:rPr>
        <w:t xml:space="preserve"> due before 1 December </w:t>
      </w:r>
      <w:proofErr w:type="gramStart"/>
      <w:r w:rsidR="003A5077">
        <w:rPr>
          <w:i/>
          <w:iCs/>
          <w:sz w:val="20"/>
          <w:szCs w:val="20"/>
        </w:rPr>
        <w:t>2022</w:t>
      </w:r>
      <w:r w:rsidRPr="009416CD">
        <w:rPr>
          <w:i/>
          <w:iCs/>
          <w:sz w:val="20"/>
          <w:szCs w:val="20"/>
        </w:rPr>
        <w:t>;</w:t>
      </w:r>
      <w:proofErr w:type="gramEnd"/>
    </w:p>
    <w:p w14:paraId="425C516E" w14:textId="77777777" w:rsidR="009416CD" w:rsidRPr="009416CD" w:rsidRDefault="009416CD" w:rsidP="00656F1E">
      <w:pPr>
        <w:jc w:val="both"/>
        <w:rPr>
          <w:i/>
          <w:iCs/>
          <w:sz w:val="20"/>
          <w:szCs w:val="20"/>
        </w:rPr>
      </w:pPr>
    </w:p>
    <w:p w14:paraId="03354791" w14:textId="77777777" w:rsidR="009416CD" w:rsidRPr="009416CD" w:rsidRDefault="009416CD" w:rsidP="00656F1E">
      <w:pPr>
        <w:jc w:val="both"/>
        <w:rPr>
          <w:i/>
          <w:iCs/>
          <w:sz w:val="20"/>
          <w:szCs w:val="20"/>
        </w:rPr>
      </w:pPr>
    </w:p>
    <w:p w14:paraId="2E0742AB" w14:textId="220A627A" w:rsidR="009416CD" w:rsidRPr="00681FE9" w:rsidRDefault="00681FE9" w:rsidP="00681FE9">
      <w:pPr>
        <w:ind w:left="360" w:hanging="360"/>
        <w:jc w:val="both"/>
        <w:rPr>
          <w:i/>
          <w:iCs/>
          <w:sz w:val="20"/>
          <w:szCs w:val="20"/>
        </w:rPr>
      </w:pPr>
      <w:r w:rsidRPr="009416CD">
        <w:rPr>
          <w:i/>
          <w:iCs/>
          <w:sz w:val="20"/>
          <w:szCs w:val="20"/>
        </w:rPr>
        <w:t>2.</w:t>
      </w:r>
      <w:r w:rsidRPr="009416CD">
        <w:rPr>
          <w:i/>
          <w:iCs/>
          <w:sz w:val="20"/>
          <w:szCs w:val="20"/>
        </w:rPr>
        <w:tab/>
      </w:r>
      <w:r w:rsidR="009416CD" w:rsidRPr="00681FE9">
        <w:rPr>
          <w:i/>
          <w:iCs/>
          <w:sz w:val="20"/>
          <w:szCs w:val="20"/>
        </w:rPr>
        <w:t>The order as amended on 25 July 2022 is varied by the addition of the following paragraph after paragraph 2.3.2:</w:t>
      </w:r>
    </w:p>
    <w:p w14:paraId="0857865C" w14:textId="77777777" w:rsidR="009416CD" w:rsidRDefault="009416CD" w:rsidP="00656F1E">
      <w:pPr>
        <w:ind w:left="360"/>
        <w:jc w:val="both"/>
        <w:rPr>
          <w:i/>
          <w:iCs/>
          <w:sz w:val="20"/>
          <w:szCs w:val="20"/>
        </w:rPr>
      </w:pPr>
    </w:p>
    <w:p w14:paraId="0CC5555E" w14:textId="73768207" w:rsidR="009416CD" w:rsidRDefault="0091298C" w:rsidP="009D7E9C">
      <w:pPr>
        <w:ind w:left="1440"/>
        <w:jc w:val="both"/>
        <w:rPr>
          <w:i/>
          <w:iCs/>
          <w:sz w:val="20"/>
          <w:szCs w:val="20"/>
        </w:rPr>
      </w:pPr>
      <w:r>
        <w:rPr>
          <w:i/>
          <w:iCs/>
          <w:sz w:val="20"/>
          <w:szCs w:val="20"/>
        </w:rPr>
        <w:t>(</w:t>
      </w:r>
      <w:r w:rsidR="009416CD">
        <w:rPr>
          <w:i/>
          <w:iCs/>
          <w:sz w:val="20"/>
          <w:szCs w:val="20"/>
        </w:rPr>
        <w:t>2.4</w:t>
      </w:r>
      <w:r>
        <w:rPr>
          <w:i/>
          <w:iCs/>
          <w:sz w:val="20"/>
          <w:szCs w:val="20"/>
        </w:rPr>
        <w:t>)</w:t>
      </w:r>
    </w:p>
    <w:p w14:paraId="67956E6A" w14:textId="3B0AA8FE" w:rsidR="009416CD" w:rsidRPr="009416CD" w:rsidRDefault="009416CD" w:rsidP="009D7E9C">
      <w:pPr>
        <w:ind w:left="1440"/>
        <w:jc w:val="both"/>
        <w:rPr>
          <w:i/>
          <w:iCs/>
          <w:sz w:val="20"/>
          <w:szCs w:val="20"/>
        </w:rPr>
      </w:pPr>
      <w:r w:rsidRPr="009416CD">
        <w:rPr>
          <w:i/>
          <w:iCs/>
          <w:sz w:val="20"/>
          <w:szCs w:val="20"/>
        </w:rPr>
        <w:t>The costs of the parenting co</w:t>
      </w:r>
      <w:r w:rsidR="008D413C">
        <w:rPr>
          <w:i/>
          <w:iCs/>
          <w:sz w:val="20"/>
          <w:szCs w:val="20"/>
        </w:rPr>
        <w:t>-</w:t>
      </w:r>
      <w:r w:rsidRPr="009416CD">
        <w:rPr>
          <w:i/>
          <w:iCs/>
          <w:sz w:val="20"/>
          <w:szCs w:val="20"/>
        </w:rPr>
        <w:t xml:space="preserve">ordinator appointed in terms of paragraph 2.3 of the order as amended on 25 July 2022 shall be shared between the parties on the basis that the </w:t>
      </w:r>
      <w:r w:rsidR="008D413C" w:rsidRPr="009416CD">
        <w:rPr>
          <w:i/>
          <w:iCs/>
          <w:sz w:val="20"/>
          <w:szCs w:val="20"/>
        </w:rPr>
        <w:t xml:space="preserve">applicant </w:t>
      </w:r>
      <w:r w:rsidRPr="009416CD">
        <w:rPr>
          <w:i/>
          <w:iCs/>
          <w:sz w:val="20"/>
          <w:szCs w:val="20"/>
        </w:rPr>
        <w:t xml:space="preserve">will pay 75% of the costs and the Respondent will pay 25% of the </w:t>
      </w:r>
      <w:proofErr w:type="gramStart"/>
      <w:r w:rsidRPr="009416CD">
        <w:rPr>
          <w:i/>
          <w:iCs/>
          <w:sz w:val="20"/>
          <w:szCs w:val="20"/>
        </w:rPr>
        <w:t>costs;</w:t>
      </w:r>
      <w:proofErr w:type="gramEnd"/>
      <w:r w:rsidRPr="009416CD">
        <w:rPr>
          <w:i/>
          <w:iCs/>
          <w:sz w:val="20"/>
          <w:szCs w:val="20"/>
        </w:rPr>
        <w:t xml:space="preserve"> </w:t>
      </w:r>
    </w:p>
    <w:p w14:paraId="6AB9D69C" w14:textId="77777777" w:rsidR="009416CD" w:rsidRPr="009416CD" w:rsidRDefault="009416CD" w:rsidP="009D7E9C">
      <w:pPr>
        <w:ind w:left="1080"/>
        <w:jc w:val="both"/>
        <w:rPr>
          <w:i/>
          <w:iCs/>
          <w:sz w:val="20"/>
          <w:szCs w:val="20"/>
        </w:rPr>
      </w:pPr>
    </w:p>
    <w:p w14:paraId="22E4E69A" w14:textId="221A7B22" w:rsidR="009416CD" w:rsidRDefault="0091298C" w:rsidP="009D7E9C">
      <w:pPr>
        <w:ind w:left="1440"/>
        <w:jc w:val="both"/>
        <w:rPr>
          <w:i/>
          <w:iCs/>
          <w:sz w:val="20"/>
          <w:szCs w:val="20"/>
        </w:rPr>
      </w:pPr>
      <w:r>
        <w:rPr>
          <w:i/>
          <w:iCs/>
          <w:sz w:val="20"/>
          <w:szCs w:val="20"/>
        </w:rPr>
        <w:t>(</w:t>
      </w:r>
      <w:r w:rsidR="009416CD">
        <w:rPr>
          <w:i/>
          <w:iCs/>
          <w:sz w:val="20"/>
          <w:szCs w:val="20"/>
        </w:rPr>
        <w:t>2.5</w:t>
      </w:r>
      <w:r>
        <w:rPr>
          <w:i/>
          <w:iCs/>
          <w:sz w:val="20"/>
          <w:szCs w:val="20"/>
        </w:rPr>
        <w:t>)</w:t>
      </w:r>
    </w:p>
    <w:p w14:paraId="766B1368" w14:textId="1C2D5DCD" w:rsidR="009416CD" w:rsidRPr="009416CD" w:rsidRDefault="009416CD" w:rsidP="009D7E9C">
      <w:pPr>
        <w:ind w:left="1440"/>
        <w:jc w:val="both"/>
        <w:rPr>
          <w:i/>
          <w:iCs/>
          <w:sz w:val="20"/>
          <w:szCs w:val="20"/>
        </w:rPr>
      </w:pPr>
      <w:r w:rsidRPr="009416CD">
        <w:rPr>
          <w:i/>
          <w:iCs/>
          <w:sz w:val="20"/>
          <w:szCs w:val="20"/>
        </w:rPr>
        <w:t>The parenting co</w:t>
      </w:r>
      <w:r w:rsidR="00EF0980">
        <w:rPr>
          <w:i/>
          <w:iCs/>
          <w:sz w:val="20"/>
          <w:szCs w:val="20"/>
        </w:rPr>
        <w:t>-</w:t>
      </w:r>
      <w:r w:rsidRPr="009416CD">
        <w:rPr>
          <w:i/>
          <w:iCs/>
          <w:sz w:val="20"/>
          <w:szCs w:val="20"/>
        </w:rPr>
        <w:t xml:space="preserve">ordinator shall monitor the impact of any material change of circumstances that may affect the minor child (including the </w:t>
      </w:r>
      <w:r w:rsidR="00EF0980" w:rsidRPr="009416CD">
        <w:rPr>
          <w:i/>
          <w:iCs/>
          <w:sz w:val="20"/>
          <w:szCs w:val="20"/>
        </w:rPr>
        <w:t xml:space="preserve">respondent </w:t>
      </w:r>
      <w:r w:rsidRPr="009416CD">
        <w:rPr>
          <w:i/>
          <w:iCs/>
          <w:sz w:val="20"/>
          <w:szCs w:val="20"/>
        </w:rPr>
        <w:t xml:space="preserve">vacating the home of her parents) and provide recommendations pertaining </w:t>
      </w:r>
      <w:proofErr w:type="gramStart"/>
      <w:r w:rsidRPr="009416CD">
        <w:rPr>
          <w:i/>
          <w:iCs/>
          <w:sz w:val="20"/>
          <w:szCs w:val="20"/>
        </w:rPr>
        <w:t>thereto</w:t>
      </w:r>
      <w:r w:rsidR="00EF0980">
        <w:rPr>
          <w:i/>
          <w:iCs/>
          <w:sz w:val="20"/>
          <w:szCs w:val="20"/>
        </w:rPr>
        <w:t>;</w:t>
      </w:r>
      <w:proofErr w:type="gramEnd"/>
    </w:p>
    <w:p w14:paraId="04D47CD6" w14:textId="77777777" w:rsidR="009416CD" w:rsidRPr="009416CD" w:rsidRDefault="009416CD" w:rsidP="009D7E9C">
      <w:pPr>
        <w:ind w:left="1080"/>
        <w:jc w:val="both"/>
        <w:rPr>
          <w:i/>
          <w:iCs/>
          <w:sz w:val="20"/>
          <w:szCs w:val="20"/>
        </w:rPr>
      </w:pPr>
    </w:p>
    <w:p w14:paraId="0005A766" w14:textId="67E25B69" w:rsidR="009D7E9C" w:rsidRPr="00681FE9" w:rsidRDefault="00681FE9" w:rsidP="00681FE9">
      <w:pPr>
        <w:ind w:left="360" w:hanging="360"/>
        <w:jc w:val="both"/>
        <w:rPr>
          <w:i/>
          <w:iCs/>
          <w:sz w:val="20"/>
          <w:szCs w:val="20"/>
        </w:rPr>
      </w:pPr>
      <w:r>
        <w:rPr>
          <w:i/>
          <w:iCs/>
          <w:sz w:val="20"/>
          <w:szCs w:val="20"/>
        </w:rPr>
        <w:t>3.</w:t>
      </w:r>
      <w:r>
        <w:rPr>
          <w:i/>
          <w:iCs/>
          <w:sz w:val="20"/>
          <w:szCs w:val="20"/>
        </w:rPr>
        <w:tab/>
      </w:r>
      <w:r w:rsidR="009D7E9C" w:rsidRPr="00681FE9">
        <w:rPr>
          <w:i/>
          <w:iCs/>
          <w:sz w:val="20"/>
          <w:szCs w:val="20"/>
        </w:rPr>
        <w:t xml:space="preserve">Paragraphs 4, 5, and 6 of the order granted on 15 December 2020 are not affected by this </w:t>
      </w:r>
      <w:proofErr w:type="gramStart"/>
      <w:r w:rsidR="009D7E9C" w:rsidRPr="00681FE9">
        <w:rPr>
          <w:i/>
          <w:iCs/>
          <w:sz w:val="20"/>
          <w:szCs w:val="20"/>
        </w:rPr>
        <w:t>order;</w:t>
      </w:r>
      <w:proofErr w:type="gramEnd"/>
    </w:p>
    <w:p w14:paraId="6721E913" w14:textId="77777777" w:rsidR="009D7E9C" w:rsidRPr="009D7E9C" w:rsidRDefault="009D7E9C" w:rsidP="009D7E9C">
      <w:pPr>
        <w:jc w:val="both"/>
        <w:rPr>
          <w:i/>
          <w:iCs/>
          <w:sz w:val="20"/>
          <w:szCs w:val="20"/>
        </w:rPr>
      </w:pPr>
    </w:p>
    <w:p w14:paraId="12F5EB7C" w14:textId="4BC860B5" w:rsidR="00D06AF1" w:rsidRPr="00681FE9" w:rsidRDefault="00681FE9" w:rsidP="00681FE9">
      <w:pPr>
        <w:ind w:left="360" w:hanging="360"/>
        <w:jc w:val="both"/>
        <w:rPr>
          <w:i/>
          <w:iCs/>
          <w:sz w:val="20"/>
          <w:szCs w:val="20"/>
        </w:rPr>
      </w:pPr>
      <w:r>
        <w:rPr>
          <w:i/>
          <w:iCs/>
          <w:sz w:val="20"/>
          <w:szCs w:val="20"/>
        </w:rPr>
        <w:t>4.</w:t>
      </w:r>
      <w:r>
        <w:rPr>
          <w:i/>
          <w:iCs/>
          <w:sz w:val="20"/>
          <w:szCs w:val="20"/>
        </w:rPr>
        <w:tab/>
      </w:r>
      <w:r w:rsidR="009416CD" w:rsidRPr="00681FE9">
        <w:rPr>
          <w:i/>
          <w:iCs/>
          <w:sz w:val="20"/>
          <w:szCs w:val="20"/>
        </w:rPr>
        <w:t xml:space="preserve">The </w:t>
      </w:r>
      <w:r w:rsidR="00EF0980" w:rsidRPr="00681FE9">
        <w:rPr>
          <w:i/>
          <w:iCs/>
          <w:sz w:val="20"/>
          <w:szCs w:val="20"/>
        </w:rPr>
        <w:t xml:space="preserve">respondent </w:t>
      </w:r>
      <w:r w:rsidR="009416CD" w:rsidRPr="00681FE9">
        <w:rPr>
          <w:i/>
          <w:iCs/>
          <w:sz w:val="20"/>
          <w:szCs w:val="20"/>
        </w:rPr>
        <w:t xml:space="preserve">is ordered to pay the costs </w:t>
      </w:r>
      <w:r w:rsidR="00D92CDC" w:rsidRPr="00681FE9">
        <w:rPr>
          <w:i/>
          <w:iCs/>
          <w:sz w:val="20"/>
          <w:szCs w:val="20"/>
        </w:rPr>
        <w:t xml:space="preserve">reserved </w:t>
      </w:r>
      <w:r w:rsidR="006F1E98" w:rsidRPr="00681FE9">
        <w:rPr>
          <w:i/>
          <w:iCs/>
          <w:sz w:val="20"/>
          <w:szCs w:val="20"/>
        </w:rPr>
        <w:t xml:space="preserve">when the matter was set down for argument on the opposed </w:t>
      </w:r>
      <w:proofErr w:type="gramStart"/>
      <w:r w:rsidR="006F1E98" w:rsidRPr="00681FE9">
        <w:rPr>
          <w:i/>
          <w:iCs/>
          <w:sz w:val="20"/>
          <w:szCs w:val="20"/>
        </w:rPr>
        <w:t>roll on</w:t>
      </w:r>
      <w:proofErr w:type="gramEnd"/>
      <w:r w:rsidR="009416CD" w:rsidRPr="00681FE9">
        <w:rPr>
          <w:i/>
          <w:iCs/>
          <w:sz w:val="20"/>
          <w:szCs w:val="20"/>
        </w:rPr>
        <w:t xml:space="preserve"> 25 July 2022</w:t>
      </w:r>
      <w:r w:rsidR="0091298C" w:rsidRPr="00681FE9">
        <w:rPr>
          <w:i/>
          <w:iCs/>
          <w:sz w:val="20"/>
          <w:szCs w:val="20"/>
        </w:rPr>
        <w:t>;</w:t>
      </w:r>
    </w:p>
    <w:p w14:paraId="65D17F20" w14:textId="77777777" w:rsidR="0091298C" w:rsidRPr="0091298C" w:rsidRDefault="0091298C" w:rsidP="0091298C">
      <w:pPr>
        <w:jc w:val="both"/>
        <w:rPr>
          <w:i/>
          <w:iCs/>
          <w:sz w:val="20"/>
          <w:szCs w:val="20"/>
        </w:rPr>
      </w:pPr>
    </w:p>
    <w:p w14:paraId="27DD17F1" w14:textId="410049B0" w:rsidR="0091298C" w:rsidRPr="00681FE9" w:rsidRDefault="00681FE9" w:rsidP="00681FE9">
      <w:pPr>
        <w:ind w:left="360" w:hanging="360"/>
        <w:jc w:val="both"/>
        <w:rPr>
          <w:i/>
          <w:iCs/>
          <w:sz w:val="20"/>
          <w:szCs w:val="20"/>
        </w:rPr>
      </w:pPr>
      <w:r w:rsidRPr="009416CD">
        <w:rPr>
          <w:i/>
          <w:iCs/>
          <w:sz w:val="20"/>
          <w:szCs w:val="20"/>
        </w:rPr>
        <w:t>5.</w:t>
      </w:r>
      <w:r w:rsidRPr="009416CD">
        <w:rPr>
          <w:i/>
          <w:iCs/>
          <w:sz w:val="20"/>
          <w:szCs w:val="20"/>
        </w:rPr>
        <w:tab/>
      </w:r>
      <w:r w:rsidR="0091298C" w:rsidRPr="00681FE9">
        <w:rPr>
          <w:i/>
          <w:iCs/>
          <w:sz w:val="20"/>
          <w:szCs w:val="20"/>
        </w:rPr>
        <w:t>Save as aforesaid each party shall pay his or her own costs.</w:t>
      </w:r>
    </w:p>
    <w:p w14:paraId="08540072" w14:textId="352F56B4" w:rsidR="00C9310B" w:rsidRPr="00681FE9" w:rsidRDefault="00681FE9" w:rsidP="00681FE9">
      <w:pPr>
        <w:widowControl w:val="0"/>
        <w:tabs>
          <w:tab w:val="left" w:pos="567"/>
        </w:tabs>
        <w:spacing w:before="480" w:after="480" w:line="480" w:lineRule="auto"/>
        <w:jc w:val="both"/>
        <w:rPr>
          <w:rFonts w:cs="Arial"/>
          <w:bCs/>
          <w:szCs w:val="22"/>
          <w:u w:val="single"/>
        </w:rPr>
      </w:pPr>
      <w:r w:rsidRPr="00E73772">
        <w:rPr>
          <w:rFonts w:cs="Arial"/>
          <w:bCs/>
          <w:szCs w:val="22"/>
        </w:rPr>
        <w:t>[2]</w:t>
      </w:r>
      <w:r w:rsidRPr="00E73772">
        <w:rPr>
          <w:rFonts w:cs="Arial"/>
          <w:bCs/>
          <w:szCs w:val="22"/>
        </w:rPr>
        <w:tab/>
      </w:r>
      <w:r w:rsidR="00573FF9" w:rsidRPr="00681FE9">
        <w:rPr>
          <w:rFonts w:cs="Arial"/>
          <w:bCs/>
          <w:szCs w:val="22"/>
        </w:rPr>
        <w:t>The reasons for the order follow below.</w:t>
      </w:r>
    </w:p>
    <w:p w14:paraId="3658C913" w14:textId="595C580C" w:rsidR="00573FF9" w:rsidRPr="00D25334" w:rsidRDefault="00D25334" w:rsidP="00F33C7D">
      <w:pPr>
        <w:keepNext/>
        <w:widowControl w:val="0"/>
        <w:spacing w:before="480" w:after="480" w:line="480" w:lineRule="auto"/>
        <w:jc w:val="both"/>
        <w:rPr>
          <w:rFonts w:cs="Arial"/>
          <w:bCs/>
          <w:szCs w:val="22"/>
          <w:u w:val="single"/>
        </w:rPr>
      </w:pPr>
      <w:r w:rsidRPr="00D25334">
        <w:rPr>
          <w:rFonts w:cs="Arial"/>
          <w:bCs/>
          <w:szCs w:val="22"/>
          <w:u w:val="single"/>
        </w:rPr>
        <w:t>Introduction</w:t>
      </w:r>
    </w:p>
    <w:p w14:paraId="5D067275" w14:textId="04CA697E" w:rsidR="00306697" w:rsidRDefault="00681FE9" w:rsidP="00681FE9">
      <w:pPr>
        <w:widowControl w:val="0"/>
        <w:tabs>
          <w:tab w:val="left" w:pos="567"/>
        </w:tabs>
        <w:spacing w:before="480" w:after="480" w:line="480" w:lineRule="auto"/>
        <w:jc w:val="both"/>
        <w:rPr>
          <w:rFonts w:cs="Arial"/>
          <w:bCs/>
          <w:szCs w:val="22"/>
        </w:rPr>
      </w:pPr>
      <w:r>
        <w:rPr>
          <w:rFonts w:cs="Arial"/>
          <w:bCs/>
          <w:szCs w:val="22"/>
        </w:rPr>
        <w:t>[3]</w:t>
      </w:r>
      <w:r>
        <w:rPr>
          <w:rFonts w:cs="Arial"/>
          <w:bCs/>
          <w:szCs w:val="22"/>
        </w:rPr>
        <w:tab/>
      </w:r>
      <w:r w:rsidR="00306697">
        <w:rPr>
          <w:rFonts w:cs="Arial"/>
          <w:bCs/>
          <w:szCs w:val="22"/>
        </w:rPr>
        <w:t xml:space="preserve">This is an application and </w:t>
      </w:r>
      <w:proofErr w:type="gramStart"/>
      <w:r w:rsidR="00306697">
        <w:rPr>
          <w:rFonts w:cs="Arial"/>
          <w:bCs/>
          <w:szCs w:val="22"/>
        </w:rPr>
        <w:t>counter-application</w:t>
      </w:r>
      <w:proofErr w:type="gramEnd"/>
      <w:r w:rsidR="00306697">
        <w:rPr>
          <w:rFonts w:cs="Arial"/>
          <w:bCs/>
          <w:szCs w:val="22"/>
        </w:rPr>
        <w:t xml:space="preserve"> in terms of Rule 43(6) of the Uniform Rules. </w:t>
      </w:r>
    </w:p>
    <w:p w14:paraId="5504B319" w14:textId="77777777" w:rsidR="00F33C7D" w:rsidRDefault="00F33C7D" w:rsidP="00F33C7D">
      <w:pPr>
        <w:keepNext/>
        <w:widowControl w:val="0"/>
        <w:spacing w:before="480" w:after="480" w:line="480" w:lineRule="auto"/>
        <w:jc w:val="both"/>
        <w:rPr>
          <w:rFonts w:cs="Arial"/>
          <w:bCs/>
          <w:szCs w:val="22"/>
          <w:u w:val="single"/>
        </w:rPr>
      </w:pPr>
    </w:p>
    <w:p w14:paraId="52281182" w14:textId="568699E2" w:rsidR="00F952AE" w:rsidRDefault="00681FE9" w:rsidP="00681FE9">
      <w:pPr>
        <w:tabs>
          <w:tab w:val="left" w:pos="567"/>
        </w:tabs>
        <w:spacing w:before="480" w:after="480" w:line="480" w:lineRule="auto"/>
        <w:jc w:val="both"/>
        <w:rPr>
          <w:rFonts w:cs="Arial"/>
          <w:bCs/>
          <w:szCs w:val="22"/>
        </w:rPr>
      </w:pPr>
      <w:r>
        <w:rPr>
          <w:rFonts w:cs="Arial"/>
          <w:bCs/>
          <w:szCs w:val="22"/>
        </w:rPr>
        <w:t>[4]</w:t>
      </w:r>
      <w:r>
        <w:rPr>
          <w:rFonts w:cs="Arial"/>
          <w:bCs/>
          <w:szCs w:val="22"/>
        </w:rPr>
        <w:tab/>
      </w:r>
      <w:r w:rsidR="005D2776">
        <w:t xml:space="preserve">Rule 43 governs relief </w:t>
      </w:r>
      <w:r w:rsidR="005D2776" w:rsidRPr="005D2776">
        <w:rPr>
          <w:i/>
          <w:iCs/>
        </w:rPr>
        <w:t>pendente lite</w:t>
      </w:r>
      <w:r w:rsidR="005D2776">
        <w:t xml:space="preserve"> in matrimonial </w:t>
      </w:r>
      <w:r w:rsidR="00F952AE">
        <w:t xml:space="preserve">matters </w:t>
      </w:r>
      <w:r w:rsidR="005D2776">
        <w:t>and an order obtained in terms of the Rule is not subject to appeal. When a material change occurs in circumstances any party may approach the court for a variation of an order</w:t>
      </w:r>
      <w:r w:rsidR="00F952AE">
        <w:t xml:space="preserve"> in terms of </w:t>
      </w:r>
      <w:r w:rsidR="005D2776">
        <w:t>Rule 43(6)</w:t>
      </w:r>
      <w:r w:rsidR="00F952AE">
        <w:t>.</w:t>
      </w:r>
      <w:r w:rsidR="005D2776">
        <w:t xml:space="preserve"> The court may, “</w:t>
      </w:r>
      <w:r w:rsidR="005D2776" w:rsidRPr="00EA226B">
        <w:rPr>
          <w:i/>
          <w:iCs/>
        </w:rPr>
        <w:t>on the same procedure,</w:t>
      </w:r>
      <w:r w:rsidR="005D2776">
        <w:rPr>
          <w:rStyle w:val="FootnoteReference"/>
          <w:i/>
          <w:iCs/>
        </w:rPr>
        <w:footnoteReference w:id="1"/>
      </w:r>
      <w:r w:rsidR="005D2776" w:rsidRPr="00EA226B">
        <w:rPr>
          <w:i/>
          <w:iCs/>
        </w:rPr>
        <w:t xml:space="preserve"> vary its decision in the event of a material change occurring in the circumstances of either party or a child, or the contribution towards costs proving inadequate</w:t>
      </w:r>
      <w:r w:rsidR="005D2776" w:rsidRPr="00EA226B">
        <w:rPr>
          <w:rFonts w:cs="Arial"/>
          <w:bCs/>
          <w:i/>
          <w:iCs/>
          <w:szCs w:val="22"/>
        </w:rPr>
        <w:t>.”</w:t>
      </w:r>
      <w:r w:rsidR="005D2776">
        <w:rPr>
          <w:rFonts w:cs="Arial"/>
          <w:bCs/>
          <w:i/>
          <w:iCs/>
          <w:szCs w:val="22"/>
        </w:rPr>
        <w:t xml:space="preserve"> </w:t>
      </w:r>
      <w:r w:rsidR="005D2776" w:rsidRPr="00C1121F">
        <w:rPr>
          <w:rFonts w:cs="Arial"/>
          <w:bCs/>
          <w:szCs w:val="22"/>
        </w:rPr>
        <w:t>Rule 43(6) is strictly interpreted.</w:t>
      </w:r>
      <w:r w:rsidR="005D2776">
        <w:rPr>
          <w:rStyle w:val="FootnoteReference"/>
          <w:rFonts w:cs="Arial"/>
          <w:bCs/>
          <w:szCs w:val="22"/>
        </w:rPr>
        <w:footnoteReference w:id="2"/>
      </w:r>
      <w:r w:rsidR="005D2776">
        <w:rPr>
          <w:rFonts w:cs="Arial"/>
          <w:bCs/>
          <w:szCs w:val="22"/>
        </w:rPr>
        <w:t xml:space="preserve"> </w:t>
      </w:r>
    </w:p>
    <w:p w14:paraId="42F25A8D" w14:textId="2F4072F3" w:rsidR="00F33C7D" w:rsidRPr="00C84B03" w:rsidRDefault="00681FE9" w:rsidP="00681FE9">
      <w:pPr>
        <w:tabs>
          <w:tab w:val="left" w:pos="567"/>
        </w:tabs>
        <w:spacing w:before="480" w:after="480" w:line="480" w:lineRule="auto"/>
        <w:jc w:val="both"/>
        <w:rPr>
          <w:rFonts w:cs="Arial"/>
          <w:bCs/>
          <w:szCs w:val="22"/>
        </w:rPr>
      </w:pPr>
      <w:r w:rsidRPr="00C84B03">
        <w:rPr>
          <w:rFonts w:cs="Arial"/>
          <w:bCs/>
          <w:szCs w:val="22"/>
        </w:rPr>
        <w:t>[5]</w:t>
      </w:r>
      <w:r w:rsidRPr="00C84B03">
        <w:rPr>
          <w:rFonts w:cs="Arial"/>
          <w:bCs/>
          <w:szCs w:val="22"/>
        </w:rPr>
        <w:tab/>
      </w:r>
      <w:r w:rsidR="00F33C7D">
        <w:rPr>
          <w:rFonts w:cs="Arial"/>
          <w:bCs/>
          <w:szCs w:val="22"/>
        </w:rPr>
        <w:t>While concise affidavits are foreseen and prolixity should be avoided</w:t>
      </w:r>
      <w:r w:rsidR="00053A32">
        <w:rPr>
          <w:rFonts w:cs="Arial"/>
          <w:bCs/>
          <w:szCs w:val="22"/>
        </w:rPr>
        <w:t xml:space="preserve"> in Rule 43 applications</w:t>
      </w:r>
      <w:r w:rsidR="00F33C7D">
        <w:rPr>
          <w:rFonts w:cs="Arial"/>
          <w:bCs/>
          <w:szCs w:val="22"/>
        </w:rPr>
        <w:t>,</w:t>
      </w:r>
      <w:r w:rsidR="00F33C7D" w:rsidRPr="002234C2">
        <w:rPr>
          <w:rStyle w:val="FootnoteReference"/>
          <w:rFonts w:cs="Arial"/>
          <w:bCs/>
          <w:szCs w:val="22"/>
        </w:rPr>
        <w:footnoteReference w:id="3"/>
      </w:r>
      <w:r w:rsidR="00F33C7D">
        <w:rPr>
          <w:rFonts w:cs="Arial"/>
          <w:bCs/>
          <w:szCs w:val="22"/>
        </w:rPr>
        <w:t xml:space="preserve"> there is no prescribed length: Relevance remains the criterion.</w:t>
      </w:r>
      <w:r w:rsidR="00F33C7D" w:rsidRPr="002234C2">
        <w:rPr>
          <w:rStyle w:val="FootnoteReference"/>
          <w:rFonts w:cs="Arial"/>
          <w:bCs/>
          <w:szCs w:val="22"/>
        </w:rPr>
        <w:footnoteReference w:id="4"/>
      </w:r>
    </w:p>
    <w:p w14:paraId="241673FA" w14:textId="68CA2D80" w:rsidR="00F33C7D" w:rsidRPr="00053A32" w:rsidRDefault="00681FE9" w:rsidP="00681FE9">
      <w:pPr>
        <w:tabs>
          <w:tab w:val="left" w:pos="567"/>
        </w:tabs>
        <w:spacing w:before="480" w:after="480" w:line="480" w:lineRule="auto"/>
        <w:jc w:val="both"/>
        <w:rPr>
          <w:rFonts w:cs="Arial"/>
          <w:bCs/>
          <w:szCs w:val="22"/>
        </w:rPr>
      </w:pPr>
      <w:r w:rsidRPr="00053A32">
        <w:rPr>
          <w:rFonts w:cs="Arial"/>
          <w:bCs/>
          <w:szCs w:val="22"/>
        </w:rPr>
        <w:t>[6]</w:t>
      </w:r>
      <w:r w:rsidRPr="00053A32">
        <w:rPr>
          <w:rFonts w:cs="Arial"/>
          <w:bCs/>
          <w:szCs w:val="22"/>
        </w:rPr>
        <w:tab/>
      </w:r>
      <w:r w:rsidR="00F33C7D" w:rsidRPr="00053A32">
        <w:rPr>
          <w:rFonts w:cs="Arial"/>
          <w:bCs/>
          <w:szCs w:val="22"/>
        </w:rPr>
        <w:t>The Court does not have a discretion to permit departure from the strict provisions of Rule 43(2) and (3) unless it decided to call for further evidence in terms of Rule 43(5).</w:t>
      </w:r>
      <w:r w:rsidR="00F33C7D" w:rsidRPr="002234C2">
        <w:rPr>
          <w:rStyle w:val="FootnoteReference"/>
          <w:rFonts w:cs="Arial"/>
          <w:bCs/>
          <w:szCs w:val="22"/>
        </w:rPr>
        <w:footnoteReference w:id="5"/>
      </w:r>
      <w:r w:rsidR="00F33C7D" w:rsidRPr="00053A32">
        <w:rPr>
          <w:rFonts w:cs="Arial"/>
          <w:bCs/>
          <w:szCs w:val="22"/>
        </w:rPr>
        <w:t xml:space="preserve"> </w:t>
      </w:r>
    </w:p>
    <w:p w14:paraId="3D1DABE7" w14:textId="77777777" w:rsidR="00F33C7D" w:rsidRDefault="00F33C7D" w:rsidP="00F33C7D">
      <w:pPr>
        <w:widowControl w:val="0"/>
        <w:spacing w:before="480" w:after="480" w:line="480" w:lineRule="auto"/>
        <w:jc w:val="both"/>
        <w:rPr>
          <w:rFonts w:cs="Arial"/>
          <w:bCs/>
          <w:szCs w:val="22"/>
          <w:u w:val="single"/>
        </w:rPr>
      </w:pPr>
    </w:p>
    <w:p w14:paraId="6305F7F2" w14:textId="54A9ECC5" w:rsidR="00F33C7D" w:rsidRPr="00F33C7D" w:rsidRDefault="00F33C7D" w:rsidP="00F33C7D">
      <w:pPr>
        <w:keepNext/>
        <w:widowControl w:val="0"/>
        <w:spacing w:before="480" w:after="480" w:line="480" w:lineRule="auto"/>
        <w:jc w:val="both"/>
        <w:rPr>
          <w:rFonts w:cs="Arial"/>
          <w:bCs/>
          <w:szCs w:val="22"/>
          <w:u w:val="single"/>
        </w:rPr>
      </w:pPr>
      <w:r w:rsidRPr="00F33C7D">
        <w:rPr>
          <w:rFonts w:cs="Arial"/>
          <w:bCs/>
          <w:szCs w:val="22"/>
          <w:u w:val="single"/>
        </w:rPr>
        <w:t xml:space="preserve">The </w:t>
      </w:r>
      <w:r w:rsidR="008932CA">
        <w:rPr>
          <w:rFonts w:cs="Arial"/>
          <w:bCs/>
          <w:szCs w:val="22"/>
          <w:u w:val="single"/>
        </w:rPr>
        <w:t>Rule 43 order of 2020</w:t>
      </w:r>
    </w:p>
    <w:p w14:paraId="0987C8B5" w14:textId="6A4EB6DD" w:rsidR="005873A5" w:rsidRDefault="00681FE9" w:rsidP="00681FE9">
      <w:pPr>
        <w:keepNext/>
        <w:widowControl w:val="0"/>
        <w:tabs>
          <w:tab w:val="left" w:pos="567"/>
        </w:tabs>
        <w:spacing w:before="480" w:after="480" w:line="480" w:lineRule="auto"/>
        <w:jc w:val="both"/>
        <w:rPr>
          <w:rFonts w:cs="Arial"/>
          <w:bCs/>
          <w:szCs w:val="22"/>
        </w:rPr>
      </w:pPr>
      <w:r>
        <w:rPr>
          <w:rFonts w:cs="Arial"/>
          <w:bCs/>
          <w:szCs w:val="22"/>
        </w:rPr>
        <w:t>[7]</w:t>
      </w:r>
      <w:r>
        <w:rPr>
          <w:rFonts w:cs="Arial"/>
          <w:bCs/>
          <w:szCs w:val="22"/>
        </w:rPr>
        <w:tab/>
      </w:r>
      <w:r w:rsidR="005873A5">
        <w:rPr>
          <w:rFonts w:cs="Arial"/>
          <w:bCs/>
          <w:szCs w:val="22"/>
        </w:rPr>
        <w:t xml:space="preserve">The parties were married out of community of property and subject to the accrual system in 2012, and </w:t>
      </w:r>
      <w:r w:rsidR="00053A32">
        <w:rPr>
          <w:rFonts w:cs="Arial"/>
          <w:bCs/>
          <w:szCs w:val="22"/>
        </w:rPr>
        <w:t xml:space="preserve">a boy was born of the marriage </w:t>
      </w:r>
      <w:r w:rsidR="005873A5">
        <w:rPr>
          <w:rFonts w:cs="Arial"/>
          <w:bCs/>
          <w:szCs w:val="22"/>
        </w:rPr>
        <w:t xml:space="preserve">in 2017. Divorce proceedings were </w:t>
      </w:r>
      <w:r w:rsidR="005873A5">
        <w:rPr>
          <w:rFonts w:cs="Arial"/>
          <w:bCs/>
          <w:szCs w:val="22"/>
        </w:rPr>
        <w:lastRenderedPageBreak/>
        <w:t xml:space="preserve">instituted by the applicant </w:t>
      </w:r>
      <w:r w:rsidR="00F33C7D">
        <w:rPr>
          <w:rFonts w:cs="Arial"/>
          <w:bCs/>
          <w:szCs w:val="22"/>
        </w:rPr>
        <w:t>i</w:t>
      </w:r>
      <w:r w:rsidR="005873A5">
        <w:rPr>
          <w:rFonts w:cs="Arial"/>
          <w:bCs/>
          <w:szCs w:val="22"/>
        </w:rPr>
        <w:t>n 2020.</w:t>
      </w:r>
    </w:p>
    <w:p w14:paraId="5BCEE584" w14:textId="77C20BE1" w:rsidR="00DF48F4" w:rsidRDefault="00681FE9" w:rsidP="00681FE9">
      <w:pPr>
        <w:widowControl w:val="0"/>
        <w:tabs>
          <w:tab w:val="left" w:pos="567"/>
        </w:tabs>
        <w:spacing w:before="480" w:after="480" w:line="480" w:lineRule="auto"/>
        <w:jc w:val="both"/>
        <w:rPr>
          <w:rFonts w:cs="Arial"/>
          <w:bCs/>
          <w:szCs w:val="22"/>
        </w:rPr>
      </w:pPr>
      <w:r>
        <w:rPr>
          <w:rFonts w:cs="Arial"/>
          <w:bCs/>
          <w:szCs w:val="22"/>
        </w:rPr>
        <w:t>[8]</w:t>
      </w:r>
      <w:r>
        <w:rPr>
          <w:rFonts w:cs="Arial"/>
          <w:bCs/>
          <w:szCs w:val="22"/>
        </w:rPr>
        <w:tab/>
      </w:r>
      <w:r w:rsidR="00DF48F4">
        <w:rPr>
          <w:rFonts w:cs="Arial"/>
          <w:bCs/>
          <w:szCs w:val="22"/>
        </w:rPr>
        <w:t xml:space="preserve">On 15 December 2020 </w:t>
      </w:r>
      <w:proofErr w:type="spellStart"/>
      <w:r w:rsidR="00DF48F4">
        <w:rPr>
          <w:rFonts w:cs="Arial"/>
          <w:bCs/>
          <w:szCs w:val="22"/>
        </w:rPr>
        <w:t>Mdalana-Majisela</w:t>
      </w:r>
      <w:proofErr w:type="spellEnd"/>
      <w:r w:rsidR="00DF48F4">
        <w:rPr>
          <w:rFonts w:cs="Arial"/>
          <w:bCs/>
          <w:szCs w:val="22"/>
        </w:rPr>
        <w:t xml:space="preserve"> J granted an order in terms of which, inter alia-</w:t>
      </w:r>
    </w:p>
    <w:p w14:paraId="651E65E4" w14:textId="07F9085A" w:rsidR="00DF48F4" w:rsidRDefault="00681FE9" w:rsidP="00681FE9">
      <w:pPr>
        <w:widowControl w:val="0"/>
        <w:tabs>
          <w:tab w:val="left" w:pos="1418"/>
        </w:tabs>
        <w:spacing w:before="480" w:after="480" w:line="480" w:lineRule="auto"/>
        <w:ind w:left="1418" w:hanging="851"/>
        <w:jc w:val="both"/>
        <w:rPr>
          <w:rFonts w:cs="Arial"/>
          <w:bCs/>
          <w:szCs w:val="22"/>
        </w:rPr>
      </w:pPr>
      <w:r>
        <w:rPr>
          <w:rFonts w:cs="Arial"/>
          <w:bCs/>
          <w:szCs w:val="22"/>
        </w:rPr>
        <w:t>8.1</w:t>
      </w:r>
      <w:r>
        <w:rPr>
          <w:rFonts w:cs="Arial"/>
          <w:bCs/>
          <w:szCs w:val="22"/>
        </w:rPr>
        <w:tab/>
      </w:r>
      <w:r w:rsidR="00DF48F4">
        <w:rPr>
          <w:rFonts w:cs="Arial"/>
          <w:bCs/>
          <w:szCs w:val="22"/>
        </w:rPr>
        <w:t xml:space="preserve">The parties were ordered to co-operate with Dr R </w:t>
      </w:r>
      <w:proofErr w:type="spellStart"/>
      <w:r w:rsidR="00DF48F4">
        <w:rPr>
          <w:rFonts w:cs="Arial"/>
          <w:bCs/>
          <w:szCs w:val="22"/>
        </w:rPr>
        <w:t>Duchen</w:t>
      </w:r>
      <w:proofErr w:type="spellEnd"/>
      <w:r w:rsidR="00DF48F4">
        <w:rPr>
          <w:rFonts w:cs="Arial"/>
          <w:bCs/>
          <w:szCs w:val="22"/>
        </w:rPr>
        <w:t xml:space="preserve"> so as to allow Dr </w:t>
      </w:r>
      <w:proofErr w:type="spellStart"/>
      <w:r w:rsidR="00DF48F4">
        <w:rPr>
          <w:rFonts w:cs="Arial"/>
          <w:bCs/>
          <w:szCs w:val="22"/>
        </w:rPr>
        <w:t>Duchen</w:t>
      </w:r>
      <w:proofErr w:type="spellEnd"/>
      <w:r w:rsidR="00DF48F4">
        <w:rPr>
          <w:rFonts w:cs="Arial"/>
          <w:bCs/>
          <w:szCs w:val="22"/>
        </w:rPr>
        <w:t xml:space="preserve"> to report on the best interests of the minor child born of the </w:t>
      </w:r>
      <w:proofErr w:type="gramStart"/>
      <w:r w:rsidR="00DF48F4">
        <w:rPr>
          <w:rFonts w:cs="Arial"/>
          <w:bCs/>
          <w:szCs w:val="22"/>
        </w:rPr>
        <w:t>marriage;</w:t>
      </w:r>
      <w:proofErr w:type="gramEnd"/>
    </w:p>
    <w:p w14:paraId="4712C889" w14:textId="77440822" w:rsidR="00DF48F4" w:rsidRDefault="00681FE9" w:rsidP="00681FE9">
      <w:pPr>
        <w:widowControl w:val="0"/>
        <w:tabs>
          <w:tab w:val="left" w:pos="1418"/>
        </w:tabs>
        <w:spacing w:before="480" w:after="480" w:line="480" w:lineRule="auto"/>
        <w:ind w:left="1418" w:hanging="851"/>
        <w:jc w:val="both"/>
        <w:rPr>
          <w:rFonts w:cs="Arial"/>
          <w:bCs/>
          <w:szCs w:val="22"/>
        </w:rPr>
      </w:pPr>
      <w:r>
        <w:rPr>
          <w:rFonts w:cs="Arial"/>
          <w:bCs/>
          <w:szCs w:val="22"/>
        </w:rPr>
        <w:t>8.2</w:t>
      </w:r>
      <w:r>
        <w:rPr>
          <w:rFonts w:cs="Arial"/>
          <w:bCs/>
          <w:szCs w:val="22"/>
        </w:rPr>
        <w:tab/>
      </w:r>
      <w:r w:rsidR="00DF48F4">
        <w:rPr>
          <w:rFonts w:cs="Arial"/>
          <w:bCs/>
          <w:szCs w:val="22"/>
        </w:rPr>
        <w:t xml:space="preserve">Primary care of the child shall be with the respondent, subject to access by the </w:t>
      </w:r>
      <w:proofErr w:type="gramStart"/>
      <w:r w:rsidR="00DF48F4">
        <w:rPr>
          <w:rFonts w:cs="Arial"/>
          <w:bCs/>
          <w:szCs w:val="22"/>
        </w:rPr>
        <w:t>applicant;</w:t>
      </w:r>
      <w:proofErr w:type="gramEnd"/>
    </w:p>
    <w:p w14:paraId="2353F35B" w14:textId="7A786192" w:rsidR="00DF48F4" w:rsidRDefault="00681FE9" w:rsidP="00681FE9">
      <w:pPr>
        <w:widowControl w:val="0"/>
        <w:tabs>
          <w:tab w:val="left" w:pos="1418"/>
        </w:tabs>
        <w:spacing w:before="480" w:after="480" w:line="480" w:lineRule="auto"/>
        <w:ind w:left="1418" w:hanging="851"/>
        <w:jc w:val="both"/>
        <w:rPr>
          <w:rFonts w:cs="Arial"/>
          <w:bCs/>
          <w:szCs w:val="22"/>
        </w:rPr>
      </w:pPr>
      <w:r>
        <w:rPr>
          <w:rFonts w:cs="Arial"/>
          <w:bCs/>
          <w:szCs w:val="22"/>
        </w:rPr>
        <w:t>8.3</w:t>
      </w:r>
      <w:r>
        <w:rPr>
          <w:rFonts w:cs="Arial"/>
          <w:bCs/>
          <w:szCs w:val="22"/>
        </w:rPr>
        <w:tab/>
      </w:r>
      <w:r w:rsidR="00DF48F4">
        <w:rPr>
          <w:rFonts w:cs="Arial"/>
          <w:bCs/>
          <w:szCs w:val="22"/>
        </w:rPr>
        <w:t xml:space="preserve">The applicant shall maintain the respondent and the child on a medical </w:t>
      </w:r>
      <w:proofErr w:type="gramStart"/>
      <w:r w:rsidR="00DF48F4">
        <w:rPr>
          <w:rFonts w:cs="Arial"/>
          <w:bCs/>
          <w:szCs w:val="22"/>
        </w:rPr>
        <w:t>scheme;</w:t>
      </w:r>
      <w:proofErr w:type="gramEnd"/>
    </w:p>
    <w:p w14:paraId="56F88F9D" w14:textId="59D9254A" w:rsidR="00DF48F4" w:rsidRPr="007F0771" w:rsidRDefault="00681FE9" w:rsidP="00681FE9">
      <w:pPr>
        <w:widowControl w:val="0"/>
        <w:tabs>
          <w:tab w:val="left" w:pos="1418"/>
        </w:tabs>
        <w:spacing w:before="480" w:after="480" w:line="480" w:lineRule="auto"/>
        <w:ind w:left="1418" w:hanging="851"/>
        <w:jc w:val="both"/>
        <w:rPr>
          <w:rFonts w:cs="Arial"/>
          <w:bCs/>
          <w:szCs w:val="22"/>
        </w:rPr>
      </w:pPr>
      <w:r w:rsidRPr="007F0771">
        <w:rPr>
          <w:rFonts w:cs="Arial"/>
          <w:bCs/>
          <w:szCs w:val="22"/>
        </w:rPr>
        <w:t>8.4</w:t>
      </w:r>
      <w:r w:rsidRPr="007F0771">
        <w:rPr>
          <w:rFonts w:cs="Arial"/>
          <w:bCs/>
          <w:szCs w:val="22"/>
        </w:rPr>
        <w:tab/>
      </w:r>
      <w:r w:rsidR="007F0771">
        <w:rPr>
          <w:rFonts w:cs="Arial"/>
          <w:bCs/>
          <w:szCs w:val="22"/>
        </w:rPr>
        <w:t xml:space="preserve">The applicant shall also pay amounts due to various services providers and others in respect of the respondent’s motor vehicle and cellular phone expenses as well as for the minor child’s </w:t>
      </w:r>
      <w:proofErr w:type="gramStart"/>
      <w:r w:rsidR="007F0771">
        <w:rPr>
          <w:rFonts w:cs="Arial"/>
          <w:bCs/>
          <w:szCs w:val="22"/>
        </w:rPr>
        <w:t>education</w:t>
      </w:r>
      <w:r w:rsidR="00DF48F4" w:rsidRPr="007F0771">
        <w:rPr>
          <w:rFonts w:cs="Arial"/>
          <w:bCs/>
          <w:szCs w:val="22"/>
        </w:rPr>
        <w:t>;</w:t>
      </w:r>
      <w:proofErr w:type="gramEnd"/>
    </w:p>
    <w:p w14:paraId="1A28D602" w14:textId="7976B3B5" w:rsidR="008D5785" w:rsidRDefault="00681FE9" w:rsidP="00681FE9">
      <w:pPr>
        <w:widowControl w:val="0"/>
        <w:tabs>
          <w:tab w:val="left" w:pos="1418"/>
        </w:tabs>
        <w:spacing w:before="480" w:after="480" w:line="480" w:lineRule="auto"/>
        <w:ind w:left="1418" w:hanging="851"/>
        <w:jc w:val="both"/>
        <w:rPr>
          <w:rFonts w:cs="Arial"/>
          <w:bCs/>
          <w:szCs w:val="22"/>
        </w:rPr>
      </w:pPr>
      <w:r>
        <w:rPr>
          <w:rFonts w:cs="Arial"/>
          <w:bCs/>
          <w:szCs w:val="22"/>
        </w:rPr>
        <w:t>8.5</w:t>
      </w:r>
      <w:r>
        <w:rPr>
          <w:rFonts w:cs="Arial"/>
          <w:bCs/>
          <w:szCs w:val="22"/>
        </w:rPr>
        <w:tab/>
      </w:r>
      <w:r w:rsidR="007F0771">
        <w:rPr>
          <w:rFonts w:cs="Arial"/>
          <w:bCs/>
          <w:szCs w:val="22"/>
        </w:rPr>
        <w:t>The applicant shall pay maintenance for the respondent and the minor child in the amount of R35 000 per month</w:t>
      </w:r>
      <w:r w:rsidR="00306697">
        <w:rPr>
          <w:rFonts w:cs="Arial"/>
          <w:bCs/>
          <w:szCs w:val="22"/>
        </w:rPr>
        <w:t>.</w:t>
      </w:r>
    </w:p>
    <w:p w14:paraId="370100E2" w14:textId="1A2E3367" w:rsidR="008D5785" w:rsidRDefault="00681FE9" w:rsidP="00681FE9">
      <w:pPr>
        <w:widowControl w:val="0"/>
        <w:tabs>
          <w:tab w:val="left" w:pos="567"/>
        </w:tabs>
        <w:spacing w:before="480" w:after="480" w:line="480" w:lineRule="auto"/>
        <w:jc w:val="both"/>
        <w:rPr>
          <w:rFonts w:cs="Arial"/>
          <w:bCs/>
          <w:szCs w:val="22"/>
        </w:rPr>
      </w:pPr>
      <w:r>
        <w:rPr>
          <w:rFonts w:cs="Arial"/>
          <w:bCs/>
          <w:szCs w:val="22"/>
        </w:rPr>
        <w:t>[9]</w:t>
      </w:r>
      <w:r>
        <w:rPr>
          <w:rFonts w:cs="Arial"/>
          <w:bCs/>
          <w:szCs w:val="22"/>
        </w:rPr>
        <w:tab/>
      </w:r>
      <w:r w:rsidR="005873A5">
        <w:rPr>
          <w:rFonts w:cs="Arial"/>
          <w:bCs/>
          <w:szCs w:val="22"/>
        </w:rPr>
        <w:t>The respondent’s c</w:t>
      </w:r>
      <w:r w:rsidR="00AD637F">
        <w:rPr>
          <w:rFonts w:cs="Arial"/>
          <w:bCs/>
          <w:szCs w:val="22"/>
        </w:rPr>
        <w:t>laims for a contribution to costs, a once-off payment of R44 000 for accommodation, and R22 000 per month</w:t>
      </w:r>
      <w:r w:rsidR="009D7E9C">
        <w:rPr>
          <w:rFonts w:cs="Arial"/>
          <w:bCs/>
          <w:szCs w:val="22"/>
        </w:rPr>
        <w:t xml:space="preserve"> for accommodation</w:t>
      </w:r>
      <w:r w:rsidR="00AD637F">
        <w:rPr>
          <w:rFonts w:cs="Arial"/>
          <w:bCs/>
          <w:szCs w:val="22"/>
        </w:rPr>
        <w:t xml:space="preserve"> were dismissed.</w:t>
      </w:r>
    </w:p>
    <w:p w14:paraId="7EBE9841" w14:textId="003C08E7" w:rsidR="006F3EC9" w:rsidRDefault="00681FE9" w:rsidP="00681FE9">
      <w:pPr>
        <w:widowControl w:val="0"/>
        <w:tabs>
          <w:tab w:val="left" w:pos="567"/>
        </w:tabs>
        <w:spacing w:before="480" w:after="480" w:line="480" w:lineRule="auto"/>
        <w:jc w:val="both"/>
        <w:rPr>
          <w:rFonts w:cs="Arial"/>
          <w:bCs/>
          <w:szCs w:val="22"/>
        </w:rPr>
      </w:pPr>
      <w:r>
        <w:rPr>
          <w:rFonts w:cs="Arial"/>
          <w:bCs/>
          <w:szCs w:val="22"/>
        </w:rPr>
        <w:t>[10]</w:t>
      </w:r>
      <w:r>
        <w:rPr>
          <w:rFonts w:cs="Arial"/>
          <w:bCs/>
          <w:szCs w:val="22"/>
        </w:rPr>
        <w:tab/>
      </w:r>
      <w:r w:rsidR="006F3EC9">
        <w:rPr>
          <w:rFonts w:cs="Arial"/>
          <w:bCs/>
          <w:szCs w:val="22"/>
        </w:rPr>
        <w:t xml:space="preserve">Dr </w:t>
      </w:r>
      <w:proofErr w:type="spellStart"/>
      <w:r w:rsidR="006F3EC9">
        <w:rPr>
          <w:rFonts w:cs="Arial"/>
          <w:bCs/>
          <w:szCs w:val="22"/>
        </w:rPr>
        <w:t>Duchen</w:t>
      </w:r>
      <w:proofErr w:type="spellEnd"/>
      <w:r w:rsidR="006F3EC9">
        <w:rPr>
          <w:rFonts w:cs="Arial"/>
          <w:bCs/>
          <w:szCs w:val="22"/>
        </w:rPr>
        <w:t xml:space="preserve"> reported in September 2021</w:t>
      </w:r>
      <w:r w:rsidR="005873A5">
        <w:rPr>
          <w:rFonts w:cs="Arial"/>
          <w:bCs/>
          <w:szCs w:val="22"/>
        </w:rPr>
        <w:t>. She made various recommendations including a shared residence arrangement.</w:t>
      </w:r>
      <w:r w:rsidR="00B17D31">
        <w:rPr>
          <w:rFonts w:cs="Arial"/>
          <w:bCs/>
          <w:szCs w:val="22"/>
        </w:rPr>
        <w:t xml:space="preserve"> The respondent took issue with certain of the recommendations and indicated that she would appoint her own expert</w:t>
      </w:r>
      <w:r w:rsidR="00B73D5D">
        <w:rPr>
          <w:rFonts w:cs="Arial"/>
          <w:bCs/>
          <w:szCs w:val="22"/>
        </w:rPr>
        <w:t>.</w:t>
      </w:r>
      <w:r w:rsidR="00053A32">
        <w:rPr>
          <w:rFonts w:cs="Arial"/>
          <w:bCs/>
          <w:szCs w:val="22"/>
        </w:rPr>
        <w:t xml:space="preserve"> She appointed </w:t>
      </w:r>
      <w:r w:rsidR="00053A32">
        <w:rPr>
          <w:rFonts w:cs="Arial"/>
          <w:bCs/>
          <w:szCs w:val="22"/>
        </w:rPr>
        <w:lastRenderedPageBreak/>
        <w:t xml:space="preserve">Dr </w:t>
      </w:r>
      <w:proofErr w:type="spellStart"/>
      <w:r w:rsidR="00053A32">
        <w:rPr>
          <w:rFonts w:cs="Arial"/>
          <w:bCs/>
          <w:szCs w:val="22"/>
        </w:rPr>
        <w:t>Strous</w:t>
      </w:r>
      <w:proofErr w:type="spellEnd"/>
      <w:r w:rsidR="009D7E9C">
        <w:rPr>
          <w:rFonts w:cs="Arial"/>
          <w:bCs/>
          <w:szCs w:val="22"/>
        </w:rPr>
        <w:t xml:space="preserve"> who is referred to below</w:t>
      </w:r>
      <w:r w:rsidR="00053A32">
        <w:rPr>
          <w:rFonts w:cs="Arial"/>
          <w:bCs/>
          <w:szCs w:val="22"/>
        </w:rPr>
        <w:t>.</w:t>
      </w:r>
    </w:p>
    <w:p w14:paraId="446C5483" w14:textId="77777777" w:rsidR="008932CA" w:rsidRDefault="008932CA" w:rsidP="00F33C7D">
      <w:pPr>
        <w:keepNext/>
        <w:widowControl w:val="0"/>
        <w:spacing w:before="480" w:after="480" w:line="480" w:lineRule="auto"/>
        <w:jc w:val="both"/>
        <w:rPr>
          <w:rFonts w:cs="Arial"/>
          <w:bCs/>
          <w:szCs w:val="22"/>
          <w:u w:val="single"/>
        </w:rPr>
      </w:pPr>
    </w:p>
    <w:p w14:paraId="20CA2F43" w14:textId="15ED1C88" w:rsidR="00F33C7D" w:rsidRPr="00F33C7D" w:rsidRDefault="00F33C7D" w:rsidP="008932CA">
      <w:pPr>
        <w:keepNext/>
        <w:widowControl w:val="0"/>
        <w:spacing w:before="480" w:after="480" w:line="480" w:lineRule="auto"/>
        <w:jc w:val="both"/>
        <w:rPr>
          <w:rFonts w:cs="Arial"/>
          <w:bCs/>
          <w:szCs w:val="22"/>
          <w:u w:val="single"/>
        </w:rPr>
      </w:pPr>
      <w:r w:rsidRPr="00F33C7D">
        <w:rPr>
          <w:rFonts w:cs="Arial"/>
          <w:bCs/>
          <w:szCs w:val="22"/>
          <w:u w:val="single"/>
        </w:rPr>
        <w:t>This application</w:t>
      </w:r>
    </w:p>
    <w:p w14:paraId="30F081A1" w14:textId="46B7476D" w:rsidR="009D7E9C" w:rsidRDefault="00681FE9" w:rsidP="00681FE9">
      <w:pPr>
        <w:keepNext/>
        <w:widowControl w:val="0"/>
        <w:tabs>
          <w:tab w:val="left" w:pos="567"/>
        </w:tabs>
        <w:spacing w:before="480" w:after="480" w:line="480" w:lineRule="auto"/>
        <w:jc w:val="both"/>
        <w:rPr>
          <w:rFonts w:cs="Arial"/>
          <w:bCs/>
          <w:szCs w:val="22"/>
        </w:rPr>
      </w:pPr>
      <w:r>
        <w:rPr>
          <w:rFonts w:cs="Arial"/>
          <w:bCs/>
          <w:szCs w:val="22"/>
        </w:rPr>
        <w:t>[11]</w:t>
      </w:r>
      <w:r>
        <w:rPr>
          <w:rFonts w:cs="Arial"/>
          <w:bCs/>
          <w:szCs w:val="22"/>
        </w:rPr>
        <w:tab/>
      </w:r>
      <w:r w:rsidR="00311FBE">
        <w:rPr>
          <w:rFonts w:cs="Arial"/>
          <w:bCs/>
          <w:szCs w:val="22"/>
        </w:rPr>
        <w:t>In April 2022 the applicant brought this Rule 43(6) application</w:t>
      </w:r>
      <w:r w:rsidR="00193C1D">
        <w:rPr>
          <w:rFonts w:cs="Arial"/>
          <w:bCs/>
          <w:szCs w:val="22"/>
        </w:rPr>
        <w:t xml:space="preserve"> seeking the substitution of paragraphs 2 and 3 of the existing Rule 43 order</w:t>
      </w:r>
      <w:r w:rsidR="00311FBE">
        <w:rPr>
          <w:rFonts w:cs="Arial"/>
          <w:bCs/>
          <w:szCs w:val="22"/>
        </w:rPr>
        <w:t xml:space="preserve">. </w:t>
      </w:r>
      <w:r w:rsidR="00B17D31">
        <w:rPr>
          <w:rFonts w:cs="Arial"/>
          <w:bCs/>
          <w:szCs w:val="22"/>
        </w:rPr>
        <w:t>The applicant sought an order for shared residenc</w:t>
      </w:r>
      <w:r w:rsidR="00921524">
        <w:rPr>
          <w:rFonts w:cs="Arial"/>
          <w:bCs/>
          <w:szCs w:val="22"/>
        </w:rPr>
        <w:t>e</w:t>
      </w:r>
      <w:r w:rsidR="00B17D31">
        <w:rPr>
          <w:rFonts w:cs="Arial"/>
          <w:bCs/>
          <w:szCs w:val="22"/>
        </w:rPr>
        <w:t xml:space="preserve"> and a reduction in </w:t>
      </w:r>
      <w:r w:rsidR="00193C1D">
        <w:rPr>
          <w:rFonts w:cs="Arial"/>
          <w:bCs/>
          <w:szCs w:val="22"/>
        </w:rPr>
        <w:t xml:space="preserve">monthly </w:t>
      </w:r>
      <w:r w:rsidR="00B17D31">
        <w:rPr>
          <w:rFonts w:cs="Arial"/>
          <w:bCs/>
          <w:szCs w:val="22"/>
        </w:rPr>
        <w:t xml:space="preserve">maintenance </w:t>
      </w:r>
      <w:r w:rsidR="00193C1D">
        <w:rPr>
          <w:rFonts w:cs="Arial"/>
          <w:bCs/>
          <w:szCs w:val="22"/>
        </w:rPr>
        <w:t>from R35 000 to R20 000</w:t>
      </w:r>
      <w:r w:rsidR="00B17D31">
        <w:rPr>
          <w:rFonts w:cs="Arial"/>
          <w:bCs/>
          <w:szCs w:val="22"/>
        </w:rPr>
        <w:t xml:space="preserve"> on two basis, namely the shared residenc</w:t>
      </w:r>
      <w:r w:rsidR="00921524">
        <w:rPr>
          <w:rFonts w:cs="Arial"/>
          <w:bCs/>
          <w:szCs w:val="22"/>
        </w:rPr>
        <w:t>e</w:t>
      </w:r>
      <w:r w:rsidR="00B17D31">
        <w:rPr>
          <w:rFonts w:cs="Arial"/>
          <w:bCs/>
          <w:szCs w:val="22"/>
        </w:rPr>
        <w:t xml:space="preserve"> that would mean that the child would spend less time with the respondent, and his new employment circumstances in terms of which h</w:t>
      </w:r>
      <w:r w:rsidR="00BA04E5">
        <w:rPr>
          <w:rFonts w:cs="Arial"/>
          <w:bCs/>
          <w:szCs w:val="22"/>
        </w:rPr>
        <w:t>is gross salary had been reduced by 30%.</w:t>
      </w:r>
      <w:r w:rsidR="00193C1D">
        <w:rPr>
          <w:rFonts w:cs="Arial"/>
          <w:bCs/>
          <w:szCs w:val="22"/>
        </w:rPr>
        <w:t xml:space="preserve"> He added that a property rented out by him had been vacated and new tenants had not been signed up yet. </w:t>
      </w:r>
    </w:p>
    <w:p w14:paraId="139E6F2E" w14:textId="59059879" w:rsidR="005873A5" w:rsidRDefault="00681FE9" w:rsidP="00681FE9">
      <w:pPr>
        <w:keepNext/>
        <w:widowControl w:val="0"/>
        <w:tabs>
          <w:tab w:val="left" w:pos="567"/>
        </w:tabs>
        <w:spacing w:before="480" w:after="480" w:line="480" w:lineRule="auto"/>
        <w:jc w:val="both"/>
        <w:rPr>
          <w:rFonts w:cs="Arial"/>
          <w:bCs/>
          <w:szCs w:val="22"/>
        </w:rPr>
      </w:pPr>
      <w:r>
        <w:rPr>
          <w:rFonts w:cs="Arial"/>
          <w:bCs/>
          <w:szCs w:val="22"/>
        </w:rPr>
        <w:t>[12]</w:t>
      </w:r>
      <w:r>
        <w:rPr>
          <w:rFonts w:cs="Arial"/>
          <w:bCs/>
          <w:szCs w:val="22"/>
        </w:rPr>
        <w:tab/>
      </w:r>
      <w:r w:rsidR="00193C1D">
        <w:rPr>
          <w:rFonts w:cs="Arial"/>
          <w:bCs/>
          <w:szCs w:val="22"/>
        </w:rPr>
        <w:t xml:space="preserve">He </w:t>
      </w:r>
      <w:r w:rsidR="009D7E9C">
        <w:rPr>
          <w:rFonts w:cs="Arial"/>
          <w:bCs/>
          <w:szCs w:val="22"/>
        </w:rPr>
        <w:t xml:space="preserve">therefore </w:t>
      </w:r>
      <w:r w:rsidR="00193C1D">
        <w:rPr>
          <w:rFonts w:cs="Arial"/>
          <w:bCs/>
          <w:szCs w:val="22"/>
        </w:rPr>
        <w:t>sought an order for shared residence reflecting the expert’s report, and a reduction of maintenance for the respondent and the child.</w:t>
      </w:r>
      <w:r w:rsidR="00B73D5D">
        <w:rPr>
          <w:rFonts w:cs="Arial"/>
          <w:bCs/>
          <w:szCs w:val="22"/>
        </w:rPr>
        <w:t xml:space="preserve"> </w:t>
      </w:r>
    </w:p>
    <w:p w14:paraId="5954C9A8" w14:textId="13CA7560" w:rsidR="00193C1D" w:rsidRPr="00B73D5D" w:rsidRDefault="00681FE9" w:rsidP="00681FE9">
      <w:pPr>
        <w:widowControl w:val="0"/>
        <w:tabs>
          <w:tab w:val="left" w:pos="567"/>
        </w:tabs>
        <w:spacing w:before="480" w:after="480" w:line="480" w:lineRule="auto"/>
        <w:jc w:val="both"/>
        <w:rPr>
          <w:rFonts w:cs="Arial"/>
          <w:bCs/>
          <w:szCs w:val="22"/>
        </w:rPr>
      </w:pPr>
      <w:r w:rsidRPr="00B73D5D">
        <w:rPr>
          <w:rFonts w:cs="Arial"/>
          <w:bCs/>
          <w:szCs w:val="22"/>
        </w:rPr>
        <w:t>[13]</w:t>
      </w:r>
      <w:r w:rsidRPr="00B73D5D">
        <w:rPr>
          <w:rFonts w:cs="Arial"/>
          <w:bCs/>
          <w:szCs w:val="22"/>
        </w:rPr>
        <w:tab/>
      </w:r>
      <w:r w:rsidR="00193C1D" w:rsidRPr="00B73D5D">
        <w:rPr>
          <w:rFonts w:cs="Arial"/>
          <w:bCs/>
          <w:szCs w:val="22"/>
        </w:rPr>
        <w:t xml:space="preserve">The respondent filed an answering affidavit and </w:t>
      </w:r>
      <w:proofErr w:type="gramStart"/>
      <w:r w:rsidR="00193C1D" w:rsidRPr="00B73D5D">
        <w:rPr>
          <w:rFonts w:cs="Arial"/>
          <w:bCs/>
          <w:szCs w:val="22"/>
        </w:rPr>
        <w:t>counter-application</w:t>
      </w:r>
      <w:proofErr w:type="gramEnd"/>
      <w:r w:rsidR="00193C1D" w:rsidRPr="00B73D5D">
        <w:rPr>
          <w:rFonts w:cs="Arial"/>
          <w:bCs/>
          <w:szCs w:val="22"/>
        </w:rPr>
        <w:t xml:space="preserve"> in May 2022. She </w:t>
      </w:r>
      <w:r w:rsidR="00693EF0" w:rsidRPr="00B73D5D">
        <w:rPr>
          <w:rFonts w:cs="Arial"/>
          <w:bCs/>
          <w:szCs w:val="22"/>
        </w:rPr>
        <w:t xml:space="preserve">stated that the report by Dr </w:t>
      </w:r>
      <w:proofErr w:type="spellStart"/>
      <w:r w:rsidR="00693EF0" w:rsidRPr="00B73D5D">
        <w:rPr>
          <w:rFonts w:cs="Arial"/>
          <w:bCs/>
          <w:szCs w:val="22"/>
        </w:rPr>
        <w:t>Strous</w:t>
      </w:r>
      <w:proofErr w:type="spellEnd"/>
      <w:r w:rsidR="00693EF0" w:rsidRPr="00B73D5D">
        <w:rPr>
          <w:rFonts w:cs="Arial"/>
          <w:bCs/>
          <w:szCs w:val="22"/>
        </w:rPr>
        <w:t xml:space="preserve">, the expert appointed by her, would only be available in June 2022, that she wishes the existing order regarding access to the child to remain substantially unchanged, and that did not find shared residence proposals of Dr </w:t>
      </w:r>
      <w:proofErr w:type="spellStart"/>
      <w:r w:rsidR="00693EF0" w:rsidRPr="00B73D5D">
        <w:rPr>
          <w:rFonts w:cs="Arial"/>
          <w:bCs/>
          <w:szCs w:val="22"/>
        </w:rPr>
        <w:t>Duchen</w:t>
      </w:r>
      <w:proofErr w:type="spellEnd"/>
      <w:r w:rsidR="00693EF0" w:rsidRPr="00B73D5D">
        <w:rPr>
          <w:rFonts w:cs="Arial"/>
          <w:bCs/>
          <w:szCs w:val="22"/>
        </w:rPr>
        <w:t xml:space="preserve"> to be acceptable. She sought an order postponing the application </w:t>
      </w:r>
      <w:r w:rsidR="00693EF0" w:rsidRPr="00E110E5">
        <w:rPr>
          <w:rFonts w:cs="Arial"/>
          <w:bCs/>
          <w:i/>
          <w:iCs/>
          <w:szCs w:val="22"/>
        </w:rPr>
        <w:t>sine die</w:t>
      </w:r>
      <w:r w:rsidR="00693EF0" w:rsidRPr="00B73D5D">
        <w:rPr>
          <w:rFonts w:cs="Arial"/>
          <w:bCs/>
          <w:szCs w:val="22"/>
        </w:rPr>
        <w:t xml:space="preserve"> to await the report by Dr </w:t>
      </w:r>
      <w:proofErr w:type="spellStart"/>
      <w:r w:rsidR="00693EF0" w:rsidRPr="00B73D5D">
        <w:rPr>
          <w:rFonts w:cs="Arial"/>
          <w:bCs/>
          <w:szCs w:val="22"/>
        </w:rPr>
        <w:t>Strous</w:t>
      </w:r>
      <w:proofErr w:type="spellEnd"/>
      <w:r w:rsidR="00693EF0" w:rsidRPr="00B73D5D">
        <w:rPr>
          <w:rFonts w:cs="Arial"/>
          <w:bCs/>
          <w:szCs w:val="22"/>
        </w:rPr>
        <w:t xml:space="preserve">, alternatively an order that the application be dismissed, alternatively an order confirming primary residence with her, and </w:t>
      </w:r>
      <w:r w:rsidR="00595CDA" w:rsidRPr="00B73D5D">
        <w:rPr>
          <w:rFonts w:cs="Arial"/>
          <w:bCs/>
          <w:szCs w:val="22"/>
        </w:rPr>
        <w:t>other relief relating to the child.</w:t>
      </w:r>
      <w:r w:rsidR="008D624A" w:rsidRPr="00B73D5D">
        <w:rPr>
          <w:rFonts w:cs="Arial"/>
          <w:bCs/>
          <w:szCs w:val="22"/>
        </w:rPr>
        <w:t xml:space="preserve"> </w:t>
      </w:r>
    </w:p>
    <w:p w14:paraId="7CAA1576" w14:textId="0F92F4EA" w:rsidR="00B73D5D" w:rsidRDefault="00681FE9" w:rsidP="00681FE9">
      <w:pPr>
        <w:widowControl w:val="0"/>
        <w:tabs>
          <w:tab w:val="left" w:pos="567"/>
        </w:tabs>
        <w:spacing w:before="480" w:after="480" w:line="480" w:lineRule="auto"/>
        <w:jc w:val="both"/>
        <w:rPr>
          <w:rFonts w:cs="Arial"/>
          <w:bCs/>
          <w:szCs w:val="22"/>
        </w:rPr>
      </w:pPr>
      <w:r>
        <w:rPr>
          <w:rFonts w:cs="Arial"/>
          <w:bCs/>
          <w:szCs w:val="22"/>
        </w:rPr>
        <w:t>[14]</w:t>
      </w:r>
      <w:r>
        <w:rPr>
          <w:rFonts w:cs="Arial"/>
          <w:bCs/>
          <w:szCs w:val="22"/>
        </w:rPr>
        <w:tab/>
      </w:r>
      <w:r w:rsidR="00595CDA">
        <w:rPr>
          <w:rFonts w:cs="Arial"/>
          <w:bCs/>
          <w:szCs w:val="22"/>
        </w:rPr>
        <w:t xml:space="preserve">The applicant filed an answering affidavit to the </w:t>
      </w:r>
      <w:proofErr w:type="gramStart"/>
      <w:r w:rsidR="00595CDA">
        <w:rPr>
          <w:rFonts w:cs="Arial"/>
          <w:bCs/>
          <w:szCs w:val="22"/>
        </w:rPr>
        <w:t>counter-application</w:t>
      </w:r>
      <w:proofErr w:type="gramEnd"/>
      <w:r w:rsidR="00595CDA">
        <w:rPr>
          <w:rFonts w:cs="Arial"/>
          <w:bCs/>
          <w:szCs w:val="22"/>
        </w:rPr>
        <w:t xml:space="preserve"> also in May 2022. Both parties filed financial disclosure form</w:t>
      </w:r>
      <w:r w:rsidR="008D624A">
        <w:rPr>
          <w:rFonts w:cs="Arial"/>
          <w:bCs/>
          <w:szCs w:val="22"/>
        </w:rPr>
        <w:t xml:space="preserve">s. </w:t>
      </w:r>
      <w:r w:rsidR="00B73D5D">
        <w:rPr>
          <w:rFonts w:cs="Arial"/>
          <w:bCs/>
          <w:szCs w:val="22"/>
        </w:rPr>
        <w:t xml:space="preserve">The matter was on the court roll in </w:t>
      </w:r>
      <w:r w:rsidR="00B73D5D">
        <w:rPr>
          <w:rFonts w:cs="Arial"/>
          <w:bCs/>
          <w:szCs w:val="22"/>
        </w:rPr>
        <w:lastRenderedPageBreak/>
        <w:t>June but was removed, and re-enrolled for 25 July 2022.</w:t>
      </w:r>
    </w:p>
    <w:p w14:paraId="2203A39A" w14:textId="71FCF013" w:rsidR="00595CDA" w:rsidRDefault="00681FE9" w:rsidP="00681FE9">
      <w:pPr>
        <w:widowControl w:val="0"/>
        <w:tabs>
          <w:tab w:val="left" w:pos="567"/>
        </w:tabs>
        <w:spacing w:before="480" w:after="480" w:line="480" w:lineRule="auto"/>
        <w:jc w:val="both"/>
        <w:rPr>
          <w:rFonts w:cs="Arial"/>
          <w:bCs/>
          <w:szCs w:val="22"/>
        </w:rPr>
      </w:pPr>
      <w:r>
        <w:rPr>
          <w:rFonts w:cs="Arial"/>
          <w:bCs/>
          <w:szCs w:val="22"/>
        </w:rPr>
        <w:t>[15]</w:t>
      </w:r>
      <w:r>
        <w:rPr>
          <w:rFonts w:cs="Arial"/>
          <w:bCs/>
          <w:szCs w:val="22"/>
        </w:rPr>
        <w:tab/>
      </w:r>
      <w:r w:rsidR="008D624A">
        <w:rPr>
          <w:rFonts w:cs="Arial"/>
          <w:bCs/>
          <w:szCs w:val="22"/>
        </w:rPr>
        <w:t xml:space="preserve">On 20 July 2022 the respondent filed a supplementary answering and supplementary founding affidavit in the </w:t>
      </w:r>
      <w:proofErr w:type="gramStart"/>
      <w:r w:rsidR="008D624A">
        <w:rPr>
          <w:rFonts w:cs="Arial"/>
          <w:bCs/>
          <w:szCs w:val="22"/>
        </w:rPr>
        <w:t>counter-application</w:t>
      </w:r>
      <w:proofErr w:type="gramEnd"/>
      <w:r w:rsidR="008D624A">
        <w:rPr>
          <w:rFonts w:cs="Arial"/>
          <w:bCs/>
          <w:szCs w:val="22"/>
        </w:rPr>
        <w:t xml:space="preserve">. </w:t>
      </w:r>
      <w:r w:rsidR="00B73D5D">
        <w:rPr>
          <w:rFonts w:cs="Arial"/>
          <w:bCs/>
          <w:szCs w:val="22"/>
        </w:rPr>
        <w:t xml:space="preserve">The respondent sought to introduce a report by Dr </w:t>
      </w:r>
      <w:proofErr w:type="spellStart"/>
      <w:r w:rsidR="00B73D5D">
        <w:rPr>
          <w:rFonts w:cs="Arial"/>
          <w:bCs/>
          <w:szCs w:val="22"/>
        </w:rPr>
        <w:t>Strous</w:t>
      </w:r>
      <w:proofErr w:type="spellEnd"/>
      <w:r w:rsidR="00B73D5D">
        <w:rPr>
          <w:rFonts w:cs="Arial"/>
          <w:bCs/>
          <w:szCs w:val="22"/>
        </w:rPr>
        <w:t xml:space="preserve"> and now also sought an increase in the amount of cash maintenance monthly from R35 000 </w:t>
      </w:r>
      <w:proofErr w:type="gramStart"/>
      <w:r w:rsidR="00B73D5D">
        <w:rPr>
          <w:rFonts w:cs="Arial"/>
          <w:bCs/>
          <w:szCs w:val="22"/>
        </w:rPr>
        <w:t>to  R</w:t>
      </w:r>
      <w:proofErr w:type="gramEnd"/>
      <w:r w:rsidR="00B73D5D">
        <w:rPr>
          <w:rFonts w:cs="Arial"/>
          <w:bCs/>
          <w:szCs w:val="22"/>
        </w:rPr>
        <w:t xml:space="preserve">45 000, plus </w:t>
      </w:r>
      <w:r w:rsidR="0062799F">
        <w:rPr>
          <w:rFonts w:cs="Arial"/>
          <w:bCs/>
          <w:szCs w:val="22"/>
        </w:rPr>
        <w:t>R45 000 per month to enable the respondent to rent suitable accommodation.</w:t>
      </w:r>
      <w:r w:rsidR="001330E0">
        <w:rPr>
          <w:rFonts w:cs="Arial"/>
          <w:bCs/>
          <w:szCs w:val="22"/>
        </w:rPr>
        <w:t xml:space="preserve"> </w:t>
      </w:r>
      <w:r w:rsidR="00462127">
        <w:rPr>
          <w:rFonts w:cs="Arial"/>
          <w:bCs/>
          <w:szCs w:val="22"/>
        </w:rPr>
        <w:t xml:space="preserve">The respondent had in mind a townhouse in Bryanston available at R45 000 per month. </w:t>
      </w:r>
      <w:r w:rsidR="001330E0">
        <w:rPr>
          <w:rFonts w:cs="Arial"/>
          <w:bCs/>
          <w:szCs w:val="22"/>
        </w:rPr>
        <w:t>She therefore claimed a total payment of R90 000 per month.</w:t>
      </w:r>
    </w:p>
    <w:p w14:paraId="04A3E9AF" w14:textId="28236C42" w:rsidR="00462127" w:rsidRDefault="00681FE9" w:rsidP="00681FE9">
      <w:pPr>
        <w:widowControl w:val="0"/>
        <w:tabs>
          <w:tab w:val="left" w:pos="567"/>
        </w:tabs>
        <w:spacing w:before="480" w:after="480" w:line="480" w:lineRule="auto"/>
        <w:jc w:val="both"/>
        <w:rPr>
          <w:rFonts w:cs="Arial"/>
          <w:bCs/>
          <w:szCs w:val="22"/>
        </w:rPr>
      </w:pPr>
      <w:r>
        <w:rPr>
          <w:rFonts w:cs="Arial"/>
          <w:bCs/>
          <w:szCs w:val="22"/>
        </w:rPr>
        <w:t>[16]</w:t>
      </w:r>
      <w:r>
        <w:rPr>
          <w:rFonts w:cs="Arial"/>
          <w:bCs/>
          <w:szCs w:val="22"/>
        </w:rPr>
        <w:tab/>
      </w:r>
      <w:r w:rsidR="00462127">
        <w:rPr>
          <w:rFonts w:cs="Arial"/>
          <w:bCs/>
          <w:szCs w:val="22"/>
        </w:rPr>
        <w:t xml:space="preserve">The respondent states that the recommendations by Dr </w:t>
      </w:r>
      <w:proofErr w:type="spellStart"/>
      <w:r w:rsidR="00462127">
        <w:rPr>
          <w:rFonts w:cs="Arial"/>
          <w:bCs/>
          <w:szCs w:val="22"/>
        </w:rPr>
        <w:t>Strous</w:t>
      </w:r>
      <w:proofErr w:type="spellEnd"/>
      <w:r w:rsidR="00462127">
        <w:rPr>
          <w:rFonts w:cs="Arial"/>
          <w:bCs/>
          <w:szCs w:val="22"/>
        </w:rPr>
        <w:t xml:space="preserve"> </w:t>
      </w:r>
      <w:r w:rsidR="00462127" w:rsidRPr="00462127">
        <w:rPr>
          <w:rFonts w:cs="Arial"/>
          <w:bCs/>
          <w:i/>
          <w:iCs/>
          <w:szCs w:val="22"/>
        </w:rPr>
        <w:t xml:space="preserve">‘largely align with those of Dr </w:t>
      </w:r>
      <w:proofErr w:type="spellStart"/>
      <w:r w:rsidR="00462127" w:rsidRPr="00462127">
        <w:rPr>
          <w:rFonts w:cs="Arial"/>
          <w:bCs/>
          <w:i/>
          <w:iCs/>
          <w:szCs w:val="22"/>
        </w:rPr>
        <w:t>Duchen</w:t>
      </w:r>
      <w:proofErr w:type="spellEnd"/>
      <w:r w:rsidR="00462127" w:rsidRPr="00462127">
        <w:rPr>
          <w:rFonts w:cs="Arial"/>
          <w:bCs/>
          <w:i/>
          <w:iCs/>
          <w:szCs w:val="22"/>
        </w:rPr>
        <w:t>’</w:t>
      </w:r>
      <w:r w:rsidR="00462127">
        <w:rPr>
          <w:rFonts w:cs="Arial"/>
          <w:bCs/>
          <w:szCs w:val="22"/>
        </w:rPr>
        <w:t xml:space="preserve"> and that the parties had come to an agreement relating to care </w:t>
      </w:r>
      <w:r w:rsidR="00462127" w:rsidRPr="00462127">
        <w:rPr>
          <w:rFonts w:cs="Arial"/>
          <w:bCs/>
          <w:i/>
          <w:iCs/>
          <w:szCs w:val="22"/>
        </w:rPr>
        <w:t>pendente lite</w:t>
      </w:r>
      <w:r w:rsidR="00462127">
        <w:rPr>
          <w:rFonts w:cs="Arial"/>
          <w:bCs/>
          <w:i/>
          <w:iCs/>
          <w:szCs w:val="22"/>
        </w:rPr>
        <w:t xml:space="preserve"> </w:t>
      </w:r>
      <w:r w:rsidR="00462127">
        <w:rPr>
          <w:rFonts w:cs="Arial"/>
          <w:bCs/>
          <w:szCs w:val="22"/>
        </w:rPr>
        <w:t xml:space="preserve">save for one aspect, </w:t>
      </w:r>
      <w:r w:rsidR="008932CA">
        <w:rPr>
          <w:rFonts w:cs="Arial"/>
          <w:bCs/>
          <w:szCs w:val="22"/>
        </w:rPr>
        <w:t xml:space="preserve">relating to the </w:t>
      </w:r>
      <w:r w:rsidR="00462127">
        <w:rPr>
          <w:rFonts w:cs="Arial"/>
          <w:bCs/>
          <w:szCs w:val="22"/>
        </w:rPr>
        <w:t>costs of a parenting co-ordinator / psychologist.</w:t>
      </w:r>
      <w:r w:rsidR="00A04C97">
        <w:rPr>
          <w:rFonts w:cs="Arial"/>
          <w:bCs/>
          <w:szCs w:val="22"/>
        </w:rPr>
        <w:t xml:space="preserve"> The agreement now provided for shared residence.</w:t>
      </w:r>
    </w:p>
    <w:p w14:paraId="68AA43FE" w14:textId="019ABBCE" w:rsidR="00D91D4D" w:rsidRDefault="00681FE9" w:rsidP="00681FE9">
      <w:pPr>
        <w:widowControl w:val="0"/>
        <w:tabs>
          <w:tab w:val="left" w:pos="567"/>
        </w:tabs>
        <w:spacing w:before="480" w:after="480" w:line="480" w:lineRule="auto"/>
        <w:jc w:val="both"/>
        <w:rPr>
          <w:rFonts w:cs="Arial"/>
          <w:bCs/>
          <w:szCs w:val="22"/>
        </w:rPr>
      </w:pPr>
      <w:r>
        <w:rPr>
          <w:rFonts w:cs="Arial"/>
          <w:bCs/>
          <w:szCs w:val="22"/>
        </w:rPr>
        <w:t>[17]</w:t>
      </w:r>
      <w:r>
        <w:rPr>
          <w:rFonts w:cs="Arial"/>
          <w:bCs/>
          <w:szCs w:val="22"/>
        </w:rPr>
        <w:tab/>
      </w:r>
      <w:r w:rsidR="00D91D4D">
        <w:rPr>
          <w:rFonts w:cs="Arial"/>
          <w:bCs/>
          <w:szCs w:val="22"/>
        </w:rPr>
        <w:t>On 2</w:t>
      </w:r>
      <w:r w:rsidR="008932CA">
        <w:rPr>
          <w:rFonts w:cs="Arial"/>
          <w:bCs/>
          <w:szCs w:val="22"/>
        </w:rPr>
        <w:t>5</w:t>
      </w:r>
      <w:r w:rsidR="00D91D4D">
        <w:rPr>
          <w:rFonts w:cs="Arial"/>
          <w:bCs/>
          <w:szCs w:val="22"/>
        </w:rPr>
        <w:t xml:space="preserve"> July 2022 the Rule 43(6) application was removed from the roll and the costs were reserved. The supplementary affidavit of Ms Smith was admitted into evidence and an agreement on the care of the child was made an order of court by Karachi AJ.</w:t>
      </w:r>
      <w:r w:rsidR="00EF264D">
        <w:rPr>
          <w:rFonts w:cs="Arial"/>
          <w:bCs/>
          <w:szCs w:val="22"/>
        </w:rPr>
        <w:t xml:space="preserve"> The agreement provided for shared primary residence as recommended and </w:t>
      </w:r>
      <w:r w:rsidR="008932CA">
        <w:rPr>
          <w:rFonts w:cs="Arial"/>
          <w:bCs/>
          <w:szCs w:val="22"/>
        </w:rPr>
        <w:t>(</w:t>
      </w:r>
      <w:r w:rsidR="00EF264D">
        <w:rPr>
          <w:rFonts w:cs="Arial"/>
          <w:bCs/>
          <w:szCs w:val="22"/>
        </w:rPr>
        <w:t>in terms of the agreement</w:t>
      </w:r>
      <w:r w:rsidR="008932CA">
        <w:rPr>
          <w:rFonts w:cs="Arial"/>
          <w:bCs/>
          <w:szCs w:val="22"/>
        </w:rPr>
        <w:t xml:space="preserve"> between the parties)</w:t>
      </w:r>
      <w:r w:rsidR="00EF264D">
        <w:rPr>
          <w:rFonts w:cs="Arial"/>
          <w:bCs/>
          <w:szCs w:val="22"/>
        </w:rPr>
        <w:t xml:space="preserve"> paragraphs 2 and 3</w:t>
      </w:r>
      <w:r w:rsidR="00921524">
        <w:rPr>
          <w:rStyle w:val="FootnoteReference"/>
          <w:rFonts w:cs="Arial"/>
          <w:bCs/>
          <w:szCs w:val="22"/>
        </w:rPr>
        <w:footnoteReference w:id="6"/>
      </w:r>
      <w:r w:rsidR="00EF264D">
        <w:rPr>
          <w:rFonts w:cs="Arial"/>
          <w:bCs/>
          <w:szCs w:val="22"/>
        </w:rPr>
        <w:t xml:space="preserve"> of the existing order of December 2020 were varied.</w:t>
      </w:r>
    </w:p>
    <w:p w14:paraId="44CFED4B" w14:textId="5CE2BDDD" w:rsidR="00D91D4D" w:rsidRDefault="00681FE9" w:rsidP="00681FE9">
      <w:pPr>
        <w:widowControl w:val="0"/>
        <w:tabs>
          <w:tab w:val="left" w:pos="567"/>
        </w:tabs>
        <w:spacing w:before="480" w:after="480" w:line="480" w:lineRule="auto"/>
        <w:jc w:val="both"/>
        <w:rPr>
          <w:rFonts w:cs="Arial"/>
          <w:bCs/>
          <w:szCs w:val="22"/>
        </w:rPr>
      </w:pPr>
      <w:r>
        <w:rPr>
          <w:rFonts w:cs="Arial"/>
          <w:bCs/>
          <w:szCs w:val="22"/>
        </w:rPr>
        <w:t>[18]</w:t>
      </w:r>
      <w:r>
        <w:rPr>
          <w:rFonts w:cs="Arial"/>
          <w:bCs/>
          <w:szCs w:val="22"/>
        </w:rPr>
        <w:tab/>
      </w:r>
      <w:r w:rsidR="00D91D4D">
        <w:rPr>
          <w:rFonts w:cs="Arial"/>
          <w:bCs/>
          <w:szCs w:val="22"/>
        </w:rPr>
        <w:t>The agreement reached meant that the only issues of dispute that remained</w:t>
      </w:r>
      <w:r w:rsidR="00F80BC4">
        <w:rPr>
          <w:rFonts w:cs="Arial"/>
          <w:bCs/>
          <w:szCs w:val="22"/>
        </w:rPr>
        <w:t xml:space="preserve"> after 25 July 2022</w:t>
      </w:r>
      <w:r w:rsidR="00D91D4D">
        <w:rPr>
          <w:rFonts w:cs="Arial"/>
          <w:bCs/>
          <w:szCs w:val="22"/>
        </w:rPr>
        <w:t xml:space="preserve"> </w:t>
      </w:r>
      <w:r w:rsidR="00F80BC4">
        <w:rPr>
          <w:rFonts w:cs="Arial"/>
          <w:bCs/>
          <w:szCs w:val="22"/>
        </w:rPr>
        <w:t>were</w:t>
      </w:r>
      <w:r w:rsidR="00D91D4D">
        <w:rPr>
          <w:rFonts w:cs="Arial"/>
          <w:bCs/>
          <w:szCs w:val="22"/>
        </w:rPr>
        <w:t xml:space="preserve"> –</w:t>
      </w:r>
    </w:p>
    <w:p w14:paraId="796DEBF7" w14:textId="620109D3" w:rsidR="00EF264D" w:rsidRDefault="00681FE9" w:rsidP="00681FE9">
      <w:pPr>
        <w:widowControl w:val="0"/>
        <w:tabs>
          <w:tab w:val="left" w:pos="1418"/>
        </w:tabs>
        <w:spacing w:before="480" w:after="480" w:line="480" w:lineRule="auto"/>
        <w:ind w:left="1418" w:hanging="851"/>
        <w:jc w:val="both"/>
        <w:rPr>
          <w:rFonts w:cs="Arial"/>
          <w:bCs/>
          <w:szCs w:val="22"/>
        </w:rPr>
      </w:pPr>
      <w:r>
        <w:rPr>
          <w:rFonts w:cs="Arial"/>
          <w:bCs/>
          <w:szCs w:val="22"/>
        </w:rPr>
        <w:lastRenderedPageBreak/>
        <w:t>18.1</w:t>
      </w:r>
      <w:r>
        <w:rPr>
          <w:rFonts w:cs="Arial"/>
          <w:bCs/>
          <w:szCs w:val="22"/>
        </w:rPr>
        <w:tab/>
      </w:r>
      <w:r w:rsidR="00EF264D">
        <w:rPr>
          <w:rFonts w:cs="Arial"/>
          <w:bCs/>
          <w:szCs w:val="22"/>
        </w:rPr>
        <w:t xml:space="preserve">The maintenance payable by the </w:t>
      </w:r>
      <w:proofErr w:type="gramStart"/>
      <w:r w:rsidR="00EF264D">
        <w:rPr>
          <w:rFonts w:cs="Arial"/>
          <w:bCs/>
          <w:szCs w:val="22"/>
        </w:rPr>
        <w:t>applicant;</w:t>
      </w:r>
      <w:proofErr w:type="gramEnd"/>
    </w:p>
    <w:p w14:paraId="2DE2309D" w14:textId="3E47C298" w:rsidR="00D91D4D" w:rsidRDefault="00681FE9" w:rsidP="00681FE9">
      <w:pPr>
        <w:widowControl w:val="0"/>
        <w:tabs>
          <w:tab w:val="left" w:pos="1418"/>
        </w:tabs>
        <w:spacing w:before="480" w:after="480" w:line="480" w:lineRule="auto"/>
        <w:ind w:left="1418" w:hanging="851"/>
        <w:jc w:val="both"/>
        <w:rPr>
          <w:rFonts w:cs="Arial"/>
          <w:bCs/>
          <w:szCs w:val="22"/>
        </w:rPr>
      </w:pPr>
      <w:r>
        <w:rPr>
          <w:rFonts w:cs="Arial"/>
          <w:bCs/>
          <w:szCs w:val="22"/>
        </w:rPr>
        <w:t>18.2</w:t>
      </w:r>
      <w:r>
        <w:rPr>
          <w:rFonts w:cs="Arial"/>
          <w:bCs/>
          <w:szCs w:val="22"/>
        </w:rPr>
        <w:tab/>
      </w:r>
      <w:r w:rsidR="00D91D4D">
        <w:rPr>
          <w:rFonts w:cs="Arial"/>
          <w:bCs/>
          <w:szCs w:val="22"/>
        </w:rPr>
        <w:t xml:space="preserve">The costs of a parenting </w:t>
      </w:r>
      <w:proofErr w:type="gramStart"/>
      <w:r w:rsidR="00D91D4D">
        <w:rPr>
          <w:rFonts w:cs="Arial"/>
          <w:bCs/>
          <w:szCs w:val="22"/>
        </w:rPr>
        <w:t>co-ordinator;</w:t>
      </w:r>
      <w:proofErr w:type="gramEnd"/>
    </w:p>
    <w:p w14:paraId="3B4EF396" w14:textId="74F38BD1" w:rsidR="00D91D4D" w:rsidRDefault="00681FE9" w:rsidP="00681FE9">
      <w:pPr>
        <w:widowControl w:val="0"/>
        <w:tabs>
          <w:tab w:val="left" w:pos="1418"/>
        </w:tabs>
        <w:spacing w:before="480" w:after="480" w:line="480" w:lineRule="auto"/>
        <w:ind w:left="1418" w:hanging="851"/>
        <w:jc w:val="both"/>
        <w:rPr>
          <w:rFonts w:cs="Arial"/>
          <w:bCs/>
          <w:szCs w:val="22"/>
        </w:rPr>
      </w:pPr>
      <w:r>
        <w:rPr>
          <w:rFonts w:cs="Arial"/>
          <w:bCs/>
          <w:szCs w:val="22"/>
        </w:rPr>
        <w:t>18.3</w:t>
      </w:r>
      <w:r>
        <w:rPr>
          <w:rFonts w:cs="Arial"/>
          <w:bCs/>
          <w:szCs w:val="22"/>
        </w:rPr>
        <w:tab/>
      </w:r>
      <w:r w:rsidR="00D91D4D">
        <w:rPr>
          <w:rFonts w:cs="Arial"/>
          <w:bCs/>
          <w:szCs w:val="22"/>
        </w:rPr>
        <w:t xml:space="preserve">The powers of parenting the </w:t>
      </w:r>
      <w:proofErr w:type="gramStart"/>
      <w:r w:rsidR="00D91D4D">
        <w:rPr>
          <w:rFonts w:cs="Arial"/>
          <w:bCs/>
          <w:szCs w:val="22"/>
        </w:rPr>
        <w:t>co-ordinator;</w:t>
      </w:r>
      <w:proofErr w:type="gramEnd"/>
    </w:p>
    <w:p w14:paraId="0AF1C2FE" w14:textId="4F0B060A" w:rsidR="00D91D4D" w:rsidRDefault="00681FE9" w:rsidP="00681FE9">
      <w:pPr>
        <w:widowControl w:val="0"/>
        <w:tabs>
          <w:tab w:val="left" w:pos="1418"/>
        </w:tabs>
        <w:spacing w:before="480" w:after="480" w:line="480" w:lineRule="auto"/>
        <w:ind w:left="1418" w:hanging="851"/>
        <w:jc w:val="both"/>
        <w:rPr>
          <w:rFonts w:cs="Arial"/>
          <w:bCs/>
          <w:szCs w:val="22"/>
        </w:rPr>
      </w:pPr>
      <w:r>
        <w:rPr>
          <w:rFonts w:cs="Arial"/>
          <w:bCs/>
          <w:szCs w:val="22"/>
        </w:rPr>
        <w:t>18.4</w:t>
      </w:r>
      <w:r>
        <w:rPr>
          <w:rFonts w:cs="Arial"/>
          <w:bCs/>
          <w:szCs w:val="22"/>
        </w:rPr>
        <w:tab/>
      </w:r>
      <w:r w:rsidR="00D91D4D">
        <w:rPr>
          <w:rFonts w:cs="Arial"/>
          <w:bCs/>
          <w:szCs w:val="22"/>
        </w:rPr>
        <w:t>The costs of the Rule 43(6) application, including the reserved costs of 25 July 2022.</w:t>
      </w:r>
    </w:p>
    <w:p w14:paraId="75A2BCB3" w14:textId="00977FB5" w:rsidR="00B479BE" w:rsidRDefault="00681FE9" w:rsidP="00681FE9">
      <w:pPr>
        <w:widowControl w:val="0"/>
        <w:tabs>
          <w:tab w:val="left" w:pos="567"/>
        </w:tabs>
        <w:spacing w:before="480" w:after="480" w:line="480" w:lineRule="auto"/>
        <w:jc w:val="both"/>
        <w:rPr>
          <w:rFonts w:cs="Arial"/>
          <w:bCs/>
          <w:szCs w:val="22"/>
        </w:rPr>
      </w:pPr>
      <w:r>
        <w:rPr>
          <w:rFonts w:cs="Arial"/>
          <w:bCs/>
          <w:szCs w:val="22"/>
        </w:rPr>
        <w:t>[19]</w:t>
      </w:r>
      <w:r>
        <w:rPr>
          <w:rFonts w:cs="Arial"/>
          <w:bCs/>
          <w:szCs w:val="22"/>
        </w:rPr>
        <w:tab/>
      </w:r>
      <w:r w:rsidR="00B479BE">
        <w:rPr>
          <w:rFonts w:cs="Arial"/>
          <w:bCs/>
          <w:szCs w:val="22"/>
        </w:rPr>
        <w:t>The applicant filed a supplementary answering affidavit</w:t>
      </w:r>
      <w:r w:rsidR="008932CA">
        <w:rPr>
          <w:rFonts w:cs="Arial"/>
          <w:bCs/>
          <w:szCs w:val="22"/>
        </w:rPr>
        <w:t xml:space="preserve"> to the </w:t>
      </w:r>
      <w:proofErr w:type="gramStart"/>
      <w:r w:rsidR="008932CA">
        <w:rPr>
          <w:rFonts w:cs="Arial"/>
          <w:bCs/>
          <w:szCs w:val="22"/>
        </w:rPr>
        <w:t>counter-application</w:t>
      </w:r>
      <w:proofErr w:type="gramEnd"/>
      <w:r w:rsidR="00B479BE">
        <w:rPr>
          <w:rFonts w:cs="Arial"/>
          <w:bCs/>
          <w:szCs w:val="22"/>
        </w:rPr>
        <w:t xml:space="preserve"> </w:t>
      </w:r>
      <w:r w:rsidR="00D91D4D">
        <w:rPr>
          <w:rFonts w:cs="Arial"/>
          <w:bCs/>
          <w:szCs w:val="22"/>
        </w:rPr>
        <w:t>dated 5 August 2022</w:t>
      </w:r>
      <w:r w:rsidR="00B479BE">
        <w:rPr>
          <w:rFonts w:cs="Arial"/>
          <w:bCs/>
          <w:szCs w:val="22"/>
        </w:rPr>
        <w:t xml:space="preserve">. </w:t>
      </w:r>
      <w:r w:rsidR="00D91D4D">
        <w:rPr>
          <w:rFonts w:cs="Arial"/>
          <w:bCs/>
          <w:szCs w:val="22"/>
        </w:rPr>
        <w:t xml:space="preserve">The matter was set down for the motion court week of 17 October 2022. This prompted yet a further supplementary answering affidavit and supplementary founding affidavit in the </w:t>
      </w:r>
      <w:proofErr w:type="gramStart"/>
      <w:r w:rsidR="00D91D4D">
        <w:rPr>
          <w:rFonts w:cs="Arial"/>
          <w:bCs/>
          <w:szCs w:val="22"/>
        </w:rPr>
        <w:t>counter-application</w:t>
      </w:r>
      <w:proofErr w:type="gramEnd"/>
      <w:r w:rsidR="00D91D4D">
        <w:rPr>
          <w:rFonts w:cs="Arial"/>
          <w:bCs/>
          <w:szCs w:val="22"/>
        </w:rPr>
        <w:t xml:space="preserve"> from the respondent on 29 September 2022.</w:t>
      </w:r>
      <w:r w:rsidR="00F80BC4">
        <w:rPr>
          <w:rFonts w:cs="Arial"/>
          <w:bCs/>
          <w:szCs w:val="22"/>
        </w:rPr>
        <w:t xml:space="preserve"> </w:t>
      </w:r>
    </w:p>
    <w:p w14:paraId="54C3A540" w14:textId="418AB03A" w:rsidR="008D5785" w:rsidRDefault="00681FE9" w:rsidP="00681FE9">
      <w:pPr>
        <w:widowControl w:val="0"/>
        <w:tabs>
          <w:tab w:val="left" w:pos="567"/>
        </w:tabs>
        <w:spacing w:before="480" w:after="480" w:line="480" w:lineRule="auto"/>
        <w:jc w:val="both"/>
        <w:rPr>
          <w:rFonts w:cs="Arial"/>
          <w:bCs/>
          <w:szCs w:val="22"/>
        </w:rPr>
      </w:pPr>
      <w:r>
        <w:rPr>
          <w:rFonts w:cs="Arial"/>
          <w:bCs/>
          <w:szCs w:val="22"/>
        </w:rPr>
        <w:t>[20]</w:t>
      </w:r>
      <w:r>
        <w:rPr>
          <w:rFonts w:cs="Arial"/>
          <w:bCs/>
          <w:szCs w:val="22"/>
        </w:rPr>
        <w:tab/>
      </w:r>
      <w:r w:rsidR="00EF264D">
        <w:rPr>
          <w:rFonts w:cs="Arial"/>
          <w:bCs/>
          <w:szCs w:val="22"/>
        </w:rPr>
        <w:t>I deal with the remaining issues below.</w:t>
      </w:r>
    </w:p>
    <w:p w14:paraId="5D9F8662" w14:textId="77777777" w:rsidR="008932CA" w:rsidRDefault="008932CA" w:rsidP="008932CA">
      <w:pPr>
        <w:keepNext/>
        <w:widowControl w:val="0"/>
        <w:spacing w:before="480" w:after="480" w:line="480" w:lineRule="auto"/>
        <w:jc w:val="both"/>
        <w:rPr>
          <w:rFonts w:cs="Arial"/>
          <w:bCs/>
          <w:szCs w:val="22"/>
          <w:u w:val="single"/>
        </w:rPr>
      </w:pPr>
    </w:p>
    <w:p w14:paraId="62F1A0ED" w14:textId="0F341F40" w:rsidR="008D5785" w:rsidRPr="00EF264D" w:rsidRDefault="00EF264D" w:rsidP="008932CA">
      <w:pPr>
        <w:keepNext/>
        <w:widowControl w:val="0"/>
        <w:spacing w:before="480" w:after="480" w:line="480" w:lineRule="auto"/>
        <w:jc w:val="both"/>
        <w:rPr>
          <w:rFonts w:cs="Arial"/>
          <w:bCs/>
          <w:szCs w:val="22"/>
          <w:u w:val="single"/>
        </w:rPr>
      </w:pPr>
      <w:r w:rsidRPr="00EF264D">
        <w:rPr>
          <w:rFonts w:cs="Arial"/>
          <w:bCs/>
          <w:szCs w:val="22"/>
          <w:u w:val="single"/>
        </w:rPr>
        <w:t>Maintenance</w:t>
      </w:r>
    </w:p>
    <w:p w14:paraId="1D38ED96" w14:textId="41DC753E" w:rsidR="00EF264D" w:rsidRDefault="00681FE9" w:rsidP="00681FE9">
      <w:pPr>
        <w:keepNext/>
        <w:widowControl w:val="0"/>
        <w:tabs>
          <w:tab w:val="left" w:pos="567"/>
        </w:tabs>
        <w:spacing w:before="480" w:after="480" w:line="480" w:lineRule="auto"/>
        <w:jc w:val="both"/>
        <w:rPr>
          <w:rFonts w:cs="Arial"/>
          <w:bCs/>
          <w:szCs w:val="22"/>
        </w:rPr>
      </w:pPr>
      <w:r>
        <w:rPr>
          <w:rFonts w:cs="Arial"/>
          <w:bCs/>
          <w:szCs w:val="22"/>
        </w:rPr>
        <w:t>[21]</w:t>
      </w:r>
      <w:r>
        <w:rPr>
          <w:rFonts w:cs="Arial"/>
          <w:bCs/>
          <w:szCs w:val="22"/>
        </w:rPr>
        <w:tab/>
      </w:r>
      <w:r w:rsidR="00EF264D">
        <w:rPr>
          <w:rFonts w:cs="Arial"/>
          <w:bCs/>
          <w:szCs w:val="22"/>
        </w:rPr>
        <w:t xml:space="preserve">The existing order provides for monthly maintenance </w:t>
      </w:r>
      <w:r w:rsidR="001F6AED">
        <w:rPr>
          <w:rFonts w:cs="Arial"/>
          <w:bCs/>
          <w:szCs w:val="22"/>
        </w:rPr>
        <w:t xml:space="preserve">for the respondent and the child </w:t>
      </w:r>
      <w:r w:rsidR="00EF264D">
        <w:rPr>
          <w:rFonts w:cs="Arial"/>
          <w:bCs/>
          <w:szCs w:val="22"/>
        </w:rPr>
        <w:t xml:space="preserve">of R35 000 per month; the applicant now tenders R29 000 (R15 000 labelled as maintenance and R14 000 in respect of accommodation when the respondent </w:t>
      </w:r>
      <w:proofErr w:type="gramStart"/>
      <w:r w:rsidR="00EF264D">
        <w:rPr>
          <w:rFonts w:cs="Arial"/>
          <w:bCs/>
          <w:szCs w:val="22"/>
        </w:rPr>
        <w:t>actually moves</w:t>
      </w:r>
      <w:proofErr w:type="gramEnd"/>
      <w:r w:rsidR="00EF264D">
        <w:rPr>
          <w:rFonts w:cs="Arial"/>
          <w:bCs/>
          <w:szCs w:val="22"/>
        </w:rPr>
        <w:t xml:space="preserve"> out of her parents’ home where she currently stays) while the respondent seeks R90 000 (R45 000 as maintenance and R45 000 for accommodation).</w:t>
      </w:r>
    </w:p>
    <w:p w14:paraId="3D01D4B0" w14:textId="3BFBB1B0" w:rsidR="00EF264D" w:rsidRDefault="00681FE9" w:rsidP="00681FE9">
      <w:pPr>
        <w:widowControl w:val="0"/>
        <w:tabs>
          <w:tab w:val="left" w:pos="567"/>
        </w:tabs>
        <w:spacing w:before="480" w:after="480" w:line="480" w:lineRule="auto"/>
        <w:jc w:val="both"/>
        <w:rPr>
          <w:rFonts w:cs="Arial"/>
          <w:bCs/>
          <w:szCs w:val="22"/>
        </w:rPr>
      </w:pPr>
      <w:r>
        <w:rPr>
          <w:rFonts w:cs="Arial"/>
          <w:bCs/>
          <w:szCs w:val="22"/>
        </w:rPr>
        <w:t>[22]</w:t>
      </w:r>
      <w:r>
        <w:rPr>
          <w:rFonts w:cs="Arial"/>
          <w:bCs/>
          <w:szCs w:val="22"/>
        </w:rPr>
        <w:tab/>
      </w:r>
      <w:r w:rsidR="00EF264D">
        <w:rPr>
          <w:rFonts w:cs="Arial"/>
          <w:bCs/>
          <w:szCs w:val="22"/>
        </w:rPr>
        <w:t xml:space="preserve">The respondent is not in full time employment and earns nominal amounts as a part-time ballet dancer. She indicated that she has done nothing to seek employment </w:t>
      </w:r>
      <w:r w:rsidR="00EF264D">
        <w:rPr>
          <w:rFonts w:cs="Arial"/>
          <w:bCs/>
          <w:szCs w:val="22"/>
        </w:rPr>
        <w:lastRenderedPageBreak/>
        <w:t xml:space="preserve">since the parties separated two years ago, even though she is </w:t>
      </w:r>
      <w:r w:rsidR="00A62B3B">
        <w:rPr>
          <w:rFonts w:cs="Arial"/>
          <w:bCs/>
          <w:szCs w:val="22"/>
        </w:rPr>
        <w:t>professionally qualified</w:t>
      </w:r>
      <w:r w:rsidR="00EF264D">
        <w:rPr>
          <w:rFonts w:cs="Arial"/>
          <w:bCs/>
          <w:szCs w:val="22"/>
        </w:rPr>
        <w:t xml:space="preserve"> and of employable age.</w:t>
      </w:r>
    </w:p>
    <w:p w14:paraId="36B56D5A" w14:textId="1A2942FD" w:rsidR="0071351B" w:rsidRDefault="00681FE9" w:rsidP="00681FE9">
      <w:pPr>
        <w:widowControl w:val="0"/>
        <w:tabs>
          <w:tab w:val="left" w:pos="567"/>
        </w:tabs>
        <w:spacing w:before="480" w:after="480" w:line="480" w:lineRule="auto"/>
        <w:jc w:val="both"/>
        <w:rPr>
          <w:rFonts w:cs="Arial"/>
          <w:bCs/>
          <w:szCs w:val="22"/>
        </w:rPr>
      </w:pPr>
      <w:r>
        <w:rPr>
          <w:rFonts w:cs="Arial"/>
          <w:bCs/>
          <w:szCs w:val="22"/>
        </w:rPr>
        <w:t>[23]</w:t>
      </w:r>
      <w:r>
        <w:rPr>
          <w:rFonts w:cs="Arial"/>
          <w:bCs/>
          <w:szCs w:val="22"/>
        </w:rPr>
        <w:tab/>
      </w:r>
      <w:r w:rsidR="00EF264D">
        <w:rPr>
          <w:rFonts w:cs="Arial"/>
          <w:bCs/>
          <w:szCs w:val="22"/>
        </w:rPr>
        <w:t>The applicant is employed.</w:t>
      </w:r>
      <w:r w:rsidR="009F7077">
        <w:rPr>
          <w:rFonts w:cs="Arial"/>
          <w:bCs/>
          <w:szCs w:val="22"/>
        </w:rPr>
        <w:t xml:space="preserve"> His payslip for 25 February 2022 </w:t>
      </w:r>
      <w:proofErr w:type="gramStart"/>
      <w:r w:rsidR="009F7077">
        <w:rPr>
          <w:rFonts w:cs="Arial"/>
          <w:bCs/>
          <w:szCs w:val="22"/>
        </w:rPr>
        <w:t>reflect</w:t>
      </w:r>
      <w:proofErr w:type="gramEnd"/>
      <w:r w:rsidR="009F7077">
        <w:rPr>
          <w:rFonts w:cs="Arial"/>
          <w:bCs/>
          <w:szCs w:val="22"/>
        </w:rPr>
        <w:t xml:space="preserve"> gross</w:t>
      </w:r>
      <w:r w:rsidR="00EF74A9">
        <w:rPr>
          <w:rFonts w:cs="Arial"/>
          <w:bCs/>
          <w:szCs w:val="22"/>
        </w:rPr>
        <w:t xml:space="preserve"> monthly</w:t>
      </w:r>
      <w:r w:rsidR="009F7077">
        <w:rPr>
          <w:rFonts w:cs="Arial"/>
          <w:bCs/>
          <w:szCs w:val="22"/>
        </w:rPr>
        <w:t xml:space="preserve"> earnings </w:t>
      </w:r>
      <w:r w:rsidR="009F7077" w:rsidRPr="00C1121F">
        <w:rPr>
          <w:rFonts w:cs="Arial"/>
          <w:bCs/>
          <w:i/>
          <w:iCs/>
          <w:szCs w:val="22"/>
        </w:rPr>
        <w:t>“for SA purposes”</w:t>
      </w:r>
      <w:r w:rsidR="009F7077">
        <w:rPr>
          <w:rFonts w:cs="Arial"/>
          <w:bCs/>
          <w:szCs w:val="22"/>
        </w:rPr>
        <w:t xml:space="preserve"> of R172</w:t>
      </w:r>
      <w:r w:rsidR="001F6AED">
        <w:rPr>
          <w:rFonts w:cs="Arial"/>
          <w:bCs/>
          <w:szCs w:val="22"/>
        </w:rPr>
        <w:t> </w:t>
      </w:r>
      <w:r w:rsidR="009F7077">
        <w:rPr>
          <w:rFonts w:cs="Arial"/>
          <w:bCs/>
          <w:szCs w:val="22"/>
        </w:rPr>
        <w:t>903.50 and net earnings of R101</w:t>
      </w:r>
      <w:r w:rsidR="001F6AED">
        <w:rPr>
          <w:rFonts w:cs="Arial"/>
          <w:bCs/>
          <w:szCs w:val="22"/>
        </w:rPr>
        <w:t> 834.55. These amounts translate, respectively, to R2 074 842 and R 1</w:t>
      </w:r>
      <w:r w:rsidR="00EC080A">
        <w:rPr>
          <w:rFonts w:cs="Arial"/>
          <w:bCs/>
          <w:szCs w:val="22"/>
        </w:rPr>
        <w:t> </w:t>
      </w:r>
      <w:r w:rsidR="001F6AED">
        <w:rPr>
          <w:rFonts w:cs="Arial"/>
          <w:bCs/>
          <w:szCs w:val="22"/>
        </w:rPr>
        <w:t xml:space="preserve">218 414.60 per year. </w:t>
      </w:r>
      <w:r w:rsidR="00FA1DB2">
        <w:rPr>
          <w:rFonts w:cs="Arial"/>
          <w:bCs/>
          <w:szCs w:val="22"/>
        </w:rPr>
        <w:t>However, his payslip for June 2022 includes a substantial bonus that increased his net income for the month to R491 135.08.</w:t>
      </w:r>
    </w:p>
    <w:p w14:paraId="198BB367" w14:textId="44D77ED3" w:rsidR="001809D0" w:rsidRDefault="00681FE9" w:rsidP="00681FE9">
      <w:pPr>
        <w:widowControl w:val="0"/>
        <w:tabs>
          <w:tab w:val="left" w:pos="567"/>
        </w:tabs>
        <w:spacing w:before="480" w:after="480" w:line="480" w:lineRule="auto"/>
        <w:jc w:val="both"/>
        <w:rPr>
          <w:rFonts w:cs="Arial"/>
          <w:bCs/>
          <w:szCs w:val="22"/>
        </w:rPr>
      </w:pPr>
      <w:r>
        <w:rPr>
          <w:rFonts w:cs="Arial"/>
          <w:bCs/>
          <w:szCs w:val="22"/>
        </w:rPr>
        <w:t>[24]</w:t>
      </w:r>
      <w:r>
        <w:rPr>
          <w:rFonts w:cs="Arial"/>
          <w:bCs/>
          <w:szCs w:val="22"/>
        </w:rPr>
        <w:tab/>
      </w:r>
      <w:r w:rsidR="00E81B2D">
        <w:rPr>
          <w:rFonts w:cs="Arial"/>
          <w:bCs/>
          <w:szCs w:val="22"/>
        </w:rPr>
        <w:t xml:space="preserve">He states that he </w:t>
      </w:r>
      <w:r w:rsidR="008932CA" w:rsidRPr="008932CA">
        <w:rPr>
          <w:rFonts w:cs="Arial"/>
          <w:bCs/>
          <w:i/>
          <w:iCs/>
          <w:szCs w:val="22"/>
        </w:rPr>
        <w:t>“</w:t>
      </w:r>
      <w:r w:rsidR="00E81B2D" w:rsidRPr="008932CA">
        <w:rPr>
          <w:rFonts w:cs="Arial"/>
          <w:bCs/>
          <w:i/>
          <w:iCs/>
          <w:szCs w:val="22"/>
        </w:rPr>
        <w:t>moved to a flexibility programme at</w:t>
      </w:r>
      <w:r w:rsidR="008932CA" w:rsidRPr="008932CA">
        <w:rPr>
          <w:rFonts w:cs="Arial"/>
          <w:bCs/>
          <w:i/>
          <w:iCs/>
          <w:szCs w:val="22"/>
        </w:rPr>
        <w:t>”</w:t>
      </w:r>
      <w:r w:rsidR="00E81B2D">
        <w:rPr>
          <w:rFonts w:cs="Arial"/>
          <w:bCs/>
          <w:szCs w:val="22"/>
        </w:rPr>
        <w:t xml:space="preserve"> his employer which means that he earns less than he did when the Rule 43 order was made</w:t>
      </w:r>
      <w:r w:rsidR="00A44844">
        <w:rPr>
          <w:rFonts w:cs="Arial"/>
          <w:bCs/>
          <w:szCs w:val="22"/>
        </w:rPr>
        <w:t>, but the founding affidavit is silent on when this happened</w:t>
      </w:r>
      <w:r w:rsidR="00E81B2D">
        <w:rPr>
          <w:rFonts w:cs="Arial"/>
          <w:bCs/>
          <w:szCs w:val="22"/>
        </w:rPr>
        <w:t xml:space="preserve">. </w:t>
      </w:r>
      <w:r w:rsidR="00FE3913">
        <w:rPr>
          <w:rFonts w:cs="Arial"/>
          <w:bCs/>
          <w:szCs w:val="22"/>
        </w:rPr>
        <w:t xml:space="preserve">In the financial disclosure </w:t>
      </w:r>
      <w:proofErr w:type="gramStart"/>
      <w:r w:rsidR="00FE3913">
        <w:rPr>
          <w:rFonts w:cs="Arial"/>
          <w:bCs/>
          <w:szCs w:val="22"/>
        </w:rPr>
        <w:t>document</w:t>
      </w:r>
      <w:proofErr w:type="gramEnd"/>
      <w:r w:rsidR="00FE3913">
        <w:rPr>
          <w:rFonts w:cs="Arial"/>
          <w:bCs/>
          <w:szCs w:val="22"/>
        </w:rPr>
        <w:t xml:space="preserve"> he states that it happened in January 2022</w:t>
      </w:r>
      <w:r w:rsidR="0071351B">
        <w:rPr>
          <w:rFonts w:cs="Arial"/>
          <w:bCs/>
          <w:szCs w:val="22"/>
        </w:rPr>
        <w:t xml:space="preserve">; his employer refers to the date of February 2022 and states that he is on a </w:t>
      </w:r>
      <w:r w:rsidR="0071351B" w:rsidRPr="0071351B">
        <w:rPr>
          <w:rFonts w:cs="Arial"/>
          <w:bCs/>
          <w:i/>
          <w:iCs/>
          <w:szCs w:val="22"/>
        </w:rPr>
        <w:t>”70% part time program.”</w:t>
      </w:r>
    </w:p>
    <w:p w14:paraId="37A3ACFD" w14:textId="5B897EEF" w:rsidR="00C7226B" w:rsidRDefault="00681FE9" w:rsidP="00681FE9">
      <w:pPr>
        <w:widowControl w:val="0"/>
        <w:tabs>
          <w:tab w:val="left" w:pos="567"/>
        </w:tabs>
        <w:spacing w:before="480" w:after="480" w:line="480" w:lineRule="auto"/>
        <w:jc w:val="both"/>
        <w:rPr>
          <w:rFonts w:cs="Arial"/>
          <w:bCs/>
          <w:szCs w:val="22"/>
        </w:rPr>
      </w:pPr>
      <w:r>
        <w:rPr>
          <w:rFonts w:cs="Arial"/>
          <w:bCs/>
          <w:szCs w:val="22"/>
        </w:rPr>
        <w:t>[25]</w:t>
      </w:r>
      <w:r>
        <w:rPr>
          <w:rFonts w:cs="Arial"/>
          <w:bCs/>
          <w:szCs w:val="22"/>
        </w:rPr>
        <w:tab/>
      </w:r>
      <w:r w:rsidR="00E81B2D">
        <w:rPr>
          <w:rFonts w:cs="Arial"/>
          <w:bCs/>
          <w:szCs w:val="22"/>
        </w:rPr>
        <w:t>H</w:t>
      </w:r>
      <w:r w:rsidR="00C7226B">
        <w:rPr>
          <w:rFonts w:cs="Arial"/>
          <w:bCs/>
          <w:szCs w:val="22"/>
        </w:rPr>
        <w:t>e alleges that his</w:t>
      </w:r>
      <w:r w:rsidR="00E81B2D">
        <w:rPr>
          <w:rFonts w:cs="Arial"/>
          <w:bCs/>
          <w:szCs w:val="22"/>
        </w:rPr>
        <w:t xml:space="preserve"> income was </w:t>
      </w:r>
      <w:r w:rsidR="008932CA">
        <w:rPr>
          <w:rFonts w:cs="Arial"/>
          <w:bCs/>
          <w:szCs w:val="22"/>
        </w:rPr>
        <w:t xml:space="preserve">thus </w:t>
      </w:r>
      <w:r w:rsidR="00E81B2D">
        <w:rPr>
          <w:rFonts w:cs="Arial"/>
          <w:bCs/>
          <w:szCs w:val="22"/>
        </w:rPr>
        <w:t xml:space="preserve">reduced by 30%. </w:t>
      </w:r>
      <w:r w:rsidR="00C7226B">
        <w:rPr>
          <w:rFonts w:cs="Arial"/>
          <w:bCs/>
          <w:szCs w:val="22"/>
        </w:rPr>
        <w:t>The applicant’s salary fluctuates however with the Rand/$ exchange rate.</w:t>
      </w:r>
    </w:p>
    <w:p w14:paraId="37244958" w14:textId="22BA2E28" w:rsidR="00EF264D" w:rsidRDefault="00681FE9" w:rsidP="00681FE9">
      <w:pPr>
        <w:widowControl w:val="0"/>
        <w:tabs>
          <w:tab w:val="left" w:pos="567"/>
        </w:tabs>
        <w:spacing w:before="480" w:after="480" w:line="480" w:lineRule="auto"/>
        <w:jc w:val="both"/>
        <w:rPr>
          <w:rFonts w:cs="Arial"/>
          <w:bCs/>
          <w:szCs w:val="22"/>
        </w:rPr>
      </w:pPr>
      <w:r>
        <w:rPr>
          <w:rFonts w:cs="Arial"/>
          <w:bCs/>
          <w:szCs w:val="22"/>
        </w:rPr>
        <w:t>[26]</w:t>
      </w:r>
      <w:r>
        <w:rPr>
          <w:rFonts w:cs="Arial"/>
          <w:bCs/>
          <w:szCs w:val="22"/>
        </w:rPr>
        <w:tab/>
      </w:r>
      <w:r w:rsidR="00E81B2D">
        <w:rPr>
          <w:rFonts w:cs="Arial"/>
          <w:bCs/>
          <w:szCs w:val="22"/>
        </w:rPr>
        <w:t>He has also lost rental income of R18 500 per month albeit it on a temporary basis.</w:t>
      </w:r>
      <w:r w:rsidR="00A44844" w:rsidRPr="00A44844">
        <w:rPr>
          <w:rFonts w:cs="Arial"/>
          <w:bCs/>
          <w:szCs w:val="22"/>
        </w:rPr>
        <w:t xml:space="preserve"> </w:t>
      </w:r>
      <w:r w:rsidR="00A44844">
        <w:rPr>
          <w:rFonts w:cs="Arial"/>
          <w:bCs/>
          <w:szCs w:val="22"/>
        </w:rPr>
        <w:t>His earnings (including ‘perks’) for the year to date</w:t>
      </w:r>
      <w:r w:rsidR="002503D9">
        <w:rPr>
          <w:rFonts w:cs="Arial"/>
          <w:bCs/>
          <w:szCs w:val="22"/>
        </w:rPr>
        <w:t xml:space="preserve"> in February 2022</w:t>
      </w:r>
      <w:r w:rsidR="00A44844">
        <w:rPr>
          <w:rFonts w:cs="Arial"/>
          <w:bCs/>
          <w:szCs w:val="22"/>
        </w:rPr>
        <w:t xml:space="preserve"> </w:t>
      </w:r>
      <w:r w:rsidR="00F952AE">
        <w:rPr>
          <w:rFonts w:cs="Arial"/>
          <w:bCs/>
          <w:szCs w:val="22"/>
        </w:rPr>
        <w:t>are</w:t>
      </w:r>
      <w:r w:rsidR="002503D9">
        <w:rPr>
          <w:rFonts w:cs="Arial"/>
          <w:bCs/>
          <w:szCs w:val="22"/>
        </w:rPr>
        <w:t xml:space="preserve"> </w:t>
      </w:r>
      <w:r w:rsidR="00A44844">
        <w:rPr>
          <w:rFonts w:cs="Arial"/>
          <w:bCs/>
          <w:szCs w:val="22"/>
        </w:rPr>
        <w:t>R6 265 354.66</w:t>
      </w:r>
      <w:r w:rsidR="00EF74A9">
        <w:rPr>
          <w:rFonts w:cs="Arial"/>
          <w:bCs/>
          <w:szCs w:val="22"/>
        </w:rPr>
        <w:t xml:space="preserve">, </w:t>
      </w:r>
      <w:proofErr w:type="gramStart"/>
      <w:r w:rsidR="00EF74A9">
        <w:rPr>
          <w:rFonts w:cs="Arial"/>
          <w:bCs/>
          <w:szCs w:val="22"/>
        </w:rPr>
        <w:t>i.e.</w:t>
      </w:r>
      <w:proofErr w:type="gramEnd"/>
      <w:r w:rsidR="00EF74A9">
        <w:rPr>
          <w:rFonts w:cs="Arial"/>
          <w:bCs/>
          <w:szCs w:val="22"/>
        </w:rPr>
        <w:t xml:space="preserve"> R522 112.89 per month.</w:t>
      </w:r>
    </w:p>
    <w:p w14:paraId="56B2A854" w14:textId="05F853F9" w:rsidR="00C7226B" w:rsidRDefault="00681FE9" w:rsidP="00681FE9">
      <w:pPr>
        <w:widowControl w:val="0"/>
        <w:tabs>
          <w:tab w:val="left" w:pos="567"/>
        </w:tabs>
        <w:spacing w:before="480" w:after="480" w:line="480" w:lineRule="auto"/>
        <w:jc w:val="both"/>
        <w:rPr>
          <w:rFonts w:cs="Arial"/>
          <w:bCs/>
          <w:szCs w:val="22"/>
        </w:rPr>
      </w:pPr>
      <w:r>
        <w:rPr>
          <w:rFonts w:cs="Arial"/>
          <w:bCs/>
          <w:szCs w:val="22"/>
        </w:rPr>
        <w:t>[27]</w:t>
      </w:r>
      <w:r>
        <w:rPr>
          <w:rFonts w:cs="Arial"/>
          <w:bCs/>
          <w:szCs w:val="22"/>
        </w:rPr>
        <w:tab/>
      </w:r>
      <w:r w:rsidR="001809D0">
        <w:rPr>
          <w:rFonts w:cs="Arial"/>
          <w:bCs/>
          <w:szCs w:val="22"/>
        </w:rPr>
        <w:t xml:space="preserve">The applicant </w:t>
      </w:r>
      <w:r w:rsidR="00CD15DB">
        <w:rPr>
          <w:rFonts w:cs="Arial"/>
          <w:bCs/>
          <w:szCs w:val="22"/>
        </w:rPr>
        <w:t xml:space="preserve">failed to disclose but </w:t>
      </w:r>
      <w:proofErr w:type="gramStart"/>
      <w:r w:rsidR="001809D0">
        <w:rPr>
          <w:rFonts w:cs="Arial"/>
          <w:bCs/>
          <w:szCs w:val="22"/>
        </w:rPr>
        <w:t>has to</w:t>
      </w:r>
      <w:proofErr w:type="gramEnd"/>
      <w:r w:rsidR="001809D0">
        <w:rPr>
          <w:rFonts w:cs="Arial"/>
          <w:bCs/>
          <w:szCs w:val="22"/>
        </w:rPr>
        <w:t xml:space="preserve"> concede that he receive</w:t>
      </w:r>
      <w:r w:rsidR="003A2D93">
        <w:rPr>
          <w:rFonts w:cs="Arial"/>
          <w:bCs/>
          <w:szCs w:val="22"/>
        </w:rPr>
        <w:t>s</w:t>
      </w:r>
      <w:r w:rsidR="001809D0">
        <w:rPr>
          <w:rFonts w:cs="Arial"/>
          <w:bCs/>
          <w:szCs w:val="22"/>
        </w:rPr>
        <w:t xml:space="preserve"> bonuses that are in the discretion of his employer</w:t>
      </w:r>
      <w:r w:rsidR="003A2D93">
        <w:rPr>
          <w:rFonts w:cs="Arial"/>
          <w:bCs/>
          <w:szCs w:val="22"/>
        </w:rPr>
        <w:t xml:space="preserve">, but these </w:t>
      </w:r>
      <w:proofErr w:type="spellStart"/>
      <w:r w:rsidR="003A2D93">
        <w:rPr>
          <w:rFonts w:cs="Arial"/>
          <w:bCs/>
          <w:szCs w:val="22"/>
        </w:rPr>
        <w:t>can not</w:t>
      </w:r>
      <w:proofErr w:type="spellEnd"/>
      <w:r w:rsidR="003A2D93">
        <w:rPr>
          <w:rFonts w:cs="Arial"/>
          <w:bCs/>
          <w:szCs w:val="22"/>
        </w:rPr>
        <w:t xml:space="preserve"> be ignored as he does receive the bonuses typically every year. </w:t>
      </w:r>
      <w:r w:rsidR="00466D3E">
        <w:rPr>
          <w:rFonts w:cs="Arial"/>
          <w:bCs/>
          <w:szCs w:val="22"/>
        </w:rPr>
        <w:t>His employer confirmed that h</w:t>
      </w:r>
      <w:r w:rsidR="00C7226B">
        <w:rPr>
          <w:rFonts w:cs="Arial"/>
          <w:bCs/>
          <w:szCs w:val="22"/>
        </w:rPr>
        <w:t>e received a bonus of US $44 618 in June 2022 and another such bonus is expected in September 2022.</w:t>
      </w:r>
      <w:r w:rsidR="00CD15DB">
        <w:rPr>
          <w:rFonts w:cs="Arial"/>
          <w:bCs/>
          <w:szCs w:val="22"/>
        </w:rPr>
        <w:t xml:space="preserve"> </w:t>
      </w:r>
    </w:p>
    <w:p w14:paraId="5D3CAE2A" w14:textId="06B26C7B" w:rsidR="00EF264D" w:rsidRDefault="00681FE9" w:rsidP="00681FE9">
      <w:pPr>
        <w:widowControl w:val="0"/>
        <w:tabs>
          <w:tab w:val="left" w:pos="567"/>
        </w:tabs>
        <w:spacing w:before="480" w:after="480" w:line="480" w:lineRule="auto"/>
        <w:jc w:val="both"/>
        <w:rPr>
          <w:rFonts w:cs="Arial"/>
          <w:bCs/>
          <w:szCs w:val="22"/>
        </w:rPr>
      </w:pPr>
      <w:r>
        <w:rPr>
          <w:rFonts w:cs="Arial"/>
          <w:bCs/>
          <w:szCs w:val="22"/>
        </w:rPr>
        <w:t>[28]</w:t>
      </w:r>
      <w:r>
        <w:rPr>
          <w:rFonts w:cs="Arial"/>
          <w:bCs/>
          <w:szCs w:val="22"/>
        </w:rPr>
        <w:tab/>
      </w:r>
      <w:r w:rsidR="003A2D93">
        <w:rPr>
          <w:rFonts w:cs="Arial"/>
          <w:bCs/>
          <w:szCs w:val="22"/>
        </w:rPr>
        <w:t xml:space="preserve">He is the owner of property worth R3,4 million financed by way of a home loan on </w:t>
      </w:r>
      <w:r w:rsidR="003A2D93">
        <w:rPr>
          <w:rFonts w:cs="Arial"/>
          <w:bCs/>
          <w:szCs w:val="22"/>
        </w:rPr>
        <w:lastRenderedPageBreak/>
        <w:t>which R2,8 million is outstanding.</w:t>
      </w:r>
      <w:r w:rsidR="00EC080A">
        <w:rPr>
          <w:rFonts w:cs="Arial"/>
          <w:bCs/>
          <w:szCs w:val="22"/>
        </w:rPr>
        <w:t xml:space="preserve"> </w:t>
      </w:r>
      <w:r w:rsidR="00B54DD9">
        <w:rPr>
          <w:rFonts w:cs="Arial"/>
          <w:bCs/>
          <w:szCs w:val="22"/>
        </w:rPr>
        <w:t>He owns personal assets worth R1,5 million</w:t>
      </w:r>
      <w:r w:rsidR="000A516D">
        <w:rPr>
          <w:rFonts w:cs="Arial"/>
          <w:bCs/>
          <w:szCs w:val="22"/>
        </w:rPr>
        <w:t xml:space="preserve"> and has liabilities of R646 000. He is a “partner” in the business he works for.</w:t>
      </w:r>
      <w:r w:rsidR="0071351B">
        <w:rPr>
          <w:rStyle w:val="FootnoteReference"/>
          <w:rFonts w:cs="Arial"/>
          <w:bCs/>
          <w:szCs w:val="22"/>
        </w:rPr>
        <w:footnoteReference w:id="7"/>
      </w:r>
      <w:r w:rsidR="000A516D">
        <w:rPr>
          <w:rFonts w:cs="Arial"/>
          <w:bCs/>
          <w:szCs w:val="22"/>
        </w:rPr>
        <w:t xml:space="preserve"> His interest in the business is worth R172</w:t>
      </w:r>
      <w:r w:rsidR="00C1121F">
        <w:rPr>
          <w:rFonts w:cs="Arial"/>
          <w:bCs/>
          <w:szCs w:val="22"/>
        </w:rPr>
        <w:t xml:space="preserve"> 000 plus </w:t>
      </w:r>
      <w:r w:rsidR="00272AB0">
        <w:rPr>
          <w:rFonts w:cs="Arial"/>
          <w:bCs/>
          <w:szCs w:val="22"/>
        </w:rPr>
        <w:t>US </w:t>
      </w:r>
      <w:r w:rsidR="00C1121F">
        <w:rPr>
          <w:rFonts w:cs="Arial"/>
          <w:bCs/>
          <w:szCs w:val="22"/>
        </w:rPr>
        <w:t>$11 000</w:t>
      </w:r>
      <w:r w:rsidR="000A516D">
        <w:rPr>
          <w:rFonts w:cs="Arial"/>
          <w:bCs/>
          <w:szCs w:val="22"/>
        </w:rPr>
        <w:t>.</w:t>
      </w:r>
    </w:p>
    <w:p w14:paraId="1BF99B9E" w14:textId="79E2A3CA" w:rsidR="00EF264D" w:rsidRDefault="00681FE9" w:rsidP="00681FE9">
      <w:pPr>
        <w:widowControl w:val="0"/>
        <w:tabs>
          <w:tab w:val="left" w:pos="567"/>
        </w:tabs>
        <w:spacing w:before="480" w:after="480" w:line="480" w:lineRule="auto"/>
        <w:jc w:val="both"/>
        <w:rPr>
          <w:rFonts w:cs="Arial"/>
          <w:bCs/>
          <w:szCs w:val="22"/>
        </w:rPr>
      </w:pPr>
      <w:r>
        <w:rPr>
          <w:rFonts w:cs="Arial"/>
          <w:bCs/>
          <w:szCs w:val="22"/>
        </w:rPr>
        <w:t>[29]</w:t>
      </w:r>
      <w:r>
        <w:rPr>
          <w:rFonts w:cs="Arial"/>
          <w:bCs/>
          <w:szCs w:val="22"/>
        </w:rPr>
        <w:tab/>
      </w:r>
      <w:r w:rsidR="003A2D93">
        <w:rPr>
          <w:rFonts w:cs="Arial"/>
          <w:bCs/>
          <w:szCs w:val="22"/>
        </w:rPr>
        <w:t xml:space="preserve">The respondent disputes the applicant’s analysis of his </w:t>
      </w:r>
      <w:proofErr w:type="gramStart"/>
      <w:r w:rsidR="003A2D93">
        <w:rPr>
          <w:rFonts w:cs="Arial"/>
          <w:bCs/>
          <w:szCs w:val="22"/>
        </w:rPr>
        <w:t>earnings</w:t>
      </w:r>
      <w:proofErr w:type="gramEnd"/>
      <w:r w:rsidR="003A2D93">
        <w:rPr>
          <w:rFonts w:cs="Arial"/>
          <w:bCs/>
          <w:szCs w:val="22"/>
        </w:rPr>
        <w:t xml:space="preserve"> but </w:t>
      </w:r>
      <w:r w:rsidR="000F4B51">
        <w:rPr>
          <w:rFonts w:cs="Arial"/>
          <w:bCs/>
          <w:szCs w:val="22"/>
        </w:rPr>
        <w:t xml:space="preserve">it is not possible to analyse his income on affidavit. </w:t>
      </w:r>
      <w:r w:rsidR="003A2D93">
        <w:rPr>
          <w:rFonts w:cs="Arial"/>
          <w:bCs/>
          <w:szCs w:val="22"/>
        </w:rPr>
        <w:t xml:space="preserve">No doubt the machinery of discovery and of cross-examination will in due course provide the trial court with more and better information but for now the matter </w:t>
      </w:r>
      <w:proofErr w:type="gramStart"/>
      <w:r w:rsidR="003A2D93">
        <w:rPr>
          <w:rFonts w:cs="Arial"/>
          <w:bCs/>
          <w:szCs w:val="22"/>
        </w:rPr>
        <w:t>has to</w:t>
      </w:r>
      <w:proofErr w:type="gramEnd"/>
      <w:r w:rsidR="003A2D93">
        <w:rPr>
          <w:rFonts w:cs="Arial"/>
          <w:bCs/>
          <w:szCs w:val="22"/>
        </w:rPr>
        <w:t xml:space="preserve"> be decided on</w:t>
      </w:r>
      <w:r w:rsidR="000F4B51">
        <w:rPr>
          <w:rFonts w:cs="Arial"/>
          <w:bCs/>
          <w:szCs w:val="22"/>
        </w:rPr>
        <w:t xml:space="preserve"> the existing</w:t>
      </w:r>
      <w:r w:rsidR="003A2D93">
        <w:rPr>
          <w:rFonts w:cs="Arial"/>
          <w:bCs/>
          <w:szCs w:val="22"/>
        </w:rPr>
        <w:t xml:space="preserve"> affidavit</w:t>
      </w:r>
      <w:r w:rsidR="000F4B51">
        <w:rPr>
          <w:rFonts w:cs="Arial"/>
          <w:bCs/>
          <w:szCs w:val="22"/>
        </w:rPr>
        <w:t>s</w:t>
      </w:r>
      <w:r w:rsidR="003A2D93">
        <w:rPr>
          <w:rFonts w:cs="Arial"/>
          <w:bCs/>
          <w:szCs w:val="22"/>
        </w:rPr>
        <w:t xml:space="preserve"> and with reference to the financial disclosure forms</w:t>
      </w:r>
      <w:r w:rsidR="00F952AE">
        <w:rPr>
          <w:rFonts w:cs="Arial"/>
          <w:bCs/>
          <w:szCs w:val="22"/>
        </w:rPr>
        <w:t>.</w:t>
      </w:r>
    </w:p>
    <w:p w14:paraId="4E3FED7E" w14:textId="5E082790" w:rsidR="00272AB0" w:rsidRDefault="00681FE9" w:rsidP="00681FE9">
      <w:pPr>
        <w:widowControl w:val="0"/>
        <w:tabs>
          <w:tab w:val="left" w:pos="567"/>
        </w:tabs>
        <w:spacing w:before="480" w:after="480" w:line="480" w:lineRule="auto"/>
        <w:jc w:val="both"/>
        <w:rPr>
          <w:rFonts w:cs="Arial"/>
          <w:bCs/>
          <w:szCs w:val="22"/>
        </w:rPr>
      </w:pPr>
      <w:r>
        <w:rPr>
          <w:rFonts w:cs="Arial"/>
          <w:bCs/>
          <w:szCs w:val="22"/>
        </w:rPr>
        <w:t>[30]</w:t>
      </w:r>
      <w:r>
        <w:rPr>
          <w:rFonts w:cs="Arial"/>
          <w:bCs/>
          <w:szCs w:val="22"/>
        </w:rPr>
        <w:tab/>
      </w:r>
      <w:r w:rsidR="000F4B51">
        <w:rPr>
          <w:rFonts w:cs="Arial"/>
          <w:bCs/>
          <w:szCs w:val="22"/>
        </w:rPr>
        <w:t>I am of the view that an amount of R29 000 in maintenance</w:t>
      </w:r>
      <w:r w:rsidR="00114FD8">
        <w:rPr>
          <w:rFonts w:cs="Arial"/>
          <w:bCs/>
          <w:szCs w:val="22"/>
        </w:rPr>
        <w:t xml:space="preserve"> for the child and the respondent</w:t>
      </w:r>
      <w:r w:rsidR="000F4B51">
        <w:rPr>
          <w:rFonts w:cs="Arial"/>
          <w:bCs/>
          <w:szCs w:val="22"/>
        </w:rPr>
        <w:t xml:space="preserve"> is appropriate</w:t>
      </w:r>
      <w:r w:rsidR="00114FD8">
        <w:rPr>
          <w:rFonts w:cs="Arial"/>
          <w:bCs/>
          <w:szCs w:val="22"/>
        </w:rPr>
        <w:t>.</w:t>
      </w:r>
      <w:r w:rsidR="000F4B51">
        <w:rPr>
          <w:rFonts w:cs="Arial"/>
          <w:bCs/>
          <w:szCs w:val="22"/>
        </w:rPr>
        <w:t xml:space="preserve"> </w:t>
      </w:r>
      <w:r w:rsidR="00466D3E">
        <w:rPr>
          <w:rFonts w:cs="Arial"/>
          <w:bCs/>
          <w:szCs w:val="22"/>
        </w:rPr>
        <w:t xml:space="preserve"> </w:t>
      </w:r>
      <w:r w:rsidR="00272AB0">
        <w:rPr>
          <w:rFonts w:cs="Arial"/>
          <w:bCs/>
          <w:szCs w:val="22"/>
        </w:rPr>
        <w:t xml:space="preserve">Whether </w:t>
      </w:r>
      <w:r w:rsidR="002503D9">
        <w:rPr>
          <w:rFonts w:cs="Arial"/>
          <w:bCs/>
          <w:szCs w:val="22"/>
        </w:rPr>
        <w:t xml:space="preserve">the respondent </w:t>
      </w:r>
      <w:r w:rsidR="00272AB0">
        <w:rPr>
          <w:rFonts w:cs="Arial"/>
          <w:bCs/>
          <w:szCs w:val="22"/>
        </w:rPr>
        <w:t xml:space="preserve">rents from her parents or from a </w:t>
      </w:r>
      <w:proofErr w:type="gramStart"/>
      <w:r w:rsidR="00272AB0">
        <w:rPr>
          <w:rFonts w:cs="Arial"/>
          <w:bCs/>
          <w:szCs w:val="22"/>
        </w:rPr>
        <w:t>third party</w:t>
      </w:r>
      <w:proofErr w:type="gramEnd"/>
      <w:r w:rsidR="00272AB0">
        <w:rPr>
          <w:rFonts w:cs="Arial"/>
          <w:bCs/>
          <w:szCs w:val="22"/>
        </w:rPr>
        <w:t xml:space="preserve"> landlord is irrelevant to the question </w:t>
      </w:r>
      <w:r w:rsidR="00EC080A">
        <w:rPr>
          <w:rFonts w:cs="Arial"/>
          <w:bCs/>
          <w:szCs w:val="22"/>
        </w:rPr>
        <w:t>of living expenses as any agreement with her parents for accommodation is a matter between her and her parents. The order</w:t>
      </w:r>
      <w:r w:rsidR="00F952AE">
        <w:rPr>
          <w:rFonts w:cs="Arial"/>
          <w:bCs/>
          <w:szCs w:val="22"/>
        </w:rPr>
        <w:t xml:space="preserve"> I make</w:t>
      </w:r>
      <w:r w:rsidR="00EC080A">
        <w:rPr>
          <w:rFonts w:cs="Arial"/>
          <w:bCs/>
          <w:szCs w:val="22"/>
        </w:rPr>
        <w:t xml:space="preserve"> will therefore not be conditional on her finding alternative accommodation</w:t>
      </w:r>
      <w:r w:rsidR="00114FD8">
        <w:rPr>
          <w:rFonts w:cs="Arial"/>
          <w:bCs/>
          <w:szCs w:val="22"/>
        </w:rPr>
        <w:t xml:space="preserve"> – it is not for the court to tell her where to live.</w:t>
      </w:r>
    </w:p>
    <w:p w14:paraId="4192D7E2" w14:textId="5152515C" w:rsidR="00EC080A" w:rsidRDefault="00681FE9" w:rsidP="00681FE9">
      <w:pPr>
        <w:widowControl w:val="0"/>
        <w:tabs>
          <w:tab w:val="left" w:pos="567"/>
        </w:tabs>
        <w:spacing w:before="480" w:after="480" w:line="480" w:lineRule="auto"/>
        <w:jc w:val="both"/>
        <w:rPr>
          <w:rFonts w:cs="Arial"/>
          <w:bCs/>
          <w:szCs w:val="22"/>
        </w:rPr>
      </w:pPr>
      <w:r>
        <w:rPr>
          <w:rFonts w:cs="Arial"/>
          <w:bCs/>
          <w:szCs w:val="22"/>
        </w:rPr>
        <w:t>[31]</w:t>
      </w:r>
      <w:r>
        <w:rPr>
          <w:rFonts w:cs="Arial"/>
          <w:bCs/>
          <w:szCs w:val="22"/>
        </w:rPr>
        <w:tab/>
      </w:r>
      <w:r w:rsidR="00EC080A">
        <w:rPr>
          <w:rFonts w:cs="Arial"/>
          <w:bCs/>
          <w:szCs w:val="22"/>
        </w:rPr>
        <w:t xml:space="preserve">The respondent’s claim for </w:t>
      </w:r>
      <w:r w:rsidR="002503D9">
        <w:rPr>
          <w:rFonts w:cs="Arial"/>
          <w:bCs/>
          <w:szCs w:val="22"/>
        </w:rPr>
        <w:t xml:space="preserve">monthly </w:t>
      </w:r>
      <w:r w:rsidR="00EC080A">
        <w:rPr>
          <w:rFonts w:cs="Arial"/>
          <w:bCs/>
          <w:szCs w:val="22"/>
        </w:rPr>
        <w:t>maintenance of R90 000 is not supported by the evidence</w:t>
      </w:r>
      <w:r w:rsidR="00114FD8">
        <w:rPr>
          <w:rFonts w:cs="Arial"/>
          <w:bCs/>
          <w:szCs w:val="22"/>
        </w:rPr>
        <w:t xml:space="preserve"> she presents</w:t>
      </w:r>
      <w:r w:rsidR="00EC080A">
        <w:rPr>
          <w:rFonts w:cs="Arial"/>
          <w:bCs/>
          <w:szCs w:val="22"/>
        </w:rPr>
        <w:t xml:space="preserve">. </w:t>
      </w:r>
    </w:p>
    <w:p w14:paraId="5E862522" w14:textId="77777777" w:rsidR="00EC080A" w:rsidRDefault="00EC080A" w:rsidP="00EF264D">
      <w:pPr>
        <w:widowControl w:val="0"/>
        <w:spacing w:before="480" w:after="480" w:line="480" w:lineRule="auto"/>
        <w:jc w:val="both"/>
        <w:rPr>
          <w:rFonts w:cs="Arial"/>
          <w:bCs/>
          <w:szCs w:val="22"/>
          <w:u w:val="single"/>
        </w:rPr>
      </w:pPr>
    </w:p>
    <w:p w14:paraId="443F5152" w14:textId="7912BA68" w:rsidR="00EF264D" w:rsidRPr="00EF264D" w:rsidRDefault="00EF264D" w:rsidP="00EC080A">
      <w:pPr>
        <w:keepNext/>
        <w:widowControl w:val="0"/>
        <w:spacing w:before="480" w:after="480" w:line="480" w:lineRule="auto"/>
        <w:jc w:val="both"/>
        <w:rPr>
          <w:rFonts w:cs="Arial"/>
          <w:bCs/>
          <w:szCs w:val="22"/>
          <w:u w:val="single"/>
        </w:rPr>
      </w:pPr>
      <w:r w:rsidRPr="00EF264D">
        <w:rPr>
          <w:rFonts w:cs="Arial"/>
          <w:bCs/>
          <w:szCs w:val="22"/>
          <w:u w:val="single"/>
        </w:rPr>
        <w:t>Cost of parenting co-ordinator</w:t>
      </w:r>
    </w:p>
    <w:p w14:paraId="70C4708E" w14:textId="445D7B5C" w:rsidR="00C36F8A" w:rsidRDefault="00681FE9" w:rsidP="00681FE9">
      <w:pPr>
        <w:keepNext/>
        <w:widowControl w:val="0"/>
        <w:tabs>
          <w:tab w:val="left" w:pos="567"/>
        </w:tabs>
        <w:spacing w:before="480" w:after="480" w:line="480" w:lineRule="auto"/>
        <w:jc w:val="both"/>
        <w:rPr>
          <w:rFonts w:cs="Arial"/>
          <w:bCs/>
          <w:szCs w:val="22"/>
        </w:rPr>
      </w:pPr>
      <w:r>
        <w:rPr>
          <w:rFonts w:cs="Arial"/>
          <w:bCs/>
          <w:szCs w:val="22"/>
        </w:rPr>
        <w:t>[32]</w:t>
      </w:r>
      <w:r>
        <w:rPr>
          <w:rFonts w:cs="Arial"/>
          <w:bCs/>
          <w:szCs w:val="22"/>
        </w:rPr>
        <w:tab/>
      </w:r>
      <w:r w:rsidR="00EF264D">
        <w:rPr>
          <w:rFonts w:cs="Arial"/>
          <w:bCs/>
          <w:szCs w:val="22"/>
        </w:rPr>
        <w:t>The applicant tenders to pay 75% of the costs. His view is that if the respondent paid nothing, th</w:t>
      </w:r>
      <w:r w:rsidR="00E110E5">
        <w:rPr>
          <w:rFonts w:cs="Arial"/>
          <w:bCs/>
          <w:szCs w:val="22"/>
        </w:rPr>
        <w:t>e services might be abused even if unintentionally.</w:t>
      </w:r>
      <w:r w:rsidR="00EF264D">
        <w:rPr>
          <w:rFonts w:cs="Arial"/>
          <w:bCs/>
          <w:szCs w:val="22"/>
        </w:rPr>
        <w:t xml:space="preserve"> There is logic in this </w:t>
      </w:r>
      <w:r w:rsidR="00EF264D">
        <w:rPr>
          <w:rFonts w:cs="Arial"/>
          <w:bCs/>
          <w:szCs w:val="22"/>
        </w:rPr>
        <w:lastRenderedPageBreak/>
        <w:t>argument.</w:t>
      </w:r>
    </w:p>
    <w:p w14:paraId="67647083" w14:textId="77777777" w:rsidR="00CD6984" w:rsidRDefault="00CD6984" w:rsidP="00BE09F1">
      <w:pPr>
        <w:widowControl w:val="0"/>
        <w:spacing w:before="480" w:after="480" w:line="480" w:lineRule="auto"/>
        <w:jc w:val="both"/>
        <w:rPr>
          <w:rFonts w:cs="Arial"/>
          <w:bCs/>
          <w:szCs w:val="22"/>
          <w:u w:val="single"/>
        </w:rPr>
      </w:pPr>
    </w:p>
    <w:p w14:paraId="007BE176" w14:textId="443604D6" w:rsidR="00C36F8A" w:rsidRPr="00BE09F1" w:rsidRDefault="00BE09F1" w:rsidP="00CD6984">
      <w:pPr>
        <w:keepNext/>
        <w:widowControl w:val="0"/>
        <w:spacing w:before="480" w:after="480" w:line="480" w:lineRule="auto"/>
        <w:jc w:val="both"/>
        <w:rPr>
          <w:rFonts w:cs="Arial"/>
          <w:bCs/>
          <w:szCs w:val="22"/>
          <w:u w:val="single"/>
        </w:rPr>
      </w:pPr>
      <w:r w:rsidRPr="00BE09F1">
        <w:rPr>
          <w:rFonts w:cs="Arial"/>
          <w:bCs/>
          <w:szCs w:val="22"/>
          <w:u w:val="single"/>
        </w:rPr>
        <w:t>Powers of parenting co-ordinator</w:t>
      </w:r>
    </w:p>
    <w:p w14:paraId="360AE272" w14:textId="0D63AFD7" w:rsidR="00BE09F1" w:rsidRDefault="00681FE9" w:rsidP="00681FE9">
      <w:pPr>
        <w:keepNext/>
        <w:widowControl w:val="0"/>
        <w:tabs>
          <w:tab w:val="left" w:pos="567"/>
        </w:tabs>
        <w:spacing w:before="480" w:after="480" w:line="480" w:lineRule="auto"/>
        <w:jc w:val="both"/>
        <w:rPr>
          <w:rFonts w:cs="Arial"/>
          <w:bCs/>
          <w:szCs w:val="22"/>
        </w:rPr>
      </w:pPr>
      <w:r>
        <w:rPr>
          <w:rFonts w:cs="Arial"/>
          <w:bCs/>
          <w:szCs w:val="22"/>
        </w:rPr>
        <w:t>[33]</w:t>
      </w:r>
      <w:r>
        <w:rPr>
          <w:rFonts w:cs="Arial"/>
          <w:bCs/>
          <w:szCs w:val="22"/>
        </w:rPr>
        <w:tab/>
      </w:r>
      <w:r w:rsidR="00BE09F1">
        <w:rPr>
          <w:rFonts w:cs="Arial"/>
          <w:bCs/>
          <w:szCs w:val="22"/>
        </w:rPr>
        <w:t>The applicant seeks an order that the parenting co-ordinator shall have the power to monitor the impact of any material change of circumstances that may affect the minor child and provide recommendations</w:t>
      </w:r>
      <w:r w:rsidR="00C36F8A">
        <w:rPr>
          <w:rFonts w:cs="Arial"/>
          <w:bCs/>
          <w:szCs w:val="22"/>
        </w:rPr>
        <w:t>.</w:t>
      </w:r>
      <w:r w:rsidR="00BE09F1">
        <w:rPr>
          <w:rFonts w:cs="Arial"/>
          <w:bCs/>
          <w:szCs w:val="22"/>
        </w:rPr>
        <w:t xml:space="preserve"> One such possible change of circumstances is the respondent’s intention to move into her own dwelling. </w:t>
      </w:r>
    </w:p>
    <w:p w14:paraId="0AE64AEE" w14:textId="36C70DA8" w:rsidR="00A04C97" w:rsidRDefault="00681FE9" w:rsidP="00681FE9">
      <w:pPr>
        <w:widowControl w:val="0"/>
        <w:tabs>
          <w:tab w:val="left" w:pos="567"/>
        </w:tabs>
        <w:spacing w:before="480" w:after="480" w:line="480" w:lineRule="auto"/>
        <w:jc w:val="both"/>
        <w:rPr>
          <w:rFonts w:cs="Arial"/>
          <w:bCs/>
          <w:szCs w:val="22"/>
        </w:rPr>
      </w:pPr>
      <w:r>
        <w:rPr>
          <w:rFonts w:cs="Arial"/>
          <w:bCs/>
          <w:szCs w:val="22"/>
        </w:rPr>
        <w:t>[34]</w:t>
      </w:r>
      <w:r>
        <w:rPr>
          <w:rFonts w:cs="Arial"/>
          <w:bCs/>
          <w:szCs w:val="22"/>
        </w:rPr>
        <w:tab/>
      </w:r>
      <w:r w:rsidR="00BE09F1">
        <w:rPr>
          <w:rFonts w:cs="Arial"/>
          <w:bCs/>
          <w:szCs w:val="22"/>
        </w:rPr>
        <w:t xml:space="preserve">The child is four years old. He is undergoing the trauma of a divorce. These are difficult times for </w:t>
      </w:r>
      <w:proofErr w:type="gramStart"/>
      <w:r w:rsidR="00BE09F1">
        <w:rPr>
          <w:rFonts w:cs="Arial"/>
          <w:bCs/>
          <w:szCs w:val="22"/>
        </w:rPr>
        <w:t>him</w:t>
      </w:r>
      <w:proofErr w:type="gramEnd"/>
      <w:r w:rsidR="00BE09F1">
        <w:rPr>
          <w:rFonts w:cs="Arial"/>
          <w:bCs/>
          <w:szCs w:val="22"/>
        </w:rPr>
        <w:t xml:space="preserve"> and he needs all the assistance the legal process can give him.</w:t>
      </w:r>
      <w:r w:rsidR="00F414E9" w:rsidRPr="00F414E9">
        <w:t xml:space="preserve"> </w:t>
      </w:r>
      <w:r w:rsidR="00F414E9">
        <w:t>A child's best interests are of paramount importance in every matter concerning the child.</w:t>
      </w:r>
      <w:r w:rsidR="00F414E9">
        <w:rPr>
          <w:rStyle w:val="FootnoteReference"/>
        </w:rPr>
        <w:footnoteReference w:id="8"/>
      </w:r>
      <w:r w:rsidR="00BE09F1">
        <w:rPr>
          <w:rFonts w:cs="Arial"/>
          <w:bCs/>
          <w:szCs w:val="22"/>
        </w:rPr>
        <w:t xml:space="preserve"> It is in his best interests that </w:t>
      </w:r>
      <w:r w:rsidR="00ED5F4D">
        <w:rPr>
          <w:rFonts w:cs="Arial"/>
          <w:bCs/>
          <w:szCs w:val="22"/>
        </w:rPr>
        <w:t>the impact of material changes in his environment</w:t>
      </w:r>
      <w:r w:rsidR="00BE09F1">
        <w:rPr>
          <w:rFonts w:cs="Arial"/>
          <w:bCs/>
          <w:szCs w:val="22"/>
        </w:rPr>
        <w:t xml:space="preserve"> be </w:t>
      </w:r>
      <w:r w:rsidR="00ED5F4D">
        <w:rPr>
          <w:rFonts w:cs="Arial"/>
          <w:bCs/>
          <w:szCs w:val="22"/>
        </w:rPr>
        <w:t>monitored so that response</w:t>
      </w:r>
      <w:r w:rsidR="006F6A4D">
        <w:rPr>
          <w:rFonts w:cs="Arial"/>
          <w:bCs/>
          <w:szCs w:val="22"/>
        </w:rPr>
        <w:t>s can be implemented pro-actively by the parents</w:t>
      </w:r>
      <w:r w:rsidR="00BE09F1">
        <w:rPr>
          <w:rFonts w:cs="Arial"/>
          <w:bCs/>
          <w:szCs w:val="22"/>
        </w:rPr>
        <w:t>.</w:t>
      </w:r>
    </w:p>
    <w:p w14:paraId="16352936" w14:textId="77777777" w:rsidR="00CD6984" w:rsidRDefault="00CD6984" w:rsidP="00A04C97">
      <w:pPr>
        <w:widowControl w:val="0"/>
        <w:jc w:val="both"/>
        <w:rPr>
          <w:rFonts w:cs="Arial"/>
          <w:bCs/>
          <w:szCs w:val="22"/>
          <w:u w:val="single"/>
        </w:rPr>
      </w:pPr>
    </w:p>
    <w:p w14:paraId="6841520E" w14:textId="222F935D" w:rsidR="00A04C97" w:rsidRDefault="00A04C97" w:rsidP="00A04C97">
      <w:pPr>
        <w:widowControl w:val="0"/>
        <w:jc w:val="both"/>
        <w:rPr>
          <w:rFonts w:cs="Arial"/>
          <w:bCs/>
          <w:szCs w:val="22"/>
          <w:u w:val="single"/>
        </w:rPr>
      </w:pPr>
      <w:r w:rsidRPr="00A04C97">
        <w:rPr>
          <w:rFonts w:cs="Arial"/>
          <w:bCs/>
          <w:szCs w:val="22"/>
          <w:u w:val="single"/>
        </w:rPr>
        <w:t>Costs:</w:t>
      </w:r>
    </w:p>
    <w:p w14:paraId="4437513F" w14:textId="0A042F8B" w:rsidR="00A04C97" w:rsidRPr="00A04C97" w:rsidRDefault="00A04C97" w:rsidP="00A04C97">
      <w:pPr>
        <w:widowControl w:val="0"/>
        <w:jc w:val="both"/>
        <w:rPr>
          <w:rFonts w:cs="Arial"/>
          <w:bCs/>
          <w:szCs w:val="22"/>
          <w:u w:val="single"/>
        </w:rPr>
      </w:pPr>
      <w:r>
        <w:rPr>
          <w:rFonts w:cs="Arial"/>
          <w:bCs/>
          <w:szCs w:val="22"/>
          <w:u w:val="single"/>
        </w:rPr>
        <w:t>The wasted costs of 25 July 2022</w:t>
      </w:r>
    </w:p>
    <w:p w14:paraId="746FBB6F" w14:textId="201829C0" w:rsidR="00A04C97" w:rsidRDefault="00681FE9" w:rsidP="00681FE9">
      <w:pPr>
        <w:widowControl w:val="0"/>
        <w:tabs>
          <w:tab w:val="left" w:pos="567"/>
        </w:tabs>
        <w:spacing w:before="480" w:after="480" w:line="480" w:lineRule="auto"/>
        <w:jc w:val="both"/>
        <w:rPr>
          <w:rFonts w:cs="Arial"/>
          <w:bCs/>
          <w:szCs w:val="22"/>
        </w:rPr>
      </w:pPr>
      <w:r>
        <w:rPr>
          <w:rFonts w:cs="Arial"/>
          <w:bCs/>
          <w:szCs w:val="22"/>
        </w:rPr>
        <w:t>[35]</w:t>
      </w:r>
      <w:r>
        <w:rPr>
          <w:rFonts w:cs="Arial"/>
          <w:bCs/>
          <w:szCs w:val="22"/>
        </w:rPr>
        <w:tab/>
      </w:r>
      <w:r w:rsidR="00A04C97">
        <w:rPr>
          <w:rFonts w:cs="Arial"/>
          <w:bCs/>
          <w:szCs w:val="22"/>
        </w:rPr>
        <w:t>The applicant’s applica</w:t>
      </w:r>
      <w:r w:rsidR="00CD6984">
        <w:rPr>
          <w:rFonts w:cs="Arial"/>
          <w:bCs/>
          <w:szCs w:val="22"/>
        </w:rPr>
        <w:t>tion</w:t>
      </w:r>
      <w:r w:rsidR="00A04C97">
        <w:rPr>
          <w:rFonts w:cs="Arial"/>
          <w:bCs/>
          <w:szCs w:val="22"/>
        </w:rPr>
        <w:t xml:space="preserve"> was premised on </w:t>
      </w:r>
      <w:r w:rsidR="009A38FB">
        <w:rPr>
          <w:rFonts w:cs="Arial"/>
          <w:bCs/>
          <w:szCs w:val="22"/>
        </w:rPr>
        <w:t xml:space="preserve">the contents of the report of Dr </w:t>
      </w:r>
      <w:proofErr w:type="spellStart"/>
      <w:r w:rsidR="009A38FB">
        <w:rPr>
          <w:rFonts w:cs="Arial"/>
          <w:bCs/>
          <w:szCs w:val="22"/>
        </w:rPr>
        <w:t>Duchen</w:t>
      </w:r>
      <w:proofErr w:type="spellEnd"/>
      <w:r w:rsidR="009A38FB">
        <w:rPr>
          <w:rFonts w:cs="Arial"/>
          <w:bCs/>
          <w:szCs w:val="22"/>
        </w:rPr>
        <w:t xml:space="preserve"> that recommended shared residence. The applicant was entitled to invoke Rule 43(6) because the recommendations by the expert differed substantially from the existing order that did not provide for shared residence.</w:t>
      </w:r>
    </w:p>
    <w:p w14:paraId="18B51F5B" w14:textId="1E3CDDDD" w:rsidR="009A38FB" w:rsidRDefault="00681FE9" w:rsidP="00681FE9">
      <w:pPr>
        <w:widowControl w:val="0"/>
        <w:tabs>
          <w:tab w:val="left" w:pos="567"/>
        </w:tabs>
        <w:spacing w:before="480" w:after="480" w:line="480" w:lineRule="auto"/>
        <w:jc w:val="both"/>
        <w:rPr>
          <w:rFonts w:cs="Arial"/>
          <w:bCs/>
          <w:szCs w:val="22"/>
        </w:rPr>
      </w:pPr>
      <w:r>
        <w:rPr>
          <w:rFonts w:cs="Arial"/>
          <w:bCs/>
          <w:szCs w:val="22"/>
        </w:rPr>
        <w:t>[36]</w:t>
      </w:r>
      <w:r>
        <w:rPr>
          <w:rFonts w:cs="Arial"/>
          <w:bCs/>
          <w:szCs w:val="22"/>
        </w:rPr>
        <w:tab/>
      </w:r>
      <w:r w:rsidR="009A38FB">
        <w:rPr>
          <w:rFonts w:cs="Arial"/>
          <w:bCs/>
          <w:szCs w:val="22"/>
        </w:rPr>
        <w:t xml:space="preserve">Dr </w:t>
      </w:r>
      <w:proofErr w:type="spellStart"/>
      <w:r w:rsidR="009A38FB">
        <w:rPr>
          <w:rFonts w:cs="Arial"/>
          <w:bCs/>
          <w:szCs w:val="22"/>
        </w:rPr>
        <w:t>Duchen</w:t>
      </w:r>
      <w:proofErr w:type="spellEnd"/>
      <w:r w:rsidR="009A38FB">
        <w:rPr>
          <w:rFonts w:cs="Arial"/>
          <w:bCs/>
          <w:szCs w:val="22"/>
        </w:rPr>
        <w:t xml:space="preserve"> was a court-appointed </w:t>
      </w:r>
      <w:proofErr w:type="gramStart"/>
      <w:r w:rsidR="009A38FB">
        <w:rPr>
          <w:rFonts w:cs="Arial"/>
          <w:bCs/>
          <w:szCs w:val="22"/>
        </w:rPr>
        <w:t>expert</w:t>
      </w:r>
      <w:proofErr w:type="gramEnd"/>
      <w:r w:rsidR="009A38FB">
        <w:rPr>
          <w:rFonts w:cs="Arial"/>
          <w:bCs/>
          <w:szCs w:val="22"/>
        </w:rPr>
        <w:t xml:space="preserve"> and the respondent initially rejected the findings, persisted with her opposition to shared residence, and appointed her own </w:t>
      </w:r>
      <w:r w:rsidR="009A38FB">
        <w:rPr>
          <w:rFonts w:cs="Arial"/>
          <w:bCs/>
          <w:szCs w:val="22"/>
        </w:rPr>
        <w:lastRenderedPageBreak/>
        <w:t xml:space="preserve">expert, Dr </w:t>
      </w:r>
      <w:proofErr w:type="spellStart"/>
      <w:r w:rsidR="009A38FB">
        <w:rPr>
          <w:rFonts w:cs="Arial"/>
          <w:bCs/>
          <w:szCs w:val="22"/>
        </w:rPr>
        <w:t>Strous</w:t>
      </w:r>
      <w:proofErr w:type="spellEnd"/>
      <w:r w:rsidR="009A38FB">
        <w:rPr>
          <w:rFonts w:cs="Arial"/>
          <w:bCs/>
          <w:szCs w:val="22"/>
        </w:rPr>
        <w:t xml:space="preserve">. </w:t>
      </w:r>
    </w:p>
    <w:p w14:paraId="00F30D33" w14:textId="7647094E" w:rsidR="009A38FB" w:rsidRDefault="00681FE9" w:rsidP="00681FE9">
      <w:pPr>
        <w:widowControl w:val="0"/>
        <w:tabs>
          <w:tab w:val="left" w:pos="567"/>
        </w:tabs>
        <w:spacing w:before="480" w:after="480" w:line="480" w:lineRule="auto"/>
        <w:jc w:val="both"/>
        <w:rPr>
          <w:rFonts w:cs="Arial"/>
          <w:bCs/>
          <w:szCs w:val="22"/>
        </w:rPr>
      </w:pPr>
      <w:r>
        <w:rPr>
          <w:rFonts w:cs="Arial"/>
          <w:bCs/>
          <w:szCs w:val="22"/>
        </w:rPr>
        <w:t>[37]</w:t>
      </w:r>
      <w:r>
        <w:rPr>
          <w:rFonts w:cs="Arial"/>
          <w:bCs/>
          <w:szCs w:val="22"/>
        </w:rPr>
        <w:tab/>
      </w:r>
      <w:r w:rsidR="009A38FB">
        <w:rPr>
          <w:rFonts w:cs="Arial"/>
          <w:bCs/>
          <w:szCs w:val="22"/>
        </w:rPr>
        <w:t xml:space="preserve">When Dr </w:t>
      </w:r>
      <w:proofErr w:type="spellStart"/>
      <w:r w:rsidR="009A38FB">
        <w:rPr>
          <w:rFonts w:cs="Arial"/>
          <w:bCs/>
          <w:szCs w:val="22"/>
        </w:rPr>
        <w:t>Strous</w:t>
      </w:r>
      <w:proofErr w:type="spellEnd"/>
      <w:r w:rsidR="009A38FB">
        <w:rPr>
          <w:rFonts w:cs="Arial"/>
          <w:bCs/>
          <w:szCs w:val="22"/>
        </w:rPr>
        <w:t xml:space="preserve"> published a report that also favoured shared residence, the respondent filed a further affidavit two days before the date set down for the hearing. The respondent had to accept that the two experts were largely </w:t>
      </w:r>
      <w:r w:rsidR="009A38FB" w:rsidRPr="009A38FB">
        <w:rPr>
          <w:rFonts w:cs="Arial"/>
          <w:bCs/>
          <w:i/>
          <w:iCs/>
          <w:szCs w:val="22"/>
        </w:rPr>
        <w:t>ad idem</w:t>
      </w:r>
      <w:r w:rsidR="009A38FB">
        <w:rPr>
          <w:rFonts w:cs="Arial"/>
          <w:bCs/>
          <w:i/>
          <w:iCs/>
          <w:szCs w:val="22"/>
        </w:rPr>
        <w:t xml:space="preserve"> </w:t>
      </w:r>
      <w:r w:rsidR="009A38FB">
        <w:rPr>
          <w:rFonts w:cs="Arial"/>
          <w:bCs/>
          <w:szCs w:val="22"/>
        </w:rPr>
        <w:t>and agreement was reached</w:t>
      </w:r>
      <w:r w:rsidR="00EF74A9">
        <w:rPr>
          <w:rFonts w:cs="Arial"/>
          <w:bCs/>
          <w:szCs w:val="22"/>
        </w:rPr>
        <w:t xml:space="preserve"> </w:t>
      </w:r>
      <w:proofErr w:type="gramStart"/>
      <w:r w:rsidR="00EF74A9">
        <w:rPr>
          <w:rFonts w:cs="Arial"/>
          <w:bCs/>
          <w:szCs w:val="22"/>
        </w:rPr>
        <w:t>on the basis of</w:t>
      </w:r>
      <w:proofErr w:type="gramEnd"/>
      <w:r w:rsidR="00EF74A9">
        <w:rPr>
          <w:rFonts w:cs="Arial"/>
          <w:bCs/>
          <w:szCs w:val="22"/>
        </w:rPr>
        <w:t xml:space="preserve"> the expert reports. </w:t>
      </w:r>
    </w:p>
    <w:p w14:paraId="4680700B" w14:textId="74E452BD" w:rsidR="00EF74A9" w:rsidRDefault="00681FE9" w:rsidP="00681FE9">
      <w:pPr>
        <w:widowControl w:val="0"/>
        <w:tabs>
          <w:tab w:val="left" w:pos="567"/>
        </w:tabs>
        <w:spacing w:before="480" w:after="480" w:line="480" w:lineRule="auto"/>
        <w:jc w:val="both"/>
        <w:rPr>
          <w:rFonts w:cs="Arial"/>
          <w:bCs/>
          <w:szCs w:val="22"/>
        </w:rPr>
      </w:pPr>
      <w:r>
        <w:rPr>
          <w:rFonts w:cs="Arial"/>
          <w:bCs/>
          <w:szCs w:val="22"/>
        </w:rPr>
        <w:t>[38]</w:t>
      </w:r>
      <w:r>
        <w:rPr>
          <w:rFonts w:cs="Arial"/>
          <w:bCs/>
          <w:szCs w:val="22"/>
        </w:rPr>
        <w:tab/>
      </w:r>
      <w:r w:rsidR="00EF74A9">
        <w:rPr>
          <w:rFonts w:cs="Arial"/>
          <w:bCs/>
          <w:szCs w:val="22"/>
        </w:rPr>
        <w:t>What then remained was the respondent’s newly introduced claim for maintenance in the amount of R90 000 per month</w:t>
      </w:r>
      <w:r w:rsidR="00FF2863">
        <w:rPr>
          <w:rFonts w:cs="Arial"/>
          <w:bCs/>
          <w:szCs w:val="22"/>
        </w:rPr>
        <w:t>, and the dispute about the payments due to and the powers of the family co-ordinator</w:t>
      </w:r>
      <w:r w:rsidR="001809D0">
        <w:rPr>
          <w:rFonts w:cs="Arial"/>
          <w:bCs/>
          <w:szCs w:val="22"/>
        </w:rPr>
        <w:t xml:space="preserve">. The matter was postponed </w:t>
      </w:r>
      <w:proofErr w:type="gramStart"/>
      <w:r w:rsidR="001809D0">
        <w:rPr>
          <w:rFonts w:cs="Arial"/>
          <w:bCs/>
          <w:szCs w:val="22"/>
        </w:rPr>
        <w:t>to enable</w:t>
      </w:r>
      <w:proofErr w:type="gramEnd"/>
      <w:r w:rsidR="001809D0">
        <w:rPr>
          <w:rFonts w:cs="Arial"/>
          <w:bCs/>
          <w:szCs w:val="22"/>
        </w:rPr>
        <w:t xml:space="preserve"> the parties to </w:t>
      </w:r>
      <w:r w:rsidR="007852E2">
        <w:rPr>
          <w:rFonts w:cs="Arial"/>
          <w:bCs/>
          <w:szCs w:val="22"/>
        </w:rPr>
        <w:t>deal</w:t>
      </w:r>
      <w:r w:rsidR="001809D0">
        <w:rPr>
          <w:rFonts w:cs="Arial"/>
          <w:bCs/>
          <w:szCs w:val="22"/>
        </w:rPr>
        <w:t xml:space="preserve"> with the new allegations, and the postponement was </w:t>
      </w:r>
      <w:r w:rsidR="007852E2">
        <w:rPr>
          <w:rFonts w:cs="Arial"/>
          <w:bCs/>
          <w:szCs w:val="22"/>
        </w:rPr>
        <w:t>necessitated</w:t>
      </w:r>
      <w:r w:rsidR="001809D0">
        <w:rPr>
          <w:rFonts w:cs="Arial"/>
          <w:bCs/>
          <w:szCs w:val="22"/>
        </w:rPr>
        <w:t xml:space="preserve"> </w:t>
      </w:r>
      <w:r w:rsidR="00E110E5">
        <w:rPr>
          <w:rFonts w:cs="Arial"/>
          <w:bCs/>
          <w:szCs w:val="22"/>
        </w:rPr>
        <w:t>by</w:t>
      </w:r>
      <w:r w:rsidR="001809D0">
        <w:rPr>
          <w:rFonts w:cs="Arial"/>
          <w:bCs/>
          <w:szCs w:val="22"/>
        </w:rPr>
        <w:t xml:space="preserve"> the late filing of the respondent’s affidavit a few days prior to the hearing. The respondent must be held liable for the costs of the day.</w:t>
      </w:r>
    </w:p>
    <w:p w14:paraId="4B57A48B" w14:textId="77777777" w:rsidR="00C7226B" w:rsidRDefault="00C7226B" w:rsidP="00A04C97">
      <w:pPr>
        <w:widowControl w:val="0"/>
        <w:spacing w:before="480" w:after="480" w:line="480" w:lineRule="auto"/>
        <w:jc w:val="both"/>
        <w:rPr>
          <w:rFonts w:cs="Arial"/>
          <w:bCs/>
          <w:szCs w:val="22"/>
          <w:u w:val="single"/>
        </w:rPr>
      </w:pPr>
    </w:p>
    <w:p w14:paraId="44F6C50A" w14:textId="23E961BF" w:rsidR="00A04C97" w:rsidRPr="00A04C97" w:rsidRDefault="00A04C97" w:rsidP="00A04C97">
      <w:pPr>
        <w:widowControl w:val="0"/>
        <w:spacing w:before="480" w:after="480" w:line="480" w:lineRule="auto"/>
        <w:jc w:val="both"/>
        <w:rPr>
          <w:rFonts w:cs="Arial"/>
          <w:bCs/>
          <w:szCs w:val="22"/>
          <w:u w:val="single"/>
        </w:rPr>
      </w:pPr>
      <w:r w:rsidRPr="00A04C97">
        <w:rPr>
          <w:rFonts w:cs="Arial"/>
          <w:bCs/>
          <w:szCs w:val="22"/>
          <w:u w:val="single"/>
        </w:rPr>
        <w:t>The remaining costs</w:t>
      </w:r>
    </w:p>
    <w:p w14:paraId="087F15D1" w14:textId="45B6122E" w:rsidR="00B61CD3" w:rsidRDefault="00681FE9" w:rsidP="00681FE9">
      <w:pPr>
        <w:widowControl w:val="0"/>
        <w:tabs>
          <w:tab w:val="left" w:pos="567"/>
        </w:tabs>
        <w:spacing w:before="480" w:after="480" w:line="480" w:lineRule="auto"/>
        <w:jc w:val="both"/>
        <w:rPr>
          <w:rFonts w:cs="Arial"/>
          <w:bCs/>
          <w:szCs w:val="22"/>
        </w:rPr>
      </w:pPr>
      <w:r>
        <w:rPr>
          <w:rFonts w:cs="Arial"/>
          <w:bCs/>
          <w:szCs w:val="22"/>
        </w:rPr>
        <w:t>[39]</w:t>
      </w:r>
      <w:r>
        <w:rPr>
          <w:rFonts w:cs="Arial"/>
          <w:bCs/>
          <w:szCs w:val="22"/>
        </w:rPr>
        <w:tab/>
      </w:r>
      <w:r w:rsidR="00FF2863">
        <w:rPr>
          <w:rFonts w:cs="Arial"/>
          <w:bCs/>
          <w:szCs w:val="22"/>
        </w:rPr>
        <w:t xml:space="preserve">A fundamental change in the pending dispute was introduced on 20 July 2022 when the respondent claimed monthly maintenance of R90 000 per month, an increase of </w:t>
      </w:r>
      <w:r w:rsidR="001809D0">
        <w:rPr>
          <w:rFonts w:cs="Arial"/>
          <w:bCs/>
          <w:szCs w:val="22"/>
        </w:rPr>
        <w:t>257% despite the new agreement on shared residence which meant that the child would only be in her care for half of every month, and without a material positive change in the applicant’s financial position.</w:t>
      </w:r>
    </w:p>
    <w:p w14:paraId="53A81E93" w14:textId="4A309AF9" w:rsidR="007852E2" w:rsidRDefault="00681FE9" w:rsidP="00681FE9">
      <w:pPr>
        <w:widowControl w:val="0"/>
        <w:tabs>
          <w:tab w:val="left" w:pos="567"/>
        </w:tabs>
        <w:spacing w:before="480" w:after="480" w:line="480" w:lineRule="auto"/>
        <w:jc w:val="both"/>
        <w:rPr>
          <w:rFonts w:cs="Arial"/>
          <w:bCs/>
          <w:szCs w:val="22"/>
        </w:rPr>
      </w:pPr>
      <w:r>
        <w:rPr>
          <w:rFonts w:cs="Arial"/>
          <w:bCs/>
          <w:szCs w:val="22"/>
        </w:rPr>
        <w:t>[40]</w:t>
      </w:r>
      <w:r>
        <w:rPr>
          <w:rFonts w:cs="Arial"/>
          <w:bCs/>
          <w:szCs w:val="22"/>
        </w:rPr>
        <w:tab/>
      </w:r>
      <w:r w:rsidR="001809D0">
        <w:rPr>
          <w:rFonts w:cs="Arial"/>
          <w:bCs/>
          <w:szCs w:val="22"/>
        </w:rPr>
        <w:t xml:space="preserve"> </w:t>
      </w:r>
      <w:r w:rsidR="007852E2">
        <w:rPr>
          <w:rFonts w:cs="Arial"/>
          <w:bCs/>
          <w:szCs w:val="22"/>
        </w:rPr>
        <w:t xml:space="preserve">In a further supplementary affidavit that I allow in terms of Rule 43(5), the respondent places compelling evidence before the Court indicating the applicant received bonuses that were not disclosed by him. </w:t>
      </w:r>
    </w:p>
    <w:p w14:paraId="063DDFFE" w14:textId="2D91B745" w:rsidR="00A04C97" w:rsidRDefault="00681FE9" w:rsidP="00681FE9">
      <w:pPr>
        <w:widowControl w:val="0"/>
        <w:tabs>
          <w:tab w:val="left" w:pos="567"/>
        </w:tabs>
        <w:spacing w:before="480" w:after="480" w:line="480" w:lineRule="auto"/>
        <w:jc w:val="both"/>
        <w:rPr>
          <w:rFonts w:cs="Arial"/>
          <w:bCs/>
          <w:szCs w:val="22"/>
        </w:rPr>
      </w:pPr>
      <w:r>
        <w:rPr>
          <w:rFonts w:cs="Arial"/>
          <w:bCs/>
          <w:szCs w:val="22"/>
        </w:rPr>
        <w:lastRenderedPageBreak/>
        <w:t>[41]</w:t>
      </w:r>
      <w:r>
        <w:rPr>
          <w:rFonts w:cs="Arial"/>
          <w:bCs/>
          <w:szCs w:val="22"/>
        </w:rPr>
        <w:tab/>
      </w:r>
      <w:r w:rsidR="007852E2">
        <w:rPr>
          <w:rFonts w:cs="Arial"/>
          <w:bCs/>
          <w:szCs w:val="22"/>
        </w:rPr>
        <w:t xml:space="preserve">I am </w:t>
      </w:r>
      <w:r w:rsidR="00114FD8">
        <w:rPr>
          <w:rFonts w:cs="Arial"/>
          <w:bCs/>
          <w:szCs w:val="22"/>
        </w:rPr>
        <w:t xml:space="preserve">therefore </w:t>
      </w:r>
      <w:r w:rsidR="007852E2">
        <w:rPr>
          <w:rFonts w:cs="Arial"/>
          <w:bCs/>
          <w:szCs w:val="22"/>
        </w:rPr>
        <w:t>of the view that each party should pay his or her own costs</w:t>
      </w:r>
    </w:p>
    <w:p w14:paraId="1D628C41" w14:textId="77777777" w:rsidR="00F414E9" w:rsidRDefault="00F414E9" w:rsidP="00F414E9">
      <w:pPr>
        <w:widowControl w:val="0"/>
        <w:spacing w:before="480" w:after="480" w:line="480" w:lineRule="auto"/>
        <w:jc w:val="both"/>
        <w:rPr>
          <w:rFonts w:cs="Arial"/>
          <w:bCs/>
          <w:szCs w:val="22"/>
          <w:u w:val="single"/>
        </w:rPr>
      </w:pPr>
    </w:p>
    <w:p w14:paraId="7A36F288" w14:textId="31C2E89D" w:rsidR="00F414E9" w:rsidRPr="00F414E9" w:rsidRDefault="00F414E9" w:rsidP="00F414E9">
      <w:pPr>
        <w:widowControl w:val="0"/>
        <w:spacing w:before="480" w:after="480" w:line="480" w:lineRule="auto"/>
        <w:jc w:val="both"/>
        <w:rPr>
          <w:rFonts w:cs="Arial"/>
          <w:bCs/>
          <w:szCs w:val="22"/>
          <w:u w:val="single"/>
        </w:rPr>
      </w:pPr>
      <w:r>
        <w:rPr>
          <w:rFonts w:cs="Arial"/>
          <w:bCs/>
          <w:szCs w:val="22"/>
          <w:u w:val="single"/>
        </w:rPr>
        <w:t>Conclusion</w:t>
      </w:r>
    </w:p>
    <w:p w14:paraId="6242C54A" w14:textId="21D2C30E" w:rsidR="00DB28D9" w:rsidRDefault="00681FE9" w:rsidP="00681FE9">
      <w:pPr>
        <w:widowControl w:val="0"/>
        <w:tabs>
          <w:tab w:val="left" w:pos="567"/>
        </w:tabs>
        <w:spacing w:before="480" w:after="480" w:line="480" w:lineRule="auto"/>
        <w:jc w:val="both"/>
        <w:rPr>
          <w:rFonts w:cs="Arial"/>
          <w:bCs/>
          <w:szCs w:val="22"/>
        </w:rPr>
      </w:pPr>
      <w:r>
        <w:rPr>
          <w:rFonts w:cs="Arial"/>
          <w:bCs/>
          <w:szCs w:val="22"/>
        </w:rPr>
        <w:t>[42]</w:t>
      </w:r>
      <w:r>
        <w:rPr>
          <w:rFonts w:cs="Arial"/>
          <w:bCs/>
          <w:szCs w:val="22"/>
        </w:rPr>
        <w:tab/>
      </w:r>
      <w:r w:rsidR="00E22F10">
        <w:rPr>
          <w:rFonts w:cs="Arial"/>
          <w:bCs/>
          <w:szCs w:val="22"/>
        </w:rPr>
        <w:t>For these reasons I ma</w:t>
      </w:r>
      <w:r w:rsidR="00D72C02">
        <w:rPr>
          <w:rFonts w:cs="Arial"/>
          <w:bCs/>
          <w:szCs w:val="22"/>
        </w:rPr>
        <w:t>d</w:t>
      </w:r>
      <w:r w:rsidR="00E22F10">
        <w:rPr>
          <w:rFonts w:cs="Arial"/>
          <w:bCs/>
          <w:szCs w:val="22"/>
        </w:rPr>
        <w:t>e the order in paragraph 1</w:t>
      </w:r>
      <w:r w:rsidR="006A7320">
        <w:rPr>
          <w:rFonts w:cs="Arial"/>
          <w:bCs/>
          <w:szCs w:val="22"/>
        </w:rPr>
        <w:t>.</w:t>
      </w:r>
    </w:p>
    <w:p w14:paraId="3E6BA7DA" w14:textId="43133B0D" w:rsidR="00AE287F" w:rsidRPr="00E73772" w:rsidRDefault="00AE287F" w:rsidP="006C43D7">
      <w:pPr>
        <w:tabs>
          <w:tab w:val="right" w:pos="0"/>
        </w:tabs>
        <w:spacing w:line="360" w:lineRule="auto"/>
        <w:contextualSpacing/>
        <w:jc w:val="right"/>
        <w:rPr>
          <w:rFonts w:cs="Arial"/>
          <w:b/>
          <w:szCs w:val="22"/>
        </w:rPr>
      </w:pPr>
    </w:p>
    <w:p w14:paraId="0CCB9BFE" w14:textId="7ABE564D" w:rsidR="006C43D7" w:rsidRPr="00E73772" w:rsidRDefault="00C676F3" w:rsidP="006C43D7">
      <w:pPr>
        <w:tabs>
          <w:tab w:val="right" w:pos="0"/>
        </w:tabs>
        <w:spacing w:line="360" w:lineRule="auto"/>
        <w:contextualSpacing/>
        <w:jc w:val="right"/>
        <w:rPr>
          <w:rFonts w:cs="Arial"/>
          <w:b/>
          <w:szCs w:val="22"/>
        </w:rPr>
      </w:pPr>
      <w:r w:rsidRPr="00E73772">
        <w:rPr>
          <w:rFonts w:cs="Arial"/>
          <w:b/>
          <w:szCs w:val="22"/>
        </w:rPr>
        <w:t>J MOORCROFT</w:t>
      </w:r>
    </w:p>
    <w:p w14:paraId="7A2C1059" w14:textId="77777777" w:rsidR="006C43D7" w:rsidRPr="00E73772" w:rsidRDefault="006C43D7" w:rsidP="006C43D7">
      <w:pPr>
        <w:tabs>
          <w:tab w:val="right" w:pos="0"/>
        </w:tabs>
        <w:spacing w:line="360" w:lineRule="auto"/>
        <w:contextualSpacing/>
        <w:jc w:val="right"/>
        <w:rPr>
          <w:rFonts w:cs="Arial"/>
          <w:b/>
          <w:szCs w:val="22"/>
        </w:rPr>
      </w:pPr>
      <w:r w:rsidRPr="00E73772">
        <w:rPr>
          <w:rFonts w:cs="Arial"/>
          <w:b/>
          <w:szCs w:val="22"/>
        </w:rPr>
        <w:t>ACTING JUDGE OF THE HIGH COURT OF SOUTH AFRICA</w:t>
      </w:r>
    </w:p>
    <w:p w14:paraId="077C2590" w14:textId="7452355B" w:rsidR="006C43D7" w:rsidRPr="00E73772" w:rsidRDefault="006C43D7" w:rsidP="006C43D7">
      <w:pPr>
        <w:tabs>
          <w:tab w:val="right" w:pos="0"/>
          <w:tab w:val="left" w:pos="4253"/>
        </w:tabs>
        <w:spacing w:line="360" w:lineRule="auto"/>
        <w:contextualSpacing/>
        <w:jc w:val="right"/>
        <w:rPr>
          <w:rFonts w:cs="Arial"/>
          <w:b/>
          <w:szCs w:val="22"/>
        </w:rPr>
      </w:pPr>
      <w:r w:rsidRPr="00E73772">
        <w:rPr>
          <w:rFonts w:cs="Arial"/>
          <w:b/>
          <w:szCs w:val="22"/>
        </w:rPr>
        <w:t>GAUTENG DIVISION</w:t>
      </w:r>
    </w:p>
    <w:p w14:paraId="40B9C946" w14:textId="77777777" w:rsidR="006C43D7" w:rsidRPr="00E73772" w:rsidRDefault="006C43D7" w:rsidP="006C43D7">
      <w:pPr>
        <w:tabs>
          <w:tab w:val="right" w:pos="0"/>
          <w:tab w:val="left" w:pos="4253"/>
        </w:tabs>
        <w:spacing w:line="360" w:lineRule="auto"/>
        <w:contextualSpacing/>
        <w:jc w:val="right"/>
        <w:rPr>
          <w:rFonts w:cs="Arial"/>
          <w:b/>
          <w:szCs w:val="22"/>
        </w:rPr>
      </w:pPr>
      <w:r w:rsidRPr="00E73772">
        <w:rPr>
          <w:rFonts w:cs="Arial"/>
          <w:b/>
          <w:szCs w:val="22"/>
        </w:rPr>
        <w:t>JOHANNESBURG</w:t>
      </w:r>
    </w:p>
    <w:p w14:paraId="326B529B" w14:textId="77777777" w:rsidR="006C43D7" w:rsidRPr="00E73772" w:rsidRDefault="006C43D7" w:rsidP="006C43D7">
      <w:pPr>
        <w:tabs>
          <w:tab w:val="right" w:pos="0"/>
          <w:tab w:val="left" w:pos="4253"/>
        </w:tabs>
        <w:spacing w:line="360" w:lineRule="auto"/>
        <w:contextualSpacing/>
        <w:jc w:val="center"/>
        <w:rPr>
          <w:rFonts w:cs="Arial"/>
          <w:b/>
          <w:szCs w:val="22"/>
        </w:rPr>
      </w:pPr>
    </w:p>
    <w:p w14:paraId="5A4CC56C" w14:textId="051C4E22" w:rsidR="006C43D7" w:rsidRPr="00E73772" w:rsidRDefault="006C43D7" w:rsidP="006C43D7">
      <w:pPr>
        <w:spacing w:after="200" w:line="480" w:lineRule="auto"/>
        <w:contextualSpacing/>
        <w:jc w:val="right"/>
        <w:rPr>
          <w:rFonts w:cs="Arial"/>
          <w:b/>
          <w:i/>
          <w:iCs/>
          <w:szCs w:val="22"/>
        </w:rPr>
      </w:pPr>
      <w:r w:rsidRPr="00E73772">
        <w:rPr>
          <w:rFonts w:cs="Arial"/>
          <w:b/>
          <w:i/>
          <w:iCs/>
          <w:szCs w:val="22"/>
        </w:rPr>
        <w:t>Electronically submitted</w:t>
      </w:r>
    </w:p>
    <w:p w14:paraId="4E3E9427" w14:textId="77777777" w:rsidR="006C43D7" w:rsidRPr="00E73772" w:rsidRDefault="006C43D7" w:rsidP="006C43D7">
      <w:pPr>
        <w:spacing w:after="200" w:line="360" w:lineRule="auto"/>
        <w:contextualSpacing/>
        <w:jc w:val="both"/>
        <w:rPr>
          <w:rFonts w:eastAsia="Arial Unicode MS" w:cs="Arial"/>
          <w:bCs/>
          <w:szCs w:val="22"/>
        </w:rPr>
      </w:pPr>
    </w:p>
    <w:p w14:paraId="51C686CA" w14:textId="31E8F23C" w:rsidR="006C43D7" w:rsidRPr="00E73772" w:rsidRDefault="006C43D7" w:rsidP="006C43D7">
      <w:pPr>
        <w:spacing w:after="200" w:line="360" w:lineRule="auto"/>
        <w:contextualSpacing/>
        <w:jc w:val="both"/>
        <w:rPr>
          <w:rFonts w:eastAsia="Arial Unicode MS" w:cs="Arial"/>
          <w:b/>
          <w:bCs/>
          <w:szCs w:val="22"/>
        </w:rPr>
      </w:pPr>
      <w:r w:rsidRPr="00E73772">
        <w:rPr>
          <w:rFonts w:eastAsia="Arial Unicode MS" w:cs="Arial"/>
          <w:bCs/>
          <w:szCs w:val="22"/>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E73772">
        <w:rPr>
          <w:rFonts w:eastAsia="Arial Unicode MS" w:cs="Arial"/>
          <w:bCs/>
          <w:szCs w:val="22"/>
        </w:rPr>
        <w:t>CaseLines</w:t>
      </w:r>
      <w:proofErr w:type="spellEnd"/>
      <w:r w:rsidRPr="00E73772">
        <w:rPr>
          <w:rFonts w:eastAsia="Arial Unicode MS" w:cs="Arial"/>
          <w:bCs/>
          <w:szCs w:val="22"/>
        </w:rPr>
        <w:t>. The date of the judgment is deemed to be</w:t>
      </w:r>
      <w:r w:rsidR="00C460A0" w:rsidRPr="00E73772">
        <w:rPr>
          <w:rFonts w:eastAsia="Arial Unicode MS" w:cs="Arial"/>
          <w:bCs/>
          <w:szCs w:val="22"/>
        </w:rPr>
        <w:t xml:space="preserve"> </w:t>
      </w:r>
      <w:r w:rsidR="001A0926">
        <w:rPr>
          <w:rFonts w:eastAsia="Arial Unicode MS" w:cs="Arial"/>
          <w:b/>
          <w:bCs/>
          <w:szCs w:val="22"/>
        </w:rPr>
        <w:t>31</w:t>
      </w:r>
      <w:r w:rsidR="004802AA">
        <w:rPr>
          <w:rFonts w:eastAsia="Arial Unicode MS" w:cs="Arial"/>
          <w:b/>
          <w:bCs/>
          <w:szCs w:val="22"/>
        </w:rPr>
        <w:t xml:space="preserve"> October</w:t>
      </w:r>
      <w:r w:rsidR="00237FF9" w:rsidRPr="00E73772">
        <w:rPr>
          <w:rFonts w:eastAsia="Arial Unicode MS" w:cs="Arial"/>
          <w:b/>
          <w:bCs/>
          <w:szCs w:val="22"/>
        </w:rPr>
        <w:t xml:space="preserve"> 2022</w:t>
      </w:r>
    </w:p>
    <w:p w14:paraId="482DDF6E" w14:textId="77777777" w:rsidR="006C43D7" w:rsidRPr="00E73772" w:rsidRDefault="006C43D7" w:rsidP="006C43D7">
      <w:pPr>
        <w:tabs>
          <w:tab w:val="right" w:pos="0"/>
          <w:tab w:val="left" w:pos="4253"/>
        </w:tabs>
        <w:spacing w:line="360" w:lineRule="auto"/>
        <w:contextualSpacing/>
        <w:jc w:val="center"/>
        <w:rPr>
          <w:rFonts w:cs="Arial"/>
          <w:b/>
          <w:szCs w:val="22"/>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649"/>
      </w:tblGrid>
      <w:tr w:rsidR="009D35B5" w:rsidRPr="00E73772" w14:paraId="493AF0D7" w14:textId="77777777" w:rsidTr="00DC621D">
        <w:tc>
          <w:tcPr>
            <w:tcW w:w="3964" w:type="dxa"/>
          </w:tcPr>
          <w:p w14:paraId="6A05541A" w14:textId="21F120F9" w:rsidR="009D35B5" w:rsidRPr="00E73772" w:rsidRDefault="00B915B4" w:rsidP="006C43D7">
            <w:pPr>
              <w:tabs>
                <w:tab w:val="right" w:pos="0"/>
                <w:tab w:val="left" w:pos="4253"/>
              </w:tabs>
              <w:spacing w:line="360" w:lineRule="auto"/>
              <w:contextualSpacing/>
              <w:jc w:val="both"/>
              <w:rPr>
                <w:rFonts w:cs="Arial"/>
                <w:szCs w:val="22"/>
              </w:rPr>
            </w:pPr>
            <w:r>
              <w:rPr>
                <w:rFonts w:cs="Arial"/>
                <w:szCs w:val="22"/>
              </w:rPr>
              <w:t>COUNSEL</w:t>
            </w:r>
            <w:r w:rsidR="009D35B5" w:rsidRPr="00E73772">
              <w:rPr>
                <w:rFonts w:cs="Arial"/>
                <w:szCs w:val="22"/>
              </w:rPr>
              <w:t xml:space="preserve"> FOR THE APPLICANT:</w:t>
            </w:r>
          </w:p>
        </w:tc>
        <w:tc>
          <w:tcPr>
            <w:tcW w:w="4649" w:type="dxa"/>
          </w:tcPr>
          <w:p w14:paraId="69785AA9" w14:textId="2A7A6AFB" w:rsidR="009D35B5" w:rsidRPr="00E73772" w:rsidRDefault="00AC428A" w:rsidP="009D35B5">
            <w:pPr>
              <w:tabs>
                <w:tab w:val="right" w:pos="0"/>
                <w:tab w:val="left" w:pos="4253"/>
              </w:tabs>
              <w:spacing w:line="360" w:lineRule="auto"/>
              <w:contextualSpacing/>
              <w:jc w:val="right"/>
              <w:rPr>
                <w:rFonts w:cs="Arial"/>
                <w:szCs w:val="22"/>
              </w:rPr>
            </w:pPr>
            <w:r>
              <w:rPr>
                <w:rFonts w:cs="Arial"/>
                <w:szCs w:val="22"/>
              </w:rPr>
              <w:t>M L HASKINS SC</w:t>
            </w:r>
          </w:p>
        </w:tc>
      </w:tr>
      <w:tr w:rsidR="009D35B5" w:rsidRPr="00E73772" w14:paraId="183C176D" w14:textId="77777777" w:rsidTr="00DC621D">
        <w:tc>
          <w:tcPr>
            <w:tcW w:w="3964" w:type="dxa"/>
          </w:tcPr>
          <w:p w14:paraId="75365413" w14:textId="4D497E49"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INSTRUCTED BY:</w:t>
            </w:r>
          </w:p>
        </w:tc>
        <w:tc>
          <w:tcPr>
            <w:tcW w:w="4649" w:type="dxa"/>
          </w:tcPr>
          <w:p w14:paraId="4044534A" w14:textId="6BA9BC8B" w:rsidR="009D35B5" w:rsidRPr="00E73772" w:rsidRDefault="00AC428A" w:rsidP="009D35B5">
            <w:pPr>
              <w:tabs>
                <w:tab w:val="right" w:pos="0"/>
                <w:tab w:val="left" w:pos="4253"/>
              </w:tabs>
              <w:spacing w:line="360" w:lineRule="auto"/>
              <w:contextualSpacing/>
              <w:jc w:val="right"/>
              <w:rPr>
                <w:rFonts w:cs="Arial"/>
                <w:szCs w:val="22"/>
              </w:rPr>
            </w:pPr>
            <w:r>
              <w:rPr>
                <w:rFonts w:cs="Arial"/>
                <w:szCs w:val="22"/>
              </w:rPr>
              <w:t>DELBERG ATTORNEYS</w:t>
            </w:r>
          </w:p>
        </w:tc>
      </w:tr>
      <w:tr w:rsidR="009D35B5" w:rsidRPr="00E73772" w14:paraId="6E2BF966" w14:textId="77777777" w:rsidTr="00DC621D">
        <w:tc>
          <w:tcPr>
            <w:tcW w:w="3964" w:type="dxa"/>
          </w:tcPr>
          <w:p w14:paraId="545B6665" w14:textId="239D2CAD"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COUNSEL FOR RESPONDENT:</w:t>
            </w:r>
          </w:p>
        </w:tc>
        <w:tc>
          <w:tcPr>
            <w:tcW w:w="4649" w:type="dxa"/>
          </w:tcPr>
          <w:p w14:paraId="51741A90" w14:textId="56C87CE9" w:rsidR="009D35B5" w:rsidRPr="00E73772" w:rsidRDefault="00AC428A" w:rsidP="009D35B5">
            <w:pPr>
              <w:tabs>
                <w:tab w:val="right" w:pos="0"/>
                <w:tab w:val="left" w:pos="4253"/>
              </w:tabs>
              <w:spacing w:line="360" w:lineRule="auto"/>
              <w:contextualSpacing/>
              <w:jc w:val="right"/>
              <w:rPr>
                <w:rFonts w:cs="Arial"/>
                <w:szCs w:val="22"/>
              </w:rPr>
            </w:pPr>
            <w:r>
              <w:rPr>
                <w:rFonts w:cs="Arial"/>
                <w:szCs w:val="22"/>
              </w:rPr>
              <w:t>D BLOCK</w:t>
            </w:r>
          </w:p>
        </w:tc>
      </w:tr>
      <w:tr w:rsidR="009D35B5" w:rsidRPr="00E73772" w14:paraId="1EC4105A" w14:textId="77777777" w:rsidTr="00DC621D">
        <w:tc>
          <w:tcPr>
            <w:tcW w:w="3964" w:type="dxa"/>
          </w:tcPr>
          <w:p w14:paraId="184EC2ED" w14:textId="079A555C"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INSTRUCTED BY:</w:t>
            </w:r>
          </w:p>
        </w:tc>
        <w:tc>
          <w:tcPr>
            <w:tcW w:w="4649" w:type="dxa"/>
          </w:tcPr>
          <w:p w14:paraId="2098BE2A" w14:textId="1D6E6E55" w:rsidR="009D35B5" w:rsidRPr="00E73772" w:rsidRDefault="00AC428A" w:rsidP="009D35B5">
            <w:pPr>
              <w:tabs>
                <w:tab w:val="right" w:pos="0"/>
                <w:tab w:val="left" w:pos="4253"/>
              </w:tabs>
              <w:spacing w:line="360" w:lineRule="auto"/>
              <w:contextualSpacing/>
              <w:jc w:val="right"/>
              <w:rPr>
                <w:rFonts w:cs="Arial"/>
                <w:szCs w:val="22"/>
              </w:rPr>
            </w:pPr>
            <w:r>
              <w:rPr>
                <w:rFonts w:cs="Arial"/>
                <w:szCs w:val="22"/>
              </w:rPr>
              <w:t>KAMAL NATHA ATTORNEYS</w:t>
            </w:r>
          </w:p>
        </w:tc>
      </w:tr>
      <w:tr w:rsidR="009D35B5" w:rsidRPr="00E73772" w14:paraId="2A3FE2B1" w14:textId="77777777" w:rsidTr="00DC621D">
        <w:tc>
          <w:tcPr>
            <w:tcW w:w="3964" w:type="dxa"/>
          </w:tcPr>
          <w:p w14:paraId="0767D0FE" w14:textId="6078230F"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DATE OF THE HEARING:</w:t>
            </w:r>
          </w:p>
        </w:tc>
        <w:tc>
          <w:tcPr>
            <w:tcW w:w="4649" w:type="dxa"/>
          </w:tcPr>
          <w:p w14:paraId="34C95147" w14:textId="66E20F27" w:rsidR="009D35B5" w:rsidRPr="00E73772" w:rsidRDefault="00DB28D9" w:rsidP="009D35B5">
            <w:pPr>
              <w:tabs>
                <w:tab w:val="right" w:pos="0"/>
                <w:tab w:val="left" w:pos="4253"/>
              </w:tabs>
              <w:spacing w:line="360" w:lineRule="auto"/>
              <w:contextualSpacing/>
              <w:jc w:val="right"/>
              <w:rPr>
                <w:rFonts w:cs="Arial"/>
                <w:szCs w:val="22"/>
              </w:rPr>
            </w:pPr>
            <w:r>
              <w:rPr>
                <w:rFonts w:cs="Arial"/>
                <w:szCs w:val="22"/>
              </w:rPr>
              <w:t>1</w:t>
            </w:r>
            <w:r w:rsidR="001A0926">
              <w:rPr>
                <w:rFonts w:cs="Arial"/>
                <w:szCs w:val="22"/>
              </w:rPr>
              <w:t>9</w:t>
            </w:r>
            <w:r w:rsidR="009D35B5" w:rsidRPr="00E73772">
              <w:rPr>
                <w:rFonts w:cs="Arial"/>
                <w:szCs w:val="22"/>
              </w:rPr>
              <w:t xml:space="preserve"> October 2022</w:t>
            </w:r>
          </w:p>
        </w:tc>
      </w:tr>
      <w:tr w:rsidR="009D35B5" w:rsidRPr="00E73772" w14:paraId="2AC11E46" w14:textId="77777777" w:rsidTr="00DC621D">
        <w:tc>
          <w:tcPr>
            <w:tcW w:w="3964" w:type="dxa"/>
          </w:tcPr>
          <w:p w14:paraId="1136CEE6" w14:textId="67FA0375"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DATE OF ORDER:</w:t>
            </w:r>
          </w:p>
        </w:tc>
        <w:tc>
          <w:tcPr>
            <w:tcW w:w="4649" w:type="dxa"/>
          </w:tcPr>
          <w:p w14:paraId="7EAC157B" w14:textId="2E8C7B74" w:rsidR="009D35B5" w:rsidRPr="00E73772" w:rsidRDefault="008D5785" w:rsidP="009D35B5">
            <w:pPr>
              <w:tabs>
                <w:tab w:val="right" w:pos="0"/>
                <w:tab w:val="left" w:pos="4253"/>
              </w:tabs>
              <w:spacing w:line="360" w:lineRule="auto"/>
              <w:contextualSpacing/>
              <w:jc w:val="right"/>
              <w:rPr>
                <w:rFonts w:cs="Arial"/>
                <w:szCs w:val="22"/>
              </w:rPr>
            </w:pPr>
            <w:r>
              <w:rPr>
                <w:rFonts w:cs="Arial"/>
                <w:szCs w:val="22"/>
              </w:rPr>
              <w:t>31</w:t>
            </w:r>
            <w:r w:rsidR="004802AA">
              <w:rPr>
                <w:rFonts w:cs="Arial"/>
                <w:szCs w:val="22"/>
              </w:rPr>
              <w:t xml:space="preserve"> October 2022</w:t>
            </w:r>
          </w:p>
        </w:tc>
      </w:tr>
      <w:tr w:rsidR="009D35B5" w:rsidRPr="00E73772" w14:paraId="757AA656" w14:textId="77777777" w:rsidTr="00DC621D">
        <w:tc>
          <w:tcPr>
            <w:tcW w:w="3964" w:type="dxa"/>
          </w:tcPr>
          <w:p w14:paraId="05387251" w14:textId="5A778948"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DATE OF JUDGMENT:</w:t>
            </w:r>
          </w:p>
        </w:tc>
        <w:tc>
          <w:tcPr>
            <w:tcW w:w="4649" w:type="dxa"/>
          </w:tcPr>
          <w:p w14:paraId="61863A62" w14:textId="1108EAB9" w:rsidR="009D35B5" w:rsidRPr="00E73772" w:rsidRDefault="001A0926" w:rsidP="009D35B5">
            <w:pPr>
              <w:tabs>
                <w:tab w:val="right" w:pos="0"/>
                <w:tab w:val="left" w:pos="4253"/>
              </w:tabs>
              <w:spacing w:line="360" w:lineRule="auto"/>
              <w:contextualSpacing/>
              <w:jc w:val="right"/>
              <w:rPr>
                <w:rFonts w:cs="Arial"/>
                <w:szCs w:val="22"/>
              </w:rPr>
            </w:pPr>
            <w:r>
              <w:rPr>
                <w:rFonts w:cs="Arial"/>
                <w:szCs w:val="22"/>
              </w:rPr>
              <w:t>31</w:t>
            </w:r>
            <w:r w:rsidR="004802AA">
              <w:rPr>
                <w:rFonts w:cs="Arial"/>
                <w:szCs w:val="22"/>
              </w:rPr>
              <w:t xml:space="preserve"> October 2022</w:t>
            </w:r>
          </w:p>
        </w:tc>
      </w:tr>
    </w:tbl>
    <w:p w14:paraId="1BD8F4EB" w14:textId="24205645" w:rsidR="00A402F6" w:rsidRPr="00E73772" w:rsidRDefault="00A402F6" w:rsidP="00A402F6">
      <w:pPr>
        <w:tabs>
          <w:tab w:val="right" w:pos="8647"/>
        </w:tabs>
        <w:spacing w:line="360" w:lineRule="auto"/>
        <w:contextualSpacing/>
        <w:jc w:val="both"/>
        <w:rPr>
          <w:rFonts w:cs="Arial"/>
          <w:szCs w:val="22"/>
        </w:rPr>
      </w:pPr>
      <w:r w:rsidRPr="00E73772">
        <w:rPr>
          <w:rFonts w:cs="Arial"/>
          <w:szCs w:val="22"/>
        </w:rPr>
        <w:tab/>
      </w:r>
    </w:p>
    <w:sectPr w:rsidR="00A402F6" w:rsidRPr="00E73772"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B0C8" w14:textId="77777777" w:rsidR="00DE3D1B" w:rsidRDefault="00DE3D1B">
      <w:r>
        <w:separator/>
      </w:r>
    </w:p>
  </w:endnote>
  <w:endnote w:type="continuationSeparator" w:id="0">
    <w:p w14:paraId="18E4698A" w14:textId="77777777" w:rsidR="00DE3D1B" w:rsidRDefault="00DE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61EB" w14:textId="77777777" w:rsidR="00DE3D1B" w:rsidRDefault="00DE3D1B">
      <w:r>
        <w:separator/>
      </w:r>
    </w:p>
  </w:footnote>
  <w:footnote w:type="continuationSeparator" w:id="0">
    <w:p w14:paraId="7DC43A52" w14:textId="77777777" w:rsidR="00DE3D1B" w:rsidRDefault="00DE3D1B">
      <w:r>
        <w:continuationSeparator/>
      </w:r>
    </w:p>
  </w:footnote>
  <w:footnote w:id="1">
    <w:p w14:paraId="09888519" w14:textId="77777777" w:rsidR="005D2776" w:rsidRPr="00134A71" w:rsidRDefault="005D2776" w:rsidP="005D2776">
      <w:pPr>
        <w:pStyle w:val="FootnoteText"/>
        <w:rPr>
          <w:color w:val="000000" w:themeColor="text1"/>
        </w:rPr>
      </w:pPr>
      <w:r w:rsidRPr="00134A71">
        <w:rPr>
          <w:rStyle w:val="FootnoteReference"/>
          <w:color w:val="000000" w:themeColor="text1"/>
        </w:rPr>
        <w:footnoteRef/>
      </w:r>
      <w:r w:rsidRPr="00134A71">
        <w:rPr>
          <w:color w:val="000000" w:themeColor="text1"/>
        </w:rPr>
        <w:t xml:space="preserve"> </w:t>
      </w:r>
      <w:r w:rsidRPr="00134A71">
        <w:rPr>
          <w:color w:val="000000" w:themeColor="text1"/>
        </w:rPr>
        <w:tab/>
        <w:t>In other words, the procedure in Rule 43(2) and (3).</w:t>
      </w:r>
    </w:p>
  </w:footnote>
  <w:footnote w:id="2">
    <w:p w14:paraId="5AC6DC1A" w14:textId="77777777" w:rsidR="005D2776" w:rsidRPr="00134A71" w:rsidRDefault="005D2776" w:rsidP="005D2776">
      <w:pPr>
        <w:pStyle w:val="FootnoteText"/>
        <w:rPr>
          <w:color w:val="000000" w:themeColor="text1"/>
        </w:rPr>
      </w:pPr>
      <w:r w:rsidRPr="00134A71">
        <w:rPr>
          <w:rStyle w:val="FootnoteReference"/>
          <w:color w:val="000000" w:themeColor="text1"/>
        </w:rPr>
        <w:footnoteRef/>
      </w:r>
      <w:r w:rsidRPr="00134A71">
        <w:rPr>
          <w:color w:val="000000" w:themeColor="text1"/>
        </w:rPr>
        <w:t xml:space="preserve"> </w:t>
      </w:r>
      <w:r w:rsidRPr="00134A71">
        <w:rPr>
          <w:color w:val="000000" w:themeColor="text1"/>
        </w:rPr>
        <w:tab/>
      </w:r>
      <w:r w:rsidRPr="00134A71">
        <w:rPr>
          <w:i/>
          <w:iCs/>
          <w:color w:val="000000" w:themeColor="text1"/>
        </w:rPr>
        <w:t>Jeanes v Jeanes</w:t>
      </w:r>
      <w:r w:rsidRPr="00134A71">
        <w:rPr>
          <w:color w:val="000000" w:themeColor="text1"/>
        </w:rPr>
        <w:t xml:space="preserve"> 1977 (2) SA 703 (W) 706F; </w:t>
      </w:r>
      <w:proofErr w:type="spellStart"/>
      <w:r w:rsidRPr="00134A71">
        <w:rPr>
          <w:rFonts w:cs="Arial"/>
          <w:i/>
          <w:iCs/>
          <w:color w:val="000000" w:themeColor="text1"/>
          <w:lang w:eastAsia="en-ZA"/>
        </w:rPr>
        <w:t>Grauman</w:t>
      </w:r>
      <w:proofErr w:type="spellEnd"/>
      <w:r w:rsidRPr="00134A71">
        <w:rPr>
          <w:rFonts w:cs="Arial"/>
          <w:i/>
          <w:iCs/>
          <w:color w:val="000000" w:themeColor="text1"/>
          <w:lang w:eastAsia="en-ZA"/>
        </w:rPr>
        <w:t xml:space="preserve"> v </w:t>
      </w:r>
      <w:proofErr w:type="spellStart"/>
      <w:r w:rsidRPr="00134A71">
        <w:rPr>
          <w:rFonts w:cs="Arial"/>
          <w:i/>
          <w:iCs/>
          <w:color w:val="000000" w:themeColor="text1"/>
          <w:lang w:eastAsia="en-ZA"/>
        </w:rPr>
        <w:t>Grauman</w:t>
      </w:r>
      <w:proofErr w:type="spellEnd"/>
      <w:r w:rsidRPr="00134A71">
        <w:rPr>
          <w:rFonts w:cs="Arial"/>
          <w:color w:val="000000" w:themeColor="text1"/>
          <w:lang w:eastAsia="en-ZA"/>
        </w:rPr>
        <w:t xml:space="preserve"> </w:t>
      </w:r>
      <w:hyperlink r:id="rId1" w:anchor="y1984v3SApg477" w:history="1">
        <w:r w:rsidRPr="00134A71">
          <w:rPr>
            <w:rFonts w:cs="Arial"/>
            <w:color w:val="000000" w:themeColor="text1"/>
            <w:lang w:eastAsia="en-ZA"/>
          </w:rPr>
          <w:t>1984 (3) SA 477 (W)</w:t>
        </w:r>
      </w:hyperlink>
      <w:r w:rsidRPr="00134A71">
        <w:rPr>
          <w:rFonts w:cs="Arial"/>
          <w:color w:val="000000" w:themeColor="text1"/>
          <w:lang w:eastAsia="en-ZA"/>
        </w:rPr>
        <w:t xml:space="preserve"> 480C; </w:t>
      </w:r>
      <w:proofErr w:type="spellStart"/>
      <w:r w:rsidRPr="00134A71">
        <w:rPr>
          <w:rFonts w:cs="Arial"/>
          <w:i/>
          <w:iCs/>
          <w:color w:val="000000" w:themeColor="text1"/>
          <w:lang w:eastAsia="en-ZA"/>
        </w:rPr>
        <w:t>Micklem</w:t>
      </w:r>
      <w:proofErr w:type="spellEnd"/>
      <w:r w:rsidRPr="00134A71">
        <w:rPr>
          <w:rFonts w:cs="Arial"/>
          <w:i/>
          <w:iCs/>
          <w:color w:val="000000" w:themeColor="text1"/>
          <w:lang w:eastAsia="en-ZA"/>
        </w:rPr>
        <w:t xml:space="preserve"> v </w:t>
      </w:r>
      <w:proofErr w:type="spellStart"/>
      <w:r w:rsidRPr="00134A71">
        <w:rPr>
          <w:rFonts w:cs="Arial"/>
          <w:i/>
          <w:iCs/>
          <w:color w:val="000000" w:themeColor="text1"/>
          <w:lang w:eastAsia="en-ZA"/>
        </w:rPr>
        <w:t>Micklem</w:t>
      </w:r>
      <w:proofErr w:type="spellEnd"/>
      <w:r w:rsidRPr="00134A71">
        <w:rPr>
          <w:rFonts w:cs="Arial"/>
          <w:color w:val="000000" w:themeColor="text1"/>
          <w:lang w:eastAsia="en-ZA"/>
        </w:rPr>
        <w:t xml:space="preserve"> </w:t>
      </w:r>
      <w:hyperlink r:id="rId2" w:anchor="y1988v3SApg259" w:history="1">
        <w:r w:rsidRPr="00134A71">
          <w:rPr>
            <w:rFonts w:cs="Arial"/>
            <w:color w:val="000000" w:themeColor="text1"/>
            <w:lang w:eastAsia="en-ZA"/>
          </w:rPr>
          <w:t>1988 (3) SA 259 (C)</w:t>
        </w:r>
      </w:hyperlink>
      <w:r w:rsidRPr="00134A71">
        <w:rPr>
          <w:rFonts w:cs="Arial"/>
          <w:color w:val="000000" w:themeColor="text1"/>
          <w:lang w:eastAsia="en-ZA"/>
        </w:rPr>
        <w:t xml:space="preserve"> 262E–G; </w:t>
      </w:r>
      <w:r w:rsidRPr="00134A71">
        <w:rPr>
          <w:rFonts w:cs="Arial"/>
          <w:i/>
          <w:iCs/>
          <w:color w:val="000000" w:themeColor="text1"/>
          <w:lang w:eastAsia="en-ZA"/>
        </w:rPr>
        <w:t>Maas v Maas</w:t>
      </w:r>
      <w:r w:rsidRPr="00134A71">
        <w:rPr>
          <w:rFonts w:cs="Arial"/>
          <w:color w:val="000000" w:themeColor="text1"/>
          <w:lang w:eastAsia="en-ZA"/>
        </w:rPr>
        <w:t xml:space="preserve"> </w:t>
      </w:r>
      <w:hyperlink r:id="rId3" w:anchor="y1993v3SApg885" w:history="1">
        <w:r w:rsidRPr="00134A71">
          <w:rPr>
            <w:rFonts w:cs="Arial"/>
            <w:color w:val="000000" w:themeColor="text1"/>
            <w:lang w:eastAsia="en-ZA"/>
          </w:rPr>
          <w:t>1993 (3) SA 885 (O)</w:t>
        </w:r>
      </w:hyperlink>
      <w:r w:rsidRPr="00134A71">
        <w:rPr>
          <w:rFonts w:cs="Arial"/>
          <w:color w:val="000000" w:themeColor="text1"/>
          <w:lang w:eastAsia="en-ZA"/>
        </w:rPr>
        <w:t xml:space="preserve"> 888C</w:t>
      </w:r>
      <w:bookmarkStart w:id="0" w:name="0-0-0-54009"/>
      <w:bookmarkEnd w:id="0"/>
      <w:r w:rsidRPr="00134A71">
        <w:rPr>
          <w:rFonts w:cs="Arial"/>
          <w:color w:val="000000" w:themeColor="text1"/>
          <w:lang w:eastAsia="en-ZA"/>
        </w:rPr>
        <w:t xml:space="preserve">; </w:t>
      </w:r>
      <w:r w:rsidRPr="00134A71">
        <w:rPr>
          <w:rFonts w:cs="Arial"/>
          <w:i/>
          <w:iCs/>
          <w:color w:val="000000" w:themeColor="text1"/>
          <w:lang w:eastAsia="en-ZA"/>
        </w:rPr>
        <w:t>Greenspan v Greenspan</w:t>
      </w:r>
      <w:r w:rsidRPr="00134A71">
        <w:rPr>
          <w:rFonts w:cs="Arial"/>
          <w:color w:val="000000" w:themeColor="text1"/>
          <w:lang w:eastAsia="en-ZA"/>
        </w:rPr>
        <w:t xml:space="preserve"> </w:t>
      </w:r>
      <w:hyperlink r:id="rId4" w:anchor="y2001v4SApg330" w:history="1">
        <w:r w:rsidRPr="00134A71">
          <w:rPr>
            <w:rFonts w:cs="Arial"/>
            <w:color w:val="000000" w:themeColor="text1"/>
            <w:lang w:eastAsia="en-ZA"/>
          </w:rPr>
          <w:t>2001 (4) SA 330 (C)</w:t>
        </w:r>
      </w:hyperlink>
      <w:r w:rsidRPr="00134A71">
        <w:rPr>
          <w:rFonts w:cs="Arial"/>
          <w:color w:val="000000" w:themeColor="text1"/>
          <w:lang w:eastAsia="en-ZA"/>
        </w:rPr>
        <w:t xml:space="preserve"> 335E–F</w:t>
      </w:r>
      <w:r>
        <w:rPr>
          <w:rFonts w:cs="Arial"/>
          <w:color w:val="000000" w:themeColor="text1"/>
          <w:lang w:eastAsia="en-ZA"/>
        </w:rPr>
        <w:t>.</w:t>
      </w:r>
    </w:p>
  </w:footnote>
  <w:footnote w:id="3">
    <w:p w14:paraId="3712DE58" w14:textId="77777777" w:rsidR="00F33C7D" w:rsidRPr="00134A71" w:rsidRDefault="00F33C7D" w:rsidP="00F33C7D">
      <w:pPr>
        <w:pStyle w:val="FootnoteText"/>
        <w:rPr>
          <w:color w:val="000000" w:themeColor="text1"/>
        </w:rPr>
      </w:pPr>
      <w:r w:rsidRPr="00134A71">
        <w:rPr>
          <w:rStyle w:val="FootnoteReference"/>
          <w:color w:val="000000" w:themeColor="text1"/>
        </w:rPr>
        <w:footnoteRef/>
      </w:r>
      <w:r w:rsidRPr="00134A71">
        <w:rPr>
          <w:color w:val="000000" w:themeColor="text1"/>
        </w:rPr>
        <w:t xml:space="preserve"> </w:t>
      </w:r>
      <w:r w:rsidRPr="00134A71">
        <w:rPr>
          <w:color w:val="000000" w:themeColor="text1"/>
        </w:rPr>
        <w:tab/>
      </w:r>
      <w:r w:rsidRPr="00134A71">
        <w:rPr>
          <w:rFonts w:cs="Arial"/>
          <w:bCs/>
          <w:i/>
          <w:color w:val="000000" w:themeColor="text1"/>
          <w:szCs w:val="22"/>
        </w:rPr>
        <w:t>Maree v Maree</w:t>
      </w:r>
      <w:r w:rsidRPr="00134A71">
        <w:rPr>
          <w:color w:val="000000" w:themeColor="text1"/>
        </w:rPr>
        <w:t xml:space="preserve"> 1972 (1) SA 261 (O) 263</w:t>
      </w:r>
      <w:proofErr w:type="gramStart"/>
      <w:r w:rsidRPr="00134A71">
        <w:rPr>
          <w:color w:val="000000" w:themeColor="text1"/>
        </w:rPr>
        <w:t xml:space="preserve">H; </w:t>
      </w:r>
      <w:r w:rsidRPr="00134A71">
        <w:rPr>
          <w:rFonts w:cs="Arial"/>
          <w:bCs/>
          <w:i/>
          <w:color w:val="000000" w:themeColor="text1"/>
          <w:szCs w:val="22"/>
        </w:rPr>
        <w:t xml:space="preserve"> </w:t>
      </w:r>
      <w:proofErr w:type="spellStart"/>
      <w:r w:rsidRPr="00134A71">
        <w:rPr>
          <w:rFonts w:cs="Arial"/>
          <w:bCs/>
          <w:i/>
          <w:color w:val="000000" w:themeColor="text1"/>
          <w:szCs w:val="22"/>
        </w:rPr>
        <w:t>Zoudendijk</w:t>
      </w:r>
      <w:proofErr w:type="spellEnd"/>
      <w:proofErr w:type="gramEnd"/>
      <w:r w:rsidRPr="00134A71">
        <w:rPr>
          <w:rFonts w:cs="Arial"/>
          <w:bCs/>
          <w:i/>
          <w:color w:val="000000" w:themeColor="text1"/>
          <w:szCs w:val="22"/>
        </w:rPr>
        <w:t xml:space="preserve"> v </w:t>
      </w:r>
      <w:proofErr w:type="spellStart"/>
      <w:r w:rsidRPr="00134A71">
        <w:rPr>
          <w:rFonts w:cs="Arial"/>
          <w:bCs/>
          <w:i/>
          <w:color w:val="000000" w:themeColor="text1"/>
          <w:szCs w:val="22"/>
        </w:rPr>
        <w:t>Zoudendijk</w:t>
      </w:r>
      <w:proofErr w:type="spellEnd"/>
      <w:r w:rsidRPr="00134A71">
        <w:rPr>
          <w:color w:val="000000" w:themeColor="text1"/>
        </w:rPr>
        <w:t xml:space="preserve"> 1975 (3) SA 490 (T) 492C;</w:t>
      </w:r>
      <w:r w:rsidRPr="00134A71">
        <w:rPr>
          <w:rFonts w:cs="Arial"/>
          <w:bCs/>
          <w:i/>
          <w:color w:val="000000" w:themeColor="text1"/>
          <w:szCs w:val="22"/>
        </w:rPr>
        <w:t xml:space="preserve"> Visser v Visser</w:t>
      </w:r>
      <w:r w:rsidRPr="00134A71">
        <w:rPr>
          <w:color w:val="000000" w:themeColor="text1"/>
        </w:rPr>
        <w:t xml:space="preserve"> 1992 (4) SA 530 (SE) 531D;</w:t>
      </w:r>
      <w:r w:rsidRPr="00134A71">
        <w:rPr>
          <w:rFonts w:cs="Arial"/>
          <w:bCs/>
          <w:i/>
          <w:color w:val="000000" w:themeColor="text1"/>
          <w:szCs w:val="22"/>
        </w:rPr>
        <w:t xml:space="preserve"> Du </w:t>
      </w:r>
      <w:proofErr w:type="spellStart"/>
      <w:r w:rsidRPr="00134A71">
        <w:rPr>
          <w:rFonts w:cs="Arial"/>
          <w:bCs/>
          <w:i/>
          <w:color w:val="000000" w:themeColor="text1"/>
          <w:szCs w:val="22"/>
        </w:rPr>
        <w:t>Preez</w:t>
      </w:r>
      <w:proofErr w:type="spellEnd"/>
      <w:r w:rsidRPr="00134A71">
        <w:rPr>
          <w:rFonts w:cs="Arial"/>
          <w:bCs/>
          <w:i/>
          <w:color w:val="000000" w:themeColor="text1"/>
          <w:szCs w:val="22"/>
        </w:rPr>
        <w:t xml:space="preserve"> v Du </w:t>
      </w:r>
      <w:proofErr w:type="spellStart"/>
      <w:r w:rsidRPr="00134A71">
        <w:rPr>
          <w:rFonts w:cs="Arial"/>
          <w:bCs/>
          <w:i/>
          <w:color w:val="000000" w:themeColor="text1"/>
          <w:szCs w:val="22"/>
        </w:rPr>
        <w:t>Preez</w:t>
      </w:r>
      <w:proofErr w:type="spellEnd"/>
      <w:r w:rsidRPr="00134A71">
        <w:rPr>
          <w:color w:val="000000" w:themeColor="text1"/>
        </w:rPr>
        <w:t xml:space="preserve"> 2009 (6) SA 28 (T) 33B;</w:t>
      </w:r>
      <w:r w:rsidRPr="00134A71">
        <w:rPr>
          <w:rFonts w:cs="Arial"/>
          <w:bCs/>
          <w:i/>
          <w:color w:val="000000" w:themeColor="text1"/>
          <w:szCs w:val="22"/>
        </w:rPr>
        <w:t xml:space="preserve"> T S v T S</w:t>
      </w:r>
      <w:r w:rsidRPr="00134A71">
        <w:rPr>
          <w:color w:val="000000" w:themeColor="text1"/>
        </w:rPr>
        <w:t xml:space="preserve"> 2018 (3) SA 572 (GJ) 585A.</w:t>
      </w:r>
    </w:p>
  </w:footnote>
  <w:footnote w:id="4">
    <w:p w14:paraId="69E8AAA3" w14:textId="118113B9" w:rsidR="00F33C7D" w:rsidRPr="00134A71" w:rsidRDefault="00F33C7D" w:rsidP="00F33C7D">
      <w:pPr>
        <w:pStyle w:val="FootnoteText"/>
        <w:rPr>
          <w:color w:val="000000" w:themeColor="text1"/>
        </w:rPr>
      </w:pPr>
      <w:r w:rsidRPr="00134A71">
        <w:rPr>
          <w:rStyle w:val="FootnoteReference"/>
          <w:color w:val="000000" w:themeColor="text1"/>
        </w:rPr>
        <w:footnoteRef/>
      </w:r>
      <w:r w:rsidRPr="00134A71">
        <w:rPr>
          <w:color w:val="000000" w:themeColor="text1"/>
        </w:rPr>
        <w:t xml:space="preserve"> </w:t>
      </w:r>
      <w:r w:rsidRPr="00134A71">
        <w:rPr>
          <w:color w:val="000000" w:themeColor="text1"/>
        </w:rPr>
        <w:tab/>
      </w:r>
      <w:r w:rsidRPr="00134A71">
        <w:rPr>
          <w:i/>
          <w:iCs/>
          <w:color w:val="000000" w:themeColor="text1"/>
        </w:rPr>
        <w:t>E v E</w:t>
      </w:r>
      <w:r w:rsidRPr="00134A71">
        <w:rPr>
          <w:color w:val="000000" w:themeColor="text1"/>
        </w:rPr>
        <w:t xml:space="preserve"> 2019 (5) SA 566 (GJ) paras 33, 43, 48, and 52.</w:t>
      </w:r>
      <w:r>
        <w:rPr>
          <w:color w:val="000000" w:themeColor="text1"/>
        </w:rPr>
        <w:t xml:space="preserve"> The filing of financial disclosure forms should shorten the proceedings. See para</w:t>
      </w:r>
      <w:r w:rsidR="005D2776">
        <w:rPr>
          <w:color w:val="000000" w:themeColor="text1"/>
        </w:rPr>
        <w:t>s</w:t>
      </w:r>
      <w:r>
        <w:rPr>
          <w:color w:val="000000" w:themeColor="text1"/>
        </w:rPr>
        <w:t xml:space="preserve"> 63 to 64.</w:t>
      </w:r>
    </w:p>
  </w:footnote>
  <w:footnote w:id="5">
    <w:p w14:paraId="1DE712CC" w14:textId="77777777" w:rsidR="00F33C7D" w:rsidRPr="00134A71" w:rsidRDefault="00F33C7D" w:rsidP="00F33C7D">
      <w:pPr>
        <w:pStyle w:val="FootnoteText"/>
        <w:rPr>
          <w:color w:val="000000" w:themeColor="text1"/>
        </w:rPr>
      </w:pPr>
      <w:r w:rsidRPr="00134A71">
        <w:rPr>
          <w:rStyle w:val="FootnoteReference"/>
          <w:color w:val="000000" w:themeColor="text1"/>
        </w:rPr>
        <w:footnoteRef/>
      </w:r>
      <w:r w:rsidRPr="00134A71">
        <w:rPr>
          <w:color w:val="000000" w:themeColor="text1"/>
        </w:rPr>
        <w:t xml:space="preserve"> </w:t>
      </w:r>
      <w:r w:rsidRPr="00134A71">
        <w:rPr>
          <w:color w:val="000000" w:themeColor="text1"/>
        </w:rPr>
        <w:tab/>
      </w:r>
      <w:r w:rsidRPr="00134A71">
        <w:rPr>
          <w:i/>
          <w:iCs/>
          <w:color w:val="000000" w:themeColor="text1"/>
        </w:rPr>
        <w:t>E v E</w:t>
      </w:r>
      <w:r w:rsidRPr="00134A71">
        <w:rPr>
          <w:color w:val="000000" w:themeColor="text1"/>
        </w:rPr>
        <w:t xml:space="preserve"> paras 24 and 58 to 59.</w:t>
      </w:r>
    </w:p>
  </w:footnote>
  <w:footnote w:id="6">
    <w:p w14:paraId="6CFAC976" w14:textId="26DAC53B" w:rsidR="00921524" w:rsidRDefault="00921524">
      <w:pPr>
        <w:pStyle w:val="FootnoteText"/>
      </w:pPr>
      <w:r>
        <w:rPr>
          <w:rStyle w:val="FootnoteReference"/>
        </w:rPr>
        <w:footnoteRef/>
      </w:r>
      <w:r>
        <w:t xml:space="preserve"> </w:t>
      </w:r>
      <w:r>
        <w:tab/>
        <w:t>The reference to paragraph 3 appears to be misnomer as paragraph 3 was in fact not varied. Nothing turns on this.</w:t>
      </w:r>
    </w:p>
  </w:footnote>
  <w:footnote w:id="7">
    <w:p w14:paraId="156F5515" w14:textId="438D8CFD" w:rsidR="0071351B" w:rsidRDefault="0071351B">
      <w:pPr>
        <w:pStyle w:val="FootnoteText"/>
      </w:pPr>
      <w:r>
        <w:rPr>
          <w:rStyle w:val="FootnoteReference"/>
        </w:rPr>
        <w:footnoteRef/>
      </w:r>
      <w:r>
        <w:t xml:space="preserve"> </w:t>
      </w:r>
      <w:r>
        <w:tab/>
        <w:t xml:space="preserve">Documents received subject to a subpoena </w:t>
      </w:r>
      <w:r w:rsidRPr="00E110E5">
        <w:rPr>
          <w:i/>
          <w:iCs/>
        </w:rPr>
        <w:t>duces tecum</w:t>
      </w:r>
      <w:r>
        <w:t xml:space="preserve"> indicated that he became a partner in January 2020.</w:t>
      </w:r>
    </w:p>
  </w:footnote>
  <w:footnote w:id="8">
    <w:p w14:paraId="329E9175" w14:textId="4C2A93FF" w:rsidR="00F414E9" w:rsidRDefault="00F414E9">
      <w:pPr>
        <w:pStyle w:val="FootnoteText"/>
      </w:pPr>
      <w:r>
        <w:rPr>
          <w:rStyle w:val="FootnoteReference"/>
        </w:rPr>
        <w:footnoteRef/>
      </w:r>
      <w:r>
        <w:t xml:space="preserve"> </w:t>
      </w:r>
      <w:r>
        <w:tab/>
        <w:t>S 28(2) of the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A9B" w14:textId="64783279"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4C6A8A">
      <w:rPr>
        <w:rFonts w:cs="Arial"/>
        <w:noProof/>
        <w:sz w:val="20"/>
        <w:szCs w:val="20"/>
        <w:lang w:val="en-GB"/>
      </w:rPr>
      <w:t>2</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D6D2FF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535B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8" w15:restartNumberingAfterBreak="0">
    <w:nsid w:val="4448496D"/>
    <w:multiLevelType w:val="hybridMultilevel"/>
    <w:tmpl w:val="3CA2639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598828250">
    <w:abstractNumId w:val="4"/>
  </w:num>
  <w:num w:numId="2" w16cid:durableId="154345573">
    <w:abstractNumId w:val="1"/>
  </w:num>
  <w:num w:numId="3" w16cid:durableId="449520601">
    <w:abstractNumId w:val="11"/>
  </w:num>
  <w:num w:numId="4" w16cid:durableId="694383836">
    <w:abstractNumId w:val="5"/>
  </w:num>
  <w:num w:numId="5" w16cid:durableId="471603361">
    <w:abstractNumId w:val="10"/>
  </w:num>
  <w:num w:numId="6" w16cid:durableId="594216464">
    <w:abstractNumId w:val="9"/>
  </w:num>
  <w:num w:numId="7" w16cid:durableId="1292056559">
    <w:abstractNumId w:val="0"/>
  </w:num>
  <w:num w:numId="8" w16cid:durableId="195266215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7402772">
    <w:abstractNumId w:val="7"/>
  </w:num>
  <w:num w:numId="10" w16cid:durableId="1036002565">
    <w:abstractNumId w:val="2"/>
  </w:num>
  <w:num w:numId="11" w16cid:durableId="2089425370">
    <w:abstractNumId w:val="8"/>
  </w:num>
  <w:num w:numId="12" w16cid:durableId="1782607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F3"/>
    <w:rsid w:val="000004A3"/>
    <w:rsid w:val="0000363D"/>
    <w:rsid w:val="00006113"/>
    <w:rsid w:val="0001111B"/>
    <w:rsid w:val="0001140A"/>
    <w:rsid w:val="00011522"/>
    <w:rsid w:val="00011570"/>
    <w:rsid w:val="00012021"/>
    <w:rsid w:val="00013B7F"/>
    <w:rsid w:val="00015D74"/>
    <w:rsid w:val="000179FE"/>
    <w:rsid w:val="00024A29"/>
    <w:rsid w:val="000262B3"/>
    <w:rsid w:val="000325E2"/>
    <w:rsid w:val="000369B7"/>
    <w:rsid w:val="00041975"/>
    <w:rsid w:val="00047F26"/>
    <w:rsid w:val="00050086"/>
    <w:rsid w:val="000504F1"/>
    <w:rsid w:val="00053A32"/>
    <w:rsid w:val="00057775"/>
    <w:rsid w:val="00057B83"/>
    <w:rsid w:val="00063F7B"/>
    <w:rsid w:val="0006504D"/>
    <w:rsid w:val="000737E1"/>
    <w:rsid w:val="00073E30"/>
    <w:rsid w:val="000773B9"/>
    <w:rsid w:val="000833BB"/>
    <w:rsid w:val="0009488C"/>
    <w:rsid w:val="00096067"/>
    <w:rsid w:val="00096EAD"/>
    <w:rsid w:val="00097968"/>
    <w:rsid w:val="00097CC2"/>
    <w:rsid w:val="000A516D"/>
    <w:rsid w:val="000A6AD8"/>
    <w:rsid w:val="000B21DA"/>
    <w:rsid w:val="000D5760"/>
    <w:rsid w:val="000D7C9A"/>
    <w:rsid w:val="000D7D6A"/>
    <w:rsid w:val="000E5343"/>
    <w:rsid w:val="000E5BD9"/>
    <w:rsid w:val="000F4B51"/>
    <w:rsid w:val="000F59F8"/>
    <w:rsid w:val="00104142"/>
    <w:rsid w:val="001059DB"/>
    <w:rsid w:val="001130FD"/>
    <w:rsid w:val="00113B92"/>
    <w:rsid w:val="001142D1"/>
    <w:rsid w:val="00114FD8"/>
    <w:rsid w:val="00120FB1"/>
    <w:rsid w:val="00121C3B"/>
    <w:rsid w:val="00130253"/>
    <w:rsid w:val="001330E0"/>
    <w:rsid w:val="00133E81"/>
    <w:rsid w:val="00140CED"/>
    <w:rsid w:val="00142746"/>
    <w:rsid w:val="00147FF5"/>
    <w:rsid w:val="00152899"/>
    <w:rsid w:val="00155A21"/>
    <w:rsid w:val="00161829"/>
    <w:rsid w:val="00163904"/>
    <w:rsid w:val="001671C1"/>
    <w:rsid w:val="00172628"/>
    <w:rsid w:val="001809D0"/>
    <w:rsid w:val="00185ACF"/>
    <w:rsid w:val="00190579"/>
    <w:rsid w:val="00193C1D"/>
    <w:rsid w:val="00196E14"/>
    <w:rsid w:val="001A0926"/>
    <w:rsid w:val="001A522A"/>
    <w:rsid w:val="001B1D39"/>
    <w:rsid w:val="001B2A05"/>
    <w:rsid w:val="001B3EF2"/>
    <w:rsid w:val="001B4217"/>
    <w:rsid w:val="001B4713"/>
    <w:rsid w:val="001B5D3E"/>
    <w:rsid w:val="001B606B"/>
    <w:rsid w:val="001C2935"/>
    <w:rsid w:val="001C5F77"/>
    <w:rsid w:val="001D3CC2"/>
    <w:rsid w:val="001E2EED"/>
    <w:rsid w:val="001F0A29"/>
    <w:rsid w:val="001F0E46"/>
    <w:rsid w:val="001F1C0B"/>
    <w:rsid w:val="001F3DBD"/>
    <w:rsid w:val="001F648A"/>
    <w:rsid w:val="001F653E"/>
    <w:rsid w:val="001F6AED"/>
    <w:rsid w:val="001F72D5"/>
    <w:rsid w:val="00201620"/>
    <w:rsid w:val="00205392"/>
    <w:rsid w:val="002104BF"/>
    <w:rsid w:val="002120E9"/>
    <w:rsid w:val="00215824"/>
    <w:rsid w:val="00215862"/>
    <w:rsid w:val="00216BC8"/>
    <w:rsid w:val="0022218D"/>
    <w:rsid w:val="00224216"/>
    <w:rsid w:val="00226926"/>
    <w:rsid w:val="00232528"/>
    <w:rsid w:val="00237FF9"/>
    <w:rsid w:val="00244F23"/>
    <w:rsid w:val="002503D9"/>
    <w:rsid w:val="00253F38"/>
    <w:rsid w:val="00262819"/>
    <w:rsid w:val="00272AB0"/>
    <w:rsid w:val="00280459"/>
    <w:rsid w:val="002811B1"/>
    <w:rsid w:val="00281EB7"/>
    <w:rsid w:val="00285040"/>
    <w:rsid w:val="00285062"/>
    <w:rsid w:val="00285D08"/>
    <w:rsid w:val="002A030C"/>
    <w:rsid w:val="002B23F7"/>
    <w:rsid w:val="002C15AC"/>
    <w:rsid w:val="002C3045"/>
    <w:rsid w:val="002C39B3"/>
    <w:rsid w:val="002C4687"/>
    <w:rsid w:val="002C7670"/>
    <w:rsid w:val="002D23B9"/>
    <w:rsid w:val="002D418D"/>
    <w:rsid w:val="002D47B3"/>
    <w:rsid w:val="002E5B57"/>
    <w:rsid w:val="002E6827"/>
    <w:rsid w:val="002E6CD7"/>
    <w:rsid w:val="002E753F"/>
    <w:rsid w:val="002F1C4D"/>
    <w:rsid w:val="002F72D3"/>
    <w:rsid w:val="00302290"/>
    <w:rsid w:val="00302C31"/>
    <w:rsid w:val="003047C2"/>
    <w:rsid w:val="0030653F"/>
    <w:rsid w:val="00306697"/>
    <w:rsid w:val="003102C8"/>
    <w:rsid w:val="003108A1"/>
    <w:rsid w:val="0031117B"/>
    <w:rsid w:val="00311FBE"/>
    <w:rsid w:val="00312EBC"/>
    <w:rsid w:val="00313056"/>
    <w:rsid w:val="00313301"/>
    <w:rsid w:val="00315155"/>
    <w:rsid w:val="0033385A"/>
    <w:rsid w:val="00337135"/>
    <w:rsid w:val="0034147B"/>
    <w:rsid w:val="00342E02"/>
    <w:rsid w:val="003463D6"/>
    <w:rsid w:val="00346D31"/>
    <w:rsid w:val="00346DE6"/>
    <w:rsid w:val="003543C5"/>
    <w:rsid w:val="00354EF2"/>
    <w:rsid w:val="00357081"/>
    <w:rsid w:val="00357D35"/>
    <w:rsid w:val="00363FCD"/>
    <w:rsid w:val="0036436B"/>
    <w:rsid w:val="00364C43"/>
    <w:rsid w:val="00367720"/>
    <w:rsid w:val="0037029D"/>
    <w:rsid w:val="00373181"/>
    <w:rsid w:val="00381213"/>
    <w:rsid w:val="003840EC"/>
    <w:rsid w:val="00386640"/>
    <w:rsid w:val="00390046"/>
    <w:rsid w:val="00390C3F"/>
    <w:rsid w:val="00393127"/>
    <w:rsid w:val="003A09D9"/>
    <w:rsid w:val="003A2D93"/>
    <w:rsid w:val="003A5077"/>
    <w:rsid w:val="003A7864"/>
    <w:rsid w:val="003B4100"/>
    <w:rsid w:val="003C1A16"/>
    <w:rsid w:val="003C1E91"/>
    <w:rsid w:val="003C79F4"/>
    <w:rsid w:val="003D19C3"/>
    <w:rsid w:val="003D36F9"/>
    <w:rsid w:val="003D77F1"/>
    <w:rsid w:val="003E0A89"/>
    <w:rsid w:val="003F1F49"/>
    <w:rsid w:val="003F3EE4"/>
    <w:rsid w:val="003F7448"/>
    <w:rsid w:val="00407F28"/>
    <w:rsid w:val="0041100A"/>
    <w:rsid w:val="004131C5"/>
    <w:rsid w:val="00416FFE"/>
    <w:rsid w:val="0042423E"/>
    <w:rsid w:val="004339E6"/>
    <w:rsid w:val="00436135"/>
    <w:rsid w:val="0043683A"/>
    <w:rsid w:val="00440564"/>
    <w:rsid w:val="00441422"/>
    <w:rsid w:val="00445DCB"/>
    <w:rsid w:val="0045044C"/>
    <w:rsid w:val="00455750"/>
    <w:rsid w:val="00460495"/>
    <w:rsid w:val="00462127"/>
    <w:rsid w:val="004630B6"/>
    <w:rsid w:val="00466D3E"/>
    <w:rsid w:val="00466F2C"/>
    <w:rsid w:val="00474607"/>
    <w:rsid w:val="00474910"/>
    <w:rsid w:val="004749AF"/>
    <w:rsid w:val="00474C9E"/>
    <w:rsid w:val="00475410"/>
    <w:rsid w:val="004802AA"/>
    <w:rsid w:val="00484116"/>
    <w:rsid w:val="0048424E"/>
    <w:rsid w:val="00486F42"/>
    <w:rsid w:val="00487D14"/>
    <w:rsid w:val="00490D65"/>
    <w:rsid w:val="00492C65"/>
    <w:rsid w:val="004A2C7E"/>
    <w:rsid w:val="004A3A3A"/>
    <w:rsid w:val="004A4661"/>
    <w:rsid w:val="004A6625"/>
    <w:rsid w:val="004A7DFE"/>
    <w:rsid w:val="004B21D9"/>
    <w:rsid w:val="004C0CE3"/>
    <w:rsid w:val="004C368B"/>
    <w:rsid w:val="004C4BEA"/>
    <w:rsid w:val="004C6A8A"/>
    <w:rsid w:val="004D1A31"/>
    <w:rsid w:val="004D262A"/>
    <w:rsid w:val="004D2C6F"/>
    <w:rsid w:val="004D2E01"/>
    <w:rsid w:val="004E232C"/>
    <w:rsid w:val="004E568C"/>
    <w:rsid w:val="004E589C"/>
    <w:rsid w:val="004E5AD8"/>
    <w:rsid w:val="004F12D8"/>
    <w:rsid w:val="004F22A6"/>
    <w:rsid w:val="004F3033"/>
    <w:rsid w:val="005029C3"/>
    <w:rsid w:val="00504B53"/>
    <w:rsid w:val="0051015D"/>
    <w:rsid w:val="00511960"/>
    <w:rsid w:val="0051292D"/>
    <w:rsid w:val="00512F1B"/>
    <w:rsid w:val="0051442D"/>
    <w:rsid w:val="00515BE7"/>
    <w:rsid w:val="0051622D"/>
    <w:rsid w:val="005219EB"/>
    <w:rsid w:val="005222CB"/>
    <w:rsid w:val="005262C2"/>
    <w:rsid w:val="0052705A"/>
    <w:rsid w:val="005276DA"/>
    <w:rsid w:val="005356E2"/>
    <w:rsid w:val="00537A72"/>
    <w:rsid w:val="00543A74"/>
    <w:rsid w:val="00556608"/>
    <w:rsid w:val="00556E08"/>
    <w:rsid w:val="00571E81"/>
    <w:rsid w:val="005722EC"/>
    <w:rsid w:val="00573FF9"/>
    <w:rsid w:val="00576B16"/>
    <w:rsid w:val="005873A5"/>
    <w:rsid w:val="00590BEE"/>
    <w:rsid w:val="00595988"/>
    <w:rsid w:val="00595CDA"/>
    <w:rsid w:val="005A0947"/>
    <w:rsid w:val="005A313A"/>
    <w:rsid w:val="005A680F"/>
    <w:rsid w:val="005B07CB"/>
    <w:rsid w:val="005B2FF9"/>
    <w:rsid w:val="005B6D81"/>
    <w:rsid w:val="005B7DD3"/>
    <w:rsid w:val="005C7FC2"/>
    <w:rsid w:val="005D2408"/>
    <w:rsid w:val="005D2776"/>
    <w:rsid w:val="005D2A8B"/>
    <w:rsid w:val="005D505C"/>
    <w:rsid w:val="005D6122"/>
    <w:rsid w:val="005D6E80"/>
    <w:rsid w:val="005E04C5"/>
    <w:rsid w:val="005E2F7B"/>
    <w:rsid w:val="005E3C94"/>
    <w:rsid w:val="005E5C01"/>
    <w:rsid w:val="005E7118"/>
    <w:rsid w:val="005F37A4"/>
    <w:rsid w:val="005F7AF9"/>
    <w:rsid w:val="006007DB"/>
    <w:rsid w:val="00602403"/>
    <w:rsid w:val="006041A4"/>
    <w:rsid w:val="006109EC"/>
    <w:rsid w:val="00611D8A"/>
    <w:rsid w:val="006150CE"/>
    <w:rsid w:val="006165F4"/>
    <w:rsid w:val="0062327C"/>
    <w:rsid w:val="00627578"/>
    <w:rsid w:val="0062799F"/>
    <w:rsid w:val="00632C84"/>
    <w:rsid w:val="006330D9"/>
    <w:rsid w:val="006358D7"/>
    <w:rsid w:val="00635A69"/>
    <w:rsid w:val="00636520"/>
    <w:rsid w:val="00642664"/>
    <w:rsid w:val="00644BBE"/>
    <w:rsid w:val="0064589D"/>
    <w:rsid w:val="00647DDD"/>
    <w:rsid w:val="006515AE"/>
    <w:rsid w:val="00653BA4"/>
    <w:rsid w:val="00656F1E"/>
    <w:rsid w:val="00657EDA"/>
    <w:rsid w:val="006609A2"/>
    <w:rsid w:val="00660C84"/>
    <w:rsid w:val="0066194B"/>
    <w:rsid w:val="00666D4D"/>
    <w:rsid w:val="00675A19"/>
    <w:rsid w:val="00681FE9"/>
    <w:rsid w:val="006858DA"/>
    <w:rsid w:val="006902F1"/>
    <w:rsid w:val="006918E9"/>
    <w:rsid w:val="00693EF0"/>
    <w:rsid w:val="006951CE"/>
    <w:rsid w:val="006A438B"/>
    <w:rsid w:val="006A7320"/>
    <w:rsid w:val="006B1E87"/>
    <w:rsid w:val="006B437C"/>
    <w:rsid w:val="006B514A"/>
    <w:rsid w:val="006C4213"/>
    <w:rsid w:val="006C43D7"/>
    <w:rsid w:val="006C5694"/>
    <w:rsid w:val="006D2280"/>
    <w:rsid w:val="006D4128"/>
    <w:rsid w:val="006E68E6"/>
    <w:rsid w:val="006E6FF1"/>
    <w:rsid w:val="006F1E98"/>
    <w:rsid w:val="006F25E5"/>
    <w:rsid w:val="006F2FCE"/>
    <w:rsid w:val="006F3EC9"/>
    <w:rsid w:val="006F415C"/>
    <w:rsid w:val="006F6A4D"/>
    <w:rsid w:val="0071351B"/>
    <w:rsid w:val="0071437E"/>
    <w:rsid w:val="0071441C"/>
    <w:rsid w:val="007205BF"/>
    <w:rsid w:val="007241D4"/>
    <w:rsid w:val="00724D82"/>
    <w:rsid w:val="00732A6F"/>
    <w:rsid w:val="007347D1"/>
    <w:rsid w:val="00736453"/>
    <w:rsid w:val="0074214D"/>
    <w:rsid w:val="00742764"/>
    <w:rsid w:val="00751452"/>
    <w:rsid w:val="0075156A"/>
    <w:rsid w:val="00751F90"/>
    <w:rsid w:val="00754833"/>
    <w:rsid w:val="00761C35"/>
    <w:rsid w:val="00766026"/>
    <w:rsid w:val="00772025"/>
    <w:rsid w:val="00777134"/>
    <w:rsid w:val="00781AA0"/>
    <w:rsid w:val="007852E2"/>
    <w:rsid w:val="007917C4"/>
    <w:rsid w:val="007A3A64"/>
    <w:rsid w:val="007A6E29"/>
    <w:rsid w:val="007B088D"/>
    <w:rsid w:val="007B165A"/>
    <w:rsid w:val="007B2DAD"/>
    <w:rsid w:val="007B7246"/>
    <w:rsid w:val="007B78C2"/>
    <w:rsid w:val="007C23FF"/>
    <w:rsid w:val="007C5008"/>
    <w:rsid w:val="007D1E79"/>
    <w:rsid w:val="007D27CF"/>
    <w:rsid w:val="007D4DAF"/>
    <w:rsid w:val="007E1F4F"/>
    <w:rsid w:val="007E468A"/>
    <w:rsid w:val="007E58FC"/>
    <w:rsid w:val="007F0771"/>
    <w:rsid w:val="007F207F"/>
    <w:rsid w:val="007F5B91"/>
    <w:rsid w:val="00803CEC"/>
    <w:rsid w:val="00803D40"/>
    <w:rsid w:val="00810CA3"/>
    <w:rsid w:val="00822050"/>
    <w:rsid w:val="00830952"/>
    <w:rsid w:val="00830F84"/>
    <w:rsid w:val="00843AD1"/>
    <w:rsid w:val="008443A9"/>
    <w:rsid w:val="008469B3"/>
    <w:rsid w:val="00852390"/>
    <w:rsid w:val="00860576"/>
    <w:rsid w:val="008674AA"/>
    <w:rsid w:val="008675CC"/>
    <w:rsid w:val="00870DDD"/>
    <w:rsid w:val="0088094C"/>
    <w:rsid w:val="00881004"/>
    <w:rsid w:val="00882C40"/>
    <w:rsid w:val="00884467"/>
    <w:rsid w:val="008932CA"/>
    <w:rsid w:val="008942FC"/>
    <w:rsid w:val="008944EC"/>
    <w:rsid w:val="0089586A"/>
    <w:rsid w:val="008A082A"/>
    <w:rsid w:val="008A4DF4"/>
    <w:rsid w:val="008B1DA9"/>
    <w:rsid w:val="008B6162"/>
    <w:rsid w:val="008C0B63"/>
    <w:rsid w:val="008C20E7"/>
    <w:rsid w:val="008C3EBC"/>
    <w:rsid w:val="008C57F6"/>
    <w:rsid w:val="008C5DB7"/>
    <w:rsid w:val="008C69FC"/>
    <w:rsid w:val="008D33A3"/>
    <w:rsid w:val="008D413C"/>
    <w:rsid w:val="008D4715"/>
    <w:rsid w:val="008D5785"/>
    <w:rsid w:val="008D624A"/>
    <w:rsid w:val="008E0756"/>
    <w:rsid w:val="008F189C"/>
    <w:rsid w:val="008F1FE1"/>
    <w:rsid w:val="008F23F8"/>
    <w:rsid w:val="008F25A7"/>
    <w:rsid w:val="008F4486"/>
    <w:rsid w:val="008F4FC6"/>
    <w:rsid w:val="00900F7B"/>
    <w:rsid w:val="00902179"/>
    <w:rsid w:val="00911DD6"/>
    <w:rsid w:val="0091298C"/>
    <w:rsid w:val="0091544C"/>
    <w:rsid w:val="009164BE"/>
    <w:rsid w:val="00921524"/>
    <w:rsid w:val="00921D03"/>
    <w:rsid w:val="00925CD2"/>
    <w:rsid w:val="00933065"/>
    <w:rsid w:val="00933569"/>
    <w:rsid w:val="009365B1"/>
    <w:rsid w:val="0093799C"/>
    <w:rsid w:val="00937DF3"/>
    <w:rsid w:val="009416CD"/>
    <w:rsid w:val="00944804"/>
    <w:rsid w:val="009473D8"/>
    <w:rsid w:val="009606EC"/>
    <w:rsid w:val="00960ADF"/>
    <w:rsid w:val="00963A0C"/>
    <w:rsid w:val="00974A92"/>
    <w:rsid w:val="00975270"/>
    <w:rsid w:val="00975BA1"/>
    <w:rsid w:val="009835E3"/>
    <w:rsid w:val="009869F2"/>
    <w:rsid w:val="00987CDB"/>
    <w:rsid w:val="009A2726"/>
    <w:rsid w:val="009A30E0"/>
    <w:rsid w:val="009A3205"/>
    <w:rsid w:val="009A3619"/>
    <w:rsid w:val="009A38FB"/>
    <w:rsid w:val="009B08AF"/>
    <w:rsid w:val="009B226E"/>
    <w:rsid w:val="009B3DFC"/>
    <w:rsid w:val="009B793E"/>
    <w:rsid w:val="009C0CB4"/>
    <w:rsid w:val="009C1188"/>
    <w:rsid w:val="009C37B9"/>
    <w:rsid w:val="009C38E7"/>
    <w:rsid w:val="009C7F95"/>
    <w:rsid w:val="009D0BFB"/>
    <w:rsid w:val="009D32BD"/>
    <w:rsid w:val="009D35B5"/>
    <w:rsid w:val="009D4486"/>
    <w:rsid w:val="009D7E9C"/>
    <w:rsid w:val="009E1434"/>
    <w:rsid w:val="009F211E"/>
    <w:rsid w:val="009F294E"/>
    <w:rsid w:val="009F30F1"/>
    <w:rsid w:val="009F37C7"/>
    <w:rsid w:val="009F50AB"/>
    <w:rsid w:val="009F5F9A"/>
    <w:rsid w:val="009F7077"/>
    <w:rsid w:val="00A005F6"/>
    <w:rsid w:val="00A0115D"/>
    <w:rsid w:val="00A0424F"/>
    <w:rsid w:val="00A04C97"/>
    <w:rsid w:val="00A06585"/>
    <w:rsid w:val="00A111A4"/>
    <w:rsid w:val="00A23E58"/>
    <w:rsid w:val="00A26214"/>
    <w:rsid w:val="00A37BA4"/>
    <w:rsid w:val="00A402F6"/>
    <w:rsid w:val="00A43739"/>
    <w:rsid w:val="00A44844"/>
    <w:rsid w:val="00A47A18"/>
    <w:rsid w:val="00A51092"/>
    <w:rsid w:val="00A51238"/>
    <w:rsid w:val="00A539CB"/>
    <w:rsid w:val="00A56515"/>
    <w:rsid w:val="00A56531"/>
    <w:rsid w:val="00A6069E"/>
    <w:rsid w:val="00A62B3B"/>
    <w:rsid w:val="00A649E6"/>
    <w:rsid w:val="00A660AF"/>
    <w:rsid w:val="00A70A95"/>
    <w:rsid w:val="00A7621E"/>
    <w:rsid w:val="00A8325E"/>
    <w:rsid w:val="00A93351"/>
    <w:rsid w:val="00AA0013"/>
    <w:rsid w:val="00AA0A1F"/>
    <w:rsid w:val="00AA26FF"/>
    <w:rsid w:val="00AA343B"/>
    <w:rsid w:val="00AA4B3B"/>
    <w:rsid w:val="00AA6E8C"/>
    <w:rsid w:val="00AA6F19"/>
    <w:rsid w:val="00AA79A8"/>
    <w:rsid w:val="00AA7A76"/>
    <w:rsid w:val="00AB0286"/>
    <w:rsid w:val="00AB4C6D"/>
    <w:rsid w:val="00AB4CE3"/>
    <w:rsid w:val="00AB4DFE"/>
    <w:rsid w:val="00AC4165"/>
    <w:rsid w:val="00AC428A"/>
    <w:rsid w:val="00AC556A"/>
    <w:rsid w:val="00AD2631"/>
    <w:rsid w:val="00AD637F"/>
    <w:rsid w:val="00AE287F"/>
    <w:rsid w:val="00AE63BD"/>
    <w:rsid w:val="00AF0B2B"/>
    <w:rsid w:val="00AF285E"/>
    <w:rsid w:val="00AF2914"/>
    <w:rsid w:val="00AF363F"/>
    <w:rsid w:val="00AF3E4F"/>
    <w:rsid w:val="00B064AF"/>
    <w:rsid w:val="00B065B2"/>
    <w:rsid w:val="00B071FF"/>
    <w:rsid w:val="00B11505"/>
    <w:rsid w:val="00B11DC2"/>
    <w:rsid w:val="00B139BF"/>
    <w:rsid w:val="00B15142"/>
    <w:rsid w:val="00B17D31"/>
    <w:rsid w:val="00B230F3"/>
    <w:rsid w:val="00B42807"/>
    <w:rsid w:val="00B428A6"/>
    <w:rsid w:val="00B479BE"/>
    <w:rsid w:val="00B5157D"/>
    <w:rsid w:val="00B52E9E"/>
    <w:rsid w:val="00B53913"/>
    <w:rsid w:val="00B54DD9"/>
    <w:rsid w:val="00B554D4"/>
    <w:rsid w:val="00B56906"/>
    <w:rsid w:val="00B61CD3"/>
    <w:rsid w:val="00B6221E"/>
    <w:rsid w:val="00B661BB"/>
    <w:rsid w:val="00B7178E"/>
    <w:rsid w:val="00B71CB5"/>
    <w:rsid w:val="00B71D2D"/>
    <w:rsid w:val="00B72922"/>
    <w:rsid w:val="00B72A13"/>
    <w:rsid w:val="00B72ADA"/>
    <w:rsid w:val="00B73D5D"/>
    <w:rsid w:val="00B76CDD"/>
    <w:rsid w:val="00B77BCC"/>
    <w:rsid w:val="00B84DD5"/>
    <w:rsid w:val="00B9026B"/>
    <w:rsid w:val="00B90E3C"/>
    <w:rsid w:val="00B915B4"/>
    <w:rsid w:val="00B9487E"/>
    <w:rsid w:val="00B95910"/>
    <w:rsid w:val="00BA04E5"/>
    <w:rsid w:val="00BA29E7"/>
    <w:rsid w:val="00BA3A4C"/>
    <w:rsid w:val="00BB0F20"/>
    <w:rsid w:val="00BB3911"/>
    <w:rsid w:val="00BB7BF7"/>
    <w:rsid w:val="00BC415B"/>
    <w:rsid w:val="00BD2329"/>
    <w:rsid w:val="00BD2CDE"/>
    <w:rsid w:val="00BD41CF"/>
    <w:rsid w:val="00BE0164"/>
    <w:rsid w:val="00BE09F1"/>
    <w:rsid w:val="00BE12BD"/>
    <w:rsid w:val="00BE2ED7"/>
    <w:rsid w:val="00BE439B"/>
    <w:rsid w:val="00BE5A6C"/>
    <w:rsid w:val="00BE6AB8"/>
    <w:rsid w:val="00BF086D"/>
    <w:rsid w:val="00BF2167"/>
    <w:rsid w:val="00C04139"/>
    <w:rsid w:val="00C05091"/>
    <w:rsid w:val="00C1121F"/>
    <w:rsid w:val="00C13353"/>
    <w:rsid w:val="00C21B3D"/>
    <w:rsid w:val="00C2788D"/>
    <w:rsid w:val="00C361F6"/>
    <w:rsid w:val="00C3669A"/>
    <w:rsid w:val="00C36F8A"/>
    <w:rsid w:val="00C4098C"/>
    <w:rsid w:val="00C40EFA"/>
    <w:rsid w:val="00C423E3"/>
    <w:rsid w:val="00C44BAC"/>
    <w:rsid w:val="00C45551"/>
    <w:rsid w:val="00C45626"/>
    <w:rsid w:val="00C458AF"/>
    <w:rsid w:val="00C460A0"/>
    <w:rsid w:val="00C470C4"/>
    <w:rsid w:val="00C50068"/>
    <w:rsid w:val="00C549F4"/>
    <w:rsid w:val="00C56068"/>
    <w:rsid w:val="00C6702E"/>
    <w:rsid w:val="00C676F3"/>
    <w:rsid w:val="00C7226B"/>
    <w:rsid w:val="00C75909"/>
    <w:rsid w:val="00C77EFD"/>
    <w:rsid w:val="00C819E2"/>
    <w:rsid w:val="00C81A10"/>
    <w:rsid w:val="00C821B3"/>
    <w:rsid w:val="00C8244D"/>
    <w:rsid w:val="00C829DF"/>
    <w:rsid w:val="00C833DC"/>
    <w:rsid w:val="00C84021"/>
    <w:rsid w:val="00C858D0"/>
    <w:rsid w:val="00C85A9A"/>
    <w:rsid w:val="00C875AE"/>
    <w:rsid w:val="00C930C5"/>
    <w:rsid w:val="00C9310B"/>
    <w:rsid w:val="00CB1536"/>
    <w:rsid w:val="00CB3907"/>
    <w:rsid w:val="00CC0C54"/>
    <w:rsid w:val="00CC1016"/>
    <w:rsid w:val="00CD15DB"/>
    <w:rsid w:val="00CD1721"/>
    <w:rsid w:val="00CD4DDC"/>
    <w:rsid w:val="00CD6984"/>
    <w:rsid w:val="00CF0BE6"/>
    <w:rsid w:val="00CF2008"/>
    <w:rsid w:val="00CF33B3"/>
    <w:rsid w:val="00CF4188"/>
    <w:rsid w:val="00CF4E9E"/>
    <w:rsid w:val="00CF7446"/>
    <w:rsid w:val="00CF7848"/>
    <w:rsid w:val="00D0526F"/>
    <w:rsid w:val="00D06213"/>
    <w:rsid w:val="00D06AF1"/>
    <w:rsid w:val="00D10010"/>
    <w:rsid w:val="00D1109D"/>
    <w:rsid w:val="00D1208B"/>
    <w:rsid w:val="00D12BB7"/>
    <w:rsid w:val="00D13C56"/>
    <w:rsid w:val="00D24BA9"/>
    <w:rsid w:val="00D25334"/>
    <w:rsid w:val="00D31882"/>
    <w:rsid w:val="00D31BAB"/>
    <w:rsid w:val="00D34AFB"/>
    <w:rsid w:val="00D35A03"/>
    <w:rsid w:val="00D37377"/>
    <w:rsid w:val="00D45B8C"/>
    <w:rsid w:val="00D567E0"/>
    <w:rsid w:val="00D56A09"/>
    <w:rsid w:val="00D630DE"/>
    <w:rsid w:val="00D645C6"/>
    <w:rsid w:val="00D65905"/>
    <w:rsid w:val="00D72C02"/>
    <w:rsid w:val="00D72F5B"/>
    <w:rsid w:val="00D7327A"/>
    <w:rsid w:val="00D828F9"/>
    <w:rsid w:val="00D84DE6"/>
    <w:rsid w:val="00D866B9"/>
    <w:rsid w:val="00D9086C"/>
    <w:rsid w:val="00D912E6"/>
    <w:rsid w:val="00D91D4D"/>
    <w:rsid w:val="00D92CDC"/>
    <w:rsid w:val="00D94745"/>
    <w:rsid w:val="00D963D5"/>
    <w:rsid w:val="00DA05C5"/>
    <w:rsid w:val="00DA2ED1"/>
    <w:rsid w:val="00DA41B2"/>
    <w:rsid w:val="00DA5D06"/>
    <w:rsid w:val="00DA7B20"/>
    <w:rsid w:val="00DB28D9"/>
    <w:rsid w:val="00DB58DD"/>
    <w:rsid w:val="00DC3BEA"/>
    <w:rsid w:val="00DC621D"/>
    <w:rsid w:val="00DC6A98"/>
    <w:rsid w:val="00DC7245"/>
    <w:rsid w:val="00DC730A"/>
    <w:rsid w:val="00DD12FC"/>
    <w:rsid w:val="00DE080A"/>
    <w:rsid w:val="00DE130A"/>
    <w:rsid w:val="00DE1F21"/>
    <w:rsid w:val="00DE38B2"/>
    <w:rsid w:val="00DE3D1B"/>
    <w:rsid w:val="00DE3F82"/>
    <w:rsid w:val="00DF48F4"/>
    <w:rsid w:val="00DF4926"/>
    <w:rsid w:val="00DF71D5"/>
    <w:rsid w:val="00E05572"/>
    <w:rsid w:val="00E110E5"/>
    <w:rsid w:val="00E166FD"/>
    <w:rsid w:val="00E21E66"/>
    <w:rsid w:val="00E22F10"/>
    <w:rsid w:val="00E25706"/>
    <w:rsid w:val="00E264BB"/>
    <w:rsid w:val="00E276DF"/>
    <w:rsid w:val="00E30596"/>
    <w:rsid w:val="00E3297F"/>
    <w:rsid w:val="00E33434"/>
    <w:rsid w:val="00E37A5B"/>
    <w:rsid w:val="00E41A7C"/>
    <w:rsid w:val="00E43C23"/>
    <w:rsid w:val="00E45E6A"/>
    <w:rsid w:val="00E50A42"/>
    <w:rsid w:val="00E51E25"/>
    <w:rsid w:val="00E534A9"/>
    <w:rsid w:val="00E56D64"/>
    <w:rsid w:val="00E62075"/>
    <w:rsid w:val="00E65BC0"/>
    <w:rsid w:val="00E65FFF"/>
    <w:rsid w:val="00E71CE6"/>
    <w:rsid w:val="00E71E16"/>
    <w:rsid w:val="00E73772"/>
    <w:rsid w:val="00E76641"/>
    <w:rsid w:val="00E770FB"/>
    <w:rsid w:val="00E81B2D"/>
    <w:rsid w:val="00E84D18"/>
    <w:rsid w:val="00E851E8"/>
    <w:rsid w:val="00E86200"/>
    <w:rsid w:val="00E95703"/>
    <w:rsid w:val="00EA0297"/>
    <w:rsid w:val="00EA3F05"/>
    <w:rsid w:val="00EA57DC"/>
    <w:rsid w:val="00EA5E85"/>
    <w:rsid w:val="00EB0B07"/>
    <w:rsid w:val="00EB1B82"/>
    <w:rsid w:val="00EB635D"/>
    <w:rsid w:val="00EC080A"/>
    <w:rsid w:val="00EC70BC"/>
    <w:rsid w:val="00ED018E"/>
    <w:rsid w:val="00ED5F4D"/>
    <w:rsid w:val="00EE23B6"/>
    <w:rsid w:val="00EE2EA9"/>
    <w:rsid w:val="00EE4B1C"/>
    <w:rsid w:val="00EE55F9"/>
    <w:rsid w:val="00EE62A5"/>
    <w:rsid w:val="00EF0980"/>
    <w:rsid w:val="00EF189B"/>
    <w:rsid w:val="00EF264D"/>
    <w:rsid w:val="00EF642D"/>
    <w:rsid w:val="00EF74A9"/>
    <w:rsid w:val="00F07D68"/>
    <w:rsid w:val="00F11454"/>
    <w:rsid w:val="00F221FC"/>
    <w:rsid w:val="00F228EE"/>
    <w:rsid w:val="00F33C7D"/>
    <w:rsid w:val="00F3521A"/>
    <w:rsid w:val="00F414E9"/>
    <w:rsid w:val="00F418BD"/>
    <w:rsid w:val="00F42383"/>
    <w:rsid w:val="00F57AFC"/>
    <w:rsid w:val="00F627E4"/>
    <w:rsid w:val="00F65DBD"/>
    <w:rsid w:val="00F669B9"/>
    <w:rsid w:val="00F70C47"/>
    <w:rsid w:val="00F73533"/>
    <w:rsid w:val="00F73649"/>
    <w:rsid w:val="00F76329"/>
    <w:rsid w:val="00F80BC4"/>
    <w:rsid w:val="00F80CEE"/>
    <w:rsid w:val="00F85F62"/>
    <w:rsid w:val="00F86BC7"/>
    <w:rsid w:val="00F91EC6"/>
    <w:rsid w:val="00F92AA4"/>
    <w:rsid w:val="00F952AE"/>
    <w:rsid w:val="00FA1DB2"/>
    <w:rsid w:val="00FB59A0"/>
    <w:rsid w:val="00FC032F"/>
    <w:rsid w:val="00FC42BD"/>
    <w:rsid w:val="00FC4AC5"/>
    <w:rsid w:val="00FD2E9B"/>
    <w:rsid w:val="00FE065B"/>
    <w:rsid w:val="00FE17D2"/>
    <w:rsid w:val="00FE3913"/>
    <w:rsid w:val="00FF2863"/>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690A9337-93C8-400D-8FB4-5341E25A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ullout">
    <w:name w:val="parafullout"/>
    <w:basedOn w:val="Normal"/>
    <w:rsid w:val="00AB4DFE"/>
    <w:pPr>
      <w:adjustRightInd w:val="0"/>
      <w:spacing w:before="180"/>
      <w:jc w:val="both"/>
      <w:textAlignment w:val="baseline"/>
    </w:pPr>
    <w:rPr>
      <w:rFonts w:ascii="Verdana" w:hAnsi="Verdana"/>
      <w:sz w:val="18"/>
      <w:szCs w:val="20"/>
      <w:lang w:val="en-US" w:eastAsia="en-ZA"/>
    </w:rPr>
  </w:style>
  <w:style w:type="paragraph" w:customStyle="1" w:styleId="footnotes">
    <w:name w:val="footnotes"/>
    <w:basedOn w:val="Normal"/>
    <w:rsid w:val="00AB4DFE"/>
    <w:pPr>
      <w:tabs>
        <w:tab w:val="right" w:pos="397"/>
        <w:tab w:val="left" w:pos="567"/>
      </w:tabs>
      <w:adjustRightInd w:val="0"/>
      <w:ind w:left="567" w:hanging="567"/>
      <w:jc w:val="both"/>
      <w:textAlignment w:val="baseline"/>
    </w:pPr>
    <w:rPr>
      <w:rFonts w:ascii="Verdana" w:hAnsi="Verdana"/>
      <w:sz w:val="16"/>
      <w:szCs w:val="20"/>
      <w:lang w:val="en-US" w:eastAsia="en-ZA"/>
    </w:rPr>
  </w:style>
  <w:style w:type="paragraph" w:customStyle="1" w:styleId="Quote2">
    <w:name w:val="Quote2"/>
    <w:basedOn w:val="Normal"/>
    <w:rsid w:val="00AB4DFE"/>
    <w:pPr>
      <w:adjustRightInd w:val="0"/>
      <w:spacing w:before="120"/>
      <w:ind w:left="567" w:right="567"/>
      <w:jc w:val="both"/>
      <w:textAlignment w:val="baseline"/>
    </w:pPr>
    <w:rPr>
      <w:rFonts w:ascii="Verdana" w:hAnsi="Verdana"/>
      <w:sz w:val="16"/>
      <w:szCs w:val="20"/>
      <w:lang w:val="en-US" w:eastAsia="en-ZA"/>
    </w:rPr>
  </w:style>
  <w:style w:type="character" w:customStyle="1" w:styleId="searchhit">
    <w:name w:val="searchhit"/>
    <w:basedOn w:val="DefaultParagraphFont"/>
    <w:rsid w:val="0096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252588246">
      <w:bodyDiv w:val="1"/>
      <w:marLeft w:val="0"/>
      <w:marRight w:val="0"/>
      <w:marTop w:val="0"/>
      <w:marBottom w:val="0"/>
      <w:divBdr>
        <w:top w:val="none" w:sz="0" w:space="0" w:color="auto"/>
        <w:left w:val="none" w:sz="0" w:space="0" w:color="auto"/>
        <w:bottom w:val="none" w:sz="0" w:space="0" w:color="auto"/>
        <w:right w:val="none" w:sz="0" w:space="0" w:color="auto"/>
      </w:divBdr>
      <w:divsChild>
        <w:div w:id="49892297">
          <w:marLeft w:val="0"/>
          <w:marRight w:val="0"/>
          <w:marTop w:val="120"/>
          <w:marBottom w:val="0"/>
          <w:divBdr>
            <w:top w:val="none" w:sz="0" w:space="0" w:color="auto"/>
            <w:left w:val="none" w:sz="0" w:space="0" w:color="auto"/>
            <w:bottom w:val="none" w:sz="0" w:space="0" w:color="auto"/>
            <w:right w:val="none" w:sz="0" w:space="0" w:color="auto"/>
          </w:divBdr>
        </w:div>
        <w:div w:id="1064525761">
          <w:marLeft w:val="0"/>
          <w:marRight w:val="0"/>
          <w:marTop w:val="240"/>
          <w:marBottom w:val="0"/>
          <w:divBdr>
            <w:top w:val="none" w:sz="0" w:space="0" w:color="auto"/>
            <w:left w:val="none" w:sz="0" w:space="0" w:color="auto"/>
            <w:bottom w:val="none" w:sz="0" w:space="0" w:color="auto"/>
            <w:right w:val="none" w:sz="0" w:space="0" w:color="auto"/>
          </w:divBdr>
        </w:div>
        <w:div w:id="1917322377">
          <w:marLeft w:val="567"/>
          <w:marRight w:val="567"/>
          <w:marTop w:val="20"/>
          <w:marBottom w:val="20"/>
          <w:divBdr>
            <w:top w:val="none" w:sz="0" w:space="0" w:color="auto"/>
            <w:left w:val="none" w:sz="0" w:space="0" w:color="auto"/>
            <w:bottom w:val="none" w:sz="0" w:space="0" w:color="auto"/>
            <w:right w:val="none" w:sz="0" w:space="0" w:color="auto"/>
          </w:divBdr>
        </w:div>
        <w:div w:id="2020813544">
          <w:marLeft w:val="0"/>
          <w:marRight w:val="0"/>
          <w:marTop w:val="120"/>
          <w:marBottom w:val="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604074602">
      <w:bodyDiv w:val="1"/>
      <w:marLeft w:val="0"/>
      <w:marRight w:val="0"/>
      <w:marTop w:val="0"/>
      <w:marBottom w:val="0"/>
      <w:divBdr>
        <w:top w:val="none" w:sz="0" w:space="0" w:color="auto"/>
        <w:left w:val="none" w:sz="0" w:space="0" w:color="auto"/>
        <w:bottom w:val="none" w:sz="0" w:space="0" w:color="auto"/>
        <w:right w:val="none" w:sz="0" w:space="0" w:color="auto"/>
      </w:divBdr>
    </w:div>
    <w:div w:id="696738843">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587570539">
      <w:bodyDiv w:val="1"/>
      <w:marLeft w:val="0"/>
      <w:marRight w:val="0"/>
      <w:marTop w:val="0"/>
      <w:marBottom w:val="0"/>
      <w:divBdr>
        <w:top w:val="none" w:sz="0" w:space="0" w:color="auto"/>
        <w:left w:val="none" w:sz="0" w:space="0" w:color="auto"/>
        <w:bottom w:val="none" w:sz="0" w:space="0" w:color="auto"/>
        <w:right w:val="none" w:sz="0" w:space="0" w:color="auto"/>
      </w:divBdr>
      <w:divsChild>
        <w:div w:id="182087482">
          <w:marLeft w:val="675"/>
          <w:marRight w:val="0"/>
          <w:marTop w:val="0"/>
          <w:marBottom w:val="0"/>
          <w:divBdr>
            <w:top w:val="none" w:sz="0" w:space="0" w:color="auto"/>
            <w:left w:val="none" w:sz="0" w:space="0" w:color="auto"/>
            <w:bottom w:val="none" w:sz="0" w:space="0" w:color="auto"/>
            <w:right w:val="none" w:sz="0" w:space="0" w:color="auto"/>
          </w:divBdr>
        </w:div>
        <w:div w:id="211230294">
          <w:marLeft w:val="675"/>
          <w:marRight w:val="0"/>
          <w:marTop w:val="0"/>
          <w:marBottom w:val="0"/>
          <w:divBdr>
            <w:top w:val="none" w:sz="0" w:space="0" w:color="auto"/>
            <w:left w:val="none" w:sz="0" w:space="0" w:color="auto"/>
            <w:bottom w:val="none" w:sz="0" w:space="0" w:color="auto"/>
            <w:right w:val="none" w:sz="0" w:space="0" w:color="auto"/>
          </w:divBdr>
        </w:div>
        <w:div w:id="890920715">
          <w:marLeft w:val="675"/>
          <w:marRight w:val="0"/>
          <w:marTop w:val="0"/>
          <w:marBottom w:val="0"/>
          <w:divBdr>
            <w:top w:val="none" w:sz="0" w:space="0" w:color="auto"/>
            <w:left w:val="none" w:sz="0" w:space="0" w:color="auto"/>
            <w:bottom w:val="none" w:sz="0" w:space="0" w:color="auto"/>
            <w:right w:val="none" w:sz="0" w:space="0" w:color="auto"/>
          </w:divBdr>
        </w:div>
        <w:div w:id="1291858439">
          <w:marLeft w:val="675"/>
          <w:marRight w:val="0"/>
          <w:marTop w:val="0"/>
          <w:marBottom w:val="0"/>
          <w:divBdr>
            <w:top w:val="none" w:sz="0" w:space="0" w:color="auto"/>
            <w:left w:val="none" w:sz="0" w:space="0" w:color="auto"/>
            <w:bottom w:val="none" w:sz="0" w:space="0" w:color="auto"/>
            <w:right w:val="none" w:sz="0" w:space="0" w:color="auto"/>
          </w:divBdr>
        </w:div>
        <w:div w:id="1309630420">
          <w:marLeft w:val="675"/>
          <w:marRight w:val="0"/>
          <w:marTop w:val="0"/>
          <w:marBottom w:val="0"/>
          <w:divBdr>
            <w:top w:val="none" w:sz="0" w:space="0" w:color="auto"/>
            <w:left w:val="none" w:sz="0" w:space="0" w:color="auto"/>
            <w:bottom w:val="none" w:sz="0" w:space="0" w:color="auto"/>
            <w:right w:val="none" w:sz="0" w:space="0" w:color="auto"/>
          </w:divBdr>
        </w:div>
        <w:div w:id="1329602963">
          <w:marLeft w:val="675"/>
          <w:marRight w:val="0"/>
          <w:marTop w:val="0"/>
          <w:marBottom w:val="0"/>
          <w:divBdr>
            <w:top w:val="none" w:sz="0" w:space="0" w:color="auto"/>
            <w:left w:val="none" w:sz="0" w:space="0" w:color="auto"/>
            <w:bottom w:val="none" w:sz="0" w:space="0" w:color="auto"/>
            <w:right w:val="none" w:sz="0" w:space="0" w:color="auto"/>
          </w:divBdr>
        </w:div>
        <w:div w:id="1638492141">
          <w:marLeft w:val="675"/>
          <w:marRight w:val="0"/>
          <w:marTop w:val="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54155600">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 w:id="212645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1993v3SApg885" TargetMode="External"/><Relationship Id="rId2" Type="http://schemas.openxmlformats.org/officeDocument/2006/relationships/hyperlink" Target="https://app.jutastatevolve.co.za/y1988v3SApg259" TargetMode="External"/><Relationship Id="rId1" Type="http://schemas.openxmlformats.org/officeDocument/2006/relationships/hyperlink" Target="https://app.jutastatevolve.co.za/y1984v3SApg477" TargetMode="External"/><Relationship Id="rId4" Type="http://schemas.openxmlformats.org/officeDocument/2006/relationships/hyperlink" Target="https://app.jutastatevolve.co.za/y2001v4SApg3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7C3F-F49E-4992-9908-DFE81C69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5</TotalTime>
  <Pages>12</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Mariana Anguelov</cp:lastModifiedBy>
  <cp:revision>3</cp:revision>
  <cp:lastPrinted>2022-10-31T11:08:00Z</cp:lastPrinted>
  <dcterms:created xsi:type="dcterms:W3CDTF">2022-11-01T10:06:00Z</dcterms:created>
  <dcterms:modified xsi:type="dcterms:W3CDTF">2022-11-01T17:07:00Z</dcterms:modified>
</cp:coreProperties>
</file>