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7F48" w14:textId="77777777" w:rsidR="00D202C2" w:rsidRPr="00671349" w:rsidRDefault="007D51E5" w:rsidP="00DD186F">
      <w:pPr>
        <w:spacing w:after="120" w:line="360" w:lineRule="auto"/>
        <w:jc w:val="center"/>
        <w:rPr>
          <w:rFonts w:ascii="Arial" w:hAnsi="Arial" w:cs="Arial"/>
          <w:sz w:val="24"/>
          <w:szCs w:val="24"/>
        </w:rPr>
      </w:pPr>
      <w:r w:rsidRPr="00671349">
        <w:rPr>
          <w:rFonts w:ascii="Arial" w:hAnsi="Arial" w:cs="Arial"/>
          <w:noProof/>
          <w:sz w:val="24"/>
          <w:szCs w:val="24"/>
          <w:lang w:eastAsia="en-ZA"/>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315700" cy="1163789"/>
                    </a:xfrm>
                    <a:prstGeom prst="rect">
                      <a:avLst/>
                    </a:prstGeom>
                    <a:solidFill>
                      <a:sysClr val="windowText" lastClr="000000"/>
                    </a:solidFill>
                    <a:ln w="9525">
                      <a:noFill/>
                      <a:miter lim="800000"/>
                      <a:headEnd/>
                      <a:tailEnd/>
                    </a:ln>
                  </pic:spPr>
                </pic:pic>
              </a:graphicData>
            </a:graphic>
          </wp:inline>
        </w:drawing>
      </w:r>
    </w:p>
    <w:p w14:paraId="3954D95A" w14:textId="77777777" w:rsidR="000D0102" w:rsidRPr="00671349" w:rsidRDefault="00D202C2" w:rsidP="00D22617">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605FDDC8" w:rsidR="00D202C2" w:rsidRPr="00671349" w:rsidRDefault="000D0102" w:rsidP="00D22617">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(GAUTENG 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6CF3654C" w14:textId="1AC63C09" w:rsidR="00D202C2" w:rsidRDefault="00D202C2" w:rsidP="00B928FE">
      <w:pPr>
        <w:autoSpaceDE w:val="0"/>
        <w:autoSpaceDN w:val="0"/>
        <w:adjustRightInd w:val="0"/>
        <w:spacing w:before="240" w:after="120" w:line="360" w:lineRule="auto"/>
        <w:ind w:left="720"/>
        <w:jc w:val="right"/>
        <w:rPr>
          <w:rFonts w:ascii="Arial" w:hAnsi="Arial" w:cs="Arial"/>
          <w:sz w:val="24"/>
          <w:szCs w:val="24"/>
        </w:rPr>
      </w:pPr>
      <w:r w:rsidRPr="00671349">
        <w:rPr>
          <w:rFonts w:ascii="Arial" w:hAnsi="Arial" w:cs="Arial"/>
          <w:sz w:val="24"/>
          <w:szCs w:val="24"/>
        </w:rPr>
        <w:t xml:space="preserve">Case no: </w:t>
      </w:r>
      <w:r w:rsidR="00A1614B">
        <w:rPr>
          <w:rFonts w:ascii="Arial" w:hAnsi="Arial" w:cs="Arial"/>
          <w:sz w:val="24"/>
          <w:szCs w:val="24"/>
        </w:rPr>
        <w:t>2020 / 21134</w:t>
      </w:r>
    </w:p>
    <w:p w14:paraId="50821842" w14:textId="77777777" w:rsidR="007D51E5" w:rsidRPr="00671349" w:rsidRDefault="007D51E5" w:rsidP="00B928FE">
      <w:pPr>
        <w:autoSpaceDE w:val="0"/>
        <w:autoSpaceDN w:val="0"/>
        <w:adjustRightInd w:val="0"/>
        <w:spacing w:before="240" w:after="120" w:line="360" w:lineRule="auto"/>
        <w:rPr>
          <w:rFonts w:ascii="Arial" w:hAnsi="Arial" w:cs="Arial"/>
          <w:sz w:val="24"/>
          <w:szCs w:val="24"/>
        </w:rPr>
      </w:pPr>
      <w:r w:rsidRPr="00671349">
        <w:rPr>
          <w:rFonts w:ascii="Arial" w:hAnsi="Arial" w:cs="Arial"/>
          <w:noProof/>
          <w:sz w:val="24"/>
          <w:szCs w:val="24"/>
          <w:lang w:eastAsia="en-ZA"/>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77E539CA" w:rsidR="00FC0780" w:rsidRDefault="00F411B1" w:rsidP="00F411B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30DBB616" w:rsidR="00FC0780" w:rsidRDefault="00F411B1" w:rsidP="00F411B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4071E9">
                              <w:rPr>
                                <w:rFonts w:ascii="Century Gothic" w:hAnsi="Century Gothic"/>
                                <w:sz w:val="20"/>
                                <w:szCs w:val="20"/>
                              </w:rPr>
                              <w:t>NO</w:t>
                            </w:r>
                          </w:p>
                          <w:p w14:paraId="29110CF7" w14:textId="0461A3F6" w:rsidR="00FC0780" w:rsidRDefault="00F411B1" w:rsidP="00F411B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0D825FB2" w14:textId="4AE98DF0" w:rsidR="00BE7451" w:rsidRDefault="00FC0780" w:rsidP="00BE7451">
                            <w:pPr>
                              <w:rPr>
                                <w:rFonts w:ascii="Century Gothic" w:hAnsi="Century Gothic"/>
                                <w:sz w:val="18"/>
                                <w:szCs w:val="18"/>
                              </w:rPr>
                            </w:pPr>
                            <w:r>
                              <w:rPr>
                                <w:rFonts w:ascii="Century Gothic" w:hAnsi="Century Gothic"/>
                                <w:b/>
                                <w:sz w:val="18"/>
                                <w:szCs w:val="18"/>
                              </w:rPr>
                              <w:t xml:space="preserve"> </w:t>
                            </w:r>
                            <w:r w:rsidR="00BE7451" w:rsidRPr="00FE508D">
                              <w:rPr>
                                <w:rFonts w:ascii="Century Gothic" w:hAnsi="Century Gothic"/>
                                <w:b/>
                                <w:sz w:val="18"/>
                                <w:szCs w:val="18"/>
                              </w:rPr>
                              <w:t xml:space="preserve">Signed: …………………….. </w:t>
                            </w:r>
                            <w:r w:rsidR="00BE7451" w:rsidRPr="00FE508D">
                              <w:rPr>
                                <w:rFonts w:ascii="Century Gothic" w:hAnsi="Century Gothic"/>
                                <w:b/>
                                <w:sz w:val="18"/>
                                <w:szCs w:val="18"/>
                              </w:rPr>
                              <w:tab/>
                              <w:t xml:space="preserve">Date: </w:t>
                            </w:r>
                            <w:r w:rsidR="00BE7451">
                              <w:rPr>
                                <w:rFonts w:ascii="Century Gothic" w:hAnsi="Century Gothic"/>
                                <w:b/>
                                <w:sz w:val="18"/>
                                <w:szCs w:val="18"/>
                              </w:rPr>
                              <w:t>25</w:t>
                            </w:r>
                            <w:r w:rsidR="00BE7451" w:rsidRPr="00FE508D">
                              <w:rPr>
                                <w:rFonts w:ascii="Century Gothic" w:hAnsi="Century Gothic"/>
                                <w:b/>
                                <w:sz w:val="18"/>
                                <w:szCs w:val="18"/>
                              </w:rPr>
                              <w:t xml:space="preserve"> October 2022</w:t>
                            </w:r>
                          </w:p>
                          <w:p w14:paraId="7806C82D" w14:textId="5D9DEDA1" w:rsidR="00FC0780" w:rsidRDefault="00FC0780" w:rsidP="00BE7451">
                            <w:pPr>
                              <w:rPr>
                                <w:rFonts w:ascii="Century Gothic" w:hAnsi="Century Gothic"/>
                                <w:sz w:val="18"/>
                                <w:szCs w:val="18"/>
                              </w:rPr>
                            </w:pPr>
                            <w:r>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">
                <v:textbox>
                  <w:txbxContent>
                    <w:p w14:paraId="56016463" w14:textId="77777777" w:rsidR="00FC0780" w:rsidRDefault="00FC0780" w:rsidP="007D51E5">
                      <w:pPr>
                        <w:jc w:val="center"/>
                        <w:rPr>
                          <w:rFonts w:ascii="Century Gothic" w:hAnsi="Century Gothic"/>
                          <w:b/>
                          <w:sz w:val="20"/>
                          <w:szCs w:val="20"/>
                        </w:rPr>
                      </w:pPr>
                    </w:p>
                    <w:p w14:paraId="0E750DD9" w14:textId="77E539CA" w:rsidR="00FC0780" w:rsidRDefault="00F411B1" w:rsidP="00F411B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4071E9">
                        <w:rPr>
                          <w:rFonts w:ascii="Century Gothic" w:hAnsi="Century Gothic"/>
                          <w:sz w:val="20"/>
                          <w:szCs w:val="20"/>
                        </w:rPr>
                        <w:t>NO</w:t>
                      </w:r>
                    </w:p>
                    <w:p w14:paraId="3BA0F62E" w14:textId="30DBB616" w:rsidR="00FC0780" w:rsidRDefault="00F411B1" w:rsidP="00F411B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4071E9">
                        <w:rPr>
                          <w:rFonts w:ascii="Century Gothic" w:hAnsi="Century Gothic"/>
                          <w:sz w:val="20"/>
                          <w:szCs w:val="20"/>
                        </w:rPr>
                        <w:t>NO</w:t>
                      </w:r>
                    </w:p>
                    <w:p w14:paraId="29110CF7" w14:textId="0461A3F6" w:rsidR="00FC0780" w:rsidRDefault="00F411B1" w:rsidP="00F411B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0D825FB2" w14:textId="4AE98DF0" w:rsidR="00BE7451" w:rsidRDefault="00FC0780" w:rsidP="00BE7451">
                      <w:pPr>
                        <w:rPr>
                          <w:rFonts w:ascii="Century Gothic" w:hAnsi="Century Gothic"/>
                          <w:sz w:val="18"/>
                          <w:szCs w:val="18"/>
                        </w:rPr>
                      </w:pPr>
                      <w:r>
                        <w:rPr>
                          <w:rFonts w:ascii="Century Gothic" w:hAnsi="Century Gothic"/>
                          <w:b/>
                          <w:sz w:val="18"/>
                          <w:szCs w:val="18"/>
                        </w:rPr>
                        <w:t xml:space="preserve"> </w:t>
                      </w:r>
                      <w:r w:rsidR="00BE7451" w:rsidRPr="00FE508D">
                        <w:rPr>
                          <w:rFonts w:ascii="Century Gothic" w:hAnsi="Century Gothic"/>
                          <w:b/>
                          <w:sz w:val="18"/>
                          <w:szCs w:val="18"/>
                        </w:rPr>
                        <w:t xml:space="preserve">Signed: …………………….. </w:t>
                      </w:r>
                      <w:r w:rsidR="00BE7451" w:rsidRPr="00FE508D">
                        <w:rPr>
                          <w:rFonts w:ascii="Century Gothic" w:hAnsi="Century Gothic"/>
                          <w:b/>
                          <w:sz w:val="18"/>
                          <w:szCs w:val="18"/>
                        </w:rPr>
                        <w:tab/>
                        <w:t xml:space="preserve">Date: </w:t>
                      </w:r>
                      <w:r w:rsidR="00BE7451">
                        <w:rPr>
                          <w:rFonts w:ascii="Century Gothic" w:hAnsi="Century Gothic"/>
                          <w:b/>
                          <w:sz w:val="18"/>
                          <w:szCs w:val="18"/>
                        </w:rPr>
                        <w:t>25</w:t>
                      </w:r>
                      <w:r w:rsidR="00BE7451" w:rsidRPr="00FE508D">
                        <w:rPr>
                          <w:rFonts w:ascii="Century Gothic" w:hAnsi="Century Gothic"/>
                          <w:b/>
                          <w:sz w:val="18"/>
                          <w:szCs w:val="18"/>
                        </w:rPr>
                        <w:t xml:space="preserve"> October 2022</w:t>
                      </w:r>
                    </w:p>
                    <w:p w14:paraId="7806C82D" w14:textId="5D9DEDA1" w:rsidR="00FC0780" w:rsidRDefault="00FC0780" w:rsidP="00BE7451">
                      <w:pPr>
                        <w:rPr>
                          <w:rFonts w:ascii="Century Gothic" w:hAnsi="Century Gothic"/>
                          <w:sz w:val="18"/>
                          <w:szCs w:val="18"/>
                        </w:rPr>
                      </w:pPr>
                      <w:r>
                        <w:rPr>
                          <w:rFonts w:ascii="Century Gothic" w:hAnsi="Century Gothic"/>
                          <w:sz w:val="18"/>
                          <w:szCs w:val="18"/>
                        </w:rPr>
                        <w:t>SIGNATURE</w:t>
                      </w:r>
                    </w:p>
                  </w:txbxContent>
                </v:textbox>
                <w10:anchorlock/>
              </v:shape>
            </w:pict>
          </mc:Fallback>
        </mc:AlternateContent>
      </w:r>
    </w:p>
    <w:p w14:paraId="29E97B5D" w14:textId="77777777" w:rsidR="00D202C2" w:rsidRPr="00671349" w:rsidRDefault="00D202C2" w:rsidP="00D22617">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7D2E5B06" w14:textId="7F19C158" w:rsidR="00D202C2" w:rsidRPr="00671349" w:rsidRDefault="005F6872" w:rsidP="00D22617">
      <w:pPr>
        <w:pStyle w:val="NoSpacing"/>
        <w:tabs>
          <w:tab w:val="left" w:pos="720"/>
          <w:tab w:val="left" w:pos="1440"/>
          <w:tab w:val="left" w:pos="2160"/>
          <w:tab w:val="right" w:pos="9050"/>
        </w:tabs>
        <w:spacing w:after="240" w:line="360" w:lineRule="auto"/>
        <w:rPr>
          <w:rFonts w:ascii="Arial" w:hAnsi="Arial"/>
          <w:b/>
          <w:bCs/>
          <w:sz w:val="24"/>
          <w:szCs w:val="24"/>
        </w:rPr>
      </w:pPr>
      <w:r>
        <w:rPr>
          <w:rFonts w:ascii="Arial" w:hAnsi="Arial"/>
          <w:b/>
          <w:sz w:val="24"/>
          <w:szCs w:val="24"/>
        </w:rPr>
        <w:t>SHOES TRAVEL &amp; ENTERPRISES CC</w:t>
      </w:r>
      <w:r w:rsidR="006B3093">
        <w:rPr>
          <w:rFonts w:ascii="Arial" w:hAnsi="Arial"/>
          <w:b/>
          <w:sz w:val="24"/>
          <w:szCs w:val="24"/>
        </w:rPr>
        <w:tab/>
        <w:t>Plaintiff</w:t>
      </w:r>
    </w:p>
    <w:p w14:paraId="7666F6E1" w14:textId="67350B6C" w:rsidR="00D202C2" w:rsidRPr="00671349" w:rsidRDefault="00D202C2" w:rsidP="00D22617">
      <w:pPr>
        <w:tabs>
          <w:tab w:val="left" w:pos="0"/>
          <w:tab w:val="right" w:pos="9050"/>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3544B960" w14:textId="1A1B5BC9" w:rsidR="006B3093" w:rsidRDefault="005F6872" w:rsidP="006B3093">
      <w:pPr>
        <w:tabs>
          <w:tab w:val="left" w:pos="0"/>
          <w:tab w:val="right" w:pos="9050"/>
        </w:tabs>
        <w:autoSpaceDE w:val="0"/>
        <w:autoSpaceDN w:val="0"/>
        <w:adjustRightInd w:val="0"/>
        <w:spacing w:before="240" w:after="120" w:line="360" w:lineRule="auto"/>
        <w:rPr>
          <w:rFonts w:ascii="Arial" w:hAnsi="Arial" w:cs="Arial"/>
          <w:b/>
          <w:bCs/>
          <w:sz w:val="24"/>
          <w:szCs w:val="24"/>
        </w:rPr>
      </w:pPr>
      <w:r>
        <w:rPr>
          <w:rFonts w:ascii="Arial" w:hAnsi="Arial" w:cs="Arial"/>
          <w:b/>
          <w:bCs/>
          <w:sz w:val="24"/>
          <w:szCs w:val="24"/>
        </w:rPr>
        <w:t xml:space="preserve">OBERTHUR TECHNOLOGIES </w:t>
      </w:r>
      <w:r w:rsidR="006B3093">
        <w:rPr>
          <w:rFonts w:ascii="Arial" w:hAnsi="Arial" w:cs="Arial"/>
          <w:b/>
          <w:bCs/>
          <w:sz w:val="24"/>
          <w:szCs w:val="24"/>
        </w:rPr>
        <w:t>(PTY) LTD</w:t>
      </w:r>
      <w:r w:rsidR="006B3093">
        <w:rPr>
          <w:rFonts w:ascii="Arial" w:hAnsi="Arial" w:cs="Arial"/>
          <w:b/>
          <w:bCs/>
          <w:sz w:val="24"/>
          <w:szCs w:val="24"/>
        </w:rPr>
        <w:tab/>
        <w:t>Defendant</w:t>
      </w:r>
    </w:p>
    <w:p w14:paraId="6B75B693" w14:textId="77777777" w:rsidR="00B928FE" w:rsidRPr="00671349" w:rsidRDefault="00B928FE" w:rsidP="00DD186F">
      <w:pPr>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___________________________________________________________________</w:t>
      </w:r>
    </w:p>
    <w:p w14:paraId="1DEA2455" w14:textId="608D3F9E" w:rsidR="00D202C2" w:rsidRPr="00671349" w:rsidRDefault="00D202C2" w:rsidP="00B928FE">
      <w:pPr>
        <w:autoSpaceDE w:val="0"/>
        <w:autoSpaceDN w:val="0"/>
        <w:adjustRightInd w:val="0"/>
        <w:spacing w:before="240" w:after="120" w:line="360" w:lineRule="auto"/>
        <w:jc w:val="center"/>
        <w:rPr>
          <w:rFonts w:ascii="Arial" w:hAnsi="Arial" w:cs="Arial"/>
          <w:b/>
          <w:bCs/>
          <w:sz w:val="24"/>
          <w:szCs w:val="24"/>
        </w:rPr>
      </w:pPr>
      <w:r w:rsidRPr="00671349">
        <w:rPr>
          <w:rFonts w:ascii="Arial" w:hAnsi="Arial" w:cs="Arial"/>
          <w:b/>
          <w:bCs/>
          <w:sz w:val="24"/>
          <w:szCs w:val="24"/>
        </w:rPr>
        <w:t>JUDGMENT</w:t>
      </w:r>
      <w:r w:rsidR="005F6872">
        <w:rPr>
          <w:rFonts w:ascii="Arial" w:hAnsi="Arial" w:cs="Arial"/>
          <w:b/>
          <w:bCs/>
          <w:sz w:val="24"/>
          <w:szCs w:val="24"/>
        </w:rPr>
        <w:t xml:space="preserve"> (SUMMARY JUDGMENT)</w:t>
      </w:r>
    </w:p>
    <w:p w14:paraId="3A809F54" w14:textId="77777777" w:rsidR="00B928FE" w:rsidRPr="00671349" w:rsidRDefault="00B928FE" w:rsidP="00001F4A">
      <w:pPr>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___________________________________________________________________</w:t>
      </w:r>
    </w:p>
    <w:p w14:paraId="7A54B147" w14:textId="697BE5E5" w:rsidR="004071E9" w:rsidRDefault="00BE7451"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FE508D">
        <w:rPr>
          <w:rFonts w:ascii="Arial" w:hAnsi="Arial" w:cs="Arial"/>
          <w:b/>
          <w:sz w:val="24"/>
          <w:szCs w:val="24"/>
        </w:rPr>
        <w:t xml:space="preserve">This judgment </w:t>
      </w:r>
      <w:r w:rsidR="00DD186F">
        <w:rPr>
          <w:rFonts w:ascii="Arial" w:hAnsi="Arial" w:cs="Arial"/>
          <w:b/>
          <w:sz w:val="24"/>
          <w:szCs w:val="24"/>
        </w:rPr>
        <w:t xml:space="preserve">is </w:t>
      </w:r>
      <w:r w:rsidRPr="00FE508D">
        <w:rPr>
          <w:rFonts w:ascii="Arial" w:hAnsi="Arial" w:cs="Arial"/>
          <w:b/>
          <w:sz w:val="24"/>
          <w:szCs w:val="24"/>
        </w:rPr>
        <w:t>handed down electronically by circulation to the parties’ legal representatives by e-mail and by uploading the signed copy hereof to Caselines</w:t>
      </w:r>
      <w:r w:rsidR="004071E9">
        <w:rPr>
          <w:rFonts w:ascii="Arial" w:hAnsi="Arial" w:cs="Arial"/>
          <w:b/>
          <w:sz w:val="24"/>
          <w:szCs w:val="24"/>
        </w:rPr>
        <w:t>.</w:t>
      </w:r>
    </w:p>
    <w:p w14:paraId="3D0B6B3F" w14:textId="77777777" w:rsidR="0004061F" w:rsidRDefault="0004061F" w:rsidP="00DD186F">
      <w:pPr>
        <w:spacing w:after="160" w:line="240" w:lineRule="auto"/>
        <w:jc w:val="left"/>
        <w:rPr>
          <w:rFonts w:ascii="Arial" w:hAnsi="Arial" w:cs="Arial"/>
          <w:bCs/>
          <w:sz w:val="24"/>
          <w:szCs w:val="24"/>
        </w:rPr>
      </w:pPr>
      <w:bookmarkStart w:id="0" w:name="_Hlk117425485"/>
    </w:p>
    <w:p w14:paraId="06759EC8" w14:textId="2BA491EF" w:rsidR="008D799A" w:rsidRDefault="00DA0F1B" w:rsidP="00B06A56">
      <w:pPr>
        <w:spacing w:after="160" w:line="360" w:lineRule="auto"/>
        <w:rPr>
          <w:rFonts w:ascii="Arial" w:hAnsi="Arial" w:cs="Arial"/>
          <w:b/>
          <w:sz w:val="24"/>
          <w:szCs w:val="24"/>
        </w:rPr>
      </w:pPr>
      <w:r>
        <w:rPr>
          <w:rFonts w:ascii="Arial" w:hAnsi="Arial" w:cs="Arial"/>
          <w:bCs/>
          <w:sz w:val="24"/>
          <w:szCs w:val="24"/>
        </w:rPr>
        <w:t xml:space="preserve">Practice </w:t>
      </w:r>
      <w:r w:rsidRPr="00656B16">
        <w:rPr>
          <w:rFonts w:ascii="Arial" w:hAnsi="Arial" w:cs="Arial"/>
          <w:bCs/>
          <w:sz w:val="24"/>
          <w:szCs w:val="24"/>
        </w:rPr>
        <w:t>—</w:t>
      </w:r>
      <w:r>
        <w:rPr>
          <w:rFonts w:ascii="Arial" w:hAnsi="Arial" w:cs="Arial"/>
          <w:bCs/>
          <w:sz w:val="24"/>
          <w:szCs w:val="24"/>
        </w:rPr>
        <w:t xml:space="preserve"> Judgments and orders </w:t>
      </w:r>
      <w:r w:rsidRPr="00656B16">
        <w:rPr>
          <w:rFonts w:ascii="Arial" w:hAnsi="Arial" w:cs="Arial"/>
          <w:bCs/>
          <w:sz w:val="24"/>
          <w:szCs w:val="24"/>
        </w:rPr>
        <w:t>—</w:t>
      </w:r>
      <w:r>
        <w:rPr>
          <w:rFonts w:ascii="Arial" w:hAnsi="Arial" w:cs="Arial"/>
          <w:bCs/>
          <w:sz w:val="24"/>
          <w:szCs w:val="24"/>
        </w:rPr>
        <w:t xml:space="preserve"> </w:t>
      </w:r>
      <w:r w:rsidR="00BE7451">
        <w:rPr>
          <w:rFonts w:ascii="Arial" w:hAnsi="Arial" w:cs="Arial"/>
          <w:bCs/>
          <w:sz w:val="24"/>
          <w:szCs w:val="24"/>
        </w:rPr>
        <w:t xml:space="preserve">Summary </w:t>
      </w:r>
      <w:r w:rsidR="0004061F">
        <w:rPr>
          <w:rFonts w:ascii="Arial" w:hAnsi="Arial" w:cs="Arial"/>
          <w:bCs/>
          <w:sz w:val="24"/>
          <w:szCs w:val="24"/>
        </w:rPr>
        <w:t>j</w:t>
      </w:r>
      <w:r w:rsidR="00BE7451">
        <w:rPr>
          <w:rFonts w:ascii="Arial" w:hAnsi="Arial" w:cs="Arial"/>
          <w:bCs/>
          <w:sz w:val="24"/>
          <w:szCs w:val="24"/>
        </w:rPr>
        <w:t xml:space="preserve">udgment </w:t>
      </w:r>
      <w:r w:rsidR="00BE7451" w:rsidRPr="00656B16">
        <w:rPr>
          <w:rFonts w:ascii="Arial" w:hAnsi="Arial" w:cs="Arial"/>
          <w:bCs/>
          <w:sz w:val="24"/>
          <w:szCs w:val="24"/>
        </w:rPr>
        <w:t>—</w:t>
      </w:r>
      <w:bookmarkEnd w:id="0"/>
      <w:r w:rsidR="00BE7451">
        <w:rPr>
          <w:rFonts w:ascii="Arial" w:hAnsi="Arial" w:cs="Arial"/>
          <w:bCs/>
          <w:sz w:val="24"/>
          <w:szCs w:val="24"/>
        </w:rPr>
        <w:t xml:space="preserve"> </w:t>
      </w:r>
      <w:r w:rsidR="0004061F">
        <w:rPr>
          <w:rFonts w:ascii="Arial" w:hAnsi="Arial" w:cs="Arial"/>
          <w:bCs/>
          <w:sz w:val="24"/>
          <w:szCs w:val="24"/>
        </w:rPr>
        <w:t xml:space="preserve">Liquidated amount in money under </w:t>
      </w:r>
      <w:r>
        <w:rPr>
          <w:rFonts w:ascii="Arial" w:hAnsi="Arial" w:cs="Arial"/>
          <w:bCs/>
          <w:sz w:val="24"/>
          <w:szCs w:val="24"/>
        </w:rPr>
        <w:t>Rule 32</w:t>
      </w:r>
      <w:r w:rsidR="0004061F">
        <w:rPr>
          <w:rFonts w:ascii="Arial" w:hAnsi="Arial" w:cs="Arial"/>
          <w:bCs/>
          <w:sz w:val="24"/>
          <w:szCs w:val="24"/>
        </w:rPr>
        <w:t>(1)</w:t>
      </w:r>
      <w:r>
        <w:rPr>
          <w:rFonts w:ascii="Arial" w:hAnsi="Arial" w:cs="Arial"/>
          <w:bCs/>
          <w:sz w:val="24"/>
          <w:szCs w:val="24"/>
        </w:rPr>
        <w:t xml:space="preserve"> </w:t>
      </w:r>
      <w:r w:rsidR="0004061F">
        <w:rPr>
          <w:rFonts w:ascii="Arial" w:hAnsi="Arial" w:cs="Arial"/>
          <w:bCs/>
          <w:sz w:val="24"/>
          <w:szCs w:val="24"/>
        </w:rPr>
        <w:t xml:space="preserve">of Uniform Rules </w:t>
      </w:r>
      <w:r w:rsidR="0004061F" w:rsidRPr="00656B16">
        <w:rPr>
          <w:rFonts w:ascii="Arial" w:hAnsi="Arial" w:cs="Arial"/>
          <w:bCs/>
          <w:sz w:val="24"/>
          <w:szCs w:val="24"/>
        </w:rPr>
        <w:t>—</w:t>
      </w:r>
      <w:r w:rsidR="0004061F">
        <w:rPr>
          <w:rFonts w:ascii="Arial" w:hAnsi="Arial" w:cs="Arial"/>
          <w:bCs/>
          <w:sz w:val="24"/>
          <w:szCs w:val="24"/>
        </w:rPr>
        <w:t xml:space="preserve"> What constitutes </w:t>
      </w:r>
      <w:r w:rsidR="0004061F" w:rsidRPr="00656B16">
        <w:rPr>
          <w:rFonts w:ascii="Arial" w:hAnsi="Arial" w:cs="Arial"/>
          <w:bCs/>
          <w:sz w:val="24"/>
          <w:szCs w:val="24"/>
        </w:rPr>
        <w:t>—</w:t>
      </w:r>
      <w:r w:rsidR="0004061F">
        <w:rPr>
          <w:rFonts w:ascii="Arial" w:hAnsi="Arial" w:cs="Arial"/>
          <w:bCs/>
          <w:sz w:val="24"/>
          <w:szCs w:val="24"/>
        </w:rPr>
        <w:t xml:space="preserve"> Claim for damages arising from breach of contract </w:t>
      </w:r>
      <w:r w:rsidR="00B06A56">
        <w:rPr>
          <w:rFonts w:ascii="Arial" w:hAnsi="Arial" w:cs="Arial"/>
          <w:bCs/>
          <w:sz w:val="24"/>
          <w:szCs w:val="24"/>
        </w:rPr>
        <w:t>n</w:t>
      </w:r>
      <w:r w:rsidR="0004061F">
        <w:rPr>
          <w:rFonts w:ascii="Arial" w:hAnsi="Arial" w:cs="Arial"/>
          <w:bCs/>
          <w:sz w:val="24"/>
          <w:szCs w:val="24"/>
        </w:rPr>
        <w:t>ot constituting liquid amount</w:t>
      </w:r>
      <w:r w:rsidR="005B0DD2">
        <w:rPr>
          <w:rFonts w:ascii="Arial" w:hAnsi="Arial" w:cs="Arial"/>
          <w:bCs/>
          <w:sz w:val="24"/>
          <w:szCs w:val="24"/>
        </w:rPr>
        <w:t xml:space="preserve"> </w:t>
      </w:r>
      <w:r w:rsidR="005B0DD2" w:rsidRPr="00656B16">
        <w:rPr>
          <w:rFonts w:ascii="Arial" w:hAnsi="Arial" w:cs="Arial"/>
          <w:bCs/>
          <w:sz w:val="24"/>
          <w:szCs w:val="24"/>
        </w:rPr>
        <w:t>—</w:t>
      </w:r>
      <w:r w:rsidR="00B06A56">
        <w:rPr>
          <w:rFonts w:ascii="Arial" w:hAnsi="Arial" w:cs="Arial"/>
          <w:bCs/>
          <w:sz w:val="24"/>
          <w:szCs w:val="24"/>
        </w:rPr>
        <w:t xml:space="preserve"> </w:t>
      </w:r>
      <w:r w:rsidR="00DD186F">
        <w:rPr>
          <w:rFonts w:ascii="Arial" w:hAnsi="Arial" w:cs="Arial"/>
          <w:bCs/>
          <w:sz w:val="24"/>
          <w:szCs w:val="24"/>
        </w:rPr>
        <w:t xml:space="preserve">Discretion under </w:t>
      </w:r>
      <w:r w:rsidR="005B0DD2">
        <w:rPr>
          <w:rFonts w:ascii="Arial" w:hAnsi="Arial" w:cs="Arial"/>
          <w:bCs/>
          <w:sz w:val="24"/>
          <w:szCs w:val="24"/>
        </w:rPr>
        <w:t>Rule 32(9)(a)</w:t>
      </w:r>
      <w:r w:rsidR="00DD186F">
        <w:rPr>
          <w:rFonts w:ascii="Arial" w:hAnsi="Arial" w:cs="Arial"/>
          <w:bCs/>
          <w:sz w:val="24"/>
          <w:szCs w:val="24"/>
        </w:rPr>
        <w:t xml:space="preserve"> relating to order </w:t>
      </w:r>
      <w:r w:rsidR="00B06A56">
        <w:rPr>
          <w:rFonts w:ascii="Arial" w:hAnsi="Arial" w:cs="Arial"/>
          <w:bCs/>
          <w:sz w:val="24"/>
          <w:szCs w:val="24"/>
        </w:rPr>
        <w:t>stay</w:t>
      </w:r>
      <w:r w:rsidR="00DD186F">
        <w:rPr>
          <w:rFonts w:ascii="Arial" w:hAnsi="Arial" w:cs="Arial"/>
          <w:bCs/>
          <w:sz w:val="24"/>
          <w:szCs w:val="24"/>
        </w:rPr>
        <w:t xml:space="preserve"> of</w:t>
      </w:r>
      <w:r w:rsidR="00B06A56">
        <w:rPr>
          <w:rFonts w:ascii="Arial" w:hAnsi="Arial" w:cs="Arial"/>
          <w:bCs/>
          <w:sz w:val="24"/>
          <w:szCs w:val="24"/>
        </w:rPr>
        <w:t xml:space="preserve"> action until </w:t>
      </w:r>
      <w:r w:rsidR="00030EA9">
        <w:rPr>
          <w:rFonts w:ascii="Arial" w:hAnsi="Arial" w:cs="Arial"/>
          <w:bCs/>
          <w:sz w:val="24"/>
          <w:szCs w:val="24"/>
        </w:rPr>
        <w:t>p</w:t>
      </w:r>
      <w:r w:rsidR="00B06A56">
        <w:rPr>
          <w:rFonts w:ascii="Arial" w:hAnsi="Arial" w:cs="Arial"/>
          <w:bCs/>
          <w:sz w:val="24"/>
          <w:szCs w:val="24"/>
        </w:rPr>
        <w:t xml:space="preserve">laintiff has paid the </w:t>
      </w:r>
      <w:r w:rsidR="00030EA9">
        <w:rPr>
          <w:rFonts w:ascii="Arial" w:hAnsi="Arial" w:cs="Arial"/>
          <w:bCs/>
          <w:sz w:val="24"/>
          <w:szCs w:val="24"/>
        </w:rPr>
        <w:t>d</w:t>
      </w:r>
      <w:r w:rsidR="00B06A56">
        <w:rPr>
          <w:rFonts w:ascii="Arial" w:hAnsi="Arial" w:cs="Arial"/>
          <w:bCs/>
          <w:sz w:val="24"/>
          <w:szCs w:val="24"/>
        </w:rPr>
        <w:t>efendant’s costs taxed as between attorney and client</w:t>
      </w:r>
      <w:r w:rsidR="00DD186F">
        <w:rPr>
          <w:rFonts w:ascii="Arial" w:hAnsi="Arial" w:cs="Arial"/>
          <w:bCs/>
          <w:sz w:val="24"/>
          <w:szCs w:val="24"/>
        </w:rPr>
        <w:t xml:space="preserve"> not exercised</w:t>
      </w:r>
      <w:r w:rsidR="00B06A56">
        <w:rPr>
          <w:rFonts w:ascii="Arial" w:hAnsi="Arial" w:cs="Arial"/>
          <w:bCs/>
          <w:sz w:val="24"/>
          <w:szCs w:val="24"/>
        </w:rPr>
        <w:t>.</w:t>
      </w:r>
    </w:p>
    <w:p w14:paraId="754051DA" w14:textId="7A1E2A3F" w:rsidR="0004061F" w:rsidRDefault="0004061F">
      <w:pPr>
        <w:spacing w:after="160" w:line="259" w:lineRule="auto"/>
        <w:jc w:val="left"/>
        <w:rPr>
          <w:rFonts w:ascii="Arial" w:hAnsi="Arial" w:cs="Arial"/>
          <w:b/>
          <w:sz w:val="24"/>
          <w:szCs w:val="24"/>
        </w:rPr>
      </w:pPr>
    </w:p>
    <w:p w14:paraId="736D3A2C" w14:textId="1CE76CA9" w:rsidR="00D202C2" w:rsidRPr="00671349" w:rsidRDefault="003C4F1C"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671349">
        <w:rPr>
          <w:rFonts w:ascii="Arial" w:hAnsi="Arial" w:cs="Arial"/>
          <w:b/>
          <w:sz w:val="24"/>
          <w:szCs w:val="24"/>
        </w:rPr>
        <w:t>MOULTRIE</w:t>
      </w:r>
      <w:r w:rsidR="00D202C2" w:rsidRPr="00671349">
        <w:rPr>
          <w:rFonts w:ascii="Arial" w:hAnsi="Arial" w:cs="Arial"/>
          <w:b/>
          <w:sz w:val="24"/>
          <w:szCs w:val="24"/>
        </w:rPr>
        <w:t xml:space="preserve"> AJ</w:t>
      </w:r>
    </w:p>
    <w:p w14:paraId="1B87B6B8" w14:textId="4A06DD39" w:rsidR="00913743" w:rsidRDefault="00F411B1" w:rsidP="00F411B1">
      <w:pPr>
        <w:pStyle w:val="LC1"/>
        <w:numPr>
          <w:ilvl w:val="0"/>
          <w:numId w:val="0"/>
        </w:numPr>
        <w:ind w:left="720" w:hanging="720"/>
      </w:pPr>
      <w:r>
        <w:rPr>
          <w:rFonts w:cs="Arial"/>
          <w:szCs w:val="24"/>
        </w:rPr>
        <w:t>[1]</w:t>
      </w:r>
      <w:r>
        <w:rPr>
          <w:rFonts w:cs="Arial"/>
          <w:szCs w:val="24"/>
        </w:rPr>
        <w:tab/>
      </w:r>
      <w:r w:rsidR="001C338F" w:rsidRPr="001C338F">
        <w:t xml:space="preserve">The </w:t>
      </w:r>
      <w:r w:rsidR="00030EA9">
        <w:t xml:space="preserve">plaintiff </w:t>
      </w:r>
      <w:r w:rsidR="0004061F">
        <w:t xml:space="preserve">seeks summary judgment on a claim that it instituted against the </w:t>
      </w:r>
      <w:r w:rsidR="00030EA9">
        <w:t xml:space="preserve">defendant arising out of the </w:t>
      </w:r>
      <w:r w:rsidR="00DD186F">
        <w:t xml:space="preserve">latter’s </w:t>
      </w:r>
      <w:r w:rsidR="00030EA9">
        <w:t xml:space="preserve">alleged </w:t>
      </w:r>
      <w:r w:rsidR="00E17934">
        <w:t xml:space="preserve">repudiation </w:t>
      </w:r>
      <w:r w:rsidR="00030EA9">
        <w:t xml:space="preserve">of an agreement in terms of which the plaintiff leased </w:t>
      </w:r>
      <w:r w:rsidR="00E17934">
        <w:t xml:space="preserve">four </w:t>
      </w:r>
      <w:r w:rsidR="00030EA9">
        <w:t>vehicles to the defendant</w:t>
      </w:r>
      <w:r w:rsidR="00913743">
        <w:t xml:space="preserve"> for a period of 5 years</w:t>
      </w:r>
      <w:r w:rsidR="00030EA9">
        <w:t>.</w:t>
      </w:r>
      <w:r w:rsidR="00913743">
        <w:t xml:space="preserve"> The claim is formulated </w:t>
      </w:r>
      <w:r w:rsidR="00566BD3">
        <w:t xml:space="preserve">in the particulars of claim </w:t>
      </w:r>
      <w:r w:rsidR="00913743">
        <w:t>as one for damages</w:t>
      </w:r>
      <w:r w:rsidR="00566BD3">
        <w:t>,</w:t>
      </w:r>
      <w:r w:rsidR="00913743">
        <w:t xml:space="preserve"> </w:t>
      </w:r>
      <w:r w:rsidR="00566BD3">
        <w:t xml:space="preserve">being </w:t>
      </w:r>
      <w:r w:rsidR="00566BD3" w:rsidRPr="00566BD3">
        <w:t xml:space="preserve">the </w:t>
      </w:r>
      <w:r w:rsidR="00913743">
        <w:t xml:space="preserve">total amount payable by Plaintiff to Defendant in terms of the </w:t>
      </w:r>
      <w:r w:rsidR="00566BD3">
        <w:t>a</w:t>
      </w:r>
      <w:r w:rsidR="00913743">
        <w:t>greement</w:t>
      </w:r>
      <w:r w:rsidR="00566BD3">
        <w:t xml:space="preserve"> </w:t>
      </w:r>
      <w:r w:rsidR="00913743">
        <w:t xml:space="preserve">less payments received in terms of the </w:t>
      </w:r>
      <w:r w:rsidR="00566BD3">
        <w:t>a</w:t>
      </w:r>
      <w:r w:rsidR="00913743">
        <w:t>greement</w:t>
      </w:r>
      <w:r w:rsidR="00566BD3">
        <w:t xml:space="preserve"> </w:t>
      </w:r>
      <w:r w:rsidR="00913743">
        <w:t xml:space="preserve">plus </w:t>
      </w:r>
      <w:r w:rsidR="00566BD3">
        <w:t xml:space="preserve">the cost of repairing physical damage caused </w:t>
      </w:r>
      <w:r w:rsidR="00913743">
        <w:t>to the vehicles.</w:t>
      </w:r>
      <w:r w:rsidR="00566BD3">
        <w:t xml:space="preserve"> </w:t>
      </w:r>
      <w:r w:rsidR="00913743">
        <w:t xml:space="preserve">The application for summary judgment does not include </w:t>
      </w:r>
      <w:r w:rsidR="00566BD3">
        <w:t xml:space="preserve">that portion of the </w:t>
      </w:r>
      <w:r w:rsidR="00913743">
        <w:t xml:space="preserve">amount claimed in respect of the physical damage allegedly </w:t>
      </w:r>
      <w:r w:rsidR="00C40459">
        <w:t xml:space="preserve">sustained </w:t>
      </w:r>
      <w:r w:rsidR="00913743">
        <w:t>to the vehicles.</w:t>
      </w:r>
    </w:p>
    <w:p w14:paraId="38367C84" w14:textId="6D35F50D" w:rsidR="0004061F" w:rsidRPr="0004061F" w:rsidRDefault="00F411B1" w:rsidP="00F411B1">
      <w:pPr>
        <w:pStyle w:val="LC1"/>
        <w:numPr>
          <w:ilvl w:val="0"/>
          <w:numId w:val="0"/>
        </w:numPr>
        <w:ind w:left="720" w:hanging="720"/>
      </w:pPr>
      <w:r w:rsidRPr="0004061F">
        <w:rPr>
          <w:rFonts w:cs="Arial"/>
          <w:szCs w:val="24"/>
        </w:rPr>
        <w:t>[2]</w:t>
      </w:r>
      <w:r w:rsidRPr="0004061F">
        <w:rPr>
          <w:rFonts w:cs="Arial"/>
          <w:szCs w:val="24"/>
        </w:rPr>
        <w:tab/>
      </w:r>
      <w:r w:rsidR="0004061F">
        <w:t>Rule 32(1) of the Uniform Rules of Court</w:t>
      </w:r>
      <w:r w:rsidR="0013127A">
        <w:t xml:space="preserve">, which </w:t>
      </w:r>
      <w:r w:rsidR="00C40459">
        <w:t xml:space="preserve">contemplates </w:t>
      </w:r>
      <w:r w:rsidR="00C84A3F">
        <w:t xml:space="preserve">a Court </w:t>
      </w:r>
      <w:r w:rsidR="0013127A" w:rsidRPr="0013127A">
        <w:t>grant</w:t>
      </w:r>
      <w:r w:rsidR="00C84A3F">
        <w:t>ing</w:t>
      </w:r>
      <w:r w:rsidR="0013127A" w:rsidRPr="0013127A">
        <w:t xml:space="preserve"> judgment without </w:t>
      </w:r>
      <w:r w:rsidR="00C84A3F">
        <w:t xml:space="preserve">a </w:t>
      </w:r>
      <w:r w:rsidR="0013127A" w:rsidRPr="0013127A">
        <w:t xml:space="preserve">trial even though notice of intention to defend </w:t>
      </w:r>
      <w:r w:rsidR="0013127A">
        <w:t>has been properly given</w:t>
      </w:r>
      <w:r w:rsidR="0013127A">
        <w:rPr>
          <w:rStyle w:val="FootnoteReference"/>
        </w:rPr>
        <w:footnoteReference w:id="1"/>
      </w:r>
      <w:r w:rsidR="0013127A">
        <w:t xml:space="preserve"> and the plea </w:t>
      </w:r>
      <w:r w:rsidR="0013127A" w:rsidRPr="0013127A">
        <w:t xml:space="preserve">has been </w:t>
      </w:r>
      <w:r w:rsidR="0013127A">
        <w:t>delivered,</w:t>
      </w:r>
      <w:r w:rsidR="0004061F">
        <w:t xml:space="preserve"> stipulates that summary judgment may be granted </w:t>
      </w:r>
      <w:r w:rsidR="00566BD3">
        <w:t>“</w:t>
      </w:r>
      <w:r w:rsidR="0004061F" w:rsidRPr="00566BD3">
        <w:rPr>
          <w:i/>
          <w:iCs/>
        </w:rPr>
        <w:t>only</w:t>
      </w:r>
      <w:r w:rsidR="00566BD3">
        <w:t>”</w:t>
      </w:r>
      <w:r w:rsidR="0004061F">
        <w:t xml:space="preserve"> in relation to certain categories of claims. </w:t>
      </w:r>
      <w:r w:rsidR="00566BD3">
        <w:t>S</w:t>
      </w:r>
      <w:r w:rsidR="0004061F">
        <w:t xml:space="preserve">ummary judgment </w:t>
      </w:r>
      <w:r w:rsidR="00566BD3">
        <w:t xml:space="preserve">cannot be granted </w:t>
      </w:r>
      <w:r w:rsidR="0004061F">
        <w:t xml:space="preserve">in relation to a claim falling outside of these categories, no matter how weak the defence </w:t>
      </w:r>
      <w:r w:rsidR="005B0DD2">
        <w:t xml:space="preserve">set out in the plea </w:t>
      </w:r>
      <w:r w:rsidR="0004061F">
        <w:t>(</w:t>
      </w:r>
      <w:r w:rsidR="00566BD3">
        <w:t xml:space="preserve">and </w:t>
      </w:r>
      <w:r w:rsidR="00B06A56">
        <w:t xml:space="preserve">evidenced </w:t>
      </w:r>
      <w:r w:rsidR="005B0DD2">
        <w:t xml:space="preserve">in the affidavit opposing summary judgment) </w:t>
      </w:r>
      <w:r w:rsidR="0004061F">
        <w:t xml:space="preserve">may be. </w:t>
      </w:r>
    </w:p>
    <w:p w14:paraId="1C97055C" w14:textId="3863F189" w:rsidR="00AE01E2" w:rsidRDefault="00F411B1" w:rsidP="00F411B1">
      <w:pPr>
        <w:pStyle w:val="LC1"/>
        <w:numPr>
          <w:ilvl w:val="0"/>
          <w:numId w:val="0"/>
        </w:numPr>
        <w:ind w:left="720" w:hanging="720"/>
      </w:pPr>
      <w:r>
        <w:rPr>
          <w:rFonts w:cs="Arial"/>
          <w:szCs w:val="24"/>
        </w:rPr>
        <w:t>[3]</w:t>
      </w:r>
      <w:r>
        <w:rPr>
          <w:rFonts w:cs="Arial"/>
          <w:szCs w:val="24"/>
        </w:rPr>
        <w:tab/>
      </w:r>
      <w:r w:rsidR="0004061F">
        <w:t xml:space="preserve">According to the </w:t>
      </w:r>
      <w:r w:rsidR="004C0996">
        <w:t>plaintiff</w:t>
      </w:r>
      <w:r w:rsidR="0004061F">
        <w:t xml:space="preserve">, the </w:t>
      </w:r>
      <w:r w:rsidR="00913743">
        <w:t xml:space="preserve">portion of the </w:t>
      </w:r>
      <w:r w:rsidR="0004061F">
        <w:t xml:space="preserve">claim </w:t>
      </w:r>
      <w:r w:rsidR="00913743">
        <w:t xml:space="preserve">in respect of which summary judgment is sought is </w:t>
      </w:r>
      <w:r w:rsidR="00C84A3F">
        <w:t xml:space="preserve">one </w:t>
      </w:r>
      <w:r w:rsidR="0004061F">
        <w:t>for a liquidated amount in money</w:t>
      </w:r>
      <w:r w:rsidR="00FA5A01">
        <w:t>, as contemplated in Rule 32(1)(b)</w:t>
      </w:r>
      <w:r w:rsidR="0004061F">
        <w:t>.</w:t>
      </w:r>
      <w:r w:rsidR="00913743">
        <w:t xml:space="preserve"> </w:t>
      </w:r>
      <w:r w:rsidR="00FA5A01">
        <w:t xml:space="preserve">It </w:t>
      </w:r>
      <w:r w:rsidR="0017192F">
        <w:t xml:space="preserve">is by now trite law that </w:t>
      </w:r>
      <w:r w:rsidR="00067C81" w:rsidRPr="0017192F">
        <w:t>a liquidated amount in money</w:t>
      </w:r>
      <w:r w:rsidR="00067C81">
        <w:t xml:space="preserve"> </w:t>
      </w:r>
      <w:r w:rsidR="00913743">
        <w:t xml:space="preserve">is </w:t>
      </w:r>
      <w:r w:rsidR="00AE01E2" w:rsidRPr="00AE01E2">
        <w:t>an amount which is either agreed upon or which is capable of speedy and prompt ascertainment or, put differently, where ascertainment of the amount in issue is a mere matter of calculation.</w:t>
      </w:r>
      <w:r w:rsidR="00AE01E2">
        <w:rPr>
          <w:rStyle w:val="FootnoteReference"/>
        </w:rPr>
        <w:footnoteReference w:id="2"/>
      </w:r>
    </w:p>
    <w:p w14:paraId="4156949E" w14:textId="1632DD64" w:rsidR="00913743" w:rsidRDefault="00F411B1" w:rsidP="00F411B1">
      <w:pPr>
        <w:pStyle w:val="LC1"/>
        <w:numPr>
          <w:ilvl w:val="0"/>
          <w:numId w:val="0"/>
        </w:numPr>
        <w:ind w:left="720" w:hanging="720"/>
      </w:pPr>
      <w:r>
        <w:rPr>
          <w:rFonts w:cs="Arial"/>
          <w:szCs w:val="24"/>
        </w:rPr>
        <w:t>[4]</w:t>
      </w:r>
      <w:r>
        <w:rPr>
          <w:rFonts w:cs="Arial"/>
          <w:szCs w:val="24"/>
        </w:rPr>
        <w:tab/>
      </w:r>
      <w:r w:rsidR="00DF6FB4">
        <w:t xml:space="preserve">Had the </w:t>
      </w:r>
      <w:r w:rsidR="00FA5A01" w:rsidRPr="00FA5A01">
        <w:t>current</w:t>
      </w:r>
      <w:r w:rsidR="00FA5A01">
        <w:t xml:space="preserve"> claim </w:t>
      </w:r>
      <w:r w:rsidR="00DF6FB4">
        <w:t xml:space="preserve">been </w:t>
      </w:r>
      <w:r w:rsidR="00FA5A01">
        <w:t xml:space="preserve">one for </w:t>
      </w:r>
      <w:r w:rsidR="00030EA9">
        <w:t xml:space="preserve">payment of </w:t>
      </w:r>
      <w:r w:rsidR="00D40675">
        <w:t>arrear rentals</w:t>
      </w:r>
      <w:r w:rsidR="00913743">
        <w:t>,</w:t>
      </w:r>
      <w:r w:rsidR="00067C81">
        <w:rPr>
          <w:rStyle w:val="FootnoteReference"/>
        </w:rPr>
        <w:footnoteReference w:id="3"/>
      </w:r>
      <w:r w:rsidR="00067C81">
        <w:t xml:space="preserve"> </w:t>
      </w:r>
      <w:r w:rsidR="00A261F6">
        <w:t xml:space="preserve">or for payment </w:t>
      </w:r>
      <w:r w:rsidR="00A261F6">
        <w:lastRenderedPageBreak/>
        <w:t>of a pre-agreed sum of damages,</w:t>
      </w:r>
      <w:r w:rsidR="00A261F6">
        <w:rPr>
          <w:rStyle w:val="FootnoteReference"/>
        </w:rPr>
        <w:footnoteReference w:id="4"/>
      </w:r>
      <w:r w:rsidR="00067C81">
        <w:t xml:space="preserve"> </w:t>
      </w:r>
      <w:r w:rsidR="00913743">
        <w:t>or one in which the word ‘damages’ had been used loosely to refer to what is in fact a liquidated amount,</w:t>
      </w:r>
      <w:r w:rsidR="00913743">
        <w:rPr>
          <w:rStyle w:val="FootnoteReference"/>
        </w:rPr>
        <w:footnoteReference w:id="5"/>
      </w:r>
      <w:r w:rsidR="00913743">
        <w:t xml:space="preserve"> it </w:t>
      </w:r>
      <w:r w:rsidR="00C40459">
        <w:t xml:space="preserve">would potentially </w:t>
      </w:r>
      <w:r w:rsidR="00A261F6">
        <w:t xml:space="preserve">have </w:t>
      </w:r>
      <w:r w:rsidR="00067C81">
        <w:t>constitute</w:t>
      </w:r>
      <w:r w:rsidR="00A261F6">
        <w:t xml:space="preserve">d </w:t>
      </w:r>
      <w:r w:rsidR="00913743">
        <w:t xml:space="preserve">a </w:t>
      </w:r>
      <w:r w:rsidR="00A261F6">
        <w:t>claim for</w:t>
      </w:r>
      <w:r w:rsidR="00067C81">
        <w:t xml:space="preserve"> </w:t>
      </w:r>
      <w:r w:rsidR="00913743">
        <w:t xml:space="preserve">a </w:t>
      </w:r>
      <w:r w:rsidR="00067C81">
        <w:t>liquidated amount in money.</w:t>
      </w:r>
      <w:r w:rsidR="0017192F">
        <w:t xml:space="preserve"> </w:t>
      </w:r>
      <w:r w:rsidR="00913743">
        <w:t xml:space="preserve">However, </w:t>
      </w:r>
      <w:r w:rsidR="00030EA9">
        <w:t xml:space="preserve">the claim is one </w:t>
      </w:r>
      <w:r w:rsidR="00C84A3F">
        <w:t xml:space="preserve">for </w:t>
      </w:r>
      <w:r w:rsidR="00030EA9">
        <w:t xml:space="preserve">damages </w:t>
      </w:r>
      <w:r w:rsidR="00C84A3F">
        <w:t xml:space="preserve">arising out of </w:t>
      </w:r>
      <w:r w:rsidR="00030EA9">
        <w:t xml:space="preserve">losses allegedly suffered by the plaintiff </w:t>
      </w:r>
      <w:proofErr w:type="gramStart"/>
      <w:r w:rsidR="00030EA9">
        <w:t>as a result of</w:t>
      </w:r>
      <w:proofErr w:type="gramEnd"/>
      <w:r w:rsidR="00030EA9">
        <w:t xml:space="preserve"> the defendant’s </w:t>
      </w:r>
      <w:r w:rsidR="0017192F">
        <w:t xml:space="preserve">alleged </w:t>
      </w:r>
      <w:r w:rsidR="00913743">
        <w:t xml:space="preserve">repudiation </w:t>
      </w:r>
      <w:r w:rsidR="00030EA9">
        <w:t xml:space="preserve">of the </w:t>
      </w:r>
      <w:r w:rsidR="00E17934">
        <w:t xml:space="preserve">lease </w:t>
      </w:r>
      <w:r w:rsidR="00030EA9">
        <w:t>agreement</w:t>
      </w:r>
      <w:r w:rsidR="0017192F">
        <w:t>.</w:t>
      </w:r>
      <w:r w:rsidR="00913743">
        <w:t xml:space="preserve"> </w:t>
      </w:r>
    </w:p>
    <w:p w14:paraId="01A48C63" w14:textId="54748C30" w:rsidR="005C7858" w:rsidRDefault="00F411B1" w:rsidP="00F411B1">
      <w:pPr>
        <w:pStyle w:val="LC1"/>
        <w:numPr>
          <w:ilvl w:val="0"/>
          <w:numId w:val="0"/>
        </w:numPr>
        <w:ind w:left="720" w:hanging="720"/>
      </w:pPr>
      <w:r>
        <w:rPr>
          <w:rFonts w:cs="Arial"/>
          <w:szCs w:val="24"/>
        </w:rPr>
        <w:t>[5]</w:t>
      </w:r>
      <w:r>
        <w:rPr>
          <w:rFonts w:cs="Arial"/>
          <w:szCs w:val="24"/>
        </w:rPr>
        <w:tab/>
      </w:r>
      <w:r w:rsidR="004C0996">
        <w:t xml:space="preserve">Although </w:t>
      </w:r>
      <w:r w:rsidR="005C7858">
        <w:t xml:space="preserve">the plaintiff alleges </w:t>
      </w:r>
      <w:r w:rsidR="004C0996">
        <w:t xml:space="preserve">in the combined summons </w:t>
      </w:r>
      <w:r w:rsidR="005C7858">
        <w:t xml:space="preserve">that the damages </w:t>
      </w:r>
      <w:r w:rsidR="004C0996">
        <w:t xml:space="preserve">fall to be assessed on the simple basis of the amount that the plaintiff would have received in rental had the agreement continued in force until the expiry of the lease, I cannot agree that </w:t>
      </w:r>
      <w:r w:rsidR="00C84A3F">
        <w:t xml:space="preserve">the mere simplicity of the </w:t>
      </w:r>
      <w:r w:rsidR="00913743">
        <w:t xml:space="preserve">formulation </w:t>
      </w:r>
      <w:r w:rsidR="00C84A3F">
        <w:t xml:space="preserve">of the claim </w:t>
      </w:r>
      <w:r w:rsidR="00593E75">
        <w:t xml:space="preserve">has the effect </w:t>
      </w:r>
      <w:r w:rsidR="004C0996">
        <w:t xml:space="preserve">of converting </w:t>
      </w:r>
      <w:r w:rsidR="00C84A3F">
        <w:t xml:space="preserve">it </w:t>
      </w:r>
      <w:r w:rsidR="004C0996">
        <w:t xml:space="preserve">into a liquidated amount in money. </w:t>
      </w:r>
      <w:r w:rsidR="00593E75">
        <w:t>In my view, t</w:t>
      </w:r>
      <w:r w:rsidR="004C0996">
        <w:t xml:space="preserve">he claim remains one for damages and as such, the </w:t>
      </w:r>
      <w:r w:rsidR="00C40459">
        <w:t>C</w:t>
      </w:r>
      <w:r w:rsidR="004C0996">
        <w:t xml:space="preserve">ourt </w:t>
      </w:r>
      <w:r w:rsidR="00C40459">
        <w:t xml:space="preserve">would be </w:t>
      </w:r>
      <w:r w:rsidR="004C0996">
        <w:t>required to assess them in accordance with the established rules in that regard.</w:t>
      </w:r>
      <w:r w:rsidR="005C7858">
        <w:t xml:space="preserve"> </w:t>
      </w:r>
    </w:p>
    <w:p w14:paraId="045EF302" w14:textId="67A8DEB4" w:rsidR="003D5D0B" w:rsidRDefault="00F411B1" w:rsidP="00F411B1">
      <w:pPr>
        <w:pStyle w:val="LC1"/>
        <w:numPr>
          <w:ilvl w:val="0"/>
          <w:numId w:val="0"/>
        </w:numPr>
        <w:ind w:left="720" w:hanging="720"/>
      </w:pPr>
      <w:r>
        <w:rPr>
          <w:rFonts w:cs="Arial"/>
          <w:szCs w:val="24"/>
        </w:rPr>
        <w:t>[6]</w:t>
      </w:r>
      <w:r>
        <w:rPr>
          <w:rFonts w:cs="Arial"/>
          <w:szCs w:val="24"/>
        </w:rPr>
        <w:tab/>
      </w:r>
      <w:r w:rsidR="003D5D0B">
        <w:t xml:space="preserve">On the assumption </w:t>
      </w:r>
      <w:r w:rsidR="00030EA9">
        <w:t>that the defendant has indeed breached the agreement</w:t>
      </w:r>
      <w:r w:rsidR="003D5D0B">
        <w:t xml:space="preserve"> and that there is a causal connection between </w:t>
      </w:r>
      <w:r w:rsidR="00C84A3F">
        <w:t xml:space="preserve">the alleged breach </w:t>
      </w:r>
      <w:r w:rsidR="003D5D0B">
        <w:t xml:space="preserve">and any loss that the plaintiff may have suffered, </w:t>
      </w:r>
      <w:r w:rsidR="00030EA9">
        <w:t xml:space="preserve">the </w:t>
      </w:r>
      <w:r w:rsidR="00067C81">
        <w:t xml:space="preserve">assessment </w:t>
      </w:r>
      <w:r w:rsidR="00030EA9">
        <w:t xml:space="preserve">of damages for breach of contract </w:t>
      </w:r>
      <w:r w:rsidR="00593E75">
        <w:t xml:space="preserve">involves what was </w:t>
      </w:r>
      <w:r w:rsidR="00CD23A5">
        <w:t xml:space="preserve">seminally described </w:t>
      </w:r>
      <w:r w:rsidR="001D0C56">
        <w:t xml:space="preserve">by Innes CJ </w:t>
      </w:r>
      <w:r w:rsidR="00CD23A5">
        <w:t>as “</w:t>
      </w:r>
      <w:r w:rsidR="001C500D" w:rsidRPr="001C500D">
        <w:rPr>
          <w:i/>
          <w:iCs/>
        </w:rPr>
        <w:t>that</w:t>
      </w:r>
      <w:r w:rsidR="001C500D">
        <w:t xml:space="preserve"> </w:t>
      </w:r>
      <w:r w:rsidR="00CD23A5" w:rsidRPr="00C61DD7">
        <w:rPr>
          <w:i/>
          <w:iCs/>
        </w:rPr>
        <w:t>most difficult question of fact</w:t>
      </w:r>
      <w:r w:rsidR="00CD23A5">
        <w:t>”</w:t>
      </w:r>
      <w:r w:rsidR="00C61DD7">
        <w:t>, namely that the innocent party “</w:t>
      </w:r>
      <w:r w:rsidR="00C61DD7" w:rsidRPr="00C61DD7">
        <w:rPr>
          <w:i/>
          <w:iCs/>
        </w:rPr>
        <w:t>should be placed in the position he would have occupied had the contract been performed, so far as that can be done by the payment of money, and without undue hardship to the defaulting party</w:t>
      </w:r>
      <w:r w:rsidR="00C61DD7">
        <w:t>”.</w:t>
      </w:r>
      <w:r w:rsidR="00CD23A5">
        <w:rPr>
          <w:rStyle w:val="FootnoteReference"/>
        </w:rPr>
        <w:footnoteReference w:id="6"/>
      </w:r>
      <w:r w:rsidR="00CD23A5">
        <w:t xml:space="preserve"> </w:t>
      </w:r>
      <w:r w:rsidR="00C61DD7">
        <w:t xml:space="preserve">This is </w:t>
      </w:r>
      <w:r w:rsidR="00030EA9">
        <w:t xml:space="preserve">an exercise that involves </w:t>
      </w:r>
      <w:r w:rsidR="00CD23A5">
        <w:t xml:space="preserve">proof </w:t>
      </w:r>
      <w:r w:rsidR="00C61DD7">
        <w:t>by the plaintiff</w:t>
      </w:r>
      <w:r w:rsidR="00C40459">
        <w:t>,</w:t>
      </w:r>
      <w:r w:rsidR="00C61DD7">
        <w:t xml:space="preserve"> </w:t>
      </w:r>
      <w:r w:rsidR="00E34B34">
        <w:t>and not mere presumption</w:t>
      </w:r>
      <w:r w:rsidR="00C40459">
        <w:t>.</w:t>
      </w:r>
      <w:r w:rsidR="00C61DD7">
        <w:rPr>
          <w:rStyle w:val="FootnoteReference"/>
        </w:rPr>
        <w:footnoteReference w:id="7"/>
      </w:r>
      <w:r w:rsidR="00C61DD7">
        <w:t xml:space="preserve"> </w:t>
      </w:r>
      <w:r w:rsidR="00C40459">
        <w:t>T</w:t>
      </w:r>
      <w:r w:rsidR="00CD23A5" w:rsidRPr="00CD23A5">
        <w:t xml:space="preserve">he court must </w:t>
      </w:r>
      <w:r w:rsidR="00C61DD7">
        <w:t xml:space="preserve">consider </w:t>
      </w:r>
      <w:r w:rsidR="001D0C56">
        <w:t xml:space="preserve">the evidence tendered </w:t>
      </w:r>
      <w:r w:rsidR="00C61DD7">
        <w:t xml:space="preserve">to </w:t>
      </w:r>
      <w:r w:rsidR="00CD23A5" w:rsidRPr="00CD23A5">
        <w:t>assess the damages as best it can</w:t>
      </w:r>
      <w:r w:rsidR="00E34B34">
        <w:rPr>
          <w:rStyle w:val="FootnoteReference"/>
        </w:rPr>
        <w:t xml:space="preserve"> </w:t>
      </w:r>
      <w:r w:rsidR="00E34B34">
        <w:t xml:space="preserve">so as </w:t>
      </w:r>
      <w:r w:rsidR="00D23325">
        <w:t>“</w:t>
      </w:r>
      <w:r w:rsidR="00D23325" w:rsidRPr="00C61DD7">
        <w:rPr>
          <w:i/>
          <w:iCs/>
        </w:rPr>
        <w:t>to arrive at some amount, which in the opinion of the court will meet the justice of the case</w:t>
      </w:r>
      <w:r w:rsidR="00D23325">
        <w:t>”.</w:t>
      </w:r>
      <w:r w:rsidR="00D23325">
        <w:rPr>
          <w:rStyle w:val="FootnoteReference"/>
        </w:rPr>
        <w:footnoteReference w:id="8"/>
      </w:r>
    </w:p>
    <w:p w14:paraId="09C5E751" w14:textId="280F2270" w:rsidR="00C162B0" w:rsidRDefault="00F411B1" w:rsidP="00F411B1">
      <w:pPr>
        <w:pStyle w:val="LC1"/>
        <w:numPr>
          <w:ilvl w:val="0"/>
          <w:numId w:val="0"/>
        </w:numPr>
        <w:ind w:left="720" w:hanging="720"/>
      </w:pPr>
      <w:r>
        <w:rPr>
          <w:rFonts w:cs="Arial"/>
          <w:szCs w:val="24"/>
        </w:rPr>
        <w:lastRenderedPageBreak/>
        <w:t>[7]</w:t>
      </w:r>
      <w:r>
        <w:rPr>
          <w:rFonts w:cs="Arial"/>
          <w:szCs w:val="24"/>
        </w:rPr>
        <w:tab/>
      </w:r>
      <w:r w:rsidR="00C162B0">
        <w:t xml:space="preserve">In </w:t>
      </w:r>
      <w:r w:rsidR="00C162B0" w:rsidRPr="00C162B0">
        <w:rPr>
          <w:i/>
          <w:iCs/>
        </w:rPr>
        <w:t>Solomon NO v Spur Cool Corporation (Pty) Ltd</w:t>
      </w:r>
      <w:r w:rsidR="00C162B0">
        <w:t xml:space="preserve">, </w:t>
      </w:r>
      <w:proofErr w:type="spellStart"/>
      <w:r w:rsidR="00C162B0">
        <w:t>Binns</w:t>
      </w:r>
      <w:proofErr w:type="spellEnd"/>
      <w:r w:rsidR="00C162B0">
        <w:t>-Ward J observed that “</w:t>
      </w:r>
      <w:r w:rsidR="00C162B0" w:rsidRPr="00C162B0">
        <w:rPr>
          <w:i/>
          <w:iCs/>
        </w:rPr>
        <w:t>[t]his entails the application of pragmatism and common sense rather than formalism. It will in general be appropriate in quantifying contractual damages which … involve a component of prospective loss, to have regard to the effect of relevant events intervening between those dates and the trial insofar as that will facilitate a more accurate achievement of the object</w:t>
      </w:r>
      <w:r w:rsidR="00C162B0">
        <w:t>.”</w:t>
      </w:r>
      <w:r w:rsidR="00C162B0">
        <w:rPr>
          <w:rStyle w:val="FootnoteReference"/>
        </w:rPr>
        <w:footnoteReference w:id="9"/>
      </w:r>
    </w:p>
    <w:p w14:paraId="2CE811CD" w14:textId="7FD1A0B4" w:rsidR="0004061F" w:rsidRPr="004A2BBF" w:rsidRDefault="00F411B1" w:rsidP="00F411B1">
      <w:pPr>
        <w:pStyle w:val="LC1"/>
        <w:numPr>
          <w:ilvl w:val="0"/>
          <w:numId w:val="0"/>
        </w:numPr>
        <w:ind w:left="720" w:hanging="720"/>
        <w:rPr>
          <w:u w:val="single"/>
        </w:rPr>
      </w:pPr>
      <w:r w:rsidRPr="004A2BBF">
        <w:rPr>
          <w:rFonts w:cs="Arial"/>
          <w:szCs w:val="24"/>
        </w:rPr>
        <w:t>[8]</w:t>
      </w:r>
      <w:r w:rsidRPr="004A2BBF">
        <w:rPr>
          <w:rFonts w:cs="Arial"/>
          <w:szCs w:val="24"/>
        </w:rPr>
        <w:tab/>
      </w:r>
      <w:r w:rsidR="00D23325">
        <w:t xml:space="preserve">In the current instance, it </w:t>
      </w:r>
      <w:r w:rsidR="00E34B34">
        <w:t xml:space="preserve">would appear to me </w:t>
      </w:r>
      <w:r w:rsidR="00D23325">
        <w:t xml:space="preserve">that it cannot possibly be the case that the damages to be awarded by a court to the plaintiff </w:t>
      </w:r>
      <w:proofErr w:type="gramStart"/>
      <w:r w:rsidR="00D23325">
        <w:t>as a result of</w:t>
      </w:r>
      <w:proofErr w:type="gramEnd"/>
      <w:r w:rsidR="00D23325">
        <w:t xml:space="preserve"> the defendant’s alleged breach could amount to the full value of the revenue generated by the lease for the remainder of its term. A range of questions would be relevant in this regard, not least of which </w:t>
      </w:r>
      <w:r w:rsidR="00C84A3F">
        <w:t xml:space="preserve">would be </w:t>
      </w:r>
      <w:r w:rsidR="00742726">
        <w:t>the fact that it is the plaintiff’s net loss that has to be ascertained and, where there is a difference, it is not entitled to be compensated for its gross loss</w:t>
      </w:r>
      <w:r w:rsidR="00C84A3F">
        <w:t>.</w:t>
      </w:r>
      <w:r w:rsidR="00742726">
        <w:rPr>
          <w:rStyle w:val="FootnoteReference"/>
        </w:rPr>
        <w:footnoteReference w:id="10"/>
      </w:r>
      <w:r w:rsidR="00742726">
        <w:t xml:space="preserve"> </w:t>
      </w:r>
      <w:r w:rsidR="00C84A3F">
        <w:t xml:space="preserve">This </w:t>
      </w:r>
      <w:r w:rsidR="00742726">
        <w:t xml:space="preserve">means that any expenses that would be incurred by </w:t>
      </w:r>
      <w:r w:rsidR="00D23325">
        <w:t xml:space="preserve">the plaintiff </w:t>
      </w:r>
      <w:r w:rsidR="00C84A3F">
        <w:t xml:space="preserve">in </w:t>
      </w:r>
      <w:r w:rsidR="00D23325">
        <w:t xml:space="preserve">maintaining </w:t>
      </w:r>
      <w:r w:rsidR="00C84A3F">
        <w:t xml:space="preserve">and licensing </w:t>
      </w:r>
      <w:r w:rsidR="00D23325">
        <w:t xml:space="preserve">the vehicles </w:t>
      </w:r>
      <w:r w:rsidR="00C40459">
        <w:t xml:space="preserve">over the course of the lease period </w:t>
      </w:r>
      <w:r w:rsidR="00742726">
        <w:t>(</w:t>
      </w:r>
      <w:r w:rsidR="00D23325">
        <w:t xml:space="preserve">which </w:t>
      </w:r>
      <w:r w:rsidR="00C84A3F">
        <w:t xml:space="preserve">the plaintiff itself pleads it </w:t>
      </w:r>
      <w:r w:rsidR="00D23325">
        <w:t>was obliged to do under the lease</w:t>
      </w:r>
      <w:r w:rsidR="00742726">
        <w:t xml:space="preserve">) </w:t>
      </w:r>
      <w:r w:rsidR="00C61DD7">
        <w:t xml:space="preserve">would have to </w:t>
      </w:r>
      <w:r w:rsidR="00742726">
        <w:t>be deducted</w:t>
      </w:r>
      <w:r w:rsidR="000D1D8A">
        <w:t xml:space="preserve">. There is </w:t>
      </w:r>
      <w:r w:rsidR="00E34B34">
        <w:t xml:space="preserve">also </w:t>
      </w:r>
      <w:r w:rsidR="00D23325">
        <w:t>the issue of whether plaintiff would be able to mitigate its damages, for example by leasing the vehicles to some other lessee</w:t>
      </w:r>
      <w:r w:rsidR="00742726">
        <w:t>, and if so, at what rentals</w:t>
      </w:r>
      <w:r w:rsidR="00C84A3F">
        <w:t>?</w:t>
      </w:r>
    </w:p>
    <w:p w14:paraId="0B3ADCC7" w14:textId="414E9C5E" w:rsidR="00E34B34" w:rsidRPr="00D23325" w:rsidRDefault="00F411B1" w:rsidP="00F411B1">
      <w:pPr>
        <w:pStyle w:val="LC1"/>
        <w:numPr>
          <w:ilvl w:val="0"/>
          <w:numId w:val="0"/>
        </w:numPr>
        <w:ind w:left="720" w:hanging="720"/>
        <w:rPr>
          <w:u w:val="single"/>
        </w:rPr>
      </w:pPr>
      <w:r w:rsidRPr="00D23325">
        <w:rPr>
          <w:rFonts w:cs="Arial"/>
          <w:szCs w:val="24"/>
        </w:rPr>
        <w:t>[9]</w:t>
      </w:r>
      <w:r w:rsidRPr="00D23325">
        <w:rPr>
          <w:rFonts w:cs="Arial"/>
          <w:szCs w:val="24"/>
        </w:rPr>
        <w:tab/>
      </w:r>
      <w:r w:rsidR="00E34B34">
        <w:t xml:space="preserve">Thus, even though </w:t>
      </w:r>
      <w:r w:rsidR="001C500D">
        <w:t xml:space="preserve">it is correct that </w:t>
      </w:r>
      <w:r w:rsidR="00E34B34">
        <w:t xml:space="preserve">the exercise </w:t>
      </w:r>
      <w:r w:rsidR="001C500D">
        <w:t xml:space="preserve">of assessing damages for breach of contract </w:t>
      </w:r>
      <w:r w:rsidR="00E34B34">
        <w:t>is intended to p</w:t>
      </w:r>
      <w:r w:rsidR="00E34B34" w:rsidRPr="003D5D0B">
        <w:t xml:space="preserve">ut </w:t>
      </w:r>
      <w:r w:rsidR="00E34B34">
        <w:t xml:space="preserve">the innocent party </w:t>
      </w:r>
      <w:r w:rsidR="00E34B34" w:rsidRPr="003D5D0B">
        <w:t xml:space="preserve">in the position it would have been </w:t>
      </w:r>
      <w:r w:rsidR="001C500D">
        <w:t xml:space="preserve">had the </w:t>
      </w:r>
      <w:r w:rsidR="00E34B34" w:rsidRPr="003D5D0B">
        <w:t>contract had been properly performed</w:t>
      </w:r>
      <w:r w:rsidR="00E34B34">
        <w:t>,</w:t>
      </w:r>
      <w:r w:rsidR="00E34B34">
        <w:rPr>
          <w:rStyle w:val="FootnoteReference"/>
        </w:rPr>
        <w:footnoteReference w:id="11"/>
      </w:r>
      <w:r w:rsidR="00E34B34">
        <w:t xml:space="preserve"> </w:t>
      </w:r>
      <w:r w:rsidR="00C40459">
        <w:t xml:space="preserve">that cannot be done in this case by simply assuming that the plaintiff would have profited by the amount it would have earned in rental over the remainder of the lease period. A </w:t>
      </w:r>
      <w:r w:rsidR="00E34B34">
        <w:t>claim for damages for breach of contract such as the one advanced by the plaintiff in this case cannot be regarded as one for a liquidated amount in money</w:t>
      </w:r>
      <w:r w:rsidR="001C500D">
        <w:t>.</w:t>
      </w:r>
      <w:r w:rsidR="00E34B34">
        <w:t xml:space="preserve"> </w:t>
      </w:r>
      <w:r w:rsidR="001C500D">
        <w:t xml:space="preserve">In my view, the position is best expressed by Howard J in </w:t>
      </w:r>
      <w:proofErr w:type="spellStart"/>
      <w:r w:rsidR="001C500D" w:rsidRPr="001C500D">
        <w:rPr>
          <w:i/>
          <w:iCs/>
        </w:rPr>
        <w:t>Leymac</w:t>
      </w:r>
      <w:proofErr w:type="spellEnd"/>
      <w:r w:rsidR="001C500D">
        <w:t xml:space="preserve">: </w:t>
      </w:r>
      <w:r w:rsidR="00E34B34">
        <w:t>“</w:t>
      </w:r>
      <w:r w:rsidR="00E34B34" w:rsidRPr="00067C81">
        <w:rPr>
          <w:i/>
          <w:iCs/>
        </w:rPr>
        <w:t xml:space="preserve">the </w:t>
      </w:r>
      <w:r w:rsidR="00E34B34" w:rsidRPr="00067C81">
        <w:rPr>
          <w:i/>
          <w:iCs/>
        </w:rPr>
        <w:lastRenderedPageBreak/>
        <w:t xml:space="preserve">amount of these damages will not be liquidated until the Court has assessed the </w:t>
      </w:r>
      <w:r w:rsidR="00E34B34" w:rsidRPr="00067C81">
        <w:t>quantum</w:t>
      </w:r>
      <w:r w:rsidR="00E34B34" w:rsidRPr="00067C81">
        <w:rPr>
          <w:i/>
          <w:iCs/>
        </w:rPr>
        <w:t xml:space="preserve"> thereof, by the exercise of its own judgment</w:t>
      </w:r>
      <w:r w:rsidR="00E34B34">
        <w:t>”</w:t>
      </w:r>
      <w:r w:rsidR="00E34B34" w:rsidRPr="00067C81">
        <w:t>.</w:t>
      </w:r>
      <w:r w:rsidR="00E34B34">
        <w:rPr>
          <w:rStyle w:val="FootnoteReference"/>
        </w:rPr>
        <w:footnoteReference w:id="12"/>
      </w:r>
      <w:r w:rsidR="00E34B34">
        <w:t xml:space="preserve"> </w:t>
      </w:r>
    </w:p>
    <w:p w14:paraId="6EB51BCA" w14:textId="3FB296C3" w:rsidR="00D6385B" w:rsidRDefault="00F411B1" w:rsidP="00F411B1">
      <w:pPr>
        <w:pStyle w:val="LC1"/>
        <w:numPr>
          <w:ilvl w:val="0"/>
          <w:numId w:val="0"/>
        </w:numPr>
        <w:ind w:left="720" w:hanging="720"/>
        <w:rPr>
          <w:lang w:eastAsia="en-ZA"/>
        </w:rPr>
      </w:pPr>
      <w:r>
        <w:rPr>
          <w:rFonts w:cs="Arial"/>
          <w:szCs w:val="24"/>
          <w:lang w:eastAsia="en-ZA"/>
        </w:rPr>
        <w:t>[10]</w:t>
      </w:r>
      <w:r>
        <w:rPr>
          <w:rFonts w:cs="Arial"/>
          <w:szCs w:val="24"/>
          <w:lang w:eastAsia="en-ZA"/>
        </w:rPr>
        <w:tab/>
      </w:r>
      <w:r w:rsidR="00593E75">
        <w:t xml:space="preserve">The defendant referred </w:t>
      </w:r>
      <w:r w:rsidR="00D6385B">
        <w:t xml:space="preserve">in its heads of argument to the judgment of Sutherland J (as he then was) in </w:t>
      </w:r>
      <w:r w:rsidR="00D6385B" w:rsidRPr="00D6385B">
        <w:rPr>
          <w:i/>
          <w:iCs/>
        </w:rPr>
        <w:t xml:space="preserve">Standard Bank of South Africa v </w:t>
      </w:r>
      <w:proofErr w:type="spellStart"/>
      <w:r w:rsidR="00D6385B" w:rsidRPr="00D6385B">
        <w:rPr>
          <w:i/>
          <w:iCs/>
        </w:rPr>
        <w:t>Renico</w:t>
      </w:r>
      <w:proofErr w:type="spellEnd"/>
      <w:r w:rsidR="00D6385B" w:rsidRPr="00D6385B">
        <w:rPr>
          <w:i/>
          <w:iCs/>
        </w:rPr>
        <w:t xml:space="preserve"> Construction (Pty) Ltd</w:t>
      </w:r>
      <w:r w:rsidR="00D6385B">
        <w:t>,</w:t>
      </w:r>
      <w:r w:rsidR="00D6385B">
        <w:rPr>
          <w:rStyle w:val="FootnoteReference"/>
        </w:rPr>
        <w:footnoteReference w:id="13"/>
      </w:r>
      <w:r w:rsidR="00D6385B">
        <w:t xml:space="preserve"> in which the defendant lessor </w:t>
      </w:r>
      <w:r w:rsidR="00C40459">
        <w:t>(</w:t>
      </w:r>
      <w:proofErr w:type="spellStart"/>
      <w:r w:rsidR="00C40459">
        <w:t>Renico</w:t>
      </w:r>
      <w:proofErr w:type="spellEnd"/>
      <w:r w:rsidR="00C40459">
        <w:t xml:space="preserve">) </w:t>
      </w:r>
      <w:r w:rsidR="00D6385B">
        <w:t xml:space="preserve">advanced </w:t>
      </w:r>
      <w:r w:rsidR="00C40459">
        <w:t xml:space="preserve">five </w:t>
      </w:r>
      <w:r w:rsidR="00D6385B">
        <w:t>different counterclaims against the cessionary of its lessee</w:t>
      </w:r>
      <w:r w:rsidR="00C40459">
        <w:t xml:space="preserve"> (Standard Bank) </w:t>
      </w:r>
      <w:r w:rsidR="00D6385B">
        <w:t>arising from a lease agreement</w:t>
      </w:r>
      <w:r w:rsidR="00C40459">
        <w:t xml:space="preserve">. The claims were </w:t>
      </w:r>
      <w:r w:rsidR="00D6385B">
        <w:t xml:space="preserve">for (i) </w:t>
      </w:r>
      <w:r w:rsidR="00D6385B">
        <w:rPr>
          <w:lang w:eastAsia="en-ZA"/>
        </w:rPr>
        <w:t>a</w:t>
      </w:r>
      <w:r w:rsidR="00D6385B" w:rsidRPr="00D6385B">
        <w:rPr>
          <w:lang w:eastAsia="en-ZA"/>
        </w:rPr>
        <w:t>rrear rentals</w:t>
      </w:r>
      <w:r w:rsidR="00D6385B">
        <w:rPr>
          <w:lang w:eastAsia="en-ZA"/>
        </w:rPr>
        <w:t>; (ii) d</w:t>
      </w:r>
      <w:r w:rsidR="00D6385B" w:rsidRPr="00D6385B">
        <w:rPr>
          <w:lang w:eastAsia="en-ZA"/>
        </w:rPr>
        <w:t>amages in the sum paid to an agent to relet the premises</w:t>
      </w:r>
      <w:r w:rsidR="00D6385B">
        <w:rPr>
          <w:lang w:eastAsia="en-ZA"/>
        </w:rPr>
        <w:t>; (iii) d</w:t>
      </w:r>
      <w:r w:rsidR="00D6385B" w:rsidRPr="00D6385B">
        <w:rPr>
          <w:lang w:eastAsia="en-ZA"/>
        </w:rPr>
        <w:t>amages in respect of loss of revenue over the period of the lease,</w:t>
      </w:r>
      <w:r w:rsidR="00D6385B">
        <w:rPr>
          <w:lang w:eastAsia="en-ZA"/>
        </w:rPr>
        <w:t xml:space="preserve"> </w:t>
      </w:r>
      <w:r w:rsidR="00D6385B" w:rsidRPr="00D6385B">
        <w:rPr>
          <w:lang w:eastAsia="en-ZA"/>
        </w:rPr>
        <w:t>owing to the premises being relet at a lower rental level</w:t>
      </w:r>
      <w:r w:rsidR="00D6385B">
        <w:rPr>
          <w:lang w:eastAsia="en-ZA"/>
        </w:rPr>
        <w:t>; (iv) d</w:t>
      </w:r>
      <w:r w:rsidR="00D6385B" w:rsidRPr="00D6385B">
        <w:rPr>
          <w:lang w:eastAsia="en-ZA"/>
        </w:rPr>
        <w:t xml:space="preserve">amages in respect of the value of physical improvements made to the premises by </w:t>
      </w:r>
      <w:r w:rsidR="00D6385B">
        <w:rPr>
          <w:lang w:eastAsia="en-ZA"/>
        </w:rPr>
        <w:t xml:space="preserve">the lessee </w:t>
      </w:r>
      <w:r w:rsidR="00D6385B" w:rsidRPr="00D6385B">
        <w:rPr>
          <w:lang w:eastAsia="en-ZA"/>
        </w:rPr>
        <w:t>which were removed without consent</w:t>
      </w:r>
      <w:r w:rsidR="00D6385B">
        <w:rPr>
          <w:lang w:eastAsia="en-ZA"/>
        </w:rPr>
        <w:t xml:space="preserve">; and </w:t>
      </w:r>
      <w:r w:rsidR="00C40459">
        <w:rPr>
          <w:lang w:eastAsia="en-ZA"/>
        </w:rPr>
        <w:t xml:space="preserve">(v) an </w:t>
      </w:r>
      <w:r w:rsidR="00C162B0">
        <w:rPr>
          <w:lang w:eastAsia="en-ZA"/>
        </w:rPr>
        <w:t xml:space="preserve">unrelated </w:t>
      </w:r>
      <w:r w:rsidR="00D6385B" w:rsidRPr="00D6385B">
        <w:rPr>
          <w:lang w:eastAsia="en-ZA"/>
        </w:rPr>
        <w:t xml:space="preserve">damages claim arising from </w:t>
      </w:r>
      <w:r w:rsidR="00C162B0">
        <w:rPr>
          <w:lang w:eastAsia="en-ZA"/>
        </w:rPr>
        <w:t xml:space="preserve">the lessee’s </w:t>
      </w:r>
      <w:r w:rsidR="00D6385B" w:rsidRPr="00D6385B">
        <w:rPr>
          <w:lang w:eastAsia="en-ZA"/>
        </w:rPr>
        <w:t xml:space="preserve">breach of contract in not  finishing a particular </w:t>
      </w:r>
      <w:r w:rsidR="00C162B0">
        <w:rPr>
          <w:lang w:eastAsia="en-ZA"/>
        </w:rPr>
        <w:t xml:space="preserve">construction </w:t>
      </w:r>
      <w:r w:rsidR="00D6385B" w:rsidRPr="00D6385B">
        <w:rPr>
          <w:lang w:eastAsia="en-ZA"/>
        </w:rPr>
        <w:t>job</w:t>
      </w:r>
      <w:r w:rsidR="00C162B0">
        <w:rPr>
          <w:lang w:eastAsia="en-ZA"/>
        </w:rPr>
        <w:t>.</w:t>
      </w:r>
      <w:r w:rsidR="00C162B0">
        <w:rPr>
          <w:rStyle w:val="FootnoteReference"/>
          <w:lang w:eastAsia="en-ZA"/>
        </w:rPr>
        <w:footnoteReference w:id="14"/>
      </w:r>
      <w:r w:rsidR="00C162B0">
        <w:rPr>
          <w:lang w:eastAsia="en-ZA"/>
        </w:rPr>
        <w:t xml:space="preserve"> Of these claims, the court found that “</w:t>
      </w:r>
      <w:r w:rsidR="00C162B0" w:rsidRPr="00C162B0">
        <w:rPr>
          <w:i/>
          <w:iCs/>
          <w:lang w:eastAsia="en-ZA"/>
        </w:rPr>
        <w:t>only one 'claim' can be said to be obviously liquidated: the arrear rental claim</w:t>
      </w:r>
      <w:r w:rsidR="00C162B0">
        <w:rPr>
          <w:lang w:eastAsia="en-ZA"/>
        </w:rPr>
        <w:t>”,</w:t>
      </w:r>
      <w:r w:rsidR="00C162B0">
        <w:rPr>
          <w:rStyle w:val="FootnoteReference"/>
          <w:lang w:eastAsia="en-ZA"/>
        </w:rPr>
        <w:footnoteReference w:id="15"/>
      </w:r>
      <w:r w:rsidR="00C162B0">
        <w:rPr>
          <w:lang w:eastAsia="en-ZA"/>
        </w:rPr>
        <w:t xml:space="preserve"> and that “</w:t>
      </w:r>
      <w:r w:rsidR="00C162B0" w:rsidRPr="00C162B0">
        <w:rPr>
          <w:i/>
          <w:iCs/>
          <w:lang w:eastAsia="en-ZA"/>
        </w:rPr>
        <w:t xml:space="preserve">all the other claims having to do with the breached lease are damages claims. The individualisation of these claims may be useful for analytical </w:t>
      </w:r>
      <w:proofErr w:type="gramStart"/>
      <w:r w:rsidR="00C162B0" w:rsidRPr="00C162B0">
        <w:rPr>
          <w:i/>
          <w:iCs/>
          <w:lang w:eastAsia="en-ZA"/>
        </w:rPr>
        <w:t>purposes</w:t>
      </w:r>
      <w:proofErr w:type="gramEnd"/>
      <w:r w:rsidR="00C162B0" w:rsidRPr="00C162B0">
        <w:rPr>
          <w:i/>
          <w:iCs/>
          <w:lang w:eastAsia="en-ZA"/>
        </w:rPr>
        <w:t xml:space="preserve"> but it has to be recognised that the differentiation is artificial; there is only a single cause of action: damages caused by the breach of contract by [the lessee]. Splitting them up does not, by such a contrivance, afford them distinct and different status</w:t>
      </w:r>
      <w:r w:rsidR="00C162B0" w:rsidRPr="00C162B0">
        <w:rPr>
          <w:lang w:eastAsia="en-ZA"/>
        </w:rPr>
        <w:t>.</w:t>
      </w:r>
      <w:r w:rsidR="00C162B0">
        <w:rPr>
          <w:lang w:eastAsia="en-ZA"/>
        </w:rPr>
        <w:t>”</w:t>
      </w:r>
      <w:r w:rsidR="00C162B0">
        <w:rPr>
          <w:rStyle w:val="FootnoteReference"/>
          <w:lang w:eastAsia="en-ZA"/>
        </w:rPr>
        <w:footnoteReference w:id="16"/>
      </w:r>
      <w:r w:rsidR="00C162B0">
        <w:rPr>
          <w:lang w:eastAsia="en-ZA"/>
        </w:rPr>
        <w:t xml:space="preserve"> The court went on to hold</w:t>
      </w:r>
      <w:r w:rsidR="00566BD3">
        <w:rPr>
          <w:lang w:eastAsia="en-ZA"/>
        </w:rPr>
        <w:t xml:space="preserve">, with reference to the </w:t>
      </w:r>
      <w:r w:rsidR="00566BD3" w:rsidRPr="00C162B0">
        <w:rPr>
          <w:i/>
          <w:iCs/>
          <w:lang w:eastAsia="en-ZA"/>
        </w:rPr>
        <w:t>Solomon</w:t>
      </w:r>
      <w:r w:rsidR="00566BD3">
        <w:rPr>
          <w:lang w:eastAsia="en-ZA"/>
        </w:rPr>
        <w:t xml:space="preserve"> case, </w:t>
      </w:r>
      <w:r w:rsidR="00C162B0">
        <w:rPr>
          <w:lang w:eastAsia="en-ZA"/>
        </w:rPr>
        <w:t>that:</w:t>
      </w:r>
    </w:p>
    <w:p w14:paraId="43679BA0" w14:textId="77777777" w:rsidR="00566BD3" w:rsidRDefault="00C162B0" w:rsidP="00C162B0">
      <w:pPr>
        <w:pStyle w:val="LC1"/>
        <w:numPr>
          <w:ilvl w:val="0"/>
          <w:numId w:val="0"/>
        </w:numPr>
        <w:ind w:left="1440"/>
        <w:rPr>
          <w:i/>
          <w:iCs/>
          <w:lang w:eastAsia="en-ZA"/>
        </w:rPr>
      </w:pPr>
      <w:r w:rsidRPr="00C162B0">
        <w:rPr>
          <w:i/>
          <w:iCs/>
          <w:lang w:eastAsia="en-ZA"/>
        </w:rPr>
        <w:t>The correct computation of contractual damages can never, in principle, be mere arithmetic. A value judgment is an element of the computation of the quantum, which computation embraces the effects of a reasonable effort to mitigate the damages. The figure of damages cannot under such circumstances be determined until that debate is exhausted, as a rule, before a court.</w:t>
      </w:r>
    </w:p>
    <w:p w14:paraId="3FA5FA4B" w14:textId="77777777" w:rsidR="00566BD3" w:rsidRPr="00566BD3" w:rsidRDefault="00566BD3" w:rsidP="00C162B0">
      <w:pPr>
        <w:pStyle w:val="LC1"/>
        <w:numPr>
          <w:ilvl w:val="0"/>
          <w:numId w:val="0"/>
        </w:numPr>
        <w:ind w:left="1440"/>
        <w:rPr>
          <w:i/>
          <w:iCs/>
          <w:lang w:eastAsia="en-ZA"/>
        </w:rPr>
      </w:pPr>
      <w:r w:rsidRPr="00566BD3">
        <w:rPr>
          <w:i/>
          <w:iCs/>
          <w:lang w:eastAsia="en-ZA"/>
        </w:rPr>
        <w:lastRenderedPageBreak/>
        <w:t>…</w:t>
      </w:r>
    </w:p>
    <w:p w14:paraId="58D187D3" w14:textId="1BFBA0DB" w:rsidR="00C162B0" w:rsidRPr="00C162B0" w:rsidRDefault="00566BD3" w:rsidP="00566BD3">
      <w:pPr>
        <w:pStyle w:val="LC1"/>
        <w:numPr>
          <w:ilvl w:val="0"/>
          <w:numId w:val="0"/>
        </w:numPr>
        <w:ind w:left="1440"/>
        <w:rPr>
          <w:lang w:eastAsia="en-ZA"/>
        </w:rPr>
      </w:pPr>
      <w:r w:rsidRPr="00566BD3">
        <w:rPr>
          <w:i/>
          <w:iCs/>
          <w:lang w:eastAsia="en-ZA"/>
        </w:rPr>
        <w:t>Moreover, until a court has pronounced, no sum is yet due and payable, save perhaps the arrear-rental claim … It bears emphasis to remark that the condition of 'illiquidity' is not a result of the absence of evidence or proof of the indebtedness; rather it is the result of an inability to compute a figure in the absence of an investigation that is more than a mechanical exercise.</w:t>
      </w:r>
      <w:r w:rsidR="00C162B0">
        <w:rPr>
          <w:rStyle w:val="FootnoteReference"/>
          <w:i/>
          <w:iCs/>
          <w:lang w:eastAsia="en-ZA"/>
        </w:rPr>
        <w:footnoteReference w:id="17"/>
      </w:r>
    </w:p>
    <w:p w14:paraId="5E63769B" w14:textId="7962004E" w:rsidR="00593E75" w:rsidRDefault="00F411B1" w:rsidP="00F411B1">
      <w:pPr>
        <w:pStyle w:val="LC1"/>
        <w:numPr>
          <w:ilvl w:val="0"/>
          <w:numId w:val="0"/>
        </w:numPr>
        <w:ind w:left="720" w:hanging="720"/>
      </w:pPr>
      <w:r>
        <w:rPr>
          <w:rFonts w:cs="Arial"/>
          <w:szCs w:val="24"/>
        </w:rPr>
        <w:t>[11]</w:t>
      </w:r>
      <w:r>
        <w:rPr>
          <w:rFonts w:cs="Arial"/>
          <w:szCs w:val="24"/>
        </w:rPr>
        <w:tab/>
      </w:r>
      <w:r w:rsidR="00C84A3F">
        <w:t xml:space="preserve">Although the </w:t>
      </w:r>
      <w:proofErr w:type="spellStart"/>
      <w:r w:rsidR="00C84A3F" w:rsidRPr="00C84A3F">
        <w:rPr>
          <w:i/>
          <w:iCs/>
        </w:rPr>
        <w:t>Renico</w:t>
      </w:r>
      <w:proofErr w:type="spellEnd"/>
      <w:r w:rsidR="00C84A3F">
        <w:t xml:space="preserve"> case did not involve a summary judgment </w:t>
      </w:r>
      <w:proofErr w:type="gramStart"/>
      <w:r w:rsidR="00C84A3F">
        <w:t>application, and</w:t>
      </w:r>
      <w:proofErr w:type="gramEnd"/>
      <w:r w:rsidR="00C84A3F">
        <w:t xml:space="preserve"> was concerned with the question whether the counterclaims were liquidated and could be set off against the claim in convention (which is very much a similar enquiry), a</w:t>
      </w:r>
      <w:r w:rsidR="00593E75">
        <w:t xml:space="preserve"> similar conclusion was reached by the court in</w:t>
      </w:r>
      <w:r w:rsidR="00593E75" w:rsidRPr="00014237">
        <w:rPr>
          <w:i/>
          <w:iCs/>
        </w:rPr>
        <w:t xml:space="preserve"> Lovemore</w:t>
      </w:r>
      <w:r w:rsidR="00946F4C">
        <w:rPr>
          <w:i/>
          <w:iCs/>
        </w:rPr>
        <w:t xml:space="preserve"> v White</w:t>
      </w:r>
      <w:r w:rsidR="00C40459">
        <w:t>.</w:t>
      </w:r>
      <w:r w:rsidR="00593E75">
        <w:t xml:space="preserve"> </w:t>
      </w:r>
      <w:r w:rsidR="00C40459">
        <w:t xml:space="preserve">In that case, </w:t>
      </w:r>
      <w:r w:rsidR="00593E75">
        <w:t xml:space="preserve">the plaintiff sought to quantify the damages that it suffered as a result of the defendant’s holding over under a lease agreement on the basis of a </w:t>
      </w:r>
      <w:r w:rsidR="00593E75" w:rsidRPr="00C84A3F">
        <w:rPr>
          <w:i/>
          <w:iCs/>
        </w:rPr>
        <w:t>pro rata</w:t>
      </w:r>
      <w:r w:rsidR="00593E75">
        <w:t xml:space="preserve"> calculation of the annual rental from the date of the breach until the date upon which the defendant vacate</w:t>
      </w:r>
      <w:r w:rsidR="00C84A3F">
        <w:t>d</w:t>
      </w:r>
      <w:r w:rsidR="00593E75">
        <w:t xml:space="preserve"> the property.</w:t>
      </w:r>
      <w:r w:rsidR="00593E75">
        <w:rPr>
          <w:rStyle w:val="FootnoteReference"/>
        </w:rPr>
        <w:t xml:space="preserve"> </w:t>
      </w:r>
      <w:r w:rsidR="00593E75">
        <w:t>While summary judgment was granted for the defendant’s ejection, the court held that the plaintiff’s counsel had correctly “</w:t>
      </w:r>
      <w:r w:rsidR="00593E75" w:rsidRPr="005C7858">
        <w:rPr>
          <w:i/>
          <w:iCs/>
        </w:rPr>
        <w:t>conceded that he could not ask for [such] damages in an application for summary judgment</w:t>
      </w:r>
      <w:r w:rsidR="00593E75">
        <w:t>”.</w:t>
      </w:r>
      <w:r w:rsidR="00593E75">
        <w:rPr>
          <w:rStyle w:val="FootnoteReference"/>
        </w:rPr>
        <w:footnoteReference w:id="18"/>
      </w:r>
      <w:r w:rsidR="00593E75">
        <w:t xml:space="preserve"> </w:t>
      </w:r>
    </w:p>
    <w:p w14:paraId="4CE5C268" w14:textId="73575B99" w:rsidR="00946F4C" w:rsidRDefault="00F411B1" w:rsidP="00F411B1">
      <w:pPr>
        <w:pStyle w:val="LC1"/>
        <w:numPr>
          <w:ilvl w:val="0"/>
          <w:numId w:val="0"/>
        </w:numPr>
        <w:ind w:left="720" w:hanging="720"/>
      </w:pPr>
      <w:r>
        <w:rPr>
          <w:rFonts w:cs="Arial"/>
          <w:szCs w:val="24"/>
        </w:rPr>
        <w:t>[12]</w:t>
      </w:r>
      <w:r>
        <w:rPr>
          <w:rFonts w:cs="Arial"/>
          <w:szCs w:val="24"/>
        </w:rPr>
        <w:tab/>
      </w:r>
      <w:r w:rsidR="00946F4C">
        <w:t>In the circumstances, I find that the plaintiff’s claim is not one contemplated in Rule 32(1)(b), and that the application falls to be dismissed.</w:t>
      </w:r>
    </w:p>
    <w:p w14:paraId="37D4222A" w14:textId="04455841" w:rsidR="00593E75" w:rsidRDefault="00F411B1" w:rsidP="00F411B1">
      <w:pPr>
        <w:pStyle w:val="LC1"/>
        <w:numPr>
          <w:ilvl w:val="0"/>
          <w:numId w:val="0"/>
        </w:numPr>
        <w:ind w:left="720" w:hanging="720"/>
      </w:pPr>
      <w:r>
        <w:rPr>
          <w:rFonts w:cs="Arial"/>
          <w:szCs w:val="24"/>
        </w:rPr>
        <w:t>[13]</w:t>
      </w:r>
      <w:r>
        <w:rPr>
          <w:rFonts w:cs="Arial"/>
          <w:szCs w:val="24"/>
        </w:rPr>
        <w:tab/>
      </w:r>
      <w:r w:rsidR="00593E75">
        <w:t xml:space="preserve">It </w:t>
      </w:r>
      <w:r w:rsidR="00D52F8D">
        <w:t xml:space="preserve">was </w:t>
      </w:r>
      <w:r w:rsidR="007C00CB">
        <w:t xml:space="preserve">clearly </w:t>
      </w:r>
      <w:r w:rsidR="00593E75">
        <w:t xml:space="preserve">alleged </w:t>
      </w:r>
      <w:r w:rsidR="007C00CB">
        <w:t xml:space="preserve">in </w:t>
      </w:r>
      <w:r w:rsidR="00593E75">
        <w:t xml:space="preserve">paragraphs 9 to 11 of </w:t>
      </w:r>
      <w:r w:rsidR="007C00CB">
        <w:t xml:space="preserve">the defendant’s opposing affidavit that the </w:t>
      </w:r>
      <w:r w:rsidR="00593E75">
        <w:t xml:space="preserve">plaintiff’s </w:t>
      </w:r>
      <w:r w:rsidR="007C00CB">
        <w:t xml:space="preserve">claim was not one which is amenable to </w:t>
      </w:r>
      <w:r w:rsidR="00593E75">
        <w:t>summary judgment. Despite this</w:t>
      </w:r>
      <w:r w:rsidR="007C00CB">
        <w:t xml:space="preserve">, </w:t>
      </w:r>
      <w:r w:rsidR="00593E75">
        <w:t xml:space="preserve">the plaintiff not only persisted with the application but </w:t>
      </w:r>
      <w:r w:rsidR="001E2FA8">
        <w:t xml:space="preserve">failed to address </w:t>
      </w:r>
      <w:r w:rsidR="007C00CB">
        <w:t xml:space="preserve">this obviously critical issue in </w:t>
      </w:r>
      <w:r w:rsidR="00593E75">
        <w:t xml:space="preserve">its </w:t>
      </w:r>
      <w:r w:rsidR="007C00CB">
        <w:t>heads of argument</w:t>
      </w:r>
      <w:r w:rsidR="00593E75">
        <w:t>, save to note that “</w:t>
      </w:r>
      <w:r w:rsidR="00593E75" w:rsidRPr="00D6385B">
        <w:rPr>
          <w:i/>
          <w:iCs/>
        </w:rPr>
        <w:t xml:space="preserve">a minor portion of the </w:t>
      </w:r>
      <w:r w:rsidR="00D6385B" w:rsidRPr="00D6385B">
        <w:rPr>
          <w:i/>
          <w:iCs/>
        </w:rPr>
        <w:t>Plaintiff’s claim [</w:t>
      </w:r>
      <w:proofErr w:type="gramStart"/>
      <w:r w:rsidR="00D6385B" w:rsidRPr="00D6385B">
        <w:rPr>
          <w:i/>
          <w:iCs/>
        </w:rPr>
        <w:t>i.e.</w:t>
      </w:r>
      <w:proofErr w:type="gramEnd"/>
      <w:r w:rsidR="00D6385B" w:rsidRPr="00D6385B">
        <w:rPr>
          <w:i/>
          <w:iCs/>
        </w:rPr>
        <w:t xml:space="preserve"> </w:t>
      </w:r>
      <w:r w:rsidR="00593E75" w:rsidRPr="00D6385B">
        <w:rPr>
          <w:i/>
          <w:iCs/>
        </w:rPr>
        <w:t>arising out of physical damage to the vehicles</w:t>
      </w:r>
      <w:r w:rsidR="00D6385B" w:rsidRPr="00D6385B">
        <w:rPr>
          <w:i/>
          <w:iCs/>
        </w:rPr>
        <w:t>]</w:t>
      </w:r>
      <w:r w:rsidR="00593E75" w:rsidRPr="00D6385B">
        <w:rPr>
          <w:i/>
          <w:iCs/>
        </w:rPr>
        <w:t xml:space="preserve"> </w:t>
      </w:r>
      <w:r w:rsidR="00D6385B" w:rsidRPr="00D6385B">
        <w:rPr>
          <w:i/>
          <w:iCs/>
        </w:rPr>
        <w:t xml:space="preserve">constitutes a claim for damages [and] </w:t>
      </w:r>
      <w:r w:rsidR="00593E75" w:rsidRPr="00D6385B">
        <w:rPr>
          <w:i/>
          <w:iCs/>
        </w:rPr>
        <w:t xml:space="preserve">is not included in </w:t>
      </w:r>
      <w:r w:rsidR="00D6385B" w:rsidRPr="00D6385B">
        <w:rPr>
          <w:i/>
          <w:iCs/>
        </w:rPr>
        <w:t>[</w:t>
      </w:r>
      <w:r w:rsidR="00593E75" w:rsidRPr="00D6385B">
        <w:rPr>
          <w:i/>
          <w:iCs/>
        </w:rPr>
        <w:t>the</w:t>
      </w:r>
      <w:r w:rsidR="00D6385B" w:rsidRPr="00D6385B">
        <w:rPr>
          <w:i/>
          <w:iCs/>
        </w:rPr>
        <w:t>]</w:t>
      </w:r>
      <w:r w:rsidR="00593E75" w:rsidRPr="00D6385B">
        <w:rPr>
          <w:i/>
          <w:iCs/>
        </w:rPr>
        <w:t xml:space="preserve"> application for summar</w:t>
      </w:r>
      <w:r w:rsidR="00D6385B" w:rsidRPr="00D6385B">
        <w:rPr>
          <w:i/>
          <w:iCs/>
        </w:rPr>
        <w:t>y</w:t>
      </w:r>
      <w:r w:rsidR="00593E75" w:rsidRPr="00D6385B">
        <w:rPr>
          <w:i/>
          <w:iCs/>
        </w:rPr>
        <w:t xml:space="preserve"> judgment and shall be abandoned if necessary</w:t>
      </w:r>
      <w:r w:rsidR="00D6385B">
        <w:t>”</w:t>
      </w:r>
      <w:r w:rsidR="007C00CB">
        <w:t xml:space="preserve">. </w:t>
      </w:r>
    </w:p>
    <w:p w14:paraId="69864EED" w14:textId="5CD8CD35" w:rsidR="007C00CB" w:rsidRDefault="00F411B1" w:rsidP="00F411B1">
      <w:pPr>
        <w:pStyle w:val="LC1"/>
        <w:numPr>
          <w:ilvl w:val="0"/>
          <w:numId w:val="0"/>
        </w:numPr>
        <w:ind w:left="720" w:hanging="720"/>
      </w:pPr>
      <w:r>
        <w:rPr>
          <w:rFonts w:cs="Arial"/>
          <w:szCs w:val="24"/>
        </w:rPr>
        <w:t>[14]</w:t>
      </w:r>
      <w:r>
        <w:rPr>
          <w:rFonts w:cs="Arial"/>
          <w:szCs w:val="24"/>
        </w:rPr>
        <w:tab/>
      </w:r>
      <w:r w:rsidR="007C00CB">
        <w:t xml:space="preserve">The plaintiff </w:t>
      </w:r>
      <w:r w:rsidR="00946F4C">
        <w:t xml:space="preserve">continued to </w:t>
      </w:r>
      <w:r w:rsidR="007C00CB">
        <w:t xml:space="preserve">persist even after the issue was placed ‘front and </w:t>
      </w:r>
      <w:r w:rsidR="007C00CB">
        <w:lastRenderedPageBreak/>
        <w:t xml:space="preserve">centre’ in the defendant’s heads of argument. </w:t>
      </w:r>
      <w:r w:rsidR="00946F4C">
        <w:t xml:space="preserve">At </w:t>
      </w:r>
      <w:r w:rsidR="00730305">
        <w:t>the hearing of the matter, the plaintiff’s representative ignored the issue, and focused his argument on the defendant’s breaches of the agreement</w:t>
      </w:r>
      <w:r w:rsidR="001E2FA8">
        <w:t xml:space="preserve"> and the absence of a </w:t>
      </w:r>
      <w:r w:rsidR="001E2FA8" w:rsidRPr="001E2FA8">
        <w:rPr>
          <w:i/>
          <w:iCs/>
        </w:rPr>
        <w:t>bona fide</w:t>
      </w:r>
      <w:r w:rsidR="001E2FA8">
        <w:t xml:space="preserve"> defence</w:t>
      </w:r>
      <w:r w:rsidR="00730305">
        <w:t>. W</w:t>
      </w:r>
      <w:r w:rsidR="007C00CB">
        <w:t xml:space="preserve">hen I raised the issue </w:t>
      </w:r>
      <w:r w:rsidR="001E2FA8">
        <w:t xml:space="preserve">of the nature of the claim </w:t>
      </w:r>
      <w:r w:rsidR="007C00CB">
        <w:t xml:space="preserve">with </w:t>
      </w:r>
      <w:r w:rsidR="00730305">
        <w:t>him</w:t>
      </w:r>
      <w:r w:rsidR="007C00CB">
        <w:t xml:space="preserve">, </w:t>
      </w:r>
      <w:r w:rsidR="00730305">
        <w:t xml:space="preserve">he </w:t>
      </w:r>
      <w:r w:rsidR="00D40675">
        <w:t xml:space="preserve">was unable to advance any cogent argument as to why the claim constitutes one for a liquidated amount in money. He </w:t>
      </w:r>
      <w:r w:rsidR="00730305">
        <w:t xml:space="preserve">contended </w:t>
      </w:r>
      <w:r w:rsidR="00E17934">
        <w:t xml:space="preserve">(without explaining why) </w:t>
      </w:r>
      <w:r w:rsidR="00730305">
        <w:t xml:space="preserve">that the authorities relied upon by the defendant </w:t>
      </w:r>
      <w:r w:rsidR="00D40675">
        <w:t>(</w:t>
      </w:r>
      <w:proofErr w:type="gramStart"/>
      <w:r w:rsidR="00D40675">
        <w:t>i.e.</w:t>
      </w:r>
      <w:proofErr w:type="gramEnd"/>
      <w:r w:rsidR="00D40675">
        <w:t xml:space="preserve"> </w:t>
      </w:r>
      <w:proofErr w:type="spellStart"/>
      <w:r w:rsidR="00946F4C" w:rsidRPr="00946F4C">
        <w:rPr>
          <w:i/>
          <w:iCs/>
        </w:rPr>
        <w:t>Renico</w:t>
      </w:r>
      <w:proofErr w:type="spellEnd"/>
      <w:r w:rsidR="00946F4C">
        <w:rPr>
          <w:i/>
          <w:iCs/>
        </w:rPr>
        <w:t xml:space="preserve"> </w:t>
      </w:r>
      <w:r w:rsidR="00946F4C" w:rsidRPr="00946F4C">
        <w:t>and</w:t>
      </w:r>
      <w:r w:rsidR="00946F4C">
        <w:rPr>
          <w:i/>
          <w:iCs/>
        </w:rPr>
        <w:t xml:space="preserve"> </w:t>
      </w:r>
      <w:r w:rsidR="00946F4C" w:rsidRPr="00946F4C">
        <w:rPr>
          <w:i/>
          <w:iCs/>
        </w:rPr>
        <w:t>Solomon</w:t>
      </w:r>
      <w:r w:rsidR="00D40675">
        <w:t xml:space="preserve">) </w:t>
      </w:r>
      <w:r w:rsidR="00730305">
        <w:t>were distinguishable</w:t>
      </w:r>
      <w:r w:rsidR="00E17934">
        <w:t>,</w:t>
      </w:r>
      <w:r w:rsidR="001D0C56">
        <w:t xml:space="preserve"> and sought to rely on the judgment in </w:t>
      </w:r>
      <w:r w:rsidR="001D0C56" w:rsidRPr="00D40675">
        <w:rPr>
          <w:i/>
          <w:iCs/>
        </w:rPr>
        <w:t>Liberty Group Limited v La Kandyan Trading (Pty) Limited</w:t>
      </w:r>
      <w:r w:rsidR="00D40675">
        <w:t>.</w:t>
      </w:r>
      <w:r w:rsidR="00D40675">
        <w:rPr>
          <w:rStyle w:val="FootnoteReference"/>
        </w:rPr>
        <w:footnoteReference w:id="19"/>
      </w:r>
      <w:r w:rsidR="001D0C56">
        <w:t xml:space="preserve"> </w:t>
      </w:r>
      <w:r w:rsidR="00946F4C">
        <w:t xml:space="preserve">In my view, </w:t>
      </w:r>
      <w:r w:rsidR="00D40675">
        <w:t xml:space="preserve">it is </w:t>
      </w:r>
      <w:r w:rsidR="00E17934">
        <w:t xml:space="preserve">the </w:t>
      </w:r>
      <w:r w:rsidR="00E17934" w:rsidRPr="00E17934">
        <w:rPr>
          <w:i/>
          <w:iCs/>
        </w:rPr>
        <w:t>Liberty Group</w:t>
      </w:r>
      <w:r w:rsidR="00E17934">
        <w:t xml:space="preserve"> </w:t>
      </w:r>
      <w:r w:rsidR="00D40675">
        <w:t xml:space="preserve">case that is distinguishable. Although </w:t>
      </w:r>
      <w:r w:rsidR="00946F4C">
        <w:t xml:space="preserve">that was a summary judgment application involving </w:t>
      </w:r>
      <w:r w:rsidR="00D40675">
        <w:t>a lease, there was no claim for damages, but only for payment under an acknowledgment of debt and for “</w:t>
      </w:r>
      <w:r w:rsidR="00D40675" w:rsidRPr="00E17934">
        <w:rPr>
          <w:i/>
          <w:iCs/>
        </w:rPr>
        <w:t>arrear rentals and charges under the lease agreement</w:t>
      </w:r>
      <w:r w:rsidR="00D40675">
        <w:t>”.</w:t>
      </w:r>
      <w:r w:rsidR="00E17934">
        <w:rPr>
          <w:rStyle w:val="FootnoteReference"/>
        </w:rPr>
        <w:footnoteReference w:id="20"/>
      </w:r>
    </w:p>
    <w:p w14:paraId="359406DC" w14:textId="6668C84B" w:rsidR="004A2BBF" w:rsidRDefault="00F411B1" w:rsidP="00F411B1">
      <w:pPr>
        <w:pStyle w:val="LC1"/>
        <w:numPr>
          <w:ilvl w:val="0"/>
          <w:numId w:val="0"/>
        </w:numPr>
        <w:ind w:left="720" w:hanging="720"/>
      </w:pPr>
      <w:r>
        <w:rPr>
          <w:rFonts w:cs="Arial"/>
          <w:szCs w:val="24"/>
        </w:rPr>
        <w:t>[15]</w:t>
      </w:r>
      <w:r>
        <w:rPr>
          <w:rFonts w:cs="Arial"/>
          <w:szCs w:val="24"/>
        </w:rPr>
        <w:tab/>
      </w:r>
      <w:r w:rsidR="004A2BBF">
        <w:t>I</w:t>
      </w:r>
      <w:r w:rsidR="004A2BBF" w:rsidRPr="004A2BBF">
        <w:t xml:space="preserve">n terms of Uniform Rule 32(9), </w:t>
      </w:r>
      <w:r w:rsidR="004A2BBF">
        <w:t xml:space="preserve">a </w:t>
      </w:r>
      <w:r w:rsidR="004A2BBF" w:rsidRPr="004A2BBF">
        <w:t xml:space="preserve">court </w:t>
      </w:r>
      <w:r w:rsidR="004A2BBF">
        <w:t>hearing a summary judgment application</w:t>
      </w:r>
      <w:r w:rsidR="004A2BBF" w:rsidRPr="004A2BBF">
        <w:t xml:space="preserve"> </w:t>
      </w:r>
      <w:r w:rsidR="004A2BBF">
        <w:t>“</w:t>
      </w:r>
      <w:r w:rsidR="004A2BBF" w:rsidRPr="00AE01E2">
        <w:rPr>
          <w:i/>
          <w:iCs/>
        </w:rPr>
        <w:t>may make such order as to costs as to it may seem just</w:t>
      </w:r>
      <w:r w:rsidR="004A2BBF">
        <w:t>”</w:t>
      </w:r>
      <w:r w:rsidR="004A2BBF" w:rsidRPr="004A2BBF">
        <w:t xml:space="preserve">. </w:t>
      </w:r>
      <w:r w:rsidR="004A2BBF">
        <w:t>Rule 32(9)(a) furthermore stipulates that “</w:t>
      </w:r>
      <w:r w:rsidR="004A2BBF" w:rsidRPr="00AE01E2">
        <w:rPr>
          <w:i/>
          <w:iCs/>
        </w:rPr>
        <w:t>where the case is not within the terms of subrule (1)</w:t>
      </w:r>
      <w:r w:rsidR="004A2BBF">
        <w:t xml:space="preserve">”, the court may order that the </w:t>
      </w:r>
      <w:r w:rsidR="004A2BBF">
        <w:rPr>
          <w:rFonts w:cs="Arial"/>
          <w:bCs/>
          <w:szCs w:val="24"/>
        </w:rPr>
        <w:t>action be stayed until the plaintiff has paid the defendant’s costs and may also order that such costs be taxed as between attorney and client</w:t>
      </w:r>
      <w:r w:rsidR="004A2BBF">
        <w:t>. This is a wide discretion.</w:t>
      </w:r>
      <w:r w:rsidR="004A2BBF">
        <w:rPr>
          <w:rStyle w:val="FootnoteReference"/>
        </w:rPr>
        <w:footnoteReference w:id="21"/>
      </w:r>
      <w:r w:rsidR="004A2BBF">
        <w:t xml:space="preserve">  </w:t>
      </w:r>
    </w:p>
    <w:p w14:paraId="2D311F9C" w14:textId="0906D6BD" w:rsidR="008647A0" w:rsidRDefault="00F411B1" w:rsidP="00F411B1">
      <w:pPr>
        <w:pStyle w:val="LC1"/>
        <w:numPr>
          <w:ilvl w:val="0"/>
          <w:numId w:val="0"/>
        </w:numPr>
        <w:ind w:left="720" w:hanging="720"/>
        <w:rPr>
          <w:lang w:eastAsia="en-ZA"/>
        </w:rPr>
      </w:pPr>
      <w:r>
        <w:rPr>
          <w:rFonts w:cs="Arial"/>
          <w:szCs w:val="24"/>
          <w:lang w:eastAsia="en-ZA"/>
        </w:rPr>
        <w:t>[16]</w:t>
      </w:r>
      <w:r>
        <w:rPr>
          <w:rFonts w:cs="Arial"/>
          <w:szCs w:val="24"/>
          <w:lang w:eastAsia="en-ZA"/>
        </w:rPr>
        <w:tab/>
      </w:r>
      <w:r w:rsidR="008647A0">
        <w:rPr>
          <w:lang w:eastAsia="en-ZA"/>
        </w:rPr>
        <w:t xml:space="preserve">An </w:t>
      </w:r>
      <w:r w:rsidR="008647A0" w:rsidRPr="00014237">
        <w:rPr>
          <w:lang w:eastAsia="en-ZA"/>
        </w:rPr>
        <w:t>application for summary judgment</w:t>
      </w:r>
      <w:r w:rsidR="008647A0">
        <w:rPr>
          <w:lang w:eastAsia="en-ZA"/>
        </w:rPr>
        <w:t xml:space="preserve"> affords a </w:t>
      </w:r>
      <w:proofErr w:type="gramStart"/>
      <w:r w:rsidR="008647A0">
        <w:rPr>
          <w:lang w:eastAsia="en-ZA"/>
        </w:rPr>
        <w:t>plaintiff considerable strategic advantages</w:t>
      </w:r>
      <w:proofErr w:type="gramEnd"/>
      <w:r w:rsidR="00946F4C">
        <w:rPr>
          <w:lang w:eastAsia="en-ZA"/>
        </w:rPr>
        <w:t>:</w:t>
      </w:r>
      <w:r w:rsidR="008647A0">
        <w:rPr>
          <w:lang w:eastAsia="en-ZA"/>
        </w:rPr>
        <w:t xml:space="preserve"> even if </w:t>
      </w:r>
      <w:r w:rsidR="00946F4C">
        <w:rPr>
          <w:lang w:eastAsia="en-ZA"/>
        </w:rPr>
        <w:t xml:space="preserve">it is </w:t>
      </w:r>
      <w:r w:rsidR="008647A0">
        <w:rPr>
          <w:lang w:eastAsia="en-ZA"/>
        </w:rPr>
        <w:t xml:space="preserve">unsuccessful it </w:t>
      </w:r>
      <w:r w:rsidR="008647A0" w:rsidRPr="00014237">
        <w:rPr>
          <w:lang w:eastAsia="en-ZA"/>
        </w:rPr>
        <w:t>force</w:t>
      </w:r>
      <w:r w:rsidR="008647A0">
        <w:rPr>
          <w:lang w:eastAsia="en-ZA"/>
        </w:rPr>
        <w:t>s</w:t>
      </w:r>
      <w:r w:rsidR="008647A0" w:rsidRPr="00014237">
        <w:rPr>
          <w:lang w:eastAsia="en-ZA"/>
        </w:rPr>
        <w:t xml:space="preserve"> the defendant to put </w:t>
      </w:r>
      <w:r w:rsidR="008647A0">
        <w:rPr>
          <w:lang w:eastAsia="en-ZA"/>
        </w:rPr>
        <w:t xml:space="preserve">its </w:t>
      </w:r>
      <w:r w:rsidR="008647A0" w:rsidRPr="00014237">
        <w:rPr>
          <w:lang w:eastAsia="en-ZA"/>
        </w:rPr>
        <w:t>defence on affidavit</w:t>
      </w:r>
      <w:r w:rsidR="008647A0">
        <w:rPr>
          <w:lang w:eastAsia="en-ZA"/>
        </w:rPr>
        <w:t xml:space="preserve">, and this gives rise to concerns that the procedure </w:t>
      </w:r>
      <w:r w:rsidR="00946F4C">
        <w:rPr>
          <w:lang w:eastAsia="en-ZA"/>
        </w:rPr>
        <w:t xml:space="preserve">could be </w:t>
      </w:r>
      <w:r w:rsidR="008647A0">
        <w:rPr>
          <w:lang w:eastAsia="en-ZA"/>
        </w:rPr>
        <w:t>abused by plaintiff</w:t>
      </w:r>
      <w:r w:rsidR="00946F4C">
        <w:rPr>
          <w:lang w:eastAsia="en-ZA"/>
        </w:rPr>
        <w:t>s</w:t>
      </w:r>
      <w:r w:rsidR="008647A0">
        <w:rPr>
          <w:lang w:eastAsia="en-ZA"/>
        </w:rPr>
        <w:t xml:space="preserve"> for purely strategic reasons. Indeed, the recent changes to the rule, which require a plaintiff to wait until the defendant has pleaded, appear to </w:t>
      </w:r>
      <w:r w:rsidR="00946F4C">
        <w:rPr>
          <w:lang w:eastAsia="en-ZA"/>
        </w:rPr>
        <w:t xml:space="preserve">be a response to such </w:t>
      </w:r>
      <w:r w:rsidR="008647A0">
        <w:rPr>
          <w:lang w:eastAsia="en-ZA"/>
        </w:rPr>
        <w:t xml:space="preserve">concerns. In view of this, it seems to me that there </w:t>
      </w:r>
      <w:r w:rsidR="00946F4C">
        <w:rPr>
          <w:lang w:eastAsia="en-ZA"/>
        </w:rPr>
        <w:t xml:space="preserve">has recently been </w:t>
      </w:r>
      <w:r w:rsidR="008647A0">
        <w:rPr>
          <w:lang w:eastAsia="en-ZA"/>
        </w:rPr>
        <w:t xml:space="preserve">a clear shift in legal policy towards the discouragement of unmeritorious summary judgment applications. </w:t>
      </w:r>
    </w:p>
    <w:p w14:paraId="214AF3EA" w14:textId="16A3126E" w:rsidR="00014237" w:rsidRDefault="00F411B1" w:rsidP="00F411B1">
      <w:pPr>
        <w:pStyle w:val="LC1"/>
        <w:numPr>
          <w:ilvl w:val="0"/>
          <w:numId w:val="0"/>
        </w:numPr>
        <w:ind w:left="720" w:hanging="720"/>
      </w:pPr>
      <w:r>
        <w:rPr>
          <w:rFonts w:cs="Arial"/>
          <w:szCs w:val="24"/>
        </w:rPr>
        <w:t>[17]</w:t>
      </w:r>
      <w:r>
        <w:rPr>
          <w:rFonts w:cs="Arial"/>
          <w:szCs w:val="24"/>
        </w:rPr>
        <w:tab/>
      </w:r>
      <w:r w:rsidR="008647A0">
        <w:t xml:space="preserve">In that context, it is relevant that it has (in my view correctly) </w:t>
      </w:r>
      <w:r w:rsidR="00014237">
        <w:t xml:space="preserve">been observed that </w:t>
      </w:r>
      <w:r w:rsidR="00014237">
        <w:lastRenderedPageBreak/>
        <w:t xml:space="preserve">the purpose of </w:t>
      </w:r>
      <w:r w:rsidR="00014237" w:rsidRPr="00014237">
        <w:t>Rule 32(9)(a</w:t>
      </w:r>
      <w:r w:rsidR="00014237">
        <w:t xml:space="preserve">) is to </w:t>
      </w:r>
      <w:r w:rsidR="00014237" w:rsidRPr="00014237">
        <w:t>discourage</w:t>
      </w:r>
      <w:r w:rsidR="00014237">
        <w:t xml:space="preserve"> patently unmeritorious applications for summary judgment, </w:t>
      </w:r>
      <w:r w:rsidR="00014237" w:rsidRPr="00014237">
        <w:t xml:space="preserve">not only </w:t>
      </w:r>
      <w:r w:rsidR="008647A0">
        <w:t xml:space="preserve">because they </w:t>
      </w:r>
      <w:r w:rsidR="00014237" w:rsidRPr="00014237">
        <w:t xml:space="preserve">put the defendant to unnecessary trouble and expense, but </w:t>
      </w:r>
      <w:r w:rsidR="008647A0">
        <w:t xml:space="preserve">also because they </w:t>
      </w:r>
      <w:r w:rsidR="00014237">
        <w:t xml:space="preserve">are </w:t>
      </w:r>
      <w:r w:rsidR="00014237" w:rsidRPr="00014237">
        <w:t xml:space="preserve">a waste of the </w:t>
      </w:r>
      <w:r w:rsidR="00014237">
        <w:t>c</w:t>
      </w:r>
      <w:r w:rsidR="00014237" w:rsidRPr="00014237">
        <w:t>ourt's time</w:t>
      </w:r>
      <w:r w:rsidR="00014237">
        <w:t>.</w:t>
      </w:r>
      <w:r w:rsidR="00014237">
        <w:rPr>
          <w:rStyle w:val="FootnoteReference"/>
        </w:rPr>
        <w:footnoteReference w:id="22"/>
      </w:r>
      <w:r w:rsidR="008647A0">
        <w:t xml:space="preserve"> To these reasons, I would add that such unmeritorious applications only serve to drive up the cost of litigation, which is a significant barrier to access to justice.</w:t>
      </w:r>
    </w:p>
    <w:p w14:paraId="22C78850" w14:textId="015E3850" w:rsidR="008647A0" w:rsidRDefault="00F411B1" w:rsidP="00F411B1">
      <w:pPr>
        <w:pStyle w:val="LC1"/>
        <w:numPr>
          <w:ilvl w:val="0"/>
          <w:numId w:val="0"/>
        </w:numPr>
        <w:ind w:left="720" w:hanging="720"/>
      </w:pPr>
      <w:r>
        <w:rPr>
          <w:rFonts w:cs="Arial"/>
          <w:szCs w:val="24"/>
        </w:rPr>
        <w:t>[18]</w:t>
      </w:r>
      <w:r>
        <w:rPr>
          <w:rFonts w:cs="Arial"/>
          <w:szCs w:val="24"/>
        </w:rPr>
        <w:tab/>
      </w:r>
      <w:r w:rsidR="00946F4C">
        <w:t xml:space="preserve">Although I would have been open to a consideration of whether </w:t>
      </w:r>
      <w:r w:rsidR="00D52F8D">
        <w:t xml:space="preserve">this application is an example of </w:t>
      </w:r>
      <w:r w:rsidR="0013127A">
        <w:t xml:space="preserve">one </w:t>
      </w:r>
      <w:r w:rsidR="00D52F8D">
        <w:t xml:space="preserve">which justifies the exercise of the discretion </w:t>
      </w:r>
      <w:r w:rsidR="001E2FA8">
        <w:t xml:space="preserve">referred to in </w:t>
      </w:r>
      <w:r w:rsidR="00D52F8D">
        <w:t>Rule 32(9)(a)</w:t>
      </w:r>
      <w:r w:rsidR="00946F4C">
        <w:t xml:space="preserve">, the defendant does not seek </w:t>
      </w:r>
      <w:r w:rsidR="00484C5A">
        <w:t xml:space="preserve">either a stay of the action or punitive costs </w:t>
      </w:r>
      <w:r w:rsidR="00946F4C">
        <w:t>order, but expressly indicate</w:t>
      </w:r>
      <w:r w:rsidR="00DD186F">
        <w:t>s</w:t>
      </w:r>
      <w:r w:rsidR="00946F4C">
        <w:t xml:space="preserve"> in its heads of argument that it seeks an order of costs “</w:t>
      </w:r>
      <w:r w:rsidR="00946F4C" w:rsidRPr="00946F4C">
        <w:rPr>
          <w:i/>
          <w:iCs/>
        </w:rPr>
        <w:t>on a party and party scale</w:t>
      </w:r>
      <w:r w:rsidR="00946F4C">
        <w:t>”. In the circumstances, and in the absence of any notice to the plaintiff,</w:t>
      </w:r>
      <w:r w:rsidR="00484C5A">
        <w:rPr>
          <w:rStyle w:val="FootnoteReference"/>
        </w:rPr>
        <w:footnoteReference w:id="23"/>
      </w:r>
      <w:r w:rsidR="00946F4C">
        <w:t xml:space="preserve"> it would not be appropriate for me make a punitive order as to costs.</w:t>
      </w:r>
    </w:p>
    <w:p w14:paraId="6F1BD55F" w14:textId="1BEDB70D" w:rsidR="005F6872" w:rsidRPr="005F6872" w:rsidRDefault="00F411B1" w:rsidP="00F411B1">
      <w:pPr>
        <w:pStyle w:val="LC1"/>
        <w:numPr>
          <w:ilvl w:val="0"/>
          <w:numId w:val="0"/>
        </w:numPr>
        <w:spacing w:after="120"/>
        <w:ind w:left="720" w:hanging="720"/>
        <w:rPr>
          <w:rFonts w:cs="Arial"/>
          <w:szCs w:val="24"/>
        </w:rPr>
      </w:pPr>
      <w:r w:rsidRPr="005F6872">
        <w:rPr>
          <w:rFonts w:cs="Arial"/>
          <w:szCs w:val="24"/>
        </w:rPr>
        <w:t>[19]</w:t>
      </w:r>
      <w:r w:rsidRPr="005F6872">
        <w:rPr>
          <w:rFonts w:cs="Arial"/>
          <w:szCs w:val="24"/>
        </w:rPr>
        <w:tab/>
      </w:r>
      <w:r w:rsidR="005F6872">
        <w:rPr>
          <w:lang w:eastAsia="en-ZA"/>
        </w:rPr>
        <w:t xml:space="preserve">The application for summary judgment is dismissed with costs. </w:t>
      </w:r>
    </w:p>
    <w:p w14:paraId="688838F7" w14:textId="77777777" w:rsidR="00D202C2" w:rsidRPr="00671349" w:rsidRDefault="00D202C2" w:rsidP="00665B87">
      <w:pPr>
        <w:spacing w:before="240" w:after="120" w:line="360" w:lineRule="auto"/>
        <w:rPr>
          <w:rFonts w:ascii="Arial" w:hAnsi="Arial" w:cs="Arial"/>
          <w:sz w:val="24"/>
          <w:szCs w:val="24"/>
        </w:rPr>
      </w:pPr>
    </w:p>
    <w:p w14:paraId="4CFE4BBF" w14:textId="77777777" w:rsidR="00044A38" w:rsidRPr="00671349" w:rsidRDefault="00044A38" w:rsidP="00665B87">
      <w:pPr>
        <w:spacing w:before="240" w:after="120" w:line="360" w:lineRule="auto"/>
        <w:rPr>
          <w:rFonts w:ascii="Arial" w:hAnsi="Arial" w:cs="Arial"/>
          <w:sz w:val="24"/>
          <w:szCs w:val="24"/>
        </w:rPr>
      </w:pPr>
    </w:p>
    <w:p w14:paraId="52ACCD6E" w14:textId="77777777" w:rsidR="00D202C2" w:rsidRPr="00671349" w:rsidRDefault="00B928FE" w:rsidP="00001F4A">
      <w:pPr>
        <w:spacing w:after="120" w:line="360" w:lineRule="auto"/>
        <w:jc w:val="left"/>
        <w:rPr>
          <w:rFonts w:ascii="Arial" w:hAnsi="Arial" w:cs="Arial"/>
          <w:sz w:val="24"/>
          <w:szCs w:val="24"/>
          <w:u w:val="single"/>
        </w:rPr>
      </w:pPr>
      <w:r w:rsidRPr="00671349">
        <w:rPr>
          <w:rFonts w:ascii="Arial" w:hAnsi="Arial" w:cs="Arial"/>
          <w:sz w:val="24"/>
          <w:szCs w:val="24"/>
          <w:u w:val="single"/>
        </w:rPr>
        <w:t>______</w:t>
      </w:r>
      <w:r w:rsidR="00044A38" w:rsidRPr="00671349">
        <w:rPr>
          <w:rFonts w:ascii="Arial" w:hAnsi="Arial" w:cs="Arial"/>
          <w:sz w:val="24"/>
          <w:szCs w:val="24"/>
          <w:u w:val="single"/>
        </w:rPr>
        <w:t>_________</w:t>
      </w:r>
      <w:r w:rsidRPr="00671349">
        <w:rPr>
          <w:rFonts w:ascii="Arial" w:hAnsi="Arial" w:cs="Arial"/>
          <w:sz w:val="24"/>
          <w:szCs w:val="24"/>
          <w:u w:val="single"/>
        </w:rPr>
        <w:t>________</w:t>
      </w:r>
    </w:p>
    <w:p w14:paraId="4A51D625" w14:textId="40F9B622" w:rsidR="00D202C2" w:rsidRPr="00671349" w:rsidRDefault="001A42D3"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RJ </w:t>
      </w:r>
      <w:r w:rsidR="003C4F1C" w:rsidRPr="00671349">
        <w:rPr>
          <w:rFonts w:ascii="Arial" w:hAnsi="Arial" w:cs="Arial"/>
          <w:sz w:val="24"/>
          <w:szCs w:val="24"/>
        </w:rPr>
        <w:t>Moultrie</w:t>
      </w:r>
      <w:r w:rsidR="00D202C2" w:rsidRPr="00671349">
        <w:rPr>
          <w:rFonts w:ascii="Arial" w:hAnsi="Arial" w:cs="Arial"/>
          <w:sz w:val="24"/>
          <w:szCs w:val="24"/>
        </w:rPr>
        <w:t xml:space="preserve"> AJ</w:t>
      </w:r>
    </w:p>
    <w:p w14:paraId="40911379" w14:textId="77777777" w:rsidR="00D202C2" w:rsidRPr="00671349" w:rsidRDefault="00D202C2"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Acting Judge of the </w:t>
      </w:r>
      <w:r w:rsidR="007D51E5" w:rsidRPr="00671349">
        <w:rPr>
          <w:rFonts w:ascii="Arial" w:hAnsi="Arial" w:cs="Arial"/>
          <w:sz w:val="24"/>
          <w:szCs w:val="24"/>
        </w:rPr>
        <w:t xml:space="preserve">High </w:t>
      </w:r>
      <w:r w:rsidRPr="00671349">
        <w:rPr>
          <w:rFonts w:ascii="Arial" w:hAnsi="Arial" w:cs="Arial"/>
          <w:sz w:val="24"/>
          <w:szCs w:val="24"/>
        </w:rPr>
        <w:t xml:space="preserve">Court </w:t>
      </w:r>
    </w:p>
    <w:p w14:paraId="18A4CE1E" w14:textId="54BA15B5" w:rsidR="007D51E5" w:rsidRPr="00671349" w:rsidRDefault="007D51E5"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Gauteng Division, </w:t>
      </w:r>
      <w:r w:rsidR="00001F4A">
        <w:rPr>
          <w:rFonts w:ascii="Arial" w:hAnsi="Arial" w:cs="Arial"/>
          <w:sz w:val="24"/>
          <w:szCs w:val="24"/>
        </w:rPr>
        <w:t>Johannesburg</w:t>
      </w:r>
    </w:p>
    <w:p w14:paraId="0584217B" w14:textId="24556635" w:rsidR="00AB3AF8" w:rsidRDefault="00AB3AF8" w:rsidP="00665B87">
      <w:pPr>
        <w:spacing w:before="240" w:after="120" w:line="360" w:lineRule="auto"/>
        <w:jc w:val="left"/>
        <w:rPr>
          <w:rFonts w:ascii="Arial" w:hAnsi="Arial" w:cs="Arial"/>
          <w:sz w:val="24"/>
          <w:szCs w:val="24"/>
          <w:u w:val="single"/>
        </w:rPr>
      </w:pPr>
    </w:p>
    <w:p w14:paraId="38FCBFB2" w14:textId="64F43A9A" w:rsidR="00001F4A" w:rsidRPr="00001F4A" w:rsidRDefault="00001F4A" w:rsidP="00001F4A">
      <w:pPr>
        <w:spacing w:before="240" w:line="360" w:lineRule="auto"/>
        <w:jc w:val="left"/>
        <w:rPr>
          <w:rFonts w:ascii="Arial" w:hAnsi="Arial" w:cs="Arial"/>
          <w:sz w:val="24"/>
          <w:szCs w:val="24"/>
        </w:rPr>
      </w:pPr>
      <w:r w:rsidRPr="00001F4A">
        <w:rPr>
          <w:rFonts w:ascii="Arial" w:hAnsi="Arial" w:cs="Arial"/>
          <w:sz w:val="24"/>
          <w:szCs w:val="24"/>
        </w:rPr>
        <w:t>DATE HEARD:</w:t>
      </w:r>
      <w:r w:rsidRPr="00001F4A">
        <w:rPr>
          <w:rFonts w:ascii="Arial" w:hAnsi="Arial" w:cs="Arial"/>
          <w:sz w:val="24"/>
          <w:szCs w:val="24"/>
        </w:rPr>
        <w:tab/>
      </w:r>
      <w:r w:rsidRPr="00001F4A">
        <w:rPr>
          <w:rFonts w:ascii="Arial" w:hAnsi="Arial" w:cs="Arial"/>
          <w:sz w:val="24"/>
          <w:szCs w:val="24"/>
        </w:rPr>
        <w:tab/>
      </w:r>
      <w:r w:rsidRPr="00001F4A">
        <w:rPr>
          <w:rFonts w:ascii="Arial" w:hAnsi="Arial" w:cs="Arial"/>
          <w:sz w:val="24"/>
          <w:szCs w:val="24"/>
        </w:rPr>
        <w:tab/>
      </w:r>
      <w:r w:rsidR="00BE7451">
        <w:rPr>
          <w:rFonts w:ascii="Arial" w:hAnsi="Arial" w:cs="Arial"/>
          <w:sz w:val="24"/>
          <w:szCs w:val="24"/>
        </w:rPr>
        <w:tab/>
      </w:r>
      <w:r w:rsidR="00BE7451">
        <w:rPr>
          <w:rFonts w:ascii="Arial" w:hAnsi="Arial" w:cs="Arial"/>
          <w:sz w:val="24"/>
          <w:szCs w:val="24"/>
        </w:rPr>
        <w:tab/>
      </w:r>
      <w:r w:rsidR="00BE7451">
        <w:rPr>
          <w:rFonts w:ascii="Arial" w:hAnsi="Arial" w:cs="Arial"/>
          <w:sz w:val="24"/>
          <w:szCs w:val="24"/>
        </w:rPr>
        <w:tab/>
      </w:r>
      <w:r w:rsidRPr="00001F4A">
        <w:rPr>
          <w:rFonts w:ascii="Arial" w:hAnsi="Arial" w:cs="Arial"/>
          <w:sz w:val="24"/>
          <w:szCs w:val="24"/>
        </w:rPr>
        <w:t xml:space="preserve">3 </w:t>
      </w:r>
      <w:r>
        <w:rPr>
          <w:rFonts w:ascii="Arial" w:hAnsi="Arial" w:cs="Arial"/>
          <w:sz w:val="24"/>
          <w:szCs w:val="24"/>
        </w:rPr>
        <w:t>October 022</w:t>
      </w:r>
    </w:p>
    <w:p w14:paraId="7B3EC8D5" w14:textId="065B3F23" w:rsidR="00001F4A" w:rsidRDefault="00001F4A" w:rsidP="001E2FA8">
      <w:pPr>
        <w:spacing w:after="120" w:line="360" w:lineRule="auto"/>
        <w:jc w:val="left"/>
        <w:rPr>
          <w:rFonts w:ascii="Arial" w:hAnsi="Arial" w:cs="Arial"/>
          <w:sz w:val="24"/>
          <w:szCs w:val="24"/>
        </w:rPr>
      </w:pPr>
      <w:r w:rsidRPr="00001F4A">
        <w:rPr>
          <w:rFonts w:ascii="Arial" w:hAnsi="Arial" w:cs="Arial"/>
          <w:sz w:val="24"/>
          <w:szCs w:val="24"/>
        </w:rPr>
        <w:t xml:space="preserve">JUDGMENT </w:t>
      </w:r>
      <w:r w:rsidR="00BE7451">
        <w:rPr>
          <w:rFonts w:ascii="Arial" w:hAnsi="Arial" w:cs="Arial"/>
          <w:sz w:val="24"/>
          <w:szCs w:val="24"/>
        </w:rPr>
        <w:t xml:space="preserve">SUBMITTED FOR </w:t>
      </w:r>
      <w:r w:rsidRPr="00001F4A">
        <w:rPr>
          <w:rFonts w:ascii="Arial" w:hAnsi="Arial" w:cs="Arial"/>
          <w:sz w:val="24"/>
          <w:szCs w:val="24"/>
        </w:rPr>
        <w:t>DELIVER</w:t>
      </w:r>
      <w:r w:rsidR="00BE7451">
        <w:rPr>
          <w:rFonts w:ascii="Arial" w:hAnsi="Arial" w:cs="Arial"/>
          <w:sz w:val="24"/>
          <w:szCs w:val="24"/>
        </w:rPr>
        <w:t>Y</w:t>
      </w:r>
      <w:r w:rsidRPr="00001F4A">
        <w:rPr>
          <w:rFonts w:ascii="Arial" w:hAnsi="Arial" w:cs="Arial"/>
          <w:sz w:val="24"/>
          <w:szCs w:val="24"/>
        </w:rPr>
        <w:t>:</w:t>
      </w:r>
      <w:r w:rsidRPr="00001F4A">
        <w:rPr>
          <w:rFonts w:ascii="Arial" w:hAnsi="Arial" w:cs="Arial"/>
          <w:sz w:val="24"/>
          <w:szCs w:val="24"/>
        </w:rPr>
        <w:tab/>
      </w:r>
      <w:r w:rsidRPr="00001F4A">
        <w:rPr>
          <w:rFonts w:ascii="Arial" w:hAnsi="Arial" w:cs="Arial"/>
          <w:sz w:val="24"/>
          <w:szCs w:val="24"/>
        </w:rPr>
        <w:tab/>
      </w:r>
      <w:r w:rsidR="00BE7451">
        <w:rPr>
          <w:rFonts w:ascii="Arial" w:hAnsi="Arial" w:cs="Arial"/>
          <w:sz w:val="24"/>
          <w:szCs w:val="24"/>
        </w:rPr>
        <w:t xml:space="preserve">25 </w:t>
      </w:r>
      <w:r>
        <w:rPr>
          <w:rFonts w:ascii="Arial" w:hAnsi="Arial" w:cs="Arial"/>
          <w:sz w:val="24"/>
          <w:szCs w:val="24"/>
        </w:rPr>
        <w:t xml:space="preserve">October </w:t>
      </w:r>
      <w:r w:rsidRPr="00001F4A">
        <w:rPr>
          <w:rFonts w:ascii="Arial" w:hAnsi="Arial" w:cs="Arial"/>
          <w:sz w:val="24"/>
          <w:szCs w:val="24"/>
        </w:rPr>
        <w:t>20</w:t>
      </w:r>
      <w:r>
        <w:rPr>
          <w:rFonts w:ascii="Arial" w:hAnsi="Arial" w:cs="Arial"/>
          <w:sz w:val="24"/>
          <w:szCs w:val="24"/>
        </w:rPr>
        <w:t>22</w:t>
      </w:r>
    </w:p>
    <w:p w14:paraId="39051139" w14:textId="77777777" w:rsidR="00C06B16" w:rsidRDefault="00C06B16">
      <w:pPr>
        <w:spacing w:after="160" w:line="259" w:lineRule="auto"/>
        <w:jc w:val="left"/>
        <w:rPr>
          <w:rFonts w:ascii="Arial" w:hAnsi="Arial" w:cs="Arial"/>
          <w:sz w:val="24"/>
          <w:szCs w:val="24"/>
          <w:u w:val="single"/>
        </w:rPr>
      </w:pPr>
      <w:r>
        <w:rPr>
          <w:rFonts w:ascii="Arial" w:hAnsi="Arial" w:cs="Arial"/>
          <w:sz w:val="24"/>
          <w:szCs w:val="24"/>
          <w:u w:val="single"/>
        </w:rPr>
        <w:br w:type="page"/>
      </w:r>
    </w:p>
    <w:p w14:paraId="127291A0" w14:textId="77777777" w:rsidR="00D202C2" w:rsidRPr="00671349" w:rsidRDefault="00D202C2" w:rsidP="00B928FE">
      <w:pPr>
        <w:autoSpaceDE w:val="0"/>
        <w:autoSpaceDN w:val="0"/>
        <w:adjustRightInd w:val="0"/>
        <w:spacing w:before="240" w:after="120" w:line="360" w:lineRule="auto"/>
        <w:rPr>
          <w:rFonts w:ascii="Arial" w:hAnsi="Arial" w:cs="Arial"/>
          <w:sz w:val="24"/>
          <w:szCs w:val="24"/>
          <w:u w:val="single"/>
        </w:rPr>
      </w:pPr>
      <w:r w:rsidRPr="00671349">
        <w:rPr>
          <w:rFonts w:ascii="Arial" w:hAnsi="Arial" w:cs="Arial"/>
          <w:sz w:val="24"/>
          <w:szCs w:val="24"/>
          <w:u w:val="single"/>
        </w:rPr>
        <w:lastRenderedPageBreak/>
        <w:t>APPEARANCES</w:t>
      </w:r>
    </w:p>
    <w:p w14:paraId="36CFFFCE" w14:textId="1F65DD52" w:rsidR="005F6872" w:rsidRDefault="00D202C2" w:rsidP="00484C5A">
      <w:pPr>
        <w:autoSpaceDE w:val="0"/>
        <w:autoSpaceDN w:val="0"/>
        <w:adjustRightInd w:val="0"/>
        <w:spacing w:before="240" w:after="120" w:line="360" w:lineRule="auto"/>
        <w:ind w:left="2694" w:hanging="2694"/>
        <w:rPr>
          <w:rFonts w:ascii="Arial" w:hAnsi="Arial" w:cs="Arial"/>
          <w:sz w:val="24"/>
          <w:szCs w:val="24"/>
        </w:rPr>
      </w:pPr>
      <w:r w:rsidRPr="00671349">
        <w:rPr>
          <w:rFonts w:ascii="Arial" w:hAnsi="Arial" w:cs="Arial"/>
          <w:sz w:val="24"/>
          <w:szCs w:val="24"/>
        </w:rPr>
        <w:t xml:space="preserve">For the </w:t>
      </w:r>
      <w:r w:rsidR="006B3093">
        <w:rPr>
          <w:rFonts w:ascii="Arial" w:hAnsi="Arial" w:cs="Arial"/>
          <w:sz w:val="24"/>
          <w:szCs w:val="24"/>
        </w:rPr>
        <w:t>Plaintiff</w:t>
      </w:r>
      <w:r w:rsidRPr="00671349">
        <w:rPr>
          <w:rFonts w:ascii="Arial" w:hAnsi="Arial" w:cs="Arial"/>
          <w:sz w:val="24"/>
          <w:szCs w:val="24"/>
        </w:rPr>
        <w:t>:</w:t>
      </w:r>
      <w:r w:rsidRPr="00671349">
        <w:rPr>
          <w:rFonts w:ascii="Arial" w:hAnsi="Arial" w:cs="Arial"/>
          <w:sz w:val="24"/>
          <w:szCs w:val="24"/>
        </w:rPr>
        <w:tab/>
      </w:r>
      <w:r w:rsidR="005F6872">
        <w:rPr>
          <w:rFonts w:ascii="Arial" w:hAnsi="Arial" w:cs="Arial"/>
          <w:sz w:val="24"/>
          <w:szCs w:val="24"/>
        </w:rPr>
        <w:t xml:space="preserve">Attorney </w:t>
      </w:r>
      <w:r w:rsidR="006B3093">
        <w:rPr>
          <w:rFonts w:ascii="Arial" w:hAnsi="Arial" w:cs="Arial"/>
          <w:sz w:val="24"/>
          <w:szCs w:val="24"/>
        </w:rPr>
        <w:t xml:space="preserve">J </w:t>
      </w:r>
      <w:r w:rsidR="005F6872">
        <w:rPr>
          <w:rFonts w:ascii="Arial" w:hAnsi="Arial" w:cs="Arial"/>
          <w:sz w:val="24"/>
          <w:szCs w:val="24"/>
        </w:rPr>
        <w:t xml:space="preserve">Berkowitz of J Berkowitz </w:t>
      </w:r>
      <w:r w:rsidR="006B3093">
        <w:rPr>
          <w:rFonts w:ascii="Arial" w:hAnsi="Arial" w:cs="Arial"/>
          <w:sz w:val="24"/>
          <w:szCs w:val="24"/>
        </w:rPr>
        <w:t>Attorneys</w:t>
      </w:r>
      <w:r w:rsidR="00946F4C">
        <w:rPr>
          <w:rFonts w:ascii="Arial" w:hAnsi="Arial" w:cs="Arial"/>
          <w:sz w:val="24"/>
          <w:szCs w:val="24"/>
        </w:rPr>
        <w:t xml:space="preserve"> </w:t>
      </w:r>
    </w:p>
    <w:p w14:paraId="3DCFC38A" w14:textId="693DD4F5" w:rsidR="00D202C2" w:rsidRPr="00671349" w:rsidRDefault="00D202C2" w:rsidP="00484C5A">
      <w:pPr>
        <w:autoSpaceDE w:val="0"/>
        <w:autoSpaceDN w:val="0"/>
        <w:adjustRightInd w:val="0"/>
        <w:spacing w:before="240" w:after="120" w:line="360" w:lineRule="auto"/>
        <w:ind w:left="2694" w:hanging="2694"/>
        <w:rPr>
          <w:rFonts w:ascii="Arial" w:hAnsi="Arial" w:cs="Arial"/>
          <w:sz w:val="24"/>
          <w:szCs w:val="24"/>
        </w:rPr>
      </w:pPr>
      <w:r w:rsidRPr="00671349">
        <w:rPr>
          <w:rFonts w:ascii="Arial" w:hAnsi="Arial" w:cs="Arial"/>
          <w:sz w:val="24"/>
          <w:szCs w:val="24"/>
        </w:rPr>
        <w:t xml:space="preserve">For the </w:t>
      </w:r>
      <w:r w:rsidR="006B3093">
        <w:rPr>
          <w:rFonts w:ascii="Arial" w:hAnsi="Arial" w:cs="Arial"/>
          <w:sz w:val="24"/>
          <w:szCs w:val="24"/>
        </w:rPr>
        <w:t>Defendant:</w:t>
      </w:r>
      <w:r w:rsidR="005F6872">
        <w:rPr>
          <w:rFonts w:ascii="Arial" w:hAnsi="Arial" w:cs="Arial"/>
          <w:sz w:val="24"/>
          <w:szCs w:val="24"/>
        </w:rPr>
        <w:tab/>
        <w:t xml:space="preserve">S </w:t>
      </w:r>
      <w:proofErr w:type="spellStart"/>
      <w:r w:rsidR="005F6872">
        <w:rPr>
          <w:rFonts w:ascii="Arial" w:hAnsi="Arial" w:cs="Arial"/>
          <w:sz w:val="24"/>
          <w:szCs w:val="24"/>
        </w:rPr>
        <w:t>Maziba</w:t>
      </w:r>
      <w:proofErr w:type="spellEnd"/>
      <w:r w:rsidR="006B3093">
        <w:rPr>
          <w:rFonts w:ascii="Arial" w:hAnsi="Arial" w:cs="Arial"/>
          <w:sz w:val="24"/>
          <w:szCs w:val="24"/>
        </w:rPr>
        <w:t>,</w:t>
      </w:r>
      <w:r w:rsidR="00AC13FE">
        <w:rPr>
          <w:rFonts w:ascii="Arial" w:hAnsi="Arial" w:cs="Arial"/>
          <w:sz w:val="24"/>
          <w:szCs w:val="24"/>
        </w:rPr>
        <w:t xml:space="preserve"> instructed by </w:t>
      </w:r>
      <w:r w:rsidR="005F6872">
        <w:rPr>
          <w:rFonts w:ascii="Arial" w:hAnsi="Arial" w:cs="Arial"/>
          <w:sz w:val="24"/>
          <w:szCs w:val="24"/>
        </w:rPr>
        <w:t xml:space="preserve">Bongani </w:t>
      </w:r>
      <w:proofErr w:type="spellStart"/>
      <w:r w:rsidR="005F6872">
        <w:rPr>
          <w:rFonts w:ascii="Arial" w:hAnsi="Arial" w:cs="Arial"/>
          <w:sz w:val="24"/>
          <w:szCs w:val="24"/>
        </w:rPr>
        <w:t>K</w:t>
      </w:r>
      <w:r w:rsidR="00484C5A">
        <w:rPr>
          <w:rFonts w:ascii="Arial" w:hAnsi="Arial" w:cs="Arial"/>
          <w:sz w:val="24"/>
          <w:szCs w:val="24"/>
        </w:rPr>
        <w:t>h</w:t>
      </w:r>
      <w:r w:rsidR="005F6872">
        <w:rPr>
          <w:rFonts w:ascii="Arial" w:hAnsi="Arial" w:cs="Arial"/>
          <w:sz w:val="24"/>
          <w:szCs w:val="24"/>
        </w:rPr>
        <w:t>anyile</w:t>
      </w:r>
      <w:proofErr w:type="spellEnd"/>
      <w:r w:rsidR="005F6872">
        <w:rPr>
          <w:rFonts w:ascii="Arial" w:hAnsi="Arial" w:cs="Arial"/>
          <w:sz w:val="24"/>
          <w:szCs w:val="24"/>
        </w:rPr>
        <w:t xml:space="preserve"> Attorneys</w:t>
      </w:r>
      <w:r w:rsidR="00946F4C">
        <w:rPr>
          <w:rFonts w:ascii="Arial" w:hAnsi="Arial" w:cs="Arial"/>
          <w:sz w:val="24"/>
          <w:szCs w:val="24"/>
        </w:rPr>
        <w:t xml:space="preserve"> </w:t>
      </w:r>
    </w:p>
    <w:sectPr w:rsidR="00D202C2" w:rsidRPr="00671349" w:rsidSect="004071E9">
      <w:headerReference w:type="default" r:id="rId10"/>
      <w:pgSz w:w="11906" w:h="16838"/>
      <w:pgMar w:top="1440" w:right="1416"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0AAF" w14:textId="77777777" w:rsidR="008306B9" w:rsidRDefault="008306B9" w:rsidP="00D202C2">
      <w:pPr>
        <w:spacing w:line="240" w:lineRule="auto"/>
      </w:pPr>
      <w:r>
        <w:separator/>
      </w:r>
    </w:p>
  </w:endnote>
  <w:endnote w:type="continuationSeparator" w:id="0">
    <w:p w14:paraId="47B11C09" w14:textId="77777777" w:rsidR="008306B9" w:rsidRDefault="008306B9"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922B" w14:textId="77777777" w:rsidR="008306B9" w:rsidRDefault="008306B9" w:rsidP="00D202C2">
      <w:pPr>
        <w:spacing w:line="240" w:lineRule="auto"/>
      </w:pPr>
      <w:r>
        <w:separator/>
      </w:r>
    </w:p>
  </w:footnote>
  <w:footnote w:type="continuationSeparator" w:id="0">
    <w:p w14:paraId="76C8A7F2" w14:textId="77777777" w:rsidR="008306B9" w:rsidRDefault="008306B9" w:rsidP="00D202C2">
      <w:pPr>
        <w:spacing w:line="240" w:lineRule="auto"/>
      </w:pPr>
      <w:r>
        <w:continuationSeparator/>
      </w:r>
    </w:p>
  </w:footnote>
  <w:footnote w:id="1">
    <w:p w14:paraId="53B7F726" w14:textId="127643C8" w:rsidR="0013127A" w:rsidRDefault="0013127A">
      <w:pPr>
        <w:pStyle w:val="FootnoteText"/>
      </w:pPr>
      <w:r>
        <w:rPr>
          <w:rStyle w:val="FootnoteReference"/>
        </w:rPr>
        <w:footnoteRef/>
      </w:r>
      <w:r>
        <w:t xml:space="preserve"> </w:t>
      </w:r>
      <w:r w:rsidRPr="0013127A">
        <w:rPr>
          <w:i/>
          <w:iCs/>
        </w:rPr>
        <w:t>Van den Bergh v Weiner</w:t>
      </w:r>
      <w:r w:rsidRPr="0013127A">
        <w:t xml:space="preserve"> 1976 (2) SA 297 (T)</w:t>
      </w:r>
      <w:r>
        <w:t xml:space="preserve"> at 300B.</w:t>
      </w:r>
    </w:p>
  </w:footnote>
  <w:footnote w:id="2">
    <w:p w14:paraId="75B1FB9A" w14:textId="1CE4487F" w:rsidR="00AE01E2" w:rsidRDefault="00AE01E2">
      <w:pPr>
        <w:pStyle w:val="FootnoteText"/>
      </w:pPr>
      <w:r>
        <w:rPr>
          <w:rStyle w:val="FootnoteReference"/>
        </w:rPr>
        <w:footnoteRef/>
      </w:r>
      <w:r>
        <w:t xml:space="preserve"> </w:t>
      </w:r>
      <w:r w:rsidR="004C0996" w:rsidRPr="0017192F">
        <w:rPr>
          <w:i/>
          <w:iCs/>
        </w:rPr>
        <w:t>Botha v Swanson &amp; Co (Pty) Ltd</w:t>
      </w:r>
      <w:r w:rsidR="004C0996" w:rsidRPr="0017192F">
        <w:t xml:space="preserve"> 1968 (2) P.H. F85</w:t>
      </w:r>
      <w:r w:rsidR="004C0996">
        <w:t xml:space="preserve">; </w:t>
      </w:r>
      <w:proofErr w:type="spellStart"/>
      <w:r w:rsidRPr="00AE01E2">
        <w:rPr>
          <w:i/>
          <w:iCs/>
        </w:rPr>
        <w:t>Tredoux</w:t>
      </w:r>
      <w:proofErr w:type="spellEnd"/>
      <w:r w:rsidRPr="00AE01E2">
        <w:rPr>
          <w:i/>
          <w:iCs/>
        </w:rPr>
        <w:t xml:space="preserve"> v Kellerman</w:t>
      </w:r>
      <w:r w:rsidRPr="00AE01E2">
        <w:t xml:space="preserve"> 2010 (1) SA 160 (C)</w:t>
      </w:r>
      <w:r>
        <w:t xml:space="preserve"> para 18, approved by the Supreme Court of Appeal in </w:t>
      </w:r>
      <w:r w:rsidRPr="00AE01E2">
        <w:rPr>
          <w:i/>
          <w:iCs/>
        </w:rPr>
        <w:t xml:space="preserve">Blakes </w:t>
      </w:r>
      <w:proofErr w:type="spellStart"/>
      <w:r w:rsidRPr="00AE01E2">
        <w:rPr>
          <w:i/>
          <w:iCs/>
        </w:rPr>
        <w:t>Maphanga</w:t>
      </w:r>
      <w:proofErr w:type="spellEnd"/>
      <w:r w:rsidRPr="00AE01E2">
        <w:rPr>
          <w:i/>
          <w:iCs/>
        </w:rPr>
        <w:t xml:space="preserve"> Inc v </w:t>
      </w:r>
      <w:proofErr w:type="spellStart"/>
      <w:r w:rsidRPr="00AE01E2">
        <w:rPr>
          <w:i/>
          <w:iCs/>
        </w:rPr>
        <w:t>Outsurance</w:t>
      </w:r>
      <w:proofErr w:type="spellEnd"/>
      <w:r w:rsidRPr="00AE01E2">
        <w:rPr>
          <w:i/>
          <w:iCs/>
        </w:rPr>
        <w:t xml:space="preserve"> Ins Co Ltd</w:t>
      </w:r>
      <w:r w:rsidRPr="00AE01E2">
        <w:t xml:space="preserve"> 2010 (4) SA 232 (SCA)</w:t>
      </w:r>
      <w:r>
        <w:t xml:space="preserve"> para 17.</w:t>
      </w:r>
    </w:p>
  </w:footnote>
  <w:footnote w:id="3">
    <w:p w14:paraId="676E1BF4" w14:textId="24B92F5D" w:rsidR="00067C81" w:rsidRDefault="00067C81">
      <w:pPr>
        <w:pStyle w:val="FootnoteText"/>
      </w:pPr>
      <w:r>
        <w:rPr>
          <w:rStyle w:val="FootnoteReference"/>
        </w:rPr>
        <w:footnoteRef/>
      </w:r>
      <w:r>
        <w:t xml:space="preserve"> Cf </w:t>
      </w:r>
      <w:r w:rsidR="00DF6FB4" w:rsidRPr="00DF6FB4">
        <w:rPr>
          <w:i/>
          <w:iCs/>
        </w:rPr>
        <w:t>Hyprop Investment Ltd v Sophia's Restaurant CC and Another</w:t>
      </w:r>
      <w:r w:rsidR="00DF6FB4" w:rsidRPr="00DF6FB4">
        <w:t xml:space="preserve"> 2012 (5) SA 220 (GSJ)</w:t>
      </w:r>
      <w:r w:rsidR="00DF6FB4">
        <w:t>.</w:t>
      </w:r>
    </w:p>
  </w:footnote>
  <w:footnote w:id="4">
    <w:p w14:paraId="0F1F218C" w14:textId="19A9757B" w:rsidR="00A261F6" w:rsidRDefault="00A261F6" w:rsidP="00A261F6">
      <w:pPr>
        <w:pStyle w:val="FootnoteText"/>
      </w:pPr>
      <w:r>
        <w:rPr>
          <w:rStyle w:val="FootnoteReference"/>
        </w:rPr>
        <w:footnoteRef/>
      </w:r>
      <w:r>
        <w:t xml:space="preserve"> </w:t>
      </w:r>
      <w:r w:rsidR="00E17934">
        <w:t xml:space="preserve">Cf </w:t>
      </w:r>
      <w:proofErr w:type="spellStart"/>
      <w:r w:rsidRPr="00FA5A01">
        <w:rPr>
          <w:i/>
          <w:iCs/>
        </w:rPr>
        <w:t>Leymac</w:t>
      </w:r>
      <w:proofErr w:type="spellEnd"/>
      <w:r w:rsidRPr="00FA5A01">
        <w:rPr>
          <w:i/>
          <w:iCs/>
        </w:rPr>
        <w:t xml:space="preserve"> Distributors Ltd v Hoosen</w:t>
      </w:r>
      <w:r w:rsidRPr="00FA5A01">
        <w:t xml:space="preserve"> 1974 (4) SA 524 (D)</w:t>
      </w:r>
      <w:r>
        <w:t xml:space="preserve"> at 527H, where it was agreed in a </w:t>
      </w:r>
      <w:r w:rsidR="00E17934">
        <w:t>h</w:t>
      </w:r>
      <w:r>
        <w:t xml:space="preserve">ire </w:t>
      </w:r>
      <w:r w:rsidR="00E17934">
        <w:t>p</w:t>
      </w:r>
      <w:r>
        <w:t xml:space="preserve">urchase </w:t>
      </w:r>
      <w:r w:rsidR="00E17934">
        <w:t>a</w:t>
      </w:r>
      <w:r>
        <w:t>greement “</w:t>
      </w:r>
      <w:r w:rsidRPr="00A261F6">
        <w:rPr>
          <w:i/>
          <w:iCs/>
        </w:rPr>
        <w:t>that the plaintiff's loss would be the difference between the unpaid balance of the price and the value of the bus as determined by the valuation</w:t>
      </w:r>
      <w:r>
        <w:t xml:space="preserve">” and </w:t>
      </w:r>
      <w:r w:rsidR="00E17934">
        <w:t xml:space="preserve">thus held that </w:t>
      </w:r>
      <w:r>
        <w:t>“</w:t>
      </w:r>
      <w:r w:rsidRPr="0017192F">
        <w:rPr>
          <w:i/>
          <w:iCs/>
        </w:rPr>
        <w:t>the quantum of the damages does not have to be assessed by the Court on the basis of what the Court considers reasonable and just</w:t>
      </w:r>
      <w:r>
        <w:t>”</w:t>
      </w:r>
      <w:r w:rsidR="00E17934">
        <w:t>. See also</w:t>
      </w:r>
      <w:r>
        <w:t xml:space="preserve"> </w:t>
      </w:r>
      <w:r w:rsidRPr="00E17934">
        <w:rPr>
          <w:i/>
          <w:iCs/>
        </w:rPr>
        <w:t>Probert v Baker</w:t>
      </w:r>
      <w:r>
        <w:t xml:space="preserve"> 1983 (3) SA 229 (D) at </w:t>
      </w:r>
      <w:r w:rsidR="003D5D0B">
        <w:t xml:space="preserve">236 – </w:t>
      </w:r>
      <w:r>
        <w:t>237</w:t>
      </w:r>
      <w:r w:rsidR="003D5D0B">
        <w:t>.</w:t>
      </w:r>
    </w:p>
  </w:footnote>
  <w:footnote w:id="5">
    <w:p w14:paraId="213F5A58" w14:textId="77777777" w:rsidR="00913743" w:rsidRDefault="00913743" w:rsidP="00913743">
      <w:pPr>
        <w:pStyle w:val="FootnoteText"/>
      </w:pPr>
      <w:r>
        <w:rPr>
          <w:rStyle w:val="FootnoteReference"/>
        </w:rPr>
        <w:footnoteRef/>
      </w:r>
      <w:r>
        <w:t xml:space="preserve"> Cf </w:t>
      </w:r>
      <w:r w:rsidRPr="000D1D8A">
        <w:rPr>
          <w:i/>
          <w:iCs/>
        </w:rPr>
        <w:t xml:space="preserve">Pick 'n Pay Retailers (Pty) Ltd t/a Hypermarkets v </w:t>
      </w:r>
      <w:proofErr w:type="spellStart"/>
      <w:r w:rsidRPr="000D1D8A">
        <w:rPr>
          <w:i/>
          <w:iCs/>
        </w:rPr>
        <w:t>Dednam</w:t>
      </w:r>
      <w:proofErr w:type="spellEnd"/>
      <w:r w:rsidRPr="003D5D0B">
        <w:t xml:space="preserve"> 1984 (4) SA 673 (O)</w:t>
      </w:r>
      <w:r>
        <w:t xml:space="preserve"> at 677F – I.</w:t>
      </w:r>
    </w:p>
  </w:footnote>
  <w:footnote w:id="6">
    <w:p w14:paraId="1A793A62" w14:textId="15BF2716" w:rsidR="00CD23A5" w:rsidRDefault="00CD23A5">
      <w:pPr>
        <w:pStyle w:val="FootnoteText"/>
      </w:pPr>
      <w:r>
        <w:rPr>
          <w:rStyle w:val="FootnoteReference"/>
        </w:rPr>
        <w:footnoteRef/>
      </w:r>
      <w:r>
        <w:t xml:space="preserve"> </w:t>
      </w:r>
      <w:r w:rsidRPr="00CD23A5">
        <w:rPr>
          <w:i/>
          <w:iCs/>
        </w:rPr>
        <w:t xml:space="preserve">Victoria Falls and Transvaal Power Co Ltd v Consolidated </w:t>
      </w:r>
      <w:proofErr w:type="spellStart"/>
      <w:r w:rsidRPr="00CD23A5">
        <w:rPr>
          <w:i/>
          <w:iCs/>
        </w:rPr>
        <w:t>Langlaagte</w:t>
      </w:r>
      <w:proofErr w:type="spellEnd"/>
      <w:r w:rsidRPr="00CD23A5">
        <w:rPr>
          <w:i/>
          <w:iCs/>
        </w:rPr>
        <w:t xml:space="preserve"> Mines Ltd</w:t>
      </w:r>
      <w:r>
        <w:t xml:space="preserve"> 1915 AD 1 at 22.</w:t>
      </w:r>
    </w:p>
  </w:footnote>
  <w:footnote w:id="7">
    <w:p w14:paraId="7B39FBF9" w14:textId="25F81A3A" w:rsidR="00C61DD7" w:rsidRDefault="00C61DD7" w:rsidP="00C61DD7">
      <w:pPr>
        <w:pStyle w:val="FootnoteText"/>
      </w:pPr>
      <w:r>
        <w:rPr>
          <w:rStyle w:val="FootnoteReference"/>
        </w:rPr>
        <w:footnoteRef/>
      </w:r>
      <w:r>
        <w:t xml:space="preserve"> </w:t>
      </w:r>
      <w:r w:rsidR="001C500D" w:rsidRPr="001C500D">
        <w:rPr>
          <w:i/>
          <w:iCs/>
        </w:rPr>
        <w:t>Swart v Van der Vyver</w:t>
      </w:r>
      <w:r w:rsidR="001C500D" w:rsidRPr="001C500D">
        <w:t xml:space="preserve"> 1970</w:t>
      </w:r>
      <w:r w:rsidR="001C500D">
        <w:t xml:space="preserve"> </w:t>
      </w:r>
      <w:r w:rsidR="001C500D" w:rsidRPr="001C500D">
        <w:t>(1) SA 633 (A) at 643</w:t>
      </w:r>
      <w:r w:rsidR="001C500D">
        <w:t>D</w:t>
      </w:r>
      <w:r w:rsidR="00C40459">
        <w:t xml:space="preserve"> and</w:t>
      </w:r>
      <w:r w:rsidR="001D0C56">
        <w:t xml:space="preserve"> </w:t>
      </w:r>
      <w:r w:rsidR="001D0C56" w:rsidRPr="00C40459">
        <w:rPr>
          <w:i/>
          <w:iCs/>
        </w:rPr>
        <w:t>Sommer v Wilding</w:t>
      </w:r>
      <w:r w:rsidR="001D0C56" w:rsidRPr="001D0C56">
        <w:t xml:space="preserve"> 1984 (3) SA 647 (A)</w:t>
      </w:r>
      <w:r w:rsidR="001D0C56">
        <w:t xml:space="preserve"> at 664D – 665H.</w:t>
      </w:r>
    </w:p>
  </w:footnote>
  <w:footnote w:id="8">
    <w:p w14:paraId="5AEF305E" w14:textId="355A04A9" w:rsidR="00D23325" w:rsidRDefault="00D23325">
      <w:pPr>
        <w:pStyle w:val="FootnoteText"/>
      </w:pPr>
      <w:r>
        <w:rPr>
          <w:rStyle w:val="FootnoteReference"/>
        </w:rPr>
        <w:footnoteRef/>
      </w:r>
      <w:r>
        <w:t xml:space="preserve"> </w:t>
      </w:r>
      <w:proofErr w:type="spellStart"/>
      <w:r w:rsidRPr="00E34B34">
        <w:rPr>
          <w:i/>
          <w:iCs/>
        </w:rPr>
        <w:t>Stolte</w:t>
      </w:r>
      <w:proofErr w:type="spellEnd"/>
      <w:r w:rsidRPr="00E34B34">
        <w:rPr>
          <w:i/>
          <w:iCs/>
        </w:rPr>
        <w:t xml:space="preserve"> v Tietze</w:t>
      </w:r>
      <w:r>
        <w:t xml:space="preserve"> 1928 SWA 51 at 52.</w:t>
      </w:r>
    </w:p>
  </w:footnote>
  <w:footnote w:id="9">
    <w:p w14:paraId="46CF0B18" w14:textId="14334E0F" w:rsidR="00C162B0" w:rsidRDefault="00C162B0">
      <w:pPr>
        <w:pStyle w:val="FootnoteText"/>
      </w:pPr>
      <w:r>
        <w:rPr>
          <w:rStyle w:val="FootnoteReference"/>
        </w:rPr>
        <w:footnoteRef/>
      </w:r>
      <w:r>
        <w:t xml:space="preserve"> </w:t>
      </w:r>
      <w:r w:rsidRPr="00C162B0">
        <w:rPr>
          <w:i/>
          <w:iCs/>
        </w:rPr>
        <w:t>Solomon NO and Others v Spur Cool Corporation (Pty) Ltd and Others</w:t>
      </w:r>
      <w:r w:rsidRPr="00C162B0">
        <w:t xml:space="preserve"> 2002 (5) SA 214 (C)</w:t>
      </w:r>
      <w:r>
        <w:t xml:space="preserve"> para 46. The case was overruled in </w:t>
      </w:r>
      <w:proofErr w:type="spellStart"/>
      <w:r w:rsidR="00566BD3" w:rsidRPr="00566BD3">
        <w:rPr>
          <w:i/>
          <w:iCs/>
        </w:rPr>
        <w:t>Picardi</w:t>
      </w:r>
      <w:proofErr w:type="spellEnd"/>
      <w:r w:rsidR="00566BD3" w:rsidRPr="00566BD3">
        <w:rPr>
          <w:i/>
          <w:iCs/>
        </w:rPr>
        <w:t xml:space="preserve"> Hotels Ltd v </w:t>
      </w:r>
      <w:proofErr w:type="spellStart"/>
      <w:r w:rsidR="00566BD3" w:rsidRPr="00566BD3">
        <w:rPr>
          <w:i/>
          <w:iCs/>
        </w:rPr>
        <w:t>Thekwini</w:t>
      </w:r>
      <w:proofErr w:type="spellEnd"/>
      <w:r w:rsidR="00566BD3" w:rsidRPr="00566BD3">
        <w:rPr>
          <w:i/>
          <w:iCs/>
        </w:rPr>
        <w:t xml:space="preserve"> Prop (Pty) Ltd</w:t>
      </w:r>
      <w:r w:rsidR="00566BD3" w:rsidRPr="00566BD3">
        <w:t xml:space="preserve"> 2009 (1) SA 493 (SCA)</w:t>
      </w:r>
      <w:r w:rsidR="00566BD3">
        <w:t xml:space="preserve"> </w:t>
      </w:r>
      <w:r>
        <w:t xml:space="preserve">para 15, but in relation to a different aspect. </w:t>
      </w:r>
    </w:p>
  </w:footnote>
  <w:footnote w:id="10">
    <w:p w14:paraId="53548565" w14:textId="1FB4E8C2" w:rsidR="00742726" w:rsidRDefault="00742726" w:rsidP="00742726">
      <w:pPr>
        <w:pStyle w:val="FootnoteText"/>
      </w:pPr>
      <w:r>
        <w:rPr>
          <w:rStyle w:val="FootnoteReference"/>
        </w:rPr>
        <w:footnoteRef/>
      </w:r>
      <w:r>
        <w:t xml:space="preserve"> </w:t>
      </w:r>
      <w:r w:rsidR="00924042" w:rsidRPr="00924042">
        <w:rPr>
          <w:i/>
          <w:iCs/>
        </w:rPr>
        <w:t xml:space="preserve">Cooper NNO v </w:t>
      </w:r>
      <w:proofErr w:type="spellStart"/>
      <w:r w:rsidR="00924042" w:rsidRPr="00924042">
        <w:rPr>
          <w:i/>
          <w:iCs/>
        </w:rPr>
        <w:t>Syfrets</w:t>
      </w:r>
      <w:proofErr w:type="spellEnd"/>
      <w:r w:rsidR="00924042" w:rsidRPr="00924042">
        <w:rPr>
          <w:i/>
          <w:iCs/>
        </w:rPr>
        <w:t xml:space="preserve"> Trust Ltd </w:t>
      </w:r>
      <w:r w:rsidR="00924042" w:rsidRPr="00924042">
        <w:t>2001 (1) SA 122 (SCA) para 24</w:t>
      </w:r>
      <w:r w:rsidR="00C61DD7">
        <w:t>;</w:t>
      </w:r>
      <w:r w:rsidR="00924042">
        <w:t xml:space="preserve"> </w:t>
      </w:r>
      <w:r w:rsidR="00924042" w:rsidRPr="00924042">
        <w:rPr>
          <w:i/>
          <w:iCs/>
        </w:rPr>
        <w:t>One Nought Seven Fourways (Pty) Ltd t/a Property Mart v Shady Woods Retirement Village Development (Pty) Ltd</w:t>
      </w:r>
      <w:r w:rsidR="00924042" w:rsidRPr="00924042">
        <w:t xml:space="preserve"> 1992 (3) SA 756 (W)</w:t>
      </w:r>
      <w:r w:rsidR="00924042">
        <w:t xml:space="preserve"> at 757 - 758</w:t>
      </w:r>
    </w:p>
  </w:footnote>
  <w:footnote w:id="11">
    <w:p w14:paraId="6C347A29" w14:textId="77777777" w:rsidR="00E34B34" w:rsidRDefault="00E34B34" w:rsidP="00E34B34">
      <w:pPr>
        <w:pStyle w:val="FootnoteText"/>
      </w:pPr>
      <w:r>
        <w:rPr>
          <w:rStyle w:val="FootnoteReference"/>
        </w:rPr>
        <w:footnoteRef/>
      </w:r>
      <w:r>
        <w:t xml:space="preserve"> </w:t>
      </w:r>
      <w:r w:rsidRPr="00CD23A5">
        <w:rPr>
          <w:i/>
          <w:iCs/>
        </w:rPr>
        <w:t>Scoin Trading (Pty) Ltd v Bernstein</w:t>
      </w:r>
      <w:r w:rsidRPr="00CD23A5">
        <w:t xml:space="preserve"> NO 2011 (2) SA 118 (SCA) </w:t>
      </w:r>
      <w:r>
        <w:t xml:space="preserve">para </w:t>
      </w:r>
      <w:r w:rsidRPr="00CD23A5">
        <w:t>18.</w:t>
      </w:r>
    </w:p>
  </w:footnote>
  <w:footnote w:id="12">
    <w:p w14:paraId="343F6142" w14:textId="77777777" w:rsidR="00E34B34" w:rsidRDefault="00E34B34" w:rsidP="00E34B34">
      <w:pPr>
        <w:pStyle w:val="FootnoteText"/>
      </w:pPr>
      <w:r>
        <w:rPr>
          <w:rStyle w:val="FootnoteReference"/>
        </w:rPr>
        <w:footnoteRef/>
      </w:r>
      <w:r>
        <w:t xml:space="preserve"> </w:t>
      </w:r>
      <w:proofErr w:type="spellStart"/>
      <w:r w:rsidRPr="00FA5A01">
        <w:rPr>
          <w:i/>
          <w:iCs/>
        </w:rPr>
        <w:t>Leymac</w:t>
      </w:r>
      <w:proofErr w:type="spellEnd"/>
      <w:r w:rsidRPr="00FA5A01">
        <w:rPr>
          <w:i/>
          <w:iCs/>
        </w:rPr>
        <w:t xml:space="preserve"> </w:t>
      </w:r>
      <w:r>
        <w:rPr>
          <w:i/>
          <w:iCs/>
        </w:rPr>
        <w:t xml:space="preserve">Distributors </w:t>
      </w:r>
      <w:r w:rsidRPr="00FA5A01">
        <w:t>(</w:t>
      </w:r>
      <w:r>
        <w:t>above</w:t>
      </w:r>
      <w:r w:rsidRPr="00FA5A01">
        <w:t>)</w:t>
      </w:r>
      <w:r>
        <w:t xml:space="preserve"> at 528F – G.</w:t>
      </w:r>
    </w:p>
  </w:footnote>
  <w:footnote w:id="13">
    <w:p w14:paraId="075B0F9A" w14:textId="2F066EC1" w:rsidR="00D6385B" w:rsidRDefault="00D6385B">
      <w:pPr>
        <w:pStyle w:val="FootnoteText"/>
      </w:pPr>
      <w:r>
        <w:rPr>
          <w:rStyle w:val="FootnoteReference"/>
        </w:rPr>
        <w:footnoteRef/>
      </w:r>
      <w:r>
        <w:t xml:space="preserve"> </w:t>
      </w:r>
      <w:r w:rsidRPr="00D6385B">
        <w:rPr>
          <w:i/>
          <w:iCs/>
        </w:rPr>
        <w:t xml:space="preserve">Standard Bank of South Africa v </w:t>
      </w:r>
      <w:proofErr w:type="spellStart"/>
      <w:r w:rsidRPr="00D6385B">
        <w:rPr>
          <w:i/>
          <w:iCs/>
        </w:rPr>
        <w:t>Renico</w:t>
      </w:r>
      <w:proofErr w:type="spellEnd"/>
      <w:r w:rsidRPr="00D6385B">
        <w:rPr>
          <w:i/>
          <w:iCs/>
        </w:rPr>
        <w:t xml:space="preserve"> Construction (Pty) Ltd</w:t>
      </w:r>
      <w:r>
        <w:t xml:space="preserve"> 2015 (2) SA 89 (GJ).</w:t>
      </w:r>
    </w:p>
  </w:footnote>
  <w:footnote w:id="14">
    <w:p w14:paraId="05BB7345" w14:textId="6B0AEF87" w:rsidR="00C162B0" w:rsidRDefault="00C162B0">
      <w:pPr>
        <w:pStyle w:val="FootnoteText"/>
      </w:pPr>
      <w:r>
        <w:rPr>
          <w:rStyle w:val="FootnoteReference"/>
        </w:rPr>
        <w:footnoteRef/>
      </w:r>
      <w:r>
        <w:t xml:space="preserve"> Id para 19.</w:t>
      </w:r>
    </w:p>
  </w:footnote>
  <w:footnote w:id="15">
    <w:p w14:paraId="3CD72337" w14:textId="113351A4" w:rsidR="00C162B0" w:rsidRDefault="00C162B0">
      <w:pPr>
        <w:pStyle w:val="FootnoteText"/>
      </w:pPr>
      <w:r>
        <w:rPr>
          <w:rStyle w:val="FootnoteReference"/>
        </w:rPr>
        <w:footnoteRef/>
      </w:r>
      <w:r>
        <w:t xml:space="preserve"> Id para 21</w:t>
      </w:r>
      <w:r w:rsidR="00C40459">
        <w:t>.</w:t>
      </w:r>
    </w:p>
  </w:footnote>
  <w:footnote w:id="16">
    <w:p w14:paraId="30CDB8D1" w14:textId="08AA20D5" w:rsidR="00C162B0" w:rsidRDefault="00C162B0">
      <w:pPr>
        <w:pStyle w:val="FootnoteText"/>
      </w:pPr>
      <w:r>
        <w:rPr>
          <w:rStyle w:val="FootnoteReference"/>
        </w:rPr>
        <w:footnoteRef/>
      </w:r>
      <w:r>
        <w:t xml:space="preserve"> Id para 22.</w:t>
      </w:r>
    </w:p>
  </w:footnote>
  <w:footnote w:id="17">
    <w:p w14:paraId="05D5CFBF" w14:textId="43820D68" w:rsidR="00C162B0" w:rsidRDefault="00C162B0">
      <w:pPr>
        <w:pStyle w:val="FootnoteText"/>
      </w:pPr>
      <w:r>
        <w:rPr>
          <w:rStyle w:val="FootnoteReference"/>
        </w:rPr>
        <w:footnoteRef/>
      </w:r>
      <w:r>
        <w:t xml:space="preserve"> Id para</w:t>
      </w:r>
      <w:r w:rsidR="00566BD3">
        <w:t>s</w:t>
      </w:r>
      <w:r>
        <w:t xml:space="preserve"> 25</w:t>
      </w:r>
      <w:r w:rsidR="00566BD3">
        <w:t xml:space="preserve"> and 26</w:t>
      </w:r>
      <w:r>
        <w:t>.</w:t>
      </w:r>
    </w:p>
  </w:footnote>
  <w:footnote w:id="18">
    <w:p w14:paraId="28C9FDC3" w14:textId="77777777" w:rsidR="00593E75" w:rsidRDefault="00593E75" w:rsidP="00593E75">
      <w:pPr>
        <w:pStyle w:val="FootnoteText"/>
      </w:pPr>
      <w:r>
        <w:rPr>
          <w:rStyle w:val="FootnoteReference"/>
        </w:rPr>
        <w:footnoteRef/>
      </w:r>
      <w:r>
        <w:t xml:space="preserve"> </w:t>
      </w:r>
      <w:r w:rsidRPr="005C7858">
        <w:rPr>
          <w:i/>
          <w:iCs/>
        </w:rPr>
        <w:t>Lovemore v White</w:t>
      </w:r>
      <w:r w:rsidRPr="005C7858">
        <w:t xml:space="preserve"> 1978 (3) SA 254 (E) </w:t>
      </w:r>
      <w:r>
        <w:t>at 256B and 261B</w:t>
      </w:r>
    </w:p>
  </w:footnote>
  <w:footnote w:id="19">
    <w:p w14:paraId="0609170C" w14:textId="7243F949" w:rsidR="00D40675" w:rsidRDefault="00D40675">
      <w:pPr>
        <w:pStyle w:val="FootnoteText"/>
      </w:pPr>
      <w:r>
        <w:rPr>
          <w:rStyle w:val="FootnoteReference"/>
        </w:rPr>
        <w:footnoteRef/>
      </w:r>
      <w:r>
        <w:t xml:space="preserve"> </w:t>
      </w:r>
      <w:r w:rsidRPr="001D0C56">
        <w:rPr>
          <w:i/>
          <w:iCs/>
        </w:rPr>
        <w:t xml:space="preserve">Liberty Group Limited v La Kandyan Trading (Pty) Limited </w:t>
      </w:r>
      <w:r w:rsidRPr="00D40675">
        <w:t>2021 JDR 2118 (GJ)</w:t>
      </w:r>
      <w:r w:rsidR="00E17934">
        <w:t>.</w:t>
      </w:r>
    </w:p>
  </w:footnote>
  <w:footnote w:id="20">
    <w:p w14:paraId="6A2C33C9" w14:textId="2189C201" w:rsidR="00E17934" w:rsidRDefault="00E17934">
      <w:pPr>
        <w:pStyle w:val="FootnoteText"/>
      </w:pPr>
      <w:r>
        <w:rPr>
          <w:rStyle w:val="FootnoteReference"/>
        </w:rPr>
        <w:footnoteRef/>
      </w:r>
      <w:r>
        <w:t xml:space="preserve"> Id paras 3.2 and 13.</w:t>
      </w:r>
    </w:p>
  </w:footnote>
  <w:footnote w:id="21">
    <w:p w14:paraId="4B26F5AF" w14:textId="52D40AD3" w:rsidR="004A2BBF" w:rsidRDefault="004A2BBF">
      <w:pPr>
        <w:pStyle w:val="FootnoteText"/>
      </w:pPr>
      <w:r>
        <w:rPr>
          <w:rStyle w:val="FootnoteReference"/>
        </w:rPr>
        <w:footnoteRef/>
      </w:r>
      <w:r>
        <w:t xml:space="preserve"> </w:t>
      </w:r>
      <w:proofErr w:type="spellStart"/>
      <w:r w:rsidR="00AE01E2" w:rsidRPr="00AE01E2">
        <w:rPr>
          <w:i/>
          <w:iCs/>
        </w:rPr>
        <w:t>Tredoux</w:t>
      </w:r>
      <w:proofErr w:type="spellEnd"/>
      <w:r w:rsidR="00AE01E2" w:rsidRPr="00AE01E2">
        <w:rPr>
          <w:i/>
          <w:iCs/>
        </w:rPr>
        <w:t xml:space="preserve"> </w:t>
      </w:r>
      <w:r w:rsidR="00AE01E2" w:rsidRPr="00AE01E2">
        <w:t>(</w:t>
      </w:r>
      <w:r w:rsidR="001E2FA8">
        <w:t>above</w:t>
      </w:r>
      <w:r w:rsidR="00AE01E2" w:rsidRPr="00AE01E2">
        <w:t>)</w:t>
      </w:r>
      <w:r w:rsidR="00AE01E2">
        <w:t xml:space="preserve"> para 15.</w:t>
      </w:r>
    </w:p>
  </w:footnote>
  <w:footnote w:id="22">
    <w:p w14:paraId="663A5615" w14:textId="0C6FA9F6" w:rsidR="00014237" w:rsidRDefault="00014237">
      <w:pPr>
        <w:pStyle w:val="FootnoteText"/>
      </w:pPr>
      <w:r>
        <w:rPr>
          <w:rStyle w:val="FootnoteReference"/>
        </w:rPr>
        <w:footnoteRef/>
      </w:r>
      <w:r>
        <w:t xml:space="preserve"> </w:t>
      </w:r>
      <w:r w:rsidR="008647A0" w:rsidRPr="008647A0">
        <w:rPr>
          <w:i/>
          <w:iCs/>
        </w:rPr>
        <w:t>Absa Bank Ltd (</w:t>
      </w:r>
      <w:proofErr w:type="spellStart"/>
      <w:r w:rsidR="008647A0" w:rsidRPr="008647A0">
        <w:rPr>
          <w:i/>
          <w:iCs/>
        </w:rPr>
        <w:t>Volkskas</w:t>
      </w:r>
      <w:proofErr w:type="spellEnd"/>
      <w:r w:rsidR="008647A0" w:rsidRPr="008647A0">
        <w:rPr>
          <w:i/>
          <w:iCs/>
        </w:rPr>
        <w:t xml:space="preserve"> Bank </w:t>
      </w:r>
      <w:proofErr w:type="spellStart"/>
      <w:r w:rsidR="008647A0" w:rsidRPr="008647A0">
        <w:rPr>
          <w:i/>
          <w:iCs/>
        </w:rPr>
        <w:t>Div</w:t>
      </w:r>
      <w:proofErr w:type="spellEnd"/>
      <w:r w:rsidR="008647A0" w:rsidRPr="008647A0">
        <w:rPr>
          <w:i/>
          <w:iCs/>
        </w:rPr>
        <w:t>) v SJ du Toit &amp; Sons Earthmovers (Pty) Ltd</w:t>
      </w:r>
      <w:r w:rsidR="008647A0" w:rsidRPr="008647A0">
        <w:t xml:space="preserve"> 1995 (3) SA 265 (C)</w:t>
      </w:r>
      <w:r w:rsidR="008647A0">
        <w:t xml:space="preserve"> at 267H – 268I and </w:t>
      </w:r>
      <w:r w:rsidR="008647A0" w:rsidRPr="008647A0">
        <w:rPr>
          <w:i/>
          <w:iCs/>
        </w:rPr>
        <w:t>South African Bureau of Standards v GGS/AU (Pty) Ltd</w:t>
      </w:r>
      <w:r w:rsidR="008647A0" w:rsidRPr="008647A0">
        <w:t xml:space="preserve"> 2003 (6) SA 588 (T)</w:t>
      </w:r>
      <w:r w:rsidR="008647A0">
        <w:t xml:space="preserve"> para 10. </w:t>
      </w:r>
      <w:r>
        <w:t xml:space="preserve">See also </w:t>
      </w:r>
      <w:proofErr w:type="spellStart"/>
      <w:r w:rsidRPr="00946F4C">
        <w:rPr>
          <w:i/>
          <w:iCs/>
        </w:rPr>
        <w:t>Floridar</w:t>
      </w:r>
      <w:proofErr w:type="spellEnd"/>
      <w:r w:rsidRPr="00946F4C">
        <w:rPr>
          <w:i/>
          <w:iCs/>
        </w:rPr>
        <w:t xml:space="preserve"> Construction Co (SWA) (Pty) Ltd v </w:t>
      </w:r>
      <w:proofErr w:type="spellStart"/>
      <w:r w:rsidRPr="00946F4C">
        <w:rPr>
          <w:i/>
          <w:iCs/>
        </w:rPr>
        <w:t>Kriess</w:t>
      </w:r>
      <w:proofErr w:type="spellEnd"/>
      <w:r w:rsidRPr="00014237">
        <w:t xml:space="preserve"> 1975 (1) SA 875 (SWA) at 878A</w:t>
      </w:r>
      <w:r w:rsidR="008647A0">
        <w:t>.</w:t>
      </w:r>
    </w:p>
  </w:footnote>
  <w:footnote w:id="23">
    <w:p w14:paraId="133AFD84" w14:textId="4E54E218" w:rsidR="00484C5A" w:rsidRDefault="00484C5A">
      <w:pPr>
        <w:pStyle w:val="FootnoteText"/>
      </w:pPr>
      <w:r>
        <w:rPr>
          <w:rStyle w:val="FootnoteReference"/>
        </w:rPr>
        <w:footnoteRef/>
      </w:r>
      <w:r>
        <w:t xml:space="preserve"> Cf </w:t>
      </w:r>
      <w:r w:rsidRPr="00484C5A">
        <w:rPr>
          <w:i/>
          <w:iCs/>
        </w:rPr>
        <w:t>Abdi v Minister of Home Affairs</w:t>
      </w:r>
      <w:r w:rsidRPr="00484C5A">
        <w:t xml:space="preserve"> 2011 (3) SA 37 (SCA)</w:t>
      </w:r>
      <w:r>
        <w:t xml:space="preserve"> para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6B26" w14:textId="07D8E621"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6C0CF8">
      <w:rPr>
        <w:rFonts w:ascii="Arial" w:hAnsi="Arial" w:cs="Arial"/>
        <w:noProof/>
        <w:sz w:val="24"/>
        <w:szCs w:val="24"/>
      </w:rPr>
      <w:t>2</w:t>
    </w:r>
    <w:r w:rsidRPr="007405CA">
      <w:rPr>
        <w:rFonts w:ascii="Arial" w:hAnsi="Arial" w:cs="Arial"/>
        <w:sz w:val="24"/>
        <w:szCs w:val="24"/>
      </w:rPr>
      <w:fldChar w:fldCharType="end"/>
    </w:r>
  </w:p>
  <w:p w14:paraId="07BA724A" w14:textId="77777777" w:rsidR="00FC0780" w:rsidRDefault="00FC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158FE"/>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19B09B3"/>
    <w:multiLevelType w:val="hybridMultilevel"/>
    <w:tmpl w:val="C774250A"/>
    <w:lvl w:ilvl="0" w:tplc="7C58C6CA">
      <w:start w:val="1"/>
      <w:numFmt w:val="decimal"/>
      <w:pStyle w:val="LC1"/>
      <w:lvlText w:val="[%1]"/>
      <w:lvlJc w:val="left"/>
      <w:pPr>
        <w:ind w:left="720" w:hanging="360"/>
      </w:pPr>
      <w:rPr>
        <w:rFonts w:ascii="Arial" w:hAnsi="Arial" w:cs="Arial" w:hint="default"/>
        <w:b w:val="0"/>
        <w:sz w:val="24"/>
        <w:szCs w:val="24"/>
      </w:rPr>
    </w:lvl>
    <w:lvl w:ilvl="1" w:tplc="5AB2BF2E">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5" w15:restartNumberingAfterBreak="0">
    <w:nsid w:val="26EC5E6A"/>
    <w:multiLevelType w:val="multilevel"/>
    <w:tmpl w:val="996064F6"/>
    <w:lvl w:ilvl="0">
      <w:start w:val="21"/>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8" w15:restartNumberingAfterBreak="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010789891">
    <w:abstractNumId w:val="4"/>
  </w:num>
  <w:num w:numId="2" w16cid:durableId="865950213">
    <w:abstractNumId w:val="0"/>
  </w:num>
  <w:num w:numId="3" w16cid:durableId="1508981284">
    <w:abstractNumId w:val="4"/>
  </w:num>
  <w:num w:numId="4" w16cid:durableId="1932270753">
    <w:abstractNumId w:val="4"/>
  </w:num>
  <w:num w:numId="5" w16cid:durableId="1397582603">
    <w:abstractNumId w:val="4"/>
  </w:num>
  <w:num w:numId="6" w16cid:durableId="1523275477">
    <w:abstractNumId w:val="4"/>
  </w:num>
  <w:num w:numId="7" w16cid:durableId="707607153">
    <w:abstractNumId w:val="4"/>
  </w:num>
  <w:num w:numId="8" w16cid:durableId="899704394">
    <w:abstractNumId w:val="4"/>
  </w:num>
  <w:num w:numId="9" w16cid:durableId="1969387747">
    <w:abstractNumId w:val="4"/>
  </w:num>
  <w:num w:numId="10" w16cid:durableId="1186017092">
    <w:abstractNumId w:val="7"/>
  </w:num>
  <w:num w:numId="11" w16cid:durableId="769811845">
    <w:abstractNumId w:val="8"/>
  </w:num>
  <w:num w:numId="12" w16cid:durableId="1798988790">
    <w:abstractNumId w:val="4"/>
  </w:num>
  <w:num w:numId="13" w16cid:durableId="1707216350">
    <w:abstractNumId w:val="4"/>
  </w:num>
  <w:num w:numId="14" w16cid:durableId="971835344">
    <w:abstractNumId w:val="4"/>
  </w:num>
  <w:num w:numId="15" w16cid:durableId="70737319">
    <w:abstractNumId w:val="4"/>
  </w:num>
  <w:num w:numId="16" w16cid:durableId="1380668081">
    <w:abstractNumId w:val="4"/>
  </w:num>
  <w:num w:numId="17" w16cid:durableId="854617426">
    <w:abstractNumId w:val="4"/>
  </w:num>
  <w:num w:numId="18" w16cid:durableId="1356928068">
    <w:abstractNumId w:val="4"/>
  </w:num>
  <w:num w:numId="19" w16cid:durableId="440296860">
    <w:abstractNumId w:val="4"/>
  </w:num>
  <w:num w:numId="20" w16cid:durableId="1834374170">
    <w:abstractNumId w:val="4"/>
  </w:num>
  <w:num w:numId="21" w16cid:durableId="2050912571">
    <w:abstractNumId w:val="4"/>
  </w:num>
  <w:num w:numId="22" w16cid:durableId="763570032">
    <w:abstractNumId w:val="4"/>
  </w:num>
  <w:num w:numId="23" w16cid:durableId="2085754978">
    <w:abstractNumId w:val="4"/>
  </w:num>
  <w:num w:numId="24" w16cid:durableId="1509641445">
    <w:abstractNumId w:val="4"/>
  </w:num>
  <w:num w:numId="25" w16cid:durableId="1987468785">
    <w:abstractNumId w:val="4"/>
  </w:num>
  <w:num w:numId="26" w16cid:durableId="34740919">
    <w:abstractNumId w:val="4"/>
  </w:num>
  <w:num w:numId="27" w16cid:durableId="1792703134">
    <w:abstractNumId w:val="4"/>
  </w:num>
  <w:num w:numId="28" w16cid:durableId="400444847">
    <w:abstractNumId w:val="4"/>
  </w:num>
  <w:num w:numId="29" w16cid:durableId="451679712">
    <w:abstractNumId w:val="4"/>
  </w:num>
  <w:num w:numId="30" w16cid:durableId="1746150824">
    <w:abstractNumId w:val="4"/>
  </w:num>
  <w:num w:numId="31" w16cid:durableId="1618753086">
    <w:abstractNumId w:val="4"/>
  </w:num>
  <w:num w:numId="32" w16cid:durableId="67386288">
    <w:abstractNumId w:val="4"/>
  </w:num>
  <w:num w:numId="33" w16cid:durableId="1685327095">
    <w:abstractNumId w:val="4"/>
  </w:num>
  <w:num w:numId="34" w16cid:durableId="1403984563">
    <w:abstractNumId w:val="4"/>
  </w:num>
  <w:num w:numId="35" w16cid:durableId="705066520">
    <w:abstractNumId w:val="3"/>
  </w:num>
  <w:num w:numId="36" w16cid:durableId="476846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8461604">
    <w:abstractNumId w:val="2"/>
  </w:num>
  <w:num w:numId="38" w16cid:durableId="97264635">
    <w:abstractNumId w:val="1"/>
  </w:num>
  <w:num w:numId="39" w16cid:durableId="556015334">
    <w:abstractNumId w:val="6"/>
  </w:num>
  <w:num w:numId="40" w16cid:durableId="971595575">
    <w:abstractNumId w:val="10"/>
  </w:num>
  <w:num w:numId="41" w16cid:durableId="1789230990">
    <w:abstractNumId w:val="9"/>
  </w:num>
  <w:num w:numId="42" w16cid:durableId="747773432">
    <w:abstractNumId w:val="3"/>
    <w:lvlOverride w:ilvl="0">
      <w:startOverride w:val="1"/>
    </w:lvlOverride>
  </w:num>
  <w:num w:numId="43" w16cid:durableId="1400209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C"/>
    <w:rsid w:val="000012A6"/>
    <w:rsid w:val="00001F4A"/>
    <w:rsid w:val="00003782"/>
    <w:rsid w:val="00003803"/>
    <w:rsid w:val="00004549"/>
    <w:rsid w:val="00004D23"/>
    <w:rsid w:val="0000706E"/>
    <w:rsid w:val="000073C9"/>
    <w:rsid w:val="0001167B"/>
    <w:rsid w:val="00014237"/>
    <w:rsid w:val="0001502E"/>
    <w:rsid w:val="0002226B"/>
    <w:rsid w:val="00022F6D"/>
    <w:rsid w:val="0002662D"/>
    <w:rsid w:val="00030EA9"/>
    <w:rsid w:val="00031365"/>
    <w:rsid w:val="00031BDD"/>
    <w:rsid w:val="00034E66"/>
    <w:rsid w:val="000351B2"/>
    <w:rsid w:val="0004061F"/>
    <w:rsid w:val="00044A38"/>
    <w:rsid w:val="00045188"/>
    <w:rsid w:val="00045FEF"/>
    <w:rsid w:val="000510E6"/>
    <w:rsid w:val="000520DA"/>
    <w:rsid w:val="0006394C"/>
    <w:rsid w:val="00064401"/>
    <w:rsid w:val="00065E5C"/>
    <w:rsid w:val="00067C81"/>
    <w:rsid w:val="00070100"/>
    <w:rsid w:val="00070375"/>
    <w:rsid w:val="000716A9"/>
    <w:rsid w:val="00072AB8"/>
    <w:rsid w:val="00077868"/>
    <w:rsid w:val="000824F1"/>
    <w:rsid w:val="00082F4A"/>
    <w:rsid w:val="000831B3"/>
    <w:rsid w:val="000833AD"/>
    <w:rsid w:val="00085E78"/>
    <w:rsid w:val="00094012"/>
    <w:rsid w:val="00094DFD"/>
    <w:rsid w:val="000A2519"/>
    <w:rsid w:val="000A6817"/>
    <w:rsid w:val="000B1421"/>
    <w:rsid w:val="000B3E04"/>
    <w:rsid w:val="000B670C"/>
    <w:rsid w:val="000C0393"/>
    <w:rsid w:val="000C6122"/>
    <w:rsid w:val="000C785F"/>
    <w:rsid w:val="000C7D79"/>
    <w:rsid w:val="000D0102"/>
    <w:rsid w:val="000D011D"/>
    <w:rsid w:val="000D1D8A"/>
    <w:rsid w:val="000D3349"/>
    <w:rsid w:val="000D67C6"/>
    <w:rsid w:val="000D6B38"/>
    <w:rsid w:val="000E2737"/>
    <w:rsid w:val="000E3458"/>
    <w:rsid w:val="000E37F3"/>
    <w:rsid w:val="000E6595"/>
    <w:rsid w:val="000E6B70"/>
    <w:rsid w:val="000E6CBA"/>
    <w:rsid w:val="000E77CD"/>
    <w:rsid w:val="000F1D23"/>
    <w:rsid w:val="000F20C7"/>
    <w:rsid w:val="000F2126"/>
    <w:rsid w:val="00100D7D"/>
    <w:rsid w:val="00110166"/>
    <w:rsid w:val="001129AE"/>
    <w:rsid w:val="00117061"/>
    <w:rsid w:val="00122E7C"/>
    <w:rsid w:val="0013127A"/>
    <w:rsid w:val="001317DB"/>
    <w:rsid w:val="00133185"/>
    <w:rsid w:val="0013376C"/>
    <w:rsid w:val="0013396B"/>
    <w:rsid w:val="00133BF6"/>
    <w:rsid w:val="00134416"/>
    <w:rsid w:val="0013446D"/>
    <w:rsid w:val="00144D8F"/>
    <w:rsid w:val="001525A0"/>
    <w:rsid w:val="00153263"/>
    <w:rsid w:val="00155545"/>
    <w:rsid w:val="00161742"/>
    <w:rsid w:val="00161768"/>
    <w:rsid w:val="0017192F"/>
    <w:rsid w:val="001772D1"/>
    <w:rsid w:val="00177A2D"/>
    <w:rsid w:val="00185305"/>
    <w:rsid w:val="00185D04"/>
    <w:rsid w:val="001869B1"/>
    <w:rsid w:val="0018761E"/>
    <w:rsid w:val="00190F5B"/>
    <w:rsid w:val="001913F8"/>
    <w:rsid w:val="0019412F"/>
    <w:rsid w:val="001941AE"/>
    <w:rsid w:val="00194624"/>
    <w:rsid w:val="00194A18"/>
    <w:rsid w:val="00195948"/>
    <w:rsid w:val="001A03F9"/>
    <w:rsid w:val="001A066C"/>
    <w:rsid w:val="001A2909"/>
    <w:rsid w:val="001A42D3"/>
    <w:rsid w:val="001A55DB"/>
    <w:rsid w:val="001A66FF"/>
    <w:rsid w:val="001B05F3"/>
    <w:rsid w:val="001B5CB4"/>
    <w:rsid w:val="001B66D5"/>
    <w:rsid w:val="001B7FDB"/>
    <w:rsid w:val="001C0EBD"/>
    <w:rsid w:val="001C338F"/>
    <w:rsid w:val="001C500D"/>
    <w:rsid w:val="001D0C56"/>
    <w:rsid w:val="001D2FCD"/>
    <w:rsid w:val="001D3CAA"/>
    <w:rsid w:val="001D3DE1"/>
    <w:rsid w:val="001D73D1"/>
    <w:rsid w:val="001E1934"/>
    <w:rsid w:val="001E2746"/>
    <w:rsid w:val="001E2FA8"/>
    <w:rsid w:val="001E3C4A"/>
    <w:rsid w:val="001E6505"/>
    <w:rsid w:val="001F3346"/>
    <w:rsid w:val="001F40A2"/>
    <w:rsid w:val="001F41FC"/>
    <w:rsid w:val="0020038A"/>
    <w:rsid w:val="002011CA"/>
    <w:rsid w:val="00201D94"/>
    <w:rsid w:val="0020470F"/>
    <w:rsid w:val="002079F3"/>
    <w:rsid w:val="002131B0"/>
    <w:rsid w:val="00214702"/>
    <w:rsid w:val="002153EB"/>
    <w:rsid w:val="0021615D"/>
    <w:rsid w:val="002204D4"/>
    <w:rsid w:val="0022201A"/>
    <w:rsid w:val="00223659"/>
    <w:rsid w:val="00225C87"/>
    <w:rsid w:val="0022691E"/>
    <w:rsid w:val="002307DC"/>
    <w:rsid w:val="00231758"/>
    <w:rsid w:val="00232AAA"/>
    <w:rsid w:val="002354C7"/>
    <w:rsid w:val="0023710F"/>
    <w:rsid w:val="00243FFB"/>
    <w:rsid w:val="002458DA"/>
    <w:rsid w:val="00247065"/>
    <w:rsid w:val="002507E7"/>
    <w:rsid w:val="00250CA2"/>
    <w:rsid w:val="00252EA0"/>
    <w:rsid w:val="00254A2A"/>
    <w:rsid w:val="002568A5"/>
    <w:rsid w:val="00261518"/>
    <w:rsid w:val="00262145"/>
    <w:rsid w:val="00264164"/>
    <w:rsid w:val="00264DBD"/>
    <w:rsid w:val="00272CC9"/>
    <w:rsid w:val="002738F6"/>
    <w:rsid w:val="0027476A"/>
    <w:rsid w:val="00275348"/>
    <w:rsid w:val="002760A9"/>
    <w:rsid w:val="00281AA5"/>
    <w:rsid w:val="00283AE9"/>
    <w:rsid w:val="00284935"/>
    <w:rsid w:val="0028506A"/>
    <w:rsid w:val="00287983"/>
    <w:rsid w:val="002904E8"/>
    <w:rsid w:val="002943CC"/>
    <w:rsid w:val="00294703"/>
    <w:rsid w:val="002951E4"/>
    <w:rsid w:val="002A263A"/>
    <w:rsid w:val="002A2834"/>
    <w:rsid w:val="002A5354"/>
    <w:rsid w:val="002A6A82"/>
    <w:rsid w:val="002B074C"/>
    <w:rsid w:val="002B29E2"/>
    <w:rsid w:val="002B4682"/>
    <w:rsid w:val="002C4033"/>
    <w:rsid w:val="002C4D66"/>
    <w:rsid w:val="002D425A"/>
    <w:rsid w:val="002E3F6F"/>
    <w:rsid w:val="002F1953"/>
    <w:rsid w:val="002F7EA9"/>
    <w:rsid w:val="00300C56"/>
    <w:rsid w:val="00302B56"/>
    <w:rsid w:val="003031DE"/>
    <w:rsid w:val="00303C39"/>
    <w:rsid w:val="0030632A"/>
    <w:rsid w:val="00306A29"/>
    <w:rsid w:val="0030779C"/>
    <w:rsid w:val="00311B83"/>
    <w:rsid w:val="00316A03"/>
    <w:rsid w:val="00316BB4"/>
    <w:rsid w:val="00316EB2"/>
    <w:rsid w:val="00323262"/>
    <w:rsid w:val="00323CEC"/>
    <w:rsid w:val="00333F6D"/>
    <w:rsid w:val="00334249"/>
    <w:rsid w:val="003370D2"/>
    <w:rsid w:val="0034240A"/>
    <w:rsid w:val="00342CE8"/>
    <w:rsid w:val="00343523"/>
    <w:rsid w:val="003438A1"/>
    <w:rsid w:val="00344610"/>
    <w:rsid w:val="0035787D"/>
    <w:rsid w:val="00366EC7"/>
    <w:rsid w:val="00367FE4"/>
    <w:rsid w:val="00371EAC"/>
    <w:rsid w:val="00374424"/>
    <w:rsid w:val="00375189"/>
    <w:rsid w:val="00383DE0"/>
    <w:rsid w:val="003843A1"/>
    <w:rsid w:val="003844CD"/>
    <w:rsid w:val="00387D95"/>
    <w:rsid w:val="00387E2B"/>
    <w:rsid w:val="00393CFC"/>
    <w:rsid w:val="00394257"/>
    <w:rsid w:val="00394A38"/>
    <w:rsid w:val="0039695C"/>
    <w:rsid w:val="003A1345"/>
    <w:rsid w:val="003A18A9"/>
    <w:rsid w:val="003A1E5C"/>
    <w:rsid w:val="003A25F7"/>
    <w:rsid w:val="003A2784"/>
    <w:rsid w:val="003B1C0D"/>
    <w:rsid w:val="003B39F8"/>
    <w:rsid w:val="003B5ACF"/>
    <w:rsid w:val="003B7448"/>
    <w:rsid w:val="003C0FEE"/>
    <w:rsid w:val="003C133F"/>
    <w:rsid w:val="003C39BB"/>
    <w:rsid w:val="003C4F1C"/>
    <w:rsid w:val="003D2AD1"/>
    <w:rsid w:val="003D5D0B"/>
    <w:rsid w:val="003D6B4C"/>
    <w:rsid w:val="003D736C"/>
    <w:rsid w:val="003E4340"/>
    <w:rsid w:val="003E5CCD"/>
    <w:rsid w:val="003E6F2D"/>
    <w:rsid w:val="003F0485"/>
    <w:rsid w:val="003F0A4D"/>
    <w:rsid w:val="003F1021"/>
    <w:rsid w:val="003F7818"/>
    <w:rsid w:val="003F7CBD"/>
    <w:rsid w:val="004005B6"/>
    <w:rsid w:val="00400C5A"/>
    <w:rsid w:val="00401C97"/>
    <w:rsid w:val="00406476"/>
    <w:rsid w:val="004071E9"/>
    <w:rsid w:val="004209D8"/>
    <w:rsid w:val="004229C3"/>
    <w:rsid w:val="004268B9"/>
    <w:rsid w:val="00427C68"/>
    <w:rsid w:val="004341D0"/>
    <w:rsid w:val="0043517E"/>
    <w:rsid w:val="0044726A"/>
    <w:rsid w:val="00450395"/>
    <w:rsid w:val="004574CF"/>
    <w:rsid w:val="00457C05"/>
    <w:rsid w:val="00461C58"/>
    <w:rsid w:val="004631CF"/>
    <w:rsid w:val="00467FAE"/>
    <w:rsid w:val="00470CB2"/>
    <w:rsid w:val="004836EE"/>
    <w:rsid w:val="00484C5A"/>
    <w:rsid w:val="00485082"/>
    <w:rsid w:val="00485A06"/>
    <w:rsid w:val="00485BE2"/>
    <w:rsid w:val="00485D51"/>
    <w:rsid w:val="004871E9"/>
    <w:rsid w:val="0049213A"/>
    <w:rsid w:val="00493927"/>
    <w:rsid w:val="0049403D"/>
    <w:rsid w:val="004A2BBF"/>
    <w:rsid w:val="004A482E"/>
    <w:rsid w:val="004A61E8"/>
    <w:rsid w:val="004A72C3"/>
    <w:rsid w:val="004B1046"/>
    <w:rsid w:val="004B3172"/>
    <w:rsid w:val="004B70F3"/>
    <w:rsid w:val="004C0996"/>
    <w:rsid w:val="004C1163"/>
    <w:rsid w:val="004C209D"/>
    <w:rsid w:val="004D059C"/>
    <w:rsid w:val="004D2CC7"/>
    <w:rsid w:val="004D4A30"/>
    <w:rsid w:val="004D7420"/>
    <w:rsid w:val="004E2571"/>
    <w:rsid w:val="004E2B12"/>
    <w:rsid w:val="004E3832"/>
    <w:rsid w:val="004E3B4E"/>
    <w:rsid w:val="004E4A55"/>
    <w:rsid w:val="004E6DBC"/>
    <w:rsid w:val="004F239B"/>
    <w:rsid w:val="004F4CC1"/>
    <w:rsid w:val="004F4D7E"/>
    <w:rsid w:val="00502C6E"/>
    <w:rsid w:val="00504B76"/>
    <w:rsid w:val="00505F2B"/>
    <w:rsid w:val="00506722"/>
    <w:rsid w:val="0050762B"/>
    <w:rsid w:val="0051292F"/>
    <w:rsid w:val="00516A81"/>
    <w:rsid w:val="00531A72"/>
    <w:rsid w:val="00535053"/>
    <w:rsid w:val="005357A4"/>
    <w:rsid w:val="00536906"/>
    <w:rsid w:val="0055113E"/>
    <w:rsid w:val="00554368"/>
    <w:rsid w:val="00555228"/>
    <w:rsid w:val="0055724B"/>
    <w:rsid w:val="00560305"/>
    <w:rsid w:val="00560AE9"/>
    <w:rsid w:val="00560CB2"/>
    <w:rsid w:val="00564164"/>
    <w:rsid w:val="00564B8A"/>
    <w:rsid w:val="0056687A"/>
    <w:rsid w:val="00566A8C"/>
    <w:rsid w:val="00566BD3"/>
    <w:rsid w:val="00567801"/>
    <w:rsid w:val="005708F6"/>
    <w:rsid w:val="00573912"/>
    <w:rsid w:val="0057634C"/>
    <w:rsid w:val="00576DC0"/>
    <w:rsid w:val="0058318E"/>
    <w:rsid w:val="00583873"/>
    <w:rsid w:val="00584B23"/>
    <w:rsid w:val="00586825"/>
    <w:rsid w:val="00590502"/>
    <w:rsid w:val="005938AC"/>
    <w:rsid w:val="0059397B"/>
    <w:rsid w:val="00593E75"/>
    <w:rsid w:val="005953FD"/>
    <w:rsid w:val="00596448"/>
    <w:rsid w:val="005A3E6A"/>
    <w:rsid w:val="005A502D"/>
    <w:rsid w:val="005B0DD2"/>
    <w:rsid w:val="005B1663"/>
    <w:rsid w:val="005B32F4"/>
    <w:rsid w:val="005B3C6E"/>
    <w:rsid w:val="005C740A"/>
    <w:rsid w:val="005C7858"/>
    <w:rsid w:val="005D1628"/>
    <w:rsid w:val="005D6850"/>
    <w:rsid w:val="005E4F44"/>
    <w:rsid w:val="005E52B8"/>
    <w:rsid w:val="005F1181"/>
    <w:rsid w:val="005F514C"/>
    <w:rsid w:val="005F6872"/>
    <w:rsid w:val="005F7C9A"/>
    <w:rsid w:val="00602402"/>
    <w:rsid w:val="00610740"/>
    <w:rsid w:val="00612618"/>
    <w:rsid w:val="00615C8B"/>
    <w:rsid w:val="00620527"/>
    <w:rsid w:val="0062053B"/>
    <w:rsid w:val="00620927"/>
    <w:rsid w:val="00620A35"/>
    <w:rsid w:val="00620C55"/>
    <w:rsid w:val="00620C69"/>
    <w:rsid w:val="0062116D"/>
    <w:rsid w:val="00623306"/>
    <w:rsid w:val="00626354"/>
    <w:rsid w:val="00631A43"/>
    <w:rsid w:val="0064691B"/>
    <w:rsid w:val="00650039"/>
    <w:rsid w:val="00660038"/>
    <w:rsid w:val="00660D19"/>
    <w:rsid w:val="00662878"/>
    <w:rsid w:val="00663206"/>
    <w:rsid w:val="00664551"/>
    <w:rsid w:val="00665B87"/>
    <w:rsid w:val="00671349"/>
    <w:rsid w:val="00671E88"/>
    <w:rsid w:val="00672E25"/>
    <w:rsid w:val="00675086"/>
    <w:rsid w:val="00675D4C"/>
    <w:rsid w:val="00675FDD"/>
    <w:rsid w:val="0068156F"/>
    <w:rsid w:val="00681DB6"/>
    <w:rsid w:val="00685B94"/>
    <w:rsid w:val="00685BFC"/>
    <w:rsid w:val="00685F17"/>
    <w:rsid w:val="006910D5"/>
    <w:rsid w:val="00691BB1"/>
    <w:rsid w:val="00693017"/>
    <w:rsid w:val="00694EDB"/>
    <w:rsid w:val="006A19A2"/>
    <w:rsid w:val="006A5165"/>
    <w:rsid w:val="006A62B2"/>
    <w:rsid w:val="006B005F"/>
    <w:rsid w:val="006B00FC"/>
    <w:rsid w:val="006B1C26"/>
    <w:rsid w:val="006B3093"/>
    <w:rsid w:val="006B612E"/>
    <w:rsid w:val="006C0CF8"/>
    <w:rsid w:val="006C49A0"/>
    <w:rsid w:val="006C50B9"/>
    <w:rsid w:val="006C7710"/>
    <w:rsid w:val="006C790B"/>
    <w:rsid w:val="006C7A09"/>
    <w:rsid w:val="006D0194"/>
    <w:rsid w:val="006D05EB"/>
    <w:rsid w:val="006D1DEE"/>
    <w:rsid w:val="006D562E"/>
    <w:rsid w:val="006E19FB"/>
    <w:rsid w:val="006E50DF"/>
    <w:rsid w:val="006E637D"/>
    <w:rsid w:val="006F3C07"/>
    <w:rsid w:val="006F471F"/>
    <w:rsid w:val="007046ED"/>
    <w:rsid w:val="00706851"/>
    <w:rsid w:val="00706DEF"/>
    <w:rsid w:val="00717608"/>
    <w:rsid w:val="0072490A"/>
    <w:rsid w:val="00730305"/>
    <w:rsid w:val="00730BAC"/>
    <w:rsid w:val="00731CD4"/>
    <w:rsid w:val="0073729E"/>
    <w:rsid w:val="00742726"/>
    <w:rsid w:val="00745C12"/>
    <w:rsid w:val="0074639A"/>
    <w:rsid w:val="007532D7"/>
    <w:rsid w:val="007539E6"/>
    <w:rsid w:val="00753D4C"/>
    <w:rsid w:val="00760412"/>
    <w:rsid w:val="00760602"/>
    <w:rsid w:val="007613D7"/>
    <w:rsid w:val="00763359"/>
    <w:rsid w:val="00776390"/>
    <w:rsid w:val="007779D1"/>
    <w:rsid w:val="00781AF9"/>
    <w:rsid w:val="00785DCD"/>
    <w:rsid w:val="0079152D"/>
    <w:rsid w:val="007917EC"/>
    <w:rsid w:val="00792BFA"/>
    <w:rsid w:val="00796A89"/>
    <w:rsid w:val="007A5A73"/>
    <w:rsid w:val="007A5DD7"/>
    <w:rsid w:val="007A5E17"/>
    <w:rsid w:val="007A6630"/>
    <w:rsid w:val="007B07F7"/>
    <w:rsid w:val="007B42C5"/>
    <w:rsid w:val="007B6259"/>
    <w:rsid w:val="007B70A2"/>
    <w:rsid w:val="007B798F"/>
    <w:rsid w:val="007C00CB"/>
    <w:rsid w:val="007C03FB"/>
    <w:rsid w:val="007C207B"/>
    <w:rsid w:val="007C280E"/>
    <w:rsid w:val="007C2DD4"/>
    <w:rsid w:val="007C3650"/>
    <w:rsid w:val="007C4413"/>
    <w:rsid w:val="007C54A7"/>
    <w:rsid w:val="007D0658"/>
    <w:rsid w:val="007D3888"/>
    <w:rsid w:val="007D42D7"/>
    <w:rsid w:val="007D51E5"/>
    <w:rsid w:val="007D71FD"/>
    <w:rsid w:val="007D736B"/>
    <w:rsid w:val="007E0C74"/>
    <w:rsid w:val="007E2A9E"/>
    <w:rsid w:val="007E3918"/>
    <w:rsid w:val="007E686C"/>
    <w:rsid w:val="007E6AAD"/>
    <w:rsid w:val="0080031B"/>
    <w:rsid w:val="00801B76"/>
    <w:rsid w:val="00802253"/>
    <w:rsid w:val="0080454C"/>
    <w:rsid w:val="00807B64"/>
    <w:rsid w:val="0081091C"/>
    <w:rsid w:val="008140DD"/>
    <w:rsid w:val="00817F18"/>
    <w:rsid w:val="008219AD"/>
    <w:rsid w:val="008254FE"/>
    <w:rsid w:val="0082557F"/>
    <w:rsid w:val="00826605"/>
    <w:rsid w:val="008306B9"/>
    <w:rsid w:val="00831041"/>
    <w:rsid w:val="00833CEF"/>
    <w:rsid w:val="00833FC0"/>
    <w:rsid w:val="0083515A"/>
    <w:rsid w:val="00835906"/>
    <w:rsid w:val="008435C3"/>
    <w:rsid w:val="008436FD"/>
    <w:rsid w:val="0084389A"/>
    <w:rsid w:val="0084518E"/>
    <w:rsid w:val="00851F01"/>
    <w:rsid w:val="00857B95"/>
    <w:rsid w:val="00857BA7"/>
    <w:rsid w:val="00860E3A"/>
    <w:rsid w:val="008647A0"/>
    <w:rsid w:val="00870882"/>
    <w:rsid w:val="00872FB8"/>
    <w:rsid w:val="00874D3C"/>
    <w:rsid w:val="0087624D"/>
    <w:rsid w:val="008775CD"/>
    <w:rsid w:val="00880050"/>
    <w:rsid w:val="008837AE"/>
    <w:rsid w:val="008921E9"/>
    <w:rsid w:val="00892C1F"/>
    <w:rsid w:val="008945BF"/>
    <w:rsid w:val="00897805"/>
    <w:rsid w:val="00897BC9"/>
    <w:rsid w:val="008A0969"/>
    <w:rsid w:val="008A0D0F"/>
    <w:rsid w:val="008A4C2C"/>
    <w:rsid w:val="008A686A"/>
    <w:rsid w:val="008A6D65"/>
    <w:rsid w:val="008B0530"/>
    <w:rsid w:val="008B20F6"/>
    <w:rsid w:val="008B4FC4"/>
    <w:rsid w:val="008C4D76"/>
    <w:rsid w:val="008C5790"/>
    <w:rsid w:val="008C6FA5"/>
    <w:rsid w:val="008C7EC0"/>
    <w:rsid w:val="008D231D"/>
    <w:rsid w:val="008D4038"/>
    <w:rsid w:val="008D799A"/>
    <w:rsid w:val="008E1C4F"/>
    <w:rsid w:val="008E3B6A"/>
    <w:rsid w:val="008E5F6E"/>
    <w:rsid w:val="008E7216"/>
    <w:rsid w:val="008F0CFF"/>
    <w:rsid w:val="00900684"/>
    <w:rsid w:val="00906D03"/>
    <w:rsid w:val="00910B04"/>
    <w:rsid w:val="00913743"/>
    <w:rsid w:val="0091431D"/>
    <w:rsid w:val="00914D9D"/>
    <w:rsid w:val="00923D42"/>
    <w:rsid w:val="00924042"/>
    <w:rsid w:val="009243BB"/>
    <w:rsid w:val="00924EAF"/>
    <w:rsid w:val="00931C18"/>
    <w:rsid w:val="00931C25"/>
    <w:rsid w:val="009441CD"/>
    <w:rsid w:val="009460C8"/>
    <w:rsid w:val="00946F4C"/>
    <w:rsid w:val="009523E2"/>
    <w:rsid w:val="0095634A"/>
    <w:rsid w:val="00956E98"/>
    <w:rsid w:val="00960664"/>
    <w:rsid w:val="00963D63"/>
    <w:rsid w:val="00964EF7"/>
    <w:rsid w:val="00964FA1"/>
    <w:rsid w:val="00966980"/>
    <w:rsid w:val="009727AC"/>
    <w:rsid w:val="009757B1"/>
    <w:rsid w:val="009801D2"/>
    <w:rsid w:val="00985105"/>
    <w:rsid w:val="00985E6C"/>
    <w:rsid w:val="00987BBD"/>
    <w:rsid w:val="009907D3"/>
    <w:rsid w:val="00991799"/>
    <w:rsid w:val="00991FF4"/>
    <w:rsid w:val="00997901"/>
    <w:rsid w:val="009A09F7"/>
    <w:rsid w:val="009A1C92"/>
    <w:rsid w:val="009A52F7"/>
    <w:rsid w:val="009B2079"/>
    <w:rsid w:val="009B5C15"/>
    <w:rsid w:val="009C124F"/>
    <w:rsid w:val="009C2EC7"/>
    <w:rsid w:val="009C45C5"/>
    <w:rsid w:val="009C7076"/>
    <w:rsid w:val="009C7F7B"/>
    <w:rsid w:val="009D70E7"/>
    <w:rsid w:val="009D788E"/>
    <w:rsid w:val="009D7BD8"/>
    <w:rsid w:val="009D7CF6"/>
    <w:rsid w:val="009F10AD"/>
    <w:rsid w:val="009F1D04"/>
    <w:rsid w:val="009F620C"/>
    <w:rsid w:val="009F7AA8"/>
    <w:rsid w:val="00A0725F"/>
    <w:rsid w:val="00A078DF"/>
    <w:rsid w:val="00A10787"/>
    <w:rsid w:val="00A11B68"/>
    <w:rsid w:val="00A11D0C"/>
    <w:rsid w:val="00A11E84"/>
    <w:rsid w:val="00A139A3"/>
    <w:rsid w:val="00A15981"/>
    <w:rsid w:val="00A1614B"/>
    <w:rsid w:val="00A20C8C"/>
    <w:rsid w:val="00A21420"/>
    <w:rsid w:val="00A261F6"/>
    <w:rsid w:val="00A310FB"/>
    <w:rsid w:val="00A3124C"/>
    <w:rsid w:val="00A35B20"/>
    <w:rsid w:val="00A36F91"/>
    <w:rsid w:val="00A4041D"/>
    <w:rsid w:val="00A42CF6"/>
    <w:rsid w:val="00A45E00"/>
    <w:rsid w:val="00A47848"/>
    <w:rsid w:val="00A47A4D"/>
    <w:rsid w:val="00A52642"/>
    <w:rsid w:val="00A52923"/>
    <w:rsid w:val="00A53A13"/>
    <w:rsid w:val="00A55D38"/>
    <w:rsid w:val="00A55E36"/>
    <w:rsid w:val="00A71443"/>
    <w:rsid w:val="00A746F8"/>
    <w:rsid w:val="00A7609F"/>
    <w:rsid w:val="00A80BD7"/>
    <w:rsid w:val="00A82384"/>
    <w:rsid w:val="00A8464D"/>
    <w:rsid w:val="00A935E0"/>
    <w:rsid w:val="00A938D8"/>
    <w:rsid w:val="00A96288"/>
    <w:rsid w:val="00AA2504"/>
    <w:rsid w:val="00AA2AC3"/>
    <w:rsid w:val="00AA49EA"/>
    <w:rsid w:val="00AB3AF8"/>
    <w:rsid w:val="00AB4A29"/>
    <w:rsid w:val="00AB5583"/>
    <w:rsid w:val="00AB71D3"/>
    <w:rsid w:val="00AB785C"/>
    <w:rsid w:val="00AC13FE"/>
    <w:rsid w:val="00AC2651"/>
    <w:rsid w:val="00AC67C4"/>
    <w:rsid w:val="00AD0267"/>
    <w:rsid w:val="00AD3077"/>
    <w:rsid w:val="00AD3C04"/>
    <w:rsid w:val="00AD41E5"/>
    <w:rsid w:val="00AD4978"/>
    <w:rsid w:val="00AD4D36"/>
    <w:rsid w:val="00AE01E2"/>
    <w:rsid w:val="00AE3126"/>
    <w:rsid w:val="00AE37A7"/>
    <w:rsid w:val="00AE7C92"/>
    <w:rsid w:val="00AF77F5"/>
    <w:rsid w:val="00B01B99"/>
    <w:rsid w:val="00B06A56"/>
    <w:rsid w:val="00B06E91"/>
    <w:rsid w:val="00B10BEF"/>
    <w:rsid w:val="00B14F5E"/>
    <w:rsid w:val="00B156C3"/>
    <w:rsid w:val="00B20D91"/>
    <w:rsid w:val="00B217BF"/>
    <w:rsid w:val="00B278AE"/>
    <w:rsid w:val="00B27B3A"/>
    <w:rsid w:val="00B3256D"/>
    <w:rsid w:val="00B326BB"/>
    <w:rsid w:val="00B37BFF"/>
    <w:rsid w:val="00B415BA"/>
    <w:rsid w:val="00B51EEC"/>
    <w:rsid w:val="00B52A6C"/>
    <w:rsid w:val="00B56288"/>
    <w:rsid w:val="00B5665E"/>
    <w:rsid w:val="00B56C02"/>
    <w:rsid w:val="00B57413"/>
    <w:rsid w:val="00B57EFA"/>
    <w:rsid w:val="00B74B5C"/>
    <w:rsid w:val="00B778A0"/>
    <w:rsid w:val="00B83190"/>
    <w:rsid w:val="00B8589B"/>
    <w:rsid w:val="00B928FE"/>
    <w:rsid w:val="00B964B2"/>
    <w:rsid w:val="00BA3743"/>
    <w:rsid w:val="00BA5033"/>
    <w:rsid w:val="00BA607E"/>
    <w:rsid w:val="00BA74AA"/>
    <w:rsid w:val="00BB094D"/>
    <w:rsid w:val="00BB0C4C"/>
    <w:rsid w:val="00BB2EE7"/>
    <w:rsid w:val="00BB4E90"/>
    <w:rsid w:val="00BB5382"/>
    <w:rsid w:val="00BB6EC9"/>
    <w:rsid w:val="00BC06C9"/>
    <w:rsid w:val="00BC1D27"/>
    <w:rsid w:val="00BC1DA7"/>
    <w:rsid w:val="00BC7272"/>
    <w:rsid w:val="00BD2C41"/>
    <w:rsid w:val="00BD31D0"/>
    <w:rsid w:val="00BD4082"/>
    <w:rsid w:val="00BD7CF0"/>
    <w:rsid w:val="00BE0F7F"/>
    <w:rsid w:val="00BE25CA"/>
    <w:rsid w:val="00BE7451"/>
    <w:rsid w:val="00BE7533"/>
    <w:rsid w:val="00BF1076"/>
    <w:rsid w:val="00BF2F61"/>
    <w:rsid w:val="00C01589"/>
    <w:rsid w:val="00C041C8"/>
    <w:rsid w:val="00C06B16"/>
    <w:rsid w:val="00C1151B"/>
    <w:rsid w:val="00C16299"/>
    <w:rsid w:val="00C162B0"/>
    <w:rsid w:val="00C2381F"/>
    <w:rsid w:val="00C258FF"/>
    <w:rsid w:val="00C271ED"/>
    <w:rsid w:val="00C32ED5"/>
    <w:rsid w:val="00C36071"/>
    <w:rsid w:val="00C368AB"/>
    <w:rsid w:val="00C371A1"/>
    <w:rsid w:val="00C40459"/>
    <w:rsid w:val="00C404DA"/>
    <w:rsid w:val="00C43547"/>
    <w:rsid w:val="00C61DD7"/>
    <w:rsid w:val="00C64174"/>
    <w:rsid w:val="00C64C13"/>
    <w:rsid w:val="00C65E33"/>
    <w:rsid w:val="00C70E56"/>
    <w:rsid w:val="00C800DC"/>
    <w:rsid w:val="00C8127A"/>
    <w:rsid w:val="00C84A3F"/>
    <w:rsid w:val="00C862AE"/>
    <w:rsid w:val="00C941B5"/>
    <w:rsid w:val="00C966DF"/>
    <w:rsid w:val="00CA0462"/>
    <w:rsid w:val="00CA095C"/>
    <w:rsid w:val="00CA0F01"/>
    <w:rsid w:val="00CA39A3"/>
    <w:rsid w:val="00CA430B"/>
    <w:rsid w:val="00CB0291"/>
    <w:rsid w:val="00CB1620"/>
    <w:rsid w:val="00CB17E6"/>
    <w:rsid w:val="00CB69C5"/>
    <w:rsid w:val="00CC24A7"/>
    <w:rsid w:val="00CC2AFD"/>
    <w:rsid w:val="00CC45B5"/>
    <w:rsid w:val="00CC7C3D"/>
    <w:rsid w:val="00CD1EF6"/>
    <w:rsid w:val="00CD23A5"/>
    <w:rsid w:val="00CD291C"/>
    <w:rsid w:val="00CD5EF8"/>
    <w:rsid w:val="00CE0DD0"/>
    <w:rsid w:val="00CF0561"/>
    <w:rsid w:val="00CF0F7A"/>
    <w:rsid w:val="00CF3ECB"/>
    <w:rsid w:val="00CF4DB6"/>
    <w:rsid w:val="00CF6791"/>
    <w:rsid w:val="00D01E65"/>
    <w:rsid w:val="00D057EE"/>
    <w:rsid w:val="00D068B3"/>
    <w:rsid w:val="00D06B97"/>
    <w:rsid w:val="00D126A6"/>
    <w:rsid w:val="00D1418F"/>
    <w:rsid w:val="00D202C2"/>
    <w:rsid w:val="00D2110F"/>
    <w:rsid w:val="00D22617"/>
    <w:rsid w:val="00D23325"/>
    <w:rsid w:val="00D273F4"/>
    <w:rsid w:val="00D27A8F"/>
    <w:rsid w:val="00D30E33"/>
    <w:rsid w:val="00D35415"/>
    <w:rsid w:val="00D40675"/>
    <w:rsid w:val="00D41294"/>
    <w:rsid w:val="00D4408A"/>
    <w:rsid w:val="00D445CC"/>
    <w:rsid w:val="00D475B0"/>
    <w:rsid w:val="00D52F8D"/>
    <w:rsid w:val="00D55AD5"/>
    <w:rsid w:val="00D563AD"/>
    <w:rsid w:val="00D60529"/>
    <w:rsid w:val="00D6385B"/>
    <w:rsid w:val="00D6411C"/>
    <w:rsid w:val="00D65E92"/>
    <w:rsid w:val="00D705C4"/>
    <w:rsid w:val="00D710B6"/>
    <w:rsid w:val="00D74F4C"/>
    <w:rsid w:val="00D809B6"/>
    <w:rsid w:val="00D852CC"/>
    <w:rsid w:val="00D91DC4"/>
    <w:rsid w:val="00D93CC5"/>
    <w:rsid w:val="00D958BA"/>
    <w:rsid w:val="00D95C12"/>
    <w:rsid w:val="00DA0F1B"/>
    <w:rsid w:val="00DA72C1"/>
    <w:rsid w:val="00DA7691"/>
    <w:rsid w:val="00DB09C1"/>
    <w:rsid w:val="00DB14B7"/>
    <w:rsid w:val="00DB2D11"/>
    <w:rsid w:val="00DB3C17"/>
    <w:rsid w:val="00DB6535"/>
    <w:rsid w:val="00DB6BEF"/>
    <w:rsid w:val="00DC14F1"/>
    <w:rsid w:val="00DD186F"/>
    <w:rsid w:val="00DD4565"/>
    <w:rsid w:val="00DD6D2F"/>
    <w:rsid w:val="00DD7668"/>
    <w:rsid w:val="00DE1A6C"/>
    <w:rsid w:val="00DE3314"/>
    <w:rsid w:val="00DE416A"/>
    <w:rsid w:val="00DE7197"/>
    <w:rsid w:val="00DF4404"/>
    <w:rsid w:val="00DF569F"/>
    <w:rsid w:val="00DF6FB4"/>
    <w:rsid w:val="00E0119F"/>
    <w:rsid w:val="00E0601A"/>
    <w:rsid w:val="00E07A85"/>
    <w:rsid w:val="00E12C78"/>
    <w:rsid w:val="00E154A6"/>
    <w:rsid w:val="00E15990"/>
    <w:rsid w:val="00E15D50"/>
    <w:rsid w:val="00E1726B"/>
    <w:rsid w:val="00E17934"/>
    <w:rsid w:val="00E211DA"/>
    <w:rsid w:val="00E255EC"/>
    <w:rsid w:val="00E26783"/>
    <w:rsid w:val="00E3256D"/>
    <w:rsid w:val="00E34B34"/>
    <w:rsid w:val="00E37B8A"/>
    <w:rsid w:val="00E42A07"/>
    <w:rsid w:val="00E42E15"/>
    <w:rsid w:val="00E4580E"/>
    <w:rsid w:val="00E478CE"/>
    <w:rsid w:val="00E479CF"/>
    <w:rsid w:val="00E47D84"/>
    <w:rsid w:val="00E52A36"/>
    <w:rsid w:val="00E52B41"/>
    <w:rsid w:val="00E568E8"/>
    <w:rsid w:val="00E6258E"/>
    <w:rsid w:val="00E62CA0"/>
    <w:rsid w:val="00E64210"/>
    <w:rsid w:val="00E704B2"/>
    <w:rsid w:val="00E70BC0"/>
    <w:rsid w:val="00E7225B"/>
    <w:rsid w:val="00E75462"/>
    <w:rsid w:val="00E766DA"/>
    <w:rsid w:val="00E802AD"/>
    <w:rsid w:val="00E81838"/>
    <w:rsid w:val="00E95C7B"/>
    <w:rsid w:val="00E966FC"/>
    <w:rsid w:val="00E970E4"/>
    <w:rsid w:val="00EA03A9"/>
    <w:rsid w:val="00EA13B0"/>
    <w:rsid w:val="00EA311A"/>
    <w:rsid w:val="00EA3F95"/>
    <w:rsid w:val="00EA68B5"/>
    <w:rsid w:val="00EB63A0"/>
    <w:rsid w:val="00EC0D3D"/>
    <w:rsid w:val="00EC5978"/>
    <w:rsid w:val="00EC64BC"/>
    <w:rsid w:val="00EC7D31"/>
    <w:rsid w:val="00ED7D08"/>
    <w:rsid w:val="00EE0A65"/>
    <w:rsid w:val="00EE3990"/>
    <w:rsid w:val="00EE5601"/>
    <w:rsid w:val="00EF1D60"/>
    <w:rsid w:val="00EF3C04"/>
    <w:rsid w:val="00EF5E15"/>
    <w:rsid w:val="00EF6106"/>
    <w:rsid w:val="00F02879"/>
    <w:rsid w:val="00F03456"/>
    <w:rsid w:val="00F03ACA"/>
    <w:rsid w:val="00F04643"/>
    <w:rsid w:val="00F0535E"/>
    <w:rsid w:val="00F053C9"/>
    <w:rsid w:val="00F06C40"/>
    <w:rsid w:val="00F06E42"/>
    <w:rsid w:val="00F206D6"/>
    <w:rsid w:val="00F222AD"/>
    <w:rsid w:val="00F23E10"/>
    <w:rsid w:val="00F25788"/>
    <w:rsid w:val="00F27254"/>
    <w:rsid w:val="00F31B2C"/>
    <w:rsid w:val="00F31B91"/>
    <w:rsid w:val="00F3780F"/>
    <w:rsid w:val="00F411B1"/>
    <w:rsid w:val="00F43177"/>
    <w:rsid w:val="00F45305"/>
    <w:rsid w:val="00F4730B"/>
    <w:rsid w:val="00F50F05"/>
    <w:rsid w:val="00F548D3"/>
    <w:rsid w:val="00F54CDB"/>
    <w:rsid w:val="00F67D00"/>
    <w:rsid w:val="00F70037"/>
    <w:rsid w:val="00F80F95"/>
    <w:rsid w:val="00F90FDB"/>
    <w:rsid w:val="00F91645"/>
    <w:rsid w:val="00F91787"/>
    <w:rsid w:val="00F918C6"/>
    <w:rsid w:val="00FA191C"/>
    <w:rsid w:val="00FA2C32"/>
    <w:rsid w:val="00FA31D3"/>
    <w:rsid w:val="00FA40AC"/>
    <w:rsid w:val="00FA4FAB"/>
    <w:rsid w:val="00FA5A01"/>
    <w:rsid w:val="00FA6D38"/>
    <w:rsid w:val="00FB5DE7"/>
    <w:rsid w:val="00FB7410"/>
    <w:rsid w:val="00FB7F6D"/>
    <w:rsid w:val="00FC008E"/>
    <w:rsid w:val="00FC0780"/>
    <w:rsid w:val="00FC211D"/>
    <w:rsid w:val="00FC519F"/>
    <w:rsid w:val="00FC5EBE"/>
    <w:rsid w:val="00FD0316"/>
    <w:rsid w:val="00FE0474"/>
    <w:rsid w:val="00FE3282"/>
    <w:rsid w:val="00FE5033"/>
    <w:rsid w:val="00FE578F"/>
    <w:rsid w:val="00FF437F"/>
    <w:rsid w:val="00FF5076"/>
    <w:rsid w:val="00FF5957"/>
    <w:rsid w:val="00FF5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2C2"/>
    <w:pPr>
      <w:spacing w:after="0" w:line="480" w:lineRule="auto"/>
      <w:jc w:val="both"/>
    </w:pPr>
    <w:rPr>
      <w:rFonts w:eastAsia="Times New Roman" w:cs="Times New Roman"/>
    </w:rPr>
  </w:style>
  <w:style w:type="paragraph" w:styleId="Heading1">
    <w:name w:val="heading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basedOn w:val="Normal"/>
    <w:link w:val="FootnoteTextChar"/>
    <w:uiPriority w:val="99"/>
    <w:unhideWhenUsed/>
    <w:rsid w:val="00E4580E"/>
    <w:pPr>
      <w:widowControl w:val="0"/>
      <w:spacing w:before="120" w:line="240" w:lineRule="auto"/>
    </w:pPr>
    <w:rPr>
      <w:rFonts w:ascii="Arial" w:eastAsia="Cambria" w:hAnsi="Arial"/>
      <w:sz w:val="20"/>
      <w:szCs w:val="24"/>
    </w:rPr>
  </w:style>
  <w:style w:type="character" w:customStyle="1" w:styleId="FootnoteTextChar">
    <w:name w:val="Footnote Text Char"/>
    <w:basedOn w:val="DefaultParagraphFont"/>
    <w:link w:val="FootnoteText"/>
    <w:uiPriority w:val="99"/>
    <w:rsid w:val="00E4580E"/>
    <w:rPr>
      <w:rFonts w:ascii="Arial" w:hAnsi="Arial" w:cs="Times New Roman"/>
      <w:sz w:val="20"/>
      <w:szCs w:val="24"/>
    </w:rPr>
  </w:style>
  <w:style w:type="character" w:styleId="FootnoteReference">
    <w:name w:val="footnote reference"/>
    <w:uiPriority w:val="99"/>
    <w:semiHidden/>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671349"/>
    <w:pPr>
      <w:numPr>
        <w:numId w:val="35"/>
      </w:numPr>
      <w:spacing w:line="360" w:lineRule="auto"/>
      <w:ind w:hanging="720"/>
    </w:pPr>
    <w:rPr>
      <w:lang w:val="en-ZA"/>
    </w:rPr>
  </w:style>
  <w:style w:type="character" w:customStyle="1" w:styleId="LC1Char">
    <w:name w:val="LC1 Char"/>
    <w:basedOn w:val="DefaultParagraphFont"/>
    <w:link w:val="LC1"/>
    <w:rsid w:val="00671349"/>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1E6505"/>
    <w:pPr>
      <w:numPr>
        <w:ilvl w:val="1"/>
      </w:numPr>
      <w:ind w:left="993" w:hanging="993"/>
    </w:pPr>
  </w:style>
  <w:style w:type="paragraph" w:customStyle="1" w:styleId="LCORder">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1E6505"/>
    <w:rPr>
      <w:rFonts w:ascii="Arial" w:eastAsia="Times New Roman" w:hAnsi="Arial" w:cs="Times New Roman"/>
      <w:sz w:val="24"/>
      <w:szCs w:val="20"/>
    </w:rPr>
  </w:style>
  <w:style w:type="character" w:customStyle="1" w:styleId="LCORderChar">
    <w:name w:val="LC ORder Char"/>
    <w:basedOn w:val="LC1Char"/>
    <w:link w:val="LCORder"/>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1739">
      <w:bodyDiv w:val="1"/>
      <w:marLeft w:val="0"/>
      <w:marRight w:val="0"/>
      <w:marTop w:val="0"/>
      <w:marBottom w:val="0"/>
      <w:divBdr>
        <w:top w:val="none" w:sz="0" w:space="0" w:color="auto"/>
        <w:left w:val="none" w:sz="0" w:space="0" w:color="auto"/>
        <w:bottom w:val="none" w:sz="0" w:space="0" w:color="auto"/>
        <w:right w:val="none" w:sz="0" w:space="0" w:color="auto"/>
      </w:divBdr>
      <w:divsChild>
        <w:div w:id="1249773532">
          <w:marLeft w:val="0"/>
          <w:marRight w:val="0"/>
          <w:marTop w:val="0"/>
          <w:marBottom w:val="0"/>
          <w:divBdr>
            <w:top w:val="none" w:sz="0" w:space="0" w:color="auto"/>
            <w:left w:val="none" w:sz="0" w:space="0" w:color="auto"/>
            <w:bottom w:val="none" w:sz="0" w:space="0" w:color="auto"/>
            <w:right w:val="none" w:sz="0" w:space="0" w:color="auto"/>
          </w:divBdr>
        </w:div>
        <w:div w:id="77675250">
          <w:marLeft w:val="0"/>
          <w:marRight w:val="0"/>
          <w:marTop w:val="0"/>
          <w:marBottom w:val="0"/>
          <w:divBdr>
            <w:top w:val="none" w:sz="0" w:space="0" w:color="auto"/>
            <w:left w:val="none" w:sz="0" w:space="0" w:color="auto"/>
            <w:bottom w:val="none" w:sz="0" w:space="0" w:color="auto"/>
            <w:right w:val="none" w:sz="0" w:space="0" w:color="auto"/>
          </w:divBdr>
        </w:div>
        <w:div w:id="1642495977">
          <w:marLeft w:val="0"/>
          <w:marRight w:val="0"/>
          <w:marTop w:val="0"/>
          <w:marBottom w:val="0"/>
          <w:divBdr>
            <w:top w:val="none" w:sz="0" w:space="0" w:color="auto"/>
            <w:left w:val="none" w:sz="0" w:space="0" w:color="auto"/>
            <w:bottom w:val="none" w:sz="0" w:space="0" w:color="auto"/>
            <w:right w:val="none" w:sz="0" w:space="0" w:color="auto"/>
          </w:divBdr>
        </w:div>
        <w:div w:id="1071149355">
          <w:marLeft w:val="0"/>
          <w:marRight w:val="0"/>
          <w:marTop w:val="0"/>
          <w:marBottom w:val="0"/>
          <w:divBdr>
            <w:top w:val="none" w:sz="0" w:space="0" w:color="auto"/>
            <w:left w:val="none" w:sz="0" w:space="0" w:color="auto"/>
            <w:bottom w:val="none" w:sz="0" w:space="0" w:color="auto"/>
            <w:right w:val="none" w:sz="0" w:space="0" w:color="auto"/>
          </w:divBdr>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0020449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3179">
      <w:bodyDiv w:val="1"/>
      <w:marLeft w:val="0"/>
      <w:marRight w:val="0"/>
      <w:marTop w:val="0"/>
      <w:marBottom w:val="0"/>
      <w:divBdr>
        <w:top w:val="none" w:sz="0" w:space="0" w:color="auto"/>
        <w:left w:val="none" w:sz="0" w:space="0" w:color="auto"/>
        <w:bottom w:val="none" w:sz="0" w:space="0" w:color="auto"/>
        <w:right w:val="none" w:sz="0" w:space="0" w:color="auto"/>
      </w:divBdr>
      <w:divsChild>
        <w:div w:id="585920021">
          <w:marLeft w:val="0"/>
          <w:marRight w:val="0"/>
          <w:marTop w:val="0"/>
          <w:marBottom w:val="0"/>
          <w:divBdr>
            <w:top w:val="none" w:sz="0" w:space="0" w:color="auto"/>
            <w:left w:val="none" w:sz="0" w:space="0" w:color="auto"/>
            <w:bottom w:val="none" w:sz="0" w:space="0" w:color="auto"/>
            <w:right w:val="none" w:sz="0" w:space="0" w:color="auto"/>
          </w:divBdr>
        </w:div>
        <w:div w:id="1001078186">
          <w:marLeft w:val="0"/>
          <w:marRight w:val="0"/>
          <w:marTop w:val="0"/>
          <w:marBottom w:val="0"/>
          <w:divBdr>
            <w:top w:val="none" w:sz="0" w:space="0" w:color="auto"/>
            <w:left w:val="none" w:sz="0" w:space="0" w:color="auto"/>
            <w:bottom w:val="none" w:sz="0" w:space="0" w:color="auto"/>
            <w:right w:val="none" w:sz="0" w:space="0" w:color="auto"/>
          </w:divBdr>
        </w:div>
        <w:div w:id="1127159354">
          <w:marLeft w:val="0"/>
          <w:marRight w:val="0"/>
          <w:marTop w:val="0"/>
          <w:marBottom w:val="0"/>
          <w:divBdr>
            <w:top w:val="none" w:sz="0" w:space="0" w:color="auto"/>
            <w:left w:val="none" w:sz="0" w:space="0" w:color="auto"/>
            <w:bottom w:val="none" w:sz="0" w:space="0" w:color="auto"/>
            <w:right w:val="none" w:sz="0" w:space="0" w:color="auto"/>
          </w:divBdr>
        </w:div>
        <w:div w:id="1332947834">
          <w:marLeft w:val="0"/>
          <w:marRight w:val="0"/>
          <w:marTop w:val="0"/>
          <w:marBottom w:val="0"/>
          <w:divBdr>
            <w:top w:val="none" w:sz="0" w:space="0" w:color="auto"/>
            <w:left w:val="none" w:sz="0" w:space="0" w:color="auto"/>
            <w:bottom w:val="none" w:sz="0" w:space="0" w:color="auto"/>
            <w:right w:val="none" w:sz="0" w:space="0" w:color="auto"/>
          </w:divBdr>
        </w:div>
        <w:div w:id="178979876">
          <w:marLeft w:val="0"/>
          <w:marRight w:val="0"/>
          <w:marTop w:val="0"/>
          <w:marBottom w:val="0"/>
          <w:divBdr>
            <w:top w:val="none" w:sz="0" w:space="0" w:color="auto"/>
            <w:left w:val="none" w:sz="0" w:space="0" w:color="auto"/>
            <w:bottom w:val="none" w:sz="0" w:space="0" w:color="auto"/>
            <w:right w:val="none" w:sz="0" w:space="0" w:color="auto"/>
          </w:divBdr>
        </w:div>
      </w:divsChild>
    </w:div>
    <w:div w:id="2019384891">
      <w:bodyDiv w:val="1"/>
      <w:marLeft w:val="0"/>
      <w:marRight w:val="0"/>
      <w:marTop w:val="0"/>
      <w:marBottom w:val="0"/>
      <w:divBdr>
        <w:top w:val="none" w:sz="0" w:space="0" w:color="auto"/>
        <w:left w:val="none" w:sz="0" w:space="0" w:color="auto"/>
        <w:bottom w:val="none" w:sz="0" w:space="0" w:color="auto"/>
        <w:right w:val="none" w:sz="0" w:space="0" w:color="auto"/>
      </w:divBdr>
      <w:divsChild>
        <w:div w:id="226183292">
          <w:marLeft w:val="0"/>
          <w:marRight w:val="0"/>
          <w:marTop w:val="0"/>
          <w:marBottom w:val="0"/>
          <w:divBdr>
            <w:top w:val="none" w:sz="0" w:space="0" w:color="auto"/>
            <w:left w:val="none" w:sz="0" w:space="0" w:color="auto"/>
            <w:bottom w:val="none" w:sz="0" w:space="0" w:color="auto"/>
            <w:right w:val="none" w:sz="0" w:space="0" w:color="auto"/>
          </w:divBdr>
        </w:div>
        <w:div w:id="1512447916">
          <w:marLeft w:val="0"/>
          <w:marRight w:val="0"/>
          <w:marTop w:val="0"/>
          <w:marBottom w:val="0"/>
          <w:divBdr>
            <w:top w:val="none" w:sz="0" w:space="0" w:color="auto"/>
            <w:left w:val="none" w:sz="0" w:space="0" w:color="auto"/>
            <w:bottom w:val="none" w:sz="0" w:space="0" w:color="auto"/>
            <w:right w:val="none" w:sz="0" w:space="0" w:color="auto"/>
          </w:divBdr>
        </w:div>
        <w:div w:id="364452203">
          <w:marLeft w:val="0"/>
          <w:marRight w:val="0"/>
          <w:marTop w:val="0"/>
          <w:marBottom w:val="0"/>
          <w:divBdr>
            <w:top w:val="none" w:sz="0" w:space="0" w:color="auto"/>
            <w:left w:val="none" w:sz="0" w:space="0" w:color="auto"/>
            <w:bottom w:val="none" w:sz="0" w:space="0" w:color="auto"/>
            <w:right w:val="none" w:sz="0" w:space="0" w:color="auto"/>
          </w:divBdr>
        </w:div>
        <w:div w:id="527182070">
          <w:marLeft w:val="0"/>
          <w:marRight w:val="0"/>
          <w:marTop w:val="0"/>
          <w:marBottom w:val="0"/>
          <w:divBdr>
            <w:top w:val="none" w:sz="0" w:space="0" w:color="auto"/>
            <w:left w:val="none" w:sz="0" w:space="0" w:color="auto"/>
            <w:bottom w:val="none" w:sz="0" w:space="0" w:color="auto"/>
            <w:right w:val="none" w:sz="0" w:space="0" w:color="auto"/>
          </w:divBdr>
        </w:div>
      </w:divsChild>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2022-11-02T08:58:00Z</dcterms:created>
  <dcterms:modified xsi:type="dcterms:W3CDTF">2022-11-05T11:07:00Z</dcterms:modified>
</cp:coreProperties>
</file>