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84BE" w14:textId="77777777" w:rsidR="00140AB1" w:rsidRPr="00DB2A06" w:rsidRDefault="00140AB1" w:rsidP="00140AB1">
      <w:pPr>
        <w:ind w:left="-270" w:right="-244"/>
        <w:jc w:val="center"/>
        <w:rPr>
          <w:rFonts w:cs="Arial"/>
          <w:b/>
          <w:u w:val="single"/>
        </w:rPr>
      </w:pPr>
      <w:r>
        <w:rPr>
          <w:color w:val="1D1C1D"/>
          <w:sz w:val="23"/>
          <w:szCs w:val="23"/>
          <w:shd w:val="clear" w:color="auto" w:fill="F8F8F8"/>
        </w:rPr>
        <w:t>Editorial note: Certain information has been redacted from this judgment in compliance with the law.</w:t>
      </w:r>
    </w:p>
    <w:p w14:paraId="59C4BC1A" w14:textId="77777777" w:rsidR="00140AB1" w:rsidRDefault="00140AB1" w:rsidP="00BD5A11">
      <w:pPr>
        <w:pStyle w:val="LegalTitle"/>
        <w:spacing w:after="0" w:line="360" w:lineRule="auto"/>
        <w:rPr>
          <w:rFonts w:cs="Arial"/>
          <w:noProof/>
          <w:lang w:val="en-US" w:eastAsia="en-US"/>
        </w:rPr>
      </w:pPr>
    </w:p>
    <w:p w14:paraId="6B71280E" w14:textId="77777777" w:rsidR="00140AB1" w:rsidRDefault="00140AB1" w:rsidP="00BD5A11">
      <w:pPr>
        <w:pStyle w:val="LegalTitle"/>
        <w:spacing w:after="0" w:line="360" w:lineRule="auto"/>
        <w:rPr>
          <w:rFonts w:cs="Arial"/>
          <w:noProof/>
          <w:lang w:val="en-US" w:eastAsia="en-US"/>
        </w:rPr>
      </w:pPr>
    </w:p>
    <w:p w14:paraId="6F59E173" w14:textId="7F3E2154" w:rsidR="00BD5A11" w:rsidRPr="00980139" w:rsidRDefault="00BD5A11" w:rsidP="00BD5A11">
      <w:pPr>
        <w:pStyle w:val="LegalTitle"/>
        <w:spacing w:after="0" w:line="360" w:lineRule="auto"/>
        <w:rPr>
          <w:rFonts w:cs="Arial"/>
          <w:u w:val="single"/>
        </w:rPr>
      </w:pPr>
      <w:r w:rsidRPr="00980139">
        <w:rPr>
          <w:rFonts w:cs="Arial"/>
          <w:noProof/>
          <w:lang w:val="en-US" w:eastAsia="en-US"/>
        </w:rPr>
        <w:drawing>
          <wp:inline distT="0" distB="0" distL="0" distR="0" wp14:anchorId="617FF5FF" wp14:editId="6300D5ED">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4A118DA0"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1DFC4EED" w14:textId="0D919944" w:rsidR="007B3DB5" w:rsidRPr="00980139" w:rsidRDefault="00EE409F" w:rsidP="007B3DB5">
      <w:pPr>
        <w:pStyle w:val="LegalTitle"/>
        <w:spacing w:line="360" w:lineRule="auto"/>
        <w:rPr>
          <w:rFonts w:cs="Arial"/>
          <w:u w:val="single"/>
        </w:rPr>
      </w:pPr>
      <w:r w:rsidRPr="00980139">
        <w:rPr>
          <w:rFonts w:cs="Arial"/>
          <w:noProof/>
          <w:lang w:val="en-US" w:eastAsia="en-US"/>
        </w:rPr>
        <mc:AlternateContent>
          <mc:Choice Requires="wps">
            <w:drawing>
              <wp:anchor distT="0" distB="0" distL="114300" distR="114300" simplePos="0" relativeHeight="251659264" behindDoc="0" locked="0" layoutInCell="1" allowOverlap="1" wp14:anchorId="66A2AA98" wp14:editId="480DDE6C">
                <wp:simplePos x="0" y="0"/>
                <wp:positionH relativeFrom="column">
                  <wp:posOffset>-211455</wp:posOffset>
                </wp:positionH>
                <wp:positionV relativeFrom="paragraph">
                  <wp:posOffset>459105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5FF82260" w:rsidR="00BD5A11" w:rsidRPr="0038792A" w:rsidRDefault="00140AB1" w:rsidP="00140AB1">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7B9360DE" w:rsidR="00BD5A11" w:rsidRPr="0038792A" w:rsidRDefault="00140AB1" w:rsidP="00140AB1">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39CCA99B" w:rsidR="00BD5A11" w:rsidRPr="0038792A" w:rsidRDefault="00140AB1" w:rsidP="00140AB1">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4D066072" w:rsidR="00BD5A11" w:rsidRDefault="00BD5A11" w:rsidP="00BD5A11">
                            <w:pPr>
                              <w:rPr>
                                <w:sz w:val="28"/>
                                <w:szCs w:val="28"/>
                              </w:rPr>
                            </w:pPr>
                            <w:r w:rsidRPr="00BD5A11">
                              <w:rPr>
                                <w:b/>
                                <w:sz w:val="22"/>
                                <w:szCs w:val="22"/>
                              </w:rPr>
                              <w:t>Date:</w:t>
                            </w:r>
                            <w:r>
                              <w:rPr>
                                <w:sz w:val="22"/>
                                <w:szCs w:val="22"/>
                              </w:rPr>
                              <w:t xml:space="preserve"> </w:t>
                            </w:r>
                            <w:r w:rsidR="00EE409F">
                              <w:rPr>
                                <w:sz w:val="22"/>
                                <w:szCs w:val="22"/>
                              </w:rPr>
                              <w:t>0</w:t>
                            </w:r>
                            <w:r w:rsidR="002D73BE">
                              <w:rPr>
                                <w:sz w:val="22"/>
                                <w:szCs w:val="22"/>
                              </w:rPr>
                              <w:t>2</w:t>
                            </w:r>
                            <w:r>
                              <w:rPr>
                                <w:sz w:val="22"/>
                                <w:szCs w:val="22"/>
                              </w:rPr>
                              <w:t>/</w:t>
                            </w:r>
                            <w:r w:rsidR="00EE409F">
                              <w:rPr>
                                <w:sz w:val="22"/>
                                <w:szCs w:val="22"/>
                              </w:rPr>
                              <w:t>11/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6.65pt;margin-top:36.1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">
                <v:textbox>
                  <w:txbxContent>
                    <w:p w14:paraId="1EB2601E" w14:textId="5FF82260" w:rsidR="00BD5A11" w:rsidRPr="0038792A" w:rsidRDefault="00140AB1" w:rsidP="00140AB1">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7B9360DE" w:rsidR="00BD5A11" w:rsidRPr="0038792A" w:rsidRDefault="00140AB1" w:rsidP="00140AB1">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39CCA99B" w:rsidR="00BD5A11" w:rsidRPr="0038792A" w:rsidRDefault="00140AB1" w:rsidP="00140AB1">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4D066072" w:rsidR="00BD5A11" w:rsidRDefault="00BD5A11" w:rsidP="00BD5A11">
                      <w:pPr>
                        <w:rPr>
                          <w:sz w:val="28"/>
                          <w:szCs w:val="28"/>
                        </w:rPr>
                      </w:pPr>
                      <w:r w:rsidRPr="00BD5A11">
                        <w:rPr>
                          <w:b/>
                          <w:sz w:val="22"/>
                          <w:szCs w:val="22"/>
                        </w:rPr>
                        <w:t>Date:</w:t>
                      </w:r>
                      <w:r>
                        <w:rPr>
                          <w:sz w:val="22"/>
                          <w:szCs w:val="22"/>
                        </w:rPr>
                        <w:t xml:space="preserve"> </w:t>
                      </w:r>
                      <w:r w:rsidR="00EE409F">
                        <w:rPr>
                          <w:sz w:val="22"/>
                          <w:szCs w:val="22"/>
                        </w:rPr>
                        <w:t>0</w:t>
                      </w:r>
                      <w:r w:rsidR="002D73BE">
                        <w:rPr>
                          <w:sz w:val="22"/>
                          <w:szCs w:val="22"/>
                        </w:rPr>
                        <w:t>2</w:t>
                      </w:r>
                      <w:r>
                        <w:rPr>
                          <w:sz w:val="22"/>
                          <w:szCs w:val="22"/>
                        </w:rPr>
                        <w:t>/</w:t>
                      </w:r>
                      <w:r w:rsidR="00EE409F">
                        <w:rPr>
                          <w:sz w:val="22"/>
                          <w:szCs w:val="22"/>
                        </w:rPr>
                        <w:t>11/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2" w:name="_Hlk94081611"/>
      <w:bookmarkEnd w:id="2"/>
      <w:r w:rsidR="007B3DB5" w:rsidRPr="00980139">
        <w:rPr>
          <w:rFonts w:cs="Arial"/>
          <w:u w:val="single"/>
        </w:rPr>
        <w:t>burg</w:t>
      </w:r>
    </w:p>
    <w:p w14:paraId="736CAC97" w14:textId="3FFFAEB6" w:rsidR="007B3DB5" w:rsidRPr="00980139" w:rsidRDefault="007B3DB5" w:rsidP="007B3DB5">
      <w:pPr>
        <w:spacing w:after="0" w:line="240" w:lineRule="auto"/>
        <w:jc w:val="center"/>
        <w:rPr>
          <w:rFonts w:ascii="Arial" w:hAnsi="Arial" w:cs="Arial"/>
          <w:b/>
          <w:bCs/>
          <w:sz w:val="24"/>
          <w:szCs w:val="24"/>
        </w:rPr>
      </w:pPr>
    </w:p>
    <w:p w14:paraId="4F798B6A" w14:textId="2912453F"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37D07FF" w14:textId="28CE874A"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5E94B7AC" w14:textId="77777777" w:rsidR="00EE409F" w:rsidRPr="00EE409F" w:rsidRDefault="00EE409F" w:rsidP="00EE409F">
      <w:pPr>
        <w:spacing w:line="480" w:lineRule="auto"/>
        <w:jc w:val="right"/>
        <w:rPr>
          <w:rFonts w:ascii="Arial" w:hAnsi="Arial" w:cs="Arial"/>
          <w:b/>
          <w:bCs/>
          <w:sz w:val="24"/>
          <w:szCs w:val="24"/>
        </w:rPr>
      </w:pPr>
      <w:r w:rsidRPr="00EE409F">
        <w:rPr>
          <w:rFonts w:ascii="Arial" w:hAnsi="Arial" w:cs="Arial"/>
          <w:b/>
          <w:bCs/>
          <w:sz w:val="24"/>
          <w:szCs w:val="24"/>
        </w:rPr>
        <w:t>Case No. 24801/2021</w:t>
      </w:r>
    </w:p>
    <w:p w14:paraId="0A573002" w14:textId="77777777" w:rsidR="00EE409F" w:rsidRPr="00EE409F" w:rsidRDefault="00EE409F" w:rsidP="00EE409F">
      <w:pPr>
        <w:spacing w:line="480" w:lineRule="auto"/>
        <w:rPr>
          <w:rFonts w:ascii="Arial" w:hAnsi="Arial" w:cs="Arial"/>
          <w:bCs/>
          <w:sz w:val="24"/>
          <w:szCs w:val="24"/>
        </w:rPr>
      </w:pPr>
      <w:r w:rsidRPr="00EE409F">
        <w:rPr>
          <w:rFonts w:ascii="Arial" w:hAnsi="Arial" w:cs="Arial"/>
          <w:bCs/>
          <w:sz w:val="24"/>
          <w:szCs w:val="24"/>
        </w:rPr>
        <w:t>In the matter between:</w:t>
      </w:r>
    </w:p>
    <w:p w14:paraId="4DD96D21" w14:textId="7F51F931" w:rsidR="00EE409F" w:rsidRPr="00EE409F" w:rsidRDefault="00EE409F" w:rsidP="00EE409F">
      <w:pPr>
        <w:spacing w:line="480" w:lineRule="auto"/>
        <w:rPr>
          <w:rFonts w:ascii="Arial" w:hAnsi="Arial" w:cs="Arial"/>
          <w:bCs/>
          <w:sz w:val="24"/>
          <w:szCs w:val="24"/>
        </w:rPr>
      </w:pPr>
      <w:r w:rsidRPr="00EE409F">
        <w:rPr>
          <w:rFonts w:ascii="Arial" w:hAnsi="Arial" w:cs="Arial"/>
          <w:b/>
          <w:bCs/>
          <w:sz w:val="24"/>
          <w:szCs w:val="24"/>
        </w:rPr>
        <w:t>THE STANDARD BANK OF SOUTH AFRICA LIMITED</w:t>
      </w:r>
      <w:r w:rsidRPr="00EE409F">
        <w:rPr>
          <w:rFonts w:ascii="Arial" w:hAnsi="Arial" w:cs="Arial"/>
          <w:b/>
          <w:bCs/>
          <w:sz w:val="24"/>
          <w:szCs w:val="24"/>
        </w:rPr>
        <w:tab/>
      </w:r>
      <w:r w:rsidRPr="00EE409F">
        <w:rPr>
          <w:rFonts w:ascii="Arial" w:hAnsi="Arial" w:cs="Arial"/>
          <w:bCs/>
          <w:sz w:val="24"/>
          <w:szCs w:val="24"/>
        </w:rPr>
        <w:tab/>
      </w:r>
      <w:r>
        <w:rPr>
          <w:rFonts w:ascii="Arial" w:hAnsi="Arial" w:cs="Arial"/>
          <w:bCs/>
          <w:sz w:val="24"/>
          <w:szCs w:val="24"/>
        </w:rPr>
        <w:t xml:space="preserve">       </w:t>
      </w:r>
      <w:r w:rsidRPr="00EE409F">
        <w:rPr>
          <w:rFonts w:ascii="Arial" w:hAnsi="Arial" w:cs="Arial"/>
          <w:bCs/>
          <w:sz w:val="24"/>
          <w:szCs w:val="24"/>
        </w:rPr>
        <w:t>Applicant</w:t>
      </w:r>
    </w:p>
    <w:p w14:paraId="293C71DE" w14:textId="312D91BB" w:rsidR="00EE409F" w:rsidRPr="00EE409F" w:rsidRDefault="00EE409F" w:rsidP="00EE409F">
      <w:pPr>
        <w:spacing w:line="480" w:lineRule="auto"/>
        <w:rPr>
          <w:rFonts w:ascii="Arial" w:hAnsi="Arial" w:cs="Arial"/>
          <w:bCs/>
          <w:sz w:val="24"/>
          <w:szCs w:val="24"/>
        </w:rPr>
      </w:pPr>
      <w:proofErr w:type="gramStart"/>
      <w:r>
        <w:rPr>
          <w:rFonts w:ascii="Arial" w:hAnsi="Arial" w:cs="Arial"/>
          <w:bCs/>
          <w:sz w:val="24"/>
          <w:szCs w:val="24"/>
        </w:rPr>
        <w:t>a</w:t>
      </w:r>
      <w:r w:rsidRPr="00EE409F">
        <w:rPr>
          <w:rFonts w:ascii="Arial" w:hAnsi="Arial" w:cs="Arial"/>
          <w:bCs/>
          <w:sz w:val="24"/>
          <w:szCs w:val="24"/>
        </w:rPr>
        <w:t>nd</w:t>
      </w:r>
      <w:proofErr w:type="gramEnd"/>
      <w:r w:rsidRPr="00EE409F">
        <w:rPr>
          <w:rFonts w:ascii="Arial" w:hAnsi="Arial" w:cs="Arial"/>
          <w:bCs/>
          <w:sz w:val="24"/>
          <w:szCs w:val="24"/>
        </w:rPr>
        <w:t xml:space="preserve"> </w:t>
      </w:r>
    </w:p>
    <w:p w14:paraId="0EE91430" w14:textId="388C8B8E" w:rsidR="00EE409F" w:rsidRPr="00EE409F" w:rsidRDefault="00EE409F" w:rsidP="00EE409F">
      <w:pPr>
        <w:spacing w:after="0"/>
        <w:rPr>
          <w:rFonts w:ascii="Arial" w:hAnsi="Arial" w:cs="Arial"/>
          <w:bCs/>
          <w:sz w:val="24"/>
          <w:szCs w:val="24"/>
        </w:rPr>
      </w:pPr>
      <w:r w:rsidRPr="00EE409F">
        <w:rPr>
          <w:rFonts w:ascii="Arial" w:hAnsi="Arial" w:cs="Arial"/>
          <w:b/>
          <w:bCs/>
          <w:sz w:val="24"/>
          <w:szCs w:val="24"/>
        </w:rPr>
        <w:t>CARMEL ANN STOCH</w:t>
      </w:r>
      <w:r w:rsidRPr="00EE409F">
        <w:rPr>
          <w:rFonts w:ascii="Arial" w:hAnsi="Arial" w:cs="Arial"/>
          <w:b/>
          <w:bCs/>
          <w:sz w:val="24"/>
          <w:szCs w:val="24"/>
        </w:rPr>
        <w:tab/>
      </w:r>
      <w:r w:rsidRPr="00EE409F">
        <w:rPr>
          <w:rFonts w:ascii="Arial" w:hAnsi="Arial" w:cs="Arial"/>
          <w:b/>
          <w:bCs/>
          <w:sz w:val="24"/>
          <w:szCs w:val="24"/>
        </w:rPr>
        <w:tab/>
      </w:r>
      <w:r w:rsidRPr="00EE409F">
        <w:rPr>
          <w:rFonts w:ascii="Arial" w:hAnsi="Arial" w:cs="Arial"/>
          <w:b/>
          <w:bCs/>
          <w:sz w:val="24"/>
          <w:szCs w:val="24"/>
        </w:rPr>
        <w:tab/>
      </w:r>
      <w:r w:rsidRPr="00EE409F">
        <w:rPr>
          <w:rFonts w:ascii="Arial" w:hAnsi="Arial" w:cs="Arial"/>
          <w:b/>
          <w:bCs/>
          <w:sz w:val="24"/>
          <w:szCs w:val="24"/>
        </w:rPr>
        <w:tab/>
      </w:r>
      <w:r w:rsidRPr="00EE409F">
        <w:rPr>
          <w:rFonts w:ascii="Arial" w:hAnsi="Arial" w:cs="Arial"/>
          <w:b/>
          <w:bCs/>
          <w:sz w:val="24"/>
          <w:szCs w:val="24"/>
        </w:rPr>
        <w:tab/>
      </w:r>
      <w:r w:rsidRPr="00EE409F">
        <w:rPr>
          <w:rFonts w:ascii="Arial" w:hAnsi="Arial" w:cs="Arial"/>
          <w:b/>
          <w:bCs/>
          <w:sz w:val="24"/>
          <w:szCs w:val="24"/>
        </w:rPr>
        <w:tab/>
      </w:r>
      <w:r>
        <w:rPr>
          <w:rFonts w:ascii="Arial" w:hAnsi="Arial" w:cs="Arial"/>
          <w:b/>
          <w:bCs/>
          <w:sz w:val="24"/>
          <w:szCs w:val="24"/>
        </w:rPr>
        <w:t xml:space="preserve">     </w:t>
      </w:r>
      <w:r w:rsidRPr="00EE409F">
        <w:rPr>
          <w:rFonts w:ascii="Arial" w:hAnsi="Arial" w:cs="Arial"/>
          <w:bCs/>
          <w:sz w:val="24"/>
          <w:szCs w:val="24"/>
        </w:rPr>
        <w:t>First Respondent</w:t>
      </w:r>
    </w:p>
    <w:p w14:paraId="1EB8344E" w14:textId="52D814DD" w:rsidR="00EE409F" w:rsidRPr="00EE409F" w:rsidRDefault="00140AB1" w:rsidP="00EE409F">
      <w:pPr>
        <w:spacing w:after="0"/>
        <w:rPr>
          <w:rFonts w:ascii="Arial" w:hAnsi="Arial" w:cs="Arial"/>
          <w:bCs/>
          <w:sz w:val="24"/>
          <w:szCs w:val="24"/>
        </w:rPr>
      </w:pPr>
      <w:r>
        <w:rPr>
          <w:rFonts w:ascii="Arial" w:hAnsi="Arial" w:cs="Arial"/>
          <w:bCs/>
          <w:sz w:val="24"/>
          <w:szCs w:val="24"/>
        </w:rPr>
        <w:t>(Identity Number: […]</w:t>
      </w:r>
      <w:r w:rsidR="00EE409F" w:rsidRPr="00EE409F">
        <w:rPr>
          <w:rFonts w:ascii="Arial" w:hAnsi="Arial" w:cs="Arial"/>
          <w:bCs/>
          <w:sz w:val="24"/>
          <w:szCs w:val="24"/>
        </w:rPr>
        <w:t>)</w:t>
      </w:r>
    </w:p>
    <w:p w14:paraId="57675DC9" w14:textId="77777777" w:rsidR="00EE409F" w:rsidRDefault="00EE409F" w:rsidP="00EE409F">
      <w:pPr>
        <w:spacing w:after="0"/>
        <w:rPr>
          <w:rFonts w:ascii="Arial" w:hAnsi="Arial" w:cs="Arial"/>
          <w:b/>
          <w:bCs/>
          <w:sz w:val="24"/>
          <w:szCs w:val="24"/>
        </w:rPr>
      </w:pPr>
    </w:p>
    <w:p w14:paraId="55EC6776" w14:textId="246242F6" w:rsidR="00EE409F" w:rsidRDefault="00EE409F" w:rsidP="00EE409F">
      <w:pPr>
        <w:spacing w:after="0"/>
        <w:rPr>
          <w:rFonts w:ascii="Arial" w:hAnsi="Arial" w:cs="Arial"/>
          <w:b/>
          <w:bCs/>
          <w:sz w:val="24"/>
          <w:szCs w:val="24"/>
        </w:rPr>
      </w:pPr>
      <w:r w:rsidRPr="00EE409F">
        <w:rPr>
          <w:rFonts w:ascii="Arial" w:hAnsi="Arial" w:cs="Arial"/>
          <w:b/>
          <w:bCs/>
          <w:sz w:val="24"/>
          <w:szCs w:val="24"/>
        </w:rPr>
        <w:t xml:space="preserve">BENJAMIN STOCH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EE409F">
        <w:rPr>
          <w:rFonts w:ascii="Arial" w:hAnsi="Arial" w:cs="Arial"/>
          <w:bCs/>
          <w:sz w:val="24"/>
          <w:szCs w:val="24"/>
        </w:rPr>
        <w:t>Second Respondent</w:t>
      </w:r>
    </w:p>
    <w:p w14:paraId="366A98B9" w14:textId="04A11C71" w:rsidR="00EE409F" w:rsidRDefault="00140AB1" w:rsidP="00EE409F">
      <w:pPr>
        <w:spacing w:after="0"/>
        <w:rPr>
          <w:rFonts w:ascii="Arial" w:hAnsi="Arial" w:cs="Arial"/>
          <w:bCs/>
          <w:sz w:val="24"/>
          <w:szCs w:val="24"/>
        </w:rPr>
      </w:pPr>
      <w:r>
        <w:rPr>
          <w:rFonts w:ascii="Arial" w:hAnsi="Arial" w:cs="Arial"/>
          <w:bCs/>
          <w:sz w:val="24"/>
          <w:szCs w:val="24"/>
        </w:rPr>
        <w:t>(Identity Number: […]</w:t>
      </w:r>
      <w:r w:rsidR="00EE409F" w:rsidRPr="00EE409F">
        <w:rPr>
          <w:rFonts w:ascii="Arial" w:hAnsi="Arial" w:cs="Arial"/>
          <w:bCs/>
          <w:sz w:val="24"/>
          <w:szCs w:val="24"/>
        </w:rPr>
        <w:t>)</w:t>
      </w:r>
    </w:p>
    <w:p w14:paraId="75EA76FD" w14:textId="68AFAC1C" w:rsidR="00EE409F" w:rsidRPr="00EE409F" w:rsidRDefault="00EE409F" w:rsidP="00EE409F">
      <w:pPr>
        <w:spacing w:after="0"/>
        <w:rPr>
          <w:rFonts w:ascii="Arial" w:hAnsi="Arial" w:cs="Arial"/>
          <w:bCs/>
          <w:sz w:val="24"/>
          <w:szCs w:val="24"/>
        </w:rPr>
      </w:pPr>
      <w:r w:rsidRPr="00EE409F">
        <w:rPr>
          <w:rFonts w:ascii="Arial" w:hAnsi="Arial" w:cs="Arial"/>
          <w:bCs/>
          <w:sz w:val="24"/>
          <w:szCs w:val="24"/>
        </w:rPr>
        <w:tab/>
      </w:r>
      <w:r w:rsidRPr="00EE409F">
        <w:rPr>
          <w:rFonts w:ascii="Arial" w:hAnsi="Arial" w:cs="Arial"/>
          <w:bCs/>
          <w:sz w:val="24"/>
          <w:szCs w:val="24"/>
        </w:rPr>
        <w:tab/>
      </w:r>
      <w:r w:rsidRPr="00EE409F">
        <w:rPr>
          <w:rFonts w:ascii="Arial" w:hAnsi="Arial" w:cs="Arial"/>
          <w:bCs/>
          <w:sz w:val="24"/>
          <w:szCs w:val="24"/>
        </w:rPr>
        <w:tab/>
      </w:r>
      <w:r w:rsidRPr="00EE409F">
        <w:rPr>
          <w:rFonts w:ascii="Arial" w:hAnsi="Arial" w:cs="Arial"/>
          <w:bCs/>
          <w:sz w:val="24"/>
          <w:szCs w:val="24"/>
        </w:rPr>
        <w:tab/>
      </w:r>
      <w:r w:rsidRPr="00EE409F">
        <w:rPr>
          <w:rFonts w:ascii="Arial" w:hAnsi="Arial" w:cs="Arial"/>
          <w:bCs/>
          <w:sz w:val="24"/>
          <w:szCs w:val="24"/>
        </w:rPr>
        <w:tab/>
      </w:r>
    </w:p>
    <w:p w14:paraId="3E7718E0" w14:textId="77777777" w:rsidR="00EE409F" w:rsidRDefault="00EE409F" w:rsidP="00EE409F">
      <w:pPr>
        <w:pBdr>
          <w:top w:val="single" w:sz="12" w:space="1" w:color="auto"/>
          <w:bottom w:val="single" w:sz="12" w:space="1" w:color="auto"/>
        </w:pBdr>
        <w:spacing w:after="0" w:line="240" w:lineRule="auto"/>
        <w:jc w:val="center"/>
        <w:rPr>
          <w:rFonts w:ascii="Arial" w:hAnsi="Arial" w:cs="Arial"/>
          <w:b/>
          <w:bCs/>
          <w:sz w:val="24"/>
          <w:szCs w:val="24"/>
        </w:rPr>
      </w:pPr>
    </w:p>
    <w:p w14:paraId="3EE3BBD3" w14:textId="7A02296E" w:rsidR="00EE409F" w:rsidRDefault="00EE409F" w:rsidP="00EE409F">
      <w:pPr>
        <w:pBdr>
          <w:top w:val="single" w:sz="12" w:space="1" w:color="auto"/>
          <w:bottom w:val="single" w:sz="12" w:space="1" w:color="auto"/>
        </w:pBdr>
        <w:spacing w:after="0" w:line="240" w:lineRule="auto"/>
        <w:jc w:val="center"/>
        <w:rPr>
          <w:rFonts w:ascii="Arial" w:hAnsi="Arial" w:cs="Arial"/>
          <w:b/>
          <w:bCs/>
          <w:sz w:val="24"/>
          <w:szCs w:val="24"/>
        </w:rPr>
      </w:pPr>
      <w:r w:rsidRPr="00EE409F">
        <w:rPr>
          <w:rFonts w:ascii="Arial" w:hAnsi="Arial" w:cs="Arial"/>
          <w:b/>
          <w:bCs/>
          <w:sz w:val="24"/>
          <w:szCs w:val="24"/>
        </w:rPr>
        <w:t>JUDGMENT</w:t>
      </w:r>
    </w:p>
    <w:p w14:paraId="3FFC5BEB" w14:textId="77777777" w:rsidR="00EE409F" w:rsidRPr="00EE409F" w:rsidRDefault="00EE409F" w:rsidP="00EE409F">
      <w:pPr>
        <w:pBdr>
          <w:top w:val="single" w:sz="12" w:space="1" w:color="auto"/>
          <w:bottom w:val="single" w:sz="12" w:space="1" w:color="auto"/>
        </w:pBdr>
        <w:spacing w:after="0" w:line="240" w:lineRule="auto"/>
        <w:jc w:val="center"/>
        <w:rPr>
          <w:rFonts w:ascii="Arial" w:hAnsi="Arial" w:cs="Arial"/>
          <w:b/>
          <w:bCs/>
          <w:sz w:val="24"/>
          <w:szCs w:val="24"/>
        </w:rPr>
      </w:pPr>
    </w:p>
    <w:p w14:paraId="0DF65D72" w14:textId="77777777" w:rsidR="00EE409F" w:rsidRDefault="00EE409F" w:rsidP="00EE409F">
      <w:pPr>
        <w:spacing w:line="480" w:lineRule="auto"/>
        <w:rPr>
          <w:rFonts w:ascii="Arial" w:hAnsi="Arial" w:cs="Arial"/>
          <w:b/>
          <w:bCs/>
          <w:sz w:val="24"/>
          <w:szCs w:val="24"/>
        </w:rPr>
      </w:pPr>
    </w:p>
    <w:p w14:paraId="41A9677E" w14:textId="60934CCE" w:rsidR="00EE409F" w:rsidRPr="00EE409F" w:rsidRDefault="00EE409F" w:rsidP="00EE409F">
      <w:pPr>
        <w:spacing w:line="480" w:lineRule="auto"/>
        <w:rPr>
          <w:rFonts w:ascii="Arial" w:hAnsi="Arial" w:cs="Arial"/>
          <w:b/>
          <w:bCs/>
          <w:sz w:val="24"/>
          <w:szCs w:val="24"/>
        </w:rPr>
      </w:pPr>
      <w:r w:rsidRPr="00EE409F">
        <w:rPr>
          <w:rFonts w:ascii="Arial" w:hAnsi="Arial" w:cs="Arial"/>
          <w:b/>
          <w:bCs/>
          <w:sz w:val="24"/>
          <w:szCs w:val="24"/>
        </w:rPr>
        <w:lastRenderedPageBreak/>
        <w:t>MAHOMED, AJ</w:t>
      </w:r>
    </w:p>
    <w:p w14:paraId="0B14680B" w14:textId="7FCEC0F0" w:rsidR="00371F73" w:rsidRDefault="00140AB1" w:rsidP="00140AB1">
      <w:pPr>
        <w:pStyle w:val="ListLevel1"/>
        <w:numPr>
          <w:ilvl w:val="0"/>
          <w:numId w:val="0"/>
        </w:numPr>
        <w:tabs>
          <w:tab w:val="left" w:pos="851"/>
        </w:tabs>
        <w:ind w:left="851" w:hanging="851"/>
      </w:pPr>
      <w:r>
        <w:t>1.</w:t>
      </w:r>
      <w:r>
        <w:tab/>
      </w:r>
      <w:r w:rsidR="00371F73">
        <w:t>This is an application for the recovery of the balance outstanding on an overdue loan which the applicant advanced to the entity Hand Painted by Carmel CC.</w:t>
      </w:r>
    </w:p>
    <w:p w14:paraId="1AF41E73" w14:textId="10A407DF" w:rsidR="00EE409F" w:rsidRPr="00EE409F" w:rsidRDefault="00140AB1" w:rsidP="00140AB1">
      <w:pPr>
        <w:pStyle w:val="ListLevel1"/>
        <w:numPr>
          <w:ilvl w:val="0"/>
          <w:numId w:val="0"/>
        </w:numPr>
        <w:tabs>
          <w:tab w:val="left" w:pos="851"/>
        </w:tabs>
        <w:ind w:left="851" w:hanging="851"/>
      </w:pPr>
      <w:r w:rsidRPr="00EE409F">
        <w:t>2.</w:t>
      </w:r>
      <w:r w:rsidRPr="00EE409F">
        <w:tab/>
      </w:r>
      <w:r w:rsidR="00EE409F" w:rsidRPr="00EE409F">
        <w:t>The applicant seek</w:t>
      </w:r>
      <w:r w:rsidR="00371F73">
        <w:t>s</w:t>
      </w:r>
      <w:r w:rsidR="00EE409F" w:rsidRPr="00EE409F">
        <w:t xml:space="preserve"> to recover </w:t>
      </w:r>
      <w:r w:rsidR="00371F73">
        <w:t xml:space="preserve">the debt </w:t>
      </w:r>
      <w:r w:rsidR="00EE409F" w:rsidRPr="00EE409F">
        <w:t xml:space="preserve">from the second respondent as surety and co- </w:t>
      </w:r>
      <w:r w:rsidR="002D73BE" w:rsidRPr="00EE409F">
        <w:t>co- principal</w:t>
      </w:r>
      <w:r w:rsidR="00EE409F" w:rsidRPr="00EE409F">
        <w:t xml:space="preserve"> debtor.  He signed as surety </w:t>
      </w:r>
      <w:r w:rsidR="00371F73">
        <w:t xml:space="preserve">for the loan advanced, </w:t>
      </w:r>
      <w:r w:rsidR="00EE409F" w:rsidRPr="00EE409F">
        <w:t>on 8 November 2002.</w:t>
      </w:r>
      <w:r w:rsidR="00EE409F" w:rsidRPr="00EE409F">
        <w:rPr>
          <w:rStyle w:val="FootnoteReference"/>
          <w:rFonts w:cs="Arial"/>
          <w:sz w:val="24"/>
          <w:szCs w:val="24"/>
        </w:rPr>
        <w:footnoteReference w:id="1"/>
      </w:r>
    </w:p>
    <w:p w14:paraId="2240D4CE" w14:textId="3CB541A4" w:rsidR="00EE409F" w:rsidRPr="00EE409F" w:rsidRDefault="00140AB1" w:rsidP="00140AB1">
      <w:pPr>
        <w:pStyle w:val="ListLevel1"/>
        <w:numPr>
          <w:ilvl w:val="0"/>
          <w:numId w:val="0"/>
        </w:numPr>
        <w:tabs>
          <w:tab w:val="left" w:pos="851"/>
        </w:tabs>
        <w:ind w:left="851" w:hanging="851"/>
      </w:pPr>
      <w:r w:rsidRPr="00EE409F">
        <w:t>3.</w:t>
      </w:r>
      <w:r w:rsidRPr="00EE409F">
        <w:tab/>
      </w:r>
      <w:r w:rsidR="00EE409F" w:rsidRPr="00EE409F">
        <w:t xml:space="preserve">The amount outstanding is R3 912 361.71, in terms of two separate loan agreements. The first agreement concluded was for an overdraft facility </w:t>
      </w:r>
      <w:proofErr w:type="gramStart"/>
      <w:r w:rsidR="00EE409F" w:rsidRPr="00EE409F">
        <w:t>for</w:t>
      </w:r>
      <w:proofErr w:type="gramEnd"/>
      <w:r w:rsidR="00EE409F" w:rsidRPr="00EE409F">
        <w:t xml:space="preserve"> R333 664.69 (FA 2) and the second loan was a </w:t>
      </w:r>
      <w:proofErr w:type="spellStart"/>
      <w:r w:rsidR="00EE409F" w:rsidRPr="00EE409F">
        <w:t>covid</w:t>
      </w:r>
      <w:proofErr w:type="spellEnd"/>
      <w:r w:rsidR="00EE409F" w:rsidRPr="00EE409F">
        <w:t xml:space="preserve"> emergency loan advanced in June 2020 for R3 580 696, 02.</w:t>
      </w:r>
    </w:p>
    <w:p w14:paraId="2C30B110" w14:textId="173DE635" w:rsidR="00EE409F" w:rsidRPr="00EE409F" w:rsidRDefault="00140AB1" w:rsidP="00140AB1">
      <w:pPr>
        <w:pStyle w:val="ListLevel1"/>
        <w:numPr>
          <w:ilvl w:val="0"/>
          <w:numId w:val="0"/>
        </w:numPr>
        <w:tabs>
          <w:tab w:val="left" w:pos="851"/>
        </w:tabs>
        <w:ind w:left="851" w:hanging="851"/>
      </w:pPr>
      <w:r w:rsidRPr="00EE409F">
        <w:t>4.</w:t>
      </w:r>
      <w:r w:rsidRPr="00EE409F">
        <w:tab/>
      </w:r>
      <w:r w:rsidR="00EE409F" w:rsidRPr="00EE409F">
        <w:t xml:space="preserve">The respondents were both members of the Close Corporation.  They had a fallout on management of the business and in 2016, the second respondent sold his </w:t>
      </w:r>
      <w:r w:rsidR="00371F73">
        <w:t xml:space="preserve">member </w:t>
      </w:r>
      <w:r w:rsidR="00EE409F" w:rsidRPr="00EE409F">
        <w:t xml:space="preserve">interest to the first respondent.  </w:t>
      </w:r>
    </w:p>
    <w:p w14:paraId="63057E90" w14:textId="05CFFD87" w:rsidR="00EE409F" w:rsidRPr="00EE409F" w:rsidRDefault="00140AB1" w:rsidP="00140AB1">
      <w:pPr>
        <w:pStyle w:val="ListLevel1"/>
        <w:numPr>
          <w:ilvl w:val="0"/>
          <w:numId w:val="0"/>
        </w:numPr>
        <w:tabs>
          <w:tab w:val="left" w:pos="851"/>
        </w:tabs>
        <w:ind w:left="851" w:hanging="851"/>
      </w:pPr>
      <w:r w:rsidRPr="00EE409F">
        <w:t>5.</w:t>
      </w:r>
      <w:r w:rsidRPr="00EE409F">
        <w:tab/>
      </w:r>
      <w:r w:rsidR="00EE409F" w:rsidRPr="00EE409F">
        <w:t xml:space="preserve">The second respondent opposes this application, he denied being bound </w:t>
      </w:r>
      <w:r w:rsidR="00371F73">
        <w:t xml:space="preserve">any longer by the terms of </w:t>
      </w:r>
      <w:r w:rsidR="00EE409F" w:rsidRPr="00EE409F">
        <w:t xml:space="preserve">the </w:t>
      </w:r>
      <w:proofErr w:type="spellStart"/>
      <w:r w:rsidR="00EE409F" w:rsidRPr="00EE409F">
        <w:t>suretyship</w:t>
      </w:r>
      <w:proofErr w:type="spellEnd"/>
      <w:r w:rsidR="00EE409F" w:rsidRPr="00EE409F">
        <w:t xml:space="preserve"> agreements and he raised a point in </w:t>
      </w:r>
      <w:proofErr w:type="spellStart"/>
      <w:r w:rsidR="00EE409F" w:rsidRPr="00EE409F">
        <w:t>limine</w:t>
      </w:r>
      <w:proofErr w:type="spellEnd"/>
      <w:r w:rsidR="00EE409F" w:rsidRPr="00EE409F">
        <w:t xml:space="preserve">, contending that the applicants ought not to have proceeded by way of motion, they were aware that there </w:t>
      </w:r>
      <w:r w:rsidR="002D73BE" w:rsidRPr="00EE409F">
        <w:t>exist</w:t>
      </w:r>
      <w:r w:rsidR="00EE409F" w:rsidRPr="00EE409F">
        <w:t xml:space="preserve"> material </w:t>
      </w:r>
      <w:r w:rsidR="00EE409F" w:rsidRPr="00EE409F">
        <w:lastRenderedPageBreak/>
        <w:t>disputes of fact between the parties</w:t>
      </w:r>
      <w:r w:rsidR="00371F73">
        <w:t xml:space="preserve">.  </w:t>
      </w:r>
      <w:r w:rsidR="00EC4BF5">
        <w:t>It is further contended that the applicants in fact apply for summary judgment in these motion proceedings.  The second respondent argued for a dismissal or a referral to trial.</w:t>
      </w:r>
    </w:p>
    <w:p w14:paraId="64D54CA7" w14:textId="77777777" w:rsidR="00EE409F" w:rsidRPr="00EE409F" w:rsidRDefault="00EE409F" w:rsidP="00EE409F">
      <w:pPr>
        <w:pStyle w:val="Heading1"/>
      </w:pPr>
      <w:r w:rsidRPr="00EE409F">
        <w:t>APPLICANTS SUBMISSIONS</w:t>
      </w:r>
    </w:p>
    <w:p w14:paraId="65EA838C" w14:textId="21564634" w:rsidR="00EE409F" w:rsidRPr="00EE409F" w:rsidRDefault="00140AB1" w:rsidP="00140AB1">
      <w:pPr>
        <w:pStyle w:val="ListLevel1"/>
        <w:numPr>
          <w:ilvl w:val="0"/>
          <w:numId w:val="0"/>
        </w:numPr>
        <w:tabs>
          <w:tab w:val="left" w:pos="851"/>
        </w:tabs>
        <w:ind w:left="851" w:hanging="851"/>
      </w:pPr>
      <w:r w:rsidRPr="00EE409F">
        <w:t>6.</w:t>
      </w:r>
      <w:r w:rsidRPr="00EE409F">
        <w:tab/>
      </w:r>
      <w:r w:rsidR="00EE409F" w:rsidRPr="00EE409F">
        <w:t xml:space="preserve">Advocate </w:t>
      </w:r>
      <w:proofErr w:type="spellStart"/>
      <w:r w:rsidR="00EE409F" w:rsidRPr="00EE409F">
        <w:t>Mathiba</w:t>
      </w:r>
      <w:proofErr w:type="spellEnd"/>
      <w:r w:rsidR="00EE409F" w:rsidRPr="00EE409F">
        <w:t xml:space="preserve"> appeared for the applicant and informed the court that the second respondent raises disputes of facts but </w:t>
      </w:r>
      <w:r w:rsidR="00EC4BF5">
        <w:t xml:space="preserve">submitted that </w:t>
      </w:r>
      <w:r w:rsidR="00EE409F" w:rsidRPr="00EE409F">
        <w:t>it is unclear as to where exactly the dispute arises.</w:t>
      </w:r>
    </w:p>
    <w:p w14:paraId="70C58CBD" w14:textId="650C3B92" w:rsidR="00EE409F" w:rsidRPr="00EE409F" w:rsidRDefault="00140AB1" w:rsidP="00140AB1">
      <w:pPr>
        <w:pStyle w:val="ListLevel1"/>
        <w:numPr>
          <w:ilvl w:val="0"/>
          <w:numId w:val="0"/>
        </w:numPr>
        <w:tabs>
          <w:tab w:val="left" w:pos="851"/>
        </w:tabs>
        <w:ind w:left="851" w:hanging="851"/>
      </w:pPr>
      <w:r w:rsidRPr="00EE409F">
        <w:t>7.</w:t>
      </w:r>
      <w:r w:rsidRPr="00EE409F">
        <w:tab/>
      </w:r>
      <w:r w:rsidR="00EE409F" w:rsidRPr="00EE409F">
        <w:t xml:space="preserve">Counsel submitted that the disputes can be resolved on the papers, the applicant claims repayments based on </w:t>
      </w:r>
      <w:proofErr w:type="spellStart"/>
      <w:r w:rsidR="00EE409F" w:rsidRPr="00EE409F">
        <w:t>suretyship</w:t>
      </w:r>
      <w:proofErr w:type="spellEnd"/>
      <w:r w:rsidR="00EE409F" w:rsidRPr="00EE409F">
        <w:t xml:space="preserve"> agreements and the related clauses in the agreements.</w:t>
      </w:r>
      <w:r w:rsidR="00EE409F" w:rsidRPr="00EE409F">
        <w:rPr>
          <w:rStyle w:val="FootnoteReference"/>
          <w:rFonts w:cs="Arial"/>
          <w:sz w:val="24"/>
          <w:szCs w:val="24"/>
        </w:rPr>
        <w:footnoteReference w:id="2"/>
      </w:r>
      <w:r w:rsidR="00EE409F" w:rsidRPr="00EE409F">
        <w:t xml:space="preserve"> The applicant has included in the papers a certificate of balance as it is obliged to do as proof of outstanding debts. </w:t>
      </w:r>
    </w:p>
    <w:p w14:paraId="65B52AAA" w14:textId="33EB4D96" w:rsidR="00EE409F" w:rsidRPr="00EE409F" w:rsidRDefault="00140AB1" w:rsidP="00140AB1">
      <w:pPr>
        <w:pStyle w:val="ListLevel1"/>
        <w:numPr>
          <w:ilvl w:val="0"/>
          <w:numId w:val="0"/>
        </w:numPr>
        <w:tabs>
          <w:tab w:val="left" w:pos="851"/>
        </w:tabs>
        <w:ind w:left="851" w:hanging="851"/>
      </w:pPr>
      <w:r w:rsidRPr="00EE409F">
        <w:t>8.</w:t>
      </w:r>
      <w:r w:rsidRPr="00EE409F">
        <w:tab/>
      </w:r>
      <w:r w:rsidR="00EE409F" w:rsidRPr="00EE409F">
        <w:t xml:space="preserve">Counsel submitted that the second respondent signed an unlimited </w:t>
      </w:r>
      <w:proofErr w:type="spellStart"/>
      <w:r w:rsidR="00EE409F" w:rsidRPr="00EE409F">
        <w:t>surety</w:t>
      </w:r>
      <w:r w:rsidR="0088238F">
        <w:t>ship</w:t>
      </w:r>
      <w:proofErr w:type="spellEnd"/>
      <w:r w:rsidR="00EE409F" w:rsidRPr="00EE409F">
        <w:t xml:space="preserve"> agreement for all debts present and in the future.</w:t>
      </w:r>
    </w:p>
    <w:p w14:paraId="7232AD45" w14:textId="69B7314D" w:rsidR="00EE409F" w:rsidRPr="00EE409F" w:rsidRDefault="00140AB1" w:rsidP="00140AB1">
      <w:pPr>
        <w:pStyle w:val="ListLevel1"/>
        <w:numPr>
          <w:ilvl w:val="0"/>
          <w:numId w:val="0"/>
        </w:numPr>
        <w:tabs>
          <w:tab w:val="left" w:pos="851"/>
        </w:tabs>
        <w:ind w:left="851" w:hanging="851"/>
      </w:pPr>
      <w:r w:rsidRPr="00EE409F">
        <w:t>9.</w:t>
      </w:r>
      <w:r w:rsidRPr="00EE409F">
        <w:tab/>
      </w:r>
      <w:r w:rsidR="00EE409F" w:rsidRPr="00EE409F">
        <w:t xml:space="preserve">Furthermore, it was submitted that the second respondent raised mutually destructive defences wherein he argued that he did not sign </w:t>
      </w:r>
      <w:r w:rsidR="00EE409F" w:rsidRPr="00EE409F">
        <w:lastRenderedPageBreak/>
        <w:t xml:space="preserve">the </w:t>
      </w:r>
      <w:proofErr w:type="spellStart"/>
      <w:r w:rsidR="00EE409F" w:rsidRPr="00EE409F">
        <w:t>surety</w:t>
      </w:r>
      <w:r w:rsidR="0088238F">
        <w:t>ship</w:t>
      </w:r>
      <w:proofErr w:type="spellEnd"/>
      <w:r w:rsidR="00EE409F" w:rsidRPr="00EE409F">
        <w:t xml:space="preserve"> agreement whilst contending that he was released from the agreement</w:t>
      </w:r>
      <w:r w:rsidR="0088238F">
        <w:t>.  H</w:t>
      </w:r>
      <w:r w:rsidR="00EE409F" w:rsidRPr="00EE409F">
        <w:t xml:space="preserve">e has not pleaded in the alternative.  </w:t>
      </w:r>
      <w:r w:rsidR="00EC4BF5">
        <w:t xml:space="preserve">Counsel </w:t>
      </w:r>
      <w:r w:rsidR="00EE409F" w:rsidRPr="00EE409F">
        <w:t xml:space="preserve">submitted that the second respondent vacillates and has no defence. </w:t>
      </w:r>
    </w:p>
    <w:p w14:paraId="1D2E3764" w14:textId="2F018E27" w:rsidR="00EE409F" w:rsidRPr="00EE409F" w:rsidRDefault="00140AB1" w:rsidP="00140AB1">
      <w:pPr>
        <w:pStyle w:val="ListLevel1"/>
        <w:numPr>
          <w:ilvl w:val="0"/>
          <w:numId w:val="0"/>
        </w:numPr>
        <w:tabs>
          <w:tab w:val="left" w:pos="851"/>
        </w:tabs>
        <w:ind w:left="851" w:hanging="851"/>
      </w:pPr>
      <w:r w:rsidRPr="00EE409F">
        <w:t>10.</w:t>
      </w:r>
      <w:r w:rsidRPr="00EE409F">
        <w:tab/>
      </w:r>
      <w:r w:rsidR="00EE409F" w:rsidRPr="00EE409F">
        <w:t xml:space="preserve">Counsel </w:t>
      </w:r>
      <w:r w:rsidR="00A278AF" w:rsidRPr="00EE409F">
        <w:t>proffered</w:t>
      </w:r>
      <w:r w:rsidR="00EE409F" w:rsidRPr="00EE409F">
        <w:t xml:space="preserve"> that the second respondent relies on a settlement agreement he concluded with the first respondent when he sold his interest to her and therefore contends that he is released from the </w:t>
      </w:r>
      <w:proofErr w:type="spellStart"/>
      <w:r w:rsidR="00EE409F" w:rsidRPr="00EE409F">
        <w:t>suretyship</w:t>
      </w:r>
      <w:proofErr w:type="spellEnd"/>
      <w:r w:rsidR="00EE409F" w:rsidRPr="00EE409F">
        <w:t xml:space="preserve"> agreement.</w:t>
      </w:r>
    </w:p>
    <w:p w14:paraId="110FAC9B" w14:textId="1D610B77" w:rsidR="00EE409F" w:rsidRPr="00EE409F" w:rsidRDefault="00140AB1" w:rsidP="00140AB1">
      <w:pPr>
        <w:pStyle w:val="ListLevel1"/>
        <w:numPr>
          <w:ilvl w:val="0"/>
          <w:numId w:val="0"/>
        </w:numPr>
        <w:tabs>
          <w:tab w:val="left" w:pos="851"/>
        </w:tabs>
        <w:ind w:left="851" w:hanging="851"/>
      </w:pPr>
      <w:r w:rsidRPr="00EE409F">
        <w:t>11.</w:t>
      </w:r>
      <w:r w:rsidRPr="00EE409F">
        <w:tab/>
      </w:r>
      <w:r w:rsidR="00EE409F" w:rsidRPr="00EE409F">
        <w:t xml:space="preserve">Ms </w:t>
      </w:r>
      <w:proofErr w:type="spellStart"/>
      <w:r w:rsidR="00EE409F" w:rsidRPr="00EE409F">
        <w:t>Mathiba</w:t>
      </w:r>
      <w:proofErr w:type="spellEnd"/>
      <w:r w:rsidR="00EE409F" w:rsidRPr="00EE409F">
        <w:t xml:space="preserve"> argued that the applicant is not a party to the settlement agreement and that the second respondent has not presented any written release from the applicant as proof of his release.</w:t>
      </w:r>
    </w:p>
    <w:p w14:paraId="215D6F68" w14:textId="5C1B4633" w:rsidR="00EE409F" w:rsidRPr="00EE409F" w:rsidRDefault="00140AB1" w:rsidP="00140AB1">
      <w:pPr>
        <w:pStyle w:val="ListLevel1"/>
        <w:numPr>
          <w:ilvl w:val="0"/>
          <w:numId w:val="0"/>
        </w:numPr>
        <w:tabs>
          <w:tab w:val="left" w:pos="851"/>
        </w:tabs>
        <w:ind w:left="851" w:hanging="851"/>
      </w:pPr>
      <w:r w:rsidRPr="00EE409F">
        <w:t>12.</w:t>
      </w:r>
      <w:r w:rsidRPr="00EE409F">
        <w:tab/>
      </w:r>
      <w:r w:rsidR="0088238F">
        <w:t xml:space="preserve">Furthermore, </w:t>
      </w:r>
      <w:r w:rsidR="00EE409F" w:rsidRPr="00EE409F">
        <w:t>the agreements included non-variation clauses, unless in writing and signed by the applicant</w:t>
      </w:r>
      <w:r w:rsidR="0088238F">
        <w:t>,</w:t>
      </w:r>
      <w:r w:rsidR="00EE409F" w:rsidRPr="00EE409F">
        <w:t xml:space="preserve"> no variation is valid.</w:t>
      </w:r>
    </w:p>
    <w:p w14:paraId="5E565DC4" w14:textId="410E4935" w:rsidR="00EE409F" w:rsidRDefault="00140AB1" w:rsidP="00140AB1">
      <w:pPr>
        <w:pStyle w:val="ListLevel1"/>
        <w:numPr>
          <w:ilvl w:val="0"/>
          <w:numId w:val="0"/>
        </w:numPr>
        <w:tabs>
          <w:tab w:val="left" w:pos="851"/>
        </w:tabs>
        <w:ind w:left="851" w:hanging="851"/>
      </w:pPr>
      <w:r>
        <w:t>13.</w:t>
      </w:r>
      <w:r>
        <w:tab/>
      </w:r>
      <w:r w:rsidR="00EE409F" w:rsidRPr="00EE409F">
        <w:t>It was argued that the second respondent has not presented any written “release” nor any written “proof of variations” to the agreement, from the applicant.</w:t>
      </w:r>
    </w:p>
    <w:p w14:paraId="27DE067E" w14:textId="4F5D157D" w:rsidR="00EE409F" w:rsidRPr="00EE409F" w:rsidRDefault="00140AB1" w:rsidP="00140AB1">
      <w:pPr>
        <w:pStyle w:val="ListLevel1"/>
        <w:widowControl w:val="0"/>
        <w:numPr>
          <w:ilvl w:val="0"/>
          <w:numId w:val="0"/>
        </w:numPr>
        <w:tabs>
          <w:tab w:val="left" w:pos="851"/>
        </w:tabs>
        <w:ind w:left="851" w:hanging="851"/>
      </w:pPr>
      <w:r w:rsidRPr="00EE409F">
        <w:t>14.</w:t>
      </w:r>
      <w:r w:rsidRPr="00EE409F">
        <w:tab/>
      </w:r>
      <w:r w:rsidR="00EE409F" w:rsidRPr="00EE409F">
        <w:t xml:space="preserve">Ms </w:t>
      </w:r>
      <w:proofErr w:type="spellStart"/>
      <w:r w:rsidR="00EE409F" w:rsidRPr="00EE409F">
        <w:t>Mathiba</w:t>
      </w:r>
      <w:proofErr w:type="spellEnd"/>
      <w:r w:rsidR="00EE409F" w:rsidRPr="00EE409F">
        <w:t xml:space="preserve"> referred the court to the dicta in </w:t>
      </w:r>
      <w:r w:rsidR="00EE409F" w:rsidRPr="00EE409F">
        <w:rPr>
          <w:b/>
        </w:rPr>
        <w:t>PLASCON EVANS PAINTS (TVL) v VAN RIEBEECK PAINTS (PTY) LTD</w:t>
      </w:r>
      <w:r w:rsidR="00EE409F" w:rsidRPr="00EE409F">
        <w:t>,</w:t>
      </w:r>
      <w:r w:rsidR="00EE409F" w:rsidRPr="00EE409F">
        <w:rPr>
          <w:rStyle w:val="FootnoteReference"/>
          <w:rFonts w:cs="Arial"/>
          <w:b/>
          <w:bCs/>
          <w:sz w:val="24"/>
          <w:szCs w:val="24"/>
        </w:rPr>
        <w:footnoteReference w:id="3"/>
      </w:r>
      <w:r w:rsidR="00EE409F" w:rsidRPr="00EE409F">
        <w:t xml:space="preserve"> and</w:t>
      </w:r>
      <w:r w:rsidR="00EE409F" w:rsidRPr="00EE409F">
        <w:rPr>
          <w:b/>
        </w:rPr>
        <w:t xml:space="preserve"> </w:t>
      </w:r>
      <w:r w:rsidR="00EE409F" w:rsidRPr="00EE409F">
        <w:rPr>
          <w:b/>
        </w:rPr>
        <w:lastRenderedPageBreak/>
        <w:t>NATIONAL DIRECTOR OF PUBLIC PROSECUTIONS v ZUMA</w:t>
      </w:r>
      <w:r w:rsidR="00EE409F" w:rsidRPr="00EE409F">
        <w:rPr>
          <w:rStyle w:val="FootnoteReference"/>
          <w:rFonts w:cs="Arial"/>
          <w:bCs/>
          <w:sz w:val="24"/>
          <w:szCs w:val="24"/>
        </w:rPr>
        <w:footnoteReference w:id="4"/>
      </w:r>
    </w:p>
    <w:p w14:paraId="0BABD3BD" w14:textId="77777777" w:rsidR="00EE409F" w:rsidRPr="0088238F" w:rsidRDefault="00EE409F" w:rsidP="00EE409F">
      <w:pPr>
        <w:pStyle w:val="MSQuote"/>
        <w:rPr>
          <w:u w:val="single"/>
        </w:rPr>
      </w:pPr>
      <w:r w:rsidRPr="00EE409F">
        <w:t xml:space="preserve">“It is correct that, where in proceedings on notice of motion disputes of fact have arisen on the affidavits, a final order, whether it be an interdict or some other form of relief maybe be granted if those facts averred in the applicant’s affidavit which have been admitted by the respondent, together with the facts alleged by the respondent justify such an order.  The power of the court to give such relief on the papers before it is not, however confined to such a situation.  </w:t>
      </w:r>
      <w:r w:rsidRPr="0088238F">
        <w:rPr>
          <w:u w:val="single"/>
        </w:rPr>
        <w:t>In certain instances, the denial by the respondent of a fact alleged by the applicant may not be such as to raise a real, genuine, or bona fide dispute of fact….</w:t>
      </w:r>
    </w:p>
    <w:p w14:paraId="59E6A378" w14:textId="2B8DF3EA" w:rsidR="00EE409F" w:rsidRPr="00EE409F" w:rsidRDefault="00EE409F" w:rsidP="00EE409F">
      <w:pPr>
        <w:pStyle w:val="MSQuote"/>
      </w:pPr>
      <w:r w:rsidRPr="00EE409F">
        <w:t xml:space="preserve">… </w:t>
      </w:r>
      <w:proofErr w:type="gramStart"/>
      <w:r w:rsidRPr="00EE409F">
        <w:t>where</w:t>
      </w:r>
      <w:proofErr w:type="gramEnd"/>
      <w:r w:rsidRPr="00EE409F">
        <w:t xml:space="preserve"> allegations or denials of the respondent are so farfetched or clearly untenable that the court is justified in rejecting them merely on the papers</w:t>
      </w:r>
      <w:r w:rsidR="002D73BE" w:rsidRPr="00EE409F">
        <w:t>.”</w:t>
      </w:r>
      <w:r w:rsidRPr="00EE409F">
        <w:t xml:space="preserve">  </w:t>
      </w:r>
      <w:r w:rsidRPr="0088238F">
        <w:rPr>
          <w:i w:val="0"/>
          <w:iCs w:val="0"/>
        </w:rPr>
        <w:t xml:space="preserve">Furthermore, the Supreme Court of Appeals in the </w:t>
      </w:r>
      <w:proofErr w:type="spellStart"/>
      <w:r w:rsidRPr="0088238F">
        <w:rPr>
          <w:i w:val="0"/>
          <w:iCs w:val="0"/>
        </w:rPr>
        <w:t>Zuma</w:t>
      </w:r>
      <w:proofErr w:type="spellEnd"/>
      <w:r w:rsidRPr="0088238F">
        <w:rPr>
          <w:i w:val="0"/>
          <w:iCs w:val="0"/>
        </w:rPr>
        <w:t xml:space="preserve"> case</w:t>
      </w:r>
      <w:r w:rsidR="0088238F">
        <w:rPr>
          <w:i w:val="0"/>
          <w:iCs w:val="0"/>
        </w:rPr>
        <w:t xml:space="preserve"> supra</w:t>
      </w:r>
      <w:r w:rsidRPr="0088238F">
        <w:rPr>
          <w:i w:val="0"/>
          <w:iCs w:val="0"/>
        </w:rPr>
        <w:t xml:space="preserve"> stated</w:t>
      </w:r>
      <w:r w:rsidRPr="00EE409F">
        <w:t>:</w:t>
      </w:r>
    </w:p>
    <w:p w14:paraId="001A1A13" w14:textId="4BC4CA9E" w:rsidR="00EE409F" w:rsidRPr="00EE409F" w:rsidRDefault="00EE409F" w:rsidP="00EE409F">
      <w:pPr>
        <w:pStyle w:val="MSQuote"/>
      </w:pPr>
      <w:r w:rsidRPr="00EE409F">
        <w:t>“</w:t>
      </w:r>
      <w:proofErr w:type="gramStart"/>
      <w:r w:rsidRPr="00EE409F">
        <w:t>if</w:t>
      </w:r>
      <w:proofErr w:type="gramEnd"/>
      <w:r w:rsidRPr="00EE409F">
        <w:t xml:space="preserve"> the respondent’s version consists of bald, or </w:t>
      </w:r>
      <w:proofErr w:type="spellStart"/>
      <w:r w:rsidRPr="00EE409F">
        <w:t>uncredi</w:t>
      </w:r>
      <w:r>
        <w:t>t</w:t>
      </w:r>
      <w:r w:rsidRPr="00EE409F">
        <w:t>worthy</w:t>
      </w:r>
      <w:proofErr w:type="spellEnd"/>
      <w:r w:rsidRPr="00EE409F">
        <w:t xml:space="preserve"> denials, raises fictitious disputes of fact, is palpably implausible, </w:t>
      </w:r>
      <w:r w:rsidR="002D73BE" w:rsidRPr="00EE409F">
        <w:t>farfetched,</w:t>
      </w:r>
      <w:r w:rsidRPr="00EE409F">
        <w:t xml:space="preserve"> or so clearly untenable that the court is justified in rejecting them merely on the papers.</w:t>
      </w:r>
      <w:r w:rsidRPr="00EE409F">
        <w:rPr>
          <w:rStyle w:val="FootnoteReference"/>
          <w:rFonts w:cs="Arial"/>
          <w:sz w:val="24"/>
          <w:szCs w:val="24"/>
        </w:rPr>
        <w:footnoteReference w:id="5"/>
      </w:r>
    </w:p>
    <w:p w14:paraId="0466F876" w14:textId="4C7C15CC" w:rsidR="00EE409F" w:rsidRPr="00EE409F" w:rsidRDefault="00140AB1" w:rsidP="00140AB1">
      <w:pPr>
        <w:pStyle w:val="ListLevel1"/>
        <w:numPr>
          <w:ilvl w:val="0"/>
          <w:numId w:val="0"/>
        </w:numPr>
        <w:tabs>
          <w:tab w:val="left" w:pos="851"/>
        </w:tabs>
        <w:ind w:left="851" w:hanging="851"/>
      </w:pPr>
      <w:r w:rsidRPr="00EE409F">
        <w:t>15.</w:t>
      </w:r>
      <w:r w:rsidRPr="00EE409F">
        <w:tab/>
      </w:r>
      <w:r w:rsidR="00EE409F" w:rsidRPr="00EE409F">
        <w:t>Counsel submitted that the second respondent’s defence is implausible far</w:t>
      </w:r>
      <w:r w:rsidR="00EE409F">
        <w:t>-</w:t>
      </w:r>
      <w:r w:rsidR="00EE409F" w:rsidRPr="00EE409F">
        <w:t>fetched and improbable.  The court ought to reject his version and can grant the order prayed on the papers before it.</w:t>
      </w:r>
    </w:p>
    <w:p w14:paraId="7D568B20" w14:textId="1914C2A6" w:rsidR="00EE409F" w:rsidRDefault="00140AB1" w:rsidP="00140AB1">
      <w:pPr>
        <w:pStyle w:val="ListLevel1"/>
        <w:numPr>
          <w:ilvl w:val="0"/>
          <w:numId w:val="0"/>
        </w:numPr>
        <w:tabs>
          <w:tab w:val="left" w:pos="851"/>
        </w:tabs>
        <w:ind w:left="851" w:hanging="851"/>
      </w:pPr>
      <w:r>
        <w:t>16.</w:t>
      </w:r>
      <w:r>
        <w:tab/>
      </w:r>
      <w:r w:rsidR="00EE409F" w:rsidRPr="00EE409F">
        <w:t xml:space="preserve">Counsel referred the court to clauses 17.2 and 17.3 of the </w:t>
      </w:r>
      <w:proofErr w:type="spellStart"/>
      <w:r w:rsidR="00EE409F" w:rsidRPr="00EE409F">
        <w:t>suretyship</w:t>
      </w:r>
      <w:proofErr w:type="spellEnd"/>
      <w:r w:rsidR="00EE409F" w:rsidRPr="00EE409F">
        <w:t xml:space="preserve"> agreements which provides for agreements to be extinguished, and </w:t>
      </w:r>
      <w:r w:rsidR="00EE409F" w:rsidRPr="00EE409F">
        <w:lastRenderedPageBreak/>
        <w:t>argued that the second respondent had five years, since he sold his member interest in the Close Corporation, in which he could have used those clauses to confirm his release, the respondents only raise this issue of release now after the motion papers were filed.</w:t>
      </w:r>
    </w:p>
    <w:p w14:paraId="2EB08080" w14:textId="03FCECCA" w:rsidR="0088238F" w:rsidRPr="00EE409F" w:rsidRDefault="00140AB1" w:rsidP="00140AB1">
      <w:pPr>
        <w:pStyle w:val="ListLevel1"/>
        <w:numPr>
          <w:ilvl w:val="0"/>
          <w:numId w:val="0"/>
        </w:numPr>
        <w:tabs>
          <w:tab w:val="left" w:pos="851"/>
        </w:tabs>
        <w:ind w:left="851" w:hanging="851"/>
      </w:pPr>
      <w:r w:rsidRPr="00EE409F">
        <w:t>17.</w:t>
      </w:r>
      <w:r w:rsidRPr="00EE409F">
        <w:tab/>
      </w:r>
      <w:r w:rsidR="0088238F">
        <w:t xml:space="preserve">Counsel argued that the second respondent must decide </w:t>
      </w:r>
      <w:r w:rsidR="000F70EB">
        <w:t xml:space="preserve">as to whether he was released from the </w:t>
      </w:r>
      <w:proofErr w:type="spellStart"/>
      <w:r w:rsidR="000F70EB">
        <w:t>suretyship</w:t>
      </w:r>
      <w:proofErr w:type="spellEnd"/>
      <w:r w:rsidR="000F70EB">
        <w:t xml:space="preserve"> </w:t>
      </w:r>
      <w:r w:rsidR="002D73BE">
        <w:t>agreement,</w:t>
      </w:r>
      <w:r w:rsidR="000F70EB">
        <w:t xml:space="preserve"> or he did not sign a </w:t>
      </w:r>
      <w:proofErr w:type="spellStart"/>
      <w:r w:rsidR="000F70EB">
        <w:t>suretyship</w:t>
      </w:r>
      <w:proofErr w:type="spellEnd"/>
      <w:r w:rsidR="000F70EB">
        <w:t xml:space="preserve"> agreement.</w:t>
      </w:r>
    </w:p>
    <w:p w14:paraId="7C24450A" w14:textId="77777777" w:rsidR="00EE409F" w:rsidRPr="00EE409F" w:rsidRDefault="00EE409F" w:rsidP="00EE409F">
      <w:pPr>
        <w:pStyle w:val="Heading1"/>
      </w:pPr>
      <w:r w:rsidRPr="00EE409F">
        <w:t>THE SECOND RESPONDENT’S SUBMISSIONS</w:t>
      </w:r>
    </w:p>
    <w:p w14:paraId="167998C8" w14:textId="09CFCD20" w:rsidR="00EE409F" w:rsidRPr="00EE409F" w:rsidRDefault="00140AB1" w:rsidP="00140AB1">
      <w:pPr>
        <w:pStyle w:val="ListLevel1"/>
        <w:numPr>
          <w:ilvl w:val="0"/>
          <w:numId w:val="0"/>
        </w:numPr>
        <w:tabs>
          <w:tab w:val="left" w:pos="851"/>
        </w:tabs>
        <w:ind w:left="851" w:hanging="851"/>
      </w:pPr>
      <w:r w:rsidRPr="00EE409F">
        <w:t>18.</w:t>
      </w:r>
      <w:r w:rsidRPr="00EE409F">
        <w:tab/>
      </w:r>
      <w:r w:rsidR="00EE409F" w:rsidRPr="00EE409F">
        <w:t xml:space="preserve">Ms Mouton appeared for the second respondent and submitted that the second respondent is not liable as surety under either of the two agreements which the applicants rely on.  Counsel submitted that he has admitted to signing the </w:t>
      </w:r>
      <w:proofErr w:type="spellStart"/>
      <w:r w:rsidR="00EE409F" w:rsidRPr="00EE409F">
        <w:t>suretyship</w:t>
      </w:r>
      <w:proofErr w:type="spellEnd"/>
      <w:r w:rsidR="00EE409F" w:rsidRPr="00EE409F">
        <w:t xml:space="preserve"> agreement.</w:t>
      </w:r>
    </w:p>
    <w:p w14:paraId="51E6E5C8" w14:textId="31FE74B3" w:rsidR="00EE409F" w:rsidRPr="00EE409F" w:rsidRDefault="00140AB1" w:rsidP="00140AB1">
      <w:pPr>
        <w:pStyle w:val="ListLevel1"/>
        <w:numPr>
          <w:ilvl w:val="0"/>
          <w:numId w:val="0"/>
        </w:numPr>
        <w:tabs>
          <w:tab w:val="left" w:pos="851"/>
        </w:tabs>
        <w:ind w:left="851" w:hanging="851"/>
      </w:pPr>
      <w:r w:rsidRPr="00EE409F">
        <w:t>19.</w:t>
      </w:r>
      <w:r w:rsidRPr="00EE409F">
        <w:tab/>
      </w:r>
      <w:r w:rsidR="00EE409F" w:rsidRPr="00EE409F">
        <w:t xml:space="preserve">The evidence is that the second respondent was “released from the </w:t>
      </w:r>
      <w:proofErr w:type="spellStart"/>
      <w:r w:rsidR="00EE409F" w:rsidRPr="00EE409F">
        <w:t>suretyship</w:t>
      </w:r>
      <w:proofErr w:type="spellEnd"/>
      <w:r w:rsidR="00EE409F" w:rsidRPr="00EE409F">
        <w:t>” agreement, when the respondents concluded a settlement agreement</w:t>
      </w:r>
      <w:r w:rsidR="000F70EB">
        <w:t xml:space="preserve"> between them when he sold his member interest in the principal debtor.  That agreement </w:t>
      </w:r>
      <w:r w:rsidR="00EE409F" w:rsidRPr="00EE409F">
        <w:t>provide</w:t>
      </w:r>
      <w:r w:rsidR="000F70EB">
        <w:t>d</w:t>
      </w:r>
      <w:r w:rsidR="00EE409F" w:rsidRPr="00EE409F">
        <w:t xml:space="preserve"> a value for the member interest that was payable by the second to the first respondent and </w:t>
      </w:r>
      <w:r w:rsidR="00EE409F" w:rsidRPr="00EE409F">
        <w:lastRenderedPageBreak/>
        <w:t>which confirmed his “exit” from the Close Corporation</w:t>
      </w:r>
      <w:r w:rsidR="000F70EB">
        <w:t>,</w:t>
      </w:r>
      <w:r w:rsidR="00EE409F" w:rsidRPr="00EE409F">
        <w:t xml:space="preserve"> the principal debtor.</w:t>
      </w:r>
      <w:r w:rsidR="00EE409F" w:rsidRPr="00EE409F">
        <w:rPr>
          <w:rStyle w:val="FootnoteReference"/>
          <w:rFonts w:cs="Arial"/>
          <w:sz w:val="24"/>
          <w:szCs w:val="24"/>
        </w:rPr>
        <w:footnoteReference w:id="6"/>
      </w:r>
    </w:p>
    <w:p w14:paraId="2209FB2E" w14:textId="11EFA7A1" w:rsidR="00EE409F" w:rsidRPr="00EE409F" w:rsidRDefault="00140AB1" w:rsidP="00140AB1">
      <w:pPr>
        <w:pStyle w:val="ListLevel1"/>
        <w:numPr>
          <w:ilvl w:val="0"/>
          <w:numId w:val="0"/>
        </w:numPr>
        <w:tabs>
          <w:tab w:val="left" w:pos="851"/>
        </w:tabs>
        <w:ind w:left="851" w:hanging="851"/>
      </w:pPr>
      <w:r w:rsidRPr="00EE409F">
        <w:t>20.</w:t>
      </w:r>
      <w:r w:rsidRPr="00EE409F">
        <w:tab/>
      </w:r>
      <w:r w:rsidR="00EE409F" w:rsidRPr="00EE409F">
        <w:t xml:space="preserve">Ms Mouton proffered that the first respondent handed over that settlement agreement to the applicants’ representatives, Paul Kirby and </w:t>
      </w:r>
      <w:proofErr w:type="spellStart"/>
      <w:r w:rsidR="00EE409F" w:rsidRPr="00EE409F">
        <w:t>Larushka</w:t>
      </w:r>
      <w:proofErr w:type="spellEnd"/>
      <w:r w:rsidR="00EE409F" w:rsidRPr="00EE409F">
        <w:t xml:space="preserve"> </w:t>
      </w:r>
      <w:proofErr w:type="spellStart"/>
      <w:r w:rsidR="00EE409F" w:rsidRPr="00EE409F">
        <w:t>Laloo</w:t>
      </w:r>
      <w:proofErr w:type="spellEnd"/>
      <w:r w:rsidR="00EE409F" w:rsidRPr="00EE409F">
        <w:t xml:space="preserve">, at their Constantia branch and that constituted a written notification as required by the </w:t>
      </w:r>
      <w:proofErr w:type="spellStart"/>
      <w:r w:rsidR="00EE409F" w:rsidRPr="00EE409F">
        <w:t>suretyship</w:t>
      </w:r>
      <w:proofErr w:type="spellEnd"/>
      <w:r w:rsidR="00EE409F" w:rsidRPr="00EE409F">
        <w:t xml:space="preserve"> agreement.</w:t>
      </w:r>
      <w:r w:rsidR="00EE409F" w:rsidRPr="00EE409F">
        <w:rPr>
          <w:rStyle w:val="FootnoteReference"/>
          <w:rFonts w:cs="Arial"/>
          <w:sz w:val="24"/>
          <w:szCs w:val="24"/>
        </w:rPr>
        <w:footnoteReference w:id="7"/>
      </w:r>
      <w:r w:rsidR="00EE409F" w:rsidRPr="00EE409F">
        <w:t xml:space="preserve"> Moreover, a change in membership in the Close Corporation was acknowledged in an email by Paul Kirby.</w:t>
      </w:r>
      <w:r w:rsidR="00EE409F" w:rsidRPr="00EE409F">
        <w:rPr>
          <w:rStyle w:val="FootnoteReference"/>
          <w:rFonts w:cs="Arial"/>
          <w:sz w:val="24"/>
          <w:szCs w:val="24"/>
        </w:rPr>
        <w:footnoteReference w:id="8"/>
      </w:r>
    </w:p>
    <w:p w14:paraId="49D1747F" w14:textId="42C81C3A" w:rsidR="000F70EB" w:rsidRDefault="00140AB1" w:rsidP="00140AB1">
      <w:pPr>
        <w:pStyle w:val="ListLevel1"/>
        <w:numPr>
          <w:ilvl w:val="0"/>
          <w:numId w:val="0"/>
        </w:numPr>
        <w:tabs>
          <w:tab w:val="left" w:pos="851"/>
        </w:tabs>
        <w:ind w:left="851" w:hanging="851"/>
      </w:pPr>
      <w:r>
        <w:t>21.</w:t>
      </w:r>
      <w:r>
        <w:tab/>
      </w:r>
      <w:r w:rsidR="00EE409F" w:rsidRPr="00EE409F">
        <w:t xml:space="preserve">Counsel submitted that the applicant’s bold denial of the second respondent’s release was telling, particularly in that her client even identified the personnel the respondents dealt with, the applicant fails to even support its papers with an affidavit from its employees.  Ms Mouton </w:t>
      </w:r>
      <w:r w:rsidR="00A278AF" w:rsidRPr="00EE409F">
        <w:t>proffered</w:t>
      </w:r>
      <w:r w:rsidR="00EE409F" w:rsidRPr="00EE409F">
        <w:t xml:space="preserve"> that from the papers </w:t>
      </w:r>
      <w:r w:rsidR="002D73BE" w:rsidRPr="00EE409F">
        <w:t>they</w:t>
      </w:r>
      <w:r w:rsidR="00EE409F" w:rsidRPr="00EE409F">
        <w:t xml:space="preserve"> are both still in the applicant’s employ</w:t>
      </w:r>
      <w:r w:rsidR="000F70EB">
        <w:t xml:space="preserve">.  </w:t>
      </w:r>
    </w:p>
    <w:p w14:paraId="73F5DF29" w14:textId="70CEA620" w:rsidR="00EE409F" w:rsidRPr="00EE409F" w:rsidRDefault="00140AB1" w:rsidP="00140AB1">
      <w:pPr>
        <w:pStyle w:val="ListLevel1"/>
        <w:numPr>
          <w:ilvl w:val="0"/>
          <w:numId w:val="0"/>
        </w:numPr>
        <w:tabs>
          <w:tab w:val="left" w:pos="851"/>
        </w:tabs>
        <w:ind w:left="851" w:hanging="851"/>
      </w:pPr>
      <w:r w:rsidRPr="00EE409F">
        <w:t>22.</w:t>
      </w:r>
      <w:r w:rsidRPr="00EE409F">
        <w:tab/>
      </w:r>
      <w:r w:rsidR="000F70EB">
        <w:t xml:space="preserve">Ms Mouton </w:t>
      </w:r>
      <w:r w:rsidR="00EE409F" w:rsidRPr="00EE409F">
        <w:t>submitted that this crucial evidence of the second respondent remains unchallenged.</w:t>
      </w:r>
    </w:p>
    <w:p w14:paraId="3A7F24BA" w14:textId="48F81872" w:rsidR="00EE409F" w:rsidRPr="00EE409F" w:rsidRDefault="00140AB1" w:rsidP="00140AB1">
      <w:pPr>
        <w:pStyle w:val="ListLevel1"/>
        <w:numPr>
          <w:ilvl w:val="0"/>
          <w:numId w:val="0"/>
        </w:numPr>
        <w:tabs>
          <w:tab w:val="left" w:pos="851"/>
        </w:tabs>
        <w:ind w:left="851" w:hanging="851"/>
      </w:pPr>
      <w:r w:rsidRPr="00EE409F">
        <w:lastRenderedPageBreak/>
        <w:t>23.</w:t>
      </w:r>
      <w:r w:rsidRPr="00EE409F">
        <w:tab/>
      </w:r>
      <w:r w:rsidR="00076256">
        <w:t>Furthermore, it was</w:t>
      </w:r>
      <w:r w:rsidR="00EE409F" w:rsidRPr="00EE409F">
        <w:t xml:space="preserve"> </w:t>
      </w:r>
      <w:r w:rsidR="002D73BE" w:rsidRPr="00EE409F">
        <w:t>submitted</w:t>
      </w:r>
      <w:r w:rsidR="002D73BE">
        <w:t>, the</w:t>
      </w:r>
      <w:r w:rsidR="00EE409F" w:rsidRPr="00EE409F">
        <w:t xml:space="preserve"> second respondent has no knowledge of the second loan advanced, he has never signed for it nor was he ever consulted about the grant of this very substantial amount</w:t>
      </w:r>
      <w:r w:rsidR="00076256">
        <w:t xml:space="preserve"> as a loan to the Close Corporation.</w:t>
      </w:r>
    </w:p>
    <w:p w14:paraId="3AB0BEB9" w14:textId="37D03117" w:rsidR="00EE409F" w:rsidRPr="00EE409F" w:rsidRDefault="00140AB1" w:rsidP="00140AB1">
      <w:pPr>
        <w:pStyle w:val="ListLevel1"/>
        <w:numPr>
          <w:ilvl w:val="0"/>
          <w:numId w:val="0"/>
        </w:numPr>
        <w:tabs>
          <w:tab w:val="left" w:pos="851"/>
        </w:tabs>
        <w:ind w:left="851" w:hanging="851"/>
      </w:pPr>
      <w:r w:rsidRPr="00EE409F">
        <w:t>24.</w:t>
      </w:r>
      <w:r w:rsidRPr="00EE409F">
        <w:tab/>
      </w:r>
      <w:r w:rsidR="00EE409F" w:rsidRPr="00EE409F">
        <w:t>Counsel alerted the court to the fact that the business which worked on a modest overdraft of R300</w:t>
      </w:r>
      <w:r w:rsidR="00076256">
        <w:t> </w:t>
      </w:r>
      <w:r w:rsidR="00EE409F" w:rsidRPr="00EE409F">
        <w:t>000</w:t>
      </w:r>
      <w:r w:rsidR="00076256">
        <w:t xml:space="preserve"> (the first loan)</w:t>
      </w:r>
      <w:r w:rsidR="00EE409F" w:rsidRPr="00EE409F">
        <w:t xml:space="preserve"> </w:t>
      </w:r>
      <w:r w:rsidR="00076256">
        <w:t>was</w:t>
      </w:r>
      <w:r w:rsidR="00EE409F" w:rsidRPr="00EE409F">
        <w:t xml:space="preserve"> suddenly granted a loan of over R3 million and the second respondent was not informed or even pursued for </w:t>
      </w:r>
      <w:r w:rsidR="00076256">
        <w:t>h</w:t>
      </w:r>
      <w:r w:rsidR="00EE409F" w:rsidRPr="00EE409F">
        <w:t>is acceptance of this liability.</w:t>
      </w:r>
    </w:p>
    <w:p w14:paraId="2991A02A" w14:textId="31BCECAB" w:rsidR="00EE409F" w:rsidRPr="00EE409F" w:rsidRDefault="00140AB1" w:rsidP="00140AB1">
      <w:pPr>
        <w:pStyle w:val="ListLevel2"/>
        <w:numPr>
          <w:ilvl w:val="0"/>
          <w:numId w:val="0"/>
        </w:numPr>
        <w:tabs>
          <w:tab w:val="left" w:pos="1701"/>
        </w:tabs>
        <w:ind w:left="1702" w:hanging="851"/>
      </w:pPr>
      <w:r w:rsidRPr="00EE409F">
        <w:t>24.1.</w:t>
      </w:r>
      <w:r w:rsidRPr="00EE409F">
        <w:tab/>
      </w:r>
      <w:r w:rsidR="00EE409F" w:rsidRPr="00EE409F">
        <w:tab/>
        <w:t>Counsel submitted that it can be argued that he was not pursued because he was no longer a surety.</w:t>
      </w:r>
    </w:p>
    <w:p w14:paraId="52BA46BF" w14:textId="0A4C71F8" w:rsidR="00EE409F" w:rsidRPr="00EE409F" w:rsidRDefault="00140AB1" w:rsidP="00140AB1">
      <w:pPr>
        <w:pStyle w:val="ListLevel1"/>
        <w:numPr>
          <w:ilvl w:val="0"/>
          <w:numId w:val="0"/>
        </w:numPr>
        <w:tabs>
          <w:tab w:val="left" w:pos="851"/>
        </w:tabs>
        <w:ind w:left="851" w:hanging="851"/>
      </w:pPr>
      <w:r w:rsidRPr="00EE409F">
        <w:t>25.</w:t>
      </w:r>
      <w:r w:rsidRPr="00EE409F">
        <w:tab/>
      </w:r>
      <w:r w:rsidR="00EE409F" w:rsidRPr="00EE409F">
        <w:t xml:space="preserve">Advocate Mouton submitted further that the agreement pertaining to the </w:t>
      </w:r>
      <w:proofErr w:type="spellStart"/>
      <w:r w:rsidR="00EE409F" w:rsidRPr="00EE409F">
        <w:t>covid</w:t>
      </w:r>
      <w:proofErr w:type="spellEnd"/>
      <w:r w:rsidR="00EE409F" w:rsidRPr="00EE409F">
        <w:t xml:space="preserve"> emergency loan for over R3 million was a special agreement, with special terms and conditions different from the applicant’s usual loan agreement.</w:t>
      </w:r>
    </w:p>
    <w:p w14:paraId="4F38DEE8" w14:textId="43C22684" w:rsidR="00EE409F" w:rsidRPr="00EE409F" w:rsidRDefault="00140AB1" w:rsidP="00140AB1">
      <w:pPr>
        <w:pStyle w:val="ListLevel1"/>
        <w:numPr>
          <w:ilvl w:val="0"/>
          <w:numId w:val="0"/>
        </w:numPr>
        <w:tabs>
          <w:tab w:val="left" w:pos="851"/>
        </w:tabs>
        <w:ind w:left="851" w:hanging="851"/>
      </w:pPr>
      <w:r w:rsidRPr="00EE409F">
        <w:t>26.</w:t>
      </w:r>
      <w:r w:rsidRPr="00EE409F">
        <w:tab/>
      </w:r>
      <w:r w:rsidR="00EE409F" w:rsidRPr="00EE409F">
        <w:t xml:space="preserve">The special terms provided that the agreement excluded any collateral agreement </w:t>
      </w:r>
      <w:r w:rsidR="00076256" w:rsidRPr="00EE409F">
        <w:t>entered</w:t>
      </w:r>
      <w:r w:rsidR="00EE409F" w:rsidRPr="00EE409F">
        <w:t xml:space="preserve"> before the signature date, logically excluding the surety signed in 2002 in respect of the overdraft.  It was contended that </w:t>
      </w:r>
      <w:r w:rsidR="00EE409F" w:rsidRPr="00EE409F">
        <w:lastRenderedPageBreak/>
        <w:t>only the first respondent’s signature appears on this loan agreement</w:t>
      </w:r>
      <w:r w:rsidR="00EE409F" w:rsidRPr="00EE409F">
        <w:rPr>
          <w:rStyle w:val="FootnoteReference"/>
          <w:rFonts w:cs="Arial"/>
          <w:sz w:val="24"/>
          <w:szCs w:val="24"/>
        </w:rPr>
        <w:footnoteReference w:id="9"/>
      </w:r>
      <w:r w:rsidR="00EE409F" w:rsidRPr="00EE409F">
        <w:t xml:space="preserve"> and as guarantor</w:t>
      </w:r>
      <w:r w:rsidR="00EE409F" w:rsidRPr="00EE409F">
        <w:rPr>
          <w:rStyle w:val="FootnoteReference"/>
          <w:rFonts w:cs="Arial"/>
          <w:sz w:val="24"/>
          <w:szCs w:val="24"/>
        </w:rPr>
        <w:footnoteReference w:id="10"/>
      </w:r>
      <w:r w:rsidR="00EE409F" w:rsidRPr="00EE409F">
        <w:t>.</w:t>
      </w:r>
    </w:p>
    <w:p w14:paraId="61F6018C" w14:textId="685C9B63" w:rsidR="00EE409F" w:rsidRPr="00EE409F" w:rsidRDefault="00140AB1" w:rsidP="00140AB1">
      <w:pPr>
        <w:pStyle w:val="ListLevel1"/>
        <w:numPr>
          <w:ilvl w:val="0"/>
          <w:numId w:val="0"/>
        </w:numPr>
        <w:tabs>
          <w:tab w:val="left" w:pos="851"/>
        </w:tabs>
        <w:ind w:left="851" w:hanging="851"/>
      </w:pPr>
      <w:r w:rsidRPr="00EE409F">
        <w:t>27.</w:t>
      </w:r>
      <w:r w:rsidRPr="00EE409F">
        <w:tab/>
      </w:r>
      <w:r w:rsidR="00EE409F" w:rsidRPr="00EE409F">
        <w:t xml:space="preserve">Ms Mouton </w:t>
      </w:r>
      <w:r w:rsidR="00076256">
        <w:t xml:space="preserve">proffered </w:t>
      </w:r>
      <w:r w:rsidR="00EE409F" w:rsidRPr="00EE409F">
        <w:t xml:space="preserve">that the second respondent is deprived of the benefits of a trial as he </w:t>
      </w:r>
      <w:r w:rsidR="002D73BE" w:rsidRPr="00EE409F">
        <w:t>requires to</w:t>
      </w:r>
      <w:r w:rsidR="00EE409F" w:rsidRPr="00EE409F">
        <w:t xml:space="preserve"> peruse documents which are in the </w:t>
      </w:r>
      <w:r w:rsidR="002D73BE" w:rsidRPr="00EE409F">
        <w:t>applicant’s</w:t>
      </w:r>
      <w:r w:rsidR="00EE409F" w:rsidRPr="00EE409F">
        <w:t xml:space="preserve"> possession that have not been discovered and to present witness testimony to effectively defend himself. </w:t>
      </w:r>
    </w:p>
    <w:p w14:paraId="35A6493A" w14:textId="1D267B80" w:rsidR="00EE409F" w:rsidRPr="00EE409F" w:rsidRDefault="00140AB1" w:rsidP="00140AB1">
      <w:pPr>
        <w:pStyle w:val="ListLevel1"/>
        <w:numPr>
          <w:ilvl w:val="0"/>
          <w:numId w:val="0"/>
        </w:numPr>
        <w:tabs>
          <w:tab w:val="left" w:pos="851"/>
        </w:tabs>
        <w:ind w:left="851" w:hanging="851"/>
      </w:pPr>
      <w:r w:rsidRPr="00EE409F">
        <w:t>28.</w:t>
      </w:r>
      <w:r w:rsidRPr="00EE409F">
        <w:tab/>
      </w:r>
      <w:r w:rsidR="00EE409F" w:rsidRPr="00EE409F">
        <w:t xml:space="preserve">Ms Mouton proffered that the second respondent will look to cross examining witnesses and reminded the court that the second respondent’s evidence against Kirby and </w:t>
      </w:r>
      <w:proofErr w:type="spellStart"/>
      <w:r w:rsidR="00EE409F" w:rsidRPr="00EE409F">
        <w:t>Laloo</w:t>
      </w:r>
      <w:proofErr w:type="spellEnd"/>
      <w:r w:rsidR="00EE409F" w:rsidRPr="00EE409F">
        <w:t xml:space="preserve"> remains uncontested.  They were the relationship managers in respect of the principal debtor.</w:t>
      </w:r>
    </w:p>
    <w:p w14:paraId="47540917" w14:textId="405F254B" w:rsidR="00EE409F" w:rsidRPr="00EE409F" w:rsidRDefault="00140AB1" w:rsidP="00140AB1">
      <w:pPr>
        <w:pStyle w:val="ListLevel1"/>
        <w:numPr>
          <w:ilvl w:val="0"/>
          <w:numId w:val="0"/>
        </w:numPr>
        <w:tabs>
          <w:tab w:val="left" w:pos="851"/>
        </w:tabs>
        <w:ind w:left="851" w:hanging="851"/>
      </w:pPr>
      <w:r w:rsidRPr="00EE409F">
        <w:t>29.</w:t>
      </w:r>
      <w:r w:rsidRPr="00EE409F">
        <w:tab/>
      </w:r>
      <w:r w:rsidR="00EE409F" w:rsidRPr="00EE409F">
        <w:t xml:space="preserve">Furthermore, the second respondent will require to inspect documents to determine what steps the applicant had taken after he exited the Close Corporation, </w:t>
      </w:r>
      <w:r w:rsidR="002D73BE">
        <w:t>regarding</w:t>
      </w:r>
      <w:r w:rsidR="00EE409F" w:rsidRPr="00EE409F">
        <w:t xml:space="preserve"> change of signatures, a change in debit orders and authorisations on the account.</w:t>
      </w:r>
    </w:p>
    <w:p w14:paraId="7DED9B15" w14:textId="152ED2F1" w:rsidR="00EE409F" w:rsidRPr="00EE409F" w:rsidRDefault="00140AB1" w:rsidP="00140AB1">
      <w:pPr>
        <w:pStyle w:val="ListLevel1"/>
        <w:numPr>
          <w:ilvl w:val="0"/>
          <w:numId w:val="0"/>
        </w:numPr>
        <w:tabs>
          <w:tab w:val="left" w:pos="851"/>
        </w:tabs>
        <w:ind w:left="851" w:hanging="851"/>
      </w:pPr>
      <w:r w:rsidRPr="00EE409F">
        <w:t>30.</w:t>
      </w:r>
      <w:r w:rsidRPr="00EE409F">
        <w:tab/>
      </w:r>
      <w:r w:rsidR="00EE409F" w:rsidRPr="00EE409F">
        <w:t xml:space="preserve">The </w:t>
      </w:r>
      <w:proofErr w:type="spellStart"/>
      <w:r w:rsidR="00EE409F" w:rsidRPr="00EE409F">
        <w:t>suretyship</w:t>
      </w:r>
      <w:proofErr w:type="spellEnd"/>
      <w:r w:rsidR="00EE409F" w:rsidRPr="00EE409F">
        <w:t xml:space="preserve"> in respect of the overdraft provides for an annual review by the applicant of the account and the sureties.  The second </w:t>
      </w:r>
      <w:r w:rsidR="00EE409F" w:rsidRPr="00EE409F">
        <w:lastRenderedPageBreak/>
        <w:t xml:space="preserve">respondent requires to inspect those various annual reviews done by the applicants.  </w:t>
      </w:r>
    </w:p>
    <w:p w14:paraId="1F636BC4" w14:textId="0AD47F93" w:rsidR="00EE409F" w:rsidRPr="00EE409F" w:rsidRDefault="00140AB1" w:rsidP="00140AB1">
      <w:pPr>
        <w:pStyle w:val="ListLevel1"/>
        <w:numPr>
          <w:ilvl w:val="0"/>
          <w:numId w:val="0"/>
        </w:numPr>
        <w:tabs>
          <w:tab w:val="left" w:pos="851"/>
        </w:tabs>
        <w:ind w:left="851" w:hanging="851"/>
      </w:pPr>
      <w:r w:rsidRPr="00EE409F">
        <w:t>31.</w:t>
      </w:r>
      <w:r w:rsidRPr="00EE409F">
        <w:tab/>
      </w:r>
      <w:r w:rsidR="00EE409F" w:rsidRPr="00EE409F">
        <w:t xml:space="preserve">Ms Mouton submitted the second </w:t>
      </w:r>
      <w:r w:rsidR="002D73BE" w:rsidRPr="00EE409F">
        <w:t>respondent’s</w:t>
      </w:r>
      <w:r w:rsidR="00EE409F" w:rsidRPr="00EE409F">
        <w:t xml:space="preserve"> version is not </w:t>
      </w:r>
      <w:r w:rsidR="00A278AF" w:rsidRPr="00EE409F">
        <w:t>farfetched</w:t>
      </w:r>
      <w:r w:rsidR="00EE409F" w:rsidRPr="00EE409F">
        <w:t xml:space="preserve"> or improbable and a trial would afford him the benefits of witness testimony and access to documents to support his defence.</w:t>
      </w:r>
    </w:p>
    <w:p w14:paraId="442A10D9" w14:textId="096F386E" w:rsidR="00EE409F" w:rsidRPr="00EE409F" w:rsidRDefault="00140AB1" w:rsidP="00140AB1">
      <w:pPr>
        <w:pStyle w:val="ListLevel1"/>
        <w:numPr>
          <w:ilvl w:val="0"/>
          <w:numId w:val="0"/>
        </w:numPr>
        <w:tabs>
          <w:tab w:val="left" w:pos="851"/>
        </w:tabs>
        <w:ind w:left="851" w:hanging="851"/>
      </w:pPr>
      <w:r w:rsidRPr="00EE409F">
        <w:t>32.</w:t>
      </w:r>
      <w:r w:rsidRPr="00EE409F">
        <w:tab/>
      </w:r>
      <w:r w:rsidR="00EE409F" w:rsidRPr="00EE409F">
        <w:t xml:space="preserve">Counsel argued that the applicant ought not to have proceeded by motion and that it seeks to obtain summary judgment in </w:t>
      </w:r>
      <w:proofErr w:type="spellStart"/>
      <w:r w:rsidR="00EE409F" w:rsidRPr="00EE409F">
        <w:t>casu</w:t>
      </w:r>
      <w:proofErr w:type="spellEnd"/>
      <w:r w:rsidR="00EE409F" w:rsidRPr="00EE409F">
        <w:t>.  It was argued that the applicants seek to avoid presenting evidence in a court and avoid special costs in summary judgment, and therefor proceeded on motion despite the various disputes raised.</w:t>
      </w:r>
    </w:p>
    <w:p w14:paraId="1CD53C16" w14:textId="6049C749" w:rsidR="00EE409F" w:rsidRPr="00EE409F" w:rsidRDefault="00140AB1" w:rsidP="00140AB1">
      <w:pPr>
        <w:pStyle w:val="ListLevel1"/>
        <w:numPr>
          <w:ilvl w:val="0"/>
          <w:numId w:val="0"/>
        </w:numPr>
        <w:tabs>
          <w:tab w:val="left" w:pos="851"/>
        </w:tabs>
        <w:ind w:left="851" w:hanging="851"/>
      </w:pPr>
      <w:r w:rsidRPr="00EE409F">
        <w:t>33.</w:t>
      </w:r>
      <w:r w:rsidRPr="00EE409F">
        <w:tab/>
      </w:r>
      <w:r w:rsidR="00EE409F" w:rsidRPr="00EE409F">
        <w:t xml:space="preserve">Ms Mouton argued that motion proceedings cannot be determined on the probabilities, they cannot be used to resolve factual disputes.  Counsel referred the court to the decision in </w:t>
      </w:r>
      <w:proofErr w:type="spellStart"/>
      <w:r w:rsidR="00EE409F" w:rsidRPr="00EE409F">
        <w:t>Zuma</w:t>
      </w:r>
      <w:proofErr w:type="spellEnd"/>
      <w:r w:rsidR="00EE409F" w:rsidRPr="00EE409F">
        <w:t xml:space="preserve"> case supra.</w:t>
      </w:r>
    </w:p>
    <w:p w14:paraId="3B6ED702" w14:textId="7EB0D0DE" w:rsidR="00EE409F" w:rsidRPr="00EE409F" w:rsidRDefault="00140AB1" w:rsidP="00140AB1">
      <w:pPr>
        <w:pStyle w:val="ListLevel1"/>
        <w:numPr>
          <w:ilvl w:val="0"/>
          <w:numId w:val="0"/>
        </w:numPr>
        <w:tabs>
          <w:tab w:val="left" w:pos="851"/>
        </w:tabs>
        <w:ind w:left="851" w:hanging="851"/>
      </w:pPr>
      <w:r w:rsidRPr="00EE409F">
        <w:t>34.</w:t>
      </w:r>
      <w:r w:rsidRPr="00EE409F">
        <w:tab/>
      </w:r>
      <w:r w:rsidR="00EE409F" w:rsidRPr="00EE409F">
        <w:t xml:space="preserve">Counsel submitted that the court must refer the matter to trial to determine through witness testimony and discovery whether “the second respondent was released from the </w:t>
      </w:r>
      <w:proofErr w:type="spellStart"/>
      <w:r w:rsidR="00EE409F" w:rsidRPr="00EE409F">
        <w:t>suretyship</w:t>
      </w:r>
      <w:proofErr w:type="spellEnd"/>
      <w:r w:rsidR="00EE409F" w:rsidRPr="00EE409F">
        <w:t xml:space="preserve"> agreement he signed in 2002</w:t>
      </w:r>
      <w:r w:rsidR="00076256">
        <w:t xml:space="preserve"> in respect of the first loan agreement.</w:t>
      </w:r>
    </w:p>
    <w:p w14:paraId="263B385A" w14:textId="3A698F72" w:rsidR="00EE409F" w:rsidRPr="00EE409F" w:rsidRDefault="00140AB1" w:rsidP="00140AB1">
      <w:pPr>
        <w:pStyle w:val="ListLevel1"/>
        <w:numPr>
          <w:ilvl w:val="0"/>
          <w:numId w:val="0"/>
        </w:numPr>
        <w:tabs>
          <w:tab w:val="left" w:pos="851"/>
        </w:tabs>
        <w:ind w:left="851" w:hanging="851"/>
      </w:pPr>
      <w:r w:rsidRPr="00EE409F">
        <w:t>35.</w:t>
      </w:r>
      <w:r w:rsidRPr="00EE409F">
        <w:tab/>
      </w:r>
      <w:r w:rsidR="002D73BE" w:rsidRPr="00EE409F">
        <w:t>Furthermore,</w:t>
      </w:r>
      <w:r w:rsidR="00EE409F" w:rsidRPr="00EE409F">
        <w:t xml:space="preserve"> counsel submitted that the court must order costs on a similar basis as provided for in Rule 32(9), and order that the applicants </w:t>
      </w:r>
      <w:r w:rsidR="00EE409F" w:rsidRPr="00EE409F">
        <w:lastRenderedPageBreak/>
        <w:t xml:space="preserve">may not institute new proceedings against the second respondent until it has paid the second respondent’s costs and </w:t>
      </w:r>
      <w:r w:rsidR="00076256">
        <w:t xml:space="preserve">they must be payable </w:t>
      </w:r>
      <w:r w:rsidR="00EE409F" w:rsidRPr="00EE409F">
        <w:t>on an attorney client scale.</w:t>
      </w:r>
    </w:p>
    <w:p w14:paraId="48ED9941" w14:textId="0594D986" w:rsidR="00EE409F" w:rsidRPr="00EE409F" w:rsidRDefault="00140AB1" w:rsidP="00140AB1">
      <w:pPr>
        <w:pStyle w:val="ListLevel1"/>
        <w:numPr>
          <w:ilvl w:val="0"/>
          <w:numId w:val="0"/>
        </w:numPr>
        <w:tabs>
          <w:tab w:val="left" w:pos="851"/>
        </w:tabs>
        <w:ind w:left="851" w:hanging="851"/>
      </w:pPr>
      <w:r w:rsidRPr="00EE409F">
        <w:t>36.</w:t>
      </w:r>
      <w:r w:rsidRPr="00EE409F">
        <w:tab/>
      </w:r>
      <w:r w:rsidR="00EE409F" w:rsidRPr="00EE409F">
        <w:t xml:space="preserve">In reply Advocate </w:t>
      </w:r>
      <w:proofErr w:type="spellStart"/>
      <w:r w:rsidR="00EE409F" w:rsidRPr="00EE409F">
        <w:t>Mathiba</w:t>
      </w:r>
      <w:proofErr w:type="spellEnd"/>
      <w:r w:rsidR="00EE409F" w:rsidRPr="00EE409F">
        <w:t xml:space="preserve"> </w:t>
      </w:r>
      <w:r w:rsidR="00076256">
        <w:t xml:space="preserve">submitted that </w:t>
      </w:r>
      <w:r w:rsidR="00EE409F" w:rsidRPr="00EE409F">
        <w:t xml:space="preserve">the motion proceedings are appropriate the dispute raised is </w:t>
      </w:r>
      <w:r w:rsidR="00A278AF" w:rsidRPr="00EE409F">
        <w:t>not</w:t>
      </w:r>
      <w:r w:rsidR="00EE409F" w:rsidRPr="00EE409F">
        <w:t xml:space="preserve"> a real and genuine dispute that is not capable of resolution on the papers.</w:t>
      </w:r>
    </w:p>
    <w:p w14:paraId="5E1D342B" w14:textId="53AF4271" w:rsidR="00EE409F" w:rsidRPr="00EE409F" w:rsidRDefault="00140AB1" w:rsidP="00140AB1">
      <w:pPr>
        <w:pStyle w:val="ListLevel1"/>
        <w:numPr>
          <w:ilvl w:val="0"/>
          <w:numId w:val="0"/>
        </w:numPr>
        <w:tabs>
          <w:tab w:val="left" w:pos="851"/>
        </w:tabs>
        <w:ind w:left="851" w:hanging="851"/>
      </w:pPr>
      <w:r w:rsidRPr="00EE409F">
        <w:t>37.</w:t>
      </w:r>
      <w:r w:rsidRPr="00EE409F">
        <w:tab/>
      </w:r>
      <w:r w:rsidR="00EE409F" w:rsidRPr="00EE409F">
        <w:t xml:space="preserve">The agreement to release the second respondent was between himself and the first respondent.  The second respondent has failed to furnish any written proof of release signed by the applicant.  </w:t>
      </w:r>
    </w:p>
    <w:p w14:paraId="2167427E" w14:textId="396ADD0E" w:rsidR="00EE409F" w:rsidRPr="00EE409F" w:rsidRDefault="00140AB1" w:rsidP="00140AB1">
      <w:pPr>
        <w:pStyle w:val="ListLevel1"/>
        <w:numPr>
          <w:ilvl w:val="0"/>
          <w:numId w:val="0"/>
        </w:numPr>
        <w:tabs>
          <w:tab w:val="left" w:pos="851"/>
        </w:tabs>
        <w:ind w:left="851" w:hanging="851"/>
      </w:pPr>
      <w:r w:rsidRPr="00EE409F">
        <w:t>38.</w:t>
      </w:r>
      <w:r w:rsidRPr="00EE409F">
        <w:tab/>
      </w:r>
      <w:r w:rsidR="00EE409F" w:rsidRPr="00EE409F">
        <w:t xml:space="preserve">Ms </w:t>
      </w:r>
      <w:proofErr w:type="spellStart"/>
      <w:r w:rsidR="00EE409F" w:rsidRPr="00EE409F">
        <w:t>Mathiba</w:t>
      </w:r>
      <w:proofErr w:type="spellEnd"/>
      <w:r w:rsidR="00EE409F" w:rsidRPr="00EE409F">
        <w:t xml:space="preserve"> contended that the second respondent signed an “unlimited surety for debts current and in the future</w:t>
      </w:r>
      <w:r w:rsidR="00076256">
        <w:t xml:space="preserve"> and he is liable for the second loan as well.</w:t>
      </w:r>
    </w:p>
    <w:p w14:paraId="116EB2B2" w14:textId="77777777" w:rsidR="00EE409F" w:rsidRPr="00EE409F" w:rsidRDefault="00EE409F" w:rsidP="00EE409F">
      <w:pPr>
        <w:pStyle w:val="Heading1"/>
      </w:pPr>
      <w:r w:rsidRPr="00EE409F">
        <w:t>JUDGMENT</w:t>
      </w:r>
    </w:p>
    <w:p w14:paraId="5EC9FEC0" w14:textId="4D33059B" w:rsidR="00EE409F" w:rsidRPr="00EE409F" w:rsidRDefault="00140AB1" w:rsidP="00140AB1">
      <w:pPr>
        <w:pStyle w:val="ListLevel1"/>
        <w:numPr>
          <w:ilvl w:val="0"/>
          <w:numId w:val="0"/>
        </w:numPr>
        <w:tabs>
          <w:tab w:val="left" w:pos="851"/>
        </w:tabs>
        <w:ind w:left="851" w:hanging="851"/>
      </w:pPr>
      <w:r w:rsidRPr="00EE409F">
        <w:t>39.</w:t>
      </w:r>
      <w:r w:rsidRPr="00EE409F">
        <w:tab/>
      </w:r>
      <w:r w:rsidR="00EE409F" w:rsidRPr="00EE409F">
        <w:t xml:space="preserve">In </w:t>
      </w:r>
      <w:r w:rsidR="00EE409F" w:rsidRPr="00EE409F">
        <w:rPr>
          <w:b/>
          <w:bCs/>
        </w:rPr>
        <w:t>NATIONAL DIRECTOR OF PUBLIC PROSECUTIONS v ZUMA</w:t>
      </w:r>
      <w:r w:rsidR="00EE409F" w:rsidRPr="00EE409F">
        <w:t xml:space="preserve">, supra, the Supreme Court of Appeals, restated the principles of deciding factual issues in motion </w:t>
      </w:r>
      <w:r w:rsidR="00076256" w:rsidRPr="00EE409F">
        <w:t>proceedings,</w:t>
      </w:r>
      <w:r w:rsidR="00EE409F" w:rsidRPr="00EE409F">
        <w:t xml:space="preserve"> when the court stated that motion proceedings are about the resolution of legal issues based on common </w:t>
      </w:r>
      <w:r w:rsidR="00EE409F" w:rsidRPr="00EE409F">
        <w:lastRenderedPageBreak/>
        <w:t>cause facts.  Motion proceedings cannot be used to resolve factual issues as they are not designed to determine probabilities.</w:t>
      </w:r>
      <w:r w:rsidR="00EE409F" w:rsidRPr="00EE409F">
        <w:rPr>
          <w:rStyle w:val="FootnoteReference"/>
          <w:rFonts w:cs="Arial"/>
          <w:sz w:val="24"/>
          <w:szCs w:val="24"/>
        </w:rPr>
        <w:footnoteReference w:id="11"/>
      </w:r>
    </w:p>
    <w:p w14:paraId="063EEC69" w14:textId="78A63A13" w:rsidR="00EE409F" w:rsidRPr="00EE409F" w:rsidRDefault="00140AB1" w:rsidP="00140AB1">
      <w:pPr>
        <w:pStyle w:val="ListLevel1"/>
        <w:numPr>
          <w:ilvl w:val="0"/>
          <w:numId w:val="0"/>
        </w:numPr>
        <w:tabs>
          <w:tab w:val="left" w:pos="851"/>
        </w:tabs>
        <w:ind w:left="851" w:hanging="851"/>
      </w:pPr>
      <w:r w:rsidRPr="00EE409F">
        <w:t>40.</w:t>
      </w:r>
      <w:r w:rsidRPr="00EE409F">
        <w:tab/>
      </w:r>
      <w:r w:rsidR="00EE409F" w:rsidRPr="00EE409F">
        <w:t xml:space="preserve">I agree with Advocate Mouton that in </w:t>
      </w:r>
      <w:proofErr w:type="spellStart"/>
      <w:r w:rsidR="00EE409F" w:rsidRPr="00EE409F">
        <w:t>casu</w:t>
      </w:r>
      <w:proofErr w:type="spellEnd"/>
      <w:r w:rsidR="00EE409F" w:rsidRPr="00EE409F">
        <w:t xml:space="preserve"> there are very few common cause facts for the matter to be decided on the papers.</w:t>
      </w:r>
    </w:p>
    <w:p w14:paraId="28C859BD" w14:textId="1AD50179" w:rsidR="00D612CB" w:rsidRDefault="00140AB1" w:rsidP="00140AB1">
      <w:pPr>
        <w:pStyle w:val="ListLevel1"/>
        <w:numPr>
          <w:ilvl w:val="0"/>
          <w:numId w:val="0"/>
        </w:numPr>
        <w:tabs>
          <w:tab w:val="left" w:pos="851"/>
        </w:tabs>
        <w:ind w:left="851" w:hanging="851"/>
      </w:pPr>
      <w:r>
        <w:t>41.</w:t>
      </w:r>
      <w:r>
        <w:tab/>
      </w:r>
      <w:r w:rsidR="00EE409F" w:rsidRPr="00EE409F">
        <w:t xml:space="preserve">This court is unable to determine the issue of whether the second respondent was released as a surety.  I have noted the applicant’s denial of that </w:t>
      </w:r>
      <w:r w:rsidR="002D73BE" w:rsidRPr="00EE409F">
        <w:t>fact,</w:t>
      </w:r>
      <w:r w:rsidR="00EE409F" w:rsidRPr="00EE409F">
        <w:t xml:space="preserve"> but it </w:t>
      </w:r>
      <w:r w:rsidR="00076256">
        <w:t xml:space="preserve">remains </w:t>
      </w:r>
      <w:r w:rsidR="00EE409F" w:rsidRPr="00EE409F">
        <w:t>uncle</w:t>
      </w:r>
      <w:r w:rsidR="00076256">
        <w:t>ar</w:t>
      </w:r>
      <w:r w:rsidR="00D612CB">
        <w:t xml:space="preserve">, </w:t>
      </w:r>
      <w:r w:rsidR="00EE409F" w:rsidRPr="00EE409F">
        <w:t xml:space="preserve">why it failed to pursue the second respondent in respect of the second agreement.  </w:t>
      </w:r>
    </w:p>
    <w:p w14:paraId="370037C2" w14:textId="17D67F0E" w:rsidR="00EE409F" w:rsidRPr="00EE409F" w:rsidRDefault="00140AB1" w:rsidP="00140AB1">
      <w:pPr>
        <w:pStyle w:val="ListLevel1"/>
        <w:numPr>
          <w:ilvl w:val="0"/>
          <w:numId w:val="0"/>
        </w:numPr>
        <w:tabs>
          <w:tab w:val="left" w:pos="851"/>
        </w:tabs>
        <w:ind w:left="851" w:hanging="851"/>
      </w:pPr>
      <w:r w:rsidRPr="00EE409F">
        <w:t>42.</w:t>
      </w:r>
      <w:r w:rsidRPr="00EE409F">
        <w:tab/>
      </w:r>
      <w:r w:rsidR="00EE409F" w:rsidRPr="00EE409F">
        <w:t xml:space="preserve">The evidence is that the applicant obtained the first respondent’s acceptance to the terms of that </w:t>
      </w:r>
      <w:r w:rsidR="002D73BE" w:rsidRPr="00EE409F">
        <w:t>agreement but</w:t>
      </w:r>
      <w:r w:rsidR="00EE409F" w:rsidRPr="00EE409F">
        <w:t xml:space="preserve"> failed to communicate at all with the second respondent in respect of a very sizeable loan, during </w:t>
      </w:r>
      <w:r w:rsidR="002D73BE" w:rsidRPr="00EE409F">
        <w:t>challenging</w:t>
      </w:r>
      <w:r w:rsidR="00EE409F" w:rsidRPr="00EE409F">
        <w:t xml:space="preserve"> economic times of the </w:t>
      </w:r>
      <w:proofErr w:type="spellStart"/>
      <w:r w:rsidR="00EE409F" w:rsidRPr="00EE409F">
        <w:t>covid</w:t>
      </w:r>
      <w:proofErr w:type="spellEnd"/>
      <w:r w:rsidR="00EE409F" w:rsidRPr="00EE409F">
        <w:t xml:space="preserve"> pandemic.</w:t>
      </w:r>
    </w:p>
    <w:p w14:paraId="1E67EF7C" w14:textId="04143F8C" w:rsidR="00EE409F" w:rsidRPr="00EE409F" w:rsidRDefault="00140AB1" w:rsidP="00140AB1">
      <w:pPr>
        <w:pStyle w:val="ListLevel1"/>
        <w:numPr>
          <w:ilvl w:val="0"/>
          <w:numId w:val="0"/>
        </w:numPr>
        <w:tabs>
          <w:tab w:val="left" w:pos="851"/>
        </w:tabs>
        <w:ind w:left="851" w:hanging="851"/>
      </w:pPr>
      <w:r w:rsidRPr="00EE409F">
        <w:t>43.</w:t>
      </w:r>
      <w:r w:rsidRPr="00EE409F">
        <w:tab/>
      </w:r>
      <w:r w:rsidR="00EE409F" w:rsidRPr="00EE409F">
        <w:t xml:space="preserve">The fact that the second respondent signed an unlimited surety for all future debts, cannot excuse a relationship manager of a bank from keeping its clients abreast of developments in the account.  </w:t>
      </w:r>
    </w:p>
    <w:p w14:paraId="145B3201" w14:textId="77CCBA4E" w:rsidR="00EE409F" w:rsidRPr="00EE409F" w:rsidRDefault="00140AB1" w:rsidP="00140AB1">
      <w:pPr>
        <w:pStyle w:val="ListLevel1"/>
        <w:numPr>
          <w:ilvl w:val="0"/>
          <w:numId w:val="0"/>
        </w:numPr>
        <w:tabs>
          <w:tab w:val="left" w:pos="851"/>
        </w:tabs>
        <w:ind w:left="851" w:hanging="851"/>
      </w:pPr>
      <w:r w:rsidRPr="00EE409F">
        <w:t>44.</w:t>
      </w:r>
      <w:r w:rsidRPr="00EE409F">
        <w:tab/>
      </w:r>
      <w:r w:rsidR="00EE409F" w:rsidRPr="00EE409F">
        <w:t xml:space="preserve">The impression created is that the applicants were opportunistic and neglectful </w:t>
      </w:r>
      <w:r w:rsidR="00D612CB" w:rsidRPr="00EE409F">
        <w:t>of their</w:t>
      </w:r>
      <w:r w:rsidR="00EE409F" w:rsidRPr="00EE409F">
        <w:t xml:space="preserve"> obligations as credit grantors. The applicants in my </w:t>
      </w:r>
      <w:r w:rsidR="00EE409F" w:rsidRPr="00EE409F">
        <w:lastRenderedPageBreak/>
        <w:t xml:space="preserve">view were under every obligation, based on the particular facts of this account holder, as set out earlier, to ensure that both sureties were fully apprised of new developments and particularly the new terms of the ‘special loan agreement” for </w:t>
      </w:r>
      <w:proofErr w:type="spellStart"/>
      <w:r w:rsidR="00EE409F" w:rsidRPr="00EE409F">
        <w:t>covid</w:t>
      </w:r>
      <w:proofErr w:type="spellEnd"/>
      <w:r w:rsidR="00EE409F" w:rsidRPr="00EE409F">
        <w:t xml:space="preserve"> emergency funding.</w:t>
      </w:r>
    </w:p>
    <w:p w14:paraId="762D2E48" w14:textId="71056A52" w:rsidR="00EE409F" w:rsidRPr="00EE409F" w:rsidRDefault="00140AB1" w:rsidP="00140AB1">
      <w:pPr>
        <w:pStyle w:val="ListLevel1"/>
        <w:numPr>
          <w:ilvl w:val="0"/>
          <w:numId w:val="0"/>
        </w:numPr>
        <w:tabs>
          <w:tab w:val="left" w:pos="851"/>
        </w:tabs>
        <w:ind w:left="851" w:hanging="851"/>
      </w:pPr>
      <w:r w:rsidRPr="00EE409F">
        <w:t>45.</w:t>
      </w:r>
      <w:r w:rsidRPr="00EE409F">
        <w:tab/>
      </w:r>
      <w:r w:rsidR="00EE409F" w:rsidRPr="00EE409F">
        <w:t xml:space="preserve">In terms of the principles </w:t>
      </w:r>
      <w:r w:rsidR="00D612CB">
        <w:t xml:space="preserve">regarding </w:t>
      </w:r>
      <w:r w:rsidR="00EE409F" w:rsidRPr="00EE409F">
        <w:t xml:space="preserve">motion proceedings set out in the </w:t>
      </w:r>
      <w:r w:rsidR="00EE409F" w:rsidRPr="00EE409F">
        <w:rPr>
          <w:b/>
          <w:bCs/>
        </w:rPr>
        <w:t>PLASCON EVANS</w:t>
      </w:r>
      <w:r w:rsidR="00EE409F" w:rsidRPr="00EE409F">
        <w:t xml:space="preserve"> case supra, the court must consider the </w:t>
      </w:r>
      <w:r w:rsidR="00D612CB">
        <w:t xml:space="preserve">facts </w:t>
      </w:r>
      <w:r w:rsidR="00EE409F" w:rsidRPr="00EE409F">
        <w:t xml:space="preserve">admitted together with the </w:t>
      </w:r>
      <w:r w:rsidR="002D73BE" w:rsidRPr="00EE409F">
        <w:t>respondents’</w:t>
      </w:r>
      <w:r w:rsidR="00EE409F" w:rsidRPr="00EE409F">
        <w:t xml:space="preserve"> </w:t>
      </w:r>
      <w:r w:rsidR="00D612CB">
        <w:t xml:space="preserve">further </w:t>
      </w:r>
      <w:r w:rsidR="00EE409F" w:rsidRPr="00EE409F">
        <w:t xml:space="preserve">allegations and determine if the relief sought is justified. </w:t>
      </w:r>
    </w:p>
    <w:p w14:paraId="18E5D0FC" w14:textId="1ACACC1E" w:rsidR="00D612CB" w:rsidRDefault="00140AB1" w:rsidP="00140AB1">
      <w:pPr>
        <w:pStyle w:val="ListLevel1"/>
        <w:numPr>
          <w:ilvl w:val="0"/>
          <w:numId w:val="0"/>
        </w:numPr>
        <w:tabs>
          <w:tab w:val="left" w:pos="851"/>
        </w:tabs>
        <w:ind w:left="851" w:hanging="851"/>
      </w:pPr>
      <w:r>
        <w:t>46.</w:t>
      </w:r>
      <w:r>
        <w:tab/>
      </w:r>
      <w:r w:rsidR="00EE409F" w:rsidRPr="00EE409F">
        <w:t xml:space="preserve">I am of the view that the second respondent raises a real and genuine dispute of </w:t>
      </w:r>
      <w:r w:rsidR="002D73BE" w:rsidRPr="00EE409F">
        <w:t>fact,</w:t>
      </w:r>
      <w:r w:rsidR="00EE409F" w:rsidRPr="00EE409F">
        <w:t xml:space="preserve"> and this court cannot determine on the papers the issue of his release as a surety.  </w:t>
      </w:r>
    </w:p>
    <w:p w14:paraId="19F649AF" w14:textId="116CECF2" w:rsidR="002D73BE" w:rsidRDefault="00140AB1" w:rsidP="00140AB1">
      <w:pPr>
        <w:pStyle w:val="ListLevel1"/>
        <w:numPr>
          <w:ilvl w:val="0"/>
          <w:numId w:val="0"/>
        </w:numPr>
        <w:tabs>
          <w:tab w:val="left" w:pos="851"/>
        </w:tabs>
        <w:ind w:left="851" w:hanging="851"/>
      </w:pPr>
      <w:r>
        <w:t>47.</w:t>
      </w:r>
      <w:r>
        <w:tab/>
      </w:r>
      <w:r w:rsidR="00D612CB">
        <w:t xml:space="preserve">There is no evidence before this court from the </w:t>
      </w:r>
      <w:r w:rsidR="002D73BE">
        <w:t>applicant’s</w:t>
      </w:r>
      <w:r w:rsidR="00D612CB">
        <w:t xml:space="preserve"> employees Kirby and </w:t>
      </w:r>
      <w:proofErr w:type="spellStart"/>
      <w:r w:rsidR="00D612CB">
        <w:t>Laloo</w:t>
      </w:r>
      <w:proofErr w:type="spellEnd"/>
      <w:r w:rsidR="00D612CB">
        <w:t xml:space="preserve"> and the court cannot disregard the second </w:t>
      </w:r>
      <w:r w:rsidR="002D73BE">
        <w:t>respondent’s</w:t>
      </w:r>
      <w:r w:rsidR="00D612CB">
        <w:t xml:space="preserve"> version</w:t>
      </w:r>
      <w:r w:rsidR="002D73BE">
        <w:t xml:space="preserve">.  </w:t>
      </w:r>
      <w:r w:rsidR="00EE409F" w:rsidRPr="00EE409F">
        <w:t xml:space="preserve">His allegations are not far-fetched, when one considers the circumstances surrounding the granting of the second loan and the email from Kirby in which he acknowledged that the membership of the Close Corporation had changed.  </w:t>
      </w:r>
    </w:p>
    <w:p w14:paraId="3E55720C" w14:textId="3F35E3B2" w:rsidR="00EE409F" w:rsidRPr="00EE409F" w:rsidRDefault="00140AB1" w:rsidP="00140AB1">
      <w:pPr>
        <w:pStyle w:val="ListLevel1"/>
        <w:numPr>
          <w:ilvl w:val="0"/>
          <w:numId w:val="0"/>
        </w:numPr>
        <w:tabs>
          <w:tab w:val="left" w:pos="851"/>
        </w:tabs>
        <w:ind w:left="851" w:hanging="851"/>
      </w:pPr>
      <w:r w:rsidRPr="00EE409F">
        <w:t>48.</w:t>
      </w:r>
      <w:r w:rsidRPr="00EE409F">
        <w:tab/>
      </w:r>
      <w:r w:rsidR="002D73BE">
        <w:t>In my view t</w:t>
      </w:r>
      <w:r w:rsidR="00EE409F" w:rsidRPr="00EE409F">
        <w:t>he matter is best determined at a trial.</w:t>
      </w:r>
    </w:p>
    <w:p w14:paraId="6F0513CB" w14:textId="77777777" w:rsidR="00EE409F" w:rsidRPr="00EE409F" w:rsidRDefault="00EE409F" w:rsidP="00EE409F">
      <w:pPr>
        <w:pStyle w:val="Heading1"/>
      </w:pPr>
      <w:r w:rsidRPr="00EE409F">
        <w:lastRenderedPageBreak/>
        <w:t>COSTS</w:t>
      </w:r>
    </w:p>
    <w:p w14:paraId="30D53FFE" w14:textId="50EA1509" w:rsidR="00EE409F" w:rsidRPr="00EE409F" w:rsidRDefault="00140AB1" w:rsidP="00140AB1">
      <w:pPr>
        <w:pStyle w:val="ListLevel1"/>
        <w:numPr>
          <w:ilvl w:val="0"/>
          <w:numId w:val="0"/>
        </w:numPr>
        <w:tabs>
          <w:tab w:val="left" w:pos="851"/>
        </w:tabs>
        <w:ind w:left="851" w:hanging="851"/>
      </w:pPr>
      <w:r w:rsidRPr="00EE409F">
        <w:t>49.</w:t>
      </w:r>
      <w:r w:rsidRPr="00EE409F">
        <w:tab/>
      </w:r>
      <w:r w:rsidR="00EE409F" w:rsidRPr="00EE409F">
        <w:t>Advocate Mouton argued that the applicants knew of the disputes of fact and ought not to have proceeded by way of a motion.</w:t>
      </w:r>
    </w:p>
    <w:p w14:paraId="0004C6D3" w14:textId="50B528C6" w:rsidR="00EE409F" w:rsidRPr="00EE409F" w:rsidRDefault="00140AB1" w:rsidP="00140AB1">
      <w:pPr>
        <w:pStyle w:val="ListLevel1"/>
        <w:numPr>
          <w:ilvl w:val="0"/>
          <w:numId w:val="0"/>
        </w:numPr>
        <w:tabs>
          <w:tab w:val="left" w:pos="851"/>
        </w:tabs>
        <w:ind w:left="851" w:hanging="851"/>
      </w:pPr>
      <w:r w:rsidRPr="00EE409F">
        <w:t>50.</w:t>
      </w:r>
      <w:r w:rsidRPr="00EE409F">
        <w:tab/>
      </w:r>
      <w:r w:rsidR="00EE409F" w:rsidRPr="00EE409F">
        <w:t>The applicant is a seasoned litigator</w:t>
      </w:r>
      <w:r w:rsidR="002D73BE">
        <w:t xml:space="preserve"> in both motion and trial courts</w:t>
      </w:r>
      <w:r w:rsidR="00EE409F" w:rsidRPr="00EE409F">
        <w:t xml:space="preserve">, who ought to know that </w:t>
      </w:r>
      <w:r w:rsidR="002D73BE">
        <w:t xml:space="preserve">the </w:t>
      </w:r>
      <w:r w:rsidR="00EE409F" w:rsidRPr="00EE409F">
        <w:t>disputes raised would require oral evidence and documents and could never be resolved on the papers.</w:t>
      </w:r>
    </w:p>
    <w:p w14:paraId="524C2E12" w14:textId="4F06BE08" w:rsidR="00EE409F" w:rsidRPr="00EE409F" w:rsidRDefault="00140AB1" w:rsidP="00140AB1">
      <w:pPr>
        <w:pStyle w:val="ListLevel1"/>
        <w:numPr>
          <w:ilvl w:val="0"/>
          <w:numId w:val="0"/>
        </w:numPr>
        <w:tabs>
          <w:tab w:val="left" w:pos="851"/>
        </w:tabs>
        <w:ind w:left="851" w:hanging="851"/>
      </w:pPr>
      <w:r w:rsidRPr="00EE409F">
        <w:t>51.</w:t>
      </w:r>
      <w:r w:rsidRPr="00EE409F">
        <w:tab/>
      </w:r>
      <w:r w:rsidR="00EE409F" w:rsidRPr="00EE409F">
        <w:t>The disputes are factual disputes.</w:t>
      </w:r>
      <w:r w:rsidR="002D73BE">
        <w:t xml:space="preserve">  The evidence is that the second respondent has been trying to obtain documentation from the applicant’s employees without success.</w:t>
      </w:r>
    </w:p>
    <w:p w14:paraId="4F9042D4" w14:textId="453CF819" w:rsidR="00EE409F" w:rsidRPr="00EE409F" w:rsidRDefault="00140AB1" w:rsidP="00140AB1">
      <w:pPr>
        <w:pStyle w:val="ListLevel1"/>
        <w:numPr>
          <w:ilvl w:val="0"/>
          <w:numId w:val="0"/>
        </w:numPr>
        <w:tabs>
          <w:tab w:val="left" w:pos="851"/>
        </w:tabs>
        <w:ind w:left="851" w:hanging="851"/>
      </w:pPr>
      <w:r w:rsidRPr="00EE409F">
        <w:t>52.</w:t>
      </w:r>
      <w:r w:rsidRPr="00EE409F">
        <w:tab/>
      </w:r>
      <w:r w:rsidR="00EE409F" w:rsidRPr="00EE409F">
        <w:t>I agree with Ms Mouton that an order as in Rule 32(9) is appropriate in the circumstances.</w:t>
      </w:r>
    </w:p>
    <w:p w14:paraId="6C60A1FE" w14:textId="26E4D2AE" w:rsidR="00EE409F" w:rsidRPr="00EE409F" w:rsidRDefault="00EE409F" w:rsidP="00EE409F">
      <w:pPr>
        <w:pStyle w:val="ListLevel1"/>
        <w:numPr>
          <w:ilvl w:val="0"/>
          <w:numId w:val="0"/>
        </w:numPr>
      </w:pPr>
      <w:r w:rsidRPr="00EE409F">
        <w:t>Accordingly, I make the following order</w:t>
      </w:r>
      <w:r w:rsidR="002D73BE">
        <w:t>:</w:t>
      </w:r>
    </w:p>
    <w:p w14:paraId="52338B74" w14:textId="6AB53847" w:rsidR="00EE409F" w:rsidRPr="00EE409F" w:rsidRDefault="00140AB1" w:rsidP="00140AB1">
      <w:pPr>
        <w:pStyle w:val="ListLevel1"/>
        <w:numPr>
          <w:ilvl w:val="0"/>
          <w:numId w:val="0"/>
        </w:numPr>
        <w:tabs>
          <w:tab w:val="left" w:pos="851"/>
        </w:tabs>
        <w:ind w:left="851" w:hanging="851"/>
      </w:pPr>
      <w:r w:rsidRPr="00EE409F">
        <w:t>1.</w:t>
      </w:r>
      <w:r w:rsidRPr="00EE409F">
        <w:tab/>
      </w:r>
      <w:r w:rsidR="00EE409F" w:rsidRPr="00EE409F">
        <w:t>The applicant’s application is referred to trial.</w:t>
      </w:r>
    </w:p>
    <w:p w14:paraId="1E79B67C" w14:textId="0E51945C" w:rsidR="00EE409F" w:rsidRPr="00EE409F" w:rsidRDefault="00140AB1" w:rsidP="00140AB1">
      <w:pPr>
        <w:pStyle w:val="ListLevel1"/>
        <w:numPr>
          <w:ilvl w:val="0"/>
          <w:numId w:val="0"/>
        </w:numPr>
        <w:tabs>
          <w:tab w:val="left" w:pos="851"/>
        </w:tabs>
        <w:ind w:left="851" w:hanging="851"/>
      </w:pPr>
      <w:r w:rsidRPr="00EE409F">
        <w:t>2.</w:t>
      </w:r>
      <w:r w:rsidRPr="00EE409F">
        <w:tab/>
      </w:r>
      <w:r w:rsidR="00EE409F" w:rsidRPr="00EE409F">
        <w:t>The notice of motion in the application shall serve as the applicant’s summons</w:t>
      </w:r>
      <w:r w:rsidR="002D73BE">
        <w:t>.</w:t>
      </w:r>
    </w:p>
    <w:p w14:paraId="3E5A889E" w14:textId="0CD2CEBB" w:rsidR="00EE409F" w:rsidRPr="00EE409F" w:rsidRDefault="00140AB1" w:rsidP="00140AB1">
      <w:pPr>
        <w:pStyle w:val="ListLevel1"/>
        <w:numPr>
          <w:ilvl w:val="0"/>
          <w:numId w:val="0"/>
        </w:numPr>
        <w:tabs>
          <w:tab w:val="left" w:pos="851"/>
        </w:tabs>
        <w:ind w:left="851" w:hanging="851"/>
      </w:pPr>
      <w:r w:rsidRPr="00EE409F">
        <w:t>3.</w:t>
      </w:r>
      <w:r w:rsidRPr="00EE409F">
        <w:tab/>
      </w:r>
      <w:r w:rsidR="00EE409F" w:rsidRPr="00EE409F">
        <w:t>The founding affidavit shall serve as the particulars of claim</w:t>
      </w:r>
    </w:p>
    <w:p w14:paraId="3237D982" w14:textId="250A079D" w:rsidR="00EE409F" w:rsidRPr="00EE409F" w:rsidRDefault="00140AB1" w:rsidP="00140AB1">
      <w:pPr>
        <w:pStyle w:val="ListLevel1"/>
        <w:numPr>
          <w:ilvl w:val="0"/>
          <w:numId w:val="0"/>
        </w:numPr>
        <w:tabs>
          <w:tab w:val="left" w:pos="851"/>
        </w:tabs>
        <w:ind w:left="851" w:hanging="851"/>
      </w:pPr>
      <w:r w:rsidRPr="00EE409F">
        <w:lastRenderedPageBreak/>
        <w:t>4.</w:t>
      </w:r>
      <w:r w:rsidRPr="00EE409F">
        <w:tab/>
      </w:r>
      <w:r w:rsidR="00EE409F" w:rsidRPr="00EE409F">
        <w:t>The answering affidavit shall stand as the respondent’s plea</w:t>
      </w:r>
      <w:r w:rsidR="002D73BE">
        <w:t>.</w:t>
      </w:r>
    </w:p>
    <w:p w14:paraId="23A02E57" w14:textId="16F7371D" w:rsidR="00EE409F" w:rsidRPr="00EE409F" w:rsidRDefault="00140AB1" w:rsidP="00140AB1">
      <w:pPr>
        <w:pStyle w:val="ListLevel1"/>
        <w:numPr>
          <w:ilvl w:val="0"/>
          <w:numId w:val="0"/>
        </w:numPr>
        <w:tabs>
          <w:tab w:val="left" w:pos="851"/>
        </w:tabs>
        <w:ind w:left="851" w:hanging="851"/>
      </w:pPr>
      <w:r w:rsidRPr="00EE409F">
        <w:t>5.</w:t>
      </w:r>
      <w:r w:rsidRPr="00EE409F">
        <w:tab/>
      </w:r>
      <w:r w:rsidR="00EE409F" w:rsidRPr="00EE409F">
        <w:t>The applicant</w:t>
      </w:r>
      <w:r w:rsidR="002D73BE">
        <w:t>’</w:t>
      </w:r>
      <w:r w:rsidR="00EE409F" w:rsidRPr="00EE409F">
        <w:t>s replying affidavit shall be its replication.</w:t>
      </w:r>
    </w:p>
    <w:p w14:paraId="531E787A" w14:textId="549FF141" w:rsidR="00EE409F" w:rsidRPr="00EE409F" w:rsidRDefault="00140AB1" w:rsidP="00140AB1">
      <w:pPr>
        <w:pStyle w:val="ListLevel1"/>
        <w:numPr>
          <w:ilvl w:val="0"/>
          <w:numId w:val="0"/>
        </w:numPr>
        <w:tabs>
          <w:tab w:val="left" w:pos="851"/>
        </w:tabs>
        <w:ind w:left="851" w:hanging="851"/>
      </w:pPr>
      <w:r w:rsidRPr="00EE409F">
        <w:t>6.</w:t>
      </w:r>
      <w:r w:rsidRPr="00EE409F">
        <w:tab/>
      </w:r>
      <w:r w:rsidR="00EE409F" w:rsidRPr="00EE409F">
        <w:t xml:space="preserve">The </w:t>
      </w:r>
      <w:r w:rsidR="002D73BE">
        <w:t xml:space="preserve">Uniform </w:t>
      </w:r>
      <w:r w:rsidR="00EE409F" w:rsidRPr="00EE409F">
        <w:t xml:space="preserve">Rules of Court apply regarding the further exchange of pleadings, </w:t>
      </w:r>
      <w:proofErr w:type="spellStart"/>
      <w:r w:rsidR="00EE409F" w:rsidRPr="00EE409F">
        <w:t>pretrial</w:t>
      </w:r>
      <w:proofErr w:type="spellEnd"/>
      <w:r w:rsidR="00EE409F" w:rsidRPr="00EE409F">
        <w:t xml:space="preserve"> and discovery procedures, including the request for further trial particulars, and amendment of pleadings, as in action proceedings.</w:t>
      </w:r>
    </w:p>
    <w:p w14:paraId="5300B4FD" w14:textId="33CCD8A5" w:rsidR="00EE409F" w:rsidRDefault="00140AB1" w:rsidP="00140AB1">
      <w:pPr>
        <w:pStyle w:val="ListLevel1"/>
        <w:numPr>
          <w:ilvl w:val="0"/>
          <w:numId w:val="0"/>
        </w:numPr>
        <w:tabs>
          <w:tab w:val="left" w:pos="851"/>
        </w:tabs>
        <w:ind w:left="851" w:hanging="851"/>
      </w:pPr>
      <w:r>
        <w:t>7.</w:t>
      </w:r>
      <w:r>
        <w:tab/>
      </w:r>
      <w:r w:rsidR="00EE409F" w:rsidRPr="00EE409F">
        <w:t xml:space="preserve">The applicant shall pay the respondents costs on an attorney client scale prior to the continuation of the trial. </w:t>
      </w:r>
    </w:p>
    <w:p w14:paraId="39152949" w14:textId="17990BB2" w:rsidR="00EE409F" w:rsidRPr="00EE409F" w:rsidRDefault="00EE409F" w:rsidP="00EE409F">
      <w:pPr>
        <w:pStyle w:val="ListLevel1"/>
        <w:numPr>
          <w:ilvl w:val="0"/>
          <w:numId w:val="0"/>
        </w:numPr>
        <w:ind w:left="851"/>
      </w:pPr>
    </w:p>
    <w:p w14:paraId="1FB6D268" w14:textId="5702F15F" w:rsidR="00EE409F" w:rsidRDefault="00EE409F" w:rsidP="00EE409F">
      <w:pPr>
        <w:pStyle w:val="ListLevel1"/>
        <w:numPr>
          <w:ilvl w:val="0"/>
          <w:numId w:val="0"/>
        </w:numPr>
        <w:spacing w:after="0" w:line="240" w:lineRule="auto"/>
      </w:pPr>
    </w:p>
    <w:p w14:paraId="43B29834" w14:textId="77777777" w:rsidR="00EE409F" w:rsidRDefault="00EE409F" w:rsidP="00EE409F">
      <w:pPr>
        <w:pStyle w:val="ListLevel1"/>
        <w:numPr>
          <w:ilvl w:val="0"/>
          <w:numId w:val="0"/>
        </w:numPr>
        <w:spacing w:after="0" w:line="240" w:lineRule="auto"/>
      </w:pPr>
      <w:r>
        <w:t>__________</w:t>
      </w:r>
    </w:p>
    <w:p w14:paraId="3585D41D" w14:textId="77777777" w:rsidR="00EE409F" w:rsidRPr="00EE409F" w:rsidRDefault="00EE409F" w:rsidP="00EE409F">
      <w:pPr>
        <w:pStyle w:val="ListLevel1"/>
        <w:numPr>
          <w:ilvl w:val="0"/>
          <w:numId w:val="0"/>
        </w:numPr>
        <w:spacing w:after="0" w:line="240" w:lineRule="auto"/>
        <w:rPr>
          <w:b/>
        </w:rPr>
      </w:pPr>
      <w:r w:rsidRPr="00EE409F">
        <w:rPr>
          <w:b/>
        </w:rPr>
        <w:t>MAHOMED AJ</w:t>
      </w:r>
    </w:p>
    <w:p w14:paraId="6A27327A" w14:textId="3C12D891" w:rsidR="00EE409F" w:rsidRDefault="00EE409F" w:rsidP="00EE409F">
      <w:pPr>
        <w:pStyle w:val="ListLevel1"/>
        <w:numPr>
          <w:ilvl w:val="0"/>
          <w:numId w:val="0"/>
        </w:numPr>
        <w:ind w:left="851" w:hanging="851"/>
      </w:pPr>
      <w:r w:rsidRPr="00980139">
        <w:t>Acting Judge of the High Court</w:t>
      </w:r>
    </w:p>
    <w:p w14:paraId="53C9A2B0" w14:textId="25B55B68" w:rsidR="00EE409F" w:rsidRPr="00980139" w:rsidRDefault="00EE409F" w:rsidP="00EE409F">
      <w:pPr>
        <w:pStyle w:val="ListLevel1"/>
        <w:numPr>
          <w:ilvl w:val="0"/>
          <w:numId w:val="0"/>
        </w:numPr>
        <w:spacing w:after="0"/>
        <w:rPr>
          <w:rFonts w:cs="Arial"/>
          <w:sz w:val="24"/>
          <w:szCs w:val="24"/>
        </w:rPr>
      </w:pPr>
      <w:r w:rsidRPr="00980139">
        <w:rPr>
          <w:rFonts w:cs="Arial"/>
          <w:sz w:val="24"/>
          <w:szCs w:val="24"/>
        </w:rPr>
        <w:t xml:space="preserve">This judgment was prepared and authored by Acting Judge </w:t>
      </w:r>
      <w:proofErr w:type="spellStart"/>
      <w:r w:rsidRPr="00980139">
        <w:rPr>
          <w:rFonts w:cs="Arial"/>
          <w:sz w:val="24"/>
          <w:szCs w:val="24"/>
        </w:rPr>
        <w:t>Mahomed</w:t>
      </w:r>
      <w:proofErr w:type="spellEnd"/>
      <w:r w:rsidRPr="00980139">
        <w:rPr>
          <w:rFonts w:cs="Arial"/>
          <w:sz w:val="24"/>
          <w:szCs w:val="24"/>
        </w:rPr>
        <w:t xml:space="preserve">. It is handed down electronically by circulation to the parties or their legal representatives by email and by uploading it to the electronic file of this matter on </w:t>
      </w:r>
      <w:proofErr w:type="spellStart"/>
      <w:r w:rsidRPr="00980139">
        <w:rPr>
          <w:rFonts w:cs="Arial"/>
          <w:sz w:val="24"/>
          <w:szCs w:val="24"/>
        </w:rPr>
        <w:t>Caselines</w:t>
      </w:r>
      <w:proofErr w:type="spellEnd"/>
      <w:r w:rsidRPr="00980139">
        <w:rPr>
          <w:rFonts w:cs="Arial"/>
          <w:sz w:val="24"/>
          <w:szCs w:val="24"/>
        </w:rPr>
        <w:t xml:space="preserve">.  The date for hand-down is deemed to be </w:t>
      </w:r>
      <w:r w:rsidR="002D73BE">
        <w:rPr>
          <w:rFonts w:cs="Arial"/>
          <w:sz w:val="24"/>
          <w:szCs w:val="24"/>
        </w:rPr>
        <w:t>2</w:t>
      </w:r>
      <w:r>
        <w:rPr>
          <w:rFonts w:cs="Arial"/>
          <w:sz w:val="24"/>
          <w:szCs w:val="24"/>
        </w:rPr>
        <w:t xml:space="preserve"> November </w:t>
      </w:r>
      <w:r w:rsidRPr="00980139">
        <w:rPr>
          <w:rFonts w:cs="Arial"/>
          <w:sz w:val="24"/>
          <w:szCs w:val="24"/>
        </w:rPr>
        <w:t>2022.</w:t>
      </w:r>
    </w:p>
    <w:p w14:paraId="2D2866A2" w14:textId="77777777" w:rsidR="00EE409F" w:rsidRDefault="00EE409F" w:rsidP="00EE409F">
      <w:pPr>
        <w:spacing w:line="480" w:lineRule="auto"/>
        <w:rPr>
          <w:rFonts w:ascii="Arial" w:hAnsi="Arial" w:cs="Arial"/>
          <w:sz w:val="24"/>
          <w:szCs w:val="24"/>
        </w:rPr>
      </w:pPr>
    </w:p>
    <w:p w14:paraId="1718BCB6" w14:textId="64A6AFD1"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 xml:space="preserve">Date of </w:t>
      </w:r>
      <w:r w:rsidR="002D73BE" w:rsidRPr="00EE409F">
        <w:rPr>
          <w:rFonts w:ascii="Arial" w:hAnsi="Arial" w:cs="Arial"/>
          <w:sz w:val="24"/>
          <w:szCs w:val="24"/>
        </w:rPr>
        <w:t>Hearing:</w:t>
      </w:r>
      <w:r w:rsidRPr="00EE409F">
        <w:rPr>
          <w:rFonts w:ascii="Arial" w:hAnsi="Arial" w:cs="Arial"/>
          <w:sz w:val="24"/>
          <w:szCs w:val="24"/>
        </w:rPr>
        <w:t xml:space="preserve"> </w:t>
      </w:r>
      <w:r w:rsidRPr="00EE409F">
        <w:rPr>
          <w:rFonts w:ascii="Arial" w:hAnsi="Arial" w:cs="Arial"/>
          <w:sz w:val="24"/>
          <w:szCs w:val="24"/>
        </w:rPr>
        <w:tab/>
        <w:t>7 September 2022</w:t>
      </w:r>
      <w:bookmarkStart w:id="3" w:name="_GoBack"/>
      <w:bookmarkEnd w:id="3"/>
    </w:p>
    <w:p w14:paraId="2B0C6092" w14:textId="0C6A8648"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lastRenderedPageBreak/>
        <w:t>Date of Judgment:</w:t>
      </w:r>
      <w:r w:rsidRPr="00EE409F">
        <w:rPr>
          <w:rFonts w:ascii="Arial" w:hAnsi="Arial" w:cs="Arial"/>
          <w:sz w:val="24"/>
          <w:szCs w:val="24"/>
        </w:rPr>
        <w:tab/>
      </w:r>
      <w:r w:rsidR="002D73BE">
        <w:rPr>
          <w:rFonts w:ascii="Arial" w:hAnsi="Arial" w:cs="Arial"/>
          <w:sz w:val="24"/>
          <w:szCs w:val="24"/>
        </w:rPr>
        <w:t>2</w:t>
      </w:r>
      <w:r w:rsidRPr="00EE409F">
        <w:rPr>
          <w:rFonts w:ascii="Arial" w:hAnsi="Arial" w:cs="Arial"/>
          <w:sz w:val="24"/>
          <w:szCs w:val="24"/>
        </w:rPr>
        <w:t xml:space="preserve"> November 2022</w:t>
      </w:r>
    </w:p>
    <w:p w14:paraId="2D32C99A" w14:textId="77777777" w:rsidR="00EE409F" w:rsidRDefault="00EE409F" w:rsidP="00EE409F">
      <w:pPr>
        <w:spacing w:line="480" w:lineRule="auto"/>
        <w:rPr>
          <w:rFonts w:ascii="Arial" w:hAnsi="Arial" w:cs="Arial"/>
          <w:sz w:val="24"/>
          <w:szCs w:val="24"/>
        </w:rPr>
      </w:pPr>
    </w:p>
    <w:p w14:paraId="14E17B56" w14:textId="4FAFFABB"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Appearances</w:t>
      </w:r>
    </w:p>
    <w:p w14:paraId="63622090" w14:textId="0D36118D"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For the applicant:</w:t>
      </w:r>
      <w:r>
        <w:rPr>
          <w:rFonts w:ascii="Arial" w:hAnsi="Arial" w:cs="Arial"/>
          <w:sz w:val="24"/>
          <w:szCs w:val="24"/>
        </w:rPr>
        <w:tab/>
      </w:r>
      <w:r>
        <w:rPr>
          <w:rFonts w:ascii="Arial" w:hAnsi="Arial" w:cs="Arial"/>
          <w:sz w:val="24"/>
          <w:szCs w:val="24"/>
        </w:rPr>
        <w:tab/>
      </w:r>
      <w:r w:rsidR="00A278AF">
        <w:rPr>
          <w:rFonts w:ascii="Arial" w:hAnsi="Arial" w:cs="Arial"/>
          <w:sz w:val="24"/>
          <w:szCs w:val="24"/>
        </w:rPr>
        <w:tab/>
      </w:r>
      <w:r w:rsidRPr="00EE409F">
        <w:rPr>
          <w:rFonts w:ascii="Arial" w:hAnsi="Arial" w:cs="Arial"/>
          <w:sz w:val="24"/>
          <w:szCs w:val="24"/>
        </w:rPr>
        <w:t xml:space="preserve">Advocate </w:t>
      </w:r>
      <w:proofErr w:type="spellStart"/>
      <w:r w:rsidRPr="00EE409F">
        <w:rPr>
          <w:rFonts w:ascii="Arial" w:hAnsi="Arial" w:cs="Arial"/>
          <w:sz w:val="24"/>
          <w:szCs w:val="24"/>
        </w:rPr>
        <w:t>Mathiba</w:t>
      </w:r>
      <w:proofErr w:type="spellEnd"/>
    </w:p>
    <w:p w14:paraId="468824A1" w14:textId="6E4BF868"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sidR="00A278AF">
        <w:rPr>
          <w:rFonts w:ascii="Arial" w:hAnsi="Arial" w:cs="Arial"/>
          <w:sz w:val="24"/>
          <w:szCs w:val="24"/>
        </w:rPr>
        <w:tab/>
      </w:r>
      <w:proofErr w:type="spellStart"/>
      <w:r w:rsidRPr="00EE409F">
        <w:rPr>
          <w:rFonts w:ascii="Arial" w:hAnsi="Arial" w:cs="Arial"/>
          <w:sz w:val="24"/>
          <w:szCs w:val="24"/>
        </w:rPr>
        <w:t>Buba</w:t>
      </w:r>
      <w:proofErr w:type="spellEnd"/>
      <w:r w:rsidRPr="00EE409F">
        <w:rPr>
          <w:rFonts w:ascii="Arial" w:hAnsi="Arial" w:cs="Arial"/>
          <w:sz w:val="24"/>
          <w:szCs w:val="24"/>
        </w:rPr>
        <w:t xml:space="preserve"> Attorneys </w:t>
      </w:r>
      <w:proofErr w:type="spellStart"/>
      <w:r w:rsidRPr="00EE409F">
        <w:rPr>
          <w:rFonts w:ascii="Arial" w:hAnsi="Arial" w:cs="Arial"/>
          <w:sz w:val="24"/>
          <w:szCs w:val="24"/>
        </w:rPr>
        <w:t>Inc</w:t>
      </w:r>
      <w:proofErr w:type="spellEnd"/>
    </w:p>
    <w:p w14:paraId="6FF2190A" w14:textId="2F835BB7"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sidR="00A278AF">
        <w:rPr>
          <w:rFonts w:ascii="Arial" w:hAnsi="Arial" w:cs="Arial"/>
          <w:sz w:val="24"/>
          <w:szCs w:val="24"/>
        </w:rPr>
        <w:tab/>
      </w:r>
      <w:hyperlink r:id="rId9" w:history="1">
        <w:r w:rsidR="00A278AF" w:rsidRPr="00250FBF">
          <w:rPr>
            <w:rStyle w:val="Hyperlink"/>
            <w:rFonts w:ascii="Arial" w:hAnsi="Arial" w:cs="Arial"/>
            <w:sz w:val="24"/>
            <w:szCs w:val="24"/>
          </w:rPr>
          <w:t>info@bubaattorneys.co.za</w:t>
        </w:r>
      </w:hyperlink>
      <w:r w:rsidRPr="00EE409F">
        <w:rPr>
          <w:rFonts w:ascii="Arial" w:hAnsi="Arial" w:cs="Arial"/>
          <w:sz w:val="24"/>
          <w:szCs w:val="24"/>
        </w:rPr>
        <w:t xml:space="preserve"> </w:t>
      </w:r>
    </w:p>
    <w:p w14:paraId="0C437CEA" w14:textId="77777777" w:rsidR="00EE409F" w:rsidRDefault="00EE409F" w:rsidP="00EE409F">
      <w:pPr>
        <w:spacing w:line="480" w:lineRule="auto"/>
        <w:rPr>
          <w:rFonts w:ascii="Arial" w:hAnsi="Arial" w:cs="Arial"/>
          <w:sz w:val="24"/>
          <w:szCs w:val="24"/>
        </w:rPr>
      </w:pPr>
    </w:p>
    <w:p w14:paraId="5D76F744" w14:textId="1CA56D4D"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For the second respondent</w:t>
      </w:r>
      <w:r>
        <w:rPr>
          <w:rFonts w:ascii="Arial" w:hAnsi="Arial" w:cs="Arial"/>
          <w:sz w:val="24"/>
          <w:szCs w:val="24"/>
        </w:rPr>
        <w:t>:</w:t>
      </w:r>
      <w:r>
        <w:rPr>
          <w:rFonts w:ascii="Arial" w:hAnsi="Arial" w:cs="Arial"/>
          <w:sz w:val="24"/>
          <w:szCs w:val="24"/>
        </w:rPr>
        <w:tab/>
      </w:r>
      <w:r w:rsidRPr="00EE409F">
        <w:rPr>
          <w:rFonts w:ascii="Arial" w:hAnsi="Arial" w:cs="Arial"/>
          <w:sz w:val="24"/>
          <w:szCs w:val="24"/>
        </w:rPr>
        <w:t>Advocate Mouton</w:t>
      </w:r>
    </w:p>
    <w:p w14:paraId="37F8D01C" w14:textId="070DFC78"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Instructed by</w:t>
      </w:r>
      <w:r w:rsidR="00A278AF">
        <w:rPr>
          <w:rFonts w:ascii="Arial" w:hAnsi="Arial" w:cs="Arial"/>
          <w:sz w:val="24"/>
          <w:szCs w:val="24"/>
        </w:rPr>
        <w:t>:</w:t>
      </w:r>
      <w:r w:rsidR="00A278AF">
        <w:rPr>
          <w:rFonts w:ascii="Arial" w:hAnsi="Arial" w:cs="Arial"/>
          <w:sz w:val="24"/>
          <w:szCs w:val="24"/>
        </w:rPr>
        <w:tab/>
      </w:r>
      <w:r w:rsidR="00A278AF">
        <w:rPr>
          <w:rFonts w:ascii="Arial" w:hAnsi="Arial" w:cs="Arial"/>
          <w:sz w:val="24"/>
          <w:szCs w:val="24"/>
        </w:rPr>
        <w:tab/>
      </w:r>
      <w:r w:rsidR="00A278AF">
        <w:rPr>
          <w:rFonts w:ascii="Arial" w:hAnsi="Arial" w:cs="Arial"/>
          <w:sz w:val="24"/>
          <w:szCs w:val="24"/>
        </w:rPr>
        <w:tab/>
      </w:r>
      <w:r w:rsidRPr="00EE409F">
        <w:rPr>
          <w:rFonts w:ascii="Arial" w:hAnsi="Arial" w:cs="Arial"/>
          <w:sz w:val="24"/>
          <w:szCs w:val="24"/>
        </w:rPr>
        <w:t xml:space="preserve">Michael </w:t>
      </w:r>
      <w:proofErr w:type="spellStart"/>
      <w:r w:rsidRPr="00EE409F">
        <w:rPr>
          <w:rFonts w:ascii="Arial" w:hAnsi="Arial" w:cs="Arial"/>
          <w:sz w:val="24"/>
          <w:szCs w:val="24"/>
        </w:rPr>
        <w:t>Krawitz</w:t>
      </w:r>
      <w:proofErr w:type="spellEnd"/>
      <w:r w:rsidRPr="00EE409F">
        <w:rPr>
          <w:rFonts w:ascii="Arial" w:hAnsi="Arial" w:cs="Arial"/>
          <w:sz w:val="24"/>
          <w:szCs w:val="24"/>
        </w:rPr>
        <w:t xml:space="preserve"> &amp; Co</w:t>
      </w:r>
    </w:p>
    <w:p w14:paraId="5F5484EE" w14:textId="20D0D87D" w:rsidR="00EE409F" w:rsidRPr="00EE409F" w:rsidRDefault="00EE409F" w:rsidP="00EE409F">
      <w:pPr>
        <w:spacing w:line="480" w:lineRule="auto"/>
        <w:rPr>
          <w:rFonts w:ascii="Arial" w:hAnsi="Arial" w:cs="Arial"/>
          <w:sz w:val="24"/>
          <w:szCs w:val="24"/>
        </w:rPr>
      </w:pPr>
      <w:r w:rsidRPr="00EE409F">
        <w:rPr>
          <w:rFonts w:ascii="Arial" w:hAnsi="Arial" w:cs="Arial"/>
          <w:sz w:val="24"/>
          <w:szCs w:val="24"/>
        </w:rPr>
        <w:t xml:space="preserve">Email: </w:t>
      </w:r>
      <w:r w:rsidR="00A278AF">
        <w:rPr>
          <w:rFonts w:ascii="Arial" w:hAnsi="Arial" w:cs="Arial"/>
          <w:sz w:val="24"/>
          <w:szCs w:val="24"/>
        </w:rPr>
        <w:tab/>
      </w:r>
      <w:r w:rsidR="00A278AF">
        <w:rPr>
          <w:rFonts w:ascii="Arial" w:hAnsi="Arial" w:cs="Arial"/>
          <w:sz w:val="24"/>
          <w:szCs w:val="24"/>
        </w:rPr>
        <w:tab/>
      </w:r>
      <w:r w:rsidR="00A278AF">
        <w:rPr>
          <w:rFonts w:ascii="Arial" w:hAnsi="Arial" w:cs="Arial"/>
          <w:sz w:val="24"/>
          <w:szCs w:val="24"/>
        </w:rPr>
        <w:tab/>
      </w:r>
      <w:r w:rsidR="00A278AF">
        <w:rPr>
          <w:rFonts w:ascii="Arial" w:hAnsi="Arial" w:cs="Arial"/>
          <w:sz w:val="24"/>
          <w:szCs w:val="24"/>
        </w:rPr>
        <w:tab/>
      </w:r>
      <w:hyperlink r:id="rId10" w:history="1">
        <w:r w:rsidR="00A278AF" w:rsidRPr="00250FBF">
          <w:rPr>
            <w:rStyle w:val="Hyperlink"/>
            <w:rFonts w:ascii="Arial" w:hAnsi="Arial" w:cs="Arial"/>
            <w:sz w:val="24"/>
            <w:szCs w:val="24"/>
          </w:rPr>
          <w:t>gik@michaelkrawitz.co.za</w:t>
        </w:r>
      </w:hyperlink>
      <w:r w:rsidRPr="00EE409F">
        <w:rPr>
          <w:rFonts w:ascii="Arial" w:hAnsi="Arial" w:cs="Arial"/>
          <w:sz w:val="24"/>
          <w:szCs w:val="24"/>
        </w:rPr>
        <w:t xml:space="preserve">  </w:t>
      </w:r>
    </w:p>
    <w:p w14:paraId="46634DB2" w14:textId="43C83A1A" w:rsidR="0045222A" w:rsidRPr="00042306" w:rsidRDefault="0045222A" w:rsidP="00A278AF">
      <w:pPr>
        <w:spacing w:line="480" w:lineRule="auto"/>
        <w:rPr>
          <w:rFonts w:ascii="Arial" w:hAnsi="Arial" w:cs="Arial"/>
          <w:sz w:val="24"/>
          <w:szCs w:val="24"/>
        </w:rPr>
      </w:pPr>
    </w:p>
    <w:p w14:paraId="0E218622" w14:textId="7B750553" w:rsidR="00046227" w:rsidRDefault="00046227" w:rsidP="00252D88">
      <w:pPr>
        <w:pStyle w:val="ListLevel1"/>
        <w:numPr>
          <w:ilvl w:val="0"/>
          <w:numId w:val="0"/>
        </w:numPr>
        <w:spacing w:after="0" w:line="360" w:lineRule="auto"/>
        <w:ind w:left="851"/>
        <w:rPr>
          <w:rFonts w:cs="Arial"/>
          <w:sz w:val="24"/>
          <w:szCs w:val="24"/>
        </w:rPr>
      </w:pPr>
    </w:p>
    <w:sectPr w:rsidR="00046227"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D38F" w14:textId="77777777" w:rsidR="00546767" w:rsidRDefault="00546767">
      <w:r>
        <w:separator/>
      </w:r>
    </w:p>
  </w:endnote>
  <w:endnote w:type="continuationSeparator" w:id="0">
    <w:p w14:paraId="3B82BDDA" w14:textId="77777777" w:rsidR="00546767" w:rsidRDefault="0054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9A54" w14:textId="77777777" w:rsidR="00546767" w:rsidRDefault="00546767" w:rsidP="00B42A2F">
      <w:pPr>
        <w:spacing w:after="0" w:line="240" w:lineRule="auto"/>
      </w:pPr>
      <w:r>
        <w:separator/>
      </w:r>
    </w:p>
  </w:footnote>
  <w:footnote w:type="continuationSeparator" w:id="0">
    <w:p w14:paraId="5DA814E1" w14:textId="77777777" w:rsidR="00546767" w:rsidRDefault="00546767">
      <w:r>
        <w:continuationSeparator/>
      </w:r>
    </w:p>
  </w:footnote>
  <w:footnote w:id="1">
    <w:p w14:paraId="167084F8" w14:textId="1A77C98E" w:rsidR="00EE409F" w:rsidRDefault="00EE409F" w:rsidP="00EE409F">
      <w:pPr>
        <w:pStyle w:val="FootnoteText"/>
      </w:pPr>
      <w:r>
        <w:rPr>
          <w:rStyle w:val="FootnoteReference"/>
        </w:rPr>
        <w:footnoteRef/>
      </w:r>
      <w:r>
        <w:t xml:space="preserve"> </w:t>
      </w:r>
      <w:r>
        <w:tab/>
      </w:r>
      <w:proofErr w:type="spellStart"/>
      <w:r>
        <w:t>Caselines</w:t>
      </w:r>
      <w:proofErr w:type="spellEnd"/>
      <w:r>
        <w:t xml:space="preserve"> 01-47</w:t>
      </w:r>
    </w:p>
  </w:footnote>
  <w:footnote w:id="2">
    <w:p w14:paraId="75A9DA68" w14:textId="37A1E7A5" w:rsidR="00EE409F" w:rsidRDefault="00EE409F" w:rsidP="00EE409F">
      <w:pPr>
        <w:pStyle w:val="FootnoteText"/>
      </w:pPr>
      <w:r>
        <w:rPr>
          <w:rStyle w:val="FootnoteReference"/>
        </w:rPr>
        <w:footnoteRef/>
      </w:r>
      <w:r>
        <w:t xml:space="preserve"> </w:t>
      </w:r>
      <w:r>
        <w:tab/>
      </w:r>
      <w:proofErr w:type="spellStart"/>
      <w:r>
        <w:t>Caselines</w:t>
      </w:r>
      <w:proofErr w:type="spellEnd"/>
      <w:r>
        <w:t xml:space="preserve"> 01-</w:t>
      </w:r>
      <w:r w:rsidR="002D73BE">
        <w:t>18,</w:t>
      </w:r>
      <w:r>
        <w:t xml:space="preserve"> 01- 32</w:t>
      </w:r>
    </w:p>
  </w:footnote>
  <w:footnote w:id="3">
    <w:p w14:paraId="102CD074" w14:textId="2FBDAB0D" w:rsidR="00EE409F" w:rsidRDefault="00EE409F" w:rsidP="00EE409F">
      <w:pPr>
        <w:pStyle w:val="FootnoteText"/>
        <w:ind w:left="284" w:hanging="284"/>
      </w:pPr>
      <w:r>
        <w:rPr>
          <w:rStyle w:val="FootnoteReference"/>
        </w:rPr>
        <w:footnoteRef/>
      </w:r>
      <w:r>
        <w:t xml:space="preserve"> </w:t>
      </w:r>
      <w:r>
        <w:tab/>
        <w:t>(53/84) [1984] ZASCA 51</w:t>
      </w:r>
      <w:r>
        <w:tab/>
        <w:t>, [1984] 2 ALL SA 366 (A). 1984 (3) SA 623, 1984 (3) SA 620 (21 May 1984)</w:t>
      </w:r>
    </w:p>
  </w:footnote>
  <w:footnote w:id="4">
    <w:p w14:paraId="2245B19B" w14:textId="1A57E4F8" w:rsidR="00EE409F" w:rsidRDefault="00EE409F" w:rsidP="00EE409F">
      <w:pPr>
        <w:pStyle w:val="FootnoteText"/>
        <w:ind w:left="284" w:hanging="284"/>
      </w:pPr>
      <w:r>
        <w:rPr>
          <w:rStyle w:val="FootnoteReference"/>
        </w:rPr>
        <w:footnoteRef/>
      </w:r>
      <w:r>
        <w:t xml:space="preserve"> </w:t>
      </w:r>
      <w:r>
        <w:tab/>
        <w:t>(573/08) [2009] ZASCA 1; 2009(2) SA 277 (SCA); 2009 (2) SACR 361 (SCA) 2009 (4) BCLR 393 (SCA) [2009] 2 All SA 243 (SCA) (12 January 2009)</w:t>
      </w:r>
    </w:p>
  </w:footnote>
  <w:footnote w:id="5">
    <w:p w14:paraId="66BB5B60" w14:textId="197D99A4" w:rsidR="00EE409F" w:rsidRDefault="00EE409F" w:rsidP="00EE409F">
      <w:pPr>
        <w:pStyle w:val="FootnoteText"/>
      </w:pPr>
      <w:r>
        <w:rPr>
          <w:rStyle w:val="FootnoteReference"/>
        </w:rPr>
        <w:footnoteRef/>
      </w:r>
      <w:r>
        <w:t xml:space="preserve"> </w:t>
      </w:r>
      <w:r>
        <w:tab/>
        <w:t xml:space="preserve">NDPP v </w:t>
      </w:r>
      <w:proofErr w:type="spellStart"/>
      <w:r w:rsidR="002D73BE">
        <w:t>Zuma</w:t>
      </w:r>
      <w:proofErr w:type="spellEnd"/>
      <w:r w:rsidR="002D73BE">
        <w:t xml:space="preserve"> supra</w:t>
      </w:r>
      <w:r>
        <w:t xml:space="preserve"> para 26</w:t>
      </w:r>
    </w:p>
  </w:footnote>
  <w:footnote w:id="6">
    <w:p w14:paraId="3CAD6A6F" w14:textId="7E332759" w:rsidR="00EE409F" w:rsidRDefault="00EE409F" w:rsidP="00EE409F">
      <w:pPr>
        <w:pStyle w:val="FootnoteText"/>
      </w:pPr>
      <w:r>
        <w:rPr>
          <w:rStyle w:val="FootnoteReference"/>
        </w:rPr>
        <w:footnoteRef/>
      </w:r>
      <w:r>
        <w:t xml:space="preserve"> </w:t>
      </w:r>
      <w:r>
        <w:tab/>
      </w:r>
      <w:proofErr w:type="spellStart"/>
      <w:r>
        <w:t>Caselines</w:t>
      </w:r>
      <w:proofErr w:type="spellEnd"/>
      <w:r>
        <w:t xml:space="preserve"> 03-17 to 45</w:t>
      </w:r>
    </w:p>
  </w:footnote>
  <w:footnote w:id="7">
    <w:p w14:paraId="63D90820" w14:textId="77777777" w:rsidR="00EE409F" w:rsidRDefault="00EE409F" w:rsidP="00EE409F">
      <w:pPr>
        <w:pStyle w:val="FootnoteText"/>
      </w:pPr>
      <w:r>
        <w:rPr>
          <w:rStyle w:val="FootnoteReference"/>
        </w:rPr>
        <w:footnoteRef/>
      </w:r>
      <w:r>
        <w:t xml:space="preserve"> </w:t>
      </w:r>
      <w:proofErr w:type="spellStart"/>
      <w:r>
        <w:t>Caselines</w:t>
      </w:r>
      <w:proofErr w:type="spellEnd"/>
      <w:r>
        <w:t xml:space="preserve"> 03-12 – 13 at para 28  </w:t>
      </w:r>
    </w:p>
  </w:footnote>
  <w:footnote w:id="8">
    <w:p w14:paraId="1819B1BB" w14:textId="77777777" w:rsidR="00EE409F" w:rsidRDefault="00EE409F" w:rsidP="00EE409F">
      <w:pPr>
        <w:pStyle w:val="FootnoteText"/>
      </w:pPr>
      <w:r>
        <w:rPr>
          <w:rStyle w:val="FootnoteReference"/>
        </w:rPr>
        <w:footnoteRef/>
      </w:r>
      <w:r>
        <w:t xml:space="preserve"> </w:t>
      </w:r>
      <w:proofErr w:type="spellStart"/>
      <w:r>
        <w:t>Caselines</w:t>
      </w:r>
      <w:proofErr w:type="spellEnd"/>
      <w:r>
        <w:t xml:space="preserve"> 04-30</w:t>
      </w:r>
    </w:p>
  </w:footnote>
  <w:footnote w:id="9">
    <w:p w14:paraId="2CC4214F" w14:textId="751467A1" w:rsidR="00EE409F" w:rsidRDefault="00EE409F" w:rsidP="00EE409F">
      <w:pPr>
        <w:pStyle w:val="FootnoteText"/>
      </w:pPr>
      <w:r>
        <w:rPr>
          <w:rStyle w:val="FootnoteReference"/>
        </w:rPr>
        <w:footnoteRef/>
      </w:r>
      <w:r>
        <w:t xml:space="preserve"> </w:t>
      </w:r>
      <w:r>
        <w:tab/>
      </w:r>
      <w:proofErr w:type="spellStart"/>
      <w:r>
        <w:t>Caselines</w:t>
      </w:r>
      <w:proofErr w:type="spellEnd"/>
      <w:r>
        <w:t xml:space="preserve"> 01-37, </w:t>
      </w:r>
    </w:p>
  </w:footnote>
  <w:footnote w:id="10">
    <w:p w14:paraId="7B3EAD63" w14:textId="0B19CA10" w:rsidR="00EE409F" w:rsidRDefault="00EE409F" w:rsidP="00EE409F">
      <w:pPr>
        <w:pStyle w:val="FootnoteText"/>
      </w:pPr>
      <w:r>
        <w:rPr>
          <w:rStyle w:val="FootnoteReference"/>
        </w:rPr>
        <w:footnoteRef/>
      </w:r>
      <w:r>
        <w:t xml:space="preserve"> </w:t>
      </w:r>
      <w:r>
        <w:tab/>
      </w:r>
      <w:proofErr w:type="spellStart"/>
      <w:r>
        <w:t>Caselines</w:t>
      </w:r>
      <w:proofErr w:type="spellEnd"/>
      <w:r>
        <w:t xml:space="preserve"> 01-40</w:t>
      </w:r>
    </w:p>
  </w:footnote>
  <w:footnote w:id="11">
    <w:p w14:paraId="2E8E9911" w14:textId="77777777" w:rsidR="00EE409F" w:rsidRDefault="00EE409F" w:rsidP="00EE409F">
      <w:pPr>
        <w:pStyle w:val="FootnoteText"/>
      </w:pPr>
      <w:r>
        <w:rPr>
          <w:rStyle w:val="FootnoteReference"/>
        </w:rPr>
        <w:footnoteRef/>
      </w:r>
      <w:r>
        <w:t xml:space="preserve"> See supra at paragraph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27A09449"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235E10">
      <w:rPr>
        <w:rStyle w:val="PageNumber"/>
        <w:rFonts w:ascii="Arial" w:hAnsi="Arial" w:cs="Arial"/>
        <w:noProof/>
        <w:sz w:val="25"/>
        <w:szCs w:val="25"/>
      </w:rPr>
      <w:t>16</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93851D2"/>
    <w:multiLevelType w:val="hybridMultilevel"/>
    <w:tmpl w:val="EFF88D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0B236CF5"/>
    <w:multiLevelType w:val="hybridMultilevel"/>
    <w:tmpl w:val="B300B4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7">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9"/>
  </w:num>
  <w:num w:numId="4">
    <w:abstractNumId w:val="17"/>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1"/>
  </w:num>
  <w:num w:numId="22">
    <w:abstractNumId w:val="21"/>
  </w:num>
  <w:num w:numId="23">
    <w:abstractNumId w:val="21"/>
  </w:num>
  <w:num w:numId="24">
    <w:abstractNumId w:val="21"/>
  </w:num>
  <w:num w:numId="25">
    <w:abstractNumId w:val="31"/>
  </w:num>
  <w:num w:numId="26">
    <w:abstractNumId w:val="21"/>
  </w:num>
  <w:num w:numId="27">
    <w:abstractNumId w:val="21"/>
  </w:num>
  <w:num w:numId="28">
    <w:abstractNumId w:val="12"/>
  </w:num>
  <w:num w:numId="29">
    <w:abstractNumId w:val="22"/>
  </w:num>
  <w:num w:numId="30">
    <w:abstractNumId w:val="30"/>
  </w:num>
  <w:num w:numId="31">
    <w:abstractNumId w:val="23"/>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num>
  <w:num w:numId="36">
    <w:abstractNumId w:val="20"/>
  </w:num>
  <w:num w:numId="37">
    <w:abstractNumId w:val="26"/>
  </w:num>
  <w:num w:numId="38">
    <w:abstractNumId w:val="27"/>
  </w:num>
  <w:num w:numId="39">
    <w:abstractNumId w:val="25"/>
  </w:num>
  <w:num w:numId="40">
    <w:abstractNumId w:val="18"/>
  </w:num>
  <w:num w:numId="41">
    <w:abstractNumId w:val="15"/>
  </w:num>
  <w:num w:numId="42">
    <w:abstractNumId w:val="11"/>
  </w:num>
  <w:num w:numId="43">
    <w:abstractNumId w:val="1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6255"/>
    <w:rsid w:val="00067824"/>
    <w:rsid w:val="00076256"/>
    <w:rsid w:val="00076BDF"/>
    <w:rsid w:val="00080FB7"/>
    <w:rsid w:val="00081BE5"/>
    <w:rsid w:val="00092FE9"/>
    <w:rsid w:val="000C5FBC"/>
    <w:rsid w:val="000E1FD0"/>
    <w:rsid w:val="000F70EB"/>
    <w:rsid w:val="00103B17"/>
    <w:rsid w:val="0011358F"/>
    <w:rsid w:val="00140AB1"/>
    <w:rsid w:val="00142537"/>
    <w:rsid w:val="0014765C"/>
    <w:rsid w:val="001522B0"/>
    <w:rsid w:val="00157C9E"/>
    <w:rsid w:val="00171D00"/>
    <w:rsid w:val="00173D11"/>
    <w:rsid w:val="001A4B73"/>
    <w:rsid w:val="001B2387"/>
    <w:rsid w:val="001C327E"/>
    <w:rsid w:val="001C5E9C"/>
    <w:rsid w:val="001D10A4"/>
    <w:rsid w:val="001D1286"/>
    <w:rsid w:val="001E4A36"/>
    <w:rsid w:val="001F0D85"/>
    <w:rsid w:val="001F55DE"/>
    <w:rsid w:val="001F6793"/>
    <w:rsid w:val="00200B29"/>
    <w:rsid w:val="00203E3E"/>
    <w:rsid w:val="00204B1F"/>
    <w:rsid w:val="00234CD3"/>
    <w:rsid w:val="00235E10"/>
    <w:rsid w:val="00245352"/>
    <w:rsid w:val="00252D88"/>
    <w:rsid w:val="00254ABA"/>
    <w:rsid w:val="0025601B"/>
    <w:rsid w:val="00257E97"/>
    <w:rsid w:val="00262035"/>
    <w:rsid w:val="00267551"/>
    <w:rsid w:val="002C52D0"/>
    <w:rsid w:val="002C6E15"/>
    <w:rsid w:val="002D73BE"/>
    <w:rsid w:val="002E4069"/>
    <w:rsid w:val="002F0537"/>
    <w:rsid w:val="002F1EF0"/>
    <w:rsid w:val="00302280"/>
    <w:rsid w:val="00304027"/>
    <w:rsid w:val="00304323"/>
    <w:rsid w:val="00371F73"/>
    <w:rsid w:val="00394560"/>
    <w:rsid w:val="003A5334"/>
    <w:rsid w:val="003B155F"/>
    <w:rsid w:val="003E353F"/>
    <w:rsid w:val="003E7B53"/>
    <w:rsid w:val="003F078F"/>
    <w:rsid w:val="00405046"/>
    <w:rsid w:val="00405ECC"/>
    <w:rsid w:val="00423CB0"/>
    <w:rsid w:val="0045222A"/>
    <w:rsid w:val="00490977"/>
    <w:rsid w:val="004B5191"/>
    <w:rsid w:val="004B6D4A"/>
    <w:rsid w:val="004D0D37"/>
    <w:rsid w:val="004E07A7"/>
    <w:rsid w:val="004E37E5"/>
    <w:rsid w:val="004E6608"/>
    <w:rsid w:val="004F5C32"/>
    <w:rsid w:val="00501616"/>
    <w:rsid w:val="00532293"/>
    <w:rsid w:val="00546767"/>
    <w:rsid w:val="00550532"/>
    <w:rsid w:val="005577D6"/>
    <w:rsid w:val="00560D9B"/>
    <w:rsid w:val="00560DAB"/>
    <w:rsid w:val="00585E16"/>
    <w:rsid w:val="00587C8C"/>
    <w:rsid w:val="00593E3F"/>
    <w:rsid w:val="00594841"/>
    <w:rsid w:val="00596FA2"/>
    <w:rsid w:val="005B2B01"/>
    <w:rsid w:val="005B386A"/>
    <w:rsid w:val="005B40AF"/>
    <w:rsid w:val="005D6C4D"/>
    <w:rsid w:val="00613714"/>
    <w:rsid w:val="006451F6"/>
    <w:rsid w:val="00645B54"/>
    <w:rsid w:val="0065104A"/>
    <w:rsid w:val="006576AF"/>
    <w:rsid w:val="0067260F"/>
    <w:rsid w:val="00675EF8"/>
    <w:rsid w:val="006842D7"/>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92F12"/>
    <w:rsid w:val="007938FD"/>
    <w:rsid w:val="007A5039"/>
    <w:rsid w:val="007B3DB5"/>
    <w:rsid w:val="007B5924"/>
    <w:rsid w:val="007E7FAE"/>
    <w:rsid w:val="008208B5"/>
    <w:rsid w:val="0083545A"/>
    <w:rsid w:val="008612FA"/>
    <w:rsid w:val="0088238F"/>
    <w:rsid w:val="008832D7"/>
    <w:rsid w:val="008851CD"/>
    <w:rsid w:val="008A0446"/>
    <w:rsid w:val="008F6698"/>
    <w:rsid w:val="0092610E"/>
    <w:rsid w:val="009769F2"/>
    <w:rsid w:val="00980139"/>
    <w:rsid w:val="0098104B"/>
    <w:rsid w:val="00984EE7"/>
    <w:rsid w:val="009B0F23"/>
    <w:rsid w:val="009C7773"/>
    <w:rsid w:val="009F640B"/>
    <w:rsid w:val="00A012C5"/>
    <w:rsid w:val="00A01A63"/>
    <w:rsid w:val="00A0233F"/>
    <w:rsid w:val="00A1177B"/>
    <w:rsid w:val="00A239FE"/>
    <w:rsid w:val="00A278AF"/>
    <w:rsid w:val="00A44620"/>
    <w:rsid w:val="00A73C54"/>
    <w:rsid w:val="00AC666D"/>
    <w:rsid w:val="00B00086"/>
    <w:rsid w:val="00B05014"/>
    <w:rsid w:val="00B20960"/>
    <w:rsid w:val="00B20BD4"/>
    <w:rsid w:val="00B234D9"/>
    <w:rsid w:val="00B263DE"/>
    <w:rsid w:val="00B42A2F"/>
    <w:rsid w:val="00B72E64"/>
    <w:rsid w:val="00BA08CE"/>
    <w:rsid w:val="00BD5A11"/>
    <w:rsid w:val="00BD73EF"/>
    <w:rsid w:val="00BE0913"/>
    <w:rsid w:val="00C00F49"/>
    <w:rsid w:val="00C06DE6"/>
    <w:rsid w:val="00C10A6A"/>
    <w:rsid w:val="00C15506"/>
    <w:rsid w:val="00C216CD"/>
    <w:rsid w:val="00C2519C"/>
    <w:rsid w:val="00C2718F"/>
    <w:rsid w:val="00C307C7"/>
    <w:rsid w:val="00C46EF1"/>
    <w:rsid w:val="00C6093D"/>
    <w:rsid w:val="00C61290"/>
    <w:rsid w:val="00C73C01"/>
    <w:rsid w:val="00C9115E"/>
    <w:rsid w:val="00CA68B7"/>
    <w:rsid w:val="00CF0140"/>
    <w:rsid w:val="00D612CB"/>
    <w:rsid w:val="00D82F93"/>
    <w:rsid w:val="00D91B37"/>
    <w:rsid w:val="00DB4B82"/>
    <w:rsid w:val="00DD201B"/>
    <w:rsid w:val="00DD2572"/>
    <w:rsid w:val="00DD7EC8"/>
    <w:rsid w:val="00E00582"/>
    <w:rsid w:val="00E0596D"/>
    <w:rsid w:val="00E14600"/>
    <w:rsid w:val="00E20795"/>
    <w:rsid w:val="00E21B69"/>
    <w:rsid w:val="00E3094A"/>
    <w:rsid w:val="00E375BF"/>
    <w:rsid w:val="00E424E0"/>
    <w:rsid w:val="00E55C3E"/>
    <w:rsid w:val="00E91717"/>
    <w:rsid w:val="00E9228C"/>
    <w:rsid w:val="00E972A8"/>
    <w:rsid w:val="00EC4BF5"/>
    <w:rsid w:val="00EE409F"/>
    <w:rsid w:val="00EE72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EE409F"/>
    <w:pPr>
      <w:tabs>
        <w:tab w:val="left" w:pos="284"/>
      </w:tabs>
      <w:spacing w:after="0"/>
    </w:pPr>
    <w:rPr>
      <w:rFonts w:ascii="Arial" w:hAnsi="Arial"/>
      <w:sz w:val="20"/>
      <w:szCs w:val="20"/>
    </w:rPr>
  </w:style>
  <w:style w:type="character" w:customStyle="1" w:styleId="FootnoteTextChar">
    <w:name w:val="Footnote Text Char"/>
    <w:link w:val="FootnoteText"/>
    <w:uiPriority w:val="99"/>
    <w:rsid w:val="00EE409F"/>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EE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k@michaelkrawitz.co.za" TargetMode="External"/><Relationship Id="rId4" Type="http://schemas.openxmlformats.org/officeDocument/2006/relationships/settings" Target="settings.xml"/><Relationship Id="rId9" Type="http://schemas.openxmlformats.org/officeDocument/2006/relationships/hyperlink" Target="mailto:info@buba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531D-2750-4769-A3AA-AD8F108C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16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2</cp:revision>
  <cp:lastPrinted>2022-01-26T15:55:00Z</cp:lastPrinted>
  <dcterms:created xsi:type="dcterms:W3CDTF">2022-11-07T06:49:00Z</dcterms:created>
  <dcterms:modified xsi:type="dcterms:W3CDTF">2022-11-07T06:49:00Z</dcterms:modified>
</cp:coreProperties>
</file>