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AA5" w:rsidRDefault="00045AA5" w:rsidP="00045AA5">
      <w:pPr>
        <w:jc w:val="center"/>
        <w:rPr>
          <w:rFonts w:asciiTheme="minorHAnsi" w:hAnsiTheme="minorHAnsi" w:cstheme="minorHAnsi"/>
          <w:b/>
          <w:sz w:val="26"/>
          <w:szCs w:val="26"/>
        </w:rPr>
      </w:pPr>
      <w:bookmarkStart w:id="0" w:name="_GoBack"/>
      <w:bookmarkEnd w:id="0"/>
      <w:r w:rsidRPr="00C201B8">
        <w:rPr>
          <w:rFonts w:asciiTheme="minorHAnsi" w:hAnsiTheme="minorHAnsi" w:cstheme="minorHAnsi"/>
          <w:b/>
          <w:sz w:val="26"/>
          <w:szCs w:val="26"/>
        </w:rPr>
        <w:t>IN THE HIGH COURT OF SOUTH AFRICA</w:t>
      </w:r>
    </w:p>
    <w:p w:rsidR="00045AA5" w:rsidRPr="00C201B8" w:rsidRDefault="00045AA5" w:rsidP="00045AA5">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045AA5" w:rsidRPr="00C201B8" w:rsidRDefault="00045AA5" w:rsidP="00045AA5">
      <w:pPr>
        <w:pStyle w:val="Heading3"/>
      </w:pPr>
    </w:p>
    <w:p w:rsidR="00465D10" w:rsidRDefault="00465D10" w:rsidP="00045AA5">
      <w:pPr>
        <w:jc w:val="center"/>
        <w:rPr>
          <w:rFonts w:asciiTheme="minorHAnsi" w:hAnsiTheme="minorHAnsi" w:cstheme="minorHAnsi"/>
          <w:sz w:val="26"/>
          <w:szCs w:val="26"/>
        </w:rPr>
      </w:pPr>
    </w:p>
    <w:p w:rsidR="00045AA5" w:rsidRPr="00C201B8" w:rsidRDefault="00045AA5" w:rsidP="00045AA5">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361FBD27" wp14:editId="7AA8462C">
                <wp:simplePos x="0" y="0"/>
                <wp:positionH relativeFrom="column">
                  <wp:posOffset>-371475</wp:posOffset>
                </wp:positionH>
                <wp:positionV relativeFrom="paragraph">
                  <wp:posOffset>76835</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rsidR="00FE0BED" w:rsidRPr="008B34AE" w:rsidRDefault="00FE0BED" w:rsidP="00045AA5">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FE0BED" w:rsidRPr="008B34AE" w:rsidRDefault="00FE0BED" w:rsidP="00045AA5">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FE0BED" w:rsidRDefault="00FE0BED" w:rsidP="00045AA5">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FE0BED" w:rsidRPr="00AB7D21" w:rsidRDefault="00FE0BED" w:rsidP="00045AA5">
                            <w:pPr>
                              <w:spacing w:after="200" w:line="276" w:lineRule="auto"/>
                              <w:ind w:left="360"/>
                              <w:suppressOverlap/>
                              <w:rPr>
                                <w:b/>
                                <w:sz w:val="16"/>
                                <w:szCs w:val="16"/>
                              </w:rPr>
                            </w:pPr>
                            <w:r w:rsidRPr="00AB7D21">
                              <w:rPr>
                                <w:b/>
                                <w:sz w:val="16"/>
                                <w:szCs w:val="16"/>
                              </w:rPr>
                              <w:t>Date:</w:t>
                            </w:r>
                            <w:r w:rsidR="00D2604C">
                              <w:rPr>
                                <w:b/>
                                <w:sz w:val="16"/>
                                <w:szCs w:val="16"/>
                              </w:rPr>
                              <w:t xml:space="preserve"> 22</w:t>
                            </w:r>
                            <w:r w:rsidRPr="00AB7D21">
                              <w:rPr>
                                <w:b/>
                                <w:sz w:val="16"/>
                                <w:szCs w:val="16"/>
                              </w:rPr>
                              <w:t>/</w:t>
                            </w:r>
                            <w:r>
                              <w:rPr>
                                <w:b/>
                                <w:sz w:val="16"/>
                                <w:szCs w:val="16"/>
                              </w:rPr>
                              <w:t>08</w:t>
                            </w:r>
                            <w:r w:rsidRPr="00AB7D21">
                              <w:rPr>
                                <w:b/>
                                <w:sz w:val="16"/>
                                <w:szCs w:val="16"/>
                              </w:rPr>
                              <w:t>/20</w:t>
                            </w:r>
                            <w:r>
                              <w:rPr>
                                <w:b/>
                                <w:sz w:val="16"/>
                                <w:szCs w:val="16"/>
                              </w:rPr>
                              <w:t>22</w:t>
                            </w:r>
                          </w:p>
                          <w:p w:rsidR="00FE0BED" w:rsidRDefault="00FE0BED" w:rsidP="00045AA5">
                            <w:pPr>
                              <w:suppressOverlap/>
                              <w:rPr>
                                <w:b/>
                                <w:sz w:val="16"/>
                                <w:szCs w:val="16"/>
                              </w:rPr>
                            </w:pPr>
                            <w:r>
                              <w:rPr>
                                <w:b/>
                                <w:sz w:val="16"/>
                                <w:szCs w:val="16"/>
                              </w:rPr>
                              <w:t xml:space="preserve"> _____________</w:t>
                            </w:r>
                          </w:p>
                          <w:p w:rsidR="00FE0BED" w:rsidRDefault="00FE0BED" w:rsidP="00045AA5">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1FBD27" id="_x0000_t202" coordsize="21600,21600" o:spt="202" path="m,l,21600r21600,l21600,xe">
                <v:stroke joinstyle="miter"/>
                <v:path gradientshapeok="t" o:connecttype="rect"/>
              </v:shapetype>
              <v:shape id="Text Box 2" o:spid="_x0000_s1026" type="#_x0000_t202" style="position:absolute;left:0;text-align:left;margin-left:-29.25pt;margin-top:6.05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">
                <v:textbox>
                  <w:txbxContent>
                    <w:p w:rsidR="00FE0BED" w:rsidRPr="008B34AE" w:rsidRDefault="00FE0BED" w:rsidP="00045AA5">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FE0BED" w:rsidRPr="008B34AE" w:rsidRDefault="00FE0BED" w:rsidP="00045AA5">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FE0BED" w:rsidRDefault="00FE0BED" w:rsidP="00045AA5">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FE0BED" w:rsidRPr="00AB7D21" w:rsidRDefault="00FE0BED" w:rsidP="00045AA5">
                      <w:pPr>
                        <w:spacing w:after="200" w:line="276" w:lineRule="auto"/>
                        <w:ind w:left="360"/>
                        <w:suppressOverlap/>
                        <w:rPr>
                          <w:b/>
                          <w:sz w:val="16"/>
                          <w:szCs w:val="16"/>
                        </w:rPr>
                      </w:pPr>
                      <w:r w:rsidRPr="00AB7D21">
                        <w:rPr>
                          <w:b/>
                          <w:sz w:val="16"/>
                          <w:szCs w:val="16"/>
                        </w:rPr>
                        <w:t>Date:</w:t>
                      </w:r>
                      <w:r w:rsidR="00D2604C">
                        <w:rPr>
                          <w:b/>
                          <w:sz w:val="16"/>
                          <w:szCs w:val="16"/>
                        </w:rPr>
                        <w:t xml:space="preserve"> 22</w:t>
                      </w:r>
                      <w:r w:rsidRPr="00AB7D21">
                        <w:rPr>
                          <w:b/>
                          <w:sz w:val="16"/>
                          <w:szCs w:val="16"/>
                        </w:rPr>
                        <w:t>/</w:t>
                      </w:r>
                      <w:r>
                        <w:rPr>
                          <w:b/>
                          <w:sz w:val="16"/>
                          <w:szCs w:val="16"/>
                        </w:rPr>
                        <w:t>08</w:t>
                      </w:r>
                      <w:r w:rsidRPr="00AB7D21">
                        <w:rPr>
                          <w:b/>
                          <w:sz w:val="16"/>
                          <w:szCs w:val="16"/>
                        </w:rPr>
                        <w:t>/20</w:t>
                      </w:r>
                      <w:r>
                        <w:rPr>
                          <w:b/>
                          <w:sz w:val="16"/>
                          <w:szCs w:val="16"/>
                        </w:rPr>
                        <w:t>22</w:t>
                      </w:r>
                    </w:p>
                    <w:p w:rsidR="00FE0BED" w:rsidRDefault="00FE0BED" w:rsidP="00045AA5">
                      <w:pPr>
                        <w:suppressOverlap/>
                        <w:rPr>
                          <w:b/>
                          <w:sz w:val="16"/>
                          <w:szCs w:val="16"/>
                        </w:rPr>
                      </w:pPr>
                      <w:r>
                        <w:rPr>
                          <w:b/>
                          <w:sz w:val="16"/>
                          <w:szCs w:val="16"/>
                        </w:rPr>
                        <w:t xml:space="preserve"> _____________</w:t>
                      </w:r>
                    </w:p>
                    <w:p w:rsidR="00FE0BED" w:rsidRDefault="00FE0BED" w:rsidP="00045AA5">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2499115A" wp14:editId="1F3B7DD8">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045AA5" w:rsidRDefault="00045AA5" w:rsidP="00045AA5">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2019/24007</w:t>
      </w:r>
    </w:p>
    <w:p w:rsidR="00045AA5" w:rsidRDefault="00045AA5" w:rsidP="00045AA5">
      <w:pPr>
        <w:spacing w:after="120"/>
        <w:jc w:val="right"/>
        <w:rPr>
          <w:rFonts w:asciiTheme="minorHAnsi" w:hAnsiTheme="minorHAnsi" w:cstheme="minorHAnsi"/>
          <w:sz w:val="26"/>
          <w:szCs w:val="26"/>
        </w:rPr>
      </w:pPr>
    </w:p>
    <w:p w:rsidR="00045AA5" w:rsidRPr="00C201B8" w:rsidRDefault="00045AA5" w:rsidP="00045AA5">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rsidR="00045AA5" w:rsidRDefault="00045AA5" w:rsidP="00045AA5">
      <w:pPr>
        <w:ind w:right="-46"/>
        <w:rPr>
          <w:rFonts w:asciiTheme="minorHAnsi" w:hAnsiTheme="minorHAnsi" w:cstheme="minorHAnsi"/>
          <w:b/>
          <w:sz w:val="26"/>
          <w:szCs w:val="26"/>
        </w:rPr>
      </w:pPr>
    </w:p>
    <w:p w:rsidR="00045AA5" w:rsidRDefault="00045AA5" w:rsidP="00045AA5">
      <w:pPr>
        <w:ind w:right="-46"/>
        <w:rPr>
          <w:rFonts w:asciiTheme="minorHAnsi" w:hAnsiTheme="minorHAnsi" w:cstheme="minorHAnsi"/>
          <w:sz w:val="26"/>
          <w:szCs w:val="26"/>
        </w:rPr>
      </w:pPr>
      <w:r>
        <w:rPr>
          <w:rFonts w:asciiTheme="minorHAnsi" w:hAnsiTheme="minorHAnsi" w:cstheme="minorHAnsi"/>
          <w:b/>
          <w:sz w:val="26"/>
          <w:szCs w:val="26"/>
        </w:rPr>
        <w:t>JACO CORNELIUS JUHL JURGENS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F3083E">
        <w:rPr>
          <w:rFonts w:asciiTheme="minorHAnsi" w:hAnsiTheme="minorHAnsi" w:cstheme="minorHAnsi"/>
          <w:sz w:val="26"/>
          <w:szCs w:val="26"/>
        </w:rPr>
        <w:t xml:space="preserve">   </w:t>
      </w:r>
      <w:r>
        <w:rPr>
          <w:rFonts w:asciiTheme="minorHAnsi" w:hAnsiTheme="minorHAnsi" w:cstheme="minorHAnsi"/>
          <w:sz w:val="26"/>
          <w:szCs w:val="26"/>
        </w:rPr>
        <w:t>First Applicant</w:t>
      </w:r>
      <w:r w:rsidR="00F3083E">
        <w:rPr>
          <w:rFonts w:asciiTheme="minorHAnsi" w:hAnsiTheme="minorHAnsi" w:cstheme="minorHAnsi"/>
          <w:sz w:val="26"/>
          <w:szCs w:val="26"/>
        </w:rPr>
        <w:t>/</w:t>
      </w:r>
    </w:p>
    <w:p w:rsidR="00F3083E" w:rsidRPr="00F3083E" w:rsidRDefault="00F3083E" w:rsidP="00045AA5">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B1250C">
        <w:rPr>
          <w:rFonts w:asciiTheme="minorHAnsi" w:hAnsiTheme="minorHAnsi" w:cstheme="minorHAnsi"/>
          <w:sz w:val="26"/>
          <w:szCs w:val="26"/>
        </w:rPr>
        <w:t xml:space="preserve">          </w:t>
      </w:r>
      <w:r>
        <w:rPr>
          <w:rFonts w:asciiTheme="minorHAnsi" w:hAnsiTheme="minorHAnsi" w:cstheme="minorHAnsi"/>
          <w:sz w:val="26"/>
          <w:szCs w:val="26"/>
        </w:rPr>
        <w:t>(1</w:t>
      </w:r>
      <w:r w:rsidRPr="00F3083E">
        <w:rPr>
          <w:rFonts w:asciiTheme="minorHAnsi" w:hAnsiTheme="minorHAnsi" w:cstheme="minorHAnsi"/>
          <w:sz w:val="26"/>
          <w:szCs w:val="26"/>
          <w:vertAlign w:val="superscript"/>
        </w:rPr>
        <w:t>ST</w:t>
      </w:r>
      <w:r>
        <w:rPr>
          <w:rFonts w:asciiTheme="minorHAnsi" w:hAnsiTheme="minorHAnsi" w:cstheme="minorHAnsi"/>
          <w:sz w:val="26"/>
          <w:szCs w:val="26"/>
        </w:rPr>
        <w:t xml:space="preserve"> Respondent in counterclaim</w:t>
      </w:r>
    </w:p>
    <w:p w:rsidR="00F3083E" w:rsidRDefault="00F3083E" w:rsidP="00045AA5">
      <w:pPr>
        <w:ind w:right="-46"/>
        <w:rPr>
          <w:rFonts w:asciiTheme="minorHAnsi" w:hAnsiTheme="minorHAnsi" w:cstheme="minorHAnsi"/>
          <w:b/>
          <w:sz w:val="26"/>
          <w:szCs w:val="26"/>
        </w:rPr>
      </w:pPr>
    </w:p>
    <w:p w:rsidR="00045AA5" w:rsidRDefault="00F3083E" w:rsidP="00045AA5">
      <w:pPr>
        <w:ind w:right="-46"/>
        <w:rPr>
          <w:rFonts w:asciiTheme="minorHAnsi" w:hAnsiTheme="minorHAnsi" w:cstheme="minorHAnsi"/>
          <w:b/>
          <w:sz w:val="26"/>
          <w:szCs w:val="26"/>
        </w:rPr>
      </w:pPr>
      <w:r>
        <w:rPr>
          <w:rFonts w:asciiTheme="minorHAnsi" w:hAnsiTheme="minorHAnsi" w:cstheme="minorHAnsi"/>
          <w:b/>
          <w:sz w:val="26"/>
          <w:szCs w:val="26"/>
        </w:rPr>
        <w:t>BOTHA AND JURGENS INC t/a RUIMSIG MEDIESE</w:t>
      </w:r>
    </w:p>
    <w:p w:rsidR="00F3083E" w:rsidRDefault="00F3083E" w:rsidP="00045AA5">
      <w:pPr>
        <w:ind w:right="-46"/>
        <w:rPr>
          <w:rFonts w:asciiTheme="minorHAnsi" w:hAnsiTheme="minorHAnsi" w:cstheme="minorHAnsi"/>
          <w:sz w:val="26"/>
          <w:szCs w:val="26"/>
        </w:rPr>
      </w:pPr>
      <w:r>
        <w:rPr>
          <w:rFonts w:asciiTheme="minorHAnsi" w:hAnsiTheme="minorHAnsi" w:cstheme="minorHAnsi"/>
          <w:b/>
          <w:sz w:val="26"/>
          <w:szCs w:val="26"/>
        </w:rPr>
        <w:t>SENTRUM &amp; DIABETIESE KLINIEK</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B1250C">
        <w:rPr>
          <w:rFonts w:asciiTheme="minorHAnsi" w:hAnsiTheme="minorHAnsi" w:cstheme="minorHAnsi"/>
          <w:sz w:val="26"/>
          <w:szCs w:val="26"/>
        </w:rPr>
        <w:t xml:space="preserve">          </w:t>
      </w:r>
      <w:r>
        <w:rPr>
          <w:rFonts w:asciiTheme="minorHAnsi" w:hAnsiTheme="minorHAnsi" w:cstheme="minorHAnsi"/>
          <w:sz w:val="26"/>
          <w:szCs w:val="26"/>
        </w:rPr>
        <w:t>Second Applicant/</w:t>
      </w:r>
    </w:p>
    <w:p w:rsidR="00F3083E" w:rsidRPr="00F3083E" w:rsidRDefault="00F3083E" w:rsidP="00045AA5">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r w:rsidR="00B1250C">
        <w:rPr>
          <w:rFonts w:asciiTheme="minorHAnsi" w:hAnsiTheme="minorHAnsi" w:cstheme="minorHAnsi"/>
          <w:sz w:val="26"/>
          <w:szCs w:val="26"/>
        </w:rPr>
        <w:t xml:space="preserve"> </w:t>
      </w:r>
      <w:r>
        <w:rPr>
          <w:rFonts w:asciiTheme="minorHAnsi" w:hAnsiTheme="minorHAnsi" w:cstheme="minorHAnsi"/>
          <w:sz w:val="26"/>
          <w:szCs w:val="26"/>
        </w:rPr>
        <w:t>(2</w:t>
      </w:r>
      <w:r w:rsidRPr="00F3083E">
        <w:rPr>
          <w:rFonts w:asciiTheme="minorHAnsi" w:hAnsiTheme="minorHAnsi" w:cstheme="minorHAnsi"/>
          <w:sz w:val="26"/>
          <w:szCs w:val="26"/>
          <w:vertAlign w:val="superscript"/>
        </w:rPr>
        <w:t>nd</w:t>
      </w:r>
      <w:r>
        <w:rPr>
          <w:rFonts w:asciiTheme="minorHAnsi" w:hAnsiTheme="minorHAnsi" w:cstheme="minorHAnsi"/>
          <w:sz w:val="26"/>
          <w:szCs w:val="26"/>
          <w:vertAlign w:val="superscript"/>
        </w:rPr>
        <w:t xml:space="preserve"> </w:t>
      </w:r>
      <w:r>
        <w:rPr>
          <w:rFonts w:asciiTheme="minorHAnsi" w:hAnsiTheme="minorHAnsi" w:cstheme="minorHAnsi"/>
          <w:sz w:val="26"/>
          <w:szCs w:val="26"/>
        </w:rPr>
        <w:t>Respondent in counterclaim</w:t>
      </w:r>
    </w:p>
    <w:p w:rsidR="00F3083E" w:rsidRDefault="00F3083E" w:rsidP="00045AA5">
      <w:pPr>
        <w:ind w:right="-46"/>
        <w:rPr>
          <w:rFonts w:asciiTheme="minorHAnsi" w:hAnsiTheme="minorHAnsi" w:cstheme="minorHAnsi"/>
          <w:b/>
          <w:sz w:val="26"/>
          <w:szCs w:val="26"/>
        </w:rPr>
      </w:pPr>
    </w:p>
    <w:p w:rsidR="00F3083E" w:rsidRDefault="00F3083E" w:rsidP="00045AA5">
      <w:pPr>
        <w:ind w:right="-46"/>
        <w:rPr>
          <w:rFonts w:asciiTheme="minorHAnsi" w:hAnsiTheme="minorHAnsi" w:cstheme="minorHAnsi"/>
          <w:b/>
          <w:sz w:val="26"/>
          <w:szCs w:val="26"/>
        </w:rPr>
      </w:pPr>
      <w:r>
        <w:rPr>
          <w:rFonts w:asciiTheme="minorHAnsi" w:hAnsiTheme="minorHAnsi" w:cstheme="minorHAnsi"/>
          <w:b/>
          <w:sz w:val="26"/>
          <w:szCs w:val="26"/>
        </w:rPr>
        <w:t>BOTHA AND JURGENS INCt/a RUIMSIG MEDIESE</w:t>
      </w:r>
    </w:p>
    <w:p w:rsidR="00F3083E" w:rsidRPr="00F3083E" w:rsidRDefault="00F3083E" w:rsidP="00045AA5">
      <w:pPr>
        <w:ind w:right="-46"/>
        <w:rPr>
          <w:rFonts w:asciiTheme="minorHAnsi" w:hAnsiTheme="minorHAnsi" w:cstheme="minorHAnsi"/>
          <w:sz w:val="26"/>
          <w:szCs w:val="26"/>
        </w:rPr>
      </w:pPr>
      <w:r>
        <w:rPr>
          <w:rFonts w:asciiTheme="minorHAnsi" w:hAnsiTheme="minorHAnsi" w:cstheme="minorHAnsi"/>
          <w:b/>
          <w:sz w:val="26"/>
          <w:szCs w:val="26"/>
        </w:rPr>
        <w:t>SENTRUM &amp; DIABETIESE KLINIEK</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B1250C">
        <w:rPr>
          <w:rFonts w:asciiTheme="minorHAnsi" w:hAnsiTheme="minorHAnsi" w:cstheme="minorHAnsi"/>
          <w:sz w:val="26"/>
          <w:szCs w:val="26"/>
        </w:rPr>
        <w:t xml:space="preserve"> </w:t>
      </w:r>
      <w:r>
        <w:rPr>
          <w:rFonts w:asciiTheme="minorHAnsi" w:hAnsiTheme="minorHAnsi" w:cstheme="minorHAnsi"/>
          <w:sz w:val="26"/>
          <w:szCs w:val="26"/>
        </w:rPr>
        <w:t>Third Applicant</w:t>
      </w:r>
      <w:r w:rsidR="00B1250C">
        <w:rPr>
          <w:rFonts w:asciiTheme="minorHAnsi" w:hAnsiTheme="minorHAnsi" w:cstheme="minorHAnsi"/>
          <w:sz w:val="26"/>
          <w:szCs w:val="26"/>
        </w:rPr>
        <w:t>/</w:t>
      </w:r>
    </w:p>
    <w:p w:rsidR="00F3083E" w:rsidRDefault="00F3083E" w:rsidP="00045AA5">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r w:rsidR="00B1250C">
        <w:rPr>
          <w:rFonts w:asciiTheme="minorHAnsi" w:hAnsiTheme="minorHAnsi" w:cstheme="minorHAnsi"/>
          <w:sz w:val="26"/>
          <w:szCs w:val="26"/>
        </w:rPr>
        <w:t xml:space="preserve"> </w:t>
      </w:r>
      <w:r>
        <w:rPr>
          <w:rFonts w:asciiTheme="minorHAnsi" w:hAnsiTheme="minorHAnsi" w:cstheme="minorHAnsi"/>
          <w:sz w:val="26"/>
          <w:szCs w:val="26"/>
        </w:rPr>
        <w:t>(3</w:t>
      </w:r>
      <w:r w:rsidRPr="00F3083E">
        <w:rPr>
          <w:rFonts w:asciiTheme="minorHAnsi" w:hAnsiTheme="minorHAnsi" w:cstheme="minorHAnsi"/>
          <w:sz w:val="26"/>
          <w:szCs w:val="26"/>
          <w:vertAlign w:val="superscript"/>
        </w:rPr>
        <w:t>rd</w:t>
      </w:r>
      <w:r>
        <w:rPr>
          <w:rFonts w:asciiTheme="minorHAnsi" w:hAnsiTheme="minorHAnsi" w:cstheme="minorHAnsi"/>
          <w:sz w:val="26"/>
          <w:szCs w:val="26"/>
        </w:rPr>
        <w:t xml:space="preserve"> respondent in counterclaim)</w:t>
      </w:r>
    </w:p>
    <w:p w:rsidR="00F3083E" w:rsidRDefault="00F3083E" w:rsidP="00045AA5">
      <w:pPr>
        <w:ind w:right="-46"/>
        <w:rPr>
          <w:rFonts w:asciiTheme="minorHAnsi" w:hAnsiTheme="minorHAnsi" w:cstheme="minorHAnsi"/>
          <w:sz w:val="26"/>
          <w:szCs w:val="26"/>
        </w:rPr>
      </w:pPr>
    </w:p>
    <w:p w:rsidR="00045AA5" w:rsidRPr="006168BD" w:rsidRDefault="00045AA5" w:rsidP="00045AA5">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rsidR="00045AA5" w:rsidRPr="00B13FBA" w:rsidRDefault="00045AA5" w:rsidP="00045AA5">
      <w:pPr>
        <w:ind w:right="-46"/>
        <w:rPr>
          <w:rFonts w:asciiTheme="minorHAnsi" w:hAnsiTheme="minorHAnsi" w:cstheme="minorHAnsi"/>
          <w:sz w:val="26"/>
          <w:szCs w:val="26"/>
        </w:rPr>
      </w:pPr>
    </w:p>
    <w:p w:rsidR="00045AA5" w:rsidRPr="00921886" w:rsidRDefault="00F3083E" w:rsidP="00045AA5">
      <w:pPr>
        <w:ind w:right="-46"/>
        <w:rPr>
          <w:rFonts w:asciiTheme="minorHAnsi" w:hAnsiTheme="minorHAnsi" w:cstheme="minorHAnsi"/>
          <w:sz w:val="26"/>
          <w:szCs w:val="26"/>
        </w:rPr>
      </w:pPr>
      <w:r>
        <w:rPr>
          <w:rFonts w:asciiTheme="minorHAnsi" w:hAnsiTheme="minorHAnsi" w:cstheme="minorHAnsi"/>
          <w:b/>
          <w:sz w:val="26"/>
          <w:szCs w:val="26"/>
        </w:rPr>
        <w:t>CHRISTOFFEL JACOBUS BOTHA</w:t>
      </w:r>
      <w:r w:rsidR="00045AA5">
        <w:rPr>
          <w:rFonts w:asciiTheme="minorHAnsi" w:hAnsiTheme="minorHAnsi" w:cstheme="minorHAnsi"/>
          <w:b/>
          <w:sz w:val="26"/>
          <w:szCs w:val="26"/>
        </w:rPr>
        <w:tab/>
      </w:r>
      <w:r w:rsidR="00045AA5">
        <w:rPr>
          <w:rFonts w:asciiTheme="minorHAnsi" w:hAnsiTheme="minorHAnsi" w:cstheme="minorHAnsi"/>
          <w:b/>
          <w:sz w:val="26"/>
          <w:szCs w:val="26"/>
        </w:rPr>
        <w:tab/>
      </w:r>
      <w:r w:rsidR="00045AA5">
        <w:rPr>
          <w:rFonts w:asciiTheme="minorHAnsi" w:hAnsiTheme="minorHAnsi" w:cstheme="minorHAnsi"/>
          <w:b/>
          <w:sz w:val="26"/>
          <w:szCs w:val="26"/>
        </w:rPr>
        <w:tab/>
      </w:r>
      <w:r w:rsidR="00045AA5">
        <w:rPr>
          <w:rFonts w:asciiTheme="minorHAnsi" w:hAnsiTheme="minorHAnsi" w:cstheme="minorHAnsi"/>
          <w:b/>
          <w:sz w:val="26"/>
          <w:szCs w:val="26"/>
        </w:rPr>
        <w:tab/>
      </w:r>
      <w:r w:rsidR="00045AA5">
        <w:rPr>
          <w:rFonts w:asciiTheme="minorHAnsi" w:hAnsiTheme="minorHAnsi" w:cstheme="minorHAnsi"/>
          <w:b/>
          <w:sz w:val="26"/>
          <w:szCs w:val="26"/>
        </w:rPr>
        <w:tab/>
      </w:r>
      <w:r w:rsidR="00045AA5">
        <w:rPr>
          <w:rFonts w:asciiTheme="minorHAnsi" w:hAnsiTheme="minorHAnsi" w:cstheme="minorHAnsi"/>
          <w:b/>
          <w:sz w:val="26"/>
          <w:szCs w:val="26"/>
        </w:rPr>
        <w:tab/>
      </w:r>
      <w:r w:rsidR="00B1250C">
        <w:rPr>
          <w:rFonts w:asciiTheme="minorHAnsi" w:hAnsiTheme="minorHAnsi" w:cstheme="minorHAnsi"/>
          <w:b/>
          <w:sz w:val="26"/>
          <w:szCs w:val="26"/>
        </w:rPr>
        <w:t xml:space="preserve">      </w:t>
      </w:r>
      <w:r w:rsidR="00045AA5" w:rsidRPr="00921886">
        <w:rPr>
          <w:rFonts w:asciiTheme="minorHAnsi" w:hAnsiTheme="minorHAnsi" w:cstheme="minorHAnsi"/>
          <w:sz w:val="26"/>
          <w:szCs w:val="26"/>
        </w:rPr>
        <w:t>Respondent</w:t>
      </w:r>
      <w:r w:rsidR="00B1250C">
        <w:rPr>
          <w:rFonts w:asciiTheme="minorHAnsi" w:hAnsiTheme="minorHAnsi" w:cstheme="minorHAnsi"/>
          <w:sz w:val="26"/>
          <w:szCs w:val="26"/>
        </w:rPr>
        <w:t>/</w:t>
      </w:r>
    </w:p>
    <w:p w:rsidR="00045AA5" w:rsidRPr="00F3083E" w:rsidRDefault="00F3083E" w:rsidP="00045AA5">
      <w:pPr>
        <w:ind w:right="-46"/>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w:t>
      </w:r>
      <w:r w:rsidR="00B1250C">
        <w:rPr>
          <w:rFonts w:asciiTheme="minorHAnsi" w:hAnsiTheme="minorHAnsi" w:cstheme="minorHAnsi"/>
          <w:sz w:val="26"/>
          <w:szCs w:val="26"/>
        </w:rPr>
        <w:t xml:space="preserve">   </w:t>
      </w:r>
      <w:r>
        <w:rPr>
          <w:rFonts w:asciiTheme="minorHAnsi" w:hAnsiTheme="minorHAnsi" w:cstheme="minorHAnsi"/>
          <w:sz w:val="26"/>
          <w:szCs w:val="26"/>
        </w:rPr>
        <w:t>(Applicant in counterclaim)</w:t>
      </w:r>
    </w:p>
    <w:p w:rsidR="00045AA5" w:rsidRPr="00C201B8" w:rsidRDefault="00045AA5" w:rsidP="00045AA5">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45AA5" w:rsidRPr="00C201B8" w:rsidRDefault="00045AA5" w:rsidP="00045AA5">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045AA5" w:rsidRPr="00C201B8" w:rsidRDefault="00045AA5" w:rsidP="00045AA5">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045AA5" w:rsidRPr="00E823A0" w:rsidRDefault="00045AA5" w:rsidP="00045AA5">
      <w:pPr>
        <w:rPr>
          <w:rFonts w:asciiTheme="minorHAnsi" w:hAnsiTheme="minorHAnsi" w:cstheme="minorHAnsi"/>
          <w:sz w:val="26"/>
          <w:szCs w:val="26"/>
        </w:rPr>
      </w:pPr>
    </w:p>
    <w:p w:rsidR="00045AA5" w:rsidRPr="009706D5" w:rsidRDefault="00045AA5" w:rsidP="00045AA5">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rsidR="00045AA5" w:rsidRDefault="00045AA5" w:rsidP="00045AA5">
      <w:pPr>
        <w:rPr>
          <w:rFonts w:asciiTheme="minorHAnsi" w:hAnsiTheme="minorHAnsi" w:cstheme="minorHAnsi"/>
          <w:sz w:val="26"/>
          <w:szCs w:val="26"/>
        </w:rPr>
      </w:pPr>
    </w:p>
    <w:p w:rsidR="00045AA5" w:rsidRDefault="00B1250C"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Pursuant to the launch of a main application in the urgent court, an order was made by consent between the </w:t>
      </w:r>
      <w:r w:rsidR="00A42030">
        <w:rPr>
          <w:rFonts w:asciiTheme="minorHAnsi" w:hAnsiTheme="minorHAnsi" w:cstheme="minorHAnsi"/>
          <w:sz w:val="26"/>
          <w:szCs w:val="26"/>
        </w:rPr>
        <w:t>first applicant and the respondent</w:t>
      </w:r>
      <w:r>
        <w:rPr>
          <w:rFonts w:asciiTheme="minorHAnsi" w:hAnsiTheme="minorHAnsi" w:cstheme="minorHAnsi"/>
          <w:sz w:val="26"/>
          <w:szCs w:val="26"/>
        </w:rPr>
        <w:t xml:space="preserve"> on 23 July 2019.</w:t>
      </w:r>
      <w:r>
        <w:rPr>
          <w:rStyle w:val="FootnoteReference"/>
          <w:rFonts w:asciiTheme="minorHAnsi" w:hAnsiTheme="minorHAnsi" w:cstheme="minorHAnsi"/>
          <w:sz w:val="26"/>
          <w:szCs w:val="26"/>
        </w:rPr>
        <w:footnoteReference w:id="1"/>
      </w:r>
      <w:r>
        <w:rPr>
          <w:rFonts w:asciiTheme="minorHAnsi" w:hAnsiTheme="minorHAnsi" w:cstheme="minorHAnsi"/>
          <w:sz w:val="26"/>
          <w:szCs w:val="26"/>
        </w:rPr>
        <w:t xml:space="preserve"> </w:t>
      </w:r>
    </w:p>
    <w:p w:rsidR="00045AA5" w:rsidRDefault="00045AA5" w:rsidP="00045AA5">
      <w:pPr>
        <w:pStyle w:val="ListParagraph"/>
        <w:rPr>
          <w:rFonts w:asciiTheme="minorHAnsi" w:hAnsiTheme="minorHAnsi" w:cstheme="minorHAnsi"/>
          <w:sz w:val="26"/>
          <w:szCs w:val="26"/>
        </w:rPr>
      </w:pPr>
    </w:p>
    <w:p w:rsidR="00961BC7" w:rsidRDefault="00C23060"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first applicant (hereinafter ‘Jurgens’) and the respondent (hereinafter ‘Botha’) are medical doctors who </w:t>
      </w:r>
      <w:r w:rsidR="00961BC7">
        <w:rPr>
          <w:rFonts w:asciiTheme="minorHAnsi" w:hAnsiTheme="minorHAnsi" w:cstheme="minorHAnsi"/>
          <w:sz w:val="26"/>
          <w:szCs w:val="26"/>
        </w:rPr>
        <w:t xml:space="preserve">were </w:t>
      </w:r>
      <w:r>
        <w:rPr>
          <w:rFonts w:asciiTheme="minorHAnsi" w:hAnsiTheme="minorHAnsi" w:cstheme="minorHAnsi"/>
          <w:sz w:val="26"/>
          <w:szCs w:val="26"/>
        </w:rPr>
        <w:t xml:space="preserve">previously </w:t>
      </w:r>
      <w:r w:rsidR="00961BC7">
        <w:rPr>
          <w:rFonts w:asciiTheme="minorHAnsi" w:hAnsiTheme="minorHAnsi" w:cstheme="minorHAnsi"/>
          <w:sz w:val="26"/>
          <w:szCs w:val="26"/>
        </w:rPr>
        <w:t>employed together with other medical practitioners in the</w:t>
      </w:r>
      <w:r>
        <w:rPr>
          <w:rFonts w:asciiTheme="minorHAnsi" w:hAnsiTheme="minorHAnsi" w:cstheme="minorHAnsi"/>
          <w:sz w:val="26"/>
          <w:szCs w:val="26"/>
        </w:rPr>
        <w:t xml:space="preserve"> </w:t>
      </w:r>
      <w:r w:rsidR="00A42030">
        <w:rPr>
          <w:rFonts w:asciiTheme="minorHAnsi" w:hAnsiTheme="minorHAnsi" w:cstheme="minorHAnsi"/>
          <w:sz w:val="26"/>
          <w:szCs w:val="26"/>
        </w:rPr>
        <w:t xml:space="preserve">two </w:t>
      </w:r>
      <w:r>
        <w:rPr>
          <w:rFonts w:asciiTheme="minorHAnsi" w:hAnsiTheme="minorHAnsi" w:cstheme="minorHAnsi"/>
          <w:sz w:val="26"/>
          <w:szCs w:val="26"/>
        </w:rPr>
        <w:t xml:space="preserve">medical practices </w:t>
      </w:r>
      <w:r w:rsidR="008556A2">
        <w:rPr>
          <w:rFonts w:asciiTheme="minorHAnsi" w:hAnsiTheme="minorHAnsi" w:cstheme="minorHAnsi"/>
          <w:sz w:val="26"/>
          <w:szCs w:val="26"/>
        </w:rPr>
        <w:t xml:space="preserve">conducted under the vehicle of the </w:t>
      </w:r>
      <w:r>
        <w:rPr>
          <w:rFonts w:asciiTheme="minorHAnsi" w:hAnsiTheme="minorHAnsi" w:cstheme="minorHAnsi"/>
          <w:sz w:val="26"/>
          <w:szCs w:val="26"/>
        </w:rPr>
        <w:t xml:space="preserve"> second and third applicants (</w:t>
      </w:r>
      <w:r w:rsidR="008556A2">
        <w:rPr>
          <w:rFonts w:asciiTheme="minorHAnsi" w:hAnsiTheme="minorHAnsi" w:cstheme="minorHAnsi"/>
          <w:sz w:val="26"/>
          <w:szCs w:val="26"/>
        </w:rPr>
        <w:t xml:space="preserve">hereinafter, </w:t>
      </w:r>
      <w:r>
        <w:rPr>
          <w:rFonts w:asciiTheme="minorHAnsi" w:hAnsiTheme="minorHAnsi" w:cstheme="minorHAnsi"/>
          <w:sz w:val="26"/>
          <w:szCs w:val="26"/>
        </w:rPr>
        <w:t>‘the companies’</w:t>
      </w:r>
      <w:r w:rsidR="008556A2">
        <w:rPr>
          <w:rFonts w:asciiTheme="minorHAnsi" w:hAnsiTheme="minorHAnsi" w:cstheme="minorHAnsi"/>
          <w:sz w:val="26"/>
          <w:szCs w:val="26"/>
        </w:rPr>
        <w:t xml:space="preserve"> or the second and third applicants respectively</w:t>
      </w:r>
      <w:r>
        <w:rPr>
          <w:rFonts w:asciiTheme="minorHAnsi" w:hAnsiTheme="minorHAnsi" w:cstheme="minorHAnsi"/>
          <w:sz w:val="26"/>
          <w:szCs w:val="26"/>
        </w:rPr>
        <w:t>)</w:t>
      </w:r>
      <w:r w:rsidR="00961BC7">
        <w:rPr>
          <w:rFonts w:asciiTheme="minorHAnsi" w:hAnsiTheme="minorHAnsi" w:cstheme="minorHAnsi"/>
          <w:sz w:val="26"/>
          <w:szCs w:val="26"/>
        </w:rPr>
        <w:t>.</w:t>
      </w:r>
      <w:r>
        <w:rPr>
          <w:rFonts w:asciiTheme="minorHAnsi" w:hAnsiTheme="minorHAnsi" w:cstheme="minorHAnsi"/>
          <w:sz w:val="26"/>
          <w:szCs w:val="26"/>
        </w:rPr>
        <w:t xml:space="preserve"> </w:t>
      </w:r>
    </w:p>
    <w:p w:rsidR="00961BC7" w:rsidRPr="00961BC7" w:rsidRDefault="00961BC7" w:rsidP="00961BC7">
      <w:pPr>
        <w:pStyle w:val="ListParagraph"/>
        <w:rPr>
          <w:rFonts w:asciiTheme="minorHAnsi" w:hAnsiTheme="minorHAnsi" w:cstheme="minorHAnsi"/>
          <w:sz w:val="26"/>
          <w:szCs w:val="26"/>
        </w:rPr>
      </w:pPr>
    </w:p>
    <w:p w:rsidR="00045AA5" w:rsidRDefault="00C23060"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Jurgens and Botha are co-directors and 50% shareholders in each of the companies. </w:t>
      </w:r>
      <w:r w:rsidR="002F4A77">
        <w:rPr>
          <w:rFonts w:asciiTheme="minorHAnsi" w:hAnsiTheme="minorHAnsi" w:cstheme="minorHAnsi"/>
          <w:sz w:val="26"/>
          <w:szCs w:val="26"/>
        </w:rPr>
        <w:t>For convenience</w:t>
      </w:r>
      <w:r w:rsidR="00A42030">
        <w:rPr>
          <w:rFonts w:asciiTheme="minorHAnsi" w:hAnsiTheme="minorHAnsi" w:cstheme="minorHAnsi"/>
          <w:sz w:val="26"/>
          <w:szCs w:val="26"/>
        </w:rPr>
        <w:t>,</w:t>
      </w:r>
      <w:r w:rsidR="002F4A77">
        <w:rPr>
          <w:rFonts w:asciiTheme="minorHAnsi" w:hAnsiTheme="minorHAnsi" w:cstheme="minorHAnsi"/>
          <w:sz w:val="26"/>
          <w:szCs w:val="26"/>
        </w:rPr>
        <w:t xml:space="preserve"> they will be referred to jointly as ‘the parties’ in the judgment, save where the context </w:t>
      </w:r>
      <w:r w:rsidR="008556A2">
        <w:rPr>
          <w:rFonts w:asciiTheme="minorHAnsi" w:hAnsiTheme="minorHAnsi" w:cstheme="minorHAnsi"/>
          <w:sz w:val="26"/>
          <w:szCs w:val="26"/>
        </w:rPr>
        <w:t>requires</w:t>
      </w:r>
      <w:r w:rsidR="002F4A77">
        <w:rPr>
          <w:rFonts w:asciiTheme="minorHAnsi" w:hAnsiTheme="minorHAnsi" w:cstheme="minorHAnsi"/>
          <w:sz w:val="26"/>
          <w:szCs w:val="26"/>
        </w:rPr>
        <w:t xml:space="preserve"> otherwise.</w:t>
      </w:r>
    </w:p>
    <w:p w:rsidR="00045AA5" w:rsidRPr="003D4D2A" w:rsidRDefault="00045AA5" w:rsidP="00045AA5">
      <w:pPr>
        <w:pStyle w:val="ListParagraph"/>
        <w:rPr>
          <w:rFonts w:asciiTheme="minorHAnsi" w:hAnsiTheme="minorHAnsi" w:cstheme="minorHAnsi"/>
          <w:sz w:val="26"/>
          <w:szCs w:val="26"/>
        </w:rPr>
      </w:pPr>
    </w:p>
    <w:p w:rsidR="00045AA5" w:rsidRDefault="00C23060"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At a certain point in time, the </w:t>
      </w:r>
      <w:r w:rsidR="00A42030">
        <w:rPr>
          <w:rFonts w:asciiTheme="minorHAnsi" w:hAnsiTheme="minorHAnsi" w:cstheme="minorHAnsi"/>
          <w:sz w:val="26"/>
          <w:szCs w:val="26"/>
        </w:rPr>
        <w:t xml:space="preserve">business and personal </w:t>
      </w:r>
      <w:r>
        <w:rPr>
          <w:rFonts w:asciiTheme="minorHAnsi" w:hAnsiTheme="minorHAnsi" w:cstheme="minorHAnsi"/>
          <w:sz w:val="26"/>
          <w:szCs w:val="26"/>
        </w:rPr>
        <w:t>relationship between Ju</w:t>
      </w:r>
      <w:r w:rsidR="00961BC7">
        <w:rPr>
          <w:rFonts w:asciiTheme="minorHAnsi" w:hAnsiTheme="minorHAnsi" w:cstheme="minorHAnsi"/>
          <w:sz w:val="26"/>
          <w:szCs w:val="26"/>
        </w:rPr>
        <w:t>r</w:t>
      </w:r>
      <w:r>
        <w:rPr>
          <w:rFonts w:asciiTheme="minorHAnsi" w:hAnsiTheme="minorHAnsi" w:cstheme="minorHAnsi"/>
          <w:sz w:val="26"/>
          <w:szCs w:val="26"/>
        </w:rPr>
        <w:t xml:space="preserve">gens and Botha </w:t>
      </w:r>
      <w:r w:rsidR="00961BC7">
        <w:rPr>
          <w:rFonts w:asciiTheme="minorHAnsi" w:hAnsiTheme="minorHAnsi" w:cstheme="minorHAnsi"/>
          <w:sz w:val="26"/>
          <w:szCs w:val="26"/>
        </w:rPr>
        <w:t xml:space="preserve">began to </w:t>
      </w:r>
      <w:r>
        <w:rPr>
          <w:rFonts w:asciiTheme="minorHAnsi" w:hAnsiTheme="minorHAnsi" w:cstheme="minorHAnsi"/>
          <w:sz w:val="26"/>
          <w:szCs w:val="26"/>
        </w:rPr>
        <w:t xml:space="preserve">sour, resulting in Botha discontinuing </w:t>
      </w:r>
      <w:r w:rsidR="00961BC7">
        <w:rPr>
          <w:rFonts w:asciiTheme="minorHAnsi" w:hAnsiTheme="minorHAnsi" w:cstheme="minorHAnsi"/>
          <w:sz w:val="26"/>
          <w:szCs w:val="26"/>
        </w:rPr>
        <w:t xml:space="preserve">working together </w:t>
      </w:r>
      <w:r>
        <w:rPr>
          <w:rFonts w:asciiTheme="minorHAnsi" w:hAnsiTheme="minorHAnsi" w:cstheme="minorHAnsi"/>
          <w:sz w:val="26"/>
          <w:szCs w:val="26"/>
        </w:rPr>
        <w:t xml:space="preserve">with </w:t>
      </w:r>
      <w:r w:rsidR="00961BC7">
        <w:rPr>
          <w:rFonts w:asciiTheme="minorHAnsi" w:hAnsiTheme="minorHAnsi" w:cstheme="minorHAnsi"/>
          <w:sz w:val="26"/>
          <w:szCs w:val="26"/>
        </w:rPr>
        <w:t xml:space="preserve">Jurgens in the two practices </w:t>
      </w:r>
      <w:r>
        <w:rPr>
          <w:rFonts w:asciiTheme="minorHAnsi" w:hAnsiTheme="minorHAnsi" w:cstheme="minorHAnsi"/>
          <w:sz w:val="26"/>
          <w:szCs w:val="26"/>
        </w:rPr>
        <w:t xml:space="preserve">and </w:t>
      </w:r>
      <w:r w:rsidR="002F4A77">
        <w:rPr>
          <w:rFonts w:asciiTheme="minorHAnsi" w:hAnsiTheme="minorHAnsi" w:cstheme="minorHAnsi"/>
          <w:sz w:val="26"/>
          <w:szCs w:val="26"/>
        </w:rPr>
        <w:t>taking</w:t>
      </w:r>
      <w:r w:rsidR="00961BC7">
        <w:rPr>
          <w:rFonts w:asciiTheme="minorHAnsi" w:hAnsiTheme="minorHAnsi" w:cstheme="minorHAnsi"/>
          <w:sz w:val="26"/>
          <w:szCs w:val="26"/>
        </w:rPr>
        <w:t xml:space="preserve"> up employment with Healthworx in Krugersdorp for purposes of continuing </w:t>
      </w:r>
      <w:r w:rsidR="00C01D70">
        <w:rPr>
          <w:rFonts w:asciiTheme="minorHAnsi" w:hAnsiTheme="minorHAnsi" w:cstheme="minorHAnsi"/>
          <w:sz w:val="26"/>
          <w:szCs w:val="26"/>
        </w:rPr>
        <w:t>practice</w:t>
      </w:r>
      <w:r w:rsidR="00961BC7">
        <w:rPr>
          <w:rFonts w:asciiTheme="minorHAnsi" w:hAnsiTheme="minorHAnsi" w:cstheme="minorHAnsi"/>
          <w:sz w:val="26"/>
          <w:szCs w:val="26"/>
        </w:rPr>
        <w:t xml:space="preserve"> as a medical doctor.</w:t>
      </w:r>
      <w:r>
        <w:rPr>
          <w:rFonts w:asciiTheme="minorHAnsi" w:hAnsiTheme="minorHAnsi" w:cstheme="minorHAnsi"/>
          <w:sz w:val="26"/>
          <w:szCs w:val="26"/>
        </w:rPr>
        <w:t xml:space="preserve"> </w:t>
      </w:r>
      <w:r w:rsidR="00961BC7">
        <w:rPr>
          <w:rFonts w:asciiTheme="minorHAnsi" w:hAnsiTheme="minorHAnsi" w:cstheme="minorHAnsi"/>
          <w:sz w:val="26"/>
          <w:szCs w:val="26"/>
        </w:rPr>
        <w:t xml:space="preserve">To </w:t>
      </w:r>
      <w:r>
        <w:rPr>
          <w:rFonts w:asciiTheme="minorHAnsi" w:hAnsiTheme="minorHAnsi" w:cstheme="minorHAnsi"/>
          <w:sz w:val="26"/>
          <w:szCs w:val="26"/>
        </w:rPr>
        <w:t xml:space="preserve">that end, </w:t>
      </w:r>
      <w:r w:rsidR="00961BC7">
        <w:rPr>
          <w:rFonts w:asciiTheme="minorHAnsi" w:hAnsiTheme="minorHAnsi" w:cstheme="minorHAnsi"/>
          <w:sz w:val="26"/>
          <w:szCs w:val="26"/>
        </w:rPr>
        <w:t xml:space="preserve">and for the sake of peace, </w:t>
      </w:r>
      <w:r>
        <w:rPr>
          <w:rFonts w:asciiTheme="minorHAnsi" w:hAnsiTheme="minorHAnsi" w:cstheme="minorHAnsi"/>
          <w:sz w:val="26"/>
          <w:szCs w:val="26"/>
        </w:rPr>
        <w:t xml:space="preserve">Botha </w:t>
      </w:r>
      <w:r w:rsidR="002F4A77">
        <w:rPr>
          <w:rFonts w:asciiTheme="minorHAnsi" w:hAnsiTheme="minorHAnsi" w:cstheme="minorHAnsi"/>
          <w:sz w:val="26"/>
          <w:szCs w:val="26"/>
        </w:rPr>
        <w:t>handed over</w:t>
      </w:r>
      <w:r>
        <w:rPr>
          <w:rFonts w:asciiTheme="minorHAnsi" w:hAnsiTheme="minorHAnsi" w:cstheme="minorHAnsi"/>
          <w:sz w:val="26"/>
          <w:szCs w:val="26"/>
        </w:rPr>
        <w:t xml:space="preserve"> the </w:t>
      </w:r>
      <w:r w:rsidR="00AE66D1">
        <w:rPr>
          <w:rFonts w:asciiTheme="minorHAnsi" w:hAnsiTheme="minorHAnsi" w:cstheme="minorHAnsi"/>
          <w:sz w:val="26"/>
          <w:szCs w:val="26"/>
        </w:rPr>
        <w:t>rei</w:t>
      </w:r>
      <w:r w:rsidR="006D2CC7">
        <w:rPr>
          <w:rFonts w:asciiTheme="minorHAnsi" w:hAnsiTheme="minorHAnsi" w:cstheme="minorHAnsi"/>
          <w:sz w:val="26"/>
          <w:szCs w:val="26"/>
        </w:rPr>
        <w:t>ns</w:t>
      </w:r>
      <w:r>
        <w:rPr>
          <w:rFonts w:asciiTheme="minorHAnsi" w:hAnsiTheme="minorHAnsi" w:cstheme="minorHAnsi"/>
          <w:sz w:val="26"/>
          <w:szCs w:val="26"/>
        </w:rPr>
        <w:t xml:space="preserve"> of the management of the practices</w:t>
      </w:r>
      <w:r w:rsidR="006670AA">
        <w:rPr>
          <w:rStyle w:val="FootnoteReference"/>
          <w:rFonts w:asciiTheme="minorHAnsi" w:hAnsiTheme="minorHAnsi" w:cstheme="minorHAnsi"/>
          <w:sz w:val="26"/>
          <w:szCs w:val="26"/>
        </w:rPr>
        <w:footnoteReference w:id="2"/>
      </w:r>
      <w:r w:rsidR="00412518">
        <w:rPr>
          <w:rFonts w:asciiTheme="minorHAnsi" w:hAnsiTheme="minorHAnsi" w:cstheme="minorHAnsi"/>
          <w:sz w:val="26"/>
          <w:szCs w:val="26"/>
        </w:rPr>
        <w:t xml:space="preserve"> -</w:t>
      </w:r>
      <w:r>
        <w:rPr>
          <w:rFonts w:asciiTheme="minorHAnsi" w:hAnsiTheme="minorHAnsi" w:cstheme="minorHAnsi"/>
          <w:sz w:val="26"/>
          <w:szCs w:val="26"/>
        </w:rPr>
        <w:t xml:space="preserve"> </w:t>
      </w:r>
      <w:r w:rsidR="002F4A77">
        <w:rPr>
          <w:rFonts w:asciiTheme="minorHAnsi" w:hAnsiTheme="minorHAnsi" w:cstheme="minorHAnsi"/>
          <w:sz w:val="26"/>
          <w:szCs w:val="26"/>
        </w:rPr>
        <w:t xml:space="preserve">hitherto </w:t>
      </w:r>
      <w:r w:rsidR="00961BC7">
        <w:rPr>
          <w:rFonts w:asciiTheme="minorHAnsi" w:hAnsiTheme="minorHAnsi" w:cstheme="minorHAnsi"/>
          <w:sz w:val="26"/>
          <w:szCs w:val="26"/>
        </w:rPr>
        <w:t xml:space="preserve">conducted by </w:t>
      </w:r>
      <w:r w:rsidR="002F4A77">
        <w:rPr>
          <w:rFonts w:asciiTheme="minorHAnsi" w:hAnsiTheme="minorHAnsi" w:cstheme="minorHAnsi"/>
          <w:sz w:val="26"/>
          <w:szCs w:val="26"/>
        </w:rPr>
        <w:t>them jointly under the auspices of the</w:t>
      </w:r>
      <w:r>
        <w:rPr>
          <w:rFonts w:asciiTheme="minorHAnsi" w:hAnsiTheme="minorHAnsi" w:cstheme="minorHAnsi"/>
          <w:sz w:val="26"/>
          <w:szCs w:val="26"/>
        </w:rPr>
        <w:t xml:space="preserve"> second and third applicants</w:t>
      </w:r>
      <w:r w:rsidR="00412518">
        <w:rPr>
          <w:rFonts w:asciiTheme="minorHAnsi" w:hAnsiTheme="minorHAnsi" w:cstheme="minorHAnsi"/>
          <w:sz w:val="26"/>
          <w:szCs w:val="26"/>
        </w:rPr>
        <w:t xml:space="preserve"> -</w:t>
      </w:r>
      <w:r w:rsidR="00961BC7">
        <w:rPr>
          <w:rFonts w:asciiTheme="minorHAnsi" w:hAnsiTheme="minorHAnsi" w:cstheme="minorHAnsi"/>
          <w:sz w:val="26"/>
          <w:szCs w:val="26"/>
        </w:rPr>
        <w:t xml:space="preserve"> to Jurgens</w:t>
      </w:r>
      <w:r w:rsidR="002F4A77">
        <w:rPr>
          <w:rFonts w:asciiTheme="minorHAnsi" w:hAnsiTheme="minorHAnsi" w:cstheme="minorHAnsi"/>
          <w:sz w:val="26"/>
          <w:szCs w:val="26"/>
        </w:rPr>
        <w:t>,</w:t>
      </w:r>
      <w:r>
        <w:rPr>
          <w:rFonts w:asciiTheme="minorHAnsi" w:hAnsiTheme="minorHAnsi" w:cstheme="minorHAnsi"/>
          <w:sz w:val="26"/>
          <w:szCs w:val="26"/>
        </w:rPr>
        <w:t xml:space="preserve"> </w:t>
      </w:r>
      <w:r w:rsidR="00961BC7">
        <w:rPr>
          <w:rFonts w:asciiTheme="minorHAnsi" w:hAnsiTheme="minorHAnsi" w:cstheme="minorHAnsi"/>
          <w:sz w:val="26"/>
          <w:szCs w:val="26"/>
        </w:rPr>
        <w:t>but retained his directorship and shareholding in the companies.</w:t>
      </w:r>
      <w:r>
        <w:rPr>
          <w:rFonts w:asciiTheme="minorHAnsi" w:hAnsiTheme="minorHAnsi" w:cstheme="minorHAnsi"/>
          <w:sz w:val="26"/>
          <w:szCs w:val="26"/>
        </w:rPr>
        <w:t xml:space="preserve"> </w:t>
      </w:r>
      <w:r w:rsidR="00961BC7">
        <w:rPr>
          <w:rFonts w:asciiTheme="minorHAnsi" w:hAnsiTheme="minorHAnsi" w:cstheme="minorHAnsi"/>
          <w:sz w:val="26"/>
          <w:szCs w:val="26"/>
        </w:rPr>
        <w:t xml:space="preserve">These steps did not alleviate the </w:t>
      </w:r>
      <w:r w:rsidR="002F4A77">
        <w:rPr>
          <w:rFonts w:asciiTheme="minorHAnsi" w:hAnsiTheme="minorHAnsi" w:cstheme="minorHAnsi"/>
          <w:sz w:val="26"/>
          <w:szCs w:val="26"/>
        </w:rPr>
        <w:t xml:space="preserve">discord </w:t>
      </w:r>
      <w:r w:rsidR="006D2CC7">
        <w:rPr>
          <w:rFonts w:asciiTheme="minorHAnsi" w:hAnsiTheme="minorHAnsi" w:cstheme="minorHAnsi"/>
          <w:sz w:val="26"/>
          <w:szCs w:val="26"/>
        </w:rPr>
        <w:t xml:space="preserve">that </w:t>
      </w:r>
      <w:r w:rsidR="00051B87">
        <w:rPr>
          <w:rFonts w:asciiTheme="minorHAnsi" w:hAnsiTheme="minorHAnsi" w:cstheme="minorHAnsi"/>
          <w:sz w:val="26"/>
          <w:szCs w:val="26"/>
        </w:rPr>
        <w:t>continued to brew</w:t>
      </w:r>
      <w:r w:rsidR="002F4A77">
        <w:rPr>
          <w:rFonts w:asciiTheme="minorHAnsi" w:hAnsiTheme="minorHAnsi" w:cstheme="minorHAnsi"/>
          <w:sz w:val="26"/>
          <w:szCs w:val="26"/>
        </w:rPr>
        <w:t xml:space="preserve"> between them</w:t>
      </w:r>
      <w:r w:rsidR="00C94D4B">
        <w:rPr>
          <w:rFonts w:asciiTheme="minorHAnsi" w:hAnsiTheme="minorHAnsi" w:cstheme="minorHAnsi"/>
          <w:sz w:val="26"/>
          <w:szCs w:val="26"/>
        </w:rPr>
        <w:t>, as is apparent from the contents of a letter addressed by Botha to Jurgens on 27 August 2017</w:t>
      </w:r>
      <w:r w:rsidR="002F4A77">
        <w:rPr>
          <w:rFonts w:asciiTheme="minorHAnsi" w:hAnsiTheme="minorHAnsi" w:cstheme="minorHAnsi"/>
          <w:sz w:val="26"/>
          <w:szCs w:val="26"/>
        </w:rPr>
        <w:t>,</w:t>
      </w:r>
      <w:r w:rsidR="00C94D4B">
        <w:rPr>
          <w:rStyle w:val="FootnoteReference"/>
          <w:rFonts w:asciiTheme="minorHAnsi" w:hAnsiTheme="minorHAnsi" w:cstheme="minorHAnsi"/>
          <w:sz w:val="26"/>
          <w:szCs w:val="26"/>
        </w:rPr>
        <w:footnoteReference w:id="3"/>
      </w:r>
      <w:r w:rsidR="002F4A77">
        <w:rPr>
          <w:rFonts w:asciiTheme="minorHAnsi" w:hAnsiTheme="minorHAnsi" w:cstheme="minorHAnsi"/>
          <w:sz w:val="26"/>
          <w:szCs w:val="26"/>
        </w:rPr>
        <w:t xml:space="preserve"> </w:t>
      </w:r>
      <w:r w:rsidR="00412518">
        <w:rPr>
          <w:rFonts w:asciiTheme="minorHAnsi" w:hAnsiTheme="minorHAnsi" w:cstheme="minorHAnsi"/>
          <w:sz w:val="26"/>
          <w:szCs w:val="26"/>
        </w:rPr>
        <w:t xml:space="preserve">which </w:t>
      </w:r>
      <w:r w:rsidR="00C94D4B">
        <w:rPr>
          <w:rFonts w:asciiTheme="minorHAnsi" w:hAnsiTheme="minorHAnsi" w:cstheme="minorHAnsi"/>
          <w:sz w:val="26"/>
          <w:szCs w:val="26"/>
        </w:rPr>
        <w:lastRenderedPageBreak/>
        <w:t xml:space="preserve">discord </w:t>
      </w:r>
      <w:r w:rsidR="006D2CC7">
        <w:rPr>
          <w:rFonts w:asciiTheme="minorHAnsi" w:hAnsiTheme="minorHAnsi" w:cstheme="minorHAnsi"/>
          <w:sz w:val="26"/>
          <w:szCs w:val="26"/>
        </w:rPr>
        <w:t>ultimately culminat</w:t>
      </w:r>
      <w:r w:rsidR="00412518">
        <w:rPr>
          <w:rFonts w:asciiTheme="minorHAnsi" w:hAnsiTheme="minorHAnsi" w:cstheme="minorHAnsi"/>
          <w:sz w:val="26"/>
          <w:szCs w:val="26"/>
        </w:rPr>
        <w:t>ed</w:t>
      </w:r>
      <w:r w:rsidR="006D2CC7">
        <w:rPr>
          <w:rFonts w:asciiTheme="minorHAnsi" w:hAnsiTheme="minorHAnsi" w:cstheme="minorHAnsi"/>
          <w:sz w:val="26"/>
          <w:szCs w:val="26"/>
        </w:rPr>
        <w:t xml:space="preserve"> </w:t>
      </w:r>
      <w:r w:rsidR="002F4A77">
        <w:rPr>
          <w:rFonts w:asciiTheme="minorHAnsi" w:hAnsiTheme="minorHAnsi" w:cstheme="minorHAnsi"/>
          <w:sz w:val="26"/>
          <w:szCs w:val="26"/>
        </w:rPr>
        <w:t>in the urgent application referred to above</w:t>
      </w:r>
      <w:r w:rsidR="006D2CC7">
        <w:rPr>
          <w:rFonts w:asciiTheme="minorHAnsi" w:hAnsiTheme="minorHAnsi" w:cstheme="minorHAnsi"/>
          <w:sz w:val="26"/>
          <w:szCs w:val="26"/>
        </w:rPr>
        <w:t xml:space="preserve">, in which proceedings both parties accused one another </w:t>
      </w:r>
      <w:r w:rsidR="00412518">
        <w:rPr>
          <w:rFonts w:asciiTheme="minorHAnsi" w:hAnsiTheme="minorHAnsi" w:cstheme="minorHAnsi"/>
          <w:i/>
          <w:sz w:val="26"/>
          <w:szCs w:val="26"/>
        </w:rPr>
        <w:t xml:space="preserve">inter alia </w:t>
      </w:r>
      <w:r w:rsidR="006D2CC7">
        <w:rPr>
          <w:rFonts w:asciiTheme="minorHAnsi" w:hAnsiTheme="minorHAnsi" w:cstheme="minorHAnsi"/>
          <w:sz w:val="26"/>
          <w:szCs w:val="26"/>
        </w:rPr>
        <w:t xml:space="preserve">of </w:t>
      </w:r>
      <w:r w:rsidR="00412518">
        <w:rPr>
          <w:rFonts w:asciiTheme="minorHAnsi" w:hAnsiTheme="minorHAnsi" w:cstheme="minorHAnsi"/>
          <w:sz w:val="26"/>
          <w:szCs w:val="26"/>
        </w:rPr>
        <w:t xml:space="preserve">withdrawing </w:t>
      </w:r>
      <w:r w:rsidR="00976908">
        <w:rPr>
          <w:rFonts w:asciiTheme="minorHAnsi" w:hAnsiTheme="minorHAnsi" w:cstheme="minorHAnsi"/>
          <w:sz w:val="26"/>
          <w:szCs w:val="26"/>
        </w:rPr>
        <w:t xml:space="preserve">funds </w:t>
      </w:r>
      <w:r w:rsidR="00C01D70">
        <w:rPr>
          <w:rFonts w:asciiTheme="minorHAnsi" w:hAnsiTheme="minorHAnsi" w:cstheme="minorHAnsi"/>
          <w:sz w:val="26"/>
          <w:szCs w:val="26"/>
        </w:rPr>
        <w:t xml:space="preserve">or making payments </w:t>
      </w:r>
      <w:r w:rsidR="00976908">
        <w:rPr>
          <w:rFonts w:asciiTheme="minorHAnsi" w:hAnsiTheme="minorHAnsi" w:cstheme="minorHAnsi"/>
          <w:sz w:val="26"/>
          <w:szCs w:val="26"/>
        </w:rPr>
        <w:t xml:space="preserve">from the bank accounts of the practices </w:t>
      </w:r>
      <w:r w:rsidR="00412518">
        <w:rPr>
          <w:rFonts w:asciiTheme="minorHAnsi" w:hAnsiTheme="minorHAnsi" w:cstheme="minorHAnsi"/>
          <w:sz w:val="26"/>
          <w:szCs w:val="26"/>
        </w:rPr>
        <w:t xml:space="preserve">and misappropriating </w:t>
      </w:r>
      <w:r w:rsidR="00976908">
        <w:rPr>
          <w:rFonts w:asciiTheme="minorHAnsi" w:hAnsiTheme="minorHAnsi" w:cstheme="minorHAnsi"/>
          <w:sz w:val="26"/>
          <w:szCs w:val="26"/>
        </w:rPr>
        <w:t xml:space="preserve">such amounts, each </w:t>
      </w:r>
      <w:r w:rsidR="00412518">
        <w:rPr>
          <w:rFonts w:asciiTheme="minorHAnsi" w:hAnsiTheme="minorHAnsi" w:cstheme="minorHAnsi"/>
          <w:sz w:val="26"/>
          <w:szCs w:val="26"/>
        </w:rPr>
        <w:t>for their own personal gain.</w:t>
      </w:r>
      <w:r w:rsidR="006670AA" w:rsidRPr="006670AA">
        <w:rPr>
          <w:rStyle w:val="FootnoteReference"/>
          <w:rFonts w:asciiTheme="minorHAnsi" w:hAnsiTheme="minorHAnsi" w:cstheme="minorHAnsi"/>
          <w:sz w:val="26"/>
          <w:szCs w:val="26"/>
        </w:rPr>
        <w:t xml:space="preserve"> </w:t>
      </w:r>
      <w:r w:rsidR="006670AA">
        <w:rPr>
          <w:rStyle w:val="FootnoteReference"/>
          <w:rFonts w:asciiTheme="minorHAnsi" w:hAnsiTheme="minorHAnsi" w:cstheme="minorHAnsi"/>
          <w:sz w:val="26"/>
          <w:szCs w:val="26"/>
        </w:rPr>
        <w:footnoteReference w:id="4"/>
      </w:r>
    </w:p>
    <w:p w:rsidR="00045AA5" w:rsidRDefault="00045AA5" w:rsidP="00045AA5">
      <w:pPr>
        <w:pStyle w:val="ListParagraph"/>
        <w:rPr>
          <w:rFonts w:asciiTheme="minorHAnsi" w:hAnsiTheme="minorHAnsi" w:cstheme="minorHAnsi"/>
          <w:sz w:val="26"/>
          <w:szCs w:val="26"/>
        </w:rPr>
      </w:pPr>
    </w:p>
    <w:p w:rsidR="00045AA5" w:rsidRDefault="00AE66D1" w:rsidP="00045AA5">
      <w:pPr>
        <w:pStyle w:val="ListParagraph"/>
        <w:numPr>
          <w:ilvl w:val="0"/>
          <w:numId w:val="3"/>
        </w:numPr>
        <w:spacing w:after="200" w:line="360" w:lineRule="auto"/>
        <w:jc w:val="both"/>
        <w:rPr>
          <w:rFonts w:asciiTheme="minorHAnsi" w:hAnsiTheme="minorHAnsi" w:cstheme="minorHAnsi"/>
          <w:sz w:val="26"/>
          <w:szCs w:val="26"/>
        </w:rPr>
      </w:pPr>
      <w:r w:rsidRPr="00D37CBD">
        <w:rPr>
          <w:rFonts w:asciiTheme="minorHAnsi" w:hAnsiTheme="minorHAnsi" w:cstheme="minorHAnsi"/>
          <w:sz w:val="26"/>
          <w:szCs w:val="26"/>
        </w:rPr>
        <w:t>Pragmatism prevailed</w:t>
      </w:r>
      <w:r w:rsidR="00D37CBD" w:rsidRPr="00D37CBD">
        <w:rPr>
          <w:rFonts w:asciiTheme="minorHAnsi" w:hAnsiTheme="minorHAnsi" w:cstheme="minorHAnsi"/>
          <w:sz w:val="26"/>
          <w:szCs w:val="26"/>
        </w:rPr>
        <w:t xml:space="preserve"> </w:t>
      </w:r>
      <w:r w:rsidR="000051BF">
        <w:rPr>
          <w:rFonts w:asciiTheme="minorHAnsi" w:hAnsiTheme="minorHAnsi" w:cstheme="minorHAnsi"/>
          <w:sz w:val="26"/>
          <w:szCs w:val="26"/>
        </w:rPr>
        <w:t xml:space="preserve">during the course of those proceedings </w:t>
      </w:r>
      <w:r w:rsidRPr="00D37CBD">
        <w:rPr>
          <w:rFonts w:asciiTheme="minorHAnsi" w:hAnsiTheme="minorHAnsi" w:cstheme="minorHAnsi"/>
          <w:sz w:val="26"/>
          <w:szCs w:val="26"/>
        </w:rPr>
        <w:t>and the parties were able to reach an agreement which was made an order of court by V/d Linde J in the urgent court on 23 July 2019 (‘the order’).</w:t>
      </w:r>
      <w:r w:rsidR="00A42030" w:rsidRPr="00D37CBD">
        <w:rPr>
          <w:rFonts w:asciiTheme="minorHAnsi" w:hAnsiTheme="minorHAnsi" w:cstheme="minorHAnsi"/>
          <w:sz w:val="26"/>
          <w:szCs w:val="26"/>
        </w:rPr>
        <w:t xml:space="preserve"> Regrettably, any semblance of agreeability or hope for </w:t>
      </w:r>
      <w:r w:rsidR="00976908">
        <w:rPr>
          <w:rFonts w:asciiTheme="minorHAnsi" w:hAnsiTheme="minorHAnsi" w:cstheme="minorHAnsi"/>
          <w:sz w:val="26"/>
          <w:szCs w:val="26"/>
        </w:rPr>
        <w:t xml:space="preserve">future </w:t>
      </w:r>
      <w:r w:rsidR="00A42030" w:rsidRPr="00D37CBD">
        <w:rPr>
          <w:rFonts w:asciiTheme="minorHAnsi" w:hAnsiTheme="minorHAnsi" w:cstheme="minorHAnsi"/>
          <w:sz w:val="26"/>
          <w:szCs w:val="26"/>
        </w:rPr>
        <w:t xml:space="preserve">peaceable business relations between the parties was short lived. </w:t>
      </w:r>
    </w:p>
    <w:p w:rsidR="00863439" w:rsidRPr="00863439" w:rsidRDefault="00863439" w:rsidP="00863439">
      <w:pPr>
        <w:pStyle w:val="ListParagraph"/>
        <w:rPr>
          <w:rFonts w:asciiTheme="minorHAnsi" w:hAnsiTheme="minorHAnsi" w:cstheme="minorHAnsi"/>
          <w:sz w:val="26"/>
          <w:szCs w:val="26"/>
        </w:rPr>
      </w:pPr>
    </w:p>
    <w:p w:rsidR="00863439" w:rsidRPr="00D37CBD" w:rsidRDefault="00863439"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not in dispute that Botha had stood surety for the obligations of the second and third applicants </w:t>
      </w:r>
      <w:r w:rsidR="006A1E6A">
        <w:rPr>
          <w:rFonts w:asciiTheme="minorHAnsi" w:hAnsiTheme="minorHAnsi" w:cstheme="minorHAnsi"/>
          <w:sz w:val="26"/>
          <w:szCs w:val="26"/>
        </w:rPr>
        <w:t>to creditors, including</w:t>
      </w:r>
      <w:r>
        <w:rPr>
          <w:rFonts w:asciiTheme="minorHAnsi" w:hAnsiTheme="minorHAnsi" w:cstheme="minorHAnsi"/>
          <w:sz w:val="26"/>
          <w:szCs w:val="26"/>
        </w:rPr>
        <w:t xml:space="preserve"> Absa Bank, where the respective companies </w:t>
      </w:r>
      <w:r w:rsidR="00490476">
        <w:rPr>
          <w:rFonts w:asciiTheme="minorHAnsi" w:hAnsiTheme="minorHAnsi" w:cstheme="minorHAnsi"/>
          <w:sz w:val="26"/>
          <w:szCs w:val="26"/>
        </w:rPr>
        <w:t xml:space="preserve">held banking accounts and enjoyed </w:t>
      </w:r>
      <w:r>
        <w:rPr>
          <w:rFonts w:asciiTheme="minorHAnsi" w:hAnsiTheme="minorHAnsi" w:cstheme="minorHAnsi"/>
          <w:sz w:val="26"/>
          <w:szCs w:val="26"/>
        </w:rPr>
        <w:t>overdraft facilities.</w:t>
      </w:r>
      <w:r w:rsidR="00490476">
        <w:rPr>
          <w:rFonts w:asciiTheme="minorHAnsi" w:hAnsiTheme="minorHAnsi" w:cstheme="minorHAnsi"/>
          <w:sz w:val="26"/>
          <w:szCs w:val="26"/>
        </w:rPr>
        <w:t xml:space="preserve"> Jurgens, on the other hand, did not sign surety or provide any other form of security for the fulfilment by the companies of their obligations to the bank</w:t>
      </w:r>
      <w:r w:rsidR="008556A2">
        <w:rPr>
          <w:rFonts w:asciiTheme="minorHAnsi" w:hAnsiTheme="minorHAnsi" w:cstheme="minorHAnsi"/>
          <w:sz w:val="26"/>
          <w:szCs w:val="26"/>
        </w:rPr>
        <w:t xml:space="preserve"> or other creditors</w:t>
      </w:r>
      <w:r w:rsidR="00490476">
        <w:rPr>
          <w:rFonts w:asciiTheme="minorHAnsi" w:hAnsiTheme="minorHAnsi" w:cstheme="minorHAnsi"/>
          <w:sz w:val="26"/>
          <w:szCs w:val="26"/>
        </w:rPr>
        <w:t xml:space="preserve">. </w:t>
      </w:r>
    </w:p>
    <w:p w:rsidR="00045AA5" w:rsidRPr="00B6158F" w:rsidRDefault="00045AA5" w:rsidP="00045AA5">
      <w:pPr>
        <w:pStyle w:val="ListParagraph"/>
        <w:rPr>
          <w:rFonts w:asciiTheme="minorHAnsi" w:hAnsiTheme="minorHAnsi" w:cstheme="minorHAnsi"/>
          <w:sz w:val="26"/>
          <w:szCs w:val="26"/>
        </w:rPr>
      </w:pPr>
    </w:p>
    <w:p w:rsidR="00045AA5" w:rsidRPr="00707B57" w:rsidRDefault="00AE66D1" w:rsidP="00045AA5">
      <w:pPr>
        <w:pStyle w:val="ListParagraph"/>
        <w:numPr>
          <w:ilvl w:val="0"/>
          <w:numId w:val="3"/>
        </w:numPr>
        <w:spacing w:after="200" w:line="360" w:lineRule="auto"/>
        <w:jc w:val="both"/>
        <w:rPr>
          <w:rFonts w:asciiTheme="minorHAnsi" w:hAnsiTheme="minorHAnsi" w:cstheme="minorHAnsi"/>
          <w:sz w:val="26"/>
          <w:szCs w:val="26"/>
        </w:rPr>
      </w:pPr>
      <w:r w:rsidRPr="00707B57">
        <w:rPr>
          <w:rFonts w:asciiTheme="minorHAnsi" w:hAnsiTheme="minorHAnsi" w:cstheme="minorHAnsi"/>
          <w:sz w:val="26"/>
          <w:szCs w:val="26"/>
        </w:rPr>
        <w:t>In these proceedings,</w:t>
      </w:r>
      <w:r w:rsidR="00412518">
        <w:rPr>
          <w:rStyle w:val="FootnoteReference"/>
          <w:rFonts w:asciiTheme="minorHAnsi" w:hAnsiTheme="minorHAnsi" w:cstheme="minorHAnsi"/>
          <w:sz w:val="26"/>
          <w:szCs w:val="26"/>
        </w:rPr>
        <w:footnoteReference w:id="5"/>
      </w:r>
      <w:r w:rsidRPr="00707B57">
        <w:rPr>
          <w:rFonts w:asciiTheme="minorHAnsi" w:hAnsiTheme="minorHAnsi" w:cstheme="minorHAnsi"/>
          <w:sz w:val="26"/>
          <w:szCs w:val="26"/>
        </w:rPr>
        <w:t xml:space="preserve"> Jurgens accuses Botha of having breached the terms of the order. He seeks, amongst others, an order declaring Botha to be in contempt of court and </w:t>
      </w:r>
      <w:r w:rsidR="00482B27">
        <w:rPr>
          <w:rFonts w:asciiTheme="minorHAnsi" w:hAnsiTheme="minorHAnsi" w:cstheme="minorHAnsi"/>
          <w:sz w:val="26"/>
          <w:szCs w:val="26"/>
        </w:rPr>
        <w:t xml:space="preserve">further </w:t>
      </w:r>
      <w:r w:rsidRPr="00707B57">
        <w:rPr>
          <w:rFonts w:asciiTheme="minorHAnsi" w:hAnsiTheme="minorHAnsi" w:cstheme="minorHAnsi"/>
          <w:sz w:val="26"/>
          <w:szCs w:val="26"/>
        </w:rPr>
        <w:t xml:space="preserve">interdictory relief and in the alternative, the committal of Botha to jail for a period of one year, suspended on certain conditions. Botha has likewise accused Jurgens of breaching the </w:t>
      </w:r>
      <w:r w:rsidR="00707B57" w:rsidRPr="00707B57">
        <w:rPr>
          <w:rFonts w:asciiTheme="minorHAnsi" w:hAnsiTheme="minorHAnsi" w:cstheme="minorHAnsi"/>
          <w:sz w:val="26"/>
          <w:szCs w:val="26"/>
        </w:rPr>
        <w:t xml:space="preserve">terms of the </w:t>
      </w:r>
      <w:r w:rsidRPr="00707B57">
        <w:rPr>
          <w:rFonts w:asciiTheme="minorHAnsi" w:hAnsiTheme="minorHAnsi" w:cstheme="minorHAnsi"/>
          <w:sz w:val="26"/>
          <w:szCs w:val="26"/>
        </w:rPr>
        <w:t>order</w:t>
      </w:r>
      <w:r w:rsidR="00482B27">
        <w:rPr>
          <w:rFonts w:asciiTheme="minorHAnsi" w:hAnsiTheme="minorHAnsi" w:cstheme="minorHAnsi"/>
          <w:sz w:val="26"/>
          <w:szCs w:val="26"/>
        </w:rPr>
        <w:t>,</w:t>
      </w:r>
      <w:r w:rsidRPr="00707B57">
        <w:rPr>
          <w:rFonts w:asciiTheme="minorHAnsi" w:hAnsiTheme="minorHAnsi" w:cstheme="minorHAnsi"/>
          <w:sz w:val="26"/>
          <w:szCs w:val="26"/>
        </w:rPr>
        <w:t xml:space="preserve"> and </w:t>
      </w:r>
      <w:r w:rsidR="00707B57">
        <w:rPr>
          <w:rFonts w:asciiTheme="minorHAnsi" w:hAnsiTheme="minorHAnsi" w:cstheme="minorHAnsi"/>
          <w:sz w:val="26"/>
          <w:szCs w:val="26"/>
        </w:rPr>
        <w:t xml:space="preserve">in </w:t>
      </w:r>
      <w:r w:rsidRPr="00707B57">
        <w:rPr>
          <w:rFonts w:asciiTheme="minorHAnsi" w:hAnsiTheme="minorHAnsi" w:cstheme="minorHAnsi"/>
          <w:sz w:val="26"/>
          <w:szCs w:val="26"/>
        </w:rPr>
        <w:t>a counterclaim</w:t>
      </w:r>
      <w:r w:rsidR="00707B57">
        <w:rPr>
          <w:rFonts w:asciiTheme="minorHAnsi" w:hAnsiTheme="minorHAnsi" w:cstheme="minorHAnsi"/>
          <w:sz w:val="26"/>
          <w:szCs w:val="26"/>
        </w:rPr>
        <w:t xml:space="preserve"> launched by him</w:t>
      </w:r>
      <w:r w:rsidR="00A42030">
        <w:rPr>
          <w:rFonts w:asciiTheme="minorHAnsi" w:hAnsiTheme="minorHAnsi" w:cstheme="minorHAnsi"/>
          <w:sz w:val="26"/>
          <w:szCs w:val="26"/>
        </w:rPr>
        <w:t xml:space="preserve"> in these proceedings</w:t>
      </w:r>
      <w:r w:rsidRPr="00707B57">
        <w:rPr>
          <w:rFonts w:asciiTheme="minorHAnsi" w:hAnsiTheme="minorHAnsi" w:cstheme="minorHAnsi"/>
          <w:sz w:val="26"/>
          <w:szCs w:val="26"/>
        </w:rPr>
        <w:t xml:space="preserve">, </w:t>
      </w:r>
      <w:r w:rsidR="00707B57" w:rsidRPr="00707B57">
        <w:rPr>
          <w:rFonts w:asciiTheme="minorHAnsi" w:hAnsiTheme="minorHAnsi" w:cstheme="minorHAnsi"/>
          <w:sz w:val="26"/>
          <w:szCs w:val="26"/>
        </w:rPr>
        <w:t xml:space="preserve">he seeks an order declaring Jurgens to be in contempt of court together with a </w:t>
      </w:r>
      <w:r w:rsidR="00707B57" w:rsidRPr="00707B57">
        <w:rPr>
          <w:rFonts w:asciiTheme="minorHAnsi" w:hAnsiTheme="minorHAnsi" w:cstheme="minorHAnsi"/>
          <w:sz w:val="26"/>
          <w:szCs w:val="26"/>
        </w:rPr>
        <w:lastRenderedPageBreak/>
        <w:t>committal order</w:t>
      </w:r>
      <w:r w:rsidR="00707B57">
        <w:rPr>
          <w:rFonts w:asciiTheme="minorHAnsi" w:hAnsiTheme="minorHAnsi" w:cstheme="minorHAnsi"/>
          <w:sz w:val="26"/>
          <w:szCs w:val="26"/>
        </w:rPr>
        <w:t xml:space="preserve"> along the same lines as that sought by Jurgens, suspended on certain conditions. </w:t>
      </w:r>
      <w:r w:rsidR="00DD43BE">
        <w:rPr>
          <w:rFonts w:asciiTheme="minorHAnsi" w:hAnsiTheme="minorHAnsi" w:cstheme="minorHAnsi"/>
          <w:sz w:val="26"/>
          <w:szCs w:val="26"/>
        </w:rPr>
        <w:t>Each party</w:t>
      </w:r>
      <w:r w:rsidR="00707B57">
        <w:rPr>
          <w:rFonts w:asciiTheme="minorHAnsi" w:hAnsiTheme="minorHAnsi" w:cstheme="minorHAnsi"/>
          <w:sz w:val="26"/>
          <w:szCs w:val="26"/>
        </w:rPr>
        <w:t xml:space="preserve"> seek</w:t>
      </w:r>
      <w:r w:rsidR="00DD43BE">
        <w:rPr>
          <w:rFonts w:asciiTheme="minorHAnsi" w:hAnsiTheme="minorHAnsi" w:cstheme="minorHAnsi"/>
          <w:sz w:val="26"/>
          <w:szCs w:val="26"/>
        </w:rPr>
        <w:t>s</w:t>
      </w:r>
      <w:r w:rsidR="00707B57">
        <w:rPr>
          <w:rFonts w:asciiTheme="minorHAnsi" w:hAnsiTheme="minorHAnsi" w:cstheme="minorHAnsi"/>
          <w:sz w:val="26"/>
          <w:szCs w:val="26"/>
        </w:rPr>
        <w:t xml:space="preserve"> a </w:t>
      </w:r>
      <w:r w:rsidR="00DD43BE">
        <w:rPr>
          <w:rFonts w:asciiTheme="minorHAnsi" w:hAnsiTheme="minorHAnsi" w:cstheme="minorHAnsi"/>
          <w:sz w:val="26"/>
          <w:szCs w:val="26"/>
        </w:rPr>
        <w:t>costs</w:t>
      </w:r>
      <w:r w:rsidR="00707B57">
        <w:rPr>
          <w:rFonts w:asciiTheme="minorHAnsi" w:hAnsiTheme="minorHAnsi" w:cstheme="minorHAnsi"/>
          <w:sz w:val="26"/>
          <w:szCs w:val="26"/>
        </w:rPr>
        <w:t xml:space="preserve"> </w:t>
      </w:r>
      <w:r w:rsidR="00A42030">
        <w:rPr>
          <w:rFonts w:asciiTheme="minorHAnsi" w:hAnsiTheme="minorHAnsi" w:cstheme="minorHAnsi"/>
          <w:sz w:val="26"/>
          <w:szCs w:val="26"/>
        </w:rPr>
        <w:t>order</w:t>
      </w:r>
      <w:r w:rsidR="00707B57">
        <w:rPr>
          <w:rFonts w:asciiTheme="minorHAnsi" w:hAnsiTheme="minorHAnsi" w:cstheme="minorHAnsi"/>
          <w:sz w:val="26"/>
          <w:szCs w:val="26"/>
        </w:rPr>
        <w:t xml:space="preserve"> </w:t>
      </w:r>
      <w:r w:rsidR="00DD43BE">
        <w:rPr>
          <w:rFonts w:asciiTheme="minorHAnsi" w:hAnsiTheme="minorHAnsi" w:cstheme="minorHAnsi"/>
          <w:sz w:val="26"/>
          <w:szCs w:val="26"/>
        </w:rPr>
        <w:t xml:space="preserve">against the other </w:t>
      </w:r>
      <w:r w:rsidR="00707B57">
        <w:rPr>
          <w:rFonts w:asciiTheme="minorHAnsi" w:hAnsiTheme="minorHAnsi" w:cstheme="minorHAnsi"/>
          <w:sz w:val="26"/>
          <w:szCs w:val="26"/>
        </w:rPr>
        <w:t>on the scale as be</w:t>
      </w:r>
      <w:r w:rsidR="00DD43BE">
        <w:rPr>
          <w:rFonts w:asciiTheme="minorHAnsi" w:hAnsiTheme="minorHAnsi" w:cstheme="minorHAnsi"/>
          <w:sz w:val="26"/>
          <w:szCs w:val="26"/>
        </w:rPr>
        <w:t>t</w:t>
      </w:r>
      <w:r w:rsidR="00707B57">
        <w:rPr>
          <w:rFonts w:asciiTheme="minorHAnsi" w:hAnsiTheme="minorHAnsi" w:cstheme="minorHAnsi"/>
          <w:sz w:val="26"/>
          <w:szCs w:val="26"/>
        </w:rPr>
        <w:t xml:space="preserve">ween attorney and </w:t>
      </w:r>
      <w:r w:rsidR="00707B57" w:rsidRPr="00DD43BE">
        <w:rPr>
          <w:rFonts w:asciiTheme="minorHAnsi" w:hAnsiTheme="minorHAnsi" w:cstheme="minorHAnsi"/>
          <w:sz w:val="26"/>
          <w:szCs w:val="26"/>
          <w:u w:val="single"/>
        </w:rPr>
        <w:t>own</w:t>
      </w:r>
      <w:r w:rsidR="00707B57">
        <w:rPr>
          <w:rFonts w:asciiTheme="minorHAnsi" w:hAnsiTheme="minorHAnsi" w:cstheme="minorHAnsi"/>
          <w:sz w:val="26"/>
          <w:szCs w:val="26"/>
        </w:rPr>
        <w:t xml:space="preserve"> client</w:t>
      </w:r>
      <w:r w:rsidR="00DD43BE">
        <w:rPr>
          <w:rFonts w:asciiTheme="minorHAnsi" w:hAnsiTheme="minorHAnsi" w:cstheme="minorHAnsi"/>
          <w:sz w:val="26"/>
          <w:szCs w:val="26"/>
        </w:rPr>
        <w:t>.</w:t>
      </w:r>
    </w:p>
    <w:p w:rsidR="00045AA5" w:rsidRPr="001770CE" w:rsidRDefault="00045AA5" w:rsidP="00045AA5">
      <w:pPr>
        <w:pStyle w:val="ListParagraph"/>
        <w:rPr>
          <w:rFonts w:asciiTheme="minorHAnsi" w:hAnsiTheme="minorHAnsi" w:cstheme="minorHAnsi"/>
          <w:color w:val="242121"/>
          <w:sz w:val="26"/>
          <w:szCs w:val="26"/>
          <w:shd w:val="clear" w:color="auto" w:fill="FFFFFF"/>
        </w:rPr>
      </w:pPr>
    </w:p>
    <w:p w:rsidR="00045AA5" w:rsidRDefault="00976908"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Jurgens alleges that Botha breached the order in two respects</w:t>
      </w:r>
      <w:r w:rsidR="00863439">
        <w:rPr>
          <w:rFonts w:asciiTheme="minorHAnsi" w:hAnsiTheme="minorHAnsi" w:cstheme="minorHAnsi"/>
          <w:sz w:val="26"/>
          <w:szCs w:val="26"/>
        </w:rPr>
        <w:t>:-</w:t>
      </w:r>
    </w:p>
    <w:p w:rsidR="00863439" w:rsidRPr="00863439" w:rsidRDefault="00863439" w:rsidP="00863439">
      <w:pPr>
        <w:pStyle w:val="ListParagraph"/>
        <w:rPr>
          <w:rFonts w:asciiTheme="minorHAnsi" w:hAnsiTheme="minorHAnsi" w:cstheme="minorHAnsi"/>
          <w:sz w:val="26"/>
          <w:szCs w:val="26"/>
        </w:rPr>
      </w:pPr>
    </w:p>
    <w:p w:rsidR="00863439" w:rsidRDefault="00863439" w:rsidP="00863439">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By withdrawing his suretyship </w:t>
      </w:r>
      <w:r w:rsidR="00123DD6">
        <w:rPr>
          <w:rFonts w:asciiTheme="minorHAnsi" w:hAnsiTheme="minorHAnsi" w:cstheme="minorHAnsi"/>
          <w:sz w:val="26"/>
          <w:szCs w:val="26"/>
        </w:rPr>
        <w:t>in a letter</w:t>
      </w:r>
      <w:r>
        <w:rPr>
          <w:rFonts w:asciiTheme="minorHAnsi" w:hAnsiTheme="minorHAnsi" w:cstheme="minorHAnsi"/>
          <w:sz w:val="26"/>
          <w:szCs w:val="26"/>
        </w:rPr>
        <w:t xml:space="preserve"> </w:t>
      </w:r>
      <w:r w:rsidR="00123DD6">
        <w:rPr>
          <w:rFonts w:asciiTheme="minorHAnsi" w:hAnsiTheme="minorHAnsi" w:cstheme="minorHAnsi"/>
          <w:sz w:val="26"/>
          <w:szCs w:val="26"/>
        </w:rPr>
        <w:t xml:space="preserve">addressed by his attorney </w:t>
      </w:r>
      <w:r>
        <w:rPr>
          <w:rFonts w:asciiTheme="minorHAnsi" w:hAnsiTheme="minorHAnsi" w:cstheme="minorHAnsi"/>
          <w:sz w:val="26"/>
          <w:szCs w:val="26"/>
        </w:rPr>
        <w:t>to Absa Bank</w:t>
      </w:r>
      <w:r w:rsidR="00123DD6">
        <w:rPr>
          <w:rFonts w:asciiTheme="minorHAnsi" w:hAnsiTheme="minorHAnsi" w:cstheme="minorHAnsi"/>
          <w:sz w:val="26"/>
          <w:szCs w:val="26"/>
        </w:rPr>
        <w:t>, dated 17 October 2017</w:t>
      </w:r>
      <w:r w:rsidR="008556A2">
        <w:rPr>
          <w:rFonts w:asciiTheme="minorHAnsi" w:hAnsiTheme="minorHAnsi" w:cstheme="minorHAnsi"/>
          <w:sz w:val="26"/>
          <w:szCs w:val="26"/>
        </w:rPr>
        <w:t>;</w:t>
      </w:r>
      <w:r w:rsidR="00DC3FF3">
        <w:rPr>
          <w:rFonts w:asciiTheme="minorHAnsi" w:hAnsiTheme="minorHAnsi" w:cstheme="minorHAnsi"/>
          <w:sz w:val="26"/>
          <w:szCs w:val="26"/>
        </w:rPr>
        <w:t xml:space="preserve"> (‘</w:t>
      </w:r>
      <w:r w:rsidR="00DC3FF3" w:rsidRPr="00164D0B">
        <w:rPr>
          <w:rFonts w:asciiTheme="minorHAnsi" w:hAnsiTheme="minorHAnsi" w:cstheme="minorHAnsi"/>
          <w:i/>
          <w:sz w:val="26"/>
          <w:szCs w:val="26"/>
        </w:rPr>
        <w:t>withdrawal of suretyship’</w:t>
      </w:r>
      <w:r w:rsidR="00DC3FF3">
        <w:rPr>
          <w:rFonts w:asciiTheme="minorHAnsi" w:hAnsiTheme="minorHAnsi" w:cstheme="minorHAnsi"/>
          <w:sz w:val="26"/>
          <w:szCs w:val="26"/>
        </w:rPr>
        <w:t xml:space="preserve">) </w:t>
      </w:r>
      <w:r w:rsidR="00123DD6">
        <w:rPr>
          <w:rFonts w:asciiTheme="minorHAnsi" w:hAnsiTheme="minorHAnsi" w:cstheme="minorHAnsi"/>
          <w:sz w:val="26"/>
          <w:szCs w:val="26"/>
        </w:rPr>
        <w:t xml:space="preserve"> and</w:t>
      </w:r>
    </w:p>
    <w:p w:rsidR="00123DD6" w:rsidRDefault="00123DD6" w:rsidP="00863439">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By</w:t>
      </w:r>
      <w:r w:rsidR="00DC3FF3">
        <w:rPr>
          <w:rFonts w:asciiTheme="minorHAnsi" w:hAnsiTheme="minorHAnsi" w:cstheme="minorHAnsi"/>
          <w:sz w:val="26"/>
          <w:szCs w:val="26"/>
        </w:rPr>
        <w:t xml:space="preserve"> effecting electronic payment from the bank account of </w:t>
      </w:r>
      <w:r w:rsidR="008556A2">
        <w:rPr>
          <w:rFonts w:asciiTheme="minorHAnsi" w:hAnsiTheme="minorHAnsi" w:cstheme="minorHAnsi"/>
          <w:sz w:val="26"/>
          <w:szCs w:val="26"/>
        </w:rPr>
        <w:t>the second applicant</w:t>
      </w:r>
      <w:r w:rsidR="00DC3FF3">
        <w:rPr>
          <w:rFonts w:asciiTheme="minorHAnsi" w:hAnsiTheme="minorHAnsi" w:cstheme="minorHAnsi"/>
          <w:sz w:val="26"/>
          <w:szCs w:val="26"/>
        </w:rPr>
        <w:t xml:space="preserve"> to Caxton Publishers in respect of the cost of two advertisements </w:t>
      </w:r>
      <w:r w:rsidR="00482B27">
        <w:rPr>
          <w:rFonts w:asciiTheme="minorHAnsi" w:hAnsiTheme="minorHAnsi" w:cstheme="minorHAnsi"/>
          <w:sz w:val="26"/>
          <w:szCs w:val="26"/>
        </w:rPr>
        <w:t xml:space="preserve">placed </w:t>
      </w:r>
      <w:r w:rsidR="00DC3FF3">
        <w:rPr>
          <w:rFonts w:asciiTheme="minorHAnsi" w:hAnsiTheme="minorHAnsi" w:cstheme="minorHAnsi"/>
          <w:sz w:val="26"/>
          <w:szCs w:val="26"/>
        </w:rPr>
        <w:t xml:space="preserve">for purposes of filling </w:t>
      </w:r>
      <w:r w:rsidR="008556A2">
        <w:rPr>
          <w:rFonts w:asciiTheme="minorHAnsi" w:hAnsiTheme="minorHAnsi" w:cstheme="minorHAnsi"/>
          <w:sz w:val="26"/>
          <w:szCs w:val="26"/>
        </w:rPr>
        <w:t xml:space="preserve">posts for the employment of medical doctors </w:t>
      </w:r>
      <w:r w:rsidR="00DC3FF3">
        <w:rPr>
          <w:rFonts w:asciiTheme="minorHAnsi" w:hAnsiTheme="minorHAnsi" w:cstheme="minorHAnsi"/>
          <w:sz w:val="26"/>
          <w:szCs w:val="26"/>
        </w:rPr>
        <w:t xml:space="preserve">at the </w:t>
      </w:r>
      <w:r w:rsidR="00482B27">
        <w:rPr>
          <w:rFonts w:asciiTheme="minorHAnsi" w:hAnsiTheme="minorHAnsi" w:cstheme="minorHAnsi"/>
          <w:sz w:val="26"/>
          <w:szCs w:val="26"/>
        </w:rPr>
        <w:t>two practices conducted by the second and third appliaants.</w:t>
      </w:r>
      <w:r w:rsidR="00DC3FF3">
        <w:rPr>
          <w:rFonts w:asciiTheme="minorHAnsi" w:hAnsiTheme="minorHAnsi" w:cstheme="minorHAnsi"/>
          <w:sz w:val="26"/>
          <w:szCs w:val="26"/>
        </w:rPr>
        <w:t xml:space="preserve"> (</w:t>
      </w:r>
      <w:r w:rsidR="00C56F7C">
        <w:rPr>
          <w:rFonts w:asciiTheme="minorHAnsi" w:hAnsiTheme="minorHAnsi" w:cstheme="minorHAnsi"/>
          <w:sz w:val="26"/>
          <w:szCs w:val="26"/>
        </w:rPr>
        <w:t>‘</w:t>
      </w:r>
      <w:r w:rsidR="00C56F7C" w:rsidRPr="00164D0B">
        <w:rPr>
          <w:rFonts w:asciiTheme="minorHAnsi" w:hAnsiTheme="minorHAnsi" w:cstheme="minorHAnsi"/>
          <w:i/>
          <w:sz w:val="26"/>
          <w:szCs w:val="26"/>
        </w:rPr>
        <w:t xml:space="preserve">payment of </w:t>
      </w:r>
      <w:r w:rsidR="00DC3FF3" w:rsidRPr="00164D0B">
        <w:rPr>
          <w:rFonts w:asciiTheme="minorHAnsi" w:hAnsiTheme="minorHAnsi" w:cstheme="minorHAnsi"/>
          <w:i/>
          <w:sz w:val="26"/>
          <w:szCs w:val="26"/>
        </w:rPr>
        <w:t>advertising costs’</w:t>
      </w:r>
      <w:r w:rsidR="00DC3FF3">
        <w:rPr>
          <w:rFonts w:asciiTheme="minorHAnsi" w:hAnsiTheme="minorHAnsi" w:cstheme="minorHAnsi"/>
          <w:sz w:val="26"/>
          <w:szCs w:val="26"/>
        </w:rPr>
        <w:t xml:space="preserve">). </w:t>
      </w:r>
    </w:p>
    <w:p w:rsidR="00045AA5" w:rsidRPr="00330EF3" w:rsidRDefault="00045AA5" w:rsidP="00045AA5">
      <w:pPr>
        <w:pStyle w:val="ListParagraph"/>
        <w:rPr>
          <w:rFonts w:asciiTheme="minorHAnsi" w:hAnsiTheme="minorHAnsi" w:cstheme="minorHAnsi"/>
          <w:sz w:val="26"/>
          <w:szCs w:val="26"/>
        </w:rPr>
      </w:pPr>
    </w:p>
    <w:p w:rsidR="00045AA5" w:rsidRDefault="00DC3FF3"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Botha alleges that Jurgens breached the order in two respects:</w:t>
      </w:r>
      <w:r>
        <w:rPr>
          <w:rStyle w:val="FootnoteReference"/>
          <w:rFonts w:asciiTheme="minorHAnsi" w:hAnsiTheme="minorHAnsi" w:cstheme="minorHAnsi"/>
          <w:sz w:val="26"/>
          <w:szCs w:val="26"/>
        </w:rPr>
        <w:footnoteReference w:id="6"/>
      </w:r>
    </w:p>
    <w:p w:rsidR="00DC3FF3" w:rsidRDefault="00DC3FF3" w:rsidP="00DC3FF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By </w:t>
      </w:r>
      <w:r w:rsidR="00C56F7C">
        <w:rPr>
          <w:rFonts w:asciiTheme="minorHAnsi" w:hAnsiTheme="minorHAnsi" w:cstheme="minorHAnsi"/>
          <w:sz w:val="26"/>
          <w:szCs w:val="26"/>
        </w:rPr>
        <w:t>securing payment</w:t>
      </w:r>
      <w:r w:rsidR="00482B27">
        <w:rPr>
          <w:rFonts w:asciiTheme="minorHAnsi" w:hAnsiTheme="minorHAnsi" w:cstheme="minorHAnsi"/>
          <w:sz w:val="26"/>
          <w:szCs w:val="26"/>
        </w:rPr>
        <w:t>,</w:t>
      </w:r>
      <w:r w:rsidR="00C56F7C">
        <w:rPr>
          <w:rFonts w:asciiTheme="minorHAnsi" w:hAnsiTheme="minorHAnsi" w:cstheme="minorHAnsi"/>
          <w:sz w:val="26"/>
          <w:szCs w:val="26"/>
        </w:rPr>
        <w:t xml:space="preserve"> </w:t>
      </w:r>
      <w:r w:rsidR="00EE34A0">
        <w:rPr>
          <w:rFonts w:asciiTheme="minorHAnsi" w:hAnsiTheme="minorHAnsi" w:cstheme="minorHAnsi"/>
          <w:sz w:val="26"/>
          <w:szCs w:val="26"/>
        </w:rPr>
        <w:t xml:space="preserve">on a recurring monthly basis as from January 2021 </w:t>
      </w:r>
      <w:r w:rsidR="00164D0B">
        <w:rPr>
          <w:rFonts w:asciiTheme="minorHAnsi" w:hAnsiTheme="minorHAnsi" w:cstheme="minorHAnsi"/>
          <w:sz w:val="26"/>
          <w:szCs w:val="26"/>
        </w:rPr>
        <w:t>from the bank account of the</w:t>
      </w:r>
      <w:r w:rsidR="00EE34A0">
        <w:rPr>
          <w:rFonts w:asciiTheme="minorHAnsi" w:hAnsiTheme="minorHAnsi" w:cstheme="minorHAnsi"/>
          <w:sz w:val="26"/>
          <w:szCs w:val="26"/>
        </w:rPr>
        <w:t xml:space="preserve"> second</w:t>
      </w:r>
      <w:r w:rsidR="00164D0B">
        <w:rPr>
          <w:rFonts w:asciiTheme="minorHAnsi" w:hAnsiTheme="minorHAnsi" w:cstheme="minorHAnsi"/>
          <w:sz w:val="26"/>
          <w:szCs w:val="26"/>
        </w:rPr>
        <w:t xml:space="preserve"> applicant</w:t>
      </w:r>
      <w:r w:rsidR="00482B27">
        <w:rPr>
          <w:rFonts w:asciiTheme="minorHAnsi" w:hAnsiTheme="minorHAnsi" w:cstheme="minorHAnsi"/>
          <w:sz w:val="26"/>
          <w:szCs w:val="26"/>
        </w:rPr>
        <w:t>,</w:t>
      </w:r>
      <w:r w:rsidR="00164D0B">
        <w:rPr>
          <w:rFonts w:asciiTheme="minorHAnsi" w:hAnsiTheme="minorHAnsi" w:cstheme="minorHAnsi"/>
          <w:sz w:val="26"/>
          <w:szCs w:val="26"/>
        </w:rPr>
        <w:t xml:space="preserve"> </w:t>
      </w:r>
      <w:r w:rsidR="00EE34A0">
        <w:rPr>
          <w:rFonts w:asciiTheme="minorHAnsi" w:hAnsiTheme="minorHAnsi" w:cstheme="minorHAnsi"/>
          <w:sz w:val="26"/>
          <w:szCs w:val="26"/>
        </w:rPr>
        <w:t xml:space="preserve">in respect </w:t>
      </w:r>
      <w:r w:rsidR="00C56F7C">
        <w:rPr>
          <w:rFonts w:asciiTheme="minorHAnsi" w:hAnsiTheme="minorHAnsi" w:cstheme="minorHAnsi"/>
          <w:sz w:val="26"/>
          <w:szCs w:val="26"/>
        </w:rPr>
        <w:t xml:space="preserve">of </w:t>
      </w:r>
      <w:r w:rsidR="00482B27">
        <w:rPr>
          <w:rFonts w:asciiTheme="minorHAnsi" w:hAnsiTheme="minorHAnsi" w:cstheme="minorHAnsi"/>
          <w:sz w:val="26"/>
          <w:szCs w:val="26"/>
        </w:rPr>
        <w:t xml:space="preserve">an </w:t>
      </w:r>
      <w:r w:rsidR="00C56F7C">
        <w:rPr>
          <w:rFonts w:asciiTheme="minorHAnsi" w:hAnsiTheme="minorHAnsi" w:cstheme="minorHAnsi"/>
          <w:sz w:val="26"/>
          <w:szCs w:val="26"/>
        </w:rPr>
        <w:t xml:space="preserve">increase </w:t>
      </w:r>
      <w:r w:rsidR="00482B27">
        <w:rPr>
          <w:rFonts w:asciiTheme="minorHAnsi" w:hAnsiTheme="minorHAnsi" w:cstheme="minorHAnsi"/>
          <w:sz w:val="26"/>
          <w:szCs w:val="26"/>
        </w:rPr>
        <w:t xml:space="preserve">in </w:t>
      </w:r>
      <w:r w:rsidR="00C56F7C">
        <w:rPr>
          <w:rFonts w:asciiTheme="minorHAnsi" w:hAnsiTheme="minorHAnsi" w:cstheme="minorHAnsi"/>
          <w:sz w:val="26"/>
          <w:szCs w:val="26"/>
        </w:rPr>
        <w:t xml:space="preserve">rental </w:t>
      </w:r>
      <w:r w:rsidR="00164D0B">
        <w:rPr>
          <w:rFonts w:asciiTheme="minorHAnsi" w:hAnsiTheme="minorHAnsi" w:cstheme="minorHAnsi"/>
          <w:sz w:val="26"/>
          <w:szCs w:val="26"/>
        </w:rPr>
        <w:t xml:space="preserve">payable by the second applicant </w:t>
      </w:r>
      <w:r w:rsidR="00C56F7C">
        <w:rPr>
          <w:rFonts w:asciiTheme="minorHAnsi" w:hAnsiTheme="minorHAnsi" w:cstheme="minorHAnsi"/>
          <w:sz w:val="26"/>
          <w:szCs w:val="26"/>
        </w:rPr>
        <w:t>to the landlord (Manatech</w:t>
      </w:r>
      <w:r w:rsidR="00164D0B">
        <w:rPr>
          <w:rFonts w:asciiTheme="minorHAnsi" w:hAnsiTheme="minorHAnsi" w:cstheme="minorHAnsi"/>
          <w:sz w:val="26"/>
          <w:szCs w:val="26"/>
        </w:rPr>
        <w:t xml:space="preserve"> (Pty) Ltd) (“Manatech’) </w:t>
      </w:r>
      <w:r w:rsidR="00C56F7C">
        <w:rPr>
          <w:rFonts w:asciiTheme="minorHAnsi" w:hAnsiTheme="minorHAnsi" w:cstheme="minorHAnsi"/>
          <w:sz w:val="26"/>
          <w:szCs w:val="26"/>
        </w:rPr>
        <w:t xml:space="preserve">in respect of premises leased by the </w:t>
      </w:r>
      <w:r w:rsidR="00164D0B">
        <w:rPr>
          <w:rFonts w:asciiTheme="minorHAnsi" w:hAnsiTheme="minorHAnsi" w:cstheme="minorHAnsi"/>
          <w:sz w:val="26"/>
          <w:szCs w:val="26"/>
        </w:rPr>
        <w:t xml:space="preserve">second </w:t>
      </w:r>
      <w:r w:rsidR="00C56F7C">
        <w:rPr>
          <w:rFonts w:asciiTheme="minorHAnsi" w:hAnsiTheme="minorHAnsi" w:cstheme="minorHAnsi"/>
          <w:sz w:val="26"/>
          <w:szCs w:val="26"/>
        </w:rPr>
        <w:t>applicant</w:t>
      </w:r>
      <w:r w:rsidR="00164D0B">
        <w:rPr>
          <w:rFonts w:asciiTheme="minorHAnsi" w:hAnsiTheme="minorHAnsi" w:cstheme="minorHAnsi"/>
          <w:sz w:val="26"/>
          <w:szCs w:val="26"/>
        </w:rPr>
        <w:t xml:space="preserve"> from Manotech,</w:t>
      </w:r>
      <w:r w:rsidR="00C56F7C">
        <w:rPr>
          <w:rFonts w:asciiTheme="minorHAnsi" w:hAnsiTheme="minorHAnsi" w:cstheme="minorHAnsi"/>
          <w:sz w:val="26"/>
          <w:szCs w:val="26"/>
        </w:rPr>
        <w:t xml:space="preserve"> </w:t>
      </w:r>
      <w:r w:rsidR="00164D0B">
        <w:rPr>
          <w:rFonts w:asciiTheme="minorHAnsi" w:hAnsiTheme="minorHAnsi" w:cstheme="minorHAnsi"/>
          <w:sz w:val="26"/>
          <w:szCs w:val="26"/>
        </w:rPr>
        <w:t>with Jurgens acting both in his capacity as co-director of Manotech</w:t>
      </w:r>
      <w:r w:rsidR="008556A2">
        <w:rPr>
          <w:rFonts w:asciiTheme="minorHAnsi" w:hAnsiTheme="minorHAnsi" w:cstheme="minorHAnsi"/>
          <w:sz w:val="26"/>
          <w:szCs w:val="26"/>
        </w:rPr>
        <w:t xml:space="preserve"> [landlord]</w:t>
      </w:r>
      <w:r w:rsidR="00164D0B">
        <w:rPr>
          <w:rFonts w:asciiTheme="minorHAnsi" w:hAnsiTheme="minorHAnsi" w:cstheme="minorHAnsi"/>
          <w:sz w:val="26"/>
          <w:szCs w:val="26"/>
        </w:rPr>
        <w:t xml:space="preserve"> and co-director of the second applicant</w:t>
      </w:r>
      <w:r w:rsidR="008556A2">
        <w:rPr>
          <w:rFonts w:asciiTheme="minorHAnsi" w:hAnsiTheme="minorHAnsi" w:cstheme="minorHAnsi"/>
          <w:sz w:val="26"/>
          <w:szCs w:val="26"/>
        </w:rPr>
        <w:t xml:space="preserve"> [tenant]</w:t>
      </w:r>
      <w:r w:rsidR="00164D0B">
        <w:rPr>
          <w:rFonts w:asciiTheme="minorHAnsi" w:hAnsiTheme="minorHAnsi" w:cstheme="minorHAnsi"/>
          <w:sz w:val="26"/>
          <w:szCs w:val="26"/>
        </w:rPr>
        <w:t xml:space="preserve"> (‘</w:t>
      </w:r>
      <w:r w:rsidR="00164D0B" w:rsidRPr="00164D0B">
        <w:rPr>
          <w:rFonts w:asciiTheme="minorHAnsi" w:hAnsiTheme="minorHAnsi" w:cstheme="minorHAnsi"/>
          <w:i/>
          <w:sz w:val="26"/>
          <w:szCs w:val="26"/>
        </w:rPr>
        <w:t>increase in rental</w:t>
      </w:r>
      <w:r w:rsidR="00164D0B">
        <w:rPr>
          <w:rFonts w:asciiTheme="minorHAnsi" w:hAnsiTheme="minorHAnsi" w:cstheme="minorHAnsi"/>
          <w:sz w:val="26"/>
          <w:szCs w:val="26"/>
        </w:rPr>
        <w:t xml:space="preserve">’); </w:t>
      </w:r>
      <w:r w:rsidR="00C56F7C">
        <w:rPr>
          <w:rFonts w:asciiTheme="minorHAnsi" w:hAnsiTheme="minorHAnsi" w:cstheme="minorHAnsi"/>
          <w:sz w:val="26"/>
          <w:szCs w:val="26"/>
        </w:rPr>
        <w:t xml:space="preserve">and </w:t>
      </w:r>
    </w:p>
    <w:p w:rsidR="00DC3FF3" w:rsidRDefault="00DC3FF3" w:rsidP="00DC3FF3">
      <w:pPr>
        <w:pStyle w:val="ListParagraph"/>
        <w:numPr>
          <w:ilvl w:val="1"/>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By securing repayment to him</w:t>
      </w:r>
      <w:r w:rsidR="00164D0B">
        <w:rPr>
          <w:rFonts w:asciiTheme="minorHAnsi" w:hAnsiTheme="minorHAnsi" w:cstheme="minorHAnsi"/>
          <w:sz w:val="26"/>
          <w:szCs w:val="26"/>
        </w:rPr>
        <w:t xml:space="preserve"> on 1 July 2021</w:t>
      </w:r>
      <w:r>
        <w:rPr>
          <w:rFonts w:asciiTheme="minorHAnsi" w:hAnsiTheme="minorHAnsi" w:cstheme="minorHAnsi"/>
          <w:sz w:val="26"/>
          <w:szCs w:val="26"/>
        </w:rPr>
        <w:t xml:space="preserve"> of </w:t>
      </w:r>
      <w:r w:rsidR="00C56F7C">
        <w:rPr>
          <w:rFonts w:asciiTheme="minorHAnsi" w:hAnsiTheme="minorHAnsi" w:cstheme="minorHAnsi"/>
          <w:sz w:val="26"/>
          <w:szCs w:val="26"/>
        </w:rPr>
        <w:t>an amount of R</w:t>
      </w:r>
      <w:r w:rsidR="00164D0B">
        <w:rPr>
          <w:rFonts w:asciiTheme="minorHAnsi" w:hAnsiTheme="minorHAnsi" w:cstheme="minorHAnsi"/>
          <w:sz w:val="26"/>
          <w:szCs w:val="26"/>
        </w:rPr>
        <w:t>639</w:t>
      </w:r>
      <w:r w:rsidR="00EE34A0">
        <w:rPr>
          <w:rFonts w:asciiTheme="minorHAnsi" w:hAnsiTheme="minorHAnsi" w:cstheme="minorHAnsi"/>
          <w:sz w:val="26"/>
          <w:szCs w:val="26"/>
        </w:rPr>
        <w:t xml:space="preserve"> </w:t>
      </w:r>
      <w:r w:rsidR="00164D0B">
        <w:rPr>
          <w:rFonts w:asciiTheme="minorHAnsi" w:hAnsiTheme="minorHAnsi" w:cstheme="minorHAnsi"/>
          <w:sz w:val="26"/>
          <w:szCs w:val="26"/>
        </w:rPr>
        <w:t>500.00</w:t>
      </w:r>
      <w:r>
        <w:rPr>
          <w:rFonts w:asciiTheme="minorHAnsi" w:hAnsiTheme="minorHAnsi" w:cstheme="minorHAnsi"/>
          <w:sz w:val="26"/>
          <w:szCs w:val="26"/>
        </w:rPr>
        <w:t xml:space="preserve"> by way of electronic transfer of funds from the bank account of </w:t>
      </w:r>
      <w:r w:rsidR="00164D0B">
        <w:rPr>
          <w:rFonts w:asciiTheme="minorHAnsi" w:hAnsiTheme="minorHAnsi" w:cstheme="minorHAnsi"/>
          <w:sz w:val="26"/>
          <w:szCs w:val="26"/>
        </w:rPr>
        <w:t xml:space="preserve">the second applicant </w:t>
      </w:r>
      <w:r>
        <w:rPr>
          <w:rFonts w:asciiTheme="minorHAnsi" w:hAnsiTheme="minorHAnsi" w:cstheme="minorHAnsi"/>
          <w:sz w:val="26"/>
          <w:szCs w:val="26"/>
        </w:rPr>
        <w:t>to a</w:t>
      </w:r>
      <w:r w:rsidR="00164D0B">
        <w:rPr>
          <w:rFonts w:asciiTheme="minorHAnsi" w:hAnsiTheme="minorHAnsi" w:cstheme="minorHAnsi"/>
          <w:sz w:val="26"/>
          <w:szCs w:val="26"/>
        </w:rPr>
        <w:t xml:space="preserve"> personal account of </w:t>
      </w:r>
      <w:r>
        <w:rPr>
          <w:rFonts w:asciiTheme="minorHAnsi" w:hAnsiTheme="minorHAnsi" w:cstheme="minorHAnsi"/>
          <w:sz w:val="26"/>
          <w:szCs w:val="26"/>
        </w:rPr>
        <w:t>Jurgens</w:t>
      </w:r>
      <w:r w:rsidR="00C56F7C">
        <w:rPr>
          <w:rFonts w:asciiTheme="minorHAnsi" w:hAnsiTheme="minorHAnsi" w:cstheme="minorHAnsi"/>
          <w:sz w:val="26"/>
          <w:szCs w:val="26"/>
        </w:rPr>
        <w:t>, being in respect of a personal loan made by Jurgens to the</w:t>
      </w:r>
      <w:r w:rsidR="00164D0B">
        <w:rPr>
          <w:rFonts w:asciiTheme="minorHAnsi" w:hAnsiTheme="minorHAnsi" w:cstheme="minorHAnsi"/>
          <w:sz w:val="26"/>
          <w:szCs w:val="26"/>
        </w:rPr>
        <w:t xml:space="preserve"> second applicant sometime prior to the launch of the urgent court proceedings</w:t>
      </w:r>
      <w:r w:rsidR="001A321D">
        <w:rPr>
          <w:rFonts w:asciiTheme="minorHAnsi" w:hAnsiTheme="minorHAnsi" w:cstheme="minorHAnsi"/>
          <w:sz w:val="26"/>
          <w:szCs w:val="26"/>
        </w:rPr>
        <w:t xml:space="preserve"> (‘</w:t>
      </w:r>
      <w:r w:rsidR="001A321D">
        <w:rPr>
          <w:rFonts w:asciiTheme="minorHAnsi" w:hAnsiTheme="minorHAnsi" w:cstheme="minorHAnsi"/>
          <w:i/>
          <w:sz w:val="26"/>
          <w:szCs w:val="26"/>
        </w:rPr>
        <w:t>repayment of loan’)</w:t>
      </w:r>
      <w:r w:rsidR="00164D0B">
        <w:rPr>
          <w:rFonts w:asciiTheme="minorHAnsi" w:hAnsiTheme="minorHAnsi" w:cstheme="minorHAnsi"/>
          <w:sz w:val="26"/>
          <w:szCs w:val="26"/>
        </w:rPr>
        <w:t>.</w:t>
      </w:r>
      <w:r>
        <w:rPr>
          <w:rFonts w:asciiTheme="minorHAnsi" w:hAnsiTheme="minorHAnsi" w:cstheme="minorHAnsi"/>
          <w:sz w:val="26"/>
          <w:szCs w:val="26"/>
        </w:rPr>
        <w:t xml:space="preserve"> </w:t>
      </w:r>
    </w:p>
    <w:p w:rsidR="00045AA5" w:rsidRDefault="00045AA5" w:rsidP="00045AA5">
      <w:pPr>
        <w:pStyle w:val="ListParagraph"/>
        <w:rPr>
          <w:rFonts w:asciiTheme="minorHAnsi" w:hAnsiTheme="minorHAnsi" w:cstheme="minorHAnsi"/>
          <w:sz w:val="26"/>
          <w:szCs w:val="26"/>
        </w:rPr>
      </w:pPr>
    </w:p>
    <w:p w:rsidR="00045AA5" w:rsidRPr="00EE34A0" w:rsidRDefault="00EE34A0"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In relation to th</w:t>
      </w:r>
      <w:r w:rsidR="005214BE">
        <w:rPr>
          <w:rFonts w:asciiTheme="minorHAnsi" w:hAnsiTheme="minorHAnsi" w:cstheme="minorHAnsi"/>
          <w:sz w:val="26"/>
          <w:szCs w:val="26"/>
        </w:rPr>
        <w:t>e allegations aforesaid, both J</w:t>
      </w:r>
      <w:r>
        <w:rPr>
          <w:rFonts w:asciiTheme="minorHAnsi" w:hAnsiTheme="minorHAnsi" w:cstheme="minorHAnsi"/>
          <w:sz w:val="26"/>
          <w:szCs w:val="26"/>
        </w:rPr>
        <w:t xml:space="preserve">urgens and Botha deny that their actions amounted to a breach of the provisions of the order, however, if it were to be found that same contravened the order, both aver that they did not do so wilfully or with </w:t>
      </w:r>
      <w:r>
        <w:rPr>
          <w:rFonts w:asciiTheme="minorHAnsi" w:hAnsiTheme="minorHAnsi" w:cstheme="minorHAnsi"/>
          <w:i/>
          <w:sz w:val="26"/>
          <w:szCs w:val="26"/>
        </w:rPr>
        <w:t>mala fides.</w:t>
      </w:r>
    </w:p>
    <w:p w:rsidR="00045AA5" w:rsidRDefault="00045AA5" w:rsidP="00EE34A0">
      <w:pPr>
        <w:pStyle w:val="ListParagraph"/>
        <w:rPr>
          <w:rFonts w:asciiTheme="minorHAnsi" w:hAnsiTheme="minorHAnsi" w:cstheme="minorHAnsi"/>
          <w:sz w:val="26"/>
          <w:szCs w:val="26"/>
        </w:rPr>
      </w:pPr>
    </w:p>
    <w:p w:rsidR="000228B7" w:rsidRPr="000228B7" w:rsidRDefault="000228B7" w:rsidP="000228B7">
      <w:pPr>
        <w:pStyle w:val="ListParagraph"/>
        <w:spacing w:after="200" w:line="360" w:lineRule="auto"/>
        <w:ind w:left="851"/>
        <w:jc w:val="both"/>
        <w:rPr>
          <w:rFonts w:asciiTheme="minorHAnsi" w:hAnsiTheme="minorHAnsi" w:cstheme="minorHAnsi"/>
          <w:b/>
          <w:sz w:val="26"/>
          <w:szCs w:val="26"/>
        </w:rPr>
      </w:pPr>
      <w:r w:rsidRPr="000228B7">
        <w:rPr>
          <w:rFonts w:asciiTheme="minorHAnsi" w:hAnsiTheme="minorHAnsi" w:cstheme="minorHAnsi"/>
          <w:b/>
          <w:sz w:val="26"/>
          <w:szCs w:val="26"/>
        </w:rPr>
        <w:t>In limine point</w:t>
      </w:r>
    </w:p>
    <w:p w:rsidR="000228B7" w:rsidRDefault="000228B7" w:rsidP="000228B7">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Botha contends, </w:t>
      </w:r>
      <w:r>
        <w:rPr>
          <w:rFonts w:asciiTheme="minorHAnsi" w:hAnsiTheme="minorHAnsi" w:cstheme="minorHAnsi"/>
          <w:i/>
          <w:sz w:val="26"/>
          <w:szCs w:val="26"/>
        </w:rPr>
        <w:t xml:space="preserve">in limine, </w:t>
      </w:r>
      <w:r>
        <w:rPr>
          <w:rFonts w:asciiTheme="minorHAnsi" w:hAnsiTheme="minorHAnsi" w:cstheme="minorHAnsi"/>
          <w:sz w:val="26"/>
          <w:szCs w:val="26"/>
        </w:rPr>
        <w:t xml:space="preserve"> that Jurgens lacks authority to represent the Second and third applicants in his application against Botha.</w:t>
      </w:r>
      <w:r w:rsidR="007966D1">
        <w:rPr>
          <w:rFonts w:asciiTheme="minorHAnsi" w:hAnsiTheme="minorHAnsi" w:cstheme="minorHAnsi"/>
          <w:sz w:val="26"/>
          <w:szCs w:val="26"/>
        </w:rPr>
        <w:t xml:space="preserve"> Botha and Jurgens are co-directors of the second and third applicants. Botha did not consent to the launch of the application by the second and third applicants. </w:t>
      </w:r>
    </w:p>
    <w:p w:rsidR="007966D1" w:rsidRDefault="007966D1" w:rsidP="007966D1">
      <w:pPr>
        <w:pStyle w:val="ListParagraph"/>
        <w:rPr>
          <w:rFonts w:asciiTheme="minorHAnsi" w:hAnsiTheme="minorHAnsi" w:cstheme="minorHAnsi"/>
          <w:sz w:val="26"/>
          <w:szCs w:val="26"/>
        </w:rPr>
      </w:pPr>
    </w:p>
    <w:p w:rsidR="007966D1" w:rsidRDefault="007966D1" w:rsidP="000228B7">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power to act on behalf of a company vests in the board of dirctors and not a single director.</w:t>
      </w:r>
      <w:r>
        <w:rPr>
          <w:rStyle w:val="FootnoteReference"/>
          <w:rFonts w:asciiTheme="minorHAnsi" w:hAnsiTheme="minorHAnsi" w:cstheme="minorHAnsi"/>
          <w:sz w:val="26"/>
          <w:szCs w:val="26"/>
        </w:rPr>
        <w:footnoteReference w:id="7"/>
      </w:r>
    </w:p>
    <w:p w:rsidR="007966D1" w:rsidRPr="007966D1" w:rsidRDefault="007966D1" w:rsidP="007966D1">
      <w:pPr>
        <w:pStyle w:val="ListParagraph"/>
        <w:rPr>
          <w:rFonts w:asciiTheme="minorHAnsi" w:hAnsiTheme="minorHAnsi" w:cstheme="minorHAnsi"/>
          <w:sz w:val="26"/>
          <w:szCs w:val="26"/>
        </w:rPr>
      </w:pPr>
    </w:p>
    <w:p w:rsidR="007966D1" w:rsidRDefault="007966D1" w:rsidP="000228B7">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 24 March 2020, a notice in terms of rule 7 was delivered on behalf of Botha in which he disputed the authority of CVM attorneys to act on behalf of the second and third applicants. No response was received to this notice. Jurgens has accordingly failed to establish the requisite locus standi in respect of the second and third applicants. The second and third applicants ought more appropriately to have been cited as respondents in their capacity as t interested parties. </w:t>
      </w:r>
    </w:p>
    <w:p w:rsidR="007966D1" w:rsidRPr="007966D1" w:rsidRDefault="007966D1" w:rsidP="007966D1">
      <w:pPr>
        <w:pStyle w:val="ListParagraph"/>
        <w:rPr>
          <w:rFonts w:asciiTheme="minorHAnsi" w:hAnsiTheme="minorHAnsi" w:cstheme="minorHAnsi"/>
          <w:sz w:val="26"/>
          <w:szCs w:val="26"/>
        </w:rPr>
      </w:pPr>
    </w:p>
    <w:p w:rsidR="007966D1" w:rsidRDefault="007966D1" w:rsidP="000228B7">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For purposes of judgment, I will regard the application as having been brought by Jurgens in his personal capacity against Botha. </w:t>
      </w:r>
    </w:p>
    <w:p w:rsidR="000228B7" w:rsidRDefault="000228B7" w:rsidP="00EE34A0">
      <w:pPr>
        <w:pStyle w:val="ListParagraph"/>
        <w:rPr>
          <w:rFonts w:asciiTheme="minorHAnsi" w:hAnsiTheme="minorHAnsi" w:cstheme="minorHAnsi"/>
          <w:sz w:val="26"/>
          <w:szCs w:val="26"/>
        </w:rPr>
      </w:pPr>
    </w:p>
    <w:p w:rsidR="00EE34A0" w:rsidRDefault="00EE34A0" w:rsidP="00EE34A0">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Discussion</w:t>
      </w:r>
    </w:p>
    <w:p w:rsidR="00C84FD8" w:rsidRPr="00C84FD8" w:rsidRDefault="00C84FD8" w:rsidP="00EE34A0">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Relevant legal principles</w:t>
      </w:r>
    </w:p>
    <w:p w:rsidR="00045AA5" w:rsidRDefault="004F2FE2"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requirements of</w:t>
      </w:r>
      <w:r w:rsidR="00C84FD8">
        <w:rPr>
          <w:rFonts w:asciiTheme="minorHAnsi" w:hAnsiTheme="minorHAnsi" w:cstheme="minorHAnsi"/>
          <w:sz w:val="26"/>
          <w:szCs w:val="26"/>
        </w:rPr>
        <w:t xml:space="preserve"> contempt of court wh</w:t>
      </w:r>
      <w:r>
        <w:rPr>
          <w:rFonts w:asciiTheme="minorHAnsi" w:hAnsiTheme="minorHAnsi" w:cstheme="minorHAnsi"/>
          <w:sz w:val="26"/>
          <w:szCs w:val="26"/>
        </w:rPr>
        <w:t>ere a committal order is sought</w:t>
      </w:r>
      <w:r w:rsidR="00C84FD8">
        <w:rPr>
          <w:rFonts w:asciiTheme="minorHAnsi" w:hAnsiTheme="minorHAnsi" w:cstheme="minorHAnsi"/>
          <w:sz w:val="26"/>
          <w:szCs w:val="26"/>
        </w:rPr>
        <w:t xml:space="preserve"> </w:t>
      </w:r>
      <w:r>
        <w:rPr>
          <w:rFonts w:asciiTheme="minorHAnsi" w:hAnsiTheme="minorHAnsi" w:cstheme="minorHAnsi"/>
          <w:sz w:val="26"/>
          <w:szCs w:val="26"/>
        </w:rPr>
        <w:t xml:space="preserve">are trite. </w:t>
      </w:r>
      <w:r w:rsidR="00482B27">
        <w:rPr>
          <w:rFonts w:asciiTheme="minorHAnsi" w:hAnsiTheme="minorHAnsi" w:cstheme="minorHAnsi"/>
          <w:sz w:val="26"/>
          <w:szCs w:val="26"/>
        </w:rPr>
        <w:t xml:space="preserve">An </w:t>
      </w:r>
      <w:r w:rsidR="00C84FD8">
        <w:rPr>
          <w:rFonts w:asciiTheme="minorHAnsi" w:hAnsiTheme="minorHAnsi" w:cstheme="minorHAnsi"/>
          <w:sz w:val="26"/>
          <w:szCs w:val="26"/>
        </w:rPr>
        <w:t>applicant must prove</w:t>
      </w:r>
      <w:r w:rsidR="00F445F4">
        <w:rPr>
          <w:rFonts w:asciiTheme="minorHAnsi" w:hAnsiTheme="minorHAnsi" w:cstheme="minorHAnsi"/>
          <w:sz w:val="26"/>
          <w:szCs w:val="26"/>
        </w:rPr>
        <w:t>,</w:t>
      </w:r>
      <w:r w:rsidR="00C84FD8">
        <w:rPr>
          <w:rFonts w:asciiTheme="minorHAnsi" w:hAnsiTheme="minorHAnsi" w:cstheme="minorHAnsi"/>
          <w:sz w:val="26"/>
          <w:szCs w:val="26"/>
        </w:rPr>
        <w:t xml:space="preserve"> beyond a reasonable doubt</w:t>
      </w:r>
      <w:r w:rsidR="00F445F4">
        <w:rPr>
          <w:rFonts w:asciiTheme="minorHAnsi" w:hAnsiTheme="minorHAnsi" w:cstheme="minorHAnsi"/>
          <w:sz w:val="26"/>
          <w:szCs w:val="26"/>
        </w:rPr>
        <w:t>:</w:t>
      </w:r>
      <w:r w:rsidR="008556A2">
        <w:rPr>
          <w:rFonts w:asciiTheme="minorHAnsi" w:hAnsiTheme="minorHAnsi" w:cstheme="minorHAnsi"/>
          <w:sz w:val="26"/>
          <w:szCs w:val="26"/>
        </w:rPr>
        <w:t>-</w:t>
      </w:r>
      <w:r w:rsidR="00C84FD8">
        <w:rPr>
          <w:rFonts w:asciiTheme="minorHAnsi" w:hAnsiTheme="minorHAnsi" w:cstheme="minorHAnsi"/>
          <w:sz w:val="26"/>
          <w:szCs w:val="26"/>
        </w:rPr>
        <w:t xml:space="preserve"> </w:t>
      </w:r>
      <w:r>
        <w:rPr>
          <w:rFonts w:asciiTheme="minorHAnsi" w:hAnsiTheme="minorHAnsi" w:cstheme="minorHAnsi"/>
          <w:sz w:val="26"/>
          <w:szCs w:val="26"/>
        </w:rPr>
        <w:t xml:space="preserve">(i) the existence </w:t>
      </w:r>
      <w:r>
        <w:rPr>
          <w:rFonts w:asciiTheme="minorHAnsi" w:hAnsiTheme="minorHAnsi" w:cstheme="minorHAnsi"/>
          <w:sz w:val="26"/>
          <w:szCs w:val="26"/>
        </w:rPr>
        <w:lastRenderedPageBreak/>
        <w:t>of the order;</w:t>
      </w:r>
      <w:r w:rsidR="00B14ABA">
        <w:rPr>
          <w:rFonts w:asciiTheme="minorHAnsi" w:hAnsiTheme="minorHAnsi" w:cstheme="minorHAnsi"/>
          <w:sz w:val="26"/>
          <w:szCs w:val="26"/>
        </w:rPr>
        <w:t xml:space="preserve"> </w:t>
      </w:r>
      <w:r>
        <w:rPr>
          <w:rFonts w:asciiTheme="minorHAnsi" w:hAnsiTheme="minorHAnsi" w:cstheme="minorHAnsi"/>
          <w:sz w:val="26"/>
          <w:szCs w:val="26"/>
        </w:rPr>
        <w:t xml:space="preserve">(ii) </w:t>
      </w:r>
      <w:r w:rsidR="00C84FD8">
        <w:rPr>
          <w:rFonts w:asciiTheme="minorHAnsi" w:hAnsiTheme="minorHAnsi" w:cstheme="minorHAnsi"/>
          <w:sz w:val="26"/>
          <w:szCs w:val="26"/>
        </w:rPr>
        <w:t>service of the order on the respondent or that the respondent obtained notice thereof</w:t>
      </w:r>
      <w:r>
        <w:rPr>
          <w:rFonts w:asciiTheme="minorHAnsi" w:hAnsiTheme="minorHAnsi" w:cstheme="minorHAnsi"/>
          <w:sz w:val="26"/>
          <w:szCs w:val="26"/>
        </w:rPr>
        <w:t xml:space="preserve">; (iii) </w:t>
      </w:r>
      <w:r w:rsidR="00C84FD8">
        <w:rPr>
          <w:rFonts w:asciiTheme="minorHAnsi" w:hAnsiTheme="minorHAnsi" w:cstheme="minorHAnsi"/>
          <w:sz w:val="26"/>
          <w:szCs w:val="26"/>
        </w:rPr>
        <w:t>that the respondent has not complied with the order</w:t>
      </w:r>
      <w:r>
        <w:rPr>
          <w:rFonts w:asciiTheme="minorHAnsi" w:hAnsiTheme="minorHAnsi" w:cstheme="minorHAnsi"/>
          <w:sz w:val="26"/>
          <w:szCs w:val="26"/>
        </w:rPr>
        <w:t>;</w:t>
      </w:r>
      <w:r w:rsidR="00C84FD8">
        <w:rPr>
          <w:rFonts w:asciiTheme="minorHAnsi" w:hAnsiTheme="minorHAnsi" w:cstheme="minorHAnsi"/>
          <w:sz w:val="26"/>
          <w:szCs w:val="26"/>
        </w:rPr>
        <w:t xml:space="preserve"> and </w:t>
      </w:r>
      <w:r>
        <w:rPr>
          <w:rFonts w:asciiTheme="minorHAnsi" w:hAnsiTheme="minorHAnsi" w:cstheme="minorHAnsi"/>
          <w:sz w:val="26"/>
          <w:szCs w:val="26"/>
        </w:rPr>
        <w:t xml:space="preserve">(iv) </w:t>
      </w:r>
      <w:r w:rsidR="00C84FD8">
        <w:rPr>
          <w:rFonts w:asciiTheme="minorHAnsi" w:hAnsiTheme="minorHAnsi" w:cstheme="minorHAnsi"/>
          <w:sz w:val="26"/>
          <w:szCs w:val="26"/>
        </w:rPr>
        <w:t xml:space="preserve">that this was done wilfully and </w:t>
      </w:r>
      <w:r w:rsidR="00C84FD8">
        <w:rPr>
          <w:rFonts w:asciiTheme="minorHAnsi" w:hAnsiTheme="minorHAnsi" w:cstheme="minorHAnsi"/>
          <w:i/>
          <w:sz w:val="26"/>
          <w:szCs w:val="26"/>
        </w:rPr>
        <w:t>mala fide.</w:t>
      </w:r>
      <w:r w:rsidR="00C84FD8">
        <w:rPr>
          <w:rStyle w:val="FootnoteReference"/>
          <w:rFonts w:asciiTheme="minorHAnsi" w:hAnsiTheme="minorHAnsi" w:cstheme="minorHAnsi"/>
          <w:i/>
          <w:sz w:val="26"/>
          <w:szCs w:val="26"/>
        </w:rPr>
        <w:footnoteReference w:id="8"/>
      </w:r>
      <w:r w:rsidR="00C84FD8">
        <w:rPr>
          <w:rFonts w:asciiTheme="minorHAnsi" w:hAnsiTheme="minorHAnsi" w:cstheme="minorHAnsi"/>
          <w:sz w:val="26"/>
          <w:szCs w:val="26"/>
        </w:rPr>
        <w:t xml:space="preserve"> Once the applicant has proved the order, service or notice </w:t>
      </w:r>
      <w:r w:rsidR="00F445F4">
        <w:rPr>
          <w:rFonts w:asciiTheme="minorHAnsi" w:hAnsiTheme="minorHAnsi" w:cstheme="minorHAnsi"/>
          <w:sz w:val="26"/>
          <w:szCs w:val="26"/>
        </w:rPr>
        <w:t xml:space="preserve">thereof </w:t>
      </w:r>
      <w:r w:rsidR="00C84FD8">
        <w:rPr>
          <w:rFonts w:asciiTheme="minorHAnsi" w:hAnsiTheme="minorHAnsi" w:cstheme="minorHAnsi"/>
          <w:sz w:val="26"/>
          <w:szCs w:val="26"/>
        </w:rPr>
        <w:t xml:space="preserve">and non-compliance, wilfulness and </w:t>
      </w:r>
      <w:r w:rsidR="00C84FD8">
        <w:rPr>
          <w:rFonts w:asciiTheme="minorHAnsi" w:hAnsiTheme="minorHAnsi" w:cstheme="minorHAnsi"/>
          <w:i/>
          <w:sz w:val="26"/>
          <w:szCs w:val="26"/>
        </w:rPr>
        <w:t xml:space="preserve">mala fides </w:t>
      </w:r>
      <w:r w:rsidR="00C84FD8">
        <w:rPr>
          <w:rFonts w:asciiTheme="minorHAnsi" w:hAnsiTheme="minorHAnsi" w:cstheme="minorHAnsi"/>
          <w:sz w:val="26"/>
          <w:szCs w:val="26"/>
        </w:rPr>
        <w:t xml:space="preserve">are </w:t>
      </w:r>
      <w:r>
        <w:rPr>
          <w:rFonts w:asciiTheme="minorHAnsi" w:hAnsiTheme="minorHAnsi" w:cstheme="minorHAnsi"/>
          <w:sz w:val="26"/>
          <w:szCs w:val="26"/>
        </w:rPr>
        <w:t>as</w:t>
      </w:r>
      <w:r w:rsidR="00C84FD8">
        <w:rPr>
          <w:rFonts w:asciiTheme="minorHAnsi" w:hAnsiTheme="minorHAnsi" w:cstheme="minorHAnsi"/>
          <w:sz w:val="26"/>
          <w:szCs w:val="26"/>
        </w:rPr>
        <w:t xml:space="preserve">sumed and the respondent bears an evidential burden to advance evidence that establishes a reasonable doubt as to whether </w:t>
      </w:r>
      <w:r>
        <w:rPr>
          <w:rFonts w:asciiTheme="minorHAnsi" w:hAnsiTheme="minorHAnsi" w:cstheme="minorHAnsi"/>
          <w:sz w:val="26"/>
          <w:szCs w:val="26"/>
        </w:rPr>
        <w:t xml:space="preserve">his or her </w:t>
      </w:r>
      <w:r w:rsidR="00C84FD8">
        <w:rPr>
          <w:rFonts w:asciiTheme="minorHAnsi" w:hAnsiTheme="minorHAnsi" w:cstheme="minorHAnsi"/>
          <w:sz w:val="26"/>
          <w:szCs w:val="26"/>
        </w:rPr>
        <w:t xml:space="preserve">non-compliance is/was wilful and </w:t>
      </w:r>
      <w:r w:rsidR="00C84FD8" w:rsidRPr="00C84FD8">
        <w:rPr>
          <w:rFonts w:asciiTheme="minorHAnsi" w:hAnsiTheme="minorHAnsi" w:cstheme="minorHAnsi"/>
          <w:i/>
          <w:sz w:val="26"/>
          <w:szCs w:val="26"/>
        </w:rPr>
        <w:t>m</w:t>
      </w:r>
      <w:r w:rsidR="00C84FD8">
        <w:rPr>
          <w:rFonts w:asciiTheme="minorHAnsi" w:hAnsiTheme="minorHAnsi" w:cstheme="minorHAnsi"/>
          <w:i/>
          <w:sz w:val="26"/>
          <w:szCs w:val="26"/>
        </w:rPr>
        <w:t>ala fide</w:t>
      </w:r>
      <w:r w:rsidR="00C84FD8">
        <w:rPr>
          <w:rFonts w:asciiTheme="minorHAnsi" w:hAnsiTheme="minorHAnsi" w:cstheme="minorHAnsi"/>
          <w:sz w:val="26"/>
          <w:szCs w:val="26"/>
        </w:rPr>
        <w:t>.</w:t>
      </w:r>
      <w:r w:rsidR="00C84FD8">
        <w:rPr>
          <w:rStyle w:val="FootnoteReference"/>
          <w:rFonts w:asciiTheme="minorHAnsi" w:hAnsiTheme="minorHAnsi" w:cstheme="minorHAnsi"/>
          <w:sz w:val="26"/>
          <w:szCs w:val="26"/>
        </w:rPr>
        <w:footnoteReference w:id="9"/>
      </w:r>
    </w:p>
    <w:p w:rsidR="00B14ABA" w:rsidRDefault="00B14ABA" w:rsidP="00B14ABA">
      <w:pPr>
        <w:pStyle w:val="ListParagraph"/>
        <w:rPr>
          <w:rFonts w:asciiTheme="minorHAnsi" w:hAnsiTheme="minorHAnsi" w:cstheme="minorHAnsi"/>
          <w:sz w:val="26"/>
          <w:szCs w:val="26"/>
        </w:rPr>
      </w:pPr>
    </w:p>
    <w:p w:rsidR="004F2FE2" w:rsidRDefault="004F2FE2"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first two </w:t>
      </w:r>
      <w:r w:rsidR="00B14ABA">
        <w:rPr>
          <w:rFonts w:asciiTheme="minorHAnsi" w:hAnsiTheme="minorHAnsi" w:cstheme="minorHAnsi"/>
          <w:sz w:val="26"/>
          <w:szCs w:val="26"/>
        </w:rPr>
        <w:t xml:space="preserve">of the </w:t>
      </w:r>
      <w:r>
        <w:rPr>
          <w:rFonts w:asciiTheme="minorHAnsi" w:hAnsiTheme="minorHAnsi" w:cstheme="minorHAnsi"/>
          <w:sz w:val="26"/>
          <w:szCs w:val="26"/>
        </w:rPr>
        <w:t xml:space="preserve">requirements above are not implicated in these proceedings. What is in issue is whether or not the actions of Botha on the one hand and Jurgens on the other hand </w:t>
      </w:r>
      <w:r w:rsidR="00B14ABA">
        <w:rPr>
          <w:rFonts w:asciiTheme="minorHAnsi" w:hAnsiTheme="minorHAnsi" w:cstheme="minorHAnsi"/>
          <w:sz w:val="26"/>
          <w:szCs w:val="26"/>
        </w:rPr>
        <w:t xml:space="preserve">amounted to </w:t>
      </w:r>
      <w:r>
        <w:rPr>
          <w:rFonts w:asciiTheme="minorHAnsi" w:hAnsiTheme="minorHAnsi" w:cstheme="minorHAnsi"/>
          <w:sz w:val="26"/>
          <w:szCs w:val="26"/>
        </w:rPr>
        <w:t xml:space="preserve">a </w:t>
      </w:r>
      <w:r w:rsidR="00B14ABA">
        <w:rPr>
          <w:rFonts w:asciiTheme="minorHAnsi" w:hAnsiTheme="minorHAnsi" w:cstheme="minorHAnsi"/>
          <w:sz w:val="26"/>
          <w:szCs w:val="26"/>
        </w:rPr>
        <w:t xml:space="preserve">breach of any of the provisions of the order and if so, whether </w:t>
      </w:r>
      <w:r w:rsidR="00A70DC0">
        <w:rPr>
          <w:rFonts w:asciiTheme="minorHAnsi" w:hAnsiTheme="minorHAnsi" w:cstheme="minorHAnsi"/>
          <w:sz w:val="26"/>
          <w:szCs w:val="26"/>
        </w:rPr>
        <w:t xml:space="preserve">the breach was committed both deliberately and </w:t>
      </w:r>
      <w:r w:rsidR="00A70DC0" w:rsidRPr="00A70DC0">
        <w:rPr>
          <w:rFonts w:asciiTheme="minorHAnsi" w:hAnsiTheme="minorHAnsi" w:cstheme="minorHAnsi"/>
          <w:i/>
          <w:sz w:val="26"/>
          <w:szCs w:val="26"/>
        </w:rPr>
        <w:t>mala fide</w:t>
      </w:r>
      <w:r w:rsidR="00B14ABA">
        <w:rPr>
          <w:rFonts w:asciiTheme="minorHAnsi" w:hAnsiTheme="minorHAnsi" w:cstheme="minorHAnsi"/>
          <w:sz w:val="26"/>
          <w:szCs w:val="26"/>
        </w:rPr>
        <w:t>.</w:t>
      </w:r>
    </w:p>
    <w:p w:rsidR="00412286" w:rsidRDefault="00412286" w:rsidP="00412286">
      <w:pPr>
        <w:pStyle w:val="ListParagraph"/>
        <w:rPr>
          <w:rFonts w:asciiTheme="minorHAnsi" w:hAnsiTheme="minorHAnsi" w:cstheme="minorHAnsi"/>
          <w:sz w:val="26"/>
          <w:szCs w:val="26"/>
        </w:rPr>
      </w:pPr>
    </w:p>
    <w:p w:rsidR="00412286" w:rsidRDefault="00412286" w:rsidP="00412286">
      <w:pPr>
        <w:numPr>
          <w:ilvl w:val="0"/>
          <w:numId w:val="3"/>
        </w:numPr>
        <w:spacing w:after="200" w:line="276" w:lineRule="auto"/>
        <w:contextualSpacing/>
        <w:jc w:val="both"/>
        <w:rPr>
          <w:rFonts w:asciiTheme="minorHAnsi" w:hAnsiTheme="minorHAnsi" w:cstheme="minorHAnsi"/>
          <w:sz w:val="26"/>
          <w:szCs w:val="26"/>
          <w:lang w:eastAsia="en-US"/>
        </w:rPr>
      </w:pPr>
      <w:r w:rsidRPr="001C624A">
        <w:rPr>
          <w:rFonts w:asciiTheme="minorHAnsi" w:hAnsiTheme="minorHAnsi" w:cstheme="minorHAnsi"/>
          <w:sz w:val="26"/>
          <w:szCs w:val="26"/>
          <w:lang w:eastAsia="en-US"/>
        </w:rPr>
        <w:t xml:space="preserve">In </w:t>
      </w:r>
      <w:r w:rsidRPr="001C624A">
        <w:rPr>
          <w:rFonts w:asciiTheme="minorHAnsi" w:hAnsiTheme="minorHAnsi" w:cstheme="minorHAnsi"/>
          <w:i/>
          <w:sz w:val="26"/>
          <w:szCs w:val="26"/>
          <w:lang w:eastAsia="en-US"/>
        </w:rPr>
        <w:t>Fakie supra,</w:t>
      </w:r>
      <w:r w:rsidRPr="001C624A">
        <w:rPr>
          <w:rFonts w:asciiTheme="minorHAnsi" w:hAnsiTheme="minorHAnsi" w:cstheme="minorHAnsi"/>
          <w:i/>
          <w:sz w:val="26"/>
          <w:szCs w:val="26"/>
          <w:vertAlign w:val="superscript"/>
          <w:lang w:eastAsia="en-US"/>
        </w:rPr>
        <w:footnoteReference w:id="10"/>
      </w:r>
      <w:r w:rsidRPr="001C624A">
        <w:rPr>
          <w:rFonts w:asciiTheme="minorHAnsi" w:hAnsiTheme="minorHAnsi" w:cstheme="minorHAnsi"/>
          <w:i/>
          <w:sz w:val="26"/>
          <w:szCs w:val="26"/>
          <w:lang w:eastAsia="en-US"/>
        </w:rPr>
        <w:t xml:space="preserve"> </w:t>
      </w:r>
      <w:r w:rsidRPr="001C624A">
        <w:rPr>
          <w:rFonts w:asciiTheme="minorHAnsi" w:hAnsiTheme="minorHAnsi" w:cstheme="minorHAnsi"/>
          <w:sz w:val="26"/>
          <w:szCs w:val="26"/>
          <w:lang w:eastAsia="en-US"/>
        </w:rPr>
        <w:t>the court state</w:t>
      </w:r>
      <w:r w:rsidR="00A70DC0">
        <w:rPr>
          <w:rFonts w:asciiTheme="minorHAnsi" w:hAnsiTheme="minorHAnsi" w:cstheme="minorHAnsi"/>
          <w:sz w:val="26"/>
          <w:szCs w:val="26"/>
          <w:lang w:eastAsia="en-US"/>
        </w:rPr>
        <w:t>d</w:t>
      </w:r>
      <w:r w:rsidRPr="001C624A">
        <w:rPr>
          <w:rFonts w:asciiTheme="minorHAnsi" w:hAnsiTheme="minorHAnsi" w:cstheme="minorHAnsi"/>
          <w:sz w:val="26"/>
          <w:szCs w:val="26"/>
          <w:lang w:eastAsia="en-US"/>
        </w:rPr>
        <w:t xml:space="preserve"> </w:t>
      </w:r>
      <w:r w:rsidR="00A70DC0">
        <w:rPr>
          <w:rFonts w:asciiTheme="minorHAnsi" w:hAnsiTheme="minorHAnsi" w:cstheme="minorHAnsi"/>
          <w:sz w:val="26"/>
          <w:szCs w:val="26"/>
          <w:lang w:eastAsia="en-US"/>
        </w:rPr>
        <w:t>the following</w:t>
      </w:r>
      <w:r w:rsidRPr="001C624A">
        <w:rPr>
          <w:rFonts w:asciiTheme="minorHAnsi" w:hAnsiTheme="minorHAnsi" w:cstheme="minorHAnsi"/>
          <w:sz w:val="26"/>
          <w:szCs w:val="26"/>
          <w:lang w:eastAsia="en-US"/>
        </w:rPr>
        <w:t>:</w:t>
      </w:r>
    </w:p>
    <w:p w:rsidR="00412286" w:rsidRPr="001C624A" w:rsidRDefault="00412286" w:rsidP="00412286">
      <w:pPr>
        <w:spacing w:after="200" w:line="276" w:lineRule="auto"/>
        <w:ind w:left="851"/>
        <w:contextualSpacing/>
        <w:jc w:val="both"/>
        <w:rPr>
          <w:rFonts w:asciiTheme="minorHAnsi" w:hAnsiTheme="minorHAnsi" w:cstheme="minorHAnsi"/>
          <w:sz w:val="26"/>
          <w:szCs w:val="26"/>
          <w:lang w:eastAsia="en-US"/>
        </w:rPr>
      </w:pPr>
    </w:p>
    <w:p w:rsidR="00412286" w:rsidRPr="001C624A" w:rsidRDefault="00412286" w:rsidP="00412286">
      <w:pPr>
        <w:spacing w:after="360" w:line="360" w:lineRule="auto"/>
        <w:ind w:left="1560" w:hanging="120"/>
        <w:contextualSpacing/>
        <w:jc w:val="both"/>
        <w:rPr>
          <w:rFonts w:asciiTheme="minorHAnsi" w:hAnsiTheme="minorHAnsi" w:cstheme="minorHAnsi"/>
          <w:sz w:val="26"/>
          <w:szCs w:val="26"/>
          <w:lang w:eastAsia="en-US"/>
        </w:rPr>
      </w:pPr>
      <w:r w:rsidRPr="00D03810">
        <w:rPr>
          <w:rFonts w:asciiTheme="minorHAnsi" w:hAnsiTheme="minorHAnsi" w:cstheme="minorHAnsi"/>
          <w:sz w:val="22"/>
          <w:szCs w:val="22"/>
          <w:lang w:eastAsia="en-US"/>
        </w:rPr>
        <w:t>“The test for when disobedience of a civil order constitutes contempt has come to be stated as whether the breach was committed ‘deliberately and mala fide’</w:t>
      </w:r>
      <w:r w:rsidRPr="00D03810">
        <w:rPr>
          <w:rFonts w:asciiTheme="minorHAnsi" w:hAnsiTheme="minorHAnsi" w:cstheme="minorHAnsi"/>
          <w:sz w:val="22"/>
          <w:szCs w:val="22"/>
          <w:u w:val="single"/>
          <w:lang w:eastAsia="en-US"/>
        </w:rPr>
        <w:t>. A deliberate disregard is not enough, since the non-complier may genuinely, albeit mistakenly, believe him- or -herself entitled to act in the way claimed to constitute the contempt.  In such a case good faith avoids the infraction</w:t>
      </w:r>
      <w:r w:rsidRPr="00D03810">
        <w:rPr>
          <w:rFonts w:asciiTheme="minorHAnsi" w:hAnsiTheme="minorHAnsi" w:cstheme="minorHAnsi"/>
          <w:sz w:val="22"/>
          <w:szCs w:val="22"/>
          <w:lang w:eastAsia="en-US"/>
        </w:rPr>
        <w:t xml:space="preserve">. Even a refusal to comply that is objectively unreasonable may be bona fide (though unreasonableness could evidence lack of good faith). </w:t>
      </w:r>
    </w:p>
    <w:p w:rsidR="00412286" w:rsidRDefault="00412286" w:rsidP="004F2FE2">
      <w:pPr>
        <w:spacing w:after="360" w:line="360" w:lineRule="auto"/>
        <w:ind w:left="1560"/>
        <w:contextualSpacing/>
        <w:jc w:val="both"/>
        <w:rPr>
          <w:rFonts w:asciiTheme="minorHAnsi" w:hAnsiTheme="minorHAnsi" w:cstheme="minorHAnsi"/>
          <w:sz w:val="26"/>
          <w:szCs w:val="26"/>
        </w:rPr>
      </w:pPr>
      <w:r w:rsidRPr="00D03810">
        <w:rPr>
          <w:rFonts w:asciiTheme="minorHAnsi" w:hAnsiTheme="minorHAnsi" w:cstheme="minorHAnsi"/>
          <w:sz w:val="22"/>
          <w:szCs w:val="22"/>
          <w:lang w:eastAsia="en-US"/>
        </w:rPr>
        <w:t xml:space="preserve">These requirements – that the refusal to obey should be both wilful and mala fide, and that </w:t>
      </w:r>
      <w:r w:rsidRPr="00D03810">
        <w:rPr>
          <w:rFonts w:asciiTheme="minorHAnsi" w:hAnsiTheme="minorHAnsi" w:cstheme="minorHAnsi"/>
          <w:sz w:val="22"/>
          <w:szCs w:val="22"/>
          <w:u w:val="single"/>
          <w:lang w:eastAsia="en-US"/>
        </w:rPr>
        <w:t>unreasonable non-compliance, provided it is bona fide, does not constitute contempt</w:t>
      </w:r>
      <w:r w:rsidRPr="00D03810">
        <w:rPr>
          <w:rFonts w:asciiTheme="minorHAnsi" w:hAnsiTheme="minorHAnsi" w:cstheme="minorHAnsi"/>
          <w:sz w:val="22"/>
          <w:szCs w:val="22"/>
          <w:lang w:eastAsia="en-US"/>
        </w:rPr>
        <w:t xml:space="preserve"> – accord with the broader definition of the crime, of which non-compliance with civil orders is a manifestation.  They show that the offence is committed not by mere disregard of a court order, but by the deliberate and </w:t>
      </w:r>
      <w:r w:rsidRPr="00D03810">
        <w:rPr>
          <w:rFonts w:asciiTheme="minorHAnsi" w:hAnsiTheme="minorHAnsi" w:cstheme="minorHAnsi"/>
          <w:sz w:val="22"/>
          <w:szCs w:val="22"/>
          <w:lang w:eastAsia="en-US"/>
        </w:rPr>
        <w:lastRenderedPageBreak/>
        <w:t xml:space="preserve">intentional violation of the court’s dignity, repute or authority that this evinces. </w:t>
      </w:r>
      <w:r w:rsidRPr="00D03810">
        <w:rPr>
          <w:rFonts w:asciiTheme="minorHAnsi" w:hAnsiTheme="minorHAnsi" w:cstheme="minorHAnsi"/>
          <w:sz w:val="22"/>
          <w:szCs w:val="22"/>
          <w:u w:val="single"/>
          <w:lang w:eastAsia="en-US"/>
        </w:rPr>
        <w:t>Honest belief that non-compliance is justified or proper is incompatible with that intent</w:t>
      </w:r>
      <w:r w:rsidRPr="00D03810">
        <w:rPr>
          <w:rFonts w:asciiTheme="minorHAnsi" w:hAnsiTheme="minorHAnsi" w:cstheme="minorHAnsi"/>
          <w:sz w:val="22"/>
          <w:szCs w:val="22"/>
          <w:lang w:eastAsia="en-US"/>
        </w:rPr>
        <w:t xml:space="preserve">.   ” </w:t>
      </w:r>
      <w:r>
        <w:rPr>
          <w:rFonts w:asciiTheme="minorHAnsi" w:hAnsiTheme="minorHAnsi" w:cstheme="minorHAnsi"/>
          <w:sz w:val="22"/>
          <w:szCs w:val="22"/>
          <w:lang w:eastAsia="en-US"/>
        </w:rPr>
        <w:t xml:space="preserve">[Footnotes omitted] </w:t>
      </w:r>
      <w:r w:rsidRPr="00D03810">
        <w:rPr>
          <w:rFonts w:asciiTheme="minorHAnsi" w:hAnsiTheme="minorHAnsi" w:cstheme="minorHAnsi"/>
          <w:sz w:val="26"/>
          <w:szCs w:val="26"/>
          <w:lang w:eastAsia="en-US"/>
        </w:rPr>
        <w:t>(emphasis</w:t>
      </w:r>
      <w:r w:rsidR="004F2FE2">
        <w:rPr>
          <w:rFonts w:asciiTheme="minorHAnsi" w:hAnsiTheme="minorHAnsi" w:cstheme="minorHAnsi"/>
          <w:sz w:val="26"/>
          <w:szCs w:val="26"/>
          <w:lang w:eastAsia="en-US"/>
        </w:rPr>
        <w:t xml:space="preserve"> added</w:t>
      </w:r>
      <w:r w:rsidRPr="00D03810">
        <w:rPr>
          <w:rFonts w:asciiTheme="minorHAnsi" w:hAnsiTheme="minorHAnsi" w:cstheme="minorHAnsi"/>
          <w:sz w:val="26"/>
          <w:szCs w:val="26"/>
          <w:lang w:eastAsia="en-US"/>
        </w:rPr>
        <w:t>)</w:t>
      </w:r>
    </w:p>
    <w:p w:rsidR="00045AA5" w:rsidRDefault="00045AA5" w:rsidP="00045AA5">
      <w:pPr>
        <w:pStyle w:val="ListParagraph"/>
        <w:rPr>
          <w:rFonts w:asciiTheme="minorHAnsi" w:hAnsiTheme="minorHAnsi" w:cstheme="minorHAnsi"/>
          <w:sz w:val="26"/>
          <w:szCs w:val="26"/>
        </w:rPr>
      </w:pPr>
    </w:p>
    <w:p w:rsidR="00A70DC0" w:rsidRPr="00A70DC0" w:rsidRDefault="00A70DC0"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Whether a breach of the order was committed by either Botha or Jurgens in turn depends on an interpretation of the order.</w:t>
      </w:r>
    </w:p>
    <w:p w:rsidR="00A70DC0" w:rsidRPr="00A70DC0" w:rsidRDefault="00A70DC0" w:rsidP="00A70DC0">
      <w:pPr>
        <w:pStyle w:val="ListParagraph"/>
        <w:spacing w:after="200" w:line="360" w:lineRule="auto"/>
        <w:ind w:left="851"/>
        <w:jc w:val="both"/>
        <w:rPr>
          <w:rFonts w:asciiTheme="minorHAnsi" w:hAnsiTheme="minorHAnsi" w:cstheme="minorHAnsi"/>
          <w:sz w:val="26"/>
          <w:szCs w:val="26"/>
        </w:rPr>
      </w:pPr>
    </w:p>
    <w:p w:rsidR="00045AA5" w:rsidRPr="004B4973" w:rsidRDefault="00045AA5" w:rsidP="00045AA5">
      <w:pPr>
        <w:pStyle w:val="ListParagraph"/>
        <w:numPr>
          <w:ilvl w:val="0"/>
          <w:numId w:val="3"/>
        </w:numPr>
        <w:spacing w:after="200" w:line="360" w:lineRule="auto"/>
        <w:jc w:val="both"/>
        <w:rPr>
          <w:rFonts w:asciiTheme="minorHAnsi" w:hAnsiTheme="minorHAnsi" w:cstheme="minorHAnsi"/>
          <w:sz w:val="26"/>
          <w:szCs w:val="26"/>
        </w:rPr>
      </w:pPr>
      <w:r w:rsidRPr="0078154F">
        <w:rPr>
          <w:rFonts w:asciiTheme="minorHAnsi" w:hAnsiTheme="minorHAnsi" w:cstheme="minorHAnsi"/>
          <w:bCs/>
          <w:color w:val="202124"/>
          <w:sz w:val="26"/>
          <w:szCs w:val="26"/>
          <w:shd w:val="clear" w:color="auto" w:fill="FFFFFF"/>
        </w:rPr>
        <w:t>A passage that has become a standard for interpret</w:t>
      </w:r>
      <w:r w:rsidR="00281AEB">
        <w:rPr>
          <w:rFonts w:asciiTheme="minorHAnsi" w:hAnsiTheme="minorHAnsi" w:cstheme="minorHAnsi"/>
          <w:bCs/>
          <w:color w:val="202124"/>
          <w:sz w:val="26"/>
          <w:szCs w:val="26"/>
          <w:shd w:val="clear" w:color="auto" w:fill="FFFFFF"/>
        </w:rPr>
        <w:t xml:space="preserve">ing </w:t>
      </w:r>
      <w:r w:rsidRPr="0078154F">
        <w:rPr>
          <w:rFonts w:asciiTheme="minorHAnsi" w:hAnsiTheme="minorHAnsi" w:cstheme="minorHAnsi"/>
          <w:bCs/>
          <w:color w:val="202124"/>
          <w:sz w:val="26"/>
          <w:szCs w:val="26"/>
          <w:shd w:val="clear" w:color="auto" w:fill="FFFFFF"/>
        </w:rPr>
        <w:t xml:space="preserve">contracts is the oft quoted </w:t>
      </w:r>
      <w:r>
        <w:rPr>
          <w:rFonts w:asciiTheme="minorHAnsi" w:hAnsiTheme="minorHAnsi" w:cstheme="minorHAnsi"/>
          <w:bCs/>
          <w:color w:val="202124"/>
          <w:sz w:val="26"/>
          <w:szCs w:val="26"/>
          <w:shd w:val="clear" w:color="auto" w:fill="FFFFFF"/>
        </w:rPr>
        <w:t xml:space="preserve">extract from the case of </w:t>
      </w:r>
      <w:r>
        <w:rPr>
          <w:rFonts w:asciiTheme="minorHAnsi" w:hAnsiTheme="minorHAnsi" w:cstheme="minorHAnsi"/>
          <w:i/>
          <w:sz w:val="26"/>
          <w:szCs w:val="26"/>
        </w:rPr>
        <w:t>Endumeni.</w:t>
      </w:r>
      <w:r>
        <w:rPr>
          <w:rStyle w:val="FootnoteReference"/>
          <w:rFonts w:asciiTheme="minorHAnsi" w:hAnsiTheme="minorHAnsi" w:cstheme="minorHAnsi"/>
          <w:i/>
          <w:sz w:val="26"/>
          <w:szCs w:val="26"/>
        </w:rPr>
        <w:footnoteReference w:id="11"/>
      </w:r>
      <w:r>
        <w:rPr>
          <w:rFonts w:asciiTheme="minorHAnsi" w:hAnsiTheme="minorHAnsi" w:cstheme="minorHAnsi"/>
          <w:i/>
          <w:sz w:val="26"/>
          <w:szCs w:val="26"/>
        </w:rPr>
        <w:t xml:space="preserve"> </w:t>
      </w:r>
      <w:r>
        <w:rPr>
          <w:rFonts w:asciiTheme="minorHAnsi" w:hAnsiTheme="minorHAnsi" w:cstheme="minorHAnsi"/>
          <w:sz w:val="26"/>
          <w:szCs w:val="26"/>
        </w:rPr>
        <w:t xml:space="preserve">More recently, the passage has been </w:t>
      </w:r>
      <w:r w:rsidR="00281AEB">
        <w:rPr>
          <w:rFonts w:asciiTheme="minorHAnsi" w:hAnsiTheme="minorHAnsi" w:cstheme="minorHAnsi"/>
          <w:sz w:val="26"/>
          <w:szCs w:val="26"/>
        </w:rPr>
        <w:t>explicated</w:t>
      </w:r>
      <w:r>
        <w:rPr>
          <w:rFonts w:asciiTheme="minorHAnsi" w:hAnsiTheme="minorHAnsi" w:cstheme="minorHAnsi"/>
          <w:sz w:val="26"/>
          <w:szCs w:val="26"/>
        </w:rPr>
        <w:t xml:space="preserve"> by Unterhalter AJA in </w:t>
      </w:r>
      <w:r>
        <w:rPr>
          <w:rFonts w:asciiTheme="minorHAnsi" w:hAnsiTheme="minorHAnsi" w:cstheme="minorHAnsi"/>
          <w:i/>
          <w:sz w:val="26"/>
          <w:szCs w:val="26"/>
        </w:rPr>
        <w:t>Capitec Bank Holdings,</w:t>
      </w:r>
      <w:r>
        <w:rPr>
          <w:rStyle w:val="FootnoteReference"/>
          <w:rFonts w:asciiTheme="minorHAnsi" w:hAnsiTheme="minorHAnsi" w:cstheme="minorHAnsi"/>
          <w:sz w:val="26"/>
          <w:szCs w:val="26"/>
        </w:rPr>
        <w:footnoteReference w:id="12"/>
      </w:r>
      <w:r>
        <w:rPr>
          <w:rFonts w:asciiTheme="minorHAnsi" w:hAnsiTheme="minorHAnsi" w:cstheme="minorHAnsi"/>
          <w:i/>
          <w:sz w:val="26"/>
          <w:szCs w:val="26"/>
        </w:rPr>
        <w:t xml:space="preserve"> </w:t>
      </w:r>
      <w:r w:rsidRPr="0078154F">
        <w:rPr>
          <w:rFonts w:asciiTheme="minorHAnsi" w:hAnsiTheme="minorHAnsi" w:cstheme="minorHAnsi"/>
          <w:sz w:val="26"/>
          <w:szCs w:val="26"/>
        </w:rPr>
        <w:t>as follows:</w:t>
      </w:r>
    </w:p>
    <w:p w:rsidR="00045AA5" w:rsidRPr="00E42AA4" w:rsidRDefault="00045AA5" w:rsidP="00045AA5">
      <w:pPr>
        <w:spacing w:line="360" w:lineRule="auto"/>
        <w:ind w:left="851"/>
        <w:jc w:val="both"/>
        <w:rPr>
          <w:rFonts w:asciiTheme="minorHAnsi" w:hAnsiTheme="minorHAnsi" w:cstheme="minorHAnsi"/>
          <w:color w:val="242121"/>
          <w:sz w:val="22"/>
          <w:szCs w:val="22"/>
          <w:shd w:val="clear" w:color="auto" w:fill="FFFFFF"/>
          <w:lang w:val="en-US"/>
        </w:rPr>
      </w:pPr>
      <w:r w:rsidRPr="00F6180A">
        <w:rPr>
          <w:rFonts w:asciiTheme="minorHAnsi" w:hAnsiTheme="minorHAnsi" w:cstheme="minorHAnsi"/>
          <w:sz w:val="22"/>
          <w:szCs w:val="22"/>
        </w:rPr>
        <w:t>“[25]</w:t>
      </w:r>
      <w:r w:rsidRPr="00F6180A">
        <w:rPr>
          <w:rFonts w:asciiTheme="minorHAnsi" w:hAnsiTheme="minorHAnsi" w:cstheme="minorHAnsi"/>
          <w:color w:val="242121"/>
          <w:sz w:val="22"/>
          <w:szCs w:val="22"/>
          <w:shd w:val="clear" w:color="auto" w:fill="FFFFFF"/>
        </w:rPr>
        <w:t>…</w:t>
      </w:r>
      <w:r w:rsidRPr="00E42AA4">
        <w:rPr>
          <w:rFonts w:asciiTheme="minorHAnsi" w:hAnsiTheme="minorHAnsi" w:cstheme="minorHAnsi"/>
          <w:color w:val="242121"/>
          <w:sz w:val="22"/>
          <w:szCs w:val="22"/>
          <w:shd w:val="clear" w:color="auto" w:fill="FFFFFF"/>
        </w:rPr>
        <w:t xml:space="preserve"> The much-cited passages from</w:t>
      </w:r>
      <w:r>
        <w:rPr>
          <w:rFonts w:asciiTheme="minorHAnsi" w:hAnsiTheme="minorHAnsi" w:cstheme="minorHAnsi"/>
          <w:color w:val="242121"/>
          <w:sz w:val="22"/>
          <w:szCs w:val="22"/>
          <w:shd w:val="clear" w:color="auto" w:fill="FFFFFF"/>
        </w:rPr>
        <w:t xml:space="preserve"> </w:t>
      </w:r>
      <w:r w:rsidRPr="00E42AA4">
        <w:rPr>
          <w:rFonts w:asciiTheme="minorHAnsi" w:hAnsiTheme="minorHAnsi" w:cstheme="minorHAnsi"/>
          <w:i/>
          <w:iCs/>
          <w:color w:val="242121"/>
          <w:sz w:val="22"/>
          <w:szCs w:val="22"/>
          <w:shd w:val="clear" w:color="auto" w:fill="FFFFFF"/>
          <w:lang w:val="en-US"/>
        </w:rPr>
        <w:t>Natal Joint Municipal Pension Fund v Endumeni Municipality (</w:t>
      </w:r>
      <w:r w:rsidRPr="00E42AA4">
        <w:rPr>
          <w:rFonts w:asciiTheme="minorHAnsi" w:hAnsiTheme="minorHAnsi" w:cstheme="minorHAnsi"/>
          <w:i/>
          <w:iCs/>
          <w:color w:val="242121"/>
          <w:sz w:val="22"/>
          <w:szCs w:val="22"/>
          <w:shd w:val="clear" w:color="auto" w:fill="FFFFFF"/>
        </w:rPr>
        <w:t>Endumeni)</w:t>
      </w:r>
      <w:bookmarkStart w:id="1" w:name="_ftnref2"/>
      <w:r>
        <w:rPr>
          <w:rStyle w:val="FootnoteReference"/>
          <w:rFonts w:asciiTheme="minorHAnsi" w:hAnsiTheme="minorHAnsi" w:cstheme="minorHAnsi"/>
          <w:i/>
          <w:iCs/>
          <w:color w:val="242121"/>
          <w:sz w:val="22"/>
          <w:szCs w:val="22"/>
          <w:shd w:val="clear" w:color="auto" w:fill="FFFFFF"/>
        </w:rPr>
        <w:footnoteReference w:id="13"/>
      </w:r>
      <w:bookmarkEnd w:id="1"/>
      <w:r>
        <w:rPr>
          <w:rFonts w:asciiTheme="minorHAnsi" w:hAnsiTheme="minorHAnsi" w:cstheme="minorHAnsi"/>
          <w:i/>
          <w:iCs/>
          <w:color w:val="242121"/>
          <w:sz w:val="22"/>
          <w:szCs w:val="22"/>
          <w:shd w:val="clear" w:color="auto" w:fill="FFFFFF"/>
        </w:rPr>
        <w:t xml:space="preserve"> </w:t>
      </w:r>
      <w:r w:rsidRPr="00E42AA4">
        <w:rPr>
          <w:rFonts w:asciiTheme="minorHAnsi" w:hAnsiTheme="minorHAnsi" w:cstheme="minorHAnsi"/>
          <w:color w:val="242121"/>
          <w:sz w:val="22"/>
          <w:szCs w:val="22"/>
          <w:shd w:val="clear" w:color="auto" w:fill="FFFFFF"/>
        </w:rPr>
        <w:t xml:space="preserve">offer guidance as to how to approach the interpretation of the words used in a document. </w:t>
      </w:r>
      <w:r w:rsidRPr="008556A2">
        <w:rPr>
          <w:rFonts w:asciiTheme="minorHAnsi" w:hAnsiTheme="minorHAnsi" w:cstheme="minorHAnsi"/>
          <w:color w:val="242121"/>
          <w:sz w:val="22"/>
          <w:szCs w:val="22"/>
          <w:u w:val="single"/>
          <w:shd w:val="clear" w:color="auto" w:fill="FFFFFF"/>
        </w:rPr>
        <w:t>It is the language used, understood in the context in which it is used, and having regard to the purpose of the provision that constitutes the unitary exercise of interpretation</w:t>
      </w:r>
      <w:r w:rsidRPr="00E42AA4">
        <w:rPr>
          <w:rFonts w:asciiTheme="minorHAnsi" w:hAnsiTheme="minorHAnsi" w:cstheme="minorHAnsi"/>
          <w:color w:val="242121"/>
          <w:sz w:val="22"/>
          <w:szCs w:val="22"/>
          <w:shd w:val="clear" w:color="auto" w:fill="FFFFFF"/>
        </w:rPr>
        <w:t xml:space="preserve">. I would only add that </w:t>
      </w:r>
      <w:r w:rsidRPr="008556A2">
        <w:rPr>
          <w:rFonts w:asciiTheme="minorHAnsi" w:hAnsiTheme="minorHAnsi" w:cstheme="minorHAnsi"/>
          <w:color w:val="242121"/>
          <w:sz w:val="22"/>
          <w:szCs w:val="22"/>
          <w:shd w:val="clear" w:color="auto" w:fill="FFFFFF"/>
        </w:rPr>
        <w:t>the triad of text, context and purpose</w:t>
      </w:r>
      <w:r w:rsidRPr="00E42AA4">
        <w:rPr>
          <w:rFonts w:asciiTheme="minorHAnsi" w:hAnsiTheme="minorHAnsi" w:cstheme="minorHAnsi"/>
          <w:color w:val="242121"/>
          <w:sz w:val="22"/>
          <w:szCs w:val="22"/>
          <w:shd w:val="clear" w:color="auto" w:fill="FFFFFF"/>
        </w:rPr>
        <w:t xml:space="preserve"> should not be used in a mechanical fashion. </w:t>
      </w:r>
      <w:r w:rsidRPr="003A0BFC">
        <w:rPr>
          <w:rFonts w:asciiTheme="minorHAnsi" w:hAnsiTheme="minorHAnsi" w:cstheme="minorHAnsi"/>
          <w:color w:val="242121"/>
          <w:sz w:val="22"/>
          <w:szCs w:val="22"/>
          <w:shd w:val="clear" w:color="auto" w:fill="FFFFFF"/>
        </w:rPr>
        <w:t xml:space="preserve">It is the relationship between the words used, the concepts expressed by those words and the place of the contested provision within the scheme of the agreement (or instrument) as a whole that constitutes the enterprise by recourse to which a coherent and salient interpretation is determined. </w:t>
      </w:r>
      <w:r w:rsidRPr="008556A2">
        <w:rPr>
          <w:rFonts w:asciiTheme="minorHAnsi" w:hAnsiTheme="minorHAnsi" w:cstheme="minorHAnsi"/>
          <w:color w:val="242121"/>
          <w:sz w:val="22"/>
          <w:szCs w:val="22"/>
          <w:shd w:val="clear" w:color="auto" w:fill="FFFFFF"/>
        </w:rPr>
        <w:t xml:space="preserve">As </w:t>
      </w:r>
      <w:r w:rsidRPr="008556A2">
        <w:rPr>
          <w:rFonts w:asciiTheme="minorHAnsi" w:hAnsiTheme="minorHAnsi" w:cstheme="minorHAnsi"/>
          <w:i/>
          <w:iCs/>
          <w:color w:val="242121"/>
          <w:sz w:val="22"/>
          <w:szCs w:val="22"/>
          <w:shd w:val="clear" w:color="auto" w:fill="FFFFFF"/>
        </w:rPr>
        <w:t>Endumeni</w:t>
      </w:r>
      <w:r w:rsidRPr="008556A2">
        <w:rPr>
          <w:rFonts w:asciiTheme="minorHAnsi" w:hAnsiTheme="minorHAnsi" w:cstheme="minorHAnsi"/>
          <w:color w:val="242121"/>
          <w:sz w:val="22"/>
          <w:szCs w:val="22"/>
          <w:shd w:val="clear" w:color="auto" w:fill="FFFFFF"/>
        </w:rPr>
        <w:t xml:space="preserve"> emphasised, citing well-known cases, ‘[t]he inevitable point of departure is the language of the provision itself’</w:t>
      </w:r>
      <w:r w:rsidRPr="00E42AA4">
        <w:rPr>
          <w:rFonts w:asciiTheme="minorHAnsi" w:hAnsiTheme="minorHAnsi" w:cstheme="minorHAnsi"/>
          <w:color w:val="242121"/>
          <w:sz w:val="22"/>
          <w:szCs w:val="22"/>
          <w:shd w:val="clear" w:color="auto" w:fill="FFFFFF"/>
        </w:rPr>
        <w:t>.</w:t>
      </w:r>
      <w:bookmarkStart w:id="2" w:name="_ftnref3"/>
      <w:r>
        <w:rPr>
          <w:rStyle w:val="FootnoteReference"/>
          <w:rFonts w:asciiTheme="minorHAnsi" w:hAnsiTheme="minorHAnsi" w:cstheme="minorHAnsi"/>
          <w:color w:val="242121"/>
          <w:sz w:val="22"/>
          <w:szCs w:val="22"/>
          <w:shd w:val="clear" w:color="auto" w:fill="FFFFFF"/>
        </w:rPr>
        <w:footnoteReference w:id="14"/>
      </w:r>
      <w:bookmarkEnd w:id="2"/>
      <w:r w:rsidRPr="00E42AA4">
        <w:rPr>
          <w:rFonts w:asciiTheme="minorHAnsi" w:hAnsiTheme="minorHAnsi" w:cstheme="minorHAnsi"/>
          <w:sz w:val="22"/>
          <w:szCs w:val="22"/>
        </w:rPr>
        <w:t xml:space="preserve"> </w:t>
      </w:r>
    </w:p>
    <w:p w:rsidR="00045AA5" w:rsidRDefault="00045AA5" w:rsidP="00045AA5">
      <w:pPr>
        <w:pStyle w:val="ListParagraph"/>
        <w:spacing w:after="200" w:line="360" w:lineRule="auto"/>
        <w:ind w:left="851"/>
        <w:jc w:val="both"/>
        <w:rPr>
          <w:rFonts w:asciiTheme="minorHAnsi" w:hAnsiTheme="minorHAnsi" w:cstheme="minorHAnsi"/>
          <w:color w:val="242121"/>
          <w:sz w:val="22"/>
          <w:szCs w:val="22"/>
          <w:shd w:val="clear" w:color="auto" w:fill="FFFFFF"/>
          <w:lang w:val="en-US"/>
        </w:rPr>
      </w:pPr>
    </w:p>
    <w:p w:rsidR="00045AA5" w:rsidRPr="00E11C19" w:rsidRDefault="00045AA5" w:rsidP="00045AA5">
      <w:pPr>
        <w:pStyle w:val="ListParagraph"/>
        <w:spacing w:after="200" w:line="360" w:lineRule="auto"/>
        <w:ind w:left="851"/>
        <w:jc w:val="both"/>
        <w:rPr>
          <w:rFonts w:asciiTheme="minorHAnsi" w:hAnsiTheme="minorHAnsi" w:cstheme="minorHAnsi"/>
          <w:sz w:val="22"/>
          <w:szCs w:val="22"/>
        </w:rPr>
      </w:pPr>
      <w:r w:rsidRPr="00E42AA4">
        <w:rPr>
          <w:rFonts w:asciiTheme="minorHAnsi" w:hAnsiTheme="minorHAnsi" w:cstheme="minorHAnsi"/>
          <w:color w:val="242121"/>
          <w:sz w:val="22"/>
          <w:szCs w:val="22"/>
          <w:shd w:val="clear" w:color="auto" w:fill="FFFFFF"/>
          <w:lang w:val="en-US"/>
        </w:rPr>
        <w:lastRenderedPageBreak/>
        <w:t>[26</w:t>
      </w:r>
      <w:r w:rsidRPr="008556A2">
        <w:rPr>
          <w:rFonts w:asciiTheme="minorHAnsi" w:hAnsiTheme="minorHAnsi" w:cstheme="minorHAnsi"/>
          <w:color w:val="242121"/>
          <w:sz w:val="22"/>
          <w:szCs w:val="22"/>
          <w:shd w:val="clear" w:color="auto" w:fill="FFFFFF"/>
          <w:lang w:val="en-US"/>
        </w:rPr>
        <w:t>]…</w:t>
      </w:r>
      <w:r w:rsidRPr="008556A2">
        <w:rPr>
          <w:rFonts w:asciiTheme="minorHAnsi" w:hAnsiTheme="minorHAnsi" w:cstheme="minorHAnsi"/>
          <w:i/>
          <w:iCs/>
          <w:color w:val="242121"/>
          <w:sz w:val="22"/>
          <w:szCs w:val="22"/>
          <w:shd w:val="clear" w:color="auto" w:fill="FFFFFF"/>
        </w:rPr>
        <w:t xml:space="preserve"> Endumeni</w:t>
      </w:r>
      <w:r w:rsidRPr="008556A2">
        <w:rPr>
          <w:rFonts w:cstheme="minorHAnsi"/>
          <w:color w:val="242121"/>
          <w:sz w:val="22"/>
          <w:szCs w:val="22"/>
          <w:shd w:val="clear" w:color="auto" w:fill="FFFFFF"/>
        </w:rPr>
        <w:t xml:space="preserve"> </w:t>
      </w:r>
      <w:r w:rsidRPr="008556A2">
        <w:rPr>
          <w:rFonts w:asciiTheme="minorHAnsi" w:hAnsiTheme="minorHAnsi" w:cstheme="minorHAnsi"/>
          <w:color w:val="242121"/>
          <w:sz w:val="22"/>
          <w:szCs w:val="22"/>
          <w:shd w:val="clear" w:color="auto" w:fill="FFFFFF"/>
        </w:rPr>
        <w:t xml:space="preserve">is not a charter for judicial constructs premised upon what a contract should be taken to mean from a vantage point that is not located in the text of what the parties in fact agreed. Nor does </w:t>
      </w:r>
      <w:r w:rsidRPr="008556A2">
        <w:rPr>
          <w:rFonts w:asciiTheme="minorHAnsi" w:hAnsiTheme="minorHAnsi" w:cstheme="minorHAnsi"/>
          <w:i/>
          <w:iCs/>
          <w:color w:val="242121"/>
          <w:sz w:val="22"/>
          <w:szCs w:val="22"/>
          <w:shd w:val="clear" w:color="auto" w:fill="FFFFFF"/>
        </w:rPr>
        <w:t xml:space="preserve">Endumeni </w:t>
      </w:r>
      <w:r w:rsidRPr="008556A2">
        <w:rPr>
          <w:rFonts w:asciiTheme="minorHAnsi" w:hAnsiTheme="minorHAnsi" w:cstheme="minorHAnsi"/>
          <w:color w:val="242121"/>
          <w:sz w:val="22"/>
          <w:szCs w:val="22"/>
          <w:shd w:val="clear" w:color="auto" w:fill="FFFFFF"/>
        </w:rPr>
        <w:t>licence judicial interpretation that imports meanings into a contract so as to make it a better contract, or one that is ethically preferable</w:t>
      </w:r>
      <w:r w:rsidRPr="008556A2">
        <w:rPr>
          <w:rFonts w:asciiTheme="minorHAnsi" w:hAnsiTheme="minorHAnsi" w:cstheme="minorHAnsi"/>
          <w:color w:val="242121"/>
          <w:sz w:val="26"/>
          <w:szCs w:val="26"/>
          <w:shd w:val="clear" w:color="auto" w:fill="FFFFFF"/>
        </w:rPr>
        <w:t>.</w:t>
      </w:r>
      <w:r w:rsidRPr="00E11C19">
        <w:rPr>
          <w:rFonts w:asciiTheme="minorHAnsi" w:hAnsiTheme="minorHAnsi" w:cstheme="minorHAnsi"/>
          <w:color w:val="242121"/>
          <w:sz w:val="22"/>
          <w:szCs w:val="22"/>
          <w:shd w:val="clear" w:color="auto" w:fill="FFFFFF"/>
        </w:rPr>
        <w:t>” (footnotes included) (emphasis added)</w:t>
      </w:r>
    </w:p>
    <w:p w:rsidR="00045AA5" w:rsidRDefault="00045AA5" w:rsidP="00045AA5">
      <w:pPr>
        <w:pStyle w:val="ListParagraph"/>
        <w:rPr>
          <w:rFonts w:asciiTheme="minorHAnsi" w:hAnsiTheme="minorHAnsi" w:cstheme="minorHAnsi"/>
          <w:sz w:val="26"/>
          <w:szCs w:val="26"/>
        </w:rPr>
      </w:pPr>
    </w:p>
    <w:p w:rsidR="00045AA5" w:rsidRDefault="00673561" w:rsidP="00045AA5">
      <w:pPr>
        <w:pStyle w:val="ListParagraph"/>
        <w:numPr>
          <w:ilvl w:val="0"/>
          <w:numId w:val="3"/>
        </w:numPr>
        <w:spacing w:after="200" w:line="360" w:lineRule="auto"/>
        <w:jc w:val="both"/>
        <w:rPr>
          <w:rFonts w:asciiTheme="minorHAnsi" w:hAnsiTheme="minorHAnsi" w:cstheme="minorHAnsi"/>
          <w:sz w:val="26"/>
          <w:szCs w:val="26"/>
        </w:rPr>
      </w:pPr>
      <w:r w:rsidRPr="00F445F4">
        <w:rPr>
          <w:rFonts w:asciiTheme="minorHAnsi" w:hAnsiTheme="minorHAnsi" w:cstheme="minorHAnsi"/>
          <w:sz w:val="26"/>
          <w:szCs w:val="26"/>
        </w:rPr>
        <w:t xml:space="preserve">The order </w:t>
      </w:r>
      <w:r w:rsidR="00482B27">
        <w:rPr>
          <w:rFonts w:asciiTheme="minorHAnsi" w:hAnsiTheme="minorHAnsi" w:cstheme="minorHAnsi"/>
          <w:sz w:val="26"/>
          <w:szCs w:val="26"/>
        </w:rPr>
        <w:t xml:space="preserve">in question </w:t>
      </w:r>
      <w:r w:rsidRPr="00F445F4">
        <w:rPr>
          <w:rFonts w:asciiTheme="minorHAnsi" w:hAnsiTheme="minorHAnsi" w:cstheme="minorHAnsi"/>
          <w:sz w:val="26"/>
          <w:szCs w:val="26"/>
        </w:rPr>
        <w:t>reads, in</w:t>
      </w:r>
      <w:r w:rsidR="006E4DBA" w:rsidRPr="00F445F4">
        <w:rPr>
          <w:rFonts w:asciiTheme="minorHAnsi" w:hAnsiTheme="minorHAnsi" w:cstheme="minorHAnsi"/>
          <w:sz w:val="26"/>
          <w:szCs w:val="26"/>
        </w:rPr>
        <w:t xml:space="preserve"> </w:t>
      </w:r>
      <w:r w:rsidRPr="00F445F4">
        <w:rPr>
          <w:rFonts w:asciiTheme="minorHAnsi" w:hAnsiTheme="minorHAnsi" w:cstheme="minorHAnsi"/>
          <w:sz w:val="26"/>
          <w:szCs w:val="26"/>
        </w:rPr>
        <w:t>relevant part, as follows:</w:t>
      </w:r>
    </w:p>
    <w:p w:rsidR="00F445F4" w:rsidRPr="001E1845" w:rsidRDefault="00F445F4" w:rsidP="008B0F55">
      <w:pPr>
        <w:pStyle w:val="ListParagraph"/>
        <w:spacing w:after="200" w:line="360" w:lineRule="auto"/>
        <w:ind w:left="1418" w:hanging="567"/>
        <w:jc w:val="both"/>
        <w:rPr>
          <w:rFonts w:asciiTheme="minorHAnsi" w:hAnsiTheme="minorHAnsi" w:cstheme="minorHAnsi"/>
          <w:i/>
          <w:sz w:val="22"/>
          <w:szCs w:val="22"/>
        </w:rPr>
      </w:pPr>
      <w:r w:rsidRPr="001E1845">
        <w:rPr>
          <w:rFonts w:asciiTheme="minorHAnsi" w:hAnsiTheme="minorHAnsi" w:cstheme="minorHAnsi"/>
          <w:sz w:val="22"/>
          <w:szCs w:val="22"/>
        </w:rPr>
        <w:t>“1.</w:t>
      </w:r>
      <w:r w:rsidR="008B0F55" w:rsidRPr="001E1845">
        <w:rPr>
          <w:rFonts w:asciiTheme="minorHAnsi" w:hAnsiTheme="minorHAnsi" w:cstheme="minorHAnsi"/>
          <w:sz w:val="22"/>
          <w:szCs w:val="22"/>
        </w:rPr>
        <w:tab/>
      </w:r>
      <w:r w:rsidR="008B0F55" w:rsidRPr="001E1845">
        <w:rPr>
          <w:rFonts w:asciiTheme="minorHAnsi" w:hAnsiTheme="minorHAnsi" w:cstheme="minorHAnsi"/>
          <w:i/>
          <w:sz w:val="22"/>
          <w:szCs w:val="22"/>
        </w:rPr>
        <w:t>The First Applicant</w:t>
      </w:r>
      <w:r w:rsidR="008B0F55" w:rsidRPr="001E1845">
        <w:rPr>
          <w:rFonts w:asciiTheme="minorHAnsi" w:hAnsiTheme="minorHAnsi" w:cstheme="minorHAnsi"/>
          <w:sz w:val="22"/>
          <w:szCs w:val="22"/>
        </w:rPr>
        <w:t xml:space="preserve"> [Jurgens</w:t>
      </w:r>
      <w:r w:rsidR="001E1845">
        <w:rPr>
          <w:rFonts w:asciiTheme="minorHAnsi" w:hAnsiTheme="minorHAnsi" w:cstheme="minorHAnsi"/>
          <w:sz w:val="22"/>
          <w:szCs w:val="22"/>
        </w:rPr>
        <w:t>]</w:t>
      </w:r>
      <w:r w:rsidR="008B0F55" w:rsidRPr="001E1845">
        <w:rPr>
          <w:rFonts w:asciiTheme="minorHAnsi" w:hAnsiTheme="minorHAnsi" w:cstheme="minorHAnsi"/>
          <w:sz w:val="22"/>
          <w:szCs w:val="22"/>
        </w:rPr>
        <w:t xml:space="preserve"> </w:t>
      </w:r>
      <w:r w:rsidR="008B0F55" w:rsidRPr="001E1845">
        <w:rPr>
          <w:rFonts w:asciiTheme="minorHAnsi" w:hAnsiTheme="minorHAnsi" w:cstheme="minorHAnsi"/>
          <w:i/>
          <w:sz w:val="22"/>
          <w:szCs w:val="22"/>
        </w:rPr>
        <w:t>and the First Respondent</w:t>
      </w:r>
      <w:r w:rsidR="008B0F55" w:rsidRPr="001E1845">
        <w:rPr>
          <w:rFonts w:asciiTheme="minorHAnsi" w:hAnsiTheme="minorHAnsi" w:cstheme="minorHAnsi"/>
          <w:sz w:val="22"/>
          <w:szCs w:val="22"/>
        </w:rPr>
        <w:t xml:space="preserve"> [Botha] </w:t>
      </w:r>
      <w:r w:rsidR="008B0F55" w:rsidRPr="001E1845">
        <w:rPr>
          <w:rFonts w:asciiTheme="minorHAnsi" w:hAnsiTheme="minorHAnsi" w:cstheme="minorHAnsi"/>
          <w:i/>
          <w:sz w:val="22"/>
          <w:szCs w:val="22"/>
        </w:rPr>
        <w:t>is</w:t>
      </w:r>
      <w:r w:rsidR="007957C1">
        <w:rPr>
          <w:rFonts w:asciiTheme="minorHAnsi" w:hAnsiTheme="minorHAnsi" w:cstheme="minorHAnsi"/>
          <w:sz w:val="22"/>
          <w:szCs w:val="22"/>
        </w:rPr>
        <w:t xml:space="preserve"> (sic)</w:t>
      </w:r>
      <w:r w:rsidR="008B0F55" w:rsidRPr="001E1845">
        <w:rPr>
          <w:rFonts w:asciiTheme="minorHAnsi" w:hAnsiTheme="minorHAnsi" w:cstheme="minorHAnsi"/>
          <w:i/>
          <w:sz w:val="22"/>
          <w:szCs w:val="22"/>
        </w:rPr>
        <w:t xml:space="preserve"> interdicted and restrained from conducting any banking or financial transactions in respect of the bank account held by the Second and Third Applicants</w:t>
      </w:r>
      <w:r w:rsidR="008B0F55" w:rsidRPr="001E1845">
        <w:rPr>
          <w:rFonts w:asciiTheme="minorHAnsi" w:hAnsiTheme="minorHAnsi" w:cstheme="minorHAnsi"/>
          <w:sz w:val="22"/>
          <w:szCs w:val="22"/>
        </w:rPr>
        <w:t xml:space="preserve"> [the companies] </w:t>
      </w:r>
      <w:r w:rsidR="008B0F55" w:rsidRPr="001E1845">
        <w:rPr>
          <w:rFonts w:asciiTheme="minorHAnsi" w:hAnsiTheme="minorHAnsi" w:cstheme="minorHAnsi"/>
          <w:i/>
          <w:sz w:val="22"/>
          <w:szCs w:val="22"/>
        </w:rPr>
        <w:t>and will not open any further bank accounts;</w:t>
      </w:r>
    </w:p>
    <w:p w:rsidR="008B0F55" w:rsidRPr="001E1845" w:rsidRDefault="008B0F55" w:rsidP="008B0F55">
      <w:pPr>
        <w:pStyle w:val="ListParagraph"/>
        <w:spacing w:after="200" w:line="360" w:lineRule="auto"/>
        <w:ind w:left="1418" w:hanging="567"/>
        <w:jc w:val="both"/>
        <w:rPr>
          <w:rFonts w:asciiTheme="minorHAnsi" w:hAnsiTheme="minorHAnsi" w:cstheme="minorHAnsi"/>
          <w:i/>
          <w:sz w:val="22"/>
          <w:szCs w:val="22"/>
        </w:rPr>
      </w:pPr>
      <w:r w:rsidRPr="001E1845">
        <w:rPr>
          <w:rFonts w:asciiTheme="minorHAnsi" w:hAnsiTheme="minorHAnsi" w:cstheme="minorHAnsi"/>
          <w:i/>
          <w:sz w:val="22"/>
          <w:szCs w:val="22"/>
        </w:rPr>
        <w:t>2.</w:t>
      </w:r>
      <w:r w:rsidRPr="001E1845">
        <w:rPr>
          <w:rFonts w:asciiTheme="minorHAnsi" w:hAnsiTheme="minorHAnsi" w:cstheme="minorHAnsi"/>
          <w:i/>
          <w:sz w:val="22"/>
          <w:szCs w:val="22"/>
        </w:rPr>
        <w:tab/>
      </w:r>
      <w:r w:rsidR="00B844E8">
        <w:rPr>
          <w:rFonts w:asciiTheme="minorHAnsi" w:hAnsiTheme="minorHAnsi" w:cstheme="minorHAnsi"/>
          <w:i/>
          <w:sz w:val="22"/>
          <w:szCs w:val="22"/>
        </w:rPr>
        <w:t xml:space="preserve">The First Applicant </w:t>
      </w:r>
      <w:r w:rsidR="00B844E8" w:rsidRPr="00B844E8">
        <w:rPr>
          <w:rFonts w:asciiTheme="minorHAnsi" w:hAnsiTheme="minorHAnsi" w:cstheme="minorHAnsi"/>
          <w:sz w:val="22"/>
          <w:szCs w:val="22"/>
        </w:rPr>
        <w:t>[Jurgens]</w:t>
      </w:r>
      <w:r w:rsidR="00B844E8">
        <w:rPr>
          <w:rFonts w:asciiTheme="minorHAnsi" w:hAnsiTheme="minorHAnsi" w:cstheme="minorHAnsi"/>
          <w:sz w:val="22"/>
          <w:szCs w:val="22"/>
        </w:rPr>
        <w:t xml:space="preserve"> </w:t>
      </w:r>
      <w:r w:rsidR="00B844E8">
        <w:rPr>
          <w:rFonts w:asciiTheme="minorHAnsi" w:hAnsiTheme="minorHAnsi" w:cstheme="minorHAnsi"/>
          <w:i/>
          <w:sz w:val="22"/>
          <w:szCs w:val="22"/>
        </w:rPr>
        <w:t>is interdicted from diverting any income and business from the Second and Third Applicants;</w:t>
      </w:r>
    </w:p>
    <w:p w:rsidR="008B0F55" w:rsidRPr="001E1845" w:rsidRDefault="008B0F55" w:rsidP="008B0F55">
      <w:pPr>
        <w:pStyle w:val="ListParagraph"/>
        <w:spacing w:after="200" w:line="360" w:lineRule="auto"/>
        <w:ind w:left="1418" w:hanging="567"/>
        <w:jc w:val="both"/>
        <w:rPr>
          <w:rFonts w:asciiTheme="minorHAnsi" w:hAnsiTheme="minorHAnsi" w:cstheme="minorHAnsi"/>
          <w:i/>
          <w:sz w:val="22"/>
          <w:szCs w:val="22"/>
        </w:rPr>
      </w:pPr>
      <w:r w:rsidRPr="001E1845">
        <w:rPr>
          <w:rFonts w:asciiTheme="minorHAnsi" w:hAnsiTheme="minorHAnsi" w:cstheme="minorHAnsi"/>
          <w:i/>
          <w:sz w:val="22"/>
          <w:szCs w:val="22"/>
        </w:rPr>
        <w:t>3.</w:t>
      </w:r>
      <w:r w:rsidRPr="001E1845">
        <w:rPr>
          <w:rFonts w:asciiTheme="minorHAnsi" w:hAnsiTheme="minorHAnsi" w:cstheme="minorHAnsi"/>
          <w:i/>
          <w:sz w:val="22"/>
          <w:szCs w:val="22"/>
        </w:rPr>
        <w:tab/>
        <w:t>Mynardt Boshoff Professional Accountants of Tax Accounting Secretarial Financial Services and/or a duly</w:t>
      </w:r>
      <w:r w:rsidRPr="001E1845">
        <w:rPr>
          <w:rFonts w:asciiTheme="minorHAnsi" w:hAnsiTheme="minorHAnsi" w:cstheme="minorHAnsi"/>
          <w:sz w:val="22"/>
          <w:szCs w:val="22"/>
        </w:rPr>
        <w:t xml:space="preserve"> (sic) </w:t>
      </w:r>
      <w:r w:rsidRPr="001E1845">
        <w:rPr>
          <w:rFonts w:asciiTheme="minorHAnsi" w:hAnsiTheme="minorHAnsi" w:cstheme="minorHAnsi"/>
          <w:i/>
          <w:sz w:val="22"/>
          <w:szCs w:val="22"/>
        </w:rPr>
        <w:t>representative of the said company is ordered (authorised) to:</w:t>
      </w:r>
    </w:p>
    <w:p w:rsidR="008B0F55" w:rsidRPr="001E1845" w:rsidRDefault="001E1845" w:rsidP="001E1845">
      <w:pPr>
        <w:pStyle w:val="ListParagraph"/>
        <w:spacing w:after="200" w:line="360" w:lineRule="auto"/>
        <w:ind w:left="2127" w:hanging="993"/>
        <w:jc w:val="both"/>
        <w:rPr>
          <w:rFonts w:asciiTheme="minorHAnsi" w:hAnsiTheme="minorHAnsi" w:cstheme="minorHAnsi"/>
          <w:i/>
          <w:sz w:val="22"/>
          <w:szCs w:val="22"/>
        </w:rPr>
      </w:pPr>
      <w:r w:rsidRPr="001E1845">
        <w:rPr>
          <w:rFonts w:asciiTheme="minorHAnsi" w:hAnsiTheme="minorHAnsi" w:cstheme="minorHAnsi"/>
          <w:i/>
          <w:sz w:val="22"/>
          <w:szCs w:val="22"/>
        </w:rPr>
        <w:t>3.1</w:t>
      </w:r>
      <w:r w:rsidRPr="001E1845">
        <w:rPr>
          <w:rFonts w:asciiTheme="minorHAnsi" w:hAnsiTheme="minorHAnsi" w:cstheme="minorHAnsi"/>
          <w:i/>
          <w:sz w:val="22"/>
          <w:szCs w:val="22"/>
        </w:rPr>
        <w:tab/>
        <w:t>attend the practices of the Second and Third Applicants when same is necessary in order to confirm all cash transactions and cash deposits and the billing of patients of the Second and Third applicants and all other financial documentation required by him;</w:t>
      </w:r>
    </w:p>
    <w:p w:rsidR="001E1845" w:rsidRPr="001E1845" w:rsidRDefault="001E1845" w:rsidP="001E1845">
      <w:pPr>
        <w:pStyle w:val="ListParagraph"/>
        <w:spacing w:after="200" w:line="360" w:lineRule="auto"/>
        <w:ind w:left="2127" w:hanging="993"/>
        <w:jc w:val="both"/>
        <w:rPr>
          <w:rFonts w:asciiTheme="minorHAnsi" w:hAnsiTheme="minorHAnsi" w:cstheme="minorHAnsi"/>
          <w:i/>
          <w:sz w:val="22"/>
          <w:szCs w:val="22"/>
        </w:rPr>
      </w:pPr>
      <w:r w:rsidRPr="001E1845">
        <w:rPr>
          <w:rFonts w:asciiTheme="minorHAnsi" w:hAnsiTheme="minorHAnsi" w:cstheme="minorHAnsi"/>
          <w:i/>
          <w:sz w:val="22"/>
          <w:szCs w:val="22"/>
        </w:rPr>
        <w:t>3.2</w:t>
      </w:r>
      <w:r w:rsidRPr="001E1845">
        <w:rPr>
          <w:rFonts w:asciiTheme="minorHAnsi" w:hAnsiTheme="minorHAnsi" w:cstheme="minorHAnsi"/>
          <w:i/>
          <w:sz w:val="22"/>
          <w:szCs w:val="22"/>
        </w:rPr>
        <w:tab/>
      </w:r>
      <w:r>
        <w:rPr>
          <w:rFonts w:asciiTheme="minorHAnsi" w:hAnsiTheme="minorHAnsi" w:cstheme="minorHAnsi"/>
          <w:i/>
          <w:sz w:val="22"/>
          <w:szCs w:val="22"/>
        </w:rPr>
        <w:t>d</w:t>
      </w:r>
      <w:r w:rsidRPr="001E1845">
        <w:rPr>
          <w:rFonts w:asciiTheme="minorHAnsi" w:hAnsiTheme="minorHAnsi" w:cstheme="minorHAnsi"/>
          <w:i/>
          <w:sz w:val="22"/>
          <w:szCs w:val="22"/>
        </w:rPr>
        <w:t>etermine the nature of and the amount of any and all expenses to be paid on a bi-weekly basis with the assistance and co-operation of Renita van der Merwe;</w:t>
      </w:r>
    </w:p>
    <w:p w:rsidR="001E1845" w:rsidRPr="001E1845" w:rsidRDefault="001E1845" w:rsidP="001E1845">
      <w:pPr>
        <w:pStyle w:val="ListParagraph"/>
        <w:spacing w:after="200" w:line="360" w:lineRule="auto"/>
        <w:ind w:left="1418" w:hanging="567"/>
        <w:jc w:val="both"/>
        <w:rPr>
          <w:rFonts w:asciiTheme="minorHAnsi" w:hAnsiTheme="minorHAnsi" w:cstheme="minorHAnsi"/>
          <w:i/>
          <w:sz w:val="22"/>
          <w:szCs w:val="22"/>
        </w:rPr>
      </w:pPr>
      <w:r w:rsidRPr="001E1845">
        <w:rPr>
          <w:rFonts w:asciiTheme="minorHAnsi" w:hAnsiTheme="minorHAnsi" w:cstheme="minorHAnsi"/>
          <w:i/>
          <w:sz w:val="22"/>
          <w:szCs w:val="22"/>
        </w:rPr>
        <w:t>4.</w:t>
      </w:r>
      <w:r w:rsidRPr="001E1845">
        <w:rPr>
          <w:rFonts w:asciiTheme="minorHAnsi" w:hAnsiTheme="minorHAnsi" w:cstheme="minorHAnsi"/>
          <w:i/>
          <w:sz w:val="22"/>
          <w:szCs w:val="22"/>
        </w:rPr>
        <w:tab/>
        <w:t>In the event of a dispute as to the nature of and the amount an</w:t>
      </w:r>
      <w:r>
        <w:rPr>
          <w:rFonts w:asciiTheme="minorHAnsi" w:hAnsiTheme="minorHAnsi" w:cstheme="minorHAnsi"/>
          <w:i/>
          <w:sz w:val="22"/>
          <w:szCs w:val="22"/>
        </w:rPr>
        <w:t>d</w:t>
      </w:r>
      <w:r w:rsidRPr="001E1845">
        <w:rPr>
          <w:rFonts w:asciiTheme="minorHAnsi" w:hAnsiTheme="minorHAnsi" w:cstheme="minorHAnsi"/>
          <w:i/>
          <w:sz w:val="22"/>
          <w:szCs w:val="22"/>
        </w:rPr>
        <w:t xml:space="preserve"> identity of the creditors to be paid, Mynardt Boshoff personally will liase with Nick Claasens of Nick Claasens Financial Management in order to determine the said amount  to be paid and the validity of such payment;</w:t>
      </w:r>
    </w:p>
    <w:p w:rsidR="001E1845" w:rsidRPr="001E1845" w:rsidRDefault="001E1845" w:rsidP="001E1845">
      <w:pPr>
        <w:pStyle w:val="ListParagraph"/>
        <w:spacing w:after="200" w:line="360" w:lineRule="auto"/>
        <w:ind w:left="1418" w:hanging="567"/>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Pr="00C212C6">
        <w:rPr>
          <w:rFonts w:asciiTheme="minorHAnsi" w:hAnsiTheme="minorHAnsi" w:cstheme="minorHAnsi"/>
          <w:i/>
          <w:sz w:val="22"/>
          <w:szCs w:val="22"/>
        </w:rPr>
        <w:t>The First Applicant will receive on a monthly basis his monthly salary, calculated at 50% of his fees generated and no profit sharing will be paid in the interim or any personal expenses of the First Applicant or First Respondent unless agreed in writing by the First Applicant and the First Respondent</w:t>
      </w:r>
      <w:r w:rsidR="00C212C6">
        <w:rPr>
          <w:rFonts w:asciiTheme="minorHAnsi" w:hAnsiTheme="minorHAnsi" w:cstheme="minorHAnsi"/>
          <w:sz w:val="22"/>
          <w:szCs w:val="22"/>
        </w:rPr>
        <w:t>.”</w:t>
      </w:r>
    </w:p>
    <w:p w:rsidR="00045AA5" w:rsidRPr="00A73136" w:rsidRDefault="00045AA5" w:rsidP="00045AA5">
      <w:pPr>
        <w:pStyle w:val="ListParagraph"/>
        <w:rPr>
          <w:rFonts w:asciiTheme="minorHAnsi" w:hAnsiTheme="minorHAnsi" w:cstheme="minorHAnsi"/>
          <w:sz w:val="26"/>
          <w:szCs w:val="26"/>
        </w:rPr>
      </w:pPr>
    </w:p>
    <w:p w:rsidR="00045AA5" w:rsidRDefault="00C212C6"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common cause that Renita V/d Merwe was employed as the financial manager in the medical practices of the second and third applicants. </w:t>
      </w:r>
      <w:r w:rsidR="00A70DC0">
        <w:rPr>
          <w:rFonts w:asciiTheme="minorHAnsi" w:hAnsiTheme="minorHAnsi" w:cstheme="minorHAnsi"/>
          <w:sz w:val="26"/>
          <w:szCs w:val="26"/>
        </w:rPr>
        <w:t xml:space="preserve">It is also </w:t>
      </w:r>
      <w:r w:rsidR="00A70DC0">
        <w:rPr>
          <w:rFonts w:asciiTheme="minorHAnsi" w:hAnsiTheme="minorHAnsi" w:cstheme="minorHAnsi"/>
          <w:sz w:val="26"/>
          <w:szCs w:val="26"/>
        </w:rPr>
        <w:lastRenderedPageBreak/>
        <w:t xml:space="preserve">common cause that </w:t>
      </w:r>
      <w:r>
        <w:rPr>
          <w:rFonts w:asciiTheme="minorHAnsi" w:hAnsiTheme="minorHAnsi" w:cstheme="minorHAnsi"/>
          <w:sz w:val="26"/>
          <w:szCs w:val="26"/>
        </w:rPr>
        <w:t xml:space="preserve">Mynardt Boshoff </w:t>
      </w:r>
      <w:r w:rsidR="007957C1">
        <w:rPr>
          <w:rFonts w:asciiTheme="minorHAnsi" w:hAnsiTheme="minorHAnsi" w:cstheme="minorHAnsi"/>
          <w:sz w:val="26"/>
          <w:szCs w:val="26"/>
        </w:rPr>
        <w:t>(</w:t>
      </w:r>
      <w:r w:rsidR="00FE0BED">
        <w:rPr>
          <w:rFonts w:asciiTheme="minorHAnsi" w:hAnsiTheme="minorHAnsi" w:cstheme="minorHAnsi"/>
          <w:sz w:val="26"/>
          <w:szCs w:val="26"/>
        </w:rPr>
        <w:t>‘</w:t>
      </w:r>
      <w:r w:rsidR="007957C1" w:rsidRPr="007957C1">
        <w:rPr>
          <w:rFonts w:asciiTheme="minorHAnsi" w:hAnsiTheme="minorHAnsi" w:cstheme="minorHAnsi"/>
          <w:i/>
          <w:sz w:val="26"/>
          <w:szCs w:val="26"/>
        </w:rPr>
        <w:t>Boshoff</w:t>
      </w:r>
      <w:r w:rsidR="00FE0BED">
        <w:rPr>
          <w:rFonts w:asciiTheme="minorHAnsi" w:hAnsiTheme="minorHAnsi" w:cstheme="minorHAnsi"/>
          <w:i/>
          <w:sz w:val="26"/>
          <w:szCs w:val="26"/>
        </w:rPr>
        <w:t>’</w:t>
      </w:r>
      <w:r w:rsidR="007957C1">
        <w:rPr>
          <w:rFonts w:asciiTheme="minorHAnsi" w:hAnsiTheme="minorHAnsi" w:cstheme="minorHAnsi"/>
          <w:sz w:val="26"/>
          <w:szCs w:val="26"/>
        </w:rPr>
        <w:t>) was generally looking after</w:t>
      </w:r>
      <w:r>
        <w:rPr>
          <w:rFonts w:asciiTheme="minorHAnsi" w:hAnsiTheme="minorHAnsi" w:cstheme="minorHAnsi"/>
          <w:sz w:val="26"/>
          <w:szCs w:val="26"/>
        </w:rPr>
        <w:t xml:space="preserve"> the interests of Botha whilst Nick Claasens</w:t>
      </w:r>
      <w:r w:rsidR="007957C1">
        <w:rPr>
          <w:rFonts w:asciiTheme="minorHAnsi" w:hAnsiTheme="minorHAnsi" w:cstheme="minorHAnsi"/>
          <w:sz w:val="26"/>
          <w:szCs w:val="26"/>
        </w:rPr>
        <w:t xml:space="preserve"> (</w:t>
      </w:r>
      <w:r w:rsidR="00FE0BED">
        <w:rPr>
          <w:rFonts w:asciiTheme="minorHAnsi" w:hAnsiTheme="minorHAnsi" w:cstheme="minorHAnsi"/>
          <w:sz w:val="26"/>
          <w:szCs w:val="26"/>
        </w:rPr>
        <w:t>‘</w:t>
      </w:r>
      <w:r w:rsidR="007957C1">
        <w:rPr>
          <w:rFonts w:asciiTheme="minorHAnsi" w:hAnsiTheme="minorHAnsi" w:cstheme="minorHAnsi"/>
          <w:i/>
          <w:sz w:val="26"/>
          <w:szCs w:val="26"/>
        </w:rPr>
        <w:t>Claasens</w:t>
      </w:r>
      <w:r w:rsidR="00FE0BED">
        <w:rPr>
          <w:rFonts w:asciiTheme="minorHAnsi" w:hAnsiTheme="minorHAnsi" w:cstheme="minorHAnsi"/>
          <w:i/>
          <w:sz w:val="26"/>
          <w:szCs w:val="26"/>
        </w:rPr>
        <w:t>’</w:t>
      </w:r>
      <w:r w:rsidR="007957C1">
        <w:rPr>
          <w:rFonts w:asciiTheme="minorHAnsi" w:hAnsiTheme="minorHAnsi" w:cstheme="minorHAnsi"/>
          <w:sz w:val="26"/>
          <w:szCs w:val="26"/>
        </w:rPr>
        <w:t>)</w:t>
      </w:r>
      <w:r>
        <w:rPr>
          <w:rFonts w:asciiTheme="minorHAnsi" w:hAnsiTheme="minorHAnsi" w:cstheme="minorHAnsi"/>
          <w:sz w:val="26"/>
          <w:szCs w:val="26"/>
        </w:rPr>
        <w:t xml:space="preserve"> was </w:t>
      </w:r>
      <w:r w:rsidR="007957C1">
        <w:rPr>
          <w:rFonts w:asciiTheme="minorHAnsi" w:hAnsiTheme="minorHAnsi" w:cstheme="minorHAnsi"/>
          <w:sz w:val="26"/>
          <w:szCs w:val="26"/>
        </w:rPr>
        <w:t>generally looking</w:t>
      </w:r>
      <w:r>
        <w:rPr>
          <w:rFonts w:asciiTheme="minorHAnsi" w:hAnsiTheme="minorHAnsi" w:cstheme="minorHAnsi"/>
          <w:sz w:val="26"/>
          <w:szCs w:val="26"/>
        </w:rPr>
        <w:t xml:space="preserve"> after the interests of Jurgens.</w:t>
      </w:r>
      <w:r w:rsidR="007957C1">
        <w:rPr>
          <w:rFonts w:asciiTheme="minorHAnsi" w:hAnsiTheme="minorHAnsi" w:cstheme="minorHAnsi"/>
          <w:sz w:val="26"/>
          <w:szCs w:val="26"/>
        </w:rPr>
        <w:t xml:space="preserve"> </w:t>
      </w:r>
      <w:r w:rsidR="00A70DC0">
        <w:rPr>
          <w:rFonts w:asciiTheme="minorHAnsi" w:hAnsiTheme="minorHAnsi" w:cstheme="minorHAnsi"/>
          <w:sz w:val="26"/>
          <w:szCs w:val="26"/>
        </w:rPr>
        <w:t xml:space="preserve">They were appointed because </w:t>
      </w:r>
      <w:r w:rsidR="007957C1">
        <w:rPr>
          <w:rFonts w:asciiTheme="minorHAnsi" w:hAnsiTheme="minorHAnsi" w:cstheme="minorHAnsi"/>
          <w:sz w:val="26"/>
          <w:szCs w:val="26"/>
        </w:rPr>
        <w:t xml:space="preserve">Claasens was initially instructed to conduct an investigation </w:t>
      </w:r>
      <w:r w:rsidR="00A70DC0">
        <w:rPr>
          <w:rFonts w:asciiTheme="minorHAnsi" w:hAnsiTheme="minorHAnsi" w:cstheme="minorHAnsi"/>
          <w:sz w:val="26"/>
          <w:szCs w:val="26"/>
        </w:rPr>
        <w:t xml:space="preserve">into Botha’s conduct </w:t>
      </w:r>
      <w:r w:rsidR="007957C1">
        <w:rPr>
          <w:rFonts w:asciiTheme="minorHAnsi" w:hAnsiTheme="minorHAnsi" w:cstheme="minorHAnsi"/>
          <w:sz w:val="26"/>
          <w:szCs w:val="26"/>
        </w:rPr>
        <w:t>and Boshoff was instructed by Botha to look after his interests.</w:t>
      </w:r>
    </w:p>
    <w:p w:rsidR="005214BE" w:rsidRDefault="005214BE" w:rsidP="005214BE">
      <w:pPr>
        <w:pStyle w:val="ListParagraph"/>
        <w:rPr>
          <w:rFonts w:asciiTheme="minorHAnsi" w:hAnsiTheme="minorHAnsi" w:cstheme="minorHAnsi"/>
          <w:sz w:val="26"/>
          <w:szCs w:val="26"/>
        </w:rPr>
      </w:pPr>
    </w:p>
    <w:p w:rsidR="005214BE" w:rsidRPr="006F474B" w:rsidRDefault="005214BE"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second and third applicants each held bank accounts at Absa Bank. These accounts were referred to in the papers as ‘</w:t>
      </w:r>
      <w:r w:rsidRPr="00FE0BED">
        <w:rPr>
          <w:rFonts w:asciiTheme="minorHAnsi" w:hAnsiTheme="minorHAnsi" w:cstheme="minorHAnsi"/>
          <w:i/>
          <w:sz w:val="26"/>
          <w:szCs w:val="26"/>
        </w:rPr>
        <w:t>accounts 1 and 2’</w:t>
      </w:r>
      <w:r>
        <w:rPr>
          <w:rFonts w:asciiTheme="minorHAnsi" w:hAnsiTheme="minorHAnsi" w:cstheme="minorHAnsi"/>
          <w:sz w:val="26"/>
          <w:szCs w:val="26"/>
        </w:rPr>
        <w:t>.</w:t>
      </w:r>
    </w:p>
    <w:p w:rsidR="00045AA5" w:rsidRDefault="00045AA5" w:rsidP="00045AA5">
      <w:pPr>
        <w:pStyle w:val="ListParagraph"/>
        <w:rPr>
          <w:rFonts w:asciiTheme="minorHAnsi" w:hAnsiTheme="minorHAnsi" w:cstheme="minorHAnsi"/>
          <w:sz w:val="26"/>
          <w:szCs w:val="26"/>
        </w:rPr>
      </w:pPr>
    </w:p>
    <w:p w:rsidR="00045AA5" w:rsidRPr="006F474B" w:rsidRDefault="00B844E8"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convenient to deal first with Botha’s alleged breach of the order, as contended for by Jurgens. </w:t>
      </w:r>
    </w:p>
    <w:p w:rsidR="00045AA5" w:rsidRDefault="00045AA5" w:rsidP="00045AA5">
      <w:pPr>
        <w:pStyle w:val="ListParagraph"/>
        <w:rPr>
          <w:rFonts w:asciiTheme="minorHAnsi" w:hAnsiTheme="minorHAnsi" w:cstheme="minorHAnsi"/>
          <w:sz w:val="26"/>
          <w:szCs w:val="26"/>
        </w:rPr>
      </w:pPr>
    </w:p>
    <w:p w:rsidR="00B844E8" w:rsidRDefault="00B844E8" w:rsidP="00B844E8">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Case for Jurgens in relation to Botha’s alleged breach of the order</w:t>
      </w:r>
    </w:p>
    <w:p w:rsidR="004F2FE2" w:rsidRPr="004F2FE2" w:rsidRDefault="00A70DC0" w:rsidP="00B844E8">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 xml:space="preserve">Re </w:t>
      </w:r>
      <w:r w:rsidR="004F2FE2" w:rsidRPr="004F2FE2">
        <w:rPr>
          <w:rFonts w:asciiTheme="minorHAnsi" w:hAnsiTheme="minorHAnsi" w:cstheme="minorHAnsi"/>
          <w:i/>
          <w:sz w:val="26"/>
          <w:szCs w:val="26"/>
        </w:rPr>
        <w:t>Withdrawal of suretyship</w:t>
      </w:r>
    </w:p>
    <w:p w:rsidR="00045AA5" w:rsidRDefault="00A70DC0"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common cause that Botha caused his attorney (Scholtz) to address a letter to Absa Bank on 17 October 2019, in which </w:t>
      </w:r>
      <w:r w:rsidR="007C677C">
        <w:rPr>
          <w:rFonts w:asciiTheme="minorHAnsi" w:hAnsiTheme="minorHAnsi" w:cstheme="minorHAnsi"/>
          <w:sz w:val="26"/>
          <w:szCs w:val="26"/>
        </w:rPr>
        <w:t>the following was said</w:t>
      </w:r>
      <w:r>
        <w:rPr>
          <w:rFonts w:asciiTheme="minorHAnsi" w:hAnsiTheme="minorHAnsi" w:cstheme="minorHAnsi"/>
          <w:sz w:val="26"/>
          <w:szCs w:val="26"/>
        </w:rPr>
        <w:t>:</w:t>
      </w:r>
    </w:p>
    <w:p w:rsidR="007C677C" w:rsidRPr="001A0226" w:rsidRDefault="00A70DC0" w:rsidP="007C677C">
      <w:pPr>
        <w:pStyle w:val="NormalWeb"/>
        <w:spacing w:line="276" w:lineRule="auto"/>
        <w:ind w:left="851"/>
        <w:jc w:val="both"/>
        <w:rPr>
          <w:rFonts w:asciiTheme="minorHAnsi" w:hAnsiTheme="minorHAnsi" w:cstheme="minorHAnsi"/>
          <w:color w:val="000000"/>
          <w:sz w:val="22"/>
          <w:szCs w:val="22"/>
        </w:rPr>
      </w:pPr>
      <w:r>
        <w:rPr>
          <w:rFonts w:asciiTheme="minorHAnsi" w:hAnsiTheme="minorHAnsi" w:cstheme="minorHAnsi"/>
          <w:sz w:val="26"/>
          <w:szCs w:val="26"/>
        </w:rPr>
        <w:t>“</w:t>
      </w:r>
      <w:r w:rsidR="007C677C" w:rsidRPr="001A0226">
        <w:rPr>
          <w:rFonts w:asciiTheme="minorHAnsi" w:hAnsiTheme="minorHAnsi" w:cstheme="minorHAnsi"/>
          <w:color w:val="000000"/>
          <w:sz w:val="22"/>
          <w:szCs w:val="22"/>
        </w:rPr>
        <w:t xml:space="preserve">We are acting for and on behalf of DR CHRISTOFFEL JACOBUS BOTHA </w:t>
      </w:r>
      <w:r w:rsidR="007C677C">
        <w:rPr>
          <w:rFonts w:asciiTheme="minorHAnsi" w:hAnsiTheme="minorHAnsi" w:cstheme="minorHAnsi"/>
          <w:color w:val="000000"/>
          <w:sz w:val="22"/>
          <w:szCs w:val="22"/>
        </w:rPr>
        <w:t>…</w:t>
      </w:r>
      <w:r w:rsidR="007C677C" w:rsidRPr="001A0226">
        <w:rPr>
          <w:rFonts w:asciiTheme="minorHAnsi" w:hAnsiTheme="minorHAnsi" w:cstheme="minorHAnsi"/>
          <w:color w:val="000000"/>
          <w:sz w:val="22"/>
          <w:szCs w:val="22"/>
        </w:rPr>
        <w:t xml:space="preserve"> who stood surety and provided security by way of an immovable property, NO. 1 DE BEER STREET, STRAND, for and on behalf of the indebtedness of the aforesaid two practises including but not limited to the overdraft accounts of the aforesaid account numbers. This withdrawal of surety is for any and all accounts at ABSA for and on behalf of Dr Botha.</w:t>
      </w:r>
    </w:p>
    <w:p w:rsidR="007C677C" w:rsidRPr="001A0226" w:rsidRDefault="007C677C" w:rsidP="007C677C">
      <w:pPr>
        <w:pStyle w:val="NormalWeb"/>
        <w:spacing w:line="276" w:lineRule="auto"/>
        <w:ind w:left="851"/>
        <w:jc w:val="both"/>
        <w:rPr>
          <w:rFonts w:asciiTheme="minorHAnsi" w:hAnsiTheme="minorHAnsi" w:cstheme="minorHAnsi"/>
          <w:color w:val="000000"/>
          <w:sz w:val="22"/>
          <w:szCs w:val="22"/>
        </w:rPr>
      </w:pPr>
      <w:r w:rsidRPr="001A0226">
        <w:rPr>
          <w:rFonts w:asciiTheme="minorHAnsi" w:hAnsiTheme="minorHAnsi" w:cstheme="minorHAnsi"/>
          <w:color w:val="000000"/>
          <w:sz w:val="22"/>
          <w:szCs w:val="22"/>
        </w:rPr>
        <w:t>We place on record that at the date and time of presentation of this letter and instruction hereof, both the accounts are in credit. Our client hereby withdraws his surety in respect thereof, which includes his surety on the overdraft as from 17 October 2019 and advise the bank accordingly.</w:t>
      </w:r>
    </w:p>
    <w:p w:rsidR="007C677C" w:rsidRPr="001A0226" w:rsidRDefault="007C677C" w:rsidP="007C677C">
      <w:pPr>
        <w:pStyle w:val="NormalWeb"/>
        <w:spacing w:line="276" w:lineRule="auto"/>
        <w:ind w:left="851"/>
        <w:jc w:val="both"/>
        <w:rPr>
          <w:rFonts w:asciiTheme="minorHAnsi" w:hAnsiTheme="minorHAnsi" w:cstheme="minorHAnsi"/>
          <w:color w:val="000000"/>
          <w:sz w:val="22"/>
          <w:szCs w:val="22"/>
        </w:rPr>
      </w:pPr>
      <w:r w:rsidRPr="001A0226">
        <w:rPr>
          <w:rFonts w:asciiTheme="minorHAnsi" w:hAnsiTheme="minorHAnsi" w:cstheme="minorHAnsi"/>
          <w:color w:val="000000"/>
          <w:sz w:val="22"/>
          <w:szCs w:val="22"/>
        </w:rPr>
        <w:t>We place on record that should th[e] accounts be allowed to proceed into overdraft, our client will not be held responsible due to the negligence of the bank to comply with this letter.</w:t>
      </w:r>
    </w:p>
    <w:p w:rsidR="00A70DC0" w:rsidRPr="00BB235D" w:rsidRDefault="007C677C" w:rsidP="007C677C">
      <w:pPr>
        <w:pStyle w:val="NormalWeb"/>
        <w:spacing w:line="276" w:lineRule="auto"/>
        <w:ind w:left="851"/>
        <w:jc w:val="both"/>
        <w:rPr>
          <w:rFonts w:asciiTheme="minorHAnsi" w:hAnsiTheme="minorHAnsi" w:cstheme="minorHAnsi"/>
          <w:sz w:val="26"/>
          <w:szCs w:val="26"/>
        </w:rPr>
      </w:pPr>
      <w:r w:rsidRPr="001A0226">
        <w:rPr>
          <w:rFonts w:asciiTheme="minorHAnsi" w:hAnsiTheme="minorHAnsi" w:cstheme="minorHAnsi"/>
          <w:color w:val="000000"/>
          <w:sz w:val="22"/>
          <w:szCs w:val="22"/>
        </w:rPr>
        <w:lastRenderedPageBreak/>
        <w:t>Finally, it is our instructions that we have been advised that Dr Jurgens are</w:t>
      </w:r>
      <w:r w:rsidR="00BD55A7">
        <w:rPr>
          <w:rFonts w:asciiTheme="minorHAnsi" w:hAnsiTheme="minorHAnsi" w:cstheme="minorHAnsi"/>
          <w:color w:val="000000"/>
          <w:sz w:val="22"/>
          <w:szCs w:val="22"/>
        </w:rPr>
        <w:t xml:space="preserve"> (sic)</w:t>
      </w:r>
      <w:r w:rsidRPr="001A0226">
        <w:rPr>
          <w:rFonts w:asciiTheme="minorHAnsi" w:hAnsiTheme="minorHAnsi" w:cstheme="minorHAnsi"/>
          <w:color w:val="000000"/>
          <w:sz w:val="22"/>
          <w:szCs w:val="22"/>
        </w:rPr>
        <w:t xml:space="preserve"> of the intention to liquidate the aforesaid Companies and our client refuses to be liable for debts of the Company.</w:t>
      </w:r>
      <w:r>
        <w:rPr>
          <w:rFonts w:asciiTheme="minorHAnsi" w:hAnsiTheme="minorHAnsi" w:cstheme="minorHAnsi"/>
          <w:color w:val="000000"/>
          <w:sz w:val="22"/>
          <w:szCs w:val="22"/>
        </w:rPr>
        <w:t>”</w:t>
      </w:r>
      <w:r>
        <w:rPr>
          <w:rStyle w:val="FootnoteReference"/>
          <w:rFonts w:asciiTheme="minorHAnsi" w:hAnsiTheme="minorHAnsi" w:cstheme="minorHAnsi"/>
          <w:color w:val="000000"/>
          <w:sz w:val="22"/>
          <w:szCs w:val="22"/>
        </w:rPr>
        <w:footnoteReference w:id="15"/>
      </w:r>
    </w:p>
    <w:p w:rsidR="00045AA5" w:rsidRDefault="00045AA5" w:rsidP="00045AA5">
      <w:pPr>
        <w:pStyle w:val="ListParagraph"/>
        <w:rPr>
          <w:rFonts w:asciiTheme="minorHAnsi" w:hAnsiTheme="minorHAnsi" w:cstheme="minorHAnsi"/>
          <w:sz w:val="26"/>
          <w:szCs w:val="26"/>
        </w:rPr>
      </w:pPr>
      <w:bookmarkStart w:id="3" w:name="0-0-0-42631"/>
      <w:bookmarkStart w:id="4" w:name="0-0-0-42633"/>
      <w:bookmarkStart w:id="5" w:name="0-0-0-42643"/>
      <w:bookmarkEnd w:id="3"/>
      <w:bookmarkEnd w:id="4"/>
      <w:bookmarkEnd w:id="5"/>
    </w:p>
    <w:p w:rsidR="007C677C" w:rsidRDefault="007C677C"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It is not in dispute that the withdrawal by Botha of his suretyship</w:t>
      </w:r>
      <w:r w:rsidR="00FE0BED">
        <w:rPr>
          <w:rFonts w:asciiTheme="minorHAnsi" w:hAnsiTheme="minorHAnsi" w:cstheme="minorHAnsi"/>
          <w:sz w:val="26"/>
          <w:szCs w:val="26"/>
        </w:rPr>
        <w:t>,</w:t>
      </w:r>
      <w:r>
        <w:rPr>
          <w:rFonts w:asciiTheme="minorHAnsi" w:hAnsiTheme="minorHAnsi" w:cstheme="minorHAnsi"/>
          <w:sz w:val="26"/>
          <w:szCs w:val="26"/>
        </w:rPr>
        <w:t xml:space="preserve"> </w:t>
      </w:r>
      <w:r w:rsidR="005214BE">
        <w:rPr>
          <w:rFonts w:asciiTheme="minorHAnsi" w:hAnsiTheme="minorHAnsi" w:cstheme="minorHAnsi"/>
          <w:sz w:val="26"/>
          <w:szCs w:val="26"/>
        </w:rPr>
        <w:t>coupled with his</w:t>
      </w:r>
      <w:r w:rsidR="00A13A9D">
        <w:rPr>
          <w:rFonts w:asciiTheme="minorHAnsi" w:hAnsiTheme="minorHAnsi" w:cstheme="minorHAnsi"/>
          <w:sz w:val="26"/>
          <w:szCs w:val="26"/>
        </w:rPr>
        <w:t xml:space="preserve"> letter of 4 December 2019</w:t>
      </w:r>
      <w:r w:rsidR="00FE0BED">
        <w:rPr>
          <w:rFonts w:asciiTheme="minorHAnsi" w:hAnsiTheme="minorHAnsi" w:cstheme="minorHAnsi"/>
          <w:sz w:val="26"/>
          <w:szCs w:val="26"/>
        </w:rPr>
        <w:t>,</w:t>
      </w:r>
      <w:r w:rsidR="00A13A9D">
        <w:rPr>
          <w:rFonts w:asciiTheme="minorHAnsi" w:hAnsiTheme="minorHAnsi" w:cstheme="minorHAnsi"/>
          <w:sz w:val="26"/>
          <w:szCs w:val="26"/>
        </w:rPr>
        <w:t xml:space="preserve"> </w:t>
      </w:r>
      <w:r>
        <w:rPr>
          <w:rFonts w:asciiTheme="minorHAnsi" w:hAnsiTheme="minorHAnsi" w:cstheme="minorHAnsi"/>
          <w:sz w:val="26"/>
          <w:szCs w:val="26"/>
        </w:rPr>
        <w:t>eventually led to the bank terminating the companies’ overdraft facilities.</w:t>
      </w:r>
    </w:p>
    <w:p w:rsidR="008D2D3F" w:rsidRDefault="008D2D3F" w:rsidP="008D2D3F">
      <w:pPr>
        <w:pStyle w:val="ListParagraph"/>
        <w:rPr>
          <w:rFonts w:asciiTheme="minorHAnsi" w:hAnsiTheme="minorHAnsi" w:cstheme="minorHAnsi"/>
          <w:sz w:val="26"/>
          <w:szCs w:val="26"/>
        </w:rPr>
      </w:pPr>
    </w:p>
    <w:p w:rsidR="008D2D3F" w:rsidRPr="00EA48E3" w:rsidRDefault="008D2D3F" w:rsidP="008D2D3F">
      <w:pPr>
        <w:pStyle w:val="ListParagraph"/>
        <w:numPr>
          <w:ilvl w:val="0"/>
          <w:numId w:val="3"/>
        </w:numPr>
        <w:spacing w:after="200" w:line="360" w:lineRule="auto"/>
        <w:jc w:val="both"/>
        <w:rPr>
          <w:rFonts w:asciiTheme="minorHAnsi" w:hAnsiTheme="minorHAnsi" w:cstheme="minorHAnsi"/>
          <w:color w:val="000000"/>
          <w:sz w:val="26"/>
          <w:szCs w:val="26"/>
        </w:rPr>
      </w:pPr>
      <w:r w:rsidRPr="008D2D3F">
        <w:rPr>
          <w:rFonts w:asciiTheme="minorHAnsi" w:hAnsiTheme="minorHAnsi" w:cstheme="minorHAnsi"/>
          <w:sz w:val="26"/>
          <w:szCs w:val="26"/>
        </w:rPr>
        <w:t>The</w:t>
      </w:r>
      <w:r w:rsidRPr="00FB43D2">
        <w:rPr>
          <w:rFonts w:asciiTheme="minorHAnsi" w:hAnsiTheme="minorHAnsi" w:cstheme="minorHAnsi"/>
          <w:color w:val="000000"/>
          <w:sz w:val="26"/>
          <w:szCs w:val="26"/>
        </w:rPr>
        <w:t xml:space="preserve"> thrust of the orders made by his </w:t>
      </w:r>
      <w:r w:rsidR="00FE0BED">
        <w:rPr>
          <w:rFonts w:asciiTheme="minorHAnsi" w:hAnsiTheme="minorHAnsi" w:cstheme="minorHAnsi"/>
          <w:color w:val="000000"/>
          <w:sz w:val="26"/>
          <w:szCs w:val="26"/>
        </w:rPr>
        <w:t>V</w:t>
      </w:r>
      <w:r w:rsidRPr="00FB43D2">
        <w:rPr>
          <w:rFonts w:asciiTheme="minorHAnsi" w:hAnsiTheme="minorHAnsi" w:cstheme="minorHAnsi"/>
          <w:color w:val="000000"/>
          <w:sz w:val="26"/>
          <w:szCs w:val="26"/>
        </w:rPr>
        <w:t xml:space="preserve">an der Linde </w:t>
      </w:r>
      <w:r w:rsidR="00FE0BED">
        <w:rPr>
          <w:rFonts w:asciiTheme="minorHAnsi" w:hAnsiTheme="minorHAnsi" w:cstheme="minorHAnsi"/>
          <w:color w:val="000000"/>
          <w:sz w:val="26"/>
          <w:szCs w:val="26"/>
        </w:rPr>
        <w:t xml:space="preserve">J </w:t>
      </w:r>
      <w:r w:rsidRPr="00FB43D2">
        <w:rPr>
          <w:rFonts w:asciiTheme="minorHAnsi" w:hAnsiTheme="minorHAnsi" w:cstheme="minorHAnsi"/>
          <w:color w:val="000000"/>
          <w:sz w:val="26"/>
          <w:szCs w:val="26"/>
        </w:rPr>
        <w:t xml:space="preserve">is that </w:t>
      </w:r>
      <w:r>
        <w:rPr>
          <w:rFonts w:asciiTheme="minorHAnsi" w:hAnsiTheme="minorHAnsi" w:cstheme="minorHAnsi"/>
          <w:color w:val="000000"/>
          <w:sz w:val="26"/>
          <w:szCs w:val="26"/>
        </w:rPr>
        <w:t>both Jurgens and Botha were</w:t>
      </w:r>
      <w:r w:rsidRPr="00FB43D2">
        <w:rPr>
          <w:rFonts w:asciiTheme="minorHAnsi" w:hAnsiTheme="minorHAnsi" w:cstheme="minorHAnsi"/>
          <w:color w:val="000000"/>
          <w:sz w:val="26"/>
          <w:szCs w:val="26"/>
        </w:rPr>
        <w:t xml:space="preserve"> interdicted from and restrained from conducting any banking or financial transaction in respect of any of the bank accounts held by the Second and Third Applicants and from opening any further bank accounts</w:t>
      </w:r>
      <w:r>
        <w:rPr>
          <w:rFonts w:asciiTheme="minorHAnsi" w:hAnsiTheme="minorHAnsi" w:cstheme="minorHAnsi"/>
          <w:color w:val="000000"/>
          <w:sz w:val="26"/>
          <w:szCs w:val="26"/>
        </w:rPr>
        <w:t>, as envisaged in par 1 of the order</w:t>
      </w:r>
      <w:r w:rsidRPr="00FB43D2">
        <w:rPr>
          <w:rFonts w:asciiTheme="minorHAnsi" w:hAnsiTheme="minorHAnsi" w:cstheme="minorHAnsi"/>
          <w:color w:val="000000"/>
          <w:sz w:val="26"/>
          <w:szCs w:val="26"/>
        </w:rPr>
        <w:t xml:space="preserve">. Furthermore, Mynhardt Boshoff Professional Accountants were to attend to the practices of the Second and Third Applicants and were </w:t>
      </w:r>
      <w:r w:rsidR="00FE0BED">
        <w:rPr>
          <w:rFonts w:asciiTheme="minorHAnsi" w:hAnsiTheme="minorHAnsi" w:cstheme="minorHAnsi"/>
          <w:color w:val="000000"/>
          <w:sz w:val="26"/>
          <w:szCs w:val="26"/>
        </w:rPr>
        <w:t xml:space="preserve">tasked </w:t>
      </w:r>
      <w:r w:rsidRPr="00FB43D2">
        <w:rPr>
          <w:rFonts w:asciiTheme="minorHAnsi" w:hAnsiTheme="minorHAnsi" w:cstheme="minorHAnsi"/>
          <w:color w:val="000000"/>
          <w:sz w:val="26"/>
          <w:szCs w:val="26"/>
        </w:rPr>
        <w:t xml:space="preserve">to </w:t>
      </w:r>
      <w:r>
        <w:rPr>
          <w:rFonts w:asciiTheme="minorHAnsi" w:hAnsiTheme="minorHAnsi" w:cstheme="minorHAnsi"/>
          <w:color w:val="000000"/>
          <w:sz w:val="26"/>
          <w:szCs w:val="26"/>
        </w:rPr>
        <w:t xml:space="preserve">(i) </w:t>
      </w:r>
      <w:r w:rsidRPr="00FB43D2">
        <w:rPr>
          <w:rFonts w:asciiTheme="minorHAnsi" w:hAnsiTheme="minorHAnsi" w:cstheme="minorHAnsi"/>
          <w:color w:val="000000"/>
          <w:sz w:val="26"/>
          <w:szCs w:val="26"/>
        </w:rPr>
        <w:t>confirm certain cash transactions</w:t>
      </w:r>
      <w:r>
        <w:rPr>
          <w:rFonts w:asciiTheme="minorHAnsi" w:hAnsiTheme="minorHAnsi" w:cstheme="minorHAnsi"/>
          <w:color w:val="000000"/>
          <w:sz w:val="26"/>
          <w:szCs w:val="26"/>
        </w:rPr>
        <w:t>/deposits and the billing of patients and</w:t>
      </w:r>
      <w:r w:rsidR="00FE0BED">
        <w:rPr>
          <w:rFonts w:asciiTheme="minorHAnsi" w:hAnsiTheme="minorHAnsi" w:cstheme="minorHAnsi"/>
          <w:color w:val="000000"/>
          <w:sz w:val="26"/>
          <w:szCs w:val="26"/>
        </w:rPr>
        <w:t xml:space="preserve"> to</w:t>
      </w:r>
      <w:r>
        <w:rPr>
          <w:rFonts w:asciiTheme="minorHAnsi" w:hAnsiTheme="minorHAnsi" w:cstheme="minorHAnsi"/>
          <w:color w:val="000000"/>
          <w:sz w:val="26"/>
          <w:szCs w:val="26"/>
        </w:rPr>
        <w:t xml:space="preserve"> (ii) </w:t>
      </w:r>
      <w:r w:rsidRPr="00FB43D2">
        <w:rPr>
          <w:rFonts w:asciiTheme="minorHAnsi" w:hAnsiTheme="minorHAnsi" w:cstheme="minorHAnsi"/>
          <w:color w:val="000000"/>
          <w:sz w:val="26"/>
          <w:szCs w:val="26"/>
        </w:rPr>
        <w:t>authorise or approve ‘</w:t>
      </w:r>
      <w:r w:rsidRPr="00FB43D2">
        <w:rPr>
          <w:rFonts w:asciiTheme="minorHAnsi" w:hAnsiTheme="minorHAnsi" w:cstheme="minorHAnsi"/>
          <w:i/>
          <w:sz w:val="26"/>
          <w:szCs w:val="26"/>
        </w:rPr>
        <w:t xml:space="preserve">the nature of and the amount of any and all expenses to be paid’, </w:t>
      </w:r>
      <w:r w:rsidRPr="00FB43D2">
        <w:rPr>
          <w:rFonts w:asciiTheme="minorHAnsi" w:hAnsiTheme="minorHAnsi" w:cstheme="minorHAnsi"/>
          <w:color w:val="000000"/>
          <w:sz w:val="26"/>
          <w:szCs w:val="26"/>
        </w:rPr>
        <w:t xml:space="preserve">as </w:t>
      </w:r>
      <w:r>
        <w:rPr>
          <w:rFonts w:asciiTheme="minorHAnsi" w:hAnsiTheme="minorHAnsi" w:cstheme="minorHAnsi"/>
          <w:color w:val="000000"/>
          <w:sz w:val="26"/>
          <w:szCs w:val="26"/>
        </w:rPr>
        <w:t>envisaged in par 3</w:t>
      </w:r>
      <w:r w:rsidRPr="00FB43D2">
        <w:rPr>
          <w:rFonts w:asciiTheme="minorHAnsi" w:hAnsiTheme="minorHAnsi" w:cstheme="minorHAnsi"/>
          <w:color w:val="000000"/>
          <w:sz w:val="26"/>
          <w:szCs w:val="26"/>
        </w:rPr>
        <w:t xml:space="preserve"> of the order.</w:t>
      </w:r>
      <w:r>
        <w:rPr>
          <w:rFonts w:asciiTheme="minorHAnsi" w:hAnsiTheme="minorHAnsi" w:cstheme="minorHAnsi"/>
          <w:color w:val="000000"/>
          <w:sz w:val="26"/>
          <w:szCs w:val="26"/>
        </w:rPr>
        <w:t xml:space="preserve"> In other words, </w:t>
      </w:r>
      <w:r w:rsidRPr="00EA48E3">
        <w:rPr>
          <w:rFonts w:asciiTheme="minorHAnsi" w:hAnsiTheme="minorHAnsi" w:cstheme="minorHAnsi"/>
          <w:color w:val="000000"/>
          <w:sz w:val="26"/>
          <w:szCs w:val="26"/>
        </w:rPr>
        <w:t>Mynhardt Boshoff</w:t>
      </w:r>
      <w:r>
        <w:rPr>
          <w:rFonts w:asciiTheme="minorHAnsi" w:hAnsiTheme="minorHAnsi" w:cstheme="minorHAnsi"/>
          <w:color w:val="000000"/>
          <w:sz w:val="26"/>
          <w:szCs w:val="26"/>
        </w:rPr>
        <w:t xml:space="preserve"> (Botha’s</w:t>
      </w:r>
      <w:r w:rsidRPr="00EA48E3">
        <w:rPr>
          <w:rFonts w:asciiTheme="minorHAnsi" w:hAnsiTheme="minorHAnsi" w:cstheme="minorHAnsi"/>
          <w:color w:val="000000"/>
          <w:sz w:val="26"/>
          <w:szCs w:val="26"/>
        </w:rPr>
        <w:t xml:space="preserve"> agent</w:t>
      </w:r>
      <w:r>
        <w:rPr>
          <w:rFonts w:asciiTheme="minorHAnsi" w:hAnsiTheme="minorHAnsi" w:cstheme="minorHAnsi"/>
          <w:color w:val="000000"/>
          <w:sz w:val="26"/>
          <w:szCs w:val="26"/>
        </w:rPr>
        <w:t>)</w:t>
      </w:r>
      <w:r w:rsidRPr="00EA48E3">
        <w:rPr>
          <w:rFonts w:asciiTheme="minorHAnsi" w:hAnsiTheme="minorHAnsi" w:cstheme="minorHAnsi"/>
          <w:color w:val="000000"/>
          <w:sz w:val="26"/>
          <w:szCs w:val="26"/>
        </w:rPr>
        <w:t xml:space="preserve"> had to consent to </w:t>
      </w:r>
      <w:r>
        <w:rPr>
          <w:rFonts w:asciiTheme="minorHAnsi" w:hAnsiTheme="minorHAnsi" w:cstheme="minorHAnsi"/>
          <w:color w:val="000000"/>
          <w:sz w:val="26"/>
          <w:szCs w:val="26"/>
        </w:rPr>
        <w:t xml:space="preserve">business related </w:t>
      </w:r>
      <w:r w:rsidRPr="00EA48E3">
        <w:rPr>
          <w:rFonts w:asciiTheme="minorHAnsi" w:hAnsiTheme="minorHAnsi" w:cstheme="minorHAnsi"/>
          <w:color w:val="000000"/>
          <w:sz w:val="26"/>
          <w:szCs w:val="26"/>
        </w:rPr>
        <w:t>expenses being paid</w:t>
      </w:r>
      <w:r>
        <w:rPr>
          <w:rFonts w:asciiTheme="minorHAnsi" w:hAnsiTheme="minorHAnsi" w:cstheme="minorHAnsi"/>
          <w:color w:val="000000"/>
          <w:sz w:val="26"/>
          <w:szCs w:val="26"/>
        </w:rPr>
        <w:t xml:space="preserve"> before such expenses could be paid</w:t>
      </w:r>
      <w:r w:rsidRPr="00EA48E3">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p>
    <w:p w:rsidR="008D2D3F" w:rsidRPr="008D2D3F" w:rsidRDefault="008D2D3F" w:rsidP="008D2D3F">
      <w:pPr>
        <w:pStyle w:val="ListParagraph"/>
        <w:spacing w:after="200" w:line="360" w:lineRule="auto"/>
        <w:ind w:left="851"/>
        <w:jc w:val="both"/>
        <w:rPr>
          <w:rFonts w:asciiTheme="minorHAnsi" w:hAnsiTheme="minorHAnsi" w:cstheme="minorHAnsi"/>
          <w:sz w:val="26"/>
          <w:szCs w:val="26"/>
        </w:rPr>
      </w:pPr>
    </w:p>
    <w:p w:rsidR="008D2D3F" w:rsidRDefault="008D2D3F" w:rsidP="008D2D3F">
      <w:pPr>
        <w:pStyle w:val="ListParagraph"/>
        <w:numPr>
          <w:ilvl w:val="0"/>
          <w:numId w:val="3"/>
        </w:numPr>
        <w:spacing w:after="200" w:line="360" w:lineRule="auto"/>
        <w:jc w:val="both"/>
        <w:rPr>
          <w:rFonts w:asciiTheme="minorHAnsi" w:hAnsiTheme="minorHAnsi" w:cstheme="minorHAnsi"/>
          <w:sz w:val="26"/>
          <w:szCs w:val="26"/>
        </w:rPr>
      </w:pPr>
      <w:r w:rsidRPr="00FB43D2">
        <w:rPr>
          <w:rFonts w:asciiTheme="minorHAnsi" w:hAnsiTheme="minorHAnsi" w:cstheme="minorHAnsi"/>
          <w:color w:val="000000"/>
          <w:sz w:val="26"/>
          <w:szCs w:val="26"/>
        </w:rPr>
        <w:t xml:space="preserve">The case made out by Jurgens in </w:t>
      </w:r>
      <w:r>
        <w:rPr>
          <w:rFonts w:asciiTheme="minorHAnsi" w:hAnsiTheme="minorHAnsi" w:cstheme="minorHAnsi"/>
          <w:color w:val="000000"/>
          <w:sz w:val="26"/>
          <w:szCs w:val="26"/>
        </w:rPr>
        <w:t>his</w:t>
      </w:r>
      <w:r w:rsidRPr="00FB43D2">
        <w:rPr>
          <w:rFonts w:asciiTheme="minorHAnsi" w:hAnsiTheme="minorHAnsi" w:cstheme="minorHAnsi"/>
          <w:color w:val="000000"/>
          <w:sz w:val="26"/>
          <w:szCs w:val="26"/>
        </w:rPr>
        <w:t xml:space="preserve"> founding affidavit is that in terms of Scholtz’s letter to A</w:t>
      </w:r>
      <w:r>
        <w:rPr>
          <w:rFonts w:asciiTheme="minorHAnsi" w:hAnsiTheme="minorHAnsi" w:cstheme="minorHAnsi"/>
          <w:color w:val="000000"/>
          <w:sz w:val="26"/>
          <w:szCs w:val="26"/>
        </w:rPr>
        <w:t>b</w:t>
      </w:r>
      <w:r w:rsidRPr="00FB43D2">
        <w:rPr>
          <w:rFonts w:asciiTheme="minorHAnsi" w:hAnsiTheme="minorHAnsi" w:cstheme="minorHAnsi"/>
          <w:color w:val="000000"/>
          <w:sz w:val="26"/>
          <w:szCs w:val="26"/>
        </w:rPr>
        <w:t xml:space="preserve">sa Bank (referred to in par </w:t>
      </w:r>
      <w:r w:rsidR="00FE0BED">
        <w:rPr>
          <w:rFonts w:asciiTheme="minorHAnsi" w:hAnsiTheme="minorHAnsi" w:cstheme="minorHAnsi"/>
          <w:color w:val="000000"/>
          <w:sz w:val="26"/>
          <w:szCs w:val="26"/>
        </w:rPr>
        <w:t>20</w:t>
      </w:r>
      <w:r w:rsidRPr="00FB43D2">
        <w:rPr>
          <w:rFonts w:asciiTheme="minorHAnsi" w:hAnsiTheme="minorHAnsi" w:cstheme="minorHAnsi"/>
          <w:color w:val="000000"/>
          <w:sz w:val="26"/>
          <w:szCs w:val="26"/>
        </w:rPr>
        <w:t xml:space="preserve"> above)</w:t>
      </w:r>
      <w:r w:rsidR="00FE0BED">
        <w:rPr>
          <w:rFonts w:asciiTheme="minorHAnsi" w:hAnsiTheme="minorHAnsi" w:cstheme="minorHAnsi"/>
          <w:color w:val="000000"/>
          <w:sz w:val="26"/>
          <w:szCs w:val="26"/>
        </w:rPr>
        <w:t>,</w:t>
      </w:r>
      <w:r w:rsidRPr="00FB43D2">
        <w:rPr>
          <w:rFonts w:asciiTheme="minorHAnsi" w:hAnsiTheme="minorHAnsi" w:cstheme="minorHAnsi"/>
          <w:color w:val="000000"/>
          <w:sz w:val="26"/>
          <w:szCs w:val="26"/>
        </w:rPr>
        <w:t xml:space="preserve"> </w:t>
      </w:r>
      <w:r>
        <w:rPr>
          <w:rFonts w:asciiTheme="minorHAnsi" w:hAnsiTheme="minorHAnsi" w:cstheme="minorHAnsi"/>
          <w:color w:val="000000"/>
          <w:sz w:val="26"/>
          <w:szCs w:val="26"/>
        </w:rPr>
        <w:t>Botha’s</w:t>
      </w:r>
      <w:r w:rsidRPr="00FB43D2">
        <w:rPr>
          <w:rFonts w:asciiTheme="minorHAnsi" w:hAnsiTheme="minorHAnsi" w:cstheme="minorHAnsi"/>
          <w:color w:val="000000"/>
          <w:sz w:val="26"/>
          <w:szCs w:val="26"/>
        </w:rPr>
        <w:t xml:space="preserve"> attorney instructed Absa Bank to withdraw the overdraft facilities in respect of accounts 1 and 2. </w:t>
      </w:r>
      <w:r>
        <w:rPr>
          <w:rFonts w:asciiTheme="minorHAnsi" w:hAnsiTheme="minorHAnsi" w:cstheme="minorHAnsi"/>
          <w:color w:val="000000"/>
          <w:sz w:val="26"/>
          <w:szCs w:val="26"/>
        </w:rPr>
        <w:t>In his replying affidavit he referred to Scholtz’s letter of 4 December 2019</w:t>
      </w:r>
      <w:r w:rsidR="00FE0BED">
        <w:rPr>
          <w:rFonts w:asciiTheme="minorHAnsi" w:hAnsiTheme="minorHAnsi" w:cstheme="minorHAnsi"/>
          <w:color w:val="000000"/>
          <w:sz w:val="26"/>
          <w:szCs w:val="26"/>
        </w:rPr>
        <w:t>,</w:t>
      </w:r>
      <w:r>
        <w:rPr>
          <w:rFonts w:asciiTheme="minorHAnsi" w:hAnsiTheme="minorHAnsi" w:cstheme="minorHAnsi"/>
          <w:color w:val="000000"/>
          <w:sz w:val="26"/>
          <w:szCs w:val="26"/>
        </w:rPr>
        <w:t xml:space="preserve"> in which Botha informed the bank that he did not consent to </w:t>
      </w:r>
      <w:r w:rsidR="00B67FA8">
        <w:rPr>
          <w:rFonts w:asciiTheme="minorHAnsi" w:hAnsiTheme="minorHAnsi" w:cstheme="minorHAnsi"/>
          <w:color w:val="000000"/>
          <w:sz w:val="26"/>
          <w:szCs w:val="26"/>
        </w:rPr>
        <w:t xml:space="preserve">the grant of overdraft facilities or loans </w:t>
      </w:r>
      <w:r w:rsidR="00FE0BED">
        <w:rPr>
          <w:rFonts w:asciiTheme="minorHAnsi" w:hAnsiTheme="minorHAnsi" w:cstheme="minorHAnsi"/>
          <w:color w:val="000000"/>
          <w:sz w:val="26"/>
          <w:szCs w:val="26"/>
        </w:rPr>
        <w:t>whereby</w:t>
      </w:r>
      <w:r w:rsidR="00B67FA8">
        <w:rPr>
          <w:rFonts w:asciiTheme="minorHAnsi" w:hAnsiTheme="minorHAnsi" w:cstheme="minorHAnsi"/>
          <w:color w:val="000000"/>
          <w:sz w:val="26"/>
          <w:szCs w:val="26"/>
        </w:rPr>
        <w:t xml:space="preserve"> the </w:t>
      </w:r>
      <w:r w:rsidR="00B67FA8" w:rsidRPr="00B67FA8">
        <w:rPr>
          <w:rFonts w:asciiTheme="minorHAnsi" w:hAnsiTheme="minorHAnsi" w:cstheme="minorHAnsi"/>
          <w:color w:val="000000"/>
          <w:sz w:val="26"/>
          <w:szCs w:val="26"/>
        </w:rPr>
        <w:t xml:space="preserve">moveable property of the </w:t>
      </w:r>
      <w:r w:rsidR="00B67FA8" w:rsidRPr="00B67FA8">
        <w:rPr>
          <w:rFonts w:asciiTheme="minorHAnsi" w:hAnsiTheme="minorHAnsi" w:cstheme="minorHAnsi"/>
          <w:color w:val="000000"/>
          <w:sz w:val="26"/>
          <w:szCs w:val="26"/>
        </w:rPr>
        <w:lastRenderedPageBreak/>
        <w:t xml:space="preserve">practices </w:t>
      </w:r>
      <w:r w:rsidR="00FE0BED">
        <w:rPr>
          <w:rFonts w:asciiTheme="minorHAnsi" w:hAnsiTheme="minorHAnsi" w:cstheme="minorHAnsi"/>
          <w:color w:val="000000"/>
          <w:sz w:val="26"/>
          <w:szCs w:val="26"/>
        </w:rPr>
        <w:t>would be</w:t>
      </w:r>
      <w:r w:rsidR="00B67FA8" w:rsidRPr="00B67FA8">
        <w:rPr>
          <w:rFonts w:asciiTheme="minorHAnsi" w:hAnsiTheme="minorHAnsi" w:cstheme="minorHAnsi"/>
          <w:color w:val="000000"/>
          <w:sz w:val="26"/>
          <w:szCs w:val="26"/>
        </w:rPr>
        <w:t xml:space="preserve"> used as security to cover any overdraft facilities in respect of the practices</w:t>
      </w:r>
      <w:r w:rsidR="00B67FA8">
        <w:rPr>
          <w:i/>
          <w:color w:val="000000"/>
        </w:rPr>
        <w:t>.</w:t>
      </w:r>
      <w:r w:rsidR="00B67FA8">
        <w:rPr>
          <w:rFonts w:asciiTheme="minorHAnsi" w:hAnsiTheme="minorHAnsi" w:cstheme="minorHAnsi"/>
          <w:color w:val="000000"/>
          <w:sz w:val="26"/>
          <w:szCs w:val="26"/>
        </w:rPr>
        <w:t xml:space="preserve"> </w:t>
      </w:r>
    </w:p>
    <w:p w:rsidR="007C677C" w:rsidRDefault="007C677C" w:rsidP="007C677C">
      <w:pPr>
        <w:pStyle w:val="ListParagraph"/>
        <w:rPr>
          <w:rFonts w:asciiTheme="minorHAnsi" w:hAnsiTheme="minorHAnsi" w:cstheme="minorHAnsi"/>
          <w:sz w:val="26"/>
          <w:szCs w:val="26"/>
        </w:rPr>
      </w:pPr>
    </w:p>
    <w:p w:rsidR="000031FF" w:rsidRDefault="007C677C"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Jurgens contends that the withdrawal </w:t>
      </w:r>
      <w:r w:rsidR="00D94020">
        <w:rPr>
          <w:rFonts w:asciiTheme="minorHAnsi" w:hAnsiTheme="minorHAnsi" w:cstheme="minorHAnsi"/>
          <w:sz w:val="26"/>
          <w:szCs w:val="26"/>
        </w:rPr>
        <w:t xml:space="preserve">by Botha </w:t>
      </w:r>
      <w:r>
        <w:rPr>
          <w:rFonts w:asciiTheme="minorHAnsi" w:hAnsiTheme="minorHAnsi" w:cstheme="minorHAnsi"/>
          <w:sz w:val="26"/>
          <w:szCs w:val="26"/>
        </w:rPr>
        <w:t>of the surety</w:t>
      </w:r>
      <w:r w:rsidR="00BD55A7">
        <w:rPr>
          <w:rFonts w:asciiTheme="minorHAnsi" w:hAnsiTheme="minorHAnsi" w:cstheme="minorHAnsi"/>
          <w:sz w:val="26"/>
          <w:szCs w:val="26"/>
        </w:rPr>
        <w:t>s</w:t>
      </w:r>
      <w:r>
        <w:rPr>
          <w:rFonts w:asciiTheme="minorHAnsi" w:hAnsiTheme="minorHAnsi" w:cstheme="minorHAnsi"/>
          <w:sz w:val="26"/>
          <w:szCs w:val="26"/>
        </w:rPr>
        <w:t xml:space="preserve">hip </w:t>
      </w:r>
      <w:r w:rsidR="00D94020">
        <w:rPr>
          <w:rFonts w:asciiTheme="minorHAnsi" w:hAnsiTheme="minorHAnsi" w:cstheme="minorHAnsi"/>
          <w:sz w:val="26"/>
          <w:szCs w:val="26"/>
        </w:rPr>
        <w:t xml:space="preserve">and his instruction to the bank to terminate the overdraft facilities on the accounts of the second and third applicants </w:t>
      </w:r>
      <w:r>
        <w:rPr>
          <w:rFonts w:asciiTheme="minorHAnsi" w:hAnsiTheme="minorHAnsi" w:cstheme="minorHAnsi"/>
          <w:sz w:val="26"/>
          <w:szCs w:val="26"/>
        </w:rPr>
        <w:t xml:space="preserve">amounts to </w:t>
      </w:r>
      <w:r w:rsidR="00CE5974">
        <w:rPr>
          <w:rFonts w:asciiTheme="minorHAnsi" w:hAnsiTheme="minorHAnsi" w:cstheme="minorHAnsi"/>
          <w:sz w:val="26"/>
          <w:szCs w:val="26"/>
        </w:rPr>
        <w:t xml:space="preserve">the </w:t>
      </w:r>
      <w:r w:rsidR="00CE5974" w:rsidRPr="00F0410B">
        <w:rPr>
          <w:rFonts w:asciiTheme="minorHAnsi" w:hAnsiTheme="minorHAnsi" w:cstheme="minorHAnsi"/>
          <w:i/>
          <w:sz w:val="26"/>
          <w:szCs w:val="26"/>
        </w:rPr>
        <w:t>conduct</w:t>
      </w:r>
      <w:r w:rsidR="00CE5974">
        <w:rPr>
          <w:rFonts w:asciiTheme="minorHAnsi" w:hAnsiTheme="minorHAnsi" w:cstheme="minorHAnsi"/>
          <w:sz w:val="26"/>
          <w:szCs w:val="26"/>
        </w:rPr>
        <w:t xml:space="preserve"> </w:t>
      </w:r>
      <w:r w:rsidR="000031FF">
        <w:rPr>
          <w:rFonts w:asciiTheme="minorHAnsi" w:hAnsiTheme="minorHAnsi" w:cstheme="minorHAnsi"/>
          <w:sz w:val="26"/>
          <w:szCs w:val="26"/>
        </w:rPr>
        <w:t xml:space="preserve">by him </w:t>
      </w:r>
      <w:r w:rsidR="00CE5974">
        <w:rPr>
          <w:rFonts w:asciiTheme="minorHAnsi" w:hAnsiTheme="minorHAnsi" w:cstheme="minorHAnsi"/>
          <w:sz w:val="26"/>
          <w:szCs w:val="26"/>
        </w:rPr>
        <w:t xml:space="preserve">of </w:t>
      </w:r>
      <w:r>
        <w:rPr>
          <w:rFonts w:asciiTheme="minorHAnsi" w:hAnsiTheme="minorHAnsi" w:cstheme="minorHAnsi"/>
          <w:sz w:val="26"/>
          <w:szCs w:val="26"/>
        </w:rPr>
        <w:t xml:space="preserve">a </w:t>
      </w:r>
      <w:r w:rsidRPr="00F0410B">
        <w:rPr>
          <w:rFonts w:asciiTheme="minorHAnsi" w:hAnsiTheme="minorHAnsi" w:cstheme="minorHAnsi"/>
          <w:i/>
          <w:sz w:val="26"/>
          <w:szCs w:val="26"/>
        </w:rPr>
        <w:t>banking or financial transaction</w:t>
      </w:r>
      <w:r>
        <w:rPr>
          <w:rFonts w:asciiTheme="minorHAnsi" w:hAnsiTheme="minorHAnsi" w:cstheme="minorHAnsi"/>
          <w:sz w:val="26"/>
          <w:szCs w:val="26"/>
        </w:rPr>
        <w:t xml:space="preserve"> that is prohibited by paragraph 1 of the order.</w:t>
      </w:r>
      <w:r w:rsidR="00A13A9D">
        <w:rPr>
          <w:rFonts w:asciiTheme="minorHAnsi" w:hAnsiTheme="minorHAnsi" w:cstheme="minorHAnsi"/>
          <w:sz w:val="26"/>
          <w:szCs w:val="26"/>
        </w:rPr>
        <w:t xml:space="preserve"> In this regard, </w:t>
      </w:r>
      <w:r w:rsidR="00BD55A7">
        <w:rPr>
          <w:rFonts w:asciiTheme="minorHAnsi" w:hAnsiTheme="minorHAnsi" w:cstheme="minorHAnsi"/>
          <w:sz w:val="26"/>
          <w:szCs w:val="26"/>
        </w:rPr>
        <w:t>he relies on a literal interpretation based on dictionary meanings of the words</w:t>
      </w:r>
      <w:r w:rsidR="000031FF">
        <w:rPr>
          <w:rFonts w:asciiTheme="minorHAnsi" w:hAnsiTheme="minorHAnsi" w:cstheme="minorHAnsi"/>
          <w:sz w:val="26"/>
          <w:szCs w:val="26"/>
        </w:rPr>
        <w:t xml:space="preserve"> ‘conduct’,</w:t>
      </w:r>
      <w:r w:rsidR="00BD55A7">
        <w:rPr>
          <w:rFonts w:asciiTheme="minorHAnsi" w:hAnsiTheme="minorHAnsi" w:cstheme="minorHAnsi"/>
          <w:sz w:val="26"/>
          <w:szCs w:val="26"/>
        </w:rPr>
        <w:t xml:space="preserve"> ‘financial’ and ‘transaction’ to support the construction </w:t>
      </w:r>
      <w:r w:rsidR="00CE5974">
        <w:rPr>
          <w:rFonts w:asciiTheme="minorHAnsi" w:hAnsiTheme="minorHAnsi" w:cstheme="minorHAnsi"/>
          <w:sz w:val="26"/>
          <w:szCs w:val="26"/>
        </w:rPr>
        <w:t xml:space="preserve">contended for by him. </w:t>
      </w:r>
      <w:r w:rsidR="000031FF">
        <w:rPr>
          <w:rFonts w:asciiTheme="minorHAnsi" w:hAnsiTheme="minorHAnsi" w:cstheme="minorHAnsi"/>
          <w:sz w:val="26"/>
          <w:szCs w:val="26"/>
        </w:rPr>
        <w:t>He argues that the effect of Botha’s withdrawal of his suretyship, namely, that the overdraft facilities would be and in fact were terminated by the bank, a consequence which was in the contemplation of Botha, coupled with his further action in instructing the bank to cancel the overdraft facilities on the bank accounts of the companies or not to allow the companies to have overdraft facilities in future, amounted to the conduct of a financial or banking transaction as envisaged in paragraph 1 of the order. Jurgens averred that Botha’s actions aforesaid were malicious and mala fide, in that the termination of overdraft facilities seriously curtailed the freedom to obtain a loan from the bank and disenabled the companies from conducting business for which a loan or a loan facility would be req</w:t>
      </w:r>
      <w:r w:rsidR="00F0410B">
        <w:rPr>
          <w:rFonts w:asciiTheme="minorHAnsi" w:hAnsiTheme="minorHAnsi" w:cstheme="minorHAnsi"/>
          <w:sz w:val="26"/>
          <w:szCs w:val="26"/>
        </w:rPr>
        <w:t>uired.</w:t>
      </w:r>
    </w:p>
    <w:p w:rsidR="00F0410B" w:rsidRDefault="00F0410B" w:rsidP="00F0410B">
      <w:pPr>
        <w:pStyle w:val="ListParagraph"/>
        <w:rPr>
          <w:rFonts w:asciiTheme="minorHAnsi" w:hAnsiTheme="minorHAnsi" w:cstheme="minorHAnsi"/>
          <w:sz w:val="26"/>
          <w:szCs w:val="26"/>
        </w:rPr>
      </w:pPr>
    </w:p>
    <w:p w:rsidR="00F0410B" w:rsidRPr="005E29F1" w:rsidRDefault="00F0410B" w:rsidP="00F0410B">
      <w:pPr>
        <w:pStyle w:val="ListParagraph"/>
        <w:numPr>
          <w:ilvl w:val="0"/>
          <w:numId w:val="3"/>
        </w:numPr>
        <w:spacing w:after="200" w:line="360" w:lineRule="auto"/>
        <w:jc w:val="both"/>
        <w:rPr>
          <w:rFonts w:asciiTheme="minorHAnsi" w:hAnsiTheme="minorHAnsi" w:cstheme="minorHAnsi"/>
          <w:color w:val="333333"/>
          <w:sz w:val="26"/>
          <w:szCs w:val="26"/>
          <w:shd w:val="clear" w:color="auto" w:fill="FFFFFF"/>
        </w:rPr>
      </w:pPr>
      <w:r w:rsidRPr="005E29F1">
        <w:rPr>
          <w:rFonts w:asciiTheme="minorHAnsi" w:hAnsiTheme="minorHAnsi" w:cstheme="minorHAnsi"/>
          <w:sz w:val="26"/>
          <w:szCs w:val="26"/>
        </w:rPr>
        <w:t xml:space="preserve">Dictionary </w:t>
      </w:r>
      <w:r w:rsidR="00145B3C">
        <w:rPr>
          <w:rFonts w:asciiTheme="minorHAnsi" w:hAnsiTheme="minorHAnsi" w:cstheme="minorHAnsi"/>
          <w:sz w:val="26"/>
          <w:szCs w:val="26"/>
        </w:rPr>
        <w:t>definitions</w:t>
      </w:r>
      <w:r w:rsidRPr="005E29F1">
        <w:rPr>
          <w:rFonts w:asciiTheme="minorHAnsi" w:hAnsiTheme="minorHAnsi" w:cstheme="minorHAnsi"/>
          <w:sz w:val="26"/>
          <w:szCs w:val="26"/>
        </w:rPr>
        <w:t xml:space="preserve"> of the word</w:t>
      </w:r>
      <w:r>
        <w:rPr>
          <w:rFonts w:asciiTheme="minorHAnsi" w:hAnsiTheme="minorHAnsi" w:cstheme="minorHAnsi"/>
          <w:sz w:val="26"/>
          <w:szCs w:val="26"/>
        </w:rPr>
        <w:t xml:space="preserve"> ‘</w:t>
      </w:r>
      <w:r w:rsidRPr="00FE0BED">
        <w:rPr>
          <w:rFonts w:asciiTheme="minorHAnsi" w:hAnsiTheme="minorHAnsi" w:cstheme="minorHAnsi"/>
          <w:i/>
          <w:sz w:val="26"/>
          <w:szCs w:val="26"/>
        </w:rPr>
        <w:t>conduct</w:t>
      </w:r>
      <w:r>
        <w:rPr>
          <w:rFonts w:asciiTheme="minorHAnsi" w:hAnsiTheme="minorHAnsi" w:cstheme="minorHAnsi"/>
          <w:sz w:val="26"/>
          <w:szCs w:val="26"/>
        </w:rPr>
        <w:t>’ or</w:t>
      </w:r>
      <w:r>
        <w:rPr>
          <w:rFonts w:cstheme="minorHAnsi"/>
          <w:sz w:val="26"/>
          <w:szCs w:val="26"/>
        </w:rPr>
        <w:t xml:space="preserve"> </w:t>
      </w:r>
      <w:r w:rsidRPr="005E29F1">
        <w:rPr>
          <w:rFonts w:asciiTheme="minorHAnsi" w:hAnsiTheme="minorHAnsi" w:cstheme="minorHAnsi"/>
          <w:sz w:val="26"/>
          <w:szCs w:val="26"/>
        </w:rPr>
        <w:t>‘</w:t>
      </w:r>
      <w:r w:rsidRPr="00FE0BED">
        <w:rPr>
          <w:rFonts w:cstheme="minorHAnsi"/>
          <w:i/>
          <w:sz w:val="26"/>
          <w:szCs w:val="26"/>
        </w:rPr>
        <w:t>c</w:t>
      </w:r>
      <w:r w:rsidRPr="00FE0BED">
        <w:rPr>
          <w:rFonts w:asciiTheme="minorHAnsi" w:hAnsiTheme="minorHAnsi" w:cstheme="minorHAnsi"/>
          <w:i/>
          <w:sz w:val="26"/>
          <w:szCs w:val="26"/>
        </w:rPr>
        <w:t>onducting</w:t>
      </w:r>
      <w:r w:rsidRPr="005E29F1">
        <w:rPr>
          <w:rFonts w:asciiTheme="minorHAnsi" w:hAnsiTheme="minorHAnsi" w:cstheme="minorHAnsi"/>
          <w:sz w:val="26"/>
          <w:szCs w:val="26"/>
        </w:rPr>
        <w:t>’ include</w:t>
      </w:r>
      <w:r>
        <w:rPr>
          <w:rFonts w:asciiTheme="minorHAnsi" w:hAnsiTheme="minorHAnsi" w:cstheme="minorHAnsi"/>
          <w:sz w:val="26"/>
          <w:szCs w:val="26"/>
        </w:rPr>
        <w:t>, inter alia,</w:t>
      </w:r>
      <w:r w:rsidRPr="005E29F1">
        <w:rPr>
          <w:rFonts w:asciiTheme="minorHAnsi" w:hAnsiTheme="minorHAnsi" w:cstheme="minorHAnsi"/>
          <w:sz w:val="26"/>
          <w:szCs w:val="26"/>
        </w:rPr>
        <w:t xml:space="preserve"> a person’s consent</w:t>
      </w:r>
      <w:r>
        <w:rPr>
          <w:rFonts w:asciiTheme="minorHAnsi" w:hAnsiTheme="minorHAnsi" w:cstheme="minorHAnsi"/>
          <w:color w:val="333333"/>
          <w:sz w:val="26"/>
          <w:szCs w:val="26"/>
          <w:shd w:val="clear" w:color="auto" w:fill="FFFFFF"/>
        </w:rPr>
        <w:t xml:space="preserve"> </w:t>
      </w:r>
      <w:r w:rsidRPr="00F0410B">
        <w:rPr>
          <w:rFonts w:asciiTheme="minorHAnsi" w:hAnsiTheme="minorHAnsi" w:cstheme="minorHAnsi"/>
          <w:sz w:val="26"/>
          <w:szCs w:val="26"/>
          <w:shd w:val="clear" w:color="auto" w:fill="FFFFFF"/>
        </w:rPr>
        <w:t xml:space="preserve">to and performance of a transaction; </w:t>
      </w:r>
      <w:hyperlink r:id="rId9" w:history="1">
        <w:r w:rsidRPr="00F0410B">
          <w:rPr>
            <w:rStyle w:val="Hyperlink"/>
            <w:rFonts w:asciiTheme="minorHAnsi" w:hAnsiTheme="minorHAnsi" w:cstheme="minorHAnsi"/>
            <w:bCs/>
            <w:i/>
            <w:color w:val="auto"/>
            <w:sz w:val="26"/>
            <w:szCs w:val="26"/>
            <w:u w:val="none"/>
            <w:shd w:val="clear" w:color="auto" w:fill="FFFFFF"/>
          </w:rPr>
          <w:t>Conducting</w:t>
        </w:r>
      </w:hyperlink>
      <w:r w:rsidRPr="00F0410B">
        <w:rPr>
          <w:rStyle w:val="Strong"/>
          <w:rFonts w:asciiTheme="minorHAnsi" w:eastAsiaTheme="majorEastAsia" w:hAnsiTheme="minorHAnsi" w:cstheme="minorHAnsi"/>
          <w:i/>
          <w:sz w:val="26"/>
          <w:szCs w:val="26"/>
          <w:shd w:val="clear" w:color="auto" w:fill="FFFFFF"/>
        </w:rPr>
        <w:t xml:space="preserve"> </w:t>
      </w:r>
      <w:r w:rsidRPr="00F0410B">
        <w:rPr>
          <w:rFonts w:asciiTheme="minorHAnsi" w:hAnsiTheme="minorHAnsi" w:cstheme="minorHAnsi"/>
          <w:sz w:val="26"/>
          <w:szCs w:val="26"/>
          <w:shd w:val="clear" w:color="auto" w:fill="FFFFFF"/>
        </w:rPr>
        <w:t>in relation to a business</w:t>
      </w:r>
      <w:r w:rsidRPr="00F0410B">
        <w:rPr>
          <w:rFonts w:cstheme="minorHAnsi"/>
          <w:sz w:val="26"/>
          <w:szCs w:val="26"/>
          <w:shd w:val="clear" w:color="auto" w:fill="FFFFFF"/>
        </w:rPr>
        <w:t>,</w:t>
      </w:r>
      <w:r w:rsidRPr="00F0410B">
        <w:rPr>
          <w:rFonts w:asciiTheme="minorHAnsi" w:hAnsiTheme="minorHAnsi" w:cstheme="minorHAnsi"/>
          <w:sz w:val="26"/>
          <w:szCs w:val="26"/>
          <w:shd w:val="clear" w:color="auto" w:fill="FFFFFF"/>
        </w:rPr>
        <w:t xml:space="preserve"> means operating</w:t>
      </w:r>
      <w:r w:rsidRPr="005A1EF6">
        <w:rPr>
          <w:rFonts w:asciiTheme="minorHAnsi" w:hAnsiTheme="minorHAnsi" w:cstheme="minorHAnsi"/>
          <w:sz w:val="26"/>
          <w:szCs w:val="26"/>
          <w:shd w:val="clear" w:color="auto" w:fill="FFFFFF"/>
        </w:rPr>
        <w:t>, carrying on, engaging in, doing or pursuing a business transaction</w:t>
      </w:r>
      <w:r>
        <w:rPr>
          <w:rFonts w:asciiTheme="minorHAnsi" w:hAnsiTheme="minorHAnsi" w:cstheme="minorHAnsi"/>
          <w:color w:val="333333"/>
          <w:sz w:val="26"/>
          <w:szCs w:val="26"/>
          <w:shd w:val="clear" w:color="auto" w:fill="FFFFFF"/>
        </w:rPr>
        <w:t>.</w:t>
      </w:r>
      <w:r w:rsidRPr="005E29F1">
        <w:rPr>
          <w:rStyle w:val="FootnoteReference"/>
          <w:rFonts w:asciiTheme="minorHAnsi" w:hAnsiTheme="minorHAnsi" w:cstheme="minorHAnsi"/>
          <w:color w:val="333333"/>
          <w:sz w:val="26"/>
          <w:szCs w:val="26"/>
          <w:shd w:val="clear" w:color="auto" w:fill="FFFFFF"/>
        </w:rPr>
        <w:footnoteReference w:id="16"/>
      </w:r>
      <w:r w:rsidRPr="005E29F1">
        <w:rPr>
          <w:rFonts w:asciiTheme="minorHAnsi" w:hAnsiTheme="minorHAnsi" w:cstheme="minorHAnsi"/>
          <w:color w:val="333333"/>
          <w:sz w:val="26"/>
          <w:szCs w:val="26"/>
          <w:shd w:val="clear" w:color="auto" w:fill="FFFFFF"/>
        </w:rPr>
        <w:t xml:space="preserve"> </w:t>
      </w:r>
      <w:r w:rsidRPr="005E29F1">
        <w:rPr>
          <w:rFonts w:asciiTheme="minorHAnsi" w:hAnsiTheme="minorHAnsi" w:cstheme="minorHAnsi"/>
          <w:sz w:val="26"/>
          <w:szCs w:val="26"/>
        </w:rPr>
        <w:t>Definitions of the word ‘</w:t>
      </w:r>
      <w:r w:rsidRPr="00FE0BED">
        <w:rPr>
          <w:rFonts w:asciiTheme="minorHAnsi" w:hAnsiTheme="minorHAnsi" w:cstheme="minorHAnsi"/>
          <w:i/>
          <w:sz w:val="26"/>
          <w:szCs w:val="26"/>
        </w:rPr>
        <w:t>conduct</w:t>
      </w:r>
      <w:r w:rsidRPr="005E29F1">
        <w:rPr>
          <w:rFonts w:asciiTheme="minorHAnsi" w:hAnsiTheme="minorHAnsi" w:cstheme="minorHAnsi"/>
          <w:sz w:val="26"/>
          <w:szCs w:val="26"/>
        </w:rPr>
        <w:t xml:space="preserve">’ from </w:t>
      </w:r>
      <w:r>
        <w:rPr>
          <w:rFonts w:cstheme="minorHAnsi"/>
          <w:sz w:val="26"/>
          <w:szCs w:val="26"/>
        </w:rPr>
        <w:t xml:space="preserve">the </w:t>
      </w:r>
      <w:r w:rsidRPr="005E29F1">
        <w:rPr>
          <w:rFonts w:asciiTheme="minorHAnsi" w:hAnsiTheme="minorHAnsi" w:cstheme="minorHAnsi"/>
          <w:sz w:val="26"/>
          <w:szCs w:val="26"/>
        </w:rPr>
        <w:t xml:space="preserve">Oxford </w:t>
      </w:r>
      <w:r w:rsidRPr="005E29F1">
        <w:rPr>
          <w:rFonts w:asciiTheme="minorHAnsi" w:hAnsiTheme="minorHAnsi" w:cstheme="minorHAnsi"/>
          <w:sz w:val="26"/>
          <w:szCs w:val="26"/>
        </w:rPr>
        <w:lastRenderedPageBreak/>
        <w:t>languages,</w:t>
      </w:r>
      <w:r w:rsidRPr="005E29F1">
        <w:rPr>
          <w:rStyle w:val="FootnoteReference"/>
          <w:rFonts w:asciiTheme="minorHAnsi" w:hAnsiTheme="minorHAnsi" w:cstheme="minorHAnsi"/>
          <w:sz w:val="26"/>
          <w:szCs w:val="26"/>
        </w:rPr>
        <w:footnoteReference w:id="17"/>
      </w:r>
      <w:r w:rsidRPr="005E29F1">
        <w:rPr>
          <w:rFonts w:asciiTheme="minorHAnsi" w:hAnsiTheme="minorHAnsi" w:cstheme="minorHAnsi"/>
          <w:sz w:val="26"/>
          <w:szCs w:val="26"/>
        </w:rPr>
        <w:t xml:space="preserve"> include, </w:t>
      </w:r>
      <w:r w:rsidRPr="005E29F1">
        <w:rPr>
          <w:rFonts w:asciiTheme="minorHAnsi" w:hAnsiTheme="minorHAnsi" w:cstheme="minorHAnsi"/>
          <w:i/>
          <w:sz w:val="26"/>
          <w:szCs w:val="26"/>
        </w:rPr>
        <w:t>inter alia</w:t>
      </w:r>
      <w:r w:rsidRPr="005E29F1">
        <w:rPr>
          <w:rFonts w:asciiTheme="minorHAnsi" w:hAnsiTheme="minorHAnsi" w:cstheme="minorHAnsi"/>
          <w:sz w:val="26"/>
          <w:szCs w:val="26"/>
        </w:rPr>
        <w:t>:</w:t>
      </w:r>
      <w:r w:rsidRPr="00F0410B">
        <w:rPr>
          <w:rFonts w:asciiTheme="minorHAnsi" w:hAnsiTheme="minorHAnsi" w:cstheme="minorHAnsi"/>
          <w:color w:val="202124"/>
          <w:sz w:val="26"/>
          <w:szCs w:val="26"/>
          <w:shd w:val="clear" w:color="auto" w:fill="FFFFFF"/>
        </w:rPr>
        <w:t xml:space="preserve"> </w:t>
      </w:r>
      <w:r w:rsidRPr="00F0410B">
        <w:rPr>
          <w:rFonts w:asciiTheme="minorHAnsi" w:hAnsiTheme="minorHAnsi" w:cstheme="minorHAnsi"/>
          <w:sz w:val="26"/>
          <w:szCs w:val="26"/>
          <w:shd w:val="clear" w:color="auto" w:fill="FFFFFF"/>
        </w:rPr>
        <w:t>‘To organize and carry out, manage or direct,</w:t>
      </w:r>
      <w:r w:rsidRPr="00F0410B">
        <w:rPr>
          <w:rFonts w:cstheme="minorHAnsi"/>
          <w:sz w:val="26"/>
          <w:szCs w:val="26"/>
          <w:shd w:val="clear" w:color="auto" w:fill="FFFFFF"/>
        </w:rPr>
        <w:t xml:space="preserve"> </w:t>
      </w:r>
      <w:r w:rsidRPr="00F0410B">
        <w:rPr>
          <w:rFonts w:asciiTheme="minorHAnsi" w:hAnsiTheme="minorHAnsi" w:cstheme="minorHAnsi"/>
          <w:sz w:val="26"/>
          <w:szCs w:val="26"/>
          <w:shd w:val="clear" w:color="auto" w:fill="FFFFFF"/>
        </w:rPr>
        <w:t>or be in control of’</w:t>
      </w:r>
      <w:r>
        <w:rPr>
          <w:rFonts w:asciiTheme="minorHAnsi" w:hAnsiTheme="minorHAnsi" w:cstheme="minorHAnsi"/>
          <w:sz w:val="26"/>
          <w:szCs w:val="26"/>
          <w:shd w:val="clear" w:color="auto" w:fill="FFFFFF"/>
        </w:rPr>
        <w:t>.</w:t>
      </w:r>
    </w:p>
    <w:p w:rsidR="000031FF" w:rsidRDefault="000031FF" w:rsidP="000031FF">
      <w:pPr>
        <w:pStyle w:val="ListParagraph"/>
        <w:rPr>
          <w:rFonts w:asciiTheme="minorHAnsi" w:hAnsiTheme="minorHAnsi" w:cstheme="minorHAnsi"/>
          <w:sz w:val="26"/>
          <w:szCs w:val="26"/>
        </w:rPr>
      </w:pPr>
    </w:p>
    <w:p w:rsidR="00F0410B" w:rsidRPr="00145B3C" w:rsidRDefault="00F0410B" w:rsidP="00F0410B">
      <w:pPr>
        <w:pStyle w:val="ListParagraph"/>
        <w:numPr>
          <w:ilvl w:val="0"/>
          <w:numId w:val="3"/>
        </w:numPr>
        <w:spacing w:after="200" w:line="360" w:lineRule="auto"/>
        <w:jc w:val="both"/>
        <w:rPr>
          <w:rFonts w:asciiTheme="minorHAnsi" w:hAnsiTheme="minorHAnsi" w:cstheme="minorHAnsi"/>
          <w:sz w:val="26"/>
          <w:szCs w:val="26"/>
        </w:rPr>
      </w:pPr>
      <w:r w:rsidRPr="005E29F1">
        <w:rPr>
          <w:rFonts w:asciiTheme="minorHAnsi" w:hAnsiTheme="minorHAnsi" w:cstheme="minorHAnsi"/>
          <w:sz w:val="26"/>
          <w:szCs w:val="26"/>
        </w:rPr>
        <w:t xml:space="preserve">Dictionary </w:t>
      </w:r>
      <w:r w:rsidR="00145B3C">
        <w:rPr>
          <w:rFonts w:asciiTheme="minorHAnsi" w:hAnsiTheme="minorHAnsi" w:cstheme="minorHAnsi"/>
          <w:sz w:val="26"/>
          <w:szCs w:val="26"/>
        </w:rPr>
        <w:t>definitions</w:t>
      </w:r>
      <w:r w:rsidRPr="005E29F1">
        <w:rPr>
          <w:rFonts w:asciiTheme="minorHAnsi" w:hAnsiTheme="minorHAnsi" w:cstheme="minorHAnsi"/>
          <w:sz w:val="26"/>
          <w:szCs w:val="26"/>
        </w:rPr>
        <w:t xml:space="preserve"> of the word</w:t>
      </w:r>
      <w:r>
        <w:rPr>
          <w:rFonts w:asciiTheme="minorHAnsi" w:hAnsiTheme="minorHAnsi" w:cstheme="minorHAnsi"/>
          <w:sz w:val="26"/>
          <w:szCs w:val="26"/>
        </w:rPr>
        <w:t xml:space="preserve"> ‘</w:t>
      </w:r>
      <w:r w:rsidRPr="00FE0BED">
        <w:rPr>
          <w:rFonts w:asciiTheme="minorHAnsi" w:hAnsiTheme="minorHAnsi" w:cstheme="minorHAnsi"/>
          <w:i/>
          <w:sz w:val="26"/>
          <w:szCs w:val="26"/>
        </w:rPr>
        <w:t>transaction</w:t>
      </w:r>
      <w:r>
        <w:rPr>
          <w:rFonts w:asciiTheme="minorHAnsi" w:hAnsiTheme="minorHAnsi" w:cstheme="minorHAnsi"/>
          <w:sz w:val="26"/>
          <w:szCs w:val="26"/>
        </w:rPr>
        <w:t xml:space="preserve">’ </w:t>
      </w:r>
      <w:r w:rsidRPr="005E29F1">
        <w:rPr>
          <w:rFonts w:asciiTheme="minorHAnsi" w:hAnsiTheme="minorHAnsi" w:cstheme="minorHAnsi"/>
          <w:sz w:val="26"/>
          <w:szCs w:val="26"/>
        </w:rPr>
        <w:t>include</w:t>
      </w:r>
      <w:r>
        <w:rPr>
          <w:rFonts w:asciiTheme="minorHAnsi" w:hAnsiTheme="minorHAnsi" w:cstheme="minorHAnsi"/>
          <w:sz w:val="26"/>
          <w:szCs w:val="26"/>
        </w:rPr>
        <w:t xml:space="preserve">, </w:t>
      </w:r>
      <w:r w:rsidRPr="00FE0BED">
        <w:rPr>
          <w:rFonts w:asciiTheme="minorHAnsi" w:hAnsiTheme="minorHAnsi" w:cstheme="minorHAnsi"/>
          <w:i/>
          <w:sz w:val="26"/>
          <w:szCs w:val="26"/>
        </w:rPr>
        <w:t>inter alia</w:t>
      </w:r>
      <w:r w:rsidRPr="00145B3C">
        <w:rPr>
          <w:rFonts w:asciiTheme="minorHAnsi" w:hAnsiTheme="minorHAnsi" w:cstheme="minorHAnsi"/>
          <w:sz w:val="26"/>
          <w:szCs w:val="26"/>
        </w:rPr>
        <w:t xml:space="preserve">, </w:t>
      </w:r>
      <w:r w:rsidR="00145B3C" w:rsidRPr="00145B3C">
        <w:rPr>
          <w:rFonts w:asciiTheme="minorHAnsi" w:hAnsiTheme="minorHAnsi" w:cstheme="minorHAnsi"/>
          <w:sz w:val="26"/>
          <w:szCs w:val="26"/>
          <w:shd w:val="clear" w:color="auto" w:fill="FFFFFF"/>
        </w:rPr>
        <w:t>‘</w:t>
      </w:r>
      <w:r w:rsidR="00145B3C" w:rsidRPr="00145B3C">
        <w:rPr>
          <w:rFonts w:asciiTheme="minorHAnsi" w:hAnsiTheme="minorHAnsi" w:cstheme="minorHAnsi"/>
          <w:spacing w:val="3"/>
          <w:sz w:val="26"/>
          <w:szCs w:val="26"/>
          <w:bdr w:val="none" w:sz="0" w:space="0" w:color="auto" w:frame="1"/>
          <w:lang w:eastAsia="en-ZA"/>
        </w:rPr>
        <w:t>a communicative action or activity involving two parties or things that reciprocally affect or influence each other’;</w:t>
      </w:r>
      <w:r w:rsidR="00145B3C" w:rsidRPr="00145B3C">
        <w:rPr>
          <w:rStyle w:val="FootnoteReference"/>
          <w:rFonts w:asciiTheme="minorHAnsi" w:hAnsiTheme="minorHAnsi" w:cstheme="minorHAnsi"/>
          <w:spacing w:val="3"/>
          <w:sz w:val="26"/>
          <w:szCs w:val="26"/>
          <w:bdr w:val="none" w:sz="0" w:space="0" w:color="auto" w:frame="1"/>
          <w:lang w:eastAsia="en-ZA"/>
        </w:rPr>
        <w:footnoteReference w:id="18"/>
      </w:r>
      <w:r w:rsidR="00145B3C">
        <w:rPr>
          <w:rFonts w:asciiTheme="minorHAnsi" w:hAnsiTheme="minorHAnsi" w:cstheme="minorHAnsi"/>
          <w:spacing w:val="3"/>
          <w:sz w:val="26"/>
          <w:szCs w:val="26"/>
          <w:bdr w:val="none" w:sz="0" w:space="0" w:color="auto" w:frame="1"/>
          <w:lang w:eastAsia="en-ZA"/>
        </w:rPr>
        <w:t xml:space="preserve"> </w:t>
      </w:r>
      <w:r w:rsidR="00145B3C" w:rsidRPr="00145B3C">
        <w:rPr>
          <w:rFonts w:asciiTheme="minorHAnsi" w:hAnsiTheme="minorHAnsi" w:cstheme="minorHAnsi"/>
          <w:sz w:val="26"/>
          <w:szCs w:val="26"/>
          <w:shd w:val="clear" w:color="auto" w:fill="FFFFFF"/>
        </w:rPr>
        <w:t>‘a piece of business that is done between people</w:t>
      </w:r>
      <w:r w:rsidR="00145B3C">
        <w:rPr>
          <w:rFonts w:asciiTheme="minorHAnsi" w:hAnsiTheme="minorHAnsi" w:cstheme="minorHAnsi"/>
          <w:sz w:val="26"/>
          <w:szCs w:val="26"/>
          <w:shd w:val="clear" w:color="auto" w:fill="FFFFFF"/>
        </w:rPr>
        <w:t>’;</w:t>
      </w:r>
      <w:r w:rsidR="00145B3C">
        <w:rPr>
          <w:rStyle w:val="FootnoteReference"/>
          <w:color w:val="333333"/>
          <w:shd w:val="clear" w:color="auto" w:fill="FFFFFF"/>
        </w:rPr>
        <w:footnoteReference w:id="19"/>
      </w:r>
      <w:r w:rsidR="00145B3C">
        <w:rPr>
          <w:rFonts w:asciiTheme="minorHAnsi" w:hAnsiTheme="minorHAnsi" w:cstheme="minorHAnsi"/>
          <w:sz w:val="26"/>
          <w:szCs w:val="26"/>
          <w:shd w:val="clear" w:color="auto" w:fill="FFFFFF"/>
        </w:rPr>
        <w:t xml:space="preserve"> </w:t>
      </w:r>
      <w:r w:rsidR="00145B3C" w:rsidRPr="00145B3C">
        <w:rPr>
          <w:rFonts w:asciiTheme="minorHAnsi" w:hAnsiTheme="minorHAnsi" w:cstheme="minorHAnsi"/>
          <w:sz w:val="26"/>
          <w:szCs w:val="26"/>
          <w:shd w:val="clear" w:color="auto" w:fill="FFFFFF"/>
        </w:rPr>
        <w:t>‘</w:t>
      </w:r>
      <w:r w:rsidR="00145B3C" w:rsidRPr="005603E3">
        <w:rPr>
          <w:rFonts w:asciiTheme="minorHAnsi" w:hAnsiTheme="minorHAnsi" w:cstheme="minorHAnsi"/>
          <w:sz w:val="26"/>
          <w:szCs w:val="26"/>
        </w:rPr>
        <w:t>The act of conducting or carrying out (business, negotiations, plans)’;</w:t>
      </w:r>
      <w:r w:rsidR="00145B3C" w:rsidRPr="005603E3">
        <w:rPr>
          <w:rStyle w:val="FootnoteReference"/>
          <w:rFonts w:asciiTheme="minorHAnsi" w:hAnsiTheme="minorHAnsi" w:cstheme="minorHAnsi"/>
          <w:color w:val="333333"/>
          <w:sz w:val="26"/>
          <w:szCs w:val="26"/>
        </w:rPr>
        <w:footnoteReference w:id="20"/>
      </w:r>
    </w:p>
    <w:p w:rsidR="00145B3C" w:rsidRPr="00145B3C" w:rsidRDefault="00145B3C" w:rsidP="00145B3C">
      <w:pPr>
        <w:pStyle w:val="ListParagraph"/>
        <w:rPr>
          <w:rFonts w:asciiTheme="minorHAnsi" w:hAnsiTheme="minorHAnsi" w:cstheme="minorHAnsi"/>
          <w:sz w:val="26"/>
          <w:szCs w:val="26"/>
        </w:rPr>
      </w:pPr>
    </w:p>
    <w:p w:rsidR="00145B3C" w:rsidRPr="00B67FA8" w:rsidRDefault="00145B3C" w:rsidP="00F0410B">
      <w:pPr>
        <w:pStyle w:val="ListParagraph"/>
        <w:numPr>
          <w:ilvl w:val="0"/>
          <w:numId w:val="3"/>
        </w:numPr>
        <w:spacing w:after="200" w:line="360" w:lineRule="auto"/>
        <w:jc w:val="both"/>
        <w:rPr>
          <w:rFonts w:asciiTheme="minorHAnsi" w:hAnsiTheme="minorHAnsi" w:cstheme="minorHAnsi"/>
          <w:sz w:val="26"/>
          <w:szCs w:val="26"/>
        </w:rPr>
      </w:pPr>
      <w:r w:rsidRPr="00145B3C">
        <w:rPr>
          <w:rFonts w:asciiTheme="minorHAnsi" w:hAnsiTheme="minorHAnsi" w:cstheme="minorHAnsi"/>
          <w:color w:val="000000"/>
          <w:sz w:val="26"/>
          <w:szCs w:val="26"/>
          <w:shd w:val="clear" w:color="auto" w:fill="FFFFFF"/>
        </w:rPr>
        <w:t xml:space="preserve">The Collins English dictionary defines </w:t>
      </w:r>
      <w:r>
        <w:rPr>
          <w:rFonts w:asciiTheme="minorHAnsi" w:hAnsiTheme="minorHAnsi" w:cstheme="minorHAnsi"/>
          <w:color w:val="000000"/>
          <w:sz w:val="26"/>
          <w:szCs w:val="26"/>
          <w:shd w:val="clear" w:color="auto" w:fill="FFFFFF"/>
        </w:rPr>
        <w:t>‘</w:t>
      </w:r>
      <w:r w:rsidRPr="00145B3C">
        <w:rPr>
          <w:rFonts w:asciiTheme="minorHAnsi" w:hAnsiTheme="minorHAnsi" w:cstheme="minorHAnsi"/>
          <w:i/>
          <w:color w:val="000000"/>
          <w:sz w:val="26"/>
          <w:szCs w:val="26"/>
          <w:shd w:val="clear" w:color="auto" w:fill="FFFFFF"/>
        </w:rPr>
        <w:t>financial transaction</w:t>
      </w:r>
      <w:r>
        <w:rPr>
          <w:rFonts w:asciiTheme="minorHAnsi" w:hAnsiTheme="minorHAnsi" w:cstheme="minorHAnsi"/>
          <w:i/>
          <w:color w:val="000000"/>
          <w:sz w:val="26"/>
          <w:szCs w:val="26"/>
          <w:shd w:val="clear" w:color="auto" w:fill="FFFFFF"/>
        </w:rPr>
        <w:t>’</w:t>
      </w:r>
      <w:r w:rsidRPr="00145B3C">
        <w:rPr>
          <w:rFonts w:asciiTheme="minorHAnsi" w:hAnsiTheme="minorHAnsi" w:cstheme="minorHAnsi"/>
          <w:color w:val="000000"/>
          <w:sz w:val="26"/>
          <w:szCs w:val="26"/>
          <w:shd w:val="clear" w:color="auto" w:fill="FFFFFF"/>
        </w:rPr>
        <w:t xml:space="preserve"> as: ‘a piece of business, for </w:t>
      </w:r>
      <w:r w:rsidR="005A1EF6">
        <w:rPr>
          <w:rFonts w:asciiTheme="minorHAnsi" w:hAnsiTheme="minorHAnsi" w:cstheme="minorHAnsi"/>
          <w:color w:val="000000"/>
          <w:sz w:val="26"/>
          <w:szCs w:val="26"/>
          <w:shd w:val="clear" w:color="auto" w:fill="FFFFFF"/>
        </w:rPr>
        <w:t>example</w:t>
      </w:r>
      <w:r w:rsidRPr="00145B3C">
        <w:rPr>
          <w:rStyle w:val="Hyperlink"/>
          <w:rFonts w:asciiTheme="minorHAnsi" w:eastAsiaTheme="majorEastAsia" w:hAnsiTheme="minorHAnsi" w:cstheme="minorHAnsi"/>
          <w:sz w:val="26"/>
          <w:szCs w:val="26"/>
          <w:u w:val="none"/>
          <w:bdr w:val="none" w:sz="0" w:space="0" w:color="auto" w:frame="1"/>
          <w:shd w:val="clear" w:color="auto" w:fill="FFFFFF"/>
        </w:rPr>
        <w:t xml:space="preserve"> </w:t>
      </w:r>
      <w:r w:rsidRPr="00145B3C">
        <w:rPr>
          <w:rFonts w:asciiTheme="minorHAnsi" w:hAnsiTheme="minorHAnsi" w:cstheme="minorHAnsi"/>
          <w:color w:val="000000"/>
          <w:sz w:val="26"/>
          <w:szCs w:val="26"/>
          <w:shd w:val="clear" w:color="auto" w:fill="FFFFFF"/>
        </w:rPr>
        <w:t xml:space="preserve">an act of </w:t>
      </w:r>
      <w:hyperlink r:id="rId10" w:tooltip="Definition of buying" w:history="1">
        <w:r w:rsidRPr="00145B3C">
          <w:rPr>
            <w:rStyle w:val="Hyperlink"/>
            <w:rFonts w:asciiTheme="minorHAnsi" w:eastAsiaTheme="majorEastAsia" w:hAnsiTheme="minorHAnsi" w:cstheme="minorHAnsi"/>
            <w:color w:val="auto"/>
            <w:sz w:val="26"/>
            <w:szCs w:val="26"/>
            <w:u w:val="none"/>
            <w:bdr w:val="none" w:sz="0" w:space="0" w:color="auto" w:frame="1"/>
            <w:shd w:val="clear" w:color="auto" w:fill="FFFFFF"/>
          </w:rPr>
          <w:t>buying</w:t>
        </w:r>
      </w:hyperlink>
      <w:r w:rsidRPr="00145B3C">
        <w:rPr>
          <w:rStyle w:val="Hyperlink"/>
          <w:rFonts w:asciiTheme="minorHAnsi" w:eastAsiaTheme="majorEastAsia" w:hAnsiTheme="minorHAnsi" w:cstheme="minorHAnsi"/>
          <w:sz w:val="26"/>
          <w:szCs w:val="26"/>
          <w:u w:val="none"/>
          <w:bdr w:val="none" w:sz="0" w:space="0" w:color="auto" w:frame="1"/>
          <w:shd w:val="clear" w:color="auto" w:fill="FFFFFF"/>
        </w:rPr>
        <w:t xml:space="preserve"> </w:t>
      </w:r>
      <w:r w:rsidRPr="00145B3C">
        <w:rPr>
          <w:rFonts w:asciiTheme="minorHAnsi" w:hAnsiTheme="minorHAnsi" w:cstheme="minorHAnsi"/>
          <w:color w:val="000000"/>
          <w:sz w:val="26"/>
          <w:szCs w:val="26"/>
          <w:shd w:val="clear" w:color="auto" w:fill="FFFFFF"/>
        </w:rPr>
        <w:t>or selling something</w:t>
      </w:r>
      <w:r w:rsidR="005A1EF6">
        <w:rPr>
          <w:rFonts w:asciiTheme="minorHAnsi" w:hAnsiTheme="minorHAnsi" w:cstheme="minorHAnsi"/>
          <w:color w:val="000000"/>
          <w:sz w:val="26"/>
          <w:szCs w:val="26"/>
          <w:shd w:val="clear" w:color="auto" w:fill="FFFFFF"/>
        </w:rPr>
        <w:t>,</w:t>
      </w:r>
      <w:r w:rsidRPr="00145B3C">
        <w:rPr>
          <w:rFonts w:asciiTheme="minorHAnsi" w:hAnsiTheme="minorHAnsi" w:cstheme="minorHAnsi"/>
          <w:sz w:val="26"/>
          <w:szCs w:val="26"/>
        </w:rPr>
        <w:t xml:space="preserve"> </w:t>
      </w:r>
      <w:r w:rsidRPr="00145B3C">
        <w:rPr>
          <w:rFonts w:asciiTheme="minorHAnsi" w:hAnsiTheme="minorHAnsi" w:cstheme="minorHAnsi"/>
          <w:color w:val="000000"/>
          <w:sz w:val="26"/>
          <w:szCs w:val="26"/>
          <w:shd w:val="clear" w:color="auto" w:fill="FFFFFF"/>
        </w:rPr>
        <w:t>relating to or involving money.</w:t>
      </w:r>
      <w:r w:rsidRPr="00145B3C">
        <w:rPr>
          <w:rStyle w:val="FootnoteReference"/>
          <w:rFonts w:asciiTheme="minorHAnsi" w:hAnsiTheme="minorHAnsi" w:cstheme="minorHAnsi"/>
          <w:color w:val="000000"/>
          <w:sz w:val="26"/>
          <w:szCs w:val="26"/>
          <w:shd w:val="clear" w:color="auto" w:fill="FFFFFF"/>
        </w:rPr>
        <w:footnoteReference w:id="21"/>
      </w:r>
    </w:p>
    <w:p w:rsidR="00B67FA8" w:rsidRPr="00B67FA8" w:rsidRDefault="00B67FA8" w:rsidP="00B67FA8">
      <w:pPr>
        <w:pStyle w:val="ListParagraph"/>
        <w:rPr>
          <w:rFonts w:asciiTheme="minorHAnsi" w:hAnsiTheme="minorHAnsi" w:cstheme="minorHAnsi"/>
          <w:sz w:val="26"/>
          <w:szCs w:val="26"/>
        </w:rPr>
      </w:pPr>
    </w:p>
    <w:p w:rsidR="00B42746" w:rsidRDefault="00B67FA8" w:rsidP="00F0410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Seen from a purely literal perspective, it could be </w:t>
      </w:r>
      <w:r w:rsidR="00B42746">
        <w:rPr>
          <w:rFonts w:asciiTheme="minorHAnsi" w:hAnsiTheme="minorHAnsi" w:cstheme="minorHAnsi"/>
          <w:sz w:val="26"/>
          <w:szCs w:val="26"/>
        </w:rPr>
        <w:t>argued</w:t>
      </w:r>
      <w:r>
        <w:rPr>
          <w:rFonts w:asciiTheme="minorHAnsi" w:hAnsiTheme="minorHAnsi" w:cstheme="minorHAnsi"/>
          <w:sz w:val="26"/>
          <w:szCs w:val="26"/>
        </w:rPr>
        <w:t xml:space="preserve"> that </w:t>
      </w:r>
      <w:r w:rsidR="00B42746">
        <w:rPr>
          <w:rFonts w:asciiTheme="minorHAnsi" w:hAnsiTheme="minorHAnsi" w:cstheme="minorHAnsi"/>
          <w:sz w:val="26"/>
          <w:szCs w:val="26"/>
        </w:rPr>
        <w:t xml:space="preserve">par 1 of the order prevented any </w:t>
      </w:r>
      <w:r>
        <w:rPr>
          <w:rFonts w:asciiTheme="minorHAnsi" w:hAnsiTheme="minorHAnsi" w:cstheme="minorHAnsi"/>
          <w:sz w:val="26"/>
          <w:szCs w:val="26"/>
        </w:rPr>
        <w:t xml:space="preserve">communicative action </w:t>
      </w:r>
      <w:r w:rsidR="005603E3">
        <w:rPr>
          <w:rFonts w:asciiTheme="minorHAnsi" w:hAnsiTheme="minorHAnsi" w:cstheme="minorHAnsi"/>
          <w:sz w:val="26"/>
          <w:szCs w:val="26"/>
        </w:rPr>
        <w:t>involving</w:t>
      </w:r>
      <w:r>
        <w:rPr>
          <w:rFonts w:asciiTheme="minorHAnsi" w:hAnsiTheme="minorHAnsi" w:cstheme="minorHAnsi"/>
          <w:sz w:val="26"/>
          <w:szCs w:val="26"/>
        </w:rPr>
        <w:t xml:space="preserve"> money in respect of the bank accounts of the companies. However, when the relevant background circumstances are considered for purposes of determining the intention of the parties, </w:t>
      </w:r>
      <w:r w:rsidR="005603E3">
        <w:rPr>
          <w:rFonts w:asciiTheme="minorHAnsi" w:hAnsiTheme="minorHAnsi" w:cstheme="minorHAnsi"/>
          <w:sz w:val="26"/>
          <w:szCs w:val="26"/>
        </w:rPr>
        <w:t xml:space="preserve">it appears that </w:t>
      </w:r>
      <w:r>
        <w:rPr>
          <w:rFonts w:asciiTheme="minorHAnsi" w:hAnsiTheme="minorHAnsi" w:cstheme="minorHAnsi"/>
          <w:sz w:val="26"/>
          <w:szCs w:val="26"/>
        </w:rPr>
        <w:t xml:space="preserve">par 1 of the order was designed to prevent either party from performing </w:t>
      </w:r>
      <w:r w:rsidR="00623E75">
        <w:rPr>
          <w:rFonts w:asciiTheme="minorHAnsi" w:hAnsiTheme="minorHAnsi" w:cstheme="minorHAnsi"/>
          <w:sz w:val="26"/>
          <w:szCs w:val="26"/>
        </w:rPr>
        <w:t xml:space="preserve">unapproved </w:t>
      </w:r>
      <w:r>
        <w:rPr>
          <w:rFonts w:asciiTheme="minorHAnsi" w:hAnsiTheme="minorHAnsi" w:cstheme="minorHAnsi"/>
          <w:sz w:val="26"/>
          <w:szCs w:val="26"/>
        </w:rPr>
        <w:t xml:space="preserve">transactions such as transfers, payments or withdrawals on the bank accounts </w:t>
      </w:r>
      <w:r w:rsidR="00DB65FB">
        <w:rPr>
          <w:rFonts w:asciiTheme="minorHAnsi" w:hAnsiTheme="minorHAnsi" w:cstheme="minorHAnsi"/>
          <w:sz w:val="26"/>
          <w:szCs w:val="26"/>
        </w:rPr>
        <w:t xml:space="preserve">of the companies </w:t>
      </w:r>
      <w:r w:rsidR="00B42746">
        <w:rPr>
          <w:rFonts w:asciiTheme="minorHAnsi" w:hAnsiTheme="minorHAnsi" w:cstheme="minorHAnsi"/>
          <w:sz w:val="26"/>
          <w:szCs w:val="26"/>
        </w:rPr>
        <w:t xml:space="preserve">for an illegitimate purpose, i.e., for the personal benefit of the one party at the expense of the other, </w:t>
      </w:r>
      <w:r w:rsidR="00DB65FB">
        <w:rPr>
          <w:rFonts w:asciiTheme="minorHAnsi" w:hAnsiTheme="minorHAnsi" w:cstheme="minorHAnsi"/>
          <w:sz w:val="26"/>
          <w:szCs w:val="26"/>
        </w:rPr>
        <w:t xml:space="preserve">in the context of both parties having </w:t>
      </w:r>
      <w:r w:rsidR="00B42746">
        <w:rPr>
          <w:rFonts w:asciiTheme="minorHAnsi" w:hAnsiTheme="minorHAnsi" w:cstheme="minorHAnsi"/>
          <w:sz w:val="26"/>
          <w:szCs w:val="26"/>
        </w:rPr>
        <w:t xml:space="preserve">previously </w:t>
      </w:r>
      <w:r w:rsidR="00DB65FB">
        <w:rPr>
          <w:rFonts w:asciiTheme="minorHAnsi" w:hAnsiTheme="minorHAnsi" w:cstheme="minorHAnsi"/>
          <w:sz w:val="26"/>
          <w:szCs w:val="26"/>
        </w:rPr>
        <w:t>allegedly withdrawn and/or misappropriated funds from the business accounts for personal gain.</w:t>
      </w:r>
      <w:r w:rsidR="00623E75">
        <w:rPr>
          <w:rFonts w:asciiTheme="minorHAnsi" w:hAnsiTheme="minorHAnsi" w:cstheme="minorHAnsi"/>
          <w:sz w:val="26"/>
          <w:szCs w:val="26"/>
        </w:rPr>
        <w:t xml:space="preserve"> This interpretation is corroborated by par 3 of the order in terms whereof </w:t>
      </w:r>
      <w:r w:rsidR="00623E75">
        <w:rPr>
          <w:rFonts w:asciiTheme="minorHAnsi" w:hAnsiTheme="minorHAnsi" w:cstheme="minorHAnsi"/>
          <w:sz w:val="26"/>
          <w:szCs w:val="26"/>
        </w:rPr>
        <w:lastRenderedPageBreak/>
        <w:t>payment of legitimated business expenses, as verified and approved by Mynhardt, could be effected at the instance of either party.</w:t>
      </w:r>
      <w:r w:rsidR="00DB65FB">
        <w:rPr>
          <w:rFonts w:asciiTheme="minorHAnsi" w:hAnsiTheme="minorHAnsi" w:cstheme="minorHAnsi"/>
          <w:sz w:val="26"/>
          <w:szCs w:val="26"/>
        </w:rPr>
        <w:t xml:space="preserve"> </w:t>
      </w:r>
    </w:p>
    <w:p w:rsidR="00B42746" w:rsidRPr="00B42746" w:rsidRDefault="00B42746" w:rsidP="00B42746">
      <w:pPr>
        <w:pStyle w:val="ListParagraph"/>
        <w:rPr>
          <w:rFonts w:asciiTheme="minorHAnsi" w:hAnsiTheme="minorHAnsi" w:cstheme="minorHAnsi"/>
          <w:sz w:val="26"/>
          <w:szCs w:val="26"/>
        </w:rPr>
      </w:pPr>
    </w:p>
    <w:p w:rsidR="00B67FA8" w:rsidRPr="00145B3C" w:rsidRDefault="00DB65FB" w:rsidP="00F0410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Botha was the only surety in respect of the overdrafts and his immovable property was encumbered to secure payment of any overdraft liability. In this context and bearing in mind that Botha was entitled in law to give notice of the withdrawal of his suretyship, Botha’s action of withdrawing his suretyship at a time when the accounts were in credit can hardly be said to fall within the purview of paragraph 1 of the order. </w:t>
      </w:r>
      <w:r w:rsidR="00623E75">
        <w:rPr>
          <w:rFonts w:asciiTheme="minorHAnsi" w:hAnsiTheme="minorHAnsi" w:cstheme="minorHAnsi"/>
          <w:sz w:val="26"/>
          <w:szCs w:val="26"/>
        </w:rPr>
        <w:t>It did not amount to a transaction involving the payment, transfer or withdrawal of money. The fact that it may have resulted in the recall of the overdraft facilities</w:t>
      </w:r>
      <w:r w:rsidR="005603E3">
        <w:rPr>
          <w:rFonts w:asciiTheme="minorHAnsi" w:hAnsiTheme="minorHAnsi" w:cstheme="minorHAnsi"/>
          <w:sz w:val="26"/>
          <w:szCs w:val="26"/>
        </w:rPr>
        <w:t>, with money potentially being at stake,</w:t>
      </w:r>
      <w:r w:rsidR="00623E75">
        <w:rPr>
          <w:rFonts w:asciiTheme="minorHAnsi" w:hAnsiTheme="minorHAnsi" w:cstheme="minorHAnsi"/>
          <w:sz w:val="26"/>
          <w:szCs w:val="26"/>
        </w:rPr>
        <w:t xml:space="preserve"> does not alter that fact.</w:t>
      </w:r>
      <w:r w:rsidR="00B67FA8">
        <w:rPr>
          <w:rFonts w:asciiTheme="minorHAnsi" w:hAnsiTheme="minorHAnsi" w:cstheme="minorHAnsi"/>
          <w:sz w:val="26"/>
          <w:szCs w:val="26"/>
        </w:rPr>
        <w:t xml:space="preserve"> </w:t>
      </w:r>
    </w:p>
    <w:p w:rsidR="00F0410B" w:rsidRPr="000031FF" w:rsidRDefault="00F0410B" w:rsidP="000031FF">
      <w:pPr>
        <w:pStyle w:val="ListParagraph"/>
        <w:rPr>
          <w:rFonts w:asciiTheme="minorHAnsi" w:hAnsiTheme="minorHAnsi" w:cstheme="minorHAnsi"/>
          <w:sz w:val="26"/>
          <w:szCs w:val="26"/>
        </w:rPr>
      </w:pPr>
    </w:p>
    <w:p w:rsidR="00BD55A7" w:rsidRDefault="00CD05E6"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Botha denies having instructed the bank to cancel the </w:t>
      </w:r>
      <w:r w:rsidR="005214BE">
        <w:rPr>
          <w:rFonts w:asciiTheme="minorHAnsi" w:hAnsiTheme="minorHAnsi" w:cstheme="minorHAnsi"/>
          <w:sz w:val="26"/>
          <w:szCs w:val="26"/>
        </w:rPr>
        <w:t xml:space="preserve">second and third respondents’ existing </w:t>
      </w:r>
      <w:r>
        <w:rPr>
          <w:rFonts w:asciiTheme="minorHAnsi" w:hAnsiTheme="minorHAnsi" w:cstheme="minorHAnsi"/>
          <w:sz w:val="26"/>
          <w:szCs w:val="26"/>
        </w:rPr>
        <w:t xml:space="preserve">overdraft facilities. He withdrew his suretyship at a time when the bank accounts of the </w:t>
      </w:r>
      <w:r w:rsidR="00F64DB6">
        <w:rPr>
          <w:rFonts w:asciiTheme="minorHAnsi" w:hAnsiTheme="minorHAnsi" w:cstheme="minorHAnsi"/>
          <w:sz w:val="26"/>
          <w:szCs w:val="26"/>
        </w:rPr>
        <w:t>companies</w:t>
      </w:r>
      <w:r>
        <w:rPr>
          <w:rFonts w:asciiTheme="minorHAnsi" w:hAnsiTheme="minorHAnsi" w:cstheme="minorHAnsi"/>
          <w:sz w:val="26"/>
          <w:szCs w:val="26"/>
        </w:rPr>
        <w:t xml:space="preserve"> were in credit. His reason for doing so is explained in his letter of 17 October 2019, namely, </w:t>
      </w:r>
      <w:r w:rsidR="00F64DB6">
        <w:rPr>
          <w:rFonts w:asciiTheme="minorHAnsi" w:hAnsiTheme="minorHAnsi" w:cstheme="minorHAnsi"/>
          <w:sz w:val="26"/>
          <w:szCs w:val="26"/>
        </w:rPr>
        <w:t>because</w:t>
      </w:r>
      <w:r>
        <w:rPr>
          <w:rFonts w:asciiTheme="minorHAnsi" w:hAnsiTheme="minorHAnsi" w:cstheme="minorHAnsi"/>
          <w:sz w:val="26"/>
          <w:szCs w:val="26"/>
        </w:rPr>
        <w:t xml:space="preserve"> he did not want to be held personally </w:t>
      </w:r>
      <w:r w:rsidR="00F64DB6">
        <w:rPr>
          <w:rFonts w:asciiTheme="minorHAnsi" w:hAnsiTheme="minorHAnsi" w:cstheme="minorHAnsi"/>
          <w:sz w:val="26"/>
          <w:szCs w:val="26"/>
        </w:rPr>
        <w:t xml:space="preserve">liable </w:t>
      </w:r>
      <w:r w:rsidR="001E559D">
        <w:rPr>
          <w:rFonts w:asciiTheme="minorHAnsi" w:hAnsiTheme="minorHAnsi" w:cstheme="minorHAnsi"/>
          <w:sz w:val="26"/>
          <w:szCs w:val="26"/>
        </w:rPr>
        <w:t xml:space="preserve">in terms of his suretyship </w:t>
      </w:r>
      <w:r w:rsidR="00F64DB6">
        <w:rPr>
          <w:rFonts w:asciiTheme="minorHAnsi" w:hAnsiTheme="minorHAnsi" w:cstheme="minorHAnsi"/>
          <w:sz w:val="26"/>
          <w:szCs w:val="26"/>
        </w:rPr>
        <w:t xml:space="preserve">for the </w:t>
      </w:r>
      <w:r w:rsidR="005214BE">
        <w:rPr>
          <w:rFonts w:asciiTheme="minorHAnsi" w:hAnsiTheme="minorHAnsi" w:cstheme="minorHAnsi"/>
          <w:sz w:val="26"/>
          <w:szCs w:val="26"/>
        </w:rPr>
        <w:t xml:space="preserve">liabilities </w:t>
      </w:r>
      <w:r w:rsidR="00F64DB6">
        <w:rPr>
          <w:rFonts w:asciiTheme="minorHAnsi" w:hAnsiTheme="minorHAnsi" w:cstheme="minorHAnsi"/>
          <w:sz w:val="26"/>
          <w:szCs w:val="26"/>
        </w:rPr>
        <w:t xml:space="preserve">of the companies </w:t>
      </w:r>
      <w:r>
        <w:rPr>
          <w:rFonts w:asciiTheme="minorHAnsi" w:hAnsiTheme="minorHAnsi" w:cstheme="minorHAnsi"/>
          <w:sz w:val="26"/>
          <w:szCs w:val="26"/>
        </w:rPr>
        <w:t>in cir</w:t>
      </w:r>
      <w:r w:rsidR="00F64DB6">
        <w:rPr>
          <w:rFonts w:asciiTheme="minorHAnsi" w:hAnsiTheme="minorHAnsi" w:cstheme="minorHAnsi"/>
          <w:sz w:val="26"/>
          <w:szCs w:val="26"/>
        </w:rPr>
        <w:t>c</w:t>
      </w:r>
      <w:r>
        <w:rPr>
          <w:rFonts w:asciiTheme="minorHAnsi" w:hAnsiTheme="minorHAnsi" w:cstheme="minorHAnsi"/>
          <w:sz w:val="26"/>
          <w:szCs w:val="26"/>
        </w:rPr>
        <w:t>umstances where</w:t>
      </w:r>
      <w:r w:rsidR="00F64DB6">
        <w:rPr>
          <w:rFonts w:asciiTheme="minorHAnsi" w:hAnsiTheme="minorHAnsi" w:cstheme="minorHAnsi"/>
          <w:sz w:val="26"/>
          <w:szCs w:val="26"/>
        </w:rPr>
        <w:t xml:space="preserve"> Jurgens had </w:t>
      </w:r>
      <w:r w:rsidR="00B42746">
        <w:rPr>
          <w:rFonts w:asciiTheme="minorHAnsi" w:hAnsiTheme="minorHAnsi" w:cstheme="minorHAnsi"/>
          <w:sz w:val="26"/>
          <w:szCs w:val="26"/>
        </w:rPr>
        <w:t>professed the</w:t>
      </w:r>
      <w:r w:rsidR="000031FF">
        <w:rPr>
          <w:rFonts w:asciiTheme="minorHAnsi" w:hAnsiTheme="minorHAnsi" w:cstheme="minorHAnsi"/>
          <w:sz w:val="26"/>
          <w:szCs w:val="26"/>
        </w:rPr>
        <w:t xml:space="preserve"> intention</w:t>
      </w:r>
      <w:r w:rsidR="00F64DB6">
        <w:rPr>
          <w:rFonts w:asciiTheme="minorHAnsi" w:hAnsiTheme="minorHAnsi" w:cstheme="minorHAnsi"/>
          <w:sz w:val="26"/>
          <w:szCs w:val="26"/>
        </w:rPr>
        <w:t xml:space="preserve"> to liquidate the companies and, as further explained in the answering affidavit,</w:t>
      </w:r>
      <w:r>
        <w:rPr>
          <w:rFonts w:asciiTheme="minorHAnsi" w:hAnsiTheme="minorHAnsi" w:cstheme="minorHAnsi"/>
          <w:sz w:val="26"/>
          <w:szCs w:val="26"/>
        </w:rPr>
        <w:t xml:space="preserve"> </w:t>
      </w:r>
      <w:r w:rsidR="001E559D">
        <w:rPr>
          <w:rFonts w:asciiTheme="minorHAnsi" w:hAnsiTheme="minorHAnsi" w:cstheme="minorHAnsi"/>
          <w:sz w:val="26"/>
          <w:szCs w:val="26"/>
        </w:rPr>
        <w:t xml:space="preserve">in </w:t>
      </w:r>
      <w:r w:rsidR="00DB65FB">
        <w:rPr>
          <w:rFonts w:asciiTheme="minorHAnsi" w:hAnsiTheme="minorHAnsi" w:cstheme="minorHAnsi"/>
          <w:sz w:val="26"/>
          <w:szCs w:val="26"/>
        </w:rPr>
        <w:t>the context of not being included</w:t>
      </w:r>
      <w:r>
        <w:rPr>
          <w:rFonts w:asciiTheme="minorHAnsi" w:hAnsiTheme="minorHAnsi" w:cstheme="minorHAnsi"/>
          <w:sz w:val="26"/>
          <w:szCs w:val="26"/>
        </w:rPr>
        <w:t xml:space="preserve"> </w:t>
      </w:r>
      <w:r w:rsidR="00DB65FB">
        <w:rPr>
          <w:rFonts w:asciiTheme="minorHAnsi" w:hAnsiTheme="minorHAnsi" w:cstheme="minorHAnsi"/>
          <w:sz w:val="26"/>
          <w:szCs w:val="26"/>
        </w:rPr>
        <w:t xml:space="preserve">in </w:t>
      </w:r>
      <w:r>
        <w:rPr>
          <w:rFonts w:asciiTheme="minorHAnsi" w:hAnsiTheme="minorHAnsi" w:cstheme="minorHAnsi"/>
          <w:sz w:val="26"/>
          <w:szCs w:val="26"/>
        </w:rPr>
        <w:t xml:space="preserve">the management </w:t>
      </w:r>
      <w:r w:rsidR="00F64DB6">
        <w:rPr>
          <w:rFonts w:asciiTheme="minorHAnsi" w:hAnsiTheme="minorHAnsi" w:cstheme="minorHAnsi"/>
          <w:sz w:val="26"/>
          <w:szCs w:val="26"/>
        </w:rPr>
        <w:t>of the businesses</w:t>
      </w:r>
      <w:r w:rsidR="000031FF">
        <w:rPr>
          <w:rFonts w:asciiTheme="minorHAnsi" w:hAnsiTheme="minorHAnsi" w:cstheme="minorHAnsi"/>
          <w:sz w:val="26"/>
          <w:szCs w:val="26"/>
        </w:rPr>
        <w:t xml:space="preserve"> </w:t>
      </w:r>
      <w:r w:rsidR="005603E3">
        <w:rPr>
          <w:rFonts w:asciiTheme="minorHAnsi" w:hAnsiTheme="minorHAnsi" w:cstheme="minorHAnsi"/>
          <w:sz w:val="26"/>
          <w:szCs w:val="26"/>
        </w:rPr>
        <w:t>under circumstances</w:t>
      </w:r>
      <w:r w:rsidR="00F64DB6">
        <w:rPr>
          <w:rFonts w:asciiTheme="minorHAnsi" w:hAnsiTheme="minorHAnsi" w:cstheme="minorHAnsi"/>
          <w:sz w:val="26"/>
          <w:szCs w:val="26"/>
        </w:rPr>
        <w:t xml:space="preserve"> </w:t>
      </w:r>
      <w:r w:rsidR="005214BE">
        <w:rPr>
          <w:rFonts w:asciiTheme="minorHAnsi" w:hAnsiTheme="minorHAnsi" w:cstheme="minorHAnsi"/>
          <w:sz w:val="26"/>
          <w:szCs w:val="26"/>
        </w:rPr>
        <w:t xml:space="preserve">where he </w:t>
      </w:r>
      <w:r w:rsidR="001E559D">
        <w:rPr>
          <w:rFonts w:asciiTheme="minorHAnsi" w:hAnsiTheme="minorHAnsi" w:cstheme="minorHAnsi"/>
          <w:sz w:val="26"/>
          <w:szCs w:val="26"/>
        </w:rPr>
        <w:t>had steadfastly been</w:t>
      </w:r>
      <w:r w:rsidR="00F64DB6">
        <w:rPr>
          <w:rFonts w:asciiTheme="minorHAnsi" w:hAnsiTheme="minorHAnsi" w:cstheme="minorHAnsi"/>
          <w:sz w:val="26"/>
          <w:szCs w:val="26"/>
        </w:rPr>
        <w:t xml:space="preserve"> refused access to </w:t>
      </w:r>
      <w:r w:rsidR="005214BE">
        <w:rPr>
          <w:rFonts w:asciiTheme="minorHAnsi" w:hAnsiTheme="minorHAnsi" w:cstheme="minorHAnsi"/>
          <w:sz w:val="26"/>
          <w:szCs w:val="26"/>
        </w:rPr>
        <w:t>certain</w:t>
      </w:r>
      <w:r w:rsidR="00F64DB6">
        <w:rPr>
          <w:rFonts w:asciiTheme="minorHAnsi" w:hAnsiTheme="minorHAnsi" w:cstheme="minorHAnsi"/>
          <w:sz w:val="26"/>
          <w:szCs w:val="26"/>
        </w:rPr>
        <w:t xml:space="preserve"> records</w:t>
      </w:r>
      <w:r w:rsidR="005214BE">
        <w:rPr>
          <w:rStyle w:val="FootnoteReference"/>
          <w:rFonts w:asciiTheme="minorHAnsi" w:hAnsiTheme="minorHAnsi" w:cstheme="minorHAnsi"/>
          <w:sz w:val="26"/>
          <w:szCs w:val="26"/>
        </w:rPr>
        <w:footnoteReference w:id="22"/>
      </w:r>
      <w:r w:rsidR="00F64DB6">
        <w:rPr>
          <w:rFonts w:asciiTheme="minorHAnsi" w:hAnsiTheme="minorHAnsi" w:cstheme="minorHAnsi"/>
          <w:sz w:val="26"/>
          <w:szCs w:val="26"/>
        </w:rPr>
        <w:t xml:space="preserve"> </w:t>
      </w:r>
      <w:r w:rsidR="000031FF">
        <w:rPr>
          <w:rFonts w:asciiTheme="minorHAnsi" w:hAnsiTheme="minorHAnsi" w:cstheme="minorHAnsi"/>
          <w:sz w:val="26"/>
          <w:szCs w:val="26"/>
        </w:rPr>
        <w:t xml:space="preserve">he </w:t>
      </w:r>
      <w:r w:rsidR="005603E3">
        <w:rPr>
          <w:rFonts w:asciiTheme="minorHAnsi" w:hAnsiTheme="minorHAnsi" w:cstheme="minorHAnsi"/>
          <w:sz w:val="26"/>
          <w:szCs w:val="26"/>
        </w:rPr>
        <w:t xml:space="preserve">contended </w:t>
      </w:r>
      <w:r w:rsidR="000031FF">
        <w:rPr>
          <w:rFonts w:asciiTheme="minorHAnsi" w:hAnsiTheme="minorHAnsi" w:cstheme="minorHAnsi"/>
          <w:sz w:val="26"/>
          <w:szCs w:val="26"/>
        </w:rPr>
        <w:t xml:space="preserve">he </w:t>
      </w:r>
      <w:r w:rsidR="005214BE">
        <w:rPr>
          <w:rFonts w:asciiTheme="minorHAnsi" w:hAnsiTheme="minorHAnsi" w:cstheme="minorHAnsi"/>
          <w:sz w:val="26"/>
          <w:szCs w:val="26"/>
        </w:rPr>
        <w:t xml:space="preserve">required for purposes of protecting his interests. </w:t>
      </w:r>
    </w:p>
    <w:p w:rsidR="00EE34A0" w:rsidRDefault="00EE34A0" w:rsidP="00EE34A0">
      <w:pPr>
        <w:pStyle w:val="ListParagraph"/>
        <w:rPr>
          <w:rFonts w:asciiTheme="minorHAnsi" w:hAnsiTheme="minorHAnsi" w:cstheme="minorHAnsi"/>
          <w:sz w:val="26"/>
          <w:szCs w:val="26"/>
        </w:rPr>
      </w:pPr>
    </w:p>
    <w:p w:rsidR="00045AA5" w:rsidRDefault="001E559D"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Botha also alleges that he was advised that nothing contained in the order precluded him from withdrawing his suretyships.</w:t>
      </w:r>
      <w:r w:rsidR="005603E3">
        <w:rPr>
          <w:rFonts w:asciiTheme="minorHAnsi" w:hAnsiTheme="minorHAnsi" w:cstheme="minorHAnsi"/>
          <w:sz w:val="26"/>
          <w:szCs w:val="26"/>
        </w:rPr>
        <w:t xml:space="preserve"> This evidence is corrobotated in the confirmatory affidavit of Scholtz.</w:t>
      </w:r>
      <w:r>
        <w:rPr>
          <w:rFonts w:asciiTheme="minorHAnsi" w:hAnsiTheme="minorHAnsi" w:cstheme="minorHAnsi"/>
          <w:sz w:val="26"/>
          <w:szCs w:val="26"/>
        </w:rPr>
        <w:t xml:space="preserve"> In this regard, </w:t>
      </w:r>
      <w:r w:rsidR="005603E3">
        <w:rPr>
          <w:rFonts w:asciiTheme="minorHAnsi" w:hAnsiTheme="minorHAnsi" w:cstheme="minorHAnsi"/>
          <w:sz w:val="26"/>
          <w:szCs w:val="26"/>
        </w:rPr>
        <w:t xml:space="preserve">Botha’s </w:t>
      </w:r>
      <w:r>
        <w:rPr>
          <w:rFonts w:asciiTheme="minorHAnsi" w:hAnsiTheme="minorHAnsi" w:cstheme="minorHAnsi"/>
          <w:sz w:val="26"/>
          <w:szCs w:val="26"/>
        </w:rPr>
        <w:t xml:space="preserve">evidence </w:t>
      </w:r>
      <w:r w:rsidR="005214BE">
        <w:rPr>
          <w:rFonts w:asciiTheme="minorHAnsi" w:hAnsiTheme="minorHAnsi" w:cstheme="minorHAnsi"/>
          <w:sz w:val="26"/>
          <w:szCs w:val="26"/>
        </w:rPr>
        <w:t>was as follows:</w:t>
      </w:r>
      <w:r>
        <w:rPr>
          <w:rFonts w:asciiTheme="minorHAnsi" w:hAnsiTheme="minorHAnsi" w:cstheme="minorHAnsi"/>
          <w:sz w:val="26"/>
          <w:szCs w:val="26"/>
        </w:rPr>
        <w:t xml:space="preserve"> </w:t>
      </w:r>
    </w:p>
    <w:p w:rsidR="001E559D" w:rsidRDefault="001E559D" w:rsidP="001E559D">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lastRenderedPageBreak/>
        <w:t>“</w:t>
      </w:r>
      <w:r w:rsidRPr="00EF18F0">
        <w:rPr>
          <w:rFonts w:asciiTheme="minorHAnsi" w:hAnsiTheme="minorHAnsi" w:cstheme="minorHAnsi"/>
          <w:color w:val="000000"/>
          <w:sz w:val="22"/>
          <w:szCs w:val="22"/>
        </w:rPr>
        <w:t>I bona fide believed that the withdrawal of my suretyships would not amount to the conduct of any banking or financial transactions in respect of any bank account held by the Second and Third Applicants, which is prohibited in the Court Order. In the Urgent Application the Applicants relied on the alleged unlawful withdrawals and payments made by me from the banking accounts of the Second and Third Respondents which withdrawals and payments allegedly benefited me. t is clear from the context of the founding affidavit in the Urgent Application that the Applicants' sole intention was to prevent me from making such transfers or payments from the Second and Third Applicants' bank accounts. The question of the withdrawal of my suretyships was never raised in the Applicants' founding affidavit in the urgent application</w:t>
      </w:r>
      <w:r>
        <w:rPr>
          <w:rFonts w:asciiTheme="minorHAnsi" w:hAnsiTheme="minorHAnsi" w:cstheme="minorHAnsi"/>
          <w:color w:val="000000"/>
          <w:sz w:val="22"/>
          <w:szCs w:val="22"/>
        </w:rPr>
        <w:t>.”</w:t>
      </w:r>
    </w:p>
    <w:p w:rsidR="00045AA5" w:rsidRDefault="00045AA5" w:rsidP="00045AA5">
      <w:pPr>
        <w:pStyle w:val="ListParagraph"/>
        <w:rPr>
          <w:rFonts w:asciiTheme="minorHAnsi" w:hAnsiTheme="minorHAnsi" w:cstheme="minorHAnsi"/>
          <w:sz w:val="26"/>
          <w:szCs w:val="26"/>
        </w:rPr>
      </w:pPr>
    </w:p>
    <w:p w:rsidR="00045AA5" w:rsidRDefault="00F0410B"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Jurgens did not </w:t>
      </w:r>
      <w:r w:rsidR="005A1EF6">
        <w:rPr>
          <w:rFonts w:asciiTheme="minorHAnsi" w:hAnsiTheme="minorHAnsi" w:cstheme="minorHAnsi"/>
          <w:sz w:val="26"/>
          <w:szCs w:val="26"/>
        </w:rPr>
        <w:t>dispute</w:t>
      </w:r>
      <w:r>
        <w:rPr>
          <w:rFonts w:asciiTheme="minorHAnsi" w:hAnsiTheme="minorHAnsi" w:cstheme="minorHAnsi"/>
          <w:sz w:val="26"/>
          <w:szCs w:val="26"/>
        </w:rPr>
        <w:t xml:space="preserve"> having </w:t>
      </w:r>
      <w:r w:rsidR="005603E3">
        <w:rPr>
          <w:rFonts w:asciiTheme="minorHAnsi" w:hAnsiTheme="minorHAnsi" w:cstheme="minorHAnsi"/>
          <w:sz w:val="26"/>
          <w:szCs w:val="26"/>
        </w:rPr>
        <w:t>warned</w:t>
      </w:r>
      <w:r>
        <w:rPr>
          <w:rFonts w:asciiTheme="minorHAnsi" w:hAnsiTheme="minorHAnsi" w:cstheme="minorHAnsi"/>
          <w:sz w:val="26"/>
          <w:szCs w:val="26"/>
        </w:rPr>
        <w:t xml:space="preserve"> on more than one occasion </w:t>
      </w:r>
      <w:r w:rsidR="005603E3">
        <w:rPr>
          <w:rFonts w:asciiTheme="minorHAnsi" w:hAnsiTheme="minorHAnsi" w:cstheme="minorHAnsi"/>
          <w:sz w:val="26"/>
          <w:szCs w:val="26"/>
        </w:rPr>
        <w:t xml:space="preserve">that he intended </w:t>
      </w:r>
      <w:r>
        <w:rPr>
          <w:rFonts w:asciiTheme="minorHAnsi" w:hAnsiTheme="minorHAnsi" w:cstheme="minorHAnsi"/>
          <w:sz w:val="26"/>
          <w:szCs w:val="26"/>
        </w:rPr>
        <w:t xml:space="preserve">to liquidate the companies. He acknowledges in his papers that one of the consequences of signing a surety is that once an entity is liquidated, the creditor can call upon payment. </w:t>
      </w:r>
    </w:p>
    <w:p w:rsidR="00045AA5" w:rsidRPr="00360D01" w:rsidRDefault="00045AA5" w:rsidP="00045AA5">
      <w:pPr>
        <w:pStyle w:val="ListParagraph"/>
        <w:rPr>
          <w:rFonts w:asciiTheme="minorHAnsi" w:hAnsiTheme="minorHAnsi" w:cstheme="minorHAnsi"/>
          <w:sz w:val="26"/>
          <w:szCs w:val="26"/>
        </w:rPr>
      </w:pPr>
    </w:p>
    <w:p w:rsidR="00045AA5" w:rsidRPr="00F21891" w:rsidRDefault="00360B26"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 am not persuaded that Jurgens has proved beyond a reasonable doubt that Botha deliberately transgressed par 1 of the court order, but even if I am wrong in this regard, I conclude that Botha has set out sufficient facts to prevent the conclusion, beyond reasonable doubt, that he acted </w:t>
      </w:r>
      <w:r>
        <w:rPr>
          <w:rFonts w:asciiTheme="minorHAnsi" w:hAnsiTheme="minorHAnsi" w:cstheme="minorHAnsi"/>
          <w:i/>
          <w:sz w:val="26"/>
          <w:szCs w:val="26"/>
        </w:rPr>
        <w:t>mala fide.</w:t>
      </w:r>
      <w:r>
        <w:rPr>
          <w:rFonts w:asciiTheme="minorHAnsi" w:hAnsiTheme="minorHAnsi" w:cstheme="minorHAnsi"/>
          <w:sz w:val="26"/>
          <w:szCs w:val="26"/>
        </w:rPr>
        <w:t xml:space="preserve"> </w:t>
      </w:r>
    </w:p>
    <w:p w:rsidR="00045AA5" w:rsidRDefault="00045AA5" w:rsidP="00045AA5">
      <w:pPr>
        <w:pStyle w:val="ListParagraph"/>
        <w:rPr>
          <w:rFonts w:asciiTheme="minorHAnsi" w:hAnsiTheme="minorHAnsi" w:cstheme="minorHAnsi"/>
          <w:sz w:val="26"/>
          <w:szCs w:val="26"/>
        </w:rPr>
      </w:pPr>
    </w:p>
    <w:p w:rsidR="00360B26" w:rsidRPr="00360B26" w:rsidRDefault="00360B26" w:rsidP="00360B26">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Botha’s payment of advertising costs</w:t>
      </w:r>
    </w:p>
    <w:p w:rsidR="00203863" w:rsidRDefault="00203863"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Jurgens’ complaint is that Botha had placed two advertisements in a local newspaper in order to fill vacant positions that arose after medical doctors employed in the practices of the second and third applicants had resigned.</w:t>
      </w:r>
    </w:p>
    <w:p w:rsidR="00203863" w:rsidRDefault="00203863" w:rsidP="00203863">
      <w:pPr>
        <w:pStyle w:val="ListParagraph"/>
        <w:rPr>
          <w:rFonts w:asciiTheme="minorHAnsi" w:hAnsiTheme="minorHAnsi" w:cstheme="minorHAnsi"/>
          <w:sz w:val="26"/>
          <w:szCs w:val="26"/>
        </w:rPr>
      </w:pPr>
    </w:p>
    <w:p w:rsidR="00045AA5" w:rsidRDefault="00360B26" w:rsidP="00045AA5">
      <w:pPr>
        <w:pStyle w:val="ListParagraph"/>
        <w:numPr>
          <w:ilvl w:val="0"/>
          <w:numId w:val="3"/>
        </w:numPr>
        <w:spacing w:after="200" w:line="360" w:lineRule="auto"/>
        <w:jc w:val="both"/>
        <w:rPr>
          <w:rFonts w:asciiTheme="minorHAnsi" w:hAnsiTheme="minorHAnsi" w:cstheme="minorHAnsi"/>
          <w:sz w:val="26"/>
          <w:szCs w:val="26"/>
        </w:rPr>
      </w:pPr>
      <w:r w:rsidRPr="005603E3">
        <w:rPr>
          <w:rFonts w:asciiTheme="minorHAnsi" w:hAnsiTheme="minorHAnsi" w:cstheme="minorHAnsi"/>
          <w:sz w:val="26"/>
          <w:szCs w:val="26"/>
        </w:rPr>
        <w:t xml:space="preserve">It is common cause that Botha </w:t>
      </w:r>
      <w:r w:rsidR="00203863" w:rsidRPr="005603E3">
        <w:rPr>
          <w:rFonts w:asciiTheme="minorHAnsi" w:hAnsiTheme="minorHAnsi" w:cstheme="minorHAnsi"/>
          <w:sz w:val="26"/>
          <w:szCs w:val="26"/>
        </w:rPr>
        <w:t>had caused payments in the sums of R6 575.24 and R6 434.48 to be mad</w:t>
      </w:r>
      <w:r w:rsidRPr="005603E3">
        <w:rPr>
          <w:rFonts w:asciiTheme="minorHAnsi" w:hAnsiTheme="minorHAnsi" w:cstheme="minorHAnsi"/>
          <w:sz w:val="26"/>
          <w:szCs w:val="26"/>
        </w:rPr>
        <w:t>e</w:t>
      </w:r>
      <w:r w:rsidR="00203863" w:rsidRPr="005603E3">
        <w:rPr>
          <w:rFonts w:asciiTheme="minorHAnsi" w:hAnsiTheme="minorHAnsi" w:cstheme="minorHAnsi"/>
          <w:sz w:val="26"/>
          <w:szCs w:val="26"/>
        </w:rPr>
        <w:t xml:space="preserve"> from one of the banking accounts in question. He did so without first seeking the approval or authorisation from Mynhardt of such expense</w:t>
      </w:r>
      <w:r w:rsidR="005603E3" w:rsidRPr="005603E3">
        <w:rPr>
          <w:rFonts w:asciiTheme="minorHAnsi" w:hAnsiTheme="minorHAnsi" w:cstheme="minorHAnsi"/>
          <w:sz w:val="26"/>
          <w:szCs w:val="26"/>
        </w:rPr>
        <w:t>s</w:t>
      </w:r>
      <w:r w:rsidR="00203863" w:rsidRPr="005603E3">
        <w:rPr>
          <w:rFonts w:asciiTheme="minorHAnsi" w:hAnsiTheme="minorHAnsi" w:cstheme="minorHAnsi"/>
          <w:sz w:val="26"/>
          <w:szCs w:val="26"/>
        </w:rPr>
        <w:t>,</w:t>
      </w:r>
      <w:r w:rsidR="000A77D4" w:rsidRPr="005603E3">
        <w:rPr>
          <w:rFonts w:asciiTheme="minorHAnsi" w:hAnsiTheme="minorHAnsi" w:cstheme="minorHAnsi"/>
          <w:sz w:val="26"/>
          <w:szCs w:val="26"/>
        </w:rPr>
        <w:t xml:space="preserve"> </w:t>
      </w:r>
      <w:r w:rsidR="005603E3">
        <w:rPr>
          <w:rFonts w:asciiTheme="minorHAnsi" w:hAnsiTheme="minorHAnsi" w:cstheme="minorHAnsi"/>
          <w:sz w:val="26"/>
          <w:szCs w:val="26"/>
        </w:rPr>
        <w:t>which constituted</w:t>
      </w:r>
      <w:r w:rsidR="000A77D4" w:rsidRPr="005603E3">
        <w:rPr>
          <w:rFonts w:asciiTheme="minorHAnsi" w:hAnsiTheme="minorHAnsi" w:cstheme="minorHAnsi"/>
          <w:sz w:val="26"/>
          <w:szCs w:val="26"/>
        </w:rPr>
        <w:t xml:space="preserve"> constitute legitimate business expense</w:t>
      </w:r>
      <w:r w:rsidR="005603E3" w:rsidRPr="005603E3">
        <w:rPr>
          <w:rFonts w:asciiTheme="minorHAnsi" w:hAnsiTheme="minorHAnsi" w:cstheme="minorHAnsi"/>
          <w:sz w:val="26"/>
          <w:szCs w:val="26"/>
        </w:rPr>
        <w:t>s</w:t>
      </w:r>
      <w:r w:rsidR="000A77D4" w:rsidRPr="005603E3">
        <w:rPr>
          <w:rFonts w:asciiTheme="minorHAnsi" w:hAnsiTheme="minorHAnsi" w:cstheme="minorHAnsi"/>
          <w:sz w:val="26"/>
          <w:szCs w:val="26"/>
        </w:rPr>
        <w:t>,</w:t>
      </w:r>
      <w:r w:rsidR="00203863" w:rsidRPr="005603E3">
        <w:rPr>
          <w:rFonts w:asciiTheme="minorHAnsi" w:hAnsiTheme="minorHAnsi" w:cstheme="minorHAnsi"/>
          <w:sz w:val="26"/>
          <w:szCs w:val="26"/>
        </w:rPr>
        <w:t xml:space="preserve"> </w:t>
      </w:r>
      <w:r w:rsidR="005603E3" w:rsidRPr="005603E3">
        <w:rPr>
          <w:rFonts w:asciiTheme="minorHAnsi" w:hAnsiTheme="minorHAnsi" w:cstheme="minorHAnsi"/>
          <w:sz w:val="26"/>
          <w:szCs w:val="26"/>
        </w:rPr>
        <w:t>which</w:t>
      </w:r>
      <w:r w:rsidR="00203863" w:rsidRPr="005603E3">
        <w:rPr>
          <w:rFonts w:asciiTheme="minorHAnsi" w:hAnsiTheme="minorHAnsi" w:cstheme="minorHAnsi"/>
          <w:sz w:val="26"/>
          <w:szCs w:val="26"/>
        </w:rPr>
        <w:t xml:space="preserve"> Mynhardt subsequently ratified</w:t>
      </w:r>
      <w:r w:rsidR="005603E3" w:rsidRPr="005603E3">
        <w:rPr>
          <w:rFonts w:asciiTheme="minorHAnsi" w:hAnsiTheme="minorHAnsi" w:cstheme="minorHAnsi"/>
          <w:sz w:val="26"/>
          <w:szCs w:val="26"/>
        </w:rPr>
        <w:t>.</w:t>
      </w:r>
    </w:p>
    <w:p w:rsidR="005603E3" w:rsidRPr="005603E3" w:rsidRDefault="005603E3" w:rsidP="005603E3">
      <w:pPr>
        <w:pStyle w:val="ListParagraph"/>
        <w:rPr>
          <w:rFonts w:asciiTheme="minorHAnsi" w:hAnsiTheme="minorHAnsi" w:cstheme="minorHAnsi"/>
          <w:sz w:val="26"/>
          <w:szCs w:val="26"/>
        </w:rPr>
      </w:pPr>
    </w:p>
    <w:p w:rsidR="00045AA5" w:rsidRPr="0019024F" w:rsidRDefault="000A77D4"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Even if I were to accept that the</w:t>
      </w:r>
      <w:r w:rsidR="005603E3">
        <w:rPr>
          <w:rFonts w:asciiTheme="minorHAnsi" w:hAnsiTheme="minorHAnsi" w:cstheme="minorHAnsi"/>
          <w:sz w:val="26"/>
          <w:szCs w:val="26"/>
        </w:rPr>
        <w:t>se</w:t>
      </w:r>
      <w:r>
        <w:rPr>
          <w:rFonts w:asciiTheme="minorHAnsi" w:hAnsiTheme="minorHAnsi" w:cstheme="minorHAnsi"/>
          <w:sz w:val="26"/>
          <w:szCs w:val="26"/>
        </w:rPr>
        <w:t xml:space="preserve"> expense</w:t>
      </w:r>
      <w:r w:rsidR="005603E3">
        <w:rPr>
          <w:rFonts w:asciiTheme="minorHAnsi" w:hAnsiTheme="minorHAnsi" w:cstheme="minorHAnsi"/>
          <w:sz w:val="26"/>
          <w:szCs w:val="26"/>
        </w:rPr>
        <w:t>s</w:t>
      </w:r>
      <w:r>
        <w:rPr>
          <w:rFonts w:asciiTheme="minorHAnsi" w:hAnsiTheme="minorHAnsi" w:cstheme="minorHAnsi"/>
          <w:sz w:val="26"/>
          <w:szCs w:val="26"/>
        </w:rPr>
        <w:t xml:space="preserve"> </w:t>
      </w:r>
      <w:r w:rsidR="005603E3">
        <w:rPr>
          <w:rFonts w:asciiTheme="minorHAnsi" w:hAnsiTheme="minorHAnsi" w:cstheme="minorHAnsi"/>
          <w:sz w:val="26"/>
          <w:szCs w:val="26"/>
        </w:rPr>
        <w:t>comprised</w:t>
      </w:r>
      <w:r>
        <w:rPr>
          <w:rFonts w:asciiTheme="minorHAnsi" w:hAnsiTheme="minorHAnsi" w:cstheme="minorHAnsi"/>
          <w:sz w:val="26"/>
          <w:szCs w:val="26"/>
        </w:rPr>
        <w:t xml:space="preserve"> legitimate business expense</w:t>
      </w:r>
      <w:r w:rsidR="005603E3">
        <w:rPr>
          <w:rFonts w:asciiTheme="minorHAnsi" w:hAnsiTheme="minorHAnsi" w:cstheme="minorHAnsi"/>
          <w:sz w:val="26"/>
          <w:szCs w:val="26"/>
        </w:rPr>
        <w:t>s</w:t>
      </w:r>
      <w:r>
        <w:rPr>
          <w:rFonts w:asciiTheme="minorHAnsi" w:hAnsiTheme="minorHAnsi" w:cstheme="minorHAnsi"/>
          <w:sz w:val="26"/>
          <w:szCs w:val="26"/>
        </w:rPr>
        <w:t>, there can be no gainsaying the fact that Botha’s unilateral actions aforesaid were prohibited by and fell foul of par 1 of the order.</w:t>
      </w:r>
    </w:p>
    <w:p w:rsidR="00045AA5" w:rsidRPr="000F4445" w:rsidRDefault="00045AA5" w:rsidP="00045AA5">
      <w:pPr>
        <w:pStyle w:val="ListParagraph"/>
        <w:rPr>
          <w:rFonts w:asciiTheme="minorHAnsi" w:hAnsiTheme="minorHAnsi" w:cstheme="minorHAnsi"/>
          <w:sz w:val="26"/>
          <w:szCs w:val="26"/>
        </w:rPr>
      </w:pPr>
    </w:p>
    <w:p w:rsidR="00045AA5" w:rsidRDefault="000A77D4"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Botha’s explanation in this regard is that the resignation of the doctors from the two practises affected the monthly number of consultations and thus the amount of income to be generated in the practices</w:t>
      </w:r>
      <w:r w:rsidR="005603E3">
        <w:rPr>
          <w:rFonts w:asciiTheme="minorHAnsi" w:hAnsiTheme="minorHAnsi" w:cstheme="minorHAnsi"/>
          <w:sz w:val="26"/>
          <w:szCs w:val="26"/>
        </w:rPr>
        <w:t>,</w:t>
      </w:r>
      <w:r w:rsidR="00385F97">
        <w:rPr>
          <w:rFonts w:asciiTheme="minorHAnsi" w:hAnsiTheme="minorHAnsi" w:cstheme="minorHAnsi"/>
          <w:sz w:val="26"/>
          <w:szCs w:val="26"/>
        </w:rPr>
        <w:t xml:space="preserve"> and by extension, Botha’s financial </w:t>
      </w:r>
      <w:r w:rsidR="00C959F2">
        <w:rPr>
          <w:rFonts w:asciiTheme="minorHAnsi" w:hAnsiTheme="minorHAnsi" w:cstheme="minorHAnsi"/>
          <w:sz w:val="26"/>
          <w:szCs w:val="26"/>
        </w:rPr>
        <w:t>interest in the companies</w:t>
      </w:r>
      <w:r>
        <w:rPr>
          <w:rFonts w:asciiTheme="minorHAnsi" w:hAnsiTheme="minorHAnsi" w:cstheme="minorHAnsi"/>
          <w:sz w:val="26"/>
          <w:szCs w:val="26"/>
        </w:rPr>
        <w:t>. As Jurgens had made no attempt to fill the vacant positions, he took it upon himself to advertise the vacancies</w:t>
      </w:r>
      <w:r w:rsidR="00385F97">
        <w:rPr>
          <w:rFonts w:asciiTheme="minorHAnsi" w:hAnsiTheme="minorHAnsi" w:cstheme="minorHAnsi"/>
          <w:sz w:val="26"/>
          <w:szCs w:val="26"/>
        </w:rPr>
        <w:t xml:space="preserve"> during September 2019.</w:t>
      </w:r>
    </w:p>
    <w:p w:rsidR="00045AA5" w:rsidRPr="00363B67" w:rsidRDefault="00045AA5" w:rsidP="00045AA5">
      <w:pPr>
        <w:pStyle w:val="ListParagraph"/>
        <w:rPr>
          <w:rFonts w:asciiTheme="minorHAnsi" w:hAnsiTheme="minorHAnsi" w:cstheme="minorHAnsi"/>
          <w:sz w:val="26"/>
          <w:szCs w:val="26"/>
        </w:rPr>
      </w:pPr>
    </w:p>
    <w:p w:rsidR="00045AA5" w:rsidRDefault="00C959F2"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Botha’s evidence is the following:</w:t>
      </w:r>
    </w:p>
    <w:p w:rsidR="00C959F2" w:rsidRPr="00C0341B" w:rsidRDefault="00C959F2" w:rsidP="00C959F2">
      <w:pPr>
        <w:pStyle w:val="NormalWeb"/>
        <w:spacing w:line="276" w:lineRule="auto"/>
        <w:ind w:left="851"/>
        <w:jc w:val="both"/>
        <w:rPr>
          <w:rFonts w:asciiTheme="minorHAnsi" w:hAnsiTheme="minorHAnsi" w:cstheme="minorHAnsi"/>
          <w:color w:val="000000"/>
          <w:sz w:val="22"/>
          <w:szCs w:val="22"/>
        </w:rPr>
      </w:pPr>
      <w:r>
        <w:rPr>
          <w:rFonts w:asciiTheme="minorHAnsi" w:hAnsiTheme="minorHAnsi" w:cstheme="minorHAnsi"/>
          <w:color w:val="000000"/>
          <w:sz w:val="22"/>
          <w:szCs w:val="22"/>
        </w:rPr>
        <w:t>“</w:t>
      </w:r>
      <w:r w:rsidRPr="00C0341B">
        <w:rPr>
          <w:rFonts w:asciiTheme="minorHAnsi" w:hAnsiTheme="minorHAnsi" w:cstheme="minorHAnsi"/>
          <w:color w:val="000000"/>
          <w:sz w:val="22"/>
          <w:szCs w:val="22"/>
        </w:rPr>
        <w:t>Realizing that the First Applicant has no intention to fill these positions and realizing the detrimental effect it has on the two practices and on my financial interests in the First and Second Applicants, I during September 2019 decided to place two advertisements in the Krugersdorp News and Roodepoort Northsider newspapers in which the vacant positions were advertised. … By agreement with the publishers we would qualify for a discount and one third of the price if payment had been made immediately. When the accounts rendered by Caxton Newspapers were not paid, I took it upon myself to make these payments. In the process I made two transfers from one of the business accounts in the amounts of R6 575.24 and R6 434.48</w:t>
      </w:r>
      <w:r>
        <w:rPr>
          <w:rFonts w:asciiTheme="minorHAnsi" w:hAnsiTheme="minorHAnsi" w:cstheme="minorHAnsi"/>
          <w:color w:val="000000"/>
          <w:sz w:val="22"/>
          <w:szCs w:val="22"/>
        </w:rPr>
        <w:t>…</w:t>
      </w:r>
    </w:p>
    <w:p w:rsidR="00C959F2" w:rsidRDefault="00C959F2" w:rsidP="00C959F2">
      <w:pPr>
        <w:pStyle w:val="ListParagraph"/>
        <w:spacing w:after="200" w:line="276" w:lineRule="auto"/>
        <w:ind w:left="851"/>
        <w:jc w:val="both"/>
        <w:rPr>
          <w:rFonts w:asciiTheme="minorHAnsi" w:hAnsiTheme="minorHAnsi" w:cstheme="minorHAnsi"/>
          <w:sz w:val="26"/>
          <w:szCs w:val="26"/>
        </w:rPr>
      </w:pPr>
      <w:r w:rsidRPr="00C0341B">
        <w:rPr>
          <w:rFonts w:asciiTheme="minorHAnsi" w:hAnsiTheme="minorHAnsi" w:cstheme="minorHAnsi"/>
          <w:color w:val="000000"/>
          <w:sz w:val="22"/>
          <w:szCs w:val="22"/>
        </w:rPr>
        <w:t>I did not hide the fact that I had made these two payments. On 17 September 2019 Scholtz Attorneys inter alia advised Carol Van Molendorff Attoneys in a letter that I have placed an advertisement and that I shall be conducting interviews. …I remain a director of both companies. By law I have a duty to act in good faith, for a proper purpose and in the best interests of the Second and Third Applicants. I at all times believed that I was acting in good faith and for a proper purpose and in the best interests of the Second and Third Applicants as required by section 76(3) of the Companies Act, 71 of 2008 and that I had a duty towards the Second and third applicant to do so...These expenses had been incurred for the benefit of the practices of the Second and Third Applicants. It was in the interests of both the Second and Third Applicants that the vacancies be filled. I managed to secure a substantial discount should payment be made speedily. However, the First Respondent deliberately delayed payment of these amounts and in order to avail ourselves of the discount, I made payment...After these payments had been made and upon the First Applicant questioning the validity of these payments, I discussed the matter with Mynhardt Boshoff, who confirmed that these payments are business related and should be paid.</w:t>
      </w:r>
      <w:r>
        <w:rPr>
          <w:rFonts w:asciiTheme="minorHAnsi" w:hAnsiTheme="minorHAnsi" w:cstheme="minorHAnsi"/>
          <w:color w:val="000000"/>
          <w:sz w:val="22"/>
          <w:szCs w:val="22"/>
        </w:rPr>
        <w:t>”</w:t>
      </w:r>
    </w:p>
    <w:p w:rsidR="00045AA5" w:rsidRDefault="00045AA5" w:rsidP="00045AA5">
      <w:pPr>
        <w:pStyle w:val="ListParagraph"/>
        <w:rPr>
          <w:rFonts w:asciiTheme="minorHAnsi" w:hAnsiTheme="minorHAnsi" w:cstheme="minorHAnsi"/>
          <w:sz w:val="26"/>
          <w:szCs w:val="26"/>
        </w:rPr>
      </w:pPr>
    </w:p>
    <w:p w:rsidR="00045AA5" w:rsidRDefault="00C959F2"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Jurgens disputes that </w:t>
      </w:r>
      <w:r w:rsidR="00806360">
        <w:rPr>
          <w:rFonts w:asciiTheme="minorHAnsi" w:hAnsiTheme="minorHAnsi" w:cstheme="minorHAnsi"/>
          <w:sz w:val="26"/>
          <w:szCs w:val="26"/>
        </w:rPr>
        <w:t xml:space="preserve">it was necessary to fill </w:t>
      </w:r>
      <w:r>
        <w:rPr>
          <w:rFonts w:asciiTheme="minorHAnsi" w:hAnsiTheme="minorHAnsi" w:cstheme="minorHAnsi"/>
          <w:sz w:val="26"/>
          <w:szCs w:val="26"/>
        </w:rPr>
        <w:t>the vacancies</w:t>
      </w:r>
      <w:r w:rsidR="001A4292">
        <w:rPr>
          <w:rFonts w:asciiTheme="minorHAnsi" w:hAnsiTheme="minorHAnsi" w:cstheme="minorHAnsi"/>
          <w:sz w:val="26"/>
          <w:szCs w:val="26"/>
        </w:rPr>
        <w:t>. Whether or not he is correct is not the issue in these proceedings.</w:t>
      </w:r>
      <w:r>
        <w:rPr>
          <w:rFonts w:asciiTheme="minorHAnsi" w:hAnsiTheme="minorHAnsi" w:cstheme="minorHAnsi"/>
          <w:sz w:val="26"/>
          <w:szCs w:val="26"/>
        </w:rPr>
        <w:t xml:space="preserve"> The </w:t>
      </w:r>
      <w:r w:rsidR="001A4292">
        <w:rPr>
          <w:rFonts w:asciiTheme="minorHAnsi" w:hAnsiTheme="minorHAnsi" w:cstheme="minorHAnsi"/>
          <w:sz w:val="26"/>
          <w:szCs w:val="26"/>
        </w:rPr>
        <w:t>issue</w:t>
      </w:r>
      <w:r>
        <w:rPr>
          <w:rFonts w:asciiTheme="minorHAnsi" w:hAnsiTheme="minorHAnsi" w:cstheme="minorHAnsi"/>
          <w:sz w:val="26"/>
          <w:szCs w:val="26"/>
        </w:rPr>
        <w:t xml:space="preserve"> is whether or not Botha’s evidence is sufficient to dispel </w:t>
      </w:r>
      <w:r w:rsidR="005603E3">
        <w:rPr>
          <w:rFonts w:asciiTheme="minorHAnsi" w:hAnsiTheme="minorHAnsi" w:cstheme="minorHAnsi"/>
          <w:sz w:val="26"/>
          <w:szCs w:val="26"/>
        </w:rPr>
        <w:t xml:space="preserve">an </w:t>
      </w:r>
      <w:r>
        <w:rPr>
          <w:rFonts w:asciiTheme="minorHAnsi" w:hAnsiTheme="minorHAnsi" w:cstheme="minorHAnsi"/>
          <w:sz w:val="26"/>
          <w:szCs w:val="26"/>
        </w:rPr>
        <w:t xml:space="preserve">assumption of wilfulness and </w:t>
      </w:r>
      <w:r w:rsidRPr="00C959F2">
        <w:rPr>
          <w:rFonts w:asciiTheme="minorHAnsi" w:hAnsiTheme="minorHAnsi" w:cstheme="minorHAnsi"/>
          <w:i/>
          <w:sz w:val="26"/>
          <w:szCs w:val="26"/>
        </w:rPr>
        <w:t>mala fides</w:t>
      </w:r>
      <w:r>
        <w:rPr>
          <w:rFonts w:asciiTheme="minorHAnsi" w:hAnsiTheme="minorHAnsi" w:cstheme="minorHAnsi"/>
          <w:sz w:val="26"/>
          <w:szCs w:val="26"/>
        </w:rPr>
        <w:t xml:space="preserve">. Accepting that Mynhardt subsequently ratified the payments as being a legitimate business expense, and although the amounts involved in respect of advertising costs were small, Botha’s actions should not be trivialised and did not entitle him to disregard the order. I am unable, however, to find that he acted </w:t>
      </w:r>
      <w:r w:rsidRPr="00B93808">
        <w:rPr>
          <w:rFonts w:asciiTheme="minorHAnsi" w:hAnsiTheme="minorHAnsi" w:cstheme="minorHAnsi"/>
          <w:i/>
          <w:sz w:val="26"/>
          <w:szCs w:val="26"/>
        </w:rPr>
        <w:t>mala fide</w:t>
      </w:r>
      <w:r>
        <w:rPr>
          <w:rFonts w:asciiTheme="minorHAnsi" w:hAnsiTheme="minorHAnsi" w:cstheme="minorHAnsi"/>
          <w:sz w:val="26"/>
          <w:szCs w:val="26"/>
        </w:rPr>
        <w:t xml:space="preserve"> in seeking to </w:t>
      </w:r>
      <w:r w:rsidR="00B93808">
        <w:rPr>
          <w:rFonts w:asciiTheme="minorHAnsi" w:hAnsiTheme="minorHAnsi" w:cstheme="minorHAnsi"/>
          <w:sz w:val="26"/>
          <w:szCs w:val="26"/>
        </w:rPr>
        <w:t>sustain</w:t>
      </w:r>
      <w:r>
        <w:rPr>
          <w:rFonts w:asciiTheme="minorHAnsi" w:hAnsiTheme="minorHAnsi" w:cstheme="minorHAnsi"/>
          <w:sz w:val="26"/>
          <w:szCs w:val="26"/>
        </w:rPr>
        <w:t xml:space="preserve"> the financial well-being of the practices </w:t>
      </w:r>
      <w:r w:rsidR="00B93808">
        <w:rPr>
          <w:rFonts w:asciiTheme="minorHAnsi" w:hAnsiTheme="minorHAnsi" w:cstheme="minorHAnsi"/>
          <w:sz w:val="26"/>
          <w:szCs w:val="26"/>
        </w:rPr>
        <w:t>for the benefit of both shareholders.</w:t>
      </w:r>
      <w:r>
        <w:rPr>
          <w:rFonts w:asciiTheme="minorHAnsi" w:hAnsiTheme="minorHAnsi" w:cstheme="minorHAnsi"/>
          <w:sz w:val="26"/>
          <w:szCs w:val="26"/>
        </w:rPr>
        <w:t xml:space="preserve"> </w:t>
      </w:r>
      <w:r w:rsidR="00B93808">
        <w:rPr>
          <w:rFonts w:asciiTheme="minorHAnsi" w:hAnsiTheme="minorHAnsi" w:cstheme="minorHAnsi"/>
          <w:sz w:val="26"/>
          <w:szCs w:val="26"/>
        </w:rPr>
        <w:t>This leads to the ineluctable conclusion that contempt has not been established beyond a reasonable doubt.</w:t>
      </w:r>
      <w:r>
        <w:rPr>
          <w:rFonts w:asciiTheme="minorHAnsi" w:hAnsiTheme="minorHAnsi" w:cstheme="minorHAnsi"/>
          <w:sz w:val="26"/>
          <w:szCs w:val="26"/>
        </w:rPr>
        <w:t xml:space="preserve"> </w:t>
      </w:r>
    </w:p>
    <w:p w:rsidR="00045AA5" w:rsidRDefault="00045AA5" w:rsidP="00045AA5">
      <w:pPr>
        <w:pStyle w:val="ListParagraph"/>
        <w:rPr>
          <w:rFonts w:asciiTheme="minorHAnsi" w:hAnsiTheme="minorHAnsi" w:cstheme="minorHAnsi"/>
          <w:sz w:val="26"/>
          <w:szCs w:val="26"/>
        </w:rPr>
      </w:pPr>
    </w:p>
    <w:p w:rsidR="00B93808" w:rsidRDefault="00B93808" w:rsidP="00B93808">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Case for Botha in relation to Jurgens’s alleged breach of the order</w:t>
      </w:r>
    </w:p>
    <w:p w:rsidR="00B93808" w:rsidRDefault="00B93808" w:rsidP="00B93808">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i/>
          <w:sz w:val="26"/>
          <w:szCs w:val="26"/>
        </w:rPr>
        <w:t xml:space="preserve">Re Increase </w:t>
      </w:r>
      <w:r w:rsidR="001A4292">
        <w:rPr>
          <w:rFonts w:asciiTheme="minorHAnsi" w:hAnsiTheme="minorHAnsi" w:cstheme="minorHAnsi"/>
          <w:i/>
          <w:sz w:val="26"/>
          <w:szCs w:val="26"/>
        </w:rPr>
        <w:t>I</w:t>
      </w:r>
      <w:r>
        <w:rPr>
          <w:rFonts w:asciiTheme="minorHAnsi" w:hAnsiTheme="minorHAnsi" w:cstheme="minorHAnsi"/>
          <w:i/>
          <w:sz w:val="26"/>
          <w:szCs w:val="26"/>
        </w:rPr>
        <w:t xml:space="preserve">n </w:t>
      </w:r>
      <w:r w:rsidR="001A4292">
        <w:rPr>
          <w:rFonts w:asciiTheme="minorHAnsi" w:hAnsiTheme="minorHAnsi" w:cstheme="minorHAnsi"/>
          <w:i/>
          <w:sz w:val="26"/>
          <w:szCs w:val="26"/>
        </w:rPr>
        <w:t>R</w:t>
      </w:r>
      <w:r>
        <w:rPr>
          <w:rFonts w:asciiTheme="minorHAnsi" w:hAnsiTheme="minorHAnsi" w:cstheme="minorHAnsi"/>
          <w:i/>
          <w:sz w:val="26"/>
          <w:szCs w:val="26"/>
        </w:rPr>
        <w:t>ental</w:t>
      </w:r>
    </w:p>
    <w:p w:rsidR="00045AA5" w:rsidRPr="00AE1550" w:rsidRDefault="00C53B0F"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not in dispute that Jurgens, acting in his capacity as co-director and 50% shareholder of Manatech, </w:t>
      </w:r>
      <w:r w:rsidR="00232084">
        <w:rPr>
          <w:rFonts w:asciiTheme="minorHAnsi" w:hAnsiTheme="minorHAnsi" w:cstheme="minorHAnsi"/>
          <w:sz w:val="26"/>
          <w:szCs w:val="26"/>
        </w:rPr>
        <w:t xml:space="preserve">being </w:t>
      </w:r>
      <w:r>
        <w:rPr>
          <w:rFonts w:asciiTheme="minorHAnsi" w:hAnsiTheme="minorHAnsi" w:cstheme="minorHAnsi"/>
          <w:sz w:val="26"/>
          <w:szCs w:val="26"/>
        </w:rPr>
        <w:t xml:space="preserve">the </w:t>
      </w:r>
      <w:r w:rsidR="005603E3">
        <w:rPr>
          <w:rFonts w:asciiTheme="minorHAnsi" w:hAnsiTheme="minorHAnsi" w:cstheme="minorHAnsi"/>
          <w:sz w:val="26"/>
          <w:szCs w:val="26"/>
        </w:rPr>
        <w:t>landlord</w:t>
      </w:r>
      <w:r w:rsidR="00F65234">
        <w:rPr>
          <w:rFonts w:asciiTheme="minorHAnsi" w:hAnsiTheme="minorHAnsi" w:cstheme="minorHAnsi"/>
          <w:sz w:val="26"/>
          <w:szCs w:val="26"/>
        </w:rPr>
        <w:t xml:space="preserve"> in respect of premises occupied by </w:t>
      </w:r>
      <w:r>
        <w:rPr>
          <w:rFonts w:asciiTheme="minorHAnsi" w:hAnsiTheme="minorHAnsi" w:cstheme="minorHAnsi"/>
          <w:sz w:val="26"/>
          <w:szCs w:val="26"/>
        </w:rPr>
        <w:t>the second applicant</w:t>
      </w:r>
      <w:r w:rsidR="00F65234">
        <w:rPr>
          <w:rFonts w:asciiTheme="minorHAnsi" w:hAnsiTheme="minorHAnsi" w:cstheme="minorHAnsi"/>
          <w:sz w:val="26"/>
          <w:szCs w:val="26"/>
        </w:rPr>
        <w:t xml:space="preserve"> as </w:t>
      </w:r>
      <w:r w:rsidR="005603E3">
        <w:rPr>
          <w:rFonts w:asciiTheme="minorHAnsi" w:hAnsiTheme="minorHAnsi" w:cstheme="minorHAnsi"/>
          <w:sz w:val="26"/>
          <w:szCs w:val="26"/>
        </w:rPr>
        <w:t>tenant</w:t>
      </w:r>
      <w:r w:rsidR="00F65234">
        <w:rPr>
          <w:rFonts w:asciiTheme="minorHAnsi" w:hAnsiTheme="minorHAnsi" w:cstheme="minorHAnsi"/>
          <w:sz w:val="26"/>
          <w:szCs w:val="26"/>
        </w:rPr>
        <w:t>,</w:t>
      </w:r>
      <w:r>
        <w:rPr>
          <w:rFonts w:asciiTheme="minorHAnsi" w:hAnsiTheme="minorHAnsi" w:cstheme="minorHAnsi"/>
          <w:sz w:val="26"/>
          <w:szCs w:val="26"/>
        </w:rPr>
        <w:t xml:space="preserve"> </w:t>
      </w:r>
      <w:r w:rsidR="00A50AC8">
        <w:rPr>
          <w:rFonts w:asciiTheme="minorHAnsi" w:hAnsiTheme="minorHAnsi" w:cstheme="minorHAnsi"/>
          <w:sz w:val="26"/>
          <w:szCs w:val="26"/>
        </w:rPr>
        <w:t>concurred with the decision of</w:t>
      </w:r>
      <w:r w:rsidR="00F65234">
        <w:rPr>
          <w:rFonts w:asciiTheme="minorHAnsi" w:hAnsiTheme="minorHAnsi" w:cstheme="minorHAnsi"/>
          <w:sz w:val="26"/>
          <w:szCs w:val="26"/>
        </w:rPr>
        <w:t xml:space="preserve"> his co-director </w:t>
      </w:r>
      <w:r w:rsidR="00A50AC8">
        <w:rPr>
          <w:rFonts w:asciiTheme="minorHAnsi" w:hAnsiTheme="minorHAnsi" w:cstheme="minorHAnsi"/>
          <w:sz w:val="26"/>
          <w:szCs w:val="26"/>
        </w:rPr>
        <w:t xml:space="preserve">(one, </w:t>
      </w:r>
      <w:r w:rsidR="001E627C">
        <w:rPr>
          <w:rFonts w:asciiTheme="minorHAnsi" w:hAnsiTheme="minorHAnsi" w:cstheme="minorHAnsi"/>
          <w:sz w:val="26"/>
          <w:szCs w:val="26"/>
        </w:rPr>
        <w:t xml:space="preserve">Roelof </w:t>
      </w:r>
      <w:r w:rsidR="00A50AC8">
        <w:rPr>
          <w:rFonts w:asciiTheme="minorHAnsi" w:hAnsiTheme="minorHAnsi" w:cstheme="minorHAnsi"/>
          <w:sz w:val="26"/>
          <w:szCs w:val="26"/>
        </w:rPr>
        <w:t xml:space="preserve">Venter) </w:t>
      </w:r>
      <w:r>
        <w:rPr>
          <w:rFonts w:asciiTheme="minorHAnsi" w:hAnsiTheme="minorHAnsi" w:cstheme="minorHAnsi"/>
          <w:sz w:val="26"/>
          <w:szCs w:val="26"/>
        </w:rPr>
        <w:t xml:space="preserve">that rental payable by the practice </w:t>
      </w:r>
      <w:r w:rsidR="00F65234">
        <w:rPr>
          <w:rFonts w:asciiTheme="minorHAnsi" w:hAnsiTheme="minorHAnsi" w:cstheme="minorHAnsi"/>
          <w:sz w:val="26"/>
          <w:szCs w:val="26"/>
        </w:rPr>
        <w:t>sh</w:t>
      </w:r>
      <w:r>
        <w:rPr>
          <w:rFonts w:asciiTheme="minorHAnsi" w:hAnsiTheme="minorHAnsi" w:cstheme="minorHAnsi"/>
          <w:sz w:val="26"/>
          <w:szCs w:val="26"/>
        </w:rPr>
        <w:t>ould increase from R22 220.49 to R45000.00 per month</w:t>
      </w:r>
      <w:r w:rsidR="00F65234">
        <w:rPr>
          <w:rFonts w:asciiTheme="minorHAnsi" w:hAnsiTheme="minorHAnsi" w:cstheme="minorHAnsi"/>
          <w:sz w:val="26"/>
          <w:szCs w:val="26"/>
        </w:rPr>
        <w:t xml:space="preserve">, commencing </w:t>
      </w:r>
      <w:r w:rsidR="00A50AC8">
        <w:rPr>
          <w:rFonts w:asciiTheme="minorHAnsi" w:hAnsiTheme="minorHAnsi" w:cstheme="minorHAnsi"/>
          <w:sz w:val="26"/>
          <w:szCs w:val="26"/>
        </w:rPr>
        <w:t>on 1</w:t>
      </w:r>
      <w:r w:rsidR="00F65234">
        <w:rPr>
          <w:rFonts w:asciiTheme="minorHAnsi" w:hAnsiTheme="minorHAnsi" w:cstheme="minorHAnsi"/>
          <w:sz w:val="26"/>
          <w:szCs w:val="26"/>
        </w:rPr>
        <w:t xml:space="preserve"> January 2020</w:t>
      </w:r>
      <w:r>
        <w:rPr>
          <w:rFonts w:asciiTheme="minorHAnsi" w:hAnsiTheme="minorHAnsi" w:cstheme="minorHAnsi"/>
          <w:sz w:val="26"/>
          <w:szCs w:val="26"/>
        </w:rPr>
        <w:t xml:space="preserve">. In his capacity as co-director of the lessee, </w:t>
      </w:r>
      <w:r w:rsidR="00A50AC8">
        <w:rPr>
          <w:rFonts w:asciiTheme="minorHAnsi" w:hAnsiTheme="minorHAnsi" w:cstheme="minorHAnsi"/>
          <w:sz w:val="26"/>
          <w:szCs w:val="26"/>
        </w:rPr>
        <w:t>Jurgens</w:t>
      </w:r>
      <w:r>
        <w:rPr>
          <w:rFonts w:asciiTheme="minorHAnsi" w:hAnsiTheme="minorHAnsi" w:cstheme="minorHAnsi"/>
          <w:sz w:val="26"/>
          <w:szCs w:val="26"/>
        </w:rPr>
        <w:t xml:space="preserve"> </w:t>
      </w:r>
      <w:r w:rsidR="00A50AC8">
        <w:rPr>
          <w:rFonts w:asciiTheme="minorHAnsi" w:hAnsiTheme="minorHAnsi" w:cstheme="minorHAnsi"/>
          <w:sz w:val="26"/>
          <w:szCs w:val="26"/>
        </w:rPr>
        <w:t>acceded</w:t>
      </w:r>
      <w:r>
        <w:rPr>
          <w:rFonts w:asciiTheme="minorHAnsi" w:hAnsiTheme="minorHAnsi" w:cstheme="minorHAnsi"/>
          <w:sz w:val="26"/>
          <w:szCs w:val="26"/>
        </w:rPr>
        <w:t xml:space="preserve"> to the increase </w:t>
      </w:r>
      <w:r w:rsidR="00232084">
        <w:rPr>
          <w:rFonts w:asciiTheme="minorHAnsi" w:hAnsiTheme="minorHAnsi" w:cstheme="minorHAnsi"/>
          <w:sz w:val="26"/>
          <w:szCs w:val="26"/>
        </w:rPr>
        <w:t xml:space="preserve">in rental </w:t>
      </w:r>
      <w:r>
        <w:rPr>
          <w:rFonts w:asciiTheme="minorHAnsi" w:hAnsiTheme="minorHAnsi" w:cstheme="minorHAnsi"/>
          <w:sz w:val="26"/>
          <w:szCs w:val="26"/>
        </w:rPr>
        <w:t xml:space="preserve">without the knowledge or consent of Botha. </w:t>
      </w:r>
      <w:r w:rsidR="00490A6B">
        <w:rPr>
          <w:rFonts w:asciiTheme="minorHAnsi" w:hAnsiTheme="minorHAnsi" w:cstheme="minorHAnsi"/>
          <w:sz w:val="26"/>
          <w:szCs w:val="26"/>
        </w:rPr>
        <w:t xml:space="preserve">Payment of rental had </w:t>
      </w:r>
      <w:r w:rsidR="002144B9">
        <w:rPr>
          <w:rFonts w:asciiTheme="minorHAnsi" w:hAnsiTheme="minorHAnsi" w:cstheme="minorHAnsi"/>
          <w:sz w:val="26"/>
          <w:szCs w:val="26"/>
        </w:rPr>
        <w:t xml:space="preserve">previously </w:t>
      </w:r>
      <w:r w:rsidR="00490A6B">
        <w:rPr>
          <w:rFonts w:asciiTheme="minorHAnsi" w:hAnsiTheme="minorHAnsi" w:cstheme="minorHAnsi"/>
          <w:sz w:val="26"/>
          <w:szCs w:val="26"/>
        </w:rPr>
        <w:t>always been effected by way of monthly debit order.</w:t>
      </w:r>
      <w:r w:rsidR="002144B9">
        <w:rPr>
          <w:rStyle w:val="FootnoteReference"/>
          <w:rFonts w:asciiTheme="minorHAnsi" w:hAnsiTheme="minorHAnsi" w:cstheme="minorHAnsi"/>
          <w:sz w:val="26"/>
          <w:szCs w:val="26"/>
        </w:rPr>
        <w:footnoteReference w:id="23"/>
      </w:r>
      <w:r w:rsidR="00490A6B">
        <w:rPr>
          <w:rFonts w:asciiTheme="minorHAnsi" w:hAnsiTheme="minorHAnsi" w:cstheme="minorHAnsi"/>
          <w:sz w:val="26"/>
          <w:szCs w:val="26"/>
        </w:rPr>
        <w:t xml:space="preserve"> </w:t>
      </w:r>
    </w:p>
    <w:p w:rsidR="00045AA5" w:rsidRPr="00AE1550" w:rsidRDefault="00045AA5" w:rsidP="00045AA5">
      <w:pPr>
        <w:pStyle w:val="ListParagraph"/>
        <w:rPr>
          <w:rFonts w:asciiTheme="minorHAnsi" w:hAnsiTheme="minorHAnsi" w:cstheme="minorHAnsi"/>
          <w:sz w:val="26"/>
          <w:szCs w:val="26"/>
        </w:rPr>
      </w:pPr>
    </w:p>
    <w:p w:rsidR="00045AA5" w:rsidRPr="00232084" w:rsidRDefault="00232084" w:rsidP="00045AA5">
      <w:pPr>
        <w:pStyle w:val="ListParagraph"/>
        <w:numPr>
          <w:ilvl w:val="0"/>
          <w:numId w:val="3"/>
        </w:numPr>
        <w:spacing w:after="200" w:line="360" w:lineRule="auto"/>
        <w:jc w:val="both"/>
        <w:rPr>
          <w:rFonts w:asciiTheme="minorHAnsi" w:hAnsiTheme="minorHAnsi" w:cstheme="minorHAnsi"/>
          <w:color w:val="242121"/>
          <w:sz w:val="26"/>
          <w:szCs w:val="26"/>
        </w:rPr>
      </w:pPr>
      <w:r w:rsidRPr="00232084">
        <w:rPr>
          <w:rFonts w:asciiTheme="minorHAnsi" w:hAnsiTheme="minorHAnsi" w:cstheme="minorHAnsi"/>
          <w:color w:val="242121"/>
          <w:sz w:val="26"/>
          <w:szCs w:val="26"/>
        </w:rPr>
        <w:t>Botha</w:t>
      </w:r>
      <w:r>
        <w:rPr>
          <w:rFonts w:asciiTheme="minorHAnsi" w:hAnsiTheme="minorHAnsi" w:cstheme="minorHAnsi"/>
          <w:color w:val="242121"/>
          <w:sz w:val="26"/>
          <w:szCs w:val="26"/>
        </w:rPr>
        <w:t>’s complaint is that payment of increased rental amounted to a financial transaction in respect of the bank account of the second applicant</w:t>
      </w:r>
      <w:r w:rsidR="001E627C">
        <w:rPr>
          <w:rFonts w:asciiTheme="minorHAnsi" w:hAnsiTheme="minorHAnsi" w:cstheme="minorHAnsi"/>
          <w:color w:val="242121"/>
          <w:sz w:val="26"/>
          <w:szCs w:val="26"/>
        </w:rPr>
        <w:t xml:space="preserve"> and that Jurgens</w:t>
      </w:r>
      <w:r w:rsidR="00490A6B">
        <w:rPr>
          <w:rFonts w:asciiTheme="minorHAnsi" w:hAnsiTheme="minorHAnsi" w:cstheme="minorHAnsi"/>
          <w:color w:val="242121"/>
          <w:sz w:val="26"/>
          <w:szCs w:val="26"/>
        </w:rPr>
        <w:t xml:space="preserve"> breached par 3.2 of the order in that Boshoff was not asked to determine and approve the amount of the increased rental. He was merely informed thereof in an email </w:t>
      </w:r>
      <w:r w:rsidR="002144B9">
        <w:rPr>
          <w:rFonts w:asciiTheme="minorHAnsi" w:hAnsiTheme="minorHAnsi" w:cstheme="minorHAnsi"/>
          <w:color w:val="242121"/>
          <w:sz w:val="26"/>
          <w:szCs w:val="26"/>
        </w:rPr>
        <w:t xml:space="preserve">sent </w:t>
      </w:r>
      <w:r w:rsidR="00490A6B">
        <w:rPr>
          <w:rFonts w:asciiTheme="minorHAnsi" w:hAnsiTheme="minorHAnsi" w:cstheme="minorHAnsi"/>
          <w:color w:val="242121"/>
          <w:sz w:val="26"/>
          <w:szCs w:val="26"/>
        </w:rPr>
        <w:t xml:space="preserve">by Renita </w:t>
      </w:r>
      <w:r w:rsidR="002144B9">
        <w:rPr>
          <w:rFonts w:asciiTheme="minorHAnsi" w:hAnsiTheme="minorHAnsi" w:cstheme="minorHAnsi"/>
          <w:color w:val="242121"/>
          <w:sz w:val="26"/>
          <w:szCs w:val="26"/>
        </w:rPr>
        <w:t>Van der</w:t>
      </w:r>
      <w:r w:rsidR="00490A6B">
        <w:rPr>
          <w:rFonts w:asciiTheme="minorHAnsi" w:hAnsiTheme="minorHAnsi" w:cstheme="minorHAnsi"/>
          <w:color w:val="242121"/>
          <w:sz w:val="26"/>
          <w:szCs w:val="26"/>
        </w:rPr>
        <w:t xml:space="preserve"> Merwe on 21 December 2020. </w:t>
      </w:r>
    </w:p>
    <w:p w:rsidR="00045AA5" w:rsidRPr="00E74861" w:rsidRDefault="00045AA5" w:rsidP="00045AA5">
      <w:pPr>
        <w:pStyle w:val="ListParagraph"/>
        <w:rPr>
          <w:rFonts w:asciiTheme="minorHAnsi" w:hAnsiTheme="minorHAnsi" w:cstheme="minorHAnsi"/>
          <w:sz w:val="26"/>
          <w:szCs w:val="26"/>
        </w:rPr>
      </w:pPr>
    </w:p>
    <w:p w:rsidR="00045AA5" w:rsidRDefault="001E627C"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 to Botha, e</w:t>
      </w:r>
      <w:r w:rsidRPr="00120130">
        <w:rPr>
          <w:rFonts w:asciiTheme="minorHAnsi" w:hAnsiTheme="minorHAnsi" w:cstheme="minorHAnsi"/>
          <w:color w:val="000000"/>
          <w:sz w:val="26"/>
          <w:szCs w:val="26"/>
        </w:rPr>
        <w:t xml:space="preserve">ither </w:t>
      </w:r>
      <w:r>
        <w:rPr>
          <w:rFonts w:asciiTheme="minorHAnsi" w:hAnsiTheme="minorHAnsi" w:cstheme="minorHAnsi"/>
          <w:color w:val="000000"/>
          <w:sz w:val="26"/>
          <w:szCs w:val="26"/>
        </w:rPr>
        <w:t>Jurgens</w:t>
      </w:r>
      <w:r w:rsidRPr="00120130">
        <w:rPr>
          <w:rFonts w:asciiTheme="minorHAnsi" w:hAnsiTheme="minorHAnsi" w:cstheme="minorHAnsi"/>
          <w:color w:val="000000"/>
          <w:sz w:val="26"/>
          <w:szCs w:val="26"/>
        </w:rPr>
        <w:t xml:space="preserve"> or Van der Merwe must have increased the debit order from R22 220.69 to R45 000.00. If it was Van der Merwe, she </w:t>
      </w:r>
      <w:r w:rsidR="002144B9">
        <w:rPr>
          <w:rFonts w:asciiTheme="minorHAnsi" w:hAnsiTheme="minorHAnsi" w:cstheme="minorHAnsi"/>
          <w:color w:val="000000"/>
          <w:sz w:val="26"/>
          <w:szCs w:val="26"/>
        </w:rPr>
        <w:t>would</w:t>
      </w:r>
      <w:r w:rsidRPr="00120130">
        <w:rPr>
          <w:rFonts w:asciiTheme="minorHAnsi" w:hAnsiTheme="minorHAnsi" w:cstheme="minorHAnsi"/>
          <w:color w:val="000000"/>
          <w:sz w:val="26"/>
          <w:szCs w:val="26"/>
        </w:rPr>
        <w:t xml:space="preserve"> have done so on the instructions of </w:t>
      </w:r>
      <w:r>
        <w:rPr>
          <w:rFonts w:asciiTheme="minorHAnsi" w:hAnsiTheme="minorHAnsi" w:cstheme="minorHAnsi"/>
          <w:color w:val="000000"/>
          <w:sz w:val="26"/>
          <w:szCs w:val="26"/>
        </w:rPr>
        <w:t>Jurgens. In either event, Jurgens</w:t>
      </w:r>
      <w:r w:rsidRPr="00120130">
        <w:rPr>
          <w:rFonts w:asciiTheme="minorHAnsi" w:hAnsiTheme="minorHAnsi" w:cstheme="minorHAnsi"/>
          <w:color w:val="000000"/>
          <w:sz w:val="26"/>
          <w:szCs w:val="26"/>
        </w:rPr>
        <w:t xml:space="preserve"> increased </w:t>
      </w:r>
      <w:r>
        <w:rPr>
          <w:rFonts w:asciiTheme="minorHAnsi" w:hAnsiTheme="minorHAnsi" w:cstheme="minorHAnsi"/>
          <w:color w:val="000000"/>
          <w:sz w:val="26"/>
          <w:szCs w:val="26"/>
        </w:rPr>
        <w:t xml:space="preserve">or caused the adjustment of the debit order whilst </w:t>
      </w:r>
      <w:r w:rsidRPr="00120130">
        <w:rPr>
          <w:rFonts w:asciiTheme="minorHAnsi" w:hAnsiTheme="minorHAnsi" w:cstheme="minorHAnsi"/>
          <w:color w:val="000000"/>
          <w:sz w:val="26"/>
          <w:szCs w:val="26"/>
        </w:rPr>
        <w:t xml:space="preserve">knowing that he </w:t>
      </w:r>
      <w:r>
        <w:rPr>
          <w:rFonts w:asciiTheme="minorHAnsi" w:hAnsiTheme="minorHAnsi" w:cstheme="minorHAnsi"/>
          <w:color w:val="000000"/>
          <w:sz w:val="26"/>
          <w:szCs w:val="26"/>
        </w:rPr>
        <w:t>was</w:t>
      </w:r>
      <w:r w:rsidRPr="00120130">
        <w:rPr>
          <w:rFonts w:asciiTheme="minorHAnsi" w:hAnsiTheme="minorHAnsi" w:cstheme="minorHAnsi"/>
          <w:color w:val="000000"/>
          <w:sz w:val="26"/>
          <w:szCs w:val="26"/>
        </w:rPr>
        <w:t xml:space="preserve"> interdicted and restrained from conducting any banking or financial transactions in respect of any bank account of the Second </w:t>
      </w:r>
      <w:r>
        <w:rPr>
          <w:rFonts w:asciiTheme="minorHAnsi" w:hAnsiTheme="minorHAnsi" w:cstheme="minorHAnsi"/>
          <w:color w:val="000000"/>
          <w:sz w:val="26"/>
          <w:szCs w:val="26"/>
        </w:rPr>
        <w:t xml:space="preserve">Applicant </w:t>
      </w:r>
      <w:r w:rsidRPr="00120130">
        <w:rPr>
          <w:rFonts w:asciiTheme="minorHAnsi" w:hAnsiTheme="minorHAnsi" w:cstheme="minorHAnsi"/>
          <w:color w:val="000000"/>
          <w:sz w:val="26"/>
          <w:szCs w:val="26"/>
        </w:rPr>
        <w:t>in te</w:t>
      </w:r>
      <w:r>
        <w:rPr>
          <w:rFonts w:asciiTheme="minorHAnsi" w:hAnsiTheme="minorHAnsi" w:cstheme="minorHAnsi"/>
          <w:color w:val="000000"/>
          <w:sz w:val="26"/>
          <w:szCs w:val="26"/>
        </w:rPr>
        <w:t>rms of paragraph 1 of the order</w:t>
      </w:r>
      <w:r w:rsidRPr="00120130">
        <w:rPr>
          <w:rFonts w:asciiTheme="minorHAnsi" w:hAnsiTheme="minorHAnsi" w:cstheme="minorHAnsi"/>
          <w:color w:val="000000"/>
          <w:sz w:val="26"/>
          <w:szCs w:val="26"/>
        </w:rPr>
        <w:t xml:space="preserve">. By increasing the monthly rental by more than 100%, the First Respondent gained a personal financial benefit, through his shareholding in Manatech, to the detriment of the Second </w:t>
      </w:r>
      <w:r>
        <w:rPr>
          <w:rFonts w:asciiTheme="minorHAnsi" w:hAnsiTheme="minorHAnsi" w:cstheme="minorHAnsi"/>
          <w:color w:val="000000"/>
          <w:sz w:val="26"/>
          <w:szCs w:val="26"/>
        </w:rPr>
        <w:t>Applicant</w:t>
      </w:r>
      <w:r w:rsidRPr="00120130">
        <w:rPr>
          <w:rFonts w:asciiTheme="minorHAnsi" w:hAnsiTheme="minorHAnsi" w:cstheme="minorHAnsi"/>
          <w:color w:val="000000"/>
          <w:sz w:val="26"/>
          <w:szCs w:val="26"/>
        </w:rPr>
        <w:t xml:space="preserve">. </w:t>
      </w:r>
    </w:p>
    <w:p w:rsidR="00045AA5" w:rsidRPr="00680821" w:rsidRDefault="00045AA5" w:rsidP="00045AA5">
      <w:pPr>
        <w:pStyle w:val="ListParagraph"/>
        <w:rPr>
          <w:rFonts w:asciiTheme="minorHAnsi" w:hAnsiTheme="minorHAnsi" w:cstheme="minorHAnsi"/>
          <w:sz w:val="26"/>
          <w:szCs w:val="26"/>
        </w:rPr>
      </w:pPr>
    </w:p>
    <w:p w:rsidR="00305979" w:rsidRDefault="00305979" w:rsidP="00305979">
      <w:pPr>
        <w:pStyle w:val="ListParagraph"/>
        <w:numPr>
          <w:ilvl w:val="0"/>
          <w:numId w:val="3"/>
        </w:numPr>
        <w:spacing w:after="200" w:line="360" w:lineRule="auto"/>
        <w:jc w:val="both"/>
        <w:rPr>
          <w:rFonts w:asciiTheme="minorHAnsi" w:hAnsiTheme="minorHAnsi" w:cstheme="minorHAnsi"/>
          <w:color w:val="000000"/>
          <w:sz w:val="26"/>
          <w:szCs w:val="26"/>
        </w:rPr>
      </w:pPr>
      <w:r w:rsidRPr="00F602EB">
        <w:rPr>
          <w:rFonts w:asciiTheme="minorHAnsi" w:hAnsiTheme="minorHAnsi" w:cstheme="minorHAnsi"/>
          <w:color w:val="000000"/>
          <w:sz w:val="26"/>
          <w:szCs w:val="26"/>
        </w:rPr>
        <w:t>According to Jurgens, Venter was the person who was running the business of Manatech and it is he who took all financial decisions. In a letter dated 10 December 2020, he informed the second applicant that the monthly rental payable by the second applicant would increase to R45 000 per month as from 1 January 2021</w:t>
      </w:r>
      <w:r w:rsidR="002144B9">
        <w:rPr>
          <w:rFonts w:asciiTheme="minorHAnsi" w:hAnsiTheme="minorHAnsi" w:cstheme="minorHAnsi"/>
          <w:color w:val="000000"/>
          <w:sz w:val="26"/>
          <w:szCs w:val="26"/>
        </w:rPr>
        <w:t>,</w:t>
      </w:r>
      <w:r w:rsidRPr="00F602EB">
        <w:rPr>
          <w:rFonts w:asciiTheme="minorHAnsi" w:hAnsiTheme="minorHAnsi" w:cstheme="minorHAnsi"/>
          <w:color w:val="000000"/>
          <w:sz w:val="26"/>
          <w:szCs w:val="26"/>
        </w:rPr>
        <w:t xml:space="preserve"> and called </w:t>
      </w:r>
      <w:r>
        <w:rPr>
          <w:rFonts w:asciiTheme="minorHAnsi" w:hAnsiTheme="minorHAnsi" w:cstheme="minorHAnsi"/>
          <w:color w:val="000000"/>
          <w:sz w:val="26"/>
          <w:szCs w:val="26"/>
        </w:rPr>
        <w:t>upon</w:t>
      </w:r>
      <w:r w:rsidRPr="00F602EB">
        <w:rPr>
          <w:rFonts w:asciiTheme="minorHAnsi" w:hAnsiTheme="minorHAnsi" w:cstheme="minorHAnsi"/>
          <w:color w:val="000000"/>
          <w:sz w:val="26"/>
          <w:szCs w:val="26"/>
        </w:rPr>
        <w:t xml:space="preserve"> the directors of the second applicant to provide suretyships in respect of the </w:t>
      </w:r>
      <w:r w:rsidR="002144B9">
        <w:rPr>
          <w:rFonts w:asciiTheme="minorHAnsi" w:hAnsiTheme="minorHAnsi" w:cstheme="minorHAnsi"/>
          <w:color w:val="000000"/>
          <w:sz w:val="26"/>
          <w:szCs w:val="26"/>
        </w:rPr>
        <w:t>company’s rental</w:t>
      </w:r>
      <w:r w:rsidRPr="00F602EB">
        <w:rPr>
          <w:rFonts w:asciiTheme="minorHAnsi" w:hAnsiTheme="minorHAnsi" w:cstheme="minorHAnsi"/>
          <w:color w:val="000000"/>
          <w:sz w:val="26"/>
          <w:szCs w:val="26"/>
        </w:rPr>
        <w:t xml:space="preserve"> payment obligations.</w:t>
      </w:r>
      <w:r>
        <w:rPr>
          <w:rFonts w:asciiTheme="minorHAnsi" w:hAnsiTheme="minorHAnsi" w:cstheme="minorHAnsi"/>
          <w:color w:val="000000"/>
          <w:sz w:val="26"/>
          <w:szCs w:val="26"/>
        </w:rPr>
        <w:t xml:space="preserve"> </w:t>
      </w:r>
      <w:r w:rsidR="002144B9">
        <w:rPr>
          <w:rFonts w:asciiTheme="minorHAnsi" w:hAnsiTheme="minorHAnsi" w:cstheme="minorHAnsi"/>
          <w:color w:val="000000"/>
          <w:sz w:val="26"/>
          <w:szCs w:val="26"/>
        </w:rPr>
        <w:t>According to Jurgens, t</w:t>
      </w:r>
      <w:r>
        <w:rPr>
          <w:rFonts w:asciiTheme="minorHAnsi" w:hAnsiTheme="minorHAnsi" w:cstheme="minorHAnsi"/>
          <w:color w:val="000000"/>
          <w:sz w:val="26"/>
          <w:szCs w:val="26"/>
        </w:rPr>
        <w:t xml:space="preserve">he rent payable by the second applicant had not increased since 2011 and an increase was implemented with a view to bring the rental </w:t>
      </w:r>
      <w:r w:rsidR="002144B9">
        <w:rPr>
          <w:rFonts w:asciiTheme="minorHAnsi" w:hAnsiTheme="minorHAnsi" w:cstheme="minorHAnsi"/>
          <w:color w:val="000000"/>
          <w:sz w:val="26"/>
          <w:szCs w:val="26"/>
        </w:rPr>
        <w:t xml:space="preserve">charged </w:t>
      </w:r>
      <w:r>
        <w:rPr>
          <w:rFonts w:asciiTheme="minorHAnsi" w:hAnsiTheme="minorHAnsi" w:cstheme="minorHAnsi"/>
          <w:color w:val="000000"/>
          <w:sz w:val="26"/>
          <w:szCs w:val="26"/>
        </w:rPr>
        <w:t>in line with comparative rentals being charged in respect of premises such as those occupied by the second applicant. These allegations were confirmed by Venter in a confirmatory affidavit.</w:t>
      </w:r>
    </w:p>
    <w:p w:rsidR="00305979" w:rsidRPr="00305979" w:rsidRDefault="00305979" w:rsidP="00305979">
      <w:pPr>
        <w:pStyle w:val="ListParagraph"/>
        <w:rPr>
          <w:rFonts w:asciiTheme="minorHAnsi" w:hAnsiTheme="minorHAnsi" w:cstheme="minorHAnsi"/>
          <w:color w:val="000000"/>
          <w:sz w:val="26"/>
          <w:szCs w:val="26"/>
        </w:rPr>
      </w:pPr>
    </w:p>
    <w:p w:rsidR="00045AA5" w:rsidRPr="00DB4CF1" w:rsidRDefault="00305979" w:rsidP="00305979">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color w:val="000000"/>
          <w:sz w:val="26"/>
          <w:szCs w:val="26"/>
        </w:rPr>
        <w:t>Jurgens denies having</w:t>
      </w:r>
      <w:r w:rsidRPr="005A5A80">
        <w:rPr>
          <w:rFonts w:asciiTheme="minorHAnsi" w:hAnsiTheme="minorHAnsi" w:cstheme="minorHAnsi"/>
          <w:color w:val="000000"/>
          <w:sz w:val="26"/>
          <w:szCs w:val="26"/>
        </w:rPr>
        <w:t xml:space="preserve"> acted in breach of the court order.</w:t>
      </w:r>
      <w:r>
        <w:rPr>
          <w:rFonts w:asciiTheme="minorHAnsi" w:hAnsiTheme="minorHAnsi" w:cstheme="minorHAnsi"/>
          <w:color w:val="000000"/>
          <w:sz w:val="26"/>
          <w:szCs w:val="26"/>
        </w:rPr>
        <w:t xml:space="preserve"> His evidence is to the effect that </w:t>
      </w:r>
      <w:r w:rsidRPr="005A5A80">
        <w:rPr>
          <w:rFonts w:asciiTheme="minorHAnsi" w:hAnsiTheme="minorHAnsi" w:cstheme="minorHAnsi"/>
          <w:color w:val="000000"/>
          <w:sz w:val="26"/>
          <w:szCs w:val="26"/>
        </w:rPr>
        <w:t>Mynardt was not required to authorise</w:t>
      </w:r>
      <w:r>
        <w:rPr>
          <w:rFonts w:asciiTheme="minorHAnsi" w:hAnsiTheme="minorHAnsi" w:cstheme="minorHAnsi"/>
          <w:color w:val="000000"/>
          <w:sz w:val="26"/>
          <w:szCs w:val="26"/>
        </w:rPr>
        <w:t xml:space="preserve"> or approve an increase in rent</w:t>
      </w:r>
      <w:r w:rsidRPr="005A5A80">
        <w:rPr>
          <w:rFonts w:asciiTheme="minorHAnsi" w:hAnsiTheme="minorHAnsi" w:cstheme="minorHAnsi"/>
          <w:color w:val="000000"/>
          <w:sz w:val="26"/>
          <w:szCs w:val="26"/>
        </w:rPr>
        <w:t xml:space="preserve"> required by the landlord in circumstances where </w:t>
      </w:r>
      <w:r>
        <w:rPr>
          <w:rFonts w:asciiTheme="minorHAnsi" w:hAnsiTheme="minorHAnsi" w:cstheme="minorHAnsi"/>
          <w:color w:val="000000"/>
          <w:sz w:val="26"/>
          <w:szCs w:val="26"/>
        </w:rPr>
        <w:t>nothing contained in the relevant lease agreement precluded the landlord from</w:t>
      </w:r>
      <w:r w:rsidRPr="005A5A80">
        <w:rPr>
          <w:rFonts w:asciiTheme="minorHAnsi" w:hAnsiTheme="minorHAnsi" w:cstheme="minorHAnsi"/>
          <w:color w:val="000000"/>
          <w:sz w:val="26"/>
          <w:szCs w:val="26"/>
        </w:rPr>
        <w:t xml:space="preserve"> increas</w:t>
      </w:r>
      <w:r>
        <w:rPr>
          <w:rFonts w:asciiTheme="minorHAnsi" w:hAnsiTheme="minorHAnsi" w:cstheme="minorHAnsi"/>
          <w:color w:val="000000"/>
          <w:sz w:val="26"/>
          <w:szCs w:val="26"/>
        </w:rPr>
        <w:t>ing</w:t>
      </w:r>
      <w:r w:rsidRPr="005A5A80">
        <w:rPr>
          <w:rFonts w:asciiTheme="minorHAnsi" w:hAnsiTheme="minorHAnsi" w:cstheme="minorHAnsi"/>
          <w:color w:val="000000"/>
          <w:sz w:val="26"/>
          <w:szCs w:val="26"/>
        </w:rPr>
        <w:t xml:space="preserve"> the rental </w:t>
      </w:r>
      <w:r>
        <w:rPr>
          <w:rFonts w:asciiTheme="minorHAnsi" w:hAnsiTheme="minorHAnsi" w:cstheme="minorHAnsi"/>
          <w:color w:val="000000"/>
          <w:sz w:val="26"/>
          <w:szCs w:val="26"/>
        </w:rPr>
        <w:t xml:space="preserve">and nothing therein contained either obliged it </w:t>
      </w:r>
      <w:r w:rsidRPr="005A5A80">
        <w:rPr>
          <w:rFonts w:asciiTheme="minorHAnsi" w:hAnsiTheme="minorHAnsi" w:cstheme="minorHAnsi"/>
          <w:color w:val="000000"/>
          <w:sz w:val="26"/>
          <w:szCs w:val="26"/>
        </w:rPr>
        <w:t xml:space="preserve">to negotiate </w:t>
      </w:r>
      <w:r>
        <w:rPr>
          <w:rFonts w:asciiTheme="minorHAnsi" w:hAnsiTheme="minorHAnsi" w:cstheme="minorHAnsi"/>
          <w:color w:val="000000"/>
          <w:sz w:val="26"/>
          <w:szCs w:val="26"/>
        </w:rPr>
        <w:t xml:space="preserve">any </w:t>
      </w:r>
      <w:r w:rsidRPr="005A5A80">
        <w:rPr>
          <w:rFonts w:asciiTheme="minorHAnsi" w:hAnsiTheme="minorHAnsi" w:cstheme="minorHAnsi"/>
          <w:color w:val="000000"/>
          <w:sz w:val="26"/>
          <w:szCs w:val="26"/>
        </w:rPr>
        <w:t>increase or the amount thereof with the lessee</w:t>
      </w:r>
      <w:r>
        <w:rPr>
          <w:rFonts w:asciiTheme="minorHAnsi" w:hAnsiTheme="minorHAnsi" w:cstheme="minorHAnsi"/>
          <w:color w:val="000000"/>
          <w:sz w:val="26"/>
          <w:szCs w:val="26"/>
        </w:rPr>
        <w:t xml:space="preserve">. </w:t>
      </w:r>
      <w:r w:rsidRPr="005A5A80">
        <w:rPr>
          <w:rFonts w:asciiTheme="minorHAnsi" w:hAnsiTheme="minorHAnsi" w:cstheme="minorHAnsi"/>
          <w:color w:val="000000"/>
          <w:sz w:val="26"/>
          <w:szCs w:val="26"/>
        </w:rPr>
        <w:t>Mynardt would not have been able to prevent the increase in rent</w:t>
      </w:r>
      <w:r>
        <w:rPr>
          <w:rFonts w:asciiTheme="minorHAnsi" w:hAnsiTheme="minorHAnsi" w:cstheme="minorHAnsi"/>
          <w:color w:val="000000"/>
          <w:sz w:val="26"/>
          <w:szCs w:val="26"/>
        </w:rPr>
        <w:t>,</w:t>
      </w:r>
      <w:r w:rsidRPr="005A5A80">
        <w:rPr>
          <w:rFonts w:asciiTheme="minorHAnsi" w:hAnsiTheme="minorHAnsi" w:cstheme="minorHAnsi"/>
          <w:color w:val="000000"/>
          <w:sz w:val="26"/>
          <w:szCs w:val="26"/>
        </w:rPr>
        <w:t xml:space="preserve"> although nothing prevented him from </w:t>
      </w:r>
      <w:r w:rsidRPr="005A5A80">
        <w:rPr>
          <w:rFonts w:asciiTheme="minorHAnsi" w:hAnsiTheme="minorHAnsi" w:cstheme="minorHAnsi"/>
          <w:color w:val="000000"/>
          <w:sz w:val="26"/>
          <w:szCs w:val="26"/>
        </w:rPr>
        <w:lastRenderedPageBreak/>
        <w:t xml:space="preserve">approaching the directors of Manatech to </w:t>
      </w:r>
      <w:r>
        <w:rPr>
          <w:rFonts w:asciiTheme="minorHAnsi" w:hAnsiTheme="minorHAnsi" w:cstheme="minorHAnsi"/>
          <w:color w:val="000000"/>
          <w:sz w:val="26"/>
          <w:szCs w:val="26"/>
        </w:rPr>
        <w:t xml:space="preserve">request them not to </w:t>
      </w:r>
      <w:r w:rsidRPr="005A5A80">
        <w:rPr>
          <w:rFonts w:asciiTheme="minorHAnsi" w:hAnsiTheme="minorHAnsi" w:cstheme="minorHAnsi"/>
          <w:color w:val="000000"/>
          <w:sz w:val="26"/>
          <w:szCs w:val="26"/>
        </w:rPr>
        <w:t xml:space="preserve">increase </w:t>
      </w:r>
      <w:r>
        <w:rPr>
          <w:rFonts w:asciiTheme="minorHAnsi" w:hAnsiTheme="minorHAnsi" w:cstheme="minorHAnsi"/>
          <w:color w:val="000000"/>
          <w:sz w:val="26"/>
          <w:szCs w:val="26"/>
        </w:rPr>
        <w:t>the</w:t>
      </w:r>
      <w:r w:rsidRPr="005A5A80">
        <w:rPr>
          <w:rFonts w:asciiTheme="minorHAnsi" w:hAnsiTheme="minorHAnsi" w:cstheme="minorHAnsi"/>
          <w:color w:val="000000"/>
          <w:sz w:val="26"/>
          <w:szCs w:val="26"/>
        </w:rPr>
        <w:t xml:space="preserve"> rent. He did not do so</w:t>
      </w:r>
      <w:r>
        <w:rPr>
          <w:rFonts w:asciiTheme="minorHAnsi" w:hAnsiTheme="minorHAnsi" w:cstheme="minorHAnsi"/>
          <w:color w:val="000000"/>
          <w:sz w:val="26"/>
          <w:szCs w:val="26"/>
        </w:rPr>
        <w:t>,</w:t>
      </w:r>
      <w:r w:rsidRPr="005A5A80">
        <w:rPr>
          <w:rFonts w:asciiTheme="minorHAnsi" w:hAnsiTheme="minorHAnsi" w:cstheme="minorHAnsi"/>
          <w:color w:val="000000"/>
          <w:sz w:val="26"/>
          <w:szCs w:val="26"/>
        </w:rPr>
        <w:t xml:space="preserve"> but accepted the increase or at least did not voice his objection thereto or dissatisfaction therewith. </w:t>
      </w:r>
      <w:r w:rsidR="002144B9">
        <w:rPr>
          <w:rFonts w:asciiTheme="minorHAnsi" w:hAnsiTheme="minorHAnsi" w:cstheme="minorHAnsi"/>
          <w:color w:val="000000"/>
          <w:sz w:val="26"/>
          <w:szCs w:val="26"/>
        </w:rPr>
        <w:t>According to Jurgens, ‘it</w:t>
      </w:r>
      <w:r w:rsidRPr="005A5A80">
        <w:rPr>
          <w:rFonts w:asciiTheme="minorHAnsi" w:hAnsiTheme="minorHAnsi" w:cstheme="minorHAnsi"/>
          <w:color w:val="000000"/>
          <w:sz w:val="26"/>
          <w:szCs w:val="26"/>
        </w:rPr>
        <w:t xml:space="preserve"> does not matter who caused the increase in the debit order as such increase simply followed the decision to increase the rent.</w:t>
      </w:r>
      <w:r w:rsidR="002144B9">
        <w:rPr>
          <w:rFonts w:asciiTheme="minorHAnsi" w:hAnsiTheme="minorHAnsi" w:cstheme="minorHAnsi"/>
          <w:color w:val="000000"/>
          <w:sz w:val="26"/>
          <w:szCs w:val="26"/>
        </w:rPr>
        <w:t>’</w:t>
      </w:r>
      <w:r w:rsidRPr="005A5A80">
        <w:rPr>
          <w:rFonts w:asciiTheme="minorHAnsi" w:hAnsiTheme="minorHAnsi" w:cstheme="minorHAnsi"/>
          <w:color w:val="000000"/>
          <w:sz w:val="26"/>
          <w:szCs w:val="26"/>
        </w:rPr>
        <w:t xml:space="preserve"> In any event, </w:t>
      </w:r>
      <w:r w:rsidR="002144B9">
        <w:rPr>
          <w:rFonts w:asciiTheme="minorHAnsi" w:hAnsiTheme="minorHAnsi" w:cstheme="minorHAnsi"/>
          <w:color w:val="000000"/>
          <w:sz w:val="26"/>
          <w:szCs w:val="26"/>
        </w:rPr>
        <w:t xml:space="preserve">Jurgens avers that </w:t>
      </w:r>
      <w:r w:rsidRPr="005A5A80">
        <w:rPr>
          <w:rFonts w:asciiTheme="minorHAnsi" w:hAnsiTheme="minorHAnsi" w:cstheme="minorHAnsi"/>
          <w:color w:val="000000"/>
          <w:sz w:val="26"/>
          <w:szCs w:val="26"/>
        </w:rPr>
        <w:t xml:space="preserve">it was Renita v/d Merwe who caused the debit order to be adjusted at the bank. She does not </w:t>
      </w:r>
      <w:r w:rsidR="002144B9">
        <w:rPr>
          <w:rFonts w:asciiTheme="minorHAnsi" w:hAnsiTheme="minorHAnsi" w:cstheme="minorHAnsi"/>
          <w:color w:val="000000"/>
          <w:sz w:val="26"/>
          <w:szCs w:val="26"/>
        </w:rPr>
        <w:t xml:space="preserve">ever </w:t>
      </w:r>
      <w:r w:rsidRPr="005A5A80">
        <w:rPr>
          <w:rFonts w:asciiTheme="minorHAnsi" w:hAnsiTheme="minorHAnsi" w:cstheme="minorHAnsi"/>
          <w:color w:val="000000"/>
          <w:sz w:val="26"/>
          <w:szCs w:val="26"/>
        </w:rPr>
        <w:t>put monthly recurring payments such as rent in respect of the premises of the second and t</w:t>
      </w:r>
      <w:r w:rsidR="002144B9">
        <w:rPr>
          <w:rFonts w:asciiTheme="minorHAnsi" w:hAnsiTheme="minorHAnsi" w:cstheme="minorHAnsi"/>
          <w:color w:val="000000"/>
          <w:sz w:val="26"/>
          <w:szCs w:val="26"/>
        </w:rPr>
        <w:t>hird applicants on a list that wa</w:t>
      </w:r>
      <w:r w:rsidRPr="005A5A80">
        <w:rPr>
          <w:rFonts w:asciiTheme="minorHAnsi" w:hAnsiTheme="minorHAnsi" w:cstheme="minorHAnsi"/>
          <w:color w:val="000000"/>
          <w:sz w:val="26"/>
          <w:szCs w:val="26"/>
        </w:rPr>
        <w:t>s given to Boshoff mo</w:t>
      </w:r>
      <w:r>
        <w:rPr>
          <w:rFonts w:asciiTheme="minorHAnsi" w:hAnsiTheme="minorHAnsi" w:cstheme="minorHAnsi"/>
          <w:color w:val="000000"/>
          <w:sz w:val="26"/>
          <w:szCs w:val="26"/>
        </w:rPr>
        <w:t>n</w:t>
      </w:r>
      <w:r w:rsidRPr="005A5A80">
        <w:rPr>
          <w:rFonts w:asciiTheme="minorHAnsi" w:hAnsiTheme="minorHAnsi" w:cstheme="minorHAnsi"/>
          <w:color w:val="000000"/>
          <w:sz w:val="26"/>
          <w:szCs w:val="26"/>
        </w:rPr>
        <w:t xml:space="preserve">thly </w:t>
      </w:r>
      <w:r w:rsidR="002144B9">
        <w:rPr>
          <w:rFonts w:asciiTheme="minorHAnsi" w:hAnsiTheme="minorHAnsi" w:cstheme="minorHAnsi"/>
          <w:color w:val="000000"/>
          <w:sz w:val="26"/>
          <w:szCs w:val="26"/>
        </w:rPr>
        <w:t xml:space="preserve">by her </w:t>
      </w:r>
      <w:r w:rsidRPr="005A5A80">
        <w:rPr>
          <w:rFonts w:asciiTheme="minorHAnsi" w:hAnsiTheme="minorHAnsi" w:cstheme="minorHAnsi"/>
          <w:color w:val="000000"/>
          <w:sz w:val="26"/>
          <w:szCs w:val="26"/>
        </w:rPr>
        <w:t xml:space="preserve">for his approval. She </w:t>
      </w:r>
      <w:r w:rsidR="002144B9">
        <w:rPr>
          <w:rFonts w:asciiTheme="minorHAnsi" w:hAnsiTheme="minorHAnsi" w:cstheme="minorHAnsi"/>
          <w:color w:val="000000"/>
          <w:sz w:val="26"/>
          <w:szCs w:val="26"/>
        </w:rPr>
        <w:t xml:space="preserve">would </w:t>
      </w:r>
      <w:r w:rsidRPr="005A5A80">
        <w:rPr>
          <w:rFonts w:asciiTheme="minorHAnsi" w:hAnsiTheme="minorHAnsi" w:cstheme="minorHAnsi"/>
          <w:color w:val="000000"/>
          <w:sz w:val="26"/>
          <w:szCs w:val="26"/>
        </w:rPr>
        <w:t>forward</w:t>
      </w:r>
      <w:r>
        <w:rPr>
          <w:rFonts w:asciiTheme="minorHAnsi" w:hAnsiTheme="minorHAnsi" w:cstheme="minorHAnsi"/>
          <w:color w:val="000000"/>
          <w:sz w:val="26"/>
          <w:szCs w:val="26"/>
        </w:rPr>
        <w:t xml:space="preserve"> the invoices received from cre</w:t>
      </w:r>
      <w:r w:rsidRPr="005A5A80">
        <w:rPr>
          <w:rFonts w:asciiTheme="minorHAnsi" w:hAnsiTheme="minorHAnsi" w:cstheme="minorHAnsi"/>
          <w:color w:val="000000"/>
          <w:sz w:val="26"/>
          <w:szCs w:val="26"/>
        </w:rPr>
        <w:t>d</w:t>
      </w:r>
      <w:r>
        <w:rPr>
          <w:rFonts w:asciiTheme="minorHAnsi" w:hAnsiTheme="minorHAnsi" w:cstheme="minorHAnsi"/>
          <w:color w:val="000000"/>
          <w:sz w:val="26"/>
          <w:szCs w:val="26"/>
        </w:rPr>
        <w:t>i</w:t>
      </w:r>
      <w:r w:rsidRPr="005A5A80">
        <w:rPr>
          <w:rFonts w:asciiTheme="minorHAnsi" w:hAnsiTheme="minorHAnsi" w:cstheme="minorHAnsi"/>
          <w:color w:val="000000"/>
          <w:sz w:val="26"/>
          <w:szCs w:val="26"/>
        </w:rPr>
        <w:t>to</w:t>
      </w:r>
      <w:r>
        <w:rPr>
          <w:rFonts w:asciiTheme="minorHAnsi" w:hAnsiTheme="minorHAnsi" w:cstheme="minorHAnsi"/>
          <w:color w:val="000000"/>
          <w:sz w:val="26"/>
          <w:szCs w:val="26"/>
        </w:rPr>
        <w:t>r</w:t>
      </w:r>
      <w:r w:rsidRPr="005A5A80">
        <w:rPr>
          <w:rFonts w:asciiTheme="minorHAnsi" w:hAnsiTheme="minorHAnsi" w:cstheme="minorHAnsi"/>
          <w:color w:val="000000"/>
          <w:sz w:val="26"/>
          <w:szCs w:val="26"/>
        </w:rPr>
        <w:t xml:space="preserve">s during the course of the month to Boshoff for his approval. </w:t>
      </w:r>
      <w:r>
        <w:rPr>
          <w:rFonts w:asciiTheme="minorHAnsi" w:hAnsiTheme="minorHAnsi" w:cstheme="minorHAnsi"/>
          <w:color w:val="000000"/>
          <w:sz w:val="26"/>
          <w:szCs w:val="26"/>
        </w:rPr>
        <w:t xml:space="preserve">These allegations were confirmed by </w:t>
      </w:r>
      <w:r w:rsidRPr="005A5A80">
        <w:rPr>
          <w:rFonts w:asciiTheme="minorHAnsi" w:hAnsiTheme="minorHAnsi" w:cstheme="minorHAnsi"/>
          <w:color w:val="000000"/>
          <w:sz w:val="26"/>
          <w:szCs w:val="26"/>
        </w:rPr>
        <w:t xml:space="preserve">V/d Merwe in </w:t>
      </w:r>
      <w:r>
        <w:rPr>
          <w:rFonts w:asciiTheme="minorHAnsi" w:hAnsiTheme="minorHAnsi" w:cstheme="minorHAnsi"/>
          <w:color w:val="000000"/>
          <w:sz w:val="26"/>
          <w:szCs w:val="26"/>
        </w:rPr>
        <w:t>a</w:t>
      </w:r>
      <w:r w:rsidRPr="005A5A80">
        <w:rPr>
          <w:rFonts w:asciiTheme="minorHAnsi" w:hAnsiTheme="minorHAnsi" w:cstheme="minorHAnsi"/>
          <w:color w:val="000000"/>
          <w:sz w:val="26"/>
          <w:szCs w:val="26"/>
        </w:rPr>
        <w:t xml:space="preserve"> confirmatory affidavit. </w:t>
      </w:r>
      <w:r w:rsidR="00596535">
        <w:rPr>
          <w:rFonts w:asciiTheme="minorHAnsi" w:hAnsiTheme="minorHAnsi" w:cstheme="minorHAnsi"/>
          <w:color w:val="000000"/>
          <w:sz w:val="26"/>
          <w:szCs w:val="26"/>
        </w:rPr>
        <w:t>Jurgens alleges that no dispute was raised in respect of the increased rental until the counter-claim was launched in May 2021</w:t>
      </w:r>
      <w:r w:rsidR="00284A80">
        <w:rPr>
          <w:rFonts w:asciiTheme="minorHAnsi" w:hAnsiTheme="minorHAnsi" w:cstheme="minorHAnsi"/>
          <w:color w:val="000000"/>
          <w:sz w:val="26"/>
          <w:szCs w:val="26"/>
        </w:rPr>
        <w:t xml:space="preserve">, some three months after Botha had acquired knowledge of the increase in rent. </w:t>
      </w:r>
    </w:p>
    <w:p w:rsidR="00045AA5" w:rsidRPr="00C8596F" w:rsidRDefault="00045AA5" w:rsidP="00045AA5">
      <w:pPr>
        <w:pStyle w:val="ListParagraph"/>
        <w:rPr>
          <w:rFonts w:asciiTheme="minorHAnsi" w:hAnsiTheme="minorHAnsi" w:cstheme="minorHAnsi"/>
          <w:sz w:val="26"/>
          <w:szCs w:val="26"/>
        </w:rPr>
      </w:pPr>
    </w:p>
    <w:p w:rsidR="00B87FB4" w:rsidRDefault="00B87FB4"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Jurgens sought to distance himself from the decision to charge increased rental by Manatech and the payment of increased rental to be made by the second applicant. </w:t>
      </w:r>
      <w:r w:rsidR="002144B9">
        <w:rPr>
          <w:rFonts w:asciiTheme="minorHAnsi" w:hAnsiTheme="minorHAnsi" w:cstheme="minorHAnsi"/>
          <w:sz w:val="26"/>
          <w:szCs w:val="26"/>
        </w:rPr>
        <w:t>On the ob</w:t>
      </w:r>
      <w:r w:rsidR="00465D10">
        <w:rPr>
          <w:rFonts w:asciiTheme="minorHAnsi" w:hAnsiTheme="minorHAnsi" w:cstheme="minorHAnsi"/>
          <w:sz w:val="26"/>
          <w:szCs w:val="26"/>
        </w:rPr>
        <w:t>j</w:t>
      </w:r>
      <w:r w:rsidR="002144B9">
        <w:rPr>
          <w:rFonts w:asciiTheme="minorHAnsi" w:hAnsiTheme="minorHAnsi" w:cstheme="minorHAnsi"/>
          <w:sz w:val="26"/>
          <w:szCs w:val="26"/>
        </w:rPr>
        <w:t>ective facts, however, h</w:t>
      </w:r>
      <w:r>
        <w:rPr>
          <w:rFonts w:asciiTheme="minorHAnsi" w:hAnsiTheme="minorHAnsi" w:cstheme="minorHAnsi"/>
          <w:sz w:val="26"/>
          <w:szCs w:val="26"/>
        </w:rPr>
        <w:t xml:space="preserve">e was in control of the management of the practice and would have had to accede </w:t>
      </w:r>
      <w:r w:rsidR="002144B9">
        <w:rPr>
          <w:rFonts w:asciiTheme="minorHAnsi" w:hAnsiTheme="minorHAnsi" w:cstheme="minorHAnsi"/>
          <w:sz w:val="26"/>
          <w:szCs w:val="26"/>
        </w:rPr>
        <w:t>to an increase in rental</w:t>
      </w:r>
      <w:r>
        <w:rPr>
          <w:rFonts w:asciiTheme="minorHAnsi" w:hAnsiTheme="minorHAnsi" w:cstheme="minorHAnsi"/>
          <w:sz w:val="26"/>
          <w:szCs w:val="26"/>
        </w:rPr>
        <w:t xml:space="preserve"> on behalf of the second applicant. </w:t>
      </w:r>
      <w:r w:rsidR="002144B9">
        <w:rPr>
          <w:rFonts w:asciiTheme="minorHAnsi" w:hAnsiTheme="minorHAnsi" w:cstheme="minorHAnsi"/>
          <w:sz w:val="26"/>
          <w:szCs w:val="26"/>
        </w:rPr>
        <w:t xml:space="preserve">Any suggestion by Jurgens to the effect that V/d Merwe caused the debit order to be adjusted without his knowledge or instructions, is far-fetched. </w:t>
      </w:r>
      <w:r>
        <w:rPr>
          <w:rFonts w:asciiTheme="minorHAnsi" w:hAnsiTheme="minorHAnsi" w:cstheme="minorHAnsi"/>
          <w:sz w:val="26"/>
          <w:szCs w:val="26"/>
        </w:rPr>
        <w:t xml:space="preserve">As </w:t>
      </w:r>
      <w:r w:rsidR="002144B9">
        <w:rPr>
          <w:rFonts w:asciiTheme="minorHAnsi" w:hAnsiTheme="minorHAnsi" w:cstheme="minorHAnsi"/>
          <w:sz w:val="26"/>
          <w:szCs w:val="26"/>
        </w:rPr>
        <w:t xml:space="preserve">Jurgens </w:t>
      </w:r>
      <w:r>
        <w:rPr>
          <w:rFonts w:asciiTheme="minorHAnsi" w:hAnsiTheme="minorHAnsi" w:cstheme="minorHAnsi"/>
          <w:sz w:val="26"/>
          <w:szCs w:val="26"/>
        </w:rPr>
        <w:t>himself alleged, if the tenant was unhappy with the extent of the increase</w:t>
      </w:r>
      <w:r w:rsidR="002144B9">
        <w:rPr>
          <w:rFonts w:asciiTheme="minorHAnsi" w:hAnsiTheme="minorHAnsi" w:cstheme="minorHAnsi"/>
          <w:sz w:val="26"/>
          <w:szCs w:val="26"/>
        </w:rPr>
        <w:t xml:space="preserve"> imposed by the landlord</w:t>
      </w:r>
      <w:r>
        <w:rPr>
          <w:rFonts w:asciiTheme="minorHAnsi" w:hAnsiTheme="minorHAnsi" w:cstheme="minorHAnsi"/>
          <w:sz w:val="26"/>
          <w:szCs w:val="26"/>
        </w:rPr>
        <w:t xml:space="preserve">, </w:t>
      </w:r>
      <w:r w:rsidR="002144B9">
        <w:rPr>
          <w:rFonts w:asciiTheme="minorHAnsi" w:hAnsiTheme="minorHAnsi" w:cstheme="minorHAnsi"/>
          <w:sz w:val="26"/>
          <w:szCs w:val="26"/>
        </w:rPr>
        <w:t xml:space="preserve">such tenant </w:t>
      </w:r>
      <w:r>
        <w:rPr>
          <w:rFonts w:asciiTheme="minorHAnsi" w:hAnsiTheme="minorHAnsi" w:cstheme="minorHAnsi"/>
          <w:sz w:val="26"/>
          <w:szCs w:val="26"/>
        </w:rPr>
        <w:t xml:space="preserve">would have had to find other premises from which to trade. </w:t>
      </w:r>
    </w:p>
    <w:p w:rsidR="00B87FB4" w:rsidRPr="00B87FB4" w:rsidRDefault="00B87FB4" w:rsidP="00B87FB4">
      <w:pPr>
        <w:pStyle w:val="ListParagraph"/>
        <w:rPr>
          <w:rFonts w:asciiTheme="minorHAnsi" w:hAnsiTheme="minorHAnsi" w:cstheme="minorHAnsi"/>
          <w:sz w:val="26"/>
          <w:szCs w:val="26"/>
        </w:rPr>
      </w:pPr>
    </w:p>
    <w:p w:rsidR="00284A80" w:rsidRDefault="00284A80"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 am inclined to agree with Botha that an increase of more than 100% in rental amounts to a financial transaction in respect of the bank account of the second applicant, not only because it involved a change of the existing </w:t>
      </w:r>
      <w:r w:rsidR="002144B9">
        <w:rPr>
          <w:rFonts w:asciiTheme="minorHAnsi" w:hAnsiTheme="minorHAnsi" w:cstheme="minorHAnsi"/>
          <w:sz w:val="26"/>
          <w:szCs w:val="26"/>
        </w:rPr>
        <w:t xml:space="preserve">bank </w:t>
      </w:r>
      <w:r>
        <w:rPr>
          <w:rFonts w:asciiTheme="minorHAnsi" w:hAnsiTheme="minorHAnsi" w:cstheme="minorHAnsi"/>
          <w:sz w:val="26"/>
          <w:szCs w:val="26"/>
        </w:rPr>
        <w:t xml:space="preserve">debit order in respect of </w:t>
      </w:r>
      <w:r w:rsidR="00B87FB4">
        <w:rPr>
          <w:rFonts w:asciiTheme="minorHAnsi" w:hAnsiTheme="minorHAnsi" w:cstheme="minorHAnsi"/>
          <w:sz w:val="26"/>
          <w:szCs w:val="26"/>
        </w:rPr>
        <w:t xml:space="preserve">the </w:t>
      </w:r>
      <w:r>
        <w:rPr>
          <w:rFonts w:asciiTheme="minorHAnsi" w:hAnsiTheme="minorHAnsi" w:cstheme="minorHAnsi"/>
          <w:sz w:val="26"/>
          <w:szCs w:val="26"/>
        </w:rPr>
        <w:t xml:space="preserve">monthly </w:t>
      </w:r>
      <w:r w:rsidR="00B87FB4">
        <w:rPr>
          <w:rFonts w:asciiTheme="minorHAnsi" w:hAnsiTheme="minorHAnsi" w:cstheme="minorHAnsi"/>
          <w:sz w:val="26"/>
          <w:szCs w:val="26"/>
        </w:rPr>
        <w:t xml:space="preserve">rental </w:t>
      </w:r>
      <w:r>
        <w:rPr>
          <w:rFonts w:asciiTheme="minorHAnsi" w:hAnsiTheme="minorHAnsi" w:cstheme="minorHAnsi"/>
          <w:sz w:val="26"/>
          <w:szCs w:val="26"/>
        </w:rPr>
        <w:t>pay</w:t>
      </w:r>
      <w:r w:rsidR="00EF1953">
        <w:rPr>
          <w:rFonts w:asciiTheme="minorHAnsi" w:hAnsiTheme="minorHAnsi" w:cstheme="minorHAnsi"/>
          <w:sz w:val="26"/>
          <w:szCs w:val="26"/>
        </w:rPr>
        <w:t>able</w:t>
      </w:r>
      <w:r>
        <w:rPr>
          <w:rFonts w:asciiTheme="minorHAnsi" w:hAnsiTheme="minorHAnsi" w:cstheme="minorHAnsi"/>
          <w:sz w:val="26"/>
          <w:szCs w:val="26"/>
        </w:rPr>
        <w:t xml:space="preserve"> but because it resulted in </w:t>
      </w:r>
      <w:r w:rsidR="00EF1953">
        <w:rPr>
          <w:rFonts w:asciiTheme="minorHAnsi" w:hAnsiTheme="minorHAnsi" w:cstheme="minorHAnsi"/>
          <w:sz w:val="26"/>
          <w:szCs w:val="26"/>
        </w:rPr>
        <w:t xml:space="preserve">payment of </w:t>
      </w:r>
      <w:r>
        <w:rPr>
          <w:rFonts w:asciiTheme="minorHAnsi" w:hAnsiTheme="minorHAnsi" w:cstheme="minorHAnsi"/>
          <w:sz w:val="26"/>
          <w:szCs w:val="26"/>
        </w:rPr>
        <w:t>increased expenditure by the practice</w:t>
      </w:r>
      <w:r w:rsidR="00B87FB4">
        <w:rPr>
          <w:rFonts w:asciiTheme="minorHAnsi" w:hAnsiTheme="minorHAnsi" w:cstheme="minorHAnsi"/>
          <w:sz w:val="26"/>
          <w:szCs w:val="26"/>
        </w:rPr>
        <w:t xml:space="preserve">, </w:t>
      </w:r>
      <w:r>
        <w:rPr>
          <w:rFonts w:asciiTheme="minorHAnsi" w:hAnsiTheme="minorHAnsi" w:cstheme="minorHAnsi"/>
          <w:sz w:val="26"/>
          <w:szCs w:val="26"/>
        </w:rPr>
        <w:t xml:space="preserve">which was to be debited </w:t>
      </w:r>
      <w:r>
        <w:rPr>
          <w:rFonts w:asciiTheme="minorHAnsi" w:hAnsiTheme="minorHAnsi" w:cstheme="minorHAnsi"/>
          <w:sz w:val="26"/>
          <w:szCs w:val="26"/>
        </w:rPr>
        <w:lastRenderedPageBreak/>
        <w:t xml:space="preserve">against the bank account of the practice on a monthly basis. </w:t>
      </w:r>
      <w:r w:rsidR="00EF1953">
        <w:rPr>
          <w:rFonts w:asciiTheme="minorHAnsi" w:hAnsiTheme="minorHAnsi" w:cstheme="minorHAnsi"/>
          <w:sz w:val="26"/>
          <w:szCs w:val="26"/>
        </w:rPr>
        <w:t>In my view, it matters not that it was to be a recurring payment. The increased rental comprised a new business expense and it required Boshoff’s approval in terms of par 3.2 of the order.</w:t>
      </w:r>
      <w:r w:rsidR="00B87FB4">
        <w:rPr>
          <w:rFonts w:asciiTheme="minorHAnsi" w:hAnsiTheme="minorHAnsi" w:cstheme="minorHAnsi"/>
          <w:sz w:val="26"/>
          <w:szCs w:val="26"/>
        </w:rPr>
        <w:t xml:space="preserve"> </w:t>
      </w:r>
      <w:r w:rsidR="00EF1953">
        <w:rPr>
          <w:rFonts w:asciiTheme="minorHAnsi" w:hAnsiTheme="minorHAnsi" w:cstheme="minorHAnsi"/>
          <w:sz w:val="26"/>
          <w:szCs w:val="26"/>
        </w:rPr>
        <w:t xml:space="preserve">Yet </w:t>
      </w:r>
      <w:r>
        <w:rPr>
          <w:rFonts w:asciiTheme="minorHAnsi" w:hAnsiTheme="minorHAnsi" w:cstheme="minorHAnsi"/>
          <w:sz w:val="26"/>
          <w:szCs w:val="26"/>
        </w:rPr>
        <w:t>Boshoff’s approval was not sought</w:t>
      </w:r>
      <w:r w:rsidR="002144B9">
        <w:rPr>
          <w:rFonts w:asciiTheme="minorHAnsi" w:hAnsiTheme="minorHAnsi" w:cstheme="minorHAnsi"/>
          <w:sz w:val="26"/>
          <w:szCs w:val="26"/>
        </w:rPr>
        <w:t>,</w:t>
      </w:r>
      <w:r w:rsidR="00EF1953">
        <w:rPr>
          <w:rFonts w:asciiTheme="minorHAnsi" w:hAnsiTheme="minorHAnsi" w:cstheme="minorHAnsi"/>
          <w:sz w:val="26"/>
          <w:szCs w:val="26"/>
        </w:rPr>
        <w:t xml:space="preserve"> in contravention of the order.</w:t>
      </w:r>
      <w:r>
        <w:rPr>
          <w:rFonts w:asciiTheme="minorHAnsi" w:hAnsiTheme="minorHAnsi" w:cstheme="minorHAnsi"/>
          <w:sz w:val="26"/>
          <w:szCs w:val="26"/>
        </w:rPr>
        <w:t xml:space="preserve"> He was simply advised of the increase, that it would be implemented </w:t>
      </w:r>
      <w:r w:rsidR="00EF1953">
        <w:rPr>
          <w:rFonts w:asciiTheme="minorHAnsi" w:hAnsiTheme="minorHAnsi" w:cstheme="minorHAnsi"/>
          <w:sz w:val="26"/>
          <w:szCs w:val="26"/>
        </w:rPr>
        <w:t>as from</w:t>
      </w:r>
      <w:r>
        <w:rPr>
          <w:rFonts w:asciiTheme="minorHAnsi" w:hAnsiTheme="minorHAnsi" w:cstheme="minorHAnsi"/>
          <w:sz w:val="26"/>
          <w:szCs w:val="26"/>
        </w:rPr>
        <w:t xml:space="preserve"> January 2021</w:t>
      </w:r>
      <w:r w:rsidR="00B87FB4">
        <w:rPr>
          <w:rFonts w:asciiTheme="minorHAnsi" w:hAnsiTheme="minorHAnsi" w:cstheme="minorHAnsi"/>
          <w:sz w:val="26"/>
          <w:szCs w:val="26"/>
        </w:rPr>
        <w:t>, and the amount thereof.</w:t>
      </w:r>
    </w:p>
    <w:p w:rsidR="00284A80" w:rsidRPr="00284A80" w:rsidRDefault="00284A80" w:rsidP="00284A80">
      <w:pPr>
        <w:pStyle w:val="ListParagraph"/>
        <w:rPr>
          <w:rFonts w:asciiTheme="minorHAnsi" w:hAnsiTheme="minorHAnsi" w:cstheme="minorHAnsi"/>
          <w:sz w:val="26"/>
          <w:szCs w:val="26"/>
        </w:rPr>
      </w:pPr>
    </w:p>
    <w:p w:rsidR="00045AA5" w:rsidRPr="00596535" w:rsidRDefault="00EF1953"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issue then arises as to whether the order was deliberately contravened with </w:t>
      </w:r>
      <w:r>
        <w:rPr>
          <w:rFonts w:asciiTheme="minorHAnsi" w:hAnsiTheme="minorHAnsi" w:cstheme="minorHAnsi"/>
          <w:i/>
          <w:sz w:val="26"/>
          <w:szCs w:val="26"/>
        </w:rPr>
        <w:t>mala fides.</w:t>
      </w:r>
      <w:r>
        <w:rPr>
          <w:rFonts w:asciiTheme="minorHAnsi" w:hAnsiTheme="minorHAnsi" w:cstheme="minorHAnsi"/>
          <w:sz w:val="26"/>
          <w:szCs w:val="26"/>
        </w:rPr>
        <w:t xml:space="preserve"> </w:t>
      </w:r>
      <w:r w:rsidR="00305979" w:rsidRPr="00596535">
        <w:rPr>
          <w:rFonts w:asciiTheme="minorHAnsi" w:hAnsiTheme="minorHAnsi" w:cstheme="minorHAnsi"/>
          <w:sz w:val="26"/>
          <w:szCs w:val="26"/>
        </w:rPr>
        <w:t xml:space="preserve">Even if I were to accept that Jurgens authorised the adjustment of the debit order pursuant to the increase in rental, neither party provided a copy of the relevant lease agreement in their papers. It is thus not possible to find that Jurgens’ allegations </w:t>
      </w:r>
      <w:r w:rsidR="00421BD4">
        <w:rPr>
          <w:rFonts w:asciiTheme="minorHAnsi" w:hAnsiTheme="minorHAnsi" w:cstheme="minorHAnsi"/>
          <w:sz w:val="26"/>
          <w:szCs w:val="26"/>
        </w:rPr>
        <w:t xml:space="preserve">regarding the landlord’s </w:t>
      </w:r>
      <w:r w:rsidR="00CC7859">
        <w:rPr>
          <w:rFonts w:asciiTheme="minorHAnsi" w:hAnsiTheme="minorHAnsi" w:cstheme="minorHAnsi"/>
          <w:sz w:val="26"/>
          <w:szCs w:val="26"/>
        </w:rPr>
        <w:t xml:space="preserve">unilateral </w:t>
      </w:r>
      <w:r w:rsidR="00421BD4">
        <w:rPr>
          <w:rFonts w:asciiTheme="minorHAnsi" w:hAnsiTheme="minorHAnsi" w:cstheme="minorHAnsi"/>
          <w:sz w:val="26"/>
          <w:szCs w:val="26"/>
        </w:rPr>
        <w:t xml:space="preserve">entitlement to increase the rent </w:t>
      </w:r>
      <w:r w:rsidR="00305979" w:rsidRPr="00596535">
        <w:rPr>
          <w:rFonts w:asciiTheme="minorHAnsi" w:hAnsiTheme="minorHAnsi" w:cstheme="minorHAnsi"/>
          <w:sz w:val="26"/>
          <w:szCs w:val="26"/>
        </w:rPr>
        <w:t xml:space="preserve">are incorrect. </w:t>
      </w:r>
      <w:r>
        <w:rPr>
          <w:rFonts w:asciiTheme="minorHAnsi" w:hAnsiTheme="minorHAnsi" w:cstheme="minorHAnsi"/>
          <w:sz w:val="26"/>
          <w:szCs w:val="26"/>
        </w:rPr>
        <w:t xml:space="preserve">According to Jurgens, he genuinely </w:t>
      </w:r>
      <w:r w:rsidR="00100F98">
        <w:rPr>
          <w:rFonts w:asciiTheme="minorHAnsi" w:hAnsiTheme="minorHAnsi" w:cstheme="minorHAnsi"/>
          <w:sz w:val="26"/>
          <w:szCs w:val="26"/>
        </w:rPr>
        <w:t>(</w:t>
      </w:r>
      <w:r>
        <w:rPr>
          <w:rFonts w:asciiTheme="minorHAnsi" w:hAnsiTheme="minorHAnsi" w:cstheme="minorHAnsi"/>
          <w:sz w:val="26"/>
          <w:szCs w:val="26"/>
        </w:rPr>
        <w:t>albeit mistakenly</w:t>
      </w:r>
      <w:r w:rsidR="00100F98">
        <w:rPr>
          <w:rFonts w:asciiTheme="minorHAnsi" w:hAnsiTheme="minorHAnsi" w:cstheme="minorHAnsi"/>
          <w:sz w:val="26"/>
          <w:szCs w:val="26"/>
        </w:rPr>
        <w:t>)</w:t>
      </w:r>
      <w:r>
        <w:rPr>
          <w:rFonts w:asciiTheme="minorHAnsi" w:hAnsiTheme="minorHAnsi" w:cstheme="minorHAnsi"/>
          <w:sz w:val="26"/>
          <w:szCs w:val="26"/>
        </w:rPr>
        <w:t xml:space="preserve"> believed that the increase in rent </w:t>
      </w:r>
      <w:r w:rsidR="00CC7859">
        <w:rPr>
          <w:rFonts w:asciiTheme="minorHAnsi" w:hAnsiTheme="minorHAnsi" w:cstheme="minorHAnsi"/>
          <w:sz w:val="26"/>
          <w:szCs w:val="26"/>
        </w:rPr>
        <w:t>did not require Boshoff’s approval</w:t>
      </w:r>
      <w:r w:rsidR="00A11577">
        <w:rPr>
          <w:rFonts w:asciiTheme="minorHAnsi" w:hAnsiTheme="minorHAnsi" w:cstheme="minorHAnsi"/>
          <w:sz w:val="26"/>
          <w:szCs w:val="26"/>
        </w:rPr>
        <w:t xml:space="preserve">, firstly, </w:t>
      </w:r>
      <w:r w:rsidR="00100F98">
        <w:rPr>
          <w:rFonts w:asciiTheme="minorHAnsi" w:hAnsiTheme="minorHAnsi" w:cstheme="minorHAnsi"/>
          <w:sz w:val="26"/>
          <w:szCs w:val="26"/>
        </w:rPr>
        <w:t xml:space="preserve">because his approval was </w:t>
      </w:r>
      <w:r w:rsidR="00A11577">
        <w:rPr>
          <w:rFonts w:asciiTheme="minorHAnsi" w:hAnsiTheme="minorHAnsi" w:cstheme="minorHAnsi"/>
          <w:sz w:val="26"/>
          <w:szCs w:val="26"/>
        </w:rPr>
        <w:t>not required or ever previously</w:t>
      </w:r>
      <w:r w:rsidR="00100F98">
        <w:rPr>
          <w:rFonts w:asciiTheme="minorHAnsi" w:hAnsiTheme="minorHAnsi" w:cstheme="minorHAnsi"/>
          <w:sz w:val="26"/>
          <w:szCs w:val="26"/>
        </w:rPr>
        <w:t xml:space="preserve"> sought in respect of monthly recurring payments which </w:t>
      </w:r>
      <w:r w:rsidR="002144B9">
        <w:rPr>
          <w:rFonts w:asciiTheme="minorHAnsi" w:hAnsiTheme="minorHAnsi" w:cstheme="minorHAnsi"/>
          <w:sz w:val="26"/>
          <w:szCs w:val="26"/>
        </w:rPr>
        <w:t>were</w:t>
      </w:r>
      <w:r w:rsidR="00100F98">
        <w:rPr>
          <w:rFonts w:asciiTheme="minorHAnsi" w:hAnsiTheme="minorHAnsi" w:cstheme="minorHAnsi"/>
          <w:sz w:val="26"/>
          <w:szCs w:val="26"/>
        </w:rPr>
        <w:t xml:space="preserve"> not put on the list that is given by </w:t>
      </w:r>
      <w:r w:rsidR="002144B9">
        <w:rPr>
          <w:rFonts w:asciiTheme="minorHAnsi" w:hAnsiTheme="minorHAnsi" w:cstheme="minorHAnsi"/>
          <w:sz w:val="26"/>
          <w:szCs w:val="26"/>
        </w:rPr>
        <w:t>V</w:t>
      </w:r>
      <w:r w:rsidR="00100F98">
        <w:rPr>
          <w:rFonts w:asciiTheme="minorHAnsi" w:hAnsiTheme="minorHAnsi" w:cstheme="minorHAnsi"/>
          <w:sz w:val="26"/>
          <w:szCs w:val="26"/>
        </w:rPr>
        <w:t>/d Merwe to Boshoff as envisaged in par 3 of the order.</w:t>
      </w:r>
      <w:r w:rsidR="00CC7859">
        <w:rPr>
          <w:rFonts w:asciiTheme="minorHAnsi" w:hAnsiTheme="minorHAnsi" w:cstheme="minorHAnsi"/>
          <w:sz w:val="26"/>
          <w:szCs w:val="26"/>
        </w:rPr>
        <w:t xml:space="preserve"> </w:t>
      </w:r>
      <w:r w:rsidR="00A11577">
        <w:rPr>
          <w:rFonts w:asciiTheme="minorHAnsi" w:hAnsiTheme="minorHAnsi" w:cstheme="minorHAnsi"/>
          <w:sz w:val="26"/>
          <w:szCs w:val="26"/>
        </w:rPr>
        <w:t xml:space="preserve">Secondly, because Jurgens believed </w:t>
      </w:r>
      <w:r w:rsidR="00596535">
        <w:rPr>
          <w:rFonts w:asciiTheme="minorHAnsi" w:hAnsiTheme="minorHAnsi" w:cstheme="minorHAnsi"/>
          <w:sz w:val="26"/>
          <w:szCs w:val="26"/>
        </w:rPr>
        <w:t xml:space="preserve">that </w:t>
      </w:r>
      <w:r w:rsidR="00305979" w:rsidRPr="00596535">
        <w:rPr>
          <w:rFonts w:asciiTheme="minorHAnsi" w:hAnsiTheme="minorHAnsi" w:cstheme="minorHAnsi"/>
          <w:sz w:val="26"/>
          <w:szCs w:val="26"/>
        </w:rPr>
        <w:t xml:space="preserve">Boshoff would </w:t>
      </w:r>
      <w:r w:rsidR="00A11577">
        <w:rPr>
          <w:rFonts w:asciiTheme="minorHAnsi" w:hAnsiTheme="minorHAnsi" w:cstheme="minorHAnsi"/>
          <w:sz w:val="26"/>
          <w:szCs w:val="26"/>
        </w:rPr>
        <w:t xml:space="preserve">not </w:t>
      </w:r>
      <w:r w:rsidR="00305979" w:rsidRPr="00596535">
        <w:rPr>
          <w:rFonts w:asciiTheme="minorHAnsi" w:hAnsiTheme="minorHAnsi" w:cstheme="minorHAnsi"/>
          <w:sz w:val="26"/>
          <w:szCs w:val="26"/>
        </w:rPr>
        <w:t xml:space="preserve">have been </w:t>
      </w:r>
      <w:r w:rsidR="00A11577">
        <w:rPr>
          <w:rFonts w:asciiTheme="minorHAnsi" w:hAnsiTheme="minorHAnsi" w:cstheme="minorHAnsi"/>
          <w:sz w:val="26"/>
          <w:szCs w:val="26"/>
        </w:rPr>
        <w:t>empowered</w:t>
      </w:r>
      <w:r w:rsidR="00596535">
        <w:rPr>
          <w:rFonts w:asciiTheme="minorHAnsi" w:hAnsiTheme="minorHAnsi" w:cstheme="minorHAnsi"/>
          <w:sz w:val="26"/>
          <w:szCs w:val="26"/>
        </w:rPr>
        <w:t xml:space="preserve"> </w:t>
      </w:r>
      <w:r w:rsidR="00651D0D" w:rsidRPr="00596535">
        <w:rPr>
          <w:rFonts w:asciiTheme="minorHAnsi" w:hAnsiTheme="minorHAnsi" w:cstheme="minorHAnsi"/>
          <w:sz w:val="26"/>
          <w:szCs w:val="26"/>
        </w:rPr>
        <w:t xml:space="preserve">to determine the </w:t>
      </w:r>
      <w:r w:rsidR="00596535">
        <w:rPr>
          <w:rFonts w:asciiTheme="minorHAnsi" w:hAnsiTheme="minorHAnsi" w:cstheme="minorHAnsi"/>
          <w:sz w:val="26"/>
          <w:szCs w:val="26"/>
        </w:rPr>
        <w:t xml:space="preserve">legal </w:t>
      </w:r>
      <w:r w:rsidR="00651D0D" w:rsidRPr="00596535">
        <w:rPr>
          <w:rFonts w:asciiTheme="minorHAnsi" w:hAnsiTheme="minorHAnsi" w:cstheme="minorHAnsi"/>
          <w:sz w:val="26"/>
          <w:szCs w:val="26"/>
        </w:rPr>
        <w:t>validity of the increase in rent</w:t>
      </w:r>
      <w:r w:rsidR="00596535">
        <w:rPr>
          <w:rFonts w:asciiTheme="minorHAnsi" w:hAnsiTheme="minorHAnsi" w:cstheme="minorHAnsi"/>
          <w:sz w:val="26"/>
          <w:szCs w:val="26"/>
        </w:rPr>
        <w:t xml:space="preserve"> or to prevent it from being </w:t>
      </w:r>
      <w:r w:rsidR="00421BD4">
        <w:rPr>
          <w:rFonts w:asciiTheme="minorHAnsi" w:hAnsiTheme="minorHAnsi" w:cstheme="minorHAnsi"/>
          <w:sz w:val="26"/>
          <w:szCs w:val="26"/>
        </w:rPr>
        <w:t>put into effect</w:t>
      </w:r>
      <w:r w:rsidR="00596535">
        <w:rPr>
          <w:rFonts w:asciiTheme="minorHAnsi" w:hAnsiTheme="minorHAnsi" w:cstheme="minorHAnsi"/>
          <w:sz w:val="26"/>
          <w:szCs w:val="26"/>
        </w:rPr>
        <w:t xml:space="preserve"> by the landlord. Whilst </w:t>
      </w:r>
      <w:r w:rsidR="00421BD4">
        <w:rPr>
          <w:rFonts w:asciiTheme="minorHAnsi" w:hAnsiTheme="minorHAnsi" w:cstheme="minorHAnsi"/>
          <w:sz w:val="26"/>
          <w:szCs w:val="26"/>
        </w:rPr>
        <w:t xml:space="preserve">it is correct that Boshoff’s approval in respect of the increased rental payable was not sought, </w:t>
      </w:r>
      <w:r w:rsidR="00A11577">
        <w:rPr>
          <w:rFonts w:asciiTheme="minorHAnsi" w:hAnsiTheme="minorHAnsi" w:cstheme="minorHAnsi"/>
          <w:sz w:val="26"/>
          <w:szCs w:val="26"/>
        </w:rPr>
        <w:t xml:space="preserve">it seems doubtful </w:t>
      </w:r>
      <w:r w:rsidR="00421BD4">
        <w:rPr>
          <w:rFonts w:asciiTheme="minorHAnsi" w:hAnsiTheme="minorHAnsi" w:cstheme="minorHAnsi"/>
          <w:sz w:val="26"/>
          <w:szCs w:val="26"/>
        </w:rPr>
        <w:t xml:space="preserve">that he </w:t>
      </w:r>
      <w:r>
        <w:rPr>
          <w:rFonts w:asciiTheme="minorHAnsi" w:hAnsiTheme="minorHAnsi" w:cstheme="minorHAnsi"/>
          <w:sz w:val="26"/>
          <w:szCs w:val="26"/>
        </w:rPr>
        <w:t xml:space="preserve">would have </w:t>
      </w:r>
      <w:r w:rsidR="00421BD4">
        <w:rPr>
          <w:rFonts w:asciiTheme="minorHAnsi" w:hAnsiTheme="minorHAnsi" w:cstheme="minorHAnsi"/>
          <w:sz w:val="26"/>
          <w:szCs w:val="26"/>
        </w:rPr>
        <w:t xml:space="preserve">had the power to do anything about it other than </w:t>
      </w:r>
      <w:r w:rsidR="00421BD4" w:rsidRPr="00596535">
        <w:rPr>
          <w:rFonts w:asciiTheme="minorHAnsi" w:hAnsiTheme="minorHAnsi" w:cstheme="minorHAnsi"/>
          <w:sz w:val="26"/>
          <w:szCs w:val="26"/>
        </w:rPr>
        <w:t xml:space="preserve">to verify </w:t>
      </w:r>
      <w:r w:rsidR="00421BD4">
        <w:rPr>
          <w:rFonts w:asciiTheme="minorHAnsi" w:hAnsiTheme="minorHAnsi" w:cstheme="minorHAnsi"/>
          <w:sz w:val="26"/>
          <w:szCs w:val="26"/>
        </w:rPr>
        <w:t xml:space="preserve">the </w:t>
      </w:r>
      <w:r>
        <w:rPr>
          <w:rFonts w:asciiTheme="minorHAnsi" w:hAnsiTheme="minorHAnsi" w:cstheme="minorHAnsi"/>
          <w:sz w:val="26"/>
          <w:szCs w:val="26"/>
        </w:rPr>
        <w:t xml:space="preserve">landlord’s decision </w:t>
      </w:r>
      <w:r w:rsidR="00A11577">
        <w:rPr>
          <w:rFonts w:asciiTheme="minorHAnsi" w:hAnsiTheme="minorHAnsi" w:cstheme="minorHAnsi"/>
          <w:sz w:val="26"/>
          <w:szCs w:val="26"/>
        </w:rPr>
        <w:t xml:space="preserve">as it pertained to the nature of the expense </w:t>
      </w:r>
      <w:r>
        <w:rPr>
          <w:rFonts w:asciiTheme="minorHAnsi" w:hAnsiTheme="minorHAnsi" w:cstheme="minorHAnsi"/>
          <w:sz w:val="26"/>
          <w:szCs w:val="26"/>
        </w:rPr>
        <w:t xml:space="preserve">and the amount of the </w:t>
      </w:r>
      <w:r w:rsidR="00A11577">
        <w:rPr>
          <w:rFonts w:asciiTheme="minorHAnsi" w:hAnsiTheme="minorHAnsi" w:cstheme="minorHAnsi"/>
          <w:sz w:val="26"/>
          <w:szCs w:val="26"/>
        </w:rPr>
        <w:t>expense</w:t>
      </w:r>
      <w:r>
        <w:rPr>
          <w:rFonts w:asciiTheme="minorHAnsi" w:hAnsiTheme="minorHAnsi" w:cstheme="minorHAnsi"/>
          <w:sz w:val="26"/>
          <w:szCs w:val="26"/>
        </w:rPr>
        <w:t xml:space="preserve">. </w:t>
      </w:r>
      <w:r w:rsidR="00284A80">
        <w:rPr>
          <w:rFonts w:asciiTheme="minorHAnsi" w:hAnsiTheme="minorHAnsi" w:cstheme="minorHAnsi"/>
          <w:sz w:val="26"/>
          <w:szCs w:val="26"/>
        </w:rPr>
        <w:t xml:space="preserve"> H</w:t>
      </w:r>
      <w:r w:rsidR="00421BD4">
        <w:rPr>
          <w:rFonts w:asciiTheme="minorHAnsi" w:hAnsiTheme="minorHAnsi" w:cstheme="minorHAnsi"/>
          <w:sz w:val="26"/>
          <w:szCs w:val="26"/>
        </w:rPr>
        <w:t xml:space="preserve">e was </w:t>
      </w:r>
      <w:r w:rsidR="00284A80">
        <w:rPr>
          <w:rFonts w:asciiTheme="minorHAnsi" w:hAnsiTheme="minorHAnsi" w:cstheme="minorHAnsi"/>
          <w:sz w:val="26"/>
          <w:szCs w:val="26"/>
        </w:rPr>
        <w:t>indeed i</w:t>
      </w:r>
      <w:r w:rsidR="00421BD4">
        <w:rPr>
          <w:rFonts w:asciiTheme="minorHAnsi" w:hAnsiTheme="minorHAnsi" w:cstheme="minorHAnsi"/>
          <w:sz w:val="26"/>
          <w:szCs w:val="26"/>
        </w:rPr>
        <w:t xml:space="preserve">nformed of the increase and the amount thereof. Botha first obtained knowledge of the increased rental payment in mid-January 2021 when he perused the relevant bank statement, but did not at that juncture raise a dispute such as to require Boshoff to liase with Claasens in terms of par 4 of the order. </w:t>
      </w:r>
      <w:r>
        <w:rPr>
          <w:rFonts w:asciiTheme="minorHAnsi" w:hAnsiTheme="minorHAnsi" w:cstheme="minorHAnsi"/>
          <w:sz w:val="26"/>
          <w:szCs w:val="26"/>
        </w:rPr>
        <w:t xml:space="preserve">Although Boshoff confirmed that he would not have authorised the increased rental payment, </w:t>
      </w:r>
      <w:r w:rsidR="00CC7859">
        <w:rPr>
          <w:rFonts w:asciiTheme="minorHAnsi" w:hAnsiTheme="minorHAnsi" w:cstheme="minorHAnsi"/>
          <w:sz w:val="26"/>
          <w:szCs w:val="26"/>
        </w:rPr>
        <w:lastRenderedPageBreak/>
        <w:t xml:space="preserve">had his approval been sought, </w:t>
      </w:r>
      <w:r>
        <w:rPr>
          <w:rFonts w:asciiTheme="minorHAnsi" w:hAnsiTheme="minorHAnsi" w:cstheme="minorHAnsi"/>
          <w:sz w:val="26"/>
          <w:szCs w:val="26"/>
        </w:rPr>
        <w:t>he also did not</w:t>
      </w:r>
      <w:r w:rsidR="00284A80">
        <w:rPr>
          <w:rFonts w:asciiTheme="minorHAnsi" w:hAnsiTheme="minorHAnsi" w:cstheme="minorHAnsi"/>
          <w:sz w:val="26"/>
          <w:szCs w:val="26"/>
        </w:rPr>
        <w:t xml:space="preserve"> object to</w:t>
      </w:r>
      <w:r w:rsidR="00421BD4">
        <w:rPr>
          <w:rFonts w:asciiTheme="minorHAnsi" w:hAnsiTheme="minorHAnsi" w:cstheme="minorHAnsi"/>
          <w:sz w:val="26"/>
          <w:szCs w:val="26"/>
        </w:rPr>
        <w:t xml:space="preserve"> </w:t>
      </w:r>
      <w:r w:rsidR="00CC7859">
        <w:rPr>
          <w:rFonts w:asciiTheme="minorHAnsi" w:hAnsiTheme="minorHAnsi" w:cstheme="minorHAnsi"/>
          <w:sz w:val="26"/>
          <w:szCs w:val="26"/>
        </w:rPr>
        <w:t xml:space="preserve">or prevent </w:t>
      </w:r>
      <w:r w:rsidR="00421BD4">
        <w:rPr>
          <w:rFonts w:asciiTheme="minorHAnsi" w:hAnsiTheme="minorHAnsi" w:cstheme="minorHAnsi"/>
          <w:sz w:val="26"/>
          <w:szCs w:val="26"/>
        </w:rPr>
        <w:t xml:space="preserve">the payment </w:t>
      </w:r>
      <w:r w:rsidR="00CC7859">
        <w:rPr>
          <w:rFonts w:asciiTheme="minorHAnsi" w:hAnsiTheme="minorHAnsi" w:cstheme="minorHAnsi"/>
          <w:sz w:val="26"/>
          <w:szCs w:val="26"/>
        </w:rPr>
        <w:t xml:space="preserve">from </w:t>
      </w:r>
      <w:r w:rsidR="00284A80">
        <w:rPr>
          <w:rFonts w:asciiTheme="minorHAnsi" w:hAnsiTheme="minorHAnsi" w:cstheme="minorHAnsi"/>
          <w:sz w:val="26"/>
          <w:szCs w:val="26"/>
        </w:rPr>
        <w:t>going</w:t>
      </w:r>
      <w:r w:rsidR="00421BD4">
        <w:rPr>
          <w:rFonts w:asciiTheme="minorHAnsi" w:hAnsiTheme="minorHAnsi" w:cstheme="minorHAnsi"/>
          <w:sz w:val="26"/>
          <w:szCs w:val="26"/>
        </w:rPr>
        <w:t xml:space="preserve"> through. </w:t>
      </w:r>
      <w:r w:rsidR="00651D0D" w:rsidRPr="00596535">
        <w:rPr>
          <w:rFonts w:asciiTheme="minorHAnsi" w:hAnsiTheme="minorHAnsi" w:cstheme="minorHAnsi"/>
          <w:sz w:val="26"/>
          <w:szCs w:val="26"/>
        </w:rPr>
        <w:t>In these circumstances, I conclude that Botha has not</w:t>
      </w:r>
      <w:r w:rsidR="00596535" w:rsidRPr="00596535">
        <w:rPr>
          <w:rFonts w:asciiTheme="minorHAnsi" w:hAnsiTheme="minorHAnsi" w:cstheme="minorHAnsi"/>
          <w:sz w:val="26"/>
          <w:szCs w:val="26"/>
        </w:rPr>
        <w:t xml:space="preserve"> </w:t>
      </w:r>
      <w:r w:rsidR="00651D0D" w:rsidRPr="00596535">
        <w:rPr>
          <w:rFonts w:asciiTheme="minorHAnsi" w:hAnsiTheme="minorHAnsi" w:cstheme="minorHAnsi"/>
          <w:sz w:val="26"/>
          <w:szCs w:val="26"/>
        </w:rPr>
        <w:t xml:space="preserve">established </w:t>
      </w:r>
      <w:r w:rsidR="00CC7859">
        <w:rPr>
          <w:rFonts w:asciiTheme="minorHAnsi" w:hAnsiTheme="minorHAnsi" w:cstheme="minorHAnsi"/>
          <w:sz w:val="26"/>
          <w:szCs w:val="26"/>
        </w:rPr>
        <w:t xml:space="preserve">beyond a reasonable doubt </w:t>
      </w:r>
      <w:r w:rsidR="00651D0D" w:rsidRPr="00596535">
        <w:rPr>
          <w:rFonts w:asciiTheme="minorHAnsi" w:hAnsiTheme="minorHAnsi" w:cstheme="minorHAnsi"/>
          <w:sz w:val="26"/>
          <w:szCs w:val="26"/>
        </w:rPr>
        <w:t xml:space="preserve">that Jurgens breached the order </w:t>
      </w:r>
      <w:r w:rsidR="00CC7859">
        <w:rPr>
          <w:rFonts w:asciiTheme="minorHAnsi" w:hAnsiTheme="minorHAnsi" w:cstheme="minorHAnsi"/>
          <w:sz w:val="26"/>
          <w:szCs w:val="26"/>
        </w:rPr>
        <w:t xml:space="preserve">deliberately and with </w:t>
      </w:r>
      <w:r w:rsidR="00CC7859">
        <w:rPr>
          <w:rFonts w:asciiTheme="minorHAnsi" w:hAnsiTheme="minorHAnsi" w:cstheme="minorHAnsi"/>
          <w:i/>
          <w:sz w:val="26"/>
          <w:szCs w:val="26"/>
        </w:rPr>
        <w:t>mala fides</w:t>
      </w:r>
      <w:r w:rsidR="00651D0D" w:rsidRPr="00596535">
        <w:rPr>
          <w:rFonts w:asciiTheme="minorHAnsi" w:hAnsiTheme="minorHAnsi" w:cstheme="minorHAnsi"/>
          <w:sz w:val="26"/>
          <w:szCs w:val="26"/>
        </w:rPr>
        <w:t xml:space="preserve"> and there can thus be no finding of contempt of court in respect of this complaint.</w:t>
      </w:r>
    </w:p>
    <w:p w:rsidR="00045AA5" w:rsidRDefault="00045AA5" w:rsidP="00045AA5">
      <w:pPr>
        <w:pStyle w:val="ListParagraph"/>
        <w:rPr>
          <w:rFonts w:asciiTheme="minorHAnsi" w:hAnsiTheme="minorHAnsi" w:cstheme="minorHAnsi"/>
          <w:sz w:val="26"/>
          <w:szCs w:val="26"/>
        </w:rPr>
      </w:pPr>
    </w:p>
    <w:p w:rsidR="00CC7859" w:rsidRPr="00100F98" w:rsidRDefault="00100F98" w:rsidP="00CC7859">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Re Repayment of Loan</w:t>
      </w:r>
    </w:p>
    <w:p w:rsidR="00045AA5" w:rsidRDefault="00A11577"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This complaint relates to a payment in the amount of R639 500.00 that was made from the bank account of the second applicant to</w:t>
      </w:r>
      <w:r w:rsidR="00D97121">
        <w:rPr>
          <w:rFonts w:asciiTheme="minorHAnsi" w:hAnsiTheme="minorHAnsi" w:cstheme="minorHAnsi"/>
          <w:sz w:val="26"/>
          <w:szCs w:val="26"/>
        </w:rPr>
        <w:t xml:space="preserve"> the personal bank account of Jurgens.</w:t>
      </w:r>
      <w:r>
        <w:rPr>
          <w:rFonts w:asciiTheme="minorHAnsi" w:hAnsiTheme="minorHAnsi" w:cstheme="minorHAnsi"/>
          <w:sz w:val="26"/>
          <w:szCs w:val="26"/>
        </w:rPr>
        <w:t xml:space="preserve">  According to Jurgens, this was a repayment of </w:t>
      </w:r>
      <w:r w:rsidR="00D97121">
        <w:rPr>
          <w:rFonts w:asciiTheme="minorHAnsi" w:hAnsiTheme="minorHAnsi" w:cstheme="minorHAnsi"/>
          <w:sz w:val="26"/>
          <w:szCs w:val="26"/>
        </w:rPr>
        <w:t xml:space="preserve">a </w:t>
      </w:r>
      <w:r>
        <w:rPr>
          <w:rFonts w:asciiTheme="minorHAnsi" w:hAnsiTheme="minorHAnsi" w:cstheme="minorHAnsi"/>
          <w:sz w:val="26"/>
          <w:szCs w:val="26"/>
        </w:rPr>
        <w:t xml:space="preserve">loan he had made to the second applicant </w:t>
      </w:r>
      <w:r w:rsidR="00D97121">
        <w:rPr>
          <w:rFonts w:asciiTheme="minorHAnsi" w:hAnsiTheme="minorHAnsi" w:cstheme="minorHAnsi"/>
          <w:sz w:val="26"/>
          <w:szCs w:val="26"/>
        </w:rPr>
        <w:t>in April 2019, i.e., prior</w:t>
      </w:r>
      <w:r>
        <w:rPr>
          <w:rFonts w:asciiTheme="minorHAnsi" w:hAnsiTheme="minorHAnsi" w:cstheme="minorHAnsi"/>
          <w:sz w:val="26"/>
          <w:szCs w:val="26"/>
        </w:rPr>
        <w:t xml:space="preserve"> to the </w:t>
      </w:r>
      <w:r w:rsidR="00D97121">
        <w:rPr>
          <w:rFonts w:asciiTheme="minorHAnsi" w:hAnsiTheme="minorHAnsi" w:cstheme="minorHAnsi"/>
          <w:sz w:val="26"/>
          <w:szCs w:val="26"/>
        </w:rPr>
        <w:t xml:space="preserve">grant of the </w:t>
      </w:r>
      <w:r>
        <w:rPr>
          <w:rFonts w:asciiTheme="minorHAnsi" w:hAnsiTheme="minorHAnsi" w:cstheme="minorHAnsi"/>
          <w:sz w:val="26"/>
          <w:szCs w:val="26"/>
        </w:rPr>
        <w:t xml:space="preserve">order </w:t>
      </w:r>
      <w:r w:rsidR="00DB6A2D">
        <w:rPr>
          <w:rFonts w:asciiTheme="minorHAnsi" w:hAnsiTheme="minorHAnsi" w:cstheme="minorHAnsi"/>
          <w:sz w:val="26"/>
          <w:szCs w:val="26"/>
        </w:rPr>
        <w:t>on 23 July 2019</w:t>
      </w:r>
      <w:r w:rsidR="00D97121">
        <w:rPr>
          <w:rFonts w:asciiTheme="minorHAnsi" w:hAnsiTheme="minorHAnsi" w:cstheme="minorHAnsi"/>
          <w:sz w:val="26"/>
          <w:szCs w:val="26"/>
        </w:rPr>
        <w:t>, and at a time when the practice needed funds in order to pay its business expenses, including staff salaries</w:t>
      </w:r>
      <w:r>
        <w:rPr>
          <w:rFonts w:asciiTheme="minorHAnsi" w:hAnsiTheme="minorHAnsi" w:cstheme="minorHAnsi"/>
          <w:sz w:val="26"/>
          <w:szCs w:val="26"/>
        </w:rPr>
        <w:t xml:space="preserve">. </w:t>
      </w:r>
      <w:r w:rsidR="00D97121">
        <w:rPr>
          <w:rFonts w:asciiTheme="minorHAnsi" w:hAnsiTheme="minorHAnsi" w:cstheme="minorHAnsi"/>
          <w:sz w:val="26"/>
          <w:szCs w:val="26"/>
        </w:rPr>
        <w:t xml:space="preserve">Jurgens states that the amount was required </w:t>
      </w:r>
      <w:r w:rsidR="003B6822">
        <w:rPr>
          <w:rFonts w:asciiTheme="minorHAnsi" w:hAnsiTheme="minorHAnsi" w:cstheme="minorHAnsi"/>
          <w:sz w:val="26"/>
          <w:szCs w:val="26"/>
        </w:rPr>
        <w:t xml:space="preserve">by him at the time </w:t>
      </w:r>
      <w:r w:rsidR="00D97121">
        <w:rPr>
          <w:rFonts w:asciiTheme="minorHAnsi" w:hAnsiTheme="minorHAnsi" w:cstheme="minorHAnsi"/>
          <w:sz w:val="26"/>
          <w:szCs w:val="26"/>
        </w:rPr>
        <w:t xml:space="preserve">because he owed money to SARS. </w:t>
      </w:r>
    </w:p>
    <w:p w:rsidR="00045AA5" w:rsidRPr="00DE526A" w:rsidRDefault="00045AA5" w:rsidP="00045AA5">
      <w:pPr>
        <w:pStyle w:val="ListParagraph"/>
        <w:rPr>
          <w:rFonts w:asciiTheme="minorHAnsi" w:hAnsiTheme="minorHAnsi" w:cstheme="minorHAnsi"/>
          <w:sz w:val="26"/>
          <w:szCs w:val="26"/>
        </w:rPr>
      </w:pPr>
    </w:p>
    <w:p w:rsidR="00045AA5" w:rsidRDefault="00D97121"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23 June 2021 Van der Merwe requested Boshoff to approve the repayment of the loan</w:t>
      </w:r>
      <w:r w:rsidR="00DB6A2D">
        <w:rPr>
          <w:rFonts w:asciiTheme="minorHAnsi" w:hAnsiTheme="minorHAnsi" w:cstheme="minorHAnsi"/>
          <w:sz w:val="26"/>
          <w:szCs w:val="26"/>
        </w:rPr>
        <w:t xml:space="preserve"> by the second applicant to Jurgens.</w:t>
      </w:r>
      <w:r>
        <w:rPr>
          <w:rFonts w:asciiTheme="minorHAnsi" w:hAnsiTheme="minorHAnsi" w:cstheme="minorHAnsi"/>
          <w:sz w:val="26"/>
          <w:szCs w:val="26"/>
        </w:rPr>
        <w:t xml:space="preserve">  Boshoff </w:t>
      </w:r>
      <w:r w:rsidR="00DB6A2D">
        <w:rPr>
          <w:rFonts w:asciiTheme="minorHAnsi" w:hAnsiTheme="minorHAnsi" w:cstheme="minorHAnsi"/>
          <w:sz w:val="26"/>
          <w:szCs w:val="26"/>
        </w:rPr>
        <w:t>took</w:t>
      </w:r>
      <w:r>
        <w:rPr>
          <w:rFonts w:asciiTheme="minorHAnsi" w:hAnsiTheme="minorHAnsi" w:cstheme="minorHAnsi"/>
          <w:sz w:val="26"/>
          <w:szCs w:val="26"/>
        </w:rPr>
        <w:t xml:space="preserve"> the view that he lacked </w:t>
      </w:r>
      <w:r w:rsidR="00DB6A2D">
        <w:rPr>
          <w:rFonts w:asciiTheme="minorHAnsi" w:hAnsiTheme="minorHAnsi" w:cstheme="minorHAnsi"/>
          <w:sz w:val="26"/>
          <w:szCs w:val="26"/>
        </w:rPr>
        <w:t>authority to approve or ratify any transaction which occurred prior to June 2019, stating that his task was to authorise (or refuse) payment of business expenses arising after June 2019.</w:t>
      </w:r>
      <w:r w:rsidR="003B6822">
        <w:rPr>
          <w:rFonts w:asciiTheme="minorHAnsi" w:hAnsiTheme="minorHAnsi" w:cstheme="minorHAnsi"/>
          <w:sz w:val="26"/>
          <w:szCs w:val="26"/>
        </w:rPr>
        <w:t xml:space="preserve"> V/d Merwe then approached Claasens on the matter.</w:t>
      </w:r>
    </w:p>
    <w:p w:rsidR="00045AA5" w:rsidRPr="00DE526A" w:rsidRDefault="00045AA5" w:rsidP="00045AA5">
      <w:pPr>
        <w:pStyle w:val="ListParagraph"/>
        <w:rPr>
          <w:rFonts w:asciiTheme="minorHAnsi" w:hAnsiTheme="minorHAnsi" w:cstheme="minorHAnsi"/>
          <w:sz w:val="26"/>
          <w:szCs w:val="26"/>
        </w:rPr>
      </w:pPr>
    </w:p>
    <w:p w:rsidR="00AC7571" w:rsidRDefault="00AC7571"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Having verified the loan with reference to documents provided by Van der Merwe, and having satisfied himself as to the nature of the transaction, i.e. the repayment of a short-term loan to Jurgens as creditor of the second applicant, Claasens then authorised the transaction and informed Van der Merwe that she may proceed to make payment to Jurgens.</w:t>
      </w:r>
    </w:p>
    <w:p w:rsidR="00AC7571" w:rsidRPr="00AC7571" w:rsidRDefault="00AC7571" w:rsidP="00AC7571">
      <w:pPr>
        <w:pStyle w:val="ListParagraph"/>
        <w:rPr>
          <w:rFonts w:asciiTheme="minorHAnsi" w:hAnsiTheme="minorHAnsi" w:cstheme="minorHAnsi"/>
          <w:sz w:val="26"/>
          <w:szCs w:val="26"/>
        </w:rPr>
      </w:pPr>
    </w:p>
    <w:p w:rsidR="00045AA5" w:rsidRDefault="00AC7571"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Repayment of the loan to Jurgens, which took place by means of a transfer of funds from the bank account of the second applicant to a personal account of </w:t>
      </w:r>
      <w:r>
        <w:rPr>
          <w:rFonts w:asciiTheme="minorHAnsi" w:hAnsiTheme="minorHAnsi" w:cstheme="minorHAnsi"/>
          <w:sz w:val="26"/>
          <w:szCs w:val="26"/>
        </w:rPr>
        <w:lastRenderedPageBreak/>
        <w:t xml:space="preserve">Jurgens, </w:t>
      </w:r>
      <w:r w:rsidR="00060761">
        <w:rPr>
          <w:rFonts w:asciiTheme="minorHAnsi" w:hAnsiTheme="minorHAnsi" w:cstheme="minorHAnsi"/>
          <w:sz w:val="26"/>
          <w:szCs w:val="26"/>
        </w:rPr>
        <w:t xml:space="preserve">undoubtedly </w:t>
      </w:r>
      <w:r>
        <w:rPr>
          <w:rFonts w:asciiTheme="minorHAnsi" w:hAnsiTheme="minorHAnsi" w:cstheme="minorHAnsi"/>
          <w:sz w:val="26"/>
          <w:szCs w:val="26"/>
        </w:rPr>
        <w:t xml:space="preserve">amounts to a banking or financial transaction as envisaged in par 1 of the order. Botha’s complaint is that despite Boshoff </w:t>
      </w:r>
      <w:r w:rsidR="00060761">
        <w:rPr>
          <w:rFonts w:asciiTheme="minorHAnsi" w:hAnsiTheme="minorHAnsi" w:cstheme="minorHAnsi"/>
          <w:sz w:val="26"/>
          <w:szCs w:val="26"/>
        </w:rPr>
        <w:t>not authorising</w:t>
      </w:r>
      <w:r>
        <w:rPr>
          <w:rFonts w:asciiTheme="minorHAnsi" w:hAnsiTheme="minorHAnsi" w:cstheme="minorHAnsi"/>
          <w:sz w:val="26"/>
          <w:szCs w:val="26"/>
        </w:rPr>
        <w:t xml:space="preserve"> the payment, the payment was nonetheless effected</w:t>
      </w:r>
      <w:r w:rsidR="00C176B9">
        <w:rPr>
          <w:rFonts w:asciiTheme="minorHAnsi" w:hAnsiTheme="minorHAnsi" w:cstheme="minorHAnsi"/>
          <w:sz w:val="26"/>
          <w:szCs w:val="26"/>
        </w:rPr>
        <w:t>,</w:t>
      </w:r>
      <w:r>
        <w:rPr>
          <w:rFonts w:asciiTheme="minorHAnsi" w:hAnsiTheme="minorHAnsi" w:cstheme="minorHAnsi"/>
          <w:sz w:val="26"/>
          <w:szCs w:val="26"/>
        </w:rPr>
        <w:t xml:space="preserve"> in breach of par 3.2 of the order</w:t>
      </w:r>
      <w:r w:rsidR="00C176B9">
        <w:rPr>
          <w:rFonts w:asciiTheme="minorHAnsi" w:hAnsiTheme="minorHAnsi" w:cstheme="minorHAnsi"/>
          <w:sz w:val="26"/>
          <w:szCs w:val="26"/>
        </w:rPr>
        <w:t>, and</w:t>
      </w:r>
      <w:r>
        <w:rPr>
          <w:rFonts w:asciiTheme="minorHAnsi" w:hAnsiTheme="minorHAnsi" w:cstheme="minorHAnsi"/>
          <w:sz w:val="26"/>
          <w:szCs w:val="26"/>
        </w:rPr>
        <w:t xml:space="preserve"> in circumstances where Claasens lacked the authority to authorise payment of any expense </w:t>
      </w:r>
      <w:r w:rsidR="00060761">
        <w:rPr>
          <w:rFonts w:asciiTheme="minorHAnsi" w:hAnsiTheme="minorHAnsi" w:cstheme="minorHAnsi"/>
          <w:sz w:val="26"/>
          <w:szCs w:val="26"/>
        </w:rPr>
        <w:t>on a proper construction of par 4 of the order.</w:t>
      </w:r>
    </w:p>
    <w:p w:rsidR="00060761" w:rsidRPr="00060761" w:rsidRDefault="00060761" w:rsidP="00060761">
      <w:pPr>
        <w:pStyle w:val="ListParagraph"/>
        <w:rPr>
          <w:rFonts w:asciiTheme="minorHAnsi" w:hAnsiTheme="minorHAnsi" w:cstheme="minorHAnsi"/>
          <w:sz w:val="26"/>
          <w:szCs w:val="26"/>
        </w:rPr>
      </w:pPr>
    </w:p>
    <w:p w:rsidR="004C24B7" w:rsidRDefault="00060761"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There is no dispute between the parties that par 3.2 of the order required Boshoff to determine the nature of any and all business related expenses of </w:t>
      </w:r>
      <w:r w:rsidR="004A2C43">
        <w:rPr>
          <w:rFonts w:asciiTheme="minorHAnsi" w:hAnsiTheme="minorHAnsi" w:cstheme="minorHAnsi"/>
          <w:sz w:val="26"/>
          <w:szCs w:val="26"/>
        </w:rPr>
        <w:t>each practice and the amount of any and all business expenses owing to creditors of each practice</w:t>
      </w:r>
      <w:r w:rsidR="004C24B7">
        <w:rPr>
          <w:rFonts w:asciiTheme="minorHAnsi" w:hAnsiTheme="minorHAnsi" w:cstheme="minorHAnsi"/>
          <w:sz w:val="26"/>
          <w:szCs w:val="26"/>
        </w:rPr>
        <w:t>, with the assistance and co-operation of Van der Merwe</w:t>
      </w:r>
      <w:r w:rsidR="004A2C43">
        <w:rPr>
          <w:rFonts w:asciiTheme="minorHAnsi" w:hAnsiTheme="minorHAnsi" w:cstheme="minorHAnsi"/>
          <w:sz w:val="26"/>
          <w:szCs w:val="26"/>
        </w:rPr>
        <w:t xml:space="preserve">. </w:t>
      </w:r>
    </w:p>
    <w:p w:rsidR="004C24B7" w:rsidRPr="004C24B7" w:rsidRDefault="004C24B7" w:rsidP="004C24B7">
      <w:pPr>
        <w:pStyle w:val="ListParagraph"/>
        <w:rPr>
          <w:rFonts w:asciiTheme="minorHAnsi" w:hAnsiTheme="minorHAnsi" w:cstheme="minorHAnsi"/>
          <w:sz w:val="26"/>
          <w:szCs w:val="26"/>
        </w:rPr>
      </w:pPr>
    </w:p>
    <w:p w:rsidR="00732E1A" w:rsidRDefault="00C176B9"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his heads of argument, counsel for Botha submits that the fact that Boshoff’s approval for the loan expense was sought</w:t>
      </w:r>
      <w:r w:rsidR="003B6822">
        <w:rPr>
          <w:rFonts w:asciiTheme="minorHAnsi" w:hAnsiTheme="minorHAnsi" w:cstheme="minorHAnsi"/>
          <w:sz w:val="26"/>
          <w:szCs w:val="26"/>
        </w:rPr>
        <w:t>,</w:t>
      </w:r>
      <w:r>
        <w:rPr>
          <w:rFonts w:asciiTheme="minorHAnsi" w:hAnsiTheme="minorHAnsi" w:cstheme="minorHAnsi"/>
          <w:sz w:val="26"/>
          <w:szCs w:val="26"/>
        </w:rPr>
        <w:t xml:space="preserve"> is confirmation that Jurgens knew that the approval of Boshoff was required therefore. Despite the knowledge that Boshoff did not authorise payment, the payment was nevertheless made. He submits that on a proper construction of par 4 of the order, no authority was bestowed on Claasens to authorise any payment. He </w:t>
      </w:r>
      <w:r w:rsidR="003B6822">
        <w:rPr>
          <w:rFonts w:asciiTheme="minorHAnsi" w:hAnsiTheme="minorHAnsi" w:cstheme="minorHAnsi"/>
          <w:sz w:val="26"/>
          <w:szCs w:val="26"/>
        </w:rPr>
        <w:t xml:space="preserve">further </w:t>
      </w:r>
      <w:r>
        <w:rPr>
          <w:rFonts w:asciiTheme="minorHAnsi" w:hAnsiTheme="minorHAnsi" w:cstheme="minorHAnsi"/>
          <w:sz w:val="26"/>
          <w:szCs w:val="26"/>
        </w:rPr>
        <w:t>submits that Jurgens, in the absence of approval from Boshoff, wilfully decided to continue wit</w:t>
      </w:r>
      <w:r w:rsidR="00732E1A">
        <w:rPr>
          <w:rFonts w:asciiTheme="minorHAnsi" w:hAnsiTheme="minorHAnsi" w:cstheme="minorHAnsi"/>
          <w:sz w:val="26"/>
          <w:szCs w:val="26"/>
        </w:rPr>
        <w:t>h</w:t>
      </w:r>
      <w:r>
        <w:rPr>
          <w:rFonts w:asciiTheme="minorHAnsi" w:hAnsiTheme="minorHAnsi" w:cstheme="minorHAnsi"/>
          <w:sz w:val="26"/>
          <w:szCs w:val="26"/>
        </w:rPr>
        <w:t xml:space="preserve"> the transaction we</w:t>
      </w:r>
      <w:r w:rsidR="00732E1A">
        <w:rPr>
          <w:rFonts w:asciiTheme="minorHAnsi" w:hAnsiTheme="minorHAnsi" w:cstheme="minorHAnsi"/>
          <w:sz w:val="26"/>
          <w:szCs w:val="26"/>
        </w:rPr>
        <w:t>ll</w:t>
      </w:r>
      <w:r>
        <w:rPr>
          <w:rFonts w:asciiTheme="minorHAnsi" w:hAnsiTheme="minorHAnsi" w:cstheme="minorHAnsi"/>
          <w:sz w:val="26"/>
          <w:szCs w:val="26"/>
        </w:rPr>
        <w:t xml:space="preserve"> knowing that this would amou</w:t>
      </w:r>
      <w:r w:rsidR="00732E1A">
        <w:rPr>
          <w:rFonts w:asciiTheme="minorHAnsi" w:hAnsiTheme="minorHAnsi" w:cstheme="minorHAnsi"/>
          <w:sz w:val="26"/>
          <w:szCs w:val="26"/>
        </w:rPr>
        <w:t>n</w:t>
      </w:r>
      <w:r>
        <w:rPr>
          <w:rFonts w:asciiTheme="minorHAnsi" w:hAnsiTheme="minorHAnsi" w:cstheme="minorHAnsi"/>
          <w:sz w:val="26"/>
          <w:szCs w:val="26"/>
        </w:rPr>
        <w:t xml:space="preserve">t to a breach of the terms of the order. </w:t>
      </w:r>
    </w:p>
    <w:p w:rsidR="00732E1A" w:rsidRPr="00732E1A" w:rsidRDefault="00732E1A" w:rsidP="00732E1A">
      <w:pPr>
        <w:pStyle w:val="ListParagraph"/>
        <w:rPr>
          <w:rFonts w:asciiTheme="minorHAnsi" w:hAnsiTheme="minorHAnsi" w:cstheme="minorHAnsi"/>
          <w:sz w:val="26"/>
          <w:szCs w:val="26"/>
        </w:rPr>
      </w:pPr>
    </w:p>
    <w:p w:rsidR="004C24B7" w:rsidRDefault="00732E1A"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bears mention that Jurgens disputes that he approached either Boshoff or Claasens for approval for the repayment of the loan. He states that Van der Merwe did so of her own accord, a fact that is confirmed by her in her confirmatory affidavit. There is nothing to refute the </w:t>
      </w:r>
      <w:r w:rsidR="00020629">
        <w:rPr>
          <w:rFonts w:asciiTheme="minorHAnsi" w:hAnsiTheme="minorHAnsi" w:cstheme="minorHAnsi"/>
          <w:sz w:val="26"/>
          <w:szCs w:val="26"/>
        </w:rPr>
        <w:t>evidence of Jurgens that he</w:t>
      </w:r>
      <w:r>
        <w:rPr>
          <w:rFonts w:asciiTheme="minorHAnsi" w:hAnsiTheme="minorHAnsi" w:cstheme="minorHAnsi"/>
          <w:sz w:val="26"/>
          <w:szCs w:val="26"/>
        </w:rPr>
        <w:t xml:space="preserve"> had </w:t>
      </w:r>
      <w:r w:rsidR="00020629">
        <w:rPr>
          <w:rFonts w:asciiTheme="minorHAnsi" w:hAnsiTheme="minorHAnsi" w:cstheme="minorHAnsi"/>
          <w:sz w:val="26"/>
          <w:szCs w:val="26"/>
        </w:rPr>
        <w:t xml:space="preserve">loaned and </w:t>
      </w:r>
      <w:r>
        <w:rPr>
          <w:rFonts w:asciiTheme="minorHAnsi" w:hAnsiTheme="minorHAnsi" w:cstheme="minorHAnsi"/>
          <w:sz w:val="26"/>
          <w:szCs w:val="26"/>
        </w:rPr>
        <w:t>advanced funds to each practice</w:t>
      </w:r>
      <w:r w:rsidR="003B6822">
        <w:rPr>
          <w:rFonts w:asciiTheme="minorHAnsi" w:hAnsiTheme="minorHAnsi" w:cstheme="minorHAnsi"/>
          <w:sz w:val="26"/>
          <w:szCs w:val="26"/>
        </w:rPr>
        <w:t>;</w:t>
      </w:r>
      <w:r>
        <w:rPr>
          <w:rFonts w:asciiTheme="minorHAnsi" w:hAnsiTheme="minorHAnsi" w:cstheme="minorHAnsi"/>
          <w:sz w:val="26"/>
          <w:szCs w:val="26"/>
        </w:rPr>
        <w:t xml:space="preserve"> </w:t>
      </w:r>
      <w:r w:rsidR="00020629">
        <w:rPr>
          <w:rFonts w:asciiTheme="minorHAnsi" w:hAnsiTheme="minorHAnsi" w:cstheme="minorHAnsi"/>
          <w:sz w:val="26"/>
          <w:szCs w:val="26"/>
        </w:rPr>
        <w:t>that he was a legitimate creditor of each practice in respect of the loans</w:t>
      </w:r>
      <w:r w:rsidR="003B6822">
        <w:rPr>
          <w:rFonts w:asciiTheme="minorHAnsi" w:hAnsiTheme="minorHAnsi" w:cstheme="minorHAnsi"/>
          <w:sz w:val="26"/>
          <w:szCs w:val="26"/>
        </w:rPr>
        <w:t>;</w:t>
      </w:r>
      <w:r w:rsidR="00020629">
        <w:rPr>
          <w:rFonts w:asciiTheme="minorHAnsi" w:hAnsiTheme="minorHAnsi" w:cstheme="minorHAnsi"/>
          <w:sz w:val="26"/>
          <w:szCs w:val="26"/>
        </w:rPr>
        <w:t xml:space="preserve"> and that the second and third applicants were liable to repay same to him.</w:t>
      </w:r>
    </w:p>
    <w:p w:rsidR="00732E1A" w:rsidRPr="00732E1A" w:rsidRDefault="00732E1A" w:rsidP="00732E1A">
      <w:pPr>
        <w:pStyle w:val="ListParagraph"/>
        <w:rPr>
          <w:rFonts w:asciiTheme="minorHAnsi" w:hAnsiTheme="minorHAnsi" w:cstheme="minorHAnsi"/>
          <w:sz w:val="26"/>
          <w:szCs w:val="26"/>
        </w:rPr>
      </w:pPr>
    </w:p>
    <w:p w:rsidR="00732E1A" w:rsidRDefault="00732E1A"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Jurgens’s evidence is to the effect that he </w:t>
      </w:r>
      <w:r w:rsidR="00020629">
        <w:rPr>
          <w:rFonts w:asciiTheme="minorHAnsi" w:hAnsiTheme="minorHAnsi" w:cstheme="minorHAnsi"/>
          <w:sz w:val="26"/>
          <w:szCs w:val="26"/>
        </w:rPr>
        <w:t xml:space="preserve">understood </w:t>
      </w:r>
      <w:r>
        <w:rPr>
          <w:rFonts w:asciiTheme="minorHAnsi" w:hAnsiTheme="minorHAnsi" w:cstheme="minorHAnsi"/>
          <w:sz w:val="26"/>
          <w:szCs w:val="26"/>
        </w:rPr>
        <w:t>that Boshoff had absolved himself from the matter on the basis that it fell outside the scope of his authority</w:t>
      </w:r>
      <w:r w:rsidR="00020629">
        <w:rPr>
          <w:rFonts w:asciiTheme="minorHAnsi" w:hAnsiTheme="minorHAnsi" w:cstheme="minorHAnsi"/>
          <w:sz w:val="26"/>
          <w:szCs w:val="26"/>
        </w:rPr>
        <w:t>,</w:t>
      </w:r>
      <w:r>
        <w:rPr>
          <w:rFonts w:asciiTheme="minorHAnsi" w:hAnsiTheme="minorHAnsi" w:cstheme="minorHAnsi"/>
          <w:sz w:val="26"/>
          <w:szCs w:val="26"/>
        </w:rPr>
        <w:t xml:space="preserve"> as a result of which Van der Merwe </w:t>
      </w:r>
      <w:r w:rsidR="00020629">
        <w:rPr>
          <w:rFonts w:asciiTheme="minorHAnsi" w:hAnsiTheme="minorHAnsi" w:cstheme="minorHAnsi"/>
          <w:sz w:val="26"/>
          <w:szCs w:val="26"/>
        </w:rPr>
        <w:t xml:space="preserve">then </w:t>
      </w:r>
      <w:r>
        <w:rPr>
          <w:rFonts w:asciiTheme="minorHAnsi" w:hAnsiTheme="minorHAnsi" w:cstheme="minorHAnsi"/>
          <w:sz w:val="26"/>
          <w:szCs w:val="26"/>
        </w:rPr>
        <w:t xml:space="preserve">approached Claasens for </w:t>
      </w:r>
      <w:r w:rsidR="00B47232">
        <w:rPr>
          <w:rFonts w:asciiTheme="minorHAnsi" w:hAnsiTheme="minorHAnsi" w:cstheme="minorHAnsi"/>
          <w:sz w:val="26"/>
          <w:szCs w:val="26"/>
        </w:rPr>
        <w:t>approval</w:t>
      </w:r>
      <w:r>
        <w:rPr>
          <w:rFonts w:asciiTheme="minorHAnsi" w:hAnsiTheme="minorHAnsi" w:cstheme="minorHAnsi"/>
          <w:sz w:val="26"/>
          <w:szCs w:val="26"/>
        </w:rPr>
        <w:t xml:space="preserve"> to repay the loan</w:t>
      </w:r>
      <w:r w:rsidR="00020629">
        <w:rPr>
          <w:rFonts w:asciiTheme="minorHAnsi" w:hAnsiTheme="minorHAnsi" w:cstheme="minorHAnsi"/>
          <w:sz w:val="26"/>
          <w:szCs w:val="26"/>
        </w:rPr>
        <w:t>.</w:t>
      </w:r>
      <w:r>
        <w:rPr>
          <w:rFonts w:asciiTheme="minorHAnsi" w:hAnsiTheme="minorHAnsi" w:cstheme="minorHAnsi"/>
          <w:sz w:val="26"/>
          <w:szCs w:val="26"/>
        </w:rPr>
        <w:t xml:space="preserve"> I cannot con</w:t>
      </w:r>
      <w:r w:rsidR="00020629">
        <w:rPr>
          <w:rFonts w:asciiTheme="minorHAnsi" w:hAnsiTheme="minorHAnsi" w:cstheme="minorHAnsi"/>
          <w:sz w:val="26"/>
          <w:szCs w:val="26"/>
        </w:rPr>
        <w:t>c</w:t>
      </w:r>
      <w:r>
        <w:rPr>
          <w:rFonts w:asciiTheme="minorHAnsi" w:hAnsiTheme="minorHAnsi" w:cstheme="minorHAnsi"/>
          <w:sz w:val="26"/>
          <w:szCs w:val="26"/>
        </w:rPr>
        <w:t xml:space="preserve">lude that </w:t>
      </w:r>
      <w:r w:rsidR="00020629">
        <w:rPr>
          <w:rFonts w:asciiTheme="minorHAnsi" w:hAnsiTheme="minorHAnsi" w:cstheme="minorHAnsi"/>
          <w:sz w:val="26"/>
          <w:szCs w:val="26"/>
        </w:rPr>
        <w:t xml:space="preserve">either </w:t>
      </w:r>
      <w:r>
        <w:rPr>
          <w:rFonts w:asciiTheme="minorHAnsi" w:hAnsiTheme="minorHAnsi" w:cstheme="minorHAnsi"/>
          <w:sz w:val="26"/>
          <w:szCs w:val="26"/>
        </w:rPr>
        <w:t xml:space="preserve">Jurgens </w:t>
      </w:r>
      <w:r w:rsidR="00020629">
        <w:rPr>
          <w:rFonts w:asciiTheme="minorHAnsi" w:hAnsiTheme="minorHAnsi" w:cstheme="minorHAnsi"/>
          <w:sz w:val="26"/>
          <w:szCs w:val="26"/>
        </w:rPr>
        <w:t xml:space="preserve">or Van der Merwe acted mala fide in approaching Claasens. Van der Merwe could not </w:t>
      </w:r>
      <w:r w:rsidR="00B47232">
        <w:rPr>
          <w:rFonts w:asciiTheme="minorHAnsi" w:hAnsiTheme="minorHAnsi" w:cstheme="minorHAnsi"/>
          <w:sz w:val="26"/>
          <w:szCs w:val="26"/>
        </w:rPr>
        <w:t xml:space="preserve">herself </w:t>
      </w:r>
      <w:r w:rsidR="00020629">
        <w:rPr>
          <w:rFonts w:asciiTheme="minorHAnsi" w:hAnsiTheme="minorHAnsi" w:cstheme="minorHAnsi"/>
          <w:sz w:val="26"/>
          <w:szCs w:val="26"/>
        </w:rPr>
        <w:t>authorise payments in terms of the order. Boshoff could</w:t>
      </w:r>
      <w:r w:rsidR="00B47232">
        <w:rPr>
          <w:rFonts w:asciiTheme="minorHAnsi" w:hAnsiTheme="minorHAnsi" w:cstheme="minorHAnsi"/>
          <w:sz w:val="26"/>
          <w:szCs w:val="26"/>
        </w:rPr>
        <w:t xml:space="preserve"> do so but exempted himself from </w:t>
      </w:r>
      <w:r w:rsidR="00020629">
        <w:rPr>
          <w:rFonts w:asciiTheme="minorHAnsi" w:hAnsiTheme="minorHAnsi" w:cstheme="minorHAnsi"/>
          <w:sz w:val="26"/>
          <w:szCs w:val="26"/>
        </w:rPr>
        <w:t xml:space="preserve">even </w:t>
      </w:r>
      <w:r w:rsidR="00B47232">
        <w:rPr>
          <w:rFonts w:asciiTheme="minorHAnsi" w:hAnsiTheme="minorHAnsi" w:cstheme="minorHAnsi"/>
          <w:sz w:val="26"/>
          <w:szCs w:val="26"/>
        </w:rPr>
        <w:t>considering</w:t>
      </w:r>
      <w:r w:rsidR="00020629">
        <w:rPr>
          <w:rFonts w:asciiTheme="minorHAnsi" w:hAnsiTheme="minorHAnsi" w:cstheme="minorHAnsi"/>
          <w:sz w:val="26"/>
          <w:szCs w:val="26"/>
        </w:rPr>
        <w:t xml:space="preserve"> </w:t>
      </w:r>
      <w:r w:rsidR="00B47232">
        <w:rPr>
          <w:rFonts w:asciiTheme="minorHAnsi" w:hAnsiTheme="minorHAnsi" w:cstheme="minorHAnsi"/>
          <w:sz w:val="26"/>
          <w:szCs w:val="26"/>
        </w:rPr>
        <w:t xml:space="preserve">the </w:t>
      </w:r>
      <w:r w:rsidR="00020629">
        <w:rPr>
          <w:rFonts w:asciiTheme="minorHAnsi" w:hAnsiTheme="minorHAnsi" w:cstheme="minorHAnsi"/>
          <w:sz w:val="26"/>
          <w:szCs w:val="26"/>
        </w:rPr>
        <w:t xml:space="preserve">request for approval in relation to what was </w:t>
      </w:r>
      <w:r w:rsidR="00B47232">
        <w:rPr>
          <w:rFonts w:asciiTheme="minorHAnsi" w:hAnsiTheme="minorHAnsi" w:cstheme="minorHAnsi"/>
          <w:sz w:val="26"/>
          <w:szCs w:val="26"/>
        </w:rPr>
        <w:t>ostensibly demonstrated by Van der Merwe to be a</w:t>
      </w:r>
      <w:r w:rsidR="00020629">
        <w:rPr>
          <w:rFonts w:asciiTheme="minorHAnsi" w:hAnsiTheme="minorHAnsi" w:cstheme="minorHAnsi"/>
          <w:sz w:val="26"/>
          <w:szCs w:val="26"/>
        </w:rPr>
        <w:t xml:space="preserve"> legitimate debt</w:t>
      </w:r>
      <w:r w:rsidR="00B47232">
        <w:rPr>
          <w:rFonts w:asciiTheme="minorHAnsi" w:hAnsiTheme="minorHAnsi" w:cstheme="minorHAnsi"/>
          <w:sz w:val="26"/>
          <w:szCs w:val="26"/>
        </w:rPr>
        <w:t>,</w:t>
      </w:r>
      <w:r w:rsidR="00020629">
        <w:rPr>
          <w:rFonts w:asciiTheme="minorHAnsi" w:hAnsiTheme="minorHAnsi" w:cstheme="minorHAnsi"/>
          <w:sz w:val="26"/>
          <w:szCs w:val="26"/>
        </w:rPr>
        <w:t xml:space="preserve"> </w:t>
      </w:r>
      <w:r w:rsidR="00B47232">
        <w:rPr>
          <w:rFonts w:asciiTheme="minorHAnsi" w:hAnsiTheme="minorHAnsi" w:cstheme="minorHAnsi"/>
          <w:sz w:val="26"/>
          <w:szCs w:val="26"/>
        </w:rPr>
        <w:t xml:space="preserve">owed by the second applicant to a known creditor (Jurgens), in respect of an </w:t>
      </w:r>
      <w:r w:rsidR="003B6822">
        <w:rPr>
          <w:rFonts w:asciiTheme="minorHAnsi" w:hAnsiTheme="minorHAnsi" w:cstheme="minorHAnsi"/>
          <w:sz w:val="26"/>
          <w:szCs w:val="26"/>
        </w:rPr>
        <w:t xml:space="preserve">apparent </w:t>
      </w:r>
      <w:r w:rsidR="00B47232">
        <w:rPr>
          <w:rFonts w:asciiTheme="minorHAnsi" w:hAnsiTheme="minorHAnsi" w:cstheme="minorHAnsi"/>
          <w:sz w:val="26"/>
          <w:szCs w:val="26"/>
        </w:rPr>
        <w:t>authentic loan</w:t>
      </w:r>
      <w:r w:rsidR="000051BF">
        <w:rPr>
          <w:rFonts w:asciiTheme="minorHAnsi" w:hAnsiTheme="minorHAnsi" w:cstheme="minorHAnsi"/>
          <w:sz w:val="26"/>
          <w:szCs w:val="26"/>
        </w:rPr>
        <w:t xml:space="preserve"> transaction</w:t>
      </w:r>
      <w:r w:rsidR="00B47232">
        <w:rPr>
          <w:rFonts w:asciiTheme="minorHAnsi" w:hAnsiTheme="minorHAnsi" w:cstheme="minorHAnsi"/>
          <w:sz w:val="26"/>
          <w:szCs w:val="26"/>
        </w:rPr>
        <w:t xml:space="preserve">. </w:t>
      </w:r>
      <w:r w:rsidR="005F263D">
        <w:rPr>
          <w:rFonts w:asciiTheme="minorHAnsi" w:hAnsiTheme="minorHAnsi" w:cstheme="minorHAnsi"/>
          <w:sz w:val="26"/>
          <w:szCs w:val="26"/>
        </w:rPr>
        <w:t xml:space="preserve">Even if I were to accept that Van der Merwe approached Claasens with the acquiescence </w:t>
      </w:r>
      <w:r w:rsidR="00210157">
        <w:rPr>
          <w:rFonts w:asciiTheme="minorHAnsi" w:hAnsiTheme="minorHAnsi" w:cstheme="minorHAnsi"/>
          <w:sz w:val="26"/>
          <w:szCs w:val="26"/>
        </w:rPr>
        <w:t xml:space="preserve">and collaboration </w:t>
      </w:r>
      <w:r w:rsidR="005F263D">
        <w:rPr>
          <w:rFonts w:asciiTheme="minorHAnsi" w:hAnsiTheme="minorHAnsi" w:cstheme="minorHAnsi"/>
          <w:sz w:val="26"/>
          <w:szCs w:val="26"/>
        </w:rPr>
        <w:t>of Jurgens</w:t>
      </w:r>
      <w:r w:rsidR="000051BF">
        <w:rPr>
          <w:rFonts w:asciiTheme="minorHAnsi" w:hAnsiTheme="minorHAnsi" w:cstheme="minorHAnsi"/>
          <w:sz w:val="26"/>
          <w:szCs w:val="26"/>
        </w:rPr>
        <w:t xml:space="preserve"> or that Jurgens was the driving force behind the repayment</w:t>
      </w:r>
      <w:r w:rsidR="005F263D">
        <w:rPr>
          <w:rFonts w:asciiTheme="minorHAnsi" w:hAnsiTheme="minorHAnsi" w:cstheme="minorHAnsi"/>
          <w:sz w:val="26"/>
          <w:szCs w:val="26"/>
        </w:rPr>
        <w:t>, i</w:t>
      </w:r>
      <w:r w:rsidR="00B47232">
        <w:rPr>
          <w:rFonts w:asciiTheme="minorHAnsi" w:hAnsiTheme="minorHAnsi" w:cstheme="minorHAnsi"/>
          <w:sz w:val="26"/>
          <w:szCs w:val="26"/>
        </w:rPr>
        <w:t xml:space="preserve">t is clear from a contextual reading of Jurgens’ </w:t>
      </w:r>
      <w:r w:rsidR="005F263D">
        <w:rPr>
          <w:rFonts w:asciiTheme="minorHAnsi" w:hAnsiTheme="minorHAnsi" w:cstheme="minorHAnsi"/>
          <w:sz w:val="26"/>
          <w:szCs w:val="26"/>
        </w:rPr>
        <w:t>affidavit</w:t>
      </w:r>
      <w:r w:rsidR="00B47232">
        <w:rPr>
          <w:rFonts w:asciiTheme="minorHAnsi" w:hAnsiTheme="minorHAnsi" w:cstheme="minorHAnsi"/>
          <w:sz w:val="26"/>
          <w:szCs w:val="26"/>
        </w:rPr>
        <w:t xml:space="preserve"> in conjunction with Van der Merwe’s affidavit, that it did not occur to either </w:t>
      </w:r>
      <w:r w:rsidR="005F263D">
        <w:rPr>
          <w:rFonts w:asciiTheme="minorHAnsi" w:hAnsiTheme="minorHAnsi" w:cstheme="minorHAnsi"/>
          <w:sz w:val="26"/>
          <w:szCs w:val="26"/>
        </w:rPr>
        <w:t xml:space="preserve">of them </w:t>
      </w:r>
      <w:r w:rsidR="00B47232">
        <w:rPr>
          <w:rFonts w:asciiTheme="minorHAnsi" w:hAnsiTheme="minorHAnsi" w:cstheme="minorHAnsi"/>
          <w:sz w:val="26"/>
          <w:szCs w:val="26"/>
        </w:rPr>
        <w:t xml:space="preserve">that Van der Merwe was doing anything wrong by </w:t>
      </w:r>
      <w:r w:rsidR="005F263D">
        <w:rPr>
          <w:rFonts w:asciiTheme="minorHAnsi" w:hAnsiTheme="minorHAnsi" w:cstheme="minorHAnsi"/>
          <w:sz w:val="26"/>
          <w:szCs w:val="26"/>
        </w:rPr>
        <w:t xml:space="preserve">approaching Claasens to </w:t>
      </w:r>
      <w:r w:rsidR="00B47232">
        <w:rPr>
          <w:rFonts w:asciiTheme="minorHAnsi" w:hAnsiTheme="minorHAnsi" w:cstheme="minorHAnsi"/>
          <w:sz w:val="26"/>
          <w:szCs w:val="26"/>
        </w:rPr>
        <w:t>sanction the repayment of the debt.</w:t>
      </w:r>
      <w:r w:rsidR="005F263D">
        <w:rPr>
          <w:rFonts w:asciiTheme="minorHAnsi" w:hAnsiTheme="minorHAnsi" w:cstheme="minorHAnsi"/>
          <w:sz w:val="26"/>
          <w:szCs w:val="26"/>
        </w:rPr>
        <w:t xml:space="preserve"> Nor did they do so whilst knowing that Claasens was not empowered to authorise payment in terms of par 4 of the order, as contended for by Botha.</w:t>
      </w:r>
      <w:r w:rsidR="00B47232">
        <w:rPr>
          <w:rFonts w:asciiTheme="minorHAnsi" w:hAnsiTheme="minorHAnsi" w:cstheme="minorHAnsi"/>
          <w:sz w:val="26"/>
          <w:szCs w:val="26"/>
        </w:rPr>
        <w:t xml:space="preserve">  </w:t>
      </w:r>
      <w:r w:rsidR="005F263D">
        <w:rPr>
          <w:rFonts w:asciiTheme="minorHAnsi" w:hAnsiTheme="minorHAnsi" w:cstheme="minorHAnsi"/>
          <w:sz w:val="26"/>
          <w:szCs w:val="26"/>
        </w:rPr>
        <w:t>In other words, even if the actions of Van der Merwe are to be imputed to Jurgens, I cannot find, on the evidence put up by Jurgens</w:t>
      </w:r>
      <w:r w:rsidR="000051BF">
        <w:rPr>
          <w:rFonts w:asciiTheme="minorHAnsi" w:hAnsiTheme="minorHAnsi" w:cstheme="minorHAnsi"/>
          <w:sz w:val="26"/>
          <w:szCs w:val="26"/>
        </w:rPr>
        <w:t>,</w:t>
      </w:r>
      <w:r w:rsidR="005F263D">
        <w:rPr>
          <w:rFonts w:asciiTheme="minorHAnsi" w:hAnsiTheme="minorHAnsi" w:cstheme="minorHAnsi"/>
          <w:sz w:val="26"/>
          <w:szCs w:val="26"/>
        </w:rPr>
        <w:t xml:space="preserve"> that he deliberately disobeyed the order or that he did so with </w:t>
      </w:r>
      <w:r w:rsidR="005F263D" w:rsidRPr="005F263D">
        <w:rPr>
          <w:rFonts w:asciiTheme="minorHAnsi" w:hAnsiTheme="minorHAnsi" w:cstheme="minorHAnsi"/>
          <w:i/>
          <w:sz w:val="26"/>
          <w:szCs w:val="26"/>
        </w:rPr>
        <w:t>mala fides</w:t>
      </w:r>
      <w:r w:rsidR="005F263D">
        <w:rPr>
          <w:rFonts w:asciiTheme="minorHAnsi" w:hAnsiTheme="minorHAnsi" w:cstheme="minorHAnsi"/>
          <w:sz w:val="26"/>
          <w:szCs w:val="26"/>
        </w:rPr>
        <w:t xml:space="preserve">. The order is silent about what is to happen </w:t>
      </w:r>
      <w:r w:rsidR="00210157">
        <w:rPr>
          <w:rFonts w:asciiTheme="minorHAnsi" w:hAnsiTheme="minorHAnsi" w:cstheme="minorHAnsi"/>
          <w:sz w:val="26"/>
          <w:szCs w:val="26"/>
        </w:rPr>
        <w:t xml:space="preserve">in circumstances </w:t>
      </w:r>
      <w:r w:rsidR="005F263D">
        <w:rPr>
          <w:rFonts w:asciiTheme="minorHAnsi" w:hAnsiTheme="minorHAnsi" w:cstheme="minorHAnsi"/>
          <w:sz w:val="26"/>
          <w:szCs w:val="26"/>
        </w:rPr>
        <w:t xml:space="preserve">where Boshoff </w:t>
      </w:r>
      <w:r w:rsidR="000051BF">
        <w:rPr>
          <w:rFonts w:asciiTheme="minorHAnsi" w:hAnsiTheme="minorHAnsi" w:cstheme="minorHAnsi"/>
          <w:sz w:val="26"/>
          <w:szCs w:val="26"/>
        </w:rPr>
        <w:t xml:space="preserve">believes he has no authority to participate </w:t>
      </w:r>
      <w:r w:rsidR="005F263D">
        <w:rPr>
          <w:rFonts w:asciiTheme="minorHAnsi" w:hAnsiTheme="minorHAnsi" w:cstheme="minorHAnsi"/>
          <w:sz w:val="26"/>
          <w:szCs w:val="26"/>
        </w:rPr>
        <w:t xml:space="preserve">in the exercise of determining the nature and amount of an expense that arises for payment, </w:t>
      </w:r>
      <w:r w:rsidR="00210157">
        <w:rPr>
          <w:rFonts w:asciiTheme="minorHAnsi" w:hAnsiTheme="minorHAnsi" w:cstheme="minorHAnsi"/>
          <w:sz w:val="26"/>
          <w:szCs w:val="26"/>
        </w:rPr>
        <w:t xml:space="preserve">particularly </w:t>
      </w:r>
      <w:r w:rsidR="005F263D">
        <w:rPr>
          <w:rFonts w:asciiTheme="minorHAnsi" w:hAnsiTheme="minorHAnsi" w:cstheme="minorHAnsi"/>
          <w:sz w:val="26"/>
          <w:szCs w:val="26"/>
        </w:rPr>
        <w:t xml:space="preserve">in circumstances where there </w:t>
      </w:r>
      <w:r w:rsidR="000051BF">
        <w:rPr>
          <w:rFonts w:asciiTheme="minorHAnsi" w:hAnsiTheme="minorHAnsi" w:cstheme="minorHAnsi"/>
          <w:sz w:val="26"/>
          <w:szCs w:val="26"/>
        </w:rPr>
        <w:t>appeared to be</w:t>
      </w:r>
      <w:r w:rsidR="005F263D">
        <w:rPr>
          <w:rFonts w:asciiTheme="minorHAnsi" w:hAnsiTheme="minorHAnsi" w:cstheme="minorHAnsi"/>
          <w:sz w:val="26"/>
          <w:szCs w:val="26"/>
        </w:rPr>
        <w:t xml:space="preserve"> no dispute about the nature of the expense, the amount of the expense or the identity of the creditor to be paid. </w:t>
      </w:r>
    </w:p>
    <w:p w:rsidR="00C176B9" w:rsidRPr="00C176B9" w:rsidRDefault="00C176B9" w:rsidP="00C176B9">
      <w:pPr>
        <w:pStyle w:val="ListParagraph"/>
        <w:rPr>
          <w:rFonts w:asciiTheme="minorHAnsi" w:hAnsiTheme="minorHAnsi" w:cstheme="minorHAnsi"/>
          <w:sz w:val="26"/>
          <w:szCs w:val="26"/>
        </w:rPr>
      </w:pPr>
    </w:p>
    <w:p w:rsidR="00C176B9" w:rsidRDefault="00C176B9"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common cause that Boshoff’s approval was sought for the repayment of the loan. </w:t>
      </w:r>
      <w:r w:rsidR="000051BF">
        <w:rPr>
          <w:rFonts w:asciiTheme="minorHAnsi" w:hAnsiTheme="minorHAnsi" w:cstheme="minorHAnsi"/>
          <w:sz w:val="26"/>
          <w:szCs w:val="26"/>
        </w:rPr>
        <w:t>On the evidence submitted by Jurgens, t</w:t>
      </w:r>
      <w:r w:rsidR="00210157">
        <w:rPr>
          <w:rFonts w:asciiTheme="minorHAnsi" w:hAnsiTheme="minorHAnsi" w:cstheme="minorHAnsi"/>
          <w:sz w:val="26"/>
          <w:szCs w:val="26"/>
        </w:rPr>
        <w:t xml:space="preserve">here was clearly a genuine intention and effort to comply with the terms of the court order. </w:t>
      </w:r>
      <w:r w:rsidR="00732E1A">
        <w:rPr>
          <w:rFonts w:asciiTheme="minorHAnsi" w:hAnsiTheme="minorHAnsi" w:cstheme="minorHAnsi"/>
          <w:sz w:val="26"/>
          <w:szCs w:val="26"/>
        </w:rPr>
        <w:t xml:space="preserve">Far from </w:t>
      </w:r>
      <w:r w:rsidR="00732E1A">
        <w:rPr>
          <w:rFonts w:asciiTheme="minorHAnsi" w:hAnsiTheme="minorHAnsi" w:cstheme="minorHAnsi"/>
          <w:sz w:val="26"/>
          <w:szCs w:val="26"/>
        </w:rPr>
        <w:lastRenderedPageBreak/>
        <w:t xml:space="preserve">refusing to authorise payment, </w:t>
      </w:r>
      <w:r>
        <w:rPr>
          <w:rFonts w:asciiTheme="minorHAnsi" w:hAnsiTheme="minorHAnsi" w:cstheme="minorHAnsi"/>
          <w:sz w:val="26"/>
          <w:szCs w:val="26"/>
        </w:rPr>
        <w:t xml:space="preserve">Boshoff </w:t>
      </w:r>
      <w:r w:rsidR="00732E1A">
        <w:rPr>
          <w:rFonts w:asciiTheme="minorHAnsi" w:hAnsiTheme="minorHAnsi" w:cstheme="minorHAnsi"/>
          <w:sz w:val="26"/>
          <w:szCs w:val="26"/>
        </w:rPr>
        <w:t xml:space="preserve">merely </w:t>
      </w:r>
      <w:r>
        <w:rPr>
          <w:rFonts w:asciiTheme="minorHAnsi" w:hAnsiTheme="minorHAnsi" w:cstheme="minorHAnsi"/>
          <w:sz w:val="26"/>
          <w:szCs w:val="26"/>
        </w:rPr>
        <w:t>declined to consider the request</w:t>
      </w:r>
      <w:r w:rsidR="00732E1A">
        <w:rPr>
          <w:rFonts w:asciiTheme="minorHAnsi" w:hAnsiTheme="minorHAnsi" w:cstheme="minorHAnsi"/>
          <w:sz w:val="26"/>
          <w:szCs w:val="26"/>
        </w:rPr>
        <w:t xml:space="preserve"> at all</w:t>
      </w:r>
      <w:r>
        <w:rPr>
          <w:rFonts w:asciiTheme="minorHAnsi" w:hAnsiTheme="minorHAnsi" w:cstheme="minorHAnsi"/>
          <w:sz w:val="26"/>
          <w:szCs w:val="26"/>
        </w:rPr>
        <w:t xml:space="preserve">, adopting the view that any decision on the matter fell outside the </w:t>
      </w:r>
      <w:r w:rsidR="005F263D">
        <w:rPr>
          <w:rFonts w:asciiTheme="minorHAnsi" w:hAnsiTheme="minorHAnsi" w:cstheme="minorHAnsi"/>
          <w:sz w:val="26"/>
          <w:szCs w:val="26"/>
        </w:rPr>
        <w:t>scope</w:t>
      </w:r>
      <w:r>
        <w:rPr>
          <w:rFonts w:asciiTheme="minorHAnsi" w:hAnsiTheme="minorHAnsi" w:cstheme="minorHAnsi"/>
          <w:sz w:val="26"/>
          <w:szCs w:val="26"/>
        </w:rPr>
        <w:t xml:space="preserve"> of his authority</w:t>
      </w:r>
      <w:r w:rsidR="00732E1A">
        <w:rPr>
          <w:rFonts w:asciiTheme="minorHAnsi" w:hAnsiTheme="minorHAnsi" w:cstheme="minorHAnsi"/>
          <w:sz w:val="26"/>
          <w:szCs w:val="26"/>
        </w:rPr>
        <w:t>, simply because the loan in question had been advanced prior to June 2019.</w:t>
      </w:r>
      <w:r>
        <w:rPr>
          <w:rFonts w:asciiTheme="minorHAnsi" w:hAnsiTheme="minorHAnsi" w:cstheme="minorHAnsi"/>
          <w:sz w:val="26"/>
          <w:szCs w:val="26"/>
        </w:rPr>
        <w:t xml:space="preserve"> </w:t>
      </w:r>
    </w:p>
    <w:p w:rsidR="004C24B7" w:rsidRPr="004C24B7" w:rsidRDefault="004C24B7" w:rsidP="004C24B7">
      <w:pPr>
        <w:pStyle w:val="ListParagraph"/>
        <w:rPr>
          <w:rFonts w:asciiTheme="minorHAnsi" w:hAnsiTheme="minorHAnsi" w:cstheme="minorHAnsi"/>
          <w:sz w:val="26"/>
          <w:szCs w:val="26"/>
        </w:rPr>
      </w:pPr>
    </w:p>
    <w:p w:rsidR="00060761" w:rsidRDefault="00060761"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On a proper construction of par 4 of the order, in the event of a dispute arising as to the nature of a expense </w:t>
      </w:r>
      <w:r w:rsidR="005F263D">
        <w:rPr>
          <w:rFonts w:asciiTheme="minorHAnsi" w:hAnsiTheme="minorHAnsi" w:cstheme="minorHAnsi"/>
          <w:sz w:val="26"/>
          <w:szCs w:val="26"/>
        </w:rPr>
        <w:t xml:space="preserve">incurred by the second or third applicants </w:t>
      </w:r>
      <w:r>
        <w:rPr>
          <w:rFonts w:asciiTheme="minorHAnsi" w:hAnsiTheme="minorHAnsi" w:cstheme="minorHAnsi"/>
          <w:sz w:val="26"/>
          <w:szCs w:val="26"/>
        </w:rPr>
        <w:t xml:space="preserve">or the amount thereof or the identity of the creditor to be paid, Boshoff is to </w:t>
      </w:r>
      <w:r>
        <w:rPr>
          <w:rFonts w:asciiTheme="minorHAnsi" w:hAnsiTheme="minorHAnsi" w:cstheme="minorHAnsi"/>
          <w:i/>
          <w:sz w:val="26"/>
          <w:szCs w:val="26"/>
        </w:rPr>
        <w:t xml:space="preserve">liaise </w:t>
      </w:r>
      <w:r>
        <w:rPr>
          <w:rFonts w:asciiTheme="minorHAnsi" w:hAnsiTheme="minorHAnsi" w:cstheme="minorHAnsi"/>
          <w:sz w:val="26"/>
          <w:szCs w:val="26"/>
        </w:rPr>
        <w:t>with Claasens in order to determine the amount to be paid and the validity of such payment.</w:t>
      </w:r>
      <w:r w:rsidR="004A2C43">
        <w:rPr>
          <w:rFonts w:asciiTheme="minorHAnsi" w:hAnsiTheme="minorHAnsi" w:cstheme="minorHAnsi"/>
          <w:sz w:val="26"/>
          <w:szCs w:val="26"/>
        </w:rPr>
        <w:t xml:space="preserve"> The clause in my view clearly envisages a resolution of the dispute by agreement between Boshoff and Claasens regarding the authenticity of the expense and the amount </w:t>
      </w:r>
      <w:r w:rsidR="00210157">
        <w:rPr>
          <w:rFonts w:asciiTheme="minorHAnsi" w:hAnsiTheme="minorHAnsi" w:cstheme="minorHAnsi"/>
          <w:sz w:val="26"/>
          <w:szCs w:val="26"/>
        </w:rPr>
        <w:t xml:space="preserve">that is </w:t>
      </w:r>
      <w:r w:rsidR="004A2C43">
        <w:rPr>
          <w:rFonts w:asciiTheme="minorHAnsi" w:hAnsiTheme="minorHAnsi" w:cstheme="minorHAnsi"/>
          <w:sz w:val="26"/>
          <w:szCs w:val="26"/>
        </w:rPr>
        <w:t xml:space="preserve">required to be paid to a verified creditor in respect of such expense. In other words, in the event of a dispute, Boshoff </w:t>
      </w:r>
      <w:r w:rsidR="003B6822">
        <w:rPr>
          <w:rFonts w:asciiTheme="minorHAnsi" w:hAnsiTheme="minorHAnsi" w:cstheme="minorHAnsi"/>
          <w:sz w:val="26"/>
          <w:szCs w:val="26"/>
        </w:rPr>
        <w:t>is</w:t>
      </w:r>
      <w:r w:rsidR="004A2C43">
        <w:rPr>
          <w:rFonts w:asciiTheme="minorHAnsi" w:hAnsiTheme="minorHAnsi" w:cstheme="minorHAnsi"/>
          <w:sz w:val="26"/>
          <w:szCs w:val="26"/>
        </w:rPr>
        <w:t xml:space="preserve"> not empowered to unilaterally </w:t>
      </w:r>
      <w:r w:rsidR="003B6822">
        <w:rPr>
          <w:rFonts w:asciiTheme="minorHAnsi" w:hAnsiTheme="minorHAnsi" w:cstheme="minorHAnsi"/>
          <w:sz w:val="26"/>
          <w:szCs w:val="26"/>
        </w:rPr>
        <w:t>act for purposes of authorising</w:t>
      </w:r>
      <w:r w:rsidR="004A2C43">
        <w:rPr>
          <w:rFonts w:asciiTheme="minorHAnsi" w:hAnsiTheme="minorHAnsi" w:cstheme="minorHAnsi"/>
          <w:sz w:val="26"/>
          <w:szCs w:val="26"/>
        </w:rPr>
        <w:t xml:space="preserve"> (or refus</w:t>
      </w:r>
      <w:r w:rsidR="003B6822">
        <w:rPr>
          <w:rFonts w:asciiTheme="minorHAnsi" w:hAnsiTheme="minorHAnsi" w:cstheme="minorHAnsi"/>
          <w:sz w:val="26"/>
          <w:szCs w:val="26"/>
        </w:rPr>
        <w:t>ing</w:t>
      </w:r>
      <w:r w:rsidR="004A2C43">
        <w:rPr>
          <w:rFonts w:asciiTheme="minorHAnsi" w:hAnsiTheme="minorHAnsi" w:cstheme="minorHAnsi"/>
          <w:sz w:val="26"/>
          <w:szCs w:val="26"/>
        </w:rPr>
        <w:t xml:space="preserve"> to authorise) payment. He ha</w:t>
      </w:r>
      <w:r w:rsidR="003B6822">
        <w:rPr>
          <w:rFonts w:asciiTheme="minorHAnsi" w:hAnsiTheme="minorHAnsi" w:cstheme="minorHAnsi"/>
          <w:sz w:val="26"/>
          <w:szCs w:val="26"/>
        </w:rPr>
        <w:t>s</w:t>
      </w:r>
      <w:r w:rsidR="004A2C43">
        <w:rPr>
          <w:rFonts w:asciiTheme="minorHAnsi" w:hAnsiTheme="minorHAnsi" w:cstheme="minorHAnsi"/>
          <w:sz w:val="26"/>
          <w:szCs w:val="26"/>
        </w:rPr>
        <w:t xml:space="preserve"> to confer with Claasens </w:t>
      </w:r>
      <w:r w:rsidR="003B6822">
        <w:rPr>
          <w:rFonts w:asciiTheme="minorHAnsi" w:hAnsiTheme="minorHAnsi" w:cstheme="minorHAnsi"/>
          <w:sz w:val="26"/>
          <w:szCs w:val="26"/>
        </w:rPr>
        <w:t xml:space="preserve">(as opposed to V/d Merwe) </w:t>
      </w:r>
      <w:r w:rsidR="004C24B7">
        <w:rPr>
          <w:rFonts w:asciiTheme="minorHAnsi" w:hAnsiTheme="minorHAnsi" w:cstheme="minorHAnsi"/>
          <w:sz w:val="26"/>
          <w:szCs w:val="26"/>
        </w:rPr>
        <w:t>for purposes of resolving the dispute in order to settle</w:t>
      </w:r>
      <w:r w:rsidR="004A2C43">
        <w:rPr>
          <w:rFonts w:asciiTheme="minorHAnsi" w:hAnsiTheme="minorHAnsi" w:cstheme="minorHAnsi"/>
          <w:sz w:val="26"/>
          <w:szCs w:val="26"/>
        </w:rPr>
        <w:t xml:space="preserve"> the </w:t>
      </w:r>
      <w:r w:rsidR="003B6822">
        <w:rPr>
          <w:rFonts w:asciiTheme="minorHAnsi" w:hAnsiTheme="minorHAnsi" w:cstheme="minorHAnsi"/>
          <w:sz w:val="26"/>
          <w:szCs w:val="26"/>
        </w:rPr>
        <w:t xml:space="preserve">issue of whether the expense is </w:t>
      </w:r>
      <w:r w:rsidR="004A2C43">
        <w:rPr>
          <w:rFonts w:asciiTheme="minorHAnsi" w:hAnsiTheme="minorHAnsi" w:cstheme="minorHAnsi"/>
          <w:sz w:val="26"/>
          <w:szCs w:val="26"/>
        </w:rPr>
        <w:t>to be paid</w:t>
      </w:r>
      <w:r w:rsidR="003B6822">
        <w:rPr>
          <w:rFonts w:asciiTheme="minorHAnsi" w:hAnsiTheme="minorHAnsi" w:cstheme="minorHAnsi"/>
          <w:sz w:val="26"/>
          <w:szCs w:val="26"/>
        </w:rPr>
        <w:t xml:space="preserve"> and if so, the amount thereof </w:t>
      </w:r>
      <w:r w:rsidR="00210157">
        <w:rPr>
          <w:rFonts w:asciiTheme="minorHAnsi" w:hAnsiTheme="minorHAnsi" w:cstheme="minorHAnsi"/>
          <w:sz w:val="26"/>
          <w:szCs w:val="26"/>
        </w:rPr>
        <w:t>and/or</w:t>
      </w:r>
      <w:r w:rsidR="004A2C43">
        <w:rPr>
          <w:rFonts w:asciiTheme="minorHAnsi" w:hAnsiTheme="minorHAnsi" w:cstheme="minorHAnsi"/>
          <w:sz w:val="26"/>
          <w:szCs w:val="26"/>
        </w:rPr>
        <w:t xml:space="preserve"> the identity of the creditor </w:t>
      </w:r>
      <w:r w:rsidR="00456497">
        <w:rPr>
          <w:rFonts w:asciiTheme="minorHAnsi" w:hAnsiTheme="minorHAnsi" w:cstheme="minorHAnsi"/>
          <w:sz w:val="26"/>
          <w:szCs w:val="26"/>
        </w:rPr>
        <w:t>who</w:t>
      </w:r>
      <w:r w:rsidR="003B6822">
        <w:rPr>
          <w:rFonts w:asciiTheme="minorHAnsi" w:hAnsiTheme="minorHAnsi" w:cstheme="minorHAnsi"/>
          <w:sz w:val="26"/>
          <w:szCs w:val="26"/>
        </w:rPr>
        <w:t xml:space="preserve"> seeks payment</w:t>
      </w:r>
      <w:r w:rsidR="00210157">
        <w:rPr>
          <w:rFonts w:asciiTheme="minorHAnsi" w:hAnsiTheme="minorHAnsi" w:cstheme="minorHAnsi"/>
          <w:sz w:val="26"/>
          <w:szCs w:val="26"/>
        </w:rPr>
        <w:t xml:space="preserve"> and/or</w:t>
      </w:r>
      <w:r w:rsidR="004A2C43">
        <w:rPr>
          <w:rFonts w:asciiTheme="minorHAnsi" w:hAnsiTheme="minorHAnsi" w:cstheme="minorHAnsi"/>
          <w:sz w:val="26"/>
          <w:szCs w:val="26"/>
        </w:rPr>
        <w:t xml:space="preserve"> the validity of the </w:t>
      </w:r>
      <w:r w:rsidR="00210157">
        <w:rPr>
          <w:rFonts w:asciiTheme="minorHAnsi" w:hAnsiTheme="minorHAnsi" w:cstheme="minorHAnsi"/>
          <w:sz w:val="26"/>
          <w:szCs w:val="26"/>
        </w:rPr>
        <w:t>debt</w:t>
      </w:r>
      <w:r w:rsidR="003B6822">
        <w:rPr>
          <w:rFonts w:asciiTheme="minorHAnsi" w:hAnsiTheme="minorHAnsi" w:cstheme="minorHAnsi"/>
          <w:sz w:val="26"/>
          <w:szCs w:val="26"/>
        </w:rPr>
        <w:t>,</w:t>
      </w:r>
      <w:r w:rsidR="00210157">
        <w:rPr>
          <w:rFonts w:asciiTheme="minorHAnsi" w:hAnsiTheme="minorHAnsi" w:cstheme="minorHAnsi"/>
          <w:sz w:val="26"/>
          <w:szCs w:val="26"/>
        </w:rPr>
        <w:t xml:space="preserve"> before </w:t>
      </w:r>
      <w:r w:rsidR="003B6822">
        <w:rPr>
          <w:rFonts w:asciiTheme="minorHAnsi" w:hAnsiTheme="minorHAnsi" w:cstheme="minorHAnsi"/>
          <w:sz w:val="26"/>
          <w:szCs w:val="26"/>
        </w:rPr>
        <w:t>he is empowered to authorise</w:t>
      </w:r>
      <w:r w:rsidR="00210157">
        <w:rPr>
          <w:rFonts w:asciiTheme="minorHAnsi" w:hAnsiTheme="minorHAnsi" w:cstheme="minorHAnsi"/>
          <w:sz w:val="26"/>
          <w:szCs w:val="26"/>
        </w:rPr>
        <w:t xml:space="preserve"> payment</w:t>
      </w:r>
      <w:r w:rsidR="004A2C43">
        <w:rPr>
          <w:rFonts w:asciiTheme="minorHAnsi" w:hAnsiTheme="minorHAnsi" w:cstheme="minorHAnsi"/>
          <w:sz w:val="26"/>
          <w:szCs w:val="26"/>
        </w:rPr>
        <w:t>.</w:t>
      </w:r>
    </w:p>
    <w:p w:rsidR="00045AA5" w:rsidRPr="00DE526A" w:rsidRDefault="00045AA5" w:rsidP="00045AA5">
      <w:pPr>
        <w:pStyle w:val="ListParagraph"/>
        <w:rPr>
          <w:rFonts w:asciiTheme="minorHAnsi" w:hAnsiTheme="minorHAnsi" w:cstheme="minorHAnsi"/>
          <w:sz w:val="26"/>
          <w:szCs w:val="26"/>
        </w:rPr>
      </w:pPr>
    </w:p>
    <w:p w:rsidR="00045AA5" w:rsidRDefault="00045AA5"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all the circumstances, I am not persuaded that </w:t>
      </w:r>
      <w:r w:rsidR="00210157">
        <w:rPr>
          <w:rFonts w:asciiTheme="minorHAnsi" w:hAnsiTheme="minorHAnsi" w:cstheme="minorHAnsi"/>
          <w:sz w:val="26"/>
          <w:szCs w:val="26"/>
        </w:rPr>
        <w:t>Botha has established a case for contempt of court on the part of Jurgens. Put differently, Jurgens has set out sufficient fact</w:t>
      </w:r>
      <w:r w:rsidR="000051BF">
        <w:rPr>
          <w:rFonts w:asciiTheme="minorHAnsi" w:hAnsiTheme="minorHAnsi" w:cstheme="minorHAnsi"/>
          <w:sz w:val="26"/>
          <w:szCs w:val="26"/>
        </w:rPr>
        <w:t>s</w:t>
      </w:r>
      <w:r w:rsidR="00210157">
        <w:rPr>
          <w:rFonts w:asciiTheme="minorHAnsi" w:hAnsiTheme="minorHAnsi" w:cstheme="minorHAnsi"/>
          <w:sz w:val="26"/>
          <w:szCs w:val="26"/>
        </w:rPr>
        <w:t xml:space="preserve"> to prevent the conclusion that he acted </w:t>
      </w:r>
      <w:r w:rsidR="00210157">
        <w:rPr>
          <w:rFonts w:asciiTheme="minorHAnsi" w:hAnsiTheme="minorHAnsi" w:cstheme="minorHAnsi"/>
          <w:i/>
          <w:sz w:val="26"/>
          <w:szCs w:val="26"/>
        </w:rPr>
        <w:t xml:space="preserve">mala fide </w:t>
      </w:r>
      <w:r w:rsidR="00210157">
        <w:rPr>
          <w:rFonts w:asciiTheme="minorHAnsi" w:hAnsiTheme="minorHAnsi" w:cstheme="minorHAnsi"/>
          <w:sz w:val="26"/>
          <w:szCs w:val="26"/>
        </w:rPr>
        <w:t>in procuring repayment of his loan from the second applicant in the circumstances under which it occurred.</w:t>
      </w:r>
      <w:r>
        <w:rPr>
          <w:rFonts w:asciiTheme="minorHAnsi" w:hAnsiTheme="minorHAnsi" w:cstheme="minorHAnsi"/>
          <w:sz w:val="26"/>
          <w:szCs w:val="26"/>
        </w:rPr>
        <w:t xml:space="preserve"> </w:t>
      </w:r>
    </w:p>
    <w:p w:rsidR="00210157" w:rsidRPr="00210157" w:rsidRDefault="00210157" w:rsidP="00210157">
      <w:pPr>
        <w:pStyle w:val="ListParagraph"/>
        <w:rPr>
          <w:rFonts w:asciiTheme="minorHAnsi" w:hAnsiTheme="minorHAnsi" w:cstheme="minorHAnsi"/>
          <w:sz w:val="26"/>
          <w:szCs w:val="26"/>
        </w:rPr>
      </w:pPr>
    </w:p>
    <w:p w:rsidR="00210157" w:rsidRDefault="00C7389D"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For all the reasons given,</w:t>
      </w:r>
      <w:r w:rsidR="00210157">
        <w:rPr>
          <w:rFonts w:asciiTheme="minorHAnsi" w:hAnsiTheme="minorHAnsi" w:cstheme="minorHAnsi"/>
          <w:sz w:val="26"/>
          <w:szCs w:val="26"/>
        </w:rPr>
        <w:t xml:space="preserve"> both the application for contempt of court by Jurgens and the counter-application by Botha </w:t>
      </w:r>
      <w:r w:rsidR="000228B7">
        <w:rPr>
          <w:rFonts w:asciiTheme="minorHAnsi" w:hAnsiTheme="minorHAnsi" w:cstheme="minorHAnsi"/>
          <w:sz w:val="26"/>
          <w:szCs w:val="26"/>
        </w:rPr>
        <w:t xml:space="preserve">both </w:t>
      </w:r>
      <w:r w:rsidR="00210157">
        <w:rPr>
          <w:rFonts w:asciiTheme="minorHAnsi" w:hAnsiTheme="minorHAnsi" w:cstheme="minorHAnsi"/>
          <w:sz w:val="26"/>
          <w:szCs w:val="26"/>
        </w:rPr>
        <w:t>fall to be dismissed. As neither party succeeded in obtaining relief, I consider it fair and just for each party to pay their own costs.</w:t>
      </w:r>
    </w:p>
    <w:p w:rsidR="000051BF" w:rsidRPr="000051BF" w:rsidRDefault="000051BF" w:rsidP="000051BF">
      <w:pPr>
        <w:pStyle w:val="ListParagraph"/>
        <w:rPr>
          <w:rFonts w:asciiTheme="minorHAnsi" w:hAnsiTheme="minorHAnsi" w:cstheme="minorHAnsi"/>
          <w:sz w:val="26"/>
          <w:szCs w:val="26"/>
        </w:rPr>
      </w:pPr>
    </w:p>
    <w:p w:rsidR="000051BF" w:rsidRPr="000051BF" w:rsidRDefault="000051BF"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Although Jurgens </w:t>
      </w:r>
      <w:r w:rsidR="000228B7">
        <w:rPr>
          <w:rFonts w:asciiTheme="minorHAnsi" w:hAnsiTheme="minorHAnsi" w:cstheme="minorHAnsi"/>
          <w:sz w:val="26"/>
          <w:szCs w:val="26"/>
        </w:rPr>
        <w:t>sought</w:t>
      </w:r>
      <w:r>
        <w:rPr>
          <w:rFonts w:asciiTheme="minorHAnsi" w:hAnsiTheme="minorHAnsi" w:cstheme="minorHAnsi"/>
          <w:sz w:val="26"/>
          <w:szCs w:val="26"/>
        </w:rPr>
        <w:t xml:space="preserve"> an order that Botha be interdicted </w:t>
      </w:r>
      <w:r w:rsidRPr="000051BF">
        <w:rPr>
          <w:rFonts w:asciiTheme="minorHAnsi" w:hAnsiTheme="minorHAnsi" w:cstheme="minorHAnsi"/>
          <w:sz w:val="26"/>
          <w:szCs w:val="26"/>
        </w:rPr>
        <w:t>from ‘</w:t>
      </w:r>
      <w:r w:rsidRPr="000051BF">
        <w:rPr>
          <w:rFonts w:asciiTheme="minorHAnsi" w:hAnsiTheme="minorHAnsi" w:cstheme="minorHAnsi"/>
          <w:color w:val="000000"/>
          <w:sz w:val="26"/>
          <w:szCs w:val="26"/>
        </w:rPr>
        <w:t>directly or indirectly providing any instructions to any third party, including but not limited to Mynhardt Boshoff Professional Accountants of Tax Accounting Secretarial Financial Services in respect of any banking or financial transactions in respect of any bank account held by the Second and/or further Applicants</w:t>
      </w:r>
      <w:r>
        <w:rPr>
          <w:rFonts w:asciiTheme="minorHAnsi" w:hAnsiTheme="minorHAnsi" w:cstheme="minorHAnsi"/>
          <w:color w:val="000000"/>
          <w:sz w:val="26"/>
          <w:szCs w:val="26"/>
        </w:rPr>
        <w:t>’, this relief was not seriously pursued at the hearing of the matter and I am not persuaded that such relief is warranted on the facts of the matter.</w:t>
      </w:r>
    </w:p>
    <w:p w:rsidR="00045AA5" w:rsidRDefault="00045AA5" w:rsidP="00045AA5">
      <w:pPr>
        <w:pStyle w:val="ListParagraph"/>
        <w:rPr>
          <w:rFonts w:asciiTheme="minorHAnsi" w:hAnsiTheme="minorHAnsi" w:cstheme="minorHAnsi"/>
          <w:sz w:val="26"/>
          <w:szCs w:val="26"/>
        </w:rPr>
      </w:pPr>
    </w:p>
    <w:p w:rsidR="00045AA5" w:rsidRDefault="00045AA5" w:rsidP="00045AA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Accordingly, the following order is granted:</w:t>
      </w:r>
    </w:p>
    <w:p w:rsidR="00045AA5" w:rsidRDefault="00045AA5" w:rsidP="00045AA5">
      <w:pPr>
        <w:pStyle w:val="ListParagraph"/>
        <w:rPr>
          <w:rFonts w:asciiTheme="minorHAnsi" w:hAnsiTheme="minorHAnsi" w:cstheme="minorHAnsi"/>
          <w:sz w:val="26"/>
          <w:szCs w:val="26"/>
        </w:rPr>
      </w:pPr>
    </w:p>
    <w:p w:rsidR="00045AA5" w:rsidRPr="0098343D" w:rsidRDefault="00045AA5" w:rsidP="00045AA5">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rsidR="00210157" w:rsidRDefault="000051BF" w:rsidP="00045AA5">
      <w:pPr>
        <w:pStyle w:val="ListParagraph"/>
        <w:numPr>
          <w:ilvl w:val="0"/>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Both the </w:t>
      </w:r>
      <w:r w:rsidR="00045AA5">
        <w:rPr>
          <w:rFonts w:asciiTheme="minorHAnsi" w:hAnsiTheme="minorHAnsi" w:cstheme="minorHAnsi"/>
          <w:sz w:val="26"/>
          <w:szCs w:val="26"/>
        </w:rPr>
        <w:t xml:space="preserve">application </w:t>
      </w:r>
      <w:r>
        <w:rPr>
          <w:rFonts w:asciiTheme="minorHAnsi" w:hAnsiTheme="minorHAnsi" w:cstheme="minorHAnsi"/>
          <w:sz w:val="26"/>
          <w:szCs w:val="26"/>
        </w:rPr>
        <w:t xml:space="preserve">instituted by the first applicant (Jaco Cornelius Juhl Jurgens) </w:t>
      </w:r>
      <w:r w:rsidR="00210157">
        <w:rPr>
          <w:rFonts w:asciiTheme="minorHAnsi" w:hAnsiTheme="minorHAnsi" w:cstheme="minorHAnsi"/>
          <w:sz w:val="26"/>
          <w:szCs w:val="26"/>
        </w:rPr>
        <w:t xml:space="preserve">and the counter-application </w:t>
      </w:r>
      <w:r>
        <w:rPr>
          <w:rFonts w:asciiTheme="minorHAnsi" w:hAnsiTheme="minorHAnsi" w:cstheme="minorHAnsi"/>
          <w:sz w:val="26"/>
          <w:szCs w:val="26"/>
        </w:rPr>
        <w:t>instituted by the respondent (Christoffel Jakobus Botha) are</w:t>
      </w:r>
      <w:r w:rsidR="00045AA5">
        <w:rPr>
          <w:rFonts w:asciiTheme="minorHAnsi" w:hAnsiTheme="minorHAnsi" w:cstheme="minorHAnsi"/>
          <w:sz w:val="26"/>
          <w:szCs w:val="26"/>
        </w:rPr>
        <w:t xml:space="preserve"> </w:t>
      </w:r>
      <w:r>
        <w:rPr>
          <w:rFonts w:asciiTheme="minorHAnsi" w:hAnsiTheme="minorHAnsi" w:cstheme="minorHAnsi"/>
          <w:sz w:val="26"/>
          <w:szCs w:val="26"/>
        </w:rPr>
        <w:t xml:space="preserve">hereby </w:t>
      </w:r>
      <w:r w:rsidR="00045AA5" w:rsidRPr="00F945BC">
        <w:rPr>
          <w:rFonts w:asciiTheme="minorHAnsi" w:hAnsiTheme="minorHAnsi" w:cstheme="minorHAnsi"/>
          <w:sz w:val="26"/>
          <w:szCs w:val="26"/>
        </w:rPr>
        <w:t>dismissed</w:t>
      </w:r>
      <w:r w:rsidR="00210157">
        <w:rPr>
          <w:rFonts w:asciiTheme="minorHAnsi" w:hAnsiTheme="minorHAnsi" w:cstheme="minorHAnsi"/>
          <w:sz w:val="26"/>
          <w:szCs w:val="26"/>
        </w:rPr>
        <w:t>.</w:t>
      </w:r>
    </w:p>
    <w:p w:rsidR="000228B7" w:rsidRDefault="000228B7" w:rsidP="00045AA5">
      <w:pPr>
        <w:pStyle w:val="ListParagraph"/>
        <w:numPr>
          <w:ilvl w:val="0"/>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Each party is to pay his own costs.</w:t>
      </w:r>
    </w:p>
    <w:p w:rsidR="00045AA5" w:rsidRDefault="00045AA5" w:rsidP="00210157">
      <w:pPr>
        <w:pStyle w:val="ListParagraph"/>
        <w:spacing w:after="200" w:line="360" w:lineRule="auto"/>
        <w:ind w:left="1211"/>
        <w:jc w:val="both"/>
        <w:rPr>
          <w:rFonts w:asciiTheme="minorHAnsi" w:hAnsiTheme="minorHAnsi" w:cstheme="minorHAnsi"/>
          <w:sz w:val="26"/>
          <w:szCs w:val="26"/>
        </w:rPr>
      </w:pPr>
    </w:p>
    <w:p w:rsidR="00045AA5" w:rsidRPr="00C5002D" w:rsidRDefault="00045AA5" w:rsidP="00045AA5">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_________________</w:t>
      </w:r>
    </w:p>
    <w:p w:rsidR="00045AA5" w:rsidRPr="00877F1E" w:rsidRDefault="00045AA5" w:rsidP="00045AA5">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rsidR="00045AA5" w:rsidRPr="00877F1E" w:rsidRDefault="00045AA5" w:rsidP="00045AA5">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rsidR="00045AA5" w:rsidRPr="00877F1E" w:rsidRDefault="00045AA5" w:rsidP="00045AA5">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rsidR="00045AA5" w:rsidRDefault="00045AA5" w:rsidP="00045AA5">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45AA5" w:rsidRDefault="00045AA5" w:rsidP="00045AA5">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045AA5" w:rsidRPr="008E28FB" w:rsidRDefault="00045AA5" w:rsidP="00045AA5">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 xml:space="preserve">10 </w:t>
      </w:r>
      <w:r w:rsidR="00B1250C">
        <w:rPr>
          <w:rFonts w:asciiTheme="minorHAnsi" w:hAnsiTheme="minorHAnsi" w:cstheme="minorHAnsi"/>
          <w:sz w:val="24"/>
          <w:szCs w:val="24"/>
        </w:rPr>
        <w:t>May</w:t>
      </w:r>
      <w:r>
        <w:rPr>
          <w:rFonts w:asciiTheme="minorHAnsi" w:hAnsiTheme="minorHAnsi" w:cstheme="minorHAnsi"/>
          <w:sz w:val="24"/>
          <w:szCs w:val="24"/>
        </w:rPr>
        <w:t xml:space="preserve"> 2022</w:t>
      </w:r>
    </w:p>
    <w:p w:rsidR="00045AA5" w:rsidRPr="008E28FB" w:rsidRDefault="00045AA5" w:rsidP="00045AA5">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D2604C">
        <w:rPr>
          <w:rFonts w:asciiTheme="minorHAnsi" w:hAnsiTheme="minorHAnsi" w:cstheme="minorHAnsi"/>
          <w:sz w:val="24"/>
          <w:szCs w:val="24"/>
        </w:rPr>
        <w:t>22</w:t>
      </w:r>
      <w:r>
        <w:rPr>
          <w:rFonts w:asciiTheme="minorHAnsi" w:hAnsiTheme="minorHAnsi" w:cstheme="minorHAnsi"/>
          <w:sz w:val="24"/>
          <w:szCs w:val="24"/>
        </w:rPr>
        <w:t xml:space="preserve"> August 2022</w:t>
      </w:r>
    </w:p>
    <w:p w:rsidR="00045AA5" w:rsidRDefault="00045AA5" w:rsidP="00045AA5">
      <w:pPr>
        <w:pStyle w:val="ListParagraph"/>
        <w:ind w:left="0"/>
        <w:rPr>
          <w:rFonts w:asciiTheme="minorHAnsi" w:hAnsiTheme="minorHAnsi" w:cstheme="minorHAnsi"/>
          <w:sz w:val="24"/>
          <w:szCs w:val="24"/>
        </w:rPr>
      </w:pPr>
    </w:p>
    <w:p w:rsidR="00045AA5" w:rsidRDefault="00045AA5" w:rsidP="00045AA5">
      <w:pPr>
        <w:pStyle w:val="ListParagraph"/>
        <w:ind w:left="0"/>
        <w:jc w:val="both"/>
        <w:rPr>
          <w:rFonts w:asciiTheme="minorHAnsi" w:hAnsiTheme="minorHAnsi" w:cstheme="minorHAnsi"/>
          <w:sz w:val="24"/>
          <w:szCs w:val="24"/>
        </w:rPr>
      </w:pPr>
      <w:r w:rsidRPr="00D626A3">
        <w:rPr>
          <w:i/>
        </w:rPr>
        <w:t>This judgment was handed down electronically by circulation to the parties’ legal representatives by email, publication on Caselines and release to SAFLII. The date and time for hand-down is deemed to be have been at 10h00 on</w:t>
      </w:r>
      <w:r w:rsidR="00D2604C">
        <w:rPr>
          <w:i/>
        </w:rPr>
        <w:t xml:space="preserve"> 22</w:t>
      </w:r>
      <w:r>
        <w:rPr>
          <w:i/>
        </w:rPr>
        <w:t xml:space="preserve"> August</w:t>
      </w:r>
      <w:r w:rsidRPr="00D626A3">
        <w:rPr>
          <w:i/>
        </w:rPr>
        <w:t xml:space="preserve"> 202</w:t>
      </w:r>
      <w:r>
        <w:rPr>
          <w:i/>
        </w:rPr>
        <w:t>2</w:t>
      </w:r>
      <w:r w:rsidRPr="00D626A3">
        <w:rPr>
          <w:i/>
        </w:rPr>
        <w:t>.</w:t>
      </w:r>
    </w:p>
    <w:p w:rsidR="00045AA5" w:rsidRDefault="00045AA5" w:rsidP="00045AA5">
      <w:pPr>
        <w:pStyle w:val="ListParagraph"/>
        <w:ind w:left="0"/>
        <w:rPr>
          <w:rFonts w:asciiTheme="minorHAnsi" w:hAnsiTheme="minorHAnsi" w:cstheme="minorHAnsi"/>
          <w:sz w:val="24"/>
          <w:szCs w:val="24"/>
        </w:rPr>
      </w:pPr>
    </w:p>
    <w:p w:rsidR="00045AA5" w:rsidRPr="008E28FB" w:rsidRDefault="00045AA5" w:rsidP="00045AA5">
      <w:pPr>
        <w:pStyle w:val="ListParagraph"/>
        <w:ind w:left="0"/>
        <w:rPr>
          <w:rFonts w:asciiTheme="minorHAnsi" w:hAnsiTheme="minorHAnsi" w:cstheme="minorHAnsi"/>
          <w:sz w:val="24"/>
          <w:szCs w:val="24"/>
        </w:rPr>
      </w:pPr>
    </w:p>
    <w:p w:rsidR="00045AA5" w:rsidRPr="008E28FB" w:rsidRDefault="00045AA5" w:rsidP="00045AA5">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045AA5" w:rsidRPr="008E28FB" w:rsidRDefault="00045AA5" w:rsidP="00045AA5">
      <w:pPr>
        <w:pStyle w:val="ListParagraph"/>
        <w:ind w:left="0"/>
        <w:rPr>
          <w:rFonts w:asciiTheme="minorHAnsi" w:hAnsiTheme="minorHAnsi" w:cstheme="minorHAnsi"/>
          <w:sz w:val="24"/>
          <w:szCs w:val="24"/>
        </w:rPr>
      </w:pPr>
    </w:p>
    <w:p w:rsidR="00045AA5" w:rsidRDefault="00045AA5" w:rsidP="00045AA5">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w:t>
      </w:r>
      <w:r w:rsidR="00456497">
        <w:rPr>
          <w:rFonts w:asciiTheme="minorHAnsi" w:hAnsiTheme="minorHAnsi" w:cstheme="minorHAnsi"/>
          <w:sz w:val="24"/>
          <w:szCs w:val="24"/>
        </w:rPr>
        <w:t>s:</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Adv. </w:t>
      </w:r>
      <w:r w:rsidR="00B1250C">
        <w:rPr>
          <w:rFonts w:asciiTheme="minorHAnsi" w:hAnsiTheme="minorHAnsi" w:cstheme="minorHAnsi"/>
          <w:sz w:val="24"/>
          <w:szCs w:val="24"/>
        </w:rPr>
        <w:t>JJW Hayes</w:t>
      </w:r>
    </w:p>
    <w:p w:rsidR="00045AA5" w:rsidRDefault="00045AA5" w:rsidP="00045AA5">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Applicant</w:t>
      </w:r>
      <w:r w:rsidR="00456497">
        <w:rPr>
          <w:rFonts w:asciiTheme="minorHAnsi" w:hAnsiTheme="minorHAnsi" w:cstheme="minorHAnsi"/>
          <w:sz w:val="24"/>
          <w:szCs w:val="24"/>
        </w:rPr>
        <w:t>s</w:t>
      </w:r>
      <w:r w:rsidRPr="008E28FB">
        <w:rPr>
          <w:rFonts w:asciiTheme="minorHAnsi" w:hAnsiTheme="minorHAnsi" w:cstheme="minorHAnsi"/>
          <w:sz w:val="24"/>
          <w:szCs w:val="24"/>
        </w:rPr>
        <w:t>:</w:t>
      </w:r>
      <w:r w:rsidRPr="008E28FB">
        <w:rPr>
          <w:rFonts w:asciiTheme="minorHAnsi" w:hAnsiTheme="minorHAnsi" w:cstheme="minorHAnsi"/>
          <w:sz w:val="24"/>
          <w:szCs w:val="24"/>
        </w:rPr>
        <w:tab/>
      </w:r>
      <w:r>
        <w:rPr>
          <w:rFonts w:asciiTheme="minorHAnsi" w:hAnsiTheme="minorHAnsi" w:cstheme="minorHAnsi"/>
          <w:sz w:val="24"/>
          <w:szCs w:val="24"/>
        </w:rPr>
        <w:tab/>
      </w:r>
      <w:r w:rsidR="00B1250C">
        <w:rPr>
          <w:rFonts w:asciiTheme="minorHAnsi" w:hAnsiTheme="minorHAnsi" w:cstheme="minorHAnsi"/>
          <w:sz w:val="24"/>
          <w:szCs w:val="24"/>
        </w:rPr>
        <w:t>CVM</w:t>
      </w:r>
      <w:r>
        <w:rPr>
          <w:rFonts w:asciiTheme="minorHAnsi" w:hAnsiTheme="minorHAnsi" w:cstheme="minorHAnsi"/>
          <w:sz w:val="24"/>
          <w:szCs w:val="24"/>
        </w:rPr>
        <w:t xml:space="preserve"> Attorneys</w:t>
      </w:r>
    </w:p>
    <w:p w:rsidR="00045AA5" w:rsidRPr="008E28FB" w:rsidRDefault="00045AA5" w:rsidP="00045AA5">
      <w:pPr>
        <w:ind w:left="4320" w:hanging="4320"/>
        <w:jc w:val="both"/>
        <w:rPr>
          <w:rFonts w:asciiTheme="minorHAnsi" w:hAnsiTheme="minorHAnsi" w:cstheme="minorHAnsi"/>
          <w:sz w:val="24"/>
          <w:szCs w:val="24"/>
        </w:rPr>
      </w:pPr>
    </w:p>
    <w:p w:rsidR="00045AA5" w:rsidRDefault="00045AA5" w:rsidP="00045AA5">
      <w:r>
        <w:t>Counsel for Respondent</w:t>
      </w:r>
      <w:r>
        <w:tab/>
      </w:r>
      <w:r>
        <w:tab/>
        <w:t xml:space="preserve">Adv </w:t>
      </w:r>
      <w:r w:rsidR="00B1250C">
        <w:t>MA Kruger</w:t>
      </w:r>
    </w:p>
    <w:p w:rsidR="00045AA5" w:rsidRDefault="00045AA5" w:rsidP="00045AA5">
      <w:r>
        <w:t xml:space="preserve">Attorneys for </w:t>
      </w:r>
      <w:r w:rsidR="00456497">
        <w:t>R</w:t>
      </w:r>
      <w:r>
        <w:t>espondent:</w:t>
      </w:r>
      <w:r>
        <w:tab/>
      </w:r>
      <w:r>
        <w:tab/>
      </w:r>
      <w:r w:rsidR="00B1250C">
        <w:t>Scholtz</w:t>
      </w:r>
      <w:r>
        <w:t xml:space="preserve"> Attorneys</w:t>
      </w:r>
    </w:p>
    <w:p w:rsidR="00045AA5" w:rsidRDefault="00045AA5" w:rsidP="00045AA5"/>
    <w:p w:rsidR="00045AA5" w:rsidRDefault="00045AA5" w:rsidP="00045AA5"/>
    <w:p w:rsidR="00045AA5" w:rsidRDefault="00045AA5" w:rsidP="00045AA5"/>
    <w:p w:rsidR="00B73B03" w:rsidRDefault="00B73B03"/>
    <w:sectPr w:rsidR="00B73B03" w:rsidSect="00045AA5">
      <w:headerReference w:type="default" r:id="rId11"/>
      <w:head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754" w:rsidRDefault="00FF7754" w:rsidP="00045AA5">
      <w:r>
        <w:separator/>
      </w:r>
    </w:p>
  </w:endnote>
  <w:endnote w:type="continuationSeparator" w:id="0">
    <w:p w:rsidR="00FF7754" w:rsidRDefault="00FF7754" w:rsidP="0004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HEBREW LIGH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754" w:rsidRDefault="00FF7754" w:rsidP="00045AA5">
      <w:r>
        <w:separator/>
      </w:r>
    </w:p>
  </w:footnote>
  <w:footnote w:type="continuationSeparator" w:id="0">
    <w:p w:rsidR="00FF7754" w:rsidRDefault="00FF7754" w:rsidP="00045AA5">
      <w:r>
        <w:continuationSeparator/>
      </w:r>
    </w:p>
  </w:footnote>
  <w:footnote w:id="1">
    <w:p w:rsidR="00FE0BED" w:rsidRPr="00B1250C" w:rsidRDefault="00FE0BED" w:rsidP="00863439">
      <w:pPr>
        <w:pStyle w:val="FootnoteText"/>
        <w:jc w:val="both"/>
        <w:rPr>
          <w:lang w:val="en-US"/>
        </w:rPr>
      </w:pPr>
      <w:r>
        <w:rPr>
          <w:rStyle w:val="FootnoteReference"/>
        </w:rPr>
        <w:footnoteRef/>
      </w:r>
      <w:r>
        <w:t xml:space="preserve"> </w:t>
      </w:r>
      <w:r>
        <w:rPr>
          <w:lang w:val="en-US"/>
        </w:rPr>
        <w:t>The main application was instituted by the 3 applicants in these proceedings against the respondent cited in these proceedings together with 3 others. In Part B of the urgent application, Jurgens sought inter alia, an order declaring Botha as a delinquent director, alternatively, that he be removed as a director of the companies. Part A was for interdictory relief which culminated in the order to which these proceedings relate</w:t>
      </w:r>
    </w:p>
  </w:footnote>
  <w:footnote w:id="2">
    <w:p w:rsidR="00FE0BED" w:rsidRDefault="00FE0BED" w:rsidP="00863439">
      <w:pPr>
        <w:pStyle w:val="FootnoteText"/>
        <w:jc w:val="both"/>
      </w:pPr>
      <w:r>
        <w:rPr>
          <w:rStyle w:val="FootnoteReference"/>
        </w:rPr>
        <w:footnoteRef/>
      </w:r>
      <w:r>
        <w:t xml:space="preserve"> This appears from annexures ‘L’ at p010-37 a letter dated 28 July 2017, which was written on the letterhead of the second applicant and which was signed by both Jurgens and Botha in their capacity as directors. It reads as follows:</w:t>
      </w:r>
    </w:p>
    <w:p w:rsidR="00FE0BED" w:rsidRPr="00863439" w:rsidRDefault="00FE0BED" w:rsidP="00863439">
      <w:pPr>
        <w:pStyle w:val="FootnoteText"/>
        <w:jc w:val="both"/>
        <w:rPr>
          <w:i/>
        </w:rPr>
      </w:pPr>
      <w:r>
        <w:t>“</w:t>
      </w:r>
      <w:r w:rsidRPr="00863439">
        <w:rPr>
          <w:i/>
        </w:rPr>
        <w:t>Dr Jaco Botha sal vanaf 28 Julie 2017 geen verdure besluite neem jeens finansies of personeel van Jurgens &amp; Botha Inc of Botha &amp; Jurgens Inc nie.</w:t>
      </w:r>
    </w:p>
    <w:p w:rsidR="00FE0BED" w:rsidRPr="006670AA" w:rsidRDefault="00FE0BED" w:rsidP="00863439">
      <w:pPr>
        <w:pStyle w:val="FootnoteText"/>
        <w:jc w:val="both"/>
        <w:rPr>
          <w:lang w:val="en-US"/>
        </w:rPr>
      </w:pPr>
      <w:r w:rsidRPr="00863439">
        <w:rPr>
          <w:i/>
        </w:rPr>
        <w:t>Jaco Botha het ooreengekom om nie enige betalings of transaksies uit enige bankrekening wat verband hou met enige bogenoemde praktyke aan te gaan nie</w:t>
      </w:r>
      <w:r>
        <w:t>.”</w:t>
      </w:r>
    </w:p>
  </w:footnote>
  <w:footnote w:id="3">
    <w:p w:rsidR="00FE0BED" w:rsidRDefault="00FE0BED" w:rsidP="00C94D4B">
      <w:pPr>
        <w:pStyle w:val="FootnoteText"/>
        <w:spacing w:line="276" w:lineRule="auto"/>
        <w:jc w:val="both"/>
      </w:pPr>
      <w:r>
        <w:rPr>
          <w:rStyle w:val="FootnoteReference"/>
        </w:rPr>
        <w:footnoteRef/>
      </w:r>
      <w:r>
        <w:t xml:space="preserve"> See: Annexure “M’ at p 010-38, being the letter dated 27 August 2017 addressed by Botha to Jurgens in which Botha pointed out that he had not abdicated his responsibilities as a director in the companies by virtue of annexure ‘L’, and in which he reiterated that he retained a financial interest in the operations of the companies for purposes of ensuring that they remained profitable, not least of all because his personal assets were on the line in relation to the security provided by him for the overdraft and other obligations of the companies. To this end, he requested that Jurgens at least keep him informed of any decisions taken by Jurgens that involved personnel and finances in the practices.</w:t>
      </w:r>
    </w:p>
    <w:p w:rsidR="00FE0BED" w:rsidRPr="00C94D4B" w:rsidRDefault="00FE0BED" w:rsidP="00C94D4B">
      <w:pPr>
        <w:pStyle w:val="FootnoteText"/>
        <w:spacing w:line="276" w:lineRule="auto"/>
        <w:jc w:val="both"/>
        <w:rPr>
          <w:lang w:val="en-US"/>
        </w:rPr>
      </w:pPr>
    </w:p>
  </w:footnote>
  <w:footnote w:id="4">
    <w:p w:rsidR="00FE0BED" w:rsidRDefault="00FE0BED" w:rsidP="00C94D4B">
      <w:pPr>
        <w:pStyle w:val="FootnoteText"/>
        <w:spacing w:line="276" w:lineRule="auto"/>
        <w:jc w:val="both"/>
        <w:rPr>
          <w:lang w:val="en-US"/>
        </w:rPr>
      </w:pPr>
      <w:r>
        <w:rPr>
          <w:rStyle w:val="FootnoteReference"/>
        </w:rPr>
        <w:footnoteRef/>
      </w:r>
      <w:r>
        <w:t xml:space="preserve"> </w:t>
      </w:r>
      <w:r>
        <w:rPr>
          <w:lang w:val="en-US"/>
        </w:rPr>
        <w:t>Botha had signing powers on the bank accounts of the practices and</w:t>
      </w:r>
      <w:r w:rsidRPr="006670AA">
        <w:t xml:space="preserve"> authorisation</w:t>
      </w:r>
      <w:r>
        <w:rPr>
          <w:lang w:val="en-US"/>
        </w:rPr>
        <w:t xml:space="preserve"> to conduct electronic transactions, for example, to effect electronic payments, on the accounts. He did not relinquish such signing powers and authority but continued to make payments/perform transactions on the accounts, which led to the accusations made by Jurgens against him in the urgent application. </w:t>
      </w:r>
    </w:p>
    <w:p w:rsidR="00FE0BED" w:rsidRPr="00976908" w:rsidRDefault="00FE0BED" w:rsidP="00C94D4B">
      <w:pPr>
        <w:pStyle w:val="FootnoteText"/>
        <w:spacing w:line="276" w:lineRule="auto"/>
        <w:jc w:val="both"/>
        <w:rPr>
          <w:lang w:val="en-US"/>
        </w:rPr>
      </w:pPr>
    </w:p>
  </w:footnote>
  <w:footnote w:id="5">
    <w:p w:rsidR="00FE0BED" w:rsidRPr="00412518" w:rsidRDefault="00FE0BED" w:rsidP="00C94D4B">
      <w:pPr>
        <w:pStyle w:val="FootnoteText"/>
        <w:spacing w:line="276" w:lineRule="auto"/>
        <w:jc w:val="both"/>
        <w:rPr>
          <w:lang w:val="en-US"/>
        </w:rPr>
      </w:pPr>
      <w:r>
        <w:rPr>
          <w:rStyle w:val="FootnoteReference"/>
        </w:rPr>
        <w:footnoteRef/>
      </w:r>
      <w:r>
        <w:t xml:space="preserve"> </w:t>
      </w:r>
      <w:r>
        <w:rPr>
          <w:lang w:val="en-US"/>
        </w:rPr>
        <w:t>The main application for contempt was brought by Jurgens and the companies against Botha. The counter-application was brought by Botha against Jurgens and the companies.</w:t>
      </w:r>
    </w:p>
  </w:footnote>
  <w:footnote w:id="6">
    <w:p w:rsidR="00FE0BED" w:rsidRPr="00DC3FF3" w:rsidRDefault="00FE0BED">
      <w:pPr>
        <w:pStyle w:val="FootnoteText"/>
        <w:rPr>
          <w:lang w:val="en-US"/>
        </w:rPr>
      </w:pPr>
      <w:r>
        <w:rPr>
          <w:rStyle w:val="FootnoteReference"/>
        </w:rPr>
        <w:footnoteRef/>
      </w:r>
      <w:r>
        <w:t xml:space="preserve"> Whilst t</w:t>
      </w:r>
      <w:r>
        <w:rPr>
          <w:lang w:val="en-US"/>
        </w:rPr>
        <w:t>wo other instances of breach were alleged in the counter-claim, these were not pursued at the hearing of the matter.</w:t>
      </w:r>
    </w:p>
  </w:footnote>
  <w:footnote w:id="7">
    <w:p w:rsidR="007966D1" w:rsidRPr="007966D1" w:rsidRDefault="007966D1" w:rsidP="007966D1">
      <w:pPr>
        <w:pStyle w:val="FootnoteText"/>
        <w:jc w:val="both"/>
        <w:rPr>
          <w:lang w:val="en-US"/>
        </w:rPr>
      </w:pPr>
      <w:r>
        <w:rPr>
          <w:rStyle w:val="FootnoteReference"/>
        </w:rPr>
        <w:footnoteRef/>
      </w:r>
      <w:r>
        <w:t xml:space="preserve"> </w:t>
      </w:r>
      <w:r>
        <w:rPr>
          <w:lang w:val="en-US"/>
        </w:rPr>
        <w:t xml:space="preserve">See: section 66 of the Companies Act, 71 of 2008; </w:t>
      </w:r>
      <w:r>
        <w:rPr>
          <w:i/>
          <w:lang w:val="en-US"/>
        </w:rPr>
        <w:t xml:space="preserve">Ganes and Another v Telecom Namibia Ltd </w:t>
      </w:r>
      <w:r>
        <w:rPr>
          <w:lang w:val="en-US"/>
        </w:rPr>
        <w:t xml:space="preserve"> 2001 (3) 615 (SCA) at paras 18-19.</w:t>
      </w:r>
    </w:p>
  </w:footnote>
  <w:footnote w:id="8">
    <w:p w:rsidR="00FE0BED" w:rsidRPr="00C84FD8" w:rsidRDefault="00FE0BED" w:rsidP="00F445F4">
      <w:pPr>
        <w:pStyle w:val="FootnoteText"/>
        <w:jc w:val="both"/>
        <w:rPr>
          <w:lang w:val="en-US"/>
        </w:rPr>
      </w:pPr>
      <w:r>
        <w:rPr>
          <w:rStyle w:val="FootnoteReference"/>
        </w:rPr>
        <w:footnoteRef/>
      </w:r>
      <w:r>
        <w:t xml:space="preserve"> </w:t>
      </w:r>
      <w:r>
        <w:rPr>
          <w:lang w:val="en-US"/>
        </w:rPr>
        <w:t xml:space="preserve">See: </w:t>
      </w:r>
      <w:r>
        <w:rPr>
          <w:i/>
          <w:lang w:val="en-US"/>
        </w:rPr>
        <w:t xml:space="preserve">Fakie N.O. v CCII Systems (Pty) Ltd </w:t>
      </w:r>
      <w:r>
        <w:rPr>
          <w:lang w:val="en-US"/>
        </w:rPr>
        <w:t xml:space="preserve"> 2006 (4) SA 326 (SCA) at par 42 (“Fakie’); </w:t>
      </w:r>
      <w:r>
        <w:rPr>
          <w:i/>
          <w:lang w:val="en-US"/>
        </w:rPr>
        <w:t xml:space="preserve">Pheko v Ekurhuleni City </w:t>
      </w:r>
      <w:r>
        <w:rPr>
          <w:lang w:val="en-US"/>
        </w:rPr>
        <w:t xml:space="preserve"> 2015 (5) SA 600 (CC) at par 36 (‘; </w:t>
      </w:r>
      <w:r>
        <w:rPr>
          <w:i/>
          <w:lang w:val="en-US"/>
        </w:rPr>
        <w:t xml:space="preserve"> Secretary, Judicial Commission v Zuma </w:t>
      </w:r>
      <w:r>
        <w:rPr>
          <w:lang w:val="en-US"/>
        </w:rPr>
        <w:t xml:space="preserve"> 2021 (5) SA 327 (CC) at par 37.</w:t>
      </w:r>
    </w:p>
  </w:footnote>
  <w:footnote w:id="9">
    <w:p w:rsidR="00FE0BED" w:rsidRPr="00C84FD8" w:rsidRDefault="00FE0BED">
      <w:pPr>
        <w:pStyle w:val="FootnoteText"/>
        <w:rPr>
          <w:i/>
          <w:lang w:val="en-US"/>
        </w:rPr>
      </w:pPr>
      <w:r>
        <w:rPr>
          <w:rStyle w:val="FootnoteReference"/>
        </w:rPr>
        <w:footnoteRef/>
      </w:r>
      <w:r>
        <w:t xml:space="preserve"> </w:t>
      </w:r>
      <w:r>
        <w:rPr>
          <w:lang w:val="en-US"/>
        </w:rPr>
        <w:t xml:space="preserve">Id, </w:t>
      </w:r>
      <w:r>
        <w:rPr>
          <w:i/>
          <w:lang w:val="en-US"/>
        </w:rPr>
        <w:t xml:space="preserve">Fakie </w:t>
      </w:r>
      <w:r>
        <w:rPr>
          <w:lang w:val="en-US"/>
        </w:rPr>
        <w:t xml:space="preserve"> and </w:t>
      </w:r>
      <w:r>
        <w:rPr>
          <w:i/>
          <w:lang w:val="en-US"/>
        </w:rPr>
        <w:t xml:space="preserve"> Pheko.</w:t>
      </w:r>
    </w:p>
  </w:footnote>
  <w:footnote w:id="10">
    <w:p w:rsidR="00FE0BED" w:rsidRDefault="00FE0BED" w:rsidP="00412286">
      <w:pPr>
        <w:pStyle w:val="FootnoteText"/>
        <w:spacing w:line="276" w:lineRule="auto"/>
        <w:jc w:val="both"/>
        <w:rPr>
          <w:lang w:val="en-ZA"/>
        </w:rPr>
      </w:pPr>
      <w:r>
        <w:rPr>
          <w:rStyle w:val="FootnoteReference"/>
        </w:rPr>
        <w:footnoteRef/>
      </w:r>
      <w:r>
        <w:t xml:space="preserve"> Id </w:t>
      </w:r>
      <w:r>
        <w:rPr>
          <w:i/>
          <w:lang w:val="en-ZA"/>
        </w:rPr>
        <w:t xml:space="preserve">Fakie, </w:t>
      </w:r>
      <w:r>
        <w:rPr>
          <w:lang w:val="en-ZA"/>
        </w:rPr>
        <w:t>paras 9 &amp;10.</w:t>
      </w:r>
    </w:p>
    <w:p w:rsidR="00FE0BED" w:rsidRDefault="00FE0BED" w:rsidP="00412286">
      <w:pPr>
        <w:pStyle w:val="FootnoteText"/>
        <w:spacing w:line="276" w:lineRule="auto"/>
        <w:jc w:val="both"/>
      </w:pPr>
    </w:p>
  </w:footnote>
  <w:footnote w:id="11">
    <w:p w:rsidR="00FE0BED" w:rsidRDefault="00FE0BED" w:rsidP="00F445F4">
      <w:pPr>
        <w:pStyle w:val="FootnoteText"/>
        <w:jc w:val="both"/>
        <w:rPr>
          <w:color w:val="242121"/>
          <w:shd w:val="clear" w:color="auto" w:fill="FFFFFF"/>
          <w:lang w:val="en-US"/>
        </w:rPr>
      </w:pPr>
      <w:r>
        <w:rPr>
          <w:rStyle w:val="FootnoteReference"/>
        </w:rPr>
        <w:footnoteRef/>
      </w:r>
      <w:r>
        <w:t xml:space="preserve"> </w:t>
      </w:r>
      <w:r w:rsidRPr="009F7348">
        <w:rPr>
          <w:i/>
          <w:iCs/>
          <w:color w:val="242121"/>
          <w:shd w:val="clear" w:color="auto" w:fill="FFFFFF"/>
          <w:lang w:val="en-US"/>
        </w:rPr>
        <w:t>Natal Joint Municipal Pensi</w:t>
      </w:r>
      <w:r>
        <w:rPr>
          <w:i/>
          <w:iCs/>
          <w:color w:val="242121"/>
          <w:shd w:val="clear" w:color="auto" w:fill="FFFFFF"/>
          <w:lang w:val="en-US"/>
        </w:rPr>
        <w:t xml:space="preserve">on Fund v Endumeni Municipality </w:t>
      </w:r>
      <w:hyperlink r:id="rId1" w:tooltip="View LawCiteRecord" w:history="1">
        <w:r w:rsidRPr="004F2FE2">
          <w:rPr>
            <w:rStyle w:val="Hyperlink"/>
            <w:rFonts w:eastAsiaTheme="majorEastAsia"/>
            <w:bCs/>
            <w:color w:val="auto"/>
            <w:u w:val="none"/>
            <w:shd w:val="clear" w:color="auto" w:fill="FFFFFF"/>
            <w:lang w:val="en-US"/>
          </w:rPr>
          <w:t>2012 (4) SA 593</w:t>
        </w:r>
      </w:hyperlink>
      <w:r>
        <w:rPr>
          <w:rStyle w:val="Hyperlink"/>
          <w:rFonts w:eastAsiaTheme="majorEastAsia"/>
          <w:bCs/>
          <w:color w:val="auto"/>
          <w:u w:val="none"/>
          <w:shd w:val="clear" w:color="auto" w:fill="FFFFFF"/>
          <w:lang w:val="en-US"/>
        </w:rPr>
        <w:t xml:space="preserve"> </w:t>
      </w:r>
      <w:r w:rsidRPr="009F7348">
        <w:rPr>
          <w:color w:val="242121"/>
          <w:shd w:val="clear" w:color="auto" w:fill="FFFFFF"/>
          <w:lang w:val="en-US"/>
        </w:rPr>
        <w:t>(SCA) (</w:t>
      </w:r>
      <w:r w:rsidRPr="009F7348">
        <w:rPr>
          <w:i/>
          <w:iCs/>
          <w:color w:val="242121"/>
          <w:shd w:val="clear" w:color="auto" w:fill="FFFFFF"/>
          <w:lang w:val="en-US"/>
        </w:rPr>
        <w:t>Endumeni</w:t>
      </w:r>
      <w:r w:rsidRPr="009F7348">
        <w:rPr>
          <w:color w:val="242121"/>
          <w:shd w:val="clear" w:color="auto" w:fill="FFFFFF"/>
          <w:lang w:val="en-US"/>
        </w:rPr>
        <w:t>)</w:t>
      </w:r>
      <w:r>
        <w:rPr>
          <w:color w:val="242121"/>
          <w:shd w:val="clear" w:color="auto" w:fill="FFFFFF"/>
          <w:lang w:val="en-US"/>
        </w:rPr>
        <w:t>,</w:t>
      </w:r>
      <w:r w:rsidRPr="009F7348">
        <w:rPr>
          <w:color w:val="242121"/>
          <w:shd w:val="clear" w:color="auto" w:fill="FFFFFF"/>
          <w:lang w:val="en-US"/>
        </w:rPr>
        <w:t xml:space="preserve"> para 18</w:t>
      </w:r>
      <w:r>
        <w:rPr>
          <w:color w:val="242121"/>
          <w:shd w:val="clear" w:color="auto" w:fill="FFFFFF"/>
          <w:lang w:val="en-US"/>
        </w:rPr>
        <w:t xml:space="preserve"> at p. 603F, where the following was said:</w:t>
      </w:r>
    </w:p>
    <w:p w:rsidR="00FE0BED" w:rsidRPr="00DE347A" w:rsidRDefault="00FE0BED" w:rsidP="00F445F4">
      <w:pPr>
        <w:pStyle w:val="FootnoteText"/>
        <w:jc w:val="both"/>
        <w:rPr>
          <w:lang w:val="en-US"/>
        </w:rPr>
      </w:pPr>
      <w:r w:rsidRPr="007957C1">
        <w:rPr>
          <w:i/>
          <w:color w:val="242121"/>
        </w:rPr>
        <w:t xml:space="preserve">“Whatever the nature of the document, consideration must be given to </w:t>
      </w:r>
      <w:r w:rsidRPr="007957C1">
        <w:rPr>
          <w:rFonts w:eastAsiaTheme="majorEastAsia"/>
          <w:bCs/>
          <w:i/>
        </w:rPr>
        <w:t xml:space="preserve">the language used in the light of the ordinary rules of grammar and syntax; the context in which the provision appears; the apparent purpose to which it is directed; and the material known to those responsible for its production. </w:t>
      </w:r>
      <w:r w:rsidRPr="007957C1">
        <w:rPr>
          <w:rFonts w:eastAsiaTheme="majorEastAsia"/>
          <w:bCs/>
          <w:i/>
          <w:u w:val="single"/>
        </w:rPr>
        <w:t>Where more than one meaning is possible, each possibility must be weighed in the light of all these factors. The process is objective</w:t>
      </w:r>
      <w:r w:rsidRPr="007957C1">
        <w:rPr>
          <w:rFonts w:eastAsiaTheme="majorEastAsia"/>
          <w:bCs/>
          <w:i/>
        </w:rPr>
        <w:t xml:space="preserve">, not subjective. </w:t>
      </w:r>
      <w:r w:rsidRPr="007957C1">
        <w:rPr>
          <w:rFonts w:eastAsiaTheme="majorEastAsia"/>
          <w:bCs/>
          <w:i/>
          <w:u w:val="single"/>
        </w:rPr>
        <w:t>A sensible meaning is to be preferred to o</w:t>
      </w:r>
      <w:r w:rsidRPr="007957C1">
        <w:rPr>
          <w:rFonts w:eastAsiaTheme="majorEastAsia"/>
          <w:bCs/>
          <w:i/>
        </w:rPr>
        <w:t>ne that leads to insensible or unbusinesslike results or undermines the apparent purpose of the document</w:t>
      </w:r>
      <w:r w:rsidRPr="007957C1">
        <w:rPr>
          <w:i/>
          <w:color w:val="242121"/>
        </w:rPr>
        <w:t>.”</w:t>
      </w:r>
      <w:r>
        <w:rPr>
          <w:color w:val="242121"/>
          <w:shd w:val="clear" w:color="auto" w:fill="FFFFFF"/>
          <w:lang w:val="en-US"/>
        </w:rPr>
        <w:t xml:space="preserve"> (emphasis added)</w:t>
      </w:r>
    </w:p>
  </w:footnote>
  <w:footnote w:id="12">
    <w:p w:rsidR="00FE0BED" w:rsidRPr="003A0BFC" w:rsidRDefault="00FE0BED" w:rsidP="00F445F4">
      <w:pPr>
        <w:pStyle w:val="FootnoteText"/>
        <w:jc w:val="both"/>
        <w:rPr>
          <w:lang w:val="en-US"/>
        </w:rPr>
      </w:pPr>
      <w:r>
        <w:rPr>
          <w:rStyle w:val="FootnoteReference"/>
        </w:rPr>
        <w:footnoteRef/>
      </w:r>
      <w:r>
        <w:t xml:space="preserve"> </w:t>
      </w:r>
      <w:r>
        <w:rPr>
          <w:rStyle w:val="Emphasis"/>
          <w:color w:val="2F2F2F"/>
          <w:bdr w:val="none" w:sz="0" w:space="0" w:color="auto" w:frame="1"/>
          <w:shd w:val="clear" w:color="auto" w:fill="FFFFFF"/>
        </w:rPr>
        <w:t>Capitec Bank Holdings Ltd and Another v Coral Lagoon Investments 194 (Pty) Ltd and Others</w:t>
      </w:r>
      <w:r>
        <w:rPr>
          <w:color w:val="2F2F2F"/>
          <w:shd w:val="clear" w:color="auto" w:fill="FFFFFF"/>
        </w:rPr>
        <w:t> 2022 (1) SA 100 (SCA) at paras 25, 26 &amp; 51.</w:t>
      </w:r>
    </w:p>
  </w:footnote>
  <w:footnote w:id="13">
    <w:p w:rsidR="00FE0BED" w:rsidRPr="003A0BFC" w:rsidRDefault="00FE0BED" w:rsidP="00045AA5">
      <w:pPr>
        <w:pStyle w:val="NormalWeb"/>
        <w:rPr>
          <w:lang w:val="en-US"/>
        </w:rPr>
      </w:pPr>
      <w:r>
        <w:rPr>
          <w:rStyle w:val="FootnoteReference"/>
        </w:rPr>
        <w:footnoteRef/>
      </w:r>
      <w:r>
        <w:t xml:space="preserve"> </w:t>
      </w:r>
      <w:r w:rsidRPr="009F7348">
        <w:rPr>
          <w:rFonts w:ascii="Arial" w:hAnsi="Arial" w:cs="Arial"/>
          <w:i/>
          <w:iCs/>
          <w:color w:val="242121"/>
          <w:sz w:val="20"/>
          <w:szCs w:val="20"/>
          <w:shd w:val="clear" w:color="auto" w:fill="FFFFFF"/>
          <w:lang w:val="en-US"/>
        </w:rPr>
        <w:t xml:space="preserve">Natal Joint Municipal Pension Fund v Endumeni </w:t>
      </w:r>
      <w:r w:rsidRPr="004F2FE2">
        <w:rPr>
          <w:rFonts w:ascii="Arial" w:hAnsi="Arial" w:cs="Arial"/>
          <w:i/>
          <w:iCs/>
          <w:sz w:val="20"/>
          <w:szCs w:val="20"/>
          <w:shd w:val="clear" w:color="auto" w:fill="FFFFFF"/>
          <w:lang w:val="en-US"/>
        </w:rPr>
        <w:t>Municipality </w:t>
      </w:r>
      <w:hyperlink r:id="rId2" w:tooltip="View LawCiteRecord" w:history="1">
        <w:r w:rsidRPr="004F2FE2">
          <w:rPr>
            <w:rStyle w:val="Hyperlink"/>
            <w:rFonts w:ascii="Arial" w:eastAsiaTheme="majorEastAsia" w:hAnsi="Arial" w:cs="Arial"/>
            <w:bCs/>
            <w:color w:val="auto"/>
            <w:sz w:val="20"/>
            <w:szCs w:val="20"/>
            <w:u w:val="none"/>
            <w:shd w:val="clear" w:color="auto" w:fill="FFFFFF"/>
            <w:lang w:val="en-US"/>
          </w:rPr>
          <w:t>[2012] ZASCA 13</w:t>
        </w:r>
      </w:hyperlink>
      <w:r w:rsidRPr="004F2FE2">
        <w:rPr>
          <w:rFonts w:ascii="Arial" w:hAnsi="Arial" w:cs="Arial"/>
          <w:sz w:val="20"/>
          <w:szCs w:val="20"/>
          <w:shd w:val="clear" w:color="auto" w:fill="FFFFFF"/>
          <w:lang w:val="en-US"/>
        </w:rPr>
        <w:t>; </w:t>
      </w:r>
      <w:hyperlink r:id="rId3" w:tooltip="View LawCiteRecord" w:history="1">
        <w:r w:rsidRPr="004F2FE2">
          <w:rPr>
            <w:rStyle w:val="Hyperlink"/>
            <w:rFonts w:ascii="Arial" w:eastAsiaTheme="majorEastAsia" w:hAnsi="Arial" w:cs="Arial"/>
            <w:bCs/>
            <w:color w:val="auto"/>
            <w:sz w:val="20"/>
            <w:szCs w:val="20"/>
            <w:u w:val="none"/>
            <w:shd w:val="clear" w:color="auto" w:fill="FFFFFF"/>
            <w:lang w:val="en-US"/>
          </w:rPr>
          <w:t>[2012] 2 All SA 262</w:t>
        </w:r>
      </w:hyperlink>
      <w:r>
        <w:rPr>
          <w:rStyle w:val="Hyperlink"/>
          <w:rFonts w:ascii="Arial" w:eastAsiaTheme="majorEastAsia" w:hAnsi="Arial" w:cs="Arial"/>
          <w:bCs/>
          <w:color w:val="auto"/>
          <w:sz w:val="20"/>
          <w:szCs w:val="20"/>
          <w:u w:val="none"/>
          <w:shd w:val="clear" w:color="auto" w:fill="FFFFFF"/>
          <w:lang w:val="en-US"/>
        </w:rPr>
        <w:t xml:space="preserve"> </w:t>
      </w:r>
      <w:r>
        <w:rPr>
          <w:rFonts w:ascii="Arial" w:hAnsi="Arial" w:cs="Arial"/>
          <w:color w:val="242121"/>
          <w:sz w:val="20"/>
          <w:szCs w:val="20"/>
          <w:shd w:val="clear" w:color="auto" w:fill="FFFFFF"/>
          <w:lang w:val="en-US"/>
        </w:rPr>
        <w:t xml:space="preserve">(SCA); </w:t>
      </w:r>
      <w:hyperlink r:id="rId4" w:tooltip="View LawCiteRecord" w:history="1">
        <w:r w:rsidRPr="004F2FE2">
          <w:rPr>
            <w:rStyle w:val="Hyperlink"/>
            <w:rFonts w:ascii="Arial" w:eastAsiaTheme="majorEastAsia" w:hAnsi="Arial" w:cs="Arial"/>
            <w:bCs/>
            <w:color w:val="auto"/>
            <w:sz w:val="20"/>
            <w:szCs w:val="20"/>
            <w:u w:val="none"/>
            <w:shd w:val="clear" w:color="auto" w:fill="FFFFFF"/>
            <w:lang w:val="en-US"/>
          </w:rPr>
          <w:t>2012 (4) SA 593</w:t>
        </w:r>
      </w:hyperlink>
      <w:r>
        <w:rPr>
          <w:rStyle w:val="Hyperlink"/>
          <w:rFonts w:ascii="Arial" w:eastAsiaTheme="majorEastAsia" w:hAnsi="Arial" w:cs="Arial"/>
          <w:bCs/>
          <w:color w:val="auto"/>
          <w:sz w:val="20"/>
          <w:szCs w:val="20"/>
          <w:u w:val="none"/>
          <w:shd w:val="clear" w:color="auto" w:fill="FFFFFF"/>
          <w:lang w:val="en-US"/>
        </w:rPr>
        <w:t xml:space="preserve"> </w:t>
      </w:r>
      <w:r w:rsidRPr="009F7348">
        <w:rPr>
          <w:rFonts w:ascii="Arial" w:hAnsi="Arial" w:cs="Arial"/>
          <w:color w:val="242121"/>
          <w:sz w:val="20"/>
          <w:szCs w:val="20"/>
          <w:shd w:val="clear" w:color="auto" w:fill="FFFFFF"/>
          <w:lang w:val="en-US"/>
        </w:rPr>
        <w:t>(SCA) (</w:t>
      </w:r>
      <w:r w:rsidRPr="009F7348">
        <w:rPr>
          <w:rFonts w:ascii="Arial" w:hAnsi="Arial" w:cs="Arial"/>
          <w:i/>
          <w:iCs/>
          <w:color w:val="242121"/>
          <w:sz w:val="20"/>
          <w:szCs w:val="20"/>
          <w:shd w:val="clear" w:color="auto" w:fill="FFFFFF"/>
          <w:lang w:val="en-US"/>
        </w:rPr>
        <w:t>Endumeni</w:t>
      </w:r>
      <w:r w:rsidRPr="009F7348">
        <w:rPr>
          <w:rFonts w:ascii="Arial" w:hAnsi="Arial" w:cs="Arial"/>
          <w:color w:val="242121"/>
          <w:sz w:val="20"/>
          <w:szCs w:val="20"/>
          <w:shd w:val="clear" w:color="auto" w:fill="FFFFFF"/>
          <w:lang w:val="en-US"/>
        </w:rPr>
        <w:t xml:space="preserve">) </w:t>
      </w:r>
      <w:r>
        <w:rPr>
          <w:rFonts w:ascii="Arial" w:hAnsi="Arial" w:cs="Arial"/>
          <w:color w:val="242121"/>
          <w:sz w:val="20"/>
          <w:szCs w:val="20"/>
          <w:shd w:val="clear" w:color="auto" w:fill="FFFFFF"/>
          <w:lang w:val="en-US"/>
        </w:rPr>
        <w:t xml:space="preserve">at 18 </w:t>
      </w:r>
    </w:p>
  </w:footnote>
  <w:footnote w:id="14">
    <w:p w:rsidR="00FE0BED" w:rsidRPr="003A0BFC" w:rsidRDefault="00FE0BED" w:rsidP="00045AA5">
      <w:pPr>
        <w:pStyle w:val="FootnoteText"/>
        <w:rPr>
          <w:i/>
          <w:lang w:val="en-US"/>
        </w:rPr>
      </w:pPr>
      <w:r>
        <w:rPr>
          <w:rStyle w:val="FootnoteReference"/>
        </w:rPr>
        <w:footnoteRef/>
      </w:r>
      <w:r>
        <w:t xml:space="preserve"> </w:t>
      </w:r>
      <w:r>
        <w:rPr>
          <w:i/>
          <w:lang w:val="en-US"/>
        </w:rPr>
        <w:t xml:space="preserve">Endumeni, par 18. </w:t>
      </w:r>
    </w:p>
  </w:footnote>
  <w:footnote w:id="15">
    <w:p w:rsidR="00FE0BED" w:rsidRPr="007C677C" w:rsidRDefault="00FE0BED" w:rsidP="00A13A9D">
      <w:pPr>
        <w:pStyle w:val="FootnoteText"/>
        <w:jc w:val="both"/>
        <w:rPr>
          <w:lang w:val="en-US"/>
        </w:rPr>
      </w:pPr>
      <w:r>
        <w:rPr>
          <w:rStyle w:val="FootnoteReference"/>
        </w:rPr>
        <w:footnoteRef/>
      </w:r>
      <w:r>
        <w:t xml:space="preserve"> </w:t>
      </w:r>
      <w:r>
        <w:rPr>
          <w:rFonts w:asciiTheme="minorHAnsi" w:hAnsiTheme="minorHAnsi" w:cstheme="minorHAnsi"/>
          <w:color w:val="000000"/>
          <w:sz w:val="22"/>
          <w:szCs w:val="22"/>
        </w:rPr>
        <w:t>This was followed by a further letter addressed by Scholtz to the bank, dated 4 December 2019, in which he informed the bank on behalf of Botha that “</w:t>
      </w:r>
      <w:r w:rsidRPr="001A0226">
        <w:rPr>
          <w:i/>
          <w:color w:val="000000"/>
        </w:rPr>
        <w:t xml:space="preserve">Dr Botha does not Consent for you to grant </w:t>
      </w:r>
      <w:r>
        <w:rPr>
          <w:i/>
          <w:color w:val="000000"/>
        </w:rPr>
        <w:t>a</w:t>
      </w:r>
      <w:r w:rsidRPr="001A0226">
        <w:rPr>
          <w:i/>
          <w:color w:val="000000"/>
        </w:rPr>
        <w:t>n overdraft and/or any loans to</w:t>
      </w:r>
      <w:r>
        <w:rPr>
          <w:i/>
          <w:color w:val="000000"/>
        </w:rPr>
        <w:t xml:space="preserve"> </w:t>
      </w:r>
      <w:r w:rsidRPr="001A0226">
        <w:rPr>
          <w:i/>
          <w:color w:val="000000"/>
        </w:rPr>
        <w:t xml:space="preserve">Dr Jurgens, </w:t>
      </w:r>
      <w:r>
        <w:rPr>
          <w:i/>
          <w:color w:val="000000"/>
        </w:rPr>
        <w:t>B</w:t>
      </w:r>
      <w:r w:rsidRPr="001A0226">
        <w:rPr>
          <w:i/>
          <w:color w:val="000000"/>
        </w:rPr>
        <w:t xml:space="preserve">otha </w:t>
      </w:r>
      <w:r>
        <w:rPr>
          <w:i/>
          <w:color w:val="000000"/>
        </w:rPr>
        <w:t>&amp;</w:t>
      </w:r>
      <w:r w:rsidRPr="001A0226">
        <w:rPr>
          <w:i/>
          <w:color w:val="000000"/>
        </w:rPr>
        <w:t xml:space="preserve"> Jurgens Inc. and Jurgens </w:t>
      </w:r>
      <w:r>
        <w:rPr>
          <w:i/>
          <w:color w:val="000000"/>
        </w:rPr>
        <w:t>&amp; B</w:t>
      </w:r>
      <w:r w:rsidRPr="001A0226">
        <w:rPr>
          <w:i/>
          <w:color w:val="000000"/>
        </w:rPr>
        <w:t>otha Inc. More spe</w:t>
      </w:r>
      <w:r>
        <w:rPr>
          <w:i/>
          <w:color w:val="000000"/>
        </w:rPr>
        <w:t>ci</w:t>
      </w:r>
      <w:r w:rsidRPr="001A0226">
        <w:rPr>
          <w:i/>
          <w:color w:val="000000"/>
        </w:rPr>
        <w:t xml:space="preserve">fically, our </w:t>
      </w:r>
      <w:r>
        <w:rPr>
          <w:i/>
          <w:color w:val="000000"/>
        </w:rPr>
        <w:t>cli</w:t>
      </w:r>
      <w:r w:rsidRPr="001A0226">
        <w:rPr>
          <w:i/>
          <w:color w:val="000000"/>
        </w:rPr>
        <w:t xml:space="preserve">ent does not agree that the </w:t>
      </w:r>
      <w:r>
        <w:rPr>
          <w:i/>
          <w:color w:val="000000"/>
        </w:rPr>
        <w:t>m</w:t>
      </w:r>
      <w:r w:rsidRPr="001A0226">
        <w:rPr>
          <w:i/>
          <w:color w:val="000000"/>
        </w:rPr>
        <w:t xml:space="preserve">oveable property of the practices be used as security to cover any overdraft facilities </w:t>
      </w:r>
      <w:r>
        <w:rPr>
          <w:i/>
          <w:color w:val="000000"/>
        </w:rPr>
        <w:t xml:space="preserve">in </w:t>
      </w:r>
      <w:r w:rsidRPr="001A0226">
        <w:rPr>
          <w:i/>
          <w:color w:val="000000"/>
        </w:rPr>
        <w:t>respect of said practices.</w:t>
      </w:r>
      <w:r>
        <w:rPr>
          <w:rFonts w:ascii="Segoe UI" w:hAnsi="Segoe UI" w:cs="Segoe UI"/>
          <w:color w:val="000000"/>
          <w:sz w:val="27"/>
          <w:szCs w:val="27"/>
        </w:rPr>
        <w:t>”</w:t>
      </w:r>
    </w:p>
  </w:footnote>
  <w:footnote w:id="16">
    <w:p w:rsidR="00FE0BED" w:rsidRDefault="00FE0BED" w:rsidP="00F0410B">
      <w:pPr>
        <w:pStyle w:val="FootnoteText"/>
        <w:rPr>
          <w:lang w:val="en-US"/>
        </w:rPr>
      </w:pPr>
      <w:r>
        <w:rPr>
          <w:rStyle w:val="FootnoteReference"/>
        </w:rPr>
        <w:footnoteRef/>
      </w:r>
      <w:r>
        <w:t xml:space="preserve"> </w:t>
      </w:r>
      <w:r>
        <w:rPr>
          <w:lang w:val="en-US"/>
        </w:rPr>
        <w:t xml:space="preserve">See; </w:t>
      </w:r>
      <w:hyperlink r:id="rId5" w:history="1">
        <w:r w:rsidRPr="00924AEF">
          <w:rPr>
            <w:rStyle w:val="Hyperlink"/>
            <w:lang w:val="en-US"/>
          </w:rPr>
          <w:t>https://www.lawinsider.com/dictionary/conducting</w:t>
        </w:r>
      </w:hyperlink>
    </w:p>
    <w:p w:rsidR="00FE0BED" w:rsidRPr="007E4347" w:rsidRDefault="00FE0BED" w:rsidP="00F0410B">
      <w:pPr>
        <w:pStyle w:val="FootnoteText"/>
        <w:rPr>
          <w:lang w:val="en-US"/>
        </w:rPr>
      </w:pPr>
    </w:p>
  </w:footnote>
  <w:footnote w:id="17">
    <w:p w:rsidR="00FE0BED" w:rsidRPr="005E29F1" w:rsidRDefault="00FE0BED" w:rsidP="00F0410B">
      <w:pPr>
        <w:pStyle w:val="FootnoteText"/>
        <w:rPr>
          <w:lang w:val="en-US"/>
        </w:rPr>
      </w:pPr>
      <w:r>
        <w:rPr>
          <w:rStyle w:val="FootnoteReference"/>
        </w:rPr>
        <w:footnoteRef/>
      </w:r>
      <w:r>
        <w:t xml:space="preserve"> </w:t>
      </w:r>
      <w:r>
        <w:rPr>
          <w:lang w:val="en-US"/>
        </w:rPr>
        <w:t xml:space="preserve">See: </w:t>
      </w:r>
      <w:hyperlink r:id="rId6" w:history="1">
        <w:r w:rsidRPr="00924AEF">
          <w:rPr>
            <w:rStyle w:val="Hyperlink"/>
            <w:lang w:val="en-US"/>
          </w:rPr>
          <w:t>https://www.google.com/search?rlz=1C1CHBD_enZA910ZA910&amp;q=Conduct+meaning&amp;sa=X&amp;ved=2ahUKEwiiz6v3-tL5AhVDmqQKHd-KDrAQ1QJ6BAgyEAE&amp;biw=1280&amp;bih=913&amp;dpr=1</w:t>
        </w:r>
      </w:hyperlink>
      <w:r>
        <w:rPr>
          <w:lang w:val="en-US"/>
        </w:rPr>
        <w:t xml:space="preserve"> </w:t>
      </w:r>
    </w:p>
  </w:footnote>
  <w:footnote w:id="18">
    <w:p w:rsidR="00FE0BED" w:rsidRPr="00145B3C" w:rsidRDefault="00FE0BED" w:rsidP="00145B3C">
      <w:pPr>
        <w:pStyle w:val="FootnoteText"/>
        <w:jc w:val="both"/>
        <w:rPr>
          <w:lang w:val="en-US"/>
        </w:rPr>
      </w:pPr>
      <w:r>
        <w:rPr>
          <w:rStyle w:val="FootnoteReference"/>
        </w:rPr>
        <w:footnoteRef/>
      </w:r>
      <w:r>
        <w:t xml:space="preserve"> Per </w:t>
      </w:r>
      <w:r w:rsidRPr="00145B3C">
        <w:rPr>
          <w:shd w:val="clear" w:color="auto" w:fill="FFFFFF"/>
        </w:rPr>
        <w:t>The Merriam-Webster dictionary</w:t>
      </w:r>
    </w:p>
  </w:footnote>
  <w:footnote w:id="19">
    <w:p w:rsidR="00FE0BED" w:rsidRPr="00E30F3A" w:rsidRDefault="00FE0BED" w:rsidP="00145B3C">
      <w:pPr>
        <w:pStyle w:val="FootnoteText"/>
        <w:rPr>
          <w:lang w:val="en-US"/>
        </w:rPr>
      </w:pPr>
      <w:r>
        <w:rPr>
          <w:rStyle w:val="FootnoteReference"/>
        </w:rPr>
        <w:footnoteRef/>
      </w:r>
      <w:r>
        <w:t xml:space="preserve"> </w:t>
      </w:r>
      <w:r>
        <w:rPr>
          <w:lang w:val="en-US"/>
        </w:rPr>
        <w:t xml:space="preserve">Per The Oxford Learner’s dictionary: </w:t>
      </w:r>
      <w:hyperlink r:id="rId7" w:anchor=":~:text=%2Ftr%C3%A6n%CB%88z%C3%A6k%CA%83n%2F,transactions%20between%20companies%20commercial%20transactions" w:history="1">
        <w:r w:rsidRPr="008419A8">
          <w:rPr>
            <w:rStyle w:val="Hyperlink"/>
            <w:lang w:val="en-US"/>
          </w:rPr>
          <w:t>https://www.oxfordlearnersdictionaries.com/definition/american_english/transaction#:~:text=%2Ftr%C3%A6n%CB%88z%C3%A6k%CA%83n%2F,transactions%20between%20companies%20commercial%20transactions</w:t>
        </w:r>
      </w:hyperlink>
    </w:p>
  </w:footnote>
  <w:footnote w:id="20">
    <w:p w:rsidR="00FE0BED" w:rsidRPr="00145B3C" w:rsidRDefault="00FE0BED">
      <w:pPr>
        <w:pStyle w:val="FootnoteText"/>
        <w:rPr>
          <w:lang w:val="en-US"/>
        </w:rPr>
      </w:pPr>
      <w:r>
        <w:rPr>
          <w:rStyle w:val="FootnoteReference"/>
        </w:rPr>
        <w:footnoteRef/>
      </w:r>
      <w:r>
        <w:t xml:space="preserve"> </w:t>
      </w:r>
      <w:r>
        <w:rPr>
          <w:lang w:val="en-US"/>
        </w:rPr>
        <w:t xml:space="preserve">Per </w:t>
      </w:r>
      <w:r w:rsidRPr="00145B3C">
        <w:rPr>
          <w:shd w:val="clear" w:color="auto" w:fill="FFFFFF"/>
        </w:rPr>
        <w:t>Wiktionary</w:t>
      </w:r>
    </w:p>
  </w:footnote>
  <w:footnote w:id="21">
    <w:p w:rsidR="00FE0BED" w:rsidRDefault="00FE0BED" w:rsidP="00145B3C">
      <w:pPr>
        <w:pStyle w:val="FootnoteText"/>
        <w:rPr>
          <w:lang w:val="en-US"/>
        </w:rPr>
      </w:pPr>
      <w:r>
        <w:rPr>
          <w:rStyle w:val="FootnoteReference"/>
        </w:rPr>
        <w:footnoteRef/>
      </w:r>
      <w:r>
        <w:t xml:space="preserve"> </w:t>
      </w:r>
      <w:r>
        <w:rPr>
          <w:lang w:val="en-US"/>
        </w:rPr>
        <w:t xml:space="preserve">See: </w:t>
      </w:r>
      <w:hyperlink r:id="rId8" w:history="1">
        <w:r w:rsidRPr="008419A8">
          <w:rPr>
            <w:rStyle w:val="Hyperlink"/>
            <w:lang w:val="en-US"/>
          </w:rPr>
          <w:t>https://www.collinsdictionary.com/dictionary/english/financial-transaction</w:t>
        </w:r>
      </w:hyperlink>
    </w:p>
    <w:p w:rsidR="00FE0BED" w:rsidRPr="00E30F3A" w:rsidRDefault="00FE0BED" w:rsidP="00145B3C">
      <w:pPr>
        <w:pStyle w:val="FootnoteText"/>
        <w:rPr>
          <w:lang w:val="en-US"/>
        </w:rPr>
      </w:pPr>
    </w:p>
  </w:footnote>
  <w:footnote w:id="22">
    <w:p w:rsidR="00FE0BED" w:rsidRPr="005214BE" w:rsidRDefault="00FE0BED">
      <w:pPr>
        <w:pStyle w:val="FootnoteText"/>
        <w:rPr>
          <w:lang w:val="en-US"/>
        </w:rPr>
      </w:pPr>
      <w:r>
        <w:rPr>
          <w:rStyle w:val="FootnoteReference"/>
        </w:rPr>
        <w:footnoteRef/>
      </w:r>
      <w:r>
        <w:t xml:space="preserve"> </w:t>
      </w:r>
      <w:r>
        <w:rPr>
          <w:lang w:val="en-US"/>
        </w:rPr>
        <w:t>A list of the records in question are set out in par 24 of the answering affidavit.</w:t>
      </w:r>
    </w:p>
  </w:footnote>
  <w:footnote w:id="23">
    <w:p w:rsidR="002144B9" w:rsidRPr="002144B9" w:rsidRDefault="002144B9" w:rsidP="002144B9">
      <w:pPr>
        <w:pStyle w:val="FootnoteText"/>
        <w:jc w:val="both"/>
        <w:rPr>
          <w:lang w:val="en-US"/>
        </w:rPr>
      </w:pPr>
      <w:r>
        <w:rPr>
          <w:rStyle w:val="FootnoteReference"/>
        </w:rPr>
        <w:footnoteRef/>
      </w:r>
      <w:r>
        <w:t xml:space="preserve"> </w:t>
      </w:r>
      <w:r w:rsidRPr="002144B9">
        <w:t>That the increase in rental would likely redound to the benefit of Jurgens financially, given his shareholding in Manatech, whilst at the same time likely impact</w:t>
      </w:r>
      <w:r>
        <w:t>ing</w:t>
      </w:r>
      <w:r w:rsidRPr="002144B9">
        <w:t xml:space="preserve"> adversely upon him financially, given his shareholding in the second applicant, seems fairly obvious.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672887"/>
      <w:docPartObj>
        <w:docPartGallery w:val="Page Numbers (Top of Page)"/>
        <w:docPartUnique/>
      </w:docPartObj>
    </w:sdtPr>
    <w:sdtEndPr>
      <w:rPr>
        <w:noProof/>
      </w:rPr>
    </w:sdtEndPr>
    <w:sdtContent>
      <w:p w:rsidR="00FE0BED" w:rsidRDefault="00FE0BED">
        <w:pPr>
          <w:pStyle w:val="Header"/>
          <w:jc w:val="right"/>
        </w:pPr>
        <w:r>
          <w:fldChar w:fldCharType="begin"/>
        </w:r>
        <w:r>
          <w:instrText xml:space="preserve"> PAGE   \* MERGEFORMAT </w:instrText>
        </w:r>
        <w:r>
          <w:fldChar w:fldCharType="separate"/>
        </w:r>
        <w:r w:rsidR="00055CF1">
          <w:rPr>
            <w:noProof/>
          </w:rPr>
          <w:t>25</w:t>
        </w:r>
        <w:r>
          <w:rPr>
            <w:noProof/>
          </w:rPr>
          <w:fldChar w:fldCharType="end"/>
        </w:r>
      </w:p>
    </w:sdtContent>
  </w:sdt>
  <w:p w:rsidR="00FE0BED" w:rsidRDefault="00FE0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80964"/>
      <w:docPartObj>
        <w:docPartGallery w:val="Page Numbers (Top of Page)"/>
        <w:docPartUnique/>
      </w:docPartObj>
    </w:sdtPr>
    <w:sdtEndPr>
      <w:rPr>
        <w:noProof/>
      </w:rPr>
    </w:sdtEndPr>
    <w:sdtContent>
      <w:p w:rsidR="00FE0BED" w:rsidRDefault="00FE0BE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E0BED" w:rsidRDefault="00FE0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103"/>
    <w:multiLevelType w:val="hybridMultilevel"/>
    <w:tmpl w:val="9DAC5862"/>
    <w:lvl w:ilvl="0" w:tplc="D848CCC8">
      <w:start w:val="1"/>
      <w:numFmt w:val="upp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4C75538"/>
    <w:multiLevelType w:val="hybridMultilevel"/>
    <w:tmpl w:val="616CE1E0"/>
    <w:lvl w:ilvl="0" w:tplc="C2362D04">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41006E2D"/>
    <w:multiLevelType w:val="hybridMultilevel"/>
    <w:tmpl w:val="5442C648"/>
    <w:lvl w:ilvl="0" w:tplc="A2785F8E">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3"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4DD2293B"/>
    <w:multiLevelType w:val="hybridMultilevel"/>
    <w:tmpl w:val="DCF6703E"/>
    <w:lvl w:ilvl="0" w:tplc="705CF4AA">
      <w:start w:val="1"/>
      <w:numFmt w:val="decimal"/>
      <w:lvlText w:val="%1"/>
      <w:lvlJc w:val="left"/>
      <w:pPr>
        <w:ind w:left="1211" w:hanging="360"/>
      </w:pPr>
      <w:rPr>
        <w:rFonts w:ascii="Verdana" w:hAnsi="Verdana" w:cs="Times New Roman"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50F7650A"/>
    <w:multiLevelType w:val="multilevel"/>
    <w:tmpl w:val="FBFA6894"/>
    <w:numStyleLink w:val="Style3"/>
  </w:abstractNum>
  <w:abstractNum w:abstractNumId="6" w15:restartNumberingAfterBreak="0">
    <w:nsid w:val="539B1983"/>
    <w:multiLevelType w:val="hybridMultilevel"/>
    <w:tmpl w:val="3B7EBE96"/>
    <w:lvl w:ilvl="0" w:tplc="4F805A1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2113D"/>
    <w:multiLevelType w:val="hybridMultilevel"/>
    <w:tmpl w:val="F93AAF02"/>
    <w:lvl w:ilvl="0" w:tplc="E70EA9C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7"/>
  </w:num>
  <w:num w:numId="2">
    <w:abstractNumId w:val="3"/>
  </w:num>
  <w:num w:numId="3">
    <w:abstractNumId w:val="5"/>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4"/>
  </w:num>
  <w:num w:numId="5">
    <w:abstractNumId w:val="8"/>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A5"/>
    <w:rsid w:val="000031FF"/>
    <w:rsid w:val="000051BF"/>
    <w:rsid w:val="00020629"/>
    <w:rsid w:val="000228B7"/>
    <w:rsid w:val="00045AA5"/>
    <w:rsid w:val="00051B87"/>
    <w:rsid w:val="00055CF1"/>
    <w:rsid w:val="00060761"/>
    <w:rsid w:val="000A77D4"/>
    <w:rsid w:val="00100F98"/>
    <w:rsid w:val="00123DD6"/>
    <w:rsid w:val="00145B3C"/>
    <w:rsid w:val="00164D0B"/>
    <w:rsid w:val="001A321D"/>
    <w:rsid w:val="001A4292"/>
    <w:rsid w:val="001E1845"/>
    <w:rsid w:val="001E559D"/>
    <w:rsid w:val="001E627C"/>
    <w:rsid w:val="00203863"/>
    <w:rsid w:val="00210157"/>
    <w:rsid w:val="002144B9"/>
    <w:rsid w:val="00232084"/>
    <w:rsid w:val="00246DA5"/>
    <w:rsid w:val="00281AEB"/>
    <w:rsid w:val="00284A80"/>
    <w:rsid w:val="002F4A77"/>
    <w:rsid w:val="00305979"/>
    <w:rsid w:val="00360B26"/>
    <w:rsid w:val="00374B82"/>
    <w:rsid w:val="00385F97"/>
    <w:rsid w:val="003B6822"/>
    <w:rsid w:val="004033BE"/>
    <w:rsid w:val="00412286"/>
    <w:rsid w:val="00412518"/>
    <w:rsid w:val="00421BD4"/>
    <w:rsid w:val="00456497"/>
    <w:rsid w:val="00465D10"/>
    <w:rsid w:val="00482B27"/>
    <w:rsid w:val="00490476"/>
    <w:rsid w:val="00490A6B"/>
    <w:rsid w:val="004A2C43"/>
    <w:rsid w:val="004C24B7"/>
    <w:rsid w:val="004F2CC7"/>
    <w:rsid w:val="004F2FE2"/>
    <w:rsid w:val="005214BE"/>
    <w:rsid w:val="005277E8"/>
    <w:rsid w:val="00536AD5"/>
    <w:rsid w:val="005603E3"/>
    <w:rsid w:val="00562FA2"/>
    <w:rsid w:val="00596535"/>
    <w:rsid w:val="005A1EF6"/>
    <w:rsid w:val="005F263D"/>
    <w:rsid w:val="00623E75"/>
    <w:rsid w:val="00644281"/>
    <w:rsid w:val="00651D0D"/>
    <w:rsid w:val="006670AA"/>
    <w:rsid w:val="00673561"/>
    <w:rsid w:val="006A1CE8"/>
    <w:rsid w:val="006A1E6A"/>
    <w:rsid w:val="006D2CC7"/>
    <w:rsid w:val="006E4DBA"/>
    <w:rsid w:val="00707B57"/>
    <w:rsid w:val="00732E1A"/>
    <w:rsid w:val="007957C1"/>
    <w:rsid w:val="007966D1"/>
    <w:rsid w:val="007C677C"/>
    <w:rsid w:val="007D2FD8"/>
    <w:rsid w:val="00806360"/>
    <w:rsid w:val="008556A2"/>
    <w:rsid w:val="00861FDE"/>
    <w:rsid w:val="00863439"/>
    <w:rsid w:val="008B0F55"/>
    <w:rsid w:val="008D0CE3"/>
    <w:rsid w:val="008D2D3F"/>
    <w:rsid w:val="00961BC7"/>
    <w:rsid w:val="00976908"/>
    <w:rsid w:val="00A11577"/>
    <w:rsid w:val="00A13A9D"/>
    <w:rsid w:val="00A42030"/>
    <w:rsid w:val="00A50AC8"/>
    <w:rsid w:val="00A70DC0"/>
    <w:rsid w:val="00A735DD"/>
    <w:rsid w:val="00A77E65"/>
    <w:rsid w:val="00AC7571"/>
    <w:rsid w:val="00AD0D20"/>
    <w:rsid w:val="00AE66D1"/>
    <w:rsid w:val="00B1250C"/>
    <w:rsid w:val="00B14ABA"/>
    <w:rsid w:val="00B4182C"/>
    <w:rsid w:val="00B42746"/>
    <w:rsid w:val="00B47232"/>
    <w:rsid w:val="00B67FA8"/>
    <w:rsid w:val="00B73B03"/>
    <w:rsid w:val="00B844E8"/>
    <w:rsid w:val="00B87FB4"/>
    <w:rsid w:val="00B93808"/>
    <w:rsid w:val="00BD070C"/>
    <w:rsid w:val="00BD55A7"/>
    <w:rsid w:val="00C01D70"/>
    <w:rsid w:val="00C176B9"/>
    <w:rsid w:val="00C212C6"/>
    <w:rsid w:val="00C214CF"/>
    <w:rsid w:val="00C23060"/>
    <w:rsid w:val="00C53B0F"/>
    <w:rsid w:val="00C56F7C"/>
    <w:rsid w:val="00C7389D"/>
    <w:rsid w:val="00C84FD8"/>
    <w:rsid w:val="00C94D4B"/>
    <w:rsid w:val="00C959F2"/>
    <w:rsid w:val="00CC7859"/>
    <w:rsid w:val="00CD05E6"/>
    <w:rsid w:val="00CE5974"/>
    <w:rsid w:val="00D2604C"/>
    <w:rsid w:val="00D37CBD"/>
    <w:rsid w:val="00D94020"/>
    <w:rsid w:val="00D97121"/>
    <w:rsid w:val="00DB65FB"/>
    <w:rsid w:val="00DB6A2D"/>
    <w:rsid w:val="00DC3FF3"/>
    <w:rsid w:val="00DD43BE"/>
    <w:rsid w:val="00EE34A0"/>
    <w:rsid w:val="00EF1953"/>
    <w:rsid w:val="00F0410B"/>
    <w:rsid w:val="00F3083E"/>
    <w:rsid w:val="00F445F4"/>
    <w:rsid w:val="00F64DB6"/>
    <w:rsid w:val="00F65234"/>
    <w:rsid w:val="00FE0BED"/>
    <w:rsid w:val="00FF77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E7D8A-571B-40FB-BD0F-885821F6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A5"/>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045A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AA5"/>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045AA5"/>
    <w:pPr>
      <w:ind w:left="720"/>
      <w:contextualSpacing/>
    </w:pPr>
  </w:style>
  <w:style w:type="paragraph" w:styleId="FootnoteText">
    <w:name w:val="footnote text"/>
    <w:basedOn w:val="Normal"/>
    <w:link w:val="FootnoteTextChar"/>
    <w:uiPriority w:val="99"/>
    <w:unhideWhenUsed/>
    <w:rsid w:val="00045AA5"/>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045AA5"/>
    <w:rPr>
      <w:rFonts w:ascii="Arial" w:hAnsi="Arial" w:cs="Arial"/>
      <w:sz w:val="20"/>
      <w:szCs w:val="20"/>
      <w:lang w:val="en-GB"/>
    </w:rPr>
  </w:style>
  <w:style w:type="character" w:styleId="FootnoteReference">
    <w:name w:val="footnote reference"/>
    <w:basedOn w:val="DefaultParagraphFont"/>
    <w:uiPriority w:val="99"/>
    <w:semiHidden/>
    <w:unhideWhenUsed/>
    <w:rsid w:val="00045AA5"/>
    <w:rPr>
      <w:vertAlign w:val="superscript"/>
    </w:rPr>
  </w:style>
  <w:style w:type="numbering" w:customStyle="1" w:styleId="Style3">
    <w:name w:val="Style3"/>
    <w:rsid w:val="00045AA5"/>
    <w:pPr>
      <w:numPr>
        <w:numId w:val="2"/>
      </w:numPr>
    </w:pPr>
  </w:style>
  <w:style w:type="paragraph" w:styleId="NormalWeb">
    <w:name w:val="Normal (Web)"/>
    <w:basedOn w:val="Normal"/>
    <w:uiPriority w:val="99"/>
    <w:unhideWhenUsed/>
    <w:rsid w:val="00045AA5"/>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045AA5"/>
    <w:pPr>
      <w:tabs>
        <w:tab w:val="center" w:pos="4513"/>
        <w:tab w:val="right" w:pos="9026"/>
      </w:tabs>
    </w:pPr>
  </w:style>
  <w:style w:type="character" w:customStyle="1" w:styleId="HeaderChar">
    <w:name w:val="Header Char"/>
    <w:basedOn w:val="DefaultParagraphFont"/>
    <w:link w:val="Header"/>
    <w:uiPriority w:val="99"/>
    <w:rsid w:val="00045AA5"/>
    <w:rPr>
      <w:rFonts w:ascii="Verdana" w:eastAsia="Times New Roman" w:hAnsi="Verdana" w:cs="Times New Roman"/>
      <w:sz w:val="20"/>
      <w:szCs w:val="20"/>
      <w:lang w:val="en-GB" w:eastAsia="en-GB"/>
    </w:rPr>
  </w:style>
  <w:style w:type="character" w:styleId="Hyperlink">
    <w:name w:val="Hyperlink"/>
    <w:basedOn w:val="DefaultParagraphFont"/>
    <w:uiPriority w:val="99"/>
    <w:unhideWhenUsed/>
    <w:rsid w:val="00045AA5"/>
    <w:rPr>
      <w:color w:val="0000FF"/>
      <w:u w:val="single"/>
    </w:rPr>
  </w:style>
  <w:style w:type="character" w:styleId="Emphasis">
    <w:name w:val="Emphasis"/>
    <w:basedOn w:val="DefaultParagraphFont"/>
    <w:uiPriority w:val="20"/>
    <w:qFormat/>
    <w:rsid w:val="00045AA5"/>
    <w:rPr>
      <w:i/>
      <w:iCs/>
    </w:rPr>
  </w:style>
  <w:style w:type="paragraph" w:styleId="BalloonText">
    <w:name w:val="Balloon Text"/>
    <w:basedOn w:val="Normal"/>
    <w:link w:val="BalloonTextChar"/>
    <w:uiPriority w:val="99"/>
    <w:semiHidden/>
    <w:unhideWhenUsed/>
    <w:rsid w:val="00045AA5"/>
    <w:rPr>
      <w:rFonts w:ascii="Tahoma" w:hAnsi="Tahoma" w:cs="Tahoma"/>
      <w:sz w:val="16"/>
      <w:szCs w:val="16"/>
    </w:rPr>
  </w:style>
  <w:style w:type="character" w:customStyle="1" w:styleId="BalloonTextChar">
    <w:name w:val="Balloon Text Char"/>
    <w:basedOn w:val="DefaultParagraphFont"/>
    <w:link w:val="BalloonText"/>
    <w:uiPriority w:val="99"/>
    <w:semiHidden/>
    <w:rsid w:val="00045AA5"/>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45AA5"/>
    <w:pPr>
      <w:tabs>
        <w:tab w:val="center" w:pos="4513"/>
        <w:tab w:val="right" w:pos="9026"/>
      </w:tabs>
    </w:pPr>
  </w:style>
  <w:style w:type="character" w:customStyle="1" w:styleId="FooterChar">
    <w:name w:val="Footer Char"/>
    <w:basedOn w:val="DefaultParagraphFont"/>
    <w:link w:val="Footer"/>
    <w:uiPriority w:val="99"/>
    <w:rsid w:val="00045AA5"/>
    <w:rPr>
      <w:rFonts w:ascii="Verdana" w:eastAsia="Times New Roman" w:hAnsi="Verdana" w:cs="Times New Roman"/>
      <w:sz w:val="20"/>
      <w:szCs w:val="20"/>
      <w:lang w:val="en-GB" w:eastAsia="en-GB"/>
    </w:rPr>
  </w:style>
  <w:style w:type="character" w:styleId="Strong">
    <w:name w:val="Strong"/>
    <w:basedOn w:val="DefaultParagraphFont"/>
    <w:uiPriority w:val="22"/>
    <w:qFormat/>
    <w:rsid w:val="00F0410B"/>
    <w:rPr>
      <w:b/>
      <w:bCs/>
    </w:rPr>
  </w:style>
  <w:style w:type="character" w:styleId="FollowedHyperlink">
    <w:name w:val="FollowedHyperlink"/>
    <w:basedOn w:val="DefaultParagraphFont"/>
    <w:uiPriority w:val="99"/>
    <w:semiHidden/>
    <w:unhideWhenUsed/>
    <w:rsid w:val="005A1E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llinsdictionary.com/dictionary/english/buy" TargetMode="External"/><Relationship Id="rId4" Type="http://schemas.openxmlformats.org/officeDocument/2006/relationships/settings" Target="settings.xml"/><Relationship Id="rId9" Type="http://schemas.openxmlformats.org/officeDocument/2006/relationships/hyperlink" Target="https://www.lawinsider.com/dictionary/conduct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llinsdictionary.com/dictionary/english/financial-transaction" TargetMode="External"/><Relationship Id="rId3" Type="http://schemas.openxmlformats.org/officeDocument/2006/relationships/hyperlink" Target="http://www.saflii.org/cgi-bin/LawCite?cit=%5b2012%5d%202%20All%20SA%20262" TargetMode="External"/><Relationship Id="rId7" Type="http://schemas.openxmlformats.org/officeDocument/2006/relationships/hyperlink" Target="https://www.oxfordlearnersdictionaries.com/definition/american_english/transaction" TargetMode="External"/><Relationship Id="rId2" Type="http://schemas.openxmlformats.org/officeDocument/2006/relationships/hyperlink" Target="http://www.saflii.org/cgi-bin/LawCite?cit=%5b2012%5d%20ZASCA%2013" TargetMode="External"/><Relationship Id="rId1" Type="http://schemas.openxmlformats.org/officeDocument/2006/relationships/hyperlink" Target="http://www.saflii.org/cgi-bin/LawCite?cit=2012%20%284%29%20SA%20593" TargetMode="External"/><Relationship Id="rId6" Type="http://schemas.openxmlformats.org/officeDocument/2006/relationships/hyperlink" Target="https://www.google.com/search?rlz=1C1CHBD_enZA910ZA910&amp;q=Conduct+meaning&amp;sa=X&amp;ved=2ahUKEwiiz6v3-tL5AhVDmqQKHd-KDrAQ1QJ6BAgyEAE&amp;biw=1280&amp;bih=913&amp;dpr=1" TargetMode="External"/><Relationship Id="rId5" Type="http://schemas.openxmlformats.org/officeDocument/2006/relationships/hyperlink" Target="https://www.lawinsider.com/dictionary/conducting" TargetMode="External"/><Relationship Id="rId4" Type="http://schemas.openxmlformats.org/officeDocument/2006/relationships/hyperlink" Target="http://www.saflii.org/cgi-bin/LawCite?cit=2012%20%284%29%20SA%20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6CD7-3339-4BA0-A4D8-07EDBD77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6387</Words>
  <Characters>36411</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42713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Lazarus Rakgwale</cp:lastModifiedBy>
  <cp:revision>2</cp:revision>
  <cp:lastPrinted>2022-08-22T05:46:00Z</cp:lastPrinted>
  <dcterms:created xsi:type="dcterms:W3CDTF">2022-08-25T09:16:00Z</dcterms:created>
  <dcterms:modified xsi:type="dcterms:W3CDTF">2022-08-25T09:16:00Z</dcterms:modified>
</cp:coreProperties>
</file>