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474" w:rsidRPr="003E4474" w:rsidRDefault="003E4474" w:rsidP="003E4474">
      <w:pPr>
        <w:spacing w:after="0" w:line="360" w:lineRule="auto"/>
        <w:ind w:leftChars="-38" w:left="-84"/>
        <w:jc w:val="center"/>
        <w:rPr>
          <w:rFonts w:ascii="Arial" w:eastAsia="Times New Roman" w:hAnsi="Arial" w:cs="Arial"/>
          <w:b/>
          <w:kern w:val="28"/>
          <w:sz w:val="24"/>
          <w:szCs w:val="24"/>
          <w:lang w:eastAsia="en-GB"/>
        </w:rPr>
      </w:pPr>
    </w:p>
    <w:p w:rsidR="003E4474" w:rsidRPr="003E4474" w:rsidRDefault="003E4474" w:rsidP="003E4474">
      <w:pPr>
        <w:spacing w:after="0" w:line="360" w:lineRule="auto"/>
        <w:ind w:leftChars="-38" w:left="-84"/>
        <w:jc w:val="center"/>
        <w:rPr>
          <w:rFonts w:ascii="Arial" w:eastAsia="Times New Roman" w:hAnsi="Arial" w:cs="Arial"/>
          <w:b/>
          <w:kern w:val="28"/>
          <w:sz w:val="24"/>
          <w:szCs w:val="24"/>
          <w:lang w:eastAsia="en-GB"/>
        </w:rPr>
      </w:pPr>
      <w:r w:rsidRPr="003E4474">
        <w:rPr>
          <w:rFonts w:ascii="Arial" w:eastAsia="Times New Roman" w:hAnsi="Arial" w:cs="Arial"/>
          <w:b/>
          <w:kern w:val="28"/>
          <w:sz w:val="24"/>
          <w:szCs w:val="24"/>
          <w:lang w:eastAsia="en-GB"/>
        </w:rPr>
        <w:t>REPUBLIC OF SOUTH AFRICA</w:t>
      </w:r>
    </w:p>
    <w:p w:rsidR="003E4474" w:rsidRPr="003E4474" w:rsidRDefault="003E4474" w:rsidP="003E4474">
      <w:pPr>
        <w:spacing w:after="0" w:line="360" w:lineRule="auto"/>
        <w:ind w:leftChars="-38" w:left="-84"/>
        <w:jc w:val="center"/>
        <w:rPr>
          <w:rFonts w:ascii="Arial" w:eastAsia="Times New Roman" w:hAnsi="Arial" w:cs="Arial"/>
          <w:b/>
          <w:kern w:val="28"/>
          <w:sz w:val="24"/>
          <w:szCs w:val="24"/>
          <w:lang w:eastAsia="en-GB"/>
        </w:rPr>
      </w:pPr>
      <w:r w:rsidRPr="003E4474">
        <w:rPr>
          <w:rFonts w:ascii="Arial" w:eastAsia="Times New Roman" w:hAnsi="Arial" w:cs="Arial"/>
          <w:b/>
          <w:noProof/>
          <w:kern w:val="28"/>
          <w:sz w:val="24"/>
          <w:szCs w:val="24"/>
          <w:lang w:eastAsia="en-ZA"/>
        </w:rPr>
        <w:drawing>
          <wp:inline distT="0" distB="0" distL="0" distR="0" wp14:anchorId="772C3E10" wp14:editId="7755D3CF">
            <wp:extent cx="1400175"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rsidR="003E4474" w:rsidRPr="003E4474" w:rsidRDefault="003E4474" w:rsidP="003E4474">
      <w:pPr>
        <w:spacing w:after="0" w:line="360" w:lineRule="auto"/>
        <w:ind w:leftChars="-38" w:left="-84"/>
        <w:jc w:val="center"/>
        <w:rPr>
          <w:rFonts w:ascii="Arial" w:eastAsia="Times New Roman" w:hAnsi="Arial" w:cs="Arial"/>
          <w:b/>
          <w:kern w:val="28"/>
          <w:sz w:val="24"/>
          <w:szCs w:val="24"/>
          <w:lang w:eastAsia="en-GB"/>
        </w:rPr>
      </w:pPr>
      <w:r w:rsidRPr="003E4474">
        <w:rPr>
          <w:rFonts w:ascii="Arial" w:eastAsia="Times New Roman" w:hAnsi="Arial" w:cs="Arial"/>
          <w:b/>
          <w:kern w:val="28"/>
          <w:sz w:val="24"/>
          <w:szCs w:val="24"/>
          <w:lang w:eastAsia="en-GB"/>
        </w:rPr>
        <w:t>IN THE HIGH COURT OF SOUTH AFRICA</w:t>
      </w:r>
    </w:p>
    <w:p w:rsidR="003E4474" w:rsidRPr="003E4474" w:rsidRDefault="003E4474" w:rsidP="003E4474">
      <w:pPr>
        <w:spacing w:after="0" w:line="360" w:lineRule="auto"/>
        <w:ind w:leftChars="-38" w:left="-84"/>
        <w:jc w:val="center"/>
        <w:rPr>
          <w:rFonts w:ascii="Arial" w:eastAsia="Times New Roman" w:hAnsi="Arial" w:cs="Arial"/>
          <w:b/>
          <w:kern w:val="28"/>
          <w:sz w:val="24"/>
          <w:szCs w:val="24"/>
          <w:lang w:eastAsia="en-GB"/>
        </w:rPr>
      </w:pPr>
      <w:r w:rsidRPr="003E4474">
        <w:rPr>
          <w:rFonts w:ascii="Arial" w:eastAsia="Times New Roman" w:hAnsi="Arial" w:cs="Arial"/>
          <w:b/>
          <w:kern w:val="28"/>
          <w:sz w:val="24"/>
          <w:szCs w:val="24"/>
          <w:lang w:eastAsia="en-GB"/>
        </w:rPr>
        <w:t>GAUTENG LOCAL DIVISION, JOHANNESBURG</w:t>
      </w:r>
    </w:p>
    <w:p w:rsidR="003E4474" w:rsidRPr="003E4474" w:rsidRDefault="003E4474" w:rsidP="003E4474">
      <w:pPr>
        <w:widowControl w:val="0"/>
        <w:spacing w:after="0" w:line="240" w:lineRule="auto"/>
        <w:jc w:val="center"/>
        <w:rPr>
          <w:rFonts w:ascii="Arial" w:eastAsia="Times New Roman" w:hAnsi="Arial" w:cs="Arial"/>
          <w:kern w:val="28"/>
          <w:sz w:val="24"/>
          <w:szCs w:val="24"/>
          <w:lang w:eastAsia="en-GB"/>
        </w:rPr>
      </w:pPr>
    </w:p>
    <w:p w:rsidR="00F67259" w:rsidRPr="00F67259" w:rsidRDefault="00F67259" w:rsidP="00F67259">
      <w:pPr>
        <w:tabs>
          <w:tab w:val="left" w:pos="-720"/>
        </w:tabs>
        <w:suppressAutoHyphens/>
        <w:spacing w:after="0" w:line="240" w:lineRule="auto"/>
        <w:jc w:val="right"/>
        <w:rPr>
          <w:rFonts w:ascii="Arial" w:eastAsia="Times New Roman" w:hAnsi="Arial" w:cs="Arial"/>
          <w:b/>
          <w:kern w:val="28"/>
          <w:sz w:val="24"/>
          <w:szCs w:val="24"/>
          <w:lang w:eastAsia="en-GB"/>
        </w:rPr>
      </w:pPr>
      <w:r w:rsidRPr="00F67259">
        <w:rPr>
          <w:rFonts w:ascii="Arial" w:eastAsia="Times New Roman" w:hAnsi="Arial" w:cs="Arial"/>
          <w:b/>
          <w:kern w:val="28"/>
          <w:sz w:val="24"/>
          <w:szCs w:val="24"/>
          <w:lang w:eastAsia="en-GB"/>
        </w:rPr>
        <w:t>Case No</w:t>
      </w:r>
      <w:proofErr w:type="gramStart"/>
      <w:r w:rsidRPr="00F67259">
        <w:rPr>
          <w:rFonts w:ascii="Arial" w:eastAsia="Times New Roman" w:hAnsi="Arial" w:cs="Arial"/>
          <w:b/>
          <w:kern w:val="28"/>
          <w:sz w:val="24"/>
          <w:szCs w:val="24"/>
          <w:lang w:eastAsia="en-GB"/>
        </w:rPr>
        <w:t>:</w:t>
      </w:r>
      <w:r w:rsidR="00B10F35">
        <w:rPr>
          <w:rFonts w:ascii="Arial" w:eastAsia="Times New Roman" w:hAnsi="Arial" w:cs="Arial"/>
          <w:b/>
          <w:kern w:val="28"/>
          <w:sz w:val="24"/>
          <w:szCs w:val="24"/>
          <w:lang w:eastAsia="en-GB"/>
        </w:rPr>
        <w:t>42070</w:t>
      </w:r>
      <w:proofErr w:type="gramEnd"/>
      <w:r w:rsidRPr="00F67259">
        <w:rPr>
          <w:rFonts w:ascii="Arial" w:eastAsia="Times New Roman" w:hAnsi="Arial" w:cs="Arial"/>
          <w:b/>
          <w:kern w:val="28"/>
          <w:sz w:val="24"/>
          <w:szCs w:val="24"/>
          <w:lang w:eastAsia="en-GB"/>
        </w:rPr>
        <w:t>/2</w:t>
      </w:r>
      <w:r w:rsidR="00B10F35">
        <w:rPr>
          <w:rFonts w:ascii="Arial" w:eastAsia="Times New Roman" w:hAnsi="Arial" w:cs="Arial"/>
          <w:b/>
          <w:kern w:val="28"/>
          <w:sz w:val="24"/>
          <w:szCs w:val="24"/>
          <w:lang w:eastAsia="en-GB"/>
        </w:rPr>
        <w:t>1</w:t>
      </w:r>
    </w:p>
    <w:p w:rsidR="00F67259" w:rsidRPr="003E4474" w:rsidRDefault="00F67259" w:rsidP="00F67259">
      <w:pPr>
        <w:tabs>
          <w:tab w:val="left" w:pos="-720"/>
        </w:tabs>
        <w:suppressAutoHyphens/>
        <w:spacing w:after="0" w:line="240" w:lineRule="auto"/>
        <w:jc w:val="right"/>
        <w:rPr>
          <w:rFonts w:ascii="Arial" w:eastAsia="Times New Roman" w:hAnsi="Arial" w:cs="Arial"/>
          <w:b/>
          <w:bCs/>
          <w:spacing w:val="-3"/>
          <w:kern w:val="28"/>
          <w:sz w:val="24"/>
          <w:szCs w:val="24"/>
          <w:lang w:eastAsia="en-GB"/>
        </w:rPr>
      </w:pPr>
    </w:p>
    <w:tbl>
      <w:tblPr>
        <w:tblW w:w="5812"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3E4474" w:rsidRPr="003E4474" w:rsidTr="00E87C29">
        <w:trPr>
          <w:trHeight w:val="2528"/>
        </w:trPr>
        <w:tc>
          <w:tcPr>
            <w:tcW w:w="5812" w:type="dxa"/>
            <w:tcBorders>
              <w:top w:val="single" w:sz="4" w:space="0" w:color="auto"/>
              <w:left w:val="single" w:sz="4" w:space="0" w:color="auto"/>
              <w:bottom w:val="single" w:sz="4" w:space="0" w:color="auto"/>
              <w:right w:val="single" w:sz="4" w:space="0" w:color="auto"/>
            </w:tcBorders>
          </w:tcPr>
          <w:p w:rsidR="003E4474" w:rsidRPr="003E4474" w:rsidRDefault="003E4474" w:rsidP="003E4474">
            <w:pPr>
              <w:spacing w:after="0" w:line="240" w:lineRule="auto"/>
              <w:jc w:val="both"/>
              <w:rPr>
                <w:rFonts w:ascii="Arial" w:eastAsia="Times New Roman" w:hAnsi="Arial" w:cs="Arial"/>
                <w:kern w:val="28"/>
                <w:sz w:val="16"/>
                <w:szCs w:val="16"/>
                <w:lang w:eastAsia="en-GB"/>
              </w:rPr>
            </w:pPr>
          </w:p>
          <w:p w:rsidR="003E4474" w:rsidRPr="003E4474" w:rsidRDefault="003E4474" w:rsidP="003E4474">
            <w:pPr>
              <w:spacing w:after="0" w:line="240" w:lineRule="auto"/>
              <w:ind w:left="180"/>
              <w:jc w:val="center"/>
              <w:rPr>
                <w:rFonts w:ascii="Arial" w:eastAsia="Times New Roman" w:hAnsi="Arial" w:cs="Arial"/>
                <w:b/>
                <w:bCs/>
                <w:color w:val="FF0000"/>
                <w:kern w:val="28"/>
                <w:sz w:val="18"/>
                <w:szCs w:val="18"/>
                <w:u w:val="single"/>
                <w:lang w:eastAsia="en-GB"/>
              </w:rPr>
            </w:pPr>
            <w:r w:rsidRPr="003E4474">
              <w:rPr>
                <w:rFonts w:ascii="Arial" w:eastAsia="Times New Roman" w:hAnsi="Arial" w:cs="Arial"/>
                <w:b/>
                <w:bCs/>
                <w:color w:val="FF0000"/>
                <w:kern w:val="28"/>
                <w:sz w:val="18"/>
                <w:szCs w:val="18"/>
                <w:u w:val="single"/>
                <w:lang w:eastAsia="en-GB"/>
              </w:rPr>
              <w:t>DELETE WHICHEVER IS NOT APPLICABLE</w:t>
            </w:r>
          </w:p>
          <w:p w:rsidR="003E4474" w:rsidRPr="003E4474" w:rsidRDefault="003E4474" w:rsidP="003E4474">
            <w:pPr>
              <w:spacing w:after="0" w:line="240" w:lineRule="auto"/>
              <w:ind w:left="180"/>
              <w:jc w:val="center"/>
              <w:rPr>
                <w:rFonts w:ascii="Arial" w:eastAsia="Times New Roman" w:hAnsi="Arial" w:cs="Arial"/>
                <w:b/>
                <w:bCs/>
                <w:color w:val="FF0000"/>
                <w:kern w:val="28"/>
                <w:sz w:val="18"/>
                <w:szCs w:val="18"/>
                <w:u w:val="single"/>
                <w:lang w:eastAsia="en-GB"/>
              </w:rPr>
            </w:pPr>
          </w:p>
          <w:p w:rsidR="003E4474" w:rsidRPr="003E4474" w:rsidRDefault="003E4474" w:rsidP="003E4474">
            <w:pPr>
              <w:spacing w:after="0" w:line="480" w:lineRule="auto"/>
              <w:ind w:left="180"/>
              <w:jc w:val="both"/>
              <w:rPr>
                <w:rFonts w:ascii="Arial" w:eastAsia="Times New Roman" w:hAnsi="Arial" w:cs="Arial"/>
                <w:bCs/>
                <w:color w:val="FF0000"/>
                <w:kern w:val="28"/>
                <w:sz w:val="18"/>
                <w:szCs w:val="18"/>
                <w:lang w:eastAsia="en-GB"/>
              </w:rPr>
            </w:pPr>
            <w:r w:rsidRPr="003E4474">
              <w:rPr>
                <w:rFonts w:ascii="Arial" w:eastAsia="Times New Roman" w:hAnsi="Arial" w:cs="Arial"/>
                <w:bCs/>
                <w:color w:val="FF0000"/>
                <w:kern w:val="28"/>
                <w:sz w:val="18"/>
                <w:szCs w:val="18"/>
                <w:lang w:eastAsia="en-GB"/>
              </w:rPr>
              <w:t>1.REPORTABLE:                                                                   NO</w:t>
            </w:r>
          </w:p>
          <w:p w:rsidR="003E4474" w:rsidRPr="003E4474" w:rsidRDefault="003E4474" w:rsidP="003E4474">
            <w:pPr>
              <w:spacing w:after="0" w:line="480" w:lineRule="auto"/>
              <w:ind w:left="180"/>
              <w:jc w:val="both"/>
              <w:rPr>
                <w:rFonts w:ascii="Arial" w:eastAsia="Times New Roman" w:hAnsi="Arial" w:cs="Arial"/>
                <w:bCs/>
                <w:color w:val="FF0000"/>
                <w:kern w:val="28"/>
                <w:sz w:val="18"/>
                <w:szCs w:val="18"/>
                <w:lang w:eastAsia="en-GB"/>
              </w:rPr>
            </w:pPr>
            <w:r w:rsidRPr="003E4474">
              <w:rPr>
                <w:rFonts w:ascii="Arial" w:eastAsia="Times New Roman" w:hAnsi="Arial" w:cs="Arial"/>
                <w:bCs/>
                <w:color w:val="FF0000"/>
                <w:kern w:val="28"/>
                <w:sz w:val="18"/>
                <w:szCs w:val="18"/>
                <w:lang w:eastAsia="en-GB"/>
              </w:rPr>
              <w:t>2.OF INTEREST TO OTHER JUDGES:                                NO</w:t>
            </w:r>
          </w:p>
          <w:p w:rsidR="003E4474" w:rsidRPr="003E4474" w:rsidRDefault="003E4474" w:rsidP="003E4474">
            <w:pPr>
              <w:spacing w:after="0" w:line="480" w:lineRule="auto"/>
              <w:ind w:left="180"/>
              <w:jc w:val="both"/>
              <w:rPr>
                <w:rFonts w:ascii="Arial" w:eastAsia="Times New Roman" w:hAnsi="Arial" w:cs="Arial"/>
                <w:bCs/>
                <w:color w:val="FF0000"/>
                <w:kern w:val="28"/>
                <w:sz w:val="18"/>
                <w:szCs w:val="18"/>
                <w:lang w:eastAsia="en-GB"/>
              </w:rPr>
            </w:pPr>
            <w:r w:rsidRPr="003E4474">
              <w:rPr>
                <w:rFonts w:ascii="Arial" w:eastAsia="Times New Roman" w:hAnsi="Arial" w:cs="Arial"/>
                <w:bCs/>
                <w:color w:val="FF0000"/>
                <w:kern w:val="28"/>
                <w:sz w:val="18"/>
                <w:szCs w:val="18"/>
                <w:lang w:eastAsia="en-GB"/>
              </w:rPr>
              <w:t>3.REVISED                                                                            NO</w:t>
            </w:r>
          </w:p>
          <w:p w:rsidR="003E4474" w:rsidRPr="003E4474" w:rsidRDefault="003E4474" w:rsidP="003E4474">
            <w:pPr>
              <w:spacing w:after="0" w:line="360" w:lineRule="auto"/>
              <w:ind w:left="180"/>
              <w:jc w:val="both"/>
              <w:rPr>
                <w:rFonts w:ascii="Arial" w:eastAsia="Times New Roman" w:hAnsi="Arial" w:cs="Arial"/>
                <w:bCs/>
                <w:color w:val="FF0000"/>
                <w:kern w:val="28"/>
                <w:sz w:val="18"/>
                <w:szCs w:val="18"/>
                <w:lang w:eastAsia="en-GB"/>
              </w:rPr>
            </w:pPr>
          </w:p>
          <w:p w:rsidR="003E4474" w:rsidRPr="003E4474" w:rsidRDefault="00AD62D3" w:rsidP="003E4474">
            <w:pPr>
              <w:spacing w:after="0" w:line="360" w:lineRule="auto"/>
              <w:ind w:left="180"/>
              <w:jc w:val="both"/>
              <w:rPr>
                <w:rFonts w:ascii="Arial" w:eastAsia="Times New Roman" w:hAnsi="Arial" w:cs="Arial"/>
                <w:kern w:val="28"/>
                <w:sz w:val="16"/>
                <w:szCs w:val="16"/>
                <w:lang w:eastAsia="en-GB"/>
              </w:rPr>
            </w:pPr>
            <w:r>
              <w:rPr>
                <w:rFonts w:ascii="Arial" w:eastAsia="Times New Roman" w:hAnsi="Arial" w:cs="Arial"/>
                <w:b/>
                <w:bCs/>
                <w:color w:val="FF0000"/>
                <w:kern w:val="28"/>
                <w:sz w:val="18"/>
                <w:szCs w:val="18"/>
                <w:lang w:eastAsia="en-GB"/>
              </w:rPr>
              <w:t>11 August 2022</w:t>
            </w:r>
            <w:r w:rsidR="003E4474" w:rsidRPr="003E4474">
              <w:rPr>
                <w:rFonts w:ascii="Arial" w:eastAsia="Times New Roman" w:hAnsi="Arial" w:cs="Arial"/>
                <w:b/>
                <w:bCs/>
                <w:color w:val="FF0000"/>
                <w:kern w:val="28"/>
                <w:sz w:val="18"/>
                <w:szCs w:val="18"/>
                <w:lang w:eastAsia="en-GB"/>
              </w:rPr>
              <w:t xml:space="preserve">                              </w:t>
            </w:r>
            <w:r>
              <w:rPr>
                <w:rFonts w:ascii="Arial" w:eastAsia="Times New Roman" w:hAnsi="Arial" w:cs="Arial"/>
                <w:b/>
                <w:bCs/>
                <w:color w:val="FF0000"/>
                <w:kern w:val="28"/>
                <w:sz w:val="18"/>
                <w:szCs w:val="18"/>
                <w:lang w:eastAsia="en-GB"/>
              </w:rPr>
              <w:t xml:space="preserve">                       </w:t>
            </w:r>
            <w:r w:rsidR="004B3AA4">
              <w:rPr>
                <w:rFonts w:ascii="Arial" w:eastAsia="Times New Roman" w:hAnsi="Arial" w:cs="Arial"/>
                <w:b/>
                <w:bCs/>
                <w:color w:val="FF0000"/>
                <w:kern w:val="28"/>
                <w:sz w:val="18"/>
                <w:szCs w:val="18"/>
                <w:lang w:eastAsia="en-GB"/>
              </w:rPr>
              <w:t xml:space="preserve"> </w:t>
            </w:r>
            <w:r w:rsidR="003E4474" w:rsidRPr="003E4474">
              <w:rPr>
                <w:rFonts w:ascii="Arial" w:eastAsia="Times New Roman" w:hAnsi="Arial" w:cs="Arial"/>
                <w:b/>
                <w:bCs/>
                <w:color w:val="FF0000"/>
                <w:kern w:val="28"/>
                <w:sz w:val="18"/>
                <w:szCs w:val="18"/>
                <w:lang w:eastAsia="en-GB"/>
              </w:rPr>
              <w:t xml:space="preserve">Judge </w:t>
            </w:r>
            <w:proofErr w:type="spellStart"/>
            <w:r w:rsidR="003E4474" w:rsidRPr="003E4474">
              <w:rPr>
                <w:rFonts w:ascii="Arial" w:eastAsia="Times New Roman" w:hAnsi="Arial" w:cs="Arial"/>
                <w:b/>
                <w:bCs/>
                <w:color w:val="FF0000"/>
                <w:kern w:val="28"/>
                <w:sz w:val="18"/>
                <w:szCs w:val="18"/>
                <w:lang w:eastAsia="en-GB"/>
              </w:rPr>
              <w:t>Dippenaar</w:t>
            </w:r>
            <w:proofErr w:type="spellEnd"/>
          </w:p>
        </w:tc>
      </w:tr>
    </w:tbl>
    <w:p w:rsidR="003E4474" w:rsidRPr="003E4474" w:rsidRDefault="003E4474" w:rsidP="003E4474">
      <w:pPr>
        <w:tabs>
          <w:tab w:val="left" w:pos="-720"/>
        </w:tabs>
        <w:suppressAutoHyphens/>
        <w:spacing w:after="0" w:line="240" w:lineRule="auto"/>
        <w:rPr>
          <w:rFonts w:ascii="Arial" w:eastAsia="Times New Roman" w:hAnsi="Arial" w:cs="Arial"/>
          <w:bCs/>
          <w:spacing w:val="-3"/>
          <w:kern w:val="28"/>
          <w:sz w:val="24"/>
          <w:szCs w:val="24"/>
          <w:lang w:eastAsia="en-GB"/>
        </w:rPr>
      </w:pPr>
    </w:p>
    <w:p w:rsidR="003E4474" w:rsidRPr="003E4474" w:rsidRDefault="003E4474" w:rsidP="003E4474">
      <w:pPr>
        <w:tabs>
          <w:tab w:val="left" w:pos="-720"/>
        </w:tabs>
        <w:suppressAutoHyphens/>
        <w:spacing w:after="0" w:line="240" w:lineRule="auto"/>
        <w:rPr>
          <w:rFonts w:ascii="Arial" w:eastAsia="Times New Roman" w:hAnsi="Arial" w:cs="Arial"/>
          <w:bCs/>
          <w:spacing w:val="-3"/>
          <w:kern w:val="28"/>
          <w:sz w:val="24"/>
          <w:szCs w:val="24"/>
          <w:lang w:eastAsia="en-GB"/>
        </w:rPr>
      </w:pPr>
    </w:p>
    <w:p w:rsidR="003E4474" w:rsidRPr="003E4474" w:rsidRDefault="003E4474" w:rsidP="003E4474">
      <w:pPr>
        <w:tabs>
          <w:tab w:val="left" w:pos="-720"/>
        </w:tabs>
        <w:suppressAutoHyphens/>
        <w:spacing w:after="0" w:line="240" w:lineRule="auto"/>
        <w:rPr>
          <w:rFonts w:ascii="Arial" w:eastAsia="Times New Roman" w:hAnsi="Arial" w:cs="Arial"/>
          <w:bCs/>
          <w:spacing w:val="-3"/>
          <w:kern w:val="28"/>
          <w:sz w:val="24"/>
          <w:szCs w:val="24"/>
          <w:lang w:eastAsia="en-GB"/>
        </w:rPr>
      </w:pPr>
    </w:p>
    <w:p w:rsidR="003E4474" w:rsidRPr="003E4474" w:rsidRDefault="003E4474" w:rsidP="003E4474">
      <w:pPr>
        <w:tabs>
          <w:tab w:val="left" w:pos="-720"/>
        </w:tabs>
        <w:suppressAutoHyphens/>
        <w:spacing w:after="0" w:line="240" w:lineRule="auto"/>
        <w:rPr>
          <w:rFonts w:ascii="Arial" w:eastAsia="Times New Roman" w:hAnsi="Arial" w:cs="Arial"/>
          <w:bCs/>
          <w:spacing w:val="-3"/>
          <w:kern w:val="28"/>
          <w:sz w:val="24"/>
          <w:szCs w:val="24"/>
          <w:lang w:eastAsia="en-GB"/>
        </w:rPr>
      </w:pPr>
      <w:r w:rsidRPr="003E4474">
        <w:rPr>
          <w:rFonts w:ascii="Arial" w:eastAsia="Times New Roman" w:hAnsi="Arial" w:cs="Arial"/>
          <w:bCs/>
          <w:spacing w:val="-3"/>
          <w:kern w:val="28"/>
          <w:sz w:val="24"/>
          <w:szCs w:val="24"/>
          <w:lang w:eastAsia="en-GB"/>
        </w:rPr>
        <w:t>In the matter between:</w:t>
      </w:r>
    </w:p>
    <w:p w:rsidR="003E4474" w:rsidRPr="003E4474" w:rsidRDefault="003E4474" w:rsidP="003E4474">
      <w:pPr>
        <w:tabs>
          <w:tab w:val="left" w:pos="-720"/>
        </w:tabs>
        <w:suppressAutoHyphens/>
        <w:spacing w:after="0" w:line="240" w:lineRule="auto"/>
        <w:rPr>
          <w:rFonts w:ascii="Arial" w:eastAsia="Times New Roman" w:hAnsi="Arial" w:cs="Arial"/>
          <w:bCs/>
          <w:spacing w:val="-3"/>
          <w:kern w:val="28"/>
          <w:sz w:val="24"/>
          <w:szCs w:val="24"/>
          <w:lang w:eastAsia="en-GB"/>
        </w:rPr>
      </w:pPr>
    </w:p>
    <w:p w:rsidR="00F67259" w:rsidRDefault="00B10F35" w:rsidP="004B3AA4">
      <w:pPr>
        <w:widowControl w:val="0"/>
        <w:tabs>
          <w:tab w:val="right" w:pos="9356"/>
        </w:tabs>
        <w:spacing w:after="0" w:line="240" w:lineRule="auto"/>
        <w:jc w:val="both"/>
        <w:rPr>
          <w:rFonts w:ascii="Arial" w:eastAsia="Calibri" w:hAnsi="Arial" w:cs="Arial"/>
          <w:bCs/>
          <w:sz w:val="24"/>
          <w:szCs w:val="24"/>
          <w:lang w:val="en-US"/>
        </w:rPr>
      </w:pPr>
      <w:r>
        <w:rPr>
          <w:rFonts w:ascii="Arial" w:eastAsia="Calibri" w:hAnsi="Arial" w:cs="Arial"/>
          <w:b/>
          <w:bCs/>
          <w:sz w:val="24"/>
          <w:szCs w:val="24"/>
          <w:lang w:val="en-US"/>
        </w:rPr>
        <w:t>OBED BAPELA NO</w:t>
      </w:r>
      <w:r w:rsidR="00F67259">
        <w:rPr>
          <w:rFonts w:ascii="Arial" w:eastAsia="Calibri" w:hAnsi="Arial" w:cs="Arial"/>
          <w:b/>
          <w:bCs/>
          <w:sz w:val="24"/>
          <w:szCs w:val="24"/>
          <w:lang w:val="en-US"/>
        </w:rPr>
        <w:t xml:space="preserve"> </w:t>
      </w:r>
      <w:r w:rsidR="00F67259">
        <w:rPr>
          <w:rFonts w:ascii="Arial" w:eastAsia="Calibri" w:hAnsi="Arial" w:cs="Arial"/>
          <w:b/>
          <w:bCs/>
          <w:sz w:val="24"/>
          <w:szCs w:val="24"/>
          <w:lang w:val="en-US"/>
        </w:rPr>
        <w:tab/>
      </w:r>
      <w:r w:rsidRPr="00B10F35">
        <w:rPr>
          <w:rFonts w:ascii="Arial" w:eastAsia="Calibri" w:hAnsi="Arial" w:cs="Arial"/>
          <w:bCs/>
          <w:sz w:val="24"/>
          <w:szCs w:val="24"/>
          <w:lang w:val="en-US"/>
        </w:rPr>
        <w:t xml:space="preserve">First </w:t>
      </w:r>
      <w:r w:rsidR="00F67259" w:rsidRPr="00F67259">
        <w:rPr>
          <w:rFonts w:ascii="Arial" w:eastAsia="Calibri" w:hAnsi="Arial" w:cs="Arial"/>
          <w:bCs/>
          <w:sz w:val="24"/>
          <w:szCs w:val="24"/>
          <w:lang w:val="en-US"/>
        </w:rPr>
        <w:t>Applicant</w:t>
      </w:r>
    </w:p>
    <w:p w:rsidR="00B10F35" w:rsidRDefault="00B10F35" w:rsidP="004B3AA4">
      <w:pPr>
        <w:widowControl w:val="0"/>
        <w:tabs>
          <w:tab w:val="right" w:pos="9356"/>
        </w:tabs>
        <w:spacing w:after="0" w:line="240" w:lineRule="auto"/>
        <w:jc w:val="both"/>
        <w:rPr>
          <w:rFonts w:ascii="Arial" w:eastAsia="Calibri" w:hAnsi="Arial" w:cs="Arial"/>
          <w:bCs/>
          <w:sz w:val="24"/>
          <w:szCs w:val="24"/>
          <w:lang w:val="en-US"/>
        </w:rPr>
      </w:pPr>
      <w:r>
        <w:rPr>
          <w:rFonts w:ascii="Arial" w:eastAsia="Calibri" w:hAnsi="Arial" w:cs="Arial"/>
          <w:bCs/>
          <w:sz w:val="24"/>
          <w:szCs w:val="24"/>
          <w:lang w:val="en-US"/>
        </w:rPr>
        <w:t xml:space="preserve">(In his capacity as Trustee of </w:t>
      </w:r>
      <w:proofErr w:type="spellStart"/>
      <w:r>
        <w:rPr>
          <w:rFonts w:ascii="Arial" w:eastAsia="Calibri" w:hAnsi="Arial" w:cs="Arial"/>
          <w:bCs/>
          <w:sz w:val="24"/>
          <w:szCs w:val="24"/>
          <w:lang w:val="en-US"/>
        </w:rPr>
        <w:t>Zonkizizwe</w:t>
      </w:r>
      <w:proofErr w:type="spellEnd"/>
    </w:p>
    <w:p w:rsidR="00B10F35" w:rsidRDefault="00B10F35" w:rsidP="004B3AA4">
      <w:pPr>
        <w:widowControl w:val="0"/>
        <w:tabs>
          <w:tab w:val="right" w:pos="9356"/>
        </w:tabs>
        <w:spacing w:after="0" w:line="240" w:lineRule="auto"/>
        <w:jc w:val="both"/>
        <w:rPr>
          <w:rFonts w:ascii="Arial" w:eastAsia="Calibri" w:hAnsi="Arial" w:cs="Arial"/>
          <w:bCs/>
          <w:sz w:val="24"/>
          <w:szCs w:val="24"/>
          <w:lang w:val="en-US"/>
        </w:rPr>
      </w:pPr>
      <w:r>
        <w:rPr>
          <w:rFonts w:ascii="Arial" w:eastAsia="Calibri" w:hAnsi="Arial" w:cs="Arial"/>
          <w:bCs/>
          <w:sz w:val="24"/>
          <w:szCs w:val="24"/>
          <w:lang w:val="en-US"/>
        </w:rPr>
        <w:t>Investment Trust IT NO 9170/02)</w:t>
      </w:r>
    </w:p>
    <w:p w:rsidR="00B10F35" w:rsidRDefault="00B10F35" w:rsidP="004B3AA4">
      <w:pPr>
        <w:widowControl w:val="0"/>
        <w:tabs>
          <w:tab w:val="right" w:pos="9356"/>
        </w:tabs>
        <w:spacing w:after="0" w:line="240" w:lineRule="auto"/>
        <w:jc w:val="both"/>
        <w:rPr>
          <w:rFonts w:ascii="Arial" w:eastAsia="Calibri" w:hAnsi="Arial" w:cs="Arial"/>
          <w:bCs/>
          <w:sz w:val="24"/>
          <w:szCs w:val="24"/>
          <w:lang w:val="en-US"/>
        </w:rPr>
      </w:pPr>
    </w:p>
    <w:p w:rsidR="00B10F35" w:rsidRPr="00F67259" w:rsidRDefault="00B10F35" w:rsidP="00B10F35">
      <w:pPr>
        <w:widowControl w:val="0"/>
        <w:tabs>
          <w:tab w:val="right" w:pos="9356"/>
        </w:tabs>
        <w:spacing w:after="0" w:line="240" w:lineRule="auto"/>
        <w:jc w:val="both"/>
        <w:rPr>
          <w:rFonts w:ascii="Arial" w:eastAsia="Calibri" w:hAnsi="Arial" w:cs="Arial"/>
          <w:bCs/>
          <w:sz w:val="24"/>
          <w:szCs w:val="24"/>
          <w:lang w:val="en-US"/>
        </w:rPr>
      </w:pPr>
      <w:r>
        <w:rPr>
          <w:rFonts w:ascii="Arial" w:eastAsia="Calibri" w:hAnsi="Arial" w:cs="Arial"/>
          <w:b/>
          <w:bCs/>
          <w:sz w:val="24"/>
          <w:szCs w:val="24"/>
          <w:lang w:val="en-US"/>
        </w:rPr>
        <w:t xml:space="preserve">ZONKEZIZWE INVESTMENT (PTY) LTD </w:t>
      </w:r>
      <w:r>
        <w:rPr>
          <w:rFonts w:ascii="Arial" w:eastAsia="Calibri" w:hAnsi="Arial" w:cs="Arial"/>
          <w:b/>
          <w:bCs/>
          <w:sz w:val="24"/>
          <w:szCs w:val="24"/>
          <w:lang w:val="en-US"/>
        </w:rPr>
        <w:tab/>
      </w:r>
      <w:r w:rsidRPr="00B10F35">
        <w:rPr>
          <w:rFonts w:ascii="Arial" w:eastAsia="Calibri" w:hAnsi="Arial" w:cs="Arial"/>
          <w:bCs/>
          <w:sz w:val="24"/>
          <w:szCs w:val="24"/>
          <w:lang w:val="en-US"/>
        </w:rPr>
        <w:t xml:space="preserve">Second </w:t>
      </w:r>
      <w:r w:rsidRPr="00F67259">
        <w:rPr>
          <w:rFonts w:ascii="Arial" w:eastAsia="Calibri" w:hAnsi="Arial" w:cs="Arial"/>
          <w:bCs/>
          <w:sz w:val="24"/>
          <w:szCs w:val="24"/>
          <w:lang w:val="en-US"/>
        </w:rPr>
        <w:t>Applicant</w:t>
      </w:r>
    </w:p>
    <w:p w:rsidR="00B10F35" w:rsidRPr="00F67259" w:rsidRDefault="00B10F35" w:rsidP="004B3AA4">
      <w:pPr>
        <w:widowControl w:val="0"/>
        <w:tabs>
          <w:tab w:val="right" w:pos="9356"/>
        </w:tabs>
        <w:spacing w:after="0" w:line="240" w:lineRule="auto"/>
        <w:jc w:val="both"/>
        <w:rPr>
          <w:rFonts w:ascii="Arial" w:eastAsia="Calibri" w:hAnsi="Arial" w:cs="Arial"/>
          <w:bCs/>
          <w:sz w:val="24"/>
          <w:szCs w:val="24"/>
          <w:lang w:val="en-US"/>
        </w:rPr>
      </w:pPr>
    </w:p>
    <w:p w:rsidR="003B7F1D" w:rsidRPr="00B64B92" w:rsidRDefault="003B7F1D" w:rsidP="004B3AA4">
      <w:pPr>
        <w:widowControl w:val="0"/>
        <w:tabs>
          <w:tab w:val="right" w:pos="9356"/>
        </w:tabs>
        <w:spacing w:after="0" w:line="240" w:lineRule="auto"/>
        <w:jc w:val="both"/>
        <w:rPr>
          <w:rFonts w:ascii="Arial" w:eastAsia="Calibri" w:hAnsi="Arial" w:cs="Arial"/>
          <w:bCs/>
          <w:sz w:val="24"/>
          <w:szCs w:val="24"/>
          <w:lang w:val="en-US"/>
        </w:rPr>
      </w:pPr>
      <w:r w:rsidRPr="00B64B92">
        <w:rPr>
          <w:rFonts w:ascii="Arial" w:eastAsia="Calibri" w:hAnsi="Arial" w:cs="Arial"/>
          <w:bCs/>
          <w:sz w:val="24"/>
          <w:szCs w:val="24"/>
          <w:lang w:val="en-US"/>
        </w:rPr>
        <w:tab/>
      </w:r>
    </w:p>
    <w:p w:rsidR="004B3AA4" w:rsidRDefault="003B7F1D" w:rsidP="003B7F1D">
      <w:pPr>
        <w:widowControl w:val="0"/>
        <w:tabs>
          <w:tab w:val="right" w:pos="9356"/>
        </w:tabs>
        <w:spacing w:after="0" w:line="240" w:lineRule="auto"/>
        <w:jc w:val="both"/>
        <w:rPr>
          <w:rFonts w:ascii="Arial" w:eastAsia="Calibri" w:hAnsi="Arial" w:cs="Arial"/>
          <w:b/>
          <w:bCs/>
          <w:sz w:val="24"/>
          <w:szCs w:val="24"/>
          <w:lang w:val="en-US"/>
        </w:rPr>
      </w:pPr>
      <w:r w:rsidRPr="003B7F1D">
        <w:rPr>
          <w:rFonts w:ascii="Arial" w:eastAsia="Calibri" w:hAnsi="Arial" w:cs="Arial"/>
          <w:b/>
          <w:bCs/>
          <w:sz w:val="24"/>
          <w:szCs w:val="24"/>
          <w:lang w:val="en-US"/>
        </w:rPr>
        <w:t>And</w:t>
      </w:r>
    </w:p>
    <w:p w:rsidR="003B7F1D" w:rsidRPr="003B7F1D" w:rsidRDefault="003B7F1D" w:rsidP="003B7F1D">
      <w:pPr>
        <w:widowControl w:val="0"/>
        <w:tabs>
          <w:tab w:val="right" w:pos="9356"/>
        </w:tabs>
        <w:spacing w:after="0" w:line="240" w:lineRule="auto"/>
        <w:jc w:val="both"/>
        <w:rPr>
          <w:rFonts w:ascii="Arial" w:eastAsia="Calibri" w:hAnsi="Arial" w:cs="Arial"/>
          <w:b/>
          <w:bCs/>
          <w:sz w:val="24"/>
          <w:szCs w:val="24"/>
          <w:lang w:val="en-US"/>
        </w:rPr>
      </w:pPr>
      <w:r w:rsidRPr="003B7F1D">
        <w:rPr>
          <w:rFonts w:ascii="Arial" w:eastAsia="Calibri" w:hAnsi="Arial" w:cs="Arial"/>
          <w:b/>
          <w:bCs/>
          <w:sz w:val="24"/>
          <w:szCs w:val="24"/>
          <w:lang w:val="en-US"/>
        </w:rPr>
        <w:tab/>
      </w:r>
    </w:p>
    <w:p w:rsidR="003B7F1D" w:rsidRDefault="00B10F35" w:rsidP="00F67259">
      <w:pPr>
        <w:widowControl w:val="0"/>
        <w:tabs>
          <w:tab w:val="right" w:pos="9356"/>
        </w:tabs>
        <w:spacing w:after="0" w:line="240" w:lineRule="auto"/>
        <w:jc w:val="both"/>
        <w:rPr>
          <w:rFonts w:ascii="Arial" w:eastAsia="Calibri" w:hAnsi="Arial" w:cs="Arial"/>
          <w:bCs/>
          <w:sz w:val="24"/>
          <w:szCs w:val="24"/>
          <w:lang w:val="en-US"/>
        </w:rPr>
      </w:pPr>
      <w:r>
        <w:rPr>
          <w:rFonts w:ascii="Arial" w:eastAsia="Calibri" w:hAnsi="Arial" w:cs="Arial"/>
          <w:b/>
          <w:bCs/>
          <w:sz w:val="24"/>
          <w:szCs w:val="24"/>
          <w:lang w:val="en-US"/>
        </w:rPr>
        <w:t>GLADSONE REUBEN NO</w:t>
      </w:r>
      <w:r w:rsidR="00F67259">
        <w:rPr>
          <w:rFonts w:ascii="Arial" w:eastAsia="Calibri" w:hAnsi="Arial" w:cs="Arial"/>
          <w:b/>
          <w:bCs/>
          <w:sz w:val="24"/>
          <w:szCs w:val="24"/>
          <w:lang w:val="en-US"/>
        </w:rPr>
        <w:t xml:space="preserve"> </w:t>
      </w:r>
      <w:r w:rsidR="00F67259">
        <w:rPr>
          <w:rFonts w:ascii="Arial" w:eastAsia="Calibri" w:hAnsi="Arial" w:cs="Arial"/>
          <w:b/>
          <w:bCs/>
          <w:sz w:val="24"/>
          <w:szCs w:val="24"/>
          <w:lang w:val="en-US"/>
        </w:rPr>
        <w:tab/>
      </w:r>
      <w:r w:rsidRPr="00B10F35">
        <w:rPr>
          <w:rFonts w:ascii="Arial" w:eastAsia="Calibri" w:hAnsi="Arial" w:cs="Arial"/>
          <w:bCs/>
          <w:sz w:val="24"/>
          <w:szCs w:val="24"/>
          <w:lang w:val="en-US"/>
        </w:rPr>
        <w:t xml:space="preserve">First </w:t>
      </w:r>
      <w:r w:rsidR="00F67259" w:rsidRPr="00F67259">
        <w:rPr>
          <w:rFonts w:ascii="Arial" w:eastAsia="Calibri" w:hAnsi="Arial" w:cs="Arial"/>
          <w:bCs/>
          <w:sz w:val="24"/>
          <w:szCs w:val="24"/>
          <w:lang w:val="en-US"/>
        </w:rPr>
        <w:t>Respondent</w:t>
      </w:r>
    </w:p>
    <w:p w:rsidR="00B10F35" w:rsidRDefault="00B10F35" w:rsidP="00B10F35">
      <w:pPr>
        <w:widowControl w:val="0"/>
        <w:tabs>
          <w:tab w:val="right" w:pos="9356"/>
        </w:tabs>
        <w:spacing w:after="0" w:line="240" w:lineRule="auto"/>
        <w:jc w:val="both"/>
        <w:rPr>
          <w:rFonts w:ascii="Arial" w:eastAsia="Calibri" w:hAnsi="Arial" w:cs="Arial"/>
          <w:bCs/>
          <w:sz w:val="24"/>
          <w:szCs w:val="24"/>
          <w:lang w:val="en-US"/>
        </w:rPr>
      </w:pPr>
      <w:r>
        <w:rPr>
          <w:rFonts w:ascii="Arial" w:eastAsia="Calibri" w:hAnsi="Arial" w:cs="Arial"/>
          <w:bCs/>
          <w:sz w:val="24"/>
          <w:szCs w:val="24"/>
          <w:lang w:val="en-US"/>
        </w:rPr>
        <w:t xml:space="preserve">(In his capacity as Trustee of </w:t>
      </w:r>
      <w:proofErr w:type="spellStart"/>
      <w:r>
        <w:rPr>
          <w:rFonts w:ascii="Arial" w:eastAsia="Calibri" w:hAnsi="Arial" w:cs="Arial"/>
          <w:bCs/>
          <w:sz w:val="24"/>
          <w:szCs w:val="24"/>
          <w:lang w:val="en-US"/>
        </w:rPr>
        <w:t>Zonkizizwe</w:t>
      </w:r>
      <w:proofErr w:type="spellEnd"/>
    </w:p>
    <w:p w:rsidR="00B10F35" w:rsidRDefault="00B10F35" w:rsidP="00B10F35">
      <w:pPr>
        <w:widowControl w:val="0"/>
        <w:tabs>
          <w:tab w:val="right" w:pos="9356"/>
        </w:tabs>
        <w:spacing w:after="0" w:line="240" w:lineRule="auto"/>
        <w:jc w:val="both"/>
        <w:rPr>
          <w:rFonts w:ascii="Arial" w:eastAsia="Calibri" w:hAnsi="Arial" w:cs="Arial"/>
          <w:bCs/>
          <w:sz w:val="24"/>
          <w:szCs w:val="24"/>
          <w:lang w:val="en-US"/>
        </w:rPr>
      </w:pPr>
      <w:r>
        <w:rPr>
          <w:rFonts w:ascii="Arial" w:eastAsia="Calibri" w:hAnsi="Arial" w:cs="Arial"/>
          <w:bCs/>
          <w:sz w:val="24"/>
          <w:szCs w:val="24"/>
          <w:lang w:val="en-US"/>
        </w:rPr>
        <w:t>Investment Trust IT NO 9170/02)</w:t>
      </w:r>
    </w:p>
    <w:p w:rsidR="00B10F35" w:rsidRDefault="00B10F35" w:rsidP="00F67259">
      <w:pPr>
        <w:widowControl w:val="0"/>
        <w:tabs>
          <w:tab w:val="right" w:pos="9356"/>
        </w:tabs>
        <w:spacing w:after="0" w:line="240" w:lineRule="auto"/>
        <w:jc w:val="both"/>
        <w:rPr>
          <w:rFonts w:ascii="Arial" w:eastAsia="Calibri" w:hAnsi="Arial" w:cs="Arial"/>
          <w:bCs/>
          <w:sz w:val="24"/>
          <w:szCs w:val="24"/>
          <w:lang w:val="en-US"/>
        </w:rPr>
      </w:pPr>
    </w:p>
    <w:p w:rsidR="00B10F35" w:rsidRDefault="00B10F35" w:rsidP="00F67259">
      <w:pPr>
        <w:widowControl w:val="0"/>
        <w:tabs>
          <w:tab w:val="right" w:pos="9356"/>
        </w:tabs>
        <w:spacing w:after="0" w:line="240" w:lineRule="auto"/>
        <w:jc w:val="both"/>
        <w:rPr>
          <w:rFonts w:ascii="Arial" w:eastAsia="Calibri" w:hAnsi="Arial" w:cs="Arial"/>
          <w:bCs/>
          <w:sz w:val="24"/>
          <w:szCs w:val="24"/>
          <w:lang w:val="en-US"/>
        </w:rPr>
      </w:pPr>
    </w:p>
    <w:p w:rsidR="00B10F35" w:rsidRDefault="00B10F35" w:rsidP="00F67259">
      <w:pPr>
        <w:widowControl w:val="0"/>
        <w:tabs>
          <w:tab w:val="right" w:pos="9356"/>
        </w:tabs>
        <w:spacing w:after="0" w:line="240" w:lineRule="auto"/>
        <w:jc w:val="both"/>
        <w:rPr>
          <w:rFonts w:ascii="Arial" w:eastAsia="Calibri" w:hAnsi="Arial" w:cs="Arial"/>
          <w:bCs/>
          <w:sz w:val="24"/>
          <w:szCs w:val="24"/>
          <w:lang w:val="en-US"/>
        </w:rPr>
      </w:pPr>
      <w:r>
        <w:rPr>
          <w:rFonts w:ascii="Arial" w:eastAsia="Calibri" w:hAnsi="Arial" w:cs="Arial"/>
          <w:b/>
          <w:bCs/>
          <w:sz w:val="24"/>
          <w:szCs w:val="24"/>
          <w:lang w:val="en-US"/>
        </w:rPr>
        <w:t xml:space="preserve">ARVIND MAGAN NO </w:t>
      </w:r>
      <w:r>
        <w:rPr>
          <w:rFonts w:ascii="Arial" w:eastAsia="Calibri" w:hAnsi="Arial" w:cs="Arial"/>
          <w:b/>
          <w:bCs/>
          <w:sz w:val="24"/>
          <w:szCs w:val="24"/>
          <w:lang w:val="en-US"/>
        </w:rPr>
        <w:tab/>
      </w:r>
      <w:r w:rsidRPr="00B10F35">
        <w:rPr>
          <w:rFonts w:ascii="Arial" w:eastAsia="Calibri" w:hAnsi="Arial" w:cs="Arial"/>
          <w:bCs/>
          <w:sz w:val="24"/>
          <w:szCs w:val="24"/>
          <w:lang w:val="en-US"/>
        </w:rPr>
        <w:t xml:space="preserve">Second </w:t>
      </w:r>
      <w:r w:rsidRPr="00F67259">
        <w:rPr>
          <w:rFonts w:ascii="Arial" w:eastAsia="Calibri" w:hAnsi="Arial" w:cs="Arial"/>
          <w:bCs/>
          <w:sz w:val="24"/>
          <w:szCs w:val="24"/>
          <w:lang w:val="en-US"/>
        </w:rPr>
        <w:t>Respondent</w:t>
      </w:r>
    </w:p>
    <w:p w:rsidR="00B10F35" w:rsidRDefault="00B10F35" w:rsidP="00B10F35">
      <w:pPr>
        <w:widowControl w:val="0"/>
        <w:tabs>
          <w:tab w:val="right" w:pos="9356"/>
        </w:tabs>
        <w:spacing w:after="0" w:line="240" w:lineRule="auto"/>
        <w:jc w:val="both"/>
        <w:rPr>
          <w:rFonts w:ascii="Arial" w:eastAsia="Calibri" w:hAnsi="Arial" w:cs="Arial"/>
          <w:bCs/>
          <w:sz w:val="24"/>
          <w:szCs w:val="24"/>
          <w:lang w:val="en-US"/>
        </w:rPr>
      </w:pPr>
      <w:r>
        <w:rPr>
          <w:rFonts w:ascii="Arial" w:eastAsia="Calibri" w:hAnsi="Arial" w:cs="Arial"/>
          <w:bCs/>
          <w:sz w:val="24"/>
          <w:szCs w:val="24"/>
          <w:lang w:val="en-US"/>
        </w:rPr>
        <w:lastRenderedPageBreak/>
        <w:t xml:space="preserve">(In his capacity as Trustee of </w:t>
      </w:r>
      <w:proofErr w:type="spellStart"/>
      <w:r>
        <w:rPr>
          <w:rFonts w:ascii="Arial" w:eastAsia="Calibri" w:hAnsi="Arial" w:cs="Arial"/>
          <w:bCs/>
          <w:sz w:val="24"/>
          <w:szCs w:val="24"/>
          <w:lang w:val="en-US"/>
        </w:rPr>
        <w:t>Zonkizizwe</w:t>
      </w:r>
      <w:proofErr w:type="spellEnd"/>
    </w:p>
    <w:p w:rsidR="00B10F35" w:rsidRDefault="00B10F35" w:rsidP="00B10F35">
      <w:pPr>
        <w:widowControl w:val="0"/>
        <w:tabs>
          <w:tab w:val="right" w:pos="9356"/>
        </w:tabs>
        <w:spacing w:after="0" w:line="240" w:lineRule="auto"/>
        <w:jc w:val="both"/>
        <w:rPr>
          <w:rFonts w:ascii="Arial" w:eastAsia="Calibri" w:hAnsi="Arial" w:cs="Arial"/>
          <w:bCs/>
          <w:sz w:val="24"/>
          <w:szCs w:val="24"/>
          <w:lang w:val="en-US"/>
        </w:rPr>
      </w:pPr>
      <w:r>
        <w:rPr>
          <w:rFonts w:ascii="Arial" w:eastAsia="Calibri" w:hAnsi="Arial" w:cs="Arial"/>
          <w:bCs/>
          <w:sz w:val="24"/>
          <w:szCs w:val="24"/>
          <w:lang w:val="en-US"/>
        </w:rPr>
        <w:t>Investment Trust IT NO 9170/02)</w:t>
      </w:r>
    </w:p>
    <w:p w:rsidR="00B10F35" w:rsidRDefault="00B10F35" w:rsidP="00F67259">
      <w:pPr>
        <w:widowControl w:val="0"/>
        <w:tabs>
          <w:tab w:val="right" w:pos="9356"/>
        </w:tabs>
        <w:spacing w:after="0" w:line="240" w:lineRule="auto"/>
        <w:jc w:val="both"/>
        <w:rPr>
          <w:rFonts w:ascii="Arial" w:eastAsia="Calibri" w:hAnsi="Arial" w:cs="Arial"/>
          <w:bCs/>
          <w:sz w:val="24"/>
          <w:szCs w:val="24"/>
          <w:lang w:val="en-US"/>
        </w:rPr>
      </w:pPr>
    </w:p>
    <w:p w:rsidR="00B10F35" w:rsidRDefault="00B10F35" w:rsidP="00F67259">
      <w:pPr>
        <w:widowControl w:val="0"/>
        <w:tabs>
          <w:tab w:val="right" w:pos="9356"/>
        </w:tabs>
        <w:spacing w:after="0" w:line="240" w:lineRule="auto"/>
        <w:jc w:val="both"/>
        <w:rPr>
          <w:rFonts w:ascii="Arial" w:eastAsia="Calibri" w:hAnsi="Arial" w:cs="Arial"/>
          <w:bCs/>
          <w:sz w:val="24"/>
          <w:szCs w:val="24"/>
          <w:lang w:val="en-US"/>
        </w:rPr>
      </w:pPr>
    </w:p>
    <w:p w:rsidR="00B10F35" w:rsidRDefault="00B10F35" w:rsidP="00F67259">
      <w:pPr>
        <w:widowControl w:val="0"/>
        <w:tabs>
          <w:tab w:val="right" w:pos="9356"/>
        </w:tabs>
        <w:spacing w:after="0" w:line="240" w:lineRule="auto"/>
        <w:jc w:val="both"/>
        <w:rPr>
          <w:rFonts w:ascii="Arial" w:eastAsia="Calibri" w:hAnsi="Arial" w:cs="Arial"/>
          <w:bCs/>
          <w:sz w:val="24"/>
          <w:szCs w:val="24"/>
          <w:lang w:val="en-US"/>
        </w:rPr>
      </w:pPr>
      <w:r>
        <w:rPr>
          <w:rFonts w:ascii="Arial" w:eastAsia="Calibri" w:hAnsi="Arial" w:cs="Arial"/>
          <w:b/>
          <w:bCs/>
          <w:sz w:val="24"/>
          <w:szCs w:val="24"/>
          <w:lang w:val="en-US"/>
        </w:rPr>
        <w:t xml:space="preserve">NAZIR AHMED KATHRADA </w:t>
      </w:r>
      <w:r>
        <w:rPr>
          <w:rFonts w:ascii="Arial" w:eastAsia="Calibri" w:hAnsi="Arial" w:cs="Arial"/>
          <w:b/>
          <w:bCs/>
          <w:sz w:val="24"/>
          <w:szCs w:val="24"/>
          <w:lang w:val="en-US"/>
        </w:rPr>
        <w:tab/>
      </w:r>
      <w:r w:rsidRPr="00B10F35">
        <w:rPr>
          <w:rFonts w:ascii="Arial" w:eastAsia="Calibri" w:hAnsi="Arial" w:cs="Arial"/>
          <w:bCs/>
          <w:sz w:val="24"/>
          <w:szCs w:val="24"/>
          <w:lang w:val="en-US"/>
        </w:rPr>
        <w:t xml:space="preserve">Third </w:t>
      </w:r>
      <w:r w:rsidRPr="00F67259">
        <w:rPr>
          <w:rFonts w:ascii="Arial" w:eastAsia="Calibri" w:hAnsi="Arial" w:cs="Arial"/>
          <w:bCs/>
          <w:sz w:val="24"/>
          <w:szCs w:val="24"/>
          <w:lang w:val="en-US"/>
        </w:rPr>
        <w:t>Respondent</w:t>
      </w:r>
    </w:p>
    <w:p w:rsidR="00B10F35" w:rsidRDefault="00B10F35" w:rsidP="00F67259">
      <w:pPr>
        <w:widowControl w:val="0"/>
        <w:tabs>
          <w:tab w:val="right" w:pos="9356"/>
        </w:tabs>
        <w:spacing w:after="0" w:line="240" w:lineRule="auto"/>
        <w:jc w:val="both"/>
        <w:rPr>
          <w:rFonts w:ascii="Arial" w:eastAsia="Calibri" w:hAnsi="Arial" w:cs="Arial"/>
          <w:bCs/>
          <w:sz w:val="24"/>
          <w:szCs w:val="24"/>
          <w:lang w:val="en-US"/>
        </w:rPr>
      </w:pPr>
    </w:p>
    <w:p w:rsidR="00B10F35" w:rsidRDefault="00B10F35" w:rsidP="00F67259">
      <w:pPr>
        <w:widowControl w:val="0"/>
        <w:tabs>
          <w:tab w:val="right" w:pos="9356"/>
        </w:tabs>
        <w:spacing w:after="0" w:line="240" w:lineRule="auto"/>
        <w:jc w:val="both"/>
        <w:rPr>
          <w:rFonts w:ascii="Arial" w:eastAsia="Calibri" w:hAnsi="Arial" w:cs="Arial"/>
          <w:bCs/>
          <w:sz w:val="24"/>
          <w:szCs w:val="24"/>
          <w:lang w:val="en-US"/>
        </w:rPr>
      </w:pPr>
      <w:r>
        <w:rPr>
          <w:rFonts w:ascii="Arial" w:eastAsia="Calibri" w:hAnsi="Arial" w:cs="Arial"/>
          <w:b/>
          <w:bCs/>
          <w:sz w:val="24"/>
          <w:szCs w:val="24"/>
          <w:lang w:val="en-US"/>
        </w:rPr>
        <w:t xml:space="preserve">BLUE NIGHTINGALE 74 (PTY) LTD </w:t>
      </w:r>
      <w:r>
        <w:rPr>
          <w:rFonts w:ascii="Arial" w:eastAsia="Calibri" w:hAnsi="Arial" w:cs="Arial"/>
          <w:b/>
          <w:bCs/>
          <w:sz w:val="24"/>
          <w:szCs w:val="24"/>
          <w:lang w:val="en-US"/>
        </w:rPr>
        <w:tab/>
      </w:r>
      <w:r w:rsidRPr="00B10F35">
        <w:rPr>
          <w:rFonts w:ascii="Arial" w:eastAsia="Calibri" w:hAnsi="Arial" w:cs="Arial"/>
          <w:bCs/>
          <w:sz w:val="24"/>
          <w:szCs w:val="24"/>
          <w:lang w:val="en-US"/>
        </w:rPr>
        <w:t xml:space="preserve">Fourth </w:t>
      </w:r>
      <w:r w:rsidRPr="00F67259">
        <w:rPr>
          <w:rFonts w:ascii="Arial" w:eastAsia="Calibri" w:hAnsi="Arial" w:cs="Arial"/>
          <w:bCs/>
          <w:sz w:val="24"/>
          <w:szCs w:val="24"/>
          <w:lang w:val="en-US"/>
        </w:rPr>
        <w:t>Respondent</w:t>
      </w:r>
    </w:p>
    <w:p w:rsidR="00B10F35" w:rsidRDefault="00B10F35" w:rsidP="00F67259">
      <w:pPr>
        <w:widowControl w:val="0"/>
        <w:tabs>
          <w:tab w:val="right" w:pos="9356"/>
        </w:tabs>
        <w:spacing w:after="0" w:line="240" w:lineRule="auto"/>
        <w:jc w:val="both"/>
        <w:rPr>
          <w:rFonts w:ascii="Arial" w:eastAsia="Calibri" w:hAnsi="Arial" w:cs="Arial"/>
          <w:bCs/>
          <w:sz w:val="24"/>
          <w:szCs w:val="24"/>
          <w:lang w:val="en-US"/>
        </w:rPr>
      </w:pPr>
    </w:p>
    <w:p w:rsidR="00B10F35" w:rsidRDefault="00B10F35" w:rsidP="00F67259">
      <w:pPr>
        <w:widowControl w:val="0"/>
        <w:tabs>
          <w:tab w:val="right" w:pos="9356"/>
        </w:tabs>
        <w:spacing w:after="0" w:line="240" w:lineRule="auto"/>
        <w:jc w:val="both"/>
        <w:rPr>
          <w:rFonts w:ascii="Arial" w:eastAsia="Calibri" w:hAnsi="Arial" w:cs="Arial"/>
          <w:bCs/>
          <w:sz w:val="24"/>
          <w:szCs w:val="24"/>
          <w:lang w:val="en-US"/>
        </w:rPr>
      </w:pPr>
      <w:r>
        <w:rPr>
          <w:rFonts w:ascii="Arial" w:eastAsia="Calibri" w:hAnsi="Arial" w:cs="Arial"/>
          <w:b/>
          <w:bCs/>
          <w:sz w:val="24"/>
          <w:szCs w:val="24"/>
          <w:lang w:val="en-US"/>
        </w:rPr>
        <w:t xml:space="preserve">THE MASTER OF THE HIGH COURT PRETORIA </w:t>
      </w:r>
      <w:r>
        <w:rPr>
          <w:rFonts w:ascii="Arial" w:eastAsia="Calibri" w:hAnsi="Arial" w:cs="Arial"/>
          <w:b/>
          <w:bCs/>
          <w:sz w:val="24"/>
          <w:szCs w:val="24"/>
          <w:lang w:val="en-US"/>
        </w:rPr>
        <w:tab/>
      </w:r>
      <w:r w:rsidRPr="00B10F35">
        <w:rPr>
          <w:rFonts w:ascii="Arial" w:eastAsia="Calibri" w:hAnsi="Arial" w:cs="Arial"/>
          <w:bCs/>
          <w:sz w:val="24"/>
          <w:szCs w:val="24"/>
          <w:lang w:val="en-US"/>
        </w:rPr>
        <w:t xml:space="preserve">Fifth </w:t>
      </w:r>
      <w:r w:rsidRPr="00F67259">
        <w:rPr>
          <w:rFonts w:ascii="Arial" w:eastAsia="Calibri" w:hAnsi="Arial" w:cs="Arial"/>
          <w:bCs/>
          <w:sz w:val="24"/>
          <w:szCs w:val="24"/>
          <w:lang w:val="en-US"/>
        </w:rPr>
        <w:t>Respondent</w:t>
      </w:r>
    </w:p>
    <w:p w:rsidR="00B10F35" w:rsidRDefault="00B10F35" w:rsidP="00F67259">
      <w:pPr>
        <w:widowControl w:val="0"/>
        <w:tabs>
          <w:tab w:val="right" w:pos="9356"/>
        </w:tabs>
        <w:spacing w:after="0" w:line="240" w:lineRule="auto"/>
        <w:jc w:val="both"/>
        <w:rPr>
          <w:rFonts w:ascii="Arial" w:eastAsia="Calibri" w:hAnsi="Arial" w:cs="Arial"/>
          <w:bCs/>
          <w:sz w:val="24"/>
          <w:szCs w:val="24"/>
          <w:lang w:val="en-US"/>
        </w:rPr>
      </w:pPr>
    </w:p>
    <w:p w:rsidR="00B10F35" w:rsidRDefault="00B10F35" w:rsidP="00F67259">
      <w:pPr>
        <w:widowControl w:val="0"/>
        <w:tabs>
          <w:tab w:val="right" w:pos="9356"/>
        </w:tabs>
        <w:spacing w:after="0" w:line="240" w:lineRule="auto"/>
        <w:jc w:val="both"/>
        <w:rPr>
          <w:rFonts w:ascii="Arial" w:eastAsia="Calibri" w:hAnsi="Arial" w:cs="Arial"/>
          <w:bCs/>
          <w:sz w:val="24"/>
          <w:szCs w:val="24"/>
          <w:lang w:val="en-US"/>
        </w:rPr>
      </w:pPr>
      <w:r>
        <w:rPr>
          <w:rFonts w:ascii="Arial" w:eastAsia="Calibri" w:hAnsi="Arial" w:cs="Arial"/>
          <w:b/>
          <w:bCs/>
          <w:sz w:val="24"/>
          <w:szCs w:val="24"/>
          <w:lang w:val="en-US"/>
        </w:rPr>
        <w:t xml:space="preserve">L MAFETSA ATTORNEYS </w:t>
      </w:r>
      <w:r>
        <w:rPr>
          <w:rFonts w:ascii="Arial" w:eastAsia="Calibri" w:hAnsi="Arial" w:cs="Arial"/>
          <w:b/>
          <w:bCs/>
          <w:sz w:val="24"/>
          <w:szCs w:val="24"/>
          <w:lang w:val="en-US"/>
        </w:rPr>
        <w:tab/>
      </w:r>
      <w:r w:rsidRPr="00B10F35">
        <w:rPr>
          <w:rFonts w:ascii="Arial" w:eastAsia="Calibri" w:hAnsi="Arial" w:cs="Arial"/>
          <w:bCs/>
          <w:sz w:val="24"/>
          <w:szCs w:val="24"/>
          <w:lang w:val="en-US"/>
        </w:rPr>
        <w:t xml:space="preserve">Sixth </w:t>
      </w:r>
      <w:r w:rsidRPr="00F67259">
        <w:rPr>
          <w:rFonts w:ascii="Arial" w:eastAsia="Calibri" w:hAnsi="Arial" w:cs="Arial"/>
          <w:bCs/>
          <w:sz w:val="24"/>
          <w:szCs w:val="24"/>
          <w:lang w:val="en-US"/>
        </w:rPr>
        <w:t>Respondent</w:t>
      </w:r>
    </w:p>
    <w:p w:rsidR="00B10F35" w:rsidRDefault="00B10F35" w:rsidP="00F67259">
      <w:pPr>
        <w:widowControl w:val="0"/>
        <w:tabs>
          <w:tab w:val="right" w:pos="9356"/>
        </w:tabs>
        <w:spacing w:after="0" w:line="240" w:lineRule="auto"/>
        <w:jc w:val="both"/>
        <w:rPr>
          <w:rFonts w:ascii="Arial" w:eastAsia="Calibri" w:hAnsi="Arial" w:cs="Arial"/>
          <w:bCs/>
          <w:sz w:val="24"/>
          <w:szCs w:val="24"/>
          <w:lang w:val="en-US"/>
        </w:rPr>
      </w:pPr>
    </w:p>
    <w:p w:rsidR="00B10F35" w:rsidRDefault="004662AA" w:rsidP="00F67259">
      <w:pPr>
        <w:widowControl w:val="0"/>
        <w:tabs>
          <w:tab w:val="right" w:pos="9356"/>
        </w:tabs>
        <w:spacing w:after="0" w:line="240" w:lineRule="auto"/>
        <w:jc w:val="both"/>
        <w:rPr>
          <w:rFonts w:ascii="Arial" w:eastAsia="Calibri" w:hAnsi="Arial" w:cs="Arial"/>
          <w:bCs/>
          <w:sz w:val="24"/>
          <w:szCs w:val="24"/>
          <w:lang w:val="en-US"/>
        </w:rPr>
      </w:pPr>
      <w:r>
        <w:rPr>
          <w:rFonts w:ascii="Arial" w:eastAsia="Calibri" w:hAnsi="Arial" w:cs="Arial"/>
          <w:b/>
          <w:bCs/>
          <w:sz w:val="24"/>
          <w:szCs w:val="24"/>
          <w:lang w:val="en-US"/>
        </w:rPr>
        <w:t>TAMASA (PTY) LTD</w:t>
      </w:r>
      <w:r w:rsidR="00B10F35">
        <w:rPr>
          <w:rFonts w:ascii="Arial" w:eastAsia="Calibri" w:hAnsi="Arial" w:cs="Arial"/>
          <w:b/>
          <w:bCs/>
          <w:sz w:val="24"/>
          <w:szCs w:val="24"/>
          <w:lang w:val="en-US"/>
        </w:rPr>
        <w:t xml:space="preserve"> </w:t>
      </w:r>
      <w:r w:rsidR="00B10F35">
        <w:rPr>
          <w:rFonts w:ascii="Arial" w:eastAsia="Calibri" w:hAnsi="Arial" w:cs="Arial"/>
          <w:b/>
          <w:bCs/>
          <w:sz w:val="24"/>
          <w:szCs w:val="24"/>
          <w:lang w:val="en-US"/>
        </w:rPr>
        <w:tab/>
      </w:r>
      <w:r w:rsidRPr="004662AA">
        <w:rPr>
          <w:rFonts w:ascii="Arial" w:eastAsia="Calibri" w:hAnsi="Arial" w:cs="Arial"/>
          <w:bCs/>
          <w:sz w:val="24"/>
          <w:szCs w:val="24"/>
          <w:lang w:val="en-US"/>
        </w:rPr>
        <w:t xml:space="preserve">Seventh </w:t>
      </w:r>
      <w:r w:rsidR="00B10F35" w:rsidRPr="00F67259">
        <w:rPr>
          <w:rFonts w:ascii="Arial" w:eastAsia="Calibri" w:hAnsi="Arial" w:cs="Arial"/>
          <w:bCs/>
          <w:sz w:val="24"/>
          <w:szCs w:val="24"/>
          <w:lang w:val="en-US"/>
        </w:rPr>
        <w:t>Respondent</w:t>
      </w:r>
    </w:p>
    <w:p w:rsidR="00B10F35" w:rsidRDefault="00B10F35" w:rsidP="00F67259">
      <w:pPr>
        <w:widowControl w:val="0"/>
        <w:tabs>
          <w:tab w:val="right" w:pos="9356"/>
        </w:tabs>
        <w:spacing w:after="0" w:line="240" w:lineRule="auto"/>
        <w:jc w:val="both"/>
        <w:rPr>
          <w:rFonts w:ascii="Arial" w:eastAsia="Calibri" w:hAnsi="Arial" w:cs="Arial"/>
          <w:bCs/>
          <w:sz w:val="24"/>
          <w:szCs w:val="24"/>
          <w:lang w:val="en-US"/>
        </w:rPr>
      </w:pPr>
    </w:p>
    <w:p w:rsidR="003E4474" w:rsidRPr="003E4474" w:rsidRDefault="003E4474" w:rsidP="003B7F1D">
      <w:pPr>
        <w:widowControl w:val="0"/>
        <w:tabs>
          <w:tab w:val="right" w:pos="9356"/>
        </w:tabs>
        <w:spacing w:after="0" w:line="240" w:lineRule="auto"/>
        <w:jc w:val="both"/>
        <w:rPr>
          <w:rFonts w:ascii="Arial" w:eastAsia="Times New Roman" w:hAnsi="Arial" w:cs="Times New Roman"/>
          <w:b/>
          <w:kern w:val="28"/>
          <w:sz w:val="24"/>
          <w:szCs w:val="24"/>
          <w:lang w:eastAsia="en-GB"/>
        </w:rPr>
      </w:pPr>
      <w:r w:rsidRPr="003B7F1D">
        <w:rPr>
          <w:rFonts w:ascii="Arial" w:eastAsia="Calibri" w:hAnsi="Arial" w:cs="Arial"/>
          <w:b/>
          <w:bCs/>
          <w:kern w:val="28"/>
          <w:sz w:val="24"/>
          <w:szCs w:val="24"/>
          <w:lang w:val="en-US" w:eastAsia="en-GB"/>
        </w:rPr>
        <w:tab/>
      </w:r>
      <w:r w:rsidRPr="003E4474">
        <w:rPr>
          <w:rFonts w:ascii="Arial" w:eastAsia="Times New Roman" w:hAnsi="Arial" w:cs="Times New Roman"/>
          <w:b/>
          <w:kern w:val="28"/>
          <w:sz w:val="24"/>
          <w:szCs w:val="24"/>
          <w:lang w:eastAsia="en-GB"/>
        </w:rPr>
        <w:tab/>
        <w:t xml:space="preserve">   </w:t>
      </w:r>
    </w:p>
    <w:p w:rsidR="004662AA" w:rsidRDefault="004662AA" w:rsidP="003E4474">
      <w:pPr>
        <w:widowControl w:val="0"/>
        <w:pBdr>
          <w:top w:val="single" w:sz="4" w:space="12" w:color="auto"/>
          <w:bottom w:val="single" w:sz="4" w:space="12" w:color="auto"/>
        </w:pBdr>
        <w:spacing w:after="0" w:line="240" w:lineRule="auto"/>
        <w:jc w:val="center"/>
        <w:rPr>
          <w:rFonts w:ascii="Arial" w:eastAsia="Times New Roman" w:hAnsi="Arial" w:cs="Arial"/>
          <w:b/>
          <w:sz w:val="24"/>
          <w:szCs w:val="24"/>
          <w:lang w:val="en-US"/>
        </w:rPr>
      </w:pPr>
    </w:p>
    <w:p w:rsidR="003E4474" w:rsidRPr="003E4474" w:rsidRDefault="003E4474" w:rsidP="003E4474">
      <w:pPr>
        <w:widowControl w:val="0"/>
        <w:pBdr>
          <w:top w:val="single" w:sz="4" w:space="12" w:color="auto"/>
          <w:bottom w:val="single" w:sz="4" w:space="12" w:color="auto"/>
        </w:pBdr>
        <w:spacing w:after="0" w:line="240" w:lineRule="auto"/>
        <w:jc w:val="center"/>
        <w:rPr>
          <w:rFonts w:ascii="Arial" w:eastAsia="Times New Roman" w:hAnsi="Arial" w:cs="Arial"/>
          <w:b/>
          <w:sz w:val="24"/>
          <w:szCs w:val="24"/>
          <w:lang w:val="en-US"/>
        </w:rPr>
      </w:pPr>
      <w:r w:rsidRPr="003E4474">
        <w:rPr>
          <w:rFonts w:ascii="Arial" w:eastAsia="Times New Roman" w:hAnsi="Arial" w:cs="Arial"/>
          <w:b/>
          <w:sz w:val="24"/>
          <w:szCs w:val="24"/>
          <w:lang w:val="en-US"/>
        </w:rPr>
        <w:t>JUDGMENT</w:t>
      </w:r>
    </w:p>
    <w:p w:rsidR="003E4474" w:rsidRPr="003E4474" w:rsidRDefault="003E4474" w:rsidP="003E4474">
      <w:pPr>
        <w:tabs>
          <w:tab w:val="left" w:pos="-720"/>
        </w:tabs>
        <w:suppressAutoHyphens/>
        <w:spacing w:after="0" w:line="360" w:lineRule="auto"/>
        <w:jc w:val="both"/>
        <w:rPr>
          <w:rFonts w:ascii="Arial" w:eastAsia="Times New Roman" w:hAnsi="Arial" w:cs="Arial"/>
          <w:b/>
          <w:bCs/>
          <w:spacing w:val="-3"/>
          <w:kern w:val="28"/>
          <w:sz w:val="24"/>
          <w:szCs w:val="24"/>
          <w:lang w:eastAsia="en-GB"/>
        </w:rPr>
      </w:pPr>
    </w:p>
    <w:p w:rsidR="003E4474" w:rsidRPr="003E4474" w:rsidRDefault="003E4474" w:rsidP="003E4474">
      <w:pPr>
        <w:spacing w:after="0" w:line="240" w:lineRule="auto"/>
        <w:ind w:left="1440" w:hanging="1440"/>
        <w:jc w:val="both"/>
        <w:rPr>
          <w:rFonts w:ascii="Arial" w:eastAsia="Times New Roman" w:hAnsi="Arial" w:cs="Arial"/>
          <w:sz w:val="24"/>
          <w:szCs w:val="24"/>
        </w:rPr>
      </w:pPr>
      <w:r w:rsidRPr="003E4474">
        <w:rPr>
          <w:rFonts w:ascii="Arial" w:eastAsia="Times New Roman" w:hAnsi="Arial" w:cs="Arial"/>
          <w:b/>
          <w:kern w:val="28"/>
          <w:sz w:val="24"/>
          <w:szCs w:val="24"/>
          <w:lang w:eastAsia="en-GB"/>
        </w:rPr>
        <w:t>Delivered:</w:t>
      </w:r>
      <w:r w:rsidRPr="003E4474">
        <w:rPr>
          <w:rFonts w:ascii="Arial" w:eastAsia="Times New Roman" w:hAnsi="Arial" w:cs="Arial"/>
          <w:b/>
          <w:kern w:val="28"/>
          <w:sz w:val="24"/>
          <w:szCs w:val="24"/>
          <w:lang w:eastAsia="en-GB"/>
        </w:rPr>
        <w:tab/>
      </w:r>
      <w:r w:rsidRPr="003E4474">
        <w:rPr>
          <w:rFonts w:ascii="Arial" w:eastAsia="Times New Roman" w:hAnsi="Arial" w:cs="Arial"/>
          <w:kern w:val="28"/>
          <w:sz w:val="24"/>
          <w:szCs w:val="24"/>
          <w:lang w:eastAsia="en-GB"/>
        </w:rPr>
        <w:t>This judgment was handed down electronically by circulation to the parties’ legal representatives by e-mail. The date and time for hand-down is deemed to be 10h00 on the</w:t>
      </w:r>
      <w:r w:rsidR="00EC64B7">
        <w:rPr>
          <w:rFonts w:ascii="Arial" w:eastAsia="Times New Roman" w:hAnsi="Arial" w:cs="Arial"/>
          <w:kern w:val="28"/>
          <w:sz w:val="24"/>
          <w:szCs w:val="24"/>
          <w:lang w:eastAsia="en-GB"/>
        </w:rPr>
        <w:t xml:space="preserve"> </w:t>
      </w:r>
      <w:r w:rsidR="00E66C5C">
        <w:rPr>
          <w:rFonts w:ascii="Arial" w:eastAsia="Times New Roman" w:hAnsi="Arial" w:cs="Arial"/>
          <w:kern w:val="28"/>
          <w:sz w:val="24"/>
          <w:szCs w:val="24"/>
          <w:lang w:eastAsia="en-GB"/>
        </w:rPr>
        <w:t>11</w:t>
      </w:r>
      <w:r w:rsidR="00516C15">
        <w:rPr>
          <w:rFonts w:ascii="Arial" w:eastAsia="Times New Roman" w:hAnsi="Arial" w:cs="Arial"/>
          <w:kern w:val="28"/>
          <w:sz w:val="24"/>
          <w:szCs w:val="24"/>
          <w:lang w:eastAsia="en-GB"/>
        </w:rPr>
        <w:t xml:space="preserve">th </w:t>
      </w:r>
      <w:r w:rsidRPr="003E4474">
        <w:rPr>
          <w:rFonts w:ascii="Arial" w:eastAsia="Times New Roman" w:hAnsi="Arial" w:cs="Arial"/>
          <w:kern w:val="28"/>
          <w:sz w:val="24"/>
          <w:szCs w:val="24"/>
          <w:lang w:eastAsia="en-GB"/>
        </w:rPr>
        <w:t>of</w:t>
      </w:r>
      <w:r w:rsidR="00516C15">
        <w:rPr>
          <w:rFonts w:ascii="Arial" w:eastAsia="Times New Roman" w:hAnsi="Arial" w:cs="Arial"/>
          <w:kern w:val="28"/>
          <w:sz w:val="24"/>
          <w:szCs w:val="24"/>
          <w:lang w:eastAsia="en-GB"/>
        </w:rPr>
        <w:t xml:space="preserve"> </w:t>
      </w:r>
      <w:r w:rsidR="00EC64B7">
        <w:rPr>
          <w:rFonts w:ascii="Arial" w:eastAsia="Times New Roman" w:hAnsi="Arial" w:cs="Arial"/>
          <w:kern w:val="28"/>
          <w:sz w:val="24"/>
          <w:szCs w:val="24"/>
          <w:lang w:eastAsia="en-GB"/>
        </w:rPr>
        <w:t>August</w:t>
      </w:r>
      <w:r w:rsidRPr="003E4474">
        <w:rPr>
          <w:rFonts w:ascii="Arial" w:eastAsia="Times New Roman" w:hAnsi="Arial" w:cs="Arial"/>
          <w:kern w:val="28"/>
          <w:sz w:val="24"/>
          <w:szCs w:val="24"/>
          <w:lang w:eastAsia="en-GB"/>
        </w:rPr>
        <w:t xml:space="preserve"> 2022.</w:t>
      </w:r>
    </w:p>
    <w:p w:rsidR="003E4474" w:rsidRPr="003E4474" w:rsidRDefault="003E4474" w:rsidP="003E4474">
      <w:pPr>
        <w:tabs>
          <w:tab w:val="left" w:pos="-720"/>
        </w:tabs>
        <w:suppressAutoHyphens/>
        <w:spacing w:after="0" w:line="360" w:lineRule="auto"/>
        <w:jc w:val="both"/>
        <w:rPr>
          <w:rFonts w:ascii="Arial" w:eastAsia="Times New Roman" w:hAnsi="Arial" w:cs="Arial"/>
          <w:b/>
          <w:bCs/>
          <w:spacing w:val="-3"/>
          <w:kern w:val="28"/>
          <w:sz w:val="24"/>
          <w:szCs w:val="24"/>
          <w:u w:val="single"/>
          <w:lang w:eastAsia="en-GB"/>
        </w:rPr>
      </w:pPr>
    </w:p>
    <w:p w:rsidR="003E4474" w:rsidRPr="003E4474" w:rsidRDefault="003E4474" w:rsidP="003E4474">
      <w:pPr>
        <w:tabs>
          <w:tab w:val="left" w:pos="-720"/>
        </w:tabs>
        <w:suppressAutoHyphens/>
        <w:spacing w:after="0" w:line="360" w:lineRule="auto"/>
        <w:jc w:val="both"/>
        <w:rPr>
          <w:rFonts w:ascii="Arial" w:eastAsia="Times New Roman" w:hAnsi="Arial" w:cs="Arial"/>
          <w:b/>
          <w:bCs/>
          <w:spacing w:val="-3"/>
          <w:kern w:val="28"/>
          <w:sz w:val="24"/>
          <w:szCs w:val="24"/>
          <w:lang w:eastAsia="en-GB"/>
        </w:rPr>
      </w:pPr>
      <w:r w:rsidRPr="003E4474">
        <w:rPr>
          <w:rFonts w:ascii="Arial" w:eastAsia="Times New Roman" w:hAnsi="Arial" w:cs="Arial"/>
          <w:b/>
          <w:bCs/>
          <w:spacing w:val="-3"/>
          <w:kern w:val="28"/>
          <w:sz w:val="24"/>
          <w:szCs w:val="24"/>
          <w:u w:val="single"/>
          <w:lang w:eastAsia="en-GB"/>
        </w:rPr>
        <w:t>DIPPENAAR J</w:t>
      </w:r>
      <w:r w:rsidRPr="003E4474">
        <w:rPr>
          <w:rFonts w:ascii="Arial" w:eastAsia="Times New Roman" w:hAnsi="Arial" w:cs="Arial"/>
          <w:b/>
          <w:bCs/>
          <w:spacing w:val="-3"/>
          <w:kern w:val="28"/>
          <w:sz w:val="24"/>
          <w:szCs w:val="24"/>
          <w:lang w:eastAsia="en-GB"/>
        </w:rPr>
        <w:t>:</w:t>
      </w:r>
    </w:p>
    <w:p w:rsidR="003E4474" w:rsidRPr="003E4474" w:rsidRDefault="003E4474" w:rsidP="003E4474">
      <w:pPr>
        <w:tabs>
          <w:tab w:val="left" w:pos="-720"/>
        </w:tabs>
        <w:suppressAutoHyphens/>
        <w:spacing w:after="0" w:line="360" w:lineRule="auto"/>
        <w:jc w:val="both"/>
        <w:rPr>
          <w:rFonts w:ascii="Arial" w:eastAsia="Times New Roman" w:hAnsi="Arial" w:cs="Arial"/>
          <w:b/>
          <w:bCs/>
          <w:spacing w:val="-3"/>
          <w:kern w:val="28"/>
          <w:sz w:val="24"/>
          <w:szCs w:val="24"/>
          <w:lang w:eastAsia="en-GB"/>
        </w:rPr>
      </w:pPr>
    </w:p>
    <w:p w:rsidR="00D60174" w:rsidRDefault="00025EC3" w:rsidP="00025EC3">
      <w:pPr>
        <w:pStyle w:val="level1"/>
        <w:numPr>
          <w:ilvl w:val="0"/>
          <w:numId w:val="0"/>
        </w:numPr>
        <w:spacing w:after="480" w:line="360" w:lineRule="auto"/>
        <w:jc w:val="both"/>
        <w:rPr>
          <w:lang w:val="en-US"/>
        </w:rPr>
      </w:pPr>
      <w:r>
        <w:rPr>
          <w:lang w:val="en-US"/>
        </w:rPr>
        <w:t>[</w:t>
      </w:r>
      <w:bookmarkStart w:id="0" w:name="_GoBack"/>
      <w:bookmarkEnd w:id="0"/>
      <w:r>
        <w:rPr>
          <w:lang w:val="en-US"/>
        </w:rPr>
        <w:t>1]</w:t>
      </w:r>
      <w:r>
        <w:rPr>
          <w:lang w:val="en-US"/>
        </w:rPr>
        <w:tab/>
      </w:r>
      <w:r w:rsidR="003E4474" w:rsidRPr="00492B9C">
        <w:rPr>
          <w:lang w:val="en-US"/>
        </w:rPr>
        <w:t>Th</w:t>
      </w:r>
      <w:r w:rsidR="00556161" w:rsidRPr="00492B9C">
        <w:rPr>
          <w:lang w:val="en-US"/>
        </w:rPr>
        <w:t>e applicant</w:t>
      </w:r>
      <w:r w:rsidR="00492B9C" w:rsidRPr="00492B9C">
        <w:rPr>
          <w:lang w:val="en-US"/>
        </w:rPr>
        <w:t>s</w:t>
      </w:r>
      <w:r w:rsidR="00556161" w:rsidRPr="00492B9C">
        <w:rPr>
          <w:lang w:val="en-US"/>
        </w:rPr>
        <w:t xml:space="preserve"> </w:t>
      </w:r>
      <w:r w:rsidR="00492B9C" w:rsidRPr="00492B9C">
        <w:rPr>
          <w:lang w:val="en-US"/>
        </w:rPr>
        <w:t xml:space="preserve">in </w:t>
      </w:r>
      <w:r w:rsidR="00E66C5C">
        <w:rPr>
          <w:lang w:val="en-US"/>
        </w:rPr>
        <w:t xml:space="preserve">application proceedings launched during September 2021, </w:t>
      </w:r>
      <w:r w:rsidR="00556161" w:rsidRPr="00492B9C">
        <w:rPr>
          <w:lang w:val="en-US"/>
        </w:rPr>
        <w:t>s</w:t>
      </w:r>
      <w:r w:rsidR="00EC64B7">
        <w:rPr>
          <w:lang w:val="en-US"/>
        </w:rPr>
        <w:t>ought</w:t>
      </w:r>
      <w:r w:rsidR="00492B9C" w:rsidRPr="00492B9C">
        <w:rPr>
          <w:lang w:val="en-US"/>
        </w:rPr>
        <w:t xml:space="preserve"> far</w:t>
      </w:r>
      <w:r w:rsidR="00B765EF">
        <w:rPr>
          <w:lang w:val="en-US"/>
        </w:rPr>
        <w:t xml:space="preserve"> </w:t>
      </w:r>
      <w:r w:rsidR="00492B9C" w:rsidRPr="00492B9C">
        <w:rPr>
          <w:lang w:val="en-US"/>
        </w:rPr>
        <w:t>ranging relief</w:t>
      </w:r>
      <w:r w:rsidR="00B765EF">
        <w:rPr>
          <w:lang w:val="en-US"/>
        </w:rPr>
        <w:t xml:space="preserve"> against the first and second respondents pertaining to their appointment as trustees and agents of the </w:t>
      </w:r>
      <w:proofErr w:type="spellStart"/>
      <w:r w:rsidR="00B765EF">
        <w:rPr>
          <w:lang w:val="en-US"/>
        </w:rPr>
        <w:t>Zonk</w:t>
      </w:r>
      <w:r w:rsidR="0095439B">
        <w:rPr>
          <w:lang w:val="en-US"/>
        </w:rPr>
        <w:t>i</w:t>
      </w:r>
      <w:r w:rsidR="00B765EF">
        <w:rPr>
          <w:lang w:val="en-US"/>
        </w:rPr>
        <w:t>zizwe</w:t>
      </w:r>
      <w:proofErr w:type="spellEnd"/>
      <w:r w:rsidR="0095439B">
        <w:rPr>
          <w:rStyle w:val="FootnoteReference"/>
          <w:lang w:val="en-US"/>
        </w:rPr>
        <w:footnoteReference w:id="1"/>
      </w:r>
      <w:r w:rsidR="00B765EF">
        <w:rPr>
          <w:lang w:val="en-US"/>
        </w:rPr>
        <w:t xml:space="preserve"> Investment Trust IT 9173/02 (“the trust”) and declaratory relief pertaining to their conduct as trustees of the trust, with ancillary relief.</w:t>
      </w:r>
      <w:r w:rsidR="003334F6">
        <w:rPr>
          <w:lang w:val="en-US"/>
        </w:rPr>
        <w:t xml:space="preserve"> </w:t>
      </w:r>
    </w:p>
    <w:p w:rsidR="0074533D" w:rsidRDefault="00025EC3" w:rsidP="00025EC3">
      <w:pPr>
        <w:pStyle w:val="level1"/>
        <w:numPr>
          <w:ilvl w:val="0"/>
          <w:numId w:val="0"/>
        </w:numPr>
        <w:spacing w:after="480" w:line="360" w:lineRule="auto"/>
        <w:jc w:val="both"/>
        <w:rPr>
          <w:lang w:val="en-US"/>
        </w:rPr>
      </w:pPr>
      <w:r>
        <w:rPr>
          <w:lang w:val="en-US"/>
        </w:rPr>
        <w:t>[2]</w:t>
      </w:r>
      <w:r>
        <w:rPr>
          <w:lang w:val="en-US"/>
        </w:rPr>
        <w:tab/>
      </w:r>
      <w:r w:rsidR="003334F6">
        <w:rPr>
          <w:lang w:val="en-US"/>
        </w:rPr>
        <w:t xml:space="preserve">The first </w:t>
      </w:r>
      <w:r w:rsidR="00044A94">
        <w:rPr>
          <w:lang w:val="en-US"/>
        </w:rPr>
        <w:t>a</w:t>
      </w:r>
      <w:r w:rsidR="003334F6">
        <w:rPr>
          <w:lang w:val="en-US"/>
        </w:rPr>
        <w:t xml:space="preserve">pplicant, </w:t>
      </w:r>
      <w:proofErr w:type="spellStart"/>
      <w:r w:rsidR="003334F6">
        <w:rPr>
          <w:lang w:val="en-US"/>
        </w:rPr>
        <w:t>Mr</w:t>
      </w:r>
      <w:proofErr w:type="spellEnd"/>
      <w:r w:rsidR="003334F6">
        <w:rPr>
          <w:lang w:val="en-US"/>
        </w:rPr>
        <w:t xml:space="preserve"> </w:t>
      </w:r>
      <w:proofErr w:type="spellStart"/>
      <w:r w:rsidR="003334F6">
        <w:rPr>
          <w:lang w:val="en-US"/>
        </w:rPr>
        <w:t>Bapela</w:t>
      </w:r>
      <w:proofErr w:type="spellEnd"/>
      <w:r w:rsidR="003334F6">
        <w:rPr>
          <w:lang w:val="en-US"/>
        </w:rPr>
        <w:t xml:space="preserve"> is a trustee of the trust. </w:t>
      </w:r>
      <w:r w:rsidR="005C196A">
        <w:rPr>
          <w:lang w:val="en-US"/>
        </w:rPr>
        <w:t xml:space="preserve">He was appointed together with </w:t>
      </w:r>
      <w:proofErr w:type="spellStart"/>
      <w:r w:rsidR="005C196A">
        <w:rPr>
          <w:lang w:val="en-US"/>
        </w:rPr>
        <w:t>Messrs</w:t>
      </w:r>
      <w:proofErr w:type="spellEnd"/>
      <w:r w:rsidR="005C196A">
        <w:rPr>
          <w:lang w:val="en-US"/>
        </w:rPr>
        <w:t xml:space="preserve"> </w:t>
      </w:r>
      <w:proofErr w:type="spellStart"/>
      <w:r w:rsidR="005C196A">
        <w:rPr>
          <w:lang w:val="en-US"/>
        </w:rPr>
        <w:t>Makgothi</w:t>
      </w:r>
      <w:proofErr w:type="spellEnd"/>
      <w:r w:rsidR="005C196A">
        <w:rPr>
          <w:lang w:val="en-US"/>
        </w:rPr>
        <w:t xml:space="preserve"> and Loots </w:t>
      </w:r>
      <w:r w:rsidR="00783472">
        <w:rPr>
          <w:lang w:val="en-US"/>
        </w:rPr>
        <w:t>(“collectively referred to as “the first trustees”)</w:t>
      </w:r>
      <w:r w:rsidR="00E66C5C">
        <w:rPr>
          <w:lang w:val="en-US"/>
        </w:rPr>
        <w:t xml:space="preserve"> in terms </w:t>
      </w:r>
      <w:proofErr w:type="gramStart"/>
      <w:r w:rsidR="00E66C5C">
        <w:rPr>
          <w:lang w:val="en-US"/>
        </w:rPr>
        <w:t>of</w:t>
      </w:r>
      <w:proofErr w:type="gramEnd"/>
      <w:r w:rsidR="00E66C5C">
        <w:rPr>
          <w:lang w:val="en-US"/>
        </w:rPr>
        <w:t xml:space="preserve"> a trust deed, which established the trust</w:t>
      </w:r>
      <w:r w:rsidR="00783472">
        <w:rPr>
          <w:lang w:val="en-US"/>
        </w:rPr>
        <w:t>,</w:t>
      </w:r>
      <w:r w:rsidR="005C196A">
        <w:rPr>
          <w:lang w:val="en-US"/>
        </w:rPr>
        <w:t xml:space="preserve"> </w:t>
      </w:r>
      <w:r w:rsidR="0074533D">
        <w:rPr>
          <w:lang w:val="en-US"/>
        </w:rPr>
        <w:t>dated 10 December 2002. Letter</w:t>
      </w:r>
      <w:r w:rsidR="005C196A">
        <w:rPr>
          <w:lang w:val="en-US"/>
        </w:rPr>
        <w:t xml:space="preserve">s of authority </w:t>
      </w:r>
      <w:r w:rsidR="005C196A">
        <w:rPr>
          <w:lang w:val="en-US"/>
        </w:rPr>
        <w:lastRenderedPageBreak/>
        <w:t xml:space="preserve">were issued in </w:t>
      </w:r>
      <w:proofErr w:type="spellStart"/>
      <w:r w:rsidR="005C196A">
        <w:rPr>
          <w:lang w:val="en-US"/>
        </w:rPr>
        <w:t>favour</w:t>
      </w:r>
      <w:proofErr w:type="spellEnd"/>
      <w:r w:rsidR="005C196A">
        <w:rPr>
          <w:lang w:val="en-US"/>
        </w:rPr>
        <w:t xml:space="preserve"> </w:t>
      </w:r>
      <w:r w:rsidR="0074533D">
        <w:rPr>
          <w:lang w:val="en-US"/>
        </w:rPr>
        <w:t xml:space="preserve">of </w:t>
      </w:r>
      <w:r w:rsidR="00E66C5C">
        <w:rPr>
          <w:lang w:val="en-US"/>
        </w:rPr>
        <w:t xml:space="preserve">the first trustees </w:t>
      </w:r>
      <w:r w:rsidR="005C196A">
        <w:rPr>
          <w:lang w:val="en-US"/>
        </w:rPr>
        <w:t xml:space="preserve">by the Master on 17 February 2003. </w:t>
      </w:r>
      <w:proofErr w:type="spellStart"/>
      <w:r w:rsidR="0026326B">
        <w:rPr>
          <w:lang w:val="en-US"/>
        </w:rPr>
        <w:t>Mr</w:t>
      </w:r>
      <w:proofErr w:type="spellEnd"/>
      <w:r w:rsidR="0026326B">
        <w:rPr>
          <w:lang w:val="en-US"/>
        </w:rPr>
        <w:t xml:space="preserve"> </w:t>
      </w:r>
      <w:proofErr w:type="spellStart"/>
      <w:r w:rsidR="0026326B">
        <w:rPr>
          <w:lang w:val="en-US"/>
        </w:rPr>
        <w:t>Makgothi</w:t>
      </w:r>
      <w:proofErr w:type="spellEnd"/>
      <w:r w:rsidR="0026326B">
        <w:rPr>
          <w:lang w:val="en-US"/>
        </w:rPr>
        <w:t xml:space="preserve"> passed away on 24 March 2011 and </w:t>
      </w:r>
      <w:proofErr w:type="spellStart"/>
      <w:r w:rsidR="0026326B">
        <w:rPr>
          <w:lang w:val="en-US"/>
        </w:rPr>
        <w:t>Mr</w:t>
      </w:r>
      <w:proofErr w:type="spellEnd"/>
      <w:r w:rsidR="0026326B">
        <w:rPr>
          <w:lang w:val="en-US"/>
        </w:rPr>
        <w:t xml:space="preserve"> Loots on </w:t>
      </w:r>
      <w:r w:rsidR="0074533D">
        <w:rPr>
          <w:lang w:val="en-US"/>
        </w:rPr>
        <w:t xml:space="preserve">25 January 2016. </w:t>
      </w:r>
    </w:p>
    <w:p w:rsidR="0074533D" w:rsidRDefault="00025EC3" w:rsidP="00025EC3">
      <w:pPr>
        <w:pStyle w:val="level1"/>
        <w:numPr>
          <w:ilvl w:val="0"/>
          <w:numId w:val="0"/>
        </w:numPr>
        <w:spacing w:after="480" w:line="360" w:lineRule="auto"/>
        <w:jc w:val="both"/>
        <w:rPr>
          <w:lang w:val="en-US"/>
        </w:rPr>
      </w:pPr>
      <w:r>
        <w:rPr>
          <w:lang w:val="en-US"/>
        </w:rPr>
        <w:t>[3]</w:t>
      </w:r>
      <w:r>
        <w:rPr>
          <w:lang w:val="en-US"/>
        </w:rPr>
        <w:tab/>
      </w:r>
      <w:r w:rsidR="0074533D">
        <w:rPr>
          <w:lang w:val="en-US"/>
        </w:rPr>
        <w:t xml:space="preserve">Letters of authority were issued to the first and second respondents as trustees of the trust </w:t>
      </w:r>
      <w:r w:rsidR="00783472">
        <w:rPr>
          <w:lang w:val="en-US"/>
        </w:rPr>
        <w:t xml:space="preserve">by the Master </w:t>
      </w:r>
      <w:r w:rsidR="0074533D">
        <w:rPr>
          <w:lang w:val="en-US"/>
        </w:rPr>
        <w:t>on 29</w:t>
      </w:r>
      <w:r w:rsidR="00E66C5C">
        <w:rPr>
          <w:lang w:val="en-US"/>
        </w:rPr>
        <w:t xml:space="preserve"> </w:t>
      </w:r>
      <w:r w:rsidR="0074533D">
        <w:rPr>
          <w:lang w:val="en-US"/>
        </w:rPr>
        <w:t>January 2014.</w:t>
      </w:r>
    </w:p>
    <w:p w:rsidR="00492B9C" w:rsidRDefault="00025EC3" w:rsidP="00025EC3">
      <w:pPr>
        <w:pStyle w:val="level1"/>
        <w:numPr>
          <w:ilvl w:val="0"/>
          <w:numId w:val="0"/>
        </w:numPr>
        <w:spacing w:after="480" w:line="360" w:lineRule="auto"/>
        <w:jc w:val="both"/>
        <w:rPr>
          <w:lang w:val="en-US"/>
        </w:rPr>
      </w:pPr>
      <w:r>
        <w:rPr>
          <w:lang w:val="en-US"/>
        </w:rPr>
        <w:t>[4]</w:t>
      </w:r>
      <w:r>
        <w:rPr>
          <w:lang w:val="en-US"/>
        </w:rPr>
        <w:tab/>
      </w:r>
      <w:r w:rsidR="004D652A">
        <w:rPr>
          <w:lang w:val="en-US"/>
        </w:rPr>
        <w:t xml:space="preserve">The basis of the </w:t>
      </w:r>
      <w:r w:rsidR="003334F6">
        <w:rPr>
          <w:lang w:val="en-US"/>
        </w:rPr>
        <w:t>applicant</w:t>
      </w:r>
      <w:r w:rsidR="004D652A">
        <w:rPr>
          <w:lang w:val="en-US"/>
        </w:rPr>
        <w:t xml:space="preserve">s’ case is that </w:t>
      </w:r>
      <w:r w:rsidR="003334F6">
        <w:rPr>
          <w:lang w:val="en-US"/>
        </w:rPr>
        <w:t>the first and second re</w:t>
      </w:r>
      <w:r w:rsidR="004D652A">
        <w:rPr>
          <w:lang w:val="en-US"/>
        </w:rPr>
        <w:t>sp</w:t>
      </w:r>
      <w:r w:rsidR="003334F6">
        <w:rPr>
          <w:lang w:val="en-US"/>
        </w:rPr>
        <w:t xml:space="preserve">ondents have </w:t>
      </w:r>
      <w:proofErr w:type="spellStart"/>
      <w:r w:rsidR="003334F6">
        <w:rPr>
          <w:lang w:val="en-US"/>
        </w:rPr>
        <w:t>highjacked</w:t>
      </w:r>
      <w:proofErr w:type="spellEnd"/>
      <w:r w:rsidR="00D60174">
        <w:rPr>
          <w:lang w:val="en-US"/>
        </w:rPr>
        <w:t xml:space="preserve"> the trust and that their appointments as trustees are irregular, unlawful and void ab initio and consequently that their appointment must be set aside and all steps taken by them as trustees should be set aside as such decisions have no effect in law.</w:t>
      </w:r>
      <w:r w:rsidR="001877F5">
        <w:rPr>
          <w:lang w:val="en-US"/>
        </w:rPr>
        <w:t xml:space="preserve"> Declaratory relief </w:t>
      </w:r>
      <w:r w:rsidR="00E66C5C">
        <w:rPr>
          <w:lang w:val="en-US"/>
        </w:rPr>
        <w:t>is</w:t>
      </w:r>
      <w:r w:rsidR="001877F5">
        <w:rPr>
          <w:lang w:val="en-US"/>
        </w:rPr>
        <w:t xml:space="preserve"> sought that the conduct of the first and second respondents as truste</w:t>
      </w:r>
      <w:r w:rsidR="00E66C5C">
        <w:rPr>
          <w:lang w:val="en-US"/>
        </w:rPr>
        <w:t>e</w:t>
      </w:r>
      <w:r w:rsidR="001877F5">
        <w:rPr>
          <w:lang w:val="en-US"/>
        </w:rPr>
        <w:t>s of the trust is contrary to the Trust Property Control Act</w:t>
      </w:r>
      <w:r w:rsidR="001877F5">
        <w:rPr>
          <w:rStyle w:val="FootnoteReference"/>
          <w:lang w:val="en-US"/>
        </w:rPr>
        <w:footnoteReference w:id="2"/>
      </w:r>
      <w:r w:rsidR="00D60174">
        <w:rPr>
          <w:lang w:val="en-US"/>
        </w:rPr>
        <w:t xml:space="preserve"> </w:t>
      </w:r>
      <w:r w:rsidR="001877F5">
        <w:rPr>
          <w:lang w:val="en-US"/>
        </w:rPr>
        <w:t>and the trust deed</w:t>
      </w:r>
      <w:r w:rsidR="00E66C5C">
        <w:rPr>
          <w:lang w:val="en-US"/>
        </w:rPr>
        <w:t xml:space="preserve">. </w:t>
      </w:r>
      <w:r w:rsidR="00D60174">
        <w:rPr>
          <w:lang w:val="en-US"/>
        </w:rPr>
        <w:t>The remainder of the relief is aimed at declaring the first and second respondents as delinquent trustees</w:t>
      </w:r>
      <w:r w:rsidR="001877F5">
        <w:rPr>
          <w:lang w:val="en-US"/>
        </w:rPr>
        <w:t xml:space="preserve"> and setting aside the appointment of the third respondent as attorney of the trust as irregular and void.</w:t>
      </w:r>
    </w:p>
    <w:p w:rsidR="00E66C5C" w:rsidRPr="00A20D64" w:rsidRDefault="00025EC3" w:rsidP="00025EC3">
      <w:pPr>
        <w:pStyle w:val="level1"/>
        <w:numPr>
          <w:ilvl w:val="0"/>
          <w:numId w:val="0"/>
        </w:numPr>
        <w:spacing w:after="480" w:line="360" w:lineRule="auto"/>
        <w:jc w:val="both"/>
        <w:rPr>
          <w:lang w:val="en-US"/>
        </w:rPr>
      </w:pPr>
      <w:r w:rsidRPr="00A20D64">
        <w:rPr>
          <w:lang w:val="en-US"/>
        </w:rPr>
        <w:t>[5]</w:t>
      </w:r>
      <w:r w:rsidRPr="00A20D64">
        <w:rPr>
          <w:lang w:val="en-US"/>
        </w:rPr>
        <w:tab/>
      </w:r>
      <w:r w:rsidR="009C7545" w:rsidRPr="00A20D64">
        <w:rPr>
          <w:lang w:val="en-US"/>
        </w:rPr>
        <w:t>At the hearing</w:t>
      </w:r>
      <w:r w:rsidR="00B765EF" w:rsidRPr="00A20D64">
        <w:rPr>
          <w:lang w:val="en-US"/>
        </w:rPr>
        <w:t xml:space="preserve">, the applicants </w:t>
      </w:r>
      <w:r w:rsidR="0074299E">
        <w:rPr>
          <w:lang w:val="en-US"/>
        </w:rPr>
        <w:t xml:space="preserve">in argument </w:t>
      </w:r>
      <w:r w:rsidR="00B765EF" w:rsidRPr="00A20D64">
        <w:rPr>
          <w:lang w:val="en-US"/>
        </w:rPr>
        <w:t>persisted only with the relief sought in prayers</w:t>
      </w:r>
      <w:r w:rsidR="00AD62D3">
        <w:rPr>
          <w:lang w:val="en-US"/>
        </w:rPr>
        <w:t xml:space="preserve"> </w:t>
      </w:r>
      <w:r w:rsidR="00B765EF" w:rsidRPr="00A20D64">
        <w:rPr>
          <w:lang w:val="en-US"/>
        </w:rPr>
        <w:t>1 to 5</w:t>
      </w:r>
      <w:r w:rsidR="00783472">
        <w:rPr>
          <w:rStyle w:val="FootnoteReference"/>
          <w:lang w:val="en-US"/>
        </w:rPr>
        <w:footnoteReference w:id="3"/>
      </w:r>
      <w:r w:rsidR="00B765EF" w:rsidRPr="00A20D64">
        <w:rPr>
          <w:lang w:val="en-US"/>
        </w:rPr>
        <w:t xml:space="preserve"> of the notice of motion and jettisoned the relief sought in prayers. 6, 7 and 8</w:t>
      </w:r>
      <w:r w:rsidR="00A20D64" w:rsidRPr="00A20D64">
        <w:rPr>
          <w:lang w:val="en-US"/>
        </w:rPr>
        <w:t>.</w:t>
      </w:r>
      <w:r w:rsidR="00A20D64">
        <w:rPr>
          <w:lang w:val="en-US"/>
        </w:rPr>
        <w:t xml:space="preserve"> </w:t>
      </w:r>
      <w:r w:rsidR="00E66C5C" w:rsidRPr="00A20D64">
        <w:rPr>
          <w:lang w:val="en-US"/>
        </w:rPr>
        <w:t>The relief sought is</w:t>
      </w:r>
      <w:r w:rsidR="001A5C3D" w:rsidRPr="00A20D64">
        <w:rPr>
          <w:lang w:val="en-US"/>
        </w:rPr>
        <w:t>:</w:t>
      </w:r>
      <w:r w:rsidR="00E66C5C" w:rsidRPr="00A20D64">
        <w:rPr>
          <w:lang w:val="en-US"/>
        </w:rPr>
        <w:t xml:space="preserve"> (</w:t>
      </w:r>
      <w:proofErr w:type="spellStart"/>
      <w:r w:rsidR="00E66C5C" w:rsidRPr="00A20D64">
        <w:rPr>
          <w:lang w:val="en-US"/>
        </w:rPr>
        <w:t>i</w:t>
      </w:r>
      <w:proofErr w:type="spellEnd"/>
      <w:r w:rsidR="00E66C5C" w:rsidRPr="00A20D64">
        <w:rPr>
          <w:lang w:val="en-US"/>
        </w:rPr>
        <w:t xml:space="preserve">) that the appointment of the first and second respondents as trustees of the trust, is declared to have been irregular, unlawful and void </w:t>
      </w:r>
      <w:r w:rsidR="00E66C5C" w:rsidRPr="00AB4F7E">
        <w:rPr>
          <w:i/>
          <w:lang w:val="en-US"/>
        </w:rPr>
        <w:t>ab i</w:t>
      </w:r>
      <w:r w:rsidR="00AB4F7E" w:rsidRPr="00AB4F7E">
        <w:rPr>
          <w:i/>
          <w:lang w:val="en-US"/>
        </w:rPr>
        <w:t>nitio</w:t>
      </w:r>
      <w:r w:rsidR="00E66C5C" w:rsidRPr="00A20D64">
        <w:rPr>
          <w:lang w:val="en-US"/>
        </w:rPr>
        <w:t>; (ii) the appointment of the first and second respondents as trustees is reviewed and set aside and has no force or effect; (iii) that all decisions taken using the majority of the first and second respondents are reviewed and set aside and have no effect in law; (iv) the appointment of the first and second respondents as agents of the trust</w:t>
      </w:r>
      <w:r w:rsidR="001A5C3D" w:rsidRPr="00A20D64">
        <w:rPr>
          <w:lang w:val="en-US"/>
        </w:rPr>
        <w:t xml:space="preserve"> is declared to have been irregular, unlawful </w:t>
      </w:r>
      <w:r w:rsidR="00E66C5C" w:rsidRPr="00A20D64">
        <w:rPr>
          <w:lang w:val="en-US"/>
        </w:rPr>
        <w:t>and</w:t>
      </w:r>
      <w:r w:rsidR="001A5C3D" w:rsidRPr="00A20D64">
        <w:rPr>
          <w:lang w:val="en-US"/>
        </w:rPr>
        <w:t xml:space="preserve"> void </w:t>
      </w:r>
      <w:r w:rsidR="001A5C3D" w:rsidRPr="00AB4F7E">
        <w:rPr>
          <w:i/>
          <w:lang w:val="en-US"/>
        </w:rPr>
        <w:t>ab initio</w:t>
      </w:r>
      <w:r w:rsidR="001A5C3D" w:rsidRPr="00A20D64">
        <w:rPr>
          <w:lang w:val="en-US"/>
        </w:rPr>
        <w:t>; (v) the appointment of the first and second respondents as agents is reviewed and set aside and has no force or effect; (vi) costs were sought against any respondent who opposed the application.</w:t>
      </w:r>
      <w:r w:rsidR="00E66C5C" w:rsidRPr="00A20D64">
        <w:rPr>
          <w:lang w:val="en-US"/>
        </w:rPr>
        <w:t xml:space="preserve"> </w:t>
      </w:r>
      <w:r w:rsidR="001A5C3D" w:rsidRPr="00A20D64">
        <w:rPr>
          <w:lang w:val="en-US"/>
        </w:rPr>
        <w:t xml:space="preserve">The applicant did not persist with the relief pertaining to a declaration that the conduct of the first and second </w:t>
      </w:r>
      <w:r w:rsidR="001A5C3D" w:rsidRPr="00A20D64">
        <w:rPr>
          <w:lang w:val="en-US"/>
        </w:rPr>
        <w:lastRenderedPageBreak/>
        <w:t>respondents as trustees of the trust was contrary to both the Trust Property Control Act</w:t>
      </w:r>
      <w:r w:rsidR="001A5C3D">
        <w:rPr>
          <w:rStyle w:val="FootnoteReference"/>
          <w:lang w:val="en-US"/>
        </w:rPr>
        <w:footnoteReference w:id="4"/>
      </w:r>
      <w:r w:rsidR="001A5C3D" w:rsidRPr="00A20D64">
        <w:rPr>
          <w:lang w:val="en-US"/>
        </w:rPr>
        <w:t xml:space="preserve"> and the trust deed</w:t>
      </w:r>
      <w:r w:rsidR="0074299E">
        <w:rPr>
          <w:rStyle w:val="FootnoteReference"/>
          <w:lang w:val="en-US"/>
        </w:rPr>
        <w:footnoteReference w:id="5"/>
      </w:r>
      <w:r w:rsidR="001A5C3D" w:rsidRPr="00A20D64">
        <w:rPr>
          <w:lang w:val="en-US"/>
        </w:rPr>
        <w:t>; a declaration that the first and second respondents are delinquent trustees and a declaration that the appointment of the third respondent as attorney and legal advisor of the trust is irregular, unlawful and invalid ab initio.</w:t>
      </w:r>
    </w:p>
    <w:p w:rsidR="00783472" w:rsidRDefault="00025EC3" w:rsidP="00025EC3">
      <w:pPr>
        <w:pStyle w:val="level1"/>
        <w:numPr>
          <w:ilvl w:val="0"/>
          <w:numId w:val="0"/>
        </w:numPr>
        <w:spacing w:after="480" w:line="360" w:lineRule="auto"/>
        <w:jc w:val="both"/>
        <w:rPr>
          <w:lang w:val="en-US"/>
        </w:rPr>
      </w:pPr>
      <w:r>
        <w:rPr>
          <w:lang w:val="en-US"/>
        </w:rPr>
        <w:t>[6]</w:t>
      </w:r>
      <w:r>
        <w:rPr>
          <w:lang w:val="en-US"/>
        </w:rPr>
        <w:tab/>
      </w:r>
      <w:r w:rsidR="009756E1" w:rsidRPr="00FB6AE9">
        <w:rPr>
          <w:lang w:val="en-US"/>
        </w:rPr>
        <w:t xml:space="preserve">The first and second respondents </w:t>
      </w:r>
      <w:r w:rsidR="00030A34">
        <w:rPr>
          <w:lang w:val="en-US"/>
        </w:rPr>
        <w:t xml:space="preserve">(“the trustee respondents”) </w:t>
      </w:r>
      <w:r w:rsidR="009756E1" w:rsidRPr="00FB6AE9">
        <w:rPr>
          <w:lang w:val="en-US"/>
        </w:rPr>
        <w:t>opposed the application and sought its dismissal alternatively a referral to oral evidence</w:t>
      </w:r>
      <w:r w:rsidR="00783472" w:rsidRPr="00783472">
        <w:rPr>
          <w:lang w:val="en-US"/>
        </w:rPr>
        <w:t xml:space="preserve"> </w:t>
      </w:r>
      <w:r w:rsidR="00783472" w:rsidRPr="00FB6AE9">
        <w:rPr>
          <w:lang w:val="en-US"/>
        </w:rPr>
        <w:t>in terms of a proposed draft order</w:t>
      </w:r>
      <w:r w:rsidR="00783472">
        <w:rPr>
          <w:lang w:val="en-US"/>
        </w:rPr>
        <w:t>,</w:t>
      </w:r>
      <w:r w:rsidR="009756E1" w:rsidRPr="00FB6AE9">
        <w:rPr>
          <w:lang w:val="en-US"/>
        </w:rPr>
        <w:t xml:space="preserve"> </w:t>
      </w:r>
      <w:r w:rsidR="002B5FC5">
        <w:rPr>
          <w:lang w:val="en-US"/>
        </w:rPr>
        <w:t xml:space="preserve">on issues </w:t>
      </w:r>
      <w:r w:rsidR="0074299E">
        <w:rPr>
          <w:lang w:val="en-US"/>
        </w:rPr>
        <w:t xml:space="preserve">pertaining to the validity of the signatures of </w:t>
      </w:r>
      <w:proofErr w:type="spellStart"/>
      <w:r w:rsidR="0074299E">
        <w:rPr>
          <w:lang w:val="en-US"/>
        </w:rPr>
        <w:t>Mr</w:t>
      </w:r>
      <w:proofErr w:type="spellEnd"/>
      <w:r w:rsidR="0074299E">
        <w:rPr>
          <w:lang w:val="en-US"/>
        </w:rPr>
        <w:t xml:space="preserve"> </w:t>
      </w:r>
      <w:proofErr w:type="spellStart"/>
      <w:r w:rsidR="0074299E">
        <w:rPr>
          <w:lang w:val="en-US"/>
        </w:rPr>
        <w:t>Bapela</w:t>
      </w:r>
      <w:proofErr w:type="spellEnd"/>
      <w:r w:rsidR="0074299E">
        <w:rPr>
          <w:lang w:val="en-US"/>
        </w:rPr>
        <w:t xml:space="preserve"> and </w:t>
      </w:r>
      <w:proofErr w:type="spellStart"/>
      <w:r w:rsidR="0074299E">
        <w:rPr>
          <w:lang w:val="en-US"/>
        </w:rPr>
        <w:t>Mr</w:t>
      </w:r>
      <w:proofErr w:type="spellEnd"/>
      <w:r w:rsidR="0074299E">
        <w:rPr>
          <w:lang w:val="en-US"/>
        </w:rPr>
        <w:t xml:space="preserve"> Loots on documents pertaining to the decisions sought to be set aside and the sale of share and loan agreements, </w:t>
      </w:r>
      <w:r w:rsidR="002B30C3">
        <w:rPr>
          <w:lang w:val="en-US"/>
        </w:rPr>
        <w:t>on which factual disputes exist on the papers</w:t>
      </w:r>
      <w:r w:rsidR="00783472">
        <w:rPr>
          <w:lang w:val="en-US"/>
        </w:rPr>
        <w:t>.</w:t>
      </w:r>
      <w:r w:rsidR="002B30C3">
        <w:rPr>
          <w:lang w:val="en-US"/>
        </w:rPr>
        <w:t xml:space="preserve"> </w:t>
      </w:r>
    </w:p>
    <w:p w:rsidR="004B3D3E" w:rsidRDefault="00025EC3" w:rsidP="00025EC3">
      <w:pPr>
        <w:pStyle w:val="level1"/>
        <w:numPr>
          <w:ilvl w:val="0"/>
          <w:numId w:val="0"/>
        </w:numPr>
        <w:spacing w:after="480" w:line="360" w:lineRule="auto"/>
        <w:jc w:val="both"/>
        <w:rPr>
          <w:lang w:val="en-US"/>
        </w:rPr>
      </w:pPr>
      <w:r>
        <w:rPr>
          <w:lang w:val="en-US"/>
        </w:rPr>
        <w:t>[7]</w:t>
      </w:r>
      <w:r>
        <w:rPr>
          <w:lang w:val="en-US"/>
        </w:rPr>
        <w:tab/>
      </w:r>
      <w:r w:rsidR="009756E1" w:rsidRPr="00FB6AE9">
        <w:rPr>
          <w:lang w:val="en-US"/>
        </w:rPr>
        <w:t>The sixth re</w:t>
      </w:r>
      <w:r w:rsidR="00492B9C" w:rsidRPr="00FB6AE9">
        <w:rPr>
          <w:lang w:val="en-US"/>
        </w:rPr>
        <w:t>s</w:t>
      </w:r>
      <w:r w:rsidR="009756E1" w:rsidRPr="00FB6AE9">
        <w:rPr>
          <w:lang w:val="en-US"/>
        </w:rPr>
        <w:t>pondent abide</w:t>
      </w:r>
      <w:r w:rsidR="002B5FC5">
        <w:rPr>
          <w:lang w:val="en-US"/>
        </w:rPr>
        <w:t>d</w:t>
      </w:r>
      <w:r w:rsidR="009756E1" w:rsidRPr="00FB6AE9">
        <w:rPr>
          <w:lang w:val="en-US"/>
        </w:rPr>
        <w:t xml:space="preserve"> the court’s decision. The </w:t>
      </w:r>
      <w:r w:rsidR="002B5FC5">
        <w:rPr>
          <w:lang w:val="en-US"/>
        </w:rPr>
        <w:t>fifth</w:t>
      </w:r>
      <w:r w:rsidR="001877F5">
        <w:rPr>
          <w:lang w:val="en-US"/>
        </w:rPr>
        <w:t>, sixth</w:t>
      </w:r>
      <w:r w:rsidR="002B5FC5">
        <w:rPr>
          <w:lang w:val="en-US"/>
        </w:rPr>
        <w:t xml:space="preserve"> and seventh</w:t>
      </w:r>
      <w:r w:rsidR="00492B9C" w:rsidRPr="00FB6AE9">
        <w:rPr>
          <w:lang w:val="en-US"/>
        </w:rPr>
        <w:t xml:space="preserve"> respondents did not actively participate in the </w:t>
      </w:r>
      <w:r w:rsidR="009756E1" w:rsidRPr="00FB6AE9">
        <w:rPr>
          <w:lang w:val="en-US"/>
        </w:rPr>
        <w:t>application</w:t>
      </w:r>
      <w:r w:rsidR="00492B9C" w:rsidRPr="00FB6AE9">
        <w:rPr>
          <w:lang w:val="en-US"/>
        </w:rPr>
        <w:t>.</w:t>
      </w:r>
      <w:r w:rsidR="00FB6AE9">
        <w:rPr>
          <w:lang w:val="en-US"/>
        </w:rPr>
        <w:t xml:space="preserve"> </w:t>
      </w:r>
    </w:p>
    <w:p w:rsidR="002F6EB6" w:rsidRDefault="00025EC3" w:rsidP="00025EC3">
      <w:pPr>
        <w:pStyle w:val="level1"/>
        <w:numPr>
          <w:ilvl w:val="0"/>
          <w:numId w:val="0"/>
        </w:numPr>
        <w:spacing w:after="480" w:line="360" w:lineRule="auto"/>
        <w:jc w:val="both"/>
        <w:rPr>
          <w:lang w:val="en-US"/>
        </w:rPr>
      </w:pPr>
      <w:r>
        <w:rPr>
          <w:lang w:val="en-US"/>
        </w:rPr>
        <w:t>[8]</w:t>
      </w:r>
      <w:r>
        <w:rPr>
          <w:lang w:val="en-US"/>
        </w:rPr>
        <w:tab/>
      </w:r>
      <w:r w:rsidR="002F6EB6">
        <w:rPr>
          <w:lang w:val="en-US"/>
        </w:rPr>
        <w:t>No relief was sought by the applicants against the fourth respondent, who was simply cited as a party in the application papers without disclosing its interest in the proceedings. In the applicant’s founding papers, the only reference to the fourth respondent is in relation to documents disclosed by the first respondent in arbitration proceedings launched by the fourth respondent.</w:t>
      </w:r>
    </w:p>
    <w:p w:rsidR="001877F5" w:rsidRDefault="00025EC3" w:rsidP="00025EC3">
      <w:pPr>
        <w:pStyle w:val="level1"/>
        <w:numPr>
          <w:ilvl w:val="0"/>
          <w:numId w:val="0"/>
        </w:numPr>
        <w:spacing w:after="480" w:line="360" w:lineRule="auto"/>
        <w:jc w:val="both"/>
        <w:rPr>
          <w:lang w:val="en-US"/>
        </w:rPr>
      </w:pPr>
      <w:r>
        <w:rPr>
          <w:lang w:val="en-US"/>
        </w:rPr>
        <w:t>[9]</w:t>
      </w:r>
      <w:r>
        <w:rPr>
          <w:lang w:val="en-US"/>
        </w:rPr>
        <w:tab/>
      </w:r>
      <w:r w:rsidR="00492B9C" w:rsidRPr="00FB6AE9">
        <w:rPr>
          <w:lang w:val="en-US"/>
        </w:rPr>
        <w:t xml:space="preserve">The fourth respondent, after delivering a notice to abide on 21 September 2021, withdrew such notice </w:t>
      </w:r>
      <w:r w:rsidR="001877F5">
        <w:rPr>
          <w:lang w:val="en-US"/>
        </w:rPr>
        <w:t xml:space="preserve">shortly before the hearing </w:t>
      </w:r>
      <w:r w:rsidR="00492B9C" w:rsidRPr="00FB6AE9">
        <w:rPr>
          <w:lang w:val="en-US"/>
        </w:rPr>
        <w:t xml:space="preserve">on 13 May 2022 and on the same date, delivered an intention to oppose. No opposing papers were filed, but the fourth respondent was represented at the hearing and submitted heads of argument. The stance adopted by the fourth respondent </w:t>
      </w:r>
      <w:r w:rsidR="00030A34">
        <w:rPr>
          <w:lang w:val="en-US"/>
        </w:rPr>
        <w:t xml:space="preserve">was to </w:t>
      </w:r>
      <w:r w:rsidR="001877F5">
        <w:rPr>
          <w:lang w:val="en-US"/>
        </w:rPr>
        <w:t>s</w:t>
      </w:r>
      <w:r w:rsidR="00492B9C" w:rsidRPr="00FB6AE9">
        <w:rPr>
          <w:lang w:val="en-US"/>
        </w:rPr>
        <w:t>upport the applica</w:t>
      </w:r>
      <w:r w:rsidR="00030A34">
        <w:rPr>
          <w:lang w:val="en-US"/>
        </w:rPr>
        <w:t xml:space="preserve">tion and to argue against the </w:t>
      </w:r>
      <w:proofErr w:type="spellStart"/>
      <w:r w:rsidR="00030A34">
        <w:rPr>
          <w:lang w:val="en-US"/>
        </w:rPr>
        <w:t>defences</w:t>
      </w:r>
      <w:proofErr w:type="spellEnd"/>
      <w:r w:rsidR="00030A34">
        <w:rPr>
          <w:lang w:val="en-US"/>
        </w:rPr>
        <w:t xml:space="preserve"> raised by the trustee respondents, despite filing a notice of opposition</w:t>
      </w:r>
      <w:r w:rsidR="00492B9C" w:rsidRPr="00FB6AE9">
        <w:rPr>
          <w:lang w:val="en-US"/>
        </w:rPr>
        <w:t>.</w:t>
      </w:r>
      <w:r w:rsidR="004B3D3E">
        <w:rPr>
          <w:lang w:val="en-US"/>
        </w:rPr>
        <w:t xml:space="preserve"> </w:t>
      </w:r>
    </w:p>
    <w:p w:rsidR="009756E1" w:rsidRPr="004A12EC" w:rsidRDefault="00025EC3" w:rsidP="00025EC3">
      <w:pPr>
        <w:pStyle w:val="level1"/>
        <w:numPr>
          <w:ilvl w:val="0"/>
          <w:numId w:val="0"/>
        </w:numPr>
        <w:spacing w:after="480" w:line="360" w:lineRule="auto"/>
        <w:jc w:val="both"/>
        <w:rPr>
          <w:lang w:val="en-US"/>
        </w:rPr>
      </w:pPr>
      <w:r w:rsidRPr="004A12EC">
        <w:rPr>
          <w:lang w:val="en-US"/>
        </w:rPr>
        <w:lastRenderedPageBreak/>
        <w:t>[10]</w:t>
      </w:r>
      <w:r w:rsidRPr="004A12EC">
        <w:rPr>
          <w:lang w:val="en-US"/>
        </w:rPr>
        <w:tab/>
      </w:r>
      <w:r w:rsidR="004B3D3E" w:rsidRPr="004A12EC">
        <w:rPr>
          <w:lang w:val="en-US"/>
        </w:rPr>
        <w:t>The first and second re</w:t>
      </w:r>
      <w:r w:rsidR="002B5FC5" w:rsidRPr="004A12EC">
        <w:rPr>
          <w:lang w:val="en-US"/>
        </w:rPr>
        <w:t>s</w:t>
      </w:r>
      <w:r w:rsidR="004B3D3E" w:rsidRPr="004A12EC">
        <w:rPr>
          <w:lang w:val="en-US"/>
        </w:rPr>
        <w:t xml:space="preserve">pondents objected to this approach contending that the fourth respondent had not established any legal nexus to the issues before the court as it has no legal, financial or commercial interest in the relief claimed. It further only shortly before the hearing sought to withdraw a right it had consciously waived. </w:t>
      </w:r>
      <w:r w:rsidR="00365BCE" w:rsidRPr="004A12EC">
        <w:rPr>
          <w:lang w:val="en-US"/>
        </w:rPr>
        <w:t xml:space="preserve">The stance adopted by the </w:t>
      </w:r>
      <w:r w:rsidR="00F04D74" w:rsidRPr="004A12EC">
        <w:rPr>
          <w:lang w:val="en-US"/>
        </w:rPr>
        <w:t xml:space="preserve">fourth respondent </w:t>
      </w:r>
      <w:r w:rsidR="00365BCE" w:rsidRPr="004A12EC">
        <w:rPr>
          <w:lang w:val="en-US"/>
        </w:rPr>
        <w:t>is, at first blush, contradictory</w:t>
      </w:r>
      <w:r w:rsidR="004A12EC">
        <w:rPr>
          <w:lang w:val="en-US"/>
        </w:rPr>
        <w:t xml:space="preserve"> and no explanation was tendered as to its interest in the proceedings</w:t>
      </w:r>
      <w:r w:rsidR="00365BCE" w:rsidRPr="004A12EC">
        <w:rPr>
          <w:lang w:val="en-US"/>
        </w:rPr>
        <w:t xml:space="preserve">. </w:t>
      </w:r>
      <w:r w:rsidR="004A12EC">
        <w:rPr>
          <w:lang w:val="en-US"/>
        </w:rPr>
        <w:t>I</w:t>
      </w:r>
      <w:r w:rsidR="00365BCE" w:rsidRPr="004A12EC">
        <w:rPr>
          <w:lang w:val="en-US"/>
        </w:rPr>
        <w:t xml:space="preserve">n light of the view I take of the matter, it is not </w:t>
      </w:r>
      <w:r w:rsidR="00783472">
        <w:rPr>
          <w:lang w:val="en-US"/>
        </w:rPr>
        <w:t xml:space="preserve">however </w:t>
      </w:r>
      <w:r w:rsidR="00365BCE" w:rsidRPr="004A12EC">
        <w:rPr>
          <w:lang w:val="en-US"/>
        </w:rPr>
        <w:t xml:space="preserve">for present purposes necessary or appropriate to make any finding on whether the fourth respondent is obliged to </w:t>
      </w:r>
      <w:r w:rsidR="00F04D74" w:rsidRPr="004A12EC">
        <w:rPr>
          <w:lang w:val="en-US"/>
        </w:rPr>
        <w:t>establish any legal nexus to the issues before court</w:t>
      </w:r>
      <w:r w:rsidR="00365BCE" w:rsidRPr="004A12EC">
        <w:rPr>
          <w:lang w:val="en-US"/>
        </w:rPr>
        <w:t xml:space="preserve"> before it may make submissions</w:t>
      </w:r>
      <w:r w:rsidR="00F04D74" w:rsidRPr="004A12EC">
        <w:rPr>
          <w:lang w:val="en-US"/>
        </w:rPr>
        <w:t xml:space="preserve">. </w:t>
      </w:r>
    </w:p>
    <w:p w:rsidR="00A20D64" w:rsidRDefault="00025EC3" w:rsidP="00025EC3">
      <w:pPr>
        <w:pStyle w:val="level1"/>
        <w:numPr>
          <w:ilvl w:val="0"/>
          <w:numId w:val="0"/>
        </w:numPr>
        <w:spacing w:after="480" w:line="360" w:lineRule="auto"/>
        <w:jc w:val="both"/>
        <w:rPr>
          <w:lang w:val="en-US"/>
        </w:rPr>
      </w:pPr>
      <w:r>
        <w:rPr>
          <w:lang w:val="en-US"/>
        </w:rPr>
        <w:t>[11]</w:t>
      </w:r>
      <w:r>
        <w:rPr>
          <w:lang w:val="en-US"/>
        </w:rPr>
        <w:tab/>
      </w:r>
      <w:r w:rsidR="00A20D64">
        <w:rPr>
          <w:lang w:val="en-US"/>
        </w:rPr>
        <w:t xml:space="preserve">In argument, the applicants’ case was that the central issue was </w:t>
      </w:r>
      <w:r w:rsidR="00783472">
        <w:rPr>
          <w:lang w:val="en-US"/>
        </w:rPr>
        <w:t xml:space="preserve">a </w:t>
      </w:r>
      <w:r w:rsidR="00A20D64">
        <w:rPr>
          <w:lang w:val="en-US"/>
        </w:rPr>
        <w:t>crisp</w:t>
      </w:r>
      <w:r w:rsidR="00783472">
        <w:rPr>
          <w:lang w:val="en-US"/>
        </w:rPr>
        <w:t xml:space="preserve"> legal issue based on common cause facts</w:t>
      </w:r>
      <w:r w:rsidR="00A20D64">
        <w:rPr>
          <w:lang w:val="en-US"/>
        </w:rPr>
        <w:t>, being whether they established that the appointment of the first and second respondents did not accord with the trust deed</w:t>
      </w:r>
      <w:r w:rsidR="00783472">
        <w:rPr>
          <w:lang w:val="en-US"/>
        </w:rPr>
        <w:t>. It was argued that</w:t>
      </w:r>
      <w:r w:rsidR="00A20D64">
        <w:rPr>
          <w:lang w:val="en-US"/>
        </w:rPr>
        <w:t xml:space="preserve"> there were no factual disputes on the papers which precluded the relief sought being granted</w:t>
      </w:r>
      <w:r w:rsidR="00783472">
        <w:rPr>
          <w:lang w:val="en-US"/>
        </w:rPr>
        <w:t>.</w:t>
      </w:r>
      <w:r w:rsidR="004F4669">
        <w:rPr>
          <w:lang w:val="en-US"/>
        </w:rPr>
        <w:t xml:space="preserve"> Their central contention was that neither of the applicants was involved in the decision to appoint the trustee respondents at a ti</w:t>
      </w:r>
      <w:r w:rsidR="00783472">
        <w:rPr>
          <w:lang w:val="en-US"/>
        </w:rPr>
        <w:t>m</w:t>
      </w:r>
      <w:r w:rsidR="004F4669">
        <w:rPr>
          <w:lang w:val="en-US"/>
        </w:rPr>
        <w:t xml:space="preserve">e when the trust only had two trustees. </w:t>
      </w:r>
    </w:p>
    <w:p w:rsidR="00A20D64" w:rsidRDefault="00025EC3" w:rsidP="00025EC3">
      <w:pPr>
        <w:pStyle w:val="level1"/>
        <w:numPr>
          <w:ilvl w:val="0"/>
          <w:numId w:val="0"/>
        </w:numPr>
        <w:spacing w:after="480" w:line="360" w:lineRule="auto"/>
        <w:jc w:val="both"/>
        <w:rPr>
          <w:lang w:val="en-US"/>
        </w:rPr>
      </w:pPr>
      <w:r>
        <w:rPr>
          <w:lang w:val="en-US"/>
        </w:rPr>
        <w:t>[12]</w:t>
      </w:r>
      <w:r>
        <w:rPr>
          <w:lang w:val="en-US"/>
        </w:rPr>
        <w:tab/>
      </w:r>
      <w:r w:rsidR="00A20D64">
        <w:rPr>
          <w:lang w:val="en-US"/>
        </w:rPr>
        <w:t>The trustee respondents on the other hand</w:t>
      </w:r>
      <w:r w:rsidR="004F4669">
        <w:rPr>
          <w:lang w:val="en-US"/>
        </w:rPr>
        <w:t>, argued that there were numerous bona fide factual disputes which are not resoluble on the papers</w:t>
      </w:r>
      <w:r w:rsidR="0074299E">
        <w:rPr>
          <w:lang w:val="en-US"/>
        </w:rPr>
        <w:t xml:space="preserve"> requiring a referral to oral evidence</w:t>
      </w:r>
      <w:r w:rsidR="00DD0D0D">
        <w:rPr>
          <w:lang w:val="en-US"/>
        </w:rPr>
        <w:t xml:space="preserve">, including the </w:t>
      </w:r>
      <w:r w:rsidR="007E66A1">
        <w:rPr>
          <w:lang w:val="en-US"/>
        </w:rPr>
        <w:t xml:space="preserve">involvement of </w:t>
      </w:r>
      <w:proofErr w:type="spellStart"/>
      <w:r w:rsidR="007E66A1">
        <w:rPr>
          <w:lang w:val="en-US"/>
        </w:rPr>
        <w:t>Mr</w:t>
      </w:r>
      <w:proofErr w:type="spellEnd"/>
      <w:r w:rsidR="007E66A1">
        <w:rPr>
          <w:lang w:val="en-US"/>
        </w:rPr>
        <w:t xml:space="preserve"> </w:t>
      </w:r>
      <w:proofErr w:type="spellStart"/>
      <w:r w:rsidR="007E66A1">
        <w:rPr>
          <w:lang w:val="en-US"/>
        </w:rPr>
        <w:t>Bapela</w:t>
      </w:r>
      <w:proofErr w:type="spellEnd"/>
      <w:r w:rsidR="007E66A1">
        <w:rPr>
          <w:lang w:val="en-US"/>
        </w:rPr>
        <w:t xml:space="preserve"> in the trust and the </w:t>
      </w:r>
      <w:r w:rsidR="00DD0D0D">
        <w:rPr>
          <w:lang w:val="en-US"/>
        </w:rPr>
        <w:t xml:space="preserve">validity of </w:t>
      </w:r>
      <w:r w:rsidR="007E66A1">
        <w:rPr>
          <w:lang w:val="en-US"/>
        </w:rPr>
        <w:t>his</w:t>
      </w:r>
      <w:r w:rsidR="00DD0D0D">
        <w:rPr>
          <w:lang w:val="en-US"/>
        </w:rPr>
        <w:t xml:space="preserve"> signature on one of the documents pertaining to one of the resolutions sought to be set aside, which </w:t>
      </w:r>
      <w:proofErr w:type="spellStart"/>
      <w:r w:rsidR="00DD0D0D">
        <w:rPr>
          <w:lang w:val="en-US"/>
        </w:rPr>
        <w:t>Mr</w:t>
      </w:r>
      <w:proofErr w:type="spellEnd"/>
      <w:r w:rsidR="00DD0D0D">
        <w:rPr>
          <w:lang w:val="en-US"/>
        </w:rPr>
        <w:t xml:space="preserve"> </w:t>
      </w:r>
      <w:proofErr w:type="spellStart"/>
      <w:r w:rsidR="00DD0D0D">
        <w:rPr>
          <w:lang w:val="en-US"/>
        </w:rPr>
        <w:t>Bapela</w:t>
      </w:r>
      <w:proofErr w:type="spellEnd"/>
      <w:r w:rsidR="00DD0D0D">
        <w:rPr>
          <w:lang w:val="en-US"/>
        </w:rPr>
        <w:t xml:space="preserve"> broadly allege</w:t>
      </w:r>
      <w:r w:rsidR="0074299E">
        <w:rPr>
          <w:lang w:val="en-US"/>
        </w:rPr>
        <w:t>d</w:t>
      </w:r>
      <w:r w:rsidR="00DD0D0D">
        <w:rPr>
          <w:lang w:val="en-US"/>
        </w:rPr>
        <w:t xml:space="preserve"> is a fraud</w:t>
      </w:r>
      <w:r w:rsidR="00783472">
        <w:rPr>
          <w:lang w:val="en-US"/>
        </w:rPr>
        <w:t>.</w:t>
      </w:r>
      <w:r w:rsidR="004F4669">
        <w:rPr>
          <w:lang w:val="en-US"/>
        </w:rPr>
        <w:t xml:space="preserve"> </w:t>
      </w:r>
    </w:p>
    <w:p w:rsidR="00DD0D0D" w:rsidRPr="0073716C" w:rsidRDefault="00025EC3" w:rsidP="00025EC3">
      <w:pPr>
        <w:pStyle w:val="level1"/>
        <w:numPr>
          <w:ilvl w:val="0"/>
          <w:numId w:val="0"/>
        </w:numPr>
        <w:spacing w:after="480" w:line="360" w:lineRule="auto"/>
        <w:jc w:val="both"/>
        <w:rPr>
          <w:lang w:val="en-US"/>
        </w:rPr>
      </w:pPr>
      <w:r w:rsidRPr="0073716C">
        <w:rPr>
          <w:lang w:val="en-US"/>
        </w:rPr>
        <w:t>[13]</w:t>
      </w:r>
      <w:r w:rsidRPr="0073716C">
        <w:rPr>
          <w:lang w:val="en-US"/>
        </w:rPr>
        <w:tab/>
      </w:r>
      <w:r w:rsidR="00DD0D0D" w:rsidRPr="0073716C">
        <w:rPr>
          <w:lang w:val="en-US"/>
        </w:rPr>
        <w:t xml:space="preserve">The applicant seeks final relief. The matter is thus to be determined on the basis of the so called </w:t>
      </w:r>
      <w:proofErr w:type="spellStart"/>
      <w:r w:rsidR="00DD0D0D" w:rsidRPr="0073716C">
        <w:rPr>
          <w:lang w:val="en-US"/>
        </w:rPr>
        <w:t>Plascon</w:t>
      </w:r>
      <w:proofErr w:type="spellEnd"/>
      <w:r w:rsidR="00DD0D0D" w:rsidRPr="0073716C">
        <w:rPr>
          <w:lang w:val="en-US"/>
        </w:rPr>
        <w:t xml:space="preserve"> Evans test</w:t>
      </w:r>
      <w:r w:rsidR="00DD0D0D">
        <w:rPr>
          <w:rStyle w:val="FootnoteReference"/>
          <w:lang w:val="en-US"/>
        </w:rPr>
        <w:footnoteReference w:id="6"/>
      </w:r>
      <w:r w:rsidR="00DD0D0D" w:rsidRPr="0073716C">
        <w:rPr>
          <w:lang w:val="en-US"/>
        </w:rPr>
        <w:t>. It is well established that motion proceedings, unless concerned with interim relief, are about the resolution of legal issues based on common cause facts.</w:t>
      </w:r>
      <w:r w:rsidR="00DD0D0D">
        <w:rPr>
          <w:lang w:val="en-US"/>
        </w:rPr>
        <w:t xml:space="preserve"> </w:t>
      </w:r>
      <w:r w:rsidR="00DD0D0D" w:rsidRPr="0073716C">
        <w:rPr>
          <w:lang w:val="en-US"/>
        </w:rPr>
        <w:t xml:space="preserve">Where there is a genuine dispute of fact, the respondent’s version must be </w:t>
      </w:r>
      <w:r w:rsidR="00DD0D0D" w:rsidRPr="0073716C">
        <w:rPr>
          <w:lang w:val="en-US"/>
        </w:rPr>
        <w:lastRenderedPageBreak/>
        <w:t>accepted. A dispute will not be genuine if it is so far-fetched or so clearly untenable that it can be safely rejected on the papers.</w:t>
      </w:r>
      <w:r w:rsidR="00DD0D0D">
        <w:rPr>
          <w:rStyle w:val="FootnoteReference"/>
          <w:lang w:val="en-US"/>
        </w:rPr>
        <w:footnoteReference w:id="7"/>
      </w:r>
      <w:r w:rsidR="00DD0D0D" w:rsidRPr="0073716C">
        <w:rPr>
          <w:lang w:val="en-US"/>
        </w:rPr>
        <w:t xml:space="preserve">  </w:t>
      </w:r>
    </w:p>
    <w:p w:rsidR="0074299E" w:rsidRDefault="00025EC3" w:rsidP="00025EC3">
      <w:pPr>
        <w:pStyle w:val="level1"/>
        <w:numPr>
          <w:ilvl w:val="0"/>
          <w:numId w:val="0"/>
        </w:numPr>
        <w:spacing w:after="480" w:line="360" w:lineRule="auto"/>
        <w:jc w:val="both"/>
        <w:rPr>
          <w:lang w:val="en-US"/>
        </w:rPr>
      </w:pPr>
      <w:r>
        <w:rPr>
          <w:lang w:val="en-US"/>
        </w:rPr>
        <w:t>[14]</w:t>
      </w:r>
      <w:r>
        <w:rPr>
          <w:lang w:val="en-US"/>
        </w:rPr>
        <w:tab/>
      </w:r>
      <w:r w:rsidR="0074299E" w:rsidRPr="0074299E">
        <w:rPr>
          <w:lang w:val="en-US"/>
        </w:rPr>
        <w:t xml:space="preserve">The applicants, supported by the fourth respondent, argued that the trustee respondents’ version should be rejected as contradictory, palpably false and untenable on the papers. By way of example, the applicants argued that the trustee respondents’ contestations regarding </w:t>
      </w:r>
      <w:proofErr w:type="spellStart"/>
      <w:r w:rsidR="0074299E" w:rsidRPr="0074299E">
        <w:rPr>
          <w:lang w:val="en-US"/>
        </w:rPr>
        <w:t>Mr</w:t>
      </w:r>
      <w:proofErr w:type="spellEnd"/>
      <w:r w:rsidR="0074299E" w:rsidRPr="0074299E">
        <w:rPr>
          <w:lang w:val="en-US"/>
        </w:rPr>
        <w:t xml:space="preserve"> </w:t>
      </w:r>
      <w:proofErr w:type="spellStart"/>
      <w:r w:rsidR="0074299E" w:rsidRPr="0074299E">
        <w:rPr>
          <w:lang w:val="en-US"/>
        </w:rPr>
        <w:t>Bapela’s</w:t>
      </w:r>
      <w:proofErr w:type="spellEnd"/>
      <w:r w:rsidR="0074299E" w:rsidRPr="0074299E">
        <w:rPr>
          <w:lang w:val="en-US"/>
        </w:rPr>
        <w:t xml:space="preserve"> signature on the resolution of 4 August 2020 should be ignored as it is not a real, genuine or bona fide dispute of fact even on the respondent’s version. It was further argued that the respondents have not in their affidavit seriously and unambiguously addressed the facts said to be disputed. </w:t>
      </w:r>
    </w:p>
    <w:p w:rsidR="0074299E" w:rsidRPr="0074299E" w:rsidRDefault="00025EC3" w:rsidP="00025EC3">
      <w:pPr>
        <w:pStyle w:val="level1"/>
        <w:numPr>
          <w:ilvl w:val="0"/>
          <w:numId w:val="0"/>
        </w:numPr>
        <w:spacing w:after="480" w:line="360" w:lineRule="auto"/>
        <w:jc w:val="both"/>
        <w:rPr>
          <w:lang w:val="en-US"/>
        </w:rPr>
      </w:pPr>
      <w:r w:rsidRPr="0074299E">
        <w:rPr>
          <w:lang w:val="en-US"/>
        </w:rPr>
        <w:t>[15]</w:t>
      </w:r>
      <w:r w:rsidRPr="0074299E">
        <w:rPr>
          <w:lang w:val="en-US"/>
        </w:rPr>
        <w:tab/>
      </w:r>
      <w:r w:rsidR="0074299E" w:rsidRPr="0074299E">
        <w:rPr>
          <w:lang w:val="en-US"/>
        </w:rPr>
        <w:t>I do not agree. The test for rejection of a respondent’s version on paper as palpably false or untenable</w:t>
      </w:r>
      <w:r w:rsidR="0074299E">
        <w:rPr>
          <w:rStyle w:val="FootnoteReference"/>
          <w:lang w:val="en-US"/>
        </w:rPr>
        <w:footnoteReference w:id="8"/>
      </w:r>
      <w:r w:rsidR="0074299E" w:rsidRPr="0074299E">
        <w:rPr>
          <w:lang w:val="en-US"/>
        </w:rPr>
        <w:t xml:space="preserve"> is a stringent one</w:t>
      </w:r>
      <w:r w:rsidR="0074299E">
        <w:rPr>
          <w:rStyle w:val="FootnoteReference"/>
          <w:lang w:val="en-US"/>
        </w:rPr>
        <w:footnoteReference w:id="9"/>
      </w:r>
      <w:r w:rsidR="0074299E" w:rsidRPr="0074299E">
        <w:rPr>
          <w:lang w:val="en-US"/>
        </w:rPr>
        <w:t xml:space="preserve"> and I am not persuaded that such threshold has been met. The trustee respondents have not persisted with bald denials but have grappled with the issues raised by the applicants in their founding papers and </w:t>
      </w:r>
      <w:r w:rsidR="0074299E">
        <w:rPr>
          <w:lang w:val="en-US"/>
        </w:rPr>
        <w:t xml:space="preserve">have </w:t>
      </w:r>
      <w:r w:rsidR="0074299E" w:rsidRPr="0074299E">
        <w:rPr>
          <w:lang w:val="en-US"/>
        </w:rPr>
        <w:t xml:space="preserve">provided a detailed version of events. That version cannot be rejected on the basis of probability findings, as the applicants and the fourth respondent urged me to do </w:t>
      </w:r>
      <w:r w:rsidR="00AB4F7E">
        <w:rPr>
          <w:lang w:val="en-US"/>
        </w:rPr>
        <w:t>on</w:t>
      </w:r>
      <w:r w:rsidR="0074299E" w:rsidRPr="0074299E">
        <w:rPr>
          <w:lang w:val="en-US"/>
        </w:rPr>
        <w:t xml:space="preserve"> various </w:t>
      </w:r>
      <w:r w:rsidR="00AB4F7E">
        <w:rPr>
          <w:lang w:val="en-US"/>
        </w:rPr>
        <w:t>issues</w:t>
      </w:r>
      <w:r w:rsidR="0074299E" w:rsidRPr="0074299E">
        <w:rPr>
          <w:lang w:val="en-US"/>
        </w:rPr>
        <w:t>.</w:t>
      </w:r>
    </w:p>
    <w:p w:rsidR="00DD0D0D" w:rsidRPr="00E277BA" w:rsidRDefault="00025EC3" w:rsidP="00025EC3">
      <w:pPr>
        <w:pStyle w:val="level1"/>
        <w:numPr>
          <w:ilvl w:val="0"/>
          <w:numId w:val="0"/>
        </w:numPr>
        <w:spacing w:after="480" w:line="360" w:lineRule="auto"/>
        <w:jc w:val="both"/>
        <w:rPr>
          <w:lang w:val="en-US"/>
        </w:rPr>
      </w:pPr>
      <w:r w:rsidRPr="00E277BA">
        <w:rPr>
          <w:lang w:val="en-US"/>
        </w:rPr>
        <w:t>[16]</w:t>
      </w:r>
      <w:r w:rsidRPr="00E277BA">
        <w:rPr>
          <w:lang w:val="en-US"/>
        </w:rPr>
        <w:tab/>
      </w:r>
      <w:r w:rsidR="00DD0D0D" w:rsidRPr="00E277BA">
        <w:rPr>
          <w:lang w:val="en-US"/>
        </w:rPr>
        <w:t xml:space="preserve">In </w:t>
      </w:r>
      <w:r w:rsidR="00DD0D0D" w:rsidRPr="00E277BA">
        <w:rPr>
          <w:i/>
          <w:lang w:val="en-US"/>
        </w:rPr>
        <w:t xml:space="preserve">Buffalo Freight Systems (Pty) Ltd v </w:t>
      </w:r>
      <w:proofErr w:type="spellStart"/>
      <w:r w:rsidR="00DD0D0D" w:rsidRPr="00E277BA">
        <w:rPr>
          <w:i/>
          <w:lang w:val="en-US"/>
        </w:rPr>
        <w:t>Crestleigh</w:t>
      </w:r>
      <w:proofErr w:type="spellEnd"/>
      <w:r w:rsidR="00DD0D0D" w:rsidRPr="00E277BA">
        <w:rPr>
          <w:i/>
          <w:lang w:val="en-US"/>
        </w:rPr>
        <w:t xml:space="preserve"> Trading (Pty) Ltd and Another</w:t>
      </w:r>
      <w:r w:rsidR="00DD0D0D">
        <w:rPr>
          <w:rStyle w:val="FootnoteReference"/>
          <w:lang w:val="en-US"/>
        </w:rPr>
        <w:footnoteReference w:id="10"/>
      </w:r>
      <w:r w:rsidR="00DD0D0D" w:rsidRPr="00E277BA">
        <w:rPr>
          <w:lang w:val="en-US"/>
        </w:rPr>
        <w:t>, the Supreme Court of Appeal enunciated the approach to be followed in relation to whether disputes of fact are bona fide</w:t>
      </w:r>
      <w:r w:rsidR="00DD0D0D">
        <w:rPr>
          <w:lang w:val="en-US"/>
        </w:rPr>
        <w:t xml:space="preserve"> </w:t>
      </w:r>
      <w:r w:rsidR="00DD0D0D" w:rsidRPr="00E277BA">
        <w:rPr>
          <w:lang w:val="en-US"/>
        </w:rPr>
        <w:t>thus:</w:t>
      </w:r>
    </w:p>
    <w:p w:rsidR="00DD0D0D" w:rsidRPr="00275BCC" w:rsidRDefault="00DD0D0D" w:rsidP="00DD0D0D">
      <w:pPr>
        <w:pStyle w:val="level1"/>
        <w:numPr>
          <w:ilvl w:val="0"/>
          <w:numId w:val="0"/>
        </w:numPr>
        <w:spacing w:after="480"/>
        <w:ind w:left="360"/>
        <w:rPr>
          <w:i/>
          <w:sz w:val="20"/>
          <w:szCs w:val="20"/>
          <w:lang w:val="en-US"/>
        </w:rPr>
      </w:pPr>
      <w:r w:rsidRPr="00275BCC">
        <w:rPr>
          <w:i/>
          <w:sz w:val="20"/>
          <w:szCs w:val="20"/>
          <w:lang w:val="en-US"/>
        </w:rPr>
        <w:t>“</w:t>
      </w:r>
      <w:r w:rsidRPr="00275BCC">
        <w:rPr>
          <w:i/>
          <w:sz w:val="20"/>
          <w:szCs w:val="20"/>
          <w:lang w:val="af-ZA"/>
        </w:rPr>
        <w:t>The court should be prepared to undertake an objective analysis of such disputes when required to do so. In J W Wightman (Pty) Ltd v Headfour (Pty) Ltd 2008 (3) SA 371(SCA), it was suggested how that might be done in appropriate circumstances. ....</w:t>
      </w:r>
    </w:p>
    <w:p w:rsidR="00DD0D0D" w:rsidRPr="00275BCC" w:rsidRDefault="00DD0D0D" w:rsidP="00DD0D0D">
      <w:pPr>
        <w:pStyle w:val="level1"/>
        <w:numPr>
          <w:ilvl w:val="0"/>
          <w:numId w:val="0"/>
        </w:numPr>
        <w:spacing w:after="480"/>
        <w:ind w:left="360"/>
        <w:rPr>
          <w:i/>
          <w:sz w:val="20"/>
          <w:szCs w:val="20"/>
          <w:lang w:val="af-ZA"/>
        </w:rPr>
      </w:pPr>
      <w:r w:rsidRPr="00275BCC">
        <w:rPr>
          <w:i/>
          <w:sz w:val="20"/>
          <w:szCs w:val="20"/>
          <w:lang w:val="af-ZA"/>
        </w:rPr>
        <w:lastRenderedPageBreak/>
        <w:t xml:space="preserve">A court must always be cautious about deciding probabilities in the face of conflicts of facts in affidavits. Affidavits are settled by legal advisers with varying degrees of experience, skill and diligence and a litigant should not pay the price for an adviser’s shortcomings. Judgment on the credibility of the deponent, absent direct and obvious contradictions, should be left open. Nevertheless the courts have recognised reasons to take a stronger line to avoid injustice. In Da Mata v Otto 1972 (3) SA 858 (A) at 689 D-E, the following was said: </w:t>
      </w:r>
    </w:p>
    <w:p w:rsidR="00DD0D0D" w:rsidRPr="00275BCC" w:rsidRDefault="00DD0D0D" w:rsidP="00DD0D0D">
      <w:pPr>
        <w:pStyle w:val="level1"/>
        <w:numPr>
          <w:ilvl w:val="0"/>
          <w:numId w:val="0"/>
        </w:numPr>
        <w:spacing w:after="480"/>
        <w:ind w:left="360"/>
        <w:rPr>
          <w:i/>
          <w:sz w:val="20"/>
          <w:szCs w:val="20"/>
        </w:rPr>
      </w:pPr>
      <w:r w:rsidRPr="00275BCC">
        <w:rPr>
          <w:i/>
          <w:sz w:val="20"/>
          <w:szCs w:val="20"/>
        </w:rPr>
        <w:t xml:space="preserve">In regard to the appellant </w:t>
      </w:r>
      <w:r w:rsidRPr="00275BCC">
        <w:rPr>
          <w:rFonts w:cs="Arial"/>
          <w:i/>
          <w:sz w:val="20"/>
          <w:szCs w:val="20"/>
        </w:rPr>
        <w:t>‘</w:t>
      </w:r>
      <w:r w:rsidRPr="00275BCC">
        <w:rPr>
          <w:i/>
          <w:sz w:val="20"/>
          <w:szCs w:val="20"/>
        </w:rPr>
        <w:t xml:space="preserve">s sworn statements alleging the oral agreement, it does not follow that because these allegations were not contradicted </w:t>
      </w:r>
      <w:r w:rsidRPr="00275BCC">
        <w:rPr>
          <w:rFonts w:cs="Arial"/>
          <w:i/>
          <w:sz w:val="20"/>
          <w:szCs w:val="20"/>
        </w:rPr>
        <w:t>–</w:t>
      </w:r>
      <w:r w:rsidRPr="00275BCC">
        <w:rPr>
          <w:i/>
          <w:sz w:val="20"/>
          <w:szCs w:val="20"/>
        </w:rPr>
        <w:t xml:space="preserve"> the witness who could have disputed them had died – they should be taken as proof of the facts involved. </w:t>
      </w:r>
      <w:proofErr w:type="spellStart"/>
      <w:r w:rsidRPr="00275BCC">
        <w:rPr>
          <w:i/>
          <w:sz w:val="20"/>
          <w:szCs w:val="20"/>
        </w:rPr>
        <w:t>Wigmore</w:t>
      </w:r>
      <w:proofErr w:type="spellEnd"/>
      <w:r w:rsidRPr="00275BCC">
        <w:rPr>
          <w:i/>
          <w:sz w:val="20"/>
          <w:szCs w:val="20"/>
        </w:rPr>
        <w:t xml:space="preserve"> on Evidence, 3</w:t>
      </w:r>
      <w:r w:rsidRPr="00275BCC">
        <w:rPr>
          <w:i/>
          <w:sz w:val="20"/>
          <w:szCs w:val="20"/>
          <w:lang w:val="af-ZA"/>
        </w:rPr>
        <w:t>rd ed., vol. VII, p.260, states that the mere assertion of any witness does not of itself need to be believed, even though he is unimpeached in any manner, because to require such belief would be to give a quantative and impersonal measure to testimony. The learned author in this connection at p. 262 cites the following passage from a decision quoted:</w:t>
      </w:r>
    </w:p>
    <w:p w:rsidR="00DD0D0D" w:rsidRPr="00275BCC" w:rsidRDefault="00DD0D0D" w:rsidP="00DD0D0D">
      <w:pPr>
        <w:pStyle w:val="level1"/>
        <w:numPr>
          <w:ilvl w:val="0"/>
          <w:numId w:val="0"/>
        </w:numPr>
        <w:spacing w:after="480"/>
        <w:ind w:left="360"/>
        <w:jc w:val="both"/>
        <w:rPr>
          <w:i/>
          <w:sz w:val="20"/>
          <w:szCs w:val="20"/>
        </w:rPr>
      </w:pPr>
      <w:r w:rsidRPr="00275BCC">
        <w:rPr>
          <w:i/>
          <w:sz w:val="20"/>
          <w:szCs w:val="20"/>
        </w:rPr>
        <w:t>“</w:t>
      </w:r>
      <w:proofErr w:type="gramStart"/>
      <w:r w:rsidRPr="00275BCC">
        <w:rPr>
          <w:i/>
          <w:sz w:val="20"/>
          <w:szCs w:val="20"/>
          <w:lang w:val="af-ZA"/>
        </w:rPr>
        <w:t>it</w:t>
      </w:r>
      <w:proofErr w:type="gramEnd"/>
      <w:r w:rsidRPr="00275BCC">
        <w:rPr>
          <w:i/>
          <w:sz w:val="20"/>
          <w:szCs w:val="20"/>
          <w:lang w:val="af-ZA"/>
        </w:rPr>
        <w:t xml:space="preserve"> is not infrequently supposed that a sworn statement is necessary proof, and that, if uncontradicted, it established the fact involved. Such is by no means the law. Testimony, regardless of the amount of it, which is contrary to all reasonable probabilities or conceded facts-testimony which no sensible man can believe-goes for nothing; while the evidence of a single witness to a fact, there being nothing to throw discredit, cannot be disregarded.”</w:t>
      </w:r>
    </w:p>
    <w:p w:rsidR="00613424" w:rsidRDefault="00025EC3" w:rsidP="00025EC3">
      <w:pPr>
        <w:pStyle w:val="level1"/>
        <w:numPr>
          <w:ilvl w:val="0"/>
          <w:numId w:val="0"/>
        </w:numPr>
        <w:spacing w:after="480" w:line="360" w:lineRule="auto"/>
        <w:jc w:val="both"/>
        <w:rPr>
          <w:lang w:val="en-US"/>
        </w:rPr>
      </w:pPr>
      <w:r>
        <w:rPr>
          <w:lang w:val="en-US"/>
        </w:rPr>
        <w:t>[17]</w:t>
      </w:r>
      <w:r>
        <w:rPr>
          <w:lang w:val="en-US"/>
        </w:rPr>
        <w:tab/>
      </w:r>
      <w:r w:rsidR="00DD0D0D" w:rsidRPr="00613424">
        <w:rPr>
          <w:lang w:val="en-US"/>
        </w:rPr>
        <w:t xml:space="preserve">The papers are </w:t>
      </w:r>
      <w:r w:rsidR="0074299E">
        <w:rPr>
          <w:lang w:val="en-US"/>
        </w:rPr>
        <w:t xml:space="preserve">further </w:t>
      </w:r>
      <w:r w:rsidR="00DD0D0D" w:rsidRPr="00613424">
        <w:rPr>
          <w:lang w:val="en-US"/>
        </w:rPr>
        <w:t xml:space="preserve">replete with disputes </w:t>
      </w:r>
      <w:r w:rsidR="0074299E">
        <w:rPr>
          <w:lang w:val="en-US"/>
        </w:rPr>
        <w:t>regarding</w:t>
      </w:r>
      <w:r w:rsidR="00DD0D0D" w:rsidRPr="00613424">
        <w:rPr>
          <w:lang w:val="en-US"/>
        </w:rPr>
        <w:t xml:space="preserve"> including how the various parties interacted and how the trust deed is to be interpreted. </w:t>
      </w:r>
      <w:r w:rsidR="00613424">
        <w:rPr>
          <w:lang w:val="en-US"/>
        </w:rPr>
        <w:t xml:space="preserve">In interpreting the trust deed, the golden rule of interpretation was enunciated thus by Wallis JA in </w:t>
      </w:r>
      <w:r w:rsidR="00613424" w:rsidRPr="002F3288">
        <w:rPr>
          <w:i/>
          <w:lang w:val="en-US"/>
        </w:rPr>
        <w:t xml:space="preserve">Natal Joint Municipal Pension Fund v </w:t>
      </w:r>
      <w:proofErr w:type="spellStart"/>
      <w:r w:rsidR="00613424" w:rsidRPr="002F3288">
        <w:rPr>
          <w:i/>
          <w:lang w:val="en-US"/>
        </w:rPr>
        <w:t>Endumeni</w:t>
      </w:r>
      <w:proofErr w:type="spellEnd"/>
      <w:r w:rsidR="00613424" w:rsidRPr="002F3288">
        <w:rPr>
          <w:i/>
          <w:lang w:val="en-US"/>
        </w:rPr>
        <w:t xml:space="preserve"> Municipality</w:t>
      </w:r>
      <w:r w:rsidR="00613424">
        <w:rPr>
          <w:rStyle w:val="FootnoteReference"/>
          <w:lang w:val="en-US"/>
        </w:rPr>
        <w:footnoteReference w:id="11"/>
      </w:r>
      <w:r w:rsidR="00613424">
        <w:rPr>
          <w:lang w:val="en-US"/>
        </w:rPr>
        <w:t>:</w:t>
      </w:r>
    </w:p>
    <w:p w:rsidR="00613424" w:rsidRPr="00924829" w:rsidRDefault="00613424" w:rsidP="00613424">
      <w:pPr>
        <w:pStyle w:val="level1"/>
        <w:numPr>
          <w:ilvl w:val="0"/>
          <w:numId w:val="0"/>
        </w:numPr>
        <w:spacing w:after="480"/>
        <w:ind w:left="720"/>
        <w:jc w:val="both"/>
        <w:rPr>
          <w:sz w:val="20"/>
          <w:szCs w:val="20"/>
          <w:lang w:val="en-US"/>
        </w:rPr>
      </w:pPr>
      <w:r w:rsidRPr="00924829">
        <w:rPr>
          <w:sz w:val="20"/>
          <w:szCs w:val="20"/>
          <w:lang w:val="en-US"/>
        </w:rPr>
        <w:t xml:space="preserve">“Interpretation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weighed in the light of all these factors. The process is objective, not subjective. A sensible meaning is to be preferred to one that leads to insensible or </w:t>
      </w:r>
      <w:proofErr w:type="spellStart"/>
      <w:r w:rsidRPr="00924829">
        <w:rPr>
          <w:sz w:val="20"/>
          <w:szCs w:val="20"/>
          <w:lang w:val="en-US"/>
        </w:rPr>
        <w:t>unbusinesslike</w:t>
      </w:r>
      <w:proofErr w:type="spellEnd"/>
      <w:r w:rsidRPr="00924829">
        <w:rPr>
          <w:sz w:val="20"/>
          <w:szCs w:val="20"/>
          <w:lang w:val="en-US"/>
        </w:rPr>
        <w:t xml:space="preserve"> results or undermines the apparent purpose of the document. Judges must be alert to, and guard against, the temptation to substitute what they regard as reasonable, sensible or businesslike for the words actually used. To do so in regard to a statute or statutory instrument is to cross the divide between interpretation and legislation; in a contractual context it is to make a contract for the parties other than the one they in fact made. The ‘inevitable point of departure is the language of the provision itself’, read in context and having regard to the purpose of the provision and the background to the preparation and production of the document.” </w:t>
      </w:r>
    </w:p>
    <w:p w:rsidR="0074299E" w:rsidRDefault="00025EC3" w:rsidP="00025EC3">
      <w:pPr>
        <w:pStyle w:val="level1"/>
        <w:numPr>
          <w:ilvl w:val="0"/>
          <w:numId w:val="0"/>
        </w:numPr>
        <w:spacing w:after="480" w:line="360" w:lineRule="auto"/>
        <w:jc w:val="both"/>
        <w:rPr>
          <w:lang w:val="en-US"/>
        </w:rPr>
      </w:pPr>
      <w:r>
        <w:rPr>
          <w:lang w:val="en-US"/>
        </w:rPr>
        <w:lastRenderedPageBreak/>
        <w:t>[18]</w:t>
      </w:r>
      <w:r>
        <w:rPr>
          <w:lang w:val="en-US"/>
        </w:rPr>
        <w:tab/>
      </w:r>
      <w:r w:rsidR="0074299E">
        <w:rPr>
          <w:lang w:val="en-US"/>
        </w:rPr>
        <w:t>Two principles, important to the present application, emerge from these authorities. The first, that motion proceedings should not be determined on the basis of probabilities</w:t>
      </w:r>
      <w:r w:rsidR="00AB4F7E">
        <w:rPr>
          <w:lang w:val="en-US"/>
        </w:rPr>
        <w:t>;</w:t>
      </w:r>
      <w:r w:rsidR="0074299E">
        <w:rPr>
          <w:lang w:val="en-US"/>
        </w:rPr>
        <w:t xml:space="preserve"> the second, </w:t>
      </w:r>
      <w:r w:rsidR="00613424" w:rsidRPr="008072C5">
        <w:rPr>
          <w:lang w:val="en-US"/>
        </w:rPr>
        <w:t>that context is important. In motion proceedings, the affidavits constitute both the pleadings and the evidence</w:t>
      </w:r>
      <w:r w:rsidR="00613424">
        <w:rPr>
          <w:rStyle w:val="FootnoteReference"/>
          <w:lang w:val="en-US"/>
        </w:rPr>
        <w:footnoteReference w:id="12"/>
      </w:r>
      <w:r w:rsidR="00613424" w:rsidRPr="008072C5">
        <w:rPr>
          <w:lang w:val="en-US"/>
        </w:rPr>
        <w:t xml:space="preserve">. </w:t>
      </w:r>
    </w:p>
    <w:p w:rsidR="00DD0D0D" w:rsidRPr="00613424" w:rsidRDefault="00025EC3" w:rsidP="00025EC3">
      <w:pPr>
        <w:pStyle w:val="level1"/>
        <w:numPr>
          <w:ilvl w:val="0"/>
          <w:numId w:val="0"/>
        </w:numPr>
        <w:spacing w:after="480" w:line="360" w:lineRule="auto"/>
        <w:jc w:val="both"/>
        <w:rPr>
          <w:lang w:val="en-US"/>
        </w:rPr>
      </w:pPr>
      <w:r w:rsidRPr="00613424">
        <w:rPr>
          <w:lang w:val="en-US"/>
        </w:rPr>
        <w:t>[19]</w:t>
      </w:r>
      <w:r w:rsidRPr="00613424">
        <w:rPr>
          <w:lang w:val="en-US"/>
        </w:rPr>
        <w:tab/>
      </w:r>
      <w:r w:rsidR="0074299E">
        <w:rPr>
          <w:lang w:val="en-US"/>
        </w:rPr>
        <w:t>T</w:t>
      </w:r>
      <w:r w:rsidR="00613424" w:rsidRPr="008072C5">
        <w:rPr>
          <w:lang w:val="en-US"/>
        </w:rPr>
        <w:t>he founding affidav</w:t>
      </w:r>
      <w:r w:rsidR="00613424">
        <w:rPr>
          <w:lang w:val="en-US"/>
        </w:rPr>
        <w:t>i</w:t>
      </w:r>
      <w:r w:rsidR="00613424" w:rsidRPr="008072C5">
        <w:rPr>
          <w:lang w:val="en-US"/>
        </w:rPr>
        <w:t xml:space="preserve">t does not provide sufficient </w:t>
      </w:r>
      <w:r w:rsidR="0074299E">
        <w:rPr>
          <w:lang w:val="en-US"/>
        </w:rPr>
        <w:t xml:space="preserve">factual </w:t>
      </w:r>
      <w:r w:rsidR="00613424" w:rsidRPr="008072C5">
        <w:rPr>
          <w:lang w:val="en-US"/>
        </w:rPr>
        <w:t xml:space="preserve">context to the circumstances under which the trust deed was created </w:t>
      </w:r>
      <w:r w:rsidR="00571759">
        <w:rPr>
          <w:lang w:val="en-US"/>
        </w:rPr>
        <w:t xml:space="preserve">or the role of group representatives, </w:t>
      </w:r>
      <w:r w:rsidR="00613424" w:rsidRPr="008072C5">
        <w:rPr>
          <w:lang w:val="en-US"/>
        </w:rPr>
        <w:t>to allow for a proper interpretation of the relevant provisions. In the founding papers, particularity was provided as to who the beneficiaries were at the time of creation of the trust, but not who the present beneficiaries are, no</w:t>
      </w:r>
      <w:r w:rsidR="00613424">
        <w:rPr>
          <w:lang w:val="en-US"/>
        </w:rPr>
        <w:t xml:space="preserve">r </w:t>
      </w:r>
      <w:r w:rsidR="00613424" w:rsidRPr="008072C5">
        <w:rPr>
          <w:lang w:val="en-US"/>
        </w:rPr>
        <w:t xml:space="preserve">what their role is in the appointment of trustees. </w:t>
      </w:r>
      <w:proofErr w:type="spellStart"/>
      <w:r w:rsidR="00613424" w:rsidRPr="008072C5">
        <w:rPr>
          <w:lang w:val="en-US"/>
        </w:rPr>
        <w:t>Mr</w:t>
      </w:r>
      <w:proofErr w:type="spellEnd"/>
      <w:r w:rsidR="00613424" w:rsidRPr="008072C5">
        <w:rPr>
          <w:lang w:val="en-US"/>
        </w:rPr>
        <w:t xml:space="preserve"> </w:t>
      </w:r>
      <w:proofErr w:type="spellStart"/>
      <w:r w:rsidR="00613424" w:rsidRPr="008072C5">
        <w:rPr>
          <w:lang w:val="en-US"/>
        </w:rPr>
        <w:t>Bapela’s</w:t>
      </w:r>
      <w:proofErr w:type="spellEnd"/>
      <w:r w:rsidR="00571759">
        <w:rPr>
          <w:lang w:val="en-US"/>
        </w:rPr>
        <w:t xml:space="preserve"> participation and</w:t>
      </w:r>
      <w:r w:rsidR="00613424" w:rsidRPr="008072C5">
        <w:rPr>
          <w:lang w:val="en-US"/>
        </w:rPr>
        <w:t xml:space="preserve"> role in the management of the trust is further not explained</w:t>
      </w:r>
      <w:r w:rsidR="00571759">
        <w:rPr>
          <w:lang w:val="en-US"/>
        </w:rPr>
        <w:t>, nor whether the provisions of the trust deed were ever properly complied with and why the trust does not have a bank account</w:t>
      </w:r>
      <w:r w:rsidR="00613424" w:rsidRPr="008072C5">
        <w:rPr>
          <w:lang w:val="en-US"/>
        </w:rPr>
        <w:t>. These are but examples of the various lacunas in the evidence presented by the applicants.</w:t>
      </w:r>
      <w:r w:rsidR="00613424">
        <w:rPr>
          <w:lang w:val="en-US"/>
        </w:rPr>
        <w:t xml:space="preserve"> </w:t>
      </w:r>
      <w:r w:rsidR="00613424" w:rsidRPr="008072C5">
        <w:rPr>
          <w:lang w:val="en-US"/>
        </w:rPr>
        <w:t>In order to interpret agreements based on affidavits</w:t>
      </w:r>
      <w:r w:rsidR="00613424">
        <w:rPr>
          <w:rStyle w:val="FootnoteReference"/>
          <w:lang w:val="en-US"/>
        </w:rPr>
        <w:footnoteReference w:id="13"/>
      </w:r>
      <w:r w:rsidR="00613424" w:rsidRPr="008072C5">
        <w:rPr>
          <w:lang w:val="en-US"/>
        </w:rPr>
        <w:t>, sufficient facts must be presented by an applicant in its founding papers to enable a court to do so.</w:t>
      </w:r>
    </w:p>
    <w:p w:rsidR="00613424" w:rsidRDefault="00025EC3" w:rsidP="00025EC3">
      <w:pPr>
        <w:pStyle w:val="level1"/>
        <w:numPr>
          <w:ilvl w:val="0"/>
          <w:numId w:val="0"/>
        </w:numPr>
        <w:spacing w:after="480" w:line="360" w:lineRule="auto"/>
        <w:jc w:val="both"/>
        <w:rPr>
          <w:lang w:val="en-US"/>
        </w:rPr>
      </w:pPr>
      <w:r>
        <w:rPr>
          <w:lang w:val="en-US"/>
        </w:rPr>
        <w:t>[20]</w:t>
      </w:r>
      <w:r>
        <w:rPr>
          <w:lang w:val="en-US"/>
        </w:rPr>
        <w:tab/>
      </w:r>
      <w:r w:rsidR="00613424">
        <w:rPr>
          <w:lang w:val="en-US"/>
        </w:rPr>
        <w:t>The applicant’s argument envisages a very narrow approach which disregards the factual matrix underpinning the application. After reading the application papers one is left with more questions than answers</w:t>
      </w:r>
      <w:r w:rsidR="00571759">
        <w:rPr>
          <w:lang w:val="en-US"/>
        </w:rPr>
        <w:t xml:space="preserve"> and</w:t>
      </w:r>
      <w:r w:rsidR="00613424">
        <w:rPr>
          <w:lang w:val="en-US"/>
        </w:rPr>
        <w:t xml:space="preserve"> the impression that not all the material facts have been placed before the court, but only those which serves the causes of the respective parties. </w:t>
      </w:r>
    </w:p>
    <w:p w:rsidR="00613424" w:rsidRDefault="00025EC3" w:rsidP="00025EC3">
      <w:pPr>
        <w:pStyle w:val="level1"/>
        <w:numPr>
          <w:ilvl w:val="0"/>
          <w:numId w:val="0"/>
        </w:numPr>
        <w:spacing w:after="480" w:line="360" w:lineRule="auto"/>
        <w:jc w:val="both"/>
        <w:rPr>
          <w:lang w:val="en-US"/>
        </w:rPr>
      </w:pPr>
      <w:r>
        <w:rPr>
          <w:lang w:val="en-US"/>
        </w:rPr>
        <w:t>[21]</w:t>
      </w:r>
      <w:r>
        <w:rPr>
          <w:lang w:val="en-US"/>
        </w:rPr>
        <w:tab/>
      </w:r>
      <w:r w:rsidR="00613424">
        <w:rPr>
          <w:lang w:val="en-US"/>
        </w:rPr>
        <w:t xml:space="preserve">It is apposite to refer to </w:t>
      </w:r>
      <w:proofErr w:type="spellStart"/>
      <w:r w:rsidR="00613424" w:rsidRPr="00E1759E">
        <w:rPr>
          <w:i/>
          <w:lang w:val="en-US"/>
        </w:rPr>
        <w:t>Seumungal</w:t>
      </w:r>
      <w:proofErr w:type="spellEnd"/>
      <w:r w:rsidR="00613424" w:rsidRPr="00E1759E">
        <w:rPr>
          <w:i/>
          <w:lang w:val="en-US"/>
        </w:rPr>
        <w:t xml:space="preserve"> and Another NNO v Regent Cinema</w:t>
      </w:r>
      <w:r w:rsidR="00613424">
        <w:rPr>
          <w:rStyle w:val="FootnoteReference"/>
          <w:lang w:val="en-US"/>
        </w:rPr>
        <w:footnoteReference w:id="14"/>
      </w:r>
      <w:r w:rsidR="00613424">
        <w:rPr>
          <w:lang w:val="en-US"/>
        </w:rPr>
        <w:t>, wherein Leon J held:</w:t>
      </w:r>
    </w:p>
    <w:p w:rsidR="00613424" w:rsidRPr="009B2736" w:rsidRDefault="00613424" w:rsidP="00613424">
      <w:pPr>
        <w:pStyle w:val="level1"/>
        <w:numPr>
          <w:ilvl w:val="0"/>
          <w:numId w:val="0"/>
        </w:numPr>
        <w:spacing w:after="480"/>
        <w:ind w:left="360"/>
        <w:jc w:val="both"/>
        <w:rPr>
          <w:i/>
          <w:sz w:val="20"/>
          <w:szCs w:val="20"/>
          <w:lang w:val="en-US"/>
        </w:rPr>
      </w:pPr>
      <w:r w:rsidRPr="009B2736">
        <w:rPr>
          <w:sz w:val="20"/>
          <w:szCs w:val="20"/>
          <w:lang w:val="en-US"/>
        </w:rPr>
        <w:t>“</w:t>
      </w:r>
      <w:r w:rsidRPr="009B2736">
        <w:rPr>
          <w:i/>
          <w:sz w:val="20"/>
          <w:szCs w:val="20"/>
          <w:lang w:val="en-US"/>
        </w:rPr>
        <w:t xml:space="preserve">In approaching this particular type of problem, it is not wrong for a Court at the outset to have some regard to the realities of litigation. What appears to be a good case on paper may become less </w:t>
      </w:r>
      <w:r w:rsidRPr="009B2736">
        <w:rPr>
          <w:i/>
          <w:sz w:val="20"/>
          <w:szCs w:val="20"/>
          <w:lang w:val="en-US"/>
        </w:rPr>
        <w:lastRenderedPageBreak/>
        <w:t>impressive after the deponents to the affidavits have been cross-examined. Con</w:t>
      </w:r>
      <w:r>
        <w:rPr>
          <w:i/>
          <w:sz w:val="20"/>
          <w:szCs w:val="20"/>
          <w:lang w:val="en-US"/>
        </w:rPr>
        <w:t>v</w:t>
      </w:r>
      <w:r w:rsidRPr="009B2736">
        <w:rPr>
          <w:i/>
          <w:sz w:val="20"/>
          <w:szCs w:val="20"/>
          <w:lang w:val="en-US"/>
        </w:rPr>
        <w:t xml:space="preserve">ersely, what appears to be an improbable case on the affidavits, may turn out to be less improbable or even probable in relation to a particular witness after he has been seen and heard by a </w:t>
      </w:r>
      <w:r>
        <w:rPr>
          <w:i/>
          <w:sz w:val="20"/>
          <w:szCs w:val="20"/>
          <w:lang w:val="en-US"/>
        </w:rPr>
        <w:t>C</w:t>
      </w:r>
      <w:r w:rsidRPr="009B2736">
        <w:rPr>
          <w:i/>
          <w:sz w:val="20"/>
          <w:szCs w:val="20"/>
          <w:lang w:val="en-US"/>
        </w:rPr>
        <w:t>ourt. An incautious answer in cross-examination may change the whole complexion of a case</w:t>
      </w:r>
      <w:r>
        <w:rPr>
          <w:i/>
          <w:sz w:val="20"/>
          <w:szCs w:val="20"/>
          <w:lang w:val="en-US"/>
        </w:rPr>
        <w:t>”.</w:t>
      </w:r>
    </w:p>
    <w:p w:rsidR="00FF2794" w:rsidRPr="008B2BBE" w:rsidRDefault="00025EC3" w:rsidP="00025EC3">
      <w:pPr>
        <w:pStyle w:val="level1"/>
        <w:numPr>
          <w:ilvl w:val="0"/>
          <w:numId w:val="0"/>
        </w:numPr>
        <w:spacing w:after="480" w:line="360" w:lineRule="auto"/>
        <w:jc w:val="both"/>
        <w:rPr>
          <w:rFonts w:cs="Arial"/>
        </w:rPr>
      </w:pPr>
      <w:r w:rsidRPr="008B2BBE">
        <w:rPr>
          <w:rFonts w:cs="Arial"/>
        </w:rPr>
        <w:t>[22]</w:t>
      </w:r>
      <w:r w:rsidRPr="008B2BBE">
        <w:rPr>
          <w:rFonts w:cs="Arial"/>
        </w:rPr>
        <w:tab/>
      </w:r>
      <w:r w:rsidR="00FF2794">
        <w:t xml:space="preserve">The realities of litigation in my view require full trial proceedings in which oral evidence must be led. The complexities </w:t>
      </w:r>
      <w:r w:rsidR="00F02B63">
        <w:t>in the matter</w:t>
      </w:r>
      <w:r w:rsidR="00FF2794">
        <w:t xml:space="preserve"> are exacerbated by the untimely demise of Mr Loots, who could have shed much light on the issues. It would in my view be vital for oral evidence to be led to determine the central issues pertaining to the validity of the </w:t>
      </w:r>
      <w:r w:rsidR="00F02B63">
        <w:t>appointment of the trustee respondents</w:t>
      </w:r>
      <w:r w:rsidR="00FF2794">
        <w:t xml:space="preserve"> and to ensure a proper interpretation of the </w:t>
      </w:r>
      <w:r w:rsidR="00F02B63">
        <w:t>trust deed</w:t>
      </w:r>
      <w:r w:rsidR="00FF2794">
        <w:t>, applying the relevant principles.</w:t>
      </w:r>
    </w:p>
    <w:p w:rsidR="00FF2794" w:rsidRPr="0073716C" w:rsidRDefault="00025EC3" w:rsidP="00025EC3">
      <w:pPr>
        <w:pStyle w:val="level1"/>
        <w:numPr>
          <w:ilvl w:val="0"/>
          <w:numId w:val="0"/>
        </w:numPr>
        <w:spacing w:after="480" w:line="360" w:lineRule="auto"/>
        <w:jc w:val="both"/>
        <w:rPr>
          <w:rFonts w:cs="Arial"/>
        </w:rPr>
      </w:pPr>
      <w:r w:rsidRPr="0073716C">
        <w:rPr>
          <w:rFonts w:cs="Arial"/>
        </w:rPr>
        <w:t>[23]</w:t>
      </w:r>
      <w:r w:rsidRPr="0073716C">
        <w:rPr>
          <w:rFonts w:cs="Arial"/>
        </w:rPr>
        <w:tab/>
      </w:r>
      <w:r w:rsidR="00FF2794">
        <w:t>I am fortified in this view by the principle that motion proceedings are by their very nature generally inappropriate for the purpose of making findings of fraud</w:t>
      </w:r>
      <w:r w:rsidR="00FF2794">
        <w:rPr>
          <w:rStyle w:val="FootnoteReference"/>
        </w:rPr>
        <w:footnoteReference w:id="15"/>
      </w:r>
      <w:r w:rsidR="00FF2794">
        <w:t xml:space="preserve">. In my view similar considerations would be applicable in relation to the untoward conduct on the part of the trustee respondents alleged by the applicant.  </w:t>
      </w:r>
    </w:p>
    <w:p w:rsidR="008072C5" w:rsidRPr="00571759" w:rsidRDefault="00025EC3" w:rsidP="00025EC3">
      <w:pPr>
        <w:pStyle w:val="level1"/>
        <w:numPr>
          <w:ilvl w:val="0"/>
          <w:numId w:val="0"/>
        </w:numPr>
        <w:spacing w:after="480" w:line="360" w:lineRule="auto"/>
        <w:jc w:val="both"/>
        <w:rPr>
          <w:lang w:val="en-US"/>
        </w:rPr>
      </w:pPr>
      <w:r w:rsidRPr="00571759">
        <w:rPr>
          <w:lang w:val="en-US"/>
        </w:rPr>
        <w:t>[24]</w:t>
      </w:r>
      <w:r w:rsidRPr="00571759">
        <w:rPr>
          <w:lang w:val="en-US"/>
        </w:rPr>
        <w:tab/>
      </w:r>
      <w:r w:rsidR="00571759" w:rsidRPr="00571759">
        <w:rPr>
          <w:lang w:val="en-US"/>
        </w:rPr>
        <w:t xml:space="preserve">If </w:t>
      </w:r>
      <w:r w:rsidR="00AB4F7E">
        <w:rPr>
          <w:lang w:val="en-US"/>
        </w:rPr>
        <w:t>a</w:t>
      </w:r>
      <w:r w:rsidR="00571759" w:rsidRPr="00571759">
        <w:rPr>
          <w:lang w:val="en-US"/>
        </w:rPr>
        <w:t xml:space="preserve"> court were to </w:t>
      </w:r>
      <w:r w:rsidR="008072C5" w:rsidRPr="00571759">
        <w:rPr>
          <w:lang w:val="en-US"/>
        </w:rPr>
        <w:t>set aside all decisions of the trust that were taken by majority o</w:t>
      </w:r>
      <w:r w:rsidR="00571759" w:rsidRPr="00571759">
        <w:rPr>
          <w:lang w:val="en-US"/>
        </w:rPr>
        <w:t>f</w:t>
      </w:r>
      <w:r w:rsidR="008072C5" w:rsidRPr="00571759">
        <w:rPr>
          <w:lang w:val="en-US"/>
        </w:rPr>
        <w:t xml:space="preserve"> the fi</w:t>
      </w:r>
      <w:r w:rsidR="00571759" w:rsidRPr="00571759">
        <w:rPr>
          <w:lang w:val="en-US"/>
        </w:rPr>
        <w:t>r</w:t>
      </w:r>
      <w:r w:rsidR="008072C5" w:rsidRPr="00571759">
        <w:rPr>
          <w:lang w:val="en-US"/>
        </w:rPr>
        <w:t xml:space="preserve">st and second respondents, </w:t>
      </w:r>
      <w:r w:rsidR="00571759" w:rsidRPr="00571759">
        <w:rPr>
          <w:lang w:val="en-US"/>
        </w:rPr>
        <w:t>it would be</w:t>
      </w:r>
      <w:r w:rsidR="008072C5" w:rsidRPr="00571759">
        <w:rPr>
          <w:lang w:val="en-US"/>
        </w:rPr>
        <w:t xml:space="preserve"> exercising a discretion </w:t>
      </w:r>
      <w:proofErr w:type="gramStart"/>
      <w:r w:rsidR="008072C5" w:rsidRPr="00571759">
        <w:rPr>
          <w:lang w:val="en-US"/>
        </w:rPr>
        <w:t xml:space="preserve">under </w:t>
      </w:r>
      <w:r w:rsidR="00571759">
        <w:rPr>
          <w:lang w:val="en-US"/>
        </w:rPr>
        <w:t xml:space="preserve"> s</w:t>
      </w:r>
      <w:proofErr w:type="gramEnd"/>
      <w:r w:rsidR="008072C5" w:rsidRPr="00571759">
        <w:rPr>
          <w:lang w:val="en-US"/>
        </w:rPr>
        <w:t xml:space="preserve"> 23 of the Trust Property Control Act</w:t>
      </w:r>
      <w:r w:rsidR="008072C5">
        <w:rPr>
          <w:rStyle w:val="FootnoteReference"/>
          <w:lang w:val="en-US"/>
        </w:rPr>
        <w:footnoteReference w:id="16"/>
      </w:r>
      <w:r w:rsidR="008072C5" w:rsidRPr="00571759">
        <w:rPr>
          <w:lang w:val="en-US"/>
        </w:rPr>
        <w:t>. Th</w:t>
      </w:r>
      <w:r w:rsidR="00AB4F7E">
        <w:rPr>
          <w:lang w:val="en-US"/>
        </w:rPr>
        <w:t>at</w:t>
      </w:r>
      <w:r w:rsidR="008072C5" w:rsidRPr="00571759">
        <w:rPr>
          <w:lang w:val="en-US"/>
        </w:rPr>
        <w:t xml:space="preserve"> section provides: </w:t>
      </w:r>
    </w:p>
    <w:p w:rsidR="008072C5" w:rsidRPr="00563691" w:rsidRDefault="008072C5" w:rsidP="008072C5">
      <w:pPr>
        <w:pStyle w:val="level1"/>
        <w:numPr>
          <w:ilvl w:val="0"/>
          <w:numId w:val="0"/>
        </w:numPr>
        <w:spacing w:after="480"/>
        <w:jc w:val="both"/>
        <w:rPr>
          <w:i/>
          <w:sz w:val="20"/>
          <w:szCs w:val="20"/>
          <w:lang w:val="en-US"/>
        </w:rPr>
      </w:pPr>
      <w:r w:rsidRPr="00563691">
        <w:rPr>
          <w:i/>
          <w:sz w:val="20"/>
          <w:szCs w:val="20"/>
          <w:lang w:val="en-US"/>
        </w:rPr>
        <w:t>“Any person who feels</w:t>
      </w:r>
      <w:r>
        <w:rPr>
          <w:i/>
          <w:sz w:val="20"/>
          <w:szCs w:val="20"/>
          <w:lang w:val="en-US"/>
        </w:rPr>
        <w:t xml:space="preserve"> </w:t>
      </w:r>
      <w:r w:rsidRPr="00563691">
        <w:rPr>
          <w:i/>
          <w:sz w:val="20"/>
          <w:szCs w:val="20"/>
          <w:lang w:val="en-US"/>
        </w:rPr>
        <w:t xml:space="preserve">aggrieved by an </w:t>
      </w:r>
      <w:proofErr w:type="spellStart"/>
      <w:r w:rsidRPr="00563691">
        <w:rPr>
          <w:i/>
          <w:sz w:val="20"/>
          <w:szCs w:val="20"/>
          <w:lang w:val="en-US"/>
        </w:rPr>
        <w:t>authorisation</w:t>
      </w:r>
      <w:proofErr w:type="spellEnd"/>
      <w:r w:rsidRPr="00563691">
        <w:rPr>
          <w:i/>
          <w:sz w:val="20"/>
          <w:szCs w:val="20"/>
          <w:lang w:val="en-US"/>
        </w:rPr>
        <w:t>, appointment or removal of a trustee by the Master or by any decision, order or direction of the Master</w:t>
      </w:r>
      <w:r>
        <w:rPr>
          <w:i/>
          <w:sz w:val="20"/>
          <w:szCs w:val="20"/>
          <w:lang w:val="en-US"/>
        </w:rPr>
        <w:t xml:space="preserve"> </w:t>
      </w:r>
      <w:r w:rsidRPr="00563691">
        <w:rPr>
          <w:i/>
          <w:sz w:val="20"/>
          <w:szCs w:val="20"/>
          <w:lang w:val="en-US"/>
        </w:rPr>
        <w:t>made or issued under this Act, may apply to the court for relief, and the court shall have the power to consider the merits of any such matter, to take evidence and to make any order it deems fit”.</w:t>
      </w:r>
    </w:p>
    <w:p w:rsidR="004F4669" w:rsidRPr="00571759" w:rsidRDefault="00025EC3" w:rsidP="00025EC3">
      <w:pPr>
        <w:pStyle w:val="level1"/>
        <w:numPr>
          <w:ilvl w:val="0"/>
          <w:numId w:val="0"/>
        </w:numPr>
        <w:spacing w:after="480" w:line="360" w:lineRule="auto"/>
        <w:jc w:val="both"/>
        <w:rPr>
          <w:lang w:val="en-US"/>
        </w:rPr>
      </w:pPr>
      <w:r w:rsidRPr="00571759">
        <w:rPr>
          <w:lang w:val="en-US"/>
        </w:rPr>
        <w:t>[25]</w:t>
      </w:r>
      <w:r w:rsidRPr="00571759">
        <w:rPr>
          <w:lang w:val="en-US"/>
        </w:rPr>
        <w:tab/>
      </w:r>
      <w:r w:rsidR="008072C5" w:rsidRPr="00571759">
        <w:rPr>
          <w:lang w:val="en-US"/>
        </w:rPr>
        <w:t xml:space="preserve">  </w:t>
      </w:r>
      <w:r w:rsidR="00293212" w:rsidRPr="00571759">
        <w:rPr>
          <w:lang w:val="en-US"/>
        </w:rPr>
        <w:t xml:space="preserve">The court thus expressly has the power to take evidence on any relevant issue. The applicants’ </w:t>
      </w:r>
      <w:r w:rsidR="00571759">
        <w:rPr>
          <w:lang w:val="en-US"/>
        </w:rPr>
        <w:t>affidavits</w:t>
      </w:r>
      <w:r w:rsidR="00293212" w:rsidRPr="00571759">
        <w:rPr>
          <w:lang w:val="en-US"/>
        </w:rPr>
        <w:t xml:space="preserve"> are vague on numerous issues relevant to a proper exercise of th</w:t>
      </w:r>
      <w:r w:rsidR="00571759">
        <w:rPr>
          <w:lang w:val="en-US"/>
        </w:rPr>
        <w:t>at</w:t>
      </w:r>
      <w:r w:rsidR="00293212" w:rsidRPr="00571759">
        <w:rPr>
          <w:lang w:val="en-US"/>
        </w:rPr>
        <w:t xml:space="preserve"> discretion. By way of example, o</w:t>
      </w:r>
      <w:r w:rsidR="004F4669" w:rsidRPr="00571759">
        <w:rPr>
          <w:lang w:val="en-US"/>
        </w:rPr>
        <w:t>nly four decisions made by the trustee respondents as majority during the period 4 December 2019 to 21 June 2021 are referred to by the applicants in their founding papers</w:t>
      </w:r>
      <w:r w:rsidR="00293212" w:rsidRPr="00571759">
        <w:rPr>
          <w:lang w:val="en-US"/>
        </w:rPr>
        <w:t xml:space="preserve">, including decisions to open a bank account for the </w:t>
      </w:r>
      <w:r w:rsidR="00293212" w:rsidRPr="00571759">
        <w:rPr>
          <w:lang w:val="en-US"/>
        </w:rPr>
        <w:lastRenderedPageBreak/>
        <w:t>trust and the payment of certain dividends</w:t>
      </w:r>
      <w:r w:rsidR="004F4669" w:rsidRPr="00571759">
        <w:rPr>
          <w:lang w:val="en-US"/>
        </w:rPr>
        <w:t>. It is unclear whether any other decisions were made by them prior to or after such dates, which would be effected by the wide ambit of the order sought by the applicants.</w:t>
      </w:r>
    </w:p>
    <w:p w:rsidR="00563691" w:rsidRDefault="00025EC3" w:rsidP="00025EC3">
      <w:pPr>
        <w:pStyle w:val="level1"/>
        <w:numPr>
          <w:ilvl w:val="0"/>
          <w:numId w:val="0"/>
        </w:numPr>
        <w:spacing w:after="480" w:line="360" w:lineRule="auto"/>
        <w:jc w:val="both"/>
        <w:rPr>
          <w:lang w:val="en-US"/>
        </w:rPr>
      </w:pPr>
      <w:r>
        <w:rPr>
          <w:lang w:val="en-US"/>
        </w:rPr>
        <w:t>[26]</w:t>
      </w:r>
      <w:r>
        <w:rPr>
          <w:lang w:val="en-US"/>
        </w:rPr>
        <w:tab/>
      </w:r>
      <w:r w:rsidR="00571759">
        <w:rPr>
          <w:lang w:val="en-US"/>
        </w:rPr>
        <w:t>It</w:t>
      </w:r>
      <w:r w:rsidR="00563691">
        <w:rPr>
          <w:lang w:val="en-US"/>
        </w:rPr>
        <w:t xml:space="preserve"> is well established that a court has the inherent power to protect and regulate its own process taking into account the interests of justice</w:t>
      </w:r>
      <w:r w:rsidR="00563691">
        <w:rPr>
          <w:rStyle w:val="FootnoteReference"/>
          <w:lang w:val="en-US"/>
        </w:rPr>
        <w:t xml:space="preserve"> </w:t>
      </w:r>
      <w:r w:rsidR="00563691">
        <w:rPr>
          <w:rStyle w:val="FootnoteReference"/>
          <w:lang w:val="en-US"/>
        </w:rPr>
        <w:footnoteReference w:id="17"/>
      </w:r>
      <w:r w:rsidR="00563691">
        <w:rPr>
          <w:lang w:val="en-US"/>
        </w:rPr>
        <w:t xml:space="preserve"> and that courts adopt a flexible approach in construing and applying the rules</w:t>
      </w:r>
      <w:r w:rsidR="00563691">
        <w:rPr>
          <w:rStyle w:val="FootnoteReference"/>
          <w:lang w:val="en-US"/>
        </w:rPr>
        <w:footnoteReference w:id="18"/>
      </w:r>
      <w:r w:rsidR="00563691">
        <w:rPr>
          <w:lang w:val="en-US"/>
        </w:rPr>
        <w:t xml:space="preserve">. </w:t>
      </w:r>
      <w:r w:rsidR="00571759">
        <w:rPr>
          <w:lang w:val="en-US"/>
        </w:rPr>
        <w:t>A</w:t>
      </w:r>
      <w:r w:rsidR="00571759">
        <w:t xml:space="preserve"> court has a discretion as to the future course of the proceedings</w:t>
      </w:r>
      <w:r w:rsidR="00571759">
        <w:rPr>
          <w:rStyle w:val="FootnoteReference"/>
        </w:rPr>
        <w:footnoteReference w:id="19"/>
      </w:r>
      <w:r w:rsidR="00571759">
        <w:t>.</w:t>
      </w:r>
    </w:p>
    <w:p w:rsidR="00563691" w:rsidRDefault="00025EC3" w:rsidP="00025EC3">
      <w:pPr>
        <w:pStyle w:val="level1"/>
        <w:numPr>
          <w:ilvl w:val="0"/>
          <w:numId w:val="0"/>
        </w:numPr>
        <w:spacing w:after="480" w:line="360" w:lineRule="auto"/>
        <w:jc w:val="both"/>
        <w:rPr>
          <w:lang w:val="en-US"/>
        </w:rPr>
      </w:pPr>
      <w:r>
        <w:rPr>
          <w:lang w:val="en-US"/>
        </w:rPr>
        <w:t>[27]</w:t>
      </w:r>
      <w:r>
        <w:rPr>
          <w:lang w:val="en-US"/>
        </w:rPr>
        <w:tab/>
      </w:r>
      <w:r w:rsidR="00563691" w:rsidRPr="005033C3">
        <w:rPr>
          <w:lang w:val="en-US"/>
        </w:rPr>
        <w:t>Rule 6(5</w:t>
      </w:r>
      <w:proofErr w:type="gramStart"/>
      <w:r w:rsidR="00563691" w:rsidRPr="005033C3">
        <w:rPr>
          <w:lang w:val="en-US"/>
        </w:rPr>
        <w:t>)(</w:t>
      </w:r>
      <w:proofErr w:type="gramEnd"/>
      <w:r w:rsidR="00563691" w:rsidRPr="005033C3">
        <w:rPr>
          <w:lang w:val="en-US"/>
        </w:rPr>
        <w:t xml:space="preserve">g) empowers a court, whenever an application cannot properly be decided on affidavit, to make such order as to it seems meet with a view of ensuring a just and expeditious decision. A court is further empowered in particular, but without affecting the generality of the </w:t>
      </w:r>
      <w:proofErr w:type="spellStart"/>
      <w:r w:rsidR="00563691" w:rsidRPr="005033C3">
        <w:rPr>
          <w:lang w:val="en-US"/>
        </w:rPr>
        <w:t>aforegoing</w:t>
      </w:r>
      <w:proofErr w:type="spellEnd"/>
      <w:r w:rsidR="00563691" w:rsidRPr="005033C3">
        <w:rPr>
          <w:lang w:val="en-US"/>
        </w:rPr>
        <w:t>, to direct that oral evidence may be heard on specified issues.</w:t>
      </w:r>
      <w:r w:rsidR="00563691" w:rsidRPr="005033C3">
        <w:rPr>
          <w:rStyle w:val="FootnoteReference"/>
          <w:lang w:val="en-US"/>
        </w:rPr>
        <w:t xml:space="preserve"> </w:t>
      </w:r>
      <w:r w:rsidR="00563691">
        <w:rPr>
          <w:rStyle w:val="FootnoteReference"/>
          <w:lang w:val="en-US"/>
        </w:rPr>
        <w:footnoteReference w:id="20"/>
      </w:r>
      <w:r w:rsidR="00563691">
        <w:rPr>
          <w:lang w:val="en-US"/>
        </w:rPr>
        <w:t xml:space="preserve"> It is well established that w</w:t>
      </w:r>
      <w:r w:rsidR="00563691" w:rsidRPr="005033C3">
        <w:rPr>
          <w:lang w:val="en-US"/>
        </w:rPr>
        <w:t xml:space="preserve">here </w:t>
      </w:r>
      <w:r w:rsidR="00950B91">
        <w:rPr>
          <w:lang w:val="en-US"/>
        </w:rPr>
        <w:t xml:space="preserve">the </w:t>
      </w:r>
      <w:r w:rsidR="00563691" w:rsidRPr="005033C3">
        <w:rPr>
          <w:lang w:val="en-US"/>
        </w:rPr>
        <w:t>disputes are of a wide ranging nature, a refer</w:t>
      </w:r>
      <w:r w:rsidR="00950B91">
        <w:rPr>
          <w:lang w:val="en-US"/>
        </w:rPr>
        <w:t>ral</w:t>
      </w:r>
      <w:r w:rsidR="00563691" w:rsidRPr="005033C3">
        <w:rPr>
          <w:lang w:val="en-US"/>
        </w:rPr>
        <w:t xml:space="preserve"> to trial</w:t>
      </w:r>
      <w:r w:rsidR="00950B91">
        <w:rPr>
          <w:lang w:val="en-US"/>
        </w:rPr>
        <w:t xml:space="preserve"> would be appropriate</w:t>
      </w:r>
      <w:r w:rsidR="00563691" w:rsidRPr="005033C3">
        <w:rPr>
          <w:lang w:val="en-US"/>
        </w:rPr>
        <w:t xml:space="preserve">. </w:t>
      </w:r>
    </w:p>
    <w:p w:rsidR="006130D4" w:rsidRDefault="00025EC3" w:rsidP="00025EC3">
      <w:pPr>
        <w:pStyle w:val="level1"/>
        <w:numPr>
          <w:ilvl w:val="0"/>
          <w:numId w:val="0"/>
        </w:numPr>
        <w:spacing w:after="480" w:line="360" w:lineRule="auto"/>
        <w:jc w:val="both"/>
        <w:rPr>
          <w:lang w:val="en-US"/>
        </w:rPr>
      </w:pPr>
      <w:r>
        <w:rPr>
          <w:lang w:val="en-US"/>
        </w:rPr>
        <w:t>[28]</w:t>
      </w:r>
      <w:r>
        <w:rPr>
          <w:lang w:val="en-US"/>
        </w:rPr>
        <w:tab/>
      </w:r>
      <w:r w:rsidR="00293212">
        <w:rPr>
          <w:lang w:val="en-US"/>
        </w:rPr>
        <w:t>T</w:t>
      </w:r>
      <w:r w:rsidR="00563691" w:rsidRPr="005033C3">
        <w:rPr>
          <w:lang w:val="en-US"/>
        </w:rPr>
        <w:t>he ambit of the sub rule is not limited to instances where oral evidence is called to resolve factual disputes on the papers.</w:t>
      </w:r>
      <w:r w:rsidR="00950B91">
        <w:rPr>
          <w:lang w:val="en-US"/>
        </w:rPr>
        <w:t xml:space="preserve"> </w:t>
      </w:r>
      <w:r w:rsidR="00571759">
        <w:rPr>
          <w:lang w:val="en-US"/>
        </w:rPr>
        <w:t xml:space="preserve">Such power is </w:t>
      </w:r>
      <w:proofErr w:type="spellStart"/>
      <w:r w:rsidR="00571759">
        <w:rPr>
          <w:lang w:val="en-US"/>
        </w:rPr>
        <w:t>authorised</w:t>
      </w:r>
      <w:proofErr w:type="spellEnd"/>
      <w:r w:rsidR="00571759">
        <w:rPr>
          <w:lang w:val="en-US"/>
        </w:rPr>
        <w:t xml:space="preserve"> under the court’s inherent jurisdiction to regulate its procedures in the interests of the proper administration of justice</w:t>
      </w:r>
      <w:r w:rsidR="00571759">
        <w:rPr>
          <w:rStyle w:val="FootnoteReference"/>
          <w:lang w:val="en-US"/>
        </w:rPr>
        <w:footnoteReference w:id="21"/>
      </w:r>
      <w:r w:rsidR="00571759">
        <w:rPr>
          <w:lang w:val="en-US"/>
        </w:rPr>
        <w:t>.</w:t>
      </w:r>
      <w:r w:rsidR="006130D4">
        <w:rPr>
          <w:lang w:val="en-US"/>
        </w:rPr>
        <w:t xml:space="preserve">As </w:t>
      </w:r>
      <w:proofErr w:type="gramStart"/>
      <w:r w:rsidR="006130D4">
        <w:rPr>
          <w:lang w:val="en-US"/>
        </w:rPr>
        <w:t>stated  by</w:t>
      </w:r>
      <w:proofErr w:type="gramEnd"/>
      <w:r w:rsidR="006130D4">
        <w:rPr>
          <w:lang w:val="en-US"/>
        </w:rPr>
        <w:t xml:space="preserve"> </w:t>
      </w:r>
      <w:proofErr w:type="spellStart"/>
      <w:r w:rsidR="006130D4">
        <w:rPr>
          <w:lang w:val="en-US"/>
        </w:rPr>
        <w:t>Kumleben</w:t>
      </w:r>
      <w:proofErr w:type="spellEnd"/>
      <w:r w:rsidR="006130D4">
        <w:rPr>
          <w:lang w:val="en-US"/>
        </w:rPr>
        <w:t xml:space="preserve"> J in </w:t>
      </w:r>
      <w:proofErr w:type="spellStart"/>
      <w:r w:rsidR="006130D4" w:rsidRPr="00571759">
        <w:rPr>
          <w:i/>
          <w:lang w:val="en-US"/>
        </w:rPr>
        <w:t>Moosa</w:t>
      </w:r>
      <w:proofErr w:type="spellEnd"/>
      <w:r w:rsidR="006130D4" w:rsidRPr="00571759">
        <w:rPr>
          <w:i/>
          <w:lang w:val="en-US"/>
        </w:rPr>
        <w:t xml:space="preserve"> Bros &amp; Sons (Pty) Ltd v Rajah</w:t>
      </w:r>
      <w:r w:rsidR="006130D4">
        <w:rPr>
          <w:rStyle w:val="FootnoteReference"/>
          <w:lang w:val="en-US"/>
        </w:rPr>
        <w:footnoteReference w:id="22"/>
      </w:r>
      <w:r w:rsidR="006130D4">
        <w:rPr>
          <w:lang w:val="en-US"/>
        </w:rPr>
        <w:t>:</w:t>
      </w:r>
    </w:p>
    <w:p w:rsidR="00732424" w:rsidRPr="00732424" w:rsidRDefault="00732424" w:rsidP="00732424">
      <w:pPr>
        <w:pStyle w:val="level1"/>
        <w:numPr>
          <w:ilvl w:val="0"/>
          <w:numId w:val="0"/>
        </w:numPr>
        <w:spacing w:after="480"/>
        <w:jc w:val="both"/>
        <w:rPr>
          <w:sz w:val="20"/>
          <w:szCs w:val="20"/>
          <w:lang w:val="en-US"/>
        </w:rPr>
      </w:pPr>
      <w:r w:rsidRPr="00732424">
        <w:rPr>
          <w:i/>
          <w:sz w:val="20"/>
          <w:szCs w:val="20"/>
          <w:lang w:val="en-US"/>
        </w:rPr>
        <w:t xml:space="preserve">(c) </w:t>
      </w:r>
      <w:r w:rsidR="006130D4" w:rsidRPr="00732424">
        <w:rPr>
          <w:i/>
          <w:sz w:val="20"/>
          <w:szCs w:val="20"/>
          <w:lang w:val="en-US"/>
        </w:rPr>
        <w:t>Without attempting to lay down any precise rul</w:t>
      </w:r>
      <w:r w:rsidRPr="00732424">
        <w:rPr>
          <w:i/>
          <w:sz w:val="20"/>
          <w:szCs w:val="20"/>
          <w:lang w:val="en-US"/>
        </w:rPr>
        <w:t>e, which may have the effect of limiting the wide discretion implicit in this rule, in my view</w:t>
      </w:r>
      <w:r w:rsidR="006130D4" w:rsidRPr="00732424">
        <w:rPr>
          <w:i/>
          <w:sz w:val="20"/>
          <w:szCs w:val="20"/>
          <w:lang w:val="en-US"/>
        </w:rPr>
        <w:t xml:space="preserve"> oral evidence in one or other form envisaged</w:t>
      </w:r>
      <w:r w:rsidRPr="00732424">
        <w:rPr>
          <w:i/>
          <w:sz w:val="20"/>
          <w:szCs w:val="20"/>
          <w:lang w:val="en-US"/>
        </w:rPr>
        <w:t xml:space="preserve"> </w:t>
      </w:r>
      <w:r w:rsidR="006130D4" w:rsidRPr="00732424">
        <w:rPr>
          <w:i/>
          <w:sz w:val="20"/>
          <w:szCs w:val="20"/>
          <w:lang w:val="en-US"/>
        </w:rPr>
        <w:t xml:space="preserve">by the rule should be allowed if there are reasonable grounds for doubting the correctness of the allegations concerned. </w:t>
      </w:r>
      <w:r w:rsidRPr="00732424">
        <w:rPr>
          <w:i/>
          <w:sz w:val="20"/>
          <w:szCs w:val="20"/>
          <w:lang w:val="en-US"/>
        </w:rPr>
        <w:t xml:space="preserve">(d) </w:t>
      </w:r>
      <w:r w:rsidR="006130D4" w:rsidRPr="00732424">
        <w:rPr>
          <w:i/>
          <w:sz w:val="20"/>
          <w:szCs w:val="20"/>
          <w:lang w:val="en-US"/>
        </w:rPr>
        <w:t xml:space="preserve">In reaching a decision in this regard, facts peculiarly within the knowledge of an applicant, which for that reason cannot be directly contradicted or refuted by the opposite party are to be carefully </w:t>
      </w:r>
      <w:proofErr w:type="spellStart"/>
      <w:proofErr w:type="gramStart"/>
      <w:r w:rsidR="006130D4" w:rsidRPr="00732424">
        <w:rPr>
          <w:i/>
          <w:sz w:val="20"/>
          <w:szCs w:val="20"/>
          <w:lang w:val="en-US"/>
        </w:rPr>
        <w:t>scrutinised</w:t>
      </w:r>
      <w:proofErr w:type="spellEnd"/>
      <w:r w:rsidR="006130D4" w:rsidRPr="00732424">
        <w:rPr>
          <w:i/>
          <w:sz w:val="20"/>
          <w:szCs w:val="20"/>
          <w:lang w:val="en-US"/>
        </w:rPr>
        <w:t xml:space="preserve"> </w:t>
      </w:r>
      <w:proofErr w:type="gramEnd"/>
      <w:r w:rsidR="006130D4" w:rsidRPr="00732424">
        <w:rPr>
          <w:rStyle w:val="FootnoteReference"/>
          <w:i/>
          <w:sz w:val="20"/>
          <w:szCs w:val="20"/>
          <w:lang w:val="en-US"/>
        </w:rPr>
        <w:footnoteReference w:id="23"/>
      </w:r>
      <w:r w:rsidR="006130D4" w:rsidRPr="00732424">
        <w:rPr>
          <w:sz w:val="20"/>
          <w:szCs w:val="20"/>
          <w:lang w:val="en-US"/>
        </w:rPr>
        <w:t xml:space="preserve">. </w:t>
      </w:r>
    </w:p>
    <w:p w:rsidR="006326C9" w:rsidRDefault="00025EC3" w:rsidP="00025EC3">
      <w:pPr>
        <w:pStyle w:val="level1"/>
        <w:numPr>
          <w:ilvl w:val="0"/>
          <w:numId w:val="0"/>
        </w:numPr>
        <w:spacing w:after="480" w:line="360" w:lineRule="auto"/>
        <w:jc w:val="both"/>
        <w:rPr>
          <w:lang w:val="en-US"/>
        </w:rPr>
      </w:pPr>
      <w:r>
        <w:rPr>
          <w:lang w:val="en-US"/>
        </w:rPr>
        <w:lastRenderedPageBreak/>
        <w:t>[29]</w:t>
      </w:r>
      <w:r>
        <w:rPr>
          <w:lang w:val="en-US"/>
        </w:rPr>
        <w:tab/>
      </w:r>
      <w:r w:rsidR="006326C9">
        <w:rPr>
          <w:lang w:val="en-US"/>
        </w:rPr>
        <w:t xml:space="preserve">On a conspectus of the evidence, in addition to the factual disputes referred to earlier, there are facts peculiarly within the knowledge of respectively the applicants and the trustee respondents, countered by other facts and circumstances that reasonably casts doubt on the correctness of their respective averments. Although not contradicted by direct evidence, those averments are thus in dispute. </w:t>
      </w:r>
    </w:p>
    <w:p w:rsidR="00E97524" w:rsidRPr="006326C9" w:rsidRDefault="00025EC3" w:rsidP="00025EC3">
      <w:pPr>
        <w:pStyle w:val="level1"/>
        <w:numPr>
          <w:ilvl w:val="0"/>
          <w:numId w:val="0"/>
        </w:numPr>
        <w:spacing w:after="480" w:line="360" w:lineRule="auto"/>
        <w:jc w:val="both"/>
        <w:rPr>
          <w:lang w:val="en-US"/>
        </w:rPr>
      </w:pPr>
      <w:r w:rsidRPr="006326C9">
        <w:rPr>
          <w:lang w:val="en-US"/>
        </w:rPr>
        <w:t>[30]</w:t>
      </w:r>
      <w:r w:rsidRPr="006326C9">
        <w:rPr>
          <w:lang w:val="en-US"/>
        </w:rPr>
        <w:tab/>
      </w:r>
      <w:r w:rsidR="006326C9" w:rsidRPr="006326C9">
        <w:rPr>
          <w:lang w:val="en-US"/>
        </w:rPr>
        <w:t>In my view there a</w:t>
      </w:r>
      <w:r w:rsidR="00732424" w:rsidRPr="006326C9">
        <w:rPr>
          <w:lang w:val="en-US"/>
        </w:rPr>
        <w:t xml:space="preserve">re there reasonable grounds for doubting the correctness of </w:t>
      </w:r>
      <w:r w:rsidR="006326C9" w:rsidRPr="006326C9">
        <w:rPr>
          <w:lang w:val="en-US"/>
        </w:rPr>
        <w:t xml:space="preserve">various </w:t>
      </w:r>
      <w:r w:rsidR="00732424" w:rsidRPr="006326C9">
        <w:rPr>
          <w:lang w:val="en-US"/>
        </w:rPr>
        <w:t>averments</w:t>
      </w:r>
      <w:r w:rsidR="00AB4F7E">
        <w:rPr>
          <w:lang w:val="en-US"/>
        </w:rPr>
        <w:t xml:space="preserve"> in the respective parties’ affidavits. </w:t>
      </w:r>
      <w:r w:rsidR="00732424" w:rsidRPr="006326C9">
        <w:rPr>
          <w:lang w:val="en-US"/>
        </w:rPr>
        <w:t xml:space="preserve"> First</w:t>
      </w:r>
      <w:r w:rsidR="00B57B78" w:rsidRPr="006326C9">
        <w:rPr>
          <w:lang w:val="en-US"/>
        </w:rPr>
        <w:t xml:space="preserve">, </w:t>
      </w:r>
      <w:proofErr w:type="spellStart"/>
      <w:r w:rsidR="00B57B78" w:rsidRPr="006326C9">
        <w:rPr>
          <w:lang w:val="en-US"/>
        </w:rPr>
        <w:t>Mr</w:t>
      </w:r>
      <w:proofErr w:type="spellEnd"/>
      <w:r w:rsidR="00B57B78" w:rsidRPr="006326C9">
        <w:rPr>
          <w:lang w:val="en-US"/>
        </w:rPr>
        <w:t xml:space="preserve"> </w:t>
      </w:r>
      <w:proofErr w:type="spellStart"/>
      <w:r w:rsidR="00B57B78" w:rsidRPr="006326C9">
        <w:rPr>
          <w:lang w:val="en-US"/>
        </w:rPr>
        <w:t>Bapela’s</w:t>
      </w:r>
      <w:proofErr w:type="spellEnd"/>
      <w:r w:rsidR="00B57B78" w:rsidRPr="006326C9">
        <w:rPr>
          <w:lang w:val="en-US"/>
        </w:rPr>
        <w:t xml:space="preserve"> version as to the nature and extent of his involvement in the affairs of the trust and his compliance with his duties as trustee are only addressed in </w:t>
      </w:r>
      <w:r w:rsidR="002826C9" w:rsidRPr="006326C9">
        <w:rPr>
          <w:lang w:val="en-US"/>
        </w:rPr>
        <w:t xml:space="preserve">the </w:t>
      </w:r>
      <w:r w:rsidR="00B57B78" w:rsidRPr="006326C9">
        <w:rPr>
          <w:lang w:val="en-US"/>
        </w:rPr>
        <w:t>broad</w:t>
      </w:r>
      <w:r w:rsidR="002826C9" w:rsidRPr="006326C9">
        <w:rPr>
          <w:lang w:val="en-US"/>
        </w:rPr>
        <w:t>est of</w:t>
      </w:r>
      <w:r w:rsidR="00B57B78" w:rsidRPr="006326C9">
        <w:rPr>
          <w:lang w:val="en-US"/>
        </w:rPr>
        <w:t xml:space="preserve"> terms in contending that </w:t>
      </w:r>
      <w:r w:rsidR="00E97524" w:rsidRPr="006326C9">
        <w:rPr>
          <w:lang w:val="en-US"/>
        </w:rPr>
        <w:t>“</w:t>
      </w:r>
      <w:r w:rsidR="00B57B78" w:rsidRPr="00AB4F7E">
        <w:rPr>
          <w:i/>
          <w:lang w:val="en-US"/>
        </w:rPr>
        <w:t>he is obliged to act in the in</w:t>
      </w:r>
      <w:r w:rsidR="002826C9" w:rsidRPr="00AB4F7E">
        <w:rPr>
          <w:i/>
          <w:lang w:val="en-US"/>
        </w:rPr>
        <w:t>t</w:t>
      </w:r>
      <w:r w:rsidR="00B57B78" w:rsidRPr="00AB4F7E">
        <w:rPr>
          <w:i/>
          <w:lang w:val="en-US"/>
        </w:rPr>
        <w:t xml:space="preserve">erests of the trust in compliance with his fiduciary duties to stop the reckless misconduct of </w:t>
      </w:r>
      <w:r w:rsidR="002826C9" w:rsidRPr="00AB4F7E">
        <w:rPr>
          <w:i/>
          <w:lang w:val="en-US"/>
        </w:rPr>
        <w:t>the trustee respondents</w:t>
      </w:r>
      <w:r w:rsidR="00E97524" w:rsidRPr="006326C9">
        <w:rPr>
          <w:lang w:val="en-US"/>
        </w:rPr>
        <w:t>”</w:t>
      </w:r>
      <w:r w:rsidR="00B57B78" w:rsidRPr="006326C9">
        <w:rPr>
          <w:lang w:val="en-US"/>
        </w:rPr>
        <w:t xml:space="preserve"> and a denial of knowledge of the circumstances of their appointment</w:t>
      </w:r>
      <w:r w:rsidR="00E97524" w:rsidRPr="006326C9">
        <w:rPr>
          <w:lang w:val="en-US"/>
        </w:rPr>
        <w:t xml:space="preserve">. </w:t>
      </w:r>
      <w:proofErr w:type="spellStart"/>
      <w:r w:rsidR="00E97524" w:rsidRPr="006326C9">
        <w:rPr>
          <w:lang w:val="en-US"/>
        </w:rPr>
        <w:t>Mr</w:t>
      </w:r>
      <w:proofErr w:type="spellEnd"/>
      <w:r w:rsidR="00E97524" w:rsidRPr="006326C9">
        <w:rPr>
          <w:lang w:val="en-US"/>
        </w:rPr>
        <w:t xml:space="preserve"> </w:t>
      </w:r>
      <w:proofErr w:type="spellStart"/>
      <w:r w:rsidR="00E97524" w:rsidRPr="006326C9">
        <w:rPr>
          <w:lang w:val="en-US"/>
        </w:rPr>
        <w:t>Bapela’s</w:t>
      </w:r>
      <w:proofErr w:type="spellEnd"/>
      <w:r w:rsidR="00E97524" w:rsidRPr="006326C9">
        <w:rPr>
          <w:lang w:val="en-US"/>
        </w:rPr>
        <w:t xml:space="preserve"> own version</w:t>
      </w:r>
      <w:r w:rsidR="00B57B78" w:rsidRPr="006326C9">
        <w:rPr>
          <w:lang w:val="en-US"/>
        </w:rPr>
        <w:t xml:space="preserve"> begs the question of his actual involvement</w:t>
      </w:r>
      <w:r w:rsidR="002826C9" w:rsidRPr="006326C9">
        <w:rPr>
          <w:lang w:val="en-US"/>
        </w:rPr>
        <w:t xml:space="preserve"> in </w:t>
      </w:r>
      <w:r w:rsidR="00E97524" w:rsidRPr="006326C9">
        <w:rPr>
          <w:lang w:val="en-US"/>
        </w:rPr>
        <w:t xml:space="preserve">and knowledge of </w:t>
      </w:r>
      <w:r w:rsidR="002826C9" w:rsidRPr="006326C9">
        <w:rPr>
          <w:lang w:val="en-US"/>
        </w:rPr>
        <w:t xml:space="preserve">the affairs of the trust. </w:t>
      </w:r>
    </w:p>
    <w:p w:rsidR="002826C9" w:rsidRDefault="00025EC3" w:rsidP="00025EC3">
      <w:pPr>
        <w:pStyle w:val="level1"/>
        <w:numPr>
          <w:ilvl w:val="0"/>
          <w:numId w:val="0"/>
        </w:numPr>
        <w:spacing w:after="480" w:line="360" w:lineRule="auto"/>
        <w:jc w:val="both"/>
        <w:rPr>
          <w:lang w:val="en-US"/>
        </w:rPr>
      </w:pPr>
      <w:r>
        <w:rPr>
          <w:lang w:val="en-US"/>
        </w:rPr>
        <w:t>[31]</w:t>
      </w:r>
      <w:r>
        <w:rPr>
          <w:lang w:val="en-US"/>
        </w:rPr>
        <w:tab/>
      </w:r>
      <w:r w:rsidR="002826C9">
        <w:rPr>
          <w:lang w:val="en-US"/>
        </w:rPr>
        <w:t>T</w:t>
      </w:r>
      <w:r w:rsidR="00B57B78">
        <w:rPr>
          <w:lang w:val="en-US"/>
        </w:rPr>
        <w:t xml:space="preserve">he </w:t>
      </w:r>
      <w:r w:rsidR="00AB4F7E">
        <w:rPr>
          <w:lang w:val="en-US"/>
        </w:rPr>
        <w:t>trustee</w:t>
      </w:r>
      <w:r w:rsidR="00B57B78">
        <w:rPr>
          <w:lang w:val="en-US"/>
        </w:rPr>
        <w:t xml:space="preserve"> respondents </w:t>
      </w:r>
      <w:r w:rsidR="00E97524">
        <w:rPr>
          <w:lang w:val="en-US"/>
        </w:rPr>
        <w:t xml:space="preserve">expressly challenged </w:t>
      </w:r>
      <w:proofErr w:type="spellStart"/>
      <w:r w:rsidR="00AB4F7E">
        <w:rPr>
          <w:lang w:val="en-US"/>
        </w:rPr>
        <w:t>M</w:t>
      </w:r>
      <w:r w:rsidR="00E97524">
        <w:rPr>
          <w:lang w:val="en-US"/>
        </w:rPr>
        <w:t>r</w:t>
      </w:r>
      <w:proofErr w:type="spellEnd"/>
      <w:r w:rsidR="00E97524">
        <w:rPr>
          <w:lang w:val="en-US"/>
        </w:rPr>
        <w:t xml:space="preserve"> </w:t>
      </w:r>
      <w:proofErr w:type="spellStart"/>
      <w:r w:rsidR="00E97524">
        <w:rPr>
          <w:lang w:val="en-US"/>
        </w:rPr>
        <w:t>Bapela’s</w:t>
      </w:r>
      <w:proofErr w:type="spellEnd"/>
      <w:r w:rsidR="00E97524">
        <w:rPr>
          <w:lang w:val="en-US"/>
        </w:rPr>
        <w:t xml:space="preserve"> involvement in the affairs of the trust, who they </w:t>
      </w:r>
      <w:r w:rsidR="00B57B78">
        <w:rPr>
          <w:lang w:val="en-US"/>
        </w:rPr>
        <w:t>contend</w:t>
      </w:r>
      <w:r w:rsidR="00E97524">
        <w:rPr>
          <w:lang w:val="en-US"/>
        </w:rPr>
        <w:t>ed</w:t>
      </w:r>
      <w:r w:rsidR="00B57B78">
        <w:rPr>
          <w:lang w:val="en-US"/>
        </w:rPr>
        <w:t xml:space="preserve"> was an absent trustee </w:t>
      </w:r>
      <w:r w:rsidR="002826C9">
        <w:rPr>
          <w:lang w:val="en-US"/>
        </w:rPr>
        <w:t xml:space="preserve">and one </w:t>
      </w:r>
      <w:r w:rsidR="00B57B78">
        <w:rPr>
          <w:lang w:val="en-US"/>
        </w:rPr>
        <w:t>in name only</w:t>
      </w:r>
      <w:r w:rsidR="002826C9">
        <w:rPr>
          <w:lang w:val="en-US"/>
        </w:rPr>
        <w:t>.</w:t>
      </w:r>
      <w:r w:rsidR="00E97524" w:rsidRPr="00E97524">
        <w:rPr>
          <w:lang w:val="en-US"/>
        </w:rPr>
        <w:t xml:space="preserve"> </w:t>
      </w:r>
      <w:r w:rsidR="00E97524">
        <w:rPr>
          <w:lang w:val="en-US"/>
        </w:rPr>
        <w:t xml:space="preserve">They highlighted </w:t>
      </w:r>
      <w:proofErr w:type="spellStart"/>
      <w:r w:rsidR="00E97524">
        <w:rPr>
          <w:lang w:val="en-US"/>
        </w:rPr>
        <w:t>Mr</w:t>
      </w:r>
      <w:proofErr w:type="spellEnd"/>
      <w:r w:rsidR="00E97524">
        <w:rPr>
          <w:lang w:val="en-US"/>
        </w:rPr>
        <w:t xml:space="preserve"> </w:t>
      </w:r>
      <w:proofErr w:type="spellStart"/>
      <w:r w:rsidR="00E97524">
        <w:rPr>
          <w:lang w:val="en-US"/>
        </w:rPr>
        <w:t>Bapela’s</w:t>
      </w:r>
      <w:proofErr w:type="spellEnd"/>
      <w:r w:rsidR="00E97524">
        <w:rPr>
          <w:lang w:val="en-US"/>
        </w:rPr>
        <w:t xml:space="preserve"> ignorance of their appointment for a period in excess of 6 years and his failure to do anything prior to or after the death of both </w:t>
      </w:r>
      <w:proofErr w:type="spellStart"/>
      <w:r w:rsidR="00E97524">
        <w:rPr>
          <w:lang w:val="en-US"/>
        </w:rPr>
        <w:t>Mr</w:t>
      </w:r>
      <w:proofErr w:type="spellEnd"/>
      <w:r w:rsidR="00E97524">
        <w:rPr>
          <w:lang w:val="en-US"/>
        </w:rPr>
        <w:t xml:space="preserve"> </w:t>
      </w:r>
      <w:proofErr w:type="spellStart"/>
      <w:r w:rsidR="00E97524">
        <w:rPr>
          <w:lang w:val="en-US"/>
        </w:rPr>
        <w:t>Makgathi’s</w:t>
      </w:r>
      <w:proofErr w:type="spellEnd"/>
      <w:r w:rsidR="00E97524">
        <w:rPr>
          <w:lang w:val="en-US"/>
        </w:rPr>
        <w:t xml:space="preserve"> and </w:t>
      </w:r>
      <w:proofErr w:type="spellStart"/>
      <w:r w:rsidR="00E97524">
        <w:rPr>
          <w:lang w:val="en-US"/>
        </w:rPr>
        <w:t>Mr</w:t>
      </w:r>
      <w:proofErr w:type="spellEnd"/>
      <w:r w:rsidR="00E97524">
        <w:rPr>
          <w:lang w:val="en-US"/>
        </w:rPr>
        <w:t xml:space="preserve"> Loots or to or to take steps to nominate alternative trustees. In reply </w:t>
      </w:r>
      <w:proofErr w:type="spellStart"/>
      <w:r w:rsidR="00E97524">
        <w:rPr>
          <w:lang w:val="en-US"/>
        </w:rPr>
        <w:t>Mr</w:t>
      </w:r>
      <w:proofErr w:type="spellEnd"/>
      <w:r w:rsidR="00E97524">
        <w:rPr>
          <w:lang w:val="en-US"/>
        </w:rPr>
        <w:t xml:space="preserve"> </w:t>
      </w:r>
      <w:proofErr w:type="spellStart"/>
      <w:r w:rsidR="00E97524">
        <w:rPr>
          <w:lang w:val="en-US"/>
        </w:rPr>
        <w:t>Bapela</w:t>
      </w:r>
      <w:proofErr w:type="spellEnd"/>
      <w:r w:rsidR="00E97524">
        <w:rPr>
          <w:lang w:val="en-US"/>
        </w:rPr>
        <w:t xml:space="preserve"> baldly deni</w:t>
      </w:r>
      <w:r w:rsidR="00AB4F7E">
        <w:rPr>
          <w:lang w:val="en-US"/>
        </w:rPr>
        <w:t>ed</w:t>
      </w:r>
      <w:r w:rsidR="00E97524">
        <w:rPr>
          <w:lang w:val="en-US"/>
        </w:rPr>
        <w:t xml:space="preserve"> such averments and did not meaningfully grapple with facts which were peculiarly within his knowledge.</w:t>
      </w:r>
    </w:p>
    <w:p w:rsidR="006851A9" w:rsidRDefault="00025EC3" w:rsidP="00025EC3">
      <w:pPr>
        <w:pStyle w:val="level1"/>
        <w:numPr>
          <w:ilvl w:val="0"/>
          <w:numId w:val="0"/>
        </w:numPr>
        <w:spacing w:after="480" w:line="360" w:lineRule="auto"/>
        <w:jc w:val="both"/>
        <w:rPr>
          <w:lang w:val="en-US"/>
        </w:rPr>
      </w:pPr>
      <w:r>
        <w:rPr>
          <w:lang w:val="en-US"/>
        </w:rPr>
        <w:t>[32]</w:t>
      </w:r>
      <w:r>
        <w:rPr>
          <w:lang w:val="en-US"/>
        </w:rPr>
        <w:tab/>
      </w:r>
      <w:r w:rsidR="006851A9">
        <w:rPr>
          <w:lang w:val="en-US"/>
        </w:rPr>
        <w:t xml:space="preserve">I cannot agree with the applicants’ contention that the question whether or not </w:t>
      </w:r>
      <w:proofErr w:type="spellStart"/>
      <w:r w:rsidR="006851A9">
        <w:rPr>
          <w:lang w:val="en-US"/>
        </w:rPr>
        <w:t>Mr</w:t>
      </w:r>
      <w:proofErr w:type="spellEnd"/>
      <w:r w:rsidR="006851A9">
        <w:rPr>
          <w:lang w:val="en-US"/>
        </w:rPr>
        <w:t xml:space="preserve"> </w:t>
      </w:r>
      <w:proofErr w:type="spellStart"/>
      <w:r w:rsidR="006851A9">
        <w:rPr>
          <w:lang w:val="en-US"/>
        </w:rPr>
        <w:t>Bapela</w:t>
      </w:r>
      <w:proofErr w:type="spellEnd"/>
      <w:r w:rsidR="006851A9">
        <w:rPr>
          <w:lang w:val="en-US"/>
        </w:rPr>
        <w:t xml:space="preserve"> participated with the trustee respondents in the affairs of the trust is irrelevant to the relief sought in the application. </w:t>
      </w:r>
      <w:r w:rsidR="006326C9">
        <w:rPr>
          <w:lang w:val="en-US"/>
        </w:rPr>
        <w:t xml:space="preserve">If the relief sought is granted, </w:t>
      </w:r>
      <w:proofErr w:type="spellStart"/>
      <w:r w:rsidR="006326C9">
        <w:rPr>
          <w:lang w:val="en-US"/>
        </w:rPr>
        <w:t>Mr</w:t>
      </w:r>
      <w:proofErr w:type="spellEnd"/>
      <w:r w:rsidR="006326C9">
        <w:rPr>
          <w:lang w:val="en-US"/>
        </w:rPr>
        <w:t xml:space="preserve"> </w:t>
      </w:r>
      <w:proofErr w:type="spellStart"/>
      <w:r w:rsidR="006326C9">
        <w:rPr>
          <w:lang w:val="en-US"/>
        </w:rPr>
        <w:t>Bapela</w:t>
      </w:r>
      <w:proofErr w:type="spellEnd"/>
      <w:r w:rsidR="006326C9">
        <w:rPr>
          <w:lang w:val="en-US"/>
        </w:rPr>
        <w:t xml:space="preserve"> would remain</w:t>
      </w:r>
      <w:r w:rsidR="00AB4F7E">
        <w:rPr>
          <w:lang w:val="en-US"/>
        </w:rPr>
        <w:t>, contrary to the provisions of the trust deed,</w:t>
      </w:r>
      <w:r w:rsidR="006326C9">
        <w:rPr>
          <w:lang w:val="en-US"/>
        </w:rPr>
        <w:t xml:space="preserve"> as the sole trustee of the trust, </w:t>
      </w:r>
      <w:r w:rsidR="00AB4F7E">
        <w:rPr>
          <w:lang w:val="en-US"/>
        </w:rPr>
        <w:t>w</w:t>
      </w:r>
      <w:r w:rsidR="006326C9">
        <w:rPr>
          <w:lang w:val="en-US"/>
        </w:rPr>
        <w:t>hose current beneficiaries are not identified or disclosed.</w:t>
      </w:r>
    </w:p>
    <w:p w:rsidR="002826C9" w:rsidRPr="006326C9" w:rsidRDefault="00025EC3" w:rsidP="00025EC3">
      <w:pPr>
        <w:pStyle w:val="level1"/>
        <w:numPr>
          <w:ilvl w:val="0"/>
          <w:numId w:val="0"/>
        </w:numPr>
        <w:spacing w:after="480" w:line="360" w:lineRule="auto"/>
        <w:jc w:val="both"/>
        <w:rPr>
          <w:lang w:val="en-US"/>
        </w:rPr>
      </w:pPr>
      <w:r w:rsidRPr="006326C9">
        <w:rPr>
          <w:lang w:val="en-US"/>
        </w:rPr>
        <w:t>[33]</w:t>
      </w:r>
      <w:r w:rsidRPr="006326C9">
        <w:rPr>
          <w:lang w:val="en-US"/>
        </w:rPr>
        <w:tab/>
      </w:r>
      <w:r w:rsidR="00B57B78" w:rsidRPr="006326C9">
        <w:rPr>
          <w:lang w:val="en-US"/>
        </w:rPr>
        <w:t>Second</w:t>
      </w:r>
      <w:r w:rsidR="002826C9" w:rsidRPr="006326C9">
        <w:rPr>
          <w:lang w:val="en-US"/>
        </w:rPr>
        <w:t>, on</w:t>
      </w:r>
      <w:r w:rsidR="00B57B78" w:rsidRPr="006326C9">
        <w:rPr>
          <w:lang w:val="en-US"/>
        </w:rPr>
        <w:t xml:space="preserve"> </w:t>
      </w:r>
      <w:proofErr w:type="spellStart"/>
      <w:r w:rsidR="00B57B78" w:rsidRPr="006326C9">
        <w:rPr>
          <w:lang w:val="en-US"/>
        </w:rPr>
        <w:t>Mr</w:t>
      </w:r>
      <w:proofErr w:type="spellEnd"/>
      <w:r w:rsidR="00B57B78" w:rsidRPr="006326C9">
        <w:rPr>
          <w:lang w:val="en-US"/>
        </w:rPr>
        <w:t xml:space="preserve"> </w:t>
      </w:r>
      <w:proofErr w:type="spellStart"/>
      <w:r w:rsidR="00B57B78" w:rsidRPr="006326C9">
        <w:rPr>
          <w:lang w:val="en-US"/>
        </w:rPr>
        <w:t>Bapela</w:t>
      </w:r>
      <w:r w:rsidR="002826C9" w:rsidRPr="006326C9">
        <w:rPr>
          <w:lang w:val="en-US"/>
        </w:rPr>
        <w:t>’s</w:t>
      </w:r>
      <w:proofErr w:type="spellEnd"/>
      <w:r w:rsidR="002826C9" w:rsidRPr="006326C9">
        <w:rPr>
          <w:lang w:val="en-US"/>
        </w:rPr>
        <w:t xml:space="preserve"> own version, historically there were various instances where the requirements of the trust deed </w:t>
      </w:r>
      <w:r w:rsidR="00FB7278">
        <w:rPr>
          <w:lang w:val="en-US"/>
        </w:rPr>
        <w:t xml:space="preserve">and the applicable trust law principles </w:t>
      </w:r>
      <w:r w:rsidR="002826C9" w:rsidRPr="006326C9">
        <w:rPr>
          <w:lang w:val="en-US"/>
        </w:rPr>
        <w:t xml:space="preserve">were not </w:t>
      </w:r>
      <w:r w:rsidR="002826C9" w:rsidRPr="006326C9">
        <w:rPr>
          <w:lang w:val="en-US"/>
        </w:rPr>
        <w:lastRenderedPageBreak/>
        <w:t xml:space="preserve">complied with after the death of both </w:t>
      </w:r>
      <w:proofErr w:type="spellStart"/>
      <w:r w:rsidR="002826C9" w:rsidRPr="006326C9">
        <w:rPr>
          <w:lang w:val="en-US"/>
        </w:rPr>
        <w:t>Mr</w:t>
      </w:r>
      <w:proofErr w:type="spellEnd"/>
      <w:r w:rsidR="002826C9" w:rsidRPr="006326C9">
        <w:rPr>
          <w:lang w:val="en-US"/>
        </w:rPr>
        <w:t xml:space="preserve"> </w:t>
      </w:r>
      <w:proofErr w:type="spellStart"/>
      <w:r w:rsidR="002826C9" w:rsidRPr="006326C9">
        <w:rPr>
          <w:lang w:val="en-US"/>
        </w:rPr>
        <w:t>Makgathi</w:t>
      </w:r>
      <w:proofErr w:type="spellEnd"/>
      <w:r w:rsidR="002826C9" w:rsidRPr="006326C9">
        <w:rPr>
          <w:lang w:val="en-US"/>
        </w:rPr>
        <w:t xml:space="preserve"> and </w:t>
      </w:r>
      <w:proofErr w:type="spellStart"/>
      <w:r w:rsidR="00B57B78" w:rsidRPr="006326C9">
        <w:rPr>
          <w:lang w:val="en-US"/>
        </w:rPr>
        <w:t>Mr</w:t>
      </w:r>
      <w:proofErr w:type="spellEnd"/>
      <w:r w:rsidR="00B57B78" w:rsidRPr="006326C9">
        <w:rPr>
          <w:lang w:val="en-US"/>
        </w:rPr>
        <w:t xml:space="preserve"> Loots </w:t>
      </w:r>
      <w:r w:rsidR="002826C9" w:rsidRPr="006326C9">
        <w:rPr>
          <w:lang w:val="en-US"/>
        </w:rPr>
        <w:t>and in relation to the proper management of the affairs of the trust</w:t>
      </w:r>
      <w:r w:rsidR="00E97524" w:rsidRPr="006326C9">
        <w:rPr>
          <w:lang w:val="en-US"/>
        </w:rPr>
        <w:t>, including the opening of a bank account for the trust</w:t>
      </w:r>
      <w:r w:rsidR="006326C9">
        <w:rPr>
          <w:lang w:val="en-US"/>
        </w:rPr>
        <w:t>.</w:t>
      </w:r>
      <w:r w:rsidR="00E97524" w:rsidRPr="006326C9">
        <w:rPr>
          <w:lang w:val="en-US"/>
        </w:rPr>
        <w:t xml:space="preserve"> </w:t>
      </w:r>
      <w:r w:rsidR="002826C9" w:rsidRPr="006326C9">
        <w:rPr>
          <w:lang w:val="en-US"/>
        </w:rPr>
        <w:t xml:space="preserve">No explanation is </w:t>
      </w:r>
      <w:r w:rsidR="006326C9">
        <w:rPr>
          <w:lang w:val="en-US"/>
        </w:rPr>
        <w:t xml:space="preserve">further </w:t>
      </w:r>
      <w:r w:rsidR="002826C9" w:rsidRPr="006326C9">
        <w:rPr>
          <w:lang w:val="en-US"/>
        </w:rPr>
        <w:t xml:space="preserve">tendered for the substantial delay in seeking to set aside the appointment of the trustee respondents. </w:t>
      </w:r>
    </w:p>
    <w:p w:rsidR="00EA3D12" w:rsidRDefault="00025EC3" w:rsidP="00025EC3">
      <w:pPr>
        <w:pStyle w:val="level1"/>
        <w:numPr>
          <w:ilvl w:val="0"/>
          <w:numId w:val="0"/>
        </w:numPr>
        <w:spacing w:after="480" w:line="360" w:lineRule="auto"/>
        <w:jc w:val="both"/>
        <w:rPr>
          <w:lang w:val="en-US"/>
        </w:rPr>
      </w:pPr>
      <w:r>
        <w:rPr>
          <w:lang w:val="en-US"/>
        </w:rPr>
        <w:t>[34]</w:t>
      </w:r>
      <w:r>
        <w:rPr>
          <w:lang w:val="en-US"/>
        </w:rPr>
        <w:tab/>
      </w:r>
      <w:r w:rsidR="00E97524">
        <w:rPr>
          <w:lang w:val="en-US"/>
        </w:rPr>
        <w:t>Th</w:t>
      </w:r>
      <w:r w:rsidR="00EA3D12">
        <w:rPr>
          <w:lang w:val="en-US"/>
        </w:rPr>
        <w:t>ird, th</w:t>
      </w:r>
      <w:r w:rsidR="00E97524">
        <w:rPr>
          <w:lang w:val="en-US"/>
        </w:rPr>
        <w:t>e trustee respondents’ version is similarly unclear and lacking in various respects</w:t>
      </w:r>
      <w:r w:rsidR="007C7523">
        <w:rPr>
          <w:lang w:val="en-US"/>
        </w:rPr>
        <w:t xml:space="preserve">, pertaining, inter alia, to the sale of share and loan agreements and the advices and conduct of </w:t>
      </w:r>
      <w:proofErr w:type="spellStart"/>
      <w:r w:rsidR="007C7523">
        <w:rPr>
          <w:lang w:val="en-US"/>
        </w:rPr>
        <w:t>Mr</w:t>
      </w:r>
      <w:proofErr w:type="spellEnd"/>
      <w:r w:rsidR="007C7523">
        <w:rPr>
          <w:lang w:val="en-US"/>
        </w:rPr>
        <w:t xml:space="preserve"> Loots</w:t>
      </w:r>
      <w:r w:rsidR="00E97524">
        <w:rPr>
          <w:lang w:val="en-US"/>
        </w:rPr>
        <w:t>.</w:t>
      </w:r>
    </w:p>
    <w:p w:rsidR="009E6681" w:rsidRDefault="00025EC3" w:rsidP="00025EC3">
      <w:pPr>
        <w:pStyle w:val="level1"/>
        <w:numPr>
          <w:ilvl w:val="0"/>
          <w:numId w:val="0"/>
        </w:numPr>
        <w:spacing w:after="480" w:line="360" w:lineRule="auto"/>
        <w:jc w:val="both"/>
        <w:rPr>
          <w:lang w:val="en-US"/>
        </w:rPr>
      </w:pPr>
      <w:r>
        <w:rPr>
          <w:lang w:val="en-US"/>
        </w:rPr>
        <w:t>[35]</w:t>
      </w:r>
      <w:r>
        <w:rPr>
          <w:lang w:val="en-US"/>
        </w:rPr>
        <w:tab/>
      </w:r>
      <w:r w:rsidR="00EA3D12">
        <w:rPr>
          <w:lang w:val="en-US"/>
        </w:rPr>
        <w:t xml:space="preserve">Fourth, the averments made by the respective parties appear incongruous with the established principles applicable to trust law. In addition, it is impossible </w:t>
      </w:r>
      <w:r w:rsidR="00AB4F7E">
        <w:rPr>
          <w:lang w:val="en-US"/>
        </w:rPr>
        <w:t xml:space="preserve">to exactly establish </w:t>
      </w:r>
      <w:r w:rsidR="00EA3D12">
        <w:rPr>
          <w:lang w:val="en-US"/>
        </w:rPr>
        <w:t>from the application papers as a whole</w:t>
      </w:r>
      <w:r w:rsidR="00AB4F7E">
        <w:rPr>
          <w:lang w:val="en-US"/>
        </w:rPr>
        <w:t>,</w:t>
      </w:r>
      <w:r w:rsidR="00EA3D12">
        <w:rPr>
          <w:lang w:val="en-US"/>
        </w:rPr>
        <w:t xml:space="preserve"> either what the relationship between the respective parties was or what their business dealings </w:t>
      </w:r>
      <w:r w:rsidR="00AB4F7E">
        <w:rPr>
          <w:lang w:val="en-US"/>
        </w:rPr>
        <w:t xml:space="preserve">relating to the trust </w:t>
      </w:r>
      <w:r w:rsidR="00EA3D12">
        <w:rPr>
          <w:lang w:val="en-US"/>
        </w:rPr>
        <w:t xml:space="preserve">entailed.   </w:t>
      </w:r>
      <w:r w:rsidR="00E97524">
        <w:rPr>
          <w:lang w:val="en-US"/>
        </w:rPr>
        <w:t xml:space="preserve"> </w:t>
      </w:r>
    </w:p>
    <w:p w:rsidR="009756E1" w:rsidRDefault="00025EC3" w:rsidP="00025EC3">
      <w:pPr>
        <w:pStyle w:val="level1"/>
        <w:numPr>
          <w:ilvl w:val="0"/>
          <w:numId w:val="0"/>
        </w:numPr>
        <w:spacing w:after="480" w:line="360" w:lineRule="auto"/>
        <w:jc w:val="both"/>
        <w:rPr>
          <w:lang w:val="en-US"/>
        </w:rPr>
      </w:pPr>
      <w:r>
        <w:rPr>
          <w:lang w:val="en-US"/>
        </w:rPr>
        <w:t>[36]</w:t>
      </w:r>
      <w:r>
        <w:rPr>
          <w:lang w:val="en-US"/>
        </w:rPr>
        <w:tab/>
      </w:r>
      <w:r w:rsidR="007C7523">
        <w:rPr>
          <w:lang w:val="en-US"/>
        </w:rPr>
        <w:t xml:space="preserve">For these reasons I conclude that the application should be referred to trial for a full ventilation of </w:t>
      </w:r>
      <w:r w:rsidR="00752A9C">
        <w:rPr>
          <w:lang w:val="en-US"/>
        </w:rPr>
        <w:t xml:space="preserve">the </w:t>
      </w:r>
      <w:r w:rsidR="007C7523">
        <w:rPr>
          <w:lang w:val="en-US"/>
        </w:rPr>
        <w:t xml:space="preserve">issues and </w:t>
      </w:r>
      <w:r w:rsidR="00752A9C">
        <w:rPr>
          <w:lang w:val="en-US"/>
        </w:rPr>
        <w:t xml:space="preserve">disputes between the parties and that a referral to </w:t>
      </w:r>
      <w:r w:rsidR="007C7523">
        <w:rPr>
          <w:lang w:val="en-US"/>
        </w:rPr>
        <w:t xml:space="preserve">oral evidence on the proposed issues </w:t>
      </w:r>
      <w:r w:rsidR="00752A9C">
        <w:rPr>
          <w:lang w:val="en-US"/>
        </w:rPr>
        <w:t xml:space="preserve">would </w:t>
      </w:r>
      <w:r w:rsidR="007C7523">
        <w:rPr>
          <w:lang w:val="en-US"/>
        </w:rPr>
        <w:t xml:space="preserve">not </w:t>
      </w:r>
      <w:r w:rsidR="00752A9C">
        <w:rPr>
          <w:lang w:val="en-US"/>
        </w:rPr>
        <w:t>be appropriate.</w:t>
      </w:r>
    </w:p>
    <w:p w:rsidR="00752A9C" w:rsidRDefault="00025EC3" w:rsidP="00025EC3">
      <w:pPr>
        <w:pStyle w:val="level1"/>
        <w:numPr>
          <w:ilvl w:val="0"/>
          <w:numId w:val="0"/>
        </w:numPr>
        <w:spacing w:after="480" w:line="360" w:lineRule="auto"/>
        <w:jc w:val="both"/>
        <w:rPr>
          <w:lang w:val="en-US"/>
        </w:rPr>
      </w:pPr>
      <w:r>
        <w:rPr>
          <w:lang w:val="en-US"/>
        </w:rPr>
        <w:t>[37]</w:t>
      </w:r>
      <w:r>
        <w:rPr>
          <w:lang w:val="en-US"/>
        </w:rPr>
        <w:tab/>
      </w:r>
      <w:r w:rsidR="00752A9C">
        <w:rPr>
          <w:lang w:val="en-US"/>
        </w:rPr>
        <w:t xml:space="preserve">The </w:t>
      </w:r>
      <w:r w:rsidR="007C7523">
        <w:rPr>
          <w:lang w:val="en-US"/>
        </w:rPr>
        <w:t>trustee</w:t>
      </w:r>
      <w:r w:rsidR="00752A9C">
        <w:rPr>
          <w:lang w:val="en-US"/>
        </w:rPr>
        <w:t xml:space="preserve"> respondents argued that an adverse costs order should be granted at this stage against the applicants as the</w:t>
      </w:r>
      <w:r w:rsidR="007C7523">
        <w:rPr>
          <w:lang w:val="en-US"/>
        </w:rPr>
        <w:t xml:space="preserve"> applicants</w:t>
      </w:r>
      <w:r w:rsidR="00752A9C">
        <w:rPr>
          <w:lang w:val="en-US"/>
        </w:rPr>
        <w:t xml:space="preserve"> had refused to consent to their proposed referral to oral evidence. I do not agree. At this stage a reservation of the costs would be more </w:t>
      </w:r>
      <w:proofErr w:type="gramStart"/>
      <w:r w:rsidR="00752A9C">
        <w:rPr>
          <w:lang w:val="en-US"/>
        </w:rPr>
        <w:t xml:space="preserve">appropriate </w:t>
      </w:r>
      <w:proofErr w:type="gramEnd"/>
      <w:r w:rsidR="00571759">
        <w:rPr>
          <w:rStyle w:val="FootnoteReference"/>
        </w:rPr>
        <w:footnoteReference w:id="24"/>
      </w:r>
      <w:r w:rsidR="00571759">
        <w:rPr>
          <w:lang w:val="en-US"/>
        </w:rPr>
        <w:t xml:space="preserve">, </w:t>
      </w:r>
      <w:r w:rsidR="00752A9C">
        <w:rPr>
          <w:lang w:val="en-US"/>
        </w:rPr>
        <w:t>which would preserve all parties</w:t>
      </w:r>
      <w:r w:rsidR="000F1F76">
        <w:rPr>
          <w:lang w:val="en-US"/>
        </w:rPr>
        <w:t>’</w:t>
      </w:r>
      <w:r w:rsidR="00752A9C">
        <w:rPr>
          <w:lang w:val="en-US"/>
        </w:rPr>
        <w:t xml:space="preserve"> rights in relation thereto.</w:t>
      </w:r>
    </w:p>
    <w:p w:rsidR="00452C25" w:rsidRDefault="00025EC3" w:rsidP="00025EC3">
      <w:pPr>
        <w:pStyle w:val="level1"/>
        <w:numPr>
          <w:ilvl w:val="0"/>
          <w:numId w:val="0"/>
        </w:numPr>
        <w:spacing w:after="480" w:line="360" w:lineRule="auto"/>
        <w:jc w:val="both"/>
        <w:rPr>
          <w:lang w:val="en-US"/>
        </w:rPr>
      </w:pPr>
      <w:r>
        <w:rPr>
          <w:lang w:val="en-US"/>
        </w:rPr>
        <w:t>[38]</w:t>
      </w:r>
      <w:r>
        <w:rPr>
          <w:lang w:val="en-US"/>
        </w:rPr>
        <w:tab/>
      </w:r>
      <w:r w:rsidR="00516C15">
        <w:rPr>
          <w:lang w:val="en-US"/>
        </w:rPr>
        <w:t>I grant the following order:</w:t>
      </w:r>
    </w:p>
    <w:p w:rsidR="009756E1" w:rsidRDefault="009756E1" w:rsidP="00752A9C">
      <w:pPr>
        <w:pStyle w:val="level1"/>
        <w:numPr>
          <w:ilvl w:val="0"/>
          <w:numId w:val="0"/>
        </w:numPr>
        <w:spacing w:after="480" w:line="360" w:lineRule="auto"/>
        <w:ind w:firstLine="720"/>
        <w:jc w:val="both"/>
        <w:rPr>
          <w:lang w:val="en-US"/>
        </w:rPr>
      </w:pPr>
      <w:r>
        <w:rPr>
          <w:lang w:val="en-US"/>
        </w:rPr>
        <w:t>[1]</w:t>
      </w:r>
      <w:r w:rsidR="00752A9C">
        <w:rPr>
          <w:lang w:val="en-US"/>
        </w:rPr>
        <w:t xml:space="preserve"> The application is referred to trial;</w:t>
      </w:r>
    </w:p>
    <w:p w:rsidR="00752A9C" w:rsidRDefault="00752A9C" w:rsidP="00752A9C">
      <w:pPr>
        <w:pStyle w:val="level1"/>
        <w:numPr>
          <w:ilvl w:val="0"/>
          <w:numId w:val="0"/>
        </w:numPr>
        <w:spacing w:after="480" w:line="360" w:lineRule="auto"/>
        <w:ind w:left="720"/>
        <w:jc w:val="both"/>
        <w:rPr>
          <w:lang w:val="en-US"/>
        </w:rPr>
      </w:pPr>
      <w:r>
        <w:rPr>
          <w:lang w:val="en-US"/>
        </w:rPr>
        <w:lastRenderedPageBreak/>
        <w:t xml:space="preserve">[2] The notice of motion shall stand as a simple summons </w:t>
      </w:r>
      <w:proofErr w:type="spellStart"/>
      <w:r>
        <w:rPr>
          <w:lang w:val="en-US"/>
        </w:rPr>
        <w:t>whereafter</w:t>
      </w:r>
      <w:proofErr w:type="spellEnd"/>
      <w:r>
        <w:rPr>
          <w:lang w:val="en-US"/>
        </w:rPr>
        <w:t xml:space="preserve"> the uniform rules of court will apply;</w:t>
      </w:r>
    </w:p>
    <w:p w:rsidR="00752A9C" w:rsidRDefault="00752A9C" w:rsidP="00752A9C">
      <w:pPr>
        <w:pStyle w:val="level1"/>
        <w:numPr>
          <w:ilvl w:val="0"/>
          <w:numId w:val="0"/>
        </w:numPr>
        <w:spacing w:after="480" w:line="360" w:lineRule="auto"/>
        <w:ind w:firstLine="720"/>
        <w:jc w:val="both"/>
        <w:rPr>
          <w:lang w:val="en-US"/>
        </w:rPr>
      </w:pPr>
      <w:r>
        <w:rPr>
          <w:lang w:val="en-US"/>
        </w:rPr>
        <w:t>[3] The costs are reserved.</w:t>
      </w:r>
    </w:p>
    <w:p w:rsidR="008941FF" w:rsidRPr="003B7F1D" w:rsidRDefault="008941FF" w:rsidP="003B7F1D">
      <w:pPr>
        <w:pStyle w:val="level1"/>
        <w:numPr>
          <w:ilvl w:val="0"/>
          <w:numId w:val="0"/>
        </w:numPr>
        <w:spacing w:after="480" w:line="360" w:lineRule="auto"/>
        <w:jc w:val="both"/>
        <w:rPr>
          <w:lang w:val="en-US"/>
        </w:rPr>
      </w:pPr>
    </w:p>
    <w:p w:rsidR="007C7523" w:rsidRDefault="003E4474" w:rsidP="003E4474">
      <w:pPr>
        <w:spacing w:after="0" w:line="360" w:lineRule="auto"/>
        <w:ind w:left="2880" w:firstLine="720"/>
        <w:rPr>
          <w:rFonts w:ascii="Arial" w:eastAsia="Times New Roman" w:hAnsi="Arial" w:cs="Times New Roman"/>
          <w:kern w:val="28"/>
          <w:sz w:val="24"/>
          <w:szCs w:val="24"/>
          <w:lang w:eastAsia="en-GB"/>
        </w:rPr>
      </w:pPr>
      <w:r w:rsidRPr="003E4474">
        <w:rPr>
          <w:rFonts w:ascii="Arial" w:eastAsia="Times New Roman" w:hAnsi="Arial" w:cs="Times New Roman"/>
          <w:kern w:val="28"/>
          <w:sz w:val="24"/>
          <w:szCs w:val="24"/>
          <w:lang w:eastAsia="en-GB"/>
        </w:rPr>
        <w:tab/>
      </w:r>
    </w:p>
    <w:p w:rsidR="007C7523" w:rsidRDefault="007C7523" w:rsidP="003E4474">
      <w:pPr>
        <w:spacing w:after="0" w:line="360" w:lineRule="auto"/>
        <w:ind w:left="2880" w:firstLine="720"/>
        <w:rPr>
          <w:rFonts w:ascii="Arial" w:eastAsia="Times New Roman" w:hAnsi="Arial" w:cs="Times New Roman"/>
          <w:kern w:val="28"/>
          <w:sz w:val="24"/>
          <w:szCs w:val="24"/>
          <w:lang w:eastAsia="en-GB"/>
        </w:rPr>
      </w:pPr>
    </w:p>
    <w:p w:rsidR="003E4474" w:rsidRPr="003E4474" w:rsidRDefault="003E4474" w:rsidP="003E4474">
      <w:pPr>
        <w:spacing w:after="0" w:line="360" w:lineRule="auto"/>
        <w:ind w:left="2880" w:firstLine="720"/>
        <w:rPr>
          <w:rFonts w:ascii="Arial" w:eastAsia="Times New Roman" w:hAnsi="Arial" w:cs="Times New Roman"/>
          <w:kern w:val="28"/>
          <w:sz w:val="24"/>
          <w:szCs w:val="24"/>
          <w:lang w:eastAsia="en-GB"/>
        </w:rPr>
      </w:pPr>
      <w:r w:rsidRPr="003E4474">
        <w:rPr>
          <w:rFonts w:ascii="Arial" w:eastAsia="Times New Roman" w:hAnsi="Arial" w:cs="Times New Roman"/>
          <w:kern w:val="28"/>
          <w:sz w:val="24"/>
          <w:szCs w:val="24"/>
          <w:lang w:eastAsia="en-GB"/>
        </w:rPr>
        <w:t>___________________________________</w:t>
      </w:r>
    </w:p>
    <w:p w:rsidR="003E4474" w:rsidRPr="003E4474" w:rsidRDefault="003E4474" w:rsidP="003E4474">
      <w:pPr>
        <w:spacing w:after="0" w:line="240" w:lineRule="auto"/>
        <w:ind w:left="4395"/>
        <w:rPr>
          <w:rFonts w:ascii="Arial" w:eastAsia="Times New Roman" w:hAnsi="Arial" w:cs="Times New Roman"/>
          <w:b/>
          <w:kern w:val="28"/>
          <w:sz w:val="24"/>
          <w:szCs w:val="24"/>
          <w:lang w:eastAsia="en-GB"/>
        </w:rPr>
      </w:pPr>
      <w:r w:rsidRPr="003E4474">
        <w:rPr>
          <w:rFonts w:ascii="Arial" w:eastAsia="Times New Roman" w:hAnsi="Arial" w:cs="Times New Roman"/>
          <w:b/>
          <w:kern w:val="28"/>
          <w:sz w:val="24"/>
          <w:szCs w:val="24"/>
          <w:lang w:eastAsia="en-GB"/>
        </w:rPr>
        <w:t>EF DIPPENAAR</w:t>
      </w:r>
      <w:r w:rsidRPr="003E4474">
        <w:rPr>
          <w:rFonts w:ascii="Arial" w:eastAsia="Times New Roman" w:hAnsi="Arial" w:cs="Times New Roman"/>
          <w:kern w:val="28"/>
          <w:sz w:val="24"/>
          <w:szCs w:val="24"/>
          <w:lang w:eastAsia="en-GB"/>
        </w:rPr>
        <w:t xml:space="preserve">                        </w:t>
      </w:r>
    </w:p>
    <w:p w:rsidR="003E4474" w:rsidRPr="003E4474" w:rsidRDefault="003E4474" w:rsidP="003E4474">
      <w:pPr>
        <w:spacing w:after="0" w:line="240" w:lineRule="auto"/>
        <w:ind w:left="4395"/>
        <w:rPr>
          <w:rFonts w:ascii="Arial" w:eastAsia="Times New Roman" w:hAnsi="Arial" w:cs="Times New Roman"/>
          <w:b/>
          <w:kern w:val="28"/>
          <w:sz w:val="24"/>
          <w:szCs w:val="24"/>
          <w:lang w:eastAsia="en-GB"/>
        </w:rPr>
      </w:pPr>
      <w:r w:rsidRPr="003E4474">
        <w:rPr>
          <w:rFonts w:ascii="Arial" w:eastAsia="Times New Roman" w:hAnsi="Arial" w:cs="Times New Roman"/>
          <w:b/>
          <w:kern w:val="28"/>
          <w:sz w:val="24"/>
          <w:szCs w:val="24"/>
          <w:lang w:eastAsia="en-GB"/>
        </w:rPr>
        <w:t xml:space="preserve">JUDGE OF THE HIGH COURT </w:t>
      </w:r>
      <w:smartTag w:uri="urn:schemas-microsoft-com:office:smarttags" w:element="City">
        <w:smartTag w:uri="urn:schemas-microsoft-com:office:smarttags" w:element="place">
          <w:r w:rsidRPr="003E4474">
            <w:rPr>
              <w:rFonts w:ascii="Arial" w:eastAsia="Times New Roman" w:hAnsi="Arial" w:cs="Times New Roman"/>
              <w:b/>
              <w:kern w:val="28"/>
              <w:sz w:val="24"/>
              <w:szCs w:val="24"/>
              <w:lang w:eastAsia="en-GB"/>
            </w:rPr>
            <w:t>JOHANNESBURG</w:t>
          </w:r>
        </w:smartTag>
      </w:smartTag>
    </w:p>
    <w:p w:rsidR="003E4474" w:rsidRPr="003E4474" w:rsidRDefault="003E4474" w:rsidP="003E4474">
      <w:pPr>
        <w:spacing w:after="0" w:line="240" w:lineRule="auto"/>
        <w:rPr>
          <w:rFonts w:ascii="Arial" w:eastAsia="Times New Roman" w:hAnsi="Arial" w:cs="Times New Roman"/>
          <w:b/>
          <w:kern w:val="28"/>
          <w:sz w:val="24"/>
          <w:szCs w:val="24"/>
          <w:u w:val="single"/>
          <w:lang w:eastAsia="en-GB"/>
        </w:rPr>
      </w:pPr>
    </w:p>
    <w:p w:rsidR="003E4474" w:rsidRPr="003E4474" w:rsidRDefault="003E4474" w:rsidP="003E4474">
      <w:pPr>
        <w:spacing w:after="0" w:line="240" w:lineRule="auto"/>
        <w:rPr>
          <w:rFonts w:ascii="Arial" w:eastAsia="Times New Roman" w:hAnsi="Arial" w:cs="Times New Roman"/>
          <w:b/>
          <w:kern w:val="28"/>
          <w:sz w:val="24"/>
          <w:szCs w:val="24"/>
          <w:u w:val="single"/>
          <w:lang w:eastAsia="en-GB"/>
        </w:rPr>
      </w:pPr>
    </w:p>
    <w:p w:rsidR="003E4474" w:rsidRPr="003E4474" w:rsidRDefault="003E4474" w:rsidP="003E4474">
      <w:pPr>
        <w:spacing w:after="0" w:line="240" w:lineRule="auto"/>
        <w:rPr>
          <w:rFonts w:ascii="Arial" w:eastAsia="Times New Roman" w:hAnsi="Arial" w:cs="Times New Roman"/>
          <w:b/>
          <w:kern w:val="28"/>
          <w:sz w:val="24"/>
          <w:szCs w:val="24"/>
          <w:u w:val="single"/>
          <w:lang w:eastAsia="en-GB"/>
        </w:rPr>
      </w:pPr>
      <w:r w:rsidRPr="003E4474">
        <w:rPr>
          <w:rFonts w:ascii="Arial" w:eastAsia="Times New Roman" w:hAnsi="Arial" w:cs="Times New Roman"/>
          <w:b/>
          <w:kern w:val="28"/>
          <w:sz w:val="24"/>
          <w:szCs w:val="24"/>
          <w:u w:val="single"/>
          <w:lang w:eastAsia="en-GB"/>
        </w:rPr>
        <w:t xml:space="preserve">APPEARANCES </w:t>
      </w:r>
    </w:p>
    <w:p w:rsidR="003E4474" w:rsidRPr="003E4474" w:rsidRDefault="003E4474" w:rsidP="003E4474">
      <w:pPr>
        <w:spacing w:after="0" w:line="240" w:lineRule="auto"/>
        <w:contextualSpacing/>
        <w:rPr>
          <w:rFonts w:ascii="Arial" w:eastAsia="Calibri" w:hAnsi="Arial" w:cs="Times New Roman"/>
          <w:sz w:val="24"/>
        </w:rPr>
      </w:pPr>
    </w:p>
    <w:p w:rsidR="003E4474" w:rsidRPr="003E4474" w:rsidRDefault="003E4474" w:rsidP="003E4474">
      <w:pPr>
        <w:spacing w:after="0" w:line="240" w:lineRule="auto"/>
        <w:rPr>
          <w:rFonts w:ascii="Arial" w:eastAsia="Times New Roman" w:hAnsi="Arial" w:cs="Times New Roman"/>
          <w:kern w:val="28"/>
          <w:sz w:val="24"/>
          <w:szCs w:val="24"/>
          <w:lang w:eastAsia="en-GB"/>
        </w:rPr>
      </w:pPr>
      <w:r w:rsidRPr="003E4474">
        <w:rPr>
          <w:rFonts w:ascii="Arial" w:eastAsia="Times New Roman" w:hAnsi="Arial" w:cs="Times New Roman"/>
          <w:b/>
          <w:kern w:val="28"/>
          <w:sz w:val="24"/>
          <w:szCs w:val="24"/>
          <w:lang w:eastAsia="en-GB"/>
        </w:rPr>
        <w:t>DATE OF HEARING</w:t>
      </w:r>
      <w:r w:rsidRPr="003E4474">
        <w:rPr>
          <w:rFonts w:ascii="Arial" w:eastAsia="Times New Roman" w:hAnsi="Arial" w:cs="Times New Roman"/>
          <w:b/>
          <w:kern w:val="28"/>
          <w:sz w:val="24"/>
          <w:szCs w:val="24"/>
          <w:lang w:eastAsia="en-GB"/>
        </w:rPr>
        <w:tab/>
        <w:t xml:space="preserve"> </w:t>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t xml:space="preserve"> </w:t>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kern w:val="28"/>
          <w:sz w:val="24"/>
          <w:szCs w:val="24"/>
          <w:lang w:eastAsia="en-GB"/>
        </w:rPr>
        <w:t xml:space="preserve">:  </w:t>
      </w:r>
      <w:r w:rsidR="009756E1">
        <w:rPr>
          <w:rFonts w:ascii="Arial" w:eastAsia="Times New Roman" w:hAnsi="Arial" w:cs="Times New Roman"/>
          <w:kern w:val="28"/>
          <w:sz w:val="24"/>
          <w:szCs w:val="24"/>
          <w:lang w:eastAsia="en-GB"/>
        </w:rPr>
        <w:t>1</w:t>
      </w:r>
      <w:r w:rsidR="00F67259">
        <w:rPr>
          <w:rFonts w:ascii="Arial" w:eastAsia="Times New Roman" w:hAnsi="Arial" w:cs="Times New Roman"/>
          <w:kern w:val="28"/>
          <w:sz w:val="24"/>
          <w:szCs w:val="24"/>
          <w:lang w:eastAsia="en-GB"/>
        </w:rPr>
        <w:t xml:space="preserve">8 </w:t>
      </w:r>
      <w:r w:rsidR="009756E1">
        <w:rPr>
          <w:rFonts w:ascii="Arial" w:eastAsia="Times New Roman" w:hAnsi="Arial" w:cs="Times New Roman"/>
          <w:kern w:val="28"/>
          <w:sz w:val="24"/>
          <w:szCs w:val="24"/>
          <w:lang w:eastAsia="en-GB"/>
        </w:rPr>
        <w:t>May</w:t>
      </w:r>
      <w:r w:rsidR="004B3AA4">
        <w:rPr>
          <w:rFonts w:ascii="Arial" w:eastAsia="Times New Roman" w:hAnsi="Arial" w:cs="Times New Roman"/>
          <w:kern w:val="28"/>
          <w:sz w:val="24"/>
          <w:szCs w:val="24"/>
          <w:lang w:eastAsia="en-GB"/>
        </w:rPr>
        <w:t xml:space="preserve"> 2022</w:t>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kern w:val="28"/>
          <w:sz w:val="24"/>
          <w:szCs w:val="24"/>
          <w:lang w:eastAsia="en-GB"/>
        </w:rPr>
        <w:t xml:space="preserve"> </w:t>
      </w:r>
    </w:p>
    <w:p w:rsidR="003E4474" w:rsidRPr="003E4474" w:rsidRDefault="003E4474" w:rsidP="003E4474">
      <w:pPr>
        <w:spacing w:after="0" w:line="240" w:lineRule="auto"/>
        <w:rPr>
          <w:rFonts w:ascii="Arial" w:eastAsia="Times New Roman" w:hAnsi="Arial" w:cs="Times New Roman"/>
          <w:b/>
          <w:kern w:val="28"/>
          <w:sz w:val="24"/>
          <w:szCs w:val="24"/>
          <w:lang w:eastAsia="en-GB"/>
        </w:rPr>
      </w:pPr>
    </w:p>
    <w:p w:rsidR="003E4474" w:rsidRPr="003E4474" w:rsidRDefault="003E4474" w:rsidP="003E4474">
      <w:pPr>
        <w:spacing w:after="0" w:line="240" w:lineRule="auto"/>
        <w:rPr>
          <w:rFonts w:ascii="Arial" w:eastAsia="Times New Roman" w:hAnsi="Arial" w:cs="Times New Roman"/>
          <w:b/>
          <w:kern w:val="28"/>
          <w:sz w:val="24"/>
          <w:szCs w:val="24"/>
          <w:lang w:eastAsia="en-GB"/>
        </w:rPr>
      </w:pPr>
      <w:r w:rsidRPr="003E4474">
        <w:rPr>
          <w:rFonts w:ascii="Arial" w:eastAsia="Times New Roman" w:hAnsi="Arial" w:cs="Times New Roman"/>
          <w:b/>
          <w:kern w:val="28"/>
          <w:sz w:val="24"/>
          <w:szCs w:val="24"/>
          <w:lang w:eastAsia="en-GB"/>
        </w:rPr>
        <w:t xml:space="preserve">DATE OF JUDGMENT </w:t>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t xml:space="preserve"> </w:t>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kern w:val="28"/>
          <w:sz w:val="24"/>
          <w:szCs w:val="24"/>
          <w:lang w:eastAsia="en-GB"/>
        </w:rPr>
        <w:t xml:space="preserve">:  </w:t>
      </w:r>
      <w:r w:rsidR="007C7523">
        <w:rPr>
          <w:rFonts w:ascii="Arial" w:eastAsia="Times New Roman" w:hAnsi="Arial" w:cs="Times New Roman"/>
          <w:kern w:val="28"/>
          <w:sz w:val="24"/>
          <w:szCs w:val="24"/>
          <w:lang w:eastAsia="en-GB"/>
        </w:rPr>
        <w:t>11</w:t>
      </w:r>
      <w:r w:rsidR="000F1F76">
        <w:rPr>
          <w:rFonts w:ascii="Arial" w:eastAsia="Times New Roman" w:hAnsi="Arial" w:cs="Times New Roman"/>
          <w:kern w:val="28"/>
          <w:sz w:val="24"/>
          <w:szCs w:val="24"/>
          <w:lang w:eastAsia="en-GB"/>
        </w:rPr>
        <w:t xml:space="preserve"> August</w:t>
      </w:r>
      <w:r w:rsidR="00516C15">
        <w:rPr>
          <w:rFonts w:ascii="Arial" w:eastAsia="Times New Roman" w:hAnsi="Arial" w:cs="Times New Roman"/>
          <w:kern w:val="28"/>
          <w:sz w:val="24"/>
          <w:szCs w:val="24"/>
          <w:lang w:eastAsia="en-GB"/>
        </w:rPr>
        <w:t xml:space="preserve"> 20</w:t>
      </w:r>
      <w:r w:rsidRPr="003E4474">
        <w:rPr>
          <w:rFonts w:ascii="Arial" w:eastAsia="Times New Roman" w:hAnsi="Arial" w:cs="Times New Roman"/>
          <w:kern w:val="28"/>
          <w:sz w:val="24"/>
          <w:szCs w:val="24"/>
          <w:lang w:eastAsia="en-GB"/>
        </w:rPr>
        <w:t>22</w:t>
      </w:r>
    </w:p>
    <w:p w:rsidR="003E4474" w:rsidRPr="003E4474" w:rsidRDefault="003E4474" w:rsidP="003E4474">
      <w:pPr>
        <w:spacing w:after="0" w:line="240" w:lineRule="auto"/>
        <w:rPr>
          <w:rFonts w:ascii="Arial" w:eastAsia="Times New Roman" w:hAnsi="Arial" w:cs="Times New Roman"/>
          <w:b/>
          <w:kern w:val="28"/>
          <w:sz w:val="24"/>
          <w:szCs w:val="24"/>
          <w:lang w:eastAsia="en-GB"/>
        </w:rPr>
      </w:pP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r>
    </w:p>
    <w:p w:rsidR="009756E1" w:rsidRDefault="004B3AA4" w:rsidP="003E4474">
      <w:pPr>
        <w:spacing w:after="200" w:line="240" w:lineRule="auto"/>
        <w:contextualSpacing/>
        <w:rPr>
          <w:rFonts w:ascii="Arial" w:eastAsia="Calibri" w:hAnsi="Arial" w:cs="Times New Roman"/>
          <w:sz w:val="24"/>
        </w:rPr>
      </w:pPr>
      <w:r w:rsidRPr="004B3AA4">
        <w:rPr>
          <w:rFonts w:ascii="Arial" w:eastAsia="Calibri" w:hAnsi="Arial" w:cs="Times New Roman"/>
          <w:b/>
          <w:sz w:val="24"/>
        </w:rPr>
        <w:t>APPLICANT</w:t>
      </w:r>
      <w:r>
        <w:rPr>
          <w:rFonts w:ascii="Arial" w:eastAsia="Calibri" w:hAnsi="Arial" w:cs="Times New Roman"/>
          <w:b/>
          <w:sz w:val="24"/>
        </w:rPr>
        <w:t>’S</w:t>
      </w:r>
      <w:r w:rsidR="00F772C3" w:rsidRPr="003E4474">
        <w:rPr>
          <w:rFonts w:ascii="Arial" w:eastAsia="Calibri" w:hAnsi="Arial" w:cs="Times New Roman"/>
          <w:b/>
          <w:sz w:val="24"/>
        </w:rPr>
        <w:t xml:space="preserve"> COUNSEL</w:t>
      </w:r>
      <w:r w:rsidR="003E4474" w:rsidRPr="003E4474">
        <w:rPr>
          <w:rFonts w:ascii="Arial" w:eastAsia="Calibri" w:hAnsi="Arial" w:cs="Times New Roman"/>
          <w:b/>
          <w:sz w:val="24"/>
        </w:rPr>
        <w:tab/>
      </w:r>
      <w:r w:rsidR="003E4474" w:rsidRPr="003E4474">
        <w:rPr>
          <w:rFonts w:ascii="Arial" w:eastAsia="Calibri" w:hAnsi="Arial" w:cs="Times New Roman"/>
          <w:b/>
          <w:sz w:val="24"/>
        </w:rPr>
        <w:tab/>
      </w:r>
      <w:r w:rsidR="003E4474" w:rsidRPr="003E4474">
        <w:rPr>
          <w:rFonts w:ascii="Arial" w:eastAsia="Calibri" w:hAnsi="Arial" w:cs="Times New Roman"/>
          <w:b/>
          <w:sz w:val="24"/>
        </w:rPr>
        <w:tab/>
      </w:r>
      <w:r w:rsidR="003E4474" w:rsidRPr="003E4474">
        <w:rPr>
          <w:rFonts w:ascii="Arial" w:eastAsia="Calibri" w:hAnsi="Arial" w:cs="Times New Roman"/>
          <w:b/>
          <w:sz w:val="24"/>
        </w:rPr>
        <w:tab/>
      </w:r>
      <w:r w:rsidR="003E4474" w:rsidRPr="003E4474">
        <w:rPr>
          <w:rFonts w:ascii="Arial" w:eastAsia="Calibri" w:hAnsi="Arial" w:cs="Times New Roman"/>
          <w:sz w:val="24"/>
        </w:rPr>
        <w:t xml:space="preserve">:  </w:t>
      </w:r>
      <w:r w:rsidR="003E4474">
        <w:rPr>
          <w:rFonts w:ascii="Arial" w:eastAsia="Calibri" w:hAnsi="Arial" w:cs="Times New Roman"/>
          <w:sz w:val="24"/>
        </w:rPr>
        <w:t xml:space="preserve">Adv. </w:t>
      </w:r>
      <w:r w:rsidR="009756E1">
        <w:rPr>
          <w:rFonts w:ascii="Arial" w:eastAsia="Calibri" w:hAnsi="Arial" w:cs="Times New Roman"/>
          <w:sz w:val="24"/>
        </w:rPr>
        <w:t>S</w:t>
      </w:r>
      <w:r w:rsidR="00AA41E6">
        <w:rPr>
          <w:rFonts w:ascii="Arial" w:eastAsia="Calibri" w:hAnsi="Arial" w:cs="Times New Roman"/>
          <w:sz w:val="24"/>
        </w:rPr>
        <w:t>.</w:t>
      </w:r>
      <w:r w:rsidR="009756E1">
        <w:rPr>
          <w:rFonts w:ascii="Arial" w:eastAsia="Calibri" w:hAnsi="Arial" w:cs="Times New Roman"/>
          <w:sz w:val="24"/>
        </w:rPr>
        <w:t xml:space="preserve"> </w:t>
      </w:r>
      <w:proofErr w:type="spellStart"/>
      <w:r w:rsidR="009756E1">
        <w:rPr>
          <w:rFonts w:ascii="Arial" w:eastAsia="Calibri" w:hAnsi="Arial" w:cs="Times New Roman"/>
          <w:sz w:val="24"/>
        </w:rPr>
        <w:t>Baloyi</w:t>
      </w:r>
      <w:proofErr w:type="spellEnd"/>
      <w:r w:rsidR="009756E1">
        <w:rPr>
          <w:rFonts w:ascii="Arial" w:eastAsia="Calibri" w:hAnsi="Arial" w:cs="Times New Roman"/>
          <w:sz w:val="24"/>
        </w:rPr>
        <w:t xml:space="preserve"> S</w:t>
      </w:r>
      <w:r w:rsidR="00F67259">
        <w:rPr>
          <w:rFonts w:ascii="Arial" w:eastAsia="Calibri" w:hAnsi="Arial" w:cs="Times New Roman"/>
          <w:sz w:val="24"/>
        </w:rPr>
        <w:t>C</w:t>
      </w:r>
    </w:p>
    <w:p w:rsidR="004B3AA4" w:rsidRDefault="009756E1" w:rsidP="003E4474">
      <w:pPr>
        <w:spacing w:after="200" w:line="240" w:lineRule="auto"/>
        <w:contextualSpacing/>
        <w:rPr>
          <w:rFonts w:ascii="Arial" w:eastAsia="Calibri" w:hAnsi="Arial" w:cs="Times New Roman"/>
          <w:sz w:val="24"/>
        </w:rPr>
      </w:pP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t xml:space="preserve">   Adv</w:t>
      </w:r>
      <w:r w:rsidR="00AA41E6">
        <w:rPr>
          <w:rFonts w:ascii="Arial" w:eastAsia="Calibri" w:hAnsi="Arial" w:cs="Times New Roman"/>
          <w:sz w:val="24"/>
        </w:rPr>
        <w:t>.</w:t>
      </w:r>
      <w:r>
        <w:rPr>
          <w:rFonts w:ascii="Arial" w:eastAsia="Calibri" w:hAnsi="Arial" w:cs="Times New Roman"/>
          <w:sz w:val="24"/>
        </w:rPr>
        <w:t xml:space="preserve"> G</w:t>
      </w:r>
      <w:r w:rsidR="00AA41E6">
        <w:rPr>
          <w:rFonts w:ascii="Arial" w:eastAsia="Calibri" w:hAnsi="Arial" w:cs="Times New Roman"/>
          <w:sz w:val="24"/>
        </w:rPr>
        <w:t>.</w:t>
      </w:r>
      <w:r>
        <w:rPr>
          <w:rFonts w:ascii="Arial" w:eastAsia="Calibri" w:hAnsi="Arial" w:cs="Times New Roman"/>
          <w:sz w:val="24"/>
        </w:rPr>
        <w:t xml:space="preserve"> </w:t>
      </w:r>
      <w:proofErr w:type="spellStart"/>
      <w:r>
        <w:rPr>
          <w:rFonts w:ascii="Arial" w:eastAsia="Calibri" w:hAnsi="Arial" w:cs="Times New Roman"/>
          <w:sz w:val="24"/>
        </w:rPr>
        <w:t>Badela</w:t>
      </w:r>
      <w:proofErr w:type="spellEnd"/>
      <w:r w:rsidR="00F67259">
        <w:rPr>
          <w:rFonts w:ascii="Arial" w:eastAsia="Calibri" w:hAnsi="Arial" w:cs="Times New Roman"/>
          <w:sz w:val="24"/>
        </w:rPr>
        <w:t xml:space="preserve"> </w:t>
      </w:r>
    </w:p>
    <w:p w:rsidR="003E4474" w:rsidRPr="003E4474" w:rsidRDefault="003E4474" w:rsidP="003E4474">
      <w:pPr>
        <w:spacing w:after="200" w:line="240" w:lineRule="auto"/>
        <w:contextualSpacing/>
        <w:rPr>
          <w:rFonts w:ascii="Arial" w:eastAsia="Calibri" w:hAnsi="Arial" w:cs="Times New Roman"/>
          <w:b/>
          <w:bCs/>
          <w:sz w:val="24"/>
        </w:rPr>
      </w:pPr>
    </w:p>
    <w:p w:rsidR="003E4474" w:rsidRPr="003E4474" w:rsidRDefault="004B3AA4" w:rsidP="003E4474">
      <w:pPr>
        <w:spacing w:after="200" w:line="240" w:lineRule="auto"/>
        <w:contextualSpacing/>
        <w:rPr>
          <w:rFonts w:ascii="Arial" w:eastAsia="Calibri" w:hAnsi="Arial" w:cs="Times New Roman"/>
          <w:sz w:val="24"/>
        </w:rPr>
      </w:pPr>
      <w:r w:rsidRPr="004B3AA4">
        <w:rPr>
          <w:rFonts w:ascii="Arial" w:eastAsia="Calibri" w:hAnsi="Arial" w:cs="Times New Roman"/>
          <w:b/>
          <w:bCs/>
          <w:sz w:val="24"/>
        </w:rPr>
        <w:t>APPLICANT’S</w:t>
      </w:r>
      <w:r w:rsidR="00F772C3" w:rsidRPr="003E4474">
        <w:rPr>
          <w:rFonts w:ascii="Arial" w:eastAsia="Calibri" w:hAnsi="Arial" w:cs="Times New Roman"/>
          <w:b/>
          <w:bCs/>
          <w:sz w:val="24"/>
        </w:rPr>
        <w:t xml:space="preserve"> ATTORNEYS</w:t>
      </w:r>
      <w:r w:rsidR="003E4474" w:rsidRPr="003E4474">
        <w:rPr>
          <w:rFonts w:ascii="Arial" w:eastAsia="Calibri" w:hAnsi="Arial" w:cs="Times New Roman"/>
          <w:sz w:val="24"/>
        </w:rPr>
        <w:tab/>
      </w:r>
      <w:r w:rsidR="003E4474" w:rsidRPr="003E4474">
        <w:rPr>
          <w:rFonts w:ascii="Arial" w:eastAsia="Calibri" w:hAnsi="Arial" w:cs="Times New Roman"/>
          <w:sz w:val="24"/>
        </w:rPr>
        <w:tab/>
      </w:r>
      <w:r w:rsidR="003E4474" w:rsidRPr="003E4474">
        <w:rPr>
          <w:rFonts w:ascii="Arial" w:eastAsia="Calibri" w:hAnsi="Arial" w:cs="Times New Roman"/>
          <w:sz w:val="24"/>
        </w:rPr>
        <w:tab/>
        <w:t xml:space="preserve">:  </w:t>
      </w:r>
      <w:r w:rsidR="009756E1">
        <w:rPr>
          <w:rFonts w:ascii="Arial" w:eastAsia="Calibri" w:hAnsi="Arial" w:cs="Times New Roman"/>
          <w:sz w:val="24"/>
        </w:rPr>
        <w:t xml:space="preserve">SM </w:t>
      </w:r>
      <w:proofErr w:type="spellStart"/>
      <w:r w:rsidR="009756E1">
        <w:rPr>
          <w:rFonts w:ascii="Arial" w:eastAsia="Calibri" w:hAnsi="Arial" w:cs="Times New Roman"/>
          <w:sz w:val="24"/>
        </w:rPr>
        <w:t>Vakalisa</w:t>
      </w:r>
      <w:proofErr w:type="spellEnd"/>
      <w:r w:rsidR="009756E1">
        <w:rPr>
          <w:rFonts w:ascii="Arial" w:eastAsia="Calibri" w:hAnsi="Arial" w:cs="Times New Roman"/>
          <w:sz w:val="24"/>
        </w:rPr>
        <w:t xml:space="preserve"> </w:t>
      </w:r>
      <w:proofErr w:type="spellStart"/>
      <w:r w:rsidR="009756E1">
        <w:rPr>
          <w:rFonts w:ascii="Arial" w:eastAsia="Calibri" w:hAnsi="Arial" w:cs="Times New Roman"/>
          <w:sz w:val="24"/>
        </w:rPr>
        <w:t>Inc</w:t>
      </w:r>
      <w:proofErr w:type="spellEnd"/>
    </w:p>
    <w:p w:rsidR="003E4474" w:rsidRPr="003E4474" w:rsidRDefault="003E4474" w:rsidP="003E4474">
      <w:pPr>
        <w:spacing w:after="200" w:line="240" w:lineRule="auto"/>
        <w:contextualSpacing/>
        <w:rPr>
          <w:rFonts w:ascii="Arial" w:eastAsia="Calibri" w:hAnsi="Arial" w:cs="Times New Roman"/>
          <w:sz w:val="24"/>
        </w:rPr>
      </w:pPr>
      <w:r w:rsidRPr="003E4474">
        <w:rPr>
          <w:rFonts w:ascii="Arial" w:eastAsia="Calibri" w:hAnsi="Arial" w:cs="Times New Roman"/>
          <w:sz w:val="24"/>
        </w:rPr>
        <w:tab/>
      </w:r>
      <w:r w:rsidRPr="003E4474">
        <w:rPr>
          <w:rFonts w:ascii="Arial" w:eastAsia="Calibri" w:hAnsi="Arial" w:cs="Times New Roman"/>
          <w:sz w:val="24"/>
        </w:rPr>
        <w:tab/>
      </w:r>
      <w:r w:rsidRPr="003E4474">
        <w:rPr>
          <w:rFonts w:ascii="Arial" w:eastAsia="Calibri" w:hAnsi="Arial" w:cs="Times New Roman"/>
          <w:sz w:val="24"/>
        </w:rPr>
        <w:tab/>
      </w:r>
      <w:r w:rsidRPr="003E4474">
        <w:rPr>
          <w:rFonts w:ascii="Arial" w:eastAsia="Calibri" w:hAnsi="Arial" w:cs="Times New Roman"/>
          <w:sz w:val="24"/>
        </w:rPr>
        <w:tab/>
      </w:r>
      <w:r w:rsidRPr="003E4474">
        <w:rPr>
          <w:rFonts w:ascii="Arial" w:eastAsia="Calibri" w:hAnsi="Arial" w:cs="Times New Roman"/>
          <w:sz w:val="24"/>
        </w:rPr>
        <w:tab/>
      </w:r>
      <w:r w:rsidRPr="003E4474">
        <w:rPr>
          <w:rFonts w:ascii="Arial" w:eastAsia="Calibri" w:hAnsi="Arial" w:cs="Times New Roman"/>
          <w:sz w:val="24"/>
        </w:rPr>
        <w:tab/>
      </w:r>
      <w:r w:rsidRPr="003E4474">
        <w:rPr>
          <w:rFonts w:ascii="Arial" w:eastAsia="Calibri" w:hAnsi="Arial" w:cs="Times New Roman"/>
          <w:sz w:val="24"/>
        </w:rPr>
        <w:tab/>
        <w:t xml:space="preserve">  </w:t>
      </w:r>
      <w:bookmarkStart w:id="1" w:name="_Hlk44520146"/>
    </w:p>
    <w:bookmarkEnd w:id="1"/>
    <w:p w:rsidR="004B3AA4" w:rsidRPr="003E4474" w:rsidRDefault="009756E1" w:rsidP="003E4474">
      <w:pPr>
        <w:spacing w:after="200" w:line="240" w:lineRule="auto"/>
        <w:contextualSpacing/>
        <w:rPr>
          <w:rFonts w:ascii="Arial" w:eastAsia="Calibri" w:hAnsi="Arial" w:cs="Times New Roman"/>
          <w:sz w:val="24"/>
        </w:rPr>
      </w:pPr>
      <w:r>
        <w:rPr>
          <w:rFonts w:ascii="Arial" w:eastAsia="Calibri" w:hAnsi="Arial" w:cs="Times New Roman"/>
          <w:b/>
          <w:sz w:val="24"/>
        </w:rPr>
        <w:t>1</w:t>
      </w:r>
      <w:r w:rsidRPr="009756E1">
        <w:rPr>
          <w:rFonts w:ascii="Arial" w:eastAsia="Calibri" w:hAnsi="Arial" w:cs="Times New Roman"/>
          <w:b/>
          <w:sz w:val="24"/>
          <w:vertAlign w:val="superscript"/>
        </w:rPr>
        <w:t>st</w:t>
      </w:r>
      <w:r>
        <w:rPr>
          <w:rFonts w:ascii="Arial" w:eastAsia="Calibri" w:hAnsi="Arial" w:cs="Times New Roman"/>
          <w:b/>
          <w:sz w:val="24"/>
        </w:rPr>
        <w:t xml:space="preserve"> &amp; 2</w:t>
      </w:r>
      <w:r w:rsidRPr="009756E1">
        <w:rPr>
          <w:rFonts w:ascii="Arial" w:eastAsia="Calibri" w:hAnsi="Arial" w:cs="Times New Roman"/>
          <w:b/>
          <w:sz w:val="24"/>
          <w:vertAlign w:val="superscript"/>
        </w:rPr>
        <w:t>nd</w:t>
      </w:r>
      <w:r>
        <w:rPr>
          <w:rFonts w:ascii="Arial" w:eastAsia="Calibri" w:hAnsi="Arial" w:cs="Times New Roman"/>
          <w:b/>
          <w:sz w:val="24"/>
        </w:rPr>
        <w:t xml:space="preserve"> </w:t>
      </w:r>
      <w:r w:rsidR="004B3AA4">
        <w:rPr>
          <w:rFonts w:ascii="Arial" w:eastAsia="Calibri" w:hAnsi="Arial" w:cs="Times New Roman"/>
          <w:b/>
          <w:sz w:val="24"/>
        </w:rPr>
        <w:t>RESPONDENT</w:t>
      </w:r>
      <w:r>
        <w:rPr>
          <w:rFonts w:ascii="Arial" w:eastAsia="Calibri" w:hAnsi="Arial" w:cs="Times New Roman"/>
          <w:b/>
          <w:sz w:val="24"/>
        </w:rPr>
        <w:t>S’ COUNSEL</w:t>
      </w:r>
      <w:r w:rsidR="003E4474" w:rsidRPr="003E4474">
        <w:rPr>
          <w:rFonts w:ascii="Arial" w:eastAsia="Calibri" w:hAnsi="Arial" w:cs="Times New Roman"/>
          <w:b/>
          <w:sz w:val="24"/>
        </w:rPr>
        <w:tab/>
      </w:r>
      <w:r w:rsidR="003E4474">
        <w:rPr>
          <w:rFonts w:ascii="Arial" w:eastAsia="Calibri" w:hAnsi="Arial" w:cs="Times New Roman"/>
          <w:b/>
          <w:sz w:val="24"/>
        </w:rPr>
        <w:tab/>
      </w:r>
      <w:r w:rsidR="003B7F1D">
        <w:rPr>
          <w:rFonts w:ascii="Arial" w:eastAsia="Calibri" w:hAnsi="Arial" w:cs="Times New Roman"/>
          <w:sz w:val="24"/>
        </w:rPr>
        <w:t>: Adv.</w:t>
      </w:r>
      <w:r w:rsidR="00B64B92">
        <w:rPr>
          <w:rFonts w:ascii="Arial" w:eastAsia="Calibri" w:hAnsi="Arial" w:cs="Times New Roman"/>
          <w:sz w:val="24"/>
        </w:rPr>
        <w:t xml:space="preserve"> </w:t>
      </w:r>
      <w:r>
        <w:rPr>
          <w:rFonts w:ascii="Arial" w:eastAsia="Calibri" w:hAnsi="Arial" w:cs="Times New Roman"/>
          <w:sz w:val="24"/>
        </w:rPr>
        <w:t>N</w:t>
      </w:r>
      <w:r w:rsidR="00AA41E6">
        <w:rPr>
          <w:rFonts w:ascii="Arial" w:eastAsia="Calibri" w:hAnsi="Arial" w:cs="Times New Roman"/>
          <w:sz w:val="24"/>
        </w:rPr>
        <w:t>.</w:t>
      </w:r>
      <w:r>
        <w:rPr>
          <w:rFonts w:ascii="Arial" w:eastAsia="Calibri" w:hAnsi="Arial" w:cs="Times New Roman"/>
          <w:sz w:val="24"/>
        </w:rPr>
        <w:t xml:space="preserve"> </w:t>
      </w:r>
      <w:proofErr w:type="spellStart"/>
      <w:r>
        <w:rPr>
          <w:rFonts w:ascii="Arial" w:eastAsia="Calibri" w:hAnsi="Arial" w:cs="Times New Roman"/>
          <w:sz w:val="24"/>
        </w:rPr>
        <w:t>Cassim</w:t>
      </w:r>
      <w:proofErr w:type="spellEnd"/>
      <w:r>
        <w:rPr>
          <w:rFonts w:ascii="Arial" w:eastAsia="Calibri" w:hAnsi="Arial" w:cs="Times New Roman"/>
          <w:sz w:val="24"/>
        </w:rPr>
        <w:t xml:space="preserve"> SC</w:t>
      </w:r>
    </w:p>
    <w:p w:rsidR="00F67259" w:rsidRDefault="009756E1" w:rsidP="003B7F1D">
      <w:pPr>
        <w:spacing w:after="200" w:line="240" w:lineRule="auto"/>
        <w:contextualSpacing/>
        <w:rPr>
          <w:rFonts w:ascii="Arial" w:eastAsia="Calibri" w:hAnsi="Arial" w:cs="Times New Roman"/>
          <w:bCs/>
          <w:sz w:val="24"/>
        </w:rPr>
      </w:pPr>
      <w:r>
        <w:rPr>
          <w:rFonts w:ascii="Arial" w:eastAsia="Calibri" w:hAnsi="Arial" w:cs="Times New Roman"/>
          <w:bCs/>
          <w:sz w:val="24"/>
        </w:rPr>
        <w:tab/>
      </w:r>
      <w:r>
        <w:rPr>
          <w:rFonts w:ascii="Arial" w:eastAsia="Calibri" w:hAnsi="Arial" w:cs="Times New Roman"/>
          <w:bCs/>
          <w:sz w:val="24"/>
        </w:rPr>
        <w:tab/>
      </w:r>
      <w:r>
        <w:rPr>
          <w:rFonts w:ascii="Arial" w:eastAsia="Calibri" w:hAnsi="Arial" w:cs="Times New Roman"/>
          <w:bCs/>
          <w:sz w:val="24"/>
        </w:rPr>
        <w:tab/>
      </w:r>
      <w:r>
        <w:rPr>
          <w:rFonts w:ascii="Arial" w:eastAsia="Calibri" w:hAnsi="Arial" w:cs="Times New Roman"/>
          <w:bCs/>
          <w:sz w:val="24"/>
        </w:rPr>
        <w:tab/>
      </w:r>
      <w:r>
        <w:rPr>
          <w:rFonts w:ascii="Arial" w:eastAsia="Calibri" w:hAnsi="Arial" w:cs="Times New Roman"/>
          <w:bCs/>
          <w:sz w:val="24"/>
        </w:rPr>
        <w:tab/>
      </w:r>
      <w:r>
        <w:rPr>
          <w:rFonts w:ascii="Arial" w:eastAsia="Calibri" w:hAnsi="Arial" w:cs="Times New Roman"/>
          <w:bCs/>
          <w:sz w:val="24"/>
        </w:rPr>
        <w:tab/>
      </w:r>
      <w:r>
        <w:rPr>
          <w:rFonts w:ascii="Arial" w:eastAsia="Calibri" w:hAnsi="Arial" w:cs="Times New Roman"/>
          <w:bCs/>
          <w:sz w:val="24"/>
        </w:rPr>
        <w:tab/>
        <w:t xml:space="preserve">  Adv</w:t>
      </w:r>
      <w:r w:rsidR="00AA41E6">
        <w:rPr>
          <w:rFonts w:ascii="Arial" w:eastAsia="Calibri" w:hAnsi="Arial" w:cs="Times New Roman"/>
          <w:bCs/>
          <w:sz w:val="24"/>
        </w:rPr>
        <w:t>.</w:t>
      </w:r>
      <w:r>
        <w:rPr>
          <w:rFonts w:ascii="Arial" w:eastAsia="Calibri" w:hAnsi="Arial" w:cs="Times New Roman"/>
          <w:bCs/>
          <w:sz w:val="24"/>
        </w:rPr>
        <w:t xml:space="preserve"> A</w:t>
      </w:r>
      <w:r w:rsidR="00AA41E6">
        <w:rPr>
          <w:rFonts w:ascii="Arial" w:eastAsia="Calibri" w:hAnsi="Arial" w:cs="Times New Roman"/>
          <w:bCs/>
          <w:sz w:val="24"/>
        </w:rPr>
        <w:t>.</w:t>
      </w:r>
      <w:r>
        <w:rPr>
          <w:rFonts w:ascii="Arial" w:eastAsia="Calibri" w:hAnsi="Arial" w:cs="Times New Roman"/>
          <w:bCs/>
          <w:sz w:val="24"/>
        </w:rPr>
        <w:t xml:space="preserve"> </w:t>
      </w:r>
      <w:proofErr w:type="spellStart"/>
      <w:r>
        <w:rPr>
          <w:rFonts w:ascii="Arial" w:eastAsia="Calibri" w:hAnsi="Arial" w:cs="Times New Roman"/>
          <w:bCs/>
          <w:sz w:val="24"/>
        </w:rPr>
        <w:t>Voster</w:t>
      </w:r>
      <w:proofErr w:type="spellEnd"/>
    </w:p>
    <w:p w:rsidR="00AA41E6" w:rsidRDefault="00AA41E6" w:rsidP="003B7F1D">
      <w:pPr>
        <w:spacing w:after="200" w:line="240" w:lineRule="auto"/>
        <w:contextualSpacing/>
        <w:rPr>
          <w:rFonts w:ascii="Arial" w:eastAsia="Calibri" w:hAnsi="Arial" w:cs="Times New Roman"/>
          <w:bCs/>
          <w:sz w:val="24"/>
        </w:rPr>
      </w:pPr>
    </w:p>
    <w:p w:rsidR="003E4474" w:rsidRDefault="009756E1" w:rsidP="003B7F1D">
      <w:pPr>
        <w:spacing w:after="200" w:line="240" w:lineRule="auto"/>
        <w:contextualSpacing/>
        <w:rPr>
          <w:rFonts w:ascii="Arial" w:eastAsia="Calibri" w:hAnsi="Arial" w:cs="Times New Roman"/>
          <w:sz w:val="24"/>
        </w:rPr>
      </w:pPr>
      <w:r>
        <w:rPr>
          <w:rFonts w:ascii="Arial" w:eastAsia="Calibri" w:hAnsi="Arial" w:cs="Times New Roman"/>
          <w:b/>
          <w:sz w:val="24"/>
        </w:rPr>
        <w:t>1</w:t>
      </w:r>
      <w:r w:rsidRPr="009756E1">
        <w:rPr>
          <w:rFonts w:ascii="Arial" w:eastAsia="Calibri" w:hAnsi="Arial" w:cs="Times New Roman"/>
          <w:b/>
          <w:sz w:val="24"/>
          <w:vertAlign w:val="superscript"/>
        </w:rPr>
        <w:t>st</w:t>
      </w:r>
      <w:r>
        <w:rPr>
          <w:rFonts w:ascii="Arial" w:eastAsia="Calibri" w:hAnsi="Arial" w:cs="Times New Roman"/>
          <w:b/>
          <w:sz w:val="24"/>
        </w:rPr>
        <w:t xml:space="preserve"> &amp; 2</w:t>
      </w:r>
      <w:r w:rsidRPr="009756E1">
        <w:rPr>
          <w:rFonts w:ascii="Arial" w:eastAsia="Calibri" w:hAnsi="Arial" w:cs="Times New Roman"/>
          <w:b/>
          <w:sz w:val="24"/>
          <w:vertAlign w:val="superscript"/>
        </w:rPr>
        <w:t>nd</w:t>
      </w:r>
      <w:r w:rsidRPr="004B3AA4">
        <w:rPr>
          <w:rFonts w:ascii="Arial" w:eastAsia="Calibri" w:hAnsi="Arial" w:cs="Times New Roman"/>
          <w:b/>
          <w:sz w:val="24"/>
        </w:rPr>
        <w:t xml:space="preserve"> </w:t>
      </w:r>
      <w:r w:rsidR="004B3AA4" w:rsidRPr="004B3AA4">
        <w:rPr>
          <w:rFonts w:ascii="Arial" w:eastAsia="Calibri" w:hAnsi="Arial" w:cs="Times New Roman"/>
          <w:b/>
          <w:sz w:val="24"/>
        </w:rPr>
        <w:t>RESPONDENTS</w:t>
      </w:r>
      <w:r>
        <w:rPr>
          <w:rFonts w:ascii="Arial" w:eastAsia="Calibri" w:hAnsi="Arial" w:cs="Times New Roman"/>
          <w:b/>
          <w:sz w:val="24"/>
        </w:rPr>
        <w:t>’</w:t>
      </w:r>
      <w:r w:rsidR="00F772C3" w:rsidRPr="004B3AA4">
        <w:rPr>
          <w:rFonts w:ascii="Arial" w:eastAsia="Calibri" w:hAnsi="Arial" w:cs="Times New Roman"/>
          <w:b/>
          <w:sz w:val="24"/>
        </w:rPr>
        <w:t xml:space="preserve"> </w:t>
      </w:r>
      <w:r w:rsidR="00F772C3" w:rsidRPr="003E4474">
        <w:rPr>
          <w:rFonts w:ascii="Arial" w:eastAsia="Calibri" w:hAnsi="Arial" w:cs="Times New Roman"/>
          <w:b/>
          <w:sz w:val="24"/>
        </w:rPr>
        <w:t>ATTORNEYS</w:t>
      </w:r>
      <w:r>
        <w:rPr>
          <w:rFonts w:ascii="Arial" w:eastAsia="Calibri" w:hAnsi="Arial" w:cs="Times New Roman"/>
          <w:b/>
          <w:sz w:val="24"/>
        </w:rPr>
        <w:tab/>
      </w:r>
      <w:r w:rsidRPr="00AA41E6">
        <w:rPr>
          <w:rFonts w:ascii="Arial" w:eastAsia="Calibri" w:hAnsi="Arial" w:cs="Times New Roman"/>
          <w:sz w:val="24"/>
        </w:rPr>
        <w:t>:</w:t>
      </w:r>
      <w:r>
        <w:rPr>
          <w:rFonts w:ascii="Arial" w:eastAsia="Calibri" w:hAnsi="Arial" w:cs="Times New Roman"/>
          <w:b/>
          <w:sz w:val="24"/>
        </w:rPr>
        <w:t xml:space="preserve"> </w:t>
      </w:r>
      <w:r w:rsidR="003E4474" w:rsidRPr="003E4474">
        <w:rPr>
          <w:rFonts w:ascii="Arial" w:eastAsia="Calibri" w:hAnsi="Arial" w:cs="Times New Roman"/>
          <w:sz w:val="24"/>
        </w:rPr>
        <w:t xml:space="preserve"> </w:t>
      </w:r>
      <w:proofErr w:type="spellStart"/>
      <w:r>
        <w:rPr>
          <w:rFonts w:ascii="Arial" w:eastAsia="Calibri" w:hAnsi="Arial" w:cs="Times New Roman"/>
          <w:sz w:val="24"/>
        </w:rPr>
        <w:t>Hulley</w:t>
      </w:r>
      <w:proofErr w:type="spellEnd"/>
      <w:r>
        <w:rPr>
          <w:rFonts w:ascii="Arial" w:eastAsia="Calibri" w:hAnsi="Arial" w:cs="Times New Roman"/>
          <w:sz w:val="24"/>
        </w:rPr>
        <w:t xml:space="preserve"> &amp; Associates </w:t>
      </w:r>
      <w:proofErr w:type="spellStart"/>
      <w:r>
        <w:rPr>
          <w:rFonts w:ascii="Arial" w:eastAsia="Calibri" w:hAnsi="Arial" w:cs="Times New Roman"/>
          <w:sz w:val="24"/>
        </w:rPr>
        <w:t>Inc</w:t>
      </w:r>
      <w:proofErr w:type="spellEnd"/>
      <w:r w:rsidR="00F67259">
        <w:rPr>
          <w:rFonts w:ascii="Arial" w:eastAsia="Calibri" w:hAnsi="Arial" w:cs="Times New Roman"/>
          <w:sz w:val="24"/>
        </w:rPr>
        <w:t xml:space="preserve"> </w:t>
      </w:r>
    </w:p>
    <w:p w:rsidR="00492B9C" w:rsidRDefault="00492B9C" w:rsidP="003B7F1D">
      <w:pPr>
        <w:spacing w:after="200" w:line="240" w:lineRule="auto"/>
        <w:contextualSpacing/>
        <w:rPr>
          <w:rFonts w:ascii="Arial" w:eastAsia="Calibri" w:hAnsi="Arial" w:cs="Times New Roman"/>
          <w:sz w:val="24"/>
        </w:rPr>
      </w:pPr>
    </w:p>
    <w:p w:rsidR="00492B9C" w:rsidRPr="003E4474" w:rsidRDefault="00492B9C" w:rsidP="00492B9C">
      <w:pPr>
        <w:spacing w:after="200" w:line="240" w:lineRule="auto"/>
        <w:contextualSpacing/>
        <w:rPr>
          <w:rFonts w:ascii="Arial" w:eastAsia="Calibri" w:hAnsi="Arial" w:cs="Times New Roman"/>
          <w:sz w:val="24"/>
        </w:rPr>
      </w:pPr>
      <w:r>
        <w:rPr>
          <w:rFonts w:ascii="Arial" w:eastAsia="Calibri" w:hAnsi="Arial" w:cs="Times New Roman"/>
          <w:b/>
          <w:sz w:val="24"/>
        </w:rPr>
        <w:t>4</w:t>
      </w:r>
      <w:r w:rsidRPr="00492B9C">
        <w:rPr>
          <w:rFonts w:ascii="Arial" w:eastAsia="Calibri" w:hAnsi="Arial" w:cs="Times New Roman"/>
          <w:b/>
          <w:sz w:val="24"/>
          <w:vertAlign w:val="superscript"/>
        </w:rPr>
        <w:t>th</w:t>
      </w:r>
      <w:r>
        <w:rPr>
          <w:rFonts w:ascii="Arial" w:eastAsia="Calibri" w:hAnsi="Arial" w:cs="Times New Roman"/>
          <w:b/>
          <w:sz w:val="24"/>
        </w:rPr>
        <w:t xml:space="preserve"> RESPONDENT’S COUNSEL</w:t>
      </w:r>
      <w:r>
        <w:rPr>
          <w:rFonts w:ascii="Arial" w:eastAsia="Calibri" w:hAnsi="Arial" w:cs="Times New Roman"/>
          <w:b/>
          <w:sz w:val="24"/>
        </w:rPr>
        <w:tab/>
      </w:r>
      <w:r w:rsidRPr="003E4474">
        <w:rPr>
          <w:rFonts w:ascii="Arial" w:eastAsia="Calibri" w:hAnsi="Arial" w:cs="Times New Roman"/>
          <w:b/>
          <w:sz w:val="24"/>
        </w:rPr>
        <w:tab/>
      </w:r>
      <w:r>
        <w:rPr>
          <w:rFonts w:ascii="Arial" w:eastAsia="Calibri" w:hAnsi="Arial" w:cs="Times New Roman"/>
          <w:b/>
          <w:sz w:val="24"/>
        </w:rPr>
        <w:tab/>
      </w:r>
      <w:r>
        <w:rPr>
          <w:rFonts w:ascii="Arial" w:eastAsia="Calibri" w:hAnsi="Arial" w:cs="Times New Roman"/>
          <w:sz w:val="24"/>
        </w:rPr>
        <w:t xml:space="preserve">: Adv. </w:t>
      </w:r>
      <w:r w:rsidR="009C7545">
        <w:rPr>
          <w:rFonts w:ascii="Arial" w:eastAsia="Calibri" w:hAnsi="Arial" w:cs="Times New Roman"/>
          <w:sz w:val="24"/>
        </w:rPr>
        <w:t>A</w:t>
      </w:r>
      <w:r w:rsidR="00AA41E6">
        <w:rPr>
          <w:rFonts w:ascii="Arial" w:eastAsia="Calibri" w:hAnsi="Arial" w:cs="Times New Roman"/>
          <w:sz w:val="24"/>
        </w:rPr>
        <w:t>.</w:t>
      </w:r>
      <w:r w:rsidR="009C7545">
        <w:rPr>
          <w:rFonts w:ascii="Arial" w:eastAsia="Calibri" w:hAnsi="Arial" w:cs="Times New Roman"/>
          <w:sz w:val="24"/>
        </w:rPr>
        <w:t xml:space="preserve"> Bishop</w:t>
      </w:r>
    </w:p>
    <w:p w:rsidR="00492B9C" w:rsidRDefault="00492B9C" w:rsidP="00492B9C">
      <w:pPr>
        <w:spacing w:after="200" w:line="240" w:lineRule="auto"/>
        <w:contextualSpacing/>
        <w:rPr>
          <w:rFonts w:ascii="Arial" w:eastAsia="Calibri" w:hAnsi="Arial" w:cs="Times New Roman"/>
          <w:bCs/>
          <w:sz w:val="24"/>
        </w:rPr>
      </w:pPr>
      <w:r>
        <w:rPr>
          <w:rFonts w:ascii="Arial" w:eastAsia="Calibri" w:hAnsi="Arial" w:cs="Times New Roman"/>
          <w:bCs/>
          <w:sz w:val="24"/>
        </w:rPr>
        <w:tab/>
      </w:r>
      <w:r>
        <w:rPr>
          <w:rFonts w:ascii="Arial" w:eastAsia="Calibri" w:hAnsi="Arial" w:cs="Times New Roman"/>
          <w:bCs/>
          <w:sz w:val="24"/>
        </w:rPr>
        <w:tab/>
      </w:r>
      <w:r>
        <w:rPr>
          <w:rFonts w:ascii="Arial" w:eastAsia="Calibri" w:hAnsi="Arial" w:cs="Times New Roman"/>
          <w:bCs/>
          <w:sz w:val="24"/>
        </w:rPr>
        <w:tab/>
      </w:r>
      <w:r>
        <w:rPr>
          <w:rFonts w:ascii="Arial" w:eastAsia="Calibri" w:hAnsi="Arial" w:cs="Times New Roman"/>
          <w:bCs/>
          <w:sz w:val="24"/>
        </w:rPr>
        <w:tab/>
      </w:r>
      <w:r>
        <w:rPr>
          <w:rFonts w:ascii="Arial" w:eastAsia="Calibri" w:hAnsi="Arial" w:cs="Times New Roman"/>
          <w:bCs/>
          <w:sz w:val="24"/>
        </w:rPr>
        <w:tab/>
      </w:r>
      <w:r>
        <w:rPr>
          <w:rFonts w:ascii="Arial" w:eastAsia="Calibri" w:hAnsi="Arial" w:cs="Times New Roman"/>
          <w:bCs/>
          <w:sz w:val="24"/>
        </w:rPr>
        <w:tab/>
      </w:r>
      <w:r>
        <w:rPr>
          <w:rFonts w:ascii="Arial" w:eastAsia="Calibri" w:hAnsi="Arial" w:cs="Times New Roman"/>
          <w:bCs/>
          <w:sz w:val="24"/>
        </w:rPr>
        <w:tab/>
        <w:t xml:space="preserve">  </w:t>
      </w:r>
    </w:p>
    <w:p w:rsidR="00492B9C" w:rsidRDefault="00492B9C" w:rsidP="00492B9C">
      <w:pPr>
        <w:spacing w:after="200" w:line="240" w:lineRule="auto"/>
        <w:contextualSpacing/>
        <w:rPr>
          <w:rFonts w:ascii="Arial" w:eastAsia="Calibri" w:hAnsi="Arial" w:cs="Times New Roman"/>
          <w:sz w:val="24"/>
        </w:rPr>
      </w:pPr>
      <w:r>
        <w:rPr>
          <w:rFonts w:ascii="Arial" w:eastAsia="Calibri" w:hAnsi="Arial" w:cs="Times New Roman"/>
          <w:b/>
          <w:sz w:val="24"/>
        </w:rPr>
        <w:t>4</w:t>
      </w:r>
      <w:r w:rsidR="00AA41E6" w:rsidRPr="00492B9C">
        <w:rPr>
          <w:rFonts w:ascii="Arial" w:eastAsia="Calibri" w:hAnsi="Arial" w:cs="Times New Roman"/>
          <w:b/>
          <w:sz w:val="24"/>
          <w:vertAlign w:val="superscript"/>
        </w:rPr>
        <w:t>th</w:t>
      </w:r>
      <w:r w:rsidR="00AA41E6">
        <w:rPr>
          <w:rFonts w:ascii="Arial" w:eastAsia="Calibri" w:hAnsi="Arial" w:cs="Times New Roman"/>
          <w:b/>
          <w:sz w:val="24"/>
        </w:rPr>
        <w:t xml:space="preserve"> </w:t>
      </w:r>
      <w:r w:rsidR="00AA41E6" w:rsidRPr="004B3AA4">
        <w:rPr>
          <w:rFonts w:ascii="Arial" w:eastAsia="Calibri" w:hAnsi="Arial" w:cs="Times New Roman"/>
          <w:b/>
          <w:sz w:val="24"/>
        </w:rPr>
        <w:t>RESPONDENTS</w:t>
      </w:r>
      <w:r>
        <w:rPr>
          <w:rFonts w:ascii="Arial" w:eastAsia="Calibri" w:hAnsi="Arial" w:cs="Times New Roman"/>
          <w:b/>
          <w:sz w:val="24"/>
        </w:rPr>
        <w:t>’</w:t>
      </w:r>
      <w:r w:rsidRPr="004B3AA4">
        <w:rPr>
          <w:rFonts w:ascii="Arial" w:eastAsia="Calibri" w:hAnsi="Arial" w:cs="Times New Roman"/>
          <w:b/>
          <w:sz w:val="24"/>
        </w:rPr>
        <w:t xml:space="preserve"> </w:t>
      </w:r>
      <w:r w:rsidRPr="003E4474">
        <w:rPr>
          <w:rFonts w:ascii="Arial" w:eastAsia="Calibri" w:hAnsi="Arial" w:cs="Times New Roman"/>
          <w:b/>
          <w:sz w:val="24"/>
        </w:rPr>
        <w:t>ATTORNEYS</w:t>
      </w:r>
      <w:r>
        <w:rPr>
          <w:rFonts w:ascii="Arial" w:eastAsia="Calibri" w:hAnsi="Arial" w:cs="Times New Roman"/>
          <w:b/>
          <w:sz w:val="24"/>
        </w:rPr>
        <w:tab/>
      </w:r>
      <w:r>
        <w:rPr>
          <w:rFonts w:ascii="Arial" w:eastAsia="Calibri" w:hAnsi="Arial" w:cs="Times New Roman"/>
          <w:b/>
          <w:sz w:val="24"/>
        </w:rPr>
        <w:tab/>
      </w:r>
      <w:r w:rsidRPr="00AA41E6">
        <w:rPr>
          <w:rFonts w:ascii="Arial" w:eastAsia="Calibri" w:hAnsi="Arial" w:cs="Times New Roman"/>
          <w:sz w:val="24"/>
        </w:rPr>
        <w:t xml:space="preserve">: </w:t>
      </w:r>
      <w:r w:rsidRPr="003E4474">
        <w:rPr>
          <w:rFonts w:ascii="Arial" w:eastAsia="Calibri" w:hAnsi="Arial" w:cs="Times New Roman"/>
          <w:sz w:val="24"/>
        </w:rPr>
        <w:t xml:space="preserve"> </w:t>
      </w:r>
      <w:r>
        <w:rPr>
          <w:rFonts w:ascii="Arial" w:eastAsia="Calibri" w:hAnsi="Arial" w:cs="Times New Roman"/>
          <w:sz w:val="24"/>
        </w:rPr>
        <w:t xml:space="preserve">Lester Hall, Fletcher </w:t>
      </w:r>
      <w:proofErr w:type="spellStart"/>
      <w:r>
        <w:rPr>
          <w:rFonts w:ascii="Arial" w:eastAsia="Calibri" w:hAnsi="Arial" w:cs="Times New Roman"/>
          <w:sz w:val="24"/>
        </w:rPr>
        <w:t>Inc</w:t>
      </w:r>
      <w:proofErr w:type="spellEnd"/>
      <w:r>
        <w:rPr>
          <w:rFonts w:ascii="Arial" w:eastAsia="Calibri" w:hAnsi="Arial" w:cs="Times New Roman"/>
          <w:sz w:val="24"/>
        </w:rPr>
        <w:t xml:space="preserve"> </w:t>
      </w:r>
    </w:p>
    <w:p w:rsidR="00492B9C" w:rsidRDefault="00492B9C" w:rsidP="003B7F1D">
      <w:pPr>
        <w:spacing w:after="200" w:line="240" w:lineRule="auto"/>
        <w:contextualSpacing/>
        <w:rPr>
          <w:rFonts w:ascii="Arial" w:eastAsia="Calibri" w:hAnsi="Arial" w:cs="Times New Roman"/>
          <w:sz w:val="24"/>
        </w:rPr>
      </w:pPr>
    </w:p>
    <w:sectPr w:rsidR="00492B9C" w:rsidSect="00E87C29">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23C" w:rsidRDefault="0012023C" w:rsidP="003E4474">
      <w:pPr>
        <w:spacing w:after="0" w:line="240" w:lineRule="auto"/>
      </w:pPr>
      <w:r>
        <w:separator/>
      </w:r>
    </w:p>
  </w:endnote>
  <w:endnote w:type="continuationSeparator" w:id="0">
    <w:p w:rsidR="0012023C" w:rsidRDefault="0012023C" w:rsidP="003E4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23C" w:rsidRDefault="0012023C" w:rsidP="003E4474">
      <w:pPr>
        <w:spacing w:after="0" w:line="240" w:lineRule="auto"/>
      </w:pPr>
      <w:r>
        <w:separator/>
      </w:r>
    </w:p>
  </w:footnote>
  <w:footnote w:type="continuationSeparator" w:id="0">
    <w:p w:rsidR="0012023C" w:rsidRDefault="0012023C" w:rsidP="003E4474">
      <w:pPr>
        <w:spacing w:after="0" w:line="240" w:lineRule="auto"/>
      </w:pPr>
      <w:r>
        <w:continuationSeparator/>
      </w:r>
    </w:p>
  </w:footnote>
  <w:footnote w:id="1">
    <w:p w:rsidR="0095439B" w:rsidRDefault="0095439B">
      <w:pPr>
        <w:pStyle w:val="FootnoteText"/>
      </w:pPr>
      <w:r>
        <w:rPr>
          <w:rStyle w:val="FootnoteReference"/>
        </w:rPr>
        <w:footnoteRef/>
      </w:r>
      <w:r>
        <w:t xml:space="preserve"> Incorrectly spelt by the applicants in their papers as </w:t>
      </w:r>
      <w:proofErr w:type="spellStart"/>
      <w:r>
        <w:t>Zonkezizwe</w:t>
      </w:r>
      <w:proofErr w:type="spellEnd"/>
    </w:p>
  </w:footnote>
  <w:footnote w:id="2">
    <w:p w:rsidR="001877F5" w:rsidRDefault="001877F5">
      <w:pPr>
        <w:pStyle w:val="FootnoteText"/>
      </w:pPr>
      <w:r>
        <w:rPr>
          <w:rStyle w:val="FootnoteReference"/>
        </w:rPr>
        <w:footnoteRef/>
      </w:r>
      <w:r>
        <w:t xml:space="preserve"> 57 of 1988</w:t>
      </w:r>
    </w:p>
  </w:footnote>
  <w:footnote w:id="3">
    <w:p w:rsidR="00783472" w:rsidRDefault="00783472">
      <w:pPr>
        <w:pStyle w:val="FootnoteText"/>
      </w:pPr>
      <w:r>
        <w:rPr>
          <w:rStyle w:val="FootnoteReference"/>
        </w:rPr>
        <w:footnoteRef/>
      </w:r>
      <w:r>
        <w:t xml:space="preserve"> In their supplementary heads of argument, the applicants also sought an order in terms of prayer 6</w:t>
      </w:r>
    </w:p>
  </w:footnote>
  <w:footnote w:id="4">
    <w:p w:rsidR="001A5C3D" w:rsidRDefault="001A5C3D">
      <w:pPr>
        <w:pStyle w:val="FootnoteText"/>
      </w:pPr>
      <w:r>
        <w:rPr>
          <w:rStyle w:val="FootnoteReference"/>
        </w:rPr>
        <w:footnoteRef/>
      </w:r>
      <w:r>
        <w:t xml:space="preserve"> 57 of 1988</w:t>
      </w:r>
    </w:p>
  </w:footnote>
  <w:footnote w:id="5">
    <w:p w:rsidR="0074299E" w:rsidRPr="0074299E" w:rsidRDefault="0074299E">
      <w:pPr>
        <w:pStyle w:val="FootnoteText"/>
        <w:rPr>
          <w:lang w:val="en-GB"/>
        </w:rPr>
      </w:pPr>
      <w:r>
        <w:rPr>
          <w:rStyle w:val="FootnoteReference"/>
        </w:rPr>
        <w:footnoteRef/>
      </w:r>
      <w:r>
        <w:t xml:space="preserve"> </w:t>
      </w:r>
      <w:r>
        <w:rPr>
          <w:lang w:val="en-GB"/>
        </w:rPr>
        <w:t>An issue raised in their supplementary heads of argument.</w:t>
      </w:r>
    </w:p>
  </w:footnote>
  <w:footnote w:id="6">
    <w:p w:rsidR="00DD0D0D" w:rsidRDefault="00DD0D0D" w:rsidP="00DD0D0D">
      <w:pPr>
        <w:pStyle w:val="FootnoteText"/>
        <w:rPr>
          <w:lang w:val="en-US"/>
        </w:rPr>
      </w:pPr>
      <w:r>
        <w:rPr>
          <w:rStyle w:val="FootnoteReference"/>
        </w:rPr>
        <w:footnoteRef/>
      </w:r>
      <w:r>
        <w:t xml:space="preserve"> </w:t>
      </w:r>
      <w:proofErr w:type="spellStart"/>
      <w:r w:rsidRPr="002D0469">
        <w:t>Plascon</w:t>
      </w:r>
      <w:proofErr w:type="spellEnd"/>
      <w:r w:rsidRPr="002D0469">
        <w:t xml:space="preserve">-Evans Paints Ltd v Van </w:t>
      </w:r>
      <w:proofErr w:type="spellStart"/>
      <w:r w:rsidRPr="002D0469">
        <w:t>Riebeeck</w:t>
      </w:r>
      <w:proofErr w:type="spellEnd"/>
      <w:r w:rsidRPr="002D0469">
        <w:t xml:space="preserve"> Paints (Pty) Ltd, 1984 (3) SA 623 (A) at 634E to 635C</w:t>
      </w:r>
      <w:r>
        <w:rPr>
          <w:lang w:val="en-US"/>
        </w:rPr>
        <w:t xml:space="preserve">; </w:t>
      </w:r>
    </w:p>
    <w:p w:rsidR="00DD0D0D" w:rsidRPr="00BD4B24" w:rsidRDefault="00DD0D0D" w:rsidP="00DD0D0D">
      <w:pPr>
        <w:pStyle w:val="FootnoteText"/>
        <w:rPr>
          <w:lang w:val="en-US"/>
        </w:rPr>
      </w:pPr>
      <w:r>
        <w:rPr>
          <w:lang w:val="en-US"/>
        </w:rPr>
        <w:t xml:space="preserve">National Director of Public Prosecutions v Zuma 2009 (2) SA 277 (SCA) para [26] </w:t>
      </w:r>
    </w:p>
  </w:footnote>
  <w:footnote w:id="7">
    <w:p w:rsidR="00DD0D0D" w:rsidRPr="006B2043" w:rsidRDefault="00DD0D0D" w:rsidP="00DD0D0D">
      <w:pPr>
        <w:pStyle w:val="FootnoteText"/>
        <w:rPr>
          <w:lang w:val="en-US"/>
        </w:rPr>
      </w:pPr>
      <w:r>
        <w:rPr>
          <w:rStyle w:val="FootnoteReference"/>
        </w:rPr>
        <w:footnoteRef/>
      </w:r>
      <w:r>
        <w:t xml:space="preserve"> Wightman t/a </w:t>
      </w:r>
      <w:r w:rsidRPr="00BB0F29">
        <w:rPr>
          <w:lang w:val="af-ZA"/>
        </w:rPr>
        <w:t xml:space="preserve">J W </w:t>
      </w:r>
      <w:r>
        <w:rPr>
          <w:lang w:val="af-ZA"/>
        </w:rPr>
        <w:t>Construction</w:t>
      </w:r>
      <w:r w:rsidRPr="00BB0F29">
        <w:rPr>
          <w:lang w:val="af-ZA"/>
        </w:rPr>
        <w:t xml:space="preserve"> v Headfour (Pty) Ltd </w:t>
      </w:r>
      <w:r>
        <w:rPr>
          <w:lang w:val="af-ZA"/>
        </w:rPr>
        <w:t xml:space="preserve">and Another </w:t>
      </w:r>
      <w:r w:rsidRPr="00BB0F29">
        <w:rPr>
          <w:lang w:val="af-ZA"/>
        </w:rPr>
        <w:t>2008 (3) SA 371(SCA)</w:t>
      </w:r>
      <w:r>
        <w:rPr>
          <w:lang w:val="en-US"/>
        </w:rPr>
        <w:t xml:space="preserve"> para [12]-[13]</w:t>
      </w:r>
    </w:p>
  </w:footnote>
  <w:footnote w:id="8">
    <w:p w:rsidR="0074299E" w:rsidRPr="00E94E36" w:rsidRDefault="0074299E" w:rsidP="0074299E">
      <w:pPr>
        <w:pStyle w:val="FootnoteText"/>
        <w:rPr>
          <w:lang w:val="en-US"/>
        </w:rPr>
      </w:pPr>
      <w:r>
        <w:rPr>
          <w:rStyle w:val="FootnoteReference"/>
        </w:rPr>
        <w:footnoteRef/>
      </w:r>
      <w:r>
        <w:t xml:space="preserve"> </w:t>
      </w:r>
      <w:r>
        <w:rPr>
          <w:lang w:val="en-US"/>
        </w:rPr>
        <w:t xml:space="preserve">PMG Motors Kyalami (Pty) Ltd (in liquidation) v </w:t>
      </w:r>
      <w:proofErr w:type="spellStart"/>
      <w:r>
        <w:rPr>
          <w:lang w:val="en-US"/>
        </w:rPr>
        <w:t>Firstrand</w:t>
      </w:r>
      <w:proofErr w:type="spellEnd"/>
      <w:r>
        <w:rPr>
          <w:lang w:val="en-US"/>
        </w:rPr>
        <w:t xml:space="preserve"> Bank Ltd, </w:t>
      </w:r>
      <w:proofErr w:type="spellStart"/>
      <w:r>
        <w:rPr>
          <w:lang w:val="en-US"/>
        </w:rPr>
        <w:t>Wesbank</w:t>
      </w:r>
      <w:proofErr w:type="spellEnd"/>
      <w:r>
        <w:rPr>
          <w:lang w:val="en-US"/>
        </w:rPr>
        <w:t xml:space="preserve"> Division 2015 1 All SA 437 (SCA); 2015 (2) SA 634 (SCA); Wightman supra para 13</w:t>
      </w:r>
    </w:p>
  </w:footnote>
  <w:footnote w:id="9">
    <w:p w:rsidR="0074299E" w:rsidRDefault="0074299E" w:rsidP="0074299E">
      <w:pPr>
        <w:pStyle w:val="FootnoteText"/>
      </w:pPr>
      <w:r>
        <w:rPr>
          <w:rStyle w:val="FootnoteReference"/>
        </w:rPr>
        <w:footnoteRef/>
      </w:r>
      <w:r>
        <w:t xml:space="preserve"> National Scrap Metal (Cape Town) (Pty) Ltd and Another v Murray &amp; Roberts Ltd and Others 2012 (5) SA 300 (SCA) paras [21]-[22]</w:t>
      </w:r>
    </w:p>
  </w:footnote>
  <w:footnote w:id="10">
    <w:p w:rsidR="00DD0D0D" w:rsidRPr="007C2885" w:rsidRDefault="00DD0D0D" w:rsidP="00DD0D0D">
      <w:pPr>
        <w:pStyle w:val="FootnoteText"/>
        <w:rPr>
          <w:lang w:val="en-US"/>
        </w:rPr>
      </w:pPr>
      <w:r>
        <w:rPr>
          <w:rStyle w:val="FootnoteReference"/>
        </w:rPr>
        <w:footnoteRef/>
      </w:r>
      <w:r>
        <w:t xml:space="preserve"> </w:t>
      </w:r>
      <w:r>
        <w:rPr>
          <w:lang w:val="en-US"/>
        </w:rPr>
        <w:t>2011 (1) SA 8 (SCA) at paras [19] and [20]</w:t>
      </w:r>
    </w:p>
  </w:footnote>
  <w:footnote w:id="11">
    <w:p w:rsidR="00613424" w:rsidRDefault="00613424" w:rsidP="00613424">
      <w:pPr>
        <w:pStyle w:val="FootnoteText"/>
      </w:pPr>
      <w:r>
        <w:rPr>
          <w:rStyle w:val="FootnoteReference"/>
        </w:rPr>
        <w:footnoteRef/>
      </w:r>
      <w:r>
        <w:t xml:space="preserve"> 2012 (4) SA 593 (SCA) at para [18]</w:t>
      </w:r>
    </w:p>
  </w:footnote>
  <w:footnote w:id="12">
    <w:p w:rsidR="00613424" w:rsidRDefault="00613424" w:rsidP="00613424">
      <w:pPr>
        <w:pStyle w:val="FootnoteText"/>
      </w:pPr>
      <w:r>
        <w:rPr>
          <w:rStyle w:val="FootnoteReference"/>
        </w:rPr>
        <w:footnoteRef/>
      </w:r>
      <w:r>
        <w:t xml:space="preserve"> Hart v Pinetown Drive-In Cinema (Pty) Ltd</w:t>
      </w:r>
      <w:r w:rsidRPr="004A12EC">
        <w:t xml:space="preserve"> </w:t>
      </w:r>
      <w:r>
        <w:t>1972 (1) SA 464 (D)</w:t>
      </w:r>
    </w:p>
  </w:footnote>
  <w:footnote w:id="13">
    <w:p w:rsidR="00613424" w:rsidRDefault="00613424" w:rsidP="00613424">
      <w:pPr>
        <w:pStyle w:val="FootnoteText"/>
      </w:pPr>
      <w:r>
        <w:rPr>
          <w:rStyle w:val="FootnoteReference"/>
        </w:rPr>
        <w:footnoteRef/>
      </w:r>
      <w:r>
        <w:t xml:space="preserve"> </w:t>
      </w:r>
      <w:proofErr w:type="spellStart"/>
      <w:r>
        <w:t>Picbel</w:t>
      </w:r>
      <w:proofErr w:type="spellEnd"/>
      <w:r>
        <w:t xml:space="preserve"> </w:t>
      </w:r>
      <w:proofErr w:type="spellStart"/>
      <w:r>
        <w:t>Groep</w:t>
      </w:r>
      <w:proofErr w:type="spellEnd"/>
      <w:r>
        <w:t xml:space="preserve"> </w:t>
      </w:r>
      <w:proofErr w:type="spellStart"/>
      <w:r>
        <w:t>Voorsorgfinds</w:t>
      </w:r>
      <w:proofErr w:type="spellEnd"/>
      <w:r>
        <w:t xml:space="preserve"> (in liquidation) v Somerville and other related matters [2013] 2 All Sa 692 (SCA) para [17]; KPMG Chartered Accountants v </w:t>
      </w:r>
      <w:proofErr w:type="spellStart"/>
      <w:r>
        <w:t>Securefin</w:t>
      </w:r>
      <w:proofErr w:type="spellEnd"/>
      <w:r>
        <w:t xml:space="preserve"> Ltd &amp; Another 2009 </w:t>
      </w:r>
      <w:r w:rsidR="004D78A2">
        <w:t>(4) SA 399 (SCA) at para [39]</w:t>
      </w:r>
    </w:p>
  </w:footnote>
  <w:footnote w:id="14">
    <w:p w:rsidR="00613424" w:rsidRDefault="00613424" w:rsidP="00613424">
      <w:pPr>
        <w:pStyle w:val="FootnoteText"/>
      </w:pPr>
      <w:r>
        <w:rPr>
          <w:rStyle w:val="FootnoteReference"/>
        </w:rPr>
        <w:footnoteRef/>
      </w:r>
      <w:r>
        <w:t xml:space="preserve"> 819 A-C,</w:t>
      </w:r>
    </w:p>
  </w:footnote>
  <w:footnote w:id="15">
    <w:p w:rsidR="00FF2794" w:rsidRDefault="00FF2794" w:rsidP="00FF2794">
      <w:pPr>
        <w:pStyle w:val="FootnoteText"/>
      </w:pPr>
      <w:r>
        <w:rPr>
          <w:rStyle w:val="FootnoteReference"/>
        </w:rPr>
        <w:footnoteRef/>
      </w:r>
      <w:r>
        <w:t xml:space="preserve"> Commissioner South African Revenue Service v </w:t>
      </w:r>
      <w:proofErr w:type="spellStart"/>
      <w:r>
        <w:t>Sassin</w:t>
      </w:r>
      <w:proofErr w:type="spellEnd"/>
      <w:r>
        <w:t xml:space="preserve"> and Others [2015] 4 All SA 756 (KZN)</w:t>
      </w:r>
      <w:r w:rsidR="00F02B63">
        <w:t xml:space="preserve"> </w:t>
      </w:r>
      <w:r>
        <w:t>(“</w:t>
      </w:r>
      <w:proofErr w:type="spellStart"/>
      <w:r>
        <w:t>Sassin</w:t>
      </w:r>
      <w:proofErr w:type="spellEnd"/>
      <w:r>
        <w:t>” paras [45]-[49] and the authorities cited therein</w:t>
      </w:r>
    </w:p>
  </w:footnote>
  <w:footnote w:id="16">
    <w:p w:rsidR="008072C5" w:rsidRDefault="008072C5" w:rsidP="008072C5">
      <w:pPr>
        <w:pStyle w:val="FootnoteText"/>
      </w:pPr>
      <w:r>
        <w:rPr>
          <w:rStyle w:val="FootnoteReference"/>
        </w:rPr>
        <w:footnoteRef/>
      </w:r>
      <w:r>
        <w:t xml:space="preserve"> 57 of 1988</w:t>
      </w:r>
    </w:p>
  </w:footnote>
  <w:footnote w:id="17">
    <w:p w:rsidR="00563691" w:rsidRDefault="00563691" w:rsidP="00563691">
      <w:pPr>
        <w:pStyle w:val="FootnoteText"/>
      </w:pPr>
      <w:r>
        <w:rPr>
          <w:rStyle w:val="FootnoteReference"/>
        </w:rPr>
        <w:footnoteRef/>
      </w:r>
      <w:r>
        <w:t xml:space="preserve"> Constitution, s173</w:t>
      </w:r>
    </w:p>
  </w:footnote>
  <w:footnote w:id="18">
    <w:p w:rsidR="00563691" w:rsidRDefault="00563691" w:rsidP="00563691">
      <w:pPr>
        <w:pStyle w:val="FootnoteText"/>
      </w:pPr>
      <w:r>
        <w:rPr>
          <w:rStyle w:val="FootnoteReference"/>
        </w:rPr>
        <w:footnoteRef/>
      </w:r>
      <w:r>
        <w:t xml:space="preserve"> Helen </w:t>
      </w:r>
      <w:proofErr w:type="spellStart"/>
      <w:r>
        <w:t>Suzman</w:t>
      </w:r>
      <w:proofErr w:type="spellEnd"/>
      <w:r>
        <w:t xml:space="preserve"> Foundation v Judicial Service Commission 2018 (4) SA 1 (CC) at para [87]</w:t>
      </w:r>
    </w:p>
  </w:footnote>
  <w:footnote w:id="19">
    <w:p w:rsidR="00571759" w:rsidRDefault="00571759" w:rsidP="00571759">
      <w:pPr>
        <w:pStyle w:val="FootnoteText"/>
      </w:pPr>
      <w:r>
        <w:rPr>
          <w:rStyle w:val="FootnoteReference"/>
        </w:rPr>
        <w:footnoteRef/>
      </w:r>
      <w:r>
        <w:t xml:space="preserve"> </w:t>
      </w:r>
      <w:proofErr w:type="spellStart"/>
      <w:r>
        <w:t>Sassin</w:t>
      </w:r>
      <w:proofErr w:type="spellEnd"/>
      <w:r>
        <w:t xml:space="preserve"> supra para [71] and the authorities cited therein; R6(5)(g)</w:t>
      </w:r>
    </w:p>
  </w:footnote>
  <w:footnote w:id="20">
    <w:p w:rsidR="00563691" w:rsidRDefault="00563691" w:rsidP="00563691">
      <w:pPr>
        <w:pStyle w:val="FootnoteText"/>
      </w:pPr>
      <w:r>
        <w:rPr>
          <w:rStyle w:val="FootnoteReference"/>
        </w:rPr>
        <w:footnoteRef/>
      </w:r>
      <w:r>
        <w:t xml:space="preserve"> </w:t>
      </w:r>
      <w:proofErr w:type="spellStart"/>
      <w:r>
        <w:rPr>
          <w:lang w:val="en-US"/>
        </w:rPr>
        <w:t>Nkwentsha</w:t>
      </w:r>
      <w:proofErr w:type="spellEnd"/>
      <w:r>
        <w:rPr>
          <w:lang w:val="en-US"/>
        </w:rPr>
        <w:t xml:space="preserve"> v Minister of Law and Order and Another</w:t>
      </w:r>
      <w:r>
        <w:t xml:space="preserve"> 1988 (3) SA 99 (A) at 117</w:t>
      </w:r>
    </w:p>
  </w:footnote>
  <w:footnote w:id="21">
    <w:p w:rsidR="00571759" w:rsidRDefault="00571759" w:rsidP="00571759">
      <w:pPr>
        <w:pStyle w:val="FootnoteText"/>
      </w:pPr>
      <w:r>
        <w:rPr>
          <w:rStyle w:val="FootnoteReference"/>
        </w:rPr>
        <w:footnoteRef/>
      </w:r>
      <w:r>
        <w:t xml:space="preserve"> Cerebos Food Corporation Ltd v Diverse Foods SA (Pty) Ltd and Another 1984 (4) SA 149(T) at 171A-173D; Universal City Studios </w:t>
      </w:r>
      <w:proofErr w:type="spellStart"/>
      <w:r>
        <w:t>Inc</w:t>
      </w:r>
      <w:proofErr w:type="spellEnd"/>
      <w:r>
        <w:t xml:space="preserve"> and Others v Network Video (Pty) Ltd 1986 (2) SA 734 (A) at 754G-J</w:t>
      </w:r>
    </w:p>
  </w:footnote>
  <w:footnote w:id="22">
    <w:p w:rsidR="006130D4" w:rsidRDefault="006130D4">
      <w:pPr>
        <w:pStyle w:val="FootnoteText"/>
      </w:pPr>
      <w:r>
        <w:rPr>
          <w:rStyle w:val="FootnoteReference"/>
        </w:rPr>
        <w:footnoteRef/>
      </w:r>
      <w:r>
        <w:t xml:space="preserve"> 1975 (4) SA 87 (D) at 93</w:t>
      </w:r>
    </w:p>
  </w:footnote>
  <w:footnote w:id="23">
    <w:p w:rsidR="006130D4" w:rsidRDefault="006130D4" w:rsidP="006130D4">
      <w:pPr>
        <w:pStyle w:val="FootnoteText"/>
      </w:pPr>
      <w:r>
        <w:rPr>
          <w:rStyle w:val="FootnoteReference"/>
        </w:rPr>
        <w:footnoteRef/>
      </w:r>
      <w:r>
        <w:t xml:space="preserve"> </w:t>
      </w:r>
      <w:proofErr w:type="spellStart"/>
      <w:r>
        <w:t>Moosa</w:t>
      </w:r>
      <w:proofErr w:type="spellEnd"/>
      <w:r>
        <w:t xml:space="preserve"> Bros &amp; Sons (Pty) Ltd v Rajah 1975 (4) SA 87 (D) at 91A and 93; </w:t>
      </w:r>
      <w:proofErr w:type="spellStart"/>
      <w:r>
        <w:t>Khumalo</w:t>
      </w:r>
      <w:proofErr w:type="spellEnd"/>
      <w:r>
        <w:t xml:space="preserve"> v Director-General of Co-operation and Development 1991 (1) SA 158 (A) at 167G-168C</w:t>
      </w:r>
    </w:p>
  </w:footnote>
  <w:footnote w:id="24">
    <w:p w:rsidR="00571759" w:rsidRDefault="00571759" w:rsidP="00571759">
      <w:pPr>
        <w:pStyle w:val="FootnoteText"/>
      </w:pPr>
      <w:r>
        <w:rPr>
          <w:rStyle w:val="FootnoteReference"/>
        </w:rPr>
        <w:footnoteRef/>
      </w:r>
      <w:r>
        <w:t xml:space="preserve"> </w:t>
      </w:r>
      <w:proofErr w:type="spellStart"/>
      <w:r>
        <w:t>Gray</w:t>
      </w:r>
      <w:proofErr w:type="spellEnd"/>
      <w:r>
        <w:t xml:space="preserve"> v Goodwood Municipality 1943 CPD 78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7D4" w:rsidRDefault="004C47D4">
    <w:pPr>
      <w:pStyle w:val="Header"/>
      <w:jc w:val="right"/>
    </w:pPr>
    <w:r>
      <w:t xml:space="preserve">Page </w:t>
    </w:r>
    <w:r>
      <w:fldChar w:fldCharType="begin"/>
    </w:r>
    <w:r>
      <w:instrText xml:space="preserve"> PAGE   \* MERGEFORMAT </w:instrText>
    </w:r>
    <w:r>
      <w:fldChar w:fldCharType="separate"/>
    </w:r>
    <w:r w:rsidR="00025EC3">
      <w:rPr>
        <w:noProof/>
      </w:rPr>
      <w:t>13</w:t>
    </w:r>
    <w:r>
      <w:rPr>
        <w:noProof/>
      </w:rPr>
      <w:fldChar w:fldCharType="end"/>
    </w:r>
  </w:p>
  <w:p w:rsidR="004C47D4" w:rsidRDefault="004C47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F8229A6"/>
    <w:lvl w:ilvl="0">
      <w:start w:val="1"/>
      <w:numFmt w:val="decimal"/>
      <w:lvlText w:val="%1."/>
      <w:lvlJc w:val="left"/>
      <w:pPr>
        <w:tabs>
          <w:tab w:val="num" w:pos="643"/>
        </w:tabs>
        <w:ind w:left="643" w:hanging="360"/>
      </w:pPr>
      <w:rPr>
        <w:rFonts w:cs="Times New Roman"/>
      </w:rPr>
    </w:lvl>
  </w:abstractNum>
  <w:abstractNum w:abstractNumId="1" w15:restartNumberingAfterBreak="0">
    <w:nsid w:val="2EC32EAB"/>
    <w:multiLevelType w:val="multilevel"/>
    <w:tmpl w:val="042C5C5E"/>
    <w:lvl w:ilvl="0">
      <w:start w:val="1"/>
      <w:numFmt w:val="decimal"/>
      <w:lvlText w:val="[%1]"/>
      <w:lvlJc w:val="left"/>
      <w:pPr>
        <w:tabs>
          <w:tab w:val="num" w:pos="567"/>
        </w:tabs>
        <w:ind w:left="567" w:hanging="567"/>
      </w:pPr>
      <w:rPr>
        <w:rFonts w:cs="Times New Roman" w:hint="default"/>
        <w:b w:val="0"/>
        <w:i w:val="0"/>
      </w:rPr>
    </w:lvl>
    <w:lvl w:ilvl="1">
      <w:start w:val="1"/>
      <w:numFmt w:val="decimal"/>
      <w:lvlText w:val="%1.%2"/>
      <w:lvlJc w:val="left"/>
      <w:pPr>
        <w:tabs>
          <w:tab w:val="num" w:pos="1361"/>
        </w:tabs>
        <w:ind w:left="1361" w:hanging="794"/>
      </w:pPr>
      <w:rPr>
        <w:rFonts w:cs="Times New Roman" w:hint="default"/>
        <w:b w:val="0"/>
        <w:i w:val="0"/>
      </w:rPr>
    </w:lvl>
    <w:lvl w:ilvl="2">
      <w:start w:val="1"/>
      <w:numFmt w:val="decimal"/>
      <w:lvlText w:val="%1.%2.%3"/>
      <w:lvlJc w:val="left"/>
      <w:pPr>
        <w:tabs>
          <w:tab w:val="num" w:pos="2155"/>
        </w:tabs>
        <w:ind w:left="2155" w:hanging="794"/>
      </w:pPr>
      <w:rPr>
        <w:rFonts w:cs="Times New Roman" w:hint="default"/>
        <w:b w:val="0"/>
        <w:i w:val="0"/>
      </w:rPr>
    </w:lvl>
    <w:lvl w:ilvl="3">
      <w:start w:val="1"/>
      <w:numFmt w:val="lowerLetter"/>
      <w:lvlText w:val="(%4)"/>
      <w:lvlJc w:val="left"/>
      <w:pPr>
        <w:tabs>
          <w:tab w:val="num" w:pos="2552"/>
        </w:tabs>
        <w:ind w:left="2552" w:hanging="397"/>
      </w:pPr>
      <w:rPr>
        <w:rFonts w:cs="Times New Roman" w:hint="default"/>
      </w:rPr>
    </w:lvl>
    <w:lvl w:ilvl="4">
      <w:start w:val="1"/>
      <w:numFmt w:val="lowerRoman"/>
      <w:lvlText w:val="(%5)"/>
      <w:lvlJc w:val="left"/>
      <w:pPr>
        <w:tabs>
          <w:tab w:val="num" w:pos="3119"/>
        </w:tabs>
        <w:ind w:left="3119" w:hanging="567"/>
      </w:pPr>
      <w:rPr>
        <w:rFonts w:cs="Times New Roman" w:hint="default"/>
        <w:b w:val="0"/>
        <w:i w:val="0"/>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 w15:restartNumberingAfterBreak="0">
    <w:nsid w:val="6BD17F80"/>
    <w:multiLevelType w:val="hybridMultilevel"/>
    <w:tmpl w:val="55644460"/>
    <w:lvl w:ilvl="0" w:tplc="605ABA1C">
      <w:start w:val="1"/>
      <w:numFmt w:val="decimal"/>
      <w:pStyle w:val="level1"/>
      <w:lvlText w:val="[%1]"/>
      <w:lvlJc w:val="left"/>
      <w:pPr>
        <w:ind w:left="3240" w:hanging="360"/>
      </w:pPr>
      <w:rPr>
        <w:rFonts w:hint="default"/>
        <w:i w:val="0"/>
      </w:rPr>
    </w:lvl>
    <w:lvl w:ilvl="1" w:tplc="1C090019">
      <w:start w:val="1"/>
      <w:numFmt w:val="lowerLetter"/>
      <w:lvlText w:val="%2."/>
      <w:lvlJc w:val="left"/>
      <w:pPr>
        <w:ind w:left="3960" w:hanging="360"/>
      </w:pPr>
    </w:lvl>
    <w:lvl w:ilvl="2" w:tplc="1C09001B">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3" w15:restartNumberingAfterBreak="0">
    <w:nsid w:val="71286750"/>
    <w:multiLevelType w:val="multilevel"/>
    <w:tmpl w:val="87CE57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474"/>
    <w:rsid w:val="00025EC3"/>
    <w:rsid w:val="00030A34"/>
    <w:rsid w:val="0003637B"/>
    <w:rsid w:val="00044A94"/>
    <w:rsid w:val="00051071"/>
    <w:rsid w:val="00063262"/>
    <w:rsid w:val="00085CA9"/>
    <w:rsid w:val="000868BC"/>
    <w:rsid w:val="00093F9E"/>
    <w:rsid w:val="000E3F24"/>
    <w:rsid w:val="000F1B9D"/>
    <w:rsid w:val="000F1F76"/>
    <w:rsid w:val="00102F9D"/>
    <w:rsid w:val="0010472E"/>
    <w:rsid w:val="0012023C"/>
    <w:rsid w:val="00155D40"/>
    <w:rsid w:val="00167CE8"/>
    <w:rsid w:val="001877F5"/>
    <w:rsid w:val="00196599"/>
    <w:rsid w:val="001A2419"/>
    <w:rsid w:val="001A5C3D"/>
    <w:rsid w:val="001B1E3F"/>
    <w:rsid w:val="001B69F0"/>
    <w:rsid w:val="00216C65"/>
    <w:rsid w:val="00237DDF"/>
    <w:rsid w:val="0024415D"/>
    <w:rsid w:val="00247FC1"/>
    <w:rsid w:val="00253877"/>
    <w:rsid w:val="00253FAA"/>
    <w:rsid w:val="0026326B"/>
    <w:rsid w:val="00273C7B"/>
    <w:rsid w:val="00276BB6"/>
    <w:rsid w:val="002826C9"/>
    <w:rsid w:val="00293212"/>
    <w:rsid w:val="002B30C3"/>
    <w:rsid w:val="002B5FC5"/>
    <w:rsid w:val="002B7271"/>
    <w:rsid w:val="002F3288"/>
    <w:rsid w:val="002F6EB6"/>
    <w:rsid w:val="00305993"/>
    <w:rsid w:val="00325AD3"/>
    <w:rsid w:val="003334F6"/>
    <w:rsid w:val="0034104C"/>
    <w:rsid w:val="0034442B"/>
    <w:rsid w:val="0034525A"/>
    <w:rsid w:val="00365BCE"/>
    <w:rsid w:val="00365F5A"/>
    <w:rsid w:val="0037269C"/>
    <w:rsid w:val="003B27E9"/>
    <w:rsid w:val="003B4F2B"/>
    <w:rsid w:val="003B7F1D"/>
    <w:rsid w:val="003E4474"/>
    <w:rsid w:val="00407D83"/>
    <w:rsid w:val="00413B90"/>
    <w:rsid w:val="00417443"/>
    <w:rsid w:val="00445B3D"/>
    <w:rsid w:val="00452C25"/>
    <w:rsid w:val="004662AA"/>
    <w:rsid w:val="00492B9C"/>
    <w:rsid w:val="004A12EC"/>
    <w:rsid w:val="004B3AA4"/>
    <w:rsid w:val="004B3D3E"/>
    <w:rsid w:val="004B62B1"/>
    <w:rsid w:val="004C47D4"/>
    <w:rsid w:val="004D652A"/>
    <w:rsid w:val="004D78A2"/>
    <w:rsid w:val="004F4669"/>
    <w:rsid w:val="004F4911"/>
    <w:rsid w:val="004F4D32"/>
    <w:rsid w:val="00507F5F"/>
    <w:rsid w:val="0051407F"/>
    <w:rsid w:val="00516C15"/>
    <w:rsid w:val="00547CEB"/>
    <w:rsid w:val="005535AF"/>
    <w:rsid w:val="00556161"/>
    <w:rsid w:val="00557ED6"/>
    <w:rsid w:val="00563691"/>
    <w:rsid w:val="00564EFE"/>
    <w:rsid w:val="00571759"/>
    <w:rsid w:val="005B548B"/>
    <w:rsid w:val="005B7C3D"/>
    <w:rsid w:val="005C196A"/>
    <w:rsid w:val="005D282F"/>
    <w:rsid w:val="005D334F"/>
    <w:rsid w:val="005E4ACA"/>
    <w:rsid w:val="006130D4"/>
    <w:rsid w:val="00613424"/>
    <w:rsid w:val="006326C9"/>
    <w:rsid w:val="006851A9"/>
    <w:rsid w:val="006B3256"/>
    <w:rsid w:val="006E7849"/>
    <w:rsid w:val="006F68C2"/>
    <w:rsid w:val="007046CF"/>
    <w:rsid w:val="007048D1"/>
    <w:rsid w:val="00730C53"/>
    <w:rsid w:val="00732424"/>
    <w:rsid w:val="0074299E"/>
    <w:rsid w:val="0074533D"/>
    <w:rsid w:val="007522BE"/>
    <w:rsid w:val="00752A9C"/>
    <w:rsid w:val="00754AC6"/>
    <w:rsid w:val="00783472"/>
    <w:rsid w:val="0079222D"/>
    <w:rsid w:val="007A5449"/>
    <w:rsid w:val="007C7523"/>
    <w:rsid w:val="007E0214"/>
    <w:rsid w:val="007E66A1"/>
    <w:rsid w:val="008072C5"/>
    <w:rsid w:val="008744C9"/>
    <w:rsid w:val="008941FF"/>
    <w:rsid w:val="008B0FE9"/>
    <w:rsid w:val="008D66D0"/>
    <w:rsid w:val="008E629D"/>
    <w:rsid w:val="008E6904"/>
    <w:rsid w:val="008F0EC3"/>
    <w:rsid w:val="00924829"/>
    <w:rsid w:val="00937283"/>
    <w:rsid w:val="00950B91"/>
    <w:rsid w:val="00951CB3"/>
    <w:rsid w:val="00952856"/>
    <w:rsid w:val="0095439B"/>
    <w:rsid w:val="0096192D"/>
    <w:rsid w:val="00972258"/>
    <w:rsid w:val="009756E1"/>
    <w:rsid w:val="009771EF"/>
    <w:rsid w:val="009C7545"/>
    <w:rsid w:val="009E6681"/>
    <w:rsid w:val="00A20D64"/>
    <w:rsid w:val="00A52DBD"/>
    <w:rsid w:val="00A54330"/>
    <w:rsid w:val="00A66E2D"/>
    <w:rsid w:val="00A832AA"/>
    <w:rsid w:val="00AA41E6"/>
    <w:rsid w:val="00AB4F7E"/>
    <w:rsid w:val="00AB6813"/>
    <w:rsid w:val="00AD62D3"/>
    <w:rsid w:val="00AE162B"/>
    <w:rsid w:val="00B039DC"/>
    <w:rsid w:val="00B10F35"/>
    <w:rsid w:val="00B57B78"/>
    <w:rsid w:val="00B64B92"/>
    <w:rsid w:val="00B765EF"/>
    <w:rsid w:val="00BA59C8"/>
    <w:rsid w:val="00C83AF0"/>
    <w:rsid w:val="00D007CA"/>
    <w:rsid w:val="00D053E5"/>
    <w:rsid w:val="00D24AF6"/>
    <w:rsid w:val="00D56440"/>
    <w:rsid w:val="00D60174"/>
    <w:rsid w:val="00D61092"/>
    <w:rsid w:val="00D95EDA"/>
    <w:rsid w:val="00DD0D0D"/>
    <w:rsid w:val="00DE28D3"/>
    <w:rsid w:val="00DE7134"/>
    <w:rsid w:val="00E41101"/>
    <w:rsid w:val="00E66C5C"/>
    <w:rsid w:val="00E86E31"/>
    <w:rsid w:val="00E87C29"/>
    <w:rsid w:val="00E97524"/>
    <w:rsid w:val="00EA3D12"/>
    <w:rsid w:val="00EC64B7"/>
    <w:rsid w:val="00EE58FF"/>
    <w:rsid w:val="00EE614C"/>
    <w:rsid w:val="00EF010B"/>
    <w:rsid w:val="00F02B63"/>
    <w:rsid w:val="00F03053"/>
    <w:rsid w:val="00F03DED"/>
    <w:rsid w:val="00F04D74"/>
    <w:rsid w:val="00F54493"/>
    <w:rsid w:val="00F67259"/>
    <w:rsid w:val="00F7291C"/>
    <w:rsid w:val="00F772C3"/>
    <w:rsid w:val="00FB6AE9"/>
    <w:rsid w:val="00FB7278"/>
    <w:rsid w:val="00FD3698"/>
    <w:rsid w:val="00FF27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FDCAC37-0828-473C-A536-5BD31258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474"/>
  </w:style>
  <w:style w:type="paragraph" w:styleId="FootnoteText">
    <w:name w:val="footnote text"/>
    <w:aliases w:val="Footnote Text Char1 Char,Footnote Text Char Char Char,Footnote Text Char1 Char Char Char,Footnote Text Char Char Char Char Char,Footnote Text Char1 Char Char Char Char Char,Footnote Text Char1,Footnote Text Char Char"/>
    <w:basedOn w:val="Normal"/>
    <w:link w:val="FootnoteTextChar"/>
    <w:unhideWhenUsed/>
    <w:rsid w:val="003E4474"/>
    <w:pPr>
      <w:spacing w:after="0" w:line="240" w:lineRule="auto"/>
    </w:pPr>
    <w:rPr>
      <w:rFonts w:ascii="Arial" w:eastAsia="Times New Roman" w:hAnsi="Arial" w:cs="Times New Roman"/>
      <w:kern w:val="28"/>
      <w:sz w:val="20"/>
      <w:szCs w:val="20"/>
      <w:lang w:eastAsia="en-GB"/>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1 Char1"/>
    <w:basedOn w:val="DefaultParagraphFont"/>
    <w:link w:val="FootnoteText"/>
    <w:rsid w:val="003E4474"/>
    <w:rPr>
      <w:rFonts w:ascii="Arial" w:eastAsia="Times New Roman" w:hAnsi="Arial" w:cs="Times New Roman"/>
      <w:kern w:val="28"/>
      <w:sz w:val="20"/>
      <w:szCs w:val="20"/>
      <w:lang w:eastAsia="en-GB"/>
    </w:rPr>
  </w:style>
  <w:style w:type="character" w:styleId="FootnoteReference">
    <w:name w:val="footnote reference"/>
    <w:unhideWhenUsed/>
    <w:rsid w:val="003E4474"/>
    <w:rPr>
      <w:vertAlign w:val="superscript"/>
    </w:rPr>
  </w:style>
  <w:style w:type="paragraph" w:customStyle="1" w:styleId="level1">
    <w:name w:val="level1"/>
    <w:basedOn w:val="Normal"/>
    <w:rsid w:val="003E4474"/>
    <w:pPr>
      <w:numPr>
        <w:numId w:val="1"/>
      </w:numPr>
      <w:spacing w:after="0" w:line="240" w:lineRule="auto"/>
    </w:pPr>
    <w:rPr>
      <w:rFonts w:ascii="Arial" w:eastAsia="Times New Roman" w:hAnsi="Arial" w:cs="Times New Roman"/>
      <w:kern w:val="28"/>
      <w:sz w:val="24"/>
      <w:szCs w:val="24"/>
      <w:lang w:eastAsia="en-GB"/>
    </w:rPr>
  </w:style>
  <w:style w:type="paragraph" w:styleId="Footer">
    <w:name w:val="footer"/>
    <w:basedOn w:val="Normal"/>
    <w:link w:val="FooterChar"/>
    <w:uiPriority w:val="99"/>
    <w:unhideWhenUsed/>
    <w:rsid w:val="00547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CEB"/>
  </w:style>
  <w:style w:type="paragraph" w:customStyle="1" w:styleId="3">
    <w:name w:val="3"/>
    <w:basedOn w:val="Normal"/>
    <w:qFormat/>
    <w:rsid w:val="00A66E2D"/>
    <w:pPr>
      <w:numPr>
        <w:ilvl w:val="2"/>
        <w:numId w:val="4"/>
      </w:numPr>
      <w:spacing w:before="240" w:after="0" w:line="480" w:lineRule="auto"/>
      <w:jc w:val="both"/>
    </w:pPr>
    <w:rPr>
      <w:rFonts w:ascii="Arial" w:eastAsia="Times New Roman" w:hAnsi="Arial" w:cs="Times New Roman"/>
      <w:iCs/>
      <w:color w:val="00000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1FB52-CF77-4B9D-8DF1-CF297E962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3524</Words>
  <Characters>20087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Govender</dc:creator>
  <cp:keywords/>
  <dc:description/>
  <cp:lastModifiedBy>HOME</cp:lastModifiedBy>
  <cp:revision>3</cp:revision>
  <dcterms:created xsi:type="dcterms:W3CDTF">2022-08-16T17:45:00Z</dcterms:created>
  <dcterms:modified xsi:type="dcterms:W3CDTF">2022-08-16T17:45:00Z</dcterms:modified>
</cp:coreProperties>
</file>