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6C43D7" w:rsidRDefault="006C43D7" w:rsidP="006C43D7">
      <w:pPr>
        <w:spacing w:after="120" w:line="360" w:lineRule="auto"/>
        <w:jc w:val="center"/>
        <w:rPr>
          <w:rFonts w:cs="Arial"/>
          <w:b/>
          <w:bCs/>
        </w:rPr>
      </w:pPr>
      <w:bookmarkStart w:id="0" w:name="_GoBack"/>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95427F" w:rsidRDefault="006C43D7" w:rsidP="006C43D7">
      <w:pPr>
        <w:jc w:val="center"/>
        <w:rPr>
          <w:rFonts w:cs="Arial"/>
          <w:b/>
          <w:sz w:val="20"/>
          <w:szCs w:val="20"/>
        </w:rPr>
      </w:pPr>
      <w:r w:rsidRPr="0095427F">
        <w:rPr>
          <w:rFonts w:cs="Arial"/>
          <w:b/>
          <w:sz w:val="20"/>
          <w:szCs w:val="20"/>
        </w:rPr>
        <w:t xml:space="preserve">IN THE HIGH COURT OF SOUTH AFRICA, </w:t>
      </w:r>
    </w:p>
    <w:p w14:paraId="566C4D1B" w14:textId="77777777" w:rsidR="006C43D7" w:rsidRPr="0095427F" w:rsidRDefault="006C43D7" w:rsidP="006C43D7">
      <w:pPr>
        <w:jc w:val="center"/>
        <w:rPr>
          <w:rFonts w:cs="Arial"/>
          <w:b/>
          <w:sz w:val="20"/>
          <w:szCs w:val="20"/>
        </w:rPr>
      </w:pPr>
      <w:r w:rsidRPr="0095427F">
        <w:rPr>
          <w:rFonts w:cs="Arial"/>
          <w:b/>
          <w:sz w:val="20"/>
          <w:szCs w:val="20"/>
        </w:rPr>
        <w:t>GAUTENG DIVISION, JOHANNESBURG</w:t>
      </w:r>
    </w:p>
    <w:p w14:paraId="13D6E83E" w14:textId="77777777" w:rsidR="006C43D7" w:rsidRPr="0095427F" w:rsidRDefault="006C43D7" w:rsidP="006C43D7">
      <w:pPr>
        <w:jc w:val="both"/>
        <w:rPr>
          <w:rFonts w:cs="Arial"/>
          <w:b/>
          <w:sz w:val="20"/>
          <w:szCs w:val="20"/>
        </w:rPr>
      </w:pPr>
    </w:p>
    <w:p w14:paraId="3698476C" w14:textId="4A3090E1" w:rsidR="006C43D7" w:rsidRPr="0095427F" w:rsidRDefault="006C43D7" w:rsidP="006C43D7">
      <w:pPr>
        <w:spacing w:line="360" w:lineRule="auto"/>
        <w:jc w:val="right"/>
        <w:rPr>
          <w:rFonts w:cs="Arial"/>
          <w:b/>
          <w:sz w:val="20"/>
          <w:szCs w:val="20"/>
        </w:rPr>
      </w:pPr>
      <w:r w:rsidRPr="0095427F">
        <w:rPr>
          <w:rFonts w:cs="Arial"/>
          <w:b/>
          <w:sz w:val="20"/>
          <w:szCs w:val="20"/>
        </w:rPr>
        <w:t xml:space="preserve">CASE NO: </w:t>
      </w:r>
      <w:r w:rsidR="003518A3">
        <w:rPr>
          <w:rFonts w:cs="Arial"/>
          <w:b/>
          <w:sz w:val="20"/>
          <w:szCs w:val="20"/>
        </w:rPr>
        <w:t>2021/36333</w:t>
      </w:r>
    </w:p>
    <w:p w14:paraId="0AF8DD38" w14:textId="34E0FE58" w:rsidR="006C43D7" w:rsidRPr="0095427F" w:rsidRDefault="00D64B44" w:rsidP="006C43D7">
      <w:pPr>
        <w:spacing w:line="360" w:lineRule="auto"/>
        <w:jc w:val="right"/>
        <w:rPr>
          <w:rFonts w:cs="Arial"/>
          <w:sz w:val="20"/>
          <w:szCs w:val="20"/>
        </w:rPr>
      </w:pPr>
      <w:r>
        <w:rPr>
          <w:noProof/>
          <w:lang w:eastAsia="en-ZA"/>
        </w:rPr>
        <mc:AlternateContent>
          <mc:Choice Requires="wps">
            <w:drawing>
              <wp:anchor distT="0" distB="0" distL="114300" distR="114300" simplePos="0" relativeHeight="251659264" behindDoc="0" locked="0" layoutInCell="1" allowOverlap="1" wp14:anchorId="66068A6B" wp14:editId="004D69D0">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4E56AD01"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596877B4"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4E56AD01"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596877B4"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95427F" w:rsidRDefault="006C43D7" w:rsidP="006C43D7">
      <w:pPr>
        <w:spacing w:line="360" w:lineRule="auto"/>
        <w:jc w:val="both"/>
        <w:rPr>
          <w:rFonts w:cs="Arial"/>
          <w:sz w:val="20"/>
          <w:szCs w:val="20"/>
        </w:rPr>
      </w:pPr>
    </w:p>
    <w:p w14:paraId="4E808D74" w14:textId="77777777" w:rsidR="006C43D7" w:rsidRPr="0095427F" w:rsidRDefault="006C43D7" w:rsidP="006C43D7">
      <w:pPr>
        <w:spacing w:line="360" w:lineRule="auto"/>
        <w:jc w:val="both"/>
        <w:rPr>
          <w:rFonts w:cs="Arial"/>
          <w:sz w:val="20"/>
          <w:szCs w:val="20"/>
        </w:rPr>
      </w:pPr>
    </w:p>
    <w:p w14:paraId="34BF70B6" w14:textId="77777777" w:rsidR="006C43D7" w:rsidRPr="0095427F" w:rsidRDefault="006C43D7" w:rsidP="006C43D7">
      <w:pPr>
        <w:spacing w:line="360" w:lineRule="auto"/>
        <w:jc w:val="both"/>
        <w:rPr>
          <w:rFonts w:cs="Arial"/>
          <w:sz w:val="20"/>
          <w:szCs w:val="20"/>
        </w:rPr>
      </w:pPr>
    </w:p>
    <w:p w14:paraId="2F53BA3A" w14:textId="77777777" w:rsidR="006C43D7" w:rsidRPr="0095427F" w:rsidRDefault="006C43D7" w:rsidP="006C43D7">
      <w:pPr>
        <w:spacing w:line="480" w:lineRule="auto"/>
        <w:jc w:val="both"/>
        <w:rPr>
          <w:rFonts w:cs="Arial"/>
          <w:sz w:val="20"/>
          <w:szCs w:val="20"/>
        </w:rPr>
      </w:pPr>
    </w:p>
    <w:p w14:paraId="3A1C212E" w14:textId="77777777" w:rsidR="006C43D7" w:rsidRPr="0095427F" w:rsidRDefault="006C43D7" w:rsidP="006C43D7">
      <w:pPr>
        <w:spacing w:line="480" w:lineRule="auto"/>
        <w:jc w:val="both"/>
        <w:rPr>
          <w:rFonts w:cs="Arial"/>
          <w:sz w:val="20"/>
          <w:szCs w:val="20"/>
        </w:rPr>
      </w:pPr>
    </w:p>
    <w:p w14:paraId="04919B1B" w14:textId="77777777" w:rsidR="001D3CC2" w:rsidRPr="0095427F" w:rsidRDefault="001D3CC2" w:rsidP="006C43D7">
      <w:pPr>
        <w:spacing w:line="480" w:lineRule="auto"/>
        <w:jc w:val="both"/>
        <w:rPr>
          <w:rFonts w:cs="Arial"/>
          <w:sz w:val="20"/>
          <w:szCs w:val="20"/>
        </w:rPr>
      </w:pPr>
    </w:p>
    <w:p w14:paraId="2A3E8EC7" w14:textId="35BFF3B1" w:rsidR="00CC48E3" w:rsidRPr="0095427F" w:rsidRDefault="00CC48E3" w:rsidP="00CC48E3">
      <w:pPr>
        <w:rPr>
          <w:rFonts w:cs="Arial"/>
          <w:sz w:val="20"/>
          <w:szCs w:val="20"/>
        </w:rPr>
      </w:pPr>
    </w:p>
    <w:p w14:paraId="3CF828F5" w14:textId="77777777" w:rsidR="00CC48E3" w:rsidRPr="0095427F" w:rsidRDefault="00CC48E3" w:rsidP="00CC48E3">
      <w:pPr>
        <w:rPr>
          <w:rFonts w:cs="Arial"/>
          <w:sz w:val="20"/>
          <w:szCs w:val="20"/>
        </w:rPr>
      </w:pPr>
      <w:r w:rsidRPr="0095427F">
        <w:rPr>
          <w:rFonts w:cs="Arial"/>
          <w:sz w:val="20"/>
          <w:szCs w:val="20"/>
        </w:rPr>
        <w:t>In the matter between –</w:t>
      </w:r>
    </w:p>
    <w:p w14:paraId="17480F7B" w14:textId="77777777" w:rsidR="00CC48E3" w:rsidRPr="0095427F" w:rsidRDefault="00CC48E3" w:rsidP="00CC48E3">
      <w:pPr>
        <w:rPr>
          <w:rFonts w:cs="Arial"/>
          <w:sz w:val="20"/>
          <w:szCs w:val="20"/>
        </w:rPr>
      </w:pPr>
    </w:p>
    <w:p w14:paraId="5CA8F57B" w14:textId="3A5CECEB" w:rsidR="006C43D7" w:rsidRPr="0095427F" w:rsidRDefault="006C43D7" w:rsidP="00016C5A">
      <w:pPr>
        <w:spacing w:line="360" w:lineRule="auto"/>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C35C76" w:rsidRPr="0095427F" w14:paraId="3F391BAE" w14:textId="77777777" w:rsidTr="00016C5A">
        <w:tc>
          <w:tcPr>
            <w:tcW w:w="6516" w:type="dxa"/>
          </w:tcPr>
          <w:p w14:paraId="314C64CA" w14:textId="5ABB653E" w:rsidR="00C35C76" w:rsidRPr="0095427F" w:rsidRDefault="00C35C76" w:rsidP="00B7031E">
            <w:pPr>
              <w:autoSpaceDE w:val="0"/>
              <w:autoSpaceDN w:val="0"/>
              <w:adjustRightInd w:val="0"/>
              <w:spacing w:before="120" w:after="120"/>
              <w:rPr>
                <w:rFonts w:cs="Arial"/>
                <w:sz w:val="20"/>
                <w:szCs w:val="20"/>
              </w:rPr>
            </w:pPr>
            <w:r w:rsidRPr="0095427F">
              <w:rPr>
                <w:rFonts w:cs="Arial"/>
                <w:b/>
                <w:bCs/>
                <w:sz w:val="20"/>
                <w:szCs w:val="20"/>
              </w:rPr>
              <w:t xml:space="preserve">THUSHENI, NONHLANHLA VERONICA </w:t>
            </w:r>
          </w:p>
          <w:p w14:paraId="14A5291F" w14:textId="1828B438" w:rsidR="00C35C76" w:rsidRPr="0095427F" w:rsidRDefault="00C35C76" w:rsidP="00B7031E">
            <w:pPr>
              <w:autoSpaceDE w:val="0"/>
              <w:autoSpaceDN w:val="0"/>
              <w:adjustRightInd w:val="0"/>
              <w:spacing w:before="120" w:after="120"/>
              <w:rPr>
                <w:rFonts w:cs="Arial"/>
                <w:b/>
                <w:bCs/>
                <w:sz w:val="20"/>
                <w:szCs w:val="20"/>
              </w:rPr>
            </w:pPr>
            <w:r w:rsidRPr="0095427F">
              <w:rPr>
                <w:rFonts w:cs="Arial"/>
                <w:b/>
                <w:bCs/>
                <w:sz w:val="20"/>
                <w:szCs w:val="20"/>
              </w:rPr>
              <w:t>(IDENTITY NUMBER: 891129 0503 085)</w:t>
            </w:r>
          </w:p>
        </w:tc>
        <w:tc>
          <w:tcPr>
            <w:tcW w:w="2500" w:type="dxa"/>
          </w:tcPr>
          <w:p w14:paraId="1F273C18" w14:textId="6DA14AD0" w:rsidR="00C35C76" w:rsidRPr="0095427F" w:rsidRDefault="00C35C76" w:rsidP="00B7031E">
            <w:pPr>
              <w:spacing w:before="120" w:after="120"/>
              <w:jc w:val="both"/>
              <w:rPr>
                <w:rFonts w:cs="Arial"/>
                <w:sz w:val="20"/>
                <w:szCs w:val="20"/>
              </w:rPr>
            </w:pPr>
            <w:r w:rsidRPr="0095427F">
              <w:rPr>
                <w:rFonts w:cs="Arial"/>
                <w:sz w:val="20"/>
                <w:szCs w:val="20"/>
              </w:rPr>
              <w:t>APPLICANT</w:t>
            </w:r>
          </w:p>
        </w:tc>
      </w:tr>
      <w:tr w:rsidR="00C35C76" w:rsidRPr="0095427F" w14:paraId="4FC5C5F1" w14:textId="77777777" w:rsidTr="00016C5A">
        <w:tc>
          <w:tcPr>
            <w:tcW w:w="6516" w:type="dxa"/>
          </w:tcPr>
          <w:p w14:paraId="66607EB5" w14:textId="77777777" w:rsidR="00B7031E" w:rsidRPr="0095427F" w:rsidRDefault="00B7031E" w:rsidP="00B7031E">
            <w:pPr>
              <w:autoSpaceDE w:val="0"/>
              <w:autoSpaceDN w:val="0"/>
              <w:adjustRightInd w:val="0"/>
              <w:spacing w:before="120" w:after="120"/>
              <w:rPr>
                <w:rFonts w:cs="Arial"/>
                <w:sz w:val="20"/>
                <w:szCs w:val="20"/>
              </w:rPr>
            </w:pPr>
          </w:p>
          <w:p w14:paraId="7FC1C32A" w14:textId="6C968B07" w:rsidR="00C35C76" w:rsidRPr="0095427F" w:rsidRDefault="00C35C76" w:rsidP="00B7031E">
            <w:pPr>
              <w:autoSpaceDE w:val="0"/>
              <w:autoSpaceDN w:val="0"/>
              <w:adjustRightInd w:val="0"/>
              <w:spacing w:before="120" w:after="120"/>
              <w:rPr>
                <w:rFonts w:cs="Arial"/>
                <w:sz w:val="20"/>
                <w:szCs w:val="20"/>
              </w:rPr>
            </w:pPr>
            <w:r w:rsidRPr="0095427F">
              <w:rPr>
                <w:rFonts w:cs="Arial"/>
                <w:sz w:val="20"/>
                <w:szCs w:val="20"/>
              </w:rPr>
              <w:t>AND</w:t>
            </w:r>
          </w:p>
          <w:p w14:paraId="0CE7B1D3" w14:textId="77777777" w:rsidR="00C35C76" w:rsidRPr="0095427F" w:rsidRDefault="00C35C76" w:rsidP="00B7031E">
            <w:pPr>
              <w:spacing w:before="120" w:after="120"/>
              <w:jc w:val="both"/>
              <w:rPr>
                <w:rFonts w:cs="Arial"/>
                <w:sz w:val="20"/>
                <w:szCs w:val="20"/>
              </w:rPr>
            </w:pPr>
          </w:p>
        </w:tc>
        <w:tc>
          <w:tcPr>
            <w:tcW w:w="2500" w:type="dxa"/>
          </w:tcPr>
          <w:p w14:paraId="2F9DB216" w14:textId="77777777" w:rsidR="00C35C76" w:rsidRPr="0095427F" w:rsidRDefault="00C35C76" w:rsidP="00B7031E">
            <w:pPr>
              <w:spacing w:before="120" w:after="120"/>
              <w:jc w:val="both"/>
              <w:rPr>
                <w:rFonts w:cs="Arial"/>
                <w:sz w:val="20"/>
                <w:szCs w:val="20"/>
              </w:rPr>
            </w:pPr>
          </w:p>
        </w:tc>
      </w:tr>
      <w:tr w:rsidR="00C35C76" w:rsidRPr="0095427F" w14:paraId="049E5813" w14:textId="77777777" w:rsidTr="00016C5A">
        <w:tc>
          <w:tcPr>
            <w:tcW w:w="6516" w:type="dxa"/>
          </w:tcPr>
          <w:p w14:paraId="7147811E" w14:textId="2F7AD9DB" w:rsidR="00C35C76" w:rsidRPr="0095427F" w:rsidRDefault="00C35C76" w:rsidP="00B7031E">
            <w:pPr>
              <w:spacing w:before="120" w:after="120"/>
              <w:jc w:val="both"/>
              <w:rPr>
                <w:rFonts w:cs="Arial"/>
                <w:sz w:val="20"/>
                <w:szCs w:val="20"/>
              </w:rPr>
            </w:pPr>
            <w:r w:rsidRPr="0095427F">
              <w:rPr>
                <w:rFonts w:cs="Arial"/>
                <w:b/>
                <w:bCs/>
                <w:sz w:val="20"/>
                <w:szCs w:val="20"/>
              </w:rPr>
              <w:t>MINISTER OF HOME AFFAIRS</w:t>
            </w:r>
          </w:p>
        </w:tc>
        <w:tc>
          <w:tcPr>
            <w:tcW w:w="2500" w:type="dxa"/>
          </w:tcPr>
          <w:p w14:paraId="5F31628B" w14:textId="070B50BC" w:rsidR="00C35C76" w:rsidRPr="0095427F" w:rsidRDefault="00C35C76" w:rsidP="003C3AC6">
            <w:pPr>
              <w:autoSpaceDE w:val="0"/>
              <w:autoSpaceDN w:val="0"/>
              <w:adjustRightInd w:val="0"/>
              <w:spacing w:before="120" w:after="120"/>
              <w:rPr>
                <w:rFonts w:cs="Arial"/>
                <w:sz w:val="20"/>
                <w:szCs w:val="20"/>
              </w:rPr>
            </w:pPr>
            <w:r w:rsidRPr="0095427F">
              <w:rPr>
                <w:rFonts w:cs="Arial"/>
                <w:sz w:val="20"/>
                <w:szCs w:val="20"/>
              </w:rPr>
              <w:t>First Respondent</w:t>
            </w:r>
          </w:p>
        </w:tc>
      </w:tr>
      <w:tr w:rsidR="00C35C76" w:rsidRPr="0095427F" w14:paraId="71439FDC" w14:textId="77777777" w:rsidTr="00016C5A">
        <w:tc>
          <w:tcPr>
            <w:tcW w:w="6516" w:type="dxa"/>
          </w:tcPr>
          <w:p w14:paraId="49A581C1" w14:textId="0982D702" w:rsidR="00C35C76" w:rsidRPr="0095427F" w:rsidRDefault="00C35C76" w:rsidP="00B7031E">
            <w:pPr>
              <w:spacing w:before="120" w:after="120"/>
              <w:jc w:val="both"/>
              <w:rPr>
                <w:rFonts w:cs="Arial"/>
                <w:sz w:val="20"/>
                <w:szCs w:val="20"/>
              </w:rPr>
            </w:pPr>
            <w:r w:rsidRPr="0095427F">
              <w:rPr>
                <w:rFonts w:cs="Arial"/>
                <w:b/>
                <w:bCs/>
                <w:sz w:val="20"/>
                <w:szCs w:val="20"/>
              </w:rPr>
              <w:t>THE MASTER OF HIGH COURT JOHANNESBURG</w:t>
            </w:r>
          </w:p>
        </w:tc>
        <w:tc>
          <w:tcPr>
            <w:tcW w:w="2500" w:type="dxa"/>
          </w:tcPr>
          <w:p w14:paraId="6D6FB36F" w14:textId="0524A3C9" w:rsidR="00C35C76" w:rsidRPr="0095427F" w:rsidRDefault="00C35C76" w:rsidP="003C3AC6">
            <w:pPr>
              <w:autoSpaceDE w:val="0"/>
              <w:autoSpaceDN w:val="0"/>
              <w:adjustRightInd w:val="0"/>
              <w:spacing w:before="120" w:after="120"/>
              <w:rPr>
                <w:rFonts w:cs="Arial"/>
                <w:sz w:val="20"/>
                <w:szCs w:val="20"/>
              </w:rPr>
            </w:pPr>
            <w:r w:rsidRPr="0095427F">
              <w:rPr>
                <w:rFonts w:cs="Arial"/>
                <w:sz w:val="20"/>
                <w:szCs w:val="20"/>
              </w:rPr>
              <w:t>Sec</w:t>
            </w:r>
            <w:r w:rsidR="003C3AC6" w:rsidRPr="0095427F">
              <w:rPr>
                <w:rFonts w:cs="Arial"/>
                <w:sz w:val="20"/>
                <w:szCs w:val="20"/>
              </w:rPr>
              <w:t>o</w:t>
            </w:r>
            <w:r w:rsidRPr="0095427F">
              <w:rPr>
                <w:rFonts w:cs="Arial"/>
                <w:sz w:val="20"/>
                <w:szCs w:val="20"/>
              </w:rPr>
              <w:t>nd Respondent</w:t>
            </w:r>
          </w:p>
        </w:tc>
      </w:tr>
      <w:tr w:rsidR="00C35C76" w:rsidRPr="0095427F" w14:paraId="2A514CBC" w14:textId="77777777" w:rsidTr="00016C5A">
        <w:tc>
          <w:tcPr>
            <w:tcW w:w="6516" w:type="dxa"/>
          </w:tcPr>
          <w:p w14:paraId="4A58A28C" w14:textId="1EE9C6A3" w:rsidR="00C35C76" w:rsidRPr="0095427F" w:rsidRDefault="00C35C76" w:rsidP="00B7031E">
            <w:pPr>
              <w:autoSpaceDE w:val="0"/>
              <w:autoSpaceDN w:val="0"/>
              <w:adjustRightInd w:val="0"/>
              <w:spacing w:before="120" w:after="120"/>
              <w:rPr>
                <w:rFonts w:cs="Arial"/>
                <w:b/>
                <w:bCs/>
                <w:sz w:val="20"/>
                <w:szCs w:val="20"/>
              </w:rPr>
            </w:pPr>
            <w:r w:rsidRPr="0095427F">
              <w:rPr>
                <w:rFonts w:cs="Arial"/>
                <w:b/>
                <w:bCs/>
                <w:sz w:val="20"/>
                <w:szCs w:val="20"/>
              </w:rPr>
              <w:t xml:space="preserve">ESTATE LATE: </w:t>
            </w:r>
            <w:r w:rsidR="00B7031E" w:rsidRPr="0095427F">
              <w:rPr>
                <w:rFonts w:cs="Arial"/>
                <w:b/>
                <w:bCs/>
                <w:sz w:val="20"/>
                <w:szCs w:val="20"/>
              </w:rPr>
              <w:t xml:space="preserve">DLAMINI, </w:t>
            </w:r>
            <w:r w:rsidRPr="0095427F">
              <w:rPr>
                <w:rFonts w:cs="Arial"/>
                <w:b/>
                <w:bCs/>
                <w:sz w:val="20"/>
                <w:szCs w:val="20"/>
              </w:rPr>
              <w:t>SHADRACK MFANA (IDENTITY NUMBER: 610103 5207 083)</w:t>
            </w:r>
          </w:p>
        </w:tc>
        <w:tc>
          <w:tcPr>
            <w:tcW w:w="2500" w:type="dxa"/>
          </w:tcPr>
          <w:p w14:paraId="4560B6CA" w14:textId="69AC048C" w:rsidR="00C35C76" w:rsidRPr="0095427F" w:rsidRDefault="00C35C76" w:rsidP="003C3AC6">
            <w:pPr>
              <w:autoSpaceDE w:val="0"/>
              <w:autoSpaceDN w:val="0"/>
              <w:adjustRightInd w:val="0"/>
              <w:spacing w:before="120" w:after="120"/>
              <w:rPr>
                <w:rFonts w:cs="Arial"/>
                <w:sz w:val="20"/>
                <w:szCs w:val="20"/>
              </w:rPr>
            </w:pPr>
            <w:r w:rsidRPr="0095427F">
              <w:rPr>
                <w:rFonts w:cs="Arial"/>
                <w:sz w:val="20"/>
                <w:szCs w:val="20"/>
              </w:rPr>
              <w:t>Third Respondent</w:t>
            </w:r>
          </w:p>
        </w:tc>
      </w:tr>
      <w:tr w:rsidR="00C35C76" w:rsidRPr="0095427F" w14:paraId="6E47CFAF" w14:textId="77777777" w:rsidTr="00016C5A">
        <w:tc>
          <w:tcPr>
            <w:tcW w:w="6516" w:type="dxa"/>
          </w:tcPr>
          <w:p w14:paraId="0BF98A9D" w14:textId="1A459E85" w:rsidR="00C35C76" w:rsidRPr="0095427F" w:rsidRDefault="00B7031E" w:rsidP="00B7031E">
            <w:pPr>
              <w:spacing w:before="120" w:after="120"/>
              <w:jc w:val="both"/>
              <w:rPr>
                <w:rFonts w:cs="Arial"/>
                <w:sz w:val="20"/>
                <w:szCs w:val="20"/>
              </w:rPr>
            </w:pPr>
            <w:r w:rsidRPr="0095427F">
              <w:rPr>
                <w:rFonts w:cs="Arial"/>
                <w:b/>
                <w:bCs/>
                <w:sz w:val="20"/>
                <w:szCs w:val="20"/>
              </w:rPr>
              <w:t xml:space="preserve">DLAMINI, </w:t>
            </w:r>
            <w:r w:rsidR="00C35C76" w:rsidRPr="0095427F">
              <w:rPr>
                <w:rFonts w:cs="Arial"/>
                <w:b/>
                <w:bCs/>
                <w:sz w:val="20"/>
                <w:szCs w:val="20"/>
              </w:rPr>
              <w:t xml:space="preserve">MELUSI RONALD </w:t>
            </w:r>
          </w:p>
        </w:tc>
        <w:tc>
          <w:tcPr>
            <w:tcW w:w="2500" w:type="dxa"/>
          </w:tcPr>
          <w:p w14:paraId="7F4752FE" w14:textId="7C111C1D" w:rsidR="00C35C76" w:rsidRPr="0095427F" w:rsidRDefault="00C35C76" w:rsidP="00B7031E">
            <w:pPr>
              <w:spacing w:before="120" w:after="120"/>
              <w:jc w:val="both"/>
              <w:rPr>
                <w:rFonts w:cs="Arial"/>
                <w:sz w:val="20"/>
                <w:szCs w:val="20"/>
              </w:rPr>
            </w:pPr>
            <w:r w:rsidRPr="0095427F">
              <w:rPr>
                <w:rFonts w:cs="Arial"/>
                <w:sz w:val="20"/>
                <w:szCs w:val="20"/>
              </w:rPr>
              <w:t>Fourth Respondent</w:t>
            </w:r>
          </w:p>
        </w:tc>
      </w:tr>
      <w:tr w:rsidR="00C35C76" w:rsidRPr="0095427F" w14:paraId="7E2DFC8B" w14:textId="77777777" w:rsidTr="00016C5A">
        <w:tc>
          <w:tcPr>
            <w:tcW w:w="6516" w:type="dxa"/>
          </w:tcPr>
          <w:p w14:paraId="53F75EB0" w14:textId="32C5A4CC" w:rsidR="00C35C76" w:rsidRPr="0095427F" w:rsidRDefault="00B7031E" w:rsidP="00B7031E">
            <w:pPr>
              <w:spacing w:before="120" w:after="120"/>
              <w:jc w:val="both"/>
              <w:rPr>
                <w:rFonts w:cs="Arial"/>
                <w:sz w:val="20"/>
                <w:szCs w:val="20"/>
              </w:rPr>
            </w:pPr>
            <w:r w:rsidRPr="0095427F">
              <w:rPr>
                <w:rFonts w:cs="Arial"/>
                <w:b/>
                <w:bCs/>
                <w:sz w:val="20"/>
                <w:szCs w:val="20"/>
              </w:rPr>
              <w:t xml:space="preserve">MAGUBANE, </w:t>
            </w:r>
            <w:r w:rsidR="00C35C76" w:rsidRPr="0095427F">
              <w:rPr>
                <w:rFonts w:cs="Arial"/>
                <w:b/>
                <w:bCs/>
                <w:sz w:val="20"/>
                <w:szCs w:val="20"/>
              </w:rPr>
              <w:t xml:space="preserve">ABRAHAM </w:t>
            </w:r>
          </w:p>
        </w:tc>
        <w:tc>
          <w:tcPr>
            <w:tcW w:w="2500" w:type="dxa"/>
          </w:tcPr>
          <w:p w14:paraId="53F8785A" w14:textId="07376759" w:rsidR="00C35C76" w:rsidRPr="0095427F" w:rsidRDefault="00B7031E" w:rsidP="003C3AC6">
            <w:pPr>
              <w:autoSpaceDE w:val="0"/>
              <w:autoSpaceDN w:val="0"/>
              <w:adjustRightInd w:val="0"/>
              <w:spacing w:before="120" w:after="120"/>
              <w:rPr>
                <w:rFonts w:cs="Arial"/>
                <w:sz w:val="20"/>
                <w:szCs w:val="20"/>
              </w:rPr>
            </w:pPr>
            <w:r w:rsidRPr="0095427F">
              <w:rPr>
                <w:rFonts w:cs="Arial"/>
                <w:sz w:val="20"/>
                <w:szCs w:val="20"/>
              </w:rPr>
              <w:t>Fifth Respondent</w:t>
            </w:r>
          </w:p>
        </w:tc>
      </w:tr>
      <w:tr w:rsidR="00C35C76" w:rsidRPr="0095427F" w14:paraId="1F1A6211" w14:textId="77777777" w:rsidTr="00016C5A">
        <w:tc>
          <w:tcPr>
            <w:tcW w:w="6516" w:type="dxa"/>
          </w:tcPr>
          <w:p w14:paraId="453E5742" w14:textId="0B806D03" w:rsidR="00C35C76" w:rsidRPr="0095427F" w:rsidRDefault="00B7031E" w:rsidP="00B7031E">
            <w:pPr>
              <w:spacing w:before="120" w:after="120"/>
              <w:jc w:val="both"/>
              <w:rPr>
                <w:rFonts w:cs="Arial"/>
                <w:sz w:val="20"/>
                <w:szCs w:val="20"/>
              </w:rPr>
            </w:pPr>
            <w:r w:rsidRPr="0095427F">
              <w:rPr>
                <w:rFonts w:cs="Arial"/>
                <w:b/>
                <w:bCs/>
                <w:sz w:val="20"/>
                <w:szCs w:val="20"/>
              </w:rPr>
              <w:t xml:space="preserve">PHIKE, ELIZABETH </w:t>
            </w:r>
          </w:p>
        </w:tc>
        <w:tc>
          <w:tcPr>
            <w:tcW w:w="2500" w:type="dxa"/>
          </w:tcPr>
          <w:p w14:paraId="03A65513" w14:textId="738477CD" w:rsidR="00C35C76" w:rsidRPr="0095427F" w:rsidRDefault="00B7031E" w:rsidP="003C3AC6">
            <w:pPr>
              <w:autoSpaceDE w:val="0"/>
              <w:autoSpaceDN w:val="0"/>
              <w:adjustRightInd w:val="0"/>
              <w:spacing w:before="120" w:after="120"/>
              <w:rPr>
                <w:rFonts w:cs="Arial"/>
                <w:sz w:val="20"/>
                <w:szCs w:val="20"/>
              </w:rPr>
            </w:pPr>
            <w:r w:rsidRPr="0095427F">
              <w:rPr>
                <w:rFonts w:cs="Arial"/>
                <w:sz w:val="20"/>
                <w:szCs w:val="20"/>
              </w:rPr>
              <w:t>Sixth Respondent</w:t>
            </w:r>
          </w:p>
        </w:tc>
      </w:tr>
      <w:tr w:rsidR="00B7031E" w:rsidRPr="0095427F" w14:paraId="1B0EFA38" w14:textId="77777777" w:rsidTr="00016C5A">
        <w:tc>
          <w:tcPr>
            <w:tcW w:w="6516" w:type="dxa"/>
          </w:tcPr>
          <w:p w14:paraId="7FF88172" w14:textId="294C4F89" w:rsidR="00B7031E" w:rsidRPr="0095427F" w:rsidRDefault="00B7031E" w:rsidP="00B7031E">
            <w:pPr>
              <w:spacing w:before="120" w:after="120"/>
              <w:jc w:val="both"/>
              <w:rPr>
                <w:rFonts w:cs="Arial"/>
                <w:b/>
                <w:bCs/>
                <w:sz w:val="20"/>
                <w:szCs w:val="20"/>
              </w:rPr>
            </w:pPr>
            <w:r w:rsidRPr="0095427F">
              <w:rPr>
                <w:rFonts w:cs="Arial"/>
                <w:b/>
                <w:bCs/>
                <w:sz w:val="20"/>
                <w:szCs w:val="20"/>
              </w:rPr>
              <w:t xml:space="preserve">PHIKE, NTHOMBIKAYISE ANGELINE </w:t>
            </w:r>
          </w:p>
        </w:tc>
        <w:tc>
          <w:tcPr>
            <w:tcW w:w="2500" w:type="dxa"/>
          </w:tcPr>
          <w:p w14:paraId="7B8AE8B9" w14:textId="3BF4F5B3" w:rsidR="00B7031E" w:rsidRPr="0095427F" w:rsidRDefault="00B7031E" w:rsidP="00B7031E">
            <w:pPr>
              <w:autoSpaceDE w:val="0"/>
              <w:autoSpaceDN w:val="0"/>
              <w:adjustRightInd w:val="0"/>
              <w:spacing w:before="120" w:after="120"/>
              <w:rPr>
                <w:rFonts w:cs="Arial"/>
                <w:sz w:val="20"/>
                <w:szCs w:val="20"/>
              </w:rPr>
            </w:pPr>
            <w:r w:rsidRPr="0095427F">
              <w:rPr>
                <w:rFonts w:cs="Arial"/>
                <w:sz w:val="20"/>
                <w:szCs w:val="20"/>
              </w:rPr>
              <w:t>Seventh Respondent</w:t>
            </w:r>
          </w:p>
        </w:tc>
      </w:tr>
      <w:tr w:rsidR="00B7031E" w:rsidRPr="0095427F" w14:paraId="60991E1D" w14:textId="77777777" w:rsidTr="00016C5A">
        <w:tc>
          <w:tcPr>
            <w:tcW w:w="6516" w:type="dxa"/>
          </w:tcPr>
          <w:p w14:paraId="6D251EE4" w14:textId="77777777" w:rsidR="00B7031E" w:rsidRPr="0095427F" w:rsidRDefault="00B7031E" w:rsidP="00B7031E">
            <w:pPr>
              <w:autoSpaceDE w:val="0"/>
              <w:autoSpaceDN w:val="0"/>
              <w:adjustRightInd w:val="0"/>
              <w:spacing w:before="120" w:after="120"/>
              <w:rPr>
                <w:rFonts w:cs="Arial"/>
                <w:b/>
                <w:bCs/>
                <w:sz w:val="20"/>
                <w:szCs w:val="20"/>
              </w:rPr>
            </w:pPr>
            <w:r w:rsidRPr="0095427F">
              <w:rPr>
                <w:rFonts w:cs="Arial"/>
                <w:b/>
                <w:bCs/>
                <w:sz w:val="20"/>
                <w:szCs w:val="20"/>
              </w:rPr>
              <w:t>ANY OTHER INTERESTED MEMBER(S)</w:t>
            </w:r>
          </w:p>
          <w:p w14:paraId="061A9B9B" w14:textId="3F82A22E" w:rsidR="00B7031E" w:rsidRPr="0095427F" w:rsidRDefault="00B7031E" w:rsidP="003C3AC6">
            <w:pPr>
              <w:spacing w:before="120" w:after="120"/>
              <w:rPr>
                <w:rFonts w:cs="Arial"/>
                <w:b/>
                <w:bCs/>
                <w:sz w:val="20"/>
                <w:szCs w:val="20"/>
              </w:rPr>
            </w:pPr>
            <w:r w:rsidRPr="0095427F">
              <w:rPr>
                <w:rFonts w:cs="Arial"/>
                <w:b/>
                <w:bCs/>
                <w:sz w:val="20"/>
                <w:szCs w:val="20"/>
              </w:rPr>
              <w:t xml:space="preserve">OF THE DECEASED’S FAMILY </w:t>
            </w:r>
          </w:p>
        </w:tc>
        <w:tc>
          <w:tcPr>
            <w:tcW w:w="2500" w:type="dxa"/>
          </w:tcPr>
          <w:p w14:paraId="45D03BF6" w14:textId="0B762F3C" w:rsidR="00B7031E" w:rsidRPr="0095427F" w:rsidRDefault="00B7031E" w:rsidP="00B7031E">
            <w:pPr>
              <w:autoSpaceDE w:val="0"/>
              <w:autoSpaceDN w:val="0"/>
              <w:adjustRightInd w:val="0"/>
              <w:spacing w:before="120" w:after="120"/>
              <w:rPr>
                <w:rFonts w:cs="Arial"/>
                <w:sz w:val="20"/>
                <w:szCs w:val="20"/>
              </w:rPr>
            </w:pPr>
            <w:r w:rsidRPr="0095427F">
              <w:rPr>
                <w:rFonts w:cs="Arial"/>
                <w:sz w:val="20"/>
                <w:szCs w:val="20"/>
              </w:rPr>
              <w:t>Eight Respondent</w:t>
            </w:r>
          </w:p>
        </w:tc>
      </w:tr>
    </w:tbl>
    <w:p w14:paraId="387BBDD6" w14:textId="77777777" w:rsidR="00BF086D" w:rsidRPr="0095427F" w:rsidRDefault="00BF086D" w:rsidP="006C43D7">
      <w:pPr>
        <w:pBdr>
          <w:bottom w:val="single" w:sz="4" w:space="1" w:color="auto"/>
        </w:pBdr>
        <w:spacing w:line="360" w:lineRule="auto"/>
        <w:jc w:val="both"/>
        <w:rPr>
          <w:rFonts w:cs="Arial"/>
          <w:sz w:val="20"/>
          <w:szCs w:val="20"/>
        </w:rPr>
      </w:pPr>
    </w:p>
    <w:p w14:paraId="58DE5549" w14:textId="77777777" w:rsidR="006C43D7" w:rsidRPr="0095427F" w:rsidRDefault="006C43D7" w:rsidP="006C43D7">
      <w:pPr>
        <w:spacing w:line="276" w:lineRule="auto"/>
        <w:jc w:val="both"/>
        <w:rPr>
          <w:rFonts w:cs="Arial"/>
          <w:sz w:val="20"/>
          <w:szCs w:val="20"/>
        </w:rPr>
      </w:pPr>
    </w:p>
    <w:p w14:paraId="647AB70C" w14:textId="77777777" w:rsidR="006C43D7" w:rsidRPr="0095427F" w:rsidRDefault="006C43D7" w:rsidP="006C43D7">
      <w:pPr>
        <w:keepNext/>
        <w:spacing w:line="276" w:lineRule="auto"/>
        <w:jc w:val="center"/>
        <w:outlineLvl w:val="1"/>
        <w:rPr>
          <w:rFonts w:cs="Arial"/>
          <w:b/>
          <w:bCs/>
          <w:sz w:val="20"/>
          <w:szCs w:val="20"/>
        </w:rPr>
      </w:pPr>
      <w:r w:rsidRPr="0095427F">
        <w:rPr>
          <w:rFonts w:cs="Arial"/>
          <w:b/>
          <w:bCs/>
          <w:sz w:val="20"/>
          <w:szCs w:val="20"/>
        </w:rPr>
        <w:t>JUDGMENT</w:t>
      </w:r>
    </w:p>
    <w:p w14:paraId="52CD25EB" w14:textId="77777777" w:rsidR="006C43D7" w:rsidRPr="0095427F" w:rsidRDefault="006C43D7" w:rsidP="006C43D7">
      <w:pPr>
        <w:pBdr>
          <w:bottom w:val="single" w:sz="4" w:space="1" w:color="auto"/>
        </w:pBdr>
        <w:jc w:val="both"/>
        <w:rPr>
          <w:rFonts w:cs="Arial"/>
          <w:sz w:val="20"/>
          <w:szCs w:val="20"/>
        </w:rPr>
      </w:pPr>
    </w:p>
    <w:p w14:paraId="23348B0E" w14:textId="77777777" w:rsidR="006C43D7" w:rsidRPr="002B7824" w:rsidRDefault="006C43D7" w:rsidP="006C43D7">
      <w:pPr>
        <w:spacing w:after="480" w:line="480" w:lineRule="auto"/>
        <w:jc w:val="both"/>
        <w:rPr>
          <w:rFonts w:cs="Arial"/>
          <w:szCs w:val="22"/>
        </w:rPr>
      </w:pPr>
    </w:p>
    <w:p w14:paraId="5BD82EFE" w14:textId="0F8FBF70" w:rsidR="00BE6AB8" w:rsidRPr="002B7824" w:rsidRDefault="00C676F3" w:rsidP="00250A46">
      <w:pPr>
        <w:widowControl w:val="0"/>
        <w:spacing w:after="480" w:line="480" w:lineRule="auto"/>
        <w:jc w:val="both"/>
        <w:rPr>
          <w:rFonts w:cs="Arial"/>
          <w:b/>
          <w:szCs w:val="22"/>
        </w:rPr>
      </w:pPr>
      <w:r w:rsidRPr="002B7824">
        <w:rPr>
          <w:rFonts w:cs="Arial"/>
          <w:b/>
          <w:szCs w:val="22"/>
        </w:rPr>
        <w:t>MOORCROFT</w:t>
      </w:r>
      <w:r w:rsidR="006C43D7" w:rsidRPr="002B7824">
        <w:rPr>
          <w:rFonts w:cs="Arial"/>
          <w:b/>
          <w:szCs w:val="22"/>
        </w:rPr>
        <w:t xml:space="preserve"> AJ:</w:t>
      </w:r>
    </w:p>
    <w:p w14:paraId="10D6BD31" w14:textId="76FC1BF5" w:rsidR="00131957" w:rsidRPr="002B7824" w:rsidRDefault="00131957" w:rsidP="00250A46">
      <w:pPr>
        <w:widowControl w:val="0"/>
        <w:spacing w:after="480" w:line="480" w:lineRule="auto"/>
        <w:jc w:val="both"/>
        <w:rPr>
          <w:rFonts w:cs="Arial"/>
          <w:bCs/>
          <w:i/>
          <w:iCs/>
          <w:szCs w:val="22"/>
          <w:u w:val="single"/>
        </w:rPr>
      </w:pPr>
      <w:r w:rsidRPr="002B7824">
        <w:rPr>
          <w:rFonts w:cs="Arial"/>
          <w:bCs/>
          <w:i/>
          <w:iCs/>
          <w:szCs w:val="22"/>
          <w:u w:val="single"/>
        </w:rPr>
        <w:t>Summary</w:t>
      </w:r>
    </w:p>
    <w:p w14:paraId="395732F7" w14:textId="1BA77C39" w:rsidR="000D10C0" w:rsidRDefault="00752759" w:rsidP="00250A46">
      <w:pPr>
        <w:widowControl w:val="0"/>
        <w:spacing w:after="480" w:line="480" w:lineRule="auto"/>
        <w:jc w:val="both"/>
        <w:rPr>
          <w:rFonts w:cs="Arial"/>
          <w:bCs/>
          <w:i/>
          <w:iCs/>
          <w:szCs w:val="22"/>
        </w:rPr>
      </w:pPr>
      <w:r w:rsidRPr="003D5739">
        <w:rPr>
          <w:rFonts w:cs="Arial"/>
          <w:bCs/>
          <w:i/>
          <w:iCs/>
          <w:szCs w:val="22"/>
        </w:rPr>
        <w:t>L</w:t>
      </w:r>
      <w:r w:rsidR="00016C5A" w:rsidRPr="003D5739">
        <w:rPr>
          <w:rFonts w:cs="Arial"/>
          <w:bCs/>
          <w:i/>
          <w:iCs/>
          <w:szCs w:val="22"/>
        </w:rPr>
        <w:t>ate registration of a customary marriage</w:t>
      </w:r>
      <w:r w:rsidRPr="003D5739">
        <w:rPr>
          <w:rFonts w:cs="Arial"/>
          <w:bCs/>
          <w:i/>
          <w:iCs/>
          <w:szCs w:val="22"/>
        </w:rPr>
        <w:t xml:space="preserve"> – Foreseeable d</w:t>
      </w:r>
      <w:r w:rsidR="005B53B0" w:rsidRPr="003D5739">
        <w:rPr>
          <w:rFonts w:cs="Arial"/>
          <w:bCs/>
          <w:i/>
          <w:iCs/>
          <w:szCs w:val="22"/>
        </w:rPr>
        <w:t>isputes of facts incapable of resolution on the papers</w:t>
      </w:r>
      <w:r w:rsidRPr="003D5739">
        <w:rPr>
          <w:rFonts w:cs="Arial"/>
          <w:bCs/>
          <w:i/>
          <w:iCs/>
          <w:szCs w:val="22"/>
        </w:rPr>
        <w:t xml:space="preserve"> – application dismissed for this reason</w:t>
      </w:r>
    </w:p>
    <w:p w14:paraId="0355593F" w14:textId="351EFF6C" w:rsidR="003D5739" w:rsidRPr="003D5739" w:rsidRDefault="003D5739" w:rsidP="00250A46">
      <w:pPr>
        <w:widowControl w:val="0"/>
        <w:spacing w:after="480" w:line="480" w:lineRule="auto"/>
        <w:jc w:val="both"/>
        <w:rPr>
          <w:rFonts w:cs="Arial"/>
          <w:bCs/>
          <w:i/>
          <w:iCs/>
          <w:szCs w:val="22"/>
        </w:rPr>
      </w:pPr>
      <w:r>
        <w:rPr>
          <w:rFonts w:cs="Arial"/>
          <w:bCs/>
          <w:i/>
          <w:iCs/>
          <w:szCs w:val="22"/>
        </w:rPr>
        <w:t>Rule 6(5)(g) of Uniform Rules – dismissal – does not finally dispose of dispute</w:t>
      </w:r>
    </w:p>
    <w:p w14:paraId="43E2A5F2" w14:textId="19478A63" w:rsidR="00752759" w:rsidRPr="003D5739" w:rsidRDefault="00752759" w:rsidP="00752759">
      <w:pPr>
        <w:widowControl w:val="0"/>
        <w:spacing w:after="480" w:line="480" w:lineRule="auto"/>
        <w:jc w:val="both"/>
        <w:rPr>
          <w:rFonts w:cs="Arial"/>
          <w:bCs/>
          <w:i/>
          <w:iCs/>
          <w:szCs w:val="22"/>
        </w:rPr>
      </w:pPr>
      <w:r w:rsidRPr="003D5739">
        <w:rPr>
          <w:rFonts w:cs="Arial"/>
          <w:bCs/>
          <w:i/>
          <w:iCs/>
          <w:szCs w:val="22"/>
        </w:rPr>
        <w:t>Application for leave to appeal –</w:t>
      </w:r>
      <w:r w:rsidR="00083242" w:rsidRPr="003D5739">
        <w:rPr>
          <w:rFonts w:cs="Arial"/>
          <w:bCs/>
          <w:i/>
          <w:iCs/>
          <w:szCs w:val="22"/>
        </w:rPr>
        <w:t xml:space="preserve"> </w:t>
      </w:r>
      <w:r w:rsidR="003D5739" w:rsidRPr="003D5739">
        <w:rPr>
          <w:rFonts w:eastAsia="Calibri" w:cs="Arial"/>
          <w:i/>
          <w:iCs/>
          <w:szCs w:val="22"/>
        </w:rPr>
        <w:t>Section 17(1)(a)(i) and (ii) of the Superior Courts Act, 10 of 2013 – No reasonable prospects of success</w:t>
      </w:r>
    </w:p>
    <w:p w14:paraId="32DA3C2C" w14:textId="248FBD20" w:rsidR="003A6F23" w:rsidRPr="002B7824" w:rsidRDefault="003A6F23" w:rsidP="00250A46">
      <w:pPr>
        <w:widowControl w:val="0"/>
        <w:spacing w:after="480" w:line="480" w:lineRule="auto"/>
        <w:jc w:val="both"/>
        <w:rPr>
          <w:rFonts w:cs="Arial"/>
          <w:bCs/>
          <w:szCs w:val="22"/>
          <w:u w:val="single"/>
        </w:rPr>
      </w:pPr>
      <w:r w:rsidRPr="002B7824">
        <w:rPr>
          <w:rFonts w:cs="Arial"/>
          <w:bCs/>
          <w:szCs w:val="22"/>
          <w:u w:val="single"/>
        </w:rPr>
        <w:t>Order</w:t>
      </w:r>
    </w:p>
    <w:p w14:paraId="794327A4" w14:textId="6D90F528" w:rsidR="003A6F23" w:rsidRPr="002B7824" w:rsidRDefault="006145CE" w:rsidP="00250A46">
      <w:pPr>
        <w:widowControl w:val="0"/>
        <w:numPr>
          <w:ilvl w:val="0"/>
          <w:numId w:val="1"/>
        </w:numPr>
        <w:spacing w:after="480" w:line="480" w:lineRule="auto"/>
        <w:jc w:val="both"/>
        <w:rPr>
          <w:rFonts w:cs="Arial"/>
          <w:bCs/>
          <w:szCs w:val="22"/>
        </w:rPr>
      </w:pPr>
      <w:r w:rsidRPr="002B7824">
        <w:rPr>
          <w:rFonts w:cs="Arial"/>
          <w:bCs/>
          <w:szCs w:val="22"/>
        </w:rPr>
        <w:t xml:space="preserve">In this </w:t>
      </w:r>
      <w:r w:rsidR="00752759" w:rsidRPr="002B7824">
        <w:rPr>
          <w:rFonts w:cs="Arial"/>
          <w:bCs/>
          <w:szCs w:val="22"/>
        </w:rPr>
        <w:t>application for leave to appeal</w:t>
      </w:r>
      <w:r w:rsidRPr="002B7824">
        <w:rPr>
          <w:rFonts w:cs="Arial"/>
          <w:bCs/>
          <w:szCs w:val="22"/>
        </w:rPr>
        <w:t xml:space="preserve"> </w:t>
      </w:r>
      <w:r w:rsidR="00B87B26" w:rsidRPr="002B7824">
        <w:rPr>
          <w:rFonts w:cs="Arial"/>
          <w:bCs/>
          <w:szCs w:val="22"/>
        </w:rPr>
        <w:t>I ma</w:t>
      </w:r>
      <w:r w:rsidR="00FA2987" w:rsidRPr="002B7824">
        <w:rPr>
          <w:rFonts w:cs="Arial"/>
          <w:bCs/>
          <w:szCs w:val="22"/>
        </w:rPr>
        <w:t>k</w:t>
      </w:r>
      <w:r w:rsidR="00B87B26" w:rsidRPr="002B7824">
        <w:rPr>
          <w:rFonts w:cs="Arial"/>
          <w:bCs/>
          <w:szCs w:val="22"/>
        </w:rPr>
        <w:t>e the following order</w:t>
      </w:r>
      <w:r w:rsidR="005A27EF" w:rsidRPr="002B7824">
        <w:rPr>
          <w:rFonts w:cs="Arial"/>
          <w:bCs/>
          <w:szCs w:val="22"/>
        </w:rPr>
        <w:t>:</w:t>
      </w:r>
    </w:p>
    <w:p w14:paraId="35C69441" w14:textId="27B896AF" w:rsidR="00976BB2" w:rsidRPr="002B7824" w:rsidRDefault="00F1782F" w:rsidP="00250A46">
      <w:pPr>
        <w:pStyle w:val="ListParagraph"/>
        <w:numPr>
          <w:ilvl w:val="0"/>
          <w:numId w:val="10"/>
        </w:numPr>
        <w:spacing w:before="120" w:after="120"/>
        <w:ind w:left="1440" w:hanging="1080"/>
        <w:contextualSpacing w:val="0"/>
        <w:jc w:val="both"/>
        <w:rPr>
          <w:rFonts w:cs="Arial"/>
          <w:i/>
          <w:iCs/>
          <w:szCs w:val="22"/>
        </w:rPr>
      </w:pPr>
      <w:r w:rsidRPr="002B7824">
        <w:rPr>
          <w:rFonts w:cs="Arial"/>
          <w:i/>
          <w:iCs/>
          <w:szCs w:val="22"/>
        </w:rPr>
        <w:t xml:space="preserve">The </w:t>
      </w:r>
      <w:r w:rsidR="002B7824">
        <w:rPr>
          <w:rFonts w:cs="Arial"/>
          <w:i/>
          <w:iCs/>
          <w:szCs w:val="22"/>
        </w:rPr>
        <w:t>application for leave to appeal is dismissed;</w:t>
      </w:r>
    </w:p>
    <w:p w14:paraId="7F01B09E" w14:textId="7A9ABBC6" w:rsidR="00976BB2" w:rsidRPr="002B7824" w:rsidRDefault="00976BB2" w:rsidP="00976BB2">
      <w:pPr>
        <w:pStyle w:val="ListParagraph"/>
        <w:numPr>
          <w:ilvl w:val="0"/>
          <w:numId w:val="10"/>
        </w:numPr>
        <w:spacing w:before="120" w:after="120"/>
        <w:ind w:left="1440" w:hanging="1080"/>
        <w:contextualSpacing w:val="0"/>
        <w:jc w:val="both"/>
        <w:rPr>
          <w:rFonts w:cs="Arial"/>
          <w:i/>
          <w:iCs/>
          <w:szCs w:val="22"/>
        </w:rPr>
      </w:pPr>
      <w:r w:rsidRPr="002B7824">
        <w:rPr>
          <w:rFonts w:cs="Arial"/>
          <w:i/>
          <w:iCs/>
          <w:szCs w:val="22"/>
        </w:rPr>
        <w:t>The applicant is ordered to pay the costs of the application.</w:t>
      </w:r>
    </w:p>
    <w:p w14:paraId="19E04392" w14:textId="7C3D6006" w:rsidR="00A72651" w:rsidRPr="002B7824" w:rsidRDefault="003A6F23" w:rsidP="00250A46">
      <w:pPr>
        <w:widowControl w:val="0"/>
        <w:numPr>
          <w:ilvl w:val="0"/>
          <w:numId w:val="1"/>
        </w:numPr>
        <w:spacing w:before="480" w:after="480" w:line="480" w:lineRule="auto"/>
        <w:jc w:val="both"/>
        <w:rPr>
          <w:rFonts w:cs="Arial"/>
          <w:bCs/>
          <w:szCs w:val="22"/>
        </w:rPr>
      </w:pPr>
      <w:r w:rsidRPr="002B7824">
        <w:rPr>
          <w:rFonts w:cs="Arial"/>
          <w:bCs/>
          <w:szCs w:val="22"/>
        </w:rPr>
        <w:t xml:space="preserve">The reasons for the order </w:t>
      </w:r>
      <w:r w:rsidR="006145CE" w:rsidRPr="002B7824">
        <w:rPr>
          <w:rFonts w:cs="Arial"/>
          <w:bCs/>
          <w:szCs w:val="22"/>
        </w:rPr>
        <w:t>follow</w:t>
      </w:r>
      <w:r w:rsidRPr="002B7824">
        <w:rPr>
          <w:rFonts w:cs="Arial"/>
          <w:bCs/>
          <w:szCs w:val="22"/>
        </w:rPr>
        <w:t xml:space="preserve"> below.</w:t>
      </w:r>
    </w:p>
    <w:p w14:paraId="4C8D7BAB" w14:textId="77777777" w:rsidR="003A6F23" w:rsidRPr="002B7824" w:rsidRDefault="003A6F23" w:rsidP="00250A46">
      <w:pPr>
        <w:widowControl w:val="0"/>
        <w:spacing w:before="480" w:after="480" w:line="480" w:lineRule="auto"/>
        <w:jc w:val="both"/>
        <w:rPr>
          <w:rFonts w:cs="Arial"/>
          <w:bCs/>
          <w:szCs w:val="22"/>
          <w:u w:val="single"/>
        </w:rPr>
      </w:pPr>
      <w:r w:rsidRPr="002B7824">
        <w:rPr>
          <w:rFonts w:cs="Arial"/>
          <w:bCs/>
          <w:szCs w:val="22"/>
          <w:u w:val="single"/>
        </w:rPr>
        <w:t>Introduction</w:t>
      </w:r>
    </w:p>
    <w:p w14:paraId="2982B922" w14:textId="6A387AD7" w:rsidR="0099709D" w:rsidRPr="002B7824" w:rsidRDefault="003C3AC6" w:rsidP="00250A46">
      <w:pPr>
        <w:widowControl w:val="0"/>
        <w:numPr>
          <w:ilvl w:val="0"/>
          <w:numId w:val="1"/>
        </w:numPr>
        <w:spacing w:before="480" w:after="480" w:line="480" w:lineRule="auto"/>
        <w:jc w:val="both"/>
        <w:rPr>
          <w:rFonts w:cs="Arial"/>
          <w:bCs/>
          <w:szCs w:val="22"/>
        </w:rPr>
      </w:pPr>
      <w:r w:rsidRPr="002B7824">
        <w:rPr>
          <w:rFonts w:cs="Arial"/>
          <w:bCs/>
          <w:szCs w:val="22"/>
        </w:rPr>
        <w:t xml:space="preserve">The applicant </w:t>
      </w:r>
      <w:r w:rsidR="006E32B4" w:rsidRPr="002B7824">
        <w:rPr>
          <w:rFonts w:cs="Arial"/>
          <w:bCs/>
          <w:szCs w:val="22"/>
        </w:rPr>
        <w:t>sought</w:t>
      </w:r>
      <w:r w:rsidRPr="002B7824">
        <w:rPr>
          <w:rFonts w:cs="Arial"/>
          <w:bCs/>
          <w:szCs w:val="22"/>
        </w:rPr>
        <w:t xml:space="preserve"> an order condoning the late registration of the customary marriage </w:t>
      </w:r>
      <w:r w:rsidRPr="002B7824">
        <w:rPr>
          <w:rFonts w:cs="Arial"/>
          <w:bCs/>
          <w:szCs w:val="22"/>
        </w:rPr>
        <w:lastRenderedPageBreak/>
        <w:t xml:space="preserve">between herself and the deceased Mr. Dlamini who passed away </w:t>
      </w:r>
      <w:r w:rsidR="00785746" w:rsidRPr="002B7824">
        <w:rPr>
          <w:rFonts w:cs="Arial"/>
          <w:bCs/>
          <w:szCs w:val="22"/>
        </w:rPr>
        <w:t>in July 2021</w:t>
      </w:r>
      <w:r w:rsidRPr="002B7824">
        <w:rPr>
          <w:rFonts w:cs="Arial"/>
          <w:bCs/>
          <w:szCs w:val="22"/>
        </w:rPr>
        <w:t xml:space="preserve">, and that the Minister of Home Affairs </w:t>
      </w:r>
      <w:r w:rsidR="00F1782F" w:rsidRPr="002B7824">
        <w:rPr>
          <w:rFonts w:cs="Arial"/>
          <w:bCs/>
          <w:szCs w:val="22"/>
        </w:rPr>
        <w:t xml:space="preserve">(the first respondent) </w:t>
      </w:r>
      <w:r w:rsidRPr="002B7824">
        <w:rPr>
          <w:rFonts w:cs="Arial"/>
          <w:bCs/>
          <w:szCs w:val="22"/>
        </w:rPr>
        <w:t xml:space="preserve">be ordered to register the customary marriage concluded on </w:t>
      </w:r>
      <w:r w:rsidR="00785746" w:rsidRPr="002B7824">
        <w:rPr>
          <w:rFonts w:cs="Arial"/>
          <w:bCs/>
          <w:szCs w:val="22"/>
        </w:rPr>
        <w:t>2 May 2021</w:t>
      </w:r>
      <w:r w:rsidRPr="002B7824">
        <w:rPr>
          <w:rFonts w:cs="Arial"/>
          <w:bCs/>
          <w:szCs w:val="22"/>
        </w:rPr>
        <w:t xml:space="preserve">, issue a customary marriage certificate, and </w:t>
      </w:r>
      <w:r w:rsidR="00867E6F" w:rsidRPr="002B7824">
        <w:rPr>
          <w:rFonts w:cs="Arial"/>
          <w:bCs/>
          <w:szCs w:val="22"/>
        </w:rPr>
        <w:t>to reflect the deceased</w:t>
      </w:r>
      <w:r w:rsidR="00DB37CF">
        <w:rPr>
          <w:rFonts w:cs="Arial"/>
          <w:bCs/>
          <w:szCs w:val="22"/>
        </w:rPr>
        <w:t>’s</w:t>
      </w:r>
      <w:r w:rsidR="00867E6F" w:rsidRPr="002B7824">
        <w:rPr>
          <w:rFonts w:cs="Arial"/>
          <w:bCs/>
          <w:szCs w:val="22"/>
        </w:rPr>
        <w:t xml:space="preserve"> marital status as ‘married’ on his death certificate.</w:t>
      </w:r>
    </w:p>
    <w:p w14:paraId="3C08111C" w14:textId="0A961026" w:rsidR="0099709D" w:rsidRPr="002B7824" w:rsidRDefault="00C91188" w:rsidP="00250A46">
      <w:pPr>
        <w:widowControl w:val="0"/>
        <w:numPr>
          <w:ilvl w:val="0"/>
          <w:numId w:val="1"/>
        </w:numPr>
        <w:spacing w:before="480" w:after="480" w:line="480" w:lineRule="auto"/>
        <w:jc w:val="both"/>
        <w:rPr>
          <w:rFonts w:cs="Arial"/>
          <w:bCs/>
          <w:szCs w:val="22"/>
        </w:rPr>
      </w:pPr>
      <w:r w:rsidRPr="002B7824">
        <w:rPr>
          <w:rFonts w:cs="Arial"/>
          <w:bCs/>
          <w:szCs w:val="22"/>
        </w:rPr>
        <w:t xml:space="preserve">The application </w:t>
      </w:r>
      <w:r w:rsidR="006E32B4" w:rsidRPr="002B7824">
        <w:rPr>
          <w:rFonts w:cs="Arial"/>
          <w:bCs/>
          <w:szCs w:val="22"/>
        </w:rPr>
        <w:t>wa</w:t>
      </w:r>
      <w:r w:rsidRPr="002B7824">
        <w:rPr>
          <w:rFonts w:cs="Arial"/>
          <w:bCs/>
          <w:szCs w:val="22"/>
        </w:rPr>
        <w:t>s opposed by the sixth respondent, the daughter of the deceased.</w:t>
      </w:r>
      <w:r w:rsidR="006E32B4" w:rsidRPr="002B7824">
        <w:rPr>
          <w:rFonts w:cs="Arial"/>
          <w:bCs/>
          <w:szCs w:val="22"/>
        </w:rPr>
        <w:t xml:space="preserve"> After hearing argument I dismissed the application</w:t>
      </w:r>
      <w:r w:rsidR="006E32B4" w:rsidRPr="002B7824">
        <w:rPr>
          <w:rStyle w:val="FootnoteReference"/>
          <w:rFonts w:cs="Arial"/>
          <w:bCs/>
          <w:i/>
          <w:iCs/>
          <w:szCs w:val="22"/>
        </w:rPr>
        <w:footnoteReference w:id="1"/>
      </w:r>
      <w:r w:rsidR="006E32B4" w:rsidRPr="002B7824">
        <w:rPr>
          <w:rFonts w:cs="Arial"/>
          <w:bCs/>
          <w:szCs w:val="22"/>
        </w:rPr>
        <w:t xml:space="preserve"> with costs on 23 May 2022. The applicant brought an application for leave to appeal </w:t>
      </w:r>
      <w:r w:rsidR="006C3A24" w:rsidRPr="002B7824">
        <w:rPr>
          <w:rFonts w:cs="Arial"/>
          <w:bCs/>
          <w:szCs w:val="22"/>
        </w:rPr>
        <w:t>that was set down for argument on 8 July 2022.</w:t>
      </w:r>
    </w:p>
    <w:p w14:paraId="3EABF13F" w14:textId="77777777" w:rsidR="00A048C6" w:rsidRDefault="006C3A24" w:rsidP="00250A46">
      <w:pPr>
        <w:widowControl w:val="0"/>
        <w:numPr>
          <w:ilvl w:val="0"/>
          <w:numId w:val="1"/>
        </w:numPr>
        <w:spacing w:before="480" w:after="480" w:line="480" w:lineRule="auto"/>
        <w:jc w:val="both"/>
        <w:rPr>
          <w:rFonts w:cs="Arial"/>
          <w:bCs/>
          <w:szCs w:val="22"/>
        </w:rPr>
      </w:pPr>
      <w:r w:rsidRPr="002B7824">
        <w:rPr>
          <w:rFonts w:cs="Arial"/>
          <w:bCs/>
          <w:szCs w:val="22"/>
        </w:rPr>
        <w:t xml:space="preserve">During argument I raised the question whether the dispute was </w:t>
      </w:r>
      <w:r w:rsidRPr="002B7824">
        <w:rPr>
          <w:rFonts w:cs="Arial"/>
          <w:bCs/>
          <w:i/>
          <w:iCs/>
          <w:szCs w:val="22"/>
        </w:rPr>
        <w:t>res iudicata</w:t>
      </w:r>
      <w:r w:rsidRPr="002B7824">
        <w:rPr>
          <w:rFonts w:cs="Arial"/>
          <w:bCs/>
          <w:szCs w:val="22"/>
        </w:rPr>
        <w:t xml:space="preserve"> between the parties. After hearing submissions I invited both counsel to file further heads of argument dealing with </w:t>
      </w:r>
      <w:r w:rsidR="00AF0FA7" w:rsidRPr="002B7824">
        <w:rPr>
          <w:rFonts w:cs="Arial"/>
          <w:bCs/>
          <w:szCs w:val="22"/>
        </w:rPr>
        <w:t xml:space="preserve">the </w:t>
      </w:r>
      <w:r w:rsidR="00AF0FA7" w:rsidRPr="002B7824">
        <w:rPr>
          <w:rFonts w:cs="Arial"/>
          <w:bCs/>
          <w:i/>
          <w:iCs/>
          <w:szCs w:val="22"/>
        </w:rPr>
        <w:t>res iudicata</w:t>
      </w:r>
      <w:r w:rsidR="00AF0FA7" w:rsidRPr="002B7824">
        <w:rPr>
          <w:rFonts w:cs="Arial"/>
          <w:bCs/>
          <w:szCs w:val="22"/>
        </w:rPr>
        <w:t xml:space="preserve">. </w:t>
      </w:r>
      <w:r w:rsidR="003D5739">
        <w:rPr>
          <w:rFonts w:cs="Arial"/>
          <w:bCs/>
          <w:szCs w:val="22"/>
        </w:rPr>
        <w:t>Counsel for the</w:t>
      </w:r>
      <w:r w:rsidR="00A048C6">
        <w:rPr>
          <w:rFonts w:cs="Arial"/>
          <w:bCs/>
          <w:szCs w:val="22"/>
        </w:rPr>
        <w:t xml:space="preserve"> applicant and for the</w:t>
      </w:r>
      <w:r w:rsidR="003D5739">
        <w:rPr>
          <w:rFonts w:cs="Arial"/>
          <w:bCs/>
          <w:szCs w:val="22"/>
        </w:rPr>
        <w:t xml:space="preserve"> 6</w:t>
      </w:r>
      <w:r w:rsidR="003D5739" w:rsidRPr="003D5739">
        <w:rPr>
          <w:rFonts w:cs="Arial"/>
          <w:bCs/>
          <w:szCs w:val="22"/>
          <w:vertAlign w:val="superscript"/>
        </w:rPr>
        <w:t>th</w:t>
      </w:r>
      <w:r w:rsidR="003D5739">
        <w:rPr>
          <w:rFonts w:cs="Arial"/>
          <w:bCs/>
          <w:szCs w:val="22"/>
        </w:rPr>
        <w:t xml:space="preserve"> respondent filed further heads of argument on 29 July 2022. </w:t>
      </w:r>
      <w:r w:rsidR="00AF0FA7" w:rsidRPr="002B7824">
        <w:rPr>
          <w:rFonts w:cs="Arial"/>
          <w:bCs/>
          <w:szCs w:val="22"/>
        </w:rPr>
        <w:t>I am indebted to counsel for heads submitted.</w:t>
      </w:r>
      <w:r w:rsidR="00A048C6">
        <w:rPr>
          <w:rFonts w:cs="Arial"/>
          <w:bCs/>
          <w:szCs w:val="22"/>
        </w:rPr>
        <w:t xml:space="preserve"> </w:t>
      </w:r>
    </w:p>
    <w:p w14:paraId="39F62B04" w14:textId="57C86A89" w:rsidR="006C3A24" w:rsidRPr="002B7824" w:rsidRDefault="00A048C6" w:rsidP="00250A46">
      <w:pPr>
        <w:widowControl w:val="0"/>
        <w:numPr>
          <w:ilvl w:val="0"/>
          <w:numId w:val="1"/>
        </w:numPr>
        <w:spacing w:before="480" w:after="480" w:line="480" w:lineRule="auto"/>
        <w:jc w:val="both"/>
        <w:rPr>
          <w:rFonts w:cs="Arial"/>
          <w:bCs/>
          <w:szCs w:val="22"/>
        </w:rPr>
      </w:pPr>
      <w:r>
        <w:rPr>
          <w:rFonts w:cs="Arial"/>
          <w:bCs/>
          <w:szCs w:val="22"/>
        </w:rPr>
        <w:t xml:space="preserve">Counsel are in agreement that the dispute is not </w:t>
      </w:r>
      <w:r w:rsidRPr="00A048C6">
        <w:rPr>
          <w:rFonts w:cs="Arial"/>
          <w:bCs/>
          <w:i/>
          <w:iCs/>
          <w:szCs w:val="22"/>
        </w:rPr>
        <w:t>res iudicata</w:t>
      </w:r>
      <w:r>
        <w:rPr>
          <w:rFonts w:cs="Arial"/>
          <w:bCs/>
          <w:szCs w:val="22"/>
        </w:rPr>
        <w:t>.</w:t>
      </w:r>
    </w:p>
    <w:p w14:paraId="79EC28D1" w14:textId="172E055E" w:rsidR="00210971" w:rsidRPr="002B7824" w:rsidRDefault="00210971" w:rsidP="00250A46">
      <w:pPr>
        <w:widowControl w:val="0"/>
        <w:numPr>
          <w:ilvl w:val="0"/>
          <w:numId w:val="1"/>
        </w:numPr>
        <w:spacing w:before="480" w:after="480" w:line="480" w:lineRule="auto"/>
        <w:jc w:val="both"/>
        <w:rPr>
          <w:rFonts w:cs="Arial"/>
          <w:bCs/>
          <w:szCs w:val="22"/>
        </w:rPr>
      </w:pPr>
      <w:r w:rsidRPr="002B7824">
        <w:rPr>
          <w:rFonts w:cs="Arial"/>
          <w:bCs/>
          <w:szCs w:val="22"/>
        </w:rPr>
        <w:t xml:space="preserve">I raised the issue of </w:t>
      </w:r>
      <w:r w:rsidRPr="002B7824">
        <w:rPr>
          <w:rFonts w:cs="Arial"/>
          <w:bCs/>
          <w:i/>
          <w:iCs/>
          <w:szCs w:val="22"/>
        </w:rPr>
        <w:t>res iudicata</w:t>
      </w:r>
      <w:r w:rsidRPr="002B7824">
        <w:rPr>
          <w:rFonts w:cs="Arial"/>
          <w:bCs/>
          <w:szCs w:val="22"/>
        </w:rPr>
        <w:t xml:space="preserve"> because if the dispute were not </w:t>
      </w:r>
      <w:r w:rsidRPr="002B7824">
        <w:rPr>
          <w:rFonts w:cs="Arial"/>
          <w:bCs/>
          <w:i/>
          <w:iCs/>
          <w:szCs w:val="22"/>
        </w:rPr>
        <w:t>res iudicata</w:t>
      </w:r>
      <w:r w:rsidRPr="002B7824">
        <w:rPr>
          <w:rFonts w:cs="Arial"/>
          <w:bCs/>
          <w:szCs w:val="22"/>
        </w:rPr>
        <w:t xml:space="preserve"> then the applicant would, if so advised, be at liberty to issue a summons for the relief claimed in the application.</w:t>
      </w:r>
      <w:r w:rsidR="002B7824">
        <w:rPr>
          <w:rFonts w:cs="Arial"/>
          <w:bCs/>
          <w:szCs w:val="22"/>
        </w:rPr>
        <w:t xml:space="preserve"> She would be in a position to do so in the proper forum, the trial court.</w:t>
      </w:r>
    </w:p>
    <w:p w14:paraId="2467F138" w14:textId="77777777" w:rsidR="002B7824" w:rsidRDefault="002B7824" w:rsidP="00792386">
      <w:pPr>
        <w:widowControl w:val="0"/>
        <w:spacing w:before="480" w:after="480" w:line="480" w:lineRule="auto"/>
        <w:jc w:val="both"/>
        <w:rPr>
          <w:rFonts w:cs="Arial"/>
          <w:bCs/>
          <w:szCs w:val="22"/>
          <w:u w:val="single"/>
        </w:rPr>
      </w:pPr>
    </w:p>
    <w:p w14:paraId="3F086CD4" w14:textId="6F79881F" w:rsidR="0099709D" w:rsidRPr="002B7824" w:rsidRDefault="00792386" w:rsidP="00A048C6">
      <w:pPr>
        <w:keepNext/>
        <w:widowControl w:val="0"/>
        <w:spacing w:before="480" w:after="480" w:line="480" w:lineRule="auto"/>
        <w:jc w:val="both"/>
        <w:rPr>
          <w:rFonts w:cs="Arial"/>
          <w:bCs/>
          <w:szCs w:val="22"/>
          <w:u w:val="single"/>
        </w:rPr>
      </w:pPr>
      <w:r w:rsidRPr="002B7824">
        <w:rPr>
          <w:rFonts w:cs="Arial"/>
          <w:bCs/>
          <w:szCs w:val="22"/>
          <w:u w:val="single"/>
        </w:rPr>
        <w:lastRenderedPageBreak/>
        <w:t>T</w:t>
      </w:r>
      <w:r w:rsidR="00034AE8" w:rsidRPr="002B7824">
        <w:rPr>
          <w:rFonts w:cs="Arial"/>
          <w:bCs/>
          <w:szCs w:val="22"/>
          <w:u w:val="single"/>
        </w:rPr>
        <w:t>he judgment sought to be appealed against</w:t>
      </w:r>
    </w:p>
    <w:p w14:paraId="7B797AC7" w14:textId="55176823" w:rsidR="00F53254" w:rsidRPr="002B7824" w:rsidRDefault="00034AE8" w:rsidP="00A048C6">
      <w:pPr>
        <w:keepNext/>
        <w:widowControl w:val="0"/>
        <w:numPr>
          <w:ilvl w:val="0"/>
          <w:numId w:val="1"/>
        </w:numPr>
        <w:spacing w:before="480" w:after="480" w:line="480" w:lineRule="auto"/>
        <w:jc w:val="both"/>
        <w:rPr>
          <w:rFonts w:cs="Arial"/>
          <w:szCs w:val="22"/>
        </w:rPr>
      </w:pPr>
      <w:r w:rsidRPr="002B7824">
        <w:rPr>
          <w:rFonts w:cs="Arial"/>
          <w:szCs w:val="22"/>
        </w:rPr>
        <w:t xml:space="preserve">In the judgment I set out the parties’ averments in paragraphs 5 to 15, dealt with the Recognition of </w:t>
      </w:r>
      <w:r w:rsidRPr="002B7824">
        <w:rPr>
          <w:rFonts w:cs="Arial"/>
          <w:bCs/>
          <w:color w:val="000000" w:themeColor="text1"/>
          <w:szCs w:val="22"/>
        </w:rPr>
        <w:t>Customary Marriages Act, 120 of 1998 in paragraphs 16 to 21, and concluded in paragraphs 22 and 23 that –</w:t>
      </w:r>
    </w:p>
    <w:p w14:paraId="51681671" w14:textId="0BA6AF7A" w:rsidR="00034AE8" w:rsidRPr="002B7824" w:rsidRDefault="00034AE8" w:rsidP="00034AE8">
      <w:pPr>
        <w:widowControl w:val="0"/>
        <w:numPr>
          <w:ilvl w:val="1"/>
          <w:numId w:val="1"/>
        </w:numPr>
        <w:spacing w:before="480" w:after="480" w:line="480" w:lineRule="auto"/>
        <w:jc w:val="both"/>
        <w:rPr>
          <w:rFonts w:cs="Arial"/>
          <w:szCs w:val="22"/>
        </w:rPr>
      </w:pPr>
      <w:r w:rsidRPr="002B7824">
        <w:rPr>
          <w:rFonts w:cs="Arial"/>
          <w:bCs/>
          <w:color w:val="000000" w:themeColor="text1"/>
          <w:szCs w:val="22"/>
        </w:rPr>
        <w:t>there were fundamental disputes of fact on the papers;</w:t>
      </w:r>
    </w:p>
    <w:p w14:paraId="23089462" w14:textId="7F55C42E" w:rsidR="00034AE8" w:rsidRPr="002B7824" w:rsidRDefault="00034AE8" w:rsidP="00034AE8">
      <w:pPr>
        <w:widowControl w:val="0"/>
        <w:numPr>
          <w:ilvl w:val="1"/>
          <w:numId w:val="1"/>
        </w:numPr>
        <w:spacing w:before="480" w:after="480" w:line="480" w:lineRule="auto"/>
        <w:jc w:val="both"/>
        <w:rPr>
          <w:rFonts w:cs="Arial"/>
          <w:szCs w:val="22"/>
        </w:rPr>
      </w:pPr>
      <w:r w:rsidRPr="002B7824">
        <w:rPr>
          <w:rFonts w:cs="Arial"/>
          <w:bCs/>
          <w:color w:val="000000" w:themeColor="text1"/>
          <w:szCs w:val="22"/>
        </w:rPr>
        <w:t>these disputes were foreseeable, and</w:t>
      </w:r>
    </w:p>
    <w:p w14:paraId="185426B4" w14:textId="185B6287" w:rsidR="00034AE8" w:rsidRPr="002B7824" w:rsidRDefault="00034AE8" w:rsidP="00034AE8">
      <w:pPr>
        <w:widowControl w:val="0"/>
        <w:numPr>
          <w:ilvl w:val="1"/>
          <w:numId w:val="1"/>
        </w:numPr>
        <w:spacing w:before="480" w:after="480" w:line="480" w:lineRule="auto"/>
        <w:jc w:val="both"/>
        <w:rPr>
          <w:rFonts w:cs="Arial"/>
          <w:szCs w:val="22"/>
        </w:rPr>
      </w:pPr>
      <w:r w:rsidRPr="002B7824">
        <w:rPr>
          <w:rFonts w:cs="Arial"/>
          <w:szCs w:val="22"/>
        </w:rPr>
        <w:t>the question whether a customary marriage was concluded cannot be answered with reference to the affidavits.</w:t>
      </w:r>
      <w:r w:rsidR="0055729D" w:rsidRPr="002B7824">
        <w:rPr>
          <w:rStyle w:val="FootnoteReference"/>
          <w:rFonts w:cs="Arial"/>
          <w:szCs w:val="22"/>
        </w:rPr>
        <w:footnoteReference w:id="2"/>
      </w:r>
    </w:p>
    <w:p w14:paraId="7C051130" w14:textId="36C299C9" w:rsidR="00F53254" w:rsidRPr="002B7824" w:rsidRDefault="00C82759" w:rsidP="00FA0D89">
      <w:pPr>
        <w:widowControl w:val="0"/>
        <w:numPr>
          <w:ilvl w:val="0"/>
          <w:numId w:val="1"/>
        </w:numPr>
        <w:spacing w:before="480" w:after="480" w:line="480" w:lineRule="auto"/>
        <w:jc w:val="both"/>
        <w:rPr>
          <w:rFonts w:cs="Arial"/>
          <w:szCs w:val="22"/>
        </w:rPr>
      </w:pPr>
      <w:r w:rsidRPr="002B7824">
        <w:rPr>
          <w:rFonts w:cs="Arial"/>
          <w:szCs w:val="22"/>
        </w:rPr>
        <w:t>The judgment did not deal with</w:t>
      </w:r>
      <w:r w:rsidR="00F6377B" w:rsidRPr="002B7824">
        <w:rPr>
          <w:rFonts w:cs="Arial"/>
          <w:szCs w:val="22"/>
        </w:rPr>
        <w:t xml:space="preserve"> and </w:t>
      </w:r>
      <w:r w:rsidR="000A2D03">
        <w:rPr>
          <w:rFonts w:cs="Arial"/>
          <w:szCs w:val="22"/>
        </w:rPr>
        <w:t xml:space="preserve">did not </w:t>
      </w:r>
      <w:r w:rsidR="00F6377B" w:rsidRPr="002B7824">
        <w:rPr>
          <w:rFonts w:cs="Arial"/>
          <w:szCs w:val="22"/>
        </w:rPr>
        <w:t>decide</w:t>
      </w:r>
      <w:r w:rsidRPr="002B7824">
        <w:rPr>
          <w:rFonts w:cs="Arial"/>
          <w:szCs w:val="22"/>
        </w:rPr>
        <w:t xml:space="preserve"> the competing versions of factual averments because it was not possible to do so.</w:t>
      </w:r>
    </w:p>
    <w:p w14:paraId="3D8208BD" w14:textId="6FAC1141" w:rsidR="00F53254" w:rsidRPr="002B7824" w:rsidRDefault="00942835" w:rsidP="00FA0D89">
      <w:pPr>
        <w:widowControl w:val="0"/>
        <w:numPr>
          <w:ilvl w:val="0"/>
          <w:numId w:val="1"/>
        </w:numPr>
        <w:spacing w:before="480" w:after="480" w:line="480" w:lineRule="auto"/>
        <w:jc w:val="both"/>
        <w:rPr>
          <w:rFonts w:cs="Arial"/>
          <w:szCs w:val="22"/>
        </w:rPr>
      </w:pPr>
      <w:r w:rsidRPr="002B7824">
        <w:rPr>
          <w:rFonts w:cs="Arial"/>
          <w:szCs w:val="22"/>
        </w:rPr>
        <w:t xml:space="preserve">Mr Sibisi for the sixth respondent in his helpful heads referred me </w:t>
      </w:r>
      <w:r w:rsidR="00BA24FC" w:rsidRPr="002B7824">
        <w:rPr>
          <w:rFonts w:cs="Arial"/>
          <w:szCs w:val="22"/>
        </w:rPr>
        <w:t>literature</w:t>
      </w:r>
      <w:r w:rsidR="00BA24FC" w:rsidRPr="002B7824">
        <w:rPr>
          <w:rStyle w:val="FootnoteReference"/>
          <w:rFonts w:cs="Arial"/>
          <w:szCs w:val="22"/>
        </w:rPr>
        <w:footnoteReference w:id="3"/>
      </w:r>
      <w:r w:rsidR="00BA24FC" w:rsidRPr="002B7824">
        <w:rPr>
          <w:rFonts w:cs="Arial"/>
          <w:szCs w:val="22"/>
        </w:rPr>
        <w:t xml:space="preserve"> as well as to case law, and concludes, correctly in my view, that</w:t>
      </w:r>
      <w:r w:rsidR="007E3AB4" w:rsidRPr="002B7824">
        <w:rPr>
          <w:rFonts w:cs="Arial"/>
          <w:szCs w:val="22"/>
        </w:rPr>
        <w:t xml:space="preserve"> the dismissal of the application does not render the dispute </w:t>
      </w:r>
      <w:r w:rsidR="007E3AB4" w:rsidRPr="002B7824">
        <w:rPr>
          <w:rFonts w:cs="Arial"/>
          <w:i/>
          <w:iCs/>
          <w:szCs w:val="22"/>
        </w:rPr>
        <w:t>res iudicata</w:t>
      </w:r>
      <w:r w:rsidR="007E3AB4" w:rsidRPr="002B7824">
        <w:rPr>
          <w:rFonts w:cs="Arial"/>
          <w:szCs w:val="22"/>
        </w:rPr>
        <w:t>.</w:t>
      </w:r>
      <w:r w:rsidR="00F6377B" w:rsidRPr="002B7824">
        <w:rPr>
          <w:rFonts w:cs="Arial"/>
          <w:szCs w:val="22"/>
        </w:rPr>
        <w:t xml:space="preserve"> </w:t>
      </w:r>
      <w:r w:rsidR="00994D8A">
        <w:rPr>
          <w:rFonts w:cs="Arial"/>
          <w:szCs w:val="22"/>
        </w:rPr>
        <w:t>He referred me to</w:t>
      </w:r>
      <w:r w:rsidR="00FD3D6E" w:rsidRPr="002B7824">
        <w:rPr>
          <w:rFonts w:cs="Arial"/>
          <w:szCs w:val="22"/>
        </w:rPr>
        <w:t xml:space="preserve"> </w:t>
      </w:r>
      <w:r w:rsidR="00FD3D6E" w:rsidRPr="00FD3D6E">
        <w:rPr>
          <w:rFonts w:cs="Arial"/>
          <w:i/>
          <w:iCs/>
          <w:szCs w:val="22"/>
        </w:rPr>
        <w:t>Mamadi and Another v Premier of Limpopo Province and Others</w:t>
      </w:r>
      <w:r w:rsidR="00FD3D6E" w:rsidRPr="002B7824">
        <w:rPr>
          <w:rFonts w:cs="Arial"/>
          <w:i/>
          <w:iCs/>
          <w:szCs w:val="22"/>
        </w:rPr>
        <w:t>,</w:t>
      </w:r>
      <w:r w:rsidR="00994D8A" w:rsidRPr="002B7824">
        <w:rPr>
          <w:rStyle w:val="FootnoteReference"/>
          <w:rFonts w:cs="Arial"/>
          <w:i/>
          <w:iCs/>
          <w:szCs w:val="22"/>
        </w:rPr>
        <w:footnoteReference w:id="4"/>
      </w:r>
      <w:r w:rsidR="00FD3D6E" w:rsidRPr="002B7824">
        <w:rPr>
          <w:rFonts w:cs="Arial"/>
          <w:szCs w:val="22"/>
        </w:rPr>
        <w:t xml:space="preserve"> </w:t>
      </w:r>
      <w:r w:rsidR="00994D8A">
        <w:rPr>
          <w:rFonts w:cs="Arial"/>
          <w:szCs w:val="22"/>
        </w:rPr>
        <w:t xml:space="preserve">where </w:t>
      </w:r>
      <w:r w:rsidR="00FD3D6E" w:rsidRPr="002B7824">
        <w:rPr>
          <w:rFonts w:cs="Arial"/>
          <w:szCs w:val="22"/>
        </w:rPr>
        <w:t>Theron J</w:t>
      </w:r>
      <w:r w:rsidR="00FD3D6E" w:rsidRPr="002B7824">
        <w:rPr>
          <w:rStyle w:val="FootnoteReference"/>
          <w:rFonts w:cs="Arial"/>
          <w:szCs w:val="22"/>
        </w:rPr>
        <w:footnoteReference w:id="5"/>
      </w:r>
      <w:r w:rsidR="00FD3D6E" w:rsidRPr="002B7824">
        <w:rPr>
          <w:rFonts w:cs="Arial"/>
          <w:i/>
          <w:iCs/>
          <w:szCs w:val="22"/>
        </w:rPr>
        <w:t xml:space="preserve"> </w:t>
      </w:r>
      <w:r w:rsidR="00FD3D6E" w:rsidRPr="00FD3D6E">
        <w:rPr>
          <w:rFonts w:cs="Arial"/>
          <w:szCs w:val="22"/>
        </w:rPr>
        <w:t xml:space="preserve"> </w:t>
      </w:r>
      <w:r w:rsidR="00321F7F" w:rsidRPr="002B7824">
        <w:rPr>
          <w:rFonts w:cs="Arial"/>
          <w:szCs w:val="22"/>
        </w:rPr>
        <w:t>said:</w:t>
      </w:r>
    </w:p>
    <w:p w14:paraId="58BCE2C0" w14:textId="1C6D433A" w:rsidR="00F53254" w:rsidRPr="00281213" w:rsidRDefault="00281213" w:rsidP="00281213">
      <w:pPr>
        <w:ind w:left="1440"/>
        <w:rPr>
          <w:i/>
          <w:iCs/>
        </w:rPr>
      </w:pPr>
      <w:r w:rsidRPr="00281213">
        <w:rPr>
          <w:i/>
          <w:iCs/>
          <w:lang w:val="en-US"/>
        </w:rPr>
        <w:t>“A dismissal in terms of rule 6(5)(g) does not preclude a litigant from proceeding by way of action, and thus does not finally dispose of a matter</w:t>
      </w:r>
      <w:r>
        <w:rPr>
          <w:i/>
          <w:iCs/>
          <w:lang w:val="en-US"/>
        </w:rPr>
        <w:t xml:space="preserve"> …”</w:t>
      </w:r>
      <w:r w:rsidR="00A93A39">
        <w:rPr>
          <w:rStyle w:val="FootnoteReference"/>
          <w:i/>
        </w:rPr>
        <w:footnoteReference w:id="6"/>
      </w:r>
    </w:p>
    <w:p w14:paraId="4FDD2112" w14:textId="77777777" w:rsidR="00321F7F" w:rsidRPr="002B7824" w:rsidRDefault="00321F7F" w:rsidP="00321F7F">
      <w:pPr>
        <w:keepNext/>
        <w:widowControl w:val="0"/>
        <w:numPr>
          <w:ilvl w:val="0"/>
          <w:numId w:val="1"/>
        </w:numPr>
        <w:spacing w:before="480" w:after="480" w:line="480" w:lineRule="auto"/>
        <w:jc w:val="both"/>
        <w:rPr>
          <w:rFonts w:cs="Arial"/>
          <w:bCs/>
          <w:szCs w:val="22"/>
        </w:rPr>
      </w:pPr>
      <w:r w:rsidRPr="002B7824">
        <w:rPr>
          <w:rFonts w:eastAsia="Calibri" w:cs="Arial"/>
          <w:szCs w:val="22"/>
        </w:rPr>
        <w:lastRenderedPageBreak/>
        <w:t>Section 17(1)(a)(i) and (ii) of the Superior Courts Act, 10 of 2013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Pr="002B7824">
        <w:rPr>
          <w:rFonts w:cs="Arial"/>
          <w:szCs w:val="22"/>
        </w:rPr>
        <w:t xml:space="preserve"> Once such an opinion is formed leave may not be refused.</w:t>
      </w:r>
    </w:p>
    <w:p w14:paraId="322B3168" w14:textId="77777777" w:rsidR="00224EF0" w:rsidRPr="002B7824" w:rsidRDefault="00321F7F" w:rsidP="00224EF0">
      <w:pPr>
        <w:keepNext/>
        <w:widowControl w:val="0"/>
        <w:numPr>
          <w:ilvl w:val="0"/>
          <w:numId w:val="1"/>
        </w:numPr>
        <w:spacing w:before="480" w:after="480" w:line="480" w:lineRule="auto"/>
        <w:jc w:val="both"/>
        <w:rPr>
          <w:rFonts w:cs="Arial"/>
          <w:bCs/>
          <w:szCs w:val="22"/>
        </w:rPr>
      </w:pPr>
      <w:r w:rsidRPr="002B7824">
        <w:rPr>
          <w:rFonts w:eastAsia="Calibri" w:cs="Arial"/>
          <w:szCs w:val="22"/>
        </w:rPr>
        <w:t>It is now generally accepted that that the test for leave to appeal is more stringent under the Superior Courts Act, 10 of 2013 than it was under the repealed Supreme Court Act, 59 of 1959.</w:t>
      </w:r>
      <w:r w:rsidRPr="002B7824">
        <w:rPr>
          <w:rStyle w:val="FootnoteReference"/>
          <w:rFonts w:eastAsia="Calibri" w:cs="Arial"/>
          <w:szCs w:val="22"/>
        </w:rPr>
        <w:footnoteReference w:id="7"/>
      </w:r>
      <w:r w:rsidR="00224EF0" w:rsidRPr="002B7824">
        <w:rPr>
          <w:rFonts w:eastAsia="Calibri" w:cs="Arial"/>
          <w:szCs w:val="22"/>
        </w:rPr>
        <w:t xml:space="preserve"> </w:t>
      </w:r>
      <w:r w:rsidR="00224EF0" w:rsidRPr="002B7824">
        <w:rPr>
          <w:rFonts w:cs="Arial"/>
          <w:szCs w:val="22"/>
        </w:rPr>
        <w:t>However, i</w:t>
      </w:r>
      <w:r w:rsidR="00224EF0" w:rsidRPr="002B7824">
        <w:rPr>
          <w:rFonts w:eastAsia="Calibri" w:cs="Arial"/>
          <w:szCs w:val="22"/>
        </w:rPr>
        <w:t xml:space="preserve">n </w:t>
      </w:r>
      <w:r w:rsidR="00224EF0" w:rsidRPr="002B7824">
        <w:rPr>
          <w:rFonts w:eastAsia="Calibri" w:cs="Arial"/>
          <w:i/>
          <w:iCs/>
          <w:szCs w:val="22"/>
        </w:rPr>
        <w:t>KwaZulu-Natal Law Society v Sharma</w:t>
      </w:r>
      <w:r w:rsidR="00224EF0" w:rsidRPr="002B7824">
        <w:rPr>
          <w:rStyle w:val="FootnoteReference"/>
          <w:rFonts w:eastAsia="Calibri" w:cs="Arial"/>
          <w:i/>
          <w:iCs/>
          <w:szCs w:val="22"/>
        </w:rPr>
        <w:footnoteReference w:id="8"/>
      </w:r>
      <w:r w:rsidR="00224EF0" w:rsidRPr="002B7824">
        <w:rPr>
          <w:rFonts w:eastAsia="Calibri" w:cs="Arial"/>
          <w:szCs w:val="22"/>
        </w:rPr>
        <w:t xml:space="preserve"> Van Zyl J held that the test enunciated in </w:t>
      </w:r>
      <w:r w:rsidR="00224EF0" w:rsidRPr="002B7824">
        <w:rPr>
          <w:rFonts w:eastAsia="Calibri" w:cs="Arial"/>
          <w:i/>
          <w:iCs/>
          <w:szCs w:val="22"/>
        </w:rPr>
        <w:t>S v Smith</w:t>
      </w:r>
      <w:r w:rsidR="00224EF0" w:rsidRPr="002B7824">
        <w:rPr>
          <w:rStyle w:val="FootnoteReference"/>
          <w:rFonts w:eastAsia="Calibri" w:cs="Arial"/>
          <w:i/>
          <w:iCs/>
          <w:szCs w:val="22"/>
        </w:rPr>
        <w:footnoteReference w:id="9"/>
      </w:r>
      <w:r w:rsidR="00224EF0" w:rsidRPr="002B7824">
        <w:rPr>
          <w:rFonts w:eastAsia="Calibri" w:cs="Arial"/>
          <w:szCs w:val="22"/>
        </w:rPr>
        <w:t xml:space="preserve"> still holds good:</w:t>
      </w:r>
    </w:p>
    <w:p w14:paraId="3E133B1F" w14:textId="77777777" w:rsidR="00224EF0" w:rsidRPr="002B7824" w:rsidRDefault="00224EF0" w:rsidP="00224EF0">
      <w:pPr>
        <w:spacing w:before="480" w:after="480" w:line="360" w:lineRule="auto"/>
        <w:ind w:left="1440"/>
        <w:jc w:val="both"/>
        <w:rPr>
          <w:rFonts w:eastAsia="Calibri" w:cs="Arial"/>
          <w:i/>
          <w:iCs/>
          <w:szCs w:val="22"/>
        </w:rPr>
      </w:pPr>
      <w:r w:rsidRPr="002B7824">
        <w:rPr>
          <w:rFonts w:eastAsia="Calibri" w:cs="Arial"/>
          <w:i/>
          <w:iCs/>
          <w:szCs w:val="22"/>
        </w:rPr>
        <w:t>“In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7CD90DFC" w14:textId="77777777" w:rsidR="00321F7F" w:rsidRPr="002B7824" w:rsidRDefault="00321F7F" w:rsidP="00321F7F">
      <w:pPr>
        <w:keepNext/>
        <w:widowControl w:val="0"/>
        <w:numPr>
          <w:ilvl w:val="0"/>
          <w:numId w:val="1"/>
        </w:numPr>
        <w:spacing w:before="480" w:after="480" w:line="480" w:lineRule="auto"/>
        <w:jc w:val="both"/>
        <w:rPr>
          <w:rFonts w:cs="Arial"/>
          <w:bCs/>
          <w:szCs w:val="22"/>
        </w:rPr>
      </w:pPr>
      <w:r w:rsidRPr="002B7824">
        <w:rPr>
          <w:rFonts w:cs="Arial"/>
          <w:bCs/>
          <w:szCs w:val="22"/>
        </w:rPr>
        <w:t xml:space="preserve">An applicant for leave to appeal must be mindful of the words of Wallis JA in </w:t>
      </w:r>
      <w:r w:rsidRPr="002B7824">
        <w:rPr>
          <w:rFonts w:cs="Arial"/>
          <w:i/>
          <w:iCs/>
          <w:color w:val="000000" w:themeColor="text1"/>
          <w:szCs w:val="22"/>
          <w:shd w:val="clear" w:color="auto" w:fill="FFFFFF"/>
        </w:rPr>
        <w:t>Dexgroup (Pty) Ltd v Trustco Group International (Pty) Ltd</w:t>
      </w:r>
      <w:r w:rsidRPr="002B7824">
        <w:rPr>
          <w:rFonts w:cs="Arial"/>
          <w:bCs/>
          <w:szCs w:val="22"/>
        </w:rPr>
        <w:t>:</w:t>
      </w:r>
      <w:r w:rsidRPr="002B7824">
        <w:rPr>
          <w:rStyle w:val="FootnoteReference"/>
          <w:rFonts w:cs="Arial"/>
          <w:bCs/>
          <w:szCs w:val="22"/>
        </w:rPr>
        <w:footnoteReference w:id="10"/>
      </w:r>
    </w:p>
    <w:p w14:paraId="2DFA66B9" w14:textId="77777777" w:rsidR="00321F7F" w:rsidRPr="002B7824" w:rsidRDefault="00321F7F" w:rsidP="00321F7F">
      <w:pPr>
        <w:keepNext/>
        <w:widowControl w:val="0"/>
        <w:spacing w:before="480" w:after="480" w:line="480" w:lineRule="auto"/>
        <w:ind w:left="1440"/>
        <w:jc w:val="both"/>
        <w:rPr>
          <w:rFonts w:cs="Arial"/>
          <w:bCs/>
          <w:i/>
          <w:iCs/>
          <w:color w:val="000000" w:themeColor="text1"/>
          <w:szCs w:val="22"/>
        </w:rPr>
      </w:pPr>
      <w:r w:rsidRPr="002B7824">
        <w:rPr>
          <w:rFonts w:cs="Arial"/>
          <w:bCs/>
          <w:i/>
          <w:iCs/>
          <w:color w:val="000000" w:themeColor="text1"/>
          <w:szCs w:val="22"/>
        </w:rPr>
        <w:t>“T</w:t>
      </w:r>
      <w:r w:rsidRPr="002B7824">
        <w:rPr>
          <w:rFonts w:cs="Arial"/>
          <w:i/>
          <w:iCs/>
          <w:color w:val="000000" w:themeColor="text1"/>
          <w:szCs w:val="22"/>
          <w:shd w:val="clear" w:color="auto" w:fill="FFFFFF"/>
        </w:rPr>
        <w:t xml:space="preserve">he need to obtain leave to appeal is a valuable tool in ensuring that scarce </w:t>
      </w:r>
      <w:r w:rsidRPr="002B7824">
        <w:rPr>
          <w:rFonts w:cs="Arial"/>
          <w:i/>
          <w:iCs/>
          <w:color w:val="000000" w:themeColor="text1"/>
          <w:szCs w:val="22"/>
          <w:shd w:val="clear" w:color="auto" w:fill="FFFFFF"/>
        </w:rPr>
        <w:lastRenderedPageBreak/>
        <w:t>judicial resources are not spent on appeals that lack merit. </w:t>
      </w:r>
      <w:r w:rsidRPr="002B7824">
        <w:rPr>
          <w:rFonts w:cs="Arial"/>
          <w:bCs/>
          <w:i/>
          <w:iCs/>
          <w:color w:val="000000" w:themeColor="text1"/>
          <w:szCs w:val="22"/>
        </w:rPr>
        <w:t>”</w:t>
      </w:r>
    </w:p>
    <w:p w14:paraId="65FFE9B3" w14:textId="13CD78ED" w:rsidR="00321F7F" w:rsidRPr="002B7824" w:rsidRDefault="00D457F9" w:rsidP="00250A46">
      <w:pPr>
        <w:widowControl w:val="0"/>
        <w:numPr>
          <w:ilvl w:val="0"/>
          <w:numId w:val="1"/>
        </w:numPr>
        <w:spacing w:before="480" w:after="480" w:line="480" w:lineRule="auto"/>
        <w:jc w:val="both"/>
        <w:rPr>
          <w:rFonts w:cs="Arial"/>
          <w:bCs/>
          <w:szCs w:val="22"/>
        </w:rPr>
      </w:pPr>
      <w:r>
        <w:rPr>
          <w:rFonts w:cs="Arial"/>
          <w:bCs/>
          <w:szCs w:val="22"/>
        </w:rPr>
        <w:t>The conclusion reached in the judgment that there were foreseeable disputes of fact appear from the papers, including the founding affidavit by the applicant.</w:t>
      </w:r>
      <w:r>
        <w:rPr>
          <w:rStyle w:val="FootnoteReference"/>
          <w:rFonts w:cs="Arial"/>
          <w:bCs/>
          <w:szCs w:val="22"/>
        </w:rPr>
        <w:footnoteReference w:id="11"/>
      </w:r>
      <w:r w:rsidR="002014D0">
        <w:rPr>
          <w:rFonts w:cs="Arial"/>
          <w:bCs/>
          <w:szCs w:val="22"/>
        </w:rPr>
        <w:t xml:space="preserve"> I am of the view that there are no reasonable prospects of success on appeal. The application must be refused and it remains open to the applicant to proceed by trial if she so wished.</w:t>
      </w:r>
    </w:p>
    <w:p w14:paraId="3B769C44" w14:textId="71ECFCB1" w:rsidR="00321F7F" w:rsidRPr="002B7824" w:rsidRDefault="002014D0" w:rsidP="00250A46">
      <w:pPr>
        <w:widowControl w:val="0"/>
        <w:numPr>
          <w:ilvl w:val="0"/>
          <w:numId w:val="1"/>
        </w:numPr>
        <w:spacing w:before="480" w:after="480" w:line="480" w:lineRule="auto"/>
        <w:jc w:val="both"/>
        <w:rPr>
          <w:rFonts w:cs="Arial"/>
          <w:bCs/>
          <w:szCs w:val="22"/>
        </w:rPr>
      </w:pPr>
      <w:r>
        <w:rPr>
          <w:rFonts w:cs="Arial"/>
          <w:bCs/>
          <w:szCs w:val="22"/>
        </w:rPr>
        <w:t>I therefore make the order in paragraph 1 above.</w:t>
      </w:r>
    </w:p>
    <w:p w14:paraId="57B05A6B" w14:textId="77777777" w:rsidR="007C6DF0" w:rsidRPr="002B7824" w:rsidRDefault="007C6DF0" w:rsidP="005E09BA">
      <w:pPr>
        <w:widowControl w:val="0"/>
        <w:tabs>
          <w:tab w:val="right" w:pos="0"/>
        </w:tabs>
        <w:spacing w:line="360" w:lineRule="auto"/>
        <w:contextualSpacing/>
        <w:jc w:val="both"/>
        <w:rPr>
          <w:rFonts w:cs="Arial"/>
          <w:b/>
          <w:szCs w:val="22"/>
        </w:rPr>
      </w:pPr>
    </w:p>
    <w:p w14:paraId="740EAE43" w14:textId="77777777" w:rsidR="007C6DF0" w:rsidRPr="002B7824" w:rsidRDefault="007C6DF0" w:rsidP="005E09BA">
      <w:pPr>
        <w:widowControl w:val="0"/>
        <w:tabs>
          <w:tab w:val="right" w:pos="0"/>
        </w:tabs>
        <w:spacing w:line="360" w:lineRule="auto"/>
        <w:contextualSpacing/>
        <w:jc w:val="both"/>
        <w:rPr>
          <w:rFonts w:cs="Arial"/>
          <w:b/>
          <w:szCs w:val="22"/>
        </w:rPr>
      </w:pPr>
    </w:p>
    <w:p w14:paraId="0CCB9BFE" w14:textId="2389AF16" w:rsidR="006C43D7" w:rsidRPr="002B7824" w:rsidRDefault="00C676F3" w:rsidP="005E09BA">
      <w:pPr>
        <w:widowControl w:val="0"/>
        <w:tabs>
          <w:tab w:val="right" w:pos="0"/>
        </w:tabs>
        <w:spacing w:line="360" w:lineRule="auto"/>
        <w:contextualSpacing/>
        <w:jc w:val="right"/>
        <w:rPr>
          <w:rFonts w:cs="Arial"/>
          <w:b/>
          <w:szCs w:val="22"/>
        </w:rPr>
      </w:pPr>
      <w:r w:rsidRPr="002B7824">
        <w:rPr>
          <w:rFonts w:cs="Arial"/>
          <w:b/>
          <w:szCs w:val="22"/>
        </w:rPr>
        <w:t>J MOORCROFT</w:t>
      </w:r>
    </w:p>
    <w:p w14:paraId="7A2C1059" w14:textId="77777777" w:rsidR="006C43D7" w:rsidRPr="002B7824" w:rsidRDefault="006C43D7" w:rsidP="005E09BA">
      <w:pPr>
        <w:widowControl w:val="0"/>
        <w:tabs>
          <w:tab w:val="right" w:pos="0"/>
        </w:tabs>
        <w:spacing w:line="360" w:lineRule="auto"/>
        <w:contextualSpacing/>
        <w:jc w:val="right"/>
        <w:rPr>
          <w:rFonts w:cs="Arial"/>
          <w:b/>
          <w:szCs w:val="22"/>
        </w:rPr>
      </w:pPr>
      <w:r w:rsidRPr="002B7824">
        <w:rPr>
          <w:rFonts w:cs="Arial"/>
          <w:b/>
          <w:szCs w:val="22"/>
        </w:rPr>
        <w:t>ACTING JUDGE OF THE HIGH COURT OF SOUTH AFRICA</w:t>
      </w:r>
    </w:p>
    <w:p w14:paraId="077C2590" w14:textId="7C2C605F" w:rsidR="006C43D7" w:rsidRPr="002B7824" w:rsidRDefault="006C43D7" w:rsidP="005E09BA">
      <w:pPr>
        <w:widowControl w:val="0"/>
        <w:tabs>
          <w:tab w:val="right" w:pos="0"/>
          <w:tab w:val="left" w:pos="4253"/>
        </w:tabs>
        <w:spacing w:line="360" w:lineRule="auto"/>
        <w:contextualSpacing/>
        <w:jc w:val="right"/>
        <w:rPr>
          <w:rFonts w:cs="Arial"/>
          <w:b/>
          <w:szCs w:val="22"/>
        </w:rPr>
      </w:pPr>
      <w:r w:rsidRPr="002B7824">
        <w:rPr>
          <w:rFonts w:cs="Arial"/>
          <w:b/>
          <w:szCs w:val="22"/>
        </w:rPr>
        <w:t>GAUTENG DIVISION</w:t>
      </w:r>
    </w:p>
    <w:p w14:paraId="40B9C946" w14:textId="77777777" w:rsidR="006C43D7" w:rsidRPr="002B7824" w:rsidRDefault="006C43D7" w:rsidP="005E09BA">
      <w:pPr>
        <w:widowControl w:val="0"/>
        <w:tabs>
          <w:tab w:val="right" w:pos="0"/>
          <w:tab w:val="left" w:pos="4253"/>
        </w:tabs>
        <w:spacing w:line="360" w:lineRule="auto"/>
        <w:contextualSpacing/>
        <w:jc w:val="right"/>
        <w:rPr>
          <w:rFonts w:cs="Arial"/>
          <w:b/>
          <w:szCs w:val="22"/>
        </w:rPr>
      </w:pPr>
      <w:r w:rsidRPr="002B7824">
        <w:rPr>
          <w:rFonts w:cs="Arial"/>
          <w:b/>
          <w:szCs w:val="22"/>
        </w:rPr>
        <w:t>JOHANNESBURG</w:t>
      </w:r>
    </w:p>
    <w:p w14:paraId="326B529B" w14:textId="77777777" w:rsidR="006C43D7" w:rsidRPr="002B7824"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2B7824" w:rsidRDefault="006C43D7" w:rsidP="005E09BA">
      <w:pPr>
        <w:widowControl w:val="0"/>
        <w:spacing w:after="200" w:line="480" w:lineRule="auto"/>
        <w:contextualSpacing/>
        <w:jc w:val="right"/>
        <w:rPr>
          <w:rFonts w:cs="Arial"/>
          <w:b/>
          <w:i/>
          <w:iCs/>
          <w:szCs w:val="22"/>
        </w:rPr>
      </w:pPr>
      <w:r w:rsidRPr="002B7824">
        <w:rPr>
          <w:rFonts w:cs="Arial"/>
          <w:b/>
          <w:i/>
          <w:iCs/>
          <w:szCs w:val="22"/>
        </w:rPr>
        <w:t>Electronically submitted</w:t>
      </w:r>
    </w:p>
    <w:p w14:paraId="4E3E9427" w14:textId="77777777" w:rsidR="006C43D7" w:rsidRPr="002B7824" w:rsidRDefault="006C43D7" w:rsidP="00250A46">
      <w:pPr>
        <w:widowControl w:val="0"/>
        <w:spacing w:after="200" w:line="360" w:lineRule="auto"/>
        <w:contextualSpacing/>
        <w:jc w:val="both"/>
        <w:rPr>
          <w:rFonts w:eastAsia="Arial Unicode MS" w:cs="Arial"/>
          <w:bCs/>
          <w:szCs w:val="22"/>
        </w:rPr>
      </w:pPr>
    </w:p>
    <w:p w14:paraId="51C686CA" w14:textId="38EA64BD" w:rsidR="006C43D7" w:rsidRPr="002B7824" w:rsidRDefault="006C43D7" w:rsidP="00250A46">
      <w:pPr>
        <w:widowControl w:val="0"/>
        <w:spacing w:after="200" w:line="360" w:lineRule="auto"/>
        <w:contextualSpacing/>
        <w:jc w:val="both"/>
        <w:rPr>
          <w:rFonts w:eastAsia="Arial Unicode MS" w:cs="Arial"/>
          <w:b/>
          <w:bCs/>
          <w:szCs w:val="22"/>
        </w:rPr>
      </w:pPr>
      <w:r w:rsidRPr="002B7824">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2B7824">
        <w:rPr>
          <w:rFonts w:eastAsia="Arial Unicode MS" w:cs="Arial"/>
          <w:bCs/>
          <w:szCs w:val="22"/>
        </w:rPr>
        <w:t>L</w:t>
      </w:r>
      <w:r w:rsidRPr="002B7824">
        <w:rPr>
          <w:rFonts w:eastAsia="Arial Unicode MS" w:cs="Arial"/>
          <w:bCs/>
          <w:szCs w:val="22"/>
        </w:rPr>
        <w:t>ines. The date of the judgment is deemed to be</w:t>
      </w:r>
      <w:r w:rsidR="00357D35" w:rsidRPr="002B7824">
        <w:rPr>
          <w:rFonts w:eastAsia="Arial Unicode MS" w:cs="Arial"/>
          <w:bCs/>
          <w:szCs w:val="22"/>
        </w:rPr>
        <w:t xml:space="preserve"> </w:t>
      </w:r>
      <w:r w:rsidR="002014D0">
        <w:rPr>
          <w:rFonts w:eastAsia="Arial Unicode MS" w:cs="Arial"/>
          <w:b/>
          <w:bCs/>
          <w:szCs w:val="22"/>
        </w:rPr>
        <w:t>4 AUGUST</w:t>
      </w:r>
      <w:r w:rsidR="00237FF9" w:rsidRPr="002B7824">
        <w:rPr>
          <w:rFonts w:eastAsia="Arial Unicode MS" w:cs="Arial"/>
          <w:b/>
          <w:bCs/>
          <w:szCs w:val="22"/>
        </w:rPr>
        <w:t xml:space="preserve"> 2022</w:t>
      </w:r>
      <w:r w:rsidR="00FE0E9D" w:rsidRPr="002B7824">
        <w:rPr>
          <w:rFonts w:eastAsia="Arial Unicode MS" w:cs="Arial"/>
          <w:bCs/>
          <w:szCs w:val="22"/>
        </w:rPr>
        <w:t>.</w:t>
      </w:r>
    </w:p>
    <w:p w14:paraId="482DDF6E" w14:textId="77777777" w:rsidR="006C43D7" w:rsidRPr="002B7824" w:rsidRDefault="006C43D7" w:rsidP="009A6493">
      <w:pPr>
        <w:widowControl w:val="0"/>
        <w:tabs>
          <w:tab w:val="right" w:pos="0"/>
          <w:tab w:val="left" w:pos="4253"/>
        </w:tabs>
        <w:spacing w:line="360" w:lineRule="auto"/>
        <w:contextualSpacing/>
        <w:jc w:val="center"/>
        <w:rPr>
          <w:rFonts w:cs="Arial"/>
          <w:b/>
          <w:szCs w:val="22"/>
        </w:rPr>
      </w:pPr>
    </w:p>
    <w:p w14:paraId="22E155F4" w14:textId="77777777" w:rsidR="006C43D7" w:rsidRPr="002B7824" w:rsidRDefault="006C43D7" w:rsidP="009A6493">
      <w:pPr>
        <w:widowControl w:val="0"/>
        <w:tabs>
          <w:tab w:val="right" w:pos="0"/>
          <w:tab w:val="left" w:pos="4253"/>
        </w:tabs>
        <w:spacing w:line="360" w:lineRule="auto"/>
        <w:contextualSpacing/>
        <w:jc w:val="both"/>
        <w:rPr>
          <w:rFonts w:cs="Arial"/>
          <w:szCs w:val="22"/>
        </w:rPr>
      </w:pPr>
    </w:p>
    <w:p w14:paraId="39AB470F" w14:textId="77777777" w:rsidR="006C43D7" w:rsidRPr="002B7824" w:rsidRDefault="006C43D7" w:rsidP="009A6493">
      <w:pPr>
        <w:widowControl w:val="0"/>
        <w:tabs>
          <w:tab w:val="right" w:pos="0"/>
          <w:tab w:val="left" w:pos="4253"/>
        </w:tabs>
        <w:spacing w:line="360" w:lineRule="auto"/>
        <w:contextualSpacing/>
        <w:jc w:val="both"/>
        <w:rPr>
          <w:rFonts w:cs="Arial"/>
          <w:szCs w:val="22"/>
        </w:rPr>
      </w:pPr>
    </w:p>
    <w:p w14:paraId="4622B5DF" w14:textId="28EB1253" w:rsidR="0099709D" w:rsidRPr="002B7824" w:rsidRDefault="00D71B57" w:rsidP="0099709D">
      <w:pPr>
        <w:widowControl w:val="0"/>
        <w:tabs>
          <w:tab w:val="right" w:pos="8364"/>
        </w:tabs>
        <w:spacing w:line="360" w:lineRule="auto"/>
        <w:contextualSpacing/>
        <w:jc w:val="both"/>
        <w:rPr>
          <w:rFonts w:cs="Arial"/>
          <w:szCs w:val="22"/>
        </w:rPr>
      </w:pPr>
      <w:r w:rsidRPr="002B7824">
        <w:rPr>
          <w:rFonts w:cs="Arial"/>
          <w:szCs w:val="22"/>
        </w:rPr>
        <w:t xml:space="preserve">COUNSEL FOR THE APPLICANT: </w:t>
      </w:r>
      <w:r w:rsidR="002A5EEA" w:rsidRPr="002B7824">
        <w:rPr>
          <w:rFonts w:cs="Arial"/>
          <w:szCs w:val="22"/>
        </w:rPr>
        <w:tab/>
      </w:r>
      <w:r w:rsidR="009C28AC" w:rsidRPr="002B7824">
        <w:rPr>
          <w:rFonts w:cs="Arial"/>
          <w:szCs w:val="22"/>
        </w:rPr>
        <w:t xml:space="preserve">M D </w:t>
      </w:r>
      <w:r w:rsidR="002A5EEA" w:rsidRPr="002B7824">
        <w:rPr>
          <w:rFonts w:cs="Arial"/>
          <w:szCs w:val="22"/>
        </w:rPr>
        <w:t>MATSETELA</w:t>
      </w:r>
      <w:r w:rsidR="00E17247" w:rsidRPr="002B7824">
        <w:rPr>
          <w:rFonts w:cs="Arial"/>
          <w:szCs w:val="22"/>
        </w:rPr>
        <w:tab/>
      </w:r>
    </w:p>
    <w:p w14:paraId="7AD1E6FB" w14:textId="442CC899" w:rsidR="006C43D7" w:rsidRPr="002B7824" w:rsidRDefault="00D71B57" w:rsidP="009A6493">
      <w:pPr>
        <w:widowControl w:val="0"/>
        <w:tabs>
          <w:tab w:val="right" w:pos="8364"/>
        </w:tabs>
        <w:spacing w:line="360" w:lineRule="auto"/>
        <w:contextualSpacing/>
        <w:jc w:val="both"/>
        <w:rPr>
          <w:rFonts w:cs="Arial"/>
          <w:szCs w:val="22"/>
        </w:rPr>
      </w:pPr>
      <w:r w:rsidRPr="002B7824">
        <w:rPr>
          <w:rFonts w:cs="Arial"/>
          <w:szCs w:val="22"/>
        </w:rPr>
        <w:tab/>
      </w:r>
      <w:r w:rsidRPr="002B7824">
        <w:rPr>
          <w:rFonts w:cs="Arial"/>
          <w:szCs w:val="22"/>
        </w:rPr>
        <w:tab/>
      </w:r>
    </w:p>
    <w:p w14:paraId="3A850B66" w14:textId="579BDA7A" w:rsidR="003A6F23" w:rsidRPr="002B7824" w:rsidRDefault="00D71B57" w:rsidP="009A6493">
      <w:pPr>
        <w:widowControl w:val="0"/>
        <w:tabs>
          <w:tab w:val="right" w:pos="8364"/>
        </w:tabs>
        <w:spacing w:line="360" w:lineRule="auto"/>
        <w:ind w:left="4253" w:hanging="4253"/>
        <w:contextualSpacing/>
        <w:rPr>
          <w:rFonts w:cs="Arial"/>
          <w:szCs w:val="22"/>
        </w:rPr>
      </w:pPr>
      <w:r w:rsidRPr="002B7824">
        <w:rPr>
          <w:rFonts w:cs="Arial"/>
          <w:szCs w:val="22"/>
        </w:rPr>
        <w:t xml:space="preserve">INSTRUCTED BY: </w:t>
      </w:r>
      <w:r w:rsidRPr="002B7824">
        <w:rPr>
          <w:rFonts w:cs="Arial"/>
          <w:szCs w:val="22"/>
        </w:rPr>
        <w:tab/>
      </w:r>
      <w:r w:rsidRPr="002B7824">
        <w:rPr>
          <w:rFonts w:cs="Arial"/>
          <w:szCs w:val="22"/>
        </w:rPr>
        <w:tab/>
      </w:r>
      <w:r w:rsidR="002A5EEA" w:rsidRPr="002B7824">
        <w:rPr>
          <w:rFonts w:cs="Arial"/>
          <w:szCs w:val="22"/>
        </w:rPr>
        <w:t>OKAFOR MA ATTORNEYS INC</w:t>
      </w:r>
    </w:p>
    <w:p w14:paraId="4E5F8816" w14:textId="77777777" w:rsidR="006C43D7" w:rsidRPr="002B7824" w:rsidRDefault="006C43D7" w:rsidP="009A6493">
      <w:pPr>
        <w:widowControl w:val="0"/>
        <w:tabs>
          <w:tab w:val="right" w:pos="0"/>
          <w:tab w:val="right" w:pos="8364"/>
        </w:tabs>
        <w:spacing w:line="360" w:lineRule="auto"/>
        <w:contextualSpacing/>
        <w:jc w:val="both"/>
        <w:rPr>
          <w:rFonts w:cs="Arial"/>
          <w:szCs w:val="22"/>
        </w:rPr>
      </w:pPr>
    </w:p>
    <w:p w14:paraId="02D9E0D3" w14:textId="5D2AD257" w:rsidR="0099709D" w:rsidRPr="002B7824" w:rsidRDefault="00D71B57" w:rsidP="0099709D">
      <w:pPr>
        <w:widowControl w:val="0"/>
        <w:tabs>
          <w:tab w:val="right" w:pos="0"/>
          <w:tab w:val="right" w:pos="8364"/>
        </w:tabs>
        <w:spacing w:line="360" w:lineRule="auto"/>
        <w:contextualSpacing/>
        <w:jc w:val="both"/>
        <w:rPr>
          <w:rFonts w:cs="Arial"/>
          <w:szCs w:val="22"/>
        </w:rPr>
      </w:pPr>
      <w:r w:rsidRPr="002B7824">
        <w:rPr>
          <w:rFonts w:cs="Arial"/>
          <w:szCs w:val="22"/>
        </w:rPr>
        <w:t xml:space="preserve">COUNSEL FOR </w:t>
      </w:r>
      <w:r w:rsidR="002A5EEA" w:rsidRPr="002B7824">
        <w:rPr>
          <w:rFonts w:cs="Arial"/>
          <w:szCs w:val="22"/>
        </w:rPr>
        <w:t>6</w:t>
      </w:r>
      <w:r w:rsidR="002A5EEA" w:rsidRPr="002B7824">
        <w:rPr>
          <w:rFonts w:cs="Arial"/>
          <w:szCs w:val="22"/>
          <w:vertAlign w:val="superscript"/>
        </w:rPr>
        <w:t>th</w:t>
      </w:r>
      <w:r w:rsidR="00E17247" w:rsidRPr="002B7824">
        <w:rPr>
          <w:rFonts w:cs="Arial"/>
          <w:szCs w:val="22"/>
          <w:vertAlign w:val="superscript"/>
        </w:rPr>
        <w:t xml:space="preserve"> </w:t>
      </w:r>
      <w:r w:rsidRPr="002B7824">
        <w:rPr>
          <w:rFonts w:cs="Arial"/>
          <w:szCs w:val="22"/>
        </w:rPr>
        <w:t>RESPONDENT:</w:t>
      </w:r>
      <w:r w:rsidR="002A5EEA" w:rsidRPr="002B7824">
        <w:rPr>
          <w:rFonts w:cs="Arial"/>
          <w:szCs w:val="22"/>
        </w:rPr>
        <w:tab/>
        <w:t>S</w:t>
      </w:r>
      <w:r w:rsidR="009C28AC" w:rsidRPr="002B7824">
        <w:rPr>
          <w:rFonts w:cs="Arial"/>
          <w:szCs w:val="22"/>
        </w:rPr>
        <w:t xml:space="preserve"> </w:t>
      </w:r>
      <w:r w:rsidR="002A5EEA" w:rsidRPr="002B7824">
        <w:rPr>
          <w:rFonts w:cs="Arial"/>
          <w:szCs w:val="22"/>
        </w:rPr>
        <w:t>F SIBISI</w:t>
      </w:r>
      <w:r w:rsidR="00E17247" w:rsidRPr="002B7824">
        <w:rPr>
          <w:rFonts w:cs="Arial"/>
          <w:szCs w:val="22"/>
        </w:rPr>
        <w:tab/>
      </w:r>
    </w:p>
    <w:p w14:paraId="5E98BA03" w14:textId="77777777" w:rsidR="006C43D7" w:rsidRPr="002B7824" w:rsidRDefault="006C43D7" w:rsidP="009A6493">
      <w:pPr>
        <w:widowControl w:val="0"/>
        <w:tabs>
          <w:tab w:val="right" w:pos="0"/>
          <w:tab w:val="right" w:pos="8364"/>
        </w:tabs>
        <w:spacing w:line="360" w:lineRule="auto"/>
        <w:contextualSpacing/>
        <w:jc w:val="both"/>
        <w:rPr>
          <w:rFonts w:cs="Arial"/>
          <w:szCs w:val="22"/>
        </w:rPr>
      </w:pPr>
    </w:p>
    <w:p w14:paraId="2424F3FC" w14:textId="6EBBA960" w:rsidR="006C43D7" w:rsidRPr="002B7824" w:rsidRDefault="00D71B57" w:rsidP="009A6493">
      <w:pPr>
        <w:widowControl w:val="0"/>
        <w:tabs>
          <w:tab w:val="right" w:pos="8364"/>
        </w:tabs>
        <w:spacing w:line="360" w:lineRule="auto"/>
        <w:contextualSpacing/>
        <w:jc w:val="both"/>
        <w:rPr>
          <w:rFonts w:cs="Arial"/>
          <w:szCs w:val="22"/>
        </w:rPr>
      </w:pPr>
      <w:r w:rsidRPr="002B7824">
        <w:rPr>
          <w:rFonts w:cs="Arial"/>
          <w:szCs w:val="22"/>
        </w:rPr>
        <w:t xml:space="preserve">INSTRUCTED BY: </w:t>
      </w:r>
      <w:r w:rsidR="002A5EEA" w:rsidRPr="002B7824">
        <w:rPr>
          <w:rFonts w:cs="Arial"/>
          <w:szCs w:val="22"/>
        </w:rPr>
        <w:tab/>
        <w:t>NTSHONA INC</w:t>
      </w:r>
      <w:r w:rsidRPr="002B7824">
        <w:rPr>
          <w:rFonts w:cs="Arial"/>
          <w:szCs w:val="22"/>
        </w:rPr>
        <w:tab/>
      </w:r>
    </w:p>
    <w:p w14:paraId="38B0DDCB" w14:textId="77777777" w:rsidR="006C43D7" w:rsidRPr="002B7824" w:rsidRDefault="006C43D7" w:rsidP="009A6493">
      <w:pPr>
        <w:widowControl w:val="0"/>
        <w:tabs>
          <w:tab w:val="right" w:pos="8364"/>
        </w:tabs>
        <w:spacing w:line="360" w:lineRule="auto"/>
        <w:contextualSpacing/>
        <w:jc w:val="both"/>
        <w:rPr>
          <w:rFonts w:cs="Arial"/>
          <w:szCs w:val="22"/>
        </w:rPr>
      </w:pPr>
    </w:p>
    <w:p w14:paraId="4F0F7D84" w14:textId="1A5A27C2" w:rsidR="001F6E8E" w:rsidRPr="002B7824" w:rsidRDefault="00D71B57" w:rsidP="009A6493">
      <w:pPr>
        <w:widowControl w:val="0"/>
        <w:tabs>
          <w:tab w:val="right" w:pos="0"/>
          <w:tab w:val="right" w:pos="8364"/>
        </w:tabs>
        <w:spacing w:line="360" w:lineRule="auto"/>
        <w:contextualSpacing/>
        <w:jc w:val="both"/>
        <w:rPr>
          <w:rFonts w:cs="Arial"/>
          <w:szCs w:val="22"/>
        </w:rPr>
      </w:pPr>
      <w:r w:rsidRPr="002B7824">
        <w:rPr>
          <w:rFonts w:cs="Arial"/>
          <w:szCs w:val="22"/>
        </w:rPr>
        <w:t>DATE OF THE HEARING:</w:t>
      </w:r>
      <w:r w:rsidRPr="002B7824">
        <w:rPr>
          <w:rFonts w:cs="Arial"/>
          <w:szCs w:val="22"/>
        </w:rPr>
        <w:tab/>
      </w:r>
      <w:r w:rsidR="001F6E8E" w:rsidRPr="002B7824">
        <w:rPr>
          <w:rFonts w:cs="Arial"/>
          <w:szCs w:val="22"/>
        </w:rPr>
        <w:t xml:space="preserve">8 JULY </w:t>
      </w:r>
      <w:r w:rsidRPr="002B7824">
        <w:rPr>
          <w:rFonts w:cs="Arial"/>
          <w:szCs w:val="22"/>
        </w:rPr>
        <w:t>2022</w:t>
      </w:r>
      <w:r w:rsidR="006E32B4" w:rsidRPr="002B7824">
        <w:rPr>
          <w:rFonts w:cs="Arial"/>
          <w:szCs w:val="22"/>
        </w:rPr>
        <w:t xml:space="preserve"> </w:t>
      </w:r>
    </w:p>
    <w:p w14:paraId="43FB3570" w14:textId="204F101D" w:rsidR="001F6E8E" w:rsidRPr="002B7824" w:rsidRDefault="001F6E8E" w:rsidP="009A6493">
      <w:pPr>
        <w:widowControl w:val="0"/>
        <w:tabs>
          <w:tab w:val="right" w:pos="0"/>
          <w:tab w:val="right" w:pos="8364"/>
        </w:tabs>
        <w:spacing w:line="360" w:lineRule="auto"/>
        <w:contextualSpacing/>
        <w:jc w:val="both"/>
        <w:rPr>
          <w:rFonts w:cs="Arial"/>
          <w:szCs w:val="22"/>
        </w:rPr>
      </w:pPr>
      <w:r w:rsidRPr="002B7824">
        <w:rPr>
          <w:rFonts w:cs="Arial"/>
          <w:szCs w:val="22"/>
        </w:rPr>
        <w:tab/>
      </w:r>
      <w:r w:rsidR="006E32B4" w:rsidRPr="002B7824">
        <w:rPr>
          <w:rFonts w:cs="Arial"/>
          <w:szCs w:val="22"/>
        </w:rPr>
        <w:t xml:space="preserve">and further heads filed on </w:t>
      </w:r>
    </w:p>
    <w:p w14:paraId="74398704" w14:textId="173DCFE6" w:rsidR="006C43D7" w:rsidRPr="002B7824" w:rsidRDefault="001F6E8E" w:rsidP="009A6493">
      <w:pPr>
        <w:widowControl w:val="0"/>
        <w:tabs>
          <w:tab w:val="right" w:pos="0"/>
          <w:tab w:val="right" w:pos="8364"/>
        </w:tabs>
        <w:spacing w:line="360" w:lineRule="auto"/>
        <w:contextualSpacing/>
        <w:jc w:val="both"/>
        <w:rPr>
          <w:rFonts w:cs="Arial"/>
          <w:szCs w:val="22"/>
        </w:rPr>
      </w:pPr>
      <w:r w:rsidRPr="002B7824">
        <w:rPr>
          <w:rFonts w:cs="Arial"/>
          <w:szCs w:val="22"/>
        </w:rPr>
        <w:tab/>
      </w:r>
      <w:r w:rsidR="006E32B4" w:rsidRPr="002B7824">
        <w:rPr>
          <w:rFonts w:cs="Arial"/>
          <w:szCs w:val="22"/>
        </w:rPr>
        <w:t>29 JULY 2022</w:t>
      </w:r>
    </w:p>
    <w:p w14:paraId="39EA6B92" w14:textId="10AE4BA5" w:rsidR="006E32B4" w:rsidRPr="002B7824" w:rsidRDefault="001F6E8E" w:rsidP="009A6493">
      <w:pPr>
        <w:widowControl w:val="0"/>
        <w:tabs>
          <w:tab w:val="right" w:pos="0"/>
          <w:tab w:val="right" w:pos="8364"/>
        </w:tabs>
        <w:spacing w:line="360" w:lineRule="auto"/>
        <w:contextualSpacing/>
        <w:jc w:val="both"/>
        <w:rPr>
          <w:rFonts w:cs="Arial"/>
          <w:szCs w:val="22"/>
        </w:rPr>
      </w:pPr>
      <w:r w:rsidRPr="002B7824">
        <w:rPr>
          <w:rFonts w:cs="Arial"/>
          <w:szCs w:val="22"/>
        </w:rPr>
        <w:tab/>
      </w:r>
    </w:p>
    <w:p w14:paraId="6D7F3969" w14:textId="010FF5F2" w:rsidR="00A675FB" w:rsidRPr="002B7824" w:rsidRDefault="00D71B57">
      <w:pPr>
        <w:widowControl w:val="0"/>
        <w:tabs>
          <w:tab w:val="right" w:pos="0"/>
          <w:tab w:val="right" w:pos="8364"/>
        </w:tabs>
        <w:spacing w:line="360" w:lineRule="auto"/>
        <w:contextualSpacing/>
        <w:jc w:val="both"/>
        <w:rPr>
          <w:rFonts w:cs="Arial"/>
          <w:szCs w:val="22"/>
        </w:rPr>
      </w:pPr>
      <w:r w:rsidRPr="002B7824">
        <w:rPr>
          <w:rFonts w:cs="Arial"/>
          <w:szCs w:val="22"/>
        </w:rPr>
        <w:t>DATE OF JUDGMENT:</w:t>
      </w:r>
      <w:r w:rsidRPr="002B7824">
        <w:rPr>
          <w:rFonts w:cs="Arial"/>
          <w:szCs w:val="22"/>
        </w:rPr>
        <w:tab/>
      </w:r>
      <w:r w:rsidR="002014D0">
        <w:rPr>
          <w:rFonts w:cs="Arial"/>
          <w:szCs w:val="22"/>
        </w:rPr>
        <w:t>4 AUGUST</w:t>
      </w:r>
      <w:r w:rsidRPr="002B7824">
        <w:rPr>
          <w:rFonts w:cs="Arial"/>
          <w:szCs w:val="22"/>
        </w:rPr>
        <w:t xml:space="preserve"> 2022</w:t>
      </w:r>
      <w:bookmarkEnd w:id="0"/>
    </w:p>
    <w:sectPr w:rsidR="00A675FB" w:rsidRPr="002B7824"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FF5BD" w14:textId="77777777" w:rsidR="001210E4" w:rsidRDefault="001210E4">
      <w:r>
        <w:separator/>
      </w:r>
    </w:p>
  </w:endnote>
  <w:endnote w:type="continuationSeparator" w:id="0">
    <w:p w14:paraId="36ABEC50" w14:textId="77777777" w:rsidR="001210E4" w:rsidRDefault="0012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E048" w14:textId="77777777" w:rsidR="001210E4" w:rsidRDefault="001210E4">
      <w:r>
        <w:separator/>
      </w:r>
    </w:p>
  </w:footnote>
  <w:footnote w:type="continuationSeparator" w:id="0">
    <w:p w14:paraId="493B2AB0" w14:textId="77777777" w:rsidR="001210E4" w:rsidRDefault="001210E4">
      <w:r>
        <w:continuationSeparator/>
      </w:r>
    </w:p>
  </w:footnote>
  <w:footnote w:id="1">
    <w:p w14:paraId="4A0D55BD" w14:textId="70F7218D" w:rsidR="006E32B4" w:rsidRPr="006E32B4" w:rsidRDefault="006E32B4" w:rsidP="006E32B4">
      <w:pPr>
        <w:spacing w:before="360" w:after="360" w:line="360" w:lineRule="auto"/>
        <w:rPr>
          <w:rFonts w:cs="Arial"/>
          <w:color w:val="000000" w:themeColor="text1"/>
          <w:sz w:val="20"/>
          <w:szCs w:val="20"/>
        </w:rPr>
      </w:pPr>
      <w:r>
        <w:rPr>
          <w:rStyle w:val="FootnoteReference"/>
        </w:rPr>
        <w:footnoteRef/>
      </w:r>
      <w:r>
        <w:t xml:space="preserve"> </w:t>
      </w:r>
      <w:r w:rsidRPr="006F72F0">
        <w:rPr>
          <w:sz w:val="20"/>
          <w:szCs w:val="20"/>
        </w:rPr>
        <w:tab/>
      </w:r>
      <w:r w:rsidR="006F72F0" w:rsidRPr="006F72F0">
        <w:rPr>
          <w:sz w:val="20"/>
          <w:szCs w:val="20"/>
        </w:rPr>
        <w:t xml:space="preserve">Reported on Saflii as </w:t>
      </w:r>
      <w:hyperlink r:id="rId1" w:history="1">
        <w:r w:rsidRPr="006F72F0">
          <w:rPr>
            <w:rStyle w:val="Hyperlink"/>
            <w:rFonts w:cs="Arial"/>
            <w:i/>
            <w:iCs/>
            <w:color w:val="000000" w:themeColor="text1"/>
            <w:sz w:val="20"/>
            <w:szCs w:val="20"/>
            <w:u w:val="none"/>
          </w:rPr>
          <w:t>Thusheni vs Minister of Home Affairs and Others</w:t>
        </w:r>
        <w:r w:rsidRPr="006F72F0">
          <w:rPr>
            <w:rStyle w:val="Hyperlink"/>
            <w:rFonts w:cs="Arial"/>
            <w:color w:val="000000" w:themeColor="text1"/>
            <w:sz w:val="20"/>
            <w:szCs w:val="20"/>
            <w:u w:val="none"/>
          </w:rPr>
          <w:t xml:space="preserve"> [2022] ZAGPJHC 343</w:t>
        </w:r>
      </w:hyperlink>
      <w:r w:rsidR="006F72F0" w:rsidRPr="006F72F0">
        <w:rPr>
          <w:rStyle w:val="Hyperlink"/>
          <w:rFonts w:cs="Arial"/>
          <w:color w:val="000000" w:themeColor="text1"/>
          <w:sz w:val="20"/>
          <w:szCs w:val="20"/>
          <w:u w:val="none"/>
        </w:rPr>
        <w:t>.</w:t>
      </w:r>
    </w:p>
    <w:p w14:paraId="7C9F0986" w14:textId="77777777" w:rsidR="006E32B4" w:rsidRDefault="006E32B4" w:rsidP="006E32B4">
      <w:pPr>
        <w:pStyle w:val="FootnoteText"/>
      </w:pPr>
    </w:p>
  </w:footnote>
  <w:footnote w:id="2">
    <w:p w14:paraId="15067848" w14:textId="77777777" w:rsidR="0055729D" w:rsidRPr="00323DD7" w:rsidRDefault="0055729D" w:rsidP="0055729D">
      <w:pPr>
        <w:pStyle w:val="FootnoteText"/>
        <w:rPr>
          <w:rFonts w:cs="Arial"/>
          <w:color w:val="000000" w:themeColor="text1"/>
        </w:rPr>
      </w:pPr>
      <w:r>
        <w:rPr>
          <w:rStyle w:val="FootnoteReference"/>
        </w:rPr>
        <w:footnoteRef/>
      </w:r>
      <w:r>
        <w:t xml:space="preserve"> </w:t>
      </w:r>
      <w:r>
        <w:tab/>
        <w:t xml:space="preserve">Rule 6(5)(g) of the Uniform Rules; Van Loggerenberg and Bertelsmann </w:t>
      </w:r>
      <w:r w:rsidRPr="00D24425">
        <w:rPr>
          <w:i/>
          <w:iCs/>
        </w:rPr>
        <w:t>Erasmus: Superior Court Practice</w:t>
      </w:r>
      <w:r>
        <w:t xml:space="preserve"> RS 17, 2021, D1-70;</w:t>
      </w:r>
      <w:r w:rsidRPr="00323DD7">
        <w:rPr>
          <w:rFonts w:cs="Arial"/>
          <w:color w:val="000000" w:themeColor="text1"/>
        </w:rPr>
        <w:t xml:space="preserve"> </w:t>
      </w:r>
      <w:r w:rsidRPr="00323DD7">
        <w:rPr>
          <w:rFonts w:cs="Arial"/>
          <w:i/>
          <w:iCs/>
          <w:color w:val="000000" w:themeColor="text1"/>
          <w:shd w:val="clear" w:color="auto" w:fill="FFFFFF"/>
        </w:rPr>
        <w:t>Room Hire Co (Pty) Ltd v Jeppe Street Mansions (Pty) Ltd</w:t>
      </w:r>
      <w:r w:rsidRPr="00323DD7">
        <w:rPr>
          <w:rFonts w:cs="Arial"/>
          <w:color w:val="000000" w:themeColor="text1"/>
          <w:shd w:val="clear" w:color="auto" w:fill="FFFFFF"/>
        </w:rPr>
        <w:t> </w:t>
      </w:r>
      <w:hyperlink r:id="rId2" w:anchor="y1949v3SApg1155" w:history="1">
        <w:r w:rsidRPr="00323DD7">
          <w:rPr>
            <w:rFonts w:cs="Arial"/>
            <w:color w:val="000000" w:themeColor="text1"/>
            <w:shd w:val="clear" w:color="auto" w:fill="FFFFFF"/>
          </w:rPr>
          <w:t>1949 (3) SA 1155 (T)</w:t>
        </w:r>
      </w:hyperlink>
      <w:r>
        <w:rPr>
          <w:rFonts w:cs="Arial"/>
          <w:color w:val="000000" w:themeColor="text1"/>
          <w:shd w:val="clear" w:color="auto" w:fill="FFFFFF"/>
        </w:rPr>
        <w:t xml:space="preserve"> </w:t>
      </w:r>
      <w:r w:rsidRPr="00323DD7">
        <w:rPr>
          <w:rFonts w:cs="Arial"/>
          <w:color w:val="000000" w:themeColor="text1"/>
          <w:shd w:val="clear" w:color="auto" w:fill="FFFFFF"/>
        </w:rPr>
        <w:t>1162 and 1168</w:t>
      </w:r>
      <w:r>
        <w:rPr>
          <w:rFonts w:cs="Arial"/>
          <w:color w:val="000000" w:themeColor="text1"/>
          <w:shd w:val="clear" w:color="auto" w:fill="FFFFFF"/>
        </w:rPr>
        <w:t xml:space="preserve">; </w:t>
      </w:r>
      <w:r w:rsidRPr="00323DD7">
        <w:rPr>
          <w:rFonts w:cs="Arial"/>
          <w:i/>
          <w:iCs/>
          <w:color w:val="000000" w:themeColor="text1"/>
          <w:shd w:val="clear" w:color="auto" w:fill="FFFFFF"/>
        </w:rPr>
        <w:t>Gounder v Top Spec Investments (Pty) Ltd</w:t>
      </w:r>
      <w:r w:rsidRPr="00323DD7">
        <w:rPr>
          <w:rFonts w:cs="Arial"/>
          <w:color w:val="000000" w:themeColor="text1"/>
          <w:shd w:val="clear" w:color="auto" w:fill="FFFFFF"/>
        </w:rPr>
        <w:t> </w:t>
      </w:r>
      <w:hyperlink r:id="rId3" w:anchor="y2008v5SApg151" w:history="1">
        <w:r w:rsidRPr="00323DD7">
          <w:rPr>
            <w:rStyle w:val="Hyperlink"/>
            <w:rFonts w:cs="Arial"/>
            <w:color w:val="000000" w:themeColor="text1"/>
            <w:u w:val="none"/>
            <w:shd w:val="clear" w:color="auto" w:fill="FFFFFF"/>
          </w:rPr>
          <w:t>2008 (5) SA 151 (SCA)</w:t>
        </w:r>
      </w:hyperlink>
      <w:r>
        <w:rPr>
          <w:rFonts w:cs="Arial"/>
          <w:color w:val="000000" w:themeColor="text1"/>
          <w:shd w:val="clear" w:color="auto" w:fill="FFFFFF"/>
        </w:rPr>
        <w:t xml:space="preserve"> paras 9 and 10.</w:t>
      </w:r>
    </w:p>
  </w:footnote>
  <w:footnote w:id="3">
    <w:p w14:paraId="4B1A4E07" w14:textId="7BA4A67C" w:rsidR="00BA24FC" w:rsidRDefault="00BA24FC">
      <w:pPr>
        <w:pStyle w:val="FootnoteText"/>
      </w:pPr>
      <w:r>
        <w:rPr>
          <w:rStyle w:val="FootnoteReference"/>
        </w:rPr>
        <w:footnoteRef/>
      </w:r>
      <w:r>
        <w:t xml:space="preserve"> </w:t>
      </w:r>
      <w:r>
        <w:tab/>
      </w:r>
      <w:r w:rsidRPr="00500FB3">
        <w:t xml:space="preserve">A. Dube &amp; M Machaya </w:t>
      </w:r>
      <w:r>
        <w:t>‘</w:t>
      </w:r>
      <w:r w:rsidRPr="00500FB3">
        <w:t>The Doctrine of Res Judicata Revisited: Molaudzi v The State</w:t>
      </w:r>
      <w:r>
        <w:t>’</w:t>
      </w:r>
      <w:r w:rsidRPr="00500FB3">
        <w:t xml:space="preserve"> </w:t>
      </w:r>
      <w:r w:rsidRPr="00500FB3">
        <w:rPr>
          <w:i/>
          <w:iCs/>
        </w:rPr>
        <w:t>(39)</w:t>
      </w:r>
      <w:r w:rsidRPr="00BA24FC">
        <w:rPr>
          <w:i/>
          <w:iCs/>
        </w:rPr>
        <w:t xml:space="preserve"> S</w:t>
      </w:r>
      <w:r w:rsidRPr="00500FB3">
        <w:rPr>
          <w:i/>
          <w:iCs/>
        </w:rPr>
        <w:t>trategic Review for Southern Africa</w:t>
      </w:r>
      <w:r>
        <w:rPr>
          <w:i/>
          <w:iCs/>
        </w:rPr>
        <w:t>.</w:t>
      </w:r>
    </w:p>
  </w:footnote>
  <w:footnote w:id="4">
    <w:p w14:paraId="11DCBAD1" w14:textId="77777777" w:rsidR="00994D8A" w:rsidRDefault="00994D8A" w:rsidP="00994D8A">
      <w:pPr>
        <w:pStyle w:val="FootnoteText"/>
      </w:pPr>
      <w:r>
        <w:rPr>
          <w:rStyle w:val="FootnoteReference"/>
        </w:rPr>
        <w:footnoteRef/>
      </w:r>
      <w:r>
        <w:t xml:space="preserve"> </w:t>
      </w:r>
      <w:r>
        <w:tab/>
      </w:r>
      <w:r w:rsidR="00FD3D6E" w:rsidRPr="00FD3D6E">
        <w:rPr>
          <w:rFonts w:cs="Arial"/>
          <w:i/>
          <w:iCs/>
        </w:rPr>
        <w:t>Mamadi and Another v Premier of Limpopo Province and Others</w:t>
      </w:r>
      <w:r w:rsidR="00FD3D6E" w:rsidRPr="00FD3D6E">
        <w:rPr>
          <w:rFonts w:cs="Arial"/>
        </w:rPr>
        <w:t xml:space="preserve"> [2022] ZACC 26</w:t>
      </w:r>
      <w:r>
        <w:rPr>
          <w:rFonts w:cs="Arial"/>
        </w:rPr>
        <w:t xml:space="preserve"> para 22.</w:t>
      </w:r>
    </w:p>
  </w:footnote>
  <w:footnote w:id="5">
    <w:p w14:paraId="69669379" w14:textId="0D868DD9" w:rsidR="00FD3D6E" w:rsidRDefault="00FD3D6E">
      <w:pPr>
        <w:pStyle w:val="FootnoteText"/>
      </w:pPr>
      <w:r>
        <w:rPr>
          <w:rStyle w:val="FootnoteReference"/>
        </w:rPr>
        <w:footnoteRef/>
      </w:r>
      <w:r>
        <w:t xml:space="preserve"> </w:t>
      </w:r>
      <w:r>
        <w:tab/>
      </w:r>
      <w:r w:rsidR="00321F7F" w:rsidRPr="009D1E63">
        <w:t xml:space="preserve">Zondo </w:t>
      </w:r>
      <w:r w:rsidR="00321F7F">
        <w:t>A</w:t>
      </w:r>
      <w:r w:rsidR="00321F7F" w:rsidRPr="009D1E63">
        <w:t>CJ, Kollapen J, Madlanga J, Majiedt J</w:t>
      </w:r>
      <w:r w:rsidR="00321F7F">
        <w:t>, Mathopo J, Mhlantla J, Mlambo AJ, Tshiqi J and Unterhalter </w:t>
      </w:r>
      <w:r w:rsidR="00321F7F" w:rsidRPr="009D1E63">
        <w:t xml:space="preserve">AJ </w:t>
      </w:r>
      <w:r w:rsidR="00321F7F">
        <w:t>concurring</w:t>
      </w:r>
    </w:p>
  </w:footnote>
  <w:footnote w:id="6">
    <w:p w14:paraId="26B8D6BF" w14:textId="28F7D0A9" w:rsidR="00A93A39" w:rsidRDefault="00A93A39" w:rsidP="00A93A39">
      <w:pPr>
        <w:pStyle w:val="FootnoteText"/>
      </w:pPr>
      <w:r>
        <w:rPr>
          <w:rStyle w:val="FootnoteReference"/>
        </w:rPr>
        <w:footnoteRef/>
      </w:r>
      <w:r>
        <w:t xml:space="preserve"> </w:t>
      </w:r>
      <w:r>
        <w:tab/>
      </w:r>
      <w:r w:rsidR="00E87A28">
        <w:t xml:space="preserve">See also </w:t>
      </w:r>
      <w:r w:rsidRPr="0048427B">
        <w:rPr>
          <w:i/>
        </w:rPr>
        <w:t>Lombaard v Droprop</w:t>
      </w:r>
      <w:r>
        <w:t xml:space="preserve"> </w:t>
      </w:r>
      <w:r w:rsidRPr="00AA4B1C">
        <w:rPr>
          <w:i/>
        </w:rPr>
        <w:t>CC</w:t>
      </w:r>
      <w:r>
        <w:t xml:space="preserve"> [2010] ZASCA 86; </w:t>
      </w:r>
      <w:r w:rsidRPr="0061341D">
        <w:t>2010 (5) SA 1 (SCA)</w:t>
      </w:r>
      <w:r>
        <w:t xml:space="preserve"> para 26</w:t>
      </w:r>
      <w:r w:rsidR="00E87A28">
        <w:t>, last sentence.</w:t>
      </w:r>
    </w:p>
  </w:footnote>
  <w:footnote w:id="7">
    <w:p w14:paraId="0B5AE968" w14:textId="3FFE929A" w:rsidR="00321F7F" w:rsidRDefault="00321F7F" w:rsidP="00321F7F">
      <w:pPr>
        <w:pStyle w:val="FootnoteText"/>
        <w:jc w:val="both"/>
      </w:pPr>
      <w:r>
        <w:rPr>
          <w:rStyle w:val="FootnoteReference"/>
        </w:rPr>
        <w:footnoteRef/>
      </w:r>
      <w:r>
        <w:t xml:space="preserve"> </w:t>
      </w:r>
      <w:r>
        <w:tab/>
      </w:r>
      <w:r w:rsidRPr="00F00A36">
        <w:rPr>
          <w:rFonts w:eastAsia="Calibri" w:cs="Arial"/>
          <w:i/>
          <w:iCs/>
          <w:szCs w:val="22"/>
        </w:rPr>
        <w:t xml:space="preserve">Mont Chevaux Trust </w:t>
      </w:r>
      <w:r w:rsidRPr="00F00A36">
        <w:rPr>
          <w:rFonts w:cs="Arial"/>
          <w:i/>
          <w:iCs/>
          <w:szCs w:val="22"/>
        </w:rPr>
        <w:t xml:space="preserve">(IT 2012/28) </w:t>
      </w:r>
      <w:r w:rsidRPr="00F00A36">
        <w:rPr>
          <w:rFonts w:eastAsia="Calibri" w:cs="Arial"/>
          <w:i/>
          <w:iCs/>
          <w:szCs w:val="22"/>
        </w:rPr>
        <w:t>v Tina Goosen</w:t>
      </w:r>
      <w:r w:rsidRPr="00054474">
        <w:rPr>
          <w:rFonts w:eastAsia="Calibri" w:cs="Arial"/>
          <w:color w:val="000000"/>
        </w:rPr>
        <w:t xml:space="preserve"> 2014 JDR 2325 (LCC)</w:t>
      </w:r>
      <w:r>
        <w:rPr>
          <w:rFonts w:cs="Arial"/>
        </w:rPr>
        <w:t xml:space="preserve">, </w:t>
      </w:r>
      <w:r w:rsidRPr="00054474">
        <w:rPr>
          <w:rFonts w:cs="Arial"/>
        </w:rPr>
        <w:t>[2014] ZALCC 20 para 6</w:t>
      </w:r>
      <w:r>
        <w:rPr>
          <w:rFonts w:cs="Arial"/>
        </w:rPr>
        <w:t xml:space="preserve">; </w:t>
      </w:r>
      <w:r w:rsidRPr="00F00A36">
        <w:rPr>
          <w:rFonts w:eastAsia="Calibri" w:cs="Arial"/>
          <w:i/>
          <w:iCs/>
          <w:szCs w:val="22"/>
        </w:rPr>
        <w:t>S v Notshokovu</w:t>
      </w:r>
      <w:r w:rsidRPr="00781BB9">
        <w:rPr>
          <w:rFonts w:eastAsia="Calibri" w:cs="Arial"/>
          <w:color w:val="000000"/>
        </w:rPr>
        <w:t xml:space="preserve"> [2016] ZASCA 112 para 2. See also</w:t>
      </w:r>
      <w:r w:rsidRPr="000C5B08">
        <w:rPr>
          <w:rFonts w:eastAsia="Calibri"/>
        </w:rPr>
        <w:t xml:space="preserve"> </w:t>
      </w:r>
      <w:r w:rsidRPr="00942770">
        <w:rPr>
          <w:rFonts w:eastAsia="Calibri"/>
        </w:rPr>
        <w:t>Van Loggerenberg</w:t>
      </w:r>
      <w:r>
        <w:rPr>
          <w:rFonts w:eastAsia="Calibri"/>
        </w:rPr>
        <w:t xml:space="preserve"> and Bertelsmann </w:t>
      </w:r>
      <w:r w:rsidRPr="00942770">
        <w:rPr>
          <w:rFonts w:eastAsia="Calibri"/>
          <w:i/>
          <w:iCs/>
        </w:rPr>
        <w:t xml:space="preserve">Erasmus: </w:t>
      </w:r>
      <w:r>
        <w:rPr>
          <w:rFonts w:eastAsia="Calibri"/>
          <w:i/>
          <w:iCs/>
        </w:rPr>
        <w:t>S</w:t>
      </w:r>
      <w:r w:rsidRPr="00942770">
        <w:rPr>
          <w:rFonts w:eastAsia="Calibri"/>
          <w:i/>
          <w:iCs/>
        </w:rPr>
        <w:t>uperior Court Practice</w:t>
      </w:r>
      <w:r>
        <w:rPr>
          <w:rFonts w:eastAsia="Calibri"/>
        </w:rPr>
        <w:t xml:space="preserve"> </w:t>
      </w:r>
      <w:r w:rsidRPr="00942770">
        <w:rPr>
          <w:rFonts w:eastAsia="Calibri"/>
        </w:rPr>
        <w:t>A2-55</w:t>
      </w:r>
      <w:r>
        <w:rPr>
          <w:rFonts w:eastAsia="Calibri"/>
        </w:rPr>
        <w:t>;</w:t>
      </w:r>
      <w:r w:rsidRPr="00781BB9">
        <w:rPr>
          <w:rFonts w:eastAsia="Calibri" w:cs="Arial"/>
          <w:color w:val="000000"/>
        </w:rPr>
        <w:t xml:space="preserve"> </w:t>
      </w:r>
      <w:r w:rsidRPr="00781BB9">
        <w:rPr>
          <w:rFonts w:eastAsia="Calibri" w:cs="Arial"/>
          <w:i/>
          <w:iCs/>
          <w:color w:val="000000"/>
        </w:rPr>
        <w:t xml:space="preserve">The Acting National Director of Public Prosecution v Democratic Alliance </w:t>
      </w:r>
      <w:r w:rsidRPr="00781BB9">
        <w:rPr>
          <w:rFonts w:eastAsia="Calibri" w:cs="Arial"/>
          <w:color w:val="000000"/>
        </w:rPr>
        <w:t>[2016] ZAGPPHC 489</w:t>
      </w:r>
      <w:r>
        <w:rPr>
          <w:rFonts w:eastAsia="Calibri" w:cs="Arial"/>
          <w:color w:val="000000"/>
        </w:rPr>
        <w:t>,</w:t>
      </w:r>
      <w:r w:rsidRPr="00781BB9">
        <w:rPr>
          <w:rFonts w:eastAsia="Calibri" w:cs="Arial"/>
          <w:color w:val="000000"/>
        </w:rPr>
        <w:t xml:space="preserve"> </w:t>
      </w:r>
      <w:r w:rsidRPr="00942770">
        <w:rPr>
          <w:rFonts w:eastAsia="Calibri"/>
        </w:rPr>
        <w:t>JOL</w:t>
      </w:r>
      <w:r>
        <w:rPr>
          <w:rFonts w:eastAsia="Calibri"/>
        </w:rPr>
        <w:t xml:space="preserve"> </w:t>
      </w:r>
      <w:r w:rsidRPr="00942770">
        <w:rPr>
          <w:rFonts w:eastAsia="Calibri"/>
        </w:rPr>
        <w:t>36123 (GP)</w:t>
      </w:r>
      <w:r>
        <w:rPr>
          <w:rFonts w:eastAsia="Calibri"/>
        </w:rPr>
        <w:t xml:space="preserve"> </w:t>
      </w:r>
      <w:r w:rsidRPr="00781BB9">
        <w:rPr>
          <w:rFonts w:eastAsia="Calibri" w:cs="Arial"/>
          <w:color w:val="000000"/>
        </w:rPr>
        <w:t>para 25</w:t>
      </w:r>
      <w:r>
        <w:rPr>
          <w:rFonts w:eastAsia="Calibri" w:cs="Arial"/>
          <w:color w:val="000000"/>
        </w:rPr>
        <w:t xml:space="preserve">; </w:t>
      </w:r>
      <w:r w:rsidRPr="00781BB9">
        <w:rPr>
          <w:rFonts w:eastAsia="Calibri" w:cs="Arial"/>
          <w:i/>
          <w:iCs/>
          <w:color w:val="000000"/>
        </w:rPr>
        <w:t xml:space="preserve">South African Breweries (Pty) Ltd v Commissioner of the South African Revenue Services </w:t>
      </w:r>
      <w:r w:rsidRPr="00781BB9">
        <w:rPr>
          <w:rFonts w:eastAsia="Calibri" w:cs="Arial"/>
          <w:color w:val="000000"/>
        </w:rPr>
        <w:t>[2017] ZAGPPHC 340 para</w:t>
      </w:r>
      <w:r>
        <w:rPr>
          <w:rFonts w:eastAsia="Calibri" w:cs="Arial"/>
          <w:color w:val="000000"/>
        </w:rPr>
        <w:t xml:space="preserve"> </w:t>
      </w:r>
      <w:r w:rsidRPr="00781BB9">
        <w:rPr>
          <w:rFonts w:eastAsia="Calibri" w:cs="Arial"/>
          <w:color w:val="000000"/>
        </w:rPr>
        <w:t>5</w:t>
      </w:r>
      <w:r>
        <w:rPr>
          <w:rFonts w:eastAsia="Calibri"/>
        </w:rPr>
        <w:t>;</w:t>
      </w:r>
      <w:r w:rsidRPr="00942770">
        <w:rPr>
          <w:rFonts w:eastAsia="Calibri"/>
        </w:rPr>
        <w:t xml:space="preserve"> </w:t>
      </w:r>
      <w:r w:rsidRPr="00942770">
        <w:rPr>
          <w:rFonts w:eastAsia="Calibri"/>
          <w:i/>
          <w:iCs/>
        </w:rPr>
        <w:t>Lakaje N.O v MEC: Department of Health</w:t>
      </w:r>
      <w:r w:rsidRPr="00942770">
        <w:rPr>
          <w:rFonts w:eastAsia="Calibri"/>
        </w:rPr>
        <w:t xml:space="preserve"> [2019] JOL 45564 (FB)</w:t>
      </w:r>
      <w:r>
        <w:rPr>
          <w:rFonts w:eastAsia="Calibri"/>
        </w:rPr>
        <w:t xml:space="preserve"> </w:t>
      </w:r>
      <w:r w:rsidRPr="0075653F">
        <w:rPr>
          <w:rFonts w:eastAsia="Calibri" w:cs="Arial"/>
          <w:color w:val="000000"/>
        </w:rPr>
        <w:t>para 5;</w:t>
      </w:r>
      <w:r w:rsidRPr="00EF3F2A">
        <w:rPr>
          <w:rFonts w:eastAsia="Calibri" w:cs="Arial"/>
          <w:i/>
          <w:iCs/>
          <w:color w:val="000000"/>
        </w:rPr>
        <w:t xml:space="preserve"> </w:t>
      </w:r>
      <w:r w:rsidRPr="00E21A09">
        <w:rPr>
          <w:rFonts w:eastAsia="Calibri" w:cs="Arial"/>
          <w:i/>
          <w:iCs/>
          <w:color w:val="000000"/>
        </w:rPr>
        <w:t xml:space="preserve">Nwafor v Minister of Home Affairs </w:t>
      </w:r>
      <w:r w:rsidRPr="00E21A09">
        <w:rPr>
          <w:rFonts w:eastAsia="Calibri" w:cs="Arial"/>
          <w:color w:val="000000"/>
        </w:rPr>
        <w:t>[2021] JOL 50310 (SCA)</w:t>
      </w:r>
      <w:r>
        <w:rPr>
          <w:rFonts w:eastAsia="Calibri" w:cs="Arial"/>
          <w:color w:val="000000"/>
        </w:rPr>
        <w:t>,</w:t>
      </w:r>
      <w:r w:rsidRPr="00EF3F2A">
        <w:rPr>
          <w:rFonts w:cs="Arial"/>
          <w:color w:val="000000"/>
          <w:shd w:val="clear" w:color="auto" w:fill="FFFFFF"/>
        </w:rPr>
        <w:t xml:space="preserve"> 2021 JDR 0948 (SCA)</w:t>
      </w:r>
      <w:r w:rsidRPr="00EF3F2A">
        <w:rPr>
          <w:rFonts w:eastAsia="Calibri" w:cs="Arial"/>
          <w:color w:val="000000"/>
        </w:rPr>
        <w:t xml:space="preserve"> paras 25 </w:t>
      </w:r>
      <w:r w:rsidRPr="00E21A09">
        <w:rPr>
          <w:rFonts w:eastAsia="Calibri" w:cs="Arial"/>
          <w:color w:val="000000"/>
        </w:rPr>
        <w:t>and 26</w:t>
      </w:r>
      <w:r>
        <w:rPr>
          <w:rFonts w:eastAsia="Calibri" w:cs="Arial"/>
          <w:color w:val="000000"/>
        </w:rPr>
        <w:t>.</w:t>
      </w:r>
    </w:p>
  </w:footnote>
  <w:footnote w:id="8">
    <w:p w14:paraId="7ED142E6" w14:textId="0F77137E" w:rsidR="00224EF0" w:rsidRDefault="00224EF0" w:rsidP="00224EF0">
      <w:pPr>
        <w:pStyle w:val="FootnoteText"/>
        <w:jc w:val="both"/>
      </w:pPr>
      <w:r>
        <w:rPr>
          <w:rStyle w:val="FootnoteReference"/>
        </w:rPr>
        <w:footnoteRef/>
      </w:r>
      <w:r>
        <w:t xml:space="preserve"> </w:t>
      </w:r>
      <w:r>
        <w:tab/>
      </w:r>
      <w:r w:rsidR="00431DD4" w:rsidRPr="002B7824">
        <w:rPr>
          <w:rFonts w:eastAsia="Calibri" w:cs="Arial"/>
          <w:i/>
          <w:iCs/>
          <w:sz w:val="22"/>
          <w:szCs w:val="22"/>
        </w:rPr>
        <w:t>KwaZulu-Natal Law Society v Sharma</w:t>
      </w:r>
      <w:r w:rsidR="00431DD4" w:rsidRPr="008534B3">
        <w:rPr>
          <w:rFonts w:cs="Arial"/>
        </w:rPr>
        <w:t xml:space="preserve"> </w:t>
      </w:r>
      <w:r w:rsidRPr="008534B3">
        <w:rPr>
          <w:rFonts w:cs="Arial"/>
        </w:rPr>
        <w:t>2017 JDR 0753 (KZP)</w:t>
      </w:r>
      <w:r>
        <w:rPr>
          <w:rFonts w:cs="Arial"/>
        </w:rPr>
        <w:t xml:space="preserve">, </w:t>
      </w:r>
      <w:r w:rsidRPr="00E21A09">
        <w:rPr>
          <w:rFonts w:eastAsia="Calibri" w:cs="Arial"/>
          <w:color w:val="000000"/>
        </w:rPr>
        <w:t xml:space="preserve"> [2017] JOL 37724 (KZP) para</w:t>
      </w:r>
      <w:r>
        <w:rPr>
          <w:rFonts w:eastAsia="Calibri" w:cs="Arial"/>
          <w:color w:val="000000"/>
        </w:rPr>
        <w:t>s</w:t>
      </w:r>
      <w:r w:rsidRPr="00E21A09">
        <w:rPr>
          <w:rFonts w:eastAsia="Calibri" w:cs="Arial"/>
          <w:color w:val="000000"/>
        </w:rPr>
        <w:t xml:space="preserve"> 29</w:t>
      </w:r>
      <w:r>
        <w:rPr>
          <w:rFonts w:eastAsia="Calibri" w:cs="Arial"/>
          <w:color w:val="000000"/>
        </w:rPr>
        <w:t xml:space="preserve"> to 30</w:t>
      </w:r>
      <w:r w:rsidRPr="00E21A09">
        <w:rPr>
          <w:rFonts w:eastAsia="Calibri" w:cs="Arial"/>
          <w:color w:val="000000"/>
        </w:rPr>
        <w:t>.</w:t>
      </w:r>
    </w:p>
  </w:footnote>
  <w:footnote w:id="9">
    <w:p w14:paraId="3D005EA7" w14:textId="60B5E800" w:rsidR="00224EF0" w:rsidRDefault="00224EF0" w:rsidP="00224EF0">
      <w:pPr>
        <w:pStyle w:val="FootnoteText"/>
        <w:jc w:val="both"/>
      </w:pPr>
      <w:r>
        <w:rPr>
          <w:rStyle w:val="FootnoteReference"/>
        </w:rPr>
        <w:footnoteRef/>
      </w:r>
      <w:r>
        <w:t xml:space="preserve"> </w:t>
      </w:r>
      <w:r>
        <w:tab/>
      </w:r>
      <w:r w:rsidR="00431DD4" w:rsidRPr="002B7824">
        <w:rPr>
          <w:rFonts w:eastAsia="Calibri" w:cs="Arial"/>
          <w:i/>
          <w:iCs/>
          <w:sz w:val="22"/>
          <w:szCs w:val="22"/>
        </w:rPr>
        <w:t>S v Smith</w:t>
      </w:r>
      <w:r w:rsidR="00431DD4" w:rsidRPr="00E21A09">
        <w:rPr>
          <w:rFonts w:eastAsia="Calibri" w:cs="Arial"/>
          <w:color w:val="000000"/>
        </w:rPr>
        <w:t xml:space="preserve"> </w:t>
      </w:r>
      <w:r w:rsidRPr="00E21A09">
        <w:rPr>
          <w:rFonts w:eastAsia="Calibri" w:cs="Arial"/>
          <w:color w:val="000000"/>
        </w:rPr>
        <w:t>2012 (1) SACR 567 (SCA) para 7</w:t>
      </w:r>
      <w:r>
        <w:rPr>
          <w:rFonts w:eastAsia="Calibri" w:cs="Arial"/>
          <w:color w:val="000000"/>
        </w:rPr>
        <w:t>.</w:t>
      </w:r>
    </w:p>
  </w:footnote>
  <w:footnote w:id="10">
    <w:p w14:paraId="7A438984" w14:textId="7F95B11C" w:rsidR="00321F7F" w:rsidRPr="00D457F9" w:rsidRDefault="00321F7F" w:rsidP="00321F7F">
      <w:pPr>
        <w:pStyle w:val="FootnoteText"/>
      </w:pPr>
      <w:r>
        <w:rPr>
          <w:rStyle w:val="FootnoteReference"/>
        </w:rPr>
        <w:footnoteRef/>
      </w:r>
      <w:r>
        <w:t xml:space="preserve"> </w:t>
      </w:r>
      <w:r>
        <w:tab/>
      </w:r>
      <w:r w:rsidR="00431DD4" w:rsidRPr="002B7824">
        <w:rPr>
          <w:rFonts w:cs="Arial"/>
          <w:i/>
          <w:iCs/>
          <w:color w:val="000000" w:themeColor="text1"/>
          <w:sz w:val="22"/>
          <w:szCs w:val="22"/>
          <w:shd w:val="clear" w:color="auto" w:fill="FFFFFF"/>
        </w:rPr>
        <w:t>Dexgroup (Pty) Ltd v Trustco Group International (Pty) Ltd</w:t>
      </w:r>
      <w:r w:rsidR="00431DD4" w:rsidRPr="00D457F9">
        <w:rPr>
          <w:rFonts w:cs="Arial"/>
          <w:color w:val="000000" w:themeColor="text1"/>
        </w:rPr>
        <w:t xml:space="preserve"> </w:t>
      </w:r>
      <w:r w:rsidRPr="00D457F9">
        <w:rPr>
          <w:rFonts w:cs="Arial"/>
          <w:color w:val="000000" w:themeColor="text1"/>
        </w:rPr>
        <w:t>2013</w:t>
      </w:r>
      <w:r w:rsidRPr="00D457F9">
        <w:rPr>
          <w:rFonts w:cs="Arial"/>
          <w:color w:val="000000" w:themeColor="text1"/>
          <w:shd w:val="clear" w:color="auto" w:fill="FFFFFF"/>
        </w:rPr>
        <w:t> (</w:t>
      </w:r>
      <w:r w:rsidRPr="00D457F9">
        <w:rPr>
          <w:rFonts w:cs="Arial"/>
          <w:color w:val="000000" w:themeColor="text1"/>
        </w:rPr>
        <w:t>6</w:t>
      </w:r>
      <w:r w:rsidRPr="00D457F9">
        <w:rPr>
          <w:rFonts w:cs="Arial"/>
          <w:color w:val="000000" w:themeColor="text1"/>
          <w:shd w:val="clear" w:color="auto" w:fill="FFFFFF"/>
        </w:rPr>
        <w:t>) </w:t>
      </w:r>
      <w:r w:rsidRPr="00D457F9">
        <w:rPr>
          <w:rFonts w:cs="Arial"/>
          <w:color w:val="000000" w:themeColor="text1"/>
        </w:rPr>
        <w:t>SA</w:t>
      </w:r>
      <w:r w:rsidRPr="00D457F9">
        <w:rPr>
          <w:rFonts w:cs="Arial"/>
          <w:color w:val="000000" w:themeColor="text1"/>
          <w:shd w:val="clear" w:color="auto" w:fill="FFFFFF"/>
        </w:rPr>
        <w:t> </w:t>
      </w:r>
      <w:r w:rsidRPr="00D457F9">
        <w:rPr>
          <w:rFonts w:cs="Arial"/>
          <w:color w:val="000000" w:themeColor="text1"/>
        </w:rPr>
        <w:t>520</w:t>
      </w:r>
      <w:r w:rsidRPr="00D457F9">
        <w:rPr>
          <w:rFonts w:cs="Arial"/>
          <w:color w:val="000000" w:themeColor="text1"/>
          <w:shd w:val="clear" w:color="auto" w:fill="FFFFFF"/>
        </w:rPr>
        <w:t> (SCA) para 24.</w:t>
      </w:r>
    </w:p>
  </w:footnote>
  <w:footnote w:id="11">
    <w:p w14:paraId="294510E5" w14:textId="7EAB3F1A" w:rsidR="00D457F9" w:rsidRPr="00D457F9" w:rsidRDefault="00D457F9">
      <w:pPr>
        <w:pStyle w:val="FootnoteText"/>
      </w:pPr>
      <w:r w:rsidRPr="00D457F9">
        <w:rPr>
          <w:rStyle w:val="FootnoteReference"/>
        </w:rPr>
        <w:footnoteRef/>
      </w:r>
      <w:r w:rsidRPr="00D457F9">
        <w:t xml:space="preserve"> </w:t>
      </w:r>
      <w:r>
        <w:tab/>
      </w:r>
      <w:r w:rsidR="002014D0">
        <w:t>Paras 31 to 37 of the founding affidavit, at page 001-23 to 001-26 on Caselines.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7CC4BD14"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E70C8">
      <w:rPr>
        <w:rFonts w:cs="Arial"/>
        <w:noProof/>
        <w:sz w:val="20"/>
        <w:szCs w:val="20"/>
        <w:lang w:val="en-GB"/>
      </w:rPr>
      <w:t>7</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
  </w:num>
  <w:num w:numId="2">
    <w:abstractNumId w:val="1"/>
  </w:num>
  <w:num w:numId="3">
    <w:abstractNumId w:val="11"/>
  </w:num>
  <w:num w:numId="4">
    <w:abstractNumId w:val="5"/>
  </w:num>
  <w:num w:numId="5">
    <w:abstractNumId w:val="10"/>
  </w:num>
  <w:num w:numId="6">
    <w:abstractNumId w:val="7"/>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8"/>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1111B"/>
    <w:rsid w:val="0001140A"/>
    <w:rsid w:val="00013B7F"/>
    <w:rsid w:val="000153E9"/>
    <w:rsid w:val="00016C5A"/>
    <w:rsid w:val="000207F6"/>
    <w:rsid w:val="000248F1"/>
    <w:rsid w:val="00024A29"/>
    <w:rsid w:val="00034AE8"/>
    <w:rsid w:val="00047055"/>
    <w:rsid w:val="00047AA2"/>
    <w:rsid w:val="00050086"/>
    <w:rsid w:val="000504F1"/>
    <w:rsid w:val="0005465E"/>
    <w:rsid w:val="00054804"/>
    <w:rsid w:val="00063F7B"/>
    <w:rsid w:val="000737E1"/>
    <w:rsid w:val="00073D6B"/>
    <w:rsid w:val="00073E30"/>
    <w:rsid w:val="00075AA1"/>
    <w:rsid w:val="00080688"/>
    <w:rsid w:val="00083242"/>
    <w:rsid w:val="000833BB"/>
    <w:rsid w:val="00085A94"/>
    <w:rsid w:val="00091FAD"/>
    <w:rsid w:val="0009488C"/>
    <w:rsid w:val="0009787A"/>
    <w:rsid w:val="00097968"/>
    <w:rsid w:val="00097AD1"/>
    <w:rsid w:val="000A1CEC"/>
    <w:rsid w:val="000A2D03"/>
    <w:rsid w:val="000A6AD8"/>
    <w:rsid w:val="000B03EB"/>
    <w:rsid w:val="000C1421"/>
    <w:rsid w:val="000D10C0"/>
    <w:rsid w:val="000D45F0"/>
    <w:rsid w:val="000D7D6A"/>
    <w:rsid w:val="000E1813"/>
    <w:rsid w:val="000F0BBE"/>
    <w:rsid w:val="000F23B3"/>
    <w:rsid w:val="000F39F6"/>
    <w:rsid w:val="000F59F8"/>
    <w:rsid w:val="000F6007"/>
    <w:rsid w:val="000F71C2"/>
    <w:rsid w:val="0010288A"/>
    <w:rsid w:val="00104142"/>
    <w:rsid w:val="00111EFC"/>
    <w:rsid w:val="00114E52"/>
    <w:rsid w:val="00120FB1"/>
    <w:rsid w:val="001210E4"/>
    <w:rsid w:val="0012741F"/>
    <w:rsid w:val="00131957"/>
    <w:rsid w:val="001330D2"/>
    <w:rsid w:val="001410DC"/>
    <w:rsid w:val="00147BD7"/>
    <w:rsid w:val="00147FF5"/>
    <w:rsid w:val="0015788C"/>
    <w:rsid w:val="00162F4F"/>
    <w:rsid w:val="00170A22"/>
    <w:rsid w:val="00177D8F"/>
    <w:rsid w:val="00185ACF"/>
    <w:rsid w:val="00190579"/>
    <w:rsid w:val="00196E14"/>
    <w:rsid w:val="001A1819"/>
    <w:rsid w:val="001A464D"/>
    <w:rsid w:val="001A522A"/>
    <w:rsid w:val="001B1D39"/>
    <w:rsid w:val="001B4217"/>
    <w:rsid w:val="001B5D3E"/>
    <w:rsid w:val="001B606B"/>
    <w:rsid w:val="001B62D3"/>
    <w:rsid w:val="001B6FFC"/>
    <w:rsid w:val="001C01DF"/>
    <w:rsid w:val="001D12D9"/>
    <w:rsid w:val="001D3CC2"/>
    <w:rsid w:val="001D68D9"/>
    <w:rsid w:val="001E2EED"/>
    <w:rsid w:val="001F0A29"/>
    <w:rsid w:val="001F11EA"/>
    <w:rsid w:val="001F2072"/>
    <w:rsid w:val="001F2C31"/>
    <w:rsid w:val="001F3DBD"/>
    <w:rsid w:val="001F45CB"/>
    <w:rsid w:val="001F648A"/>
    <w:rsid w:val="001F6E8E"/>
    <w:rsid w:val="002014D0"/>
    <w:rsid w:val="00201620"/>
    <w:rsid w:val="002040CF"/>
    <w:rsid w:val="0020571A"/>
    <w:rsid w:val="00210971"/>
    <w:rsid w:val="002133DC"/>
    <w:rsid w:val="00215824"/>
    <w:rsid w:val="00216BC8"/>
    <w:rsid w:val="0022218D"/>
    <w:rsid w:val="00224EF0"/>
    <w:rsid w:val="00226926"/>
    <w:rsid w:val="00232528"/>
    <w:rsid w:val="00237FF9"/>
    <w:rsid w:val="00250A46"/>
    <w:rsid w:val="00262819"/>
    <w:rsid w:val="00281213"/>
    <w:rsid w:val="00285040"/>
    <w:rsid w:val="00285062"/>
    <w:rsid w:val="00285DE9"/>
    <w:rsid w:val="00290B89"/>
    <w:rsid w:val="00294B84"/>
    <w:rsid w:val="00294ED8"/>
    <w:rsid w:val="0029606F"/>
    <w:rsid w:val="002A0160"/>
    <w:rsid w:val="002A2AE7"/>
    <w:rsid w:val="002A5EEA"/>
    <w:rsid w:val="002A7485"/>
    <w:rsid w:val="002B7824"/>
    <w:rsid w:val="002C05F2"/>
    <w:rsid w:val="002C115B"/>
    <w:rsid w:val="002C15AC"/>
    <w:rsid w:val="002C364B"/>
    <w:rsid w:val="002C4638"/>
    <w:rsid w:val="002C4687"/>
    <w:rsid w:val="002C481E"/>
    <w:rsid w:val="002D77CC"/>
    <w:rsid w:val="002E1342"/>
    <w:rsid w:val="002E4B98"/>
    <w:rsid w:val="002E5B57"/>
    <w:rsid w:val="002E6CD7"/>
    <w:rsid w:val="002E77C4"/>
    <w:rsid w:val="002F3010"/>
    <w:rsid w:val="002F465B"/>
    <w:rsid w:val="002F6D39"/>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1086"/>
    <w:rsid w:val="0034147B"/>
    <w:rsid w:val="003463D6"/>
    <w:rsid w:val="003469B6"/>
    <w:rsid w:val="00346D31"/>
    <w:rsid w:val="00346DE6"/>
    <w:rsid w:val="003518A3"/>
    <w:rsid w:val="00351ABE"/>
    <w:rsid w:val="003543C5"/>
    <w:rsid w:val="00354EF2"/>
    <w:rsid w:val="00357081"/>
    <w:rsid w:val="00357D35"/>
    <w:rsid w:val="00357F9E"/>
    <w:rsid w:val="003605A3"/>
    <w:rsid w:val="00363FCD"/>
    <w:rsid w:val="00364C43"/>
    <w:rsid w:val="00367720"/>
    <w:rsid w:val="0037029D"/>
    <w:rsid w:val="00381213"/>
    <w:rsid w:val="003840EC"/>
    <w:rsid w:val="00390C3F"/>
    <w:rsid w:val="003A6F23"/>
    <w:rsid w:val="003A7864"/>
    <w:rsid w:val="003B080A"/>
    <w:rsid w:val="003B142D"/>
    <w:rsid w:val="003B323E"/>
    <w:rsid w:val="003B4100"/>
    <w:rsid w:val="003C1A16"/>
    <w:rsid w:val="003C1E91"/>
    <w:rsid w:val="003C3AC6"/>
    <w:rsid w:val="003D5739"/>
    <w:rsid w:val="003D57FE"/>
    <w:rsid w:val="003E1423"/>
    <w:rsid w:val="003E1436"/>
    <w:rsid w:val="003E3B27"/>
    <w:rsid w:val="003F5560"/>
    <w:rsid w:val="004026CF"/>
    <w:rsid w:val="0040795A"/>
    <w:rsid w:val="00407F28"/>
    <w:rsid w:val="004131C5"/>
    <w:rsid w:val="00422DDD"/>
    <w:rsid w:val="004239DA"/>
    <w:rsid w:val="0042423E"/>
    <w:rsid w:val="00431DD4"/>
    <w:rsid w:val="0043256C"/>
    <w:rsid w:val="004339E6"/>
    <w:rsid w:val="0043683A"/>
    <w:rsid w:val="0044085B"/>
    <w:rsid w:val="00441422"/>
    <w:rsid w:val="004450BD"/>
    <w:rsid w:val="00445DCB"/>
    <w:rsid w:val="004460B9"/>
    <w:rsid w:val="00456542"/>
    <w:rsid w:val="004630B6"/>
    <w:rsid w:val="00467D30"/>
    <w:rsid w:val="00474607"/>
    <w:rsid w:val="00474910"/>
    <w:rsid w:val="004749AF"/>
    <w:rsid w:val="004766B3"/>
    <w:rsid w:val="00484116"/>
    <w:rsid w:val="0048424E"/>
    <w:rsid w:val="0048507B"/>
    <w:rsid w:val="00486F42"/>
    <w:rsid w:val="00487D14"/>
    <w:rsid w:val="00487FAD"/>
    <w:rsid w:val="00497938"/>
    <w:rsid w:val="00497FF4"/>
    <w:rsid w:val="004A2C7E"/>
    <w:rsid w:val="004A33EC"/>
    <w:rsid w:val="004A7DFE"/>
    <w:rsid w:val="004B21D9"/>
    <w:rsid w:val="004B4621"/>
    <w:rsid w:val="004C368B"/>
    <w:rsid w:val="004C6492"/>
    <w:rsid w:val="004D262A"/>
    <w:rsid w:val="004D2C6F"/>
    <w:rsid w:val="004D2E01"/>
    <w:rsid w:val="004D7AE9"/>
    <w:rsid w:val="004E173B"/>
    <w:rsid w:val="004E568C"/>
    <w:rsid w:val="004E5AD8"/>
    <w:rsid w:val="004F12D8"/>
    <w:rsid w:val="004F22A6"/>
    <w:rsid w:val="004F5E43"/>
    <w:rsid w:val="00504B53"/>
    <w:rsid w:val="00506B31"/>
    <w:rsid w:val="00507D49"/>
    <w:rsid w:val="0051015D"/>
    <w:rsid w:val="0051292D"/>
    <w:rsid w:val="0051622D"/>
    <w:rsid w:val="005262C2"/>
    <w:rsid w:val="0052705A"/>
    <w:rsid w:val="005363ED"/>
    <w:rsid w:val="00537A72"/>
    <w:rsid w:val="00545A74"/>
    <w:rsid w:val="00546A0D"/>
    <w:rsid w:val="005503CC"/>
    <w:rsid w:val="00551687"/>
    <w:rsid w:val="00553AC4"/>
    <w:rsid w:val="0055729D"/>
    <w:rsid w:val="0059024D"/>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6122"/>
    <w:rsid w:val="005D6E80"/>
    <w:rsid w:val="005E004E"/>
    <w:rsid w:val="005E035E"/>
    <w:rsid w:val="005E09BA"/>
    <w:rsid w:val="005E2F7B"/>
    <w:rsid w:val="005E5C01"/>
    <w:rsid w:val="005E7118"/>
    <w:rsid w:val="005F03F7"/>
    <w:rsid w:val="005F2C91"/>
    <w:rsid w:val="005F37A4"/>
    <w:rsid w:val="005F62CB"/>
    <w:rsid w:val="0060139C"/>
    <w:rsid w:val="00603CD1"/>
    <w:rsid w:val="006041A4"/>
    <w:rsid w:val="0061089B"/>
    <w:rsid w:val="00613721"/>
    <w:rsid w:val="006145CE"/>
    <w:rsid w:val="00617F98"/>
    <w:rsid w:val="00623C9B"/>
    <w:rsid w:val="0062754A"/>
    <w:rsid w:val="00630DD5"/>
    <w:rsid w:val="00647DDD"/>
    <w:rsid w:val="00653BA4"/>
    <w:rsid w:val="00654654"/>
    <w:rsid w:val="00657EDA"/>
    <w:rsid w:val="00660C84"/>
    <w:rsid w:val="0066194B"/>
    <w:rsid w:val="00666D4D"/>
    <w:rsid w:val="00671C76"/>
    <w:rsid w:val="006858DA"/>
    <w:rsid w:val="0068621A"/>
    <w:rsid w:val="006902F1"/>
    <w:rsid w:val="006918E9"/>
    <w:rsid w:val="00694C71"/>
    <w:rsid w:val="006951CE"/>
    <w:rsid w:val="006A0C2E"/>
    <w:rsid w:val="006A1756"/>
    <w:rsid w:val="006C3A24"/>
    <w:rsid w:val="006C4213"/>
    <w:rsid w:val="006C43D7"/>
    <w:rsid w:val="006C5694"/>
    <w:rsid w:val="006D797F"/>
    <w:rsid w:val="006D7CD4"/>
    <w:rsid w:val="006E2346"/>
    <w:rsid w:val="006E323B"/>
    <w:rsid w:val="006E32B4"/>
    <w:rsid w:val="006E38D7"/>
    <w:rsid w:val="006E68E6"/>
    <w:rsid w:val="006F0BB6"/>
    <w:rsid w:val="006F25E5"/>
    <w:rsid w:val="006F2FCE"/>
    <w:rsid w:val="006F415C"/>
    <w:rsid w:val="006F72F0"/>
    <w:rsid w:val="00701BBE"/>
    <w:rsid w:val="007046F8"/>
    <w:rsid w:val="00706D06"/>
    <w:rsid w:val="00710D76"/>
    <w:rsid w:val="0071137C"/>
    <w:rsid w:val="007148A5"/>
    <w:rsid w:val="00720436"/>
    <w:rsid w:val="007241D4"/>
    <w:rsid w:val="0073191E"/>
    <w:rsid w:val="00732A6F"/>
    <w:rsid w:val="007349CA"/>
    <w:rsid w:val="007407CE"/>
    <w:rsid w:val="00742764"/>
    <w:rsid w:val="0075156A"/>
    <w:rsid w:val="00751F90"/>
    <w:rsid w:val="00752759"/>
    <w:rsid w:val="00756E65"/>
    <w:rsid w:val="00761C35"/>
    <w:rsid w:val="00762FCF"/>
    <w:rsid w:val="007659FB"/>
    <w:rsid w:val="00766026"/>
    <w:rsid w:val="00772B54"/>
    <w:rsid w:val="00781AA0"/>
    <w:rsid w:val="00785746"/>
    <w:rsid w:val="00792386"/>
    <w:rsid w:val="007B0648"/>
    <w:rsid w:val="007B13BB"/>
    <w:rsid w:val="007B165A"/>
    <w:rsid w:val="007B3410"/>
    <w:rsid w:val="007B6964"/>
    <w:rsid w:val="007B78C2"/>
    <w:rsid w:val="007C5008"/>
    <w:rsid w:val="007C5673"/>
    <w:rsid w:val="007C6DF0"/>
    <w:rsid w:val="007D1E79"/>
    <w:rsid w:val="007D27CF"/>
    <w:rsid w:val="007D31A3"/>
    <w:rsid w:val="007D710C"/>
    <w:rsid w:val="007D7528"/>
    <w:rsid w:val="007E3AB4"/>
    <w:rsid w:val="007E468A"/>
    <w:rsid w:val="007E58FC"/>
    <w:rsid w:val="007F207F"/>
    <w:rsid w:val="00802357"/>
    <w:rsid w:val="00803CEC"/>
    <w:rsid w:val="00807ECB"/>
    <w:rsid w:val="008135EC"/>
    <w:rsid w:val="0081475E"/>
    <w:rsid w:val="00815C5A"/>
    <w:rsid w:val="00822050"/>
    <w:rsid w:val="008246E5"/>
    <w:rsid w:val="00825F6C"/>
    <w:rsid w:val="00830952"/>
    <w:rsid w:val="00831234"/>
    <w:rsid w:val="008443A9"/>
    <w:rsid w:val="00846EF4"/>
    <w:rsid w:val="0085548F"/>
    <w:rsid w:val="00856289"/>
    <w:rsid w:val="00860576"/>
    <w:rsid w:val="00861FA9"/>
    <w:rsid w:val="00862564"/>
    <w:rsid w:val="0086345E"/>
    <w:rsid w:val="008674AA"/>
    <w:rsid w:val="00867E6F"/>
    <w:rsid w:val="008761FC"/>
    <w:rsid w:val="0088094C"/>
    <w:rsid w:val="00881004"/>
    <w:rsid w:val="00882C40"/>
    <w:rsid w:val="0089779E"/>
    <w:rsid w:val="008A082A"/>
    <w:rsid w:val="008A4DF4"/>
    <w:rsid w:val="008A6783"/>
    <w:rsid w:val="008B0DB3"/>
    <w:rsid w:val="008B1BB7"/>
    <w:rsid w:val="008B1DA9"/>
    <w:rsid w:val="008B526B"/>
    <w:rsid w:val="008B7FFC"/>
    <w:rsid w:val="008D33A3"/>
    <w:rsid w:val="008D4715"/>
    <w:rsid w:val="008E03F7"/>
    <w:rsid w:val="008E0638"/>
    <w:rsid w:val="008F189C"/>
    <w:rsid w:val="008F1FE1"/>
    <w:rsid w:val="008F4486"/>
    <w:rsid w:val="008F4FC6"/>
    <w:rsid w:val="008F5A82"/>
    <w:rsid w:val="00903F5D"/>
    <w:rsid w:val="009108D0"/>
    <w:rsid w:val="0091544C"/>
    <w:rsid w:val="009165D0"/>
    <w:rsid w:val="00920D43"/>
    <w:rsid w:val="00927FD9"/>
    <w:rsid w:val="00933065"/>
    <w:rsid w:val="00933569"/>
    <w:rsid w:val="0093799C"/>
    <w:rsid w:val="00942835"/>
    <w:rsid w:val="00944003"/>
    <w:rsid w:val="00944804"/>
    <w:rsid w:val="009473D8"/>
    <w:rsid w:val="0095427F"/>
    <w:rsid w:val="00960ADF"/>
    <w:rsid w:val="00962B21"/>
    <w:rsid w:val="00963A0C"/>
    <w:rsid w:val="00964367"/>
    <w:rsid w:val="00964A4A"/>
    <w:rsid w:val="009653C0"/>
    <w:rsid w:val="00974A92"/>
    <w:rsid w:val="00974AB5"/>
    <w:rsid w:val="00976BB2"/>
    <w:rsid w:val="0097721C"/>
    <w:rsid w:val="009773E8"/>
    <w:rsid w:val="00980CE6"/>
    <w:rsid w:val="009835E3"/>
    <w:rsid w:val="00986050"/>
    <w:rsid w:val="00986455"/>
    <w:rsid w:val="00987CDB"/>
    <w:rsid w:val="00994C5C"/>
    <w:rsid w:val="00994D8A"/>
    <w:rsid w:val="0099709D"/>
    <w:rsid w:val="009A1034"/>
    <w:rsid w:val="009A30E0"/>
    <w:rsid w:val="009A3619"/>
    <w:rsid w:val="009A524B"/>
    <w:rsid w:val="009A6493"/>
    <w:rsid w:val="009B08AF"/>
    <w:rsid w:val="009B2FB6"/>
    <w:rsid w:val="009B3DFC"/>
    <w:rsid w:val="009B7A7B"/>
    <w:rsid w:val="009C28AC"/>
    <w:rsid w:val="009C37B9"/>
    <w:rsid w:val="009C38E7"/>
    <w:rsid w:val="009C5BEF"/>
    <w:rsid w:val="009D32BD"/>
    <w:rsid w:val="009D4486"/>
    <w:rsid w:val="009E140F"/>
    <w:rsid w:val="009F211E"/>
    <w:rsid w:val="009F294E"/>
    <w:rsid w:val="009F30F1"/>
    <w:rsid w:val="009F37C7"/>
    <w:rsid w:val="009F50AB"/>
    <w:rsid w:val="009F5FBB"/>
    <w:rsid w:val="00A000A9"/>
    <w:rsid w:val="00A005F6"/>
    <w:rsid w:val="00A0424F"/>
    <w:rsid w:val="00A048C6"/>
    <w:rsid w:val="00A06D09"/>
    <w:rsid w:val="00A11958"/>
    <w:rsid w:val="00A130D6"/>
    <w:rsid w:val="00A1488A"/>
    <w:rsid w:val="00A17A3E"/>
    <w:rsid w:val="00A2193F"/>
    <w:rsid w:val="00A225EE"/>
    <w:rsid w:val="00A37BA4"/>
    <w:rsid w:val="00A43739"/>
    <w:rsid w:val="00A533E3"/>
    <w:rsid w:val="00A539CB"/>
    <w:rsid w:val="00A63078"/>
    <w:rsid w:val="00A649AA"/>
    <w:rsid w:val="00A65124"/>
    <w:rsid w:val="00A660AF"/>
    <w:rsid w:val="00A675FB"/>
    <w:rsid w:val="00A70A95"/>
    <w:rsid w:val="00A72651"/>
    <w:rsid w:val="00A73821"/>
    <w:rsid w:val="00A77EE7"/>
    <w:rsid w:val="00A809F0"/>
    <w:rsid w:val="00A93351"/>
    <w:rsid w:val="00A93A39"/>
    <w:rsid w:val="00A97CE6"/>
    <w:rsid w:val="00AA36D1"/>
    <w:rsid w:val="00AA6E8C"/>
    <w:rsid w:val="00AA6F19"/>
    <w:rsid w:val="00AA7A76"/>
    <w:rsid w:val="00AB03EF"/>
    <w:rsid w:val="00AB50EE"/>
    <w:rsid w:val="00AD2631"/>
    <w:rsid w:val="00AD58C5"/>
    <w:rsid w:val="00AE3320"/>
    <w:rsid w:val="00AE63BD"/>
    <w:rsid w:val="00AE70A9"/>
    <w:rsid w:val="00AE7682"/>
    <w:rsid w:val="00AF0711"/>
    <w:rsid w:val="00AF0B2B"/>
    <w:rsid w:val="00AF0FA7"/>
    <w:rsid w:val="00AF2914"/>
    <w:rsid w:val="00AF3136"/>
    <w:rsid w:val="00AF363F"/>
    <w:rsid w:val="00AF3A71"/>
    <w:rsid w:val="00AF3E4F"/>
    <w:rsid w:val="00B071FF"/>
    <w:rsid w:val="00B11505"/>
    <w:rsid w:val="00B11DC2"/>
    <w:rsid w:val="00B121D2"/>
    <w:rsid w:val="00B15CAA"/>
    <w:rsid w:val="00B1673B"/>
    <w:rsid w:val="00B17897"/>
    <w:rsid w:val="00B20ABA"/>
    <w:rsid w:val="00B20C42"/>
    <w:rsid w:val="00B22CE8"/>
    <w:rsid w:val="00B27C5D"/>
    <w:rsid w:val="00B3585E"/>
    <w:rsid w:val="00B37BB0"/>
    <w:rsid w:val="00B40CD3"/>
    <w:rsid w:val="00B42807"/>
    <w:rsid w:val="00B428A6"/>
    <w:rsid w:val="00B53913"/>
    <w:rsid w:val="00B56906"/>
    <w:rsid w:val="00B57FCC"/>
    <w:rsid w:val="00B65AF6"/>
    <w:rsid w:val="00B7031E"/>
    <w:rsid w:val="00B72922"/>
    <w:rsid w:val="00B72A13"/>
    <w:rsid w:val="00B75196"/>
    <w:rsid w:val="00B84DD5"/>
    <w:rsid w:val="00B87538"/>
    <w:rsid w:val="00B87B26"/>
    <w:rsid w:val="00B91EA6"/>
    <w:rsid w:val="00B94CAA"/>
    <w:rsid w:val="00B95910"/>
    <w:rsid w:val="00BA24FC"/>
    <w:rsid w:val="00BA394B"/>
    <w:rsid w:val="00BA3A4C"/>
    <w:rsid w:val="00BB0F20"/>
    <w:rsid w:val="00BC3B5C"/>
    <w:rsid w:val="00BD2CDE"/>
    <w:rsid w:val="00BD41CF"/>
    <w:rsid w:val="00BD7CC1"/>
    <w:rsid w:val="00BE0164"/>
    <w:rsid w:val="00BE12BD"/>
    <w:rsid w:val="00BE2ED7"/>
    <w:rsid w:val="00BE464D"/>
    <w:rsid w:val="00BE6AB8"/>
    <w:rsid w:val="00BF086D"/>
    <w:rsid w:val="00BF2167"/>
    <w:rsid w:val="00BF2774"/>
    <w:rsid w:val="00BF4013"/>
    <w:rsid w:val="00C02D96"/>
    <w:rsid w:val="00C0551D"/>
    <w:rsid w:val="00C12767"/>
    <w:rsid w:val="00C12883"/>
    <w:rsid w:val="00C20A22"/>
    <w:rsid w:val="00C21632"/>
    <w:rsid w:val="00C25581"/>
    <w:rsid w:val="00C264E3"/>
    <w:rsid w:val="00C2788D"/>
    <w:rsid w:val="00C35C76"/>
    <w:rsid w:val="00C361F6"/>
    <w:rsid w:val="00C3669A"/>
    <w:rsid w:val="00C423E3"/>
    <w:rsid w:val="00C44428"/>
    <w:rsid w:val="00C458AF"/>
    <w:rsid w:val="00C50A80"/>
    <w:rsid w:val="00C52D48"/>
    <w:rsid w:val="00C54642"/>
    <w:rsid w:val="00C676F3"/>
    <w:rsid w:val="00C72A4C"/>
    <w:rsid w:val="00C72C0C"/>
    <w:rsid w:val="00C731BF"/>
    <w:rsid w:val="00C77EFD"/>
    <w:rsid w:val="00C82759"/>
    <w:rsid w:val="00C829DF"/>
    <w:rsid w:val="00C84021"/>
    <w:rsid w:val="00C84EB7"/>
    <w:rsid w:val="00C875AE"/>
    <w:rsid w:val="00C91188"/>
    <w:rsid w:val="00C9208E"/>
    <w:rsid w:val="00C92700"/>
    <w:rsid w:val="00C9634D"/>
    <w:rsid w:val="00CA28E0"/>
    <w:rsid w:val="00CB4F4C"/>
    <w:rsid w:val="00CB5DEF"/>
    <w:rsid w:val="00CB5E49"/>
    <w:rsid w:val="00CC0C54"/>
    <w:rsid w:val="00CC1016"/>
    <w:rsid w:val="00CC48E3"/>
    <w:rsid w:val="00CD4424"/>
    <w:rsid w:val="00CE1966"/>
    <w:rsid w:val="00CE2983"/>
    <w:rsid w:val="00CF2008"/>
    <w:rsid w:val="00CF4188"/>
    <w:rsid w:val="00CF42BA"/>
    <w:rsid w:val="00D06213"/>
    <w:rsid w:val="00D07D6A"/>
    <w:rsid w:val="00D24425"/>
    <w:rsid w:val="00D277A3"/>
    <w:rsid w:val="00D277C2"/>
    <w:rsid w:val="00D31882"/>
    <w:rsid w:val="00D31BAB"/>
    <w:rsid w:val="00D327FF"/>
    <w:rsid w:val="00D34F24"/>
    <w:rsid w:val="00D35A03"/>
    <w:rsid w:val="00D37377"/>
    <w:rsid w:val="00D457F9"/>
    <w:rsid w:val="00D45B09"/>
    <w:rsid w:val="00D45B8C"/>
    <w:rsid w:val="00D51538"/>
    <w:rsid w:val="00D532F2"/>
    <w:rsid w:val="00D567E0"/>
    <w:rsid w:val="00D578D9"/>
    <w:rsid w:val="00D630DE"/>
    <w:rsid w:val="00D64B44"/>
    <w:rsid w:val="00D664AD"/>
    <w:rsid w:val="00D71B57"/>
    <w:rsid w:val="00D72C82"/>
    <w:rsid w:val="00D7327A"/>
    <w:rsid w:val="00D87625"/>
    <w:rsid w:val="00D92504"/>
    <w:rsid w:val="00D94745"/>
    <w:rsid w:val="00DA41B2"/>
    <w:rsid w:val="00DA4EE5"/>
    <w:rsid w:val="00DA5D06"/>
    <w:rsid w:val="00DA7B20"/>
    <w:rsid w:val="00DB0D4D"/>
    <w:rsid w:val="00DB2CE4"/>
    <w:rsid w:val="00DB2E02"/>
    <w:rsid w:val="00DB37CF"/>
    <w:rsid w:val="00DB407F"/>
    <w:rsid w:val="00DC6A98"/>
    <w:rsid w:val="00DC7016"/>
    <w:rsid w:val="00DC7245"/>
    <w:rsid w:val="00DC730A"/>
    <w:rsid w:val="00DD12FC"/>
    <w:rsid w:val="00DD296E"/>
    <w:rsid w:val="00DE130A"/>
    <w:rsid w:val="00DE38B2"/>
    <w:rsid w:val="00DE4148"/>
    <w:rsid w:val="00DE44F5"/>
    <w:rsid w:val="00E00F46"/>
    <w:rsid w:val="00E12D6B"/>
    <w:rsid w:val="00E1303E"/>
    <w:rsid w:val="00E145ED"/>
    <w:rsid w:val="00E166FD"/>
    <w:rsid w:val="00E17247"/>
    <w:rsid w:val="00E24560"/>
    <w:rsid w:val="00E264BB"/>
    <w:rsid w:val="00E26CE0"/>
    <w:rsid w:val="00E276DF"/>
    <w:rsid w:val="00E37870"/>
    <w:rsid w:val="00E4050D"/>
    <w:rsid w:val="00E45E6A"/>
    <w:rsid w:val="00E50A42"/>
    <w:rsid w:val="00E549A2"/>
    <w:rsid w:val="00E55311"/>
    <w:rsid w:val="00E56D64"/>
    <w:rsid w:val="00E611CC"/>
    <w:rsid w:val="00E66A30"/>
    <w:rsid w:val="00E712B1"/>
    <w:rsid w:val="00E75DDF"/>
    <w:rsid w:val="00E76641"/>
    <w:rsid w:val="00E81B17"/>
    <w:rsid w:val="00E85BF7"/>
    <w:rsid w:val="00E87A28"/>
    <w:rsid w:val="00E941E6"/>
    <w:rsid w:val="00E95AB3"/>
    <w:rsid w:val="00EA2187"/>
    <w:rsid w:val="00EA5E85"/>
    <w:rsid w:val="00EB5058"/>
    <w:rsid w:val="00EB7EB6"/>
    <w:rsid w:val="00EC194E"/>
    <w:rsid w:val="00EC5057"/>
    <w:rsid w:val="00EC70BC"/>
    <w:rsid w:val="00ED018E"/>
    <w:rsid w:val="00ED1A67"/>
    <w:rsid w:val="00ED3283"/>
    <w:rsid w:val="00EE55F9"/>
    <w:rsid w:val="00EE62A5"/>
    <w:rsid w:val="00EF0734"/>
    <w:rsid w:val="00EF32C4"/>
    <w:rsid w:val="00EF39AD"/>
    <w:rsid w:val="00F05C27"/>
    <w:rsid w:val="00F11454"/>
    <w:rsid w:val="00F125DA"/>
    <w:rsid w:val="00F15575"/>
    <w:rsid w:val="00F1782F"/>
    <w:rsid w:val="00F221FC"/>
    <w:rsid w:val="00F33859"/>
    <w:rsid w:val="00F53254"/>
    <w:rsid w:val="00F627E4"/>
    <w:rsid w:val="00F6377B"/>
    <w:rsid w:val="00F65D8E"/>
    <w:rsid w:val="00F665A8"/>
    <w:rsid w:val="00F669B9"/>
    <w:rsid w:val="00F72573"/>
    <w:rsid w:val="00F86BC7"/>
    <w:rsid w:val="00FA0D89"/>
    <w:rsid w:val="00FA2987"/>
    <w:rsid w:val="00FA584E"/>
    <w:rsid w:val="00FA6D24"/>
    <w:rsid w:val="00FB3ABD"/>
    <w:rsid w:val="00FB59A0"/>
    <w:rsid w:val="00FB6596"/>
    <w:rsid w:val="00FC42BD"/>
    <w:rsid w:val="00FD2E9B"/>
    <w:rsid w:val="00FD3552"/>
    <w:rsid w:val="00FD3D6E"/>
    <w:rsid w:val="00FE008D"/>
    <w:rsid w:val="00FE065B"/>
    <w:rsid w:val="00FE0E9D"/>
    <w:rsid w:val="00FE2BBF"/>
    <w:rsid w:val="00FE703A"/>
    <w:rsid w:val="00FE70C8"/>
    <w:rsid w:val="00FE7A4D"/>
    <w:rsid w:val="00FF1F53"/>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08v5SApg151" TargetMode="External"/><Relationship Id="rId2" Type="http://schemas.openxmlformats.org/officeDocument/2006/relationships/hyperlink" Target="https://app.jutastatevolve.co.za/y1949v3SApg1155" TargetMode="External"/><Relationship Id="rId1" Type="http://schemas.openxmlformats.org/officeDocument/2006/relationships/hyperlink" Target="http://www.saflii.org/cgi-bin/disp.pl?file=za/cases/ZAGPJHC/2022/343.html&amp;query=%20Moorcro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E55A-B86D-4A18-B52C-7B3BD402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HOME</cp:lastModifiedBy>
  <cp:revision>2</cp:revision>
  <cp:lastPrinted>2022-05-23T06:22:00Z</cp:lastPrinted>
  <dcterms:created xsi:type="dcterms:W3CDTF">2022-08-12T09:46:00Z</dcterms:created>
  <dcterms:modified xsi:type="dcterms:W3CDTF">2022-08-12T09:46:00Z</dcterms:modified>
</cp:coreProperties>
</file>