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F284" w14:textId="77777777" w:rsidR="008B2B15" w:rsidRDefault="008B2B15" w:rsidP="008B2B15">
      <w:pPr>
        <w:pStyle w:val="LegalTitle"/>
        <w:spacing w:after="0" w:line="360" w:lineRule="auto"/>
        <w:rPr>
          <w:u w:val="single"/>
        </w:rPr>
      </w:pPr>
      <w:bookmarkStart w:id="0" w:name="_GoBack"/>
      <w:bookmarkEnd w:id="0"/>
      <w:r>
        <w:rPr>
          <w:u w:val="single"/>
        </w:rPr>
        <w:t>THE REPUBLIC OF SOUTH AFRICA</w:t>
      </w:r>
    </w:p>
    <w:p w14:paraId="3D78ACE9" w14:textId="77777777" w:rsidR="008B2B15" w:rsidRDefault="008B2B15" w:rsidP="008B2B15">
      <w:pPr>
        <w:pStyle w:val="LegalTitle"/>
        <w:spacing w:after="0" w:line="360" w:lineRule="auto"/>
        <w:rPr>
          <w:u w:val="single"/>
        </w:rPr>
      </w:pPr>
      <w:r>
        <w:rPr>
          <w:noProof/>
          <w:lang w:val="en-ZA" w:eastAsia="en-ZA"/>
        </w:rPr>
        <w:drawing>
          <wp:inline distT="0" distB="0" distL="0" distR="0" wp14:anchorId="4AD0B1CC" wp14:editId="4341AE3C">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98E4354" w14:textId="77777777" w:rsidR="008B2B15" w:rsidRDefault="008B2B15" w:rsidP="008B2B15">
      <w:pPr>
        <w:pStyle w:val="LegalTitle"/>
        <w:spacing w:after="0" w:line="360" w:lineRule="auto"/>
        <w:rPr>
          <w:u w:val="single"/>
        </w:rPr>
      </w:pPr>
      <w:r>
        <w:rPr>
          <w:u w:val="single"/>
        </w:rPr>
        <w:t>IN THE HIGH COURT OF SOUTH AFRICA</w:t>
      </w:r>
    </w:p>
    <w:p w14:paraId="41B9E1CE" w14:textId="77777777" w:rsidR="008B2B15" w:rsidRPr="00520591" w:rsidRDefault="008B2B15" w:rsidP="008B2B15">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58240" behindDoc="0" locked="0" layoutInCell="1" allowOverlap="1" wp14:anchorId="49C60671" wp14:editId="77FD4E7A">
                <wp:simplePos x="0" y="0"/>
                <wp:positionH relativeFrom="column">
                  <wp:posOffset>-53340</wp:posOffset>
                </wp:positionH>
                <wp:positionV relativeFrom="paragraph">
                  <wp:posOffset>367665</wp:posOffset>
                </wp:positionV>
                <wp:extent cx="3124200" cy="1181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81100"/>
                        </a:xfrm>
                        <a:prstGeom prst="rect">
                          <a:avLst/>
                        </a:prstGeom>
                        <a:solidFill>
                          <a:srgbClr val="FFFFFF"/>
                        </a:solidFill>
                        <a:ln w="9525">
                          <a:solidFill>
                            <a:srgbClr val="000000"/>
                          </a:solidFill>
                          <a:miter lim="800000"/>
                          <a:headEnd/>
                          <a:tailEnd/>
                        </a:ln>
                      </wps:spPr>
                      <wps:txbx>
                        <w:txbxContent>
                          <w:p w14:paraId="425F2B91" w14:textId="77777777" w:rsidR="005137C6" w:rsidRPr="0038792A" w:rsidRDefault="005137C6" w:rsidP="008B2B15">
                            <w:pPr>
                              <w:numPr>
                                <w:ilvl w:val="0"/>
                                <w:numId w:val="53"/>
                              </w:numPr>
                              <w:spacing w:after="0" w:line="240" w:lineRule="auto"/>
                              <w:jc w:val="left"/>
                              <w:rPr>
                                <w:szCs w:val="20"/>
                              </w:rPr>
                            </w:pPr>
                            <w:r>
                              <w:rPr>
                                <w:szCs w:val="20"/>
                              </w:rPr>
                              <w:t xml:space="preserve">REPORTABLE: </w:t>
                            </w:r>
                            <w:r>
                              <w:rPr>
                                <w:b/>
                                <w:i/>
                                <w:szCs w:val="20"/>
                              </w:rPr>
                              <w:t>NO</w:t>
                            </w:r>
                          </w:p>
                          <w:p w14:paraId="58172CEC" w14:textId="77777777" w:rsidR="005137C6" w:rsidRPr="0038792A" w:rsidRDefault="005137C6" w:rsidP="008B2B15">
                            <w:pPr>
                              <w:numPr>
                                <w:ilvl w:val="0"/>
                                <w:numId w:val="53"/>
                              </w:numPr>
                              <w:spacing w:after="0" w:line="240" w:lineRule="auto"/>
                              <w:jc w:val="left"/>
                              <w:rPr>
                                <w:szCs w:val="20"/>
                              </w:rPr>
                            </w:pPr>
                            <w:r w:rsidRPr="0038792A">
                              <w:rPr>
                                <w:szCs w:val="20"/>
                              </w:rPr>
                              <w:t xml:space="preserve">OF </w:t>
                            </w:r>
                            <w:r>
                              <w:rPr>
                                <w:szCs w:val="20"/>
                              </w:rPr>
                              <w:t xml:space="preserve">INTEREST TO OTHER JUDGES: </w:t>
                            </w:r>
                            <w:r>
                              <w:rPr>
                                <w:b/>
                                <w:i/>
                                <w:szCs w:val="20"/>
                              </w:rPr>
                              <w:t>NO</w:t>
                            </w:r>
                          </w:p>
                          <w:p w14:paraId="0C232C02" w14:textId="6A1EE1C2" w:rsidR="005137C6" w:rsidRPr="0038792A" w:rsidRDefault="005137C6" w:rsidP="008B2B15">
                            <w:pPr>
                              <w:numPr>
                                <w:ilvl w:val="0"/>
                                <w:numId w:val="53"/>
                              </w:numPr>
                              <w:spacing w:after="120" w:line="240" w:lineRule="auto"/>
                              <w:ind w:left="901"/>
                              <w:jc w:val="left"/>
                              <w:rPr>
                                <w:szCs w:val="20"/>
                              </w:rPr>
                            </w:pPr>
                            <w:r w:rsidRPr="0038792A">
                              <w:rPr>
                                <w:szCs w:val="20"/>
                              </w:rPr>
                              <w:t xml:space="preserve">REVISED: </w:t>
                            </w:r>
                            <w:r>
                              <w:rPr>
                                <w:szCs w:val="20"/>
                              </w:rPr>
                              <w:t>N</w:t>
                            </w:r>
                          </w:p>
                          <w:p w14:paraId="3C5C0D23" w14:textId="21F166C8" w:rsidR="005137C6" w:rsidRPr="000C3AF7" w:rsidRDefault="005137C6" w:rsidP="008B2B15">
                            <w:pPr>
                              <w:rPr>
                                <w:sz w:val="22"/>
                              </w:rPr>
                            </w:pPr>
                            <w:r>
                              <w:rPr>
                                <w:sz w:val="22"/>
                              </w:rPr>
                              <w:t xml:space="preserve">Date: </w:t>
                            </w:r>
                            <w:r w:rsidRPr="008B2B15">
                              <w:rPr>
                                <w:b/>
                                <w:i/>
                                <w:sz w:val="22"/>
                              </w:rPr>
                              <w:t>28 July</w:t>
                            </w:r>
                            <w:r w:rsidRPr="00F51ACE">
                              <w:rPr>
                                <w:b/>
                                <w:i/>
                                <w:sz w:val="22"/>
                              </w:rPr>
                              <w:t xml:space="preserve"> 2022</w:t>
                            </w:r>
                            <w:r w:rsidRPr="0070234A">
                              <w:rPr>
                                <w:b/>
                                <w:i/>
                                <w:sz w:val="22"/>
                              </w:rPr>
                              <w:t xml:space="preserve"> </w:t>
                            </w:r>
                            <w:r>
                              <w:rPr>
                                <w:sz w:val="22"/>
                              </w:rPr>
                              <w:t xml:space="preserve">Signature:  </w:t>
                            </w:r>
                          </w:p>
                          <w:p w14:paraId="3270CB56" w14:textId="77777777" w:rsidR="005137C6" w:rsidRDefault="005137C6" w:rsidP="008B2B15">
                            <w:pPr>
                              <w:rPr>
                                <w:sz w:val="28"/>
                                <w:szCs w:val="28"/>
                              </w:rPr>
                            </w:pPr>
                          </w:p>
                          <w:p w14:paraId="2C3570FE" w14:textId="77777777" w:rsidR="005137C6" w:rsidRDefault="005137C6" w:rsidP="008B2B15">
                            <w:pPr>
                              <w:rPr>
                                <w:sz w:val="28"/>
                                <w:szCs w:val="28"/>
                              </w:rPr>
                            </w:pPr>
                            <w:r>
                              <w:rPr>
                                <w:sz w:val="28"/>
                                <w:szCs w:val="28"/>
                              </w:rPr>
                              <w:t>____________________        ____________________</w:t>
                            </w:r>
                          </w:p>
                          <w:p w14:paraId="193C9672" w14:textId="77777777" w:rsidR="005137C6" w:rsidRDefault="005137C6" w:rsidP="008B2B15">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4464428B" w14:textId="77777777" w:rsidR="005137C6" w:rsidRDefault="005137C6" w:rsidP="008B2B15">
                            <w:pPr>
                              <w:rPr>
                                <w:sz w:val="28"/>
                                <w:szCs w:val="28"/>
                              </w:rPr>
                            </w:pPr>
                          </w:p>
                          <w:p w14:paraId="5559B200" w14:textId="77777777" w:rsidR="005137C6" w:rsidRDefault="005137C6" w:rsidP="008B2B15">
                            <w:pPr>
                              <w:rPr>
                                <w:sz w:val="28"/>
                                <w:szCs w:val="28"/>
                              </w:rPr>
                            </w:pPr>
                          </w:p>
                          <w:p w14:paraId="6D0E8C3B" w14:textId="77777777" w:rsidR="005137C6" w:rsidRDefault="005137C6" w:rsidP="008B2B15">
                            <w:pPr>
                              <w:rPr>
                                <w:sz w:val="28"/>
                                <w:szCs w:val="28"/>
                              </w:rPr>
                            </w:pPr>
                          </w:p>
                          <w:p w14:paraId="6226924B" w14:textId="77777777" w:rsidR="005137C6" w:rsidRPr="009533D5" w:rsidRDefault="005137C6" w:rsidP="008B2B15">
                            <w:pPr>
                              <w:rPr>
                                <w:sz w:val="28"/>
                                <w:szCs w:val="28"/>
                              </w:rPr>
                            </w:pPr>
                          </w:p>
                          <w:p w14:paraId="7CC71F95" w14:textId="77777777" w:rsidR="005137C6" w:rsidRDefault="005137C6" w:rsidP="008B2B15">
                            <w:pPr>
                              <w:rPr>
                                <w:b/>
                              </w:rPr>
                            </w:pPr>
                          </w:p>
                          <w:p w14:paraId="7E139D3F" w14:textId="77777777" w:rsidR="005137C6" w:rsidRDefault="005137C6" w:rsidP="008B2B15">
                            <w:pPr>
                              <w:rPr>
                                <w:b/>
                              </w:rPr>
                            </w:pPr>
                          </w:p>
                          <w:p w14:paraId="51847F7C" w14:textId="77777777" w:rsidR="005137C6" w:rsidRDefault="005137C6" w:rsidP="008B2B15">
                            <w:pPr>
                              <w:rPr>
                                <w:b/>
                              </w:rPr>
                            </w:pPr>
                          </w:p>
                          <w:p w14:paraId="631B8CCA" w14:textId="77777777" w:rsidR="005137C6" w:rsidRPr="00B93709" w:rsidRDefault="005137C6" w:rsidP="008B2B15">
                            <w:pPr>
                              <w:rPr>
                                <w:b/>
                              </w:rPr>
                            </w:pPr>
                          </w:p>
                          <w:p w14:paraId="32F50BEF" w14:textId="77777777" w:rsidR="005137C6" w:rsidRPr="00B93709" w:rsidRDefault="005137C6" w:rsidP="008B2B15">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C60671" id="_x0000_t202" coordsize="21600,21600" o:spt="202" path="m,l,21600r21600,l21600,xe">
                <v:stroke joinstyle="miter"/>
                <v:path gradientshapeok="t" o:connecttype="rect"/>
              </v:shapetype>
              <v:shape id="Text Box 1" o:spid="_x0000_s1026" type="#_x0000_t202" style="position:absolute;left:0;text-align:left;margin-left:-4.2pt;margin-top:28.95pt;width:246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">
                <v:textbox>
                  <w:txbxContent>
                    <w:p w14:paraId="425F2B91" w14:textId="77777777" w:rsidR="005137C6" w:rsidRPr="0038792A" w:rsidRDefault="005137C6" w:rsidP="008B2B15">
                      <w:pPr>
                        <w:numPr>
                          <w:ilvl w:val="0"/>
                          <w:numId w:val="53"/>
                        </w:numPr>
                        <w:spacing w:after="0" w:line="240" w:lineRule="auto"/>
                        <w:jc w:val="left"/>
                        <w:rPr>
                          <w:szCs w:val="20"/>
                        </w:rPr>
                      </w:pPr>
                      <w:r>
                        <w:rPr>
                          <w:szCs w:val="20"/>
                        </w:rPr>
                        <w:t xml:space="preserve">REPORTABLE: </w:t>
                      </w:r>
                      <w:r>
                        <w:rPr>
                          <w:b/>
                          <w:i/>
                          <w:szCs w:val="20"/>
                        </w:rPr>
                        <w:t>NO</w:t>
                      </w:r>
                    </w:p>
                    <w:p w14:paraId="58172CEC" w14:textId="77777777" w:rsidR="005137C6" w:rsidRPr="0038792A" w:rsidRDefault="005137C6" w:rsidP="008B2B15">
                      <w:pPr>
                        <w:numPr>
                          <w:ilvl w:val="0"/>
                          <w:numId w:val="53"/>
                        </w:numPr>
                        <w:spacing w:after="0" w:line="240" w:lineRule="auto"/>
                        <w:jc w:val="left"/>
                        <w:rPr>
                          <w:szCs w:val="20"/>
                        </w:rPr>
                      </w:pPr>
                      <w:r w:rsidRPr="0038792A">
                        <w:rPr>
                          <w:szCs w:val="20"/>
                        </w:rPr>
                        <w:t xml:space="preserve">OF </w:t>
                      </w:r>
                      <w:r>
                        <w:rPr>
                          <w:szCs w:val="20"/>
                        </w:rPr>
                        <w:t xml:space="preserve">INTEREST TO OTHER JUDGES: </w:t>
                      </w:r>
                      <w:r>
                        <w:rPr>
                          <w:b/>
                          <w:i/>
                          <w:szCs w:val="20"/>
                        </w:rPr>
                        <w:t>NO</w:t>
                      </w:r>
                    </w:p>
                    <w:p w14:paraId="0C232C02" w14:textId="6A1EE1C2" w:rsidR="005137C6" w:rsidRPr="0038792A" w:rsidRDefault="005137C6" w:rsidP="008B2B15">
                      <w:pPr>
                        <w:numPr>
                          <w:ilvl w:val="0"/>
                          <w:numId w:val="53"/>
                        </w:numPr>
                        <w:spacing w:after="120" w:line="240" w:lineRule="auto"/>
                        <w:ind w:left="901"/>
                        <w:jc w:val="left"/>
                        <w:rPr>
                          <w:szCs w:val="20"/>
                        </w:rPr>
                      </w:pPr>
                      <w:r w:rsidRPr="0038792A">
                        <w:rPr>
                          <w:szCs w:val="20"/>
                        </w:rPr>
                        <w:t xml:space="preserve">REVISED: </w:t>
                      </w:r>
                      <w:r>
                        <w:rPr>
                          <w:szCs w:val="20"/>
                        </w:rPr>
                        <w:t>N</w:t>
                      </w:r>
                    </w:p>
                    <w:p w14:paraId="3C5C0D23" w14:textId="21F166C8" w:rsidR="005137C6" w:rsidRPr="000C3AF7" w:rsidRDefault="005137C6" w:rsidP="008B2B15">
                      <w:pPr>
                        <w:rPr>
                          <w:sz w:val="22"/>
                        </w:rPr>
                      </w:pPr>
                      <w:r>
                        <w:rPr>
                          <w:sz w:val="22"/>
                        </w:rPr>
                        <w:t xml:space="preserve">Date: </w:t>
                      </w:r>
                      <w:r w:rsidRPr="008B2B15">
                        <w:rPr>
                          <w:b/>
                          <w:i/>
                          <w:sz w:val="22"/>
                        </w:rPr>
                        <w:t>28 July</w:t>
                      </w:r>
                      <w:r w:rsidRPr="00F51ACE">
                        <w:rPr>
                          <w:b/>
                          <w:i/>
                          <w:sz w:val="22"/>
                        </w:rPr>
                        <w:t xml:space="preserve"> 2022</w:t>
                      </w:r>
                      <w:r w:rsidRPr="0070234A">
                        <w:rPr>
                          <w:b/>
                          <w:i/>
                          <w:sz w:val="22"/>
                        </w:rPr>
                        <w:t xml:space="preserve"> </w:t>
                      </w:r>
                      <w:r>
                        <w:rPr>
                          <w:sz w:val="22"/>
                        </w:rPr>
                        <w:t xml:space="preserve">Signature:  </w:t>
                      </w:r>
                    </w:p>
                    <w:p w14:paraId="3270CB56" w14:textId="77777777" w:rsidR="005137C6" w:rsidRDefault="005137C6" w:rsidP="008B2B15">
                      <w:pPr>
                        <w:rPr>
                          <w:sz w:val="28"/>
                          <w:szCs w:val="28"/>
                        </w:rPr>
                      </w:pPr>
                    </w:p>
                    <w:p w14:paraId="2C3570FE" w14:textId="77777777" w:rsidR="005137C6" w:rsidRDefault="005137C6" w:rsidP="008B2B15">
                      <w:pPr>
                        <w:rPr>
                          <w:sz w:val="28"/>
                          <w:szCs w:val="28"/>
                        </w:rPr>
                      </w:pPr>
                      <w:r>
                        <w:rPr>
                          <w:sz w:val="28"/>
                          <w:szCs w:val="28"/>
                        </w:rPr>
                        <w:t>____________________        ____________________</w:t>
                      </w:r>
                    </w:p>
                    <w:p w14:paraId="193C9672" w14:textId="77777777" w:rsidR="005137C6" w:rsidRDefault="005137C6" w:rsidP="008B2B15">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4464428B" w14:textId="77777777" w:rsidR="005137C6" w:rsidRDefault="005137C6" w:rsidP="008B2B15">
                      <w:pPr>
                        <w:rPr>
                          <w:sz w:val="28"/>
                          <w:szCs w:val="28"/>
                        </w:rPr>
                      </w:pPr>
                    </w:p>
                    <w:p w14:paraId="5559B200" w14:textId="77777777" w:rsidR="005137C6" w:rsidRDefault="005137C6" w:rsidP="008B2B15">
                      <w:pPr>
                        <w:rPr>
                          <w:sz w:val="28"/>
                          <w:szCs w:val="28"/>
                        </w:rPr>
                      </w:pPr>
                    </w:p>
                    <w:p w14:paraId="6D0E8C3B" w14:textId="77777777" w:rsidR="005137C6" w:rsidRDefault="005137C6" w:rsidP="008B2B15">
                      <w:pPr>
                        <w:rPr>
                          <w:sz w:val="28"/>
                          <w:szCs w:val="28"/>
                        </w:rPr>
                      </w:pPr>
                    </w:p>
                    <w:p w14:paraId="6226924B" w14:textId="77777777" w:rsidR="005137C6" w:rsidRPr="009533D5" w:rsidRDefault="005137C6" w:rsidP="008B2B15">
                      <w:pPr>
                        <w:rPr>
                          <w:sz w:val="28"/>
                          <w:szCs w:val="28"/>
                        </w:rPr>
                      </w:pPr>
                    </w:p>
                    <w:p w14:paraId="7CC71F95" w14:textId="77777777" w:rsidR="005137C6" w:rsidRDefault="005137C6" w:rsidP="008B2B15">
                      <w:pPr>
                        <w:rPr>
                          <w:b/>
                        </w:rPr>
                      </w:pPr>
                    </w:p>
                    <w:p w14:paraId="7E139D3F" w14:textId="77777777" w:rsidR="005137C6" w:rsidRDefault="005137C6" w:rsidP="008B2B15">
                      <w:pPr>
                        <w:rPr>
                          <w:b/>
                        </w:rPr>
                      </w:pPr>
                    </w:p>
                    <w:p w14:paraId="51847F7C" w14:textId="77777777" w:rsidR="005137C6" w:rsidRDefault="005137C6" w:rsidP="008B2B15">
                      <w:pPr>
                        <w:rPr>
                          <w:b/>
                        </w:rPr>
                      </w:pPr>
                    </w:p>
                    <w:p w14:paraId="631B8CCA" w14:textId="77777777" w:rsidR="005137C6" w:rsidRPr="00B93709" w:rsidRDefault="005137C6" w:rsidP="008B2B15">
                      <w:pPr>
                        <w:rPr>
                          <w:b/>
                        </w:rPr>
                      </w:pPr>
                    </w:p>
                    <w:p w14:paraId="32F50BEF" w14:textId="77777777" w:rsidR="005137C6" w:rsidRPr="00B93709" w:rsidRDefault="005137C6" w:rsidP="008B2B15">
                      <w:r w:rsidRPr="00B93709">
                        <w:t xml:space="preserve">             </w:t>
                      </w:r>
                      <w:r>
                        <w:t xml:space="preserve">  </w:t>
                      </w:r>
                      <w:r>
                        <w:tab/>
                      </w:r>
                      <w:r>
                        <w:tab/>
                        <w:t xml:space="preserve">      </w:t>
                      </w:r>
                    </w:p>
                  </w:txbxContent>
                </v:textbox>
              </v:shape>
            </w:pict>
          </mc:Fallback>
        </mc:AlternateContent>
      </w:r>
      <w:r w:rsidRPr="00520591">
        <w:rPr>
          <w:u w:val="single"/>
        </w:rPr>
        <w:t xml:space="preserve">GAUTENG </w:t>
      </w:r>
      <w:r>
        <w:rPr>
          <w:u w:val="single"/>
        </w:rPr>
        <w:t xml:space="preserve">LOCAL </w:t>
      </w:r>
      <w:r w:rsidRPr="00520591">
        <w:rPr>
          <w:u w:val="single"/>
        </w:rPr>
        <w:t xml:space="preserve">DIVISION, </w:t>
      </w:r>
      <w:r>
        <w:rPr>
          <w:u w:val="single"/>
        </w:rPr>
        <w:t>JOHANNESBURG</w:t>
      </w:r>
    </w:p>
    <w:p w14:paraId="13187215" w14:textId="77777777" w:rsidR="008B2B15" w:rsidRDefault="008B2B15" w:rsidP="008B2B15">
      <w:pPr>
        <w:pStyle w:val="LegalAnnexure"/>
        <w:spacing w:after="240" w:line="360" w:lineRule="auto"/>
        <w:rPr>
          <w:u w:val="single"/>
        </w:rPr>
      </w:pPr>
    </w:p>
    <w:p w14:paraId="2BDD45BB" w14:textId="77777777" w:rsidR="008B2B15" w:rsidRDefault="008B2B15" w:rsidP="008B2B15">
      <w:pPr>
        <w:pStyle w:val="LegalAnnexure"/>
        <w:spacing w:after="120" w:line="360" w:lineRule="auto"/>
        <w:rPr>
          <w:u w:val="single"/>
        </w:rPr>
      </w:pPr>
    </w:p>
    <w:p w14:paraId="62C8CFF4" w14:textId="02D0DA2E" w:rsidR="008B2B15" w:rsidRDefault="008B2B15" w:rsidP="008B2B15">
      <w:pPr>
        <w:pStyle w:val="LegalAnnexure"/>
        <w:spacing w:before="120" w:after="120" w:line="360" w:lineRule="auto"/>
      </w:pPr>
      <w:r w:rsidRPr="00A84826">
        <w:rPr>
          <w:u w:val="single"/>
        </w:rPr>
        <w:t>CASE NO</w:t>
      </w:r>
      <w:r w:rsidRPr="0080126D">
        <w:t>:</w:t>
      </w:r>
      <w:r>
        <w:t xml:space="preserve"> </w:t>
      </w:r>
      <w:r w:rsidRPr="00D07576">
        <w:rPr>
          <w:b w:val="0"/>
        </w:rPr>
        <w:t>41403</w:t>
      </w:r>
      <w:r w:rsidRPr="00201D05">
        <w:rPr>
          <w:b w:val="0"/>
        </w:rPr>
        <w:t>/201</w:t>
      </w:r>
      <w:r>
        <w:rPr>
          <w:b w:val="0"/>
        </w:rPr>
        <w:t>9</w:t>
      </w:r>
    </w:p>
    <w:p w14:paraId="4CDEA63F" w14:textId="77777777" w:rsidR="008B2B15" w:rsidRDefault="008B2B15" w:rsidP="008B2B15">
      <w:pPr>
        <w:pStyle w:val="LegalNormal"/>
        <w:spacing w:after="120" w:line="360" w:lineRule="auto"/>
      </w:pPr>
    </w:p>
    <w:p w14:paraId="149C9A3A" w14:textId="77777777" w:rsidR="008B2B15" w:rsidRPr="00A84826" w:rsidRDefault="008B2B15" w:rsidP="008B2B15">
      <w:pPr>
        <w:pStyle w:val="LegalNormal"/>
        <w:spacing w:after="120" w:line="360" w:lineRule="auto"/>
      </w:pPr>
      <w:r w:rsidRPr="00A84826">
        <w:t>In the matter between:</w:t>
      </w:r>
    </w:p>
    <w:p w14:paraId="29C6B06B" w14:textId="77777777" w:rsidR="008B2B15" w:rsidRDefault="008B2B15" w:rsidP="008B2B15">
      <w:pPr>
        <w:pStyle w:val="LegalPlainDef"/>
        <w:spacing w:after="120" w:line="240" w:lineRule="auto"/>
        <w:rPr>
          <w:b/>
        </w:rPr>
      </w:pPr>
      <w:r>
        <w:rPr>
          <w:b/>
        </w:rPr>
        <w:t>ABSA HOME LOANS GUARANTEE COMPANY (RF)</w:t>
      </w:r>
    </w:p>
    <w:p w14:paraId="56D566A8" w14:textId="158D90ED" w:rsidR="008B2B15" w:rsidRDefault="008B2B15" w:rsidP="008B2B15">
      <w:pPr>
        <w:pStyle w:val="LegalPlainDef"/>
        <w:tabs>
          <w:tab w:val="clear" w:pos="8789"/>
          <w:tab w:val="right" w:pos="9356"/>
        </w:tabs>
        <w:spacing w:after="120" w:line="360" w:lineRule="auto"/>
      </w:pPr>
      <w:r>
        <w:rPr>
          <w:b/>
        </w:rPr>
        <w:t>PROPRIETARY LIMITED (</w:t>
      </w:r>
      <w:r>
        <w:t>Reg No. 2003/029628/07)</w:t>
      </w:r>
      <w:r>
        <w:rPr>
          <w:b/>
        </w:rPr>
        <w:tab/>
        <w:t xml:space="preserve"> </w:t>
      </w:r>
      <w:r>
        <w:t xml:space="preserve">First Applicant / Plaintiff </w:t>
      </w:r>
    </w:p>
    <w:p w14:paraId="1307576F" w14:textId="20F4DD7D" w:rsidR="008B2B15" w:rsidRPr="008B2B15" w:rsidRDefault="008B2B15" w:rsidP="008B2B15">
      <w:pPr>
        <w:pStyle w:val="LegalNormal"/>
        <w:spacing w:after="120" w:line="360" w:lineRule="auto"/>
      </w:pPr>
      <w:r>
        <w:rPr>
          <w:b/>
        </w:rPr>
        <w:t xml:space="preserve">ABSA BANK LIMITED </w:t>
      </w:r>
      <w:r>
        <w:t>(Reg No. 1986/004794/06)</w:t>
      </w:r>
      <w:r>
        <w:tab/>
      </w:r>
      <w:r>
        <w:tab/>
        <w:t>Second Applicant / Plaintiff</w:t>
      </w:r>
    </w:p>
    <w:p w14:paraId="53D00EBA" w14:textId="77777777" w:rsidR="008B2B15" w:rsidRPr="00A84826" w:rsidRDefault="008B2B15" w:rsidP="008B2B15">
      <w:pPr>
        <w:pStyle w:val="LegalNormal"/>
        <w:spacing w:after="120" w:line="360" w:lineRule="auto"/>
      </w:pPr>
      <w:r w:rsidRPr="00A84826">
        <w:t>and</w:t>
      </w:r>
    </w:p>
    <w:p w14:paraId="6FD1CB49" w14:textId="4310E94C" w:rsidR="008B2B15" w:rsidRDefault="008B2B15" w:rsidP="008B2B15">
      <w:pPr>
        <w:pStyle w:val="LegalPlainDef"/>
        <w:tabs>
          <w:tab w:val="clear" w:pos="8789"/>
          <w:tab w:val="right" w:pos="9356"/>
        </w:tabs>
        <w:spacing w:after="240" w:line="360" w:lineRule="auto"/>
      </w:pPr>
      <w:r>
        <w:rPr>
          <w:b/>
        </w:rPr>
        <w:t xml:space="preserve">ERF 1404 DAINFERN CC </w:t>
      </w:r>
      <w:r>
        <w:t>(Reg No</w:t>
      </w:r>
      <w:r>
        <w:rPr>
          <w:b/>
        </w:rPr>
        <w:t xml:space="preserve">. </w:t>
      </w:r>
      <w:r>
        <w:t>1998/57004/23)</w:t>
      </w:r>
      <w:r>
        <w:rPr>
          <w:b/>
        </w:rPr>
        <w:t xml:space="preserve"> </w:t>
      </w:r>
      <w:r>
        <w:tab/>
        <w:t>First Respondent / Defendant</w:t>
      </w:r>
    </w:p>
    <w:p w14:paraId="5E70A7EE" w14:textId="0A00C3C5" w:rsidR="008B2B15" w:rsidRDefault="008B2B15" w:rsidP="008B2B15">
      <w:pPr>
        <w:pStyle w:val="LegalNormal"/>
        <w:spacing w:after="240" w:line="360" w:lineRule="auto"/>
      </w:pPr>
      <w:r>
        <w:rPr>
          <w:b/>
        </w:rPr>
        <w:t xml:space="preserve">JUST PRICE CC </w:t>
      </w:r>
      <w:r>
        <w:t>(Reg No. 2005/026528/23)</w:t>
      </w:r>
      <w:r>
        <w:rPr>
          <w:b/>
        </w:rPr>
        <w:t xml:space="preserve"> </w:t>
      </w:r>
      <w:r>
        <w:rPr>
          <w:b/>
        </w:rPr>
        <w:tab/>
      </w:r>
      <w:r>
        <w:rPr>
          <w:b/>
        </w:rPr>
        <w:tab/>
        <w:t xml:space="preserve">  </w:t>
      </w:r>
      <w:r>
        <w:t>Second Respondent / Defendant</w:t>
      </w:r>
    </w:p>
    <w:p w14:paraId="22E72B68" w14:textId="4FC4C56C" w:rsidR="008B2B15" w:rsidRDefault="008B2B15" w:rsidP="00C41312">
      <w:pPr>
        <w:pStyle w:val="LegalPlainDef"/>
        <w:tabs>
          <w:tab w:val="clear" w:pos="8789"/>
          <w:tab w:val="right" w:pos="9356"/>
        </w:tabs>
        <w:spacing w:after="240" w:line="360" w:lineRule="auto"/>
      </w:pPr>
      <w:r>
        <w:rPr>
          <w:b/>
        </w:rPr>
        <w:t xml:space="preserve">JACQUES RENE FOBIAN </w:t>
      </w:r>
      <w:r>
        <w:tab/>
      </w:r>
      <w:r w:rsidR="00C41312">
        <w:t xml:space="preserve"> </w:t>
      </w:r>
      <w:r>
        <w:t>Third Respondent</w:t>
      </w:r>
      <w:r w:rsidR="00C41312">
        <w:t xml:space="preserve"> / Defendant</w:t>
      </w:r>
    </w:p>
    <w:p w14:paraId="506A0704" w14:textId="77777777" w:rsidR="008B2B15" w:rsidRPr="000517A0" w:rsidRDefault="008B2B15" w:rsidP="008B2B15">
      <w:pPr>
        <w:ind w:left="1440" w:hanging="1440"/>
        <w:rPr>
          <w:sz w:val="24"/>
          <w:szCs w:val="24"/>
        </w:rPr>
      </w:pPr>
      <w:r w:rsidRPr="000517A0">
        <w:rPr>
          <w:b/>
          <w:bCs/>
          <w:sz w:val="24"/>
          <w:szCs w:val="24"/>
        </w:rPr>
        <w:t>Coram:</w:t>
      </w:r>
      <w:r w:rsidRPr="000517A0">
        <w:rPr>
          <w:sz w:val="24"/>
          <w:szCs w:val="24"/>
        </w:rPr>
        <w:tab/>
        <w:t>Nichols AJ</w:t>
      </w:r>
    </w:p>
    <w:p w14:paraId="128E2860" w14:textId="080D539F" w:rsidR="008B2B15" w:rsidRPr="000517A0" w:rsidRDefault="008B2B15" w:rsidP="008B2B15">
      <w:pPr>
        <w:spacing w:after="120"/>
        <w:ind w:left="1440" w:hanging="1440"/>
        <w:rPr>
          <w:sz w:val="24"/>
          <w:szCs w:val="24"/>
        </w:rPr>
      </w:pPr>
      <w:r w:rsidRPr="000517A0">
        <w:rPr>
          <w:b/>
          <w:sz w:val="24"/>
          <w:szCs w:val="24"/>
        </w:rPr>
        <w:t>Delivered:</w:t>
      </w:r>
      <w:r w:rsidRPr="000517A0">
        <w:rPr>
          <w:b/>
          <w:sz w:val="24"/>
          <w:szCs w:val="24"/>
        </w:rPr>
        <w:tab/>
      </w:r>
      <w:r>
        <w:rPr>
          <w:sz w:val="24"/>
          <w:szCs w:val="24"/>
        </w:rPr>
        <w:t xml:space="preserve">28 July </w:t>
      </w:r>
      <w:r w:rsidRPr="000517A0">
        <w:rPr>
          <w:sz w:val="24"/>
          <w:szCs w:val="24"/>
        </w:rPr>
        <w:t>202</w:t>
      </w:r>
      <w:r>
        <w:rPr>
          <w:sz w:val="24"/>
          <w:szCs w:val="24"/>
        </w:rPr>
        <w:t>2</w:t>
      </w:r>
      <w:r w:rsidRPr="000517A0">
        <w:rPr>
          <w:sz w:val="24"/>
          <w:szCs w:val="24"/>
        </w:rPr>
        <w:t xml:space="preserve"> – This judgment was handed down electronically by circulation to the parties' representatives </w:t>
      </w:r>
      <w:r w:rsidRPr="000517A0">
        <w:rPr>
          <w:i/>
          <w:sz w:val="24"/>
          <w:szCs w:val="24"/>
        </w:rPr>
        <w:t>via</w:t>
      </w:r>
      <w:r w:rsidRPr="000517A0">
        <w:rPr>
          <w:sz w:val="24"/>
          <w:szCs w:val="24"/>
        </w:rPr>
        <w:t xml:space="preserve"> email, by being uploaded to the </w:t>
      </w:r>
      <w:r w:rsidRPr="000517A0">
        <w:rPr>
          <w:i/>
          <w:sz w:val="24"/>
          <w:szCs w:val="24"/>
        </w:rPr>
        <w:t>CaseLines</w:t>
      </w:r>
      <w:r w:rsidRPr="000517A0">
        <w:rPr>
          <w:sz w:val="24"/>
          <w:szCs w:val="24"/>
        </w:rPr>
        <w:t xml:space="preserve"> system of the GLD and by release to SAFLII. The date and time for hand-down is deemed to be 1</w:t>
      </w:r>
      <w:r>
        <w:rPr>
          <w:sz w:val="24"/>
          <w:szCs w:val="24"/>
        </w:rPr>
        <w:t>4</w:t>
      </w:r>
      <w:r w:rsidRPr="000517A0">
        <w:rPr>
          <w:sz w:val="24"/>
          <w:szCs w:val="24"/>
        </w:rPr>
        <w:t xml:space="preserve">H00 on </w:t>
      </w:r>
      <w:r>
        <w:rPr>
          <w:sz w:val="24"/>
          <w:szCs w:val="24"/>
        </w:rPr>
        <w:t xml:space="preserve">28 July </w:t>
      </w:r>
      <w:r w:rsidRPr="000517A0">
        <w:rPr>
          <w:sz w:val="24"/>
          <w:szCs w:val="24"/>
        </w:rPr>
        <w:t>202</w:t>
      </w:r>
      <w:r>
        <w:rPr>
          <w:sz w:val="24"/>
          <w:szCs w:val="24"/>
        </w:rPr>
        <w:t>2</w:t>
      </w:r>
      <w:r w:rsidRPr="000517A0">
        <w:rPr>
          <w:sz w:val="24"/>
          <w:szCs w:val="24"/>
        </w:rPr>
        <w:t>.</w:t>
      </w:r>
    </w:p>
    <w:p w14:paraId="72AFB427" w14:textId="566B8E4A" w:rsidR="008B2B15" w:rsidRDefault="008B2B15" w:rsidP="008B2B15">
      <w:pPr>
        <w:pStyle w:val="LegalTramLines"/>
        <w:spacing w:after="360"/>
      </w:pPr>
      <w:r>
        <w:lastRenderedPageBreak/>
        <w:t xml:space="preserve">JUDGMENT </w:t>
      </w:r>
    </w:p>
    <w:p w14:paraId="599F2EBB" w14:textId="77777777" w:rsidR="008B2B15" w:rsidRDefault="008B2B15" w:rsidP="00CC7AFD">
      <w:pPr>
        <w:spacing w:after="120"/>
        <w:rPr>
          <w:b/>
          <w:sz w:val="24"/>
          <w:szCs w:val="24"/>
        </w:rPr>
      </w:pPr>
      <w:r>
        <w:rPr>
          <w:b/>
          <w:sz w:val="24"/>
          <w:szCs w:val="24"/>
        </w:rPr>
        <w:t>NICHOLS AJ,</w:t>
      </w:r>
    </w:p>
    <w:p w14:paraId="6D6FC997" w14:textId="37AF3B04" w:rsidR="00DB7FD7" w:rsidRPr="00DB7FD7" w:rsidRDefault="00DB7FD7" w:rsidP="00CC7AFD">
      <w:pPr>
        <w:spacing w:after="120"/>
        <w:rPr>
          <w:b/>
          <w:sz w:val="24"/>
          <w:szCs w:val="24"/>
        </w:rPr>
      </w:pPr>
      <w:r>
        <w:rPr>
          <w:b/>
          <w:sz w:val="24"/>
          <w:szCs w:val="24"/>
        </w:rPr>
        <w:t>Introduction</w:t>
      </w:r>
    </w:p>
    <w:p w14:paraId="74958CE1" w14:textId="02070ABF" w:rsidR="003D726C" w:rsidRDefault="00D743BA" w:rsidP="006561BA">
      <w:pPr>
        <w:rPr>
          <w:sz w:val="24"/>
          <w:szCs w:val="24"/>
        </w:rPr>
      </w:pPr>
      <w:r>
        <w:rPr>
          <w:sz w:val="24"/>
          <w:szCs w:val="24"/>
        </w:rPr>
        <w:t>[1]</w:t>
      </w:r>
      <w:r>
        <w:rPr>
          <w:sz w:val="24"/>
          <w:szCs w:val="24"/>
        </w:rPr>
        <w:tab/>
      </w:r>
      <w:r w:rsidR="005E25C9">
        <w:rPr>
          <w:sz w:val="24"/>
          <w:szCs w:val="24"/>
        </w:rPr>
        <w:t>This is an opposed application for summary judgment in which the plaintiffs</w:t>
      </w:r>
      <w:r w:rsidR="00C7242D">
        <w:rPr>
          <w:sz w:val="24"/>
          <w:szCs w:val="24"/>
        </w:rPr>
        <w:t>, Absa Home Loans Guarantee Company (RF) (Pty) Ltd and Absa Bank Limited (the plaintiffs)</w:t>
      </w:r>
      <w:r w:rsidR="00102075">
        <w:rPr>
          <w:sz w:val="24"/>
          <w:szCs w:val="24"/>
        </w:rPr>
        <w:t>, seek</w:t>
      </w:r>
      <w:r w:rsidR="005E25C9">
        <w:rPr>
          <w:sz w:val="24"/>
          <w:szCs w:val="24"/>
        </w:rPr>
        <w:t xml:space="preserve"> summary judgment against the </w:t>
      </w:r>
      <w:r w:rsidR="00031D48">
        <w:rPr>
          <w:sz w:val="24"/>
          <w:szCs w:val="24"/>
        </w:rPr>
        <w:t>defendants</w:t>
      </w:r>
      <w:r w:rsidR="00C7242D">
        <w:rPr>
          <w:sz w:val="24"/>
          <w:szCs w:val="24"/>
        </w:rPr>
        <w:t xml:space="preserve"> for payment of </w:t>
      </w:r>
      <w:r w:rsidR="005E25C9">
        <w:rPr>
          <w:sz w:val="24"/>
          <w:szCs w:val="24"/>
        </w:rPr>
        <w:t xml:space="preserve">the </w:t>
      </w:r>
      <w:r w:rsidR="00C63553">
        <w:rPr>
          <w:sz w:val="24"/>
          <w:szCs w:val="24"/>
        </w:rPr>
        <w:t xml:space="preserve">full </w:t>
      </w:r>
      <w:r w:rsidR="005E25C9">
        <w:rPr>
          <w:sz w:val="24"/>
          <w:szCs w:val="24"/>
        </w:rPr>
        <w:t xml:space="preserve">outstanding </w:t>
      </w:r>
      <w:r w:rsidR="00C63553">
        <w:rPr>
          <w:sz w:val="24"/>
          <w:szCs w:val="24"/>
        </w:rPr>
        <w:t xml:space="preserve">amount </w:t>
      </w:r>
      <w:r w:rsidR="005E25C9">
        <w:rPr>
          <w:sz w:val="24"/>
          <w:szCs w:val="24"/>
        </w:rPr>
        <w:t xml:space="preserve">due under a </w:t>
      </w:r>
      <w:r w:rsidR="00C63553">
        <w:rPr>
          <w:sz w:val="24"/>
          <w:szCs w:val="24"/>
        </w:rPr>
        <w:t xml:space="preserve">written </w:t>
      </w:r>
      <w:r w:rsidR="005E25C9">
        <w:rPr>
          <w:sz w:val="24"/>
          <w:szCs w:val="24"/>
        </w:rPr>
        <w:t xml:space="preserve">mortgage </w:t>
      </w:r>
      <w:r w:rsidR="00C63553">
        <w:rPr>
          <w:sz w:val="24"/>
          <w:szCs w:val="24"/>
        </w:rPr>
        <w:t>loan agreement</w:t>
      </w:r>
      <w:r w:rsidR="00E01F6D">
        <w:rPr>
          <w:sz w:val="24"/>
          <w:szCs w:val="24"/>
        </w:rPr>
        <w:t xml:space="preserve"> (the loan agreement)</w:t>
      </w:r>
      <w:r w:rsidR="005E25C9">
        <w:rPr>
          <w:sz w:val="24"/>
          <w:szCs w:val="24"/>
        </w:rPr>
        <w:t>, together with interest and costs and an order declaring certain immovable property specially executable.</w:t>
      </w:r>
    </w:p>
    <w:p w14:paraId="284A8AA7" w14:textId="7379EF7A" w:rsidR="00CF561B" w:rsidRDefault="00D743BA" w:rsidP="006561BA">
      <w:pPr>
        <w:rPr>
          <w:sz w:val="24"/>
          <w:szCs w:val="24"/>
        </w:rPr>
      </w:pPr>
      <w:r>
        <w:rPr>
          <w:sz w:val="24"/>
          <w:szCs w:val="24"/>
        </w:rPr>
        <w:t>[2]</w:t>
      </w:r>
      <w:r>
        <w:rPr>
          <w:sz w:val="24"/>
          <w:szCs w:val="24"/>
        </w:rPr>
        <w:tab/>
      </w:r>
      <w:r w:rsidR="00CF561B">
        <w:rPr>
          <w:sz w:val="24"/>
          <w:szCs w:val="24"/>
        </w:rPr>
        <w:t xml:space="preserve">The </w:t>
      </w:r>
      <w:r w:rsidR="0004147C">
        <w:rPr>
          <w:sz w:val="24"/>
          <w:szCs w:val="24"/>
        </w:rPr>
        <w:t>first defendant</w:t>
      </w:r>
      <w:r w:rsidR="00E01F6D">
        <w:rPr>
          <w:sz w:val="24"/>
          <w:szCs w:val="24"/>
        </w:rPr>
        <w:t>, ERF 1404 Dainfern CC</w:t>
      </w:r>
      <w:r w:rsidR="00C7242D">
        <w:rPr>
          <w:sz w:val="24"/>
          <w:szCs w:val="24"/>
        </w:rPr>
        <w:t xml:space="preserve"> (Dainfern CC)</w:t>
      </w:r>
      <w:r w:rsidR="00E01F6D">
        <w:rPr>
          <w:sz w:val="24"/>
          <w:szCs w:val="24"/>
        </w:rPr>
        <w:t>, is the principal debtor, which concluded the loan agreement with</w:t>
      </w:r>
      <w:r w:rsidR="00C7242D">
        <w:rPr>
          <w:sz w:val="24"/>
          <w:szCs w:val="24"/>
        </w:rPr>
        <w:t xml:space="preserve"> the second plaintiff</w:t>
      </w:r>
      <w:r w:rsidR="002C3AA6">
        <w:rPr>
          <w:sz w:val="24"/>
          <w:szCs w:val="24"/>
        </w:rPr>
        <w:t xml:space="preserve"> (the bank)</w:t>
      </w:r>
      <w:r w:rsidR="00E01F6D">
        <w:rPr>
          <w:sz w:val="24"/>
          <w:szCs w:val="24"/>
        </w:rPr>
        <w:t xml:space="preserve"> on 30 June 2017. </w:t>
      </w:r>
      <w:r w:rsidR="00001ABE">
        <w:rPr>
          <w:sz w:val="24"/>
          <w:szCs w:val="24"/>
        </w:rPr>
        <w:t>The second</w:t>
      </w:r>
      <w:r w:rsidR="00E01F6D">
        <w:rPr>
          <w:sz w:val="24"/>
          <w:szCs w:val="24"/>
        </w:rPr>
        <w:t xml:space="preserve"> and</w:t>
      </w:r>
      <w:r w:rsidR="0004147C">
        <w:rPr>
          <w:sz w:val="24"/>
          <w:szCs w:val="24"/>
        </w:rPr>
        <w:t xml:space="preserve"> third defendants</w:t>
      </w:r>
      <w:r w:rsidR="00E01F6D">
        <w:rPr>
          <w:sz w:val="24"/>
          <w:szCs w:val="24"/>
        </w:rPr>
        <w:t xml:space="preserve">, Just Price </w:t>
      </w:r>
      <w:r w:rsidR="00001ABE">
        <w:rPr>
          <w:sz w:val="24"/>
          <w:szCs w:val="24"/>
        </w:rPr>
        <w:t>CC and</w:t>
      </w:r>
      <w:r w:rsidR="00E01F6D">
        <w:rPr>
          <w:sz w:val="24"/>
          <w:szCs w:val="24"/>
        </w:rPr>
        <w:t xml:space="preserve"> Jacques Rene Fobian</w:t>
      </w:r>
      <w:r w:rsidR="00C7242D">
        <w:rPr>
          <w:sz w:val="24"/>
          <w:szCs w:val="24"/>
        </w:rPr>
        <w:t xml:space="preserve"> (Fobian)</w:t>
      </w:r>
      <w:r w:rsidR="00E01F6D">
        <w:rPr>
          <w:sz w:val="24"/>
          <w:szCs w:val="24"/>
        </w:rPr>
        <w:t xml:space="preserve">, are cited in their capacities as sureties and co-principal debtors </w:t>
      </w:r>
      <w:r w:rsidR="00001ABE">
        <w:rPr>
          <w:sz w:val="24"/>
          <w:szCs w:val="24"/>
        </w:rPr>
        <w:t xml:space="preserve">for a limited amount pursuant to written </w:t>
      </w:r>
      <w:r w:rsidR="00E01F6D">
        <w:rPr>
          <w:sz w:val="24"/>
          <w:szCs w:val="24"/>
        </w:rPr>
        <w:t>deed of suretyship</w:t>
      </w:r>
      <w:r w:rsidR="00001ABE">
        <w:rPr>
          <w:sz w:val="24"/>
          <w:szCs w:val="24"/>
        </w:rPr>
        <w:t>s executed on 30 June 2017.</w:t>
      </w:r>
      <w:r w:rsidR="00E01F6D">
        <w:rPr>
          <w:sz w:val="24"/>
          <w:szCs w:val="24"/>
        </w:rPr>
        <w:t xml:space="preserve"> </w:t>
      </w:r>
    </w:p>
    <w:p w14:paraId="2E1405A0" w14:textId="28B40DA2" w:rsidR="00D07576" w:rsidRDefault="00D743BA" w:rsidP="006561BA">
      <w:pPr>
        <w:rPr>
          <w:sz w:val="24"/>
          <w:szCs w:val="24"/>
        </w:rPr>
      </w:pPr>
      <w:r>
        <w:rPr>
          <w:sz w:val="24"/>
          <w:szCs w:val="24"/>
        </w:rPr>
        <w:t>[3]</w:t>
      </w:r>
      <w:r>
        <w:rPr>
          <w:sz w:val="24"/>
          <w:szCs w:val="24"/>
        </w:rPr>
        <w:tab/>
      </w:r>
      <w:r w:rsidR="006B2F8D">
        <w:rPr>
          <w:sz w:val="24"/>
          <w:szCs w:val="24"/>
        </w:rPr>
        <w:t xml:space="preserve">As further security for the loan agreement, Dainfern CC concluded a written indemnity agreement in which it indemnified the first plaintiff against any claim by the </w:t>
      </w:r>
      <w:r w:rsidR="002C3AA6">
        <w:rPr>
          <w:sz w:val="24"/>
          <w:szCs w:val="24"/>
        </w:rPr>
        <w:t>bank</w:t>
      </w:r>
      <w:r w:rsidR="006B2F8D">
        <w:rPr>
          <w:sz w:val="24"/>
          <w:szCs w:val="24"/>
        </w:rPr>
        <w:t xml:space="preserve"> under a Guarantee given by the first plaintiff to the </w:t>
      </w:r>
      <w:r w:rsidR="002C3AA6">
        <w:rPr>
          <w:sz w:val="24"/>
          <w:szCs w:val="24"/>
        </w:rPr>
        <w:t>bank</w:t>
      </w:r>
      <w:r w:rsidR="006B2F8D">
        <w:rPr>
          <w:sz w:val="24"/>
          <w:szCs w:val="24"/>
        </w:rPr>
        <w:t xml:space="preserve"> in respect of all amounts then and subsequently due by Dainfern CC to the </w:t>
      </w:r>
      <w:r w:rsidR="002C3AA6">
        <w:rPr>
          <w:sz w:val="24"/>
          <w:szCs w:val="24"/>
        </w:rPr>
        <w:t>bank</w:t>
      </w:r>
      <w:r w:rsidR="006B2F8D">
        <w:rPr>
          <w:sz w:val="24"/>
          <w:szCs w:val="24"/>
        </w:rPr>
        <w:t xml:space="preserve"> in terms of the loan agreement. </w:t>
      </w:r>
    </w:p>
    <w:p w14:paraId="6DA3A516" w14:textId="67A78007" w:rsidR="006B2F8D" w:rsidRDefault="00D743BA" w:rsidP="006561BA">
      <w:pPr>
        <w:rPr>
          <w:sz w:val="24"/>
          <w:szCs w:val="24"/>
        </w:rPr>
      </w:pPr>
      <w:r>
        <w:rPr>
          <w:sz w:val="24"/>
          <w:szCs w:val="24"/>
        </w:rPr>
        <w:t>[4]</w:t>
      </w:r>
      <w:r>
        <w:rPr>
          <w:sz w:val="24"/>
          <w:szCs w:val="24"/>
        </w:rPr>
        <w:tab/>
      </w:r>
      <w:r w:rsidR="00D07576">
        <w:rPr>
          <w:sz w:val="24"/>
          <w:szCs w:val="24"/>
        </w:rPr>
        <w:t xml:space="preserve">The money advanced pursuant to the loan agreement was used to purchase an immovable property </w:t>
      </w:r>
      <w:r w:rsidR="003F46BB">
        <w:rPr>
          <w:sz w:val="24"/>
          <w:szCs w:val="24"/>
        </w:rPr>
        <w:t xml:space="preserve">situated in Dainfern Residential Estate. </w:t>
      </w:r>
      <w:r w:rsidR="006B2F8D">
        <w:rPr>
          <w:sz w:val="24"/>
          <w:szCs w:val="24"/>
        </w:rPr>
        <w:t>A mortgage bond</w:t>
      </w:r>
      <w:r w:rsidR="00385243">
        <w:rPr>
          <w:sz w:val="24"/>
          <w:szCs w:val="24"/>
        </w:rPr>
        <w:t xml:space="preserve"> and indemnity bond were</w:t>
      </w:r>
      <w:r w:rsidR="006B2F8D">
        <w:rPr>
          <w:sz w:val="24"/>
          <w:szCs w:val="24"/>
        </w:rPr>
        <w:t xml:space="preserve"> registered over the immovable property</w:t>
      </w:r>
      <w:r w:rsidR="00385243">
        <w:rPr>
          <w:sz w:val="24"/>
          <w:szCs w:val="24"/>
        </w:rPr>
        <w:t xml:space="preserve"> in favour of the first plaintiff.</w:t>
      </w:r>
    </w:p>
    <w:p w14:paraId="411F28AF" w14:textId="2AB9483F" w:rsidR="0004147C" w:rsidRDefault="00D743BA" w:rsidP="006561BA">
      <w:pPr>
        <w:rPr>
          <w:sz w:val="24"/>
          <w:szCs w:val="24"/>
        </w:rPr>
      </w:pPr>
      <w:r>
        <w:rPr>
          <w:sz w:val="24"/>
          <w:szCs w:val="24"/>
        </w:rPr>
        <w:t>[5]</w:t>
      </w:r>
      <w:r>
        <w:rPr>
          <w:sz w:val="24"/>
          <w:szCs w:val="24"/>
        </w:rPr>
        <w:tab/>
      </w:r>
      <w:r w:rsidR="0004147C">
        <w:rPr>
          <w:sz w:val="24"/>
          <w:szCs w:val="24"/>
        </w:rPr>
        <w:t xml:space="preserve">The plaintiffs seek payment of the sum of R7 599 016.25, from Dainfern CC and the </w:t>
      </w:r>
      <w:r w:rsidR="00940073">
        <w:rPr>
          <w:sz w:val="24"/>
          <w:szCs w:val="24"/>
        </w:rPr>
        <w:t xml:space="preserve">limited </w:t>
      </w:r>
      <w:r w:rsidR="0004147C">
        <w:rPr>
          <w:sz w:val="24"/>
          <w:szCs w:val="24"/>
        </w:rPr>
        <w:t xml:space="preserve">sum </w:t>
      </w:r>
      <w:r w:rsidR="00940073">
        <w:rPr>
          <w:sz w:val="24"/>
          <w:szCs w:val="24"/>
        </w:rPr>
        <w:t xml:space="preserve">of R7.1 million from the second defendant and Fobian respectively. </w:t>
      </w:r>
    </w:p>
    <w:p w14:paraId="4EB5E655" w14:textId="693EF844" w:rsidR="005E25C9" w:rsidRDefault="00AD34D5" w:rsidP="006561BA">
      <w:pPr>
        <w:rPr>
          <w:sz w:val="24"/>
          <w:szCs w:val="24"/>
        </w:rPr>
      </w:pPr>
      <w:r>
        <w:rPr>
          <w:sz w:val="24"/>
          <w:szCs w:val="24"/>
        </w:rPr>
        <w:t>[6]</w:t>
      </w:r>
      <w:r>
        <w:rPr>
          <w:sz w:val="24"/>
          <w:szCs w:val="24"/>
        </w:rPr>
        <w:tab/>
      </w:r>
      <w:r w:rsidR="005E25C9">
        <w:rPr>
          <w:sz w:val="24"/>
          <w:szCs w:val="24"/>
        </w:rPr>
        <w:t xml:space="preserve">The second </w:t>
      </w:r>
      <w:r w:rsidR="00031D48">
        <w:rPr>
          <w:sz w:val="24"/>
          <w:szCs w:val="24"/>
        </w:rPr>
        <w:t xml:space="preserve">defendant </w:t>
      </w:r>
      <w:r w:rsidR="005E25C9">
        <w:rPr>
          <w:sz w:val="24"/>
          <w:szCs w:val="24"/>
        </w:rPr>
        <w:t xml:space="preserve">has not opposed the application for the summary judgment. </w:t>
      </w:r>
      <w:r w:rsidR="00C7242D">
        <w:rPr>
          <w:sz w:val="24"/>
          <w:szCs w:val="24"/>
        </w:rPr>
        <w:t>Dainfern CC and Fobian</w:t>
      </w:r>
      <w:r w:rsidR="005E25C9">
        <w:rPr>
          <w:sz w:val="24"/>
          <w:szCs w:val="24"/>
        </w:rPr>
        <w:t xml:space="preserve"> </w:t>
      </w:r>
      <w:r w:rsidR="00701DAA">
        <w:rPr>
          <w:sz w:val="24"/>
          <w:szCs w:val="24"/>
        </w:rPr>
        <w:t xml:space="preserve">(the </w:t>
      </w:r>
      <w:r w:rsidR="00031D48">
        <w:rPr>
          <w:sz w:val="24"/>
          <w:szCs w:val="24"/>
        </w:rPr>
        <w:t>defendants</w:t>
      </w:r>
      <w:r w:rsidR="00701DAA">
        <w:rPr>
          <w:sz w:val="24"/>
          <w:szCs w:val="24"/>
        </w:rPr>
        <w:t xml:space="preserve">) set out their defences in the plea and amended plea delivered on 20 February 2020 and 22 February 2021 respectively. These defences are </w:t>
      </w:r>
      <w:r w:rsidR="00C63553">
        <w:rPr>
          <w:sz w:val="24"/>
          <w:szCs w:val="24"/>
        </w:rPr>
        <w:t>encapsulated</w:t>
      </w:r>
      <w:r w:rsidR="00701DAA">
        <w:rPr>
          <w:sz w:val="24"/>
          <w:szCs w:val="24"/>
        </w:rPr>
        <w:t xml:space="preserve"> in the </w:t>
      </w:r>
      <w:r w:rsidR="00031D48">
        <w:rPr>
          <w:sz w:val="24"/>
          <w:szCs w:val="24"/>
        </w:rPr>
        <w:t>defendants’</w:t>
      </w:r>
      <w:r w:rsidR="00701DAA">
        <w:rPr>
          <w:sz w:val="24"/>
          <w:szCs w:val="24"/>
        </w:rPr>
        <w:t xml:space="preserve"> affidavit opposing summary judgment that was delivered on </w:t>
      </w:r>
      <w:r w:rsidR="00346F8A">
        <w:rPr>
          <w:sz w:val="24"/>
          <w:szCs w:val="24"/>
        </w:rPr>
        <w:t>18 May 2020.</w:t>
      </w:r>
    </w:p>
    <w:p w14:paraId="33523787" w14:textId="056D602F" w:rsidR="00346F8A" w:rsidRDefault="00AD34D5" w:rsidP="006561BA">
      <w:pPr>
        <w:rPr>
          <w:sz w:val="24"/>
          <w:szCs w:val="24"/>
        </w:rPr>
      </w:pPr>
      <w:r>
        <w:rPr>
          <w:sz w:val="24"/>
          <w:szCs w:val="24"/>
        </w:rPr>
        <w:lastRenderedPageBreak/>
        <w:t>[7]</w:t>
      </w:r>
      <w:r>
        <w:rPr>
          <w:sz w:val="24"/>
          <w:szCs w:val="24"/>
        </w:rPr>
        <w:tab/>
      </w:r>
      <w:r w:rsidR="00346F8A">
        <w:rPr>
          <w:sz w:val="24"/>
          <w:szCs w:val="24"/>
        </w:rPr>
        <w:t>The plaintiffs’ in turn delivered a supplementary affidavit in support of the summa</w:t>
      </w:r>
      <w:r w:rsidR="00DB7FD7">
        <w:rPr>
          <w:sz w:val="24"/>
          <w:szCs w:val="24"/>
        </w:rPr>
        <w:t>ry judgment</w:t>
      </w:r>
      <w:r w:rsidR="00031D48">
        <w:rPr>
          <w:sz w:val="24"/>
          <w:szCs w:val="24"/>
        </w:rPr>
        <w:t xml:space="preserve"> application </w:t>
      </w:r>
      <w:r w:rsidR="00DB7FD7">
        <w:rPr>
          <w:sz w:val="24"/>
          <w:szCs w:val="24"/>
        </w:rPr>
        <w:t>on 4 March 2021, to ensure that the summary judgment proceedings were in harmony with the pleadings and to address the defence</w:t>
      </w:r>
      <w:r w:rsidR="00001ABE">
        <w:rPr>
          <w:sz w:val="24"/>
          <w:szCs w:val="24"/>
        </w:rPr>
        <w:t>s</w:t>
      </w:r>
      <w:r w:rsidR="00DB7FD7">
        <w:rPr>
          <w:sz w:val="24"/>
          <w:szCs w:val="24"/>
        </w:rPr>
        <w:t xml:space="preserve"> raised in the amended plea which was delivered subsequent to the launch of the summary judgment application.</w:t>
      </w:r>
    </w:p>
    <w:p w14:paraId="7428F80D" w14:textId="77777777" w:rsidR="00DB7FD7" w:rsidRDefault="00DB7FD7" w:rsidP="006561BA">
      <w:pPr>
        <w:rPr>
          <w:b/>
          <w:sz w:val="24"/>
          <w:szCs w:val="24"/>
        </w:rPr>
      </w:pPr>
      <w:r>
        <w:rPr>
          <w:b/>
          <w:sz w:val="24"/>
          <w:szCs w:val="24"/>
        </w:rPr>
        <w:t>Issues for determination</w:t>
      </w:r>
    </w:p>
    <w:p w14:paraId="6DE4F971" w14:textId="6A10732A" w:rsidR="003F3063" w:rsidRDefault="00AD34D5" w:rsidP="006561BA">
      <w:pPr>
        <w:rPr>
          <w:sz w:val="24"/>
          <w:szCs w:val="24"/>
        </w:rPr>
      </w:pPr>
      <w:r>
        <w:rPr>
          <w:sz w:val="24"/>
          <w:szCs w:val="24"/>
        </w:rPr>
        <w:t>[8]</w:t>
      </w:r>
      <w:r>
        <w:rPr>
          <w:sz w:val="24"/>
          <w:szCs w:val="24"/>
        </w:rPr>
        <w:tab/>
      </w:r>
      <w:r w:rsidR="00DB7FD7">
        <w:rPr>
          <w:sz w:val="24"/>
          <w:szCs w:val="24"/>
        </w:rPr>
        <w:t>T</w:t>
      </w:r>
      <w:r w:rsidR="003F3063">
        <w:rPr>
          <w:sz w:val="24"/>
          <w:szCs w:val="24"/>
        </w:rPr>
        <w:t>he issues for determination are:</w:t>
      </w:r>
    </w:p>
    <w:p w14:paraId="62C10BE6" w14:textId="2DC43017" w:rsidR="00FF0513" w:rsidRDefault="003F3063" w:rsidP="006561BA">
      <w:pPr>
        <w:rPr>
          <w:sz w:val="24"/>
          <w:szCs w:val="24"/>
        </w:rPr>
      </w:pPr>
      <w:r>
        <w:rPr>
          <w:sz w:val="24"/>
          <w:szCs w:val="24"/>
        </w:rPr>
        <w:t>(a)</w:t>
      </w:r>
      <w:r>
        <w:rPr>
          <w:sz w:val="24"/>
          <w:szCs w:val="24"/>
        </w:rPr>
        <w:tab/>
        <w:t>Whether</w:t>
      </w:r>
      <w:r w:rsidR="00DB7FD7">
        <w:rPr>
          <w:sz w:val="24"/>
          <w:szCs w:val="24"/>
        </w:rPr>
        <w:t xml:space="preserve"> the plaintiffs are entitled to submit a supplementary affidavit consequent upon the amendment of the </w:t>
      </w:r>
      <w:r w:rsidR="00FF0513">
        <w:rPr>
          <w:sz w:val="24"/>
          <w:szCs w:val="24"/>
        </w:rPr>
        <w:t>defendants’</w:t>
      </w:r>
      <w:r w:rsidR="004553CF">
        <w:rPr>
          <w:sz w:val="24"/>
          <w:szCs w:val="24"/>
        </w:rPr>
        <w:t xml:space="preserve"> plea and whether </w:t>
      </w:r>
      <w:r w:rsidR="00DB7FD7">
        <w:rPr>
          <w:sz w:val="24"/>
          <w:szCs w:val="24"/>
        </w:rPr>
        <w:t>an adverse finding in this regard</w:t>
      </w:r>
      <w:r w:rsidR="004553CF">
        <w:rPr>
          <w:sz w:val="24"/>
          <w:szCs w:val="24"/>
        </w:rPr>
        <w:t xml:space="preserve"> is</w:t>
      </w:r>
      <w:r w:rsidR="00DB7FD7">
        <w:rPr>
          <w:sz w:val="24"/>
          <w:szCs w:val="24"/>
        </w:rPr>
        <w:t xml:space="preserve"> fatal to the summary judgment application</w:t>
      </w:r>
      <w:r w:rsidR="004553CF">
        <w:rPr>
          <w:sz w:val="24"/>
          <w:szCs w:val="24"/>
        </w:rPr>
        <w:t>.</w:t>
      </w:r>
      <w:r w:rsidR="00FF0513">
        <w:rPr>
          <w:sz w:val="24"/>
          <w:szCs w:val="24"/>
        </w:rPr>
        <w:t xml:space="preserve"> </w:t>
      </w:r>
    </w:p>
    <w:p w14:paraId="22F25617" w14:textId="2375B8C8" w:rsidR="00CF561B" w:rsidRDefault="003F3063" w:rsidP="006561BA">
      <w:pPr>
        <w:rPr>
          <w:sz w:val="24"/>
          <w:szCs w:val="24"/>
        </w:rPr>
      </w:pPr>
      <w:r>
        <w:rPr>
          <w:sz w:val="24"/>
          <w:szCs w:val="24"/>
        </w:rPr>
        <w:t>(b)</w:t>
      </w:r>
      <w:r>
        <w:rPr>
          <w:sz w:val="24"/>
          <w:szCs w:val="24"/>
        </w:rPr>
        <w:tab/>
      </w:r>
      <w:r w:rsidR="00FF0513">
        <w:rPr>
          <w:sz w:val="24"/>
          <w:szCs w:val="24"/>
        </w:rPr>
        <w:t>The constitutionality of the National Credit Act</w:t>
      </w:r>
      <w:r w:rsidR="00FF0513" w:rsidRPr="00FF0513">
        <w:rPr>
          <w:rStyle w:val="FootnoteReference"/>
          <w:rFonts w:ascii="Arial" w:hAnsi="Arial"/>
          <w:sz w:val="20"/>
        </w:rPr>
        <w:footnoteReference w:id="1"/>
      </w:r>
      <w:r w:rsidR="00FF0513">
        <w:rPr>
          <w:sz w:val="24"/>
          <w:szCs w:val="24"/>
        </w:rPr>
        <w:t xml:space="preserve"> (NCA) for its failure to differentiate between trading and non-trading </w:t>
      </w:r>
      <w:r w:rsidR="00C41312">
        <w:rPr>
          <w:sz w:val="24"/>
          <w:szCs w:val="24"/>
        </w:rPr>
        <w:t xml:space="preserve">juristic persons </w:t>
      </w:r>
      <w:r w:rsidR="00FF0513">
        <w:rPr>
          <w:sz w:val="24"/>
          <w:szCs w:val="24"/>
        </w:rPr>
        <w:t>with a single member</w:t>
      </w:r>
      <w:r w:rsidR="00F57AE7">
        <w:rPr>
          <w:sz w:val="24"/>
          <w:szCs w:val="24"/>
        </w:rPr>
        <w:t xml:space="preserve"> / shareholder such as Dainfern </w:t>
      </w:r>
      <w:r w:rsidR="00724E31">
        <w:rPr>
          <w:sz w:val="24"/>
          <w:szCs w:val="24"/>
        </w:rPr>
        <w:t>CC</w:t>
      </w:r>
      <w:r w:rsidR="002A2B9D">
        <w:rPr>
          <w:sz w:val="24"/>
          <w:szCs w:val="24"/>
        </w:rPr>
        <w:t>;</w:t>
      </w:r>
      <w:r w:rsidR="00724E31">
        <w:rPr>
          <w:sz w:val="24"/>
          <w:szCs w:val="24"/>
        </w:rPr>
        <w:t xml:space="preserve"> </w:t>
      </w:r>
      <w:r w:rsidR="00FF0513">
        <w:rPr>
          <w:sz w:val="24"/>
          <w:szCs w:val="24"/>
        </w:rPr>
        <w:t>and</w:t>
      </w:r>
      <w:r w:rsidR="002A2B9D">
        <w:rPr>
          <w:sz w:val="24"/>
          <w:szCs w:val="24"/>
        </w:rPr>
        <w:t xml:space="preserve"> its constitutionality insofar as the NCA distinguishes </w:t>
      </w:r>
      <w:r w:rsidR="00031D48">
        <w:rPr>
          <w:sz w:val="24"/>
          <w:szCs w:val="24"/>
        </w:rPr>
        <w:t>between natural persons and non-</w:t>
      </w:r>
      <w:r w:rsidR="0004147C">
        <w:rPr>
          <w:sz w:val="24"/>
          <w:szCs w:val="24"/>
        </w:rPr>
        <w:t xml:space="preserve">trading </w:t>
      </w:r>
      <w:r w:rsidR="00724E31">
        <w:rPr>
          <w:sz w:val="24"/>
          <w:szCs w:val="24"/>
        </w:rPr>
        <w:t xml:space="preserve">property holding </w:t>
      </w:r>
      <w:r w:rsidR="0004147C">
        <w:rPr>
          <w:sz w:val="24"/>
          <w:szCs w:val="24"/>
        </w:rPr>
        <w:t>CCs</w:t>
      </w:r>
      <w:r w:rsidR="002A2B9D">
        <w:rPr>
          <w:sz w:val="24"/>
          <w:szCs w:val="24"/>
        </w:rPr>
        <w:t>,</w:t>
      </w:r>
      <w:r w:rsidR="0004147C">
        <w:rPr>
          <w:sz w:val="24"/>
          <w:szCs w:val="24"/>
        </w:rPr>
        <w:t xml:space="preserve"> with a sole member</w:t>
      </w:r>
      <w:r w:rsidR="002A2B9D">
        <w:rPr>
          <w:sz w:val="24"/>
          <w:szCs w:val="24"/>
        </w:rPr>
        <w:t>,</w:t>
      </w:r>
      <w:r w:rsidR="0004147C">
        <w:rPr>
          <w:sz w:val="24"/>
          <w:szCs w:val="24"/>
        </w:rPr>
        <w:t xml:space="preserve"> </w:t>
      </w:r>
      <w:r w:rsidR="002A2B9D">
        <w:rPr>
          <w:sz w:val="24"/>
          <w:szCs w:val="24"/>
        </w:rPr>
        <w:t xml:space="preserve">when granting protection against reckless credit. </w:t>
      </w:r>
    </w:p>
    <w:p w14:paraId="4301F299" w14:textId="15EE8ECD" w:rsidR="00DC7F75" w:rsidRDefault="00DC7F75" w:rsidP="006561BA">
      <w:pPr>
        <w:rPr>
          <w:sz w:val="24"/>
          <w:szCs w:val="24"/>
        </w:rPr>
      </w:pPr>
      <w:r>
        <w:rPr>
          <w:sz w:val="24"/>
          <w:szCs w:val="24"/>
        </w:rPr>
        <w:t>(c)</w:t>
      </w:r>
      <w:r>
        <w:rPr>
          <w:sz w:val="24"/>
          <w:szCs w:val="24"/>
        </w:rPr>
        <w:tab/>
      </w:r>
      <w:r w:rsidR="00F57AE7">
        <w:rPr>
          <w:sz w:val="24"/>
          <w:szCs w:val="24"/>
        </w:rPr>
        <w:t>The f</w:t>
      </w:r>
      <w:r w:rsidR="00CF561B">
        <w:rPr>
          <w:sz w:val="24"/>
          <w:szCs w:val="24"/>
        </w:rPr>
        <w:t xml:space="preserve">urther ancillary issues </w:t>
      </w:r>
      <w:r>
        <w:rPr>
          <w:sz w:val="24"/>
          <w:szCs w:val="24"/>
        </w:rPr>
        <w:t xml:space="preserve">that </w:t>
      </w:r>
      <w:r w:rsidR="00CF561B">
        <w:rPr>
          <w:sz w:val="24"/>
          <w:szCs w:val="24"/>
        </w:rPr>
        <w:t xml:space="preserve">arise upon a finding that the NCA is applicable. These are whether the </w:t>
      </w:r>
      <w:r w:rsidR="002C3AA6">
        <w:rPr>
          <w:sz w:val="24"/>
          <w:szCs w:val="24"/>
        </w:rPr>
        <w:t>bank</w:t>
      </w:r>
      <w:r w:rsidR="00CF561B">
        <w:rPr>
          <w:sz w:val="24"/>
          <w:szCs w:val="24"/>
        </w:rPr>
        <w:t xml:space="preserve"> granted credit to the defendants recklessly by valuing the </w:t>
      </w:r>
      <w:r w:rsidR="0004147C">
        <w:rPr>
          <w:sz w:val="24"/>
          <w:szCs w:val="24"/>
        </w:rPr>
        <w:t xml:space="preserve">immovable </w:t>
      </w:r>
      <w:r w:rsidR="00CF561B">
        <w:rPr>
          <w:sz w:val="24"/>
          <w:szCs w:val="24"/>
        </w:rPr>
        <w:t xml:space="preserve">property for more than its </w:t>
      </w:r>
      <w:r w:rsidR="00724E31">
        <w:rPr>
          <w:sz w:val="24"/>
          <w:szCs w:val="24"/>
        </w:rPr>
        <w:t>actual value</w:t>
      </w:r>
      <w:r w:rsidR="00CF561B">
        <w:rPr>
          <w:sz w:val="24"/>
          <w:szCs w:val="24"/>
        </w:rPr>
        <w:t xml:space="preserve">; and whether </w:t>
      </w:r>
      <w:r w:rsidR="0004147C">
        <w:rPr>
          <w:sz w:val="24"/>
          <w:szCs w:val="24"/>
        </w:rPr>
        <w:t xml:space="preserve">Fobian </w:t>
      </w:r>
      <w:r w:rsidR="00CF561B">
        <w:rPr>
          <w:sz w:val="24"/>
          <w:szCs w:val="24"/>
        </w:rPr>
        <w:t xml:space="preserve">was misled and </w:t>
      </w:r>
      <w:r w:rsidR="0004147C">
        <w:rPr>
          <w:sz w:val="24"/>
          <w:szCs w:val="24"/>
        </w:rPr>
        <w:t xml:space="preserve">induced to conclude the </w:t>
      </w:r>
      <w:r w:rsidR="00CF561B">
        <w:rPr>
          <w:sz w:val="24"/>
          <w:szCs w:val="24"/>
        </w:rPr>
        <w:t xml:space="preserve">loan agreement </w:t>
      </w:r>
      <w:r w:rsidR="0004147C">
        <w:rPr>
          <w:sz w:val="24"/>
          <w:szCs w:val="24"/>
        </w:rPr>
        <w:t xml:space="preserve">on behalf of Dainfern CC </w:t>
      </w:r>
      <w:r w:rsidR="00CF561B">
        <w:rPr>
          <w:sz w:val="24"/>
          <w:szCs w:val="24"/>
        </w:rPr>
        <w:t>by this incorrect</w:t>
      </w:r>
      <w:r w:rsidR="00724E31">
        <w:rPr>
          <w:sz w:val="24"/>
          <w:szCs w:val="24"/>
        </w:rPr>
        <w:t xml:space="preserve"> inflated</w:t>
      </w:r>
      <w:r w:rsidR="00CF561B">
        <w:rPr>
          <w:sz w:val="24"/>
          <w:szCs w:val="24"/>
        </w:rPr>
        <w:t xml:space="preserve"> valuation.</w:t>
      </w:r>
    </w:p>
    <w:p w14:paraId="55A3E009" w14:textId="343A2BF2" w:rsidR="00031D48" w:rsidRDefault="00DC7F75" w:rsidP="006561BA">
      <w:pPr>
        <w:rPr>
          <w:sz w:val="24"/>
          <w:szCs w:val="24"/>
        </w:rPr>
      </w:pPr>
      <w:r>
        <w:rPr>
          <w:sz w:val="24"/>
          <w:szCs w:val="24"/>
        </w:rPr>
        <w:t>(d)</w:t>
      </w:r>
      <w:r w:rsidR="00724E31">
        <w:rPr>
          <w:sz w:val="24"/>
          <w:szCs w:val="24"/>
        </w:rPr>
        <w:tab/>
      </w:r>
      <w:r w:rsidR="002A2B9D">
        <w:rPr>
          <w:sz w:val="24"/>
          <w:szCs w:val="24"/>
        </w:rPr>
        <w:t>Whether the immovable property may be declared specially executable.</w:t>
      </w:r>
    </w:p>
    <w:p w14:paraId="5CB2ACDD" w14:textId="4F312DA2" w:rsidR="00001ABE" w:rsidRDefault="00F23D6D" w:rsidP="006561BA">
      <w:pPr>
        <w:rPr>
          <w:b/>
          <w:sz w:val="24"/>
          <w:szCs w:val="24"/>
        </w:rPr>
      </w:pPr>
      <w:r>
        <w:rPr>
          <w:b/>
          <w:sz w:val="24"/>
          <w:szCs w:val="24"/>
        </w:rPr>
        <w:t xml:space="preserve">Admission of the </w:t>
      </w:r>
      <w:r w:rsidR="00387768">
        <w:rPr>
          <w:b/>
          <w:sz w:val="24"/>
          <w:szCs w:val="24"/>
        </w:rPr>
        <w:t>plaintiffs’</w:t>
      </w:r>
      <w:r>
        <w:rPr>
          <w:b/>
          <w:sz w:val="24"/>
          <w:szCs w:val="24"/>
        </w:rPr>
        <w:t xml:space="preserve"> supplementary affidavit</w:t>
      </w:r>
    </w:p>
    <w:p w14:paraId="4D9E84FC" w14:textId="0EF324C4" w:rsidR="009D5E9B" w:rsidRPr="005A5802" w:rsidRDefault="00AD34D5" w:rsidP="006561BA">
      <w:pPr>
        <w:rPr>
          <w:sz w:val="24"/>
          <w:szCs w:val="24"/>
        </w:rPr>
      </w:pPr>
      <w:r>
        <w:rPr>
          <w:sz w:val="24"/>
          <w:szCs w:val="24"/>
        </w:rPr>
        <w:t>[9]</w:t>
      </w:r>
      <w:r>
        <w:rPr>
          <w:sz w:val="24"/>
          <w:szCs w:val="24"/>
        </w:rPr>
        <w:tab/>
      </w:r>
      <w:r w:rsidR="005A5802">
        <w:rPr>
          <w:sz w:val="24"/>
          <w:szCs w:val="24"/>
        </w:rPr>
        <w:t xml:space="preserve">The application for summary judgment is pursuant to </w:t>
      </w:r>
      <w:r w:rsidR="002C3AA6">
        <w:rPr>
          <w:sz w:val="24"/>
          <w:szCs w:val="24"/>
        </w:rPr>
        <w:t>r</w:t>
      </w:r>
      <w:r w:rsidR="005A5802">
        <w:rPr>
          <w:sz w:val="24"/>
          <w:szCs w:val="24"/>
        </w:rPr>
        <w:t xml:space="preserve">ule 32, which entitles a plaintiff to seek summary judgment once the defendants have delivered a plea. The affidavit filed by the plaintiffs in support of the summary judgment must, </w:t>
      </w:r>
      <w:r w:rsidR="005A5802">
        <w:rPr>
          <w:i/>
          <w:sz w:val="24"/>
          <w:szCs w:val="24"/>
        </w:rPr>
        <w:t xml:space="preserve">inter alia, </w:t>
      </w:r>
      <w:r w:rsidR="005A5802">
        <w:rPr>
          <w:sz w:val="24"/>
          <w:szCs w:val="24"/>
        </w:rPr>
        <w:t>explain briefly, why the defence as pleaded does not raise any issue for trial.</w:t>
      </w:r>
      <w:r w:rsidR="005A5802" w:rsidRPr="005A5802">
        <w:rPr>
          <w:rStyle w:val="FootnoteReference"/>
          <w:rFonts w:ascii="Arial" w:hAnsi="Arial"/>
          <w:sz w:val="20"/>
        </w:rPr>
        <w:footnoteReference w:id="2"/>
      </w:r>
      <w:r w:rsidR="005A5802">
        <w:rPr>
          <w:sz w:val="24"/>
          <w:szCs w:val="24"/>
        </w:rPr>
        <w:t xml:space="preserve"> </w:t>
      </w:r>
    </w:p>
    <w:p w14:paraId="43FA1758" w14:textId="53AFAABF" w:rsidR="001B5E1C" w:rsidRDefault="00AD34D5" w:rsidP="006561BA">
      <w:pPr>
        <w:rPr>
          <w:sz w:val="24"/>
          <w:szCs w:val="24"/>
        </w:rPr>
      </w:pPr>
      <w:r>
        <w:rPr>
          <w:sz w:val="24"/>
          <w:szCs w:val="24"/>
        </w:rPr>
        <w:t>[10]</w:t>
      </w:r>
      <w:r>
        <w:rPr>
          <w:sz w:val="24"/>
          <w:szCs w:val="24"/>
        </w:rPr>
        <w:tab/>
      </w:r>
      <w:r w:rsidR="00102075">
        <w:rPr>
          <w:sz w:val="24"/>
          <w:szCs w:val="24"/>
        </w:rPr>
        <w:t>By</w:t>
      </w:r>
      <w:r w:rsidR="004C7E00">
        <w:rPr>
          <w:sz w:val="24"/>
          <w:szCs w:val="24"/>
        </w:rPr>
        <w:t xml:space="preserve"> the time the matter was argued</w:t>
      </w:r>
      <w:r w:rsidR="00940073">
        <w:rPr>
          <w:sz w:val="24"/>
          <w:szCs w:val="24"/>
        </w:rPr>
        <w:t xml:space="preserve">, </w:t>
      </w:r>
      <w:r w:rsidR="007333FF">
        <w:rPr>
          <w:sz w:val="24"/>
          <w:szCs w:val="24"/>
        </w:rPr>
        <w:t xml:space="preserve">the </w:t>
      </w:r>
      <w:r w:rsidR="00F23D6D">
        <w:rPr>
          <w:sz w:val="24"/>
          <w:szCs w:val="24"/>
        </w:rPr>
        <w:t>defendants</w:t>
      </w:r>
      <w:r w:rsidR="007333FF">
        <w:rPr>
          <w:sz w:val="24"/>
          <w:szCs w:val="24"/>
        </w:rPr>
        <w:t xml:space="preserve"> delivered </w:t>
      </w:r>
      <w:r w:rsidR="00940073">
        <w:rPr>
          <w:sz w:val="24"/>
          <w:szCs w:val="24"/>
        </w:rPr>
        <w:t xml:space="preserve">an </w:t>
      </w:r>
      <w:r w:rsidR="007333FF">
        <w:rPr>
          <w:sz w:val="24"/>
          <w:szCs w:val="24"/>
        </w:rPr>
        <w:t>amended plea</w:t>
      </w:r>
      <w:r w:rsidR="00940073">
        <w:rPr>
          <w:sz w:val="24"/>
          <w:szCs w:val="24"/>
        </w:rPr>
        <w:t xml:space="preserve"> and counterclaim </w:t>
      </w:r>
      <w:r w:rsidR="007333FF">
        <w:rPr>
          <w:sz w:val="24"/>
          <w:szCs w:val="24"/>
        </w:rPr>
        <w:t xml:space="preserve">to align with the defences raised </w:t>
      </w:r>
      <w:r w:rsidR="005A54CD">
        <w:rPr>
          <w:sz w:val="24"/>
          <w:szCs w:val="24"/>
        </w:rPr>
        <w:t xml:space="preserve">for the first time </w:t>
      </w:r>
      <w:r w:rsidR="007333FF">
        <w:rPr>
          <w:sz w:val="24"/>
          <w:szCs w:val="24"/>
        </w:rPr>
        <w:t>in the</w:t>
      </w:r>
      <w:r w:rsidR="00940073">
        <w:rPr>
          <w:sz w:val="24"/>
          <w:szCs w:val="24"/>
        </w:rPr>
        <w:t>ir</w:t>
      </w:r>
      <w:r w:rsidR="007333FF">
        <w:rPr>
          <w:sz w:val="24"/>
          <w:szCs w:val="24"/>
        </w:rPr>
        <w:t xml:space="preserve"> affidavit opposing summary judgment</w:t>
      </w:r>
      <w:r w:rsidR="00A30D09">
        <w:rPr>
          <w:sz w:val="24"/>
          <w:szCs w:val="24"/>
        </w:rPr>
        <w:t xml:space="preserve">. The plaintiffs delivered a supplementary affidavit in support of the summary judgment to harmonise the pleadings with the summary judgment application and </w:t>
      </w:r>
      <w:r w:rsidR="00102075">
        <w:rPr>
          <w:sz w:val="24"/>
          <w:szCs w:val="24"/>
        </w:rPr>
        <w:lastRenderedPageBreak/>
        <w:t xml:space="preserve">to </w:t>
      </w:r>
      <w:r w:rsidR="00A30D09">
        <w:rPr>
          <w:sz w:val="24"/>
          <w:szCs w:val="24"/>
        </w:rPr>
        <w:t>address the additional defences raised in the amended plea</w:t>
      </w:r>
      <w:r w:rsidR="00940073">
        <w:rPr>
          <w:sz w:val="24"/>
          <w:szCs w:val="24"/>
        </w:rPr>
        <w:t xml:space="preserve"> </w:t>
      </w:r>
      <w:r w:rsidR="001B5E1C">
        <w:rPr>
          <w:sz w:val="24"/>
          <w:szCs w:val="24"/>
        </w:rPr>
        <w:t xml:space="preserve">in accordance with </w:t>
      </w:r>
      <w:r w:rsidR="00F23D6D">
        <w:rPr>
          <w:sz w:val="24"/>
          <w:szCs w:val="24"/>
        </w:rPr>
        <w:t>r</w:t>
      </w:r>
      <w:r w:rsidR="001B5E1C">
        <w:rPr>
          <w:sz w:val="24"/>
          <w:szCs w:val="24"/>
        </w:rPr>
        <w:t>ule 32(2)(b).</w:t>
      </w:r>
    </w:p>
    <w:p w14:paraId="55608433" w14:textId="74805090" w:rsidR="00001ABE" w:rsidRDefault="00AD34D5" w:rsidP="006561BA">
      <w:pPr>
        <w:rPr>
          <w:sz w:val="24"/>
          <w:szCs w:val="24"/>
        </w:rPr>
      </w:pPr>
      <w:r>
        <w:rPr>
          <w:sz w:val="24"/>
          <w:szCs w:val="24"/>
        </w:rPr>
        <w:t>[11]</w:t>
      </w:r>
      <w:r>
        <w:rPr>
          <w:sz w:val="24"/>
          <w:szCs w:val="24"/>
        </w:rPr>
        <w:tab/>
      </w:r>
      <w:r w:rsidR="001B5E1C">
        <w:rPr>
          <w:sz w:val="24"/>
          <w:szCs w:val="24"/>
        </w:rPr>
        <w:t xml:space="preserve">Mr De Beer, who appeared on behalf of the </w:t>
      </w:r>
      <w:r w:rsidR="00F23D6D">
        <w:rPr>
          <w:sz w:val="24"/>
          <w:szCs w:val="24"/>
        </w:rPr>
        <w:t>defendants</w:t>
      </w:r>
      <w:r w:rsidR="001B5E1C">
        <w:rPr>
          <w:sz w:val="24"/>
          <w:szCs w:val="24"/>
        </w:rPr>
        <w:t>, argued that the plaintiff</w:t>
      </w:r>
      <w:r w:rsidR="00E1040A">
        <w:rPr>
          <w:sz w:val="24"/>
          <w:szCs w:val="24"/>
        </w:rPr>
        <w:t>s</w:t>
      </w:r>
      <w:r w:rsidR="001B5E1C">
        <w:rPr>
          <w:sz w:val="24"/>
          <w:szCs w:val="24"/>
        </w:rPr>
        <w:t xml:space="preserve"> </w:t>
      </w:r>
      <w:r w:rsidR="00E1040A">
        <w:rPr>
          <w:sz w:val="24"/>
          <w:szCs w:val="24"/>
        </w:rPr>
        <w:t>are</w:t>
      </w:r>
      <w:r w:rsidR="001B5E1C">
        <w:rPr>
          <w:sz w:val="24"/>
          <w:szCs w:val="24"/>
        </w:rPr>
        <w:t xml:space="preserve"> precluded from delivering a supplementary founding affidavit to </w:t>
      </w:r>
      <w:r w:rsidR="00E1040A">
        <w:rPr>
          <w:sz w:val="24"/>
          <w:szCs w:val="24"/>
        </w:rPr>
        <w:t xml:space="preserve">adduce further evidence to </w:t>
      </w:r>
      <w:r w:rsidR="001B5E1C">
        <w:rPr>
          <w:sz w:val="24"/>
          <w:szCs w:val="24"/>
        </w:rPr>
        <w:t>address the additional defences raised by</w:t>
      </w:r>
      <w:r w:rsidR="00E1040A">
        <w:rPr>
          <w:sz w:val="24"/>
          <w:szCs w:val="24"/>
        </w:rPr>
        <w:t xml:space="preserve"> the</w:t>
      </w:r>
      <w:r w:rsidR="001B5E1C">
        <w:rPr>
          <w:sz w:val="24"/>
          <w:szCs w:val="24"/>
        </w:rPr>
        <w:t xml:space="preserve"> </w:t>
      </w:r>
      <w:r w:rsidR="00E1040A">
        <w:rPr>
          <w:sz w:val="24"/>
          <w:szCs w:val="24"/>
        </w:rPr>
        <w:t>defendants’</w:t>
      </w:r>
      <w:r w:rsidR="001B5E1C">
        <w:rPr>
          <w:sz w:val="24"/>
          <w:szCs w:val="24"/>
        </w:rPr>
        <w:t xml:space="preserve"> amended plea</w:t>
      </w:r>
      <w:r w:rsidR="00E1040A">
        <w:rPr>
          <w:sz w:val="24"/>
          <w:szCs w:val="24"/>
        </w:rPr>
        <w:t>. This</w:t>
      </w:r>
      <w:r w:rsidR="00940073">
        <w:rPr>
          <w:sz w:val="24"/>
          <w:szCs w:val="24"/>
        </w:rPr>
        <w:t xml:space="preserve">, he contended, was an unfortunate consequence of </w:t>
      </w:r>
      <w:r w:rsidR="00E1040A">
        <w:rPr>
          <w:sz w:val="24"/>
          <w:szCs w:val="24"/>
        </w:rPr>
        <w:t xml:space="preserve">the lacuna in </w:t>
      </w:r>
      <w:r w:rsidR="00F23D6D">
        <w:rPr>
          <w:sz w:val="24"/>
          <w:szCs w:val="24"/>
        </w:rPr>
        <w:t>r</w:t>
      </w:r>
      <w:r w:rsidR="00E1040A">
        <w:rPr>
          <w:sz w:val="24"/>
          <w:szCs w:val="24"/>
        </w:rPr>
        <w:t>ule 32, which did not provide for the situation where</w:t>
      </w:r>
      <w:r w:rsidR="00F23D6D">
        <w:rPr>
          <w:sz w:val="24"/>
          <w:szCs w:val="24"/>
        </w:rPr>
        <w:t xml:space="preserve"> a</w:t>
      </w:r>
      <w:r w:rsidR="00E1040A">
        <w:rPr>
          <w:sz w:val="24"/>
          <w:szCs w:val="24"/>
        </w:rPr>
        <w:t xml:space="preserve"> defendant </w:t>
      </w:r>
      <w:r w:rsidR="00F23D6D">
        <w:rPr>
          <w:sz w:val="24"/>
          <w:szCs w:val="24"/>
        </w:rPr>
        <w:t xml:space="preserve">would </w:t>
      </w:r>
      <w:r w:rsidR="00E1040A">
        <w:rPr>
          <w:sz w:val="24"/>
          <w:szCs w:val="24"/>
        </w:rPr>
        <w:t>amend</w:t>
      </w:r>
      <w:r w:rsidR="00F23D6D">
        <w:rPr>
          <w:sz w:val="24"/>
          <w:szCs w:val="24"/>
        </w:rPr>
        <w:t xml:space="preserve"> its</w:t>
      </w:r>
      <w:r w:rsidR="00E1040A">
        <w:rPr>
          <w:sz w:val="24"/>
          <w:szCs w:val="24"/>
        </w:rPr>
        <w:t xml:space="preserve"> plea subsequent to the institution of the summary judgment proceedings. </w:t>
      </w:r>
      <w:r w:rsidR="007333FF">
        <w:rPr>
          <w:sz w:val="24"/>
          <w:szCs w:val="24"/>
        </w:rPr>
        <w:t xml:space="preserve"> </w:t>
      </w:r>
    </w:p>
    <w:p w14:paraId="57337053" w14:textId="71F77586" w:rsidR="00E1040A" w:rsidRDefault="00AD34D5" w:rsidP="006561BA">
      <w:pPr>
        <w:rPr>
          <w:sz w:val="24"/>
          <w:szCs w:val="24"/>
        </w:rPr>
      </w:pPr>
      <w:r>
        <w:rPr>
          <w:sz w:val="24"/>
          <w:szCs w:val="24"/>
        </w:rPr>
        <w:t>[12]</w:t>
      </w:r>
      <w:r>
        <w:rPr>
          <w:sz w:val="24"/>
          <w:szCs w:val="24"/>
        </w:rPr>
        <w:tab/>
      </w:r>
      <w:r w:rsidR="00E1040A">
        <w:rPr>
          <w:sz w:val="24"/>
          <w:szCs w:val="24"/>
        </w:rPr>
        <w:t xml:space="preserve">As authority for this proposition, Mr De Beer relied on the decision of </w:t>
      </w:r>
      <w:r w:rsidR="00E1040A">
        <w:rPr>
          <w:i/>
          <w:sz w:val="24"/>
          <w:szCs w:val="24"/>
        </w:rPr>
        <w:t>Belrex 95</w:t>
      </w:r>
      <w:r w:rsidR="005A54CD">
        <w:rPr>
          <w:i/>
          <w:sz w:val="24"/>
          <w:szCs w:val="24"/>
        </w:rPr>
        <w:t xml:space="preserve"> </w:t>
      </w:r>
      <w:r w:rsidR="002C3AA6">
        <w:rPr>
          <w:i/>
          <w:sz w:val="24"/>
          <w:szCs w:val="24"/>
        </w:rPr>
        <w:t>CC</w:t>
      </w:r>
      <w:r w:rsidR="00E1040A">
        <w:rPr>
          <w:i/>
          <w:sz w:val="24"/>
          <w:szCs w:val="24"/>
        </w:rPr>
        <w:t xml:space="preserve"> v </w:t>
      </w:r>
      <w:r w:rsidR="005A54CD">
        <w:rPr>
          <w:i/>
          <w:sz w:val="24"/>
          <w:szCs w:val="24"/>
        </w:rPr>
        <w:t>Barday</w:t>
      </w:r>
      <w:r w:rsidR="005A54CD" w:rsidRPr="005A54CD">
        <w:rPr>
          <w:rStyle w:val="FootnoteReference"/>
          <w:rFonts w:ascii="Arial" w:hAnsi="Arial"/>
          <w:i/>
          <w:sz w:val="20"/>
        </w:rPr>
        <w:footnoteReference w:id="3"/>
      </w:r>
      <w:r w:rsidR="00407A7D">
        <w:rPr>
          <w:i/>
          <w:sz w:val="24"/>
          <w:szCs w:val="24"/>
        </w:rPr>
        <w:t>,</w:t>
      </w:r>
      <w:r w:rsidR="005A54CD">
        <w:rPr>
          <w:i/>
          <w:sz w:val="24"/>
          <w:szCs w:val="24"/>
        </w:rPr>
        <w:t xml:space="preserve"> </w:t>
      </w:r>
      <w:r w:rsidR="00F23D6D">
        <w:rPr>
          <w:sz w:val="24"/>
          <w:szCs w:val="24"/>
        </w:rPr>
        <w:t xml:space="preserve">in which the court </w:t>
      </w:r>
      <w:r w:rsidR="005A54CD">
        <w:rPr>
          <w:sz w:val="24"/>
          <w:szCs w:val="24"/>
        </w:rPr>
        <w:t xml:space="preserve">found that a plaintiff was obliged to institute a fresh summary judgment application </w:t>
      </w:r>
      <w:r w:rsidR="00407A7D">
        <w:rPr>
          <w:sz w:val="24"/>
          <w:szCs w:val="24"/>
        </w:rPr>
        <w:t xml:space="preserve">to address the </w:t>
      </w:r>
      <w:r w:rsidR="007C5501">
        <w:rPr>
          <w:sz w:val="24"/>
          <w:szCs w:val="24"/>
        </w:rPr>
        <w:t xml:space="preserve">amended plea. He </w:t>
      </w:r>
      <w:r w:rsidR="00407A7D">
        <w:rPr>
          <w:sz w:val="24"/>
          <w:szCs w:val="24"/>
        </w:rPr>
        <w:t xml:space="preserve">submitted </w:t>
      </w:r>
      <w:r w:rsidR="007C5501">
        <w:rPr>
          <w:sz w:val="24"/>
          <w:szCs w:val="24"/>
        </w:rPr>
        <w:t>that the plaintiffs should not</w:t>
      </w:r>
      <w:r w:rsidR="00407A7D">
        <w:rPr>
          <w:sz w:val="24"/>
          <w:szCs w:val="24"/>
        </w:rPr>
        <w:t xml:space="preserve">, however </w:t>
      </w:r>
      <w:r w:rsidR="007C5501">
        <w:rPr>
          <w:sz w:val="24"/>
          <w:szCs w:val="24"/>
        </w:rPr>
        <w:t>be afforded an opportunity to institute a fresh summary judgment application and the matter should instead be referred to trial.</w:t>
      </w:r>
    </w:p>
    <w:p w14:paraId="6B56A7E9" w14:textId="071A9519" w:rsidR="00217638" w:rsidRDefault="00AD34D5" w:rsidP="006561BA">
      <w:pPr>
        <w:rPr>
          <w:sz w:val="24"/>
          <w:szCs w:val="24"/>
        </w:rPr>
      </w:pPr>
      <w:r>
        <w:rPr>
          <w:sz w:val="24"/>
          <w:szCs w:val="24"/>
        </w:rPr>
        <w:t>[13]</w:t>
      </w:r>
      <w:r>
        <w:rPr>
          <w:sz w:val="24"/>
          <w:szCs w:val="24"/>
        </w:rPr>
        <w:tab/>
      </w:r>
      <w:r w:rsidR="00217638">
        <w:rPr>
          <w:sz w:val="24"/>
          <w:szCs w:val="24"/>
        </w:rPr>
        <w:t>Mr Scholtz, who appeared on behalf of the plaintiff</w:t>
      </w:r>
      <w:r w:rsidR="00F23D6D">
        <w:rPr>
          <w:sz w:val="24"/>
          <w:szCs w:val="24"/>
        </w:rPr>
        <w:t>s</w:t>
      </w:r>
      <w:r w:rsidR="00217638">
        <w:rPr>
          <w:sz w:val="24"/>
          <w:szCs w:val="24"/>
        </w:rPr>
        <w:t>, pointed out that the defendants</w:t>
      </w:r>
      <w:r w:rsidR="00261BB9">
        <w:rPr>
          <w:sz w:val="24"/>
          <w:szCs w:val="24"/>
        </w:rPr>
        <w:t>’</w:t>
      </w:r>
      <w:r w:rsidR="00217638">
        <w:rPr>
          <w:sz w:val="24"/>
          <w:szCs w:val="24"/>
        </w:rPr>
        <w:t xml:space="preserve"> erstwhile counsel did not oppose the delivery of </w:t>
      </w:r>
      <w:r w:rsidR="00407A7D">
        <w:rPr>
          <w:sz w:val="24"/>
          <w:szCs w:val="24"/>
        </w:rPr>
        <w:t xml:space="preserve">the </w:t>
      </w:r>
      <w:r w:rsidR="00217638">
        <w:rPr>
          <w:sz w:val="24"/>
          <w:szCs w:val="24"/>
        </w:rPr>
        <w:t>plaintiffs su</w:t>
      </w:r>
      <w:r w:rsidR="00261BB9">
        <w:rPr>
          <w:sz w:val="24"/>
          <w:szCs w:val="24"/>
        </w:rPr>
        <w:t xml:space="preserve">pplementary founding affidavit </w:t>
      </w:r>
      <w:r w:rsidR="00217638">
        <w:rPr>
          <w:sz w:val="24"/>
          <w:szCs w:val="24"/>
        </w:rPr>
        <w:t>or the condonation sought for the late filing of this affidavit. This was</w:t>
      </w:r>
      <w:r w:rsidR="00F23D6D">
        <w:rPr>
          <w:sz w:val="24"/>
          <w:szCs w:val="24"/>
        </w:rPr>
        <w:t xml:space="preserve"> recorded </w:t>
      </w:r>
      <w:r w:rsidR="00217638">
        <w:rPr>
          <w:sz w:val="24"/>
          <w:szCs w:val="24"/>
        </w:rPr>
        <w:t xml:space="preserve">in the </w:t>
      </w:r>
      <w:r w:rsidR="00407A7D">
        <w:rPr>
          <w:sz w:val="24"/>
          <w:szCs w:val="24"/>
        </w:rPr>
        <w:t>defendants</w:t>
      </w:r>
      <w:r w:rsidR="00261BB9">
        <w:rPr>
          <w:sz w:val="24"/>
          <w:szCs w:val="24"/>
        </w:rPr>
        <w:t>’</w:t>
      </w:r>
      <w:r w:rsidR="00217638">
        <w:rPr>
          <w:sz w:val="24"/>
          <w:szCs w:val="24"/>
        </w:rPr>
        <w:t xml:space="preserve"> practice note delivered on 15 April 2021.</w:t>
      </w:r>
    </w:p>
    <w:p w14:paraId="6F407B4C" w14:textId="694F9897" w:rsidR="00D24FEF" w:rsidRDefault="00AD34D5" w:rsidP="006561BA">
      <w:pPr>
        <w:rPr>
          <w:sz w:val="24"/>
          <w:szCs w:val="24"/>
        </w:rPr>
      </w:pPr>
      <w:r>
        <w:rPr>
          <w:sz w:val="24"/>
          <w:szCs w:val="24"/>
        </w:rPr>
        <w:t>[14]</w:t>
      </w:r>
      <w:r>
        <w:rPr>
          <w:sz w:val="24"/>
          <w:szCs w:val="24"/>
        </w:rPr>
        <w:tab/>
      </w:r>
      <w:r w:rsidR="00D24FEF">
        <w:rPr>
          <w:sz w:val="24"/>
          <w:szCs w:val="24"/>
        </w:rPr>
        <w:t>Mr Scholtz’s complaint is supported by the fact the defendants</w:t>
      </w:r>
      <w:r w:rsidR="00261BB9">
        <w:rPr>
          <w:sz w:val="24"/>
          <w:szCs w:val="24"/>
        </w:rPr>
        <w:t>’</w:t>
      </w:r>
      <w:r w:rsidR="00D24FEF">
        <w:rPr>
          <w:sz w:val="24"/>
          <w:szCs w:val="24"/>
        </w:rPr>
        <w:t xml:space="preserve"> opposition </w:t>
      </w:r>
      <w:r w:rsidR="00407A7D">
        <w:rPr>
          <w:sz w:val="24"/>
          <w:szCs w:val="24"/>
        </w:rPr>
        <w:t>to the plaintiffs</w:t>
      </w:r>
      <w:r w:rsidR="00261BB9">
        <w:rPr>
          <w:sz w:val="24"/>
          <w:szCs w:val="24"/>
        </w:rPr>
        <w:t>’</w:t>
      </w:r>
      <w:r w:rsidR="00407A7D">
        <w:rPr>
          <w:sz w:val="24"/>
          <w:szCs w:val="24"/>
        </w:rPr>
        <w:t xml:space="preserve"> supplementary affidavit was </w:t>
      </w:r>
      <w:r w:rsidR="00D24FEF">
        <w:rPr>
          <w:sz w:val="24"/>
          <w:szCs w:val="24"/>
        </w:rPr>
        <w:t xml:space="preserve">not </w:t>
      </w:r>
      <w:r w:rsidR="009337DC">
        <w:rPr>
          <w:sz w:val="24"/>
          <w:szCs w:val="24"/>
        </w:rPr>
        <w:t xml:space="preserve">raised </w:t>
      </w:r>
      <w:r w:rsidR="00407A7D">
        <w:rPr>
          <w:sz w:val="24"/>
          <w:szCs w:val="24"/>
        </w:rPr>
        <w:t xml:space="preserve">in the </w:t>
      </w:r>
      <w:r w:rsidR="009337DC">
        <w:rPr>
          <w:sz w:val="24"/>
          <w:szCs w:val="24"/>
        </w:rPr>
        <w:t xml:space="preserve">procedurally correct manner. It is not raised under rule 30 but </w:t>
      </w:r>
      <w:r w:rsidR="00F23D6D">
        <w:rPr>
          <w:sz w:val="24"/>
          <w:szCs w:val="24"/>
        </w:rPr>
        <w:t xml:space="preserve">was </w:t>
      </w:r>
      <w:r w:rsidR="009337DC">
        <w:rPr>
          <w:sz w:val="24"/>
          <w:szCs w:val="24"/>
        </w:rPr>
        <w:t>argued as part of the</w:t>
      </w:r>
      <w:r w:rsidR="00F23D6D">
        <w:rPr>
          <w:sz w:val="24"/>
          <w:szCs w:val="24"/>
        </w:rPr>
        <w:t xml:space="preserve"> opposition to the </w:t>
      </w:r>
      <w:r w:rsidR="009337DC">
        <w:rPr>
          <w:sz w:val="24"/>
          <w:szCs w:val="24"/>
        </w:rPr>
        <w:t>summary judgment application.</w:t>
      </w:r>
      <w:r w:rsidR="00387768">
        <w:rPr>
          <w:sz w:val="24"/>
          <w:szCs w:val="24"/>
        </w:rPr>
        <w:t xml:space="preserve"> In view of my finding on this issue, I do not intend to make a finding on the procedural manner in which the defendants raised this issue</w:t>
      </w:r>
      <w:r w:rsidR="002C3AA6">
        <w:rPr>
          <w:sz w:val="24"/>
          <w:szCs w:val="24"/>
        </w:rPr>
        <w:t xml:space="preserve"> but shall comment on it later in this judgment.</w:t>
      </w:r>
      <w:r w:rsidR="00387768">
        <w:rPr>
          <w:sz w:val="24"/>
          <w:szCs w:val="24"/>
        </w:rPr>
        <w:t xml:space="preserve">  </w:t>
      </w:r>
    </w:p>
    <w:p w14:paraId="383A02D2" w14:textId="0B224B70" w:rsidR="00217638" w:rsidRDefault="00AD34D5" w:rsidP="006561BA">
      <w:pPr>
        <w:rPr>
          <w:sz w:val="24"/>
          <w:szCs w:val="24"/>
        </w:rPr>
      </w:pPr>
      <w:r>
        <w:rPr>
          <w:sz w:val="24"/>
          <w:szCs w:val="24"/>
        </w:rPr>
        <w:t>[15]</w:t>
      </w:r>
      <w:r>
        <w:rPr>
          <w:sz w:val="24"/>
          <w:szCs w:val="24"/>
        </w:rPr>
        <w:tab/>
      </w:r>
      <w:r w:rsidR="00217638">
        <w:rPr>
          <w:sz w:val="24"/>
          <w:szCs w:val="24"/>
        </w:rPr>
        <w:t>Fisher J had occasion to consider this issue</w:t>
      </w:r>
      <w:r w:rsidR="00407A7D">
        <w:rPr>
          <w:sz w:val="24"/>
          <w:szCs w:val="24"/>
        </w:rPr>
        <w:t xml:space="preserve"> recently</w:t>
      </w:r>
      <w:r w:rsidR="00217638">
        <w:rPr>
          <w:sz w:val="24"/>
          <w:szCs w:val="24"/>
        </w:rPr>
        <w:t xml:space="preserve"> in the matter of </w:t>
      </w:r>
      <w:r w:rsidR="00217638">
        <w:rPr>
          <w:i/>
          <w:sz w:val="24"/>
          <w:szCs w:val="24"/>
        </w:rPr>
        <w:t>City Square Trading 522 (Pty) Limited v Gunzenhauser Attorne</w:t>
      </w:r>
      <w:r w:rsidR="00D41EF9">
        <w:rPr>
          <w:i/>
          <w:sz w:val="24"/>
          <w:szCs w:val="24"/>
        </w:rPr>
        <w:t>ys (Pty) Ltd and Another</w:t>
      </w:r>
      <w:r w:rsidR="00D41EF9" w:rsidRPr="00D41EF9">
        <w:rPr>
          <w:rStyle w:val="FootnoteReference"/>
          <w:rFonts w:ascii="Arial" w:hAnsi="Arial"/>
          <w:sz w:val="20"/>
        </w:rPr>
        <w:footnoteReference w:id="4"/>
      </w:r>
      <w:r w:rsidR="00D41EF9">
        <w:rPr>
          <w:i/>
          <w:sz w:val="24"/>
          <w:szCs w:val="24"/>
        </w:rPr>
        <w:t xml:space="preserve">. </w:t>
      </w:r>
      <w:r w:rsidR="00D41EF9">
        <w:rPr>
          <w:sz w:val="24"/>
          <w:szCs w:val="24"/>
        </w:rPr>
        <w:t xml:space="preserve">The court </w:t>
      </w:r>
      <w:r w:rsidR="00387768">
        <w:rPr>
          <w:sz w:val="24"/>
          <w:szCs w:val="24"/>
        </w:rPr>
        <w:t>confirmed that</w:t>
      </w:r>
      <w:r w:rsidR="00D41EF9">
        <w:rPr>
          <w:sz w:val="24"/>
          <w:szCs w:val="24"/>
        </w:rPr>
        <w:t xml:space="preserve"> rule 32 did not make provision for </w:t>
      </w:r>
      <w:r w:rsidR="00387768">
        <w:rPr>
          <w:sz w:val="24"/>
          <w:szCs w:val="24"/>
        </w:rPr>
        <w:t xml:space="preserve">the situation </w:t>
      </w:r>
      <w:r w:rsidR="00963A6D">
        <w:rPr>
          <w:sz w:val="24"/>
          <w:szCs w:val="24"/>
        </w:rPr>
        <w:t xml:space="preserve">that arose </w:t>
      </w:r>
      <w:r w:rsidR="00D41EF9">
        <w:rPr>
          <w:sz w:val="24"/>
          <w:szCs w:val="24"/>
        </w:rPr>
        <w:t xml:space="preserve">when a defendant amended its plea after summary judgment proceedings had been instituted. However, </w:t>
      </w:r>
      <w:r w:rsidR="00194B6A">
        <w:rPr>
          <w:sz w:val="24"/>
          <w:szCs w:val="24"/>
        </w:rPr>
        <w:t xml:space="preserve">the court found that this was not necessary </w:t>
      </w:r>
      <w:r w:rsidR="00D41EF9">
        <w:rPr>
          <w:sz w:val="24"/>
          <w:szCs w:val="24"/>
        </w:rPr>
        <w:t xml:space="preserve">as rule 28(8), which is a rule of general application, makes adequate provision for </w:t>
      </w:r>
      <w:r w:rsidR="00194B6A">
        <w:rPr>
          <w:sz w:val="24"/>
          <w:szCs w:val="24"/>
        </w:rPr>
        <w:t xml:space="preserve">a plaintiff to adjust the founding affidavit in the application for </w:t>
      </w:r>
      <w:r w:rsidR="00194B6A">
        <w:rPr>
          <w:sz w:val="24"/>
          <w:szCs w:val="24"/>
        </w:rPr>
        <w:lastRenderedPageBreak/>
        <w:t>summary judgment, without leave, provided the adjustment is consequential upon the amendment of the plea.</w:t>
      </w:r>
      <w:r w:rsidR="00194B6A" w:rsidRPr="00194B6A">
        <w:rPr>
          <w:rStyle w:val="FootnoteReference"/>
          <w:rFonts w:ascii="Arial" w:hAnsi="Arial"/>
          <w:sz w:val="20"/>
        </w:rPr>
        <w:footnoteReference w:id="5"/>
      </w:r>
      <w:r w:rsidR="00194B6A" w:rsidRPr="00194B6A">
        <w:rPr>
          <w:szCs w:val="20"/>
        </w:rPr>
        <w:t xml:space="preserve"> </w:t>
      </w:r>
      <w:r w:rsidR="00D41EF9">
        <w:rPr>
          <w:sz w:val="24"/>
          <w:szCs w:val="24"/>
        </w:rPr>
        <w:t xml:space="preserve"> </w:t>
      </w:r>
      <w:r w:rsidR="00D41EF9">
        <w:rPr>
          <w:i/>
          <w:sz w:val="24"/>
          <w:szCs w:val="24"/>
        </w:rPr>
        <w:t xml:space="preserve"> </w:t>
      </w:r>
      <w:r w:rsidR="00217638">
        <w:rPr>
          <w:sz w:val="24"/>
          <w:szCs w:val="24"/>
        </w:rPr>
        <w:t xml:space="preserve"> </w:t>
      </w:r>
    </w:p>
    <w:p w14:paraId="61314897" w14:textId="4C7EE01B" w:rsidR="00D24FEF" w:rsidRDefault="00AD34D5" w:rsidP="006561BA">
      <w:pPr>
        <w:rPr>
          <w:sz w:val="24"/>
          <w:szCs w:val="24"/>
        </w:rPr>
      </w:pPr>
      <w:r>
        <w:rPr>
          <w:sz w:val="24"/>
          <w:szCs w:val="24"/>
        </w:rPr>
        <w:t>[16]</w:t>
      </w:r>
      <w:r>
        <w:rPr>
          <w:sz w:val="24"/>
          <w:szCs w:val="24"/>
        </w:rPr>
        <w:tab/>
      </w:r>
      <w:r w:rsidR="00963A6D">
        <w:rPr>
          <w:sz w:val="24"/>
          <w:szCs w:val="24"/>
        </w:rPr>
        <w:t xml:space="preserve">Fisher J </w:t>
      </w:r>
      <w:r w:rsidR="00D24FEF">
        <w:rPr>
          <w:sz w:val="24"/>
          <w:szCs w:val="24"/>
        </w:rPr>
        <w:t>held that</w:t>
      </w:r>
      <w:r w:rsidR="00387768">
        <w:rPr>
          <w:sz w:val="24"/>
          <w:szCs w:val="24"/>
        </w:rPr>
        <w:t>:</w:t>
      </w:r>
      <w:r w:rsidR="00D24FEF">
        <w:rPr>
          <w:sz w:val="24"/>
          <w:szCs w:val="24"/>
        </w:rPr>
        <w:t xml:space="preserve"> ‘</w:t>
      </w:r>
      <w:r w:rsidR="00D24FEF" w:rsidRPr="00387768">
        <w:rPr>
          <w:i/>
          <w:sz w:val="22"/>
        </w:rPr>
        <w:t xml:space="preserve">rule 32(4) should not be read to deprive </w:t>
      </w:r>
      <w:r w:rsidR="00963A6D">
        <w:rPr>
          <w:i/>
          <w:sz w:val="22"/>
        </w:rPr>
        <w:t xml:space="preserve">the </w:t>
      </w:r>
      <w:r w:rsidR="00D24FEF" w:rsidRPr="00387768">
        <w:rPr>
          <w:i/>
          <w:sz w:val="22"/>
        </w:rPr>
        <w:t>plaintiff of its rights under rule 28(8) but rather as a prohibition against introducing factual matter which is of the nature of a reply or rejoinder to the defendant’s case and which is not consequential on the amendment of the plea</w:t>
      </w:r>
      <w:r w:rsidR="00D24FEF" w:rsidRPr="00D24FEF">
        <w:rPr>
          <w:i/>
          <w:sz w:val="24"/>
          <w:szCs w:val="24"/>
        </w:rPr>
        <w:t>.</w:t>
      </w:r>
      <w:r w:rsidR="00D24FEF">
        <w:rPr>
          <w:i/>
          <w:sz w:val="24"/>
          <w:szCs w:val="24"/>
        </w:rPr>
        <w:t>’</w:t>
      </w:r>
      <w:r w:rsidR="00963A6D" w:rsidRPr="00963A6D">
        <w:rPr>
          <w:rStyle w:val="FootnoteReference"/>
          <w:rFonts w:ascii="Arial" w:hAnsi="Arial"/>
          <w:sz w:val="20"/>
        </w:rPr>
        <w:footnoteReference w:id="6"/>
      </w:r>
    </w:p>
    <w:p w14:paraId="747D3003" w14:textId="41A47071" w:rsidR="001926A7" w:rsidRDefault="00AD34D5" w:rsidP="006561BA">
      <w:pPr>
        <w:rPr>
          <w:sz w:val="24"/>
          <w:szCs w:val="24"/>
        </w:rPr>
      </w:pPr>
      <w:r>
        <w:rPr>
          <w:sz w:val="24"/>
          <w:szCs w:val="24"/>
        </w:rPr>
        <w:t>[17]</w:t>
      </w:r>
      <w:r>
        <w:rPr>
          <w:sz w:val="24"/>
          <w:szCs w:val="24"/>
        </w:rPr>
        <w:tab/>
      </w:r>
      <w:r w:rsidR="00D24FEF">
        <w:rPr>
          <w:sz w:val="24"/>
          <w:szCs w:val="24"/>
        </w:rPr>
        <w:t>In the circumstances, it is common cause that the plaintiffs</w:t>
      </w:r>
      <w:r w:rsidR="00261BB9">
        <w:rPr>
          <w:sz w:val="24"/>
          <w:szCs w:val="24"/>
        </w:rPr>
        <w:t>’</w:t>
      </w:r>
      <w:r w:rsidR="00D24FEF">
        <w:rPr>
          <w:sz w:val="24"/>
          <w:szCs w:val="24"/>
        </w:rPr>
        <w:t xml:space="preserve"> supplementary </w:t>
      </w:r>
      <w:r w:rsidR="009337DC">
        <w:rPr>
          <w:sz w:val="24"/>
          <w:szCs w:val="24"/>
        </w:rPr>
        <w:t xml:space="preserve">affidavit in support of summary judgment </w:t>
      </w:r>
      <w:r w:rsidR="008E1082">
        <w:rPr>
          <w:sz w:val="24"/>
          <w:szCs w:val="24"/>
        </w:rPr>
        <w:t xml:space="preserve">seeks only to address the additional defence raised by the amended plea and counterclaim. It is consequential on the amended plea and </w:t>
      </w:r>
      <w:r w:rsidR="00102075">
        <w:rPr>
          <w:sz w:val="24"/>
          <w:szCs w:val="24"/>
        </w:rPr>
        <w:t>counterclaim and</w:t>
      </w:r>
      <w:r w:rsidR="008E1082">
        <w:rPr>
          <w:sz w:val="24"/>
          <w:szCs w:val="24"/>
        </w:rPr>
        <w:t xml:space="preserve"> explains why the additional defence and cause of action pleaded does not raise any triable issues. It cannot be construed as a reply or rejoinder to </w:t>
      </w:r>
      <w:r w:rsidR="001926A7">
        <w:rPr>
          <w:sz w:val="24"/>
          <w:szCs w:val="24"/>
        </w:rPr>
        <w:t xml:space="preserve">the </w:t>
      </w:r>
      <w:r w:rsidR="00387768">
        <w:rPr>
          <w:sz w:val="24"/>
          <w:szCs w:val="24"/>
        </w:rPr>
        <w:t>defendants’</w:t>
      </w:r>
      <w:r w:rsidR="00963A6D">
        <w:rPr>
          <w:sz w:val="24"/>
          <w:szCs w:val="24"/>
        </w:rPr>
        <w:t xml:space="preserve"> opposition.</w:t>
      </w:r>
      <w:r w:rsidR="001926A7">
        <w:rPr>
          <w:sz w:val="24"/>
          <w:szCs w:val="24"/>
        </w:rPr>
        <w:t xml:space="preserve"> </w:t>
      </w:r>
    </w:p>
    <w:p w14:paraId="2B84E306" w14:textId="1E74A463" w:rsidR="001926A7" w:rsidRDefault="00AD34D5" w:rsidP="006561BA">
      <w:pPr>
        <w:rPr>
          <w:sz w:val="24"/>
          <w:szCs w:val="24"/>
        </w:rPr>
      </w:pPr>
      <w:r>
        <w:rPr>
          <w:sz w:val="24"/>
          <w:szCs w:val="24"/>
        </w:rPr>
        <w:t>[18]</w:t>
      </w:r>
      <w:r>
        <w:rPr>
          <w:sz w:val="24"/>
          <w:szCs w:val="24"/>
        </w:rPr>
        <w:tab/>
      </w:r>
      <w:r w:rsidR="004553CF">
        <w:rPr>
          <w:sz w:val="24"/>
          <w:szCs w:val="24"/>
        </w:rPr>
        <w:t>I</w:t>
      </w:r>
      <w:r w:rsidR="00963A6D">
        <w:rPr>
          <w:sz w:val="24"/>
          <w:szCs w:val="24"/>
        </w:rPr>
        <w:t xml:space="preserve"> accordingly </w:t>
      </w:r>
      <w:r w:rsidR="002C3AA6">
        <w:rPr>
          <w:sz w:val="24"/>
          <w:szCs w:val="24"/>
        </w:rPr>
        <w:t>align myself with the dictum</w:t>
      </w:r>
      <w:r w:rsidR="004553CF">
        <w:rPr>
          <w:sz w:val="24"/>
          <w:szCs w:val="24"/>
        </w:rPr>
        <w:t xml:space="preserve"> of Fisher J in </w:t>
      </w:r>
      <w:r w:rsidR="004553CF">
        <w:rPr>
          <w:i/>
          <w:sz w:val="24"/>
          <w:szCs w:val="24"/>
        </w:rPr>
        <w:t xml:space="preserve">City Square Trading </w:t>
      </w:r>
      <w:r w:rsidR="004553CF">
        <w:rPr>
          <w:sz w:val="24"/>
          <w:szCs w:val="24"/>
        </w:rPr>
        <w:t>and find that t</w:t>
      </w:r>
      <w:r w:rsidR="001926A7">
        <w:rPr>
          <w:sz w:val="24"/>
          <w:szCs w:val="24"/>
        </w:rPr>
        <w:t>he plaintiffs are entitled to rely on the supplementary affidavit that was delivered in support of summary judgment.</w:t>
      </w:r>
    </w:p>
    <w:p w14:paraId="4E47BB65" w14:textId="668A42FE" w:rsidR="00387768" w:rsidRDefault="00387768" w:rsidP="00256BCF">
      <w:pPr>
        <w:rPr>
          <w:sz w:val="24"/>
          <w:szCs w:val="24"/>
        </w:rPr>
      </w:pPr>
      <w:r>
        <w:rPr>
          <w:b/>
          <w:sz w:val="24"/>
          <w:szCs w:val="24"/>
        </w:rPr>
        <w:t>The</w:t>
      </w:r>
      <w:r w:rsidR="00C41312">
        <w:rPr>
          <w:b/>
          <w:sz w:val="24"/>
          <w:szCs w:val="24"/>
        </w:rPr>
        <w:t xml:space="preserve"> constitutionality of the </w:t>
      </w:r>
      <w:r>
        <w:rPr>
          <w:b/>
          <w:sz w:val="24"/>
          <w:szCs w:val="24"/>
        </w:rPr>
        <w:t>NCA</w:t>
      </w:r>
    </w:p>
    <w:p w14:paraId="3B6757C4" w14:textId="73E04E45" w:rsidR="008D369E" w:rsidRDefault="00AD34D5" w:rsidP="008D369E">
      <w:pPr>
        <w:rPr>
          <w:sz w:val="24"/>
          <w:szCs w:val="24"/>
        </w:rPr>
      </w:pPr>
      <w:r>
        <w:rPr>
          <w:sz w:val="24"/>
          <w:szCs w:val="24"/>
        </w:rPr>
        <w:t>[19]</w:t>
      </w:r>
      <w:r>
        <w:rPr>
          <w:sz w:val="24"/>
          <w:szCs w:val="24"/>
        </w:rPr>
        <w:tab/>
      </w:r>
      <w:r w:rsidR="007C24E5">
        <w:rPr>
          <w:sz w:val="24"/>
          <w:szCs w:val="24"/>
        </w:rPr>
        <w:t xml:space="preserve">The crux of the defendants </w:t>
      </w:r>
      <w:r w:rsidR="004C7E00">
        <w:rPr>
          <w:sz w:val="24"/>
          <w:szCs w:val="24"/>
        </w:rPr>
        <w:t xml:space="preserve">entire </w:t>
      </w:r>
      <w:r w:rsidR="007C24E5">
        <w:rPr>
          <w:sz w:val="24"/>
          <w:szCs w:val="24"/>
        </w:rPr>
        <w:t>defence is that the</w:t>
      </w:r>
      <w:r w:rsidR="001F66A6">
        <w:rPr>
          <w:sz w:val="24"/>
          <w:szCs w:val="24"/>
        </w:rPr>
        <w:t xml:space="preserve"> </w:t>
      </w:r>
      <w:r>
        <w:rPr>
          <w:sz w:val="24"/>
          <w:szCs w:val="24"/>
        </w:rPr>
        <w:t>amount of the</w:t>
      </w:r>
      <w:r w:rsidR="001F66A6">
        <w:rPr>
          <w:sz w:val="24"/>
          <w:szCs w:val="24"/>
        </w:rPr>
        <w:t xml:space="preserve"> loan</w:t>
      </w:r>
      <w:r>
        <w:rPr>
          <w:sz w:val="24"/>
          <w:szCs w:val="24"/>
        </w:rPr>
        <w:t xml:space="preserve"> agreement</w:t>
      </w:r>
      <w:r w:rsidR="001F66A6">
        <w:rPr>
          <w:sz w:val="24"/>
          <w:szCs w:val="24"/>
        </w:rPr>
        <w:t xml:space="preserve"> granted to</w:t>
      </w:r>
      <w:r w:rsidR="007C24E5">
        <w:rPr>
          <w:sz w:val="24"/>
          <w:szCs w:val="24"/>
        </w:rPr>
        <w:t xml:space="preserve"> </w:t>
      </w:r>
      <w:r w:rsidR="00C7242D">
        <w:rPr>
          <w:sz w:val="24"/>
          <w:szCs w:val="24"/>
        </w:rPr>
        <w:t>Dainfern CC</w:t>
      </w:r>
      <w:r w:rsidR="001F66A6">
        <w:rPr>
          <w:sz w:val="24"/>
          <w:szCs w:val="24"/>
        </w:rPr>
        <w:t xml:space="preserve"> was far in excess of the actual value of the immovable property. Fobian contends that t</w:t>
      </w:r>
      <w:r w:rsidR="008D369E">
        <w:rPr>
          <w:sz w:val="24"/>
          <w:szCs w:val="24"/>
        </w:rPr>
        <w:t xml:space="preserve">his amounted to reckless credit </w:t>
      </w:r>
      <w:r w:rsidR="001F66A6">
        <w:rPr>
          <w:sz w:val="24"/>
          <w:szCs w:val="24"/>
        </w:rPr>
        <w:t xml:space="preserve">by the </w:t>
      </w:r>
      <w:r w:rsidR="002C3AA6">
        <w:rPr>
          <w:sz w:val="24"/>
          <w:szCs w:val="24"/>
        </w:rPr>
        <w:t>bank</w:t>
      </w:r>
      <w:r w:rsidR="00B37A4F">
        <w:rPr>
          <w:sz w:val="24"/>
          <w:szCs w:val="24"/>
        </w:rPr>
        <w:t xml:space="preserve"> and coupled with the </w:t>
      </w:r>
      <w:r w:rsidR="008D369E">
        <w:rPr>
          <w:sz w:val="24"/>
          <w:szCs w:val="24"/>
        </w:rPr>
        <w:t xml:space="preserve">factual circumstances </w:t>
      </w:r>
      <w:r w:rsidR="002C3AA6">
        <w:rPr>
          <w:sz w:val="24"/>
          <w:szCs w:val="24"/>
        </w:rPr>
        <w:t xml:space="preserve">of </w:t>
      </w:r>
      <w:r w:rsidR="00B37A4F">
        <w:rPr>
          <w:sz w:val="24"/>
          <w:szCs w:val="24"/>
        </w:rPr>
        <w:t xml:space="preserve">this matter </w:t>
      </w:r>
      <w:r w:rsidR="008D369E">
        <w:rPr>
          <w:sz w:val="24"/>
          <w:szCs w:val="24"/>
        </w:rPr>
        <w:t xml:space="preserve">the NCA should apply and the defendants should be afforded its protections. </w:t>
      </w:r>
    </w:p>
    <w:p w14:paraId="11A73702" w14:textId="78EF8918" w:rsidR="008B71BF" w:rsidRDefault="00AD34D5" w:rsidP="00256BCF">
      <w:pPr>
        <w:rPr>
          <w:sz w:val="24"/>
          <w:szCs w:val="24"/>
        </w:rPr>
      </w:pPr>
      <w:r>
        <w:rPr>
          <w:sz w:val="24"/>
          <w:szCs w:val="24"/>
        </w:rPr>
        <w:t>[20]</w:t>
      </w:r>
      <w:r>
        <w:rPr>
          <w:sz w:val="24"/>
          <w:szCs w:val="24"/>
        </w:rPr>
        <w:tab/>
      </w:r>
      <w:r w:rsidR="00C52555">
        <w:rPr>
          <w:sz w:val="24"/>
          <w:szCs w:val="24"/>
        </w:rPr>
        <w:t>It is common cause that the</w:t>
      </w:r>
      <w:r w:rsidR="001F66A6">
        <w:rPr>
          <w:sz w:val="24"/>
          <w:szCs w:val="24"/>
        </w:rPr>
        <w:t xml:space="preserve"> purpose of the </w:t>
      </w:r>
      <w:r w:rsidR="00C52555">
        <w:rPr>
          <w:sz w:val="24"/>
          <w:szCs w:val="24"/>
        </w:rPr>
        <w:t>loan agreement was to purchase the immovable property</w:t>
      </w:r>
      <w:r w:rsidR="00AF6383">
        <w:rPr>
          <w:sz w:val="24"/>
          <w:szCs w:val="24"/>
        </w:rPr>
        <w:t>.</w:t>
      </w:r>
      <w:r w:rsidR="00C52555">
        <w:rPr>
          <w:sz w:val="24"/>
          <w:szCs w:val="24"/>
        </w:rPr>
        <w:t xml:space="preserve"> </w:t>
      </w:r>
      <w:r w:rsidR="005C2D03">
        <w:rPr>
          <w:sz w:val="24"/>
          <w:szCs w:val="24"/>
        </w:rPr>
        <w:t xml:space="preserve">The principal business of </w:t>
      </w:r>
      <w:r w:rsidR="00C7242D">
        <w:rPr>
          <w:sz w:val="24"/>
          <w:szCs w:val="24"/>
        </w:rPr>
        <w:t>Dainfern CC</w:t>
      </w:r>
      <w:r w:rsidR="005C2D03">
        <w:rPr>
          <w:sz w:val="24"/>
          <w:szCs w:val="24"/>
        </w:rPr>
        <w:t xml:space="preserve"> is listed as owning immovable property. </w:t>
      </w:r>
      <w:r w:rsidR="00C7242D">
        <w:rPr>
          <w:sz w:val="24"/>
          <w:szCs w:val="24"/>
        </w:rPr>
        <w:t>Fobian</w:t>
      </w:r>
      <w:r w:rsidR="008B71BF">
        <w:rPr>
          <w:sz w:val="24"/>
          <w:szCs w:val="24"/>
        </w:rPr>
        <w:t xml:space="preserve"> contends that </w:t>
      </w:r>
      <w:r w:rsidR="00C7242D">
        <w:rPr>
          <w:sz w:val="24"/>
          <w:szCs w:val="24"/>
        </w:rPr>
        <w:t>Dainfern CC</w:t>
      </w:r>
      <w:r w:rsidR="00F67EA0">
        <w:rPr>
          <w:sz w:val="24"/>
          <w:szCs w:val="24"/>
        </w:rPr>
        <w:t xml:space="preserve"> is non-trading and it </w:t>
      </w:r>
      <w:r w:rsidR="00D5750A">
        <w:rPr>
          <w:sz w:val="24"/>
          <w:szCs w:val="24"/>
        </w:rPr>
        <w:t xml:space="preserve">was </w:t>
      </w:r>
      <w:r w:rsidR="00F67EA0">
        <w:rPr>
          <w:sz w:val="24"/>
          <w:szCs w:val="24"/>
        </w:rPr>
        <w:t xml:space="preserve">only used </w:t>
      </w:r>
      <w:r w:rsidR="00D5750A">
        <w:rPr>
          <w:sz w:val="24"/>
          <w:szCs w:val="24"/>
        </w:rPr>
        <w:t>a</w:t>
      </w:r>
      <w:r w:rsidR="00F67EA0">
        <w:rPr>
          <w:sz w:val="24"/>
          <w:szCs w:val="24"/>
        </w:rPr>
        <w:t>s a</w:t>
      </w:r>
      <w:r w:rsidR="00D5750A">
        <w:rPr>
          <w:sz w:val="24"/>
          <w:szCs w:val="24"/>
        </w:rPr>
        <w:t xml:space="preserve"> vehicle to purchase and hold the immovable property. It was always </w:t>
      </w:r>
      <w:r w:rsidR="008B71BF">
        <w:rPr>
          <w:sz w:val="24"/>
          <w:szCs w:val="24"/>
        </w:rPr>
        <w:t xml:space="preserve">intended </w:t>
      </w:r>
      <w:r w:rsidR="00D5750A">
        <w:rPr>
          <w:sz w:val="24"/>
          <w:szCs w:val="24"/>
        </w:rPr>
        <w:t xml:space="preserve">that the </w:t>
      </w:r>
      <w:r w:rsidR="008B71BF">
        <w:rPr>
          <w:sz w:val="24"/>
          <w:szCs w:val="24"/>
        </w:rPr>
        <w:t>immovable property</w:t>
      </w:r>
      <w:r w:rsidR="00D5750A">
        <w:rPr>
          <w:sz w:val="24"/>
          <w:szCs w:val="24"/>
        </w:rPr>
        <w:t xml:space="preserve"> would be leased out </w:t>
      </w:r>
      <w:r w:rsidR="008B71BF">
        <w:rPr>
          <w:sz w:val="24"/>
          <w:szCs w:val="24"/>
        </w:rPr>
        <w:t xml:space="preserve">and income derived from </w:t>
      </w:r>
      <w:r w:rsidR="00D5750A">
        <w:rPr>
          <w:sz w:val="24"/>
          <w:szCs w:val="24"/>
        </w:rPr>
        <w:t xml:space="preserve">such rental </w:t>
      </w:r>
      <w:r w:rsidR="008B71BF">
        <w:rPr>
          <w:sz w:val="24"/>
          <w:szCs w:val="24"/>
        </w:rPr>
        <w:t>should have been sufficient to cover all expenses associated with the immovable property including</w:t>
      </w:r>
      <w:r w:rsidR="00F67EA0">
        <w:rPr>
          <w:sz w:val="24"/>
          <w:szCs w:val="24"/>
        </w:rPr>
        <w:t xml:space="preserve"> the</w:t>
      </w:r>
      <w:r w:rsidR="008B71BF">
        <w:rPr>
          <w:sz w:val="24"/>
          <w:szCs w:val="24"/>
        </w:rPr>
        <w:t xml:space="preserve"> instalment payments due to the plaintiffs. </w:t>
      </w:r>
      <w:r w:rsidR="00F67EA0">
        <w:rPr>
          <w:sz w:val="24"/>
          <w:szCs w:val="24"/>
        </w:rPr>
        <w:t xml:space="preserve">Fobian </w:t>
      </w:r>
      <w:r w:rsidR="00F81EF9">
        <w:rPr>
          <w:sz w:val="24"/>
          <w:szCs w:val="24"/>
        </w:rPr>
        <w:t xml:space="preserve">further </w:t>
      </w:r>
      <w:r w:rsidR="008B71BF">
        <w:rPr>
          <w:sz w:val="24"/>
          <w:szCs w:val="24"/>
        </w:rPr>
        <w:t xml:space="preserve">contends that the plaintiffs were aware that </w:t>
      </w:r>
      <w:r w:rsidR="00C7242D">
        <w:rPr>
          <w:sz w:val="24"/>
          <w:szCs w:val="24"/>
        </w:rPr>
        <w:t>Dainfern CC</w:t>
      </w:r>
      <w:r w:rsidR="00F67EA0">
        <w:rPr>
          <w:sz w:val="24"/>
          <w:szCs w:val="24"/>
        </w:rPr>
        <w:t xml:space="preserve"> is non-trading and is </w:t>
      </w:r>
      <w:r w:rsidR="008B71BF">
        <w:rPr>
          <w:sz w:val="24"/>
          <w:szCs w:val="24"/>
        </w:rPr>
        <w:t xml:space="preserve">simply a vehicle for holding the immovable property. </w:t>
      </w:r>
    </w:p>
    <w:p w14:paraId="0E8895D2" w14:textId="155A4AE2" w:rsidR="00981585" w:rsidRDefault="00AD34D5" w:rsidP="00F67EA0">
      <w:pPr>
        <w:rPr>
          <w:sz w:val="24"/>
          <w:szCs w:val="24"/>
        </w:rPr>
      </w:pPr>
      <w:r>
        <w:rPr>
          <w:sz w:val="24"/>
          <w:szCs w:val="24"/>
        </w:rPr>
        <w:lastRenderedPageBreak/>
        <w:t>[21]</w:t>
      </w:r>
      <w:r>
        <w:rPr>
          <w:sz w:val="24"/>
          <w:szCs w:val="24"/>
        </w:rPr>
        <w:tab/>
      </w:r>
      <w:r w:rsidR="00F67EA0">
        <w:rPr>
          <w:sz w:val="24"/>
          <w:szCs w:val="24"/>
        </w:rPr>
        <w:t>Mr Chetty</w:t>
      </w:r>
      <w:r w:rsidR="00B37A4F">
        <w:rPr>
          <w:sz w:val="24"/>
          <w:szCs w:val="24"/>
        </w:rPr>
        <w:t xml:space="preserve"> has taken occupation of the immovable property </w:t>
      </w:r>
      <w:r w:rsidR="00F67EA0">
        <w:rPr>
          <w:sz w:val="24"/>
          <w:szCs w:val="24"/>
        </w:rPr>
        <w:t xml:space="preserve">since April 2019 </w:t>
      </w:r>
      <w:r w:rsidR="00981585">
        <w:rPr>
          <w:sz w:val="24"/>
          <w:szCs w:val="24"/>
        </w:rPr>
        <w:t>following on from an auction where Mr Chetty offered to purchase the immovable property for R5million</w:t>
      </w:r>
      <w:r w:rsidR="00AF6383">
        <w:rPr>
          <w:sz w:val="24"/>
          <w:szCs w:val="24"/>
        </w:rPr>
        <w:t xml:space="preserve"> </w:t>
      </w:r>
      <w:r w:rsidR="002C3AA6">
        <w:rPr>
          <w:sz w:val="24"/>
          <w:szCs w:val="24"/>
        </w:rPr>
        <w:t>i</w:t>
      </w:r>
      <w:r w:rsidR="00AF6383">
        <w:rPr>
          <w:sz w:val="24"/>
          <w:szCs w:val="24"/>
        </w:rPr>
        <w:t>n November 2018</w:t>
      </w:r>
      <w:r w:rsidR="00981585">
        <w:rPr>
          <w:sz w:val="24"/>
          <w:szCs w:val="24"/>
        </w:rPr>
        <w:t xml:space="preserve">.  Fobian contends that this auction was conducted after it had been widely and properly marketed and advertised for a reasonable </w:t>
      </w:r>
      <w:r w:rsidR="002C3AA6">
        <w:rPr>
          <w:sz w:val="24"/>
          <w:szCs w:val="24"/>
        </w:rPr>
        <w:t>period</w:t>
      </w:r>
      <w:r w:rsidR="00981585">
        <w:rPr>
          <w:sz w:val="24"/>
          <w:szCs w:val="24"/>
        </w:rPr>
        <w:t xml:space="preserve">. Notwithstanding, the maximum amount offered at the auction for the immovable property </w:t>
      </w:r>
      <w:r w:rsidR="001F66A6">
        <w:rPr>
          <w:sz w:val="24"/>
          <w:szCs w:val="24"/>
        </w:rPr>
        <w:t>was the</w:t>
      </w:r>
      <w:r w:rsidR="00981585">
        <w:rPr>
          <w:sz w:val="24"/>
          <w:szCs w:val="24"/>
        </w:rPr>
        <w:t xml:space="preserve"> R5 million by Mr Chetty, which </w:t>
      </w:r>
      <w:r w:rsidR="0016088D">
        <w:rPr>
          <w:sz w:val="24"/>
          <w:szCs w:val="24"/>
        </w:rPr>
        <w:t xml:space="preserve">was conditionally accepted by </w:t>
      </w:r>
      <w:r w:rsidR="00981585">
        <w:rPr>
          <w:sz w:val="24"/>
          <w:szCs w:val="24"/>
        </w:rPr>
        <w:t>Fobian</w:t>
      </w:r>
      <w:r w:rsidR="0016088D">
        <w:rPr>
          <w:sz w:val="24"/>
          <w:szCs w:val="24"/>
        </w:rPr>
        <w:t xml:space="preserve"> on behalf of Dainfern CC.</w:t>
      </w:r>
    </w:p>
    <w:p w14:paraId="4BBE201E" w14:textId="07E28383" w:rsidR="00F67EA0" w:rsidRDefault="00AD34D5" w:rsidP="00F67EA0">
      <w:pPr>
        <w:rPr>
          <w:sz w:val="24"/>
          <w:szCs w:val="24"/>
        </w:rPr>
      </w:pPr>
      <w:r>
        <w:rPr>
          <w:sz w:val="24"/>
          <w:szCs w:val="24"/>
        </w:rPr>
        <w:t>[22]</w:t>
      </w:r>
      <w:r>
        <w:rPr>
          <w:sz w:val="24"/>
          <w:szCs w:val="24"/>
        </w:rPr>
        <w:tab/>
      </w:r>
      <w:r w:rsidR="00981585">
        <w:rPr>
          <w:sz w:val="24"/>
          <w:szCs w:val="24"/>
        </w:rPr>
        <w:t xml:space="preserve">Fobian </w:t>
      </w:r>
      <w:r w:rsidR="00F67EA0">
        <w:rPr>
          <w:sz w:val="24"/>
          <w:szCs w:val="24"/>
        </w:rPr>
        <w:t xml:space="preserve">would like to finalise </w:t>
      </w:r>
      <w:r w:rsidR="00981585">
        <w:rPr>
          <w:sz w:val="24"/>
          <w:szCs w:val="24"/>
        </w:rPr>
        <w:t xml:space="preserve">the </w:t>
      </w:r>
      <w:r w:rsidR="00F67EA0">
        <w:rPr>
          <w:sz w:val="24"/>
          <w:szCs w:val="24"/>
        </w:rPr>
        <w:t xml:space="preserve">conditional sale </w:t>
      </w:r>
      <w:r w:rsidR="00981585">
        <w:rPr>
          <w:sz w:val="24"/>
          <w:szCs w:val="24"/>
        </w:rPr>
        <w:t xml:space="preserve">concluded with Mr Chetty and submits </w:t>
      </w:r>
      <w:r w:rsidR="00F67EA0">
        <w:rPr>
          <w:sz w:val="24"/>
          <w:szCs w:val="24"/>
        </w:rPr>
        <w:t xml:space="preserve">that the plaintiffs are only entitled to payment of </w:t>
      </w:r>
      <w:r w:rsidR="000D71D2">
        <w:rPr>
          <w:sz w:val="24"/>
          <w:szCs w:val="24"/>
        </w:rPr>
        <w:t xml:space="preserve">R5 million as the total amount outstanding </w:t>
      </w:r>
      <w:r w:rsidR="0016088D">
        <w:rPr>
          <w:sz w:val="24"/>
          <w:szCs w:val="24"/>
        </w:rPr>
        <w:t xml:space="preserve">under the loan agreement </w:t>
      </w:r>
      <w:r w:rsidR="000D71D2">
        <w:rPr>
          <w:sz w:val="24"/>
          <w:szCs w:val="24"/>
        </w:rPr>
        <w:t xml:space="preserve">because this </w:t>
      </w:r>
      <w:r w:rsidR="00F67EA0">
        <w:rPr>
          <w:sz w:val="24"/>
          <w:szCs w:val="24"/>
        </w:rPr>
        <w:t xml:space="preserve">amount </w:t>
      </w:r>
      <w:r w:rsidR="000D71D2">
        <w:rPr>
          <w:sz w:val="24"/>
          <w:szCs w:val="24"/>
        </w:rPr>
        <w:t xml:space="preserve">is reflective of the fair market value of the property at the time of the auction. </w:t>
      </w:r>
    </w:p>
    <w:p w14:paraId="3509126C" w14:textId="6F4B2E54" w:rsidR="009F1519" w:rsidRDefault="00AD34D5" w:rsidP="00256BCF">
      <w:pPr>
        <w:rPr>
          <w:sz w:val="24"/>
          <w:szCs w:val="24"/>
        </w:rPr>
      </w:pPr>
      <w:r>
        <w:rPr>
          <w:sz w:val="24"/>
          <w:szCs w:val="24"/>
        </w:rPr>
        <w:t>[23]</w:t>
      </w:r>
      <w:r>
        <w:rPr>
          <w:sz w:val="24"/>
          <w:szCs w:val="24"/>
        </w:rPr>
        <w:tab/>
      </w:r>
      <w:r w:rsidR="00F67EA0">
        <w:rPr>
          <w:sz w:val="24"/>
          <w:szCs w:val="24"/>
        </w:rPr>
        <w:t xml:space="preserve">Accordingly, the plaintiffs should be estopped from denying him the protection and relief afforded by the NCA. He argues that the factual position </w:t>
      </w:r>
      <w:r>
        <w:rPr>
          <w:sz w:val="24"/>
          <w:szCs w:val="24"/>
        </w:rPr>
        <w:t>of Dainfern</w:t>
      </w:r>
      <w:r w:rsidR="00F67EA0">
        <w:rPr>
          <w:sz w:val="24"/>
          <w:szCs w:val="24"/>
        </w:rPr>
        <w:t xml:space="preserve"> CC with him as its sole member is no different to that of a natural person granted a loan to purchase an immovable property and his exclusion from the protections afforded by the NCA </w:t>
      </w:r>
      <w:r w:rsidR="000D71D2">
        <w:rPr>
          <w:sz w:val="24"/>
          <w:szCs w:val="24"/>
        </w:rPr>
        <w:t>is</w:t>
      </w:r>
      <w:r w:rsidR="00F67EA0">
        <w:rPr>
          <w:sz w:val="24"/>
          <w:szCs w:val="24"/>
        </w:rPr>
        <w:t xml:space="preserve"> irrational.</w:t>
      </w:r>
      <w:r w:rsidR="000D71D2">
        <w:rPr>
          <w:sz w:val="24"/>
          <w:szCs w:val="24"/>
        </w:rPr>
        <w:t xml:space="preserve"> To deny him the </w:t>
      </w:r>
      <w:r w:rsidR="009F1519">
        <w:rPr>
          <w:sz w:val="24"/>
          <w:szCs w:val="24"/>
        </w:rPr>
        <w:t>protection</w:t>
      </w:r>
      <w:r w:rsidR="000D71D2">
        <w:rPr>
          <w:sz w:val="24"/>
          <w:szCs w:val="24"/>
        </w:rPr>
        <w:t>s afforded by the NCA</w:t>
      </w:r>
      <w:r w:rsidR="009F1519">
        <w:rPr>
          <w:sz w:val="24"/>
          <w:szCs w:val="24"/>
        </w:rPr>
        <w:t>, simply because he elected to use a non-trading CC to hold immovable property purchased is unfair, irrational and unconstitut</w:t>
      </w:r>
      <w:r w:rsidR="00C16B42">
        <w:rPr>
          <w:sz w:val="24"/>
          <w:szCs w:val="24"/>
        </w:rPr>
        <w:t>ional in the factual circumstances of this matter.</w:t>
      </w:r>
    </w:p>
    <w:p w14:paraId="1A14977E" w14:textId="1438DD63" w:rsidR="009E1275" w:rsidRDefault="009E1275" w:rsidP="009E1275">
      <w:pPr>
        <w:rPr>
          <w:sz w:val="24"/>
          <w:szCs w:val="24"/>
        </w:rPr>
      </w:pPr>
      <w:r>
        <w:rPr>
          <w:sz w:val="24"/>
          <w:szCs w:val="24"/>
        </w:rPr>
        <w:t>[24]</w:t>
      </w:r>
      <w:r>
        <w:rPr>
          <w:sz w:val="24"/>
          <w:szCs w:val="24"/>
        </w:rPr>
        <w:tab/>
        <w:t xml:space="preserve">He contends that the failure of the NCA to distinguish a non-trading CC with one member is unconstitutional and irrational and it is unconstitutional to exclude these juristic persons from the ambit of the NCA. Further, the factual circumstances of this matter render the distinction between a natural person and the sole member of a CC, used solely as a vehicle for holding immovable property, irrational. </w:t>
      </w:r>
    </w:p>
    <w:p w14:paraId="248DCB75" w14:textId="04FE6252" w:rsidR="009F1519" w:rsidRDefault="00AD34D5" w:rsidP="00256BCF">
      <w:pPr>
        <w:rPr>
          <w:sz w:val="24"/>
          <w:szCs w:val="24"/>
        </w:rPr>
      </w:pPr>
      <w:r>
        <w:rPr>
          <w:sz w:val="24"/>
          <w:szCs w:val="24"/>
        </w:rPr>
        <w:t>[2</w:t>
      </w:r>
      <w:r w:rsidR="009E1275">
        <w:rPr>
          <w:sz w:val="24"/>
          <w:szCs w:val="24"/>
        </w:rPr>
        <w:t>5</w:t>
      </w:r>
      <w:r>
        <w:rPr>
          <w:sz w:val="24"/>
          <w:szCs w:val="24"/>
        </w:rPr>
        <w:t>]</w:t>
      </w:r>
      <w:r>
        <w:rPr>
          <w:sz w:val="24"/>
          <w:szCs w:val="24"/>
        </w:rPr>
        <w:tab/>
      </w:r>
      <w:r w:rsidR="009F1519">
        <w:rPr>
          <w:sz w:val="24"/>
          <w:szCs w:val="24"/>
        </w:rPr>
        <w:t xml:space="preserve">He further contends that even if the NCA is not found to be applicable, the misrepresentations by the </w:t>
      </w:r>
      <w:r w:rsidR="009E1275">
        <w:rPr>
          <w:sz w:val="24"/>
          <w:szCs w:val="24"/>
        </w:rPr>
        <w:t>bank’s</w:t>
      </w:r>
      <w:r w:rsidR="009F1519">
        <w:rPr>
          <w:sz w:val="24"/>
          <w:szCs w:val="24"/>
        </w:rPr>
        <w:t xml:space="preserve"> representatives regarding the inflated value of the immovable property is sufficient ground for the loan agreement to be cancelled and restoration tendered.</w:t>
      </w:r>
    </w:p>
    <w:p w14:paraId="471085B1" w14:textId="5625BB49" w:rsidR="008A622D" w:rsidRDefault="00AD34D5" w:rsidP="00697C0E">
      <w:pPr>
        <w:rPr>
          <w:sz w:val="24"/>
          <w:szCs w:val="24"/>
        </w:rPr>
      </w:pPr>
      <w:r>
        <w:rPr>
          <w:sz w:val="24"/>
          <w:szCs w:val="24"/>
        </w:rPr>
        <w:t>[2</w:t>
      </w:r>
      <w:r w:rsidR="009E1275">
        <w:rPr>
          <w:sz w:val="24"/>
          <w:szCs w:val="24"/>
        </w:rPr>
        <w:t>6</w:t>
      </w:r>
      <w:r>
        <w:rPr>
          <w:sz w:val="24"/>
          <w:szCs w:val="24"/>
        </w:rPr>
        <w:t>]</w:t>
      </w:r>
      <w:r>
        <w:rPr>
          <w:sz w:val="24"/>
          <w:szCs w:val="24"/>
        </w:rPr>
        <w:tab/>
      </w:r>
      <w:r w:rsidR="00697C0E">
        <w:rPr>
          <w:sz w:val="24"/>
          <w:szCs w:val="24"/>
        </w:rPr>
        <w:t xml:space="preserve">The provisions of the </w:t>
      </w:r>
      <w:r w:rsidR="0016088D">
        <w:rPr>
          <w:sz w:val="24"/>
          <w:szCs w:val="24"/>
        </w:rPr>
        <w:t>NCA, which address reckless credit,</w:t>
      </w:r>
      <w:r w:rsidR="00697C0E">
        <w:rPr>
          <w:sz w:val="24"/>
          <w:szCs w:val="24"/>
        </w:rPr>
        <w:t xml:space="preserve"> do not apply to juristic persons, regardless of turnover or asset value.</w:t>
      </w:r>
      <w:r w:rsidR="00697C0E" w:rsidRPr="007F5372">
        <w:rPr>
          <w:rStyle w:val="FootnoteReference"/>
          <w:rFonts w:ascii="Arial" w:hAnsi="Arial"/>
          <w:sz w:val="20"/>
        </w:rPr>
        <w:footnoteReference w:id="7"/>
      </w:r>
      <w:r w:rsidR="00697C0E">
        <w:rPr>
          <w:sz w:val="24"/>
          <w:szCs w:val="24"/>
        </w:rPr>
        <w:t xml:space="preserve"> </w:t>
      </w:r>
      <w:r w:rsidR="008A622D">
        <w:rPr>
          <w:sz w:val="24"/>
          <w:szCs w:val="24"/>
        </w:rPr>
        <w:t>The provisions of the NCA do not apply to:</w:t>
      </w:r>
    </w:p>
    <w:p w14:paraId="07346180" w14:textId="69F0B39F" w:rsidR="008A622D" w:rsidRDefault="008A622D" w:rsidP="008A622D">
      <w:pPr>
        <w:rPr>
          <w:sz w:val="24"/>
          <w:szCs w:val="24"/>
        </w:rPr>
      </w:pPr>
      <w:r>
        <w:rPr>
          <w:sz w:val="24"/>
          <w:szCs w:val="24"/>
        </w:rPr>
        <w:lastRenderedPageBreak/>
        <w:t xml:space="preserve">(a) </w:t>
      </w:r>
      <w:r>
        <w:rPr>
          <w:sz w:val="24"/>
          <w:szCs w:val="24"/>
        </w:rPr>
        <w:tab/>
      </w:r>
      <w:r w:rsidR="0016088D">
        <w:rPr>
          <w:sz w:val="24"/>
          <w:szCs w:val="24"/>
        </w:rPr>
        <w:t>Large</w:t>
      </w:r>
      <w:r>
        <w:rPr>
          <w:sz w:val="24"/>
          <w:szCs w:val="24"/>
        </w:rPr>
        <w:t xml:space="preserve"> credit agreements concluded with juristic persons whose asset value or annual turnover is below R1 million at the time the agreement is concluded.</w:t>
      </w:r>
      <w:r w:rsidRPr="008A622D">
        <w:rPr>
          <w:rStyle w:val="FootnoteReference"/>
          <w:rFonts w:ascii="Arial" w:hAnsi="Arial"/>
          <w:sz w:val="20"/>
        </w:rPr>
        <w:footnoteReference w:id="8"/>
      </w:r>
    </w:p>
    <w:p w14:paraId="7F8D1349" w14:textId="31FE45F0" w:rsidR="008A622D" w:rsidRDefault="008A622D" w:rsidP="008A622D">
      <w:pPr>
        <w:rPr>
          <w:sz w:val="24"/>
          <w:szCs w:val="24"/>
        </w:rPr>
      </w:pPr>
      <w:r>
        <w:rPr>
          <w:sz w:val="24"/>
          <w:szCs w:val="24"/>
        </w:rPr>
        <w:t>(b)</w:t>
      </w:r>
      <w:r>
        <w:rPr>
          <w:sz w:val="24"/>
          <w:szCs w:val="24"/>
        </w:rPr>
        <w:tab/>
        <w:t>Large credit agreements include mortgage agreements,</w:t>
      </w:r>
      <w:r w:rsidRPr="008A622D">
        <w:rPr>
          <w:rStyle w:val="FootnoteReference"/>
          <w:rFonts w:ascii="Arial" w:hAnsi="Arial"/>
          <w:sz w:val="20"/>
        </w:rPr>
        <w:footnoteReference w:id="9"/>
      </w:r>
      <w:r>
        <w:rPr>
          <w:sz w:val="24"/>
          <w:szCs w:val="24"/>
        </w:rPr>
        <w:t xml:space="preserve"> which are defined in the NCA as credit agreements that are secured by the registration of a mortgage bond by the registrar of deeds over immovable property. </w:t>
      </w:r>
    </w:p>
    <w:p w14:paraId="7F0EEF42" w14:textId="5AEBAB23" w:rsidR="00AD34D5" w:rsidRDefault="00AD34D5" w:rsidP="00194AF0">
      <w:pPr>
        <w:rPr>
          <w:sz w:val="24"/>
          <w:szCs w:val="24"/>
        </w:rPr>
      </w:pPr>
      <w:r>
        <w:rPr>
          <w:sz w:val="24"/>
          <w:szCs w:val="24"/>
        </w:rPr>
        <w:t>[2</w:t>
      </w:r>
      <w:r w:rsidR="009E1275">
        <w:rPr>
          <w:sz w:val="24"/>
          <w:szCs w:val="24"/>
        </w:rPr>
        <w:t>7</w:t>
      </w:r>
      <w:r>
        <w:rPr>
          <w:sz w:val="24"/>
          <w:szCs w:val="24"/>
        </w:rPr>
        <w:t>]</w:t>
      </w:r>
      <w:r>
        <w:rPr>
          <w:sz w:val="24"/>
          <w:szCs w:val="24"/>
        </w:rPr>
        <w:tab/>
      </w:r>
      <w:r w:rsidR="00EF58F4">
        <w:rPr>
          <w:sz w:val="24"/>
          <w:szCs w:val="24"/>
        </w:rPr>
        <w:t xml:space="preserve">The defendants concede that the NCA does </w:t>
      </w:r>
      <w:r w:rsidR="00A16163">
        <w:rPr>
          <w:sz w:val="24"/>
          <w:szCs w:val="24"/>
        </w:rPr>
        <w:t xml:space="preserve">not </w:t>
      </w:r>
      <w:r w:rsidR="00EF58F4">
        <w:rPr>
          <w:sz w:val="24"/>
          <w:szCs w:val="24"/>
        </w:rPr>
        <w:t xml:space="preserve">apply to </w:t>
      </w:r>
      <w:r w:rsidR="00C7242D">
        <w:rPr>
          <w:sz w:val="24"/>
          <w:szCs w:val="24"/>
        </w:rPr>
        <w:t>Dainfern CC</w:t>
      </w:r>
      <w:r w:rsidR="00EF58F4">
        <w:rPr>
          <w:sz w:val="24"/>
          <w:szCs w:val="24"/>
        </w:rPr>
        <w:t xml:space="preserve"> as a juristic </w:t>
      </w:r>
      <w:r w:rsidR="00697C0E">
        <w:rPr>
          <w:sz w:val="24"/>
          <w:szCs w:val="24"/>
        </w:rPr>
        <w:t xml:space="preserve">person, which </w:t>
      </w:r>
      <w:r w:rsidR="00EF58F4">
        <w:rPr>
          <w:sz w:val="24"/>
          <w:szCs w:val="24"/>
        </w:rPr>
        <w:t xml:space="preserve">concluded </w:t>
      </w:r>
      <w:r w:rsidR="00A16163">
        <w:rPr>
          <w:sz w:val="24"/>
          <w:szCs w:val="24"/>
        </w:rPr>
        <w:t xml:space="preserve">a mortgage agreement. However, in order to situate </w:t>
      </w:r>
      <w:r w:rsidR="00697C0E">
        <w:rPr>
          <w:sz w:val="24"/>
          <w:szCs w:val="24"/>
        </w:rPr>
        <w:t xml:space="preserve">and advance </w:t>
      </w:r>
      <w:r w:rsidR="00A16163">
        <w:rPr>
          <w:sz w:val="24"/>
          <w:szCs w:val="24"/>
        </w:rPr>
        <w:t>the</w:t>
      </w:r>
      <w:r w:rsidR="00697C0E">
        <w:rPr>
          <w:sz w:val="24"/>
          <w:szCs w:val="24"/>
        </w:rPr>
        <w:t xml:space="preserve"> </w:t>
      </w:r>
      <w:r w:rsidR="00A16163">
        <w:rPr>
          <w:sz w:val="24"/>
          <w:szCs w:val="24"/>
        </w:rPr>
        <w:t xml:space="preserve">defence </w:t>
      </w:r>
      <w:r w:rsidR="00697C0E">
        <w:rPr>
          <w:sz w:val="24"/>
          <w:szCs w:val="24"/>
        </w:rPr>
        <w:t xml:space="preserve">regarding </w:t>
      </w:r>
      <w:r w:rsidR="00A16163">
        <w:rPr>
          <w:sz w:val="24"/>
          <w:szCs w:val="24"/>
        </w:rPr>
        <w:t>reckless credit,</w:t>
      </w:r>
      <w:r w:rsidR="00697C0E">
        <w:rPr>
          <w:sz w:val="24"/>
          <w:szCs w:val="24"/>
        </w:rPr>
        <w:t xml:space="preserve"> Fobian</w:t>
      </w:r>
      <w:r w:rsidR="00A16163">
        <w:rPr>
          <w:sz w:val="24"/>
          <w:szCs w:val="24"/>
        </w:rPr>
        <w:t xml:space="preserve"> </w:t>
      </w:r>
      <w:r w:rsidR="0006350E">
        <w:rPr>
          <w:sz w:val="24"/>
          <w:szCs w:val="24"/>
        </w:rPr>
        <w:t xml:space="preserve">seeks to declare the NCA unconstitutional in so far as it fails to declare that a juristic entity with a single member must be regarded as a natural person. </w:t>
      </w:r>
    </w:p>
    <w:p w14:paraId="084D6B6A" w14:textId="7C66D62D" w:rsidR="00621CDA" w:rsidRDefault="00AD34D5" w:rsidP="008A622D">
      <w:pPr>
        <w:rPr>
          <w:sz w:val="24"/>
          <w:szCs w:val="24"/>
        </w:rPr>
      </w:pPr>
      <w:r>
        <w:rPr>
          <w:sz w:val="24"/>
          <w:szCs w:val="24"/>
        </w:rPr>
        <w:t>[28]</w:t>
      </w:r>
      <w:r>
        <w:rPr>
          <w:sz w:val="24"/>
          <w:szCs w:val="24"/>
        </w:rPr>
        <w:tab/>
      </w:r>
      <w:r w:rsidR="00A16163">
        <w:rPr>
          <w:sz w:val="24"/>
          <w:szCs w:val="24"/>
        </w:rPr>
        <w:t xml:space="preserve">As a starting </w:t>
      </w:r>
      <w:r w:rsidR="00697C0E">
        <w:rPr>
          <w:sz w:val="24"/>
          <w:szCs w:val="24"/>
        </w:rPr>
        <w:t>point,</w:t>
      </w:r>
      <w:r w:rsidR="00A16163">
        <w:rPr>
          <w:sz w:val="24"/>
          <w:szCs w:val="24"/>
        </w:rPr>
        <w:t xml:space="preserve"> it is apposite to repeat the caution of </w:t>
      </w:r>
      <w:r w:rsidR="00697C0E">
        <w:rPr>
          <w:sz w:val="24"/>
          <w:szCs w:val="24"/>
        </w:rPr>
        <w:t xml:space="preserve">the Constitutional Court </w:t>
      </w:r>
      <w:r w:rsidR="00A16163">
        <w:rPr>
          <w:sz w:val="24"/>
          <w:szCs w:val="24"/>
        </w:rPr>
        <w:t xml:space="preserve">in </w:t>
      </w:r>
      <w:r w:rsidR="00A16163">
        <w:rPr>
          <w:i/>
          <w:sz w:val="24"/>
          <w:szCs w:val="24"/>
        </w:rPr>
        <w:t>Fraser v ABSA Bank</w:t>
      </w:r>
      <w:r w:rsidR="00697C0E">
        <w:rPr>
          <w:i/>
          <w:sz w:val="24"/>
          <w:szCs w:val="24"/>
        </w:rPr>
        <w:t xml:space="preserve"> Limited</w:t>
      </w:r>
      <w:r w:rsidR="00A16163" w:rsidRPr="009E1275">
        <w:rPr>
          <w:rStyle w:val="FootnoteReference"/>
          <w:rFonts w:ascii="Arial" w:hAnsi="Arial"/>
          <w:sz w:val="20"/>
        </w:rPr>
        <w:footnoteReference w:id="10"/>
      </w:r>
      <w:r w:rsidR="00A16163">
        <w:rPr>
          <w:sz w:val="24"/>
          <w:szCs w:val="24"/>
        </w:rPr>
        <w:t xml:space="preserve"> that </w:t>
      </w:r>
      <w:r w:rsidR="00621CDA">
        <w:rPr>
          <w:sz w:val="24"/>
          <w:szCs w:val="24"/>
        </w:rPr>
        <w:t xml:space="preserve">an </w:t>
      </w:r>
      <w:r w:rsidR="00A16163">
        <w:rPr>
          <w:sz w:val="24"/>
          <w:szCs w:val="24"/>
        </w:rPr>
        <w:t>issue does not become a constitutional matter merely because an applicant call</w:t>
      </w:r>
      <w:r w:rsidR="00621CDA">
        <w:rPr>
          <w:sz w:val="24"/>
          <w:szCs w:val="24"/>
        </w:rPr>
        <w:t>s</w:t>
      </w:r>
      <w:r w:rsidR="00A16163">
        <w:rPr>
          <w:sz w:val="24"/>
          <w:szCs w:val="24"/>
        </w:rPr>
        <w:t xml:space="preserve"> it one. </w:t>
      </w:r>
      <w:r w:rsidR="00621CDA">
        <w:rPr>
          <w:sz w:val="24"/>
          <w:szCs w:val="24"/>
        </w:rPr>
        <w:t>This is particularly so when the issue has alrea</w:t>
      </w:r>
      <w:r w:rsidR="00697C0E">
        <w:rPr>
          <w:sz w:val="24"/>
          <w:szCs w:val="24"/>
        </w:rPr>
        <w:t>dy been addressed by our courts and is uncontroversial.</w:t>
      </w:r>
    </w:p>
    <w:p w14:paraId="39DFD9B1" w14:textId="48B426A3" w:rsidR="005D7E9B" w:rsidRDefault="00AD34D5" w:rsidP="008A622D">
      <w:pPr>
        <w:rPr>
          <w:sz w:val="24"/>
          <w:szCs w:val="24"/>
        </w:rPr>
      </w:pPr>
      <w:r>
        <w:rPr>
          <w:sz w:val="24"/>
          <w:szCs w:val="24"/>
        </w:rPr>
        <w:t>[29]</w:t>
      </w:r>
      <w:r>
        <w:rPr>
          <w:sz w:val="24"/>
          <w:szCs w:val="24"/>
        </w:rPr>
        <w:tab/>
      </w:r>
      <w:r w:rsidR="005D7E9B">
        <w:rPr>
          <w:sz w:val="24"/>
          <w:szCs w:val="24"/>
        </w:rPr>
        <w:t>The constitutionality of the NCA</w:t>
      </w:r>
      <w:r w:rsidR="00D9520A">
        <w:rPr>
          <w:sz w:val="24"/>
          <w:szCs w:val="24"/>
        </w:rPr>
        <w:t xml:space="preserve"> in so far that it states that the NCA is not applicable to juristic persons (ss4(1)(a) and 4(1)(b)),</w:t>
      </w:r>
      <w:r w:rsidR="005D7E9B">
        <w:rPr>
          <w:sz w:val="24"/>
          <w:szCs w:val="24"/>
        </w:rPr>
        <w:t xml:space="preserve"> has already been determined by our courts in </w:t>
      </w:r>
      <w:r w:rsidR="005D7E9B">
        <w:rPr>
          <w:i/>
          <w:sz w:val="24"/>
          <w:szCs w:val="24"/>
        </w:rPr>
        <w:t>Standard Bank of South Africa Ltd v Hunkydory Investments 194 (Pty) Ltd and Another (No1)</w:t>
      </w:r>
      <w:r w:rsidR="00D9520A">
        <w:rPr>
          <w:i/>
          <w:sz w:val="24"/>
          <w:szCs w:val="24"/>
        </w:rPr>
        <w:t>.</w:t>
      </w:r>
      <w:r w:rsidR="005D7E9B" w:rsidRPr="005D7E9B">
        <w:rPr>
          <w:rStyle w:val="FootnoteReference"/>
          <w:rFonts w:ascii="Arial" w:hAnsi="Arial"/>
          <w:sz w:val="20"/>
        </w:rPr>
        <w:footnoteReference w:id="11"/>
      </w:r>
      <w:r w:rsidR="00D9520A">
        <w:rPr>
          <w:i/>
          <w:sz w:val="24"/>
          <w:szCs w:val="24"/>
        </w:rPr>
        <w:t xml:space="preserve"> </w:t>
      </w:r>
      <w:r w:rsidR="00A31D40">
        <w:rPr>
          <w:sz w:val="24"/>
          <w:szCs w:val="24"/>
        </w:rPr>
        <w:t>Similarly,</w:t>
      </w:r>
      <w:r w:rsidR="00D9520A">
        <w:rPr>
          <w:sz w:val="24"/>
          <w:szCs w:val="24"/>
        </w:rPr>
        <w:t xml:space="preserve"> to this matter, the defendants in </w:t>
      </w:r>
      <w:r w:rsidR="00D9520A">
        <w:rPr>
          <w:i/>
          <w:sz w:val="24"/>
          <w:szCs w:val="24"/>
        </w:rPr>
        <w:t>Hunkydory Investments</w:t>
      </w:r>
      <w:r w:rsidR="00194AF0">
        <w:rPr>
          <w:i/>
          <w:sz w:val="24"/>
          <w:szCs w:val="24"/>
        </w:rPr>
        <w:t xml:space="preserve"> (No1)</w:t>
      </w:r>
      <w:r w:rsidR="00D9520A">
        <w:rPr>
          <w:i/>
          <w:sz w:val="24"/>
          <w:szCs w:val="24"/>
        </w:rPr>
        <w:t xml:space="preserve"> </w:t>
      </w:r>
      <w:r w:rsidR="00D9520A">
        <w:rPr>
          <w:sz w:val="24"/>
          <w:szCs w:val="24"/>
        </w:rPr>
        <w:t xml:space="preserve">contended that the </w:t>
      </w:r>
      <w:r w:rsidR="006A3828">
        <w:rPr>
          <w:sz w:val="24"/>
          <w:szCs w:val="24"/>
        </w:rPr>
        <w:t xml:space="preserve">company </w:t>
      </w:r>
      <w:r w:rsidR="00D9520A">
        <w:rPr>
          <w:sz w:val="24"/>
          <w:szCs w:val="24"/>
        </w:rPr>
        <w:t xml:space="preserve">was simply a non-trading property holding company </w:t>
      </w:r>
      <w:r w:rsidR="006A3828">
        <w:rPr>
          <w:sz w:val="24"/>
          <w:szCs w:val="24"/>
        </w:rPr>
        <w:t>that held the immovable property in question as</w:t>
      </w:r>
      <w:r w:rsidR="00194AF0">
        <w:rPr>
          <w:sz w:val="24"/>
          <w:szCs w:val="24"/>
        </w:rPr>
        <w:t xml:space="preserve"> an</w:t>
      </w:r>
      <w:r w:rsidR="006A3828">
        <w:rPr>
          <w:sz w:val="24"/>
          <w:szCs w:val="24"/>
        </w:rPr>
        <w:t xml:space="preserve"> estate planning measure. The sole shareholder of the </w:t>
      </w:r>
      <w:r w:rsidR="00A31D40">
        <w:rPr>
          <w:sz w:val="24"/>
          <w:szCs w:val="24"/>
        </w:rPr>
        <w:t>company</w:t>
      </w:r>
      <w:r w:rsidR="006A3828">
        <w:rPr>
          <w:sz w:val="24"/>
          <w:szCs w:val="24"/>
        </w:rPr>
        <w:t xml:space="preserve"> argu</w:t>
      </w:r>
      <w:r w:rsidR="00A25BA5">
        <w:rPr>
          <w:sz w:val="24"/>
          <w:szCs w:val="24"/>
        </w:rPr>
        <w:t>ed that it was</w:t>
      </w:r>
      <w:r w:rsidR="006A3828">
        <w:rPr>
          <w:sz w:val="24"/>
          <w:szCs w:val="24"/>
        </w:rPr>
        <w:t xml:space="preserve"> unfair that he and the company were not afforded the same protection under the NCA as a natural person, simply because the credit agreement was concluded with a juristic person.</w:t>
      </w:r>
      <w:r w:rsidR="00D9520A">
        <w:rPr>
          <w:sz w:val="24"/>
          <w:szCs w:val="24"/>
        </w:rPr>
        <w:t xml:space="preserve"> </w:t>
      </w:r>
      <w:r w:rsidR="005D7E9B">
        <w:rPr>
          <w:i/>
          <w:sz w:val="24"/>
          <w:szCs w:val="24"/>
        </w:rPr>
        <w:t xml:space="preserve"> </w:t>
      </w:r>
    </w:p>
    <w:p w14:paraId="3A0ADAA5" w14:textId="3570D07E" w:rsidR="00A31D40" w:rsidRDefault="00AD34D5" w:rsidP="008A622D">
      <w:pPr>
        <w:rPr>
          <w:sz w:val="24"/>
          <w:szCs w:val="24"/>
        </w:rPr>
      </w:pPr>
      <w:r>
        <w:rPr>
          <w:sz w:val="24"/>
          <w:szCs w:val="24"/>
        </w:rPr>
        <w:t>[30]</w:t>
      </w:r>
      <w:r>
        <w:rPr>
          <w:sz w:val="24"/>
          <w:szCs w:val="24"/>
        </w:rPr>
        <w:tab/>
      </w:r>
      <w:r w:rsidR="00A31D40">
        <w:rPr>
          <w:sz w:val="24"/>
          <w:szCs w:val="24"/>
        </w:rPr>
        <w:t>In dismissing the argument that the defendants</w:t>
      </w:r>
      <w:r w:rsidR="00A25BA5">
        <w:rPr>
          <w:sz w:val="24"/>
          <w:szCs w:val="24"/>
        </w:rPr>
        <w:t>’</w:t>
      </w:r>
      <w:r w:rsidR="00A31D40">
        <w:rPr>
          <w:sz w:val="24"/>
          <w:szCs w:val="24"/>
        </w:rPr>
        <w:t xml:space="preserve"> right to equality was violated by the NCA, the court held that:</w:t>
      </w:r>
    </w:p>
    <w:p w14:paraId="35CFD797" w14:textId="14C1AB31" w:rsidR="00A31D40" w:rsidRDefault="00A31D40" w:rsidP="008A622D">
      <w:pPr>
        <w:rPr>
          <w:bCs/>
          <w:i/>
          <w:color w:val="000000"/>
          <w:sz w:val="22"/>
          <w:shd w:val="clear" w:color="auto" w:fill="FFFFFF"/>
        </w:rPr>
      </w:pPr>
      <w:r w:rsidRPr="00A31D40">
        <w:rPr>
          <w:bCs/>
          <w:i/>
          <w:color w:val="000000"/>
          <w:sz w:val="22"/>
          <w:shd w:val="clear" w:color="auto" w:fill="FFFFFF"/>
        </w:rPr>
        <w:t xml:space="preserve">‘There can be no doubt that there </w:t>
      </w:r>
      <w:r>
        <w:rPr>
          <w:bCs/>
          <w:i/>
          <w:color w:val="000000"/>
          <w:sz w:val="22"/>
          <w:shd w:val="clear" w:color="auto" w:fill="FFFFFF"/>
        </w:rPr>
        <w:t>i</w:t>
      </w:r>
      <w:r w:rsidRPr="00A31D40">
        <w:rPr>
          <w:bCs/>
          <w:i/>
          <w:color w:val="000000"/>
          <w:sz w:val="22"/>
          <w:shd w:val="clear" w:color="auto" w:fill="FFFFFF"/>
        </w:rPr>
        <w:t xml:space="preserve">s a rational connection between the differentiation created by the relevant provisions of section 4 of the National Credit Act and the legitimate governmental purpose </w:t>
      </w:r>
      <w:r w:rsidRPr="00A31D40">
        <w:rPr>
          <w:bCs/>
          <w:i/>
          <w:color w:val="000000"/>
          <w:sz w:val="22"/>
          <w:shd w:val="clear" w:color="auto" w:fill="FFFFFF"/>
        </w:rPr>
        <w:lastRenderedPageBreak/>
        <w:t>behind its enactment. I have not been persuaded, on a balance of probabilities, by the Defendants, who bear the </w:t>
      </w:r>
      <w:r w:rsidRPr="00A31D40">
        <w:rPr>
          <w:i/>
          <w:iCs/>
          <w:color w:val="000000"/>
          <w:sz w:val="22"/>
          <w:shd w:val="clear" w:color="auto" w:fill="FFFFFF"/>
        </w:rPr>
        <w:t>onus </w:t>
      </w:r>
      <w:r w:rsidRPr="00A31D40">
        <w:rPr>
          <w:bCs/>
          <w:i/>
          <w:color w:val="000000"/>
          <w:sz w:val="22"/>
          <w:shd w:val="clear" w:color="auto" w:fill="FFFFFF"/>
        </w:rPr>
        <w:t xml:space="preserve">in this regard, that any differentiation on discrimination, even if it exists, is unfair. I have not been persuaded that the </w:t>
      </w:r>
      <w:r w:rsidR="00194AF0">
        <w:rPr>
          <w:bCs/>
          <w:i/>
          <w:color w:val="000000"/>
          <w:sz w:val="22"/>
          <w:shd w:val="clear" w:color="auto" w:fill="FFFFFF"/>
        </w:rPr>
        <w:t xml:space="preserve">First Defendant’s </w:t>
      </w:r>
      <w:r w:rsidRPr="00A31D40">
        <w:rPr>
          <w:bCs/>
          <w:i/>
          <w:color w:val="000000"/>
          <w:sz w:val="22"/>
          <w:shd w:val="clear" w:color="auto" w:fill="FFFFFF"/>
        </w:rPr>
        <w:t>exclusion from the protection of the relevant sections of  the Act, have any negative effect on it.’</w:t>
      </w:r>
      <w:r w:rsidRPr="00A31D40">
        <w:rPr>
          <w:rStyle w:val="FootnoteReference"/>
          <w:rFonts w:ascii="Arial" w:hAnsi="Arial"/>
          <w:bCs/>
          <w:color w:val="000000"/>
          <w:sz w:val="20"/>
          <w:shd w:val="clear" w:color="auto" w:fill="FFFFFF"/>
        </w:rPr>
        <w:footnoteReference w:id="12"/>
      </w:r>
    </w:p>
    <w:p w14:paraId="2CCFB6CF" w14:textId="00117176" w:rsidR="00977AA1" w:rsidRDefault="00AD34D5" w:rsidP="008A622D">
      <w:pPr>
        <w:rPr>
          <w:bCs/>
          <w:color w:val="000000"/>
          <w:sz w:val="24"/>
          <w:szCs w:val="24"/>
          <w:shd w:val="clear" w:color="auto" w:fill="FFFFFF"/>
        </w:rPr>
      </w:pPr>
      <w:r>
        <w:rPr>
          <w:sz w:val="24"/>
          <w:szCs w:val="24"/>
        </w:rPr>
        <w:t>[31]</w:t>
      </w:r>
      <w:r>
        <w:rPr>
          <w:sz w:val="24"/>
          <w:szCs w:val="24"/>
        </w:rPr>
        <w:tab/>
      </w:r>
      <w:r w:rsidR="00AA736C">
        <w:rPr>
          <w:sz w:val="24"/>
          <w:szCs w:val="24"/>
        </w:rPr>
        <w:t xml:space="preserve">In support of the argument that the defendants are entitled to the protections afforded by the NCA, </w:t>
      </w:r>
      <w:r w:rsidR="00231366" w:rsidRPr="00B4180B">
        <w:rPr>
          <w:bCs/>
          <w:color w:val="000000"/>
          <w:sz w:val="24"/>
          <w:szCs w:val="24"/>
          <w:shd w:val="clear" w:color="auto" w:fill="FFFFFF"/>
        </w:rPr>
        <w:t xml:space="preserve">Mr De Beer </w:t>
      </w:r>
      <w:r w:rsidR="00AA736C">
        <w:rPr>
          <w:bCs/>
          <w:color w:val="000000"/>
          <w:sz w:val="24"/>
          <w:szCs w:val="24"/>
          <w:shd w:val="clear" w:color="auto" w:fill="FFFFFF"/>
        </w:rPr>
        <w:t xml:space="preserve">contended </w:t>
      </w:r>
      <w:r w:rsidR="00231366" w:rsidRPr="00B4180B">
        <w:rPr>
          <w:bCs/>
          <w:color w:val="000000"/>
          <w:sz w:val="24"/>
          <w:szCs w:val="24"/>
          <w:shd w:val="clear" w:color="auto" w:fill="FFFFFF"/>
        </w:rPr>
        <w:t xml:space="preserve">that the facts of this matter were distinguishable from </w:t>
      </w:r>
      <w:r w:rsidR="00231366" w:rsidRPr="00B4180B">
        <w:rPr>
          <w:bCs/>
          <w:i/>
          <w:color w:val="000000"/>
          <w:sz w:val="24"/>
          <w:szCs w:val="24"/>
          <w:shd w:val="clear" w:color="auto" w:fill="FFFFFF"/>
        </w:rPr>
        <w:t xml:space="preserve">Hunkydory Investments </w:t>
      </w:r>
      <w:r w:rsidR="00194AF0">
        <w:rPr>
          <w:bCs/>
          <w:i/>
          <w:color w:val="000000"/>
          <w:sz w:val="24"/>
          <w:szCs w:val="24"/>
          <w:shd w:val="clear" w:color="auto" w:fill="FFFFFF"/>
        </w:rPr>
        <w:t>(N</w:t>
      </w:r>
      <w:r w:rsidR="009E16F9">
        <w:rPr>
          <w:bCs/>
          <w:i/>
          <w:color w:val="000000"/>
          <w:sz w:val="24"/>
          <w:szCs w:val="24"/>
          <w:shd w:val="clear" w:color="auto" w:fill="FFFFFF"/>
        </w:rPr>
        <w:t>o</w:t>
      </w:r>
      <w:r w:rsidR="00194AF0">
        <w:rPr>
          <w:bCs/>
          <w:i/>
          <w:color w:val="000000"/>
          <w:sz w:val="24"/>
          <w:szCs w:val="24"/>
          <w:shd w:val="clear" w:color="auto" w:fill="FFFFFF"/>
        </w:rPr>
        <w:t>1)</w:t>
      </w:r>
      <w:r w:rsidR="00231366" w:rsidRPr="00B4180B">
        <w:rPr>
          <w:bCs/>
          <w:color w:val="000000"/>
          <w:sz w:val="24"/>
          <w:szCs w:val="24"/>
          <w:shd w:val="clear" w:color="auto" w:fill="FFFFFF"/>
        </w:rPr>
        <w:t xml:space="preserve">. He contended that insufficient emphasis was placed on the fact that the number of ‘controlling minds’ is a factor that should be considered under </w:t>
      </w:r>
      <w:r w:rsidR="009E16F9">
        <w:rPr>
          <w:bCs/>
          <w:color w:val="000000"/>
          <w:sz w:val="24"/>
          <w:szCs w:val="24"/>
          <w:shd w:val="clear" w:color="auto" w:fill="FFFFFF"/>
        </w:rPr>
        <w:t xml:space="preserve">the </w:t>
      </w:r>
      <w:r w:rsidR="00231366" w:rsidRPr="00B4180B">
        <w:rPr>
          <w:bCs/>
          <w:color w:val="000000"/>
          <w:sz w:val="24"/>
          <w:szCs w:val="24"/>
          <w:shd w:val="clear" w:color="auto" w:fill="FFFFFF"/>
        </w:rPr>
        <w:t>NCA</w:t>
      </w:r>
      <w:r w:rsidR="00977AA1" w:rsidRPr="00B4180B">
        <w:rPr>
          <w:bCs/>
          <w:color w:val="000000"/>
          <w:sz w:val="24"/>
          <w:szCs w:val="24"/>
          <w:shd w:val="clear" w:color="auto" w:fill="FFFFFF"/>
        </w:rPr>
        <w:t xml:space="preserve">. This was </w:t>
      </w:r>
      <w:r w:rsidR="00231366" w:rsidRPr="00B4180B">
        <w:rPr>
          <w:bCs/>
          <w:color w:val="000000"/>
          <w:sz w:val="24"/>
          <w:szCs w:val="24"/>
          <w:shd w:val="clear" w:color="auto" w:fill="FFFFFF"/>
        </w:rPr>
        <w:t>especially</w:t>
      </w:r>
      <w:r w:rsidR="00977AA1" w:rsidRPr="00B4180B">
        <w:rPr>
          <w:bCs/>
          <w:color w:val="000000"/>
          <w:sz w:val="24"/>
          <w:szCs w:val="24"/>
          <w:shd w:val="clear" w:color="auto" w:fill="FFFFFF"/>
        </w:rPr>
        <w:t xml:space="preserve"> so when</w:t>
      </w:r>
      <w:r w:rsidR="00231366" w:rsidRPr="00B4180B">
        <w:rPr>
          <w:bCs/>
          <w:color w:val="000000"/>
          <w:sz w:val="24"/>
          <w:szCs w:val="24"/>
          <w:shd w:val="clear" w:color="auto" w:fill="FFFFFF"/>
        </w:rPr>
        <w:t xml:space="preserve"> viewed in the context of </w:t>
      </w:r>
      <w:r w:rsidR="0016088D">
        <w:rPr>
          <w:bCs/>
          <w:color w:val="000000"/>
          <w:sz w:val="24"/>
          <w:szCs w:val="24"/>
          <w:shd w:val="clear" w:color="auto" w:fill="FFFFFF"/>
        </w:rPr>
        <w:t>the definition of T</w:t>
      </w:r>
      <w:r w:rsidR="00977AA1" w:rsidRPr="00B4180B">
        <w:rPr>
          <w:bCs/>
          <w:color w:val="000000"/>
          <w:sz w:val="24"/>
          <w:szCs w:val="24"/>
          <w:shd w:val="clear" w:color="auto" w:fill="FFFFFF"/>
        </w:rPr>
        <w:t>rusts</w:t>
      </w:r>
      <w:r w:rsidR="00231366" w:rsidRPr="00B4180B">
        <w:rPr>
          <w:bCs/>
          <w:color w:val="000000"/>
          <w:sz w:val="24"/>
          <w:szCs w:val="24"/>
          <w:shd w:val="clear" w:color="auto" w:fill="FFFFFF"/>
        </w:rPr>
        <w:t xml:space="preserve"> </w:t>
      </w:r>
      <w:r w:rsidR="00977AA1" w:rsidRPr="00B4180B">
        <w:rPr>
          <w:bCs/>
          <w:color w:val="000000"/>
          <w:sz w:val="24"/>
          <w:szCs w:val="24"/>
          <w:shd w:val="clear" w:color="auto" w:fill="FFFFFF"/>
        </w:rPr>
        <w:t xml:space="preserve">as only constituting a juristic person if it had three or more trustees. </w:t>
      </w:r>
    </w:p>
    <w:p w14:paraId="0685CA5A" w14:textId="308437B4" w:rsidR="00977AA1" w:rsidRPr="00B4180B" w:rsidRDefault="00AD34D5" w:rsidP="008A622D">
      <w:pPr>
        <w:rPr>
          <w:bCs/>
          <w:color w:val="000000"/>
          <w:sz w:val="24"/>
          <w:szCs w:val="24"/>
          <w:shd w:val="clear" w:color="auto" w:fill="FFFFFF"/>
        </w:rPr>
      </w:pPr>
      <w:r>
        <w:rPr>
          <w:bCs/>
          <w:color w:val="000000"/>
          <w:sz w:val="24"/>
          <w:szCs w:val="24"/>
          <w:shd w:val="clear" w:color="auto" w:fill="FFFFFF"/>
        </w:rPr>
        <w:t>[32]</w:t>
      </w:r>
      <w:r>
        <w:rPr>
          <w:bCs/>
          <w:color w:val="000000"/>
          <w:sz w:val="24"/>
          <w:szCs w:val="24"/>
          <w:shd w:val="clear" w:color="auto" w:fill="FFFFFF"/>
        </w:rPr>
        <w:tab/>
      </w:r>
      <w:r w:rsidR="00977AA1" w:rsidRPr="00B4180B">
        <w:rPr>
          <w:bCs/>
          <w:color w:val="000000"/>
          <w:sz w:val="24"/>
          <w:szCs w:val="24"/>
          <w:shd w:val="clear" w:color="auto" w:fill="FFFFFF"/>
        </w:rPr>
        <w:t xml:space="preserve">He further argued </w:t>
      </w:r>
      <w:r w:rsidR="0016088D">
        <w:rPr>
          <w:bCs/>
          <w:color w:val="000000"/>
          <w:sz w:val="24"/>
          <w:szCs w:val="24"/>
          <w:shd w:val="clear" w:color="auto" w:fill="FFFFFF"/>
        </w:rPr>
        <w:t>that the distinction between a T</w:t>
      </w:r>
      <w:r w:rsidR="00977AA1" w:rsidRPr="00B4180B">
        <w:rPr>
          <w:bCs/>
          <w:color w:val="000000"/>
          <w:sz w:val="24"/>
          <w:szCs w:val="24"/>
          <w:shd w:val="clear" w:color="auto" w:fill="FFFFFF"/>
        </w:rPr>
        <w:t xml:space="preserve">rust with </w:t>
      </w:r>
      <w:r w:rsidR="009E16F9">
        <w:rPr>
          <w:bCs/>
          <w:color w:val="000000"/>
          <w:sz w:val="24"/>
          <w:szCs w:val="24"/>
          <w:shd w:val="clear" w:color="auto" w:fill="FFFFFF"/>
        </w:rPr>
        <w:t>two or less</w:t>
      </w:r>
      <w:r w:rsidR="00977AA1" w:rsidRPr="00B4180B">
        <w:rPr>
          <w:bCs/>
          <w:color w:val="000000"/>
          <w:sz w:val="24"/>
          <w:szCs w:val="24"/>
          <w:shd w:val="clear" w:color="auto" w:fill="FFFFFF"/>
        </w:rPr>
        <w:t xml:space="preserve"> trustees, which enjoys the protection of the NCA, and a non-trading CC which does not enjoy the protection of the NCA, is irrational and unfair.</w:t>
      </w:r>
      <w:r w:rsidR="00B37DF8" w:rsidRPr="00B4180B">
        <w:rPr>
          <w:bCs/>
          <w:color w:val="000000"/>
          <w:sz w:val="24"/>
          <w:szCs w:val="24"/>
          <w:shd w:val="clear" w:color="auto" w:fill="FFFFFF"/>
        </w:rPr>
        <w:t xml:space="preserve"> </w:t>
      </w:r>
      <w:r w:rsidR="00977AA1" w:rsidRPr="00B4180B">
        <w:rPr>
          <w:bCs/>
          <w:color w:val="000000"/>
          <w:sz w:val="24"/>
          <w:szCs w:val="24"/>
          <w:shd w:val="clear" w:color="auto" w:fill="FFFFFF"/>
        </w:rPr>
        <w:t xml:space="preserve">He further contended that the unique circumstances of this matter, relating to the alleged overvaluation of the property would subvert </w:t>
      </w:r>
      <w:r w:rsidR="00B37DF8" w:rsidRPr="00B4180B">
        <w:rPr>
          <w:bCs/>
          <w:color w:val="000000"/>
          <w:sz w:val="24"/>
          <w:szCs w:val="24"/>
          <w:shd w:val="clear" w:color="auto" w:fill="FFFFFF"/>
        </w:rPr>
        <w:t>the purpose of the NCA if the defendants were excluded from its protection.</w:t>
      </w:r>
    </w:p>
    <w:p w14:paraId="035B1CCC" w14:textId="5C427B89" w:rsidR="00B37DF8" w:rsidRPr="00095E5E" w:rsidRDefault="00686E2A" w:rsidP="008A622D">
      <w:pPr>
        <w:rPr>
          <w:bCs/>
          <w:color w:val="000000"/>
          <w:sz w:val="24"/>
          <w:szCs w:val="24"/>
          <w:shd w:val="clear" w:color="auto" w:fill="FFFFFF"/>
        </w:rPr>
      </w:pPr>
      <w:r>
        <w:rPr>
          <w:bCs/>
          <w:color w:val="000000"/>
          <w:sz w:val="24"/>
          <w:szCs w:val="24"/>
          <w:shd w:val="clear" w:color="auto" w:fill="FFFFFF"/>
        </w:rPr>
        <w:t>[33]</w:t>
      </w:r>
      <w:r>
        <w:rPr>
          <w:bCs/>
          <w:color w:val="000000"/>
          <w:sz w:val="24"/>
          <w:szCs w:val="24"/>
          <w:shd w:val="clear" w:color="auto" w:fill="FFFFFF"/>
        </w:rPr>
        <w:tab/>
      </w:r>
      <w:r w:rsidR="00B37DF8" w:rsidRPr="00095E5E">
        <w:rPr>
          <w:bCs/>
          <w:color w:val="000000"/>
          <w:sz w:val="24"/>
          <w:szCs w:val="24"/>
          <w:shd w:val="clear" w:color="auto" w:fill="FFFFFF"/>
        </w:rPr>
        <w:t xml:space="preserve">He </w:t>
      </w:r>
      <w:r w:rsidR="009E16F9">
        <w:rPr>
          <w:bCs/>
          <w:color w:val="000000"/>
          <w:sz w:val="24"/>
          <w:szCs w:val="24"/>
          <w:shd w:val="clear" w:color="auto" w:fill="FFFFFF"/>
        </w:rPr>
        <w:t xml:space="preserve">argued </w:t>
      </w:r>
      <w:r w:rsidR="00B37DF8" w:rsidRPr="00095E5E">
        <w:rPr>
          <w:bCs/>
          <w:color w:val="000000"/>
          <w:sz w:val="24"/>
          <w:szCs w:val="24"/>
          <w:shd w:val="clear" w:color="auto" w:fill="FFFFFF"/>
        </w:rPr>
        <w:t xml:space="preserve">that the </w:t>
      </w:r>
      <w:r w:rsidR="00B4180B" w:rsidRPr="00095E5E">
        <w:rPr>
          <w:bCs/>
          <w:color w:val="000000"/>
          <w:sz w:val="24"/>
          <w:szCs w:val="24"/>
          <w:shd w:val="clear" w:color="auto" w:fill="FFFFFF"/>
        </w:rPr>
        <w:t>defendants’</w:t>
      </w:r>
      <w:r w:rsidR="00B37DF8" w:rsidRPr="00095E5E">
        <w:rPr>
          <w:bCs/>
          <w:color w:val="000000"/>
          <w:sz w:val="24"/>
          <w:szCs w:val="24"/>
          <w:shd w:val="clear" w:color="auto" w:fill="FFFFFF"/>
        </w:rPr>
        <w:t xml:space="preserve"> right to equal protection before the law would be infringed if the </w:t>
      </w:r>
      <w:r w:rsidR="0016088D">
        <w:rPr>
          <w:bCs/>
          <w:color w:val="000000"/>
          <w:sz w:val="24"/>
          <w:szCs w:val="24"/>
          <w:shd w:val="clear" w:color="auto" w:fill="FFFFFF"/>
        </w:rPr>
        <w:t>distinction between them and a T</w:t>
      </w:r>
      <w:r w:rsidR="00B37DF8" w:rsidRPr="00095E5E">
        <w:rPr>
          <w:bCs/>
          <w:color w:val="000000"/>
          <w:sz w:val="24"/>
          <w:szCs w:val="24"/>
          <w:shd w:val="clear" w:color="auto" w:fill="FFFFFF"/>
        </w:rPr>
        <w:t>rust with less than three trustees was maintained in the particular circumstances of this case. It was clear, so he argued that such discrimination had a negative impact on the defendants because they lost the difference between the actual value of the immovable property and value imputed</w:t>
      </w:r>
      <w:r w:rsidR="009E16F9">
        <w:rPr>
          <w:bCs/>
          <w:color w:val="000000"/>
          <w:sz w:val="24"/>
          <w:szCs w:val="24"/>
          <w:shd w:val="clear" w:color="auto" w:fill="FFFFFF"/>
        </w:rPr>
        <w:t xml:space="preserve"> to the immovable property </w:t>
      </w:r>
      <w:r w:rsidR="00B37DF8" w:rsidRPr="00095E5E">
        <w:rPr>
          <w:bCs/>
          <w:color w:val="000000"/>
          <w:sz w:val="24"/>
          <w:szCs w:val="24"/>
          <w:shd w:val="clear" w:color="auto" w:fill="FFFFFF"/>
        </w:rPr>
        <w:t xml:space="preserve">by the </w:t>
      </w:r>
      <w:r w:rsidR="009E1275">
        <w:rPr>
          <w:bCs/>
          <w:color w:val="000000"/>
          <w:sz w:val="24"/>
          <w:szCs w:val="24"/>
          <w:shd w:val="clear" w:color="auto" w:fill="FFFFFF"/>
        </w:rPr>
        <w:t>bank</w:t>
      </w:r>
      <w:r w:rsidR="00B37DF8" w:rsidRPr="00095E5E">
        <w:rPr>
          <w:bCs/>
          <w:color w:val="000000"/>
          <w:sz w:val="24"/>
          <w:szCs w:val="24"/>
          <w:shd w:val="clear" w:color="auto" w:fill="FFFFFF"/>
        </w:rPr>
        <w:t>.</w:t>
      </w:r>
    </w:p>
    <w:p w14:paraId="7A86B3FC" w14:textId="37C37029" w:rsidR="00C8535D" w:rsidRDefault="00686E2A" w:rsidP="008A622D">
      <w:pPr>
        <w:rPr>
          <w:sz w:val="24"/>
          <w:szCs w:val="24"/>
        </w:rPr>
      </w:pPr>
      <w:r>
        <w:rPr>
          <w:sz w:val="24"/>
          <w:szCs w:val="24"/>
        </w:rPr>
        <w:t>[34]</w:t>
      </w:r>
      <w:r>
        <w:rPr>
          <w:sz w:val="24"/>
          <w:szCs w:val="24"/>
        </w:rPr>
        <w:tab/>
      </w:r>
      <w:r w:rsidR="003E0655">
        <w:rPr>
          <w:sz w:val="24"/>
          <w:szCs w:val="24"/>
        </w:rPr>
        <w:t>It is settled authority that a party may not rely on a constitutional complaint that is not pleaded.</w:t>
      </w:r>
      <w:r w:rsidR="003E0655" w:rsidRPr="003E0655">
        <w:rPr>
          <w:rStyle w:val="FootnoteReference"/>
          <w:rFonts w:ascii="Arial" w:hAnsi="Arial"/>
          <w:sz w:val="20"/>
        </w:rPr>
        <w:footnoteReference w:id="13"/>
      </w:r>
      <w:r w:rsidR="003E0655" w:rsidRPr="003E0655">
        <w:rPr>
          <w:szCs w:val="20"/>
        </w:rPr>
        <w:t xml:space="preserve"> </w:t>
      </w:r>
      <w:r w:rsidR="003E0655">
        <w:rPr>
          <w:sz w:val="24"/>
          <w:szCs w:val="24"/>
        </w:rPr>
        <w:t>Constitutional challenges to and attacks on statutes must be explicit, with due notice to all affected.</w:t>
      </w:r>
      <w:r w:rsidR="00C8535D" w:rsidRPr="00C8535D">
        <w:rPr>
          <w:rStyle w:val="FootnoteReference"/>
          <w:rFonts w:ascii="Arial" w:hAnsi="Arial"/>
          <w:sz w:val="20"/>
        </w:rPr>
        <w:footnoteReference w:id="14"/>
      </w:r>
      <w:r w:rsidR="003E0655">
        <w:rPr>
          <w:sz w:val="24"/>
          <w:szCs w:val="24"/>
        </w:rPr>
        <w:t xml:space="preserve"> </w:t>
      </w:r>
      <w:r w:rsidR="00AA736C">
        <w:rPr>
          <w:sz w:val="24"/>
          <w:szCs w:val="24"/>
        </w:rPr>
        <w:t xml:space="preserve">This is achieved through rule 16A. </w:t>
      </w:r>
      <w:r w:rsidR="00C8535D">
        <w:rPr>
          <w:sz w:val="24"/>
          <w:szCs w:val="24"/>
        </w:rPr>
        <w:t>The purpose of rule 16A is to draw the attention of persons who may have a legitimate interest in the matter or who may be affected by the matter, of the particularity of the constitutional challenge so they may take steps to protect their interests.</w:t>
      </w:r>
      <w:r w:rsidR="00C8535D" w:rsidRPr="00C8535D">
        <w:rPr>
          <w:rStyle w:val="FootnoteReference"/>
          <w:rFonts w:ascii="Arial" w:hAnsi="Arial"/>
          <w:sz w:val="20"/>
        </w:rPr>
        <w:footnoteReference w:id="15"/>
      </w:r>
      <w:r w:rsidR="00C8535D">
        <w:rPr>
          <w:sz w:val="24"/>
          <w:szCs w:val="24"/>
        </w:rPr>
        <w:t xml:space="preserve"> </w:t>
      </w:r>
    </w:p>
    <w:p w14:paraId="7ECCA654" w14:textId="7D52E98B" w:rsidR="00B37DF8" w:rsidRDefault="00686E2A" w:rsidP="008A622D">
      <w:pPr>
        <w:rPr>
          <w:sz w:val="24"/>
          <w:szCs w:val="24"/>
        </w:rPr>
      </w:pPr>
      <w:r>
        <w:rPr>
          <w:sz w:val="24"/>
          <w:szCs w:val="24"/>
        </w:rPr>
        <w:lastRenderedPageBreak/>
        <w:t>[35]</w:t>
      </w:r>
      <w:r>
        <w:rPr>
          <w:sz w:val="24"/>
          <w:szCs w:val="24"/>
        </w:rPr>
        <w:tab/>
      </w:r>
      <w:r w:rsidR="00AA736C">
        <w:rPr>
          <w:sz w:val="24"/>
          <w:szCs w:val="24"/>
        </w:rPr>
        <w:t xml:space="preserve">The defendants did not raise their </w:t>
      </w:r>
      <w:r w:rsidR="00B37DF8">
        <w:rPr>
          <w:sz w:val="24"/>
          <w:szCs w:val="24"/>
        </w:rPr>
        <w:t xml:space="preserve">constitutional challenge </w:t>
      </w:r>
      <w:r w:rsidR="0055623E">
        <w:rPr>
          <w:sz w:val="24"/>
          <w:szCs w:val="24"/>
        </w:rPr>
        <w:t>in accordance with the relevant provisions</w:t>
      </w:r>
      <w:r w:rsidR="003E0655">
        <w:rPr>
          <w:sz w:val="24"/>
          <w:szCs w:val="24"/>
        </w:rPr>
        <w:t xml:space="preserve"> </w:t>
      </w:r>
      <w:r w:rsidR="0055623E">
        <w:rPr>
          <w:sz w:val="24"/>
          <w:szCs w:val="24"/>
        </w:rPr>
        <w:t xml:space="preserve">of the </w:t>
      </w:r>
      <w:r>
        <w:rPr>
          <w:sz w:val="24"/>
          <w:szCs w:val="24"/>
        </w:rPr>
        <w:t>rules</w:t>
      </w:r>
      <w:r w:rsidR="0055623E">
        <w:rPr>
          <w:sz w:val="24"/>
          <w:szCs w:val="24"/>
        </w:rPr>
        <w:t>, nor did the</w:t>
      </w:r>
      <w:r>
        <w:rPr>
          <w:sz w:val="24"/>
          <w:szCs w:val="24"/>
        </w:rPr>
        <w:t>y</w:t>
      </w:r>
      <w:r w:rsidR="0055623E">
        <w:rPr>
          <w:sz w:val="24"/>
          <w:szCs w:val="24"/>
        </w:rPr>
        <w:t xml:space="preserve"> seek to </w:t>
      </w:r>
      <w:r w:rsidR="009E16F9">
        <w:rPr>
          <w:sz w:val="24"/>
          <w:szCs w:val="24"/>
        </w:rPr>
        <w:t>identify any constitutional rights, save for the alleged infringement of the right to equality, which have been infringed and</w:t>
      </w:r>
      <w:r w:rsidR="00C8535D">
        <w:rPr>
          <w:sz w:val="24"/>
          <w:szCs w:val="24"/>
        </w:rPr>
        <w:t>/</w:t>
      </w:r>
      <w:r w:rsidR="00FB4947">
        <w:rPr>
          <w:sz w:val="24"/>
          <w:szCs w:val="24"/>
        </w:rPr>
        <w:t>or violated</w:t>
      </w:r>
      <w:r w:rsidR="009E16F9">
        <w:rPr>
          <w:sz w:val="24"/>
          <w:szCs w:val="24"/>
        </w:rPr>
        <w:t>.</w:t>
      </w:r>
      <w:r w:rsidR="0055623E">
        <w:rPr>
          <w:sz w:val="24"/>
          <w:szCs w:val="24"/>
        </w:rPr>
        <w:t xml:space="preserve"> </w:t>
      </w:r>
    </w:p>
    <w:p w14:paraId="43AD3C9D" w14:textId="1668FA52" w:rsidR="00F02559" w:rsidRDefault="00686E2A" w:rsidP="008A622D">
      <w:pPr>
        <w:rPr>
          <w:sz w:val="24"/>
          <w:szCs w:val="24"/>
        </w:rPr>
      </w:pPr>
      <w:r>
        <w:rPr>
          <w:sz w:val="24"/>
          <w:szCs w:val="24"/>
        </w:rPr>
        <w:t>[36]</w:t>
      </w:r>
      <w:r>
        <w:rPr>
          <w:sz w:val="24"/>
          <w:szCs w:val="24"/>
        </w:rPr>
        <w:tab/>
      </w:r>
      <w:r w:rsidR="00C8535D">
        <w:rPr>
          <w:sz w:val="24"/>
          <w:szCs w:val="24"/>
        </w:rPr>
        <w:t xml:space="preserve">Notwithstanding the procedural irregularities with the manner in which this constitutional challenge was raised, </w:t>
      </w:r>
      <w:r w:rsidR="0055623E">
        <w:rPr>
          <w:sz w:val="24"/>
          <w:szCs w:val="24"/>
        </w:rPr>
        <w:t xml:space="preserve">I am unpersuaded by the arguments advanced to distinguish the facts of this matter from those of </w:t>
      </w:r>
      <w:r w:rsidR="0055623E">
        <w:rPr>
          <w:i/>
          <w:sz w:val="24"/>
          <w:szCs w:val="24"/>
        </w:rPr>
        <w:t>Hunkydory Investments</w:t>
      </w:r>
      <w:r w:rsidR="00B4180B">
        <w:rPr>
          <w:i/>
          <w:sz w:val="24"/>
          <w:szCs w:val="24"/>
        </w:rPr>
        <w:t xml:space="preserve"> </w:t>
      </w:r>
      <w:r w:rsidR="00F02559">
        <w:rPr>
          <w:i/>
          <w:sz w:val="24"/>
          <w:szCs w:val="24"/>
        </w:rPr>
        <w:t>(</w:t>
      </w:r>
      <w:r w:rsidR="00B4180B">
        <w:rPr>
          <w:i/>
          <w:sz w:val="24"/>
          <w:szCs w:val="24"/>
        </w:rPr>
        <w:t>No1</w:t>
      </w:r>
      <w:r w:rsidR="00F02559">
        <w:rPr>
          <w:i/>
          <w:sz w:val="24"/>
          <w:szCs w:val="24"/>
        </w:rPr>
        <w:t>)</w:t>
      </w:r>
      <w:r w:rsidR="0055623E">
        <w:rPr>
          <w:i/>
          <w:sz w:val="24"/>
          <w:szCs w:val="24"/>
        </w:rPr>
        <w:t xml:space="preserve">. </w:t>
      </w:r>
      <w:r w:rsidR="00F02559">
        <w:rPr>
          <w:sz w:val="24"/>
          <w:szCs w:val="24"/>
        </w:rPr>
        <w:t xml:space="preserve">In addition to the fact that Mr De Beer’s contentions were largely </w:t>
      </w:r>
      <w:r w:rsidR="0055623E">
        <w:rPr>
          <w:sz w:val="24"/>
          <w:szCs w:val="24"/>
        </w:rPr>
        <w:t xml:space="preserve">raised for the first time in the </w:t>
      </w:r>
      <w:r w:rsidR="00403AE1">
        <w:rPr>
          <w:sz w:val="24"/>
          <w:szCs w:val="24"/>
        </w:rPr>
        <w:t>defendants’</w:t>
      </w:r>
      <w:r w:rsidR="0055623E">
        <w:rPr>
          <w:sz w:val="24"/>
          <w:szCs w:val="24"/>
        </w:rPr>
        <w:t xml:space="preserve"> heads of argument and do not appear in the </w:t>
      </w:r>
      <w:r w:rsidR="00F02559">
        <w:rPr>
          <w:sz w:val="24"/>
          <w:szCs w:val="24"/>
        </w:rPr>
        <w:t xml:space="preserve">affidavit opposing </w:t>
      </w:r>
      <w:r w:rsidR="00403AE1">
        <w:rPr>
          <w:sz w:val="24"/>
          <w:szCs w:val="24"/>
        </w:rPr>
        <w:t>summary judgment or th</w:t>
      </w:r>
      <w:r w:rsidR="00F02559">
        <w:rPr>
          <w:sz w:val="24"/>
          <w:szCs w:val="24"/>
        </w:rPr>
        <w:t>e amended plea and counterclaim, t</w:t>
      </w:r>
      <w:r w:rsidR="00403AE1">
        <w:rPr>
          <w:sz w:val="24"/>
          <w:szCs w:val="24"/>
        </w:rPr>
        <w:t xml:space="preserve">hey ignore the glaring similarity of the factual matrix. </w:t>
      </w:r>
    </w:p>
    <w:p w14:paraId="40ED86DF" w14:textId="6A218A94" w:rsidR="0055623E" w:rsidRDefault="00686E2A" w:rsidP="008A622D">
      <w:pPr>
        <w:rPr>
          <w:sz w:val="24"/>
          <w:szCs w:val="24"/>
        </w:rPr>
      </w:pPr>
      <w:r>
        <w:rPr>
          <w:sz w:val="24"/>
          <w:szCs w:val="24"/>
        </w:rPr>
        <w:t>[37]</w:t>
      </w:r>
      <w:r>
        <w:rPr>
          <w:sz w:val="24"/>
          <w:szCs w:val="24"/>
        </w:rPr>
        <w:tab/>
      </w:r>
      <w:r w:rsidR="00F02559">
        <w:rPr>
          <w:sz w:val="24"/>
          <w:szCs w:val="24"/>
        </w:rPr>
        <w:t xml:space="preserve">In </w:t>
      </w:r>
      <w:r w:rsidR="00F02559">
        <w:rPr>
          <w:i/>
          <w:sz w:val="24"/>
          <w:szCs w:val="24"/>
        </w:rPr>
        <w:t xml:space="preserve">Hunkydory Investments (No1), </w:t>
      </w:r>
      <w:r w:rsidR="00F02559" w:rsidRPr="00F02559">
        <w:rPr>
          <w:sz w:val="24"/>
          <w:szCs w:val="24"/>
        </w:rPr>
        <w:t>t</w:t>
      </w:r>
      <w:r w:rsidR="00403AE1">
        <w:rPr>
          <w:sz w:val="24"/>
          <w:szCs w:val="24"/>
        </w:rPr>
        <w:t xml:space="preserve">he company had one shareholder who argued that </w:t>
      </w:r>
      <w:r w:rsidR="00F02559">
        <w:rPr>
          <w:sz w:val="24"/>
          <w:szCs w:val="24"/>
        </w:rPr>
        <w:t xml:space="preserve">the company </w:t>
      </w:r>
      <w:r w:rsidR="00403AE1">
        <w:rPr>
          <w:sz w:val="24"/>
          <w:szCs w:val="24"/>
        </w:rPr>
        <w:t>was non-</w:t>
      </w:r>
      <w:r w:rsidR="00537730">
        <w:rPr>
          <w:sz w:val="24"/>
          <w:szCs w:val="24"/>
        </w:rPr>
        <w:t>trading and</w:t>
      </w:r>
      <w:r w:rsidR="00403AE1">
        <w:rPr>
          <w:sz w:val="24"/>
          <w:szCs w:val="24"/>
        </w:rPr>
        <w:t xml:space="preserve"> intended to </w:t>
      </w:r>
      <w:r>
        <w:rPr>
          <w:sz w:val="24"/>
          <w:szCs w:val="24"/>
        </w:rPr>
        <w:t xml:space="preserve">only </w:t>
      </w:r>
      <w:r w:rsidR="00403AE1">
        <w:rPr>
          <w:sz w:val="24"/>
          <w:szCs w:val="24"/>
        </w:rPr>
        <w:t>hold the immovable property. Therefore, there was only one controlling mind. The right to equality was argued</w:t>
      </w:r>
      <w:r w:rsidR="00533504">
        <w:rPr>
          <w:sz w:val="24"/>
          <w:szCs w:val="24"/>
        </w:rPr>
        <w:t xml:space="preserve"> and found lacking </w:t>
      </w:r>
      <w:r>
        <w:rPr>
          <w:sz w:val="24"/>
          <w:szCs w:val="24"/>
        </w:rPr>
        <w:t>and the</w:t>
      </w:r>
      <w:r w:rsidR="00403AE1">
        <w:rPr>
          <w:sz w:val="24"/>
          <w:szCs w:val="24"/>
        </w:rPr>
        <w:t xml:space="preserve"> defendants likewise failed to comply with the relevant provisions for raising a constitutional challenge. </w:t>
      </w:r>
    </w:p>
    <w:p w14:paraId="63AF13B2" w14:textId="56852230" w:rsidR="004364BA" w:rsidRPr="00537730" w:rsidRDefault="00686E2A" w:rsidP="008A622D">
      <w:pPr>
        <w:rPr>
          <w:sz w:val="24"/>
          <w:szCs w:val="24"/>
        </w:rPr>
      </w:pPr>
      <w:r>
        <w:rPr>
          <w:sz w:val="24"/>
          <w:szCs w:val="24"/>
        </w:rPr>
        <w:t>[3</w:t>
      </w:r>
      <w:r w:rsidR="005137C6">
        <w:rPr>
          <w:sz w:val="24"/>
          <w:szCs w:val="24"/>
        </w:rPr>
        <w:t>8</w:t>
      </w:r>
      <w:r>
        <w:rPr>
          <w:sz w:val="24"/>
          <w:szCs w:val="24"/>
        </w:rPr>
        <w:t>]</w:t>
      </w:r>
      <w:r>
        <w:rPr>
          <w:sz w:val="24"/>
          <w:szCs w:val="24"/>
        </w:rPr>
        <w:tab/>
      </w:r>
      <w:r w:rsidR="00DF5595">
        <w:rPr>
          <w:sz w:val="24"/>
          <w:szCs w:val="24"/>
        </w:rPr>
        <w:t>When,</w:t>
      </w:r>
      <w:r w:rsidR="00537730">
        <w:rPr>
          <w:sz w:val="24"/>
          <w:szCs w:val="24"/>
        </w:rPr>
        <w:t xml:space="preserve"> likewise </w:t>
      </w:r>
      <w:r w:rsidR="004364BA">
        <w:rPr>
          <w:sz w:val="24"/>
          <w:szCs w:val="24"/>
        </w:rPr>
        <w:t xml:space="preserve">called upon to determine the constitutionality of the exclusions of juristic persons from the protection afforded by the </w:t>
      </w:r>
      <w:r w:rsidR="00537730">
        <w:rPr>
          <w:sz w:val="24"/>
          <w:szCs w:val="24"/>
        </w:rPr>
        <w:t xml:space="preserve">NCA in </w:t>
      </w:r>
      <w:r w:rsidR="00537730">
        <w:rPr>
          <w:i/>
          <w:sz w:val="24"/>
          <w:szCs w:val="24"/>
        </w:rPr>
        <w:t>Standard Bank of South Africa Ltd v Hunkydory Investments 188 (Pty) Ltd and Others</w:t>
      </w:r>
      <w:r w:rsidR="00F02559">
        <w:rPr>
          <w:i/>
          <w:sz w:val="24"/>
          <w:szCs w:val="24"/>
        </w:rPr>
        <w:t xml:space="preserve"> (No2)</w:t>
      </w:r>
      <w:r w:rsidR="00095E5E">
        <w:rPr>
          <w:i/>
          <w:sz w:val="24"/>
          <w:szCs w:val="24"/>
        </w:rPr>
        <w:t>,</w:t>
      </w:r>
      <w:r w:rsidR="00537730" w:rsidRPr="005137C6">
        <w:rPr>
          <w:rStyle w:val="FootnoteReference"/>
          <w:rFonts w:ascii="Arial" w:hAnsi="Arial"/>
          <w:sz w:val="20"/>
        </w:rPr>
        <w:footnoteReference w:id="16"/>
      </w:r>
      <w:r w:rsidR="004364BA" w:rsidRPr="00095E5E">
        <w:rPr>
          <w:szCs w:val="20"/>
        </w:rPr>
        <w:t xml:space="preserve"> </w:t>
      </w:r>
      <w:r w:rsidR="004364BA">
        <w:rPr>
          <w:sz w:val="24"/>
          <w:szCs w:val="24"/>
        </w:rPr>
        <w:t xml:space="preserve">Rogers J </w:t>
      </w:r>
      <w:r w:rsidR="00095E5E">
        <w:rPr>
          <w:sz w:val="24"/>
          <w:szCs w:val="24"/>
        </w:rPr>
        <w:t xml:space="preserve">held </w:t>
      </w:r>
      <w:r w:rsidR="004364BA">
        <w:rPr>
          <w:sz w:val="24"/>
          <w:szCs w:val="24"/>
        </w:rPr>
        <w:t xml:space="preserve">that the finding of the court in </w:t>
      </w:r>
      <w:r w:rsidR="004364BA">
        <w:rPr>
          <w:i/>
          <w:sz w:val="24"/>
          <w:szCs w:val="24"/>
        </w:rPr>
        <w:t>Hunkdory Investments</w:t>
      </w:r>
      <w:r w:rsidR="00095E5E">
        <w:rPr>
          <w:i/>
          <w:sz w:val="24"/>
          <w:szCs w:val="24"/>
        </w:rPr>
        <w:t xml:space="preserve"> (No1)</w:t>
      </w:r>
      <w:r w:rsidR="004364BA">
        <w:rPr>
          <w:i/>
          <w:sz w:val="24"/>
          <w:szCs w:val="24"/>
        </w:rPr>
        <w:t xml:space="preserve"> </w:t>
      </w:r>
      <w:r w:rsidR="00DF5595">
        <w:rPr>
          <w:sz w:val="24"/>
          <w:szCs w:val="24"/>
        </w:rPr>
        <w:t>was definitive of this</w:t>
      </w:r>
      <w:r w:rsidR="00537730">
        <w:rPr>
          <w:sz w:val="24"/>
          <w:szCs w:val="24"/>
        </w:rPr>
        <w:t xml:space="preserve"> constitutional challenge and was unaffected by the factual distinctions that were raised. </w:t>
      </w:r>
    </w:p>
    <w:p w14:paraId="43255CBA" w14:textId="329D09EE" w:rsidR="00095E5E" w:rsidRDefault="00686E2A" w:rsidP="00095E5E">
      <w:pPr>
        <w:rPr>
          <w:sz w:val="24"/>
          <w:szCs w:val="24"/>
        </w:rPr>
      </w:pPr>
      <w:r>
        <w:rPr>
          <w:sz w:val="24"/>
          <w:szCs w:val="24"/>
        </w:rPr>
        <w:t>[</w:t>
      </w:r>
      <w:r w:rsidR="005137C6">
        <w:rPr>
          <w:sz w:val="24"/>
          <w:szCs w:val="24"/>
        </w:rPr>
        <w:t>39</w:t>
      </w:r>
      <w:r>
        <w:rPr>
          <w:sz w:val="24"/>
          <w:szCs w:val="24"/>
        </w:rPr>
        <w:t>]</w:t>
      </w:r>
      <w:r>
        <w:rPr>
          <w:sz w:val="24"/>
          <w:szCs w:val="24"/>
        </w:rPr>
        <w:tab/>
      </w:r>
      <w:r w:rsidR="00095E5E">
        <w:rPr>
          <w:sz w:val="24"/>
          <w:szCs w:val="24"/>
        </w:rPr>
        <w:t>It is trite that the constitutional validity of legislation is an objective matter unaffected by a particular litigant’s circumstances.</w:t>
      </w:r>
      <w:r w:rsidR="00095E5E" w:rsidRPr="008D233B">
        <w:rPr>
          <w:rStyle w:val="FootnoteReference"/>
          <w:rFonts w:ascii="Arial" w:hAnsi="Arial"/>
          <w:sz w:val="20"/>
        </w:rPr>
        <w:footnoteReference w:id="17"/>
      </w:r>
      <w:r w:rsidR="00095E5E">
        <w:rPr>
          <w:sz w:val="24"/>
          <w:szCs w:val="24"/>
        </w:rPr>
        <w:t xml:space="preserve"> </w:t>
      </w:r>
      <w:r w:rsidR="00F02559">
        <w:rPr>
          <w:sz w:val="24"/>
          <w:szCs w:val="24"/>
        </w:rPr>
        <w:t>G</w:t>
      </w:r>
      <w:r w:rsidR="00095E5E">
        <w:rPr>
          <w:sz w:val="24"/>
          <w:szCs w:val="24"/>
        </w:rPr>
        <w:t xml:space="preserve">iven </w:t>
      </w:r>
      <w:r w:rsidR="005137C6">
        <w:rPr>
          <w:sz w:val="24"/>
          <w:szCs w:val="24"/>
        </w:rPr>
        <w:t>that,</w:t>
      </w:r>
      <w:r w:rsidR="00F02559">
        <w:rPr>
          <w:sz w:val="24"/>
          <w:szCs w:val="24"/>
        </w:rPr>
        <w:t xml:space="preserve"> </w:t>
      </w:r>
      <w:r w:rsidR="00AC6339">
        <w:rPr>
          <w:sz w:val="24"/>
          <w:szCs w:val="24"/>
        </w:rPr>
        <w:t>t</w:t>
      </w:r>
      <w:r w:rsidR="00F02559">
        <w:rPr>
          <w:sz w:val="24"/>
          <w:szCs w:val="24"/>
        </w:rPr>
        <w:t xml:space="preserve">his particular challenge to the NCA has already been determined and </w:t>
      </w:r>
      <w:r w:rsidR="00AC6339">
        <w:rPr>
          <w:sz w:val="24"/>
          <w:szCs w:val="24"/>
        </w:rPr>
        <w:t xml:space="preserve">further that </w:t>
      </w:r>
      <w:r w:rsidR="00095E5E">
        <w:rPr>
          <w:sz w:val="24"/>
          <w:szCs w:val="24"/>
        </w:rPr>
        <w:t>the defendants’ entire argument is premised on the particular</w:t>
      </w:r>
      <w:r w:rsidR="00AC6339">
        <w:rPr>
          <w:sz w:val="24"/>
          <w:szCs w:val="24"/>
        </w:rPr>
        <w:t xml:space="preserve"> factual</w:t>
      </w:r>
      <w:r w:rsidR="00095E5E">
        <w:rPr>
          <w:sz w:val="24"/>
          <w:szCs w:val="24"/>
        </w:rPr>
        <w:t xml:space="preserve"> circu</w:t>
      </w:r>
      <w:r w:rsidR="00DF5595">
        <w:rPr>
          <w:sz w:val="24"/>
          <w:szCs w:val="24"/>
        </w:rPr>
        <w:t>mstances of this matter, I have</w:t>
      </w:r>
      <w:r w:rsidR="00FB4947">
        <w:rPr>
          <w:sz w:val="24"/>
          <w:szCs w:val="24"/>
        </w:rPr>
        <w:t xml:space="preserve"> no hesitation in</w:t>
      </w:r>
      <w:r w:rsidR="00095E5E">
        <w:rPr>
          <w:sz w:val="24"/>
          <w:szCs w:val="24"/>
        </w:rPr>
        <w:t xml:space="preserve"> finding that the constitutional challenge to the NCA</w:t>
      </w:r>
      <w:r w:rsidR="00AC6339">
        <w:rPr>
          <w:sz w:val="24"/>
          <w:szCs w:val="24"/>
        </w:rPr>
        <w:t>, as presented</w:t>
      </w:r>
      <w:r w:rsidR="00095E5E">
        <w:rPr>
          <w:sz w:val="24"/>
          <w:szCs w:val="24"/>
        </w:rPr>
        <w:t xml:space="preserve"> is bad in law.</w:t>
      </w:r>
    </w:p>
    <w:p w14:paraId="1B5D3447" w14:textId="26EDAA42" w:rsidR="00F81EF9" w:rsidRDefault="00686E2A" w:rsidP="00F81EF9">
      <w:pPr>
        <w:rPr>
          <w:sz w:val="24"/>
          <w:szCs w:val="24"/>
        </w:rPr>
      </w:pPr>
      <w:r>
        <w:rPr>
          <w:sz w:val="24"/>
          <w:szCs w:val="24"/>
        </w:rPr>
        <w:lastRenderedPageBreak/>
        <w:t>[4</w:t>
      </w:r>
      <w:r w:rsidR="005137C6">
        <w:rPr>
          <w:sz w:val="24"/>
          <w:szCs w:val="24"/>
        </w:rPr>
        <w:t>0</w:t>
      </w:r>
      <w:r>
        <w:rPr>
          <w:sz w:val="24"/>
          <w:szCs w:val="24"/>
        </w:rPr>
        <w:t>]</w:t>
      </w:r>
      <w:r>
        <w:rPr>
          <w:sz w:val="24"/>
          <w:szCs w:val="24"/>
        </w:rPr>
        <w:tab/>
      </w:r>
      <w:r w:rsidR="00F81EF9">
        <w:rPr>
          <w:sz w:val="24"/>
          <w:szCs w:val="24"/>
        </w:rPr>
        <w:t>Accordingly,</w:t>
      </w:r>
      <w:r w:rsidR="00AC6339">
        <w:rPr>
          <w:sz w:val="24"/>
          <w:szCs w:val="24"/>
        </w:rPr>
        <w:t xml:space="preserve"> the</w:t>
      </w:r>
      <w:r w:rsidR="00F81EF9">
        <w:rPr>
          <w:sz w:val="24"/>
          <w:szCs w:val="24"/>
        </w:rPr>
        <w:t xml:space="preserve"> NCA does not apply to the loan agreement and is not applicable to </w:t>
      </w:r>
      <w:r w:rsidR="00AC6339">
        <w:rPr>
          <w:sz w:val="24"/>
          <w:szCs w:val="24"/>
        </w:rPr>
        <w:t xml:space="preserve">the </w:t>
      </w:r>
      <w:r w:rsidR="00F81EF9">
        <w:rPr>
          <w:sz w:val="24"/>
          <w:szCs w:val="24"/>
        </w:rPr>
        <w:t>second</w:t>
      </w:r>
      <w:r w:rsidR="00AC6339">
        <w:rPr>
          <w:sz w:val="24"/>
          <w:szCs w:val="24"/>
        </w:rPr>
        <w:t xml:space="preserve"> defendant</w:t>
      </w:r>
      <w:r w:rsidR="00F81EF9">
        <w:rPr>
          <w:sz w:val="24"/>
          <w:szCs w:val="24"/>
        </w:rPr>
        <w:t xml:space="preserve"> and </w:t>
      </w:r>
      <w:r w:rsidR="00C7242D">
        <w:rPr>
          <w:sz w:val="24"/>
          <w:szCs w:val="24"/>
        </w:rPr>
        <w:t>Fobian</w:t>
      </w:r>
      <w:r w:rsidR="00AC6339">
        <w:rPr>
          <w:sz w:val="24"/>
          <w:szCs w:val="24"/>
        </w:rPr>
        <w:t>’</w:t>
      </w:r>
      <w:r w:rsidR="00F81EF9">
        <w:rPr>
          <w:sz w:val="24"/>
          <w:szCs w:val="24"/>
        </w:rPr>
        <w:t>s suretyship agreements either</w:t>
      </w:r>
      <w:r w:rsidR="00AC6339">
        <w:rPr>
          <w:sz w:val="24"/>
          <w:szCs w:val="24"/>
        </w:rPr>
        <w:t>,</w:t>
      </w:r>
      <w:r w:rsidR="00F81EF9">
        <w:rPr>
          <w:sz w:val="24"/>
          <w:szCs w:val="24"/>
        </w:rPr>
        <w:t xml:space="preserve"> since these are pursuant to a credit </w:t>
      </w:r>
      <w:r w:rsidR="00AC6339">
        <w:rPr>
          <w:sz w:val="24"/>
          <w:szCs w:val="24"/>
        </w:rPr>
        <w:t xml:space="preserve">agreement </w:t>
      </w:r>
      <w:r w:rsidR="00F81EF9">
        <w:rPr>
          <w:sz w:val="24"/>
          <w:szCs w:val="24"/>
        </w:rPr>
        <w:t>to which the NCA does not apply.</w:t>
      </w:r>
      <w:r w:rsidR="00F81EF9" w:rsidRPr="00F81EF9">
        <w:rPr>
          <w:rStyle w:val="FootnoteReference"/>
          <w:rFonts w:ascii="Arial" w:hAnsi="Arial"/>
          <w:sz w:val="20"/>
        </w:rPr>
        <w:footnoteReference w:id="18"/>
      </w:r>
      <w:r w:rsidR="00F81EF9">
        <w:rPr>
          <w:sz w:val="24"/>
          <w:szCs w:val="24"/>
        </w:rPr>
        <w:t xml:space="preserve"> </w:t>
      </w:r>
    </w:p>
    <w:p w14:paraId="578DA64A" w14:textId="1BA12D2C" w:rsidR="00F81EF9" w:rsidRPr="00AC6339" w:rsidRDefault="00AC6339" w:rsidP="008A622D">
      <w:pPr>
        <w:rPr>
          <w:b/>
          <w:sz w:val="24"/>
          <w:szCs w:val="24"/>
        </w:rPr>
      </w:pPr>
      <w:r>
        <w:rPr>
          <w:b/>
          <w:sz w:val="24"/>
          <w:szCs w:val="24"/>
        </w:rPr>
        <w:t>Reckless credit</w:t>
      </w:r>
    </w:p>
    <w:p w14:paraId="5508FFF6" w14:textId="66B5A1D6" w:rsidR="00D02EF6" w:rsidRDefault="00686E2A" w:rsidP="008A622D">
      <w:pPr>
        <w:rPr>
          <w:sz w:val="24"/>
          <w:szCs w:val="24"/>
        </w:rPr>
      </w:pPr>
      <w:r>
        <w:rPr>
          <w:sz w:val="24"/>
          <w:szCs w:val="24"/>
        </w:rPr>
        <w:t>[4</w:t>
      </w:r>
      <w:r w:rsidR="005137C6">
        <w:rPr>
          <w:sz w:val="24"/>
          <w:szCs w:val="24"/>
        </w:rPr>
        <w:t>1</w:t>
      </w:r>
      <w:r>
        <w:rPr>
          <w:sz w:val="24"/>
          <w:szCs w:val="24"/>
        </w:rPr>
        <w:t>]</w:t>
      </w:r>
      <w:r>
        <w:rPr>
          <w:sz w:val="24"/>
          <w:szCs w:val="24"/>
        </w:rPr>
        <w:tab/>
      </w:r>
      <w:r w:rsidR="00095E5E">
        <w:rPr>
          <w:sz w:val="24"/>
          <w:szCs w:val="24"/>
        </w:rPr>
        <w:t>Although my finding that the NCA is not applicable is dispositive of the ancillary issues regarding reckless credit, I</w:t>
      </w:r>
      <w:r w:rsidR="004D4541">
        <w:rPr>
          <w:sz w:val="24"/>
          <w:szCs w:val="24"/>
        </w:rPr>
        <w:t xml:space="preserve"> agree with Mr Scholtz that</w:t>
      </w:r>
      <w:r w:rsidR="00D02EF6">
        <w:rPr>
          <w:sz w:val="24"/>
          <w:szCs w:val="24"/>
        </w:rPr>
        <w:t xml:space="preserve"> the provisions of the loan agreement and in particular clause 11.1 preclude a defence on this basis. It provides that any valuation of the immovable property by the bank is for it to determine the value of the security of the loan</w:t>
      </w:r>
      <w:r w:rsidR="00AC6339">
        <w:rPr>
          <w:sz w:val="24"/>
          <w:szCs w:val="24"/>
        </w:rPr>
        <w:t xml:space="preserve"> agreement</w:t>
      </w:r>
      <w:r w:rsidR="00D02EF6">
        <w:rPr>
          <w:sz w:val="24"/>
          <w:szCs w:val="24"/>
        </w:rPr>
        <w:t xml:space="preserve"> and is not intended</w:t>
      </w:r>
      <w:r w:rsidR="00AC6339">
        <w:rPr>
          <w:sz w:val="24"/>
          <w:szCs w:val="24"/>
        </w:rPr>
        <w:t xml:space="preserve"> to</w:t>
      </w:r>
      <w:r w:rsidR="00D02EF6">
        <w:rPr>
          <w:sz w:val="24"/>
          <w:szCs w:val="24"/>
        </w:rPr>
        <w:t xml:space="preserve"> represent a present or future value of the property.  </w:t>
      </w:r>
    </w:p>
    <w:p w14:paraId="40DDBB1C" w14:textId="7DAA59F0" w:rsidR="00D968F0" w:rsidRDefault="00686E2A" w:rsidP="008A622D">
      <w:pPr>
        <w:rPr>
          <w:sz w:val="24"/>
          <w:szCs w:val="24"/>
        </w:rPr>
      </w:pPr>
      <w:r>
        <w:rPr>
          <w:sz w:val="24"/>
          <w:szCs w:val="24"/>
        </w:rPr>
        <w:t>[4</w:t>
      </w:r>
      <w:r w:rsidR="005137C6">
        <w:rPr>
          <w:sz w:val="24"/>
          <w:szCs w:val="24"/>
        </w:rPr>
        <w:t>2</w:t>
      </w:r>
      <w:r>
        <w:rPr>
          <w:sz w:val="24"/>
          <w:szCs w:val="24"/>
        </w:rPr>
        <w:t>]</w:t>
      </w:r>
      <w:r>
        <w:rPr>
          <w:sz w:val="24"/>
          <w:szCs w:val="24"/>
        </w:rPr>
        <w:tab/>
      </w:r>
      <w:r w:rsidR="00D02EF6">
        <w:rPr>
          <w:sz w:val="24"/>
          <w:szCs w:val="24"/>
        </w:rPr>
        <w:t xml:space="preserve">This issue </w:t>
      </w:r>
      <w:r w:rsidR="00D968F0">
        <w:rPr>
          <w:sz w:val="24"/>
          <w:szCs w:val="24"/>
        </w:rPr>
        <w:t xml:space="preserve">was </w:t>
      </w:r>
      <w:r w:rsidR="00D02EF6">
        <w:rPr>
          <w:sz w:val="24"/>
          <w:szCs w:val="24"/>
        </w:rPr>
        <w:t xml:space="preserve">settled in </w:t>
      </w:r>
      <w:r w:rsidR="00D02EF6">
        <w:rPr>
          <w:i/>
          <w:sz w:val="24"/>
          <w:szCs w:val="24"/>
        </w:rPr>
        <w:t>Absa Bank Limited v Kganakga</w:t>
      </w:r>
      <w:r w:rsidR="00D02EF6" w:rsidRPr="00B4180B">
        <w:rPr>
          <w:rStyle w:val="FootnoteReference"/>
          <w:rFonts w:ascii="Arial" w:hAnsi="Arial"/>
          <w:sz w:val="20"/>
        </w:rPr>
        <w:footnoteReference w:id="19"/>
      </w:r>
      <w:r w:rsidR="00D02EF6">
        <w:rPr>
          <w:sz w:val="24"/>
          <w:szCs w:val="24"/>
        </w:rPr>
        <w:t xml:space="preserve"> </w:t>
      </w:r>
      <w:r w:rsidR="00B4180B">
        <w:rPr>
          <w:sz w:val="24"/>
          <w:szCs w:val="24"/>
        </w:rPr>
        <w:t xml:space="preserve">where the court held that the NCA is intended to regulate </w:t>
      </w:r>
      <w:r w:rsidR="00BF1812">
        <w:rPr>
          <w:sz w:val="24"/>
          <w:szCs w:val="24"/>
        </w:rPr>
        <w:t xml:space="preserve">credit </w:t>
      </w:r>
      <w:r w:rsidR="00B4180B">
        <w:rPr>
          <w:sz w:val="24"/>
          <w:szCs w:val="24"/>
        </w:rPr>
        <w:t xml:space="preserve">agreements </w:t>
      </w:r>
      <w:r w:rsidR="00BF1812">
        <w:rPr>
          <w:sz w:val="24"/>
          <w:szCs w:val="24"/>
        </w:rPr>
        <w:t xml:space="preserve">but not other interactions such as offers to purchase or sale agreements because </w:t>
      </w:r>
      <w:r w:rsidR="00D968F0">
        <w:rPr>
          <w:sz w:val="24"/>
          <w:szCs w:val="24"/>
        </w:rPr>
        <w:t xml:space="preserve">it </w:t>
      </w:r>
      <w:r w:rsidR="00BF1812">
        <w:rPr>
          <w:sz w:val="24"/>
          <w:szCs w:val="24"/>
        </w:rPr>
        <w:t xml:space="preserve">is not concerned with other commercial engagements between persons or entities. Satchwell J </w:t>
      </w:r>
      <w:r w:rsidR="00D968F0">
        <w:rPr>
          <w:sz w:val="24"/>
          <w:szCs w:val="24"/>
        </w:rPr>
        <w:t xml:space="preserve">found that: </w:t>
      </w:r>
    </w:p>
    <w:p w14:paraId="69A5A74D" w14:textId="4908B937" w:rsidR="00D02EF6" w:rsidRPr="00D968F0" w:rsidRDefault="00BF1812" w:rsidP="008A622D">
      <w:pPr>
        <w:rPr>
          <w:i/>
          <w:sz w:val="22"/>
        </w:rPr>
      </w:pPr>
      <w:r w:rsidRPr="00D968F0">
        <w:rPr>
          <w:i/>
          <w:sz w:val="22"/>
        </w:rPr>
        <w:t xml:space="preserve">‘The difference between the value of that which </w:t>
      </w:r>
      <w:r w:rsidR="00D968F0">
        <w:rPr>
          <w:i/>
          <w:sz w:val="22"/>
        </w:rPr>
        <w:t>[the defendant]</w:t>
      </w:r>
      <w:r w:rsidRPr="00D968F0">
        <w:rPr>
          <w:i/>
          <w:sz w:val="22"/>
        </w:rPr>
        <w:t xml:space="preserve"> bought at the time that she bought it and the value which it had to </w:t>
      </w:r>
      <w:r w:rsidR="00D968F0" w:rsidRPr="00D968F0">
        <w:rPr>
          <w:i/>
          <w:sz w:val="22"/>
        </w:rPr>
        <w:t xml:space="preserve">and for her versus the value of </w:t>
      </w:r>
      <w:r w:rsidRPr="00D968F0">
        <w:rPr>
          <w:i/>
          <w:sz w:val="22"/>
        </w:rPr>
        <w:t>that same merx to other persons is not a risk for purposes of the granting of credit. If she had bought shares in Anglo American i</w:t>
      </w:r>
      <w:r w:rsidR="00D968F0" w:rsidRPr="00D968F0">
        <w:rPr>
          <w:i/>
          <w:sz w:val="22"/>
        </w:rPr>
        <w:t>n 2007 with monies loaned from the bank could she now complain that the bank did not ascertain that those shares would decline in value out of all recognition? The answer is, of course, no…</w:t>
      </w:r>
    </w:p>
    <w:p w14:paraId="5604A6D6" w14:textId="716CD9B4" w:rsidR="00D968F0" w:rsidRPr="00AC6339" w:rsidRDefault="00D968F0" w:rsidP="008A622D">
      <w:pPr>
        <w:rPr>
          <w:sz w:val="22"/>
        </w:rPr>
      </w:pPr>
      <w:r w:rsidRPr="00D968F0">
        <w:rPr>
          <w:i/>
          <w:sz w:val="22"/>
        </w:rPr>
        <w:t>If the credit provider was to examine and assess every hope of profit in every acquisition of property (immovable or otherwise), funding of studies (fine arts versus medicine) and so on,</w:t>
      </w:r>
      <w:r>
        <w:rPr>
          <w:i/>
          <w:sz w:val="24"/>
          <w:szCs w:val="24"/>
        </w:rPr>
        <w:t xml:space="preserve"> </w:t>
      </w:r>
      <w:r w:rsidRPr="00D968F0">
        <w:rPr>
          <w:i/>
          <w:sz w:val="22"/>
        </w:rPr>
        <w:t>the credit providers would be intruding into areas which the Legislature can never have envisaged.’</w:t>
      </w:r>
      <w:r w:rsidR="00AC6339" w:rsidRPr="00AC6339">
        <w:rPr>
          <w:rStyle w:val="FootnoteReference"/>
          <w:rFonts w:ascii="Arial" w:hAnsi="Arial"/>
          <w:sz w:val="20"/>
        </w:rPr>
        <w:footnoteReference w:id="20"/>
      </w:r>
    </w:p>
    <w:p w14:paraId="2F5AD305" w14:textId="5D47BEDE" w:rsidR="007D74F4" w:rsidRDefault="00686E2A" w:rsidP="008A622D">
      <w:pPr>
        <w:rPr>
          <w:sz w:val="24"/>
          <w:szCs w:val="24"/>
        </w:rPr>
      </w:pPr>
      <w:r>
        <w:rPr>
          <w:sz w:val="24"/>
          <w:szCs w:val="24"/>
        </w:rPr>
        <w:t>[4</w:t>
      </w:r>
      <w:r w:rsidR="005137C6">
        <w:rPr>
          <w:sz w:val="24"/>
          <w:szCs w:val="24"/>
        </w:rPr>
        <w:t>3</w:t>
      </w:r>
      <w:r>
        <w:rPr>
          <w:sz w:val="24"/>
          <w:szCs w:val="24"/>
        </w:rPr>
        <w:t>]</w:t>
      </w:r>
      <w:r>
        <w:rPr>
          <w:sz w:val="24"/>
          <w:szCs w:val="24"/>
        </w:rPr>
        <w:tab/>
      </w:r>
      <w:r w:rsidR="00C7242D">
        <w:rPr>
          <w:sz w:val="24"/>
          <w:szCs w:val="24"/>
        </w:rPr>
        <w:t>Fobian</w:t>
      </w:r>
      <w:r w:rsidR="007D74F4">
        <w:rPr>
          <w:sz w:val="24"/>
          <w:szCs w:val="24"/>
        </w:rPr>
        <w:t xml:space="preserve"> similarly complains that the immovable property has depreciated in value and contends that such decline in value should be borne by the plaintiffs.</w:t>
      </w:r>
      <w:r w:rsidR="003005DB">
        <w:rPr>
          <w:sz w:val="24"/>
          <w:szCs w:val="24"/>
        </w:rPr>
        <w:t xml:space="preserve"> Therefore, even i</w:t>
      </w:r>
      <w:r w:rsidR="00EB78E2">
        <w:rPr>
          <w:sz w:val="24"/>
          <w:szCs w:val="24"/>
        </w:rPr>
        <w:t xml:space="preserve">f the NCA were applicable, </w:t>
      </w:r>
      <w:r w:rsidR="003005DB">
        <w:rPr>
          <w:sz w:val="24"/>
          <w:szCs w:val="24"/>
        </w:rPr>
        <w:t xml:space="preserve">a defence based on reckless credit </w:t>
      </w:r>
      <w:r w:rsidR="00EB78E2">
        <w:rPr>
          <w:sz w:val="24"/>
          <w:szCs w:val="24"/>
        </w:rPr>
        <w:t xml:space="preserve">would not succeed. It is </w:t>
      </w:r>
      <w:r w:rsidR="007D74F4">
        <w:rPr>
          <w:sz w:val="24"/>
          <w:szCs w:val="24"/>
        </w:rPr>
        <w:t>misplaced and unsustainable</w:t>
      </w:r>
      <w:r w:rsidR="00EB78E2">
        <w:rPr>
          <w:sz w:val="24"/>
          <w:szCs w:val="24"/>
        </w:rPr>
        <w:t>.</w:t>
      </w:r>
      <w:r w:rsidR="007D74F4">
        <w:rPr>
          <w:sz w:val="24"/>
          <w:szCs w:val="24"/>
        </w:rPr>
        <w:t xml:space="preserve"> </w:t>
      </w:r>
    </w:p>
    <w:p w14:paraId="73818647" w14:textId="47C11859" w:rsidR="00EB78E2" w:rsidRDefault="00EB78E2" w:rsidP="008A622D">
      <w:pPr>
        <w:rPr>
          <w:sz w:val="24"/>
          <w:szCs w:val="24"/>
        </w:rPr>
      </w:pPr>
      <w:r>
        <w:rPr>
          <w:b/>
          <w:sz w:val="24"/>
          <w:szCs w:val="24"/>
        </w:rPr>
        <w:t>Rule 46A</w:t>
      </w:r>
    </w:p>
    <w:p w14:paraId="444EDB0B" w14:textId="757E4B2E" w:rsidR="000D71D2" w:rsidRDefault="00686E2A" w:rsidP="000D71D2">
      <w:pPr>
        <w:rPr>
          <w:sz w:val="24"/>
          <w:szCs w:val="24"/>
        </w:rPr>
      </w:pPr>
      <w:r>
        <w:rPr>
          <w:sz w:val="24"/>
          <w:szCs w:val="24"/>
        </w:rPr>
        <w:t>[4</w:t>
      </w:r>
      <w:r w:rsidR="005137C6">
        <w:rPr>
          <w:sz w:val="24"/>
          <w:szCs w:val="24"/>
        </w:rPr>
        <w:t>4</w:t>
      </w:r>
      <w:r>
        <w:rPr>
          <w:sz w:val="24"/>
          <w:szCs w:val="24"/>
        </w:rPr>
        <w:t>]</w:t>
      </w:r>
      <w:r>
        <w:rPr>
          <w:sz w:val="24"/>
          <w:szCs w:val="24"/>
        </w:rPr>
        <w:tab/>
      </w:r>
      <w:r w:rsidR="007D74F4">
        <w:rPr>
          <w:sz w:val="24"/>
          <w:szCs w:val="24"/>
        </w:rPr>
        <w:t xml:space="preserve">I turn now to consider the </w:t>
      </w:r>
      <w:r w:rsidR="00FB4947">
        <w:rPr>
          <w:sz w:val="24"/>
          <w:szCs w:val="24"/>
        </w:rPr>
        <w:t>defendants’</w:t>
      </w:r>
      <w:r w:rsidR="007D74F4">
        <w:rPr>
          <w:sz w:val="24"/>
          <w:szCs w:val="24"/>
        </w:rPr>
        <w:t xml:space="preserve"> submission that the immovable property may not be declared specially executable because it is currently occupied by Mr Chetty and his </w:t>
      </w:r>
      <w:r w:rsidR="007D74F4">
        <w:rPr>
          <w:sz w:val="24"/>
          <w:szCs w:val="24"/>
        </w:rPr>
        <w:lastRenderedPageBreak/>
        <w:t xml:space="preserve">family. </w:t>
      </w:r>
      <w:r w:rsidR="00EB78E2">
        <w:rPr>
          <w:sz w:val="24"/>
          <w:szCs w:val="24"/>
        </w:rPr>
        <w:t xml:space="preserve">The defendants </w:t>
      </w:r>
      <w:r w:rsidR="000D71D2">
        <w:rPr>
          <w:sz w:val="24"/>
          <w:szCs w:val="24"/>
        </w:rPr>
        <w:t>concede that none of the defendants occupy the immovable property</w:t>
      </w:r>
      <w:r w:rsidR="00EB78E2">
        <w:rPr>
          <w:sz w:val="24"/>
          <w:szCs w:val="24"/>
        </w:rPr>
        <w:t xml:space="preserve"> but contend that Mr Chetty and his family should not be unfairly displaced. </w:t>
      </w:r>
    </w:p>
    <w:p w14:paraId="2E4C9A4A" w14:textId="6E4F8420" w:rsidR="007D74F4" w:rsidRDefault="00686E2A" w:rsidP="008A622D">
      <w:pPr>
        <w:rPr>
          <w:sz w:val="24"/>
          <w:szCs w:val="24"/>
        </w:rPr>
      </w:pPr>
      <w:r>
        <w:rPr>
          <w:sz w:val="24"/>
          <w:szCs w:val="24"/>
        </w:rPr>
        <w:t>[4</w:t>
      </w:r>
      <w:r w:rsidR="005137C6">
        <w:rPr>
          <w:sz w:val="24"/>
          <w:szCs w:val="24"/>
        </w:rPr>
        <w:t>5</w:t>
      </w:r>
      <w:r>
        <w:rPr>
          <w:sz w:val="24"/>
          <w:szCs w:val="24"/>
        </w:rPr>
        <w:t>]</w:t>
      </w:r>
      <w:r>
        <w:rPr>
          <w:sz w:val="24"/>
          <w:szCs w:val="24"/>
        </w:rPr>
        <w:tab/>
      </w:r>
      <w:r w:rsidR="00EB78E2">
        <w:rPr>
          <w:sz w:val="24"/>
          <w:szCs w:val="24"/>
        </w:rPr>
        <w:t>Our c</w:t>
      </w:r>
      <w:r w:rsidR="007D74F4">
        <w:rPr>
          <w:sz w:val="24"/>
          <w:szCs w:val="24"/>
        </w:rPr>
        <w:t xml:space="preserve">ourts are required to interpret rule 46A purposively </w:t>
      </w:r>
      <w:r w:rsidR="00574D5C">
        <w:rPr>
          <w:sz w:val="24"/>
          <w:szCs w:val="24"/>
        </w:rPr>
        <w:t>against the backdrop of the right to access to housing.</w:t>
      </w:r>
      <w:r w:rsidR="00574D5C" w:rsidRPr="00386AF4">
        <w:rPr>
          <w:rStyle w:val="FootnoteReference"/>
          <w:rFonts w:ascii="Arial" w:hAnsi="Arial"/>
          <w:sz w:val="20"/>
        </w:rPr>
        <w:footnoteReference w:id="21"/>
      </w:r>
      <w:r w:rsidR="00386AF4">
        <w:rPr>
          <w:sz w:val="24"/>
          <w:szCs w:val="24"/>
        </w:rPr>
        <w:t xml:space="preserve"> </w:t>
      </w:r>
      <w:r w:rsidR="00EB78E2">
        <w:rPr>
          <w:sz w:val="24"/>
          <w:szCs w:val="24"/>
        </w:rPr>
        <w:t>H</w:t>
      </w:r>
      <w:r w:rsidR="00386AF4">
        <w:rPr>
          <w:sz w:val="24"/>
          <w:szCs w:val="24"/>
        </w:rPr>
        <w:t>owever</w:t>
      </w:r>
      <w:r w:rsidR="00EB78E2">
        <w:rPr>
          <w:sz w:val="24"/>
          <w:szCs w:val="24"/>
        </w:rPr>
        <w:t xml:space="preserve">, it has also been </w:t>
      </w:r>
      <w:r w:rsidR="00386AF4">
        <w:rPr>
          <w:sz w:val="24"/>
          <w:szCs w:val="24"/>
        </w:rPr>
        <w:t xml:space="preserve">acknowledged </w:t>
      </w:r>
      <w:r w:rsidR="00EB78E2">
        <w:rPr>
          <w:sz w:val="24"/>
          <w:szCs w:val="24"/>
        </w:rPr>
        <w:t xml:space="preserve">by our courts </w:t>
      </w:r>
      <w:r w:rsidR="00386AF4">
        <w:rPr>
          <w:sz w:val="24"/>
          <w:szCs w:val="24"/>
        </w:rPr>
        <w:t>that s26(1) of the Constitution is not engaged or compromised in every case where execution is levied against immovable property.</w:t>
      </w:r>
      <w:r w:rsidR="00386AF4" w:rsidRPr="00CD131E">
        <w:rPr>
          <w:rStyle w:val="FootnoteReference"/>
          <w:rFonts w:ascii="Arial" w:hAnsi="Arial"/>
          <w:sz w:val="20"/>
        </w:rPr>
        <w:footnoteReference w:id="22"/>
      </w:r>
      <w:r w:rsidR="00CD131E">
        <w:rPr>
          <w:sz w:val="24"/>
          <w:szCs w:val="24"/>
        </w:rPr>
        <w:t xml:space="preserve"> The SCA has reiterated that rule 46A is intended to protect indigent debtors who are in danger of losing their homes and to give effect to s26 of the Constitution.</w:t>
      </w:r>
      <w:r w:rsidR="00CD131E" w:rsidRPr="00CD131E">
        <w:rPr>
          <w:rStyle w:val="FootnoteReference"/>
          <w:rFonts w:ascii="Arial" w:hAnsi="Arial"/>
          <w:sz w:val="20"/>
        </w:rPr>
        <w:footnoteReference w:id="23"/>
      </w:r>
    </w:p>
    <w:p w14:paraId="610DED44" w14:textId="689B55EC" w:rsidR="00EB78E2" w:rsidRDefault="00686E2A" w:rsidP="008A622D">
      <w:pPr>
        <w:rPr>
          <w:sz w:val="24"/>
          <w:szCs w:val="24"/>
        </w:rPr>
      </w:pPr>
      <w:r>
        <w:rPr>
          <w:sz w:val="24"/>
          <w:szCs w:val="24"/>
        </w:rPr>
        <w:t>[4</w:t>
      </w:r>
      <w:r w:rsidR="005137C6">
        <w:rPr>
          <w:sz w:val="24"/>
          <w:szCs w:val="24"/>
        </w:rPr>
        <w:t>6</w:t>
      </w:r>
      <w:r>
        <w:rPr>
          <w:sz w:val="24"/>
          <w:szCs w:val="24"/>
        </w:rPr>
        <w:t>]</w:t>
      </w:r>
      <w:r>
        <w:rPr>
          <w:sz w:val="24"/>
          <w:szCs w:val="24"/>
        </w:rPr>
        <w:tab/>
      </w:r>
      <w:r w:rsidR="00CD131E">
        <w:rPr>
          <w:sz w:val="24"/>
          <w:szCs w:val="24"/>
        </w:rPr>
        <w:t xml:space="preserve">The defendants have expressly conceded that the immovable property is not occupied by any of the defendants. The current occupier </w:t>
      </w:r>
      <w:r w:rsidR="006D029E">
        <w:rPr>
          <w:sz w:val="24"/>
          <w:szCs w:val="24"/>
        </w:rPr>
        <w:t xml:space="preserve">has ostensibly paid a </w:t>
      </w:r>
      <w:r w:rsidR="00EB78E2">
        <w:rPr>
          <w:sz w:val="24"/>
          <w:szCs w:val="24"/>
        </w:rPr>
        <w:t xml:space="preserve">conditional </w:t>
      </w:r>
      <w:r w:rsidR="006D029E">
        <w:rPr>
          <w:sz w:val="24"/>
          <w:szCs w:val="24"/>
        </w:rPr>
        <w:t xml:space="preserve">purchase price of R5million to the defendants for the </w:t>
      </w:r>
      <w:r w:rsidR="00EB78E2">
        <w:rPr>
          <w:sz w:val="24"/>
          <w:szCs w:val="24"/>
        </w:rPr>
        <w:t xml:space="preserve">immovable </w:t>
      </w:r>
      <w:r w:rsidR="006D029E">
        <w:rPr>
          <w:sz w:val="24"/>
          <w:szCs w:val="24"/>
        </w:rPr>
        <w:t>property, which</w:t>
      </w:r>
      <w:r w:rsidR="00EB78E2">
        <w:rPr>
          <w:sz w:val="24"/>
          <w:szCs w:val="24"/>
        </w:rPr>
        <w:t xml:space="preserve"> may be </w:t>
      </w:r>
      <w:r w:rsidR="006D029E">
        <w:rPr>
          <w:sz w:val="24"/>
          <w:szCs w:val="24"/>
        </w:rPr>
        <w:t xml:space="preserve">described as situate in an affluent residential estate. </w:t>
      </w:r>
    </w:p>
    <w:p w14:paraId="50A99E97" w14:textId="603C01A3" w:rsidR="00B56216" w:rsidRDefault="00686E2A" w:rsidP="008A622D">
      <w:pPr>
        <w:rPr>
          <w:sz w:val="24"/>
          <w:szCs w:val="24"/>
        </w:rPr>
      </w:pPr>
      <w:r>
        <w:rPr>
          <w:sz w:val="24"/>
          <w:szCs w:val="24"/>
        </w:rPr>
        <w:t>[4</w:t>
      </w:r>
      <w:r w:rsidR="005137C6">
        <w:rPr>
          <w:sz w:val="24"/>
          <w:szCs w:val="24"/>
        </w:rPr>
        <w:t>7</w:t>
      </w:r>
      <w:r>
        <w:rPr>
          <w:sz w:val="24"/>
          <w:szCs w:val="24"/>
        </w:rPr>
        <w:t>]</w:t>
      </w:r>
      <w:r>
        <w:rPr>
          <w:sz w:val="24"/>
          <w:szCs w:val="24"/>
        </w:rPr>
        <w:tab/>
      </w:r>
      <w:r w:rsidR="006D029E">
        <w:rPr>
          <w:sz w:val="24"/>
          <w:szCs w:val="24"/>
        </w:rPr>
        <w:t>The rights of occupiers of property are regulated and protected by the Prevention of Illegal Eviction from and Unlawful Occupation of Land Act (</w:t>
      </w:r>
      <w:r w:rsidR="003005DB">
        <w:rPr>
          <w:sz w:val="24"/>
          <w:szCs w:val="24"/>
        </w:rPr>
        <w:t xml:space="preserve">the </w:t>
      </w:r>
      <w:r w:rsidR="006D029E">
        <w:rPr>
          <w:sz w:val="24"/>
          <w:szCs w:val="24"/>
        </w:rPr>
        <w:t>PIE Act).</w:t>
      </w:r>
      <w:r w:rsidR="006D029E" w:rsidRPr="006D029E">
        <w:rPr>
          <w:rStyle w:val="FootnoteReference"/>
          <w:rFonts w:ascii="Arial" w:hAnsi="Arial"/>
          <w:sz w:val="20"/>
        </w:rPr>
        <w:footnoteReference w:id="24"/>
      </w:r>
      <w:r w:rsidR="004155AB">
        <w:rPr>
          <w:sz w:val="24"/>
          <w:szCs w:val="24"/>
        </w:rPr>
        <w:t xml:space="preserve"> </w:t>
      </w:r>
      <w:r w:rsidR="00953E9E">
        <w:rPr>
          <w:sz w:val="24"/>
          <w:szCs w:val="24"/>
        </w:rPr>
        <w:t>The defendants have not traversed the considerations that the Constitutional Court regarded as significant to an assessment whether execution against immovable property would constitute an unjustified violation of an occupier’s right to access to housing.</w:t>
      </w:r>
      <w:r w:rsidR="00953E9E" w:rsidRPr="00953E9E">
        <w:rPr>
          <w:rStyle w:val="FootnoteReference"/>
          <w:rFonts w:ascii="Arial" w:hAnsi="Arial"/>
          <w:sz w:val="20"/>
        </w:rPr>
        <w:footnoteReference w:id="25"/>
      </w:r>
      <w:r w:rsidR="00953E9E">
        <w:rPr>
          <w:sz w:val="24"/>
          <w:szCs w:val="24"/>
        </w:rPr>
        <w:t xml:space="preserve"> </w:t>
      </w:r>
    </w:p>
    <w:p w14:paraId="44335B7C" w14:textId="4ABF85A3" w:rsidR="00D83B3A" w:rsidRDefault="00686E2A" w:rsidP="008A622D">
      <w:pPr>
        <w:rPr>
          <w:sz w:val="24"/>
          <w:szCs w:val="24"/>
        </w:rPr>
      </w:pPr>
      <w:r>
        <w:rPr>
          <w:sz w:val="24"/>
          <w:szCs w:val="24"/>
        </w:rPr>
        <w:t>[4</w:t>
      </w:r>
      <w:r w:rsidR="005137C6">
        <w:rPr>
          <w:sz w:val="24"/>
          <w:szCs w:val="24"/>
        </w:rPr>
        <w:t>8</w:t>
      </w:r>
      <w:r>
        <w:rPr>
          <w:sz w:val="24"/>
          <w:szCs w:val="24"/>
        </w:rPr>
        <w:t>]</w:t>
      </w:r>
      <w:r>
        <w:rPr>
          <w:sz w:val="24"/>
          <w:szCs w:val="24"/>
        </w:rPr>
        <w:tab/>
      </w:r>
      <w:r w:rsidR="006D029E">
        <w:rPr>
          <w:sz w:val="24"/>
          <w:szCs w:val="24"/>
        </w:rPr>
        <w:t xml:space="preserve">In the circumstances, I am of the view that </w:t>
      </w:r>
      <w:r w:rsidR="004155AB">
        <w:rPr>
          <w:sz w:val="24"/>
          <w:szCs w:val="24"/>
        </w:rPr>
        <w:t xml:space="preserve">Mr Chetty, as </w:t>
      </w:r>
      <w:r w:rsidR="006D029E">
        <w:rPr>
          <w:sz w:val="24"/>
          <w:szCs w:val="24"/>
        </w:rPr>
        <w:t>the occupier of the immovable property</w:t>
      </w:r>
      <w:r w:rsidR="005137C6">
        <w:rPr>
          <w:sz w:val="24"/>
          <w:szCs w:val="24"/>
        </w:rPr>
        <w:t>,</w:t>
      </w:r>
      <w:r w:rsidR="006D029E">
        <w:rPr>
          <w:sz w:val="24"/>
          <w:szCs w:val="24"/>
        </w:rPr>
        <w:t xml:space="preserve"> has sufficient legislative protection under the PIE Act and the circumstances of this application do not engage the provisions of rule 46A</w:t>
      </w:r>
      <w:r w:rsidR="00D83B3A">
        <w:rPr>
          <w:sz w:val="24"/>
          <w:szCs w:val="24"/>
        </w:rPr>
        <w:t>.</w:t>
      </w:r>
      <w:r w:rsidR="004155AB">
        <w:rPr>
          <w:sz w:val="24"/>
          <w:szCs w:val="24"/>
        </w:rPr>
        <w:t xml:space="preserve"> </w:t>
      </w:r>
    </w:p>
    <w:p w14:paraId="753D3F58" w14:textId="5F529D15" w:rsidR="004155AB" w:rsidRDefault="004155AB" w:rsidP="008A622D">
      <w:pPr>
        <w:rPr>
          <w:sz w:val="24"/>
          <w:szCs w:val="24"/>
        </w:rPr>
      </w:pPr>
      <w:r>
        <w:rPr>
          <w:b/>
          <w:sz w:val="24"/>
          <w:szCs w:val="24"/>
        </w:rPr>
        <w:t>Authority of plaintiff</w:t>
      </w:r>
    </w:p>
    <w:p w14:paraId="2E8C23C7" w14:textId="3055C186" w:rsidR="006D029E" w:rsidRDefault="00686E2A" w:rsidP="008A622D">
      <w:pPr>
        <w:rPr>
          <w:sz w:val="24"/>
          <w:szCs w:val="24"/>
        </w:rPr>
      </w:pPr>
      <w:r>
        <w:rPr>
          <w:sz w:val="24"/>
          <w:szCs w:val="24"/>
        </w:rPr>
        <w:t>[</w:t>
      </w:r>
      <w:r w:rsidR="005137C6">
        <w:rPr>
          <w:sz w:val="24"/>
          <w:szCs w:val="24"/>
        </w:rPr>
        <w:t>49</w:t>
      </w:r>
      <w:r>
        <w:rPr>
          <w:sz w:val="24"/>
          <w:szCs w:val="24"/>
        </w:rPr>
        <w:t>]</w:t>
      </w:r>
      <w:r>
        <w:rPr>
          <w:sz w:val="24"/>
          <w:szCs w:val="24"/>
        </w:rPr>
        <w:tab/>
      </w:r>
      <w:r w:rsidR="00D83B3A">
        <w:rPr>
          <w:sz w:val="24"/>
          <w:szCs w:val="24"/>
        </w:rPr>
        <w:t xml:space="preserve">In so far as it may be necessary to address the </w:t>
      </w:r>
      <w:r w:rsidR="004155AB">
        <w:rPr>
          <w:sz w:val="24"/>
          <w:szCs w:val="24"/>
        </w:rPr>
        <w:t>argument</w:t>
      </w:r>
      <w:r w:rsidR="00D83B3A">
        <w:rPr>
          <w:sz w:val="24"/>
          <w:szCs w:val="24"/>
        </w:rPr>
        <w:t xml:space="preserve"> raised by the defendants that the application is a nullity because the authority of the deponent to the affidavits has expired, such </w:t>
      </w:r>
      <w:r w:rsidR="004155AB">
        <w:rPr>
          <w:sz w:val="24"/>
          <w:szCs w:val="24"/>
        </w:rPr>
        <w:t>argument</w:t>
      </w:r>
      <w:r w:rsidR="00D83B3A">
        <w:rPr>
          <w:sz w:val="24"/>
          <w:szCs w:val="24"/>
        </w:rPr>
        <w:t xml:space="preserve"> is rejected. The defendants expressly admit the deponent’s authority in the affidavit opposing summary judgment. Leave has not been sought to</w:t>
      </w:r>
      <w:r w:rsidR="004155AB">
        <w:rPr>
          <w:sz w:val="24"/>
          <w:szCs w:val="24"/>
        </w:rPr>
        <w:t xml:space="preserve"> </w:t>
      </w:r>
      <w:r w:rsidR="004155AB">
        <w:rPr>
          <w:sz w:val="24"/>
          <w:szCs w:val="24"/>
        </w:rPr>
        <w:lastRenderedPageBreak/>
        <w:t>withdraw this admission and this</w:t>
      </w:r>
      <w:r w:rsidR="00D83B3A">
        <w:rPr>
          <w:sz w:val="24"/>
          <w:szCs w:val="24"/>
        </w:rPr>
        <w:t xml:space="preserve"> argument was raised for the first time</w:t>
      </w:r>
      <w:r w:rsidR="00B56216">
        <w:rPr>
          <w:sz w:val="24"/>
          <w:szCs w:val="24"/>
        </w:rPr>
        <w:t xml:space="preserve"> </w:t>
      </w:r>
      <w:r w:rsidR="00D83B3A">
        <w:rPr>
          <w:sz w:val="24"/>
          <w:szCs w:val="24"/>
        </w:rPr>
        <w:t xml:space="preserve">at the hearing of this application. </w:t>
      </w:r>
    </w:p>
    <w:p w14:paraId="49EF5C12" w14:textId="6031DCD6" w:rsidR="004155AB" w:rsidRDefault="004155AB" w:rsidP="008A622D">
      <w:pPr>
        <w:rPr>
          <w:sz w:val="24"/>
          <w:szCs w:val="24"/>
        </w:rPr>
      </w:pPr>
      <w:r>
        <w:rPr>
          <w:b/>
          <w:sz w:val="24"/>
          <w:szCs w:val="24"/>
        </w:rPr>
        <w:t>Non-compliance with the rules</w:t>
      </w:r>
    </w:p>
    <w:p w14:paraId="61EDCD0D" w14:textId="08E13049" w:rsidR="003005DB" w:rsidRDefault="005137C6" w:rsidP="008A622D">
      <w:pPr>
        <w:rPr>
          <w:sz w:val="24"/>
          <w:szCs w:val="24"/>
        </w:rPr>
      </w:pPr>
      <w:r>
        <w:rPr>
          <w:sz w:val="24"/>
          <w:szCs w:val="24"/>
        </w:rPr>
        <w:t>[50</w:t>
      </w:r>
      <w:r w:rsidR="00686E2A">
        <w:rPr>
          <w:sz w:val="24"/>
          <w:szCs w:val="24"/>
        </w:rPr>
        <w:t>]</w:t>
      </w:r>
      <w:r w:rsidR="00686E2A">
        <w:rPr>
          <w:sz w:val="24"/>
          <w:szCs w:val="24"/>
        </w:rPr>
        <w:tab/>
      </w:r>
      <w:r w:rsidR="003E5D27">
        <w:rPr>
          <w:sz w:val="24"/>
          <w:szCs w:val="24"/>
        </w:rPr>
        <w:t xml:space="preserve">The purpose of procedural rules of court has always </w:t>
      </w:r>
      <w:r w:rsidR="00B17E19">
        <w:rPr>
          <w:sz w:val="24"/>
          <w:szCs w:val="24"/>
        </w:rPr>
        <w:t>been,</w:t>
      </w:r>
      <w:r w:rsidR="003E5D27">
        <w:rPr>
          <w:sz w:val="24"/>
          <w:szCs w:val="24"/>
        </w:rPr>
        <w:t xml:space="preserve"> and remains the efficient administration of justice.</w:t>
      </w:r>
      <w:r w:rsidR="00B17E19" w:rsidRPr="00B17E19">
        <w:rPr>
          <w:rStyle w:val="FootnoteReference"/>
          <w:rFonts w:ascii="Arial" w:hAnsi="Arial"/>
          <w:sz w:val="20"/>
        </w:rPr>
        <w:footnoteReference w:id="26"/>
      </w:r>
      <w:r w:rsidR="003E5D27">
        <w:rPr>
          <w:sz w:val="24"/>
          <w:szCs w:val="24"/>
        </w:rPr>
        <w:t xml:space="preserve"> </w:t>
      </w:r>
      <w:r w:rsidR="00B17E19">
        <w:rPr>
          <w:sz w:val="24"/>
          <w:szCs w:val="24"/>
        </w:rPr>
        <w:t xml:space="preserve">It is trite that the court does not exist for the rules but the rules for court. However, inasmuch as a court is afforded a discretion to condone non-compliance with </w:t>
      </w:r>
      <w:r w:rsidR="0067761E">
        <w:rPr>
          <w:sz w:val="24"/>
          <w:szCs w:val="24"/>
        </w:rPr>
        <w:t xml:space="preserve">the </w:t>
      </w:r>
      <w:r w:rsidR="00B17E19">
        <w:rPr>
          <w:sz w:val="24"/>
          <w:szCs w:val="24"/>
        </w:rPr>
        <w:t>procedural rules of court, such condonatio</w:t>
      </w:r>
      <w:r w:rsidR="00EF1AFD">
        <w:rPr>
          <w:sz w:val="24"/>
          <w:szCs w:val="24"/>
        </w:rPr>
        <w:t>n is not merely for the asking and must at a minimum be sought by the litigant who has</w:t>
      </w:r>
      <w:r w:rsidR="00ED503E">
        <w:rPr>
          <w:sz w:val="24"/>
          <w:szCs w:val="24"/>
        </w:rPr>
        <w:t xml:space="preserve"> failed to comply with the rule/s in question</w:t>
      </w:r>
      <w:r w:rsidR="00EF1AFD">
        <w:rPr>
          <w:sz w:val="24"/>
          <w:szCs w:val="24"/>
        </w:rPr>
        <w:t>.</w:t>
      </w:r>
    </w:p>
    <w:p w14:paraId="246EA250" w14:textId="2971358C" w:rsidR="00A76879" w:rsidRDefault="00686E2A" w:rsidP="008A622D">
      <w:pPr>
        <w:rPr>
          <w:sz w:val="24"/>
          <w:szCs w:val="24"/>
        </w:rPr>
      </w:pPr>
      <w:r>
        <w:rPr>
          <w:sz w:val="24"/>
          <w:szCs w:val="24"/>
        </w:rPr>
        <w:t>[5</w:t>
      </w:r>
      <w:r w:rsidR="005137C6">
        <w:rPr>
          <w:sz w:val="24"/>
          <w:szCs w:val="24"/>
        </w:rPr>
        <w:t>1</w:t>
      </w:r>
      <w:r>
        <w:rPr>
          <w:sz w:val="24"/>
          <w:szCs w:val="24"/>
        </w:rPr>
        <w:t>]</w:t>
      </w:r>
      <w:r>
        <w:rPr>
          <w:sz w:val="24"/>
          <w:szCs w:val="24"/>
        </w:rPr>
        <w:tab/>
      </w:r>
      <w:r w:rsidR="00EF1AFD">
        <w:rPr>
          <w:sz w:val="24"/>
          <w:szCs w:val="24"/>
        </w:rPr>
        <w:t>The nature and extent of t</w:t>
      </w:r>
      <w:r w:rsidR="003005DB">
        <w:rPr>
          <w:sz w:val="24"/>
          <w:szCs w:val="24"/>
        </w:rPr>
        <w:t xml:space="preserve">he </w:t>
      </w:r>
      <w:r w:rsidR="005137C6">
        <w:rPr>
          <w:sz w:val="24"/>
          <w:szCs w:val="24"/>
        </w:rPr>
        <w:t>defendants’</w:t>
      </w:r>
      <w:r w:rsidR="003005DB">
        <w:rPr>
          <w:sz w:val="24"/>
          <w:szCs w:val="24"/>
        </w:rPr>
        <w:t xml:space="preserve"> egregious </w:t>
      </w:r>
      <w:r w:rsidR="00EF1AFD">
        <w:rPr>
          <w:sz w:val="24"/>
          <w:szCs w:val="24"/>
        </w:rPr>
        <w:t>disregard for compliance with the</w:t>
      </w:r>
      <w:r w:rsidR="00ED503E">
        <w:rPr>
          <w:sz w:val="24"/>
          <w:szCs w:val="24"/>
        </w:rPr>
        <w:t xml:space="preserve"> procedural </w:t>
      </w:r>
      <w:r w:rsidR="00EF1AFD">
        <w:rPr>
          <w:sz w:val="24"/>
          <w:szCs w:val="24"/>
        </w:rPr>
        <w:t>rules of court</w:t>
      </w:r>
      <w:r w:rsidR="00A76879">
        <w:rPr>
          <w:sz w:val="24"/>
          <w:szCs w:val="24"/>
        </w:rPr>
        <w:t xml:space="preserve"> has compelled me to note the nature of these transgressions and my opprobrium of such conduct. These relate to the procedure, or lack thereof, used to challenge the </w:t>
      </w:r>
      <w:r w:rsidR="00C66FB5">
        <w:rPr>
          <w:sz w:val="24"/>
          <w:szCs w:val="24"/>
        </w:rPr>
        <w:t>plaintiffs’</w:t>
      </w:r>
      <w:r w:rsidR="00A76879">
        <w:rPr>
          <w:sz w:val="24"/>
          <w:szCs w:val="24"/>
        </w:rPr>
        <w:t xml:space="preserve"> supplementary affidavit; </w:t>
      </w:r>
      <w:r w:rsidR="00EF1AFD">
        <w:rPr>
          <w:sz w:val="24"/>
          <w:szCs w:val="24"/>
        </w:rPr>
        <w:t>the assertion of a constit</w:t>
      </w:r>
      <w:r w:rsidR="00A76879">
        <w:rPr>
          <w:sz w:val="24"/>
          <w:szCs w:val="24"/>
        </w:rPr>
        <w:t>ut</w:t>
      </w:r>
      <w:r w:rsidR="00EF1AFD">
        <w:rPr>
          <w:sz w:val="24"/>
          <w:szCs w:val="24"/>
        </w:rPr>
        <w:t>ional challenge; the withdrawal</w:t>
      </w:r>
      <w:r w:rsidR="00ED503E">
        <w:rPr>
          <w:sz w:val="24"/>
          <w:szCs w:val="24"/>
        </w:rPr>
        <w:t xml:space="preserve"> (or failure to)</w:t>
      </w:r>
      <w:r w:rsidR="00EF1AFD">
        <w:rPr>
          <w:sz w:val="24"/>
          <w:szCs w:val="24"/>
        </w:rPr>
        <w:t xml:space="preserve"> of admissions that have been set out in pleadings and practice notes; </w:t>
      </w:r>
      <w:r w:rsidR="00B56216">
        <w:rPr>
          <w:sz w:val="24"/>
          <w:szCs w:val="24"/>
        </w:rPr>
        <w:t xml:space="preserve">and </w:t>
      </w:r>
      <w:r w:rsidR="00EF1AFD">
        <w:rPr>
          <w:sz w:val="24"/>
          <w:szCs w:val="24"/>
        </w:rPr>
        <w:t xml:space="preserve">the submission of arguments </w:t>
      </w:r>
      <w:r w:rsidR="00ED503E">
        <w:rPr>
          <w:sz w:val="24"/>
          <w:szCs w:val="24"/>
        </w:rPr>
        <w:t xml:space="preserve">in heads of argument and during oral argument when these are </w:t>
      </w:r>
      <w:r w:rsidR="00EF1AFD">
        <w:rPr>
          <w:sz w:val="24"/>
          <w:szCs w:val="24"/>
        </w:rPr>
        <w:t xml:space="preserve">not foreshadowed in </w:t>
      </w:r>
      <w:r w:rsidR="00B56216">
        <w:rPr>
          <w:sz w:val="24"/>
          <w:szCs w:val="24"/>
        </w:rPr>
        <w:t xml:space="preserve">the </w:t>
      </w:r>
      <w:r w:rsidR="00EF1AFD">
        <w:rPr>
          <w:sz w:val="24"/>
          <w:szCs w:val="24"/>
        </w:rPr>
        <w:t>pleadings</w:t>
      </w:r>
      <w:r w:rsidR="00B56216">
        <w:rPr>
          <w:sz w:val="24"/>
          <w:szCs w:val="24"/>
        </w:rPr>
        <w:t>.</w:t>
      </w:r>
      <w:r w:rsidR="00EF1AFD">
        <w:rPr>
          <w:sz w:val="24"/>
          <w:szCs w:val="24"/>
        </w:rPr>
        <w:t xml:space="preserve"> </w:t>
      </w:r>
    </w:p>
    <w:p w14:paraId="4BB42342" w14:textId="2AE31CA9" w:rsidR="003E5D27" w:rsidRDefault="005137C6" w:rsidP="008A622D">
      <w:pPr>
        <w:rPr>
          <w:sz w:val="24"/>
          <w:szCs w:val="24"/>
        </w:rPr>
      </w:pPr>
      <w:r>
        <w:rPr>
          <w:sz w:val="24"/>
          <w:szCs w:val="24"/>
        </w:rPr>
        <w:t>[52</w:t>
      </w:r>
      <w:r w:rsidR="00686E2A">
        <w:rPr>
          <w:sz w:val="24"/>
          <w:szCs w:val="24"/>
        </w:rPr>
        <w:t>]</w:t>
      </w:r>
      <w:r w:rsidR="00686E2A">
        <w:rPr>
          <w:sz w:val="24"/>
          <w:szCs w:val="24"/>
        </w:rPr>
        <w:tab/>
      </w:r>
      <w:r w:rsidR="00A560E1">
        <w:rPr>
          <w:sz w:val="24"/>
          <w:szCs w:val="24"/>
        </w:rPr>
        <w:t>Save for my ultimate findings in this matter, the combined effect of these multiple transgressions would have been prejudicial to the plaintiffs and would have interfered with the expeditious and inexpensive finalization of this matter.</w:t>
      </w:r>
      <w:r w:rsidR="0067761E">
        <w:rPr>
          <w:sz w:val="24"/>
          <w:szCs w:val="24"/>
        </w:rPr>
        <w:t xml:space="preserve"> That is a</w:t>
      </w:r>
      <w:r w:rsidR="00A560E1">
        <w:rPr>
          <w:sz w:val="24"/>
          <w:szCs w:val="24"/>
        </w:rPr>
        <w:t xml:space="preserve"> purpose rule 32 is intended to achieve in circumstances where defendants do not have a bona fide defence and have not disclosed any triable issues.</w:t>
      </w:r>
    </w:p>
    <w:p w14:paraId="06D7B97F" w14:textId="4080336F" w:rsidR="00A560E1" w:rsidRDefault="00C41312" w:rsidP="008A622D">
      <w:pPr>
        <w:rPr>
          <w:sz w:val="24"/>
          <w:szCs w:val="24"/>
        </w:rPr>
      </w:pPr>
      <w:r>
        <w:rPr>
          <w:b/>
          <w:sz w:val="24"/>
          <w:szCs w:val="24"/>
        </w:rPr>
        <w:t xml:space="preserve">Costs and order </w:t>
      </w:r>
    </w:p>
    <w:p w14:paraId="0689D89B" w14:textId="3D3B5979" w:rsidR="00953E9E" w:rsidRDefault="00A368FD" w:rsidP="008A622D">
      <w:pPr>
        <w:rPr>
          <w:sz w:val="24"/>
          <w:szCs w:val="24"/>
        </w:rPr>
      </w:pPr>
      <w:r>
        <w:rPr>
          <w:sz w:val="24"/>
          <w:szCs w:val="24"/>
        </w:rPr>
        <w:t>[5</w:t>
      </w:r>
      <w:r w:rsidR="005137C6">
        <w:rPr>
          <w:sz w:val="24"/>
          <w:szCs w:val="24"/>
        </w:rPr>
        <w:t>3</w:t>
      </w:r>
      <w:r>
        <w:rPr>
          <w:sz w:val="24"/>
          <w:szCs w:val="24"/>
        </w:rPr>
        <w:t>]</w:t>
      </w:r>
      <w:r>
        <w:rPr>
          <w:sz w:val="24"/>
          <w:szCs w:val="24"/>
        </w:rPr>
        <w:tab/>
      </w:r>
      <w:r w:rsidR="00A560E1">
        <w:rPr>
          <w:sz w:val="24"/>
          <w:szCs w:val="24"/>
        </w:rPr>
        <w:t xml:space="preserve">For the reasons provided, </w:t>
      </w:r>
      <w:r w:rsidR="00953E9E">
        <w:rPr>
          <w:sz w:val="24"/>
          <w:szCs w:val="24"/>
        </w:rPr>
        <w:t xml:space="preserve">I am </w:t>
      </w:r>
      <w:r w:rsidR="00A560E1">
        <w:rPr>
          <w:sz w:val="24"/>
          <w:szCs w:val="24"/>
        </w:rPr>
        <w:t xml:space="preserve">satisfied that </w:t>
      </w:r>
      <w:r w:rsidR="00953E9E">
        <w:rPr>
          <w:sz w:val="24"/>
          <w:szCs w:val="24"/>
        </w:rPr>
        <w:t>the defences r</w:t>
      </w:r>
      <w:r w:rsidR="00CC1A35">
        <w:rPr>
          <w:sz w:val="24"/>
          <w:szCs w:val="24"/>
        </w:rPr>
        <w:t xml:space="preserve">aised </w:t>
      </w:r>
      <w:r w:rsidR="00A560E1">
        <w:rPr>
          <w:sz w:val="24"/>
          <w:szCs w:val="24"/>
        </w:rPr>
        <w:t xml:space="preserve">by the defendants </w:t>
      </w:r>
      <w:r w:rsidR="00CC1A35">
        <w:rPr>
          <w:sz w:val="24"/>
          <w:szCs w:val="24"/>
        </w:rPr>
        <w:t>are without merit and disclose no bone fide defence or triable issue</w:t>
      </w:r>
      <w:r w:rsidR="005137C6">
        <w:rPr>
          <w:sz w:val="24"/>
          <w:szCs w:val="24"/>
        </w:rPr>
        <w:t>s</w:t>
      </w:r>
      <w:r w:rsidR="00CC1A35">
        <w:rPr>
          <w:sz w:val="24"/>
          <w:szCs w:val="24"/>
        </w:rPr>
        <w:t xml:space="preserve">. </w:t>
      </w:r>
      <w:r w:rsidR="00A560E1">
        <w:rPr>
          <w:sz w:val="24"/>
          <w:szCs w:val="24"/>
        </w:rPr>
        <w:t>The plaintiffs are entitled to judgment as claimed and punitive cost</w:t>
      </w:r>
      <w:r w:rsidR="00ED503E">
        <w:rPr>
          <w:sz w:val="24"/>
          <w:szCs w:val="24"/>
        </w:rPr>
        <w:t>s</w:t>
      </w:r>
      <w:r w:rsidR="00A560E1">
        <w:rPr>
          <w:sz w:val="24"/>
          <w:szCs w:val="24"/>
        </w:rPr>
        <w:t xml:space="preserve"> on the scale provided for in the loan agreement. </w:t>
      </w:r>
      <w:r w:rsidR="00CC1A35">
        <w:rPr>
          <w:sz w:val="24"/>
          <w:szCs w:val="24"/>
        </w:rPr>
        <w:t xml:space="preserve"> </w:t>
      </w:r>
    </w:p>
    <w:p w14:paraId="3B262D31" w14:textId="4FDF70EE" w:rsidR="00D83B3A" w:rsidRDefault="00A368FD" w:rsidP="008A622D">
      <w:pPr>
        <w:rPr>
          <w:sz w:val="24"/>
          <w:szCs w:val="24"/>
        </w:rPr>
      </w:pPr>
      <w:r>
        <w:rPr>
          <w:sz w:val="24"/>
          <w:szCs w:val="24"/>
        </w:rPr>
        <w:t>[5</w:t>
      </w:r>
      <w:r w:rsidR="005137C6">
        <w:rPr>
          <w:sz w:val="24"/>
          <w:szCs w:val="24"/>
        </w:rPr>
        <w:t>4</w:t>
      </w:r>
      <w:r>
        <w:rPr>
          <w:sz w:val="24"/>
          <w:szCs w:val="24"/>
        </w:rPr>
        <w:t>]</w:t>
      </w:r>
      <w:r>
        <w:rPr>
          <w:sz w:val="24"/>
          <w:szCs w:val="24"/>
        </w:rPr>
        <w:tab/>
      </w:r>
      <w:r w:rsidR="00D83B3A">
        <w:rPr>
          <w:sz w:val="24"/>
          <w:szCs w:val="24"/>
        </w:rPr>
        <w:t xml:space="preserve">In the </w:t>
      </w:r>
      <w:r w:rsidR="00953E9E">
        <w:rPr>
          <w:sz w:val="24"/>
          <w:szCs w:val="24"/>
        </w:rPr>
        <w:t>result</w:t>
      </w:r>
      <w:r w:rsidR="00CC1A35">
        <w:rPr>
          <w:sz w:val="24"/>
          <w:szCs w:val="24"/>
        </w:rPr>
        <w:t>, I make the following order:</w:t>
      </w:r>
    </w:p>
    <w:p w14:paraId="7C68D7E5" w14:textId="01D69BFC" w:rsidR="00217F53" w:rsidRDefault="00217F53" w:rsidP="00217F53">
      <w:pPr>
        <w:pStyle w:val="ListParagraph"/>
        <w:numPr>
          <w:ilvl w:val="0"/>
          <w:numId w:val="50"/>
        </w:numPr>
        <w:rPr>
          <w:sz w:val="24"/>
          <w:szCs w:val="24"/>
        </w:rPr>
      </w:pPr>
      <w:r w:rsidRPr="00217F53">
        <w:rPr>
          <w:sz w:val="24"/>
          <w:szCs w:val="24"/>
        </w:rPr>
        <w:t xml:space="preserve">Summary judgment is granted against the first, second and </w:t>
      </w:r>
      <w:r w:rsidR="004155AB">
        <w:rPr>
          <w:sz w:val="24"/>
          <w:szCs w:val="24"/>
        </w:rPr>
        <w:t xml:space="preserve">third </w:t>
      </w:r>
      <w:r w:rsidR="00A560E1">
        <w:rPr>
          <w:sz w:val="24"/>
          <w:szCs w:val="24"/>
        </w:rPr>
        <w:t>defendants</w:t>
      </w:r>
      <w:r w:rsidRPr="00217F53">
        <w:rPr>
          <w:sz w:val="24"/>
          <w:szCs w:val="24"/>
        </w:rPr>
        <w:t>, jointly and severally, the one paying the other</w:t>
      </w:r>
      <w:r w:rsidR="00031D48">
        <w:rPr>
          <w:sz w:val="24"/>
          <w:szCs w:val="24"/>
        </w:rPr>
        <w:t>s</w:t>
      </w:r>
      <w:r w:rsidRPr="00217F53">
        <w:rPr>
          <w:sz w:val="24"/>
          <w:szCs w:val="24"/>
        </w:rPr>
        <w:t xml:space="preserve"> to be absolved for: </w:t>
      </w:r>
    </w:p>
    <w:p w14:paraId="1C2E3A01" w14:textId="77777777" w:rsidR="00217F53" w:rsidRPr="00217F53" w:rsidRDefault="00217F53" w:rsidP="00217F53">
      <w:pPr>
        <w:pStyle w:val="ListParagraph"/>
        <w:rPr>
          <w:sz w:val="24"/>
          <w:szCs w:val="24"/>
        </w:rPr>
      </w:pPr>
    </w:p>
    <w:p w14:paraId="6A378377" w14:textId="56150E53" w:rsidR="00217F53" w:rsidRDefault="00CC1A35" w:rsidP="00217F53">
      <w:pPr>
        <w:pStyle w:val="ListParagraph"/>
        <w:numPr>
          <w:ilvl w:val="0"/>
          <w:numId w:val="51"/>
        </w:numPr>
        <w:rPr>
          <w:sz w:val="24"/>
          <w:szCs w:val="24"/>
        </w:rPr>
      </w:pPr>
      <w:r w:rsidRPr="00217F53">
        <w:rPr>
          <w:sz w:val="24"/>
          <w:szCs w:val="24"/>
        </w:rPr>
        <w:t xml:space="preserve">Payment </w:t>
      </w:r>
      <w:r w:rsidR="00217F53">
        <w:rPr>
          <w:sz w:val="24"/>
          <w:szCs w:val="24"/>
        </w:rPr>
        <w:t>o</w:t>
      </w:r>
      <w:r w:rsidRPr="00217F53">
        <w:rPr>
          <w:sz w:val="24"/>
          <w:szCs w:val="24"/>
        </w:rPr>
        <w:t>f the sum of R7,599,0</w:t>
      </w:r>
      <w:r w:rsidR="00217F53">
        <w:rPr>
          <w:sz w:val="24"/>
          <w:szCs w:val="24"/>
        </w:rPr>
        <w:t>1</w:t>
      </w:r>
      <w:r w:rsidRPr="00217F53">
        <w:rPr>
          <w:sz w:val="24"/>
          <w:szCs w:val="24"/>
        </w:rPr>
        <w:t>6.25 (seven million, five hundred and ninety-nine thousand and sixteen rand, and twent</w:t>
      </w:r>
      <w:r w:rsidR="00217F53">
        <w:rPr>
          <w:sz w:val="24"/>
          <w:szCs w:val="24"/>
        </w:rPr>
        <w:t xml:space="preserve">y </w:t>
      </w:r>
      <w:r w:rsidRPr="00217F53">
        <w:rPr>
          <w:sz w:val="24"/>
          <w:szCs w:val="24"/>
        </w:rPr>
        <w:t>five cents)</w:t>
      </w:r>
      <w:r w:rsidR="004C3DBA">
        <w:rPr>
          <w:sz w:val="24"/>
          <w:szCs w:val="24"/>
        </w:rPr>
        <w:t>, together with interest at the rate of 10.40% per annum from 22 January 201</w:t>
      </w:r>
      <w:r w:rsidR="00385243">
        <w:rPr>
          <w:sz w:val="24"/>
          <w:szCs w:val="24"/>
        </w:rPr>
        <w:t>9</w:t>
      </w:r>
      <w:r w:rsidR="004C3DBA">
        <w:rPr>
          <w:sz w:val="24"/>
          <w:szCs w:val="24"/>
        </w:rPr>
        <w:t xml:space="preserve"> to date of final payment, both dates inclusive</w:t>
      </w:r>
      <w:r w:rsidRPr="00217F53">
        <w:rPr>
          <w:sz w:val="24"/>
          <w:szCs w:val="24"/>
        </w:rPr>
        <w:t xml:space="preserve">; </w:t>
      </w:r>
    </w:p>
    <w:p w14:paraId="5EFF1AC6" w14:textId="77777777" w:rsidR="00217F53" w:rsidRDefault="00217F53" w:rsidP="00217F53">
      <w:pPr>
        <w:pStyle w:val="ListParagraph"/>
        <w:rPr>
          <w:sz w:val="24"/>
          <w:szCs w:val="24"/>
        </w:rPr>
      </w:pPr>
    </w:p>
    <w:p w14:paraId="4A82FE97" w14:textId="049B7B43" w:rsidR="00CC1A35" w:rsidRDefault="00CC1A35" w:rsidP="00217F53">
      <w:pPr>
        <w:pStyle w:val="ListParagraph"/>
        <w:numPr>
          <w:ilvl w:val="0"/>
          <w:numId w:val="52"/>
        </w:numPr>
        <w:ind w:left="709" w:hanging="425"/>
        <w:rPr>
          <w:sz w:val="24"/>
          <w:szCs w:val="24"/>
        </w:rPr>
      </w:pPr>
      <w:r w:rsidRPr="00217F53">
        <w:rPr>
          <w:sz w:val="24"/>
          <w:szCs w:val="24"/>
        </w:rPr>
        <w:t xml:space="preserve">the liability of the </w:t>
      </w:r>
      <w:r w:rsidR="00217F53">
        <w:rPr>
          <w:sz w:val="24"/>
          <w:szCs w:val="24"/>
        </w:rPr>
        <w:t>s</w:t>
      </w:r>
      <w:r w:rsidRPr="00217F53">
        <w:rPr>
          <w:sz w:val="24"/>
          <w:szCs w:val="24"/>
        </w:rPr>
        <w:t>econd</w:t>
      </w:r>
      <w:r w:rsidR="00217F53">
        <w:rPr>
          <w:sz w:val="24"/>
          <w:szCs w:val="24"/>
        </w:rPr>
        <w:t xml:space="preserve"> and </w:t>
      </w:r>
      <w:r w:rsidR="004155AB">
        <w:rPr>
          <w:sz w:val="24"/>
          <w:szCs w:val="24"/>
        </w:rPr>
        <w:t>third defendant</w:t>
      </w:r>
      <w:r w:rsidR="00217F53">
        <w:rPr>
          <w:sz w:val="24"/>
          <w:szCs w:val="24"/>
        </w:rPr>
        <w:t>s</w:t>
      </w:r>
      <w:r w:rsidRPr="00217F53">
        <w:rPr>
          <w:sz w:val="24"/>
          <w:szCs w:val="24"/>
        </w:rPr>
        <w:t xml:space="preserve"> shall be respectively limited to the amount </w:t>
      </w:r>
      <w:r w:rsidR="00217F53">
        <w:rPr>
          <w:sz w:val="24"/>
          <w:szCs w:val="24"/>
        </w:rPr>
        <w:t xml:space="preserve">of </w:t>
      </w:r>
      <w:r w:rsidRPr="00217F53">
        <w:rPr>
          <w:sz w:val="24"/>
          <w:szCs w:val="24"/>
        </w:rPr>
        <w:t>R7</w:t>
      </w:r>
      <w:r w:rsidR="004155AB">
        <w:rPr>
          <w:sz w:val="24"/>
          <w:szCs w:val="24"/>
        </w:rPr>
        <w:t>.1 million</w:t>
      </w:r>
      <w:r w:rsidRPr="00217F53">
        <w:rPr>
          <w:sz w:val="24"/>
          <w:szCs w:val="24"/>
        </w:rPr>
        <w:t xml:space="preserve"> (seven million, one hund</w:t>
      </w:r>
      <w:r w:rsidR="00217F53">
        <w:rPr>
          <w:sz w:val="24"/>
          <w:szCs w:val="24"/>
        </w:rPr>
        <w:t>re</w:t>
      </w:r>
      <w:r w:rsidRPr="00217F53">
        <w:rPr>
          <w:sz w:val="24"/>
          <w:szCs w:val="24"/>
        </w:rPr>
        <w:t>d thousand rand)</w:t>
      </w:r>
      <w:r w:rsidR="00B50BF4">
        <w:rPr>
          <w:sz w:val="24"/>
          <w:szCs w:val="24"/>
        </w:rPr>
        <w:t xml:space="preserve"> in respect of the capital sum referred to in paragraph</w:t>
      </w:r>
      <w:r w:rsidR="00A368FD">
        <w:rPr>
          <w:sz w:val="24"/>
          <w:szCs w:val="24"/>
        </w:rPr>
        <w:t xml:space="preserve"> 5</w:t>
      </w:r>
      <w:r w:rsidR="00B02A96">
        <w:rPr>
          <w:sz w:val="24"/>
          <w:szCs w:val="24"/>
        </w:rPr>
        <w:t>4</w:t>
      </w:r>
      <w:r w:rsidR="00B50BF4">
        <w:rPr>
          <w:sz w:val="24"/>
          <w:szCs w:val="24"/>
        </w:rPr>
        <w:t>(a)(i) above</w:t>
      </w:r>
      <w:r w:rsidRPr="00217F53">
        <w:rPr>
          <w:sz w:val="24"/>
          <w:szCs w:val="24"/>
        </w:rPr>
        <w:t>;</w:t>
      </w:r>
    </w:p>
    <w:p w14:paraId="5A8B07FA" w14:textId="1D7FA021" w:rsidR="00217F53" w:rsidRDefault="00217F53" w:rsidP="00217F53">
      <w:pPr>
        <w:pStyle w:val="ListParagraph"/>
        <w:ind w:left="709"/>
        <w:rPr>
          <w:sz w:val="24"/>
          <w:szCs w:val="24"/>
        </w:rPr>
      </w:pPr>
    </w:p>
    <w:p w14:paraId="7D75B156" w14:textId="77777777" w:rsidR="0022419F" w:rsidRDefault="00217F53" w:rsidP="004C3DBA">
      <w:pPr>
        <w:pStyle w:val="ListParagraph"/>
        <w:numPr>
          <w:ilvl w:val="0"/>
          <w:numId w:val="50"/>
        </w:numPr>
        <w:rPr>
          <w:sz w:val="24"/>
          <w:szCs w:val="24"/>
        </w:rPr>
      </w:pPr>
      <w:r w:rsidRPr="004C3DBA">
        <w:rPr>
          <w:sz w:val="24"/>
          <w:szCs w:val="24"/>
        </w:rPr>
        <w:t>The immovable property</w:t>
      </w:r>
      <w:r w:rsidR="0022419F">
        <w:rPr>
          <w:sz w:val="24"/>
          <w:szCs w:val="24"/>
        </w:rPr>
        <w:t>, namely:</w:t>
      </w:r>
    </w:p>
    <w:p w14:paraId="739B7846" w14:textId="61022EC5" w:rsidR="00217F53" w:rsidRDefault="00217F53" w:rsidP="0022419F">
      <w:pPr>
        <w:pStyle w:val="ListParagraph"/>
        <w:rPr>
          <w:sz w:val="24"/>
          <w:szCs w:val="24"/>
        </w:rPr>
      </w:pPr>
      <w:r w:rsidRPr="004C3DBA">
        <w:rPr>
          <w:sz w:val="24"/>
          <w:szCs w:val="24"/>
        </w:rPr>
        <w:t>E</w:t>
      </w:r>
      <w:r w:rsidR="0022419F">
        <w:rPr>
          <w:sz w:val="24"/>
          <w:szCs w:val="24"/>
        </w:rPr>
        <w:t>rf 1</w:t>
      </w:r>
      <w:r w:rsidRPr="004C3DBA">
        <w:rPr>
          <w:sz w:val="24"/>
          <w:szCs w:val="24"/>
        </w:rPr>
        <w:t>404 D</w:t>
      </w:r>
      <w:r w:rsidR="0022419F">
        <w:rPr>
          <w:sz w:val="24"/>
          <w:szCs w:val="24"/>
        </w:rPr>
        <w:t>ainfern,</w:t>
      </w:r>
      <w:r w:rsidRPr="004C3DBA">
        <w:rPr>
          <w:sz w:val="24"/>
          <w:szCs w:val="24"/>
        </w:rPr>
        <w:t xml:space="preserve"> E</w:t>
      </w:r>
      <w:r w:rsidR="0022419F">
        <w:rPr>
          <w:sz w:val="24"/>
          <w:szCs w:val="24"/>
        </w:rPr>
        <w:t xml:space="preserve">xtension </w:t>
      </w:r>
      <w:r w:rsidRPr="004C3DBA">
        <w:rPr>
          <w:sz w:val="24"/>
          <w:szCs w:val="24"/>
        </w:rPr>
        <w:t>9</w:t>
      </w:r>
      <w:r w:rsidR="0022419F">
        <w:rPr>
          <w:sz w:val="24"/>
          <w:szCs w:val="24"/>
        </w:rPr>
        <w:t xml:space="preserve"> Township</w:t>
      </w:r>
      <w:r w:rsidR="004155AB">
        <w:rPr>
          <w:sz w:val="24"/>
          <w:szCs w:val="24"/>
        </w:rPr>
        <w:t xml:space="preserve">; </w:t>
      </w:r>
      <w:r w:rsidR="0022419F">
        <w:rPr>
          <w:sz w:val="24"/>
          <w:szCs w:val="24"/>
        </w:rPr>
        <w:t>Registration Division J.R. Province of Gauteng,</w:t>
      </w:r>
      <w:r w:rsidR="004155AB">
        <w:rPr>
          <w:sz w:val="24"/>
          <w:szCs w:val="24"/>
        </w:rPr>
        <w:t xml:space="preserve"> </w:t>
      </w:r>
      <w:r w:rsidR="0022419F">
        <w:rPr>
          <w:sz w:val="24"/>
          <w:szCs w:val="24"/>
        </w:rPr>
        <w:t>Measuring 913 square metres</w:t>
      </w:r>
      <w:r w:rsidR="00CC7AFD">
        <w:rPr>
          <w:sz w:val="24"/>
          <w:szCs w:val="24"/>
        </w:rPr>
        <w:t>,</w:t>
      </w:r>
      <w:r w:rsidRPr="004C3DBA">
        <w:rPr>
          <w:sz w:val="24"/>
          <w:szCs w:val="24"/>
        </w:rPr>
        <w:t xml:space="preserve"> H</w:t>
      </w:r>
      <w:r w:rsidR="0022419F">
        <w:rPr>
          <w:sz w:val="24"/>
          <w:szCs w:val="24"/>
        </w:rPr>
        <w:t>eld by Deed of Transfer Number T1</w:t>
      </w:r>
      <w:r w:rsidRPr="004C3DBA">
        <w:rPr>
          <w:sz w:val="24"/>
          <w:szCs w:val="24"/>
        </w:rPr>
        <w:t>32410</w:t>
      </w:r>
      <w:r w:rsidR="0022419F">
        <w:rPr>
          <w:sz w:val="24"/>
          <w:szCs w:val="24"/>
        </w:rPr>
        <w:t>/</w:t>
      </w:r>
      <w:r w:rsidRPr="004C3DBA">
        <w:rPr>
          <w:sz w:val="24"/>
          <w:szCs w:val="24"/>
        </w:rPr>
        <w:t>1998</w:t>
      </w:r>
      <w:r w:rsidR="00CC7AFD">
        <w:rPr>
          <w:sz w:val="24"/>
          <w:szCs w:val="24"/>
        </w:rPr>
        <w:t xml:space="preserve">, </w:t>
      </w:r>
      <w:r w:rsidR="0022419F">
        <w:rPr>
          <w:sz w:val="24"/>
          <w:szCs w:val="24"/>
        </w:rPr>
        <w:t xml:space="preserve">Subject to the Conditions therein contained and more especially </w:t>
      </w:r>
      <w:r w:rsidR="00031D48">
        <w:rPr>
          <w:sz w:val="24"/>
          <w:szCs w:val="24"/>
        </w:rPr>
        <w:t>s</w:t>
      </w:r>
      <w:r w:rsidR="0022419F">
        <w:rPr>
          <w:sz w:val="24"/>
          <w:szCs w:val="24"/>
        </w:rPr>
        <w:t>ubject to the conditions in favour of the Dainfern Residential Estate Homeowners Association NPC</w:t>
      </w:r>
    </w:p>
    <w:p w14:paraId="6262E7E0" w14:textId="20284D34" w:rsidR="0022419F" w:rsidRDefault="0022419F" w:rsidP="0022419F">
      <w:pPr>
        <w:pStyle w:val="ListParagraph"/>
        <w:rPr>
          <w:sz w:val="24"/>
          <w:szCs w:val="24"/>
        </w:rPr>
      </w:pPr>
      <w:r>
        <w:rPr>
          <w:sz w:val="24"/>
          <w:szCs w:val="24"/>
        </w:rPr>
        <w:t>is declared specially executable for the said sums.</w:t>
      </w:r>
    </w:p>
    <w:p w14:paraId="452698B6" w14:textId="77777777" w:rsidR="0022419F" w:rsidRDefault="0022419F" w:rsidP="0022419F">
      <w:pPr>
        <w:pStyle w:val="ListParagraph"/>
        <w:rPr>
          <w:sz w:val="24"/>
          <w:szCs w:val="24"/>
        </w:rPr>
      </w:pPr>
    </w:p>
    <w:p w14:paraId="1041ECEF" w14:textId="56323B28" w:rsidR="00B90438" w:rsidRDefault="0022419F" w:rsidP="00102075">
      <w:pPr>
        <w:pStyle w:val="ListParagraph"/>
        <w:numPr>
          <w:ilvl w:val="0"/>
          <w:numId w:val="50"/>
        </w:numPr>
        <w:rPr>
          <w:sz w:val="24"/>
          <w:szCs w:val="24"/>
        </w:rPr>
      </w:pPr>
      <w:r>
        <w:rPr>
          <w:sz w:val="24"/>
          <w:szCs w:val="24"/>
        </w:rPr>
        <w:t xml:space="preserve">The first, second and </w:t>
      </w:r>
      <w:r w:rsidR="004155AB">
        <w:rPr>
          <w:sz w:val="24"/>
          <w:szCs w:val="24"/>
        </w:rPr>
        <w:t>third defendants</w:t>
      </w:r>
      <w:r>
        <w:rPr>
          <w:sz w:val="24"/>
          <w:szCs w:val="24"/>
        </w:rPr>
        <w:t xml:space="preserve"> are ordered to pay the plaintiffs’ c</w:t>
      </w:r>
      <w:r w:rsidRPr="004C3DBA">
        <w:rPr>
          <w:sz w:val="24"/>
          <w:szCs w:val="24"/>
        </w:rPr>
        <w:t>osts of</w:t>
      </w:r>
      <w:r>
        <w:rPr>
          <w:sz w:val="24"/>
          <w:szCs w:val="24"/>
        </w:rPr>
        <w:t xml:space="preserve"> </w:t>
      </w:r>
      <w:r w:rsidRPr="004C3DBA">
        <w:rPr>
          <w:sz w:val="24"/>
          <w:szCs w:val="24"/>
        </w:rPr>
        <w:t>suit on the scale as between attorney and client</w:t>
      </w:r>
      <w:r w:rsidR="00031D48">
        <w:rPr>
          <w:sz w:val="24"/>
          <w:szCs w:val="24"/>
        </w:rPr>
        <w:t>, jointly and severally, the one paying the others to be absolved.</w:t>
      </w:r>
      <w:r w:rsidRPr="004C3DBA">
        <w:rPr>
          <w:sz w:val="24"/>
          <w:szCs w:val="24"/>
        </w:rPr>
        <w:t xml:space="preserve"> </w:t>
      </w:r>
    </w:p>
    <w:p w14:paraId="6014401A" w14:textId="77777777" w:rsidR="00B02A96" w:rsidRDefault="00B02A96" w:rsidP="00B02A96">
      <w:pPr>
        <w:pStyle w:val="ListParagraph"/>
        <w:rPr>
          <w:sz w:val="24"/>
          <w:szCs w:val="24"/>
        </w:rPr>
      </w:pPr>
    </w:p>
    <w:p w14:paraId="6E90BE32" w14:textId="104F447C" w:rsidR="00B90438" w:rsidRDefault="00B90438" w:rsidP="00B90438">
      <w:pPr>
        <w:autoSpaceDE w:val="0"/>
        <w:autoSpaceDN w:val="0"/>
        <w:adjustRightInd w:val="0"/>
        <w:spacing w:after="0" w:line="240" w:lineRule="auto"/>
        <w:ind w:firstLine="709"/>
        <w:jc w:val="right"/>
        <w:rPr>
          <w:sz w:val="24"/>
          <w:szCs w:val="24"/>
          <w:lang w:val="en-GB"/>
        </w:rPr>
      </w:pPr>
    </w:p>
    <w:p w14:paraId="41DD6439" w14:textId="77777777" w:rsidR="00B90438" w:rsidRPr="00813029" w:rsidRDefault="00B90438" w:rsidP="00B90438">
      <w:pPr>
        <w:autoSpaceDE w:val="0"/>
        <w:autoSpaceDN w:val="0"/>
        <w:adjustRightInd w:val="0"/>
        <w:spacing w:after="0" w:line="240" w:lineRule="auto"/>
        <w:ind w:firstLine="709"/>
        <w:jc w:val="right"/>
        <w:rPr>
          <w:color w:val="000000"/>
          <w:sz w:val="24"/>
          <w:szCs w:val="24"/>
          <w:lang w:val="en-GB"/>
        </w:rPr>
      </w:pPr>
      <w:r w:rsidRPr="00813029">
        <w:rPr>
          <w:sz w:val="24"/>
          <w:szCs w:val="24"/>
          <w:lang w:val="en-GB"/>
        </w:rPr>
        <w:t xml:space="preserve">  </w:t>
      </w:r>
      <w:r w:rsidRPr="00813029">
        <w:rPr>
          <w:color w:val="000000"/>
          <w:sz w:val="24"/>
          <w:szCs w:val="24"/>
          <w:lang w:val="en-GB"/>
        </w:rPr>
        <w:t>_____________________________</w:t>
      </w:r>
    </w:p>
    <w:p w14:paraId="655AB373" w14:textId="77777777" w:rsidR="00B90438" w:rsidRPr="00813029" w:rsidRDefault="00B90438" w:rsidP="00B90438">
      <w:pPr>
        <w:autoSpaceDE w:val="0"/>
        <w:autoSpaceDN w:val="0"/>
        <w:adjustRightInd w:val="0"/>
        <w:spacing w:after="120" w:line="240" w:lineRule="auto"/>
        <w:ind w:left="709"/>
        <w:contextualSpacing/>
        <w:jc w:val="right"/>
        <w:rPr>
          <w:b/>
          <w:color w:val="000000"/>
          <w:sz w:val="24"/>
          <w:szCs w:val="24"/>
          <w:lang w:val="en-GB"/>
        </w:rPr>
      </w:pPr>
      <w:r w:rsidRPr="00813029">
        <w:rPr>
          <w:b/>
          <w:color w:val="000000"/>
          <w:sz w:val="24"/>
          <w:szCs w:val="24"/>
          <w:lang w:val="en-GB"/>
        </w:rPr>
        <w:t>T NICHOLS</w:t>
      </w:r>
    </w:p>
    <w:p w14:paraId="63A32D53" w14:textId="77777777" w:rsidR="00B90438" w:rsidRPr="00813029" w:rsidRDefault="00B90438" w:rsidP="00B90438">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 xml:space="preserve">ACTING JUDGE OF THE HIGH COURT </w:t>
      </w:r>
    </w:p>
    <w:p w14:paraId="060EAE3C" w14:textId="77777777" w:rsidR="00B90438" w:rsidRPr="00813029" w:rsidRDefault="00B90438" w:rsidP="00B90438">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GAUTENG LOCAL DIVISION, JOHANNESBURG</w:t>
      </w:r>
    </w:p>
    <w:p w14:paraId="7C3EE88B" w14:textId="77777777" w:rsidR="00B90438" w:rsidRDefault="00B90438" w:rsidP="00B90438">
      <w:pPr>
        <w:spacing w:before="360" w:after="360"/>
        <w:rPr>
          <w:rFonts w:eastAsia="Calibri"/>
          <w:b/>
          <w:sz w:val="24"/>
          <w:szCs w:val="24"/>
          <w:lang w:val="en-GB"/>
        </w:rPr>
      </w:pPr>
    </w:p>
    <w:p w14:paraId="146C17E8" w14:textId="77777777" w:rsidR="00B90438" w:rsidRPr="00813029" w:rsidRDefault="00B90438" w:rsidP="00B90438">
      <w:pPr>
        <w:spacing w:before="360" w:after="360"/>
        <w:rPr>
          <w:rFonts w:eastAsia="Calibri"/>
          <w:b/>
          <w:sz w:val="24"/>
          <w:szCs w:val="24"/>
          <w:lang w:val="en-GB"/>
        </w:rPr>
      </w:pPr>
      <w:r w:rsidRPr="00813029">
        <w:rPr>
          <w:rFonts w:eastAsia="Calibri"/>
          <w:b/>
          <w:sz w:val="24"/>
          <w:szCs w:val="24"/>
          <w:lang w:val="en-GB"/>
        </w:rPr>
        <w:t>Appearances:</w:t>
      </w:r>
    </w:p>
    <w:p w14:paraId="11DDD90E" w14:textId="4D6577A7" w:rsidR="00B90438" w:rsidRDefault="00B90438" w:rsidP="00B90438">
      <w:pPr>
        <w:rPr>
          <w:rFonts w:eastAsia="Calibri"/>
          <w:sz w:val="24"/>
          <w:szCs w:val="24"/>
          <w:lang w:val="en-GB"/>
        </w:rPr>
      </w:pPr>
      <w:r>
        <w:rPr>
          <w:rFonts w:eastAsia="Calibri"/>
          <w:sz w:val="24"/>
          <w:szCs w:val="24"/>
          <w:lang w:val="en-GB"/>
        </w:rPr>
        <w:t>Date Heard:</w:t>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13 August 2021</w:t>
      </w:r>
    </w:p>
    <w:p w14:paraId="06DCA34A" w14:textId="6CA4F409" w:rsidR="00B90438" w:rsidRPr="00813029" w:rsidRDefault="00B90438" w:rsidP="00B90438">
      <w:pPr>
        <w:rPr>
          <w:rFonts w:eastAsia="Calibri"/>
          <w:sz w:val="24"/>
          <w:szCs w:val="24"/>
          <w:lang w:val="en-GB"/>
        </w:rPr>
      </w:pPr>
      <w:r>
        <w:rPr>
          <w:rFonts w:eastAsia="Calibri"/>
          <w:sz w:val="24"/>
          <w:szCs w:val="24"/>
          <w:lang w:val="en-GB"/>
        </w:rPr>
        <w:t>Counsel for plaintiffs /applicants</w:t>
      </w:r>
      <w:r w:rsidRPr="00813029">
        <w:rPr>
          <w:rFonts w:eastAsia="Calibri"/>
          <w:sz w:val="24"/>
          <w:szCs w:val="24"/>
          <w:lang w:val="en-GB"/>
        </w:rPr>
        <w:t>:</w:t>
      </w:r>
      <w:r w:rsidRPr="00813029">
        <w:rPr>
          <w:rFonts w:eastAsia="Calibri"/>
          <w:sz w:val="24"/>
          <w:szCs w:val="24"/>
          <w:lang w:val="en-GB"/>
        </w:rPr>
        <w:tab/>
      </w:r>
      <w:r w:rsidRPr="00813029">
        <w:rPr>
          <w:rFonts w:eastAsia="Calibri"/>
          <w:sz w:val="24"/>
          <w:szCs w:val="24"/>
          <w:lang w:val="en-GB"/>
        </w:rPr>
        <w:tab/>
        <w:t xml:space="preserve">Adv </w:t>
      </w:r>
      <w:r>
        <w:rPr>
          <w:rFonts w:eastAsia="Calibri"/>
          <w:sz w:val="24"/>
          <w:szCs w:val="24"/>
          <w:lang w:val="en-GB"/>
        </w:rPr>
        <w:t>R Scholtz</w:t>
      </w:r>
      <w:r w:rsidRPr="00813029">
        <w:rPr>
          <w:rFonts w:eastAsia="Calibri"/>
          <w:sz w:val="24"/>
          <w:szCs w:val="24"/>
          <w:lang w:val="en-GB"/>
        </w:rPr>
        <w:t xml:space="preserve"> </w:t>
      </w:r>
    </w:p>
    <w:p w14:paraId="59710002" w14:textId="6C141D4C" w:rsidR="00B90438" w:rsidRDefault="00B90438" w:rsidP="00B90438">
      <w:pPr>
        <w:contextualSpacing/>
        <w:rPr>
          <w:rFonts w:eastAsia="Calibri"/>
          <w:sz w:val="24"/>
          <w:szCs w:val="24"/>
          <w:lang w:val="en-GB"/>
        </w:rPr>
      </w:pPr>
      <w:r>
        <w:rPr>
          <w:rFonts w:eastAsia="Calibri"/>
          <w:sz w:val="24"/>
          <w:szCs w:val="24"/>
          <w:lang w:val="en-GB"/>
        </w:rPr>
        <w:t>Attorney for plaintiffs /applicants</w:t>
      </w:r>
      <w:r w:rsidRPr="00813029">
        <w:rPr>
          <w:rFonts w:eastAsia="Calibri"/>
          <w:sz w:val="24"/>
          <w:szCs w:val="24"/>
          <w:lang w:val="en-GB"/>
        </w:rPr>
        <w:t>:</w:t>
      </w:r>
      <w:r w:rsidRPr="00813029">
        <w:rPr>
          <w:rFonts w:eastAsia="Calibri"/>
          <w:sz w:val="24"/>
          <w:szCs w:val="24"/>
          <w:lang w:val="en-GB"/>
        </w:rPr>
        <w:tab/>
      </w:r>
      <w:r w:rsidRPr="00813029">
        <w:rPr>
          <w:rFonts w:eastAsia="Calibri"/>
          <w:sz w:val="24"/>
          <w:szCs w:val="24"/>
          <w:lang w:val="en-GB"/>
        </w:rPr>
        <w:tab/>
      </w:r>
      <w:r>
        <w:rPr>
          <w:rFonts w:eastAsia="Calibri"/>
          <w:sz w:val="24"/>
          <w:szCs w:val="24"/>
          <w:lang w:val="en-GB"/>
        </w:rPr>
        <w:t>Lowndes Dlamini Attorneys</w:t>
      </w:r>
    </w:p>
    <w:p w14:paraId="5F1A3A6C" w14:textId="49669EC9" w:rsidR="00B90438" w:rsidRDefault="00B90438" w:rsidP="00B90438">
      <w:pPr>
        <w:contextualSpacing/>
        <w:rPr>
          <w:rFonts w:eastAsia="Calibri"/>
          <w:sz w:val="24"/>
          <w:szCs w:val="24"/>
          <w:lang w:val="en-GB"/>
        </w:rPr>
      </w:pPr>
      <w:r>
        <w:rPr>
          <w:rFonts w:eastAsia="Calibri"/>
          <w:sz w:val="24"/>
          <w:szCs w:val="24"/>
          <w:lang w:val="en-GB"/>
        </w:rPr>
        <w:lastRenderedPageBreak/>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Sandton</w:t>
      </w:r>
    </w:p>
    <w:p w14:paraId="0C401814" w14:textId="6B772F12" w:rsidR="00B90438" w:rsidRDefault="00B90438" w:rsidP="00B90438">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Ref: </w:t>
      </w:r>
      <w:r w:rsidR="00D743BA">
        <w:rPr>
          <w:rFonts w:eastAsia="Calibri"/>
          <w:sz w:val="24"/>
          <w:szCs w:val="24"/>
          <w:lang w:val="en-GB"/>
        </w:rPr>
        <w:t>A Wright</w:t>
      </w:r>
      <w:r>
        <w:rPr>
          <w:rFonts w:eastAsia="Calibri"/>
          <w:sz w:val="24"/>
          <w:szCs w:val="24"/>
          <w:lang w:val="en-GB"/>
        </w:rPr>
        <w:t>/</w:t>
      </w:r>
      <w:r w:rsidR="00D743BA">
        <w:rPr>
          <w:rFonts w:eastAsia="Calibri"/>
          <w:sz w:val="24"/>
          <w:szCs w:val="24"/>
          <w:lang w:val="en-GB"/>
        </w:rPr>
        <w:t>MAT25660</w:t>
      </w:r>
    </w:p>
    <w:p w14:paraId="1F534A2B" w14:textId="5CB559A8" w:rsidR="00B90438" w:rsidRDefault="00B90438" w:rsidP="00D743BA">
      <w:pPr>
        <w:contextualSpacing/>
        <w:rPr>
          <w:sz w:val="24"/>
          <w:szCs w:val="24"/>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2" w:history="1">
        <w:r w:rsidR="00D743BA" w:rsidRPr="007A4E4C">
          <w:rPr>
            <w:rStyle w:val="Hyperlink"/>
            <w:rFonts w:ascii="Arial" w:hAnsi="Arial"/>
            <w:sz w:val="24"/>
            <w:szCs w:val="24"/>
          </w:rPr>
          <w:t>alex@lowndes.co.za</w:t>
        </w:r>
      </w:hyperlink>
    </w:p>
    <w:p w14:paraId="767EBB9A" w14:textId="77777777" w:rsidR="00D743BA" w:rsidRDefault="00D743BA" w:rsidP="00B90438">
      <w:pPr>
        <w:rPr>
          <w:rFonts w:eastAsia="Calibri"/>
          <w:sz w:val="24"/>
          <w:szCs w:val="24"/>
          <w:lang w:val="en-GB"/>
        </w:rPr>
      </w:pPr>
    </w:p>
    <w:p w14:paraId="595112DC" w14:textId="41EA7AE9" w:rsidR="00B90438" w:rsidRDefault="00B90438" w:rsidP="00B90438">
      <w:pPr>
        <w:rPr>
          <w:rFonts w:eastAsia="Calibri"/>
          <w:sz w:val="24"/>
          <w:szCs w:val="24"/>
          <w:lang w:val="en-GB"/>
        </w:rPr>
      </w:pPr>
      <w:r w:rsidRPr="00813029">
        <w:rPr>
          <w:rFonts w:eastAsia="Calibri"/>
          <w:sz w:val="24"/>
          <w:szCs w:val="24"/>
          <w:lang w:val="en-GB"/>
        </w:rPr>
        <w:t>Counsel for</w:t>
      </w:r>
      <w:r w:rsidR="00B02A96">
        <w:rPr>
          <w:rFonts w:eastAsia="Calibri"/>
          <w:sz w:val="24"/>
          <w:szCs w:val="24"/>
          <w:lang w:val="en-GB"/>
        </w:rPr>
        <w:t xml:space="preserve"> defendants /</w:t>
      </w:r>
      <w:r>
        <w:rPr>
          <w:rFonts w:eastAsia="Calibri"/>
          <w:sz w:val="24"/>
          <w:szCs w:val="24"/>
          <w:lang w:val="en-GB"/>
        </w:rPr>
        <w:t xml:space="preserve"> respondent</w:t>
      </w:r>
      <w:r w:rsidR="00B02A96">
        <w:rPr>
          <w:rFonts w:eastAsia="Calibri"/>
          <w:sz w:val="24"/>
          <w:szCs w:val="24"/>
          <w:lang w:val="en-GB"/>
        </w:rPr>
        <w:t>s</w:t>
      </w:r>
      <w:r w:rsidRPr="00813029">
        <w:rPr>
          <w:rFonts w:eastAsia="Calibri"/>
          <w:sz w:val="24"/>
          <w:szCs w:val="24"/>
          <w:lang w:val="en-GB"/>
        </w:rPr>
        <w:t>:</w:t>
      </w:r>
      <w:r>
        <w:rPr>
          <w:rFonts w:eastAsia="Calibri"/>
          <w:sz w:val="24"/>
          <w:szCs w:val="24"/>
          <w:lang w:val="en-GB"/>
        </w:rPr>
        <w:tab/>
        <w:t>Adv J De Beer</w:t>
      </w:r>
    </w:p>
    <w:p w14:paraId="164D6774" w14:textId="65D18992" w:rsidR="00B90438" w:rsidRDefault="00B90438" w:rsidP="00B90438">
      <w:pPr>
        <w:contextualSpacing/>
        <w:rPr>
          <w:rFonts w:eastAsia="Calibri"/>
          <w:sz w:val="24"/>
          <w:szCs w:val="24"/>
          <w:lang w:val="en-GB"/>
        </w:rPr>
      </w:pPr>
      <w:r>
        <w:rPr>
          <w:rFonts w:eastAsia="Calibri"/>
          <w:sz w:val="24"/>
          <w:szCs w:val="24"/>
          <w:lang w:val="en-GB"/>
        </w:rPr>
        <w:t>Attorney for</w:t>
      </w:r>
      <w:r w:rsidR="00B02A96">
        <w:rPr>
          <w:rFonts w:eastAsia="Calibri"/>
          <w:sz w:val="24"/>
          <w:szCs w:val="24"/>
          <w:lang w:val="en-GB"/>
        </w:rPr>
        <w:t xml:space="preserve"> defendants /</w:t>
      </w:r>
      <w:r>
        <w:rPr>
          <w:rFonts w:eastAsia="Calibri"/>
          <w:sz w:val="24"/>
          <w:szCs w:val="24"/>
          <w:lang w:val="en-GB"/>
        </w:rPr>
        <w:t xml:space="preserve"> respondent</w:t>
      </w:r>
      <w:r w:rsidR="00B02A96">
        <w:rPr>
          <w:rFonts w:eastAsia="Calibri"/>
          <w:sz w:val="24"/>
          <w:szCs w:val="24"/>
          <w:lang w:val="en-GB"/>
        </w:rPr>
        <w:t>s</w:t>
      </w:r>
      <w:r>
        <w:rPr>
          <w:rFonts w:eastAsia="Calibri"/>
          <w:sz w:val="24"/>
          <w:szCs w:val="24"/>
          <w:lang w:val="en-GB"/>
        </w:rPr>
        <w:t>:</w:t>
      </w:r>
      <w:r>
        <w:rPr>
          <w:rFonts w:eastAsia="Calibri"/>
          <w:sz w:val="24"/>
          <w:szCs w:val="24"/>
          <w:lang w:val="en-GB"/>
        </w:rPr>
        <w:tab/>
      </w:r>
      <w:r w:rsidR="00D743BA">
        <w:rPr>
          <w:rFonts w:eastAsia="Calibri"/>
          <w:sz w:val="24"/>
          <w:szCs w:val="24"/>
          <w:lang w:val="en-GB"/>
        </w:rPr>
        <w:t xml:space="preserve">Dawie De Beer </w:t>
      </w:r>
      <w:r>
        <w:rPr>
          <w:rFonts w:eastAsia="Calibri"/>
          <w:sz w:val="24"/>
          <w:szCs w:val="24"/>
          <w:lang w:val="en-GB"/>
        </w:rPr>
        <w:t>Attorneys</w:t>
      </w:r>
    </w:p>
    <w:p w14:paraId="32868557" w14:textId="693D82D1" w:rsidR="00B90438" w:rsidRDefault="00B90438" w:rsidP="00B90438">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sidR="00D743BA">
        <w:rPr>
          <w:rFonts w:eastAsia="Calibri"/>
          <w:sz w:val="24"/>
          <w:szCs w:val="24"/>
          <w:lang w:val="en-GB"/>
        </w:rPr>
        <w:t>Pretoria</w:t>
      </w:r>
    </w:p>
    <w:p w14:paraId="6DB616EC" w14:textId="5020D947" w:rsidR="00B90438" w:rsidRDefault="00B90438" w:rsidP="00B90438">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Ref: </w:t>
      </w:r>
      <w:r w:rsidR="00D743BA">
        <w:rPr>
          <w:rFonts w:eastAsia="Calibri"/>
          <w:sz w:val="24"/>
          <w:szCs w:val="24"/>
          <w:lang w:val="en-GB"/>
        </w:rPr>
        <w:t>Mr De Beer/CM/DM040</w:t>
      </w:r>
      <w:r>
        <w:rPr>
          <w:rFonts w:eastAsia="Calibri"/>
          <w:sz w:val="24"/>
          <w:szCs w:val="24"/>
          <w:lang w:val="en-GB"/>
        </w:rPr>
        <w:tab/>
      </w:r>
    </w:p>
    <w:p w14:paraId="7D9A3E09" w14:textId="52E164BF" w:rsidR="00B90438" w:rsidRDefault="00B90438" w:rsidP="00B90438">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3" w:history="1">
        <w:r w:rsidR="00D743BA" w:rsidRPr="007A4E4C">
          <w:rPr>
            <w:rStyle w:val="Hyperlink"/>
            <w:rFonts w:ascii="Arial" w:eastAsia="Calibri" w:hAnsi="Arial"/>
            <w:sz w:val="24"/>
            <w:szCs w:val="24"/>
            <w:lang w:val="en-GB"/>
          </w:rPr>
          <w:t>dawie@ddebbeer.co.za</w:t>
        </w:r>
      </w:hyperlink>
    </w:p>
    <w:p w14:paraId="3AA439F0" w14:textId="77777777" w:rsidR="00D743BA" w:rsidRDefault="00D743BA" w:rsidP="00B90438">
      <w:pPr>
        <w:contextualSpacing/>
        <w:rPr>
          <w:rFonts w:eastAsia="Calibri"/>
          <w:sz w:val="24"/>
          <w:szCs w:val="24"/>
          <w:lang w:val="en-GB"/>
        </w:rPr>
      </w:pPr>
    </w:p>
    <w:p w14:paraId="214AEB76" w14:textId="77777777" w:rsidR="00B90438" w:rsidRPr="00743201" w:rsidRDefault="00B90438" w:rsidP="00B90438">
      <w:pPr>
        <w:contextualSpacing/>
        <w:rPr>
          <w:sz w:val="24"/>
          <w:szCs w:val="24"/>
        </w:rPr>
      </w:pPr>
    </w:p>
    <w:p w14:paraId="49F27C70" w14:textId="77777777" w:rsidR="00B90438" w:rsidRPr="00B90438" w:rsidRDefault="00B90438" w:rsidP="00B90438">
      <w:pPr>
        <w:rPr>
          <w:sz w:val="24"/>
          <w:szCs w:val="24"/>
        </w:rPr>
      </w:pPr>
    </w:p>
    <w:sectPr w:rsidR="00B90438" w:rsidRPr="00B90438" w:rsidSect="003F3063">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5C83" w14:textId="77777777" w:rsidR="000E4EEE" w:rsidRDefault="000E4EEE">
      <w:pPr>
        <w:spacing w:after="0" w:line="240" w:lineRule="auto"/>
      </w:pPr>
      <w:r>
        <w:separator/>
      </w:r>
    </w:p>
  </w:endnote>
  <w:endnote w:type="continuationSeparator" w:id="0">
    <w:p w14:paraId="64CD1574" w14:textId="77777777" w:rsidR="000E4EEE" w:rsidRDefault="000E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5291" w14:textId="77777777" w:rsidR="005137C6" w:rsidRDefault="005137C6">
    <w:pPr>
      <w:pStyle w:val="Footer"/>
    </w:pPr>
  </w:p>
  <w:p w14:paraId="58E955E6" w14:textId="77777777" w:rsidR="005137C6" w:rsidRDefault="005137C6"/>
  <w:p w14:paraId="0A914581" w14:textId="77777777" w:rsidR="005137C6" w:rsidRDefault="00513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0349" w14:textId="3BF56656" w:rsidR="005137C6" w:rsidRDefault="000E4EEE" w:rsidP="003F3063">
    <w:pPr>
      <w:pStyle w:val="Footer"/>
      <w:tabs>
        <w:tab w:val="clear" w:pos="4513"/>
        <w:tab w:val="clear" w:pos="9026"/>
      </w:tabs>
      <w:jc w:val="center"/>
    </w:pPr>
    <w:sdt>
      <w:sdtPr>
        <w:id w:val="-363593569"/>
        <w:docPartObj>
          <w:docPartGallery w:val="Page Numbers (Bottom of Page)"/>
          <w:docPartUnique/>
        </w:docPartObj>
      </w:sdt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DAAD" w14:textId="77777777" w:rsidR="005137C6" w:rsidRDefault="005137C6"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EAC8" w14:textId="77777777" w:rsidR="000E4EEE" w:rsidRDefault="000E4EEE">
      <w:pPr>
        <w:spacing w:after="0" w:line="240" w:lineRule="auto"/>
      </w:pPr>
      <w:r>
        <w:separator/>
      </w:r>
    </w:p>
  </w:footnote>
  <w:footnote w:type="continuationSeparator" w:id="0">
    <w:p w14:paraId="4DE95C42" w14:textId="77777777" w:rsidR="000E4EEE" w:rsidRDefault="000E4EEE">
      <w:pPr>
        <w:spacing w:after="0" w:line="240" w:lineRule="auto"/>
      </w:pPr>
      <w:r>
        <w:continuationSeparator/>
      </w:r>
    </w:p>
  </w:footnote>
  <w:footnote w:id="1">
    <w:p w14:paraId="06C86A40" w14:textId="77777777" w:rsidR="005137C6" w:rsidRPr="00FF0513" w:rsidRDefault="005137C6">
      <w:pPr>
        <w:pStyle w:val="FootnoteText"/>
        <w:rPr>
          <w:sz w:val="20"/>
        </w:rPr>
      </w:pPr>
      <w:r w:rsidRPr="00FF0513">
        <w:rPr>
          <w:rStyle w:val="FootnoteReference"/>
          <w:rFonts w:ascii="Arial" w:hAnsi="Arial"/>
          <w:sz w:val="20"/>
        </w:rPr>
        <w:footnoteRef/>
      </w:r>
      <w:r w:rsidRPr="00FF0513">
        <w:rPr>
          <w:sz w:val="20"/>
        </w:rPr>
        <w:t xml:space="preserve"> </w:t>
      </w:r>
      <w:r>
        <w:rPr>
          <w:sz w:val="20"/>
        </w:rPr>
        <w:t>The National Credit Act 34 of 2005.</w:t>
      </w:r>
    </w:p>
  </w:footnote>
  <w:footnote w:id="2">
    <w:p w14:paraId="51A0BCFD" w14:textId="77777777" w:rsidR="005137C6" w:rsidRPr="005A5802" w:rsidRDefault="005137C6">
      <w:pPr>
        <w:pStyle w:val="FootnoteText"/>
        <w:rPr>
          <w:sz w:val="20"/>
        </w:rPr>
      </w:pPr>
      <w:r w:rsidRPr="005A5802">
        <w:rPr>
          <w:rStyle w:val="FootnoteReference"/>
          <w:rFonts w:ascii="Arial" w:hAnsi="Arial"/>
          <w:sz w:val="20"/>
        </w:rPr>
        <w:footnoteRef/>
      </w:r>
      <w:r w:rsidRPr="005A5802">
        <w:rPr>
          <w:sz w:val="20"/>
        </w:rPr>
        <w:t xml:space="preserve"> </w:t>
      </w:r>
      <w:r>
        <w:rPr>
          <w:sz w:val="20"/>
        </w:rPr>
        <w:t>Uniform Rule 32(2)(b).</w:t>
      </w:r>
    </w:p>
  </w:footnote>
  <w:footnote w:id="3">
    <w:p w14:paraId="1B135CFC" w14:textId="5A3A8644" w:rsidR="005137C6" w:rsidRPr="005A54CD" w:rsidRDefault="005137C6">
      <w:pPr>
        <w:pStyle w:val="FootnoteText"/>
        <w:rPr>
          <w:sz w:val="20"/>
        </w:rPr>
      </w:pPr>
      <w:r w:rsidRPr="005A54CD">
        <w:rPr>
          <w:rStyle w:val="FootnoteReference"/>
          <w:rFonts w:ascii="Arial" w:hAnsi="Arial"/>
          <w:sz w:val="20"/>
        </w:rPr>
        <w:footnoteRef/>
      </w:r>
      <w:r w:rsidRPr="005A54CD">
        <w:rPr>
          <w:sz w:val="20"/>
        </w:rPr>
        <w:t xml:space="preserve"> </w:t>
      </w:r>
      <w:r>
        <w:rPr>
          <w:i/>
          <w:sz w:val="20"/>
        </w:rPr>
        <w:t xml:space="preserve">Belrex 95 CC v Barday </w:t>
      </w:r>
      <w:r>
        <w:rPr>
          <w:sz w:val="20"/>
        </w:rPr>
        <w:t xml:space="preserve">2021 (3) SA 178 (WCC). </w:t>
      </w:r>
    </w:p>
  </w:footnote>
  <w:footnote w:id="4">
    <w:p w14:paraId="11D325A0" w14:textId="0A02E249" w:rsidR="005137C6" w:rsidRPr="002C3AA6" w:rsidRDefault="005137C6">
      <w:pPr>
        <w:pStyle w:val="FootnoteText"/>
        <w:rPr>
          <w:sz w:val="20"/>
        </w:rPr>
      </w:pPr>
      <w:r w:rsidRPr="00D41EF9">
        <w:rPr>
          <w:rStyle w:val="FootnoteReference"/>
          <w:rFonts w:ascii="Arial" w:hAnsi="Arial"/>
          <w:sz w:val="20"/>
        </w:rPr>
        <w:footnoteRef/>
      </w:r>
      <w:r w:rsidRPr="00D41EF9">
        <w:rPr>
          <w:sz w:val="20"/>
        </w:rPr>
        <w:t xml:space="preserve"> </w:t>
      </w:r>
      <w:r>
        <w:rPr>
          <w:i/>
          <w:sz w:val="20"/>
        </w:rPr>
        <w:t xml:space="preserve">City Square Trading 522 (Pty) Limited v Gunzenhauser Attorneys (Pty) Ltd and Another </w:t>
      </w:r>
      <w:r>
        <w:rPr>
          <w:sz w:val="20"/>
        </w:rPr>
        <w:t>[2022] ZAGPJHC 71 (18 February 2022).</w:t>
      </w:r>
    </w:p>
  </w:footnote>
  <w:footnote w:id="5">
    <w:p w14:paraId="1A4BC1F8" w14:textId="15953991" w:rsidR="005137C6" w:rsidRPr="00194B6A" w:rsidRDefault="005137C6">
      <w:pPr>
        <w:pStyle w:val="FootnoteText"/>
        <w:rPr>
          <w:sz w:val="20"/>
        </w:rPr>
      </w:pPr>
      <w:r w:rsidRPr="00194B6A">
        <w:rPr>
          <w:rStyle w:val="FootnoteReference"/>
          <w:rFonts w:ascii="Arial" w:hAnsi="Arial"/>
          <w:sz w:val="20"/>
        </w:rPr>
        <w:footnoteRef/>
      </w:r>
      <w:r w:rsidRPr="00194B6A">
        <w:rPr>
          <w:sz w:val="20"/>
        </w:rPr>
        <w:t xml:space="preserve"> </w:t>
      </w:r>
      <w:r>
        <w:rPr>
          <w:i/>
          <w:sz w:val="20"/>
        </w:rPr>
        <w:t xml:space="preserve">City Square Trading </w:t>
      </w:r>
      <w:r>
        <w:rPr>
          <w:sz w:val="20"/>
        </w:rPr>
        <w:t>ibid at paras 16 to 18.</w:t>
      </w:r>
    </w:p>
  </w:footnote>
  <w:footnote w:id="6">
    <w:p w14:paraId="65184D6E" w14:textId="3A6B8DF6" w:rsidR="005137C6" w:rsidRPr="00963A6D" w:rsidRDefault="005137C6">
      <w:pPr>
        <w:pStyle w:val="FootnoteText"/>
        <w:rPr>
          <w:sz w:val="20"/>
        </w:rPr>
      </w:pPr>
      <w:r w:rsidRPr="00963A6D">
        <w:rPr>
          <w:rStyle w:val="FootnoteReference"/>
          <w:rFonts w:ascii="Arial" w:hAnsi="Arial"/>
          <w:sz w:val="20"/>
        </w:rPr>
        <w:footnoteRef/>
      </w:r>
      <w:r w:rsidRPr="00963A6D">
        <w:rPr>
          <w:sz w:val="20"/>
        </w:rPr>
        <w:t xml:space="preserve"> </w:t>
      </w:r>
      <w:r>
        <w:rPr>
          <w:i/>
          <w:sz w:val="20"/>
        </w:rPr>
        <w:t xml:space="preserve">City Square Trading </w:t>
      </w:r>
      <w:r>
        <w:rPr>
          <w:sz w:val="20"/>
        </w:rPr>
        <w:t>fn 4 above at para 29.</w:t>
      </w:r>
    </w:p>
  </w:footnote>
  <w:footnote w:id="7">
    <w:p w14:paraId="249710AE" w14:textId="77777777" w:rsidR="005137C6" w:rsidRPr="007F5372" w:rsidRDefault="005137C6" w:rsidP="00697C0E">
      <w:pPr>
        <w:pStyle w:val="FootnoteText"/>
        <w:rPr>
          <w:sz w:val="20"/>
        </w:rPr>
      </w:pPr>
      <w:r w:rsidRPr="007F5372">
        <w:rPr>
          <w:rStyle w:val="FootnoteReference"/>
          <w:rFonts w:ascii="Arial" w:hAnsi="Arial"/>
          <w:sz w:val="20"/>
        </w:rPr>
        <w:footnoteRef/>
      </w:r>
      <w:r w:rsidRPr="007F5372">
        <w:rPr>
          <w:sz w:val="20"/>
        </w:rPr>
        <w:t xml:space="preserve"> </w:t>
      </w:r>
      <w:r>
        <w:rPr>
          <w:sz w:val="20"/>
        </w:rPr>
        <w:t>Section 6 of the NCA.</w:t>
      </w:r>
    </w:p>
  </w:footnote>
  <w:footnote w:id="8">
    <w:p w14:paraId="771DEA5E" w14:textId="5CC2FEDA" w:rsidR="005137C6" w:rsidRDefault="005137C6" w:rsidP="008A622D">
      <w:pPr>
        <w:pStyle w:val="FootnoteText"/>
        <w:rPr>
          <w:sz w:val="20"/>
        </w:rPr>
      </w:pPr>
      <w:r>
        <w:rPr>
          <w:rStyle w:val="FootnoteReference"/>
          <w:sz w:val="20"/>
        </w:rPr>
        <w:footnoteRef/>
      </w:r>
      <w:r>
        <w:rPr>
          <w:sz w:val="20"/>
        </w:rPr>
        <w:t xml:space="preserve"> Section 4(1)(b) of the NCA.</w:t>
      </w:r>
    </w:p>
  </w:footnote>
  <w:footnote w:id="9">
    <w:p w14:paraId="51B50698" w14:textId="64A78629" w:rsidR="005137C6" w:rsidRDefault="005137C6" w:rsidP="008A622D">
      <w:pPr>
        <w:pStyle w:val="FootnoteText"/>
        <w:rPr>
          <w:sz w:val="20"/>
        </w:rPr>
      </w:pPr>
      <w:r>
        <w:rPr>
          <w:rStyle w:val="FootnoteReference"/>
          <w:sz w:val="20"/>
        </w:rPr>
        <w:footnoteRef/>
      </w:r>
      <w:r>
        <w:rPr>
          <w:sz w:val="20"/>
        </w:rPr>
        <w:t xml:space="preserve"> Section 9(4) of the NCA.</w:t>
      </w:r>
    </w:p>
  </w:footnote>
  <w:footnote w:id="10">
    <w:p w14:paraId="4F917D2F" w14:textId="49BF7825" w:rsidR="005137C6" w:rsidRPr="00A16163" w:rsidRDefault="005137C6">
      <w:pPr>
        <w:pStyle w:val="FootnoteText"/>
        <w:rPr>
          <w:sz w:val="20"/>
        </w:rPr>
      </w:pPr>
      <w:r w:rsidRPr="00A16163">
        <w:rPr>
          <w:rStyle w:val="FootnoteReference"/>
          <w:rFonts w:ascii="Arial" w:hAnsi="Arial"/>
          <w:sz w:val="20"/>
        </w:rPr>
        <w:footnoteRef/>
      </w:r>
      <w:r w:rsidRPr="00A16163">
        <w:rPr>
          <w:sz w:val="20"/>
        </w:rPr>
        <w:t xml:space="preserve"> </w:t>
      </w:r>
      <w:r>
        <w:rPr>
          <w:i/>
          <w:sz w:val="20"/>
        </w:rPr>
        <w:t xml:space="preserve">Fraser v ABSA Bank Limited </w:t>
      </w:r>
      <w:r>
        <w:rPr>
          <w:sz w:val="20"/>
        </w:rPr>
        <w:t>2007 (3) SA 484 CC para 40.</w:t>
      </w:r>
    </w:p>
  </w:footnote>
  <w:footnote w:id="11">
    <w:p w14:paraId="2EF9739A" w14:textId="632B9094" w:rsidR="005137C6" w:rsidRPr="005D7E9B" w:rsidRDefault="005137C6">
      <w:pPr>
        <w:pStyle w:val="FootnoteText"/>
        <w:rPr>
          <w:sz w:val="20"/>
        </w:rPr>
      </w:pPr>
      <w:r w:rsidRPr="005D7E9B">
        <w:rPr>
          <w:rStyle w:val="FootnoteReference"/>
          <w:rFonts w:ascii="Arial" w:hAnsi="Arial"/>
          <w:sz w:val="20"/>
        </w:rPr>
        <w:footnoteRef/>
      </w:r>
      <w:r w:rsidRPr="005D7E9B">
        <w:rPr>
          <w:sz w:val="20"/>
        </w:rPr>
        <w:t xml:space="preserve"> </w:t>
      </w:r>
      <w:r>
        <w:rPr>
          <w:i/>
          <w:sz w:val="20"/>
        </w:rPr>
        <w:t xml:space="preserve">Standard Bank of South Africa Ltd v Hunkydory Investments 194 (Pty) Ltd and Another (No 1) </w:t>
      </w:r>
      <w:r>
        <w:rPr>
          <w:sz w:val="20"/>
        </w:rPr>
        <w:t>2010 (1) SA 627 (C).</w:t>
      </w:r>
    </w:p>
  </w:footnote>
  <w:footnote w:id="12">
    <w:p w14:paraId="26C2B383" w14:textId="47CE6438" w:rsidR="005137C6" w:rsidRPr="00A31D40" w:rsidRDefault="005137C6">
      <w:pPr>
        <w:pStyle w:val="FootnoteText"/>
        <w:rPr>
          <w:sz w:val="20"/>
        </w:rPr>
      </w:pPr>
      <w:r w:rsidRPr="00A31D40">
        <w:rPr>
          <w:rStyle w:val="FootnoteReference"/>
          <w:rFonts w:ascii="Arial" w:hAnsi="Arial"/>
          <w:sz w:val="20"/>
        </w:rPr>
        <w:footnoteRef/>
      </w:r>
      <w:r w:rsidRPr="00A31D40">
        <w:rPr>
          <w:sz w:val="20"/>
        </w:rPr>
        <w:t xml:space="preserve"> </w:t>
      </w:r>
      <w:r>
        <w:rPr>
          <w:i/>
          <w:sz w:val="20"/>
        </w:rPr>
        <w:t xml:space="preserve">Hunkydory Investments (No1) </w:t>
      </w:r>
      <w:r>
        <w:rPr>
          <w:sz w:val="20"/>
        </w:rPr>
        <w:t>fn 11 above para 25.</w:t>
      </w:r>
    </w:p>
  </w:footnote>
  <w:footnote w:id="13">
    <w:p w14:paraId="0281607A" w14:textId="044C14D5" w:rsidR="005137C6" w:rsidRPr="003E0655" w:rsidRDefault="005137C6">
      <w:pPr>
        <w:pStyle w:val="FootnoteText"/>
        <w:rPr>
          <w:sz w:val="20"/>
        </w:rPr>
      </w:pPr>
      <w:r w:rsidRPr="003E0655">
        <w:rPr>
          <w:rStyle w:val="FootnoteReference"/>
          <w:rFonts w:ascii="Arial" w:hAnsi="Arial"/>
          <w:sz w:val="20"/>
        </w:rPr>
        <w:footnoteRef/>
      </w:r>
      <w:r w:rsidRPr="003E0655">
        <w:rPr>
          <w:sz w:val="20"/>
        </w:rPr>
        <w:t xml:space="preserve"> </w:t>
      </w:r>
      <w:r>
        <w:rPr>
          <w:i/>
          <w:sz w:val="20"/>
        </w:rPr>
        <w:t xml:space="preserve">Phillips and Others v National Director of Public Prosecutions </w:t>
      </w:r>
      <w:r>
        <w:rPr>
          <w:sz w:val="20"/>
        </w:rPr>
        <w:t>2006 (1) SA 505 (CC) para 39.</w:t>
      </w:r>
    </w:p>
  </w:footnote>
  <w:footnote w:id="14">
    <w:p w14:paraId="5B5B3464" w14:textId="6A0660F2" w:rsidR="005137C6" w:rsidRPr="00C8535D" w:rsidRDefault="005137C6">
      <w:pPr>
        <w:pStyle w:val="FootnoteText"/>
        <w:rPr>
          <w:sz w:val="20"/>
        </w:rPr>
      </w:pPr>
      <w:r w:rsidRPr="00C8535D">
        <w:rPr>
          <w:rStyle w:val="FootnoteReference"/>
          <w:rFonts w:ascii="Arial" w:hAnsi="Arial"/>
          <w:sz w:val="20"/>
        </w:rPr>
        <w:footnoteRef/>
      </w:r>
      <w:r w:rsidRPr="00C8535D">
        <w:rPr>
          <w:sz w:val="20"/>
        </w:rPr>
        <w:t xml:space="preserve"> </w:t>
      </w:r>
      <w:r>
        <w:rPr>
          <w:i/>
          <w:sz w:val="20"/>
        </w:rPr>
        <w:t xml:space="preserve">Phillips </w:t>
      </w:r>
      <w:r>
        <w:rPr>
          <w:sz w:val="20"/>
        </w:rPr>
        <w:t>ibid at para 43.</w:t>
      </w:r>
    </w:p>
  </w:footnote>
  <w:footnote w:id="15">
    <w:p w14:paraId="39483746" w14:textId="1A8FA7DB" w:rsidR="005137C6" w:rsidRPr="00C8535D" w:rsidRDefault="005137C6">
      <w:pPr>
        <w:pStyle w:val="FootnoteText"/>
        <w:rPr>
          <w:sz w:val="20"/>
        </w:rPr>
      </w:pPr>
      <w:r w:rsidRPr="00C8535D">
        <w:rPr>
          <w:rStyle w:val="FootnoteReference"/>
          <w:rFonts w:ascii="Arial" w:hAnsi="Arial"/>
          <w:sz w:val="20"/>
        </w:rPr>
        <w:footnoteRef/>
      </w:r>
      <w:r w:rsidRPr="00C8535D">
        <w:rPr>
          <w:sz w:val="20"/>
        </w:rPr>
        <w:t xml:space="preserve"> </w:t>
      </w:r>
      <w:r>
        <w:rPr>
          <w:i/>
          <w:sz w:val="20"/>
        </w:rPr>
        <w:t xml:space="preserve">Phillips </w:t>
      </w:r>
      <w:r>
        <w:rPr>
          <w:sz w:val="20"/>
        </w:rPr>
        <w:t>fn 13 above at para 40.</w:t>
      </w:r>
    </w:p>
  </w:footnote>
  <w:footnote w:id="16">
    <w:p w14:paraId="44A8FB59" w14:textId="71C3EB13" w:rsidR="005137C6" w:rsidRPr="00537730" w:rsidRDefault="005137C6">
      <w:pPr>
        <w:pStyle w:val="FootnoteText"/>
        <w:rPr>
          <w:sz w:val="20"/>
        </w:rPr>
      </w:pPr>
      <w:r w:rsidRPr="00537730">
        <w:rPr>
          <w:rStyle w:val="FootnoteReference"/>
          <w:rFonts w:ascii="Arial" w:hAnsi="Arial"/>
          <w:sz w:val="20"/>
        </w:rPr>
        <w:footnoteRef/>
      </w:r>
      <w:r w:rsidRPr="00537730">
        <w:rPr>
          <w:sz w:val="20"/>
        </w:rPr>
        <w:t xml:space="preserve"> </w:t>
      </w:r>
      <w:r>
        <w:rPr>
          <w:i/>
          <w:sz w:val="20"/>
        </w:rPr>
        <w:t xml:space="preserve">Standard Bank of South Africa Ltd v Hunkydory Investments 188 (Pty) ltd and Others (No2) </w:t>
      </w:r>
      <w:r>
        <w:rPr>
          <w:sz w:val="20"/>
        </w:rPr>
        <w:t>(15427/08) [2009] ZAWCHC 81; 2010 (1) SA 634 (WCC); [2009] 4 ALL SA 488 (WCC) (1 June 2009).</w:t>
      </w:r>
    </w:p>
  </w:footnote>
  <w:footnote w:id="17">
    <w:p w14:paraId="0B631C46" w14:textId="77777777" w:rsidR="005137C6" w:rsidRPr="008D233B" w:rsidRDefault="005137C6" w:rsidP="00095E5E">
      <w:pPr>
        <w:pStyle w:val="FootnoteText"/>
        <w:rPr>
          <w:sz w:val="20"/>
        </w:rPr>
      </w:pPr>
      <w:r w:rsidRPr="008D233B">
        <w:rPr>
          <w:rStyle w:val="FootnoteReference"/>
          <w:rFonts w:ascii="Arial" w:hAnsi="Arial"/>
          <w:sz w:val="20"/>
        </w:rPr>
        <w:footnoteRef/>
      </w:r>
      <w:r w:rsidRPr="008D233B">
        <w:rPr>
          <w:sz w:val="20"/>
        </w:rPr>
        <w:t xml:space="preserve"> </w:t>
      </w:r>
      <w:r>
        <w:rPr>
          <w:i/>
          <w:sz w:val="20"/>
        </w:rPr>
        <w:t xml:space="preserve">De Reuck v Director of Public Prosecutions, Witwatersrand Local Division, and Other </w:t>
      </w:r>
      <w:r>
        <w:rPr>
          <w:sz w:val="20"/>
        </w:rPr>
        <w:t>2004 (1) SA 406 (CC) para 85.</w:t>
      </w:r>
    </w:p>
  </w:footnote>
  <w:footnote w:id="18">
    <w:p w14:paraId="61AB399E" w14:textId="77777777" w:rsidR="005137C6" w:rsidRDefault="005137C6" w:rsidP="00F81EF9">
      <w:pPr>
        <w:pStyle w:val="FootnoteText"/>
        <w:rPr>
          <w:sz w:val="20"/>
        </w:rPr>
      </w:pPr>
      <w:r>
        <w:rPr>
          <w:rStyle w:val="FootnoteReference"/>
          <w:sz w:val="20"/>
        </w:rPr>
        <w:footnoteRef/>
      </w:r>
      <w:r>
        <w:rPr>
          <w:sz w:val="20"/>
        </w:rPr>
        <w:t xml:space="preserve"> Section 4(2)(c) and S 8(5) of the NCA. </w:t>
      </w:r>
    </w:p>
  </w:footnote>
  <w:footnote w:id="19">
    <w:p w14:paraId="6E0ACCF5" w14:textId="2FFA0F72" w:rsidR="005137C6" w:rsidRPr="00D02EF6" w:rsidRDefault="005137C6">
      <w:pPr>
        <w:pStyle w:val="FootnoteText"/>
        <w:rPr>
          <w:sz w:val="20"/>
        </w:rPr>
      </w:pPr>
      <w:r w:rsidRPr="00D02EF6">
        <w:rPr>
          <w:rStyle w:val="FootnoteReference"/>
          <w:rFonts w:ascii="Arial" w:hAnsi="Arial"/>
          <w:sz w:val="20"/>
        </w:rPr>
        <w:footnoteRef/>
      </w:r>
      <w:r w:rsidRPr="00D02EF6">
        <w:rPr>
          <w:sz w:val="20"/>
        </w:rPr>
        <w:t xml:space="preserve"> </w:t>
      </w:r>
      <w:r>
        <w:rPr>
          <w:i/>
          <w:sz w:val="20"/>
        </w:rPr>
        <w:t xml:space="preserve">Absa Bank Limited v Kganakga </w:t>
      </w:r>
      <w:r>
        <w:rPr>
          <w:sz w:val="20"/>
        </w:rPr>
        <w:t>[2016] ZAGPJHC 59 (18 March 2016).</w:t>
      </w:r>
    </w:p>
  </w:footnote>
  <w:footnote w:id="20">
    <w:p w14:paraId="77E8B0D8" w14:textId="300334B5" w:rsidR="005137C6" w:rsidRPr="00AC6339" w:rsidRDefault="005137C6">
      <w:pPr>
        <w:pStyle w:val="FootnoteText"/>
        <w:rPr>
          <w:sz w:val="20"/>
        </w:rPr>
      </w:pPr>
      <w:r w:rsidRPr="00AC6339">
        <w:rPr>
          <w:rStyle w:val="FootnoteReference"/>
          <w:rFonts w:ascii="Arial" w:hAnsi="Arial"/>
          <w:sz w:val="20"/>
        </w:rPr>
        <w:footnoteRef/>
      </w:r>
      <w:r w:rsidRPr="00AC6339">
        <w:rPr>
          <w:sz w:val="20"/>
        </w:rPr>
        <w:t xml:space="preserve"> </w:t>
      </w:r>
      <w:r>
        <w:rPr>
          <w:i/>
          <w:sz w:val="20"/>
        </w:rPr>
        <w:t xml:space="preserve">Kganakga </w:t>
      </w:r>
      <w:r>
        <w:rPr>
          <w:sz w:val="20"/>
        </w:rPr>
        <w:t>ibid at paras 71 and 75.</w:t>
      </w:r>
    </w:p>
  </w:footnote>
  <w:footnote w:id="21">
    <w:p w14:paraId="06A5BEB7" w14:textId="28BF420C" w:rsidR="005137C6" w:rsidRPr="00386AF4" w:rsidRDefault="005137C6">
      <w:pPr>
        <w:pStyle w:val="FootnoteText"/>
        <w:rPr>
          <w:sz w:val="20"/>
        </w:rPr>
      </w:pPr>
      <w:r w:rsidRPr="00574D5C">
        <w:rPr>
          <w:rStyle w:val="FootnoteReference"/>
          <w:rFonts w:ascii="Arial" w:hAnsi="Arial"/>
          <w:sz w:val="20"/>
        </w:rPr>
        <w:footnoteRef/>
      </w:r>
      <w:r w:rsidRPr="00574D5C">
        <w:rPr>
          <w:sz w:val="20"/>
        </w:rPr>
        <w:t xml:space="preserve"> </w:t>
      </w:r>
      <w:r>
        <w:rPr>
          <w:i/>
          <w:sz w:val="20"/>
        </w:rPr>
        <w:t xml:space="preserve">Petrus Johannes Bestbier and Others v Nedbank Limited </w:t>
      </w:r>
      <w:r>
        <w:rPr>
          <w:sz w:val="20"/>
        </w:rPr>
        <w:t>(150/2021) [2022] ZASCA 88 (13 June 2022) para 8.</w:t>
      </w:r>
    </w:p>
  </w:footnote>
  <w:footnote w:id="22">
    <w:p w14:paraId="7E878D87" w14:textId="1C8B3836" w:rsidR="005137C6" w:rsidRPr="00386AF4" w:rsidRDefault="005137C6">
      <w:pPr>
        <w:pStyle w:val="FootnoteText"/>
        <w:rPr>
          <w:i/>
          <w:sz w:val="20"/>
        </w:rPr>
      </w:pPr>
      <w:r w:rsidRPr="00386AF4">
        <w:rPr>
          <w:rStyle w:val="FootnoteReference"/>
          <w:rFonts w:ascii="Arial" w:hAnsi="Arial"/>
          <w:sz w:val="20"/>
        </w:rPr>
        <w:footnoteRef/>
      </w:r>
      <w:r w:rsidRPr="00386AF4">
        <w:rPr>
          <w:sz w:val="20"/>
        </w:rPr>
        <w:t xml:space="preserve"> </w:t>
      </w:r>
      <w:r>
        <w:rPr>
          <w:i/>
          <w:sz w:val="20"/>
        </w:rPr>
        <w:t xml:space="preserve">Mkhize v Umvoti Municipality and Others </w:t>
      </w:r>
      <w:r w:rsidRPr="00386AF4">
        <w:rPr>
          <w:sz w:val="20"/>
        </w:rPr>
        <w:t>[2011]</w:t>
      </w:r>
      <w:r>
        <w:rPr>
          <w:sz w:val="20"/>
        </w:rPr>
        <w:t xml:space="preserve"> ZASCA 184; 2012 (1) SA (SCA); [2011] 4 ALL SA 460 (SCA) para 10.</w:t>
      </w:r>
    </w:p>
  </w:footnote>
  <w:footnote w:id="23">
    <w:p w14:paraId="558E7715" w14:textId="792C3014" w:rsidR="005137C6" w:rsidRPr="00CD131E" w:rsidRDefault="005137C6">
      <w:pPr>
        <w:pStyle w:val="FootnoteText"/>
        <w:rPr>
          <w:sz w:val="20"/>
        </w:rPr>
      </w:pPr>
      <w:r w:rsidRPr="00CD131E">
        <w:rPr>
          <w:rStyle w:val="FootnoteReference"/>
          <w:rFonts w:ascii="Arial" w:hAnsi="Arial"/>
          <w:sz w:val="20"/>
        </w:rPr>
        <w:footnoteRef/>
      </w:r>
      <w:r w:rsidRPr="00CD131E">
        <w:rPr>
          <w:sz w:val="20"/>
        </w:rPr>
        <w:t xml:space="preserve"> </w:t>
      </w:r>
      <w:r>
        <w:rPr>
          <w:i/>
          <w:sz w:val="20"/>
        </w:rPr>
        <w:t xml:space="preserve">Petrus Johannes Bestbier </w:t>
      </w:r>
      <w:r>
        <w:rPr>
          <w:sz w:val="20"/>
        </w:rPr>
        <w:t>fn 21 above at para 17.</w:t>
      </w:r>
    </w:p>
  </w:footnote>
  <w:footnote w:id="24">
    <w:p w14:paraId="3CE98DCA" w14:textId="5BBD865B" w:rsidR="005137C6" w:rsidRPr="006D029E" w:rsidRDefault="005137C6">
      <w:pPr>
        <w:pStyle w:val="FootnoteText"/>
        <w:rPr>
          <w:sz w:val="20"/>
        </w:rPr>
      </w:pPr>
      <w:r w:rsidRPr="006D029E">
        <w:rPr>
          <w:rStyle w:val="FootnoteReference"/>
          <w:rFonts w:ascii="Arial" w:hAnsi="Arial"/>
          <w:sz w:val="20"/>
        </w:rPr>
        <w:footnoteRef/>
      </w:r>
      <w:r w:rsidRPr="006D029E">
        <w:rPr>
          <w:sz w:val="20"/>
        </w:rPr>
        <w:t xml:space="preserve"> </w:t>
      </w:r>
      <w:r>
        <w:rPr>
          <w:sz w:val="20"/>
        </w:rPr>
        <w:t>Prevention of Illegal Eviction from and Unlawful Occupation of Land Act 19 of 1998.</w:t>
      </w:r>
    </w:p>
  </w:footnote>
  <w:footnote w:id="25">
    <w:p w14:paraId="7F0C4549" w14:textId="25CB63DE" w:rsidR="005137C6" w:rsidRPr="00953E9E" w:rsidRDefault="005137C6">
      <w:pPr>
        <w:pStyle w:val="FootnoteText"/>
        <w:rPr>
          <w:sz w:val="20"/>
        </w:rPr>
      </w:pPr>
      <w:r w:rsidRPr="00953E9E">
        <w:rPr>
          <w:rStyle w:val="FootnoteReference"/>
          <w:rFonts w:ascii="Arial" w:hAnsi="Arial"/>
          <w:sz w:val="20"/>
        </w:rPr>
        <w:footnoteRef/>
      </w:r>
      <w:r w:rsidRPr="00953E9E">
        <w:rPr>
          <w:sz w:val="20"/>
        </w:rPr>
        <w:t xml:space="preserve"> </w:t>
      </w:r>
      <w:r>
        <w:rPr>
          <w:i/>
          <w:sz w:val="20"/>
        </w:rPr>
        <w:t xml:space="preserve">Jaftha v Schoeman and Others </w:t>
      </w:r>
      <w:r>
        <w:rPr>
          <w:sz w:val="20"/>
        </w:rPr>
        <w:t>2005 (2) SA 140 (CC) paras 56 to 60.</w:t>
      </w:r>
    </w:p>
  </w:footnote>
  <w:footnote w:id="26">
    <w:p w14:paraId="69F21B9A" w14:textId="0117CEB5" w:rsidR="005137C6" w:rsidRPr="00B17E19" w:rsidRDefault="005137C6">
      <w:pPr>
        <w:pStyle w:val="FootnoteText"/>
        <w:rPr>
          <w:sz w:val="20"/>
        </w:rPr>
      </w:pPr>
      <w:r w:rsidRPr="00B17E19">
        <w:rPr>
          <w:rStyle w:val="FootnoteReference"/>
          <w:rFonts w:ascii="Arial" w:hAnsi="Arial"/>
          <w:sz w:val="20"/>
        </w:rPr>
        <w:footnoteRef/>
      </w:r>
      <w:r w:rsidRPr="00B17E19">
        <w:rPr>
          <w:sz w:val="20"/>
        </w:rPr>
        <w:t xml:space="preserve">  </w:t>
      </w:r>
      <w:r>
        <w:rPr>
          <w:sz w:val="20"/>
        </w:rPr>
        <w:t xml:space="preserve"> </w:t>
      </w:r>
      <w:r>
        <w:rPr>
          <w:i/>
          <w:sz w:val="20"/>
        </w:rPr>
        <w:t xml:space="preserve">Motloung and Another v The Sheriff, Pretoria East and Others </w:t>
      </w:r>
      <w:r>
        <w:rPr>
          <w:sz w:val="20"/>
        </w:rPr>
        <w:t>[2020] ZASCA 25 (26 MARCH 2020) Para 27</w:t>
      </w:r>
      <w:r w:rsidR="00B02A96">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A4EA" w14:textId="77777777" w:rsidR="005137C6" w:rsidRDefault="005137C6"/>
  <w:p w14:paraId="22966320" w14:textId="77777777" w:rsidR="005137C6" w:rsidRDefault="005137C6"/>
  <w:p w14:paraId="7E658C5A" w14:textId="77777777" w:rsidR="005137C6" w:rsidRDefault="00513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02782"/>
      <w:docPartObj>
        <w:docPartGallery w:val="Page Numbers (Top of Page)"/>
        <w:docPartUnique/>
      </w:docPartObj>
    </w:sdtPr>
    <w:sdtEndPr>
      <w:rPr>
        <w:noProof/>
      </w:rPr>
    </w:sdtEndPr>
    <w:sdtContent>
      <w:p w14:paraId="74252753" w14:textId="5975C8B0" w:rsidR="005137C6" w:rsidRDefault="005137C6">
        <w:pPr>
          <w:pStyle w:val="Header"/>
          <w:jc w:val="right"/>
        </w:pPr>
        <w:r>
          <w:fldChar w:fldCharType="begin"/>
        </w:r>
        <w:r>
          <w:instrText xml:space="preserve"> PAGE   \* MERGEFORMAT </w:instrText>
        </w:r>
        <w:r>
          <w:fldChar w:fldCharType="separate"/>
        </w:r>
        <w:r w:rsidR="00450AD8">
          <w:rPr>
            <w:noProof/>
          </w:rPr>
          <w:t>14</w:t>
        </w:r>
        <w:r>
          <w:rPr>
            <w:noProof/>
          </w:rPr>
          <w:fldChar w:fldCharType="end"/>
        </w:r>
      </w:p>
    </w:sdtContent>
  </w:sdt>
  <w:p w14:paraId="7566C633" w14:textId="77777777" w:rsidR="005137C6" w:rsidRDefault="005137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E5F3" w14:textId="77777777" w:rsidR="005137C6" w:rsidRDefault="005137C6" w:rsidP="00384E22">
    <w:pPr>
      <w:pStyle w:val="Header"/>
      <w:jc w:val="left"/>
    </w:pPr>
  </w:p>
  <w:p w14:paraId="2F8867EE" w14:textId="77777777" w:rsidR="005137C6" w:rsidRDefault="005137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ABC7D67"/>
    <w:multiLevelType w:val="hybridMultilevel"/>
    <w:tmpl w:val="8FE6E44E"/>
    <w:lvl w:ilvl="0" w:tplc="502E67E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267633"/>
    <w:multiLevelType w:val="hybridMultilevel"/>
    <w:tmpl w:val="15C6C598"/>
    <w:lvl w:ilvl="0" w:tplc="E796288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E91EE6"/>
    <w:multiLevelType w:val="hybridMultilevel"/>
    <w:tmpl w:val="1C30BA80"/>
    <w:lvl w:ilvl="0" w:tplc="847ABE1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3"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3"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4"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0"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1"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9"/>
  </w:num>
  <w:num w:numId="2">
    <w:abstractNumId w:val="13"/>
  </w:num>
  <w:num w:numId="3">
    <w:abstractNumId w:val="5"/>
  </w:num>
  <w:num w:numId="4">
    <w:abstractNumId w:val="25"/>
  </w:num>
  <w:num w:numId="5">
    <w:abstractNumId w:val="2"/>
  </w:num>
  <w:num w:numId="6">
    <w:abstractNumId w:val="1"/>
  </w:num>
  <w:num w:numId="7">
    <w:abstractNumId w:val="22"/>
  </w:num>
  <w:num w:numId="8">
    <w:abstractNumId w:val="15"/>
  </w:num>
  <w:num w:numId="9">
    <w:abstractNumId w:val="35"/>
  </w:num>
  <w:num w:numId="10">
    <w:abstractNumId w:val="34"/>
  </w:num>
  <w:num w:numId="11">
    <w:abstractNumId w:val="46"/>
  </w:num>
  <w:num w:numId="12">
    <w:abstractNumId w:val="48"/>
  </w:num>
  <w:num w:numId="13">
    <w:abstractNumId w:val="3"/>
  </w:num>
  <w:num w:numId="14">
    <w:abstractNumId w:val="26"/>
  </w:num>
  <w:num w:numId="15">
    <w:abstractNumId w:val="18"/>
  </w:num>
  <w:num w:numId="16">
    <w:abstractNumId w:val="8"/>
  </w:num>
  <w:num w:numId="17">
    <w:abstractNumId w:val="4"/>
  </w:num>
  <w:num w:numId="18">
    <w:abstractNumId w:val="27"/>
  </w:num>
  <w:num w:numId="19">
    <w:abstractNumId w:val="44"/>
  </w:num>
  <w:num w:numId="20">
    <w:abstractNumId w:val="28"/>
  </w:num>
  <w:num w:numId="21">
    <w:abstractNumId w:val="32"/>
  </w:num>
  <w:num w:numId="22">
    <w:abstractNumId w:val="36"/>
  </w:num>
  <w:num w:numId="23">
    <w:abstractNumId w:val="24"/>
  </w:num>
  <w:num w:numId="24">
    <w:abstractNumId w:val="10"/>
  </w:num>
  <w:num w:numId="25">
    <w:abstractNumId w:val="37"/>
  </w:num>
  <w:num w:numId="26">
    <w:abstractNumId w:val="45"/>
  </w:num>
  <w:num w:numId="27">
    <w:abstractNumId w:val="52"/>
  </w:num>
  <w:num w:numId="28">
    <w:abstractNumId w:val="9"/>
  </w:num>
  <w:num w:numId="29">
    <w:abstractNumId w:val="23"/>
  </w:num>
  <w:num w:numId="30">
    <w:abstractNumId w:val="29"/>
  </w:num>
  <w:num w:numId="31">
    <w:abstractNumId w:val="38"/>
  </w:num>
  <w:num w:numId="32">
    <w:abstractNumId w:val="12"/>
  </w:num>
  <w:num w:numId="33">
    <w:abstractNumId w:val="39"/>
  </w:num>
  <w:num w:numId="34">
    <w:abstractNumId w:val="47"/>
  </w:num>
  <w:num w:numId="35">
    <w:abstractNumId w:val="33"/>
  </w:num>
  <w:num w:numId="36">
    <w:abstractNumId w:val="21"/>
  </w:num>
  <w:num w:numId="37">
    <w:abstractNumId w:val="41"/>
  </w:num>
  <w:num w:numId="38">
    <w:abstractNumId w:val="51"/>
  </w:num>
  <w:num w:numId="39">
    <w:abstractNumId w:val="40"/>
  </w:num>
  <w:num w:numId="40">
    <w:abstractNumId w:val="30"/>
  </w:num>
  <w:num w:numId="41">
    <w:abstractNumId w:val="43"/>
  </w:num>
  <w:num w:numId="42">
    <w:abstractNumId w:val="14"/>
  </w:num>
  <w:num w:numId="43">
    <w:abstractNumId w:val="19"/>
  </w:num>
  <w:num w:numId="44">
    <w:abstractNumId w:val="17"/>
  </w:num>
  <w:num w:numId="45">
    <w:abstractNumId w:val="50"/>
  </w:num>
  <w:num w:numId="46">
    <w:abstractNumId w:val="0"/>
  </w:num>
  <w:num w:numId="47">
    <w:abstractNumId w:val="31"/>
  </w:num>
  <w:num w:numId="48">
    <w:abstractNumId w:val="42"/>
  </w:num>
  <w:num w:numId="49">
    <w:abstractNumId w:val="20"/>
  </w:num>
  <w:num w:numId="50">
    <w:abstractNumId w:val="7"/>
  </w:num>
  <w:num w:numId="51">
    <w:abstractNumId w:val="11"/>
  </w:num>
  <w:num w:numId="52">
    <w:abstractNumId w:val="16"/>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5E25C9"/>
    <w:rsid w:val="00001ABE"/>
    <w:rsid w:val="00014825"/>
    <w:rsid w:val="000164AB"/>
    <w:rsid w:val="0002034F"/>
    <w:rsid w:val="000260A7"/>
    <w:rsid w:val="00031D48"/>
    <w:rsid w:val="00034762"/>
    <w:rsid w:val="0004147C"/>
    <w:rsid w:val="00045D47"/>
    <w:rsid w:val="0006216F"/>
    <w:rsid w:val="0006350E"/>
    <w:rsid w:val="0007023D"/>
    <w:rsid w:val="000732EF"/>
    <w:rsid w:val="000733C8"/>
    <w:rsid w:val="00082266"/>
    <w:rsid w:val="00085700"/>
    <w:rsid w:val="0009296D"/>
    <w:rsid w:val="00093F2D"/>
    <w:rsid w:val="00095E5E"/>
    <w:rsid w:val="000A2E93"/>
    <w:rsid w:val="000B7F03"/>
    <w:rsid w:val="000C7D51"/>
    <w:rsid w:val="000D4460"/>
    <w:rsid w:val="000D71D2"/>
    <w:rsid w:val="000E1882"/>
    <w:rsid w:val="000E4EEE"/>
    <w:rsid w:val="000E6988"/>
    <w:rsid w:val="000F1ED4"/>
    <w:rsid w:val="000F2251"/>
    <w:rsid w:val="000F2FD9"/>
    <w:rsid w:val="000F4535"/>
    <w:rsid w:val="000F4812"/>
    <w:rsid w:val="000F5634"/>
    <w:rsid w:val="00102075"/>
    <w:rsid w:val="00106EF4"/>
    <w:rsid w:val="0011130F"/>
    <w:rsid w:val="00115024"/>
    <w:rsid w:val="00115C15"/>
    <w:rsid w:val="0011777D"/>
    <w:rsid w:val="001177E5"/>
    <w:rsid w:val="001201E5"/>
    <w:rsid w:val="00126263"/>
    <w:rsid w:val="001350D7"/>
    <w:rsid w:val="0013627B"/>
    <w:rsid w:val="001432BC"/>
    <w:rsid w:val="00156532"/>
    <w:rsid w:val="0016088D"/>
    <w:rsid w:val="00161A8F"/>
    <w:rsid w:val="0017403A"/>
    <w:rsid w:val="00176D2E"/>
    <w:rsid w:val="001926A7"/>
    <w:rsid w:val="00193B2F"/>
    <w:rsid w:val="00194AF0"/>
    <w:rsid w:val="00194B6A"/>
    <w:rsid w:val="00197E89"/>
    <w:rsid w:val="001A23C2"/>
    <w:rsid w:val="001A2D31"/>
    <w:rsid w:val="001A3F4B"/>
    <w:rsid w:val="001A4A0F"/>
    <w:rsid w:val="001B5E1C"/>
    <w:rsid w:val="001C062C"/>
    <w:rsid w:val="001C19F9"/>
    <w:rsid w:val="001D01DF"/>
    <w:rsid w:val="001D04B2"/>
    <w:rsid w:val="001E44FC"/>
    <w:rsid w:val="001F393B"/>
    <w:rsid w:val="001F66A6"/>
    <w:rsid w:val="00200563"/>
    <w:rsid w:val="0020591D"/>
    <w:rsid w:val="00215121"/>
    <w:rsid w:val="00217638"/>
    <w:rsid w:val="00217F53"/>
    <w:rsid w:val="0022419F"/>
    <w:rsid w:val="00231366"/>
    <w:rsid w:val="002444C0"/>
    <w:rsid w:val="002540B5"/>
    <w:rsid w:val="00256BCF"/>
    <w:rsid w:val="00261BB9"/>
    <w:rsid w:val="00265D3B"/>
    <w:rsid w:val="00265D95"/>
    <w:rsid w:val="00277601"/>
    <w:rsid w:val="00280860"/>
    <w:rsid w:val="00282ABE"/>
    <w:rsid w:val="002908B8"/>
    <w:rsid w:val="00296E5E"/>
    <w:rsid w:val="002A0518"/>
    <w:rsid w:val="002A0711"/>
    <w:rsid w:val="002A2B9D"/>
    <w:rsid w:val="002B1873"/>
    <w:rsid w:val="002B2553"/>
    <w:rsid w:val="002B27CC"/>
    <w:rsid w:val="002C3AA6"/>
    <w:rsid w:val="002C5551"/>
    <w:rsid w:val="002C59D0"/>
    <w:rsid w:val="002C5A38"/>
    <w:rsid w:val="002C6F84"/>
    <w:rsid w:val="002D27BE"/>
    <w:rsid w:val="002D2E74"/>
    <w:rsid w:val="002D4510"/>
    <w:rsid w:val="002D6473"/>
    <w:rsid w:val="002D7BAD"/>
    <w:rsid w:val="002F0B3A"/>
    <w:rsid w:val="003005DB"/>
    <w:rsid w:val="00300A2C"/>
    <w:rsid w:val="00303283"/>
    <w:rsid w:val="00336661"/>
    <w:rsid w:val="00346F8A"/>
    <w:rsid w:val="00360A53"/>
    <w:rsid w:val="00361FF0"/>
    <w:rsid w:val="003651A0"/>
    <w:rsid w:val="00370CF7"/>
    <w:rsid w:val="00374C2F"/>
    <w:rsid w:val="00377914"/>
    <w:rsid w:val="00384557"/>
    <w:rsid w:val="00384E22"/>
    <w:rsid w:val="00385243"/>
    <w:rsid w:val="00386AF4"/>
    <w:rsid w:val="00387768"/>
    <w:rsid w:val="00391D43"/>
    <w:rsid w:val="0039462E"/>
    <w:rsid w:val="003A024F"/>
    <w:rsid w:val="003C3503"/>
    <w:rsid w:val="003D0003"/>
    <w:rsid w:val="003D726C"/>
    <w:rsid w:val="003D7779"/>
    <w:rsid w:val="003E0655"/>
    <w:rsid w:val="003E5D27"/>
    <w:rsid w:val="003F1E2B"/>
    <w:rsid w:val="003F3063"/>
    <w:rsid w:val="003F46BB"/>
    <w:rsid w:val="003F57D5"/>
    <w:rsid w:val="00403AE1"/>
    <w:rsid w:val="00405888"/>
    <w:rsid w:val="00407115"/>
    <w:rsid w:val="00407A7D"/>
    <w:rsid w:val="00411531"/>
    <w:rsid w:val="004155AB"/>
    <w:rsid w:val="00421AAF"/>
    <w:rsid w:val="004336D5"/>
    <w:rsid w:val="004364BA"/>
    <w:rsid w:val="0044084D"/>
    <w:rsid w:val="00441CAB"/>
    <w:rsid w:val="00450AD8"/>
    <w:rsid w:val="004553CF"/>
    <w:rsid w:val="00460C85"/>
    <w:rsid w:val="00467685"/>
    <w:rsid w:val="00467F4C"/>
    <w:rsid w:val="004718D5"/>
    <w:rsid w:val="00490EBB"/>
    <w:rsid w:val="00494405"/>
    <w:rsid w:val="0049505D"/>
    <w:rsid w:val="004A0D0F"/>
    <w:rsid w:val="004B13CA"/>
    <w:rsid w:val="004B4CF6"/>
    <w:rsid w:val="004C3DBA"/>
    <w:rsid w:val="004C7E00"/>
    <w:rsid w:val="004D047F"/>
    <w:rsid w:val="004D4541"/>
    <w:rsid w:val="004E3FF1"/>
    <w:rsid w:val="004F2DC4"/>
    <w:rsid w:val="005002E7"/>
    <w:rsid w:val="00504FB0"/>
    <w:rsid w:val="00511A14"/>
    <w:rsid w:val="00511C72"/>
    <w:rsid w:val="005137C6"/>
    <w:rsid w:val="00515275"/>
    <w:rsid w:val="0051668C"/>
    <w:rsid w:val="00520D28"/>
    <w:rsid w:val="00520DB7"/>
    <w:rsid w:val="00520E4B"/>
    <w:rsid w:val="00522A33"/>
    <w:rsid w:val="00522EB2"/>
    <w:rsid w:val="00533504"/>
    <w:rsid w:val="005371DC"/>
    <w:rsid w:val="00537730"/>
    <w:rsid w:val="00542C41"/>
    <w:rsid w:val="0054350D"/>
    <w:rsid w:val="00553250"/>
    <w:rsid w:val="00553AAD"/>
    <w:rsid w:val="0055623E"/>
    <w:rsid w:val="00557B67"/>
    <w:rsid w:val="00565BEB"/>
    <w:rsid w:val="00570967"/>
    <w:rsid w:val="00574D5C"/>
    <w:rsid w:val="00577216"/>
    <w:rsid w:val="00580F35"/>
    <w:rsid w:val="005A0563"/>
    <w:rsid w:val="005A10E0"/>
    <w:rsid w:val="005A4188"/>
    <w:rsid w:val="005A54CD"/>
    <w:rsid w:val="005A5802"/>
    <w:rsid w:val="005A64DB"/>
    <w:rsid w:val="005B65BD"/>
    <w:rsid w:val="005B6659"/>
    <w:rsid w:val="005C1BDB"/>
    <w:rsid w:val="005C1D1D"/>
    <w:rsid w:val="005C2D03"/>
    <w:rsid w:val="005D7E9B"/>
    <w:rsid w:val="005E0B5E"/>
    <w:rsid w:val="005E1DE4"/>
    <w:rsid w:val="005E25C9"/>
    <w:rsid w:val="005F392A"/>
    <w:rsid w:val="005F4CDD"/>
    <w:rsid w:val="00600109"/>
    <w:rsid w:val="006107E2"/>
    <w:rsid w:val="006200A3"/>
    <w:rsid w:val="00621CDA"/>
    <w:rsid w:val="00623505"/>
    <w:rsid w:val="00631FC4"/>
    <w:rsid w:val="00652544"/>
    <w:rsid w:val="006560CB"/>
    <w:rsid w:val="006561BA"/>
    <w:rsid w:val="00665B0F"/>
    <w:rsid w:val="00666169"/>
    <w:rsid w:val="00667C51"/>
    <w:rsid w:val="0067761E"/>
    <w:rsid w:val="00686E2A"/>
    <w:rsid w:val="00697C0E"/>
    <w:rsid w:val="006A37D8"/>
    <w:rsid w:val="006A3828"/>
    <w:rsid w:val="006B12A8"/>
    <w:rsid w:val="006B2F8D"/>
    <w:rsid w:val="006C15AD"/>
    <w:rsid w:val="006C1F17"/>
    <w:rsid w:val="006C373B"/>
    <w:rsid w:val="006C7406"/>
    <w:rsid w:val="006D029E"/>
    <w:rsid w:val="006D08B6"/>
    <w:rsid w:val="006E1D0D"/>
    <w:rsid w:val="006E36B9"/>
    <w:rsid w:val="006F6782"/>
    <w:rsid w:val="00701DAA"/>
    <w:rsid w:val="00716C67"/>
    <w:rsid w:val="00724E31"/>
    <w:rsid w:val="007333FF"/>
    <w:rsid w:val="007373FB"/>
    <w:rsid w:val="00744A1B"/>
    <w:rsid w:val="00745F15"/>
    <w:rsid w:val="00763FC5"/>
    <w:rsid w:val="007902E3"/>
    <w:rsid w:val="00792F34"/>
    <w:rsid w:val="007B0C6A"/>
    <w:rsid w:val="007B1849"/>
    <w:rsid w:val="007C09AB"/>
    <w:rsid w:val="007C24E5"/>
    <w:rsid w:val="007C4D93"/>
    <w:rsid w:val="007C5501"/>
    <w:rsid w:val="007C5CF9"/>
    <w:rsid w:val="007C7BA5"/>
    <w:rsid w:val="007D3484"/>
    <w:rsid w:val="007D74F4"/>
    <w:rsid w:val="007E0AFD"/>
    <w:rsid w:val="007E2208"/>
    <w:rsid w:val="007E70F3"/>
    <w:rsid w:val="007F10C7"/>
    <w:rsid w:val="007F5372"/>
    <w:rsid w:val="007F5AFE"/>
    <w:rsid w:val="00814AF4"/>
    <w:rsid w:val="008245AA"/>
    <w:rsid w:val="00824983"/>
    <w:rsid w:val="00827FFD"/>
    <w:rsid w:val="008325C2"/>
    <w:rsid w:val="008329B2"/>
    <w:rsid w:val="00835F34"/>
    <w:rsid w:val="00842948"/>
    <w:rsid w:val="0085308A"/>
    <w:rsid w:val="008558BF"/>
    <w:rsid w:val="00856D8C"/>
    <w:rsid w:val="008603E3"/>
    <w:rsid w:val="008672AA"/>
    <w:rsid w:val="00891A3D"/>
    <w:rsid w:val="008A3D4F"/>
    <w:rsid w:val="008A622D"/>
    <w:rsid w:val="008B1A72"/>
    <w:rsid w:val="008B1A86"/>
    <w:rsid w:val="008B2B15"/>
    <w:rsid w:val="008B4E78"/>
    <w:rsid w:val="008B71BF"/>
    <w:rsid w:val="008C0ADE"/>
    <w:rsid w:val="008C2C9A"/>
    <w:rsid w:val="008C3DBB"/>
    <w:rsid w:val="008D233B"/>
    <w:rsid w:val="008D359F"/>
    <w:rsid w:val="008D369E"/>
    <w:rsid w:val="008D519D"/>
    <w:rsid w:val="008E0A4F"/>
    <w:rsid w:val="008E0FEF"/>
    <w:rsid w:val="008E1082"/>
    <w:rsid w:val="0090717C"/>
    <w:rsid w:val="00910069"/>
    <w:rsid w:val="00910BF1"/>
    <w:rsid w:val="00916108"/>
    <w:rsid w:val="0092197D"/>
    <w:rsid w:val="009302C8"/>
    <w:rsid w:val="009337DC"/>
    <w:rsid w:val="00940073"/>
    <w:rsid w:val="00943BEF"/>
    <w:rsid w:val="009520FF"/>
    <w:rsid w:val="00953E9E"/>
    <w:rsid w:val="00963A6D"/>
    <w:rsid w:val="00972559"/>
    <w:rsid w:val="00977AA1"/>
    <w:rsid w:val="00981585"/>
    <w:rsid w:val="00984118"/>
    <w:rsid w:val="00987891"/>
    <w:rsid w:val="00987B3A"/>
    <w:rsid w:val="00990533"/>
    <w:rsid w:val="00991B25"/>
    <w:rsid w:val="009B5D6F"/>
    <w:rsid w:val="009D5E9B"/>
    <w:rsid w:val="009D78AA"/>
    <w:rsid w:val="009E1275"/>
    <w:rsid w:val="009E16F9"/>
    <w:rsid w:val="009E6C5E"/>
    <w:rsid w:val="009F011F"/>
    <w:rsid w:val="009F1519"/>
    <w:rsid w:val="009F7BB8"/>
    <w:rsid w:val="00A04BA5"/>
    <w:rsid w:val="00A12477"/>
    <w:rsid w:val="00A16163"/>
    <w:rsid w:val="00A21931"/>
    <w:rsid w:val="00A24E52"/>
    <w:rsid w:val="00A25BA5"/>
    <w:rsid w:val="00A30D09"/>
    <w:rsid w:val="00A31D40"/>
    <w:rsid w:val="00A368FD"/>
    <w:rsid w:val="00A41181"/>
    <w:rsid w:val="00A52A9E"/>
    <w:rsid w:val="00A560E1"/>
    <w:rsid w:val="00A63D25"/>
    <w:rsid w:val="00A76879"/>
    <w:rsid w:val="00A776A4"/>
    <w:rsid w:val="00A85D6B"/>
    <w:rsid w:val="00AA736C"/>
    <w:rsid w:val="00AC3A5F"/>
    <w:rsid w:val="00AC6339"/>
    <w:rsid w:val="00AD1B2B"/>
    <w:rsid w:val="00AD34D5"/>
    <w:rsid w:val="00AD6A33"/>
    <w:rsid w:val="00AD79F8"/>
    <w:rsid w:val="00AE7AAC"/>
    <w:rsid w:val="00AF3A62"/>
    <w:rsid w:val="00AF6383"/>
    <w:rsid w:val="00B02A96"/>
    <w:rsid w:val="00B17906"/>
    <w:rsid w:val="00B17E19"/>
    <w:rsid w:val="00B20742"/>
    <w:rsid w:val="00B21294"/>
    <w:rsid w:val="00B22EA8"/>
    <w:rsid w:val="00B24C0E"/>
    <w:rsid w:val="00B27924"/>
    <w:rsid w:val="00B37A4F"/>
    <w:rsid w:val="00B37DF8"/>
    <w:rsid w:val="00B40636"/>
    <w:rsid w:val="00B4180B"/>
    <w:rsid w:val="00B45C6F"/>
    <w:rsid w:val="00B505D9"/>
    <w:rsid w:val="00B50BF4"/>
    <w:rsid w:val="00B5215B"/>
    <w:rsid w:val="00B52E30"/>
    <w:rsid w:val="00B56216"/>
    <w:rsid w:val="00B57FE6"/>
    <w:rsid w:val="00B71086"/>
    <w:rsid w:val="00B85415"/>
    <w:rsid w:val="00B8718D"/>
    <w:rsid w:val="00B90438"/>
    <w:rsid w:val="00B97A9A"/>
    <w:rsid w:val="00BA4C80"/>
    <w:rsid w:val="00BB25E6"/>
    <w:rsid w:val="00BC5FE7"/>
    <w:rsid w:val="00BC6A0E"/>
    <w:rsid w:val="00BE4F6D"/>
    <w:rsid w:val="00BF1812"/>
    <w:rsid w:val="00BF2031"/>
    <w:rsid w:val="00BF7C21"/>
    <w:rsid w:val="00C11405"/>
    <w:rsid w:val="00C13BF6"/>
    <w:rsid w:val="00C15393"/>
    <w:rsid w:val="00C16B42"/>
    <w:rsid w:val="00C1768E"/>
    <w:rsid w:val="00C2723C"/>
    <w:rsid w:val="00C371BF"/>
    <w:rsid w:val="00C37A55"/>
    <w:rsid w:val="00C41312"/>
    <w:rsid w:val="00C417C7"/>
    <w:rsid w:val="00C426F1"/>
    <w:rsid w:val="00C52555"/>
    <w:rsid w:val="00C52D6A"/>
    <w:rsid w:val="00C63553"/>
    <w:rsid w:val="00C66FB5"/>
    <w:rsid w:val="00C7242D"/>
    <w:rsid w:val="00C81C41"/>
    <w:rsid w:val="00C832AF"/>
    <w:rsid w:val="00C8535D"/>
    <w:rsid w:val="00C953B0"/>
    <w:rsid w:val="00C9605F"/>
    <w:rsid w:val="00CA2941"/>
    <w:rsid w:val="00CA6CAF"/>
    <w:rsid w:val="00CC1A35"/>
    <w:rsid w:val="00CC7079"/>
    <w:rsid w:val="00CC7AFD"/>
    <w:rsid w:val="00CD131E"/>
    <w:rsid w:val="00CE0FA9"/>
    <w:rsid w:val="00CE1C4B"/>
    <w:rsid w:val="00CE693A"/>
    <w:rsid w:val="00CE6CEE"/>
    <w:rsid w:val="00CF0CEF"/>
    <w:rsid w:val="00CF2339"/>
    <w:rsid w:val="00CF3001"/>
    <w:rsid w:val="00CF4C80"/>
    <w:rsid w:val="00CF561B"/>
    <w:rsid w:val="00D0268D"/>
    <w:rsid w:val="00D02EF6"/>
    <w:rsid w:val="00D07576"/>
    <w:rsid w:val="00D07741"/>
    <w:rsid w:val="00D07BDD"/>
    <w:rsid w:val="00D14D64"/>
    <w:rsid w:val="00D158AD"/>
    <w:rsid w:val="00D168B8"/>
    <w:rsid w:val="00D24FEF"/>
    <w:rsid w:val="00D41425"/>
    <w:rsid w:val="00D41EF9"/>
    <w:rsid w:val="00D47B52"/>
    <w:rsid w:val="00D523AE"/>
    <w:rsid w:val="00D52B9F"/>
    <w:rsid w:val="00D5750A"/>
    <w:rsid w:val="00D6090B"/>
    <w:rsid w:val="00D61B0A"/>
    <w:rsid w:val="00D743BA"/>
    <w:rsid w:val="00D7569D"/>
    <w:rsid w:val="00D810ED"/>
    <w:rsid w:val="00D828CD"/>
    <w:rsid w:val="00D83B3A"/>
    <w:rsid w:val="00D84A15"/>
    <w:rsid w:val="00D87DF2"/>
    <w:rsid w:val="00D9014F"/>
    <w:rsid w:val="00D9520A"/>
    <w:rsid w:val="00D968F0"/>
    <w:rsid w:val="00DA7D73"/>
    <w:rsid w:val="00DB4177"/>
    <w:rsid w:val="00DB7FD7"/>
    <w:rsid w:val="00DC12F3"/>
    <w:rsid w:val="00DC3BD8"/>
    <w:rsid w:val="00DC6219"/>
    <w:rsid w:val="00DC7F75"/>
    <w:rsid w:val="00DE2370"/>
    <w:rsid w:val="00DE70F1"/>
    <w:rsid w:val="00DF0EDF"/>
    <w:rsid w:val="00DF2CEC"/>
    <w:rsid w:val="00DF545E"/>
    <w:rsid w:val="00DF5532"/>
    <w:rsid w:val="00DF5595"/>
    <w:rsid w:val="00E01F6D"/>
    <w:rsid w:val="00E05567"/>
    <w:rsid w:val="00E07A4C"/>
    <w:rsid w:val="00E1040A"/>
    <w:rsid w:val="00E11554"/>
    <w:rsid w:val="00E20A1E"/>
    <w:rsid w:val="00E562D1"/>
    <w:rsid w:val="00E63C79"/>
    <w:rsid w:val="00E66F1F"/>
    <w:rsid w:val="00E76D05"/>
    <w:rsid w:val="00E81004"/>
    <w:rsid w:val="00E82F6E"/>
    <w:rsid w:val="00E95F62"/>
    <w:rsid w:val="00EB5348"/>
    <w:rsid w:val="00EB78E2"/>
    <w:rsid w:val="00ED2C3C"/>
    <w:rsid w:val="00ED503E"/>
    <w:rsid w:val="00EE692D"/>
    <w:rsid w:val="00EF1AFD"/>
    <w:rsid w:val="00EF1EDF"/>
    <w:rsid w:val="00EF58F4"/>
    <w:rsid w:val="00F000E0"/>
    <w:rsid w:val="00F00166"/>
    <w:rsid w:val="00F016B7"/>
    <w:rsid w:val="00F02559"/>
    <w:rsid w:val="00F15561"/>
    <w:rsid w:val="00F22917"/>
    <w:rsid w:val="00F23D6D"/>
    <w:rsid w:val="00F23EE7"/>
    <w:rsid w:val="00F353E0"/>
    <w:rsid w:val="00F40686"/>
    <w:rsid w:val="00F454C4"/>
    <w:rsid w:val="00F46213"/>
    <w:rsid w:val="00F51E8C"/>
    <w:rsid w:val="00F5535E"/>
    <w:rsid w:val="00F57AE7"/>
    <w:rsid w:val="00F63788"/>
    <w:rsid w:val="00F677BB"/>
    <w:rsid w:val="00F67EA0"/>
    <w:rsid w:val="00F71D98"/>
    <w:rsid w:val="00F81EF9"/>
    <w:rsid w:val="00F911BB"/>
    <w:rsid w:val="00F95457"/>
    <w:rsid w:val="00FB4947"/>
    <w:rsid w:val="00FC23BF"/>
    <w:rsid w:val="00FD53C3"/>
    <w:rsid w:val="00FF00DF"/>
    <w:rsid w:val="00FF0513"/>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5EBE"/>
  <w15:chartTrackingRefBased/>
  <w15:docId w15:val="{F473679A-DD9E-4EFC-BDF6-0A7F3EAE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LegalNormal"/>
    <w:next w:val="LegalNormal"/>
    <w:semiHidden/>
    <w:rsid w:val="008B2B15"/>
    <w:pPr>
      <w:keepNext/>
      <w:jc w:val="right"/>
    </w:pPr>
    <w:rPr>
      <w:b/>
      <w:caps/>
    </w:rPr>
  </w:style>
  <w:style w:type="paragraph" w:customStyle="1" w:styleId="LegalTitle">
    <w:name w:val="Legal_Title"/>
    <w:basedOn w:val="LegalNormal"/>
    <w:next w:val="LegalNormal"/>
    <w:semiHidden/>
    <w:rsid w:val="008B2B15"/>
    <w:pPr>
      <w:keepNext/>
      <w:jc w:val="center"/>
    </w:pPr>
    <w:rPr>
      <w:b/>
      <w:caps/>
    </w:rPr>
  </w:style>
  <w:style w:type="paragraph" w:customStyle="1" w:styleId="LegalTramLines">
    <w:name w:val="Legal_TramLines"/>
    <w:basedOn w:val="LegalNormal"/>
    <w:next w:val="LegalNormal"/>
    <w:semiHidden/>
    <w:rsid w:val="008B2B15"/>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B2B15"/>
    <w:pPr>
      <w:tabs>
        <w:tab w:val="right" w:pos="8789"/>
      </w:tabs>
    </w:pPr>
  </w:style>
  <w:style w:type="paragraph" w:customStyle="1" w:styleId="LegalNormal">
    <w:name w:val="Legal_Normal"/>
    <w:basedOn w:val="Normal"/>
    <w:rsid w:val="008B2B15"/>
    <w:pPr>
      <w:suppressAutoHyphens/>
      <w:spacing w:after="360" w:line="480" w:lineRule="auto"/>
    </w:pPr>
    <w:rPr>
      <w:rFont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38745">
      <w:bodyDiv w:val="1"/>
      <w:marLeft w:val="0"/>
      <w:marRight w:val="0"/>
      <w:marTop w:val="0"/>
      <w:marBottom w:val="0"/>
      <w:divBdr>
        <w:top w:val="none" w:sz="0" w:space="0" w:color="auto"/>
        <w:left w:val="none" w:sz="0" w:space="0" w:color="auto"/>
        <w:bottom w:val="none" w:sz="0" w:space="0" w:color="auto"/>
        <w:right w:val="none" w:sz="0" w:space="0" w:color="auto"/>
      </w:divBdr>
    </w:div>
    <w:div w:id="17911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ie@ddebbeer.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ex@lowndes.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2325-2901-46C7-9B1E-D9F4BF2076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B7884-781F-4375-BF47-F3D72C214CC9}">
  <ds:schemaRefs>
    <ds:schemaRef ds:uri="http://schemas.microsoft.com/sharepoint/v3/contenttype/forms"/>
  </ds:schemaRefs>
</ds:datastoreItem>
</file>

<file path=customXml/itemProps3.xml><?xml version="1.0" encoding="utf-8"?>
<ds:datastoreItem xmlns:ds="http://schemas.openxmlformats.org/officeDocument/2006/customXml" ds:itemID="{9447A1E6-7BB5-4A70-90EE-382DB0D0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A1DE5-9EC7-4EC8-AF9F-45F47086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26373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HOME</cp:lastModifiedBy>
  <cp:revision>3</cp:revision>
  <cp:lastPrinted>2022-07-28T15:45:00Z</cp:lastPrinted>
  <dcterms:created xsi:type="dcterms:W3CDTF">2022-08-02T16:32:00Z</dcterms:created>
  <dcterms:modified xsi:type="dcterms:W3CDTF">2022-08-02T16:32:00Z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