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77777777" w:rsidR="006C43D7" w:rsidRPr="006C43D7" w:rsidRDefault="006C43D7" w:rsidP="006C43D7">
      <w:pPr>
        <w:spacing w:after="120" w:line="360" w:lineRule="auto"/>
        <w:jc w:val="center"/>
        <w:rPr>
          <w:rFonts w:cs="Arial"/>
          <w:b/>
          <w:bCs/>
        </w:rPr>
      </w:pPr>
      <w:bookmarkStart w:id="0" w:name="_GoBack"/>
      <w:bookmarkEnd w:id="0"/>
      <w:r w:rsidRPr="006C43D7">
        <w:rPr>
          <w:rFonts w:cs="Arial"/>
          <w:b/>
          <w:bCs/>
          <w:noProof/>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EA4713" w:rsidRDefault="006C43D7" w:rsidP="006C43D7">
      <w:pPr>
        <w:jc w:val="center"/>
        <w:rPr>
          <w:rFonts w:cs="Arial"/>
          <w:b/>
        </w:rPr>
      </w:pPr>
      <w:r w:rsidRPr="00EA4713">
        <w:rPr>
          <w:rFonts w:cs="Arial"/>
          <w:b/>
        </w:rPr>
        <w:t xml:space="preserve">IN THE HIGH COURT OF SOUTH AFRICA, </w:t>
      </w:r>
    </w:p>
    <w:p w14:paraId="566C4D1B" w14:textId="649B4E00" w:rsidR="006C43D7" w:rsidRPr="00EA4713" w:rsidRDefault="006C43D7" w:rsidP="006C43D7">
      <w:pPr>
        <w:jc w:val="center"/>
        <w:rPr>
          <w:rFonts w:cs="Arial"/>
          <w:b/>
        </w:rPr>
      </w:pPr>
      <w:r w:rsidRPr="00EA4713">
        <w:rPr>
          <w:rFonts w:cs="Arial"/>
          <w:b/>
        </w:rPr>
        <w:t>GAUTENG DIVISION, JOHANNESBURG</w:t>
      </w:r>
    </w:p>
    <w:p w14:paraId="350C3B4E" w14:textId="314BE8FE" w:rsidR="00A326F9" w:rsidRPr="00EA4713" w:rsidRDefault="00A326F9" w:rsidP="006C43D7">
      <w:pPr>
        <w:jc w:val="center"/>
        <w:rPr>
          <w:rFonts w:cs="Arial"/>
          <w:b/>
        </w:rPr>
      </w:pPr>
    </w:p>
    <w:p w14:paraId="3E423D94" w14:textId="77777777" w:rsidR="00A326F9" w:rsidRPr="00EA4713" w:rsidRDefault="00A326F9" w:rsidP="00A326F9">
      <w:pPr>
        <w:jc w:val="right"/>
        <w:rPr>
          <w:rFonts w:cs="Arial"/>
          <w:b/>
        </w:rPr>
      </w:pPr>
      <w:bookmarkStart w:id="1" w:name="_Hlk106699863"/>
      <w:r w:rsidRPr="00EA4713">
        <w:rPr>
          <w:rFonts w:cs="Arial"/>
          <w:b/>
        </w:rPr>
        <w:t>APPEAL CASE A100/2021</w:t>
      </w:r>
    </w:p>
    <w:p w14:paraId="483620F4" w14:textId="4846B14C" w:rsidR="00A326F9" w:rsidRPr="00EA4713" w:rsidRDefault="00A326F9" w:rsidP="00A326F9">
      <w:pPr>
        <w:jc w:val="right"/>
        <w:rPr>
          <w:rFonts w:cs="Arial"/>
          <w:b/>
        </w:rPr>
      </w:pPr>
      <w:r w:rsidRPr="00EA4713">
        <w:rPr>
          <w:rFonts w:cs="Arial"/>
          <w:b/>
        </w:rPr>
        <w:t>DPP REF. 10/2/5/1 – (2021/067)</w:t>
      </w:r>
    </w:p>
    <w:bookmarkEnd w:id="1"/>
    <w:p w14:paraId="13D6E83E" w14:textId="77777777" w:rsidR="006C43D7" w:rsidRPr="00EA4713" w:rsidRDefault="006C43D7" w:rsidP="006C43D7">
      <w:pPr>
        <w:jc w:val="both"/>
        <w:rPr>
          <w:rFonts w:cs="Arial"/>
          <w:b/>
        </w:rPr>
      </w:pPr>
    </w:p>
    <w:p w14:paraId="1463D30E" w14:textId="5D65B37B" w:rsidR="00D664AD" w:rsidRPr="00EA4713" w:rsidRDefault="00D664AD" w:rsidP="006C43D7">
      <w:pPr>
        <w:spacing w:line="360" w:lineRule="auto"/>
        <w:jc w:val="right"/>
        <w:rPr>
          <w:rFonts w:cs="Arial"/>
          <w:b/>
        </w:rPr>
      </w:pPr>
      <w:r w:rsidRPr="00EA4713">
        <w:rPr>
          <w:rFonts w:cs="Arial"/>
          <w:b/>
        </w:rPr>
        <w:t>DATE OF APPEAL: 2</w:t>
      </w:r>
      <w:r w:rsidR="000A5AB9" w:rsidRPr="00EA4713">
        <w:rPr>
          <w:rFonts w:cs="Arial"/>
          <w:b/>
        </w:rPr>
        <w:t>8</w:t>
      </w:r>
      <w:r w:rsidRPr="00EA4713">
        <w:rPr>
          <w:rFonts w:cs="Arial"/>
          <w:b/>
        </w:rPr>
        <w:t xml:space="preserve"> APRIL 2022</w:t>
      </w:r>
    </w:p>
    <w:p w14:paraId="0AF8DD38" w14:textId="77777777" w:rsidR="006C43D7" w:rsidRPr="00EA4713" w:rsidRDefault="006C43D7" w:rsidP="006C43D7">
      <w:pPr>
        <w:spacing w:line="360" w:lineRule="auto"/>
        <w:jc w:val="right"/>
        <w:rPr>
          <w:rFonts w:cs="Arial"/>
        </w:rPr>
      </w:pPr>
      <w:r w:rsidRPr="00EA4713">
        <w:rPr>
          <w:rFonts w:cs="Arial"/>
          <w:noProof/>
          <w:lang w:eastAsia="en-ZA"/>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9165D0" w:rsidRPr="00913F95" w:rsidRDefault="009165D0" w:rsidP="006C43D7">
                            <w:pPr>
                              <w:jc w:val="center"/>
                              <w:rPr>
                                <w:rFonts w:ascii="Century Gothic" w:hAnsi="Century Gothic"/>
                                <w:b/>
                                <w:sz w:val="20"/>
                                <w:szCs w:val="20"/>
                              </w:rPr>
                            </w:pPr>
                          </w:p>
                          <w:p w14:paraId="01FDAE28" w14:textId="5B16B777" w:rsidR="009165D0" w:rsidRDefault="009165D0" w:rsidP="00FC42BD">
                            <w:pPr>
                              <w:numPr>
                                <w:ilvl w:val="0"/>
                                <w:numId w:val="2"/>
                              </w:numPr>
                              <w:rPr>
                                <w:rFonts w:ascii="Century Gothic" w:hAnsi="Century Gothic"/>
                                <w:sz w:val="20"/>
                                <w:szCs w:val="20"/>
                              </w:rPr>
                            </w:pPr>
                            <w:r w:rsidRPr="001D3CC2">
                              <w:rPr>
                                <w:rFonts w:ascii="Century Gothic" w:hAnsi="Century Gothic"/>
                                <w:sz w:val="20"/>
                                <w:szCs w:val="20"/>
                              </w:rPr>
                              <w:t xml:space="preserve">REPORTABLE: </w:t>
                            </w:r>
                            <w:r>
                              <w:rPr>
                                <w:rFonts w:ascii="Century Gothic" w:hAnsi="Century Gothic"/>
                                <w:sz w:val="20"/>
                                <w:szCs w:val="20"/>
                              </w:rPr>
                              <w:t>NO</w:t>
                            </w:r>
                          </w:p>
                          <w:p w14:paraId="3A4C7296" w14:textId="61E7E1C2" w:rsidR="009165D0" w:rsidRPr="001D3CC2" w:rsidRDefault="009165D0" w:rsidP="00FC42BD">
                            <w:pPr>
                              <w:numPr>
                                <w:ilvl w:val="0"/>
                                <w:numId w:val="2"/>
                              </w:numPr>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">
                <v:textbox>
                  <w:txbxContent>
                    <w:p w14:paraId="0EA4B470" w14:textId="77777777" w:rsidR="009165D0" w:rsidRPr="00913F95" w:rsidRDefault="009165D0" w:rsidP="006C43D7">
                      <w:pPr>
                        <w:jc w:val="center"/>
                        <w:rPr>
                          <w:rFonts w:ascii="Century Gothic" w:hAnsi="Century Gothic"/>
                          <w:b/>
                          <w:sz w:val="20"/>
                          <w:szCs w:val="20"/>
                        </w:rPr>
                      </w:pPr>
                    </w:p>
                    <w:p w14:paraId="01FDAE28" w14:textId="5B16B777" w:rsidR="009165D0" w:rsidRDefault="009165D0" w:rsidP="00FC42BD">
                      <w:pPr>
                        <w:numPr>
                          <w:ilvl w:val="0"/>
                          <w:numId w:val="2"/>
                        </w:numPr>
                        <w:rPr>
                          <w:rFonts w:ascii="Century Gothic" w:hAnsi="Century Gothic"/>
                          <w:sz w:val="20"/>
                          <w:szCs w:val="20"/>
                        </w:rPr>
                      </w:pPr>
                      <w:r w:rsidRPr="001D3CC2">
                        <w:rPr>
                          <w:rFonts w:ascii="Century Gothic" w:hAnsi="Century Gothic"/>
                          <w:sz w:val="20"/>
                          <w:szCs w:val="20"/>
                        </w:rPr>
                        <w:t xml:space="preserve">REPORTABLE: </w:t>
                      </w:r>
                      <w:r>
                        <w:rPr>
                          <w:rFonts w:ascii="Century Gothic" w:hAnsi="Century Gothic"/>
                          <w:sz w:val="20"/>
                          <w:szCs w:val="20"/>
                        </w:rPr>
                        <w:t>NO</w:t>
                      </w:r>
                    </w:p>
                    <w:p w14:paraId="3A4C7296" w14:textId="61E7E1C2" w:rsidR="009165D0" w:rsidRPr="001D3CC2" w:rsidRDefault="009165D0" w:rsidP="00FC42BD">
                      <w:pPr>
                        <w:numPr>
                          <w:ilvl w:val="0"/>
                          <w:numId w:val="2"/>
                        </w:numPr>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EA4713" w:rsidRDefault="006C43D7" w:rsidP="006C43D7">
      <w:pPr>
        <w:spacing w:line="360" w:lineRule="auto"/>
        <w:jc w:val="both"/>
        <w:rPr>
          <w:rFonts w:cs="Arial"/>
        </w:rPr>
      </w:pPr>
    </w:p>
    <w:p w14:paraId="4E808D74" w14:textId="77777777" w:rsidR="006C43D7" w:rsidRPr="00EA4713" w:rsidRDefault="006C43D7" w:rsidP="006C43D7">
      <w:pPr>
        <w:spacing w:line="360" w:lineRule="auto"/>
        <w:jc w:val="both"/>
        <w:rPr>
          <w:rFonts w:cs="Arial"/>
        </w:rPr>
      </w:pPr>
    </w:p>
    <w:p w14:paraId="34BF70B6" w14:textId="77777777" w:rsidR="006C43D7" w:rsidRPr="00EA4713" w:rsidRDefault="006C43D7" w:rsidP="006C43D7">
      <w:pPr>
        <w:spacing w:line="360" w:lineRule="auto"/>
        <w:jc w:val="both"/>
        <w:rPr>
          <w:rFonts w:cs="Arial"/>
        </w:rPr>
      </w:pPr>
    </w:p>
    <w:p w14:paraId="2F53BA3A" w14:textId="77777777" w:rsidR="006C43D7" w:rsidRPr="00EA4713" w:rsidRDefault="006C43D7" w:rsidP="006C43D7">
      <w:pPr>
        <w:spacing w:line="480" w:lineRule="auto"/>
        <w:jc w:val="both"/>
        <w:rPr>
          <w:rFonts w:cs="Arial"/>
        </w:rPr>
      </w:pPr>
    </w:p>
    <w:p w14:paraId="3A1C212E" w14:textId="77777777" w:rsidR="006C43D7" w:rsidRPr="00EA4713" w:rsidRDefault="006C43D7" w:rsidP="006C43D7">
      <w:pPr>
        <w:spacing w:line="480" w:lineRule="auto"/>
        <w:jc w:val="both"/>
        <w:rPr>
          <w:rFonts w:cs="Arial"/>
        </w:rPr>
      </w:pPr>
    </w:p>
    <w:p w14:paraId="04919B1B" w14:textId="77777777" w:rsidR="001D3CC2" w:rsidRPr="00EA4713" w:rsidRDefault="001D3CC2" w:rsidP="006C43D7">
      <w:pPr>
        <w:spacing w:line="480" w:lineRule="auto"/>
        <w:jc w:val="both"/>
        <w:rPr>
          <w:rFonts w:cs="Arial"/>
          <w:szCs w:val="22"/>
        </w:rPr>
      </w:pPr>
    </w:p>
    <w:p w14:paraId="65EE98C6" w14:textId="77777777" w:rsidR="00AA7A76" w:rsidRPr="00EA4713" w:rsidRDefault="00AA7A76" w:rsidP="00AA7A76">
      <w:pPr>
        <w:spacing w:line="480" w:lineRule="auto"/>
        <w:jc w:val="both"/>
        <w:rPr>
          <w:rFonts w:cs="Arial"/>
          <w:szCs w:val="22"/>
        </w:rPr>
      </w:pPr>
      <w:r w:rsidRPr="00EA4713">
        <w:rPr>
          <w:rFonts w:cs="Arial"/>
          <w:szCs w:val="22"/>
        </w:rPr>
        <w:t>In the matter between:</w:t>
      </w:r>
    </w:p>
    <w:tbl>
      <w:tblPr>
        <w:tblW w:w="0" w:type="auto"/>
        <w:tblLook w:val="0000" w:firstRow="0" w:lastRow="0" w:firstColumn="0" w:lastColumn="0" w:noHBand="0" w:noVBand="0"/>
      </w:tblPr>
      <w:tblGrid>
        <w:gridCol w:w="6024"/>
        <w:gridCol w:w="2288"/>
      </w:tblGrid>
      <w:tr w:rsidR="00963A0C" w:rsidRPr="00EA4713" w14:paraId="6DAEA696" w14:textId="77777777" w:rsidTr="00A660AF">
        <w:tc>
          <w:tcPr>
            <w:tcW w:w="6204" w:type="dxa"/>
          </w:tcPr>
          <w:p w14:paraId="3DFDE496" w14:textId="49F21922" w:rsidR="00963A0C" w:rsidRPr="00EA4713" w:rsidRDefault="00A326F9" w:rsidP="001410DC">
            <w:pPr>
              <w:rPr>
                <w:rFonts w:cs="Arial"/>
                <w:b/>
                <w:szCs w:val="22"/>
              </w:rPr>
            </w:pPr>
            <w:r w:rsidRPr="00EA4713">
              <w:rPr>
                <w:rFonts w:cs="Arial"/>
                <w:b/>
                <w:spacing w:val="-3"/>
                <w:lang w:val="en-GB"/>
              </w:rPr>
              <w:t>MBULAHENI</w:t>
            </w:r>
            <w:r w:rsidR="007C7094" w:rsidRPr="00EA4713">
              <w:rPr>
                <w:rFonts w:cs="Arial"/>
                <w:b/>
                <w:spacing w:val="-3"/>
                <w:lang w:val="en-GB"/>
              </w:rPr>
              <w:t>,</w:t>
            </w:r>
            <w:r w:rsidRPr="00EA4713">
              <w:rPr>
                <w:rFonts w:cs="Arial"/>
                <w:b/>
                <w:szCs w:val="22"/>
              </w:rPr>
              <w:t xml:space="preserve"> </w:t>
            </w:r>
            <w:r w:rsidR="007C7094" w:rsidRPr="00EA4713">
              <w:rPr>
                <w:rFonts w:cs="Arial"/>
                <w:b/>
                <w:szCs w:val="22"/>
              </w:rPr>
              <w:t xml:space="preserve">DANIEL </w:t>
            </w:r>
            <w:r w:rsidR="007C7094" w:rsidRPr="00EA4713">
              <w:rPr>
                <w:rFonts w:cs="Arial"/>
                <w:b/>
                <w:spacing w:val="-3"/>
                <w:lang w:val="en-GB"/>
              </w:rPr>
              <w:t>RAVHENGANI</w:t>
            </w:r>
          </w:p>
        </w:tc>
        <w:tc>
          <w:tcPr>
            <w:tcW w:w="2324" w:type="dxa"/>
          </w:tcPr>
          <w:p w14:paraId="50371F0A" w14:textId="67BAFC53" w:rsidR="00963A0C" w:rsidRPr="00EA4713" w:rsidRDefault="00D664AD" w:rsidP="00BF086D">
            <w:pPr>
              <w:jc w:val="right"/>
              <w:rPr>
                <w:rFonts w:cs="Arial"/>
                <w:szCs w:val="22"/>
              </w:rPr>
            </w:pPr>
            <w:r w:rsidRPr="00EA4713">
              <w:rPr>
                <w:rFonts w:cs="Arial"/>
                <w:szCs w:val="22"/>
              </w:rPr>
              <w:t>Appellant</w:t>
            </w:r>
          </w:p>
        </w:tc>
      </w:tr>
      <w:tr w:rsidR="00B428A6" w:rsidRPr="00EA4713" w14:paraId="4352DB7C" w14:textId="77777777" w:rsidTr="009165D0">
        <w:tc>
          <w:tcPr>
            <w:tcW w:w="6204" w:type="dxa"/>
          </w:tcPr>
          <w:p w14:paraId="2249E2C2" w14:textId="73930BAE" w:rsidR="00B428A6" w:rsidRPr="00EA4713" w:rsidRDefault="00B428A6" w:rsidP="009165D0">
            <w:pPr>
              <w:rPr>
                <w:rFonts w:cs="Arial"/>
                <w:b/>
                <w:szCs w:val="22"/>
              </w:rPr>
            </w:pPr>
          </w:p>
        </w:tc>
        <w:tc>
          <w:tcPr>
            <w:tcW w:w="2324" w:type="dxa"/>
          </w:tcPr>
          <w:p w14:paraId="078CE5A7" w14:textId="0B6EE73A" w:rsidR="00B428A6" w:rsidRPr="00EA4713" w:rsidRDefault="00B428A6" w:rsidP="009165D0">
            <w:pPr>
              <w:jc w:val="right"/>
              <w:rPr>
                <w:rFonts w:cs="Arial"/>
                <w:szCs w:val="22"/>
              </w:rPr>
            </w:pPr>
          </w:p>
        </w:tc>
      </w:tr>
      <w:tr w:rsidR="00AA7A76" w:rsidRPr="00EA4713" w14:paraId="24790570" w14:textId="77777777" w:rsidTr="00B428A6">
        <w:trPr>
          <w:trHeight w:val="66"/>
        </w:trPr>
        <w:tc>
          <w:tcPr>
            <w:tcW w:w="6204" w:type="dxa"/>
          </w:tcPr>
          <w:p w14:paraId="7D55BAE9" w14:textId="77777777" w:rsidR="0036668C" w:rsidRPr="00EA4713" w:rsidRDefault="0036668C" w:rsidP="00073E30">
            <w:pPr>
              <w:rPr>
                <w:rFonts w:cs="Arial"/>
                <w:bCs/>
                <w:szCs w:val="22"/>
              </w:rPr>
            </w:pPr>
          </w:p>
          <w:p w14:paraId="6856A62F" w14:textId="4BE3CDA9" w:rsidR="00AA7A76" w:rsidRPr="00EA4713" w:rsidRDefault="00073E30" w:rsidP="00073E30">
            <w:pPr>
              <w:rPr>
                <w:rFonts w:cs="Arial"/>
                <w:bCs/>
                <w:szCs w:val="22"/>
              </w:rPr>
            </w:pPr>
            <w:r w:rsidRPr="00EA4713">
              <w:rPr>
                <w:rFonts w:cs="Arial"/>
                <w:bCs/>
                <w:szCs w:val="22"/>
              </w:rPr>
              <w:t>a</w:t>
            </w:r>
            <w:r w:rsidR="00AA7A76" w:rsidRPr="00EA4713">
              <w:rPr>
                <w:rFonts w:cs="Arial"/>
                <w:bCs/>
                <w:szCs w:val="22"/>
              </w:rPr>
              <w:t>nd</w:t>
            </w:r>
            <w:r w:rsidRPr="00EA4713">
              <w:rPr>
                <w:rFonts w:cs="Arial"/>
                <w:bCs/>
                <w:szCs w:val="22"/>
              </w:rPr>
              <w:t xml:space="preserve">  </w:t>
            </w:r>
          </w:p>
        </w:tc>
        <w:tc>
          <w:tcPr>
            <w:tcW w:w="2324" w:type="dxa"/>
          </w:tcPr>
          <w:p w14:paraId="5F32371C" w14:textId="02104B7C" w:rsidR="00AA7A76" w:rsidRPr="00EA4713" w:rsidRDefault="00AA7A76" w:rsidP="00FC42BD">
            <w:pPr>
              <w:jc w:val="right"/>
              <w:rPr>
                <w:rFonts w:cs="Arial"/>
                <w:szCs w:val="22"/>
              </w:rPr>
            </w:pPr>
          </w:p>
        </w:tc>
      </w:tr>
      <w:tr w:rsidR="00AA7A76" w:rsidRPr="00EA4713" w14:paraId="403B2267" w14:textId="77777777" w:rsidTr="00A660AF">
        <w:tc>
          <w:tcPr>
            <w:tcW w:w="6204" w:type="dxa"/>
          </w:tcPr>
          <w:p w14:paraId="51D2727A" w14:textId="77777777" w:rsidR="00AA7A76" w:rsidRPr="00EA4713" w:rsidRDefault="00AA7A76" w:rsidP="00FC42BD">
            <w:pPr>
              <w:rPr>
                <w:rFonts w:cs="Arial"/>
                <w:b/>
                <w:szCs w:val="22"/>
              </w:rPr>
            </w:pPr>
          </w:p>
        </w:tc>
        <w:tc>
          <w:tcPr>
            <w:tcW w:w="2324" w:type="dxa"/>
          </w:tcPr>
          <w:p w14:paraId="117E9587" w14:textId="77777777" w:rsidR="00AA7A76" w:rsidRPr="00EA4713" w:rsidRDefault="00AA7A76" w:rsidP="00C72A4C">
            <w:pPr>
              <w:jc w:val="right"/>
              <w:rPr>
                <w:rFonts w:cs="Arial"/>
                <w:szCs w:val="22"/>
              </w:rPr>
            </w:pPr>
          </w:p>
        </w:tc>
      </w:tr>
      <w:tr w:rsidR="00C72A4C" w:rsidRPr="00EA4713" w14:paraId="0BC47F72" w14:textId="77777777" w:rsidTr="00A660AF">
        <w:tc>
          <w:tcPr>
            <w:tcW w:w="6204" w:type="dxa"/>
          </w:tcPr>
          <w:p w14:paraId="70CF7960" w14:textId="77777777" w:rsidR="00C72A4C" w:rsidRPr="00EA4713" w:rsidRDefault="00C72A4C" w:rsidP="00FC42BD">
            <w:pPr>
              <w:rPr>
                <w:rFonts w:cs="Arial"/>
                <w:b/>
                <w:szCs w:val="22"/>
              </w:rPr>
            </w:pPr>
          </w:p>
        </w:tc>
        <w:tc>
          <w:tcPr>
            <w:tcW w:w="2324" w:type="dxa"/>
          </w:tcPr>
          <w:p w14:paraId="62705D9F" w14:textId="77777777" w:rsidR="00C72A4C" w:rsidRPr="00EA4713" w:rsidRDefault="00C72A4C" w:rsidP="00C72A4C">
            <w:pPr>
              <w:jc w:val="right"/>
              <w:rPr>
                <w:rFonts w:cs="Arial"/>
                <w:szCs w:val="22"/>
              </w:rPr>
            </w:pPr>
          </w:p>
        </w:tc>
      </w:tr>
      <w:tr w:rsidR="00C72A4C" w:rsidRPr="00EA4713" w14:paraId="1F2B7047" w14:textId="77777777" w:rsidTr="00A660AF">
        <w:tc>
          <w:tcPr>
            <w:tcW w:w="6204" w:type="dxa"/>
          </w:tcPr>
          <w:p w14:paraId="0BC6D48A" w14:textId="607F234A" w:rsidR="00C72A4C" w:rsidRPr="00EA4713" w:rsidRDefault="00C72A4C" w:rsidP="00FC42BD">
            <w:pPr>
              <w:rPr>
                <w:rFonts w:cs="Arial"/>
                <w:b/>
                <w:szCs w:val="22"/>
              </w:rPr>
            </w:pPr>
            <w:r w:rsidRPr="00EA4713">
              <w:rPr>
                <w:rFonts w:cs="Arial"/>
                <w:b/>
                <w:szCs w:val="22"/>
              </w:rPr>
              <w:t>THE STATE</w:t>
            </w:r>
          </w:p>
        </w:tc>
        <w:tc>
          <w:tcPr>
            <w:tcW w:w="2324" w:type="dxa"/>
          </w:tcPr>
          <w:p w14:paraId="65D45E1D" w14:textId="4248E628" w:rsidR="00C72A4C" w:rsidRPr="00EA4713" w:rsidRDefault="00C72A4C" w:rsidP="00C72A4C">
            <w:pPr>
              <w:jc w:val="right"/>
              <w:rPr>
                <w:rFonts w:cs="Arial"/>
                <w:szCs w:val="22"/>
              </w:rPr>
            </w:pPr>
            <w:r w:rsidRPr="00EA4713">
              <w:rPr>
                <w:rFonts w:cs="Arial"/>
                <w:szCs w:val="22"/>
              </w:rPr>
              <w:t>Respondent</w:t>
            </w:r>
          </w:p>
        </w:tc>
      </w:tr>
    </w:tbl>
    <w:p w14:paraId="5CA8F57B" w14:textId="77777777" w:rsidR="006C43D7" w:rsidRPr="00EA4713" w:rsidRDefault="006C43D7" w:rsidP="006C43D7">
      <w:pPr>
        <w:pBdr>
          <w:bottom w:val="single" w:sz="4" w:space="1" w:color="auto"/>
        </w:pBdr>
        <w:spacing w:line="360" w:lineRule="auto"/>
        <w:jc w:val="both"/>
        <w:rPr>
          <w:rFonts w:cs="Arial"/>
          <w:szCs w:val="22"/>
        </w:rPr>
      </w:pPr>
    </w:p>
    <w:p w14:paraId="387BBDD6" w14:textId="77777777" w:rsidR="00BF086D" w:rsidRPr="00EA4713" w:rsidRDefault="00BF086D" w:rsidP="006C43D7">
      <w:pPr>
        <w:pBdr>
          <w:bottom w:val="single" w:sz="4" w:space="1" w:color="auto"/>
        </w:pBdr>
        <w:spacing w:line="360" w:lineRule="auto"/>
        <w:jc w:val="both"/>
        <w:rPr>
          <w:rFonts w:cs="Arial"/>
          <w:szCs w:val="22"/>
        </w:rPr>
      </w:pPr>
    </w:p>
    <w:p w14:paraId="58DE5549" w14:textId="77777777" w:rsidR="006C43D7" w:rsidRPr="00EA4713" w:rsidRDefault="006C43D7" w:rsidP="006C43D7">
      <w:pPr>
        <w:spacing w:line="276" w:lineRule="auto"/>
        <w:jc w:val="both"/>
        <w:rPr>
          <w:rFonts w:cs="Arial"/>
          <w:szCs w:val="22"/>
        </w:rPr>
      </w:pPr>
    </w:p>
    <w:p w14:paraId="647AB70C" w14:textId="77777777" w:rsidR="006C43D7" w:rsidRPr="00EA4713" w:rsidRDefault="006C43D7" w:rsidP="006C43D7">
      <w:pPr>
        <w:keepNext/>
        <w:spacing w:line="276" w:lineRule="auto"/>
        <w:jc w:val="center"/>
        <w:outlineLvl w:val="1"/>
        <w:rPr>
          <w:rFonts w:cs="Arial"/>
          <w:b/>
          <w:bCs/>
          <w:szCs w:val="22"/>
        </w:rPr>
      </w:pPr>
      <w:r w:rsidRPr="00EA4713">
        <w:rPr>
          <w:rFonts w:cs="Arial"/>
          <w:b/>
          <w:bCs/>
          <w:szCs w:val="22"/>
        </w:rPr>
        <w:t>JUDGMENT</w:t>
      </w:r>
    </w:p>
    <w:p w14:paraId="52CD25EB" w14:textId="77777777" w:rsidR="006C43D7" w:rsidRPr="00EA4713" w:rsidRDefault="006C43D7" w:rsidP="006C43D7">
      <w:pPr>
        <w:pBdr>
          <w:bottom w:val="single" w:sz="4" w:space="1" w:color="auto"/>
        </w:pBdr>
        <w:jc w:val="both"/>
        <w:rPr>
          <w:rFonts w:cs="Arial"/>
          <w:szCs w:val="22"/>
        </w:rPr>
      </w:pPr>
    </w:p>
    <w:p w14:paraId="6DF2216D" w14:textId="77777777" w:rsidR="00482E25" w:rsidRDefault="00482E25" w:rsidP="00482E25">
      <w:pPr>
        <w:spacing w:after="200" w:line="480" w:lineRule="auto"/>
        <w:contextualSpacing/>
        <w:jc w:val="right"/>
        <w:rPr>
          <w:rFonts w:cs="Arial"/>
          <w:b/>
          <w:i/>
          <w:iCs/>
          <w:szCs w:val="22"/>
        </w:rPr>
      </w:pPr>
    </w:p>
    <w:p w14:paraId="5E2452E9" w14:textId="6F6E1A41" w:rsidR="00482E25" w:rsidRPr="007A136C" w:rsidRDefault="00482E25" w:rsidP="00482E25">
      <w:pPr>
        <w:spacing w:after="200" w:line="480" w:lineRule="auto"/>
        <w:contextualSpacing/>
        <w:jc w:val="right"/>
        <w:rPr>
          <w:rFonts w:cs="Arial"/>
          <w:b/>
          <w:i/>
          <w:iCs/>
          <w:szCs w:val="22"/>
        </w:rPr>
      </w:pPr>
      <w:r w:rsidRPr="007A136C">
        <w:rPr>
          <w:rFonts w:cs="Arial"/>
          <w:b/>
          <w:i/>
          <w:iCs/>
          <w:szCs w:val="22"/>
        </w:rPr>
        <w:t>Electronically submitted</w:t>
      </w:r>
    </w:p>
    <w:p w14:paraId="58646E5E" w14:textId="64F8CF0F" w:rsidR="00482E25" w:rsidRDefault="00482E25" w:rsidP="00482E25">
      <w:pPr>
        <w:spacing w:after="200" w:line="360" w:lineRule="auto"/>
        <w:contextualSpacing/>
        <w:jc w:val="both"/>
        <w:rPr>
          <w:rFonts w:eastAsia="Arial Unicode MS" w:cs="Arial"/>
          <w:b/>
          <w:bCs/>
          <w:szCs w:val="22"/>
        </w:rPr>
      </w:pPr>
      <w:r w:rsidRPr="007A136C">
        <w:rPr>
          <w:rFonts w:eastAsia="Arial Unicode MS" w:cs="Arial"/>
          <w:bCs/>
          <w:szCs w:val="22"/>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 </w:t>
      </w:r>
      <w:r>
        <w:rPr>
          <w:rFonts w:eastAsia="Arial Unicode MS" w:cs="Arial"/>
          <w:b/>
          <w:bCs/>
          <w:szCs w:val="22"/>
        </w:rPr>
        <w:t>25 July 2022.</w:t>
      </w:r>
    </w:p>
    <w:p w14:paraId="382C54D5" w14:textId="20669804" w:rsidR="00482E25" w:rsidRDefault="00482E25" w:rsidP="00482E25">
      <w:pPr>
        <w:spacing w:after="200" w:line="360" w:lineRule="auto"/>
        <w:contextualSpacing/>
        <w:jc w:val="both"/>
        <w:rPr>
          <w:rFonts w:eastAsia="Arial Unicode MS" w:cs="Arial"/>
          <w:b/>
          <w:bCs/>
          <w:szCs w:val="22"/>
        </w:rPr>
      </w:pPr>
    </w:p>
    <w:p w14:paraId="49131AE1" w14:textId="72B359DE" w:rsidR="00482E25" w:rsidRDefault="00482E25" w:rsidP="00482E25">
      <w:pPr>
        <w:spacing w:after="480" w:line="480" w:lineRule="auto"/>
        <w:jc w:val="both"/>
        <w:rPr>
          <w:rFonts w:cs="Arial"/>
          <w:b/>
          <w:szCs w:val="22"/>
        </w:rPr>
      </w:pPr>
      <w:r>
        <w:rPr>
          <w:rFonts w:cs="Arial"/>
          <w:b/>
          <w:szCs w:val="22"/>
        </w:rPr>
        <w:t>M</w:t>
      </w:r>
      <w:r w:rsidRPr="007A136C">
        <w:rPr>
          <w:rFonts w:cs="Arial"/>
          <w:b/>
          <w:szCs w:val="22"/>
        </w:rPr>
        <w:t xml:space="preserve">OORCROFT AJ </w:t>
      </w:r>
      <w:r>
        <w:rPr>
          <w:rFonts w:cs="Arial"/>
          <w:b/>
          <w:szCs w:val="22"/>
        </w:rPr>
        <w:t>(SUTHERLAND DJP AND MAZIBUKO AJ CONCURRING)</w:t>
      </w:r>
    </w:p>
    <w:p w14:paraId="32DA3C2C" w14:textId="77777777" w:rsidR="003A6F23" w:rsidRPr="007A136C" w:rsidRDefault="003A6F23" w:rsidP="003A6F23">
      <w:pPr>
        <w:keepNext/>
        <w:spacing w:after="480" w:line="480" w:lineRule="auto"/>
        <w:jc w:val="both"/>
        <w:rPr>
          <w:rFonts w:cs="Arial"/>
          <w:bCs/>
          <w:szCs w:val="22"/>
          <w:u w:val="single"/>
        </w:rPr>
      </w:pPr>
      <w:r w:rsidRPr="007A136C">
        <w:rPr>
          <w:rFonts w:cs="Arial"/>
          <w:bCs/>
          <w:szCs w:val="22"/>
          <w:u w:val="single"/>
        </w:rPr>
        <w:t>Order</w:t>
      </w:r>
    </w:p>
    <w:p w14:paraId="794327A4" w14:textId="7076EC93" w:rsidR="003A6F23" w:rsidRPr="007A136C" w:rsidRDefault="003A6F23" w:rsidP="003A6F23">
      <w:pPr>
        <w:numPr>
          <w:ilvl w:val="0"/>
          <w:numId w:val="1"/>
        </w:numPr>
        <w:spacing w:after="480" w:line="480" w:lineRule="auto"/>
        <w:jc w:val="both"/>
        <w:rPr>
          <w:rFonts w:cs="Arial"/>
          <w:bCs/>
          <w:szCs w:val="22"/>
        </w:rPr>
      </w:pPr>
      <w:r w:rsidRPr="007A136C">
        <w:rPr>
          <w:rFonts w:cs="Arial"/>
          <w:bCs/>
          <w:szCs w:val="22"/>
        </w:rPr>
        <w:t xml:space="preserve">In this </w:t>
      </w:r>
      <w:r w:rsidR="00392774">
        <w:rPr>
          <w:rFonts w:cs="Arial"/>
          <w:bCs/>
          <w:szCs w:val="22"/>
        </w:rPr>
        <w:t>appeal</w:t>
      </w:r>
      <w:r w:rsidRPr="007A136C">
        <w:rPr>
          <w:rFonts w:cs="Arial"/>
          <w:bCs/>
          <w:szCs w:val="22"/>
        </w:rPr>
        <w:t xml:space="preserve"> the following order</w:t>
      </w:r>
      <w:r w:rsidR="00392774">
        <w:rPr>
          <w:rFonts w:cs="Arial"/>
          <w:bCs/>
          <w:szCs w:val="22"/>
        </w:rPr>
        <w:t xml:space="preserve"> is made</w:t>
      </w:r>
      <w:r w:rsidRPr="007A136C">
        <w:rPr>
          <w:rFonts w:cs="Arial"/>
          <w:bCs/>
          <w:szCs w:val="22"/>
        </w:rPr>
        <w:t>:</w:t>
      </w:r>
    </w:p>
    <w:p w14:paraId="3987025B" w14:textId="264DD07D" w:rsidR="00841E79" w:rsidRPr="007A136C" w:rsidRDefault="00F46811" w:rsidP="00F80A86">
      <w:pPr>
        <w:pStyle w:val="ListParagraph"/>
        <w:numPr>
          <w:ilvl w:val="0"/>
          <w:numId w:val="11"/>
        </w:numPr>
        <w:spacing w:before="120" w:after="120"/>
        <w:contextualSpacing w:val="0"/>
        <w:jc w:val="both"/>
        <w:rPr>
          <w:rFonts w:cs="Arial"/>
          <w:i/>
          <w:iCs/>
          <w:szCs w:val="22"/>
        </w:rPr>
      </w:pPr>
      <w:r w:rsidRPr="007A136C">
        <w:rPr>
          <w:rFonts w:cs="Arial"/>
          <w:i/>
          <w:iCs/>
          <w:szCs w:val="22"/>
        </w:rPr>
        <w:t xml:space="preserve">The matter is remitted to the Magistrates’ Court </w:t>
      </w:r>
      <w:r w:rsidR="00191859" w:rsidRPr="007A136C">
        <w:rPr>
          <w:rFonts w:cs="Arial"/>
          <w:i/>
          <w:iCs/>
          <w:szCs w:val="22"/>
        </w:rPr>
        <w:t xml:space="preserve">in terms of </w:t>
      </w:r>
      <w:r w:rsidR="00191859" w:rsidRPr="007A136C">
        <w:rPr>
          <w:rFonts w:cs="Arial"/>
          <w:bCs/>
          <w:i/>
          <w:iCs/>
          <w:szCs w:val="22"/>
        </w:rPr>
        <w:t xml:space="preserve">section 304(2)(c)(v) of the Criminal Procedure Act, 51 of 1977 read with section 309(3) </w:t>
      </w:r>
      <w:r w:rsidRPr="007A136C">
        <w:rPr>
          <w:rFonts w:cs="Arial"/>
          <w:i/>
          <w:iCs/>
          <w:szCs w:val="22"/>
        </w:rPr>
        <w:t xml:space="preserve">and the State is directed to place </w:t>
      </w:r>
      <w:r w:rsidR="00F80A86" w:rsidRPr="007A136C">
        <w:rPr>
          <w:rFonts w:cs="Arial"/>
          <w:i/>
          <w:iCs/>
          <w:szCs w:val="22"/>
        </w:rPr>
        <w:t>any</w:t>
      </w:r>
      <w:r w:rsidRPr="007A136C">
        <w:rPr>
          <w:rFonts w:cs="Arial"/>
          <w:i/>
          <w:iCs/>
          <w:szCs w:val="22"/>
        </w:rPr>
        <w:t xml:space="preserve"> report </w:t>
      </w:r>
      <w:r w:rsidR="009C0843" w:rsidRPr="007A136C">
        <w:rPr>
          <w:rFonts w:cs="Arial"/>
          <w:i/>
          <w:iCs/>
          <w:szCs w:val="22"/>
        </w:rPr>
        <w:t xml:space="preserve">by medical professionals at the Sterkfontein Hospital together with any medical evidence or reports produced </w:t>
      </w:r>
      <w:r w:rsidR="00F80A86" w:rsidRPr="007A136C">
        <w:rPr>
          <w:rFonts w:cs="Arial"/>
          <w:i/>
          <w:iCs/>
          <w:szCs w:val="22"/>
        </w:rPr>
        <w:t xml:space="preserve">in respect of the appellant </w:t>
      </w:r>
      <w:r w:rsidR="009C0843" w:rsidRPr="007A136C">
        <w:rPr>
          <w:rFonts w:cs="Arial"/>
          <w:i/>
          <w:iCs/>
          <w:szCs w:val="22"/>
        </w:rPr>
        <w:t>during the period of his referral to the Hospital, before the Trial Court for consideration;</w:t>
      </w:r>
    </w:p>
    <w:p w14:paraId="03B2BA1B" w14:textId="0F2ACBF5" w:rsidR="009C0843" w:rsidRPr="007A136C" w:rsidRDefault="00191859" w:rsidP="00F80A86">
      <w:pPr>
        <w:pStyle w:val="ListParagraph"/>
        <w:numPr>
          <w:ilvl w:val="0"/>
          <w:numId w:val="11"/>
        </w:numPr>
        <w:spacing w:before="120" w:after="120"/>
        <w:contextualSpacing w:val="0"/>
        <w:jc w:val="both"/>
        <w:rPr>
          <w:rFonts w:cs="Arial"/>
          <w:i/>
          <w:iCs/>
          <w:szCs w:val="22"/>
        </w:rPr>
      </w:pPr>
      <w:r w:rsidRPr="007A136C">
        <w:rPr>
          <w:rFonts w:cs="Arial"/>
          <w:i/>
          <w:iCs/>
          <w:szCs w:val="22"/>
        </w:rPr>
        <w:t>The Legal Aid Board is requested to assist the appellant in placing this medical evidence before the Trial Court in accordance with the rules of evidence and criminal procedure;</w:t>
      </w:r>
    </w:p>
    <w:p w14:paraId="457C4C72" w14:textId="29AE4C05" w:rsidR="003A6F23" w:rsidRPr="00FD1D24" w:rsidRDefault="00191859" w:rsidP="00FD1D24">
      <w:pPr>
        <w:pStyle w:val="ListParagraph"/>
        <w:numPr>
          <w:ilvl w:val="0"/>
          <w:numId w:val="11"/>
        </w:numPr>
        <w:spacing w:before="120" w:after="120"/>
        <w:contextualSpacing w:val="0"/>
        <w:jc w:val="both"/>
        <w:rPr>
          <w:rFonts w:cs="Arial"/>
          <w:i/>
          <w:iCs/>
          <w:szCs w:val="22"/>
        </w:rPr>
      </w:pPr>
      <w:r w:rsidRPr="007A136C">
        <w:rPr>
          <w:rFonts w:cs="Arial"/>
          <w:i/>
          <w:iCs/>
          <w:szCs w:val="22"/>
        </w:rPr>
        <w:t xml:space="preserve">The Trial Court is directed to consider the sentence imposed on the appellant in the light of the evidence so placed before the Trial Court, and if it is so decided to </w:t>
      </w:r>
      <w:r w:rsidR="00A55380" w:rsidRPr="007A136C">
        <w:rPr>
          <w:rFonts w:cs="Arial"/>
          <w:i/>
          <w:iCs/>
          <w:szCs w:val="22"/>
        </w:rPr>
        <w:t>substitute a different sentence for</w:t>
      </w:r>
      <w:r w:rsidRPr="007A136C">
        <w:rPr>
          <w:rFonts w:cs="Arial"/>
          <w:i/>
          <w:iCs/>
          <w:szCs w:val="22"/>
        </w:rPr>
        <w:t xml:space="preserve"> the sentence</w:t>
      </w:r>
      <w:r w:rsidR="00A55380" w:rsidRPr="007A136C">
        <w:rPr>
          <w:rFonts w:cs="Arial"/>
          <w:i/>
          <w:iCs/>
          <w:szCs w:val="22"/>
        </w:rPr>
        <w:t xml:space="preserve"> imposed.</w:t>
      </w:r>
    </w:p>
    <w:p w14:paraId="66FD2407" w14:textId="77777777" w:rsidR="00FD1D24" w:rsidRPr="003475CD" w:rsidRDefault="00FD1D24" w:rsidP="00FD1D24">
      <w:pPr>
        <w:spacing w:before="480" w:after="480" w:line="360" w:lineRule="auto"/>
        <w:jc w:val="both"/>
        <w:rPr>
          <w:rFonts w:cs="Arial"/>
          <w:bCs/>
          <w:szCs w:val="22"/>
          <w:u w:val="single"/>
        </w:rPr>
      </w:pPr>
      <w:r>
        <w:rPr>
          <w:rFonts w:cs="Arial"/>
          <w:szCs w:val="22"/>
          <w:u w:val="single"/>
        </w:rPr>
        <w:t>Composition of the B</w:t>
      </w:r>
      <w:r w:rsidRPr="003475CD">
        <w:rPr>
          <w:rFonts w:cs="Arial"/>
          <w:szCs w:val="22"/>
          <w:u w:val="single"/>
        </w:rPr>
        <w:t>ench</w:t>
      </w:r>
    </w:p>
    <w:p w14:paraId="185C0D91" w14:textId="50638EE1" w:rsidR="00FD1D24" w:rsidRPr="00284B6E" w:rsidRDefault="00FD1D24" w:rsidP="00284B6E">
      <w:pPr>
        <w:numPr>
          <w:ilvl w:val="0"/>
          <w:numId w:val="1"/>
        </w:numPr>
        <w:spacing w:before="480" w:after="480" w:line="360" w:lineRule="auto"/>
        <w:jc w:val="both"/>
        <w:rPr>
          <w:rFonts w:cs="Arial"/>
          <w:bCs/>
          <w:szCs w:val="22"/>
        </w:rPr>
      </w:pPr>
      <w:r>
        <w:rPr>
          <w:rFonts w:cs="Arial"/>
          <w:bCs/>
          <w:szCs w:val="22"/>
        </w:rPr>
        <w:t xml:space="preserve">This appeal was heard by Mazibuko AJ and me. At the conclusion of the hearing no consensus could be reached between us on the appropriate order. As a result, it was </w:t>
      </w:r>
      <w:r w:rsidR="00284B6E">
        <w:rPr>
          <w:rFonts w:cs="Arial"/>
          <w:bCs/>
          <w:szCs w:val="22"/>
        </w:rPr>
        <w:t>necessary,</w:t>
      </w:r>
      <w:r w:rsidRPr="00284B6E">
        <w:rPr>
          <w:rFonts w:cs="Arial"/>
          <w:bCs/>
          <w:szCs w:val="22"/>
        </w:rPr>
        <w:t xml:space="preserve"> pursuant to Section 14(3) of the Superior Courts Act</w:t>
      </w:r>
      <w:r w:rsidR="00284B6E">
        <w:rPr>
          <w:rFonts w:cs="Arial"/>
          <w:bCs/>
          <w:szCs w:val="22"/>
        </w:rPr>
        <w:t>,</w:t>
      </w:r>
      <w:r w:rsidRPr="00284B6E">
        <w:rPr>
          <w:rFonts w:cs="Arial"/>
          <w:bCs/>
          <w:szCs w:val="22"/>
        </w:rPr>
        <w:t xml:space="preserve"> to enlist a third judge to deliberate. Sutherland DJP thereupon joined the bench seized of the matter.</w:t>
      </w:r>
      <w:r w:rsidR="000A288B">
        <w:rPr>
          <w:rFonts w:cs="Arial"/>
          <w:bCs/>
          <w:szCs w:val="22"/>
        </w:rPr>
        <w:t xml:space="preserve"> We are in agreement with this judgment.</w:t>
      </w:r>
    </w:p>
    <w:p w14:paraId="44A73792" w14:textId="73877D42" w:rsidR="00FD1D24" w:rsidRPr="00FD1D24" w:rsidRDefault="00FD1D24" w:rsidP="00FD1D24">
      <w:pPr>
        <w:spacing w:before="480" w:after="480" w:line="360" w:lineRule="auto"/>
        <w:jc w:val="both"/>
        <w:rPr>
          <w:rFonts w:cs="Arial"/>
          <w:bCs/>
          <w:szCs w:val="22"/>
          <w:u w:val="single"/>
        </w:rPr>
      </w:pPr>
      <w:r w:rsidRPr="00FD1D24">
        <w:rPr>
          <w:rFonts w:cs="Arial"/>
          <w:bCs/>
          <w:szCs w:val="22"/>
          <w:u w:val="single"/>
        </w:rPr>
        <w:t xml:space="preserve">Introduction to the </w:t>
      </w:r>
      <w:r w:rsidR="00284B6E">
        <w:rPr>
          <w:rFonts w:cs="Arial"/>
          <w:bCs/>
          <w:szCs w:val="22"/>
          <w:u w:val="single"/>
        </w:rPr>
        <w:t xml:space="preserve">evaluation of the appeal </w:t>
      </w:r>
    </w:p>
    <w:p w14:paraId="5030CA36" w14:textId="714D7C52" w:rsidR="007F189B" w:rsidRPr="007A136C" w:rsidRDefault="003434FF" w:rsidP="001A45A9">
      <w:pPr>
        <w:numPr>
          <w:ilvl w:val="0"/>
          <w:numId w:val="1"/>
        </w:numPr>
        <w:spacing w:before="480" w:after="480" w:line="360" w:lineRule="auto"/>
        <w:jc w:val="both"/>
        <w:rPr>
          <w:rFonts w:cs="Arial"/>
          <w:bCs/>
          <w:szCs w:val="22"/>
        </w:rPr>
      </w:pPr>
      <w:r w:rsidRPr="007A136C">
        <w:rPr>
          <w:rFonts w:cs="Arial"/>
          <w:bCs/>
          <w:szCs w:val="22"/>
        </w:rPr>
        <w:t>The appellant was convicted</w:t>
      </w:r>
      <w:r w:rsidR="002035B6" w:rsidRPr="007A136C">
        <w:rPr>
          <w:rFonts w:cs="Arial"/>
          <w:bCs/>
          <w:szCs w:val="22"/>
        </w:rPr>
        <w:t xml:space="preserve"> in the Regional Court</w:t>
      </w:r>
      <w:r w:rsidRPr="007A136C">
        <w:rPr>
          <w:rFonts w:cs="Arial"/>
          <w:bCs/>
          <w:szCs w:val="22"/>
        </w:rPr>
        <w:t xml:space="preserve"> of </w:t>
      </w:r>
      <w:r w:rsidR="002035B6" w:rsidRPr="007A136C">
        <w:rPr>
          <w:rFonts w:cs="Arial"/>
          <w:bCs/>
          <w:szCs w:val="22"/>
        </w:rPr>
        <w:t xml:space="preserve">contravening </w:t>
      </w:r>
      <w:bookmarkStart w:id="2" w:name="_Hlk106700101"/>
      <w:r w:rsidR="002035B6" w:rsidRPr="007A136C">
        <w:rPr>
          <w:rFonts w:cs="Arial"/>
          <w:bCs/>
          <w:szCs w:val="22"/>
        </w:rPr>
        <w:t>section 3</w:t>
      </w:r>
      <w:r w:rsidR="00FA5AA3" w:rsidRPr="007A136C">
        <w:rPr>
          <w:rFonts w:cs="Arial"/>
          <w:bCs/>
          <w:szCs w:val="22"/>
        </w:rPr>
        <w:t xml:space="preserve"> read with sections 1, 55, 56(1), 57, 58, 59, 60, 61 of the </w:t>
      </w:r>
      <w:r w:rsidR="00FA5AA3" w:rsidRPr="007A136C">
        <w:rPr>
          <w:rFonts w:cs="Arial"/>
          <w:szCs w:val="22"/>
        </w:rPr>
        <w:t>Criminal Law (Sexual Offences and Related Matters) Amendment Act, 32 of 2007, read with sections 256, 257, and 281</w:t>
      </w:r>
      <w:r w:rsidR="002035B6" w:rsidRPr="007A136C">
        <w:rPr>
          <w:rFonts w:cs="Arial"/>
          <w:bCs/>
          <w:szCs w:val="22"/>
        </w:rPr>
        <w:t xml:space="preserve"> </w:t>
      </w:r>
      <w:r w:rsidR="00FA5AA3" w:rsidRPr="007A136C">
        <w:rPr>
          <w:rFonts w:cs="Arial"/>
          <w:bCs/>
          <w:szCs w:val="22"/>
        </w:rPr>
        <w:t>of the Criminal Procedure Act, 51 of 1977,</w:t>
      </w:r>
      <w:r w:rsidR="009115EC" w:rsidRPr="007A136C">
        <w:rPr>
          <w:rFonts w:cs="Arial"/>
          <w:bCs/>
          <w:szCs w:val="22"/>
        </w:rPr>
        <w:t xml:space="preserve"> read with sections 51 and 52 read with Schedule 2 of the Criminal Law Amendment Act, 105 of 1997,</w:t>
      </w:r>
      <w:r w:rsidR="00FA5AA3" w:rsidRPr="007A136C">
        <w:rPr>
          <w:rFonts w:cs="Arial"/>
          <w:bCs/>
          <w:szCs w:val="22"/>
        </w:rPr>
        <w:t xml:space="preserve"> read with </w:t>
      </w:r>
      <w:r w:rsidR="001F08F1" w:rsidRPr="007A136C">
        <w:rPr>
          <w:rFonts w:cs="Arial"/>
          <w:bCs/>
          <w:szCs w:val="22"/>
        </w:rPr>
        <w:t xml:space="preserve">sections 92(2) and 94 of the Criminal Procedure Act. </w:t>
      </w:r>
      <w:bookmarkEnd w:id="2"/>
      <w:r w:rsidR="001A45A9">
        <w:rPr>
          <w:rFonts w:cs="Arial"/>
          <w:bCs/>
          <w:szCs w:val="22"/>
        </w:rPr>
        <w:t xml:space="preserve"> The offence was committed in January 2019.</w:t>
      </w:r>
    </w:p>
    <w:p w14:paraId="002BF93B" w14:textId="6195892B" w:rsidR="003114B1" w:rsidRPr="007A136C" w:rsidRDefault="003114B1" w:rsidP="001A45A9">
      <w:pPr>
        <w:spacing w:before="480" w:after="480" w:line="360" w:lineRule="auto"/>
        <w:jc w:val="both"/>
        <w:rPr>
          <w:rFonts w:cs="Arial"/>
          <w:bCs/>
          <w:szCs w:val="22"/>
          <w:u w:val="single"/>
        </w:rPr>
      </w:pPr>
      <w:r w:rsidRPr="007A136C">
        <w:rPr>
          <w:rFonts w:cs="Arial"/>
          <w:bCs/>
          <w:szCs w:val="22"/>
          <w:u w:val="single"/>
        </w:rPr>
        <w:lastRenderedPageBreak/>
        <w:t>The applicable minimum sentence provisions</w:t>
      </w:r>
    </w:p>
    <w:p w14:paraId="72E3446D" w14:textId="4EB8D49A" w:rsidR="0003131B" w:rsidRPr="007A136C" w:rsidRDefault="00347F58" w:rsidP="001A45A9">
      <w:pPr>
        <w:numPr>
          <w:ilvl w:val="0"/>
          <w:numId w:val="1"/>
        </w:numPr>
        <w:spacing w:before="480" w:after="480" w:line="360" w:lineRule="auto"/>
        <w:jc w:val="both"/>
        <w:rPr>
          <w:rFonts w:cs="Arial"/>
          <w:szCs w:val="22"/>
        </w:rPr>
      </w:pPr>
      <w:r w:rsidRPr="007A136C">
        <w:rPr>
          <w:rFonts w:cs="Arial"/>
          <w:bCs/>
          <w:szCs w:val="22"/>
        </w:rPr>
        <w:t xml:space="preserve">By virtue of the fact that the victim of the rape was a minor, </w:t>
      </w:r>
      <w:r w:rsidR="00396549" w:rsidRPr="007A136C">
        <w:rPr>
          <w:rFonts w:cs="Arial"/>
          <w:bCs/>
          <w:szCs w:val="22"/>
        </w:rPr>
        <w:t>the offence falls within Part 1 of Schedule 2 of the Criminal Law Amendment Act of 1997.</w:t>
      </w:r>
      <w:r w:rsidR="0003131B" w:rsidRPr="007A136C">
        <w:rPr>
          <w:rFonts w:cs="Arial"/>
          <w:bCs/>
          <w:szCs w:val="22"/>
        </w:rPr>
        <w:t xml:space="preserve"> Section 51(1) of the Criminal Law Amendment Act 1997 is applicable. The subsection </w:t>
      </w:r>
      <w:r w:rsidR="007038A5" w:rsidRPr="007A136C">
        <w:rPr>
          <w:rFonts w:cs="Arial"/>
          <w:bCs/>
          <w:szCs w:val="22"/>
        </w:rPr>
        <w:t xml:space="preserve">provides for the imposition of minimum sentences of an accused person convicted of an offence </w:t>
      </w:r>
      <w:r w:rsidR="0003131B" w:rsidRPr="007A136C">
        <w:rPr>
          <w:rFonts w:cs="Arial"/>
          <w:szCs w:val="22"/>
        </w:rPr>
        <w:t xml:space="preserve">referred to in Part I of Schedule 2 </w:t>
      </w:r>
      <w:r w:rsidR="007038A5" w:rsidRPr="007A136C">
        <w:rPr>
          <w:rFonts w:cs="Arial"/>
          <w:szCs w:val="22"/>
        </w:rPr>
        <w:t xml:space="preserve">of the Act, </w:t>
      </w:r>
      <w:r w:rsidR="0003131B" w:rsidRPr="007A136C">
        <w:rPr>
          <w:rFonts w:cs="Arial"/>
          <w:szCs w:val="22"/>
        </w:rPr>
        <w:t>to imprisonment for life</w:t>
      </w:r>
      <w:r w:rsidR="007038A5" w:rsidRPr="007A136C">
        <w:rPr>
          <w:rFonts w:cs="Arial"/>
          <w:szCs w:val="22"/>
        </w:rPr>
        <w:t>.</w:t>
      </w:r>
    </w:p>
    <w:p w14:paraId="7F782F1B" w14:textId="2C66C6FE" w:rsidR="008177C1" w:rsidRPr="007A136C" w:rsidRDefault="000049E8" w:rsidP="001A45A9">
      <w:pPr>
        <w:numPr>
          <w:ilvl w:val="0"/>
          <w:numId w:val="1"/>
        </w:numPr>
        <w:spacing w:before="480" w:after="480" w:line="360" w:lineRule="auto"/>
        <w:jc w:val="both"/>
        <w:rPr>
          <w:rFonts w:cs="Arial"/>
          <w:bCs/>
          <w:szCs w:val="22"/>
        </w:rPr>
      </w:pPr>
      <w:r w:rsidRPr="007A136C">
        <w:rPr>
          <w:rFonts w:cs="Arial"/>
          <w:bCs/>
          <w:szCs w:val="22"/>
        </w:rPr>
        <w:t xml:space="preserve">The imposition of a life sentence is obligatory unless subsections (3) and (6) </w:t>
      </w:r>
      <w:r w:rsidR="00155ADA" w:rsidRPr="007A136C">
        <w:rPr>
          <w:rFonts w:cs="Arial"/>
          <w:bCs/>
          <w:szCs w:val="22"/>
        </w:rPr>
        <w:t>are applicable</w:t>
      </w:r>
      <w:r w:rsidRPr="007A136C">
        <w:rPr>
          <w:rFonts w:cs="Arial"/>
          <w:bCs/>
          <w:szCs w:val="22"/>
        </w:rPr>
        <w:t xml:space="preserve">. </w:t>
      </w:r>
      <w:r w:rsidR="00B86880" w:rsidRPr="007A136C">
        <w:rPr>
          <w:rFonts w:cs="Arial"/>
          <w:bCs/>
          <w:szCs w:val="22"/>
        </w:rPr>
        <w:t xml:space="preserve"> Judicial discretion is therefore preserved.</w:t>
      </w:r>
    </w:p>
    <w:p w14:paraId="3C531AF6" w14:textId="17CDAA44" w:rsidR="000049E8" w:rsidRPr="007A136C" w:rsidRDefault="00E570EA" w:rsidP="001A45A9">
      <w:pPr>
        <w:numPr>
          <w:ilvl w:val="1"/>
          <w:numId w:val="1"/>
        </w:numPr>
        <w:spacing w:before="480" w:after="480" w:line="360" w:lineRule="auto"/>
        <w:jc w:val="both"/>
        <w:rPr>
          <w:rFonts w:cs="Arial"/>
          <w:bCs/>
          <w:szCs w:val="22"/>
        </w:rPr>
      </w:pPr>
      <w:r w:rsidRPr="007A136C">
        <w:rPr>
          <w:rFonts w:cs="Arial"/>
          <w:bCs/>
          <w:szCs w:val="22"/>
        </w:rPr>
        <w:t>Subsection (3)</w:t>
      </w:r>
      <w:r w:rsidR="00F52AC3" w:rsidRPr="007A136C">
        <w:rPr>
          <w:rFonts w:cs="Arial"/>
          <w:bCs/>
          <w:szCs w:val="22"/>
        </w:rPr>
        <w:t>(a)</w:t>
      </w:r>
      <w:r w:rsidR="000049E8" w:rsidRPr="007A136C">
        <w:rPr>
          <w:rFonts w:cs="Arial"/>
          <w:bCs/>
          <w:szCs w:val="22"/>
        </w:rPr>
        <w:t xml:space="preserve"> provide</w:t>
      </w:r>
      <w:r w:rsidRPr="007A136C">
        <w:rPr>
          <w:rFonts w:cs="Arial"/>
          <w:bCs/>
          <w:szCs w:val="22"/>
        </w:rPr>
        <w:t>s</w:t>
      </w:r>
      <w:r w:rsidR="000049E8" w:rsidRPr="007A136C">
        <w:rPr>
          <w:rFonts w:cs="Arial"/>
          <w:bCs/>
          <w:szCs w:val="22"/>
        </w:rPr>
        <w:t xml:space="preserve"> </w:t>
      </w:r>
      <w:r w:rsidRPr="007A136C">
        <w:rPr>
          <w:rFonts w:cs="Arial"/>
          <w:bCs/>
          <w:szCs w:val="22"/>
        </w:rPr>
        <w:t xml:space="preserve">that if the Court were satisfied that </w:t>
      </w:r>
      <w:r w:rsidR="00A476DA" w:rsidRPr="007A136C">
        <w:rPr>
          <w:rFonts w:cs="Arial"/>
          <w:bCs/>
          <w:szCs w:val="22"/>
        </w:rPr>
        <w:t xml:space="preserve">substantial and </w:t>
      </w:r>
      <w:r w:rsidRPr="007A136C">
        <w:rPr>
          <w:rFonts w:cs="Arial"/>
          <w:bCs/>
          <w:szCs w:val="22"/>
        </w:rPr>
        <w:t xml:space="preserve">compelling circumstances exist which justify the imposition of a lesser sentence, the Court shall enter those circumstances on the record and impose the lesser sentence. Importantly, </w:t>
      </w:r>
      <w:r w:rsidR="00E75B7C" w:rsidRPr="007A136C">
        <w:rPr>
          <w:rFonts w:cs="Arial"/>
          <w:bCs/>
          <w:szCs w:val="22"/>
        </w:rPr>
        <w:t>the subsection</w:t>
      </w:r>
      <w:r w:rsidR="00F52AC3" w:rsidRPr="007A136C">
        <w:rPr>
          <w:rStyle w:val="FootnoteReference"/>
          <w:rFonts w:cs="Arial"/>
          <w:bCs/>
          <w:szCs w:val="22"/>
        </w:rPr>
        <w:footnoteReference w:id="1"/>
      </w:r>
      <w:r w:rsidR="00E75B7C" w:rsidRPr="007A136C">
        <w:rPr>
          <w:rFonts w:cs="Arial"/>
          <w:bCs/>
          <w:szCs w:val="22"/>
        </w:rPr>
        <w:t xml:space="preserve"> </w:t>
      </w:r>
      <w:r w:rsidR="00F52AC3" w:rsidRPr="007A136C">
        <w:rPr>
          <w:rFonts w:cs="Arial"/>
          <w:bCs/>
          <w:szCs w:val="22"/>
        </w:rPr>
        <w:t>lists</w:t>
      </w:r>
      <w:r w:rsidR="00E75B7C" w:rsidRPr="007A136C">
        <w:rPr>
          <w:rFonts w:cs="Arial"/>
          <w:bCs/>
          <w:szCs w:val="22"/>
        </w:rPr>
        <w:t xml:space="preserve"> a number of circumstances that do not constitute substantial and compelling circumstances justifying the imposition of a lesser sentence. These include the accused’s </w:t>
      </w:r>
      <w:r w:rsidR="00E75B7C" w:rsidRPr="007A136C">
        <w:rPr>
          <w:rFonts w:cs="Arial"/>
          <w:szCs w:val="22"/>
        </w:rPr>
        <w:t>cultural or religious beliefs about rape.</w:t>
      </w:r>
    </w:p>
    <w:p w14:paraId="486F95FE" w14:textId="07B8EBD9" w:rsidR="00AF6DC3" w:rsidRPr="00AF6DC3" w:rsidRDefault="00F80A86" w:rsidP="00FD1D24">
      <w:pPr>
        <w:numPr>
          <w:ilvl w:val="1"/>
          <w:numId w:val="1"/>
        </w:numPr>
        <w:spacing w:before="480" w:after="480" w:line="360" w:lineRule="auto"/>
        <w:jc w:val="both"/>
        <w:rPr>
          <w:rFonts w:cs="Arial"/>
          <w:szCs w:val="22"/>
          <w:u w:val="single"/>
        </w:rPr>
      </w:pPr>
      <w:r w:rsidRPr="007A136C">
        <w:rPr>
          <w:rFonts w:cs="Arial"/>
          <w:szCs w:val="22"/>
        </w:rPr>
        <w:t xml:space="preserve">Subsection (6) stipulates that the minimum sentence provisions are not applicable if the accused were under the age of 18 years at the time of the commission of the offence. The subsection is not relevant in this </w:t>
      </w:r>
      <w:r w:rsidR="00AF6DC3" w:rsidRPr="00AF6DC3">
        <w:rPr>
          <w:rFonts w:cs="Arial"/>
          <w:szCs w:val="22"/>
          <w:u w:val="single"/>
        </w:rPr>
        <w:t>The circumstances of the appellant</w:t>
      </w:r>
    </w:p>
    <w:p w14:paraId="64CE3E47" w14:textId="6E007188" w:rsidR="00D631F5" w:rsidRPr="007A136C" w:rsidRDefault="001F08F1" w:rsidP="001A45A9">
      <w:pPr>
        <w:numPr>
          <w:ilvl w:val="0"/>
          <w:numId w:val="1"/>
        </w:numPr>
        <w:spacing w:before="480" w:after="480" w:line="360" w:lineRule="auto"/>
        <w:jc w:val="both"/>
        <w:rPr>
          <w:rFonts w:cs="Arial"/>
          <w:bCs/>
          <w:szCs w:val="22"/>
        </w:rPr>
      </w:pPr>
      <w:r w:rsidRPr="007A136C">
        <w:rPr>
          <w:rFonts w:cs="Arial"/>
          <w:bCs/>
          <w:szCs w:val="22"/>
        </w:rPr>
        <w:t>The appellant</w:t>
      </w:r>
      <w:r w:rsidR="003434FF" w:rsidRPr="007A136C">
        <w:rPr>
          <w:rFonts w:cs="Arial"/>
          <w:bCs/>
          <w:szCs w:val="22"/>
        </w:rPr>
        <w:t xml:space="preserve"> pleaded guilty to the charge and was legally represented at the trial in December 2020. </w:t>
      </w:r>
      <w:r w:rsidR="0013668A" w:rsidRPr="007A136C">
        <w:rPr>
          <w:rFonts w:cs="Arial"/>
          <w:bCs/>
          <w:szCs w:val="22"/>
        </w:rPr>
        <w:t>He</w:t>
      </w:r>
      <w:r w:rsidRPr="007A136C">
        <w:rPr>
          <w:rFonts w:cs="Arial"/>
          <w:bCs/>
          <w:szCs w:val="22"/>
        </w:rPr>
        <w:t xml:space="preserve"> was</w:t>
      </w:r>
      <w:r w:rsidR="00797B9D" w:rsidRPr="007A136C">
        <w:rPr>
          <w:rFonts w:cs="Arial"/>
          <w:bCs/>
          <w:szCs w:val="22"/>
        </w:rPr>
        <w:t xml:space="preserve"> convicted and</w:t>
      </w:r>
      <w:r w:rsidRPr="007A136C">
        <w:rPr>
          <w:rFonts w:cs="Arial"/>
          <w:bCs/>
          <w:szCs w:val="22"/>
        </w:rPr>
        <w:t xml:space="preserve"> sentenced to life imprisonment</w:t>
      </w:r>
      <w:r w:rsidR="00797B9D" w:rsidRPr="007A136C">
        <w:rPr>
          <w:rFonts w:cs="Arial"/>
          <w:bCs/>
          <w:szCs w:val="22"/>
        </w:rPr>
        <w:t>. He</w:t>
      </w:r>
      <w:r w:rsidR="0013668A" w:rsidRPr="007A136C">
        <w:rPr>
          <w:rFonts w:cs="Arial"/>
          <w:bCs/>
          <w:szCs w:val="22"/>
        </w:rPr>
        <w:t xml:space="preserve"> exercised his automatic right to appeal against sentence.</w:t>
      </w:r>
      <w:r w:rsidR="00D66F22" w:rsidRPr="007A136C">
        <w:rPr>
          <w:rFonts w:cs="Arial"/>
          <w:bCs/>
          <w:szCs w:val="22"/>
        </w:rPr>
        <w:t xml:space="preserve"> The appellant did not testify at the trial but by agreement his counsel placed relevant facts before the </w:t>
      </w:r>
      <w:r w:rsidR="0047345C" w:rsidRPr="007A136C">
        <w:rPr>
          <w:rFonts w:cs="Arial"/>
          <w:bCs/>
          <w:szCs w:val="22"/>
        </w:rPr>
        <w:t>trial court</w:t>
      </w:r>
      <w:r w:rsidR="00F80A86" w:rsidRPr="007A136C">
        <w:rPr>
          <w:rFonts w:cs="Arial"/>
          <w:bCs/>
          <w:szCs w:val="22"/>
        </w:rPr>
        <w:t xml:space="preserve"> in mitigation of sentence</w:t>
      </w:r>
      <w:r w:rsidR="00D66F22" w:rsidRPr="007A136C">
        <w:rPr>
          <w:rFonts w:cs="Arial"/>
          <w:bCs/>
          <w:szCs w:val="22"/>
        </w:rPr>
        <w:t xml:space="preserve"> and made submissions</w:t>
      </w:r>
      <w:r w:rsidR="00F80A86" w:rsidRPr="007A136C">
        <w:rPr>
          <w:rFonts w:cs="Arial"/>
          <w:bCs/>
          <w:szCs w:val="22"/>
        </w:rPr>
        <w:t xml:space="preserve"> of law</w:t>
      </w:r>
      <w:r w:rsidR="00D66F22" w:rsidRPr="007A136C">
        <w:rPr>
          <w:rFonts w:cs="Arial"/>
          <w:bCs/>
          <w:szCs w:val="22"/>
        </w:rPr>
        <w:t>.</w:t>
      </w:r>
    </w:p>
    <w:p w14:paraId="1E4E88BA" w14:textId="665B653F" w:rsidR="00D631F5" w:rsidRDefault="00184D41" w:rsidP="001A45A9">
      <w:pPr>
        <w:numPr>
          <w:ilvl w:val="0"/>
          <w:numId w:val="1"/>
        </w:numPr>
        <w:spacing w:before="480" w:after="480" w:line="360" w:lineRule="auto"/>
        <w:jc w:val="both"/>
        <w:rPr>
          <w:rFonts w:cs="Arial"/>
          <w:bCs/>
          <w:szCs w:val="22"/>
        </w:rPr>
      </w:pPr>
      <w:r w:rsidRPr="007A136C">
        <w:rPr>
          <w:rFonts w:cs="Arial"/>
          <w:bCs/>
          <w:szCs w:val="22"/>
        </w:rPr>
        <w:lastRenderedPageBreak/>
        <w:t xml:space="preserve">The question before the Court </w:t>
      </w:r>
      <w:r w:rsidR="00F80A86" w:rsidRPr="007A136C">
        <w:rPr>
          <w:rFonts w:cs="Arial"/>
          <w:bCs/>
          <w:szCs w:val="22"/>
        </w:rPr>
        <w:t>on appeal</w:t>
      </w:r>
      <w:r w:rsidRPr="007A136C">
        <w:rPr>
          <w:rFonts w:cs="Arial"/>
          <w:bCs/>
          <w:szCs w:val="22"/>
        </w:rPr>
        <w:t xml:space="preserve"> is whether substantial and compelling circumstances exist that justify the imposition of a lesser sentence than life imprisonment.</w:t>
      </w:r>
    </w:p>
    <w:p w14:paraId="7D124D1C" w14:textId="7482DBF4" w:rsidR="0047345C" w:rsidRPr="007A136C" w:rsidRDefault="0047345C" w:rsidP="001A45A9">
      <w:pPr>
        <w:numPr>
          <w:ilvl w:val="0"/>
          <w:numId w:val="1"/>
        </w:numPr>
        <w:spacing w:before="480" w:after="480" w:line="360" w:lineRule="auto"/>
        <w:jc w:val="both"/>
        <w:rPr>
          <w:rFonts w:cs="Arial"/>
          <w:bCs/>
          <w:szCs w:val="22"/>
        </w:rPr>
      </w:pPr>
      <w:r w:rsidRPr="007A136C">
        <w:rPr>
          <w:rFonts w:cs="Arial"/>
          <w:bCs/>
          <w:szCs w:val="22"/>
        </w:rPr>
        <w:t xml:space="preserve">I have regard to the following </w:t>
      </w:r>
      <w:r w:rsidR="00AB6418" w:rsidRPr="007A136C">
        <w:rPr>
          <w:rFonts w:cs="Arial"/>
          <w:bCs/>
          <w:szCs w:val="22"/>
        </w:rPr>
        <w:t>aspects</w:t>
      </w:r>
      <w:r w:rsidRPr="007A136C">
        <w:rPr>
          <w:rFonts w:cs="Arial"/>
          <w:bCs/>
          <w:szCs w:val="22"/>
        </w:rPr>
        <w:t>:</w:t>
      </w:r>
    </w:p>
    <w:p w14:paraId="0C1F0CFD" w14:textId="77777777" w:rsidR="00501781" w:rsidRPr="007A136C" w:rsidRDefault="00501781" w:rsidP="001A45A9">
      <w:pPr>
        <w:numPr>
          <w:ilvl w:val="1"/>
          <w:numId w:val="1"/>
        </w:numPr>
        <w:spacing w:before="480" w:after="480" w:line="360" w:lineRule="auto"/>
        <w:jc w:val="both"/>
        <w:rPr>
          <w:rFonts w:cs="Arial"/>
          <w:bCs/>
          <w:szCs w:val="22"/>
        </w:rPr>
      </w:pPr>
      <w:r w:rsidRPr="007A136C">
        <w:rPr>
          <w:rFonts w:cs="Arial"/>
          <w:bCs/>
          <w:szCs w:val="22"/>
        </w:rPr>
        <w:t>The charge related to the rape of a four-year old boy, the nephew of appellant. The appellant was therefore in a position of trust vis á vis a defenceless victim.</w:t>
      </w:r>
    </w:p>
    <w:p w14:paraId="2617F4E6" w14:textId="77777777" w:rsidR="0047345C" w:rsidRPr="007A136C" w:rsidRDefault="000F2501" w:rsidP="001A45A9">
      <w:pPr>
        <w:numPr>
          <w:ilvl w:val="1"/>
          <w:numId w:val="1"/>
        </w:numPr>
        <w:spacing w:before="480" w:after="480" w:line="360" w:lineRule="auto"/>
        <w:jc w:val="both"/>
        <w:rPr>
          <w:rFonts w:cs="Arial"/>
          <w:bCs/>
          <w:szCs w:val="22"/>
        </w:rPr>
      </w:pPr>
      <w:r w:rsidRPr="007A136C">
        <w:rPr>
          <w:rFonts w:cs="Arial"/>
          <w:bCs/>
          <w:szCs w:val="22"/>
        </w:rPr>
        <w:t xml:space="preserve">The appellant was twenty-two years old when the offence was committed and he completed grade 12 at school. </w:t>
      </w:r>
    </w:p>
    <w:p w14:paraId="218200B1" w14:textId="77777777" w:rsidR="0047345C" w:rsidRPr="007A136C" w:rsidRDefault="000F2501" w:rsidP="001A45A9">
      <w:pPr>
        <w:numPr>
          <w:ilvl w:val="1"/>
          <w:numId w:val="1"/>
        </w:numPr>
        <w:spacing w:before="480" w:after="480" w:line="360" w:lineRule="auto"/>
        <w:jc w:val="both"/>
        <w:rPr>
          <w:rFonts w:cs="Arial"/>
          <w:bCs/>
          <w:szCs w:val="22"/>
        </w:rPr>
      </w:pPr>
      <w:r w:rsidRPr="007A136C">
        <w:rPr>
          <w:rFonts w:cs="Arial"/>
          <w:bCs/>
          <w:szCs w:val="22"/>
        </w:rPr>
        <w:t xml:space="preserve">He was a third-year student when the offence was committed and was studying towards a qualification in engineering. </w:t>
      </w:r>
    </w:p>
    <w:p w14:paraId="13CD0909" w14:textId="77777777" w:rsidR="0047345C" w:rsidRPr="007A136C" w:rsidRDefault="000F2501" w:rsidP="001A45A9">
      <w:pPr>
        <w:numPr>
          <w:ilvl w:val="1"/>
          <w:numId w:val="1"/>
        </w:numPr>
        <w:spacing w:before="480" w:after="480" w:line="360" w:lineRule="auto"/>
        <w:jc w:val="both"/>
        <w:rPr>
          <w:rFonts w:cs="Arial"/>
          <w:bCs/>
          <w:szCs w:val="22"/>
        </w:rPr>
      </w:pPr>
      <w:r w:rsidRPr="007A136C">
        <w:rPr>
          <w:rFonts w:cs="Arial"/>
          <w:bCs/>
          <w:szCs w:val="22"/>
        </w:rPr>
        <w:t>He was a first offender and it is argued that he showed remorse by pleading guilty.</w:t>
      </w:r>
      <w:r w:rsidR="0047345C" w:rsidRPr="007A136C">
        <w:rPr>
          <w:rFonts w:cs="Arial"/>
          <w:bCs/>
          <w:szCs w:val="22"/>
        </w:rPr>
        <w:t xml:space="preserve"> </w:t>
      </w:r>
    </w:p>
    <w:p w14:paraId="410FDA98" w14:textId="24F5780A" w:rsidR="00D631F5" w:rsidRPr="007A136C" w:rsidRDefault="0047345C" w:rsidP="001A45A9">
      <w:pPr>
        <w:numPr>
          <w:ilvl w:val="1"/>
          <w:numId w:val="1"/>
        </w:numPr>
        <w:spacing w:before="480" w:after="480" w:line="360" w:lineRule="auto"/>
        <w:jc w:val="both"/>
        <w:rPr>
          <w:rFonts w:cs="Arial"/>
          <w:bCs/>
          <w:szCs w:val="22"/>
        </w:rPr>
      </w:pPr>
      <w:r w:rsidRPr="007A136C">
        <w:rPr>
          <w:rFonts w:cs="Arial"/>
          <w:bCs/>
          <w:szCs w:val="22"/>
        </w:rPr>
        <w:t>It was also argued that after committing the offence he pleaded for forgiveness from the mother of the child, his sister, and from his family.</w:t>
      </w:r>
      <w:r w:rsidR="00501781" w:rsidRPr="007A136C">
        <w:rPr>
          <w:rFonts w:cs="Arial"/>
          <w:bCs/>
          <w:szCs w:val="22"/>
        </w:rPr>
        <w:t xml:space="preserve"> He was disowned by the family.</w:t>
      </w:r>
    </w:p>
    <w:p w14:paraId="4A43A243" w14:textId="60DFF846" w:rsidR="0047345C" w:rsidRPr="007A136C" w:rsidRDefault="0047345C" w:rsidP="001A45A9">
      <w:pPr>
        <w:numPr>
          <w:ilvl w:val="1"/>
          <w:numId w:val="1"/>
        </w:numPr>
        <w:spacing w:before="480" w:after="480" w:line="360" w:lineRule="auto"/>
        <w:jc w:val="both"/>
        <w:rPr>
          <w:rFonts w:cs="Arial"/>
          <w:bCs/>
          <w:szCs w:val="22"/>
        </w:rPr>
      </w:pPr>
      <w:r w:rsidRPr="007A136C">
        <w:rPr>
          <w:rFonts w:cs="Arial"/>
          <w:bCs/>
          <w:szCs w:val="22"/>
        </w:rPr>
        <w:t>There was no victim impact report before the Court when the appellant was sentenced.</w:t>
      </w:r>
      <w:r w:rsidR="005F56C0" w:rsidRPr="007A136C">
        <w:rPr>
          <w:rFonts w:cs="Arial"/>
          <w:bCs/>
          <w:szCs w:val="22"/>
        </w:rPr>
        <w:t xml:space="preserve"> (The Public Prosecutor informed the trial court that there was no such report as the mother of the victim had indicated that she wanted justice to take its course</w:t>
      </w:r>
      <w:r w:rsidR="00501781" w:rsidRPr="007A136C">
        <w:rPr>
          <w:rFonts w:cs="Arial"/>
          <w:bCs/>
          <w:szCs w:val="22"/>
        </w:rPr>
        <w:t>. No weight should in my view be attached to the submission.</w:t>
      </w:r>
      <w:r w:rsidR="005F56C0" w:rsidRPr="007A136C">
        <w:rPr>
          <w:rFonts w:cs="Arial"/>
          <w:bCs/>
          <w:szCs w:val="22"/>
        </w:rPr>
        <w:t>)</w:t>
      </w:r>
    </w:p>
    <w:p w14:paraId="69A2F390" w14:textId="7E5DEF98" w:rsidR="005F56C0" w:rsidRPr="007A136C" w:rsidRDefault="005F56C0" w:rsidP="001A45A9">
      <w:pPr>
        <w:numPr>
          <w:ilvl w:val="1"/>
          <w:numId w:val="1"/>
        </w:numPr>
        <w:spacing w:before="480" w:after="480" w:line="360" w:lineRule="auto"/>
        <w:jc w:val="both"/>
        <w:rPr>
          <w:rFonts w:cs="Arial"/>
          <w:bCs/>
          <w:szCs w:val="22"/>
        </w:rPr>
      </w:pPr>
      <w:r w:rsidRPr="007A136C">
        <w:rPr>
          <w:rFonts w:cs="Arial"/>
          <w:bCs/>
          <w:szCs w:val="22"/>
        </w:rPr>
        <w:t>The so-called J</w:t>
      </w:r>
      <w:r w:rsidR="00E571C1" w:rsidRPr="007A136C">
        <w:rPr>
          <w:rFonts w:cs="Arial"/>
          <w:bCs/>
          <w:szCs w:val="22"/>
        </w:rPr>
        <w:t>8</w:t>
      </w:r>
      <w:r w:rsidRPr="007A136C">
        <w:rPr>
          <w:rFonts w:cs="Arial"/>
          <w:bCs/>
          <w:szCs w:val="22"/>
        </w:rPr>
        <w:t>8 form</w:t>
      </w:r>
      <w:r w:rsidR="00E571C1" w:rsidRPr="007A136C">
        <w:rPr>
          <w:rFonts w:cs="Arial"/>
          <w:bCs/>
          <w:szCs w:val="22"/>
        </w:rPr>
        <w:t xml:space="preserve">, the </w:t>
      </w:r>
      <w:r w:rsidR="00E571C1" w:rsidRPr="007A136C">
        <w:rPr>
          <w:rFonts w:cs="Arial"/>
          <w:bCs/>
          <w:i/>
          <w:iCs/>
          <w:szCs w:val="22"/>
        </w:rPr>
        <w:t>“Report by Authorised Medical Practitioner on the Completion of a Medico-Legal Examination”</w:t>
      </w:r>
      <w:r w:rsidRPr="007A136C">
        <w:rPr>
          <w:rFonts w:cs="Arial"/>
          <w:bCs/>
          <w:szCs w:val="22"/>
        </w:rPr>
        <w:t xml:space="preserve"> </w:t>
      </w:r>
      <w:r w:rsidR="00E571C1" w:rsidRPr="007A136C">
        <w:rPr>
          <w:rFonts w:cs="Arial"/>
          <w:bCs/>
          <w:szCs w:val="22"/>
        </w:rPr>
        <w:t>(entered on the record as evidence</w:t>
      </w:r>
      <w:r w:rsidR="00EA4713" w:rsidRPr="007A136C">
        <w:rPr>
          <w:rFonts w:cs="Arial"/>
          <w:bCs/>
          <w:szCs w:val="22"/>
        </w:rPr>
        <w:t xml:space="preserve"> and</w:t>
      </w:r>
      <w:r w:rsidR="00E571C1" w:rsidRPr="007A136C">
        <w:rPr>
          <w:rFonts w:cs="Arial"/>
          <w:bCs/>
          <w:szCs w:val="22"/>
        </w:rPr>
        <w:t xml:space="preserve"> marked “exhibit C”) confirmed the presence of anal tears and bleeding. The report was completed the day after the incident </w:t>
      </w:r>
      <w:r w:rsidR="001A7CD4" w:rsidRPr="007A136C">
        <w:rPr>
          <w:rFonts w:cs="Arial"/>
          <w:bCs/>
          <w:szCs w:val="22"/>
        </w:rPr>
        <w:t>and</w:t>
      </w:r>
      <w:r w:rsidR="00E571C1" w:rsidRPr="007A136C">
        <w:rPr>
          <w:rFonts w:cs="Arial"/>
          <w:bCs/>
          <w:szCs w:val="22"/>
        </w:rPr>
        <w:t xml:space="preserve"> was not contested by the defence.</w:t>
      </w:r>
    </w:p>
    <w:p w14:paraId="560F89F0" w14:textId="73B69B4B" w:rsidR="00501781" w:rsidRPr="007A136C" w:rsidRDefault="00501781" w:rsidP="001A45A9">
      <w:pPr>
        <w:numPr>
          <w:ilvl w:val="1"/>
          <w:numId w:val="1"/>
        </w:numPr>
        <w:spacing w:before="480" w:after="480" w:line="360" w:lineRule="auto"/>
        <w:jc w:val="both"/>
        <w:rPr>
          <w:rFonts w:cs="Arial"/>
          <w:bCs/>
          <w:szCs w:val="22"/>
        </w:rPr>
      </w:pPr>
      <w:r w:rsidRPr="007A136C">
        <w:rPr>
          <w:rFonts w:cs="Arial"/>
          <w:bCs/>
          <w:szCs w:val="22"/>
        </w:rPr>
        <w:lastRenderedPageBreak/>
        <w:t>The State</w:t>
      </w:r>
      <w:r w:rsidR="00582468" w:rsidRPr="007A136C">
        <w:rPr>
          <w:rFonts w:cs="Arial"/>
          <w:bCs/>
          <w:szCs w:val="22"/>
        </w:rPr>
        <w:t xml:space="preserve"> submitted that the crime of rape was prevalent in the area of the Court’s jurisdiction.</w:t>
      </w:r>
      <w:r w:rsidR="001C4B38" w:rsidRPr="007A136C">
        <w:rPr>
          <w:rFonts w:cs="Arial"/>
          <w:bCs/>
          <w:szCs w:val="22"/>
        </w:rPr>
        <w:t xml:space="preserve"> </w:t>
      </w:r>
    </w:p>
    <w:p w14:paraId="45B22107" w14:textId="726F640F" w:rsidR="006C131A" w:rsidRPr="007A136C" w:rsidRDefault="001C4B38" w:rsidP="001A45A9">
      <w:pPr>
        <w:numPr>
          <w:ilvl w:val="1"/>
          <w:numId w:val="1"/>
        </w:numPr>
        <w:spacing w:before="480" w:after="480" w:line="360" w:lineRule="auto"/>
        <w:jc w:val="both"/>
        <w:rPr>
          <w:rFonts w:cs="Arial"/>
          <w:bCs/>
          <w:szCs w:val="22"/>
        </w:rPr>
      </w:pPr>
      <w:r w:rsidRPr="007A136C">
        <w:rPr>
          <w:rFonts w:cs="Arial"/>
          <w:bCs/>
          <w:szCs w:val="22"/>
        </w:rPr>
        <w:t>The State also submitted that while the appellant had spent almost two years in custody awaiting trial this was due to him not raising the intended plea of guilty at the inception of the proceedings.</w:t>
      </w:r>
    </w:p>
    <w:p w14:paraId="6C50B432" w14:textId="5A33B8A0" w:rsidR="003114B1" w:rsidRPr="007A136C" w:rsidRDefault="003114B1" w:rsidP="001A45A9">
      <w:pPr>
        <w:spacing w:before="480" w:after="480" w:line="360" w:lineRule="auto"/>
        <w:jc w:val="both"/>
        <w:rPr>
          <w:rFonts w:cs="Arial"/>
          <w:bCs/>
          <w:szCs w:val="22"/>
          <w:u w:val="single"/>
        </w:rPr>
      </w:pPr>
      <w:r w:rsidRPr="007A136C">
        <w:rPr>
          <w:rFonts w:cs="Arial"/>
          <w:bCs/>
          <w:szCs w:val="22"/>
          <w:u w:val="single"/>
        </w:rPr>
        <w:t>The correct approach to an appropriate sentence on appeal</w:t>
      </w:r>
    </w:p>
    <w:p w14:paraId="2FDF36A3" w14:textId="5226276E" w:rsidR="00610A1C" w:rsidRPr="007A136C" w:rsidRDefault="00FA1C81" w:rsidP="001A45A9">
      <w:pPr>
        <w:numPr>
          <w:ilvl w:val="0"/>
          <w:numId w:val="1"/>
        </w:numPr>
        <w:spacing w:before="480" w:after="480" w:line="360" w:lineRule="auto"/>
        <w:jc w:val="both"/>
        <w:rPr>
          <w:rFonts w:cs="Arial"/>
          <w:bCs/>
          <w:szCs w:val="22"/>
        </w:rPr>
      </w:pPr>
      <w:r w:rsidRPr="007A136C">
        <w:rPr>
          <w:rFonts w:cs="Arial"/>
          <w:bCs/>
          <w:szCs w:val="22"/>
        </w:rPr>
        <w:t>In</w:t>
      </w:r>
      <w:r w:rsidR="009B7859" w:rsidRPr="007A136C">
        <w:rPr>
          <w:rFonts w:cs="Arial"/>
          <w:bCs/>
          <w:szCs w:val="22"/>
        </w:rPr>
        <w:t xml:space="preserve"> </w:t>
      </w:r>
      <w:r w:rsidR="009B7859" w:rsidRPr="007A136C">
        <w:rPr>
          <w:rFonts w:cs="Arial"/>
          <w:bCs/>
          <w:i/>
          <w:iCs/>
          <w:szCs w:val="22"/>
        </w:rPr>
        <w:t>S v Rabie</w:t>
      </w:r>
      <w:r w:rsidR="00CC7E93" w:rsidRPr="007A136C">
        <w:rPr>
          <w:rFonts w:cs="Arial"/>
          <w:bCs/>
          <w:szCs w:val="22"/>
        </w:rPr>
        <w:t xml:space="preserve"> Holmes JA discussed guidelines of general application in considering an appropriate sentence.</w:t>
      </w:r>
      <w:r w:rsidR="00CC7E93" w:rsidRPr="007A136C">
        <w:rPr>
          <w:rStyle w:val="FootnoteReference"/>
          <w:rFonts w:cs="Arial"/>
          <w:bCs/>
          <w:szCs w:val="22"/>
        </w:rPr>
        <w:footnoteReference w:id="2"/>
      </w:r>
      <w:r w:rsidR="00610A1C" w:rsidRPr="007A136C">
        <w:rPr>
          <w:rFonts w:cs="Arial"/>
          <w:bCs/>
          <w:szCs w:val="22"/>
        </w:rPr>
        <w:t xml:space="preserve"> In gen</w:t>
      </w:r>
      <w:r w:rsidR="00610A1C" w:rsidRPr="007A136C">
        <w:rPr>
          <w:rFonts w:cs="Arial"/>
          <w:bCs/>
          <w:color w:val="000000" w:themeColor="text1"/>
          <w:szCs w:val="22"/>
        </w:rPr>
        <w:t xml:space="preserve">eral, the </w:t>
      </w:r>
      <w:r w:rsidR="00610A1C" w:rsidRPr="007A136C">
        <w:rPr>
          <w:rFonts w:cs="Arial"/>
          <w:color w:val="000000" w:themeColor="text1"/>
          <w:szCs w:val="22"/>
          <w:shd w:val="clear" w:color="auto" w:fill="FFFFFF"/>
        </w:rPr>
        <w:t xml:space="preserve">punishment </w:t>
      </w:r>
      <w:r w:rsidR="00610A1C" w:rsidRPr="007A136C">
        <w:rPr>
          <w:rFonts w:cs="Arial"/>
          <w:i/>
          <w:iCs/>
          <w:color w:val="000000" w:themeColor="text1"/>
          <w:szCs w:val="22"/>
          <w:shd w:val="clear" w:color="auto" w:fill="FFFFFF"/>
        </w:rPr>
        <w:t>“should fit the criminal as well as the crime, be fair to society, and be blended with a measure of mercy according to the circumstances.”</w:t>
      </w:r>
      <w:r w:rsidR="00607DB7" w:rsidRPr="007A136C">
        <w:rPr>
          <w:rStyle w:val="FootnoteReference"/>
          <w:rFonts w:cs="Arial"/>
          <w:bCs/>
          <w:szCs w:val="22"/>
        </w:rPr>
        <w:t xml:space="preserve"> </w:t>
      </w:r>
    </w:p>
    <w:p w14:paraId="788F1FEE" w14:textId="593E5680" w:rsidR="00610A1C" w:rsidRPr="007A136C" w:rsidRDefault="00984731" w:rsidP="001A45A9">
      <w:pPr>
        <w:numPr>
          <w:ilvl w:val="0"/>
          <w:numId w:val="1"/>
        </w:numPr>
        <w:spacing w:before="480" w:after="480" w:line="360" w:lineRule="auto"/>
        <w:jc w:val="both"/>
        <w:rPr>
          <w:rFonts w:cs="Arial"/>
          <w:bCs/>
          <w:szCs w:val="22"/>
        </w:rPr>
      </w:pPr>
      <w:r w:rsidRPr="007A136C">
        <w:rPr>
          <w:rFonts w:cs="Arial"/>
          <w:bCs/>
          <w:szCs w:val="22"/>
        </w:rPr>
        <w:t xml:space="preserve">In an appeal against sentence the court of appeal must be guided by the principle that </w:t>
      </w:r>
      <w:r w:rsidR="00491657" w:rsidRPr="007A136C">
        <w:rPr>
          <w:rFonts w:cs="Arial"/>
          <w:bCs/>
          <w:szCs w:val="22"/>
        </w:rPr>
        <w:t xml:space="preserve">punishment is </w:t>
      </w:r>
      <w:r w:rsidR="00491657" w:rsidRPr="007A136C">
        <w:rPr>
          <w:rFonts w:cs="Arial"/>
          <w:bCs/>
          <w:i/>
          <w:iCs/>
          <w:szCs w:val="22"/>
        </w:rPr>
        <w:t>“</w:t>
      </w:r>
      <w:r w:rsidR="00491657" w:rsidRPr="007A136C">
        <w:rPr>
          <w:rFonts w:cs="Arial"/>
          <w:i/>
          <w:iCs/>
          <w:szCs w:val="22"/>
        </w:rPr>
        <w:t>pre-eminently a matter for the discretion of the trial Court”</w:t>
      </w:r>
      <w:r w:rsidR="00491657" w:rsidRPr="007A136C">
        <w:rPr>
          <w:rFonts w:cs="Arial"/>
          <w:szCs w:val="22"/>
        </w:rPr>
        <w:t xml:space="preserve"> and the court hearing the appeal should not intervene unless the discretion of the trial court was not </w:t>
      </w:r>
      <w:r w:rsidR="00491657" w:rsidRPr="007A136C">
        <w:rPr>
          <w:rFonts w:cs="Arial"/>
          <w:i/>
          <w:iCs/>
          <w:color w:val="000000" w:themeColor="text1"/>
          <w:szCs w:val="22"/>
        </w:rPr>
        <w:t>“</w:t>
      </w:r>
      <w:r w:rsidR="00491657" w:rsidRPr="007A136C">
        <w:rPr>
          <w:rFonts w:cs="Arial"/>
          <w:i/>
          <w:iCs/>
          <w:color w:val="000000" w:themeColor="text1"/>
          <w:szCs w:val="22"/>
          <w:shd w:val="clear" w:color="auto" w:fill="FFFFFF"/>
        </w:rPr>
        <w:t xml:space="preserve">judicially and properly exercised”. </w:t>
      </w:r>
      <w:r w:rsidR="00491657" w:rsidRPr="007A136C">
        <w:rPr>
          <w:rFonts w:cs="Arial"/>
          <w:color w:val="000000" w:themeColor="text1"/>
          <w:szCs w:val="22"/>
          <w:shd w:val="clear" w:color="auto" w:fill="FFFFFF"/>
        </w:rPr>
        <w:t xml:space="preserve">A discretion is not judicially and properly exercised when the sentence is vitiated by irregularity or misdirection, or </w:t>
      </w:r>
      <w:r w:rsidR="00607DB7" w:rsidRPr="007A136C">
        <w:rPr>
          <w:rFonts w:cs="Arial"/>
          <w:color w:val="000000" w:themeColor="text1"/>
          <w:szCs w:val="22"/>
          <w:shd w:val="clear" w:color="auto" w:fill="FFFFFF"/>
        </w:rPr>
        <w:t>when the sentence is disturbingly inappropriate.</w:t>
      </w:r>
      <w:r w:rsidR="00607DB7" w:rsidRPr="007A136C">
        <w:rPr>
          <w:rStyle w:val="FootnoteReference"/>
          <w:rFonts w:cs="Arial"/>
          <w:bCs/>
          <w:szCs w:val="22"/>
        </w:rPr>
        <w:footnoteReference w:id="3"/>
      </w:r>
    </w:p>
    <w:p w14:paraId="40227825" w14:textId="09D61049" w:rsidR="003114B1" w:rsidRPr="007A136C" w:rsidRDefault="003114B1" w:rsidP="001A45A9">
      <w:pPr>
        <w:spacing w:before="480" w:after="480" w:line="360" w:lineRule="auto"/>
        <w:jc w:val="both"/>
        <w:rPr>
          <w:rFonts w:cs="Arial"/>
          <w:bCs/>
          <w:szCs w:val="22"/>
          <w:u w:val="single"/>
        </w:rPr>
      </w:pPr>
      <w:r w:rsidRPr="007A136C">
        <w:rPr>
          <w:rFonts w:cs="Arial"/>
          <w:bCs/>
          <w:szCs w:val="22"/>
          <w:u w:val="single"/>
        </w:rPr>
        <w:t>The correct approach to the imposition of a minimum sentence and the discretion of the Court</w:t>
      </w:r>
    </w:p>
    <w:p w14:paraId="7F52FD02" w14:textId="5983DD89" w:rsidR="003114B1" w:rsidRPr="007A136C" w:rsidRDefault="003114B1" w:rsidP="001A45A9">
      <w:pPr>
        <w:numPr>
          <w:ilvl w:val="0"/>
          <w:numId w:val="1"/>
        </w:numPr>
        <w:spacing w:before="480" w:after="480" w:line="360" w:lineRule="auto"/>
        <w:jc w:val="both"/>
        <w:rPr>
          <w:rFonts w:cs="Arial"/>
          <w:bCs/>
          <w:szCs w:val="22"/>
        </w:rPr>
      </w:pPr>
      <w:r w:rsidRPr="007A136C">
        <w:rPr>
          <w:rFonts w:cs="Arial"/>
          <w:bCs/>
          <w:szCs w:val="22"/>
        </w:rPr>
        <w:t xml:space="preserve">In </w:t>
      </w:r>
      <w:r w:rsidRPr="007A136C">
        <w:rPr>
          <w:rFonts w:cs="Arial"/>
          <w:bCs/>
          <w:i/>
          <w:iCs/>
          <w:szCs w:val="22"/>
        </w:rPr>
        <w:t>S v Malgas</w:t>
      </w:r>
      <w:r w:rsidRPr="007A136C">
        <w:rPr>
          <w:rStyle w:val="FootnoteReference"/>
          <w:rFonts w:cs="Arial"/>
          <w:bCs/>
          <w:szCs w:val="22"/>
        </w:rPr>
        <w:footnoteReference w:id="4"/>
      </w:r>
      <w:r w:rsidR="0043344B" w:rsidRPr="007A136C">
        <w:rPr>
          <w:rFonts w:cs="Arial"/>
          <w:bCs/>
          <w:i/>
          <w:iCs/>
          <w:szCs w:val="22"/>
        </w:rPr>
        <w:t xml:space="preserve"> </w:t>
      </w:r>
      <w:r w:rsidR="0043344B" w:rsidRPr="007A136C">
        <w:rPr>
          <w:rFonts w:cs="Arial"/>
          <w:bCs/>
          <w:szCs w:val="22"/>
        </w:rPr>
        <w:t xml:space="preserve">Marais JA </w:t>
      </w:r>
      <w:r w:rsidR="00EA4713" w:rsidRPr="007A136C">
        <w:rPr>
          <w:rFonts w:cs="Arial"/>
          <w:bCs/>
          <w:szCs w:val="22"/>
        </w:rPr>
        <w:t>analysed</w:t>
      </w:r>
      <w:r w:rsidR="0043344B" w:rsidRPr="007A136C">
        <w:rPr>
          <w:rFonts w:cs="Arial"/>
          <w:bCs/>
          <w:szCs w:val="22"/>
        </w:rPr>
        <w:t xml:space="preserve"> the minimum sentence provisions.</w:t>
      </w:r>
      <w:r w:rsidR="00C5586E" w:rsidRPr="007A136C">
        <w:rPr>
          <w:rFonts w:cs="Arial"/>
          <w:bCs/>
          <w:szCs w:val="22"/>
        </w:rPr>
        <w:t xml:space="preserve"> In paragraph 25 of the </w:t>
      </w:r>
      <w:r w:rsidR="002B142E" w:rsidRPr="007A136C">
        <w:rPr>
          <w:rFonts w:cs="Arial"/>
          <w:bCs/>
          <w:szCs w:val="22"/>
        </w:rPr>
        <w:t>j</w:t>
      </w:r>
      <w:r w:rsidR="00C5586E" w:rsidRPr="007A136C">
        <w:rPr>
          <w:rFonts w:cs="Arial"/>
          <w:bCs/>
          <w:szCs w:val="22"/>
        </w:rPr>
        <w:t>udgment he summarised the principles as follows:</w:t>
      </w:r>
    </w:p>
    <w:p w14:paraId="76DD607A" w14:textId="77777777" w:rsidR="00B56E74" w:rsidRDefault="00B56E74" w:rsidP="00C5586E">
      <w:pPr>
        <w:ind w:left="720"/>
        <w:jc w:val="both"/>
        <w:rPr>
          <w:rFonts w:cs="Arial"/>
          <w:i/>
          <w:iCs/>
          <w:szCs w:val="22"/>
        </w:rPr>
      </w:pPr>
    </w:p>
    <w:p w14:paraId="73D550AA" w14:textId="5F3E5F5D" w:rsidR="00C5586E" w:rsidRPr="007A136C" w:rsidRDefault="00C5586E" w:rsidP="00C5586E">
      <w:pPr>
        <w:ind w:left="720"/>
        <w:jc w:val="both"/>
        <w:rPr>
          <w:rFonts w:cs="Arial"/>
          <w:i/>
          <w:iCs/>
          <w:szCs w:val="22"/>
        </w:rPr>
      </w:pPr>
      <w:r w:rsidRPr="007A136C">
        <w:rPr>
          <w:rFonts w:cs="Arial"/>
          <w:i/>
          <w:iCs/>
          <w:szCs w:val="22"/>
        </w:rPr>
        <w:t>A. Section 51 has limited but not eliminated the courts' discretion in imposing sentence in respect of offences referred to in Part 1 of Schedule 2 (or imprisonment for other specified periods for offences listed in other parts of Schedule 2).</w:t>
      </w:r>
    </w:p>
    <w:p w14:paraId="55377C33" w14:textId="77777777" w:rsidR="00C5586E" w:rsidRPr="007A136C" w:rsidRDefault="00C5586E" w:rsidP="00C5586E">
      <w:pPr>
        <w:ind w:left="720"/>
        <w:jc w:val="both"/>
        <w:rPr>
          <w:rFonts w:cs="Arial"/>
          <w:i/>
          <w:iCs/>
          <w:szCs w:val="22"/>
        </w:rPr>
      </w:pPr>
    </w:p>
    <w:p w14:paraId="4AEA287E" w14:textId="2E631F53" w:rsidR="00C5586E" w:rsidRPr="007A136C" w:rsidRDefault="00C5586E" w:rsidP="00C5586E">
      <w:pPr>
        <w:ind w:left="720"/>
        <w:jc w:val="both"/>
        <w:rPr>
          <w:rFonts w:cs="Arial"/>
          <w:i/>
          <w:iCs/>
          <w:szCs w:val="22"/>
        </w:rPr>
      </w:pPr>
      <w:r w:rsidRPr="007A136C">
        <w:rPr>
          <w:rFonts w:cs="Arial"/>
          <w:i/>
          <w:iCs/>
          <w:szCs w:val="22"/>
        </w:rPr>
        <w:t>B. Courts are required to approach the imposition of sentence conscious that the Legislature has ordained life imprisonment (or the particular prescribed period of imprisonment) as the sentence that should ordinarily and in the absence of weighty justification be imposed for the listed crimes in the specified circumstances.</w:t>
      </w:r>
    </w:p>
    <w:p w14:paraId="2BB57F48" w14:textId="77777777" w:rsidR="00C5586E" w:rsidRPr="007A136C" w:rsidRDefault="00C5586E" w:rsidP="00C5586E">
      <w:pPr>
        <w:ind w:left="720"/>
        <w:jc w:val="both"/>
        <w:rPr>
          <w:rFonts w:cs="Arial"/>
          <w:i/>
          <w:iCs/>
          <w:szCs w:val="22"/>
        </w:rPr>
      </w:pPr>
    </w:p>
    <w:p w14:paraId="360DC15A" w14:textId="0864320E" w:rsidR="00C5586E" w:rsidRPr="007A136C" w:rsidRDefault="00C5586E" w:rsidP="00C5586E">
      <w:pPr>
        <w:ind w:left="720"/>
        <w:jc w:val="both"/>
        <w:rPr>
          <w:rFonts w:cs="Arial"/>
          <w:i/>
          <w:iCs/>
          <w:szCs w:val="22"/>
        </w:rPr>
      </w:pPr>
      <w:r w:rsidRPr="007A136C">
        <w:rPr>
          <w:rFonts w:cs="Arial"/>
          <w:i/>
          <w:iCs/>
          <w:szCs w:val="22"/>
        </w:rPr>
        <w:t>C. Unless there are, and can be seen to be, truly convincing reasons for a different response, the crimes in question are therefore required to elicit a severe, standardised and consistent response from the courts.</w:t>
      </w:r>
    </w:p>
    <w:p w14:paraId="7C521898" w14:textId="77777777" w:rsidR="00C5586E" w:rsidRPr="007A136C" w:rsidRDefault="00C5586E" w:rsidP="00C5586E">
      <w:pPr>
        <w:ind w:left="720"/>
        <w:jc w:val="both"/>
        <w:rPr>
          <w:rFonts w:cs="Arial"/>
          <w:i/>
          <w:iCs/>
          <w:szCs w:val="22"/>
        </w:rPr>
      </w:pPr>
    </w:p>
    <w:p w14:paraId="741EFC2C" w14:textId="2E41E3C9" w:rsidR="00C5586E" w:rsidRPr="007A136C" w:rsidRDefault="00C5586E" w:rsidP="00C5586E">
      <w:pPr>
        <w:ind w:left="720"/>
        <w:jc w:val="both"/>
        <w:rPr>
          <w:rFonts w:cs="Arial"/>
          <w:i/>
          <w:iCs/>
          <w:szCs w:val="22"/>
        </w:rPr>
      </w:pPr>
      <w:r w:rsidRPr="007A136C">
        <w:rPr>
          <w:rFonts w:cs="Arial"/>
          <w:i/>
          <w:iCs/>
          <w:szCs w:val="22"/>
        </w:rPr>
        <w:t>D. The specified sentences are not to be departed from lightly and for flimsy reasons. Speculative hypotheses favourable to the offender, undue sympathy, aversion to imprisoning first offenders, personal doubts as to the efficacy of the policy underlying the legislation and marginal differences in personal circumstances or degrees of participation between co-offenders are to be excluded.</w:t>
      </w:r>
    </w:p>
    <w:p w14:paraId="69053B2C" w14:textId="77777777" w:rsidR="00C5586E" w:rsidRPr="007A136C" w:rsidRDefault="00C5586E" w:rsidP="00C5586E">
      <w:pPr>
        <w:ind w:left="720"/>
        <w:jc w:val="both"/>
        <w:rPr>
          <w:rFonts w:cs="Arial"/>
          <w:i/>
          <w:iCs/>
          <w:szCs w:val="22"/>
        </w:rPr>
      </w:pPr>
    </w:p>
    <w:p w14:paraId="6AD70633" w14:textId="4DF9EC58" w:rsidR="00C5586E" w:rsidRPr="007A136C" w:rsidRDefault="00C5586E" w:rsidP="00C5586E">
      <w:pPr>
        <w:ind w:left="720"/>
        <w:jc w:val="both"/>
        <w:rPr>
          <w:rFonts w:cs="Arial"/>
          <w:i/>
          <w:iCs/>
          <w:szCs w:val="22"/>
        </w:rPr>
      </w:pPr>
      <w:r w:rsidRPr="007A136C">
        <w:rPr>
          <w:rFonts w:cs="Arial"/>
          <w:i/>
          <w:iCs/>
          <w:szCs w:val="22"/>
        </w:rPr>
        <w:t>E. The Legislature has, however, deliberately left it to the courts to decide whether the circumstances of any particular case call for a departure from the prescribed sentence. While the emphasis has shifted to the objective gravity of the type of crime and the need for effective sanctions against it, this does not mean that all other considerations are to be ignored.</w:t>
      </w:r>
    </w:p>
    <w:p w14:paraId="07ECCBF5" w14:textId="77777777" w:rsidR="00C5586E" w:rsidRPr="007A136C" w:rsidRDefault="00C5586E" w:rsidP="00C5586E">
      <w:pPr>
        <w:ind w:left="720"/>
        <w:jc w:val="both"/>
        <w:rPr>
          <w:rFonts w:cs="Arial"/>
          <w:i/>
          <w:iCs/>
          <w:szCs w:val="22"/>
        </w:rPr>
      </w:pPr>
    </w:p>
    <w:p w14:paraId="1C9B949E" w14:textId="44658145" w:rsidR="00C5586E" w:rsidRPr="007A136C" w:rsidRDefault="00C5586E" w:rsidP="00C5586E">
      <w:pPr>
        <w:ind w:left="720"/>
        <w:jc w:val="both"/>
        <w:rPr>
          <w:rFonts w:cs="Arial"/>
          <w:i/>
          <w:iCs/>
          <w:szCs w:val="22"/>
        </w:rPr>
      </w:pPr>
      <w:r w:rsidRPr="007A136C">
        <w:rPr>
          <w:rFonts w:cs="Arial"/>
          <w:i/>
          <w:iCs/>
          <w:szCs w:val="22"/>
        </w:rPr>
        <w:t>F. All factors (other than those set out in D above) traditionally taken into account in sentencing (whether or not they diminish moral guilt) thus continue to play a role; none is excluded at the outset from consideration in the sentencing process.</w:t>
      </w:r>
    </w:p>
    <w:p w14:paraId="051D11F5" w14:textId="77777777" w:rsidR="00C5586E" w:rsidRPr="007A136C" w:rsidRDefault="00C5586E" w:rsidP="00C5586E">
      <w:pPr>
        <w:ind w:left="720"/>
        <w:jc w:val="both"/>
        <w:rPr>
          <w:rFonts w:cs="Arial"/>
          <w:i/>
          <w:iCs/>
          <w:szCs w:val="22"/>
        </w:rPr>
      </w:pPr>
    </w:p>
    <w:p w14:paraId="208B6373" w14:textId="348403B1" w:rsidR="00C5586E" w:rsidRPr="007A136C" w:rsidRDefault="00C5586E" w:rsidP="00C5586E">
      <w:pPr>
        <w:ind w:left="720"/>
        <w:jc w:val="both"/>
        <w:rPr>
          <w:rFonts w:cs="Arial"/>
          <w:i/>
          <w:iCs/>
          <w:szCs w:val="22"/>
        </w:rPr>
      </w:pPr>
      <w:r w:rsidRPr="007A136C">
        <w:rPr>
          <w:rFonts w:cs="Arial"/>
          <w:i/>
          <w:iCs/>
          <w:szCs w:val="22"/>
        </w:rPr>
        <w:t>G. The ultimate impact of all the circumstances relevant to sentencing must be measured against the composite yardstick ('substantial and compelling') and must be such as cumulatively justify a departure from the standardised response that the Legislature has ordained.</w:t>
      </w:r>
    </w:p>
    <w:p w14:paraId="478E6B27" w14:textId="77777777" w:rsidR="00C5586E" w:rsidRPr="007A136C" w:rsidRDefault="00C5586E" w:rsidP="00C5586E">
      <w:pPr>
        <w:ind w:left="720"/>
        <w:jc w:val="both"/>
        <w:rPr>
          <w:rFonts w:cs="Arial"/>
          <w:i/>
          <w:iCs/>
          <w:szCs w:val="22"/>
        </w:rPr>
      </w:pPr>
    </w:p>
    <w:p w14:paraId="309E726A" w14:textId="1EEB267B" w:rsidR="00C5586E" w:rsidRPr="007A136C" w:rsidRDefault="00C5586E" w:rsidP="00C5586E">
      <w:pPr>
        <w:ind w:left="720"/>
        <w:jc w:val="both"/>
        <w:rPr>
          <w:rFonts w:cs="Arial"/>
          <w:i/>
          <w:iCs/>
          <w:szCs w:val="22"/>
        </w:rPr>
      </w:pPr>
      <w:r w:rsidRPr="007A136C">
        <w:rPr>
          <w:rFonts w:cs="Arial"/>
          <w:i/>
          <w:iCs/>
          <w:szCs w:val="22"/>
        </w:rPr>
        <w:t>H.</w:t>
      </w:r>
      <w:r w:rsidR="003F367D" w:rsidRPr="007A136C">
        <w:rPr>
          <w:rFonts w:cs="Arial"/>
          <w:i/>
          <w:iCs/>
          <w:szCs w:val="22"/>
        </w:rPr>
        <w:t xml:space="preserve"> </w:t>
      </w:r>
      <w:r w:rsidRPr="007A136C">
        <w:rPr>
          <w:rFonts w:cs="Arial"/>
          <w:i/>
          <w:iCs/>
          <w:szCs w:val="22"/>
        </w:rPr>
        <w:t>In applying the statutory provisions, it is inappropriately constricting to use the concepts developed in dealing with appeals against sentence as the sole criterion.</w:t>
      </w:r>
    </w:p>
    <w:p w14:paraId="6A71B39E" w14:textId="77777777" w:rsidR="00C5586E" w:rsidRPr="007A136C" w:rsidRDefault="00C5586E" w:rsidP="00C5586E">
      <w:pPr>
        <w:ind w:left="720"/>
        <w:jc w:val="both"/>
        <w:rPr>
          <w:rFonts w:cs="Arial"/>
          <w:i/>
          <w:iCs/>
          <w:szCs w:val="22"/>
        </w:rPr>
      </w:pPr>
    </w:p>
    <w:p w14:paraId="5C41E00C" w14:textId="3365AACF" w:rsidR="00C5586E" w:rsidRPr="007A136C" w:rsidRDefault="00C5586E" w:rsidP="00C5586E">
      <w:pPr>
        <w:ind w:left="720"/>
        <w:jc w:val="both"/>
        <w:rPr>
          <w:rFonts w:cs="Arial"/>
          <w:i/>
          <w:iCs/>
          <w:szCs w:val="22"/>
        </w:rPr>
      </w:pPr>
      <w:r w:rsidRPr="007A136C">
        <w:rPr>
          <w:rFonts w:cs="Arial"/>
          <w:i/>
          <w:iCs/>
          <w:szCs w:val="22"/>
        </w:rPr>
        <w:t>I. If the sentencing court on consideration of the circumstances of the particular case is satisfied that they render the prescribed sentence unjust in that it would be disproportionate to the crime, the criminal and the needs of society, so that an injustice would be done by imposing that sentence, it is entitled to impose a lesser sentence.</w:t>
      </w:r>
    </w:p>
    <w:p w14:paraId="5E56A1A3" w14:textId="77777777" w:rsidR="00C5586E" w:rsidRPr="007A136C" w:rsidRDefault="00C5586E" w:rsidP="00C5586E">
      <w:pPr>
        <w:ind w:left="720"/>
        <w:jc w:val="both"/>
        <w:rPr>
          <w:rFonts w:cs="Arial"/>
          <w:i/>
          <w:iCs/>
          <w:szCs w:val="22"/>
        </w:rPr>
      </w:pPr>
    </w:p>
    <w:p w14:paraId="51F7D819" w14:textId="3FF8E375" w:rsidR="00C5586E" w:rsidRPr="007A136C" w:rsidRDefault="00C5586E" w:rsidP="00C5586E">
      <w:pPr>
        <w:ind w:left="720"/>
        <w:jc w:val="both"/>
        <w:rPr>
          <w:rFonts w:cs="Arial"/>
          <w:i/>
          <w:iCs/>
          <w:szCs w:val="22"/>
        </w:rPr>
      </w:pPr>
      <w:r w:rsidRPr="007A136C">
        <w:rPr>
          <w:rFonts w:cs="Arial"/>
          <w:i/>
          <w:iCs/>
          <w:szCs w:val="22"/>
        </w:rPr>
        <w:t>J. In so doing, account must be taken of the fact that crime of that particular kind has been singled out for severe punishment and that the sentence to be imposed in lieu of the prescribed sentence should be assessed paying due regard to the bench mark which the Legislature has provided.</w:t>
      </w:r>
    </w:p>
    <w:p w14:paraId="7D5D536F" w14:textId="77777777" w:rsidR="00482E25" w:rsidRDefault="00482E25" w:rsidP="001A45A9">
      <w:pPr>
        <w:spacing w:before="480" w:after="480" w:line="360" w:lineRule="auto"/>
        <w:jc w:val="both"/>
        <w:rPr>
          <w:rFonts w:cs="Arial"/>
          <w:bCs/>
          <w:szCs w:val="22"/>
          <w:u w:val="single"/>
        </w:rPr>
      </w:pPr>
    </w:p>
    <w:p w14:paraId="3520AB14" w14:textId="77777777" w:rsidR="00482E25" w:rsidRDefault="00482E25" w:rsidP="001A45A9">
      <w:pPr>
        <w:spacing w:before="480" w:after="480" w:line="360" w:lineRule="auto"/>
        <w:jc w:val="both"/>
        <w:rPr>
          <w:rFonts w:cs="Arial"/>
          <w:bCs/>
          <w:szCs w:val="22"/>
          <w:u w:val="single"/>
        </w:rPr>
      </w:pPr>
    </w:p>
    <w:p w14:paraId="545EAACE" w14:textId="7D4E04F2" w:rsidR="00582468" w:rsidRPr="007A136C" w:rsidRDefault="003F367D" w:rsidP="001A45A9">
      <w:pPr>
        <w:spacing w:before="480" w:after="480" w:line="360" w:lineRule="auto"/>
        <w:jc w:val="both"/>
        <w:rPr>
          <w:rFonts w:cs="Arial"/>
          <w:bCs/>
          <w:szCs w:val="22"/>
          <w:u w:val="single"/>
        </w:rPr>
      </w:pPr>
      <w:r w:rsidRPr="007A136C">
        <w:rPr>
          <w:rFonts w:cs="Arial"/>
          <w:bCs/>
          <w:szCs w:val="22"/>
          <w:u w:val="single"/>
        </w:rPr>
        <w:lastRenderedPageBreak/>
        <w:t>Analysis</w:t>
      </w:r>
    </w:p>
    <w:p w14:paraId="68AED83D" w14:textId="43D9EA36" w:rsidR="003114B1" w:rsidRPr="007A136C" w:rsidRDefault="0023355D" w:rsidP="001A45A9">
      <w:pPr>
        <w:numPr>
          <w:ilvl w:val="0"/>
          <w:numId w:val="1"/>
        </w:numPr>
        <w:spacing w:before="480" w:after="480" w:line="360" w:lineRule="auto"/>
        <w:jc w:val="both"/>
        <w:rPr>
          <w:rFonts w:cs="Arial"/>
          <w:bCs/>
          <w:szCs w:val="22"/>
        </w:rPr>
      </w:pPr>
      <w:r w:rsidRPr="007A136C">
        <w:rPr>
          <w:rFonts w:cs="Arial"/>
          <w:bCs/>
          <w:szCs w:val="22"/>
        </w:rPr>
        <w:t xml:space="preserve">In the present matter there are quite simply no compelling circumstances </w:t>
      </w:r>
      <w:r w:rsidR="001A45A9" w:rsidRPr="007A136C">
        <w:rPr>
          <w:rFonts w:cs="Arial"/>
          <w:bCs/>
          <w:szCs w:val="22"/>
        </w:rPr>
        <w:t xml:space="preserve">on the record of the proceedings </w:t>
      </w:r>
      <w:r w:rsidRPr="007A136C">
        <w:rPr>
          <w:rFonts w:cs="Arial"/>
          <w:bCs/>
          <w:szCs w:val="22"/>
        </w:rPr>
        <w:t>that justify the imposition of a lesser sentence.</w:t>
      </w:r>
      <w:r w:rsidR="006C131A" w:rsidRPr="007A136C">
        <w:rPr>
          <w:rFonts w:cs="Arial"/>
          <w:bCs/>
          <w:szCs w:val="22"/>
        </w:rPr>
        <w:t xml:space="preserve"> In my view the appeal cannot be upheld.</w:t>
      </w:r>
    </w:p>
    <w:p w14:paraId="33C46639" w14:textId="3D772107" w:rsidR="00F46811" w:rsidRPr="007A136C" w:rsidRDefault="004B226B" w:rsidP="001A45A9">
      <w:pPr>
        <w:numPr>
          <w:ilvl w:val="0"/>
          <w:numId w:val="1"/>
        </w:numPr>
        <w:spacing w:before="480" w:after="480" w:line="360" w:lineRule="auto"/>
        <w:jc w:val="both"/>
        <w:rPr>
          <w:rFonts w:cs="Arial"/>
          <w:bCs/>
          <w:szCs w:val="22"/>
        </w:rPr>
      </w:pPr>
      <w:r w:rsidRPr="007A136C">
        <w:rPr>
          <w:rFonts w:cs="Arial"/>
          <w:bCs/>
          <w:szCs w:val="22"/>
        </w:rPr>
        <w:t>However, it is a matter of concern that the appellant was referred to the Sterkfontein Hospital for mental observation where he was declared fit to stand trial, but that no reports were made available to the trial court</w:t>
      </w:r>
      <w:r w:rsidR="003F367D" w:rsidRPr="007A136C">
        <w:rPr>
          <w:rFonts w:cs="Arial"/>
          <w:bCs/>
          <w:szCs w:val="22"/>
        </w:rPr>
        <w:t xml:space="preserve"> and no evidence led by the State or by the Defence</w:t>
      </w:r>
      <w:r w:rsidRPr="007A136C">
        <w:rPr>
          <w:rFonts w:cs="Arial"/>
          <w:bCs/>
          <w:szCs w:val="22"/>
        </w:rPr>
        <w:t xml:space="preserve">. This Court does not know the findings of the experts other than the conclusion reached that he was fit to stand trial. </w:t>
      </w:r>
      <w:r w:rsidR="00F46811" w:rsidRPr="007A136C">
        <w:rPr>
          <w:rFonts w:cs="Arial"/>
          <w:bCs/>
          <w:szCs w:val="22"/>
        </w:rPr>
        <w:t xml:space="preserve">Nor does the Court know why he was sent for observation. </w:t>
      </w:r>
      <w:r w:rsidR="003F367D" w:rsidRPr="007A136C">
        <w:rPr>
          <w:rFonts w:cs="Arial"/>
          <w:bCs/>
          <w:szCs w:val="22"/>
        </w:rPr>
        <w:t>There must have been a reason for referring him for observation but the reason is not disclosed.</w:t>
      </w:r>
    </w:p>
    <w:p w14:paraId="72CB8C0E" w14:textId="0D9EF139" w:rsidR="00582468" w:rsidRPr="007A136C" w:rsidRDefault="004B226B" w:rsidP="001A45A9">
      <w:pPr>
        <w:numPr>
          <w:ilvl w:val="0"/>
          <w:numId w:val="1"/>
        </w:numPr>
        <w:spacing w:before="480" w:after="480" w:line="360" w:lineRule="auto"/>
        <w:jc w:val="both"/>
        <w:rPr>
          <w:rFonts w:cs="Arial"/>
          <w:bCs/>
          <w:szCs w:val="22"/>
        </w:rPr>
      </w:pPr>
      <w:r w:rsidRPr="007A136C">
        <w:rPr>
          <w:rFonts w:cs="Arial"/>
          <w:bCs/>
          <w:szCs w:val="22"/>
        </w:rPr>
        <w:t xml:space="preserve">Even though the appellant might </w:t>
      </w:r>
      <w:r w:rsidR="001A45A9">
        <w:rPr>
          <w:rFonts w:cs="Arial"/>
          <w:bCs/>
          <w:szCs w:val="22"/>
        </w:rPr>
        <w:t xml:space="preserve">have been </w:t>
      </w:r>
      <w:r w:rsidRPr="007A136C">
        <w:rPr>
          <w:rFonts w:cs="Arial"/>
          <w:bCs/>
          <w:szCs w:val="22"/>
        </w:rPr>
        <w:t>fit to stand trial</w:t>
      </w:r>
      <w:r w:rsidR="003F367D" w:rsidRPr="007A136C">
        <w:rPr>
          <w:rFonts w:cs="Arial"/>
          <w:bCs/>
          <w:szCs w:val="22"/>
        </w:rPr>
        <w:t>,</w:t>
      </w:r>
      <w:r w:rsidR="003F367D" w:rsidRPr="007A136C">
        <w:rPr>
          <w:rStyle w:val="FootnoteReference"/>
          <w:rFonts w:cs="Arial"/>
          <w:bCs/>
          <w:szCs w:val="22"/>
        </w:rPr>
        <w:footnoteReference w:id="5"/>
      </w:r>
      <w:r w:rsidRPr="007A136C">
        <w:rPr>
          <w:rFonts w:cs="Arial"/>
          <w:bCs/>
          <w:szCs w:val="22"/>
        </w:rPr>
        <w:t xml:space="preserve"> the findings of medical experts </w:t>
      </w:r>
      <w:r w:rsidR="001A45A9">
        <w:rPr>
          <w:rFonts w:cs="Arial"/>
          <w:bCs/>
          <w:szCs w:val="22"/>
        </w:rPr>
        <w:t>might</w:t>
      </w:r>
      <w:r w:rsidRPr="007A136C">
        <w:rPr>
          <w:rFonts w:cs="Arial"/>
          <w:bCs/>
          <w:szCs w:val="22"/>
        </w:rPr>
        <w:t xml:space="preserve"> conceivably (not necessarily) establish </w:t>
      </w:r>
      <w:r w:rsidR="00A476DA" w:rsidRPr="007A136C">
        <w:rPr>
          <w:rFonts w:cs="Arial"/>
          <w:bCs/>
          <w:szCs w:val="22"/>
        </w:rPr>
        <w:t>substantial and compelling circumstance for the purposes of section 51(3) of the Criminal Law Amendment Act of 1997.</w:t>
      </w:r>
    </w:p>
    <w:p w14:paraId="6ED64D5B" w14:textId="77777777" w:rsidR="001A45A9" w:rsidRDefault="003F367D" w:rsidP="001A45A9">
      <w:pPr>
        <w:numPr>
          <w:ilvl w:val="0"/>
          <w:numId w:val="1"/>
        </w:numPr>
        <w:spacing w:before="480" w:after="480" w:line="360" w:lineRule="auto"/>
        <w:jc w:val="both"/>
        <w:rPr>
          <w:rFonts w:cs="Arial"/>
          <w:bCs/>
          <w:szCs w:val="22"/>
        </w:rPr>
      </w:pPr>
      <w:r w:rsidRPr="007A136C">
        <w:rPr>
          <w:rFonts w:cs="Arial"/>
          <w:bCs/>
          <w:szCs w:val="22"/>
        </w:rPr>
        <w:t xml:space="preserve">The failure by the State and the defence to place the medical evidence before the Court may, unintentionally, lead to a failure of justice because relevant evidence was available but not considered by the trial court. </w:t>
      </w:r>
    </w:p>
    <w:p w14:paraId="256C44F1" w14:textId="70C5C9A9" w:rsidR="003114B1" w:rsidRPr="007A136C" w:rsidRDefault="003F367D" w:rsidP="001A45A9">
      <w:pPr>
        <w:numPr>
          <w:ilvl w:val="0"/>
          <w:numId w:val="1"/>
        </w:numPr>
        <w:spacing w:before="480" w:after="480" w:line="360" w:lineRule="auto"/>
        <w:jc w:val="both"/>
        <w:rPr>
          <w:rFonts w:cs="Arial"/>
          <w:bCs/>
          <w:szCs w:val="22"/>
        </w:rPr>
      </w:pPr>
      <w:r w:rsidRPr="007A136C">
        <w:rPr>
          <w:rFonts w:cs="Arial"/>
          <w:bCs/>
          <w:szCs w:val="22"/>
        </w:rPr>
        <w:t xml:space="preserve">The remedy is to be found in the Criminal Procedure Act. </w:t>
      </w:r>
      <w:r w:rsidR="006C131A" w:rsidRPr="007A136C">
        <w:rPr>
          <w:rFonts w:cs="Arial"/>
          <w:bCs/>
          <w:szCs w:val="22"/>
        </w:rPr>
        <w:t xml:space="preserve">In terms of section 304(2)(c)(v) of the Criminal Procedure Act read with section 309(3) this </w:t>
      </w:r>
      <w:r w:rsidRPr="007A136C">
        <w:rPr>
          <w:rFonts w:cs="Arial"/>
          <w:bCs/>
          <w:szCs w:val="22"/>
        </w:rPr>
        <w:t xml:space="preserve">Court </w:t>
      </w:r>
      <w:r w:rsidR="006C131A" w:rsidRPr="007A136C">
        <w:rPr>
          <w:rFonts w:cs="Arial"/>
          <w:bCs/>
          <w:szCs w:val="22"/>
        </w:rPr>
        <w:t xml:space="preserve">has the power to remit the case to the </w:t>
      </w:r>
      <w:r w:rsidRPr="007A136C">
        <w:rPr>
          <w:rFonts w:cs="Arial"/>
          <w:bCs/>
          <w:szCs w:val="22"/>
        </w:rPr>
        <w:t xml:space="preserve">Magistrates Court </w:t>
      </w:r>
      <w:r w:rsidR="006C131A" w:rsidRPr="007A136C">
        <w:rPr>
          <w:rFonts w:cs="Arial"/>
          <w:bCs/>
          <w:szCs w:val="22"/>
        </w:rPr>
        <w:t>to deal with the matter in such manner as this court may think fit.</w:t>
      </w:r>
      <w:r w:rsidR="00F46811" w:rsidRPr="007A136C">
        <w:rPr>
          <w:rFonts w:cs="Arial"/>
          <w:bCs/>
          <w:szCs w:val="22"/>
        </w:rPr>
        <w:t xml:space="preserve"> </w:t>
      </w:r>
    </w:p>
    <w:p w14:paraId="476F8A6E" w14:textId="54D3DF86" w:rsidR="003114B1" w:rsidRPr="007A136C" w:rsidRDefault="00482E25" w:rsidP="001A45A9">
      <w:pPr>
        <w:numPr>
          <w:ilvl w:val="0"/>
          <w:numId w:val="1"/>
        </w:numPr>
        <w:spacing w:before="480" w:after="480" w:line="360" w:lineRule="auto"/>
        <w:jc w:val="both"/>
        <w:rPr>
          <w:rFonts w:cs="Arial"/>
          <w:bCs/>
          <w:szCs w:val="22"/>
        </w:rPr>
      </w:pPr>
      <w:r>
        <w:rPr>
          <w:rFonts w:cs="Arial"/>
          <w:bCs/>
          <w:szCs w:val="22"/>
        </w:rPr>
        <w:t xml:space="preserve">For these reasons the order in paragraph </w:t>
      </w:r>
      <w:r w:rsidR="00145CDF">
        <w:rPr>
          <w:rFonts w:cs="Arial"/>
          <w:bCs/>
          <w:szCs w:val="22"/>
        </w:rPr>
        <w:t>[</w:t>
      </w:r>
      <w:r w:rsidR="003A3057">
        <w:rPr>
          <w:rFonts w:cs="Arial"/>
          <w:bCs/>
          <w:szCs w:val="22"/>
        </w:rPr>
        <w:t xml:space="preserve">1 </w:t>
      </w:r>
      <w:r w:rsidR="00145CDF">
        <w:rPr>
          <w:rFonts w:cs="Arial"/>
          <w:bCs/>
          <w:szCs w:val="22"/>
        </w:rPr>
        <w:t xml:space="preserve">] </w:t>
      </w:r>
      <w:r>
        <w:rPr>
          <w:rFonts w:cs="Arial"/>
          <w:bCs/>
          <w:szCs w:val="22"/>
        </w:rPr>
        <w:t>was made.</w:t>
      </w:r>
    </w:p>
    <w:p w14:paraId="7BD7D562" w14:textId="34F8C6E3" w:rsidR="0066438A" w:rsidRDefault="0066438A" w:rsidP="006C43D7">
      <w:pPr>
        <w:tabs>
          <w:tab w:val="right" w:pos="0"/>
        </w:tabs>
        <w:spacing w:line="360" w:lineRule="auto"/>
        <w:contextualSpacing/>
        <w:jc w:val="right"/>
        <w:rPr>
          <w:rFonts w:cs="Arial"/>
          <w:b/>
          <w:szCs w:val="22"/>
        </w:rPr>
      </w:pPr>
    </w:p>
    <w:p w14:paraId="46F2B287" w14:textId="0C072412" w:rsidR="00482E25" w:rsidRDefault="00482E25" w:rsidP="006C43D7">
      <w:pPr>
        <w:tabs>
          <w:tab w:val="right" w:pos="0"/>
        </w:tabs>
        <w:spacing w:line="360" w:lineRule="auto"/>
        <w:contextualSpacing/>
        <w:jc w:val="right"/>
        <w:rPr>
          <w:rFonts w:cs="Arial"/>
          <w:b/>
          <w:szCs w:val="22"/>
        </w:rPr>
      </w:pPr>
    </w:p>
    <w:p w14:paraId="08FF7107" w14:textId="250E7613" w:rsidR="00482E25" w:rsidRDefault="00482E25" w:rsidP="006C43D7">
      <w:pPr>
        <w:tabs>
          <w:tab w:val="right" w:pos="0"/>
        </w:tabs>
        <w:spacing w:line="360" w:lineRule="auto"/>
        <w:contextualSpacing/>
        <w:jc w:val="right"/>
        <w:rPr>
          <w:rFonts w:cs="Arial"/>
          <w:b/>
          <w:szCs w:val="22"/>
        </w:rPr>
      </w:pPr>
    </w:p>
    <w:p w14:paraId="36D48341" w14:textId="77777777" w:rsidR="00482E25" w:rsidRDefault="00482E25" w:rsidP="006C43D7">
      <w:pPr>
        <w:tabs>
          <w:tab w:val="right" w:pos="0"/>
        </w:tabs>
        <w:spacing w:line="360" w:lineRule="auto"/>
        <w:contextualSpacing/>
        <w:jc w:val="right"/>
        <w:rPr>
          <w:rFonts w:cs="Arial"/>
          <w:b/>
          <w:szCs w:val="22"/>
        </w:rPr>
      </w:pPr>
    </w:p>
    <w:p w14:paraId="43CADB30" w14:textId="139F947B" w:rsidR="00482E25" w:rsidRPr="007A136C" w:rsidRDefault="00482E25" w:rsidP="006C43D7">
      <w:pPr>
        <w:tabs>
          <w:tab w:val="right" w:pos="0"/>
        </w:tabs>
        <w:spacing w:line="360" w:lineRule="auto"/>
        <w:contextualSpacing/>
        <w:jc w:val="right"/>
        <w:rPr>
          <w:rFonts w:cs="Arial"/>
          <w:b/>
          <w:szCs w:val="22"/>
        </w:rPr>
      </w:pPr>
      <w:r>
        <w:rPr>
          <w:rFonts w:cs="Arial"/>
          <w:b/>
          <w:szCs w:val="22"/>
        </w:rPr>
        <w:t>___________________________________</w:t>
      </w:r>
    </w:p>
    <w:p w14:paraId="1110B365" w14:textId="77777777" w:rsidR="0066438A" w:rsidRPr="007A136C" w:rsidRDefault="0066438A" w:rsidP="006C43D7">
      <w:pPr>
        <w:tabs>
          <w:tab w:val="right" w:pos="0"/>
        </w:tabs>
        <w:spacing w:line="360" w:lineRule="auto"/>
        <w:contextualSpacing/>
        <w:jc w:val="right"/>
        <w:rPr>
          <w:rFonts w:cs="Arial"/>
          <w:b/>
          <w:szCs w:val="22"/>
        </w:rPr>
      </w:pPr>
    </w:p>
    <w:p w14:paraId="0CCB9BFE" w14:textId="7BBE1B84" w:rsidR="006C43D7" w:rsidRDefault="00C676F3" w:rsidP="006C43D7">
      <w:pPr>
        <w:tabs>
          <w:tab w:val="right" w:pos="0"/>
        </w:tabs>
        <w:spacing w:line="360" w:lineRule="auto"/>
        <w:contextualSpacing/>
        <w:jc w:val="right"/>
        <w:rPr>
          <w:rFonts w:cs="Arial"/>
          <w:b/>
          <w:szCs w:val="22"/>
        </w:rPr>
      </w:pPr>
      <w:r w:rsidRPr="007A136C">
        <w:rPr>
          <w:rFonts w:cs="Arial"/>
          <w:b/>
          <w:szCs w:val="22"/>
        </w:rPr>
        <w:t xml:space="preserve"> MOORCROFT</w:t>
      </w:r>
      <w:r w:rsidR="00482E25">
        <w:rPr>
          <w:rFonts w:cs="Arial"/>
          <w:b/>
          <w:szCs w:val="22"/>
        </w:rPr>
        <w:t xml:space="preserve"> AJ</w:t>
      </w:r>
    </w:p>
    <w:p w14:paraId="3AE59DDA" w14:textId="77777777" w:rsidR="00482E25" w:rsidRDefault="00482E25" w:rsidP="006C43D7">
      <w:pPr>
        <w:tabs>
          <w:tab w:val="right" w:pos="0"/>
        </w:tabs>
        <w:spacing w:line="360" w:lineRule="auto"/>
        <w:contextualSpacing/>
        <w:jc w:val="right"/>
        <w:rPr>
          <w:rFonts w:cs="Arial"/>
          <w:b/>
          <w:szCs w:val="22"/>
        </w:rPr>
      </w:pPr>
    </w:p>
    <w:p w14:paraId="766B0944" w14:textId="624FE983" w:rsidR="00482E25" w:rsidRDefault="00482E25" w:rsidP="006C43D7">
      <w:pPr>
        <w:tabs>
          <w:tab w:val="right" w:pos="0"/>
        </w:tabs>
        <w:spacing w:line="360" w:lineRule="auto"/>
        <w:contextualSpacing/>
        <w:jc w:val="right"/>
        <w:rPr>
          <w:rFonts w:cs="Arial"/>
          <w:b/>
          <w:szCs w:val="22"/>
        </w:rPr>
      </w:pPr>
    </w:p>
    <w:p w14:paraId="2EBE2A52" w14:textId="55336231" w:rsidR="00482E25" w:rsidRPr="007A136C" w:rsidRDefault="00482E25" w:rsidP="006C43D7">
      <w:pPr>
        <w:tabs>
          <w:tab w:val="right" w:pos="0"/>
        </w:tabs>
        <w:spacing w:line="360" w:lineRule="auto"/>
        <w:contextualSpacing/>
        <w:jc w:val="right"/>
        <w:rPr>
          <w:rFonts w:cs="Arial"/>
          <w:b/>
          <w:szCs w:val="22"/>
        </w:rPr>
      </w:pPr>
      <w:r>
        <w:rPr>
          <w:rFonts w:cs="Arial"/>
          <w:b/>
          <w:szCs w:val="22"/>
        </w:rPr>
        <w:t>____________________________</w:t>
      </w:r>
    </w:p>
    <w:p w14:paraId="08086F1C" w14:textId="589CB1B3" w:rsidR="00482E25" w:rsidRDefault="00482E25" w:rsidP="006C43D7">
      <w:pPr>
        <w:tabs>
          <w:tab w:val="right" w:pos="0"/>
          <w:tab w:val="left" w:pos="4253"/>
        </w:tabs>
        <w:spacing w:line="360" w:lineRule="auto"/>
        <w:contextualSpacing/>
        <w:jc w:val="right"/>
        <w:rPr>
          <w:rFonts w:cs="Arial"/>
          <w:b/>
          <w:szCs w:val="22"/>
        </w:rPr>
      </w:pPr>
      <w:r>
        <w:rPr>
          <w:rFonts w:cs="Arial"/>
          <w:b/>
          <w:szCs w:val="22"/>
        </w:rPr>
        <w:t xml:space="preserve">SUTHERLAND DJP </w:t>
      </w:r>
    </w:p>
    <w:p w14:paraId="0E59F274" w14:textId="043186B5" w:rsidR="00482E25" w:rsidRDefault="00482E25" w:rsidP="006C43D7">
      <w:pPr>
        <w:tabs>
          <w:tab w:val="right" w:pos="0"/>
          <w:tab w:val="left" w:pos="4253"/>
        </w:tabs>
        <w:spacing w:line="360" w:lineRule="auto"/>
        <w:contextualSpacing/>
        <w:jc w:val="right"/>
        <w:rPr>
          <w:rFonts w:cs="Arial"/>
          <w:b/>
          <w:szCs w:val="22"/>
        </w:rPr>
      </w:pPr>
    </w:p>
    <w:p w14:paraId="7B098413" w14:textId="571965F3" w:rsidR="00482E25" w:rsidRDefault="00482E25" w:rsidP="006C43D7">
      <w:pPr>
        <w:tabs>
          <w:tab w:val="right" w:pos="0"/>
          <w:tab w:val="left" w:pos="4253"/>
        </w:tabs>
        <w:spacing w:line="360" w:lineRule="auto"/>
        <w:contextualSpacing/>
        <w:jc w:val="right"/>
        <w:rPr>
          <w:rFonts w:cs="Arial"/>
          <w:b/>
          <w:szCs w:val="22"/>
        </w:rPr>
      </w:pPr>
    </w:p>
    <w:p w14:paraId="5D4C64B1" w14:textId="5A72BD4F" w:rsidR="00482E25" w:rsidRDefault="00482E25" w:rsidP="006C43D7">
      <w:pPr>
        <w:tabs>
          <w:tab w:val="right" w:pos="0"/>
          <w:tab w:val="left" w:pos="4253"/>
        </w:tabs>
        <w:spacing w:line="360" w:lineRule="auto"/>
        <w:contextualSpacing/>
        <w:jc w:val="right"/>
        <w:rPr>
          <w:rFonts w:cs="Arial"/>
          <w:b/>
          <w:szCs w:val="22"/>
        </w:rPr>
      </w:pPr>
      <w:r>
        <w:rPr>
          <w:rFonts w:cs="Arial"/>
          <w:b/>
          <w:szCs w:val="22"/>
        </w:rPr>
        <w:t>_____________________________</w:t>
      </w:r>
    </w:p>
    <w:p w14:paraId="5DAB8945" w14:textId="4BD57D6F" w:rsidR="00482E25" w:rsidRPr="007A136C" w:rsidRDefault="00482E25" w:rsidP="006C43D7">
      <w:pPr>
        <w:tabs>
          <w:tab w:val="right" w:pos="0"/>
          <w:tab w:val="left" w:pos="4253"/>
        </w:tabs>
        <w:spacing w:line="360" w:lineRule="auto"/>
        <w:contextualSpacing/>
        <w:jc w:val="right"/>
        <w:rPr>
          <w:rFonts w:cs="Arial"/>
          <w:b/>
          <w:szCs w:val="22"/>
        </w:rPr>
      </w:pPr>
      <w:r>
        <w:rPr>
          <w:rFonts w:cs="Arial"/>
          <w:b/>
          <w:szCs w:val="22"/>
        </w:rPr>
        <w:t>MAZIBUKO AJ</w:t>
      </w:r>
    </w:p>
    <w:p w14:paraId="326B529B" w14:textId="28AC6D5F" w:rsidR="006C43D7" w:rsidRPr="007A136C" w:rsidRDefault="006C43D7" w:rsidP="006C43D7">
      <w:pPr>
        <w:tabs>
          <w:tab w:val="right" w:pos="0"/>
          <w:tab w:val="left" w:pos="4253"/>
        </w:tabs>
        <w:spacing w:line="360" w:lineRule="auto"/>
        <w:contextualSpacing/>
        <w:jc w:val="center"/>
        <w:rPr>
          <w:rFonts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1"/>
      </w:tblGrid>
      <w:tr w:rsidR="00051422" w:rsidRPr="007A136C" w14:paraId="26197AF8" w14:textId="77777777" w:rsidTr="00CC7E93">
        <w:tc>
          <w:tcPr>
            <w:tcW w:w="4151" w:type="dxa"/>
          </w:tcPr>
          <w:p w14:paraId="33E6447E" w14:textId="51B2AAD7" w:rsidR="00051422" w:rsidRPr="007A136C" w:rsidRDefault="00051422" w:rsidP="00610A1C">
            <w:pPr>
              <w:tabs>
                <w:tab w:val="right" w:pos="0"/>
                <w:tab w:val="left" w:pos="4253"/>
              </w:tabs>
              <w:spacing w:before="120" w:after="120"/>
              <w:jc w:val="both"/>
              <w:rPr>
                <w:rFonts w:cs="Arial"/>
                <w:szCs w:val="22"/>
              </w:rPr>
            </w:pPr>
            <w:r w:rsidRPr="007A136C">
              <w:rPr>
                <w:rFonts w:cs="Arial"/>
                <w:szCs w:val="22"/>
              </w:rPr>
              <w:t>COUNSEL FOR THE APPELLANT:</w:t>
            </w:r>
          </w:p>
        </w:tc>
        <w:tc>
          <w:tcPr>
            <w:tcW w:w="4151" w:type="dxa"/>
          </w:tcPr>
          <w:p w14:paraId="23DE66C6" w14:textId="634E59C2" w:rsidR="00051422" w:rsidRPr="007A136C" w:rsidRDefault="00051422" w:rsidP="00610A1C">
            <w:pPr>
              <w:tabs>
                <w:tab w:val="right" w:pos="0"/>
                <w:tab w:val="left" w:pos="4253"/>
              </w:tabs>
              <w:spacing w:before="120" w:after="120"/>
              <w:jc w:val="right"/>
              <w:rPr>
                <w:rFonts w:cs="Arial"/>
                <w:szCs w:val="22"/>
              </w:rPr>
            </w:pPr>
            <w:r w:rsidRPr="007A136C">
              <w:rPr>
                <w:rFonts w:cs="Arial"/>
                <w:szCs w:val="22"/>
              </w:rPr>
              <w:t>M BUTHELEZI</w:t>
            </w:r>
          </w:p>
        </w:tc>
      </w:tr>
      <w:tr w:rsidR="00051422" w:rsidRPr="007A136C" w14:paraId="2D56A119" w14:textId="77777777" w:rsidTr="00CC7E93">
        <w:tc>
          <w:tcPr>
            <w:tcW w:w="4151" w:type="dxa"/>
          </w:tcPr>
          <w:p w14:paraId="0478B099" w14:textId="4E50D345" w:rsidR="00051422" w:rsidRPr="007A136C" w:rsidRDefault="00051422" w:rsidP="00610A1C">
            <w:pPr>
              <w:tabs>
                <w:tab w:val="right" w:pos="0"/>
                <w:tab w:val="left" w:pos="4253"/>
              </w:tabs>
              <w:spacing w:before="120" w:after="120"/>
              <w:jc w:val="both"/>
              <w:rPr>
                <w:rFonts w:cs="Arial"/>
                <w:szCs w:val="22"/>
              </w:rPr>
            </w:pPr>
            <w:r w:rsidRPr="007A136C">
              <w:rPr>
                <w:rFonts w:cs="Arial"/>
                <w:szCs w:val="22"/>
              </w:rPr>
              <w:t>INSTRUCTED BY:</w:t>
            </w:r>
          </w:p>
        </w:tc>
        <w:tc>
          <w:tcPr>
            <w:tcW w:w="4151" w:type="dxa"/>
          </w:tcPr>
          <w:p w14:paraId="251B8F56" w14:textId="6A981FC4" w:rsidR="00051422" w:rsidRPr="007A136C" w:rsidRDefault="00051422" w:rsidP="00610A1C">
            <w:pPr>
              <w:tabs>
                <w:tab w:val="right" w:pos="0"/>
                <w:tab w:val="left" w:pos="4253"/>
              </w:tabs>
              <w:spacing w:before="120" w:after="120"/>
              <w:jc w:val="right"/>
              <w:rPr>
                <w:rFonts w:cs="Arial"/>
                <w:szCs w:val="22"/>
              </w:rPr>
            </w:pPr>
            <w:r w:rsidRPr="007A136C">
              <w:rPr>
                <w:rFonts w:cs="Arial"/>
                <w:szCs w:val="22"/>
              </w:rPr>
              <w:t>LEGAL AID SA</w:t>
            </w:r>
          </w:p>
        </w:tc>
      </w:tr>
      <w:tr w:rsidR="00051422" w:rsidRPr="007A136C" w14:paraId="2EBC69D5" w14:textId="77777777" w:rsidTr="00CC7E93">
        <w:tc>
          <w:tcPr>
            <w:tcW w:w="4151" w:type="dxa"/>
          </w:tcPr>
          <w:p w14:paraId="6E1D9D80" w14:textId="31F8EE44" w:rsidR="00051422" w:rsidRPr="007A136C" w:rsidRDefault="00051422" w:rsidP="00610A1C">
            <w:pPr>
              <w:tabs>
                <w:tab w:val="right" w:pos="0"/>
                <w:tab w:val="left" w:pos="4253"/>
              </w:tabs>
              <w:spacing w:before="120" w:after="120"/>
              <w:jc w:val="both"/>
              <w:rPr>
                <w:rFonts w:cs="Arial"/>
                <w:szCs w:val="22"/>
              </w:rPr>
            </w:pPr>
            <w:r w:rsidRPr="007A136C">
              <w:rPr>
                <w:rFonts w:cs="Arial"/>
                <w:szCs w:val="22"/>
              </w:rPr>
              <w:t>COUNSEL FOR THE RESPONDENT:</w:t>
            </w:r>
          </w:p>
        </w:tc>
        <w:tc>
          <w:tcPr>
            <w:tcW w:w="4151" w:type="dxa"/>
          </w:tcPr>
          <w:p w14:paraId="01302307" w14:textId="15650454" w:rsidR="00051422" w:rsidRPr="007A136C" w:rsidRDefault="00051422" w:rsidP="00610A1C">
            <w:pPr>
              <w:tabs>
                <w:tab w:val="right" w:pos="0"/>
                <w:tab w:val="left" w:pos="4253"/>
              </w:tabs>
              <w:spacing w:before="120" w:after="120"/>
              <w:jc w:val="right"/>
              <w:rPr>
                <w:rFonts w:cs="Arial"/>
                <w:szCs w:val="22"/>
              </w:rPr>
            </w:pPr>
            <w:r w:rsidRPr="007A136C">
              <w:rPr>
                <w:rFonts w:cs="Arial"/>
                <w:szCs w:val="22"/>
              </w:rPr>
              <w:t>K E MOSEK</w:t>
            </w:r>
            <w:r w:rsidR="00CC7E93" w:rsidRPr="007A136C">
              <w:rPr>
                <w:rFonts w:cs="Arial"/>
                <w:szCs w:val="22"/>
              </w:rPr>
              <w:t>I</w:t>
            </w:r>
          </w:p>
        </w:tc>
      </w:tr>
      <w:tr w:rsidR="00051422" w:rsidRPr="007A136C" w14:paraId="74610511" w14:textId="77777777" w:rsidTr="00CC7E93">
        <w:tc>
          <w:tcPr>
            <w:tcW w:w="4151" w:type="dxa"/>
          </w:tcPr>
          <w:p w14:paraId="2EA9D0DB" w14:textId="6BAB000B" w:rsidR="00051422" w:rsidRPr="007A136C" w:rsidRDefault="00051422" w:rsidP="00610A1C">
            <w:pPr>
              <w:tabs>
                <w:tab w:val="right" w:pos="0"/>
                <w:tab w:val="left" w:pos="4253"/>
              </w:tabs>
              <w:spacing w:before="120" w:after="120"/>
              <w:jc w:val="both"/>
              <w:rPr>
                <w:rFonts w:cs="Arial"/>
                <w:szCs w:val="22"/>
              </w:rPr>
            </w:pPr>
            <w:r w:rsidRPr="007A136C">
              <w:rPr>
                <w:rFonts w:cs="Arial"/>
                <w:szCs w:val="22"/>
              </w:rPr>
              <w:t>INSTRUCTED BY:</w:t>
            </w:r>
          </w:p>
        </w:tc>
        <w:tc>
          <w:tcPr>
            <w:tcW w:w="4151" w:type="dxa"/>
          </w:tcPr>
          <w:p w14:paraId="1B3D3AF6" w14:textId="77777777" w:rsidR="00051422" w:rsidRPr="007A136C" w:rsidRDefault="00CC7E93" w:rsidP="00610A1C">
            <w:pPr>
              <w:tabs>
                <w:tab w:val="right" w:pos="0"/>
                <w:tab w:val="left" w:pos="4253"/>
              </w:tabs>
              <w:spacing w:before="120" w:after="120"/>
              <w:jc w:val="right"/>
              <w:rPr>
                <w:rFonts w:cs="Arial"/>
                <w:szCs w:val="22"/>
              </w:rPr>
            </w:pPr>
            <w:r w:rsidRPr="007A136C">
              <w:rPr>
                <w:rFonts w:cs="Arial"/>
                <w:szCs w:val="22"/>
              </w:rPr>
              <w:t>OFFICE OF THE DIRECTOR</w:t>
            </w:r>
          </w:p>
          <w:p w14:paraId="445A8FF0" w14:textId="77777777" w:rsidR="00CC7E93" w:rsidRPr="007A136C" w:rsidRDefault="00CC7E93" w:rsidP="00610A1C">
            <w:pPr>
              <w:tabs>
                <w:tab w:val="right" w:pos="0"/>
                <w:tab w:val="left" w:pos="4253"/>
              </w:tabs>
              <w:spacing w:before="120" w:after="120"/>
              <w:jc w:val="right"/>
              <w:rPr>
                <w:rFonts w:cs="Arial"/>
                <w:szCs w:val="22"/>
              </w:rPr>
            </w:pPr>
            <w:r w:rsidRPr="007A136C">
              <w:rPr>
                <w:rFonts w:cs="Arial"/>
                <w:szCs w:val="22"/>
              </w:rPr>
              <w:t>OF PUBLIC PROSECUTIONS,</w:t>
            </w:r>
          </w:p>
          <w:p w14:paraId="43BE3E18" w14:textId="0B07125A" w:rsidR="00CC7E93" w:rsidRPr="007A136C" w:rsidRDefault="00CC7E93" w:rsidP="00610A1C">
            <w:pPr>
              <w:tabs>
                <w:tab w:val="right" w:pos="0"/>
                <w:tab w:val="left" w:pos="4253"/>
              </w:tabs>
              <w:spacing w:before="120" w:after="120"/>
              <w:jc w:val="right"/>
              <w:rPr>
                <w:rFonts w:cs="Arial"/>
                <w:szCs w:val="22"/>
              </w:rPr>
            </w:pPr>
            <w:r w:rsidRPr="007A136C">
              <w:rPr>
                <w:rFonts w:cs="Arial"/>
                <w:szCs w:val="22"/>
              </w:rPr>
              <w:t>GAUTENG</w:t>
            </w:r>
          </w:p>
        </w:tc>
      </w:tr>
      <w:tr w:rsidR="00051422" w:rsidRPr="007A136C" w14:paraId="72B14983" w14:textId="77777777" w:rsidTr="00CC7E93">
        <w:tc>
          <w:tcPr>
            <w:tcW w:w="4151" w:type="dxa"/>
          </w:tcPr>
          <w:p w14:paraId="7AD63009" w14:textId="3BB54AC9" w:rsidR="00051422" w:rsidRPr="007A136C" w:rsidRDefault="00051422" w:rsidP="00610A1C">
            <w:pPr>
              <w:tabs>
                <w:tab w:val="right" w:pos="0"/>
                <w:tab w:val="left" w:pos="4253"/>
              </w:tabs>
              <w:spacing w:before="120" w:after="120"/>
              <w:jc w:val="both"/>
              <w:rPr>
                <w:rFonts w:cs="Arial"/>
                <w:szCs w:val="22"/>
              </w:rPr>
            </w:pPr>
            <w:r w:rsidRPr="007A136C">
              <w:rPr>
                <w:rFonts w:cs="Arial"/>
                <w:szCs w:val="22"/>
              </w:rPr>
              <w:t>DATE OF THE HEARING:</w:t>
            </w:r>
          </w:p>
        </w:tc>
        <w:tc>
          <w:tcPr>
            <w:tcW w:w="4151" w:type="dxa"/>
          </w:tcPr>
          <w:p w14:paraId="05FDBFBC" w14:textId="7ABC48B5" w:rsidR="00051422" w:rsidRPr="007A136C" w:rsidRDefault="00051422" w:rsidP="00610A1C">
            <w:pPr>
              <w:tabs>
                <w:tab w:val="right" w:pos="0"/>
                <w:tab w:val="left" w:pos="4253"/>
              </w:tabs>
              <w:spacing w:before="120" w:after="120"/>
              <w:jc w:val="right"/>
              <w:rPr>
                <w:rFonts w:cs="Arial"/>
                <w:szCs w:val="22"/>
              </w:rPr>
            </w:pPr>
            <w:r w:rsidRPr="007A136C">
              <w:rPr>
                <w:rFonts w:cs="Arial"/>
                <w:szCs w:val="22"/>
              </w:rPr>
              <w:t>28 APRIL 2022</w:t>
            </w:r>
          </w:p>
        </w:tc>
      </w:tr>
      <w:tr w:rsidR="00051422" w:rsidRPr="007A136C" w14:paraId="4650CD55" w14:textId="77777777" w:rsidTr="00CC7E93">
        <w:tc>
          <w:tcPr>
            <w:tcW w:w="4151" w:type="dxa"/>
          </w:tcPr>
          <w:p w14:paraId="5623C8A3" w14:textId="2C84EB28" w:rsidR="00051422" w:rsidRPr="007A136C" w:rsidRDefault="00051422" w:rsidP="00610A1C">
            <w:pPr>
              <w:tabs>
                <w:tab w:val="right" w:pos="0"/>
                <w:tab w:val="left" w:pos="4253"/>
              </w:tabs>
              <w:spacing w:before="120" w:after="120"/>
              <w:jc w:val="both"/>
              <w:rPr>
                <w:rFonts w:cs="Arial"/>
                <w:szCs w:val="22"/>
              </w:rPr>
            </w:pPr>
            <w:r w:rsidRPr="007A136C">
              <w:rPr>
                <w:rFonts w:cs="Arial"/>
                <w:szCs w:val="22"/>
              </w:rPr>
              <w:t>DATE OF JUDGMENT</w:t>
            </w:r>
          </w:p>
        </w:tc>
        <w:tc>
          <w:tcPr>
            <w:tcW w:w="4151" w:type="dxa"/>
          </w:tcPr>
          <w:p w14:paraId="35D4F892" w14:textId="3C294E12" w:rsidR="00051422" w:rsidRPr="007A136C" w:rsidRDefault="005A0589" w:rsidP="00610A1C">
            <w:pPr>
              <w:tabs>
                <w:tab w:val="right" w:pos="0"/>
                <w:tab w:val="left" w:pos="4253"/>
              </w:tabs>
              <w:spacing w:before="120" w:after="120"/>
              <w:jc w:val="right"/>
              <w:rPr>
                <w:rFonts w:cs="Arial"/>
                <w:szCs w:val="22"/>
              </w:rPr>
            </w:pPr>
            <w:r>
              <w:rPr>
                <w:rFonts w:cs="Arial"/>
                <w:szCs w:val="22"/>
              </w:rPr>
              <w:t>25 JULY 2025</w:t>
            </w:r>
          </w:p>
        </w:tc>
      </w:tr>
    </w:tbl>
    <w:p w14:paraId="41F4922E" w14:textId="6CA4420D" w:rsidR="006C43D7" w:rsidRPr="007A136C" w:rsidRDefault="006C43D7" w:rsidP="009B7859">
      <w:pPr>
        <w:tabs>
          <w:tab w:val="right" w:pos="0"/>
          <w:tab w:val="right" w:pos="8364"/>
        </w:tabs>
        <w:spacing w:line="360" w:lineRule="auto"/>
        <w:contextualSpacing/>
        <w:jc w:val="both"/>
        <w:rPr>
          <w:rFonts w:cs="Arial"/>
          <w:szCs w:val="22"/>
        </w:rPr>
      </w:pPr>
    </w:p>
    <w:sectPr w:rsidR="006C43D7" w:rsidRPr="007A136C" w:rsidSect="00237FF9">
      <w:headerReference w:type="default" r:id="rId9"/>
      <w:pgSz w:w="11906" w:h="16838"/>
      <w:pgMar w:top="1440" w:right="1797"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012B6" w14:textId="77777777" w:rsidR="00440D94" w:rsidRDefault="00440D94">
      <w:r>
        <w:separator/>
      </w:r>
    </w:p>
  </w:endnote>
  <w:endnote w:type="continuationSeparator" w:id="0">
    <w:p w14:paraId="005148E5" w14:textId="77777777" w:rsidR="00440D94" w:rsidRDefault="0044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EE7C8" w14:textId="77777777" w:rsidR="00440D94" w:rsidRDefault="00440D94">
      <w:r>
        <w:separator/>
      </w:r>
    </w:p>
  </w:footnote>
  <w:footnote w:type="continuationSeparator" w:id="0">
    <w:p w14:paraId="6A89A2D3" w14:textId="77777777" w:rsidR="00440D94" w:rsidRDefault="00440D94">
      <w:r>
        <w:continuationSeparator/>
      </w:r>
    </w:p>
  </w:footnote>
  <w:footnote w:id="1">
    <w:p w14:paraId="6F4960AC" w14:textId="68DBC77C" w:rsidR="00F52AC3" w:rsidRDefault="00F52AC3">
      <w:pPr>
        <w:pStyle w:val="FootnoteText"/>
      </w:pPr>
      <w:r>
        <w:rPr>
          <w:rStyle w:val="FootnoteReference"/>
        </w:rPr>
        <w:footnoteRef/>
      </w:r>
      <w:r>
        <w:t xml:space="preserve"> </w:t>
      </w:r>
      <w:r>
        <w:tab/>
        <w:t xml:space="preserve">In s </w:t>
      </w:r>
      <w:r w:rsidR="00797B9D">
        <w:t>51(3)(aA).</w:t>
      </w:r>
    </w:p>
  </w:footnote>
  <w:footnote w:id="2">
    <w:p w14:paraId="618D4C0D" w14:textId="64C5C0AE" w:rsidR="00CC7E93" w:rsidRDefault="00CC7E93">
      <w:pPr>
        <w:pStyle w:val="FootnoteText"/>
      </w:pPr>
      <w:r>
        <w:rPr>
          <w:rStyle w:val="FootnoteReference"/>
        </w:rPr>
        <w:footnoteRef/>
      </w:r>
      <w:r>
        <w:t xml:space="preserve"> </w:t>
      </w:r>
      <w:r>
        <w:tab/>
      </w:r>
      <w:r w:rsidR="00984731" w:rsidRPr="00984731">
        <w:rPr>
          <w:i/>
          <w:iCs/>
        </w:rPr>
        <w:t xml:space="preserve">S v Rabie </w:t>
      </w:r>
      <w:r w:rsidR="00607DB7" w:rsidRPr="00D2240C">
        <w:t>1975 (4) SA 855 (A)</w:t>
      </w:r>
      <w:r w:rsidR="00607DB7">
        <w:t xml:space="preserve"> </w:t>
      </w:r>
      <w:r w:rsidR="00610A1C">
        <w:t>861A</w:t>
      </w:r>
      <w:r w:rsidR="00607DB7">
        <w:t xml:space="preserve"> - </w:t>
      </w:r>
      <w:r w:rsidR="00610A1C">
        <w:t>863H.</w:t>
      </w:r>
    </w:p>
  </w:footnote>
  <w:footnote w:id="3">
    <w:p w14:paraId="06B86738" w14:textId="6F9FD380" w:rsidR="00607DB7" w:rsidRDefault="00607DB7" w:rsidP="00607DB7">
      <w:pPr>
        <w:pStyle w:val="FootnoteText"/>
      </w:pPr>
      <w:r>
        <w:rPr>
          <w:rStyle w:val="FootnoteReference"/>
        </w:rPr>
        <w:footnoteRef/>
      </w:r>
      <w:r>
        <w:t xml:space="preserve"> </w:t>
      </w:r>
      <w:r>
        <w:tab/>
      </w:r>
      <w:r w:rsidR="00B36016" w:rsidRPr="007B644F">
        <w:rPr>
          <w:rFonts w:cs="Arial"/>
          <w:i/>
          <w:iCs/>
          <w:color w:val="000000" w:themeColor="text1"/>
        </w:rPr>
        <w:t>R v Mapumulo and Others</w:t>
      </w:r>
      <w:r w:rsidR="00B36016" w:rsidRPr="007B644F">
        <w:rPr>
          <w:rFonts w:cs="Arial"/>
          <w:color w:val="000000" w:themeColor="text1"/>
        </w:rPr>
        <w:t> </w:t>
      </w:r>
      <w:hyperlink r:id="rId1" w:history="1">
        <w:r w:rsidR="00B36016" w:rsidRPr="007B644F">
          <w:rPr>
            <w:rStyle w:val="Hyperlink"/>
            <w:rFonts w:cs="Arial"/>
            <w:color w:val="000000" w:themeColor="text1"/>
            <w:u w:val="none"/>
          </w:rPr>
          <w:t>1920 AD 56</w:t>
        </w:r>
      </w:hyperlink>
      <w:r w:rsidR="00B36016" w:rsidRPr="007B644F">
        <w:rPr>
          <w:rFonts w:cs="Arial"/>
          <w:color w:val="000000" w:themeColor="text1"/>
        </w:rPr>
        <w:t> </w:t>
      </w:r>
      <w:r w:rsidR="00B36016">
        <w:rPr>
          <w:rFonts w:cs="Arial"/>
          <w:color w:val="000000" w:themeColor="text1"/>
        </w:rPr>
        <w:t xml:space="preserve">at </w:t>
      </w:r>
      <w:r w:rsidR="00B36016" w:rsidRPr="007B644F">
        <w:rPr>
          <w:rFonts w:cs="Arial"/>
          <w:color w:val="000000" w:themeColor="text1"/>
        </w:rPr>
        <w:t>57; </w:t>
      </w:r>
      <w:r w:rsidR="00B36016" w:rsidRPr="007B644F">
        <w:rPr>
          <w:rFonts w:cs="Arial"/>
          <w:i/>
          <w:iCs/>
          <w:color w:val="000000" w:themeColor="text1"/>
        </w:rPr>
        <w:t>R v Freedman</w:t>
      </w:r>
      <w:r w:rsidR="00B36016" w:rsidRPr="007B644F">
        <w:rPr>
          <w:rFonts w:cs="Arial"/>
          <w:color w:val="000000" w:themeColor="text1"/>
        </w:rPr>
        <w:t> </w:t>
      </w:r>
      <w:hyperlink r:id="rId2" w:history="1">
        <w:r w:rsidR="00B36016" w:rsidRPr="007B644F">
          <w:rPr>
            <w:rStyle w:val="Hyperlink"/>
            <w:rFonts w:cs="Arial"/>
            <w:color w:val="000000" w:themeColor="text1"/>
            <w:u w:val="none"/>
          </w:rPr>
          <w:t>1921 AD 603</w:t>
        </w:r>
      </w:hyperlink>
      <w:r w:rsidR="00B36016" w:rsidRPr="007B644F">
        <w:rPr>
          <w:rFonts w:cs="Arial"/>
          <w:color w:val="000000" w:themeColor="text1"/>
        </w:rPr>
        <w:t xml:space="preserve"> </w:t>
      </w:r>
      <w:r w:rsidR="00B36016">
        <w:rPr>
          <w:rFonts w:cs="Arial"/>
          <w:color w:val="000000" w:themeColor="text1"/>
        </w:rPr>
        <w:t xml:space="preserve">at </w:t>
      </w:r>
      <w:r w:rsidR="00B36016" w:rsidRPr="007B644F">
        <w:rPr>
          <w:rFonts w:cs="Arial"/>
          <w:color w:val="000000" w:themeColor="text1"/>
        </w:rPr>
        <w:t>604</w:t>
      </w:r>
      <w:r w:rsidR="00B36016">
        <w:rPr>
          <w:rFonts w:cs="Arial"/>
          <w:color w:val="000000" w:themeColor="text1"/>
        </w:rPr>
        <w:t>;</w:t>
      </w:r>
      <w:r w:rsidR="00B36016" w:rsidRPr="007B644F">
        <w:rPr>
          <w:rFonts w:cs="Arial"/>
          <w:color w:val="000000" w:themeColor="text1"/>
        </w:rPr>
        <w:t> </w:t>
      </w:r>
      <w:r w:rsidR="00654FF5" w:rsidRPr="00654FF5">
        <w:rPr>
          <w:rFonts w:cs="Arial"/>
          <w:i/>
          <w:iCs/>
          <w:color w:val="000000" w:themeColor="text1"/>
        </w:rPr>
        <w:t>S v Anderson</w:t>
      </w:r>
      <w:r w:rsidR="00654FF5">
        <w:rPr>
          <w:rFonts w:cs="Arial"/>
          <w:color w:val="000000" w:themeColor="text1"/>
        </w:rPr>
        <w:t xml:space="preserve"> 1964 (3) SA 494 (A) 494B-H; </w:t>
      </w:r>
      <w:r w:rsidR="00B36016" w:rsidRPr="007B644F">
        <w:rPr>
          <w:rFonts w:cs="Arial"/>
          <w:color w:val="000000" w:themeColor="text1"/>
        </w:rPr>
        <w:t xml:space="preserve"> </w:t>
      </w:r>
      <w:r w:rsidR="001C352A" w:rsidRPr="002D1A8D">
        <w:rPr>
          <w:i/>
          <w:iCs/>
        </w:rPr>
        <w:t>S v De Jager and Another</w:t>
      </w:r>
      <w:r w:rsidR="001C352A">
        <w:t xml:space="preserve"> </w:t>
      </w:r>
      <w:r w:rsidR="001C352A" w:rsidRPr="002D1A8D">
        <w:t>1965 (2) SA 616 (A)</w:t>
      </w:r>
      <w:r w:rsidR="001C352A">
        <w:t xml:space="preserve">; </w:t>
      </w:r>
      <w:r w:rsidR="00B36016" w:rsidRPr="007B644F">
        <w:rPr>
          <w:rFonts w:cs="Arial"/>
          <w:i/>
          <w:iCs/>
          <w:color w:val="000000" w:themeColor="text1"/>
        </w:rPr>
        <w:t>S v Narker and Another</w:t>
      </w:r>
      <w:r w:rsidR="00B36016" w:rsidRPr="007B644F">
        <w:rPr>
          <w:rFonts w:cs="Arial"/>
          <w:color w:val="000000" w:themeColor="text1"/>
        </w:rPr>
        <w:t xml:space="preserve"> 1975 (1) SA 583 (AD) 585C</w:t>
      </w:r>
      <w:r w:rsidR="00B36016">
        <w:rPr>
          <w:rFonts w:cs="Arial"/>
          <w:color w:val="000000" w:themeColor="text1"/>
        </w:rPr>
        <w:t xml:space="preserve">; </w:t>
      </w:r>
      <w:r w:rsidRPr="00984731">
        <w:rPr>
          <w:i/>
          <w:iCs/>
        </w:rPr>
        <w:t xml:space="preserve">S v Rabie </w:t>
      </w:r>
      <w:r w:rsidRPr="00D2240C">
        <w:t>1975 (4) SA 855 (A)</w:t>
      </w:r>
      <w:r>
        <w:t xml:space="preserve"> 857D </w:t>
      </w:r>
      <w:r w:rsidR="00B86880">
        <w:t>–</w:t>
      </w:r>
      <w:r>
        <w:t xml:space="preserve"> G</w:t>
      </w:r>
      <w:r w:rsidR="00B86880">
        <w:t xml:space="preserve">; </w:t>
      </w:r>
      <w:r w:rsidR="00B86880">
        <w:rPr>
          <w:rFonts w:cs="Arial"/>
          <w:bCs/>
          <w:i/>
          <w:szCs w:val="22"/>
        </w:rPr>
        <w:t>S v Pillay</w:t>
      </w:r>
      <w:r w:rsidR="00B86880">
        <w:rPr>
          <w:rFonts w:cs="Arial"/>
          <w:bCs/>
          <w:i/>
        </w:rPr>
        <w:t xml:space="preserve"> </w:t>
      </w:r>
      <w:r w:rsidR="00B86880">
        <w:t xml:space="preserve">1977 (4) SA 531 (A); </w:t>
      </w:r>
      <w:r w:rsidR="00B86880" w:rsidRPr="00162A91">
        <w:rPr>
          <w:i/>
          <w:iCs/>
          <w:shd w:val="clear" w:color="auto" w:fill="FFFFFF"/>
        </w:rPr>
        <w:t>Kgosimore v S</w:t>
      </w:r>
      <w:r w:rsidR="00B86880">
        <w:rPr>
          <w:i/>
          <w:iCs/>
          <w:shd w:val="clear" w:color="auto" w:fill="FFFFFF"/>
        </w:rPr>
        <w:t xml:space="preserve"> </w:t>
      </w:r>
      <w:r w:rsidR="00B86880">
        <w:rPr>
          <w:shd w:val="clear" w:color="auto" w:fill="FFFFFF"/>
        </w:rPr>
        <w:t>[1999] JOL 5360 (A) para 10.</w:t>
      </w:r>
    </w:p>
  </w:footnote>
  <w:footnote w:id="4">
    <w:p w14:paraId="618238D9" w14:textId="538CE2B8" w:rsidR="003114B1" w:rsidRPr="00FB2A45" w:rsidRDefault="003114B1" w:rsidP="003114B1">
      <w:pPr>
        <w:pStyle w:val="FootnoteText"/>
        <w:rPr>
          <w:rFonts w:cs="Arial"/>
          <w:color w:val="000000" w:themeColor="text1"/>
        </w:rPr>
      </w:pPr>
      <w:r w:rsidRPr="00FB2A45">
        <w:rPr>
          <w:rStyle w:val="FootnoteReference"/>
          <w:color w:val="000000" w:themeColor="text1"/>
        </w:rPr>
        <w:footnoteRef/>
      </w:r>
      <w:r w:rsidRPr="00FB2A45">
        <w:rPr>
          <w:color w:val="000000" w:themeColor="text1"/>
        </w:rPr>
        <w:t xml:space="preserve"> </w:t>
      </w:r>
      <w:r>
        <w:rPr>
          <w:color w:val="000000" w:themeColor="text1"/>
        </w:rPr>
        <w:tab/>
      </w:r>
      <w:r w:rsidRPr="00FB2A45">
        <w:rPr>
          <w:rFonts w:cs="Arial"/>
          <w:i/>
          <w:iCs/>
          <w:color w:val="000000" w:themeColor="text1"/>
          <w:lang w:eastAsia="en-ZA"/>
        </w:rPr>
        <w:t>S v Malgas</w:t>
      </w:r>
      <w:r w:rsidRPr="00FB2A45">
        <w:rPr>
          <w:rFonts w:cs="Arial"/>
          <w:color w:val="000000" w:themeColor="text1"/>
          <w:lang w:eastAsia="en-ZA"/>
        </w:rPr>
        <w:t xml:space="preserve"> 2</w:t>
      </w:r>
      <w:r w:rsidRPr="00B97B90">
        <w:rPr>
          <w:rFonts w:cs="Arial"/>
          <w:color w:val="000000" w:themeColor="text1"/>
          <w:lang w:eastAsia="en-ZA"/>
        </w:rPr>
        <w:t>001 (2) SA 1222 (SCA)</w:t>
      </w:r>
      <w:r w:rsidR="0043344B">
        <w:rPr>
          <w:rFonts w:cs="Arial"/>
          <w:color w:val="000000" w:themeColor="text1"/>
          <w:lang w:eastAsia="en-ZA"/>
        </w:rPr>
        <w:t xml:space="preserve"> paras 7 - 25.</w:t>
      </w:r>
    </w:p>
  </w:footnote>
  <w:footnote w:id="5">
    <w:p w14:paraId="4ED3E9EA" w14:textId="5F97E116" w:rsidR="003F367D" w:rsidRDefault="003F367D">
      <w:pPr>
        <w:pStyle w:val="FootnoteText"/>
      </w:pPr>
      <w:r>
        <w:rPr>
          <w:rStyle w:val="FootnoteReference"/>
        </w:rPr>
        <w:footnoteRef/>
      </w:r>
      <w:r>
        <w:t xml:space="preserve"> </w:t>
      </w:r>
      <w:r>
        <w:tab/>
        <w:t>His fitness to stand trial was not contested.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36808238" w:rsidR="009165D0" w:rsidRPr="006C43D7" w:rsidRDefault="009165D0"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CF7A64">
      <w:rPr>
        <w:rFonts w:cs="Arial"/>
        <w:noProof/>
        <w:sz w:val="20"/>
        <w:szCs w:val="20"/>
        <w:lang w:val="en-GB"/>
      </w:rPr>
      <w:t>3</w:t>
    </w:r>
    <w:r w:rsidRPr="006C43D7">
      <w:rPr>
        <w:rFonts w:cs="Arial"/>
        <w:sz w:val="20"/>
        <w:szCs w:val="20"/>
        <w:lang w:val="en-GB"/>
      </w:rPr>
      <w:fldChar w:fldCharType="end"/>
    </w:r>
  </w:p>
  <w:p w14:paraId="08C008E5" w14:textId="77777777" w:rsidR="009165D0" w:rsidRPr="006C43D7" w:rsidRDefault="009165D0" w:rsidP="006C43D7">
    <w:pPr>
      <w:tabs>
        <w:tab w:val="center" w:pos="4153"/>
        <w:tab w:val="right" w:pos="8306"/>
      </w:tabs>
      <w:spacing w:line="276" w:lineRule="auto"/>
      <w:jc w:val="right"/>
      <w:rPr>
        <w:rFonts w:cs="Arial"/>
        <w:lang w:val="en-US"/>
      </w:rPr>
    </w:pPr>
  </w:p>
  <w:p w14:paraId="4A21EF97" w14:textId="77777777" w:rsidR="009165D0" w:rsidRPr="006C43D7" w:rsidRDefault="009165D0"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pStyle w:val="2"/>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8BD4485"/>
    <w:multiLevelType w:val="hybridMultilevel"/>
    <w:tmpl w:val="C0727E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EC32EAB"/>
    <w:multiLevelType w:val="multilevel"/>
    <w:tmpl w:val="FFFFFFFF"/>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418"/>
        </w:tabs>
        <w:ind w:left="1418" w:hanging="851"/>
      </w:pPr>
      <w:rPr>
        <w:rFonts w:ascii="Arial" w:eastAsia="Times New Roman" w:hAnsi="Arial" w:cs="Lohit Hindi" w:hint="default"/>
      </w:rPr>
    </w:lvl>
    <w:lvl w:ilvl="2">
      <w:start w:val="1"/>
      <w:numFmt w:val="decimal"/>
      <w:lvlText w:val="%1.%2.%3"/>
      <w:lvlJc w:val="left"/>
      <w:pPr>
        <w:tabs>
          <w:tab w:val="num" w:pos="2552"/>
        </w:tabs>
        <w:ind w:left="2552" w:hanging="1134"/>
      </w:pPr>
      <w:rPr>
        <w:rFonts w:cs="Times New Roman" w:hint="default"/>
      </w:rPr>
    </w:lvl>
    <w:lvl w:ilvl="3">
      <w:start w:val="1"/>
      <w:numFmt w:val="lowerLetter"/>
      <w:lvlText w:val="(%4)"/>
      <w:lvlJc w:val="left"/>
      <w:pPr>
        <w:tabs>
          <w:tab w:val="num" w:pos="2155"/>
        </w:tabs>
        <w:ind w:left="2155" w:hanging="794"/>
      </w:pPr>
      <w:rPr>
        <w:rFonts w:cs="Times New Roman" w:hint="default"/>
      </w:rPr>
    </w:lvl>
    <w:lvl w:ilvl="4">
      <w:start w:val="1"/>
      <w:numFmt w:val="lowerRoman"/>
      <w:lvlText w:val="(%5)"/>
      <w:lvlJc w:val="left"/>
      <w:pPr>
        <w:tabs>
          <w:tab w:val="num" w:pos="3119"/>
        </w:tabs>
        <w:ind w:left="3119" w:hanging="567"/>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C25B57"/>
    <w:multiLevelType w:val="hybridMultilevel"/>
    <w:tmpl w:val="B694E1E4"/>
    <w:lvl w:ilvl="0" w:tplc="38EAB8E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6C030C8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10"/>
  </w:num>
  <w:num w:numId="4">
    <w:abstractNumId w:val="5"/>
  </w:num>
  <w:num w:numId="5">
    <w:abstractNumId w:val="9"/>
  </w:num>
  <w:num w:numId="6">
    <w:abstractNumId w:val="7"/>
  </w:num>
  <w:num w:numId="7">
    <w:abstractNumId w:val="0"/>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49E8"/>
    <w:rsid w:val="00006113"/>
    <w:rsid w:val="0001111B"/>
    <w:rsid w:val="0001140A"/>
    <w:rsid w:val="00013B7F"/>
    <w:rsid w:val="000153E9"/>
    <w:rsid w:val="00016223"/>
    <w:rsid w:val="00024A29"/>
    <w:rsid w:val="0003131B"/>
    <w:rsid w:val="0003507A"/>
    <w:rsid w:val="00043136"/>
    <w:rsid w:val="00045826"/>
    <w:rsid w:val="00050086"/>
    <w:rsid w:val="000504F1"/>
    <w:rsid w:val="00051422"/>
    <w:rsid w:val="000606A3"/>
    <w:rsid w:val="00061AEC"/>
    <w:rsid w:val="00063F7B"/>
    <w:rsid w:val="0007238A"/>
    <w:rsid w:val="000737E1"/>
    <w:rsid w:val="00073E30"/>
    <w:rsid w:val="000833BB"/>
    <w:rsid w:val="0009488C"/>
    <w:rsid w:val="00097968"/>
    <w:rsid w:val="00097AD1"/>
    <w:rsid w:val="000A288B"/>
    <w:rsid w:val="000A5AB9"/>
    <w:rsid w:val="000A6AD8"/>
    <w:rsid w:val="000D62D4"/>
    <w:rsid w:val="000D7752"/>
    <w:rsid w:val="000D7D6A"/>
    <w:rsid w:val="000E0DB6"/>
    <w:rsid w:val="000F2501"/>
    <w:rsid w:val="000F59F8"/>
    <w:rsid w:val="00104142"/>
    <w:rsid w:val="00120FB1"/>
    <w:rsid w:val="0012777D"/>
    <w:rsid w:val="0013668A"/>
    <w:rsid w:val="001409E7"/>
    <w:rsid w:val="001410DC"/>
    <w:rsid w:val="00145CDF"/>
    <w:rsid w:val="00147FF5"/>
    <w:rsid w:val="00152DDB"/>
    <w:rsid w:val="00155ADA"/>
    <w:rsid w:val="00162A91"/>
    <w:rsid w:val="00184D41"/>
    <w:rsid w:val="00185ACF"/>
    <w:rsid w:val="00190579"/>
    <w:rsid w:val="00191859"/>
    <w:rsid w:val="00196E14"/>
    <w:rsid w:val="001A45A9"/>
    <w:rsid w:val="001A522A"/>
    <w:rsid w:val="001A7CD4"/>
    <w:rsid w:val="001B1D39"/>
    <w:rsid w:val="001B4217"/>
    <w:rsid w:val="001B5D3E"/>
    <w:rsid w:val="001B606B"/>
    <w:rsid w:val="001C352A"/>
    <w:rsid w:val="001C4B38"/>
    <w:rsid w:val="001D3CC2"/>
    <w:rsid w:val="001E23CB"/>
    <w:rsid w:val="001E2EED"/>
    <w:rsid w:val="001F08F1"/>
    <w:rsid w:val="001F0A29"/>
    <w:rsid w:val="001F3DBD"/>
    <w:rsid w:val="001F648A"/>
    <w:rsid w:val="00201620"/>
    <w:rsid w:val="002035B6"/>
    <w:rsid w:val="00215824"/>
    <w:rsid w:val="00216BC8"/>
    <w:rsid w:val="0022218D"/>
    <w:rsid w:val="00226926"/>
    <w:rsid w:val="00230AD5"/>
    <w:rsid w:val="00232528"/>
    <w:rsid w:val="0023355D"/>
    <w:rsid w:val="00236980"/>
    <w:rsid w:val="00237FF9"/>
    <w:rsid w:val="00241D18"/>
    <w:rsid w:val="00242F4A"/>
    <w:rsid w:val="002454FF"/>
    <w:rsid w:val="00245AAE"/>
    <w:rsid w:val="00262819"/>
    <w:rsid w:val="00280917"/>
    <w:rsid w:val="00284B6E"/>
    <w:rsid w:val="00285040"/>
    <w:rsid w:val="00285062"/>
    <w:rsid w:val="00294ED8"/>
    <w:rsid w:val="002B142E"/>
    <w:rsid w:val="002B2179"/>
    <w:rsid w:val="002B6D09"/>
    <w:rsid w:val="002C15AC"/>
    <w:rsid w:val="002C2A6D"/>
    <w:rsid w:val="002C4687"/>
    <w:rsid w:val="002E1342"/>
    <w:rsid w:val="002E5B57"/>
    <w:rsid w:val="002E6CD7"/>
    <w:rsid w:val="002E75FF"/>
    <w:rsid w:val="002F3010"/>
    <w:rsid w:val="002F6D39"/>
    <w:rsid w:val="003005DF"/>
    <w:rsid w:val="00301835"/>
    <w:rsid w:val="00302290"/>
    <w:rsid w:val="00302C31"/>
    <w:rsid w:val="0030357F"/>
    <w:rsid w:val="0030653F"/>
    <w:rsid w:val="0031117B"/>
    <w:rsid w:val="003114B1"/>
    <w:rsid w:val="00312EBC"/>
    <w:rsid w:val="00313056"/>
    <w:rsid w:val="00317A5D"/>
    <w:rsid w:val="00337135"/>
    <w:rsid w:val="0034147B"/>
    <w:rsid w:val="003434FF"/>
    <w:rsid w:val="003451CF"/>
    <w:rsid w:val="003463D6"/>
    <w:rsid w:val="00346D31"/>
    <w:rsid w:val="00346DE6"/>
    <w:rsid w:val="003475CD"/>
    <w:rsid w:val="00347F58"/>
    <w:rsid w:val="003543C5"/>
    <w:rsid w:val="00354EF2"/>
    <w:rsid w:val="00357081"/>
    <w:rsid w:val="00357D35"/>
    <w:rsid w:val="003605A3"/>
    <w:rsid w:val="00363FCD"/>
    <w:rsid w:val="00364C43"/>
    <w:rsid w:val="0036668C"/>
    <w:rsid w:val="00367720"/>
    <w:rsid w:val="0037029D"/>
    <w:rsid w:val="00372D74"/>
    <w:rsid w:val="00381213"/>
    <w:rsid w:val="003840EC"/>
    <w:rsid w:val="00390C3F"/>
    <w:rsid w:val="00392774"/>
    <w:rsid w:val="00396549"/>
    <w:rsid w:val="003A3057"/>
    <w:rsid w:val="003A6F23"/>
    <w:rsid w:val="003A7864"/>
    <w:rsid w:val="003B39D4"/>
    <w:rsid w:val="003B4100"/>
    <w:rsid w:val="003C1A16"/>
    <w:rsid w:val="003C1E91"/>
    <w:rsid w:val="003C4910"/>
    <w:rsid w:val="003D0EC4"/>
    <w:rsid w:val="003D5109"/>
    <w:rsid w:val="003E2CDF"/>
    <w:rsid w:val="003F367D"/>
    <w:rsid w:val="00406E05"/>
    <w:rsid w:val="00407F28"/>
    <w:rsid w:val="004131C5"/>
    <w:rsid w:val="0042423E"/>
    <w:rsid w:val="0043344B"/>
    <w:rsid w:val="004339E6"/>
    <w:rsid w:val="0043683A"/>
    <w:rsid w:val="00440D94"/>
    <w:rsid w:val="00441422"/>
    <w:rsid w:val="0044199E"/>
    <w:rsid w:val="0044525D"/>
    <w:rsid w:val="00445DCB"/>
    <w:rsid w:val="00453D29"/>
    <w:rsid w:val="0046082C"/>
    <w:rsid w:val="004630B6"/>
    <w:rsid w:val="0047345C"/>
    <w:rsid w:val="00474607"/>
    <w:rsid w:val="00474910"/>
    <w:rsid w:val="004749AF"/>
    <w:rsid w:val="00482E25"/>
    <w:rsid w:val="00484116"/>
    <w:rsid w:val="0048424E"/>
    <w:rsid w:val="0048507B"/>
    <w:rsid w:val="00486F42"/>
    <w:rsid w:val="00487D14"/>
    <w:rsid w:val="00487FAD"/>
    <w:rsid w:val="00491657"/>
    <w:rsid w:val="00497662"/>
    <w:rsid w:val="00497FF4"/>
    <w:rsid w:val="004A2C7E"/>
    <w:rsid w:val="004A7DFE"/>
    <w:rsid w:val="004B1FD9"/>
    <w:rsid w:val="004B21D9"/>
    <w:rsid w:val="004B226B"/>
    <w:rsid w:val="004B3E65"/>
    <w:rsid w:val="004B6EC0"/>
    <w:rsid w:val="004C368B"/>
    <w:rsid w:val="004D262A"/>
    <w:rsid w:val="004D2C6F"/>
    <w:rsid w:val="004D2E01"/>
    <w:rsid w:val="004D388E"/>
    <w:rsid w:val="004D57FA"/>
    <w:rsid w:val="004E568C"/>
    <w:rsid w:val="004E5AD8"/>
    <w:rsid w:val="004F12D8"/>
    <w:rsid w:val="004F22A6"/>
    <w:rsid w:val="00501781"/>
    <w:rsid w:val="00504B53"/>
    <w:rsid w:val="0051015D"/>
    <w:rsid w:val="0051170F"/>
    <w:rsid w:val="0051292D"/>
    <w:rsid w:val="0051622D"/>
    <w:rsid w:val="005236F8"/>
    <w:rsid w:val="005262C2"/>
    <w:rsid w:val="0052705A"/>
    <w:rsid w:val="005358A8"/>
    <w:rsid w:val="005374E9"/>
    <w:rsid w:val="00537A72"/>
    <w:rsid w:val="00582468"/>
    <w:rsid w:val="005A0589"/>
    <w:rsid w:val="005A313A"/>
    <w:rsid w:val="005A396B"/>
    <w:rsid w:val="005A680F"/>
    <w:rsid w:val="005B6D81"/>
    <w:rsid w:val="005B7DD3"/>
    <w:rsid w:val="005C6B39"/>
    <w:rsid w:val="005C7FC2"/>
    <w:rsid w:val="005D2408"/>
    <w:rsid w:val="005D6122"/>
    <w:rsid w:val="005D6E80"/>
    <w:rsid w:val="005E2F7B"/>
    <w:rsid w:val="005E5C01"/>
    <w:rsid w:val="005E7118"/>
    <w:rsid w:val="005E7C7C"/>
    <w:rsid w:val="005F37A4"/>
    <w:rsid w:val="005F56C0"/>
    <w:rsid w:val="005F5CD8"/>
    <w:rsid w:val="005F7D32"/>
    <w:rsid w:val="006041A4"/>
    <w:rsid w:val="00607DB7"/>
    <w:rsid w:val="00610A1C"/>
    <w:rsid w:val="00634C1A"/>
    <w:rsid w:val="00647DDD"/>
    <w:rsid w:val="00651980"/>
    <w:rsid w:val="00653BA4"/>
    <w:rsid w:val="00654FF5"/>
    <w:rsid w:val="00657EDA"/>
    <w:rsid w:val="00660C84"/>
    <w:rsid w:val="0066194B"/>
    <w:rsid w:val="0066438A"/>
    <w:rsid w:val="00666D4D"/>
    <w:rsid w:val="00671580"/>
    <w:rsid w:val="006858DA"/>
    <w:rsid w:val="006902F1"/>
    <w:rsid w:val="006918E9"/>
    <w:rsid w:val="006951CE"/>
    <w:rsid w:val="00695F9E"/>
    <w:rsid w:val="00696854"/>
    <w:rsid w:val="006A3A05"/>
    <w:rsid w:val="006A48AB"/>
    <w:rsid w:val="006A6A53"/>
    <w:rsid w:val="006B58C9"/>
    <w:rsid w:val="006C131A"/>
    <w:rsid w:val="006C4213"/>
    <w:rsid w:val="006C43D7"/>
    <w:rsid w:val="006C5694"/>
    <w:rsid w:val="006E68E6"/>
    <w:rsid w:val="006F25E5"/>
    <w:rsid w:val="006F2FCE"/>
    <w:rsid w:val="006F415C"/>
    <w:rsid w:val="007001B0"/>
    <w:rsid w:val="0070169A"/>
    <w:rsid w:val="0070270C"/>
    <w:rsid w:val="007038A5"/>
    <w:rsid w:val="00720436"/>
    <w:rsid w:val="007241D4"/>
    <w:rsid w:val="00727272"/>
    <w:rsid w:val="00732A6F"/>
    <w:rsid w:val="00742764"/>
    <w:rsid w:val="00746360"/>
    <w:rsid w:val="00750E1D"/>
    <w:rsid w:val="0075156A"/>
    <w:rsid w:val="00751F90"/>
    <w:rsid w:val="00761C35"/>
    <w:rsid w:val="00763F22"/>
    <w:rsid w:val="00766026"/>
    <w:rsid w:val="007663FB"/>
    <w:rsid w:val="00781AA0"/>
    <w:rsid w:val="00786397"/>
    <w:rsid w:val="00797B9D"/>
    <w:rsid w:val="007A136C"/>
    <w:rsid w:val="007B165A"/>
    <w:rsid w:val="007B78C2"/>
    <w:rsid w:val="007C38D9"/>
    <w:rsid w:val="007C5008"/>
    <w:rsid w:val="007C7094"/>
    <w:rsid w:val="007D01EB"/>
    <w:rsid w:val="007D1E79"/>
    <w:rsid w:val="007D27CF"/>
    <w:rsid w:val="007E2D64"/>
    <w:rsid w:val="007E468A"/>
    <w:rsid w:val="007E58FC"/>
    <w:rsid w:val="007E63B4"/>
    <w:rsid w:val="007F189B"/>
    <w:rsid w:val="007F207F"/>
    <w:rsid w:val="008030C9"/>
    <w:rsid w:val="00803CEC"/>
    <w:rsid w:val="008177C1"/>
    <w:rsid w:val="00822050"/>
    <w:rsid w:val="00822D96"/>
    <w:rsid w:val="00830952"/>
    <w:rsid w:val="00831234"/>
    <w:rsid w:val="00840068"/>
    <w:rsid w:val="00841E79"/>
    <w:rsid w:val="008443A9"/>
    <w:rsid w:val="008453D9"/>
    <w:rsid w:val="00860576"/>
    <w:rsid w:val="00861FA9"/>
    <w:rsid w:val="008674AA"/>
    <w:rsid w:val="00874C15"/>
    <w:rsid w:val="0088094C"/>
    <w:rsid w:val="00881004"/>
    <w:rsid w:val="00882C40"/>
    <w:rsid w:val="0089695F"/>
    <w:rsid w:val="008A082A"/>
    <w:rsid w:val="008A4DF4"/>
    <w:rsid w:val="008B0DB3"/>
    <w:rsid w:val="008B1DA9"/>
    <w:rsid w:val="008D33A3"/>
    <w:rsid w:val="008D4715"/>
    <w:rsid w:val="008D4837"/>
    <w:rsid w:val="008F189C"/>
    <w:rsid w:val="008F1FE1"/>
    <w:rsid w:val="008F4486"/>
    <w:rsid w:val="008F4FC6"/>
    <w:rsid w:val="009018C4"/>
    <w:rsid w:val="00903F5D"/>
    <w:rsid w:val="009115EC"/>
    <w:rsid w:val="0091544C"/>
    <w:rsid w:val="009165D0"/>
    <w:rsid w:val="00920402"/>
    <w:rsid w:val="00933065"/>
    <w:rsid w:val="00933569"/>
    <w:rsid w:val="0093799C"/>
    <w:rsid w:val="00944804"/>
    <w:rsid w:val="0094493E"/>
    <w:rsid w:val="009473D8"/>
    <w:rsid w:val="00952372"/>
    <w:rsid w:val="00960ADF"/>
    <w:rsid w:val="00963A0C"/>
    <w:rsid w:val="00964367"/>
    <w:rsid w:val="00974A92"/>
    <w:rsid w:val="009835E3"/>
    <w:rsid w:val="00984731"/>
    <w:rsid w:val="00987CDB"/>
    <w:rsid w:val="00987D4C"/>
    <w:rsid w:val="009916DC"/>
    <w:rsid w:val="009A30E0"/>
    <w:rsid w:val="009A3619"/>
    <w:rsid w:val="009B08AF"/>
    <w:rsid w:val="009B3DFC"/>
    <w:rsid w:val="009B7859"/>
    <w:rsid w:val="009C0843"/>
    <w:rsid w:val="009C37B9"/>
    <w:rsid w:val="009C38E7"/>
    <w:rsid w:val="009C6E9D"/>
    <w:rsid w:val="009D1FA5"/>
    <w:rsid w:val="009D32BD"/>
    <w:rsid w:val="009D4486"/>
    <w:rsid w:val="009D5738"/>
    <w:rsid w:val="009E49BB"/>
    <w:rsid w:val="009E53CF"/>
    <w:rsid w:val="009F211E"/>
    <w:rsid w:val="009F294E"/>
    <w:rsid w:val="009F30F1"/>
    <w:rsid w:val="009F37C7"/>
    <w:rsid w:val="009F50AB"/>
    <w:rsid w:val="00A005F6"/>
    <w:rsid w:val="00A03601"/>
    <w:rsid w:val="00A0424F"/>
    <w:rsid w:val="00A1488A"/>
    <w:rsid w:val="00A262D4"/>
    <w:rsid w:val="00A326F9"/>
    <w:rsid w:val="00A37BA4"/>
    <w:rsid w:val="00A43739"/>
    <w:rsid w:val="00A476DA"/>
    <w:rsid w:val="00A539CB"/>
    <w:rsid w:val="00A55380"/>
    <w:rsid w:val="00A660AF"/>
    <w:rsid w:val="00A70A95"/>
    <w:rsid w:val="00A7321F"/>
    <w:rsid w:val="00A73A31"/>
    <w:rsid w:val="00A77EE7"/>
    <w:rsid w:val="00A83073"/>
    <w:rsid w:val="00A93351"/>
    <w:rsid w:val="00A93AE5"/>
    <w:rsid w:val="00A95B52"/>
    <w:rsid w:val="00AA6E8C"/>
    <w:rsid w:val="00AA6F19"/>
    <w:rsid w:val="00AA7A76"/>
    <w:rsid w:val="00AB6418"/>
    <w:rsid w:val="00AD0DA2"/>
    <w:rsid w:val="00AD2631"/>
    <w:rsid w:val="00AD3CA2"/>
    <w:rsid w:val="00AE63BD"/>
    <w:rsid w:val="00AF0B2B"/>
    <w:rsid w:val="00AF2914"/>
    <w:rsid w:val="00AF363F"/>
    <w:rsid w:val="00AF3E4F"/>
    <w:rsid w:val="00AF6DC3"/>
    <w:rsid w:val="00B071FF"/>
    <w:rsid w:val="00B11505"/>
    <w:rsid w:val="00B11DC2"/>
    <w:rsid w:val="00B15CAA"/>
    <w:rsid w:val="00B36016"/>
    <w:rsid w:val="00B42807"/>
    <w:rsid w:val="00B428A6"/>
    <w:rsid w:val="00B53913"/>
    <w:rsid w:val="00B56906"/>
    <w:rsid w:val="00B56E74"/>
    <w:rsid w:val="00B72922"/>
    <w:rsid w:val="00B72A13"/>
    <w:rsid w:val="00B84DD5"/>
    <w:rsid w:val="00B86880"/>
    <w:rsid w:val="00B95910"/>
    <w:rsid w:val="00BA0EC8"/>
    <w:rsid w:val="00BA1506"/>
    <w:rsid w:val="00BA3A4C"/>
    <w:rsid w:val="00BB0F20"/>
    <w:rsid w:val="00BB679E"/>
    <w:rsid w:val="00BB763D"/>
    <w:rsid w:val="00BD2CDE"/>
    <w:rsid w:val="00BD41CF"/>
    <w:rsid w:val="00BE0164"/>
    <w:rsid w:val="00BE12BD"/>
    <w:rsid w:val="00BE2ED7"/>
    <w:rsid w:val="00BE6AB8"/>
    <w:rsid w:val="00BE6EBA"/>
    <w:rsid w:val="00BF086D"/>
    <w:rsid w:val="00BF2167"/>
    <w:rsid w:val="00C0293A"/>
    <w:rsid w:val="00C26432"/>
    <w:rsid w:val="00C2788D"/>
    <w:rsid w:val="00C361F6"/>
    <w:rsid w:val="00C3669A"/>
    <w:rsid w:val="00C41A42"/>
    <w:rsid w:val="00C423E3"/>
    <w:rsid w:val="00C458AF"/>
    <w:rsid w:val="00C5586E"/>
    <w:rsid w:val="00C676F3"/>
    <w:rsid w:val="00C72A4C"/>
    <w:rsid w:val="00C77EFD"/>
    <w:rsid w:val="00C829DF"/>
    <w:rsid w:val="00C84021"/>
    <w:rsid w:val="00C875AE"/>
    <w:rsid w:val="00CA6551"/>
    <w:rsid w:val="00CB5DEF"/>
    <w:rsid w:val="00CC0C54"/>
    <w:rsid w:val="00CC1016"/>
    <w:rsid w:val="00CC1567"/>
    <w:rsid w:val="00CC7E93"/>
    <w:rsid w:val="00CD6B8A"/>
    <w:rsid w:val="00CF2008"/>
    <w:rsid w:val="00CF4188"/>
    <w:rsid w:val="00CF7A64"/>
    <w:rsid w:val="00D06213"/>
    <w:rsid w:val="00D31882"/>
    <w:rsid w:val="00D31BAB"/>
    <w:rsid w:val="00D35A03"/>
    <w:rsid w:val="00D37377"/>
    <w:rsid w:val="00D45B8C"/>
    <w:rsid w:val="00D45D1C"/>
    <w:rsid w:val="00D5173A"/>
    <w:rsid w:val="00D53B11"/>
    <w:rsid w:val="00D567E0"/>
    <w:rsid w:val="00D630DE"/>
    <w:rsid w:val="00D631F5"/>
    <w:rsid w:val="00D664AD"/>
    <w:rsid w:val="00D66F22"/>
    <w:rsid w:val="00D7327A"/>
    <w:rsid w:val="00D7757C"/>
    <w:rsid w:val="00D91250"/>
    <w:rsid w:val="00D94745"/>
    <w:rsid w:val="00DA19B5"/>
    <w:rsid w:val="00DA39A1"/>
    <w:rsid w:val="00DA41B2"/>
    <w:rsid w:val="00DA5D06"/>
    <w:rsid w:val="00DA7B20"/>
    <w:rsid w:val="00DC35C0"/>
    <w:rsid w:val="00DC6A98"/>
    <w:rsid w:val="00DC7245"/>
    <w:rsid w:val="00DC730A"/>
    <w:rsid w:val="00DD12FC"/>
    <w:rsid w:val="00DD296E"/>
    <w:rsid w:val="00DE130A"/>
    <w:rsid w:val="00DE38B2"/>
    <w:rsid w:val="00DF5AD6"/>
    <w:rsid w:val="00DF7AF3"/>
    <w:rsid w:val="00E02BB6"/>
    <w:rsid w:val="00E166FD"/>
    <w:rsid w:val="00E25A84"/>
    <w:rsid w:val="00E264BB"/>
    <w:rsid w:val="00E276DF"/>
    <w:rsid w:val="00E45E6A"/>
    <w:rsid w:val="00E477BD"/>
    <w:rsid w:val="00E50A42"/>
    <w:rsid w:val="00E56D64"/>
    <w:rsid w:val="00E570EA"/>
    <w:rsid w:val="00E571C1"/>
    <w:rsid w:val="00E75B7C"/>
    <w:rsid w:val="00E76641"/>
    <w:rsid w:val="00E85BF7"/>
    <w:rsid w:val="00E877A3"/>
    <w:rsid w:val="00EA4713"/>
    <w:rsid w:val="00EA5E85"/>
    <w:rsid w:val="00EC2271"/>
    <w:rsid w:val="00EC70BC"/>
    <w:rsid w:val="00EC74DD"/>
    <w:rsid w:val="00ED018E"/>
    <w:rsid w:val="00EE55F9"/>
    <w:rsid w:val="00EE62A5"/>
    <w:rsid w:val="00EF6B72"/>
    <w:rsid w:val="00F11454"/>
    <w:rsid w:val="00F142EC"/>
    <w:rsid w:val="00F20180"/>
    <w:rsid w:val="00F221FC"/>
    <w:rsid w:val="00F40902"/>
    <w:rsid w:val="00F46811"/>
    <w:rsid w:val="00F52AC3"/>
    <w:rsid w:val="00F627E4"/>
    <w:rsid w:val="00F669B9"/>
    <w:rsid w:val="00F73A05"/>
    <w:rsid w:val="00F80A86"/>
    <w:rsid w:val="00F86BC7"/>
    <w:rsid w:val="00F95177"/>
    <w:rsid w:val="00FA1C81"/>
    <w:rsid w:val="00FA40E4"/>
    <w:rsid w:val="00FA43D0"/>
    <w:rsid w:val="00FA5AA3"/>
    <w:rsid w:val="00FA6782"/>
    <w:rsid w:val="00FB2A45"/>
    <w:rsid w:val="00FB59A0"/>
    <w:rsid w:val="00FC42BD"/>
    <w:rsid w:val="00FC7E61"/>
    <w:rsid w:val="00FD1D24"/>
    <w:rsid w:val="00FD2E9B"/>
    <w:rsid w:val="00FE065B"/>
    <w:rsid w:val="00FE0E9D"/>
    <w:rsid w:val="00FE181C"/>
    <w:rsid w:val="00FE703A"/>
    <w:rsid w:val="00FE7CA8"/>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57696"/>
  <w15:docId w15:val="{206F576D-8497-4D6A-B61A-39847223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C3669A"/>
    <w:pPr>
      <w:ind w:left="340" w:hanging="340"/>
    </w:pPr>
    <w:rPr>
      <w:sz w:val="20"/>
      <w:szCs w:val="20"/>
    </w:rPr>
  </w:style>
  <w:style w:type="character" w:customStyle="1" w:styleId="FootnoteTextChar">
    <w:name w:val="Footnote Text Char"/>
    <w:basedOn w:val="DefaultParagraphFont"/>
    <w:link w:val="FootnoteText"/>
    <w:uiPriority w:val="99"/>
    <w:rsid w:val="00C3669A"/>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2">
    <w:name w:val="2"/>
    <w:basedOn w:val="Normal"/>
    <w:qFormat/>
    <w:rsid w:val="00E477BD"/>
    <w:pPr>
      <w:widowControl w:val="0"/>
      <w:numPr>
        <w:ilvl w:val="1"/>
        <w:numId w:val="2"/>
      </w:numPr>
      <w:suppressAutoHyphens/>
      <w:autoSpaceDN w:val="0"/>
      <w:spacing w:before="240" w:line="480" w:lineRule="auto"/>
      <w:jc w:val="both"/>
      <w:textAlignment w:val="baseline"/>
    </w:pPr>
    <w:rPr>
      <w:rFonts w:cs="Lohit Hindi"/>
      <w:iCs/>
      <w:sz w:val="24"/>
      <w:szCs w:val="22"/>
      <w:lang w:val="en-GB" w:eastAsia="zh-CN" w:bidi="hi-IN"/>
    </w:rPr>
  </w:style>
  <w:style w:type="paragraph" w:customStyle="1" w:styleId="lrpara">
    <w:name w:val="lrpara"/>
    <w:basedOn w:val="Normal"/>
    <w:rsid w:val="002454FF"/>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2454FF"/>
  </w:style>
  <w:style w:type="character" w:styleId="Hyperlink">
    <w:name w:val="Hyperlink"/>
    <w:basedOn w:val="DefaultParagraphFont"/>
    <w:uiPriority w:val="99"/>
    <w:unhideWhenUsed/>
    <w:rsid w:val="002454FF"/>
    <w:rPr>
      <w:color w:val="0000FF"/>
      <w:u w:val="single"/>
    </w:rPr>
  </w:style>
  <w:style w:type="paragraph" w:customStyle="1" w:styleId="lrquote">
    <w:name w:val="lrquote"/>
    <w:basedOn w:val="Normal"/>
    <w:rsid w:val="002454FF"/>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BB679E"/>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BB679E"/>
    <w:pPr>
      <w:spacing w:before="100" w:beforeAutospacing="1" w:after="100" w:afterAutospacing="1"/>
    </w:pPr>
    <w:rPr>
      <w:rFonts w:ascii="Times New Roman" w:hAnsi="Times New Roman"/>
      <w:sz w:val="24"/>
      <w:lang w:eastAsia="en-ZA"/>
    </w:rPr>
  </w:style>
  <w:style w:type="paragraph" w:customStyle="1" w:styleId="normaltext">
    <w:name w:val="normaltext"/>
    <w:basedOn w:val="Normal"/>
    <w:rsid w:val="00874C15"/>
    <w:pPr>
      <w:spacing w:before="100" w:beforeAutospacing="1" w:after="100" w:afterAutospacing="1"/>
    </w:pPr>
    <w:rPr>
      <w:rFonts w:ascii="Times New Roman" w:hAnsi="Times New Roman"/>
      <w:sz w:val="24"/>
      <w:lang w:eastAsia="en-ZA"/>
    </w:rPr>
  </w:style>
  <w:style w:type="paragraph" w:customStyle="1" w:styleId="arunninghead">
    <w:name w:val="arunninghead"/>
    <w:basedOn w:val="Normal"/>
    <w:rsid w:val="00874C15"/>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05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586E"/>
    <w:pPr>
      <w:spacing w:before="100" w:beforeAutospacing="1" w:after="100" w:afterAutospacing="1"/>
    </w:pPr>
    <w:rPr>
      <w:rFonts w:ascii="Times New Roman" w:hAnsi="Times New Roman"/>
      <w:sz w:val="24"/>
      <w:lang w:eastAsia="en-ZA"/>
    </w:rPr>
  </w:style>
  <w:style w:type="paragraph" w:customStyle="1" w:styleId="lrparaindt1hang">
    <w:name w:val="lrparaindt1hang"/>
    <w:basedOn w:val="Normal"/>
    <w:rsid w:val="00C5586E"/>
    <w:pPr>
      <w:spacing w:before="100" w:beforeAutospacing="1" w:after="100" w:afterAutospacing="1"/>
    </w:pPr>
    <w:rPr>
      <w:rFonts w:ascii="Times New Roman" w:hAnsi="Times New Roman"/>
      <w:sz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3817">
      <w:bodyDiv w:val="1"/>
      <w:marLeft w:val="0"/>
      <w:marRight w:val="0"/>
      <w:marTop w:val="0"/>
      <w:marBottom w:val="0"/>
      <w:divBdr>
        <w:top w:val="none" w:sz="0" w:space="0" w:color="auto"/>
        <w:left w:val="none" w:sz="0" w:space="0" w:color="auto"/>
        <w:bottom w:val="none" w:sz="0" w:space="0" w:color="auto"/>
        <w:right w:val="none" w:sz="0" w:space="0" w:color="auto"/>
      </w:divBdr>
    </w:div>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24856555">
      <w:bodyDiv w:val="1"/>
      <w:marLeft w:val="0"/>
      <w:marRight w:val="0"/>
      <w:marTop w:val="0"/>
      <w:marBottom w:val="0"/>
      <w:divBdr>
        <w:top w:val="none" w:sz="0" w:space="0" w:color="auto"/>
        <w:left w:val="none" w:sz="0" w:space="0" w:color="auto"/>
        <w:bottom w:val="none" w:sz="0" w:space="0" w:color="auto"/>
        <w:right w:val="none" w:sz="0" w:space="0" w:color="auto"/>
      </w:divBdr>
      <w:divsChild>
        <w:div w:id="563838065">
          <w:marLeft w:val="0"/>
          <w:marRight w:val="0"/>
          <w:marTop w:val="120"/>
          <w:marBottom w:val="0"/>
          <w:divBdr>
            <w:top w:val="none" w:sz="0" w:space="0" w:color="auto"/>
            <w:left w:val="none" w:sz="0" w:space="0" w:color="auto"/>
            <w:bottom w:val="none" w:sz="0" w:space="0" w:color="auto"/>
            <w:right w:val="none" w:sz="0" w:space="0" w:color="auto"/>
          </w:divBdr>
        </w:div>
        <w:div w:id="595329899">
          <w:marLeft w:val="0"/>
          <w:marRight w:val="0"/>
          <w:marTop w:val="60"/>
          <w:marBottom w:val="0"/>
          <w:divBdr>
            <w:top w:val="none" w:sz="0" w:space="0" w:color="auto"/>
            <w:left w:val="none" w:sz="0" w:space="0" w:color="auto"/>
            <w:bottom w:val="none" w:sz="0" w:space="0" w:color="auto"/>
            <w:right w:val="none" w:sz="0" w:space="0" w:color="auto"/>
          </w:divBdr>
        </w:div>
        <w:div w:id="395930800">
          <w:marLeft w:val="1134"/>
          <w:marRight w:val="0"/>
          <w:marTop w:val="60"/>
          <w:marBottom w:val="0"/>
          <w:divBdr>
            <w:top w:val="none" w:sz="0" w:space="0" w:color="auto"/>
            <w:left w:val="none" w:sz="0" w:space="0" w:color="auto"/>
            <w:bottom w:val="none" w:sz="0" w:space="0" w:color="auto"/>
            <w:right w:val="none" w:sz="0" w:space="0" w:color="auto"/>
          </w:divBdr>
        </w:div>
        <w:div w:id="1248227723">
          <w:marLeft w:val="1134"/>
          <w:marRight w:val="0"/>
          <w:marTop w:val="60"/>
          <w:marBottom w:val="0"/>
          <w:divBdr>
            <w:top w:val="none" w:sz="0" w:space="0" w:color="auto"/>
            <w:left w:val="none" w:sz="0" w:space="0" w:color="auto"/>
            <w:bottom w:val="none" w:sz="0" w:space="0" w:color="auto"/>
            <w:right w:val="none" w:sz="0" w:space="0" w:color="auto"/>
          </w:divBdr>
        </w:div>
        <w:div w:id="2129930445">
          <w:marLeft w:val="1134"/>
          <w:marRight w:val="0"/>
          <w:marTop w:val="60"/>
          <w:marBottom w:val="0"/>
          <w:divBdr>
            <w:top w:val="none" w:sz="0" w:space="0" w:color="auto"/>
            <w:left w:val="none" w:sz="0" w:space="0" w:color="auto"/>
            <w:bottom w:val="none" w:sz="0" w:space="0" w:color="auto"/>
            <w:right w:val="none" w:sz="0" w:space="0" w:color="auto"/>
          </w:divBdr>
        </w:div>
        <w:div w:id="1243225637">
          <w:marLeft w:val="1134"/>
          <w:marRight w:val="0"/>
          <w:marTop w:val="60"/>
          <w:marBottom w:val="0"/>
          <w:divBdr>
            <w:top w:val="none" w:sz="0" w:space="0" w:color="auto"/>
            <w:left w:val="none" w:sz="0" w:space="0" w:color="auto"/>
            <w:bottom w:val="none" w:sz="0" w:space="0" w:color="auto"/>
            <w:right w:val="none" w:sz="0" w:space="0" w:color="auto"/>
          </w:divBdr>
        </w:div>
      </w:divsChild>
    </w:div>
    <w:div w:id="212736672">
      <w:bodyDiv w:val="1"/>
      <w:marLeft w:val="0"/>
      <w:marRight w:val="0"/>
      <w:marTop w:val="0"/>
      <w:marBottom w:val="0"/>
      <w:divBdr>
        <w:top w:val="none" w:sz="0" w:space="0" w:color="auto"/>
        <w:left w:val="none" w:sz="0" w:space="0" w:color="auto"/>
        <w:bottom w:val="none" w:sz="0" w:space="0" w:color="auto"/>
        <w:right w:val="none" w:sz="0" w:space="0" w:color="auto"/>
      </w:divBdr>
      <w:divsChild>
        <w:div w:id="789981390">
          <w:marLeft w:val="675"/>
          <w:marRight w:val="0"/>
          <w:marTop w:val="0"/>
          <w:marBottom w:val="0"/>
          <w:divBdr>
            <w:top w:val="none" w:sz="0" w:space="0" w:color="auto"/>
            <w:left w:val="none" w:sz="0" w:space="0" w:color="auto"/>
            <w:bottom w:val="none" w:sz="0" w:space="0" w:color="auto"/>
            <w:right w:val="none" w:sz="0" w:space="0" w:color="auto"/>
          </w:divBdr>
        </w:div>
        <w:div w:id="1950384121">
          <w:marLeft w:val="675"/>
          <w:marRight w:val="0"/>
          <w:marTop w:val="0"/>
          <w:marBottom w:val="0"/>
          <w:divBdr>
            <w:top w:val="none" w:sz="0" w:space="0" w:color="auto"/>
            <w:left w:val="none" w:sz="0" w:space="0" w:color="auto"/>
            <w:bottom w:val="none" w:sz="0" w:space="0" w:color="auto"/>
            <w:right w:val="none" w:sz="0" w:space="0" w:color="auto"/>
          </w:divBdr>
        </w:div>
        <w:div w:id="605432321">
          <w:marLeft w:val="675"/>
          <w:marRight w:val="0"/>
          <w:marTop w:val="0"/>
          <w:marBottom w:val="0"/>
          <w:divBdr>
            <w:top w:val="none" w:sz="0" w:space="0" w:color="auto"/>
            <w:left w:val="none" w:sz="0" w:space="0" w:color="auto"/>
            <w:bottom w:val="none" w:sz="0" w:space="0" w:color="auto"/>
            <w:right w:val="none" w:sz="0" w:space="0" w:color="auto"/>
          </w:divBdr>
        </w:div>
        <w:div w:id="123013655">
          <w:marLeft w:val="675"/>
          <w:marRight w:val="0"/>
          <w:marTop w:val="0"/>
          <w:marBottom w:val="0"/>
          <w:divBdr>
            <w:top w:val="none" w:sz="0" w:space="0" w:color="auto"/>
            <w:left w:val="none" w:sz="0" w:space="0" w:color="auto"/>
            <w:bottom w:val="none" w:sz="0" w:space="0" w:color="auto"/>
            <w:right w:val="none" w:sz="0" w:space="0" w:color="auto"/>
          </w:divBdr>
        </w:div>
        <w:div w:id="668336641">
          <w:marLeft w:val="675"/>
          <w:marRight w:val="0"/>
          <w:marTop w:val="0"/>
          <w:marBottom w:val="0"/>
          <w:divBdr>
            <w:top w:val="none" w:sz="0" w:space="0" w:color="auto"/>
            <w:left w:val="none" w:sz="0" w:space="0" w:color="auto"/>
            <w:bottom w:val="none" w:sz="0" w:space="0" w:color="auto"/>
            <w:right w:val="none" w:sz="0" w:space="0" w:color="auto"/>
          </w:divBdr>
        </w:div>
        <w:div w:id="1792283176">
          <w:marLeft w:val="675"/>
          <w:marRight w:val="0"/>
          <w:marTop w:val="0"/>
          <w:marBottom w:val="0"/>
          <w:divBdr>
            <w:top w:val="none" w:sz="0" w:space="0" w:color="auto"/>
            <w:left w:val="none" w:sz="0" w:space="0" w:color="auto"/>
            <w:bottom w:val="none" w:sz="0" w:space="0" w:color="auto"/>
            <w:right w:val="none" w:sz="0" w:space="0" w:color="auto"/>
          </w:divBdr>
        </w:div>
        <w:div w:id="371998107">
          <w:marLeft w:val="675"/>
          <w:marRight w:val="0"/>
          <w:marTop w:val="0"/>
          <w:marBottom w:val="0"/>
          <w:divBdr>
            <w:top w:val="none" w:sz="0" w:space="0" w:color="auto"/>
            <w:left w:val="none" w:sz="0" w:space="0" w:color="auto"/>
            <w:bottom w:val="none" w:sz="0" w:space="0" w:color="auto"/>
            <w:right w:val="none" w:sz="0" w:space="0" w:color="auto"/>
          </w:divBdr>
        </w:div>
        <w:div w:id="222983923">
          <w:marLeft w:val="675"/>
          <w:marRight w:val="0"/>
          <w:marTop w:val="0"/>
          <w:marBottom w:val="0"/>
          <w:divBdr>
            <w:top w:val="none" w:sz="0" w:space="0" w:color="auto"/>
            <w:left w:val="none" w:sz="0" w:space="0" w:color="auto"/>
            <w:bottom w:val="none" w:sz="0" w:space="0" w:color="auto"/>
            <w:right w:val="none" w:sz="0" w:space="0" w:color="auto"/>
          </w:divBdr>
        </w:div>
        <w:div w:id="1710228682">
          <w:marLeft w:val="675"/>
          <w:marRight w:val="0"/>
          <w:marTop w:val="0"/>
          <w:marBottom w:val="0"/>
          <w:divBdr>
            <w:top w:val="none" w:sz="0" w:space="0" w:color="auto"/>
            <w:left w:val="none" w:sz="0" w:space="0" w:color="auto"/>
            <w:bottom w:val="none" w:sz="0" w:space="0" w:color="auto"/>
            <w:right w:val="none" w:sz="0" w:space="0" w:color="auto"/>
          </w:divBdr>
        </w:div>
        <w:div w:id="901139231">
          <w:marLeft w:val="675"/>
          <w:marRight w:val="0"/>
          <w:marTop w:val="0"/>
          <w:marBottom w:val="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539825131">
      <w:bodyDiv w:val="1"/>
      <w:marLeft w:val="0"/>
      <w:marRight w:val="0"/>
      <w:marTop w:val="0"/>
      <w:marBottom w:val="0"/>
      <w:divBdr>
        <w:top w:val="none" w:sz="0" w:space="0" w:color="auto"/>
        <w:left w:val="none" w:sz="0" w:space="0" w:color="auto"/>
        <w:bottom w:val="none" w:sz="0" w:space="0" w:color="auto"/>
        <w:right w:val="none" w:sz="0" w:space="0" w:color="auto"/>
      </w:divBdr>
    </w:div>
    <w:div w:id="775491230">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909652370">
      <w:bodyDiv w:val="1"/>
      <w:marLeft w:val="0"/>
      <w:marRight w:val="0"/>
      <w:marTop w:val="0"/>
      <w:marBottom w:val="0"/>
      <w:divBdr>
        <w:top w:val="none" w:sz="0" w:space="0" w:color="auto"/>
        <w:left w:val="none" w:sz="0" w:space="0" w:color="auto"/>
        <w:bottom w:val="none" w:sz="0" w:space="0" w:color="auto"/>
        <w:right w:val="none" w:sz="0" w:space="0" w:color="auto"/>
      </w:divBdr>
    </w:div>
    <w:div w:id="1004824098">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09592635">
      <w:bodyDiv w:val="1"/>
      <w:marLeft w:val="0"/>
      <w:marRight w:val="0"/>
      <w:marTop w:val="0"/>
      <w:marBottom w:val="0"/>
      <w:divBdr>
        <w:top w:val="none" w:sz="0" w:space="0" w:color="auto"/>
        <w:left w:val="none" w:sz="0" w:space="0" w:color="auto"/>
        <w:bottom w:val="none" w:sz="0" w:space="0" w:color="auto"/>
        <w:right w:val="none" w:sz="0" w:space="0" w:color="auto"/>
      </w:divBdr>
      <w:divsChild>
        <w:div w:id="705449577">
          <w:marLeft w:val="0"/>
          <w:marRight w:val="0"/>
          <w:marTop w:val="240"/>
          <w:marBottom w:val="0"/>
          <w:divBdr>
            <w:top w:val="none" w:sz="0" w:space="0" w:color="auto"/>
            <w:left w:val="none" w:sz="0" w:space="0" w:color="auto"/>
            <w:bottom w:val="none" w:sz="0" w:space="0" w:color="auto"/>
            <w:right w:val="none" w:sz="0" w:space="0" w:color="auto"/>
          </w:divBdr>
        </w:div>
        <w:div w:id="669716366">
          <w:marLeft w:val="0"/>
          <w:marRight w:val="0"/>
          <w:marTop w:val="120"/>
          <w:marBottom w:val="0"/>
          <w:divBdr>
            <w:top w:val="none" w:sz="0" w:space="0" w:color="auto"/>
            <w:left w:val="none" w:sz="0" w:space="0" w:color="auto"/>
            <w:bottom w:val="none" w:sz="0" w:space="0" w:color="auto"/>
            <w:right w:val="none" w:sz="0" w:space="0" w:color="auto"/>
          </w:divBdr>
        </w:div>
      </w:divsChild>
    </w:div>
    <w:div w:id="1424449466">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21177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pp.jutastatevolve.co.za/y1921ADpg603" TargetMode="External"/><Relationship Id="rId1" Type="http://schemas.openxmlformats.org/officeDocument/2006/relationships/hyperlink" Target="https://app.jutastatevolve.co.za/y1920ADpg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E7E5C-3AE2-4D98-B7E4-BD99AE2B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1</TotalTime>
  <Pages>8</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HOME</cp:lastModifiedBy>
  <cp:revision>2</cp:revision>
  <cp:lastPrinted>1900-12-31T22:00:00Z</cp:lastPrinted>
  <dcterms:created xsi:type="dcterms:W3CDTF">2022-07-28T14:47:00Z</dcterms:created>
  <dcterms:modified xsi:type="dcterms:W3CDTF">2022-07-28T14:47:00Z</dcterms:modified>
</cp:coreProperties>
</file>