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7D" w:rsidRPr="0010488B" w:rsidRDefault="002D137D" w:rsidP="002D137D">
      <w:pPr>
        <w:spacing w:before="120" w:after="120"/>
        <w:jc w:val="center"/>
        <w:rPr>
          <w:rFonts w:ascii="Arial" w:hAnsi="Arial" w:cs="Arial"/>
          <w:b/>
          <w:color w:val="000000" w:themeColor="text1"/>
        </w:rPr>
      </w:pPr>
      <w:bookmarkStart w:id="0" w:name="_GoBack"/>
      <w:bookmarkEnd w:id="0"/>
      <w:r w:rsidRPr="0010488B">
        <w:rPr>
          <w:rFonts w:ascii="Arial" w:hAnsi="Arial" w:cs="Arial"/>
          <w:b/>
          <w:color w:val="000000" w:themeColor="text1"/>
        </w:rPr>
        <w:t>REPUBLIC OF SOUTH AFRICA</w:t>
      </w:r>
    </w:p>
    <w:p w:rsidR="002D137D" w:rsidRPr="0010488B" w:rsidRDefault="002D137D" w:rsidP="002D137D">
      <w:pPr>
        <w:spacing w:before="120" w:after="120"/>
        <w:jc w:val="center"/>
        <w:rPr>
          <w:rFonts w:ascii="Arial" w:hAnsi="Arial" w:cs="Arial"/>
          <w:b/>
          <w:color w:val="000000" w:themeColor="text1"/>
        </w:rPr>
      </w:pPr>
      <w:r w:rsidRPr="0010488B">
        <w:rPr>
          <w:rFonts w:ascii="Arial" w:hAnsi="Arial" w:cs="Arial"/>
          <w:noProof/>
          <w:color w:val="000000" w:themeColor="text1"/>
          <w:lang w:val="en-ZA" w:eastAsia="en-ZA"/>
        </w:rPr>
        <w:drawing>
          <wp:inline distT="0" distB="0" distL="0" distR="0" wp14:anchorId="7C4C2E61" wp14:editId="119C345B">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2D137D" w:rsidRPr="0010488B" w:rsidRDefault="002D137D" w:rsidP="002D137D">
      <w:pPr>
        <w:spacing w:before="120" w:after="120"/>
        <w:jc w:val="center"/>
        <w:rPr>
          <w:rFonts w:ascii="Arial" w:hAnsi="Arial" w:cs="Arial"/>
          <w:b/>
          <w:color w:val="000000" w:themeColor="text1"/>
        </w:rPr>
      </w:pPr>
      <w:r w:rsidRPr="0010488B">
        <w:rPr>
          <w:rFonts w:ascii="Arial" w:hAnsi="Arial" w:cs="Arial"/>
          <w:b/>
          <w:color w:val="000000" w:themeColor="text1"/>
        </w:rPr>
        <w:t>IN THE HIGH COURT OF SOUTH AFRICA</w:t>
      </w:r>
    </w:p>
    <w:p w:rsidR="002D137D" w:rsidRPr="0010488B" w:rsidRDefault="002D137D" w:rsidP="002D137D">
      <w:pPr>
        <w:spacing w:before="120" w:after="120"/>
        <w:jc w:val="center"/>
        <w:rPr>
          <w:rFonts w:ascii="Arial" w:hAnsi="Arial" w:cs="Arial"/>
          <w:b/>
          <w:color w:val="000000" w:themeColor="text1"/>
        </w:rPr>
      </w:pPr>
      <w:r w:rsidRPr="0010488B">
        <w:rPr>
          <w:rFonts w:ascii="Arial" w:hAnsi="Arial" w:cs="Arial"/>
          <w:b/>
          <w:color w:val="000000" w:themeColor="text1"/>
        </w:rPr>
        <w:t>GAUTENG LOCAL DIVISION, JOHANNESBURG</w:t>
      </w:r>
    </w:p>
    <w:p w:rsidR="002D137D" w:rsidRPr="0010488B" w:rsidRDefault="002D137D" w:rsidP="002D137D">
      <w:pPr>
        <w:spacing w:before="120" w:after="120"/>
        <w:jc w:val="center"/>
        <w:rPr>
          <w:rFonts w:ascii="Arial" w:hAnsi="Arial" w:cs="Arial"/>
          <w:b/>
          <w:color w:val="000000" w:themeColor="text1"/>
        </w:rPr>
      </w:pPr>
    </w:p>
    <w:p w:rsidR="002D137D" w:rsidRPr="0010488B" w:rsidRDefault="000977FC" w:rsidP="002D137D">
      <w:pPr>
        <w:tabs>
          <w:tab w:val="left" w:pos="4320"/>
        </w:tabs>
        <w:jc w:val="both"/>
        <w:rPr>
          <w:rFonts w:ascii="Arial" w:hAnsi="Arial" w:cs="Arial"/>
          <w:color w:val="000000" w:themeColor="text1"/>
        </w:rPr>
      </w:pPr>
      <w:r w:rsidRPr="0010488B">
        <w:rPr>
          <w:rFonts w:ascii="Arial" w:hAnsi="Arial" w:cs="Arial"/>
          <w:noProof/>
          <w:color w:val="000000" w:themeColor="text1"/>
          <w:u w:val="single"/>
          <w:lang w:val="en-ZA" w:eastAsia="en-ZA"/>
        </w:rPr>
        <mc:AlternateContent>
          <mc:Choice Requires="wps">
            <w:drawing>
              <wp:anchor distT="0" distB="0" distL="114300" distR="114300" simplePos="0" relativeHeight="251659264" behindDoc="0" locked="0" layoutInCell="1" allowOverlap="1" wp14:anchorId="309136F0" wp14:editId="4DF571A6">
                <wp:simplePos x="0" y="0"/>
                <wp:positionH relativeFrom="column">
                  <wp:posOffset>-50800</wp:posOffset>
                </wp:positionH>
                <wp:positionV relativeFrom="paragraph">
                  <wp:posOffset>182880</wp:posOffset>
                </wp:positionV>
                <wp:extent cx="3200400" cy="1176655"/>
                <wp:effectExtent l="0" t="0" r="1905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76655"/>
                        </a:xfrm>
                        <a:prstGeom prst="rect">
                          <a:avLst/>
                        </a:prstGeom>
                        <a:solidFill>
                          <a:srgbClr val="FFFFFF"/>
                        </a:solidFill>
                        <a:ln w="9525">
                          <a:solidFill>
                            <a:srgbClr val="000000"/>
                          </a:solidFill>
                          <a:miter lim="800000"/>
                          <a:headEnd/>
                          <a:tailEnd/>
                        </a:ln>
                      </wps:spPr>
                      <wps:txbx>
                        <w:txbxContent>
                          <w:p w:rsidR="002D137D" w:rsidRDefault="002D137D" w:rsidP="002D137D">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rsidR="002D137D" w:rsidRPr="00913F95" w:rsidRDefault="002D137D" w:rsidP="002D137D">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rsidR="002D137D" w:rsidRPr="00913F95" w:rsidRDefault="002D137D" w:rsidP="002D137D">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2D137D" w:rsidRDefault="002D137D" w:rsidP="002D137D">
                            <w:pPr>
                              <w:rPr>
                                <w:rFonts w:ascii="Century Gothic" w:hAnsi="Century Gothic"/>
                                <w:b/>
                                <w:sz w:val="18"/>
                                <w:szCs w:val="18"/>
                              </w:rPr>
                            </w:pPr>
                          </w:p>
                          <w:p w:rsidR="002D137D" w:rsidRDefault="002D137D" w:rsidP="002D137D">
                            <w:pPr>
                              <w:rPr>
                                <w:rFonts w:ascii="Century Gothic" w:hAnsi="Century Gothic"/>
                                <w:b/>
                                <w:sz w:val="18"/>
                                <w:szCs w:val="18"/>
                              </w:rPr>
                            </w:pPr>
                            <w:r w:rsidRPr="00084341">
                              <w:rPr>
                                <w:rFonts w:ascii="Century Gothic" w:hAnsi="Century Gothic"/>
                                <w:b/>
                                <w:sz w:val="18"/>
                                <w:szCs w:val="18"/>
                              </w:rPr>
                              <w:t>…………</w:t>
                            </w:r>
                            <w:r>
                              <w:rPr>
                                <w:rFonts w:ascii="Century Gothic" w:hAnsi="Century Gothic"/>
                                <w:b/>
                                <w:sz w:val="18"/>
                                <w:szCs w:val="18"/>
                              </w:rPr>
                              <w:t>..………….............</w:t>
                            </w:r>
                            <w:r>
                              <w:rPr>
                                <w:rFonts w:ascii="Century Gothic" w:hAnsi="Century Gothic"/>
                                <w:b/>
                                <w:sz w:val="18"/>
                                <w:szCs w:val="18"/>
                              </w:rPr>
                              <w:tab/>
                              <w:t>……………………</w:t>
                            </w:r>
                          </w:p>
                          <w:p w:rsidR="002D137D" w:rsidRDefault="002D137D" w:rsidP="002D137D">
                            <w:pPr>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9136F0" id="_x0000_t202" coordsize="21600,21600" o:spt="202" path="m,l,21600r21600,l21600,xe">
                <v:stroke joinstyle="miter"/>
                <v:path gradientshapeok="t" o:connecttype="rect"/>
              </v:shapetype>
              <v:shape id="Text Box 4" o:spid="_x0000_s1026" type="#_x0000_t202" style="position:absolute;left:0;text-align:left;margin-left:-4pt;margin-top:14.4pt;width:252pt;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">
                <v:textbox>
                  <w:txbxContent>
                    <w:p w:rsidR="002D137D" w:rsidRDefault="002D137D" w:rsidP="002D137D">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rsidR="002D137D" w:rsidRPr="00913F95" w:rsidRDefault="002D137D" w:rsidP="002D137D">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rsidR="002D137D" w:rsidRPr="00913F95" w:rsidRDefault="002D137D" w:rsidP="002D137D">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2D137D" w:rsidRDefault="002D137D" w:rsidP="002D137D">
                      <w:pPr>
                        <w:rPr>
                          <w:rFonts w:ascii="Century Gothic" w:hAnsi="Century Gothic"/>
                          <w:b/>
                          <w:sz w:val="18"/>
                          <w:szCs w:val="18"/>
                        </w:rPr>
                      </w:pPr>
                    </w:p>
                    <w:p w:rsidR="002D137D" w:rsidRDefault="002D137D" w:rsidP="002D137D">
                      <w:pPr>
                        <w:rPr>
                          <w:rFonts w:ascii="Century Gothic" w:hAnsi="Century Gothic"/>
                          <w:b/>
                          <w:sz w:val="18"/>
                          <w:szCs w:val="18"/>
                        </w:rPr>
                      </w:pPr>
                      <w:r w:rsidRPr="00084341">
                        <w:rPr>
                          <w:rFonts w:ascii="Century Gothic" w:hAnsi="Century Gothic"/>
                          <w:b/>
                          <w:sz w:val="18"/>
                          <w:szCs w:val="18"/>
                        </w:rPr>
                        <w:t>…………</w:t>
                      </w:r>
                      <w:r>
                        <w:rPr>
                          <w:rFonts w:ascii="Century Gothic" w:hAnsi="Century Gothic"/>
                          <w:b/>
                          <w:sz w:val="18"/>
                          <w:szCs w:val="18"/>
                        </w:rPr>
                        <w:t>..………….............</w:t>
                      </w:r>
                      <w:r>
                        <w:rPr>
                          <w:rFonts w:ascii="Century Gothic" w:hAnsi="Century Gothic"/>
                          <w:b/>
                          <w:sz w:val="18"/>
                          <w:szCs w:val="18"/>
                        </w:rPr>
                        <w:tab/>
                        <w:t>……………………</w:t>
                      </w:r>
                    </w:p>
                    <w:p w:rsidR="002D137D" w:rsidRDefault="002D137D" w:rsidP="002D137D">
                      <w:pPr>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DATE</w:t>
                      </w:r>
                    </w:p>
                  </w:txbxContent>
                </v:textbox>
              </v:shape>
            </w:pict>
          </mc:Fallback>
        </mc:AlternateContent>
      </w:r>
      <w:r w:rsidR="002D137D" w:rsidRPr="0010488B">
        <w:rPr>
          <w:rFonts w:ascii="Arial" w:hAnsi="Arial" w:cs="Arial"/>
          <w:color w:val="000000" w:themeColor="text1"/>
        </w:rPr>
        <w:t xml:space="preserve">                                                                                      CASE NUMBER: 13690/2021</w:t>
      </w:r>
    </w:p>
    <w:p w:rsidR="002D137D" w:rsidRPr="0010488B" w:rsidRDefault="002D137D" w:rsidP="002D137D">
      <w:pPr>
        <w:tabs>
          <w:tab w:val="left" w:pos="4320"/>
        </w:tabs>
        <w:jc w:val="both"/>
        <w:rPr>
          <w:rFonts w:ascii="Arial" w:hAnsi="Arial" w:cs="Arial"/>
          <w:color w:val="000000" w:themeColor="text1"/>
        </w:rPr>
      </w:pPr>
    </w:p>
    <w:p w:rsidR="002D137D" w:rsidRPr="0010488B" w:rsidRDefault="002D137D" w:rsidP="002D137D">
      <w:pPr>
        <w:tabs>
          <w:tab w:val="left" w:pos="4320"/>
        </w:tabs>
        <w:jc w:val="both"/>
        <w:rPr>
          <w:rFonts w:ascii="Arial" w:hAnsi="Arial" w:cs="Arial"/>
          <w:color w:val="000000" w:themeColor="text1"/>
        </w:rPr>
      </w:pPr>
    </w:p>
    <w:p w:rsidR="002D137D" w:rsidRPr="0010488B" w:rsidRDefault="002D137D" w:rsidP="002D137D">
      <w:pPr>
        <w:tabs>
          <w:tab w:val="left" w:pos="4320"/>
        </w:tabs>
        <w:jc w:val="both"/>
        <w:rPr>
          <w:rFonts w:ascii="Arial" w:hAnsi="Arial" w:cs="Arial"/>
          <w:color w:val="000000" w:themeColor="text1"/>
        </w:rPr>
      </w:pPr>
    </w:p>
    <w:p w:rsidR="002D137D" w:rsidRPr="0010488B" w:rsidRDefault="002D137D" w:rsidP="002D137D">
      <w:pPr>
        <w:tabs>
          <w:tab w:val="left" w:pos="4320"/>
        </w:tabs>
        <w:jc w:val="both"/>
        <w:rPr>
          <w:rFonts w:ascii="Arial" w:hAnsi="Arial" w:cs="Arial"/>
          <w:color w:val="000000" w:themeColor="text1"/>
        </w:rPr>
      </w:pPr>
    </w:p>
    <w:p w:rsidR="002D137D" w:rsidRPr="0010488B" w:rsidRDefault="002D137D" w:rsidP="002D137D">
      <w:pPr>
        <w:tabs>
          <w:tab w:val="left" w:pos="4320"/>
        </w:tabs>
        <w:jc w:val="both"/>
        <w:rPr>
          <w:rFonts w:ascii="Arial" w:hAnsi="Arial" w:cs="Arial"/>
          <w:color w:val="000000" w:themeColor="text1"/>
        </w:rPr>
      </w:pPr>
    </w:p>
    <w:p w:rsidR="002D137D" w:rsidRPr="0010488B" w:rsidRDefault="002D137D" w:rsidP="002D137D">
      <w:pPr>
        <w:tabs>
          <w:tab w:val="left" w:pos="4320"/>
        </w:tabs>
        <w:jc w:val="both"/>
        <w:rPr>
          <w:rFonts w:ascii="Arial" w:hAnsi="Arial" w:cs="Arial"/>
          <w:color w:val="000000" w:themeColor="text1"/>
        </w:rPr>
      </w:pPr>
    </w:p>
    <w:p w:rsidR="002D137D" w:rsidRPr="0010488B" w:rsidRDefault="002D137D" w:rsidP="002D137D">
      <w:pPr>
        <w:tabs>
          <w:tab w:val="left" w:pos="4320"/>
        </w:tabs>
        <w:jc w:val="both"/>
        <w:rPr>
          <w:rFonts w:ascii="Arial" w:hAnsi="Arial" w:cs="Arial"/>
          <w:color w:val="000000" w:themeColor="text1"/>
        </w:rPr>
      </w:pPr>
    </w:p>
    <w:p w:rsidR="002D137D" w:rsidRPr="0010488B" w:rsidRDefault="002D137D" w:rsidP="002D137D">
      <w:pPr>
        <w:tabs>
          <w:tab w:val="left" w:pos="4320"/>
        </w:tabs>
        <w:jc w:val="both"/>
        <w:rPr>
          <w:rFonts w:ascii="Arial" w:hAnsi="Arial" w:cs="Arial"/>
          <w:color w:val="000000" w:themeColor="text1"/>
        </w:rPr>
      </w:pPr>
    </w:p>
    <w:p w:rsidR="002D137D" w:rsidRPr="0010488B" w:rsidRDefault="002D137D" w:rsidP="002D137D">
      <w:pPr>
        <w:pStyle w:val="Myown"/>
        <w:numPr>
          <w:ilvl w:val="0"/>
          <w:numId w:val="0"/>
        </w:numPr>
        <w:spacing w:before="0" w:after="0" w:line="240" w:lineRule="auto"/>
        <w:ind w:left="709" w:hanging="709"/>
        <w:rPr>
          <w:rFonts w:cs="Arial"/>
        </w:rPr>
      </w:pPr>
      <w:r w:rsidRPr="0010488B">
        <w:rPr>
          <w:rFonts w:cs="Arial"/>
        </w:rPr>
        <w:t>In the matter between:</w:t>
      </w:r>
    </w:p>
    <w:p w:rsidR="002D137D" w:rsidRPr="0010488B" w:rsidRDefault="002D137D" w:rsidP="002D137D">
      <w:pPr>
        <w:pStyle w:val="Myown"/>
        <w:numPr>
          <w:ilvl w:val="0"/>
          <w:numId w:val="0"/>
        </w:numPr>
        <w:spacing w:before="0" w:after="0" w:line="240" w:lineRule="auto"/>
        <w:ind w:left="709" w:hanging="709"/>
        <w:rPr>
          <w:rFonts w:cs="Arial"/>
        </w:rPr>
      </w:pPr>
    </w:p>
    <w:p w:rsidR="002D137D" w:rsidRPr="0010488B" w:rsidRDefault="002D137D" w:rsidP="000C5460">
      <w:pPr>
        <w:pStyle w:val="Myown"/>
        <w:numPr>
          <w:ilvl w:val="0"/>
          <w:numId w:val="0"/>
        </w:numPr>
        <w:spacing w:before="0" w:after="0" w:line="360" w:lineRule="auto"/>
        <w:ind w:left="709" w:hanging="709"/>
        <w:rPr>
          <w:rFonts w:cs="Arial"/>
        </w:rPr>
      </w:pPr>
      <w:r w:rsidRPr="0010488B">
        <w:rPr>
          <w:rFonts w:cs="Arial"/>
          <w:b/>
        </w:rPr>
        <w:t xml:space="preserve">LANDROVER FINANCIAL SERVICES, A PRODUCT                           </w:t>
      </w:r>
      <w:r w:rsidR="000977FC">
        <w:rPr>
          <w:rFonts w:cs="Arial"/>
          <w:b/>
        </w:rPr>
        <w:t xml:space="preserve">             </w:t>
      </w:r>
      <w:r w:rsidRPr="0010488B">
        <w:rPr>
          <w:rFonts w:cs="Arial"/>
        </w:rPr>
        <w:t>Plaintiff</w:t>
      </w:r>
    </w:p>
    <w:p w:rsidR="002D137D" w:rsidRPr="0010488B" w:rsidRDefault="002D137D" w:rsidP="000C5460">
      <w:pPr>
        <w:pStyle w:val="Myown"/>
        <w:numPr>
          <w:ilvl w:val="0"/>
          <w:numId w:val="0"/>
        </w:numPr>
        <w:spacing w:before="0" w:after="0" w:line="360" w:lineRule="auto"/>
        <w:ind w:left="709" w:hanging="709"/>
        <w:rPr>
          <w:rFonts w:cs="Arial"/>
        </w:rPr>
      </w:pPr>
      <w:r w:rsidRPr="0010488B">
        <w:rPr>
          <w:rFonts w:cs="Arial"/>
          <w:b/>
        </w:rPr>
        <w:t>OF WESBANK, A DIVISION OF FIRSTRAND BANK LIMITED</w:t>
      </w:r>
    </w:p>
    <w:p w:rsidR="002D137D" w:rsidRPr="0010488B" w:rsidRDefault="002D137D" w:rsidP="002D137D">
      <w:pPr>
        <w:pBdr>
          <w:bottom w:val="single" w:sz="12" w:space="1" w:color="auto"/>
        </w:pBdr>
        <w:jc w:val="both"/>
        <w:rPr>
          <w:rFonts w:ascii="Arial" w:hAnsi="Arial" w:cs="Arial"/>
        </w:rPr>
      </w:pPr>
    </w:p>
    <w:p w:rsidR="002D137D" w:rsidRPr="0010488B" w:rsidRDefault="002D137D" w:rsidP="002D137D">
      <w:pPr>
        <w:pBdr>
          <w:bottom w:val="single" w:sz="12" w:space="1" w:color="auto"/>
        </w:pBdr>
        <w:jc w:val="both"/>
        <w:rPr>
          <w:rFonts w:ascii="Arial" w:hAnsi="Arial" w:cs="Arial"/>
          <w:b/>
        </w:rPr>
      </w:pPr>
      <w:r w:rsidRPr="0010488B">
        <w:rPr>
          <w:rFonts w:ascii="Arial" w:hAnsi="Arial" w:cs="Arial"/>
          <w:b/>
        </w:rPr>
        <w:t>And</w:t>
      </w:r>
    </w:p>
    <w:p w:rsidR="002D137D" w:rsidRPr="0010488B" w:rsidRDefault="002D137D" w:rsidP="002D137D">
      <w:pPr>
        <w:pBdr>
          <w:bottom w:val="single" w:sz="12" w:space="1" w:color="auto"/>
        </w:pBdr>
        <w:jc w:val="both"/>
        <w:rPr>
          <w:rFonts w:ascii="Arial" w:hAnsi="Arial" w:cs="Arial"/>
          <w:b/>
        </w:rPr>
      </w:pPr>
    </w:p>
    <w:p w:rsidR="002D137D" w:rsidRPr="0010488B" w:rsidRDefault="002D137D" w:rsidP="002D137D">
      <w:pPr>
        <w:pBdr>
          <w:bottom w:val="single" w:sz="12" w:space="1" w:color="auto"/>
        </w:pBdr>
        <w:jc w:val="both"/>
        <w:rPr>
          <w:rFonts w:ascii="Arial" w:hAnsi="Arial" w:cs="Arial"/>
        </w:rPr>
      </w:pPr>
      <w:r w:rsidRPr="0010488B">
        <w:rPr>
          <w:rFonts w:ascii="Arial" w:hAnsi="Arial" w:cs="Arial"/>
          <w:b/>
        </w:rPr>
        <w:t xml:space="preserve">MR FRANK PHIRI                                                                                 </w:t>
      </w:r>
      <w:r w:rsidR="000977FC">
        <w:rPr>
          <w:rFonts w:ascii="Arial" w:hAnsi="Arial" w:cs="Arial"/>
          <w:b/>
        </w:rPr>
        <w:t xml:space="preserve">         </w:t>
      </w:r>
      <w:r w:rsidRPr="0010488B">
        <w:rPr>
          <w:rFonts w:ascii="Arial" w:hAnsi="Arial" w:cs="Arial"/>
        </w:rPr>
        <w:t>Defendant</w:t>
      </w:r>
    </w:p>
    <w:p w:rsidR="002D137D" w:rsidRPr="0010488B" w:rsidRDefault="002D137D" w:rsidP="002D137D">
      <w:pPr>
        <w:pBdr>
          <w:bottom w:val="single" w:sz="12" w:space="1" w:color="auto"/>
        </w:pBdr>
        <w:jc w:val="both"/>
        <w:rPr>
          <w:rFonts w:ascii="Arial" w:hAnsi="Arial" w:cs="Arial"/>
        </w:rPr>
      </w:pPr>
    </w:p>
    <w:p w:rsidR="002D137D" w:rsidRPr="0010488B" w:rsidRDefault="002D137D" w:rsidP="002D137D">
      <w:pPr>
        <w:pBdr>
          <w:bottom w:val="single" w:sz="12" w:space="1" w:color="auto"/>
        </w:pBdr>
        <w:jc w:val="both"/>
        <w:rPr>
          <w:rFonts w:ascii="Arial" w:hAnsi="Arial" w:cs="Arial"/>
        </w:rPr>
      </w:pPr>
    </w:p>
    <w:p w:rsidR="002D137D" w:rsidRPr="0010488B" w:rsidRDefault="002D137D" w:rsidP="002D137D">
      <w:pPr>
        <w:jc w:val="both"/>
        <w:rPr>
          <w:rFonts w:ascii="Arial" w:hAnsi="Arial" w:cs="Arial"/>
        </w:rPr>
      </w:pPr>
    </w:p>
    <w:p w:rsidR="002D137D" w:rsidRPr="0010488B" w:rsidRDefault="002D137D" w:rsidP="002D137D">
      <w:pPr>
        <w:pBdr>
          <w:bottom w:val="single" w:sz="12" w:space="1" w:color="auto"/>
        </w:pBdr>
        <w:jc w:val="center"/>
        <w:rPr>
          <w:rFonts w:ascii="Arial" w:hAnsi="Arial" w:cs="Arial"/>
          <w:b/>
        </w:rPr>
      </w:pPr>
      <w:r w:rsidRPr="0010488B">
        <w:rPr>
          <w:rFonts w:ascii="Arial" w:hAnsi="Arial" w:cs="Arial"/>
          <w:b/>
        </w:rPr>
        <w:t>JUDGMENT</w:t>
      </w:r>
    </w:p>
    <w:p w:rsidR="002D137D" w:rsidRPr="0010488B" w:rsidRDefault="002D137D" w:rsidP="002D137D">
      <w:pPr>
        <w:pBdr>
          <w:bottom w:val="single" w:sz="12" w:space="1" w:color="auto"/>
        </w:pBdr>
        <w:jc w:val="center"/>
        <w:rPr>
          <w:rFonts w:ascii="Arial" w:hAnsi="Arial" w:cs="Arial"/>
          <w:b/>
        </w:rPr>
      </w:pPr>
    </w:p>
    <w:p w:rsidR="000977FC" w:rsidRDefault="000977FC" w:rsidP="002D137D">
      <w:pPr>
        <w:tabs>
          <w:tab w:val="left" w:pos="4320"/>
        </w:tabs>
        <w:spacing w:before="180" w:after="240"/>
        <w:jc w:val="both"/>
        <w:rPr>
          <w:rFonts w:ascii="Arial" w:hAnsi="Arial" w:cs="Arial"/>
          <w:b/>
          <w:color w:val="000000"/>
          <w:u w:val="single"/>
        </w:rPr>
      </w:pPr>
      <w:r>
        <w:rPr>
          <w:rFonts w:ascii="Arial" w:hAnsi="Arial" w:cs="Arial"/>
          <w:b/>
          <w:color w:val="000000"/>
          <w:u w:val="single"/>
        </w:rPr>
        <w:t>WINDELL, J:</w:t>
      </w:r>
    </w:p>
    <w:p w:rsidR="0044335C" w:rsidRDefault="0044335C" w:rsidP="0044335C">
      <w:pPr>
        <w:spacing w:before="240" w:after="240"/>
        <w:rPr>
          <w:rFonts w:ascii="Arial" w:hAnsi="Arial" w:cs="Arial"/>
          <w:b/>
          <w:color w:val="000000"/>
        </w:rPr>
      </w:pPr>
    </w:p>
    <w:p w:rsidR="002D137D" w:rsidRDefault="002D137D" w:rsidP="0044335C">
      <w:pPr>
        <w:spacing w:before="240" w:after="240"/>
        <w:rPr>
          <w:rFonts w:ascii="Arial" w:hAnsi="Arial" w:cs="Arial"/>
          <w:b/>
          <w:color w:val="000000"/>
        </w:rPr>
      </w:pPr>
      <w:r w:rsidRPr="0010488B">
        <w:rPr>
          <w:rFonts w:ascii="Arial" w:hAnsi="Arial" w:cs="Arial"/>
          <w:b/>
          <w:color w:val="000000"/>
        </w:rPr>
        <w:t>INTRODUCTION</w:t>
      </w:r>
    </w:p>
    <w:p w:rsidR="002D137D" w:rsidRPr="0010488B" w:rsidRDefault="002D137D" w:rsidP="0044335C">
      <w:pPr>
        <w:widowControl w:val="0"/>
        <w:spacing w:before="240" w:after="120" w:line="480" w:lineRule="auto"/>
        <w:jc w:val="both"/>
        <w:rPr>
          <w:rFonts w:ascii="Arial" w:hAnsi="Arial" w:cs="Arial"/>
        </w:rPr>
      </w:pPr>
      <w:r w:rsidRPr="0010488B">
        <w:rPr>
          <w:rFonts w:ascii="Arial" w:hAnsi="Arial" w:cs="Arial"/>
        </w:rPr>
        <w:t xml:space="preserve">[1] This is an opposed application for summary judgment. </w:t>
      </w:r>
    </w:p>
    <w:p w:rsidR="002D137D" w:rsidRPr="0010488B" w:rsidRDefault="002D137D" w:rsidP="002D137D">
      <w:pPr>
        <w:widowControl w:val="0"/>
        <w:spacing w:after="120" w:line="480" w:lineRule="auto"/>
        <w:jc w:val="both"/>
        <w:rPr>
          <w:rFonts w:ascii="Arial" w:hAnsi="Arial" w:cs="Arial"/>
        </w:rPr>
      </w:pPr>
      <w:r w:rsidRPr="0010488B">
        <w:rPr>
          <w:rFonts w:ascii="Arial" w:hAnsi="Arial" w:cs="Arial"/>
        </w:rPr>
        <w:t>[2] On 25 May 2018</w:t>
      </w:r>
      <w:r w:rsidR="000977FC">
        <w:rPr>
          <w:rFonts w:ascii="Arial" w:hAnsi="Arial" w:cs="Arial"/>
        </w:rPr>
        <w:t>,</w:t>
      </w:r>
      <w:r w:rsidRPr="0010488B">
        <w:rPr>
          <w:rFonts w:ascii="Arial" w:hAnsi="Arial" w:cs="Arial"/>
        </w:rPr>
        <w:t xml:space="preserve"> the plaintiff (“the Bank”) and the defendant (“Mr Phiri”) concluded an instalment sale agreement</w:t>
      </w:r>
      <w:r w:rsidR="003708C1">
        <w:rPr>
          <w:rFonts w:ascii="Arial" w:hAnsi="Arial" w:cs="Arial"/>
        </w:rPr>
        <w:t xml:space="preserve"> (“the credit agreement”)</w:t>
      </w:r>
      <w:r w:rsidRPr="0010488B">
        <w:rPr>
          <w:rFonts w:ascii="Arial" w:hAnsi="Arial" w:cs="Arial"/>
        </w:rPr>
        <w:t xml:space="preserve"> for the purchase of a 2008 Land </w:t>
      </w:r>
      <w:r w:rsidRPr="0010488B">
        <w:rPr>
          <w:rFonts w:ascii="Arial" w:hAnsi="Arial" w:cs="Arial"/>
        </w:rPr>
        <w:lastRenderedPageBreak/>
        <w:t xml:space="preserve">Rover Defender Puma 110 SW (“the vehicle”). Mr Phiri had to pay the Bank the amount of R413,933.04: an initial deposit of R50,000.00 and 72 equal instalments of R5,749.07 on the first day of each month until the expiry of the </w:t>
      </w:r>
      <w:r w:rsidR="003708C1">
        <w:rPr>
          <w:rFonts w:ascii="Arial" w:hAnsi="Arial" w:cs="Arial"/>
        </w:rPr>
        <w:t xml:space="preserve">credit </w:t>
      </w:r>
      <w:r w:rsidRPr="0010488B">
        <w:rPr>
          <w:rFonts w:ascii="Arial" w:hAnsi="Arial" w:cs="Arial"/>
        </w:rPr>
        <w:t xml:space="preserve">agreement. It is common cause that the Bank would remain the owner of the vehicle until Mr Phiri had discharged his indebtedness under the </w:t>
      </w:r>
      <w:r w:rsidR="003708C1">
        <w:rPr>
          <w:rFonts w:ascii="Arial" w:hAnsi="Arial" w:cs="Arial"/>
        </w:rPr>
        <w:t xml:space="preserve">credit </w:t>
      </w:r>
      <w:r w:rsidRPr="0010488B">
        <w:rPr>
          <w:rFonts w:ascii="Arial" w:hAnsi="Arial" w:cs="Arial"/>
        </w:rPr>
        <w:t xml:space="preserve">agreement. Mr Phiri breached the terms of the </w:t>
      </w:r>
      <w:r w:rsidR="003708C1">
        <w:rPr>
          <w:rFonts w:ascii="Arial" w:hAnsi="Arial" w:cs="Arial"/>
        </w:rPr>
        <w:t xml:space="preserve">credit </w:t>
      </w:r>
      <w:r w:rsidRPr="0010488B">
        <w:rPr>
          <w:rFonts w:ascii="Arial" w:hAnsi="Arial" w:cs="Arial"/>
        </w:rPr>
        <w:t>agreement by failing to maintain regular monthly payments.</w:t>
      </w:r>
    </w:p>
    <w:p w:rsidR="002D137D" w:rsidRPr="0010488B" w:rsidRDefault="002D137D" w:rsidP="002D137D">
      <w:pPr>
        <w:widowControl w:val="0"/>
        <w:spacing w:after="120" w:line="480" w:lineRule="auto"/>
        <w:jc w:val="both"/>
        <w:rPr>
          <w:rFonts w:ascii="Arial" w:hAnsi="Arial" w:cs="Arial"/>
        </w:rPr>
      </w:pPr>
      <w:r w:rsidRPr="0010488B">
        <w:rPr>
          <w:rFonts w:ascii="Arial" w:hAnsi="Arial" w:cs="Arial"/>
        </w:rPr>
        <w:t xml:space="preserve">[3] The Bank </w:t>
      </w:r>
      <w:r w:rsidR="00BA3BAA">
        <w:rPr>
          <w:rFonts w:ascii="Arial" w:hAnsi="Arial" w:cs="Arial"/>
        </w:rPr>
        <w:t xml:space="preserve">seeks an order for the cancellation </w:t>
      </w:r>
      <w:r w:rsidRPr="0010488B">
        <w:rPr>
          <w:rFonts w:ascii="Arial" w:hAnsi="Arial" w:cs="Arial"/>
        </w:rPr>
        <w:t xml:space="preserve">the </w:t>
      </w:r>
      <w:r w:rsidR="003708C1">
        <w:rPr>
          <w:rFonts w:ascii="Arial" w:hAnsi="Arial" w:cs="Arial"/>
        </w:rPr>
        <w:t xml:space="preserve">credit </w:t>
      </w:r>
      <w:r w:rsidRPr="0010488B">
        <w:rPr>
          <w:rFonts w:ascii="Arial" w:hAnsi="Arial" w:cs="Arial"/>
        </w:rPr>
        <w:t xml:space="preserve">agreement and seeks the return of the motor vehicle and the postponement of the damages claim </w:t>
      </w:r>
      <w:r w:rsidRPr="0010488B">
        <w:rPr>
          <w:rFonts w:ascii="Arial" w:hAnsi="Arial" w:cs="Arial"/>
          <w:i/>
        </w:rPr>
        <w:t>sine die</w:t>
      </w:r>
      <w:r w:rsidRPr="0010488B">
        <w:rPr>
          <w:rFonts w:ascii="Arial" w:hAnsi="Arial" w:cs="Arial"/>
        </w:rPr>
        <w:t>.</w:t>
      </w:r>
    </w:p>
    <w:p w:rsidR="002D137D" w:rsidRDefault="002D137D" w:rsidP="002D137D">
      <w:pPr>
        <w:widowControl w:val="0"/>
        <w:spacing w:after="120" w:line="480" w:lineRule="auto"/>
        <w:jc w:val="both"/>
        <w:rPr>
          <w:rFonts w:ascii="Arial" w:hAnsi="Arial" w:cs="Arial"/>
        </w:rPr>
      </w:pPr>
      <w:r w:rsidRPr="0010488B">
        <w:rPr>
          <w:rFonts w:ascii="Arial" w:hAnsi="Arial" w:cs="Arial"/>
        </w:rPr>
        <w:t>[4] Mr Phiri has filed a plea and resists the summary judgment on two bases: One, he alleges that the Ban</w:t>
      </w:r>
      <w:r>
        <w:rPr>
          <w:rFonts w:ascii="Arial" w:hAnsi="Arial" w:cs="Arial"/>
        </w:rPr>
        <w:t>k did not conduct an assessment in compliance with Section 81</w:t>
      </w:r>
      <w:r w:rsidRPr="0010488B">
        <w:rPr>
          <w:rFonts w:ascii="Arial" w:hAnsi="Arial" w:cs="Arial"/>
        </w:rPr>
        <w:t>(2) of the National Credit Act (“NCA”)</w:t>
      </w:r>
      <w:r w:rsidR="002163EA">
        <w:rPr>
          <w:rFonts w:ascii="Arial" w:hAnsi="Arial" w:cs="Arial"/>
        </w:rPr>
        <w:t>,</w:t>
      </w:r>
      <w:r w:rsidRPr="0010488B">
        <w:rPr>
          <w:rStyle w:val="FootnoteReference"/>
          <w:rFonts w:ascii="Arial" w:hAnsi="Arial" w:cs="Arial"/>
        </w:rPr>
        <w:footnoteReference w:id="1"/>
      </w:r>
      <w:r>
        <w:rPr>
          <w:rFonts w:ascii="Arial" w:hAnsi="Arial" w:cs="Arial"/>
        </w:rPr>
        <w:t xml:space="preserve"> and, as a result, </w:t>
      </w:r>
      <w:r w:rsidRPr="0010488B">
        <w:rPr>
          <w:rFonts w:ascii="Arial" w:hAnsi="Arial" w:cs="Arial"/>
        </w:rPr>
        <w:t>the extension of the credit was reckless.</w:t>
      </w:r>
      <w:r w:rsidR="003708C1">
        <w:rPr>
          <w:rStyle w:val="FootnoteReference"/>
          <w:rFonts w:ascii="Arial" w:hAnsi="Arial" w:cs="Arial"/>
        </w:rPr>
        <w:footnoteReference w:id="2"/>
      </w:r>
      <w:r w:rsidRPr="00B0352A">
        <w:rPr>
          <w:rFonts w:ascii="Arial" w:hAnsi="Arial" w:cs="Arial"/>
        </w:rPr>
        <w:t xml:space="preserve"> </w:t>
      </w:r>
      <w:r>
        <w:rPr>
          <w:rFonts w:ascii="Arial" w:hAnsi="Arial" w:cs="Arial"/>
        </w:rPr>
        <w:t xml:space="preserve">Two, </w:t>
      </w:r>
      <w:r w:rsidRPr="0010488B">
        <w:rPr>
          <w:rFonts w:ascii="Arial" w:hAnsi="Arial" w:cs="Arial"/>
        </w:rPr>
        <w:t>he denies r</w:t>
      </w:r>
      <w:r>
        <w:rPr>
          <w:rFonts w:ascii="Arial" w:hAnsi="Arial" w:cs="Arial"/>
        </w:rPr>
        <w:t>eceiving the Section 129 notice.</w:t>
      </w:r>
    </w:p>
    <w:p w:rsidR="002D137D" w:rsidRPr="0010488B" w:rsidRDefault="002D137D" w:rsidP="002D137D">
      <w:pPr>
        <w:widowControl w:val="0"/>
        <w:spacing w:after="120" w:line="480" w:lineRule="auto"/>
        <w:jc w:val="both"/>
        <w:rPr>
          <w:rFonts w:ascii="Arial" w:hAnsi="Arial" w:cs="Arial"/>
        </w:rPr>
      </w:pPr>
      <w:r>
        <w:rPr>
          <w:rFonts w:ascii="Arial" w:hAnsi="Arial" w:cs="Arial"/>
        </w:rPr>
        <w:t>[5] I will deal with each</w:t>
      </w:r>
      <w:r w:rsidR="000977FC">
        <w:rPr>
          <w:rFonts w:ascii="Arial" w:hAnsi="Arial" w:cs="Arial"/>
        </w:rPr>
        <w:t xml:space="preserve"> one of</w:t>
      </w:r>
      <w:r>
        <w:rPr>
          <w:rFonts w:ascii="Arial" w:hAnsi="Arial" w:cs="Arial"/>
        </w:rPr>
        <w:t xml:space="preserve"> the</w:t>
      </w:r>
      <w:r w:rsidR="000977FC">
        <w:rPr>
          <w:rFonts w:ascii="Arial" w:hAnsi="Arial" w:cs="Arial"/>
        </w:rPr>
        <w:t xml:space="preserve"> two</w:t>
      </w:r>
      <w:r>
        <w:rPr>
          <w:rFonts w:ascii="Arial" w:hAnsi="Arial" w:cs="Arial"/>
        </w:rPr>
        <w:t xml:space="preserve"> defences </w:t>
      </w:r>
      <w:r w:rsidR="000977FC">
        <w:rPr>
          <w:rFonts w:ascii="Arial" w:hAnsi="Arial" w:cs="Arial"/>
        </w:rPr>
        <w:t xml:space="preserve">raised </w:t>
      </w:r>
      <w:r>
        <w:rPr>
          <w:rFonts w:ascii="Arial" w:hAnsi="Arial" w:cs="Arial"/>
        </w:rPr>
        <w:t xml:space="preserve">separately down below. </w:t>
      </w:r>
    </w:p>
    <w:p w:rsidR="002D137D" w:rsidRPr="0010488B" w:rsidRDefault="002D137D" w:rsidP="002D137D">
      <w:pPr>
        <w:widowControl w:val="0"/>
        <w:spacing w:after="120" w:line="480" w:lineRule="auto"/>
        <w:jc w:val="both"/>
        <w:rPr>
          <w:rFonts w:ascii="Arial" w:hAnsi="Arial" w:cs="Arial"/>
          <w:b/>
          <w:bCs/>
        </w:rPr>
      </w:pPr>
      <w:r w:rsidRPr="0010488B">
        <w:rPr>
          <w:rFonts w:ascii="Arial" w:hAnsi="Arial" w:cs="Arial"/>
          <w:b/>
          <w:bCs/>
        </w:rPr>
        <w:t xml:space="preserve">RECKLESS CREDIT </w:t>
      </w:r>
    </w:p>
    <w:p w:rsidR="002D137D" w:rsidRPr="00970D72" w:rsidRDefault="002D137D" w:rsidP="002D137D">
      <w:pPr>
        <w:widowControl w:val="0"/>
        <w:spacing w:after="120" w:line="480" w:lineRule="auto"/>
        <w:jc w:val="both"/>
        <w:rPr>
          <w:rFonts w:ascii="Arial" w:hAnsi="Arial" w:cs="Arial"/>
          <w:bCs/>
          <w:i/>
          <w:color w:val="000000"/>
        </w:rPr>
      </w:pPr>
      <w:r>
        <w:rPr>
          <w:rFonts w:ascii="Arial" w:hAnsi="Arial" w:cs="Arial"/>
        </w:rPr>
        <w:t xml:space="preserve">[6] In terms of </w:t>
      </w:r>
      <w:r w:rsidRPr="0010488B">
        <w:rPr>
          <w:rFonts w:ascii="Arial" w:hAnsi="Arial" w:cs="Arial"/>
        </w:rPr>
        <w:t>Rule 32</w:t>
      </w:r>
      <w:r>
        <w:rPr>
          <w:rFonts w:ascii="Arial" w:hAnsi="Arial" w:cs="Arial"/>
        </w:rPr>
        <w:t>(3)(b)</w:t>
      </w:r>
      <w:r w:rsidRPr="0010488B">
        <w:rPr>
          <w:rFonts w:ascii="Arial" w:hAnsi="Arial" w:cs="Arial"/>
        </w:rPr>
        <w:t xml:space="preserve"> of the Uniform</w:t>
      </w:r>
      <w:r>
        <w:rPr>
          <w:rFonts w:ascii="Arial" w:hAnsi="Arial" w:cs="Arial"/>
        </w:rPr>
        <w:t xml:space="preserve"> Rules of Court, </w:t>
      </w:r>
      <w:r w:rsidRPr="0010488B">
        <w:rPr>
          <w:rFonts w:ascii="Arial" w:hAnsi="Arial" w:cs="Arial"/>
        </w:rPr>
        <w:t xml:space="preserve">a defendant must </w:t>
      </w:r>
      <w:r w:rsidRPr="00185321">
        <w:rPr>
          <w:rFonts w:ascii="Arial" w:hAnsi="Arial" w:cs="Arial"/>
          <w:color w:val="000000"/>
          <w:lang w:val="en-ZA" w:eastAsia="en-ZA"/>
        </w:rPr>
        <w:t xml:space="preserve">satisfy the court by affidavit, or with the leave of the court by oral evidence </w:t>
      </w:r>
      <w:r w:rsidRPr="00970D72">
        <w:rPr>
          <w:rFonts w:ascii="Arial" w:hAnsi="Arial" w:cs="Arial"/>
          <w:i/>
          <w:color w:val="000000"/>
          <w:lang w:val="en-ZA" w:eastAsia="en-ZA"/>
        </w:rPr>
        <w:t>…..</w:t>
      </w:r>
      <w:r w:rsidR="000977FC">
        <w:rPr>
          <w:rFonts w:ascii="Arial" w:hAnsi="Arial" w:cs="Arial"/>
          <w:i/>
          <w:color w:val="000000"/>
          <w:lang w:val="en-ZA" w:eastAsia="en-ZA"/>
        </w:rPr>
        <w:t>”</w:t>
      </w:r>
      <w:r w:rsidRPr="00185321">
        <w:rPr>
          <w:rFonts w:ascii="Arial" w:hAnsi="Arial" w:cs="Arial"/>
          <w:i/>
          <w:color w:val="000000"/>
          <w:lang w:val="en-ZA" w:eastAsia="en-ZA"/>
        </w:rPr>
        <w:t xml:space="preserve"> that the defendant has a </w:t>
      </w:r>
      <w:r w:rsidRPr="00185321">
        <w:rPr>
          <w:rFonts w:ascii="Arial" w:hAnsi="Arial" w:cs="Arial"/>
          <w:i/>
          <w:iCs/>
          <w:color w:val="000000"/>
          <w:lang w:val="en-ZA" w:eastAsia="en-ZA"/>
        </w:rPr>
        <w:t>bona fide</w:t>
      </w:r>
      <w:r w:rsidRPr="00185321">
        <w:rPr>
          <w:rFonts w:ascii="Arial" w:hAnsi="Arial" w:cs="Arial"/>
          <w:i/>
          <w:color w:val="000000"/>
          <w:lang w:val="en-ZA" w:eastAsia="en-ZA"/>
        </w:rPr>
        <w:t> defence to the action</w:t>
      </w:r>
      <w:r>
        <w:rPr>
          <w:rFonts w:ascii="Arial" w:hAnsi="Arial" w:cs="Arial"/>
          <w:i/>
          <w:color w:val="000000"/>
          <w:lang w:val="en-ZA" w:eastAsia="en-ZA"/>
        </w:rPr>
        <w:t xml:space="preserve">. </w:t>
      </w:r>
      <w:r>
        <w:rPr>
          <w:rFonts w:ascii="Arial" w:hAnsi="Arial" w:cs="Arial"/>
          <w:color w:val="000000"/>
          <w:lang w:val="en-ZA" w:eastAsia="en-ZA"/>
        </w:rPr>
        <w:t>The sub</w:t>
      </w:r>
      <w:r w:rsidR="000977FC">
        <w:rPr>
          <w:rFonts w:ascii="Arial" w:hAnsi="Arial" w:cs="Arial"/>
          <w:color w:val="000000"/>
          <w:lang w:val="en-ZA" w:eastAsia="en-ZA"/>
        </w:rPr>
        <w:t>-</w:t>
      </w:r>
      <w:r>
        <w:rPr>
          <w:rFonts w:ascii="Arial" w:hAnsi="Arial" w:cs="Arial"/>
          <w:color w:val="000000"/>
          <w:lang w:val="en-ZA" w:eastAsia="en-ZA"/>
        </w:rPr>
        <w:t>rule</w:t>
      </w:r>
      <w:r w:rsidRPr="00F51E06">
        <w:rPr>
          <w:rFonts w:ascii="Arial" w:hAnsi="Arial" w:cs="Arial"/>
          <w:color w:val="000000"/>
          <w:lang w:val="en-ZA" w:eastAsia="en-ZA"/>
        </w:rPr>
        <w:t xml:space="preserve"> also states that</w:t>
      </w:r>
      <w:r>
        <w:rPr>
          <w:rFonts w:ascii="Arial" w:hAnsi="Arial" w:cs="Arial"/>
          <w:i/>
          <w:color w:val="000000"/>
          <w:lang w:val="en-ZA" w:eastAsia="en-ZA"/>
        </w:rPr>
        <w:t xml:space="preserve"> “</w:t>
      </w:r>
      <w:r w:rsidRPr="00185321">
        <w:rPr>
          <w:rFonts w:ascii="Arial" w:hAnsi="Arial" w:cs="Arial"/>
          <w:i/>
          <w:color w:val="000000"/>
          <w:lang w:val="en-ZA" w:eastAsia="en-ZA"/>
        </w:rPr>
        <w:t xml:space="preserve">such affidavit or evidence shall disclose fully the nature and grounds of the defence and the </w:t>
      </w:r>
      <w:r w:rsidRPr="00185321">
        <w:rPr>
          <w:rFonts w:ascii="Arial" w:hAnsi="Arial" w:cs="Arial"/>
          <w:i/>
          <w:color w:val="000000"/>
          <w:lang w:val="en-ZA" w:eastAsia="en-ZA"/>
        </w:rPr>
        <w:lastRenderedPageBreak/>
        <w:t>material facts relied upon therefor.</w:t>
      </w:r>
      <w:r w:rsidRPr="00970D72">
        <w:rPr>
          <w:rFonts w:ascii="Arial" w:hAnsi="Arial" w:cs="Arial"/>
          <w:i/>
          <w:color w:val="000000"/>
          <w:lang w:val="en-ZA" w:eastAsia="en-ZA"/>
        </w:rPr>
        <w:t>”</w:t>
      </w:r>
    </w:p>
    <w:p w:rsidR="002D137D" w:rsidRDefault="002D137D" w:rsidP="002D137D">
      <w:pPr>
        <w:spacing w:after="240" w:line="480" w:lineRule="auto"/>
        <w:jc w:val="both"/>
        <w:rPr>
          <w:rFonts w:ascii="Arial" w:hAnsi="Arial" w:cs="Arial"/>
          <w:color w:val="000000"/>
          <w:lang w:eastAsia="en-ZA"/>
        </w:rPr>
      </w:pPr>
      <w:r w:rsidRPr="00405BEE">
        <w:rPr>
          <w:rFonts w:ascii="Arial" w:hAnsi="Arial" w:cs="Arial"/>
          <w:color w:val="000000"/>
        </w:rPr>
        <w:t>[7] The Supreme Court of Appeal</w:t>
      </w:r>
      <w:r>
        <w:rPr>
          <w:rFonts w:ascii="Arial" w:hAnsi="Arial" w:cs="Arial"/>
          <w:color w:val="000000"/>
        </w:rPr>
        <w:t xml:space="preserve"> (</w:t>
      </w:r>
      <w:r w:rsidR="000C5460">
        <w:rPr>
          <w:rFonts w:ascii="Arial" w:hAnsi="Arial" w:cs="Arial"/>
          <w:color w:val="000000"/>
        </w:rPr>
        <w:t xml:space="preserve">“the </w:t>
      </w:r>
      <w:r>
        <w:rPr>
          <w:rFonts w:ascii="Arial" w:hAnsi="Arial" w:cs="Arial"/>
          <w:color w:val="000000"/>
        </w:rPr>
        <w:t>SCA</w:t>
      </w:r>
      <w:r w:rsidR="000C5460">
        <w:rPr>
          <w:rFonts w:ascii="Arial" w:hAnsi="Arial" w:cs="Arial"/>
          <w:color w:val="000000"/>
        </w:rPr>
        <w:t>”</w:t>
      </w:r>
      <w:r>
        <w:rPr>
          <w:rFonts w:ascii="Arial" w:hAnsi="Arial" w:cs="Arial"/>
          <w:color w:val="000000"/>
        </w:rPr>
        <w:t>)</w:t>
      </w:r>
      <w:r w:rsidRPr="00405BEE">
        <w:rPr>
          <w:rFonts w:ascii="Arial" w:hAnsi="Arial" w:cs="Arial"/>
          <w:color w:val="000000"/>
        </w:rPr>
        <w:t xml:space="preserve"> in </w:t>
      </w:r>
      <w:r w:rsidRPr="00405BEE">
        <w:rPr>
          <w:rFonts w:ascii="Arial" w:hAnsi="Arial" w:cs="Arial"/>
          <w:i/>
          <w:iCs/>
          <w:color w:val="000000"/>
        </w:rPr>
        <w:t>Joob Joob Investments (Pty) Ltd v Stocks Mavundla Zek Joint Venture,</w:t>
      </w:r>
      <w:r w:rsidRPr="00405BEE">
        <w:rPr>
          <w:rStyle w:val="FootnoteReference"/>
          <w:rFonts w:ascii="Arial" w:hAnsi="Arial" w:cs="Arial"/>
          <w:i/>
          <w:iCs/>
          <w:color w:val="000000"/>
        </w:rPr>
        <w:footnoteReference w:id="3"/>
      </w:r>
      <w:r w:rsidRPr="00405BEE">
        <w:rPr>
          <w:rFonts w:ascii="Arial" w:hAnsi="Arial" w:cs="Arial"/>
          <w:i/>
          <w:iCs/>
          <w:color w:val="000000"/>
        </w:rPr>
        <w:t xml:space="preserve"> </w:t>
      </w:r>
      <w:r w:rsidRPr="00405BEE">
        <w:rPr>
          <w:rFonts w:ascii="Arial" w:hAnsi="Arial" w:cs="Arial"/>
          <w:iCs/>
          <w:color w:val="000000"/>
        </w:rPr>
        <w:t xml:space="preserve">with reference </w:t>
      </w:r>
      <w:r w:rsidRPr="00405BEE">
        <w:rPr>
          <w:rFonts w:ascii="Arial" w:hAnsi="Arial" w:cs="Arial"/>
          <w:i/>
          <w:iCs/>
          <w:color w:val="000000"/>
        </w:rPr>
        <w:t xml:space="preserve">to </w:t>
      </w:r>
      <w:bookmarkStart w:id="6" w:name="0-0-0-7347"/>
      <w:bookmarkEnd w:id="6"/>
      <w:r w:rsidRPr="00405BEE">
        <w:rPr>
          <w:rFonts w:ascii="Arial" w:hAnsi="Arial" w:cs="Arial"/>
          <w:i/>
          <w:iCs/>
          <w:color w:val="000000"/>
        </w:rPr>
        <w:t>Maharaj v Barclays National Bank Ltd</w:t>
      </w:r>
      <w:bookmarkStart w:id="7" w:name="0-0-0-7351"/>
      <w:bookmarkEnd w:id="7"/>
      <w:r w:rsidRPr="00405BEE">
        <w:rPr>
          <w:rFonts w:ascii="Arial" w:hAnsi="Arial" w:cs="Arial"/>
          <w:color w:val="000000"/>
        </w:rPr>
        <w:t>,</w:t>
      </w:r>
      <w:r w:rsidRPr="00405BEE">
        <w:rPr>
          <w:rStyle w:val="FootnoteReference"/>
          <w:rFonts w:ascii="Arial" w:hAnsi="Arial" w:cs="Arial"/>
          <w:color w:val="000000"/>
        </w:rPr>
        <w:footnoteReference w:id="4"/>
      </w:r>
      <w:r w:rsidRPr="00405BEE">
        <w:rPr>
          <w:rFonts w:ascii="Arial" w:hAnsi="Arial" w:cs="Arial"/>
          <w:color w:val="000000"/>
        </w:rPr>
        <w:t xml:space="preserve"> held that this means that there must, firstly, be sufficient disclosure by a defendant of the nature and grounds of his defence and the facts upon which it is founded, and, secondly the defence so disclosed must be both </w:t>
      </w:r>
      <w:r w:rsidRPr="0044335C">
        <w:rPr>
          <w:rFonts w:ascii="Arial" w:hAnsi="Arial" w:cs="Arial"/>
          <w:i/>
          <w:color w:val="000000"/>
        </w:rPr>
        <w:t>bona fide</w:t>
      </w:r>
      <w:r w:rsidRPr="00405BEE">
        <w:rPr>
          <w:rFonts w:ascii="Arial" w:hAnsi="Arial" w:cs="Arial"/>
          <w:color w:val="000000"/>
        </w:rPr>
        <w:t xml:space="preserve"> and good in law. </w:t>
      </w:r>
      <w:r w:rsidRPr="00482EB8">
        <w:rPr>
          <w:rFonts w:ascii="Arial" w:hAnsi="Arial" w:cs="Arial"/>
          <w:color w:val="000000"/>
          <w:lang w:eastAsia="en-ZA"/>
        </w:rPr>
        <w:t>The defendant need not deal exhaustively with the facts and the evidence relied upon to substantiate them, but must at least disclose the defence and the material facts upon which it is based with sufficient particularity and completeness to enable the court to decide whether the affidavit discloses a </w:t>
      </w:r>
      <w:r w:rsidRPr="00482EB8">
        <w:rPr>
          <w:rFonts w:ascii="Arial" w:hAnsi="Arial" w:cs="Arial"/>
          <w:i/>
          <w:iCs/>
          <w:color w:val="000000"/>
          <w:lang w:eastAsia="en-ZA"/>
        </w:rPr>
        <w:t>bona fide</w:t>
      </w:r>
      <w:r w:rsidRPr="00482EB8">
        <w:rPr>
          <w:rFonts w:ascii="Arial" w:hAnsi="Arial" w:cs="Arial"/>
          <w:color w:val="000000"/>
          <w:lang w:eastAsia="en-ZA"/>
        </w:rPr>
        <w:t> defence</w:t>
      </w:r>
      <w:r>
        <w:rPr>
          <w:rFonts w:ascii="Arial" w:hAnsi="Arial" w:cs="Arial"/>
          <w:color w:val="000000"/>
          <w:lang w:eastAsia="en-ZA"/>
        </w:rPr>
        <w:t xml:space="preserve">. </w:t>
      </w:r>
      <w:r>
        <w:rPr>
          <w:rFonts w:ascii="Arial" w:hAnsi="Arial" w:cs="Arial"/>
          <w:color w:val="000000"/>
        </w:rPr>
        <w:t xml:space="preserve">The SCA reiterated that </w:t>
      </w:r>
      <w:r w:rsidRPr="00405BEE">
        <w:rPr>
          <w:rFonts w:ascii="Arial" w:hAnsi="Arial" w:cs="Arial"/>
          <w:color w:val="000000"/>
          <w:lang w:eastAsia="en-ZA"/>
        </w:rPr>
        <w:t>summary judgment proc</w:t>
      </w:r>
      <w:r>
        <w:rPr>
          <w:rFonts w:ascii="Arial" w:hAnsi="Arial" w:cs="Arial"/>
          <w:color w:val="000000"/>
          <w:lang w:eastAsia="en-ZA"/>
        </w:rPr>
        <w:t>edure was not intended to shut a defendant</w:t>
      </w:r>
      <w:r w:rsidRPr="00405BEE">
        <w:rPr>
          <w:rFonts w:ascii="Arial" w:hAnsi="Arial" w:cs="Arial"/>
          <w:color w:val="000000"/>
          <w:lang w:eastAsia="en-ZA"/>
        </w:rPr>
        <w:t xml:space="preserve"> out from defending, unless it was very clear indeed that he had no case in the action. It was intended to prevent sham defences from defeating the rights of parties by delay, and at the same time causing great loss to plaintiffs who were </w:t>
      </w:r>
      <w:r w:rsidR="00DF76EC" w:rsidRPr="00405BEE">
        <w:rPr>
          <w:rFonts w:ascii="Arial" w:hAnsi="Arial" w:cs="Arial"/>
          <w:color w:val="000000"/>
          <w:lang w:eastAsia="en-ZA"/>
        </w:rPr>
        <w:t>endeav</w:t>
      </w:r>
      <w:r w:rsidR="00DF76EC">
        <w:rPr>
          <w:rFonts w:ascii="Arial" w:hAnsi="Arial" w:cs="Arial"/>
          <w:color w:val="000000"/>
          <w:lang w:eastAsia="en-ZA"/>
        </w:rPr>
        <w:t>oring</w:t>
      </w:r>
      <w:r>
        <w:rPr>
          <w:rFonts w:ascii="Arial" w:hAnsi="Arial" w:cs="Arial"/>
          <w:color w:val="000000"/>
          <w:lang w:eastAsia="en-ZA"/>
        </w:rPr>
        <w:t xml:space="preserve"> to enforce their rights.</w:t>
      </w:r>
      <w:r>
        <w:rPr>
          <w:rStyle w:val="FootnoteReference"/>
          <w:rFonts w:ascii="Arial" w:hAnsi="Arial" w:cs="Arial"/>
          <w:color w:val="000000"/>
          <w:lang w:eastAsia="en-ZA"/>
        </w:rPr>
        <w:footnoteReference w:id="5"/>
      </w:r>
      <w:r w:rsidR="002B3321" w:rsidRPr="002B3321">
        <w:rPr>
          <w:rFonts w:ascii="Arial" w:hAnsi="Arial" w:cs="Arial"/>
          <w:color w:val="000000"/>
          <w:lang w:val="en-ZA" w:eastAsia="en-ZA"/>
        </w:rPr>
        <w:t xml:space="preserve"> </w:t>
      </w:r>
      <w:r w:rsidR="002B3321" w:rsidRPr="00185321">
        <w:rPr>
          <w:rFonts w:ascii="Arial" w:hAnsi="Arial" w:cs="Arial"/>
          <w:color w:val="000000"/>
          <w:lang w:val="en-ZA" w:eastAsia="en-ZA"/>
        </w:rPr>
        <w:t>Failure to comply with these provisions will not necessarily mean, however, that summary judgment will follow. In accordance with the</w:t>
      </w:r>
      <w:r w:rsidR="000C5460">
        <w:rPr>
          <w:rFonts w:ascii="Arial" w:hAnsi="Arial" w:cs="Arial"/>
          <w:color w:val="000000"/>
          <w:lang w:val="en-ZA" w:eastAsia="en-ZA"/>
        </w:rPr>
        <w:t xml:space="preserve"> provisions of Rule 32(5), the c</w:t>
      </w:r>
      <w:r w:rsidR="002B3321" w:rsidRPr="00185321">
        <w:rPr>
          <w:rFonts w:ascii="Arial" w:hAnsi="Arial" w:cs="Arial"/>
          <w:color w:val="000000"/>
          <w:lang w:val="en-ZA" w:eastAsia="en-ZA"/>
        </w:rPr>
        <w:t>ourt retains an overriding discretion to refuse summary judgment.</w:t>
      </w:r>
    </w:p>
    <w:p w:rsidR="002D137D" w:rsidRPr="00DF76EC" w:rsidRDefault="002D137D" w:rsidP="00DF76EC">
      <w:pPr>
        <w:spacing w:after="240" w:line="480" w:lineRule="auto"/>
        <w:jc w:val="both"/>
        <w:rPr>
          <w:rFonts w:ascii="Arial" w:hAnsi="Arial" w:cs="Arial"/>
          <w:i/>
          <w:color w:val="000000"/>
          <w:lang w:eastAsia="en-ZA"/>
        </w:rPr>
      </w:pPr>
      <w:r w:rsidRPr="00405BEE">
        <w:rPr>
          <w:rFonts w:ascii="Arial" w:hAnsi="Arial" w:cs="Arial"/>
          <w:lang w:val="en-ZA"/>
        </w:rPr>
        <w:t>[8]</w:t>
      </w:r>
      <w:bookmarkStart w:id="8" w:name="0-0-0-379933"/>
      <w:bookmarkEnd w:id="8"/>
      <w:r>
        <w:rPr>
          <w:rFonts w:ascii="Arial" w:hAnsi="Arial" w:cs="Arial"/>
          <w:color w:val="000000"/>
          <w:lang w:eastAsia="en-ZA"/>
        </w:rPr>
        <w:t xml:space="preserve"> </w:t>
      </w:r>
      <w:r>
        <w:rPr>
          <w:rFonts w:ascii="Arial" w:hAnsi="Arial" w:cs="Arial"/>
        </w:rPr>
        <w:t xml:space="preserve">In </w:t>
      </w:r>
      <w:r w:rsidRPr="00457E07">
        <w:rPr>
          <w:rFonts w:ascii="Arial" w:hAnsi="Arial" w:cs="Arial"/>
          <w:i/>
        </w:rPr>
        <w:t>SA Taxi Securitisation v Mbatha and Two Similar Cases</w:t>
      </w:r>
      <w:r w:rsidR="002163EA">
        <w:rPr>
          <w:rFonts w:ascii="Arial" w:hAnsi="Arial" w:cs="Arial"/>
          <w:i/>
        </w:rPr>
        <w:t>,</w:t>
      </w:r>
      <w:r>
        <w:rPr>
          <w:rStyle w:val="FootnoteReference"/>
          <w:rFonts w:ascii="Arial" w:hAnsi="Arial" w:cs="Arial"/>
        </w:rPr>
        <w:footnoteReference w:id="6"/>
      </w:r>
      <w:r>
        <w:rPr>
          <w:rFonts w:ascii="Arial" w:hAnsi="Arial" w:cs="Arial"/>
        </w:rPr>
        <w:t xml:space="preserve"> </w:t>
      </w:r>
      <w:r w:rsidR="00DF76EC">
        <w:rPr>
          <w:rFonts w:ascii="Arial" w:hAnsi="Arial" w:cs="Arial"/>
        </w:rPr>
        <w:t>the court</w:t>
      </w:r>
      <w:r>
        <w:rPr>
          <w:rFonts w:ascii="Arial" w:hAnsi="Arial" w:cs="Arial"/>
        </w:rPr>
        <w:t xml:space="preserve"> noted that </w:t>
      </w:r>
      <w:r w:rsidRPr="00457E07">
        <w:rPr>
          <w:rFonts w:ascii="Arial" w:hAnsi="Arial" w:cs="Arial"/>
        </w:rPr>
        <w:t xml:space="preserve">since </w:t>
      </w:r>
      <w:r w:rsidRPr="00457E07">
        <w:rPr>
          <w:rFonts w:ascii="Arial" w:hAnsi="Arial" w:cs="Arial"/>
          <w:bCs/>
          <w:iCs/>
          <w:lang w:val="en-ZA"/>
        </w:rPr>
        <w:t>the enactment of the NCA, there seems to be a tendency for defendants</w:t>
      </w:r>
      <w:r w:rsidR="00DF76EC">
        <w:rPr>
          <w:rFonts w:ascii="Arial" w:hAnsi="Arial" w:cs="Arial"/>
          <w:bCs/>
          <w:iCs/>
          <w:lang w:val="en-ZA"/>
        </w:rPr>
        <w:t xml:space="preserve">, </w:t>
      </w:r>
      <w:r w:rsidR="003708C1">
        <w:rPr>
          <w:rFonts w:ascii="Arial" w:hAnsi="Arial" w:cs="Arial"/>
          <w:bCs/>
          <w:iCs/>
          <w:lang w:val="en-ZA"/>
        </w:rPr>
        <w:t xml:space="preserve">when taken to court to enforce </w:t>
      </w:r>
      <w:r w:rsidR="00DF76EC">
        <w:rPr>
          <w:rFonts w:ascii="Arial" w:hAnsi="Arial" w:cs="Arial"/>
          <w:bCs/>
          <w:iCs/>
          <w:lang w:val="en-ZA"/>
        </w:rPr>
        <w:t>credit agreement</w:t>
      </w:r>
      <w:r w:rsidR="002163EA">
        <w:rPr>
          <w:rFonts w:ascii="Arial" w:hAnsi="Arial" w:cs="Arial"/>
          <w:bCs/>
          <w:iCs/>
          <w:lang w:val="en-ZA"/>
        </w:rPr>
        <w:t>s</w:t>
      </w:r>
      <w:r w:rsidR="00DF76EC">
        <w:rPr>
          <w:rFonts w:ascii="Arial" w:hAnsi="Arial" w:cs="Arial"/>
          <w:bCs/>
          <w:iCs/>
          <w:lang w:val="en-ZA"/>
        </w:rPr>
        <w:t>,</w:t>
      </w:r>
      <w:r w:rsidRPr="00457E07">
        <w:rPr>
          <w:rFonts w:ascii="Arial" w:hAnsi="Arial" w:cs="Arial"/>
          <w:bCs/>
          <w:iCs/>
          <w:lang w:val="en-ZA"/>
        </w:rPr>
        <w:t xml:space="preserve"> to make bland allegations that they are 'over-indebted' or that there has been 'reckless credit'</w:t>
      </w:r>
      <w:r w:rsidRPr="00457E07">
        <w:rPr>
          <w:rFonts w:ascii="Arial" w:hAnsi="Arial" w:cs="Arial"/>
          <w:iCs/>
          <w:lang w:val="en-ZA"/>
        </w:rPr>
        <w:t>.</w:t>
      </w:r>
      <w:r w:rsidRPr="0098276E">
        <w:rPr>
          <w:rFonts w:ascii="Arial" w:hAnsi="Arial" w:cs="Arial"/>
          <w:i/>
          <w:iCs/>
          <w:lang w:val="en-ZA"/>
        </w:rPr>
        <w:t xml:space="preserve"> </w:t>
      </w:r>
      <w:r w:rsidRPr="00457E07">
        <w:rPr>
          <w:rFonts w:ascii="Arial" w:hAnsi="Arial" w:cs="Arial"/>
          <w:iCs/>
          <w:lang w:val="en-ZA"/>
        </w:rPr>
        <w:t>Levenberg AJ held</w:t>
      </w:r>
      <w:r w:rsidR="00DF76EC">
        <w:rPr>
          <w:rFonts w:ascii="Arial" w:hAnsi="Arial" w:cs="Arial"/>
          <w:iCs/>
          <w:lang w:val="en-ZA"/>
        </w:rPr>
        <w:t xml:space="preserve"> </w:t>
      </w:r>
      <w:r w:rsidRPr="00457E07">
        <w:rPr>
          <w:rFonts w:ascii="Arial" w:hAnsi="Arial" w:cs="Arial"/>
          <w:iCs/>
          <w:lang w:val="en-ZA"/>
        </w:rPr>
        <w:t>that</w:t>
      </w:r>
      <w:r w:rsidR="00DF76EC">
        <w:rPr>
          <w:rFonts w:ascii="Arial" w:hAnsi="Arial" w:cs="Arial"/>
          <w:iCs/>
          <w:lang w:val="en-ZA"/>
        </w:rPr>
        <w:t xml:space="preserve"> </w:t>
      </w:r>
      <w:r w:rsidR="00DF76EC" w:rsidRPr="00DF76EC">
        <w:rPr>
          <w:rFonts w:ascii="Arial" w:hAnsi="Arial" w:cs="Arial"/>
          <w:i/>
          <w:iCs/>
          <w:lang w:val="en-ZA"/>
        </w:rPr>
        <w:t>“t</w:t>
      </w:r>
      <w:r w:rsidRPr="00DF76EC">
        <w:rPr>
          <w:rFonts w:ascii="Arial" w:hAnsi="Arial" w:cs="Arial"/>
          <w:bCs/>
          <w:i/>
          <w:iCs/>
          <w:lang w:val="en-ZA"/>
        </w:rPr>
        <w:t>hese</w:t>
      </w:r>
      <w:r w:rsidRPr="0098276E">
        <w:rPr>
          <w:rFonts w:ascii="Arial" w:hAnsi="Arial" w:cs="Arial"/>
          <w:bCs/>
          <w:i/>
          <w:iCs/>
          <w:lang w:val="en-ZA"/>
        </w:rPr>
        <w:t xml:space="preserve"> allegations</w:t>
      </w:r>
      <w:r w:rsidRPr="0098276E">
        <w:rPr>
          <w:rFonts w:ascii="Arial" w:hAnsi="Arial" w:cs="Arial"/>
          <w:i/>
          <w:iCs/>
          <w:lang w:val="en-ZA"/>
        </w:rPr>
        <w:t xml:space="preserve">, like any other allegations made in a defendant's affidavit opposing </w:t>
      </w:r>
      <w:r w:rsidRPr="0098276E">
        <w:rPr>
          <w:rFonts w:ascii="Arial" w:hAnsi="Arial" w:cs="Arial"/>
          <w:i/>
          <w:iCs/>
          <w:lang w:val="en-ZA"/>
        </w:rPr>
        <w:lastRenderedPageBreak/>
        <w:t xml:space="preserve">summary judgment, </w:t>
      </w:r>
      <w:r w:rsidRPr="0098276E">
        <w:rPr>
          <w:rFonts w:ascii="Arial" w:hAnsi="Arial" w:cs="Arial"/>
          <w:bCs/>
          <w:i/>
          <w:iCs/>
          <w:lang w:val="en-ZA"/>
        </w:rPr>
        <w:t>should not be 'inherently and seriously unconvincing',</w:t>
      </w:r>
      <w:r w:rsidRPr="0098276E">
        <w:rPr>
          <w:rFonts w:ascii="Arial" w:hAnsi="Arial" w:cs="Arial"/>
          <w:i/>
          <w:iCs/>
          <w:lang w:val="en-ZA"/>
        </w:rPr>
        <w:t xml:space="preserve"> </w:t>
      </w:r>
      <w:bookmarkStart w:id="9" w:name="_Hlk99987610"/>
      <w:r w:rsidRPr="0098276E">
        <w:rPr>
          <w:rFonts w:ascii="Arial" w:hAnsi="Arial" w:cs="Arial"/>
          <w:bCs/>
          <w:i/>
          <w:iCs/>
          <w:lang w:val="en-ZA"/>
        </w:rPr>
        <w:t>should contain a reasonable amount of verificatory detail</w:t>
      </w:r>
      <w:bookmarkEnd w:id="9"/>
      <w:r w:rsidRPr="0098276E">
        <w:rPr>
          <w:rFonts w:ascii="Arial" w:hAnsi="Arial" w:cs="Arial"/>
          <w:bCs/>
          <w:i/>
          <w:iCs/>
          <w:lang w:val="en-ZA"/>
        </w:rPr>
        <w:t>, and should not be 'needlessly bald, vague or sketchy'</w:t>
      </w:r>
      <w:r w:rsidRPr="0098276E">
        <w:rPr>
          <w:rFonts w:ascii="Arial" w:hAnsi="Arial" w:cs="Arial"/>
          <w:i/>
          <w:iCs/>
          <w:lang w:val="en-ZA"/>
        </w:rPr>
        <w:t xml:space="preserve">. </w:t>
      </w:r>
      <w:r w:rsidRPr="0098276E">
        <w:rPr>
          <w:rFonts w:ascii="Arial" w:hAnsi="Arial" w:cs="Arial"/>
          <w:bCs/>
          <w:i/>
          <w:iCs/>
          <w:lang w:val="en-ZA"/>
        </w:rPr>
        <w:t>A bald allegation that there was 'reckless credit' or there is 'over-indebtedness' will not suffice</w:t>
      </w:r>
      <w:r w:rsidRPr="0010488B">
        <w:rPr>
          <w:rFonts w:ascii="Arial" w:hAnsi="Arial" w:cs="Arial"/>
          <w:b/>
          <w:bCs/>
          <w:i/>
          <w:iCs/>
          <w:lang w:val="en-ZA"/>
        </w:rPr>
        <w:t>.</w:t>
      </w:r>
      <w:r w:rsidRPr="0010488B">
        <w:rPr>
          <w:rFonts w:ascii="Arial" w:hAnsi="Arial" w:cs="Arial"/>
          <w:b/>
          <w:bCs/>
          <w:lang w:val="en-ZA"/>
        </w:rPr>
        <w:t xml:space="preserve"> </w:t>
      </w:r>
      <w:r>
        <w:rPr>
          <w:rStyle w:val="FootnoteReference"/>
          <w:rFonts w:ascii="Arial" w:hAnsi="Arial" w:cs="Arial"/>
          <w:b/>
          <w:bCs/>
          <w:lang w:val="en-ZA"/>
        </w:rPr>
        <w:footnoteReference w:id="7"/>
      </w:r>
      <w:r w:rsidRPr="0010488B">
        <w:rPr>
          <w:rFonts w:ascii="Arial" w:hAnsi="Arial" w:cs="Arial"/>
          <w:b/>
          <w:bCs/>
          <w:lang w:val="en-ZA"/>
        </w:rPr>
        <w:t xml:space="preserve">                    </w:t>
      </w:r>
      <w:r w:rsidRPr="0010488B">
        <w:rPr>
          <w:rFonts w:ascii="Arial" w:hAnsi="Arial" w:cs="Arial"/>
          <w:lang w:val="en-ZA"/>
        </w:rPr>
        <w:t xml:space="preserve"> </w:t>
      </w:r>
    </w:p>
    <w:p w:rsidR="002D137D" w:rsidRPr="001E4D6A" w:rsidRDefault="00DF76EC" w:rsidP="002D137D">
      <w:pPr>
        <w:pStyle w:val="ListParagraph"/>
        <w:spacing w:before="100" w:beforeAutospacing="1" w:after="100" w:afterAutospacing="1" w:line="480" w:lineRule="auto"/>
        <w:ind w:left="0"/>
        <w:contextualSpacing/>
        <w:jc w:val="both"/>
        <w:rPr>
          <w:rFonts w:ascii="Arial" w:hAnsi="Arial" w:cs="Arial"/>
          <w:bCs/>
          <w:i/>
          <w:color w:val="000000"/>
          <w:sz w:val="24"/>
          <w:szCs w:val="24"/>
        </w:rPr>
      </w:pPr>
      <w:r>
        <w:rPr>
          <w:rFonts w:ascii="Arial" w:hAnsi="Arial" w:cs="Arial"/>
          <w:sz w:val="24"/>
          <w:szCs w:val="24"/>
        </w:rPr>
        <w:t>[9</w:t>
      </w:r>
      <w:r w:rsidR="002D137D" w:rsidRPr="001E4D6A">
        <w:rPr>
          <w:rFonts w:ascii="Arial" w:hAnsi="Arial" w:cs="Arial"/>
          <w:sz w:val="24"/>
          <w:szCs w:val="24"/>
        </w:rPr>
        <w:t xml:space="preserve">] In </w:t>
      </w:r>
      <w:r w:rsidR="002D137D" w:rsidRPr="001E4D6A">
        <w:rPr>
          <w:rFonts w:ascii="Arial" w:hAnsi="Arial" w:cs="Arial"/>
          <w:bCs/>
          <w:i/>
          <w:color w:val="000000"/>
          <w:sz w:val="24"/>
          <w:szCs w:val="24"/>
        </w:rPr>
        <w:t>Collett v Firstrand Bank Ltd</w:t>
      </w:r>
      <w:r w:rsidR="002D137D">
        <w:rPr>
          <w:rFonts w:ascii="Arial" w:hAnsi="Arial" w:cs="Arial"/>
          <w:bCs/>
          <w:i/>
          <w:color w:val="000000"/>
          <w:sz w:val="24"/>
          <w:szCs w:val="24"/>
        </w:rPr>
        <w:t>,</w:t>
      </w:r>
      <w:r w:rsidR="002D137D" w:rsidRPr="001E4D6A">
        <w:rPr>
          <w:rStyle w:val="FootnoteReference"/>
          <w:rFonts w:ascii="Arial" w:hAnsi="Arial" w:cs="Arial"/>
          <w:bCs/>
          <w:color w:val="000000"/>
          <w:sz w:val="24"/>
          <w:szCs w:val="24"/>
        </w:rPr>
        <w:footnoteReference w:id="8"/>
      </w:r>
      <w:r w:rsidR="002D137D">
        <w:rPr>
          <w:rFonts w:ascii="Arial" w:hAnsi="Arial" w:cs="Arial"/>
          <w:bCs/>
          <w:i/>
          <w:color w:val="000000"/>
          <w:sz w:val="24"/>
          <w:szCs w:val="24"/>
        </w:rPr>
        <w:t xml:space="preserve"> </w:t>
      </w:r>
      <w:r w:rsidR="002D137D" w:rsidRPr="001E4D6A">
        <w:rPr>
          <w:rFonts w:ascii="Arial" w:hAnsi="Arial" w:cs="Arial"/>
          <w:bCs/>
          <w:color w:val="000000"/>
          <w:sz w:val="24"/>
          <w:szCs w:val="24"/>
        </w:rPr>
        <w:t>the SCA found that o</w:t>
      </w:r>
      <w:r w:rsidR="002D137D" w:rsidRPr="001E4D6A">
        <w:rPr>
          <w:rFonts w:ascii="Arial" w:hAnsi="Arial" w:cs="Arial"/>
          <w:color w:val="000000"/>
          <w:sz w:val="24"/>
          <w:szCs w:val="24"/>
          <w:lang w:eastAsia="en-ZA"/>
        </w:rPr>
        <w:t>ver</w:t>
      </w:r>
      <w:r w:rsidR="000977FC">
        <w:rPr>
          <w:rFonts w:ascii="Arial" w:hAnsi="Arial" w:cs="Arial"/>
          <w:color w:val="000000"/>
          <w:sz w:val="24"/>
          <w:szCs w:val="24"/>
          <w:lang w:eastAsia="en-ZA"/>
        </w:rPr>
        <w:t>-</w:t>
      </w:r>
      <w:r w:rsidR="002D137D" w:rsidRPr="001E4D6A">
        <w:rPr>
          <w:rFonts w:ascii="Arial" w:hAnsi="Arial" w:cs="Arial"/>
          <w:color w:val="000000"/>
          <w:sz w:val="24"/>
          <w:szCs w:val="24"/>
          <w:lang w:eastAsia="en-ZA"/>
        </w:rPr>
        <w:t xml:space="preserve">indebtedness is not a defence on the merits, but because of summary judgment’s </w:t>
      </w:r>
      <w:bookmarkStart w:id="10" w:name="0-0-0-214579"/>
      <w:bookmarkEnd w:id="10"/>
      <w:r w:rsidR="002D137D" w:rsidRPr="001E4D6A">
        <w:rPr>
          <w:rFonts w:ascii="Arial" w:hAnsi="Arial" w:cs="Arial"/>
          <w:color w:val="000000"/>
          <w:sz w:val="24"/>
          <w:szCs w:val="24"/>
          <w:lang w:eastAsia="en-ZA"/>
        </w:rPr>
        <w:t xml:space="preserve">extraordinary and stringent nature, these issues may be raised, </w:t>
      </w:r>
      <w:r w:rsidR="00DE1A35">
        <w:rPr>
          <w:rFonts w:ascii="Arial" w:hAnsi="Arial" w:cs="Arial"/>
          <w:color w:val="000000"/>
          <w:sz w:val="24"/>
          <w:szCs w:val="24"/>
          <w:lang w:eastAsia="en-ZA"/>
        </w:rPr>
        <w:t>“</w:t>
      </w:r>
      <w:r w:rsidR="002D137D" w:rsidRPr="001E4D6A">
        <w:rPr>
          <w:rFonts w:ascii="Arial" w:hAnsi="Arial" w:cs="Arial"/>
          <w:i/>
          <w:color w:val="000000"/>
          <w:sz w:val="24"/>
          <w:szCs w:val="24"/>
          <w:lang w:eastAsia="en-ZA"/>
        </w:rPr>
        <w:t>not as a defence to the claim, but as a request to the court not to grant summary judgment in the exercise of its overriding</w:t>
      </w:r>
      <w:bookmarkStart w:id="11" w:name="0-0-0-214587"/>
      <w:bookmarkEnd w:id="11"/>
      <w:r w:rsidR="002D137D" w:rsidRPr="001E4D6A">
        <w:rPr>
          <w:rFonts w:ascii="Arial" w:hAnsi="Arial" w:cs="Arial"/>
          <w:bCs/>
          <w:i/>
          <w:color w:val="000000"/>
          <w:sz w:val="24"/>
          <w:szCs w:val="24"/>
        </w:rPr>
        <w:t xml:space="preserve"> </w:t>
      </w:r>
      <w:r w:rsidR="002D137D" w:rsidRPr="001E4D6A">
        <w:rPr>
          <w:rFonts w:ascii="Arial" w:hAnsi="Arial" w:cs="Arial"/>
          <w:color w:val="000000"/>
          <w:sz w:val="24"/>
          <w:szCs w:val="24"/>
          <w:lang w:eastAsia="en-ZA"/>
        </w:rPr>
        <w:t>discretion.” The court, however, emphasized that sufficient information (in</w:t>
      </w:r>
      <w:r w:rsidR="00DE1A35">
        <w:rPr>
          <w:rFonts w:ascii="Arial" w:hAnsi="Arial" w:cs="Arial"/>
          <w:color w:val="000000"/>
          <w:sz w:val="24"/>
          <w:szCs w:val="24"/>
          <w:lang w:eastAsia="en-ZA"/>
        </w:rPr>
        <w:t xml:space="preserve"> that</w:t>
      </w:r>
      <w:r w:rsidR="002D137D" w:rsidRPr="001E4D6A">
        <w:rPr>
          <w:rFonts w:ascii="Arial" w:hAnsi="Arial" w:cs="Arial"/>
          <w:color w:val="000000"/>
          <w:sz w:val="24"/>
          <w:szCs w:val="24"/>
          <w:lang w:eastAsia="en-ZA"/>
        </w:rPr>
        <w:t xml:space="preserve"> instance the facts in support of a request for a resumption of the debt review) must be placed before the court.</w:t>
      </w:r>
    </w:p>
    <w:p w:rsidR="00DF76EC" w:rsidRPr="00482EB8" w:rsidRDefault="00DF76EC" w:rsidP="00DF76EC">
      <w:pPr>
        <w:spacing w:after="240" w:line="480" w:lineRule="auto"/>
        <w:jc w:val="both"/>
        <w:rPr>
          <w:rFonts w:ascii="Arial" w:hAnsi="Arial" w:cs="Arial"/>
          <w:color w:val="000000"/>
          <w:lang w:eastAsia="en-ZA"/>
        </w:rPr>
      </w:pPr>
      <w:r>
        <w:rPr>
          <w:rFonts w:ascii="Arial" w:hAnsi="Arial" w:cs="Arial"/>
          <w:lang w:val="en-ZA"/>
        </w:rPr>
        <w:t>[10</w:t>
      </w:r>
      <w:r w:rsidR="002D137D">
        <w:rPr>
          <w:rFonts w:ascii="Arial" w:hAnsi="Arial" w:cs="Arial"/>
          <w:lang w:val="en-ZA"/>
        </w:rPr>
        <w:t xml:space="preserve">] </w:t>
      </w:r>
      <w:r>
        <w:rPr>
          <w:rFonts w:ascii="Arial" w:hAnsi="Arial" w:cs="Arial"/>
          <w:color w:val="000000"/>
          <w:lang w:eastAsia="en-ZA"/>
        </w:rPr>
        <w:t>I</w:t>
      </w:r>
      <w:r w:rsidRPr="00482EB8">
        <w:rPr>
          <w:rFonts w:ascii="Arial" w:hAnsi="Arial" w:cs="Arial"/>
          <w:color w:val="000000"/>
          <w:lang w:eastAsia="en-ZA"/>
        </w:rPr>
        <w:t>n </w:t>
      </w:r>
      <w:r w:rsidRPr="00482EB8">
        <w:rPr>
          <w:rFonts w:ascii="Arial" w:hAnsi="Arial" w:cs="Arial"/>
          <w:i/>
          <w:iCs/>
          <w:color w:val="000000"/>
          <w:lang w:eastAsia="en-ZA"/>
        </w:rPr>
        <w:t>Standard Bank of South Africa Ltd v Kelly</w:t>
      </w:r>
      <w:bookmarkStart w:id="12" w:name="0-0-0-379937"/>
      <w:bookmarkEnd w:id="12"/>
      <w:r>
        <w:rPr>
          <w:rFonts w:ascii="Arial" w:hAnsi="Arial" w:cs="Arial"/>
          <w:i/>
          <w:iCs/>
          <w:color w:val="000000"/>
          <w:lang w:eastAsia="en-ZA"/>
        </w:rPr>
        <w:t>,</w:t>
      </w:r>
      <w:r>
        <w:rPr>
          <w:rStyle w:val="FootnoteReference"/>
          <w:rFonts w:ascii="Arial" w:hAnsi="Arial" w:cs="Arial"/>
          <w:i/>
          <w:iCs/>
          <w:color w:val="000000"/>
          <w:lang w:eastAsia="en-ZA"/>
        </w:rPr>
        <w:footnoteReference w:id="9"/>
      </w:r>
      <w:r w:rsidRPr="00482EB8">
        <w:rPr>
          <w:rFonts w:ascii="Arial" w:hAnsi="Arial" w:cs="Arial"/>
          <w:color w:val="000000"/>
          <w:lang w:eastAsia="en-ZA"/>
        </w:rPr>
        <w:t> Binns-Ward J formulated the inquiry in relation to reckless credit as follows:</w:t>
      </w:r>
    </w:p>
    <w:p w:rsidR="00DF76EC" w:rsidRPr="00482EB8" w:rsidRDefault="00DF76EC" w:rsidP="00DF76EC">
      <w:pPr>
        <w:spacing w:after="240" w:line="480" w:lineRule="auto"/>
        <w:ind w:left="717"/>
        <w:jc w:val="both"/>
        <w:rPr>
          <w:rFonts w:ascii="Arial" w:hAnsi="Arial" w:cs="Arial"/>
          <w:i/>
          <w:color w:val="000000"/>
          <w:lang w:eastAsia="en-ZA"/>
        </w:rPr>
      </w:pPr>
      <w:r w:rsidRPr="00482EB8">
        <w:rPr>
          <w:rFonts w:ascii="Arial" w:hAnsi="Arial" w:cs="Arial"/>
          <w:i/>
          <w:color w:val="000000"/>
          <w:lang w:eastAsia="en-ZA"/>
        </w:rPr>
        <w:t>"In the context of opposing an application for summary judgment on the grounds that an adequate risk assessment did not precede the conclusion of the credit agreement, and that a consequent entitlement has arisen to a declaration that the credit agreement was reckless and an attendant order in terms of section 83(2) of the Act, the defendant is therefore required to set out the pertinent facts in support of his/her opposition in the manner required by Uniform Rule 32(3)''.</w:t>
      </w:r>
    </w:p>
    <w:p w:rsidR="002D137D" w:rsidRPr="00CD75C3" w:rsidRDefault="00DF76EC" w:rsidP="00DE1A35">
      <w:pPr>
        <w:pStyle w:val="ListParagraph"/>
        <w:spacing w:before="100" w:beforeAutospacing="1" w:after="240" w:line="480" w:lineRule="auto"/>
        <w:ind w:left="0"/>
        <w:contextualSpacing/>
        <w:jc w:val="both"/>
        <w:rPr>
          <w:rFonts w:ascii="Arial" w:hAnsi="Arial" w:cs="Arial"/>
          <w:sz w:val="24"/>
          <w:szCs w:val="24"/>
        </w:rPr>
      </w:pPr>
      <w:r>
        <w:rPr>
          <w:rFonts w:ascii="Arial" w:hAnsi="Arial" w:cs="Arial"/>
          <w:sz w:val="24"/>
          <w:szCs w:val="24"/>
          <w:lang w:val="en-ZA"/>
        </w:rPr>
        <w:t xml:space="preserve">[11] </w:t>
      </w:r>
      <w:r w:rsidR="002D137D">
        <w:rPr>
          <w:rFonts w:ascii="Arial" w:hAnsi="Arial" w:cs="Arial"/>
          <w:sz w:val="24"/>
          <w:szCs w:val="24"/>
        </w:rPr>
        <w:t>It is w</w:t>
      </w:r>
      <w:r w:rsidR="002D137D" w:rsidRPr="0010488B">
        <w:rPr>
          <w:rFonts w:ascii="Arial" w:hAnsi="Arial" w:cs="Arial"/>
          <w:sz w:val="24"/>
          <w:szCs w:val="24"/>
        </w:rPr>
        <w:t xml:space="preserve">ith these principles in mind </w:t>
      </w:r>
      <w:r w:rsidR="002D137D">
        <w:rPr>
          <w:rFonts w:ascii="Arial" w:hAnsi="Arial" w:cs="Arial"/>
          <w:sz w:val="24"/>
          <w:szCs w:val="24"/>
        </w:rPr>
        <w:t>that</w:t>
      </w:r>
      <w:r w:rsidR="002D137D" w:rsidRPr="0010488B">
        <w:rPr>
          <w:rFonts w:ascii="Arial" w:hAnsi="Arial" w:cs="Arial"/>
          <w:sz w:val="24"/>
          <w:szCs w:val="24"/>
        </w:rPr>
        <w:t xml:space="preserve"> this court</w:t>
      </w:r>
      <w:r w:rsidR="002D137D">
        <w:rPr>
          <w:rFonts w:ascii="Arial" w:hAnsi="Arial" w:cs="Arial"/>
          <w:sz w:val="24"/>
          <w:szCs w:val="24"/>
        </w:rPr>
        <w:t xml:space="preserve"> has </w:t>
      </w:r>
      <w:r w:rsidR="002D137D" w:rsidRPr="0010488B">
        <w:rPr>
          <w:rFonts w:ascii="Arial" w:hAnsi="Arial" w:cs="Arial"/>
          <w:sz w:val="24"/>
          <w:szCs w:val="24"/>
        </w:rPr>
        <w:t>to examine Mr Phiri’s affidavit and establi</w:t>
      </w:r>
      <w:r w:rsidR="002D137D">
        <w:rPr>
          <w:rFonts w:ascii="Arial" w:hAnsi="Arial" w:cs="Arial"/>
          <w:sz w:val="24"/>
          <w:szCs w:val="24"/>
        </w:rPr>
        <w:t>sh whether it has complied with the sub</w:t>
      </w:r>
      <w:r w:rsidR="0088126F">
        <w:rPr>
          <w:rFonts w:ascii="Arial" w:hAnsi="Arial" w:cs="Arial"/>
          <w:sz w:val="24"/>
          <w:szCs w:val="24"/>
        </w:rPr>
        <w:t>-</w:t>
      </w:r>
      <w:r w:rsidR="002D137D">
        <w:rPr>
          <w:rFonts w:ascii="Arial" w:hAnsi="Arial" w:cs="Arial"/>
          <w:sz w:val="24"/>
          <w:szCs w:val="24"/>
        </w:rPr>
        <w:t xml:space="preserve">rule. </w:t>
      </w:r>
    </w:p>
    <w:p w:rsidR="002D137D" w:rsidRPr="000E16EB" w:rsidRDefault="002D137D" w:rsidP="002D137D">
      <w:pPr>
        <w:spacing w:line="480" w:lineRule="auto"/>
        <w:jc w:val="both"/>
        <w:rPr>
          <w:rFonts w:ascii="Arial" w:hAnsi="Arial" w:cs="Arial"/>
          <w:b/>
          <w:i/>
          <w:lang w:val="en-ZA"/>
        </w:rPr>
      </w:pPr>
      <w:r w:rsidRPr="000E16EB">
        <w:rPr>
          <w:rFonts w:ascii="Arial" w:hAnsi="Arial" w:cs="Arial"/>
          <w:b/>
          <w:i/>
          <w:lang w:val="en-ZA"/>
        </w:rPr>
        <w:lastRenderedPageBreak/>
        <w:t>Were the grounds of the defence of reckless</w:t>
      </w:r>
      <w:r w:rsidR="0088126F">
        <w:rPr>
          <w:rFonts w:ascii="Arial" w:hAnsi="Arial" w:cs="Arial"/>
          <w:b/>
          <w:i/>
          <w:lang w:val="en-ZA"/>
        </w:rPr>
        <w:t xml:space="preserve"> credit</w:t>
      </w:r>
      <w:r w:rsidRPr="000E16EB">
        <w:rPr>
          <w:rFonts w:ascii="Arial" w:hAnsi="Arial" w:cs="Arial"/>
          <w:b/>
          <w:i/>
          <w:lang w:val="en-ZA"/>
        </w:rPr>
        <w:t xml:space="preserve"> set out sufficiently</w:t>
      </w:r>
      <w:r>
        <w:rPr>
          <w:rFonts w:ascii="Arial" w:hAnsi="Arial" w:cs="Arial"/>
          <w:b/>
          <w:i/>
          <w:lang w:val="en-ZA"/>
        </w:rPr>
        <w:t>?</w:t>
      </w:r>
    </w:p>
    <w:p w:rsidR="002D137D" w:rsidRPr="0010488B" w:rsidRDefault="00CD75C3" w:rsidP="002D137D">
      <w:pPr>
        <w:spacing w:line="480" w:lineRule="auto"/>
        <w:jc w:val="both"/>
        <w:rPr>
          <w:rFonts w:ascii="Arial" w:hAnsi="Arial" w:cs="Arial"/>
          <w:bCs/>
          <w:color w:val="000000"/>
        </w:rPr>
      </w:pPr>
      <w:r>
        <w:rPr>
          <w:rFonts w:ascii="Arial" w:hAnsi="Arial" w:cs="Arial"/>
          <w:lang w:val="en-ZA"/>
        </w:rPr>
        <w:t>[12</w:t>
      </w:r>
      <w:r w:rsidR="002D137D">
        <w:rPr>
          <w:rFonts w:ascii="Arial" w:hAnsi="Arial" w:cs="Arial"/>
          <w:lang w:val="en-ZA"/>
        </w:rPr>
        <w:t xml:space="preserve">] </w:t>
      </w:r>
      <w:r w:rsidR="002D137D">
        <w:rPr>
          <w:rFonts w:ascii="Arial" w:hAnsi="Arial" w:cs="Arial"/>
        </w:rPr>
        <w:t>Section 80</w:t>
      </w:r>
      <w:r w:rsidR="002163EA">
        <w:rPr>
          <w:rFonts w:ascii="Arial" w:hAnsi="Arial" w:cs="Arial"/>
        </w:rPr>
        <w:t xml:space="preserve"> of the NCA</w:t>
      </w:r>
      <w:r w:rsidR="002D137D">
        <w:rPr>
          <w:rFonts w:ascii="Arial" w:hAnsi="Arial" w:cs="Arial"/>
        </w:rPr>
        <w:t>, dealing with reckless credit,</w:t>
      </w:r>
      <w:r w:rsidR="002D137D" w:rsidRPr="0010488B">
        <w:rPr>
          <w:rFonts w:ascii="Arial" w:hAnsi="Arial" w:cs="Arial"/>
        </w:rPr>
        <w:t xml:space="preserve"> reads as </w:t>
      </w:r>
      <w:r w:rsidR="002D137D" w:rsidRPr="0010488B">
        <w:rPr>
          <w:rFonts w:ascii="Arial" w:hAnsi="Arial" w:cs="Arial"/>
          <w:bCs/>
          <w:color w:val="000000"/>
        </w:rPr>
        <w:t>follows:</w:t>
      </w:r>
    </w:p>
    <w:p w:rsidR="002D137D" w:rsidRPr="0010488B" w:rsidRDefault="002D137D" w:rsidP="002D137D">
      <w:pPr>
        <w:spacing w:line="480" w:lineRule="auto"/>
        <w:ind w:left="284"/>
        <w:jc w:val="both"/>
        <w:rPr>
          <w:rFonts w:ascii="Arial" w:hAnsi="Arial" w:cs="Arial"/>
          <w:i/>
          <w:color w:val="000000"/>
        </w:rPr>
      </w:pPr>
      <w:bookmarkStart w:id="13" w:name="0-0-0-77015"/>
      <w:bookmarkEnd w:id="13"/>
      <w:r w:rsidRPr="0010488B">
        <w:rPr>
          <w:rFonts w:ascii="Arial" w:hAnsi="Arial" w:cs="Arial"/>
          <w:i/>
          <w:color w:val="000000"/>
        </w:rPr>
        <w:t xml:space="preserve">“(1) A credit agreement is reckless if, at the time that the agreement was made, </w:t>
      </w:r>
      <w:r w:rsidR="0088126F">
        <w:rPr>
          <w:rFonts w:ascii="Arial" w:hAnsi="Arial" w:cs="Arial"/>
          <w:i/>
          <w:color w:val="000000"/>
        </w:rPr>
        <w:t xml:space="preserve">  </w:t>
      </w:r>
      <w:r>
        <w:rPr>
          <w:rFonts w:ascii="Arial" w:hAnsi="Arial" w:cs="Arial"/>
          <w:i/>
          <w:color w:val="000000"/>
        </w:rPr>
        <w:t>……</w:t>
      </w:r>
    </w:p>
    <w:p w:rsidR="002D137D" w:rsidRPr="00F51E06" w:rsidRDefault="00FC7AD8" w:rsidP="002D137D">
      <w:pPr>
        <w:spacing w:line="480" w:lineRule="auto"/>
        <w:ind w:left="720" w:firstLine="3"/>
        <w:jc w:val="both"/>
        <w:rPr>
          <w:rFonts w:ascii="Arial" w:hAnsi="Arial" w:cs="Arial"/>
          <w:i/>
          <w:color w:val="000000"/>
        </w:rPr>
      </w:pPr>
      <w:hyperlink r:id="rId10" w:tgtFrame="main" w:history="1">
        <w:r w:rsidR="002D137D" w:rsidRPr="00CF3A53">
          <w:rPr>
            <w:rStyle w:val="Hyperlink"/>
            <w:rFonts w:ascii="Arial" w:hAnsi="Arial" w:cs="Arial"/>
            <w:i/>
            <w:iCs/>
            <w:color w:val="auto"/>
            <w:u w:val="none"/>
          </w:rPr>
          <w:t>(a)</w:t>
        </w:r>
      </w:hyperlink>
      <w:r w:rsidR="002D137D" w:rsidRPr="00CF3A53">
        <w:rPr>
          <w:rFonts w:ascii="Arial" w:hAnsi="Arial" w:cs="Arial"/>
          <w:i/>
        </w:rPr>
        <w:t> </w:t>
      </w:r>
      <w:r w:rsidR="002D137D" w:rsidRPr="00CF3A53">
        <w:rPr>
          <w:rFonts w:ascii="Arial" w:hAnsi="Arial" w:cs="Arial"/>
          <w:i/>
          <w:color w:val="000000"/>
        </w:rPr>
        <w:t>  the credit provider failed to conduct an assessment as required by section</w:t>
      </w:r>
      <w:r w:rsidR="002D137D">
        <w:rPr>
          <w:rFonts w:ascii="Arial" w:hAnsi="Arial" w:cs="Arial"/>
          <w:i/>
          <w:color w:val="000000"/>
        </w:rPr>
        <w:t xml:space="preserve"> 81</w:t>
      </w:r>
      <w:r w:rsidR="002D137D" w:rsidRPr="00F51E06">
        <w:rPr>
          <w:rFonts w:ascii="Arial" w:hAnsi="Arial" w:cs="Arial"/>
          <w:i/>
          <w:color w:val="000000"/>
        </w:rPr>
        <w:t>(2), irrespective of what the outcome of such an assessment might have concluded at the time; or…</w:t>
      </w:r>
    </w:p>
    <w:p w:rsidR="002D137D" w:rsidRPr="00377A99" w:rsidRDefault="002D137D" w:rsidP="002D137D">
      <w:pPr>
        <w:spacing w:line="480" w:lineRule="auto"/>
        <w:ind w:left="720"/>
        <w:rPr>
          <w:rFonts w:ascii="Arial" w:hAnsi="Arial" w:cs="Arial"/>
          <w:i/>
          <w:color w:val="000000"/>
          <w:lang w:val="en-ZA" w:eastAsia="en-ZA"/>
        </w:rPr>
      </w:pPr>
      <w:r w:rsidRPr="00377A99">
        <w:rPr>
          <w:rFonts w:ascii="Arial" w:hAnsi="Arial" w:cs="Arial"/>
          <w:i/>
          <w:iCs/>
          <w:color w:val="000000"/>
          <w:lang w:val="en-ZA" w:eastAsia="en-ZA"/>
        </w:rPr>
        <w:t>(b)</w:t>
      </w:r>
      <w:r w:rsidRPr="00377A99">
        <w:rPr>
          <w:rFonts w:ascii="Arial" w:hAnsi="Arial" w:cs="Arial"/>
          <w:i/>
          <w:color w:val="000000"/>
          <w:lang w:val="en-ZA" w:eastAsia="en-ZA"/>
        </w:rPr>
        <w:t> the credit provider, having conducted an asses</w:t>
      </w:r>
      <w:r>
        <w:rPr>
          <w:rFonts w:ascii="Arial" w:hAnsi="Arial" w:cs="Arial"/>
          <w:i/>
          <w:color w:val="000000"/>
          <w:lang w:val="en-ZA" w:eastAsia="en-ZA"/>
        </w:rPr>
        <w:t>sment as required by section 81</w:t>
      </w:r>
      <w:r w:rsidRPr="00377A99">
        <w:rPr>
          <w:rFonts w:ascii="Arial" w:hAnsi="Arial" w:cs="Arial"/>
          <w:i/>
          <w:color w:val="000000"/>
          <w:lang w:val="en-ZA" w:eastAsia="en-ZA"/>
        </w:rPr>
        <w:t>(2), entered into the credit agreement with the consumer despite the fact that the preponderance of information available to the credit provider indicated that-</w:t>
      </w:r>
    </w:p>
    <w:p w:rsidR="002D137D" w:rsidRPr="00377A99" w:rsidRDefault="002D137D" w:rsidP="002D137D">
      <w:pPr>
        <w:spacing w:line="480" w:lineRule="auto"/>
        <w:ind w:left="1440" w:firstLine="3"/>
        <w:rPr>
          <w:rFonts w:ascii="Arial" w:hAnsi="Arial" w:cs="Arial"/>
          <w:i/>
          <w:color w:val="000000"/>
          <w:lang w:val="en-ZA" w:eastAsia="en-ZA"/>
        </w:rPr>
      </w:pPr>
      <w:r w:rsidRPr="00377A99">
        <w:rPr>
          <w:rFonts w:ascii="Arial" w:hAnsi="Arial" w:cs="Arial"/>
          <w:i/>
          <w:color w:val="000000"/>
          <w:lang w:val="en-ZA" w:eastAsia="en-ZA"/>
        </w:rPr>
        <w:t>(i) the consumer did not generally understand or appreciate the consumer's risks, costs or obligations under the proposed credit agreement; or</w:t>
      </w:r>
    </w:p>
    <w:p w:rsidR="002D137D" w:rsidRPr="0098276E" w:rsidRDefault="002D137D" w:rsidP="002D137D">
      <w:pPr>
        <w:spacing w:line="480" w:lineRule="auto"/>
        <w:ind w:left="1440" w:firstLine="3"/>
        <w:rPr>
          <w:rFonts w:ascii="Arial" w:hAnsi="Arial" w:cs="Arial"/>
          <w:i/>
          <w:color w:val="000000"/>
          <w:lang w:val="en-ZA" w:eastAsia="en-ZA"/>
        </w:rPr>
      </w:pPr>
      <w:r w:rsidRPr="00377A99">
        <w:rPr>
          <w:rFonts w:ascii="Arial" w:hAnsi="Arial" w:cs="Arial"/>
          <w:i/>
          <w:color w:val="000000"/>
          <w:lang w:val="en-ZA" w:eastAsia="en-ZA"/>
        </w:rPr>
        <w:t>(ii) entering into that credit agreement would make the consumer over-indebted."</w:t>
      </w:r>
    </w:p>
    <w:p w:rsidR="002D137D" w:rsidRPr="0010488B" w:rsidRDefault="002D137D" w:rsidP="002D137D">
      <w:pPr>
        <w:rPr>
          <w:rFonts w:ascii="Arial" w:hAnsi="Arial" w:cs="Arial"/>
        </w:rPr>
      </w:pPr>
    </w:p>
    <w:p w:rsidR="0011441A" w:rsidRDefault="00CD75C3" w:rsidP="002D137D">
      <w:pPr>
        <w:spacing w:line="480" w:lineRule="auto"/>
        <w:jc w:val="both"/>
        <w:rPr>
          <w:rFonts w:ascii="Arial" w:hAnsi="Arial" w:cs="Arial"/>
          <w:color w:val="000000"/>
          <w:lang w:eastAsia="en-ZA"/>
        </w:rPr>
      </w:pPr>
      <w:bookmarkStart w:id="14" w:name="0-0-0-77003"/>
      <w:bookmarkEnd w:id="14"/>
      <w:r>
        <w:rPr>
          <w:rFonts w:ascii="Arial" w:hAnsi="Arial" w:cs="Arial"/>
        </w:rPr>
        <w:t>[13</w:t>
      </w:r>
      <w:r w:rsidR="002D137D" w:rsidRPr="00015DB7">
        <w:rPr>
          <w:rFonts w:ascii="Arial" w:hAnsi="Arial" w:cs="Arial"/>
        </w:rPr>
        <w:t>] In its particulars of claim the Bank pleads that it had complied with the provisions</w:t>
      </w:r>
      <w:r w:rsidR="00DE1A35">
        <w:rPr>
          <w:rFonts w:ascii="Arial" w:hAnsi="Arial" w:cs="Arial"/>
        </w:rPr>
        <w:t xml:space="preserve"> of the NCA</w:t>
      </w:r>
      <w:r w:rsidR="002163EA">
        <w:rPr>
          <w:rFonts w:ascii="Arial" w:hAnsi="Arial" w:cs="Arial"/>
        </w:rPr>
        <w:t xml:space="preserve"> and that it conducted an assessment as required by section 81(2).</w:t>
      </w:r>
      <w:r w:rsidR="0011441A" w:rsidRPr="0011441A">
        <w:rPr>
          <w:rFonts w:ascii="Arial" w:hAnsi="Arial" w:cs="Arial"/>
          <w:color w:val="000000"/>
          <w:lang w:eastAsia="en-ZA"/>
        </w:rPr>
        <w:t xml:space="preserve"> </w:t>
      </w:r>
      <w:r w:rsidR="0011441A" w:rsidRPr="00C05AF0">
        <w:rPr>
          <w:rFonts w:ascii="Arial" w:hAnsi="Arial" w:cs="Arial"/>
          <w:color w:val="000000"/>
          <w:lang w:eastAsia="en-ZA"/>
        </w:rPr>
        <w:t>In terms of section 81(2), a credit provider may generally conclude a credit agreement with a prospective consumer only after it has done a proper and reasonable assessment and concludes that the consumer will be able to satisfy all his obligations under all his credit agreements, including the prospective credit agreement. </w:t>
      </w:r>
      <w:bookmarkStart w:id="15" w:name="0-0-0-65045"/>
      <w:bookmarkEnd w:id="15"/>
      <w:r w:rsidR="0011441A" w:rsidRPr="00C05AF0">
        <w:rPr>
          <w:rFonts w:ascii="Arial" w:hAnsi="Arial" w:cs="Arial"/>
          <w:color w:val="000000"/>
          <w:lang w:eastAsia="en-ZA"/>
        </w:rPr>
        <w:t>The compulsory assessment requires that a credit provider not only does an affordability (financial) assessment of the consumer, but also assesses the consumer's debt history and tests the consumer's general understanding of the risks, cost and obligations of the credit agreement.</w:t>
      </w:r>
    </w:p>
    <w:p w:rsidR="002D137D" w:rsidRPr="00FF5C0A" w:rsidRDefault="0011441A" w:rsidP="002D137D">
      <w:pPr>
        <w:spacing w:line="480" w:lineRule="auto"/>
        <w:jc w:val="both"/>
        <w:rPr>
          <w:rFonts w:ascii="Arial" w:hAnsi="Arial" w:cs="Arial"/>
          <w:color w:val="000000"/>
          <w:lang w:eastAsia="en-ZA"/>
        </w:rPr>
      </w:pPr>
      <w:r>
        <w:rPr>
          <w:rFonts w:ascii="Arial" w:hAnsi="Arial" w:cs="Arial"/>
          <w:color w:val="000000"/>
          <w:lang w:eastAsia="en-ZA"/>
        </w:rPr>
        <w:lastRenderedPageBreak/>
        <w:t>[14]</w:t>
      </w:r>
      <w:r w:rsidRPr="00C05AF0">
        <w:rPr>
          <w:rFonts w:ascii="Arial" w:hAnsi="Arial" w:cs="Arial"/>
          <w:color w:val="000000"/>
          <w:lang w:eastAsia="en-ZA"/>
        </w:rPr>
        <w:t xml:space="preserve"> </w:t>
      </w:r>
      <w:r>
        <w:rPr>
          <w:rFonts w:ascii="Arial" w:hAnsi="Arial" w:cs="Arial"/>
        </w:rPr>
        <w:t>Mr</w:t>
      </w:r>
      <w:r w:rsidR="002163EA">
        <w:rPr>
          <w:rFonts w:ascii="Arial" w:hAnsi="Arial" w:cs="Arial"/>
        </w:rPr>
        <w:t xml:space="preserve"> Phiri denies </w:t>
      </w:r>
      <w:r>
        <w:rPr>
          <w:rFonts w:ascii="Arial" w:hAnsi="Arial" w:cs="Arial"/>
        </w:rPr>
        <w:t>that the Bank complied with the provisions of the NCA</w:t>
      </w:r>
      <w:r w:rsidR="00DE1A35">
        <w:rPr>
          <w:rFonts w:ascii="Arial" w:hAnsi="Arial" w:cs="Arial"/>
        </w:rPr>
        <w:t xml:space="preserve">. </w:t>
      </w:r>
      <w:r w:rsidR="002D137D" w:rsidRPr="00015DB7">
        <w:rPr>
          <w:rFonts w:ascii="Arial" w:hAnsi="Arial" w:cs="Arial"/>
        </w:rPr>
        <w:t xml:space="preserve">As stated earlier, Mr Phiri is obliged to set out the nature and grounds of his defence. In his affidavit resisting summary judgment he merely copied the words in section 80 and baldly stated that:  </w:t>
      </w:r>
    </w:p>
    <w:p w:rsidR="002D137D" w:rsidRPr="00015DB7" w:rsidRDefault="002D137D" w:rsidP="002D137D">
      <w:pPr>
        <w:widowControl w:val="0"/>
        <w:spacing w:after="120" w:line="480" w:lineRule="auto"/>
        <w:ind w:left="720"/>
        <w:jc w:val="both"/>
        <w:rPr>
          <w:rFonts w:ascii="Arial" w:hAnsi="Arial" w:cs="Arial"/>
          <w:i/>
        </w:rPr>
      </w:pPr>
      <w:r>
        <w:rPr>
          <w:rFonts w:ascii="Arial" w:hAnsi="Arial" w:cs="Arial"/>
          <w:i/>
        </w:rPr>
        <w:t>“</w:t>
      </w:r>
      <w:r w:rsidRPr="00015DB7">
        <w:rPr>
          <w:rFonts w:ascii="Arial" w:hAnsi="Arial" w:cs="Arial"/>
          <w:i/>
        </w:rPr>
        <w:t xml:space="preserve">4.1 </w:t>
      </w:r>
      <w:r>
        <w:rPr>
          <w:rFonts w:ascii="Arial" w:hAnsi="Arial" w:cs="Arial"/>
          <w:i/>
        </w:rPr>
        <w:t>…….</w:t>
      </w:r>
      <w:r w:rsidRPr="00015DB7">
        <w:rPr>
          <w:rFonts w:ascii="Arial" w:hAnsi="Arial" w:cs="Arial"/>
          <w:i/>
        </w:rPr>
        <w:t xml:space="preserve"> the Plaintiff failed to conduct a proper assessment as required by section 81 (2) of the National Credit Act.</w:t>
      </w:r>
    </w:p>
    <w:p w:rsidR="002D137D" w:rsidRPr="00015DB7" w:rsidRDefault="002D137D" w:rsidP="002D137D">
      <w:pPr>
        <w:widowControl w:val="0"/>
        <w:spacing w:after="120" w:line="480" w:lineRule="auto"/>
        <w:ind w:left="720"/>
        <w:jc w:val="both"/>
        <w:rPr>
          <w:rFonts w:ascii="Arial" w:hAnsi="Arial" w:cs="Arial"/>
          <w:i/>
        </w:rPr>
      </w:pPr>
      <w:r w:rsidRPr="00015DB7">
        <w:rPr>
          <w:rFonts w:ascii="Arial" w:hAnsi="Arial" w:cs="Arial"/>
          <w:i/>
        </w:rPr>
        <w:t>4.2 I was not requested to provide the Plaintiff with all information as it relates to my financial means, prospects and obligations and therefore failed to provide same.</w:t>
      </w:r>
    </w:p>
    <w:p w:rsidR="002D137D" w:rsidRPr="0098276E" w:rsidRDefault="002D137D" w:rsidP="002D137D">
      <w:pPr>
        <w:widowControl w:val="0"/>
        <w:spacing w:after="120" w:line="480" w:lineRule="auto"/>
        <w:ind w:left="720" w:firstLine="70"/>
        <w:jc w:val="both"/>
        <w:rPr>
          <w:rFonts w:ascii="Arial" w:hAnsi="Arial" w:cs="Arial"/>
          <w:i/>
        </w:rPr>
      </w:pPr>
      <w:r w:rsidRPr="00015DB7">
        <w:rPr>
          <w:rFonts w:ascii="Arial" w:hAnsi="Arial" w:cs="Arial"/>
          <w:i/>
        </w:rPr>
        <w:t>4.3 The Plaintiff concluded the agreement with me in circumstances where I did not understand or appreciate the risks and costs associated with the conclusion of the agreement. Neither</w:t>
      </w:r>
      <w:r w:rsidRPr="0098276E">
        <w:rPr>
          <w:rFonts w:ascii="Arial" w:hAnsi="Arial" w:cs="Arial"/>
          <w:i/>
        </w:rPr>
        <w:t xml:space="preserve"> did I understand my rights and obligations at the time when the agreement was concluded.</w:t>
      </w:r>
      <w:r>
        <w:rPr>
          <w:rFonts w:ascii="Arial" w:hAnsi="Arial" w:cs="Arial"/>
          <w:i/>
        </w:rPr>
        <w:t>”</w:t>
      </w:r>
    </w:p>
    <w:p w:rsidR="002D137D" w:rsidRDefault="0011441A" w:rsidP="002D137D">
      <w:pPr>
        <w:spacing w:line="480" w:lineRule="auto"/>
        <w:jc w:val="both"/>
        <w:rPr>
          <w:rFonts w:ascii="Arial" w:hAnsi="Arial" w:cs="Arial"/>
          <w:color w:val="000000"/>
          <w:lang w:eastAsia="en-ZA"/>
        </w:rPr>
      </w:pPr>
      <w:r>
        <w:rPr>
          <w:rFonts w:ascii="Arial" w:hAnsi="Arial" w:cs="Arial"/>
        </w:rPr>
        <w:t>[15</w:t>
      </w:r>
      <w:r w:rsidR="002D137D" w:rsidRPr="00C05AF0">
        <w:rPr>
          <w:rFonts w:ascii="Arial" w:hAnsi="Arial" w:cs="Arial"/>
        </w:rPr>
        <w:t xml:space="preserve">] </w:t>
      </w:r>
      <w:r w:rsidR="002D137D" w:rsidRPr="00C05AF0">
        <w:rPr>
          <w:rFonts w:ascii="Arial" w:hAnsi="Arial" w:cs="Arial"/>
          <w:lang w:val="en-ZA"/>
        </w:rPr>
        <w:t xml:space="preserve">In an article titled </w:t>
      </w:r>
      <w:r w:rsidR="002D137D" w:rsidRPr="00C05AF0">
        <w:rPr>
          <w:rFonts w:ascii="Arial" w:hAnsi="Arial" w:cs="Arial"/>
          <w:i/>
          <w:lang w:val="en-ZA"/>
        </w:rPr>
        <w:t>“</w:t>
      </w:r>
      <w:r w:rsidR="002D137D" w:rsidRPr="00C05AF0">
        <w:rPr>
          <w:rFonts w:ascii="Arial" w:hAnsi="Arial" w:cs="Arial"/>
          <w:bCs/>
          <w:i/>
          <w:color w:val="000000"/>
          <w:lang w:eastAsia="en-ZA"/>
        </w:rPr>
        <w:t>A credit provider's complete defence against a consumer's allegation of reckless lending”</w:t>
      </w:r>
      <w:r w:rsidR="002D137D" w:rsidRPr="00C05AF0">
        <w:rPr>
          <w:rStyle w:val="FootnoteReference"/>
          <w:rFonts w:ascii="Arial" w:hAnsi="Arial" w:cs="Arial"/>
          <w:bCs/>
          <w:i/>
          <w:color w:val="000000"/>
          <w:lang w:eastAsia="en-ZA"/>
        </w:rPr>
        <w:footnoteReference w:id="10"/>
      </w:r>
      <w:bookmarkStart w:id="16" w:name="0-0-0-65003"/>
      <w:bookmarkEnd w:id="16"/>
      <w:r w:rsidR="0088126F">
        <w:rPr>
          <w:rFonts w:ascii="Arial" w:hAnsi="Arial" w:cs="Arial"/>
          <w:bCs/>
          <w:i/>
          <w:color w:val="000000"/>
          <w:lang w:eastAsia="en-ZA"/>
        </w:rPr>
        <w:t>,</w:t>
      </w:r>
      <w:r w:rsidR="002D137D" w:rsidRPr="00C05AF0">
        <w:rPr>
          <w:rFonts w:ascii="Arial" w:hAnsi="Arial" w:cs="Arial"/>
          <w:bCs/>
          <w:i/>
          <w:color w:val="000000"/>
          <w:lang w:eastAsia="en-ZA"/>
        </w:rPr>
        <w:t xml:space="preserve"> </w:t>
      </w:r>
      <w:r w:rsidR="002D137D" w:rsidRPr="00C05AF0">
        <w:rPr>
          <w:rFonts w:ascii="Arial" w:hAnsi="Arial" w:cs="Arial"/>
          <w:bCs/>
          <w:color w:val="000000"/>
          <w:lang w:eastAsia="en-ZA"/>
        </w:rPr>
        <w:t>the author asserts</w:t>
      </w:r>
      <w:r w:rsidR="002D137D" w:rsidRPr="00C05AF0">
        <w:rPr>
          <w:rFonts w:ascii="Arial" w:hAnsi="Arial" w:cs="Arial"/>
          <w:color w:val="000000"/>
          <w:lang w:eastAsia="en-ZA"/>
        </w:rPr>
        <w:t xml:space="preserve"> that a finding that a credit agreement constitutes</w:t>
      </w:r>
      <w:r w:rsidR="002D137D" w:rsidRPr="00FF5C0A">
        <w:rPr>
          <w:rFonts w:ascii="Arial" w:hAnsi="Arial" w:cs="Arial"/>
          <w:color w:val="000000"/>
          <w:lang w:eastAsia="en-ZA"/>
        </w:rPr>
        <w:t xml:space="preserve"> reckless credit has many adverse consequences for a credit provider.</w:t>
      </w:r>
      <w:r w:rsidR="002D137D">
        <w:rPr>
          <w:rFonts w:ascii="Arial" w:hAnsi="Arial" w:cs="Arial"/>
          <w:color w:val="000000"/>
          <w:lang w:eastAsia="en-ZA"/>
        </w:rPr>
        <w:t xml:space="preserve"> She states that:</w:t>
      </w:r>
    </w:p>
    <w:p w:rsidR="002D137D" w:rsidRPr="00887D1A" w:rsidRDefault="002D137D" w:rsidP="002D137D">
      <w:pPr>
        <w:spacing w:line="480" w:lineRule="auto"/>
        <w:ind w:left="720"/>
        <w:jc w:val="both"/>
        <w:rPr>
          <w:rFonts w:ascii="Arial" w:hAnsi="Arial" w:cs="Arial"/>
          <w:i/>
          <w:lang w:val="en-ZA"/>
        </w:rPr>
      </w:pPr>
      <w:r w:rsidRPr="00887D1A">
        <w:rPr>
          <w:rFonts w:ascii="Arial" w:hAnsi="Arial" w:cs="Arial"/>
          <w:i/>
          <w:color w:val="000000"/>
          <w:lang w:eastAsia="en-ZA"/>
        </w:rPr>
        <w:t>“</w:t>
      </w:r>
      <w:bookmarkStart w:id="17" w:name="0-0-0-65061"/>
      <w:bookmarkEnd w:id="17"/>
      <w:r w:rsidRPr="00887D1A">
        <w:rPr>
          <w:rFonts w:ascii="Arial" w:hAnsi="Arial" w:cs="Arial"/>
          <w:i/>
          <w:color w:val="000000"/>
          <w:lang w:eastAsia="en-ZA"/>
        </w:rPr>
        <w:t>By invoking the reckless-lending provisions, a consumer is substantially protected, particularly</w:t>
      </w:r>
      <w:bookmarkStart w:id="18" w:name="0-0-0-65065"/>
      <w:bookmarkEnd w:id="18"/>
      <w:r w:rsidRPr="00887D1A">
        <w:rPr>
          <w:rFonts w:ascii="Arial" w:hAnsi="Arial" w:cs="Arial"/>
          <w:i/>
          <w:color w:val="000000"/>
          <w:lang w:eastAsia="en-ZA"/>
        </w:rPr>
        <w:t xml:space="preserve"> when a credit provider who contravened these provisions tries to enforce the reckless credit agreement against the consumer. Unfortunately, these reckless-lending provisions carry with them the risk of abuse by some consumers. To limit this abuse, measures were included in the NCA to prevent consumers from abusing these provisions. </w:t>
      </w:r>
      <w:bookmarkStart w:id="19" w:name="0-0-0-65067"/>
      <w:bookmarkEnd w:id="19"/>
      <w:r w:rsidRPr="00887D1A">
        <w:rPr>
          <w:rFonts w:ascii="Arial" w:hAnsi="Arial" w:cs="Arial"/>
          <w:i/>
          <w:color w:val="000000"/>
          <w:lang w:eastAsia="en-ZA"/>
        </w:rPr>
        <w:t xml:space="preserve"> For instance, </w:t>
      </w:r>
      <w:r w:rsidRPr="00887D1A">
        <w:rPr>
          <w:rFonts w:ascii="Arial" w:hAnsi="Arial" w:cs="Arial"/>
          <w:i/>
          <w:color w:val="000000"/>
          <w:lang w:eastAsia="en-ZA"/>
        </w:rPr>
        <w:lastRenderedPageBreak/>
        <w:t>section 81(1) requires that when a consumer applies for a credit agreement, and while that application is being considered by the credit provider, the prospective consumer must fully and truthfully answer any requests for information made by the credit provider while the credit provider is assessing whether to grant the credit. In addition, section 81(4) provides that it is a complete defence to an allegation that a credit agreement is reckless, if the credit provider proves that the consumer failed to answer fully and truthfully any requests for information made by the credit provider as part of the compulsory assessment required by section 81, and if a court or the National Consumer Tribunal determines that the consumer's failure to do so materially affected the ability of the credit provider to make a proper assessment.</w:t>
      </w:r>
      <w:r>
        <w:rPr>
          <w:rFonts w:ascii="Arial" w:hAnsi="Arial" w:cs="Arial"/>
          <w:i/>
          <w:color w:val="000000"/>
          <w:lang w:eastAsia="en-ZA"/>
        </w:rPr>
        <w:t>”</w:t>
      </w:r>
    </w:p>
    <w:p w:rsidR="002D137D" w:rsidRDefault="002D137D" w:rsidP="002D137D">
      <w:pPr>
        <w:pStyle w:val="ListParagraph"/>
        <w:spacing w:line="480" w:lineRule="auto"/>
        <w:jc w:val="both"/>
        <w:rPr>
          <w:rFonts w:ascii="Arial" w:hAnsi="Arial" w:cs="Arial"/>
          <w:sz w:val="24"/>
          <w:szCs w:val="24"/>
        </w:rPr>
      </w:pPr>
    </w:p>
    <w:p w:rsidR="002D137D" w:rsidRPr="00C05AF0" w:rsidRDefault="0011441A" w:rsidP="00C05AF0">
      <w:pPr>
        <w:spacing w:line="480" w:lineRule="auto"/>
        <w:jc w:val="both"/>
        <w:rPr>
          <w:rFonts w:ascii="Arial" w:hAnsi="Arial" w:cs="Arial"/>
          <w:color w:val="000000"/>
          <w:lang w:val="en-ZA" w:eastAsia="en-ZA"/>
        </w:rPr>
      </w:pPr>
      <w:r>
        <w:rPr>
          <w:rFonts w:ascii="Arial" w:hAnsi="Arial" w:cs="Arial"/>
        </w:rPr>
        <w:t>[16</w:t>
      </w:r>
      <w:r w:rsidR="002D137D">
        <w:rPr>
          <w:rFonts w:ascii="Arial" w:hAnsi="Arial" w:cs="Arial"/>
        </w:rPr>
        <w:t xml:space="preserve">] </w:t>
      </w:r>
      <w:r w:rsidR="00DE1A35">
        <w:rPr>
          <w:rFonts w:ascii="Arial" w:hAnsi="Arial" w:cs="Arial"/>
          <w:color w:val="000000"/>
          <w:lang w:val="en-ZA" w:eastAsia="en-ZA"/>
        </w:rPr>
        <w:t xml:space="preserve">Mr Phiri did not plead that </w:t>
      </w:r>
      <w:r w:rsidR="000524E0" w:rsidRPr="00377A99">
        <w:rPr>
          <w:rFonts w:ascii="Arial" w:hAnsi="Arial" w:cs="Arial"/>
          <w:color w:val="000000"/>
          <w:lang w:val="en-ZA" w:eastAsia="en-ZA"/>
        </w:rPr>
        <w:t xml:space="preserve">the Bank did not conduct an affordability assessment, but </w:t>
      </w:r>
      <w:r>
        <w:rPr>
          <w:rFonts w:ascii="Arial" w:hAnsi="Arial" w:cs="Arial"/>
          <w:color w:val="000000"/>
          <w:lang w:val="en-ZA" w:eastAsia="en-ZA"/>
        </w:rPr>
        <w:t xml:space="preserve">pleaded </w:t>
      </w:r>
      <w:r w:rsidR="000524E0" w:rsidRPr="00377A99">
        <w:rPr>
          <w:rFonts w:ascii="Arial" w:hAnsi="Arial" w:cs="Arial"/>
          <w:color w:val="000000"/>
          <w:lang w:val="en-ZA" w:eastAsia="en-ZA"/>
        </w:rPr>
        <w:t xml:space="preserve">that it was not a "proper assessment". </w:t>
      </w:r>
      <w:r w:rsidR="00C05AF0" w:rsidRPr="00887D1A">
        <w:rPr>
          <w:rFonts w:ascii="Arial" w:hAnsi="Arial" w:cs="Arial"/>
        </w:rPr>
        <w:t xml:space="preserve">The only paragraph </w:t>
      </w:r>
      <w:r w:rsidR="00C05AF0">
        <w:rPr>
          <w:rFonts w:ascii="Arial" w:hAnsi="Arial" w:cs="Arial"/>
        </w:rPr>
        <w:t xml:space="preserve">in </w:t>
      </w:r>
      <w:r w:rsidR="00C05AF0" w:rsidRPr="00887D1A">
        <w:rPr>
          <w:rFonts w:ascii="Arial" w:hAnsi="Arial" w:cs="Arial"/>
        </w:rPr>
        <w:t xml:space="preserve">Mr Phiri’s affidavit in which he attempts to set out facts in support of the defence of reckless credit is paragraph 4.2 in which Mr Phiri pleads that he </w:t>
      </w:r>
      <w:r w:rsidR="00C05AF0" w:rsidRPr="00887D1A">
        <w:rPr>
          <w:rFonts w:ascii="Arial" w:hAnsi="Arial" w:cs="Arial"/>
          <w:bCs/>
          <w:iCs/>
        </w:rPr>
        <w:t xml:space="preserve">did not provide the plaintiff with </w:t>
      </w:r>
      <w:r w:rsidR="00C05AF0" w:rsidRPr="00887D1A">
        <w:rPr>
          <w:rFonts w:ascii="Arial" w:hAnsi="Arial" w:cs="Arial"/>
          <w:b/>
          <w:bCs/>
          <w:iCs/>
        </w:rPr>
        <w:t>all</w:t>
      </w:r>
      <w:r w:rsidR="00C05AF0" w:rsidRPr="00887D1A">
        <w:rPr>
          <w:rFonts w:ascii="Arial" w:hAnsi="Arial" w:cs="Arial"/>
          <w:bCs/>
          <w:iCs/>
        </w:rPr>
        <w:t xml:space="preserve"> information in respect of his financial means, prospects and obligations</w:t>
      </w:r>
      <w:r w:rsidR="00C05AF0" w:rsidRPr="00887D1A">
        <w:rPr>
          <w:rFonts w:ascii="Arial" w:hAnsi="Arial" w:cs="Arial"/>
        </w:rPr>
        <w:t xml:space="preserve"> and</w:t>
      </w:r>
      <w:r w:rsidR="00C05AF0" w:rsidRPr="00FF5C0A">
        <w:rPr>
          <w:rFonts w:ascii="Arial" w:hAnsi="Arial" w:cs="Arial"/>
        </w:rPr>
        <w:t xml:space="preserve"> was not requested to do so (emphasis added).  </w:t>
      </w:r>
      <w:r w:rsidR="00C05AF0" w:rsidRPr="00FF5C0A">
        <w:rPr>
          <w:rFonts w:ascii="Arial" w:hAnsi="Arial" w:cs="Arial"/>
          <w:lang w:val="en-ZA"/>
        </w:rPr>
        <w:t>Mr Phiri does not plead anywhere in his plea or affidavit how (i) his financial information was requested and (ii) how the information he did not provide did not fall in the category of the information that was requested.</w:t>
      </w:r>
      <w:r>
        <w:rPr>
          <w:rFonts w:ascii="Arial" w:hAnsi="Arial" w:cs="Arial"/>
          <w:color w:val="000000"/>
          <w:lang w:val="en-ZA" w:eastAsia="en-ZA"/>
        </w:rPr>
        <w:t xml:space="preserve"> </w:t>
      </w:r>
      <w:r w:rsidR="00C05AF0">
        <w:rPr>
          <w:rFonts w:ascii="Arial" w:hAnsi="Arial" w:cs="Arial"/>
          <w:color w:val="000000"/>
          <w:lang w:val="en-ZA" w:eastAsia="en-ZA"/>
        </w:rPr>
        <w:t>Section</w:t>
      </w:r>
      <w:r w:rsidR="000524E0" w:rsidRPr="00377A99">
        <w:rPr>
          <w:rFonts w:ascii="Arial" w:hAnsi="Arial" w:cs="Arial"/>
          <w:color w:val="000000"/>
          <w:lang w:val="en-ZA" w:eastAsia="en-ZA"/>
        </w:rPr>
        <w:t xml:space="preserve"> 81(4) of the </w:t>
      </w:r>
      <w:r w:rsidR="00C05AF0">
        <w:rPr>
          <w:rFonts w:ascii="Arial" w:hAnsi="Arial" w:cs="Arial"/>
          <w:color w:val="000000"/>
          <w:lang w:val="en-ZA" w:eastAsia="en-ZA"/>
        </w:rPr>
        <w:t>NCA</w:t>
      </w:r>
      <w:r>
        <w:rPr>
          <w:rFonts w:ascii="Arial" w:hAnsi="Arial" w:cs="Arial"/>
          <w:color w:val="000000"/>
          <w:lang w:val="en-ZA" w:eastAsia="en-ZA"/>
        </w:rPr>
        <w:t xml:space="preserve"> obliges</w:t>
      </w:r>
      <w:r w:rsidR="000524E0" w:rsidRPr="00377A99">
        <w:rPr>
          <w:rFonts w:ascii="Arial" w:hAnsi="Arial" w:cs="Arial"/>
          <w:color w:val="000000"/>
          <w:lang w:val="en-ZA" w:eastAsia="en-ZA"/>
        </w:rPr>
        <w:t xml:space="preserve"> the </w:t>
      </w:r>
      <w:r w:rsidR="00C05AF0">
        <w:rPr>
          <w:rFonts w:ascii="Arial" w:hAnsi="Arial" w:cs="Arial"/>
          <w:color w:val="000000"/>
          <w:lang w:val="en-ZA" w:eastAsia="en-ZA"/>
        </w:rPr>
        <w:t>consumer</w:t>
      </w:r>
      <w:r w:rsidR="000524E0" w:rsidRPr="00377A99">
        <w:rPr>
          <w:rFonts w:ascii="Arial" w:hAnsi="Arial" w:cs="Arial"/>
          <w:color w:val="000000"/>
          <w:lang w:val="en-ZA" w:eastAsia="en-ZA"/>
        </w:rPr>
        <w:t xml:space="preserve"> to disclose information "fully and truthfully", failing which </w:t>
      </w:r>
      <w:r w:rsidR="00C05AF0">
        <w:rPr>
          <w:rFonts w:ascii="Arial" w:hAnsi="Arial" w:cs="Arial"/>
          <w:color w:val="000000"/>
          <w:lang w:val="en-ZA" w:eastAsia="en-ZA"/>
        </w:rPr>
        <w:t>the consumer is</w:t>
      </w:r>
      <w:r w:rsidR="000524E0" w:rsidRPr="00377A99">
        <w:rPr>
          <w:rFonts w:ascii="Arial" w:hAnsi="Arial" w:cs="Arial"/>
          <w:color w:val="000000"/>
          <w:lang w:val="en-ZA" w:eastAsia="en-ZA"/>
        </w:rPr>
        <w:t xml:space="preserve"> barred from raising a defence of reckless credit.</w:t>
      </w:r>
      <w:r w:rsidR="00C05AF0">
        <w:rPr>
          <w:rFonts w:ascii="Arial" w:hAnsi="Arial" w:cs="Arial"/>
          <w:color w:val="000000"/>
          <w:lang w:val="en-ZA" w:eastAsia="en-ZA"/>
        </w:rPr>
        <w:t xml:space="preserve"> </w:t>
      </w:r>
    </w:p>
    <w:p w:rsidR="00EF4448" w:rsidRDefault="0011441A" w:rsidP="00EF4448">
      <w:pPr>
        <w:widowControl w:val="0"/>
        <w:spacing w:before="240" w:after="120" w:line="480" w:lineRule="auto"/>
        <w:jc w:val="both"/>
        <w:rPr>
          <w:rFonts w:ascii="Arial" w:hAnsi="Arial" w:cs="Arial"/>
          <w:iCs/>
        </w:rPr>
      </w:pPr>
      <w:r>
        <w:rPr>
          <w:rFonts w:ascii="Arial" w:hAnsi="Arial" w:cs="Arial"/>
          <w:lang w:val="en-ZA"/>
        </w:rPr>
        <w:t>[17</w:t>
      </w:r>
      <w:r w:rsidR="002D137D">
        <w:rPr>
          <w:rFonts w:ascii="Arial" w:hAnsi="Arial" w:cs="Arial"/>
          <w:lang w:val="en-ZA"/>
        </w:rPr>
        <w:t xml:space="preserve">] </w:t>
      </w:r>
      <w:r w:rsidR="002D137D">
        <w:rPr>
          <w:rFonts w:ascii="Arial" w:hAnsi="Arial" w:cs="Arial"/>
        </w:rPr>
        <w:t>The facts in the</w:t>
      </w:r>
      <w:r w:rsidR="002D137D" w:rsidRPr="0010488B">
        <w:rPr>
          <w:rFonts w:ascii="Arial" w:hAnsi="Arial" w:cs="Arial"/>
        </w:rPr>
        <w:t xml:space="preserve"> </w:t>
      </w:r>
      <w:r w:rsidR="002D137D" w:rsidRPr="00E0075B">
        <w:rPr>
          <w:rFonts w:ascii="Arial" w:hAnsi="Arial" w:cs="Arial"/>
          <w:i/>
        </w:rPr>
        <w:t>SA Taxi</w:t>
      </w:r>
      <w:r w:rsidR="002D137D" w:rsidRPr="0010488B">
        <w:rPr>
          <w:rFonts w:ascii="Arial" w:hAnsi="Arial" w:cs="Arial"/>
        </w:rPr>
        <w:t xml:space="preserve"> matter, </w:t>
      </w:r>
      <w:r w:rsidR="002D137D">
        <w:rPr>
          <w:rFonts w:ascii="Arial" w:hAnsi="Arial" w:cs="Arial"/>
        </w:rPr>
        <w:t xml:space="preserve">are similar to the facts </w:t>
      </w:r>
      <w:r w:rsidR="002D137D" w:rsidRPr="00E0075B">
        <w:rPr>
          <w:rFonts w:ascii="Arial" w:hAnsi="Arial" w:cs="Arial"/>
          <w:i/>
        </w:rPr>
        <w:t>in casu</w:t>
      </w:r>
      <w:r w:rsidR="002D137D">
        <w:rPr>
          <w:rFonts w:ascii="Arial" w:hAnsi="Arial" w:cs="Arial"/>
        </w:rPr>
        <w:t>. In</w:t>
      </w:r>
      <w:r w:rsidR="002D137D" w:rsidRPr="0010488B">
        <w:rPr>
          <w:rFonts w:ascii="Arial" w:hAnsi="Arial" w:cs="Arial"/>
        </w:rPr>
        <w:t xml:space="preserve"> their opposing affidavit</w:t>
      </w:r>
      <w:r w:rsidR="002D137D">
        <w:rPr>
          <w:rFonts w:ascii="Arial" w:hAnsi="Arial" w:cs="Arial"/>
        </w:rPr>
        <w:t xml:space="preserve"> </w:t>
      </w:r>
      <w:r>
        <w:rPr>
          <w:rFonts w:ascii="Arial" w:hAnsi="Arial" w:cs="Arial"/>
        </w:rPr>
        <w:t xml:space="preserve">in that matter, </w:t>
      </w:r>
      <w:r w:rsidR="002D137D">
        <w:rPr>
          <w:rFonts w:ascii="Arial" w:hAnsi="Arial" w:cs="Arial"/>
        </w:rPr>
        <w:t xml:space="preserve">the defendants pleaded </w:t>
      </w:r>
      <w:r w:rsidR="002D137D" w:rsidRPr="00E0075B">
        <w:rPr>
          <w:rFonts w:ascii="Arial" w:hAnsi="Arial" w:cs="Arial"/>
        </w:rPr>
        <w:t>that t</w:t>
      </w:r>
      <w:r w:rsidR="002D137D" w:rsidRPr="00E0075B">
        <w:rPr>
          <w:rFonts w:ascii="Arial" w:hAnsi="Arial" w:cs="Arial"/>
          <w:iCs/>
        </w:rPr>
        <w:t>he</w:t>
      </w:r>
      <w:r w:rsidR="00C05AF0">
        <w:rPr>
          <w:rFonts w:ascii="Arial" w:hAnsi="Arial" w:cs="Arial"/>
          <w:iCs/>
        </w:rPr>
        <w:t xml:space="preserve"> </w:t>
      </w:r>
      <w:r w:rsidR="003708C1">
        <w:rPr>
          <w:rFonts w:ascii="Arial" w:hAnsi="Arial" w:cs="Arial"/>
          <w:iCs/>
        </w:rPr>
        <w:t xml:space="preserve">credit </w:t>
      </w:r>
      <w:r w:rsidR="00C05AF0">
        <w:rPr>
          <w:rFonts w:ascii="Arial" w:hAnsi="Arial" w:cs="Arial"/>
          <w:iCs/>
        </w:rPr>
        <w:t>agreement constituted</w:t>
      </w:r>
      <w:r w:rsidR="002D137D" w:rsidRPr="00E0075B">
        <w:rPr>
          <w:rFonts w:ascii="Arial" w:hAnsi="Arial" w:cs="Arial"/>
          <w:iCs/>
        </w:rPr>
        <w:t xml:space="preserve"> </w:t>
      </w:r>
      <w:r w:rsidR="002D137D" w:rsidRPr="00E0075B">
        <w:rPr>
          <w:rFonts w:ascii="Arial" w:hAnsi="Arial" w:cs="Arial"/>
          <w:iCs/>
        </w:rPr>
        <w:lastRenderedPageBreak/>
        <w:t>a reckless agreement</w:t>
      </w:r>
      <w:r w:rsidR="002D137D">
        <w:rPr>
          <w:rFonts w:ascii="Arial" w:hAnsi="Arial" w:cs="Arial"/>
          <w:iCs/>
        </w:rPr>
        <w:t xml:space="preserve"> as contemplated in s</w:t>
      </w:r>
      <w:r w:rsidR="0088126F">
        <w:rPr>
          <w:rFonts w:ascii="Arial" w:hAnsi="Arial" w:cs="Arial"/>
          <w:iCs/>
        </w:rPr>
        <w:t xml:space="preserve">ection </w:t>
      </w:r>
      <w:r w:rsidR="002D137D">
        <w:rPr>
          <w:rFonts w:ascii="Arial" w:hAnsi="Arial" w:cs="Arial"/>
          <w:iCs/>
        </w:rPr>
        <w:t>80 of the NCA</w:t>
      </w:r>
      <w:r w:rsidR="002D137D" w:rsidRPr="00E0075B">
        <w:rPr>
          <w:rFonts w:ascii="Arial" w:hAnsi="Arial" w:cs="Arial"/>
          <w:iCs/>
        </w:rPr>
        <w:t xml:space="preserve"> in that, (1) </w:t>
      </w:r>
      <w:r w:rsidR="002D137D" w:rsidRPr="00E0075B">
        <w:rPr>
          <w:rFonts w:ascii="Arial" w:hAnsi="Arial" w:cs="Arial"/>
          <w:bCs/>
          <w:iCs/>
        </w:rPr>
        <w:t>the plaintiff failed to conduct an assessment as required of it under s</w:t>
      </w:r>
      <w:r w:rsidR="00C05AF0">
        <w:rPr>
          <w:rFonts w:ascii="Arial" w:hAnsi="Arial" w:cs="Arial"/>
          <w:bCs/>
          <w:iCs/>
        </w:rPr>
        <w:t>ection</w:t>
      </w:r>
      <w:r w:rsidR="002D137D" w:rsidRPr="00E0075B">
        <w:rPr>
          <w:rFonts w:ascii="Arial" w:hAnsi="Arial" w:cs="Arial"/>
          <w:bCs/>
          <w:iCs/>
        </w:rPr>
        <w:t xml:space="preserve"> 80(1)(a) of the NCA and</w:t>
      </w:r>
      <w:r w:rsidR="00C05AF0">
        <w:rPr>
          <w:rFonts w:ascii="Arial" w:hAnsi="Arial" w:cs="Arial"/>
          <w:bCs/>
          <w:iCs/>
        </w:rPr>
        <w:t>,</w:t>
      </w:r>
      <w:r w:rsidR="002D137D" w:rsidRPr="00E0075B">
        <w:rPr>
          <w:rFonts w:ascii="Arial" w:hAnsi="Arial" w:cs="Arial"/>
          <w:bCs/>
          <w:iCs/>
        </w:rPr>
        <w:t xml:space="preserve"> </w:t>
      </w:r>
      <w:r w:rsidR="002D137D">
        <w:rPr>
          <w:rFonts w:ascii="Arial" w:hAnsi="Arial" w:cs="Arial"/>
          <w:bCs/>
          <w:iCs/>
        </w:rPr>
        <w:t xml:space="preserve">(2) </w:t>
      </w:r>
      <w:r w:rsidR="002D137D" w:rsidRPr="00E0075B">
        <w:rPr>
          <w:rFonts w:ascii="Arial" w:hAnsi="Arial" w:cs="Arial"/>
          <w:bCs/>
          <w:iCs/>
        </w:rPr>
        <w:t>even</w:t>
      </w:r>
      <w:r w:rsidR="002D137D" w:rsidRPr="00E0075B">
        <w:rPr>
          <w:rFonts w:ascii="Arial" w:hAnsi="Arial" w:cs="Arial"/>
          <w:iCs/>
        </w:rPr>
        <w:t xml:space="preserve"> if an assessment was made (which </w:t>
      </w:r>
      <w:r w:rsidR="002D137D">
        <w:rPr>
          <w:rFonts w:ascii="Arial" w:hAnsi="Arial" w:cs="Arial"/>
          <w:iCs/>
        </w:rPr>
        <w:t>is denied</w:t>
      </w:r>
      <w:r w:rsidR="002D137D" w:rsidRPr="00E0075B">
        <w:rPr>
          <w:rFonts w:ascii="Arial" w:hAnsi="Arial" w:cs="Arial"/>
          <w:iCs/>
        </w:rPr>
        <w:t xml:space="preserve">), </w:t>
      </w:r>
      <w:r w:rsidR="002D137D" w:rsidRPr="00E0075B">
        <w:rPr>
          <w:rFonts w:ascii="Arial" w:hAnsi="Arial" w:cs="Arial"/>
          <w:bCs/>
          <w:iCs/>
        </w:rPr>
        <w:t xml:space="preserve">the preponderance of information available to </w:t>
      </w:r>
      <w:r w:rsidR="00C05AF0">
        <w:rPr>
          <w:rFonts w:ascii="Arial" w:hAnsi="Arial" w:cs="Arial"/>
          <w:bCs/>
          <w:iCs/>
        </w:rPr>
        <w:t>the plaintiffs</w:t>
      </w:r>
      <w:r w:rsidR="002D137D" w:rsidRPr="00E0075B">
        <w:rPr>
          <w:rFonts w:ascii="Arial" w:hAnsi="Arial" w:cs="Arial"/>
          <w:bCs/>
          <w:iCs/>
        </w:rPr>
        <w:t xml:space="preserve"> would clearly have shown that </w:t>
      </w:r>
      <w:r w:rsidR="002D137D">
        <w:rPr>
          <w:rFonts w:ascii="Arial" w:hAnsi="Arial" w:cs="Arial"/>
          <w:bCs/>
          <w:iCs/>
        </w:rPr>
        <w:t>the defendants</w:t>
      </w:r>
      <w:r w:rsidR="002D137D" w:rsidRPr="00E0075B">
        <w:rPr>
          <w:rFonts w:ascii="Arial" w:hAnsi="Arial" w:cs="Arial"/>
          <w:bCs/>
          <w:iCs/>
        </w:rPr>
        <w:t xml:space="preserve"> did not understand or appreciate the risk, costs and obligations thereof. In addition, the defendants in </w:t>
      </w:r>
      <w:r w:rsidR="00C05AF0" w:rsidRPr="00C05AF0">
        <w:rPr>
          <w:rFonts w:ascii="Arial" w:hAnsi="Arial" w:cs="Arial"/>
          <w:bCs/>
          <w:i/>
          <w:iCs/>
        </w:rPr>
        <w:t>SA Taxi</w:t>
      </w:r>
      <w:r w:rsidR="002D137D" w:rsidRPr="00E0075B">
        <w:rPr>
          <w:rFonts w:ascii="Arial" w:hAnsi="Arial" w:cs="Arial"/>
          <w:bCs/>
          <w:iCs/>
        </w:rPr>
        <w:t xml:space="preserve"> pleaded that as a result </w:t>
      </w:r>
      <w:r w:rsidR="002D137D">
        <w:rPr>
          <w:rFonts w:ascii="Arial" w:hAnsi="Arial" w:cs="Arial"/>
          <w:bCs/>
          <w:iCs/>
        </w:rPr>
        <w:t xml:space="preserve">of this failure </w:t>
      </w:r>
      <w:r w:rsidR="002D137D" w:rsidRPr="00E0075B">
        <w:rPr>
          <w:rFonts w:ascii="Arial" w:hAnsi="Arial" w:cs="Arial"/>
          <w:iCs/>
        </w:rPr>
        <w:t>the defendants are</w:t>
      </w:r>
      <w:r w:rsidR="002D137D" w:rsidRPr="0010488B">
        <w:rPr>
          <w:rFonts w:ascii="Arial" w:hAnsi="Arial" w:cs="Arial"/>
          <w:i/>
          <w:iCs/>
        </w:rPr>
        <w:t xml:space="preserve"> </w:t>
      </w:r>
      <w:r w:rsidR="002D137D">
        <w:rPr>
          <w:rFonts w:ascii="Arial" w:hAnsi="Arial" w:cs="Arial"/>
          <w:i/>
          <w:iCs/>
        </w:rPr>
        <w:t>“</w:t>
      </w:r>
      <w:r w:rsidR="002D137D" w:rsidRPr="0010488B">
        <w:rPr>
          <w:rFonts w:ascii="Arial" w:hAnsi="Arial" w:cs="Arial"/>
          <w:i/>
          <w:iCs/>
        </w:rPr>
        <w:t>entitled to an order sett</w:t>
      </w:r>
      <w:r w:rsidR="002D137D">
        <w:rPr>
          <w:rFonts w:ascii="Arial" w:hAnsi="Arial" w:cs="Arial"/>
          <w:i/>
          <w:iCs/>
        </w:rPr>
        <w:t xml:space="preserve">ing aside and suspending the </w:t>
      </w:r>
      <w:r w:rsidR="002D137D" w:rsidRPr="0010488B">
        <w:rPr>
          <w:rFonts w:ascii="Arial" w:hAnsi="Arial" w:cs="Arial"/>
          <w:i/>
          <w:iCs/>
        </w:rPr>
        <w:t>Agreement as contemplated in s 83(2) of the NCA.</w:t>
      </w:r>
      <w:r w:rsidR="002D137D">
        <w:rPr>
          <w:rFonts w:ascii="Arial" w:hAnsi="Arial" w:cs="Arial"/>
          <w:i/>
          <w:iCs/>
        </w:rPr>
        <w:t xml:space="preserve">” </w:t>
      </w:r>
      <w:r w:rsidR="002D137D" w:rsidRPr="00E0075B">
        <w:rPr>
          <w:rFonts w:ascii="Arial" w:hAnsi="Arial" w:cs="Arial"/>
          <w:iCs/>
        </w:rPr>
        <w:t xml:space="preserve">It bears mention </w:t>
      </w:r>
      <w:r>
        <w:rPr>
          <w:rFonts w:ascii="Arial" w:hAnsi="Arial" w:cs="Arial"/>
          <w:iCs/>
        </w:rPr>
        <w:t xml:space="preserve">at this stage </w:t>
      </w:r>
      <w:r w:rsidR="002D137D" w:rsidRPr="00E0075B">
        <w:rPr>
          <w:rFonts w:ascii="Arial" w:hAnsi="Arial" w:cs="Arial"/>
          <w:iCs/>
        </w:rPr>
        <w:t xml:space="preserve">that Mr Phiri did not plead that he is entitled to an order setting aside the </w:t>
      </w:r>
      <w:r w:rsidR="003708C1">
        <w:rPr>
          <w:rFonts w:ascii="Arial" w:hAnsi="Arial" w:cs="Arial"/>
          <w:iCs/>
        </w:rPr>
        <w:t xml:space="preserve">credit </w:t>
      </w:r>
      <w:r w:rsidR="002D137D" w:rsidRPr="00E0075B">
        <w:rPr>
          <w:rFonts w:ascii="Arial" w:hAnsi="Arial" w:cs="Arial"/>
          <w:iCs/>
        </w:rPr>
        <w:t xml:space="preserve">agreement as contemplated in section </w:t>
      </w:r>
      <w:r w:rsidR="002D137D" w:rsidRPr="0011441A">
        <w:rPr>
          <w:rFonts w:ascii="Arial" w:hAnsi="Arial" w:cs="Arial"/>
          <w:iCs/>
        </w:rPr>
        <w:t>83 (2) of the NCA.</w:t>
      </w:r>
      <w:r w:rsidR="002D137D" w:rsidRPr="0011441A">
        <w:rPr>
          <w:rFonts w:ascii="Arial" w:hAnsi="Arial" w:cs="Arial"/>
          <w:i/>
          <w:iCs/>
        </w:rPr>
        <w:t xml:space="preserve"> </w:t>
      </w:r>
    </w:p>
    <w:p w:rsidR="0044335C" w:rsidRPr="0044335C" w:rsidRDefault="00EF4448" w:rsidP="0011441A">
      <w:pPr>
        <w:widowControl w:val="0"/>
        <w:spacing w:before="240" w:after="120" w:line="480" w:lineRule="auto"/>
        <w:jc w:val="both"/>
        <w:rPr>
          <w:rFonts w:ascii="Arial" w:hAnsi="Arial" w:cs="Arial"/>
          <w:iCs/>
        </w:rPr>
      </w:pPr>
      <w:r>
        <w:rPr>
          <w:rFonts w:ascii="Arial" w:hAnsi="Arial" w:cs="Arial"/>
          <w:iCs/>
        </w:rPr>
        <w:t>[18</w:t>
      </w:r>
      <w:r w:rsidR="002D137D" w:rsidRPr="0011441A">
        <w:rPr>
          <w:rFonts w:ascii="Arial" w:hAnsi="Arial" w:cs="Arial"/>
          <w:iCs/>
        </w:rPr>
        <w:t xml:space="preserve">] I agree with Levenberg AJ in </w:t>
      </w:r>
      <w:r w:rsidR="002D137D" w:rsidRPr="0011441A">
        <w:rPr>
          <w:rFonts w:ascii="Arial" w:hAnsi="Arial" w:cs="Arial"/>
          <w:i/>
          <w:iCs/>
        </w:rPr>
        <w:t>SA Taxi</w:t>
      </w:r>
      <w:r w:rsidR="00C05AF0" w:rsidRPr="0011441A">
        <w:rPr>
          <w:rFonts w:ascii="Arial" w:hAnsi="Arial" w:cs="Arial"/>
          <w:i/>
          <w:iCs/>
        </w:rPr>
        <w:t>,</w:t>
      </w:r>
      <w:r w:rsidR="002D137D" w:rsidRPr="0011441A">
        <w:rPr>
          <w:rFonts w:ascii="Arial" w:hAnsi="Arial" w:cs="Arial"/>
          <w:iCs/>
        </w:rPr>
        <w:t xml:space="preserve"> that in relying on a defence of reckless credit a defendant </w:t>
      </w:r>
      <w:r w:rsidR="002D137D" w:rsidRPr="0011441A">
        <w:rPr>
          <w:rFonts w:ascii="Arial" w:hAnsi="Arial" w:cs="Arial"/>
          <w:bCs/>
          <w:iCs/>
        </w:rPr>
        <w:t xml:space="preserve">should </w:t>
      </w:r>
      <w:r w:rsidR="00C05AF0" w:rsidRPr="0011441A">
        <w:rPr>
          <w:rFonts w:ascii="Arial" w:hAnsi="Arial" w:cs="Arial"/>
          <w:bCs/>
          <w:iCs/>
        </w:rPr>
        <w:t>provide</w:t>
      </w:r>
      <w:r w:rsidR="002D137D" w:rsidRPr="0011441A">
        <w:rPr>
          <w:rFonts w:ascii="Arial" w:hAnsi="Arial" w:cs="Arial"/>
          <w:bCs/>
          <w:iCs/>
        </w:rPr>
        <w:t xml:space="preserve"> some particularity concerning </w:t>
      </w:r>
      <w:r w:rsidR="002D137D" w:rsidRPr="0011441A">
        <w:rPr>
          <w:rFonts w:ascii="Arial" w:hAnsi="Arial" w:cs="Arial"/>
          <w:iCs/>
        </w:rPr>
        <w:t xml:space="preserve">the negotiations leading up to the conclusion of the </w:t>
      </w:r>
      <w:r w:rsidR="003708C1" w:rsidRPr="0011441A">
        <w:rPr>
          <w:rFonts w:ascii="Arial" w:hAnsi="Arial" w:cs="Arial"/>
          <w:iCs/>
        </w:rPr>
        <w:t xml:space="preserve">credit </w:t>
      </w:r>
      <w:r w:rsidR="002D137D" w:rsidRPr="0011441A">
        <w:rPr>
          <w:rFonts w:ascii="Arial" w:hAnsi="Arial" w:cs="Arial"/>
          <w:iCs/>
        </w:rPr>
        <w:t xml:space="preserve">agreement; </w:t>
      </w:r>
      <w:r w:rsidR="00C05AF0" w:rsidRPr="0011441A">
        <w:rPr>
          <w:rFonts w:ascii="Arial" w:hAnsi="Arial" w:cs="Arial"/>
          <w:iCs/>
        </w:rPr>
        <w:t xml:space="preserve">should </w:t>
      </w:r>
      <w:r w:rsidR="002D137D" w:rsidRPr="0011441A">
        <w:rPr>
          <w:rFonts w:ascii="Arial" w:hAnsi="Arial" w:cs="Arial"/>
          <w:iCs/>
        </w:rPr>
        <w:t>ident</w:t>
      </w:r>
      <w:r w:rsidR="00C05AF0" w:rsidRPr="0011441A">
        <w:rPr>
          <w:rFonts w:ascii="Arial" w:hAnsi="Arial" w:cs="Arial"/>
          <w:iCs/>
        </w:rPr>
        <w:t>ify</w:t>
      </w:r>
      <w:r w:rsidR="002D137D" w:rsidRPr="0011441A">
        <w:rPr>
          <w:rFonts w:ascii="Arial" w:hAnsi="Arial" w:cs="Arial"/>
          <w:iCs/>
        </w:rPr>
        <w:t xml:space="preserve"> the parties involved in the negotiations, to the extent that the defendant is able to do so; and should have disclosed details concerning any credit application that he signed and the circumstances in which he signed those credit applications. Levenberg AJ further held that to the extent that each defendant wishes to avail itself of s</w:t>
      </w:r>
      <w:r w:rsidR="00C05AF0" w:rsidRPr="0011441A">
        <w:rPr>
          <w:rFonts w:ascii="Arial" w:hAnsi="Arial" w:cs="Arial"/>
          <w:iCs/>
        </w:rPr>
        <w:t>ection</w:t>
      </w:r>
      <w:r w:rsidR="002D137D" w:rsidRPr="0011441A">
        <w:rPr>
          <w:rFonts w:ascii="Arial" w:hAnsi="Arial" w:cs="Arial"/>
          <w:iCs/>
        </w:rPr>
        <w:t xml:space="preserve"> 80(1)(b)</w:t>
      </w:r>
      <w:r w:rsidR="0011441A" w:rsidRPr="0011441A">
        <w:rPr>
          <w:rFonts w:ascii="Arial" w:hAnsi="Arial" w:cs="Arial"/>
          <w:iCs/>
        </w:rPr>
        <w:t xml:space="preserve"> (</w:t>
      </w:r>
      <w:r>
        <w:rPr>
          <w:rFonts w:ascii="Arial" w:hAnsi="Arial" w:cs="Arial"/>
          <w:iCs/>
        </w:rPr>
        <w:t xml:space="preserve">namely that the consumer </w:t>
      </w:r>
      <w:r w:rsidR="0011441A" w:rsidRPr="0011441A">
        <w:rPr>
          <w:rFonts w:ascii="Arial" w:hAnsi="Arial" w:cs="Arial"/>
          <w:color w:val="000000"/>
          <w:lang w:eastAsia="en-ZA"/>
        </w:rPr>
        <w:t>did not generally understand or appreciate the consumer's risks, costs or obligations under the proposed credit agreement</w:t>
      </w:r>
      <w:r>
        <w:rPr>
          <w:rFonts w:ascii="Arial" w:hAnsi="Arial" w:cs="Arial"/>
          <w:color w:val="000000"/>
          <w:lang w:eastAsia="en-ZA"/>
        </w:rPr>
        <w:t xml:space="preserve">) </w:t>
      </w:r>
      <w:r w:rsidR="002D137D" w:rsidRPr="0011441A">
        <w:rPr>
          <w:rFonts w:ascii="Arial" w:hAnsi="Arial" w:cs="Arial"/>
          <w:iCs/>
        </w:rPr>
        <w:t xml:space="preserve">a defendant should have provided information demonstrating his level of education and experience at the time relating to the risk of incurring credit; details of all of his indebtedness at the time that the </w:t>
      </w:r>
      <w:r w:rsidR="003708C1" w:rsidRPr="0011441A">
        <w:rPr>
          <w:rFonts w:ascii="Arial" w:hAnsi="Arial" w:cs="Arial"/>
          <w:iCs/>
        </w:rPr>
        <w:t xml:space="preserve">credit </w:t>
      </w:r>
      <w:r w:rsidR="002D137D" w:rsidRPr="0011441A">
        <w:rPr>
          <w:rFonts w:ascii="Arial" w:hAnsi="Arial" w:cs="Arial"/>
          <w:iCs/>
        </w:rPr>
        <w:t>agreement was concluded, as well as information concerning</w:t>
      </w:r>
      <w:r w:rsidR="002D137D" w:rsidRPr="00EB5705">
        <w:rPr>
          <w:rFonts w:ascii="Arial" w:hAnsi="Arial" w:cs="Arial"/>
          <w:iCs/>
        </w:rPr>
        <w:t xml:space="preserve"> the defendant’s potential income and expenditure. Lastly, information should have been provided concerning a defendant’s current level of indebtedness, and income and expenditure, in order to enable the court to evaluate whether the court might, in the </w:t>
      </w:r>
      <w:r w:rsidR="002D137D" w:rsidRPr="00EB5705">
        <w:rPr>
          <w:rFonts w:ascii="Arial" w:hAnsi="Arial" w:cs="Arial"/>
          <w:iCs/>
        </w:rPr>
        <w:lastRenderedPageBreak/>
        <w:t>exercise of its discretion, either set aside the credit agreement, or suspend it.</w:t>
      </w:r>
    </w:p>
    <w:p w:rsidR="002D137D" w:rsidRPr="0044335C" w:rsidRDefault="00EF4448" w:rsidP="0044335C">
      <w:pPr>
        <w:spacing w:after="240" w:line="480" w:lineRule="auto"/>
        <w:jc w:val="both"/>
        <w:rPr>
          <w:rFonts w:ascii="Arial" w:hAnsi="Arial" w:cs="Arial"/>
          <w:i/>
          <w:iCs/>
        </w:rPr>
      </w:pPr>
      <w:r>
        <w:rPr>
          <w:rFonts w:ascii="Arial" w:hAnsi="Arial" w:cs="Arial"/>
        </w:rPr>
        <w:t>[19</w:t>
      </w:r>
      <w:r w:rsidR="002D137D" w:rsidRPr="00EB5705">
        <w:rPr>
          <w:rFonts w:ascii="Arial" w:hAnsi="Arial" w:cs="Arial"/>
        </w:rPr>
        <w:t xml:space="preserve">] </w:t>
      </w:r>
      <w:r w:rsidR="00C05AF0" w:rsidRPr="00EB5705">
        <w:rPr>
          <w:rFonts w:ascii="Arial" w:hAnsi="Arial" w:cs="Arial"/>
        </w:rPr>
        <w:t>Similarly, in the present matter, i</w:t>
      </w:r>
      <w:r w:rsidR="002D137D" w:rsidRPr="00EB5705">
        <w:rPr>
          <w:rFonts w:ascii="Arial" w:hAnsi="Arial" w:cs="Arial"/>
          <w:color w:val="000000"/>
          <w:lang w:eastAsia="en-ZA"/>
        </w:rPr>
        <w:t>f Mr Phiri alleges that credit had been granted recklessly because no assessment was made before the credit was granted</w:t>
      </w:r>
      <w:bookmarkStart w:id="20" w:name="0-0-0-65431"/>
      <w:bookmarkEnd w:id="20"/>
      <w:r w:rsidR="002D137D" w:rsidRPr="00EB5705">
        <w:rPr>
          <w:rFonts w:ascii="Arial" w:hAnsi="Arial" w:cs="Arial"/>
          <w:color w:val="000000"/>
          <w:lang w:eastAsia="en-ZA"/>
        </w:rPr>
        <w:t xml:space="preserve">, he should have given the details of the negotiations leading up to the conclusion of the </w:t>
      </w:r>
      <w:r w:rsidR="003708C1">
        <w:rPr>
          <w:rFonts w:ascii="Arial" w:hAnsi="Arial" w:cs="Arial"/>
          <w:color w:val="000000"/>
          <w:lang w:eastAsia="en-ZA"/>
        </w:rPr>
        <w:t xml:space="preserve">credit </w:t>
      </w:r>
      <w:r w:rsidR="002D137D" w:rsidRPr="00EB5705">
        <w:rPr>
          <w:rFonts w:ascii="Arial" w:hAnsi="Arial" w:cs="Arial"/>
          <w:color w:val="000000"/>
          <w:lang w:eastAsia="en-ZA"/>
        </w:rPr>
        <w:t>agreement, and should have</w:t>
      </w:r>
      <w:r w:rsidR="00C05AF0" w:rsidRPr="00EB5705">
        <w:rPr>
          <w:rFonts w:ascii="Arial" w:hAnsi="Arial" w:cs="Arial"/>
          <w:color w:val="000000"/>
          <w:lang w:eastAsia="en-ZA"/>
        </w:rPr>
        <w:t>, at least,</w:t>
      </w:r>
      <w:r w:rsidR="002D137D" w:rsidRPr="00EB5705">
        <w:rPr>
          <w:rFonts w:ascii="Arial" w:hAnsi="Arial" w:cs="Arial"/>
          <w:color w:val="000000"/>
          <w:lang w:eastAsia="en-ZA"/>
        </w:rPr>
        <w:t xml:space="preserve"> identified the parties to the negotiations. He should also have disclosed details regarding any credit application that he signed and the circumstances in which he signed it</w:t>
      </w:r>
      <w:r w:rsidR="00C05AF0" w:rsidRPr="00EB5705">
        <w:rPr>
          <w:rFonts w:ascii="Arial" w:hAnsi="Arial" w:cs="Arial"/>
          <w:color w:val="000000"/>
          <w:lang w:eastAsia="en-ZA"/>
        </w:rPr>
        <w:t xml:space="preserve">. </w:t>
      </w:r>
      <w:r w:rsidR="00EB5705" w:rsidRPr="00482EB8">
        <w:rPr>
          <w:rFonts w:ascii="Arial" w:hAnsi="Arial" w:cs="Arial"/>
          <w:color w:val="000000"/>
          <w:lang w:eastAsia="en-ZA"/>
        </w:rPr>
        <w:t xml:space="preserve">Moreover, </w:t>
      </w:r>
      <w:r w:rsidR="00EB5705" w:rsidRPr="00EB5705">
        <w:rPr>
          <w:rFonts w:ascii="Arial" w:hAnsi="Arial" w:cs="Arial"/>
          <w:color w:val="000000"/>
          <w:lang w:eastAsia="en-ZA"/>
        </w:rPr>
        <w:t>Mr Phiri</w:t>
      </w:r>
      <w:r w:rsidR="00EB5705" w:rsidRPr="00482EB8">
        <w:rPr>
          <w:rFonts w:ascii="Arial" w:hAnsi="Arial" w:cs="Arial"/>
          <w:color w:val="000000"/>
          <w:lang w:eastAsia="en-ZA"/>
        </w:rPr>
        <w:t xml:space="preserve"> did not disclose the nature and content of the financial information </w:t>
      </w:r>
      <w:r w:rsidR="00EB5705" w:rsidRPr="00EB5705">
        <w:rPr>
          <w:rFonts w:ascii="Arial" w:hAnsi="Arial" w:cs="Arial"/>
          <w:color w:val="000000"/>
          <w:lang w:eastAsia="en-ZA"/>
        </w:rPr>
        <w:t>he</w:t>
      </w:r>
      <w:r w:rsidR="00EB5705" w:rsidRPr="00482EB8">
        <w:rPr>
          <w:rFonts w:ascii="Arial" w:hAnsi="Arial" w:cs="Arial"/>
          <w:color w:val="000000"/>
          <w:lang w:eastAsia="en-ZA"/>
        </w:rPr>
        <w:t xml:space="preserve"> in fact disclosed to the plaintiff when the assessment was done. </w:t>
      </w:r>
      <w:r w:rsidR="00EB5705" w:rsidRPr="00EB5705">
        <w:rPr>
          <w:rFonts w:ascii="Arial" w:hAnsi="Arial" w:cs="Arial"/>
          <w:color w:val="000000"/>
          <w:lang w:eastAsia="en-ZA"/>
        </w:rPr>
        <w:t xml:space="preserve">He did not provide details of his </w:t>
      </w:r>
      <w:r w:rsidR="00EB5705" w:rsidRPr="00482EB8">
        <w:rPr>
          <w:rFonts w:ascii="Arial" w:hAnsi="Arial" w:cs="Arial"/>
          <w:color w:val="000000"/>
          <w:lang w:eastAsia="en-ZA"/>
        </w:rPr>
        <w:t xml:space="preserve">income and expenses </w:t>
      </w:r>
      <w:r w:rsidR="00EB5705" w:rsidRPr="00EB5705">
        <w:rPr>
          <w:rFonts w:ascii="Arial" w:hAnsi="Arial" w:cs="Arial"/>
          <w:color w:val="000000"/>
          <w:lang w:eastAsia="en-ZA"/>
        </w:rPr>
        <w:t>at the time he</w:t>
      </w:r>
      <w:r w:rsidR="00EB5705" w:rsidRPr="00482EB8">
        <w:rPr>
          <w:rFonts w:ascii="Arial" w:hAnsi="Arial" w:cs="Arial"/>
          <w:color w:val="000000"/>
          <w:lang w:eastAsia="en-ZA"/>
        </w:rPr>
        <w:t xml:space="preserve"> applied for the loan or what they are currently. </w:t>
      </w:r>
      <w:r w:rsidR="00C05AF0" w:rsidRPr="00EB5705">
        <w:rPr>
          <w:rFonts w:ascii="Arial" w:hAnsi="Arial" w:cs="Arial"/>
          <w:color w:val="000000"/>
          <w:lang w:eastAsia="en-ZA"/>
        </w:rPr>
        <w:t>This</w:t>
      </w:r>
      <w:r w:rsidR="002D137D" w:rsidRPr="00EB5705">
        <w:rPr>
          <w:rFonts w:ascii="Arial" w:hAnsi="Arial" w:cs="Arial"/>
          <w:color w:val="000000"/>
          <w:lang w:eastAsia="en-ZA"/>
        </w:rPr>
        <w:t xml:space="preserve"> inf</w:t>
      </w:r>
      <w:r w:rsidR="00C05AF0" w:rsidRPr="00EB5705">
        <w:rPr>
          <w:rFonts w:ascii="Arial" w:hAnsi="Arial" w:cs="Arial"/>
          <w:color w:val="000000"/>
          <w:lang w:eastAsia="en-ZA"/>
        </w:rPr>
        <w:t>ormation would have assisted this</w:t>
      </w:r>
      <w:r w:rsidR="002D137D" w:rsidRPr="00EB5705">
        <w:rPr>
          <w:rFonts w:ascii="Arial" w:hAnsi="Arial" w:cs="Arial"/>
          <w:color w:val="000000"/>
          <w:lang w:eastAsia="en-ZA"/>
        </w:rPr>
        <w:t xml:space="preserve"> court to evaluate whether there </w:t>
      </w:r>
      <w:r w:rsidR="00C05AF0" w:rsidRPr="00EB5705">
        <w:rPr>
          <w:rFonts w:ascii="Arial" w:hAnsi="Arial" w:cs="Arial"/>
          <w:color w:val="000000"/>
          <w:lang w:eastAsia="en-ZA"/>
        </w:rPr>
        <w:t>is</w:t>
      </w:r>
      <w:r w:rsidR="002D137D" w:rsidRPr="00EB5705">
        <w:rPr>
          <w:rFonts w:ascii="Arial" w:hAnsi="Arial" w:cs="Arial"/>
          <w:color w:val="000000"/>
          <w:lang w:eastAsia="en-ZA"/>
        </w:rPr>
        <w:t xml:space="preserve"> a basis for the allegation that no assessment was conducted under the Act.</w:t>
      </w:r>
      <w:r w:rsidR="002D137D" w:rsidRPr="00EB5705">
        <w:rPr>
          <w:rFonts w:ascii="Arial" w:hAnsi="Arial" w:cs="Arial"/>
        </w:rPr>
        <w:t xml:space="preserve"> In the present matter Mr Phiri gave no information whatsoever. Moreover, </w:t>
      </w:r>
      <w:r w:rsidR="00C05AF0" w:rsidRPr="00EB5705">
        <w:rPr>
          <w:rFonts w:ascii="Arial" w:hAnsi="Arial" w:cs="Arial"/>
        </w:rPr>
        <w:t>he did not plead</w:t>
      </w:r>
      <w:r w:rsidR="002D137D" w:rsidRPr="00EB5705">
        <w:rPr>
          <w:rFonts w:ascii="Arial" w:hAnsi="Arial" w:cs="Arial"/>
        </w:rPr>
        <w:t xml:space="preserve"> that </w:t>
      </w:r>
      <w:r w:rsidR="002D137D" w:rsidRPr="00EB5705">
        <w:rPr>
          <w:rFonts w:ascii="Arial" w:hAnsi="Arial" w:cs="Arial"/>
          <w:iCs/>
        </w:rPr>
        <w:t xml:space="preserve">he is entitled to an order setting aside the </w:t>
      </w:r>
      <w:r w:rsidR="003708C1">
        <w:rPr>
          <w:rFonts w:ascii="Arial" w:hAnsi="Arial" w:cs="Arial"/>
          <w:iCs/>
        </w:rPr>
        <w:t xml:space="preserve">credit </w:t>
      </w:r>
      <w:r w:rsidR="002D137D" w:rsidRPr="00EB5705">
        <w:rPr>
          <w:rFonts w:ascii="Arial" w:hAnsi="Arial" w:cs="Arial"/>
          <w:iCs/>
        </w:rPr>
        <w:t>agreement as contemplated</w:t>
      </w:r>
      <w:r w:rsidR="002D137D" w:rsidRPr="00F14CDB">
        <w:rPr>
          <w:rFonts w:ascii="Arial" w:hAnsi="Arial" w:cs="Arial"/>
          <w:iCs/>
        </w:rPr>
        <w:t xml:space="preserve"> in section 83(2) of the NCA.</w:t>
      </w:r>
      <w:r w:rsidR="002D137D" w:rsidRPr="00F14CDB">
        <w:rPr>
          <w:rFonts w:ascii="Arial" w:hAnsi="Arial" w:cs="Arial"/>
          <w:i/>
          <w:iCs/>
        </w:rPr>
        <w:t xml:space="preserve"> </w:t>
      </w:r>
      <w:r w:rsidR="002D137D" w:rsidRPr="00F14CDB">
        <w:rPr>
          <w:rFonts w:ascii="Arial" w:hAnsi="Arial" w:cs="Arial"/>
          <w:iCs/>
        </w:rPr>
        <w:t xml:space="preserve">This </w:t>
      </w:r>
      <w:r>
        <w:rPr>
          <w:rFonts w:ascii="Arial" w:hAnsi="Arial" w:cs="Arial"/>
          <w:iCs/>
        </w:rPr>
        <w:t xml:space="preserve">failure is, in my view, </w:t>
      </w:r>
      <w:r w:rsidR="002D137D" w:rsidRPr="00F14CDB">
        <w:rPr>
          <w:rFonts w:ascii="Arial" w:hAnsi="Arial" w:cs="Arial"/>
        </w:rPr>
        <w:t xml:space="preserve">fatal to his </w:t>
      </w:r>
      <w:r w:rsidR="003C0AA0">
        <w:rPr>
          <w:rFonts w:ascii="Arial" w:hAnsi="Arial" w:cs="Arial"/>
        </w:rPr>
        <w:t>defence</w:t>
      </w:r>
      <w:r w:rsidR="002D137D" w:rsidRPr="00F14CDB">
        <w:rPr>
          <w:rFonts w:ascii="Arial" w:hAnsi="Arial" w:cs="Arial"/>
        </w:rPr>
        <w:t xml:space="preserve">.  </w:t>
      </w:r>
    </w:p>
    <w:p w:rsidR="002D137D" w:rsidRPr="00080172" w:rsidRDefault="00EF4448" w:rsidP="002D137D">
      <w:pPr>
        <w:widowControl w:val="0"/>
        <w:spacing w:after="120" w:line="480" w:lineRule="auto"/>
        <w:jc w:val="both"/>
        <w:rPr>
          <w:rFonts w:ascii="Arial" w:hAnsi="Arial" w:cs="Arial"/>
        </w:rPr>
      </w:pPr>
      <w:r>
        <w:rPr>
          <w:rFonts w:ascii="Arial" w:hAnsi="Arial" w:cs="Arial"/>
          <w:bCs/>
        </w:rPr>
        <w:t>[20</w:t>
      </w:r>
      <w:r w:rsidR="002D137D" w:rsidRPr="00F14CDB">
        <w:rPr>
          <w:rFonts w:ascii="Arial" w:hAnsi="Arial" w:cs="Arial"/>
          <w:bCs/>
        </w:rPr>
        <w:t xml:space="preserve">] The </w:t>
      </w:r>
      <w:r w:rsidR="002D137D" w:rsidRPr="00F14CDB">
        <w:rPr>
          <w:rFonts w:ascii="Arial" w:hAnsi="Arial" w:cs="Arial"/>
        </w:rPr>
        <w:t xml:space="preserve">defence of reckless credit is under the circumstances bald, unsubstantiated and unconvincing. </w:t>
      </w:r>
      <w:r w:rsidR="002D137D" w:rsidRPr="00F14CDB">
        <w:rPr>
          <w:rFonts w:ascii="Arial" w:hAnsi="Arial" w:cs="Arial"/>
          <w:lang w:val="en-ZA"/>
        </w:rPr>
        <w:t xml:space="preserve">It does not </w:t>
      </w:r>
      <w:r w:rsidR="002D137D" w:rsidRPr="00F14CDB">
        <w:rPr>
          <w:rFonts w:ascii="Arial" w:hAnsi="Arial" w:cs="Arial"/>
          <w:bCs/>
          <w:iCs/>
          <w:lang w:val="en-ZA"/>
        </w:rPr>
        <w:t xml:space="preserve">contain a reasonable amount of verificatory detail </w:t>
      </w:r>
      <w:r w:rsidR="002D137D" w:rsidRPr="00F14CDB">
        <w:rPr>
          <w:rFonts w:ascii="Arial" w:hAnsi="Arial" w:cs="Arial"/>
          <w:lang w:val="en-ZA"/>
        </w:rPr>
        <w:t>and is merely raised for the purposes of delay.</w:t>
      </w:r>
      <w:r w:rsidR="002D137D" w:rsidRPr="0010488B">
        <w:rPr>
          <w:rFonts w:ascii="Arial" w:hAnsi="Arial" w:cs="Arial"/>
          <w:lang w:val="en-ZA"/>
        </w:rPr>
        <w:t xml:space="preserve"> </w:t>
      </w:r>
    </w:p>
    <w:p w:rsidR="002D137D" w:rsidRPr="00E0075B" w:rsidRDefault="002D137D" w:rsidP="002D137D">
      <w:pPr>
        <w:widowControl w:val="0"/>
        <w:spacing w:after="120" w:line="480" w:lineRule="auto"/>
        <w:jc w:val="both"/>
        <w:rPr>
          <w:rFonts w:ascii="Arial" w:hAnsi="Arial" w:cs="Arial"/>
          <w:b/>
          <w:i/>
        </w:rPr>
      </w:pPr>
      <w:r w:rsidRPr="00E0075B">
        <w:rPr>
          <w:rFonts w:ascii="Arial" w:hAnsi="Arial" w:cs="Arial"/>
          <w:b/>
          <w:i/>
        </w:rPr>
        <w:t>The delivery of the vehicle.</w:t>
      </w:r>
    </w:p>
    <w:p w:rsidR="0044335C" w:rsidRDefault="00EF4448" w:rsidP="0044335C">
      <w:pPr>
        <w:widowControl w:val="0"/>
        <w:spacing w:before="240" w:after="120" w:line="480" w:lineRule="auto"/>
        <w:jc w:val="both"/>
        <w:rPr>
          <w:rFonts w:ascii="Arial" w:hAnsi="Arial" w:cs="Arial"/>
          <w:lang w:val="en-ZA"/>
        </w:rPr>
      </w:pPr>
      <w:r>
        <w:rPr>
          <w:rFonts w:ascii="Arial" w:hAnsi="Arial" w:cs="Arial"/>
        </w:rPr>
        <w:t>[21</w:t>
      </w:r>
      <w:r w:rsidR="002D137D">
        <w:rPr>
          <w:rFonts w:ascii="Arial" w:hAnsi="Arial" w:cs="Arial"/>
        </w:rPr>
        <w:t>] If</w:t>
      </w:r>
      <w:r w:rsidR="002D137D" w:rsidRPr="0010488B">
        <w:rPr>
          <w:rFonts w:ascii="Arial" w:hAnsi="Arial" w:cs="Arial"/>
        </w:rPr>
        <w:t xml:space="preserve"> a court declares a credit agreement to be reckless, it can</w:t>
      </w:r>
      <w:r w:rsidR="002D137D">
        <w:rPr>
          <w:rFonts w:ascii="Arial" w:hAnsi="Arial" w:cs="Arial"/>
        </w:rPr>
        <w:t>, in terms of section 83 of the NCA</w:t>
      </w:r>
      <w:r w:rsidR="002D137D" w:rsidRPr="0010488B">
        <w:rPr>
          <w:rFonts w:ascii="Arial" w:hAnsi="Arial" w:cs="Arial"/>
        </w:rPr>
        <w:t xml:space="preserve"> either 'set aside' the consumer's 'rights and obligations' in whole or in part, or suspend the force and</w:t>
      </w:r>
      <w:r w:rsidR="002D137D">
        <w:rPr>
          <w:rFonts w:ascii="Arial" w:hAnsi="Arial" w:cs="Arial"/>
        </w:rPr>
        <w:t xml:space="preserve"> effect of the credit agreement. </w:t>
      </w:r>
      <w:r>
        <w:rPr>
          <w:rFonts w:ascii="Arial" w:hAnsi="Arial" w:cs="Arial"/>
        </w:rPr>
        <w:t xml:space="preserve">As alluded to earlier, </w:t>
      </w:r>
      <w:r w:rsidR="002D137D">
        <w:rPr>
          <w:rFonts w:ascii="Arial" w:hAnsi="Arial" w:cs="Arial"/>
          <w:lang w:val="en-ZA"/>
        </w:rPr>
        <w:t xml:space="preserve">Mr Phiri did not plead </w:t>
      </w:r>
      <w:r w:rsidR="002D137D" w:rsidRPr="00E0075B">
        <w:rPr>
          <w:rFonts w:ascii="Arial" w:hAnsi="Arial" w:cs="Arial"/>
          <w:iCs/>
        </w:rPr>
        <w:t xml:space="preserve">that he is entitled to an order setting aside the </w:t>
      </w:r>
      <w:r w:rsidR="003708C1">
        <w:rPr>
          <w:rFonts w:ascii="Arial" w:hAnsi="Arial" w:cs="Arial"/>
          <w:iCs/>
        </w:rPr>
        <w:t xml:space="preserve">credit </w:t>
      </w:r>
      <w:r w:rsidR="002D137D" w:rsidRPr="00E0075B">
        <w:rPr>
          <w:rFonts w:ascii="Arial" w:hAnsi="Arial" w:cs="Arial"/>
          <w:iCs/>
        </w:rPr>
        <w:t>agreement as contemplated in section 83(2) of the NCA.</w:t>
      </w:r>
    </w:p>
    <w:p w:rsidR="002D137D" w:rsidRPr="0044335C" w:rsidRDefault="00EF4448" w:rsidP="0044335C">
      <w:pPr>
        <w:widowControl w:val="0"/>
        <w:spacing w:before="240" w:after="120" w:line="480" w:lineRule="auto"/>
        <w:jc w:val="both"/>
        <w:rPr>
          <w:rFonts w:ascii="Arial" w:hAnsi="Arial" w:cs="Arial"/>
          <w:lang w:val="en-ZA"/>
        </w:rPr>
      </w:pPr>
      <w:r>
        <w:rPr>
          <w:rFonts w:ascii="Arial" w:hAnsi="Arial" w:cs="Arial"/>
          <w:lang w:val="en-ZA"/>
        </w:rPr>
        <w:lastRenderedPageBreak/>
        <w:t>[22</w:t>
      </w:r>
      <w:r w:rsidR="002D137D" w:rsidRPr="00F14CDB">
        <w:rPr>
          <w:rFonts w:ascii="Arial" w:hAnsi="Arial" w:cs="Arial"/>
          <w:lang w:val="en-ZA"/>
        </w:rPr>
        <w:t xml:space="preserve">] In any event, </w:t>
      </w:r>
      <w:r w:rsidR="006601D9">
        <w:rPr>
          <w:rFonts w:ascii="Arial" w:hAnsi="Arial" w:cs="Arial"/>
          <w:lang w:val="en-ZA"/>
        </w:rPr>
        <w:t>Masipa J in the matter of</w:t>
      </w:r>
      <w:r w:rsidR="00767B98">
        <w:rPr>
          <w:rFonts w:ascii="Arial" w:hAnsi="Arial" w:cs="Arial"/>
          <w:lang w:val="en-ZA"/>
        </w:rPr>
        <w:t xml:space="preserve"> </w:t>
      </w:r>
      <w:r w:rsidR="00767B98" w:rsidRPr="0044335C">
        <w:rPr>
          <w:rFonts w:ascii="Arial" w:hAnsi="Arial" w:cs="Arial"/>
          <w:i/>
          <w:lang w:val="en-ZA"/>
        </w:rPr>
        <w:t>Standard Bank of South Africa Ltd v</w:t>
      </w:r>
      <w:r w:rsidR="00767B98">
        <w:rPr>
          <w:rFonts w:ascii="Arial" w:hAnsi="Arial" w:cs="Arial"/>
          <w:lang w:val="en-ZA"/>
        </w:rPr>
        <w:t xml:space="preserve"> </w:t>
      </w:r>
      <w:r w:rsidR="00767B98" w:rsidRPr="0044335C">
        <w:rPr>
          <w:rFonts w:ascii="Arial" w:hAnsi="Arial" w:cs="Arial"/>
          <w:i/>
          <w:lang w:val="en-ZA"/>
        </w:rPr>
        <w:t>Panayiotts</w:t>
      </w:r>
      <w:r w:rsidR="002D137D" w:rsidRPr="00F14CDB">
        <w:rPr>
          <w:rStyle w:val="FootnoteReference"/>
          <w:rFonts w:ascii="Arial" w:hAnsi="Arial" w:cs="Arial"/>
        </w:rPr>
        <w:footnoteReference w:id="11"/>
      </w:r>
      <w:r w:rsidR="002D137D">
        <w:rPr>
          <w:rFonts w:ascii="Arial" w:hAnsi="Arial" w:cs="Arial"/>
        </w:rPr>
        <w:t xml:space="preserve"> </w:t>
      </w:r>
      <w:r w:rsidR="006601D9">
        <w:rPr>
          <w:rFonts w:ascii="Arial" w:hAnsi="Arial" w:cs="Arial"/>
        </w:rPr>
        <w:t xml:space="preserve">(which dealt with a defence of over-indebtedness) held </w:t>
      </w:r>
      <w:r w:rsidR="006601D9" w:rsidRPr="0010488B">
        <w:rPr>
          <w:rFonts w:ascii="Arial" w:hAnsi="Arial" w:cs="Arial"/>
        </w:rPr>
        <w:t xml:space="preserve">that the NCA did not envisage that a consumer could claim to be over-indebted while he or she retained possession of the goods which formed the subject-matter of the </w:t>
      </w:r>
      <w:r w:rsidR="003708C1">
        <w:rPr>
          <w:rFonts w:ascii="Arial" w:hAnsi="Arial" w:cs="Arial"/>
        </w:rPr>
        <w:t xml:space="preserve">credit </w:t>
      </w:r>
      <w:r w:rsidR="006601D9" w:rsidRPr="0010488B">
        <w:rPr>
          <w:rFonts w:ascii="Arial" w:hAnsi="Arial" w:cs="Arial"/>
        </w:rPr>
        <w:t xml:space="preserve">agreement. The goods had to be sold to reduce </w:t>
      </w:r>
      <w:r w:rsidR="006601D9">
        <w:rPr>
          <w:rFonts w:ascii="Arial" w:hAnsi="Arial" w:cs="Arial"/>
        </w:rPr>
        <w:t>the defendant’s</w:t>
      </w:r>
      <w:r w:rsidR="006601D9" w:rsidRPr="0010488B">
        <w:rPr>
          <w:rFonts w:ascii="Arial" w:hAnsi="Arial" w:cs="Arial"/>
        </w:rPr>
        <w:t xml:space="preserve"> indebtedness. She further held that allowing the debtor to remain in possession of the item of security whilst it depreciated in value was prejudicial to the creditor. This also holds true in the present matter.</w:t>
      </w:r>
    </w:p>
    <w:p w:rsidR="002D137D" w:rsidRDefault="00EF4448" w:rsidP="006601D9">
      <w:pPr>
        <w:keepNext/>
        <w:spacing w:after="240" w:line="480" w:lineRule="auto"/>
        <w:jc w:val="both"/>
        <w:rPr>
          <w:rFonts w:ascii="Arial" w:hAnsi="Arial" w:cs="Arial"/>
        </w:rPr>
      </w:pPr>
      <w:r>
        <w:rPr>
          <w:rFonts w:ascii="Arial" w:hAnsi="Arial" w:cs="Arial"/>
        </w:rPr>
        <w:t>[23</w:t>
      </w:r>
      <w:r w:rsidR="006601D9">
        <w:rPr>
          <w:rFonts w:ascii="Arial" w:hAnsi="Arial" w:cs="Arial"/>
        </w:rPr>
        <w:t xml:space="preserve">] In </w:t>
      </w:r>
      <w:r w:rsidR="006601D9" w:rsidRPr="006601D9">
        <w:rPr>
          <w:rFonts w:ascii="Arial" w:hAnsi="Arial" w:cs="Arial"/>
          <w:i/>
        </w:rPr>
        <w:t>SA Taxi</w:t>
      </w:r>
      <w:r w:rsidR="003C0AA0">
        <w:rPr>
          <w:rFonts w:ascii="Arial" w:hAnsi="Arial" w:cs="Arial"/>
        </w:rPr>
        <w:t xml:space="preserve">, </w:t>
      </w:r>
      <w:r w:rsidR="006601D9" w:rsidRPr="006601D9">
        <w:rPr>
          <w:rFonts w:ascii="Arial" w:hAnsi="Arial" w:cs="Arial"/>
        </w:rPr>
        <w:t xml:space="preserve">Levenberg AJ held </w:t>
      </w:r>
      <w:r w:rsidR="003C0AA0">
        <w:rPr>
          <w:rFonts w:ascii="Arial" w:hAnsi="Arial" w:cs="Arial"/>
        </w:rPr>
        <w:t>that a</w:t>
      </w:r>
      <w:r w:rsidR="002D137D" w:rsidRPr="006601D9">
        <w:rPr>
          <w:rFonts w:ascii="Arial" w:hAnsi="Arial" w:cs="Arial"/>
        </w:rPr>
        <w:t>lthough s</w:t>
      </w:r>
      <w:r w:rsidR="003C0AA0">
        <w:rPr>
          <w:rFonts w:ascii="Arial" w:hAnsi="Arial" w:cs="Arial"/>
        </w:rPr>
        <w:t>ection</w:t>
      </w:r>
      <w:r w:rsidR="002D137D" w:rsidRPr="006601D9">
        <w:rPr>
          <w:rFonts w:ascii="Arial" w:hAnsi="Arial" w:cs="Arial"/>
        </w:rPr>
        <w:t xml:space="preserve"> 84(1</w:t>
      </w:r>
      <w:r w:rsidR="002D137D" w:rsidRPr="003C0AA0">
        <w:rPr>
          <w:rFonts w:ascii="Arial" w:hAnsi="Arial" w:cs="Arial"/>
        </w:rPr>
        <w:t>)</w:t>
      </w:r>
      <w:r w:rsidR="002D137D" w:rsidRPr="003C0AA0">
        <w:rPr>
          <w:rFonts w:ascii="Arial" w:hAnsi="Arial" w:cs="Arial"/>
          <w:iCs/>
        </w:rPr>
        <w:t>(c)</w:t>
      </w:r>
      <w:r w:rsidR="002D137D" w:rsidRPr="006601D9">
        <w:rPr>
          <w:rFonts w:ascii="Arial" w:hAnsi="Arial" w:cs="Arial"/>
        </w:rPr>
        <w:t> contemplates that the credit provider will not be entitled to enforce its rights during the period of suspension, that sub</w:t>
      </w:r>
      <w:r w:rsidR="00767B98">
        <w:rPr>
          <w:rFonts w:ascii="Arial" w:hAnsi="Arial" w:cs="Arial"/>
        </w:rPr>
        <w:t>-</w:t>
      </w:r>
      <w:r w:rsidR="002D137D" w:rsidRPr="006601D9">
        <w:rPr>
          <w:rFonts w:ascii="Arial" w:hAnsi="Arial" w:cs="Arial"/>
        </w:rPr>
        <w:t xml:space="preserve">section must be read with </w:t>
      </w:r>
      <w:r w:rsidR="00767B98">
        <w:rPr>
          <w:rFonts w:ascii="Arial" w:hAnsi="Arial" w:cs="Arial"/>
        </w:rPr>
        <w:t>sub-section</w:t>
      </w:r>
      <w:r w:rsidR="002D137D" w:rsidRPr="006601D9">
        <w:rPr>
          <w:rFonts w:ascii="Arial" w:hAnsi="Arial" w:cs="Arial"/>
        </w:rPr>
        <w:t xml:space="preserve"> 84(</w:t>
      </w:r>
      <w:r w:rsidR="002D137D" w:rsidRPr="00EF4448">
        <w:rPr>
          <w:rFonts w:ascii="Arial" w:hAnsi="Arial" w:cs="Arial"/>
        </w:rPr>
        <w:t>1)</w:t>
      </w:r>
      <w:r w:rsidR="002D137D" w:rsidRPr="00EF4448">
        <w:rPr>
          <w:rFonts w:ascii="Arial" w:hAnsi="Arial" w:cs="Arial"/>
          <w:iCs/>
        </w:rPr>
        <w:t>(a)</w:t>
      </w:r>
      <w:r w:rsidR="002D137D" w:rsidRPr="00EF4448">
        <w:rPr>
          <w:rFonts w:ascii="Arial" w:hAnsi="Arial" w:cs="Arial"/>
        </w:rPr>
        <w:t> and </w:t>
      </w:r>
      <w:r w:rsidR="002D137D" w:rsidRPr="00EF4448">
        <w:rPr>
          <w:rFonts w:ascii="Arial" w:hAnsi="Arial" w:cs="Arial"/>
          <w:iCs/>
        </w:rPr>
        <w:t>(b)</w:t>
      </w:r>
      <w:r w:rsidR="002D137D" w:rsidRPr="00EF4448">
        <w:rPr>
          <w:rFonts w:ascii="Arial" w:hAnsi="Arial" w:cs="Arial"/>
        </w:rPr>
        <w:t>.</w:t>
      </w:r>
      <w:r w:rsidR="002D137D" w:rsidRPr="006601D9">
        <w:rPr>
          <w:rFonts w:ascii="Arial" w:hAnsi="Arial" w:cs="Arial"/>
        </w:rPr>
        <w:t xml:space="preserve"> </w:t>
      </w:r>
      <w:r w:rsidR="006601D9" w:rsidRPr="006601D9">
        <w:rPr>
          <w:rFonts w:ascii="Arial" w:hAnsi="Arial" w:cs="Arial"/>
        </w:rPr>
        <w:t xml:space="preserve">He held </w:t>
      </w:r>
      <w:r w:rsidR="003C0AA0">
        <w:rPr>
          <w:rFonts w:ascii="Arial" w:hAnsi="Arial" w:cs="Arial"/>
        </w:rPr>
        <w:t xml:space="preserve">that </w:t>
      </w:r>
      <w:r w:rsidR="003C0AA0" w:rsidRPr="006601D9">
        <w:rPr>
          <w:rFonts w:ascii="Arial" w:hAnsi="Arial" w:cs="Arial"/>
        </w:rPr>
        <w:t xml:space="preserve">it </w:t>
      </w:r>
      <w:r w:rsidR="003C0AA0" w:rsidRPr="006601D9">
        <w:rPr>
          <w:rFonts w:ascii="Arial" w:hAnsi="Arial" w:cs="Arial"/>
          <w:bCs/>
        </w:rPr>
        <w:t>is significant that, in relation to the suspension of a credit agreement</w:t>
      </w:r>
      <w:r w:rsidR="003C0AA0" w:rsidRPr="006601D9">
        <w:rPr>
          <w:rFonts w:ascii="Arial" w:hAnsi="Arial" w:cs="Arial"/>
        </w:rPr>
        <w:t>, s</w:t>
      </w:r>
      <w:r w:rsidR="003C0AA0">
        <w:rPr>
          <w:rFonts w:ascii="Arial" w:hAnsi="Arial" w:cs="Arial"/>
        </w:rPr>
        <w:t>ection</w:t>
      </w:r>
      <w:r w:rsidR="003C0AA0" w:rsidRPr="006601D9">
        <w:rPr>
          <w:rFonts w:ascii="Arial" w:hAnsi="Arial" w:cs="Arial"/>
        </w:rPr>
        <w:t xml:space="preserve"> 84 </w:t>
      </w:r>
      <w:r w:rsidR="003C0AA0">
        <w:rPr>
          <w:rFonts w:ascii="Arial" w:hAnsi="Arial" w:cs="Arial"/>
        </w:rPr>
        <w:t xml:space="preserve">of the NCA </w:t>
      </w:r>
      <w:r w:rsidR="003C0AA0" w:rsidRPr="006601D9">
        <w:rPr>
          <w:rFonts w:ascii="Arial" w:hAnsi="Arial" w:cs="Arial"/>
        </w:rPr>
        <w:t xml:space="preserve">focuses on whether the consumer is required </w:t>
      </w:r>
      <w:r w:rsidR="003C0AA0" w:rsidRPr="003C0AA0">
        <w:rPr>
          <w:rFonts w:ascii="Arial" w:hAnsi="Arial" w:cs="Arial"/>
        </w:rPr>
        <w:t>to make </w:t>
      </w:r>
      <w:r w:rsidR="003C0AA0" w:rsidRPr="003C0AA0">
        <w:rPr>
          <w:rFonts w:ascii="Arial" w:hAnsi="Arial" w:cs="Arial"/>
          <w:iCs/>
        </w:rPr>
        <w:t>payments</w:t>
      </w:r>
      <w:r w:rsidR="003C0AA0" w:rsidRPr="003C0AA0">
        <w:rPr>
          <w:rFonts w:ascii="Arial" w:hAnsi="Arial" w:cs="Arial"/>
        </w:rPr>
        <w:t> or is obliged to </w:t>
      </w:r>
      <w:r w:rsidR="003C0AA0" w:rsidRPr="003C0AA0">
        <w:rPr>
          <w:rFonts w:ascii="Arial" w:hAnsi="Arial" w:cs="Arial"/>
          <w:iCs/>
        </w:rPr>
        <w:t>pay</w:t>
      </w:r>
      <w:r w:rsidR="003C0AA0" w:rsidRPr="003C0AA0">
        <w:rPr>
          <w:rFonts w:ascii="Arial" w:hAnsi="Arial" w:cs="Arial"/>
        </w:rPr>
        <w:t> any interest</w:t>
      </w:r>
      <w:r w:rsidR="003C0AA0" w:rsidRPr="006601D9">
        <w:rPr>
          <w:rFonts w:ascii="Arial" w:hAnsi="Arial" w:cs="Arial"/>
        </w:rPr>
        <w:t>, fee or other charge d</w:t>
      </w:r>
      <w:r w:rsidR="003C0AA0">
        <w:rPr>
          <w:rFonts w:ascii="Arial" w:hAnsi="Arial" w:cs="Arial"/>
        </w:rPr>
        <w:t xml:space="preserve">uring the period of suspension and </w:t>
      </w:r>
      <w:r w:rsidR="006601D9" w:rsidRPr="006601D9">
        <w:rPr>
          <w:rFonts w:ascii="Arial" w:hAnsi="Arial" w:cs="Arial"/>
        </w:rPr>
        <w:t xml:space="preserve">that there was therefore </w:t>
      </w:r>
      <w:r w:rsidR="006601D9" w:rsidRPr="006601D9">
        <w:rPr>
          <w:rFonts w:ascii="Arial" w:hAnsi="Arial" w:cs="Arial"/>
          <w:bCs/>
        </w:rPr>
        <w:t>no</w:t>
      </w:r>
      <w:r w:rsidR="002D137D" w:rsidRPr="006601D9">
        <w:rPr>
          <w:rFonts w:ascii="Arial" w:hAnsi="Arial" w:cs="Arial"/>
          <w:bCs/>
        </w:rPr>
        <w:t xml:space="preserve"> basis for reading into the language of the NCA a provision that, when suspension is appropriate, the court also has the power to permit the consumer to utilise the security in a manner which will permit it to deteriorate during the period of suspension</w:t>
      </w:r>
      <w:r w:rsidR="006601D9" w:rsidRPr="006601D9">
        <w:rPr>
          <w:rFonts w:ascii="Arial" w:hAnsi="Arial" w:cs="Arial"/>
        </w:rPr>
        <w:t>. At paragraph [46</w:t>
      </w:r>
      <w:r w:rsidR="006601D9">
        <w:rPr>
          <w:rFonts w:ascii="Arial" w:hAnsi="Arial" w:cs="Arial"/>
        </w:rPr>
        <w:t>]</w:t>
      </w:r>
      <w:r w:rsidR="003C0AA0">
        <w:rPr>
          <w:rFonts w:ascii="Arial" w:hAnsi="Arial" w:cs="Arial"/>
        </w:rPr>
        <w:t xml:space="preserve"> to [50]</w:t>
      </w:r>
      <w:r w:rsidR="006601D9">
        <w:rPr>
          <w:rFonts w:ascii="Arial" w:hAnsi="Arial" w:cs="Arial"/>
        </w:rPr>
        <w:t xml:space="preserve"> he states as follows:</w:t>
      </w:r>
    </w:p>
    <w:p w:rsidR="002D137D" w:rsidRPr="006601D9" w:rsidRDefault="006601D9" w:rsidP="006601D9">
      <w:pPr>
        <w:widowControl w:val="0"/>
        <w:spacing w:after="120" w:line="480" w:lineRule="auto"/>
        <w:ind w:left="720"/>
        <w:jc w:val="both"/>
        <w:rPr>
          <w:rFonts w:ascii="Arial" w:hAnsi="Arial" w:cs="Arial"/>
          <w:i/>
          <w:lang w:val="en-ZA"/>
        </w:rPr>
      </w:pPr>
      <w:r w:rsidRPr="006601D9">
        <w:rPr>
          <w:rFonts w:ascii="Arial" w:hAnsi="Arial" w:cs="Arial"/>
          <w:i/>
        </w:rPr>
        <w:t>“</w:t>
      </w:r>
      <w:r w:rsidR="002D137D" w:rsidRPr="006601D9">
        <w:rPr>
          <w:rFonts w:ascii="Arial" w:hAnsi="Arial" w:cs="Arial"/>
          <w:i/>
        </w:rPr>
        <w:t xml:space="preserve">[46] </w:t>
      </w:r>
      <w:r w:rsidR="002D137D" w:rsidRPr="006601D9">
        <w:rPr>
          <w:rFonts w:ascii="Arial" w:hAnsi="Arial" w:cs="Arial"/>
          <w:bCs/>
          <w:i/>
        </w:rPr>
        <w:t>It seems unlikely that the legislature ever intended that the consumer could keep the 'money and the box'</w:t>
      </w:r>
      <w:r w:rsidR="002D137D" w:rsidRPr="006601D9">
        <w:rPr>
          <w:rFonts w:ascii="Arial" w:hAnsi="Arial" w:cs="Arial"/>
          <w:i/>
        </w:rPr>
        <w:t xml:space="preserve">. If the consumer obtained possession and use of a motor vehicle in circumstances in which no credit should have been extended to the consumer, </w:t>
      </w:r>
      <w:r w:rsidR="002D137D" w:rsidRPr="006601D9">
        <w:rPr>
          <w:rFonts w:ascii="Arial" w:hAnsi="Arial" w:cs="Arial"/>
          <w:bCs/>
          <w:i/>
        </w:rPr>
        <w:t xml:space="preserve">it would be fundamentally unfair and counterproductive for the consumer to continue to use the vehicle, while at the same time not making any </w:t>
      </w:r>
      <w:r w:rsidR="002D137D" w:rsidRPr="006601D9">
        <w:rPr>
          <w:rFonts w:ascii="Arial" w:hAnsi="Arial" w:cs="Arial"/>
          <w:bCs/>
          <w:i/>
        </w:rPr>
        <w:lastRenderedPageBreak/>
        <w:t>payments under the agreement</w:t>
      </w:r>
      <w:r w:rsidR="002D137D" w:rsidRPr="006601D9">
        <w:rPr>
          <w:rFonts w:ascii="Arial" w:hAnsi="Arial" w:cs="Arial"/>
          <w:i/>
        </w:rPr>
        <w:t>;</w:t>
      </w:r>
    </w:p>
    <w:p w:rsidR="002D137D" w:rsidRPr="006601D9" w:rsidRDefault="002D137D" w:rsidP="006601D9">
      <w:pPr>
        <w:widowControl w:val="0"/>
        <w:spacing w:after="120" w:line="480" w:lineRule="auto"/>
        <w:ind w:left="720"/>
        <w:jc w:val="both"/>
        <w:rPr>
          <w:rFonts w:ascii="Arial" w:hAnsi="Arial" w:cs="Arial"/>
          <w:i/>
          <w:lang w:val="en-ZA"/>
        </w:rPr>
      </w:pPr>
      <w:r w:rsidRPr="006601D9">
        <w:rPr>
          <w:rFonts w:ascii="Arial" w:hAnsi="Arial" w:cs="Arial"/>
          <w:i/>
        </w:rPr>
        <w:t xml:space="preserve">[47] If the consumer has a valid complaint that, but for the recklessness of the credit provider, the consumer would never have become involved in the credit transaction, it might be 'just and reasonable' to 'set aside' the agreement. </w:t>
      </w:r>
      <w:r w:rsidRPr="006601D9">
        <w:rPr>
          <w:rFonts w:ascii="Arial" w:hAnsi="Arial" w:cs="Arial"/>
          <w:bCs/>
          <w:i/>
        </w:rPr>
        <w:t>In that event the agreement would be null and void, and as if it had never been. As a consequence, the credit provider, who remains the owner of the vehicle, would be entitled to restoration of the vehicle.</w:t>
      </w:r>
      <w:r w:rsidRPr="006601D9">
        <w:rPr>
          <w:rFonts w:ascii="Arial" w:hAnsi="Arial" w:cs="Arial"/>
          <w:i/>
        </w:rPr>
        <w:t xml:space="preserve"> On the other hand, the consumer, who no longer has any obligations under the agreement that has been set aside, would be relieved of any further indebtedness or deficiency claim under the agreement. In certain circumstances, this would be a fair and symmetrical resolution;</w:t>
      </w:r>
    </w:p>
    <w:p w:rsidR="00EF4448" w:rsidRDefault="002D137D" w:rsidP="00EF4448">
      <w:pPr>
        <w:widowControl w:val="0"/>
        <w:spacing w:after="120" w:line="480" w:lineRule="auto"/>
        <w:ind w:left="720"/>
        <w:jc w:val="both"/>
        <w:rPr>
          <w:rFonts w:ascii="Arial" w:hAnsi="Arial" w:cs="Arial"/>
          <w:i/>
          <w:lang w:val="en-ZA"/>
        </w:rPr>
      </w:pPr>
      <w:r w:rsidRPr="006601D9">
        <w:rPr>
          <w:rFonts w:ascii="Arial" w:hAnsi="Arial" w:cs="Arial"/>
          <w:i/>
        </w:rPr>
        <w:t>[48] On the other hand, if the effect of the agreement is merely suspended, </w:t>
      </w:r>
      <w:r w:rsidRPr="006601D9">
        <w:rPr>
          <w:rFonts w:ascii="Arial" w:hAnsi="Arial" w:cs="Arial"/>
          <w:i/>
          <w:iCs/>
        </w:rPr>
        <w:t>all elements</w:t>
      </w:r>
      <w:r w:rsidRPr="006601D9">
        <w:rPr>
          <w:rFonts w:ascii="Arial" w:hAnsi="Arial" w:cs="Arial"/>
          <w:i/>
        </w:rPr>
        <w:t xml:space="preserve"> of the agreement would have to be suspended. </w:t>
      </w:r>
      <w:r w:rsidRPr="006601D9">
        <w:rPr>
          <w:rFonts w:ascii="Arial" w:hAnsi="Arial" w:cs="Arial"/>
          <w:bCs/>
          <w:i/>
        </w:rPr>
        <w:t>This would mean that the consumer would not be entitled to continue to retain possession of the vehicle during the period of suspension.</w:t>
      </w:r>
      <w:r w:rsidRPr="006601D9">
        <w:rPr>
          <w:rFonts w:ascii="Arial" w:hAnsi="Arial" w:cs="Arial"/>
          <w:i/>
        </w:rPr>
        <w:t xml:space="preserve"> At the same time, the consumer would not have to make any payments under the agreement during the suspension period;</w:t>
      </w:r>
    </w:p>
    <w:p w:rsidR="002D137D" w:rsidRPr="006601D9" w:rsidRDefault="002D137D" w:rsidP="00EF4448">
      <w:pPr>
        <w:widowControl w:val="0"/>
        <w:spacing w:after="120" w:line="480" w:lineRule="auto"/>
        <w:ind w:left="720"/>
        <w:jc w:val="both"/>
        <w:rPr>
          <w:rFonts w:ascii="Arial" w:hAnsi="Arial" w:cs="Arial"/>
          <w:i/>
          <w:lang w:val="en-ZA"/>
        </w:rPr>
      </w:pPr>
      <w:r w:rsidRPr="006601D9">
        <w:rPr>
          <w:rFonts w:ascii="Arial" w:hAnsi="Arial" w:cs="Arial"/>
          <w:i/>
        </w:rPr>
        <w:t>[50] That the NCA does not contemplate the consumer retaining 'the money and the box' is also borne out by the provisions of s 130(1) of the NCA. That section provides that the failure of a consumer to surrender its security is a factor that militates in favour of immediate enforcement of the credit agreement by the credit provider.</w:t>
      </w:r>
      <w:r w:rsidR="006601D9">
        <w:rPr>
          <w:rFonts w:ascii="Arial" w:hAnsi="Arial" w:cs="Arial"/>
          <w:i/>
        </w:rPr>
        <w:t>”</w:t>
      </w:r>
    </w:p>
    <w:p w:rsidR="00EF4448" w:rsidRDefault="00EF4448" w:rsidP="00DF1CCD">
      <w:pPr>
        <w:spacing w:after="240" w:line="480" w:lineRule="auto"/>
        <w:jc w:val="both"/>
        <w:rPr>
          <w:rFonts w:ascii="Arial" w:hAnsi="Arial" w:cs="Arial"/>
          <w:color w:val="000000"/>
          <w:lang w:eastAsia="en-ZA"/>
        </w:rPr>
      </w:pPr>
      <w:r>
        <w:rPr>
          <w:rFonts w:ascii="Arial" w:hAnsi="Arial" w:cs="Arial"/>
        </w:rPr>
        <w:t>[24</w:t>
      </w:r>
      <w:r w:rsidR="003C0AA0" w:rsidRPr="00DF1CCD">
        <w:rPr>
          <w:rFonts w:ascii="Arial" w:hAnsi="Arial" w:cs="Arial"/>
        </w:rPr>
        <w:t xml:space="preserve">] </w:t>
      </w:r>
      <w:r w:rsidR="006601D9" w:rsidRPr="00DF1CCD">
        <w:rPr>
          <w:rFonts w:ascii="Arial" w:hAnsi="Arial" w:cs="Arial"/>
        </w:rPr>
        <w:t xml:space="preserve">I agree with the reasoning of the court in </w:t>
      </w:r>
      <w:r w:rsidR="006601D9" w:rsidRPr="00DF1CCD">
        <w:rPr>
          <w:rFonts w:ascii="Arial" w:hAnsi="Arial" w:cs="Arial"/>
          <w:i/>
        </w:rPr>
        <w:t>SA Taxi</w:t>
      </w:r>
      <w:r w:rsidR="006601D9" w:rsidRPr="00DF1CCD">
        <w:rPr>
          <w:rFonts w:ascii="Arial" w:hAnsi="Arial" w:cs="Arial"/>
        </w:rPr>
        <w:t xml:space="preserve">. </w:t>
      </w:r>
      <w:r w:rsidRPr="00DF1CCD">
        <w:rPr>
          <w:rFonts w:ascii="Arial" w:hAnsi="Arial" w:cs="Arial"/>
        </w:rPr>
        <w:t>The court must balance</w:t>
      </w:r>
      <w:r w:rsidRPr="006601D9">
        <w:rPr>
          <w:rFonts w:ascii="Arial" w:hAnsi="Arial" w:cs="Arial"/>
        </w:rPr>
        <w:t xml:space="preserve"> the</w:t>
      </w:r>
      <w:r w:rsidRPr="0010488B">
        <w:rPr>
          <w:rFonts w:ascii="Arial" w:hAnsi="Arial" w:cs="Arial"/>
        </w:rPr>
        <w:t xml:space="preserve"> rights of the creditor with those of the debtor. It cannot give the debtor more rights than </w:t>
      </w:r>
      <w:r w:rsidRPr="0010488B">
        <w:rPr>
          <w:rFonts w:ascii="Arial" w:hAnsi="Arial" w:cs="Arial"/>
        </w:rPr>
        <w:lastRenderedPageBreak/>
        <w:t xml:space="preserve">was envisaged in the </w:t>
      </w:r>
      <w:r>
        <w:rPr>
          <w:rFonts w:ascii="Arial" w:hAnsi="Arial" w:cs="Arial"/>
        </w:rPr>
        <w:t xml:space="preserve">credit </w:t>
      </w:r>
      <w:r w:rsidRPr="0010488B">
        <w:rPr>
          <w:rFonts w:ascii="Arial" w:hAnsi="Arial" w:cs="Arial"/>
        </w:rPr>
        <w:t>agreement between t</w:t>
      </w:r>
      <w:r>
        <w:rPr>
          <w:rFonts w:ascii="Arial" w:hAnsi="Arial" w:cs="Arial"/>
        </w:rPr>
        <w:t xml:space="preserve">he parties as well as the NCA. </w:t>
      </w:r>
      <w:r>
        <w:rPr>
          <w:rFonts w:ascii="Arial" w:hAnsi="Arial" w:cs="Arial"/>
          <w:color w:val="000000"/>
          <w:lang w:eastAsia="en-ZA"/>
        </w:rPr>
        <w:t>In the present matter t</w:t>
      </w:r>
      <w:r w:rsidR="00DF1CCD">
        <w:rPr>
          <w:rFonts w:ascii="Arial" w:hAnsi="Arial" w:cs="Arial"/>
          <w:color w:val="000000"/>
          <w:lang w:eastAsia="en-ZA"/>
        </w:rPr>
        <w:t>here</w:t>
      </w:r>
      <w:r w:rsidR="00DF1CCD" w:rsidRPr="00482EB8">
        <w:rPr>
          <w:rFonts w:ascii="Arial" w:hAnsi="Arial" w:cs="Arial"/>
          <w:color w:val="000000"/>
          <w:lang w:eastAsia="en-ZA"/>
        </w:rPr>
        <w:t xml:space="preserve"> is no information in the affidavit</w:t>
      </w:r>
      <w:r w:rsidR="00DF1CCD">
        <w:rPr>
          <w:rFonts w:ascii="Arial" w:hAnsi="Arial" w:cs="Arial"/>
          <w:color w:val="000000"/>
          <w:lang w:eastAsia="en-ZA"/>
        </w:rPr>
        <w:t xml:space="preserve"> resisting summary judgment</w:t>
      </w:r>
      <w:r w:rsidR="00DF1CCD" w:rsidRPr="00482EB8">
        <w:rPr>
          <w:rFonts w:ascii="Arial" w:hAnsi="Arial" w:cs="Arial"/>
          <w:color w:val="000000"/>
          <w:lang w:eastAsia="en-ZA"/>
        </w:rPr>
        <w:t xml:space="preserve"> </w:t>
      </w:r>
      <w:r>
        <w:rPr>
          <w:rFonts w:ascii="Arial" w:hAnsi="Arial" w:cs="Arial"/>
          <w:color w:val="000000"/>
          <w:lang w:eastAsia="en-ZA"/>
        </w:rPr>
        <w:t xml:space="preserve">or the plea </w:t>
      </w:r>
      <w:r w:rsidR="00DF1CCD" w:rsidRPr="00482EB8">
        <w:rPr>
          <w:rFonts w:ascii="Arial" w:hAnsi="Arial" w:cs="Arial"/>
          <w:color w:val="000000"/>
          <w:lang w:eastAsia="en-ZA"/>
        </w:rPr>
        <w:t>to indicate on what b</w:t>
      </w:r>
      <w:r w:rsidR="00DF1CCD">
        <w:rPr>
          <w:rFonts w:ascii="Arial" w:hAnsi="Arial" w:cs="Arial"/>
          <w:color w:val="000000"/>
          <w:lang w:eastAsia="en-ZA"/>
        </w:rPr>
        <w:t>asis a court might be persuaded,</w:t>
      </w:r>
      <w:r w:rsidR="00767B98">
        <w:rPr>
          <w:rFonts w:ascii="Arial" w:hAnsi="Arial" w:cs="Arial"/>
          <w:color w:val="000000"/>
          <w:lang w:eastAsia="en-ZA"/>
        </w:rPr>
        <w:t xml:space="preserve"> </w:t>
      </w:r>
      <w:r w:rsidR="00DF1CCD" w:rsidRPr="00482EB8">
        <w:rPr>
          <w:rFonts w:ascii="Arial" w:hAnsi="Arial" w:cs="Arial"/>
          <w:color w:val="000000"/>
          <w:lang w:eastAsia="en-ZA"/>
        </w:rPr>
        <w:t xml:space="preserve">or as to why it might consider it just and reasonable to set aside all or part of </w:t>
      </w:r>
      <w:r>
        <w:rPr>
          <w:rFonts w:ascii="Arial" w:hAnsi="Arial" w:cs="Arial"/>
          <w:color w:val="000000"/>
          <w:lang w:eastAsia="en-ZA"/>
        </w:rPr>
        <w:t>Mr Phiri’s</w:t>
      </w:r>
      <w:r w:rsidR="00DF1CCD" w:rsidRPr="00482EB8">
        <w:rPr>
          <w:rFonts w:ascii="Arial" w:hAnsi="Arial" w:cs="Arial"/>
          <w:color w:val="000000"/>
          <w:lang w:eastAsia="en-ZA"/>
        </w:rPr>
        <w:t xml:space="preserve"> obligations as permitted in terms of s 83(2)(a) of the </w:t>
      </w:r>
      <w:r w:rsidR="00DF1CCD">
        <w:rPr>
          <w:rFonts w:ascii="Arial" w:hAnsi="Arial" w:cs="Arial"/>
          <w:color w:val="000000"/>
          <w:lang w:eastAsia="en-ZA"/>
        </w:rPr>
        <w:t>NCA</w:t>
      </w:r>
      <w:r w:rsidR="00DF1CCD" w:rsidRPr="00482EB8">
        <w:rPr>
          <w:rFonts w:ascii="Arial" w:hAnsi="Arial" w:cs="Arial"/>
          <w:color w:val="000000"/>
          <w:lang w:eastAsia="en-ZA"/>
        </w:rPr>
        <w:t>. In the circumstances</w:t>
      </w:r>
      <w:r w:rsidR="00767B98">
        <w:rPr>
          <w:rFonts w:ascii="Arial" w:hAnsi="Arial" w:cs="Arial"/>
          <w:color w:val="000000"/>
          <w:lang w:eastAsia="en-ZA"/>
        </w:rPr>
        <w:t>,</w:t>
      </w:r>
      <w:r w:rsidR="00DF1CCD" w:rsidRPr="00482EB8">
        <w:rPr>
          <w:rFonts w:ascii="Arial" w:hAnsi="Arial" w:cs="Arial"/>
          <w:color w:val="000000"/>
          <w:lang w:eastAsia="en-ZA"/>
        </w:rPr>
        <w:t xml:space="preserve"> </w:t>
      </w:r>
      <w:r>
        <w:rPr>
          <w:rFonts w:ascii="Arial" w:hAnsi="Arial" w:cs="Arial"/>
          <w:color w:val="000000"/>
          <w:lang w:eastAsia="en-ZA"/>
        </w:rPr>
        <w:t>Mr Phiri</w:t>
      </w:r>
      <w:r w:rsidR="00DF1CCD" w:rsidRPr="00482EB8">
        <w:rPr>
          <w:rFonts w:ascii="Arial" w:hAnsi="Arial" w:cs="Arial"/>
          <w:color w:val="000000"/>
          <w:lang w:eastAsia="en-ZA"/>
        </w:rPr>
        <w:t xml:space="preserve"> cannot be said to have set out the material facts upon which </w:t>
      </w:r>
      <w:r>
        <w:rPr>
          <w:rFonts w:ascii="Arial" w:hAnsi="Arial" w:cs="Arial"/>
          <w:color w:val="000000"/>
          <w:lang w:eastAsia="en-ZA"/>
        </w:rPr>
        <w:t>his</w:t>
      </w:r>
      <w:r w:rsidR="00DF1CCD" w:rsidRPr="00482EB8">
        <w:rPr>
          <w:rFonts w:ascii="Arial" w:hAnsi="Arial" w:cs="Arial"/>
          <w:color w:val="000000"/>
          <w:lang w:eastAsia="en-ZA"/>
        </w:rPr>
        <w:t xml:space="preserve"> defence is based with sufficient particularity and completeness to satisfy the court that a </w:t>
      </w:r>
      <w:r w:rsidR="00DF1CCD" w:rsidRPr="00482EB8">
        <w:rPr>
          <w:rFonts w:ascii="Arial" w:hAnsi="Arial" w:cs="Arial"/>
          <w:i/>
          <w:iCs/>
          <w:color w:val="000000"/>
          <w:lang w:eastAsia="en-ZA"/>
        </w:rPr>
        <w:t>bona fide</w:t>
      </w:r>
      <w:r w:rsidR="00DF1CCD" w:rsidRPr="00482EB8">
        <w:rPr>
          <w:rFonts w:ascii="Arial" w:hAnsi="Arial" w:cs="Arial"/>
          <w:color w:val="000000"/>
          <w:lang w:eastAsia="en-ZA"/>
        </w:rPr>
        <w:t> defence has been disclosed.</w:t>
      </w:r>
      <w:r w:rsidR="00DF1CCD">
        <w:rPr>
          <w:rFonts w:ascii="Arial" w:hAnsi="Arial" w:cs="Arial"/>
          <w:color w:val="000000"/>
          <w:lang w:eastAsia="en-ZA"/>
        </w:rPr>
        <w:t xml:space="preserve"> </w:t>
      </w:r>
    </w:p>
    <w:p w:rsidR="0094647A" w:rsidRPr="00EF4448" w:rsidRDefault="0094647A" w:rsidP="00EF4448">
      <w:pPr>
        <w:spacing w:line="480" w:lineRule="auto"/>
        <w:jc w:val="both"/>
        <w:rPr>
          <w:rFonts w:ascii="Arial" w:hAnsi="Arial" w:cs="Arial"/>
          <w:color w:val="000000"/>
          <w:lang w:eastAsia="en-ZA"/>
        </w:rPr>
      </w:pPr>
      <w:r w:rsidRPr="0094647A">
        <w:rPr>
          <w:rFonts w:ascii="Arial" w:hAnsi="Arial" w:cs="Arial"/>
          <w:b/>
          <w:i/>
        </w:rPr>
        <w:t>Old v New Rule</w:t>
      </w:r>
    </w:p>
    <w:p w:rsidR="002D137D" w:rsidRDefault="00EF4448" w:rsidP="00EF4448">
      <w:pPr>
        <w:spacing w:line="480" w:lineRule="auto"/>
        <w:jc w:val="both"/>
        <w:rPr>
          <w:rFonts w:ascii="Arial" w:hAnsi="Arial" w:cs="Arial"/>
        </w:rPr>
      </w:pPr>
      <w:r>
        <w:rPr>
          <w:rFonts w:ascii="Arial" w:hAnsi="Arial" w:cs="Arial"/>
        </w:rPr>
        <w:t>[25</w:t>
      </w:r>
      <w:r w:rsidR="003C0AA0">
        <w:rPr>
          <w:rFonts w:ascii="Arial" w:hAnsi="Arial" w:cs="Arial"/>
        </w:rPr>
        <w:t xml:space="preserve">] </w:t>
      </w:r>
      <w:r w:rsidR="0094647A">
        <w:rPr>
          <w:rFonts w:ascii="Arial" w:hAnsi="Arial" w:cs="Arial"/>
        </w:rPr>
        <w:t>Counsel for the defendant submits that b</w:t>
      </w:r>
      <w:r w:rsidR="003C0AA0">
        <w:rPr>
          <w:rFonts w:ascii="Arial" w:hAnsi="Arial" w:cs="Arial"/>
        </w:rPr>
        <w:t xml:space="preserve">oth the </w:t>
      </w:r>
      <w:r w:rsidR="003C0AA0" w:rsidRPr="003C0AA0">
        <w:rPr>
          <w:rFonts w:ascii="Arial" w:hAnsi="Arial" w:cs="Arial"/>
          <w:i/>
        </w:rPr>
        <w:t>Standard Bank</w:t>
      </w:r>
      <w:r w:rsidR="003C0AA0">
        <w:rPr>
          <w:rFonts w:ascii="Arial" w:hAnsi="Arial" w:cs="Arial"/>
        </w:rPr>
        <w:t xml:space="preserve"> </w:t>
      </w:r>
      <w:r w:rsidR="002D137D" w:rsidRPr="0010488B">
        <w:rPr>
          <w:rFonts w:ascii="Arial" w:hAnsi="Arial" w:cs="Arial"/>
        </w:rPr>
        <w:t xml:space="preserve">and the </w:t>
      </w:r>
      <w:r>
        <w:rPr>
          <w:rFonts w:ascii="Arial" w:hAnsi="Arial" w:cs="Arial"/>
          <w:i/>
        </w:rPr>
        <w:t xml:space="preserve">SA Taxi </w:t>
      </w:r>
      <w:r w:rsidRPr="00EF4448">
        <w:rPr>
          <w:rFonts w:ascii="Arial" w:hAnsi="Arial" w:cs="Arial"/>
        </w:rPr>
        <w:t xml:space="preserve">judgment </w:t>
      </w:r>
      <w:r w:rsidR="002D137D" w:rsidRPr="00EF4448">
        <w:rPr>
          <w:rFonts w:ascii="Arial" w:hAnsi="Arial" w:cs="Arial"/>
        </w:rPr>
        <w:t>were</w:t>
      </w:r>
      <w:r w:rsidR="002D137D" w:rsidRPr="0010488B">
        <w:rPr>
          <w:rFonts w:ascii="Arial" w:hAnsi="Arial" w:cs="Arial"/>
        </w:rPr>
        <w:t xml:space="preserve"> d</w:t>
      </w:r>
      <w:r>
        <w:rPr>
          <w:rFonts w:ascii="Arial" w:hAnsi="Arial" w:cs="Arial"/>
        </w:rPr>
        <w:t>etermined under the old Rule 32 and that the</w:t>
      </w:r>
      <w:r w:rsidR="0094647A" w:rsidRPr="0010488B">
        <w:rPr>
          <w:rFonts w:ascii="Arial" w:hAnsi="Arial" w:cs="Arial"/>
        </w:rPr>
        <w:t xml:space="preserve"> </w:t>
      </w:r>
      <w:r>
        <w:rPr>
          <w:rFonts w:ascii="Arial" w:hAnsi="Arial" w:cs="Arial"/>
        </w:rPr>
        <w:t>courts’</w:t>
      </w:r>
      <w:r w:rsidR="0094647A" w:rsidRPr="0010488B">
        <w:rPr>
          <w:rFonts w:ascii="Arial" w:hAnsi="Arial" w:cs="Arial"/>
        </w:rPr>
        <w:t xml:space="preserve"> comments </w:t>
      </w:r>
      <w:r>
        <w:rPr>
          <w:rFonts w:ascii="Arial" w:hAnsi="Arial" w:cs="Arial"/>
        </w:rPr>
        <w:t>as far as they relate to reckless lending</w:t>
      </w:r>
      <w:r w:rsidR="0094647A" w:rsidRPr="0010488B">
        <w:rPr>
          <w:rFonts w:ascii="Arial" w:hAnsi="Arial" w:cs="Arial"/>
        </w:rPr>
        <w:t xml:space="preserve">, must </w:t>
      </w:r>
      <w:r w:rsidR="0094647A">
        <w:rPr>
          <w:rFonts w:ascii="Arial" w:hAnsi="Arial" w:cs="Arial"/>
        </w:rPr>
        <w:t xml:space="preserve">therefore </w:t>
      </w:r>
      <w:r w:rsidR="0094647A" w:rsidRPr="0010488B">
        <w:rPr>
          <w:rFonts w:ascii="Arial" w:hAnsi="Arial" w:cs="Arial"/>
        </w:rPr>
        <w:t>be adjudicated aga</w:t>
      </w:r>
      <w:r w:rsidR="003C0AA0">
        <w:rPr>
          <w:rFonts w:ascii="Arial" w:hAnsi="Arial" w:cs="Arial"/>
        </w:rPr>
        <w:t>inst the background of the old R</w:t>
      </w:r>
      <w:r w:rsidR="0094647A" w:rsidRPr="0010488B">
        <w:rPr>
          <w:rFonts w:ascii="Arial" w:hAnsi="Arial" w:cs="Arial"/>
        </w:rPr>
        <w:t xml:space="preserve">ule 32. </w:t>
      </w:r>
      <w:r w:rsidR="003C0AA0">
        <w:rPr>
          <w:rFonts w:ascii="Arial" w:hAnsi="Arial" w:cs="Arial"/>
        </w:rPr>
        <w:t>It is contended that u</w:t>
      </w:r>
      <w:r w:rsidR="0094647A">
        <w:rPr>
          <w:rFonts w:ascii="Arial" w:hAnsi="Arial" w:cs="Arial"/>
        </w:rPr>
        <w:t xml:space="preserve">nder the previous regime, </w:t>
      </w:r>
      <w:r w:rsidR="00CD75C3">
        <w:rPr>
          <w:rFonts w:ascii="Arial" w:hAnsi="Arial" w:cs="Arial"/>
        </w:rPr>
        <w:t>a</w:t>
      </w:r>
      <w:r w:rsidR="0094647A">
        <w:rPr>
          <w:rFonts w:ascii="Arial" w:hAnsi="Arial" w:cs="Arial"/>
        </w:rPr>
        <w:t xml:space="preserve"> p</w:t>
      </w:r>
      <w:r w:rsidR="002D137D" w:rsidRPr="0010488B">
        <w:rPr>
          <w:rFonts w:ascii="Arial" w:hAnsi="Arial" w:cs="Arial"/>
        </w:rPr>
        <w:t>laintif</w:t>
      </w:r>
      <w:r w:rsidR="00CD75C3">
        <w:rPr>
          <w:rFonts w:ascii="Arial" w:hAnsi="Arial" w:cs="Arial"/>
        </w:rPr>
        <w:t>f would approach the court for s</w:t>
      </w:r>
      <w:r w:rsidR="002D137D" w:rsidRPr="0010488B">
        <w:rPr>
          <w:rFonts w:ascii="Arial" w:hAnsi="Arial" w:cs="Arial"/>
        </w:rPr>
        <w:t xml:space="preserve">ummary judgement before </w:t>
      </w:r>
      <w:r w:rsidR="00CD75C3">
        <w:rPr>
          <w:rFonts w:ascii="Arial" w:hAnsi="Arial" w:cs="Arial"/>
        </w:rPr>
        <w:t>a defendant</w:t>
      </w:r>
      <w:r w:rsidR="0094647A">
        <w:rPr>
          <w:rFonts w:ascii="Arial" w:hAnsi="Arial" w:cs="Arial"/>
        </w:rPr>
        <w:t xml:space="preserve"> has filed a plea and he would have </w:t>
      </w:r>
      <w:r w:rsidR="002D137D" w:rsidRPr="0010488B">
        <w:rPr>
          <w:rFonts w:ascii="Arial" w:hAnsi="Arial" w:cs="Arial"/>
        </w:rPr>
        <w:t xml:space="preserve">raised this defence for the first time in </w:t>
      </w:r>
      <w:r w:rsidR="00CD75C3">
        <w:rPr>
          <w:rFonts w:ascii="Arial" w:hAnsi="Arial" w:cs="Arial"/>
        </w:rPr>
        <w:t>his</w:t>
      </w:r>
      <w:r w:rsidR="002D137D" w:rsidRPr="0010488B">
        <w:rPr>
          <w:rFonts w:ascii="Arial" w:hAnsi="Arial" w:cs="Arial"/>
        </w:rPr>
        <w:t xml:space="preserve"> affida</w:t>
      </w:r>
      <w:r w:rsidR="00D11A93">
        <w:rPr>
          <w:rFonts w:ascii="Arial" w:hAnsi="Arial" w:cs="Arial"/>
        </w:rPr>
        <w:t xml:space="preserve">vit opposing summary judgment. </w:t>
      </w:r>
      <w:r w:rsidR="002D137D" w:rsidRPr="0010488B">
        <w:rPr>
          <w:rFonts w:ascii="Arial" w:hAnsi="Arial" w:cs="Arial"/>
        </w:rPr>
        <w:t xml:space="preserve">The court’s requirements </w:t>
      </w:r>
      <w:r w:rsidR="0094647A">
        <w:rPr>
          <w:rFonts w:ascii="Arial" w:hAnsi="Arial" w:cs="Arial"/>
        </w:rPr>
        <w:t xml:space="preserve">in </w:t>
      </w:r>
      <w:r w:rsidR="0094647A" w:rsidRPr="00CD75C3">
        <w:rPr>
          <w:rFonts w:ascii="Arial" w:hAnsi="Arial" w:cs="Arial"/>
          <w:i/>
        </w:rPr>
        <w:t>SA Taxi</w:t>
      </w:r>
      <w:r w:rsidR="0094647A">
        <w:rPr>
          <w:rFonts w:ascii="Arial" w:hAnsi="Arial" w:cs="Arial"/>
        </w:rPr>
        <w:t xml:space="preserve"> where it stated </w:t>
      </w:r>
      <w:r w:rsidR="00EB1982">
        <w:rPr>
          <w:rFonts w:ascii="Arial" w:hAnsi="Arial" w:cs="Arial"/>
        </w:rPr>
        <w:t>that a</w:t>
      </w:r>
      <w:r w:rsidR="0094647A">
        <w:rPr>
          <w:rFonts w:ascii="Arial" w:hAnsi="Arial" w:cs="Arial"/>
        </w:rPr>
        <w:t xml:space="preserve"> d</w:t>
      </w:r>
      <w:r w:rsidR="002D137D" w:rsidRPr="0010488B">
        <w:rPr>
          <w:rFonts w:ascii="Arial" w:hAnsi="Arial" w:cs="Arial"/>
        </w:rPr>
        <w:t xml:space="preserve">efendant is required to provide </w:t>
      </w:r>
      <w:r w:rsidR="0094647A">
        <w:rPr>
          <w:rFonts w:ascii="Arial" w:hAnsi="Arial" w:cs="Arial"/>
        </w:rPr>
        <w:t>certain</w:t>
      </w:r>
      <w:r w:rsidR="002D137D" w:rsidRPr="0010488B">
        <w:rPr>
          <w:rFonts w:ascii="Arial" w:hAnsi="Arial" w:cs="Arial"/>
        </w:rPr>
        <w:t xml:space="preserve"> information </w:t>
      </w:r>
      <w:r w:rsidR="0094647A">
        <w:rPr>
          <w:rFonts w:ascii="Arial" w:hAnsi="Arial" w:cs="Arial"/>
        </w:rPr>
        <w:t>(</w:t>
      </w:r>
      <w:r w:rsidR="002D137D" w:rsidRPr="0010488B">
        <w:rPr>
          <w:rFonts w:ascii="Arial" w:hAnsi="Arial" w:cs="Arial"/>
        </w:rPr>
        <w:t>as set out in paragraphs 56, 56.1, 56.2, 56.3 and 56.4</w:t>
      </w:r>
      <w:r w:rsidR="00CD75C3">
        <w:rPr>
          <w:rFonts w:ascii="Arial" w:hAnsi="Arial" w:cs="Arial"/>
        </w:rPr>
        <w:t xml:space="preserve">) </w:t>
      </w:r>
      <w:r w:rsidR="00CD75C3" w:rsidRPr="0010488B">
        <w:rPr>
          <w:rFonts w:ascii="Arial" w:hAnsi="Arial" w:cs="Arial"/>
        </w:rPr>
        <w:t>should</w:t>
      </w:r>
      <w:r w:rsidR="002D137D" w:rsidRPr="0010488B">
        <w:rPr>
          <w:rFonts w:ascii="Arial" w:hAnsi="Arial" w:cs="Arial"/>
        </w:rPr>
        <w:t xml:space="preserve"> </w:t>
      </w:r>
      <w:r w:rsidR="00CD75C3">
        <w:rPr>
          <w:rFonts w:ascii="Arial" w:hAnsi="Arial" w:cs="Arial"/>
        </w:rPr>
        <w:t xml:space="preserve">therefore </w:t>
      </w:r>
      <w:r w:rsidR="002D137D" w:rsidRPr="0010488B">
        <w:rPr>
          <w:rFonts w:ascii="Arial" w:hAnsi="Arial" w:cs="Arial"/>
        </w:rPr>
        <w:t xml:space="preserve">be considered in the context of the old </w:t>
      </w:r>
      <w:r w:rsidR="002D137D" w:rsidRPr="00F77D87">
        <w:rPr>
          <w:rFonts w:ascii="Arial" w:hAnsi="Arial" w:cs="Arial"/>
        </w:rPr>
        <w:t xml:space="preserve">Rule 32.  </w:t>
      </w:r>
      <w:r w:rsidR="00F77D87" w:rsidRPr="00F77D87">
        <w:rPr>
          <w:rFonts w:ascii="Arial" w:hAnsi="Arial" w:cs="Arial"/>
        </w:rPr>
        <w:t>It is submitted that u</w:t>
      </w:r>
      <w:r w:rsidR="002D137D" w:rsidRPr="00F77D87">
        <w:rPr>
          <w:rFonts w:ascii="Arial" w:hAnsi="Arial" w:cs="Arial"/>
        </w:rPr>
        <w:t>nder the</w:t>
      </w:r>
      <w:r w:rsidR="002D137D" w:rsidRPr="0010488B">
        <w:rPr>
          <w:rFonts w:ascii="Arial" w:hAnsi="Arial" w:cs="Arial"/>
        </w:rPr>
        <w:t xml:space="preserve"> new Rule 32, this is not relevant anymore, as the </w:t>
      </w:r>
      <w:r w:rsidR="00CD75C3">
        <w:rPr>
          <w:rFonts w:ascii="Arial" w:hAnsi="Arial" w:cs="Arial"/>
        </w:rPr>
        <w:t>p</w:t>
      </w:r>
      <w:r w:rsidR="002D137D" w:rsidRPr="0010488B">
        <w:rPr>
          <w:rFonts w:ascii="Arial" w:hAnsi="Arial" w:cs="Arial"/>
        </w:rPr>
        <w:t xml:space="preserve">laintiff is now in a position to address </w:t>
      </w:r>
      <w:r w:rsidR="00CD75C3">
        <w:rPr>
          <w:rFonts w:ascii="Arial" w:hAnsi="Arial" w:cs="Arial"/>
        </w:rPr>
        <w:t>a defendant’s</w:t>
      </w:r>
      <w:r w:rsidR="002D137D" w:rsidRPr="0010488B">
        <w:rPr>
          <w:rFonts w:ascii="Arial" w:hAnsi="Arial" w:cs="Arial"/>
        </w:rPr>
        <w:t xml:space="preserve"> defence of reckless credit and the allegation that no prop</w:t>
      </w:r>
      <w:r w:rsidR="00D11A93">
        <w:rPr>
          <w:rFonts w:ascii="Arial" w:hAnsi="Arial" w:cs="Arial"/>
        </w:rPr>
        <w:t xml:space="preserve">er credit assessment was done. </w:t>
      </w:r>
      <w:r w:rsidR="002D137D" w:rsidRPr="0010488B">
        <w:rPr>
          <w:rFonts w:ascii="Arial" w:hAnsi="Arial" w:cs="Arial"/>
        </w:rPr>
        <w:t xml:space="preserve">In the event that such an assessment was done, </w:t>
      </w:r>
      <w:r w:rsidR="00CD75C3">
        <w:rPr>
          <w:rFonts w:ascii="Arial" w:hAnsi="Arial" w:cs="Arial"/>
        </w:rPr>
        <w:t xml:space="preserve">this </w:t>
      </w:r>
      <w:r w:rsidR="002D137D" w:rsidRPr="0010488B">
        <w:rPr>
          <w:rFonts w:ascii="Arial" w:hAnsi="Arial" w:cs="Arial"/>
        </w:rPr>
        <w:t>information shou</w:t>
      </w:r>
      <w:r w:rsidR="00CD75C3">
        <w:rPr>
          <w:rFonts w:ascii="Arial" w:hAnsi="Arial" w:cs="Arial"/>
        </w:rPr>
        <w:t>ld be in the possession of the p</w:t>
      </w:r>
      <w:r w:rsidR="002D137D" w:rsidRPr="0010488B">
        <w:rPr>
          <w:rFonts w:ascii="Arial" w:hAnsi="Arial" w:cs="Arial"/>
        </w:rPr>
        <w:t xml:space="preserve">laintiff if the credit assessment had been done, and should be </w:t>
      </w:r>
      <w:r w:rsidR="00CD75C3">
        <w:rPr>
          <w:rFonts w:ascii="Arial" w:hAnsi="Arial" w:cs="Arial"/>
        </w:rPr>
        <w:t>placed before the court by the p</w:t>
      </w:r>
      <w:r w:rsidR="002D137D" w:rsidRPr="0010488B">
        <w:rPr>
          <w:rFonts w:ascii="Arial" w:hAnsi="Arial" w:cs="Arial"/>
        </w:rPr>
        <w:t>laintiff under the new Rule 32.</w:t>
      </w:r>
      <w:r w:rsidR="00F77D87">
        <w:rPr>
          <w:rFonts w:ascii="Arial" w:hAnsi="Arial" w:cs="Arial"/>
          <w:i/>
        </w:rPr>
        <w:t xml:space="preserve"> </w:t>
      </w:r>
      <w:r w:rsidR="002D137D" w:rsidRPr="0010488B">
        <w:rPr>
          <w:rFonts w:ascii="Arial" w:hAnsi="Arial" w:cs="Arial"/>
        </w:rPr>
        <w:t xml:space="preserve">It is further submitted that such credit applications and evidence around the submission of such an </w:t>
      </w:r>
      <w:r w:rsidR="003708C1">
        <w:rPr>
          <w:rFonts w:ascii="Arial" w:hAnsi="Arial" w:cs="Arial"/>
        </w:rPr>
        <w:t xml:space="preserve">credit </w:t>
      </w:r>
      <w:r w:rsidR="002D137D" w:rsidRPr="0010488B">
        <w:rPr>
          <w:rFonts w:ascii="Arial" w:hAnsi="Arial" w:cs="Arial"/>
        </w:rPr>
        <w:t xml:space="preserve">agreement would be lead at trial, </w:t>
      </w:r>
      <w:r w:rsidR="002D137D" w:rsidRPr="0010488B">
        <w:rPr>
          <w:rFonts w:ascii="Arial" w:hAnsi="Arial" w:cs="Arial"/>
        </w:rPr>
        <w:lastRenderedPageBreak/>
        <w:t>where the trial court would be in a position to consider the evidence to finally conclude on the merits of the defence.</w:t>
      </w:r>
    </w:p>
    <w:p w:rsidR="00F77D87" w:rsidRPr="00CD75C3" w:rsidRDefault="00D11A93" w:rsidP="00CD75C3">
      <w:pPr>
        <w:pStyle w:val="ListParagraph"/>
        <w:spacing w:before="100" w:beforeAutospacing="1" w:after="240" w:line="480" w:lineRule="auto"/>
        <w:ind w:left="0"/>
        <w:contextualSpacing/>
        <w:jc w:val="both"/>
        <w:rPr>
          <w:rFonts w:ascii="Arial" w:hAnsi="Arial" w:cs="Arial"/>
          <w:color w:val="000000"/>
          <w:sz w:val="24"/>
          <w:szCs w:val="24"/>
        </w:rPr>
      </w:pPr>
      <w:r>
        <w:rPr>
          <w:rFonts w:ascii="Arial" w:hAnsi="Arial" w:cs="Arial"/>
          <w:sz w:val="24"/>
          <w:szCs w:val="24"/>
        </w:rPr>
        <w:t>[26</w:t>
      </w:r>
      <w:r w:rsidR="00CD75C3" w:rsidRPr="00CD75C3">
        <w:rPr>
          <w:rFonts w:ascii="Arial" w:hAnsi="Arial" w:cs="Arial"/>
          <w:sz w:val="24"/>
          <w:szCs w:val="24"/>
        </w:rPr>
        <w:t xml:space="preserve">] The argument around the amendment of Rule 32 is misplaced. The amendment </w:t>
      </w:r>
      <w:r>
        <w:rPr>
          <w:rFonts w:ascii="Arial" w:hAnsi="Arial" w:cs="Arial"/>
          <w:sz w:val="24"/>
          <w:szCs w:val="24"/>
        </w:rPr>
        <w:t xml:space="preserve">is only beneficial to a defendant and is not placed in a worse position. </w:t>
      </w:r>
      <w:r w:rsidR="00CD75C3" w:rsidRPr="00CD75C3">
        <w:rPr>
          <w:rFonts w:ascii="Arial" w:hAnsi="Arial" w:cs="Arial"/>
          <w:sz w:val="24"/>
          <w:szCs w:val="24"/>
        </w:rPr>
        <w:t xml:space="preserve">The opportunity to file a plea before summary judgment proceedings are launched gave Mr Phiri an opportunity to place a complete defence before the court. This, Mr Phiri has failed to do. </w:t>
      </w:r>
      <w:r>
        <w:rPr>
          <w:rFonts w:ascii="Arial" w:hAnsi="Arial" w:cs="Arial"/>
          <w:sz w:val="24"/>
          <w:szCs w:val="24"/>
        </w:rPr>
        <w:t>Mr Phiri was granted a second bite at the cherry in filing an affidavit i</w:t>
      </w:r>
      <w:r w:rsidR="00CD75C3" w:rsidRPr="00CD75C3">
        <w:rPr>
          <w:rFonts w:ascii="Arial" w:hAnsi="Arial" w:cs="Arial"/>
          <w:sz w:val="24"/>
          <w:szCs w:val="24"/>
        </w:rPr>
        <w:t>n resisting summary judgment and i</w:t>
      </w:r>
      <w:r>
        <w:rPr>
          <w:rFonts w:ascii="Arial" w:hAnsi="Arial" w:cs="Arial"/>
          <w:sz w:val="24"/>
          <w:szCs w:val="24"/>
          <w:lang w:val="en-ZA"/>
        </w:rPr>
        <w:t>n compliance with Rule 32(3)(b). Again, he failed to do that.</w:t>
      </w:r>
      <w:r w:rsidR="00CD75C3" w:rsidRPr="00CD75C3">
        <w:rPr>
          <w:rFonts w:ascii="Arial" w:hAnsi="Arial" w:cs="Arial"/>
          <w:sz w:val="24"/>
          <w:szCs w:val="24"/>
          <w:lang w:val="en-ZA"/>
        </w:rPr>
        <w:t xml:space="preserve"> Mr Phiri must set out the “nature” and the “grounds” of his defence. The words “nature” and “grounds” are not synonyms or alternatives. Facts must be placed before the court to give effect to the word “grounds” in the sub-rule. This must be done with sufficient particularity</w:t>
      </w:r>
      <w:r w:rsidR="00CD75C3" w:rsidRPr="001E4D6A">
        <w:rPr>
          <w:rFonts w:ascii="Arial" w:hAnsi="Arial" w:cs="Arial"/>
          <w:sz w:val="24"/>
          <w:szCs w:val="24"/>
          <w:lang w:val="en-ZA"/>
        </w:rPr>
        <w:t xml:space="preserve"> and completeness as to be able</w:t>
      </w:r>
      <w:r w:rsidR="00CD75C3" w:rsidRPr="001E4D6A">
        <w:rPr>
          <w:rFonts w:ascii="Arial" w:hAnsi="Arial" w:cs="Arial"/>
          <w:i/>
          <w:sz w:val="24"/>
          <w:szCs w:val="24"/>
          <w:lang w:val="en-ZA"/>
        </w:rPr>
        <w:t xml:space="preserve"> </w:t>
      </w:r>
      <w:r w:rsidR="00CD75C3" w:rsidRPr="001E4D6A">
        <w:rPr>
          <w:rFonts w:ascii="Arial" w:hAnsi="Arial" w:cs="Arial"/>
          <w:sz w:val="24"/>
          <w:szCs w:val="24"/>
          <w:lang w:val="en-ZA"/>
        </w:rPr>
        <w:t xml:space="preserve">to hold that if these statements of facts are found at the trial to be correct, judgement should be given for the defendant. </w:t>
      </w:r>
      <w:r w:rsidR="00CD75C3" w:rsidRPr="001E4D6A">
        <w:rPr>
          <w:rFonts w:ascii="Arial" w:hAnsi="Arial" w:cs="Arial"/>
          <w:color w:val="000000"/>
          <w:sz w:val="24"/>
          <w:szCs w:val="24"/>
        </w:rPr>
        <w:t>If the defence is averred in a manner which appears in all the circumstances “</w:t>
      </w:r>
      <w:r w:rsidR="00CD75C3" w:rsidRPr="001E4D6A">
        <w:rPr>
          <w:rFonts w:ascii="Arial" w:hAnsi="Arial" w:cs="Arial"/>
          <w:i/>
          <w:color w:val="000000"/>
          <w:sz w:val="24"/>
          <w:szCs w:val="24"/>
        </w:rPr>
        <w:t xml:space="preserve">to be needlessly bald, vague or sketchy, </w:t>
      </w:r>
      <w:r w:rsidR="00CD75C3" w:rsidRPr="00CD75C3">
        <w:rPr>
          <w:rFonts w:ascii="Arial" w:hAnsi="Arial" w:cs="Arial"/>
          <w:b/>
          <w:i/>
          <w:color w:val="000000"/>
          <w:sz w:val="24"/>
          <w:szCs w:val="24"/>
        </w:rPr>
        <w:t xml:space="preserve">that will constitute material for the Court to consider in relation to the requirement of </w:t>
      </w:r>
      <w:r w:rsidR="00CD75C3" w:rsidRPr="00CD75C3">
        <w:rPr>
          <w:rFonts w:ascii="Arial" w:hAnsi="Arial" w:cs="Arial"/>
          <w:b/>
          <w:i/>
          <w:iCs/>
          <w:color w:val="000000"/>
          <w:sz w:val="24"/>
          <w:szCs w:val="24"/>
        </w:rPr>
        <w:t>bona fides</w:t>
      </w:r>
      <w:r w:rsidR="00CD75C3" w:rsidRPr="001E4D6A">
        <w:rPr>
          <w:rFonts w:ascii="Arial" w:hAnsi="Arial" w:cs="Arial"/>
          <w:color w:val="000000"/>
          <w:sz w:val="24"/>
          <w:szCs w:val="24"/>
        </w:rPr>
        <w:t>”</w:t>
      </w:r>
      <w:r w:rsidR="00CD75C3">
        <w:rPr>
          <w:rFonts w:ascii="Arial" w:hAnsi="Arial" w:cs="Arial"/>
          <w:color w:val="000000"/>
          <w:sz w:val="24"/>
          <w:szCs w:val="24"/>
        </w:rPr>
        <w:t xml:space="preserve"> (emphasis added)</w:t>
      </w:r>
      <w:r w:rsidR="00CD75C3" w:rsidRPr="001E4D6A">
        <w:rPr>
          <w:rFonts w:ascii="Arial" w:hAnsi="Arial" w:cs="Arial"/>
          <w:color w:val="000000"/>
          <w:sz w:val="24"/>
          <w:szCs w:val="24"/>
        </w:rPr>
        <w:t>.</w:t>
      </w:r>
      <w:r w:rsidR="00CD75C3" w:rsidRPr="001E4D6A">
        <w:rPr>
          <w:rStyle w:val="FootnoteReference"/>
          <w:rFonts w:ascii="Arial" w:hAnsi="Arial" w:cs="Arial"/>
          <w:color w:val="000000"/>
          <w:sz w:val="24"/>
          <w:szCs w:val="24"/>
        </w:rPr>
        <w:footnoteReference w:id="12"/>
      </w:r>
    </w:p>
    <w:p w:rsidR="002C7541" w:rsidRDefault="002C7541" w:rsidP="002D137D">
      <w:pPr>
        <w:rPr>
          <w:rFonts w:ascii="Arial" w:hAnsi="Arial" w:cs="Arial"/>
          <w:color w:val="000000"/>
          <w:lang w:val="en-ZA" w:eastAsia="en-ZA"/>
        </w:rPr>
      </w:pPr>
    </w:p>
    <w:p w:rsidR="002D137D" w:rsidRPr="0010488B" w:rsidRDefault="002D137D" w:rsidP="002D137D">
      <w:pPr>
        <w:widowControl w:val="0"/>
        <w:spacing w:after="120" w:line="480" w:lineRule="auto"/>
        <w:jc w:val="both"/>
        <w:rPr>
          <w:rFonts w:ascii="Arial" w:hAnsi="Arial" w:cs="Arial"/>
          <w:b/>
          <w:bCs/>
        </w:rPr>
      </w:pPr>
      <w:r w:rsidRPr="0010488B">
        <w:rPr>
          <w:rFonts w:ascii="Arial" w:hAnsi="Arial" w:cs="Arial"/>
          <w:b/>
          <w:bCs/>
        </w:rPr>
        <w:t xml:space="preserve">RECEIPT OF THE 129 NOTICES </w:t>
      </w:r>
    </w:p>
    <w:p w:rsidR="002D137D" w:rsidRPr="0010488B" w:rsidRDefault="00D11A93" w:rsidP="002D137D">
      <w:pPr>
        <w:widowControl w:val="0"/>
        <w:spacing w:after="120" w:line="480" w:lineRule="auto"/>
        <w:jc w:val="both"/>
        <w:rPr>
          <w:rFonts w:ascii="Arial" w:hAnsi="Arial" w:cs="Arial"/>
          <w:lang w:eastAsia="en-ZA"/>
        </w:rPr>
      </w:pPr>
      <w:r>
        <w:rPr>
          <w:rFonts w:ascii="Arial" w:hAnsi="Arial" w:cs="Arial"/>
          <w:lang w:eastAsia="en-ZA"/>
        </w:rPr>
        <w:t>[27</w:t>
      </w:r>
      <w:r w:rsidR="002D137D" w:rsidRPr="0010488B">
        <w:rPr>
          <w:rFonts w:ascii="Arial" w:hAnsi="Arial" w:cs="Arial"/>
          <w:lang w:eastAsia="en-ZA"/>
        </w:rPr>
        <w:t xml:space="preserve">] Mr Phiri denies, without amplification, that he received the section 129 notice. </w:t>
      </w:r>
      <w:r w:rsidR="002D137D" w:rsidRPr="0010488B">
        <w:rPr>
          <w:rFonts w:ascii="Arial" w:hAnsi="Arial" w:cs="Arial"/>
        </w:rPr>
        <w:t xml:space="preserve">In </w:t>
      </w:r>
      <w:r w:rsidR="002D137D" w:rsidRPr="00CD75C3">
        <w:rPr>
          <w:rFonts w:ascii="Arial" w:hAnsi="Arial" w:cs="Arial"/>
          <w:bCs/>
          <w:i/>
        </w:rPr>
        <w:t>Kubyana v Standard Bank</w:t>
      </w:r>
      <w:r w:rsidR="002D137D" w:rsidRPr="0010488B">
        <w:rPr>
          <w:rStyle w:val="FootnoteReference"/>
          <w:rFonts w:ascii="Arial" w:hAnsi="Arial" w:cs="Arial"/>
        </w:rPr>
        <w:footnoteReference w:id="13"/>
      </w:r>
      <w:r w:rsidR="002D137D" w:rsidRPr="0010488B">
        <w:rPr>
          <w:rFonts w:ascii="Arial" w:hAnsi="Arial" w:cs="Arial"/>
          <w:b/>
          <w:bCs/>
        </w:rPr>
        <w:t xml:space="preserve">, </w:t>
      </w:r>
      <w:r w:rsidR="002D137D" w:rsidRPr="0010488B">
        <w:rPr>
          <w:rFonts w:ascii="Arial" w:hAnsi="Arial" w:cs="Arial"/>
        </w:rPr>
        <w:t xml:space="preserve">the Constitutional Court </w:t>
      </w:r>
      <w:r w:rsidR="002D137D" w:rsidRPr="0010488B">
        <w:rPr>
          <w:rFonts w:ascii="Arial" w:hAnsi="Arial" w:cs="Arial"/>
          <w:lang w:eastAsia="en-ZA"/>
        </w:rPr>
        <w:t xml:space="preserve">considered </w:t>
      </w:r>
      <w:r w:rsidR="002D137D">
        <w:rPr>
          <w:rFonts w:ascii="Arial" w:hAnsi="Arial" w:cs="Arial"/>
          <w:lang w:eastAsia="en-ZA"/>
        </w:rPr>
        <w:t>this defence and h</w:t>
      </w:r>
      <w:r w:rsidR="002D137D" w:rsidRPr="0010488B">
        <w:rPr>
          <w:rFonts w:ascii="Arial" w:hAnsi="Arial" w:cs="Arial"/>
        </w:rPr>
        <w:t>eld as follows:</w:t>
      </w:r>
    </w:p>
    <w:p w:rsidR="00D11A93" w:rsidRDefault="002D137D" w:rsidP="00D11A93">
      <w:pPr>
        <w:widowControl w:val="0"/>
        <w:spacing w:after="240" w:line="480" w:lineRule="auto"/>
        <w:ind w:left="851"/>
        <w:jc w:val="both"/>
        <w:rPr>
          <w:rFonts w:ascii="Arial" w:hAnsi="Arial" w:cs="Arial"/>
          <w:i/>
          <w:iCs/>
          <w:lang w:val="en-ZA" w:eastAsia="en-ZA"/>
        </w:rPr>
      </w:pPr>
      <w:r w:rsidRPr="0010488B">
        <w:rPr>
          <w:rFonts w:ascii="Arial" w:hAnsi="Arial" w:cs="Arial"/>
          <w:i/>
          <w:iCs/>
          <w:lang w:val="en-ZA" w:eastAsia="en-ZA"/>
        </w:rPr>
        <w:t>“[48]</w:t>
      </w:r>
      <w:r w:rsidRPr="0010488B">
        <w:rPr>
          <w:rFonts w:ascii="Arial" w:hAnsi="Arial" w:cs="Arial"/>
          <w:i/>
          <w:iCs/>
          <w:lang w:eastAsia="en-ZA"/>
        </w:rPr>
        <w:t> </w:t>
      </w:r>
      <w:r w:rsidRPr="0010488B">
        <w:rPr>
          <w:rFonts w:ascii="Arial" w:hAnsi="Arial" w:cs="Arial"/>
          <w:i/>
          <w:iCs/>
          <w:lang w:val="en-ZA" w:eastAsia="en-ZA"/>
        </w:rPr>
        <w:t xml:space="preserve">It is so that section 96(1) requires that notices be delivered “at the </w:t>
      </w:r>
      <w:r w:rsidRPr="0010488B">
        <w:rPr>
          <w:rFonts w:ascii="Arial" w:hAnsi="Arial" w:cs="Arial"/>
          <w:i/>
          <w:iCs/>
          <w:lang w:val="en-ZA" w:eastAsia="en-ZA"/>
        </w:rPr>
        <w:lastRenderedPageBreak/>
        <w:t>address” provided by the recipient. However, this requirement must be understood with due regard to the practical aspects of dispatching a notice by way of registered mail.  When a credit provider dispatches a notice in that manner, the notice is sent to a particular branch of the Post Office.  That branch then sends a notification to the consumer, indicating that a registered item is available for collection.  It is never the case that an item dispatched by registered mail will physically be delivered to an individual – such delivery only occurs if the item is sent by ordinary mail, which does not suffice for purposes of sections 129 and 130 of the Act.</w:t>
      </w:r>
      <w:r w:rsidRPr="0010488B">
        <w:rPr>
          <w:rFonts w:ascii="Arial" w:hAnsi="Arial" w:cs="Arial"/>
          <w:i/>
          <w:iCs/>
          <w:lang w:eastAsia="en-ZA"/>
        </w:rPr>
        <w:t> </w:t>
      </w:r>
      <w:r w:rsidRPr="0010488B">
        <w:rPr>
          <w:rFonts w:ascii="Arial" w:hAnsi="Arial" w:cs="Arial"/>
          <w:i/>
          <w:iCs/>
          <w:lang w:val="en-ZA" w:eastAsia="en-ZA"/>
        </w:rPr>
        <w:t>If a consumer elects not to respond to the notification from the Post Office, despite the fact that she is able to do so, it does not lie in her mouth to claim that the credit provider has failed to discharge its statutory obligation to effect delivery.”</w:t>
      </w:r>
    </w:p>
    <w:p w:rsidR="00DF1CCD" w:rsidRPr="00D11A93" w:rsidRDefault="00D11A93" w:rsidP="00D11A93">
      <w:pPr>
        <w:widowControl w:val="0"/>
        <w:spacing w:after="240" w:line="480" w:lineRule="auto"/>
        <w:jc w:val="both"/>
        <w:rPr>
          <w:rFonts w:ascii="Arial" w:hAnsi="Arial" w:cs="Arial"/>
          <w:i/>
          <w:iCs/>
          <w:lang w:val="en-ZA" w:eastAsia="en-ZA"/>
        </w:rPr>
      </w:pPr>
      <w:r>
        <w:rPr>
          <w:rFonts w:ascii="Arial" w:hAnsi="Arial" w:cs="Arial"/>
        </w:rPr>
        <w:t>[28</w:t>
      </w:r>
      <w:r w:rsidR="002D137D" w:rsidRPr="0010488B">
        <w:rPr>
          <w:rFonts w:ascii="Arial" w:hAnsi="Arial" w:cs="Arial"/>
        </w:rPr>
        <w:t xml:space="preserve">] </w:t>
      </w:r>
      <w:r w:rsidR="00951E6A">
        <w:rPr>
          <w:rFonts w:ascii="Arial" w:hAnsi="Arial" w:cs="Arial"/>
        </w:rPr>
        <w:t>In support of this def</w:t>
      </w:r>
      <w:r>
        <w:rPr>
          <w:rFonts w:ascii="Arial" w:hAnsi="Arial" w:cs="Arial"/>
        </w:rPr>
        <w:t>ence, counsel for the defendant</w:t>
      </w:r>
      <w:r w:rsidR="00951E6A">
        <w:rPr>
          <w:rFonts w:ascii="Arial" w:hAnsi="Arial" w:cs="Arial"/>
        </w:rPr>
        <w:t xml:space="preserve"> attempted to place certain facts before this court by way of </w:t>
      </w:r>
      <w:r>
        <w:rPr>
          <w:rFonts w:ascii="Arial" w:hAnsi="Arial" w:cs="Arial"/>
        </w:rPr>
        <w:t>her</w:t>
      </w:r>
      <w:r w:rsidR="00951E6A">
        <w:rPr>
          <w:rFonts w:ascii="Arial" w:hAnsi="Arial" w:cs="Arial"/>
        </w:rPr>
        <w:t xml:space="preserve"> heads of argument. That cannot be permitted and cannot be taken into consideration. </w:t>
      </w:r>
    </w:p>
    <w:p w:rsidR="002D137D" w:rsidRPr="0010488B" w:rsidRDefault="00D11A93" w:rsidP="00D11A93">
      <w:pPr>
        <w:spacing w:after="240" w:line="480" w:lineRule="auto"/>
        <w:jc w:val="both"/>
        <w:rPr>
          <w:rFonts w:ascii="Arial" w:hAnsi="Arial" w:cs="Arial"/>
        </w:rPr>
      </w:pPr>
      <w:r>
        <w:rPr>
          <w:rFonts w:ascii="Arial" w:hAnsi="Arial" w:cs="Arial"/>
        </w:rPr>
        <w:t>[29</w:t>
      </w:r>
      <w:r w:rsidR="00CD75C3">
        <w:rPr>
          <w:rFonts w:ascii="Arial" w:hAnsi="Arial" w:cs="Arial"/>
        </w:rPr>
        <w:t xml:space="preserve">] </w:t>
      </w:r>
      <w:r w:rsidR="002D137D" w:rsidRPr="0010488B">
        <w:rPr>
          <w:rFonts w:ascii="Arial" w:hAnsi="Arial" w:cs="Arial"/>
        </w:rPr>
        <w:t xml:space="preserve">The Bank is obligated to meet its statutory obligations in attempting to bring the notice to the attention of the consumer. Having so met its obligations under the </w:t>
      </w:r>
      <w:r w:rsidR="003708C1">
        <w:rPr>
          <w:rFonts w:ascii="Arial" w:hAnsi="Arial" w:cs="Arial"/>
        </w:rPr>
        <w:t xml:space="preserve">credit </w:t>
      </w:r>
      <w:r w:rsidR="002D137D" w:rsidRPr="0010488B">
        <w:rPr>
          <w:rFonts w:ascii="Arial" w:hAnsi="Arial" w:cs="Arial"/>
        </w:rPr>
        <w:t xml:space="preserve">agreement no more can be expected from the Bank. The notice was sent to the duly nominated address under the </w:t>
      </w:r>
      <w:r w:rsidR="003708C1">
        <w:rPr>
          <w:rFonts w:ascii="Arial" w:hAnsi="Arial" w:cs="Arial"/>
        </w:rPr>
        <w:t xml:space="preserve">credit </w:t>
      </w:r>
      <w:r w:rsidR="002D137D" w:rsidRPr="0010488B">
        <w:rPr>
          <w:rFonts w:ascii="Arial" w:hAnsi="Arial" w:cs="Arial"/>
        </w:rPr>
        <w:t>agreement. Having filed no change of address with the Bank, no more can be expected from the credit provider other than to send the letter via registered post, which was done.</w:t>
      </w:r>
    </w:p>
    <w:p w:rsidR="002D137D" w:rsidRDefault="00D11A93" w:rsidP="002D137D">
      <w:pPr>
        <w:widowControl w:val="0"/>
        <w:spacing w:after="120" w:line="480" w:lineRule="auto"/>
        <w:jc w:val="both"/>
        <w:rPr>
          <w:rFonts w:ascii="Arial" w:hAnsi="Arial" w:cs="Arial"/>
          <w:bCs/>
        </w:rPr>
      </w:pPr>
      <w:r>
        <w:rPr>
          <w:rFonts w:ascii="Arial" w:hAnsi="Arial" w:cs="Arial"/>
          <w:lang w:eastAsia="en-ZA"/>
        </w:rPr>
        <w:t>[30</w:t>
      </w:r>
      <w:r w:rsidR="002D137D">
        <w:rPr>
          <w:rFonts w:ascii="Arial" w:hAnsi="Arial" w:cs="Arial"/>
          <w:lang w:eastAsia="en-ZA"/>
        </w:rPr>
        <w:t xml:space="preserve">] </w:t>
      </w:r>
      <w:r w:rsidR="002D137D" w:rsidRPr="0010488B">
        <w:rPr>
          <w:rFonts w:ascii="Arial" w:hAnsi="Arial" w:cs="Arial"/>
          <w:bCs/>
        </w:rPr>
        <w:t xml:space="preserve">Accordingly, </w:t>
      </w:r>
      <w:r w:rsidR="002D137D">
        <w:rPr>
          <w:rFonts w:ascii="Arial" w:hAnsi="Arial" w:cs="Arial"/>
          <w:bCs/>
        </w:rPr>
        <w:t xml:space="preserve">there is no merit in this defense.  </w:t>
      </w:r>
    </w:p>
    <w:p w:rsidR="00D11A93" w:rsidRDefault="00D11A93" w:rsidP="002D137D">
      <w:pPr>
        <w:widowControl w:val="0"/>
        <w:spacing w:after="120" w:line="480" w:lineRule="auto"/>
        <w:jc w:val="both"/>
        <w:rPr>
          <w:rFonts w:ascii="Arial" w:hAnsi="Arial" w:cs="Arial"/>
          <w:b/>
          <w:bCs/>
        </w:rPr>
      </w:pPr>
    </w:p>
    <w:p w:rsidR="00D11A93" w:rsidRDefault="00D11A93" w:rsidP="002D137D">
      <w:pPr>
        <w:widowControl w:val="0"/>
        <w:spacing w:after="120" w:line="480" w:lineRule="auto"/>
        <w:jc w:val="both"/>
        <w:rPr>
          <w:rFonts w:ascii="Arial" w:hAnsi="Arial" w:cs="Arial"/>
          <w:b/>
          <w:bCs/>
        </w:rPr>
      </w:pPr>
    </w:p>
    <w:p w:rsidR="00CD75C3" w:rsidRPr="00CD75C3" w:rsidRDefault="00CD75C3" w:rsidP="002D137D">
      <w:pPr>
        <w:widowControl w:val="0"/>
        <w:spacing w:after="120" w:line="480" w:lineRule="auto"/>
        <w:jc w:val="both"/>
        <w:rPr>
          <w:rFonts w:ascii="Arial" w:hAnsi="Arial" w:cs="Arial"/>
          <w:b/>
          <w:lang w:eastAsia="en-ZA"/>
        </w:rPr>
      </w:pPr>
      <w:r w:rsidRPr="00CD75C3">
        <w:rPr>
          <w:rFonts w:ascii="Arial" w:hAnsi="Arial" w:cs="Arial"/>
          <w:b/>
          <w:bCs/>
        </w:rPr>
        <w:lastRenderedPageBreak/>
        <w:t>CONCLUSION</w:t>
      </w:r>
    </w:p>
    <w:p w:rsidR="00DF1CCD" w:rsidRPr="00DF1CCD" w:rsidRDefault="00D11A93" w:rsidP="00DF1CCD">
      <w:pPr>
        <w:widowControl w:val="0"/>
        <w:spacing w:after="120" w:line="480" w:lineRule="auto"/>
        <w:jc w:val="both"/>
        <w:rPr>
          <w:rFonts w:ascii="Arial" w:hAnsi="Arial" w:cs="Arial"/>
        </w:rPr>
      </w:pPr>
      <w:r>
        <w:rPr>
          <w:rFonts w:ascii="Arial" w:hAnsi="Arial" w:cs="Arial"/>
        </w:rPr>
        <w:t>[31</w:t>
      </w:r>
      <w:r w:rsidR="00DF1CCD">
        <w:rPr>
          <w:rFonts w:ascii="Arial" w:hAnsi="Arial" w:cs="Arial"/>
        </w:rPr>
        <w:t xml:space="preserve">] </w:t>
      </w:r>
      <w:r w:rsidR="0044335C" w:rsidRPr="00DF1CCD">
        <w:rPr>
          <w:rFonts w:ascii="Arial" w:hAnsi="Arial" w:cs="Arial"/>
        </w:rPr>
        <w:t xml:space="preserve">In </w:t>
      </w:r>
      <w:r w:rsidR="0044335C" w:rsidRPr="0044335C">
        <w:rPr>
          <w:rFonts w:ascii="Arial" w:hAnsi="Arial" w:cs="Arial"/>
          <w:bCs/>
          <w:i/>
          <w:color w:val="000000"/>
          <w:lang w:eastAsia="en-ZA"/>
        </w:rPr>
        <w:t>Absa Bank Limited v Maritz</w:t>
      </w:r>
      <w:r w:rsidR="0044335C">
        <w:rPr>
          <w:rStyle w:val="FootnoteReference"/>
          <w:rFonts w:ascii="Arial" w:hAnsi="Arial" w:cs="Arial"/>
          <w:bCs/>
          <w:color w:val="000000"/>
          <w:lang w:eastAsia="en-ZA"/>
        </w:rPr>
        <w:footnoteReference w:id="14"/>
      </w:r>
      <w:r w:rsidR="0044335C">
        <w:rPr>
          <w:rFonts w:ascii="Arial" w:hAnsi="Arial" w:cs="Arial"/>
          <w:bCs/>
          <w:i/>
          <w:color w:val="000000"/>
          <w:lang w:eastAsia="en-ZA"/>
        </w:rPr>
        <w:t>,</w:t>
      </w:r>
      <w:r w:rsidR="0044335C">
        <w:rPr>
          <w:rFonts w:ascii="Arial" w:hAnsi="Arial" w:cs="Arial"/>
          <w:bCs/>
          <w:color w:val="000000"/>
          <w:lang w:eastAsia="en-ZA"/>
        </w:rPr>
        <w:t xml:space="preserve"> the court found that it was </w:t>
      </w:r>
      <w:r w:rsidR="0044335C" w:rsidRPr="00482EB8">
        <w:rPr>
          <w:rFonts w:ascii="Arial" w:hAnsi="Arial" w:cs="Arial"/>
          <w:color w:val="000000"/>
          <w:lang w:eastAsia="en-ZA"/>
        </w:rPr>
        <w:t>not sufficient for a defendant to merely state that the plaintiff did not conduct an assessment as required in terms of section 81(1) of the NCA. Something more is required and the defendant was obliged to place more facts</w:t>
      </w:r>
      <w:r w:rsidR="0044335C">
        <w:rPr>
          <w:rFonts w:ascii="Arial" w:hAnsi="Arial" w:cs="Arial"/>
          <w:bCs/>
          <w:color w:val="000000"/>
          <w:lang w:eastAsia="en-ZA"/>
        </w:rPr>
        <w:t xml:space="preserve"> </w:t>
      </w:r>
      <w:r w:rsidR="0044335C" w:rsidRPr="00482EB8">
        <w:rPr>
          <w:rFonts w:ascii="Arial" w:hAnsi="Arial" w:cs="Arial"/>
          <w:color w:val="000000"/>
          <w:lang w:eastAsia="en-ZA"/>
        </w:rPr>
        <w:t>before the c</w:t>
      </w:r>
      <w:r>
        <w:rPr>
          <w:rFonts w:ascii="Arial" w:hAnsi="Arial" w:cs="Arial"/>
          <w:color w:val="000000"/>
          <w:lang w:eastAsia="en-ZA"/>
        </w:rPr>
        <w:t>ourt to sustain the defence. This is so because the</w:t>
      </w:r>
      <w:r w:rsidR="0044335C" w:rsidRPr="00482EB8">
        <w:rPr>
          <w:rFonts w:ascii="Arial" w:hAnsi="Arial" w:cs="Arial"/>
          <w:color w:val="000000"/>
          <w:lang w:eastAsia="en-ZA"/>
        </w:rPr>
        <w:t xml:space="preserve"> acceptance of bald allegations that a proper risk assessment was not done will create an unsafe precedent in summary judgment </w:t>
      </w:r>
      <w:r w:rsidR="0044335C">
        <w:rPr>
          <w:rFonts w:ascii="Arial" w:hAnsi="Arial" w:cs="Arial"/>
          <w:color w:val="000000"/>
          <w:lang w:eastAsia="en-ZA"/>
        </w:rPr>
        <w:t>application.</w:t>
      </w:r>
      <w:r w:rsidR="0044335C">
        <w:rPr>
          <w:rStyle w:val="FootnoteReference"/>
          <w:rFonts w:ascii="Arial" w:hAnsi="Arial" w:cs="Arial"/>
          <w:color w:val="000000"/>
          <w:lang w:eastAsia="en-ZA"/>
        </w:rPr>
        <w:footnoteReference w:id="15"/>
      </w:r>
      <w:r w:rsidR="00CD75C3" w:rsidRPr="00DF1CCD">
        <w:rPr>
          <w:rFonts w:ascii="Arial" w:hAnsi="Arial" w:cs="Arial"/>
        </w:rPr>
        <w:t xml:space="preserve"> </w:t>
      </w:r>
    </w:p>
    <w:p w:rsidR="00DF1CCD" w:rsidRPr="0044335C" w:rsidRDefault="00D11A93" w:rsidP="0044335C">
      <w:pPr>
        <w:widowControl w:val="0"/>
        <w:spacing w:after="120" w:line="480" w:lineRule="auto"/>
        <w:jc w:val="both"/>
        <w:rPr>
          <w:rFonts w:ascii="Arial" w:hAnsi="Arial" w:cs="Arial"/>
        </w:rPr>
      </w:pPr>
      <w:r>
        <w:rPr>
          <w:rFonts w:ascii="Arial" w:hAnsi="Arial" w:cs="Arial"/>
        </w:rPr>
        <w:t>[32</w:t>
      </w:r>
      <w:r w:rsidR="00DF1CCD">
        <w:rPr>
          <w:rFonts w:ascii="Arial" w:hAnsi="Arial" w:cs="Arial"/>
        </w:rPr>
        <w:t xml:space="preserve">] </w:t>
      </w:r>
      <w:r w:rsidR="0044335C" w:rsidRPr="0010488B">
        <w:rPr>
          <w:rFonts w:ascii="Arial" w:hAnsi="Arial" w:cs="Arial"/>
        </w:rPr>
        <w:t xml:space="preserve">Mr Phiri has admitted to being in breach of the </w:t>
      </w:r>
      <w:r w:rsidR="003708C1">
        <w:rPr>
          <w:rFonts w:ascii="Arial" w:hAnsi="Arial" w:cs="Arial"/>
        </w:rPr>
        <w:t xml:space="preserve">credit </w:t>
      </w:r>
      <w:r w:rsidR="0044335C" w:rsidRPr="0010488B">
        <w:rPr>
          <w:rFonts w:ascii="Arial" w:hAnsi="Arial" w:cs="Arial"/>
        </w:rPr>
        <w:t xml:space="preserve">agreement and his justification for </w:t>
      </w:r>
      <w:r w:rsidR="0044335C">
        <w:rPr>
          <w:rFonts w:ascii="Arial" w:hAnsi="Arial" w:cs="Arial"/>
        </w:rPr>
        <w:t>doing so</w:t>
      </w:r>
      <w:r w:rsidR="0044335C" w:rsidRPr="0010488B">
        <w:rPr>
          <w:rFonts w:ascii="Arial" w:hAnsi="Arial" w:cs="Arial"/>
        </w:rPr>
        <w:t xml:space="preserve"> is inadequate. The defence of reckless credit and/or over-indebtedness is not raised </w:t>
      </w:r>
      <w:r>
        <w:rPr>
          <w:rFonts w:ascii="Arial" w:hAnsi="Arial" w:cs="Arial"/>
        </w:rPr>
        <w:t>without setting out the grounds of the defence. As a resul</w:t>
      </w:r>
      <w:r w:rsidR="005C1B03">
        <w:rPr>
          <w:rFonts w:ascii="Arial" w:hAnsi="Arial" w:cs="Arial"/>
        </w:rPr>
        <w:t xml:space="preserve">t </w:t>
      </w:r>
      <w:r w:rsidRPr="0010488B">
        <w:rPr>
          <w:rFonts w:ascii="Arial" w:hAnsi="Arial" w:cs="Arial"/>
        </w:rPr>
        <w:t xml:space="preserve">Mr Phiri has failed to raise any </w:t>
      </w:r>
      <w:r w:rsidRPr="0044335C">
        <w:rPr>
          <w:rFonts w:ascii="Arial" w:hAnsi="Arial" w:cs="Arial"/>
          <w:i/>
        </w:rPr>
        <w:t>bona fide</w:t>
      </w:r>
      <w:r w:rsidRPr="0010488B">
        <w:rPr>
          <w:rFonts w:ascii="Arial" w:hAnsi="Arial" w:cs="Arial"/>
        </w:rPr>
        <w:t xml:space="preserve"> and/or triable defence.  </w:t>
      </w:r>
    </w:p>
    <w:p w:rsidR="002D137D" w:rsidRDefault="005C1B03" w:rsidP="007E5C25">
      <w:pPr>
        <w:spacing w:line="480" w:lineRule="auto"/>
        <w:jc w:val="both"/>
        <w:rPr>
          <w:rFonts w:ascii="Arial" w:hAnsi="Arial" w:cs="Arial"/>
          <w:color w:val="000000"/>
          <w:lang w:eastAsia="en-ZA"/>
        </w:rPr>
      </w:pPr>
      <w:r>
        <w:rPr>
          <w:rFonts w:ascii="Arial" w:hAnsi="Arial" w:cs="Arial"/>
        </w:rPr>
        <w:t>[33</w:t>
      </w:r>
      <w:r w:rsidR="00DF1CCD" w:rsidRPr="007E5C25">
        <w:rPr>
          <w:rFonts w:ascii="Arial" w:hAnsi="Arial" w:cs="Arial"/>
        </w:rPr>
        <w:t xml:space="preserve">] </w:t>
      </w:r>
      <w:r w:rsidR="007E5C25" w:rsidRPr="007E5C25">
        <w:rPr>
          <w:rFonts w:ascii="Arial" w:hAnsi="Arial" w:cs="Arial"/>
          <w:color w:val="000000"/>
          <w:lang w:eastAsia="en-ZA"/>
        </w:rPr>
        <w:t xml:space="preserve">In </w:t>
      </w:r>
      <w:r w:rsidR="002D137D" w:rsidRPr="00482EB8">
        <w:rPr>
          <w:rFonts w:ascii="Arial" w:hAnsi="Arial" w:cs="Arial"/>
          <w:color w:val="000000"/>
          <w:lang w:eastAsia="en-ZA"/>
        </w:rPr>
        <w:t>the premises the plaintiff is entitled to summary judgment and t</w:t>
      </w:r>
      <w:r w:rsidR="007E5C25" w:rsidRPr="007E5C25">
        <w:rPr>
          <w:rFonts w:ascii="Arial" w:hAnsi="Arial" w:cs="Arial"/>
          <w:color w:val="000000"/>
          <w:lang w:eastAsia="en-ZA"/>
        </w:rPr>
        <w:t>he following order</w:t>
      </w:r>
      <w:r w:rsidR="002D137D" w:rsidRPr="00482EB8">
        <w:rPr>
          <w:rFonts w:ascii="Arial" w:hAnsi="Arial" w:cs="Arial"/>
          <w:color w:val="000000"/>
          <w:lang w:eastAsia="en-ZA"/>
        </w:rPr>
        <w:t xml:space="preserve"> </w:t>
      </w:r>
      <w:r w:rsidR="007E5C25" w:rsidRPr="007E5C25">
        <w:rPr>
          <w:rFonts w:ascii="Arial" w:hAnsi="Arial" w:cs="Arial"/>
          <w:color w:val="000000"/>
          <w:lang w:eastAsia="en-ZA"/>
        </w:rPr>
        <w:t>is</w:t>
      </w:r>
      <w:r w:rsidR="002D137D" w:rsidRPr="00482EB8">
        <w:rPr>
          <w:rFonts w:ascii="Arial" w:hAnsi="Arial" w:cs="Arial"/>
          <w:color w:val="000000"/>
          <w:lang w:eastAsia="en-ZA"/>
        </w:rPr>
        <w:t xml:space="preserve"> made:</w:t>
      </w:r>
    </w:p>
    <w:p w:rsidR="0044335C" w:rsidRDefault="0044335C" w:rsidP="005C1B03">
      <w:pPr>
        <w:spacing w:line="480" w:lineRule="auto"/>
        <w:ind w:firstLine="720"/>
        <w:jc w:val="both"/>
        <w:rPr>
          <w:rFonts w:ascii="Arial" w:hAnsi="Arial" w:cs="Arial"/>
          <w:color w:val="000000"/>
          <w:lang w:eastAsia="en-ZA"/>
        </w:rPr>
      </w:pPr>
      <w:r>
        <w:rPr>
          <w:rFonts w:ascii="Arial" w:hAnsi="Arial" w:cs="Arial"/>
          <w:color w:val="000000"/>
          <w:lang w:eastAsia="en-ZA"/>
        </w:rPr>
        <w:t xml:space="preserve">1. </w:t>
      </w:r>
      <w:r w:rsidRPr="0044335C">
        <w:rPr>
          <w:rFonts w:ascii="Arial" w:hAnsi="Arial" w:cs="Arial"/>
          <w:color w:val="000000"/>
          <w:lang w:eastAsia="en-ZA"/>
        </w:rPr>
        <w:t xml:space="preserve">Cancellation of the </w:t>
      </w:r>
      <w:r w:rsidR="003708C1">
        <w:rPr>
          <w:rFonts w:ascii="Arial" w:hAnsi="Arial" w:cs="Arial"/>
          <w:color w:val="000000"/>
          <w:lang w:eastAsia="en-ZA"/>
        </w:rPr>
        <w:t>credit agreement.</w:t>
      </w:r>
    </w:p>
    <w:p w:rsidR="0044335C" w:rsidRDefault="0044335C" w:rsidP="005C1B03">
      <w:pPr>
        <w:spacing w:line="480" w:lineRule="auto"/>
        <w:ind w:left="720"/>
        <w:jc w:val="both"/>
        <w:rPr>
          <w:rFonts w:ascii="Arial" w:hAnsi="Arial" w:cs="Arial"/>
          <w:color w:val="000000"/>
          <w:lang w:eastAsia="en-ZA"/>
        </w:rPr>
      </w:pPr>
      <w:r>
        <w:rPr>
          <w:rFonts w:ascii="Arial" w:hAnsi="Arial" w:cs="Arial"/>
          <w:color w:val="000000"/>
          <w:lang w:eastAsia="en-ZA"/>
        </w:rPr>
        <w:t xml:space="preserve">2. Delivery of </w:t>
      </w:r>
      <w:r w:rsidRPr="0044335C">
        <w:rPr>
          <w:rFonts w:ascii="Arial" w:hAnsi="Arial" w:cs="Arial"/>
          <w:color w:val="000000"/>
          <w:lang w:eastAsia="en-ZA"/>
        </w:rPr>
        <w:t>2008 LAND ROVER DEFENDER PUMA 110 SW CHASSIS NUMBER: SALLDHMT77A751925 ENGINE NUMBER: 071113183730244DT</w:t>
      </w:r>
    </w:p>
    <w:p w:rsidR="0044335C" w:rsidRDefault="0044335C" w:rsidP="005C1B03">
      <w:pPr>
        <w:spacing w:line="480" w:lineRule="auto"/>
        <w:ind w:firstLine="720"/>
        <w:jc w:val="both"/>
        <w:rPr>
          <w:rFonts w:ascii="Arial" w:hAnsi="Arial" w:cs="Arial"/>
          <w:color w:val="000000"/>
          <w:lang w:eastAsia="en-ZA"/>
        </w:rPr>
      </w:pPr>
      <w:r w:rsidRPr="0044335C">
        <w:rPr>
          <w:rFonts w:ascii="Arial" w:hAnsi="Arial" w:cs="Arial"/>
          <w:color w:val="000000"/>
          <w:lang w:eastAsia="en-ZA"/>
        </w:rPr>
        <w:t>3. Costs of suit;</w:t>
      </w:r>
    </w:p>
    <w:p w:rsidR="00D54FA8" w:rsidRPr="005C1B03" w:rsidRDefault="0044335C" w:rsidP="005C1B03">
      <w:pPr>
        <w:spacing w:line="480" w:lineRule="auto"/>
        <w:ind w:firstLine="720"/>
        <w:jc w:val="both"/>
        <w:rPr>
          <w:rFonts w:ascii="Arial" w:hAnsi="Arial" w:cs="Arial"/>
          <w:color w:val="000000"/>
          <w:lang w:eastAsia="en-ZA"/>
        </w:rPr>
      </w:pPr>
      <w:r w:rsidRPr="0044335C">
        <w:rPr>
          <w:rFonts w:ascii="Arial" w:hAnsi="Arial" w:cs="Arial"/>
          <w:color w:val="000000"/>
          <w:lang w:eastAsia="en-ZA"/>
        </w:rPr>
        <w:t xml:space="preserve">4. Claim for damages to be postponed </w:t>
      </w:r>
      <w:r w:rsidRPr="003708C1">
        <w:rPr>
          <w:rFonts w:ascii="Arial" w:hAnsi="Arial" w:cs="Arial"/>
          <w:i/>
          <w:color w:val="000000"/>
          <w:lang w:eastAsia="en-ZA"/>
        </w:rPr>
        <w:t>sine die</w:t>
      </w:r>
      <w:r w:rsidRPr="0044335C">
        <w:rPr>
          <w:rFonts w:ascii="Arial" w:hAnsi="Arial" w:cs="Arial"/>
          <w:color w:val="000000"/>
          <w:lang w:eastAsia="en-ZA"/>
        </w:rPr>
        <w:t>.</w:t>
      </w:r>
    </w:p>
    <w:p w:rsidR="00D54FA8" w:rsidRPr="00D54FA8" w:rsidRDefault="00D54FA8" w:rsidP="00D54FA8">
      <w:pPr>
        <w:suppressAutoHyphens/>
        <w:spacing w:line="480" w:lineRule="auto"/>
        <w:jc w:val="right"/>
        <w:rPr>
          <w:rFonts w:ascii="Arial" w:hAnsi="Arial" w:cs="Arial"/>
          <w:b/>
          <w:lang w:val="en-ZA"/>
        </w:rPr>
      </w:pPr>
      <w:r w:rsidRPr="00D54FA8">
        <w:rPr>
          <w:rFonts w:ascii="Arial" w:hAnsi="Arial" w:cs="Arial"/>
          <w:b/>
          <w:lang w:val="en-ZA"/>
        </w:rPr>
        <w:t>___________________________</w:t>
      </w:r>
    </w:p>
    <w:p w:rsidR="00D54FA8" w:rsidRPr="00D54FA8" w:rsidRDefault="00D54FA8" w:rsidP="00D54FA8">
      <w:pPr>
        <w:spacing w:line="360" w:lineRule="auto"/>
        <w:jc w:val="right"/>
        <w:rPr>
          <w:rFonts w:ascii="Arial" w:eastAsiaTheme="minorHAnsi" w:hAnsi="Arial" w:cs="Arial"/>
          <w:b/>
          <w:lang w:val="en-ZA"/>
        </w:rPr>
      </w:pPr>
      <w:r w:rsidRPr="00D54FA8">
        <w:rPr>
          <w:rFonts w:ascii="Arial" w:eastAsiaTheme="minorHAnsi" w:hAnsi="Arial" w:cs="Arial"/>
          <w:b/>
          <w:lang w:val="en-ZA"/>
        </w:rPr>
        <w:t>L. WINDELL</w:t>
      </w:r>
    </w:p>
    <w:p w:rsidR="00D54FA8" w:rsidRPr="00D54FA8" w:rsidRDefault="00D54FA8" w:rsidP="00D54FA8">
      <w:pPr>
        <w:spacing w:line="360" w:lineRule="auto"/>
        <w:jc w:val="right"/>
        <w:rPr>
          <w:rFonts w:ascii="Arial" w:eastAsiaTheme="minorHAnsi" w:hAnsi="Arial" w:cs="Arial"/>
          <w:b/>
          <w:lang w:val="en-ZA"/>
        </w:rPr>
      </w:pPr>
      <w:r w:rsidRPr="00D54FA8">
        <w:rPr>
          <w:rFonts w:ascii="Arial" w:eastAsiaTheme="minorHAnsi" w:hAnsi="Arial" w:cs="Arial"/>
          <w:b/>
          <w:lang w:val="en-ZA"/>
        </w:rPr>
        <w:t>JUDGE OF THE HIGH COURT</w:t>
      </w:r>
    </w:p>
    <w:p w:rsidR="00D54FA8" w:rsidRPr="00D54FA8" w:rsidRDefault="00D54FA8" w:rsidP="00D54FA8">
      <w:pPr>
        <w:spacing w:line="360" w:lineRule="auto"/>
        <w:jc w:val="right"/>
        <w:rPr>
          <w:rFonts w:ascii="Arial" w:eastAsiaTheme="minorHAnsi" w:hAnsi="Arial" w:cs="Arial"/>
          <w:b/>
          <w:lang w:val="en-ZA"/>
        </w:rPr>
      </w:pPr>
      <w:r w:rsidRPr="00D54FA8">
        <w:rPr>
          <w:rFonts w:ascii="Arial" w:eastAsiaTheme="minorHAnsi" w:hAnsi="Arial" w:cs="Arial"/>
          <w:b/>
          <w:lang w:val="en-ZA"/>
        </w:rPr>
        <w:t>GAUTENG LOCAL DIVISION, JOHANNESBURG</w:t>
      </w:r>
    </w:p>
    <w:p w:rsidR="00D54FA8" w:rsidRPr="00D54FA8" w:rsidRDefault="00D54FA8" w:rsidP="00D54FA8">
      <w:pPr>
        <w:spacing w:before="240" w:line="360" w:lineRule="auto"/>
        <w:jc w:val="right"/>
        <w:rPr>
          <w:rFonts w:ascii="Arial" w:eastAsiaTheme="minorHAnsi" w:hAnsi="Arial" w:cs="Arial"/>
          <w:b/>
          <w:lang w:val="en-ZA"/>
        </w:rPr>
      </w:pPr>
      <w:r w:rsidRPr="00D54FA8">
        <w:rPr>
          <w:rFonts w:ascii="Arial" w:eastAsiaTheme="minorHAnsi" w:hAnsi="Arial" w:cs="Arial"/>
          <w:b/>
          <w:lang w:val="en-ZA"/>
        </w:rPr>
        <w:t>(</w:t>
      </w:r>
      <w:r w:rsidRPr="00D54FA8">
        <w:rPr>
          <w:rFonts w:ascii="Arial" w:eastAsiaTheme="minorHAnsi" w:hAnsi="Arial" w:cs="Arial"/>
          <w:b/>
          <w:i/>
          <w:lang w:val="en-ZA"/>
        </w:rPr>
        <w:t>Electronically submitted therefore unsigned)</w:t>
      </w:r>
    </w:p>
    <w:p w:rsidR="00D54FA8" w:rsidRPr="00D54FA8" w:rsidRDefault="00D54FA8" w:rsidP="00D54FA8">
      <w:pPr>
        <w:suppressAutoHyphens/>
        <w:spacing w:line="360" w:lineRule="auto"/>
        <w:jc w:val="right"/>
        <w:rPr>
          <w:rFonts w:ascii="Arial" w:hAnsi="Arial" w:cs="Arial"/>
          <w:b/>
          <w:lang w:val="en-ZA"/>
        </w:rPr>
      </w:pPr>
    </w:p>
    <w:p w:rsidR="00D54FA8" w:rsidRPr="00D54FA8" w:rsidRDefault="00D54FA8" w:rsidP="00D54FA8">
      <w:pPr>
        <w:suppressAutoHyphens/>
        <w:spacing w:before="240" w:after="198" w:line="480" w:lineRule="auto"/>
        <w:jc w:val="both"/>
        <w:rPr>
          <w:rFonts w:ascii="Arial" w:hAnsi="Arial" w:cs="Arial"/>
          <w:lang w:val="en-ZA"/>
        </w:rPr>
      </w:pPr>
      <w:r w:rsidRPr="00D54FA8">
        <w:rPr>
          <w:rFonts w:ascii="Arial" w:hAnsi="Arial" w:cs="Arial"/>
          <w:lang w:val="en-ZA"/>
        </w:rPr>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5C1B03">
        <w:rPr>
          <w:rFonts w:ascii="Arial" w:hAnsi="Arial" w:cs="Arial"/>
          <w:lang w:val="en-ZA"/>
        </w:rPr>
        <w:t>5 May 2022.</w:t>
      </w:r>
    </w:p>
    <w:p w:rsidR="00D54FA8" w:rsidRPr="00D54FA8" w:rsidRDefault="00D54FA8" w:rsidP="00D54FA8">
      <w:pPr>
        <w:suppressAutoHyphens/>
        <w:spacing w:before="240" w:after="160"/>
        <w:ind w:left="-5"/>
        <w:jc w:val="both"/>
        <w:rPr>
          <w:rFonts w:ascii="Arial" w:hAnsi="Arial" w:cs="Arial"/>
          <w:lang w:val="en-ZA"/>
        </w:rPr>
      </w:pPr>
      <w:r w:rsidRPr="00D54FA8">
        <w:rPr>
          <w:rFonts w:ascii="Arial" w:hAnsi="Arial" w:cs="Arial"/>
          <w:b/>
          <w:u w:val="single" w:color="000000"/>
          <w:lang w:val="en-ZA"/>
        </w:rPr>
        <w:t>APPEARANCES</w:t>
      </w:r>
    </w:p>
    <w:p w:rsidR="00D54FA8" w:rsidRPr="00D54FA8" w:rsidRDefault="00BF7BD9" w:rsidP="00D54FA8">
      <w:pPr>
        <w:suppressAutoHyphens/>
        <w:spacing w:after="320" w:line="276" w:lineRule="auto"/>
        <w:ind w:left="1361" w:hanging="1361"/>
        <w:jc w:val="both"/>
        <w:outlineLvl w:val="1"/>
        <w:rPr>
          <w:rFonts w:ascii="Arial" w:hAnsi="Arial" w:cs="Arial"/>
          <w:lang w:val="en-ZA"/>
        </w:rPr>
      </w:pPr>
      <w:r>
        <w:rPr>
          <w:rFonts w:ascii="Arial" w:hAnsi="Arial" w:cs="Arial"/>
          <w:lang w:val="en-ZA"/>
        </w:rPr>
        <w:t>Counsel for the plaintiff</w:t>
      </w:r>
      <w:r w:rsidR="00D54FA8">
        <w:rPr>
          <w:rFonts w:ascii="Arial" w:hAnsi="Arial" w:cs="Arial"/>
          <w:lang w:val="en-ZA"/>
        </w:rPr>
        <w:t>:</w:t>
      </w:r>
      <w:r w:rsidR="00D54FA8">
        <w:rPr>
          <w:rFonts w:ascii="Arial" w:hAnsi="Arial" w:cs="Arial"/>
          <w:lang w:val="en-ZA"/>
        </w:rPr>
        <w:tab/>
      </w:r>
      <w:r w:rsidR="00D54FA8">
        <w:rPr>
          <w:rFonts w:ascii="Arial" w:hAnsi="Arial" w:cs="Arial"/>
          <w:lang w:val="en-ZA"/>
        </w:rPr>
        <w:tab/>
      </w:r>
      <w:r w:rsidR="00D54FA8">
        <w:rPr>
          <w:rFonts w:ascii="Arial" w:hAnsi="Arial" w:cs="Arial"/>
          <w:lang w:val="en-ZA"/>
        </w:rPr>
        <w:tab/>
        <w:t>Adv. Leon Peter</w:t>
      </w:r>
    </w:p>
    <w:p w:rsidR="00D54FA8" w:rsidRPr="00D54FA8" w:rsidRDefault="00D54FA8" w:rsidP="00D54FA8">
      <w:pPr>
        <w:suppressAutoHyphens/>
        <w:spacing w:after="320" w:line="276" w:lineRule="auto"/>
        <w:ind w:left="1361" w:hanging="1361"/>
        <w:jc w:val="both"/>
        <w:outlineLvl w:val="1"/>
        <w:rPr>
          <w:rFonts w:ascii="Arial" w:hAnsi="Arial" w:cs="Arial"/>
          <w:lang w:val="en-ZA"/>
        </w:rPr>
      </w:pPr>
      <w:r w:rsidRPr="00D54FA8">
        <w:rPr>
          <w:rFonts w:ascii="Arial" w:hAnsi="Arial" w:cs="Arial"/>
          <w:lang w:val="en-ZA"/>
        </w:rPr>
        <w:t>Ins</w:t>
      </w:r>
      <w:r w:rsidR="00BF7BD9">
        <w:rPr>
          <w:rFonts w:ascii="Arial" w:hAnsi="Arial" w:cs="Arial"/>
          <w:lang w:val="en-ZA"/>
        </w:rPr>
        <w:t>tructed by:</w:t>
      </w:r>
      <w:r w:rsidR="00BF7BD9">
        <w:rPr>
          <w:rFonts w:ascii="Arial" w:hAnsi="Arial" w:cs="Arial"/>
          <w:lang w:val="en-ZA"/>
        </w:rPr>
        <w:tab/>
      </w:r>
      <w:r w:rsidR="00BF7BD9">
        <w:rPr>
          <w:rFonts w:ascii="Arial" w:hAnsi="Arial" w:cs="Arial"/>
          <w:lang w:val="en-ZA"/>
        </w:rPr>
        <w:tab/>
      </w:r>
      <w:r w:rsidR="00BF7BD9">
        <w:rPr>
          <w:rFonts w:ascii="Arial" w:hAnsi="Arial" w:cs="Arial"/>
          <w:lang w:val="en-ZA"/>
        </w:rPr>
        <w:tab/>
      </w:r>
      <w:r w:rsidR="00BF7BD9">
        <w:rPr>
          <w:rFonts w:ascii="Arial" w:hAnsi="Arial" w:cs="Arial"/>
          <w:lang w:val="en-ZA"/>
        </w:rPr>
        <w:tab/>
        <w:t>Rossouws, Leslie Inc</w:t>
      </w:r>
    </w:p>
    <w:p w:rsidR="00D54FA8" w:rsidRPr="00D54FA8" w:rsidRDefault="00D54FA8" w:rsidP="00D54FA8">
      <w:pPr>
        <w:suppressAutoHyphens/>
        <w:spacing w:after="320" w:line="276" w:lineRule="auto"/>
        <w:ind w:left="1361" w:hanging="1361"/>
        <w:jc w:val="both"/>
        <w:outlineLvl w:val="1"/>
        <w:rPr>
          <w:rFonts w:ascii="Arial" w:hAnsi="Arial" w:cs="Arial"/>
          <w:lang w:val="en-ZA"/>
        </w:rPr>
      </w:pPr>
      <w:r w:rsidRPr="00D54FA8">
        <w:rPr>
          <w:rFonts w:ascii="Arial" w:hAnsi="Arial" w:cs="Arial"/>
          <w:lang w:val="en-ZA"/>
        </w:rPr>
        <w:t xml:space="preserve">Counsel for the </w:t>
      </w:r>
      <w:r w:rsidR="00BF7BD9">
        <w:rPr>
          <w:rFonts w:ascii="Arial" w:hAnsi="Arial" w:cs="Arial"/>
          <w:lang w:val="en-ZA"/>
        </w:rPr>
        <w:t>defendant</w:t>
      </w:r>
      <w:r>
        <w:rPr>
          <w:rFonts w:ascii="Arial" w:hAnsi="Arial" w:cs="Arial"/>
          <w:lang w:val="en-ZA"/>
        </w:rPr>
        <w:t>:</w:t>
      </w:r>
      <w:r>
        <w:rPr>
          <w:rFonts w:ascii="Arial" w:hAnsi="Arial" w:cs="Arial"/>
          <w:lang w:val="en-ZA"/>
        </w:rPr>
        <w:tab/>
      </w:r>
      <w:r>
        <w:rPr>
          <w:rFonts w:ascii="Arial" w:hAnsi="Arial" w:cs="Arial"/>
          <w:lang w:val="en-ZA"/>
        </w:rPr>
        <w:tab/>
      </w:r>
      <w:r w:rsidR="00BF7BD9">
        <w:rPr>
          <w:rFonts w:ascii="Arial" w:hAnsi="Arial" w:cs="Arial"/>
          <w:lang w:val="en-ZA"/>
        </w:rPr>
        <w:t xml:space="preserve">           </w:t>
      </w:r>
      <w:r>
        <w:rPr>
          <w:rFonts w:ascii="Arial" w:hAnsi="Arial" w:cs="Arial"/>
          <w:lang w:val="en-ZA"/>
        </w:rPr>
        <w:t>Adv. A.</w:t>
      </w:r>
      <w:r w:rsidR="00BF7BD9">
        <w:rPr>
          <w:rFonts w:ascii="Arial" w:hAnsi="Arial" w:cs="Arial"/>
          <w:lang w:val="en-ZA"/>
        </w:rPr>
        <w:t xml:space="preserve"> Theart</w:t>
      </w:r>
    </w:p>
    <w:p w:rsidR="00D54FA8" w:rsidRPr="00D54FA8" w:rsidRDefault="00D54FA8" w:rsidP="00D54FA8">
      <w:pPr>
        <w:suppressAutoHyphens/>
        <w:spacing w:after="320" w:line="276" w:lineRule="auto"/>
        <w:ind w:left="1361" w:hanging="1361"/>
        <w:jc w:val="both"/>
        <w:outlineLvl w:val="1"/>
        <w:rPr>
          <w:rFonts w:ascii="Arial" w:hAnsi="Arial" w:cs="Arial"/>
          <w:lang w:val="en-ZA"/>
        </w:rPr>
      </w:pPr>
      <w:r w:rsidRPr="00D54FA8">
        <w:rPr>
          <w:rFonts w:ascii="Arial" w:hAnsi="Arial" w:cs="Arial"/>
          <w:lang w:val="en-ZA"/>
        </w:rPr>
        <w:t xml:space="preserve">Instructed by: </w:t>
      </w:r>
      <w:r w:rsidR="00BF7BD9">
        <w:rPr>
          <w:rFonts w:ascii="Arial" w:hAnsi="Arial" w:cs="Arial"/>
          <w:lang w:val="en-ZA"/>
        </w:rPr>
        <w:tab/>
      </w:r>
      <w:r w:rsidR="00BF7BD9">
        <w:rPr>
          <w:rFonts w:ascii="Arial" w:hAnsi="Arial" w:cs="Arial"/>
          <w:lang w:val="en-ZA"/>
        </w:rPr>
        <w:tab/>
      </w:r>
      <w:r w:rsidR="00BF7BD9">
        <w:rPr>
          <w:rFonts w:ascii="Arial" w:hAnsi="Arial" w:cs="Arial"/>
          <w:lang w:val="en-ZA"/>
        </w:rPr>
        <w:tab/>
      </w:r>
      <w:r w:rsidR="00BF7BD9">
        <w:rPr>
          <w:rFonts w:ascii="Arial" w:hAnsi="Arial" w:cs="Arial"/>
          <w:lang w:val="en-ZA"/>
        </w:rPr>
        <w:tab/>
        <w:t>Viljoen Attorneys</w:t>
      </w:r>
    </w:p>
    <w:p w:rsidR="00BF7BD9" w:rsidRDefault="00D54FA8" w:rsidP="0044335C">
      <w:pPr>
        <w:suppressAutoHyphens/>
        <w:spacing w:after="320" w:line="360" w:lineRule="auto"/>
        <w:ind w:left="1361" w:hanging="1361"/>
        <w:jc w:val="both"/>
        <w:outlineLvl w:val="1"/>
        <w:rPr>
          <w:rFonts w:ascii="Arial" w:hAnsi="Arial" w:cs="Arial"/>
          <w:lang w:val="en-ZA"/>
        </w:rPr>
      </w:pPr>
      <w:r w:rsidRPr="00D54FA8">
        <w:rPr>
          <w:rFonts w:ascii="Arial" w:hAnsi="Arial" w:cs="Arial"/>
          <w:lang w:val="en-ZA"/>
        </w:rPr>
        <w:t>Date</w:t>
      </w:r>
      <w:r w:rsidR="00BF7BD9">
        <w:rPr>
          <w:rFonts w:ascii="Arial" w:hAnsi="Arial" w:cs="Arial"/>
          <w:lang w:val="en-ZA"/>
        </w:rPr>
        <w:t xml:space="preserve"> of hearing:</w:t>
      </w:r>
      <w:r w:rsidR="00BF7BD9">
        <w:rPr>
          <w:rFonts w:ascii="Arial" w:hAnsi="Arial" w:cs="Arial"/>
          <w:lang w:val="en-ZA"/>
        </w:rPr>
        <w:tab/>
      </w:r>
      <w:r w:rsidR="00BF7BD9">
        <w:rPr>
          <w:rFonts w:ascii="Arial" w:hAnsi="Arial" w:cs="Arial"/>
          <w:lang w:val="en-ZA"/>
        </w:rPr>
        <w:tab/>
      </w:r>
      <w:r w:rsidR="00BF7BD9">
        <w:rPr>
          <w:rFonts w:ascii="Arial" w:hAnsi="Arial" w:cs="Arial"/>
          <w:lang w:val="en-ZA"/>
        </w:rPr>
        <w:tab/>
      </w:r>
      <w:r w:rsidR="00BF7BD9">
        <w:rPr>
          <w:rFonts w:ascii="Arial" w:hAnsi="Arial" w:cs="Arial"/>
          <w:lang w:val="en-ZA"/>
        </w:rPr>
        <w:tab/>
        <w:t xml:space="preserve">15 March 2022 (additional heads of </w:t>
      </w:r>
    </w:p>
    <w:p w:rsidR="00BF7BD9" w:rsidRDefault="00BF7BD9" w:rsidP="0044335C">
      <w:pPr>
        <w:suppressAutoHyphens/>
        <w:spacing w:after="320" w:line="360" w:lineRule="auto"/>
        <w:ind w:left="1361" w:firstLine="79"/>
        <w:jc w:val="both"/>
        <w:outlineLvl w:val="1"/>
        <w:rPr>
          <w:rFonts w:ascii="Arial" w:hAnsi="Arial" w:cs="Arial"/>
          <w:lang w:val="en-ZA"/>
        </w:rPr>
      </w:pPr>
      <w:r>
        <w:rPr>
          <w:rFonts w:ascii="Arial" w:hAnsi="Arial" w:cs="Arial"/>
          <w:lang w:val="en-ZA"/>
        </w:rPr>
        <w:t xml:space="preserve">                                           argument filed on 23 March 2022 and 4 April                                 </w:t>
      </w:r>
    </w:p>
    <w:p w:rsidR="00D54FA8" w:rsidRPr="00D54FA8" w:rsidRDefault="00BF7BD9" w:rsidP="0044335C">
      <w:pPr>
        <w:suppressAutoHyphens/>
        <w:spacing w:after="320" w:line="360" w:lineRule="auto"/>
        <w:ind w:left="1361" w:firstLine="79"/>
        <w:jc w:val="both"/>
        <w:outlineLvl w:val="1"/>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2022)</w:t>
      </w:r>
      <w:r w:rsidR="00D54FA8" w:rsidRPr="00D54FA8">
        <w:rPr>
          <w:rFonts w:ascii="Arial" w:hAnsi="Arial" w:cs="Arial"/>
          <w:lang w:val="en-ZA"/>
        </w:rPr>
        <w:tab/>
      </w:r>
      <w:r w:rsidR="00D54FA8" w:rsidRPr="00D54FA8">
        <w:rPr>
          <w:rFonts w:ascii="Arial" w:hAnsi="Arial" w:cs="Arial"/>
          <w:lang w:val="en-ZA"/>
        </w:rPr>
        <w:tab/>
      </w:r>
      <w:r w:rsidR="00D54FA8" w:rsidRPr="00D54FA8">
        <w:rPr>
          <w:rFonts w:ascii="Arial" w:hAnsi="Arial" w:cs="Arial"/>
          <w:lang w:val="en-ZA"/>
        </w:rPr>
        <w:tab/>
      </w:r>
    </w:p>
    <w:p w:rsidR="00D54FA8" w:rsidRPr="00D54FA8" w:rsidRDefault="00D54FA8" w:rsidP="0044335C">
      <w:pPr>
        <w:suppressAutoHyphens/>
        <w:spacing w:after="320" w:line="276" w:lineRule="auto"/>
        <w:jc w:val="both"/>
        <w:outlineLvl w:val="1"/>
        <w:rPr>
          <w:rFonts w:ascii="Arial" w:eastAsiaTheme="minorHAnsi" w:hAnsi="Arial" w:cs="Arial"/>
          <w:lang w:val="en-ZA"/>
        </w:rPr>
      </w:pPr>
      <w:r w:rsidRPr="00D54FA8">
        <w:rPr>
          <w:rFonts w:ascii="Arial" w:hAnsi="Arial" w:cs="Arial"/>
          <w:lang w:val="en-ZA"/>
        </w:rPr>
        <w:t xml:space="preserve">Date of judgment:                  </w:t>
      </w:r>
      <w:r>
        <w:rPr>
          <w:rFonts w:ascii="Arial" w:hAnsi="Arial" w:cs="Arial"/>
          <w:lang w:val="en-ZA"/>
        </w:rPr>
        <w:t xml:space="preserve">                   </w:t>
      </w:r>
      <w:r w:rsidR="005C1B03">
        <w:rPr>
          <w:rFonts w:ascii="Arial" w:hAnsi="Arial" w:cs="Arial"/>
          <w:lang w:val="en-ZA"/>
        </w:rPr>
        <w:t>5 May 2022.</w:t>
      </w:r>
    </w:p>
    <w:p w:rsidR="00951E6A" w:rsidRDefault="00951E6A" w:rsidP="006601D9"/>
    <w:sectPr w:rsidR="00951E6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D8" w:rsidRDefault="00FC7AD8" w:rsidP="002D137D">
      <w:r>
        <w:separator/>
      </w:r>
    </w:p>
  </w:endnote>
  <w:endnote w:type="continuationSeparator" w:id="0">
    <w:p w:rsidR="00FC7AD8" w:rsidRDefault="00FC7AD8" w:rsidP="002D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D8" w:rsidRDefault="00FC7AD8" w:rsidP="002D137D">
      <w:r>
        <w:separator/>
      </w:r>
    </w:p>
  </w:footnote>
  <w:footnote w:type="continuationSeparator" w:id="0">
    <w:p w:rsidR="00FC7AD8" w:rsidRDefault="00FC7AD8" w:rsidP="002D137D">
      <w:r>
        <w:continuationSeparator/>
      </w:r>
    </w:p>
  </w:footnote>
  <w:footnote w:id="1">
    <w:p w:rsidR="002D137D" w:rsidRPr="00B737A4" w:rsidRDefault="002D137D" w:rsidP="002D137D">
      <w:pPr>
        <w:pStyle w:val="FootnoteText"/>
        <w:rPr>
          <w:rFonts w:ascii="Arial" w:hAnsi="Arial" w:cs="Arial"/>
        </w:rPr>
      </w:pPr>
      <w:r w:rsidRPr="005C5DCA">
        <w:rPr>
          <w:rStyle w:val="FootnoteReference"/>
          <w:rFonts w:ascii="Arial" w:hAnsi="Arial" w:cs="Arial"/>
        </w:rPr>
        <w:footnoteRef/>
      </w:r>
      <w:r w:rsidRPr="005C5DCA">
        <w:rPr>
          <w:rFonts w:ascii="Arial" w:hAnsi="Arial" w:cs="Arial"/>
        </w:rPr>
        <w:t xml:space="preserve"> </w:t>
      </w:r>
      <w:r w:rsidRPr="00B737A4">
        <w:rPr>
          <w:rFonts w:ascii="Arial" w:hAnsi="Arial" w:cs="Arial"/>
        </w:rPr>
        <w:t>Act 34 of 2005.</w:t>
      </w:r>
    </w:p>
  </w:footnote>
  <w:footnote w:id="2">
    <w:p w:rsidR="003708C1" w:rsidRPr="00B737A4" w:rsidRDefault="003708C1" w:rsidP="00B737A4">
      <w:pPr>
        <w:rPr>
          <w:rFonts w:ascii="Arial" w:hAnsi="Arial" w:cs="Arial"/>
          <w:color w:val="000000"/>
          <w:sz w:val="20"/>
          <w:szCs w:val="20"/>
          <w:lang w:eastAsia="en-ZA"/>
        </w:rPr>
      </w:pPr>
      <w:r w:rsidRPr="00B737A4">
        <w:rPr>
          <w:rStyle w:val="FootnoteReference"/>
          <w:rFonts w:ascii="Arial" w:hAnsi="Arial" w:cs="Arial"/>
          <w:sz w:val="20"/>
          <w:szCs w:val="20"/>
        </w:rPr>
        <w:footnoteRef/>
      </w:r>
      <w:r w:rsidR="00B737A4" w:rsidRPr="00B737A4">
        <w:rPr>
          <w:rFonts w:ascii="Arial" w:hAnsi="Arial" w:cs="Arial"/>
          <w:sz w:val="20"/>
          <w:szCs w:val="20"/>
        </w:rPr>
        <w:t xml:space="preserve"> Section 81(2) provides that: </w:t>
      </w:r>
      <w:r w:rsidRPr="00B737A4">
        <w:rPr>
          <w:rFonts w:ascii="Arial" w:hAnsi="Arial" w:cs="Arial"/>
          <w:color w:val="000000"/>
          <w:sz w:val="20"/>
          <w:szCs w:val="20"/>
          <w:lang w:eastAsia="en-ZA"/>
        </w:rPr>
        <w:t>A credit provider must not enter into a credit agreement without first taking reasonable steps to assess-</w:t>
      </w:r>
    </w:p>
    <w:p w:rsidR="003708C1" w:rsidRPr="00B737A4" w:rsidRDefault="003708C1" w:rsidP="00B737A4">
      <w:pPr>
        <w:ind w:firstLine="142"/>
        <w:rPr>
          <w:rFonts w:ascii="Arial" w:hAnsi="Arial" w:cs="Arial"/>
          <w:color w:val="000000"/>
          <w:sz w:val="20"/>
          <w:szCs w:val="20"/>
          <w:lang w:eastAsia="en-ZA"/>
        </w:rPr>
      </w:pPr>
      <w:r w:rsidRPr="00B737A4">
        <w:rPr>
          <w:rFonts w:ascii="Arial" w:hAnsi="Arial" w:cs="Arial"/>
          <w:color w:val="000000"/>
          <w:sz w:val="20"/>
          <w:szCs w:val="20"/>
          <w:lang w:eastAsia="en-ZA"/>
        </w:rPr>
        <w:t>   </w:t>
      </w:r>
      <w:bookmarkStart w:id="1" w:name="0-0-0-77063"/>
      <w:bookmarkEnd w:id="1"/>
      <w:r w:rsidRPr="00B737A4">
        <w:rPr>
          <w:rFonts w:ascii="Arial" w:hAnsi="Arial" w:cs="Arial"/>
          <w:i/>
          <w:iCs/>
          <w:color w:val="000000"/>
          <w:sz w:val="20"/>
          <w:szCs w:val="20"/>
          <w:lang w:eastAsia="en-ZA"/>
        </w:rPr>
        <w:t>(a)</w:t>
      </w:r>
      <w:r w:rsidRPr="00B737A4">
        <w:rPr>
          <w:rFonts w:ascii="Arial" w:hAnsi="Arial" w:cs="Arial"/>
          <w:color w:val="000000"/>
          <w:sz w:val="20"/>
          <w:szCs w:val="20"/>
          <w:lang w:eastAsia="en-ZA"/>
        </w:rPr>
        <w:t>   the proposed consumer's-</w:t>
      </w:r>
    </w:p>
    <w:p w:rsidR="003708C1" w:rsidRPr="00B737A4" w:rsidRDefault="003708C1" w:rsidP="00B737A4">
      <w:pPr>
        <w:rPr>
          <w:rFonts w:ascii="Arial" w:hAnsi="Arial" w:cs="Arial"/>
          <w:color w:val="000000"/>
          <w:sz w:val="20"/>
          <w:szCs w:val="20"/>
          <w:lang w:eastAsia="en-ZA"/>
        </w:rPr>
      </w:pPr>
      <w:r w:rsidRPr="00B737A4">
        <w:rPr>
          <w:rFonts w:ascii="Arial" w:hAnsi="Arial" w:cs="Arial"/>
          <w:color w:val="000000"/>
          <w:sz w:val="20"/>
          <w:szCs w:val="20"/>
          <w:lang w:eastAsia="en-ZA"/>
        </w:rPr>
        <w:t>     </w:t>
      </w:r>
      <w:bookmarkStart w:id="2" w:name="0-0-0-77065"/>
      <w:bookmarkEnd w:id="2"/>
      <w:r w:rsidRPr="00B737A4">
        <w:rPr>
          <w:rFonts w:ascii="Arial" w:hAnsi="Arial" w:cs="Arial"/>
          <w:color w:val="000000"/>
          <w:sz w:val="20"/>
          <w:szCs w:val="20"/>
          <w:lang w:eastAsia="en-ZA"/>
        </w:rPr>
        <w:t>(i)   general understanding and appreciation of the risks and costs of the proposed credit, and of the rights and obligations of a consumer under a credit agreement;</w:t>
      </w:r>
    </w:p>
    <w:p w:rsidR="003708C1" w:rsidRPr="00B737A4" w:rsidRDefault="003708C1" w:rsidP="00B737A4">
      <w:pPr>
        <w:rPr>
          <w:rFonts w:ascii="Arial" w:hAnsi="Arial" w:cs="Arial"/>
          <w:color w:val="000000"/>
          <w:sz w:val="20"/>
          <w:szCs w:val="20"/>
          <w:lang w:eastAsia="en-ZA"/>
        </w:rPr>
      </w:pPr>
      <w:r w:rsidRPr="00B737A4">
        <w:rPr>
          <w:rFonts w:ascii="Arial" w:hAnsi="Arial" w:cs="Arial"/>
          <w:color w:val="000000"/>
          <w:sz w:val="20"/>
          <w:szCs w:val="20"/>
          <w:lang w:eastAsia="en-ZA"/>
        </w:rPr>
        <w:t>    </w:t>
      </w:r>
      <w:bookmarkStart w:id="3" w:name="0-0-0-77067"/>
      <w:bookmarkEnd w:id="3"/>
      <w:r w:rsidRPr="00B737A4">
        <w:rPr>
          <w:rFonts w:ascii="Arial" w:hAnsi="Arial" w:cs="Arial"/>
          <w:color w:val="000000"/>
          <w:sz w:val="20"/>
          <w:szCs w:val="20"/>
          <w:lang w:eastAsia="en-ZA"/>
        </w:rPr>
        <w:t>(ii)   debt re-payment history as a consumer under credit agreements;</w:t>
      </w:r>
    </w:p>
    <w:p w:rsidR="003708C1" w:rsidRPr="00B737A4" w:rsidRDefault="003708C1" w:rsidP="00B737A4">
      <w:pPr>
        <w:rPr>
          <w:rFonts w:ascii="Arial" w:hAnsi="Arial" w:cs="Arial"/>
          <w:color w:val="000000"/>
          <w:sz w:val="20"/>
          <w:szCs w:val="20"/>
          <w:lang w:eastAsia="en-ZA"/>
        </w:rPr>
      </w:pPr>
      <w:r w:rsidRPr="00B737A4">
        <w:rPr>
          <w:rFonts w:ascii="Arial" w:hAnsi="Arial" w:cs="Arial"/>
          <w:color w:val="000000"/>
          <w:sz w:val="20"/>
          <w:szCs w:val="20"/>
          <w:lang w:eastAsia="en-ZA"/>
        </w:rPr>
        <w:t>   </w:t>
      </w:r>
      <w:bookmarkStart w:id="4" w:name="0-0-0-77069"/>
      <w:bookmarkEnd w:id="4"/>
      <w:r w:rsidRPr="00B737A4">
        <w:rPr>
          <w:rFonts w:ascii="Arial" w:hAnsi="Arial" w:cs="Arial"/>
          <w:color w:val="000000"/>
          <w:sz w:val="20"/>
          <w:szCs w:val="20"/>
          <w:lang w:eastAsia="en-ZA"/>
        </w:rPr>
        <w:t>(iii)   existing financial means, prospects and obligations; and</w:t>
      </w:r>
    </w:p>
    <w:p w:rsidR="003708C1" w:rsidRPr="00B737A4" w:rsidRDefault="003708C1" w:rsidP="00B737A4">
      <w:pPr>
        <w:rPr>
          <w:rFonts w:ascii="Arial" w:hAnsi="Arial" w:cs="Arial"/>
          <w:color w:val="000000"/>
          <w:sz w:val="20"/>
          <w:szCs w:val="20"/>
          <w:lang w:eastAsia="en-ZA"/>
        </w:rPr>
      </w:pPr>
      <w:r w:rsidRPr="00B737A4">
        <w:rPr>
          <w:rFonts w:ascii="Arial" w:hAnsi="Arial" w:cs="Arial"/>
          <w:color w:val="000000"/>
          <w:sz w:val="20"/>
          <w:szCs w:val="20"/>
          <w:lang w:eastAsia="en-ZA"/>
        </w:rPr>
        <w:t>   </w:t>
      </w:r>
      <w:bookmarkStart w:id="5" w:name="0-0-0-77071"/>
      <w:bookmarkEnd w:id="5"/>
      <w:r w:rsidRPr="00B737A4">
        <w:rPr>
          <w:rFonts w:ascii="Arial" w:hAnsi="Arial" w:cs="Arial"/>
          <w:i/>
          <w:iCs/>
          <w:color w:val="000000"/>
          <w:sz w:val="20"/>
          <w:szCs w:val="20"/>
          <w:lang w:eastAsia="en-ZA"/>
        </w:rPr>
        <w:t>(b)</w:t>
      </w:r>
      <w:r w:rsidRPr="00B737A4">
        <w:rPr>
          <w:rFonts w:ascii="Arial" w:hAnsi="Arial" w:cs="Arial"/>
          <w:color w:val="000000"/>
          <w:sz w:val="20"/>
          <w:szCs w:val="20"/>
          <w:lang w:eastAsia="en-ZA"/>
        </w:rPr>
        <w:t>   whether there is a reasonable basis to conclude that any commercial purpose may prove to be successful, if the consumer has such a purpose for applying for that credit agreement.</w:t>
      </w:r>
    </w:p>
    <w:p w:rsidR="003708C1" w:rsidRDefault="003708C1">
      <w:pPr>
        <w:pStyle w:val="FootnoteText"/>
      </w:pPr>
    </w:p>
  </w:footnote>
  <w:footnote w:id="3">
    <w:p w:rsidR="002D137D" w:rsidRPr="005C5DCA" w:rsidRDefault="002D137D" w:rsidP="002D137D">
      <w:pPr>
        <w:pStyle w:val="FootnoteText"/>
        <w:rPr>
          <w:rFonts w:ascii="Arial" w:hAnsi="Arial" w:cs="Arial"/>
        </w:rPr>
      </w:pPr>
      <w:r w:rsidRPr="005C5DCA">
        <w:rPr>
          <w:rStyle w:val="FootnoteReference"/>
          <w:rFonts w:ascii="Arial" w:hAnsi="Arial" w:cs="Arial"/>
        </w:rPr>
        <w:footnoteRef/>
      </w:r>
      <w:r w:rsidRPr="005C5DCA">
        <w:rPr>
          <w:rFonts w:ascii="Arial" w:hAnsi="Arial" w:cs="Arial"/>
        </w:rPr>
        <w:t xml:space="preserve"> 2009 (5) SA 1 (SCA)</w:t>
      </w:r>
      <w:r w:rsidR="000977FC">
        <w:rPr>
          <w:rFonts w:ascii="Arial" w:hAnsi="Arial" w:cs="Arial"/>
        </w:rPr>
        <w:t>.</w:t>
      </w:r>
    </w:p>
  </w:footnote>
  <w:footnote w:id="4">
    <w:p w:rsidR="002D137D" w:rsidRDefault="002D137D" w:rsidP="002D137D">
      <w:pPr>
        <w:pStyle w:val="FootnoteText"/>
      </w:pPr>
      <w:r w:rsidRPr="005C5DCA">
        <w:rPr>
          <w:rStyle w:val="FootnoteReference"/>
          <w:rFonts w:ascii="Arial" w:hAnsi="Arial" w:cs="Arial"/>
        </w:rPr>
        <w:footnoteRef/>
      </w:r>
      <w:r w:rsidRPr="005C5DCA">
        <w:rPr>
          <w:rFonts w:ascii="Arial" w:hAnsi="Arial" w:cs="Arial"/>
        </w:rPr>
        <w:t xml:space="preserve"> 1976 (1) SA 418 (A).</w:t>
      </w:r>
    </w:p>
  </w:footnote>
  <w:footnote w:id="5">
    <w:p w:rsidR="002D137D" w:rsidRPr="00457E07" w:rsidRDefault="002D137D" w:rsidP="002D137D">
      <w:pPr>
        <w:pStyle w:val="FootnoteText"/>
        <w:rPr>
          <w:rFonts w:ascii="Arial" w:hAnsi="Arial" w:cs="Arial"/>
        </w:rPr>
      </w:pPr>
      <w:r w:rsidRPr="00457E07">
        <w:rPr>
          <w:rStyle w:val="FootnoteReference"/>
          <w:rFonts w:ascii="Arial" w:hAnsi="Arial" w:cs="Arial"/>
        </w:rPr>
        <w:footnoteRef/>
      </w:r>
      <w:r w:rsidRPr="00457E07">
        <w:rPr>
          <w:rFonts w:ascii="Arial" w:hAnsi="Arial" w:cs="Arial"/>
        </w:rPr>
        <w:t xml:space="preserve"> At [31]</w:t>
      </w:r>
    </w:p>
  </w:footnote>
  <w:footnote w:id="6">
    <w:p w:rsidR="002D137D" w:rsidRDefault="002D137D" w:rsidP="002D137D">
      <w:pPr>
        <w:pStyle w:val="FootnoteText"/>
      </w:pPr>
      <w:r w:rsidRPr="001E4D6A">
        <w:rPr>
          <w:rStyle w:val="FootnoteReference"/>
          <w:rFonts w:ascii="Arial" w:hAnsi="Arial" w:cs="Arial"/>
        </w:rPr>
        <w:footnoteRef/>
      </w:r>
      <w:r w:rsidRPr="001E4D6A">
        <w:rPr>
          <w:rFonts w:ascii="Arial" w:hAnsi="Arial" w:cs="Arial"/>
        </w:rPr>
        <w:t xml:space="preserve"> </w:t>
      </w:r>
      <w:r w:rsidRPr="001E4D6A">
        <w:rPr>
          <w:rFonts w:ascii="Arial" w:hAnsi="Arial" w:cs="Arial"/>
          <w:bCs/>
          <w:color w:val="000000"/>
          <w:lang w:eastAsia="en-ZA"/>
        </w:rPr>
        <w:t>2011 (1) SA 310 (GSJ)</w:t>
      </w:r>
      <w:r>
        <w:rPr>
          <w:rFonts w:ascii="Arial" w:hAnsi="Arial" w:cs="Arial"/>
          <w:bCs/>
          <w:color w:val="000000"/>
          <w:lang w:eastAsia="en-ZA"/>
        </w:rPr>
        <w:t>.</w:t>
      </w:r>
    </w:p>
  </w:footnote>
  <w:footnote w:id="7">
    <w:p w:rsidR="002D137D" w:rsidRPr="001E4D6A" w:rsidRDefault="002D137D" w:rsidP="002D137D">
      <w:pPr>
        <w:pStyle w:val="FootnoteText"/>
        <w:rPr>
          <w:rFonts w:ascii="Arial" w:hAnsi="Arial" w:cs="Arial"/>
        </w:rPr>
      </w:pPr>
      <w:r w:rsidRPr="001E4D6A">
        <w:rPr>
          <w:rStyle w:val="FootnoteReference"/>
          <w:rFonts w:ascii="Arial" w:hAnsi="Arial" w:cs="Arial"/>
        </w:rPr>
        <w:footnoteRef/>
      </w:r>
      <w:r w:rsidRPr="001E4D6A">
        <w:rPr>
          <w:rFonts w:ascii="Arial" w:hAnsi="Arial" w:cs="Arial"/>
        </w:rPr>
        <w:t xml:space="preserve"> At [26]</w:t>
      </w:r>
      <w:r>
        <w:rPr>
          <w:rFonts w:ascii="Arial" w:hAnsi="Arial" w:cs="Arial"/>
        </w:rPr>
        <w:t>.</w:t>
      </w:r>
      <w:r w:rsidRPr="001E4D6A">
        <w:rPr>
          <w:rFonts w:ascii="Arial" w:hAnsi="Arial" w:cs="Arial"/>
        </w:rPr>
        <w:t xml:space="preserve"> </w:t>
      </w:r>
    </w:p>
  </w:footnote>
  <w:footnote w:id="8">
    <w:p w:rsidR="002D137D" w:rsidRPr="001E4D6A" w:rsidRDefault="002D137D" w:rsidP="002D137D">
      <w:pPr>
        <w:pStyle w:val="FootnoteText"/>
        <w:rPr>
          <w:rFonts w:ascii="Arial" w:hAnsi="Arial" w:cs="Arial"/>
        </w:rPr>
      </w:pPr>
      <w:r w:rsidRPr="001E4D6A">
        <w:rPr>
          <w:rStyle w:val="FootnoteReference"/>
          <w:rFonts w:ascii="Arial" w:hAnsi="Arial" w:cs="Arial"/>
        </w:rPr>
        <w:footnoteRef/>
      </w:r>
      <w:r w:rsidRPr="001E4D6A">
        <w:rPr>
          <w:rFonts w:ascii="Arial" w:hAnsi="Arial" w:cs="Arial"/>
        </w:rPr>
        <w:t xml:space="preserve"> </w:t>
      </w:r>
      <w:r w:rsidRPr="001E4D6A">
        <w:rPr>
          <w:rFonts w:ascii="Arial" w:hAnsi="Arial" w:cs="Arial"/>
          <w:bCs/>
          <w:color w:val="000000"/>
        </w:rPr>
        <w:t>2011 (4) SA 508 (SCA) at paragraph [18]</w:t>
      </w:r>
      <w:r>
        <w:rPr>
          <w:rFonts w:ascii="Arial" w:hAnsi="Arial" w:cs="Arial"/>
          <w:bCs/>
          <w:color w:val="000000"/>
        </w:rPr>
        <w:t>.</w:t>
      </w:r>
    </w:p>
  </w:footnote>
  <w:footnote w:id="9">
    <w:p w:rsidR="00DF76EC" w:rsidRPr="001E4D6A" w:rsidRDefault="00DF76EC" w:rsidP="00DF76EC">
      <w:pPr>
        <w:pStyle w:val="FootnoteText"/>
        <w:rPr>
          <w:rFonts w:ascii="Arial" w:hAnsi="Arial" w:cs="Arial"/>
        </w:rPr>
      </w:pPr>
      <w:r w:rsidRPr="001E4D6A">
        <w:rPr>
          <w:rStyle w:val="FootnoteReference"/>
          <w:rFonts w:ascii="Arial" w:hAnsi="Arial" w:cs="Arial"/>
        </w:rPr>
        <w:footnoteRef/>
      </w:r>
      <w:r w:rsidRPr="001E4D6A">
        <w:rPr>
          <w:rFonts w:ascii="Arial" w:hAnsi="Arial" w:cs="Arial"/>
        </w:rPr>
        <w:t xml:space="preserve"> </w:t>
      </w:r>
      <w:r w:rsidRPr="001E4D6A">
        <w:rPr>
          <w:rFonts w:ascii="Arial" w:hAnsi="Arial" w:cs="Arial"/>
          <w:i/>
          <w:iCs/>
          <w:color w:val="000000"/>
          <w:lang w:eastAsia="en-ZA"/>
        </w:rPr>
        <w:t>Standard Bank of South Africa Ltd v Kelly</w:t>
      </w:r>
      <w:r w:rsidRPr="001E4D6A">
        <w:rPr>
          <w:rFonts w:ascii="Arial" w:hAnsi="Arial" w:cs="Arial"/>
          <w:color w:val="000000"/>
          <w:lang w:eastAsia="en-ZA"/>
        </w:rPr>
        <w:t> (unreported case no. 23427/2010 WCC).</w:t>
      </w:r>
    </w:p>
  </w:footnote>
  <w:footnote w:id="10">
    <w:p w:rsidR="002D137D" w:rsidRDefault="002D137D" w:rsidP="002D137D">
      <w:pPr>
        <w:pStyle w:val="FootnoteText"/>
      </w:pPr>
      <w:r w:rsidRPr="00887D1A">
        <w:rPr>
          <w:rStyle w:val="FootnoteReference"/>
          <w:rFonts w:ascii="Arial" w:hAnsi="Arial" w:cs="Arial"/>
        </w:rPr>
        <w:footnoteRef/>
      </w:r>
      <w:r w:rsidRPr="00887D1A">
        <w:rPr>
          <w:rFonts w:ascii="Arial" w:hAnsi="Arial" w:cs="Arial"/>
        </w:rPr>
        <w:t xml:space="preserve">  2014 SA Merc LJ 24 by Michelle Kelly</w:t>
      </w:r>
      <w:r w:rsidR="0088126F">
        <w:rPr>
          <w:rFonts w:ascii="Arial" w:hAnsi="Arial" w:cs="Arial"/>
        </w:rPr>
        <w:t>-</w:t>
      </w:r>
      <w:r w:rsidRPr="00887D1A">
        <w:rPr>
          <w:rFonts w:ascii="Arial" w:hAnsi="Arial" w:cs="Arial"/>
        </w:rPr>
        <w:t>Louw.</w:t>
      </w:r>
    </w:p>
  </w:footnote>
  <w:footnote w:id="11">
    <w:p w:rsidR="002D137D" w:rsidRPr="0044335C" w:rsidRDefault="002D137D" w:rsidP="002D137D">
      <w:pPr>
        <w:widowControl w:val="0"/>
        <w:spacing w:after="120" w:line="480" w:lineRule="auto"/>
        <w:jc w:val="both"/>
        <w:rPr>
          <w:rFonts w:ascii="Arial" w:hAnsi="Arial" w:cs="Arial"/>
          <w:sz w:val="20"/>
          <w:szCs w:val="20"/>
          <w:lang w:val="en-ZA"/>
        </w:rPr>
      </w:pPr>
      <w:r>
        <w:rPr>
          <w:rStyle w:val="FootnoteReference"/>
        </w:rPr>
        <w:footnoteRef/>
      </w:r>
      <w:r>
        <w:t xml:space="preserve"> </w:t>
      </w:r>
      <w:r w:rsidRPr="0044335C">
        <w:rPr>
          <w:rFonts w:ascii="Arial" w:hAnsi="Arial" w:cs="Arial"/>
          <w:sz w:val="20"/>
          <w:szCs w:val="20"/>
        </w:rPr>
        <w:t>2009 (3) SA 363 (W) paragraphs 3 and 4.</w:t>
      </w:r>
    </w:p>
    <w:p w:rsidR="002D137D" w:rsidRDefault="002D137D" w:rsidP="002D137D">
      <w:pPr>
        <w:pStyle w:val="FootnoteText"/>
      </w:pPr>
    </w:p>
  </w:footnote>
  <w:footnote w:id="12">
    <w:p w:rsidR="00CD75C3" w:rsidRPr="00C168ED" w:rsidRDefault="00CD75C3" w:rsidP="00CD75C3">
      <w:pPr>
        <w:jc w:val="both"/>
        <w:rPr>
          <w:rFonts w:ascii="Arial" w:hAnsi="Arial" w:cs="Arial"/>
          <w:sz w:val="20"/>
          <w:szCs w:val="20"/>
        </w:rPr>
      </w:pPr>
      <w:r w:rsidRPr="00C168ED">
        <w:rPr>
          <w:rStyle w:val="FootnoteReference"/>
          <w:rFonts w:ascii="Arial" w:hAnsi="Arial" w:cs="Arial"/>
          <w:sz w:val="20"/>
          <w:szCs w:val="20"/>
        </w:rPr>
        <w:footnoteRef/>
      </w:r>
      <w:r w:rsidRPr="00C168ED">
        <w:rPr>
          <w:rFonts w:ascii="Arial" w:hAnsi="Arial" w:cs="Arial"/>
          <w:sz w:val="20"/>
          <w:szCs w:val="20"/>
        </w:rPr>
        <w:t xml:space="preserve"> </w:t>
      </w:r>
      <w:r w:rsidRPr="00C168ED">
        <w:rPr>
          <w:rFonts w:ascii="Arial" w:hAnsi="Arial" w:cs="Arial"/>
          <w:i/>
          <w:sz w:val="20"/>
          <w:szCs w:val="20"/>
          <w:lang w:val="en-ZA"/>
        </w:rPr>
        <w:t>Breytenbach v Fiat SA (Edms) Bpk 1976(2) SA 226 T at 228.</w:t>
      </w:r>
    </w:p>
  </w:footnote>
  <w:footnote w:id="13">
    <w:p w:rsidR="002D137D" w:rsidRPr="0044335C" w:rsidRDefault="002D137D" w:rsidP="002D137D">
      <w:pPr>
        <w:pStyle w:val="FootnoteText"/>
        <w:rPr>
          <w:rFonts w:ascii="Arial" w:hAnsi="Arial" w:cs="Arial"/>
        </w:rPr>
      </w:pPr>
      <w:r w:rsidRPr="0044335C">
        <w:rPr>
          <w:rStyle w:val="FootnoteReference"/>
          <w:rFonts w:ascii="Arial" w:hAnsi="Arial" w:cs="Arial"/>
        </w:rPr>
        <w:footnoteRef/>
      </w:r>
      <w:r w:rsidRPr="0044335C">
        <w:rPr>
          <w:rFonts w:ascii="Arial" w:hAnsi="Arial" w:cs="Arial"/>
        </w:rPr>
        <w:t xml:space="preserve"> 2014 (3) SA 56 (CC)</w:t>
      </w:r>
      <w:r w:rsidR="00C168ED" w:rsidRPr="0044335C">
        <w:rPr>
          <w:rFonts w:ascii="Arial" w:hAnsi="Arial" w:cs="Arial"/>
        </w:rPr>
        <w:t>.</w:t>
      </w:r>
    </w:p>
    <w:p w:rsidR="002D137D" w:rsidRPr="00CD468C" w:rsidRDefault="002D137D" w:rsidP="002D137D">
      <w:pPr>
        <w:pStyle w:val="FootnoteText"/>
        <w:rPr>
          <w:lang w:val="en-ZA"/>
        </w:rPr>
      </w:pPr>
    </w:p>
  </w:footnote>
  <w:footnote w:id="14">
    <w:p w:rsidR="0044335C" w:rsidRPr="007E5C25" w:rsidRDefault="0044335C" w:rsidP="0044335C">
      <w:pPr>
        <w:spacing w:line="480" w:lineRule="auto"/>
        <w:jc w:val="both"/>
        <w:rPr>
          <w:rFonts w:ascii="Arial" w:hAnsi="Arial" w:cs="Arial"/>
          <w:bCs/>
          <w:color w:val="000000"/>
          <w:sz w:val="20"/>
          <w:szCs w:val="20"/>
          <w:lang w:eastAsia="en-ZA"/>
        </w:rPr>
      </w:pPr>
      <w:r w:rsidRPr="00DF1CCD">
        <w:rPr>
          <w:rStyle w:val="FootnoteReference"/>
          <w:rFonts w:ascii="Arial" w:hAnsi="Arial" w:cs="Arial"/>
          <w:sz w:val="20"/>
          <w:szCs w:val="20"/>
        </w:rPr>
        <w:footnoteRef/>
      </w:r>
      <w:r w:rsidRPr="00DF1CCD">
        <w:rPr>
          <w:rFonts w:ascii="Arial" w:hAnsi="Arial" w:cs="Arial"/>
          <w:sz w:val="20"/>
          <w:szCs w:val="20"/>
        </w:rPr>
        <w:t xml:space="preserve"> </w:t>
      </w:r>
      <w:r>
        <w:rPr>
          <w:rFonts w:ascii="Arial" w:hAnsi="Arial" w:cs="Arial"/>
          <w:bCs/>
          <w:color w:val="000000"/>
          <w:sz w:val="20"/>
          <w:szCs w:val="20"/>
          <w:lang w:eastAsia="en-ZA"/>
        </w:rPr>
        <w:t>2018 JDR 0332 (GP).</w:t>
      </w:r>
    </w:p>
  </w:footnote>
  <w:footnote w:id="15">
    <w:p w:rsidR="0044335C" w:rsidRPr="00DF1CCD" w:rsidRDefault="0044335C" w:rsidP="0044335C">
      <w:pPr>
        <w:pStyle w:val="FootnoteText"/>
        <w:rPr>
          <w:rFonts w:ascii="Arial" w:hAnsi="Arial" w:cs="Arial"/>
        </w:rPr>
      </w:pPr>
      <w:r w:rsidRPr="00DF1CCD">
        <w:rPr>
          <w:rStyle w:val="FootnoteReference"/>
          <w:rFonts w:ascii="Arial" w:hAnsi="Arial" w:cs="Arial"/>
        </w:rPr>
        <w:footnoteRef/>
      </w:r>
      <w:r w:rsidRPr="00DF1CCD">
        <w:rPr>
          <w:rFonts w:ascii="Arial" w:hAnsi="Arial" w:cs="Arial"/>
        </w:rPr>
        <w:t xml:space="preserve"> At [10]</w:t>
      </w:r>
      <w:r>
        <w:rPr>
          <w:rFonts w:ascii="Arial" w:hAnsi="Arial" w:cs="Arial"/>
        </w:rPr>
        <w:t>.</w:t>
      </w:r>
      <w:r w:rsidRPr="00DF1CCD">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962784"/>
      <w:docPartObj>
        <w:docPartGallery w:val="Page Numbers (Top of Page)"/>
        <w:docPartUnique/>
      </w:docPartObj>
    </w:sdtPr>
    <w:sdtEndPr>
      <w:rPr>
        <w:noProof/>
      </w:rPr>
    </w:sdtEndPr>
    <w:sdtContent>
      <w:p w:rsidR="00CF463B" w:rsidRDefault="004A08F7">
        <w:pPr>
          <w:pStyle w:val="Header"/>
          <w:jc w:val="right"/>
        </w:pPr>
        <w:r>
          <w:fldChar w:fldCharType="begin"/>
        </w:r>
        <w:r>
          <w:instrText xml:space="preserve"> PAGE   \* MERGEFORMAT </w:instrText>
        </w:r>
        <w:r>
          <w:fldChar w:fldCharType="separate"/>
        </w:r>
        <w:r w:rsidR="004A6E41">
          <w:rPr>
            <w:noProof/>
          </w:rPr>
          <w:t>16</w:t>
        </w:r>
        <w:r>
          <w:rPr>
            <w:noProof/>
          </w:rPr>
          <w:fldChar w:fldCharType="end"/>
        </w:r>
      </w:p>
    </w:sdtContent>
  </w:sdt>
  <w:p w:rsidR="00CF463B" w:rsidRDefault="00FC7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7D"/>
    <w:rsid w:val="000524E0"/>
    <w:rsid w:val="000977FC"/>
    <w:rsid w:val="000C5460"/>
    <w:rsid w:val="00105110"/>
    <w:rsid w:val="0011441A"/>
    <w:rsid w:val="002033A6"/>
    <w:rsid w:val="002163EA"/>
    <w:rsid w:val="002B3321"/>
    <w:rsid w:val="002C7541"/>
    <w:rsid w:val="002D137D"/>
    <w:rsid w:val="003708C1"/>
    <w:rsid w:val="00374C2E"/>
    <w:rsid w:val="003C0AA0"/>
    <w:rsid w:val="003E00EF"/>
    <w:rsid w:val="0044335C"/>
    <w:rsid w:val="004A08F7"/>
    <w:rsid w:val="004A6E41"/>
    <w:rsid w:val="004D1972"/>
    <w:rsid w:val="005C1B03"/>
    <w:rsid w:val="0062396B"/>
    <w:rsid w:val="006601D9"/>
    <w:rsid w:val="00767B98"/>
    <w:rsid w:val="007E5C25"/>
    <w:rsid w:val="0088126F"/>
    <w:rsid w:val="0094647A"/>
    <w:rsid w:val="00951E6A"/>
    <w:rsid w:val="00A304EC"/>
    <w:rsid w:val="00B60E5F"/>
    <w:rsid w:val="00B737A4"/>
    <w:rsid w:val="00BA3BAA"/>
    <w:rsid w:val="00BF7BD9"/>
    <w:rsid w:val="00C05451"/>
    <w:rsid w:val="00C05AF0"/>
    <w:rsid w:val="00C168ED"/>
    <w:rsid w:val="00CD75C3"/>
    <w:rsid w:val="00D11A93"/>
    <w:rsid w:val="00D273D4"/>
    <w:rsid w:val="00D436CC"/>
    <w:rsid w:val="00D54FA8"/>
    <w:rsid w:val="00D5742B"/>
    <w:rsid w:val="00DE1A35"/>
    <w:rsid w:val="00DF1CCD"/>
    <w:rsid w:val="00DF76EC"/>
    <w:rsid w:val="00E657B1"/>
    <w:rsid w:val="00EB1982"/>
    <w:rsid w:val="00EB5705"/>
    <w:rsid w:val="00EF4448"/>
    <w:rsid w:val="00F77D87"/>
    <w:rsid w:val="00FC7AD8"/>
    <w:rsid w:val="00FE6F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2EB3F-DB23-4764-838D-EEB3F96C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own">
    <w:name w:val="My own"/>
    <w:basedOn w:val="Normal"/>
    <w:rsid w:val="002D137D"/>
    <w:pPr>
      <w:numPr>
        <w:numId w:val="2"/>
      </w:numPr>
      <w:spacing w:before="240" w:after="240" w:line="480" w:lineRule="auto"/>
      <w:jc w:val="both"/>
    </w:pPr>
    <w:rPr>
      <w:rFonts w:ascii="Arial" w:hAnsi="Arial"/>
      <w:lang w:val="en-ZA"/>
    </w:rPr>
  </w:style>
  <w:style w:type="paragraph" w:styleId="ListParagraph">
    <w:name w:val="List Paragraph"/>
    <w:basedOn w:val="Normal"/>
    <w:uiPriority w:val="34"/>
    <w:qFormat/>
    <w:rsid w:val="002D137D"/>
    <w:pPr>
      <w:ind w:left="720"/>
    </w:pPr>
    <w:rPr>
      <w:rFonts w:ascii="Arial Narrow" w:hAnsi="Arial Narrow"/>
      <w:sz w:val="20"/>
      <w:szCs w:val="20"/>
      <w:lang w:val="en-GB" w:eastAsia="en-GB"/>
    </w:rPr>
  </w:style>
  <w:style w:type="paragraph" w:styleId="FootnoteText">
    <w:name w:val="footnote text"/>
    <w:basedOn w:val="Normal"/>
    <w:link w:val="FootnoteTextChar"/>
    <w:uiPriority w:val="99"/>
    <w:qFormat/>
    <w:rsid w:val="002D137D"/>
    <w:rPr>
      <w:rFonts w:ascii="Arial Narrow" w:hAnsi="Arial Narrow"/>
      <w:sz w:val="20"/>
      <w:szCs w:val="20"/>
      <w:lang w:val="en-GB" w:eastAsia="en-GB"/>
    </w:rPr>
  </w:style>
  <w:style w:type="character" w:customStyle="1" w:styleId="FootnoteTextChar">
    <w:name w:val="Footnote Text Char"/>
    <w:basedOn w:val="DefaultParagraphFont"/>
    <w:link w:val="FootnoteText"/>
    <w:uiPriority w:val="99"/>
    <w:rsid w:val="002D137D"/>
    <w:rPr>
      <w:rFonts w:ascii="Arial Narrow" w:eastAsia="Times New Roman" w:hAnsi="Arial Narrow" w:cs="Times New Roman"/>
      <w:sz w:val="20"/>
      <w:szCs w:val="20"/>
      <w:lang w:val="en-GB" w:eastAsia="en-GB"/>
    </w:rPr>
  </w:style>
  <w:style w:type="character" w:styleId="FootnoteReference">
    <w:name w:val="footnote reference"/>
    <w:uiPriority w:val="99"/>
    <w:qFormat/>
    <w:rsid w:val="002D137D"/>
    <w:rPr>
      <w:vertAlign w:val="superscript"/>
    </w:rPr>
  </w:style>
  <w:style w:type="character" w:styleId="Hyperlink">
    <w:name w:val="Hyperlink"/>
    <w:basedOn w:val="DefaultParagraphFont"/>
    <w:uiPriority w:val="99"/>
    <w:unhideWhenUsed/>
    <w:rsid w:val="002D137D"/>
    <w:rPr>
      <w:color w:val="0563C1" w:themeColor="hyperlink"/>
      <w:u w:val="single"/>
    </w:rPr>
  </w:style>
  <w:style w:type="paragraph" w:styleId="Header">
    <w:name w:val="header"/>
    <w:basedOn w:val="Normal"/>
    <w:link w:val="HeaderChar"/>
    <w:uiPriority w:val="99"/>
    <w:unhideWhenUsed/>
    <w:rsid w:val="002D137D"/>
    <w:pPr>
      <w:tabs>
        <w:tab w:val="center" w:pos="4513"/>
        <w:tab w:val="right" w:pos="9026"/>
      </w:tabs>
    </w:pPr>
  </w:style>
  <w:style w:type="character" w:customStyle="1" w:styleId="HeaderChar">
    <w:name w:val="Header Char"/>
    <w:basedOn w:val="DefaultParagraphFont"/>
    <w:link w:val="Header"/>
    <w:uiPriority w:val="99"/>
    <w:rsid w:val="002D137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B6"/>
    <w:rPr>
      <w:rFonts w:ascii="Segoe UI" w:eastAsia="Times New Roman" w:hAnsi="Segoe UI" w:cs="Segoe UI"/>
      <w:sz w:val="18"/>
      <w:szCs w:val="18"/>
      <w:lang w:val="en-US"/>
    </w:rPr>
  </w:style>
  <w:style w:type="paragraph" w:styleId="Revision">
    <w:name w:val="Revision"/>
    <w:hidden/>
    <w:uiPriority w:val="99"/>
    <w:semiHidden/>
    <w:rsid w:val="000977F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0(1)(a)%27%5d&amp;xhitlist_md=target-id=0-0-0-77019"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2C30-BAA9-4660-B934-804F1DF7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HOME</cp:lastModifiedBy>
  <cp:revision>2</cp:revision>
  <cp:lastPrinted>2022-05-05T08:50:00Z</cp:lastPrinted>
  <dcterms:created xsi:type="dcterms:W3CDTF">2022-06-20T17:32:00Z</dcterms:created>
  <dcterms:modified xsi:type="dcterms:W3CDTF">2022-06-20T17:32:00Z</dcterms:modified>
</cp:coreProperties>
</file>