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5E" w:rsidRPr="00504D38" w:rsidRDefault="002E507B" w:rsidP="00504D38">
      <w:pPr>
        <w:pStyle w:val="Heading1"/>
        <w:spacing w:after="46" w:line="480" w:lineRule="auto"/>
        <w:ind w:left="-5"/>
        <w:rPr>
          <w:sz w:val="24"/>
          <w:szCs w:val="24"/>
        </w:rPr>
      </w:pPr>
      <w:bookmarkStart w:id="0" w:name="_GoBack"/>
      <w:bookmarkEnd w:id="0"/>
      <w:r w:rsidRPr="00504D38">
        <w:rPr>
          <w:rFonts w:eastAsia="Courier New"/>
          <w:color w:val="FFFFFF"/>
          <w:sz w:val="24"/>
          <w:szCs w:val="24"/>
          <w:u w:val="none"/>
        </w:rPr>
        <w:t>5e93fffe133a4da1b9574f99cb2b6e955e93fffe133a4da1b9574f99cb2b6e95-1</w:t>
      </w:r>
    </w:p>
    <w:p w:rsidR="00504D38" w:rsidRPr="00504D38" w:rsidRDefault="00504D38" w:rsidP="00504D38">
      <w:pPr>
        <w:spacing w:before="240" w:after="120" w:line="480" w:lineRule="auto"/>
        <w:jc w:val="center"/>
        <w:rPr>
          <w:rFonts w:eastAsia="Times New Roman"/>
          <w:b/>
          <w:sz w:val="24"/>
          <w:szCs w:val="24"/>
          <w:lang w:eastAsia="en-GB"/>
        </w:rPr>
      </w:pPr>
      <w:r w:rsidRPr="00504D38">
        <w:rPr>
          <w:rFonts w:eastAsia="Calibri"/>
          <w:noProof/>
          <w:sz w:val="24"/>
          <w:szCs w:val="24"/>
        </w:rPr>
        <w:t xml:space="preserve"> </w:t>
      </w:r>
      <w:r w:rsidRPr="00504D38">
        <w:rPr>
          <w:rFonts w:eastAsia="Times New Roman"/>
          <w:b/>
          <w:sz w:val="24"/>
          <w:szCs w:val="24"/>
          <w:lang w:eastAsia="en-GB"/>
        </w:rPr>
        <w:t>REPUBLIC OF SOUTH AFRICA</w:t>
      </w:r>
    </w:p>
    <w:p w:rsidR="00504D38" w:rsidRPr="00504D38" w:rsidRDefault="00504D38" w:rsidP="00504D38">
      <w:pPr>
        <w:spacing w:before="240" w:after="0" w:line="480" w:lineRule="auto"/>
        <w:jc w:val="center"/>
        <w:rPr>
          <w:rFonts w:eastAsia="Times New Roman"/>
          <w:b/>
          <w:sz w:val="24"/>
          <w:szCs w:val="24"/>
          <w:lang w:eastAsia="en-GB"/>
        </w:rPr>
      </w:pPr>
      <w:r w:rsidRPr="00504D38">
        <w:rPr>
          <w:rFonts w:eastAsia="Times New Roman"/>
          <w:b/>
          <w:noProof/>
          <w:sz w:val="24"/>
          <w:szCs w:val="24"/>
        </w:rPr>
        <w:drawing>
          <wp:inline distT="0" distB="0" distL="0" distR="0" wp14:anchorId="139BE9A3" wp14:editId="5F5ECDB5">
            <wp:extent cx="13589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pic:spPr>
                </pic:pic>
              </a:graphicData>
            </a:graphic>
          </wp:inline>
        </w:drawing>
      </w:r>
    </w:p>
    <w:p w:rsidR="00504D38" w:rsidRPr="00504D38" w:rsidRDefault="00504D38" w:rsidP="00504D38">
      <w:pPr>
        <w:autoSpaceDE w:val="0"/>
        <w:autoSpaceDN w:val="0"/>
        <w:adjustRightInd w:val="0"/>
        <w:spacing w:after="0" w:line="480" w:lineRule="auto"/>
        <w:jc w:val="center"/>
        <w:rPr>
          <w:b/>
          <w:bCs/>
          <w:sz w:val="24"/>
          <w:szCs w:val="24"/>
        </w:rPr>
      </w:pPr>
      <w:r w:rsidRPr="00504D38">
        <w:rPr>
          <w:b/>
          <w:bCs/>
          <w:sz w:val="24"/>
          <w:szCs w:val="24"/>
        </w:rPr>
        <w:t>IN THE HIGH COURT OF SOUTH AFRICA</w:t>
      </w:r>
    </w:p>
    <w:p w:rsidR="00504D38" w:rsidRPr="00504D38" w:rsidRDefault="00504D38" w:rsidP="00504D38">
      <w:pPr>
        <w:autoSpaceDE w:val="0"/>
        <w:autoSpaceDN w:val="0"/>
        <w:adjustRightInd w:val="0"/>
        <w:spacing w:after="0" w:line="480" w:lineRule="auto"/>
        <w:jc w:val="center"/>
        <w:rPr>
          <w:b/>
          <w:bCs/>
          <w:sz w:val="24"/>
          <w:szCs w:val="24"/>
        </w:rPr>
      </w:pPr>
      <w:r w:rsidRPr="00504D38">
        <w:rPr>
          <w:b/>
          <w:bCs/>
          <w:sz w:val="24"/>
          <w:szCs w:val="24"/>
        </w:rPr>
        <w:t>(GAUTENG DIVISION, JOHANNESBURG)</w:t>
      </w:r>
    </w:p>
    <w:p w:rsidR="00504D38" w:rsidRPr="00504D38" w:rsidRDefault="00504D38" w:rsidP="00504D38">
      <w:pPr>
        <w:autoSpaceDE w:val="0"/>
        <w:autoSpaceDN w:val="0"/>
        <w:adjustRightInd w:val="0"/>
        <w:spacing w:after="0" w:line="480" w:lineRule="auto"/>
        <w:jc w:val="right"/>
        <w:rPr>
          <w:b/>
          <w:bCs/>
          <w:sz w:val="24"/>
          <w:szCs w:val="24"/>
        </w:rPr>
      </w:pPr>
      <w:r w:rsidRPr="00504D38">
        <w:rPr>
          <w:b/>
          <w:sz w:val="24"/>
          <w:szCs w:val="24"/>
        </w:rPr>
        <w:t>CASE NO.:</w:t>
      </w:r>
      <w:r w:rsidRPr="00504D38">
        <w:rPr>
          <w:sz w:val="24"/>
          <w:szCs w:val="24"/>
        </w:rPr>
        <w:t xml:space="preserve"> </w:t>
      </w:r>
      <w:r w:rsidRPr="00504D38">
        <w:rPr>
          <w:b/>
          <w:bCs/>
          <w:sz w:val="24"/>
          <w:szCs w:val="24"/>
        </w:rPr>
        <w:t>30494/2021</w:t>
      </w:r>
    </w:p>
    <w:tbl>
      <w:tblPr>
        <w:tblStyle w:val="TableGrid0"/>
        <w:tblW w:w="0" w:type="auto"/>
        <w:tblInd w:w="846" w:type="dxa"/>
        <w:tblLook w:val="04A0" w:firstRow="1" w:lastRow="0" w:firstColumn="1" w:lastColumn="0" w:noHBand="0" w:noVBand="1"/>
      </w:tblPr>
      <w:tblGrid>
        <w:gridCol w:w="3969"/>
      </w:tblGrid>
      <w:tr w:rsidR="00504D38" w:rsidRPr="00504D38" w:rsidTr="00D904E2">
        <w:trPr>
          <w:trHeight w:val="1551"/>
        </w:trPr>
        <w:tc>
          <w:tcPr>
            <w:tcW w:w="3969" w:type="dxa"/>
          </w:tcPr>
          <w:p w:rsidR="00504D38" w:rsidRPr="00D904E2" w:rsidRDefault="00504D38" w:rsidP="00504D38">
            <w:pPr>
              <w:numPr>
                <w:ilvl w:val="0"/>
                <w:numId w:val="32"/>
              </w:numPr>
              <w:tabs>
                <w:tab w:val="clear" w:pos="900"/>
              </w:tabs>
              <w:spacing w:before="120" w:after="0" w:line="480" w:lineRule="auto"/>
              <w:ind w:left="567" w:hanging="386"/>
              <w:jc w:val="left"/>
              <w:rPr>
                <w:b/>
                <w:sz w:val="16"/>
                <w:szCs w:val="16"/>
              </w:rPr>
            </w:pPr>
            <w:r w:rsidRPr="00D904E2">
              <w:rPr>
                <w:b/>
                <w:sz w:val="16"/>
                <w:szCs w:val="16"/>
              </w:rPr>
              <w:t>REPORTABLE: NO</w:t>
            </w:r>
          </w:p>
          <w:p w:rsidR="00504D38" w:rsidRPr="00D904E2" w:rsidRDefault="00504D38" w:rsidP="00504D38">
            <w:pPr>
              <w:numPr>
                <w:ilvl w:val="0"/>
                <w:numId w:val="32"/>
              </w:numPr>
              <w:tabs>
                <w:tab w:val="clear" w:pos="900"/>
              </w:tabs>
              <w:spacing w:after="0" w:line="480" w:lineRule="auto"/>
              <w:ind w:left="567" w:hanging="386"/>
              <w:jc w:val="left"/>
              <w:rPr>
                <w:b/>
                <w:sz w:val="16"/>
                <w:szCs w:val="16"/>
              </w:rPr>
            </w:pPr>
            <w:r w:rsidRPr="00D904E2">
              <w:rPr>
                <w:b/>
                <w:sz w:val="16"/>
                <w:szCs w:val="16"/>
              </w:rPr>
              <w:t>OF INTEREST TO OTHER JUDGES: NO</w:t>
            </w:r>
          </w:p>
          <w:p w:rsidR="00504D38" w:rsidRPr="00D904E2" w:rsidRDefault="00504D38" w:rsidP="00185FC0">
            <w:pPr>
              <w:numPr>
                <w:ilvl w:val="0"/>
                <w:numId w:val="32"/>
              </w:numPr>
              <w:tabs>
                <w:tab w:val="clear" w:pos="900"/>
              </w:tabs>
              <w:spacing w:after="0" w:line="480" w:lineRule="auto"/>
              <w:ind w:left="567" w:hanging="386"/>
              <w:jc w:val="left"/>
              <w:rPr>
                <w:b/>
                <w:sz w:val="16"/>
                <w:szCs w:val="16"/>
              </w:rPr>
            </w:pPr>
            <w:r w:rsidRPr="00D904E2">
              <w:rPr>
                <w:b/>
                <w:sz w:val="16"/>
                <w:szCs w:val="16"/>
              </w:rPr>
              <w:t>REVISED: NO</w:t>
            </w:r>
          </w:p>
          <w:p w:rsidR="00504D38" w:rsidRPr="00D904E2" w:rsidRDefault="0014418D" w:rsidP="00504D38">
            <w:pPr>
              <w:pStyle w:val="NormalWeb"/>
              <w:spacing w:before="0" w:beforeAutospacing="0" w:after="0" w:afterAutospacing="0" w:line="480" w:lineRule="auto"/>
              <w:rPr>
                <w:rFonts w:ascii="Arial" w:hAnsi="Arial" w:cs="Arial"/>
                <w:b/>
                <w:color w:val="0E101A"/>
                <w:sz w:val="16"/>
                <w:szCs w:val="16"/>
              </w:rPr>
            </w:pPr>
            <w:r>
              <w:rPr>
                <w:rFonts w:ascii="Arial" w:hAnsi="Arial" w:cs="Arial"/>
                <w:b/>
                <w:color w:val="0E101A"/>
                <w:sz w:val="16"/>
                <w:szCs w:val="16"/>
              </w:rPr>
              <w:t>08</w:t>
            </w:r>
            <w:r w:rsidR="00B03CAE">
              <w:rPr>
                <w:rFonts w:ascii="Arial" w:hAnsi="Arial" w:cs="Arial"/>
                <w:b/>
                <w:color w:val="0E101A"/>
                <w:sz w:val="16"/>
                <w:szCs w:val="16"/>
              </w:rPr>
              <w:t xml:space="preserve"> June 2022</w:t>
            </w:r>
            <w:r w:rsidR="00504D38" w:rsidRPr="00D904E2">
              <w:rPr>
                <w:rFonts w:ascii="Arial" w:hAnsi="Arial" w:cs="Arial"/>
                <w:b/>
                <w:color w:val="0E101A"/>
                <w:sz w:val="16"/>
                <w:szCs w:val="16"/>
              </w:rPr>
              <w:t xml:space="preserve">               _____________ </w:t>
            </w:r>
          </w:p>
          <w:p w:rsidR="00504D38" w:rsidRPr="00504D38" w:rsidRDefault="00504D38" w:rsidP="00504D38">
            <w:pPr>
              <w:pStyle w:val="NormalWeb"/>
              <w:spacing w:before="0" w:beforeAutospacing="0" w:after="0" w:afterAutospacing="0" w:line="480" w:lineRule="auto"/>
              <w:rPr>
                <w:rFonts w:ascii="Arial" w:hAnsi="Arial" w:cs="Arial"/>
                <w:color w:val="0E101A"/>
              </w:rPr>
            </w:pPr>
            <w:r w:rsidRPr="00D904E2">
              <w:rPr>
                <w:rFonts w:ascii="Arial" w:hAnsi="Arial" w:cs="Arial"/>
                <w:b/>
                <w:color w:val="0E101A"/>
                <w:sz w:val="16"/>
                <w:szCs w:val="16"/>
              </w:rPr>
              <w:t>Date                                       Signature</w:t>
            </w:r>
            <w:r w:rsidRPr="00504D38">
              <w:rPr>
                <w:rFonts w:ascii="Arial" w:hAnsi="Arial" w:cs="Arial"/>
                <w:color w:val="0E101A"/>
              </w:rPr>
              <w:t xml:space="preserve"> </w:t>
            </w:r>
          </w:p>
        </w:tc>
      </w:tr>
    </w:tbl>
    <w:p w:rsidR="00504D38" w:rsidRPr="00185FC0" w:rsidRDefault="00504D38" w:rsidP="00504D38">
      <w:pPr>
        <w:autoSpaceDE w:val="0"/>
        <w:autoSpaceDN w:val="0"/>
        <w:adjustRightInd w:val="0"/>
        <w:spacing w:after="0" w:line="480" w:lineRule="auto"/>
        <w:rPr>
          <w:b/>
          <w:sz w:val="24"/>
          <w:szCs w:val="24"/>
        </w:rPr>
      </w:pPr>
      <w:r w:rsidRPr="00185FC0">
        <w:rPr>
          <w:b/>
          <w:sz w:val="24"/>
          <w:szCs w:val="24"/>
        </w:rPr>
        <w:t>In the matter between:</w:t>
      </w:r>
    </w:p>
    <w:p w:rsidR="00504D38" w:rsidRPr="00185FC0" w:rsidRDefault="00504D38" w:rsidP="00504D38">
      <w:pPr>
        <w:autoSpaceDE w:val="0"/>
        <w:autoSpaceDN w:val="0"/>
        <w:adjustRightInd w:val="0"/>
        <w:spacing w:after="0" w:line="480" w:lineRule="auto"/>
        <w:rPr>
          <w:b/>
          <w:sz w:val="24"/>
          <w:szCs w:val="24"/>
        </w:rPr>
      </w:pPr>
      <w:r w:rsidRPr="00185FC0">
        <w:rPr>
          <w:b/>
          <w:bCs/>
          <w:sz w:val="24"/>
          <w:szCs w:val="24"/>
        </w:rPr>
        <w:t>SKYC</w:t>
      </w:r>
      <w:r w:rsidR="00185FC0" w:rsidRPr="00185FC0">
        <w:rPr>
          <w:b/>
          <w:bCs/>
          <w:sz w:val="24"/>
          <w:szCs w:val="24"/>
        </w:rPr>
        <w:t>ASTLE SECURITIES (PTY) LTD</w:t>
      </w:r>
      <w:r w:rsidR="00185FC0" w:rsidRPr="00185FC0">
        <w:rPr>
          <w:b/>
          <w:bCs/>
          <w:sz w:val="24"/>
          <w:szCs w:val="24"/>
        </w:rPr>
        <w:tab/>
      </w:r>
      <w:r w:rsidR="00185FC0" w:rsidRPr="00185FC0">
        <w:rPr>
          <w:b/>
          <w:bCs/>
          <w:sz w:val="24"/>
          <w:szCs w:val="24"/>
        </w:rPr>
        <w:tab/>
      </w:r>
      <w:r w:rsidR="00185FC0" w:rsidRPr="00185FC0">
        <w:rPr>
          <w:b/>
          <w:bCs/>
          <w:sz w:val="24"/>
          <w:szCs w:val="24"/>
        </w:rPr>
        <w:tab/>
      </w:r>
      <w:r w:rsidR="00185FC0" w:rsidRPr="00185FC0">
        <w:rPr>
          <w:b/>
          <w:bCs/>
          <w:sz w:val="24"/>
          <w:szCs w:val="24"/>
        </w:rPr>
        <w:tab/>
      </w:r>
      <w:r w:rsidRPr="00185FC0">
        <w:rPr>
          <w:b/>
          <w:sz w:val="24"/>
          <w:szCs w:val="24"/>
        </w:rPr>
        <w:t>First Excipient</w:t>
      </w:r>
    </w:p>
    <w:p w:rsidR="00504D38" w:rsidRPr="00185FC0" w:rsidRDefault="00504D38" w:rsidP="00504D38">
      <w:pPr>
        <w:autoSpaceDE w:val="0"/>
        <w:autoSpaceDN w:val="0"/>
        <w:adjustRightInd w:val="0"/>
        <w:spacing w:after="0" w:line="480" w:lineRule="auto"/>
        <w:rPr>
          <w:b/>
          <w:sz w:val="24"/>
          <w:szCs w:val="24"/>
        </w:rPr>
      </w:pPr>
      <w:r w:rsidRPr="00185FC0">
        <w:rPr>
          <w:b/>
          <w:bCs/>
          <w:sz w:val="24"/>
          <w:szCs w:val="24"/>
        </w:rPr>
        <w:t>JOH</w:t>
      </w:r>
      <w:r w:rsidR="00185FC0" w:rsidRPr="00185FC0">
        <w:rPr>
          <w:b/>
          <w:bCs/>
          <w:sz w:val="24"/>
          <w:szCs w:val="24"/>
        </w:rPr>
        <w:t xml:space="preserve">NSON, PAUL SIMON </w:t>
      </w:r>
      <w:r w:rsidR="00185FC0" w:rsidRPr="00185FC0">
        <w:rPr>
          <w:b/>
          <w:bCs/>
          <w:sz w:val="24"/>
          <w:szCs w:val="24"/>
        </w:rPr>
        <w:tab/>
      </w:r>
      <w:r w:rsidR="00185FC0" w:rsidRPr="00185FC0">
        <w:rPr>
          <w:b/>
          <w:bCs/>
          <w:sz w:val="24"/>
          <w:szCs w:val="24"/>
        </w:rPr>
        <w:tab/>
      </w:r>
      <w:r w:rsidR="00185FC0" w:rsidRPr="00185FC0">
        <w:rPr>
          <w:b/>
          <w:bCs/>
          <w:sz w:val="24"/>
          <w:szCs w:val="24"/>
        </w:rPr>
        <w:tab/>
      </w:r>
      <w:r w:rsidR="00185FC0" w:rsidRPr="00185FC0">
        <w:rPr>
          <w:b/>
          <w:bCs/>
          <w:sz w:val="24"/>
          <w:szCs w:val="24"/>
        </w:rPr>
        <w:tab/>
      </w:r>
      <w:r w:rsidR="00185FC0" w:rsidRPr="00185FC0">
        <w:rPr>
          <w:b/>
          <w:bCs/>
          <w:sz w:val="24"/>
          <w:szCs w:val="24"/>
        </w:rPr>
        <w:tab/>
        <w:t xml:space="preserve">      </w:t>
      </w:r>
      <w:r w:rsidRPr="00185FC0">
        <w:rPr>
          <w:b/>
          <w:sz w:val="24"/>
          <w:szCs w:val="24"/>
        </w:rPr>
        <w:t>Second Excipient</w:t>
      </w:r>
    </w:p>
    <w:p w:rsidR="00504D38" w:rsidRPr="00185FC0" w:rsidRDefault="00504D38" w:rsidP="00504D38">
      <w:pPr>
        <w:autoSpaceDE w:val="0"/>
        <w:autoSpaceDN w:val="0"/>
        <w:adjustRightInd w:val="0"/>
        <w:spacing w:after="0" w:line="480" w:lineRule="auto"/>
        <w:rPr>
          <w:b/>
          <w:sz w:val="24"/>
          <w:szCs w:val="24"/>
        </w:rPr>
      </w:pPr>
      <w:r w:rsidRPr="00185FC0">
        <w:rPr>
          <w:b/>
          <w:bCs/>
          <w:sz w:val="24"/>
          <w:szCs w:val="24"/>
        </w:rPr>
        <w:t xml:space="preserve">TERBLANCHÉ, STEFAN </w:t>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t xml:space="preserve"> </w:t>
      </w:r>
      <w:r w:rsidRPr="00185FC0">
        <w:rPr>
          <w:b/>
          <w:bCs/>
          <w:sz w:val="24"/>
          <w:szCs w:val="24"/>
        </w:rPr>
        <w:tab/>
      </w:r>
      <w:r w:rsidR="00185FC0">
        <w:rPr>
          <w:b/>
          <w:bCs/>
          <w:sz w:val="24"/>
          <w:szCs w:val="24"/>
        </w:rPr>
        <w:t xml:space="preserve">        </w:t>
      </w:r>
      <w:r w:rsidRPr="00185FC0">
        <w:rPr>
          <w:b/>
          <w:sz w:val="24"/>
          <w:szCs w:val="24"/>
        </w:rPr>
        <w:t>Third Excipient</w:t>
      </w:r>
    </w:p>
    <w:p w:rsidR="00504D38" w:rsidRPr="00185FC0" w:rsidRDefault="00504D38" w:rsidP="00504D38">
      <w:pPr>
        <w:autoSpaceDE w:val="0"/>
        <w:autoSpaceDN w:val="0"/>
        <w:adjustRightInd w:val="0"/>
        <w:spacing w:after="0" w:line="480" w:lineRule="auto"/>
        <w:rPr>
          <w:b/>
          <w:sz w:val="24"/>
          <w:szCs w:val="24"/>
        </w:rPr>
      </w:pPr>
      <w:r w:rsidRPr="00185FC0">
        <w:rPr>
          <w:b/>
          <w:bCs/>
          <w:sz w:val="24"/>
          <w:szCs w:val="24"/>
        </w:rPr>
        <w:t>GIRAUD, ALAIN MICHEL</w:t>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00185FC0">
        <w:rPr>
          <w:b/>
          <w:bCs/>
          <w:sz w:val="24"/>
          <w:szCs w:val="24"/>
        </w:rPr>
        <w:t xml:space="preserve">       </w:t>
      </w:r>
      <w:r w:rsidRPr="00185FC0">
        <w:rPr>
          <w:b/>
          <w:sz w:val="24"/>
          <w:szCs w:val="24"/>
        </w:rPr>
        <w:t>Fourth Excipient</w:t>
      </w:r>
    </w:p>
    <w:p w:rsidR="00504D38" w:rsidRPr="00185FC0" w:rsidRDefault="00504D38" w:rsidP="00504D38">
      <w:pPr>
        <w:autoSpaceDE w:val="0"/>
        <w:autoSpaceDN w:val="0"/>
        <w:adjustRightInd w:val="0"/>
        <w:spacing w:after="0" w:line="480" w:lineRule="auto"/>
        <w:rPr>
          <w:b/>
          <w:sz w:val="24"/>
          <w:szCs w:val="24"/>
        </w:rPr>
      </w:pPr>
      <w:r w:rsidRPr="00185FC0">
        <w:rPr>
          <w:b/>
          <w:sz w:val="24"/>
          <w:szCs w:val="24"/>
        </w:rPr>
        <w:t>and</w:t>
      </w:r>
    </w:p>
    <w:p w:rsidR="00504D38" w:rsidRPr="00185FC0" w:rsidRDefault="00504D38" w:rsidP="00504D38">
      <w:pPr>
        <w:autoSpaceDE w:val="0"/>
        <w:autoSpaceDN w:val="0"/>
        <w:adjustRightInd w:val="0"/>
        <w:spacing w:after="0" w:line="480" w:lineRule="auto"/>
        <w:rPr>
          <w:b/>
          <w:sz w:val="24"/>
          <w:szCs w:val="24"/>
        </w:rPr>
      </w:pPr>
      <w:r w:rsidRPr="00185FC0">
        <w:rPr>
          <w:b/>
          <w:bCs/>
          <w:sz w:val="24"/>
          <w:szCs w:val="24"/>
        </w:rPr>
        <w:t>TMM HOLDINGS (PTY) LTD</w:t>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00185FC0">
        <w:rPr>
          <w:b/>
          <w:bCs/>
          <w:sz w:val="24"/>
          <w:szCs w:val="24"/>
        </w:rPr>
        <w:t xml:space="preserve">     </w:t>
      </w:r>
      <w:r w:rsidRPr="00185FC0">
        <w:rPr>
          <w:b/>
          <w:bCs/>
          <w:sz w:val="24"/>
          <w:szCs w:val="24"/>
        </w:rPr>
        <w:t xml:space="preserve"> </w:t>
      </w:r>
      <w:r w:rsidRPr="00185FC0">
        <w:rPr>
          <w:b/>
          <w:sz w:val="24"/>
          <w:szCs w:val="24"/>
        </w:rPr>
        <w:t>First Respondent</w:t>
      </w:r>
    </w:p>
    <w:p w:rsidR="00504D38" w:rsidRPr="00185FC0" w:rsidRDefault="00504D38" w:rsidP="00504D38">
      <w:pPr>
        <w:autoSpaceDE w:val="0"/>
        <w:autoSpaceDN w:val="0"/>
        <w:adjustRightInd w:val="0"/>
        <w:spacing w:after="0" w:line="480" w:lineRule="auto"/>
        <w:rPr>
          <w:b/>
          <w:sz w:val="24"/>
          <w:szCs w:val="24"/>
        </w:rPr>
      </w:pPr>
      <w:r w:rsidRPr="00185FC0">
        <w:rPr>
          <w:b/>
          <w:bCs/>
          <w:sz w:val="24"/>
          <w:szCs w:val="24"/>
        </w:rPr>
        <w:t xml:space="preserve">GOLDSOL II (PTY) LTD </w:t>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00185FC0">
        <w:rPr>
          <w:b/>
          <w:bCs/>
          <w:sz w:val="24"/>
          <w:szCs w:val="24"/>
        </w:rPr>
        <w:t xml:space="preserve"> </w:t>
      </w:r>
      <w:r w:rsidRPr="00185FC0">
        <w:rPr>
          <w:b/>
          <w:sz w:val="24"/>
          <w:szCs w:val="24"/>
        </w:rPr>
        <w:t>Second Respondent</w:t>
      </w:r>
    </w:p>
    <w:p w:rsidR="00504D38" w:rsidRPr="00185FC0" w:rsidRDefault="00504D38" w:rsidP="00504D38">
      <w:pPr>
        <w:autoSpaceDE w:val="0"/>
        <w:autoSpaceDN w:val="0"/>
        <w:adjustRightInd w:val="0"/>
        <w:spacing w:after="0" w:line="480" w:lineRule="auto"/>
        <w:rPr>
          <w:b/>
          <w:sz w:val="24"/>
          <w:szCs w:val="24"/>
        </w:rPr>
      </w:pPr>
      <w:r w:rsidRPr="00185FC0">
        <w:rPr>
          <w:b/>
          <w:i/>
          <w:iCs/>
          <w:sz w:val="24"/>
          <w:szCs w:val="24"/>
        </w:rPr>
        <w:t>IN RE</w:t>
      </w:r>
      <w:r w:rsidRPr="00185FC0">
        <w:rPr>
          <w:b/>
          <w:sz w:val="24"/>
          <w:szCs w:val="24"/>
        </w:rPr>
        <w:t>:</w:t>
      </w:r>
    </w:p>
    <w:p w:rsidR="00504D38" w:rsidRPr="00185FC0" w:rsidRDefault="00504D38" w:rsidP="00504D38">
      <w:pPr>
        <w:autoSpaceDE w:val="0"/>
        <w:autoSpaceDN w:val="0"/>
        <w:adjustRightInd w:val="0"/>
        <w:spacing w:after="0" w:line="480" w:lineRule="auto"/>
        <w:rPr>
          <w:b/>
          <w:bCs/>
          <w:sz w:val="24"/>
          <w:szCs w:val="24"/>
        </w:rPr>
      </w:pPr>
      <w:r w:rsidRPr="00185FC0">
        <w:rPr>
          <w:b/>
          <w:sz w:val="24"/>
          <w:szCs w:val="24"/>
        </w:rPr>
        <w:t xml:space="preserve">CASE NO.: </w:t>
      </w:r>
      <w:r w:rsidRPr="00185FC0">
        <w:rPr>
          <w:b/>
          <w:bCs/>
          <w:sz w:val="24"/>
          <w:szCs w:val="24"/>
        </w:rPr>
        <w:t>30494/2021</w:t>
      </w:r>
    </w:p>
    <w:p w:rsidR="00504D38" w:rsidRPr="00185FC0" w:rsidRDefault="00504D38" w:rsidP="00504D38">
      <w:pPr>
        <w:autoSpaceDE w:val="0"/>
        <w:autoSpaceDN w:val="0"/>
        <w:adjustRightInd w:val="0"/>
        <w:spacing w:after="0" w:line="480" w:lineRule="auto"/>
        <w:rPr>
          <w:b/>
          <w:sz w:val="24"/>
          <w:szCs w:val="24"/>
        </w:rPr>
      </w:pPr>
      <w:r w:rsidRPr="00185FC0">
        <w:rPr>
          <w:b/>
          <w:bCs/>
          <w:sz w:val="24"/>
          <w:szCs w:val="24"/>
        </w:rPr>
        <w:t xml:space="preserve">TMM HOLDINGS (PTY) LTD </w:t>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00185FC0">
        <w:rPr>
          <w:b/>
          <w:bCs/>
          <w:sz w:val="24"/>
          <w:szCs w:val="24"/>
        </w:rPr>
        <w:t xml:space="preserve">          </w:t>
      </w:r>
      <w:r w:rsidRPr="00185FC0">
        <w:rPr>
          <w:b/>
          <w:sz w:val="24"/>
          <w:szCs w:val="24"/>
        </w:rPr>
        <w:t>First Plaintiff</w:t>
      </w:r>
    </w:p>
    <w:p w:rsidR="00504D38" w:rsidRPr="00185FC0" w:rsidRDefault="00504D38" w:rsidP="00504D38">
      <w:pPr>
        <w:autoSpaceDE w:val="0"/>
        <w:autoSpaceDN w:val="0"/>
        <w:adjustRightInd w:val="0"/>
        <w:spacing w:after="0" w:line="480" w:lineRule="auto"/>
        <w:rPr>
          <w:b/>
          <w:sz w:val="24"/>
          <w:szCs w:val="24"/>
        </w:rPr>
      </w:pPr>
      <w:r w:rsidRPr="00185FC0">
        <w:rPr>
          <w:b/>
          <w:bCs/>
          <w:sz w:val="24"/>
          <w:szCs w:val="24"/>
        </w:rPr>
        <w:t xml:space="preserve">GOLDSOL II (PTY) LTD </w:t>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00185FC0">
        <w:rPr>
          <w:b/>
          <w:bCs/>
          <w:sz w:val="24"/>
          <w:szCs w:val="24"/>
        </w:rPr>
        <w:t xml:space="preserve">     </w:t>
      </w:r>
      <w:r w:rsidRPr="00185FC0">
        <w:rPr>
          <w:b/>
          <w:sz w:val="24"/>
          <w:szCs w:val="24"/>
        </w:rPr>
        <w:t>Second Plaintiff</w:t>
      </w:r>
    </w:p>
    <w:p w:rsidR="00504D38" w:rsidRPr="00185FC0" w:rsidRDefault="00504D38" w:rsidP="00504D38">
      <w:pPr>
        <w:autoSpaceDE w:val="0"/>
        <w:autoSpaceDN w:val="0"/>
        <w:adjustRightInd w:val="0"/>
        <w:spacing w:after="0" w:line="480" w:lineRule="auto"/>
        <w:rPr>
          <w:b/>
          <w:sz w:val="24"/>
          <w:szCs w:val="24"/>
        </w:rPr>
      </w:pPr>
      <w:r w:rsidRPr="00185FC0">
        <w:rPr>
          <w:b/>
          <w:sz w:val="24"/>
          <w:szCs w:val="24"/>
        </w:rPr>
        <w:lastRenderedPageBreak/>
        <w:t>and</w:t>
      </w:r>
    </w:p>
    <w:p w:rsidR="00504D38" w:rsidRPr="00185FC0" w:rsidRDefault="00504D38" w:rsidP="00504D38">
      <w:pPr>
        <w:autoSpaceDE w:val="0"/>
        <w:autoSpaceDN w:val="0"/>
        <w:adjustRightInd w:val="0"/>
        <w:spacing w:after="0" w:line="480" w:lineRule="auto"/>
        <w:rPr>
          <w:b/>
          <w:sz w:val="24"/>
          <w:szCs w:val="24"/>
        </w:rPr>
      </w:pPr>
      <w:r w:rsidRPr="00504D38">
        <w:rPr>
          <w:b/>
          <w:bCs/>
          <w:sz w:val="24"/>
          <w:szCs w:val="24"/>
        </w:rPr>
        <w:t>SKY</w:t>
      </w:r>
      <w:r w:rsidR="00185FC0">
        <w:rPr>
          <w:b/>
          <w:bCs/>
          <w:sz w:val="24"/>
          <w:szCs w:val="24"/>
        </w:rPr>
        <w:t xml:space="preserve">CASTLE SECURITIES (PTY) LTD </w:t>
      </w:r>
      <w:r w:rsidR="00185FC0">
        <w:rPr>
          <w:b/>
          <w:bCs/>
          <w:sz w:val="24"/>
          <w:szCs w:val="24"/>
        </w:rPr>
        <w:tab/>
      </w:r>
      <w:r w:rsidR="00185FC0">
        <w:rPr>
          <w:b/>
          <w:bCs/>
          <w:sz w:val="24"/>
          <w:szCs w:val="24"/>
        </w:rPr>
        <w:tab/>
      </w:r>
      <w:r w:rsidR="00185FC0">
        <w:rPr>
          <w:b/>
          <w:bCs/>
          <w:sz w:val="24"/>
          <w:szCs w:val="24"/>
        </w:rPr>
        <w:tab/>
        <w:t xml:space="preserve">        </w:t>
      </w:r>
      <w:r w:rsidRPr="00185FC0">
        <w:rPr>
          <w:b/>
          <w:sz w:val="24"/>
          <w:szCs w:val="24"/>
        </w:rPr>
        <w:t>First Defendant</w:t>
      </w:r>
    </w:p>
    <w:p w:rsidR="00504D38" w:rsidRPr="00185FC0" w:rsidRDefault="00504D38" w:rsidP="00504D38">
      <w:pPr>
        <w:autoSpaceDE w:val="0"/>
        <w:autoSpaceDN w:val="0"/>
        <w:adjustRightInd w:val="0"/>
        <w:spacing w:after="0" w:line="480" w:lineRule="auto"/>
        <w:rPr>
          <w:b/>
          <w:sz w:val="24"/>
          <w:szCs w:val="24"/>
        </w:rPr>
      </w:pPr>
      <w:r w:rsidRPr="00185FC0">
        <w:rPr>
          <w:b/>
          <w:bCs/>
          <w:sz w:val="24"/>
          <w:szCs w:val="24"/>
        </w:rPr>
        <w:t xml:space="preserve">RUSSELL, OLIVIER LESLIE HUGH </w:t>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00185FC0">
        <w:rPr>
          <w:b/>
          <w:bCs/>
          <w:sz w:val="24"/>
          <w:szCs w:val="24"/>
        </w:rPr>
        <w:t xml:space="preserve">    </w:t>
      </w:r>
      <w:r w:rsidRPr="00185FC0">
        <w:rPr>
          <w:b/>
          <w:sz w:val="24"/>
          <w:szCs w:val="24"/>
        </w:rPr>
        <w:t>Second Defendant</w:t>
      </w:r>
    </w:p>
    <w:p w:rsidR="00504D38" w:rsidRPr="00185FC0" w:rsidRDefault="00504D38" w:rsidP="00504D38">
      <w:pPr>
        <w:autoSpaceDE w:val="0"/>
        <w:autoSpaceDN w:val="0"/>
        <w:adjustRightInd w:val="0"/>
        <w:spacing w:after="0" w:line="480" w:lineRule="auto"/>
        <w:rPr>
          <w:b/>
          <w:sz w:val="24"/>
          <w:szCs w:val="24"/>
        </w:rPr>
      </w:pPr>
      <w:r w:rsidRPr="00185FC0">
        <w:rPr>
          <w:b/>
          <w:bCs/>
          <w:sz w:val="24"/>
          <w:szCs w:val="24"/>
        </w:rPr>
        <w:t xml:space="preserve">JOHNSON, PAUL SIMON </w:t>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Pr="00185FC0">
        <w:rPr>
          <w:b/>
          <w:bCs/>
          <w:sz w:val="24"/>
          <w:szCs w:val="24"/>
        </w:rPr>
        <w:tab/>
      </w:r>
      <w:r w:rsidR="00185FC0">
        <w:rPr>
          <w:b/>
          <w:bCs/>
          <w:sz w:val="24"/>
          <w:szCs w:val="24"/>
        </w:rPr>
        <w:t xml:space="preserve">        </w:t>
      </w:r>
      <w:r w:rsidRPr="00185FC0">
        <w:rPr>
          <w:b/>
          <w:sz w:val="24"/>
          <w:szCs w:val="24"/>
        </w:rPr>
        <w:t>Third Defendant</w:t>
      </w:r>
    </w:p>
    <w:p w:rsidR="00504D38" w:rsidRPr="00185FC0" w:rsidRDefault="00185FC0" w:rsidP="00504D38">
      <w:pPr>
        <w:autoSpaceDE w:val="0"/>
        <w:autoSpaceDN w:val="0"/>
        <w:adjustRightInd w:val="0"/>
        <w:spacing w:after="0" w:line="480" w:lineRule="auto"/>
        <w:rPr>
          <w:b/>
          <w:sz w:val="24"/>
          <w:szCs w:val="24"/>
        </w:rPr>
      </w:pPr>
      <w:r>
        <w:rPr>
          <w:b/>
          <w:bCs/>
          <w:sz w:val="24"/>
          <w:szCs w:val="24"/>
        </w:rPr>
        <w:t xml:space="preserve">TERBLANCHÉ, STEFAN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504D38" w:rsidRPr="00185FC0">
        <w:rPr>
          <w:b/>
          <w:sz w:val="24"/>
          <w:szCs w:val="24"/>
        </w:rPr>
        <w:t>Fourth Defendant</w:t>
      </w:r>
    </w:p>
    <w:p w:rsidR="00504D38" w:rsidRDefault="00185FC0" w:rsidP="00D904E2">
      <w:pPr>
        <w:pBdr>
          <w:bottom w:val="single" w:sz="4" w:space="1" w:color="auto"/>
        </w:pBdr>
        <w:autoSpaceDE w:val="0"/>
        <w:autoSpaceDN w:val="0"/>
        <w:adjustRightInd w:val="0"/>
        <w:spacing w:after="0" w:line="480" w:lineRule="auto"/>
        <w:rPr>
          <w:b/>
          <w:sz w:val="24"/>
          <w:szCs w:val="24"/>
        </w:rPr>
      </w:pPr>
      <w:r>
        <w:rPr>
          <w:b/>
          <w:bCs/>
          <w:sz w:val="24"/>
          <w:szCs w:val="24"/>
        </w:rPr>
        <w:t xml:space="preserve">GIRAUD, ALAIN MICHEL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504D38" w:rsidRPr="00185FC0">
        <w:rPr>
          <w:b/>
          <w:sz w:val="24"/>
          <w:szCs w:val="24"/>
        </w:rPr>
        <w:t>Fifth Defendant</w:t>
      </w:r>
    </w:p>
    <w:p w:rsidR="0014418D" w:rsidRDefault="0014418D" w:rsidP="0014418D">
      <w:pPr>
        <w:spacing w:after="0" w:line="480" w:lineRule="auto"/>
        <w:rPr>
          <w:sz w:val="20"/>
          <w:szCs w:val="20"/>
        </w:rPr>
      </w:pPr>
      <w:r>
        <w:rPr>
          <w:sz w:val="24"/>
          <w:szCs w:val="24"/>
        </w:rPr>
        <w:t>Delivered:</w:t>
      </w:r>
      <w:r w:rsidRPr="00D94F89">
        <w:rPr>
          <w:color w:val="0E101A"/>
          <w:sz w:val="24"/>
          <w:szCs w:val="24"/>
        </w:rPr>
        <w:t xml:space="preserve"> </w:t>
      </w:r>
      <w:r w:rsidRPr="0014418D">
        <w:rPr>
          <w:sz w:val="20"/>
          <w:szCs w:val="20"/>
        </w:rPr>
        <w:t>This judgment was handed down electronically by circulation to the parties' legal representatives by email, and uploaded on caselines electronic platform. The date for han</w:t>
      </w:r>
      <w:r>
        <w:rPr>
          <w:sz w:val="20"/>
          <w:szCs w:val="20"/>
        </w:rPr>
        <w:t>d-down is deemed to be 08</w:t>
      </w:r>
      <w:r w:rsidRPr="0014418D">
        <w:rPr>
          <w:sz w:val="20"/>
          <w:szCs w:val="20"/>
        </w:rPr>
        <w:t xml:space="preserve"> June 2022.</w:t>
      </w:r>
    </w:p>
    <w:p w:rsidR="0014418D" w:rsidRPr="0014418D" w:rsidRDefault="0014418D" w:rsidP="0014418D">
      <w:pPr>
        <w:spacing w:after="0" w:line="480" w:lineRule="auto"/>
        <w:rPr>
          <w:b/>
          <w:sz w:val="24"/>
          <w:szCs w:val="24"/>
        </w:rPr>
      </w:pPr>
      <w:r w:rsidRPr="0014418D">
        <w:rPr>
          <w:b/>
          <w:sz w:val="20"/>
          <w:szCs w:val="20"/>
        </w:rPr>
        <w:t xml:space="preserve">Summary: </w:t>
      </w:r>
      <w:r w:rsidRPr="0014418D">
        <w:rPr>
          <w:sz w:val="20"/>
          <w:szCs w:val="20"/>
        </w:rPr>
        <w:t>Exceptions</w:t>
      </w:r>
      <w:r>
        <w:rPr>
          <w:sz w:val="20"/>
          <w:szCs w:val="20"/>
        </w:rPr>
        <w:t xml:space="preserve">- alleged not </w:t>
      </w:r>
      <w:r w:rsidR="000B43C3">
        <w:rPr>
          <w:sz w:val="20"/>
          <w:szCs w:val="20"/>
        </w:rPr>
        <w:t xml:space="preserve">to </w:t>
      </w:r>
      <w:r>
        <w:rPr>
          <w:sz w:val="20"/>
          <w:szCs w:val="20"/>
        </w:rPr>
        <w:t xml:space="preserve">disclosing cause of action. The test for determining exception restated. </w:t>
      </w:r>
      <w:r w:rsidR="000B43C3">
        <w:rPr>
          <w:sz w:val="20"/>
          <w:szCs w:val="20"/>
        </w:rPr>
        <w:t>The f</w:t>
      </w:r>
      <w:r>
        <w:rPr>
          <w:sz w:val="20"/>
          <w:szCs w:val="20"/>
        </w:rPr>
        <w:t xml:space="preserve">irst exception based on the indemnity clause of the contract between the parties. Second exception based on lack of causal connection between </w:t>
      </w:r>
      <w:r w:rsidR="000B43C3">
        <w:rPr>
          <w:sz w:val="20"/>
          <w:szCs w:val="20"/>
        </w:rPr>
        <w:t xml:space="preserve">the alleged negligent conduct of the   and the consequent damages. </w:t>
      </w:r>
    </w:p>
    <w:p w:rsidR="0014418D" w:rsidRPr="00185FC0" w:rsidRDefault="0014418D" w:rsidP="00D904E2">
      <w:pPr>
        <w:pBdr>
          <w:bottom w:val="single" w:sz="4" w:space="1" w:color="auto"/>
        </w:pBdr>
        <w:autoSpaceDE w:val="0"/>
        <w:autoSpaceDN w:val="0"/>
        <w:adjustRightInd w:val="0"/>
        <w:spacing w:after="0" w:line="480" w:lineRule="auto"/>
        <w:rPr>
          <w:b/>
          <w:sz w:val="24"/>
          <w:szCs w:val="24"/>
        </w:rPr>
      </w:pPr>
    </w:p>
    <w:p w:rsidR="00504D38" w:rsidRDefault="00D904E2" w:rsidP="00D904E2">
      <w:pPr>
        <w:spacing w:after="0" w:line="480" w:lineRule="auto"/>
        <w:ind w:left="0" w:firstLine="0"/>
        <w:jc w:val="center"/>
        <w:rPr>
          <w:sz w:val="24"/>
          <w:szCs w:val="24"/>
        </w:rPr>
      </w:pPr>
      <w:r w:rsidRPr="00D904E2">
        <w:rPr>
          <w:sz w:val="24"/>
          <w:szCs w:val="24"/>
        </w:rPr>
        <w:t>JUDGMENT</w:t>
      </w:r>
    </w:p>
    <w:p w:rsidR="00D904E2" w:rsidRPr="00D904E2" w:rsidRDefault="00D904E2" w:rsidP="00D904E2">
      <w:pPr>
        <w:pBdr>
          <w:bottom w:val="single" w:sz="4" w:space="1" w:color="auto"/>
        </w:pBdr>
        <w:spacing w:line="480" w:lineRule="auto"/>
        <w:ind w:left="851" w:firstLine="0"/>
        <w:rPr>
          <w:b/>
          <w:sz w:val="24"/>
          <w:szCs w:val="24"/>
        </w:rPr>
      </w:pPr>
    </w:p>
    <w:p w:rsidR="00504D38" w:rsidRPr="00D904E2" w:rsidRDefault="00504D38" w:rsidP="00E17F39">
      <w:pPr>
        <w:pStyle w:val="NormalWeb"/>
        <w:spacing w:before="0" w:beforeAutospacing="0" w:after="0" w:afterAutospacing="0" w:line="480" w:lineRule="auto"/>
        <w:rPr>
          <w:rFonts w:ascii="Arial" w:hAnsi="Arial" w:cs="Arial"/>
          <w:b/>
          <w:color w:val="0E101A"/>
        </w:rPr>
      </w:pPr>
      <w:r w:rsidRPr="00D904E2">
        <w:rPr>
          <w:rFonts w:ascii="Arial" w:hAnsi="Arial" w:cs="Arial"/>
          <w:b/>
        </w:rPr>
        <w:t>MOLAHLEHI J</w:t>
      </w:r>
      <w:r w:rsidRPr="00D904E2">
        <w:rPr>
          <w:rFonts w:ascii="Arial" w:hAnsi="Arial" w:cs="Arial"/>
          <w:b/>
          <w:color w:val="0E101A"/>
        </w:rPr>
        <w:t xml:space="preserve"> </w:t>
      </w:r>
    </w:p>
    <w:p w:rsidR="00504D38" w:rsidRPr="00504D38" w:rsidRDefault="0048684A" w:rsidP="0048684A">
      <w:pPr>
        <w:pStyle w:val="NormalWeb"/>
        <w:spacing w:before="0" w:beforeAutospacing="0" w:after="0" w:afterAutospacing="0" w:line="480" w:lineRule="auto"/>
        <w:rPr>
          <w:rFonts w:ascii="Arial" w:hAnsi="Arial" w:cs="Arial"/>
          <w:color w:val="0E101A"/>
        </w:rPr>
      </w:pPr>
      <w:r>
        <w:rPr>
          <w:rStyle w:val="Strong"/>
          <w:rFonts w:ascii="Arial" w:eastAsia="Arial" w:hAnsi="Arial" w:cs="Arial"/>
          <w:color w:val="0E101A"/>
        </w:rPr>
        <w:t>I</w:t>
      </w:r>
      <w:r w:rsidR="00504D38" w:rsidRPr="00504D38">
        <w:rPr>
          <w:rStyle w:val="Strong"/>
          <w:rFonts w:ascii="Arial" w:eastAsia="Arial" w:hAnsi="Arial" w:cs="Arial"/>
          <w:color w:val="0E101A"/>
        </w:rPr>
        <w:t>ntroduction</w:t>
      </w:r>
    </w:p>
    <w:p w:rsidR="00504D38" w:rsidRPr="00504D38" w:rsidRDefault="00504D38" w:rsidP="00E17F39">
      <w:pPr>
        <w:pStyle w:val="ListParagraph"/>
        <w:numPr>
          <w:ilvl w:val="0"/>
          <w:numId w:val="34"/>
        </w:numPr>
        <w:ind w:left="0" w:firstLine="0"/>
      </w:pPr>
      <w:r w:rsidRPr="00504D38">
        <w:t>This judgment concerns the consideration of two exceptions raised by the excipients who I shall refer to in this judgment as cited in the action proceedings. The first excipient shall be referred to as the "first defendant," and the second to the fifth excipient are referred to as the "remaining defendants." The first and second plaintiffs shall be referred to as the "plaintiffs."</w:t>
      </w: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lastRenderedPageBreak/>
        <w:t>The action proceedings in this matter arose from the written non-discretionary FSP mandate agreements concluded between the parties on 26 February 2019. </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In terms of the mandate agreements attached to the amended particulars of claim as annexures "POC1" and "POC2," the plaintiffs authorised the first defendant to manage their investments as provided for in clause 2.1 of the schedule attached to the agreements.</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The first defendant was required to transact on behalf of the plaintiffs in the following investments: SAFEX financial, Equities, and CFDIS. The plaintiffs further authorised the first defendant to purchase, sell and enter into transactions on behalf of the plaintiffs. Attached to the mandate agreements were schedules which specified the objectives which the plaintiffs sought to achieve in concluding the mandate agreements. </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Upon receipt of the funds from the plaintiffs, the first defendant was required to deposit the same as part of management thereof into the bank account of the investment companies or their nominee companies or banks. The first defendant would further, upon receipt of cash monies, dividends, including interest, and proceeds of disposals from the investment, deposit the same into the plaintiffs' nominated bank account.</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In their particulars of claim, the plaintiffs aver that the first defendant's discretion in managing the investments on their behalf was expressly restricted. The first defendant's right to sell and purchase shares on behalf of the plaintiffs was restricted to performing such function upon receipt of instructions and with the prior consent of the plaintiffs.  </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 xml:space="preserve">The mandate agreements were supplemented on 26 January 2019 by an addendum, which amended the mandate agreements in instances where Standard Bank Online Share </w:t>
      </w:r>
      <w:r w:rsidRPr="00504D38">
        <w:rPr>
          <w:rFonts w:ascii="Arial" w:hAnsi="Arial" w:cs="Arial"/>
          <w:color w:val="0E101A"/>
        </w:rPr>
        <w:lastRenderedPageBreak/>
        <w:t>Trading, the division of SBG Securities (Pty) Ltd. (SBG Security), had been appointed as the preferred brokers.</w:t>
      </w:r>
    </w:p>
    <w:p w:rsidR="002063F2" w:rsidRPr="00504D38" w:rsidRDefault="002063F2"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r w:rsidRPr="00504D38">
        <w:rPr>
          <w:rStyle w:val="Strong"/>
          <w:rFonts w:ascii="Arial" w:eastAsia="Arial" w:hAnsi="Arial" w:cs="Arial"/>
          <w:color w:val="0E101A"/>
        </w:rPr>
        <w:t>The claim against the first defendant.</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 xml:space="preserve">The plaintiff avers that from 2019 to 2020, the first defendant, without their instructions or consent and in breach of the amended agreements, sold shares belonging to the first plaintiff to MC Mining and Jasco, </w:t>
      </w:r>
      <w:r w:rsidR="00A61C14">
        <w:rPr>
          <w:rFonts w:ascii="Arial" w:hAnsi="Arial" w:cs="Arial"/>
          <w:color w:val="0E101A"/>
        </w:rPr>
        <w:t>respectively, at the price of R</w:t>
      </w:r>
      <w:r w:rsidRPr="00504D38">
        <w:rPr>
          <w:rFonts w:ascii="Arial" w:hAnsi="Arial" w:cs="Arial"/>
          <w:color w:val="0E101A"/>
        </w:rPr>
        <w:t xml:space="preserve">1,495,000, and </w:t>
      </w:r>
      <w:r w:rsidR="00A61C14">
        <w:rPr>
          <w:rFonts w:ascii="Arial" w:hAnsi="Arial" w:cs="Arial"/>
          <w:color w:val="0E101A"/>
        </w:rPr>
        <w:t>R</w:t>
      </w:r>
      <w:r w:rsidRPr="00504D38">
        <w:rPr>
          <w:rFonts w:ascii="Arial" w:hAnsi="Arial" w:cs="Arial"/>
          <w:color w:val="0E101A"/>
        </w:rPr>
        <w:t>11 548 368. In the case of the second plaintiff, the first defendant is alleged to have sold shares for R551.78 to Jasco.</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2063F2"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The plaintiffs have consequent the above-claimed damages against the first defendant.  </w:t>
      </w:r>
      <w:r w:rsidRPr="002063F2">
        <w:rPr>
          <w:rFonts w:ascii="Arial" w:hAnsi="Arial" w:cs="Arial"/>
          <w:color w:val="0E101A"/>
        </w:rPr>
        <w:t>The plaintiffs contend that the claim for damages flows naturally from the breach of the amended agreements by the first defendant.</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r w:rsidRPr="00504D38">
        <w:rPr>
          <w:rStyle w:val="Strong"/>
          <w:rFonts w:ascii="Arial" w:eastAsia="Arial" w:hAnsi="Arial" w:cs="Arial"/>
          <w:color w:val="0E101A"/>
        </w:rPr>
        <w:t>Claim against the remaining defendants</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The claim against the remaining defendants is both a statutory and delictual claim based on the complaint that the defendants failed to oversee the implementation of the amended agreements by the first defendant. </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 xml:space="preserve">The plaintiffs aver that the remaining defendants, who were directors and members of the board, owed a duty of care to ensure that the first defendant complied with its obligations in the amended agreements. They were responsible for ensuring that the shares were protected from being unlawfully alienated or misappropriated by the first defendant. </w:t>
      </w:r>
      <w:r w:rsidRPr="00504D38">
        <w:rPr>
          <w:rFonts w:ascii="Arial" w:hAnsi="Arial" w:cs="Arial"/>
          <w:color w:val="0E101A"/>
        </w:rPr>
        <w:lastRenderedPageBreak/>
        <w:t>Their duty in this respect was to ensure that the first respondent complied with its obligation as provided for in the mandate agreement.  </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The statutory duties of the remaining defendants are those imposed by section 76 (3) of the Companies Act</w:t>
      </w:r>
      <w:r w:rsidR="00A61C14">
        <w:rPr>
          <w:rFonts w:ascii="Arial" w:hAnsi="Arial" w:cs="Arial"/>
          <w:color w:val="0E101A"/>
        </w:rPr>
        <w:t>.</w:t>
      </w:r>
      <w:r w:rsidR="00A61C14">
        <w:rPr>
          <w:rStyle w:val="FootnoteReference"/>
          <w:rFonts w:ascii="Arial" w:hAnsi="Arial" w:cs="Arial"/>
          <w:color w:val="0E101A"/>
        </w:rPr>
        <w:footnoteReference w:id="1"/>
      </w:r>
      <w:r w:rsidRPr="00504D38">
        <w:rPr>
          <w:rFonts w:ascii="Arial" w:hAnsi="Arial" w:cs="Arial"/>
          <w:color w:val="0E101A"/>
        </w:rPr>
        <w:t xml:space="preserve"> The consequences of their failure to comply with their duty of care have, according to the plaintiffs, cost them loss or damages as envisaged in section 218 (2) of the Companies Act.</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The plaintiffs claim the following amounts against the first defendant:</w:t>
      </w:r>
    </w:p>
    <w:p w:rsidR="006003B2" w:rsidRPr="006003B2" w:rsidRDefault="00504D38" w:rsidP="006003B2">
      <w:pPr>
        <w:pStyle w:val="NormalWeb"/>
        <w:numPr>
          <w:ilvl w:val="1"/>
          <w:numId w:val="37"/>
        </w:numPr>
        <w:spacing w:before="0" w:beforeAutospacing="0" w:after="0" w:afterAutospacing="0" w:line="480" w:lineRule="auto"/>
        <w:ind w:left="1276" w:firstLine="0"/>
        <w:jc w:val="both"/>
        <w:rPr>
          <w:rFonts w:ascii="Arial" w:hAnsi="Arial" w:cs="Arial"/>
          <w:color w:val="0E101A"/>
        </w:rPr>
      </w:pPr>
      <w:r w:rsidRPr="002A53B8">
        <w:rPr>
          <w:rFonts w:ascii="Arial" w:hAnsi="Arial" w:cs="Arial"/>
          <w:color w:val="0E101A"/>
          <w:sz w:val="22"/>
          <w:szCs w:val="22"/>
        </w:rPr>
        <w:t>the fi</w:t>
      </w:r>
      <w:r w:rsidR="006003B2">
        <w:rPr>
          <w:rFonts w:ascii="Arial" w:hAnsi="Arial" w:cs="Arial"/>
          <w:color w:val="0E101A"/>
          <w:sz w:val="22"/>
          <w:szCs w:val="22"/>
        </w:rPr>
        <w:t xml:space="preserve">rst plaintiff: R 41 61048 368.00. </w:t>
      </w:r>
    </w:p>
    <w:p w:rsidR="002A53B8" w:rsidRPr="006003B2" w:rsidRDefault="00504D38" w:rsidP="006003B2">
      <w:pPr>
        <w:pStyle w:val="NormalWeb"/>
        <w:numPr>
          <w:ilvl w:val="1"/>
          <w:numId w:val="37"/>
        </w:numPr>
        <w:spacing w:before="0" w:beforeAutospacing="0" w:after="0" w:afterAutospacing="0" w:line="480" w:lineRule="auto"/>
        <w:ind w:left="1276" w:firstLine="0"/>
        <w:jc w:val="both"/>
        <w:rPr>
          <w:rFonts w:ascii="Arial" w:hAnsi="Arial" w:cs="Arial"/>
          <w:color w:val="0E101A"/>
        </w:rPr>
      </w:pPr>
      <w:r w:rsidRPr="006003B2">
        <w:rPr>
          <w:rFonts w:ascii="Arial" w:hAnsi="Arial" w:cs="Arial"/>
          <w:color w:val="0E101A"/>
          <w:sz w:val="22"/>
          <w:szCs w:val="22"/>
        </w:rPr>
        <w:t>the second plaintiff: R4 25 717.56</w:t>
      </w:r>
    </w:p>
    <w:p w:rsidR="002A53B8" w:rsidRPr="002A53B8" w:rsidRDefault="002A53B8" w:rsidP="00E17F39">
      <w:pPr>
        <w:pStyle w:val="NormalWeb"/>
        <w:spacing w:before="0" w:beforeAutospacing="0" w:after="0" w:afterAutospacing="0" w:line="480" w:lineRule="auto"/>
        <w:jc w:val="both"/>
        <w:rPr>
          <w:rFonts w:ascii="Arial" w:hAnsi="Arial" w:cs="Arial"/>
          <w:color w:val="0E101A"/>
        </w:rPr>
      </w:pPr>
    </w:p>
    <w:p w:rsidR="00504D38" w:rsidRPr="002A53B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2A53B8">
        <w:rPr>
          <w:rFonts w:ascii="Arial" w:hAnsi="Arial" w:cs="Arial"/>
          <w:color w:val="0E101A"/>
        </w:rPr>
        <w:t>Furthermore, the plaintiffs claim the identical amounts, as above, concerning the remaining defendants and payment to be made jointly and severally.</w:t>
      </w:r>
    </w:p>
    <w:p w:rsidR="008D3E25" w:rsidRDefault="008D3E25" w:rsidP="00E17F39">
      <w:pPr>
        <w:pStyle w:val="NormalWeb"/>
        <w:spacing w:before="0" w:beforeAutospacing="0" w:after="0" w:afterAutospacing="0" w:line="480" w:lineRule="auto"/>
        <w:jc w:val="both"/>
        <w:rPr>
          <w:rStyle w:val="Strong"/>
          <w:rFonts w:ascii="Arial" w:eastAsia="Arial" w:hAnsi="Arial" w:cs="Arial"/>
          <w:color w:val="0E101A"/>
        </w:rPr>
      </w:pP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r w:rsidRPr="00504D38">
        <w:rPr>
          <w:rStyle w:val="Strong"/>
          <w:rFonts w:ascii="Arial" w:eastAsia="Arial" w:hAnsi="Arial" w:cs="Arial"/>
          <w:color w:val="0E101A"/>
        </w:rPr>
        <w:t>The exceptions.</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The defendants have raised two exceptions which are the same, except that the first is raised by the first defendant and the second by t</w:t>
      </w:r>
      <w:r w:rsidR="00A61C14">
        <w:rPr>
          <w:rFonts w:ascii="Arial" w:hAnsi="Arial" w:cs="Arial"/>
          <w:color w:val="0E101A"/>
        </w:rPr>
        <w:t>he remaining defendants</w:t>
      </w:r>
      <w:r w:rsidRPr="00504D38">
        <w:rPr>
          <w:rFonts w:ascii="Arial" w:hAnsi="Arial" w:cs="Arial"/>
          <w:color w:val="0E101A"/>
        </w:rPr>
        <w:t>.</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The first defendants in the first exception contend that the plaintiffs' claim does not disclose a cause of action. The nature of the claim in this respect is a breach of contract.</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lastRenderedPageBreak/>
        <w:t>The first defendant contends that the claim based on breach of contract is unsustainable because of the indemnity clause in the contract.  </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 xml:space="preserve">The remaining defendants' complaint consists of two parts. The first part of the complaint concerns the contractual "loss or damages" pleaded in the claim against the first defendant and its relation to the loss or damages allegedly occasioned by the breach of duty of care on the part of the </w:t>
      </w:r>
      <w:r w:rsidR="00E17F39">
        <w:rPr>
          <w:rFonts w:ascii="Arial" w:hAnsi="Arial" w:cs="Arial"/>
          <w:color w:val="0E101A"/>
        </w:rPr>
        <w:t xml:space="preserve">remaining </w:t>
      </w:r>
      <w:r w:rsidRPr="00504D38">
        <w:rPr>
          <w:rFonts w:ascii="Arial" w:hAnsi="Arial" w:cs="Arial"/>
          <w:color w:val="0E101A"/>
        </w:rPr>
        <w:t>defendant.</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The second part of the complaint is similar to the first, except that the claim is based on the provision of section 218 (2) of the Companies Act. The complaint in this instance is that there are insufficient facts alleged in the particulars of claim to create a connection between the breach of the Companies Act and the contractual loss suffered by the plaintiffs.</w:t>
      </w:r>
    </w:p>
    <w:p w:rsidR="008D3E25" w:rsidRPr="00504D38" w:rsidRDefault="008D3E25"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r w:rsidRPr="00504D38">
        <w:rPr>
          <w:rStyle w:val="Strong"/>
          <w:rFonts w:ascii="Arial" w:eastAsia="Arial" w:hAnsi="Arial" w:cs="Arial"/>
          <w:color w:val="0E101A"/>
        </w:rPr>
        <w:t>Legal principles and analysis</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The correct approach to deciding an exception was restated in the recent judgment of the Supreme Court of Appeal in </w:t>
      </w:r>
      <w:r w:rsidRPr="00504D38">
        <w:rPr>
          <w:rStyle w:val="Emphasis"/>
          <w:rFonts w:ascii="Arial" w:eastAsia="Courier New" w:hAnsi="Arial" w:cs="Arial"/>
          <w:color w:val="0E101A"/>
        </w:rPr>
        <w:t>Luke</w:t>
      </w:r>
      <w:r w:rsidRPr="00504D38">
        <w:rPr>
          <w:rFonts w:ascii="Arial" w:hAnsi="Arial" w:cs="Arial"/>
          <w:color w:val="0E101A"/>
        </w:rPr>
        <w:t> M Tembani and </w:t>
      </w:r>
      <w:r w:rsidRPr="00504D38">
        <w:rPr>
          <w:rStyle w:val="Emphasis"/>
          <w:rFonts w:ascii="Arial" w:eastAsia="Courier New" w:hAnsi="Arial" w:cs="Arial"/>
          <w:color w:val="0E101A"/>
        </w:rPr>
        <w:t>Others v President of the Republic of South Africa</w:t>
      </w:r>
      <w:r w:rsidRPr="00504D38">
        <w:rPr>
          <w:rFonts w:ascii="Arial" w:hAnsi="Arial" w:cs="Arial"/>
          <w:color w:val="0E101A"/>
        </w:rPr>
        <w:t> and </w:t>
      </w:r>
      <w:r w:rsidRPr="00504D38">
        <w:rPr>
          <w:rStyle w:val="Emphasis"/>
          <w:rFonts w:ascii="Arial" w:eastAsia="Courier New" w:hAnsi="Arial" w:cs="Arial"/>
          <w:color w:val="0E101A"/>
        </w:rPr>
        <w:t>Another</w:t>
      </w:r>
      <w:r w:rsidR="00E17F39">
        <w:rPr>
          <w:rStyle w:val="Emphasis"/>
          <w:rFonts w:ascii="Arial" w:eastAsia="Courier New" w:hAnsi="Arial" w:cs="Arial"/>
          <w:color w:val="0E101A"/>
        </w:rPr>
        <w:t>,</w:t>
      </w:r>
      <w:r w:rsidR="008D3E25">
        <w:rPr>
          <w:rStyle w:val="FootnoteReference"/>
          <w:rFonts w:ascii="Arial" w:eastAsia="Courier New" w:hAnsi="Arial" w:cs="Arial"/>
          <w:i/>
          <w:iCs/>
          <w:color w:val="0E101A"/>
        </w:rPr>
        <w:footnoteReference w:id="2"/>
      </w:r>
      <w:r w:rsidR="00E17F39">
        <w:rPr>
          <w:rFonts w:ascii="Arial" w:hAnsi="Arial" w:cs="Arial"/>
          <w:color w:val="0E101A"/>
        </w:rPr>
        <w:t> on</w:t>
      </w:r>
      <w:r w:rsidRPr="00504D38">
        <w:rPr>
          <w:rFonts w:ascii="Arial" w:hAnsi="Arial" w:cs="Arial"/>
          <w:color w:val="0E101A"/>
        </w:rPr>
        <w:t xml:space="preserve"> 20 May 2022. In that judgment per Ponnan JA, the court held that:</w:t>
      </w:r>
    </w:p>
    <w:p w:rsidR="00504D38" w:rsidRPr="00E6764D" w:rsidRDefault="00504D38" w:rsidP="00E17F39">
      <w:pPr>
        <w:pStyle w:val="NormalWeb"/>
        <w:spacing w:before="0" w:beforeAutospacing="0" w:after="0" w:afterAutospacing="0" w:line="480" w:lineRule="auto"/>
        <w:jc w:val="both"/>
        <w:rPr>
          <w:rFonts w:ascii="Arial" w:hAnsi="Arial" w:cs="Arial"/>
          <w:i/>
          <w:color w:val="0E101A"/>
          <w:sz w:val="22"/>
          <w:szCs w:val="22"/>
        </w:rPr>
      </w:pPr>
      <w:r w:rsidRPr="00E6764D">
        <w:rPr>
          <w:rFonts w:ascii="Arial" w:hAnsi="Arial" w:cs="Arial"/>
          <w:i/>
          <w:color w:val="0E101A"/>
          <w:sz w:val="22"/>
          <w:szCs w:val="22"/>
        </w:rPr>
        <w:t xml:space="preserve">"[14] </w:t>
      </w:r>
      <w:r w:rsidR="006003B2" w:rsidRPr="00E6764D">
        <w:rPr>
          <w:rFonts w:ascii="Arial" w:hAnsi="Arial" w:cs="Arial"/>
          <w:i/>
          <w:color w:val="0E101A"/>
          <w:sz w:val="22"/>
          <w:szCs w:val="22"/>
        </w:rPr>
        <w:tab/>
      </w:r>
      <w:r w:rsidRPr="00E6764D">
        <w:rPr>
          <w:rFonts w:ascii="Arial" w:hAnsi="Arial" w:cs="Arial"/>
          <w:i/>
          <w:color w:val="0E101A"/>
          <w:sz w:val="22"/>
          <w:szCs w:val="22"/>
        </w:rPr>
        <w:t xml:space="preserve">Whilst exceptions provide a useful mechanism 'to weed out cases without legal merit', it is nonetheless necessary that they be dealt with sensibly. It is where pleadings are so vague that it is impossible to determine the nature of the claim or where pleadings are bad in law in that their contents do not support a discernible and legally recognised cause of action, that an exception is competent. The burden rests on an excipient, who must establish that on every interpretation that </w:t>
      </w:r>
      <w:r w:rsidRPr="00E6764D">
        <w:rPr>
          <w:rFonts w:ascii="Arial" w:hAnsi="Arial" w:cs="Arial"/>
          <w:i/>
          <w:color w:val="0E101A"/>
          <w:sz w:val="22"/>
          <w:szCs w:val="22"/>
        </w:rPr>
        <w:lastRenderedPageBreak/>
        <w:t>can reasonably be attached to it, the pleading is excipiable.</w:t>
      </w:r>
      <w:r w:rsidRPr="00E6764D">
        <w:rPr>
          <w:rStyle w:val="Strong"/>
          <w:rFonts w:ascii="Arial" w:eastAsia="Arial" w:hAnsi="Arial" w:cs="Arial"/>
          <w:i/>
          <w:color w:val="0E101A"/>
          <w:sz w:val="22"/>
          <w:szCs w:val="22"/>
        </w:rPr>
        <w:t> </w:t>
      </w:r>
      <w:r w:rsidRPr="00E6764D">
        <w:rPr>
          <w:rFonts w:ascii="Arial" w:hAnsi="Arial" w:cs="Arial"/>
          <w:i/>
          <w:color w:val="0E101A"/>
          <w:sz w:val="22"/>
          <w:szCs w:val="22"/>
        </w:rPr>
        <w:t>The test is whether on all possible readings of the facts no cause of action may be made out; it being for the excipient to satisfy the court that the conclusion of law for which the plaintiff contends cannot be supported on every interpretation that can be put upon the facts."</w:t>
      </w:r>
      <w:r w:rsidRPr="00E6764D">
        <w:rPr>
          <w:rStyle w:val="Strong"/>
          <w:rFonts w:ascii="Arial" w:eastAsia="Arial" w:hAnsi="Arial" w:cs="Arial"/>
          <w:i/>
          <w:color w:val="0E101A"/>
          <w:sz w:val="22"/>
          <w:szCs w:val="22"/>
        </w:rPr>
        <w:t> </w:t>
      </w:r>
      <w:r w:rsidRPr="00E6764D">
        <w:rPr>
          <w:rFonts w:ascii="Arial" w:hAnsi="Arial" w:cs="Arial"/>
          <w:i/>
          <w:color w:val="0E101A"/>
          <w:sz w:val="22"/>
          <w:szCs w:val="22"/>
        </w:rPr>
        <w:t>(footnotes omitted).</w:t>
      </w:r>
      <w:r w:rsidR="006003B2" w:rsidRPr="00E6764D">
        <w:rPr>
          <w:rStyle w:val="FootnoteReference"/>
          <w:rFonts w:ascii="Arial" w:hAnsi="Arial" w:cs="Arial"/>
          <w:i/>
          <w:color w:val="0E101A"/>
          <w:sz w:val="22"/>
          <w:szCs w:val="22"/>
        </w:rPr>
        <w:t xml:space="preserve"> </w:t>
      </w:r>
      <w:r w:rsidRPr="00E6764D">
        <w:rPr>
          <w:rFonts w:ascii="Arial" w:hAnsi="Arial" w:cs="Arial"/>
          <w:i/>
          <w:color w:val="0E101A"/>
          <w:sz w:val="22"/>
          <w:szCs w:val="22"/>
        </w:rPr>
        <w:t xml:space="preserve"> </w:t>
      </w:r>
    </w:p>
    <w:p w:rsidR="00504D38" w:rsidRPr="00E6764D" w:rsidRDefault="00504D38" w:rsidP="00E17F39">
      <w:pPr>
        <w:pStyle w:val="NormalWeb"/>
        <w:spacing w:before="0" w:beforeAutospacing="0" w:after="0" w:afterAutospacing="0" w:line="480" w:lineRule="auto"/>
        <w:jc w:val="both"/>
        <w:rPr>
          <w:rFonts w:ascii="Arial" w:hAnsi="Arial" w:cs="Arial"/>
          <w:i/>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In PicbeI Group Voorsong Fonds (In Liquidation) v Somerville and Related Matters</w:t>
      </w:r>
      <w:r w:rsidR="00E17F39">
        <w:rPr>
          <w:rFonts w:ascii="Arial" w:hAnsi="Arial" w:cs="Arial"/>
          <w:color w:val="0E101A"/>
        </w:rPr>
        <w:t>,</w:t>
      </w:r>
      <w:r w:rsidR="008D3E25">
        <w:rPr>
          <w:rStyle w:val="FootnoteReference"/>
          <w:rFonts w:ascii="Arial" w:hAnsi="Arial" w:cs="Arial"/>
          <w:color w:val="0E101A"/>
        </w:rPr>
        <w:footnoteReference w:id="3"/>
      </w:r>
      <w:r w:rsidRPr="00504D38">
        <w:rPr>
          <w:rFonts w:ascii="Arial" w:hAnsi="Arial" w:cs="Arial"/>
          <w:color w:val="0E101A"/>
        </w:rPr>
        <w:t xml:space="preserve"> the court held that:</w:t>
      </w:r>
    </w:p>
    <w:p w:rsidR="00504D38" w:rsidRPr="002612D1" w:rsidRDefault="00504D38" w:rsidP="00E17F39">
      <w:pPr>
        <w:pStyle w:val="NormalWeb"/>
        <w:spacing w:before="0" w:beforeAutospacing="0" w:after="0" w:afterAutospacing="0" w:line="480" w:lineRule="auto"/>
        <w:jc w:val="both"/>
        <w:rPr>
          <w:rFonts w:ascii="Arial" w:hAnsi="Arial" w:cs="Arial"/>
          <w:color w:val="0E101A"/>
          <w:sz w:val="22"/>
          <w:szCs w:val="22"/>
        </w:rPr>
      </w:pPr>
      <w:r w:rsidRPr="002612D1">
        <w:rPr>
          <w:rFonts w:ascii="Arial" w:hAnsi="Arial" w:cs="Arial"/>
          <w:color w:val="0E101A"/>
          <w:sz w:val="22"/>
          <w:szCs w:val="22"/>
        </w:rPr>
        <w:t>"As a rule, courts are reluctant to decide upon exception questions concerning the interpretation of contract."</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E17F39"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The case of the first respondent, as I understand it, is that the plaintiffs' claims are based on the provisions of clause 4.3 of the amended agreements, which provides for indemnity</w:t>
      </w:r>
      <w:r w:rsidR="00997894">
        <w:rPr>
          <w:rFonts w:ascii="Arial" w:hAnsi="Arial" w:cs="Arial"/>
          <w:color w:val="0E101A"/>
        </w:rPr>
        <w:t xml:space="preserve"> on the part of the first defendant</w:t>
      </w:r>
      <w:r w:rsidRPr="00504D38">
        <w:rPr>
          <w:rFonts w:ascii="Arial" w:hAnsi="Arial" w:cs="Arial"/>
          <w:color w:val="0E101A"/>
        </w:rPr>
        <w:t xml:space="preserve">. </w:t>
      </w:r>
      <w:r w:rsidR="00997894">
        <w:rPr>
          <w:rFonts w:ascii="Arial" w:hAnsi="Arial" w:cs="Arial"/>
          <w:color w:val="0E101A"/>
        </w:rPr>
        <w:t>In determining whether the particulars of claim in this matter is excepiable t</w:t>
      </w:r>
      <w:r w:rsidRPr="00504D38">
        <w:rPr>
          <w:rFonts w:ascii="Arial" w:hAnsi="Arial" w:cs="Arial"/>
          <w:color w:val="0E101A"/>
        </w:rPr>
        <w:t>his clause has to be read with the whole of clause 4 in POC1 and POC2, which appears under the heading, 'RISK DISCLOSURE.'  </w:t>
      </w:r>
    </w:p>
    <w:p w:rsidR="006003B2" w:rsidRDefault="006003B2" w:rsidP="006003B2">
      <w:pPr>
        <w:pStyle w:val="NormalWeb"/>
        <w:spacing w:before="0" w:beforeAutospacing="0" w:after="0" w:afterAutospacing="0" w:line="480" w:lineRule="auto"/>
        <w:jc w:val="both"/>
        <w:rPr>
          <w:rFonts w:ascii="Arial" w:hAnsi="Arial" w:cs="Arial"/>
          <w:color w:val="0E101A"/>
        </w:rPr>
      </w:pPr>
    </w:p>
    <w:p w:rsidR="00504D38" w:rsidRPr="00E17F39"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E17F39">
        <w:rPr>
          <w:rFonts w:ascii="Arial" w:hAnsi="Arial" w:cs="Arial"/>
          <w:color w:val="0E101A"/>
        </w:rPr>
        <w:t>Clause 4.1 reads as follows: </w:t>
      </w:r>
    </w:p>
    <w:p w:rsidR="00504D38" w:rsidRPr="006003B2" w:rsidRDefault="00504D38" w:rsidP="00E17F39">
      <w:pPr>
        <w:pStyle w:val="NormalWeb"/>
        <w:spacing w:before="0" w:beforeAutospacing="0" w:after="0" w:afterAutospacing="0" w:line="480" w:lineRule="auto"/>
        <w:jc w:val="both"/>
        <w:rPr>
          <w:rFonts w:ascii="Arial" w:hAnsi="Arial" w:cs="Arial"/>
          <w:color w:val="0E101A"/>
          <w:sz w:val="22"/>
          <w:szCs w:val="22"/>
        </w:rPr>
      </w:pPr>
      <w:r w:rsidRPr="006003B2">
        <w:rPr>
          <w:rStyle w:val="Emphasis"/>
          <w:rFonts w:ascii="Arial" w:eastAsia="Courier New" w:hAnsi="Arial" w:cs="Arial"/>
          <w:color w:val="0E101A"/>
          <w:sz w:val="22"/>
          <w:szCs w:val="22"/>
        </w:rPr>
        <w:t>"Skycastle Securities uses its discretion to invest on the client's behalf with great care and diligence. However, the client acknowledges that there is a risk associated with investing in the financial products involved. The value of the investments and income may rise as well as fall, and there is a risk that the client may suffer financial losses."</w:t>
      </w:r>
      <w:r w:rsidRPr="006003B2">
        <w:rPr>
          <w:rFonts w:ascii="Arial" w:hAnsi="Arial" w:cs="Arial"/>
          <w:color w:val="0E101A"/>
          <w:sz w:val="22"/>
          <w:szCs w:val="22"/>
        </w:rPr>
        <w:t>  </w:t>
      </w:r>
    </w:p>
    <w:p w:rsidR="002612D1" w:rsidRPr="00504D38" w:rsidRDefault="002612D1" w:rsidP="00E17F39">
      <w:pPr>
        <w:pStyle w:val="NormalWeb"/>
        <w:spacing w:before="0" w:beforeAutospacing="0" w:after="0" w:afterAutospacing="0" w:line="480" w:lineRule="auto"/>
        <w:jc w:val="both"/>
        <w:rPr>
          <w:rFonts w:ascii="Arial" w:hAnsi="Arial" w:cs="Arial"/>
          <w:color w:val="0E101A"/>
        </w:rPr>
      </w:pPr>
    </w:p>
    <w:p w:rsid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The risks identified above in clause 4.1 are acknowledged and accepted in 4.2 wherein the plaintiffs</w:t>
      </w:r>
      <w:r w:rsidR="00E17F39">
        <w:rPr>
          <w:rFonts w:ascii="Arial" w:hAnsi="Arial" w:cs="Arial"/>
          <w:color w:val="0E101A"/>
        </w:rPr>
        <w:t>’</w:t>
      </w:r>
      <w:r w:rsidRPr="00504D38">
        <w:rPr>
          <w:rFonts w:ascii="Arial" w:hAnsi="Arial" w:cs="Arial"/>
          <w:color w:val="0E101A"/>
        </w:rPr>
        <w:t xml:space="preserve"> record</w:t>
      </w:r>
      <w:r w:rsidR="00E17F39">
        <w:rPr>
          <w:rFonts w:ascii="Arial" w:hAnsi="Arial" w:cs="Arial"/>
          <w:color w:val="0E101A"/>
        </w:rPr>
        <w:t>s</w:t>
      </w:r>
      <w:r w:rsidRPr="00504D38">
        <w:rPr>
          <w:rFonts w:ascii="Arial" w:hAnsi="Arial" w:cs="Arial"/>
          <w:color w:val="0E101A"/>
        </w:rPr>
        <w:t xml:space="preserve"> that the first defendant ". . . will not be liable or responsible for any financial losses</w:t>
      </w:r>
      <w:r w:rsidR="00E17F39">
        <w:rPr>
          <w:rFonts w:ascii="Arial" w:hAnsi="Arial" w:cs="Arial"/>
          <w:color w:val="0E101A"/>
        </w:rPr>
        <w:t>,</w:t>
      </w:r>
      <w:r w:rsidRPr="00504D38">
        <w:rPr>
          <w:rFonts w:ascii="Arial" w:hAnsi="Arial" w:cs="Arial"/>
          <w:color w:val="0E101A"/>
        </w:rPr>
        <w:t>" arising from the identified risks.</w:t>
      </w:r>
    </w:p>
    <w:p w:rsidR="002612D1" w:rsidRDefault="002612D1" w:rsidP="00E17F39">
      <w:pPr>
        <w:pStyle w:val="NormalWeb"/>
        <w:spacing w:before="0" w:beforeAutospacing="0" w:after="0" w:afterAutospacing="0" w:line="480" w:lineRule="auto"/>
        <w:jc w:val="both"/>
        <w:rPr>
          <w:rFonts w:ascii="Arial" w:hAnsi="Arial" w:cs="Arial"/>
          <w:color w:val="0E101A"/>
        </w:rPr>
      </w:pPr>
    </w:p>
    <w:p w:rsidR="00504D38" w:rsidRPr="002612D1"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2612D1">
        <w:rPr>
          <w:rFonts w:ascii="Arial" w:hAnsi="Arial" w:cs="Arial"/>
          <w:color w:val="0E101A"/>
        </w:rPr>
        <w:t>The indemnity relied upon by the first defendant is stated in the following terms in clause 4.3:</w:t>
      </w:r>
    </w:p>
    <w:p w:rsidR="00504D38" w:rsidRPr="006003B2" w:rsidRDefault="00504D38" w:rsidP="00E17F39">
      <w:pPr>
        <w:pStyle w:val="NormalWeb"/>
        <w:spacing w:before="0" w:beforeAutospacing="0" w:after="0" w:afterAutospacing="0" w:line="480" w:lineRule="auto"/>
        <w:jc w:val="both"/>
        <w:rPr>
          <w:rFonts w:ascii="Arial" w:hAnsi="Arial" w:cs="Arial"/>
          <w:color w:val="0E101A"/>
          <w:sz w:val="22"/>
          <w:szCs w:val="22"/>
        </w:rPr>
      </w:pPr>
      <w:r w:rsidRPr="006003B2">
        <w:rPr>
          <w:rStyle w:val="Emphasis"/>
          <w:rFonts w:ascii="Arial" w:eastAsia="Courier New" w:hAnsi="Arial" w:cs="Arial"/>
          <w:color w:val="0E101A"/>
          <w:sz w:val="22"/>
          <w:szCs w:val="22"/>
        </w:rPr>
        <w:t>"The client hereby irrevocably indemnifies Skycastle Securities and holds it harmless against all and any claims of whatsoever nature that might be made against it howsoever arising from its management of the investments, including but not limited to any loss or damage that may be suffered by the client in consequence of any depreciation in the value of the investments from whatsoever cause arising."</w:t>
      </w:r>
      <w:r w:rsidRPr="006003B2">
        <w:rPr>
          <w:rFonts w:ascii="Arial" w:hAnsi="Arial" w:cs="Arial"/>
          <w:color w:val="0E101A"/>
          <w:sz w:val="22"/>
          <w:szCs w:val="22"/>
        </w:rPr>
        <w:t>  </w:t>
      </w:r>
    </w:p>
    <w:p w:rsidR="002612D1" w:rsidRPr="006003B2" w:rsidRDefault="002612D1" w:rsidP="00E17F39">
      <w:pPr>
        <w:pStyle w:val="NormalWeb"/>
        <w:spacing w:before="0" w:beforeAutospacing="0" w:after="0" w:afterAutospacing="0" w:line="480" w:lineRule="auto"/>
        <w:jc w:val="both"/>
        <w:rPr>
          <w:rFonts w:ascii="Arial" w:hAnsi="Arial" w:cs="Arial"/>
          <w:color w:val="0E101A"/>
          <w:sz w:val="22"/>
          <w:szCs w:val="22"/>
        </w:rPr>
      </w:pPr>
    </w:p>
    <w:p w:rsid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A proper reading of the particulars of the claim reveals a clear distinction between the breach of the contracts and the management of the investments on behalf of the plaintiffs by the first respondent. In other words, in the context of this matter, the concept of "mismanagement of investment" cannot be attributed to a breach of the contracts between the parties.</w:t>
      </w:r>
    </w:p>
    <w:p w:rsidR="002612D1" w:rsidRDefault="002612D1" w:rsidP="00E17F39">
      <w:pPr>
        <w:pStyle w:val="NormalWeb"/>
        <w:spacing w:before="0" w:beforeAutospacing="0" w:after="0" w:afterAutospacing="0" w:line="480" w:lineRule="auto"/>
        <w:jc w:val="both"/>
        <w:rPr>
          <w:rFonts w:ascii="Arial" w:hAnsi="Arial" w:cs="Arial"/>
          <w:color w:val="0E101A"/>
        </w:rPr>
      </w:pPr>
    </w:p>
    <w:p w:rsid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2612D1">
        <w:rPr>
          <w:rFonts w:ascii="Arial" w:hAnsi="Arial" w:cs="Arial"/>
          <w:color w:val="0E101A"/>
        </w:rPr>
        <w:t>Thus, the first defendant's interpretation of clause 4.3 of the mandate agreements is unsustainable when regard is had to the distinction between the concepts of mismanagement of the investment and breach of contract. </w:t>
      </w:r>
    </w:p>
    <w:p w:rsidR="002612D1" w:rsidRPr="002612D1" w:rsidRDefault="002612D1"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The reliance on the indemnity in clause 4.3 is further unsustainable when regard is had to the regulatory provisions made in the statutory framework. In this respect the essence of the first defendant's interpretation, would mean that the plaintiff waived their rights provided for under the statutory fr</w:t>
      </w:r>
      <w:r w:rsidR="00E17F39">
        <w:rPr>
          <w:rFonts w:ascii="Arial" w:hAnsi="Arial" w:cs="Arial"/>
          <w:color w:val="0E101A"/>
        </w:rPr>
        <w:t xml:space="preserve">amework. </w:t>
      </w:r>
      <w:r w:rsidRPr="00504D38">
        <w:rPr>
          <w:rFonts w:ascii="Arial" w:hAnsi="Arial" w:cs="Arial"/>
          <w:color w:val="0E101A"/>
        </w:rPr>
        <w:t>Part 13 of the Code of Conduct ent</w:t>
      </w:r>
      <w:r w:rsidR="006003B2">
        <w:rPr>
          <w:rFonts w:ascii="Arial" w:hAnsi="Arial" w:cs="Arial"/>
          <w:color w:val="0E101A"/>
        </w:rPr>
        <w:t xml:space="preserve">itled "Waiver of Rights," </w:t>
      </w:r>
      <w:r w:rsidRPr="00504D38">
        <w:rPr>
          <w:rFonts w:ascii="Arial" w:hAnsi="Arial" w:cs="Arial"/>
          <w:color w:val="0E101A"/>
        </w:rPr>
        <w:t>provides as follows:</w:t>
      </w:r>
    </w:p>
    <w:p w:rsidR="00504D38" w:rsidRPr="00997894" w:rsidRDefault="00504D38" w:rsidP="00E17F39">
      <w:pPr>
        <w:pStyle w:val="NormalWeb"/>
        <w:spacing w:before="0" w:beforeAutospacing="0" w:after="0" w:afterAutospacing="0" w:line="480" w:lineRule="auto"/>
        <w:jc w:val="both"/>
        <w:rPr>
          <w:rFonts w:ascii="Arial" w:hAnsi="Arial" w:cs="Arial"/>
          <w:i/>
          <w:color w:val="0E101A"/>
          <w:sz w:val="22"/>
          <w:szCs w:val="22"/>
        </w:rPr>
      </w:pPr>
      <w:r w:rsidRPr="00997894">
        <w:rPr>
          <w:rFonts w:ascii="Arial" w:hAnsi="Arial" w:cs="Arial"/>
          <w:i/>
          <w:color w:val="0E101A"/>
          <w:sz w:val="22"/>
          <w:szCs w:val="22"/>
        </w:rPr>
        <w:lastRenderedPageBreak/>
        <w:t>"No provider may request or induce in any manner a client to waive any rights or benefit conferred on the client by or in terms of any provision of this code, or recognised, accepted or act on such waiver by the client, and any such waiver is null and void."</w:t>
      </w:r>
    </w:p>
    <w:p w:rsidR="002612D1" w:rsidRPr="002612D1" w:rsidRDefault="002612D1" w:rsidP="00E17F39">
      <w:pPr>
        <w:pStyle w:val="NormalWeb"/>
        <w:spacing w:before="0" w:beforeAutospacing="0" w:after="0" w:afterAutospacing="0" w:line="480" w:lineRule="auto"/>
        <w:jc w:val="both"/>
        <w:rPr>
          <w:rFonts w:ascii="Arial" w:hAnsi="Arial" w:cs="Arial"/>
          <w:color w:val="0E101A"/>
          <w:sz w:val="22"/>
          <w:szCs w:val="22"/>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 In the second exception, the remaining defendants contend that the claim against them is for loss or damages consequent to the first defendant's alleged breach of the mandate agreements. The complaint is that it is not clear from the particulars of claim how the breach by the first defendant caused the plaintiffs' contractual damages.</w:t>
      </w: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The complaint is further that it is not clear how the alle</w:t>
      </w:r>
      <w:r w:rsidR="00997894">
        <w:rPr>
          <w:rFonts w:ascii="Arial" w:hAnsi="Arial" w:cs="Arial"/>
          <w:color w:val="0E101A"/>
        </w:rPr>
        <w:t>ged contravention of section 76</w:t>
      </w:r>
      <w:r w:rsidRPr="00504D38">
        <w:rPr>
          <w:rFonts w:ascii="Arial" w:hAnsi="Arial" w:cs="Arial"/>
          <w:color w:val="0E101A"/>
        </w:rPr>
        <w:t>(3),</w:t>
      </w:r>
      <w:r>
        <w:rPr>
          <w:rStyle w:val="FootnoteReference"/>
          <w:rFonts w:ascii="Arial" w:hAnsi="Arial" w:cs="Arial"/>
          <w:color w:val="0E101A"/>
        </w:rPr>
        <w:footnoteReference w:id="4"/>
      </w:r>
      <w:r>
        <w:rPr>
          <w:rFonts w:ascii="Arial" w:eastAsia="Courier New" w:hAnsi="Arial" w:cs="Arial"/>
          <w:color w:val="0E101A"/>
        </w:rPr>
        <w:t xml:space="preserve"> </w:t>
      </w:r>
      <w:r w:rsidRPr="00504D38">
        <w:rPr>
          <w:rFonts w:ascii="Arial" w:hAnsi="Arial" w:cs="Arial"/>
          <w:color w:val="0E101A"/>
        </w:rPr>
        <w:t>of the Companies Act caused contractual loss or damages to the plaintiffs. It is apparent that this complaint arises from the reading of paragraph 16 of the plaintiff's particulars of claim, which reads as follows:</w:t>
      </w:r>
    </w:p>
    <w:p w:rsidR="00504D38" w:rsidRPr="00997894" w:rsidRDefault="00504D38" w:rsidP="00E17F39">
      <w:pPr>
        <w:pStyle w:val="NormalWeb"/>
        <w:spacing w:before="0" w:beforeAutospacing="0" w:after="0" w:afterAutospacing="0" w:line="480" w:lineRule="auto"/>
        <w:jc w:val="both"/>
        <w:rPr>
          <w:rFonts w:ascii="Arial" w:hAnsi="Arial" w:cs="Arial"/>
          <w:i/>
          <w:color w:val="0E101A"/>
          <w:sz w:val="22"/>
          <w:szCs w:val="22"/>
        </w:rPr>
      </w:pPr>
      <w:r w:rsidRPr="00997894">
        <w:rPr>
          <w:rFonts w:ascii="Arial" w:hAnsi="Arial" w:cs="Arial"/>
          <w:i/>
          <w:color w:val="0E101A"/>
          <w:sz w:val="22"/>
          <w:szCs w:val="22"/>
        </w:rPr>
        <w:t>"The negligent breach of the duty of care on the part of the second to the fifth defendants caused the plaintiffs to suffer the damages as pleaded in paragraph 16 above",  </w:t>
      </w:r>
    </w:p>
    <w:p w:rsidR="002612D1" w:rsidRPr="002612D1" w:rsidRDefault="002612D1" w:rsidP="00E17F39">
      <w:pPr>
        <w:pStyle w:val="NormalWeb"/>
        <w:spacing w:before="0" w:beforeAutospacing="0" w:after="0" w:afterAutospacing="0" w:line="480" w:lineRule="auto"/>
        <w:jc w:val="both"/>
        <w:rPr>
          <w:rFonts w:ascii="Arial" w:hAnsi="Arial" w:cs="Arial"/>
          <w:color w:val="0E101A"/>
          <w:sz w:val="22"/>
          <w:szCs w:val="22"/>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The complaint further arises from the reading of paragraph 25 of the particulars of claim, which read as follows:</w:t>
      </w:r>
    </w:p>
    <w:p w:rsidR="00504D38" w:rsidRPr="00997894" w:rsidRDefault="00504D38" w:rsidP="00E17F39">
      <w:pPr>
        <w:pStyle w:val="NormalWeb"/>
        <w:spacing w:before="0" w:beforeAutospacing="0" w:after="0" w:afterAutospacing="0" w:line="480" w:lineRule="auto"/>
        <w:jc w:val="both"/>
        <w:rPr>
          <w:rFonts w:ascii="Arial" w:hAnsi="Arial" w:cs="Arial"/>
          <w:i/>
          <w:color w:val="0E101A"/>
          <w:sz w:val="22"/>
          <w:szCs w:val="22"/>
        </w:rPr>
      </w:pPr>
      <w:r w:rsidRPr="00997894">
        <w:rPr>
          <w:rFonts w:ascii="Arial" w:hAnsi="Arial" w:cs="Arial"/>
          <w:i/>
          <w:color w:val="0E101A"/>
          <w:sz w:val="22"/>
          <w:szCs w:val="22"/>
        </w:rPr>
        <w:lastRenderedPageBreak/>
        <w:t>"By virtue of the Third to Fifth Defendants breach of the duty of care . . . the Third to the Fifth Defendants are liable for the loss or damages suffered by the Plaintiffs as pleaded above."</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rPr>
      </w:pPr>
      <w:r w:rsidRPr="00504D38">
        <w:rPr>
          <w:rFonts w:ascii="Arial" w:hAnsi="Arial" w:cs="Arial"/>
          <w:color w:val="0E101A"/>
        </w:rPr>
        <w:t xml:space="preserve">The remaining defendants interpret the plaintiffs' plea to be saying that they suffered loss or damages consequent to the alleged breach of the amended agreement by the first defendant. In this regard, they contended that the plaintiffs have failed to allege and prove the causal connection between the negligent act and the damages suffered. In support of this contention, the remaining defendants referred to several authorities dealing with the principle that a plaintiff relying on a delictual claim must allege and prove a causal connection between the negligent act and the damages </w:t>
      </w:r>
      <w:r w:rsidRPr="00504D38">
        <w:rPr>
          <w:rFonts w:ascii="Arial" w:hAnsi="Arial" w:cs="Arial"/>
        </w:rPr>
        <w:t>suffered.</w:t>
      </w:r>
      <w:r>
        <w:rPr>
          <w:rStyle w:val="FootnoteReference"/>
          <w:rFonts w:ascii="Arial" w:hAnsi="Arial" w:cs="Arial"/>
        </w:rPr>
        <w:footnoteReference w:id="5"/>
      </w:r>
    </w:p>
    <w:p w:rsidR="00E17F39" w:rsidRPr="00504D38" w:rsidRDefault="00E17F39" w:rsidP="00E17F39">
      <w:pPr>
        <w:pStyle w:val="NormalWeb"/>
        <w:spacing w:before="0" w:beforeAutospacing="0" w:after="0" w:afterAutospacing="0" w:line="480" w:lineRule="auto"/>
        <w:jc w:val="both"/>
        <w:rPr>
          <w:rFonts w:ascii="Arial" w:hAnsi="Arial" w:cs="Arial"/>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In my view, reading the plaintiffs' particulars of claim in their context, it is clear that the loss or damages claimed were allegedly caused by the conduct of the remaining defendants, allegedly in breach of their duty of care. The particulars of claim do not, as the remaining defendants seek to suggest, rely on a contractual breach by the first defendant. The causality between the alleged negligent conduct of the remaining defendants and damages allegedly suffered by the plaintiffs is pleaded quite clearly in paragraph 16 of the particulars of claim also quoted above. This is made even more evident from what is pleaded in paragraph 25 of the particulars of claim, also quoted above.  </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504D38" w:rsidRP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 xml:space="preserve">In brief, the alleged loss or damages suffered by the plaintiff consequent to the conduct of the remaining defendants resulted in the quantum of damages as pleaded in the </w:t>
      </w:r>
      <w:r w:rsidRPr="00504D38">
        <w:rPr>
          <w:rFonts w:ascii="Arial" w:hAnsi="Arial" w:cs="Arial"/>
          <w:color w:val="0E101A"/>
        </w:rPr>
        <w:lastRenderedPageBreak/>
        <w:t>particulars of claim. In the circumstances, the remaining defendants should have no difficulty in pleading with the averments made by the plaintiffs in their particulars of claim.</w:t>
      </w:r>
    </w:p>
    <w:p w:rsidR="00504D38" w:rsidRPr="00504D38" w:rsidRDefault="00504D38" w:rsidP="00E17F39">
      <w:pPr>
        <w:pStyle w:val="NormalWeb"/>
        <w:spacing w:before="0" w:beforeAutospacing="0" w:after="0" w:afterAutospacing="0" w:line="480" w:lineRule="auto"/>
        <w:jc w:val="both"/>
        <w:rPr>
          <w:rFonts w:ascii="Arial" w:hAnsi="Arial" w:cs="Arial"/>
          <w:color w:val="0E101A"/>
        </w:rPr>
      </w:pPr>
    </w:p>
    <w:p w:rsidR="006003B2"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 xml:space="preserve">In the circumstances, I find that the two exceptions raised by both the first defendant and the </w:t>
      </w:r>
      <w:r w:rsidR="00E17F39">
        <w:rPr>
          <w:rFonts w:ascii="Arial" w:hAnsi="Arial" w:cs="Arial"/>
          <w:color w:val="0E101A"/>
        </w:rPr>
        <w:t>remaining</w:t>
      </w:r>
      <w:r w:rsidRPr="00504D38">
        <w:rPr>
          <w:rFonts w:ascii="Arial" w:hAnsi="Arial" w:cs="Arial"/>
          <w:color w:val="0E101A"/>
        </w:rPr>
        <w:t xml:space="preserve"> defendants stand to fail.</w:t>
      </w:r>
    </w:p>
    <w:p w:rsidR="00504D38" w:rsidRPr="006003B2" w:rsidRDefault="00504D38" w:rsidP="006003B2">
      <w:pPr>
        <w:pStyle w:val="NormalWeb"/>
        <w:spacing w:before="0" w:beforeAutospacing="0" w:after="0" w:afterAutospacing="0" w:line="480" w:lineRule="auto"/>
        <w:jc w:val="both"/>
        <w:rPr>
          <w:rFonts w:ascii="Arial" w:hAnsi="Arial" w:cs="Arial"/>
          <w:b/>
          <w:color w:val="0E101A"/>
        </w:rPr>
      </w:pPr>
      <w:r w:rsidRPr="006003B2">
        <w:rPr>
          <w:rFonts w:ascii="Arial" w:hAnsi="Arial" w:cs="Arial"/>
          <w:b/>
          <w:color w:val="0E101A"/>
        </w:rPr>
        <w:t>Order</w:t>
      </w:r>
    </w:p>
    <w:p w:rsidR="00504D38" w:rsidRDefault="00504D38" w:rsidP="00E17F39">
      <w:pPr>
        <w:pStyle w:val="NormalWeb"/>
        <w:numPr>
          <w:ilvl w:val="0"/>
          <w:numId w:val="34"/>
        </w:numPr>
        <w:spacing w:before="0" w:beforeAutospacing="0" w:after="0" w:afterAutospacing="0" w:line="480" w:lineRule="auto"/>
        <w:ind w:left="0" w:firstLine="0"/>
        <w:jc w:val="both"/>
        <w:rPr>
          <w:rFonts w:ascii="Arial" w:hAnsi="Arial" w:cs="Arial"/>
          <w:color w:val="0E101A"/>
        </w:rPr>
      </w:pPr>
      <w:r w:rsidRPr="00504D38">
        <w:rPr>
          <w:rFonts w:ascii="Arial" w:hAnsi="Arial" w:cs="Arial"/>
          <w:color w:val="0E101A"/>
        </w:rPr>
        <w:t>In the circumstances, the exception</w:t>
      </w:r>
      <w:r w:rsidR="00AC65B5">
        <w:rPr>
          <w:rFonts w:ascii="Arial" w:hAnsi="Arial" w:cs="Arial"/>
          <w:color w:val="0E101A"/>
        </w:rPr>
        <w:t>s</w:t>
      </w:r>
      <w:r w:rsidRPr="00504D38">
        <w:rPr>
          <w:rFonts w:ascii="Arial" w:hAnsi="Arial" w:cs="Arial"/>
          <w:color w:val="0E101A"/>
        </w:rPr>
        <w:t xml:space="preserve"> filed by the first defendant and the </w:t>
      </w:r>
      <w:r w:rsidR="00AC65B5">
        <w:rPr>
          <w:rFonts w:ascii="Arial" w:hAnsi="Arial" w:cs="Arial"/>
          <w:color w:val="0E101A"/>
        </w:rPr>
        <w:t>second to the fifth defendant are</w:t>
      </w:r>
      <w:r w:rsidRPr="00504D38">
        <w:rPr>
          <w:rFonts w:ascii="Arial" w:hAnsi="Arial" w:cs="Arial"/>
          <w:color w:val="0E101A"/>
        </w:rPr>
        <w:t xml:space="preserve"> dismissed with costs.</w:t>
      </w:r>
    </w:p>
    <w:p w:rsidR="00E17004" w:rsidRDefault="00E17004" w:rsidP="00E17004">
      <w:pPr>
        <w:pStyle w:val="NormalWeb"/>
        <w:spacing w:before="0" w:beforeAutospacing="0" w:after="0" w:afterAutospacing="0" w:line="480" w:lineRule="auto"/>
        <w:ind w:left="1581"/>
        <w:jc w:val="both"/>
        <w:rPr>
          <w:rFonts w:ascii="Arial" w:hAnsi="Arial" w:cs="Arial"/>
          <w:color w:val="0E101A"/>
        </w:rPr>
      </w:pPr>
    </w:p>
    <w:p w:rsidR="00E17004" w:rsidRDefault="00E17004" w:rsidP="00E17004">
      <w:pPr>
        <w:pStyle w:val="NormalWeb"/>
        <w:spacing w:before="0" w:beforeAutospacing="0" w:after="0" w:afterAutospacing="0" w:line="480" w:lineRule="auto"/>
        <w:ind w:left="5040" w:firstLine="720"/>
        <w:jc w:val="both"/>
        <w:rPr>
          <w:rFonts w:ascii="Arial" w:hAnsi="Arial" w:cs="Arial"/>
          <w:color w:val="0E101A"/>
        </w:rPr>
      </w:pPr>
      <w:r>
        <w:rPr>
          <w:rFonts w:ascii="Arial" w:hAnsi="Arial" w:cs="Arial"/>
          <w:color w:val="0E101A"/>
        </w:rPr>
        <w:t xml:space="preserve">_________________ </w:t>
      </w:r>
    </w:p>
    <w:p w:rsidR="00E17004" w:rsidRDefault="00E17004" w:rsidP="00E17004">
      <w:pPr>
        <w:pStyle w:val="NormalWeb"/>
        <w:spacing w:before="0" w:beforeAutospacing="0" w:after="0" w:afterAutospacing="0" w:line="480" w:lineRule="auto"/>
        <w:ind w:left="5040" w:firstLine="720"/>
        <w:jc w:val="both"/>
        <w:rPr>
          <w:rFonts w:ascii="Arial" w:hAnsi="Arial" w:cs="Arial"/>
          <w:color w:val="0E101A"/>
        </w:rPr>
      </w:pPr>
      <w:r>
        <w:rPr>
          <w:rFonts w:ascii="Arial" w:hAnsi="Arial" w:cs="Arial"/>
          <w:color w:val="0E101A"/>
        </w:rPr>
        <w:t>E MOLAHLEHI J</w:t>
      </w:r>
    </w:p>
    <w:p w:rsidR="00E17004" w:rsidRDefault="00E17004" w:rsidP="00E17004">
      <w:pPr>
        <w:pStyle w:val="NormalWeb"/>
        <w:spacing w:before="0" w:beforeAutospacing="0" w:after="0" w:afterAutospacing="0" w:line="480" w:lineRule="auto"/>
        <w:ind w:left="4320" w:firstLine="720"/>
        <w:jc w:val="both"/>
        <w:rPr>
          <w:rFonts w:ascii="Arial" w:hAnsi="Arial" w:cs="Arial"/>
          <w:color w:val="0E101A"/>
        </w:rPr>
      </w:pPr>
      <w:r>
        <w:rPr>
          <w:rFonts w:ascii="Arial" w:hAnsi="Arial" w:cs="Arial"/>
          <w:color w:val="0E101A"/>
        </w:rPr>
        <w:t xml:space="preserve">Judge of the High Court of South Africa, </w:t>
      </w:r>
    </w:p>
    <w:p w:rsidR="00E17004" w:rsidRDefault="00E17004" w:rsidP="00E17004">
      <w:pPr>
        <w:pStyle w:val="NormalWeb"/>
        <w:spacing w:before="0" w:beforeAutospacing="0" w:after="0" w:afterAutospacing="0" w:line="480" w:lineRule="auto"/>
        <w:ind w:left="4320" w:firstLine="720"/>
        <w:jc w:val="both"/>
        <w:rPr>
          <w:rFonts w:ascii="Arial" w:hAnsi="Arial" w:cs="Arial"/>
          <w:color w:val="0E101A"/>
        </w:rPr>
      </w:pPr>
      <w:r>
        <w:rPr>
          <w:rFonts w:ascii="Arial" w:hAnsi="Arial" w:cs="Arial"/>
          <w:color w:val="0E101A"/>
        </w:rPr>
        <w:t>Gauteng Local Division, Johannesburg</w:t>
      </w:r>
    </w:p>
    <w:p w:rsidR="00E17004" w:rsidRDefault="00E17004" w:rsidP="00E17004">
      <w:pPr>
        <w:pStyle w:val="NormalWeb"/>
        <w:spacing w:before="0" w:beforeAutospacing="0" w:after="0" w:afterAutospacing="0" w:line="480" w:lineRule="auto"/>
        <w:jc w:val="both"/>
        <w:rPr>
          <w:rFonts w:ascii="Arial" w:hAnsi="Arial" w:cs="Arial"/>
          <w:color w:val="0E101A"/>
        </w:rPr>
      </w:pPr>
      <w:r>
        <w:rPr>
          <w:rFonts w:ascii="Arial" w:hAnsi="Arial" w:cs="Arial"/>
          <w:color w:val="0E101A"/>
        </w:rPr>
        <w:t>Representations</w:t>
      </w:r>
    </w:p>
    <w:p w:rsidR="0048684A" w:rsidRDefault="00E068F3" w:rsidP="00E17004">
      <w:pPr>
        <w:pStyle w:val="NormalWeb"/>
        <w:spacing w:before="0" w:beforeAutospacing="0" w:after="0" w:afterAutospacing="0" w:line="480" w:lineRule="auto"/>
        <w:jc w:val="both"/>
        <w:rPr>
          <w:rFonts w:ascii="Arial" w:hAnsi="Arial" w:cs="Arial"/>
          <w:color w:val="0E101A"/>
        </w:rPr>
      </w:pPr>
      <w:r w:rsidRPr="00E068F3">
        <w:rPr>
          <w:rFonts w:ascii="Arial" w:hAnsi="Arial" w:cs="Arial"/>
          <w:color w:val="0E101A"/>
        </w:rPr>
        <w:t>For the First, Third and Fifth Defendants (excipients):</w:t>
      </w:r>
      <w:r>
        <w:rPr>
          <w:rFonts w:ascii="Arial" w:hAnsi="Arial" w:cs="Arial"/>
          <w:color w:val="0E101A"/>
        </w:rPr>
        <w:t xml:space="preserve"> Adv L Hollander</w:t>
      </w:r>
    </w:p>
    <w:p w:rsidR="00E068F3" w:rsidRDefault="00E068F3" w:rsidP="00E17004">
      <w:pPr>
        <w:pStyle w:val="NormalWeb"/>
        <w:spacing w:before="0" w:beforeAutospacing="0" w:after="0" w:afterAutospacing="0" w:line="480" w:lineRule="auto"/>
        <w:jc w:val="both"/>
        <w:rPr>
          <w:rFonts w:ascii="Arial" w:hAnsi="Arial" w:cs="Arial"/>
          <w:color w:val="0E101A"/>
        </w:rPr>
      </w:pPr>
      <w:r w:rsidRPr="00E068F3">
        <w:rPr>
          <w:rFonts w:ascii="Arial" w:hAnsi="Arial" w:cs="Arial"/>
          <w:color w:val="0E101A"/>
        </w:rPr>
        <w:t>Instructed by: EFG Incorporated</w:t>
      </w:r>
    </w:p>
    <w:p w:rsidR="00E068F3" w:rsidRDefault="00E068F3" w:rsidP="00E17004">
      <w:pPr>
        <w:pStyle w:val="NormalWeb"/>
        <w:spacing w:before="0" w:beforeAutospacing="0" w:after="0" w:afterAutospacing="0" w:line="480" w:lineRule="auto"/>
        <w:jc w:val="both"/>
        <w:rPr>
          <w:rFonts w:ascii="Arial" w:hAnsi="Arial" w:cs="Arial"/>
          <w:color w:val="0E101A"/>
        </w:rPr>
      </w:pPr>
      <w:r w:rsidRPr="00E068F3">
        <w:rPr>
          <w:rFonts w:ascii="Arial" w:hAnsi="Arial" w:cs="Arial"/>
          <w:color w:val="0E101A"/>
        </w:rPr>
        <w:t>For the Plaintiffs: Adv A G Sawma SC</w:t>
      </w:r>
      <w:r>
        <w:rPr>
          <w:rFonts w:ascii="Arial" w:hAnsi="Arial" w:cs="Arial"/>
          <w:color w:val="0E101A"/>
        </w:rPr>
        <w:t xml:space="preserve"> </w:t>
      </w:r>
    </w:p>
    <w:p w:rsidR="00E068F3" w:rsidRDefault="00E068F3" w:rsidP="00E17004">
      <w:pPr>
        <w:pStyle w:val="NormalWeb"/>
        <w:spacing w:before="0" w:beforeAutospacing="0" w:after="0" w:afterAutospacing="0" w:line="480" w:lineRule="auto"/>
        <w:jc w:val="both"/>
        <w:rPr>
          <w:rFonts w:ascii="Arial" w:hAnsi="Arial" w:cs="Arial"/>
          <w:color w:val="0E101A"/>
        </w:rPr>
      </w:pPr>
      <w:r>
        <w:rPr>
          <w:rFonts w:ascii="Arial" w:hAnsi="Arial" w:cs="Arial"/>
          <w:color w:val="0E101A"/>
        </w:rPr>
        <w:t xml:space="preserve">And </w:t>
      </w:r>
      <w:r w:rsidRPr="00E068F3">
        <w:rPr>
          <w:rFonts w:ascii="Arial" w:hAnsi="Arial" w:cs="Arial"/>
          <w:color w:val="0E101A"/>
        </w:rPr>
        <w:t>Adv H P van Nieuwenhuizen</w:t>
      </w:r>
    </w:p>
    <w:p w:rsidR="00E068F3" w:rsidRDefault="00E068F3" w:rsidP="00E17004">
      <w:pPr>
        <w:pStyle w:val="NormalWeb"/>
        <w:spacing w:before="0" w:beforeAutospacing="0" w:after="0" w:afterAutospacing="0" w:line="480" w:lineRule="auto"/>
        <w:jc w:val="both"/>
        <w:rPr>
          <w:rFonts w:ascii="Arial" w:hAnsi="Arial" w:cs="Arial"/>
          <w:color w:val="0E101A"/>
        </w:rPr>
      </w:pPr>
      <w:r w:rsidRPr="00E068F3">
        <w:rPr>
          <w:rFonts w:ascii="Arial" w:hAnsi="Arial" w:cs="Arial"/>
          <w:color w:val="0E101A"/>
        </w:rPr>
        <w:t>I</w:t>
      </w:r>
      <w:r>
        <w:rPr>
          <w:rFonts w:ascii="Arial" w:hAnsi="Arial" w:cs="Arial"/>
          <w:color w:val="0E101A"/>
        </w:rPr>
        <w:t>nstructed by: Allan Allschwang &amp;</w:t>
      </w:r>
      <w:r w:rsidRPr="00E068F3">
        <w:rPr>
          <w:rFonts w:ascii="Arial" w:hAnsi="Arial" w:cs="Arial"/>
          <w:color w:val="0E101A"/>
        </w:rPr>
        <w:t xml:space="preserve"> Associates</w:t>
      </w:r>
    </w:p>
    <w:p w:rsidR="00E068F3" w:rsidRDefault="00E068F3" w:rsidP="00E17004">
      <w:pPr>
        <w:pStyle w:val="NormalWeb"/>
        <w:spacing w:before="0" w:beforeAutospacing="0" w:after="0" w:afterAutospacing="0" w:line="480" w:lineRule="auto"/>
        <w:jc w:val="both"/>
        <w:rPr>
          <w:rFonts w:ascii="Arial" w:hAnsi="Arial" w:cs="Arial"/>
          <w:color w:val="0E101A"/>
        </w:rPr>
      </w:pPr>
      <w:r>
        <w:rPr>
          <w:rFonts w:ascii="Arial" w:hAnsi="Arial" w:cs="Arial"/>
          <w:color w:val="0E101A"/>
        </w:rPr>
        <w:t>Hearing date: 02 March 2022</w:t>
      </w:r>
    </w:p>
    <w:p w:rsidR="00E068F3" w:rsidRDefault="00E068F3" w:rsidP="00E17004">
      <w:pPr>
        <w:pStyle w:val="NormalWeb"/>
        <w:spacing w:before="0" w:beforeAutospacing="0" w:after="0" w:afterAutospacing="0" w:line="480" w:lineRule="auto"/>
        <w:jc w:val="both"/>
        <w:rPr>
          <w:rFonts w:ascii="Arial" w:hAnsi="Arial" w:cs="Arial"/>
          <w:color w:val="0E101A"/>
        </w:rPr>
      </w:pPr>
      <w:r>
        <w:rPr>
          <w:rFonts w:ascii="Arial" w:hAnsi="Arial" w:cs="Arial"/>
          <w:color w:val="0E101A"/>
        </w:rPr>
        <w:t xml:space="preserve">Delivery date: </w:t>
      </w:r>
      <w:r w:rsidR="00997894">
        <w:rPr>
          <w:rFonts w:ascii="Arial" w:hAnsi="Arial" w:cs="Arial"/>
          <w:color w:val="0E101A"/>
        </w:rPr>
        <w:t>8</w:t>
      </w:r>
      <w:r w:rsidR="00B03CAE">
        <w:rPr>
          <w:rFonts w:ascii="Arial" w:hAnsi="Arial" w:cs="Arial"/>
          <w:color w:val="0E101A"/>
        </w:rPr>
        <w:t xml:space="preserve"> June 2022.</w:t>
      </w:r>
    </w:p>
    <w:p w:rsidR="00E17004" w:rsidRPr="00504D38" w:rsidRDefault="00E17004" w:rsidP="00E17004">
      <w:pPr>
        <w:pStyle w:val="NormalWeb"/>
        <w:spacing w:before="0" w:beforeAutospacing="0" w:after="0" w:afterAutospacing="0" w:line="480" w:lineRule="auto"/>
        <w:jc w:val="both"/>
        <w:rPr>
          <w:rFonts w:ascii="Arial" w:hAnsi="Arial" w:cs="Arial"/>
          <w:color w:val="0E101A"/>
        </w:rPr>
      </w:pPr>
    </w:p>
    <w:p w:rsidR="00504D38" w:rsidRPr="00504D38" w:rsidRDefault="00504D38" w:rsidP="00D904E2">
      <w:pPr>
        <w:pStyle w:val="NormalWeb"/>
        <w:spacing w:before="0" w:beforeAutospacing="0" w:after="0" w:afterAutospacing="0" w:line="480" w:lineRule="auto"/>
        <w:jc w:val="both"/>
        <w:rPr>
          <w:rFonts w:ascii="Arial" w:hAnsi="Arial" w:cs="Arial"/>
          <w:color w:val="0E101A"/>
        </w:rPr>
      </w:pPr>
    </w:p>
    <w:p w:rsidR="00504D38" w:rsidRPr="00504D38" w:rsidRDefault="00504D38" w:rsidP="00D904E2">
      <w:pPr>
        <w:pStyle w:val="NormalWeb"/>
        <w:spacing w:before="0" w:beforeAutospacing="0" w:after="0" w:afterAutospacing="0" w:line="480" w:lineRule="auto"/>
        <w:jc w:val="both"/>
        <w:rPr>
          <w:rFonts w:ascii="Arial" w:hAnsi="Arial" w:cs="Arial"/>
          <w:color w:val="0E101A"/>
        </w:rPr>
      </w:pPr>
    </w:p>
    <w:p w:rsidR="00504D38" w:rsidRPr="00504D38" w:rsidRDefault="00504D38" w:rsidP="00D904E2">
      <w:pPr>
        <w:pStyle w:val="NormalWeb"/>
        <w:spacing w:before="0" w:beforeAutospacing="0" w:after="0" w:afterAutospacing="0" w:line="480" w:lineRule="auto"/>
        <w:jc w:val="both"/>
        <w:rPr>
          <w:rFonts w:ascii="Arial" w:hAnsi="Arial" w:cs="Arial"/>
          <w:color w:val="0E101A"/>
        </w:rPr>
      </w:pPr>
    </w:p>
    <w:p w:rsidR="00504D38" w:rsidRPr="00504D38" w:rsidRDefault="00504D38" w:rsidP="00D904E2">
      <w:pPr>
        <w:pStyle w:val="NormalWeb"/>
        <w:spacing w:before="0" w:beforeAutospacing="0" w:after="0" w:afterAutospacing="0" w:line="480" w:lineRule="auto"/>
        <w:jc w:val="both"/>
        <w:rPr>
          <w:rFonts w:ascii="Arial" w:hAnsi="Arial" w:cs="Arial"/>
          <w:color w:val="0E101A"/>
        </w:rPr>
      </w:pPr>
    </w:p>
    <w:p w:rsidR="00504D38" w:rsidRPr="00504D38" w:rsidRDefault="00504D38" w:rsidP="00D904E2">
      <w:pPr>
        <w:pStyle w:val="NormalWeb"/>
        <w:spacing w:before="0" w:beforeAutospacing="0" w:after="0" w:afterAutospacing="0" w:line="480" w:lineRule="auto"/>
        <w:jc w:val="both"/>
        <w:rPr>
          <w:rFonts w:ascii="Arial" w:hAnsi="Arial" w:cs="Arial"/>
          <w:color w:val="0E101A"/>
        </w:rPr>
      </w:pPr>
    </w:p>
    <w:p w:rsidR="00504D38" w:rsidRPr="00504D38" w:rsidRDefault="00504D38" w:rsidP="00D904E2">
      <w:pPr>
        <w:pStyle w:val="NormalWeb"/>
        <w:spacing w:before="0" w:beforeAutospacing="0" w:after="0" w:afterAutospacing="0" w:line="480" w:lineRule="auto"/>
        <w:jc w:val="both"/>
        <w:rPr>
          <w:rFonts w:ascii="Arial" w:hAnsi="Arial" w:cs="Arial"/>
          <w:color w:val="0E101A"/>
        </w:rPr>
      </w:pPr>
    </w:p>
    <w:p w:rsidR="00504D38" w:rsidRPr="00504D38" w:rsidRDefault="00504D38" w:rsidP="00D904E2">
      <w:pPr>
        <w:pStyle w:val="NormalWeb"/>
        <w:spacing w:before="0" w:beforeAutospacing="0" w:after="0" w:afterAutospacing="0" w:line="480" w:lineRule="auto"/>
        <w:jc w:val="both"/>
        <w:rPr>
          <w:rFonts w:ascii="Arial" w:hAnsi="Arial" w:cs="Arial"/>
          <w:color w:val="0E101A"/>
        </w:rPr>
      </w:pPr>
    </w:p>
    <w:p w:rsidR="00504D38" w:rsidRPr="0048684A" w:rsidRDefault="00504D38" w:rsidP="00D904E2">
      <w:pPr>
        <w:pStyle w:val="NormalWeb"/>
        <w:spacing w:before="0" w:beforeAutospacing="0" w:after="0" w:afterAutospacing="0" w:line="480" w:lineRule="auto"/>
        <w:jc w:val="both"/>
        <w:rPr>
          <w:rFonts w:ascii="Arial" w:hAnsi="Arial" w:cs="Arial"/>
          <w:color w:val="0E101A"/>
          <w:sz w:val="20"/>
          <w:szCs w:val="20"/>
        </w:rPr>
      </w:pPr>
      <w:r w:rsidRPr="00504D38">
        <w:rPr>
          <w:rFonts w:ascii="Arial" w:hAnsi="Arial" w:cs="Arial"/>
          <w:color w:val="0E101A"/>
        </w:rPr>
        <w:t>  </w:t>
      </w:r>
    </w:p>
    <w:p w:rsidR="00504D38" w:rsidRPr="00504D38" w:rsidRDefault="00504D38" w:rsidP="00D904E2">
      <w:pPr>
        <w:spacing w:line="480" w:lineRule="auto"/>
        <w:rPr>
          <w:sz w:val="24"/>
          <w:szCs w:val="24"/>
        </w:rPr>
      </w:pPr>
    </w:p>
    <w:p w:rsidR="008C6D5E" w:rsidRPr="00504D38" w:rsidRDefault="001A40C3" w:rsidP="00D904E2">
      <w:pPr>
        <w:spacing w:after="5" w:line="480" w:lineRule="auto"/>
        <w:ind w:left="835"/>
        <w:rPr>
          <w:sz w:val="24"/>
          <w:szCs w:val="24"/>
        </w:rPr>
      </w:pPr>
      <w:r w:rsidRPr="00504D38">
        <w:rPr>
          <w:b/>
          <w:sz w:val="24"/>
          <w:szCs w:val="24"/>
          <w:u w:val="single" w:color="000000"/>
        </w:rPr>
        <w:t xml:space="preserve"> </w:t>
      </w:r>
    </w:p>
    <w:sectPr w:rsidR="008C6D5E" w:rsidRPr="00504D38">
      <w:headerReference w:type="even" r:id="rId9"/>
      <w:headerReference w:type="first" r:id="rId10"/>
      <w:footerReference w:type="first" r:id="rId11"/>
      <w:pgSz w:w="11900" w:h="16840"/>
      <w:pgMar w:top="1290" w:right="1573" w:bottom="1440" w:left="720" w:header="77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7C" w:rsidRDefault="00BE507C">
      <w:pPr>
        <w:spacing w:after="0" w:line="240" w:lineRule="auto"/>
      </w:pPr>
      <w:r>
        <w:separator/>
      </w:r>
    </w:p>
  </w:endnote>
  <w:endnote w:type="continuationSeparator" w:id="0">
    <w:p w:rsidR="00BE507C" w:rsidRDefault="00BE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C6" w:rsidRDefault="001F6EC6">
    <w:pPr>
      <w:spacing w:after="0" w:line="259" w:lineRule="auto"/>
      <w:ind w:left="0" w:right="-573" w:firstLine="0"/>
      <w:jc w:val="right"/>
    </w:pPr>
    <w:r>
      <w:rPr>
        <w:color w:val="FF0000"/>
        <w:sz w:val="32"/>
      </w:rPr>
      <w:t>004-</w:t>
    </w:r>
    <w:r>
      <w:fldChar w:fldCharType="begin"/>
    </w:r>
    <w:r>
      <w:instrText xml:space="preserve"> PAGE   \* MERGEFORMAT </w:instrText>
    </w:r>
    <w:r>
      <w:fldChar w:fldCharType="separate"/>
    </w:r>
    <w:r>
      <w:rPr>
        <w:color w:val="FF0000"/>
        <w:sz w:val="32"/>
      </w:rPr>
      <w:t>21</w:t>
    </w:r>
    <w:r>
      <w:rPr>
        <w:color w:val="FF0000"/>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7C" w:rsidRDefault="00BE507C">
      <w:pPr>
        <w:spacing w:after="105" w:line="259" w:lineRule="auto"/>
        <w:ind w:left="861" w:firstLine="0"/>
        <w:jc w:val="left"/>
      </w:pPr>
      <w:r>
        <w:separator/>
      </w:r>
    </w:p>
  </w:footnote>
  <w:footnote w:type="continuationSeparator" w:id="0">
    <w:p w:rsidR="00BE507C" w:rsidRDefault="00BE507C">
      <w:pPr>
        <w:spacing w:after="105" w:line="259" w:lineRule="auto"/>
        <w:ind w:left="861" w:firstLine="0"/>
        <w:jc w:val="left"/>
      </w:pPr>
      <w:r>
        <w:continuationSeparator/>
      </w:r>
    </w:p>
  </w:footnote>
  <w:footnote w:id="1">
    <w:p w:rsidR="00A61C14" w:rsidRPr="00A61C14" w:rsidRDefault="00A61C14" w:rsidP="00A61C14">
      <w:pPr>
        <w:pStyle w:val="FootnoteText"/>
        <w:rPr>
          <w:lang w:val="en-GB"/>
        </w:rPr>
      </w:pPr>
      <w:r>
        <w:rPr>
          <w:rStyle w:val="FootnoteReference"/>
        </w:rPr>
        <w:footnoteRef/>
      </w:r>
      <w:r>
        <w:t xml:space="preserve">Act number </w:t>
      </w:r>
      <w:r w:rsidRPr="00A61C14">
        <w:rPr>
          <w:color w:val="0E101A"/>
        </w:rPr>
        <w:t>71 of 2008.</w:t>
      </w:r>
    </w:p>
  </w:footnote>
  <w:footnote w:id="2">
    <w:p w:rsidR="008D3E25" w:rsidRDefault="008D3E25" w:rsidP="008D3E25">
      <w:pPr>
        <w:pStyle w:val="FootnoteText"/>
      </w:pPr>
      <w:r>
        <w:rPr>
          <w:rStyle w:val="FootnoteReference"/>
        </w:rPr>
        <w:footnoteRef/>
      </w:r>
      <w:r>
        <w:t xml:space="preserve"> (</w:t>
      </w:r>
      <w:r w:rsidRPr="008D3E25">
        <w:rPr>
          <w:color w:val="0E101A"/>
        </w:rPr>
        <w:t>167/2021) [2022] ZASCA 70</w:t>
      </w:r>
      <w:r w:rsidR="006003B2">
        <w:rPr>
          <w:color w:val="0E101A"/>
        </w:rPr>
        <w:t xml:space="preserve">. </w:t>
      </w:r>
    </w:p>
  </w:footnote>
  <w:footnote w:id="3">
    <w:p w:rsidR="008D3E25" w:rsidRDefault="008D3E25" w:rsidP="008D3E25">
      <w:pPr>
        <w:pStyle w:val="FootnoteText"/>
      </w:pPr>
      <w:r>
        <w:rPr>
          <w:rStyle w:val="FootnoteReference"/>
        </w:rPr>
        <w:footnoteRef/>
      </w:r>
      <w:r>
        <w:t xml:space="preserve"> </w:t>
      </w:r>
      <w:r w:rsidRPr="008D3E25">
        <w:rPr>
          <w:color w:val="0E101A"/>
        </w:rPr>
        <w:t>2013 (5) SA 496 (SCA),</w:t>
      </w:r>
    </w:p>
  </w:footnote>
  <w:footnote w:id="4">
    <w:p w:rsidR="00504D38" w:rsidRPr="00504D38" w:rsidRDefault="00504D38" w:rsidP="006003B2">
      <w:pPr>
        <w:pStyle w:val="NormalWeb"/>
        <w:spacing w:before="0" w:beforeAutospacing="0" w:after="0" w:afterAutospacing="0" w:line="480" w:lineRule="auto"/>
        <w:rPr>
          <w:rFonts w:ascii="Arial" w:hAnsi="Arial" w:cs="Arial"/>
          <w:color w:val="0E101A"/>
          <w:sz w:val="20"/>
          <w:szCs w:val="20"/>
        </w:rPr>
      </w:pPr>
      <w:r>
        <w:rPr>
          <w:rStyle w:val="FootnoteReference"/>
        </w:rPr>
        <w:footnoteRef/>
      </w:r>
      <w:r>
        <w:t xml:space="preserve"> </w:t>
      </w:r>
      <w:r w:rsidRPr="00504D38">
        <w:rPr>
          <w:rFonts w:ascii="Arial" w:hAnsi="Arial" w:cs="Arial"/>
          <w:color w:val="0E101A"/>
          <w:sz w:val="20"/>
          <w:szCs w:val="20"/>
        </w:rPr>
        <w:t>Section 73(3) of the Companies Act provides as follows: "(3)</w:t>
      </w:r>
      <w:r w:rsidR="00B25CB6">
        <w:rPr>
          <w:rFonts w:ascii="Arial" w:hAnsi="Arial" w:cs="Arial"/>
          <w:color w:val="0E101A"/>
          <w:sz w:val="20"/>
          <w:szCs w:val="20"/>
        </w:rPr>
        <w:t xml:space="preserve"> </w:t>
      </w:r>
      <w:r w:rsidRPr="00504D38">
        <w:rPr>
          <w:rFonts w:ascii="Arial" w:hAnsi="Arial" w:cs="Arial"/>
          <w:color w:val="0E101A"/>
          <w:sz w:val="20"/>
          <w:szCs w:val="20"/>
        </w:rPr>
        <w:t>Subject to subsections (4) and (5), a director of a company, when acting in that capacity, must exercise the powers and perform the functions of director—</w:t>
      </w:r>
    </w:p>
    <w:p w:rsidR="00504D38" w:rsidRPr="00504D38" w:rsidRDefault="00504D38" w:rsidP="00B25CB6">
      <w:pPr>
        <w:pStyle w:val="NormalWeb"/>
        <w:spacing w:before="0" w:beforeAutospacing="0" w:after="0" w:afterAutospacing="0" w:line="480" w:lineRule="auto"/>
        <w:ind w:firstLine="720"/>
        <w:rPr>
          <w:rFonts w:ascii="Arial" w:hAnsi="Arial" w:cs="Arial"/>
          <w:color w:val="0E101A"/>
          <w:sz w:val="20"/>
          <w:szCs w:val="20"/>
        </w:rPr>
      </w:pPr>
      <w:r w:rsidRPr="00504D38">
        <w:rPr>
          <w:rFonts w:ascii="Arial" w:hAnsi="Arial" w:cs="Arial"/>
          <w:color w:val="0E101A"/>
          <w:sz w:val="20"/>
          <w:szCs w:val="20"/>
        </w:rPr>
        <w:t>(a) in good faith and for a proper purpose;</w:t>
      </w:r>
    </w:p>
    <w:p w:rsidR="00B25CB6" w:rsidRDefault="00504D38" w:rsidP="00504D38">
      <w:pPr>
        <w:pStyle w:val="NormalWeb"/>
        <w:spacing w:before="0" w:beforeAutospacing="0" w:after="0" w:afterAutospacing="0" w:line="480" w:lineRule="auto"/>
        <w:rPr>
          <w:rFonts w:ascii="Arial" w:hAnsi="Arial" w:cs="Arial"/>
          <w:color w:val="0E101A"/>
          <w:sz w:val="20"/>
          <w:szCs w:val="20"/>
        </w:rPr>
      </w:pPr>
      <w:r w:rsidRPr="00504D38">
        <w:rPr>
          <w:rFonts w:ascii="Arial" w:hAnsi="Arial" w:cs="Arial"/>
          <w:color w:val="0E101A"/>
          <w:sz w:val="20"/>
          <w:szCs w:val="20"/>
        </w:rPr>
        <w:t> </w:t>
      </w:r>
      <w:r w:rsidR="00B25CB6">
        <w:rPr>
          <w:rFonts w:ascii="Arial" w:hAnsi="Arial" w:cs="Arial"/>
          <w:color w:val="0E101A"/>
          <w:sz w:val="20"/>
          <w:szCs w:val="20"/>
        </w:rPr>
        <w:tab/>
      </w:r>
      <w:r w:rsidRPr="00504D38">
        <w:rPr>
          <w:rFonts w:ascii="Arial" w:hAnsi="Arial" w:cs="Arial"/>
          <w:color w:val="0E101A"/>
          <w:sz w:val="20"/>
          <w:szCs w:val="20"/>
        </w:rPr>
        <w:t>(b) in the best interests of the company; and</w:t>
      </w:r>
    </w:p>
    <w:p w:rsidR="00504D38" w:rsidRPr="00504D38" w:rsidRDefault="00504D38" w:rsidP="00B25CB6">
      <w:pPr>
        <w:pStyle w:val="NormalWeb"/>
        <w:spacing w:before="0" w:beforeAutospacing="0" w:after="0" w:afterAutospacing="0" w:line="480" w:lineRule="auto"/>
        <w:ind w:firstLine="720"/>
        <w:rPr>
          <w:rFonts w:ascii="Arial" w:hAnsi="Arial" w:cs="Arial"/>
          <w:color w:val="0E101A"/>
          <w:sz w:val="20"/>
          <w:szCs w:val="20"/>
        </w:rPr>
      </w:pPr>
      <w:r w:rsidRPr="00504D38">
        <w:rPr>
          <w:rFonts w:ascii="Arial" w:hAnsi="Arial" w:cs="Arial"/>
          <w:color w:val="0E101A"/>
          <w:sz w:val="20"/>
          <w:szCs w:val="20"/>
        </w:rPr>
        <w:t>(c) with the degree of care, skill and diligence that may reasonably be expected of a person—</w:t>
      </w:r>
    </w:p>
    <w:p w:rsidR="00504D38" w:rsidRPr="00504D38" w:rsidRDefault="00504D38" w:rsidP="00B25CB6">
      <w:pPr>
        <w:pStyle w:val="NormalWeb"/>
        <w:spacing w:before="0" w:beforeAutospacing="0" w:after="0" w:afterAutospacing="0" w:line="480" w:lineRule="auto"/>
        <w:ind w:left="720"/>
        <w:rPr>
          <w:rFonts w:ascii="Arial" w:hAnsi="Arial" w:cs="Arial"/>
          <w:color w:val="0E101A"/>
          <w:sz w:val="20"/>
          <w:szCs w:val="20"/>
        </w:rPr>
      </w:pPr>
      <w:r w:rsidRPr="00504D38">
        <w:rPr>
          <w:rFonts w:ascii="Arial" w:hAnsi="Arial" w:cs="Arial"/>
          <w:color w:val="0E101A"/>
          <w:sz w:val="20"/>
          <w:szCs w:val="20"/>
        </w:rPr>
        <w:t>(i) carrying out the same functions in relation to the company as thos</w:t>
      </w:r>
      <w:r w:rsidR="00B25CB6">
        <w:rPr>
          <w:rFonts w:ascii="Arial" w:hAnsi="Arial" w:cs="Arial"/>
          <w:color w:val="0E101A"/>
          <w:sz w:val="20"/>
          <w:szCs w:val="20"/>
        </w:rPr>
        <w:t xml:space="preserve">e carried out by that director; </w:t>
      </w:r>
      <w:r w:rsidRPr="00504D38">
        <w:rPr>
          <w:rFonts w:ascii="Arial" w:hAnsi="Arial" w:cs="Arial"/>
          <w:color w:val="0E101A"/>
          <w:sz w:val="20"/>
          <w:szCs w:val="20"/>
        </w:rPr>
        <w:t>and</w:t>
      </w:r>
    </w:p>
    <w:p w:rsidR="00504D38" w:rsidRPr="00504D38" w:rsidRDefault="00504D38" w:rsidP="00504D38">
      <w:pPr>
        <w:pStyle w:val="NormalWeb"/>
        <w:spacing w:before="0" w:beforeAutospacing="0" w:after="0" w:afterAutospacing="0" w:line="480" w:lineRule="auto"/>
        <w:rPr>
          <w:rFonts w:ascii="Arial" w:hAnsi="Arial" w:cs="Arial"/>
          <w:color w:val="0E101A"/>
          <w:sz w:val="20"/>
          <w:szCs w:val="20"/>
        </w:rPr>
      </w:pPr>
      <w:r w:rsidRPr="00504D38">
        <w:rPr>
          <w:rFonts w:ascii="Arial" w:hAnsi="Arial" w:cs="Arial"/>
          <w:color w:val="0E101A"/>
          <w:sz w:val="20"/>
          <w:szCs w:val="20"/>
        </w:rPr>
        <w:t> </w:t>
      </w:r>
      <w:r w:rsidR="00B25CB6">
        <w:rPr>
          <w:rFonts w:ascii="Arial" w:hAnsi="Arial" w:cs="Arial"/>
          <w:color w:val="0E101A"/>
          <w:sz w:val="20"/>
          <w:szCs w:val="20"/>
        </w:rPr>
        <w:tab/>
      </w:r>
      <w:r w:rsidRPr="00504D38">
        <w:rPr>
          <w:rFonts w:ascii="Arial" w:hAnsi="Arial" w:cs="Arial"/>
          <w:color w:val="0E101A"/>
          <w:sz w:val="20"/>
          <w:szCs w:val="20"/>
        </w:rPr>
        <w:t>(ii) having the general knowledge, skill and experience of that director</w:t>
      </w:r>
    </w:p>
    <w:p w:rsidR="00504D38" w:rsidRPr="00504D38" w:rsidRDefault="00504D38">
      <w:pPr>
        <w:pStyle w:val="FootnoteText"/>
        <w:rPr>
          <w:lang w:val="en-GB"/>
        </w:rPr>
      </w:pPr>
    </w:p>
  </w:footnote>
  <w:footnote w:id="5">
    <w:p w:rsidR="00504D38" w:rsidRPr="00504D38" w:rsidRDefault="00504D38" w:rsidP="00157015">
      <w:pPr>
        <w:pStyle w:val="NormalWeb"/>
        <w:spacing w:before="0" w:beforeAutospacing="0" w:after="0" w:afterAutospacing="0" w:line="480" w:lineRule="auto"/>
        <w:ind w:left="720" w:firstLine="140"/>
        <w:rPr>
          <w:rFonts w:ascii="Arial" w:hAnsi="Arial" w:cs="Arial"/>
          <w:color w:val="0E101A"/>
          <w:sz w:val="20"/>
          <w:szCs w:val="20"/>
        </w:rPr>
      </w:pPr>
      <w:r w:rsidRPr="00504D38">
        <w:rPr>
          <w:rFonts w:ascii="Arial" w:hAnsi="Arial" w:cs="Arial"/>
          <w:color w:val="0E101A"/>
          <w:sz w:val="20"/>
          <w:szCs w:val="20"/>
        </w:rPr>
        <w:t>See Oppelt v Department of Health, WC 2016 (1) SA 325 (CC), Nxumalo v First Link Insurance Brokers Ltd 2003 SA 620 (T), and Du Plesssis N.O v Phelps 1995 (4) SA1 65 [C]. </w:t>
      </w:r>
    </w:p>
    <w:p w:rsidR="00504D38" w:rsidRPr="00504D38" w:rsidRDefault="00504D38">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224491"/>
      <w:docPartObj>
        <w:docPartGallery w:val="Page Numbers (Top of Page)"/>
        <w:docPartUnique/>
      </w:docPartObj>
    </w:sdtPr>
    <w:sdtEndPr>
      <w:rPr>
        <w:noProof/>
      </w:rPr>
    </w:sdtEndPr>
    <w:sdtContent>
      <w:p w:rsidR="000B43C3" w:rsidRDefault="000B43C3">
        <w:pPr>
          <w:pStyle w:val="Header"/>
          <w:jc w:val="right"/>
        </w:pPr>
        <w:r>
          <w:fldChar w:fldCharType="begin"/>
        </w:r>
        <w:r>
          <w:instrText xml:space="preserve"> PAGE   \* MERGEFORMAT </w:instrText>
        </w:r>
        <w:r>
          <w:fldChar w:fldCharType="separate"/>
        </w:r>
        <w:r w:rsidR="00556FD2">
          <w:rPr>
            <w:noProof/>
          </w:rPr>
          <w:t>2</w:t>
        </w:r>
        <w:r>
          <w:rPr>
            <w:noProof/>
          </w:rPr>
          <w:fldChar w:fldCharType="end"/>
        </w:r>
      </w:p>
    </w:sdtContent>
  </w:sdt>
  <w:p w:rsidR="001F6EC6" w:rsidRDefault="001F6EC6">
    <w:pPr>
      <w:spacing w:after="0" w:line="259" w:lineRule="auto"/>
      <w:ind w:left="0" w:right="-573"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C6" w:rsidRDefault="001F6EC6">
    <w:pPr>
      <w:spacing w:after="0" w:line="259" w:lineRule="auto"/>
      <w:ind w:left="0" w:right="-573" w:firstLine="0"/>
      <w:jc w:val="right"/>
    </w:pPr>
    <w:r>
      <w:rPr>
        <w:color w:val="FF0000"/>
        <w:sz w:val="32"/>
      </w:rPr>
      <w:t>004-</w:t>
    </w:r>
    <w:r>
      <w:fldChar w:fldCharType="begin"/>
    </w:r>
    <w:r>
      <w:instrText xml:space="preserve"> PAGE   \* MERGEFORMAT </w:instrText>
    </w:r>
    <w:r>
      <w:fldChar w:fldCharType="separate"/>
    </w:r>
    <w:r>
      <w:rPr>
        <w:color w:val="FF0000"/>
        <w:sz w:val="32"/>
      </w:rPr>
      <w:t>53</w:t>
    </w:r>
    <w:r>
      <w:rPr>
        <w:color w:val="FF0000"/>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C59"/>
    <w:multiLevelType w:val="hybridMultilevel"/>
    <w:tmpl w:val="C33ED396"/>
    <w:lvl w:ilvl="0" w:tplc="859E9736">
      <w:start w:val="1"/>
      <w:numFmt w:val="decimal"/>
      <w:lvlText w:val="(%1)"/>
      <w:lvlJc w:val="left"/>
      <w:pPr>
        <w:ind w:left="2281" w:hanging="36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1" w15:restartNumberingAfterBreak="0">
    <w:nsid w:val="02843ED7"/>
    <w:multiLevelType w:val="hybridMultilevel"/>
    <w:tmpl w:val="F4949B98"/>
    <w:lvl w:ilvl="0" w:tplc="859E973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451AD9"/>
    <w:multiLevelType w:val="multilevel"/>
    <w:tmpl w:val="60B80E82"/>
    <w:lvl w:ilvl="0">
      <w:start w:val="15"/>
      <w:numFmt w:val="decimal"/>
      <w:lvlText w:val="%1"/>
      <w:lvlJc w:val="left"/>
      <w:pPr>
        <w:ind w:left="420" w:hanging="420"/>
      </w:pPr>
      <w:rPr>
        <w:rFonts w:hint="default"/>
        <w:sz w:val="22"/>
      </w:rPr>
    </w:lvl>
    <w:lvl w:ilvl="1">
      <w:start w:val="1"/>
      <w:numFmt w:val="decimal"/>
      <w:lvlText w:val="%1.%2"/>
      <w:lvlJc w:val="left"/>
      <w:pPr>
        <w:ind w:left="2405" w:hanging="420"/>
      </w:pPr>
      <w:rPr>
        <w:rFonts w:hint="default"/>
        <w:sz w:val="22"/>
      </w:rPr>
    </w:lvl>
    <w:lvl w:ilvl="2">
      <w:start w:val="1"/>
      <w:numFmt w:val="decimal"/>
      <w:lvlText w:val="%1.%2.%3"/>
      <w:lvlJc w:val="left"/>
      <w:pPr>
        <w:ind w:left="5180" w:hanging="720"/>
      </w:pPr>
      <w:rPr>
        <w:rFonts w:hint="default"/>
        <w:sz w:val="22"/>
      </w:rPr>
    </w:lvl>
    <w:lvl w:ilvl="3">
      <w:start w:val="1"/>
      <w:numFmt w:val="decimal"/>
      <w:lvlText w:val="%1.%2.%3.%4"/>
      <w:lvlJc w:val="left"/>
      <w:pPr>
        <w:ind w:left="7770" w:hanging="1080"/>
      </w:pPr>
      <w:rPr>
        <w:rFonts w:hint="default"/>
        <w:sz w:val="22"/>
      </w:rPr>
    </w:lvl>
    <w:lvl w:ilvl="4">
      <w:start w:val="1"/>
      <w:numFmt w:val="decimal"/>
      <w:lvlText w:val="%1.%2.%3.%4.%5"/>
      <w:lvlJc w:val="left"/>
      <w:pPr>
        <w:ind w:left="10000" w:hanging="1080"/>
      </w:pPr>
      <w:rPr>
        <w:rFonts w:hint="default"/>
        <w:sz w:val="22"/>
      </w:rPr>
    </w:lvl>
    <w:lvl w:ilvl="5">
      <w:start w:val="1"/>
      <w:numFmt w:val="decimal"/>
      <w:lvlText w:val="%1.%2.%3.%4.%5.%6"/>
      <w:lvlJc w:val="left"/>
      <w:pPr>
        <w:ind w:left="12590" w:hanging="1440"/>
      </w:pPr>
      <w:rPr>
        <w:rFonts w:hint="default"/>
        <w:sz w:val="22"/>
      </w:rPr>
    </w:lvl>
    <w:lvl w:ilvl="6">
      <w:start w:val="1"/>
      <w:numFmt w:val="decimal"/>
      <w:lvlText w:val="%1.%2.%3.%4.%5.%6.%7"/>
      <w:lvlJc w:val="left"/>
      <w:pPr>
        <w:ind w:left="14820" w:hanging="1440"/>
      </w:pPr>
      <w:rPr>
        <w:rFonts w:hint="default"/>
        <w:sz w:val="22"/>
      </w:rPr>
    </w:lvl>
    <w:lvl w:ilvl="7">
      <w:start w:val="1"/>
      <w:numFmt w:val="decimal"/>
      <w:lvlText w:val="%1.%2.%3.%4.%5.%6.%7.%8"/>
      <w:lvlJc w:val="left"/>
      <w:pPr>
        <w:ind w:left="17410" w:hanging="1800"/>
      </w:pPr>
      <w:rPr>
        <w:rFonts w:hint="default"/>
        <w:sz w:val="22"/>
      </w:rPr>
    </w:lvl>
    <w:lvl w:ilvl="8">
      <w:start w:val="1"/>
      <w:numFmt w:val="decimal"/>
      <w:lvlText w:val="%1.%2.%3.%4.%5.%6.%7.%8.%9"/>
      <w:lvlJc w:val="left"/>
      <w:pPr>
        <w:ind w:left="19640" w:hanging="1800"/>
      </w:pPr>
      <w:rPr>
        <w:rFonts w:hint="default"/>
        <w:sz w:val="22"/>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B403B24"/>
    <w:multiLevelType w:val="multilevel"/>
    <w:tmpl w:val="32B26760"/>
    <w:lvl w:ilvl="0">
      <w:start w:val="61"/>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7"/>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27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35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423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495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567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63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71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5" w15:restartNumberingAfterBreak="0">
    <w:nsid w:val="0E52216F"/>
    <w:multiLevelType w:val="hybridMultilevel"/>
    <w:tmpl w:val="95BCE622"/>
    <w:lvl w:ilvl="0" w:tplc="31F4BEC0">
      <w:start w:val="32"/>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E43BE0">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B0F9BE">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5CF10C">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63F08">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EA57A2">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3A88E4">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DEACD8">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B052D6">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8D734C"/>
    <w:multiLevelType w:val="multilevel"/>
    <w:tmpl w:val="EBEEB0C4"/>
    <w:lvl w:ilvl="0">
      <w:start w:val="28"/>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6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start w:val="1"/>
      <w:numFmt w:val="decimal"/>
      <w:lvlText w:val="%1.%2.%3"/>
      <w:lvlJc w:val="left"/>
      <w:pPr>
        <w:ind w:left="3563"/>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364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436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508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580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652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724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7" w15:restartNumberingAfterBreak="0">
    <w:nsid w:val="1F60560D"/>
    <w:multiLevelType w:val="multilevel"/>
    <w:tmpl w:val="F8264D2A"/>
    <w:lvl w:ilvl="0">
      <w:start w:val="1"/>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487"/>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27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35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423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495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567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63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71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8" w15:restartNumberingAfterBreak="0">
    <w:nsid w:val="1F9371B0"/>
    <w:multiLevelType w:val="hybridMultilevel"/>
    <w:tmpl w:val="8A36B65A"/>
    <w:lvl w:ilvl="0" w:tplc="254C302C">
      <w:start w:val="53"/>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BA6120">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60E510">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C60CD4">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32FE9C">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B0A3FE">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FE8916">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28F4E4">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30EAFE">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3545E1"/>
    <w:multiLevelType w:val="multilevel"/>
    <w:tmpl w:val="0720B98E"/>
    <w:lvl w:ilvl="0">
      <w:start w:val="65"/>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6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27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35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423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495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567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63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71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10" w15:restartNumberingAfterBreak="0">
    <w:nsid w:val="26AC5095"/>
    <w:multiLevelType w:val="hybridMultilevel"/>
    <w:tmpl w:val="68A29F3A"/>
    <w:lvl w:ilvl="0" w:tplc="1C09000F">
      <w:start w:val="1"/>
      <w:numFmt w:val="decimal"/>
      <w:lvlText w:val="%1."/>
      <w:lvlJc w:val="left"/>
      <w:pPr>
        <w:ind w:left="1591" w:hanging="360"/>
      </w:pPr>
    </w:lvl>
    <w:lvl w:ilvl="1" w:tplc="1C090019" w:tentative="1">
      <w:start w:val="1"/>
      <w:numFmt w:val="lowerLetter"/>
      <w:lvlText w:val="%2."/>
      <w:lvlJc w:val="left"/>
      <w:pPr>
        <w:ind w:left="2311" w:hanging="360"/>
      </w:pPr>
    </w:lvl>
    <w:lvl w:ilvl="2" w:tplc="1C09001B" w:tentative="1">
      <w:start w:val="1"/>
      <w:numFmt w:val="lowerRoman"/>
      <w:lvlText w:val="%3."/>
      <w:lvlJc w:val="right"/>
      <w:pPr>
        <w:ind w:left="3031" w:hanging="180"/>
      </w:pPr>
    </w:lvl>
    <w:lvl w:ilvl="3" w:tplc="1C09000F" w:tentative="1">
      <w:start w:val="1"/>
      <w:numFmt w:val="decimal"/>
      <w:lvlText w:val="%4."/>
      <w:lvlJc w:val="left"/>
      <w:pPr>
        <w:ind w:left="3751" w:hanging="360"/>
      </w:pPr>
    </w:lvl>
    <w:lvl w:ilvl="4" w:tplc="1C090019" w:tentative="1">
      <w:start w:val="1"/>
      <w:numFmt w:val="lowerLetter"/>
      <w:lvlText w:val="%5."/>
      <w:lvlJc w:val="left"/>
      <w:pPr>
        <w:ind w:left="4471" w:hanging="360"/>
      </w:pPr>
    </w:lvl>
    <w:lvl w:ilvl="5" w:tplc="1C09001B" w:tentative="1">
      <w:start w:val="1"/>
      <w:numFmt w:val="lowerRoman"/>
      <w:lvlText w:val="%6."/>
      <w:lvlJc w:val="right"/>
      <w:pPr>
        <w:ind w:left="5191" w:hanging="180"/>
      </w:pPr>
    </w:lvl>
    <w:lvl w:ilvl="6" w:tplc="1C09000F" w:tentative="1">
      <w:start w:val="1"/>
      <w:numFmt w:val="decimal"/>
      <w:lvlText w:val="%7."/>
      <w:lvlJc w:val="left"/>
      <w:pPr>
        <w:ind w:left="5911" w:hanging="360"/>
      </w:pPr>
    </w:lvl>
    <w:lvl w:ilvl="7" w:tplc="1C090019" w:tentative="1">
      <w:start w:val="1"/>
      <w:numFmt w:val="lowerLetter"/>
      <w:lvlText w:val="%8."/>
      <w:lvlJc w:val="left"/>
      <w:pPr>
        <w:ind w:left="6631" w:hanging="360"/>
      </w:pPr>
    </w:lvl>
    <w:lvl w:ilvl="8" w:tplc="1C09001B" w:tentative="1">
      <w:start w:val="1"/>
      <w:numFmt w:val="lowerRoman"/>
      <w:lvlText w:val="%9."/>
      <w:lvlJc w:val="right"/>
      <w:pPr>
        <w:ind w:left="7351" w:hanging="180"/>
      </w:pPr>
    </w:lvl>
  </w:abstractNum>
  <w:abstractNum w:abstractNumId="11" w15:restartNumberingAfterBreak="0">
    <w:nsid w:val="2EE41C85"/>
    <w:multiLevelType w:val="hybridMultilevel"/>
    <w:tmpl w:val="B520411C"/>
    <w:lvl w:ilvl="0" w:tplc="591297E4">
      <w:start w:val="36"/>
      <w:numFmt w:val="decimal"/>
      <w:lvlText w:val="%1."/>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5C47FC">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A8DA22">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B44DA2">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969D3A">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200B64">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861798">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C67ABC">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D08F24">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0C5FFF"/>
    <w:multiLevelType w:val="hybridMultilevel"/>
    <w:tmpl w:val="18BC46AA"/>
    <w:lvl w:ilvl="0" w:tplc="468025C4">
      <w:start w:val="40"/>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CADE74">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8693AE">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5060D4">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A06B76">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78C156">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A82CAA">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620A90">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A6C64C">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330D72"/>
    <w:multiLevelType w:val="hybridMultilevel"/>
    <w:tmpl w:val="211A22BA"/>
    <w:lvl w:ilvl="0" w:tplc="AEEE90C2">
      <w:start w:val="1"/>
      <w:numFmt w:val="decimal"/>
      <w:lvlText w:val="%1."/>
      <w:lvlJc w:val="left"/>
      <w:pPr>
        <w:ind w:left="14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3BEACB2">
      <w:start w:val="1"/>
      <w:numFmt w:val="lowerLetter"/>
      <w:lvlText w:val="%2"/>
      <w:lvlJc w:val="left"/>
      <w:pPr>
        <w:ind w:left="22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E22F262">
      <w:start w:val="1"/>
      <w:numFmt w:val="lowerRoman"/>
      <w:lvlText w:val="%3"/>
      <w:lvlJc w:val="left"/>
      <w:pPr>
        <w:ind w:left="29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6381094">
      <w:start w:val="1"/>
      <w:numFmt w:val="decimal"/>
      <w:lvlText w:val="%4"/>
      <w:lvlJc w:val="left"/>
      <w:pPr>
        <w:ind w:left="36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9E83CEE">
      <w:start w:val="1"/>
      <w:numFmt w:val="lowerLetter"/>
      <w:lvlText w:val="%5"/>
      <w:lvlJc w:val="left"/>
      <w:pPr>
        <w:ind w:left="44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8446762">
      <w:start w:val="1"/>
      <w:numFmt w:val="lowerRoman"/>
      <w:lvlText w:val="%6"/>
      <w:lvlJc w:val="left"/>
      <w:pPr>
        <w:ind w:left="51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9BAE358">
      <w:start w:val="1"/>
      <w:numFmt w:val="decimal"/>
      <w:lvlText w:val="%7"/>
      <w:lvlJc w:val="left"/>
      <w:pPr>
        <w:ind w:left="58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9D2FF9E">
      <w:start w:val="1"/>
      <w:numFmt w:val="lowerLetter"/>
      <w:lvlText w:val="%8"/>
      <w:lvlJc w:val="left"/>
      <w:pPr>
        <w:ind w:left="65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376DB78">
      <w:start w:val="1"/>
      <w:numFmt w:val="lowerRoman"/>
      <w:lvlText w:val="%9"/>
      <w:lvlJc w:val="left"/>
      <w:pPr>
        <w:ind w:left="72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42625FE8"/>
    <w:multiLevelType w:val="hybridMultilevel"/>
    <w:tmpl w:val="3B5EEEE4"/>
    <w:lvl w:ilvl="0" w:tplc="3AEA6EF0">
      <w:start w:val="23"/>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047D46">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582926">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8E78CA">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5A2D08">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A41424">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148E2C">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BE545C">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B0FEBE">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96279C"/>
    <w:multiLevelType w:val="multilevel"/>
    <w:tmpl w:val="6A7E019C"/>
    <w:lvl w:ilvl="0">
      <w:start w:val="26"/>
      <w:numFmt w:val="decimal"/>
      <w:lvlText w:val="%1."/>
      <w:lvlJc w:val="left"/>
      <w:pPr>
        <w:ind w:left="1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6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27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35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423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495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567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63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71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16" w15:restartNumberingAfterBreak="0">
    <w:nsid w:val="495E641D"/>
    <w:multiLevelType w:val="hybridMultilevel"/>
    <w:tmpl w:val="FDC4E9C6"/>
    <w:lvl w:ilvl="0" w:tplc="0DB64200">
      <w:start w:val="4"/>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3266E6">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3852EC">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683B82">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829822">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E2F514">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06B384">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185280">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647F80">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A90A44"/>
    <w:multiLevelType w:val="hybridMultilevel"/>
    <w:tmpl w:val="E21CD5B8"/>
    <w:lvl w:ilvl="0" w:tplc="859E9736">
      <w:start w:val="1"/>
      <w:numFmt w:val="decimal"/>
      <w:lvlText w:val="(%1)"/>
      <w:lvlJc w:val="left"/>
      <w:pPr>
        <w:ind w:left="158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FC344C9"/>
    <w:multiLevelType w:val="hybridMultilevel"/>
    <w:tmpl w:val="3B385C28"/>
    <w:lvl w:ilvl="0" w:tplc="EE6E9B28">
      <w:start w:val="58"/>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8AFA1C">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D4CB82">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2A15D2">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02E186">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6A4E24">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2AC676">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BAFD38">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4C4FC8">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3E28F0"/>
    <w:multiLevelType w:val="hybridMultilevel"/>
    <w:tmpl w:val="6B36847C"/>
    <w:lvl w:ilvl="0" w:tplc="240C6DA8">
      <w:start w:val="71"/>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06B11E">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C42B3E">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C0EA28">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2A2110">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D8996A">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36D77C">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3A8D30">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9E4F4E">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DB10A6"/>
    <w:multiLevelType w:val="multilevel"/>
    <w:tmpl w:val="D9F40B12"/>
    <w:lvl w:ilvl="0">
      <w:start w:val="17"/>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7"/>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27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35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423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495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567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63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71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21" w15:restartNumberingAfterBreak="0">
    <w:nsid w:val="55393A0F"/>
    <w:multiLevelType w:val="hybridMultilevel"/>
    <w:tmpl w:val="1200D9BA"/>
    <w:lvl w:ilvl="0" w:tplc="4E5EBD84">
      <w:start w:val="14"/>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28508A">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30771C">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DA75C4">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E42514">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34E538">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080A8C">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1039C8">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80A1C6">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24324"/>
    <w:multiLevelType w:val="hybridMultilevel"/>
    <w:tmpl w:val="F06C1730"/>
    <w:lvl w:ilvl="0" w:tplc="D4C05136">
      <w:start w:val="76"/>
      <w:numFmt w:val="decimal"/>
      <w:lvlText w:val="%1."/>
      <w:lvlJc w:val="left"/>
      <w:pPr>
        <w:ind w:left="1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7AD430">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9C81CE">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64C41A">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DA417C">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70E550">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006D22">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F2C84E">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E27C2E">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EC2553"/>
    <w:multiLevelType w:val="hybridMultilevel"/>
    <w:tmpl w:val="6BBA33B0"/>
    <w:lvl w:ilvl="0" w:tplc="5566C362">
      <w:start w:val="1"/>
      <w:numFmt w:val="decimal"/>
      <w:lvlText w:val="[%1]"/>
      <w:lvlJc w:val="left"/>
      <w:pPr>
        <w:ind w:left="1581" w:hanging="360"/>
      </w:pPr>
      <w:rPr>
        <w:rFonts w:hint="default"/>
      </w:rPr>
    </w:lvl>
    <w:lvl w:ilvl="1" w:tplc="1C090019" w:tentative="1">
      <w:start w:val="1"/>
      <w:numFmt w:val="lowerLetter"/>
      <w:lvlText w:val="%2."/>
      <w:lvlJc w:val="left"/>
      <w:pPr>
        <w:ind w:left="2301" w:hanging="360"/>
      </w:pPr>
    </w:lvl>
    <w:lvl w:ilvl="2" w:tplc="1C09001B" w:tentative="1">
      <w:start w:val="1"/>
      <w:numFmt w:val="lowerRoman"/>
      <w:lvlText w:val="%3."/>
      <w:lvlJc w:val="right"/>
      <w:pPr>
        <w:ind w:left="3021" w:hanging="180"/>
      </w:pPr>
    </w:lvl>
    <w:lvl w:ilvl="3" w:tplc="1C09000F" w:tentative="1">
      <w:start w:val="1"/>
      <w:numFmt w:val="decimal"/>
      <w:lvlText w:val="%4."/>
      <w:lvlJc w:val="left"/>
      <w:pPr>
        <w:ind w:left="3741" w:hanging="360"/>
      </w:pPr>
    </w:lvl>
    <w:lvl w:ilvl="4" w:tplc="1C090019" w:tentative="1">
      <w:start w:val="1"/>
      <w:numFmt w:val="lowerLetter"/>
      <w:lvlText w:val="%5."/>
      <w:lvlJc w:val="left"/>
      <w:pPr>
        <w:ind w:left="4461" w:hanging="360"/>
      </w:pPr>
    </w:lvl>
    <w:lvl w:ilvl="5" w:tplc="1C09001B" w:tentative="1">
      <w:start w:val="1"/>
      <w:numFmt w:val="lowerRoman"/>
      <w:lvlText w:val="%6."/>
      <w:lvlJc w:val="right"/>
      <w:pPr>
        <w:ind w:left="5181" w:hanging="180"/>
      </w:pPr>
    </w:lvl>
    <w:lvl w:ilvl="6" w:tplc="1C09000F" w:tentative="1">
      <w:start w:val="1"/>
      <w:numFmt w:val="decimal"/>
      <w:lvlText w:val="%7."/>
      <w:lvlJc w:val="left"/>
      <w:pPr>
        <w:ind w:left="5901" w:hanging="360"/>
      </w:pPr>
    </w:lvl>
    <w:lvl w:ilvl="7" w:tplc="1C090019" w:tentative="1">
      <w:start w:val="1"/>
      <w:numFmt w:val="lowerLetter"/>
      <w:lvlText w:val="%8."/>
      <w:lvlJc w:val="left"/>
      <w:pPr>
        <w:ind w:left="6621" w:hanging="360"/>
      </w:pPr>
    </w:lvl>
    <w:lvl w:ilvl="8" w:tplc="1C09001B" w:tentative="1">
      <w:start w:val="1"/>
      <w:numFmt w:val="lowerRoman"/>
      <w:lvlText w:val="%9."/>
      <w:lvlJc w:val="right"/>
      <w:pPr>
        <w:ind w:left="7341" w:hanging="180"/>
      </w:pPr>
    </w:lvl>
  </w:abstractNum>
  <w:abstractNum w:abstractNumId="24" w15:restartNumberingAfterBreak="0">
    <w:nsid w:val="61F00A03"/>
    <w:multiLevelType w:val="multilevel"/>
    <w:tmpl w:val="693C7C40"/>
    <w:lvl w:ilvl="0">
      <w:start w:val="50"/>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6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27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35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423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495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567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63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71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25" w15:restartNumberingAfterBreak="0">
    <w:nsid w:val="61F12149"/>
    <w:multiLevelType w:val="multilevel"/>
    <w:tmpl w:val="5EDC7EE6"/>
    <w:lvl w:ilvl="0">
      <w:start w:val="55"/>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6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27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35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423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495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567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63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71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26" w15:restartNumberingAfterBreak="0">
    <w:nsid w:val="68875AAD"/>
    <w:multiLevelType w:val="hybridMultilevel"/>
    <w:tmpl w:val="B6542670"/>
    <w:lvl w:ilvl="0" w:tplc="14FA3754">
      <w:start w:val="38"/>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78C6CA">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626210">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08B99E">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8C8AB4">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A0B8C2">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12236A">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047B20">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6E08A8">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CAF38E6"/>
    <w:multiLevelType w:val="hybridMultilevel"/>
    <w:tmpl w:val="02920754"/>
    <w:lvl w:ilvl="0" w:tplc="6BF2BAFA">
      <w:start w:val="30"/>
      <w:numFmt w:val="decimal"/>
      <w:lvlText w:val="%1."/>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CAD96">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D48C20">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428218">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4E3CF6">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88F6F0">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00E080">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AE25B4">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004CD0">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57109C"/>
    <w:multiLevelType w:val="hybridMultilevel"/>
    <w:tmpl w:val="CA4A19DE"/>
    <w:lvl w:ilvl="0" w:tplc="B0CE5D56">
      <w:start w:val="9"/>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22B5FA">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2A982A">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C40992">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668552">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E811A8">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38EB26">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BA21D8">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E4D78C">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2E19FB"/>
    <w:multiLevelType w:val="hybridMultilevel"/>
    <w:tmpl w:val="EDEE66D0"/>
    <w:lvl w:ilvl="0" w:tplc="B0A89C9C">
      <w:start w:val="47"/>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8CA670">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6C821C">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80286C">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B4804C">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D870BE">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E8CD2E">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A45A8">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7E2EFC">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53A0980"/>
    <w:multiLevelType w:val="multilevel"/>
    <w:tmpl w:val="43A8F670"/>
    <w:lvl w:ilvl="0">
      <w:start w:val="7"/>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7"/>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27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35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423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495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567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63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71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31" w15:restartNumberingAfterBreak="0">
    <w:nsid w:val="757A0E07"/>
    <w:multiLevelType w:val="hybridMultilevel"/>
    <w:tmpl w:val="8E028632"/>
    <w:lvl w:ilvl="0" w:tplc="AD6EDE90">
      <w:start w:val="67"/>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60CB12">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7CAC5A">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92CD30">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06CF28">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2C1A30">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4AAD40">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8E7120">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5C72D4">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D942EE"/>
    <w:multiLevelType w:val="hybridMultilevel"/>
    <w:tmpl w:val="A7AE67CA"/>
    <w:lvl w:ilvl="0" w:tplc="859E973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7BF3239"/>
    <w:multiLevelType w:val="multilevel"/>
    <w:tmpl w:val="C65AE5EA"/>
    <w:lvl w:ilvl="0">
      <w:start w:val="42"/>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6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27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35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423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495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567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63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71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34" w15:restartNumberingAfterBreak="0">
    <w:nsid w:val="799215B8"/>
    <w:multiLevelType w:val="hybridMultilevel"/>
    <w:tmpl w:val="C2247F9A"/>
    <w:lvl w:ilvl="0" w:tplc="B30E9B98">
      <w:start w:val="21"/>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EEFB38">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D482EE">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08EAE2">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3842D0">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BC96C0">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328308">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C4951A">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7E3C4E">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AC7670D"/>
    <w:multiLevelType w:val="hybridMultilevel"/>
    <w:tmpl w:val="7952A058"/>
    <w:lvl w:ilvl="0" w:tplc="C46AA0F2">
      <w:start w:val="44"/>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AA7248">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02933C">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0AA030">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7EBD04">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26121E">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8AA6BC">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AE1298">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947506">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226CAF"/>
    <w:multiLevelType w:val="multilevel"/>
    <w:tmpl w:val="7A0CA16A"/>
    <w:lvl w:ilvl="0">
      <w:start w:val="19"/>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6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27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35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423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495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567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63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71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37" w15:restartNumberingAfterBreak="0">
    <w:nsid w:val="7CF17DAD"/>
    <w:multiLevelType w:val="hybridMultilevel"/>
    <w:tmpl w:val="507CF66C"/>
    <w:lvl w:ilvl="0" w:tplc="2ABE1E28">
      <w:start w:val="27"/>
      <w:numFmt w:val="decimal"/>
      <w:lvlText w:val="%1"/>
      <w:lvlJc w:val="left"/>
      <w:pPr>
        <w:ind w:left="1129"/>
      </w:pPr>
      <w:rPr>
        <w:rFonts w:ascii="Arial" w:eastAsia="Arial" w:hAnsi="Arial" w:cs="Arial"/>
        <w:b w:val="0"/>
        <w:i w:val="0"/>
        <w:strike w:val="0"/>
        <w:dstrike w:val="0"/>
        <w:color w:val="0000FF"/>
        <w:sz w:val="20"/>
        <w:szCs w:val="20"/>
        <w:u w:val="none" w:color="000000"/>
        <w:bdr w:val="none" w:sz="0" w:space="0" w:color="auto"/>
        <w:shd w:val="clear" w:color="auto" w:fill="auto"/>
        <w:vertAlign w:val="superscript"/>
      </w:rPr>
    </w:lvl>
    <w:lvl w:ilvl="1" w:tplc="5064A396">
      <w:start w:val="1"/>
      <w:numFmt w:val="lowerLetter"/>
      <w:lvlText w:val="%2"/>
      <w:lvlJc w:val="left"/>
      <w:pPr>
        <w:ind w:left="1941"/>
      </w:pPr>
      <w:rPr>
        <w:rFonts w:ascii="Arial" w:eastAsia="Arial" w:hAnsi="Arial" w:cs="Arial"/>
        <w:b w:val="0"/>
        <w:i w:val="0"/>
        <w:strike w:val="0"/>
        <w:dstrike w:val="0"/>
        <w:color w:val="0000FF"/>
        <w:sz w:val="20"/>
        <w:szCs w:val="20"/>
        <w:u w:val="none" w:color="000000"/>
        <w:bdr w:val="none" w:sz="0" w:space="0" w:color="auto"/>
        <w:shd w:val="clear" w:color="auto" w:fill="auto"/>
        <w:vertAlign w:val="superscript"/>
      </w:rPr>
    </w:lvl>
    <w:lvl w:ilvl="2" w:tplc="32A8C290">
      <w:start w:val="1"/>
      <w:numFmt w:val="lowerRoman"/>
      <w:lvlText w:val="%3"/>
      <w:lvlJc w:val="left"/>
      <w:pPr>
        <w:ind w:left="2661"/>
      </w:pPr>
      <w:rPr>
        <w:rFonts w:ascii="Arial" w:eastAsia="Arial" w:hAnsi="Arial" w:cs="Arial"/>
        <w:b w:val="0"/>
        <w:i w:val="0"/>
        <w:strike w:val="0"/>
        <w:dstrike w:val="0"/>
        <w:color w:val="0000FF"/>
        <w:sz w:val="20"/>
        <w:szCs w:val="20"/>
        <w:u w:val="none" w:color="000000"/>
        <w:bdr w:val="none" w:sz="0" w:space="0" w:color="auto"/>
        <w:shd w:val="clear" w:color="auto" w:fill="auto"/>
        <w:vertAlign w:val="superscript"/>
      </w:rPr>
    </w:lvl>
    <w:lvl w:ilvl="3" w:tplc="8B3614B2">
      <w:start w:val="1"/>
      <w:numFmt w:val="decimal"/>
      <w:lvlText w:val="%4"/>
      <w:lvlJc w:val="left"/>
      <w:pPr>
        <w:ind w:left="3381"/>
      </w:pPr>
      <w:rPr>
        <w:rFonts w:ascii="Arial" w:eastAsia="Arial" w:hAnsi="Arial" w:cs="Arial"/>
        <w:b w:val="0"/>
        <w:i w:val="0"/>
        <w:strike w:val="0"/>
        <w:dstrike w:val="0"/>
        <w:color w:val="0000FF"/>
        <w:sz w:val="20"/>
        <w:szCs w:val="20"/>
        <w:u w:val="none" w:color="000000"/>
        <w:bdr w:val="none" w:sz="0" w:space="0" w:color="auto"/>
        <w:shd w:val="clear" w:color="auto" w:fill="auto"/>
        <w:vertAlign w:val="superscript"/>
      </w:rPr>
    </w:lvl>
    <w:lvl w:ilvl="4" w:tplc="5890F41A">
      <w:start w:val="1"/>
      <w:numFmt w:val="lowerLetter"/>
      <w:lvlText w:val="%5"/>
      <w:lvlJc w:val="left"/>
      <w:pPr>
        <w:ind w:left="4101"/>
      </w:pPr>
      <w:rPr>
        <w:rFonts w:ascii="Arial" w:eastAsia="Arial" w:hAnsi="Arial" w:cs="Arial"/>
        <w:b w:val="0"/>
        <w:i w:val="0"/>
        <w:strike w:val="0"/>
        <w:dstrike w:val="0"/>
        <w:color w:val="0000FF"/>
        <w:sz w:val="20"/>
        <w:szCs w:val="20"/>
        <w:u w:val="none" w:color="000000"/>
        <w:bdr w:val="none" w:sz="0" w:space="0" w:color="auto"/>
        <w:shd w:val="clear" w:color="auto" w:fill="auto"/>
        <w:vertAlign w:val="superscript"/>
      </w:rPr>
    </w:lvl>
    <w:lvl w:ilvl="5" w:tplc="291A1FDA">
      <w:start w:val="1"/>
      <w:numFmt w:val="lowerRoman"/>
      <w:lvlText w:val="%6"/>
      <w:lvlJc w:val="left"/>
      <w:pPr>
        <w:ind w:left="4821"/>
      </w:pPr>
      <w:rPr>
        <w:rFonts w:ascii="Arial" w:eastAsia="Arial" w:hAnsi="Arial" w:cs="Arial"/>
        <w:b w:val="0"/>
        <w:i w:val="0"/>
        <w:strike w:val="0"/>
        <w:dstrike w:val="0"/>
        <w:color w:val="0000FF"/>
        <w:sz w:val="20"/>
        <w:szCs w:val="20"/>
        <w:u w:val="none" w:color="000000"/>
        <w:bdr w:val="none" w:sz="0" w:space="0" w:color="auto"/>
        <w:shd w:val="clear" w:color="auto" w:fill="auto"/>
        <w:vertAlign w:val="superscript"/>
      </w:rPr>
    </w:lvl>
    <w:lvl w:ilvl="6" w:tplc="7990EFDA">
      <w:start w:val="1"/>
      <w:numFmt w:val="decimal"/>
      <w:lvlText w:val="%7"/>
      <w:lvlJc w:val="left"/>
      <w:pPr>
        <w:ind w:left="5541"/>
      </w:pPr>
      <w:rPr>
        <w:rFonts w:ascii="Arial" w:eastAsia="Arial" w:hAnsi="Arial" w:cs="Arial"/>
        <w:b w:val="0"/>
        <w:i w:val="0"/>
        <w:strike w:val="0"/>
        <w:dstrike w:val="0"/>
        <w:color w:val="0000FF"/>
        <w:sz w:val="20"/>
        <w:szCs w:val="20"/>
        <w:u w:val="none" w:color="000000"/>
        <w:bdr w:val="none" w:sz="0" w:space="0" w:color="auto"/>
        <w:shd w:val="clear" w:color="auto" w:fill="auto"/>
        <w:vertAlign w:val="superscript"/>
      </w:rPr>
    </w:lvl>
    <w:lvl w:ilvl="7" w:tplc="31C0E536">
      <w:start w:val="1"/>
      <w:numFmt w:val="lowerLetter"/>
      <w:lvlText w:val="%8"/>
      <w:lvlJc w:val="left"/>
      <w:pPr>
        <w:ind w:left="6261"/>
      </w:pPr>
      <w:rPr>
        <w:rFonts w:ascii="Arial" w:eastAsia="Arial" w:hAnsi="Arial" w:cs="Arial"/>
        <w:b w:val="0"/>
        <w:i w:val="0"/>
        <w:strike w:val="0"/>
        <w:dstrike w:val="0"/>
        <w:color w:val="0000FF"/>
        <w:sz w:val="20"/>
        <w:szCs w:val="20"/>
        <w:u w:val="none" w:color="000000"/>
        <w:bdr w:val="none" w:sz="0" w:space="0" w:color="auto"/>
        <w:shd w:val="clear" w:color="auto" w:fill="auto"/>
        <w:vertAlign w:val="superscript"/>
      </w:rPr>
    </w:lvl>
    <w:lvl w:ilvl="8" w:tplc="E3C0E428">
      <w:start w:val="1"/>
      <w:numFmt w:val="lowerRoman"/>
      <w:lvlText w:val="%9"/>
      <w:lvlJc w:val="left"/>
      <w:pPr>
        <w:ind w:left="6981"/>
      </w:pPr>
      <w:rPr>
        <w:rFonts w:ascii="Arial" w:eastAsia="Arial" w:hAnsi="Arial" w:cs="Arial"/>
        <w:b w:val="0"/>
        <w:i w:val="0"/>
        <w:strike w:val="0"/>
        <w:dstrike w:val="0"/>
        <w:color w:val="0000FF"/>
        <w:sz w:val="20"/>
        <w:szCs w:val="20"/>
        <w:u w:val="none" w:color="000000"/>
        <w:bdr w:val="none" w:sz="0" w:space="0" w:color="auto"/>
        <w:shd w:val="clear" w:color="auto" w:fill="auto"/>
        <w:vertAlign w:val="superscript"/>
      </w:rPr>
    </w:lvl>
  </w:abstractNum>
  <w:abstractNum w:abstractNumId="38" w15:restartNumberingAfterBreak="0">
    <w:nsid w:val="7E165F00"/>
    <w:multiLevelType w:val="hybridMultilevel"/>
    <w:tmpl w:val="87C615CE"/>
    <w:lvl w:ilvl="0" w:tplc="C5A860A8">
      <w:start w:val="73"/>
      <w:numFmt w:val="decimal"/>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8C134">
      <w:start w:val="1"/>
      <w:numFmt w:val="lowerLetter"/>
      <w:lvlText w:val="%2"/>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F455AE">
      <w:start w:val="1"/>
      <w:numFmt w:val="lowerRoman"/>
      <w:lvlText w:val="%3"/>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1EF6FC">
      <w:start w:val="1"/>
      <w:numFmt w:val="decimal"/>
      <w:lvlText w:val="%4"/>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169550">
      <w:start w:val="1"/>
      <w:numFmt w:val="lowerLetter"/>
      <w:lvlText w:val="%5"/>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8E7D64">
      <w:start w:val="1"/>
      <w:numFmt w:val="lowerRoman"/>
      <w:lvlText w:val="%6"/>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94A7F8">
      <w:start w:val="1"/>
      <w:numFmt w:val="decimal"/>
      <w:lvlText w:val="%7"/>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7012CA">
      <w:start w:val="1"/>
      <w:numFmt w:val="lowerLetter"/>
      <w:lvlText w:val="%8"/>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2234D8">
      <w:start w:val="1"/>
      <w:numFmt w:val="lowerRoman"/>
      <w:lvlText w:val="%9"/>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6"/>
  </w:num>
  <w:num w:numId="3">
    <w:abstractNumId w:val="30"/>
  </w:num>
  <w:num w:numId="4">
    <w:abstractNumId w:val="28"/>
  </w:num>
  <w:num w:numId="5">
    <w:abstractNumId w:val="21"/>
  </w:num>
  <w:num w:numId="6">
    <w:abstractNumId w:val="20"/>
  </w:num>
  <w:num w:numId="7">
    <w:abstractNumId w:val="36"/>
  </w:num>
  <w:num w:numId="8">
    <w:abstractNumId w:val="34"/>
  </w:num>
  <w:num w:numId="9">
    <w:abstractNumId w:val="37"/>
  </w:num>
  <w:num w:numId="10">
    <w:abstractNumId w:val="14"/>
  </w:num>
  <w:num w:numId="11">
    <w:abstractNumId w:val="15"/>
  </w:num>
  <w:num w:numId="12">
    <w:abstractNumId w:val="6"/>
  </w:num>
  <w:num w:numId="13">
    <w:abstractNumId w:val="27"/>
  </w:num>
  <w:num w:numId="14">
    <w:abstractNumId w:val="5"/>
  </w:num>
  <w:num w:numId="15">
    <w:abstractNumId w:val="11"/>
  </w:num>
  <w:num w:numId="16">
    <w:abstractNumId w:val="26"/>
  </w:num>
  <w:num w:numId="17">
    <w:abstractNumId w:val="12"/>
  </w:num>
  <w:num w:numId="18">
    <w:abstractNumId w:val="33"/>
  </w:num>
  <w:num w:numId="19">
    <w:abstractNumId w:val="35"/>
  </w:num>
  <w:num w:numId="20">
    <w:abstractNumId w:val="29"/>
  </w:num>
  <w:num w:numId="21">
    <w:abstractNumId w:val="24"/>
  </w:num>
  <w:num w:numId="22">
    <w:abstractNumId w:val="8"/>
  </w:num>
  <w:num w:numId="23">
    <w:abstractNumId w:val="25"/>
  </w:num>
  <w:num w:numId="24">
    <w:abstractNumId w:val="18"/>
  </w:num>
  <w:num w:numId="25">
    <w:abstractNumId w:val="4"/>
  </w:num>
  <w:num w:numId="26">
    <w:abstractNumId w:val="9"/>
  </w:num>
  <w:num w:numId="27">
    <w:abstractNumId w:val="31"/>
  </w:num>
  <w:num w:numId="28">
    <w:abstractNumId w:val="19"/>
  </w:num>
  <w:num w:numId="29">
    <w:abstractNumId w:val="38"/>
  </w:num>
  <w:num w:numId="30">
    <w:abstractNumId w:val="22"/>
  </w:num>
  <w:num w:numId="31">
    <w:abstractNumId w:val="13"/>
  </w:num>
  <w:num w:numId="32">
    <w:abstractNumId w:val="3"/>
  </w:num>
  <w:num w:numId="33">
    <w:abstractNumId w:val="10"/>
  </w:num>
  <w:num w:numId="34">
    <w:abstractNumId w:val="23"/>
  </w:num>
  <w:num w:numId="35">
    <w:abstractNumId w:val="1"/>
  </w:num>
  <w:num w:numId="36">
    <w:abstractNumId w:val="32"/>
  </w:num>
  <w:num w:numId="37">
    <w:abstractNumId w:val="2"/>
  </w:num>
  <w:num w:numId="38">
    <w:abstractNumId w:val="1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5E"/>
    <w:rsid w:val="00057F93"/>
    <w:rsid w:val="000B43C3"/>
    <w:rsid w:val="001270C9"/>
    <w:rsid w:val="0014418D"/>
    <w:rsid w:val="00157015"/>
    <w:rsid w:val="00185FC0"/>
    <w:rsid w:val="001A40C3"/>
    <w:rsid w:val="001F6EC6"/>
    <w:rsid w:val="002063F2"/>
    <w:rsid w:val="002171F4"/>
    <w:rsid w:val="002612D1"/>
    <w:rsid w:val="002A53B8"/>
    <w:rsid w:val="002D1796"/>
    <w:rsid w:val="002E4624"/>
    <w:rsid w:val="002E4DAF"/>
    <w:rsid w:val="002E507B"/>
    <w:rsid w:val="003244D8"/>
    <w:rsid w:val="00353E6B"/>
    <w:rsid w:val="0038345B"/>
    <w:rsid w:val="003941A8"/>
    <w:rsid w:val="003F5993"/>
    <w:rsid w:val="0048684A"/>
    <w:rsid w:val="00504D38"/>
    <w:rsid w:val="00556FD2"/>
    <w:rsid w:val="00571E02"/>
    <w:rsid w:val="00572355"/>
    <w:rsid w:val="005E0C57"/>
    <w:rsid w:val="005F0002"/>
    <w:rsid w:val="006003B2"/>
    <w:rsid w:val="00613B65"/>
    <w:rsid w:val="00662ECD"/>
    <w:rsid w:val="006D1D97"/>
    <w:rsid w:val="0085510D"/>
    <w:rsid w:val="008C6D5E"/>
    <w:rsid w:val="008D3E25"/>
    <w:rsid w:val="008D42D4"/>
    <w:rsid w:val="008F52A8"/>
    <w:rsid w:val="008F6DDB"/>
    <w:rsid w:val="00931211"/>
    <w:rsid w:val="00997894"/>
    <w:rsid w:val="00A61C14"/>
    <w:rsid w:val="00A829AD"/>
    <w:rsid w:val="00A9556F"/>
    <w:rsid w:val="00AC65B5"/>
    <w:rsid w:val="00AE1C8E"/>
    <w:rsid w:val="00AE6600"/>
    <w:rsid w:val="00B03CAE"/>
    <w:rsid w:val="00B25CB6"/>
    <w:rsid w:val="00BA391A"/>
    <w:rsid w:val="00BC4965"/>
    <w:rsid w:val="00BE507C"/>
    <w:rsid w:val="00BF0BC5"/>
    <w:rsid w:val="00C95C26"/>
    <w:rsid w:val="00CD5D0F"/>
    <w:rsid w:val="00CF743B"/>
    <w:rsid w:val="00D44828"/>
    <w:rsid w:val="00D904E2"/>
    <w:rsid w:val="00E068F3"/>
    <w:rsid w:val="00E1001D"/>
    <w:rsid w:val="00E17004"/>
    <w:rsid w:val="00E17F39"/>
    <w:rsid w:val="00E6764D"/>
    <w:rsid w:val="00ED36C1"/>
    <w:rsid w:val="00F13692"/>
    <w:rsid w:val="00FA6870"/>
    <w:rsid w:val="00FF4C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8DC21-E436-4D74-8879-88065DDD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03" w:line="491" w:lineRule="auto"/>
      <w:ind w:left="871" w:hanging="10"/>
      <w:jc w:val="both"/>
    </w:pPr>
    <w:rPr>
      <w:rFonts w:ascii="Arial" w:eastAsia="Arial" w:hAnsi="Arial" w:cs="Arial"/>
      <w:color w:val="000000"/>
      <w:sz w:val="25"/>
    </w:rPr>
  </w:style>
  <w:style w:type="paragraph" w:styleId="Heading1">
    <w:name w:val="heading 1"/>
    <w:next w:val="Normal"/>
    <w:link w:val="Heading1Char"/>
    <w:uiPriority w:val="9"/>
    <w:unhideWhenUsed/>
    <w:qFormat/>
    <w:pPr>
      <w:keepNext/>
      <w:keepLines/>
      <w:spacing w:after="730" w:line="265" w:lineRule="auto"/>
      <w:ind w:left="2752" w:hanging="10"/>
      <w:outlineLvl w:val="0"/>
    </w:pPr>
    <w:rPr>
      <w:rFonts w:ascii="Arial" w:eastAsia="Arial" w:hAnsi="Arial" w:cs="Arial"/>
      <w:b/>
      <w:color w:val="000000"/>
      <w:sz w:val="25"/>
      <w:u w:val="single" w:color="000000"/>
    </w:rPr>
  </w:style>
  <w:style w:type="paragraph" w:styleId="Heading2">
    <w:name w:val="heading 2"/>
    <w:next w:val="Normal"/>
    <w:link w:val="Heading2Char"/>
    <w:uiPriority w:val="9"/>
    <w:unhideWhenUsed/>
    <w:qFormat/>
    <w:pPr>
      <w:keepNext/>
      <w:keepLines/>
      <w:spacing w:after="46"/>
      <w:ind w:left="10" w:hanging="10"/>
      <w:outlineLvl w:val="1"/>
    </w:pPr>
    <w:rPr>
      <w:rFonts w:ascii="Courier New" w:eastAsia="Courier New" w:hAnsi="Courier New" w:cs="Courier New"/>
      <w:b/>
      <w:color w:val="FFFFFF"/>
      <w:sz w:val="20"/>
    </w:rPr>
  </w:style>
  <w:style w:type="paragraph" w:styleId="Heading3">
    <w:name w:val="heading 3"/>
    <w:next w:val="Normal"/>
    <w:link w:val="Heading3Char"/>
    <w:uiPriority w:val="9"/>
    <w:unhideWhenUsed/>
    <w:qFormat/>
    <w:pPr>
      <w:keepNext/>
      <w:keepLines/>
      <w:spacing w:after="46"/>
      <w:ind w:left="10" w:hanging="10"/>
      <w:outlineLvl w:val="2"/>
    </w:pPr>
    <w:rPr>
      <w:rFonts w:ascii="Courier New" w:eastAsia="Courier New" w:hAnsi="Courier New" w:cs="Courier New"/>
      <w:b/>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5"/>
      <w:u w:val="single" w:color="000000"/>
    </w:rPr>
  </w:style>
  <w:style w:type="paragraph" w:customStyle="1" w:styleId="footnotedescription">
    <w:name w:val="footnote description"/>
    <w:next w:val="Normal"/>
    <w:link w:val="footnotedescriptionChar"/>
    <w:hidden/>
    <w:pPr>
      <w:spacing w:after="100"/>
      <w:ind w:left="861"/>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Courier New" w:eastAsia="Courier New" w:hAnsi="Courier New" w:cs="Courier New"/>
      <w:b/>
      <w:color w:val="FFFFFF"/>
      <w:sz w:val="20"/>
    </w:rPr>
  </w:style>
  <w:style w:type="character" w:customStyle="1" w:styleId="Heading3Char">
    <w:name w:val="Heading 3 Char"/>
    <w:link w:val="Heading3"/>
    <w:rPr>
      <w:rFonts w:ascii="Courier New" w:eastAsia="Courier New" w:hAnsi="Courier New" w:cs="Courier New"/>
      <w:b/>
      <w:color w:val="FFFFFF"/>
      <w:sz w:val="20"/>
    </w:rPr>
  </w:style>
  <w:style w:type="character" w:customStyle="1" w:styleId="footnotemark">
    <w:name w:val="footnote mark"/>
    <w:hidden/>
    <w:rPr>
      <w:rFonts w:ascii="Arial" w:eastAsia="Arial" w:hAnsi="Arial" w:cs="Arial"/>
      <w:color w:val="0000FF"/>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A4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0C3"/>
    <w:rPr>
      <w:rFonts w:ascii="Arial" w:eastAsia="Arial" w:hAnsi="Arial" w:cs="Arial"/>
      <w:color w:val="000000"/>
      <w:sz w:val="25"/>
    </w:rPr>
  </w:style>
  <w:style w:type="paragraph" w:styleId="Header">
    <w:name w:val="header"/>
    <w:basedOn w:val="Normal"/>
    <w:link w:val="HeaderChar"/>
    <w:uiPriority w:val="99"/>
    <w:unhideWhenUsed/>
    <w:rsid w:val="001A4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0C3"/>
    <w:rPr>
      <w:rFonts w:ascii="Arial" w:eastAsia="Arial" w:hAnsi="Arial" w:cs="Arial"/>
      <w:color w:val="000000"/>
      <w:sz w:val="25"/>
    </w:rPr>
  </w:style>
  <w:style w:type="paragraph" w:styleId="NormalWeb">
    <w:name w:val="Normal (Web)"/>
    <w:basedOn w:val="Normal"/>
    <w:uiPriority w:val="99"/>
    <w:unhideWhenUsed/>
    <w:rsid w:val="00571E0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571E02"/>
    <w:rPr>
      <w:color w:val="0000FF"/>
      <w:u w:val="single"/>
    </w:rPr>
  </w:style>
  <w:style w:type="paragraph" w:styleId="FootnoteText">
    <w:name w:val="footnote text"/>
    <w:basedOn w:val="Normal"/>
    <w:link w:val="FootnoteTextChar"/>
    <w:uiPriority w:val="99"/>
    <w:semiHidden/>
    <w:unhideWhenUsed/>
    <w:rsid w:val="008F52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2A8"/>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8F52A8"/>
    <w:rPr>
      <w:vertAlign w:val="superscript"/>
    </w:rPr>
  </w:style>
  <w:style w:type="character" w:customStyle="1" w:styleId="muxgbd">
    <w:name w:val="muxgbd"/>
    <w:basedOn w:val="DefaultParagraphFont"/>
    <w:rsid w:val="005F0002"/>
  </w:style>
  <w:style w:type="character" w:styleId="Emphasis">
    <w:name w:val="Emphasis"/>
    <w:basedOn w:val="DefaultParagraphFont"/>
    <w:uiPriority w:val="20"/>
    <w:qFormat/>
    <w:rsid w:val="005F0002"/>
    <w:rPr>
      <w:i/>
      <w:iCs/>
    </w:rPr>
  </w:style>
  <w:style w:type="table" w:styleId="TableGrid0">
    <w:name w:val="Table Grid"/>
    <w:basedOn w:val="TableNormal"/>
    <w:uiPriority w:val="39"/>
    <w:rsid w:val="00504D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4D38"/>
    <w:rPr>
      <w:b/>
      <w:bCs/>
    </w:rPr>
  </w:style>
  <w:style w:type="paragraph" w:styleId="ListParagraph">
    <w:name w:val="List Paragraph"/>
    <w:basedOn w:val="Normal"/>
    <w:uiPriority w:val="34"/>
    <w:qFormat/>
    <w:rsid w:val="00D904E2"/>
    <w:pPr>
      <w:ind w:left="720"/>
      <w:contextualSpacing/>
    </w:pPr>
  </w:style>
  <w:style w:type="paragraph" w:styleId="BalloonText">
    <w:name w:val="Balloon Text"/>
    <w:basedOn w:val="Normal"/>
    <w:link w:val="BalloonTextChar"/>
    <w:uiPriority w:val="99"/>
    <w:semiHidden/>
    <w:unhideWhenUsed/>
    <w:rsid w:val="000B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3C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89080">
      <w:bodyDiv w:val="1"/>
      <w:marLeft w:val="0"/>
      <w:marRight w:val="0"/>
      <w:marTop w:val="0"/>
      <w:marBottom w:val="0"/>
      <w:divBdr>
        <w:top w:val="none" w:sz="0" w:space="0" w:color="auto"/>
        <w:left w:val="none" w:sz="0" w:space="0" w:color="auto"/>
        <w:bottom w:val="none" w:sz="0" w:space="0" w:color="auto"/>
        <w:right w:val="none" w:sz="0" w:space="0" w:color="auto"/>
      </w:divBdr>
    </w:div>
    <w:div w:id="2031103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5237-C931-4C57-8EFD-771775B9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cp:lastModifiedBy>Lazarus Rakgwale</cp:lastModifiedBy>
  <cp:revision>2</cp:revision>
  <cp:lastPrinted>2022-06-08T06:49:00Z</cp:lastPrinted>
  <dcterms:created xsi:type="dcterms:W3CDTF">2022-06-16T07:51:00Z</dcterms:created>
  <dcterms:modified xsi:type="dcterms:W3CDTF">2022-06-16T07:51:00Z</dcterms:modified>
</cp:coreProperties>
</file>